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DD3D8" w14:textId="77777777" w:rsidR="0046000D" w:rsidRDefault="0046000D" w:rsidP="0046000D">
      <w:bookmarkStart w:id="0" w:name="_GoBack"/>
      <w:bookmarkEnd w:id="0"/>
    </w:p>
    <w:p w14:paraId="6864D56A" w14:textId="77777777" w:rsidR="00D8556B" w:rsidRDefault="00D8556B" w:rsidP="00D8556B">
      <w:pPr>
        <w:jc w:val="center"/>
        <w:rPr>
          <w:b/>
          <w:sz w:val="28"/>
          <w:szCs w:val="28"/>
        </w:rPr>
      </w:pPr>
      <w:bookmarkStart w:id="1" w:name="_Toc105997481"/>
      <w:bookmarkStart w:id="2" w:name="_Toc105997550"/>
    </w:p>
    <w:p w14:paraId="7F5C3C70" w14:textId="77777777" w:rsidR="00D8556B" w:rsidRDefault="00D8556B" w:rsidP="00D8556B">
      <w:pPr>
        <w:jc w:val="center"/>
        <w:rPr>
          <w:b/>
          <w:sz w:val="28"/>
          <w:szCs w:val="28"/>
        </w:rPr>
      </w:pPr>
    </w:p>
    <w:p w14:paraId="1F786C9D" w14:textId="77777777" w:rsidR="000A6AE0" w:rsidRDefault="000A6AE0" w:rsidP="00D8556B">
      <w:pPr>
        <w:jc w:val="center"/>
        <w:rPr>
          <w:b/>
          <w:sz w:val="28"/>
          <w:szCs w:val="28"/>
        </w:rPr>
      </w:pPr>
    </w:p>
    <w:bookmarkEnd w:id="1"/>
    <w:bookmarkEnd w:id="2"/>
    <w:p w14:paraId="3D5EF574" w14:textId="77777777" w:rsidR="0046000D" w:rsidRPr="00736C04" w:rsidRDefault="0046000D" w:rsidP="0046000D">
      <w:pPr>
        <w:jc w:val="center"/>
        <w:rPr>
          <w:sz w:val="28"/>
          <w:szCs w:val="28"/>
        </w:rPr>
      </w:pPr>
    </w:p>
    <w:p w14:paraId="7EFB3A5B" w14:textId="77777777" w:rsidR="0046000D" w:rsidRPr="00736C04" w:rsidRDefault="0046000D" w:rsidP="0046000D">
      <w:pPr>
        <w:jc w:val="center"/>
        <w:rPr>
          <w:sz w:val="28"/>
          <w:szCs w:val="28"/>
        </w:rPr>
      </w:pPr>
    </w:p>
    <w:p w14:paraId="06FA9F63" w14:textId="77777777" w:rsidR="0046000D" w:rsidRDefault="00D5752E" w:rsidP="00D8556B">
      <w:pPr>
        <w:jc w:val="center"/>
        <w:rPr>
          <w:b/>
          <w:bCs/>
          <w:sz w:val="32"/>
          <w:szCs w:val="32"/>
        </w:rPr>
      </w:pPr>
      <w:sdt>
        <w:sdtPr>
          <w:rPr>
            <w:b/>
            <w:bCs/>
            <w:sz w:val="32"/>
            <w:szCs w:val="32"/>
          </w:rPr>
          <w:alias w:val="Title"/>
          <w:tag w:val=""/>
          <w:id w:val="628058931"/>
          <w:lock w:val="sdtLocked"/>
          <w:placeholder>
            <w:docPart w:val="E871F140B5EE49069FDB663B33C8811B"/>
          </w:placeholder>
          <w:dataBinding w:prefixMappings="xmlns:ns0='http://purl.org/dc/elements/1.1/' xmlns:ns1='http://schemas.openxmlformats.org/package/2006/metadata/core-properties' " w:xpath="/ns1:coreProperties[1]/ns0:title[1]" w:storeItemID="{6C3C8BC8-F283-45AE-878A-BAB7291924A1}"/>
          <w:text/>
        </w:sdtPr>
        <w:sdtEndPr/>
        <w:sdtContent>
          <w:r w:rsidR="009B1813" w:rsidRPr="009B1813">
            <w:rPr>
              <w:b/>
              <w:bCs/>
              <w:sz w:val="32"/>
              <w:szCs w:val="32"/>
            </w:rPr>
            <w:t xml:space="preserve">NEW ZEALAND NATIONAL GAMBLING STUDY: WAVE </w:t>
          </w:r>
          <w:r w:rsidR="009B1813">
            <w:rPr>
              <w:b/>
              <w:bCs/>
              <w:sz w:val="32"/>
              <w:szCs w:val="32"/>
            </w:rPr>
            <w:t>4</w:t>
          </w:r>
          <w:r w:rsidR="009B1813" w:rsidRPr="009B1813">
            <w:rPr>
              <w:b/>
              <w:bCs/>
              <w:sz w:val="32"/>
              <w:szCs w:val="32"/>
            </w:rPr>
            <w:t xml:space="preserve"> (201</w:t>
          </w:r>
          <w:r w:rsidR="009B1813">
            <w:rPr>
              <w:b/>
              <w:bCs/>
              <w:sz w:val="32"/>
              <w:szCs w:val="32"/>
            </w:rPr>
            <w:t>5</w:t>
          </w:r>
          <w:r w:rsidR="009B1813" w:rsidRPr="009B1813">
            <w:rPr>
              <w:b/>
              <w:bCs/>
              <w:sz w:val="32"/>
              <w:szCs w:val="32"/>
            </w:rPr>
            <w:t>)</w:t>
          </w:r>
        </w:sdtContent>
      </w:sdt>
    </w:p>
    <w:p w14:paraId="57C142D9" w14:textId="77777777" w:rsidR="0046000D" w:rsidRDefault="0046000D" w:rsidP="0046000D">
      <w:pPr>
        <w:jc w:val="center"/>
        <w:rPr>
          <w:b/>
          <w:bCs/>
          <w:sz w:val="32"/>
          <w:szCs w:val="32"/>
        </w:rPr>
      </w:pPr>
    </w:p>
    <w:p w14:paraId="2C2E6D47" w14:textId="77777777" w:rsidR="0046000D" w:rsidRPr="009C01C2" w:rsidRDefault="004B5D03" w:rsidP="0046000D">
      <w:pPr>
        <w:jc w:val="center"/>
        <w:rPr>
          <w:b/>
          <w:bCs/>
          <w:sz w:val="32"/>
          <w:szCs w:val="32"/>
        </w:rPr>
      </w:pPr>
      <w:r>
        <w:rPr>
          <w:b/>
          <w:bCs/>
          <w:sz w:val="32"/>
          <w:szCs w:val="32"/>
        </w:rPr>
        <w:t xml:space="preserve">REPORT </w:t>
      </w:r>
      <w:r w:rsidRPr="009B1813">
        <w:rPr>
          <w:b/>
          <w:bCs/>
          <w:sz w:val="32"/>
          <w:szCs w:val="32"/>
        </w:rPr>
        <w:t>NUMBER 6</w:t>
      </w:r>
      <w:r w:rsidR="0046000D">
        <w:rPr>
          <w:b/>
          <w:bCs/>
          <w:sz w:val="32"/>
          <w:szCs w:val="32"/>
        </w:rPr>
        <w:t xml:space="preserve"> </w:t>
      </w:r>
    </w:p>
    <w:p w14:paraId="0C230C98" w14:textId="77777777" w:rsidR="0046000D" w:rsidRDefault="0046000D" w:rsidP="0046000D">
      <w:pPr>
        <w:jc w:val="center"/>
        <w:rPr>
          <w:b/>
          <w:sz w:val="32"/>
          <w:szCs w:val="32"/>
        </w:rPr>
      </w:pPr>
    </w:p>
    <w:p w14:paraId="37A6E7DB" w14:textId="77777777" w:rsidR="0046000D" w:rsidRDefault="0046000D" w:rsidP="0046000D">
      <w:pPr>
        <w:jc w:val="center"/>
        <w:rPr>
          <w:b/>
          <w:sz w:val="32"/>
          <w:szCs w:val="32"/>
        </w:rPr>
      </w:pPr>
    </w:p>
    <w:p w14:paraId="19197EB9" w14:textId="77777777" w:rsidR="0046000D" w:rsidRDefault="0046000D" w:rsidP="0046000D">
      <w:pPr>
        <w:jc w:val="center"/>
        <w:rPr>
          <w:b/>
          <w:sz w:val="32"/>
          <w:szCs w:val="32"/>
        </w:rPr>
      </w:pPr>
    </w:p>
    <w:p w14:paraId="021F4199" w14:textId="77777777" w:rsidR="0046000D" w:rsidRDefault="0046000D" w:rsidP="0046000D">
      <w:pPr>
        <w:jc w:val="center"/>
        <w:rPr>
          <w:b/>
          <w:sz w:val="32"/>
          <w:szCs w:val="32"/>
        </w:rPr>
      </w:pPr>
      <w:r>
        <w:rPr>
          <w:b/>
          <w:sz w:val="32"/>
          <w:szCs w:val="32"/>
        </w:rPr>
        <w:t xml:space="preserve">Provider Number: </w:t>
      </w:r>
      <w:sdt>
        <w:sdtPr>
          <w:rPr>
            <w:b/>
            <w:sz w:val="32"/>
            <w:szCs w:val="32"/>
          </w:rPr>
          <w:alias w:val="Provider No."/>
          <w:tag w:val="Provider No."/>
          <w:id w:val="-1787336947"/>
          <w:placeholder>
            <w:docPart w:val="2D30B94E31D942998CBF1894DF11E276"/>
          </w:placeholder>
          <w:text/>
        </w:sdtPr>
        <w:sdtEndPr/>
        <w:sdtContent>
          <w:r w:rsidR="00D8556B" w:rsidRPr="0017380E">
            <w:rPr>
              <w:b/>
              <w:sz w:val="32"/>
              <w:szCs w:val="32"/>
            </w:rPr>
            <w:t>467589</w:t>
          </w:r>
        </w:sdtContent>
      </w:sdt>
    </w:p>
    <w:p w14:paraId="04243B84" w14:textId="77777777" w:rsidR="0046000D" w:rsidRDefault="0046000D" w:rsidP="0046000D">
      <w:pPr>
        <w:jc w:val="center"/>
        <w:rPr>
          <w:b/>
          <w:sz w:val="32"/>
          <w:szCs w:val="32"/>
        </w:rPr>
      </w:pPr>
    </w:p>
    <w:p w14:paraId="7D0BDB84" w14:textId="77777777" w:rsidR="0046000D" w:rsidRPr="00736C04" w:rsidRDefault="0046000D" w:rsidP="0046000D">
      <w:pPr>
        <w:jc w:val="center"/>
        <w:rPr>
          <w:b/>
          <w:sz w:val="32"/>
          <w:szCs w:val="32"/>
        </w:rPr>
      </w:pPr>
      <w:r>
        <w:rPr>
          <w:b/>
          <w:sz w:val="32"/>
          <w:szCs w:val="32"/>
        </w:rPr>
        <w:t xml:space="preserve">Agreement Number: </w:t>
      </w:r>
      <w:sdt>
        <w:sdtPr>
          <w:rPr>
            <w:b/>
            <w:sz w:val="32"/>
            <w:szCs w:val="32"/>
          </w:rPr>
          <w:alias w:val="Agreement No."/>
          <w:tag w:val="Agreement No."/>
          <w:id w:val="-732854709"/>
          <w:placeholder>
            <w:docPart w:val="EE9A9191CB0A43359DE819162A4485A1"/>
          </w:placeholder>
          <w:text/>
        </w:sdtPr>
        <w:sdtEndPr/>
        <w:sdtContent>
          <w:r w:rsidR="00EE57BF">
            <w:rPr>
              <w:b/>
              <w:sz w:val="32"/>
              <w:szCs w:val="32"/>
            </w:rPr>
            <w:t>349827/00</w:t>
          </w:r>
        </w:sdtContent>
      </w:sdt>
      <w:r>
        <w:rPr>
          <w:b/>
          <w:sz w:val="32"/>
          <w:szCs w:val="32"/>
        </w:rPr>
        <w:t xml:space="preserve"> </w:t>
      </w:r>
    </w:p>
    <w:p w14:paraId="4AF1605D" w14:textId="77777777" w:rsidR="0046000D" w:rsidRPr="00736C04" w:rsidRDefault="0046000D" w:rsidP="0046000D">
      <w:pPr>
        <w:tabs>
          <w:tab w:val="left" w:pos="6450"/>
        </w:tabs>
        <w:rPr>
          <w:b/>
          <w:sz w:val="32"/>
          <w:szCs w:val="32"/>
        </w:rPr>
      </w:pPr>
      <w:r w:rsidRPr="00736C04">
        <w:rPr>
          <w:b/>
          <w:sz w:val="32"/>
          <w:szCs w:val="32"/>
        </w:rPr>
        <w:tab/>
      </w:r>
    </w:p>
    <w:p w14:paraId="290A9F70" w14:textId="77777777" w:rsidR="00FA2DE1" w:rsidRDefault="00FA2DE1" w:rsidP="00FA2DE1">
      <w:pPr>
        <w:rPr>
          <w:rFonts w:ascii="Arial" w:hAnsi="Arial" w:cs="Arial"/>
          <w:sz w:val="28"/>
          <w:szCs w:val="28"/>
        </w:rPr>
      </w:pPr>
      <w:bookmarkStart w:id="3" w:name="_Toc105997482"/>
      <w:bookmarkStart w:id="4" w:name="_Toc105997551"/>
    </w:p>
    <w:bookmarkEnd w:id="3"/>
    <w:bookmarkEnd w:id="4"/>
    <w:p w14:paraId="17934263" w14:textId="18430B44" w:rsidR="0046000D" w:rsidRPr="00FA2DE1" w:rsidRDefault="000849D6" w:rsidP="00FA2DE1">
      <w:pPr>
        <w:jc w:val="center"/>
        <w:rPr>
          <w:rFonts w:ascii="Arial" w:hAnsi="Arial" w:cs="Arial"/>
          <w:sz w:val="28"/>
          <w:szCs w:val="28"/>
        </w:rPr>
      </w:pPr>
      <w:r w:rsidRPr="00457C4D">
        <w:rPr>
          <w:b/>
          <w:caps/>
          <w:sz w:val="32"/>
          <w:szCs w:val="32"/>
        </w:rPr>
        <w:t>Final</w:t>
      </w:r>
      <w:r w:rsidR="00FA2DE1" w:rsidRPr="00457C4D">
        <w:rPr>
          <w:b/>
          <w:caps/>
          <w:sz w:val="32"/>
          <w:szCs w:val="32"/>
        </w:rPr>
        <w:t xml:space="preserve"> Report</w:t>
      </w:r>
    </w:p>
    <w:p w14:paraId="07669A5F" w14:textId="77777777" w:rsidR="0046000D" w:rsidRDefault="0046000D" w:rsidP="0046000D">
      <w:pPr>
        <w:jc w:val="center"/>
        <w:rPr>
          <w:b/>
          <w:sz w:val="32"/>
          <w:szCs w:val="32"/>
        </w:rPr>
      </w:pPr>
    </w:p>
    <w:p w14:paraId="063CF027" w14:textId="5C220075" w:rsidR="00EE57BF" w:rsidRPr="00EE57BF" w:rsidRDefault="000A6AE0" w:rsidP="0046000D">
      <w:pPr>
        <w:jc w:val="center"/>
        <w:rPr>
          <w:sz w:val="28"/>
          <w:szCs w:val="32"/>
        </w:rPr>
      </w:pPr>
      <w:r>
        <w:rPr>
          <w:sz w:val="28"/>
          <w:szCs w:val="32"/>
        </w:rPr>
        <w:t>29</w:t>
      </w:r>
      <w:r w:rsidR="004F0719" w:rsidRPr="008032E8">
        <w:rPr>
          <w:sz w:val="28"/>
          <w:szCs w:val="32"/>
        </w:rPr>
        <w:t xml:space="preserve"> March</w:t>
      </w:r>
      <w:r w:rsidR="008332F2" w:rsidRPr="008032E8">
        <w:rPr>
          <w:sz w:val="28"/>
          <w:szCs w:val="32"/>
        </w:rPr>
        <w:t xml:space="preserve"> 2018</w:t>
      </w:r>
    </w:p>
    <w:p w14:paraId="6AD5C023" w14:textId="77777777" w:rsidR="0046000D" w:rsidRDefault="0046000D" w:rsidP="0046000D">
      <w:pPr>
        <w:rPr>
          <w:rFonts w:ascii="Arial" w:hAnsi="Arial" w:cs="Arial"/>
          <w:sz w:val="28"/>
          <w:szCs w:val="28"/>
        </w:rPr>
      </w:pPr>
    </w:p>
    <w:p w14:paraId="2538F2DB" w14:textId="1CACF857" w:rsidR="00EE57BF" w:rsidRDefault="00EE57BF" w:rsidP="0046000D">
      <w:pPr>
        <w:rPr>
          <w:rFonts w:ascii="Arial" w:hAnsi="Arial" w:cs="Arial"/>
          <w:sz w:val="28"/>
          <w:szCs w:val="28"/>
        </w:rPr>
      </w:pPr>
    </w:p>
    <w:p w14:paraId="14C98404" w14:textId="77777777" w:rsidR="0046000D" w:rsidRDefault="0046000D" w:rsidP="0046000D">
      <w:pPr>
        <w:rPr>
          <w:rFonts w:ascii="Arial" w:hAnsi="Arial" w:cs="Arial"/>
          <w:sz w:val="28"/>
          <w:szCs w:val="28"/>
        </w:rPr>
      </w:pPr>
    </w:p>
    <w:p w14:paraId="11DA59BC" w14:textId="77777777" w:rsidR="0046000D" w:rsidRDefault="0046000D" w:rsidP="0046000D">
      <w:pPr>
        <w:rPr>
          <w:rFonts w:ascii="Arial" w:hAnsi="Arial" w:cs="Arial"/>
          <w:sz w:val="28"/>
          <w:szCs w:val="28"/>
        </w:rPr>
      </w:pPr>
    </w:p>
    <w:p w14:paraId="00B13155" w14:textId="77777777" w:rsidR="0046000D" w:rsidRDefault="0046000D" w:rsidP="0046000D">
      <w:pPr>
        <w:rPr>
          <w:b/>
        </w:rPr>
      </w:pPr>
      <w:bookmarkStart w:id="5" w:name="_Toc105997483"/>
      <w:bookmarkStart w:id="6" w:name="_Toc105997552"/>
    </w:p>
    <w:p w14:paraId="28BE278D" w14:textId="77777777" w:rsidR="0046000D" w:rsidRDefault="0046000D" w:rsidP="0046000D">
      <w:pPr>
        <w:rPr>
          <w:b/>
        </w:rPr>
      </w:pPr>
    </w:p>
    <w:p w14:paraId="2200235E" w14:textId="77777777" w:rsidR="00EE57BF" w:rsidRDefault="00EE57BF" w:rsidP="0046000D">
      <w:pPr>
        <w:rPr>
          <w:b/>
        </w:rPr>
      </w:pPr>
    </w:p>
    <w:p w14:paraId="7A5995A3" w14:textId="77777777" w:rsidR="002D130C" w:rsidRDefault="002D130C" w:rsidP="0046000D">
      <w:pPr>
        <w:rPr>
          <w:b/>
        </w:rPr>
      </w:pPr>
    </w:p>
    <w:p w14:paraId="59CE9785" w14:textId="77777777" w:rsidR="009B1813" w:rsidRDefault="009B1813" w:rsidP="0046000D">
      <w:pPr>
        <w:rPr>
          <w:b/>
        </w:rPr>
      </w:pPr>
    </w:p>
    <w:p w14:paraId="026C50B2" w14:textId="77777777" w:rsidR="0018283A" w:rsidRDefault="0018283A" w:rsidP="0046000D">
      <w:pPr>
        <w:rPr>
          <w:b/>
        </w:rPr>
      </w:pPr>
    </w:p>
    <w:p w14:paraId="10606641" w14:textId="77777777" w:rsidR="0046000D" w:rsidRPr="003A11A4" w:rsidRDefault="0046000D" w:rsidP="0046000D">
      <w:pPr>
        <w:rPr>
          <w:b/>
        </w:rPr>
      </w:pPr>
      <w:r w:rsidRPr="003A11A4">
        <w:rPr>
          <w:b/>
        </w:rPr>
        <w:t>Prepared for:</w:t>
      </w:r>
      <w:bookmarkEnd w:id="5"/>
      <w:bookmarkEnd w:id="6"/>
    </w:p>
    <w:p w14:paraId="5D3F77D2" w14:textId="77777777" w:rsidR="0046000D" w:rsidRDefault="0046000D" w:rsidP="0046000D">
      <w:r>
        <w:t>Ministry of Health</w:t>
      </w:r>
    </w:p>
    <w:p w14:paraId="66E4AA93" w14:textId="77777777" w:rsidR="0046000D" w:rsidRDefault="0046000D" w:rsidP="0046000D">
      <w:smartTag w:uri="urn:schemas-microsoft-com:office:smarttags" w:element="address">
        <w:smartTag w:uri="urn:schemas-microsoft-com:office:smarttags" w:element="Street">
          <w:r>
            <w:t>PO Box</w:t>
          </w:r>
        </w:smartTag>
        <w:r>
          <w:t xml:space="preserve"> 5013</w:t>
        </w:r>
      </w:smartTag>
    </w:p>
    <w:p w14:paraId="6D70A9D5" w14:textId="77777777" w:rsidR="0046000D" w:rsidRDefault="0046000D" w:rsidP="0046000D">
      <w:smartTag w:uri="urn:schemas-microsoft-com:office:smarttags" w:element="City">
        <w:smartTag w:uri="urn:schemas-microsoft-com:office:smarttags" w:element="place">
          <w:r>
            <w:t>Wellington</w:t>
          </w:r>
        </w:smartTag>
      </w:smartTag>
    </w:p>
    <w:p w14:paraId="163047D1" w14:textId="77777777" w:rsidR="0046000D" w:rsidRDefault="0046000D" w:rsidP="0046000D"/>
    <w:p w14:paraId="553FE515" w14:textId="77777777" w:rsidR="00A704AA" w:rsidRDefault="00A704AA" w:rsidP="0046000D">
      <w:pPr>
        <w:rPr>
          <w:b/>
        </w:rPr>
      </w:pPr>
      <w:bookmarkStart w:id="7" w:name="_Toc105997484"/>
      <w:bookmarkStart w:id="8" w:name="_Toc105997553"/>
    </w:p>
    <w:p w14:paraId="0F442D66" w14:textId="77777777" w:rsidR="00A704AA" w:rsidRDefault="00A704AA" w:rsidP="0046000D">
      <w:pPr>
        <w:rPr>
          <w:b/>
        </w:rPr>
      </w:pPr>
    </w:p>
    <w:p w14:paraId="458E6291" w14:textId="77777777" w:rsidR="0046000D" w:rsidRPr="003A11A4" w:rsidRDefault="0046000D" w:rsidP="0046000D">
      <w:r w:rsidRPr="003A11A4">
        <w:rPr>
          <w:b/>
        </w:rPr>
        <w:t>Authors:</w:t>
      </w:r>
      <w:bookmarkEnd w:id="7"/>
      <w:bookmarkEnd w:id="8"/>
    </w:p>
    <w:p w14:paraId="02683D94" w14:textId="77777777" w:rsidR="00EE57BF" w:rsidRPr="00D13ADD" w:rsidRDefault="00EE57BF" w:rsidP="00EE57BF">
      <w:r w:rsidRPr="00D13ADD">
        <w:t>Professor Max Abbott</w:t>
      </w:r>
    </w:p>
    <w:p w14:paraId="740F15A1" w14:textId="77777777" w:rsidR="00EE57BF" w:rsidRPr="00D13ADD" w:rsidRDefault="00EE57BF" w:rsidP="00EE57BF">
      <w:r w:rsidRPr="00D13ADD">
        <w:t>Dr Maria Bellringer</w:t>
      </w:r>
    </w:p>
    <w:p w14:paraId="01BDAA8B" w14:textId="77777777" w:rsidR="00EE57BF" w:rsidRDefault="00EE57BF" w:rsidP="00EE57BF">
      <w:r>
        <w:t>Dr Nick Garrett</w:t>
      </w:r>
    </w:p>
    <w:p w14:paraId="64445403" w14:textId="77777777" w:rsidR="002D130C" w:rsidRDefault="002D130C" w:rsidP="00EE57BF"/>
    <w:p w14:paraId="2C57D5CE" w14:textId="77777777" w:rsidR="002D130C" w:rsidRDefault="002D130C" w:rsidP="00EE57BF">
      <w:pPr>
        <w:sectPr w:rsidR="002D130C" w:rsidSect="00FA2DE1">
          <w:headerReference w:type="default" r:id="rId8"/>
          <w:pgSz w:w="11906" w:h="16838"/>
          <w:pgMar w:top="1440" w:right="1800" w:bottom="1440" w:left="1800" w:header="708" w:footer="708" w:gutter="0"/>
          <w:pgNumType w:start="1"/>
          <w:cols w:space="708"/>
          <w:docGrid w:linePitch="360"/>
        </w:sectPr>
      </w:pPr>
    </w:p>
    <w:p w14:paraId="40B1FABB" w14:textId="77777777" w:rsidR="0046000D" w:rsidRPr="000C265D" w:rsidRDefault="0046000D" w:rsidP="00F25301">
      <w:pPr>
        <w:pStyle w:val="RepOther"/>
      </w:pPr>
      <w:bookmarkStart w:id="9" w:name="_Toc504488326"/>
      <w:r w:rsidRPr="000C265D">
        <w:lastRenderedPageBreak/>
        <w:t>ACKNOWLEDGEMENTS</w:t>
      </w:r>
      <w:bookmarkEnd w:id="9"/>
    </w:p>
    <w:p w14:paraId="06ECA8EF" w14:textId="77777777" w:rsidR="0046000D" w:rsidRPr="00EE57BF" w:rsidRDefault="0046000D" w:rsidP="00D70F6D">
      <w:pPr>
        <w:pStyle w:val="RepNormal"/>
      </w:pPr>
    </w:p>
    <w:p w14:paraId="401999DD" w14:textId="77777777" w:rsidR="00EE57BF" w:rsidRPr="00EE57BF" w:rsidRDefault="00EE57BF" w:rsidP="00EE57BF">
      <w:pPr>
        <w:jc w:val="both"/>
        <w:rPr>
          <w:szCs w:val="22"/>
        </w:rPr>
      </w:pPr>
      <w:r w:rsidRPr="00EE57BF">
        <w:rPr>
          <w:szCs w:val="22"/>
        </w:rPr>
        <w:t xml:space="preserve">This report has been prepared by the Gambling and Addictions Research Centre, National Institute for Public Health and Mental Health Research, School of Public Health and Psychosocial Studies, Faculty of Health and Environmental Sciences, Auckland University of Technology, Private Bag 92006, Auckland 1142, New Zealand. </w:t>
      </w:r>
    </w:p>
    <w:p w14:paraId="3130803D" w14:textId="77777777" w:rsidR="00EE57BF" w:rsidRPr="00EE57BF" w:rsidRDefault="00EE57BF" w:rsidP="00EE57BF">
      <w:pPr>
        <w:jc w:val="both"/>
        <w:rPr>
          <w:szCs w:val="22"/>
        </w:rPr>
      </w:pPr>
    </w:p>
    <w:p w14:paraId="2CB46C8B" w14:textId="77777777" w:rsidR="00EE57BF" w:rsidRPr="00EE57BF" w:rsidRDefault="00EE57BF" w:rsidP="00EE57BF">
      <w:pPr>
        <w:jc w:val="both"/>
        <w:rPr>
          <w:szCs w:val="22"/>
        </w:rPr>
      </w:pPr>
      <w:r w:rsidRPr="00EE57BF">
        <w:rPr>
          <w:szCs w:val="22"/>
        </w:rPr>
        <w:t xml:space="preserve">The authors are highly appreciative of, and would like to thank, the National Research Bureau (NRB) who led and conducted the field work.  </w:t>
      </w:r>
      <w:r w:rsidR="009B1813">
        <w:rPr>
          <w:szCs w:val="22"/>
        </w:rPr>
        <w:t xml:space="preserve">For four consecutive years, </w:t>
      </w:r>
      <w:r w:rsidRPr="00EE57BF">
        <w:rPr>
          <w:szCs w:val="22"/>
        </w:rPr>
        <w:t xml:space="preserve">NRB </w:t>
      </w:r>
      <w:r w:rsidR="009B1813">
        <w:rPr>
          <w:szCs w:val="22"/>
        </w:rPr>
        <w:t xml:space="preserve">has </w:t>
      </w:r>
      <w:r w:rsidRPr="00EE57BF">
        <w:rPr>
          <w:szCs w:val="22"/>
        </w:rPr>
        <w:t>contact</w:t>
      </w:r>
      <w:r w:rsidR="009B1813">
        <w:rPr>
          <w:szCs w:val="22"/>
        </w:rPr>
        <w:t>ed</w:t>
      </w:r>
      <w:r w:rsidRPr="00EE57BF">
        <w:rPr>
          <w:szCs w:val="22"/>
        </w:rPr>
        <w:t xml:space="preserve"> and interview</w:t>
      </w:r>
      <w:r w:rsidR="009B1813">
        <w:rPr>
          <w:szCs w:val="22"/>
        </w:rPr>
        <w:t>ed</w:t>
      </w:r>
      <w:r w:rsidRPr="00EE57BF">
        <w:rPr>
          <w:szCs w:val="22"/>
        </w:rPr>
        <w:t xml:space="preserve"> participants, and maintain</w:t>
      </w:r>
      <w:r w:rsidR="009B1813">
        <w:rPr>
          <w:szCs w:val="22"/>
        </w:rPr>
        <w:t>ed</w:t>
      </w:r>
      <w:r w:rsidRPr="00EE57BF">
        <w:rPr>
          <w:szCs w:val="22"/>
        </w:rPr>
        <w:t xml:space="preserve"> the study database.  Without NRB’s commitment to the study, this research would not have been possible.  </w:t>
      </w:r>
      <w:r w:rsidR="009B1813">
        <w:rPr>
          <w:szCs w:val="22"/>
        </w:rPr>
        <w:t>Special</w:t>
      </w:r>
      <w:r w:rsidRPr="00EE57BF">
        <w:rPr>
          <w:szCs w:val="22"/>
        </w:rPr>
        <w:t xml:space="preserve"> thanks go to Ken Sutton, Janette Simpson, Andy Heinemann and the team of field workers at NRB.</w:t>
      </w:r>
    </w:p>
    <w:p w14:paraId="20B4D5CF" w14:textId="77777777" w:rsidR="00EE57BF" w:rsidRPr="00EE57BF" w:rsidRDefault="00EE57BF" w:rsidP="00EE57BF">
      <w:pPr>
        <w:jc w:val="both"/>
        <w:rPr>
          <w:szCs w:val="22"/>
        </w:rPr>
      </w:pPr>
    </w:p>
    <w:p w14:paraId="547B1A59" w14:textId="62908C53" w:rsidR="00EE57BF" w:rsidRPr="00EE57BF" w:rsidRDefault="00EE57BF" w:rsidP="00EE57BF">
      <w:pPr>
        <w:jc w:val="both"/>
        <w:rPr>
          <w:szCs w:val="22"/>
        </w:rPr>
      </w:pPr>
      <w:r w:rsidRPr="00EE57BF">
        <w:rPr>
          <w:szCs w:val="22"/>
        </w:rPr>
        <w:t xml:space="preserve">Sincere thanks are also due to Professor Denise Wilson who advised on Māori cultural aspects throughout the study; Rebecca Coombes and Hannah Thorne who managed the study at the Gambling and Addictions Research Centre from initiation until mid-2013; </w:t>
      </w:r>
      <w:r w:rsidR="009B1813">
        <w:rPr>
          <w:szCs w:val="22"/>
        </w:rPr>
        <w:t xml:space="preserve">Dr Stuart Mundy-McPherson who assisted in the conduct of the study from 2013 to 2016; </w:t>
      </w:r>
      <w:r w:rsidRPr="00EE57BF">
        <w:rPr>
          <w:szCs w:val="22"/>
        </w:rPr>
        <w:t xml:space="preserve">and to </w:t>
      </w:r>
      <w:r w:rsidR="0019185E" w:rsidRPr="0019185E">
        <w:rPr>
          <w:szCs w:val="22"/>
        </w:rPr>
        <w:t>Professor David Hodgins</w:t>
      </w:r>
      <w:r w:rsidRPr="0019185E">
        <w:rPr>
          <w:szCs w:val="22"/>
        </w:rPr>
        <w:t xml:space="preserve"> and </w:t>
      </w:r>
      <w:r w:rsidR="0019185E" w:rsidRPr="0019185E">
        <w:rPr>
          <w:szCs w:val="22"/>
        </w:rPr>
        <w:t>Christine</w:t>
      </w:r>
      <w:r w:rsidR="0019185E">
        <w:rPr>
          <w:szCs w:val="22"/>
        </w:rPr>
        <w:t xml:space="preserve"> Stone</w:t>
      </w:r>
      <w:r w:rsidRPr="00C356C5">
        <w:rPr>
          <w:szCs w:val="22"/>
        </w:rPr>
        <w:t xml:space="preserve"> w</w:t>
      </w:r>
      <w:r w:rsidRPr="00EE57BF">
        <w:rPr>
          <w:szCs w:val="22"/>
        </w:rPr>
        <w:t>ho peer reviewed the report and provided helpful comments.</w:t>
      </w:r>
      <w:r w:rsidR="00B003C0" w:rsidRPr="00B003C0">
        <w:rPr>
          <w:szCs w:val="22"/>
        </w:rPr>
        <w:t xml:space="preserve"> </w:t>
      </w:r>
      <w:r w:rsidR="00B003C0">
        <w:rPr>
          <w:szCs w:val="22"/>
        </w:rPr>
        <w:t xml:space="preserve"> </w:t>
      </w:r>
    </w:p>
    <w:p w14:paraId="11AEB25C" w14:textId="77777777" w:rsidR="00EE57BF" w:rsidRPr="00EE57BF" w:rsidRDefault="00EE57BF" w:rsidP="00EE57BF">
      <w:pPr>
        <w:jc w:val="both"/>
        <w:rPr>
          <w:szCs w:val="22"/>
        </w:rPr>
      </w:pPr>
    </w:p>
    <w:p w14:paraId="75FD27B8" w14:textId="77777777" w:rsidR="00EE57BF" w:rsidRPr="00EE57BF" w:rsidRDefault="00EE57BF" w:rsidP="00EE57BF">
      <w:pPr>
        <w:jc w:val="both"/>
        <w:rPr>
          <w:szCs w:val="22"/>
        </w:rPr>
      </w:pPr>
      <w:r w:rsidRPr="00EE57BF">
        <w:rPr>
          <w:szCs w:val="22"/>
        </w:rPr>
        <w:t xml:space="preserve">Grateful acknowledgement is made of all the </w:t>
      </w:r>
      <w:r w:rsidR="009B1813">
        <w:rPr>
          <w:szCs w:val="22"/>
        </w:rPr>
        <w:t>participants</w:t>
      </w:r>
      <w:r w:rsidRPr="00EE57BF">
        <w:rPr>
          <w:szCs w:val="22"/>
        </w:rPr>
        <w:t xml:space="preserve"> who </w:t>
      </w:r>
      <w:r w:rsidR="00B003C0">
        <w:rPr>
          <w:szCs w:val="22"/>
        </w:rPr>
        <w:t xml:space="preserve">have remained in the study and who </w:t>
      </w:r>
      <w:r w:rsidRPr="00EE57BF">
        <w:rPr>
          <w:szCs w:val="22"/>
        </w:rPr>
        <w:t xml:space="preserve">agreed to </w:t>
      </w:r>
      <w:r w:rsidR="00B003C0">
        <w:rPr>
          <w:szCs w:val="22"/>
        </w:rPr>
        <w:t xml:space="preserve">be </w:t>
      </w:r>
      <w:r w:rsidRPr="00EE57BF">
        <w:rPr>
          <w:szCs w:val="22"/>
        </w:rPr>
        <w:t>interview</w:t>
      </w:r>
      <w:r w:rsidR="00B003C0">
        <w:rPr>
          <w:szCs w:val="22"/>
        </w:rPr>
        <w:t>ed</w:t>
      </w:r>
      <w:r w:rsidR="009B1813">
        <w:rPr>
          <w:szCs w:val="22"/>
        </w:rPr>
        <w:t xml:space="preserve"> for a fourth time</w:t>
      </w:r>
      <w:r w:rsidRPr="00EE57BF">
        <w:rPr>
          <w:szCs w:val="22"/>
        </w:rPr>
        <w:t>.</w:t>
      </w:r>
      <w:r w:rsidR="0053031A">
        <w:rPr>
          <w:szCs w:val="22"/>
        </w:rPr>
        <w:t xml:space="preserve">  </w:t>
      </w:r>
    </w:p>
    <w:p w14:paraId="0BE9B5CF" w14:textId="77777777" w:rsidR="00EE57BF" w:rsidRPr="00EE57BF" w:rsidRDefault="00EE57BF" w:rsidP="00EE57BF">
      <w:pPr>
        <w:jc w:val="both"/>
        <w:rPr>
          <w:szCs w:val="22"/>
        </w:rPr>
      </w:pPr>
    </w:p>
    <w:p w14:paraId="1FF07256" w14:textId="77777777" w:rsidR="00EE57BF" w:rsidRPr="00EE57BF" w:rsidRDefault="00EE57BF" w:rsidP="00EE57BF">
      <w:pPr>
        <w:jc w:val="both"/>
        <w:rPr>
          <w:szCs w:val="22"/>
        </w:rPr>
      </w:pPr>
    </w:p>
    <w:p w14:paraId="665F0031" w14:textId="77777777" w:rsidR="00EE57BF" w:rsidRPr="00EE57BF" w:rsidRDefault="00EE57BF" w:rsidP="00EE57BF">
      <w:pPr>
        <w:pStyle w:val="RepNormal"/>
        <w:rPr>
          <w:rFonts w:cs="Times New Roman"/>
          <w:i/>
        </w:rPr>
      </w:pPr>
      <w:r w:rsidRPr="00EE57BF">
        <w:rPr>
          <w:rFonts w:cs="Times New Roman"/>
          <w:b/>
          <w:i/>
        </w:rPr>
        <w:t>Disclaimer</w:t>
      </w:r>
    </w:p>
    <w:p w14:paraId="6597456B" w14:textId="77777777" w:rsidR="00EE57BF" w:rsidRPr="00EE57BF" w:rsidRDefault="00EE57BF" w:rsidP="00EE57BF">
      <w:pPr>
        <w:pStyle w:val="RepNormal"/>
        <w:rPr>
          <w:rFonts w:cs="Times New Roman"/>
        </w:rPr>
      </w:pPr>
    </w:p>
    <w:p w14:paraId="774F101B" w14:textId="77777777" w:rsidR="00EE57BF" w:rsidRPr="00EE57BF" w:rsidRDefault="00EE57BF" w:rsidP="00EE57BF">
      <w:pPr>
        <w:pStyle w:val="RepNormal"/>
        <w:rPr>
          <w:rFonts w:cs="Times New Roman"/>
        </w:rPr>
      </w:pPr>
      <w:r w:rsidRPr="00EE57BF">
        <w:rPr>
          <w:rFonts w:cs="Times New Roman"/>
        </w:rPr>
        <w:t>This report was prepared under contract to the New Zealand Ministry of Health.  The copyright in this article is owned by the Crown and administered by the Ministry.  The views of the authors do not necessarily represent the views or policy of the New Zealand Ministry of Health.  The Ministry makes no warranty, express or implied, nor assumes any liability or responsibility for use of</w:t>
      </w:r>
      <w:r w:rsidR="009A43B4">
        <w:rPr>
          <w:rFonts w:cs="Times New Roman"/>
        </w:rPr>
        <w:t>,</w:t>
      </w:r>
      <w:r w:rsidRPr="00EE57BF">
        <w:rPr>
          <w:rFonts w:cs="Times New Roman"/>
        </w:rPr>
        <w:t xml:space="preserve"> or reliance on</w:t>
      </w:r>
      <w:r w:rsidR="009A43B4">
        <w:rPr>
          <w:rFonts w:cs="Times New Roman"/>
        </w:rPr>
        <w:t>,</w:t>
      </w:r>
      <w:r w:rsidRPr="00EE57BF">
        <w:rPr>
          <w:rFonts w:cs="Times New Roman"/>
        </w:rPr>
        <w:t xml:space="preserve"> the contents of this report.</w:t>
      </w:r>
    </w:p>
    <w:p w14:paraId="2F29CDC7" w14:textId="77777777" w:rsidR="00EE57BF" w:rsidRPr="0053031A" w:rsidRDefault="00EE57BF" w:rsidP="00D70F6D">
      <w:pPr>
        <w:pStyle w:val="RepNormal"/>
        <w:jc w:val="center"/>
        <w:rPr>
          <w:sz w:val="20"/>
        </w:rPr>
      </w:pPr>
    </w:p>
    <w:p w14:paraId="71C80968" w14:textId="77777777" w:rsidR="00EE57BF" w:rsidRPr="0053031A" w:rsidRDefault="00EE57BF" w:rsidP="00EE57BF">
      <w:pPr>
        <w:rPr>
          <w:lang w:eastAsia="en-US"/>
        </w:rPr>
      </w:pPr>
    </w:p>
    <w:p w14:paraId="221DCAE0" w14:textId="77777777" w:rsidR="0053031A" w:rsidRDefault="0053031A" w:rsidP="00EE57BF">
      <w:pPr>
        <w:rPr>
          <w:lang w:eastAsia="en-US"/>
        </w:rPr>
      </w:pPr>
      <w:r w:rsidRPr="0053031A">
        <w:rPr>
          <w:b/>
          <w:i/>
          <w:lang w:eastAsia="en-US"/>
        </w:rPr>
        <w:t>Suggested citation</w:t>
      </w:r>
    </w:p>
    <w:p w14:paraId="6BFCC305" w14:textId="77777777" w:rsidR="0053031A" w:rsidRDefault="0053031A" w:rsidP="00EE57BF">
      <w:pPr>
        <w:rPr>
          <w:lang w:eastAsia="en-US"/>
        </w:rPr>
      </w:pPr>
    </w:p>
    <w:p w14:paraId="5AD29A3D" w14:textId="7490BB3B" w:rsidR="0053031A" w:rsidRPr="0053031A" w:rsidRDefault="0053031A" w:rsidP="0053031A">
      <w:pPr>
        <w:jc w:val="both"/>
        <w:rPr>
          <w:lang w:eastAsia="en-US"/>
        </w:rPr>
      </w:pPr>
      <w:r>
        <w:rPr>
          <w:lang w:eastAsia="en-US"/>
        </w:rPr>
        <w:t xml:space="preserve">Abbott, M., Bellringer, M., </w:t>
      </w:r>
      <w:r w:rsidR="009B1813">
        <w:rPr>
          <w:lang w:eastAsia="en-US"/>
        </w:rPr>
        <w:t xml:space="preserve">&amp; </w:t>
      </w:r>
      <w:r>
        <w:rPr>
          <w:lang w:eastAsia="en-US"/>
        </w:rPr>
        <w:t>Garrett, N. (</w:t>
      </w:r>
      <w:r w:rsidR="00626D50" w:rsidRPr="00626D50">
        <w:rPr>
          <w:lang w:eastAsia="en-US"/>
        </w:rPr>
        <w:t>2018</w:t>
      </w:r>
      <w:r>
        <w:rPr>
          <w:lang w:eastAsia="en-US"/>
        </w:rPr>
        <w:t xml:space="preserve">). </w:t>
      </w:r>
      <w:r>
        <w:rPr>
          <w:i/>
          <w:lang w:eastAsia="en-US"/>
        </w:rPr>
        <w:t>New Zealand National Gambling Study:</w:t>
      </w:r>
      <w:r w:rsidR="009B1813">
        <w:rPr>
          <w:i/>
          <w:lang w:eastAsia="en-US"/>
        </w:rPr>
        <w:t xml:space="preserve"> Wave 4</w:t>
      </w:r>
      <w:r w:rsidR="004B5D03">
        <w:rPr>
          <w:i/>
          <w:lang w:eastAsia="en-US"/>
        </w:rPr>
        <w:t xml:space="preserve"> (201</w:t>
      </w:r>
      <w:r w:rsidR="009B1813">
        <w:rPr>
          <w:i/>
          <w:lang w:eastAsia="en-US"/>
        </w:rPr>
        <w:t>5</w:t>
      </w:r>
      <w:r w:rsidR="004B5D03">
        <w:rPr>
          <w:i/>
          <w:lang w:eastAsia="en-US"/>
        </w:rPr>
        <w:t xml:space="preserve">).  Report </w:t>
      </w:r>
      <w:r w:rsidR="004B5D03" w:rsidRPr="009B1813">
        <w:rPr>
          <w:i/>
          <w:lang w:eastAsia="en-US"/>
        </w:rPr>
        <w:t>number 6</w:t>
      </w:r>
      <w:r w:rsidRPr="009B1813">
        <w:rPr>
          <w:lang w:eastAsia="en-US"/>
        </w:rPr>
        <w:t>.</w:t>
      </w:r>
      <w:r>
        <w:rPr>
          <w:lang w:eastAsia="en-US"/>
        </w:rPr>
        <w:t xml:space="preserve">  Auckland: Auckland University of Technology, Gambling and Addictions Research Centre.</w:t>
      </w:r>
    </w:p>
    <w:p w14:paraId="5C740713" w14:textId="77777777" w:rsidR="00EE57BF" w:rsidRPr="0053031A" w:rsidRDefault="00EE57BF" w:rsidP="00D70F6D">
      <w:pPr>
        <w:pStyle w:val="RepNormal"/>
        <w:jc w:val="center"/>
        <w:rPr>
          <w:sz w:val="20"/>
        </w:rPr>
      </w:pPr>
    </w:p>
    <w:p w14:paraId="6A4059D6" w14:textId="77777777" w:rsidR="00EE57BF" w:rsidRPr="0053031A" w:rsidRDefault="00EE57BF" w:rsidP="00D70F6D">
      <w:pPr>
        <w:pStyle w:val="RepNormal"/>
        <w:jc w:val="center"/>
        <w:rPr>
          <w:sz w:val="20"/>
        </w:rPr>
      </w:pPr>
    </w:p>
    <w:p w14:paraId="41C36333" w14:textId="77777777" w:rsidR="00EE57BF" w:rsidRDefault="00EE57BF" w:rsidP="00EE57BF">
      <w:pPr>
        <w:pStyle w:val="RepNormal"/>
        <w:tabs>
          <w:tab w:val="left" w:pos="4984"/>
        </w:tabs>
        <w:jc w:val="left"/>
      </w:pPr>
      <w:r>
        <w:tab/>
      </w:r>
    </w:p>
    <w:p w14:paraId="7FC16A0C" w14:textId="77777777" w:rsidR="0046000D" w:rsidRPr="000C265D" w:rsidRDefault="0046000D" w:rsidP="00D70F6D">
      <w:pPr>
        <w:pStyle w:val="RepNormal"/>
        <w:jc w:val="center"/>
        <w:rPr>
          <w:b/>
        </w:rPr>
      </w:pPr>
      <w:r w:rsidRPr="00EE57BF">
        <w:br w:type="page"/>
      </w:r>
      <w:r w:rsidRPr="00F0205F">
        <w:rPr>
          <w:b/>
        </w:rPr>
        <w:lastRenderedPageBreak/>
        <w:t>CONTENTS</w:t>
      </w:r>
    </w:p>
    <w:p w14:paraId="3A0E5C59" w14:textId="77777777" w:rsidR="0046000D" w:rsidRPr="00705718" w:rsidRDefault="0046000D" w:rsidP="0046000D">
      <w:pPr>
        <w:rPr>
          <w:sz w:val="16"/>
          <w:szCs w:val="16"/>
        </w:rPr>
      </w:pPr>
    </w:p>
    <w:p w14:paraId="4436509D" w14:textId="77777777" w:rsidR="00735553" w:rsidRDefault="000D1CF7">
      <w:pPr>
        <w:pStyle w:val="TOC1"/>
        <w:tabs>
          <w:tab w:val="right" w:leader="dot" w:pos="8296"/>
        </w:tabs>
        <w:rPr>
          <w:rFonts w:asciiTheme="minorHAnsi" w:eastAsiaTheme="minorEastAsia" w:hAnsiTheme="minorHAnsi" w:cstheme="minorBidi"/>
          <w:noProof/>
          <w:szCs w:val="22"/>
          <w:lang w:eastAsia="en-NZ"/>
        </w:rPr>
      </w:pPr>
      <w:r>
        <w:rPr>
          <w:szCs w:val="22"/>
        </w:rPr>
        <w:fldChar w:fldCharType="begin"/>
      </w:r>
      <w:r>
        <w:rPr>
          <w:szCs w:val="22"/>
        </w:rPr>
        <w:instrText xml:space="preserve"> TOC \o "1-3" \h \z \t "Rep_Other,1" </w:instrText>
      </w:r>
      <w:r>
        <w:rPr>
          <w:szCs w:val="22"/>
        </w:rPr>
        <w:fldChar w:fldCharType="separate"/>
      </w:r>
      <w:hyperlink w:anchor="_Toc504488326" w:history="1">
        <w:r w:rsidR="00735553" w:rsidRPr="00F77A30">
          <w:rPr>
            <w:rStyle w:val="Hyperlink"/>
            <w:noProof/>
          </w:rPr>
          <w:t>ACKNOWLEDGEMENTS</w:t>
        </w:r>
        <w:r w:rsidR="00735553">
          <w:rPr>
            <w:noProof/>
            <w:webHidden/>
          </w:rPr>
          <w:tab/>
        </w:r>
        <w:r w:rsidR="00735553">
          <w:rPr>
            <w:noProof/>
            <w:webHidden/>
          </w:rPr>
          <w:fldChar w:fldCharType="begin"/>
        </w:r>
        <w:r w:rsidR="00735553">
          <w:rPr>
            <w:noProof/>
            <w:webHidden/>
          </w:rPr>
          <w:instrText xml:space="preserve"> PAGEREF _Toc504488326 \h </w:instrText>
        </w:r>
        <w:r w:rsidR="00735553">
          <w:rPr>
            <w:noProof/>
            <w:webHidden/>
          </w:rPr>
        </w:r>
        <w:r w:rsidR="00735553">
          <w:rPr>
            <w:noProof/>
            <w:webHidden/>
          </w:rPr>
          <w:fldChar w:fldCharType="separate"/>
        </w:r>
        <w:r w:rsidR="00D5752E">
          <w:rPr>
            <w:noProof/>
            <w:webHidden/>
          </w:rPr>
          <w:t>1</w:t>
        </w:r>
        <w:r w:rsidR="00735553">
          <w:rPr>
            <w:noProof/>
            <w:webHidden/>
          </w:rPr>
          <w:fldChar w:fldCharType="end"/>
        </w:r>
      </w:hyperlink>
    </w:p>
    <w:p w14:paraId="72BF75BE"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327" w:history="1">
        <w:r w:rsidR="00735553" w:rsidRPr="00F77A30">
          <w:rPr>
            <w:rStyle w:val="Hyperlink"/>
            <w:noProof/>
          </w:rPr>
          <w:t>EXECUTIVE SUMMARY</w:t>
        </w:r>
        <w:r w:rsidR="00735553">
          <w:rPr>
            <w:noProof/>
            <w:webHidden/>
          </w:rPr>
          <w:tab/>
        </w:r>
        <w:r w:rsidR="00735553">
          <w:rPr>
            <w:noProof/>
            <w:webHidden/>
          </w:rPr>
          <w:fldChar w:fldCharType="begin"/>
        </w:r>
        <w:r w:rsidR="00735553">
          <w:rPr>
            <w:noProof/>
            <w:webHidden/>
          </w:rPr>
          <w:instrText xml:space="preserve"> PAGEREF _Toc504488327 \h </w:instrText>
        </w:r>
        <w:r w:rsidR="00735553">
          <w:rPr>
            <w:noProof/>
            <w:webHidden/>
          </w:rPr>
        </w:r>
        <w:r w:rsidR="00735553">
          <w:rPr>
            <w:noProof/>
            <w:webHidden/>
          </w:rPr>
          <w:fldChar w:fldCharType="separate"/>
        </w:r>
        <w:r>
          <w:rPr>
            <w:noProof/>
            <w:webHidden/>
          </w:rPr>
          <w:t>6</w:t>
        </w:r>
        <w:r w:rsidR="00735553">
          <w:rPr>
            <w:noProof/>
            <w:webHidden/>
          </w:rPr>
          <w:fldChar w:fldCharType="end"/>
        </w:r>
      </w:hyperlink>
    </w:p>
    <w:p w14:paraId="3614EAA4" w14:textId="77777777" w:rsidR="00735553" w:rsidRDefault="00D5752E">
      <w:pPr>
        <w:pStyle w:val="TOC1"/>
        <w:tabs>
          <w:tab w:val="left" w:pos="480"/>
          <w:tab w:val="right" w:leader="dot" w:pos="8296"/>
        </w:tabs>
        <w:rPr>
          <w:rFonts w:asciiTheme="minorHAnsi" w:eastAsiaTheme="minorEastAsia" w:hAnsiTheme="minorHAnsi" w:cstheme="minorBidi"/>
          <w:noProof/>
          <w:szCs w:val="22"/>
          <w:lang w:eastAsia="en-NZ"/>
        </w:rPr>
      </w:pPr>
      <w:hyperlink w:anchor="_Toc504488328" w:history="1">
        <w:r w:rsidR="00735553" w:rsidRPr="00F77A30">
          <w:rPr>
            <w:rStyle w:val="Hyperlink"/>
            <w:noProof/>
          </w:rPr>
          <w:t>1</w:t>
        </w:r>
        <w:r w:rsidR="00735553">
          <w:rPr>
            <w:rFonts w:asciiTheme="minorHAnsi" w:eastAsiaTheme="minorEastAsia" w:hAnsiTheme="minorHAnsi" w:cstheme="minorBidi"/>
            <w:noProof/>
            <w:szCs w:val="22"/>
            <w:lang w:eastAsia="en-NZ"/>
          </w:rPr>
          <w:tab/>
        </w:r>
        <w:r w:rsidR="00735553" w:rsidRPr="00F77A30">
          <w:rPr>
            <w:rStyle w:val="Hyperlink"/>
            <w:noProof/>
          </w:rPr>
          <w:t>OVERVIEW AND PURPOSE</w:t>
        </w:r>
        <w:r w:rsidR="00735553">
          <w:rPr>
            <w:noProof/>
            <w:webHidden/>
          </w:rPr>
          <w:tab/>
        </w:r>
        <w:r w:rsidR="00735553">
          <w:rPr>
            <w:noProof/>
            <w:webHidden/>
          </w:rPr>
          <w:fldChar w:fldCharType="begin"/>
        </w:r>
        <w:r w:rsidR="00735553">
          <w:rPr>
            <w:noProof/>
            <w:webHidden/>
          </w:rPr>
          <w:instrText xml:space="preserve"> PAGEREF _Toc504488328 \h </w:instrText>
        </w:r>
        <w:r w:rsidR="00735553">
          <w:rPr>
            <w:noProof/>
            <w:webHidden/>
          </w:rPr>
        </w:r>
        <w:r w:rsidR="00735553">
          <w:rPr>
            <w:noProof/>
            <w:webHidden/>
          </w:rPr>
          <w:fldChar w:fldCharType="separate"/>
        </w:r>
        <w:r>
          <w:rPr>
            <w:noProof/>
            <w:webHidden/>
          </w:rPr>
          <w:t>13</w:t>
        </w:r>
        <w:r w:rsidR="00735553">
          <w:rPr>
            <w:noProof/>
            <w:webHidden/>
          </w:rPr>
          <w:fldChar w:fldCharType="end"/>
        </w:r>
      </w:hyperlink>
    </w:p>
    <w:p w14:paraId="5B7A6FB7" w14:textId="77777777" w:rsidR="00735553" w:rsidRDefault="00D5752E">
      <w:pPr>
        <w:pStyle w:val="TOC2"/>
        <w:tabs>
          <w:tab w:val="left" w:pos="960"/>
          <w:tab w:val="right" w:leader="dot" w:pos="8296"/>
        </w:tabs>
        <w:rPr>
          <w:rFonts w:asciiTheme="minorHAnsi" w:eastAsiaTheme="minorEastAsia" w:hAnsiTheme="minorHAnsi" w:cstheme="minorBidi"/>
          <w:noProof/>
          <w:szCs w:val="22"/>
          <w:lang w:eastAsia="en-NZ"/>
        </w:rPr>
      </w:pPr>
      <w:hyperlink w:anchor="_Toc504488329" w:history="1">
        <w:r w:rsidR="00735553" w:rsidRPr="00F77A30">
          <w:rPr>
            <w:rStyle w:val="Hyperlink"/>
            <w:noProof/>
          </w:rPr>
          <w:t>1.1</w:t>
        </w:r>
        <w:r w:rsidR="00735553">
          <w:rPr>
            <w:rFonts w:asciiTheme="minorHAnsi" w:eastAsiaTheme="minorEastAsia" w:hAnsiTheme="minorHAnsi" w:cstheme="minorBidi"/>
            <w:noProof/>
            <w:szCs w:val="22"/>
            <w:lang w:eastAsia="en-NZ"/>
          </w:rPr>
          <w:tab/>
        </w:r>
        <w:r w:rsidR="00735553" w:rsidRPr="00F77A30">
          <w:rPr>
            <w:rStyle w:val="Hyperlink"/>
            <w:noProof/>
          </w:rPr>
          <w:t>Introduction</w:t>
        </w:r>
        <w:r w:rsidR="00735553">
          <w:rPr>
            <w:noProof/>
            <w:webHidden/>
          </w:rPr>
          <w:tab/>
        </w:r>
        <w:r w:rsidR="00735553">
          <w:rPr>
            <w:noProof/>
            <w:webHidden/>
          </w:rPr>
          <w:fldChar w:fldCharType="begin"/>
        </w:r>
        <w:r w:rsidR="00735553">
          <w:rPr>
            <w:noProof/>
            <w:webHidden/>
          </w:rPr>
          <w:instrText xml:space="preserve"> PAGEREF _Toc504488329 \h </w:instrText>
        </w:r>
        <w:r w:rsidR="00735553">
          <w:rPr>
            <w:noProof/>
            <w:webHidden/>
          </w:rPr>
        </w:r>
        <w:r w:rsidR="00735553">
          <w:rPr>
            <w:noProof/>
            <w:webHidden/>
          </w:rPr>
          <w:fldChar w:fldCharType="separate"/>
        </w:r>
        <w:r>
          <w:rPr>
            <w:noProof/>
            <w:webHidden/>
          </w:rPr>
          <w:t>13</w:t>
        </w:r>
        <w:r w:rsidR="00735553">
          <w:rPr>
            <w:noProof/>
            <w:webHidden/>
          </w:rPr>
          <w:fldChar w:fldCharType="end"/>
        </w:r>
      </w:hyperlink>
    </w:p>
    <w:p w14:paraId="031CAD08" w14:textId="77777777" w:rsidR="00735553" w:rsidRDefault="00D5752E">
      <w:pPr>
        <w:pStyle w:val="TOC2"/>
        <w:tabs>
          <w:tab w:val="left" w:pos="960"/>
          <w:tab w:val="right" w:leader="dot" w:pos="8296"/>
        </w:tabs>
        <w:rPr>
          <w:rFonts w:asciiTheme="minorHAnsi" w:eastAsiaTheme="minorEastAsia" w:hAnsiTheme="minorHAnsi" w:cstheme="minorBidi"/>
          <w:noProof/>
          <w:szCs w:val="22"/>
          <w:lang w:eastAsia="en-NZ"/>
        </w:rPr>
      </w:pPr>
      <w:hyperlink w:anchor="_Toc504488330" w:history="1">
        <w:r w:rsidR="00735553" w:rsidRPr="00F77A30">
          <w:rPr>
            <w:rStyle w:val="Hyperlink"/>
            <w:noProof/>
          </w:rPr>
          <w:t>1.2</w:t>
        </w:r>
        <w:r w:rsidR="00735553">
          <w:rPr>
            <w:rFonts w:asciiTheme="minorHAnsi" w:eastAsiaTheme="minorEastAsia" w:hAnsiTheme="minorHAnsi" w:cstheme="minorBidi"/>
            <w:noProof/>
            <w:szCs w:val="22"/>
            <w:lang w:eastAsia="en-NZ"/>
          </w:rPr>
          <w:tab/>
        </w:r>
        <w:r w:rsidR="00735553" w:rsidRPr="00F77A30">
          <w:rPr>
            <w:rStyle w:val="Hyperlink"/>
            <w:noProof/>
          </w:rPr>
          <w:t>Study objectives</w:t>
        </w:r>
        <w:r w:rsidR="00735553">
          <w:rPr>
            <w:noProof/>
            <w:webHidden/>
          </w:rPr>
          <w:tab/>
        </w:r>
        <w:r w:rsidR="00735553">
          <w:rPr>
            <w:noProof/>
            <w:webHidden/>
          </w:rPr>
          <w:fldChar w:fldCharType="begin"/>
        </w:r>
        <w:r w:rsidR="00735553">
          <w:rPr>
            <w:noProof/>
            <w:webHidden/>
          </w:rPr>
          <w:instrText xml:space="preserve"> PAGEREF _Toc504488330 \h </w:instrText>
        </w:r>
        <w:r w:rsidR="00735553">
          <w:rPr>
            <w:noProof/>
            <w:webHidden/>
          </w:rPr>
        </w:r>
        <w:r w:rsidR="00735553">
          <w:rPr>
            <w:noProof/>
            <w:webHidden/>
          </w:rPr>
          <w:fldChar w:fldCharType="separate"/>
        </w:r>
        <w:r>
          <w:rPr>
            <w:noProof/>
            <w:webHidden/>
          </w:rPr>
          <w:t>13</w:t>
        </w:r>
        <w:r w:rsidR="00735553">
          <w:rPr>
            <w:noProof/>
            <w:webHidden/>
          </w:rPr>
          <w:fldChar w:fldCharType="end"/>
        </w:r>
      </w:hyperlink>
    </w:p>
    <w:p w14:paraId="7E26AE72" w14:textId="77777777" w:rsidR="00735553" w:rsidRDefault="00D5752E">
      <w:pPr>
        <w:pStyle w:val="TOC2"/>
        <w:tabs>
          <w:tab w:val="left" w:pos="960"/>
          <w:tab w:val="right" w:leader="dot" w:pos="8296"/>
        </w:tabs>
        <w:rPr>
          <w:rFonts w:asciiTheme="minorHAnsi" w:eastAsiaTheme="minorEastAsia" w:hAnsiTheme="minorHAnsi" w:cstheme="minorBidi"/>
          <w:noProof/>
          <w:szCs w:val="22"/>
          <w:lang w:eastAsia="en-NZ"/>
        </w:rPr>
      </w:pPr>
      <w:hyperlink w:anchor="_Toc504488331" w:history="1">
        <w:r w:rsidR="00735553" w:rsidRPr="00F77A30">
          <w:rPr>
            <w:rStyle w:val="Hyperlink"/>
            <w:noProof/>
          </w:rPr>
          <w:t>1.3</w:t>
        </w:r>
        <w:r w:rsidR="00735553">
          <w:rPr>
            <w:rFonts w:asciiTheme="minorHAnsi" w:eastAsiaTheme="minorEastAsia" w:hAnsiTheme="minorHAnsi" w:cstheme="minorBidi"/>
            <w:noProof/>
            <w:szCs w:val="22"/>
            <w:lang w:eastAsia="en-NZ"/>
          </w:rPr>
          <w:tab/>
        </w:r>
        <w:r w:rsidR="00735553" w:rsidRPr="00F77A30">
          <w:rPr>
            <w:rStyle w:val="Hyperlink"/>
            <w:noProof/>
          </w:rPr>
          <w:t>Background</w:t>
        </w:r>
        <w:r w:rsidR="00735553">
          <w:rPr>
            <w:noProof/>
            <w:webHidden/>
          </w:rPr>
          <w:tab/>
        </w:r>
        <w:r w:rsidR="00735553">
          <w:rPr>
            <w:noProof/>
            <w:webHidden/>
          </w:rPr>
          <w:fldChar w:fldCharType="begin"/>
        </w:r>
        <w:r w:rsidR="00735553">
          <w:rPr>
            <w:noProof/>
            <w:webHidden/>
          </w:rPr>
          <w:instrText xml:space="preserve"> PAGEREF _Toc504488331 \h </w:instrText>
        </w:r>
        <w:r w:rsidR="00735553">
          <w:rPr>
            <w:noProof/>
            <w:webHidden/>
          </w:rPr>
        </w:r>
        <w:r w:rsidR="00735553">
          <w:rPr>
            <w:noProof/>
            <w:webHidden/>
          </w:rPr>
          <w:fldChar w:fldCharType="separate"/>
        </w:r>
        <w:r>
          <w:rPr>
            <w:noProof/>
            <w:webHidden/>
          </w:rPr>
          <w:t>14</w:t>
        </w:r>
        <w:r w:rsidR="00735553">
          <w:rPr>
            <w:noProof/>
            <w:webHidden/>
          </w:rPr>
          <w:fldChar w:fldCharType="end"/>
        </w:r>
      </w:hyperlink>
    </w:p>
    <w:p w14:paraId="2CFF4181" w14:textId="77777777" w:rsidR="00735553" w:rsidRDefault="00D5752E">
      <w:pPr>
        <w:pStyle w:val="TOC1"/>
        <w:tabs>
          <w:tab w:val="left" w:pos="480"/>
          <w:tab w:val="right" w:leader="dot" w:pos="8296"/>
        </w:tabs>
        <w:rPr>
          <w:rFonts w:asciiTheme="minorHAnsi" w:eastAsiaTheme="minorEastAsia" w:hAnsiTheme="minorHAnsi" w:cstheme="minorBidi"/>
          <w:noProof/>
          <w:szCs w:val="22"/>
          <w:lang w:eastAsia="en-NZ"/>
        </w:rPr>
      </w:pPr>
      <w:hyperlink w:anchor="_Toc504488332" w:history="1">
        <w:r w:rsidR="00735553" w:rsidRPr="00F77A30">
          <w:rPr>
            <w:rStyle w:val="Hyperlink"/>
            <w:noProof/>
          </w:rPr>
          <w:t>2</w:t>
        </w:r>
        <w:r w:rsidR="00735553">
          <w:rPr>
            <w:rFonts w:asciiTheme="minorHAnsi" w:eastAsiaTheme="minorEastAsia" w:hAnsiTheme="minorHAnsi" w:cstheme="minorBidi"/>
            <w:noProof/>
            <w:szCs w:val="22"/>
            <w:lang w:eastAsia="en-NZ"/>
          </w:rPr>
          <w:tab/>
        </w:r>
        <w:r w:rsidR="00735553" w:rsidRPr="00F77A30">
          <w:rPr>
            <w:rStyle w:val="Hyperlink"/>
            <w:noProof/>
          </w:rPr>
          <w:t>RESEARCH METHODS</w:t>
        </w:r>
        <w:r w:rsidR="00735553">
          <w:rPr>
            <w:noProof/>
            <w:webHidden/>
          </w:rPr>
          <w:tab/>
        </w:r>
        <w:r w:rsidR="00735553">
          <w:rPr>
            <w:noProof/>
            <w:webHidden/>
          </w:rPr>
          <w:fldChar w:fldCharType="begin"/>
        </w:r>
        <w:r w:rsidR="00735553">
          <w:rPr>
            <w:noProof/>
            <w:webHidden/>
          </w:rPr>
          <w:instrText xml:space="preserve"> PAGEREF _Toc504488332 \h </w:instrText>
        </w:r>
        <w:r w:rsidR="00735553">
          <w:rPr>
            <w:noProof/>
            <w:webHidden/>
          </w:rPr>
        </w:r>
        <w:r w:rsidR="00735553">
          <w:rPr>
            <w:noProof/>
            <w:webHidden/>
          </w:rPr>
          <w:fldChar w:fldCharType="separate"/>
        </w:r>
        <w:r>
          <w:rPr>
            <w:noProof/>
            <w:webHidden/>
          </w:rPr>
          <w:t>28</w:t>
        </w:r>
        <w:r w:rsidR="00735553">
          <w:rPr>
            <w:noProof/>
            <w:webHidden/>
          </w:rPr>
          <w:fldChar w:fldCharType="end"/>
        </w:r>
      </w:hyperlink>
    </w:p>
    <w:p w14:paraId="5780C69B" w14:textId="77777777" w:rsidR="00735553" w:rsidRDefault="00D5752E">
      <w:pPr>
        <w:pStyle w:val="TOC2"/>
        <w:tabs>
          <w:tab w:val="left" w:pos="960"/>
          <w:tab w:val="right" w:leader="dot" w:pos="8296"/>
        </w:tabs>
        <w:rPr>
          <w:rFonts w:asciiTheme="minorHAnsi" w:eastAsiaTheme="minorEastAsia" w:hAnsiTheme="minorHAnsi" w:cstheme="minorBidi"/>
          <w:noProof/>
          <w:szCs w:val="22"/>
          <w:lang w:eastAsia="en-NZ"/>
        </w:rPr>
      </w:pPr>
      <w:hyperlink w:anchor="_Toc504488333" w:history="1">
        <w:r w:rsidR="00735553" w:rsidRPr="00F77A30">
          <w:rPr>
            <w:rStyle w:val="Hyperlink"/>
            <w:noProof/>
          </w:rPr>
          <w:t>2.1</w:t>
        </w:r>
        <w:r w:rsidR="00735553">
          <w:rPr>
            <w:rFonts w:asciiTheme="minorHAnsi" w:eastAsiaTheme="minorEastAsia" w:hAnsiTheme="minorHAnsi" w:cstheme="minorBidi"/>
            <w:noProof/>
            <w:szCs w:val="22"/>
            <w:lang w:eastAsia="en-NZ"/>
          </w:rPr>
          <w:tab/>
        </w:r>
        <w:r w:rsidR="00735553" w:rsidRPr="00F77A30">
          <w:rPr>
            <w:rStyle w:val="Hyperlink"/>
            <w:noProof/>
          </w:rPr>
          <w:t>Ethics approval</w:t>
        </w:r>
        <w:r w:rsidR="00735553">
          <w:rPr>
            <w:noProof/>
            <w:webHidden/>
          </w:rPr>
          <w:tab/>
        </w:r>
        <w:r w:rsidR="00735553">
          <w:rPr>
            <w:noProof/>
            <w:webHidden/>
          </w:rPr>
          <w:fldChar w:fldCharType="begin"/>
        </w:r>
        <w:r w:rsidR="00735553">
          <w:rPr>
            <w:noProof/>
            <w:webHidden/>
          </w:rPr>
          <w:instrText xml:space="preserve"> PAGEREF _Toc504488333 \h </w:instrText>
        </w:r>
        <w:r w:rsidR="00735553">
          <w:rPr>
            <w:noProof/>
            <w:webHidden/>
          </w:rPr>
        </w:r>
        <w:r w:rsidR="00735553">
          <w:rPr>
            <w:noProof/>
            <w:webHidden/>
          </w:rPr>
          <w:fldChar w:fldCharType="separate"/>
        </w:r>
        <w:r>
          <w:rPr>
            <w:noProof/>
            <w:webHidden/>
          </w:rPr>
          <w:t>28</w:t>
        </w:r>
        <w:r w:rsidR="00735553">
          <w:rPr>
            <w:noProof/>
            <w:webHidden/>
          </w:rPr>
          <w:fldChar w:fldCharType="end"/>
        </w:r>
      </w:hyperlink>
    </w:p>
    <w:p w14:paraId="025012DC" w14:textId="77777777" w:rsidR="00735553" w:rsidRDefault="00D5752E">
      <w:pPr>
        <w:pStyle w:val="TOC2"/>
        <w:tabs>
          <w:tab w:val="left" w:pos="960"/>
          <w:tab w:val="right" w:leader="dot" w:pos="8296"/>
        </w:tabs>
        <w:rPr>
          <w:rFonts w:asciiTheme="minorHAnsi" w:eastAsiaTheme="minorEastAsia" w:hAnsiTheme="minorHAnsi" w:cstheme="minorBidi"/>
          <w:noProof/>
          <w:szCs w:val="22"/>
          <w:lang w:eastAsia="en-NZ"/>
        </w:rPr>
      </w:pPr>
      <w:hyperlink w:anchor="_Toc504488334" w:history="1">
        <w:r w:rsidR="00735553" w:rsidRPr="00F77A30">
          <w:rPr>
            <w:rStyle w:val="Hyperlink"/>
            <w:noProof/>
          </w:rPr>
          <w:t>2.2</w:t>
        </w:r>
        <w:r w:rsidR="00735553">
          <w:rPr>
            <w:rFonts w:asciiTheme="minorHAnsi" w:eastAsiaTheme="minorEastAsia" w:hAnsiTheme="minorHAnsi" w:cstheme="minorBidi"/>
            <w:noProof/>
            <w:szCs w:val="22"/>
            <w:lang w:eastAsia="en-NZ"/>
          </w:rPr>
          <w:tab/>
        </w:r>
        <w:r w:rsidR="00735553" w:rsidRPr="00F77A30">
          <w:rPr>
            <w:rStyle w:val="Hyperlink"/>
            <w:noProof/>
          </w:rPr>
          <w:t>Survey instrument</w:t>
        </w:r>
        <w:r w:rsidR="00735553">
          <w:rPr>
            <w:noProof/>
            <w:webHidden/>
          </w:rPr>
          <w:tab/>
        </w:r>
        <w:r w:rsidR="00735553">
          <w:rPr>
            <w:noProof/>
            <w:webHidden/>
          </w:rPr>
          <w:fldChar w:fldCharType="begin"/>
        </w:r>
        <w:r w:rsidR="00735553">
          <w:rPr>
            <w:noProof/>
            <w:webHidden/>
          </w:rPr>
          <w:instrText xml:space="preserve"> PAGEREF _Toc504488334 \h </w:instrText>
        </w:r>
        <w:r w:rsidR="00735553">
          <w:rPr>
            <w:noProof/>
            <w:webHidden/>
          </w:rPr>
        </w:r>
        <w:r w:rsidR="00735553">
          <w:rPr>
            <w:noProof/>
            <w:webHidden/>
          </w:rPr>
          <w:fldChar w:fldCharType="separate"/>
        </w:r>
        <w:r>
          <w:rPr>
            <w:noProof/>
            <w:webHidden/>
          </w:rPr>
          <w:t>28</w:t>
        </w:r>
        <w:r w:rsidR="00735553">
          <w:rPr>
            <w:noProof/>
            <w:webHidden/>
          </w:rPr>
          <w:fldChar w:fldCharType="end"/>
        </w:r>
      </w:hyperlink>
    </w:p>
    <w:p w14:paraId="54F040A3" w14:textId="77777777" w:rsidR="00735553" w:rsidRDefault="00D5752E">
      <w:pPr>
        <w:pStyle w:val="TOC2"/>
        <w:tabs>
          <w:tab w:val="left" w:pos="960"/>
          <w:tab w:val="right" w:leader="dot" w:pos="8296"/>
        </w:tabs>
        <w:rPr>
          <w:rFonts w:asciiTheme="minorHAnsi" w:eastAsiaTheme="minorEastAsia" w:hAnsiTheme="minorHAnsi" w:cstheme="minorBidi"/>
          <w:noProof/>
          <w:szCs w:val="22"/>
          <w:lang w:eastAsia="en-NZ"/>
        </w:rPr>
      </w:pPr>
      <w:hyperlink w:anchor="_Toc504488335" w:history="1">
        <w:r w:rsidR="00735553" w:rsidRPr="00F77A30">
          <w:rPr>
            <w:rStyle w:val="Hyperlink"/>
            <w:noProof/>
          </w:rPr>
          <w:t>2.3</w:t>
        </w:r>
        <w:r w:rsidR="00735553">
          <w:rPr>
            <w:rFonts w:asciiTheme="minorHAnsi" w:eastAsiaTheme="minorEastAsia" w:hAnsiTheme="minorHAnsi" w:cstheme="minorBidi"/>
            <w:noProof/>
            <w:szCs w:val="22"/>
            <w:lang w:eastAsia="en-NZ"/>
          </w:rPr>
          <w:tab/>
        </w:r>
        <w:r w:rsidR="00735553" w:rsidRPr="00F77A30">
          <w:rPr>
            <w:rStyle w:val="Hyperlink"/>
            <w:noProof/>
          </w:rPr>
          <w:t>Overview of the survey methodology</w:t>
        </w:r>
        <w:r w:rsidR="00735553">
          <w:rPr>
            <w:noProof/>
            <w:webHidden/>
          </w:rPr>
          <w:tab/>
        </w:r>
        <w:r w:rsidR="00735553">
          <w:rPr>
            <w:noProof/>
            <w:webHidden/>
          </w:rPr>
          <w:fldChar w:fldCharType="begin"/>
        </w:r>
        <w:r w:rsidR="00735553">
          <w:rPr>
            <w:noProof/>
            <w:webHidden/>
          </w:rPr>
          <w:instrText xml:space="preserve"> PAGEREF _Toc504488335 \h </w:instrText>
        </w:r>
        <w:r w:rsidR="00735553">
          <w:rPr>
            <w:noProof/>
            <w:webHidden/>
          </w:rPr>
        </w:r>
        <w:r w:rsidR="00735553">
          <w:rPr>
            <w:noProof/>
            <w:webHidden/>
          </w:rPr>
          <w:fldChar w:fldCharType="separate"/>
        </w:r>
        <w:r>
          <w:rPr>
            <w:noProof/>
            <w:webHidden/>
          </w:rPr>
          <w:t>29</w:t>
        </w:r>
        <w:r w:rsidR="00735553">
          <w:rPr>
            <w:noProof/>
            <w:webHidden/>
          </w:rPr>
          <w:fldChar w:fldCharType="end"/>
        </w:r>
      </w:hyperlink>
    </w:p>
    <w:p w14:paraId="1FEC8855"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36" w:history="1">
        <w:r w:rsidR="00735553" w:rsidRPr="00F77A30">
          <w:rPr>
            <w:rStyle w:val="Hyperlink"/>
            <w:noProof/>
          </w:rPr>
          <w:t>2.3.1</w:t>
        </w:r>
        <w:r w:rsidR="00735553">
          <w:rPr>
            <w:rFonts w:asciiTheme="minorHAnsi" w:eastAsiaTheme="minorEastAsia" w:hAnsiTheme="minorHAnsi" w:cstheme="minorBidi"/>
            <w:i w:val="0"/>
            <w:noProof/>
            <w:szCs w:val="22"/>
            <w:lang w:eastAsia="en-NZ"/>
          </w:rPr>
          <w:tab/>
        </w:r>
        <w:r w:rsidR="00735553" w:rsidRPr="00F77A30">
          <w:rPr>
            <w:rStyle w:val="Hyperlink"/>
            <w:noProof/>
          </w:rPr>
          <w:t>Baseline (Wave 1 assessment)</w:t>
        </w:r>
        <w:r w:rsidR="00735553">
          <w:rPr>
            <w:noProof/>
            <w:webHidden/>
          </w:rPr>
          <w:tab/>
        </w:r>
        <w:r w:rsidR="00735553">
          <w:rPr>
            <w:noProof/>
            <w:webHidden/>
          </w:rPr>
          <w:fldChar w:fldCharType="begin"/>
        </w:r>
        <w:r w:rsidR="00735553">
          <w:rPr>
            <w:noProof/>
            <w:webHidden/>
          </w:rPr>
          <w:instrText xml:space="preserve"> PAGEREF _Toc504488336 \h </w:instrText>
        </w:r>
        <w:r w:rsidR="00735553">
          <w:rPr>
            <w:noProof/>
            <w:webHidden/>
          </w:rPr>
        </w:r>
        <w:r w:rsidR="00735553">
          <w:rPr>
            <w:noProof/>
            <w:webHidden/>
          </w:rPr>
          <w:fldChar w:fldCharType="separate"/>
        </w:r>
        <w:r>
          <w:rPr>
            <w:noProof/>
            <w:webHidden/>
          </w:rPr>
          <w:t>29</w:t>
        </w:r>
        <w:r w:rsidR="00735553">
          <w:rPr>
            <w:noProof/>
            <w:webHidden/>
          </w:rPr>
          <w:fldChar w:fldCharType="end"/>
        </w:r>
      </w:hyperlink>
    </w:p>
    <w:p w14:paraId="5036EA90"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37" w:history="1">
        <w:r w:rsidR="00735553" w:rsidRPr="00F77A30">
          <w:rPr>
            <w:rStyle w:val="Hyperlink"/>
            <w:noProof/>
          </w:rPr>
          <w:t>2.3.2</w:t>
        </w:r>
        <w:r w:rsidR="00735553">
          <w:rPr>
            <w:rFonts w:asciiTheme="minorHAnsi" w:eastAsiaTheme="minorEastAsia" w:hAnsiTheme="minorHAnsi" w:cstheme="minorBidi"/>
            <w:i w:val="0"/>
            <w:noProof/>
            <w:szCs w:val="22"/>
            <w:lang w:eastAsia="en-NZ"/>
          </w:rPr>
          <w:tab/>
        </w:r>
        <w:r w:rsidR="00735553" w:rsidRPr="00F77A30">
          <w:rPr>
            <w:rStyle w:val="Hyperlink"/>
            <w:noProof/>
          </w:rPr>
          <w:t>Follow-up assessments (Wave 2 to Wave 4)</w:t>
        </w:r>
        <w:r w:rsidR="00735553">
          <w:rPr>
            <w:noProof/>
            <w:webHidden/>
          </w:rPr>
          <w:tab/>
        </w:r>
        <w:r w:rsidR="00735553">
          <w:rPr>
            <w:noProof/>
            <w:webHidden/>
          </w:rPr>
          <w:fldChar w:fldCharType="begin"/>
        </w:r>
        <w:r w:rsidR="00735553">
          <w:rPr>
            <w:noProof/>
            <w:webHidden/>
          </w:rPr>
          <w:instrText xml:space="preserve"> PAGEREF _Toc504488337 \h </w:instrText>
        </w:r>
        <w:r w:rsidR="00735553">
          <w:rPr>
            <w:noProof/>
            <w:webHidden/>
          </w:rPr>
        </w:r>
        <w:r w:rsidR="00735553">
          <w:rPr>
            <w:noProof/>
            <w:webHidden/>
          </w:rPr>
          <w:fldChar w:fldCharType="separate"/>
        </w:r>
        <w:r>
          <w:rPr>
            <w:noProof/>
            <w:webHidden/>
          </w:rPr>
          <w:t>30</w:t>
        </w:r>
        <w:r w:rsidR="00735553">
          <w:rPr>
            <w:noProof/>
            <w:webHidden/>
          </w:rPr>
          <w:fldChar w:fldCharType="end"/>
        </w:r>
      </w:hyperlink>
    </w:p>
    <w:p w14:paraId="65D16D4D" w14:textId="77777777" w:rsidR="00735553" w:rsidRDefault="00D5752E">
      <w:pPr>
        <w:pStyle w:val="TOC2"/>
        <w:tabs>
          <w:tab w:val="left" w:pos="960"/>
          <w:tab w:val="right" w:leader="dot" w:pos="8296"/>
        </w:tabs>
        <w:rPr>
          <w:rFonts w:asciiTheme="minorHAnsi" w:eastAsiaTheme="minorEastAsia" w:hAnsiTheme="minorHAnsi" w:cstheme="minorBidi"/>
          <w:noProof/>
          <w:szCs w:val="22"/>
          <w:lang w:eastAsia="en-NZ"/>
        </w:rPr>
      </w:pPr>
      <w:hyperlink w:anchor="_Toc504488338" w:history="1">
        <w:r w:rsidR="00735553" w:rsidRPr="00F77A30">
          <w:rPr>
            <w:rStyle w:val="Hyperlink"/>
            <w:noProof/>
          </w:rPr>
          <w:t>2.4</w:t>
        </w:r>
        <w:r w:rsidR="00735553">
          <w:rPr>
            <w:rFonts w:asciiTheme="minorHAnsi" w:eastAsiaTheme="minorEastAsia" w:hAnsiTheme="minorHAnsi" w:cstheme="minorBidi"/>
            <w:noProof/>
            <w:szCs w:val="22"/>
            <w:lang w:eastAsia="en-NZ"/>
          </w:rPr>
          <w:tab/>
        </w:r>
        <w:r w:rsidR="00735553" w:rsidRPr="00F77A30">
          <w:rPr>
            <w:rStyle w:val="Hyperlink"/>
            <w:noProof/>
          </w:rPr>
          <w:t>Survey population</w:t>
        </w:r>
        <w:r w:rsidR="00735553">
          <w:rPr>
            <w:noProof/>
            <w:webHidden/>
          </w:rPr>
          <w:tab/>
        </w:r>
        <w:r w:rsidR="00735553">
          <w:rPr>
            <w:noProof/>
            <w:webHidden/>
          </w:rPr>
          <w:fldChar w:fldCharType="begin"/>
        </w:r>
        <w:r w:rsidR="00735553">
          <w:rPr>
            <w:noProof/>
            <w:webHidden/>
          </w:rPr>
          <w:instrText xml:space="preserve"> PAGEREF _Toc504488338 \h </w:instrText>
        </w:r>
        <w:r w:rsidR="00735553">
          <w:rPr>
            <w:noProof/>
            <w:webHidden/>
          </w:rPr>
        </w:r>
        <w:r w:rsidR="00735553">
          <w:rPr>
            <w:noProof/>
            <w:webHidden/>
          </w:rPr>
          <w:fldChar w:fldCharType="separate"/>
        </w:r>
        <w:r>
          <w:rPr>
            <w:noProof/>
            <w:webHidden/>
          </w:rPr>
          <w:t>30</w:t>
        </w:r>
        <w:r w:rsidR="00735553">
          <w:rPr>
            <w:noProof/>
            <w:webHidden/>
          </w:rPr>
          <w:fldChar w:fldCharType="end"/>
        </w:r>
      </w:hyperlink>
    </w:p>
    <w:p w14:paraId="2E5B1EC1"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39" w:history="1">
        <w:r w:rsidR="00735553" w:rsidRPr="00F77A30">
          <w:rPr>
            <w:rStyle w:val="Hyperlink"/>
            <w:noProof/>
          </w:rPr>
          <w:t>2.4.1</w:t>
        </w:r>
        <w:r w:rsidR="00735553">
          <w:rPr>
            <w:rFonts w:asciiTheme="minorHAnsi" w:eastAsiaTheme="minorEastAsia" w:hAnsiTheme="minorHAnsi" w:cstheme="minorBidi"/>
            <w:i w:val="0"/>
            <w:noProof/>
            <w:szCs w:val="22"/>
            <w:lang w:eastAsia="en-NZ"/>
          </w:rPr>
          <w:tab/>
        </w:r>
        <w:r w:rsidR="00735553" w:rsidRPr="00F77A30">
          <w:rPr>
            <w:rStyle w:val="Hyperlink"/>
            <w:noProof/>
          </w:rPr>
          <w:t>Sample size</w:t>
        </w:r>
        <w:r w:rsidR="00735553">
          <w:rPr>
            <w:noProof/>
            <w:webHidden/>
          </w:rPr>
          <w:tab/>
        </w:r>
        <w:r w:rsidR="00735553">
          <w:rPr>
            <w:noProof/>
            <w:webHidden/>
          </w:rPr>
          <w:fldChar w:fldCharType="begin"/>
        </w:r>
        <w:r w:rsidR="00735553">
          <w:rPr>
            <w:noProof/>
            <w:webHidden/>
          </w:rPr>
          <w:instrText xml:space="preserve"> PAGEREF _Toc504488339 \h </w:instrText>
        </w:r>
        <w:r w:rsidR="00735553">
          <w:rPr>
            <w:noProof/>
            <w:webHidden/>
          </w:rPr>
        </w:r>
        <w:r w:rsidR="00735553">
          <w:rPr>
            <w:noProof/>
            <w:webHidden/>
          </w:rPr>
          <w:fldChar w:fldCharType="separate"/>
        </w:r>
        <w:r>
          <w:rPr>
            <w:noProof/>
            <w:webHidden/>
          </w:rPr>
          <w:t>30</w:t>
        </w:r>
        <w:r w:rsidR="00735553">
          <w:rPr>
            <w:noProof/>
            <w:webHidden/>
          </w:rPr>
          <w:fldChar w:fldCharType="end"/>
        </w:r>
      </w:hyperlink>
    </w:p>
    <w:p w14:paraId="78B7AEA6"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40" w:history="1">
        <w:r w:rsidR="00735553" w:rsidRPr="00F77A30">
          <w:rPr>
            <w:rStyle w:val="Hyperlink"/>
            <w:noProof/>
          </w:rPr>
          <w:t>2.4.2</w:t>
        </w:r>
        <w:r w:rsidR="00735553">
          <w:rPr>
            <w:rFonts w:asciiTheme="minorHAnsi" w:eastAsiaTheme="minorEastAsia" w:hAnsiTheme="minorHAnsi" w:cstheme="minorBidi"/>
            <w:i w:val="0"/>
            <w:noProof/>
            <w:szCs w:val="22"/>
            <w:lang w:eastAsia="en-NZ"/>
          </w:rPr>
          <w:tab/>
        </w:r>
        <w:r w:rsidR="00735553" w:rsidRPr="00F77A30">
          <w:rPr>
            <w:rStyle w:val="Hyperlink"/>
            <w:noProof/>
          </w:rPr>
          <w:t>Sample composition by gender and age groups</w:t>
        </w:r>
        <w:r w:rsidR="00735553">
          <w:rPr>
            <w:noProof/>
            <w:webHidden/>
          </w:rPr>
          <w:tab/>
        </w:r>
        <w:r w:rsidR="00735553">
          <w:rPr>
            <w:noProof/>
            <w:webHidden/>
          </w:rPr>
          <w:fldChar w:fldCharType="begin"/>
        </w:r>
        <w:r w:rsidR="00735553">
          <w:rPr>
            <w:noProof/>
            <w:webHidden/>
          </w:rPr>
          <w:instrText xml:space="preserve"> PAGEREF _Toc504488340 \h </w:instrText>
        </w:r>
        <w:r w:rsidR="00735553">
          <w:rPr>
            <w:noProof/>
            <w:webHidden/>
          </w:rPr>
        </w:r>
        <w:r w:rsidR="00735553">
          <w:rPr>
            <w:noProof/>
            <w:webHidden/>
          </w:rPr>
          <w:fldChar w:fldCharType="separate"/>
        </w:r>
        <w:r>
          <w:rPr>
            <w:noProof/>
            <w:webHidden/>
          </w:rPr>
          <w:t>32</w:t>
        </w:r>
        <w:r w:rsidR="00735553">
          <w:rPr>
            <w:noProof/>
            <w:webHidden/>
          </w:rPr>
          <w:fldChar w:fldCharType="end"/>
        </w:r>
      </w:hyperlink>
    </w:p>
    <w:p w14:paraId="39B3FCA8"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41" w:history="1">
        <w:r w:rsidR="00735553" w:rsidRPr="00F77A30">
          <w:rPr>
            <w:rStyle w:val="Hyperlink"/>
            <w:noProof/>
          </w:rPr>
          <w:t>2.4.3</w:t>
        </w:r>
        <w:r w:rsidR="00735553">
          <w:rPr>
            <w:rFonts w:asciiTheme="minorHAnsi" w:eastAsiaTheme="minorEastAsia" w:hAnsiTheme="minorHAnsi" w:cstheme="minorBidi"/>
            <w:i w:val="0"/>
            <w:noProof/>
            <w:szCs w:val="22"/>
            <w:lang w:eastAsia="en-NZ"/>
          </w:rPr>
          <w:tab/>
        </w:r>
        <w:r w:rsidR="00735553" w:rsidRPr="00F77A30">
          <w:rPr>
            <w:rStyle w:val="Hyperlink"/>
            <w:noProof/>
          </w:rPr>
          <w:t>Sample composition by ethnicity</w:t>
        </w:r>
        <w:r w:rsidR="00735553">
          <w:rPr>
            <w:noProof/>
            <w:webHidden/>
          </w:rPr>
          <w:tab/>
        </w:r>
        <w:r w:rsidR="00735553">
          <w:rPr>
            <w:noProof/>
            <w:webHidden/>
          </w:rPr>
          <w:fldChar w:fldCharType="begin"/>
        </w:r>
        <w:r w:rsidR="00735553">
          <w:rPr>
            <w:noProof/>
            <w:webHidden/>
          </w:rPr>
          <w:instrText xml:space="preserve"> PAGEREF _Toc504488341 \h </w:instrText>
        </w:r>
        <w:r w:rsidR="00735553">
          <w:rPr>
            <w:noProof/>
            <w:webHidden/>
          </w:rPr>
        </w:r>
        <w:r w:rsidR="00735553">
          <w:rPr>
            <w:noProof/>
            <w:webHidden/>
          </w:rPr>
          <w:fldChar w:fldCharType="separate"/>
        </w:r>
        <w:r>
          <w:rPr>
            <w:noProof/>
            <w:webHidden/>
          </w:rPr>
          <w:t>32</w:t>
        </w:r>
        <w:r w:rsidR="00735553">
          <w:rPr>
            <w:noProof/>
            <w:webHidden/>
          </w:rPr>
          <w:fldChar w:fldCharType="end"/>
        </w:r>
      </w:hyperlink>
    </w:p>
    <w:p w14:paraId="48F097AA" w14:textId="77777777" w:rsidR="00735553" w:rsidRDefault="00D5752E">
      <w:pPr>
        <w:pStyle w:val="TOC2"/>
        <w:tabs>
          <w:tab w:val="left" w:pos="960"/>
          <w:tab w:val="right" w:leader="dot" w:pos="8296"/>
        </w:tabs>
        <w:rPr>
          <w:rFonts w:asciiTheme="minorHAnsi" w:eastAsiaTheme="minorEastAsia" w:hAnsiTheme="minorHAnsi" w:cstheme="minorBidi"/>
          <w:noProof/>
          <w:szCs w:val="22"/>
          <w:lang w:eastAsia="en-NZ"/>
        </w:rPr>
      </w:pPr>
      <w:hyperlink w:anchor="_Toc504488342" w:history="1">
        <w:r w:rsidR="00735553" w:rsidRPr="00F77A30">
          <w:rPr>
            <w:rStyle w:val="Hyperlink"/>
            <w:noProof/>
          </w:rPr>
          <w:t>2.5</w:t>
        </w:r>
        <w:r w:rsidR="00735553">
          <w:rPr>
            <w:rFonts w:asciiTheme="minorHAnsi" w:eastAsiaTheme="minorEastAsia" w:hAnsiTheme="minorHAnsi" w:cstheme="minorBidi"/>
            <w:noProof/>
            <w:szCs w:val="22"/>
            <w:lang w:eastAsia="en-NZ"/>
          </w:rPr>
          <w:tab/>
        </w:r>
        <w:r w:rsidR="00735553" w:rsidRPr="00F77A30">
          <w:rPr>
            <w:rStyle w:val="Hyperlink"/>
            <w:noProof/>
          </w:rPr>
          <w:t>Weighting</w:t>
        </w:r>
        <w:r w:rsidR="00735553">
          <w:rPr>
            <w:noProof/>
            <w:webHidden/>
          </w:rPr>
          <w:tab/>
        </w:r>
        <w:r w:rsidR="00735553">
          <w:rPr>
            <w:noProof/>
            <w:webHidden/>
          </w:rPr>
          <w:fldChar w:fldCharType="begin"/>
        </w:r>
        <w:r w:rsidR="00735553">
          <w:rPr>
            <w:noProof/>
            <w:webHidden/>
          </w:rPr>
          <w:instrText xml:space="preserve"> PAGEREF _Toc504488342 \h </w:instrText>
        </w:r>
        <w:r w:rsidR="00735553">
          <w:rPr>
            <w:noProof/>
            <w:webHidden/>
          </w:rPr>
        </w:r>
        <w:r w:rsidR="00735553">
          <w:rPr>
            <w:noProof/>
            <w:webHidden/>
          </w:rPr>
          <w:fldChar w:fldCharType="separate"/>
        </w:r>
        <w:r>
          <w:rPr>
            <w:noProof/>
            <w:webHidden/>
          </w:rPr>
          <w:t>33</w:t>
        </w:r>
        <w:r w:rsidR="00735553">
          <w:rPr>
            <w:noProof/>
            <w:webHidden/>
          </w:rPr>
          <w:fldChar w:fldCharType="end"/>
        </w:r>
      </w:hyperlink>
    </w:p>
    <w:p w14:paraId="50F73E68"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43" w:history="1">
        <w:r w:rsidR="00735553" w:rsidRPr="00F77A30">
          <w:rPr>
            <w:rStyle w:val="Hyperlink"/>
            <w:noProof/>
          </w:rPr>
          <w:t>2.5.1</w:t>
        </w:r>
        <w:r w:rsidR="00735553">
          <w:rPr>
            <w:rFonts w:asciiTheme="minorHAnsi" w:eastAsiaTheme="minorEastAsia" w:hAnsiTheme="minorHAnsi" w:cstheme="minorBidi"/>
            <w:i w:val="0"/>
            <w:noProof/>
            <w:szCs w:val="22"/>
            <w:lang w:eastAsia="en-NZ"/>
          </w:rPr>
          <w:tab/>
        </w:r>
        <w:r w:rsidR="00735553" w:rsidRPr="00F77A30">
          <w:rPr>
            <w:rStyle w:val="Hyperlink"/>
            <w:noProof/>
          </w:rPr>
          <w:t>Weighting</w:t>
        </w:r>
        <w:r w:rsidR="00735553">
          <w:rPr>
            <w:noProof/>
            <w:webHidden/>
          </w:rPr>
          <w:tab/>
        </w:r>
        <w:r w:rsidR="00735553">
          <w:rPr>
            <w:noProof/>
            <w:webHidden/>
          </w:rPr>
          <w:fldChar w:fldCharType="begin"/>
        </w:r>
        <w:r w:rsidR="00735553">
          <w:rPr>
            <w:noProof/>
            <w:webHidden/>
          </w:rPr>
          <w:instrText xml:space="preserve"> PAGEREF _Toc504488343 \h </w:instrText>
        </w:r>
        <w:r w:rsidR="00735553">
          <w:rPr>
            <w:noProof/>
            <w:webHidden/>
          </w:rPr>
        </w:r>
        <w:r w:rsidR="00735553">
          <w:rPr>
            <w:noProof/>
            <w:webHidden/>
          </w:rPr>
          <w:fldChar w:fldCharType="separate"/>
        </w:r>
        <w:r>
          <w:rPr>
            <w:noProof/>
            <w:webHidden/>
          </w:rPr>
          <w:t>33</w:t>
        </w:r>
        <w:r w:rsidR="00735553">
          <w:rPr>
            <w:noProof/>
            <w:webHidden/>
          </w:rPr>
          <w:fldChar w:fldCharType="end"/>
        </w:r>
      </w:hyperlink>
    </w:p>
    <w:p w14:paraId="3821F9F8"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44" w:history="1">
        <w:r w:rsidR="00735553" w:rsidRPr="00F77A30">
          <w:rPr>
            <w:rStyle w:val="Hyperlink"/>
            <w:noProof/>
          </w:rPr>
          <w:t>2.5.2</w:t>
        </w:r>
        <w:r w:rsidR="00735553">
          <w:rPr>
            <w:rFonts w:asciiTheme="minorHAnsi" w:eastAsiaTheme="minorEastAsia" w:hAnsiTheme="minorHAnsi" w:cstheme="minorBidi"/>
            <w:i w:val="0"/>
            <w:noProof/>
            <w:szCs w:val="22"/>
            <w:lang w:eastAsia="en-NZ"/>
          </w:rPr>
          <w:tab/>
        </w:r>
        <w:r w:rsidR="00735553" w:rsidRPr="00F77A30">
          <w:rPr>
            <w:rStyle w:val="Hyperlink"/>
            <w:noProof/>
          </w:rPr>
          <w:t>Census benchmark</w:t>
        </w:r>
        <w:r w:rsidR="00735553">
          <w:rPr>
            <w:noProof/>
            <w:webHidden/>
          </w:rPr>
          <w:tab/>
        </w:r>
        <w:r w:rsidR="00735553">
          <w:rPr>
            <w:noProof/>
            <w:webHidden/>
          </w:rPr>
          <w:fldChar w:fldCharType="begin"/>
        </w:r>
        <w:r w:rsidR="00735553">
          <w:rPr>
            <w:noProof/>
            <w:webHidden/>
          </w:rPr>
          <w:instrText xml:space="preserve"> PAGEREF _Toc504488344 \h </w:instrText>
        </w:r>
        <w:r w:rsidR="00735553">
          <w:rPr>
            <w:noProof/>
            <w:webHidden/>
          </w:rPr>
        </w:r>
        <w:r w:rsidR="00735553">
          <w:rPr>
            <w:noProof/>
            <w:webHidden/>
          </w:rPr>
          <w:fldChar w:fldCharType="separate"/>
        </w:r>
        <w:r>
          <w:rPr>
            <w:noProof/>
            <w:webHidden/>
          </w:rPr>
          <w:t>33</w:t>
        </w:r>
        <w:r w:rsidR="00735553">
          <w:rPr>
            <w:noProof/>
            <w:webHidden/>
          </w:rPr>
          <w:fldChar w:fldCharType="end"/>
        </w:r>
      </w:hyperlink>
    </w:p>
    <w:p w14:paraId="0A7F5EF0"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45" w:history="1">
        <w:r w:rsidR="00735553" w:rsidRPr="00F77A30">
          <w:rPr>
            <w:rStyle w:val="Hyperlink"/>
            <w:noProof/>
          </w:rPr>
          <w:t>2.5.3</w:t>
        </w:r>
        <w:r w:rsidR="00735553">
          <w:rPr>
            <w:rFonts w:asciiTheme="minorHAnsi" w:eastAsiaTheme="minorEastAsia" w:hAnsiTheme="minorHAnsi" w:cstheme="minorBidi"/>
            <w:i w:val="0"/>
            <w:noProof/>
            <w:szCs w:val="22"/>
            <w:lang w:eastAsia="en-NZ"/>
          </w:rPr>
          <w:tab/>
        </w:r>
        <w:r w:rsidR="00735553" w:rsidRPr="00F77A30">
          <w:rPr>
            <w:rStyle w:val="Hyperlink"/>
            <w:noProof/>
          </w:rPr>
          <w:t>Attrition-specific weights</w:t>
        </w:r>
        <w:r w:rsidR="00735553">
          <w:rPr>
            <w:noProof/>
            <w:webHidden/>
          </w:rPr>
          <w:tab/>
        </w:r>
        <w:r w:rsidR="00735553">
          <w:rPr>
            <w:noProof/>
            <w:webHidden/>
          </w:rPr>
          <w:fldChar w:fldCharType="begin"/>
        </w:r>
        <w:r w:rsidR="00735553">
          <w:rPr>
            <w:noProof/>
            <w:webHidden/>
          </w:rPr>
          <w:instrText xml:space="preserve"> PAGEREF _Toc504488345 \h </w:instrText>
        </w:r>
        <w:r w:rsidR="00735553">
          <w:rPr>
            <w:noProof/>
            <w:webHidden/>
          </w:rPr>
        </w:r>
        <w:r w:rsidR="00735553">
          <w:rPr>
            <w:noProof/>
            <w:webHidden/>
          </w:rPr>
          <w:fldChar w:fldCharType="separate"/>
        </w:r>
        <w:r>
          <w:rPr>
            <w:noProof/>
            <w:webHidden/>
          </w:rPr>
          <w:t>33</w:t>
        </w:r>
        <w:r w:rsidR="00735553">
          <w:rPr>
            <w:noProof/>
            <w:webHidden/>
          </w:rPr>
          <w:fldChar w:fldCharType="end"/>
        </w:r>
      </w:hyperlink>
    </w:p>
    <w:p w14:paraId="5369C75F" w14:textId="77777777" w:rsidR="00735553" w:rsidRDefault="00D5752E">
      <w:pPr>
        <w:pStyle w:val="TOC2"/>
        <w:tabs>
          <w:tab w:val="left" w:pos="960"/>
          <w:tab w:val="right" w:leader="dot" w:pos="8296"/>
        </w:tabs>
        <w:rPr>
          <w:rFonts w:asciiTheme="minorHAnsi" w:eastAsiaTheme="minorEastAsia" w:hAnsiTheme="minorHAnsi" w:cstheme="minorBidi"/>
          <w:noProof/>
          <w:szCs w:val="22"/>
          <w:lang w:eastAsia="en-NZ"/>
        </w:rPr>
      </w:pPr>
      <w:hyperlink w:anchor="_Toc504488346" w:history="1">
        <w:r w:rsidR="00735553" w:rsidRPr="00F77A30">
          <w:rPr>
            <w:rStyle w:val="Hyperlink"/>
            <w:noProof/>
          </w:rPr>
          <w:t>2.6</w:t>
        </w:r>
        <w:r w:rsidR="00735553">
          <w:rPr>
            <w:rFonts w:asciiTheme="minorHAnsi" w:eastAsiaTheme="minorEastAsia" w:hAnsiTheme="minorHAnsi" w:cstheme="minorBidi"/>
            <w:noProof/>
            <w:szCs w:val="22"/>
            <w:lang w:eastAsia="en-NZ"/>
          </w:rPr>
          <w:tab/>
        </w:r>
        <w:r w:rsidR="00735553" w:rsidRPr="00F77A30">
          <w:rPr>
            <w:rStyle w:val="Hyperlink"/>
            <w:noProof/>
          </w:rPr>
          <w:t>Data analysis</w:t>
        </w:r>
        <w:r w:rsidR="00735553">
          <w:rPr>
            <w:noProof/>
            <w:webHidden/>
          </w:rPr>
          <w:tab/>
        </w:r>
        <w:r w:rsidR="00735553">
          <w:rPr>
            <w:noProof/>
            <w:webHidden/>
          </w:rPr>
          <w:fldChar w:fldCharType="begin"/>
        </w:r>
        <w:r w:rsidR="00735553">
          <w:rPr>
            <w:noProof/>
            <w:webHidden/>
          </w:rPr>
          <w:instrText xml:space="preserve"> PAGEREF _Toc504488346 \h </w:instrText>
        </w:r>
        <w:r w:rsidR="00735553">
          <w:rPr>
            <w:noProof/>
            <w:webHidden/>
          </w:rPr>
        </w:r>
        <w:r w:rsidR="00735553">
          <w:rPr>
            <w:noProof/>
            <w:webHidden/>
          </w:rPr>
          <w:fldChar w:fldCharType="separate"/>
        </w:r>
        <w:r>
          <w:rPr>
            <w:noProof/>
            <w:webHidden/>
          </w:rPr>
          <w:t>34</w:t>
        </w:r>
        <w:r w:rsidR="00735553">
          <w:rPr>
            <w:noProof/>
            <w:webHidden/>
          </w:rPr>
          <w:fldChar w:fldCharType="end"/>
        </w:r>
      </w:hyperlink>
    </w:p>
    <w:p w14:paraId="1C126B78"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47" w:history="1">
        <w:r w:rsidR="00735553" w:rsidRPr="00F77A30">
          <w:rPr>
            <w:rStyle w:val="Hyperlink"/>
            <w:noProof/>
          </w:rPr>
          <w:t>2.6.1</w:t>
        </w:r>
        <w:r w:rsidR="00735553">
          <w:rPr>
            <w:rFonts w:asciiTheme="minorHAnsi" w:eastAsiaTheme="minorEastAsia" w:hAnsiTheme="minorHAnsi" w:cstheme="minorBidi"/>
            <w:i w:val="0"/>
            <w:noProof/>
            <w:szCs w:val="22"/>
            <w:lang w:eastAsia="en-NZ"/>
          </w:rPr>
          <w:tab/>
        </w:r>
        <w:r w:rsidR="00735553" w:rsidRPr="00F77A30">
          <w:rPr>
            <w:rStyle w:val="Hyperlink"/>
            <w:noProof/>
          </w:rPr>
          <w:t>Attrition analyses</w:t>
        </w:r>
        <w:r w:rsidR="00735553">
          <w:rPr>
            <w:noProof/>
            <w:webHidden/>
          </w:rPr>
          <w:tab/>
        </w:r>
        <w:r w:rsidR="00735553">
          <w:rPr>
            <w:noProof/>
            <w:webHidden/>
          </w:rPr>
          <w:fldChar w:fldCharType="begin"/>
        </w:r>
        <w:r w:rsidR="00735553">
          <w:rPr>
            <w:noProof/>
            <w:webHidden/>
          </w:rPr>
          <w:instrText xml:space="preserve"> PAGEREF _Toc504488347 \h </w:instrText>
        </w:r>
        <w:r w:rsidR="00735553">
          <w:rPr>
            <w:noProof/>
            <w:webHidden/>
          </w:rPr>
        </w:r>
        <w:r w:rsidR="00735553">
          <w:rPr>
            <w:noProof/>
            <w:webHidden/>
          </w:rPr>
          <w:fldChar w:fldCharType="separate"/>
        </w:r>
        <w:r>
          <w:rPr>
            <w:noProof/>
            <w:webHidden/>
          </w:rPr>
          <w:t>34</w:t>
        </w:r>
        <w:r w:rsidR="00735553">
          <w:rPr>
            <w:noProof/>
            <w:webHidden/>
          </w:rPr>
          <w:fldChar w:fldCharType="end"/>
        </w:r>
      </w:hyperlink>
    </w:p>
    <w:p w14:paraId="09B199E9"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48" w:history="1">
        <w:r w:rsidR="00735553" w:rsidRPr="00F77A30">
          <w:rPr>
            <w:rStyle w:val="Hyperlink"/>
            <w:noProof/>
          </w:rPr>
          <w:t>2.6.2</w:t>
        </w:r>
        <w:r w:rsidR="00735553">
          <w:rPr>
            <w:rFonts w:asciiTheme="minorHAnsi" w:eastAsiaTheme="minorEastAsia" w:hAnsiTheme="minorHAnsi" w:cstheme="minorBidi"/>
            <w:i w:val="0"/>
            <w:noProof/>
            <w:szCs w:val="22"/>
            <w:lang w:eastAsia="en-NZ"/>
          </w:rPr>
          <w:tab/>
        </w:r>
        <w:r w:rsidR="00735553" w:rsidRPr="00F77A30">
          <w:rPr>
            <w:rStyle w:val="Hyperlink"/>
            <w:noProof/>
          </w:rPr>
          <w:t>Descriptive statistics</w:t>
        </w:r>
        <w:r w:rsidR="00735553">
          <w:rPr>
            <w:noProof/>
            <w:webHidden/>
          </w:rPr>
          <w:tab/>
        </w:r>
        <w:r w:rsidR="00735553">
          <w:rPr>
            <w:noProof/>
            <w:webHidden/>
          </w:rPr>
          <w:fldChar w:fldCharType="begin"/>
        </w:r>
        <w:r w:rsidR="00735553">
          <w:rPr>
            <w:noProof/>
            <w:webHidden/>
          </w:rPr>
          <w:instrText xml:space="preserve"> PAGEREF _Toc504488348 \h </w:instrText>
        </w:r>
        <w:r w:rsidR="00735553">
          <w:rPr>
            <w:noProof/>
            <w:webHidden/>
          </w:rPr>
        </w:r>
        <w:r w:rsidR="00735553">
          <w:rPr>
            <w:noProof/>
            <w:webHidden/>
          </w:rPr>
          <w:fldChar w:fldCharType="separate"/>
        </w:r>
        <w:r>
          <w:rPr>
            <w:noProof/>
            <w:webHidden/>
          </w:rPr>
          <w:t>34</w:t>
        </w:r>
        <w:r w:rsidR="00735553">
          <w:rPr>
            <w:noProof/>
            <w:webHidden/>
          </w:rPr>
          <w:fldChar w:fldCharType="end"/>
        </w:r>
      </w:hyperlink>
    </w:p>
    <w:p w14:paraId="7D6A45C6"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49" w:history="1">
        <w:r w:rsidR="00735553" w:rsidRPr="00F77A30">
          <w:rPr>
            <w:rStyle w:val="Hyperlink"/>
            <w:noProof/>
          </w:rPr>
          <w:t>2.6.3</w:t>
        </w:r>
        <w:r w:rsidR="00735553">
          <w:rPr>
            <w:rFonts w:asciiTheme="minorHAnsi" w:eastAsiaTheme="minorEastAsia" w:hAnsiTheme="minorHAnsi" w:cstheme="minorBidi"/>
            <w:i w:val="0"/>
            <w:noProof/>
            <w:szCs w:val="22"/>
            <w:lang w:eastAsia="en-NZ"/>
          </w:rPr>
          <w:tab/>
        </w:r>
        <w:r w:rsidR="00735553" w:rsidRPr="00F77A30">
          <w:rPr>
            <w:rStyle w:val="Hyperlink"/>
            <w:noProof/>
          </w:rPr>
          <w:t>Inferential statistics</w:t>
        </w:r>
        <w:r w:rsidR="00735553">
          <w:rPr>
            <w:noProof/>
            <w:webHidden/>
          </w:rPr>
          <w:tab/>
        </w:r>
        <w:r w:rsidR="00735553">
          <w:rPr>
            <w:noProof/>
            <w:webHidden/>
          </w:rPr>
          <w:fldChar w:fldCharType="begin"/>
        </w:r>
        <w:r w:rsidR="00735553">
          <w:rPr>
            <w:noProof/>
            <w:webHidden/>
          </w:rPr>
          <w:instrText xml:space="preserve"> PAGEREF _Toc504488349 \h </w:instrText>
        </w:r>
        <w:r w:rsidR="00735553">
          <w:rPr>
            <w:noProof/>
            <w:webHidden/>
          </w:rPr>
        </w:r>
        <w:r w:rsidR="00735553">
          <w:rPr>
            <w:noProof/>
            <w:webHidden/>
          </w:rPr>
          <w:fldChar w:fldCharType="separate"/>
        </w:r>
        <w:r>
          <w:rPr>
            <w:noProof/>
            <w:webHidden/>
          </w:rPr>
          <w:t>35</w:t>
        </w:r>
        <w:r w:rsidR="00735553">
          <w:rPr>
            <w:noProof/>
            <w:webHidden/>
          </w:rPr>
          <w:fldChar w:fldCharType="end"/>
        </w:r>
      </w:hyperlink>
    </w:p>
    <w:p w14:paraId="7103BDBB"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50" w:history="1">
        <w:r w:rsidR="00735553" w:rsidRPr="00F77A30">
          <w:rPr>
            <w:rStyle w:val="Hyperlink"/>
            <w:noProof/>
          </w:rPr>
          <w:t>2.6.4</w:t>
        </w:r>
        <w:r w:rsidR="00735553">
          <w:rPr>
            <w:rFonts w:asciiTheme="minorHAnsi" w:eastAsiaTheme="minorEastAsia" w:hAnsiTheme="minorHAnsi" w:cstheme="minorBidi"/>
            <w:i w:val="0"/>
            <w:noProof/>
            <w:szCs w:val="22"/>
            <w:lang w:eastAsia="en-NZ"/>
          </w:rPr>
          <w:tab/>
        </w:r>
        <w:r w:rsidR="00735553" w:rsidRPr="00F77A30">
          <w:rPr>
            <w:rStyle w:val="Hyperlink"/>
            <w:noProof/>
          </w:rPr>
          <w:t>Inference on specific transitions</w:t>
        </w:r>
        <w:r w:rsidR="00735553">
          <w:rPr>
            <w:noProof/>
            <w:webHidden/>
          </w:rPr>
          <w:tab/>
        </w:r>
        <w:r w:rsidR="00735553">
          <w:rPr>
            <w:noProof/>
            <w:webHidden/>
          </w:rPr>
          <w:fldChar w:fldCharType="begin"/>
        </w:r>
        <w:r w:rsidR="00735553">
          <w:rPr>
            <w:noProof/>
            <w:webHidden/>
          </w:rPr>
          <w:instrText xml:space="preserve"> PAGEREF _Toc504488350 \h </w:instrText>
        </w:r>
        <w:r w:rsidR="00735553">
          <w:rPr>
            <w:noProof/>
            <w:webHidden/>
          </w:rPr>
        </w:r>
        <w:r w:rsidR="00735553">
          <w:rPr>
            <w:noProof/>
            <w:webHidden/>
          </w:rPr>
          <w:fldChar w:fldCharType="separate"/>
        </w:r>
        <w:r>
          <w:rPr>
            <w:noProof/>
            <w:webHidden/>
          </w:rPr>
          <w:t>35</w:t>
        </w:r>
        <w:r w:rsidR="00735553">
          <w:rPr>
            <w:noProof/>
            <w:webHidden/>
          </w:rPr>
          <w:fldChar w:fldCharType="end"/>
        </w:r>
      </w:hyperlink>
    </w:p>
    <w:p w14:paraId="37929211" w14:textId="77777777" w:rsidR="00735553" w:rsidRDefault="00D5752E">
      <w:pPr>
        <w:pStyle w:val="TOC1"/>
        <w:tabs>
          <w:tab w:val="left" w:pos="480"/>
          <w:tab w:val="right" w:leader="dot" w:pos="8296"/>
        </w:tabs>
        <w:rPr>
          <w:rFonts w:asciiTheme="minorHAnsi" w:eastAsiaTheme="minorEastAsia" w:hAnsiTheme="minorHAnsi" w:cstheme="minorBidi"/>
          <w:noProof/>
          <w:szCs w:val="22"/>
          <w:lang w:eastAsia="en-NZ"/>
        </w:rPr>
      </w:pPr>
      <w:hyperlink w:anchor="_Toc504488351" w:history="1">
        <w:r w:rsidR="00735553" w:rsidRPr="00F77A30">
          <w:rPr>
            <w:rStyle w:val="Hyperlink"/>
            <w:noProof/>
            <w:lang w:val="en-AU"/>
          </w:rPr>
          <w:t>3</w:t>
        </w:r>
        <w:r w:rsidR="00735553">
          <w:rPr>
            <w:rFonts w:asciiTheme="minorHAnsi" w:eastAsiaTheme="minorEastAsia" w:hAnsiTheme="minorHAnsi" w:cstheme="minorBidi"/>
            <w:noProof/>
            <w:szCs w:val="22"/>
            <w:lang w:eastAsia="en-NZ"/>
          </w:rPr>
          <w:tab/>
        </w:r>
        <w:r w:rsidR="00735553" w:rsidRPr="00F77A30">
          <w:rPr>
            <w:rStyle w:val="Hyperlink"/>
            <w:noProof/>
            <w:lang w:val="en-AU"/>
          </w:rPr>
          <w:t>RESULTS</w:t>
        </w:r>
        <w:r w:rsidR="00735553">
          <w:rPr>
            <w:noProof/>
            <w:webHidden/>
          </w:rPr>
          <w:tab/>
        </w:r>
        <w:r w:rsidR="00735553">
          <w:rPr>
            <w:noProof/>
            <w:webHidden/>
          </w:rPr>
          <w:fldChar w:fldCharType="begin"/>
        </w:r>
        <w:r w:rsidR="00735553">
          <w:rPr>
            <w:noProof/>
            <w:webHidden/>
          </w:rPr>
          <w:instrText xml:space="preserve"> PAGEREF _Toc504488351 \h </w:instrText>
        </w:r>
        <w:r w:rsidR="00735553">
          <w:rPr>
            <w:noProof/>
            <w:webHidden/>
          </w:rPr>
        </w:r>
        <w:r w:rsidR="00735553">
          <w:rPr>
            <w:noProof/>
            <w:webHidden/>
          </w:rPr>
          <w:fldChar w:fldCharType="separate"/>
        </w:r>
        <w:r>
          <w:rPr>
            <w:noProof/>
            <w:webHidden/>
          </w:rPr>
          <w:t>37</w:t>
        </w:r>
        <w:r w:rsidR="00735553">
          <w:rPr>
            <w:noProof/>
            <w:webHidden/>
          </w:rPr>
          <w:fldChar w:fldCharType="end"/>
        </w:r>
      </w:hyperlink>
    </w:p>
    <w:p w14:paraId="0CFA55A5" w14:textId="77777777" w:rsidR="00735553" w:rsidRDefault="00D5752E">
      <w:pPr>
        <w:pStyle w:val="TOC2"/>
        <w:tabs>
          <w:tab w:val="left" w:pos="960"/>
          <w:tab w:val="right" w:leader="dot" w:pos="8296"/>
        </w:tabs>
        <w:rPr>
          <w:rFonts w:asciiTheme="minorHAnsi" w:eastAsiaTheme="minorEastAsia" w:hAnsiTheme="minorHAnsi" w:cstheme="minorBidi"/>
          <w:noProof/>
          <w:szCs w:val="22"/>
          <w:lang w:eastAsia="en-NZ"/>
        </w:rPr>
      </w:pPr>
      <w:hyperlink w:anchor="_Toc504488352" w:history="1">
        <w:r w:rsidR="00735553" w:rsidRPr="00F77A30">
          <w:rPr>
            <w:rStyle w:val="Hyperlink"/>
            <w:noProof/>
          </w:rPr>
          <w:t>3.1</w:t>
        </w:r>
        <w:r w:rsidR="00735553">
          <w:rPr>
            <w:rFonts w:asciiTheme="minorHAnsi" w:eastAsiaTheme="minorEastAsia" w:hAnsiTheme="minorHAnsi" w:cstheme="minorBidi"/>
            <w:noProof/>
            <w:szCs w:val="22"/>
            <w:lang w:eastAsia="en-NZ"/>
          </w:rPr>
          <w:tab/>
        </w:r>
        <w:r w:rsidR="00735553" w:rsidRPr="00F77A30">
          <w:rPr>
            <w:rStyle w:val="Hyperlink"/>
            <w:noProof/>
          </w:rPr>
          <w:t>Attrition analyses</w:t>
        </w:r>
        <w:r w:rsidR="00735553">
          <w:rPr>
            <w:noProof/>
            <w:webHidden/>
          </w:rPr>
          <w:tab/>
        </w:r>
        <w:r w:rsidR="00735553">
          <w:rPr>
            <w:noProof/>
            <w:webHidden/>
          </w:rPr>
          <w:fldChar w:fldCharType="begin"/>
        </w:r>
        <w:r w:rsidR="00735553">
          <w:rPr>
            <w:noProof/>
            <w:webHidden/>
          </w:rPr>
          <w:instrText xml:space="preserve"> PAGEREF _Toc504488352 \h </w:instrText>
        </w:r>
        <w:r w:rsidR="00735553">
          <w:rPr>
            <w:noProof/>
            <w:webHidden/>
          </w:rPr>
        </w:r>
        <w:r w:rsidR="00735553">
          <w:rPr>
            <w:noProof/>
            <w:webHidden/>
          </w:rPr>
          <w:fldChar w:fldCharType="separate"/>
        </w:r>
        <w:r>
          <w:rPr>
            <w:noProof/>
            <w:webHidden/>
          </w:rPr>
          <w:t>37</w:t>
        </w:r>
        <w:r w:rsidR="00735553">
          <w:rPr>
            <w:noProof/>
            <w:webHidden/>
          </w:rPr>
          <w:fldChar w:fldCharType="end"/>
        </w:r>
      </w:hyperlink>
    </w:p>
    <w:p w14:paraId="7AB448A5" w14:textId="77777777" w:rsidR="00735553" w:rsidRDefault="00D5752E">
      <w:pPr>
        <w:pStyle w:val="TOC2"/>
        <w:tabs>
          <w:tab w:val="left" w:pos="960"/>
          <w:tab w:val="right" w:leader="dot" w:pos="8296"/>
        </w:tabs>
        <w:rPr>
          <w:rFonts w:asciiTheme="minorHAnsi" w:eastAsiaTheme="minorEastAsia" w:hAnsiTheme="minorHAnsi" w:cstheme="minorBidi"/>
          <w:noProof/>
          <w:szCs w:val="22"/>
          <w:lang w:eastAsia="en-NZ"/>
        </w:rPr>
      </w:pPr>
      <w:hyperlink w:anchor="_Toc504488353" w:history="1">
        <w:r w:rsidR="00735553" w:rsidRPr="00F77A30">
          <w:rPr>
            <w:rStyle w:val="Hyperlink"/>
            <w:noProof/>
          </w:rPr>
          <w:t>3.2</w:t>
        </w:r>
        <w:r w:rsidR="00735553">
          <w:rPr>
            <w:rFonts w:asciiTheme="minorHAnsi" w:eastAsiaTheme="minorEastAsia" w:hAnsiTheme="minorHAnsi" w:cstheme="minorBidi"/>
            <w:noProof/>
            <w:szCs w:val="22"/>
            <w:lang w:eastAsia="en-NZ"/>
          </w:rPr>
          <w:tab/>
        </w:r>
        <w:r w:rsidR="00735553" w:rsidRPr="00F77A30">
          <w:rPr>
            <w:rStyle w:val="Hyperlink"/>
            <w:noProof/>
          </w:rPr>
          <w:t>Descriptive statistics</w:t>
        </w:r>
        <w:r w:rsidR="00735553">
          <w:rPr>
            <w:noProof/>
            <w:webHidden/>
          </w:rPr>
          <w:tab/>
        </w:r>
        <w:r w:rsidR="00735553">
          <w:rPr>
            <w:noProof/>
            <w:webHidden/>
          </w:rPr>
          <w:fldChar w:fldCharType="begin"/>
        </w:r>
        <w:r w:rsidR="00735553">
          <w:rPr>
            <w:noProof/>
            <w:webHidden/>
          </w:rPr>
          <w:instrText xml:space="preserve"> PAGEREF _Toc504488353 \h </w:instrText>
        </w:r>
        <w:r w:rsidR="00735553">
          <w:rPr>
            <w:noProof/>
            <w:webHidden/>
          </w:rPr>
        </w:r>
        <w:r w:rsidR="00735553">
          <w:rPr>
            <w:noProof/>
            <w:webHidden/>
          </w:rPr>
          <w:fldChar w:fldCharType="separate"/>
        </w:r>
        <w:r>
          <w:rPr>
            <w:noProof/>
            <w:webHidden/>
          </w:rPr>
          <w:t>37</w:t>
        </w:r>
        <w:r w:rsidR="00735553">
          <w:rPr>
            <w:noProof/>
            <w:webHidden/>
          </w:rPr>
          <w:fldChar w:fldCharType="end"/>
        </w:r>
      </w:hyperlink>
    </w:p>
    <w:p w14:paraId="7153DA80"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54" w:history="1">
        <w:r w:rsidR="00735553" w:rsidRPr="00F77A30">
          <w:rPr>
            <w:rStyle w:val="Hyperlink"/>
            <w:noProof/>
          </w:rPr>
          <w:t>3.2.1</w:t>
        </w:r>
        <w:r w:rsidR="00735553">
          <w:rPr>
            <w:rFonts w:asciiTheme="minorHAnsi" w:eastAsiaTheme="minorEastAsia" w:hAnsiTheme="minorHAnsi" w:cstheme="minorBidi"/>
            <w:i w:val="0"/>
            <w:noProof/>
            <w:szCs w:val="22"/>
            <w:lang w:eastAsia="en-NZ"/>
          </w:rPr>
          <w:tab/>
        </w:r>
        <w:r w:rsidR="00735553" w:rsidRPr="00F77A30">
          <w:rPr>
            <w:rStyle w:val="Hyperlink"/>
            <w:noProof/>
          </w:rPr>
          <w:t>Sociodemographic variables that could have changed over time</w:t>
        </w:r>
        <w:r w:rsidR="00735553">
          <w:rPr>
            <w:noProof/>
            <w:webHidden/>
          </w:rPr>
          <w:tab/>
        </w:r>
        <w:r w:rsidR="00735553">
          <w:rPr>
            <w:noProof/>
            <w:webHidden/>
          </w:rPr>
          <w:fldChar w:fldCharType="begin"/>
        </w:r>
        <w:r w:rsidR="00735553">
          <w:rPr>
            <w:noProof/>
            <w:webHidden/>
          </w:rPr>
          <w:instrText xml:space="preserve"> PAGEREF _Toc504488354 \h </w:instrText>
        </w:r>
        <w:r w:rsidR="00735553">
          <w:rPr>
            <w:noProof/>
            <w:webHidden/>
          </w:rPr>
        </w:r>
        <w:r w:rsidR="00735553">
          <w:rPr>
            <w:noProof/>
            <w:webHidden/>
          </w:rPr>
          <w:fldChar w:fldCharType="separate"/>
        </w:r>
        <w:r>
          <w:rPr>
            <w:noProof/>
            <w:webHidden/>
          </w:rPr>
          <w:t>37</w:t>
        </w:r>
        <w:r w:rsidR="00735553">
          <w:rPr>
            <w:noProof/>
            <w:webHidden/>
          </w:rPr>
          <w:fldChar w:fldCharType="end"/>
        </w:r>
      </w:hyperlink>
    </w:p>
    <w:p w14:paraId="38F24461"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55" w:history="1">
        <w:r w:rsidR="00735553" w:rsidRPr="00F77A30">
          <w:rPr>
            <w:rStyle w:val="Hyperlink"/>
            <w:noProof/>
          </w:rPr>
          <w:t>3.2.2</w:t>
        </w:r>
        <w:r w:rsidR="00735553">
          <w:rPr>
            <w:rFonts w:asciiTheme="minorHAnsi" w:eastAsiaTheme="minorEastAsia" w:hAnsiTheme="minorHAnsi" w:cstheme="minorBidi"/>
            <w:i w:val="0"/>
            <w:noProof/>
            <w:szCs w:val="22"/>
            <w:lang w:eastAsia="en-NZ"/>
          </w:rPr>
          <w:tab/>
        </w:r>
        <w:r w:rsidR="00735553" w:rsidRPr="00F77A30">
          <w:rPr>
            <w:rStyle w:val="Hyperlink"/>
            <w:noProof/>
          </w:rPr>
          <w:t>Gambling participation</w:t>
        </w:r>
        <w:r w:rsidR="00735553">
          <w:rPr>
            <w:noProof/>
            <w:webHidden/>
          </w:rPr>
          <w:tab/>
        </w:r>
        <w:r w:rsidR="00735553">
          <w:rPr>
            <w:noProof/>
            <w:webHidden/>
          </w:rPr>
          <w:fldChar w:fldCharType="begin"/>
        </w:r>
        <w:r w:rsidR="00735553">
          <w:rPr>
            <w:noProof/>
            <w:webHidden/>
          </w:rPr>
          <w:instrText xml:space="preserve"> PAGEREF _Toc504488355 \h </w:instrText>
        </w:r>
        <w:r w:rsidR="00735553">
          <w:rPr>
            <w:noProof/>
            <w:webHidden/>
          </w:rPr>
        </w:r>
        <w:r w:rsidR="00735553">
          <w:rPr>
            <w:noProof/>
            <w:webHidden/>
          </w:rPr>
          <w:fldChar w:fldCharType="separate"/>
        </w:r>
        <w:r>
          <w:rPr>
            <w:noProof/>
            <w:webHidden/>
          </w:rPr>
          <w:t>38</w:t>
        </w:r>
        <w:r w:rsidR="00735553">
          <w:rPr>
            <w:noProof/>
            <w:webHidden/>
          </w:rPr>
          <w:fldChar w:fldCharType="end"/>
        </w:r>
      </w:hyperlink>
    </w:p>
    <w:p w14:paraId="41361C06"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56" w:history="1">
        <w:r w:rsidR="00735553" w:rsidRPr="00F77A30">
          <w:rPr>
            <w:rStyle w:val="Hyperlink"/>
            <w:noProof/>
          </w:rPr>
          <w:t>3.2.3</w:t>
        </w:r>
        <w:r w:rsidR="00735553">
          <w:rPr>
            <w:rFonts w:asciiTheme="minorHAnsi" w:eastAsiaTheme="minorEastAsia" w:hAnsiTheme="minorHAnsi" w:cstheme="minorBidi"/>
            <w:i w:val="0"/>
            <w:noProof/>
            <w:szCs w:val="22"/>
            <w:lang w:eastAsia="en-NZ"/>
          </w:rPr>
          <w:tab/>
        </w:r>
        <w:r w:rsidR="00735553" w:rsidRPr="00F77A30">
          <w:rPr>
            <w:rStyle w:val="Hyperlink"/>
            <w:noProof/>
          </w:rPr>
          <w:t>Online/remote gambling</w:t>
        </w:r>
        <w:r w:rsidR="00735553">
          <w:rPr>
            <w:noProof/>
            <w:webHidden/>
          </w:rPr>
          <w:tab/>
        </w:r>
        <w:r w:rsidR="00735553">
          <w:rPr>
            <w:noProof/>
            <w:webHidden/>
          </w:rPr>
          <w:fldChar w:fldCharType="begin"/>
        </w:r>
        <w:r w:rsidR="00735553">
          <w:rPr>
            <w:noProof/>
            <w:webHidden/>
          </w:rPr>
          <w:instrText xml:space="preserve"> PAGEREF _Toc504488356 \h </w:instrText>
        </w:r>
        <w:r w:rsidR="00735553">
          <w:rPr>
            <w:noProof/>
            <w:webHidden/>
          </w:rPr>
        </w:r>
        <w:r w:rsidR="00735553">
          <w:rPr>
            <w:noProof/>
            <w:webHidden/>
          </w:rPr>
          <w:fldChar w:fldCharType="separate"/>
        </w:r>
        <w:r>
          <w:rPr>
            <w:noProof/>
            <w:webHidden/>
          </w:rPr>
          <w:t>42</w:t>
        </w:r>
        <w:r w:rsidR="00735553">
          <w:rPr>
            <w:noProof/>
            <w:webHidden/>
          </w:rPr>
          <w:fldChar w:fldCharType="end"/>
        </w:r>
      </w:hyperlink>
    </w:p>
    <w:p w14:paraId="53DDE367"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57" w:history="1">
        <w:r w:rsidR="00735553" w:rsidRPr="00F77A30">
          <w:rPr>
            <w:rStyle w:val="Hyperlink"/>
            <w:noProof/>
          </w:rPr>
          <w:t>3.2.4</w:t>
        </w:r>
        <w:r w:rsidR="00735553">
          <w:rPr>
            <w:rFonts w:asciiTheme="minorHAnsi" w:eastAsiaTheme="minorEastAsia" w:hAnsiTheme="minorHAnsi" w:cstheme="minorBidi"/>
            <w:i w:val="0"/>
            <w:noProof/>
            <w:szCs w:val="22"/>
            <w:lang w:eastAsia="en-NZ"/>
          </w:rPr>
          <w:tab/>
        </w:r>
        <w:r w:rsidR="00735553" w:rsidRPr="00F77A30">
          <w:rPr>
            <w:rStyle w:val="Hyperlink"/>
            <w:noProof/>
          </w:rPr>
          <w:t>Methods used to stop gambling too much and help-seeking behaviour</w:t>
        </w:r>
        <w:r w:rsidR="00735553">
          <w:rPr>
            <w:noProof/>
            <w:webHidden/>
          </w:rPr>
          <w:tab/>
        </w:r>
        <w:r w:rsidR="00735553">
          <w:rPr>
            <w:noProof/>
            <w:webHidden/>
          </w:rPr>
          <w:fldChar w:fldCharType="begin"/>
        </w:r>
        <w:r w:rsidR="00735553">
          <w:rPr>
            <w:noProof/>
            <w:webHidden/>
          </w:rPr>
          <w:instrText xml:space="preserve"> PAGEREF _Toc504488357 \h </w:instrText>
        </w:r>
        <w:r w:rsidR="00735553">
          <w:rPr>
            <w:noProof/>
            <w:webHidden/>
          </w:rPr>
        </w:r>
        <w:r w:rsidR="00735553">
          <w:rPr>
            <w:noProof/>
            <w:webHidden/>
          </w:rPr>
          <w:fldChar w:fldCharType="separate"/>
        </w:r>
        <w:r>
          <w:rPr>
            <w:noProof/>
            <w:webHidden/>
          </w:rPr>
          <w:t>44</w:t>
        </w:r>
        <w:r w:rsidR="00735553">
          <w:rPr>
            <w:noProof/>
            <w:webHidden/>
          </w:rPr>
          <w:fldChar w:fldCharType="end"/>
        </w:r>
      </w:hyperlink>
    </w:p>
    <w:p w14:paraId="0269BC5D"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58" w:history="1">
        <w:r w:rsidR="00735553" w:rsidRPr="00F77A30">
          <w:rPr>
            <w:rStyle w:val="Hyperlink"/>
            <w:noProof/>
          </w:rPr>
          <w:t>3.2.5</w:t>
        </w:r>
        <w:r w:rsidR="00735553">
          <w:rPr>
            <w:rFonts w:asciiTheme="minorHAnsi" w:eastAsiaTheme="minorEastAsia" w:hAnsiTheme="minorHAnsi" w:cstheme="minorBidi"/>
            <w:i w:val="0"/>
            <w:noProof/>
            <w:szCs w:val="22"/>
            <w:lang w:eastAsia="en-NZ"/>
          </w:rPr>
          <w:tab/>
        </w:r>
        <w:r w:rsidR="00735553" w:rsidRPr="00F77A30">
          <w:rPr>
            <w:rStyle w:val="Hyperlink"/>
            <w:noProof/>
          </w:rPr>
          <w:t>Health status</w:t>
        </w:r>
        <w:r w:rsidR="00735553">
          <w:rPr>
            <w:noProof/>
            <w:webHidden/>
          </w:rPr>
          <w:tab/>
        </w:r>
        <w:r w:rsidR="00735553">
          <w:rPr>
            <w:noProof/>
            <w:webHidden/>
          </w:rPr>
          <w:fldChar w:fldCharType="begin"/>
        </w:r>
        <w:r w:rsidR="00735553">
          <w:rPr>
            <w:noProof/>
            <w:webHidden/>
          </w:rPr>
          <w:instrText xml:space="preserve"> PAGEREF _Toc504488358 \h </w:instrText>
        </w:r>
        <w:r w:rsidR="00735553">
          <w:rPr>
            <w:noProof/>
            <w:webHidden/>
          </w:rPr>
        </w:r>
        <w:r w:rsidR="00735553">
          <w:rPr>
            <w:noProof/>
            <w:webHidden/>
          </w:rPr>
          <w:fldChar w:fldCharType="separate"/>
        </w:r>
        <w:r>
          <w:rPr>
            <w:noProof/>
            <w:webHidden/>
          </w:rPr>
          <w:t>45</w:t>
        </w:r>
        <w:r w:rsidR="00735553">
          <w:rPr>
            <w:noProof/>
            <w:webHidden/>
          </w:rPr>
          <w:fldChar w:fldCharType="end"/>
        </w:r>
      </w:hyperlink>
    </w:p>
    <w:p w14:paraId="2D6BFC60" w14:textId="77777777" w:rsidR="00735553" w:rsidRDefault="00D5752E">
      <w:pPr>
        <w:pStyle w:val="TOC2"/>
        <w:tabs>
          <w:tab w:val="left" w:pos="960"/>
          <w:tab w:val="right" w:leader="dot" w:pos="8296"/>
        </w:tabs>
        <w:rPr>
          <w:rFonts w:asciiTheme="minorHAnsi" w:eastAsiaTheme="minorEastAsia" w:hAnsiTheme="minorHAnsi" w:cstheme="minorBidi"/>
          <w:noProof/>
          <w:szCs w:val="22"/>
          <w:lang w:eastAsia="en-NZ"/>
        </w:rPr>
      </w:pPr>
      <w:hyperlink w:anchor="_Toc504488359" w:history="1">
        <w:r w:rsidR="00735553" w:rsidRPr="00F77A30">
          <w:rPr>
            <w:rStyle w:val="Hyperlink"/>
            <w:noProof/>
          </w:rPr>
          <w:t>3.3</w:t>
        </w:r>
        <w:r w:rsidR="00735553">
          <w:rPr>
            <w:rFonts w:asciiTheme="minorHAnsi" w:eastAsiaTheme="minorEastAsia" w:hAnsiTheme="minorHAnsi" w:cstheme="minorBidi"/>
            <w:noProof/>
            <w:szCs w:val="22"/>
            <w:lang w:eastAsia="en-NZ"/>
          </w:rPr>
          <w:tab/>
        </w:r>
        <w:r w:rsidR="00735553" w:rsidRPr="00F77A30">
          <w:rPr>
            <w:rStyle w:val="Hyperlink"/>
            <w:noProof/>
          </w:rPr>
          <w:t>Gambling type games not played for money or prizes</w:t>
        </w:r>
        <w:r w:rsidR="00735553">
          <w:rPr>
            <w:noProof/>
            <w:webHidden/>
          </w:rPr>
          <w:tab/>
        </w:r>
        <w:r w:rsidR="00735553">
          <w:rPr>
            <w:noProof/>
            <w:webHidden/>
          </w:rPr>
          <w:fldChar w:fldCharType="begin"/>
        </w:r>
        <w:r w:rsidR="00735553">
          <w:rPr>
            <w:noProof/>
            <w:webHidden/>
          </w:rPr>
          <w:instrText xml:space="preserve"> PAGEREF _Toc504488359 \h </w:instrText>
        </w:r>
        <w:r w:rsidR="00735553">
          <w:rPr>
            <w:noProof/>
            <w:webHidden/>
          </w:rPr>
        </w:r>
        <w:r w:rsidR="00735553">
          <w:rPr>
            <w:noProof/>
            <w:webHidden/>
          </w:rPr>
          <w:fldChar w:fldCharType="separate"/>
        </w:r>
        <w:r>
          <w:rPr>
            <w:noProof/>
            <w:webHidden/>
          </w:rPr>
          <w:t>48</w:t>
        </w:r>
        <w:r w:rsidR="00735553">
          <w:rPr>
            <w:noProof/>
            <w:webHidden/>
          </w:rPr>
          <w:fldChar w:fldCharType="end"/>
        </w:r>
      </w:hyperlink>
    </w:p>
    <w:p w14:paraId="22BDB862" w14:textId="77777777" w:rsidR="00735553" w:rsidRDefault="00D5752E">
      <w:pPr>
        <w:pStyle w:val="TOC2"/>
        <w:tabs>
          <w:tab w:val="left" w:pos="960"/>
          <w:tab w:val="right" w:leader="dot" w:pos="8296"/>
        </w:tabs>
        <w:rPr>
          <w:rFonts w:asciiTheme="minorHAnsi" w:eastAsiaTheme="minorEastAsia" w:hAnsiTheme="minorHAnsi" w:cstheme="minorBidi"/>
          <w:noProof/>
          <w:szCs w:val="22"/>
          <w:lang w:eastAsia="en-NZ"/>
        </w:rPr>
      </w:pPr>
      <w:hyperlink w:anchor="_Toc504488360" w:history="1">
        <w:r w:rsidR="00735553" w:rsidRPr="00F77A30">
          <w:rPr>
            <w:rStyle w:val="Hyperlink"/>
            <w:noProof/>
          </w:rPr>
          <w:t>3.4</w:t>
        </w:r>
        <w:r w:rsidR="00735553">
          <w:rPr>
            <w:rFonts w:asciiTheme="minorHAnsi" w:eastAsiaTheme="minorEastAsia" w:hAnsiTheme="minorHAnsi" w:cstheme="minorBidi"/>
            <w:noProof/>
            <w:szCs w:val="22"/>
            <w:lang w:eastAsia="en-NZ"/>
          </w:rPr>
          <w:tab/>
        </w:r>
        <w:r w:rsidR="00735553" w:rsidRPr="00F77A30">
          <w:rPr>
            <w:rStyle w:val="Hyperlink"/>
            <w:noProof/>
          </w:rPr>
          <w:t>EGM expenditure trends</w:t>
        </w:r>
        <w:r w:rsidR="00735553">
          <w:rPr>
            <w:noProof/>
            <w:webHidden/>
          </w:rPr>
          <w:tab/>
        </w:r>
        <w:r w:rsidR="00735553">
          <w:rPr>
            <w:noProof/>
            <w:webHidden/>
          </w:rPr>
          <w:fldChar w:fldCharType="begin"/>
        </w:r>
        <w:r w:rsidR="00735553">
          <w:rPr>
            <w:noProof/>
            <w:webHidden/>
          </w:rPr>
          <w:instrText xml:space="preserve"> PAGEREF _Toc504488360 \h </w:instrText>
        </w:r>
        <w:r w:rsidR="00735553">
          <w:rPr>
            <w:noProof/>
            <w:webHidden/>
          </w:rPr>
        </w:r>
        <w:r w:rsidR="00735553">
          <w:rPr>
            <w:noProof/>
            <w:webHidden/>
          </w:rPr>
          <w:fldChar w:fldCharType="separate"/>
        </w:r>
        <w:r>
          <w:rPr>
            <w:noProof/>
            <w:webHidden/>
          </w:rPr>
          <w:t>49</w:t>
        </w:r>
        <w:r w:rsidR="00735553">
          <w:rPr>
            <w:noProof/>
            <w:webHidden/>
          </w:rPr>
          <w:fldChar w:fldCharType="end"/>
        </w:r>
      </w:hyperlink>
    </w:p>
    <w:p w14:paraId="63575959"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61" w:history="1">
        <w:r w:rsidR="00735553" w:rsidRPr="00F77A30">
          <w:rPr>
            <w:rStyle w:val="Hyperlink"/>
            <w:noProof/>
          </w:rPr>
          <w:t>3.4.1</w:t>
        </w:r>
        <w:r w:rsidR="00735553">
          <w:rPr>
            <w:rFonts w:asciiTheme="minorHAnsi" w:eastAsiaTheme="minorEastAsia" w:hAnsiTheme="minorHAnsi" w:cstheme="minorBidi"/>
            <w:i w:val="0"/>
            <w:noProof/>
            <w:szCs w:val="22"/>
            <w:lang w:eastAsia="en-NZ"/>
          </w:rPr>
          <w:tab/>
        </w:r>
        <w:r w:rsidR="00735553" w:rsidRPr="00F77A30">
          <w:rPr>
            <w:rStyle w:val="Hyperlink"/>
            <w:noProof/>
          </w:rPr>
          <w:t>Typical monthly EGM expenditure by gambling risk level</w:t>
        </w:r>
        <w:r w:rsidR="00735553">
          <w:rPr>
            <w:noProof/>
            <w:webHidden/>
          </w:rPr>
          <w:tab/>
        </w:r>
        <w:r w:rsidR="00735553">
          <w:rPr>
            <w:noProof/>
            <w:webHidden/>
          </w:rPr>
          <w:fldChar w:fldCharType="begin"/>
        </w:r>
        <w:r w:rsidR="00735553">
          <w:rPr>
            <w:noProof/>
            <w:webHidden/>
          </w:rPr>
          <w:instrText xml:space="preserve"> PAGEREF _Toc504488361 \h </w:instrText>
        </w:r>
        <w:r w:rsidR="00735553">
          <w:rPr>
            <w:noProof/>
            <w:webHidden/>
          </w:rPr>
        </w:r>
        <w:r w:rsidR="00735553">
          <w:rPr>
            <w:noProof/>
            <w:webHidden/>
          </w:rPr>
          <w:fldChar w:fldCharType="separate"/>
        </w:r>
        <w:r>
          <w:rPr>
            <w:noProof/>
            <w:webHidden/>
          </w:rPr>
          <w:t>49</w:t>
        </w:r>
        <w:r w:rsidR="00735553">
          <w:rPr>
            <w:noProof/>
            <w:webHidden/>
          </w:rPr>
          <w:fldChar w:fldCharType="end"/>
        </w:r>
      </w:hyperlink>
    </w:p>
    <w:p w14:paraId="290B8BB1"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62" w:history="1">
        <w:r w:rsidR="00735553" w:rsidRPr="00F77A30">
          <w:rPr>
            <w:rStyle w:val="Hyperlink"/>
            <w:noProof/>
          </w:rPr>
          <w:t>3.4.2</w:t>
        </w:r>
        <w:r w:rsidR="00735553">
          <w:rPr>
            <w:rFonts w:asciiTheme="minorHAnsi" w:eastAsiaTheme="minorEastAsia" w:hAnsiTheme="minorHAnsi" w:cstheme="minorBidi"/>
            <w:i w:val="0"/>
            <w:noProof/>
            <w:szCs w:val="22"/>
            <w:lang w:eastAsia="en-NZ"/>
          </w:rPr>
          <w:tab/>
        </w:r>
        <w:r w:rsidR="00735553" w:rsidRPr="00F77A30">
          <w:rPr>
            <w:rStyle w:val="Hyperlink"/>
            <w:noProof/>
          </w:rPr>
          <w:t>Estimated annual EGM expenditure by gambling risk level</w:t>
        </w:r>
        <w:r w:rsidR="00735553">
          <w:rPr>
            <w:noProof/>
            <w:webHidden/>
          </w:rPr>
          <w:tab/>
        </w:r>
        <w:r w:rsidR="00735553">
          <w:rPr>
            <w:noProof/>
            <w:webHidden/>
          </w:rPr>
          <w:fldChar w:fldCharType="begin"/>
        </w:r>
        <w:r w:rsidR="00735553">
          <w:rPr>
            <w:noProof/>
            <w:webHidden/>
          </w:rPr>
          <w:instrText xml:space="preserve"> PAGEREF _Toc504488362 \h </w:instrText>
        </w:r>
        <w:r w:rsidR="00735553">
          <w:rPr>
            <w:noProof/>
            <w:webHidden/>
          </w:rPr>
        </w:r>
        <w:r w:rsidR="00735553">
          <w:rPr>
            <w:noProof/>
            <w:webHidden/>
          </w:rPr>
          <w:fldChar w:fldCharType="separate"/>
        </w:r>
        <w:r>
          <w:rPr>
            <w:noProof/>
            <w:webHidden/>
          </w:rPr>
          <w:t>50</w:t>
        </w:r>
        <w:r w:rsidR="00735553">
          <w:rPr>
            <w:noProof/>
            <w:webHidden/>
          </w:rPr>
          <w:fldChar w:fldCharType="end"/>
        </w:r>
      </w:hyperlink>
    </w:p>
    <w:p w14:paraId="3AFACF68"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63" w:history="1">
        <w:r w:rsidR="00735553" w:rsidRPr="00F77A30">
          <w:rPr>
            <w:rStyle w:val="Hyperlink"/>
            <w:noProof/>
          </w:rPr>
          <w:t>3.4.3</w:t>
        </w:r>
        <w:r w:rsidR="00735553">
          <w:rPr>
            <w:rFonts w:asciiTheme="minorHAnsi" w:eastAsiaTheme="minorEastAsia" w:hAnsiTheme="minorHAnsi" w:cstheme="minorBidi"/>
            <w:i w:val="0"/>
            <w:noProof/>
            <w:szCs w:val="22"/>
            <w:lang w:eastAsia="en-NZ"/>
          </w:rPr>
          <w:tab/>
        </w:r>
        <w:r w:rsidR="00735553" w:rsidRPr="00F77A30">
          <w:rPr>
            <w:rStyle w:val="Hyperlink"/>
            <w:noProof/>
          </w:rPr>
          <w:t>Typical monthly Class 4 expenditure by selected demographics</w:t>
        </w:r>
        <w:r w:rsidR="00735553">
          <w:rPr>
            <w:noProof/>
            <w:webHidden/>
          </w:rPr>
          <w:tab/>
        </w:r>
        <w:r w:rsidR="00735553">
          <w:rPr>
            <w:noProof/>
            <w:webHidden/>
          </w:rPr>
          <w:fldChar w:fldCharType="begin"/>
        </w:r>
        <w:r w:rsidR="00735553">
          <w:rPr>
            <w:noProof/>
            <w:webHidden/>
          </w:rPr>
          <w:instrText xml:space="preserve"> PAGEREF _Toc504488363 \h </w:instrText>
        </w:r>
        <w:r w:rsidR="00735553">
          <w:rPr>
            <w:noProof/>
            <w:webHidden/>
          </w:rPr>
        </w:r>
        <w:r w:rsidR="00735553">
          <w:rPr>
            <w:noProof/>
            <w:webHidden/>
          </w:rPr>
          <w:fldChar w:fldCharType="separate"/>
        </w:r>
        <w:r>
          <w:rPr>
            <w:noProof/>
            <w:webHidden/>
          </w:rPr>
          <w:t>51</w:t>
        </w:r>
        <w:r w:rsidR="00735553">
          <w:rPr>
            <w:noProof/>
            <w:webHidden/>
          </w:rPr>
          <w:fldChar w:fldCharType="end"/>
        </w:r>
      </w:hyperlink>
    </w:p>
    <w:p w14:paraId="42F394E9" w14:textId="77777777" w:rsidR="00735553" w:rsidRDefault="00D5752E">
      <w:pPr>
        <w:pStyle w:val="TOC2"/>
        <w:tabs>
          <w:tab w:val="left" w:pos="960"/>
          <w:tab w:val="right" w:leader="dot" w:pos="8296"/>
        </w:tabs>
        <w:rPr>
          <w:rFonts w:asciiTheme="minorHAnsi" w:eastAsiaTheme="minorEastAsia" w:hAnsiTheme="minorHAnsi" w:cstheme="minorBidi"/>
          <w:noProof/>
          <w:szCs w:val="22"/>
          <w:lang w:eastAsia="en-NZ"/>
        </w:rPr>
      </w:pPr>
      <w:hyperlink w:anchor="_Toc504488364" w:history="1">
        <w:r w:rsidR="00735553" w:rsidRPr="00F77A30">
          <w:rPr>
            <w:rStyle w:val="Hyperlink"/>
            <w:noProof/>
          </w:rPr>
          <w:t>3.5</w:t>
        </w:r>
        <w:r w:rsidR="00735553">
          <w:rPr>
            <w:rFonts w:asciiTheme="minorHAnsi" w:eastAsiaTheme="minorEastAsia" w:hAnsiTheme="minorHAnsi" w:cstheme="minorBidi"/>
            <w:noProof/>
            <w:szCs w:val="22"/>
            <w:lang w:eastAsia="en-NZ"/>
          </w:rPr>
          <w:tab/>
        </w:r>
        <w:r w:rsidR="00735553" w:rsidRPr="00F77A30">
          <w:rPr>
            <w:rStyle w:val="Hyperlink"/>
            <w:noProof/>
          </w:rPr>
          <w:t>Gambling risk trends</w:t>
        </w:r>
        <w:r w:rsidR="00735553">
          <w:rPr>
            <w:noProof/>
            <w:webHidden/>
          </w:rPr>
          <w:tab/>
        </w:r>
        <w:r w:rsidR="00735553">
          <w:rPr>
            <w:noProof/>
            <w:webHidden/>
          </w:rPr>
          <w:fldChar w:fldCharType="begin"/>
        </w:r>
        <w:r w:rsidR="00735553">
          <w:rPr>
            <w:noProof/>
            <w:webHidden/>
          </w:rPr>
          <w:instrText xml:space="preserve"> PAGEREF _Toc504488364 \h </w:instrText>
        </w:r>
        <w:r w:rsidR="00735553">
          <w:rPr>
            <w:noProof/>
            <w:webHidden/>
          </w:rPr>
        </w:r>
        <w:r w:rsidR="00735553">
          <w:rPr>
            <w:noProof/>
            <w:webHidden/>
          </w:rPr>
          <w:fldChar w:fldCharType="separate"/>
        </w:r>
        <w:r>
          <w:rPr>
            <w:noProof/>
            <w:webHidden/>
          </w:rPr>
          <w:t>51</w:t>
        </w:r>
        <w:r w:rsidR="00735553">
          <w:rPr>
            <w:noProof/>
            <w:webHidden/>
          </w:rPr>
          <w:fldChar w:fldCharType="end"/>
        </w:r>
      </w:hyperlink>
    </w:p>
    <w:p w14:paraId="15A4771A"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65" w:history="1">
        <w:r w:rsidR="00735553" w:rsidRPr="00F77A30">
          <w:rPr>
            <w:rStyle w:val="Hyperlink"/>
            <w:noProof/>
          </w:rPr>
          <w:t>3.5.1</w:t>
        </w:r>
        <w:r w:rsidR="00735553">
          <w:rPr>
            <w:rFonts w:asciiTheme="minorHAnsi" w:eastAsiaTheme="minorEastAsia" w:hAnsiTheme="minorHAnsi" w:cstheme="minorBidi"/>
            <w:i w:val="0"/>
            <w:noProof/>
            <w:szCs w:val="22"/>
            <w:lang w:eastAsia="en-NZ"/>
          </w:rPr>
          <w:tab/>
        </w:r>
        <w:r w:rsidR="00735553" w:rsidRPr="00F77A30">
          <w:rPr>
            <w:rStyle w:val="Hyperlink"/>
            <w:noProof/>
          </w:rPr>
          <w:t>Gambling risk</w:t>
        </w:r>
        <w:r w:rsidR="00735553">
          <w:rPr>
            <w:noProof/>
            <w:webHidden/>
          </w:rPr>
          <w:tab/>
        </w:r>
        <w:r w:rsidR="00735553">
          <w:rPr>
            <w:noProof/>
            <w:webHidden/>
          </w:rPr>
          <w:fldChar w:fldCharType="begin"/>
        </w:r>
        <w:r w:rsidR="00735553">
          <w:rPr>
            <w:noProof/>
            <w:webHidden/>
          </w:rPr>
          <w:instrText xml:space="preserve"> PAGEREF _Toc504488365 \h </w:instrText>
        </w:r>
        <w:r w:rsidR="00735553">
          <w:rPr>
            <w:noProof/>
            <w:webHidden/>
          </w:rPr>
        </w:r>
        <w:r w:rsidR="00735553">
          <w:rPr>
            <w:noProof/>
            <w:webHidden/>
          </w:rPr>
          <w:fldChar w:fldCharType="separate"/>
        </w:r>
        <w:r>
          <w:rPr>
            <w:noProof/>
            <w:webHidden/>
          </w:rPr>
          <w:t>51</w:t>
        </w:r>
        <w:r w:rsidR="00735553">
          <w:rPr>
            <w:noProof/>
            <w:webHidden/>
          </w:rPr>
          <w:fldChar w:fldCharType="end"/>
        </w:r>
      </w:hyperlink>
    </w:p>
    <w:p w14:paraId="6179ECB8"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66" w:history="1">
        <w:r w:rsidR="00735553" w:rsidRPr="00F77A30">
          <w:rPr>
            <w:rStyle w:val="Hyperlink"/>
            <w:noProof/>
          </w:rPr>
          <w:t>3.5.2</w:t>
        </w:r>
        <w:r w:rsidR="00735553">
          <w:rPr>
            <w:rFonts w:asciiTheme="minorHAnsi" w:eastAsiaTheme="minorEastAsia" w:hAnsiTheme="minorHAnsi" w:cstheme="minorBidi"/>
            <w:i w:val="0"/>
            <w:noProof/>
            <w:szCs w:val="22"/>
            <w:lang w:eastAsia="en-NZ"/>
          </w:rPr>
          <w:tab/>
        </w:r>
        <w:r w:rsidR="00735553" w:rsidRPr="00F77A30">
          <w:rPr>
            <w:rStyle w:val="Hyperlink"/>
            <w:noProof/>
          </w:rPr>
          <w:t>Gambling risk levels by sociodemographic variables</w:t>
        </w:r>
        <w:r w:rsidR="00735553">
          <w:rPr>
            <w:noProof/>
            <w:webHidden/>
          </w:rPr>
          <w:tab/>
        </w:r>
        <w:r w:rsidR="00735553">
          <w:rPr>
            <w:noProof/>
            <w:webHidden/>
          </w:rPr>
          <w:fldChar w:fldCharType="begin"/>
        </w:r>
        <w:r w:rsidR="00735553">
          <w:rPr>
            <w:noProof/>
            <w:webHidden/>
          </w:rPr>
          <w:instrText xml:space="preserve"> PAGEREF _Toc504488366 \h </w:instrText>
        </w:r>
        <w:r w:rsidR="00735553">
          <w:rPr>
            <w:noProof/>
            <w:webHidden/>
          </w:rPr>
        </w:r>
        <w:r w:rsidR="00735553">
          <w:rPr>
            <w:noProof/>
            <w:webHidden/>
          </w:rPr>
          <w:fldChar w:fldCharType="separate"/>
        </w:r>
        <w:r>
          <w:rPr>
            <w:noProof/>
            <w:webHidden/>
          </w:rPr>
          <w:t>52</w:t>
        </w:r>
        <w:r w:rsidR="00735553">
          <w:rPr>
            <w:noProof/>
            <w:webHidden/>
          </w:rPr>
          <w:fldChar w:fldCharType="end"/>
        </w:r>
      </w:hyperlink>
    </w:p>
    <w:p w14:paraId="1D7B4B9A"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67" w:history="1">
        <w:r w:rsidR="00735553" w:rsidRPr="00F77A30">
          <w:rPr>
            <w:rStyle w:val="Hyperlink"/>
            <w:noProof/>
          </w:rPr>
          <w:t>3.5.3</w:t>
        </w:r>
        <w:r w:rsidR="00735553">
          <w:rPr>
            <w:rFonts w:asciiTheme="minorHAnsi" w:eastAsiaTheme="minorEastAsia" w:hAnsiTheme="minorHAnsi" w:cstheme="minorBidi"/>
            <w:i w:val="0"/>
            <w:noProof/>
            <w:szCs w:val="22"/>
            <w:lang w:eastAsia="en-NZ"/>
          </w:rPr>
          <w:tab/>
        </w:r>
        <w:r w:rsidR="00735553" w:rsidRPr="00F77A30">
          <w:rPr>
            <w:rStyle w:val="Hyperlink"/>
            <w:noProof/>
          </w:rPr>
          <w:t>Gambling risk levels by gambling behaviour</w:t>
        </w:r>
        <w:r w:rsidR="00735553">
          <w:rPr>
            <w:noProof/>
            <w:webHidden/>
          </w:rPr>
          <w:tab/>
        </w:r>
        <w:r w:rsidR="00735553">
          <w:rPr>
            <w:noProof/>
            <w:webHidden/>
          </w:rPr>
          <w:fldChar w:fldCharType="begin"/>
        </w:r>
        <w:r w:rsidR="00735553">
          <w:rPr>
            <w:noProof/>
            <w:webHidden/>
          </w:rPr>
          <w:instrText xml:space="preserve"> PAGEREF _Toc504488367 \h </w:instrText>
        </w:r>
        <w:r w:rsidR="00735553">
          <w:rPr>
            <w:noProof/>
            <w:webHidden/>
          </w:rPr>
        </w:r>
        <w:r w:rsidR="00735553">
          <w:rPr>
            <w:noProof/>
            <w:webHidden/>
          </w:rPr>
          <w:fldChar w:fldCharType="separate"/>
        </w:r>
        <w:r>
          <w:rPr>
            <w:noProof/>
            <w:webHidden/>
          </w:rPr>
          <w:t>53</w:t>
        </w:r>
        <w:r w:rsidR="00735553">
          <w:rPr>
            <w:noProof/>
            <w:webHidden/>
          </w:rPr>
          <w:fldChar w:fldCharType="end"/>
        </w:r>
      </w:hyperlink>
    </w:p>
    <w:p w14:paraId="1E1016FC"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68" w:history="1">
        <w:r w:rsidR="00735553" w:rsidRPr="00F77A30">
          <w:rPr>
            <w:rStyle w:val="Hyperlink"/>
            <w:noProof/>
          </w:rPr>
          <w:t>3.5.4</w:t>
        </w:r>
        <w:r w:rsidR="00735553">
          <w:rPr>
            <w:rFonts w:asciiTheme="minorHAnsi" w:eastAsiaTheme="minorEastAsia" w:hAnsiTheme="minorHAnsi" w:cstheme="minorBidi"/>
            <w:i w:val="0"/>
            <w:noProof/>
            <w:szCs w:val="22"/>
            <w:lang w:eastAsia="en-NZ"/>
          </w:rPr>
          <w:tab/>
        </w:r>
        <w:r w:rsidR="00735553" w:rsidRPr="00F77A30">
          <w:rPr>
            <w:rStyle w:val="Hyperlink"/>
            <w:noProof/>
          </w:rPr>
          <w:t>Past year participation in gambling type games not played for money by gambling risk level</w:t>
        </w:r>
        <w:r w:rsidR="00735553">
          <w:rPr>
            <w:noProof/>
            <w:webHidden/>
          </w:rPr>
          <w:tab/>
        </w:r>
        <w:r w:rsidR="00735553">
          <w:rPr>
            <w:noProof/>
            <w:webHidden/>
          </w:rPr>
          <w:fldChar w:fldCharType="begin"/>
        </w:r>
        <w:r w:rsidR="00735553">
          <w:rPr>
            <w:noProof/>
            <w:webHidden/>
          </w:rPr>
          <w:instrText xml:space="preserve"> PAGEREF _Toc504488368 \h </w:instrText>
        </w:r>
        <w:r w:rsidR="00735553">
          <w:rPr>
            <w:noProof/>
            <w:webHidden/>
          </w:rPr>
        </w:r>
        <w:r w:rsidR="00735553">
          <w:rPr>
            <w:noProof/>
            <w:webHidden/>
          </w:rPr>
          <w:fldChar w:fldCharType="separate"/>
        </w:r>
        <w:r>
          <w:rPr>
            <w:noProof/>
            <w:webHidden/>
          </w:rPr>
          <w:t>54</w:t>
        </w:r>
        <w:r w:rsidR="00735553">
          <w:rPr>
            <w:noProof/>
            <w:webHidden/>
          </w:rPr>
          <w:fldChar w:fldCharType="end"/>
        </w:r>
      </w:hyperlink>
    </w:p>
    <w:p w14:paraId="6A4E7253"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69" w:history="1">
        <w:r w:rsidR="00735553" w:rsidRPr="00F77A30">
          <w:rPr>
            <w:rStyle w:val="Hyperlink"/>
            <w:noProof/>
          </w:rPr>
          <w:t>3.5.5</w:t>
        </w:r>
        <w:r w:rsidR="00735553">
          <w:rPr>
            <w:rFonts w:asciiTheme="minorHAnsi" w:eastAsiaTheme="minorEastAsia" w:hAnsiTheme="minorHAnsi" w:cstheme="minorBidi"/>
            <w:i w:val="0"/>
            <w:noProof/>
            <w:szCs w:val="22"/>
            <w:lang w:eastAsia="en-NZ"/>
          </w:rPr>
          <w:tab/>
        </w:r>
        <w:r w:rsidR="00735553" w:rsidRPr="00F77A30">
          <w:rPr>
            <w:rStyle w:val="Hyperlink"/>
            <w:noProof/>
          </w:rPr>
          <w:t>Gambling risk levels by methods used to stop gambling too much and help-seeking behaviour</w:t>
        </w:r>
        <w:r w:rsidR="00735553">
          <w:rPr>
            <w:noProof/>
            <w:webHidden/>
          </w:rPr>
          <w:tab/>
        </w:r>
        <w:r w:rsidR="00735553">
          <w:rPr>
            <w:noProof/>
            <w:webHidden/>
          </w:rPr>
          <w:fldChar w:fldCharType="begin"/>
        </w:r>
        <w:r w:rsidR="00735553">
          <w:rPr>
            <w:noProof/>
            <w:webHidden/>
          </w:rPr>
          <w:instrText xml:space="preserve"> PAGEREF _Toc504488369 \h </w:instrText>
        </w:r>
        <w:r w:rsidR="00735553">
          <w:rPr>
            <w:noProof/>
            <w:webHidden/>
          </w:rPr>
        </w:r>
        <w:r w:rsidR="00735553">
          <w:rPr>
            <w:noProof/>
            <w:webHidden/>
          </w:rPr>
          <w:fldChar w:fldCharType="separate"/>
        </w:r>
        <w:r>
          <w:rPr>
            <w:noProof/>
            <w:webHidden/>
          </w:rPr>
          <w:t>54</w:t>
        </w:r>
        <w:r w:rsidR="00735553">
          <w:rPr>
            <w:noProof/>
            <w:webHidden/>
          </w:rPr>
          <w:fldChar w:fldCharType="end"/>
        </w:r>
      </w:hyperlink>
    </w:p>
    <w:p w14:paraId="5E84BD81"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70" w:history="1">
        <w:r w:rsidR="00735553" w:rsidRPr="00F77A30">
          <w:rPr>
            <w:rStyle w:val="Hyperlink"/>
            <w:noProof/>
          </w:rPr>
          <w:t>3.5.6</w:t>
        </w:r>
        <w:r w:rsidR="00735553">
          <w:rPr>
            <w:rFonts w:asciiTheme="minorHAnsi" w:eastAsiaTheme="minorEastAsia" w:hAnsiTheme="minorHAnsi" w:cstheme="minorBidi"/>
            <w:i w:val="0"/>
            <w:noProof/>
            <w:szCs w:val="22"/>
            <w:lang w:eastAsia="en-NZ"/>
          </w:rPr>
          <w:tab/>
        </w:r>
        <w:r w:rsidR="00735553" w:rsidRPr="00F77A30">
          <w:rPr>
            <w:rStyle w:val="Hyperlink"/>
            <w:noProof/>
          </w:rPr>
          <w:t>Gambling risk levels by major life events and psychological distress</w:t>
        </w:r>
        <w:r w:rsidR="00735553">
          <w:rPr>
            <w:noProof/>
            <w:webHidden/>
          </w:rPr>
          <w:tab/>
        </w:r>
        <w:r w:rsidR="00735553">
          <w:rPr>
            <w:noProof/>
            <w:webHidden/>
          </w:rPr>
          <w:fldChar w:fldCharType="begin"/>
        </w:r>
        <w:r w:rsidR="00735553">
          <w:rPr>
            <w:noProof/>
            <w:webHidden/>
          </w:rPr>
          <w:instrText xml:space="preserve"> PAGEREF _Toc504488370 \h </w:instrText>
        </w:r>
        <w:r w:rsidR="00735553">
          <w:rPr>
            <w:noProof/>
            <w:webHidden/>
          </w:rPr>
        </w:r>
        <w:r w:rsidR="00735553">
          <w:rPr>
            <w:noProof/>
            <w:webHidden/>
          </w:rPr>
          <w:fldChar w:fldCharType="separate"/>
        </w:r>
        <w:r>
          <w:rPr>
            <w:noProof/>
            <w:webHidden/>
          </w:rPr>
          <w:t>55</w:t>
        </w:r>
        <w:r w:rsidR="00735553">
          <w:rPr>
            <w:noProof/>
            <w:webHidden/>
          </w:rPr>
          <w:fldChar w:fldCharType="end"/>
        </w:r>
      </w:hyperlink>
    </w:p>
    <w:p w14:paraId="2566F886" w14:textId="77777777" w:rsidR="00735553" w:rsidRDefault="00D5752E">
      <w:pPr>
        <w:pStyle w:val="TOC2"/>
        <w:tabs>
          <w:tab w:val="left" w:pos="960"/>
          <w:tab w:val="right" w:leader="dot" w:pos="8296"/>
        </w:tabs>
        <w:rPr>
          <w:rFonts w:asciiTheme="minorHAnsi" w:eastAsiaTheme="minorEastAsia" w:hAnsiTheme="minorHAnsi" w:cstheme="minorBidi"/>
          <w:noProof/>
          <w:szCs w:val="22"/>
          <w:lang w:eastAsia="en-NZ"/>
        </w:rPr>
      </w:pPr>
      <w:hyperlink w:anchor="_Toc504488371" w:history="1">
        <w:r w:rsidR="00735553" w:rsidRPr="00F77A30">
          <w:rPr>
            <w:rStyle w:val="Hyperlink"/>
            <w:noProof/>
          </w:rPr>
          <w:t>3.6</w:t>
        </w:r>
        <w:r w:rsidR="00735553">
          <w:rPr>
            <w:rFonts w:asciiTheme="minorHAnsi" w:eastAsiaTheme="minorEastAsia" w:hAnsiTheme="minorHAnsi" w:cstheme="minorBidi"/>
            <w:noProof/>
            <w:szCs w:val="22"/>
            <w:lang w:eastAsia="en-NZ"/>
          </w:rPr>
          <w:tab/>
        </w:r>
        <w:r w:rsidR="00735553" w:rsidRPr="00F77A30">
          <w:rPr>
            <w:rStyle w:val="Hyperlink"/>
            <w:noProof/>
          </w:rPr>
          <w:t>Incidence</w:t>
        </w:r>
        <w:r w:rsidR="00735553">
          <w:rPr>
            <w:noProof/>
            <w:webHidden/>
          </w:rPr>
          <w:tab/>
        </w:r>
        <w:r w:rsidR="00735553">
          <w:rPr>
            <w:noProof/>
            <w:webHidden/>
          </w:rPr>
          <w:fldChar w:fldCharType="begin"/>
        </w:r>
        <w:r w:rsidR="00735553">
          <w:rPr>
            <w:noProof/>
            <w:webHidden/>
          </w:rPr>
          <w:instrText xml:space="preserve"> PAGEREF _Toc504488371 \h </w:instrText>
        </w:r>
        <w:r w:rsidR="00735553">
          <w:rPr>
            <w:noProof/>
            <w:webHidden/>
          </w:rPr>
        </w:r>
        <w:r w:rsidR="00735553">
          <w:rPr>
            <w:noProof/>
            <w:webHidden/>
          </w:rPr>
          <w:fldChar w:fldCharType="separate"/>
        </w:r>
        <w:r>
          <w:rPr>
            <w:noProof/>
            <w:webHidden/>
          </w:rPr>
          <w:t>55</w:t>
        </w:r>
        <w:r w:rsidR="00735553">
          <w:rPr>
            <w:noProof/>
            <w:webHidden/>
          </w:rPr>
          <w:fldChar w:fldCharType="end"/>
        </w:r>
      </w:hyperlink>
    </w:p>
    <w:p w14:paraId="7A58ED6A" w14:textId="77777777" w:rsidR="00735553" w:rsidRDefault="00D5752E">
      <w:pPr>
        <w:pStyle w:val="TOC2"/>
        <w:tabs>
          <w:tab w:val="left" w:pos="960"/>
          <w:tab w:val="right" w:leader="dot" w:pos="8296"/>
        </w:tabs>
        <w:rPr>
          <w:rFonts w:asciiTheme="minorHAnsi" w:eastAsiaTheme="minorEastAsia" w:hAnsiTheme="minorHAnsi" w:cstheme="minorBidi"/>
          <w:noProof/>
          <w:szCs w:val="22"/>
          <w:lang w:eastAsia="en-NZ"/>
        </w:rPr>
      </w:pPr>
      <w:hyperlink w:anchor="_Toc504488372" w:history="1">
        <w:r w:rsidR="00735553" w:rsidRPr="00F77A30">
          <w:rPr>
            <w:rStyle w:val="Hyperlink"/>
            <w:noProof/>
          </w:rPr>
          <w:t>3.7</w:t>
        </w:r>
        <w:r w:rsidR="00735553">
          <w:rPr>
            <w:rFonts w:asciiTheme="minorHAnsi" w:eastAsiaTheme="minorEastAsia" w:hAnsiTheme="minorHAnsi" w:cstheme="minorBidi"/>
            <w:noProof/>
            <w:szCs w:val="22"/>
            <w:lang w:eastAsia="en-NZ"/>
          </w:rPr>
          <w:tab/>
        </w:r>
        <w:r w:rsidR="00735553" w:rsidRPr="00F77A30">
          <w:rPr>
            <w:rStyle w:val="Hyperlink"/>
            <w:noProof/>
          </w:rPr>
          <w:t>Gambling risk level transitions</w:t>
        </w:r>
        <w:r w:rsidR="00735553">
          <w:rPr>
            <w:noProof/>
            <w:webHidden/>
          </w:rPr>
          <w:tab/>
        </w:r>
        <w:r w:rsidR="00735553">
          <w:rPr>
            <w:noProof/>
            <w:webHidden/>
          </w:rPr>
          <w:fldChar w:fldCharType="begin"/>
        </w:r>
        <w:r w:rsidR="00735553">
          <w:rPr>
            <w:noProof/>
            <w:webHidden/>
          </w:rPr>
          <w:instrText xml:space="preserve"> PAGEREF _Toc504488372 \h </w:instrText>
        </w:r>
        <w:r w:rsidR="00735553">
          <w:rPr>
            <w:noProof/>
            <w:webHidden/>
          </w:rPr>
        </w:r>
        <w:r w:rsidR="00735553">
          <w:rPr>
            <w:noProof/>
            <w:webHidden/>
          </w:rPr>
          <w:fldChar w:fldCharType="separate"/>
        </w:r>
        <w:r>
          <w:rPr>
            <w:noProof/>
            <w:webHidden/>
          </w:rPr>
          <w:t>56</w:t>
        </w:r>
        <w:r w:rsidR="00735553">
          <w:rPr>
            <w:noProof/>
            <w:webHidden/>
          </w:rPr>
          <w:fldChar w:fldCharType="end"/>
        </w:r>
      </w:hyperlink>
    </w:p>
    <w:p w14:paraId="4098F950" w14:textId="77777777" w:rsidR="00735553" w:rsidRDefault="00D5752E">
      <w:pPr>
        <w:pStyle w:val="TOC2"/>
        <w:tabs>
          <w:tab w:val="left" w:pos="960"/>
          <w:tab w:val="right" w:leader="dot" w:pos="8296"/>
        </w:tabs>
        <w:rPr>
          <w:rFonts w:asciiTheme="minorHAnsi" w:eastAsiaTheme="minorEastAsia" w:hAnsiTheme="minorHAnsi" w:cstheme="minorBidi"/>
          <w:noProof/>
          <w:szCs w:val="22"/>
          <w:lang w:eastAsia="en-NZ"/>
        </w:rPr>
      </w:pPr>
      <w:hyperlink w:anchor="_Toc504488373" w:history="1">
        <w:r w:rsidR="00735553" w:rsidRPr="00F77A30">
          <w:rPr>
            <w:rStyle w:val="Hyperlink"/>
            <w:noProof/>
          </w:rPr>
          <w:t>3.8</w:t>
        </w:r>
        <w:r w:rsidR="00735553">
          <w:rPr>
            <w:rFonts w:asciiTheme="minorHAnsi" w:eastAsiaTheme="minorEastAsia" w:hAnsiTheme="minorHAnsi" w:cstheme="minorBidi"/>
            <w:noProof/>
            <w:szCs w:val="22"/>
            <w:lang w:eastAsia="en-NZ"/>
          </w:rPr>
          <w:tab/>
        </w:r>
        <w:r w:rsidR="00735553" w:rsidRPr="00F77A30">
          <w:rPr>
            <w:rStyle w:val="Hyperlink"/>
            <w:noProof/>
          </w:rPr>
          <w:t>Associations with the chance of being a past year gambler vs. not gambling across Waves 1 to 4</w:t>
        </w:r>
        <w:r w:rsidR="00735553">
          <w:rPr>
            <w:noProof/>
            <w:webHidden/>
          </w:rPr>
          <w:tab/>
        </w:r>
        <w:r w:rsidR="00735553">
          <w:rPr>
            <w:noProof/>
            <w:webHidden/>
          </w:rPr>
          <w:fldChar w:fldCharType="begin"/>
        </w:r>
        <w:r w:rsidR="00735553">
          <w:rPr>
            <w:noProof/>
            <w:webHidden/>
          </w:rPr>
          <w:instrText xml:space="preserve"> PAGEREF _Toc504488373 \h </w:instrText>
        </w:r>
        <w:r w:rsidR="00735553">
          <w:rPr>
            <w:noProof/>
            <w:webHidden/>
          </w:rPr>
        </w:r>
        <w:r w:rsidR="00735553">
          <w:rPr>
            <w:noProof/>
            <w:webHidden/>
          </w:rPr>
          <w:fldChar w:fldCharType="separate"/>
        </w:r>
        <w:r>
          <w:rPr>
            <w:noProof/>
            <w:webHidden/>
          </w:rPr>
          <w:t>60</w:t>
        </w:r>
        <w:r w:rsidR="00735553">
          <w:rPr>
            <w:noProof/>
            <w:webHidden/>
          </w:rPr>
          <w:fldChar w:fldCharType="end"/>
        </w:r>
      </w:hyperlink>
    </w:p>
    <w:p w14:paraId="47A14B01"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74" w:history="1">
        <w:r w:rsidR="00735553" w:rsidRPr="00F77A30">
          <w:rPr>
            <w:rStyle w:val="Hyperlink"/>
            <w:noProof/>
          </w:rPr>
          <w:t>3.8.1</w:t>
        </w:r>
        <w:r w:rsidR="00735553">
          <w:rPr>
            <w:rFonts w:asciiTheme="minorHAnsi" w:eastAsiaTheme="minorEastAsia" w:hAnsiTheme="minorHAnsi" w:cstheme="minorBidi"/>
            <w:i w:val="0"/>
            <w:noProof/>
            <w:szCs w:val="22"/>
            <w:lang w:eastAsia="en-NZ"/>
          </w:rPr>
          <w:tab/>
        </w:r>
        <w:r w:rsidR="00735553" w:rsidRPr="00F77A30">
          <w:rPr>
            <w:rStyle w:val="Hyperlink"/>
            <w:noProof/>
          </w:rPr>
          <w:t>Bivariate associations</w:t>
        </w:r>
        <w:r w:rsidR="00735553">
          <w:rPr>
            <w:noProof/>
            <w:webHidden/>
          </w:rPr>
          <w:tab/>
        </w:r>
        <w:r w:rsidR="00735553">
          <w:rPr>
            <w:noProof/>
            <w:webHidden/>
          </w:rPr>
          <w:fldChar w:fldCharType="begin"/>
        </w:r>
        <w:r w:rsidR="00735553">
          <w:rPr>
            <w:noProof/>
            <w:webHidden/>
          </w:rPr>
          <w:instrText xml:space="preserve"> PAGEREF _Toc504488374 \h </w:instrText>
        </w:r>
        <w:r w:rsidR="00735553">
          <w:rPr>
            <w:noProof/>
            <w:webHidden/>
          </w:rPr>
        </w:r>
        <w:r w:rsidR="00735553">
          <w:rPr>
            <w:noProof/>
            <w:webHidden/>
          </w:rPr>
          <w:fldChar w:fldCharType="separate"/>
        </w:r>
        <w:r>
          <w:rPr>
            <w:noProof/>
            <w:webHidden/>
          </w:rPr>
          <w:t>60</w:t>
        </w:r>
        <w:r w:rsidR="00735553">
          <w:rPr>
            <w:noProof/>
            <w:webHidden/>
          </w:rPr>
          <w:fldChar w:fldCharType="end"/>
        </w:r>
      </w:hyperlink>
    </w:p>
    <w:p w14:paraId="11C73025"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75" w:history="1">
        <w:r w:rsidR="00735553" w:rsidRPr="00F77A30">
          <w:rPr>
            <w:rStyle w:val="Hyperlink"/>
            <w:noProof/>
          </w:rPr>
          <w:t>3.8.2</w:t>
        </w:r>
        <w:r w:rsidR="00735553">
          <w:rPr>
            <w:rFonts w:asciiTheme="minorHAnsi" w:eastAsiaTheme="minorEastAsia" w:hAnsiTheme="minorHAnsi" w:cstheme="minorBidi"/>
            <w:i w:val="0"/>
            <w:noProof/>
            <w:szCs w:val="22"/>
            <w:lang w:eastAsia="en-NZ"/>
          </w:rPr>
          <w:tab/>
        </w:r>
        <w:r w:rsidR="00735553" w:rsidRPr="00F77A30">
          <w:rPr>
            <w:rStyle w:val="Hyperlink"/>
            <w:noProof/>
          </w:rPr>
          <w:t>Multiple logistic regression</w:t>
        </w:r>
        <w:r w:rsidR="00735553">
          <w:rPr>
            <w:noProof/>
            <w:webHidden/>
          </w:rPr>
          <w:tab/>
        </w:r>
        <w:r w:rsidR="00735553">
          <w:rPr>
            <w:noProof/>
            <w:webHidden/>
          </w:rPr>
          <w:fldChar w:fldCharType="begin"/>
        </w:r>
        <w:r w:rsidR="00735553">
          <w:rPr>
            <w:noProof/>
            <w:webHidden/>
          </w:rPr>
          <w:instrText xml:space="preserve"> PAGEREF _Toc504488375 \h </w:instrText>
        </w:r>
        <w:r w:rsidR="00735553">
          <w:rPr>
            <w:noProof/>
            <w:webHidden/>
          </w:rPr>
        </w:r>
        <w:r w:rsidR="00735553">
          <w:rPr>
            <w:noProof/>
            <w:webHidden/>
          </w:rPr>
          <w:fldChar w:fldCharType="separate"/>
        </w:r>
        <w:r>
          <w:rPr>
            <w:noProof/>
            <w:webHidden/>
          </w:rPr>
          <w:t>61</w:t>
        </w:r>
        <w:r w:rsidR="00735553">
          <w:rPr>
            <w:noProof/>
            <w:webHidden/>
          </w:rPr>
          <w:fldChar w:fldCharType="end"/>
        </w:r>
      </w:hyperlink>
    </w:p>
    <w:p w14:paraId="218EB98F" w14:textId="77777777" w:rsidR="00735553" w:rsidRDefault="00D5752E">
      <w:pPr>
        <w:pStyle w:val="TOC2"/>
        <w:tabs>
          <w:tab w:val="left" w:pos="960"/>
          <w:tab w:val="right" w:leader="dot" w:pos="8296"/>
        </w:tabs>
        <w:rPr>
          <w:rFonts w:asciiTheme="minorHAnsi" w:eastAsiaTheme="minorEastAsia" w:hAnsiTheme="minorHAnsi" w:cstheme="minorBidi"/>
          <w:noProof/>
          <w:szCs w:val="22"/>
          <w:lang w:eastAsia="en-NZ"/>
        </w:rPr>
      </w:pPr>
      <w:hyperlink w:anchor="_Toc504488376" w:history="1">
        <w:r w:rsidR="00735553" w:rsidRPr="00F77A30">
          <w:rPr>
            <w:rStyle w:val="Hyperlink"/>
            <w:noProof/>
          </w:rPr>
          <w:t>3.9</w:t>
        </w:r>
        <w:r w:rsidR="00735553">
          <w:rPr>
            <w:rFonts w:asciiTheme="minorHAnsi" w:eastAsiaTheme="minorEastAsia" w:hAnsiTheme="minorHAnsi" w:cstheme="minorBidi"/>
            <w:noProof/>
            <w:szCs w:val="22"/>
            <w:lang w:eastAsia="en-NZ"/>
          </w:rPr>
          <w:tab/>
        </w:r>
        <w:r w:rsidR="00735553" w:rsidRPr="00F77A30">
          <w:rPr>
            <w:rStyle w:val="Hyperlink"/>
            <w:noProof/>
          </w:rPr>
          <w:t>Associations with the chance of being a past year low-risk/moderate-risk/ problem gambler vs. being a non-problem gambler/non-gambler across Waves 1 to 4</w:t>
        </w:r>
        <w:r w:rsidR="00735553">
          <w:rPr>
            <w:noProof/>
            <w:webHidden/>
          </w:rPr>
          <w:tab/>
        </w:r>
        <w:r w:rsidR="00735553">
          <w:rPr>
            <w:noProof/>
            <w:webHidden/>
          </w:rPr>
          <w:fldChar w:fldCharType="begin"/>
        </w:r>
        <w:r w:rsidR="00735553">
          <w:rPr>
            <w:noProof/>
            <w:webHidden/>
          </w:rPr>
          <w:instrText xml:space="preserve"> PAGEREF _Toc504488376 \h </w:instrText>
        </w:r>
        <w:r w:rsidR="00735553">
          <w:rPr>
            <w:noProof/>
            <w:webHidden/>
          </w:rPr>
        </w:r>
        <w:r w:rsidR="00735553">
          <w:rPr>
            <w:noProof/>
            <w:webHidden/>
          </w:rPr>
          <w:fldChar w:fldCharType="separate"/>
        </w:r>
        <w:r>
          <w:rPr>
            <w:noProof/>
            <w:webHidden/>
          </w:rPr>
          <w:t>63</w:t>
        </w:r>
        <w:r w:rsidR="00735553">
          <w:rPr>
            <w:noProof/>
            <w:webHidden/>
          </w:rPr>
          <w:fldChar w:fldCharType="end"/>
        </w:r>
      </w:hyperlink>
    </w:p>
    <w:p w14:paraId="7B716CAD"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77" w:history="1">
        <w:r w:rsidR="00735553" w:rsidRPr="00F77A30">
          <w:rPr>
            <w:rStyle w:val="Hyperlink"/>
            <w:noProof/>
          </w:rPr>
          <w:t>3.9.1</w:t>
        </w:r>
        <w:r w:rsidR="00735553">
          <w:rPr>
            <w:rFonts w:asciiTheme="minorHAnsi" w:eastAsiaTheme="minorEastAsia" w:hAnsiTheme="minorHAnsi" w:cstheme="minorBidi"/>
            <w:i w:val="0"/>
            <w:noProof/>
            <w:szCs w:val="22"/>
            <w:lang w:eastAsia="en-NZ"/>
          </w:rPr>
          <w:tab/>
        </w:r>
        <w:r w:rsidR="00735553" w:rsidRPr="00F77A30">
          <w:rPr>
            <w:rStyle w:val="Hyperlink"/>
            <w:noProof/>
          </w:rPr>
          <w:t>Bivariate associations</w:t>
        </w:r>
        <w:r w:rsidR="00735553">
          <w:rPr>
            <w:noProof/>
            <w:webHidden/>
          </w:rPr>
          <w:tab/>
        </w:r>
        <w:r w:rsidR="00735553">
          <w:rPr>
            <w:noProof/>
            <w:webHidden/>
          </w:rPr>
          <w:fldChar w:fldCharType="begin"/>
        </w:r>
        <w:r w:rsidR="00735553">
          <w:rPr>
            <w:noProof/>
            <w:webHidden/>
          </w:rPr>
          <w:instrText xml:space="preserve"> PAGEREF _Toc504488377 \h </w:instrText>
        </w:r>
        <w:r w:rsidR="00735553">
          <w:rPr>
            <w:noProof/>
            <w:webHidden/>
          </w:rPr>
        </w:r>
        <w:r w:rsidR="00735553">
          <w:rPr>
            <w:noProof/>
            <w:webHidden/>
          </w:rPr>
          <w:fldChar w:fldCharType="separate"/>
        </w:r>
        <w:r>
          <w:rPr>
            <w:noProof/>
            <w:webHidden/>
          </w:rPr>
          <w:t>63</w:t>
        </w:r>
        <w:r w:rsidR="00735553">
          <w:rPr>
            <w:noProof/>
            <w:webHidden/>
          </w:rPr>
          <w:fldChar w:fldCharType="end"/>
        </w:r>
      </w:hyperlink>
    </w:p>
    <w:p w14:paraId="49631EDC"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78" w:history="1">
        <w:r w:rsidR="00735553" w:rsidRPr="00F77A30">
          <w:rPr>
            <w:rStyle w:val="Hyperlink"/>
            <w:noProof/>
          </w:rPr>
          <w:t>3.9.2</w:t>
        </w:r>
        <w:r w:rsidR="00735553">
          <w:rPr>
            <w:rFonts w:asciiTheme="minorHAnsi" w:eastAsiaTheme="minorEastAsia" w:hAnsiTheme="minorHAnsi" w:cstheme="minorBidi"/>
            <w:i w:val="0"/>
            <w:noProof/>
            <w:szCs w:val="22"/>
            <w:lang w:eastAsia="en-NZ"/>
          </w:rPr>
          <w:tab/>
        </w:r>
        <w:r w:rsidR="00735553" w:rsidRPr="00F77A30">
          <w:rPr>
            <w:rStyle w:val="Hyperlink"/>
            <w:noProof/>
          </w:rPr>
          <w:t>Multiple logistic regression</w:t>
        </w:r>
        <w:r w:rsidR="00735553">
          <w:rPr>
            <w:noProof/>
            <w:webHidden/>
          </w:rPr>
          <w:tab/>
        </w:r>
        <w:r w:rsidR="00735553">
          <w:rPr>
            <w:noProof/>
            <w:webHidden/>
          </w:rPr>
          <w:fldChar w:fldCharType="begin"/>
        </w:r>
        <w:r w:rsidR="00735553">
          <w:rPr>
            <w:noProof/>
            <w:webHidden/>
          </w:rPr>
          <w:instrText xml:space="preserve"> PAGEREF _Toc504488378 \h </w:instrText>
        </w:r>
        <w:r w:rsidR="00735553">
          <w:rPr>
            <w:noProof/>
            <w:webHidden/>
          </w:rPr>
        </w:r>
        <w:r w:rsidR="00735553">
          <w:rPr>
            <w:noProof/>
            <w:webHidden/>
          </w:rPr>
          <w:fldChar w:fldCharType="separate"/>
        </w:r>
        <w:r>
          <w:rPr>
            <w:noProof/>
            <w:webHidden/>
          </w:rPr>
          <w:t>64</w:t>
        </w:r>
        <w:r w:rsidR="00735553">
          <w:rPr>
            <w:noProof/>
            <w:webHidden/>
          </w:rPr>
          <w:fldChar w:fldCharType="end"/>
        </w:r>
      </w:hyperlink>
    </w:p>
    <w:p w14:paraId="7AA3BB0E"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79" w:history="1">
        <w:r w:rsidR="00735553" w:rsidRPr="00F77A30">
          <w:rPr>
            <w:rStyle w:val="Hyperlink"/>
            <w:noProof/>
          </w:rPr>
          <w:t>3.9.3</w:t>
        </w:r>
        <w:r w:rsidR="00735553">
          <w:rPr>
            <w:rFonts w:asciiTheme="minorHAnsi" w:eastAsiaTheme="minorEastAsia" w:hAnsiTheme="minorHAnsi" w:cstheme="minorBidi"/>
            <w:i w:val="0"/>
            <w:noProof/>
            <w:szCs w:val="22"/>
            <w:lang w:eastAsia="en-NZ"/>
          </w:rPr>
          <w:tab/>
        </w:r>
        <w:r w:rsidR="00735553" w:rsidRPr="00F77A30">
          <w:rPr>
            <w:rStyle w:val="Hyperlink"/>
            <w:noProof/>
          </w:rPr>
          <w:t>Multiple logistic regression - Māori</w:t>
        </w:r>
        <w:r w:rsidR="00735553">
          <w:rPr>
            <w:noProof/>
            <w:webHidden/>
          </w:rPr>
          <w:tab/>
        </w:r>
        <w:r w:rsidR="00735553">
          <w:rPr>
            <w:noProof/>
            <w:webHidden/>
          </w:rPr>
          <w:fldChar w:fldCharType="begin"/>
        </w:r>
        <w:r w:rsidR="00735553">
          <w:rPr>
            <w:noProof/>
            <w:webHidden/>
          </w:rPr>
          <w:instrText xml:space="preserve"> PAGEREF _Toc504488379 \h </w:instrText>
        </w:r>
        <w:r w:rsidR="00735553">
          <w:rPr>
            <w:noProof/>
            <w:webHidden/>
          </w:rPr>
        </w:r>
        <w:r w:rsidR="00735553">
          <w:rPr>
            <w:noProof/>
            <w:webHidden/>
          </w:rPr>
          <w:fldChar w:fldCharType="separate"/>
        </w:r>
        <w:r>
          <w:rPr>
            <w:noProof/>
            <w:webHidden/>
          </w:rPr>
          <w:t>67</w:t>
        </w:r>
        <w:r w:rsidR="00735553">
          <w:rPr>
            <w:noProof/>
            <w:webHidden/>
          </w:rPr>
          <w:fldChar w:fldCharType="end"/>
        </w:r>
      </w:hyperlink>
    </w:p>
    <w:p w14:paraId="764BFFD2" w14:textId="77777777" w:rsidR="00735553" w:rsidRDefault="00D5752E">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04488380" w:history="1">
        <w:r w:rsidR="00735553" w:rsidRPr="00F77A30">
          <w:rPr>
            <w:rStyle w:val="Hyperlink"/>
            <w:noProof/>
          </w:rPr>
          <w:t>3.9.4</w:t>
        </w:r>
        <w:r w:rsidR="00735553">
          <w:rPr>
            <w:rFonts w:asciiTheme="minorHAnsi" w:eastAsiaTheme="minorEastAsia" w:hAnsiTheme="minorHAnsi" w:cstheme="minorBidi"/>
            <w:i w:val="0"/>
            <w:noProof/>
            <w:szCs w:val="22"/>
            <w:lang w:eastAsia="en-NZ"/>
          </w:rPr>
          <w:tab/>
        </w:r>
        <w:r w:rsidR="00735553" w:rsidRPr="00F77A30">
          <w:rPr>
            <w:rStyle w:val="Hyperlink"/>
            <w:noProof/>
          </w:rPr>
          <w:t>Multiple logistic regression - Pacific people</w:t>
        </w:r>
        <w:r w:rsidR="00735553">
          <w:rPr>
            <w:noProof/>
            <w:webHidden/>
          </w:rPr>
          <w:tab/>
        </w:r>
        <w:r w:rsidR="00735553">
          <w:rPr>
            <w:noProof/>
            <w:webHidden/>
          </w:rPr>
          <w:fldChar w:fldCharType="begin"/>
        </w:r>
        <w:r w:rsidR="00735553">
          <w:rPr>
            <w:noProof/>
            <w:webHidden/>
          </w:rPr>
          <w:instrText xml:space="preserve"> PAGEREF _Toc504488380 \h </w:instrText>
        </w:r>
        <w:r w:rsidR="00735553">
          <w:rPr>
            <w:noProof/>
            <w:webHidden/>
          </w:rPr>
        </w:r>
        <w:r w:rsidR="00735553">
          <w:rPr>
            <w:noProof/>
            <w:webHidden/>
          </w:rPr>
          <w:fldChar w:fldCharType="separate"/>
        </w:r>
        <w:r>
          <w:rPr>
            <w:noProof/>
            <w:webHidden/>
          </w:rPr>
          <w:t>69</w:t>
        </w:r>
        <w:r w:rsidR="00735553">
          <w:rPr>
            <w:noProof/>
            <w:webHidden/>
          </w:rPr>
          <w:fldChar w:fldCharType="end"/>
        </w:r>
      </w:hyperlink>
    </w:p>
    <w:p w14:paraId="5CA1FF51" w14:textId="77777777" w:rsidR="00735553" w:rsidRDefault="00D5752E">
      <w:pPr>
        <w:pStyle w:val="TOC2"/>
        <w:tabs>
          <w:tab w:val="left" w:pos="960"/>
          <w:tab w:val="right" w:leader="dot" w:pos="8296"/>
        </w:tabs>
        <w:rPr>
          <w:rFonts w:asciiTheme="minorHAnsi" w:eastAsiaTheme="minorEastAsia" w:hAnsiTheme="minorHAnsi" w:cstheme="minorBidi"/>
          <w:noProof/>
          <w:szCs w:val="22"/>
          <w:lang w:eastAsia="en-NZ"/>
        </w:rPr>
      </w:pPr>
      <w:hyperlink w:anchor="_Toc504488381" w:history="1">
        <w:r w:rsidR="00735553" w:rsidRPr="00F77A30">
          <w:rPr>
            <w:rStyle w:val="Hyperlink"/>
            <w:noProof/>
          </w:rPr>
          <w:t>3.10</w:t>
        </w:r>
        <w:r w:rsidR="00735553">
          <w:rPr>
            <w:rFonts w:asciiTheme="minorHAnsi" w:eastAsiaTheme="minorEastAsia" w:hAnsiTheme="minorHAnsi" w:cstheme="minorBidi"/>
            <w:noProof/>
            <w:szCs w:val="22"/>
            <w:lang w:eastAsia="en-NZ"/>
          </w:rPr>
          <w:tab/>
        </w:r>
        <w:r w:rsidR="00735553" w:rsidRPr="00F77A30">
          <w:rPr>
            <w:rStyle w:val="Hyperlink"/>
            <w:noProof/>
          </w:rPr>
          <w:t>Associations with the chance of being a past year moderate-risk/problem gambler vs. being a low-risk/non-problem/non-gambler across Waves 1 to 4</w:t>
        </w:r>
        <w:r w:rsidR="00735553">
          <w:rPr>
            <w:noProof/>
            <w:webHidden/>
          </w:rPr>
          <w:tab/>
        </w:r>
        <w:r w:rsidR="00735553">
          <w:rPr>
            <w:noProof/>
            <w:webHidden/>
          </w:rPr>
          <w:fldChar w:fldCharType="begin"/>
        </w:r>
        <w:r w:rsidR="00735553">
          <w:rPr>
            <w:noProof/>
            <w:webHidden/>
          </w:rPr>
          <w:instrText xml:space="preserve"> PAGEREF _Toc504488381 \h </w:instrText>
        </w:r>
        <w:r w:rsidR="00735553">
          <w:rPr>
            <w:noProof/>
            <w:webHidden/>
          </w:rPr>
        </w:r>
        <w:r w:rsidR="00735553">
          <w:rPr>
            <w:noProof/>
            <w:webHidden/>
          </w:rPr>
          <w:fldChar w:fldCharType="separate"/>
        </w:r>
        <w:r>
          <w:rPr>
            <w:noProof/>
            <w:webHidden/>
          </w:rPr>
          <w:t>71</w:t>
        </w:r>
        <w:r w:rsidR="00735553">
          <w:rPr>
            <w:noProof/>
            <w:webHidden/>
          </w:rPr>
          <w:fldChar w:fldCharType="end"/>
        </w:r>
      </w:hyperlink>
    </w:p>
    <w:p w14:paraId="4DCCB325" w14:textId="77777777" w:rsidR="00735553" w:rsidRDefault="00D5752E">
      <w:pPr>
        <w:pStyle w:val="TOC3"/>
        <w:tabs>
          <w:tab w:val="left" w:pos="1440"/>
          <w:tab w:val="right" w:leader="dot" w:pos="8296"/>
        </w:tabs>
        <w:rPr>
          <w:rFonts w:asciiTheme="minorHAnsi" w:eastAsiaTheme="minorEastAsia" w:hAnsiTheme="minorHAnsi" w:cstheme="minorBidi"/>
          <w:i w:val="0"/>
          <w:noProof/>
          <w:szCs w:val="22"/>
          <w:lang w:eastAsia="en-NZ"/>
        </w:rPr>
      </w:pPr>
      <w:hyperlink w:anchor="_Toc504488382" w:history="1">
        <w:r w:rsidR="00735553" w:rsidRPr="00F77A30">
          <w:rPr>
            <w:rStyle w:val="Hyperlink"/>
            <w:noProof/>
          </w:rPr>
          <w:t>3.10.1</w:t>
        </w:r>
        <w:r w:rsidR="00735553">
          <w:rPr>
            <w:rFonts w:asciiTheme="minorHAnsi" w:eastAsiaTheme="minorEastAsia" w:hAnsiTheme="minorHAnsi" w:cstheme="minorBidi"/>
            <w:i w:val="0"/>
            <w:noProof/>
            <w:szCs w:val="22"/>
            <w:lang w:eastAsia="en-NZ"/>
          </w:rPr>
          <w:tab/>
        </w:r>
        <w:r w:rsidR="00735553" w:rsidRPr="00F77A30">
          <w:rPr>
            <w:rStyle w:val="Hyperlink"/>
            <w:noProof/>
          </w:rPr>
          <w:t>Bivariate associations</w:t>
        </w:r>
        <w:r w:rsidR="00735553">
          <w:rPr>
            <w:noProof/>
            <w:webHidden/>
          </w:rPr>
          <w:tab/>
        </w:r>
        <w:r w:rsidR="00735553">
          <w:rPr>
            <w:noProof/>
            <w:webHidden/>
          </w:rPr>
          <w:fldChar w:fldCharType="begin"/>
        </w:r>
        <w:r w:rsidR="00735553">
          <w:rPr>
            <w:noProof/>
            <w:webHidden/>
          </w:rPr>
          <w:instrText xml:space="preserve"> PAGEREF _Toc504488382 \h </w:instrText>
        </w:r>
        <w:r w:rsidR="00735553">
          <w:rPr>
            <w:noProof/>
            <w:webHidden/>
          </w:rPr>
        </w:r>
        <w:r w:rsidR="00735553">
          <w:rPr>
            <w:noProof/>
            <w:webHidden/>
          </w:rPr>
          <w:fldChar w:fldCharType="separate"/>
        </w:r>
        <w:r>
          <w:rPr>
            <w:noProof/>
            <w:webHidden/>
          </w:rPr>
          <w:t>71</w:t>
        </w:r>
        <w:r w:rsidR="00735553">
          <w:rPr>
            <w:noProof/>
            <w:webHidden/>
          </w:rPr>
          <w:fldChar w:fldCharType="end"/>
        </w:r>
      </w:hyperlink>
    </w:p>
    <w:p w14:paraId="410181C9" w14:textId="77777777" w:rsidR="00735553" w:rsidRDefault="00D5752E">
      <w:pPr>
        <w:pStyle w:val="TOC3"/>
        <w:tabs>
          <w:tab w:val="left" w:pos="1440"/>
          <w:tab w:val="right" w:leader="dot" w:pos="8296"/>
        </w:tabs>
        <w:rPr>
          <w:rFonts w:asciiTheme="minorHAnsi" w:eastAsiaTheme="minorEastAsia" w:hAnsiTheme="minorHAnsi" w:cstheme="minorBidi"/>
          <w:i w:val="0"/>
          <w:noProof/>
          <w:szCs w:val="22"/>
          <w:lang w:eastAsia="en-NZ"/>
        </w:rPr>
      </w:pPr>
      <w:hyperlink w:anchor="_Toc504488383" w:history="1">
        <w:r w:rsidR="00735553" w:rsidRPr="00F77A30">
          <w:rPr>
            <w:rStyle w:val="Hyperlink"/>
            <w:noProof/>
          </w:rPr>
          <w:t>3.10.2</w:t>
        </w:r>
        <w:r w:rsidR="00735553">
          <w:rPr>
            <w:rFonts w:asciiTheme="minorHAnsi" w:eastAsiaTheme="minorEastAsia" w:hAnsiTheme="minorHAnsi" w:cstheme="minorBidi"/>
            <w:i w:val="0"/>
            <w:noProof/>
            <w:szCs w:val="22"/>
            <w:lang w:eastAsia="en-NZ"/>
          </w:rPr>
          <w:tab/>
        </w:r>
        <w:r w:rsidR="00735553" w:rsidRPr="00F77A30">
          <w:rPr>
            <w:rStyle w:val="Hyperlink"/>
            <w:noProof/>
          </w:rPr>
          <w:t>Multiple logistic regression</w:t>
        </w:r>
        <w:r w:rsidR="00735553">
          <w:rPr>
            <w:noProof/>
            <w:webHidden/>
          </w:rPr>
          <w:tab/>
        </w:r>
        <w:r w:rsidR="00735553">
          <w:rPr>
            <w:noProof/>
            <w:webHidden/>
          </w:rPr>
          <w:fldChar w:fldCharType="begin"/>
        </w:r>
        <w:r w:rsidR="00735553">
          <w:rPr>
            <w:noProof/>
            <w:webHidden/>
          </w:rPr>
          <w:instrText xml:space="preserve"> PAGEREF _Toc504488383 \h </w:instrText>
        </w:r>
        <w:r w:rsidR="00735553">
          <w:rPr>
            <w:noProof/>
            <w:webHidden/>
          </w:rPr>
        </w:r>
        <w:r w:rsidR="00735553">
          <w:rPr>
            <w:noProof/>
            <w:webHidden/>
          </w:rPr>
          <w:fldChar w:fldCharType="separate"/>
        </w:r>
        <w:r>
          <w:rPr>
            <w:noProof/>
            <w:webHidden/>
          </w:rPr>
          <w:t>72</w:t>
        </w:r>
        <w:r w:rsidR="00735553">
          <w:rPr>
            <w:noProof/>
            <w:webHidden/>
          </w:rPr>
          <w:fldChar w:fldCharType="end"/>
        </w:r>
      </w:hyperlink>
    </w:p>
    <w:p w14:paraId="71DCD2B5" w14:textId="77777777" w:rsidR="00735553" w:rsidRDefault="00D5752E">
      <w:pPr>
        <w:pStyle w:val="TOC3"/>
        <w:tabs>
          <w:tab w:val="left" w:pos="1440"/>
          <w:tab w:val="right" w:leader="dot" w:pos="8296"/>
        </w:tabs>
        <w:rPr>
          <w:rFonts w:asciiTheme="minorHAnsi" w:eastAsiaTheme="minorEastAsia" w:hAnsiTheme="minorHAnsi" w:cstheme="minorBidi"/>
          <w:i w:val="0"/>
          <w:noProof/>
          <w:szCs w:val="22"/>
          <w:lang w:eastAsia="en-NZ"/>
        </w:rPr>
      </w:pPr>
      <w:hyperlink w:anchor="_Toc504488384" w:history="1">
        <w:r w:rsidR="00735553" w:rsidRPr="00F77A30">
          <w:rPr>
            <w:rStyle w:val="Hyperlink"/>
            <w:noProof/>
          </w:rPr>
          <w:t>3.10.3</w:t>
        </w:r>
        <w:r w:rsidR="00735553">
          <w:rPr>
            <w:rFonts w:asciiTheme="minorHAnsi" w:eastAsiaTheme="minorEastAsia" w:hAnsiTheme="minorHAnsi" w:cstheme="minorBidi"/>
            <w:i w:val="0"/>
            <w:noProof/>
            <w:szCs w:val="22"/>
            <w:lang w:eastAsia="en-NZ"/>
          </w:rPr>
          <w:tab/>
        </w:r>
        <w:r w:rsidR="00735553" w:rsidRPr="00F77A30">
          <w:rPr>
            <w:rStyle w:val="Hyperlink"/>
            <w:noProof/>
          </w:rPr>
          <w:t>Multiple logistic regression - Māori</w:t>
        </w:r>
        <w:r w:rsidR="00735553">
          <w:rPr>
            <w:noProof/>
            <w:webHidden/>
          </w:rPr>
          <w:tab/>
        </w:r>
        <w:r w:rsidR="00735553">
          <w:rPr>
            <w:noProof/>
            <w:webHidden/>
          </w:rPr>
          <w:fldChar w:fldCharType="begin"/>
        </w:r>
        <w:r w:rsidR="00735553">
          <w:rPr>
            <w:noProof/>
            <w:webHidden/>
          </w:rPr>
          <w:instrText xml:space="preserve"> PAGEREF _Toc504488384 \h </w:instrText>
        </w:r>
        <w:r w:rsidR="00735553">
          <w:rPr>
            <w:noProof/>
            <w:webHidden/>
          </w:rPr>
        </w:r>
        <w:r w:rsidR="00735553">
          <w:rPr>
            <w:noProof/>
            <w:webHidden/>
          </w:rPr>
          <w:fldChar w:fldCharType="separate"/>
        </w:r>
        <w:r>
          <w:rPr>
            <w:noProof/>
            <w:webHidden/>
          </w:rPr>
          <w:t>75</w:t>
        </w:r>
        <w:r w:rsidR="00735553">
          <w:rPr>
            <w:noProof/>
            <w:webHidden/>
          </w:rPr>
          <w:fldChar w:fldCharType="end"/>
        </w:r>
      </w:hyperlink>
    </w:p>
    <w:p w14:paraId="3F8C7007" w14:textId="77777777" w:rsidR="00735553" w:rsidRDefault="00D5752E">
      <w:pPr>
        <w:pStyle w:val="TOC3"/>
        <w:tabs>
          <w:tab w:val="left" w:pos="1440"/>
          <w:tab w:val="right" w:leader="dot" w:pos="8296"/>
        </w:tabs>
        <w:rPr>
          <w:rFonts w:asciiTheme="minorHAnsi" w:eastAsiaTheme="minorEastAsia" w:hAnsiTheme="minorHAnsi" w:cstheme="minorBidi"/>
          <w:i w:val="0"/>
          <w:noProof/>
          <w:szCs w:val="22"/>
          <w:lang w:eastAsia="en-NZ"/>
        </w:rPr>
      </w:pPr>
      <w:hyperlink w:anchor="_Toc504488385" w:history="1">
        <w:r w:rsidR="00735553" w:rsidRPr="00F77A30">
          <w:rPr>
            <w:rStyle w:val="Hyperlink"/>
            <w:noProof/>
          </w:rPr>
          <w:t>3.10.4</w:t>
        </w:r>
        <w:r w:rsidR="00735553">
          <w:rPr>
            <w:rFonts w:asciiTheme="minorHAnsi" w:eastAsiaTheme="minorEastAsia" w:hAnsiTheme="minorHAnsi" w:cstheme="minorBidi"/>
            <w:i w:val="0"/>
            <w:noProof/>
            <w:szCs w:val="22"/>
            <w:lang w:eastAsia="en-NZ"/>
          </w:rPr>
          <w:tab/>
        </w:r>
        <w:r w:rsidR="00735553" w:rsidRPr="00F77A30">
          <w:rPr>
            <w:rStyle w:val="Hyperlink"/>
            <w:noProof/>
          </w:rPr>
          <w:t>Multiple logistic regression - Pacific people</w:t>
        </w:r>
        <w:r w:rsidR="00735553">
          <w:rPr>
            <w:noProof/>
            <w:webHidden/>
          </w:rPr>
          <w:tab/>
        </w:r>
        <w:r w:rsidR="00735553">
          <w:rPr>
            <w:noProof/>
            <w:webHidden/>
          </w:rPr>
          <w:fldChar w:fldCharType="begin"/>
        </w:r>
        <w:r w:rsidR="00735553">
          <w:rPr>
            <w:noProof/>
            <w:webHidden/>
          </w:rPr>
          <w:instrText xml:space="preserve"> PAGEREF _Toc504488385 \h </w:instrText>
        </w:r>
        <w:r w:rsidR="00735553">
          <w:rPr>
            <w:noProof/>
            <w:webHidden/>
          </w:rPr>
        </w:r>
        <w:r w:rsidR="00735553">
          <w:rPr>
            <w:noProof/>
            <w:webHidden/>
          </w:rPr>
          <w:fldChar w:fldCharType="separate"/>
        </w:r>
        <w:r>
          <w:rPr>
            <w:noProof/>
            <w:webHidden/>
          </w:rPr>
          <w:t>76</w:t>
        </w:r>
        <w:r w:rsidR="00735553">
          <w:rPr>
            <w:noProof/>
            <w:webHidden/>
          </w:rPr>
          <w:fldChar w:fldCharType="end"/>
        </w:r>
      </w:hyperlink>
    </w:p>
    <w:p w14:paraId="09B28334" w14:textId="77777777" w:rsidR="00735553" w:rsidRDefault="00D5752E">
      <w:pPr>
        <w:pStyle w:val="TOC2"/>
        <w:tabs>
          <w:tab w:val="left" w:pos="960"/>
          <w:tab w:val="right" w:leader="dot" w:pos="8296"/>
        </w:tabs>
        <w:rPr>
          <w:rFonts w:asciiTheme="minorHAnsi" w:eastAsiaTheme="minorEastAsia" w:hAnsiTheme="minorHAnsi" w:cstheme="minorBidi"/>
          <w:noProof/>
          <w:szCs w:val="22"/>
          <w:lang w:eastAsia="en-NZ"/>
        </w:rPr>
      </w:pPr>
      <w:hyperlink w:anchor="_Toc504488386" w:history="1">
        <w:r w:rsidR="00735553" w:rsidRPr="00F77A30">
          <w:rPr>
            <w:rStyle w:val="Hyperlink"/>
            <w:noProof/>
          </w:rPr>
          <w:t>3.11</w:t>
        </w:r>
        <w:r w:rsidR="00735553">
          <w:rPr>
            <w:rFonts w:asciiTheme="minorHAnsi" w:eastAsiaTheme="minorEastAsia" w:hAnsiTheme="minorHAnsi" w:cstheme="minorBidi"/>
            <w:noProof/>
            <w:szCs w:val="22"/>
            <w:lang w:eastAsia="en-NZ"/>
          </w:rPr>
          <w:tab/>
        </w:r>
        <w:r w:rsidR="00735553" w:rsidRPr="00F77A30">
          <w:rPr>
            <w:rStyle w:val="Hyperlink"/>
            <w:noProof/>
          </w:rPr>
          <w:t>Recovery from moderate-risk/problem gambling</w:t>
        </w:r>
        <w:r w:rsidR="00735553">
          <w:rPr>
            <w:noProof/>
            <w:webHidden/>
          </w:rPr>
          <w:tab/>
        </w:r>
        <w:r w:rsidR="00735553">
          <w:rPr>
            <w:noProof/>
            <w:webHidden/>
          </w:rPr>
          <w:fldChar w:fldCharType="begin"/>
        </w:r>
        <w:r w:rsidR="00735553">
          <w:rPr>
            <w:noProof/>
            <w:webHidden/>
          </w:rPr>
          <w:instrText xml:space="preserve"> PAGEREF _Toc504488386 \h </w:instrText>
        </w:r>
        <w:r w:rsidR="00735553">
          <w:rPr>
            <w:noProof/>
            <w:webHidden/>
          </w:rPr>
        </w:r>
        <w:r w:rsidR="00735553">
          <w:rPr>
            <w:noProof/>
            <w:webHidden/>
          </w:rPr>
          <w:fldChar w:fldCharType="separate"/>
        </w:r>
        <w:r>
          <w:rPr>
            <w:noProof/>
            <w:webHidden/>
          </w:rPr>
          <w:t>77</w:t>
        </w:r>
        <w:r w:rsidR="00735553">
          <w:rPr>
            <w:noProof/>
            <w:webHidden/>
          </w:rPr>
          <w:fldChar w:fldCharType="end"/>
        </w:r>
      </w:hyperlink>
    </w:p>
    <w:p w14:paraId="20602062" w14:textId="77777777" w:rsidR="00735553" w:rsidRDefault="00D5752E">
      <w:pPr>
        <w:pStyle w:val="TOC3"/>
        <w:tabs>
          <w:tab w:val="left" w:pos="1440"/>
          <w:tab w:val="right" w:leader="dot" w:pos="8296"/>
        </w:tabs>
        <w:rPr>
          <w:rFonts w:asciiTheme="minorHAnsi" w:eastAsiaTheme="minorEastAsia" w:hAnsiTheme="minorHAnsi" w:cstheme="minorBidi"/>
          <w:i w:val="0"/>
          <w:noProof/>
          <w:szCs w:val="22"/>
          <w:lang w:eastAsia="en-NZ"/>
        </w:rPr>
      </w:pPr>
      <w:hyperlink w:anchor="_Toc504488387" w:history="1">
        <w:r w:rsidR="00735553" w:rsidRPr="00F77A30">
          <w:rPr>
            <w:rStyle w:val="Hyperlink"/>
            <w:noProof/>
          </w:rPr>
          <w:t>3.11.1</w:t>
        </w:r>
        <w:r w:rsidR="00735553">
          <w:rPr>
            <w:rFonts w:asciiTheme="minorHAnsi" w:eastAsiaTheme="minorEastAsia" w:hAnsiTheme="minorHAnsi" w:cstheme="minorBidi"/>
            <w:i w:val="0"/>
            <w:noProof/>
            <w:szCs w:val="22"/>
            <w:lang w:eastAsia="en-NZ"/>
          </w:rPr>
          <w:tab/>
        </w:r>
        <w:r w:rsidR="00735553" w:rsidRPr="00F77A30">
          <w:rPr>
            <w:rStyle w:val="Hyperlink"/>
            <w:noProof/>
          </w:rPr>
          <w:t>Bivariate associations</w:t>
        </w:r>
        <w:r w:rsidR="00735553">
          <w:rPr>
            <w:noProof/>
            <w:webHidden/>
          </w:rPr>
          <w:tab/>
        </w:r>
        <w:r w:rsidR="00735553">
          <w:rPr>
            <w:noProof/>
            <w:webHidden/>
          </w:rPr>
          <w:fldChar w:fldCharType="begin"/>
        </w:r>
        <w:r w:rsidR="00735553">
          <w:rPr>
            <w:noProof/>
            <w:webHidden/>
          </w:rPr>
          <w:instrText xml:space="preserve"> PAGEREF _Toc504488387 \h </w:instrText>
        </w:r>
        <w:r w:rsidR="00735553">
          <w:rPr>
            <w:noProof/>
            <w:webHidden/>
          </w:rPr>
        </w:r>
        <w:r w:rsidR="00735553">
          <w:rPr>
            <w:noProof/>
            <w:webHidden/>
          </w:rPr>
          <w:fldChar w:fldCharType="separate"/>
        </w:r>
        <w:r>
          <w:rPr>
            <w:noProof/>
            <w:webHidden/>
          </w:rPr>
          <w:t>78</w:t>
        </w:r>
        <w:r w:rsidR="00735553">
          <w:rPr>
            <w:noProof/>
            <w:webHidden/>
          </w:rPr>
          <w:fldChar w:fldCharType="end"/>
        </w:r>
      </w:hyperlink>
    </w:p>
    <w:p w14:paraId="22C715D0" w14:textId="77777777" w:rsidR="00735553" w:rsidRDefault="00D5752E">
      <w:pPr>
        <w:pStyle w:val="TOC3"/>
        <w:tabs>
          <w:tab w:val="left" w:pos="1440"/>
          <w:tab w:val="right" w:leader="dot" w:pos="8296"/>
        </w:tabs>
        <w:rPr>
          <w:rFonts w:asciiTheme="minorHAnsi" w:eastAsiaTheme="minorEastAsia" w:hAnsiTheme="minorHAnsi" w:cstheme="minorBidi"/>
          <w:i w:val="0"/>
          <w:noProof/>
          <w:szCs w:val="22"/>
          <w:lang w:eastAsia="en-NZ"/>
        </w:rPr>
      </w:pPr>
      <w:hyperlink w:anchor="_Toc504488388" w:history="1">
        <w:r w:rsidR="00735553" w:rsidRPr="00F77A30">
          <w:rPr>
            <w:rStyle w:val="Hyperlink"/>
            <w:noProof/>
          </w:rPr>
          <w:t>3.11.2</w:t>
        </w:r>
        <w:r w:rsidR="00735553">
          <w:rPr>
            <w:rFonts w:asciiTheme="minorHAnsi" w:eastAsiaTheme="minorEastAsia" w:hAnsiTheme="minorHAnsi" w:cstheme="minorBidi"/>
            <w:i w:val="0"/>
            <w:noProof/>
            <w:szCs w:val="22"/>
            <w:lang w:eastAsia="en-NZ"/>
          </w:rPr>
          <w:tab/>
        </w:r>
        <w:r w:rsidR="00735553" w:rsidRPr="00F77A30">
          <w:rPr>
            <w:rStyle w:val="Hyperlink"/>
            <w:noProof/>
          </w:rPr>
          <w:t>Multiple logistic regression</w:t>
        </w:r>
        <w:r w:rsidR="00735553">
          <w:rPr>
            <w:noProof/>
            <w:webHidden/>
          </w:rPr>
          <w:tab/>
        </w:r>
        <w:r w:rsidR="00735553">
          <w:rPr>
            <w:noProof/>
            <w:webHidden/>
          </w:rPr>
          <w:fldChar w:fldCharType="begin"/>
        </w:r>
        <w:r w:rsidR="00735553">
          <w:rPr>
            <w:noProof/>
            <w:webHidden/>
          </w:rPr>
          <w:instrText xml:space="preserve"> PAGEREF _Toc504488388 \h </w:instrText>
        </w:r>
        <w:r w:rsidR="00735553">
          <w:rPr>
            <w:noProof/>
            <w:webHidden/>
          </w:rPr>
        </w:r>
        <w:r w:rsidR="00735553">
          <w:rPr>
            <w:noProof/>
            <w:webHidden/>
          </w:rPr>
          <w:fldChar w:fldCharType="separate"/>
        </w:r>
        <w:r>
          <w:rPr>
            <w:noProof/>
            <w:webHidden/>
          </w:rPr>
          <w:t>78</w:t>
        </w:r>
        <w:r w:rsidR="00735553">
          <w:rPr>
            <w:noProof/>
            <w:webHidden/>
          </w:rPr>
          <w:fldChar w:fldCharType="end"/>
        </w:r>
      </w:hyperlink>
    </w:p>
    <w:p w14:paraId="4A9C879B" w14:textId="77777777" w:rsidR="00735553" w:rsidRDefault="00D5752E">
      <w:pPr>
        <w:pStyle w:val="TOC2"/>
        <w:tabs>
          <w:tab w:val="left" w:pos="960"/>
          <w:tab w:val="right" w:leader="dot" w:pos="8296"/>
        </w:tabs>
        <w:rPr>
          <w:rFonts w:asciiTheme="minorHAnsi" w:eastAsiaTheme="minorEastAsia" w:hAnsiTheme="minorHAnsi" w:cstheme="minorBidi"/>
          <w:noProof/>
          <w:szCs w:val="22"/>
          <w:lang w:eastAsia="en-NZ"/>
        </w:rPr>
      </w:pPr>
      <w:hyperlink w:anchor="_Toc504488389" w:history="1">
        <w:r w:rsidR="00735553" w:rsidRPr="00F77A30">
          <w:rPr>
            <w:rStyle w:val="Hyperlink"/>
            <w:noProof/>
          </w:rPr>
          <w:t>3.12</w:t>
        </w:r>
        <w:r w:rsidR="00735553">
          <w:rPr>
            <w:rFonts w:asciiTheme="minorHAnsi" w:eastAsiaTheme="minorEastAsia" w:hAnsiTheme="minorHAnsi" w:cstheme="minorBidi"/>
            <w:noProof/>
            <w:szCs w:val="22"/>
            <w:lang w:eastAsia="en-NZ"/>
          </w:rPr>
          <w:tab/>
        </w:r>
        <w:r w:rsidR="00735553" w:rsidRPr="00F77A30">
          <w:rPr>
            <w:rStyle w:val="Hyperlink"/>
            <w:noProof/>
          </w:rPr>
          <w:t>Relapse into moderate-risk/problem gambling</w:t>
        </w:r>
        <w:r w:rsidR="00735553">
          <w:rPr>
            <w:noProof/>
            <w:webHidden/>
          </w:rPr>
          <w:tab/>
        </w:r>
        <w:r w:rsidR="00735553">
          <w:rPr>
            <w:noProof/>
            <w:webHidden/>
          </w:rPr>
          <w:fldChar w:fldCharType="begin"/>
        </w:r>
        <w:r w:rsidR="00735553">
          <w:rPr>
            <w:noProof/>
            <w:webHidden/>
          </w:rPr>
          <w:instrText xml:space="preserve"> PAGEREF _Toc504488389 \h </w:instrText>
        </w:r>
        <w:r w:rsidR="00735553">
          <w:rPr>
            <w:noProof/>
            <w:webHidden/>
          </w:rPr>
        </w:r>
        <w:r w:rsidR="00735553">
          <w:rPr>
            <w:noProof/>
            <w:webHidden/>
          </w:rPr>
          <w:fldChar w:fldCharType="separate"/>
        </w:r>
        <w:r>
          <w:rPr>
            <w:noProof/>
            <w:webHidden/>
          </w:rPr>
          <w:t>79</w:t>
        </w:r>
        <w:r w:rsidR="00735553">
          <w:rPr>
            <w:noProof/>
            <w:webHidden/>
          </w:rPr>
          <w:fldChar w:fldCharType="end"/>
        </w:r>
      </w:hyperlink>
    </w:p>
    <w:p w14:paraId="720B243D" w14:textId="77777777" w:rsidR="00735553" w:rsidRDefault="00D5752E">
      <w:pPr>
        <w:pStyle w:val="TOC3"/>
        <w:tabs>
          <w:tab w:val="left" w:pos="1440"/>
          <w:tab w:val="right" w:leader="dot" w:pos="8296"/>
        </w:tabs>
        <w:rPr>
          <w:rFonts w:asciiTheme="minorHAnsi" w:eastAsiaTheme="minorEastAsia" w:hAnsiTheme="minorHAnsi" w:cstheme="minorBidi"/>
          <w:i w:val="0"/>
          <w:noProof/>
          <w:szCs w:val="22"/>
          <w:lang w:eastAsia="en-NZ"/>
        </w:rPr>
      </w:pPr>
      <w:hyperlink w:anchor="_Toc504488390" w:history="1">
        <w:r w:rsidR="00735553" w:rsidRPr="00F77A30">
          <w:rPr>
            <w:rStyle w:val="Hyperlink"/>
            <w:noProof/>
          </w:rPr>
          <w:t>3.12.1</w:t>
        </w:r>
        <w:r w:rsidR="00735553">
          <w:rPr>
            <w:rFonts w:asciiTheme="minorHAnsi" w:eastAsiaTheme="minorEastAsia" w:hAnsiTheme="minorHAnsi" w:cstheme="minorBidi"/>
            <w:i w:val="0"/>
            <w:noProof/>
            <w:szCs w:val="22"/>
            <w:lang w:eastAsia="en-NZ"/>
          </w:rPr>
          <w:tab/>
        </w:r>
        <w:r w:rsidR="00735553" w:rsidRPr="00F77A30">
          <w:rPr>
            <w:rStyle w:val="Hyperlink"/>
            <w:noProof/>
          </w:rPr>
          <w:t>Bivariate associations</w:t>
        </w:r>
        <w:r w:rsidR="00735553">
          <w:rPr>
            <w:noProof/>
            <w:webHidden/>
          </w:rPr>
          <w:tab/>
        </w:r>
        <w:r w:rsidR="00735553">
          <w:rPr>
            <w:noProof/>
            <w:webHidden/>
          </w:rPr>
          <w:fldChar w:fldCharType="begin"/>
        </w:r>
        <w:r w:rsidR="00735553">
          <w:rPr>
            <w:noProof/>
            <w:webHidden/>
          </w:rPr>
          <w:instrText xml:space="preserve"> PAGEREF _Toc504488390 \h </w:instrText>
        </w:r>
        <w:r w:rsidR="00735553">
          <w:rPr>
            <w:noProof/>
            <w:webHidden/>
          </w:rPr>
        </w:r>
        <w:r w:rsidR="00735553">
          <w:rPr>
            <w:noProof/>
            <w:webHidden/>
          </w:rPr>
          <w:fldChar w:fldCharType="separate"/>
        </w:r>
        <w:r>
          <w:rPr>
            <w:noProof/>
            <w:webHidden/>
          </w:rPr>
          <w:t>79</w:t>
        </w:r>
        <w:r w:rsidR="00735553">
          <w:rPr>
            <w:noProof/>
            <w:webHidden/>
          </w:rPr>
          <w:fldChar w:fldCharType="end"/>
        </w:r>
      </w:hyperlink>
    </w:p>
    <w:p w14:paraId="307A3DAF" w14:textId="77777777" w:rsidR="00735553" w:rsidRDefault="00D5752E">
      <w:pPr>
        <w:pStyle w:val="TOC3"/>
        <w:tabs>
          <w:tab w:val="left" w:pos="1440"/>
          <w:tab w:val="right" w:leader="dot" w:pos="8296"/>
        </w:tabs>
        <w:rPr>
          <w:rFonts w:asciiTheme="minorHAnsi" w:eastAsiaTheme="minorEastAsia" w:hAnsiTheme="minorHAnsi" w:cstheme="minorBidi"/>
          <w:i w:val="0"/>
          <w:noProof/>
          <w:szCs w:val="22"/>
          <w:lang w:eastAsia="en-NZ"/>
        </w:rPr>
      </w:pPr>
      <w:hyperlink w:anchor="_Toc504488391" w:history="1">
        <w:r w:rsidR="00735553" w:rsidRPr="00F77A30">
          <w:rPr>
            <w:rStyle w:val="Hyperlink"/>
            <w:noProof/>
          </w:rPr>
          <w:t>3.12.2</w:t>
        </w:r>
        <w:r w:rsidR="00735553">
          <w:rPr>
            <w:rFonts w:asciiTheme="minorHAnsi" w:eastAsiaTheme="minorEastAsia" w:hAnsiTheme="minorHAnsi" w:cstheme="minorBidi"/>
            <w:i w:val="0"/>
            <w:noProof/>
            <w:szCs w:val="22"/>
            <w:lang w:eastAsia="en-NZ"/>
          </w:rPr>
          <w:tab/>
        </w:r>
        <w:r w:rsidR="00735553" w:rsidRPr="00F77A30">
          <w:rPr>
            <w:rStyle w:val="Hyperlink"/>
            <w:noProof/>
          </w:rPr>
          <w:t>Multiple logistic regression</w:t>
        </w:r>
        <w:r w:rsidR="00735553">
          <w:rPr>
            <w:noProof/>
            <w:webHidden/>
          </w:rPr>
          <w:tab/>
        </w:r>
        <w:r w:rsidR="00735553">
          <w:rPr>
            <w:noProof/>
            <w:webHidden/>
          </w:rPr>
          <w:fldChar w:fldCharType="begin"/>
        </w:r>
        <w:r w:rsidR="00735553">
          <w:rPr>
            <w:noProof/>
            <w:webHidden/>
          </w:rPr>
          <w:instrText xml:space="preserve"> PAGEREF _Toc504488391 \h </w:instrText>
        </w:r>
        <w:r w:rsidR="00735553">
          <w:rPr>
            <w:noProof/>
            <w:webHidden/>
          </w:rPr>
        </w:r>
        <w:r w:rsidR="00735553">
          <w:rPr>
            <w:noProof/>
            <w:webHidden/>
          </w:rPr>
          <w:fldChar w:fldCharType="separate"/>
        </w:r>
        <w:r>
          <w:rPr>
            <w:noProof/>
            <w:webHidden/>
          </w:rPr>
          <w:t>80</w:t>
        </w:r>
        <w:r w:rsidR="00735553">
          <w:rPr>
            <w:noProof/>
            <w:webHidden/>
          </w:rPr>
          <w:fldChar w:fldCharType="end"/>
        </w:r>
      </w:hyperlink>
    </w:p>
    <w:p w14:paraId="5C9D306C" w14:textId="77777777" w:rsidR="00735553" w:rsidRDefault="00D5752E">
      <w:pPr>
        <w:pStyle w:val="TOC1"/>
        <w:tabs>
          <w:tab w:val="left" w:pos="480"/>
          <w:tab w:val="right" w:leader="dot" w:pos="8296"/>
        </w:tabs>
        <w:rPr>
          <w:rFonts w:asciiTheme="minorHAnsi" w:eastAsiaTheme="minorEastAsia" w:hAnsiTheme="minorHAnsi" w:cstheme="minorBidi"/>
          <w:noProof/>
          <w:szCs w:val="22"/>
          <w:lang w:eastAsia="en-NZ"/>
        </w:rPr>
      </w:pPr>
      <w:hyperlink w:anchor="_Toc504488392" w:history="1">
        <w:r w:rsidR="00735553" w:rsidRPr="00F77A30">
          <w:rPr>
            <w:rStyle w:val="Hyperlink"/>
            <w:noProof/>
            <w:lang w:val="en-AU"/>
          </w:rPr>
          <w:t>4</w:t>
        </w:r>
        <w:r w:rsidR="00735553">
          <w:rPr>
            <w:rFonts w:asciiTheme="minorHAnsi" w:eastAsiaTheme="minorEastAsia" w:hAnsiTheme="minorHAnsi" w:cstheme="minorBidi"/>
            <w:noProof/>
            <w:szCs w:val="22"/>
            <w:lang w:eastAsia="en-NZ"/>
          </w:rPr>
          <w:tab/>
        </w:r>
        <w:r w:rsidR="00735553" w:rsidRPr="00F77A30">
          <w:rPr>
            <w:rStyle w:val="Hyperlink"/>
            <w:noProof/>
            <w:lang w:val="en-AU"/>
          </w:rPr>
          <w:t>SUMMARY, DISCUSSION AND CONCLUSIONS</w:t>
        </w:r>
        <w:r w:rsidR="00735553">
          <w:rPr>
            <w:noProof/>
            <w:webHidden/>
          </w:rPr>
          <w:tab/>
        </w:r>
        <w:r w:rsidR="00735553">
          <w:rPr>
            <w:noProof/>
            <w:webHidden/>
          </w:rPr>
          <w:fldChar w:fldCharType="begin"/>
        </w:r>
        <w:r w:rsidR="00735553">
          <w:rPr>
            <w:noProof/>
            <w:webHidden/>
          </w:rPr>
          <w:instrText xml:space="preserve"> PAGEREF _Toc504488392 \h </w:instrText>
        </w:r>
        <w:r w:rsidR="00735553">
          <w:rPr>
            <w:noProof/>
            <w:webHidden/>
          </w:rPr>
        </w:r>
        <w:r w:rsidR="00735553">
          <w:rPr>
            <w:noProof/>
            <w:webHidden/>
          </w:rPr>
          <w:fldChar w:fldCharType="separate"/>
        </w:r>
        <w:r>
          <w:rPr>
            <w:noProof/>
            <w:webHidden/>
          </w:rPr>
          <w:t>81</w:t>
        </w:r>
        <w:r w:rsidR="00735553">
          <w:rPr>
            <w:noProof/>
            <w:webHidden/>
          </w:rPr>
          <w:fldChar w:fldCharType="end"/>
        </w:r>
      </w:hyperlink>
    </w:p>
    <w:p w14:paraId="155794E0" w14:textId="77777777" w:rsidR="00735553" w:rsidRDefault="00D5752E">
      <w:pPr>
        <w:pStyle w:val="TOC1"/>
        <w:tabs>
          <w:tab w:val="left" w:pos="480"/>
          <w:tab w:val="right" w:leader="dot" w:pos="8296"/>
        </w:tabs>
        <w:rPr>
          <w:rFonts w:asciiTheme="minorHAnsi" w:eastAsiaTheme="minorEastAsia" w:hAnsiTheme="minorHAnsi" w:cstheme="minorBidi"/>
          <w:noProof/>
          <w:szCs w:val="22"/>
          <w:lang w:eastAsia="en-NZ"/>
        </w:rPr>
      </w:pPr>
      <w:hyperlink w:anchor="_Toc504488393" w:history="1">
        <w:r w:rsidR="00735553" w:rsidRPr="00F77A30">
          <w:rPr>
            <w:rStyle w:val="Hyperlink"/>
            <w:noProof/>
          </w:rPr>
          <w:t>5</w:t>
        </w:r>
        <w:r w:rsidR="00735553">
          <w:rPr>
            <w:rFonts w:asciiTheme="minorHAnsi" w:eastAsiaTheme="minorEastAsia" w:hAnsiTheme="minorHAnsi" w:cstheme="minorBidi"/>
            <w:noProof/>
            <w:szCs w:val="22"/>
            <w:lang w:eastAsia="en-NZ"/>
          </w:rPr>
          <w:tab/>
        </w:r>
        <w:r w:rsidR="00735553" w:rsidRPr="00F77A30">
          <w:rPr>
            <w:rStyle w:val="Hyperlink"/>
            <w:noProof/>
          </w:rPr>
          <w:t>REFERENCES</w:t>
        </w:r>
        <w:r w:rsidR="00735553">
          <w:rPr>
            <w:noProof/>
            <w:webHidden/>
          </w:rPr>
          <w:tab/>
        </w:r>
        <w:r w:rsidR="00735553">
          <w:rPr>
            <w:noProof/>
            <w:webHidden/>
          </w:rPr>
          <w:fldChar w:fldCharType="begin"/>
        </w:r>
        <w:r w:rsidR="00735553">
          <w:rPr>
            <w:noProof/>
            <w:webHidden/>
          </w:rPr>
          <w:instrText xml:space="preserve"> PAGEREF _Toc504488393 \h </w:instrText>
        </w:r>
        <w:r w:rsidR="00735553">
          <w:rPr>
            <w:noProof/>
            <w:webHidden/>
          </w:rPr>
        </w:r>
        <w:r w:rsidR="00735553">
          <w:rPr>
            <w:noProof/>
            <w:webHidden/>
          </w:rPr>
          <w:fldChar w:fldCharType="separate"/>
        </w:r>
        <w:r>
          <w:rPr>
            <w:noProof/>
            <w:webHidden/>
          </w:rPr>
          <w:t>101</w:t>
        </w:r>
        <w:r w:rsidR="00735553">
          <w:rPr>
            <w:noProof/>
            <w:webHidden/>
          </w:rPr>
          <w:fldChar w:fldCharType="end"/>
        </w:r>
      </w:hyperlink>
    </w:p>
    <w:p w14:paraId="5BF70F98"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394" w:history="1">
        <w:r w:rsidR="00735553" w:rsidRPr="00F77A30">
          <w:rPr>
            <w:rStyle w:val="Hyperlink"/>
            <w:noProof/>
          </w:rPr>
          <w:t>APPENDIX 1: Categorical values covered by attrition analyses</w:t>
        </w:r>
        <w:r w:rsidR="00735553">
          <w:rPr>
            <w:noProof/>
            <w:webHidden/>
          </w:rPr>
          <w:tab/>
        </w:r>
        <w:r w:rsidR="00735553">
          <w:rPr>
            <w:noProof/>
            <w:webHidden/>
          </w:rPr>
          <w:fldChar w:fldCharType="begin"/>
        </w:r>
        <w:r w:rsidR="00735553">
          <w:rPr>
            <w:noProof/>
            <w:webHidden/>
          </w:rPr>
          <w:instrText xml:space="preserve"> PAGEREF _Toc504488394 \h </w:instrText>
        </w:r>
        <w:r w:rsidR="00735553">
          <w:rPr>
            <w:noProof/>
            <w:webHidden/>
          </w:rPr>
        </w:r>
        <w:r w:rsidR="00735553">
          <w:rPr>
            <w:noProof/>
            <w:webHidden/>
          </w:rPr>
          <w:fldChar w:fldCharType="separate"/>
        </w:r>
        <w:r>
          <w:rPr>
            <w:noProof/>
            <w:webHidden/>
          </w:rPr>
          <w:t>111</w:t>
        </w:r>
        <w:r w:rsidR="00735553">
          <w:rPr>
            <w:noProof/>
            <w:webHidden/>
          </w:rPr>
          <w:fldChar w:fldCharType="end"/>
        </w:r>
      </w:hyperlink>
    </w:p>
    <w:p w14:paraId="301E193B"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395" w:history="1">
        <w:r w:rsidR="00735553" w:rsidRPr="00F77A30">
          <w:rPr>
            <w:rStyle w:val="Hyperlink"/>
            <w:noProof/>
          </w:rPr>
          <w:t>APPENDIX 2: Covariates for descriptive analysis</w:t>
        </w:r>
        <w:r w:rsidR="00735553">
          <w:rPr>
            <w:noProof/>
            <w:webHidden/>
          </w:rPr>
          <w:tab/>
        </w:r>
        <w:r w:rsidR="00735553">
          <w:rPr>
            <w:noProof/>
            <w:webHidden/>
          </w:rPr>
          <w:fldChar w:fldCharType="begin"/>
        </w:r>
        <w:r w:rsidR="00735553">
          <w:rPr>
            <w:noProof/>
            <w:webHidden/>
          </w:rPr>
          <w:instrText xml:space="preserve"> PAGEREF _Toc504488395 \h </w:instrText>
        </w:r>
        <w:r w:rsidR="00735553">
          <w:rPr>
            <w:noProof/>
            <w:webHidden/>
          </w:rPr>
        </w:r>
        <w:r w:rsidR="00735553">
          <w:rPr>
            <w:noProof/>
            <w:webHidden/>
          </w:rPr>
          <w:fldChar w:fldCharType="separate"/>
        </w:r>
        <w:r>
          <w:rPr>
            <w:noProof/>
            <w:webHidden/>
          </w:rPr>
          <w:t>112</w:t>
        </w:r>
        <w:r w:rsidR="00735553">
          <w:rPr>
            <w:noProof/>
            <w:webHidden/>
          </w:rPr>
          <w:fldChar w:fldCharType="end"/>
        </w:r>
      </w:hyperlink>
    </w:p>
    <w:p w14:paraId="0DBAAC33"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396" w:history="1">
        <w:r w:rsidR="00735553" w:rsidRPr="00F77A30">
          <w:rPr>
            <w:rStyle w:val="Hyperlink"/>
            <w:noProof/>
          </w:rPr>
          <w:t>APPENDIX 3: Covariate for gambling risk level descriptive analysis</w:t>
        </w:r>
        <w:r w:rsidR="00735553">
          <w:rPr>
            <w:noProof/>
            <w:webHidden/>
          </w:rPr>
          <w:tab/>
        </w:r>
        <w:r w:rsidR="00735553">
          <w:rPr>
            <w:noProof/>
            <w:webHidden/>
          </w:rPr>
          <w:fldChar w:fldCharType="begin"/>
        </w:r>
        <w:r w:rsidR="00735553">
          <w:rPr>
            <w:noProof/>
            <w:webHidden/>
          </w:rPr>
          <w:instrText xml:space="preserve"> PAGEREF _Toc504488396 \h </w:instrText>
        </w:r>
        <w:r w:rsidR="00735553">
          <w:rPr>
            <w:noProof/>
            <w:webHidden/>
          </w:rPr>
        </w:r>
        <w:r w:rsidR="00735553">
          <w:rPr>
            <w:noProof/>
            <w:webHidden/>
          </w:rPr>
          <w:fldChar w:fldCharType="separate"/>
        </w:r>
        <w:r>
          <w:rPr>
            <w:noProof/>
            <w:webHidden/>
          </w:rPr>
          <w:t>113</w:t>
        </w:r>
        <w:r w:rsidR="00735553">
          <w:rPr>
            <w:noProof/>
            <w:webHidden/>
          </w:rPr>
          <w:fldChar w:fldCharType="end"/>
        </w:r>
      </w:hyperlink>
    </w:p>
    <w:p w14:paraId="4D6CEA1B"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397" w:history="1">
        <w:r w:rsidR="00735553" w:rsidRPr="00F77A30">
          <w:rPr>
            <w:rStyle w:val="Hyperlink"/>
            <w:noProof/>
          </w:rPr>
          <w:t>APPENDIX 4: Covariates for consideration in the inferential analyses</w:t>
        </w:r>
        <w:r w:rsidR="00735553">
          <w:rPr>
            <w:noProof/>
            <w:webHidden/>
          </w:rPr>
          <w:tab/>
        </w:r>
        <w:r w:rsidR="00735553">
          <w:rPr>
            <w:noProof/>
            <w:webHidden/>
          </w:rPr>
          <w:fldChar w:fldCharType="begin"/>
        </w:r>
        <w:r w:rsidR="00735553">
          <w:rPr>
            <w:noProof/>
            <w:webHidden/>
          </w:rPr>
          <w:instrText xml:space="preserve"> PAGEREF _Toc504488397 \h </w:instrText>
        </w:r>
        <w:r w:rsidR="00735553">
          <w:rPr>
            <w:noProof/>
            <w:webHidden/>
          </w:rPr>
        </w:r>
        <w:r w:rsidR="00735553">
          <w:rPr>
            <w:noProof/>
            <w:webHidden/>
          </w:rPr>
          <w:fldChar w:fldCharType="separate"/>
        </w:r>
        <w:r>
          <w:rPr>
            <w:noProof/>
            <w:webHidden/>
          </w:rPr>
          <w:t>114</w:t>
        </w:r>
        <w:r w:rsidR="00735553">
          <w:rPr>
            <w:noProof/>
            <w:webHidden/>
          </w:rPr>
          <w:fldChar w:fldCharType="end"/>
        </w:r>
      </w:hyperlink>
    </w:p>
    <w:p w14:paraId="665DF5E2"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398" w:history="1">
        <w:r w:rsidR="00735553" w:rsidRPr="00F77A30">
          <w:rPr>
            <w:rStyle w:val="Hyperlink"/>
            <w:noProof/>
          </w:rPr>
          <w:t>APPENDIX 5: Gambling activities for analysis</w:t>
        </w:r>
        <w:r w:rsidR="00735553">
          <w:rPr>
            <w:noProof/>
            <w:webHidden/>
          </w:rPr>
          <w:tab/>
        </w:r>
        <w:r w:rsidR="00735553">
          <w:rPr>
            <w:noProof/>
            <w:webHidden/>
          </w:rPr>
          <w:fldChar w:fldCharType="begin"/>
        </w:r>
        <w:r w:rsidR="00735553">
          <w:rPr>
            <w:noProof/>
            <w:webHidden/>
          </w:rPr>
          <w:instrText xml:space="preserve"> PAGEREF _Toc504488398 \h </w:instrText>
        </w:r>
        <w:r w:rsidR="00735553">
          <w:rPr>
            <w:noProof/>
            <w:webHidden/>
          </w:rPr>
        </w:r>
        <w:r w:rsidR="00735553">
          <w:rPr>
            <w:noProof/>
            <w:webHidden/>
          </w:rPr>
          <w:fldChar w:fldCharType="separate"/>
        </w:r>
        <w:r>
          <w:rPr>
            <w:noProof/>
            <w:webHidden/>
          </w:rPr>
          <w:t>115</w:t>
        </w:r>
        <w:r w:rsidR="00735553">
          <w:rPr>
            <w:noProof/>
            <w:webHidden/>
          </w:rPr>
          <w:fldChar w:fldCharType="end"/>
        </w:r>
      </w:hyperlink>
    </w:p>
    <w:p w14:paraId="3DAEC468"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399" w:history="1">
        <w:r w:rsidR="00735553" w:rsidRPr="00F77A30">
          <w:rPr>
            <w:rStyle w:val="Hyperlink"/>
            <w:noProof/>
          </w:rPr>
          <w:t>APPENDIX 6: Wave 4 attrition from Wave 1 (unweighted numbers)</w:t>
        </w:r>
        <w:r w:rsidR="00735553">
          <w:rPr>
            <w:noProof/>
            <w:webHidden/>
          </w:rPr>
          <w:tab/>
        </w:r>
        <w:r w:rsidR="00735553">
          <w:rPr>
            <w:noProof/>
            <w:webHidden/>
          </w:rPr>
          <w:fldChar w:fldCharType="begin"/>
        </w:r>
        <w:r w:rsidR="00735553">
          <w:rPr>
            <w:noProof/>
            <w:webHidden/>
          </w:rPr>
          <w:instrText xml:space="preserve"> PAGEREF _Toc504488399 \h </w:instrText>
        </w:r>
        <w:r w:rsidR="00735553">
          <w:rPr>
            <w:noProof/>
            <w:webHidden/>
          </w:rPr>
        </w:r>
        <w:r w:rsidR="00735553">
          <w:rPr>
            <w:noProof/>
            <w:webHidden/>
          </w:rPr>
          <w:fldChar w:fldCharType="separate"/>
        </w:r>
        <w:r>
          <w:rPr>
            <w:noProof/>
            <w:webHidden/>
          </w:rPr>
          <w:t>116</w:t>
        </w:r>
        <w:r w:rsidR="00735553">
          <w:rPr>
            <w:noProof/>
            <w:webHidden/>
          </w:rPr>
          <w:fldChar w:fldCharType="end"/>
        </w:r>
      </w:hyperlink>
    </w:p>
    <w:p w14:paraId="74B1936F"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00" w:history="1">
        <w:r w:rsidR="00735553" w:rsidRPr="00F77A30">
          <w:rPr>
            <w:rStyle w:val="Hyperlink"/>
            <w:noProof/>
          </w:rPr>
          <w:t>APPENDIX 7: Sociodemographic variables that could have changed over time</w:t>
        </w:r>
        <w:r w:rsidR="00735553">
          <w:rPr>
            <w:noProof/>
            <w:webHidden/>
          </w:rPr>
          <w:tab/>
        </w:r>
        <w:r w:rsidR="00735553">
          <w:rPr>
            <w:noProof/>
            <w:webHidden/>
          </w:rPr>
          <w:fldChar w:fldCharType="begin"/>
        </w:r>
        <w:r w:rsidR="00735553">
          <w:rPr>
            <w:noProof/>
            <w:webHidden/>
          </w:rPr>
          <w:instrText xml:space="preserve"> PAGEREF _Toc504488400 \h </w:instrText>
        </w:r>
        <w:r w:rsidR="00735553">
          <w:rPr>
            <w:noProof/>
            <w:webHidden/>
          </w:rPr>
        </w:r>
        <w:r w:rsidR="00735553">
          <w:rPr>
            <w:noProof/>
            <w:webHidden/>
          </w:rPr>
          <w:fldChar w:fldCharType="separate"/>
        </w:r>
        <w:r>
          <w:rPr>
            <w:noProof/>
            <w:webHidden/>
          </w:rPr>
          <w:t>118</w:t>
        </w:r>
        <w:r w:rsidR="00735553">
          <w:rPr>
            <w:noProof/>
            <w:webHidden/>
          </w:rPr>
          <w:fldChar w:fldCharType="end"/>
        </w:r>
      </w:hyperlink>
    </w:p>
    <w:p w14:paraId="5B71F85E"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01" w:history="1">
        <w:r w:rsidR="00735553" w:rsidRPr="00F77A30">
          <w:rPr>
            <w:rStyle w:val="Hyperlink"/>
            <w:noProof/>
          </w:rPr>
          <w:t>APPENDIX 8: Past year and past month gambling in Waves 1, 2, 3 and 4</w:t>
        </w:r>
        <w:r w:rsidR="00735553">
          <w:rPr>
            <w:noProof/>
            <w:webHidden/>
          </w:rPr>
          <w:tab/>
        </w:r>
        <w:r w:rsidR="00735553">
          <w:rPr>
            <w:noProof/>
            <w:webHidden/>
          </w:rPr>
          <w:fldChar w:fldCharType="begin"/>
        </w:r>
        <w:r w:rsidR="00735553">
          <w:rPr>
            <w:noProof/>
            <w:webHidden/>
          </w:rPr>
          <w:instrText xml:space="preserve"> PAGEREF _Toc504488401 \h </w:instrText>
        </w:r>
        <w:r w:rsidR="00735553">
          <w:rPr>
            <w:noProof/>
            <w:webHidden/>
          </w:rPr>
        </w:r>
        <w:r w:rsidR="00735553">
          <w:rPr>
            <w:noProof/>
            <w:webHidden/>
          </w:rPr>
          <w:fldChar w:fldCharType="separate"/>
        </w:r>
        <w:r>
          <w:rPr>
            <w:noProof/>
            <w:webHidden/>
          </w:rPr>
          <w:t>120</w:t>
        </w:r>
        <w:r w:rsidR="00735553">
          <w:rPr>
            <w:noProof/>
            <w:webHidden/>
          </w:rPr>
          <w:fldChar w:fldCharType="end"/>
        </w:r>
      </w:hyperlink>
    </w:p>
    <w:p w14:paraId="3E520F7B"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02" w:history="1">
        <w:r w:rsidR="00735553" w:rsidRPr="00F77A30">
          <w:rPr>
            <w:rStyle w:val="Hyperlink"/>
            <w:noProof/>
          </w:rPr>
          <w:t>APPENDIX 9: Gambling behaviour in Waves 1, 2, 3 and 4</w:t>
        </w:r>
        <w:r w:rsidR="00735553">
          <w:rPr>
            <w:noProof/>
            <w:webHidden/>
          </w:rPr>
          <w:tab/>
        </w:r>
        <w:r w:rsidR="00735553">
          <w:rPr>
            <w:noProof/>
            <w:webHidden/>
          </w:rPr>
          <w:fldChar w:fldCharType="begin"/>
        </w:r>
        <w:r w:rsidR="00735553">
          <w:rPr>
            <w:noProof/>
            <w:webHidden/>
          </w:rPr>
          <w:instrText xml:space="preserve"> PAGEREF _Toc504488402 \h </w:instrText>
        </w:r>
        <w:r w:rsidR="00735553">
          <w:rPr>
            <w:noProof/>
            <w:webHidden/>
          </w:rPr>
        </w:r>
        <w:r w:rsidR="00735553">
          <w:rPr>
            <w:noProof/>
            <w:webHidden/>
          </w:rPr>
          <w:fldChar w:fldCharType="separate"/>
        </w:r>
        <w:r>
          <w:rPr>
            <w:noProof/>
            <w:webHidden/>
          </w:rPr>
          <w:t>122</w:t>
        </w:r>
        <w:r w:rsidR="00735553">
          <w:rPr>
            <w:noProof/>
            <w:webHidden/>
          </w:rPr>
          <w:fldChar w:fldCharType="end"/>
        </w:r>
      </w:hyperlink>
    </w:p>
    <w:p w14:paraId="6D28B9A6"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03" w:history="1">
        <w:r w:rsidR="00735553" w:rsidRPr="00F77A30">
          <w:rPr>
            <w:rStyle w:val="Hyperlink"/>
            <w:noProof/>
          </w:rPr>
          <w:t>APPENDIX 10: Gambling behaviour in Waves 1, 2, 3 and 4 - Māori</w:t>
        </w:r>
        <w:r w:rsidR="00735553">
          <w:rPr>
            <w:noProof/>
            <w:webHidden/>
          </w:rPr>
          <w:tab/>
        </w:r>
        <w:r w:rsidR="00735553">
          <w:rPr>
            <w:noProof/>
            <w:webHidden/>
          </w:rPr>
          <w:fldChar w:fldCharType="begin"/>
        </w:r>
        <w:r w:rsidR="00735553">
          <w:rPr>
            <w:noProof/>
            <w:webHidden/>
          </w:rPr>
          <w:instrText xml:space="preserve"> PAGEREF _Toc504488403 \h </w:instrText>
        </w:r>
        <w:r w:rsidR="00735553">
          <w:rPr>
            <w:noProof/>
            <w:webHidden/>
          </w:rPr>
        </w:r>
        <w:r w:rsidR="00735553">
          <w:rPr>
            <w:noProof/>
            <w:webHidden/>
          </w:rPr>
          <w:fldChar w:fldCharType="separate"/>
        </w:r>
        <w:r>
          <w:rPr>
            <w:noProof/>
            <w:webHidden/>
          </w:rPr>
          <w:t>125</w:t>
        </w:r>
        <w:r w:rsidR="00735553">
          <w:rPr>
            <w:noProof/>
            <w:webHidden/>
          </w:rPr>
          <w:fldChar w:fldCharType="end"/>
        </w:r>
      </w:hyperlink>
    </w:p>
    <w:p w14:paraId="4E66F896"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04" w:history="1">
        <w:r w:rsidR="00735553" w:rsidRPr="00F77A30">
          <w:rPr>
            <w:rStyle w:val="Hyperlink"/>
            <w:noProof/>
          </w:rPr>
          <w:t>APPENDIX 11: Gambling behaviour in Waves 1, 2, 3 and 4 - Pacific</w:t>
        </w:r>
        <w:r w:rsidR="00735553">
          <w:rPr>
            <w:noProof/>
            <w:webHidden/>
          </w:rPr>
          <w:tab/>
        </w:r>
        <w:r w:rsidR="00735553">
          <w:rPr>
            <w:noProof/>
            <w:webHidden/>
          </w:rPr>
          <w:fldChar w:fldCharType="begin"/>
        </w:r>
        <w:r w:rsidR="00735553">
          <w:rPr>
            <w:noProof/>
            <w:webHidden/>
          </w:rPr>
          <w:instrText xml:space="preserve"> PAGEREF _Toc504488404 \h </w:instrText>
        </w:r>
        <w:r w:rsidR="00735553">
          <w:rPr>
            <w:noProof/>
            <w:webHidden/>
          </w:rPr>
        </w:r>
        <w:r w:rsidR="00735553">
          <w:rPr>
            <w:noProof/>
            <w:webHidden/>
          </w:rPr>
          <w:fldChar w:fldCharType="separate"/>
        </w:r>
        <w:r>
          <w:rPr>
            <w:noProof/>
            <w:webHidden/>
          </w:rPr>
          <w:t>128</w:t>
        </w:r>
        <w:r w:rsidR="00735553">
          <w:rPr>
            <w:noProof/>
            <w:webHidden/>
          </w:rPr>
          <w:fldChar w:fldCharType="end"/>
        </w:r>
      </w:hyperlink>
    </w:p>
    <w:p w14:paraId="5F5B5FE4"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05" w:history="1">
        <w:r w:rsidR="00735553" w:rsidRPr="00F77A30">
          <w:rPr>
            <w:rStyle w:val="Hyperlink"/>
            <w:noProof/>
          </w:rPr>
          <w:t>APPENDIX 12: Gambling behaviour in Waves 1, 2, 3 and 4 - Asian</w:t>
        </w:r>
        <w:r w:rsidR="00735553">
          <w:rPr>
            <w:noProof/>
            <w:webHidden/>
          </w:rPr>
          <w:tab/>
        </w:r>
        <w:r w:rsidR="00735553">
          <w:rPr>
            <w:noProof/>
            <w:webHidden/>
          </w:rPr>
          <w:fldChar w:fldCharType="begin"/>
        </w:r>
        <w:r w:rsidR="00735553">
          <w:rPr>
            <w:noProof/>
            <w:webHidden/>
          </w:rPr>
          <w:instrText xml:space="preserve"> PAGEREF _Toc504488405 \h </w:instrText>
        </w:r>
        <w:r w:rsidR="00735553">
          <w:rPr>
            <w:noProof/>
            <w:webHidden/>
          </w:rPr>
        </w:r>
        <w:r w:rsidR="00735553">
          <w:rPr>
            <w:noProof/>
            <w:webHidden/>
          </w:rPr>
          <w:fldChar w:fldCharType="separate"/>
        </w:r>
        <w:r>
          <w:rPr>
            <w:noProof/>
            <w:webHidden/>
          </w:rPr>
          <w:t>131</w:t>
        </w:r>
        <w:r w:rsidR="00735553">
          <w:rPr>
            <w:noProof/>
            <w:webHidden/>
          </w:rPr>
          <w:fldChar w:fldCharType="end"/>
        </w:r>
      </w:hyperlink>
    </w:p>
    <w:p w14:paraId="4F7AA005"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06" w:history="1">
        <w:r w:rsidR="00735553" w:rsidRPr="00F77A30">
          <w:rPr>
            <w:rStyle w:val="Hyperlink"/>
            <w:noProof/>
          </w:rPr>
          <w:t>APPENDIX 13: Time spent gambling on EGMs in an average day in Waves 1, 2, 3 and 4</w:t>
        </w:r>
        <w:r w:rsidR="00735553">
          <w:rPr>
            <w:noProof/>
            <w:webHidden/>
          </w:rPr>
          <w:tab/>
        </w:r>
        <w:r w:rsidR="00735553">
          <w:rPr>
            <w:noProof/>
            <w:webHidden/>
          </w:rPr>
          <w:fldChar w:fldCharType="begin"/>
        </w:r>
        <w:r w:rsidR="00735553">
          <w:rPr>
            <w:noProof/>
            <w:webHidden/>
          </w:rPr>
          <w:instrText xml:space="preserve"> PAGEREF _Toc504488406 \h </w:instrText>
        </w:r>
        <w:r w:rsidR="00735553">
          <w:rPr>
            <w:noProof/>
            <w:webHidden/>
          </w:rPr>
        </w:r>
        <w:r w:rsidR="00735553">
          <w:rPr>
            <w:noProof/>
            <w:webHidden/>
          </w:rPr>
          <w:fldChar w:fldCharType="separate"/>
        </w:r>
        <w:r>
          <w:rPr>
            <w:noProof/>
            <w:webHidden/>
          </w:rPr>
          <w:t>134</w:t>
        </w:r>
        <w:r w:rsidR="00735553">
          <w:rPr>
            <w:noProof/>
            <w:webHidden/>
          </w:rPr>
          <w:fldChar w:fldCharType="end"/>
        </w:r>
      </w:hyperlink>
    </w:p>
    <w:p w14:paraId="2E59B2C3"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07" w:history="1">
        <w:r w:rsidR="00735553" w:rsidRPr="00F77A30">
          <w:rPr>
            <w:rStyle w:val="Hyperlink"/>
            <w:noProof/>
          </w:rPr>
          <w:t>APPENDIX 14: Time spent gambling on EGMs in an average day in Waves 1, 2, 3 and 4 - Māori</w:t>
        </w:r>
        <w:r w:rsidR="00735553">
          <w:rPr>
            <w:noProof/>
            <w:webHidden/>
          </w:rPr>
          <w:tab/>
        </w:r>
        <w:r w:rsidR="00735553">
          <w:rPr>
            <w:noProof/>
            <w:webHidden/>
          </w:rPr>
          <w:fldChar w:fldCharType="begin"/>
        </w:r>
        <w:r w:rsidR="00735553">
          <w:rPr>
            <w:noProof/>
            <w:webHidden/>
          </w:rPr>
          <w:instrText xml:space="preserve"> PAGEREF _Toc504488407 \h </w:instrText>
        </w:r>
        <w:r w:rsidR="00735553">
          <w:rPr>
            <w:noProof/>
            <w:webHidden/>
          </w:rPr>
        </w:r>
        <w:r w:rsidR="00735553">
          <w:rPr>
            <w:noProof/>
            <w:webHidden/>
          </w:rPr>
          <w:fldChar w:fldCharType="separate"/>
        </w:r>
        <w:r>
          <w:rPr>
            <w:noProof/>
            <w:webHidden/>
          </w:rPr>
          <w:t>135</w:t>
        </w:r>
        <w:r w:rsidR="00735553">
          <w:rPr>
            <w:noProof/>
            <w:webHidden/>
          </w:rPr>
          <w:fldChar w:fldCharType="end"/>
        </w:r>
      </w:hyperlink>
    </w:p>
    <w:p w14:paraId="422BBF9A"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08" w:history="1">
        <w:r w:rsidR="00735553" w:rsidRPr="00F77A30">
          <w:rPr>
            <w:rStyle w:val="Hyperlink"/>
            <w:noProof/>
          </w:rPr>
          <w:t>APPENDIX 15: Health status in Waves 1, 2, 3 and 4</w:t>
        </w:r>
        <w:r w:rsidR="00735553">
          <w:rPr>
            <w:noProof/>
            <w:webHidden/>
          </w:rPr>
          <w:tab/>
        </w:r>
        <w:r w:rsidR="00735553">
          <w:rPr>
            <w:noProof/>
            <w:webHidden/>
          </w:rPr>
          <w:fldChar w:fldCharType="begin"/>
        </w:r>
        <w:r w:rsidR="00735553">
          <w:rPr>
            <w:noProof/>
            <w:webHidden/>
          </w:rPr>
          <w:instrText xml:space="preserve"> PAGEREF _Toc504488408 \h </w:instrText>
        </w:r>
        <w:r w:rsidR="00735553">
          <w:rPr>
            <w:noProof/>
            <w:webHidden/>
          </w:rPr>
        </w:r>
        <w:r w:rsidR="00735553">
          <w:rPr>
            <w:noProof/>
            <w:webHidden/>
          </w:rPr>
          <w:fldChar w:fldCharType="separate"/>
        </w:r>
        <w:r>
          <w:rPr>
            <w:noProof/>
            <w:webHidden/>
          </w:rPr>
          <w:t>136</w:t>
        </w:r>
        <w:r w:rsidR="00735553">
          <w:rPr>
            <w:noProof/>
            <w:webHidden/>
          </w:rPr>
          <w:fldChar w:fldCharType="end"/>
        </w:r>
      </w:hyperlink>
    </w:p>
    <w:p w14:paraId="23624BD7"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09" w:history="1">
        <w:r w:rsidR="00735553" w:rsidRPr="00F77A30">
          <w:rPr>
            <w:rStyle w:val="Hyperlink"/>
            <w:noProof/>
          </w:rPr>
          <w:t>APPENDIX 16: Health status in Waves 1, 2, 3 and 4 - Māori</w:t>
        </w:r>
        <w:r w:rsidR="00735553">
          <w:rPr>
            <w:noProof/>
            <w:webHidden/>
          </w:rPr>
          <w:tab/>
        </w:r>
        <w:r w:rsidR="00735553">
          <w:rPr>
            <w:noProof/>
            <w:webHidden/>
          </w:rPr>
          <w:fldChar w:fldCharType="begin"/>
        </w:r>
        <w:r w:rsidR="00735553">
          <w:rPr>
            <w:noProof/>
            <w:webHidden/>
          </w:rPr>
          <w:instrText xml:space="preserve"> PAGEREF _Toc504488409 \h </w:instrText>
        </w:r>
        <w:r w:rsidR="00735553">
          <w:rPr>
            <w:noProof/>
            <w:webHidden/>
          </w:rPr>
        </w:r>
        <w:r w:rsidR="00735553">
          <w:rPr>
            <w:noProof/>
            <w:webHidden/>
          </w:rPr>
          <w:fldChar w:fldCharType="separate"/>
        </w:r>
        <w:r>
          <w:rPr>
            <w:noProof/>
            <w:webHidden/>
          </w:rPr>
          <w:t>138</w:t>
        </w:r>
        <w:r w:rsidR="00735553">
          <w:rPr>
            <w:noProof/>
            <w:webHidden/>
          </w:rPr>
          <w:fldChar w:fldCharType="end"/>
        </w:r>
      </w:hyperlink>
    </w:p>
    <w:p w14:paraId="0D04493B"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10" w:history="1">
        <w:r w:rsidR="00735553" w:rsidRPr="00F77A30">
          <w:rPr>
            <w:rStyle w:val="Hyperlink"/>
            <w:noProof/>
          </w:rPr>
          <w:t>APPENDIX 17: Health status in Waves 1, 2, 3 and 4 - Pacific</w:t>
        </w:r>
        <w:r w:rsidR="00735553">
          <w:rPr>
            <w:noProof/>
            <w:webHidden/>
          </w:rPr>
          <w:tab/>
        </w:r>
        <w:r w:rsidR="00735553">
          <w:rPr>
            <w:noProof/>
            <w:webHidden/>
          </w:rPr>
          <w:fldChar w:fldCharType="begin"/>
        </w:r>
        <w:r w:rsidR="00735553">
          <w:rPr>
            <w:noProof/>
            <w:webHidden/>
          </w:rPr>
          <w:instrText xml:space="preserve"> PAGEREF _Toc504488410 \h </w:instrText>
        </w:r>
        <w:r w:rsidR="00735553">
          <w:rPr>
            <w:noProof/>
            <w:webHidden/>
          </w:rPr>
        </w:r>
        <w:r w:rsidR="00735553">
          <w:rPr>
            <w:noProof/>
            <w:webHidden/>
          </w:rPr>
          <w:fldChar w:fldCharType="separate"/>
        </w:r>
        <w:r>
          <w:rPr>
            <w:noProof/>
            <w:webHidden/>
          </w:rPr>
          <w:t>140</w:t>
        </w:r>
        <w:r w:rsidR="00735553">
          <w:rPr>
            <w:noProof/>
            <w:webHidden/>
          </w:rPr>
          <w:fldChar w:fldCharType="end"/>
        </w:r>
      </w:hyperlink>
    </w:p>
    <w:p w14:paraId="787A12E7"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11" w:history="1">
        <w:r w:rsidR="00735553" w:rsidRPr="00F77A30">
          <w:rPr>
            <w:rStyle w:val="Hyperlink"/>
            <w:noProof/>
          </w:rPr>
          <w:t>APPENDIX 18: Health status in Waves 1, 2, 3 and 4 - Asian</w:t>
        </w:r>
        <w:r w:rsidR="00735553">
          <w:rPr>
            <w:noProof/>
            <w:webHidden/>
          </w:rPr>
          <w:tab/>
        </w:r>
        <w:r w:rsidR="00735553">
          <w:rPr>
            <w:noProof/>
            <w:webHidden/>
          </w:rPr>
          <w:fldChar w:fldCharType="begin"/>
        </w:r>
        <w:r w:rsidR="00735553">
          <w:rPr>
            <w:noProof/>
            <w:webHidden/>
          </w:rPr>
          <w:instrText xml:space="preserve"> PAGEREF _Toc504488411 \h </w:instrText>
        </w:r>
        <w:r w:rsidR="00735553">
          <w:rPr>
            <w:noProof/>
            <w:webHidden/>
          </w:rPr>
        </w:r>
        <w:r w:rsidR="00735553">
          <w:rPr>
            <w:noProof/>
            <w:webHidden/>
          </w:rPr>
          <w:fldChar w:fldCharType="separate"/>
        </w:r>
        <w:r>
          <w:rPr>
            <w:noProof/>
            <w:webHidden/>
          </w:rPr>
          <w:t>142</w:t>
        </w:r>
        <w:r w:rsidR="00735553">
          <w:rPr>
            <w:noProof/>
            <w:webHidden/>
          </w:rPr>
          <w:fldChar w:fldCharType="end"/>
        </w:r>
      </w:hyperlink>
    </w:p>
    <w:p w14:paraId="7E342A24"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12" w:history="1">
        <w:r w:rsidR="00735553" w:rsidRPr="00F77A30">
          <w:rPr>
            <w:rStyle w:val="Hyperlink"/>
            <w:noProof/>
          </w:rPr>
          <w:t>APPENDIX 19: Typical month EGM expenditure by gambling risk level for Waves 1, 2, 3 and 4</w:t>
        </w:r>
        <w:r w:rsidR="00735553">
          <w:rPr>
            <w:noProof/>
            <w:webHidden/>
          </w:rPr>
          <w:tab/>
        </w:r>
        <w:r w:rsidR="00735553">
          <w:rPr>
            <w:noProof/>
            <w:webHidden/>
          </w:rPr>
          <w:fldChar w:fldCharType="begin"/>
        </w:r>
        <w:r w:rsidR="00735553">
          <w:rPr>
            <w:noProof/>
            <w:webHidden/>
          </w:rPr>
          <w:instrText xml:space="preserve"> PAGEREF _Toc504488412 \h </w:instrText>
        </w:r>
        <w:r w:rsidR="00735553">
          <w:rPr>
            <w:noProof/>
            <w:webHidden/>
          </w:rPr>
        </w:r>
        <w:r w:rsidR="00735553">
          <w:rPr>
            <w:noProof/>
            <w:webHidden/>
          </w:rPr>
          <w:fldChar w:fldCharType="separate"/>
        </w:r>
        <w:r>
          <w:rPr>
            <w:noProof/>
            <w:webHidden/>
          </w:rPr>
          <w:t>144</w:t>
        </w:r>
        <w:r w:rsidR="00735553">
          <w:rPr>
            <w:noProof/>
            <w:webHidden/>
          </w:rPr>
          <w:fldChar w:fldCharType="end"/>
        </w:r>
      </w:hyperlink>
    </w:p>
    <w:p w14:paraId="32419B98"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13" w:history="1">
        <w:r w:rsidR="00735553" w:rsidRPr="00F77A30">
          <w:rPr>
            <w:rStyle w:val="Hyperlink"/>
            <w:noProof/>
          </w:rPr>
          <w:t>APPENDIX 20: Estimated annual EGM expenditure by gambling risk level for Waves 1, 2, 3 and 4</w:t>
        </w:r>
        <w:r w:rsidR="00735553">
          <w:rPr>
            <w:noProof/>
            <w:webHidden/>
          </w:rPr>
          <w:tab/>
        </w:r>
        <w:r w:rsidR="00735553">
          <w:rPr>
            <w:noProof/>
            <w:webHidden/>
          </w:rPr>
          <w:fldChar w:fldCharType="begin"/>
        </w:r>
        <w:r w:rsidR="00735553">
          <w:rPr>
            <w:noProof/>
            <w:webHidden/>
          </w:rPr>
          <w:instrText xml:space="preserve"> PAGEREF _Toc504488413 \h </w:instrText>
        </w:r>
        <w:r w:rsidR="00735553">
          <w:rPr>
            <w:noProof/>
            <w:webHidden/>
          </w:rPr>
        </w:r>
        <w:r w:rsidR="00735553">
          <w:rPr>
            <w:noProof/>
            <w:webHidden/>
          </w:rPr>
          <w:fldChar w:fldCharType="separate"/>
        </w:r>
        <w:r>
          <w:rPr>
            <w:noProof/>
            <w:webHidden/>
          </w:rPr>
          <w:t>145</w:t>
        </w:r>
        <w:r w:rsidR="00735553">
          <w:rPr>
            <w:noProof/>
            <w:webHidden/>
          </w:rPr>
          <w:fldChar w:fldCharType="end"/>
        </w:r>
      </w:hyperlink>
    </w:p>
    <w:p w14:paraId="19FADB15"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14" w:history="1">
        <w:r w:rsidR="00735553" w:rsidRPr="00F77A30">
          <w:rPr>
            <w:rStyle w:val="Hyperlink"/>
            <w:noProof/>
          </w:rPr>
          <w:t>APPENDIX 21: Typical month Class 4 expenditure by demographics for Waves 1, 2, 3 and 4</w:t>
        </w:r>
        <w:r w:rsidR="00735553">
          <w:rPr>
            <w:noProof/>
            <w:webHidden/>
          </w:rPr>
          <w:tab/>
        </w:r>
        <w:r w:rsidR="00735553">
          <w:rPr>
            <w:noProof/>
            <w:webHidden/>
          </w:rPr>
          <w:fldChar w:fldCharType="begin"/>
        </w:r>
        <w:r w:rsidR="00735553">
          <w:rPr>
            <w:noProof/>
            <w:webHidden/>
          </w:rPr>
          <w:instrText xml:space="preserve"> PAGEREF _Toc504488414 \h </w:instrText>
        </w:r>
        <w:r w:rsidR="00735553">
          <w:rPr>
            <w:noProof/>
            <w:webHidden/>
          </w:rPr>
        </w:r>
        <w:r w:rsidR="00735553">
          <w:rPr>
            <w:noProof/>
            <w:webHidden/>
          </w:rPr>
          <w:fldChar w:fldCharType="separate"/>
        </w:r>
        <w:r>
          <w:rPr>
            <w:noProof/>
            <w:webHidden/>
          </w:rPr>
          <w:t>147</w:t>
        </w:r>
        <w:r w:rsidR="00735553">
          <w:rPr>
            <w:noProof/>
            <w:webHidden/>
          </w:rPr>
          <w:fldChar w:fldCharType="end"/>
        </w:r>
      </w:hyperlink>
    </w:p>
    <w:p w14:paraId="47B36555"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15" w:history="1">
        <w:r w:rsidR="00735553" w:rsidRPr="00F77A30">
          <w:rPr>
            <w:rStyle w:val="Hyperlink"/>
            <w:noProof/>
          </w:rPr>
          <w:t>APPENDIX 22: Gambling risk levels by sociodemographic variables for Waves 1, 2, 3 and 4</w:t>
        </w:r>
        <w:r w:rsidR="00735553">
          <w:rPr>
            <w:noProof/>
            <w:webHidden/>
          </w:rPr>
          <w:tab/>
        </w:r>
        <w:r w:rsidR="00735553">
          <w:rPr>
            <w:noProof/>
            <w:webHidden/>
          </w:rPr>
          <w:fldChar w:fldCharType="begin"/>
        </w:r>
        <w:r w:rsidR="00735553">
          <w:rPr>
            <w:noProof/>
            <w:webHidden/>
          </w:rPr>
          <w:instrText xml:space="preserve"> PAGEREF _Toc504488415 \h </w:instrText>
        </w:r>
        <w:r w:rsidR="00735553">
          <w:rPr>
            <w:noProof/>
            <w:webHidden/>
          </w:rPr>
        </w:r>
        <w:r w:rsidR="00735553">
          <w:rPr>
            <w:noProof/>
            <w:webHidden/>
          </w:rPr>
          <w:fldChar w:fldCharType="separate"/>
        </w:r>
        <w:r>
          <w:rPr>
            <w:noProof/>
            <w:webHidden/>
          </w:rPr>
          <w:t>148</w:t>
        </w:r>
        <w:r w:rsidR="00735553">
          <w:rPr>
            <w:noProof/>
            <w:webHidden/>
          </w:rPr>
          <w:fldChar w:fldCharType="end"/>
        </w:r>
      </w:hyperlink>
    </w:p>
    <w:p w14:paraId="48434A44"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16" w:history="1">
        <w:r w:rsidR="00735553" w:rsidRPr="00F77A30">
          <w:rPr>
            <w:rStyle w:val="Hyperlink"/>
            <w:noProof/>
          </w:rPr>
          <w:t>APPENDIX 23: Gambling risk levels by gambling behaviour for Waves 1, 2, 3 and 4</w:t>
        </w:r>
        <w:r w:rsidR="00735553">
          <w:rPr>
            <w:noProof/>
            <w:webHidden/>
          </w:rPr>
          <w:tab/>
        </w:r>
        <w:r w:rsidR="00735553">
          <w:rPr>
            <w:noProof/>
            <w:webHidden/>
          </w:rPr>
          <w:fldChar w:fldCharType="begin"/>
        </w:r>
        <w:r w:rsidR="00735553">
          <w:rPr>
            <w:noProof/>
            <w:webHidden/>
          </w:rPr>
          <w:instrText xml:space="preserve"> PAGEREF _Toc504488416 \h </w:instrText>
        </w:r>
        <w:r w:rsidR="00735553">
          <w:rPr>
            <w:noProof/>
            <w:webHidden/>
          </w:rPr>
        </w:r>
        <w:r w:rsidR="00735553">
          <w:rPr>
            <w:noProof/>
            <w:webHidden/>
          </w:rPr>
          <w:fldChar w:fldCharType="separate"/>
        </w:r>
        <w:r>
          <w:rPr>
            <w:noProof/>
            <w:webHidden/>
          </w:rPr>
          <w:t>151</w:t>
        </w:r>
        <w:r w:rsidR="00735553">
          <w:rPr>
            <w:noProof/>
            <w:webHidden/>
          </w:rPr>
          <w:fldChar w:fldCharType="end"/>
        </w:r>
      </w:hyperlink>
    </w:p>
    <w:p w14:paraId="5884EB1E"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17" w:history="1">
        <w:r w:rsidR="00735553" w:rsidRPr="00F77A30">
          <w:rPr>
            <w:rStyle w:val="Hyperlink"/>
            <w:noProof/>
          </w:rPr>
          <w:t>APPENDIX 24: Gambling risk levels by methods used to stop gambling too much and help-seeking behaviour for Waves 1, 2, 3 and 4</w:t>
        </w:r>
        <w:r w:rsidR="00735553">
          <w:rPr>
            <w:noProof/>
            <w:webHidden/>
          </w:rPr>
          <w:tab/>
        </w:r>
        <w:r w:rsidR="00735553">
          <w:rPr>
            <w:noProof/>
            <w:webHidden/>
          </w:rPr>
          <w:fldChar w:fldCharType="begin"/>
        </w:r>
        <w:r w:rsidR="00735553">
          <w:rPr>
            <w:noProof/>
            <w:webHidden/>
          </w:rPr>
          <w:instrText xml:space="preserve"> PAGEREF _Toc504488417 \h </w:instrText>
        </w:r>
        <w:r w:rsidR="00735553">
          <w:rPr>
            <w:noProof/>
            <w:webHidden/>
          </w:rPr>
        </w:r>
        <w:r w:rsidR="00735553">
          <w:rPr>
            <w:noProof/>
            <w:webHidden/>
          </w:rPr>
          <w:fldChar w:fldCharType="separate"/>
        </w:r>
        <w:r>
          <w:rPr>
            <w:noProof/>
            <w:webHidden/>
          </w:rPr>
          <w:t>155</w:t>
        </w:r>
        <w:r w:rsidR="00735553">
          <w:rPr>
            <w:noProof/>
            <w:webHidden/>
          </w:rPr>
          <w:fldChar w:fldCharType="end"/>
        </w:r>
      </w:hyperlink>
    </w:p>
    <w:p w14:paraId="7E3CC49F"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18" w:history="1">
        <w:r w:rsidR="00735553" w:rsidRPr="00F77A30">
          <w:rPr>
            <w:rStyle w:val="Hyperlink"/>
            <w:noProof/>
          </w:rPr>
          <w:t>APPENDIX 25: Gambling risk levels by major life events experienced and psychological distress for Waves 1, 2, 3 and 4</w:t>
        </w:r>
        <w:r w:rsidR="00735553">
          <w:rPr>
            <w:noProof/>
            <w:webHidden/>
          </w:rPr>
          <w:tab/>
        </w:r>
        <w:r w:rsidR="00735553">
          <w:rPr>
            <w:noProof/>
            <w:webHidden/>
          </w:rPr>
          <w:fldChar w:fldCharType="begin"/>
        </w:r>
        <w:r w:rsidR="00735553">
          <w:rPr>
            <w:noProof/>
            <w:webHidden/>
          </w:rPr>
          <w:instrText xml:space="preserve"> PAGEREF _Toc504488418 \h </w:instrText>
        </w:r>
        <w:r w:rsidR="00735553">
          <w:rPr>
            <w:noProof/>
            <w:webHidden/>
          </w:rPr>
        </w:r>
        <w:r w:rsidR="00735553">
          <w:rPr>
            <w:noProof/>
            <w:webHidden/>
          </w:rPr>
          <w:fldChar w:fldCharType="separate"/>
        </w:r>
        <w:r>
          <w:rPr>
            <w:noProof/>
            <w:webHidden/>
          </w:rPr>
          <w:t>156</w:t>
        </w:r>
        <w:r w:rsidR="00735553">
          <w:rPr>
            <w:noProof/>
            <w:webHidden/>
          </w:rPr>
          <w:fldChar w:fldCharType="end"/>
        </w:r>
      </w:hyperlink>
    </w:p>
    <w:p w14:paraId="7C500916"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19" w:history="1">
        <w:r w:rsidR="00735553" w:rsidRPr="00F77A30">
          <w:rPr>
            <w:rStyle w:val="Hyperlink"/>
            <w:noProof/>
          </w:rPr>
          <w:t>APPENDIX 26: Transitions between gambling risk levels between the waves</w:t>
        </w:r>
        <w:r w:rsidR="00735553">
          <w:rPr>
            <w:noProof/>
            <w:webHidden/>
          </w:rPr>
          <w:tab/>
        </w:r>
        <w:r w:rsidR="00735553">
          <w:rPr>
            <w:noProof/>
            <w:webHidden/>
          </w:rPr>
          <w:fldChar w:fldCharType="begin"/>
        </w:r>
        <w:r w:rsidR="00735553">
          <w:rPr>
            <w:noProof/>
            <w:webHidden/>
          </w:rPr>
          <w:instrText xml:space="preserve"> PAGEREF _Toc504488419 \h </w:instrText>
        </w:r>
        <w:r w:rsidR="00735553">
          <w:rPr>
            <w:noProof/>
            <w:webHidden/>
          </w:rPr>
        </w:r>
        <w:r w:rsidR="00735553">
          <w:rPr>
            <w:noProof/>
            <w:webHidden/>
          </w:rPr>
          <w:fldChar w:fldCharType="separate"/>
        </w:r>
        <w:r>
          <w:rPr>
            <w:noProof/>
            <w:webHidden/>
          </w:rPr>
          <w:t>158</w:t>
        </w:r>
        <w:r w:rsidR="00735553">
          <w:rPr>
            <w:noProof/>
            <w:webHidden/>
          </w:rPr>
          <w:fldChar w:fldCharType="end"/>
        </w:r>
      </w:hyperlink>
    </w:p>
    <w:p w14:paraId="25797E9D"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20" w:history="1">
        <w:r w:rsidR="00735553" w:rsidRPr="00F77A30">
          <w:rPr>
            <w:rStyle w:val="Hyperlink"/>
            <w:noProof/>
          </w:rPr>
          <w:t>APPENDIX 27: Transitions between gambling risk levels between the waves by Māori and Pacific ethnicity</w:t>
        </w:r>
        <w:r w:rsidR="00735553">
          <w:rPr>
            <w:noProof/>
            <w:webHidden/>
          </w:rPr>
          <w:tab/>
        </w:r>
        <w:r w:rsidR="00735553">
          <w:rPr>
            <w:noProof/>
            <w:webHidden/>
          </w:rPr>
          <w:fldChar w:fldCharType="begin"/>
        </w:r>
        <w:r w:rsidR="00735553">
          <w:rPr>
            <w:noProof/>
            <w:webHidden/>
          </w:rPr>
          <w:instrText xml:space="preserve"> PAGEREF _Toc504488420 \h </w:instrText>
        </w:r>
        <w:r w:rsidR="00735553">
          <w:rPr>
            <w:noProof/>
            <w:webHidden/>
          </w:rPr>
        </w:r>
        <w:r w:rsidR="00735553">
          <w:rPr>
            <w:noProof/>
            <w:webHidden/>
          </w:rPr>
          <w:fldChar w:fldCharType="separate"/>
        </w:r>
        <w:r>
          <w:rPr>
            <w:noProof/>
            <w:webHidden/>
          </w:rPr>
          <w:t>159</w:t>
        </w:r>
        <w:r w:rsidR="00735553">
          <w:rPr>
            <w:noProof/>
            <w:webHidden/>
          </w:rPr>
          <w:fldChar w:fldCharType="end"/>
        </w:r>
      </w:hyperlink>
    </w:p>
    <w:p w14:paraId="40FB1CFC"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21" w:history="1">
        <w:r w:rsidR="00735553" w:rsidRPr="00F77A30">
          <w:rPr>
            <w:rStyle w:val="Hyperlink"/>
            <w:noProof/>
          </w:rPr>
          <w:t>APPENDIX 28: Statistically significant bivariate associations with the chance of being a past year gambler vs. not gambling across Waves 1 to 4</w:t>
        </w:r>
        <w:r w:rsidR="00735553">
          <w:rPr>
            <w:noProof/>
            <w:webHidden/>
          </w:rPr>
          <w:tab/>
        </w:r>
        <w:r w:rsidR="00735553">
          <w:rPr>
            <w:noProof/>
            <w:webHidden/>
          </w:rPr>
          <w:fldChar w:fldCharType="begin"/>
        </w:r>
        <w:r w:rsidR="00735553">
          <w:rPr>
            <w:noProof/>
            <w:webHidden/>
          </w:rPr>
          <w:instrText xml:space="preserve"> PAGEREF _Toc504488421 \h </w:instrText>
        </w:r>
        <w:r w:rsidR="00735553">
          <w:rPr>
            <w:noProof/>
            <w:webHidden/>
          </w:rPr>
        </w:r>
        <w:r w:rsidR="00735553">
          <w:rPr>
            <w:noProof/>
            <w:webHidden/>
          </w:rPr>
          <w:fldChar w:fldCharType="separate"/>
        </w:r>
        <w:r>
          <w:rPr>
            <w:noProof/>
            <w:webHidden/>
          </w:rPr>
          <w:t>162</w:t>
        </w:r>
        <w:r w:rsidR="00735553">
          <w:rPr>
            <w:noProof/>
            <w:webHidden/>
          </w:rPr>
          <w:fldChar w:fldCharType="end"/>
        </w:r>
      </w:hyperlink>
    </w:p>
    <w:p w14:paraId="7C93C21D"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22" w:history="1">
        <w:r w:rsidR="00735553" w:rsidRPr="00F77A30">
          <w:rPr>
            <w:rStyle w:val="Hyperlink"/>
            <w:noProof/>
          </w:rPr>
          <w:t>APPENDIX 29: Statistically significant bivariate associations with the chance of being a past year low-risk/moderate-risk/problem gambler vs. being a non-problem/non-gambler across Waves 1 to 4</w:t>
        </w:r>
        <w:r w:rsidR="00735553">
          <w:rPr>
            <w:noProof/>
            <w:webHidden/>
          </w:rPr>
          <w:tab/>
        </w:r>
        <w:r w:rsidR="00735553">
          <w:rPr>
            <w:noProof/>
            <w:webHidden/>
          </w:rPr>
          <w:fldChar w:fldCharType="begin"/>
        </w:r>
        <w:r w:rsidR="00735553">
          <w:rPr>
            <w:noProof/>
            <w:webHidden/>
          </w:rPr>
          <w:instrText xml:space="preserve"> PAGEREF _Toc504488422 \h </w:instrText>
        </w:r>
        <w:r w:rsidR="00735553">
          <w:rPr>
            <w:noProof/>
            <w:webHidden/>
          </w:rPr>
        </w:r>
        <w:r w:rsidR="00735553">
          <w:rPr>
            <w:noProof/>
            <w:webHidden/>
          </w:rPr>
          <w:fldChar w:fldCharType="separate"/>
        </w:r>
        <w:r>
          <w:rPr>
            <w:noProof/>
            <w:webHidden/>
          </w:rPr>
          <w:t>164</w:t>
        </w:r>
        <w:r w:rsidR="00735553">
          <w:rPr>
            <w:noProof/>
            <w:webHidden/>
          </w:rPr>
          <w:fldChar w:fldCharType="end"/>
        </w:r>
      </w:hyperlink>
    </w:p>
    <w:p w14:paraId="4B8AD92E"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23" w:history="1">
        <w:r w:rsidR="00735553" w:rsidRPr="00F77A30">
          <w:rPr>
            <w:rStyle w:val="Hyperlink"/>
            <w:noProof/>
          </w:rPr>
          <w:t>APPENDIX 30: Statistically significant bivariate associations with the chance of being a past year moderate-risk/problem gambler vs. being a low-risk/non-problem/non-gambler across Waves 1 to 4</w:t>
        </w:r>
        <w:r w:rsidR="00735553">
          <w:rPr>
            <w:noProof/>
            <w:webHidden/>
          </w:rPr>
          <w:tab/>
        </w:r>
        <w:r w:rsidR="00735553">
          <w:rPr>
            <w:noProof/>
            <w:webHidden/>
          </w:rPr>
          <w:fldChar w:fldCharType="begin"/>
        </w:r>
        <w:r w:rsidR="00735553">
          <w:rPr>
            <w:noProof/>
            <w:webHidden/>
          </w:rPr>
          <w:instrText xml:space="preserve"> PAGEREF _Toc504488423 \h </w:instrText>
        </w:r>
        <w:r w:rsidR="00735553">
          <w:rPr>
            <w:noProof/>
            <w:webHidden/>
          </w:rPr>
        </w:r>
        <w:r w:rsidR="00735553">
          <w:rPr>
            <w:noProof/>
            <w:webHidden/>
          </w:rPr>
          <w:fldChar w:fldCharType="separate"/>
        </w:r>
        <w:r>
          <w:rPr>
            <w:noProof/>
            <w:webHidden/>
          </w:rPr>
          <w:t>169</w:t>
        </w:r>
        <w:r w:rsidR="00735553">
          <w:rPr>
            <w:noProof/>
            <w:webHidden/>
          </w:rPr>
          <w:fldChar w:fldCharType="end"/>
        </w:r>
      </w:hyperlink>
    </w:p>
    <w:p w14:paraId="28BAA349"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24" w:history="1">
        <w:r w:rsidR="00735553" w:rsidRPr="00F77A30">
          <w:rPr>
            <w:rStyle w:val="Hyperlink"/>
            <w:noProof/>
          </w:rPr>
          <w:t>APPENDIX 31: Statistically significant bivariate associations for recovery from moderate-risk/problem gambling</w:t>
        </w:r>
        <w:r w:rsidR="00735553">
          <w:rPr>
            <w:noProof/>
            <w:webHidden/>
          </w:rPr>
          <w:tab/>
        </w:r>
        <w:r w:rsidR="00735553">
          <w:rPr>
            <w:noProof/>
            <w:webHidden/>
          </w:rPr>
          <w:fldChar w:fldCharType="begin"/>
        </w:r>
        <w:r w:rsidR="00735553">
          <w:rPr>
            <w:noProof/>
            <w:webHidden/>
          </w:rPr>
          <w:instrText xml:space="preserve"> PAGEREF _Toc504488424 \h </w:instrText>
        </w:r>
        <w:r w:rsidR="00735553">
          <w:rPr>
            <w:noProof/>
            <w:webHidden/>
          </w:rPr>
        </w:r>
        <w:r w:rsidR="00735553">
          <w:rPr>
            <w:noProof/>
            <w:webHidden/>
          </w:rPr>
          <w:fldChar w:fldCharType="separate"/>
        </w:r>
        <w:r>
          <w:rPr>
            <w:noProof/>
            <w:webHidden/>
          </w:rPr>
          <w:t>173</w:t>
        </w:r>
        <w:r w:rsidR="00735553">
          <w:rPr>
            <w:noProof/>
            <w:webHidden/>
          </w:rPr>
          <w:fldChar w:fldCharType="end"/>
        </w:r>
      </w:hyperlink>
    </w:p>
    <w:p w14:paraId="1B16FEBD" w14:textId="77777777" w:rsidR="00735553" w:rsidRDefault="00D5752E">
      <w:pPr>
        <w:pStyle w:val="TOC1"/>
        <w:tabs>
          <w:tab w:val="right" w:leader="dot" w:pos="8296"/>
        </w:tabs>
        <w:rPr>
          <w:rFonts w:asciiTheme="minorHAnsi" w:eastAsiaTheme="minorEastAsia" w:hAnsiTheme="minorHAnsi" w:cstheme="minorBidi"/>
          <w:noProof/>
          <w:szCs w:val="22"/>
          <w:lang w:eastAsia="en-NZ"/>
        </w:rPr>
      </w:pPr>
      <w:hyperlink w:anchor="_Toc504488425" w:history="1">
        <w:r w:rsidR="00735553" w:rsidRPr="00F77A30">
          <w:rPr>
            <w:rStyle w:val="Hyperlink"/>
            <w:noProof/>
          </w:rPr>
          <w:t>APPENDIX 32: Statistically significant bivariate associations for relapse into moderate-risk/problem gambling</w:t>
        </w:r>
        <w:r w:rsidR="00735553">
          <w:rPr>
            <w:noProof/>
            <w:webHidden/>
          </w:rPr>
          <w:tab/>
        </w:r>
        <w:r w:rsidR="00735553">
          <w:rPr>
            <w:noProof/>
            <w:webHidden/>
          </w:rPr>
          <w:fldChar w:fldCharType="begin"/>
        </w:r>
        <w:r w:rsidR="00735553">
          <w:rPr>
            <w:noProof/>
            <w:webHidden/>
          </w:rPr>
          <w:instrText xml:space="preserve"> PAGEREF _Toc504488425 \h </w:instrText>
        </w:r>
        <w:r w:rsidR="00735553">
          <w:rPr>
            <w:noProof/>
            <w:webHidden/>
          </w:rPr>
        </w:r>
        <w:r w:rsidR="00735553">
          <w:rPr>
            <w:noProof/>
            <w:webHidden/>
          </w:rPr>
          <w:fldChar w:fldCharType="separate"/>
        </w:r>
        <w:r>
          <w:rPr>
            <w:noProof/>
            <w:webHidden/>
          </w:rPr>
          <w:t>175</w:t>
        </w:r>
        <w:r w:rsidR="00735553">
          <w:rPr>
            <w:noProof/>
            <w:webHidden/>
          </w:rPr>
          <w:fldChar w:fldCharType="end"/>
        </w:r>
      </w:hyperlink>
    </w:p>
    <w:p w14:paraId="3DD8A258" w14:textId="77777777" w:rsidR="000D1CF7" w:rsidRDefault="000D1CF7" w:rsidP="000C5E9A">
      <w:pPr>
        <w:pStyle w:val="TOC1"/>
        <w:tabs>
          <w:tab w:val="right" w:leader="dot" w:pos="8296"/>
        </w:tabs>
        <w:rPr>
          <w:b/>
          <w:szCs w:val="22"/>
        </w:rPr>
      </w:pPr>
      <w:r>
        <w:rPr>
          <w:szCs w:val="22"/>
        </w:rPr>
        <w:fldChar w:fldCharType="end"/>
      </w:r>
      <w:r>
        <w:rPr>
          <w:b/>
          <w:szCs w:val="22"/>
        </w:rPr>
        <w:br w:type="page"/>
      </w:r>
    </w:p>
    <w:p w14:paraId="3AD8E2FC" w14:textId="77777777" w:rsidR="0046000D" w:rsidRDefault="0046000D" w:rsidP="0046000D">
      <w:pPr>
        <w:jc w:val="center"/>
        <w:rPr>
          <w:b/>
          <w:szCs w:val="22"/>
        </w:rPr>
      </w:pPr>
      <w:r>
        <w:rPr>
          <w:b/>
          <w:szCs w:val="22"/>
        </w:rPr>
        <w:t>LIST OF TABLES</w:t>
      </w:r>
    </w:p>
    <w:p w14:paraId="2D88AF4C" w14:textId="77777777" w:rsidR="0046000D" w:rsidRDefault="0046000D" w:rsidP="0046000D">
      <w:pPr>
        <w:jc w:val="center"/>
        <w:rPr>
          <w:b/>
          <w:szCs w:val="22"/>
        </w:rPr>
      </w:pPr>
    </w:p>
    <w:p w14:paraId="318B7FAD" w14:textId="77777777" w:rsidR="00735553" w:rsidRDefault="0046000D">
      <w:pPr>
        <w:pStyle w:val="TableofFigures"/>
        <w:tabs>
          <w:tab w:val="right" w:leader="dot" w:pos="8296"/>
        </w:tabs>
        <w:rPr>
          <w:rFonts w:asciiTheme="minorHAnsi" w:eastAsiaTheme="minorEastAsia" w:hAnsiTheme="minorHAnsi" w:cstheme="minorBidi"/>
          <w:noProof/>
          <w:szCs w:val="22"/>
          <w:lang w:eastAsia="en-NZ"/>
        </w:rPr>
      </w:pPr>
      <w:r>
        <w:rPr>
          <w:b/>
          <w:szCs w:val="22"/>
        </w:rPr>
        <w:fldChar w:fldCharType="begin"/>
      </w:r>
      <w:r>
        <w:rPr>
          <w:b/>
          <w:szCs w:val="22"/>
        </w:rPr>
        <w:instrText xml:space="preserve"> TOC \h \z \c "Table" </w:instrText>
      </w:r>
      <w:r>
        <w:rPr>
          <w:b/>
          <w:szCs w:val="22"/>
        </w:rPr>
        <w:fldChar w:fldCharType="separate"/>
      </w:r>
      <w:hyperlink w:anchor="_Toc504488426" w:history="1">
        <w:r w:rsidR="00735553" w:rsidRPr="0014112A">
          <w:rPr>
            <w:rStyle w:val="Hyperlink"/>
            <w:noProof/>
          </w:rPr>
          <w:t>Table 1: Gender and age of participants in Waves 1 to 4</w:t>
        </w:r>
        <w:r w:rsidR="00735553">
          <w:rPr>
            <w:noProof/>
            <w:webHidden/>
          </w:rPr>
          <w:tab/>
        </w:r>
        <w:r w:rsidR="00735553">
          <w:rPr>
            <w:noProof/>
            <w:webHidden/>
          </w:rPr>
          <w:fldChar w:fldCharType="begin"/>
        </w:r>
        <w:r w:rsidR="00735553">
          <w:rPr>
            <w:noProof/>
            <w:webHidden/>
          </w:rPr>
          <w:instrText xml:space="preserve"> PAGEREF _Toc504488426 \h </w:instrText>
        </w:r>
        <w:r w:rsidR="00735553">
          <w:rPr>
            <w:noProof/>
            <w:webHidden/>
          </w:rPr>
        </w:r>
        <w:r w:rsidR="00735553">
          <w:rPr>
            <w:noProof/>
            <w:webHidden/>
          </w:rPr>
          <w:fldChar w:fldCharType="separate"/>
        </w:r>
        <w:r w:rsidR="00D5752E">
          <w:rPr>
            <w:noProof/>
            <w:webHidden/>
          </w:rPr>
          <w:t>32</w:t>
        </w:r>
        <w:r w:rsidR="00735553">
          <w:rPr>
            <w:noProof/>
            <w:webHidden/>
          </w:rPr>
          <w:fldChar w:fldCharType="end"/>
        </w:r>
      </w:hyperlink>
    </w:p>
    <w:p w14:paraId="4FADECAF" w14:textId="77777777" w:rsidR="00735553"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8427" w:history="1">
        <w:r w:rsidR="00735553" w:rsidRPr="0014112A">
          <w:rPr>
            <w:rStyle w:val="Hyperlink"/>
            <w:noProof/>
          </w:rPr>
          <w:t>Table 2: Ethnicity of participants in Waves 1 to 4</w:t>
        </w:r>
        <w:r w:rsidR="00735553">
          <w:rPr>
            <w:noProof/>
            <w:webHidden/>
          </w:rPr>
          <w:tab/>
        </w:r>
        <w:r w:rsidR="00735553">
          <w:rPr>
            <w:noProof/>
            <w:webHidden/>
          </w:rPr>
          <w:fldChar w:fldCharType="begin"/>
        </w:r>
        <w:r w:rsidR="00735553">
          <w:rPr>
            <w:noProof/>
            <w:webHidden/>
          </w:rPr>
          <w:instrText xml:space="preserve"> PAGEREF _Toc504488427 \h </w:instrText>
        </w:r>
        <w:r w:rsidR="00735553">
          <w:rPr>
            <w:noProof/>
            <w:webHidden/>
          </w:rPr>
        </w:r>
        <w:r w:rsidR="00735553">
          <w:rPr>
            <w:noProof/>
            <w:webHidden/>
          </w:rPr>
          <w:fldChar w:fldCharType="separate"/>
        </w:r>
        <w:r>
          <w:rPr>
            <w:noProof/>
            <w:webHidden/>
          </w:rPr>
          <w:t>32</w:t>
        </w:r>
        <w:r w:rsidR="00735553">
          <w:rPr>
            <w:noProof/>
            <w:webHidden/>
          </w:rPr>
          <w:fldChar w:fldCharType="end"/>
        </w:r>
      </w:hyperlink>
    </w:p>
    <w:p w14:paraId="5E5DD16F" w14:textId="77777777" w:rsidR="00735553"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8428" w:history="1">
        <w:r w:rsidR="00735553" w:rsidRPr="0014112A">
          <w:rPr>
            <w:rStyle w:val="Hyperlink"/>
            <w:noProof/>
          </w:rPr>
          <w:t>Table 3: Recovery and relapse from Waves 1 to 4</w:t>
        </w:r>
        <w:r w:rsidR="00735553">
          <w:rPr>
            <w:noProof/>
            <w:webHidden/>
          </w:rPr>
          <w:tab/>
        </w:r>
        <w:r w:rsidR="00735553">
          <w:rPr>
            <w:noProof/>
            <w:webHidden/>
          </w:rPr>
          <w:fldChar w:fldCharType="begin"/>
        </w:r>
        <w:r w:rsidR="00735553">
          <w:rPr>
            <w:noProof/>
            <w:webHidden/>
          </w:rPr>
          <w:instrText xml:space="preserve"> PAGEREF _Toc504488428 \h </w:instrText>
        </w:r>
        <w:r w:rsidR="00735553">
          <w:rPr>
            <w:noProof/>
            <w:webHidden/>
          </w:rPr>
        </w:r>
        <w:r w:rsidR="00735553">
          <w:rPr>
            <w:noProof/>
            <w:webHidden/>
          </w:rPr>
          <w:fldChar w:fldCharType="separate"/>
        </w:r>
        <w:r>
          <w:rPr>
            <w:noProof/>
            <w:webHidden/>
          </w:rPr>
          <w:t>36</w:t>
        </w:r>
        <w:r w:rsidR="00735553">
          <w:rPr>
            <w:noProof/>
            <w:webHidden/>
          </w:rPr>
          <w:fldChar w:fldCharType="end"/>
        </w:r>
      </w:hyperlink>
    </w:p>
    <w:p w14:paraId="503883B0" w14:textId="77777777" w:rsidR="00735553"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8429" w:history="1">
        <w:r w:rsidR="00735553" w:rsidRPr="0014112A">
          <w:rPr>
            <w:rStyle w:val="Hyperlink"/>
            <w:noProof/>
          </w:rPr>
          <w:t>Table 4: Online/remote gambling in Waves 1, 2, 3 and 4</w:t>
        </w:r>
        <w:r w:rsidR="00735553">
          <w:rPr>
            <w:noProof/>
            <w:webHidden/>
          </w:rPr>
          <w:tab/>
        </w:r>
        <w:r w:rsidR="00735553">
          <w:rPr>
            <w:noProof/>
            <w:webHidden/>
          </w:rPr>
          <w:fldChar w:fldCharType="begin"/>
        </w:r>
        <w:r w:rsidR="00735553">
          <w:rPr>
            <w:noProof/>
            <w:webHidden/>
          </w:rPr>
          <w:instrText xml:space="preserve"> PAGEREF _Toc504488429 \h </w:instrText>
        </w:r>
        <w:r w:rsidR="00735553">
          <w:rPr>
            <w:noProof/>
            <w:webHidden/>
          </w:rPr>
        </w:r>
        <w:r w:rsidR="00735553">
          <w:rPr>
            <w:noProof/>
            <w:webHidden/>
          </w:rPr>
          <w:fldChar w:fldCharType="separate"/>
        </w:r>
        <w:r>
          <w:rPr>
            <w:noProof/>
            <w:webHidden/>
          </w:rPr>
          <w:t>43</w:t>
        </w:r>
        <w:r w:rsidR="00735553">
          <w:rPr>
            <w:noProof/>
            <w:webHidden/>
          </w:rPr>
          <w:fldChar w:fldCharType="end"/>
        </w:r>
      </w:hyperlink>
    </w:p>
    <w:p w14:paraId="2320D426" w14:textId="77777777" w:rsidR="00735553"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8430" w:history="1">
        <w:r w:rsidR="00735553" w:rsidRPr="0014112A">
          <w:rPr>
            <w:rStyle w:val="Hyperlink"/>
            <w:noProof/>
          </w:rPr>
          <w:t>Table 5: Methods used to stop gambling too much and help-seeking behaviour in Waves 1, 2, 3 and 4</w:t>
        </w:r>
        <w:r w:rsidR="00735553">
          <w:rPr>
            <w:noProof/>
            <w:webHidden/>
          </w:rPr>
          <w:tab/>
        </w:r>
        <w:r w:rsidR="00735553">
          <w:rPr>
            <w:noProof/>
            <w:webHidden/>
          </w:rPr>
          <w:fldChar w:fldCharType="begin"/>
        </w:r>
        <w:r w:rsidR="00735553">
          <w:rPr>
            <w:noProof/>
            <w:webHidden/>
          </w:rPr>
          <w:instrText xml:space="preserve"> PAGEREF _Toc504488430 \h </w:instrText>
        </w:r>
        <w:r w:rsidR="00735553">
          <w:rPr>
            <w:noProof/>
            <w:webHidden/>
          </w:rPr>
        </w:r>
        <w:r w:rsidR="00735553">
          <w:rPr>
            <w:noProof/>
            <w:webHidden/>
          </w:rPr>
          <w:fldChar w:fldCharType="separate"/>
        </w:r>
        <w:r>
          <w:rPr>
            <w:noProof/>
            <w:webHidden/>
          </w:rPr>
          <w:t>44</w:t>
        </w:r>
        <w:r w:rsidR="00735553">
          <w:rPr>
            <w:noProof/>
            <w:webHidden/>
          </w:rPr>
          <w:fldChar w:fldCharType="end"/>
        </w:r>
      </w:hyperlink>
    </w:p>
    <w:p w14:paraId="3D778E25" w14:textId="77777777" w:rsidR="00735553"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8431" w:history="1">
        <w:r w:rsidR="00735553" w:rsidRPr="0014112A">
          <w:rPr>
            <w:rStyle w:val="Hyperlink"/>
            <w:noProof/>
          </w:rPr>
          <w:t>Table 6: Methods used to stop gambling too much and help-seeking behaviour in Waves 1, 2, 3 and 4 - Māori</w:t>
        </w:r>
        <w:r w:rsidR="00735553">
          <w:rPr>
            <w:noProof/>
            <w:webHidden/>
          </w:rPr>
          <w:tab/>
        </w:r>
        <w:r w:rsidR="00735553">
          <w:rPr>
            <w:noProof/>
            <w:webHidden/>
          </w:rPr>
          <w:fldChar w:fldCharType="begin"/>
        </w:r>
        <w:r w:rsidR="00735553">
          <w:rPr>
            <w:noProof/>
            <w:webHidden/>
          </w:rPr>
          <w:instrText xml:space="preserve"> PAGEREF _Toc504488431 \h </w:instrText>
        </w:r>
        <w:r w:rsidR="00735553">
          <w:rPr>
            <w:noProof/>
            <w:webHidden/>
          </w:rPr>
        </w:r>
        <w:r w:rsidR="00735553">
          <w:rPr>
            <w:noProof/>
            <w:webHidden/>
          </w:rPr>
          <w:fldChar w:fldCharType="separate"/>
        </w:r>
        <w:r>
          <w:rPr>
            <w:noProof/>
            <w:webHidden/>
          </w:rPr>
          <w:t>45</w:t>
        </w:r>
        <w:r w:rsidR="00735553">
          <w:rPr>
            <w:noProof/>
            <w:webHidden/>
          </w:rPr>
          <w:fldChar w:fldCharType="end"/>
        </w:r>
      </w:hyperlink>
    </w:p>
    <w:p w14:paraId="2E950133" w14:textId="77777777" w:rsidR="00735553"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8432" w:history="1">
        <w:r w:rsidR="00735553" w:rsidRPr="0014112A">
          <w:rPr>
            <w:rStyle w:val="Hyperlink"/>
            <w:noProof/>
          </w:rPr>
          <w:t>Table 7: Participation in gambling type games not for money or prizes in Waves 1, 2, 3 and 4</w:t>
        </w:r>
        <w:r w:rsidR="00735553">
          <w:rPr>
            <w:noProof/>
            <w:webHidden/>
          </w:rPr>
          <w:tab/>
        </w:r>
        <w:r w:rsidR="00735553">
          <w:rPr>
            <w:noProof/>
            <w:webHidden/>
          </w:rPr>
          <w:fldChar w:fldCharType="begin"/>
        </w:r>
        <w:r w:rsidR="00735553">
          <w:rPr>
            <w:noProof/>
            <w:webHidden/>
          </w:rPr>
          <w:instrText xml:space="preserve"> PAGEREF _Toc504488432 \h </w:instrText>
        </w:r>
        <w:r w:rsidR="00735553">
          <w:rPr>
            <w:noProof/>
            <w:webHidden/>
          </w:rPr>
        </w:r>
        <w:r w:rsidR="00735553">
          <w:rPr>
            <w:noProof/>
            <w:webHidden/>
          </w:rPr>
          <w:fldChar w:fldCharType="separate"/>
        </w:r>
        <w:r>
          <w:rPr>
            <w:noProof/>
            <w:webHidden/>
          </w:rPr>
          <w:t>48</w:t>
        </w:r>
        <w:r w:rsidR="00735553">
          <w:rPr>
            <w:noProof/>
            <w:webHidden/>
          </w:rPr>
          <w:fldChar w:fldCharType="end"/>
        </w:r>
      </w:hyperlink>
    </w:p>
    <w:p w14:paraId="255BE09D" w14:textId="77777777" w:rsidR="00735553"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8433" w:history="1">
        <w:r w:rsidR="00735553" w:rsidRPr="0014112A">
          <w:rPr>
            <w:rStyle w:val="Hyperlink"/>
            <w:noProof/>
          </w:rPr>
          <w:t>Table 8: Participation in gambling type games not for money or prizes by ethnicity in Waves 1, 2, 3 and 4</w:t>
        </w:r>
        <w:r w:rsidR="00735553">
          <w:rPr>
            <w:noProof/>
            <w:webHidden/>
          </w:rPr>
          <w:tab/>
        </w:r>
        <w:r w:rsidR="00735553">
          <w:rPr>
            <w:noProof/>
            <w:webHidden/>
          </w:rPr>
          <w:fldChar w:fldCharType="begin"/>
        </w:r>
        <w:r w:rsidR="00735553">
          <w:rPr>
            <w:noProof/>
            <w:webHidden/>
          </w:rPr>
          <w:instrText xml:space="preserve"> PAGEREF _Toc504488433 \h </w:instrText>
        </w:r>
        <w:r w:rsidR="00735553">
          <w:rPr>
            <w:noProof/>
            <w:webHidden/>
          </w:rPr>
        </w:r>
        <w:r w:rsidR="00735553">
          <w:rPr>
            <w:noProof/>
            <w:webHidden/>
          </w:rPr>
          <w:fldChar w:fldCharType="separate"/>
        </w:r>
        <w:r>
          <w:rPr>
            <w:noProof/>
            <w:webHidden/>
          </w:rPr>
          <w:t>49</w:t>
        </w:r>
        <w:r w:rsidR="00735553">
          <w:rPr>
            <w:noProof/>
            <w:webHidden/>
          </w:rPr>
          <w:fldChar w:fldCharType="end"/>
        </w:r>
      </w:hyperlink>
    </w:p>
    <w:p w14:paraId="50C4ADC4" w14:textId="77777777" w:rsidR="00735553"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8434" w:history="1">
        <w:r w:rsidR="00735553" w:rsidRPr="0014112A">
          <w:rPr>
            <w:rStyle w:val="Hyperlink"/>
            <w:noProof/>
          </w:rPr>
          <w:t>Table 9: Percentage of total estimated EGM expenditure by gambling risk level and venue in Waves 1, 2, 3 and 4</w:t>
        </w:r>
        <w:r w:rsidR="00735553">
          <w:rPr>
            <w:noProof/>
            <w:webHidden/>
          </w:rPr>
          <w:tab/>
        </w:r>
        <w:r w:rsidR="00735553">
          <w:rPr>
            <w:noProof/>
            <w:webHidden/>
          </w:rPr>
          <w:fldChar w:fldCharType="begin"/>
        </w:r>
        <w:r w:rsidR="00735553">
          <w:rPr>
            <w:noProof/>
            <w:webHidden/>
          </w:rPr>
          <w:instrText xml:space="preserve"> PAGEREF _Toc504488434 \h </w:instrText>
        </w:r>
        <w:r w:rsidR="00735553">
          <w:rPr>
            <w:noProof/>
            <w:webHidden/>
          </w:rPr>
        </w:r>
        <w:r w:rsidR="00735553">
          <w:rPr>
            <w:noProof/>
            <w:webHidden/>
          </w:rPr>
          <w:fldChar w:fldCharType="separate"/>
        </w:r>
        <w:r>
          <w:rPr>
            <w:noProof/>
            <w:webHidden/>
          </w:rPr>
          <w:t>50</w:t>
        </w:r>
        <w:r w:rsidR="00735553">
          <w:rPr>
            <w:noProof/>
            <w:webHidden/>
          </w:rPr>
          <w:fldChar w:fldCharType="end"/>
        </w:r>
      </w:hyperlink>
    </w:p>
    <w:p w14:paraId="244B2407" w14:textId="77777777" w:rsidR="00735553"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8435" w:history="1">
        <w:r w:rsidR="00735553" w:rsidRPr="0014112A">
          <w:rPr>
            <w:rStyle w:val="Hyperlink"/>
            <w:noProof/>
          </w:rPr>
          <w:t>Table 10: Gambling risk in Waves 1, 2, 3 and 4</w:t>
        </w:r>
        <w:r w:rsidR="00735553">
          <w:rPr>
            <w:noProof/>
            <w:webHidden/>
          </w:rPr>
          <w:tab/>
        </w:r>
        <w:r w:rsidR="00735553">
          <w:rPr>
            <w:noProof/>
            <w:webHidden/>
          </w:rPr>
          <w:fldChar w:fldCharType="begin"/>
        </w:r>
        <w:r w:rsidR="00735553">
          <w:rPr>
            <w:noProof/>
            <w:webHidden/>
          </w:rPr>
          <w:instrText xml:space="preserve"> PAGEREF _Toc504488435 \h </w:instrText>
        </w:r>
        <w:r w:rsidR="00735553">
          <w:rPr>
            <w:noProof/>
            <w:webHidden/>
          </w:rPr>
        </w:r>
        <w:r w:rsidR="00735553">
          <w:rPr>
            <w:noProof/>
            <w:webHidden/>
          </w:rPr>
          <w:fldChar w:fldCharType="separate"/>
        </w:r>
        <w:r>
          <w:rPr>
            <w:noProof/>
            <w:webHidden/>
          </w:rPr>
          <w:t>52</w:t>
        </w:r>
        <w:r w:rsidR="00735553">
          <w:rPr>
            <w:noProof/>
            <w:webHidden/>
          </w:rPr>
          <w:fldChar w:fldCharType="end"/>
        </w:r>
      </w:hyperlink>
    </w:p>
    <w:p w14:paraId="71B1E2A1" w14:textId="77777777" w:rsidR="00735553"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8436" w:history="1">
        <w:r w:rsidR="00735553" w:rsidRPr="0014112A">
          <w:rPr>
            <w:rStyle w:val="Hyperlink"/>
            <w:noProof/>
          </w:rPr>
          <w:t>Table 11: Participation in gambling type games not for money or prizes by gambling risk level in Waves 1, 2, 3 and 4</w:t>
        </w:r>
        <w:r w:rsidR="00735553">
          <w:rPr>
            <w:noProof/>
            <w:webHidden/>
          </w:rPr>
          <w:tab/>
        </w:r>
        <w:r w:rsidR="00735553">
          <w:rPr>
            <w:noProof/>
            <w:webHidden/>
          </w:rPr>
          <w:fldChar w:fldCharType="begin"/>
        </w:r>
        <w:r w:rsidR="00735553">
          <w:rPr>
            <w:noProof/>
            <w:webHidden/>
          </w:rPr>
          <w:instrText xml:space="preserve"> PAGEREF _Toc504488436 \h </w:instrText>
        </w:r>
        <w:r w:rsidR="00735553">
          <w:rPr>
            <w:noProof/>
            <w:webHidden/>
          </w:rPr>
        </w:r>
        <w:r w:rsidR="00735553">
          <w:rPr>
            <w:noProof/>
            <w:webHidden/>
          </w:rPr>
          <w:fldChar w:fldCharType="separate"/>
        </w:r>
        <w:r>
          <w:rPr>
            <w:noProof/>
            <w:webHidden/>
          </w:rPr>
          <w:t>54</w:t>
        </w:r>
        <w:r w:rsidR="00735553">
          <w:rPr>
            <w:noProof/>
            <w:webHidden/>
          </w:rPr>
          <w:fldChar w:fldCharType="end"/>
        </w:r>
      </w:hyperlink>
    </w:p>
    <w:p w14:paraId="50501C45" w14:textId="77777777" w:rsidR="00735553"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8437" w:history="1">
        <w:r w:rsidR="00735553" w:rsidRPr="0014112A">
          <w:rPr>
            <w:rStyle w:val="Hyperlink"/>
            <w:noProof/>
          </w:rPr>
          <w:t>Table 12: Transitions between gambling risk levels between the waves</w:t>
        </w:r>
        <w:r w:rsidR="00735553">
          <w:rPr>
            <w:noProof/>
            <w:webHidden/>
          </w:rPr>
          <w:tab/>
        </w:r>
        <w:r w:rsidR="00735553">
          <w:rPr>
            <w:noProof/>
            <w:webHidden/>
          </w:rPr>
          <w:fldChar w:fldCharType="begin"/>
        </w:r>
        <w:r w:rsidR="00735553">
          <w:rPr>
            <w:noProof/>
            <w:webHidden/>
          </w:rPr>
          <w:instrText xml:space="preserve"> PAGEREF _Toc504488437 \h </w:instrText>
        </w:r>
        <w:r w:rsidR="00735553">
          <w:rPr>
            <w:noProof/>
            <w:webHidden/>
          </w:rPr>
        </w:r>
        <w:r w:rsidR="00735553">
          <w:rPr>
            <w:noProof/>
            <w:webHidden/>
          </w:rPr>
          <w:fldChar w:fldCharType="separate"/>
        </w:r>
        <w:r>
          <w:rPr>
            <w:noProof/>
            <w:webHidden/>
          </w:rPr>
          <w:t>56</w:t>
        </w:r>
        <w:r w:rsidR="00735553">
          <w:rPr>
            <w:noProof/>
            <w:webHidden/>
          </w:rPr>
          <w:fldChar w:fldCharType="end"/>
        </w:r>
      </w:hyperlink>
    </w:p>
    <w:p w14:paraId="2C595E8E" w14:textId="77777777" w:rsidR="00735553"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8438" w:history="1">
        <w:r w:rsidR="00735553" w:rsidRPr="0014112A">
          <w:rPr>
            <w:rStyle w:val="Hyperlink"/>
            <w:noProof/>
          </w:rPr>
          <w:t>Table 13: Transitions between gambling risk levels between the waves by Māori and Pacific ethnicity</w:t>
        </w:r>
        <w:r w:rsidR="00735553">
          <w:rPr>
            <w:noProof/>
            <w:webHidden/>
          </w:rPr>
          <w:tab/>
        </w:r>
        <w:r w:rsidR="00735553">
          <w:rPr>
            <w:noProof/>
            <w:webHidden/>
          </w:rPr>
          <w:fldChar w:fldCharType="begin"/>
        </w:r>
        <w:r w:rsidR="00735553">
          <w:rPr>
            <w:noProof/>
            <w:webHidden/>
          </w:rPr>
          <w:instrText xml:space="preserve"> PAGEREF _Toc504488438 \h </w:instrText>
        </w:r>
        <w:r w:rsidR="00735553">
          <w:rPr>
            <w:noProof/>
            <w:webHidden/>
          </w:rPr>
        </w:r>
        <w:r w:rsidR="00735553">
          <w:rPr>
            <w:noProof/>
            <w:webHidden/>
          </w:rPr>
          <w:fldChar w:fldCharType="separate"/>
        </w:r>
        <w:r>
          <w:rPr>
            <w:noProof/>
            <w:webHidden/>
          </w:rPr>
          <w:t>59</w:t>
        </w:r>
        <w:r w:rsidR="00735553">
          <w:rPr>
            <w:noProof/>
            <w:webHidden/>
          </w:rPr>
          <w:fldChar w:fldCharType="end"/>
        </w:r>
      </w:hyperlink>
    </w:p>
    <w:p w14:paraId="7B8D3F1B" w14:textId="77777777" w:rsidR="00735553"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8439" w:history="1">
        <w:r w:rsidR="00735553" w:rsidRPr="0014112A">
          <w:rPr>
            <w:rStyle w:val="Hyperlink"/>
            <w:noProof/>
          </w:rPr>
          <w:t>Table 14: Multiple logistic regression for associations with chance of being a past year gambler vs. not gambling across Waves 1 to 4</w:t>
        </w:r>
        <w:r w:rsidR="00735553">
          <w:rPr>
            <w:noProof/>
            <w:webHidden/>
          </w:rPr>
          <w:tab/>
        </w:r>
        <w:r w:rsidR="00735553">
          <w:rPr>
            <w:noProof/>
            <w:webHidden/>
          </w:rPr>
          <w:fldChar w:fldCharType="begin"/>
        </w:r>
        <w:r w:rsidR="00735553">
          <w:rPr>
            <w:noProof/>
            <w:webHidden/>
          </w:rPr>
          <w:instrText xml:space="preserve"> PAGEREF _Toc504488439 \h </w:instrText>
        </w:r>
        <w:r w:rsidR="00735553">
          <w:rPr>
            <w:noProof/>
            <w:webHidden/>
          </w:rPr>
        </w:r>
        <w:r w:rsidR="00735553">
          <w:rPr>
            <w:noProof/>
            <w:webHidden/>
          </w:rPr>
          <w:fldChar w:fldCharType="separate"/>
        </w:r>
        <w:r>
          <w:rPr>
            <w:noProof/>
            <w:webHidden/>
          </w:rPr>
          <w:t>61</w:t>
        </w:r>
        <w:r w:rsidR="00735553">
          <w:rPr>
            <w:noProof/>
            <w:webHidden/>
          </w:rPr>
          <w:fldChar w:fldCharType="end"/>
        </w:r>
      </w:hyperlink>
    </w:p>
    <w:p w14:paraId="74BAE09F" w14:textId="77777777" w:rsidR="00735553"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8440" w:history="1">
        <w:r w:rsidR="00735553" w:rsidRPr="0014112A">
          <w:rPr>
            <w:rStyle w:val="Hyperlink"/>
            <w:noProof/>
          </w:rPr>
          <w:t>Table 15: Multiple logistic regression for the chance of being a past year low-risk/moderate-risk/problem gambler versus being a non-problem gambler/non-gambler across Waves 1 to 4</w:t>
        </w:r>
        <w:r w:rsidR="00735553">
          <w:rPr>
            <w:noProof/>
            <w:webHidden/>
          </w:rPr>
          <w:tab/>
        </w:r>
        <w:r w:rsidR="00735553">
          <w:rPr>
            <w:noProof/>
            <w:webHidden/>
          </w:rPr>
          <w:fldChar w:fldCharType="begin"/>
        </w:r>
        <w:r w:rsidR="00735553">
          <w:rPr>
            <w:noProof/>
            <w:webHidden/>
          </w:rPr>
          <w:instrText xml:space="preserve"> PAGEREF _Toc504488440 \h </w:instrText>
        </w:r>
        <w:r w:rsidR="00735553">
          <w:rPr>
            <w:noProof/>
            <w:webHidden/>
          </w:rPr>
        </w:r>
        <w:r w:rsidR="00735553">
          <w:rPr>
            <w:noProof/>
            <w:webHidden/>
          </w:rPr>
          <w:fldChar w:fldCharType="separate"/>
        </w:r>
        <w:r>
          <w:rPr>
            <w:noProof/>
            <w:webHidden/>
          </w:rPr>
          <w:t>64</w:t>
        </w:r>
        <w:r w:rsidR="00735553">
          <w:rPr>
            <w:noProof/>
            <w:webHidden/>
          </w:rPr>
          <w:fldChar w:fldCharType="end"/>
        </w:r>
      </w:hyperlink>
    </w:p>
    <w:p w14:paraId="404830AB" w14:textId="77777777" w:rsidR="00735553"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8441" w:history="1">
        <w:r w:rsidR="00735553" w:rsidRPr="0014112A">
          <w:rPr>
            <w:rStyle w:val="Hyperlink"/>
            <w:noProof/>
          </w:rPr>
          <w:t>Table 16: Multiple logistic regression for the chance of being a past year low-risk/moderate-risk/problem gambler versus being a non-problem gambler/non-gambler across Waves 1 to 4 - Māori</w:t>
        </w:r>
        <w:r w:rsidR="00735553">
          <w:rPr>
            <w:noProof/>
            <w:webHidden/>
          </w:rPr>
          <w:tab/>
        </w:r>
        <w:r w:rsidR="00735553">
          <w:rPr>
            <w:noProof/>
            <w:webHidden/>
          </w:rPr>
          <w:fldChar w:fldCharType="begin"/>
        </w:r>
        <w:r w:rsidR="00735553">
          <w:rPr>
            <w:noProof/>
            <w:webHidden/>
          </w:rPr>
          <w:instrText xml:space="preserve"> PAGEREF _Toc504488441 \h </w:instrText>
        </w:r>
        <w:r w:rsidR="00735553">
          <w:rPr>
            <w:noProof/>
            <w:webHidden/>
          </w:rPr>
        </w:r>
        <w:r w:rsidR="00735553">
          <w:rPr>
            <w:noProof/>
            <w:webHidden/>
          </w:rPr>
          <w:fldChar w:fldCharType="separate"/>
        </w:r>
        <w:r>
          <w:rPr>
            <w:noProof/>
            <w:webHidden/>
          </w:rPr>
          <w:t>67</w:t>
        </w:r>
        <w:r w:rsidR="00735553">
          <w:rPr>
            <w:noProof/>
            <w:webHidden/>
          </w:rPr>
          <w:fldChar w:fldCharType="end"/>
        </w:r>
      </w:hyperlink>
    </w:p>
    <w:p w14:paraId="2C7FE22B" w14:textId="77777777" w:rsidR="00735553"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8442" w:history="1">
        <w:r w:rsidR="00735553" w:rsidRPr="0014112A">
          <w:rPr>
            <w:rStyle w:val="Hyperlink"/>
            <w:noProof/>
          </w:rPr>
          <w:t>Table 17: Multiple logistic regression for the chance of being a past year low-risk/moderate-risk/ problem gambler versus being a non-problem gambler/non-gambler across Waves 1 to 4 - Pacific people</w:t>
        </w:r>
        <w:r w:rsidR="00735553">
          <w:rPr>
            <w:noProof/>
            <w:webHidden/>
          </w:rPr>
          <w:tab/>
        </w:r>
        <w:r w:rsidR="00735553">
          <w:rPr>
            <w:noProof/>
            <w:webHidden/>
          </w:rPr>
          <w:fldChar w:fldCharType="begin"/>
        </w:r>
        <w:r w:rsidR="00735553">
          <w:rPr>
            <w:noProof/>
            <w:webHidden/>
          </w:rPr>
          <w:instrText xml:space="preserve"> PAGEREF _Toc504488442 \h </w:instrText>
        </w:r>
        <w:r w:rsidR="00735553">
          <w:rPr>
            <w:noProof/>
            <w:webHidden/>
          </w:rPr>
        </w:r>
        <w:r w:rsidR="00735553">
          <w:rPr>
            <w:noProof/>
            <w:webHidden/>
          </w:rPr>
          <w:fldChar w:fldCharType="separate"/>
        </w:r>
        <w:r>
          <w:rPr>
            <w:noProof/>
            <w:webHidden/>
          </w:rPr>
          <w:t>70</w:t>
        </w:r>
        <w:r w:rsidR="00735553">
          <w:rPr>
            <w:noProof/>
            <w:webHidden/>
          </w:rPr>
          <w:fldChar w:fldCharType="end"/>
        </w:r>
      </w:hyperlink>
    </w:p>
    <w:p w14:paraId="4114617D" w14:textId="77777777" w:rsidR="00735553"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8443" w:history="1">
        <w:r w:rsidR="00735553" w:rsidRPr="0014112A">
          <w:rPr>
            <w:rStyle w:val="Hyperlink"/>
            <w:noProof/>
          </w:rPr>
          <w:t>Table 18: Multiple logistic regression for the chance of being a past year moderate-risk/problem gambler vs. being a low-risk/non-problem/non gambler across Waves 1 to 4</w:t>
        </w:r>
        <w:r w:rsidR="00735553">
          <w:rPr>
            <w:noProof/>
            <w:webHidden/>
          </w:rPr>
          <w:tab/>
        </w:r>
        <w:r w:rsidR="00735553">
          <w:rPr>
            <w:noProof/>
            <w:webHidden/>
          </w:rPr>
          <w:fldChar w:fldCharType="begin"/>
        </w:r>
        <w:r w:rsidR="00735553">
          <w:rPr>
            <w:noProof/>
            <w:webHidden/>
          </w:rPr>
          <w:instrText xml:space="preserve"> PAGEREF _Toc504488443 \h </w:instrText>
        </w:r>
        <w:r w:rsidR="00735553">
          <w:rPr>
            <w:noProof/>
            <w:webHidden/>
          </w:rPr>
        </w:r>
        <w:r w:rsidR="00735553">
          <w:rPr>
            <w:noProof/>
            <w:webHidden/>
          </w:rPr>
          <w:fldChar w:fldCharType="separate"/>
        </w:r>
        <w:r>
          <w:rPr>
            <w:noProof/>
            <w:webHidden/>
          </w:rPr>
          <w:t>73</w:t>
        </w:r>
        <w:r w:rsidR="00735553">
          <w:rPr>
            <w:noProof/>
            <w:webHidden/>
          </w:rPr>
          <w:fldChar w:fldCharType="end"/>
        </w:r>
      </w:hyperlink>
    </w:p>
    <w:p w14:paraId="45ECD865" w14:textId="77777777" w:rsidR="00735553"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8444" w:history="1">
        <w:r w:rsidR="00735553" w:rsidRPr="0014112A">
          <w:rPr>
            <w:rStyle w:val="Hyperlink"/>
            <w:noProof/>
          </w:rPr>
          <w:t>Table 19: Multiple logistic regression for the chance of being a past year moderate-risk/problem gambler vs. being a low-risk/non-problem/non-gambler across Waves 1 to 4 - Māori</w:t>
        </w:r>
        <w:r w:rsidR="00735553">
          <w:rPr>
            <w:noProof/>
            <w:webHidden/>
          </w:rPr>
          <w:tab/>
        </w:r>
        <w:r w:rsidR="00735553">
          <w:rPr>
            <w:noProof/>
            <w:webHidden/>
          </w:rPr>
          <w:fldChar w:fldCharType="begin"/>
        </w:r>
        <w:r w:rsidR="00735553">
          <w:rPr>
            <w:noProof/>
            <w:webHidden/>
          </w:rPr>
          <w:instrText xml:space="preserve"> PAGEREF _Toc504488444 \h </w:instrText>
        </w:r>
        <w:r w:rsidR="00735553">
          <w:rPr>
            <w:noProof/>
            <w:webHidden/>
          </w:rPr>
        </w:r>
        <w:r w:rsidR="00735553">
          <w:rPr>
            <w:noProof/>
            <w:webHidden/>
          </w:rPr>
          <w:fldChar w:fldCharType="separate"/>
        </w:r>
        <w:r>
          <w:rPr>
            <w:noProof/>
            <w:webHidden/>
          </w:rPr>
          <w:t>75</w:t>
        </w:r>
        <w:r w:rsidR="00735553">
          <w:rPr>
            <w:noProof/>
            <w:webHidden/>
          </w:rPr>
          <w:fldChar w:fldCharType="end"/>
        </w:r>
      </w:hyperlink>
    </w:p>
    <w:p w14:paraId="2A366852" w14:textId="77777777" w:rsidR="00735553"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8445" w:history="1">
        <w:r w:rsidR="00735553" w:rsidRPr="0014112A">
          <w:rPr>
            <w:rStyle w:val="Hyperlink"/>
            <w:noProof/>
          </w:rPr>
          <w:t>Table 20: Multiple logistic regression for the chance of being a past year moderate-risk/problem gambler vs. being a low-risk/non-problem/non-gambler across Waves 1 to 4 - Pacific people</w:t>
        </w:r>
        <w:r w:rsidR="00735553">
          <w:rPr>
            <w:noProof/>
            <w:webHidden/>
          </w:rPr>
          <w:tab/>
        </w:r>
        <w:r w:rsidR="00735553">
          <w:rPr>
            <w:noProof/>
            <w:webHidden/>
          </w:rPr>
          <w:fldChar w:fldCharType="begin"/>
        </w:r>
        <w:r w:rsidR="00735553">
          <w:rPr>
            <w:noProof/>
            <w:webHidden/>
          </w:rPr>
          <w:instrText xml:space="preserve"> PAGEREF _Toc504488445 \h </w:instrText>
        </w:r>
        <w:r w:rsidR="00735553">
          <w:rPr>
            <w:noProof/>
            <w:webHidden/>
          </w:rPr>
        </w:r>
        <w:r w:rsidR="00735553">
          <w:rPr>
            <w:noProof/>
            <w:webHidden/>
          </w:rPr>
          <w:fldChar w:fldCharType="separate"/>
        </w:r>
        <w:r>
          <w:rPr>
            <w:noProof/>
            <w:webHidden/>
          </w:rPr>
          <w:t>76</w:t>
        </w:r>
        <w:r w:rsidR="00735553">
          <w:rPr>
            <w:noProof/>
            <w:webHidden/>
          </w:rPr>
          <w:fldChar w:fldCharType="end"/>
        </w:r>
      </w:hyperlink>
    </w:p>
    <w:p w14:paraId="044CCC2A" w14:textId="77777777" w:rsidR="00735553"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8446" w:history="1">
        <w:r w:rsidR="00735553" w:rsidRPr="0014112A">
          <w:rPr>
            <w:rStyle w:val="Hyperlink"/>
            <w:noProof/>
          </w:rPr>
          <w:t>Table 21: Multiple logistic regression for recovery from moderate-risk/problem gambling</w:t>
        </w:r>
        <w:r w:rsidR="00735553">
          <w:rPr>
            <w:noProof/>
            <w:webHidden/>
          </w:rPr>
          <w:tab/>
        </w:r>
        <w:r w:rsidR="00735553">
          <w:rPr>
            <w:noProof/>
            <w:webHidden/>
          </w:rPr>
          <w:fldChar w:fldCharType="begin"/>
        </w:r>
        <w:r w:rsidR="00735553">
          <w:rPr>
            <w:noProof/>
            <w:webHidden/>
          </w:rPr>
          <w:instrText xml:space="preserve"> PAGEREF _Toc504488446 \h </w:instrText>
        </w:r>
        <w:r w:rsidR="00735553">
          <w:rPr>
            <w:noProof/>
            <w:webHidden/>
          </w:rPr>
        </w:r>
        <w:r w:rsidR="00735553">
          <w:rPr>
            <w:noProof/>
            <w:webHidden/>
          </w:rPr>
          <w:fldChar w:fldCharType="separate"/>
        </w:r>
        <w:r>
          <w:rPr>
            <w:noProof/>
            <w:webHidden/>
          </w:rPr>
          <w:t>79</w:t>
        </w:r>
        <w:r w:rsidR="00735553">
          <w:rPr>
            <w:noProof/>
            <w:webHidden/>
          </w:rPr>
          <w:fldChar w:fldCharType="end"/>
        </w:r>
      </w:hyperlink>
    </w:p>
    <w:p w14:paraId="1141077B" w14:textId="77777777" w:rsidR="00735553"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8447" w:history="1">
        <w:r w:rsidR="00735553" w:rsidRPr="0014112A">
          <w:rPr>
            <w:rStyle w:val="Hyperlink"/>
            <w:noProof/>
          </w:rPr>
          <w:t>Table 22: Multiple logistic regression for relapsing into moderate-risk/problem gambling</w:t>
        </w:r>
        <w:r w:rsidR="00735553">
          <w:rPr>
            <w:noProof/>
            <w:webHidden/>
          </w:rPr>
          <w:tab/>
        </w:r>
        <w:r w:rsidR="00735553">
          <w:rPr>
            <w:noProof/>
            <w:webHidden/>
          </w:rPr>
          <w:fldChar w:fldCharType="begin"/>
        </w:r>
        <w:r w:rsidR="00735553">
          <w:rPr>
            <w:noProof/>
            <w:webHidden/>
          </w:rPr>
          <w:instrText xml:space="preserve"> PAGEREF _Toc504488447 \h </w:instrText>
        </w:r>
        <w:r w:rsidR="00735553">
          <w:rPr>
            <w:noProof/>
            <w:webHidden/>
          </w:rPr>
        </w:r>
        <w:r w:rsidR="00735553">
          <w:rPr>
            <w:noProof/>
            <w:webHidden/>
          </w:rPr>
          <w:fldChar w:fldCharType="separate"/>
        </w:r>
        <w:r>
          <w:rPr>
            <w:noProof/>
            <w:webHidden/>
          </w:rPr>
          <w:t>80</w:t>
        </w:r>
        <w:r w:rsidR="00735553">
          <w:rPr>
            <w:noProof/>
            <w:webHidden/>
          </w:rPr>
          <w:fldChar w:fldCharType="end"/>
        </w:r>
      </w:hyperlink>
    </w:p>
    <w:p w14:paraId="67AF9CAC" w14:textId="77777777" w:rsidR="0046000D" w:rsidRDefault="0046000D" w:rsidP="0046000D">
      <w:pPr>
        <w:jc w:val="center"/>
        <w:rPr>
          <w:b/>
          <w:szCs w:val="22"/>
        </w:rPr>
      </w:pPr>
      <w:r>
        <w:rPr>
          <w:b/>
          <w:szCs w:val="22"/>
        </w:rPr>
        <w:fldChar w:fldCharType="end"/>
      </w:r>
    </w:p>
    <w:p w14:paraId="571A6679" w14:textId="77777777" w:rsidR="00676865" w:rsidRDefault="00676865" w:rsidP="0046000D">
      <w:pPr>
        <w:jc w:val="center"/>
        <w:rPr>
          <w:b/>
          <w:szCs w:val="22"/>
        </w:rPr>
      </w:pPr>
    </w:p>
    <w:p w14:paraId="2ADA10B1" w14:textId="77777777" w:rsidR="00676865" w:rsidRPr="00676865" w:rsidRDefault="00676865" w:rsidP="0046000D">
      <w:pPr>
        <w:jc w:val="center"/>
        <w:rPr>
          <w:b/>
          <w:szCs w:val="22"/>
        </w:rPr>
      </w:pPr>
      <w:r w:rsidRPr="00676865">
        <w:rPr>
          <w:b/>
          <w:szCs w:val="22"/>
        </w:rPr>
        <w:t>LIST OF FIGURES</w:t>
      </w:r>
    </w:p>
    <w:p w14:paraId="0ABF1CE3" w14:textId="77777777" w:rsidR="0046000D" w:rsidRDefault="0046000D" w:rsidP="0046000D">
      <w:pPr>
        <w:rPr>
          <w:szCs w:val="22"/>
        </w:rPr>
      </w:pPr>
    </w:p>
    <w:p w14:paraId="2873825E" w14:textId="77777777" w:rsidR="00632CC6" w:rsidRDefault="00AA398F">
      <w:pPr>
        <w:pStyle w:val="TableofFigures"/>
        <w:tabs>
          <w:tab w:val="right" w:leader="dot" w:pos="8296"/>
        </w:tabs>
        <w:rPr>
          <w:rFonts w:asciiTheme="minorHAnsi" w:eastAsiaTheme="minorEastAsia" w:hAnsiTheme="minorHAnsi" w:cstheme="minorBidi"/>
          <w:noProof/>
          <w:szCs w:val="22"/>
          <w:lang w:eastAsia="en-NZ"/>
        </w:rPr>
      </w:pPr>
      <w:r>
        <w:rPr>
          <w:szCs w:val="22"/>
        </w:rPr>
        <w:fldChar w:fldCharType="begin"/>
      </w:r>
      <w:r>
        <w:rPr>
          <w:szCs w:val="22"/>
        </w:rPr>
        <w:instrText xml:space="preserve"> TOC \h \z \c "Figure" </w:instrText>
      </w:r>
      <w:r>
        <w:rPr>
          <w:szCs w:val="22"/>
        </w:rPr>
        <w:fldChar w:fldCharType="separate"/>
      </w:r>
      <w:hyperlink w:anchor="_Toc504486430" w:history="1">
        <w:r w:rsidR="00632CC6" w:rsidRPr="00E24012">
          <w:rPr>
            <w:rStyle w:val="Hyperlink"/>
            <w:noProof/>
          </w:rPr>
          <w:t>Figure 1: Past year gambling participation by number of activities (1985 - 2012)</w:t>
        </w:r>
        <w:r w:rsidR="00632CC6">
          <w:rPr>
            <w:noProof/>
            <w:webHidden/>
          </w:rPr>
          <w:tab/>
        </w:r>
        <w:r w:rsidR="00632CC6">
          <w:rPr>
            <w:noProof/>
            <w:webHidden/>
          </w:rPr>
          <w:fldChar w:fldCharType="begin"/>
        </w:r>
        <w:r w:rsidR="00632CC6">
          <w:rPr>
            <w:noProof/>
            <w:webHidden/>
          </w:rPr>
          <w:instrText xml:space="preserve"> PAGEREF _Toc504486430 \h </w:instrText>
        </w:r>
        <w:r w:rsidR="00632CC6">
          <w:rPr>
            <w:noProof/>
            <w:webHidden/>
          </w:rPr>
        </w:r>
        <w:r w:rsidR="00632CC6">
          <w:rPr>
            <w:noProof/>
            <w:webHidden/>
          </w:rPr>
          <w:fldChar w:fldCharType="separate"/>
        </w:r>
        <w:r w:rsidR="00D5752E">
          <w:rPr>
            <w:noProof/>
            <w:webHidden/>
          </w:rPr>
          <w:t>21</w:t>
        </w:r>
        <w:r w:rsidR="00632CC6">
          <w:rPr>
            <w:noProof/>
            <w:webHidden/>
          </w:rPr>
          <w:fldChar w:fldCharType="end"/>
        </w:r>
      </w:hyperlink>
    </w:p>
    <w:p w14:paraId="725D1E98" w14:textId="77777777" w:rsidR="00632CC6"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6431" w:history="1">
        <w:r w:rsidR="00632CC6" w:rsidRPr="00E24012">
          <w:rPr>
            <w:rStyle w:val="Hyperlink"/>
            <w:noProof/>
          </w:rPr>
          <w:t>Figure 2: Past year gambling participation by number of activities (1985 - 2012)</w:t>
        </w:r>
        <w:r w:rsidR="00632CC6">
          <w:rPr>
            <w:noProof/>
            <w:webHidden/>
          </w:rPr>
          <w:tab/>
        </w:r>
        <w:r w:rsidR="00632CC6">
          <w:rPr>
            <w:noProof/>
            <w:webHidden/>
          </w:rPr>
          <w:fldChar w:fldCharType="begin"/>
        </w:r>
        <w:r w:rsidR="00632CC6">
          <w:rPr>
            <w:noProof/>
            <w:webHidden/>
          </w:rPr>
          <w:instrText xml:space="preserve"> PAGEREF _Toc504486431 \h </w:instrText>
        </w:r>
        <w:r w:rsidR="00632CC6">
          <w:rPr>
            <w:noProof/>
            <w:webHidden/>
          </w:rPr>
        </w:r>
        <w:r w:rsidR="00632CC6">
          <w:rPr>
            <w:noProof/>
            <w:webHidden/>
          </w:rPr>
          <w:fldChar w:fldCharType="separate"/>
        </w:r>
        <w:r>
          <w:rPr>
            <w:noProof/>
            <w:webHidden/>
          </w:rPr>
          <w:t>21</w:t>
        </w:r>
        <w:r w:rsidR="00632CC6">
          <w:rPr>
            <w:noProof/>
            <w:webHidden/>
          </w:rPr>
          <w:fldChar w:fldCharType="end"/>
        </w:r>
      </w:hyperlink>
    </w:p>
    <w:p w14:paraId="796BB43D" w14:textId="77777777" w:rsidR="00632CC6"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6432" w:history="1">
        <w:r w:rsidR="00632CC6" w:rsidRPr="00E24012">
          <w:rPr>
            <w:rStyle w:val="Hyperlink"/>
            <w:noProof/>
          </w:rPr>
          <w:t>Figure 3: Number of participants interviewed over time</w:t>
        </w:r>
        <w:r w:rsidR="00632CC6">
          <w:rPr>
            <w:noProof/>
            <w:webHidden/>
          </w:rPr>
          <w:tab/>
        </w:r>
        <w:r w:rsidR="00632CC6">
          <w:rPr>
            <w:noProof/>
            <w:webHidden/>
          </w:rPr>
          <w:fldChar w:fldCharType="begin"/>
        </w:r>
        <w:r w:rsidR="00632CC6">
          <w:rPr>
            <w:noProof/>
            <w:webHidden/>
          </w:rPr>
          <w:instrText xml:space="preserve"> PAGEREF _Toc504486432 \h </w:instrText>
        </w:r>
        <w:r w:rsidR="00632CC6">
          <w:rPr>
            <w:noProof/>
            <w:webHidden/>
          </w:rPr>
        </w:r>
        <w:r w:rsidR="00632CC6">
          <w:rPr>
            <w:noProof/>
            <w:webHidden/>
          </w:rPr>
          <w:fldChar w:fldCharType="separate"/>
        </w:r>
        <w:r>
          <w:rPr>
            <w:noProof/>
            <w:webHidden/>
          </w:rPr>
          <w:t>31</w:t>
        </w:r>
        <w:r w:rsidR="00632CC6">
          <w:rPr>
            <w:noProof/>
            <w:webHidden/>
          </w:rPr>
          <w:fldChar w:fldCharType="end"/>
        </w:r>
      </w:hyperlink>
    </w:p>
    <w:p w14:paraId="33EE6E4A" w14:textId="77777777" w:rsidR="00632CC6"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6433" w:history="1">
        <w:r w:rsidR="00632CC6" w:rsidRPr="00E24012">
          <w:rPr>
            <w:rStyle w:val="Hyperlink"/>
            <w:noProof/>
          </w:rPr>
          <w:t>Figure 4: Past year gambling participation by activity across Waves 1 to 4</w:t>
        </w:r>
        <w:r w:rsidR="00632CC6">
          <w:rPr>
            <w:noProof/>
            <w:webHidden/>
          </w:rPr>
          <w:tab/>
        </w:r>
        <w:r w:rsidR="00632CC6">
          <w:rPr>
            <w:noProof/>
            <w:webHidden/>
          </w:rPr>
          <w:fldChar w:fldCharType="begin"/>
        </w:r>
        <w:r w:rsidR="00632CC6">
          <w:rPr>
            <w:noProof/>
            <w:webHidden/>
          </w:rPr>
          <w:instrText xml:space="preserve"> PAGEREF _Toc504486433 \h </w:instrText>
        </w:r>
        <w:r w:rsidR="00632CC6">
          <w:rPr>
            <w:noProof/>
            <w:webHidden/>
          </w:rPr>
        </w:r>
        <w:r w:rsidR="00632CC6">
          <w:rPr>
            <w:noProof/>
            <w:webHidden/>
          </w:rPr>
          <w:fldChar w:fldCharType="separate"/>
        </w:r>
        <w:r>
          <w:rPr>
            <w:noProof/>
            <w:webHidden/>
          </w:rPr>
          <w:t>39</w:t>
        </w:r>
        <w:r w:rsidR="00632CC6">
          <w:rPr>
            <w:noProof/>
            <w:webHidden/>
          </w:rPr>
          <w:fldChar w:fldCharType="end"/>
        </w:r>
      </w:hyperlink>
    </w:p>
    <w:p w14:paraId="5D09D689" w14:textId="77777777" w:rsidR="00632CC6"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6434" w:history="1">
        <w:r w:rsidR="00632CC6" w:rsidRPr="00E24012">
          <w:rPr>
            <w:rStyle w:val="Hyperlink"/>
            <w:noProof/>
          </w:rPr>
          <w:t>Figure 5: Past month gambling participation by activity across Waves 1 to 4</w:t>
        </w:r>
        <w:r w:rsidR="00632CC6">
          <w:rPr>
            <w:noProof/>
            <w:webHidden/>
          </w:rPr>
          <w:tab/>
        </w:r>
        <w:r w:rsidR="00632CC6">
          <w:rPr>
            <w:noProof/>
            <w:webHidden/>
          </w:rPr>
          <w:fldChar w:fldCharType="begin"/>
        </w:r>
        <w:r w:rsidR="00632CC6">
          <w:rPr>
            <w:noProof/>
            <w:webHidden/>
          </w:rPr>
          <w:instrText xml:space="preserve"> PAGEREF _Toc504486434 \h </w:instrText>
        </w:r>
        <w:r w:rsidR="00632CC6">
          <w:rPr>
            <w:noProof/>
            <w:webHidden/>
          </w:rPr>
        </w:r>
        <w:r w:rsidR="00632CC6">
          <w:rPr>
            <w:noProof/>
            <w:webHidden/>
          </w:rPr>
          <w:fldChar w:fldCharType="separate"/>
        </w:r>
        <w:r>
          <w:rPr>
            <w:noProof/>
            <w:webHidden/>
          </w:rPr>
          <w:t>40</w:t>
        </w:r>
        <w:r w:rsidR="00632CC6">
          <w:rPr>
            <w:noProof/>
            <w:webHidden/>
          </w:rPr>
          <w:fldChar w:fldCharType="end"/>
        </w:r>
      </w:hyperlink>
    </w:p>
    <w:p w14:paraId="5D7834D0" w14:textId="77777777" w:rsidR="00632CC6" w:rsidRDefault="00D5752E">
      <w:pPr>
        <w:pStyle w:val="TableofFigures"/>
        <w:tabs>
          <w:tab w:val="right" w:leader="dot" w:pos="8296"/>
        </w:tabs>
        <w:rPr>
          <w:rFonts w:asciiTheme="minorHAnsi" w:eastAsiaTheme="minorEastAsia" w:hAnsiTheme="minorHAnsi" w:cstheme="minorBidi"/>
          <w:noProof/>
          <w:szCs w:val="22"/>
          <w:lang w:eastAsia="en-NZ"/>
        </w:rPr>
      </w:pPr>
      <w:hyperlink w:anchor="_Toc504486435" w:history="1">
        <w:r w:rsidR="00632CC6" w:rsidRPr="00E24012">
          <w:rPr>
            <w:rStyle w:val="Hyperlink"/>
            <w:noProof/>
          </w:rPr>
          <w:t>Figure 6: Regular continuous and regular non-continuous gambling, over time</w:t>
        </w:r>
        <w:r w:rsidR="00632CC6">
          <w:rPr>
            <w:noProof/>
            <w:webHidden/>
          </w:rPr>
          <w:tab/>
        </w:r>
        <w:r w:rsidR="00632CC6">
          <w:rPr>
            <w:noProof/>
            <w:webHidden/>
          </w:rPr>
          <w:fldChar w:fldCharType="begin"/>
        </w:r>
        <w:r w:rsidR="00632CC6">
          <w:rPr>
            <w:noProof/>
            <w:webHidden/>
          </w:rPr>
          <w:instrText xml:space="preserve"> PAGEREF _Toc504486435 \h </w:instrText>
        </w:r>
        <w:r w:rsidR="00632CC6">
          <w:rPr>
            <w:noProof/>
            <w:webHidden/>
          </w:rPr>
        </w:r>
        <w:r w:rsidR="00632CC6">
          <w:rPr>
            <w:noProof/>
            <w:webHidden/>
          </w:rPr>
          <w:fldChar w:fldCharType="separate"/>
        </w:r>
        <w:r>
          <w:rPr>
            <w:noProof/>
            <w:webHidden/>
          </w:rPr>
          <w:t>41</w:t>
        </w:r>
        <w:r w:rsidR="00632CC6">
          <w:rPr>
            <w:noProof/>
            <w:webHidden/>
          </w:rPr>
          <w:fldChar w:fldCharType="end"/>
        </w:r>
      </w:hyperlink>
    </w:p>
    <w:p w14:paraId="134A76E8" w14:textId="008AAC9F" w:rsidR="0046000D" w:rsidRPr="000C265D" w:rsidRDefault="00AA398F" w:rsidP="00735553">
      <w:pPr>
        <w:pStyle w:val="RepHead1"/>
      </w:pPr>
      <w:r>
        <w:rPr>
          <w:szCs w:val="22"/>
        </w:rPr>
        <w:fldChar w:fldCharType="end"/>
      </w:r>
      <w:bookmarkStart w:id="10" w:name="_Toc504488327"/>
      <w:r w:rsidR="0046000D" w:rsidRPr="00AB2515">
        <w:t>EXECUTIVE SUMMARY</w:t>
      </w:r>
      <w:bookmarkEnd w:id="10"/>
    </w:p>
    <w:p w14:paraId="2AC0596E" w14:textId="77777777" w:rsidR="0046000D" w:rsidRPr="00E055E4" w:rsidRDefault="0046000D" w:rsidP="0046000D">
      <w:pPr>
        <w:jc w:val="center"/>
        <w:rPr>
          <w:szCs w:val="22"/>
          <w:highlight w:val="yellow"/>
        </w:rPr>
      </w:pPr>
    </w:p>
    <w:p w14:paraId="30339ED0" w14:textId="77777777" w:rsidR="00DD2ADA" w:rsidRDefault="00DD2ADA" w:rsidP="00DD2ADA">
      <w:r>
        <w:rPr>
          <w:b/>
        </w:rPr>
        <w:t>The National Gambling Study is a national population study</w:t>
      </w:r>
    </w:p>
    <w:p w14:paraId="476060D6" w14:textId="77777777" w:rsidR="00DD2ADA" w:rsidRDefault="00DD2ADA" w:rsidP="00DD2ADA"/>
    <w:p w14:paraId="576FD253" w14:textId="77777777" w:rsidR="00DD2ADA" w:rsidRDefault="00DD2ADA" w:rsidP="00DD2ADA">
      <w:pPr>
        <w:jc w:val="both"/>
      </w:pPr>
      <w:r>
        <w:t>The National Gambling Study has interviewed annually a national sample of the New Zealand population over four years from 2012 to 2015.  In 2012, 6,251 randomly selected adults (18 years and older) were interviewed face-to-face in their homes.  In 2013, 3,745 participants were re-contacted and re-interviewed.  The numbers re-interviewed were 3,115 in 2014 and 2,770 in 2015.  The Ministry of Health has funded all phases of the study.</w:t>
      </w:r>
    </w:p>
    <w:p w14:paraId="77E49929" w14:textId="77777777" w:rsidR="00DD2ADA" w:rsidRDefault="00DD2ADA" w:rsidP="00DD2ADA">
      <w:pPr>
        <w:jc w:val="both"/>
      </w:pPr>
    </w:p>
    <w:p w14:paraId="17D4A006" w14:textId="77777777" w:rsidR="00DD2ADA" w:rsidRDefault="00DD2ADA" w:rsidP="00DD2ADA">
      <w:pPr>
        <w:jc w:val="both"/>
      </w:pPr>
    </w:p>
    <w:p w14:paraId="530BCFD5" w14:textId="77777777" w:rsidR="00DD2ADA" w:rsidRDefault="00DD2ADA" w:rsidP="00DD2ADA">
      <w:pPr>
        <w:jc w:val="both"/>
      </w:pPr>
      <w:r>
        <w:rPr>
          <w:b/>
        </w:rPr>
        <w:t>The study participant profile changed slightly over time</w:t>
      </w:r>
    </w:p>
    <w:p w14:paraId="07310D6D" w14:textId="77777777" w:rsidR="00DD2ADA" w:rsidRDefault="00DD2ADA" w:rsidP="00DD2ADA">
      <w:pPr>
        <w:jc w:val="both"/>
      </w:pPr>
    </w:p>
    <w:p w14:paraId="7FDCC96A" w14:textId="77777777" w:rsidR="00DD2ADA" w:rsidRDefault="00DD2ADA" w:rsidP="00DD2ADA">
      <w:pPr>
        <w:jc w:val="both"/>
      </w:pPr>
      <w:r>
        <w:t xml:space="preserve">Although the same participants were interviewed annually, because of drop-outs from the study (attrition), the overall profile of the participants changed from 2012 to 2015.  </w:t>
      </w:r>
    </w:p>
    <w:p w14:paraId="5427D7E6" w14:textId="77777777" w:rsidR="00DD2ADA" w:rsidRDefault="00DD2ADA" w:rsidP="00DD2ADA">
      <w:pPr>
        <w:jc w:val="both"/>
      </w:pPr>
    </w:p>
    <w:p w14:paraId="17927E14" w14:textId="77777777" w:rsidR="00DD2ADA" w:rsidRDefault="00DD2ADA" w:rsidP="00DD2ADA">
      <w:pPr>
        <w:jc w:val="both"/>
      </w:pPr>
      <w:r>
        <w:t>In 2015 there were less people retained in the study (higher attrition) who:</w:t>
      </w:r>
    </w:p>
    <w:p w14:paraId="69FB91D7" w14:textId="77777777" w:rsidR="00DD2ADA" w:rsidRDefault="00DD2ADA" w:rsidP="00DD2ADA">
      <w:pPr>
        <w:pStyle w:val="ListParagraph"/>
        <w:numPr>
          <w:ilvl w:val="0"/>
          <w:numId w:val="63"/>
        </w:numPr>
        <w:contextualSpacing/>
        <w:jc w:val="both"/>
      </w:pPr>
      <w:r>
        <w:t>Were younger (aged 18 to 24 years and, to a lesser extent, 25 to 34 years)</w:t>
      </w:r>
    </w:p>
    <w:p w14:paraId="4E51316D" w14:textId="77777777" w:rsidR="00DD2ADA" w:rsidRDefault="00DD2ADA" w:rsidP="00DD2ADA">
      <w:pPr>
        <w:pStyle w:val="ListParagraph"/>
        <w:numPr>
          <w:ilvl w:val="0"/>
          <w:numId w:val="63"/>
        </w:numPr>
        <w:contextualSpacing/>
        <w:jc w:val="both"/>
      </w:pPr>
      <w:r>
        <w:t>Had gambled on 10 or more activities in the past year</w:t>
      </w:r>
    </w:p>
    <w:p w14:paraId="1BE1FB3E" w14:textId="77777777" w:rsidR="00DD2ADA" w:rsidRDefault="00DD2ADA" w:rsidP="00DD2ADA">
      <w:pPr>
        <w:pStyle w:val="ListParagraph"/>
        <w:numPr>
          <w:ilvl w:val="0"/>
          <w:numId w:val="63"/>
        </w:numPr>
        <w:contextualSpacing/>
        <w:jc w:val="both"/>
      </w:pPr>
      <w:r>
        <w:t>Had experienced five or more major life events in the past year.</w:t>
      </w:r>
    </w:p>
    <w:p w14:paraId="4770286E" w14:textId="77777777" w:rsidR="00DD2ADA" w:rsidRDefault="00DD2ADA" w:rsidP="00DD2ADA">
      <w:pPr>
        <w:jc w:val="both"/>
      </w:pPr>
    </w:p>
    <w:p w14:paraId="34CBD290" w14:textId="77777777" w:rsidR="00DD2ADA" w:rsidRDefault="00DD2ADA" w:rsidP="00DD2ADA">
      <w:pPr>
        <w:jc w:val="both"/>
      </w:pPr>
      <w:r>
        <w:t>There were more people retained in the study (lower attrition) who:</w:t>
      </w:r>
    </w:p>
    <w:p w14:paraId="0A59A68C" w14:textId="77777777" w:rsidR="00DD2ADA" w:rsidRDefault="00DD2ADA" w:rsidP="00DD2ADA">
      <w:pPr>
        <w:pStyle w:val="ListParagraph"/>
        <w:numPr>
          <w:ilvl w:val="0"/>
          <w:numId w:val="64"/>
        </w:numPr>
        <w:contextualSpacing/>
        <w:jc w:val="both"/>
      </w:pPr>
      <w:r>
        <w:t xml:space="preserve">Were of European/Other ethnicity </w:t>
      </w:r>
    </w:p>
    <w:p w14:paraId="2C57003C" w14:textId="77777777" w:rsidR="00DD2ADA" w:rsidRDefault="00DD2ADA" w:rsidP="00DD2ADA">
      <w:pPr>
        <w:pStyle w:val="ListParagraph"/>
        <w:numPr>
          <w:ilvl w:val="0"/>
          <w:numId w:val="64"/>
        </w:numPr>
        <w:contextualSpacing/>
        <w:jc w:val="both"/>
      </w:pPr>
      <w:r>
        <w:t>Lived in Wellington or Christchurch</w:t>
      </w:r>
    </w:p>
    <w:p w14:paraId="20B0BA31" w14:textId="6D5475E8" w:rsidR="00DD2ADA" w:rsidRDefault="00DD2ADA" w:rsidP="00DD2ADA">
      <w:pPr>
        <w:pStyle w:val="ListParagraph"/>
        <w:numPr>
          <w:ilvl w:val="0"/>
          <w:numId w:val="64"/>
        </w:numPr>
        <w:contextualSpacing/>
        <w:jc w:val="both"/>
      </w:pPr>
      <w:r>
        <w:t>Were non-</w:t>
      </w:r>
      <w:r w:rsidR="004F49E8">
        <w:t xml:space="preserve">problem </w:t>
      </w:r>
      <w:r>
        <w:t>gamblers</w:t>
      </w:r>
      <w:r w:rsidR="004F49E8">
        <w:t xml:space="preserve"> or problem gamblers.</w:t>
      </w:r>
    </w:p>
    <w:p w14:paraId="5765A3D3" w14:textId="77777777" w:rsidR="00DD2ADA" w:rsidRDefault="00DD2ADA" w:rsidP="00DD2ADA">
      <w:pPr>
        <w:jc w:val="both"/>
      </w:pPr>
    </w:p>
    <w:p w14:paraId="714AAA18" w14:textId="77777777" w:rsidR="009E2656" w:rsidRDefault="009E2656" w:rsidP="00DD2ADA">
      <w:pPr>
        <w:jc w:val="both"/>
      </w:pPr>
    </w:p>
    <w:p w14:paraId="586C4FC1" w14:textId="77777777" w:rsidR="009E2656" w:rsidRPr="009E2656" w:rsidRDefault="009E2656" w:rsidP="00DD2ADA">
      <w:pPr>
        <w:jc w:val="both"/>
        <w:rPr>
          <w:b/>
        </w:rPr>
      </w:pPr>
      <w:r w:rsidRPr="005077AF">
        <w:rPr>
          <w:b/>
        </w:rPr>
        <w:t>The study used weights to adjust for attrition</w:t>
      </w:r>
    </w:p>
    <w:p w14:paraId="4E3C94D3" w14:textId="77777777" w:rsidR="009E2656" w:rsidRDefault="009E2656" w:rsidP="00DD2ADA">
      <w:pPr>
        <w:jc w:val="both"/>
      </w:pPr>
    </w:p>
    <w:p w14:paraId="05264A35" w14:textId="77777777" w:rsidR="00DD2ADA" w:rsidRDefault="00DD2ADA" w:rsidP="00DD2ADA">
      <w:pPr>
        <w:jc w:val="both"/>
      </w:pPr>
      <w:r>
        <w:t>All data analyses took account of the change in participant profile and made adjustments (weighted the data) to allow the findings to be generalised to the New Zealand general population.</w:t>
      </w:r>
    </w:p>
    <w:p w14:paraId="28F987C8" w14:textId="77777777" w:rsidR="00DD2ADA" w:rsidRDefault="00DD2ADA" w:rsidP="00DD2ADA">
      <w:pPr>
        <w:jc w:val="both"/>
      </w:pPr>
    </w:p>
    <w:p w14:paraId="07DAC3CC" w14:textId="77777777" w:rsidR="00DD2ADA" w:rsidRDefault="00DD2ADA" w:rsidP="00DD2ADA">
      <w:pPr>
        <w:jc w:val="both"/>
      </w:pPr>
    </w:p>
    <w:p w14:paraId="6E962F2A" w14:textId="77777777" w:rsidR="00DD2ADA" w:rsidRDefault="00DD2ADA" w:rsidP="00DD2ADA">
      <w:pPr>
        <w:jc w:val="both"/>
      </w:pPr>
      <w:r>
        <w:rPr>
          <w:b/>
        </w:rPr>
        <w:t>The study investigated gambling behaviour changes over the four years</w:t>
      </w:r>
    </w:p>
    <w:p w14:paraId="129C5818" w14:textId="77777777" w:rsidR="00DD2ADA" w:rsidRDefault="00DD2ADA" w:rsidP="00DD2ADA">
      <w:pPr>
        <w:jc w:val="both"/>
      </w:pPr>
    </w:p>
    <w:p w14:paraId="12EC51AF" w14:textId="77777777" w:rsidR="00DD2ADA" w:rsidRDefault="00DD2ADA" w:rsidP="00DD2ADA">
      <w:pPr>
        <w:jc w:val="both"/>
      </w:pPr>
      <w:r>
        <w:t>The study</w:t>
      </w:r>
      <w:r w:rsidRPr="00C23BA9">
        <w:t xml:space="preserve"> </w:t>
      </w:r>
      <w:r>
        <w:t>examined</w:t>
      </w:r>
      <w:r w:rsidRPr="00C23BA9">
        <w:t xml:space="preserve"> findings across the four </w:t>
      </w:r>
      <w:r>
        <w:t>years</w:t>
      </w:r>
      <w:r w:rsidRPr="00C23BA9">
        <w:t xml:space="preserve"> (2012 to 2015) </w:t>
      </w:r>
      <w:r>
        <w:t>assessing</w:t>
      </w:r>
      <w:r w:rsidRPr="00C23BA9">
        <w:t xml:space="preserve"> </w:t>
      </w:r>
      <w:r>
        <w:t>gambling</w:t>
      </w:r>
      <w:r w:rsidRPr="00C23BA9">
        <w:t xml:space="preserve"> prevalence trends, electronic gaming machine expenditure trends, gambling risk level (no gambling, non-problem gambling, low-risk gambling, moderate-risk gambling and problem gambling) trends, </w:t>
      </w:r>
      <w:r>
        <w:t xml:space="preserve">incidence of risk (number of new cases of problem, moderate-risk and low-risk gamblers), </w:t>
      </w:r>
      <w:r w:rsidRPr="00C23BA9">
        <w:t xml:space="preserve">and transitions between gambling risk levels.  Risk and resiliency factors for moderate-risk and problem gambling </w:t>
      </w:r>
      <w:r>
        <w:t xml:space="preserve">over time </w:t>
      </w:r>
      <w:r w:rsidRPr="00C23BA9">
        <w:t xml:space="preserve">are also presented.  </w:t>
      </w:r>
    </w:p>
    <w:p w14:paraId="0F066C90" w14:textId="77777777" w:rsidR="00DD2ADA" w:rsidRDefault="00DD2ADA" w:rsidP="00DD2ADA">
      <w:pPr>
        <w:jc w:val="both"/>
      </w:pPr>
    </w:p>
    <w:p w14:paraId="047F7674" w14:textId="77777777" w:rsidR="00DD2ADA" w:rsidRDefault="00DD2ADA" w:rsidP="00DD2ADA">
      <w:pPr>
        <w:jc w:val="both"/>
      </w:pPr>
    </w:p>
    <w:p w14:paraId="28F00514" w14:textId="77777777" w:rsidR="00DD2ADA" w:rsidRDefault="00DD2ADA" w:rsidP="0008407A">
      <w:pPr>
        <w:jc w:val="both"/>
      </w:pPr>
      <w:r>
        <w:rPr>
          <w:b/>
        </w:rPr>
        <w:t>The study found that...</w:t>
      </w:r>
    </w:p>
    <w:p w14:paraId="1AFF87F1" w14:textId="77777777" w:rsidR="00DD2ADA" w:rsidRDefault="00DD2ADA" w:rsidP="0008407A">
      <w:pPr>
        <w:jc w:val="both"/>
      </w:pPr>
    </w:p>
    <w:p w14:paraId="580EDA74" w14:textId="77777777" w:rsidR="00DD2ADA" w:rsidRDefault="00DD2ADA" w:rsidP="0008407A">
      <w:pPr>
        <w:jc w:val="both"/>
      </w:pPr>
      <w:r w:rsidRPr="005077AF">
        <w:rPr>
          <w:b/>
          <w:i/>
        </w:rPr>
        <w:t xml:space="preserve">There were </w:t>
      </w:r>
      <w:r w:rsidR="009E2656" w:rsidRPr="005077AF">
        <w:rPr>
          <w:b/>
          <w:i/>
        </w:rPr>
        <w:t>proportionally fewer</w:t>
      </w:r>
      <w:r w:rsidRPr="005077AF">
        <w:rPr>
          <w:b/>
          <w:i/>
        </w:rPr>
        <w:t xml:space="preserve"> gamblers in 2015 than in 2012</w:t>
      </w:r>
    </w:p>
    <w:p w14:paraId="4CDF6CEE" w14:textId="77777777" w:rsidR="00DD2ADA" w:rsidRDefault="00DD2ADA" w:rsidP="0008407A">
      <w:pPr>
        <w:jc w:val="both"/>
      </w:pPr>
    </w:p>
    <w:p w14:paraId="3262C9AB" w14:textId="77777777" w:rsidR="00DD2ADA" w:rsidRDefault="00DD2ADA" w:rsidP="0008407A">
      <w:pPr>
        <w:jc w:val="both"/>
      </w:pPr>
      <w:r>
        <w:t>In 2015, the percentage of adults who had not gambled in the past year was 25%, compared with 20% in 2012.  Put another way, the percentage of gamblers reduced from 80% in 2012 to 75% in 2015.</w:t>
      </w:r>
    </w:p>
    <w:p w14:paraId="5C3C2DF4" w14:textId="77777777" w:rsidR="004F49E8" w:rsidRDefault="004F49E8" w:rsidP="0008407A">
      <w:pPr>
        <w:jc w:val="both"/>
      </w:pPr>
    </w:p>
    <w:p w14:paraId="202B16AB" w14:textId="77777777" w:rsidR="00DD2ADA" w:rsidRDefault="00DD2ADA" w:rsidP="0008407A">
      <w:pPr>
        <w:jc w:val="both"/>
      </w:pPr>
      <w:r>
        <w:t>There was also a decrease in the proportion of adults gambling on multiple activities:</w:t>
      </w:r>
    </w:p>
    <w:p w14:paraId="30114E73" w14:textId="77777777" w:rsidR="00DD2ADA" w:rsidRDefault="00DD2ADA" w:rsidP="0008407A">
      <w:pPr>
        <w:pStyle w:val="ListParagraph"/>
        <w:numPr>
          <w:ilvl w:val="0"/>
          <w:numId w:val="65"/>
        </w:numPr>
        <w:contextualSpacing/>
        <w:jc w:val="both"/>
      </w:pPr>
      <w:r>
        <w:t>Gambling on four to six activities reduced from 18% in 2012 to 14% in 2015</w:t>
      </w:r>
    </w:p>
    <w:p w14:paraId="22FB71B0" w14:textId="77777777" w:rsidR="00DD2ADA" w:rsidRDefault="00DD2ADA" w:rsidP="0008407A">
      <w:pPr>
        <w:pStyle w:val="ListParagraph"/>
        <w:numPr>
          <w:ilvl w:val="0"/>
          <w:numId w:val="65"/>
        </w:numPr>
        <w:contextualSpacing/>
        <w:jc w:val="both"/>
      </w:pPr>
      <w:r>
        <w:t>Gambling on seven to nine activities reduced from 3.3% in 2012 to 2.0% in 2015.</w:t>
      </w:r>
    </w:p>
    <w:p w14:paraId="23453399" w14:textId="77777777" w:rsidR="00DD2ADA" w:rsidRDefault="00DD2ADA" w:rsidP="00DD2ADA">
      <w:pPr>
        <w:jc w:val="both"/>
      </w:pPr>
    </w:p>
    <w:p w14:paraId="30D93313" w14:textId="77777777" w:rsidR="00DD2ADA" w:rsidRDefault="00DD2ADA" w:rsidP="00DD2ADA">
      <w:pPr>
        <w:jc w:val="both"/>
      </w:pPr>
    </w:p>
    <w:p w14:paraId="1789261D" w14:textId="77777777" w:rsidR="00DD2ADA" w:rsidRDefault="00DD2ADA" w:rsidP="00DD2ADA">
      <w:pPr>
        <w:keepNext/>
        <w:jc w:val="both"/>
      </w:pPr>
      <w:r>
        <w:rPr>
          <w:b/>
          <w:i/>
        </w:rPr>
        <w:t>Online gambling occurred at a low level</w:t>
      </w:r>
    </w:p>
    <w:p w14:paraId="0387E195" w14:textId="77777777" w:rsidR="00DD2ADA" w:rsidRDefault="00DD2ADA" w:rsidP="00DD2ADA">
      <w:pPr>
        <w:keepNext/>
        <w:jc w:val="both"/>
      </w:pPr>
    </w:p>
    <w:p w14:paraId="0EE5C9B4" w14:textId="77777777" w:rsidR="00DD2ADA" w:rsidRDefault="00DD2ADA" w:rsidP="00DD2ADA">
      <w:pPr>
        <w:keepNext/>
        <w:jc w:val="both"/>
      </w:pPr>
      <w:r>
        <w:t>Online/remote gambling occurred substantially less than the same gambling via land based means.  Total participation in New Zealand online gambling (Lotto and TAB) was 9% in 2015; this was essentially similar to 2012 when it was 8%.  In 2015, total participation in overseas online gambling was 0.7%; this was a decrease from 1.7% in 2012.</w:t>
      </w:r>
    </w:p>
    <w:p w14:paraId="2077B730" w14:textId="77777777" w:rsidR="00DD2ADA" w:rsidRDefault="00DD2ADA" w:rsidP="00DD2ADA">
      <w:pPr>
        <w:jc w:val="both"/>
      </w:pPr>
    </w:p>
    <w:p w14:paraId="2BBB7A24" w14:textId="77777777" w:rsidR="00DD2ADA" w:rsidRDefault="00DD2ADA" w:rsidP="00DD2ADA">
      <w:pPr>
        <w:jc w:val="both"/>
      </w:pPr>
    </w:p>
    <w:p w14:paraId="5249786A" w14:textId="77777777" w:rsidR="00DD2ADA" w:rsidRDefault="00DD2ADA" w:rsidP="00DD2ADA">
      <w:pPr>
        <w:jc w:val="both"/>
      </w:pPr>
      <w:r>
        <w:rPr>
          <w:b/>
          <w:i/>
        </w:rPr>
        <w:t>In 2015, 13% of adults took part in gambling-type games not for money and Māori were more likely to play these games</w:t>
      </w:r>
    </w:p>
    <w:p w14:paraId="679D6355" w14:textId="77777777" w:rsidR="00DD2ADA" w:rsidRDefault="00DD2ADA" w:rsidP="00DD2ADA">
      <w:pPr>
        <w:jc w:val="both"/>
      </w:pPr>
    </w:p>
    <w:p w14:paraId="1BF89224" w14:textId="77777777" w:rsidR="00DD2ADA" w:rsidRDefault="00DD2ADA" w:rsidP="00DD2ADA">
      <w:pPr>
        <w:jc w:val="both"/>
      </w:pPr>
      <w:r>
        <w:t>The proportion of adults who participated in gambling-type games not for money reduced from 16% in 2012 to 13% in 2015.  In 2015, skill games were the most common (7.2%), followed by fantasy football (2.6%) and internet poker (2.3%).  Online casino games not for money were played by 1.5% of adults.</w:t>
      </w:r>
    </w:p>
    <w:p w14:paraId="2A0B35E3" w14:textId="77777777" w:rsidR="00DD2ADA" w:rsidRDefault="00DD2ADA" w:rsidP="00DD2ADA">
      <w:pPr>
        <w:jc w:val="both"/>
      </w:pPr>
    </w:p>
    <w:p w14:paraId="0B1F11E5" w14:textId="77777777" w:rsidR="00DD2ADA" w:rsidRDefault="00DD2ADA" w:rsidP="00DD2ADA">
      <w:pPr>
        <w:jc w:val="both"/>
      </w:pPr>
      <w:r>
        <w:t>Māori were more likely to play gambling-type games not for money - 21% in 2015.  The higher participation by Māori was constant across the years.</w:t>
      </w:r>
    </w:p>
    <w:p w14:paraId="41FE3C28" w14:textId="77777777" w:rsidR="00DD2ADA" w:rsidRDefault="00DD2ADA" w:rsidP="00DD2ADA">
      <w:pPr>
        <w:jc w:val="both"/>
      </w:pPr>
    </w:p>
    <w:p w14:paraId="5156ACB0" w14:textId="77777777" w:rsidR="00DD2ADA" w:rsidRDefault="00DD2ADA" w:rsidP="00DD2ADA">
      <w:pPr>
        <w:jc w:val="both"/>
      </w:pPr>
    </w:p>
    <w:p w14:paraId="052BB3D5" w14:textId="77777777" w:rsidR="00DD2ADA" w:rsidRDefault="00DD2ADA" w:rsidP="00DD2ADA">
      <w:pPr>
        <w:jc w:val="both"/>
      </w:pPr>
      <w:r>
        <w:rPr>
          <w:b/>
          <w:i/>
        </w:rPr>
        <w:t>More people gambled on pub EGMs than club or casino EGMs, but the percentage was less in 2015 than 2012</w:t>
      </w:r>
    </w:p>
    <w:p w14:paraId="789EA853" w14:textId="77777777" w:rsidR="00DD2ADA" w:rsidRDefault="00DD2ADA" w:rsidP="00DD2ADA">
      <w:pPr>
        <w:jc w:val="both"/>
      </w:pPr>
    </w:p>
    <w:p w14:paraId="79AC6FF6" w14:textId="77777777" w:rsidR="00DD2ADA" w:rsidRDefault="00DD2ADA" w:rsidP="00DD2ADA">
      <w:pPr>
        <w:jc w:val="both"/>
      </w:pPr>
      <w:r>
        <w:t>In 2015, 13% of adults had gambled on EGMs (pub, club and casino) in the past year; this was a reduction from 18% in 2012.  In 2015, 8.2% had gambled on pub EGMs compared with 5.9% on casino EGMs and 3.7% on club EGMs.</w:t>
      </w:r>
    </w:p>
    <w:p w14:paraId="67501B4A" w14:textId="77777777" w:rsidR="00DD2ADA" w:rsidRDefault="00DD2ADA" w:rsidP="00DD2ADA">
      <w:pPr>
        <w:jc w:val="both"/>
      </w:pPr>
    </w:p>
    <w:p w14:paraId="0733C785" w14:textId="77777777" w:rsidR="00DD2ADA" w:rsidRDefault="00DD2ADA" w:rsidP="00DD2ADA">
      <w:pPr>
        <w:jc w:val="both"/>
      </w:pPr>
    </w:p>
    <w:p w14:paraId="6879E06D" w14:textId="77777777" w:rsidR="00DD2ADA" w:rsidRDefault="00DD2ADA" w:rsidP="00DD2ADA">
      <w:pPr>
        <w:jc w:val="both"/>
      </w:pPr>
      <w:r>
        <w:rPr>
          <w:b/>
          <w:i/>
        </w:rPr>
        <w:t>Moderate-risk/problem gamblers typically spent more per month on EGM gambling than low-risk and non-problem gamblers</w:t>
      </w:r>
    </w:p>
    <w:p w14:paraId="26A3AEC2" w14:textId="77777777" w:rsidR="00DD2ADA" w:rsidRDefault="00DD2ADA" w:rsidP="00DD2ADA">
      <w:pPr>
        <w:jc w:val="both"/>
      </w:pPr>
    </w:p>
    <w:p w14:paraId="7074174C" w14:textId="77777777" w:rsidR="00DD2ADA" w:rsidRDefault="00DD2ADA" w:rsidP="00DD2ADA">
      <w:pPr>
        <w:jc w:val="both"/>
      </w:pPr>
      <w:r>
        <w:t>In 2015, overall typical monthly EGM expenditure was $51 for casino EGM gambling, $35 for pub EGMs and $37 for club EGMs.  This was similar to 2012.  In total in 2015, 58% of EGM expenditure was on pub and club EGMs and 42% on casino EGMs</w:t>
      </w:r>
      <w:r w:rsidR="0017736D">
        <w:t>.  About three-quarters of the expenditure by moderate-risk/problem gamblers was on pub and club EGMs compared with about one-quarter on casino EGMs.</w:t>
      </w:r>
      <w:r w:rsidR="0017736D" w:rsidRPr="0017736D">
        <w:rPr>
          <w:highlight w:val="yellow"/>
        </w:rPr>
        <w:t xml:space="preserve"> </w:t>
      </w:r>
    </w:p>
    <w:p w14:paraId="30AEC21C" w14:textId="77777777" w:rsidR="00DD2ADA" w:rsidRDefault="00DD2ADA" w:rsidP="00DD2ADA">
      <w:pPr>
        <w:jc w:val="both"/>
      </w:pPr>
    </w:p>
    <w:p w14:paraId="3B597D9F" w14:textId="367B80C9" w:rsidR="00DD2ADA" w:rsidRDefault="00DD2ADA" w:rsidP="00DD2ADA">
      <w:pPr>
        <w:pStyle w:val="RepNormal"/>
      </w:pPr>
      <w:r>
        <w:t>Moderate-risk/problem gamblers had higher expenditure than low-risk gamblers and non-</w:t>
      </w:r>
      <w:r w:rsidR="009467A6" w:rsidRPr="00FE791A">
        <w:t xml:space="preserve">problem </w:t>
      </w:r>
      <w:r w:rsidRPr="00FE791A">
        <w:t>gamblers.  Monthly expenditure by moderate-risk/problem gamblers in 2015 was $107</w:t>
      </w:r>
      <w:r>
        <w:t xml:space="preserve"> on casino EGMs, $92 on pub EGMs and $110 on club EGMs.  For low-risk gamblers it was $93, $45 and $25, and for non-problem gamblers $33, $25 and $22.  The differences in expenditure between moderate-risk/problem gamblers and non-problem gamblers were substantial and were apparent from 2012 to 2015.  </w:t>
      </w:r>
    </w:p>
    <w:p w14:paraId="7335013E" w14:textId="77777777" w:rsidR="00DD2ADA" w:rsidRDefault="00DD2ADA" w:rsidP="00DD2ADA">
      <w:pPr>
        <w:pStyle w:val="RepNormal"/>
      </w:pPr>
    </w:p>
    <w:p w14:paraId="537DA879" w14:textId="77777777" w:rsidR="00DD2ADA" w:rsidRDefault="00DD2ADA" w:rsidP="00DD2ADA">
      <w:pPr>
        <w:pStyle w:val="RepNormal"/>
      </w:pPr>
    </w:p>
    <w:p w14:paraId="16B51B07" w14:textId="77777777" w:rsidR="00DD2ADA" w:rsidRDefault="00DD2ADA" w:rsidP="0036521D">
      <w:pPr>
        <w:keepNext/>
        <w:jc w:val="both"/>
      </w:pPr>
      <w:r>
        <w:rPr>
          <w:b/>
          <w:i/>
        </w:rPr>
        <w:t>Problem gambling risk did not change significantly from 2012 to 2015</w:t>
      </w:r>
    </w:p>
    <w:p w14:paraId="3CDA92B1" w14:textId="77777777" w:rsidR="00DD2ADA" w:rsidRDefault="00DD2ADA" w:rsidP="0036521D">
      <w:pPr>
        <w:keepNext/>
        <w:jc w:val="both"/>
      </w:pPr>
    </w:p>
    <w:p w14:paraId="283A5E27" w14:textId="77777777" w:rsidR="00DD2ADA" w:rsidRDefault="00DD2ADA" w:rsidP="0036521D">
      <w:pPr>
        <w:keepNext/>
        <w:jc w:val="both"/>
      </w:pPr>
      <w:r>
        <w:t>In 2015, 0.2% of participants were problem gamblers, 1.8% were moderate-risk gamblers, 4.6% were low-risk gamblers and 68% were non-problem gamblers.  Twenty-five percent had not gambled in the prior 12 months.  The percentages in 2012 were, respectively: 0.6%, 1.7%, 4.9% and 73% with 20% non-gamblers.</w:t>
      </w:r>
    </w:p>
    <w:p w14:paraId="623ACD71" w14:textId="77777777" w:rsidR="00DD2ADA" w:rsidRDefault="00DD2ADA" w:rsidP="00DD2ADA">
      <w:pPr>
        <w:jc w:val="both"/>
      </w:pPr>
    </w:p>
    <w:p w14:paraId="04E848A3" w14:textId="77777777" w:rsidR="00DD2ADA" w:rsidRDefault="00DD2ADA" w:rsidP="00DD2ADA">
      <w:pPr>
        <w:jc w:val="both"/>
      </w:pPr>
      <w:r>
        <w:t>Moderate-risk/problem gamblers were more likely to:</w:t>
      </w:r>
    </w:p>
    <w:p w14:paraId="5E374DDC" w14:textId="77777777" w:rsidR="00DD2ADA" w:rsidRDefault="00DD2ADA" w:rsidP="00DD2ADA">
      <w:pPr>
        <w:pStyle w:val="ListParagraph"/>
        <w:numPr>
          <w:ilvl w:val="0"/>
          <w:numId w:val="66"/>
        </w:numPr>
        <w:contextualSpacing/>
        <w:jc w:val="both"/>
      </w:pPr>
      <w:r>
        <w:t>Be aged 18 to 39 years</w:t>
      </w:r>
    </w:p>
    <w:p w14:paraId="0AB2D70D" w14:textId="77777777" w:rsidR="00DD2ADA" w:rsidRDefault="00DD2ADA" w:rsidP="00DD2ADA">
      <w:pPr>
        <w:pStyle w:val="ListParagraph"/>
        <w:numPr>
          <w:ilvl w:val="0"/>
          <w:numId w:val="66"/>
        </w:numPr>
        <w:contextualSpacing/>
        <w:jc w:val="both"/>
      </w:pPr>
      <w:r>
        <w:t>Be of Māori or Pacific ethnicity</w:t>
      </w:r>
    </w:p>
    <w:p w14:paraId="09F0D74E" w14:textId="77777777" w:rsidR="00DD2ADA" w:rsidRDefault="00DD2ADA" w:rsidP="00DD2ADA">
      <w:pPr>
        <w:pStyle w:val="ListParagraph"/>
        <w:numPr>
          <w:ilvl w:val="0"/>
          <w:numId w:val="66"/>
        </w:numPr>
        <w:contextualSpacing/>
        <w:jc w:val="both"/>
      </w:pPr>
      <w:r>
        <w:t>Experience 5 or more individual levels of deprivation</w:t>
      </w:r>
    </w:p>
    <w:p w14:paraId="77808D0C" w14:textId="77777777" w:rsidR="00DD2ADA" w:rsidRDefault="00DD2ADA" w:rsidP="00DD2ADA">
      <w:pPr>
        <w:pStyle w:val="ListParagraph"/>
        <w:numPr>
          <w:ilvl w:val="0"/>
          <w:numId w:val="66"/>
        </w:numPr>
        <w:contextualSpacing/>
        <w:jc w:val="both"/>
      </w:pPr>
      <w:r>
        <w:t>Have severe or high levels of psychological distress.</w:t>
      </w:r>
    </w:p>
    <w:p w14:paraId="19AFEAAA" w14:textId="77777777" w:rsidR="00DD2ADA" w:rsidRDefault="00DD2ADA" w:rsidP="00DD2ADA">
      <w:pPr>
        <w:pStyle w:val="ListParagraph"/>
        <w:ind w:left="714"/>
        <w:jc w:val="both"/>
      </w:pPr>
    </w:p>
    <w:p w14:paraId="0CCA456A" w14:textId="77777777" w:rsidR="00DD2ADA" w:rsidRDefault="00DD2ADA" w:rsidP="00DD2ADA">
      <w:pPr>
        <w:pStyle w:val="ListParagraph"/>
        <w:keepNext/>
        <w:ind w:left="0"/>
        <w:jc w:val="both"/>
      </w:pPr>
      <w:r>
        <w:t>Moderate-risk/problem gamblers were also more likely to gamble:</w:t>
      </w:r>
    </w:p>
    <w:p w14:paraId="46D5BC30" w14:textId="77777777" w:rsidR="00DD2ADA" w:rsidRDefault="00DD2ADA" w:rsidP="00DD2ADA">
      <w:pPr>
        <w:pStyle w:val="ListParagraph"/>
        <w:keepNext/>
        <w:numPr>
          <w:ilvl w:val="0"/>
          <w:numId w:val="67"/>
        </w:numPr>
        <w:contextualSpacing/>
        <w:jc w:val="both"/>
      </w:pPr>
      <w:r>
        <w:t>On multiple activities (7 to 9)</w:t>
      </w:r>
    </w:p>
    <w:p w14:paraId="10A15E9F" w14:textId="77777777" w:rsidR="00DD2ADA" w:rsidRDefault="00DD2ADA" w:rsidP="00DD2ADA">
      <w:pPr>
        <w:pStyle w:val="ListParagraph"/>
        <w:numPr>
          <w:ilvl w:val="0"/>
          <w:numId w:val="67"/>
        </w:numPr>
        <w:contextualSpacing/>
        <w:jc w:val="both"/>
      </w:pPr>
      <w:r>
        <w:t>Weekly or more often</w:t>
      </w:r>
    </w:p>
    <w:p w14:paraId="19B7C3CB" w14:textId="77777777" w:rsidR="00DD2ADA" w:rsidRDefault="00DD2ADA" w:rsidP="00DD2ADA">
      <w:pPr>
        <w:pStyle w:val="ListParagraph"/>
        <w:numPr>
          <w:ilvl w:val="0"/>
          <w:numId w:val="67"/>
        </w:numPr>
        <w:contextualSpacing/>
        <w:jc w:val="both"/>
      </w:pPr>
      <w:r>
        <w:t>Regularly on continuous activities</w:t>
      </w:r>
    </w:p>
    <w:p w14:paraId="39DF07E8" w14:textId="77777777" w:rsidR="00DD2ADA" w:rsidRDefault="00DD2ADA" w:rsidP="00DD2ADA">
      <w:pPr>
        <w:pStyle w:val="ListParagraph"/>
        <w:numPr>
          <w:ilvl w:val="0"/>
          <w:numId w:val="67"/>
        </w:numPr>
        <w:contextualSpacing/>
        <w:jc w:val="both"/>
      </w:pPr>
      <w:r>
        <w:t>At higher expenditure levels ($101 or more per month)</w:t>
      </w:r>
    </w:p>
    <w:p w14:paraId="3C3F1BDC" w14:textId="77777777" w:rsidR="00DD2ADA" w:rsidRDefault="00DD2ADA" w:rsidP="00DD2ADA">
      <w:pPr>
        <w:pStyle w:val="ListParagraph"/>
        <w:numPr>
          <w:ilvl w:val="0"/>
          <w:numId w:val="67"/>
        </w:numPr>
        <w:contextualSpacing/>
        <w:jc w:val="both"/>
      </w:pPr>
      <w:r>
        <w:t>For a longer time on EGMs (more than 60 minutes).</w:t>
      </w:r>
    </w:p>
    <w:p w14:paraId="5C1C92D3" w14:textId="77777777" w:rsidR="00DD2ADA" w:rsidRDefault="00DD2ADA" w:rsidP="00DD2ADA">
      <w:pPr>
        <w:jc w:val="both"/>
      </w:pPr>
    </w:p>
    <w:p w14:paraId="4F398291" w14:textId="77777777" w:rsidR="00DD2ADA" w:rsidRDefault="00DD2ADA" w:rsidP="00DD2ADA">
      <w:pPr>
        <w:jc w:val="both"/>
      </w:pPr>
    </w:p>
    <w:p w14:paraId="6C52CD50" w14:textId="77777777" w:rsidR="00DD2ADA" w:rsidRDefault="00DD2ADA" w:rsidP="00DD2ADA">
      <w:pPr>
        <w:jc w:val="both"/>
      </w:pPr>
      <w:r>
        <w:rPr>
          <w:b/>
          <w:i/>
        </w:rPr>
        <w:t>Moderate-risk/problem gamblers were more likely to use methods to stop gambling too much</w:t>
      </w:r>
    </w:p>
    <w:p w14:paraId="3F9B71B2" w14:textId="77777777" w:rsidR="00DD2ADA" w:rsidRDefault="00DD2ADA" w:rsidP="00DD2ADA">
      <w:pPr>
        <w:jc w:val="both"/>
      </w:pPr>
    </w:p>
    <w:p w14:paraId="4965886A" w14:textId="77777777" w:rsidR="00DD2ADA" w:rsidRDefault="00DD2ADA" w:rsidP="00DD2ADA">
      <w:pPr>
        <w:jc w:val="both"/>
      </w:pPr>
      <w:r>
        <w:t>Moderate-risk/problem gamblers were more likely to set a money limit for gambling, separating betting money from other money and stopping when it was used up, leaving ATM and credit cards at home, and avoiding betting/gambling venues.</w:t>
      </w:r>
    </w:p>
    <w:p w14:paraId="572F20AD" w14:textId="77777777" w:rsidR="00DD2ADA" w:rsidRDefault="00DD2ADA" w:rsidP="00DD2ADA">
      <w:pPr>
        <w:jc w:val="both"/>
      </w:pPr>
    </w:p>
    <w:p w14:paraId="46056257" w14:textId="77777777" w:rsidR="00DD2ADA" w:rsidRDefault="00DD2ADA" w:rsidP="00DD2ADA">
      <w:pPr>
        <w:jc w:val="both"/>
      </w:pPr>
    </w:p>
    <w:p w14:paraId="579A871C" w14:textId="77777777" w:rsidR="00DD2ADA" w:rsidRPr="00E16FD1" w:rsidRDefault="00DD2ADA" w:rsidP="00DD2ADA">
      <w:pPr>
        <w:jc w:val="both"/>
      </w:pPr>
      <w:r>
        <w:rPr>
          <w:b/>
          <w:i/>
        </w:rPr>
        <w:t xml:space="preserve">Only 1.6% of moderate-risk/problem gamblers sought professional help </w:t>
      </w:r>
    </w:p>
    <w:p w14:paraId="5E3E1F67" w14:textId="77777777" w:rsidR="00DD2ADA" w:rsidRDefault="00DD2ADA" w:rsidP="00DD2ADA">
      <w:pPr>
        <w:jc w:val="both"/>
      </w:pPr>
    </w:p>
    <w:p w14:paraId="10479148" w14:textId="77777777" w:rsidR="00DD2ADA" w:rsidRPr="006E4A38" w:rsidRDefault="00DD2ADA" w:rsidP="00DD2ADA">
      <w:pPr>
        <w:pStyle w:val="RepNormal"/>
      </w:pPr>
      <w:r w:rsidRPr="006E4A38">
        <w:t xml:space="preserve">Very few participants had sought help from a professional gambling treatment service in the prior year.  </w:t>
      </w:r>
      <w:r>
        <w:t>In 2015, only 1.6% of moderate-risk/problem gamblers had sought help.  This was similar in 2012.</w:t>
      </w:r>
    </w:p>
    <w:p w14:paraId="249D28FC" w14:textId="77777777" w:rsidR="00DD2ADA" w:rsidRDefault="00DD2ADA" w:rsidP="00DD2ADA">
      <w:pPr>
        <w:jc w:val="both"/>
      </w:pPr>
    </w:p>
    <w:p w14:paraId="3C3A1D5E" w14:textId="77777777" w:rsidR="00DD2ADA" w:rsidRDefault="00DD2ADA" w:rsidP="00DD2ADA">
      <w:pPr>
        <w:jc w:val="both"/>
      </w:pPr>
    </w:p>
    <w:p w14:paraId="1C85867A" w14:textId="77777777" w:rsidR="00DD2ADA" w:rsidRDefault="00DD2ADA" w:rsidP="00DD2ADA">
      <w:pPr>
        <w:jc w:val="both"/>
      </w:pPr>
      <w:r w:rsidRPr="005077AF">
        <w:rPr>
          <w:b/>
          <w:i/>
        </w:rPr>
        <w:t xml:space="preserve">Seventy percent of </w:t>
      </w:r>
      <w:r w:rsidR="009E2656" w:rsidRPr="005077AF">
        <w:rPr>
          <w:b/>
          <w:i/>
        </w:rPr>
        <w:t xml:space="preserve">people becoming </w:t>
      </w:r>
      <w:r w:rsidRPr="005077AF">
        <w:rPr>
          <w:b/>
          <w:i/>
        </w:rPr>
        <w:t>moderate-risk/problem gamblers were ‘new’ cases and</w:t>
      </w:r>
      <w:r>
        <w:rPr>
          <w:b/>
          <w:i/>
        </w:rPr>
        <w:t xml:space="preserve"> 30 percent were relapsing</w:t>
      </w:r>
    </w:p>
    <w:p w14:paraId="4984BC4E" w14:textId="77777777" w:rsidR="00DD2ADA" w:rsidRDefault="00DD2ADA" w:rsidP="00DD2ADA">
      <w:pPr>
        <w:jc w:val="both"/>
      </w:pPr>
    </w:p>
    <w:p w14:paraId="0438C8D7" w14:textId="77777777" w:rsidR="00DD2ADA" w:rsidRDefault="00DD2ADA" w:rsidP="00DD2ADA">
      <w:pPr>
        <w:jc w:val="both"/>
      </w:pPr>
      <w:r>
        <w:t>In 2015, the incidence rate (rate of new cases) was 0.1% for problem gambling, 1.15% for moderate-risk gambling and 3.25% for low-risk gambling.</w:t>
      </w:r>
    </w:p>
    <w:p w14:paraId="117DA50B" w14:textId="77777777" w:rsidR="00DD2ADA" w:rsidRDefault="00DD2ADA" w:rsidP="00DD2ADA">
      <w:pPr>
        <w:jc w:val="both"/>
      </w:pPr>
    </w:p>
    <w:p w14:paraId="1C314EAC" w14:textId="77777777" w:rsidR="00DD2ADA" w:rsidRDefault="00DD2ADA" w:rsidP="00DD2ADA">
      <w:pPr>
        <w:pStyle w:val="RepNormal"/>
      </w:pPr>
      <w:r>
        <w:t>Of the people who developed problem gambling, 33% were new problem gamblers and the remaining 67% were people who had previously had problems with gambling.  Of moderate-risk gamblers, 71% were new.  The estimate for new cases of moderate-risk and problem gamblers combined was 70%.</w:t>
      </w:r>
    </w:p>
    <w:p w14:paraId="2AA3CE63" w14:textId="77777777" w:rsidR="00DD2ADA" w:rsidRDefault="00DD2ADA" w:rsidP="00DD2ADA">
      <w:pPr>
        <w:jc w:val="both"/>
      </w:pPr>
    </w:p>
    <w:p w14:paraId="693184C1" w14:textId="77777777" w:rsidR="00DD2ADA" w:rsidRDefault="00DD2ADA" w:rsidP="00DD2ADA">
      <w:pPr>
        <w:jc w:val="both"/>
      </w:pPr>
    </w:p>
    <w:p w14:paraId="2BBEC352" w14:textId="77777777" w:rsidR="00DD2ADA" w:rsidRDefault="00DD2ADA" w:rsidP="00DD2ADA">
      <w:pPr>
        <w:jc w:val="both"/>
      </w:pPr>
      <w:r>
        <w:rPr>
          <w:b/>
          <w:i/>
        </w:rPr>
        <w:t>L</w:t>
      </w:r>
      <w:r w:rsidRPr="00B7256F">
        <w:rPr>
          <w:b/>
          <w:i/>
        </w:rPr>
        <w:t>ow-</w:t>
      </w:r>
      <w:r>
        <w:rPr>
          <w:b/>
          <w:i/>
        </w:rPr>
        <w:t xml:space="preserve">risk </w:t>
      </w:r>
      <w:r w:rsidRPr="00B7256F">
        <w:rPr>
          <w:b/>
          <w:i/>
        </w:rPr>
        <w:t xml:space="preserve">and moderate-risk </w:t>
      </w:r>
      <w:r>
        <w:rPr>
          <w:b/>
          <w:i/>
        </w:rPr>
        <w:t xml:space="preserve">gamblers </w:t>
      </w:r>
      <w:r w:rsidRPr="00B7256F">
        <w:rPr>
          <w:b/>
          <w:i/>
        </w:rPr>
        <w:t>were more likely to move to a higher or lower risk level</w:t>
      </w:r>
      <w:r>
        <w:rPr>
          <w:b/>
          <w:i/>
        </w:rPr>
        <w:t xml:space="preserve"> over time</w:t>
      </w:r>
    </w:p>
    <w:p w14:paraId="5057E725" w14:textId="77777777" w:rsidR="00DD2ADA" w:rsidRDefault="00DD2ADA" w:rsidP="00DD2ADA">
      <w:pPr>
        <w:jc w:val="both"/>
      </w:pPr>
    </w:p>
    <w:p w14:paraId="574B65C9" w14:textId="77777777" w:rsidR="00DD2ADA" w:rsidRDefault="00DD2ADA" w:rsidP="00DD2ADA">
      <w:pPr>
        <w:jc w:val="both"/>
      </w:pPr>
      <w:r w:rsidRPr="00B7256F">
        <w:t>The low-</w:t>
      </w:r>
      <w:r>
        <w:t xml:space="preserve">risk </w:t>
      </w:r>
      <w:r w:rsidRPr="00B7256F">
        <w:t xml:space="preserve">and moderate-risk </w:t>
      </w:r>
      <w:r>
        <w:t xml:space="preserve">gambler </w:t>
      </w:r>
      <w:r w:rsidRPr="00B7256F">
        <w:t>groups were the least stable over time (i.e. people were more likely to move to a higher or lower risk level), the non-problem and non-gambling groups were the most stable, and the problem gambling group was in the middle.</w:t>
      </w:r>
    </w:p>
    <w:p w14:paraId="68E47406" w14:textId="77777777" w:rsidR="00DD2ADA" w:rsidRDefault="00DD2ADA" w:rsidP="00DD2ADA">
      <w:pPr>
        <w:pStyle w:val="RepNormal"/>
      </w:pPr>
      <w:r>
        <w:t>About two-thirds of non-gamblers stayed as non-gamblers and about four-fifths of non-problem gamblers stayed non-problem from 2012 to 2015.  Problem gamblers were the next most stable group with 44% staying in that category over time.  About one-quarter to one-third of low-risk and moderate-risk gamblers remained in those categories across the years.</w:t>
      </w:r>
    </w:p>
    <w:p w14:paraId="1F43F734" w14:textId="77777777" w:rsidR="00DD2ADA" w:rsidRDefault="00DD2ADA" w:rsidP="00DD2ADA">
      <w:pPr>
        <w:jc w:val="both"/>
      </w:pPr>
    </w:p>
    <w:p w14:paraId="0D6F5B63" w14:textId="77777777" w:rsidR="00DD2ADA" w:rsidRDefault="00DD2ADA" w:rsidP="00DD2ADA">
      <w:pPr>
        <w:jc w:val="both"/>
      </w:pPr>
      <w:r>
        <w:t>Changes in risk level were bi-directional with movement to higher risk and lower risk levels.  It was not sequential.  Whilst a majority of movement was either to the next higher or lower risk level, some participants became problem gamblers from non-gambler, non-problem or low-risk groups in the previous year, and some problem gamblers and moderate-risk gamblers stopped gambling or became non-problem gamblers.</w:t>
      </w:r>
    </w:p>
    <w:p w14:paraId="0411A21C" w14:textId="77777777" w:rsidR="00DD2ADA" w:rsidRDefault="00DD2ADA" w:rsidP="00DD2ADA">
      <w:pPr>
        <w:jc w:val="both"/>
      </w:pPr>
    </w:p>
    <w:p w14:paraId="3384C80A" w14:textId="77777777" w:rsidR="00DD2ADA" w:rsidRDefault="00DD2ADA" w:rsidP="00DD2ADA">
      <w:pPr>
        <w:jc w:val="both"/>
      </w:pPr>
    </w:p>
    <w:p w14:paraId="07FB067F" w14:textId="77777777" w:rsidR="00DD2ADA" w:rsidRDefault="00DD2ADA" w:rsidP="00DD2ADA">
      <w:pPr>
        <w:jc w:val="both"/>
      </w:pPr>
      <w:r>
        <w:rPr>
          <w:b/>
          <w:i/>
        </w:rPr>
        <w:t>Risk factors for gambling participation were age, income, major life events and substance use</w:t>
      </w:r>
    </w:p>
    <w:p w14:paraId="4434E7F7" w14:textId="77777777" w:rsidR="00DD2ADA" w:rsidRDefault="00DD2ADA" w:rsidP="00DD2ADA">
      <w:pPr>
        <w:jc w:val="both"/>
      </w:pPr>
    </w:p>
    <w:p w14:paraId="3CB3C08D" w14:textId="5EFCD52B" w:rsidR="00DD2ADA" w:rsidRDefault="00DD2ADA" w:rsidP="00DD2ADA">
      <w:pPr>
        <w:jc w:val="both"/>
      </w:pPr>
      <w:r>
        <w:t xml:space="preserve">Statistically significant </w:t>
      </w:r>
      <w:r w:rsidR="005077AF" w:rsidRPr="005077AF">
        <w:t>independent</w:t>
      </w:r>
      <w:r w:rsidR="005077AF">
        <w:t xml:space="preserve"> </w:t>
      </w:r>
      <w:r>
        <w:t>risk factors associated (in multiple logistic regression analyses) with being a past year gambler vs. not gambling across 2012 to 2015 were:</w:t>
      </w:r>
    </w:p>
    <w:p w14:paraId="56EEC88C" w14:textId="16AC9004" w:rsidR="00DD2ADA" w:rsidRPr="005077AF" w:rsidRDefault="00DD2ADA" w:rsidP="00DD2ADA">
      <w:pPr>
        <w:pStyle w:val="ListParagraph"/>
        <w:numPr>
          <w:ilvl w:val="0"/>
          <w:numId w:val="68"/>
        </w:numPr>
        <w:contextualSpacing/>
        <w:jc w:val="both"/>
      </w:pPr>
      <w:r>
        <w:t xml:space="preserve">Being aged 40 to 64 </w:t>
      </w:r>
      <w:r w:rsidRPr="005077AF">
        <w:t xml:space="preserve">years </w:t>
      </w:r>
      <w:r w:rsidR="00AD0188" w:rsidRPr="005077AF">
        <w:t xml:space="preserve">vs. being aged 18 to 39 years </w:t>
      </w:r>
      <w:r w:rsidRPr="005077AF">
        <w:t>(OR 1.97)</w:t>
      </w:r>
    </w:p>
    <w:p w14:paraId="21908F35" w14:textId="751D9EA6" w:rsidR="00DD2ADA" w:rsidRPr="005077AF" w:rsidRDefault="00DD2ADA" w:rsidP="00DD2ADA">
      <w:pPr>
        <w:pStyle w:val="ListParagraph"/>
        <w:numPr>
          <w:ilvl w:val="0"/>
          <w:numId w:val="68"/>
        </w:numPr>
        <w:contextualSpacing/>
        <w:jc w:val="both"/>
      </w:pPr>
      <w:r w:rsidRPr="005077AF">
        <w:t>Having an annual personal income greater than $20,000</w:t>
      </w:r>
      <w:r w:rsidR="00AD0188" w:rsidRPr="005077AF">
        <w:t xml:space="preserve"> vs. less than $20,000</w:t>
      </w:r>
      <w:r w:rsidRPr="005077AF">
        <w:t xml:space="preserve"> (OR 1.55 to 2.44)</w:t>
      </w:r>
    </w:p>
    <w:p w14:paraId="41D2B0C2" w14:textId="0C5C4529" w:rsidR="00DD2ADA" w:rsidRPr="005077AF" w:rsidRDefault="00DD2ADA" w:rsidP="00DD2ADA">
      <w:pPr>
        <w:pStyle w:val="ListParagraph"/>
        <w:numPr>
          <w:ilvl w:val="0"/>
          <w:numId w:val="68"/>
        </w:numPr>
        <w:contextualSpacing/>
        <w:jc w:val="both"/>
      </w:pPr>
      <w:r w:rsidRPr="005077AF">
        <w:t>Experiencing 3 or more major life events in the prior year</w:t>
      </w:r>
      <w:r w:rsidR="00AD0188" w:rsidRPr="005077AF">
        <w:t xml:space="preserve"> vs. no events</w:t>
      </w:r>
      <w:r w:rsidRPr="005077AF">
        <w:t xml:space="preserve"> (OR 1.30 to 1.41)</w:t>
      </w:r>
    </w:p>
    <w:p w14:paraId="4AD3C769" w14:textId="4AD5FD4D" w:rsidR="00DD2ADA" w:rsidRPr="005077AF" w:rsidRDefault="00DD2ADA" w:rsidP="00DD2ADA">
      <w:pPr>
        <w:pStyle w:val="ListParagraph"/>
        <w:numPr>
          <w:ilvl w:val="0"/>
          <w:numId w:val="68"/>
        </w:numPr>
        <w:contextualSpacing/>
        <w:jc w:val="both"/>
      </w:pPr>
      <w:r w:rsidRPr="005077AF">
        <w:t>Hazardous alcohol consumption</w:t>
      </w:r>
      <w:r w:rsidR="00AD0188" w:rsidRPr="005077AF">
        <w:t xml:space="preserve"> vs. non-hazardous consumption</w:t>
      </w:r>
      <w:r w:rsidRPr="005077AF">
        <w:t xml:space="preserve"> (OR 1.73)</w:t>
      </w:r>
    </w:p>
    <w:p w14:paraId="3995E52E" w14:textId="0E6350C9" w:rsidR="00DD2ADA" w:rsidRPr="005077AF" w:rsidRDefault="00DD2ADA" w:rsidP="00DD2ADA">
      <w:pPr>
        <w:pStyle w:val="ListParagraph"/>
        <w:numPr>
          <w:ilvl w:val="0"/>
          <w:numId w:val="68"/>
        </w:numPr>
        <w:contextualSpacing/>
        <w:jc w:val="both"/>
      </w:pPr>
      <w:r w:rsidRPr="005077AF">
        <w:t>Ever smoking more than 100 cigarettes in lifetime</w:t>
      </w:r>
      <w:r w:rsidR="00AD0188" w:rsidRPr="005077AF">
        <w:t xml:space="preserve"> vs. not having smoked this many</w:t>
      </w:r>
      <w:r w:rsidRPr="005077AF">
        <w:t xml:space="preserve"> (OR 1.39).</w:t>
      </w:r>
    </w:p>
    <w:p w14:paraId="4685EDFA" w14:textId="77777777" w:rsidR="00DD2ADA" w:rsidRDefault="00DD2ADA" w:rsidP="00DD2ADA">
      <w:pPr>
        <w:jc w:val="both"/>
      </w:pPr>
    </w:p>
    <w:p w14:paraId="1B07689D" w14:textId="77777777" w:rsidR="00DD2ADA" w:rsidRDefault="00DD2ADA" w:rsidP="00DD2ADA">
      <w:pPr>
        <w:jc w:val="both"/>
      </w:pPr>
    </w:p>
    <w:p w14:paraId="06450BE1" w14:textId="77777777" w:rsidR="00DD2ADA" w:rsidRDefault="00DD2ADA" w:rsidP="00DD2ADA">
      <w:pPr>
        <w:jc w:val="both"/>
      </w:pPr>
      <w:r>
        <w:rPr>
          <w:b/>
          <w:i/>
        </w:rPr>
        <w:t>Factors associated with a lower chance of gambling participation were ethnicity, migrant status, religion and psychological distress</w:t>
      </w:r>
    </w:p>
    <w:p w14:paraId="21E57D19" w14:textId="77777777" w:rsidR="00DD2ADA" w:rsidRDefault="00DD2ADA" w:rsidP="00DD2ADA">
      <w:pPr>
        <w:jc w:val="both"/>
      </w:pPr>
    </w:p>
    <w:p w14:paraId="7BFCF10F" w14:textId="77777777" w:rsidR="00DD2ADA" w:rsidRPr="005077AF" w:rsidRDefault="00DD2ADA" w:rsidP="00DD2ADA">
      <w:pPr>
        <w:jc w:val="both"/>
      </w:pPr>
      <w:r w:rsidRPr="005077AF">
        <w:t xml:space="preserve">Factors significantly </w:t>
      </w:r>
      <w:r w:rsidR="009E2656" w:rsidRPr="005077AF">
        <w:t xml:space="preserve">independently </w:t>
      </w:r>
      <w:r w:rsidRPr="005077AF">
        <w:t>associated (in multiple logistic regression analyses) with a lower chance of being a past year gambler vs. not gambling across 2012 to 2015 were:</w:t>
      </w:r>
    </w:p>
    <w:p w14:paraId="31B8C981" w14:textId="131EF262" w:rsidR="00DD2ADA" w:rsidRPr="005077AF" w:rsidRDefault="00DD2ADA" w:rsidP="00DD2ADA">
      <w:pPr>
        <w:pStyle w:val="ListParagraph"/>
        <w:numPr>
          <w:ilvl w:val="0"/>
          <w:numId w:val="69"/>
        </w:numPr>
        <w:contextualSpacing/>
        <w:jc w:val="both"/>
      </w:pPr>
      <w:r w:rsidRPr="005077AF">
        <w:t>Being of Asian ethnicity</w:t>
      </w:r>
      <w:r w:rsidR="00AD0188" w:rsidRPr="005077AF">
        <w:t xml:space="preserve"> vs. being of European/Other ethnicity</w:t>
      </w:r>
      <w:r w:rsidRPr="005077AF">
        <w:t xml:space="preserve"> (OR 0.30)</w:t>
      </w:r>
    </w:p>
    <w:p w14:paraId="191739D9" w14:textId="25455865" w:rsidR="00DD2ADA" w:rsidRPr="005077AF" w:rsidRDefault="00DD2ADA" w:rsidP="00DD2ADA">
      <w:pPr>
        <w:pStyle w:val="ListParagraph"/>
        <w:numPr>
          <w:ilvl w:val="0"/>
          <w:numId w:val="69"/>
        </w:numPr>
        <w:contextualSpacing/>
        <w:jc w:val="both"/>
      </w:pPr>
      <w:r w:rsidRPr="005077AF">
        <w:t>Being affiliated with a religion</w:t>
      </w:r>
      <w:r w:rsidR="00AD0188" w:rsidRPr="005077AF">
        <w:t xml:space="preserve"> vs. not having a religion</w:t>
      </w:r>
      <w:r w:rsidRPr="005077AF">
        <w:t xml:space="preserve"> (OR 0.74)</w:t>
      </w:r>
    </w:p>
    <w:p w14:paraId="2B130776" w14:textId="27BBCEA7" w:rsidR="00DD2ADA" w:rsidRPr="005077AF" w:rsidRDefault="00DD2ADA" w:rsidP="00DD2ADA">
      <w:pPr>
        <w:pStyle w:val="ListParagraph"/>
        <w:numPr>
          <w:ilvl w:val="0"/>
          <w:numId w:val="69"/>
        </w:numPr>
        <w:contextualSpacing/>
        <w:jc w:val="both"/>
      </w:pPr>
      <w:r w:rsidRPr="005077AF">
        <w:t>Being a migrant (OR 0.59), particularly a recent migrant (arrived after 2008)</w:t>
      </w:r>
      <w:r w:rsidR="00AD0188" w:rsidRPr="005077AF">
        <w:t xml:space="preserve"> </w:t>
      </w:r>
      <w:r w:rsidR="005077AF" w:rsidRPr="005077AF">
        <w:t xml:space="preserve">(OR 0.13) </w:t>
      </w:r>
      <w:r w:rsidR="00AD0188" w:rsidRPr="005077AF">
        <w:t xml:space="preserve">vs. being born in New Zealand </w:t>
      </w:r>
    </w:p>
    <w:p w14:paraId="1411F43D" w14:textId="22379034" w:rsidR="00DD2ADA" w:rsidRPr="005077AF" w:rsidRDefault="00DD2ADA" w:rsidP="00DD2ADA">
      <w:pPr>
        <w:pStyle w:val="ListParagraph"/>
        <w:numPr>
          <w:ilvl w:val="0"/>
          <w:numId w:val="69"/>
        </w:numPr>
        <w:contextualSpacing/>
        <w:jc w:val="both"/>
      </w:pPr>
      <w:r w:rsidRPr="005077AF">
        <w:t>Having moderate or high levels of psychological distress</w:t>
      </w:r>
      <w:r w:rsidR="00AD0188" w:rsidRPr="005077AF">
        <w:t xml:space="preserve"> vs. having a low level</w:t>
      </w:r>
      <w:r w:rsidR="005077AF">
        <w:t xml:space="preserve"> (OR </w:t>
      </w:r>
      <w:r w:rsidRPr="005077AF">
        <w:t>0.71 to 0.35).</w:t>
      </w:r>
    </w:p>
    <w:p w14:paraId="0FD38EBF" w14:textId="77777777" w:rsidR="00DD2ADA" w:rsidRDefault="00DD2ADA" w:rsidP="00DD2ADA">
      <w:pPr>
        <w:jc w:val="both"/>
      </w:pPr>
    </w:p>
    <w:p w14:paraId="4217ECE9" w14:textId="77777777" w:rsidR="00DD2ADA" w:rsidRDefault="00DD2ADA" w:rsidP="00DD2ADA">
      <w:pPr>
        <w:jc w:val="both"/>
      </w:pPr>
    </w:p>
    <w:p w14:paraId="2AE870FA" w14:textId="77777777" w:rsidR="00DD2ADA" w:rsidRDefault="00DD2ADA" w:rsidP="00DD2ADA">
      <w:pPr>
        <w:jc w:val="both"/>
      </w:pPr>
      <w:r>
        <w:rPr>
          <w:b/>
          <w:i/>
        </w:rPr>
        <w:t>Risk factors for being a risky gambler were ethnicity, deprivation, major life events, psychological distress, cannabis use and various gambling behaviours</w:t>
      </w:r>
    </w:p>
    <w:p w14:paraId="3242E17E" w14:textId="77777777" w:rsidR="00DD2ADA" w:rsidRDefault="00DD2ADA" w:rsidP="00DD2ADA">
      <w:pPr>
        <w:jc w:val="both"/>
      </w:pPr>
    </w:p>
    <w:p w14:paraId="4AD15ADE" w14:textId="77777777" w:rsidR="00DD2ADA" w:rsidRPr="0029469A" w:rsidRDefault="00DD2ADA" w:rsidP="00DD2ADA">
      <w:pPr>
        <w:jc w:val="both"/>
      </w:pPr>
      <w:r w:rsidRPr="0029469A">
        <w:t xml:space="preserve">Statistically significant </w:t>
      </w:r>
      <w:r w:rsidR="009E2656" w:rsidRPr="0029469A">
        <w:t xml:space="preserve">independent </w:t>
      </w:r>
      <w:r w:rsidRPr="0029469A">
        <w:t>risk factors associated (in multiple logistic regression analyses) with being a low-risk/moderate-risk/problem gambler vs. being a non-problem gambler/non-gambler across 2012 to 2015 were:</w:t>
      </w:r>
    </w:p>
    <w:p w14:paraId="5C97C40C" w14:textId="50BDFD61" w:rsidR="00DD2ADA" w:rsidRPr="0029469A" w:rsidRDefault="00DD2ADA" w:rsidP="00DD2ADA">
      <w:pPr>
        <w:pStyle w:val="ListParagraph"/>
        <w:numPr>
          <w:ilvl w:val="0"/>
          <w:numId w:val="70"/>
        </w:numPr>
        <w:contextualSpacing/>
        <w:jc w:val="both"/>
      </w:pPr>
      <w:r w:rsidRPr="0029469A">
        <w:t>Being of Māori (OR 2.92) or Pacific (OR 2.50) ethnicity</w:t>
      </w:r>
      <w:r w:rsidR="00AD0188" w:rsidRPr="0029469A">
        <w:t xml:space="preserve"> vs. being of European/Other ethnicity</w:t>
      </w:r>
    </w:p>
    <w:p w14:paraId="4548F28D" w14:textId="23AE43EA" w:rsidR="00DD2ADA" w:rsidRPr="0029469A" w:rsidRDefault="00DD2ADA" w:rsidP="00DD2ADA">
      <w:pPr>
        <w:pStyle w:val="ListParagraph"/>
        <w:numPr>
          <w:ilvl w:val="0"/>
          <w:numId w:val="70"/>
        </w:numPr>
        <w:contextualSpacing/>
        <w:jc w:val="both"/>
      </w:pPr>
      <w:r w:rsidRPr="0029469A">
        <w:t>Experiencing one or more individual levels of deprivation</w:t>
      </w:r>
      <w:r w:rsidR="00AD0188" w:rsidRPr="0029469A">
        <w:t xml:space="preserve"> vs. no deprivation</w:t>
      </w:r>
      <w:r w:rsidRPr="0029469A">
        <w:t xml:space="preserve"> (OR 1.43 to 3.18)</w:t>
      </w:r>
    </w:p>
    <w:p w14:paraId="1A8DDE2C" w14:textId="6F701B08" w:rsidR="00DD2ADA" w:rsidRPr="0029469A" w:rsidRDefault="00DD2ADA" w:rsidP="00DD2ADA">
      <w:pPr>
        <w:pStyle w:val="ListParagraph"/>
        <w:numPr>
          <w:ilvl w:val="0"/>
          <w:numId w:val="70"/>
        </w:numPr>
        <w:contextualSpacing/>
        <w:jc w:val="both"/>
      </w:pPr>
      <w:r w:rsidRPr="0029469A">
        <w:t>Experiencing 3 or more major life events in the prior year</w:t>
      </w:r>
      <w:r w:rsidR="00AD0188" w:rsidRPr="0029469A">
        <w:t xml:space="preserve"> vs. no events</w:t>
      </w:r>
      <w:r w:rsidRPr="0029469A">
        <w:t xml:space="preserve"> (OR 1.74 to 1.79)</w:t>
      </w:r>
    </w:p>
    <w:p w14:paraId="4F90F462" w14:textId="3AC9F67F" w:rsidR="00DD2ADA" w:rsidRPr="0029469A" w:rsidRDefault="00DD2ADA" w:rsidP="00DD2ADA">
      <w:pPr>
        <w:pStyle w:val="ListParagraph"/>
        <w:numPr>
          <w:ilvl w:val="0"/>
          <w:numId w:val="70"/>
        </w:numPr>
        <w:contextualSpacing/>
        <w:jc w:val="both"/>
      </w:pPr>
      <w:r w:rsidRPr="0029469A">
        <w:t>Experiencing moderate, high or severe levels of psychological distress</w:t>
      </w:r>
      <w:r w:rsidR="00AD0188" w:rsidRPr="0029469A">
        <w:t xml:space="preserve"> vs. a low level</w:t>
      </w:r>
      <w:r w:rsidRPr="0029469A">
        <w:t xml:space="preserve"> (OR 1.75 to 6.25)</w:t>
      </w:r>
    </w:p>
    <w:p w14:paraId="06FC2880" w14:textId="710231E3" w:rsidR="00DD2ADA" w:rsidRPr="0029469A" w:rsidRDefault="00DD2ADA" w:rsidP="00DD2ADA">
      <w:pPr>
        <w:pStyle w:val="ListParagraph"/>
        <w:numPr>
          <w:ilvl w:val="0"/>
          <w:numId w:val="70"/>
        </w:numPr>
        <w:contextualSpacing/>
        <w:jc w:val="both"/>
      </w:pPr>
      <w:r w:rsidRPr="0029469A">
        <w:t>Using cannabis</w:t>
      </w:r>
      <w:r w:rsidR="00AD0188" w:rsidRPr="0029469A">
        <w:t xml:space="preserve"> vs. not using cannabis</w:t>
      </w:r>
      <w:r w:rsidRPr="0029469A">
        <w:t xml:space="preserve"> (OR 1.59).</w:t>
      </w:r>
    </w:p>
    <w:p w14:paraId="12AA6243" w14:textId="77777777" w:rsidR="00DD2ADA" w:rsidRPr="0029469A" w:rsidRDefault="00DD2ADA" w:rsidP="00DD2ADA">
      <w:pPr>
        <w:jc w:val="both"/>
      </w:pPr>
    </w:p>
    <w:p w14:paraId="2D885AD0" w14:textId="77777777" w:rsidR="00DD2ADA" w:rsidRPr="0029469A" w:rsidRDefault="00DD2ADA" w:rsidP="0036521D">
      <w:pPr>
        <w:keepNext/>
        <w:jc w:val="both"/>
      </w:pPr>
      <w:r w:rsidRPr="0029469A">
        <w:t>Gambling-related risk factors were:</w:t>
      </w:r>
    </w:p>
    <w:p w14:paraId="6310B96C" w14:textId="24C85907" w:rsidR="00DD2ADA" w:rsidRPr="0029469A" w:rsidRDefault="00DD2ADA" w:rsidP="0036521D">
      <w:pPr>
        <w:pStyle w:val="ListParagraph"/>
        <w:keepNext/>
        <w:numPr>
          <w:ilvl w:val="0"/>
          <w:numId w:val="70"/>
        </w:numPr>
        <w:contextualSpacing/>
        <w:jc w:val="both"/>
      </w:pPr>
      <w:r w:rsidRPr="0029469A">
        <w:t>Gambling at least once in the past year on EGMs</w:t>
      </w:r>
      <w:r w:rsidR="00AD0188" w:rsidRPr="0029469A">
        <w:t xml:space="preserve"> vs. </w:t>
      </w:r>
      <w:r w:rsidR="0029469A">
        <w:t xml:space="preserve">not </w:t>
      </w:r>
      <w:r w:rsidR="00AD0188" w:rsidRPr="0029469A">
        <w:t xml:space="preserve">gambling </w:t>
      </w:r>
      <w:r w:rsidR="0029469A">
        <w:t>on EGMs</w:t>
      </w:r>
      <w:r w:rsidR="00AD0188" w:rsidRPr="0029469A">
        <w:t xml:space="preserve"> (OR </w:t>
      </w:r>
      <w:r w:rsidRPr="0029469A">
        <w:t>2.79)</w:t>
      </w:r>
    </w:p>
    <w:p w14:paraId="13A6589A" w14:textId="4FC7F28D" w:rsidR="00DD2ADA" w:rsidRPr="0029469A" w:rsidRDefault="00DD2ADA" w:rsidP="0036521D">
      <w:pPr>
        <w:pStyle w:val="ListParagraph"/>
        <w:keepNext/>
        <w:numPr>
          <w:ilvl w:val="0"/>
          <w:numId w:val="70"/>
        </w:numPr>
        <w:contextualSpacing/>
        <w:jc w:val="both"/>
      </w:pPr>
      <w:r w:rsidRPr="0029469A">
        <w:t>Gambling at least monthly on card games, sports betting, pub or club EGMs, short-term speculative investments, and playing on gambling-type games not for money</w:t>
      </w:r>
      <w:r w:rsidR="00AD0188" w:rsidRPr="0029469A">
        <w:t xml:space="preserve"> vs. not participating in these activities</w:t>
      </w:r>
      <w:r w:rsidRPr="0029469A">
        <w:t xml:space="preserve"> (OR 1.72 to 4.87)</w:t>
      </w:r>
    </w:p>
    <w:p w14:paraId="6FA1C2CA" w14:textId="3DCDF1BD" w:rsidR="00DD2ADA" w:rsidRPr="0029469A" w:rsidRDefault="00DD2ADA" w:rsidP="00DD2ADA">
      <w:pPr>
        <w:pStyle w:val="ListParagraph"/>
        <w:numPr>
          <w:ilvl w:val="0"/>
          <w:numId w:val="70"/>
        </w:numPr>
        <w:contextualSpacing/>
        <w:jc w:val="both"/>
      </w:pPr>
      <w:r w:rsidRPr="0029469A">
        <w:t>Having a typical monthly gambling expenditure of more than $50</w:t>
      </w:r>
      <w:r w:rsidR="00AD0188" w:rsidRPr="0029469A">
        <w:t xml:space="preserve"> vs. $20 or less (OR </w:t>
      </w:r>
      <w:r w:rsidRPr="0029469A">
        <w:t>2.57)</w:t>
      </w:r>
    </w:p>
    <w:p w14:paraId="2BBABE17" w14:textId="20BFC797" w:rsidR="00DD2ADA" w:rsidRPr="0029469A" w:rsidRDefault="00DD2ADA" w:rsidP="00DD2ADA">
      <w:pPr>
        <w:pStyle w:val="ListParagraph"/>
        <w:numPr>
          <w:ilvl w:val="0"/>
          <w:numId w:val="70"/>
        </w:numPr>
        <w:contextualSpacing/>
        <w:jc w:val="both"/>
      </w:pPr>
      <w:r w:rsidRPr="0029469A">
        <w:t xml:space="preserve">Gambling on club (OR 4.38) and casino (OR 2.43) EGMs for more than 60 minutes in a typical day </w:t>
      </w:r>
      <w:r w:rsidR="00AD0188" w:rsidRPr="0029469A">
        <w:t>vs. not gambling on EGMS in these venues</w:t>
      </w:r>
    </w:p>
    <w:p w14:paraId="361B31D4" w14:textId="6364D0E9" w:rsidR="00DD2ADA" w:rsidRPr="0029469A" w:rsidRDefault="00DD2ADA" w:rsidP="00DD2ADA">
      <w:pPr>
        <w:pStyle w:val="ListParagraph"/>
        <w:numPr>
          <w:ilvl w:val="0"/>
          <w:numId w:val="70"/>
        </w:numPr>
        <w:contextualSpacing/>
        <w:jc w:val="both"/>
      </w:pPr>
      <w:r w:rsidRPr="0029469A">
        <w:t>Various methods for controlling gambling behaviour</w:t>
      </w:r>
      <w:r w:rsidR="00DE3127" w:rsidRPr="0029469A">
        <w:t xml:space="preserve"> vs. not doing these things</w:t>
      </w:r>
      <w:r w:rsidRPr="0029469A">
        <w:t>:</w:t>
      </w:r>
    </w:p>
    <w:p w14:paraId="4C5351B4" w14:textId="77777777" w:rsidR="00DD2ADA" w:rsidRPr="0029469A" w:rsidRDefault="00DD2ADA" w:rsidP="00DD2ADA">
      <w:pPr>
        <w:pStyle w:val="ListParagraph"/>
        <w:numPr>
          <w:ilvl w:val="1"/>
          <w:numId w:val="70"/>
        </w:numPr>
        <w:contextualSpacing/>
        <w:jc w:val="both"/>
      </w:pPr>
      <w:r w:rsidRPr="0029469A">
        <w:t>Setting a dollar limit for gambling before leaving home (OR 1.54)</w:t>
      </w:r>
    </w:p>
    <w:p w14:paraId="33724F5E" w14:textId="77777777" w:rsidR="00DD2ADA" w:rsidRPr="0029469A" w:rsidRDefault="00DD2ADA" w:rsidP="00DD2ADA">
      <w:pPr>
        <w:pStyle w:val="ListParagraph"/>
        <w:numPr>
          <w:ilvl w:val="1"/>
          <w:numId w:val="70"/>
        </w:numPr>
        <w:contextualSpacing/>
        <w:jc w:val="both"/>
      </w:pPr>
      <w:r w:rsidRPr="0029469A">
        <w:t>Getting someone trustworthy to manage gambling money (OR 5.13)</w:t>
      </w:r>
    </w:p>
    <w:p w14:paraId="435B8EFB" w14:textId="77777777" w:rsidR="00DD2ADA" w:rsidRPr="0029469A" w:rsidRDefault="00DD2ADA" w:rsidP="00DD2ADA">
      <w:pPr>
        <w:pStyle w:val="ListParagraph"/>
        <w:numPr>
          <w:ilvl w:val="1"/>
          <w:numId w:val="70"/>
        </w:numPr>
        <w:contextualSpacing/>
        <w:jc w:val="both"/>
      </w:pPr>
      <w:r w:rsidRPr="0029469A">
        <w:t>Separating money for betting from other money and stopping when it is used (OR 2.37)</w:t>
      </w:r>
    </w:p>
    <w:p w14:paraId="2A89181D" w14:textId="77777777" w:rsidR="00DD2ADA" w:rsidRPr="0029469A" w:rsidRDefault="00DD2ADA" w:rsidP="00DD2ADA">
      <w:pPr>
        <w:pStyle w:val="ListParagraph"/>
        <w:numPr>
          <w:ilvl w:val="1"/>
          <w:numId w:val="70"/>
        </w:numPr>
        <w:contextualSpacing/>
        <w:jc w:val="both"/>
      </w:pPr>
      <w:r w:rsidRPr="0029469A">
        <w:t>Leaving ATM and credit cards at home (OR 2.38)</w:t>
      </w:r>
    </w:p>
    <w:p w14:paraId="686EDDB6" w14:textId="77777777" w:rsidR="00DD2ADA" w:rsidRPr="0029469A" w:rsidRDefault="00DD2ADA" w:rsidP="00DD2ADA">
      <w:pPr>
        <w:pStyle w:val="ListParagraph"/>
        <w:numPr>
          <w:ilvl w:val="1"/>
          <w:numId w:val="70"/>
        </w:numPr>
        <w:contextualSpacing/>
        <w:jc w:val="both"/>
      </w:pPr>
      <w:r w:rsidRPr="0029469A">
        <w:t>Avoiding places that have betting or gambling (OR 5.46).</w:t>
      </w:r>
    </w:p>
    <w:p w14:paraId="003C6C68" w14:textId="77777777" w:rsidR="00DD2ADA" w:rsidRPr="0029469A" w:rsidRDefault="00DD2ADA" w:rsidP="00DD2ADA">
      <w:pPr>
        <w:jc w:val="both"/>
      </w:pPr>
    </w:p>
    <w:p w14:paraId="5EE4BC4A" w14:textId="77777777" w:rsidR="006A4763" w:rsidRPr="00FE791A" w:rsidRDefault="006A4763" w:rsidP="006A4763">
      <w:pPr>
        <w:jc w:val="both"/>
      </w:pPr>
      <w:r w:rsidRPr="00FE791A">
        <w:t>Risk factors for Māori that were not found for the total population were:</w:t>
      </w:r>
    </w:p>
    <w:p w14:paraId="0731DD36" w14:textId="2DAF77B4" w:rsidR="00DD2ADA" w:rsidRPr="00FE791A" w:rsidRDefault="00DD2ADA" w:rsidP="00DD2ADA">
      <w:pPr>
        <w:pStyle w:val="ListParagraph"/>
        <w:numPr>
          <w:ilvl w:val="0"/>
          <w:numId w:val="71"/>
        </w:numPr>
        <w:contextualSpacing/>
        <w:jc w:val="both"/>
      </w:pPr>
      <w:r w:rsidRPr="00FE791A">
        <w:t>Being a current tobacco smoker</w:t>
      </w:r>
      <w:r w:rsidR="00DE3127" w:rsidRPr="00FE791A">
        <w:t xml:space="preserve"> vs. being a non-smoker</w:t>
      </w:r>
      <w:r w:rsidRPr="00FE791A">
        <w:t xml:space="preserve"> (OR 1.63)</w:t>
      </w:r>
    </w:p>
    <w:p w14:paraId="1F00281A" w14:textId="3F8FEDF0" w:rsidR="00DD2ADA" w:rsidRPr="00FE791A" w:rsidRDefault="00DD2ADA" w:rsidP="00DD2ADA">
      <w:pPr>
        <w:pStyle w:val="ListParagraph"/>
        <w:numPr>
          <w:ilvl w:val="0"/>
          <w:numId w:val="71"/>
        </w:numPr>
        <w:contextualSpacing/>
        <w:jc w:val="both"/>
      </w:pPr>
      <w:r w:rsidRPr="00FE791A">
        <w:t xml:space="preserve">Regularly gambling on continuous activities </w:t>
      </w:r>
      <w:r w:rsidR="00DE3127" w:rsidRPr="00FE791A">
        <w:t xml:space="preserve">vs. infrequent gambling </w:t>
      </w:r>
      <w:r w:rsidRPr="00FE791A">
        <w:t>(OR 2.68)</w:t>
      </w:r>
    </w:p>
    <w:p w14:paraId="640F2BDC" w14:textId="0FA7D6D9" w:rsidR="00DD2ADA" w:rsidRPr="00FE791A" w:rsidRDefault="00DD2ADA" w:rsidP="00DD2ADA">
      <w:pPr>
        <w:pStyle w:val="ListParagraph"/>
        <w:numPr>
          <w:ilvl w:val="0"/>
          <w:numId w:val="71"/>
        </w:numPr>
        <w:contextualSpacing/>
        <w:jc w:val="both"/>
      </w:pPr>
      <w:r w:rsidRPr="00FE791A">
        <w:t>Gambling on pub EGMs for more than 30 minutes in a typical day</w:t>
      </w:r>
      <w:r w:rsidR="00DE3127" w:rsidRPr="00FE791A">
        <w:t xml:space="preserve"> vs. not gambling on pub EGMs</w:t>
      </w:r>
      <w:r w:rsidRPr="00FE791A">
        <w:t xml:space="preserve"> (OR 2.63 to 5.20).</w:t>
      </w:r>
    </w:p>
    <w:p w14:paraId="35127C87" w14:textId="77777777" w:rsidR="00DD2ADA" w:rsidRPr="00FE791A" w:rsidRDefault="00DD2ADA" w:rsidP="00DD2ADA">
      <w:pPr>
        <w:jc w:val="both"/>
      </w:pPr>
    </w:p>
    <w:p w14:paraId="6A039756" w14:textId="51C9D5A8" w:rsidR="006A4763" w:rsidRPr="00FE791A" w:rsidRDefault="006A4763" w:rsidP="006A4763">
      <w:pPr>
        <w:jc w:val="both"/>
      </w:pPr>
      <w:r w:rsidRPr="00FE791A">
        <w:t>Risk factors for Pacific people that were not found for the total population were:</w:t>
      </w:r>
    </w:p>
    <w:p w14:paraId="303AFDD1" w14:textId="5FCA6A24" w:rsidR="00DD2ADA" w:rsidRPr="0029469A" w:rsidRDefault="00DD2ADA" w:rsidP="00DD2ADA">
      <w:pPr>
        <w:pStyle w:val="ListParagraph"/>
        <w:numPr>
          <w:ilvl w:val="0"/>
          <w:numId w:val="72"/>
        </w:numPr>
        <w:contextualSpacing/>
        <w:jc w:val="both"/>
      </w:pPr>
      <w:r w:rsidRPr="00FE791A">
        <w:t>Gambling annually or more often on text games or competitions</w:t>
      </w:r>
      <w:r w:rsidR="00CF6D75" w:rsidRPr="00FE791A">
        <w:t xml:space="preserve"> vs. not gambling on</w:t>
      </w:r>
      <w:r w:rsidR="00CF6D75" w:rsidRPr="0029469A">
        <w:t xml:space="preserve"> these activities</w:t>
      </w:r>
      <w:r w:rsidRPr="0029469A">
        <w:t xml:space="preserve"> (OR 3.87)</w:t>
      </w:r>
    </w:p>
    <w:p w14:paraId="6227F73E" w14:textId="7356CB68" w:rsidR="00DD2ADA" w:rsidRPr="0029469A" w:rsidRDefault="00DD2ADA" w:rsidP="00DD2ADA">
      <w:pPr>
        <w:pStyle w:val="ListParagraph"/>
        <w:numPr>
          <w:ilvl w:val="0"/>
          <w:numId w:val="72"/>
        </w:numPr>
        <w:contextualSpacing/>
        <w:jc w:val="both"/>
      </w:pPr>
      <w:r w:rsidRPr="0029469A">
        <w:t>Gambling monthly or more often on housie/bingo (OR 3.71) and horse/dog race betting (OR 4.27)</w:t>
      </w:r>
      <w:r w:rsidR="00CF6D75" w:rsidRPr="0029469A">
        <w:t xml:space="preserve"> vs. not gambling on these activities</w:t>
      </w:r>
    </w:p>
    <w:p w14:paraId="3244E7D5" w14:textId="63C636EF" w:rsidR="00DD2ADA" w:rsidRPr="0029469A" w:rsidRDefault="00DD2ADA" w:rsidP="00DD2ADA">
      <w:pPr>
        <w:pStyle w:val="ListParagraph"/>
        <w:numPr>
          <w:ilvl w:val="0"/>
          <w:numId w:val="72"/>
        </w:numPr>
        <w:contextualSpacing/>
        <w:jc w:val="both"/>
      </w:pPr>
      <w:r w:rsidRPr="0029469A">
        <w:t>Gambling on pub EGMs for more than 30 minutes in a typical day</w:t>
      </w:r>
      <w:r w:rsidR="00CF6D75" w:rsidRPr="0029469A">
        <w:t xml:space="preserve"> vs. not gambling on pub EGMs</w:t>
      </w:r>
      <w:r w:rsidRPr="0029469A">
        <w:t xml:space="preserve"> (OR 4.48 to 6.81)</w:t>
      </w:r>
    </w:p>
    <w:p w14:paraId="187E95D9" w14:textId="46366D3A" w:rsidR="00DD2ADA" w:rsidRPr="0029469A" w:rsidRDefault="00DD2ADA" w:rsidP="00DD2ADA">
      <w:pPr>
        <w:pStyle w:val="ListParagraph"/>
        <w:numPr>
          <w:ilvl w:val="0"/>
          <w:numId w:val="72"/>
        </w:numPr>
        <w:contextualSpacing/>
        <w:jc w:val="both"/>
      </w:pPr>
      <w:r w:rsidRPr="0029469A">
        <w:t>Gambling on casino EGMs for more than 60 minutes in a typical day</w:t>
      </w:r>
      <w:r w:rsidR="00CF6D75" w:rsidRPr="0029469A">
        <w:t xml:space="preserve"> vs. not gambling on casino EGMs</w:t>
      </w:r>
      <w:r w:rsidRPr="0029469A">
        <w:t xml:space="preserve"> (OR 4.19).</w:t>
      </w:r>
    </w:p>
    <w:p w14:paraId="4B47538A" w14:textId="77777777" w:rsidR="00DD2ADA" w:rsidRPr="0029469A" w:rsidRDefault="00DD2ADA" w:rsidP="00DD2ADA">
      <w:pPr>
        <w:pStyle w:val="ListParagraph"/>
        <w:jc w:val="both"/>
      </w:pPr>
    </w:p>
    <w:p w14:paraId="0A5CA755" w14:textId="77777777" w:rsidR="00DD2ADA" w:rsidRPr="0029469A" w:rsidRDefault="00DD2ADA" w:rsidP="00DD2ADA">
      <w:pPr>
        <w:pStyle w:val="ListParagraph"/>
        <w:jc w:val="both"/>
      </w:pPr>
    </w:p>
    <w:p w14:paraId="1F8C2553" w14:textId="77777777" w:rsidR="00DD2ADA" w:rsidRPr="0029469A" w:rsidRDefault="00DD2ADA" w:rsidP="00DD2ADA">
      <w:pPr>
        <w:keepNext/>
        <w:jc w:val="both"/>
      </w:pPr>
      <w:r w:rsidRPr="0029469A">
        <w:rPr>
          <w:b/>
          <w:i/>
        </w:rPr>
        <w:t>Factors associated with a lower chance of being a risky gambler were ethnicity, income and gambling at least once in the past year</w:t>
      </w:r>
    </w:p>
    <w:p w14:paraId="5E809287" w14:textId="77777777" w:rsidR="00DD2ADA" w:rsidRPr="0029469A" w:rsidRDefault="00DD2ADA" w:rsidP="00DD2ADA">
      <w:pPr>
        <w:keepNext/>
        <w:jc w:val="both"/>
      </w:pPr>
    </w:p>
    <w:p w14:paraId="058239C9" w14:textId="77777777" w:rsidR="00DD2ADA" w:rsidRPr="0029469A" w:rsidRDefault="00DD2ADA" w:rsidP="00DD2ADA">
      <w:pPr>
        <w:keepNext/>
        <w:jc w:val="both"/>
      </w:pPr>
      <w:r w:rsidRPr="0029469A">
        <w:t xml:space="preserve">Factors significantly </w:t>
      </w:r>
      <w:r w:rsidR="009E2656" w:rsidRPr="0029469A">
        <w:t xml:space="preserve">independently </w:t>
      </w:r>
      <w:r w:rsidRPr="0029469A">
        <w:t>associated (in multiple logistic regression analyses) with a lower chance of being a low-risk/moderate-risk/problem gambler vs. being a non-problem gambler/non-gambler across 2012 to 2015 were:</w:t>
      </w:r>
    </w:p>
    <w:p w14:paraId="6FEF8758" w14:textId="31093452" w:rsidR="00DD2ADA" w:rsidRPr="0029469A" w:rsidRDefault="00DD2ADA" w:rsidP="00DD2ADA">
      <w:pPr>
        <w:pStyle w:val="ListParagraph"/>
        <w:numPr>
          <w:ilvl w:val="0"/>
          <w:numId w:val="69"/>
        </w:numPr>
        <w:contextualSpacing/>
        <w:jc w:val="both"/>
      </w:pPr>
      <w:r w:rsidRPr="0029469A">
        <w:t>Being of Asian ethnicity</w:t>
      </w:r>
      <w:r w:rsidR="00CF6D75" w:rsidRPr="0029469A">
        <w:t xml:space="preserve"> vs. being of European/Other ethnicity</w:t>
      </w:r>
      <w:r w:rsidRPr="0029469A">
        <w:t xml:space="preserve"> (OR 0.53)</w:t>
      </w:r>
    </w:p>
    <w:p w14:paraId="53282511" w14:textId="4928F6FE" w:rsidR="00DD2ADA" w:rsidRPr="0029469A" w:rsidRDefault="00DD2ADA" w:rsidP="00DD2ADA">
      <w:pPr>
        <w:pStyle w:val="ListParagraph"/>
        <w:numPr>
          <w:ilvl w:val="0"/>
          <w:numId w:val="69"/>
        </w:numPr>
        <w:contextualSpacing/>
        <w:jc w:val="both"/>
      </w:pPr>
      <w:r w:rsidRPr="0029469A">
        <w:t>Having an annual household income higher than $40,000</w:t>
      </w:r>
      <w:r w:rsidR="00CF6D75" w:rsidRPr="0029469A">
        <w:t xml:space="preserve"> vs. $40,000 or less</w:t>
      </w:r>
      <w:r w:rsidRPr="0029469A">
        <w:t xml:space="preserve"> (OR 0.56 to 0.63)</w:t>
      </w:r>
    </w:p>
    <w:p w14:paraId="4622DECF" w14:textId="439859DF" w:rsidR="00DD2ADA" w:rsidRPr="0029469A" w:rsidRDefault="00DD2ADA" w:rsidP="00DD2ADA">
      <w:pPr>
        <w:pStyle w:val="ListParagraph"/>
        <w:numPr>
          <w:ilvl w:val="0"/>
          <w:numId w:val="69"/>
        </w:numPr>
        <w:contextualSpacing/>
        <w:jc w:val="both"/>
      </w:pPr>
      <w:r w:rsidRPr="0029469A">
        <w:t>Gambling at least once in the prior year</w:t>
      </w:r>
      <w:r w:rsidR="00CF6D75" w:rsidRPr="0029469A">
        <w:t xml:space="preserve"> vs. at least weekly</w:t>
      </w:r>
      <w:r w:rsidRPr="0029469A">
        <w:t xml:space="preserve"> (OR 0.27).</w:t>
      </w:r>
    </w:p>
    <w:p w14:paraId="42CA78AD" w14:textId="77777777" w:rsidR="00DD2ADA" w:rsidRPr="0029469A" w:rsidRDefault="00DD2ADA" w:rsidP="00DD2ADA">
      <w:pPr>
        <w:jc w:val="both"/>
      </w:pPr>
    </w:p>
    <w:p w14:paraId="47165D45" w14:textId="5CD7401C" w:rsidR="006A4763" w:rsidRPr="00754F59" w:rsidRDefault="006A4763" w:rsidP="006A4763">
      <w:pPr>
        <w:jc w:val="both"/>
      </w:pPr>
      <w:r w:rsidRPr="00FE791A">
        <w:t>Risk factor for Māori that was not found for the total population was:</w:t>
      </w:r>
    </w:p>
    <w:p w14:paraId="2C2323C4" w14:textId="46BC938F" w:rsidR="00DD2ADA" w:rsidRPr="0029469A" w:rsidRDefault="00DD2ADA" w:rsidP="00DD2ADA">
      <w:pPr>
        <w:pStyle w:val="ListParagraph"/>
        <w:numPr>
          <w:ilvl w:val="0"/>
          <w:numId w:val="74"/>
        </w:numPr>
        <w:contextualSpacing/>
        <w:jc w:val="both"/>
      </w:pPr>
      <w:r w:rsidRPr="0029469A">
        <w:t>Not using drugs</w:t>
      </w:r>
      <w:r w:rsidR="00CF6D75" w:rsidRPr="0029469A">
        <w:t xml:space="preserve"> vs. using drugs</w:t>
      </w:r>
      <w:r w:rsidRPr="0029469A">
        <w:t xml:space="preserve"> (OR 0.63).</w:t>
      </w:r>
    </w:p>
    <w:p w14:paraId="706BE000" w14:textId="77777777" w:rsidR="006A4763" w:rsidRPr="006A4763" w:rsidRDefault="006A4763" w:rsidP="0036362B">
      <w:pPr>
        <w:pStyle w:val="ListParagraph"/>
        <w:jc w:val="both"/>
      </w:pPr>
    </w:p>
    <w:p w14:paraId="48C368DC" w14:textId="563A4BDF" w:rsidR="006A4763" w:rsidRPr="00754F59" w:rsidRDefault="006A4763" w:rsidP="006A4763">
      <w:pPr>
        <w:jc w:val="both"/>
      </w:pPr>
      <w:r w:rsidRPr="00FE791A">
        <w:t>Risk factor for Pacific people that was not found for the total population was:</w:t>
      </w:r>
    </w:p>
    <w:p w14:paraId="396F57B3" w14:textId="4B759CBB" w:rsidR="00DD2ADA" w:rsidRPr="00754F59" w:rsidRDefault="00DD2ADA" w:rsidP="0029469A">
      <w:pPr>
        <w:pStyle w:val="ListParagraph"/>
        <w:keepNext/>
        <w:numPr>
          <w:ilvl w:val="0"/>
          <w:numId w:val="73"/>
        </w:numPr>
        <w:contextualSpacing/>
        <w:jc w:val="both"/>
      </w:pPr>
      <w:r w:rsidRPr="00754F59">
        <w:t xml:space="preserve">Highest educational achievement was at secondary school or tertiary level </w:t>
      </w:r>
      <w:r w:rsidR="00CF6D75" w:rsidRPr="00754F59">
        <w:t xml:space="preserve">vs. no formal qualification </w:t>
      </w:r>
      <w:r w:rsidRPr="00754F59">
        <w:t>(OR 0.51, 0.28).</w:t>
      </w:r>
    </w:p>
    <w:p w14:paraId="7F844CCF" w14:textId="77777777" w:rsidR="00DD2ADA" w:rsidRPr="00754F59" w:rsidRDefault="00DD2ADA" w:rsidP="00DD2ADA">
      <w:pPr>
        <w:jc w:val="both"/>
      </w:pPr>
    </w:p>
    <w:p w14:paraId="118398CA" w14:textId="77777777" w:rsidR="00DD2ADA" w:rsidRPr="00754F59" w:rsidRDefault="00DD2ADA" w:rsidP="00DD2ADA">
      <w:pPr>
        <w:jc w:val="both"/>
      </w:pPr>
    </w:p>
    <w:p w14:paraId="00892CF7" w14:textId="77777777" w:rsidR="00DD2ADA" w:rsidRPr="00754F59" w:rsidRDefault="00DD2ADA" w:rsidP="0036521D">
      <w:pPr>
        <w:keepNext/>
        <w:jc w:val="both"/>
      </w:pPr>
      <w:r w:rsidRPr="00754F59">
        <w:rPr>
          <w:b/>
          <w:i/>
        </w:rPr>
        <w:t>Risk factors for being a moderate-risk/problem gambler were ethnicity, deprivation, psychological distress and various gambling behaviours</w:t>
      </w:r>
    </w:p>
    <w:p w14:paraId="298EC052" w14:textId="77777777" w:rsidR="00DD2ADA" w:rsidRPr="00754F59" w:rsidRDefault="00DD2ADA" w:rsidP="0036521D">
      <w:pPr>
        <w:keepNext/>
        <w:jc w:val="both"/>
      </w:pPr>
    </w:p>
    <w:p w14:paraId="6474D34B" w14:textId="77777777" w:rsidR="00DD2ADA" w:rsidRPr="00754F59" w:rsidRDefault="00DD2ADA" w:rsidP="0036521D">
      <w:pPr>
        <w:keepNext/>
        <w:jc w:val="both"/>
      </w:pPr>
      <w:r w:rsidRPr="00754F59">
        <w:t xml:space="preserve">Statistically significant </w:t>
      </w:r>
      <w:r w:rsidR="009E2656" w:rsidRPr="00754F59">
        <w:t xml:space="preserve">independent </w:t>
      </w:r>
      <w:r w:rsidRPr="00754F59">
        <w:t>risk factors associated (in multiple logistic regression analyses) with being a moderate-risk/problem gambler vs. being a low-risk/non-problem gambler/non-gambler across 2012 to 2015 were:</w:t>
      </w:r>
    </w:p>
    <w:p w14:paraId="70DAD0DA" w14:textId="7A4A1680" w:rsidR="00DD2ADA" w:rsidRPr="00754F59" w:rsidRDefault="00DD2ADA" w:rsidP="00DD2ADA">
      <w:pPr>
        <w:pStyle w:val="ListParagraph"/>
        <w:numPr>
          <w:ilvl w:val="0"/>
          <w:numId w:val="70"/>
        </w:numPr>
        <w:contextualSpacing/>
        <w:jc w:val="both"/>
      </w:pPr>
      <w:r w:rsidRPr="00754F59">
        <w:t>Being of Māori ethnicity</w:t>
      </w:r>
      <w:r w:rsidR="00811E0C" w:rsidRPr="00754F59">
        <w:t xml:space="preserve"> vs. being of European/Other ethnicity</w:t>
      </w:r>
      <w:r w:rsidRPr="00754F59">
        <w:t xml:space="preserve"> (OR 2.41)</w:t>
      </w:r>
    </w:p>
    <w:p w14:paraId="158B333C" w14:textId="074E2045" w:rsidR="00DD2ADA" w:rsidRPr="00754F59" w:rsidRDefault="00DD2ADA" w:rsidP="00DD2ADA">
      <w:pPr>
        <w:pStyle w:val="ListParagraph"/>
        <w:numPr>
          <w:ilvl w:val="0"/>
          <w:numId w:val="70"/>
        </w:numPr>
        <w:contextualSpacing/>
        <w:jc w:val="both"/>
      </w:pPr>
      <w:r w:rsidRPr="00754F59">
        <w:t>Experiencing one (OR 2.96) or 3 or more (OR 5.67) individual levels of deprivation</w:t>
      </w:r>
      <w:r w:rsidR="00811E0C" w:rsidRPr="00754F59">
        <w:t xml:space="preserve"> vs. no deprivation</w:t>
      </w:r>
      <w:r w:rsidRPr="00754F59">
        <w:t xml:space="preserve"> </w:t>
      </w:r>
    </w:p>
    <w:p w14:paraId="183937FA" w14:textId="5B389C9B" w:rsidR="00DD2ADA" w:rsidRPr="00754F59" w:rsidRDefault="00DD2ADA" w:rsidP="00DD2ADA">
      <w:pPr>
        <w:pStyle w:val="ListParagraph"/>
        <w:numPr>
          <w:ilvl w:val="0"/>
          <w:numId w:val="70"/>
        </w:numPr>
        <w:contextualSpacing/>
        <w:jc w:val="both"/>
      </w:pPr>
      <w:r w:rsidRPr="00754F59">
        <w:t>Experiencing moderate (OR 3.41), high (OR 18.08) or severe (OR 2.27) levels of psychological distress</w:t>
      </w:r>
      <w:r w:rsidR="00811E0C" w:rsidRPr="00754F59">
        <w:t xml:space="preserve"> vs. a low level</w:t>
      </w:r>
      <w:r w:rsidRPr="00754F59">
        <w:t>.</w:t>
      </w:r>
    </w:p>
    <w:p w14:paraId="6625279E" w14:textId="77777777" w:rsidR="00DD2ADA" w:rsidRPr="00754F59" w:rsidRDefault="00DD2ADA" w:rsidP="00DD2ADA">
      <w:pPr>
        <w:jc w:val="both"/>
      </w:pPr>
    </w:p>
    <w:p w14:paraId="3A6DC246" w14:textId="77777777" w:rsidR="00DD2ADA" w:rsidRPr="00754F59" w:rsidRDefault="00DD2ADA" w:rsidP="00DD2ADA">
      <w:pPr>
        <w:jc w:val="both"/>
      </w:pPr>
      <w:r w:rsidRPr="00754F59">
        <w:t>Gambling-related risk factors were:</w:t>
      </w:r>
    </w:p>
    <w:p w14:paraId="1FC2C429" w14:textId="25DCC039" w:rsidR="00DD2ADA" w:rsidRPr="00754F59" w:rsidRDefault="00DD2ADA" w:rsidP="00DD2ADA">
      <w:pPr>
        <w:pStyle w:val="ListParagraph"/>
        <w:numPr>
          <w:ilvl w:val="0"/>
          <w:numId w:val="70"/>
        </w:numPr>
        <w:contextualSpacing/>
        <w:jc w:val="both"/>
      </w:pPr>
      <w:r w:rsidRPr="00754F59">
        <w:t xml:space="preserve">Gambling at least monthly on card games, sports betting, EGMs, and playing on gambling-type games not for money </w:t>
      </w:r>
      <w:r w:rsidR="00811E0C" w:rsidRPr="00754F59">
        <w:t xml:space="preserve">vs. not participating in these activities </w:t>
      </w:r>
      <w:r w:rsidRPr="00754F59">
        <w:t>(OR 2.25 to 7.60)</w:t>
      </w:r>
    </w:p>
    <w:p w14:paraId="0DEC0C60" w14:textId="20C72359" w:rsidR="00DD2ADA" w:rsidRPr="00754F59" w:rsidRDefault="00DD2ADA" w:rsidP="00DD2ADA">
      <w:pPr>
        <w:pStyle w:val="ListParagraph"/>
        <w:numPr>
          <w:ilvl w:val="0"/>
          <w:numId w:val="70"/>
        </w:numPr>
        <w:contextualSpacing/>
        <w:jc w:val="both"/>
      </w:pPr>
      <w:r w:rsidRPr="00754F59">
        <w:t>Gambling regularly on continuous activities</w:t>
      </w:r>
      <w:r w:rsidR="00811E0C" w:rsidRPr="00754F59">
        <w:t xml:space="preserve"> vs. infrequent gambling</w:t>
      </w:r>
      <w:r w:rsidRPr="00754F59">
        <w:t xml:space="preserve"> (OR 3.16)</w:t>
      </w:r>
    </w:p>
    <w:p w14:paraId="33A36A2F" w14:textId="093D4F18" w:rsidR="00DD2ADA" w:rsidRPr="00754F59" w:rsidRDefault="00DD2ADA" w:rsidP="00DD2ADA">
      <w:pPr>
        <w:pStyle w:val="ListParagraph"/>
        <w:numPr>
          <w:ilvl w:val="0"/>
          <w:numId w:val="70"/>
        </w:numPr>
        <w:contextualSpacing/>
        <w:jc w:val="both"/>
      </w:pPr>
      <w:r w:rsidRPr="00754F59">
        <w:t>Having a typical monthly gambling expenditure of more than $50</w:t>
      </w:r>
      <w:r w:rsidR="00811E0C" w:rsidRPr="00754F59">
        <w:t xml:space="preserve"> vs. $20 or less (OR </w:t>
      </w:r>
      <w:r w:rsidRPr="00754F59">
        <w:t>4.51)</w:t>
      </w:r>
    </w:p>
    <w:p w14:paraId="1F2D6677" w14:textId="10100318" w:rsidR="00DD2ADA" w:rsidRPr="00754F59" w:rsidRDefault="00DD2ADA" w:rsidP="00DD2ADA">
      <w:pPr>
        <w:pStyle w:val="ListParagraph"/>
        <w:numPr>
          <w:ilvl w:val="0"/>
          <w:numId w:val="70"/>
        </w:numPr>
        <w:contextualSpacing/>
        <w:jc w:val="both"/>
      </w:pPr>
      <w:r w:rsidRPr="00754F59">
        <w:t>Gambling on casino (OR 3.27) or pub (OR 11.48) EGMs for more than 60 minutes in a typical day</w:t>
      </w:r>
      <w:r w:rsidR="00811E0C" w:rsidRPr="00754F59">
        <w:t xml:space="preserve"> vs. not gambling on EGMs in these venues</w:t>
      </w:r>
    </w:p>
    <w:p w14:paraId="2BC0B175" w14:textId="51536C1C" w:rsidR="00DD2ADA" w:rsidRPr="00754F59" w:rsidRDefault="00DD2ADA" w:rsidP="00DD2ADA">
      <w:pPr>
        <w:pStyle w:val="ListParagraph"/>
        <w:numPr>
          <w:ilvl w:val="0"/>
          <w:numId w:val="70"/>
        </w:numPr>
        <w:contextualSpacing/>
        <w:jc w:val="both"/>
      </w:pPr>
      <w:r w:rsidRPr="00754F59">
        <w:t>Various methods for controlling gambling behaviour</w:t>
      </w:r>
      <w:r w:rsidR="00811E0C" w:rsidRPr="00754F59">
        <w:t xml:space="preserve"> vs. not doing these things</w:t>
      </w:r>
      <w:r w:rsidRPr="00754F59">
        <w:t>:</w:t>
      </w:r>
    </w:p>
    <w:p w14:paraId="1A64A142" w14:textId="77777777" w:rsidR="00DD2ADA" w:rsidRPr="00754F59" w:rsidRDefault="00DD2ADA" w:rsidP="00DD2ADA">
      <w:pPr>
        <w:pStyle w:val="ListParagraph"/>
        <w:numPr>
          <w:ilvl w:val="1"/>
          <w:numId w:val="70"/>
        </w:numPr>
        <w:contextualSpacing/>
        <w:jc w:val="both"/>
      </w:pPr>
      <w:r w:rsidRPr="00754F59">
        <w:t>Leaving ATM and credit cards at home (OR 4.26)</w:t>
      </w:r>
    </w:p>
    <w:p w14:paraId="218B2CF5" w14:textId="77777777" w:rsidR="00DD2ADA" w:rsidRPr="00754F59" w:rsidRDefault="00DD2ADA" w:rsidP="00DD2ADA">
      <w:pPr>
        <w:pStyle w:val="ListParagraph"/>
        <w:numPr>
          <w:ilvl w:val="1"/>
          <w:numId w:val="70"/>
        </w:numPr>
        <w:contextualSpacing/>
        <w:jc w:val="both"/>
      </w:pPr>
      <w:r w:rsidRPr="00754F59">
        <w:t>Avoiding places that have betting or gambling (OR 4.78).</w:t>
      </w:r>
    </w:p>
    <w:p w14:paraId="73486D85" w14:textId="77777777" w:rsidR="00DD2ADA" w:rsidRPr="00754F59" w:rsidRDefault="00DD2ADA" w:rsidP="00DD2ADA">
      <w:pPr>
        <w:jc w:val="both"/>
      </w:pPr>
    </w:p>
    <w:p w14:paraId="3C9E8233" w14:textId="2243C6C8" w:rsidR="00DD2ADA" w:rsidRPr="00FE791A" w:rsidRDefault="006A4763" w:rsidP="00DD2ADA">
      <w:pPr>
        <w:jc w:val="both"/>
      </w:pPr>
      <w:r w:rsidRPr="00FE791A">
        <w:t xml:space="preserve">Risk factors for </w:t>
      </w:r>
      <w:r w:rsidR="00DD2ADA" w:rsidRPr="00FE791A">
        <w:t>Māori</w:t>
      </w:r>
      <w:r w:rsidRPr="00FE791A">
        <w:t xml:space="preserve"> that were</w:t>
      </w:r>
      <w:r w:rsidR="00DD2ADA" w:rsidRPr="00FE791A">
        <w:t xml:space="preserve"> n</w:t>
      </w:r>
      <w:r w:rsidRPr="00FE791A">
        <w:t>ot found for the total population</w:t>
      </w:r>
      <w:r w:rsidR="00DD2ADA" w:rsidRPr="00FE791A">
        <w:t xml:space="preserve"> were:</w:t>
      </w:r>
    </w:p>
    <w:p w14:paraId="27F5B42C" w14:textId="7F92921E" w:rsidR="00DD2ADA" w:rsidRPr="00FE791A" w:rsidRDefault="00DD2ADA" w:rsidP="00DD2ADA">
      <w:pPr>
        <w:pStyle w:val="ListParagraph"/>
        <w:numPr>
          <w:ilvl w:val="0"/>
          <w:numId w:val="71"/>
        </w:numPr>
        <w:contextualSpacing/>
        <w:jc w:val="both"/>
      </w:pPr>
      <w:r w:rsidRPr="00FE791A">
        <w:t xml:space="preserve">Gambling monthly or more often on pub EGMs </w:t>
      </w:r>
      <w:r w:rsidR="00811E0C" w:rsidRPr="00FE791A">
        <w:t xml:space="preserve">(OR 2.77) </w:t>
      </w:r>
      <w:r w:rsidRPr="00FE791A">
        <w:t>and horse/dog race betting</w:t>
      </w:r>
      <w:r w:rsidR="00811E0C" w:rsidRPr="00FE791A">
        <w:t xml:space="preserve"> (OR 3.04) vs. not gambling on these activities</w:t>
      </w:r>
    </w:p>
    <w:p w14:paraId="180DC711" w14:textId="70682139" w:rsidR="00DD2ADA" w:rsidRPr="00FE791A" w:rsidRDefault="00DD2ADA" w:rsidP="00DD2ADA">
      <w:pPr>
        <w:pStyle w:val="ListParagraph"/>
        <w:numPr>
          <w:ilvl w:val="0"/>
          <w:numId w:val="71"/>
        </w:numPr>
        <w:contextualSpacing/>
        <w:jc w:val="both"/>
      </w:pPr>
      <w:r w:rsidRPr="00FE791A">
        <w:t>Gamb</w:t>
      </w:r>
      <w:r w:rsidR="00DD0EB2" w:rsidRPr="00FE791A">
        <w:t>ling on pub EGMs for more than 6</w:t>
      </w:r>
      <w:r w:rsidRPr="00FE791A">
        <w:t>0 minutes in a typical day</w:t>
      </w:r>
      <w:r w:rsidR="00811E0C" w:rsidRPr="00FE791A">
        <w:t xml:space="preserve"> vs. not gambling on pub EGMs (OR </w:t>
      </w:r>
      <w:r w:rsidR="00DD0EB2" w:rsidRPr="00FE791A">
        <w:t>4.79)</w:t>
      </w:r>
    </w:p>
    <w:p w14:paraId="639A8ACD" w14:textId="65CF72DA" w:rsidR="00DD2ADA" w:rsidRPr="00FE791A" w:rsidRDefault="00DD2ADA" w:rsidP="00DD2ADA">
      <w:pPr>
        <w:pStyle w:val="ListParagraph"/>
        <w:numPr>
          <w:ilvl w:val="0"/>
          <w:numId w:val="71"/>
        </w:numPr>
        <w:contextualSpacing/>
        <w:jc w:val="both"/>
      </w:pPr>
      <w:r w:rsidRPr="00FE791A">
        <w:t>Separating money for betting from other money and stopping when it is used</w:t>
      </w:r>
      <w:r w:rsidR="00DD0EB2" w:rsidRPr="00FE791A">
        <w:t xml:space="preserve"> vs. not doing this (OR 3.75)</w:t>
      </w:r>
      <w:r w:rsidRPr="00FE791A">
        <w:t>.</w:t>
      </w:r>
    </w:p>
    <w:p w14:paraId="3ACBBA15" w14:textId="77777777" w:rsidR="00DD2ADA" w:rsidRPr="00FE791A" w:rsidRDefault="00DD2ADA" w:rsidP="00DD2ADA">
      <w:pPr>
        <w:jc w:val="both"/>
      </w:pPr>
    </w:p>
    <w:p w14:paraId="4A041319" w14:textId="5610A99F" w:rsidR="006A4763" w:rsidRPr="00754F59" w:rsidRDefault="006A4763" w:rsidP="006A4763">
      <w:pPr>
        <w:ind w:left="66"/>
        <w:jc w:val="both"/>
      </w:pPr>
      <w:r w:rsidRPr="00FE791A">
        <w:t>Risk factor for Pacific people that was not found for the total population was:</w:t>
      </w:r>
    </w:p>
    <w:p w14:paraId="26C20945" w14:textId="6FBAC382" w:rsidR="00DD2ADA" w:rsidRPr="00754F59" w:rsidRDefault="00DD2ADA" w:rsidP="00DD2ADA">
      <w:pPr>
        <w:pStyle w:val="ListParagraph"/>
        <w:numPr>
          <w:ilvl w:val="0"/>
          <w:numId w:val="72"/>
        </w:numPr>
        <w:contextualSpacing/>
        <w:jc w:val="both"/>
      </w:pPr>
      <w:r w:rsidRPr="00754F59">
        <w:t>Gambling at least weekly</w:t>
      </w:r>
      <w:r w:rsidR="00DD0EB2" w:rsidRPr="00754F59">
        <w:t xml:space="preserve"> vs. at least once in the prior year (OR</w:t>
      </w:r>
      <w:r w:rsidR="00BD5D90" w:rsidRPr="00754F59">
        <w:t xml:space="preserve"> 3.43)</w:t>
      </w:r>
      <w:r w:rsidRPr="00754F59">
        <w:t>.</w:t>
      </w:r>
    </w:p>
    <w:p w14:paraId="7CEA60C6" w14:textId="77777777" w:rsidR="00DD2ADA" w:rsidRPr="00754F59" w:rsidRDefault="00DD2ADA" w:rsidP="00DD2ADA">
      <w:pPr>
        <w:jc w:val="both"/>
      </w:pPr>
    </w:p>
    <w:p w14:paraId="468F7B6C" w14:textId="77777777" w:rsidR="00DD2ADA" w:rsidRPr="00754F59" w:rsidRDefault="00DD2ADA" w:rsidP="00DD2ADA">
      <w:pPr>
        <w:jc w:val="both"/>
      </w:pPr>
    </w:p>
    <w:p w14:paraId="097EC2DE" w14:textId="77777777" w:rsidR="00DD2ADA" w:rsidRPr="00754F59" w:rsidRDefault="00DD2ADA" w:rsidP="00DD2ADA">
      <w:pPr>
        <w:keepNext/>
        <w:jc w:val="both"/>
      </w:pPr>
      <w:r w:rsidRPr="00754F59">
        <w:rPr>
          <w:b/>
          <w:i/>
        </w:rPr>
        <w:t>Factors associated with a lower chance of being a moderate-risk/problem gambler were ethnicity and quality of life</w:t>
      </w:r>
    </w:p>
    <w:p w14:paraId="5F066FF3" w14:textId="77777777" w:rsidR="00DD2ADA" w:rsidRPr="00754F59" w:rsidRDefault="00DD2ADA" w:rsidP="00DD2ADA">
      <w:pPr>
        <w:keepNext/>
        <w:jc w:val="both"/>
      </w:pPr>
    </w:p>
    <w:p w14:paraId="1501AB0D" w14:textId="77777777" w:rsidR="00DD2ADA" w:rsidRPr="00754F59" w:rsidRDefault="00DD2ADA" w:rsidP="00DD2ADA">
      <w:pPr>
        <w:keepNext/>
        <w:jc w:val="both"/>
      </w:pPr>
      <w:r w:rsidRPr="00754F59">
        <w:t xml:space="preserve">Factors significantly </w:t>
      </w:r>
      <w:r w:rsidR="009E2656" w:rsidRPr="00754F59">
        <w:t xml:space="preserve">independently </w:t>
      </w:r>
      <w:r w:rsidRPr="00754F59">
        <w:t>associated (in multiple logistic regression analyses) with a lower chance of being a moderate-risk/problem gambler vs. being a low-risk/non-problem gambler/non-gambler across 2012 to 2015 were:</w:t>
      </w:r>
    </w:p>
    <w:p w14:paraId="7C0BC92B" w14:textId="6C30FCB4" w:rsidR="00DD2ADA" w:rsidRPr="00754F59" w:rsidRDefault="00DD2ADA" w:rsidP="00DD2ADA">
      <w:pPr>
        <w:pStyle w:val="ListParagraph"/>
        <w:numPr>
          <w:ilvl w:val="0"/>
          <w:numId w:val="69"/>
        </w:numPr>
        <w:contextualSpacing/>
        <w:jc w:val="both"/>
      </w:pPr>
      <w:r w:rsidRPr="00754F59">
        <w:t>Being of Asian ethnicity</w:t>
      </w:r>
      <w:r w:rsidR="00F91DAF" w:rsidRPr="00754F59">
        <w:t xml:space="preserve"> vs. being of European/Other ethnicity</w:t>
      </w:r>
      <w:r w:rsidRPr="00754F59">
        <w:t xml:space="preserve"> (OR 0.28)</w:t>
      </w:r>
    </w:p>
    <w:p w14:paraId="6B316058" w14:textId="2E5B660D" w:rsidR="00DD2ADA" w:rsidRPr="00754F59" w:rsidRDefault="00DD2ADA" w:rsidP="00DD2ADA">
      <w:pPr>
        <w:pStyle w:val="ListParagraph"/>
        <w:numPr>
          <w:ilvl w:val="0"/>
          <w:numId w:val="69"/>
        </w:numPr>
        <w:contextualSpacing/>
        <w:jc w:val="both"/>
      </w:pPr>
      <w:r w:rsidRPr="00754F59">
        <w:t>Having a quality of life above the median level</w:t>
      </w:r>
      <w:r w:rsidR="00F91DAF" w:rsidRPr="00754F59">
        <w:t xml:space="preserve"> vs. below median</w:t>
      </w:r>
      <w:r w:rsidRPr="00754F59">
        <w:t xml:space="preserve"> (OR 0.35).</w:t>
      </w:r>
    </w:p>
    <w:p w14:paraId="6049F532" w14:textId="77777777" w:rsidR="00DD2ADA" w:rsidRDefault="00DD2ADA" w:rsidP="00DD2ADA">
      <w:pPr>
        <w:jc w:val="both"/>
      </w:pPr>
    </w:p>
    <w:p w14:paraId="1050684B" w14:textId="59EEAB97" w:rsidR="00DD2ADA" w:rsidRDefault="00DD2ADA" w:rsidP="00DD2ADA">
      <w:pPr>
        <w:jc w:val="both"/>
      </w:pPr>
      <w:r w:rsidRPr="00FE791A">
        <w:t xml:space="preserve">There were no </w:t>
      </w:r>
      <w:r w:rsidR="006A4763" w:rsidRPr="00FE791A">
        <w:t xml:space="preserve">additional risk factors for </w:t>
      </w:r>
      <w:r w:rsidRPr="00FE791A">
        <w:t>Māori</w:t>
      </w:r>
      <w:r w:rsidR="006A4763" w:rsidRPr="00FE791A">
        <w:t xml:space="preserve"> </w:t>
      </w:r>
      <w:r w:rsidRPr="00FE791A">
        <w:t xml:space="preserve">or </w:t>
      </w:r>
      <w:r w:rsidR="006A4763" w:rsidRPr="00FE791A">
        <w:t>Pacific people</w:t>
      </w:r>
      <w:r w:rsidRPr="00FE791A">
        <w:t xml:space="preserve"> associated with a lower chance</w:t>
      </w:r>
      <w:r>
        <w:t xml:space="preserve"> of being a moderate-risk/problem gambler.</w:t>
      </w:r>
    </w:p>
    <w:p w14:paraId="77BDB2A6" w14:textId="77777777" w:rsidR="00DD2ADA" w:rsidRDefault="00DD2ADA" w:rsidP="00DD2ADA">
      <w:pPr>
        <w:jc w:val="both"/>
      </w:pPr>
    </w:p>
    <w:p w14:paraId="437B8D5B" w14:textId="77777777" w:rsidR="00DD2ADA" w:rsidRDefault="00DD2ADA" w:rsidP="00DD2ADA">
      <w:pPr>
        <w:jc w:val="both"/>
      </w:pPr>
    </w:p>
    <w:p w14:paraId="75EAAA0E" w14:textId="77777777" w:rsidR="00DD2ADA" w:rsidRDefault="00DD2ADA" w:rsidP="00DD2ADA">
      <w:pPr>
        <w:jc w:val="both"/>
      </w:pPr>
      <w:r>
        <w:rPr>
          <w:b/>
          <w:i/>
        </w:rPr>
        <w:t>People were less likely to recover from moderate-risk/problem gambling if they gambled monthly on Instant Kiwi, track betting and club EGMs</w:t>
      </w:r>
    </w:p>
    <w:p w14:paraId="468ADEA9" w14:textId="77777777" w:rsidR="00DD2ADA" w:rsidRDefault="00DD2ADA" w:rsidP="00DD2ADA">
      <w:pPr>
        <w:jc w:val="both"/>
      </w:pPr>
    </w:p>
    <w:p w14:paraId="588CD1BC" w14:textId="77777777" w:rsidR="00DD2ADA" w:rsidRDefault="00DD2ADA" w:rsidP="00DD2ADA">
      <w:pPr>
        <w:jc w:val="both"/>
      </w:pPr>
      <w:r>
        <w:t>People who recovered from moderate-risk/problem gambling were those who were moderate-risk/ problem gamblers in 2012, who then transitioned out of these risk levels to lower levels (or stopped gambling) and remained at the lower levels in 2013, 2014 and 2015.</w:t>
      </w:r>
    </w:p>
    <w:p w14:paraId="2D56F90F" w14:textId="77777777" w:rsidR="00DD2ADA" w:rsidRDefault="00DD2ADA" w:rsidP="00DD2ADA">
      <w:pPr>
        <w:jc w:val="both"/>
      </w:pPr>
    </w:p>
    <w:p w14:paraId="7C9D6D2B" w14:textId="0366C07E" w:rsidR="00DD2ADA" w:rsidRPr="00754F59" w:rsidRDefault="00DD2ADA" w:rsidP="00DD2ADA">
      <w:pPr>
        <w:jc w:val="both"/>
      </w:pPr>
      <w:r w:rsidRPr="00754F59">
        <w:t xml:space="preserve">Factors significantly </w:t>
      </w:r>
      <w:r w:rsidR="009E2656" w:rsidRPr="00754F59">
        <w:t xml:space="preserve">independently </w:t>
      </w:r>
      <w:r w:rsidRPr="00754F59">
        <w:t>associated (in multiple logistic regression analyses) with less likelihood of recovery (in other words, were more likely to remain as moderate-risk/</w:t>
      </w:r>
      <w:r w:rsidR="009E2656" w:rsidRPr="00754F59">
        <w:t xml:space="preserve"> </w:t>
      </w:r>
      <w:r w:rsidRPr="00754F59">
        <w:t>problem gamblers) were gambling monthly or more often on Instant Kiwi or other scratch tickets (OR 0.06), on horse and dog race betting (OR 0.04), and on club EGMs (OR 0.05)</w:t>
      </w:r>
      <w:r w:rsidR="00F91DAF" w:rsidRPr="00754F59">
        <w:t xml:space="preserve"> vs. not gambling on these activities</w:t>
      </w:r>
      <w:r w:rsidRPr="00754F59">
        <w:t>.</w:t>
      </w:r>
    </w:p>
    <w:p w14:paraId="3E71F7B8" w14:textId="77777777" w:rsidR="00DD2ADA" w:rsidRPr="00754F59" w:rsidRDefault="00DD2ADA" w:rsidP="00DD2ADA">
      <w:pPr>
        <w:jc w:val="both"/>
      </w:pPr>
    </w:p>
    <w:p w14:paraId="3539134E" w14:textId="77777777" w:rsidR="00DD2ADA" w:rsidRPr="00754F59" w:rsidRDefault="00DD2ADA" w:rsidP="00DD2ADA">
      <w:pPr>
        <w:jc w:val="both"/>
      </w:pPr>
    </w:p>
    <w:p w14:paraId="69A6596C" w14:textId="77777777" w:rsidR="00DD2ADA" w:rsidRPr="00754F59" w:rsidRDefault="00DD2ADA" w:rsidP="00DD2ADA">
      <w:pPr>
        <w:jc w:val="both"/>
      </w:pPr>
      <w:r w:rsidRPr="00754F59">
        <w:rPr>
          <w:b/>
          <w:i/>
        </w:rPr>
        <w:t>People were more likely to relapse into moderate-risk/problem gambling if they gambled annually on housie or overseas internet gambling, or monthly on Instant Kiwi or casino EGMs</w:t>
      </w:r>
    </w:p>
    <w:p w14:paraId="2DC16604" w14:textId="77777777" w:rsidR="00DD2ADA" w:rsidRPr="00754F59" w:rsidRDefault="00DD2ADA" w:rsidP="00DD2ADA">
      <w:pPr>
        <w:jc w:val="both"/>
      </w:pPr>
    </w:p>
    <w:p w14:paraId="6F7382DD" w14:textId="77777777" w:rsidR="00DD2ADA" w:rsidRPr="00754F59" w:rsidRDefault="00DD2ADA" w:rsidP="00DD2ADA">
      <w:pPr>
        <w:jc w:val="both"/>
      </w:pPr>
      <w:r w:rsidRPr="00754F59">
        <w:t>People who relapsed into moderate-risk/problem gambling were those who were moderate-risk/ problem gamblers in 2012, were not at these risk levels in 2013, but who then became moderate-risk/ problem gamblers again in 2014 and/or 2015.</w:t>
      </w:r>
    </w:p>
    <w:p w14:paraId="3D704934" w14:textId="77777777" w:rsidR="00DD2ADA" w:rsidRPr="00754F59" w:rsidRDefault="00DD2ADA" w:rsidP="00DD2ADA">
      <w:pPr>
        <w:jc w:val="both"/>
      </w:pPr>
      <w:r w:rsidRPr="00754F59">
        <w:t>Factors significantly associated (in multiple logistic regression analyses) with greater likelihood of relapse were:</w:t>
      </w:r>
    </w:p>
    <w:p w14:paraId="17B51F8B" w14:textId="17F344FE" w:rsidR="00DD2ADA" w:rsidRPr="00754F59" w:rsidRDefault="00DD2ADA" w:rsidP="00DD2ADA">
      <w:pPr>
        <w:pStyle w:val="ListParagraph"/>
        <w:numPr>
          <w:ilvl w:val="0"/>
          <w:numId w:val="75"/>
        </w:numPr>
        <w:contextualSpacing/>
        <w:jc w:val="both"/>
      </w:pPr>
      <w:r w:rsidRPr="00754F59">
        <w:t>Gambling annually or more often on housie/bingo (OR 21.90) or overseas internet gambling (OR 23.74)</w:t>
      </w:r>
      <w:r w:rsidR="00F91DAF" w:rsidRPr="00754F59">
        <w:t xml:space="preserve"> vs. not gambling on these activities</w:t>
      </w:r>
    </w:p>
    <w:p w14:paraId="1A87CE32" w14:textId="19773C62" w:rsidR="00DD2ADA" w:rsidRPr="00754F59" w:rsidRDefault="00DD2ADA" w:rsidP="00DD2ADA">
      <w:pPr>
        <w:pStyle w:val="ListParagraph"/>
        <w:numPr>
          <w:ilvl w:val="0"/>
          <w:numId w:val="75"/>
        </w:numPr>
        <w:contextualSpacing/>
        <w:jc w:val="both"/>
      </w:pPr>
      <w:r w:rsidRPr="00754F59">
        <w:t>Gambling monthly or more often on Instant Kiwi or other scratch tickets (OR 11.38) and on casino EGMs (OR 16.08)</w:t>
      </w:r>
      <w:r w:rsidR="00F91DAF" w:rsidRPr="00754F59">
        <w:t xml:space="preserve"> vs. not gambling on these activities</w:t>
      </w:r>
    </w:p>
    <w:p w14:paraId="66FE1E91" w14:textId="53852FF4" w:rsidR="00DD2ADA" w:rsidRPr="00754F59" w:rsidRDefault="00DD2ADA" w:rsidP="00DD2ADA">
      <w:pPr>
        <w:pStyle w:val="ListParagraph"/>
        <w:numPr>
          <w:ilvl w:val="0"/>
          <w:numId w:val="75"/>
        </w:numPr>
        <w:contextualSpacing/>
        <w:jc w:val="both"/>
      </w:pPr>
      <w:r w:rsidRPr="00754F59">
        <w:t>Separated betting money from other money and stopped gambling when it was used up</w:t>
      </w:r>
      <w:r w:rsidR="00F91DAF" w:rsidRPr="00754F59">
        <w:t xml:space="preserve"> vs. not doing this</w:t>
      </w:r>
      <w:r w:rsidRPr="00754F59">
        <w:t xml:space="preserve"> (OR 12.41).</w:t>
      </w:r>
    </w:p>
    <w:p w14:paraId="3DE788AD" w14:textId="77777777" w:rsidR="00DD2ADA" w:rsidRPr="00754F59" w:rsidRDefault="00DD2ADA" w:rsidP="00DD2ADA">
      <w:pPr>
        <w:jc w:val="both"/>
      </w:pPr>
    </w:p>
    <w:p w14:paraId="7673332E" w14:textId="77777777" w:rsidR="00DD2ADA" w:rsidRPr="00754F59" w:rsidRDefault="00DD2ADA" w:rsidP="00DD2ADA">
      <w:pPr>
        <w:jc w:val="both"/>
      </w:pPr>
    </w:p>
    <w:p w14:paraId="3C7F5FDA" w14:textId="77777777" w:rsidR="00DD2ADA" w:rsidRPr="00754F59" w:rsidRDefault="00DD2ADA" w:rsidP="00DD2ADA">
      <w:pPr>
        <w:jc w:val="both"/>
      </w:pPr>
      <w:r w:rsidRPr="00754F59">
        <w:rPr>
          <w:b/>
        </w:rPr>
        <w:t>Implications</w:t>
      </w:r>
    </w:p>
    <w:p w14:paraId="7D8CF6A6" w14:textId="77777777" w:rsidR="00DD2ADA" w:rsidRPr="00754F59" w:rsidRDefault="00DD2ADA" w:rsidP="00DD2ADA">
      <w:pPr>
        <w:jc w:val="both"/>
      </w:pPr>
    </w:p>
    <w:p w14:paraId="23DF30F2" w14:textId="77777777" w:rsidR="00DD2ADA" w:rsidRPr="00754F59" w:rsidRDefault="00DD2ADA" w:rsidP="00DD2ADA">
      <w:pPr>
        <w:jc w:val="both"/>
      </w:pPr>
      <w:r w:rsidRPr="00754F59">
        <w:t>From 2012 to 2015, overall gambling participation has declined whilst problem gambling and low-risk and moderate-risk gambling levels have remained static.  This poses a public health challenge of identifying the factors to explain the persistence of harm despite declining gambling participation.  One reason may be a high relapse rate.  If this is the case, greater attention is required for relapse prevention in public health and treatment programmes.</w:t>
      </w:r>
    </w:p>
    <w:p w14:paraId="44658A75" w14:textId="77777777" w:rsidR="00DD2ADA" w:rsidRPr="00754F59" w:rsidRDefault="00DD2ADA" w:rsidP="00DD2ADA">
      <w:pPr>
        <w:jc w:val="both"/>
      </w:pPr>
    </w:p>
    <w:p w14:paraId="067D7C7B" w14:textId="77777777" w:rsidR="00DD2ADA" w:rsidRPr="0025790C" w:rsidRDefault="00DD2ADA" w:rsidP="00DD2ADA">
      <w:pPr>
        <w:jc w:val="both"/>
      </w:pPr>
      <w:r w:rsidRPr="00754F59">
        <w:t xml:space="preserve">Māori and Pacific people continue to have very high problem gambling prevalence rates.  This means that unless more </w:t>
      </w:r>
      <w:r w:rsidR="00C96E8D" w:rsidRPr="00754F59">
        <w:t>focus is placed on understanding why this is the case, and processes put in place to change the current situation</w:t>
      </w:r>
      <w:r w:rsidRPr="00754F59">
        <w:t>, Māori and Pacific communities will continue to be disproportionately affected by gambling-related harm.</w:t>
      </w:r>
      <w:r>
        <w:t xml:space="preserve">  </w:t>
      </w:r>
    </w:p>
    <w:p w14:paraId="171D2339" w14:textId="77777777" w:rsidR="005E40E4" w:rsidRDefault="005E40E4" w:rsidP="00794E8C">
      <w:pPr>
        <w:jc w:val="both"/>
        <w:rPr>
          <w:szCs w:val="22"/>
        </w:rPr>
      </w:pPr>
    </w:p>
    <w:p w14:paraId="53DCFF72" w14:textId="77777777" w:rsidR="0046000D" w:rsidRDefault="0046000D" w:rsidP="0046000D">
      <w:pPr>
        <w:jc w:val="both"/>
        <w:rPr>
          <w:szCs w:val="22"/>
        </w:rPr>
      </w:pPr>
    </w:p>
    <w:p w14:paraId="6040AC07" w14:textId="77777777" w:rsidR="00F25301" w:rsidRDefault="00F25301" w:rsidP="000D2315">
      <w:pPr>
        <w:pStyle w:val="Heading10"/>
        <w:pBdr>
          <w:top w:val="single" w:sz="4" w:space="1" w:color="auto"/>
          <w:left w:val="single" w:sz="4" w:space="4" w:color="auto"/>
          <w:bottom w:val="single" w:sz="4" w:space="1" w:color="auto"/>
          <w:right w:val="single" w:sz="4" w:space="4" w:color="auto"/>
        </w:pBdr>
        <w:shd w:val="clear" w:color="auto" w:fill="E0E0E0"/>
        <w:rPr>
          <w:rFonts w:cs="Times New Roman"/>
          <w:sz w:val="22"/>
          <w:szCs w:val="22"/>
        </w:rPr>
      </w:pPr>
      <w:bookmarkStart w:id="11" w:name="_Toc109453376"/>
      <w:r>
        <w:rPr>
          <w:rFonts w:cs="Times New Roman"/>
          <w:sz w:val="22"/>
          <w:szCs w:val="22"/>
        </w:rPr>
        <w:br w:type="page"/>
      </w:r>
    </w:p>
    <w:p w14:paraId="2C146CCC" w14:textId="77777777" w:rsidR="0046000D" w:rsidRPr="000D1CF7" w:rsidRDefault="005E40E4" w:rsidP="000D1CF7">
      <w:pPr>
        <w:pStyle w:val="RepHead1"/>
      </w:pPr>
      <w:bookmarkStart w:id="12" w:name="_Toc504488328"/>
      <w:bookmarkEnd w:id="11"/>
      <w:r>
        <w:t>OVERVIEW AND PURPOSE</w:t>
      </w:r>
      <w:bookmarkEnd w:id="12"/>
    </w:p>
    <w:p w14:paraId="269EA94D" w14:textId="77777777" w:rsidR="0046000D" w:rsidRDefault="0046000D" w:rsidP="000D1CF7">
      <w:pPr>
        <w:pStyle w:val="RepNormal"/>
      </w:pPr>
      <w:bookmarkStart w:id="13" w:name="_Toc109453377"/>
    </w:p>
    <w:p w14:paraId="2FD1A49F" w14:textId="77777777" w:rsidR="005E40E4" w:rsidRDefault="005E40E4" w:rsidP="005E40E4">
      <w:pPr>
        <w:pStyle w:val="RepHead2"/>
      </w:pPr>
      <w:bookmarkStart w:id="14" w:name="_Toc504488329"/>
      <w:r>
        <w:t>Introduction</w:t>
      </w:r>
      <w:bookmarkEnd w:id="14"/>
    </w:p>
    <w:p w14:paraId="18A543B4" w14:textId="77777777" w:rsidR="005E40E4" w:rsidRDefault="005E40E4" w:rsidP="00D63AD8">
      <w:pPr>
        <w:jc w:val="both"/>
        <w:rPr>
          <w:szCs w:val="22"/>
        </w:rPr>
      </w:pPr>
    </w:p>
    <w:p w14:paraId="1722FF00" w14:textId="77777777" w:rsidR="00D63AD8" w:rsidRDefault="003E6834" w:rsidP="00D63AD8">
      <w:pPr>
        <w:jc w:val="both"/>
        <w:rPr>
          <w:szCs w:val="22"/>
        </w:rPr>
      </w:pPr>
      <w:r w:rsidRPr="003E6834">
        <w:rPr>
          <w:szCs w:val="22"/>
        </w:rPr>
        <w:t>The New Zealand National Gambling Study (NGS)</w:t>
      </w:r>
      <w:r w:rsidR="00AA75EE">
        <w:rPr>
          <w:szCs w:val="22"/>
        </w:rPr>
        <w:t>,</w:t>
      </w:r>
      <w:r w:rsidRPr="003E6834">
        <w:rPr>
          <w:szCs w:val="22"/>
        </w:rPr>
        <w:t xml:space="preserve"> a nationally representative prospective survey of adults </w:t>
      </w:r>
      <w:r w:rsidR="00AA75EE">
        <w:rPr>
          <w:szCs w:val="22"/>
        </w:rPr>
        <w:t>(</w:t>
      </w:r>
      <w:r w:rsidRPr="003E6834">
        <w:rPr>
          <w:szCs w:val="22"/>
        </w:rPr>
        <w:t>18 years and older</w:t>
      </w:r>
      <w:r w:rsidR="00AA75EE">
        <w:rPr>
          <w:szCs w:val="22"/>
        </w:rPr>
        <w:t>),</w:t>
      </w:r>
      <w:r w:rsidRPr="003E6834">
        <w:rPr>
          <w:szCs w:val="22"/>
        </w:rPr>
        <w:t xml:space="preserve"> provid</w:t>
      </w:r>
      <w:r w:rsidR="00AA75EE">
        <w:rPr>
          <w:szCs w:val="22"/>
        </w:rPr>
        <w:t>es</w:t>
      </w:r>
      <w:r w:rsidRPr="003E6834">
        <w:rPr>
          <w:szCs w:val="22"/>
        </w:rPr>
        <w:t xml:space="preserve"> information on the prevalence, </w:t>
      </w:r>
      <w:r w:rsidR="00830238">
        <w:rPr>
          <w:szCs w:val="22"/>
        </w:rPr>
        <w:t xml:space="preserve">incidence, </w:t>
      </w:r>
      <w:r w:rsidRPr="003E6834">
        <w:rPr>
          <w:szCs w:val="22"/>
        </w:rPr>
        <w:t>nature and effects of gamb</w:t>
      </w:r>
      <w:r w:rsidR="00512B32">
        <w:rPr>
          <w:szCs w:val="22"/>
        </w:rPr>
        <w:t>ling in New Zealand.  It employed</w:t>
      </w:r>
      <w:r w:rsidRPr="003E6834">
        <w:rPr>
          <w:szCs w:val="22"/>
        </w:rPr>
        <w:t xml:space="preserve"> a face-to-face household recruitment methodology with data collected via computer-assisted personal interviews (CAPI).  </w:t>
      </w:r>
      <w:r w:rsidR="006A0318">
        <w:rPr>
          <w:szCs w:val="22"/>
        </w:rPr>
        <w:t xml:space="preserve">Baseline </w:t>
      </w:r>
      <w:r w:rsidR="00AA75EE">
        <w:rPr>
          <w:szCs w:val="22"/>
        </w:rPr>
        <w:t>data were collected</w:t>
      </w:r>
      <w:r w:rsidR="00D63AD8">
        <w:rPr>
          <w:szCs w:val="22"/>
        </w:rPr>
        <w:t xml:space="preserve"> in 2012 (Wave 1)</w:t>
      </w:r>
      <w:r w:rsidR="000F3B65">
        <w:rPr>
          <w:szCs w:val="22"/>
        </w:rPr>
        <w:t>,</w:t>
      </w:r>
      <w:r w:rsidR="00D63AD8">
        <w:rPr>
          <w:szCs w:val="22"/>
        </w:rPr>
        <w:t xml:space="preserve"> </w:t>
      </w:r>
      <w:r w:rsidR="00AA75EE">
        <w:rPr>
          <w:szCs w:val="22"/>
        </w:rPr>
        <w:t>with annual re-assessment of the</w:t>
      </w:r>
      <w:r w:rsidR="00D63AD8">
        <w:rPr>
          <w:szCs w:val="22"/>
        </w:rPr>
        <w:t xml:space="preserve"> same participants </w:t>
      </w:r>
      <w:r w:rsidR="00AA75EE">
        <w:rPr>
          <w:szCs w:val="22"/>
        </w:rPr>
        <w:t>over the subsequent three years (until 2015)</w:t>
      </w:r>
      <w:r w:rsidR="00D63AD8">
        <w:rPr>
          <w:szCs w:val="22"/>
        </w:rPr>
        <w:t xml:space="preserve">.  The Wave 1 sample comprised </w:t>
      </w:r>
      <w:r w:rsidR="00D63AD8" w:rsidRPr="00D63AD8">
        <w:rPr>
          <w:szCs w:val="22"/>
        </w:rPr>
        <w:t xml:space="preserve">6,251 </w:t>
      </w:r>
      <w:r>
        <w:rPr>
          <w:szCs w:val="22"/>
        </w:rPr>
        <w:t>adults</w:t>
      </w:r>
      <w:r w:rsidR="00AA75EE">
        <w:rPr>
          <w:szCs w:val="22"/>
        </w:rPr>
        <w:t xml:space="preserve"> and</w:t>
      </w:r>
      <w:r w:rsidR="00DC55A5" w:rsidRPr="00D63AD8">
        <w:rPr>
          <w:szCs w:val="22"/>
        </w:rPr>
        <w:t xml:space="preserve"> was a multi-stage, stratified, probability</w:t>
      </w:r>
      <w:r w:rsidR="006F05FA">
        <w:rPr>
          <w:szCs w:val="22"/>
        </w:rPr>
        <w:t>-</w:t>
      </w:r>
      <w:r w:rsidR="00DC55A5" w:rsidRPr="00D63AD8">
        <w:rPr>
          <w:szCs w:val="22"/>
        </w:rPr>
        <w:t>proportional</w:t>
      </w:r>
      <w:r w:rsidR="006F05FA">
        <w:rPr>
          <w:szCs w:val="22"/>
        </w:rPr>
        <w:t>-</w:t>
      </w:r>
      <w:r w:rsidR="00DC55A5" w:rsidRPr="00D63AD8">
        <w:rPr>
          <w:szCs w:val="22"/>
        </w:rPr>
        <w:t>to</w:t>
      </w:r>
      <w:r w:rsidR="006F05FA">
        <w:rPr>
          <w:szCs w:val="22"/>
        </w:rPr>
        <w:t>-</w:t>
      </w:r>
      <w:r w:rsidR="00DC55A5" w:rsidRPr="00D63AD8">
        <w:rPr>
          <w:szCs w:val="22"/>
        </w:rPr>
        <w:t>size sample</w:t>
      </w:r>
      <w:r w:rsidR="00DC55A5">
        <w:rPr>
          <w:szCs w:val="22"/>
        </w:rPr>
        <w:t xml:space="preserve"> with</w:t>
      </w:r>
      <w:r w:rsidR="00DC55A5" w:rsidRPr="00D63AD8">
        <w:rPr>
          <w:szCs w:val="22"/>
        </w:rPr>
        <w:t xml:space="preserve"> </w:t>
      </w:r>
      <w:r w:rsidR="00DC55A5">
        <w:rPr>
          <w:szCs w:val="22"/>
        </w:rPr>
        <w:t xml:space="preserve">over-sampling of </w:t>
      </w:r>
      <w:r w:rsidR="00DC55A5" w:rsidRPr="00D63AD8">
        <w:rPr>
          <w:szCs w:val="22"/>
        </w:rPr>
        <w:t>M</w:t>
      </w:r>
      <w:r w:rsidR="006F05FA">
        <w:rPr>
          <w:szCs w:val="22"/>
        </w:rPr>
        <w:t>āori, Pacific people and Asian people</w:t>
      </w:r>
      <w:r w:rsidR="00DC55A5" w:rsidRPr="00D63AD8">
        <w:rPr>
          <w:szCs w:val="22"/>
        </w:rPr>
        <w:t xml:space="preserve">.  </w:t>
      </w:r>
      <w:r w:rsidR="00AA75EE">
        <w:rPr>
          <w:szCs w:val="22"/>
        </w:rPr>
        <w:t xml:space="preserve">The number of participants re-interviewed in subsequent waves was: </w:t>
      </w:r>
      <w:r w:rsidR="00DC55A5" w:rsidRPr="00D63AD8">
        <w:rPr>
          <w:szCs w:val="22"/>
        </w:rPr>
        <w:t xml:space="preserve">3,745 </w:t>
      </w:r>
      <w:r w:rsidR="00AA75EE">
        <w:rPr>
          <w:szCs w:val="22"/>
        </w:rPr>
        <w:t xml:space="preserve">in Wave 2 (2013), </w:t>
      </w:r>
      <w:r w:rsidR="00DC55A5">
        <w:rPr>
          <w:szCs w:val="22"/>
        </w:rPr>
        <w:t xml:space="preserve">3,115 </w:t>
      </w:r>
      <w:r w:rsidR="00721490">
        <w:rPr>
          <w:szCs w:val="22"/>
        </w:rPr>
        <w:t>in Wave </w:t>
      </w:r>
      <w:r w:rsidR="00DC55A5">
        <w:rPr>
          <w:szCs w:val="22"/>
        </w:rPr>
        <w:t>3 (</w:t>
      </w:r>
      <w:r w:rsidR="00AA75EE">
        <w:rPr>
          <w:szCs w:val="22"/>
        </w:rPr>
        <w:t>2014</w:t>
      </w:r>
      <w:r w:rsidR="00DC55A5">
        <w:rPr>
          <w:szCs w:val="22"/>
        </w:rPr>
        <w:t>)</w:t>
      </w:r>
      <w:r w:rsidR="000F3B65">
        <w:rPr>
          <w:szCs w:val="22"/>
        </w:rPr>
        <w:t xml:space="preserve"> and 2,770 in Wave 4</w:t>
      </w:r>
      <w:r w:rsidR="00AA75EE">
        <w:rPr>
          <w:szCs w:val="22"/>
        </w:rPr>
        <w:t xml:space="preserve"> (2015).</w:t>
      </w:r>
    </w:p>
    <w:p w14:paraId="349D55BA" w14:textId="77777777" w:rsidR="00AA75EE" w:rsidRDefault="00AA75EE" w:rsidP="00D63AD8">
      <w:pPr>
        <w:jc w:val="both"/>
        <w:rPr>
          <w:szCs w:val="22"/>
        </w:rPr>
      </w:pPr>
    </w:p>
    <w:p w14:paraId="12EE994A" w14:textId="77777777" w:rsidR="00D63AD8" w:rsidRPr="00512B32" w:rsidRDefault="00721490" w:rsidP="00D63AD8">
      <w:pPr>
        <w:jc w:val="both"/>
        <w:rPr>
          <w:szCs w:val="22"/>
        </w:rPr>
      </w:pPr>
      <w:r>
        <w:rPr>
          <w:szCs w:val="22"/>
        </w:rPr>
        <w:t xml:space="preserve">The same questionnaire (with a few minor </w:t>
      </w:r>
      <w:r w:rsidR="0096082A">
        <w:rPr>
          <w:szCs w:val="22"/>
        </w:rPr>
        <w:t>adjustments</w:t>
      </w:r>
      <w:r>
        <w:rPr>
          <w:szCs w:val="22"/>
        </w:rPr>
        <w:t>) was used in all four waves so that</w:t>
      </w:r>
      <w:r w:rsidRPr="00512B32">
        <w:rPr>
          <w:szCs w:val="22"/>
        </w:rPr>
        <w:t xml:space="preserve"> change</w:t>
      </w:r>
      <w:r>
        <w:rPr>
          <w:szCs w:val="22"/>
        </w:rPr>
        <w:t>s</w:t>
      </w:r>
      <w:r w:rsidRPr="00512B32">
        <w:rPr>
          <w:szCs w:val="22"/>
        </w:rPr>
        <w:t xml:space="preserve"> over time </w:t>
      </w:r>
      <w:r>
        <w:rPr>
          <w:szCs w:val="22"/>
        </w:rPr>
        <w:t xml:space="preserve">could be measured </w:t>
      </w:r>
      <w:r w:rsidRPr="00512B32">
        <w:rPr>
          <w:szCs w:val="22"/>
        </w:rPr>
        <w:t>and factors predictive of change in gambling and problem gambling</w:t>
      </w:r>
      <w:r>
        <w:rPr>
          <w:szCs w:val="22"/>
        </w:rPr>
        <w:t xml:space="preserve"> could be identified.  It incorporated</w:t>
      </w:r>
      <w:r w:rsidR="00512B32">
        <w:rPr>
          <w:szCs w:val="22"/>
        </w:rPr>
        <w:t xml:space="preserve"> a range of </w:t>
      </w:r>
      <w:r w:rsidR="00D63AD8" w:rsidRPr="00512B32">
        <w:rPr>
          <w:szCs w:val="22"/>
        </w:rPr>
        <w:t xml:space="preserve">measures </w:t>
      </w:r>
      <w:r w:rsidR="00512B32">
        <w:rPr>
          <w:szCs w:val="22"/>
        </w:rPr>
        <w:t>including</w:t>
      </w:r>
      <w:r w:rsidR="00D63AD8" w:rsidRPr="00512B32">
        <w:rPr>
          <w:szCs w:val="22"/>
        </w:rPr>
        <w:t xml:space="preserve"> gambling participation, gambling strategies and cognitions, gambling attitudes, </w:t>
      </w:r>
      <w:r w:rsidR="00512B32" w:rsidRPr="00512B32">
        <w:rPr>
          <w:szCs w:val="22"/>
        </w:rPr>
        <w:t>problem gambling</w:t>
      </w:r>
      <w:r w:rsidR="00512B32">
        <w:rPr>
          <w:szCs w:val="22"/>
        </w:rPr>
        <w:t xml:space="preserve">, </w:t>
      </w:r>
      <w:r w:rsidR="00D63AD8" w:rsidRPr="00512B32">
        <w:rPr>
          <w:szCs w:val="22"/>
        </w:rPr>
        <w:t>health and well-being, psychological status, substance use/misuse, life events, social capital/support</w:t>
      </w:r>
      <w:r w:rsidR="004D1A95">
        <w:rPr>
          <w:szCs w:val="22"/>
        </w:rPr>
        <w:t xml:space="preserve"> and demographic information</w:t>
      </w:r>
      <w:r w:rsidR="00D63AD8" w:rsidRPr="00512B32">
        <w:rPr>
          <w:szCs w:val="22"/>
        </w:rPr>
        <w:t xml:space="preserve">.  </w:t>
      </w:r>
      <w:r>
        <w:rPr>
          <w:szCs w:val="22"/>
        </w:rPr>
        <w:t xml:space="preserve">The questionnaire was designed to be as similar as </w:t>
      </w:r>
      <w:r w:rsidR="00220484">
        <w:rPr>
          <w:szCs w:val="22"/>
        </w:rPr>
        <w:t>possible</w:t>
      </w:r>
      <w:r>
        <w:rPr>
          <w:szCs w:val="22"/>
        </w:rPr>
        <w:t xml:space="preserve"> to </w:t>
      </w:r>
      <w:r w:rsidR="00D63AD8" w:rsidRPr="00512B32">
        <w:rPr>
          <w:szCs w:val="22"/>
        </w:rPr>
        <w:t xml:space="preserve">previous </w:t>
      </w:r>
      <w:r>
        <w:rPr>
          <w:szCs w:val="22"/>
        </w:rPr>
        <w:t>national</w:t>
      </w:r>
      <w:r w:rsidR="00D63AD8" w:rsidRPr="00512B32">
        <w:rPr>
          <w:szCs w:val="22"/>
        </w:rPr>
        <w:t xml:space="preserve"> and international gambling </w:t>
      </w:r>
      <w:r>
        <w:rPr>
          <w:szCs w:val="22"/>
        </w:rPr>
        <w:t>surveys</w:t>
      </w:r>
      <w:r w:rsidR="00D63AD8" w:rsidRPr="00512B32">
        <w:rPr>
          <w:szCs w:val="22"/>
        </w:rPr>
        <w:t xml:space="preserve">, </w:t>
      </w:r>
      <w:r>
        <w:rPr>
          <w:szCs w:val="22"/>
        </w:rPr>
        <w:t>enabling</w:t>
      </w:r>
      <w:r w:rsidR="00D63AD8" w:rsidRPr="00512B32">
        <w:rPr>
          <w:szCs w:val="22"/>
        </w:rPr>
        <w:t xml:space="preserve"> comparison</w:t>
      </w:r>
      <w:r>
        <w:rPr>
          <w:szCs w:val="22"/>
        </w:rPr>
        <w:t>s of results</w:t>
      </w:r>
      <w:r w:rsidR="00D63AD8" w:rsidRPr="00512B32">
        <w:rPr>
          <w:szCs w:val="22"/>
        </w:rPr>
        <w:t xml:space="preserve"> </w:t>
      </w:r>
      <w:r>
        <w:rPr>
          <w:szCs w:val="22"/>
        </w:rPr>
        <w:t xml:space="preserve">between the NGS and </w:t>
      </w:r>
      <w:r w:rsidR="006A0318">
        <w:rPr>
          <w:szCs w:val="22"/>
        </w:rPr>
        <w:t xml:space="preserve">those </w:t>
      </w:r>
      <w:r>
        <w:rPr>
          <w:szCs w:val="22"/>
        </w:rPr>
        <w:t>other surveys.</w:t>
      </w:r>
    </w:p>
    <w:p w14:paraId="667B61C1" w14:textId="77777777" w:rsidR="00A97391" w:rsidRDefault="00A97391" w:rsidP="00A97391">
      <w:pPr>
        <w:jc w:val="both"/>
        <w:rPr>
          <w:szCs w:val="22"/>
        </w:rPr>
      </w:pPr>
    </w:p>
    <w:p w14:paraId="266219F5" w14:textId="77777777" w:rsidR="00A97391" w:rsidRDefault="00721490" w:rsidP="00A97391">
      <w:pPr>
        <w:jc w:val="both"/>
        <w:rPr>
          <w:szCs w:val="22"/>
        </w:rPr>
      </w:pPr>
      <w:r w:rsidRPr="003B2AA5">
        <w:rPr>
          <w:szCs w:val="22"/>
        </w:rPr>
        <w:t>An additional cohort of 10</w:t>
      </w:r>
      <w:r w:rsidR="00C82F90">
        <w:rPr>
          <w:szCs w:val="22"/>
        </w:rPr>
        <w:t>6</w:t>
      </w:r>
      <w:r w:rsidRPr="003B2AA5">
        <w:rPr>
          <w:szCs w:val="22"/>
        </w:rPr>
        <w:t xml:space="preserve"> moderate-risk and problem gamblers was </w:t>
      </w:r>
      <w:r>
        <w:rPr>
          <w:szCs w:val="22"/>
        </w:rPr>
        <w:t>recruited</w:t>
      </w:r>
      <w:r w:rsidRPr="003B2AA5">
        <w:rPr>
          <w:szCs w:val="22"/>
        </w:rPr>
        <w:t xml:space="preserve"> </w:t>
      </w:r>
      <w:r w:rsidRPr="002C6186">
        <w:rPr>
          <w:szCs w:val="22"/>
        </w:rPr>
        <w:t>from gambling venues and via advertisements</w:t>
      </w:r>
      <w:r>
        <w:rPr>
          <w:szCs w:val="22"/>
        </w:rPr>
        <w:t xml:space="preserve"> in </w:t>
      </w:r>
      <w:r w:rsidRPr="003B2AA5">
        <w:rPr>
          <w:szCs w:val="22"/>
        </w:rPr>
        <w:t>Wave 3</w:t>
      </w:r>
      <w:r>
        <w:rPr>
          <w:szCs w:val="22"/>
        </w:rPr>
        <w:t xml:space="preserve"> (2014) and re-assessed in Wave 4 (2015).  </w:t>
      </w:r>
      <w:r w:rsidRPr="002C6186">
        <w:rPr>
          <w:szCs w:val="22"/>
        </w:rPr>
        <w:t>The questionnaire</w:t>
      </w:r>
      <w:r>
        <w:rPr>
          <w:szCs w:val="22"/>
        </w:rPr>
        <w:t>s</w:t>
      </w:r>
      <w:r w:rsidRPr="002C6186">
        <w:rPr>
          <w:szCs w:val="22"/>
        </w:rPr>
        <w:t xml:space="preserve"> for the </w:t>
      </w:r>
      <w:r>
        <w:rPr>
          <w:szCs w:val="22"/>
        </w:rPr>
        <w:t>cohort</w:t>
      </w:r>
      <w:r w:rsidRPr="002C6186">
        <w:rPr>
          <w:szCs w:val="22"/>
        </w:rPr>
        <w:t xml:space="preserve"> </w:t>
      </w:r>
      <w:r>
        <w:rPr>
          <w:szCs w:val="22"/>
        </w:rPr>
        <w:t>were the same as</w:t>
      </w:r>
      <w:r w:rsidRPr="002C6186">
        <w:rPr>
          <w:szCs w:val="22"/>
        </w:rPr>
        <w:t xml:space="preserve"> </w:t>
      </w:r>
      <w:r>
        <w:rPr>
          <w:szCs w:val="22"/>
        </w:rPr>
        <w:t>those</w:t>
      </w:r>
      <w:r w:rsidRPr="002C6186">
        <w:rPr>
          <w:szCs w:val="22"/>
        </w:rPr>
        <w:t xml:space="preserve"> used in Wave 1 </w:t>
      </w:r>
      <w:r>
        <w:rPr>
          <w:szCs w:val="22"/>
        </w:rPr>
        <w:t xml:space="preserve">and Wave 2 </w:t>
      </w:r>
      <w:r w:rsidRPr="002C6186">
        <w:rPr>
          <w:szCs w:val="22"/>
        </w:rPr>
        <w:t xml:space="preserve">for the main NGS.  </w:t>
      </w:r>
      <w:r>
        <w:rPr>
          <w:szCs w:val="22"/>
        </w:rPr>
        <w:t>The purpose of the additional cohort was to increase the numbers of participants in the moderate-risk and problem gambler categories, to allow more detailed analyses of transitions</w:t>
      </w:r>
      <w:r w:rsidR="00A41AE9">
        <w:rPr>
          <w:szCs w:val="22"/>
        </w:rPr>
        <w:t xml:space="preserve"> </w:t>
      </w:r>
      <w:r w:rsidR="00A41AE9" w:rsidRPr="00754F59">
        <w:rPr>
          <w:szCs w:val="22"/>
        </w:rPr>
        <w:t>in gambling involvement</w:t>
      </w:r>
      <w:r w:rsidRPr="00754F59">
        <w:rPr>
          <w:szCs w:val="22"/>
        </w:rPr>
        <w:t xml:space="preserve"> over time.</w:t>
      </w:r>
    </w:p>
    <w:p w14:paraId="1C8A949D" w14:textId="77777777" w:rsidR="00D63AD8" w:rsidRPr="00512B32" w:rsidRDefault="00D63AD8" w:rsidP="00D63AD8">
      <w:pPr>
        <w:jc w:val="both"/>
        <w:rPr>
          <w:szCs w:val="22"/>
        </w:rPr>
      </w:pPr>
    </w:p>
    <w:p w14:paraId="0B73FEE4" w14:textId="77777777" w:rsidR="00162360" w:rsidRDefault="00B13B98" w:rsidP="00D63AD8">
      <w:pPr>
        <w:jc w:val="both"/>
        <w:rPr>
          <w:szCs w:val="22"/>
        </w:rPr>
      </w:pPr>
      <w:r w:rsidRPr="00E845EC">
        <w:rPr>
          <w:szCs w:val="22"/>
        </w:rPr>
        <w:t xml:space="preserve">This report </w:t>
      </w:r>
      <w:r>
        <w:rPr>
          <w:szCs w:val="22"/>
        </w:rPr>
        <w:t>details</w:t>
      </w:r>
      <w:r w:rsidRPr="00E845EC">
        <w:rPr>
          <w:szCs w:val="22"/>
        </w:rPr>
        <w:t xml:space="preserve"> the fourth </w:t>
      </w:r>
      <w:r>
        <w:rPr>
          <w:szCs w:val="22"/>
        </w:rPr>
        <w:t>wave</w:t>
      </w:r>
      <w:r w:rsidRPr="00E845EC">
        <w:rPr>
          <w:szCs w:val="22"/>
        </w:rPr>
        <w:t xml:space="preserve"> of the </w:t>
      </w:r>
      <w:r>
        <w:rPr>
          <w:szCs w:val="22"/>
        </w:rPr>
        <w:t>NGS</w:t>
      </w:r>
      <w:r w:rsidRPr="00E845EC">
        <w:rPr>
          <w:szCs w:val="22"/>
        </w:rPr>
        <w:t>, presenting and discussing</w:t>
      </w:r>
      <w:r w:rsidR="00220484">
        <w:rPr>
          <w:szCs w:val="22"/>
        </w:rPr>
        <w:t xml:space="preserve"> results from the three-</w:t>
      </w:r>
      <w:r w:rsidRPr="00E845EC">
        <w:rPr>
          <w:szCs w:val="22"/>
        </w:rPr>
        <w:t xml:space="preserve">year follow-up assessment of participants conducted in 2015. </w:t>
      </w:r>
      <w:r>
        <w:rPr>
          <w:szCs w:val="22"/>
        </w:rPr>
        <w:t xml:space="preserve"> Results for the additional cohort of moderate-risk and problem gamblers will be </w:t>
      </w:r>
      <w:r w:rsidR="0096082A">
        <w:rPr>
          <w:szCs w:val="22"/>
        </w:rPr>
        <w:t>reported</w:t>
      </w:r>
      <w:r>
        <w:rPr>
          <w:szCs w:val="22"/>
        </w:rPr>
        <w:t xml:space="preserve"> separately.</w:t>
      </w:r>
      <w:r w:rsidR="00162360">
        <w:rPr>
          <w:szCs w:val="22"/>
        </w:rPr>
        <w:t xml:space="preserve">  </w:t>
      </w:r>
    </w:p>
    <w:p w14:paraId="7C06189D" w14:textId="77777777" w:rsidR="00162360" w:rsidRDefault="00162360" w:rsidP="00D63AD8">
      <w:pPr>
        <w:jc w:val="both"/>
        <w:rPr>
          <w:szCs w:val="22"/>
        </w:rPr>
      </w:pPr>
    </w:p>
    <w:p w14:paraId="10EB2A30" w14:textId="77777777" w:rsidR="00D63AD8" w:rsidRPr="00E85E36" w:rsidRDefault="00D63AD8" w:rsidP="00D63AD8">
      <w:pPr>
        <w:jc w:val="both"/>
        <w:rPr>
          <w:szCs w:val="22"/>
        </w:rPr>
      </w:pPr>
      <w:r w:rsidRPr="00E85E36">
        <w:rPr>
          <w:szCs w:val="22"/>
        </w:rPr>
        <w:t>The baseline (2012, Wave 1) results are presented in three reports covering an overview of gambling and gambling participation findings (Abbott, Bellringer, Garrett, &amp; Mundy-McPherson, 2014a), gambling harm and problem gambling (Abbott et al., 2014b), and attitudes towards gambling (Abbott et al., 2015</w:t>
      </w:r>
      <w:r w:rsidR="00C634F1">
        <w:rPr>
          <w:szCs w:val="22"/>
        </w:rPr>
        <w:t>a</w:t>
      </w:r>
      <w:r w:rsidRPr="00E85E36">
        <w:rPr>
          <w:szCs w:val="22"/>
        </w:rPr>
        <w:t>).</w:t>
      </w:r>
      <w:r w:rsidR="00E85E36">
        <w:rPr>
          <w:szCs w:val="22"/>
        </w:rPr>
        <w:t xml:space="preserve">  The Wave 2 </w:t>
      </w:r>
      <w:r w:rsidR="00B13B98">
        <w:rPr>
          <w:szCs w:val="22"/>
        </w:rPr>
        <w:t xml:space="preserve">and Wave 3 </w:t>
      </w:r>
      <w:r w:rsidR="00E85E36">
        <w:rPr>
          <w:szCs w:val="22"/>
        </w:rPr>
        <w:t xml:space="preserve">results are detailed in </w:t>
      </w:r>
      <w:r w:rsidR="00B13B98">
        <w:rPr>
          <w:szCs w:val="22"/>
        </w:rPr>
        <w:t>two further reports</w:t>
      </w:r>
      <w:r w:rsidR="00E85E36">
        <w:rPr>
          <w:szCs w:val="22"/>
        </w:rPr>
        <w:t xml:space="preserve"> (</w:t>
      </w:r>
      <w:r w:rsidR="00E85E36" w:rsidRPr="00E85E36">
        <w:rPr>
          <w:szCs w:val="22"/>
        </w:rPr>
        <w:t>Abbott</w:t>
      </w:r>
      <w:r w:rsidR="00C634F1">
        <w:rPr>
          <w:szCs w:val="22"/>
        </w:rPr>
        <w:t xml:space="preserve"> et al.</w:t>
      </w:r>
      <w:r w:rsidR="00E85E36" w:rsidRPr="00E85E36">
        <w:rPr>
          <w:szCs w:val="22"/>
        </w:rPr>
        <w:t xml:space="preserve">, </w:t>
      </w:r>
      <w:r w:rsidR="008947CA">
        <w:rPr>
          <w:szCs w:val="22"/>
        </w:rPr>
        <w:t>2015b</w:t>
      </w:r>
      <w:r w:rsidR="00C634F1">
        <w:rPr>
          <w:szCs w:val="22"/>
        </w:rPr>
        <w:t>; Abbott et al., 2016</w:t>
      </w:r>
      <w:r w:rsidR="00614873">
        <w:rPr>
          <w:szCs w:val="22"/>
        </w:rPr>
        <w:t>a</w:t>
      </w:r>
      <w:r w:rsidR="00E85E36">
        <w:rPr>
          <w:szCs w:val="22"/>
        </w:rPr>
        <w:t>).</w:t>
      </w:r>
      <w:r w:rsidR="00E85E36" w:rsidRPr="00E85E36">
        <w:rPr>
          <w:szCs w:val="22"/>
        </w:rPr>
        <w:t xml:space="preserve"> </w:t>
      </w:r>
      <w:r w:rsidR="00E85E36">
        <w:rPr>
          <w:szCs w:val="22"/>
        </w:rPr>
        <w:t xml:space="preserve"> </w:t>
      </w:r>
    </w:p>
    <w:p w14:paraId="28BE1D53" w14:textId="77777777" w:rsidR="00D63AD8" w:rsidRPr="00E85E36" w:rsidRDefault="00D63AD8" w:rsidP="00D63AD8">
      <w:pPr>
        <w:jc w:val="both"/>
        <w:rPr>
          <w:lang w:eastAsia="en-US"/>
        </w:rPr>
      </w:pPr>
    </w:p>
    <w:p w14:paraId="2077C13C" w14:textId="77777777" w:rsidR="00D63AD8" w:rsidRPr="008B572E" w:rsidRDefault="00D63AD8" w:rsidP="005E40E4">
      <w:pPr>
        <w:pStyle w:val="RepHead2"/>
      </w:pPr>
      <w:bookmarkStart w:id="15" w:name="_Toc504488330"/>
      <w:r w:rsidRPr="0096082A">
        <w:t>Study objectives</w:t>
      </w:r>
      <w:bookmarkEnd w:id="15"/>
    </w:p>
    <w:p w14:paraId="2D3CEA99" w14:textId="77777777" w:rsidR="00D63AD8" w:rsidRPr="008B572E" w:rsidRDefault="00D63AD8" w:rsidP="008B02D1">
      <w:pPr>
        <w:jc w:val="both"/>
        <w:rPr>
          <w:lang w:eastAsia="en-US"/>
        </w:rPr>
      </w:pPr>
    </w:p>
    <w:p w14:paraId="1500B438" w14:textId="77777777" w:rsidR="00D63AD8" w:rsidRPr="008B572E" w:rsidRDefault="00D63AD8" w:rsidP="008B02D1">
      <w:pPr>
        <w:jc w:val="both"/>
        <w:rPr>
          <w:lang w:eastAsia="en-US"/>
        </w:rPr>
      </w:pPr>
      <w:r w:rsidRPr="008B572E">
        <w:rPr>
          <w:lang w:eastAsia="en-US"/>
        </w:rPr>
        <w:t xml:space="preserve">The </w:t>
      </w:r>
      <w:r w:rsidR="0096082A">
        <w:rPr>
          <w:lang w:eastAsia="en-US"/>
        </w:rPr>
        <w:t>main objectives</w:t>
      </w:r>
      <w:r w:rsidR="008B572E" w:rsidRPr="008B572E">
        <w:rPr>
          <w:lang w:eastAsia="en-US"/>
        </w:rPr>
        <w:t xml:space="preserve"> of Wave </w:t>
      </w:r>
      <w:r w:rsidR="0096082A">
        <w:rPr>
          <w:lang w:eastAsia="en-US"/>
        </w:rPr>
        <w:t>4</w:t>
      </w:r>
      <w:r w:rsidRPr="008B572E">
        <w:rPr>
          <w:lang w:eastAsia="en-US"/>
        </w:rPr>
        <w:t xml:space="preserve"> were to</w:t>
      </w:r>
      <w:r w:rsidR="0096082A">
        <w:rPr>
          <w:lang w:eastAsia="en-US"/>
        </w:rPr>
        <w:t xml:space="preserve"> investigate</w:t>
      </w:r>
      <w:r w:rsidRPr="008B572E">
        <w:rPr>
          <w:lang w:eastAsia="en-US"/>
        </w:rPr>
        <w:t>:</w:t>
      </w:r>
    </w:p>
    <w:p w14:paraId="570E8A81" w14:textId="77777777" w:rsidR="008B02D1" w:rsidRPr="008B02D1" w:rsidRDefault="008B02D1" w:rsidP="00DD2ADA">
      <w:pPr>
        <w:numPr>
          <w:ilvl w:val="0"/>
          <w:numId w:val="24"/>
        </w:numPr>
        <w:jc w:val="both"/>
        <w:rPr>
          <w:lang w:eastAsia="en-US"/>
        </w:rPr>
      </w:pPr>
      <w:r>
        <w:rPr>
          <w:lang w:eastAsia="en-US"/>
        </w:rPr>
        <w:t>Population prevalence trends</w:t>
      </w:r>
      <w:r w:rsidR="006A0318">
        <w:rPr>
          <w:lang w:eastAsia="en-US"/>
        </w:rPr>
        <w:t xml:space="preserve"> over time</w:t>
      </w:r>
    </w:p>
    <w:p w14:paraId="63E45F9C" w14:textId="77777777" w:rsidR="003D1D3B" w:rsidRPr="00FC2C6D" w:rsidRDefault="003D1D3B" w:rsidP="00DD2ADA">
      <w:pPr>
        <w:numPr>
          <w:ilvl w:val="0"/>
          <w:numId w:val="24"/>
        </w:numPr>
        <w:jc w:val="both"/>
        <w:rPr>
          <w:lang w:eastAsia="en-US"/>
        </w:rPr>
      </w:pPr>
      <w:r>
        <w:rPr>
          <w:szCs w:val="22"/>
        </w:rPr>
        <w:t>Electronic gaming machine expenditure trends over time</w:t>
      </w:r>
    </w:p>
    <w:p w14:paraId="4B34E154" w14:textId="77777777" w:rsidR="00D63AD8" w:rsidRPr="00FC2C6D" w:rsidRDefault="00FC2C6D" w:rsidP="00DD2ADA">
      <w:pPr>
        <w:numPr>
          <w:ilvl w:val="0"/>
          <w:numId w:val="24"/>
        </w:numPr>
        <w:jc w:val="both"/>
        <w:rPr>
          <w:lang w:eastAsia="en-US"/>
        </w:rPr>
      </w:pPr>
      <w:r>
        <w:rPr>
          <w:szCs w:val="22"/>
        </w:rPr>
        <w:t>Ga</w:t>
      </w:r>
      <w:r w:rsidR="0096082A">
        <w:rPr>
          <w:szCs w:val="22"/>
        </w:rPr>
        <w:t xml:space="preserve">mbling </w:t>
      </w:r>
      <w:r w:rsidR="00B00AFE">
        <w:rPr>
          <w:szCs w:val="22"/>
        </w:rPr>
        <w:t>risk level trends over time</w:t>
      </w:r>
    </w:p>
    <w:p w14:paraId="46B51E72" w14:textId="77777777" w:rsidR="00FC2C6D" w:rsidRPr="00FC2C6D" w:rsidRDefault="00FC2C6D" w:rsidP="00DD2ADA">
      <w:pPr>
        <w:numPr>
          <w:ilvl w:val="0"/>
          <w:numId w:val="24"/>
        </w:numPr>
        <w:jc w:val="both"/>
        <w:rPr>
          <w:lang w:eastAsia="en-US"/>
        </w:rPr>
      </w:pPr>
      <w:r>
        <w:rPr>
          <w:szCs w:val="22"/>
        </w:rPr>
        <w:t>Transitions in gambling risk level over time</w:t>
      </w:r>
    </w:p>
    <w:p w14:paraId="2D5DC778" w14:textId="77777777" w:rsidR="005E40E4" w:rsidRPr="0096082A" w:rsidRDefault="005E40E4" w:rsidP="00DD2ADA">
      <w:pPr>
        <w:numPr>
          <w:ilvl w:val="0"/>
          <w:numId w:val="24"/>
        </w:numPr>
        <w:jc w:val="both"/>
        <w:rPr>
          <w:lang w:eastAsia="en-US"/>
        </w:rPr>
      </w:pPr>
      <w:r>
        <w:rPr>
          <w:szCs w:val="22"/>
        </w:rPr>
        <w:t>R</w:t>
      </w:r>
      <w:r w:rsidRPr="008B572E">
        <w:rPr>
          <w:szCs w:val="22"/>
        </w:rPr>
        <w:t xml:space="preserve">isk and resiliency factors </w:t>
      </w:r>
      <w:r>
        <w:rPr>
          <w:szCs w:val="22"/>
        </w:rPr>
        <w:t xml:space="preserve">associated with </w:t>
      </w:r>
      <w:r w:rsidRPr="008B572E">
        <w:rPr>
          <w:szCs w:val="22"/>
        </w:rPr>
        <w:t>gambling</w:t>
      </w:r>
      <w:r>
        <w:rPr>
          <w:szCs w:val="22"/>
        </w:rPr>
        <w:t xml:space="preserve"> participation</w:t>
      </w:r>
    </w:p>
    <w:p w14:paraId="01BA0816" w14:textId="77777777" w:rsidR="005E40E4" w:rsidRPr="0096082A" w:rsidRDefault="005E40E4" w:rsidP="00DD2ADA">
      <w:pPr>
        <w:numPr>
          <w:ilvl w:val="0"/>
          <w:numId w:val="24"/>
        </w:numPr>
        <w:jc w:val="both"/>
        <w:rPr>
          <w:lang w:eastAsia="en-US"/>
        </w:rPr>
      </w:pPr>
      <w:r>
        <w:rPr>
          <w:szCs w:val="22"/>
        </w:rPr>
        <w:t>R</w:t>
      </w:r>
      <w:r w:rsidRPr="008B572E">
        <w:rPr>
          <w:szCs w:val="22"/>
        </w:rPr>
        <w:t xml:space="preserve">isk and resiliency factors </w:t>
      </w:r>
      <w:r>
        <w:rPr>
          <w:szCs w:val="22"/>
        </w:rPr>
        <w:t xml:space="preserve">associated with low-risk/moderate-risk/problem </w:t>
      </w:r>
      <w:r w:rsidRPr="008B572E">
        <w:rPr>
          <w:szCs w:val="22"/>
        </w:rPr>
        <w:t>gambling</w:t>
      </w:r>
      <w:r>
        <w:rPr>
          <w:szCs w:val="22"/>
        </w:rPr>
        <w:t xml:space="preserve"> </w:t>
      </w:r>
    </w:p>
    <w:p w14:paraId="58D4DE07" w14:textId="77777777" w:rsidR="005E40E4" w:rsidRPr="005E40E4" w:rsidRDefault="005E40E4" w:rsidP="00DD2ADA">
      <w:pPr>
        <w:numPr>
          <w:ilvl w:val="0"/>
          <w:numId w:val="24"/>
        </w:numPr>
        <w:jc w:val="both"/>
        <w:rPr>
          <w:lang w:eastAsia="en-US"/>
        </w:rPr>
      </w:pPr>
      <w:r>
        <w:rPr>
          <w:szCs w:val="22"/>
        </w:rPr>
        <w:t>R</w:t>
      </w:r>
      <w:r w:rsidRPr="008B572E">
        <w:rPr>
          <w:szCs w:val="22"/>
        </w:rPr>
        <w:t xml:space="preserve">isk and resiliency factors </w:t>
      </w:r>
      <w:r>
        <w:rPr>
          <w:szCs w:val="22"/>
        </w:rPr>
        <w:t xml:space="preserve">associated with moderate-risk/problem </w:t>
      </w:r>
      <w:r w:rsidRPr="008B572E">
        <w:rPr>
          <w:szCs w:val="22"/>
        </w:rPr>
        <w:t>gambling</w:t>
      </w:r>
    </w:p>
    <w:p w14:paraId="7956888F" w14:textId="77777777" w:rsidR="00FC2C6D" w:rsidRPr="00FC2C6D" w:rsidRDefault="00FC2C6D" w:rsidP="00DD2ADA">
      <w:pPr>
        <w:numPr>
          <w:ilvl w:val="0"/>
          <w:numId w:val="24"/>
        </w:numPr>
        <w:jc w:val="both"/>
        <w:rPr>
          <w:lang w:eastAsia="en-US"/>
        </w:rPr>
      </w:pPr>
      <w:r>
        <w:rPr>
          <w:szCs w:val="22"/>
        </w:rPr>
        <w:t>Factors associated with recovery from moderate-risk/problem gambling</w:t>
      </w:r>
    </w:p>
    <w:p w14:paraId="07C1DAE0" w14:textId="77777777" w:rsidR="00FC2C6D" w:rsidRPr="008B572E" w:rsidRDefault="00FC2C6D" w:rsidP="00DD2ADA">
      <w:pPr>
        <w:numPr>
          <w:ilvl w:val="0"/>
          <w:numId w:val="24"/>
        </w:numPr>
        <w:jc w:val="both"/>
        <w:rPr>
          <w:lang w:eastAsia="en-US"/>
        </w:rPr>
      </w:pPr>
      <w:r>
        <w:rPr>
          <w:szCs w:val="22"/>
        </w:rPr>
        <w:t>Factors associated with relapse into moderate-risk/problem gambling</w:t>
      </w:r>
      <w:r w:rsidR="005E40E4">
        <w:rPr>
          <w:szCs w:val="22"/>
        </w:rPr>
        <w:t>.</w:t>
      </w:r>
    </w:p>
    <w:p w14:paraId="32F67FD8" w14:textId="77777777" w:rsidR="0096082A" w:rsidRPr="008B572E" w:rsidRDefault="0096082A" w:rsidP="005E40E4">
      <w:pPr>
        <w:ind w:left="825"/>
        <w:jc w:val="both"/>
        <w:rPr>
          <w:lang w:eastAsia="en-US"/>
        </w:rPr>
      </w:pPr>
    </w:p>
    <w:p w14:paraId="35934B59" w14:textId="77777777" w:rsidR="00005771" w:rsidRDefault="00005771" w:rsidP="005E40E4">
      <w:pPr>
        <w:pStyle w:val="RepHead2"/>
      </w:pPr>
      <w:bookmarkStart w:id="16" w:name="_Toc504488331"/>
      <w:r>
        <w:t>Background</w:t>
      </w:r>
      <w:bookmarkEnd w:id="16"/>
    </w:p>
    <w:p w14:paraId="6EBE72EA" w14:textId="77777777" w:rsidR="00005771" w:rsidRPr="00005771" w:rsidRDefault="00005771" w:rsidP="00005771">
      <w:pPr>
        <w:jc w:val="both"/>
        <w:rPr>
          <w:lang w:eastAsia="en-US"/>
        </w:rPr>
      </w:pPr>
    </w:p>
    <w:p w14:paraId="1B4B7631" w14:textId="77777777" w:rsidR="0067540B" w:rsidRPr="0067540B" w:rsidRDefault="0067540B" w:rsidP="0067540B">
      <w:pPr>
        <w:jc w:val="both"/>
        <w:rPr>
          <w:b/>
          <w:i/>
          <w:lang w:eastAsia="en-US"/>
        </w:rPr>
      </w:pPr>
      <w:r w:rsidRPr="0067540B">
        <w:rPr>
          <w:b/>
          <w:i/>
          <w:lang w:eastAsia="en-US"/>
        </w:rPr>
        <w:t>Gambling, problem gambling and gambling-related harm</w:t>
      </w:r>
    </w:p>
    <w:p w14:paraId="390200F4" w14:textId="77777777" w:rsidR="0067540B" w:rsidRDefault="0067540B" w:rsidP="0067540B">
      <w:pPr>
        <w:jc w:val="both"/>
        <w:rPr>
          <w:lang w:eastAsia="en-US"/>
        </w:rPr>
      </w:pPr>
    </w:p>
    <w:p w14:paraId="1CEB719A" w14:textId="77777777" w:rsidR="0067540B" w:rsidRDefault="0067540B" w:rsidP="0067540B">
      <w:pPr>
        <w:jc w:val="both"/>
        <w:rPr>
          <w:lang w:eastAsia="en-US"/>
        </w:rPr>
      </w:pPr>
      <w:r>
        <w:rPr>
          <w:lang w:eastAsia="en-US"/>
        </w:rPr>
        <w:t>Globally, there has been massive growth in gambling availability.  This growth has been accompanied by increases in gambling participation and expenditure (Abbott et al., 2014a; Bogart, 2011).  Total 2016 world annual gambling revenue (consumer losses) was estimated to be US $400 billion (The Data Team, 2017).  While much of this growth has been in land-based gambling activities, there has been a substantial expansion of online gambling and this is expected to further increase in both absolute and relative terms (Gainsbury, 2012; The Data Team, 2017).  Hundreds of general population studies of gambling participation and problem gambling have been conducted since the mid-1980s, coinciding with the beginning of the current phase of gambling expansion.  These studies increased understanding of gambling and problem gambling, and informed public and political debate.  In some jurisdictions this led to legislative and other measures intended to assist problem gamblers and others affected adversely by their behaviour (Volberg</w:t>
      </w:r>
      <w:r w:rsidR="007514A6">
        <w:rPr>
          <w:lang w:eastAsia="en-US"/>
        </w:rPr>
        <w:t>, Dickerson, Ladouceur &amp; Abbott</w:t>
      </w:r>
      <w:r>
        <w:rPr>
          <w:lang w:eastAsia="en-US"/>
        </w:rPr>
        <w:t xml:space="preserve">, 1996).  This research also contributed to recognition of gambling as a wider and growing public health issue (Abbott, </w:t>
      </w:r>
      <w:r w:rsidR="007514A6">
        <w:rPr>
          <w:lang w:eastAsia="en-US"/>
        </w:rPr>
        <w:t>Volberg, Bellringer &amp; Reith</w:t>
      </w:r>
      <w:r>
        <w:rPr>
          <w:lang w:eastAsia="en-US"/>
        </w:rPr>
        <w:t>, 2004</w:t>
      </w:r>
      <w:r w:rsidR="0003371B">
        <w:rPr>
          <w:lang w:eastAsia="en-US"/>
        </w:rPr>
        <w:t>a</w:t>
      </w:r>
      <w:r>
        <w:rPr>
          <w:lang w:eastAsia="en-US"/>
        </w:rPr>
        <w:t>; Chetwynd, 1997; Shaffer &amp; Korn, 2002).</w:t>
      </w:r>
    </w:p>
    <w:p w14:paraId="0F71D613" w14:textId="77777777" w:rsidR="0067540B" w:rsidRDefault="0067540B" w:rsidP="0067540B">
      <w:pPr>
        <w:jc w:val="both"/>
        <w:rPr>
          <w:lang w:eastAsia="en-US"/>
        </w:rPr>
      </w:pPr>
    </w:p>
    <w:p w14:paraId="1D2E4210" w14:textId="77777777" w:rsidR="0067540B" w:rsidRDefault="0067540B" w:rsidP="0067540B">
      <w:pPr>
        <w:jc w:val="both"/>
        <w:rPr>
          <w:lang w:eastAsia="en-US"/>
        </w:rPr>
      </w:pPr>
      <w:r>
        <w:rPr>
          <w:lang w:eastAsia="en-US"/>
        </w:rPr>
        <w:t xml:space="preserve">Prevalence surveys provide estimates of how many people take part in various gambling activities and how many experience gambling-related problems.  They also indicate which gambling activities are most strongly linked to problem gambling, and which population groups have higher and lower risk.  Repeat surveys in the same jurisdiction provide assessments of changes in gambling participation, problem gambling and risk factors for problem gambling over time.  While prevalence surveys advance understanding of the nature of problem gambling, they have limitations.  As they are cross-sectional, the temporal sequence of associations is unclear.  Additionally, people identified as problem gamblers include those with long-standing problems as well as recent cases.  The circumstances under which these problems </w:t>
      </w:r>
      <w:r w:rsidRPr="00754F59">
        <w:rPr>
          <w:lang w:eastAsia="en-US"/>
        </w:rPr>
        <w:t>arose may have changed over time.  Th</w:t>
      </w:r>
      <w:r w:rsidR="00A41AE9" w:rsidRPr="00754F59">
        <w:rPr>
          <w:lang w:eastAsia="en-US"/>
        </w:rPr>
        <w:t>ese factors</w:t>
      </w:r>
      <w:r w:rsidRPr="00754F59">
        <w:rPr>
          <w:lang w:eastAsia="en-US"/>
        </w:rPr>
        <w:t xml:space="preserve"> cannot be assessed in cross-sectional studies.</w:t>
      </w:r>
    </w:p>
    <w:p w14:paraId="12A92B45" w14:textId="77777777" w:rsidR="0067540B" w:rsidRDefault="0067540B" w:rsidP="0067540B">
      <w:pPr>
        <w:jc w:val="both"/>
        <w:rPr>
          <w:lang w:eastAsia="en-US"/>
        </w:rPr>
      </w:pPr>
    </w:p>
    <w:p w14:paraId="7EEDA62B" w14:textId="77777777" w:rsidR="0067540B" w:rsidRDefault="0067540B" w:rsidP="0067540B">
      <w:pPr>
        <w:jc w:val="both"/>
        <w:rPr>
          <w:lang w:eastAsia="en-US"/>
        </w:rPr>
      </w:pPr>
      <w:r>
        <w:rPr>
          <w:lang w:eastAsia="en-US"/>
        </w:rPr>
        <w:t xml:space="preserve">Information about temporal relationships and behaviour that occurred some years previously can be obtained by asking people about past experiences.  Such information, however, is prone to recall deficiencies and other distortions.  </w:t>
      </w:r>
      <w:r w:rsidR="007514A6">
        <w:rPr>
          <w:lang w:eastAsia="en-US"/>
        </w:rPr>
        <w:t>For</w:t>
      </w:r>
      <w:r>
        <w:rPr>
          <w:lang w:eastAsia="en-US"/>
        </w:rPr>
        <w:t xml:space="preserve"> gambling behaviour</w:t>
      </w:r>
      <w:r w:rsidR="00B37434">
        <w:rPr>
          <w:lang w:eastAsia="en-US"/>
        </w:rPr>
        <w:t>,</w:t>
      </w:r>
      <w:r>
        <w:rPr>
          <w:lang w:eastAsia="en-US"/>
        </w:rPr>
        <w:t xml:space="preserve"> reports of past events are highly unreliable (Abbott, Williams &amp; Volberg, 2004</w:t>
      </w:r>
      <w:r w:rsidR="0003371B">
        <w:rPr>
          <w:lang w:eastAsia="en-US"/>
        </w:rPr>
        <w:t>b</w:t>
      </w:r>
      <w:r>
        <w:rPr>
          <w:lang w:eastAsia="en-US"/>
        </w:rPr>
        <w:t>).  Prospective studies are necessary to measure the incidence (onset) of gambling participation and problem gambling, to clarify temporal sequence and identify risk and protective factors for initial problem onset.  Studies of this type also enable assessment of the natural history of gambling and problem gambling including problem duration, remission and relapse.  While there is now a growing body of prospective gambling research, most involve small, atypical samples and have methodological deficiencies (Abbott &amp; Clarke, 2007; Slutske, 2007).  In recent years</w:t>
      </w:r>
      <w:r w:rsidR="00B37434">
        <w:rPr>
          <w:lang w:eastAsia="en-US"/>
        </w:rPr>
        <w:t>,</w:t>
      </w:r>
      <w:r>
        <w:rPr>
          <w:lang w:eastAsia="en-US"/>
        </w:rPr>
        <w:t xml:space="preserve"> five large prospective studies have been </w:t>
      </w:r>
      <w:r w:rsidR="00B37434">
        <w:rPr>
          <w:lang w:eastAsia="en-US"/>
        </w:rPr>
        <w:t>initiated, including the NGS (</w:t>
      </w:r>
      <w:r>
        <w:rPr>
          <w:lang w:eastAsia="en-US"/>
        </w:rPr>
        <w:t>Abbott et al., 2016</w:t>
      </w:r>
      <w:r w:rsidR="0003371B">
        <w:rPr>
          <w:lang w:eastAsia="en-US"/>
        </w:rPr>
        <w:t>a</w:t>
      </w:r>
      <w:r>
        <w:rPr>
          <w:lang w:eastAsia="en-US"/>
        </w:rPr>
        <w:t xml:space="preserve">; </w:t>
      </w:r>
      <w:r w:rsidR="0003371B">
        <w:rPr>
          <w:lang w:eastAsia="en-US"/>
        </w:rPr>
        <w:t>Abbott, Stone, Billi, &amp; Yeung, 2016b;</w:t>
      </w:r>
      <w:r>
        <w:rPr>
          <w:lang w:eastAsia="en-US"/>
        </w:rPr>
        <w:t xml:space="preserve"> Billi</w:t>
      </w:r>
      <w:r w:rsidR="000E101D">
        <w:rPr>
          <w:lang w:eastAsia="en-US"/>
        </w:rPr>
        <w:t>, Stone, Marden &amp; Yeung</w:t>
      </w:r>
      <w:r>
        <w:rPr>
          <w:lang w:eastAsia="en-US"/>
        </w:rPr>
        <w:t xml:space="preserve">, 2014; </w:t>
      </w:r>
      <w:r w:rsidRPr="00997A83">
        <w:rPr>
          <w:lang w:eastAsia="en-US"/>
        </w:rPr>
        <w:t>el-Guebaly et al., 2015; Public Health Agency of Sweden, 2016; Romild, Volberg &amp; Abbott, 2014; Williams et al., 2015).</w:t>
      </w:r>
      <w:r>
        <w:rPr>
          <w:lang w:eastAsia="en-US"/>
        </w:rPr>
        <w:t xml:space="preserve">  These studies, conducted in </w:t>
      </w:r>
      <w:r w:rsidR="00997A83">
        <w:rPr>
          <w:lang w:eastAsia="en-US"/>
        </w:rPr>
        <w:t xml:space="preserve">New Zealand, Australia, Sweden and </w:t>
      </w:r>
      <w:r>
        <w:rPr>
          <w:lang w:eastAsia="en-US"/>
        </w:rPr>
        <w:t>Canada, are the first to assess the incidence of problem gambling and other gambling transitions in representative general population samples.  The New Zealand, Swedish and Australian studies were designed to facilitate comparison of their respective findings.</w:t>
      </w:r>
    </w:p>
    <w:p w14:paraId="7E0CB0FC" w14:textId="77777777" w:rsidR="0067540B" w:rsidRDefault="0067540B" w:rsidP="0067540B">
      <w:pPr>
        <w:jc w:val="both"/>
        <w:rPr>
          <w:lang w:eastAsia="en-US"/>
        </w:rPr>
      </w:pPr>
    </w:p>
    <w:p w14:paraId="47EEAD01" w14:textId="77777777" w:rsidR="0067540B" w:rsidRDefault="0067540B" w:rsidP="0067540B">
      <w:pPr>
        <w:jc w:val="both"/>
        <w:rPr>
          <w:lang w:eastAsia="en-US"/>
        </w:rPr>
      </w:pPr>
      <w:r>
        <w:rPr>
          <w:lang w:eastAsia="en-US"/>
        </w:rPr>
        <w:t xml:space="preserve">Various commentators have noted that population research in the gambling field has had a narrow focus, largely confined to problem gambling.  Wider gambling-related impacts have </w:t>
      </w:r>
      <w:r w:rsidRPr="00754F59">
        <w:rPr>
          <w:lang w:eastAsia="en-US"/>
        </w:rPr>
        <w:t xml:space="preserve">received relatively little attention (Hancock &amp; Smith, 2017).  </w:t>
      </w:r>
      <w:r w:rsidR="00A41AE9" w:rsidRPr="00754F59">
        <w:rPr>
          <w:lang w:eastAsia="en-US"/>
        </w:rPr>
        <w:t>Although this is generally true</w:t>
      </w:r>
      <w:r w:rsidR="00B37434" w:rsidRPr="00754F59">
        <w:rPr>
          <w:lang w:eastAsia="en-US"/>
        </w:rPr>
        <w:t>,</w:t>
      </w:r>
      <w:r>
        <w:rPr>
          <w:lang w:eastAsia="en-US"/>
        </w:rPr>
        <w:t xml:space="preserve"> the first and second New Zealand national problem gambling prevalence studies (</w:t>
      </w:r>
      <w:r w:rsidR="00DD0F28">
        <w:rPr>
          <w:lang w:eastAsia="en-US"/>
        </w:rPr>
        <w:t xml:space="preserve">in </w:t>
      </w:r>
      <w:r>
        <w:rPr>
          <w:lang w:eastAsia="en-US"/>
        </w:rPr>
        <w:t>1990 and 1999) included questions covering a wide range of gambling-related costs and benefits (Abbott, 2001; Abbott &amp; Volberg, 1991, 1992, 1996, 2000).  In these studies</w:t>
      </w:r>
      <w:r w:rsidR="00B37434">
        <w:rPr>
          <w:lang w:eastAsia="en-US"/>
        </w:rPr>
        <w:t>,</w:t>
      </w:r>
      <w:r>
        <w:rPr>
          <w:lang w:eastAsia="en-US"/>
        </w:rPr>
        <w:t xml:space="preserve"> costs and benefits were assessed in the following domains: personal, interpersonal and family, vocational/employment, financial and legal.  Gambling participation was also considered in relation to various aspects of health and wellbeing.    </w:t>
      </w:r>
    </w:p>
    <w:p w14:paraId="2A6FEA23" w14:textId="77777777" w:rsidR="0067540B" w:rsidRDefault="0067540B" w:rsidP="0067540B">
      <w:pPr>
        <w:jc w:val="both"/>
        <w:rPr>
          <w:lang w:eastAsia="en-US"/>
        </w:rPr>
      </w:pPr>
    </w:p>
    <w:p w14:paraId="22761456" w14:textId="77777777" w:rsidR="0067540B" w:rsidRDefault="0067540B" w:rsidP="0067540B">
      <w:pPr>
        <w:jc w:val="both"/>
        <w:rPr>
          <w:lang w:eastAsia="en-US"/>
        </w:rPr>
      </w:pPr>
      <w:r>
        <w:rPr>
          <w:lang w:eastAsia="en-US"/>
        </w:rPr>
        <w:t>Recently</w:t>
      </w:r>
      <w:r w:rsidR="00B37434">
        <w:rPr>
          <w:lang w:eastAsia="en-US"/>
        </w:rPr>
        <w:t>,</w:t>
      </w:r>
      <w:r>
        <w:rPr>
          <w:lang w:eastAsia="en-US"/>
        </w:rPr>
        <w:t xml:space="preserve"> research has more fully considered wider gambling-related harms.  This includes the development of conceptual frameworks to map and understand gam</w:t>
      </w:r>
      <w:r w:rsidR="00F85BD0">
        <w:rPr>
          <w:lang w:eastAsia="en-US"/>
        </w:rPr>
        <w:t xml:space="preserve">bling harm (Abbott et al., </w:t>
      </w:r>
      <w:r w:rsidR="006D2D11">
        <w:rPr>
          <w:lang w:eastAsia="en-US"/>
        </w:rPr>
        <w:t>2015d</w:t>
      </w:r>
      <w:r>
        <w:rPr>
          <w:lang w:eastAsia="en-US"/>
        </w:rPr>
        <w:t>; Langham et al., 2016).  Additionally, in the past year, burden of harm methodologies have been applied to gambling.  The two studies of this type to date concluded that the burden of harm associated with gambling is substantially higher than harm linked to diabetes and drug use disorder (Browne et al., 2016; 2017).  It was around two-thirds to three-quarters that associated with major depressive disorder</w:t>
      </w:r>
      <w:r w:rsidR="00B37434">
        <w:rPr>
          <w:lang w:eastAsia="en-US"/>
        </w:rPr>
        <w:t>,</w:t>
      </w:r>
      <w:r>
        <w:rPr>
          <w:lang w:eastAsia="en-US"/>
        </w:rPr>
        <w:t xml:space="preserve"> and alcohol misuse and dependence.  The burden of harm is mainly from financial problems, damage to health and relationships, emotional and psychological distress</w:t>
      </w:r>
      <w:r w:rsidR="00B37434">
        <w:rPr>
          <w:lang w:eastAsia="en-US"/>
        </w:rPr>
        <w:t>,</w:t>
      </w:r>
      <w:r>
        <w:rPr>
          <w:lang w:eastAsia="en-US"/>
        </w:rPr>
        <w:t xml:space="preserve"> and adverse </w:t>
      </w:r>
      <w:r w:rsidR="00B37434">
        <w:rPr>
          <w:lang w:eastAsia="en-US"/>
        </w:rPr>
        <w:t>effects</w:t>
      </w:r>
      <w:r>
        <w:rPr>
          <w:lang w:eastAsia="en-US"/>
        </w:rPr>
        <w:t xml:space="preserve"> on work and education.  </w:t>
      </w:r>
    </w:p>
    <w:p w14:paraId="26F6F5FE" w14:textId="77777777" w:rsidR="0067540B" w:rsidRDefault="0067540B" w:rsidP="0067540B">
      <w:pPr>
        <w:jc w:val="both"/>
        <w:rPr>
          <w:lang w:eastAsia="en-US"/>
        </w:rPr>
      </w:pPr>
    </w:p>
    <w:p w14:paraId="6B47E770" w14:textId="77777777" w:rsidR="0067540B" w:rsidRDefault="0067540B" w:rsidP="0067540B">
      <w:pPr>
        <w:jc w:val="both"/>
        <w:rPr>
          <w:lang w:eastAsia="en-US"/>
        </w:rPr>
      </w:pPr>
      <w:r>
        <w:rPr>
          <w:lang w:eastAsia="en-US"/>
        </w:rPr>
        <w:t xml:space="preserve">While the assessment of wider gambling-related </w:t>
      </w:r>
      <w:r w:rsidR="00B37434">
        <w:rPr>
          <w:lang w:eastAsia="en-US"/>
        </w:rPr>
        <w:t>impacts</w:t>
      </w:r>
      <w:r>
        <w:rPr>
          <w:lang w:eastAsia="en-US"/>
        </w:rPr>
        <w:t xml:space="preserve">, including the application of burden of harm methodologies, is at an early stage of development, findings to date strongly suggest that the health and social costs are substantial.  This research is likely to play an important part in placing gambling on global and national public health agendas (Abbott, 2017a). </w:t>
      </w:r>
    </w:p>
    <w:p w14:paraId="4086AF8B" w14:textId="77777777" w:rsidR="0067540B" w:rsidRDefault="0067540B" w:rsidP="0067540B">
      <w:pPr>
        <w:jc w:val="both"/>
        <w:rPr>
          <w:lang w:eastAsia="en-US"/>
        </w:rPr>
      </w:pPr>
    </w:p>
    <w:p w14:paraId="0A094B14" w14:textId="77777777" w:rsidR="0067540B" w:rsidRDefault="0067540B" w:rsidP="0067540B">
      <w:pPr>
        <w:jc w:val="both"/>
        <w:rPr>
          <w:lang w:eastAsia="en-US"/>
        </w:rPr>
      </w:pPr>
      <w:r>
        <w:rPr>
          <w:lang w:eastAsia="en-US"/>
        </w:rPr>
        <w:t xml:space="preserve">With </w:t>
      </w:r>
      <w:r w:rsidR="00B37434">
        <w:rPr>
          <w:lang w:eastAsia="en-US"/>
        </w:rPr>
        <w:t>regard</w:t>
      </w:r>
      <w:r>
        <w:rPr>
          <w:lang w:eastAsia="en-US"/>
        </w:rPr>
        <w:t xml:space="preserve"> to individual gamblers, Browne et al</w:t>
      </w:r>
      <w:r w:rsidR="0003371B">
        <w:rPr>
          <w:lang w:eastAsia="en-US"/>
        </w:rPr>
        <w:t>.</w:t>
      </w:r>
      <w:r>
        <w:rPr>
          <w:lang w:eastAsia="en-US"/>
        </w:rPr>
        <w:t xml:space="preserve"> (2016, 2017) found that while problem gamblers experience the most harm, only a minority of overall gambling-related harm is associated with this group.  Most is associated with low-risk and moderate-risk (sub-clinical) gamblers.  The reason for this is that people in these categories significantly outnumber problem gamblers.  One implication of this finding is that policies and other measures intended to reduce harm will need to focus on the population as a whole and not just on high-risk and problem gamblers. </w:t>
      </w:r>
    </w:p>
    <w:p w14:paraId="2192011B" w14:textId="77777777" w:rsidR="0067540B" w:rsidRDefault="0067540B" w:rsidP="0067540B">
      <w:pPr>
        <w:jc w:val="both"/>
        <w:rPr>
          <w:lang w:eastAsia="en-US"/>
        </w:rPr>
      </w:pPr>
      <w:r>
        <w:rPr>
          <w:lang w:eastAsia="en-US"/>
        </w:rPr>
        <w:t xml:space="preserve"> </w:t>
      </w:r>
    </w:p>
    <w:p w14:paraId="79411D2E" w14:textId="77777777" w:rsidR="00B37434" w:rsidRDefault="00B37434" w:rsidP="0067540B">
      <w:pPr>
        <w:jc w:val="both"/>
        <w:rPr>
          <w:lang w:eastAsia="en-US"/>
        </w:rPr>
      </w:pPr>
    </w:p>
    <w:p w14:paraId="52096CA4" w14:textId="77777777" w:rsidR="0067540B" w:rsidRPr="00B37434" w:rsidRDefault="0067540B" w:rsidP="0067540B">
      <w:pPr>
        <w:jc w:val="both"/>
        <w:rPr>
          <w:b/>
          <w:i/>
          <w:lang w:eastAsia="en-US"/>
        </w:rPr>
      </w:pPr>
      <w:r w:rsidRPr="00B37434">
        <w:rPr>
          <w:b/>
          <w:i/>
          <w:lang w:eastAsia="en-US"/>
        </w:rPr>
        <w:t>Gambling in New Zealand</w:t>
      </w:r>
    </w:p>
    <w:p w14:paraId="4E999E07" w14:textId="77777777" w:rsidR="0067540B" w:rsidRDefault="0067540B" w:rsidP="0067540B">
      <w:pPr>
        <w:jc w:val="both"/>
        <w:rPr>
          <w:lang w:eastAsia="en-US"/>
        </w:rPr>
      </w:pPr>
    </w:p>
    <w:p w14:paraId="76505333" w14:textId="77777777" w:rsidR="0067540B" w:rsidRDefault="0067540B" w:rsidP="0067540B">
      <w:pPr>
        <w:jc w:val="both"/>
        <w:rPr>
          <w:lang w:eastAsia="en-US"/>
        </w:rPr>
      </w:pPr>
      <w:r>
        <w:rPr>
          <w:lang w:eastAsia="en-US"/>
        </w:rPr>
        <w:t xml:space="preserve">In New Zealand, throughout the 1970s and most of the 1980s, legal gambling was largely confined to on- and off-course betting on horse and dog racing </w:t>
      </w:r>
      <w:r w:rsidR="00CE687D">
        <w:rPr>
          <w:lang w:eastAsia="en-US"/>
        </w:rPr>
        <w:t xml:space="preserve">(track betting) </w:t>
      </w:r>
      <w:r>
        <w:rPr>
          <w:lang w:eastAsia="en-US"/>
        </w:rPr>
        <w:t>and the Golden Kiwi (a state lottery) (Grant, 1994).  Eighty percent of official gambling expenditure was on track betting in 1984, with the remaining 20% spent on lotteries.  During this period</w:t>
      </w:r>
      <w:r w:rsidR="00CE687D">
        <w:rPr>
          <w:lang w:eastAsia="en-US"/>
        </w:rPr>
        <w:t>,</w:t>
      </w:r>
      <w:r>
        <w:rPr>
          <w:lang w:eastAsia="en-US"/>
        </w:rPr>
        <w:t xml:space="preserve"> official gambling expenditure changed very little (Abbott &amp; Volberg, 2000).  An unknown amount was also spent on informal activities including raffles, betting with friends and workmates, ‘casino’ fundraising evenings and playing cards and housie (bingo) for money.     </w:t>
      </w:r>
    </w:p>
    <w:p w14:paraId="0294B182" w14:textId="77777777" w:rsidR="0067540B" w:rsidRDefault="0067540B" w:rsidP="0067540B">
      <w:pPr>
        <w:jc w:val="both"/>
        <w:rPr>
          <w:lang w:eastAsia="en-US"/>
        </w:rPr>
      </w:pPr>
    </w:p>
    <w:p w14:paraId="1D6A83F2" w14:textId="16CF141F" w:rsidR="0067540B" w:rsidRDefault="0067540B" w:rsidP="0067540B">
      <w:pPr>
        <w:jc w:val="both"/>
        <w:rPr>
          <w:lang w:eastAsia="en-US"/>
        </w:rPr>
      </w:pPr>
      <w:r>
        <w:rPr>
          <w:lang w:eastAsia="en-US"/>
        </w:rPr>
        <w:t>New Zealand, in 1985, was one of the first countries to conduct a national gambling participation survey</w:t>
      </w:r>
      <w:r w:rsidR="00CE687D">
        <w:rPr>
          <w:lang w:eastAsia="en-US"/>
        </w:rPr>
        <w:t>, which</w:t>
      </w:r>
      <w:r>
        <w:rPr>
          <w:lang w:eastAsia="en-US"/>
        </w:rPr>
        <w:t xml:space="preserve"> also assessed attitudes towards gambling.  It did not </w:t>
      </w:r>
      <w:r w:rsidR="00FE791A">
        <w:rPr>
          <w:lang w:eastAsia="en-US"/>
        </w:rPr>
        <w:t>include measurement</w:t>
      </w:r>
      <w:r w:rsidR="00CE687D">
        <w:rPr>
          <w:lang w:eastAsia="en-US"/>
        </w:rPr>
        <w:t xml:space="preserve"> of </w:t>
      </w:r>
      <w:r>
        <w:rPr>
          <w:lang w:eastAsia="en-US"/>
        </w:rPr>
        <w:t xml:space="preserve">problem gambling.  It was not until 1987 that a validated problem gambling instrument was developed (Lesieur &amp; Blume, 1987).  The 1985 survey was carried out two years before gambling availability began to </w:t>
      </w:r>
      <w:r w:rsidR="00CE687D">
        <w:rPr>
          <w:lang w:eastAsia="en-US"/>
        </w:rPr>
        <w:t xml:space="preserve">markedly </w:t>
      </w:r>
      <w:r>
        <w:rPr>
          <w:lang w:eastAsia="en-US"/>
        </w:rPr>
        <w:t>increase (Wither, 198</w:t>
      </w:r>
      <w:r w:rsidR="0003371B">
        <w:rPr>
          <w:lang w:eastAsia="en-US"/>
        </w:rPr>
        <w:t>8</w:t>
      </w:r>
      <w:r>
        <w:rPr>
          <w:lang w:eastAsia="en-US"/>
        </w:rPr>
        <w:t xml:space="preserve">).  From 1987 to 1990 a national lottery, scratch lottery and pub and club electronic gaming machines (EGMs) were introduced. </w:t>
      </w:r>
      <w:r w:rsidR="00CE687D">
        <w:rPr>
          <w:lang w:eastAsia="en-US"/>
        </w:rPr>
        <w:t xml:space="preserve"> </w:t>
      </w:r>
      <w:r>
        <w:rPr>
          <w:lang w:eastAsia="en-US"/>
        </w:rPr>
        <w:t xml:space="preserve">During this three year period total gambling expenditure doubled.  Gambling availability continued to increase during the 1990s.  This included steady growth in EGM </w:t>
      </w:r>
      <w:r w:rsidRPr="00754F59">
        <w:rPr>
          <w:lang w:eastAsia="en-US"/>
        </w:rPr>
        <w:t xml:space="preserve">venues and numbers, the establishment of </w:t>
      </w:r>
      <w:r w:rsidR="00403081" w:rsidRPr="00754F59">
        <w:rPr>
          <w:lang w:eastAsia="en-US"/>
        </w:rPr>
        <w:t xml:space="preserve">five </w:t>
      </w:r>
      <w:r w:rsidRPr="00754F59">
        <w:rPr>
          <w:lang w:eastAsia="en-US"/>
        </w:rPr>
        <w:t>casinos and the introduction of sports betting.</w:t>
      </w:r>
      <w:r>
        <w:rPr>
          <w:lang w:eastAsia="en-US"/>
        </w:rPr>
        <w:t xml:space="preserve">  </w:t>
      </w:r>
      <w:r w:rsidRPr="00754F59">
        <w:rPr>
          <w:lang w:eastAsia="en-US"/>
        </w:rPr>
        <w:t>Expenditure doubled again over this decade (Abbott &amp; Volberg, 2000).  After 2000</w:t>
      </w:r>
      <w:r w:rsidR="00CE687D" w:rsidRPr="00754F59">
        <w:rPr>
          <w:lang w:eastAsia="en-US"/>
        </w:rPr>
        <w:t>,</w:t>
      </w:r>
      <w:r w:rsidRPr="00754F59">
        <w:rPr>
          <w:lang w:eastAsia="en-US"/>
        </w:rPr>
        <w:t xml:space="preserve"> a</w:t>
      </w:r>
      <w:r w:rsidR="001B3F4B" w:rsidRPr="00754F59">
        <w:rPr>
          <w:lang w:eastAsia="en-US"/>
        </w:rPr>
        <w:t>n additional</w:t>
      </w:r>
      <w:r w:rsidRPr="00754F59">
        <w:rPr>
          <w:lang w:eastAsia="en-US"/>
        </w:rPr>
        <w:t xml:space="preserve"> casino was established, new lottery products were introduced and internet access was</w:t>
      </w:r>
      <w:r>
        <w:rPr>
          <w:lang w:eastAsia="en-US"/>
        </w:rPr>
        <w:t xml:space="preserve"> provided for betting on track and sports events and purchasing lottery products.  EGM venues and numbers continued to increase until 2004.  In that year</w:t>
      </w:r>
      <w:r w:rsidR="00CE687D">
        <w:rPr>
          <w:lang w:eastAsia="en-US"/>
        </w:rPr>
        <w:t>,</w:t>
      </w:r>
      <w:r>
        <w:rPr>
          <w:lang w:eastAsia="en-US"/>
        </w:rPr>
        <w:t xml:space="preserve"> total official gambling expenditure reached $2.04 billion.  Non-casino EGMs acc</w:t>
      </w:r>
      <w:r w:rsidR="00CE687D">
        <w:rPr>
          <w:lang w:eastAsia="en-US"/>
        </w:rPr>
        <w:t xml:space="preserve">ounted for half of this total. </w:t>
      </w:r>
    </w:p>
    <w:p w14:paraId="1A54ABD7" w14:textId="77777777" w:rsidR="0067540B" w:rsidRDefault="0067540B" w:rsidP="0067540B">
      <w:pPr>
        <w:jc w:val="both"/>
        <w:rPr>
          <w:lang w:eastAsia="en-US"/>
        </w:rPr>
      </w:pPr>
    </w:p>
    <w:p w14:paraId="3D51282E" w14:textId="77777777" w:rsidR="0067540B" w:rsidRDefault="0067540B" w:rsidP="0067540B">
      <w:pPr>
        <w:jc w:val="both"/>
        <w:rPr>
          <w:lang w:eastAsia="en-US"/>
        </w:rPr>
      </w:pPr>
      <w:r>
        <w:rPr>
          <w:lang w:eastAsia="en-US"/>
        </w:rPr>
        <w:t>The Gambling Act 2003 came into effect in 2004 (</w:t>
      </w:r>
      <w:r w:rsidR="006A7BF9">
        <w:rPr>
          <w:lang w:eastAsia="en-US"/>
        </w:rPr>
        <w:t>Gambling Act, 2003</w:t>
      </w:r>
      <w:r>
        <w:rPr>
          <w:lang w:eastAsia="en-US"/>
        </w:rPr>
        <w:t xml:space="preserve">).  This Act limits the number of non-casino EGMs in venues and gives </w:t>
      </w:r>
      <w:r w:rsidR="00DE1924">
        <w:rPr>
          <w:lang w:eastAsia="en-US"/>
        </w:rPr>
        <w:t xml:space="preserve">local </w:t>
      </w:r>
      <w:r w:rsidR="00A05E1B">
        <w:rPr>
          <w:lang w:eastAsia="en-US"/>
        </w:rPr>
        <w:t xml:space="preserve">government </w:t>
      </w:r>
      <w:r>
        <w:rPr>
          <w:lang w:eastAsia="en-US"/>
        </w:rPr>
        <w:t>authorities more control over the number and location of venues.  It prohibits the establishment of new casinos.  It also prohibits some forms of gambling via the internet and telephone</w:t>
      </w:r>
      <w:r w:rsidR="00CE687D">
        <w:rPr>
          <w:lang w:eastAsia="en-US"/>
        </w:rPr>
        <w:t>,</w:t>
      </w:r>
      <w:r>
        <w:rPr>
          <w:lang w:eastAsia="en-US"/>
        </w:rPr>
        <w:t xml:space="preserve"> while permitting the purchase of lottery products and betting on sport and track events online from approved New Zealand organisations.  The Act also placed gambling within a public health framework.  This includes the requirement for an integrated strategy, informed by independent research that includes programmes intended to prevent and minimise gambling harms.  Harm is defined broadly and includes “harm or distress of any kind arising from, or caused or exacerbated by, a person’s gambling, and includes pe</w:t>
      </w:r>
      <w:r w:rsidR="00CE687D">
        <w:rPr>
          <w:lang w:eastAsia="en-US"/>
        </w:rPr>
        <w:t>rsonal, social or economic harm</w:t>
      </w:r>
      <w:r>
        <w:rPr>
          <w:lang w:eastAsia="en-US"/>
        </w:rPr>
        <w:t>”</w:t>
      </w:r>
      <w:r w:rsidR="00CE687D">
        <w:rPr>
          <w:lang w:eastAsia="en-US"/>
        </w:rPr>
        <w:t xml:space="preserve"> (</w:t>
      </w:r>
      <w:r w:rsidR="00DE1924">
        <w:rPr>
          <w:lang w:eastAsia="en-US"/>
        </w:rPr>
        <w:t>Gambling Act, 200</w:t>
      </w:r>
      <w:r w:rsidR="00CE687D">
        <w:rPr>
          <w:lang w:eastAsia="en-US"/>
        </w:rPr>
        <w:t>3).</w:t>
      </w:r>
      <w:r>
        <w:rPr>
          <w:lang w:eastAsia="en-US"/>
        </w:rPr>
        <w:t xml:space="preserve">  It extends to harm experienced by people who gamble, families, wider communities, workplaces and society-at-large. </w:t>
      </w:r>
    </w:p>
    <w:p w14:paraId="6D7F34B7" w14:textId="77777777" w:rsidR="0067540B" w:rsidRDefault="0067540B" w:rsidP="0067540B">
      <w:pPr>
        <w:jc w:val="both"/>
        <w:rPr>
          <w:lang w:eastAsia="en-US"/>
        </w:rPr>
      </w:pPr>
    </w:p>
    <w:p w14:paraId="44163FAD" w14:textId="77777777" w:rsidR="0067540B" w:rsidRDefault="0067540B" w:rsidP="0067540B">
      <w:pPr>
        <w:jc w:val="both"/>
        <w:rPr>
          <w:lang w:eastAsia="en-US"/>
        </w:rPr>
      </w:pPr>
      <w:r>
        <w:rPr>
          <w:lang w:eastAsia="en-US"/>
        </w:rPr>
        <w:t>Gambling strategy objectives, programmes and funding allocations are outlined in Ministry of Health strategi</w:t>
      </w:r>
      <w:r w:rsidR="00B40646">
        <w:rPr>
          <w:lang w:eastAsia="en-US"/>
        </w:rPr>
        <w:t>es</w:t>
      </w:r>
      <w:r>
        <w:rPr>
          <w:lang w:eastAsia="en-US"/>
        </w:rPr>
        <w:t xml:space="preserve"> and associated three-year service plans (e.g. Ministry of Health, </w:t>
      </w:r>
      <w:r w:rsidR="0003371B">
        <w:rPr>
          <w:lang w:eastAsia="en-US"/>
        </w:rPr>
        <w:t xml:space="preserve">2004, </w:t>
      </w:r>
      <w:r>
        <w:rPr>
          <w:lang w:eastAsia="en-US"/>
        </w:rPr>
        <w:t xml:space="preserve">2005, 2007, 2010, 2013, 2016).  These plans include nationwide mass media campaigns designed to increase public awareness and understanding of gambling, gambling harm and measures that can be taken to counter them (Walker, Abbott &amp; Gray, 2012).  </w:t>
      </w:r>
      <w:r w:rsidR="00A710CC">
        <w:rPr>
          <w:lang w:eastAsia="en-US"/>
        </w:rPr>
        <w:t>A</w:t>
      </w:r>
      <w:r>
        <w:rPr>
          <w:lang w:eastAsia="en-US"/>
        </w:rPr>
        <w:t>ddition</w:t>
      </w:r>
      <w:r w:rsidR="00A710CC">
        <w:rPr>
          <w:lang w:eastAsia="en-US"/>
        </w:rPr>
        <w:t>al</w:t>
      </w:r>
      <w:r>
        <w:rPr>
          <w:lang w:eastAsia="en-US"/>
        </w:rPr>
        <w:t xml:space="preserve"> to a national helpline and a range of clinical and associated services to assist problem gamblers and family members, plans include prevention activities, </w:t>
      </w:r>
      <w:r w:rsidR="00A710CC">
        <w:rPr>
          <w:lang w:eastAsia="en-US"/>
        </w:rPr>
        <w:t>for example,</w:t>
      </w:r>
      <w:r>
        <w:rPr>
          <w:lang w:eastAsia="en-US"/>
        </w:rPr>
        <w:t xml:space="preserve"> working with organisations to introduce gambling workplace policies, encouraging community groups to find non-gambling sources of revenue and influencing </w:t>
      </w:r>
      <w:r w:rsidR="00E07522">
        <w:rPr>
          <w:lang w:eastAsia="en-US"/>
        </w:rPr>
        <w:t xml:space="preserve">local </w:t>
      </w:r>
      <w:r w:rsidR="00A05E1B">
        <w:rPr>
          <w:lang w:eastAsia="en-US"/>
        </w:rPr>
        <w:t xml:space="preserve">government </w:t>
      </w:r>
      <w:r>
        <w:rPr>
          <w:lang w:eastAsia="en-US"/>
        </w:rPr>
        <w:t xml:space="preserve">authority policies </w:t>
      </w:r>
      <w:r w:rsidR="00A710CC">
        <w:rPr>
          <w:lang w:eastAsia="en-US"/>
        </w:rPr>
        <w:t>in regard</w:t>
      </w:r>
      <w:r>
        <w:rPr>
          <w:lang w:eastAsia="en-US"/>
        </w:rPr>
        <w:t xml:space="preserve"> to EGM numbers and distribution (Kolandai-Matchett et al</w:t>
      </w:r>
      <w:r w:rsidR="00A710CC">
        <w:rPr>
          <w:lang w:eastAsia="en-US"/>
        </w:rPr>
        <w:t>.</w:t>
      </w:r>
      <w:r>
        <w:rPr>
          <w:lang w:eastAsia="en-US"/>
        </w:rPr>
        <w:t>, 2015, 2017).</w:t>
      </w:r>
    </w:p>
    <w:p w14:paraId="2495989B" w14:textId="77777777" w:rsidR="0067540B" w:rsidRDefault="0067540B" w:rsidP="0067540B">
      <w:pPr>
        <w:jc w:val="both"/>
        <w:rPr>
          <w:lang w:eastAsia="en-US"/>
        </w:rPr>
      </w:pPr>
    </w:p>
    <w:p w14:paraId="1A0C3419" w14:textId="3A791BDF" w:rsidR="0067540B" w:rsidRDefault="0067540B" w:rsidP="0067540B">
      <w:pPr>
        <w:jc w:val="both"/>
        <w:rPr>
          <w:lang w:eastAsia="en-US"/>
        </w:rPr>
      </w:pPr>
      <w:r>
        <w:rPr>
          <w:lang w:eastAsia="en-US"/>
        </w:rPr>
        <w:t>Following passage of the Gambling Act 2003</w:t>
      </w:r>
      <w:r w:rsidR="007A38BC">
        <w:rPr>
          <w:lang w:eastAsia="en-US"/>
        </w:rPr>
        <w:t>,</w:t>
      </w:r>
      <w:r>
        <w:rPr>
          <w:lang w:eastAsia="en-US"/>
        </w:rPr>
        <w:t xml:space="preserve"> most </w:t>
      </w:r>
      <w:r w:rsidR="007A38BC">
        <w:rPr>
          <w:lang w:eastAsia="en-US"/>
        </w:rPr>
        <w:t>local government</w:t>
      </w:r>
      <w:r>
        <w:rPr>
          <w:lang w:eastAsia="en-US"/>
        </w:rPr>
        <w:t xml:space="preserve"> authorities adopted caps or sinking lid policies </w:t>
      </w:r>
      <w:r w:rsidR="007A38BC">
        <w:rPr>
          <w:lang w:eastAsia="en-US"/>
        </w:rPr>
        <w:t>in regard</w:t>
      </w:r>
      <w:r>
        <w:rPr>
          <w:lang w:eastAsia="en-US"/>
        </w:rPr>
        <w:t xml:space="preserve"> to EGM venues and machine numbers.  In 2003 there were 25,221 EGMs in clubs and pubs.  Numbers </w:t>
      </w:r>
      <w:r w:rsidR="007A38BC">
        <w:rPr>
          <w:lang w:eastAsia="en-US"/>
        </w:rPr>
        <w:t>decreased</w:t>
      </w:r>
      <w:r>
        <w:rPr>
          <w:lang w:eastAsia="en-US"/>
        </w:rPr>
        <w:t xml:space="preserve"> steadily in subsequent years to total 16,053 in 2016 (Department of Internal Affairs, 2017</w:t>
      </w:r>
      <w:r w:rsidR="00622B35">
        <w:rPr>
          <w:lang w:eastAsia="en-US"/>
        </w:rPr>
        <w:t>a</w:t>
      </w:r>
      <w:r>
        <w:rPr>
          <w:lang w:eastAsia="en-US"/>
        </w:rPr>
        <w:t>).  From 2003 to 2016</w:t>
      </w:r>
      <w:r w:rsidR="00A05E1B">
        <w:rPr>
          <w:lang w:eastAsia="en-US"/>
        </w:rPr>
        <w:t>,</w:t>
      </w:r>
      <w:r>
        <w:rPr>
          <w:lang w:eastAsia="en-US"/>
        </w:rPr>
        <w:t xml:space="preserve"> overall official gambling expenditure remained around $2 billion per annum.  However, it </w:t>
      </w:r>
      <w:r w:rsidR="007A38BC">
        <w:rPr>
          <w:lang w:eastAsia="en-US"/>
        </w:rPr>
        <w:t>decreased</w:t>
      </w:r>
      <w:r>
        <w:rPr>
          <w:lang w:eastAsia="en-US"/>
        </w:rPr>
        <w:t xml:space="preserve"> by a fifth when </w:t>
      </w:r>
      <w:r w:rsidR="007A38BC">
        <w:rPr>
          <w:lang w:eastAsia="en-US"/>
        </w:rPr>
        <w:t xml:space="preserve">adjusted for </w:t>
      </w:r>
      <w:r>
        <w:rPr>
          <w:lang w:eastAsia="en-US"/>
        </w:rPr>
        <w:t xml:space="preserve">inflation.  Non-casino EGM expenditure </w:t>
      </w:r>
      <w:r w:rsidR="007A38BC">
        <w:rPr>
          <w:lang w:eastAsia="en-US"/>
        </w:rPr>
        <w:t>reduced</w:t>
      </w:r>
      <w:r>
        <w:rPr>
          <w:lang w:eastAsia="en-US"/>
        </w:rPr>
        <w:t xml:space="preserve"> from </w:t>
      </w:r>
      <w:r w:rsidR="00A05E1B">
        <w:rPr>
          <w:lang w:eastAsia="en-US"/>
        </w:rPr>
        <w:t>about</w:t>
      </w:r>
      <w:r>
        <w:rPr>
          <w:lang w:eastAsia="en-US"/>
        </w:rPr>
        <w:t xml:space="preserve"> half to 40% of total expenditure.  Since 2003</w:t>
      </w:r>
      <w:r w:rsidR="007A38BC">
        <w:rPr>
          <w:lang w:eastAsia="en-US"/>
        </w:rPr>
        <w:t>,</w:t>
      </w:r>
      <w:r>
        <w:rPr>
          <w:lang w:eastAsia="en-US"/>
        </w:rPr>
        <w:t xml:space="preserve"> the New Zealand population has grown significantly.  This means that per capita expenditure has decreased by more than a fifth.  New Zealand’s ranking in terms of per capita gambling expenditure has fallen.  Currently New Zealand ranks sixth, below the United States</w:t>
      </w:r>
      <w:r w:rsidR="007A38BC">
        <w:rPr>
          <w:lang w:eastAsia="en-US"/>
        </w:rPr>
        <w:t xml:space="preserve"> of America</w:t>
      </w:r>
      <w:r>
        <w:rPr>
          <w:lang w:eastAsia="en-US"/>
        </w:rPr>
        <w:t xml:space="preserve"> </w:t>
      </w:r>
      <w:r w:rsidR="005F14F6">
        <w:rPr>
          <w:lang w:eastAsia="en-US"/>
        </w:rPr>
        <w:t xml:space="preserve">(USA) </w:t>
      </w:r>
      <w:r>
        <w:rPr>
          <w:lang w:eastAsia="en-US"/>
        </w:rPr>
        <w:t xml:space="preserve">and above Canada.  Australia retains top ranking with </w:t>
      </w:r>
      <w:r w:rsidR="007A38BC">
        <w:rPr>
          <w:lang w:eastAsia="en-US"/>
        </w:rPr>
        <w:t>more than</w:t>
      </w:r>
      <w:r>
        <w:rPr>
          <w:lang w:eastAsia="en-US"/>
        </w:rPr>
        <w:t xml:space="preserve"> double New Zealand’s per capita expenditure (The Data Team, 2017).</w:t>
      </w:r>
    </w:p>
    <w:p w14:paraId="613768FD" w14:textId="77777777" w:rsidR="0067540B" w:rsidRDefault="0067540B" w:rsidP="0067540B">
      <w:pPr>
        <w:jc w:val="both"/>
        <w:rPr>
          <w:lang w:eastAsia="en-US"/>
        </w:rPr>
      </w:pPr>
    </w:p>
    <w:p w14:paraId="25C39DCF" w14:textId="77777777" w:rsidR="0067540B" w:rsidRDefault="0067540B" w:rsidP="0067540B">
      <w:pPr>
        <w:jc w:val="both"/>
        <w:rPr>
          <w:lang w:eastAsia="en-US"/>
        </w:rPr>
      </w:pPr>
      <w:r>
        <w:rPr>
          <w:lang w:eastAsia="en-US"/>
        </w:rPr>
        <w:t>As outlined in Abbott (2017b)</w:t>
      </w:r>
      <w:r w:rsidR="00606AD7">
        <w:rPr>
          <w:lang w:eastAsia="en-US"/>
        </w:rPr>
        <w:t>,</w:t>
      </w:r>
      <w:r>
        <w:rPr>
          <w:lang w:eastAsia="en-US"/>
        </w:rPr>
        <w:t xml:space="preserve"> New Zealand is unique in that it has a series of national gambling participation and attitude surveys dati</w:t>
      </w:r>
      <w:r w:rsidR="002B684E">
        <w:rPr>
          <w:lang w:eastAsia="en-US"/>
        </w:rPr>
        <w:t>ng from 1985 to 2005 (</w:t>
      </w:r>
      <w:r>
        <w:rPr>
          <w:lang w:eastAsia="en-US"/>
        </w:rPr>
        <w:t>Christoffel, 1992; Department of Internal Affairs, 2007; Reid and Searle, 1996; Wither, 198</w:t>
      </w:r>
      <w:r w:rsidR="0003371B">
        <w:rPr>
          <w:lang w:eastAsia="en-US"/>
        </w:rPr>
        <w:t>8</w:t>
      </w:r>
      <w:r>
        <w:rPr>
          <w:lang w:eastAsia="en-US"/>
        </w:rPr>
        <w:t>).  As mentioned</w:t>
      </w:r>
      <w:r w:rsidR="00606AD7">
        <w:rPr>
          <w:lang w:eastAsia="en-US"/>
        </w:rPr>
        <w:t>,</w:t>
      </w:r>
      <w:r>
        <w:rPr>
          <w:lang w:eastAsia="en-US"/>
        </w:rPr>
        <w:t xml:space="preserve"> the first of these surveys was conducted prior to the post 1986 increase in gambling availability.  This survey, conducted by the Department of Internal Affairs (DIA), was subsequently repeated every five years.  All of these surveys used face-to-face residential recruitment and interviewing</w:t>
      </w:r>
      <w:r w:rsidR="00606AD7">
        <w:rPr>
          <w:lang w:eastAsia="en-US"/>
        </w:rPr>
        <w:t>,</w:t>
      </w:r>
      <w:r>
        <w:rPr>
          <w:lang w:eastAsia="en-US"/>
        </w:rPr>
        <w:t xml:space="preserve"> and most of the survey questionnaire content remained the same.  This facilitated comparison of survey findings over time.</w:t>
      </w:r>
    </w:p>
    <w:p w14:paraId="5C89D741" w14:textId="77777777" w:rsidR="0067540B" w:rsidRDefault="0067540B" w:rsidP="0067540B">
      <w:pPr>
        <w:jc w:val="both"/>
        <w:rPr>
          <w:lang w:eastAsia="en-US"/>
        </w:rPr>
      </w:pPr>
    </w:p>
    <w:p w14:paraId="2F13B646" w14:textId="77777777" w:rsidR="0067540B" w:rsidRDefault="0067540B" w:rsidP="0067540B">
      <w:pPr>
        <w:jc w:val="both"/>
        <w:rPr>
          <w:lang w:eastAsia="en-US"/>
        </w:rPr>
      </w:pPr>
      <w:r>
        <w:rPr>
          <w:lang w:eastAsia="en-US"/>
        </w:rPr>
        <w:t>Mention has also been made of the first New Zealand national survey of gambling and problem gambling (Abbott &amp; Volberg, 1991, 1992, 1996; Volberg &amp; Abbott, 1994).  The survey was timed to coincide with the second DIA gambling participation and attitudes survey</w:t>
      </w:r>
      <w:r w:rsidR="00606AD7">
        <w:rPr>
          <w:lang w:eastAsia="en-US"/>
        </w:rPr>
        <w:t>, and</w:t>
      </w:r>
      <w:r>
        <w:rPr>
          <w:lang w:eastAsia="en-US"/>
        </w:rPr>
        <w:t xml:space="preserve"> was the first national survey internationally to use a validated problem gambling instrument.  It was also the first to use a current measure of problem gambling.  This measure, the South Oaks Gambling Screen-Revised (SOGS-R), was adapted from the original lifetime South Oaks Gambling Screen (SOGS) (Lesieur &amp; Blume, 1987) and provided both lifetime and current (past 6 months) assessment frames.  Subsequently the SOGS-R became the most widely used measure of problem gambling in population research, typically with the current frame extended to 12 months and the lifetime frame omitted (Abbott &amp; Volberg, 2006).  In recent years</w:t>
      </w:r>
      <w:r w:rsidR="00A05E1B">
        <w:rPr>
          <w:lang w:eastAsia="en-US"/>
        </w:rPr>
        <w:t>,</w:t>
      </w:r>
      <w:r>
        <w:rPr>
          <w:lang w:eastAsia="en-US"/>
        </w:rPr>
        <w:t xml:space="preserve"> it has increasingly been replaced by the Problem Gambling Severity Index (Ferris &amp; Wynne, 2001), a past 12 months measure.  </w:t>
      </w:r>
    </w:p>
    <w:p w14:paraId="22447738" w14:textId="77777777" w:rsidR="0067540B" w:rsidRDefault="0067540B" w:rsidP="0067540B">
      <w:pPr>
        <w:jc w:val="both"/>
        <w:rPr>
          <w:lang w:eastAsia="en-US"/>
        </w:rPr>
      </w:pPr>
    </w:p>
    <w:p w14:paraId="379E6660" w14:textId="77777777" w:rsidR="0067540B" w:rsidRDefault="0067540B" w:rsidP="0067540B">
      <w:pPr>
        <w:jc w:val="both"/>
        <w:rPr>
          <w:lang w:eastAsia="en-US"/>
        </w:rPr>
      </w:pPr>
      <w:r>
        <w:rPr>
          <w:lang w:eastAsia="en-US"/>
        </w:rPr>
        <w:t xml:space="preserve">A second New Zealand gambling and problem gambling survey was completed during 1999, a year before the fourth DIA gambling participation and attitudes survey (Abbott, 2001; Abbott &amp; Volberg, 2000).  The 1990 and 1999 national gambling and problem gambling </w:t>
      </w:r>
      <w:r w:rsidR="00A05E1B">
        <w:rPr>
          <w:lang w:eastAsia="en-US"/>
        </w:rPr>
        <w:t>surveys</w:t>
      </w:r>
      <w:r>
        <w:rPr>
          <w:lang w:eastAsia="en-US"/>
        </w:rPr>
        <w:t>, in contrast to the DIA surveys, used landline telephone recruitment and interviewing in the main survey phase.  At that time</w:t>
      </w:r>
      <w:r w:rsidR="00A05E1B">
        <w:rPr>
          <w:lang w:eastAsia="en-US"/>
        </w:rPr>
        <w:t>,</w:t>
      </w:r>
      <w:r>
        <w:rPr>
          <w:lang w:eastAsia="en-US"/>
        </w:rPr>
        <w:t xml:space="preserve"> the great majority of residential dwellings had landline telephones and response rates were similar across the DIA and telephone surveys.  It was found that the gambling participation and other findings from </w:t>
      </w:r>
      <w:r w:rsidR="00123BC8">
        <w:rPr>
          <w:lang w:eastAsia="en-US"/>
        </w:rPr>
        <w:t xml:space="preserve">the </w:t>
      </w:r>
      <w:r>
        <w:rPr>
          <w:lang w:eastAsia="en-US"/>
        </w:rPr>
        <w:t xml:space="preserve">1990 and 1999 telephone surveys were virtually identical to findings from the corresponding face-to-face surveys.  </w:t>
      </w:r>
    </w:p>
    <w:p w14:paraId="52CA5235" w14:textId="77777777" w:rsidR="0067540B" w:rsidRDefault="0067540B" w:rsidP="0067540B">
      <w:pPr>
        <w:jc w:val="both"/>
        <w:rPr>
          <w:lang w:eastAsia="en-US"/>
        </w:rPr>
      </w:pPr>
    </w:p>
    <w:p w14:paraId="36C09338" w14:textId="77777777" w:rsidR="0067540B" w:rsidRDefault="0067540B" w:rsidP="0067540B">
      <w:pPr>
        <w:jc w:val="both"/>
        <w:rPr>
          <w:lang w:eastAsia="en-US"/>
        </w:rPr>
      </w:pPr>
      <w:r w:rsidRPr="00754F59">
        <w:rPr>
          <w:lang w:eastAsia="en-US"/>
        </w:rPr>
        <w:t xml:space="preserve">In both of the 1990 and 1999 </w:t>
      </w:r>
      <w:r w:rsidR="001B3F4B" w:rsidRPr="00754F59">
        <w:rPr>
          <w:lang w:eastAsia="en-US"/>
        </w:rPr>
        <w:t>surveys</w:t>
      </w:r>
      <w:r w:rsidR="00123BC8" w:rsidRPr="00754F59">
        <w:rPr>
          <w:lang w:eastAsia="en-US"/>
        </w:rPr>
        <w:t>,</w:t>
      </w:r>
      <w:r w:rsidRPr="00754F59">
        <w:rPr>
          <w:lang w:eastAsia="en-US"/>
        </w:rPr>
        <w:t xml:space="preserve"> problem gamblers and selected subsamples of non-</w:t>
      </w:r>
      <w:r>
        <w:rPr>
          <w:lang w:eastAsia="en-US"/>
        </w:rPr>
        <w:t xml:space="preserve">problem gamblers were interviewed </w:t>
      </w:r>
      <w:r w:rsidR="00123BC8">
        <w:rPr>
          <w:lang w:eastAsia="en-US"/>
        </w:rPr>
        <w:t xml:space="preserve">face-to-face </w:t>
      </w:r>
      <w:r>
        <w:rPr>
          <w:lang w:eastAsia="en-US"/>
        </w:rPr>
        <w:t>a few months after their initial interviews.  This extension to the studies enable</w:t>
      </w:r>
      <w:r w:rsidR="003B74B4">
        <w:rPr>
          <w:lang w:eastAsia="en-US"/>
        </w:rPr>
        <w:t>d</w:t>
      </w:r>
      <w:r>
        <w:rPr>
          <w:lang w:eastAsia="en-US"/>
        </w:rPr>
        <w:t xml:space="preserve"> the collection of additional, more detailed, information and to assess the validity of the SOGS-R in the general population.  It had been widely claimed that the SOGS (and by implication SOGS-R) over-estimated the prevalence of problem gambling in population research due to the generation of large numbers of false positives (people who score as problem gamblers but who are not </w:t>
      </w:r>
      <w:r w:rsidR="003B74B4">
        <w:rPr>
          <w:lang w:eastAsia="en-US"/>
        </w:rPr>
        <w:t>actually</w:t>
      </w:r>
      <w:r>
        <w:rPr>
          <w:lang w:eastAsia="en-US"/>
        </w:rPr>
        <w:t xml:space="preserve"> problem gamblers when assessed more fully).  The second phase interviewers were blind to participants’ SOGS-R categorisation.  They were required to make an assessment using DSM pathological gambling criteria.  In both studies it was found that while there were significant numbers of false positives, they were counter-balanced by false negatives, meaning that the initial prevalence estimates were likely to be reasonably accurate, if not conservative.  Partly for this reason, as well </w:t>
      </w:r>
      <w:r w:rsidR="00123BC8">
        <w:rPr>
          <w:lang w:eastAsia="en-US"/>
        </w:rPr>
        <w:t xml:space="preserve">as </w:t>
      </w:r>
      <w:r>
        <w:rPr>
          <w:lang w:eastAsia="en-US"/>
        </w:rPr>
        <w:t>for reasons of practicality and cost, subsequent prevalence surveys worldwide have not included similar procedures to assess classification accuracy and use this information to adjust prevalence estimates.</w:t>
      </w:r>
    </w:p>
    <w:p w14:paraId="14DCAEA0" w14:textId="77777777" w:rsidR="0067540B" w:rsidRDefault="0067540B" w:rsidP="0067540B">
      <w:pPr>
        <w:jc w:val="both"/>
        <w:rPr>
          <w:lang w:eastAsia="en-US"/>
        </w:rPr>
      </w:pPr>
    </w:p>
    <w:p w14:paraId="7123FD73" w14:textId="77777777" w:rsidR="0067540B" w:rsidRDefault="0067540B" w:rsidP="0067540B">
      <w:pPr>
        <w:jc w:val="both"/>
        <w:rPr>
          <w:lang w:eastAsia="en-US"/>
        </w:rPr>
      </w:pPr>
      <w:r w:rsidRPr="00E21B86">
        <w:rPr>
          <w:lang w:eastAsia="en-US"/>
        </w:rPr>
        <w:t>The National Gambling Study was part</w:t>
      </w:r>
      <w:r w:rsidR="00696A5C" w:rsidRPr="00E21B86">
        <w:rPr>
          <w:lang w:eastAsia="en-US"/>
        </w:rPr>
        <w:t>ly</w:t>
      </w:r>
      <w:r w:rsidRPr="00E21B86">
        <w:rPr>
          <w:lang w:eastAsia="en-US"/>
        </w:rPr>
        <w:t xml:space="preserve"> designed to facilitate comparisons with findings from</w:t>
      </w:r>
      <w:r>
        <w:rPr>
          <w:lang w:eastAsia="en-US"/>
        </w:rPr>
        <w:t xml:space="preserve"> the 1985-2005 DIA surveys</w:t>
      </w:r>
      <w:r w:rsidR="00696A5C">
        <w:rPr>
          <w:lang w:eastAsia="en-US"/>
        </w:rPr>
        <w:t>,</w:t>
      </w:r>
      <w:r>
        <w:rPr>
          <w:lang w:eastAsia="en-US"/>
        </w:rPr>
        <w:t xml:space="preserve"> and the 1990 and 1999 national surveys of gambling and problem gambling (Abbott et al</w:t>
      </w:r>
      <w:r w:rsidR="00E21B86">
        <w:rPr>
          <w:lang w:eastAsia="en-US"/>
        </w:rPr>
        <w:t>.</w:t>
      </w:r>
      <w:r>
        <w:rPr>
          <w:lang w:eastAsia="en-US"/>
        </w:rPr>
        <w:t>, 2014a).  A further consideration was to enable comparison with more recent gambling and problem gambling prevalence survey results in New Zealand and elsewhere</w:t>
      </w:r>
      <w:r w:rsidR="00696A5C">
        <w:rPr>
          <w:lang w:eastAsia="en-US"/>
        </w:rPr>
        <w:t>,</w:t>
      </w:r>
      <w:r>
        <w:rPr>
          <w:lang w:eastAsia="en-US"/>
        </w:rPr>
        <w:t xml:space="preserve"> </w:t>
      </w:r>
      <w:r w:rsidR="00E21B86">
        <w:rPr>
          <w:lang w:eastAsia="en-US"/>
        </w:rPr>
        <w:t>including</w:t>
      </w:r>
      <w:r>
        <w:rPr>
          <w:lang w:eastAsia="en-US"/>
        </w:rPr>
        <w:t xml:space="preserve"> the Swedish and Victorian prospective gambling studies (Billi</w:t>
      </w:r>
      <w:r w:rsidR="00E21B86">
        <w:rPr>
          <w:lang w:eastAsia="en-US"/>
        </w:rPr>
        <w:t>, Stone, Abbott &amp; Yeung, 2015; Romild</w:t>
      </w:r>
      <w:r>
        <w:rPr>
          <w:lang w:eastAsia="en-US"/>
        </w:rPr>
        <w:t xml:space="preserve"> </w:t>
      </w:r>
      <w:r w:rsidR="00E21B86">
        <w:rPr>
          <w:lang w:eastAsia="en-US"/>
        </w:rPr>
        <w:t>et al.</w:t>
      </w:r>
      <w:r>
        <w:rPr>
          <w:lang w:eastAsia="en-US"/>
        </w:rPr>
        <w:t>, 2014).  Like the DIA surveys</w:t>
      </w:r>
      <w:r w:rsidR="00696A5C">
        <w:rPr>
          <w:lang w:eastAsia="en-US"/>
        </w:rPr>
        <w:t>,</w:t>
      </w:r>
      <w:r>
        <w:rPr>
          <w:lang w:eastAsia="en-US"/>
        </w:rPr>
        <w:t xml:space="preserve"> the NGS involves face-to-face household recruitment and interviewing.  This assists in comparing study findings with the 20-year series of DIA surveys.  This approach was also taken because of the marked </w:t>
      </w:r>
      <w:r w:rsidR="00696A5C">
        <w:rPr>
          <w:lang w:eastAsia="en-US"/>
        </w:rPr>
        <w:t>reduction</w:t>
      </w:r>
      <w:r w:rsidR="00E21B86">
        <w:rPr>
          <w:lang w:eastAsia="en-US"/>
        </w:rPr>
        <w:t xml:space="preserve"> in residential land</w:t>
      </w:r>
      <w:r>
        <w:rPr>
          <w:lang w:eastAsia="en-US"/>
        </w:rPr>
        <w:t>line telephone connections during the past decade, the complexity of mixed mode recruitment (e.g. mobile and landlines), the importance of obtaining a high response rate</w:t>
      </w:r>
      <w:r w:rsidR="00696A5C">
        <w:rPr>
          <w:lang w:eastAsia="en-US"/>
        </w:rPr>
        <w:t>,</w:t>
      </w:r>
      <w:r>
        <w:rPr>
          <w:lang w:eastAsia="en-US"/>
        </w:rPr>
        <w:t xml:space="preserve"> and retention in subsequent study phases.</w:t>
      </w:r>
    </w:p>
    <w:p w14:paraId="0CBF1001" w14:textId="77777777" w:rsidR="0067540B" w:rsidRDefault="0067540B" w:rsidP="0067540B">
      <w:pPr>
        <w:jc w:val="both"/>
        <w:rPr>
          <w:lang w:eastAsia="en-US"/>
        </w:rPr>
      </w:pPr>
    </w:p>
    <w:p w14:paraId="18D5A725" w14:textId="77777777" w:rsidR="0067540B" w:rsidRDefault="0067540B" w:rsidP="0067540B">
      <w:pPr>
        <w:jc w:val="both"/>
        <w:rPr>
          <w:lang w:eastAsia="en-US"/>
        </w:rPr>
      </w:pPr>
      <w:r>
        <w:rPr>
          <w:lang w:eastAsia="en-US"/>
        </w:rPr>
        <w:t xml:space="preserve">As mentioned in the introduction to this </w:t>
      </w:r>
      <w:r w:rsidR="00E21B86">
        <w:rPr>
          <w:lang w:eastAsia="en-US"/>
        </w:rPr>
        <w:t>chapter</w:t>
      </w:r>
      <w:r w:rsidR="00696A5C">
        <w:rPr>
          <w:lang w:eastAsia="en-US"/>
        </w:rPr>
        <w:t>,</w:t>
      </w:r>
      <w:r>
        <w:rPr>
          <w:lang w:eastAsia="en-US"/>
        </w:rPr>
        <w:t xml:space="preserve"> the first phase of the NGS was conducted in 2012 (Abbott et al., 2014a, 2014b, 2015</w:t>
      </w:r>
      <w:r w:rsidR="0003371B">
        <w:rPr>
          <w:lang w:eastAsia="en-US"/>
        </w:rPr>
        <w:t>a</w:t>
      </w:r>
      <w:r>
        <w:rPr>
          <w:lang w:eastAsia="en-US"/>
        </w:rPr>
        <w:t>).  Reports on this phase provide background information, critical reviews of relevant bodies of research and methodological details.  These reports al</w:t>
      </w:r>
      <w:r w:rsidR="0007639D">
        <w:rPr>
          <w:lang w:eastAsia="en-US"/>
        </w:rPr>
        <w:t>so presented the results of that</w:t>
      </w:r>
      <w:r>
        <w:rPr>
          <w:lang w:eastAsia="en-US"/>
        </w:rPr>
        <w:t xml:space="preserve"> phase of the study </w:t>
      </w:r>
      <w:r w:rsidR="00696A5C">
        <w:rPr>
          <w:lang w:eastAsia="en-US"/>
        </w:rPr>
        <w:t>in regard</w:t>
      </w:r>
      <w:r>
        <w:rPr>
          <w:lang w:eastAsia="en-US"/>
        </w:rPr>
        <w:t xml:space="preserve"> to gambling participation, problem gambling and gambling-related harm, comorbidities and attitudes towards gambling.</w:t>
      </w:r>
    </w:p>
    <w:p w14:paraId="5779F36F" w14:textId="77777777" w:rsidR="0067540B" w:rsidRDefault="0067540B" w:rsidP="0067540B">
      <w:pPr>
        <w:jc w:val="both"/>
        <w:rPr>
          <w:lang w:eastAsia="en-US"/>
        </w:rPr>
      </w:pPr>
      <w:r>
        <w:rPr>
          <w:lang w:eastAsia="en-US"/>
        </w:rPr>
        <w:t>During the</w:t>
      </w:r>
      <w:r w:rsidR="00696A5C">
        <w:rPr>
          <w:lang w:eastAsia="en-US"/>
        </w:rPr>
        <w:t xml:space="preserve"> past decade, in addition to on</w:t>
      </w:r>
      <w:r>
        <w:rPr>
          <w:lang w:eastAsia="en-US"/>
        </w:rPr>
        <w:t xml:space="preserve">line gambling, there has </w:t>
      </w:r>
      <w:r w:rsidR="00696A5C">
        <w:rPr>
          <w:lang w:eastAsia="en-US"/>
        </w:rPr>
        <w:t>been proliferation of on</w:t>
      </w:r>
      <w:r>
        <w:rPr>
          <w:lang w:eastAsia="en-US"/>
        </w:rPr>
        <w:t xml:space="preserve">line gaming.  Increasingly, in recent years, there has also been a convergence of online gambling </w:t>
      </w:r>
      <w:r w:rsidRPr="00754F59">
        <w:rPr>
          <w:lang w:eastAsia="en-US"/>
        </w:rPr>
        <w:t>and gaming (King</w:t>
      </w:r>
      <w:r w:rsidR="0007639D" w:rsidRPr="00754F59">
        <w:rPr>
          <w:lang w:eastAsia="en-US"/>
        </w:rPr>
        <w:t>, Gainsbury, Delfabbro, Hing &amp; Abarbanel</w:t>
      </w:r>
      <w:r w:rsidRPr="00754F59">
        <w:rPr>
          <w:lang w:eastAsia="en-US"/>
        </w:rPr>
        <w:t xml:space="preserve">, 2015).  This </w:t>
      </w:r>
      <w:r w:rsidR="001B3F4B" w:rsidRPr="00754F59">
        <w:rPr>
          <w:lang w:eastAsia="en-US"/>
        </w:rPr>
        <w:t>convergence</w:t>
      </w:r>
      <w:r w:rsidR="001B3F4B">
        <w:rPr>
          <w:lang w:eastAsia="en-US"/>
        </w:rPr>
        <w:t xml:space="preserve"> </w:t>
      </w:r>
      <w:r>
        <w:rPr>
          <w:lang w:eastAsia="en-US"/>
        </w:rPr>
        <w:t xml:space="preserve">includes the development of online ‘gaming’ activities that simulate gambling that uses money, as well as the development of virtual, symbolic ‘currencies’.  Gambling-like activities provide an experience of gambling without using money.  They include demonstration games on internet sites and social casino games on social networking sites (Griffiths, 2015; </w:t>
      </w:r>
      <w:r w:rsidR="0007639D">
        <w:rPr>
          <w:lang w:eastAsia="en-US"/>
        </w:rPr>
        <w:t>King &amp;</w:t>
      </w:r>
      <w:r>
        <w:rPr>
          <w:lang w:eastAsia="en-US"/>
        </w:rPr>
        <w:t xml:space="preserve"> Delfabbro, 2016).  Gambling and gambling-type games not played for money were included in the NGS because relatively little is known about them and because they probably play a role in the recruitment of people to gambling</w:t>
      </w:r>
      <w:r w:rsidR="00BF1C96">
        <w:rPr>
          <w:lang w:eastAsia="en-US"/>
        </w:rPr>
        <w:t>,</w:t>
      </w:r>
      <w:r>
        <w:rPr>
          <w:lang w:eastAsia="en-US"/>
        </w:rPr>
        <w:t xml:space="preserve"> and may contribute to gambling-related harm.</w:t>
      </w:r>
    </w:p>
    <w:p w14:paraId="7C7CBD9D" w14:textId="77777777" w:rsidR="00BF1C96" w:rsidRDefault="00BF1C96" w:rsidP="0067540B">
      <w:pPr>
        <w:jc w:val="both"/>
        <w:rPr>
          <w:lang w:eastAsia="en-US"/>
        </w:rPr>
      </w:pPr>
    </w:p>
    <w:p w14:paraId="58833D80" w14:textId="77777777" w:rsidR="0067540B" w:rsidRDefault="0067540B" w:rsidP="0067540B">
      <w:pPr>
        <w:jc w:val="both"/>
        <w:rPr>
          <w:lang w:eastAsia="en-US"/>
        </w:rPr>
      </w:pPr>
    </w:p>
    <w:p w14:paraId="3DDB2EF1" w14:textId="77777777" w:rsidR="0067540B" w:rsidRPr="00BF1C96" w:rsidRDefault="0067540B" w:rsidP="0067540B">
      <w:pPr>
        <w:jc w:val="both"/>
        <w:rPr>
          <w:b/>
          <w:i/>
          <w:lang w:eastAsia="en-US"/>
        </w:rPr>
      </w:pPr>
      <w:r w:rsidRPr="00BF1C96">
        <w:rPr>
          <w:b/>
          <w:i/>
          <w:lang w:eastAsia="en-US"/>
        </w:rPr>
        <w:t xml:space="preserve">Relationships between gambling availability, participation and gambling-related harm </w:t>
      </w:r>
    </w:p>
    <w:p w14:paraId="1CA4AC6B" w14:textId="77777777" w:rsidR="0067540B" w:rsidRDefault="0067540B" w:rsidP="0067540B">
      <w:pPr>
        <w:jc w:val="both"/>
        <w:rPr>
          <w:lang w:eastAsia="en-US"/>
        </w:rPr>
      </w:pPr>
    </w:p>
    <w:p w14:paraId="747748AE" w14:textId="77777777" w:rsidR="0067540B" w:rsidRDefault="0067540B" w:rsidP="0067540B">
      <w:pPr>
        <w:jc w:val="both"/>
        <w:rPr>
          <w:lang w:eastAsia="en-US"/>
        </w:rPr>
      </w:pPr>
      <w:r>
        <w:rPr>
          <w:lang w:eastAsia="en-US"/>
        </w:rPr>
        <w:t xml:space="preserve">Gambling prevalence surveys and studies of help-seeking populations have found strong associations between participation in some gambling </w:t>
      </w:r>
      <w:r w:rsidR="00AD754B">
        <w:rPr>
          <w:lang w:eastAsia="en-US"/>
        </w:rPr>
        <w:t xml:space="preserve">activities </w:t>
      </w:r>
      <w:r>
        <w:rPr>
          <w:lang w:eastAsia="en-US"/>
        </w:rPr>
        <w:t>and problem gambling, particularly those that are continuous in nature and involve an element of skill or perceived skill (Abbott et al., 2014</w:t>
      </w:r>
      <w:r w:rsidR="0003371B">
        <w:rPr>
          <w:lang w:eastAsia="en-US"/>
        </w:rPr>
        <w:t>a</w:t>
      </w:r>
      <w:r>
        <w:rPr>
          <w:lang w:eastAsia="en-US"/>
        </w:rPr>
        <w:t>; Binde, 2011</w:t>
      </w:r>
      <w:r w:rsidRPr="00CB2705">
        <w:rPr>
          <w:lang w:eastAsia="en-US"/>
        </w:rPr>
        <w:t xml:space="preserve">; </w:t>
      </w:r>
      <w:r w:rsidR="0064361D" w:rsidRPr="00CB2705">
        <w:rPr>
          <w:lang w:eastAsia="en-US"/>
        </w:rPr>
        <w:t>Binde</w:t>
      </w:r>
      <w:r w:rsidR="00CB2705">
        <w:rPr>
          <w:lang w:eastAsia="en-US"/>
        </w:rPr>
        <w:t>, Romild &amp; Volberg</w:t>
      </w:r>
      <w:r w:rsidR="0064361D" w:rsidRPr="00CB2705">
        <w:rPr>
          <w:lang w:eastAsia="en-US"/>
        </w:rPr>
        <w:t>, 2017; Dussault et al., 2017;</w:t>
      </w:r>
      <w:r w:rsidR="0064361D">
        <w:rPr>
          <w:lang w:eastAsia="en-US"/>
        </w:rPr>
        <w:t xml:space="preserve"> </w:t>
      </w:r>
      <w:r>
        <w:rPr>
          <w:lang w:eastAsia="en-US"/>
        </w:rPr>
        <w:t>Stevens &amp; Young, 2010).  Recent studies have found these associations extend to gambling-related harm more generally (Browne et al</w:t>
      </w:r>
      <w:r w:rsidR="00AD754B">
        <w:rPr>
          <w:lang w:eastAsia="en-US"/>
        </w:rPr>
        <w:t>.</w:t>
      </w:r>
      <w:r>
        <w:rPr>
          <w:lang w:eastAsia="en-US"/>
        </w:rPr>
        <w:t xml:space="preserve">, 2016, 2017; Centre for Social and Health Outcomes Research and Evaluation </w:t>
      </w:r>
      <w:r w:rsidR="001E3DDD">
        <w:rPr>
          <w:lang w:eastAsia="en-US"/>
        </w:rPr>
        <w:t>&amp;</w:t>
      </w:r>
      <w:r>
        <w:rPr>
          <w:lang w:eastAsia="en-US"/>
        </w:rPr>
        <w:t xml:space="preserve"> Te Ropu Whariki, 2008).</w:t>
      </w:r>
    </w:p>
    <w:p w14:paraId="1F2C23D0" w14:textId="77777777" w:rsidR="0067540B" w:rsidRDefault="0067540B" w:rsidP="0067540B">
      <w:pPr>
        <w:jc w:val="both"/>
        <w:rPr>
          <w:lang w:eastAsia="en-US"/>
        </w:rPr>
      </w:pPr>
    </w:p>
    <w:p w14:paraId="7B66ABEA" w14:textId="77777777" w:rsidR="0067540B" w:rsidRDefault="0067540B" w:rsidP="0067540B">
      <w:pPr>
        <w:jc w:val="both"/>
        <w:rPr>
          <w:lang w:eastAsia="en-US"/>
        </w:rPr>
      </w:pPr>
      <w:r>
        <w:rPr>
          <w:lang w:eastAsia="en-US"/>
        </w:rPr>
        <w:t>Hundreds of publications open with the assertion that increased gambling availability has resulted in increased participation and a rise in problem gambling prevalence rates.  This notion was first introduced by Cornish (1978) who referred to it as ‘ecological opportunity’.  It is also known as the avail</w:t>
      </w:r>
      <w:r w:rsidR="00AD754B">
        <w:rPr>
          <w:lang w:eastAsia="en-US"/>
        </w:rPr>
        <w:t>ability or exposure hypothesis.</w:t>
      </w:r>
      <w:r>
        <w:rPr>
          <w:lang w:eastAsia="en-US"/>
        </w:rPr>
        <w:t xml:space="preserve">  This hypothesis has parallels with the total consumption or single distribution model in the alcohol field.  This model proposes that there is </w:t>
      </w:r>
      <w:r w:rsidR="001E3DDD">
        <w:rPr>
          <w:lang w:eastAsia="en-US"/>
        </w:rPr>
        <w:t xml:space="preserve">a </w:t>
      </w:r>
      <w:r>
        <w:rPr>
          <w:lang w:eastAsia="en-US"/>
        </w:rPr>
        <w:t>relationship between the average level of consumption and the proportion of heavy at-risk and problem drinkers.  There is some support for this hypothesis.  For example</w:t>
      </w:r>
      <w:r w:rsidR="00AD754B">
        <w:rPr>
          <w:lang w:eastAsia="en-US"/>
        </w:rPr>
        <w:t>,</w:t>
      </w:r>
      <w:r>
        <w:rPr>
          <w:lang w:eastAsia="en-US"/>
        </w:rPr>
        <w:t xml:space="preserve"> reduced per capita consumption has been associated with reduced binge drinking and alcohol-related harmful effects (Rose &amp; Day, 1990).    </w:t>
      </w:r>
    </w:p>
    <w:p w14:paraId="2CDE298B" w14:textId="77777777" w:rsidR="0067540B" w:rsidRDefault="0067540B" w:rsidP="0067540B">
      <w:pPr>
        <w:jc w:val="both"/>
        <w:rPr>
          <w:lang w:eastAsia="en-US"/>
        </w:rPr>
      </w:pPr>
    </w:p>
    <w:p w14:paraId="61EC84F2" w14:textId="77777777" w:rsidR="0067540B" w:rsidRDefault="0067540B" w:rsidP="0067540B">
      <w:pPr>
        <w:jc w:val="both"/>
        <w:rPr>
          <w:lang w:eastAsia="en-US"/>
        </w:rPr>
      </w:pPr>
      <w:r>
        <w:rPr>
          <w:lang w:eastAsia="en-US"/>
        </w:rPr>
        <w:t>While methodological and other differences complicate the interpretation of study findings, early reviews (Abbott &amp; Volberg, 1999; Shaffer</w:t>
      </w:r>
      <w:r w:rsidR="001E3DDD">
        <w:rPr>
          <w:lang w:eastAsia="en-US"/>
        </w:rPr>
        <w:t>, Hall &amp; Vander Bilt</w:t>
      </w:r>
      <w:r>
        <w:rPr>
          <w:lang w:eastAsia="en-US"/>
        </w:rPr>
        <w:t>, 1997; Wildman, 1998) and review bodies (Gambling Review Body, 2001; National Research Council, 1999; Productivity Commission, 1999) concluded that increased gambling availability generally led to increased participation and problems.  While acknowledging these findings and conclusions</w:t>
      </w:r>
      <w:r w:rsidR="00AD754B">
        <w:rPr>
          <w:lang w:eastAsia="en-US"/>
        </w:rPr>
        <w:t>,</w:t>
      </w:r>
      <w:r>
        <w:rPr>
          <w:lang w:eastAsia="en-US"/>
        </w:rPr>
        <w:t xml:space="preserve"> Shaffer et al</w:t>
      </w:r>
      <w:r w:rsidR="00AD754B">
        <w:rPr>
          <w:lang w:eastAsia="en-US"/>
        </w:rPr>
        <w:t>.</w:t>
      </w:r>
      <w:r>
        <w:rPr>
          <w:lang w:eastAsia="en-US"/>
        </w:rPr>
        <w:t xml:space="preserve"> (1997</w:t>
      </w:r>
      <w:r w:rsidRPr="007B0B09">
        <w:rPr>
          <w:lang w:eastAsia="en-US"/>
        </w:rPr>
        <w:t>) and Abbott</w:t>
      </w:r>
      <w:r w:rsidR="007B0B09" w:rsidRPr="007B0B09">
        <w:rPr>
          <w:lang w:eastAsia="en-US"/>
        </w:rPr>
        <w:t>, Volberg and Williams</w:t>
      </w:r>
      <w:r w:rsidRPr="007B0B09">
        <w:rPr>
          <w:lang w:eastAsia="en-US"/>
        </w:rPr>
        <w:t xml:space="preserve"> (1999) prop</w:t>
      </w:r>
      <w:r>
        <w:rPr>
          <w:lang w:eastAsia="en-US"/>
        </w:rPr>
        <w:t>osed that over time</w:t>
      </w:r>
      <w:r w:rsidR="00AD754B">
        <w:rPr>
          <w:lang w:eastAsia="en-US"/>
        </w:rPr>
        <w:t>,</w:t>
      </w:r>
      <w:r>
        <w:rPr>
          <w:lang w:eastAsia="en-US"/>
        </w:rPr>
        <w:t xml:space="preserve"> populations adapt and people gamble less and experience fewer problems.  This adaptation hypothesis was vigorously challenged by a number of gambling researchers.  For example</w:t>
      </w:r>
      <w:r w:rsidR="00AD754B">
        <w:rPr>
          <w:lang w:eastAsia="en-US"/>
        </w:rPr>
        <w:t>,</w:t>
      </w:r>
      <w:r>
        <w:rPr>
          <w:lang w:eastAsia="en-US"/>
        </w:rPr>
        <w:t xml:space="preserve"> Orford (2005) stated:</w:t>
      </w:r>
    </w:p>
    <w:p w14:paraId="49B534BF" w14:textId="77777777" w:rsidR="0067540B" w:rsidRDefault="0067540B" w:rsidP="0067540B">
      <w:pPr>
        <w:jc w:val="both"/>
        <w:rPr>
          <w:lang w:eastAsia="en-US"/>
        </w:rPr>
      </w:pPr>
    </w:p>
    <w:p w14:paraId="47B54E64" w14:textId="77777777" w:rsidR="0067540B" w:rsidRDefault="0067540B" w:rsidP="00AD754B">
      <w:pPr>
        <w:ind w:left="426"/>
        <w:jc w:val="both"/>
        <w:rPr>
          <w:lang w:eastAsia="en-US"/>
        </w:rPr>
      </w:pPr>
      <w:r>
        <w:rPr>
          <w:lang w:eastAsia="en-US"/>
        </w:rPr>
        <w:t xml:space="preserve">“Complex and multifactorial though causation is, the more the product is supplied in </w:t>
      </w:r>
      <w:r w:rsidR="00585D79">
        <w:rPr>
          <w:lang w:eastAsia="en-US"/>
        </w:rPr>
        <w:t xml:space="preserve">an </w:t>
      </w:r>
      <w:r>
        <w:rPr>
          <w:lang w:eastAsia="en-US"/>
        </w:rPr>
        <w:t xml:space="preserve">accessible form, the greater the volume of consumption and the greater the incidence and </w:t>
      </w:r>
      <w:r w:rsidR="00585D79">
        <w:rPr>
          <w:lang w:eastAsia="en-US"/>
        </w:rPr>
        <w:t>prevalence of harm..</w:t>
      </w:r>
      <w:r>
        <w:rPr>
          <w:lang w:eastAsia="en-US"/>
        </w:rPr>
        <w:t xml:space="preserve">.  It would be very surprising indeed if that general rule </w:t>
      </w:r>
      <w:r w:rsidR="00585D79">
        <w:rPr>
          <w:lang w:eastAsia="en-US"/>
        </w:rPr>
        <w:t>were</w:t>
      </w:r>
      <w:r>
        <w:rPr>
          <w:lang w:eastAsia="en-US"/>
        </w:rPr>
        <w:t xml:space="preserve"> not also true for gambling, and the onus should be upon those who think gambling might be an exception to the general law to prove their case” (p. 1236).</w:t>
      </w:r>
    </w:p>
    <w:p w14:paraId="118D255A" w14:textId="77777777" w:rsidR="0067540B" w:rsidRDefault="0067540B" w:rsidP="0067540B">
      <w:pPr>
        <w:jc w:val="both"/>
        <w:rPr>
          <w:lang w:eastAsia="en-US"/>
        </w:rPr>
      </w:pPr>
    </w:p>
    <w:p w14:paraId="6EDEAB0F" w14:textId="77777777" w:rsidR="0067540B" w:rsidRDefault="0067540B" w:rsidP="0067540B">
      <w:pPr>
        <w:jc w:val="both"/>
        <w:rPr>
          <w:lang w:eastAsia="en-US"/>
        </w:rPr>
      </w:pPr>
      <w:r>
        <w:rPr>
          <w:lang w:eastAsia="en-US"/>
        </w:rPr>
        <w:t xml:space="preserve">While supporting the availability hypothesis, Shaffer </w:t>
      </w:r>
      <w:r w:rsidR="00585D79">
        <w:rPr>
          <w:lang w:eastAsia="en-US"/>
        </w:rPr>
        <w:t xml:space="preserve">et al. (1997) </w:t>
      </w:r>
      <w:r w:rsidRPr="007B0B09">
        <w:rPr>
          <w:lang w:eastAsia="en-US"/>
        </w:rPr>
        <w:t>and Abbott</w:t>
      </w:r>
      <w:r w:rsidR="00585D79" w:rsidRPr="007B0B09">
        <w:rPr>
          <w:lang w:eastAsia="en-US"/>
        </w:rPr>
        <w:t xml:space="preserve"> et al. (1999)</w:t>
      </w:r>
      <w:r>
        <w:rPr>
          <w:lang w:eastAsia="en-US"/>
        </w:rPr>
        <w:t xml:space="preserve"> considered it to be over-simplistic and were of the view that it does not apply in all situations.  More specifically</w:t>
      </w:r>
      <w:r w:rsidR="00035929">
        <w:rPr>
          <w:lang w:eastAsia="en-US"/>
        </w:rPr>
        <w:t>,</w:t>
      </w:r>
      <w:r>
        <w:rPr>
          <w:lang w:eastAsia="en-US"/>
        </w:rPr>
        <w:t xml:space="preserve"> Abbott (2006) proposed:</w:t>
      </w:r>
    </w:p>
    <w:p w14:paraId="6F555595" w14:textId="77777777" w:rsidR="0067540B" w:rsidRDefault="0067540B" w:rsidP="0067540B">
      <w:pPr>
        <w:jc w:val="both"/>
        <w:rPr>
          <w:lang w:eastAsia="en-US"/>
        </w:rPr>
      </w:pPr>
    </w:p>
    <w:p w14:paraId="37C12E24" w14:textId="77777777" w:rsidR="0067540B" w:rsidRDefault="00035929" w:rsidP="00DD2ADA">
      <w:pPr>
        <w:pStyle w:val="ListParagraph"/>
        <w:numPr>
          <w:ilvl w:val="0"/>
          <w:numId w:val="62"/>
        </w:numPr>
        <w:ind w:left="851" w:hanging="491"/>
        <w:jc w:val="both"/>
        <w:rPr>
          <w:lang w:eastAsia="en-US"/>
        </w:rPr>
      </w:pPr>
      <w:r>
        <w:rPr>
          <w:lang w:eastAsia="en-US"/>
        </w:rPr>
        <w:t>“</w:t>
      </w:r>
      <w:r w:rsidR="0067540B">
        <w:rPr>
          <w:lang w:eastAsia="en-US"/>
        </w:rPr>
        <w:t>During exposure to new forms of gambling, particularly EGMs and other continuous forms, previously unexposed individuals, population sectors and societies are at high risk for the development of gambling problems.</w:t>
      </w:r>
    </w:p>
    <w:p w14:paraId="0913DC0B" w14:textId="77777777" w:rsidR="0067540B" w:rsidRDefault="0067540B" w:rsidP="00DD2ADA">
      <w:pPr>
        <w:pStyle w:val="ListParagraph"/>
        <w:numPr>
          <w:ilvl w:val="0"/>
          <w:numId w:val="62"/>
        </w:numPr>
        <w:ind w:left="851" w:hanging="491"/>
        <w:jc w:val="both"/>
        <w:rPr>
          <w:lang w:eastAsia="en-US"/>
        </w:rPr>
      </w:pPr>
      <w:r>
        <w:rPr>
          <w:lang w:eastAsia="en-US"/>
        </w:rPr>
        <w:t>Over time, years rather than decades, adaptation (‘host’ immunity and protective environmental changes) typically occurs and problem levels reduce, even in the face of increasing exposure.</w:t>
      </w:r>
    </w:p>
    <w:p w14:paraId="59ED57FA" w14:textId="77777777" w:rsidR="0067540B" w:rsidRDefault="0067540B" w:rsidP="00DD2ADA">
      <w:pPr>
        <w:pStyle w:val="ListParagraph"/>
        <w:numPr>
          <w:ilvl w:val="0"/>
          <w:numId w:val="62"/>
        </w:numPr>
        <w:ind w:left="851" w:hanging="491"/>
        <w:jc w:val="both"/>
        <w:rPr>
          <w:lang w:eastAsia="en-US"/>
        </w:rPr>
      </w:pPr>
      <w:r>
        <w:rPr>
          <w:lang w:eastAsia="en-US"/>
        </w:rPr>
        <w:t>Adaptation can be accelerated by regulatory and public health measures.</w:t>
      </w:r>
    </w:p>
    <w:p w14:paraId="015504B1" w14:textId="77777777" w:rsidR="0067540B" w:rsidRDefault="0067540B" w:rsidP="00DD2ADA">
      <w:pPr>
        <w:pStyle w:val="ListParagraph"/>
        <w:numPr>
          <w:ilvl w:val="0"/>
          <w:numId w:val="62"/>
        </w:numPr>
        <w:ind w:left="851" w:hanging="491"/>
        <w:jc w:val="both"/>
        <w:rPr>
          <w:lang w:eastAsia="en-US"/>
        </w:rPr>
      </w:pPr>
      <w:r>
        <w:rPr>
          <w:lang w:eastAsia="en-US"/>
        </w:rPr>
        <w:t>While strongly associated with problem development (albeit comparable to some other continuous forms when exposure is held constant), EGMs give rise to more transient problems.</w:t>
      </w:r>
      <w:r w:rsidR="00035929">
        <w:rPr>
          <w:lang w:eastAsia="en-US"/>
        </w:rPr>
        <w:t>”</w:t>
      </w:r>
    </w:p>
    <w:p w14:paraId="35A198DF" w14:textId="77777777" w:rsidR="0067540B" w:rsidRDefault="0067540B" w:rsidP="0067540B">
      <w:pPr>
        <w:jc w:val="both"/>
        <w:rPr>
          <w:lang w:eastAsia="en-US"/>
        </w:rPr>
      </w:pPr>
    </w:p>
    <w:p w14:paraId="1372810D" w14:textId="77777777" w:rsidR="0067540B" w:rsidRDefault="0067540B" w:rsidP="0067540B">
      <w:pPr>
        <w:jc w:val="both"/>
        <w:rPr>
          <w:lang w:eastAsia="en-US"/>
        </w:rPr>
      </w:pPr>
      <w:r>
        <w:rPr>
          <w:lang w:eastAsia="en-US"/>
        </w:rPr>
        <w:t xml:space="preserve">Factors believed to contribute to adaptation include individual experience with new gambling </w:t>
      </w:r>
      <w:r w:rsidR="002D7C7D">
        <w:rPr>
          <w:lang w:eastAsia="en-US"/>
        </w:rPr>
        <w:t>activities;</w:t>
      </w:r>
      <w:r>
        <w:rPr>
          <w:lang w:eastAsia="en-US"/>
        </w:rPr>
        <w:t xml:space="preserve"> ch</w:t>
      </w:r>
      <w:r w:rsidR="002D7C7D">
        <w:rPr>
          <w:lang w:eastAsia="en-US"/>
        </w:rPr>
        <w:t>anges in gambling participation;</w:t>
      </w:r>
      <w:r>
        <w:rPr>
          <w:lang w:eastAsia="en-US"/>
        </w:rPr>
        <w:t xml:space="preserve"> increased public awareness of problem gambling and risks associated with various gambling </w:t>
      </w:r>
      <w:r w:rsidR="002D7C7D">
        <w:rPr>
          <w:lang w:eastAsia="en-US"/>
        </w:rPr>
        <w:t>activities;</w:t>
      </w:r>
      <w:r>
        <w:rPr>
          <w:lang w:eastAsia="en-US"/>
        </w:rPr>
        <w:t xml:space="preserve"> the development of informal social controls</w:t>
      </w:r>
      <w:r w:rsidR="002D7C7D">
        <w:rPr>
          <w:lang w:eastAsia="en-US"/>
        </w:rPr>
        <w:t>;</w:t>
      </w:r>
      <w:r>
        <w:rPr>
          <w:lang w:eastAsia="en-US"/>
        </w:rPr>
        <w:t xml:space="preserve"> increased provision of mutual help, support and treatment</w:t>
      </w:r>
      <w:r w:rsidR="002D7C7D">
        <w:rPr>
          <w:lang w:eastAsia="en-US"/>
        </w:rPr>
        <w:t>;</w:t>
      </w:r>
      <w:r>
        <w:rPr>
          <w:lang w:eastAsia="en-US"/>
        </w:rPr>
        <w:t xml:space="preserve"> regulatory changes</w:t>
      </w:r>
      <w:r w:rsidR="002D7C7D">
        <w:rPr>
          <w:lang w:eastAsia="en-US"/>
        </w:rPr>
        <w:t>;</w:t>
      </w:r>
      <w:r>
        <w:rPr>
          <w:lang w:eastAsia="en-US"/>
        </w:rPr>
        <w:t xml:space="preserve"> and public health programmes.</w:t>
      </w:r>
    </w:p>
    <w:p w14:paraId="2ACD8D17" w14:textId="77777777" w:rsidR="0067540B" w:rsidRDefault="0067540B" w:rsidP="0067540B">
      <w:pPr>
        <w:jc w:val="both"/>
        <w:rPr>
          <w:lang w:eastAsia="en-US"/>
        </w:rPr>
      </w:pPr>
    </w:p>
    <w:p w14:paraId="2AAA7C21" w14:textId="3571AC43" w:rsidR="0067540B" w:rsidRDefault="0067540B" w:rsidP="0067540B">
      <w:pPr>
        <w:jc w:val="both"/>
        <w:rPr>
          <w:lang w:eastAsia="en-US"/>
        </w:rPr>
      </w:pPr>
      <w:r>
        <w:rPr>
          <w:lang w:eastAsia="en-US"/>
        </w:rPr>
        <w:t>More recent reviews have found further support for the availability hypothesis</w:t>
      </w:r>
      <w:r w:rsidR="00754F59">
        <w:rPr>
          <w:lang w:eastAsia="en-US"/>
        </w:rPr>
        <w:t xml:space="preserve"> (Calado &amp; Griffiths, 2016; Williams, Volberg &amp; Stevens, 2012a)</w:t>
      </w:r>
      <w:r>
        <w:rPr>
          <w:lang w:eastAsia="en-US"/>
        </w:rPr>
        <w:t>.  They also identified studies with contradictory findings (Abbott 2006, 2007, 2017a; Abbott et al., 2014</w:t>
      </w:r>
      <w:r w:rsidR="00585D79">
        <w:rPr>
          <w:lang w:eastAsia="en-US"/>
        </w:rPr>
        <w:t>a</w:t>
      </w:r>
      <w:r>
        <w:rPr>
          <w:lang w:eastAsia="en-US"/>
        </w:rPr>
        <w:t>, 2016</w:t>
      </w:r>
      <w:r w:rsidR="0003371B">
        <w:rPr>
          <w:lang w:eastAsia="en-US"/>
        </w:rPr>
        <w:t>a</w:t>
      </w:r>
      <w:r>
        <w:rPr>
          <w:lang w:eastAsia="en-US"/>
        </w:rPr>
        <w:t>; Vasiliadis</w:t>
      </w:r>
      <w:r w:rsidR="00255319">
        <w:rPr>
          <w:lang w:eastAsia="en-US"/>
        </w:rPr>
        <w:t>, Jackson, Christensen &amp; Francis</w:t>
      </w:r>
      <w:r>
        <w:rPr>
          <w:lang w:eastAsia="en-US"/>
        </w:rPr>
        <w:t>, 2013).  Examination of changes in gambling participation and gambling-related problems over time is seriously compromised by variation in survey methodologies.  Two studies have taken methodological differences into account to varying degrees and more formally evaluated the availability and adaptation hypotheses (Storer, Abbott &amp; Stubbs, 2009; Williams</w:t>
      </w:r>
      <w:r w:rsidR="00754F59">
        <w:rPr>
          <w:lang w:eastAsia="en-US"/>
        </w:rPr>
        <w:t xml:space="preserve"> et al.</w:t>
      </w:r>
      <w:r>
        <w:rPr>
          <w:lang w:eastAsia="en-US"/>
        </w:rPr>
        <w:t>, 2012</w:t>
      </w:r>
      <w:r w:rsidR="00585D79">
        <w:rPr>
          <w:lang w:eastAsia="en-US"/>
        </w:rPr>
        <w:t>a</w:t>
      </w:r>
      <w:r>
        <w:rPr>
          <w:lang w:eastAsia="en-US"/>
        </w:rPr>
        <w:t>).</w:t>
      </w:r>
    </w:p>
    <w:p w14:paraId="6968D07B" w14:textId="77777777" w:rsidR="0067540B" w:rsidRDefault="0067540B" w:rsidP="0067540B">
      <w:pPr>
        <w:jc w:val="both"/>
        <w:rPr>
          <w:lang w:eastAsia="en-US"/>
        </w:rPr>
      </w:pPr>
    </w:p>
    <w:p w14:paraId="7512FE5C" w14:textId="77777777" w:rsidR="0067540B" w:rsidRDefault="0067540B" w:rsidP="0067540B">
      <w:pPr>
        <w:jc w:val="both"/>
        <w:rPr>
          <w:lang w:eastAsia="en-US"/>
        </w:rPr>
      </w:pPr>
      <w:r>
        <w:rPr>
          <w:lang w:eastAsia="en-US"/>
        </w:rPr>
        <w:t>Storer</w:t>
      </w:r>
      <w:r w:rsidR="00255319">
        <w:rPr>
          <w:lang w:eastAsia="en-US"/>
        </w:rPr>
        <w:t xml:space="preserve"> et al.</w:t>
      </w:r>
      <w:r>
        <w:rPr>
          <w:lang w:eastAsia="en-US"/>
        </w:rPr>
        <w:t xml:space="preserve"> (2009) conducted a meta-analysis of 34 </w:t>
      </w:r>
      <w:r w:rsidR="00D07AED">
        <w:rPr>
          <w:lang w:eastAsia="en-US"/>
        </w:rPr>
        <w:t>Australian and New Zealand post-</w:t>
      </w:r>
      <w:r>
        <w:rPr>
          <w:lang w:eastAsia="en-US"/>
        </w:rPr>
        <w:t>1990 prevalence surveys.  Adjustment was made for different problem gambling measures used in these surveys.  They found that problem gambling prevalence increased with greater EGM density (EGMs per capita) and decreased over time when density was held constant.  This means that over 25 or so years in Australasia</w:t>
      </w:r>
      <w:r w:rsidR="001270D4">
        <w:rPr>
          <w:lang w:eastAsia="en-US"/>
        </w:rPr>
        <w:t>,</w:t>
      </w:r>
      <w:r>
        <w:rPr>
          <w:lang w:eastAsia="en-US"/>
        </w:rPr>
        <w:t xml:space="preserve"> there was support for both availability and adaptation.  Furthermore, the two variables, EGM density and time, explained nearly three-quarters of the variance in problem gambling prevalence.  This indicates that both are major factors in determining problem gambling and</w:t>
      </w:r>
      <w:r w:rsidR="00D07AED">
        <w:rPr>
          <w:lang w:eastAsia="en-US"/>
        </w:rPr>
        <w:t>,</w:t>
      </w:r>
      <w:r>
        <w:rPr>
          <w:lang w:eastAsia="en-US"/>
        </w:rPr>
        <w:t xml:space="preserve"> presumably</w:t>
      </w:r>
      <w:r w:rsidR="00D07AED">
        <w:rPr>
          <w:lang w:eastAsia="en-US"/>
        </w:rPr>
        <w:t>,</w:t>
      </w:r>
      <w:r>
        <w:rPr>
          <w:lang w:eastAsia="en-US"/>
        </w:rPr>
        <w:t xml:space="preserve"> gambling-related harm more widely.</w:t>
      </w:r>
    </w:p>
    <w:p w14:paraId="74B4FD0A" w14:textId="77777777" w:rsidR="0067540B" w:rsidRDefault="0067540B" w:rsidP="0067540B">
      <w:pPr>
        <w:jc w:val="both"/>
        <w:rPr>
          <w:lang w:eastAsia="en-US"/>
        </w:rPr>
      </w:pPr>
    </w:p>
    <w:p w14:paraId="5E5C5EF1" w14:textId="77777777" w:rsidR="0067540B" w:rsidRDefault="0067540B" w:rsidP="0067540B">
      <w:pPr>
        <w:jc w:val="both"/>
        <w:rPr>
          <w:lang w:eastAsia="en-US"/>
        </w:rPr>
      </w:pPr>
      <w:r>
        <w:rPr>
          <w:lang w:eastAsia="en-US"/>
        </w:rPr>
        <w:t>Williams</w:t>
      </w:r>
      <w:r w:rsidR="001270D4">
        <w:rPr>
          <w:lang w:eastAsia="en-US"/>
        </w:rPr>
        <w:t xml:space="preserve"> et al. </w:t>
      </w:r>
      <w:r>
        <w:rPr>
          <w:lang w:eastAsia="en-US"/>
        </w:rPr>
        <w:t>(2012</w:t>
      </w:r>
      <w:r w:rsidR="00585D79">
        <w:rPr>
          <w:lang w:eastAsia="en-US"/>
        </w:rPr>
        <w:t>a</w:t>
      </w:r>
      <w:r>
        <w:rPr>
          <w:lang w:eastAsia="en-US"/>
        </w:rPr>
        <w:t>) examined problem gambling prevalence studies world-wide.  They developed weightings to adjust problem prevalence rates for methodological differences and enable more valid comparisons to be made.  In regions where there were sufficient numbers of studies (Australia, Canada and USA)</w:t>
      </w:r>
      <w:r w:rsidR="005F14F6">
        <w:rPr>
          <w:lang w:eastAsia="en-US"/>
        </w:rPr>
        <w:t>,</w:t>
      </w:r>
      <w:r>
        <w:rPr>
          <w:lang w:eastAsia="en-US"/>
        </w:rPr>
        <w:t xml:space="preserve"> they found that problem gambling prevalence initially increased, reached a peak, and in subsequent years decreased.  Their study did not examine gambling availability or participation in relation to problem gambling.  However, in all jurisdictions, gambling availability increased during the study period.  At a general population level</w:t>
      </w:r>
      <w:r w:rsidR="005F14F6">
        <w:rPr>
          <w:lang w:eastAsia="en-US"/>
        </w:rPr>
        <w:t>,</w:t>
      </w:r>
      <w:r>
        <w:rPr>
          <w:lang w:eastAsia="en-US"/>
        </w:rPr>
        <w:t xml:space="preserve"> the Williams et al</w:t>
      </w:r>
      <w:r w:rsidR="005F14F6">
        <w:rPr>
          <w:lang w:eastAsia="en-US"/>
        </w:rPr>
        <w:t>.</w:t>
      </w:r>
      <w:r>
        <w:rPr>
          <w:lang w:eastAsia="en-US"/>
        </w:rPr>
        <w:t xml:space="preserve"> (2012) findings are consistent with availability followed by adaptation.</w:t>
      </w:r>
    </w:p>
    <w:p w14:paraId="18B33C90" w14:textId="77777777" w:rsidR="0067540B" w:rsidRDefault="0067540B" w:rsidP="0067540B">
      <w:pPr>
        <w:jc w:val="both"/>
        <w:rPr>
          <w:lang w:eastAsia="en-US"/>
        </w:rPr>
      </w:pPr>
    </w:p>
    <w:p w14:paraId="2F272134" w14:textId="77777777" w:rsidR="0067540B" w:rsidRDefault="0067540B" w:rsidP="0067540B">
      <w:pPr>
        <w:jc w:val="both"/>
        <w:rPr>
          <w:lang w:eastAsia="en-US"/>
        </w:rPr>
      </w:pPr>
      <w:r>
        <w:rPr>
          <w:lang w:eastAsia="en-US"/>
        </w:rPr>
        <w:t>Calado and Griffiths (2016) reported a systematic world-wide review of gambling and problem gambling prevalence surveys conducted from 2000 to 2015.  In contrast to the Williams</w:t>
      </w:r>
      <w:r w:rsidR="001270D4">
        <w:rPr>
          <w:lang w:eastAsia="en-US"/>
        </w:rPr>
        <w:t>, West &amp; Simpson</w:t>
      </w:r>
      <w:r>
        <w:rPr>
          <w:lang w:eastAsia="en-US"/>
        </w:rPr>
        <w:t xml:space="preserve"> (2012</w:t>
      </w:r>
      <w:r w:rsidR="00585D79">
        <w:rPr>
          <w:lang w:eastAsia="en-US"/>
        </w:rPr>
        <w:t>b</w:t>
      </w:r>
      <w:r>
        <w:rPr>
          <w:lang w:eastAsia="en-US"/>
        </w:rPr>
        <w:t>) review</w:t>
      </w:r>
      <w:r w:rsidR="005F14F6">
        <w:rPr>
          <w:lang w:eastAsia="en-US"/>
        </w:rPr>
        <w:t>, i</w:t>
      </w:r>
      <w:r>
        <w:rPr>
          <w:lang w:eastAsia="en-US"/>
        </w:rPr>
        <w:t>t included a substantial number of European studies.  Past year problem gambling prevalence estimates ranged from 0.1% to 5.8%, virtually identical to the range reported by Williams et al</w:t>
      </w:r>
      <w:r w:rsidR="005F14F6">
        <w:rPr>
          <w:lang w:eastAsia="en-US"/>
        </w:rPr>
        <w:t>.</w:t>
      </w:r>
      <w:r>
        <w:rPr>
          <w:lang w:eastAsia="en-US"/>
        </w:rPr>
        <w:t xml:space="preserve"> (2012</w:t>
      </w:r>
      <w:r w:rsidR="00585D79">
        <w:rPr>
          <w:lang w:eastAsia="en-US"/>
        </w:rPr>
        <w:t>b</w:t>
      </w:r>
      <w:r>
        <w:rPr>
          <w:lang w:eastAsia="en-US"/>
        </w:rPr>
        <w:t>).  The latter study found rates were generally high in Asia, intermediate in Australasia and low in Europe.  Calado and Griffiths (2016) noted that problem gambling rates remained stable in many countries that had undertaken more than one study during this 15 year period.  However, they mentioned exceptions, notably Estonia, where prevalence increased.  They suggested, in the case of Estonia, that this may have been a consequence of recent exposure to a range of gambling activities that had previously been prohibited.  As with the Williams et al</w:t>
      </w:r>
      <w:r w:rsidR="005F14F6">
        <w:rPr>
          <w:lang w:eastAsia="en-US"/>
        </w:rPr>
        <w:t>.</w:t>
      </w:r>
      <w:r>
        <w:rPr>
          <w:lang w:eastAsia="en-US"/>
        </w:rPr>
        <w:t xml:space="preserve"> (2012</w:t>
      </w:r>
      <w:r w:rsidR="00585D79">
        <w:rPr>
          <w:lang w:eastAsia="en-US"/>
        </w:rPr>
        <w:t>b</w:t>
      </w:r>
      <w:r>
        <w:rPr>
          <w:lang w:eastAsia="en-US"/>
        </w:rPr>
        <w:t>) review</w:t>
      </w:r>
      <w:r w:rsidR="005F14F6">
        <w:rPr>
          <w:lang w:eastAsia="en-US"/>
        </w:rPr>
        <w:t>,</w:t>
      </w:r>
      <w:r>
        <w:rPr>
          <w:lang w:eastAsia="en-US"/>
        </w:rPr>
        <w:t xml:space="preserve"> gambling availability and participation rates were not considered in relation to problem gambling prevalence.  Generally, however, availability increased during the study period.  Consequently, apart from Estonia and a few other cases, these findings appear to be consistent with adaptation.  However, as adjustments were not made to take account of methodological variations, this conclusion should be treated with some caution.</w:t>
      </w:r>
    </w:p>
    <w:p w14:paraId="0B3186E9" w14:textId="77777777" w:rsidR="0067540B" w:rsidRDefault="0067540B" w:rsidP="0067540B">
      <w:pPr>
        <w:jc w:val="both"/>
        <w:rPr>
          <w:lang w:eastAsia="en-US"/>
        </w:rPr>
      </w:pPr>
    </w:p>
    <w:p w14:paraId="061142E8" w14:textId="77777777" w:rsidR="0067540B" w:rsidRDefault="0067540B" w:rsidP="0067540B">
      <w:pPr>
        <w:jc w:val="both"/>
        <w:rPr>
          <w:lang w:eastAsia="en-US"/>
        </w:rPr>
      </w:pPr>
      <w:r>
        <w:rPr>
          <w:lang w:eastAsia="en-US"/>
        </w:rPr>
        <w:t>From the foregoing it appears, consistent w</w:t>
      </w:r>
      <w:r w:rsidR="00565943">
        <w:rPr>
          <w:lang w:eastAsia="en-US"/>
        </w:rPr>
        <w:t>ith the availability hypothesi</w:t>
      </w:r>
      <w:r w:rsidR="001B3F4B">
        <w:rPr>
          <w:lang w:eastAsia="en-US"/>
        </w:rPr>
        <w:t>s,</w:t>
      </w:r>
      <w:r>
        <w:rPr>
          <w:lang w:eastAsia="en-US"/>
        </w:rPr>
        <w:t xml:space="preserve"> that the substantial increases in gambling availability and exposure in recent decades contributed to marked increases in gambling consumption and gambling-related problems and wider harms.  It also appears that in many jurisdictions both participation and problems subsequently </w:t>
      </w:r>
      <w:r w:rsidR="005F14F6">
        <w:rPr>
          <w:lang w:eastAsia="en-US"/>
        </w:rPr>
        <w:t>decreased</w:t>
      </w:r>
      <w:r>
        <w:rPr>
          <w:lang w:eastAsia="en-US"/>
        </w:rPr>
        <w:t>, despite availability continuing to increase.  This is in keeping with the adaptation hypothesis.  These reductions seem to have commenced in the mid-1990s in the USA and in the late 1990s in Canada and Australia (Williams et al</w:t>
      </w:r>
      <w:r w:rsidR="001270D4">
        <w:rPr>
          <w:lang w:eastAsia="en-US"/>
        </w:rPr>
        <w:t>.</w:t>
      </w:r>
      <w:r>
        <w:rPr>
          <w:lang w:eastAsia="en-US"/>
        </w:rPr>
        <w:t>, 2012</w:t>
      </w:r>
      <w:r w:rsidR="00585D79">
        <w:rPr>
          <w:lang w:eastAsia="en-US"/>
        </w:rPr>
        <w:t>b</w:t>
      </w:r>
      <w:r>
        <w:rPr>
          <w:lang w:eastAsia="en-US"/>
        </w:rPr>
        <w:t>).  More recently, as noted by Calado and Griffiths (2016), problem gambling prevalence rates have plateaued in a number of jurisdictions.  This recent development is discussed more fully elsewhere in relation to Swedish and Australian studies (Abbott, et al., 2016</w:t>
      </w:r>
      <w:r w:rsidR="00585D79">
        <w:rPr>
          <w:lang w:eastAsia="en-US"/>
        </w:rPr>
        <w:t>b</w:t>
      </w:r>
      <w:r>
        <w:rPr>
          <w:lang w:eastAsia="en-US"/>
        </w:rPr>
        <w:t>; Abbott, Romild &amp; Volberg, 2014</w:t>
      </w:r>
      <w:r w:rsidR="00585D79">
        <w:rPr>
          <w:lang w:eastAsia="en-US"/>
        </w:rPr>
        <w:t>c</w:t>
      </w:r>
      <w:r>
        <w:rPr>
          <w:lang w:eastAsia="en-US"/>
        </w:rPr>
        <w:t>).  These studies examined changes over time in gambling participation and problem gambling.  In both cases</w:t>
      </w:r>
      <w:r w:rsidR="005F14F6">
        <w:rPr>
          <w:lang w:eastAsia="en-US"/>
        </w:rPr>
        <w:t>,</w:t>
      </w:r>
      <w:r>
        <w:rPr>
          <w:lang w:eastAsia="en-US"/>
        </w:rPr>
        <w:t xml:space="preserve"> gambling participation </w:t>
      </w:r>
      <w:r w:rsidR="005F14F6">
        <w:rPr>
          <w:lang w:eastAsia="en-US"/>
        </w:rPr>
        <w:t>reduced</w:t>
      </w:r>
      <w:r>
        <w:rPr>
          <w:lang w:eastAsia="en-US"/>
        </w:rPr>
        <w:t xml:space="preserve"> markedly over five to ten year periods, across virtually all sociodemographic groups.  However, contrary to both the availability and adaptation hypotheses, problem gambling rates remained unchanged.  Furthermore</w:t>
      </w:r>
      <w:r w:rsidR="005F14F6">
        <w:rPr>
          <w:lang w:eastAsia="en-US"/>
        </w:rPr>
        <w:t>,</w:t>
      </w:r>
      <w:r>
        <w:rPr>
          <w:lang w:eastAsia="en-US"/>
        </w:rPr>
        <w:t xml:space="preserve"> reduced participation was most marked for young adults and, in this population sector, problem gambling prevalence rates increased.  Explanation of these findings requires consideration of factors additional to gambling availability and exposure that influence gambling participation and problem gambling development (Abbott, 2017b, 2017c).</w:t>
      </w:r>
    </w:p>
    <w:p w14:paraId="5F4082D7" w14:textId="77777777" w:rsidR="0067540B" w:rsidRDefault="0067540B" w:rsidP="0067540B">
      <w:pPr>
        <w:jc w:val="both"/>
        <w:rPr>
          <w:lang w:eastAsia="en-US"/>
        </w:rPr>
      </w:pPr>
    </w:p>
    <w:p w14:paraId="48E853A9" w14:textId="77777777" w:rsidR="0067540B" w:rsidRDefault="0067540B" w:rsidP="0067540B">
      <w:pPr>
        <w:jc w:val="both"/>
        <w:rPr>
          <w:lang w:eastAsia="en-US"/>
        </w:rPr>
      </w:pPr>
    </w:p>
    <w:p w14:paraId="13DE6745" w14:textId="77777777" w:rsidR="0067540B" w:rsidRPr="005F14F6" w:rsidRDefault="0067540B" w:rsidP="0067540B">
      <w:pPr>
        <w:jc w:val="both"/>
        <w:rPr>
          <w:b/>
          <w:i/>
          <w:lang w:eastAsia="en-US"/>
        </w:rPr>
      </w:pPr>
      <w:r w:rsidRPr="005F14F6">
        <w:rPr>
          <w:b/>
          <w:i/>
          <w:lang w:eastAsia="en-US"/>
        </w:rPr>
        <w:t>N</w:t>
      </w:r>
      <w:r w:rsidR="005F14F6">
        <w:rPr>
          <w:b/>
          <w:i/>
          <w:lang w:eastAsia="en-US"/>
        </w:rPr>
        <w:t xml:space="preserve">ew </w:t>
      </w:r>
      <w:r w:rsidRPr="005F14F6">
        <w:rPr>
          <w:b/>
          <w:i/>
          <w:lang w:eastAsia="en-US"/>
        </w:rPr>
        <w:t>Z</w:t>
      </w:r>
      <w:r w:rsidR="005F14F6">
        <w:rPr>
          <w:b/>
          <w:i/>
          <w:lang w:eastAsia="en-US"/>
        </w:rPr>
        <w:t>ealand</w:t>
      </w:r>
      <w:r w:rsidRPr="005F14F6">
        <w:rPr>
          <w:b/>
          <w:i/>
          <w:lang w:eastAsia="en-US"/>
        </w:rPr>
        <w:t xml:space="preserve"> survey findings</w:t>
      </w:r>
    </w:p>
    <w:p w14:paraId="562C729E" w14:textId="77777777" w:rsidR="0067540B" w:rsidRDefault="0067540B" w:rsidP="0067540B">
      <w:pPr>
        <w:jc w:val="both"/>
        <w:rPr>
          <w:lang w:eastAsia="en-US"/>
        </w:rPr>
      </w:pPr>
    </w:p>
    <w:p w14:paraId="02360C37" w14:textId="140A30FB" w:rsidR="0067540B" w:rsidRDefault="0067540B" w:rsidP="0067540B">
      <w:pPr>
        <w:jc w:val="both"/>
        <w:rPr>
          <w:lang w:eastAsia="en-US"/>
        </w:rPr>
      </w:pPr>
      <w:r w:rsidRPr="006422C9">
        <w:rPr>
          <w:lang w:eastAsia="en-US"/>
        </w:rPr>
        <w:t xml:space="preserve">The two national series of gambling surveys </w:t>
      </w:r>
      <w:r w:rsidR="001B3F4B" w:rsidRPr="006422C9">
        <w:rPr>
          <w:lang w:eastAsia="en-US"/>
        </w:rPr>
        <w:t xml:space="preserve">(NGS and DIA) </w:t>
      </w:r>
      <w:r w:rsidRPr="006422C9">
        <w:rPr>
          <w:lang w:eastAsia="en-US"/>
        </w:rPr>
        <w:t>conducted in New Zealand since</w:t>
      </w:r>
      <w:r>
        <w:rPr>
          <w:lang w:eastAsia="en-US"/>
        </w:rPr>
        <w:t xml:space="preserve"> 1985 provide a unique account of changes in gambling behaviour, attitudes and gambling-related problems over a long time period.  </w:t>
      </w:r>
      <w:r w:rsidR="00D45296">
        <w:rPr>
          <w:lang w:eastAsia="en-US"/>
        </w:rPr>
        <w:t xml:space="preserve">A third series conducted more recently, since 2006/07, provides additional information (Thimasarn-Anwar, Squire, Trowland, &amp; Martin, 2017).  </w:t>
      </w:r>
      <w:r>
        <w:rPr>
          <w:lang w:eastAsia="en-US"/>
        </w:rPr>
        <w:t>The study findings allow assessment of the availability, total distribution and adaptation hypotheses.</w:t>
      </w:r>
    </w:p>
    <w:p w14:paraId="6E7F5446" w14:textId="77777777" w:rsidR="001A74DA" w:rsidRDefault="001A74DA" w:rsidP="0067540B">
      <w:pPr>
        <w:jc w:val="both"/>
        <w:rPr>
          <w:lang w:eastAsia="en-US"/>
        </w:rPr>
      </w:pPr>
    </w:p>
    <w:p w14:paraId="25D0E769" w14:textId="77777777" w:rsidR="0067540B" w:rsidRDefault="0067540B" w:rsidP="0067540B">
      <w:pPr>
        <w:jc w:val="both"/>
        <w:rPr>
          <w:lang w:eastAsia="en-US"/>
        </w:rPr>
      </w:pPr>
    </w:p>
    <w:p w14:paraId="5A4A79CA" w14:textId="77777777" w:rsidR="0067540B" w:rsidRPr="001A74DA" w:rsidRDefault="0067540B" w:rsidP="0067540B">
      <w:pPr>
        <w:jc w:val="both"/>
        <w:rPr>
          <w:u w:val="single"/>
          <w:lang w:eastAsia="en-US"/>
        </w:rPr>
      </w:pPr>
      <w:r w:rsidRPr="000F4559">
        <w:rPr>
          <w:u w:val="single"/>
          <w:lang w:eastAsia="en-US"/>
        </w:rPr>
        <w:t>Gambling participation</w:t>
      </w:r>
    </w:p>
    <w:p w14:paraId="762F21A2" w14:textId="77777777" w:rsidR="0067540B" w:rsidRDefault="0067540B" w:rsidP="0067540B">
      <w:pPr>
        <w:jc w:val="both"/>
        <w:rPr>
          <w:lang w:eastAsia="en-US"/>
        </w:rPr>
      </w:pPr>
    </w:p>
    <w:p w14:paraId="092A293C" w14:textId="237BFD85" w:rsidR="0067540B" w:rsidRDefault="0067540B" w:rsidP="0067540B">
      <w:pPr>
        <w:jc w:val="both"/>
        <w:rPr>
          <w:lang w:eastAsia="en-US"/>
        </w:rPr>
      </w:pPr>
      <w:r>
        <w:rPr>
          <w:lang w:eastAsia="en-US"/>
        </w:rPr>
        <w:t>As mentioned</w:t>
      </w:r>
      <w:r w:rsidR="001A74DA">
        <w:rPr>
          <w:lang w:eastAsia="en-US"/>
        </w:rPr>
        <w:t>,</w:t>
      </w:r>
      <w:r>
        <w:rPr>
          <w:lang w:eastAsia="en-US"/>
        </w:rPr>
        <w:t xml:space="preserve"> the first DIA survey was conducted in 1985, a few years prior to the introduction of a new state lottery (Lotto), EGMs in clubs and pubs and a scratch lottery (Instant Kiwi).  In 1985</w:t>
      </w:r>
      <w:r w:rsidR="001A74DA">
        <w:rPr>
          <w:lang w:eastAsia="en-US"/>
        </w:rPr>
        <w:t>,</w:t>
      </w:r>
      <w:r>
        <w:rPr>
          <w:lang w:eastAsia="en-US"/>
        </w:rPr>
        <w:t xml:space="preserve"> 85% of adults reported taking part in one or more gamblin</w:t>
      </w:r>
      <w:r w:rsidR="001A74DA">
        <w:rPr>
          <w:lang w:eastAsia="en-US"/>
        </w:rPr>
        <w:t>g activities during the past 12 </w:t>
      </w:r>
      <w:r>
        <w:rPr>
          <w:lang w:eastAsia="en-US"/>
        </w:rPr>
        <w:t>months.  At this time</w:t>
      </w:r>
      <w:r w:rsidR="001A74DA">
        <w:rPr>
          <w:lang w:eastAsia="en-US"/>
        </w:rPr>
        <w:t>,</w:t>
      </w:r>
      <w:r>
        <w:rPr>
          <w:lang w:eastAsia="en-US"/>
        </w:rPr>
        <w:t xml:space="preserve"> the large majority (70%) said they took part in one to three activities and 15% said they took part in four or more</w:t>
      </w:r>
      <w:r w:rsidR="002B684E">
        <w:rPr>
          <w:lang w:eastAsia="en-US"/>
        </w:rPr>
        <w:t xml:space="preserve"> activities</w:t>
      </w:r>
      <w:r>
        <w:rPr>
          <w:lang w:eastAsia="en-US"/>
        </w:rPr>
        <w:t>.  In 1990 and 1995</w:t>
      </w:r>
      <w:r w:rsidR="001A74DA">
        <w:rPr>
          <w:lang w:eastAsia="en-US"/>
        </w:rPr>
        <w:t>,</w:t>
      </w:r>
      <w:r>
        <w:rPr>
          <w:lang w:eastAsia="en-US"/>
        </w:rPr>
        <w:t xml:space="preserve"> 90% of adults reported gambling participation during the past 12 months.  While this was a relatively small overall increase since 1985, a more substantial increase was found for people reporting engagement in four or more activities.  This level of engagement increased from 15% </w:t>
      </w:r>
      <w:r w:rsidR="001A74DA">
        <w:rPr>
          <w:lang w:eastAsia="en-US"/>
        </w:rPr>
        <w:t xml:space="preserve">in 1985 </w:t>
      </w:r>
      <w:r>
        <w:rPr>
          <w:lang w:eastAsia="en-US"/>
        </w:rPr>
        <w:t>to 40% in 1990</w:t>
      </w:r>
      <w:r w:rsidR="001A74DA">
        <w:rPr>
          <w:lang w:eastAsia="en-US"/>
        </w:rPr>
        <w:t>,</w:t>
      </w:r>
      <w:r>
        <w:rPr>
          <w:lang w:eastAsia="en-US"/>
        </w:rPr>
        <w:t xml:space="preserve"> and 41% in 1995.  In subsequent surveys participation declined.  Participation in one or more activities declined to 87% in 2000 and 80% in 2005.  A reduction was also evident for participation in four or more activities (37% in 2000 and 28% in 2005)</w:t>
      </w:r>
      <w:r w:rsidR="002B684E">
        <w:rPr>
          <w:lang w:eastAsia="en-US"/>
        </w:rPr>
        <w:t xml:space="preserve"> (</w:t>
      </w:r>
      <w:r w:rsidR="00154C15">
        <w:rPr>
          <w:lang w:eastAsia="en-US"/>
        </w:rPr>
        <w:t>Department of Internal Affairs</w:t>
      </w:r>
      <w:r w:rsidR="002B684E">
        <w:rPr>
          <w:lang w:eastAsia="en-US"/>
        </w:rPr>
        <w:t>, 200</w:t>
      </w:r>
      <w:r w:rsidR="00154C15">
        <w:rPr>
          <w:lang w:eastAsia="en-US"/>
        </w:rPr>
        <w:t>7</w:t>
      </w:r>
      <w:r w:rsidR="002B684E">
        <w:rPr>
          <w:lang w:eastAsia="en-US"/>
        </w:rPr>
        <w:t>)</w:t>
      </w:r>
      <w:r>
        <w:rPr>
          <w:lang w:eastAsia="en-US"/>
        </w:rPr>
        <w:t xml:space="preserve">.  The NGS 2012 baseline survey used a very similar methodology to that employed in the DIA surveys.  No change was evident in 2012 </w:t>
      </w:r>
      <w:r w:rsidR="001A74DA">
        <w:rPr>
          <w:lang w:eastAsia="en-US"/>
        </w:rPr>
        <w:t>in regard</w:t>
      </w:r>
      <w:r>
        <w:rPr>
          <w:lang w:eastAsia="en-US"/>
        </w:rPr>
        <w:t xml:space="preserve"> to tak</w:t>
      </w:r>
      <w:r w:rsidR="001A74DA">
        <w:rPr>
          <w:lang w:eastAsia="en-US"/>
        </w:rPr>
        <w:t>ing part in one or more activities</w:t>
      </w:r>
      <w:r>
        <w:rPr>
          <w:lang w:eastAsia="en-US"/>
        </w:rPr>
        <w:t xml:space="preserve"> (80%).  Participation in four or more activities, however, continued to decline (22%)</w:t>
      </w:r>
      <w:r w:rsidR="008D4FE8">
        <w:rPr>
          <w:lang w:eastAsia="en-US"/>
        </w:rPr>
        <w:t xml:space="preserve"> (Abbott et al., 2014a)</w:t>
      </w:r>
      <w:r w:rsidR="00E55BD0">
        <w:rPr>
          <w:lang w:eastAsia="en-US"/>
        </w:rPr>
        <w:t xml:space="preserve"> (see </w:t>
      </w:r>
      <w:r w:rsidR="00E55BD0">
        <w:rPr>
          <w:lang w:eastAsia="en-US"/>
        </w:rPr>
        <w:fldChar w:fldCharType="begin"/>
      </w:r>
      <w:r w:rsidR="00E55BD0">
        <w:rPr>
          <w:lang w:eastAsia="en-US"/>
        </w:rPr>
        <w:instrText xml:space="preserve"> REF _Ref504485969 \h </w:instrText>
      </w:r>
      <w:r w:rsidR="00E55BD0">
        <w:rPr>
          <w:lang w:eastAsia="en-US"/>
        </w:rPr>
      </w:r>
      <w:r w:rsidR="00E55BD0">
        <w:rPr>
          <w:lang w:eastAsia="en-US"/>
        </w:rPr>
        <w:fldChar w:fldCharType="separate"/>
      </w:r>
      <w:r w:rsidR="00D5752E" w:rsidRPr="00DE09C6">
        <w:t xml:space="preserve">Figure </w:t>
      </w:r>
      <w:r w:rsidR="00D5752E">
        <w:rPr>
          <w:noProof/>
        </w:rPr>
        <w:t>1</w:t>
      </w:r>
      <w:r w:rsidR="00E55BD0">
        <w:rPr>
          <w:lang w:eastAsia="en-US"/>
        </w:rPr>
        <w:fldChar w:fldCharType="end"/>
      </w:r>
      <w:r w:rsidR="00E55BD0">
        <w:rPr>
          <w:lang w:eastAsia="en-US"/>
        </w:rPr>
        <w:t>)</w:t>
      </w:r>
      <w:r>
        <w:rPr>
          <w:lang w:eastAsia="en-US"/>
        </w:rPr>
        <w:t>.</w:t>
      </w:r>
    </w:p>
    <w:p w14:paraId="768A5A5A" w14:textId="77777777" w:rsidR="00E55BD0" w:rsidRDefault="00E55BD0" w:rsidP="0067540B">
      <w:pPr>
        <w:jc w:val="both"/>
        <w:rPr>
          <w:lang w:eastAsia="en-US"/>
        </w:rPr>
      </w:pPr>
    </w:p>
    <w:p w14:paraId="70414994" w14:textId="25102710" w:rsidR="00E55BD0" w:rsidRPr="00E471E8" w:rsidRDefault="00E55BD0" w:rsidP="00E55BD0">
      <w:pPr>
        <w:pStyle w:val="Caption"/>
        <w:keepNext/>
        <w:rPr>
          <w:sz w:val="22"/>
        </w:rPr>
      </w:pPr>
      <w:bookmarkStart w:id="17" w:name="_Ref504485969"/>
      <w:bookmarkStart w:id="18" w:name="_Toc504486430"/>
      <w:r w:rsidRPr="00DE09C6">
        <w:rPr>
          <w:sz w:val="22"/>
        </w:rPr>
        <w:t xml:space="preserve">Figure </w:t>
      </w:r>
      <w:r w:rsidRPr="00DE09C6">
        <w:rPr>
          <w:sz w:val="22"/>
        </w:rPr>
        <w:fldChar w:fldCharType="begin"/>
      </w:r>
      <w:r w:rsidRPr="00DE09C6">
        <w:rPr>
          <w:sz w:val="22"/>
        </w:rPr>
        <w:instrText xml:space="preserve"> SEQ Figure \* ARABIC </w:instrText>
      </w:r>
      <w:r w:rsidRPr="00DE09C6">
        <w:rPr>
          <w:sz w:val="22"/>
        </w:rPr>
        <w:fldChar w:fldCharType="separate"/>
      </w:r>
      <w:r w:rsidR="00D5752E">
        <w:rPr>
          <w:noProof/>
          <w:sz w:val="22"/>
        </w:rPr>
        <w:t>1</w:t>
      </w:r>
      <w:r w:rsidRPr="00DE09C6">
        <w:rPr>
          <w:noProof/>
          <w:sz w:val="22"/>
        </w:rPr>
        <w:fldChar w:fldCharType="end"/>
      </w:r>
      <w:bookmarkEnd w:id="17"/>
      <w:r w:rsidRPr="00DE09C6">
        <w:rPr>
          <w:sz w:val="22"/>
        </w:rPr>
        <w:t xml:space="preserve">: </w:t>
      </w:r>
      <w:r>
        <w:rPr>
          <w:sz w:val="22"/>
        </w:rPr>
        <w:t>Past year gambling participation by number of activities (1985 - 2012)</w:t>
      </w:r>
      <w:bookmarkEnd w:id="18"/>
    </w:p>
    <w:p w14:paraId="34B93378" w14:textId="0A535230" w:rsidR="00E55BD0" w:rsidRDefault="00E55BD0" w:rsidP="0067540B">
      <w:pPr>
        <w:jc w:val="both"/>
        <w:rPr>
          <w:lang w:eastAsia="en-US"/>
        </w:rPr>
      </w:pPr>
      <w:r>
        <w:rPr>
          <w:noProof/>
          <w:lang w:eastAsia="en-NZ"/>
        </w:rPr>
        <w:drawing>
          <wp:inline distT="0" distB="0" distL="0" distR="0" wp14:anchorId="5C7A09CD" wp14:editId="4CF58868">
            <wp:extent cx="3705308" cy="1794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0227" cy="1816163"/>
                    </a:xfrm>
                    <a:prstGeom prst="rect">
                      <a:avLst/>
                    </a:prstGeom>
                    <a:noFill/>
                  </pic:spPr>
                </pic:pic>
              </a:graphicData>
            </a:graphic>
          </wp:inline>
        </w:drawing>
      </w:r>
    </w:p>
    <w:p w14:paraId="00A99EA6" w14:textId="518D14F2" w:rsidR="00B4786F" w:rsidRPr="00E55BD0" w:rsidRDefault="00E55BD0" w:rsidP="0067540B">
      <w:pPr>
        <w:jc w:val="both"/>
        <w:rPr>
          <w:sz w:val="20"/>
          <w:lang w:eastAsia="en-US"/>
        </w:rPr>
      </w:pPr>
      <w:r>
        <w:rPr>
          <w:sz w:val="20"/>
          <w:lang w:eastAsia="en-US"/>
        </w:rPr>
        <w:t>Reproduced from Abbott, 2017b Figure 1.</w:t>
      </w:r>
    </w:p>
    <w:p w14:paraId="66B9AE75" w14:textId="77777777" w:rsidR="00E55BD0" w:rsidRDefault="00E55BD0" w:rsidP="0067540B">
      <w:pPr>
        <w:jc w:val="both"/>
        <w:rPr>
          <w:lang w:eastAsia="en-US"/>
        </w:rPr>
      </w:pPr>
    </w:p>
    <w:p w14:paraId="317C8D22" w14:textId="024450C1" w:rsidR="0067540B" w:rsidRDefault="00417A53" w:rsidP="0067540B">
      <w:pPr>
        <w:jc w:val="both"/>
        <w:rPr>
          <w:lang w:eastAsia="en-US"/>
        </w:rPr>
      </w:pPr>
      <w:r>
        <w:rPr>
          <w:lang w:eastAsia="en-US"/>
        </w:rPr>
        <w:t>Abbott (2017b), outlines in his 28-year case study of gambling and gambling harm in New Zealand, p</w:t>
      </w:r>
      <w:r w:rsidR="0067540B">
        <w:rPr>
          <w:lang w:eastAsia="en-US"/>
        </w:rPr>
        <w:t>articipation in different gambling activities.  In 1985</w:t>
      </w:r>
      <w:r w:rsidR="00F27954">
        <w:rPr>
          <w:lang w:eastAsia="en-US"/>
        </w:rPr>
        <w:t>,</w:t>
      </w:r>
      <w:r w:rsidR="0067540B">
        <w:rPr>
          <w:lang w:eastAsia="en-US"/>
        </w:rPr>
        <w:t xml:space="preserve"> lotteries and informal raffles were the most popular form of gambling, with just over </w:t>
      </w:r>
      <w:r>
        <w:rPr>
          <w:lang w:eastAsia="en-US"/>
        </w:rPr>
        <w:t>70% of adults reporting past 12 </w:t>
      </w:r>
      <w:r w:rsidR="0067540B">
        <w:rPr>
          <w:lang w:eastAsia="en-US"/>
        </w:rPr>
        <w:t>months participation.  Around a quarter of adults bet on horse or dog races and smaller percentages made bets with friends and workmates, played card games for money, took part in informal fundraising ‘casino’ evenings and played housie (bingo).  Within a few years of their introduction, in 1990, Lotto became the most popular gambling activity, followed by Instant Kiwi.  Non-casino EGMs ranked fourth after raffles and lotteries</w:t>
      </w:r>
      <w:r w:rsidR="009B088C">
        <w:rPr>
          <w:lang w:eastAsia="en-US"/>
        </w:rPr>
        <w:t xml:space="preserve"> (</w:t>
      </w:r>
      <w:r w:rsidR="00154C15">
        <w:rPr>
          <w:lang w:eastAsia="en-US"/>
        </w:rPr>
        <w:t>Department of Internal Affairs, 2007</w:t>
      </w:r>
      <w:r w:rsidR="009B088C">
        <w:rPr>
          <w:lang w:eastAsia="en-US"/>
        </w:rPr>
        <w:t>)</w:t>
      </w:r>
      <w:r w:rsidR="00E55BD0">
        <w:rPr>
          <w:lang w:eastAsia="en-US"/>
        </w:rPr>
        <w:t xml:space="preserve"> (see </w:t>
      </w:r>
      <w:r w:rsidR="00632CC6">
        <w:rPr>
          <w:lang w:eastAsia="en-US"/>
        </w:rPr>
        <w:fldChar w:fldCharType="begin"/>
      </w:r>
      <w:r w:rsidR="00632CC6">
        <w:rPr>
          <w:lang w:eastAsia="en-US"/>
        </w:rPr>
        <w:instrText xml:space="preserve"> REF _Ref504486323 \h </w:instrText>
      </w:r>
      <w:r w:rsidR="00632CC6">
        <w:rPr>
          <w:lang w:eastAsia="en-US"/>
        </w:rPr>
      </w:r>
      <w:r w:rsidR="00632CC6">
        <w:rPr>
          <w:lang w:eastAsia="en-US"/>
        </w:rPr>
        <w:fldChar w:fldCharType="separate"/>
      </w:r>
      <w:r w:rsidR="00D5752E" w:rsidRPr="00DE09C6">
        <w:t xml:space="preserve">Figure </w:t>
      </w:r>
      <w:r w:rsidR="00D5752E">
        <w:rPr>
          <w:noProof/>
        </w:rPr>
        <w:t>2</w:t>
      </w:r>
      <w:r w:rsidR="00632CC6">
        <w:rPr>
          <w:lang w:eastAsia="en-US"/>
        </w:rPr>
        <w:fldChar w:fldCharType="end"/>
      </w:r>
      <w:r w:rsidR="00632CC6">
        <w:rPr>
          <w:lang w:eastAsia="en-US"/>
        </w:rPr>
        <w:t>)</w:t>
      </w:r>
      <w:r w:rsidR="0067540B">
        <w:rPr>
          <w:lang w:eastAsia="en-US"/>
        </w:rPr>
        <w:t>.</w:t>
      </w:r>
    </w:p>
    <w:p w14:paraId="04BED1CF" w14:textId="77777777" w:rsidR="00E55BD0" w:rsidRDefault="00E55BD0" w:rsidP="0067540B">
      <w:pPr>
        <w:jc w:val="both"/>
        <w:rPr>
          <w:lang w:eastAsia="en-US"/>
        </w:rPr>
      </w:pPr>
    </w:p>
    <w:p w14:paraId="6454BD0A" w14:textId="5E322262" w:rsidR="00E55BD0" w:rsidRPr="00E471E8" w:rsidRDefault="00E55BD0" w:rsidP="00E55BD0">
      <w:pPr>
        <w:pStyle w:val="Caption"/>
        <w:keepNext/>
        <w:rPr>
          <w:sz w:val="22"/>
        </w:rPr>
      </w:pPr>
      <w:bookmarkStart w:id="19" w:name="_Ref504486323"/>
      <w:bookmarkStart w:id="20" w:name="_Toc504486431"/>
      <w:r w:rsidRPr="00DE09C6">
        <w:rPr>
          <w:sz w:val="22"/>
        </w:rPr>
        <w:t xml:space="preserve">Figure </w:t>
      </w:r>
      <w:r w:rsidRPr="00DE09C6">
        <w:rPr>
          <w:sz w:val="22"/>
        </w:rPr>
        <w:fldChar w:fldCharType="begin"/>
      </w:r>
      <w:r w:rsidRPr="00DE09C6">
        <w:rPr>
          <w:sz w:val="22"/>
        </w:rPr>
        <w:instrText xml:space="preserve"> SEQ Figure \* ARABIC </w:instrText>
      </w:r>
      <w:r w:rsidRPr="00DE09C6">
        <w:rPr>
          <w:sz w:val="22"/>
        </w:rPr>
        <w:fldChar w:fldCharType="separate"/>
      </w:r>
      <w:r w:rsidR="00D5752E">
        <w:rPr>
          <w:noProof/>
          <w:sz w:val="22"/>
        </w:rPr>
        <w:t>2</w:t>
      </w:r>
      <w:r w:rsidRPr="00DE09C6">
        <w:rPr>
          <w:noProof/>
          <w:sz w:val="22"/>
        </w:rPr>
        <w:fldChar w:fldCharType="end"/>
      </w:r>
      <w:bookmarkEnd w:id="19"/>
      <w:r w:rsidRPr="00DE09C6">
        <w:rPr>
          <w:sz w:val="22"/>
        </w:rPr>
        <w:t xml:space="preserve">: </w:t>
      </w:r>
      <w:r>
        <w:rPr>
          <w:sz w:val="22"/>
        </w:rPr>
        <w:t xml:space="preserve">Past year gambling participation by </w:t>
      </w:r>
      <w:r w:rsidR="00632CC6">
        <w:rPr>
          <w:sz w:val="22"/>
        </w:rPr>
        <w:t>gambling</w:t>
      </w:r>
      <w:r>
        <w:rPr>
          <w:sz w:val="22"/>
        </w:rPr>
        <w:t xml:space="preserve"> activit</w:t>
      </w:r>
      <w:r w:rsidR="00632CC6">
        <w:rPr>
          <w:sz w:val="22"/>
        </w:rPr>
        <w:t>y</w:t>
      </w:r>
      <w:r>
        <w:rPr>
          <w:sz w:val="22"/>
        </w:rPr>
        <w:t xml:space="preserve"> (1985 - 2012)</w:t>
      </w:r>
      <w:bookmarkEnd w:id="20"/>
    </w:p>
    <w:p w14:paraId="26186F43" w14:textId="77777777" w:rsidR="00E55BD0" w:rsidRDefault="00E55BD0" w:rsidP="0067540B">
      <w:pPr>
        <w:jc w:val="both"/>
        <w:rPr>
          <w:lang w:eastAsia="en-US"/>
        </w:rPr>
      </w:pPr>
    </w:p>
    <w:p w14:paraId="127124D3" w14:textId="146B7D6A" w:rsidR="00E55BD0" w:rsidRDefault="00E55BD0" w:rsidP="0067540B">
      <w:pPr>
        <w:jc w:val="both"/>
        <w:rPr>
          <w:lang w:eastAsia="en-US"/>
        </w:rPr>
      </w:pPr>
      <w:r>
        <w:rPr>
          <w:noProof/>
          <w:lang w:eastAsia="en-NZ"/>
        </w:rPr>
        <w:drawing>
          <wp:inline distT="0" distB="0" distL="0" distR="0" wp14:anchorId="6E647EC7" wp14:editId="6446EA2B">
            <wp:extent cx="3587139" cy="3649649"/>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2167" cy="3695462"/>
                    </a:xfrm>
                    <a:prstGeom prst="rect">
                      <a:avLst/>
                    </a:prstGeom>
                    <a:noFill/>
                  </pic:spPr>
                </pic:pic>
              </a:graphicData>
            </a:graphic>
          </wp:inline>
        </w:drawing>
      </w:r>
    </w:p>
    <w:p w14:paraId="02E6F1B4" w14:textId="65E40B97" w:rsidR="00E55BD0" w:rsidRPr="00E55BD0" w:rsidRDefault="00E55BD0" w:rsidP="00E55BD0">
      <w:pPr>
        <w:jc w:val="both"/>
        <w:rPr>
          <w:sz w:val="20"/>
          <w:lang w:eastAsia="en-US"/>
        </w:rPr>
      </w:pPr>
      <w:r>
        <w:rPr>
          <w:sz w:val="20"/>
          <w:lang w:eastAsia="en-US"/>
        </w:rPr>
        <w:t>Reprod</w:t>
      </w:r>
      <w:r w:rsidR="00632CC6">
        <w:rPr>
          <w:sz w:val="20"/>
          <w:lang w:eastAsia="en-US"/>
        </w:rPr>
        <w:t>uced from Abbott, 2017b Figure 2</w:t>
      </w:r>
      <w:r>
        <w:rPr>
          <w:sz w:val="20"/>
          <w:lang w:eastAsia="en-US"/>
        </w:rPr>
        <w:t>.</w:t>
      </w:r>
    </w:p>
    <w:p w14:paraId="1A43C12D" w14:textId="64D78939" w:rsidR="0067540B" w:rsidRDefault="0067540B" w:rsidP="0067540B">
      <w:pPr>
        <w:jc w:val="both"/>
        <w:rPr>
          <w:lang w:eastAsia="en-US"/>
        </w:rPr>
      </w:pPr>
      <w:r>
        <w:rPr>
          <w:lang w:eastAsia="en-US"/>
        </w:rPr>
        <w:t xml:space="preserve">From </w:t>
      </w:r>
      <w:r w:rsidR="00417A53">
        <w:rPr>
          <w:lang w:eastAsia="en-US"/>
        </w:rPr>
        <w:t>the aforementioned</w:t>
      </w:r>
      <w:r w:rsidR="000E2751">
        <w:rPr>
          <w:lang w:eastAsia="en-US"/>
        </w:rPr>
        <w:t>,</w:t>
      </w:r>
      <w:r>
        <w:rPr>
          <w:lang w:eastAsia="en-US"/>
        </w:rPr>
        <w:t xml:space="preserve"> it is evident that most newly introduced gambling activities were rapidly adopted, with their highest participation rates reached within the first few years.  Following that</w:t>
      </w:r>
      <w:r w:rsidR="000E2751">
        <w:rPr>
          <w:lang w:eastAsia="en-US"/>
        </w:rPr>
        <w:t>,</w:t>
      </w:r>
      <w:r>
        <w:rPr>
          <w:lang w:eastAsia="en-US"/>
        </w:rPr>
        <w:t xml:space="preserve"> participation declined, markedly in most cases. </w:t>
      </w:r>
    </w:p>
    <w:p w14:paraId="3456A23B" w14:textId="77777777" w:rsidR="0067540B" w:rsidRDefault="0067540B" w:rsidP="0067540B">
      <w:pPr>
        <w:jc w:val="both"/>
        <w:rPr>
          <w:lang w:eastAsia="en-US"/>
        </w:rPr>
      </w:pPr>
    </w:p>
    <w:p w14:paraId="7A9A84D3" w14:textId="77777777" w:rsidR="0067540B" w:rsidRDefault="0067540B" w:rsidP="0067540B">
      <w:pPr>
        <w:jc w:val="both"/>
        <w:rPr>
          <w:lang w:eastAsia="en-US"/>
        </w:rPr>
      </w:pPr>
      <w:r>
        <w:rPr>
          <w:lang w:eastAsia="en-US"/>
        </w:rPr>
        <w:t xml:space="preserve">Few gambling activities had regular (weekly or more often) participation rates above 10%.  Lotto was the exception, with 35% taking </w:t>
      </w:r>
      <w:r w:rsidRPr="00E55BD0">
        <w:rPr>
          <w:lang w:eastAsia="en-US"/>
        </w:rPr>
        <w:t xml:space="preserve">part </w:t>
      </w:r>
      <w:r w:rsidR="001B3F4B" w:rsidRPr="00E55BD0">
        <w:rPr>
          <w:lang w:eastAsia="en-US"/>
        </w:rPr>
        <w:t>weekly or more</w:t>
      </w:r>
      <w:r w:rsidRPr="00E55BD0">
        <w:rPr>
          <w:lang w:eastAsia="en-US"/>
        </w:rPr>
        <w:t xml:space="preserve"> often in</w:t>
      </w:r>
      <w:r>
        <w:rPr>
          <w:lang w:eastAsia="en-US"/>
        </w:rPr>
        <w:t xml:space="preserve"> 1990 and 1995.  It reduced to 30% in 2000, 21% in 2005 and 17% in 2012.  In 1990, a couple of years after its introduction, Instant Kiwi participation was 14%.  Participation declined in subsequent sur</w:t>
      </w:r>
      <w:r w:rsidR="000E2751">
        <w:rPr>
          <w:lang w:eastAsia="en-US"/>
        </w:rPr>
        <w:t>veys (10%, 9%, 6% and 3%).  Non-</w:t>
      </w:r>
      <w:r>
        <w:rPr>
          <w:lang w:eastAsia="en-US"/>
        </w:rPr>
        <w:t>casino EGMs and track betting were the only other activities that five percent or more people took part in regularly.  Five percent</w:t>
      </w:r>
      <w:r w:rsidR="000E2751">
        <w:rPr>
          <w:lang w:eastAsia="en-US"/>
        </w:rPr>
        <w:t xml:space="preserve"> of adults reported regular non-</w:t>
      </w:r>
      <w:r>
        <w:rPr>
          <w:lang w:eastAsia="en-US"/>
        </w:rPr>
        <w:t>casino EGM participation in 1990.  In the next three surveys</w:t>
      </w:r>
      <w:r w:rsidR="000E2751">
        <w:rPr>
          <w:lang w:eastAsia="en-US"/>
        </w:rPr>
        <w:t>,</w:t>
      </w:r>
      <w:r>
        <w:rPr>
          <w:lang w:eastAsia="en-US"/>
        </w:rPr>
        <w:t xml:space="preserve"> three percent reported this frequency of participation and in 2012 it </w:t>
      </w:r>
      <w:r w:rsidR="000E2751">
        <w:rPr>
          <w:lang w:eastAsia="en-US"/>
        </w:rPr>
        <w:t>decreased</w:t>
      </w:r>
      <w:r>
        <w:rPr>
          <w:lang w:eastAsia="en-US"/>
        </w:rPr>
        <w:t xml:space="preserve"> to one percent.  A similar pattern was found for track betting with five percent participating regularly in 1985 and </w:t>
      </w:r>
      <w:r w:rsidR="000E2751">
        <w:rPr>
          <w:lang w:eastAsia="en-US"/>
        </w:rPr>
        <w:t xml:space="preserve">subsequent </w:t>
      </w:r>
      <w:r>
        <w:rPr>
          <w:lang w:eastAsia="en-US"/>
        </w:rPr>
        <w:t>reduced participation (4%, 3%, 2%, 3% and 1%)</w:t>
      </w:r>
      <w:r w:rsidR="009B088C">
        <w:rPr>
          <w:lang w:eastAsia="en-US"/>
        </w:rPr>
        <w:t xml:space="preserve"> (Abbott et al., 2014a, </w:t>
      </w:r>
      <w:r w:rsidR="00154C15">
        <w:rPr>
          <w:lang w:eastAsia="en-US"/>
        </w:rPr>
        <w:t>Department of Internal Affairs, 2007</w:t>
      </w:r>
      <w:r w:rsidR="009B088C">
        <w:rPr>
          <w:lang w:eastAsia="en-US"/>
        </w:rPr>
        <w:t>)</w:t>
      </w:r>
      <w:r>
        <w:rPr>
          <w:lang w:eastAsia="en-US"/>
        </w:rPr>
        <w:t>.</w:t>
      </w:r>
    </w:p>
    <w:p w14:paraId="14E6993A" w14:textId="77777777" w:rsidR="0067540B" w:rsidRDefault="0067540B" w:rsidP="0067540B">
      <w:pPr>
        <w:jc w:val="both"/>
        <w:rPr>
          <w:lang w:eastAsia="en-US"/>
        </w:rPr>
      </w:pPr>
    </w:p>
    <w:p w14:paraId="6D91023C" w14:textId="77777777" w:rsidR="0067540B" w:rsidRDefault="0067540B" w:rsidP="0067540B">
      <w:pPr>
        <w:jc w:val="both"/>
        <w:rPr>
          <w:lang w:eastAsia="en-US"/>
        </w:rPr>
      </w:pPr>
      <w:r>
        <w:rPr>
          <w:lang w:eastAsia="en-US"/>
        </w:rPr>
        <w:t>The 1990 and 1999 national gambling and problem gambling surveys also provide gambling participation findings that can be compared with NGS findings.  However, caution is required when making these comparisons because the surveys used different survey designs (face-to-face versus telephone landline recruitment and interviewing)</w:t>
      </w:r>
      <w:r w:rsidR="00365AD7">
        <w:rPr>
          <w:lang w:eastAsia="en-US"/>
        </w:rPr>
        <w:t>,</w:t>
      </w:r>
      <w:r>
        <w:rPr>
          <w:lang w:eastAsia="en-US"/>
        </w:rPr>
        <w:t xml:space="preserve"> and in the 1990 and 1999 surveys some gambling questions had a six month rather than a 12 month time-frame.</w:t>
      </w:r>
    </w:p>
    <w:p w14:paraId="6F0FB287" w14:textId="77777777" w:rsidR="0067540B" w:rsidRDefault="0067540B" w:rsidP="0067540B">
      <w:pPr>
        <w:jc w:val="both"/>
        <w:rPr>
          <w:lang w:eastAsia="en-US"/>
        </w:rPr>
      </w:pPr>
    </w:p>
    <w:p w14:paraId="4840D343" w14:textId="77777777" w:rsidR="0067540B" w:rsidRDefault="0067540B" w:rsidP="0067540B">
      <w:pPr>
        <w:jc w:val="both"/>
        <w:rPr>
          <w:lang w:eastAsia="en-US"/>
        </w:rPr>
      </w:pPr>
      <w:r>
        <w:rPr>
          <w:lang w:eastAsia="en-US"/>
        </w:rPr>
        <w:t>In the 1990 and 1999 surveys</w:t>
      </w:r>
      <w:r w:rsidR="00365AD7">
        <w:rPr>
          <w:lang w:eastAsia="en-US"/>
        </w:rPr>
        <w:t>,</w:t>
      </w:r>
      <w:r>
        <w:rPr>
          <w:lang w:eastAsia="en-US"/>
        </w:rPr>
        <w:t xml:space="preserve"> participants were asked if they had ever taken part in any of a long list of gambling activities.  The great majority of adults (95% and 94% respectively) said they had.  This question was also asked in 2012.  In this survey</w:t>
      </w:r>
      <w:r w:rsidR="00365AD7">
        <w:rPr>
          <w:lang w:eastAsia="en-US"/>
        </w:rPr>
        <w:t>,</w:t>
      </w:r>
      <w:r>
        <w:rPr>
          <w:lang w:eastAsia="en-US"/>
        </w:rPr>
        <w:t xml:space="preserve"> 86% said</w:t>
      </w:r>
      <w:r w:rsidR="00365AD7">
        <w:rPr>
          <w:lang w:eastAsia="en-US"/>
        </w:rPr>
        <w:t xml:space="preserve"> they had gambled at some time.</w:t>
      </w:r>
      <w:r>
        <w:rPr>
          <w:lang w:eastAsia="en-US"/>
        </w:rPr>
        <w:t xml:space="preserve">  Past six months participation in one or more gambling activities was 90% in 1990 and 86% in 1999.  The corresponding past 12 months estimates from the 1990 and 2000 DIA surveys were 90% and 87%.  These very similar findings from independent surveys using different methodologies increases confidence in their validity. </w:t>
      </w:r>
    </w:p>
    <w:p w14:paraId="79F592AB" w14:textId="77777777" w:rsidR="0067540B" w:rsidRDefault="0067540B" w:rsidP="0067540B">
      <w:pPr>
        <w:jc w:val="both"/>
        <w:rPr>
          <w:lang w:eastAsia="en-US"/>
        </w:rPr>
      </w:pPr>
    </w:p>
    <w:p w14:paraId="5D08A873" w14:textId="77777777" w:rsidR="0067540B" w:rsidRDefault="0067540B" w:rsidP="0067540B">
      <w:pPr>
        <w:jc w:val="both"/>
        <w:rPr>
          <w:lang w:eastAsia="en-US"/>
        </w:rPr>
      </w:pPr>
      <w:r>
        <w:rPr>
          <w:lang w:eastAsia="en-US"/>
        </w:rPr>
        <w:t xml:space="preserve">The national gambling and problem gambling surveys also assessed regular participation and grouped gambling participants into three groups </w:t>
      </w:r>
      <w:r w:rsidR="00365AD7">
        <w:rPr>
          <w:lang w:eastAsia="en-US"/>
        </w:rPr>
        <w:t>-</w:t>
      </w:r>
      <w:r>
        <w:rPr>
          <w:lang w:eastAsia="en-US"/>
        </w:rPr>
        <w:t xml:space="preserve"> regular continuous gamblers, regular non-continuous gamblers and infrequent gamblers.  Regular continuous gamblers took part in one or more activities such as EGMs and sport or track betting on a weekly or more frequent basis.  Regular non-continuous gamblers took part this often in Lotto and/or other activities where wi</w:t>
      </w:r>
      <w:r w:rsidR="00D622B3">
        <w:rPr>
          <w:lang w:eastAsia="en-US"/>
        </w:rPr>
        <w:t>nnings cannot be frequently ‘re</w:t>
      </w:r>
      <w:r>
        <w:rPr>
          <w:lang w:eastAsia="en-US"/>
        </w:rPr>
        <w:t>invested’.  In both 1990 and 1999</w:t>
      </w:r>
      <w:r w:rsidR="00365AD7">
        <w:rPr>
          <w:lang w:eastAsia="en-US"/>
        </w:rPr>
        <w:t>,</w:t>
      </w:r>
      <w:r>
        <w:rPr>
          <w:lang w:eastAsia="en-US"/>
        </w:rPr>
        <w:t xml:space="preserve"> 30% of adults were estimated to be regular non-continuous gamblers.  This nearly halved to 16% in 2012.  In 1990 the estimate for regular continuous gamblers was 18%.  This </w:t>
      </w:r>
      <w:r w:rsidR="00365AD7">
        <w:rPr>
          <w:lang w:eastAsia="en-US"/>
        </w:rPr>
        <w:t>reduced</w:t>
      </w:r>
      <w:r>
        <w:rPr>
          <w:lang w:eastAsia="en-US"/>
        </w:rPr>
        <w:t xml:space="preserve"> to 10% in 1999 and six percent in 2012, a third of what it was 22 years previously.</w:t>
      </w:r>
    </w:p>
    <w:p w14:paraId="30332735" w14:textId="77777777" w:rsidR="0067540B" w:rsidRDefault="0067540B" w:rsidP="0067540B">
      <w:pPr>
        <w:jc w:val="both"/>
        <w:rPr>
          <w:lang w:eastAsia="en-US"/>
        </w:rPr>
      </w:pPr>
    </w:p>
    <w:p w14:paraId="3573F784" w14:textId="2168C282" w:rsidR="0067540B" w:rsidRDefault="0067540B" w:rsidP="0067540B">
      <w:pPr>
        <w:jc w:val="both"/>
        <w:rPr>
          <w:lang w:eastAsia="en-US"/>
        </w:rPr>
      </w:pPr>
      <w:r>
        <w:rPr>
          <w:lang w:eastAsia="en-US"/>
        </w:rPr>
        <w:t xml:space="preserve">Other national studies, additional to the DIA and national gambling and problem gambling surveys, included questions on gambling participation.  This includes </w:t>
      </w:r>
      <w:r w:rsidR="001B3F4B">
        <w:rPr>
          <w:lang w:eastAsia="en-US"/>
        </w:rPr>
        <w:t xml:space="preserve">a </w:t>
      </w:r>
      <w:r>
        <w:rPr>
          <w:lang w:eastAsia="en-US"/>
        </w:rPr>
        <w:t>survey series conducted by the Health Sponsorship Council</w:t>
      </w:r>
      <w:r w:rsidR="000F4559">
        <w:rPr>
          <w:lang w:eastAsia="en-US"/>
        </w:rPr>
        <w:t>/Health Promotion Agency</w:t>
      </w:r>
      <w:r>
        <w:rPr>
          <w:lang w:eastAsia="en-US"/>
        </w:rPr>
        <w:t xml:space="preserve"> </w:t>
      </w:r>
      <w:r w:rsidR="000F4559">
        <w:rPr>
          <w:lang w:eastAsia="en-US"/>
        </w:rPr>
        <w:t xml:space="preserve">(Health and Lifestyles Survey biennially since 2006/07) </w:t>
      </w:r>
      <w:r>
        <w:rPr>
          <w:lang w:eastAsia="en-US"/>
        </w:rPr>
        <w:t>and the Ministry of Health (New Zealand Health Surveys 2002/3, 2006/7 and 2011/12).  Major findings from these studies are reported in Abbott et al</w:t>
      </w:r>
      <w:r w:rsidR="00365AD7">
        <w:rPr>
          <w:lang w:eastAsia="en-US"/>
        </w:rPr>
        <w:t>. (2014</w:t>
      </w:r>
      <w:r w:rsidR="00585D79">
        <w:rPr>
          <w:lang w:eastAsia="en-US"/>
        </w:rPr>
        <w:t>a</w:t>
      </w:r>
      <w:r w:rsidR="00365AD7">
        <w:rPr>
          <w:lang w:eastAsia="en-US"/>
        </w:rPr>
        <w:t>)</w:t>
      </w:r>
      <w:r w:rsidR="000F4559">
        <w:rPr>
          <w:lang w:eastAsia="en-US"/>
        </w:rPr>
        <w:t>, Thimasarn-Anwar et al. (2017)</w:t>
      </w:r>
      <w:r w:rsidR="00365AD7">
        <w:rPr>
          <w:lang w:eastAsia="en-US"/>
        </w:rPr>
        <w:t xml:space="preserve"> and Rossen (2015).</w:t>
      </w:r>
      <w:r>
        <w:rPr>
          <w:lang w:eastAsia="en-US"/>
        </w:rPr>
        <w:t xml:space="preserve">  Participation rates are generally lower in these surveys than in the studies considered above.  This is especially the case with the New Zealand Health Surveys (NZHS).  For example</w:t>
      </w:r>
      <w:r w:rsidR="00365AD7">
        <w:rPr>
          <w:lang w:eastAsia="en-US"/>
        </w:rPr>
        <w:t>,</w:t>
      </w:r>
      <w:r>
        <w:rPr>
          <w:lang w:eastAsia="en-US"/>
        </w:rPr>
        <w:t xml:space="preserve"> the past year gambling participation rate in the 2011/12 NZHS was 52%, compared to 80% in the 2012 NGS.  Both surveys were conducted face-to-face but differed in that the NZHS was presented as a health rather than gambling study and did not include a full list of gambling activities.  While the NZHS undoubtedly under-estimated gambling participation, both the NZHS and Health Sponsorship Council series found similar trends over time to those noted for the DIA and national gambling and problem gambling studies. </w:t>
      </w:r>
    </w:p>
    <w:p w14:paraId="51987C4F" w14:textId="77777777" w:rsidR="001030E2" w:rsidRDefault="001030E2" w:rsidP="0067540B">
      <w:pPr>
        <w:jc w:val="both"/>
        <w:rPr>
          <w:lang w:eastAsia="en-US"/>
        </w:rPr>
      </w:pPr>
    </w:p>
    <w:p w14:paraId="2DB259A4" w14:textId="77777777" w:rsidR="0067540B" w:rsidRDefault="0067540B" w:rsidP="0067540B">
      <w:pPr>
        <w:jc w:val="both"/>
        <w:rPr>
          <w:lang w:eastAsia="en-US"/>
        </w:rPr>
      </w:pPr>
      <w:r>
        <w:rPr>
          <w:lang w:eastAsia="en-US"/>
        </w:rPr>
        <w:t>In New Zealand</w:t>
      </w:r>
      <w:r w:rsidR="00365AD7">
        <w:rPr>
          <w:lang w:eastAsia="en-US"/>
        </w:rPr>
        <w:t>, on</w:t>
      </w:r>
      <w:r>
        <w:rPr>
          <w:lang w:eastAsia="en-US"/>
        </w:rPr>
        <w:t xml:space="preserve">line access (telephone, internet and interactive television) is provided to Lotteries Commission and New Zealand Racing Board gambling products.  Domestic internet provision of other forms of gambling, </w:t>
      </w:r>
      <w:r w:rsidR="00365AD7">
        <w:rPr>
          <w:lang w:eastAsia="en-US"/>
        </w:rPr>
        <w:t>for example</w:t>
      </w:r>
      <w:r>
        <w:rPr>
          <w:lang w:eastAsia="en-US"/>
        </w:rPr>
        <w:t xml:space="preserve"> casino table games and EGMs, are prohibited.  However, lo</w:t>
      </w:r>
      <w:r w:rsidR="00365AD7">
        <w:rPr>
          <w:lang w:eastAsia="en-US"/>
        </w:rPr>
        <w:t>cals are permitted to access on</w:t>
      </w:r>
      <w:r>
        <w:rPr>
          <w:lang w:eastAsia="en-US"/>
        </w:rPr>
        <w:t xml:space="preserve">line gambling of this type </w:t>
      </w:r>
      <w:r w:rsidR="00365AD7">
        <w:rPr>
          <w:lang w:eastAsia="en-US"/>
        </w:rPr>
        <w:t>offered by off</w:t>
      </w:r>
      <w:r>
        <w:rPr>
          <w:lang w:eastAsia="en-US"/>
        </w:rPr>
        <w:t xml:space="preserve">shore providers.  In 2012, around one percent of adults accessed overseas internet gambling sites.  Larger numbers accessed local Lotteries Commission and Racing Board gambling activities, </w:t>
      </w:r>
      <w:r w:rsidR="00365AD7">
        <w:rPr>
          <w:lang w:eastAsia="en-US"/>
        </w:rPr>
        <w:t>for example,</w:t>
      </w:r>
      <w:r>
        <w:rPr>
          <w:lang w:eastAsia="en-US"/>
        </w:rPr>
        <w:t xml:space="preserve"> five percent used the internet to purchase Lotto tickets during the past 12 months.  As with Lotto, where activities were available both on</w:t>
      </w:r>
      <w:r w:rsidR="00365AD7">
        <w:rPr>
          <w:lang w:eastAsia="en-US"/>
        </w:rPr>
        <w:t>-</w:t>
      </w:r>
      <w:r>
        <w:rPr>
          <w:lang w:eastAsia="en-US"/>
        </w:rPr>
        <w:t xml:space="preserve"> and off-line, substantially more accessed them off-line and relatively few people </w:t>
      </w:r>
      <w:r w:rsidR="00365AD7">
        <w:rPr>
          <w:lang w:eastAsia="en-US"/>
        </w:rPr>
        <w:t xml:space="preserve">only </w:t>
      </w:r>
      <w:r>
        <w:rPr>
          <w:lang w:eastAsia="en-US"/>
        </w:rPr>
        <w:t>accessed activities online (Abbott et al</w:t>
      </w:r>
      <w:r w:rsidR="00365AD7">
        <w:rPr>
          <w:lang w:eastAsia="en-US"/>
        </w:rPr>
        <w:t>.</w:t>
      </w:r>
      <w:r>
        <w:rPr>
          <w:lang w:eastAsia="en-US"/>
        </w:rPr>
        <w:t>, 2014a).</w:t>
      </w:r>
    </w:p>
    <w:p w14:paraId="2E25BDEC" w14:textId="77777777" w:rsidR="0067540B" w:rsidRDefault="0067540B" w:rsidP="0067540B">
      <w:pPr>
        <w:jc w:val="both"/>
        <w:rPr>
          <w:lang w:eastAsia="en-US"/>
        </w:rPr>
      </w:pPr>
    </w:p>
    <w:p w14:paraId="78F3DC4D" w14:textId="77777777" w:rsidR="0067540B" w:rsidRDefault="0067540B" w:rsidP="0067540B">
      <w:pPr>
        <w:jc w:val="both"/>
        <w:rPr>
          <w:lang w:eastAsia="en-US"/>
        </w:rPr>
      </w:pPr>
      <w:r>
        <w:rPr>
          <w:lang w:eastAsia="en-US"/>
        </w:rPr>
        <w:t>As mentioned</w:t>
      </w:r>
      <w:r w:rsidR="00365AD7">
        <w:rPr>
          <w:lang w:eastAsia="en-US"/>
        </w:rPr>
        <w:t>, the NGS also examined on</w:t>
      </w:r>
      <w:r>
        <w:rPr>
          <w:lang w:eastAsia="en-US"/>
        </w:rPr>
        <w:t>line participation in gambling-type games not for money.  In 2012</w:t>
      </w:r>
      <w:r w:rsidR="00365AD7">
        <w:rPr>
          <w:lang w:eastAsia="en-US"/>
        </w:rPr>
        <w:t>,</w:t>
      </w:r>
      <w:r w:rsidR="00CE0094">
        <w:rPr>
          <w:lang w:eastAsia="en-US"/>
        </w:rPr>
        <w:t xml:space="preserve"> 17</w:t>
      </w:r>
      <w:r>
        <w:rPr>
          <w:lang w:eastAsia="en-US"/>
        </w:rPr>
        <w:t>% of adults participated in activities of this type during the past 12 months, substantially more than participated in gambling activities online (</w:t>
      </w:r>
      <w:r w:rsidR="00CE0094">
        <w:rPr>
          <w:lang w:eastAsia="en-US"/>
        </w:rPr>
        <w:t>Abbott</w:t>
      </w:r>
      <w:r>
        <w:rPr>
          <w:lang w:eastAsia="en-US"/>
        </w:rPr>
        <w:t xml:space="preserve"> et al</w:t>
      </w:r>
      <w:r w:rsidR="0003371B">
        <w:rPr>
          <w:lang w:eastAsia="en-US"/>
        </w:rPr>
        <w:t>.</w:t>
      </w:r>
      <w:r w:rsidR="00CE0094">
        <w:rPr>
          <w:lang w:eastAsia="en-US"/>
        </w:rPr>
        <w:t>, 2014a</w:t>
      </w:r>
      <w:r>
        <w:rPr>
          <w:lang w:eastAsia="en-US"/>
        </w:rPr>
        <w:t xml:space="preserve">).  Approximately half of these people (8% of adults) said they did so weekly or more often.  This compares with 22% of adults who participated in a gambling activity on a weekly basis.  Males, younger people and </w:t>
      </w:r>
      <w:r w:rsidR="00365AD7">
        <w:rPr>
          <w:lang w:eastAsia="en-US"/>
        </w:rPr>
        <w:t>Māori</w:t>
      </w:r>
      <w:r>
        <w:rPr>
          <w:lang w:eastAsia="en-US"/>
        </w:rPr>
        <w:t xml:space="preserve"> were among the groups </w:t>
      </w:r>
      <w:r w:rsidR="00365AD7">
        <w:rPr>
          <w:lang w:eastAsia="en-US"/>
        </w:rPr>
        <w:t>with</w:t>
      </w:r>
      <w:r>
        <w:rPr>
          <w:lang w:eastAsia="en-US"/>
        </w:rPr>
        <w:t xml:space="preserve"> higher levels of participation in gambling-type games on-line.    </w:t>
      </w:r>
    </w:p>
    <w:p w14:paraId="3E576072" w14:textId="77777777" w:rsidR="0067540B" w:rsidRDefault="0067540B" w:rsidP="0067540B">
      <w:pPr>
        <w:jc w:val="both"/>
        <w:rPr>
          <w:lang w:eastAsia="en-US"/>
        </w:rPr>
      </w:pPr>
    </w:p>
    <w:p w14:paraId="391BD39A" w14:textId="77777777" w:rsidR="00365AD7" w:rsidRDefault="00365AD7" w:rsidP="0067540B">
      <w:pPr>
        <w:jc w:val="both"/>
        <w:rPr>
          <w:lang w:eastAsia="en-US"/>
        </w:rPr>
      </w:pPr>
    </w:p>
    <w:p w14:paraId="7B917AC8" w14:textId="77777777" w:rsidR="0067540B" w:rsidRPr="00365AD7" w:rsidRDefault="0067540B" w:rsidP="0067540B">
      <w:pPr>
        <w:jc w:val="both"/>
        <w:rPr>
          <w:b/>
          <w:i/>
          <w:lang w:eastAsia="en-US"/>
        </w:rPr>
      </w:pPr>
      <w:r w:rsidRPr="00294B3D">
        <w:rPr>
          <w:b/>
          <w:i/>
          <w:lang w:eastAsia="en-US"/>
        </w:rPr>
        <w:t>Problem gambling</w:t>
      </w:r>
    </w:p>
    <w:p w14:paraId="17204192" w14:textId="77777777" w:rsidR="0067540B" w:rsidRDefault="0067540B" w:rsidP="0067540B">
      <w:pPr>
        <w:jc w:val="both"/>
        <w:rPr>
          <w:lang w:eastAsia="en-US"/>
        </w:rPr>
      </w:pPr>
    </w:p>
    <w:p w14:paraId="4B803BB4" w14:textId="77777777" w:rsidR="0067540B" w:rsidRDefault="0067540B" w:rsidP="0067540B">
      <w:pPr>
        <w:jc w:val="both"/>
        <w:rPr>
          <w:lang w:eastAsia="en-US"/>
        </w:rPr>
      </w:pPr>
      <w:r>
        <w:rPr>
          <w:lang w:eastAsia="en-US"/>
        </w:rPr>
        <w:t xml:space="preserve">The lifetime SOGS-R was included in the NGS to enable comparison with findings from the 1990 and 1999 gambling and problem gambling studies.  The current SOGS-R was not included in the NGS.  While inclusion of this measure would have enabled comparison with the earlier past six month prevalence findings, most recent general population studies, including all New Zealand surveys during the past decade, have used the PGSI.  </w:t>
      </w:r>
    </w:p>
    <w:p w14:paraId="117F550A" w14:textId="77777777" w:rsidR="006269A7" w:rsidRDefault="006269A7" w:rsidP="0067540B">
      <w:pPr>
        <w:jc w:val="both"/>
        <w:rPr>
          <w:lang w:eastAsia="en-US"/>
        </w:rPr>
      </w:pPr>
    </w:p>
    <w:p w14:paraId="5CEE22A5" w14:textId="77777777" w:rsidR="0067540B" w:rsidRDefault="0067540B" w:rsidP="0067540B">
      <w:pPr>
        <w:jc w:val="both"/>
        <w:rPr>
          <w:lang w:eastAsia="en-US"/>
        </w:rPr>
      </w:pPr>
      <w:r>
        <w:rPr>
          <w:lang w:eastAsia="en-US"/>
        </w:rPr>
        <w:t>The 1990 national gambling and problem gambling study estimated that 2.7% of adults were lifetime probable pathological gamblers and 4.3% were lifetime problem gamblers.  The corresponding 1999 lifetime estimates were 1.0% and 1.9%, substantially lower than nine years previously.  The 1999 current probable pathological and problem gambling estimates (0.5%, 0.8%) were also markedly lower than th</w:t>
      </w:r>
      <w:r w:rsidR="00D920C6">
        <w:rPr>
          <w:lang w:eastAsia="en-US"/>
        </w:rPr>
        <w:t>eir earlier 1990 counterparts (</w:t>
      </w:r>
      <w:r>
        <w:rPr>
          <w:lang w:eastAsia="en-US"/>
        </w:rPr>
        <w:t>1.2%, 2.1%)</w:t>
      </w:r>
      <w:r w:rsidR="00D920C6">
        <w:rPr>
          <w:lang w:eastAsia="en-US"/>
        </w:rPr>
        <w:t xml:space="preserve"> </w:t>
      </w:r>
      <w:r w:rsidR="00D920C6">
        <w:t>(Abbott, 2001; Abbott &amp; Volberg, 1991, 1996, 2000)</w:t>
      </w:r>
      <w:r>
        <w:rPr>
          <w:lang w:eastAsia="en-US"/>
        </w:rPr>
        <w:t>.</w:t>
      </w:r>
    </w:p>
    <w:p w14:paraId="36B3EEC1" w14:textId="77777777" w:rsidR="006269A7" w:rsidRDefault="006269A7" w:rsidP="0067540B">
      <w:pPr>
        <w:jc w:val="both"/>
        <w:rPr>
          <w:lang w:eastAsia="en-US"/>
        </w:rPr>
      </w:pPr>
    </w:p>
    <w:p w14:paraId="2FDB41A6" w14:textId="77777777" w:rsidR="0067540B" w:rsidRDefault="0067540B" w:rsidP="0067540B">
      <w:pPr>
        <w:jc w:val="both"/>
        <w:rPr>
          <w:lang w:eastAsia="en-US"/>
        </w:rPr>
      </w:pPr>
      <w:r>
        <w:rPr>
          <w:lang w:eastAsia="en-US"/>
        </w:rPr>
        <w:t xml:space="preserve">The 2012 NGS lifetime probable pathological and problem gambling estimates were </w:t>
      </w:r>
      <w:r w:rsidR="00D920C6">
        <w:rPr>
          <w:lang w:eastAsia="en-US"/>
        </w:rPr>
        <w:t>2.1% and 2.4%,</w:t>
      </w:r>
      <w:r>
        <w:rPr>
          <w:lang w:eastAsia="en-US"/>
        </w:rPr>
        <w:t xml:space="preserve"> </w:t>
      </w:r>
      <w:r w:rsidR="00D920C6">
        <w:rPr>
          <w:lang w:eastAsia="en-US"/>
        </w:rPr>
        <w:t xml:space="preserve">respectively (Abbott et al., 2014b).  </w:t>
      </w:r>
      <w:r>
        <w:rPr>
          <w:lang w:eastAsia="en-US"/>
        </w:rPr>
        <w:t>While the 1999 and 2012 problem gambling confidence intervals overlap this is not the case for probable pathological gambling, suggesting that there may have been an increase in prevalence from 1999 to 2012.  However, as mentioned, while the three surveys are similar in a number of ways, they differed in some respects.  Notably the NGS used face-to-face residential recruitment and interviews, whereas the earlier studies used telephone recruitment and interviews.  The formula developed by Williams et al</w:t>
      </w:r>
      <w:r w:rsidR="00D920C6">
        <w:rPr>
          <w:lang w:eastAsia="en-US"/>
        </w:rPr>
        <w:t>.</w:t>
      </w:r>
      <w:r>
        <w:rPr>
          <w:lang w:eastAsia="en-US"/>
        </w:rPr>
        <w:t xml:space="preserve"> (2012</w:t>
      </w:r>
      <w:r w:rsidR="00585D79">
        <w:rPr>
          <w:lang w:eastAsia="en-US"/>
        </w:rPr>
        <w:t>a</w:t>
      </w:r>
      <w:r>
        <w:rPr>
          <w:lang w:eastAsia="en-US"/>
        </w:rPr>
        <w:t>) was used to adjust for these methodological differences.  With this adjustment</w:t>
      </w:r>
      <w:r w:rsidR="00D920C6">
        <w:rPr>
          <w:lang w:eastAsia="en-US"/>
        </w:rPr>
        <w:t>,</w:t>
      </w:r>
      <w:r>
        <w:rPr>
          <w:lang w:eastAsia="en-US"/>
        </w:rPr>
        <w:t xml:space="preserve"> the 2012 and 1999 lifetime probable pathological and problem gambling estimates do not differ (Abbott et al</w:t>
      </w:r>
      <w:r w:rsidR="00D920C6">
        <w:rPr>
          <w:lang w:eastAsia="en-US"/>
        </w:rPr>
        <w:t>.</w:t>
      </w:r>
      <w:r>
        <w:rPr>
          <w:lang w:eastAsia="en-US"/>
        </w:rPr>
        <w:t>, 2014</w:t>
      </w:r>
      <w:r w:rsidR="00D920C6">
        <w:rPr>
          <w:lang w:eastAsia="en-US"/>
        </w:rPr>
        <w:t>b</w:t>
      </w:r>
      <w:r>
        <w:rPr>
          <w:lang w:eastAsia="en-US"/>
        </w:rPr>
        <w:t>).</w:t>
      </w:r>
    </w:p>
    <w:p w14:paraId="0972477D" w14:textId="77777777" w:rsidR="0067540B" w:rsidRDefault="0067540B" w:rsidP="0067540B">
      <w:pPr>
        <w:jc w:val="both"/>
        <w:rPr>
          <w:lang w:eastAsia="en-US"/>
        </w:rPr>
      </w:pPr>
    </w:p>
    <w:p w14:paraId="002D3326" w14:textId="77777777" w:rsidR="0067540B" w:rsidRDefault="0067540B" w:rsidP="0067540B">
      <w:pPr>
        <w:jc w:val="both"/>
        <w:rPr>
          <w:lang w:eastAsia="en-US"/>
        </w:rPr>
      </w:pPr>
      <w:r>
        <w:rPr>
          <w:lang w:eastAsia="en-US"/>
        </w:rPr>
        <w:t>The 2012 NGS PGSI past 12 months problem gambling prevalence estimate was 0.6%.  The moderate-risk and low-risk estimates were 1.7% and 4.9%</w:t>
      </w:r>
      <w:r w:rsidR="005D4DFA">
        <w:rPr>
          <w:lang w:eastAsia="en-US"/>
        </w:rPr>
        <w:t>,</w:t>
      </w:r>
      <w:r>
        <w:rPr>
          <w:lang w:eastAsia="en-US"/>
        </w:rPr>
        <w:t xml:space="preserve"> </w:t>
      </w:r>
      <w:r w:rsidR="005D4DFA">
        <w:rPr>
          <w:lang w:eastAsia="en-US"/>
        </w:rPr>
        <w:t xml:space="preserve">respectively </w:t>
      </w:r>
      <w:r>
        <w:rPr>
          <w:lang w:eastAsia="en-US"/>
        </w:rPr>
        <w:t>(Abbott et al</w:t>
      </w:r>
      <w:r w:rsidR="005D4DFA">
        <w:rPr>
          <w:lang w:eastAsia="en-US"/>
        </w:rPr>
        <w:t>.</w:t>
      </w:r>
      <w:r>
        <w:rPr>
          <w:lang w:eastAsia="en-US"/>
        </w:rPr>
        <w:t>, 2014</w:t>
      </w:r>
      <w:r w:rsidR="005D4DFA">
        <w:rPr>
          <w:lang w:eastAsia="en-US"/>
        </w:rPr>
        <w:t>b</w:t>
      </w:r>
      <w:r>
        <w:rPr>
          <w:lang w:eastAsia="en-US"/>
        </w:rPr>
        <w:t>).  These are similar</w:t>
      </w:r>
      <w:r w:rsidR="005D4DFA">
        <w:rPr>
          <w:lang w:eastAsia="en-US"/>
        </w:rPr>
        <w:t xml:space="preserve"> to problem (0.7%) and moderate-</w:t>
      </w:r>
      <w:r>
        <w:rPr>
          <w:lang w:eastAsia="en-US"/>
        </w:rPr>
        <w:t>risk (2.4%) estimates from the 201</w:t>
      </w:r>
      <w:r w:rsidR="00AE7EF7">
        <w:rPr>
          <w:lang w:eastAsia="en-US"/>
        </w:rPr>
        <w:t>0</w:t>
      </w:r>
      <w:r>
        <w:rPr>
          <w:lang w:eastAsia="en-US"/>
        </w:rPr>
        <w:t xml:space="preserve"> Health </w:t>
      </w:r>
      <w:r w:rsidR="00AE7EF7">
        <w:rPr>
          <w:lang w:eastAsia="en-US"/>
        </w:rPr>
        <w:t>and Lifestyles Survey</w:t>
      </w:r>
      <w:r>
        <w:rPr>
          <w:lang w:eastAsia="en-US"/>
        </w:rPr>
        <w:t xml:space="preserve"> (</w:t>
      </w:r>
      <w:r w:rsidR="00AE7EF7">
        <w:rPr>
          <w:lang w:eastAsia="en-US"/>
        </w:rPr>
        <w:t>Health Sponsorship Council, 2012</w:t>
      </w:r>
      <w:r>
        <w:rPr>
          <w:lang w:eastAsia="en-US"/>
        </w:rPr>
        <w:t>).  The 2011/12 NZHS problem and moderate</w:t>
      </w:r>
      <w:r w:rsidR="00C748A0">
        <w:rPr>
          <w:lang w:eastAsia="en-US"/>
        </w:rPr>
        <w:t>-</w:t>
      </w:r>
      <w:r>
        <w:rPr>
          <w:lang w:eastAsia="en-US"/>
        </w:rPr>
        <w:t>risk gambling estimates were lower (0.2% and 1.0%)</w:t>
      </w:r>
      <w:r w:rsidR="00C748A0">
        <w:rPr>
          <w:lang w:eastAsia="en-US"/>
        </w:rPr>
        <w:t xml:space="preserve"> (Rossen, 2015)</w:t>
      </w:r>
      <w:r>
        <w:rPr>
          <w:lang w:eastAsia="en-US"/>
        </w:rPr>
        <w:t>.  When the Williams et al</w:t>
      </w:r>
      <w:r w:rsidR="00C748A0">
        <w:rPr>
          <w:lang w:eastAsia="en-US"/>
        </w:rPr>
        <w:t>.</w:t>
      </w:r>
      <w:r>
        <w:rPr>
          <w:lang w:eastAsia="en-US"/>
        </w:rPr>
        <w:t xml:space="preserve"> </w:t>
      </w:r>
      <w:r w:rsidR="00C748A0">
        <w:rPr>
          <w:lang w:eastAsia="en-US"/>
        </w:rPr>
        <w:t>(2012</w:t>
      </w:r>
      <w:r w:rsidR="00585D79">
        <w:rPr>
          <w:lang w:eastAsia="en-US"/>
        </w:rPr>
        <w:t>a</w:t>
      </w:r>
      <w:r w:rsidR="00C748A0">
        <w:rPr>
          <w:lang w:eastAsia="en-US"/>
        </w:rPr>
        <w:t xml:space="preserve">) </w:t>
      </w:r>
      <w:r>
        <w:rPr>
          <w:lang w:eastAsia="en-US"/>
        </w:rPr>
        <w:t>formula was applied</w:t>
      </w:r>
      <w:r w:rsidR="00C748A0">
        <w:rPr>
          <w:lang w:eastAsia="en-US"/>
        </w:rPr>
        <w:t>,</w:t>
      </w:r>
      <w:r>
        <w:rPr>
          <w:lang w:eastAsia="en-US"/>
        </w:rPr>
        <w:t xml:space="preserve"> the standardised rates were similar across the three studies.  The earlier NZHS 2006/7 problem and moderate risk estimates were 0.5% and 1.4%</w:t>
      </w:r>
      <w:r w:rsidR="00C748A0">
        <w:rPr>
          <w:lang w:eastAsia="en-US"/>
        </w:rPr>
        <w:t xml:space="preserve"> (Ministry of Health, 2009)</w:t>
      </w:r>
      <w:r>
        <w:rPr>
          <w:lang w:eastAsia="en-US"/>
        </w:rPr>
        <w:t>.  There was no significant difference between these and the corresponding 2011/12 NZHS estimates (Rossen, 2015).</w:t>
      </w:r>
    </w:p>
    <w:p w14:paraId="610FD6C6" w14:textId="77777777" w:rsidR="0067540B" w:rsidRDefault="0067540B" w:rsidP="0067540B">
      <w:pPr>
        <w:jc w:val="both"/>
        <w:rPr>
          <w:lang w:eastAsia="en-US"/>
        </w:rPr>
      </w:pPr>
    </w:p>
    <w:p w14:paraId="37AF5CF2" w14:textId="77777777" w:rsidR="0067540B" w:rsidRDefault="0067540B" w:rsidP="0067540B">
      <w:pPr>
        <w:jc w:val="both"/>
        <w:rPr>
          <w:lang w:eastAsia="en-US"/>
        </w:rPr>
      </w:pPr>
      <w:r>
        <w:rPr>
          <w:lang w:eastAsia="en-US"/>
        </w:rPr>
        <w:t>Considering findings from all of the New Zealand studies</w:t>
      </w:r>
      <w:r w:rsidR="00C7412A">
        <w:rPr>
          <w:lang w:eastAsia="en-US"/>
        </w:rPr>
        <w:t>,</w:t>
      </w:r>
      <w:r>
        <w:rPr>
          <w:lang w:eastAsia="en-US"/>
        </w:rPr>
        <w:t xml:space="preserve"> it appears that problem gambling prevalence, within the probable pathological, problem and moderate-risk range, </w:t>
      </w:r>
      <w:r w:rsidR="00C7412A">
        <w:rPr>
          <w:lang w:eastAsia="en-US"/>
        </w:rPr>
        <w:t>decreased</w:t>
      </w:r>
      <w:r>
        <w:rPr>
          <w:lang w:eastAsia="en-US"/>
        </w:rPr>
        <w:t xml:space="preserve"> during the 1990s and </w:t>
      </w:r>
      <w:r w:rsidR="00C7412A">
        <w:rPr>
          <w:lang w:eastAsia="en-US"/>
        </w:rPr>
        <w:t xml:space="preserve">subsequently </w:t>
      </w:r>
      <w:r>
        <w:rPr>
          <w:lang w:eastAsia="en-US"/>
        </w:rPr>
        <w:t xml:space="preserve">plateaued.  </w:t>
      </w:r>
      <w:r w:rsidR="00C7412A">
        <w:rPr>
          <w:lang w:eastAsia="en-US"/>
        </w:rPr>
        <w:t>As</w:t>
      </w:r>
      <w:r>
        <w:rPr>
          <w:lang w:eastAsia="en-US"/>
        </w:rPr>
        <w:t xml:space="preserve"> gambling availability increased during the 1990s, the reductions both </w:t>
      </w:r>
      <w:r w:rsidR="00C7412A">
        <w:rPr>
          <w:lang w:eastAsia="en-US"/>
        </w:rPr>
        <w:t xml:space="preserve">in </w:t>
      </w:r>
      <w:r>
        <w:rPr>
          <w:lang w:eastAsia="en-US"/>
        </w:rPr>
        <w:t xml:space="preserve">gambling participation and problem gambling prevalence are consistent with the adaptation hypothesis.  Reductions in gambling participation continued during the 2000s.  This included regular participation in continuous gambling forms, </w:t>
      </w:r>
      <w:r w:rsidR="00C7412A">
        <w:rPr>
          <w:lang w:eastAsia="en-US"/>
        </w:rPr>
        <w:t>for example,</w:t>
      </w:r>
      <w:r>
        <w:rPr>
          <w:lang w:eastAsia="en-US"/>
        </w:rPr>
        <w:t xml:space="preserve"> casino and non-casino EGMs and track betting.  It also included a substantial reduction in the proportion of people who took part in multiple gambling activities.  Participation in multiple activities is also associated with problem gambling (Abbott et al</w:t>
      </w:r>
      <w:r w:rsidR="00C7412A">
        <w:rPr>
          <w:lang w:eastAsia="en-US"/>
        </w:rPr>
        <w:t>.</w:t>
      </w:r>
      <w:r>
        <w:rPr>
          <w:lang w:eastAsia="en-US"/>
        </w:rPr>
        <w:t>, 2014</w:t>
      </w:r>
      <w:r w:rsidR="00C7412A">
        <w:rPr>
          <w:lang w:eastAsia="en-US"/>
        </w:rPr>
        <w:t>b</w:t>
      </w:r>
      <w:r>
        <w:rPr>
          <w:lang w:eastAsia="en-US"/>
        </w:rPr>
        <w:t>, 2016</w:t>
      </w:r>
      <w:r w:rsidR="0003371B">
        <w:rPr>
          <w:lang w:eastAsia="en-US"/>
        </w:rPr>
        <w:t>a</w:t>
      </w:r>
      <w:r>
        <w:rPr>
          <w:lang w:eastAsia="en-US"/>
        </w:rPr>
        <w:t>).  These participation reductions are in keeping with the adaptation hypothesis.  The finding that problem gambling prevalence rates did not change since 1990, however, is not consistent with adaptation.  Neither is it consistent with the availability and total distribution hypotheses.</w:t>
      </w:r>
    </w:p>
    <w:p w14:paraId="5D8D912B" w14:textId="77777777" w:rsidR="0067540B" w:rsidRDefault="0067540B" w:rsidP="0067540B">
      <w:pPr>
        <w:jc w:val="both"/>
        <w:rPr>
          <w:lang w:eastAsia="en-US"/>
        </w:rPr>
      </w:pPr>
    </w:p>
    <w:p w14:paraId="1B0715FC" w14:textId="77777777" w:rsidR="0067540B" w:rsidRDefault="00C7412A" w:rsidP="0067540B">
      <w:pPr>
        <w:jc w:val="both"/>
        <w:rPr>
          <w:lang w:eastAsia="en-US"/>
        </w:rPr>
      </w:pPr>
      <w:r>
        <w:rPr>
          <w:lang w:eastAsia="en-US"/>
        </w:rPr>
        <w:t>The post-</w:t>
      </w:r>
      <w:r w:rsidR="0067540B">
        <w:rPr>
          <w:lang w:eastAsia="en-US"/>
        </w:rPr>
        <w:t>1999 New Zealand findings are almost identical to patterns mentioned earlier for Sweden and Victoria (Abbott et al., 2014</w:t>
      </w:r>
      <w:r w:rsidR="00585D79">
        <w:rPr>
          <w:lang w:eastAsia="en-US"/>
        </w:rPr>
        <w:t>c</w:t>
      </w:r>
      <w:r w:rsidR="0067540B">
        <w:rPr>
          <w:lang w:eastAsia="en-US"/>
        </w:rPr>
        <w:t>, 2016</w:t>
      </w:r>
      <w:r w:rsidR="00585D79">
        <w:rPr>
          <w:lang w:eastAsia="en-US"/>
        </w:rPr>
        <w:t>b</w:t>
      </w:r>
      <w:r w:rsidR="0067540B">
        <w:rPr>
          <w:lang w:eastAsia="en-US"/>
        </w:rPr>
        <w:t>).  All jurisdictions experienced substantial reductions in gambling participation and this was most evident for youth and young adults.  They differed, however, in that in New Zealand there was no change in young adult problem gambling prevalence rates</w:t>
      </w:r>
      <w:r>
        <w:rPr>
          <w:lang w:eastAsia="en-US"/>
        </w:rPr>
        <w:t>,</w:t>
      </w:r>
      <w:r w:rsidR="0067540B">
        <w:rPr>
          <w:lang w:eastAsia="en-US"/>
        </w:rPr>
        <w:t xml:space="preserve"> whereas in Sweden and Victoria prevalence increased in th</w:t>
      </w:r>
      <w:r w:rsidR="008C6550">
        <w:rPr>
          <w:lang w:eastAsia="en-US"/>
        </w:rPr>
        <w:t>is population sector.  From Cal</w:t>
      </w:r>
      <w:r w:rsidR="0067540B">
        <w:rPr>
          <w:lang w:eastAsia="en-US"/>
        </w:rPr>
        <w:t xml:space="preserve">ado and Griffiths’ (2016) review it appears that decreased participation and a levelling in problem prevalence has occurred across multiple jurisdictions.  More recent studies have obtained similar results (Armstrong, Thomas &amp; Abbott, 2017; </w:t>
      </w:r>
      <w:r w:rsidR="0067540B" w:rsidRPr="00331C08">
        <w:rPr>
          <w:lang w:eastAsia="en-US"/>
        </w:rPr>
        <w:t>Conolly et al</w:t>
      </w:r>
      <w:r w:rsidRPr="00331C08">
        <w:rPr>
          <w:lang w:eastAsia="en-US"/>
        </w:rPr>
        <w:t>.</w:t>
      </w:r>
      <w:r w:rsidR="0067540B" w:rsidRPr="00331C08">
        <w:rPr>
          <w:lang w:eastAsia="en-US"/>
        </w:rPr>
        <w:t>, 2017; Davidson</w:t>
      </w:r>
      <w:r w:rsidR="008C6550" w:rsidRPr="00331C08">
        <w:rPr>
          <w:lang w:eastAsia="en-US"/>
        </w:rPr>
        <w:t>, Rodgers, Taylor-Rodgers, Suomi, &amp; Lucas</w:t>
      </w:r>
      <w:r w:rsidR="0067540B" w:rsidRPr="00331C08">
        <w:rPr>
          <w:lang w:eastAsia="en-US"/>
        </w:rPr>
        <w:t>, 2015; Kairouz</w:t>
      </w:r>
      <w:r w:rsidR="008C6550" w:rsidRPr="00331C08">
        <w:rPr>
          <w:lang w:eastAsia="en-US"/>
        </w:rPr>
        <w:t>,</w:t>
      </w:r>
      <w:r w:rsidR="008C6550">
        <w:rPr>
          <w:lang w:eastAsia="en-US"/>
        </w:rPr>
        <w:t xml:space="preserve"> Paradis &amp; Monson</w:t>
      </w:r>
      <w:r w:rsidR="00585D79" w:rsidRPr="006A7BF9">
        <w:rPr>
          <w:lang w:eastAsia="en-US"/>
        </w:rPr>
        <w:t>, 2016</w:t>
      </w:r>
      <w:r w:rsidR="0067540B" w:rsidRPr="006A7BF9">
        <w:rPr>
          <w:lang w:eastAsia="en-US"/>
        </w:rPr>
        <w:t>;</w:t>
      </w:r>
      <w:r w:rsidR="0067540B">
        <w:rPr>
          <w:lang w:eastAsia="en-US"/>
        </w:rPr>
        <w:t xml:space="preserve"> Welte</w:t>
      </w:r>
      <w:r w:rsidR="008C6550">
        <w:rPr>
          <w:lang w:eastAsia="en-US"/>
        </w:rPr>
        <w:t>, Barnes, Tidwell, Hoffman &amp; Wieczorek</w:t>
      </w:r>
      <w:r w:rsidR="0067540B">
        <w:rPr>
          <w:lang w:eastAsia="en-US"/>
        </w:rPr>
        <w:t xml:space="preserve">, 2015).  An Icelandic study is an exception </w:t>
      </w:r>
      <w:r>
        <w:rPr>
          <w:lang w:eastAsia="en-US"/>
        </w:rPr>
        <w:t>(Olason, Hayer</w:t>
      </w:r>
      <w:r w:rsidR="00585D79">
        <w:rPr>
          <w:lang w:eastAsia="en-US"/>
        </w:rPr>
        <w:t>, Brosowski</w:t>
      </w:r>
      <w:r>
        <w:rPr>
          <w:lang w:eastAsia="en-US"/>
        </w:rPr>
        <w:t xml:space="preserve"> &amp; </w:t>
      </w:r>
      <w:r w:rsidR="00585D79">
        <w:rPr>
          <w:lang w:eastAsia="en-US"/>
        </w:rPr>
        <w:t>Meyer</w:t>
      </w:r>
      <w:r>
        <w:rPr>
          <w:lang w:eastAsia="en-US"/>
        </w:rPr>
        <w:t>, 2015), whereby</w:t>
      </w:r>
      <w:r w:rsidR="0067540B">
        <w:rPr>
          <w:lang w:eastAsia="en-US"/>
        </w:rPr>
        <w:t xml:space="preserve"> </w:t>
      </w:r>
      <w:r>
        <w:rPr>
          <w:lang w:eastAsia="en-US"/>
        </w:rPr>
        <w:t>n</w:t>
      </w:r>
      <w:r w:rsidR="0067540B">
        <w:rPr>
          <w:lang w:eastAsia="en-US"/>
        </w:rPr>
        <w:t xml:space="preserve">ational surveys, using the same methodology, were conducted in 2005, 2007 and 2011. </w:t>
      </w:r>
      <w:r>
        <w:rPr>
          <w:lang w:eastAsia="en-US"/>
        </w:rPr>
        <w:t xml:space="preserve"> </w:t>
      </w:r>
      <w:r w:rsidR="0067540B">
        <w:rPr>
          <w:lang w:eastAsia="en-US"/>
        </w:rPr>
        <w:t>Both gambling participation and problem gambling increased from 2007 to 2011.  The authors attributed this</w:t>
      </w:r>
      <w:r>
        <w:rPr>
          <w:lang w:eastAsia="en-US"/>
        </w:rPr>
        <w:t>,</w:t>
      </w:r>
      <w:r w:rsidR="0067540B">
        <w:rPr>
          <w:lang w:eastAsia="en-US"/>
        </w:rPr>
        <w:t xml:space="preserve"> and some other study findings</w:t>
      </w:r>
      <w:r>
        <w:rPr>
          <w:lang w:eastAsia="en-US"/>
        </w:rPr>
        <w:t>,</w:t>
      </w:r>
      <w:r w:rsidR="0067540B">
        <w:rPr>
          <w:lang w:eastAsia="en-US"/>
        </w:rPr>
        <w:t xml:space="preserve"> to the serious financial crisis and recession that followed bankruptcy of the major Icelandic banks in 2008.  Interestingly, while participation increased across most gambling forms, EGM participation reduced.  They concluded that the increase in problem gambling was most probably a consequenc</w:t>
      </w:r>
      <w:r w:rsidR="00BE0DB4">
        <w:rPr>
          <w:lang w:eastAsia="en-US"/>
        </w:rPr>
        <w:t>e of a substantial rise in card</w:t>
      </w:r>
      <w:r w:rsidR="0067540B">
        <w:rPr>
          <w:lang w:eastAsia="en-US"/>
        </w:rPr>
        <w:t xml:space="preserve"> and internet gambling among young men</w:t>
      </w:r>
      <w:r>
        <w:rPr>
          <w:lang w:eastAsia="en-US"/>
        </w:rPr>
        <w:t xml:space="preserve"> (</w:t>
      </w:r>
      <w:r w:rsidR="00191682">
        <w:rPr>
          <w:lang w:eastAsia="en-US"/>
        </w:rPr>
        <w:t>Olason, Hayer, Brosowski &amp; Meyer</w:t>
      </w:r>
      <w:r>
        <w:rPr>
          <w:lang w:eastAsia="en-US"/>
        </w:rPr>
        <w:t>, 2015)</w:t>
      </w:r>
      <w:r w:rsidR="0067540B">
        <w:rPr>
          <w:lang w:eastAsia="en-US"/>
        </w:rPr>
        <w:t>.</w:t>
      </w:r>
    </w:p>
    <w:p w14:paraId="79E32595" w14:textId="77777777" w:rsidR="006269A7" w:rsidRDefault="006269A7" w:rsidP="0067540B">
      <w:pPr>
        <w:jc w:val="both"/>
        <w:rPr>
          <w:lang w:eastAsia="en-US"/>
        </w:rPr>
      </w:pPr>
    </w:p>
    <w:p w14:paraId="1A25B872" w14:textId="77777777" w:rsidR="0067540B" w:rsidRDefault="0067540B" w:rsidP="0067540B">
      <w:pPr>
        <w:jc w:val="both"/>
        <w:rPr>
          <w:lang w:eastAsia="en-US"/>
        </w:rPr>
      </w:pPr>
      <w:r>
        <w:rPr>
          <w:lang w:eastAsia="en-US"/>
        </w:rPr>
        <w:t xml:space="preserve">The findings discussed in the preceding paragraph illustrate the importance of considering </w:t>
      </w:r>
      <w:r w:rsidRPr="00F60109">
        <w:rPr>
          <w:lang w:eastAsia="en-US"/>
        </w:rPr>
        <w:t xml:space="preserve">different population sectors. </w:t>
      </w:r>
      <w:r w:rsidR="00433CC1" w:rsidRPr="00F60109">
        <w:rPr>
          <w:lang w:eastAsia="en-US"/>
        </w:rPr>
        <w:t xml:space="preserve"> </w:t>
      </w:r>
      <w:r w:rsidRPr="00F60109">
        <w:rPr>
          <w:lang w:eastAsia="en-US"/>
        </w:rPr>
        <w:t xml:space="preserve">They also indicate that </w:t>
      </w:r>
      <w:r w:rsidR="006269A7" w:rsidRPr="00F60109">
        <w:rPr>
          <w:lang w:eastAsia="en-US"/>
        </w:rPr>
        <w:t xml:space="preserve">contextual </w:t>
      </w:r>
      <w:r w:rsidRPr="00F60109">
        <w:rPr>
          <w:lang w:eastAsia="en-US"/>
        </w:rPr>
        <w:t xml:space="preserve">factors additional </w:t>
      </w:r>
      <w:r w:rsidR="00433CC1" w:rsidRPr="00F60109">
        <w:rPr>
          <w:lang w:eastAsia="en-US"/>
        </w:rPr>
        <w:t>to</w:t>
      </w:r>
      <w:r w:rsidRPr="00F60109">
        <w:rPr>
          <w:lang w:eastAsia="en-US"/>
        </w:rPr>
        <w:t xml:space="preserve"> gambling</w:t>
      </w:r>
      <w:r>
        <w:rPr>
          <w:lang w:eastAsia="en-US"/>
        </w:rPr>
        <w:t xml:space="preserve"> availability contribute to gambling participation and gambling-related harm.  Consideration of these non-gambling factors is necessary to understand the changing epidemiology of problem gambling including the recent apparent disconnect between participation and problem gambling </w:t>
      </w:r>
      <w:r w:rsidR="00433CC1">
        <w:rPr>
          <w:lang w:eastAsia="en-US"/>
        </w:rPr>
        <w:t>prevalence.  While cross-</w:t>
      </w:r>
      <w:r>
        <w:rPr>
          <w:lang w:eastAsia="en-US"/>
        </w:rPr>
        <w:t>sectional surveys provide useful information, prospective studies are required to more fully explain these</w:t>
      </w:r>
      <w:r w:rsidR="00433CC1">
        <w:rPr>
          <w:lang w:eastAsia="en-US"/>
        </w:rPr>
        <w:t>,</w:t>
      </w:r>
      <w:r>
        <w:rPr>
          <w:lang w:eastAsia="en-US"/>
        </w:rPr>
        <w:t xml:space="preserve"> and related</w:t>
      </w:r>
      <w:r w:rsidR="00433CC1">
        <w:rPr>
          <w:lang w:eastAsia="en-US"/>
        </w:rPr>
        <w:t>,</w:t>
      </w:r>
      <w:r>
        <w:rPr>
          <w:lang w:eastAsia="en-US"/>
        </w:rPr>
        <w:t xml:space="preserve"> matters. </w:t>
      </w:r>
    </w:p>
    <w:p w14:paraId="3421B5DF" w14:textId="77777777" w:rsidR="0067540B" w:rsidRDefault="0067540B" w:rsidP="0067540B">
      <w:pPr>
        <w:jc w:val="both"/>
        <w:rPr>
          <w:lang w:eastAsia="en-US"/>
        </w:rPr>
      </w:pPr>
    </w:p>
    <w:p w14:paraId="0C4AF84B" w14:textId="77777777" w:rsidR="0067540B" w:rsidRDefault="0067540B" w:rsidP="0067540B">
      <w:pPr>
        <w:jc w:val="both"/>
        <w:rPr>
          <w:lang w:eastAsia="en-US"/>
        </w:rPr>
      </w:pPr>
      <w:r>
        <w:rPr>
          <w:lang w:eastAsia="en-US"/>
        </w:rPr>
        <w:t>Although many factors are associated with problem gambling prevalence, it is only recently that investigation has extended to identifying factors that predict problem gambling onset (incidence), remission/recovery and relapse.  As mentioned</w:t>
      </w:r>
      <w:r w:rsidR="00966781">
        <w:rPr>
          <w:lang w:eastAsia="en-US"/>
        </w:rPr>
        <w:t>,</w:t>
      </w:r>
      <w:r>
        <w:rPr>
          <w:lang w:eastAsia="en-US"/>
        </w:rPr>
        <w:t xml:space="preserve"> a large international body o</w:t>
      </w:r>
      <w:r w:rsidR="00966781">
        <w:rPr>
          <w:lang w:eastAsia="en-US"/>
        </w:rPr>
        <w:t>f research, predominantly cross-</w:t>
      </w:r>
      <w:r>
        <w:rPr>
          <w:lang w:eastAsia="en-US"/>
        </w:rPr>
        <w:t>sectional but increasingly prospective, has found that gambling participation measures are most strongly implicated (Abbott et al., 2014</w:t>
      </w:r>
      <w:r w:rsidR="00966781">
        <w:rPr>
          <w:lang w:eastAsia="en-US"/>
        </w:rPr>
        <w:t>b</w:t>
      </w:r>
      <w:r>
        <w:rPr>
          <w:lang w:eastAsia="en-US"/>
        </w:rPr>
        <w:t>, 2015</w:t>
      </w:r>
      <w:r w:rsidR="00F85BD0">
        <w:rPr>
          <w:lang w:eastAsia="en-US"/>
        </w:rPr>
        <w:t>b</w:t>
      </w:r>
      <w:r>
        <w:rPr>
          <w:lang w:eastAsia="en-US"/>
        </w:rPr>
        <w:t>, 2016</w:t>
      </w:r>
      <w:r w:rsidR="0003371B">
        <w:rPr>
          <w:lang w:eastAsia="en-US"/>
        </w:rPr>
        <w:t>a</w:t>
      </w:r>
      <w:r>
        <w:rPr>
          <w:lang w:eastAsia="en-US"/>
        </w:rPr>
        <w:t>; el-Guebaly et al</w:t>
      </w:r>
      <w:r w:rsidR="00966781">
        <w:rPr>
          <w:lang w:eastAsia="en-US"/>
        </w:rPr>
        <w:t>.</w:t>
      </w:r>
      <w:r>
        <w:rPr>
          <w:lang w:eastAsia="en-US"/>
        </w:rPr>
        <w:t>, 2015; Williams et al</w:t>
      </w:r>
      <w:r w:rsidR="00966781">
        <w:rPr>
          <w:lang w:eastAsia="en-US"/>
        </w:rPr>
        <w:t>.</w:t>
      </w:r>
      <w:r>
        <w:rPr>
          <w:lang w:eastAsia="en-US"/>
        </w:rPr>
        <w:t xml:space="preserve">, 2015).  Frequent participation in continuous gambling activities that involve an element of skill or perceived skill is particularly strongly associated with problem gambling onset, relapse and prevalence.  In the NGS, while participation in all gambling </w:t>
      </w:r>
      <w:r w:rsidR="00877160">
        <w:rPr>
          <w:lang w:eastAsia="en-US"/>
        </w:rPr>
        <w:t xml:space="preserve">activities </w:t>
      </w:r>
      <w:r>
        <w:rPr>
          <w:lang w:eastAsia="en-US"/>
        </w:rPr>
        <w:t>predicted the onset of at-risk and problem gambling 12 months later</w:t>
      </w:r>
      <w:r w:rsidR="00966781">
        <w:rPr>
          <w:lang w:eastAsia="en-US"/>
        </w:rPr>
        <w:t>,</w:t>
      </w:r>
      <w:r>
        <w:rPr>
          <w:lang w:eastAsia="en-US"/>
        </w:rPr>
        <w:t xml:space="preserve"> some </w:t>
      </w:r>
      <w:r w:rsidR="00877160">
        <w:rPr>
          <w:lang w:eastAsia="en-US"/>
        </w:rPr>
        <w:t>activities</w:t>
      </w:r>
      <w:r>
        <w:rPr>
          <w:lang w:eastAsia="en-US"/>
        </w:rPr>
        <w:t xml:space="preserve"> had particularly strong associations, namely EGMs, casino table games, housie (bingo) and betting on horse or dog races (Abbott</w:t>
      </w:r>
      <w:r w:rsidR="0026417B">
        <w:rPr>
          <w:lang w:eastAsia="en-US"/>
        </w:rPr>
        <w:t xml:space="preserve"> et al.</w:t>
      </w:r>
      <w:r>
        <w:rPr>
          <w:lang w:eastAsia="en-US"/>
        </w:rPr>
        <w:t>, 2015</w:t>
      </w:r>
      <w:r w:rsidR="00F85BD0">
        <w:rPr>
          <w:lang w:eastAsia="en-US"/>
        </w:rPr>
        <w:t>b</w:t>
      </w:r>
      <w:r>
        <w:rPr>
          <w:lang w:eastAsia="en-US"/>
        </w:rPr>
        <w:t>).  Other predictors include taking part in multiple gambling activities, high gambling expenditure, starting gambling at a young age and experiencing an early big win (Abbott et al</w:t>
      </w:r>
      <w:r w:rsidR="00966781">
        <w:rPr>
          <w:lang w:eastAsia="en-US"/>
        </w:rPr>
        <w:t>.</w:t>
      </w:r>
      <w:r>
        <w:rPr>
          <w:lang w:eastAsia="en-US"/>
        </w:rPr>
        <w:t>, 2015</w:t>
      </w:r>
      <w:r w:rsidR="00F85BD0">
        <w:rPr>
          <w:lang w:eastAsia="en-US"/>
        </w:rPr>
        <w:t>b</w:t>
      </w:r>
      <w:r>
        <w:rPr>
          <w:lang w:eastAsia="en-US"/>
        </w:rPr>
        <w:t>; el-Guebaly et al</w:t>
      </w:r>
      <w:r w:rsidR="00966781">
        <w:rPr>
          <w:lang w:eastAsia="en-US"/>
        </w:rPr>
        <w:t>.</w:t>
      </w:r>
      <w:r>
        <w:rPr>
          <w:lang w:eastAsia="en-US"/>
        </w:rPr>
        <w:t>, 2015; Williams et al</w:t>
      </w:r>
      <w:r w:rsidR="00966781">
        <w:rPr>
          <w:lang w:eastAsia="en-US"/>
        </w:rPr>
        <w:t>.</w:t>
      </w:r>
      <w:r>
        <w:rPr>
          <w:lang w:eastAsia="en-US"/>
        </w:rPr>
        <w:t>, 2015).  Gambling being a favoured leisure activity, membership of a gambling rewards programme</w:t>
      </w:r>
      <w:r w:rsidR="00877160">
        <w:rPr>
          <w:lang w:eastAsia="en-US"/>
        </w:rPr>
        <w:t>,</w:t>
      </w:r>
      <w:r>
        <w:rPr>
          <w:lang w:eastAsia="en-US"/>
        </w:rPr>
        <w:t xml:space="preserve"> and having friends or family members who are regular and/or problem gamblers were additional gambling risk factors.</w:t>
      </w:r>
    </w:p>
    <w:p w14:paraId="33240547" w14:textId="77777777" w:rsidR="0067540B" w:rsidRDefault="0067540B" w:rsidP="0067540B">
      <w:pPr>
        <w:jc w:val="both"/>
        <w:rPr>
          <w:lang w:eastAsia="en-US"/>
        </w:rPr>
      </w:pPr>
    </w:p>
    <w:p w14:paraId="07EB38D5" w14:textId="77777777" w:rsidR="0067540B" w:rsidRDefault="0067540B" w:rsidP="0067540B">
      <w:pPr>
        <w:jc w:val="both"/>
        <w:rPr>
          <w:lang w:eastAsia="en-US"/>
        </w:rPr>
      </w:pPr>
      <w:r>
        <w:rPr>
          <w:lang w:eastAsia="en-US"/>
        </w:rPr>
        <w:t xml:space="preserve">In all New Zealand gambling surveys, including the initial 1990 national study and 2012 NGS baseline survey, </w:t>
      </w:r>
      <w:r w:rsidR="00966781">
        <w:rPr>
          <w:lang w:eastAsia="en-US"/>
        </w:rPr>
        <w:t>Māori</w:t>
      </w:r>
      <w:r>
        <w:rPr>
          <w:lang w:eastAsia="en-US"/>
        </w:rPr>
        <w:t xml:space="preserve"> and Pacific people had much higher problem gambling prevalence rates than people of other ethnicities (Abbott et al</w:t>
      </w:r>
      <w:r w:rsidR="00966781">
        <w:rPr>
          <w:lang w:eastAsia="en-US"/>
        </w:rPr>
        <w:t>.</w:t>
      </w:r>
      <w:r>
        <w:rPr>
          <w:lang w:eastAsia="en-US"/>
        </w:rPr>
        <w:t>, 2014</w:t>
      </w:r>
      <w:r w:rsidR="0026417B">
        <w:rPr>
          <w:lang w:eastAsia="en-US"/>
        </w:rPr>
        <w:t>b</w:t>
      </w:r>
      <w:r>
        <w:rPr>
          <w:lang w:eastAsia="en-US"/>
        </w:rPr>
        <w:t xml:space="preserve">).  </w:t>
      </w:r>
      <w:r w:rsidR="00966781">
        <w:rPr>
          <w:lang w:eastAsia="en-US"/>
        </w:rPr>
        <w:t>M</w:t>
      </w:r>
      <w:r>
        <w:rPr>
          <w:lang w:eastAsia="en-US"/>
        </w:rPr>
        <w:t>ales, young adults, people who lack formal educational qualifications, unemployed people, people living in high deprivation neighbourhoods</w:t>
      </w:r>
      <w:r w:rsidR="00877160">
        <w:rPr>
          <w:lang w:eastAsia="en-US"/>
        </w:rPr>
        <w:t>,</w:t>
      </w:r>
      <w:r>
        <w:rPr>
          <w:lang w:eastAsia="en-US"/>
        </w:rPr>
        <w:t xml:space="preserve"> and people belonging to non-Christian religions or non-traditional Christian churches also </w:t>
      </w:r>
      <w:r w:rsidR="00877160">
        <w:rPr>
          <w:lang w:eastAsia="en-US"/>
        </w:rPr>
        <w:t>had</w:t>
      </w:r>
      <w:r>
        <w:rPr>
          <w:lang w:eastAsia="en-US"/>
        </w:rPr>
        <w:t xml:space="preserve"> higher risk.  Males, young adults, low-income and non-married people are almost universally found to have elevated problem gambling prevalence rates (Abbott et al</w:t>
      </w:r>
      <w:r w:rsidR="00966781">
        <w:rPr>
          <w:lang w:eastAsia="en-US"/>
        </w:rPr>
        <w:t>.</w:t>
      </w:r>
      <w:r>
        <w:rPr>
          <w:lang w:eastAsia="en-US"/>
        </w:rPr>
        <w:t>, 2014</w:t>
      </w:r>
      <w:r w:rsidR="00966781">
        <w:rPr>
          <w:lang w:eastAsia="en-US"/>
        </w:rPr>
        <w:t>b</w:t>
      </w:r>
      <w:r>
        <w:rPr>
          <w:lang w:eastAsia="en-US"/>
        </w:rPr>
        <w:t>, 2015</w:t>
      </w:r>
      <w:r w:rsidR="00F85BD0">
        <w:rPr>
          <w:lang w:eastAsia="en-US"/>
        </w:rPr>
        <w:t>b</w:t>
      </w:r>
      <w:r>
        <w:rPr>
          <w:lang w:eastAsia="en-US"/>
        </w:rPr>
        <w:t xml:space="preserve">; Calado </w:t>
      </w:r>
      <w:r w:rsidR="00966781">
        <w:rPr>
          <w:lang w:eastAsia="en-US"/>
        </w:rPr>
        <w:t>&amp;</w:t>
      </w:r>
      <w:r>
        <w:rPr>
          <w:lang w:eastAsia="en-US"/>
        </w:rPr>
        <w:t xml:space="preserve"> Griffiths, 2016).  As in New Zealand, a number of studies have found some ethnic and indigenous minority groups to </w:t>
      </w:r>
      <w:r w:rsidR="00966781">
        <w:rPr>
          <w:lang w:eastAsia="en-US"/>
        </w:rPr>
        <w:t>have</w:t>
      </w:r>
      <w:r>
        <w:rPr>
          <w:lang w:eastAsia="en-US"/>
        </w:rPr>
        <w:t xml:space="preserve"> high risk.  Some of these high-risk groups have high gambling participation rates, </w:t>
      </w:r>
      <w:r w:rsidR="00966781">
        <w:rPr>
          <w:lang w:eastAsia="en-US"/>
        </w:rPr>
        <w:t>for example,</w:t>
      </w:r>
      <w:r>
        <w:rPr>
          <w:lang w:eastAsia="en-US"/>
        </w:rPr>
        <w:t xml:space="preserve"> </w:t>
      </w:r>
      <w:r w:rsidR="00966781">
        <w:rPr>
          <w:lang w:eastAsia="en-US"/>
        </w:rPr>
        <w:t>Māori</w:t>
      </w:r>
      <w:r>
        <w:rPr>
          <w:lang w:eastAsia="en-US"/>
        </w:rPr>
        <w:t xml:space="preserve"> in New Zealand.  Others however, have low or very low rates.  In New Zealand this includes young adults, Pacific people, people from religions other than Christian</w:t>
      </w:r>
      <w:r w:rsidR="00877160">
        <w:rPr>
          <w:lang w:eastAsia="en-US"/>
        </w:rPr>
        <w:t>,</w:t>
      </w:r>
      <w:r>
        <w:rPr>
          <w:lang w:eastAsia="en-US"/>
        </w:rPr>
        <w:t xml:space="preserve"> and members of non-traditional Christian churches.  </w:t>
      </w:r>
    </w:p>
    <w:p w14:paraId="65EFF428" w14:textId="77777777" w:rsidR="0067540B" w:rsidRDefault="0067540B" w:rsidP="0067540B">
      <w:pPr>
        <w:jc w:val="both"/>
        <w:rPr>
          <w:lang w:eastAsia="en-US"/>
        </w:rPr>
      </w:pPr>
    </w:p>
    <w:p w14:paraId="417685E3" w14:textId="77777777" w:rsidR="0067540B" w:rsidRDefault="0067540B" w:rsidP="0067540B">
      <w:pPr>
        <w:jc w:val="both"/>
        <w:rPr>
          <w:lang w:eastAsia="en-US"/>
        </w:rPr>
      </w:pPr>
      <w:r>
        <w:rPr>
          <w:lang w:eastAsia="en-US"/>
        </w:rPr>
        <w:t>Many of the high risk population groups reside disproportionately in high deprivation neighbourhoods.  These neighbourhoods typically have high concentrations of gambling venues and outlets.  In New Zealand this includes EGMs in pubs and clubs</w:t>
      </w:r>
      <w:r w:rsidR="00F774C6">
        <w:rPr>
          <w:lang w:eastAsia="en-US"/>
        </w:rPr>
        <w:t>,</w:t>
      </w:r>
      <w:r>
        <w:rPr>
          <w:lang w:eastAsia="en-US"/>
        </w:rPr>
        <w:t xml:space="preserve"> and track and spor</w:t>
      </w:r>
      <w:r w:rsidR="0026417B">
        <w:rPr>
          <w:lang w:eastAsia="en-US"/>
        </w:rPr>
        <w:t>ts betting venues (TABs) (Allen+</w:t>
      </w:r>
      <w:r>
        <w:rPr>
          <w:lang w:eastAsia="en-US"/>
        </w:rPr>
        <w:t>Clarke, 2015).  Living in close proximity to gambling venues has been shown to be associated with higher levels of problem gambling (Ministry of Health, 2008).  Most of the high risk groups contain proportionately more people who are disadvantaged in various ways.  As mentioned</w:t>
      </w:r>
      <w:r w:rsidR="00F774C6">
        <w:rPr>
          <w:lang w:eastAsia="en-US"/>
        </w:rPr>
        <w:t>,</w:t>
      </w:r>
      <w:r>
        <w:rPr>
          <w:lang w:eastAsia="en-US"/>
        </w:rPr>
        <w:t xml:space="preserve"> many people in some of these groups also have low levels of gambling participation.  </w:t>
      </w:r>
      <w:r w:rsidR="00877160">
        <w:rPr>
          <w:lang w:eastAsia="en-US"/>
        </w:rPr>
        <w:t>T</w:t>
      </w:r>
      <w:r>
        <w:rPr>
          <w:lang w:eastAsia="en-US"/>
        </w:rPr>
        <w:t xml:space="preserve">his </w:t>
      </w:r>
      <w:r w:rsidR="00877160">
        <w:rPr>
          <w:lang w:eastAsia="en-US"/>
        </w:rPr>
        <w:t xml:space="preserve">partly </w:t>
      </w:r>
      <w:r>
        <w:rPr>
          <w:lang w:eastAsia="en-US"/>
        </w:rPr>
        <w:t xml:space="preserve">reflects limited prior gambling experience.  It seems likely that heightened vulnerability and low prior gambling experience, combined with high exposure to hazardous forms of gambling, contributes to elevated rates of problem gambling in these groups.  This may </w:t>
      </w:r>
      <w:r w:rsidR="00877160">
        <w:rPr>
          <w:lang w:eastAsia="en-US"/>
        </w:rPr>
        <w:t>somewhat</w:t>
      </w:r>
      <w:r>
        <w:rPr>
          <w:lang w:eastAsia="en-US"/>
        </w:rPr>
        <w:t xml:space="preserve"> explain the persistence of problem gambling disparities and the plateauing of problem gambling prevalence rates when gambling participation </w:t>
      </w:r>
      <w:r w:rsidR="00877160">
        <w:rPr>
          <w:lang w:eastAsia="en-US"/>
        </w:rPr>
        <w:t>reduces</w:t>
      </w:r>
      <w:r>
        <w:rPr>
          <w:lang w:eastAsia="en-US"/>
        </w:rPr>
        <w:t>.</w:t>
      </w:r>
    </w:p>
    <w:p w14:paraId="7AFB29C2" w14:textId="77777777" w:rsidR="0067540B" w:rsidRDefault="0067540B" w:rsidP="0067540B">
      <w:pPr>
        <w:jc w:val="both"/>
        <w:rPr>
          <w:lang w:eastAsia="en-US"/>
        </w:rPr>
      </w:pPr>
    </w:p>
    <w:p w14:paraId="107DDE95" w14:textId="61E5CCB9" w:rsidR="0067540B" w:rsidRDefault="0067540B" w:rsidP="0067540B">
      <w:pPr>
        <w:jc w:val="both"/>
        <w:rPr>
          <w:lang w:eastAsia="en-US"/>
        </w:rPr>
      </w:pPr>
      <w:r>
        <w:rPr>
          <w:lang w:eastAsia="en-US"/>
        </w:rPr>
        <w:t xml:space="preserve">During the past decade there have been substantial demographic changes in New Zealand.  Overall, the population has grown.  Additionally, it is aging and the proportions of </w:t>
      </w:r>
      <w:r w:rsidR="00F774C6">
        <w:rPr>
          <w:lang w:eastAsia="en-US"/>
        </w:rPr>
        <w:t>Māori</w:t>
      </w:r>
      <w:r>
        <w:rPr>
          <w:lang w:eastAsia="en-US"/>
        </w:rPr>
        <w:t xml:space="preserve">, Pacific and Asian people are increasing.  Rates of immigration are high and many migrants, </w:t>
      </w:r>
      <w:r w:rsidR="00F774C6">
        <w:rPr>
          <w:lang w:eastAsia="en-US"/>
        </w:rPr>
        <w:t>for example</w:t>
      </w:r>
      <w:r>
        <w:rPr>
          <w:lang w:eastAsia="en-US"/>
        </w:rPr>
        <w:t xml:space="preserve"> Asian</w:t>
      </w:r>
      <w:r w:rsidR="00F774C6">
        <w:rPr>
          <w:lang w:eastAsia="en-US"/>
        </w:rPr>
        <w:t xml:space="preserve"> </w:t>
      </w:r>
      <w:r>
        <w:rPr>
          <w:lang w:eastAsia="en-US"/>
        </w:rPr>
        <w:t xml:space="preserve">and Pacific people, come from countries where EGMs and other continuous forms of gambling are prohibited or not widely available.  The availability hypothesis predicts </w:t>
      </w:r>
      <w:r w:rsidRPr="00F60109">
        <w:rPr>
          <w:lang w:eastAsia="en-US"/>
        </w:rPr>
        <w:t xml:space="preserve">that these groups will </w:t>
      </w:r>
      <w:r w:rsidR="00F774C6" w:rsidRPr="00F60109">
        <w:rPr>
          <w:lang w:eastAsia="en-US"/>
        </w:rPr>
        <w:t>have</w:t>
      </w:r>
      <w:r w:rsidRPr="00F60109">
        <w:rPr>
          <w:lang w:eastAsia="en-US"/>
        </w:rPr>
        <w:t xml:space="preserve"> elevated risk for problem gambling</w:t>
      </w:r>
      <w:r w:rsidR="006269A7" w:rsidRPr="00F60109">
        <w:rPr>
          <w:lang w:eastAsia="en-US"/>
        </w:rPr>
        <w:t xml:space="preserve"> because of the recent exposure</w:t>
      </w:r>
      <w:r w:rsidRPr="00F60109">
        <w:rPr>
          <w:lang w:eastAsia="en-US"/>
        </w:rPr>
        <w:t>.  As mentioned</w:t>
      </w:r>
      <w:r w:rsidR="00F774C6" w:rsidRPr="00F60109">
        <w:rPr>
          <w:lang w:eastAsia="en-US"/>
        </w:rPr>
        <w:t>,</w:t>
      </w:r>
      <w:r w:rsidRPr="00F60109">
        <w:rPr>
          <w:lang w:eastAsia="en-US"/>
        </w:rPr>
        <w:t xml:space="preserve"> Pacific adults have long had high problem gambling rates in New Zealand.  In the NGS </w:t>
      </w:r>
      <w:r w:rsidR="00F774C6" w:rsidRPr="00F60109">
        <w:rPr>
          <w:lang w:eastAsia="en-US"/>
        </w:rPr>
        <w:t xml:space="preserve">2012 </w:t>
      </w:r>
      <w:r w:rsidRPr="00F60109">
        <w:rPr>
          <w:lang w:eastAsia="en-US"/>
        </w:rPr>
        <w:t>baseline survey, while Asian adults did not have a significantly elevated problem gambling prevalence rate, they did have a higher combined problem and moderate-risk rate</w:t>
      </w:r>
      <w:r w:rsidR="00F774C6" w:rsidRPr="00F60109">
        <w:rPr>
          <w:lang w:eastAsia="en-US"/>
        </w:rPr>
        <w:t xml:space="preserve"> (Abbott et al., 2014b)</w:t>
      </w:r>
      <w:r w:rsidRPr="00F60109">
        <w:rPr>
          <w:lang w:eastAsia="en-US"/>
        </w:rPr>
        <w:t>.  Additionally, in the 12 month follow-up survey, Asian ethnicity significantly predicted the onset (incidence) of problem and moderate-risk gambling (Abbott et al</w:t>
      </w:r>
      <w:r w:rsidR="00F774C6" w:rsidRPr="00F60109">
        <w:rPr>
          <w:lang w:eastAsia="en-US"/>
        </w:rPr>
        <w:t>.</w:t>
      </w:r>
      <w:r w:rsidRPr="00F60109">
        <w:rPr>
          <w:lang w:eastAsia="en-US"/>
        </w:rPr>
        <w:t>, 2015</w:t>
      </w:r>
      <w:r w:rsidR="00F85BD0" w:rsidRPr="00F60109">
        <w:rPr>
          <w:lang w:eastAsia="en-US"/>
        </w:rPr>
        <w:t>b</w:t>
      </w:r>
      <w:r w:rsidRPr="00F60109">
        <w:rPr>
          <w:lang w:eastAsia="en-US"/>
        </w:rPr>
        <w:t xml:space="preserve">).  </w:t>
      </w:r>
      <w:r w:rsidR="00F774C6" w:rsidRPr="00F60109">
        <w:rPr>
          <w:lang w:eastAsia="en-US"/>
        </w:rPr>
        <w:t>Māori</w:t>
      </w:r>
      <w:r w:rsidRPr="00F60109">
        <w:rPr>
          <w:lang w:eastAsia="en-US"/>
        </w:rPr>
        <w:t xml:space="preserve"> and Pacific adults also had high incidence rates, as did migrants </w:t>
      </w:r>
      <w:r w:rsidR="00F774C6" w:rsidRPr="00F60109">
        <w:rPr>
          <w:lang w:eastAsia="en-US"/>
        </w:rPr>
        <w:t>compared</w:t>
      </w:r>
      <w:r w:rsidRPr="00F60109">
        <w:rPr>
          <w:lang w:eastAsia="en-US"/>
        </w:rPr>
        <w:t xml:space="preserve"> to New Zealand born adults.  Increases in the proportions of these</w:t>
      </w:r>
      <w:r w:rsidR="00F774C6" w:rsidRPr="00F60109">
        <w:rPr>
          <w:lang w:eastAsia="en-US"/>
        </w:rPr>
        <w:t>,</w:t>
      </w:r>
      <w:r w:rsidRPr="00F60109">
        <w:rPr>
          <w:lang w:eastAsia="en-US"/>
        </w:rPr>
        <w:t xml:space="preserve"> and some other groups</w:t>
      </w:r>
      <w:r w:rsidR="00F774C6" w:rsidRPr="00F60109">
        <w:rPr>
          <w:lang w:eastAsia="en-US"/>
        </w:rPr>
        <w:t>,</w:t>
      </w:r>
      <w:r w:rsidRPr="00F60109">
        <w:rPr>
          <w:lang w:eastAsia="en-US"/>
        </w:rPr>
        <w:t xml:space="preserve"> in the population may contribute to problem gambling plateauing</w:t>
      </w:r>
      <w:r w:rsidR="005213B2" w:rsidRPr="00F60109">
        <w:rPr>
          <w:lang w:eastAsia="en-US"/>
        </w:rPr>
        <w:t xml:space="preserve"> in the adult population as a whole</w:t>
      </w:r>
      <w:r w:rsidRPr="00F60109">
        <w:rPr>
          <w:lang w:eastAsia="en-US"/>
        </w:rPr>
        <w:t xml:space="preserve">.  This </w:t>
      </w:r>
      <w:r w:rsidR="006269A7" w:rsidRPr="00F60109">
        <w:rPr>
          <w:lang w:eastAsia="en-US"/>
        </w:rPr>
        <w:t xml:space="preserve">possibility </w:t>
      </w:r>
      <w:r w:rsidRPr="00F60109">
        <w:rPr>
          <w:lang w:eastAsia="en-US"/>
        </w:rPr>
        <w:t>could be assessed in future studies by using both standardised and</w:t>
      </w:r>
      <w:r>
        <w:rPr>
          <w:lang w:eastAsia="en-US"/>
        </w:rPr>
        <w:t xml:space="preserve"> unstandardized rates.</w:t>
      </w:r>
    </w:p>
    <w:p w14:paraId="47D0AB35" w14:textId="77777777" w:rsidR="0067540B" w:rsidRDefault="0067540B" w:rsidP="0067540B">
      <w:pPr>
        <w:jc w:val="both"/>
        <w:rPr>
          <w:lang w:eastAsia="en-US"/>
        </w:rPr>
      </w:pPr>
    </w:p>
    <w:p w14:paraId="2B44E91F" w14:textId="77777777" w:rsidR="0067540B" w:rsidRDefault="0067540B" w:rsidP="0067540B">
      <w:pPr>
        <w:jc w:val="both"/>
        <w:rPr>
          <w:lang w:eastAsia="en-US"/>
        </w:rPr>
      </w:pPr>
      <w:r>
        <w:rPr>
          <w:lang w:eastAsia="en-US"/>
        </w:rPr>
        <w:t xml:space="preserve">As discussed, since 1999 overall rates of problem and at-risk gambling have probably not changed in New Zealand.  However, because population growth has been strong, the total number of problem gamblers and people experiencing lower levels of harm has increased.  Most gambling and problem gambling surveys focus on rates and fail to report or discuss absolute numbers (Armstrong, Thomas &amp; Abbott, 2017).  As mentioned, during the past 15 to 20 years, participation rates have </w:t>
      </w:r>
      <w:r w:rsidR="00B83839">
        <w:rPr>
          <w:lang w:eastAsia="en-US"/>
        </w:rPr>
        <w:t>decreased</w:t>
      </w:r>
      <w:r>
        <w:rPr>
          <w:lang w:eastAsia="en-US"/>
        </w:rPr>
        <w:t xml:space="preserve"> in many jurisdictions and problem gambling rates have typically declined or plateaued.  Focusing on rates can give a misleading impression of changes over time</w:t>
      </w:r>
      <w:r w:rsidR="00B83839">
        <w:rPr>
          <w:lang w:eastAsia="en-US"/>
        </w:rPr>
        <w:t>,</w:t>
      </w:r>
      <w:r>
        <w:rPr>
          <w:lang w:eastAsia="en-US"/>
        </w:rPr>
        <w:t xml:space="preserve"> and the extent of gambling-related harm in the population.  In comparing two national Australian surveys conducted over a decade apart, it was found that national gambling participation declined by a fifth (Armstrong, Thomas &amp; Abbott, 2017).  While this is a substantial reduction, when adjusted for population growth, there was no change in the total number of people who gambled.  In addition, while there was a </w:t>
      </w:r>
      <w:r w:rsidR="00B83839">
        <w:rPr>
          <w:lang w:eastAsia="en-US"/>
        </w:rPr>
        <w:t>decrease</w:t>
      </w:r>
      <w:r>
        <w:rPr>
          <w:lang w:eastAsia="en-US"/>
        </w:rPr>
        <w:t xml:space="preserve"> in per capita gambling expenditure, average expenditure for those who participated increased across most gambling </w:t>
      </w:r>
      <w:r w:rsidR="00B119B4">
        <w:rPr>
          <w:lang w:eastAsia="en-US"/>
        </w:rPr>
        <w:t>activities</w:t>
      </w:r>
      <w:r>
        <w:rPr>
          <w:lang w:eastAsia="en-US"/>
        </w:rPr>
        <w:t xml:space="preserve">.  This increase was particularly large </w:t>
      </w:r>
      <w:r w:rsidR="00B119B4">
        <w:rPr>
          <w:lang w:eastAsia="en-US"/>
        </w:rPr>
        <w:t>for</w:t>
      </w:r>
      <w:r>
        <w:rPr>
          <w:lang w:eastAsia="en-US"/>
        </w:rPr>
        <w:t xml:space="preserve"> EGMs.  Thus</w:t>
      </w:r>
      <w:r w:rsidR="00B83839">
        <w:rPr>
          <w:lang w:eastAsia="en-US"/>
        </w:rPr>
        <w:t>,</w:t>
      </w:r>
      <w:r>
        <w:rPr>
          <w:lang w:eastAsia="en-US"/>
        </w:rPr>
        <w:t xml:space="preserve"> while participation rates </w:t>
      </w:r>
      <w:r w:rsidR="00B83839">
        <w:rPr>
          <w:lang w:eastAsia="en-US"/>
        </w:rPr>
        <w:t>reduced</w:t>
      </w:r>
      <w:r>
        <w:rPr>
          <w:lang w:eastAsia="en-US"/>
        </w:rPr>
        <w:t xml:space="preserve">, those who engaged in more ‘potent’ </w:t>
      </w:r>
      <w:r w:rsidR="00B119B4">
        <w:rPr>
          <w:lang w:eastAsia="en-US"/>
        </w:rPr>
        <w:t>activities</w:t>
      </w:r>
      <w:r>
        <w:rPr>
          <w:lang w:eastAsia="en-US"/>
        </w:rPr>
        <w:t xml:space="preserve"> including EGMs did so more intensively.  Consequently</w:t>
      </w:r>
      <w:r w:rsidR="00B83839">
        <w:rPr>
          <w:lang w:eastAsia="en-US"/>
        </w:rPr>
        <w:t>,</w:t>
      </w:r>
      <w:r>
        <w:rPr>
          <w:lang w:eastAsia="en-US"/>
        </w:rPr>
        <w:t xml:space="preserve"> they </w:t>
      </w:r>
      <w:r w:rsidR="00B83839">
        <w:rPr>
          <w:lang w:eastAsia="en-US"/>
        </w:rPr>
        <w:t>were</w:t>
      </w:r>
      <w:r>
        <w:rPr>
          <w:lang w:eastAsia="en-US"/>
        </w:rPr>
        <w:t xml:space="preserve"> at elevated risk for problem gambling and other gambling-related harm.        </w:t>
      </w:r>
    </w:p>
    <w:p w14:paraId="0DB00E13" w14:textId="77777777" w:rsidR="0067540B" w:rsidRDefault="0067540B" w:rsidP="0067540B">
      <w:pPr>
        <w:jc w:val="both"/>
        <w:rPr>
          <w:lang w:eastAsia="en-US"/>
        </w:rPr>
      </w:pPr>
    </w:p>
    <w:p w14:paraId="3618B124" w14:textId="77777777" w:rsidR="0067540B" w:rsidRDefault="0067540B" w:rsidP="0067540B">
      <w:pPr>
        <w:jc w:val="both"/>
        <w:rPr>
          <w:lang w:eastAsia="en-US"/>
        </w:rPr>
      </w:pPr>
      <w:r>
        <w:rPr>
          <w:lang w:eastAsia="en-US"/>
        </w:rPr>
        <w:t xml:space="preserve">A number of additional factors are involved in problem gambling development.  Problem gambling is highly co-morbid with substance use disorders and other behavioural addictions, as well as with mood, anxiety and personality disorders (Petry, 2005; Rash, Weinstock &amp; </w:t>
      </w:r>
      <w:r w:rsidR="0026417B">
        <w:rPr>
          <w:lang w:eastAsia="en-US"/>
        </w:rPr>
        <w:t xml:space="preserve">van </w:t>
      </w:r>
      <w:r>
        <w:rPr>
          <w:lang w:eastAsia="en-US"/>
        </w:rPr>
        <w:t>Patten, 2016).  While relationships between gambling and other mental health disorders are complex, prospective studies have found that substance use, substance use disorders and behavioural addictions are robust predictors of problem gambling onset (Afifi</w:t>
      </w:r>
      <w:r w:rsidR="00D05B26">
        <w:rPr>
          <w:lang w:eastAsia="en-US"/>
        </w:rPr>
        <w:t>, Nicholsol, Martins &amp; Sareen</w:t>
      </w:r>
      <w:r>
        <w:rPr>
          <w:lang w:eastAsia="en-US"/>
        </w:rPr>
        <w:t>, 2016; Bruneau et al</w:t>
      </w:r>
      <w:r w:rsidR="00775C72">
        <w:rPr>
          <w:lang w:eastAsia="en-US"/>
        </w:rPr>
        <w:t>.</w:t>
      </w:r>
      <w:r>
        <w:rPr>
          <w:lang w:eastAsia="en-US"/>
        </w:rPr>
        <w:t>, 2016; el-Guebaly et al</w:t>
      </w:r>
      <w:r w:rsidR="00775C72">
        <w:rPr>
          <w:lang w:eastAsia="en-US"/>
        </w:rPr>
        <w:t>.</w:t>
      </w:r>
      <w:r>
        <w:rPr>
          <w:lang w:eastAsia="en-US"/>
        </w:rPr>
        <w:t>, 2015; Parhami</w:t>
      </w:r>
      <w:r w:rsidR="00D05B26">
        <w:rPr>
          <w:lang w:eastAsia="en-US"/>
        </w:rPr>
        <w:t>, Mojtabai, Rosenthal, Afifi &amp; Fong</w:t>
      </w:r>
      <w:r>
        <w:rPr>
          <w:lang w:eastAsia="en-US"/>
        </w:rPr>
        <w:t>, 2014; Williams et al</w:t>
      </w:r>
      <w:r w:rsidR="00775C72">
        <w:rPr>
          <w:lang w:eastAsia="en-US"/>
        </w:rPr>
        <w:t>.</w:t>
      </w:r>
      <w:r>
        <w:rPr>
          <w:lang w:eastAsia="en-US"/>
        </w:rPr>
        <w:t xml:space="preserve">, 2015).  Other factors implicated in problem development include psychological distress, recent </w:t>
      </w:r>
      <w:r w:rsidR="00065313">
        <w:rPr>
          <w:lang w:eastAsia="en-US"/>
        </w:rPr>
        <w:t>major</w:t>
      </w:r>
      <w:r>
        <w:rPr>
          <w:lang w:eastAsia="en-US"/>
        </w:rPr>
        <w:t xml:space="preserve"> life events, childhood negative experience including trauma and abuse, low intelligence</w:t>
      </w:r>
      <w:r w:rsidR="00065313">
        <w:rPr>
          <w:lang w:eastAsia="en-US"/>
        </w:rPr>
        <w:t>,</w:t>
      </w:r>
      <w:r>
        <w:rPr>
          <w:lang w:eastAsia="en-US"/>
        </w:rPr>
        <w:t xml:space="preserve"> and cognitive distortions regarding </w:t>
      </w:r>
      <w:r w:rsidRPr="00047035">
        <w:rPr>
          <w:lang w:eastAsia="en-US"/>
        </w:rPr>
        <w:t>gambling (Leonard &amp; Williams, 2016</w:t>
      </w:r>
      <w:r w:rsidR="00775C72" w:rsidRPr="00047035">
        <w:rPr>
          <w:lang w:eastAsia="en-US"/>
        </w:rPr>
        <w:t>)</w:t>
      </w:r>
      <w:r w:rsidRPr="00047035">
        <w:rPr>
          <w:lang w:eastAsia="en-US"/>
        </w:rPr>
        <w:t>.  Genetic</w:t>
      </w:r>
      <w:r>
        <w:rPr>
          <w:lang w:eastAsia="en-US"/>
        </w:rPr>
        <w:t xml:space="preserve"> and molecular genetic research indicate that there is also a substantial heritable contribution to problem gambling.  The links between alcohol use and gambling disorders appear to be partially attributable to genes that influence both disorders.  Additionally</w:t>
      </w:r>
      <w:r w:rsidR="00775C72">
        <w:rPr>
          <w:lang w:eastAsia="en-US"/>
        </w:rPr>
        <w:t>,</w:t>
      </w:r>
      <w:r>
        <w:rPr>
          <w:lang w:eastAsia="en-US"/>
        </w:rPr>
        <w:t xml:space="preserve"> neurobiological, neurocognitive and cognitive research has identified cognitive deficits and other characteristics, as well as multiple neurotransmitter systems that appear to underlie emotional, cognitive and behavioural aspects of problem gambling (Hodgins, Stea &amp; Grant, 2011).  </w:t>
      </w:r>
    </w:p>
    <w:p w14:paraId="6C507B6E" w14:textId="77777777" w:rsidR="0067540B" w:rsidRDefault="0067540B" w:rsidP="0067540B">
      <w:pPr>
        <w:jc w:val="both"/>
        <w:rPr>
          <w:lang w:eastAsia="en-US"/>
        </w:rPr>
      </w:pPr>
    </w:p>
    <w:p w14:paraId="669C247E" w14:textId="77777777" w:rsidR="0067540B" w:rsidRDefault="0067540B" w:rsidP="0067540B">
      <w:pPr>
        <w:jc w:val="both"/>
        <w:rPr>
          <w:lang w:eastAsia="en-US"/>
        </w:rPr>
      </w:pPr>
      <w:r w:rsidRPr="00F60109">
        <w:rPr>
          <w:lang w:eastAsia="en-US"/>
        </w:rPr>
        <w:t xml:space="preserve">The findings from the first three NGS survey waves are generally consistent with the </w:t>
      </w:r>
      <w:r w:rsidR="006269A7" w:rsidRPr="00F60109">
        <w:rPr>
          <w:lang w:eastAsia="en-US"/>
        </w:rPr>
        <w:t>above</w:t>
      </w:r>
      <w:r>
        <w:rPr>
          <w:lang w:eastAsia="en-US"/>
        </w:rPr>
        <w:t xml:space="preserve"> findings.  In addition to the various gambling participation and sociodemographic factors implicated in the development of problem and at-risk gambling, risk factors remaining in multiple regression analyses included </w:t>
      </w:r>
      <w:r w:rsidR="005B7477">
        <w:rPr>
          <w:lang w:eastAsia="en-US"/>
        </w:rPr>
        <w:t>major</w:t>
      </w:r>
      <w:r>
        <w:rPr>
          <w:lang w:eastAsia="en-US"/>
        </w:rPr>
        <w:t xml:space="preserve"> life events, moderate and high psychological distress, lower quality of life and alcohol, tobacco and other drug use and misuse (Abbott et al</w:t>
      </w:r>
      <w:r w:rsidR="00775C72">
        <w:rPr>
          <w:lang w:eastAsia="en-US"/>
        </w:rPr>
        <w:t>.</w:t>
      </w:r>
      <w:r>
        <w:rPr>
          <w:lang w:eastAsia="en-US"/>
        </w:rPr>
        <w:t>, 2016</w:t>
      </w:r>
      <w:r w:rsidR="0003371B">
        <w:rPr>
          <w:lang w:eastAsia="en-US"/>
        </w:rPr>
        <w:t>a</w:t>
      </w:r>
      <w:r>
        <w:rPr>
          <w:lang w:eastAsia="en-US"/>
        </w:rPr>
        <w:t>).</w:t>
      </w:r>
    </w:p>
    <w:p w14:paraId="0637EA33" w14:textId="77777777" w:rsidR="00B4786F" w:rsidRDefault="00B4786F" w:rsidP="0067540B">
      <w:pPr>
        <w:jc w:val="both"/>
        <w:rPr>
          <w:lang w:eastAsia="en-US"/>
        </w:rPr>
      </w:pPr>
    </w:p>
    <w:p w14:paraId="0F30E798" w14:textId="77777777" w:rsidR="0067540B" w:rsidRDefault="0067540B" w:rsidP="0067540B">
      <w:pPr>
        <w:jc w:val="both"/>
        <w:rPr>
          <w:lang w:eastAsia="en-US"/>
        </w:rPr>
      </w:pPr>
      <w:r>
        <w:rPr>
          <w:lang w:eastAsia="en-US"/>
        </w:rPr>
        <w:t>Problem gambling prevalence is determined by incidence (the inflow of first time and relapsing problem gamblers) and the duration of problems.  Duration is determined by outflow, through recovery, remission, migration and death.  From the NGS and similar adult general population prospective studies conducted in other countries, it is known that over time spans of a few years problem gambling prevalence rates usually remain much the same.  However, typically, as in the NGS (Abbott et al</w:t>
      </w:r>
      <w:r w:rsidR="00AD7455">
        <w:rPr>
          <w:lang w:eastAsia="en-US"/>
        </w:rPr>
        <w:t>.</w:t>
      </w:r>
      <w:r>
        <w:rPr>
          <w:lang w:eastAsia="en-US"/>
        </w:rPr>
        <w:t>, 2015</w:t>
      </w:r>
      <w:r w:rsidR="00F85BD0">
        <w:rPr>
          <w:lang w:eastAsia="en-US"/>
        </w:rPr>
        <w:t>b</w:t>
      </w:r>
      <w:r>
        <w:rPr>
          <w:lang w:eastAsia="en-US"/>
        </w:rPr>
        <w:t>; 2016</w:t>
      </w:r>
      <w:r w:rsidR="0003371B">
        <w:rPr>
          <w:lang w:eastAsia="en-US"/>
        </w:rPr>
        <w:t>a</w:t>
      </w:r>
      <w:r>
        <w:rPr>
          <w:lang w:eastAsia="en-US"/>
        </w:rPr>
        <w:t>), in a</w:t>
      </w:r>
      <w:r w:rsidR="00AD7455">
        <w:rPr>
          <w:lang w:eastAsia="en-US"/>
        </w:rPr>
        <w:t>ny</w:t>
      </w:r>
      <w:r>
        <w:rPr>
          <w:lang w:eastAsia="en-US"/>
        </w:rPr>
        <w:t xml:space="preserve"> given year a substantial number of people move out of the problem gambling category and are replaced by a similar proportion of ‘new’ problem gamblers.  From 2012 to 2013</w:t>
      </w:r>
      <w:r w:rsidR="00AD7455">
        <w:rPr>
          <w:lang w:eastAsia="en-US"/>
        </w:rPr>
        <w:t>,</w:t>
      </w:r>
      <w:r>
        <w:rPr>
          <w:lang w:eastAsia="en-US"/>
        </w:rPr>
        <w:t xml:space="preserve"> 0.28% of New Zealand adults became problem gamblers and 1.1% became moderate-risk gamblers</w:t>
      </w:r>
      <w:r w:rsidR="00AD7455">
        <w:rPr>
          <w:lang w:eastAsia="en-US"/>
        </w:rPr>
        <w:t xml:space="preserve"> (Abbott et al., 2015</w:t>
      </w:r>
      <w:r w:rsidR="00F85BD0">
        <w:rPr>
          <w:lang w:eastAsia="en-US"/>
        </w:rPr>
        <w:t>b</w:t>
      </w:r>
      <w:r w:rsidR="00AD7455">
        <w:rPr>
          <w:lang w:eastAsia="en-US"/>
        </w:rPr>
        <w:t>)</w:t>
      </w:r>
      <w:r>
        <w:rPr>
          <w:lang w:eastAsia="en-US"/>
        </w:rPr>
        <w:t xml:space="preserve">.  These are similar to findings from the 2013-2014 NGS wave and Swedish and Victorian studies.  This means that about half of problem gamblers and two-thirds to three-quarters of moderate-risk gamblers are people who moved into these categories during the past 12 months.  </w:t>
      </w:r>
    </w:p>
    <w:p w14:paraId="62316252" w14:textId="77777777" w:rsidR="0067540B" w:rsidRDefault="0067540B" w:rsidP="0067540B">
      <w:pPr>
        <w:jc w:val="both"/>
        <w:rPr>
          <w:lang w:eastAsia="en-US"/>
        </w:rPr>
      </w:pPr>
    </w:p>
    <w:p w14:paraId="1B95D528" w14:textId="77777777" w:rsidR="0067540B" w:rsidRDefault="0067540B" w:rsidP="0067540B">
      <w:pPr>
        <w:jc w:val="both"/>
        <w:rPr>
          <w:lang w:eastAsia="en-US"/>
        </w:rPr>
      </w:pPr>
      <w:r>
        <w:rPr>
          <w:lang w:eastAsia="en-US"/>
        </w:rPr>
        <w:t>As mentioned</w:t>
      </w:r>
      <w:r w:rsidR="00AD7455">
        <w:rPr>
          <w:lang w:eastAsia="en-US"/>
        </w:rPr>
        <w:t>,</w:t>
      </w:r>
      <w:r>
        <w:rPr>
          <w:lang w:eastAsia="en-US"/>
        </w:rPr>
        <w:t xml:space="preserve"> ‘new’ problem gamblers include both first time cases and people who had problems in the past and are relapsing.  The relative proportions of novice and relapse cases can be expected to vary across jurisdictions and sociodemographic groups within jurisdictions, as well as over time.  Lifetime measures of problem gambling are known to under-detect past problems (Abbott et al</w:t>
      </w:r>
      <w:r w:rsidR="00AD7455">
        <w:rPr>
          <w:lang w:eastAsia="en-US"/>
        </w:rPr>
        <w:t>.</w:t>
      </w:r>
      <w:r>
        <w:rPr>
          <w:lang w:eastAsia="en-US"/>
        </w:rPr>
        <w:t>, 2004a, 2004b).  Consequently in New Zealand, as well as in Sweden and Victoria, as many as two-thirds of problem gamblers may actually be relapsing (Abbott et al</w:t>
      </w:r>
      <w:r w:rsidR="00AD7455">
        <w:rPr>
          <w:lang w:eastAsia="en-US"/>
        </w:rPr>
        <w:t>.</w:t>
      </w:r>
      <w:r>
        <w:rPr>
          <w:lang w:eastAsia="en-US"/>
        </w:rPr>
        <w:t>, 2016</w:t>
      </w:r>
      <w:r w:rsidR="0003371B">
        <w:rPr>
          <w:lang w:eastAsia="en-US"/>
        </w:rPr>
        <w:t>a</w:t>
      </w:r>
      <w:r>
        <w:rPr>
          <w:lang w:eastAsia="en-US"/>
        </w:rPr>
        <w:t xml:space="preserve">).  This high rate of relapse was unexpected.  It may be a major contributor to the plateauing in problem gambling prevalence rates that has been a notable feature in jurisdictions with mature gambling markets.  In the prospective studies just mentioned, of the many predictors of past 12 months problem gambling onset, by far the strongest was having experienced a gambling problem in the past.  It seems likely that in these jurisdictions, even though participation rates </w:t>
      </w:r>
      <w:r w:rsidR="00AD7455">
        <w:rPr>
          <w:lang w:eastAsia="en-US"/>
        </w:rPr>
        <w:t>decrease</w:t>
      </w:r>
      <w:r>
        <w:rPr>
          <w:lang w:eastAsia="en-US"/>
        </w:rPr>
        <w:t xml:space="preserve">, further declines in problem gambling and related harm are compromised by an accumulating pool of past problem gamblers who are highly prone to relapse.  Additionally, as discussed, these jurisdictions are also likely to include other population sectors that </w:t>
      </w:r>
      <w:r w:rsidR="00AD7455">
        <w:rPr>
          <w:lang w:eastAsia="en-US"/>
        </w:rPr>
        <w:t>have</w:t>
      </w:r>
      <w:r>
        <w:rPr>
          <w:lang w:eastAsia="en-US"/>
        </w:rPr>
        <w:t xml:space="preserve"> elevated risk for the development of gambling problems for the first time.  This includes vulnerable groups </w:t>
      </w:r>
      <w:r w:rsidR="00AD7455">
        <w:rPr>
          <w:lang w:eastAsia="en-US"/>
        </w:rPr>
        <w:t>such as</w:t>
      </w:r>
      <w:r>
        <w:rPr>
          <w:lang w:eastAsia="en-US"/>
        </w:rPr>
        <w:t xml:space="preserve"> those recently exposed to EGMs, casino gambling and continuous gambling forms.  While there is some support for these proposals</w:t>
      </w:r>
      <w:r w:rsidR="00AD7455">
        <w:rPr>
          <w:lang w:eastAsia="en-US"/>
        </w:rPr>
        <w:t>,</w:t>
      </w:r>
      <w:r>
        <w:rPr>
          <w:lang w:eastAsia="en-US"/>
        </w:rPr>
        <w:t xml:space="preserve"> they should be regarded as tentative pending further exploration and replication.</w:t>
      </w:r>
    </w:p>
    <w:p w14:paraId="5E1F328D" w14:textId="77777777" w:rsidR="0067540B" w:rsidRDefault="0067540B" w:rsidP="0067540B">
      <w:pPr>
        <w:jc w:val="both"/>
        <w:rPr>
          <w:lang w:eastAsia="en-US"/>
        </w:rPr>
      </w:pPr>
    </w:p>
    <w:p w14:paraId="6DE32EF3" w14:textId="77777777" w:rsidR="0067540B" w:rsidRDefault="0067540B" w:rsidP="0067540B">
      <w:pPr>
        <w:jc w:val="both"/>
        <w:rPr>
          <w:lang w:eastAsia="en-US"/>
        </w:rPr>
      </w:pPr>
      <w:r>
        <w:rPr>
          <w:lang w:eastAsia="en-US"/>
        </w:rPr>
        <w:t>As mentioned</w:t>
      </w:r>
      <w:r w:rsidR="00AD7455">
        <w:rPr>
          <w:lang w:eastAsia="en-US"/>
        </w:rPr>
        <w:t>,</w:t>
      </w:r>
      <w:r>
        <w:rPr>
          <w:lang w:eastAsia="en-US"/>
        </w:rPr>
        <w:t xml:space="preserve"> this report assesses adult general population gambling participation</w:t>
      </w:r>
      <w:r w:rsidR="00AD7455">
        <w:rPr>
          <w:lang w:eastAsia="en-US"/>
        </w:rPr>
        <w:t>,</w:t>
      </w:r>
      <w:r>
        <w:rPr>
          <w:lang w:eastAsia="en-US"/>
        </w:rPr>
        <w:t xml:space="preserve"> problem gambling </w:t>
      </w:r>
      <w:r w:rsidR="00AD7455">
        <w:rPr>
          <w:lang w:eastAsia="en-US"/>
        </w:rPr>
        <w:t>and risky</w:t>
      </w:r>
      <w:r>
        <w:rPr>
          <w:lang w:eastAsia="en-US"/>
        </w:rPr>
        <w:t xml:space="preserve"> gambling prevalence over the four NGS </w:t>
      </w:r>
      <w:r w:rsidR="00AD7455">
        <w:rPr>
          <w:lang w:eastAsia="en-US"/>
        </w:rPr>
        <w:t>survey waves, each conducted 12 </w:t>
      </w:r>
      <w:r>
        <w:rPr>
          <w:lang w:eastAsia="en-US"/>
        </w:rPr>
        <w:t xml:space="preserve">months apart.  This includes examination of EGM expenditure over time.  The reason for </w:t>
      </w:r>
      <w:r w:rsidR="00AD7455">
        <w:rPr>
          <w:lang w:eastAsia="en-US"/>
        </w:rPr>
        <w:t xml:space="preserve">specifically </w:t>
      </w:r>
      <w:r>
        <w:rPr>
          <w:lang w:eastAsia="en-US"/>
        </w:rPr>
        <w:t xml:space="preserve">considering EGMs was the particularly strong association between EGM participation and gambling-related harm in New Zealand.  Additionally, because the study involves interviews with the same people on a number of occasions, there is major interest in </w:t>
      </w:r>
      <w:r w:rsidRPr="00F60109">
        <w:rPr>
          <w:lang w:eastAsia="en-US"/>
        </w:rPr>
        <w:t xml:space="preserve">examining transitions at </w:t>
      </w:r>
      <w:r w:rsidR="00AD7455" w:rsidRPr="00F60109">
        <w:rPr>
          <w:lang w:eastAsia="en-US"/>
        </w:rPr>
        <w:t>an</w:t>
      </w:r>
      <w:r w:rsidRPr="00F60109">
        <w:rPr>
          <w:lang w:eastAsia="en-US"/>
        </w:rPr>
        <w:t xml:space="preserve"> individual level.  This </w:t>
      </w:r>
      <w:r w:rsidR="006269A7" w:rsidRPr="00F60109">
        <w:rPr>
          <w:lang w:eastAsia="en-US"/>
        </w:rPr>
        <w:t xml:space="preserve">interest </w:t>
      </w:r>
      <w:r w:rsidRPr="00F60109">
        <w:rPr>
          <w:lang w:eastAsia="en-US"/>
        </w:rPr>
        <w:t>includes transitions between</w:t>
      </w:r>
      <w:r>
        <w:rPr>
          <w:lang w:eastAsia="en-US"/>
        </w:rPr>
        <w:t xml:space="preserve"> gambling participation and gambling risk levels including problem gambling incidence.  </w:t>
      </w:r>
      <w:r w:rsidR="00AD7455">
        <w:rPr>
          <w:lang w:eastAsia="en-US"/>
        </w:rPr>
        <w:t>T</w:t>
      </w:r>
      <w:r>
        <w:rPr>
          <w:lang w:eastAsia="en-US"/>
        </w:rPr>
        <w:t xml:space="preserve">he study </w:t>
      </w:r>
      <w:r w:rsidR="00AD7455">
        <w:rPr>
          <w:lang w:eastAsia="en-US"/>
        </w:rPr>
        <w:t xml:space="preserve">also </w:t>
      </w:r>
      <w:r>
        <w:rPr>
          <w:lang w:eastAsia="en-US"/>
        </w:rPr>
        <w:t>identifies risk and resiliency factors associated with these transitions.  As well as considering factors that predict increased gambling participation and the development of at-risk and problem gambling, it considers predictors of recovery from moderate-risk and problem gambling and relapse.</w:t>
      </w:r>
    </w:p>
    <w:p w14:paraId="3F8D176A" w14:textId="77777777" w:rsidR="0096082A" w:rsidRPr="00D63AD8" w:rsidRDefault="0096082A" w:rsidP="00005771">
      <w:pPr>
        <w:jc w:val="both"/>
        <w:rPr>
          <w:lang w:eastAsia="en-US"/>
        </w:rPr>
      </w:pPr>
    </w:p>
    <w:p w14:paraId="22C81028" w14:textId="77777777" w:rsidR="0046000D" w:rsidRDefault="0046000D" w:rsidP="000D1CF7">
      <w:pPr>
        <w:pStyle w:val="RepNormal"/>
      </w:pPr>
    </w:p>
    <w:p w14:paraId="70208F6B" w14:textId="77777777" w:rsidR="0046000D" w:rsidRPr="000D1CF7" w:rsidRDefault="0046000D" w:rsidP="000D1CF7">
      <w:pPr>
        <w:pStyle w:val="RepHead1"/>
      </w:pPr>
      <w:bookmarkStart w:id="21" w:name="_Toc109453382"/>
      <w:bookmarkEnd w:id="13"/>
      <w:r>
        <w:br w:type="page"/>
      </w:r>
      <w:bookmarkStart w:id="22" w:name="_Toc504488332"/>
      <w:bookmarkEnd w:id="21"/>
      <w:r w:rsidR="006A2FFF">
        <w:t>RESEARCH METHODS</w:t>
      </w:r>
      <w:bookmarkEnd w:id="22"/>
    </w:p>
    <w:p w14:paraId="2C2AE140" w14:textId="77777777" w:rsidR="0046000D" w:rsidRDefault="0046000D" w:rsidP="000D1CF7">
      <w:pPr>
        <w:pStyle w:val="RepNormal"/>
      </w:pPr>
      <w:bookmarkStart w:id="23" w:name="_Toc109453383"/>
    </w:p>
    <w:p w14:paraId="041024F4" w14:textId="77777777" w:rsidR="006A2FFF" w:rsidRDefault="0096082A" w:rsidP="000D1CF7">
      <w:pPr>
        <w:pStyle w:val="RepNormal"/>
      </w:pPr>
      <w:r w:rsidRPr="006A0318">
        <w:t>A full description of the r</w:t>
      </w:r>
      <w:r w:rsidR="006A2FFF" w:rsidRPr="006A0318">
        <w:t xml:space="preserve">esearch methods </w:t>
      </w:r>
      <w:r w:rsidRPr="006A0318">
        <w:t xml:space="preserve">used in the National Gambling Study is presented </w:t>
      </w:r>
      <w:r w:rsidR="006A2FFF" w:rsidRPr="006A0318">
        <w:t>in</w:t>
      </w:r>
      <w:r w:rsidR="006A2FFF" w:rsidRPr="006A2FFF">
        <w:t xml:space="preserve"> Report Number 1 (Abbott et al., 2014a).  A </w:t>
      </w:r>
      <w:r w:rsidR="00B36FEC">
        <w:t>pr</w:t>
      </w:r>
      <w:r w:rsidR="00153D1B">
        <w:rPr>
          <w:rFonts w:cs="Times New Roman"/>
        </w:rPr>
        <w:t>é</w:t>
      </w:r>
      <w:r w:rsidR="00B36FEC">
        <w:t>cis</w:t>
      </w:r>
      <w:r w:rsidR="006A2FFF" w:rsidRPr="006A2FFF">
        <w:t xml:space="preserve"> of the research methods is </w:t>
      </w:r>
      <w:r w:rsidR="00B36FEC">
        <w:t>detailed</w:t>
      </w:r>
      <w:r w:rsidR="006A2FFF" w:rsidRPr="006A2FFF">
        <w:t xml:space="preserve"> in this chapter.</w:t>
      </w:r>
    </w:p>
    <w:p w14:paraId="7A6649CD" w14:textId="77777777" w:rsidR="006A2FFF" w:rsidRPr="000C265D" w:rsidRDefault="006A2FFF" w:rsidP="000D1CF7">
      <w:pPr>
        <w:pStyle w:val="RepNormal"/>
      </w:pPr>
    </w:p>
    <w:p w14:paraId="412A4146" w14:textId="77777777" w:rsidR="0046000D" w:rsidRPr="000D1CF7" w:rsidRDefault="0046000D" w:rsidP="000D1CF7">
      <w:pPr>
        <w:pStyle w:val="RepHead2"/>
      </w:pPr>
      <w:bookmarkStart w:id="24" w:name="_Toc504488333"/>
      <w:r w:rsidRPr="000D1CF7">
        <w:t>Ethics approval</w:t>
      </w:r>
      <w:bookmarkEnd w:id="23"/>
      <w:bookmarkEnd w:id="24"/>
    </w:p>
    <w:p w14:paraId="0D16E164" w14:textId="77777777" w:rsidR="0046000D" w:rsidRDefault="0046000D" w:rsidP="000D1CF7">
      <w:pPr>
        <w:pStyle w:val="RepNormal"/>
        <w:rPr>
          <w:lang w:val="en-AU"/>
        </w:rPr>
      </w:pPr>
    </w:p>
    <w:p w14:paraId="41D16D54" w14:textId="77777777" w:rsidR="007716AE" w:rsidRPr="00D13ADD" w:rsidRDefault="00B36FEC" w:rsidP="007716AE">
      <w:pPr>
        <w:pStyle w:val="StyleNormalWeb11ptJustifiedBeforeAutoAfterAuto"/>
      </w:pPr>
      <w:r>
        <w:t>The Health and Disability Ethics Committees granted e</w:t>
      </w:r>
      <w:r w:rsidR="007716AE">
        <w:t xml:space="preserve">thical approval </w:t>
      </w:r>
      <w:r>
        <w:t>on 3 March 2014 (Reference: NTY/11/04/040/AM03) for the</w:t>
      </w:r>
      <w:r w:rsidR="006A2FFF">
        <w:t xml:space="preserve"> re-contact and re-interview</w:t>
      </w:r>
      <w:r w:rsidR="0073619D">
        <w:t xml:space="preserve"> of</w:t>
      </w:r>
      <w:r w:rsidR="006A2FFF">
        <w:t xml:space="preserve"> participants </w:t>
      </w:r>
      <w:r>
        <w:t>in</w:t>
      </w:r>
      <w:r w:rsidR="0073619D">
        <w:t xml:space="preserve"> Wave </w:t>
      </w:r>
      <w:r w:rsidR="007716AE">
        <w:t xml:space="preserve">3 and Wave 4.  </w:t>
      </w:r>
    </w:p>
    <w:p w14:paraId="1A5C0B9B" w14:textId="77777777" w:rsidR="007716AE" w:rsidRDefault="007716AE" w:rsidP="007716AE">
      <w:pPr>
        <w:pStyle w:val="StyleNormalWeb11ptJustifiedBeforeAutoAfterAuto"/>
      </w:pPr>
    </w:p>
    <w:p w14:paraId="5835F5D9" w14:textId="77777777" w:rsidR="007716AE" w:rsidRPr="00D13ADD" w:rsidRDefault="00B36FEC" w:rsidP="007716AE">
      <w:pPr>
        <w:pStyle w:val="StyleNormalWeb11ptJustifiedBeforeAutoAfterAuto"/>
      </w:pPr>
      <w:r>
        <w:t>Throughout</w:t>
      </w:r>
      <w:r w:rsidR="007716AE" w:rsidRPr="00D13ADD">
        <w:t xml:space="preserve"> the research</w:t>
      </w:r>
      <w:r w:rsidR="00293E43">
        <w:t>,</w:t>
      </w:r>
      <w:r w:rsidR="007716AE" w:rsidRPr="00D13ADD">
        <w:t xml:space="preserve"> </w:t>
      </w:r>
      <w:r>
        <w:t>a</w:t>
      </w:r>
      <w:r w:rsidR="007716AE" w:rsidRPr="00D13ADD">
        <w:t>ll participants were allocated a code by the research team to protect their identities</w:t>
      </w:r>
      <w:r>
        <w:t>, and n</w:t>
      </w:r>
      <w:r w:rsidR="007716AE" w:rsidRPr="00D13ADD">
        <w:t>o personal identifying information has been reported</w:t>
      </w:r>
      <w:r w:rsidR="007716AE">
        <w:t>.</w:t>
      </w:r>
      <w:r w:rsidR="007716AE" w:rsidRPr="00D13ADD">
        <w:t xml:space="preserve">  </w:t>
      </w:r>
      <w:r>
        <w:t>P</w:t>
      </w:r>
      <w:r w:rsidR="007716AE" w:rsidRPr="00D13ADD">
        <w:t xml:space="preserve">articipants were informed that </w:t>
      </w:r>
      <w:r>
        <w:t>taking part</w:t>
      </w:r>
      <w:r w:rsidR="007716AE" w:rsidRPr="00D13ADD">
        <w:t xml:space="preserve"> in the research was voluntary and that they could withdraw at any time, prior to data reporting</w:t>
      </w:r>
      <w:r w:rsidR="007716AE">
        <w:t>.</w:t>
      </w:r>
    </w:p>
    <w:p w14:paraId="29257D0B" w14:textId="77777777" w:rsidR="0046000D" w:rsidRDefault="0046000D" w:rsidP="000D1CF7">
      <w:pPr>
        <w:pStyle w:val="RepNormal"/>
        <w:rPr>
          <w:lang w:val="en-AU"/>
        </w:rPr>
      </w:pPr>
    </w:p>
    <w:p w14:paraId="1E3AE876" w14:textId="77777777" w:rsidR="0046000D" w:rsidRPr="000D1CF7" w:rsidRDefault="006A2FFF" w:rsidP="000D1CF7">
      <w:pPr>
        <w:pStyle w:val="RepHead2"/>
      </w:pPr>
      <w:bookmarkStart w:id="25" w:name="_Toc504488334"/>
      <w:r>
        <w:t>Survey instrument</w:t>
      </w:r>
      <w:bookmarkEnd w:id="25"/>
    </w:p>
    <w:p w14:paraId="54F4CC0F" w14:textId="77777777" w:rsidR="0046000D" w:rsidRDefault="0046000D" w:rsidP="000D1CF7">
      <w:pPr>
        <w:pStyle w:val="RepNormal"/>
        <w:rPr>
          <w:lang w:val="en-AU"/>
        </w:rPr>
      </w:pPr>
    </w:p>
    <w:p w14:paraId="4E454972" w14:textId="77777777" w:rsidR="00A446FF" w:rsidRPr="00A446FF" w:rsidRDefault="00A446FF" w:rsidP="00A446FF">
      <w:pPr>
        <w:jc w:val="both"/>
        <w:rPr>
          <w:szCs w:val="22"/>
        </w:rPr>
      </w:pPr>
      <w:r w:rsidRPr="003D71F0">
        <w:rPr>
          <w:szCs w:val="22"/>
        </w:rPr>
        <w:t xml:space="preserve">The </w:t>
      </w:r>
      <w:r w:rsidR="0057482A">
        <w:rPr>
          <w:szCs w:val="22"/>
        </w:rPr>
        <w:t>questionnaire</w:t>
      </w:r>
      <w:r w:rsidRPr="003D71F0">
        <w:rPr>
          <w:szCs w:val="22"/>
          <w:vertAlign w:val="superscript"/>
        </w:rPr>
        <w:footnoteReference w:id="1"/>
      </w:r>
      <w:r w:rsidR="0057482A">
        <w:rPr>
          <w:szCs w:val="22"/>
        </w:rPr>
        <w:t xml:space="preserve">used </w:t>
      </w:r>
      <w:r w:rsidRPr="003D71F0">
        <w:rPr>
          <w:szCs w:val="22"/>
        </w:rPr>
        <w:t xml:space="preserve">for the </w:t>
      </w:r>
      <w:r w:rsidR="0057482A">
        <w:rPr>
          <w:szCs w:val="22"/>
        </w:rPr>
        <w:t>Wave 4</w:t>
      </w:r>
      <w:r w:rsidRPr="003D71F0">
        <w:rPr>
          <w:szCs w:val="22"/>
        </w:rPr>
        <w:t xml:space="preserve"> assessm</w:t>
      </w:r>
      <w:r w:rsidR="003D71F0">
        <w:rPr>
          <w:szCs w:val="22"/>
        </w:rPr>
        <w:t xml:space="preserve">ent covered </w:t>
      </w:r>
      <w:r w:rsidR="005E40E4">
        <w:rPr>
          <w:szCs w:val="22"/>
        </w:rPr>
        <w:t>the following</w:t>
      </w:r>
      <w:r w:rsidRPr="003D71F0">
        <w:rPr>
          <w:szCs w:val="22"/>
        </w:rPr>
        <w:t> areas</w:t>
      </w:r>
      <w:r w:rsidR="005E40E4">
        <w:rPr>
          <w:szCs w:val="22"/>
        </w:rPr>
        <w:t>, the results of which are described in this report</w:t>
      </w:r>
      <w:r w:rsidRPr="003D71F0">
        <w:rPr>
          <w:szCs w:val="22"/>
        </w:rPr>
        <w:t>:</w:t>
      </w:r>
    </w:p>
    <w:p w14:paraId="531F66C4" w14:textId="77777777" w:rsidR="00A446FF" w:rsidRPr="00A446FF" w:rsidRDefault="00A446FF" w:rsidP="00A446FF">
      <w:pPr>
        <w:jc w:val="both"/>
        <w:rPr>
          <w:szCs w:val="22"/>
        </w:rPr>
      </w:pPr>
    </w:p>
    <w:p w14:paraId="76B64A90" w14:textId="26247439" w:rsidR="00A446FF" w:rsidRPr="00F60109" w:rsidRDefault="005E40E4" w:rsidP="00DD2ADA">
      <w:pPr>
        <w:numPr>
          <w:ilvl w:val="0"/>
          <w:numId w:val="25"/>
        </w:numPr>
        <w:jc w:val="both"/>
        <w:rPr>
          <w:szCs w:val="22"/>
        </w:rPr>
      </w:pPr>
      <w:r w:rsidRPr="00F60109">
        <w:rPr>
          <w:szCs w:val="22"/>
        </w:rPr>
        <w:t>G</w:t>
      </w:r>
      <w:r w:rsidR="00A446FF" w:rsidRPr="00F60109">
        <w:rPr>
          <w:szCs w:val="22"/>
        </w:rPr>
        <w:t>ambling participation</w:t>
      </w:r>
      <w:r w:rsidR="00B1617D" w:rsidRPr="00F60109">
        <w:rPr>
          <w:szCs w:val="22"/>
        </w:rPr>
        <w:t xml:space="preserve"> (29 gambling activities)</w:t>
      </w:r>
    </w:p>
    <w:p w14:paraId="4A575C97" w14:textId="77777777" w:rsidR="00A446FF" w:rsidRPr="00F60109" w:rsidRDefault="00A446FF" w:rsidP="00A446FF">
      <w:pPr>
        <w:ind w:left="720"/>
        <w:jc w:val="both"/>
        <w:rPr>
          <w:szCs w:val="22"/>
        </w:rPr>
      </w:pPr>
    </w:p>
    <w:p w14:paraId="1487E473" w14:textId="77777777" w:rsidR="00A446FF" w:rsidRPr="00F60109" w:rsidRDefault="00A446FF" w:rsidP="00DD2ADA">
      <w:pPr>
        <w:numPr>
          <w:ilvl w:val="0"/>
          <w:numId w:val="25"/>
        </w:numPr>
        <w:jc w:val="both"/>
        <w:rPr>
          <w:szCs w:val="22"/>
        </w:rPr>
      </w:pPr>
      <w:r w:rsidRPr="00F60109">
        <w:rPr>
          <w:szCs w:val="22"/>
        </w:rPr>
        <w:t>Past gambling and recent gambling behaviour change</w:t>
      </w:r>
    </w:p>
    <w:p w14:paraId="3C53D037" w14:textId="77777777" w:rsidR="00A446FF" w:rsidRPr="00F60109" w:rsidRDefault="00A446FF" w:rsidP="00A446FF">
      <w:pPr>
        <w:ind w:left="720"/>
        <w:jc w:val="both"/>
        <w:rPr>
          <w:szCs w:val="22"/>
        </w:rPr>
      </w:pPr>
    </w:p>
    <w:p w14:paraId="7667AFE9" w14:textId="77777777" w:rsidR="00A446FF" w:rsidRPr="00F60109" w:rsidRDefault="00A446FF" w:rsidP="00DD2ADA">
      <w:pPr>
        <w:numPr>
          <w:ilvl w:val="0"/>
          <w:numId w:val="25"/>
        </w:numPr>
        <w:jc w:val="both"/>
        <w:rPr>
          <w:szCs w:val="22"/>
        </w:rPr>
      </w:pPr>
      <w:r w:rsidRPr="00F60109">
        <w:rPr>
          <w:szCs w:val="22"/>
        </w:rPr>
        <w:t>Problem gambling</w:t>
      </w:r>
    </w:p>
    <w:p w14:paraId="02D466FF" w14:textId="77777777" w:rsidR="00A446FF" w:rsidRPr="00F60109" w:rsidRDefault="00A446FF" w:rsidP="00DD2ADA">
      <w:pPr>
        <w:numPr>
          <w:ilvl w:val="1"/>
          <w:numId w:val="25"/>
        </w:numPr>
        <w:jc w:val="both"/>
        <w:rPr>
          <w:szCs w:val="22"/>
        </w:rPr>
      </w:pPr>
      <w:r w:rsidRPr="00F60109">
        <w:rPr>
          <w:szCs w:val="22"/>
        </w:rPr>
        <w:t>Problem Gambling Severity Index</w:t>
      </w:r>
    </w:p>
    <w:p w14:paraId="2980071A" w14:textId="77777777" w:rsidR="00A446FF" w:rsidRPr="00F60109" w:rsidRDefault="00A446FF" w:rsidP="00A446FF">
      <w:pPr>
        <w:ind w:left="1440"/>
        <w:jc w:val="both"/>
        <w:rPr>
          <w:szCs w:val="22"/>
        </w:rPr>
      </w:pPr>
      <w:r w:rsidRPr="00F60109">
        <w:rPr>
          <w:bCs/>
          <w:iCs/>
          <w:szCs w:val="22"/>
        </w:rPr>
        <w:t>The nine-item Problem Gambling Severity Index (PGSI; Ferris &amp; Wynne, 2001) was used to measure severity of gambling problems in a past 12 month time frame.</w:t>
      </w:r>
    </w:p>
    <w:p w14:paraId="2F9D2858" w14:textId="77777777" w:rsidR="00A446FF" w:rsidRPr="00F60109" w:rsidRDefault="0057482A" w:rsidP="00DD2ADA">
      <w:pPr>
        <w:numPr>
          <w:ilvl w:val="1"/>
          <w:numId w:val="25"/>
        </w:numPr>
        <w:jc w:val="both"/>
        <w:rPr>
          <w:szCs w:val="22"/>
        </w:rPr>
      </w:pPr>
      <w:r w:rsidRPr="00F60109">
        <w:rPr>
          <w:szCs w:val="22"/>
        </w:rPr>
        <w:t>Help-seeking behaviours</w:t>
      </w:r>
    </w:p>
    <w:p w14:paraId="3B2195C8" w14:textId="77777777" w:rsidR="00A446FF" w:rsidRPr="00F60109" w:rsidRDefault="00A446FF" w:rsidP="00DD2ADA">
      <w:pPr>
        <w:numPr>
          <w:ilvl w:val="1"/>
          <w:numId w:val="25"/>
        </w:numPr>
        <w:jc w:val="both"/>
        <w:rPr>
          <w:szCs w:val="22"/>
        </w:rPr>
      </w:pPr>
      <w:r w:rsidRPr="00F60109">
        <w:rPr>
          <w:szCs w:val="22"/>
        </w:rPr>
        <w:t>Gambling in households</w:t>
      </w:r>
    </w:p>
    <w:p w14:paraId="127BDD05" w14:textId="77777777" w:rsidR="00A446FF" w:rsidRPr="00F60109" w:rsidRDefault="00A446FF" w:rsidP="00A446FF">
      <w:pPr>
        <w:ind w:left="1440"/>
        <w:jc w:val="both"/>
        <w:rPr>
          <w:szCs w:val="22"/>
        </w:rPr>
      </w:pPr>
    </w:p>
    <w:p w14:paraId="34DAC79B" w14:textId="54AC23F0" w:rsidR="00A446FF" w:rsidRPr="00F60109" w:rsidRDefault="00130E76" w:rsidP="00DD2ADA">
      <w:pPr>
        <w:numPr>
          <w:ilvl w:val="0"/>
          <w:numId w:val="25"/>
        </w:numPr>
        <w:jc w:val="both"/>
        <w:rPr>
          <w:szCs w:val="22"/>
        </w:rPr>
      </w:pPr>
      <w:r w:rsidRPr="00F60109">
        <w:rPr>
          <w:szCs w:val="22"/>
        </w:rPr>
        <w:t>Major life events</w:t>
      </w:r>
      <w:r w:rsidR="00B1617D" w:rsidRPr="00F60109">
        <w:rPr>
          <w:szCs w:val="22"/>
        </w:rPr>
        <w:t xml:space="preserve"> (from checklist of 18 events)</w:t>
      </w:r>
    </w:p>
    <w:p w14:paraId="48286764" w14:textId="77777777" w:rsidR="00A446FF" w:rsidRPr="00A446FF" w:rsidRDefault="00A446FF" w:rsidP="00A446FF">
      <w:pPr>
        <w:ind w:left="720"/>
        <w:jc w:val="both"/>
        <w:rPr>
          <w:szCs w:val="22"/>
        </w:rPr>
      </w:pPr>
    </w:p>
    <w:p w14:paraId="51133840" w14:textId="77777777" w:rsidR="00A446FF" w:rsidRPr="00A446FF" w:rsidRDefault="00A446FF" w:rsidP="00DD2ADA">
      <w:pPr>
        <w:numPr>
          <w:ilvl w:val="0"/>
          <w:numId w:val="25"/>
        </w:numPr>
        <w:jc w:val="both"/>
        <w:rPr>
          <w:szCs w:val="22"/>
        </w:rPr>
      </w:pPr>
      <w:r w:rsidRPr="00A446FF">
        <w:rPr>
          <w:szCs w:val="22"/>
        </w:rPr>
        <w:t>Mental health</w:t>
      </w:r>
    </w:p>
    <w:p w14:paraId="6961CFAE" w14:textId="77777777" w:rsidR="00A446FF" w:rsidRPr="00A446FF" w:rsidRDefault="00A446FF" w:rsidP="00DD2ADA">
      <w:pPr>
        <w:numPr>
          <w:ilvl w:val="1"/>
          <w:numId w:val="25"/>
        </w:numPr>
        <w:jc w:val="both"/>
        <w:rPr>
          <w:szCs w:val="22"/>
        </w:rPr>
      </w:pPr>
      <w:r w:rsidRPr="00A446FF">
        <w:rPr>
          <w:szCs w:val="22"/>
        </w:rPr>
        <w:t>General psychological distress</w:t>
      </w:r>
    </w:p>
    <w:p w14:paraId="68693DA5" w14:textId="77777777" w:rsidR="00A446FF" w:rsidRPr="00A446FF" w:rsidRDefault="00A446FF" w:rsidP="00A446FF">
      <w:pPr>
        <w:overflowPunct w:val="0"/>
        <w:autoSpaceDE w:val="0"/>
        <w:autoSpaceDN w:val="0"/>
        <w:adjustRightInd w:val="0"/>
        <w:spacing w:before="20" w:line="160" w:lineRule="atLeast"/>
        <w:ind w:left="1440"/>
        <w:jc w:val="both"/>
        <w:textAlignment w:val="baseline"/>
        <w:rPr>
          <w:bCs/>
          <w:iCs/>
          <w:szCs w:val="22"/>
          <w:lang w:eastAsia="en-US"/>
        </w:rPr>
      </w:pPr>
      <w:r w:rsidRPr="00A446FF">
        <w:rPr>
          <w:bCs/>
          <w:iCs/>
          <w:szCs w:val="22"/>
          <w:lang w:eastAsia="en-US"/>
        </w:rPr>
        <w:t>The Kessler-10 (K-10) questionnaire was included to provide a continuous measure of general psychological distress that is responsive to change over time.  The K-10 has been validated internationally.  Its brevity and simple response format are attractive features.  It also produces a summary measure indicating probability of currently experiencing an anxiety or depressive disorder (Kessler &amp; Mroczek, 1994).</w:t>
      </w:r>
    </w:p>
    <w:p w14:paraId="286ED150" w14:textId="77777777" w:rsidR="00A446FF" w:rsidRPr="00A446FF" w:rsidRDefault="00A446FF" w:rsidP="00DD2ADA">
      <w:pPr>
        <w:keepNext/>
        <w:numPr>
          <w:ilvl w:val="1"/>
          <w:numId w:val="25"/>
        </w:numPr>
        <w:jc w:val="both"/>
        <w:rPr>
          <w:szCs w:val="22"/>
        </w:rPr>
      </w:pPr>
      <w:r w:rsidRPr="00A446FF">
        <w:rPr>
          <w:szCs w:val="22"/>
        </w:rPr>
        <w:t>Quality of life</w:t>
      </w:r>
    </w:p>
    <w:p w14:paraId="3E60B2E5" w14:textId="77777777" w:rsidR="00A446FF" w:rsidRPr="00A446FF" w:rsidRDefault="00A446FF" w:rsidP="00694F23">
      <w:pPr>
        <w:keepNext/>
        <w:ind w:left="1440"/>
        <w:jc w:val="both"/>
        <w:rPr>
          <w:bCs/>
          <w:iCs/>
          <w:szCs w:val="22"/>
        </w:rPr>
      </w:pPr>
      <w:r w:rsidRPr="00A446FF">
        <w:rPr>
          <w:bCs/>
          <w:iCs/>
          <w:szCs w:val="22"/>
        </w:rPr>
        <w:t>Quality of life was assessed by the WHOQoL-8, an eight item version of a widely used measure.  This short form has been used in a number of countries, is robust psychometrically, and overall performance is strongly correlated with scores from the original WHOQoL instrument (Schmidt, Muhlan &amp; Power, 2005).</w:t>
      </w:r>
    </w:p>
    <w:p w14:paraId="1EBBC3F3" w14:textId="77777777" w:rsidR="00A446FF" w:rsidRPr="00A446FF" w:rsidRDefault="00A446FF" w:rsidP="00A446FF">
      <w:pPr>
        <w:ind w:left="1440"/>
        <w:jc w:val="both"/>
        <w:rPr>
          <w:sz w:val="20"/>
          <w:szCs w:val="22"/>
        </w:rPr>
      </w:pPr>
    </w:p>
    <w:p w14:paraId="24590311" w14:textId="77777777" w:rsidR="00A446FF" w:rsidRPr="00A446FF" w:rsidRDefault="00A446FF" w:rsidP="00DD2ADA">
      <w:pPr>
        <w:keepNext/>
        <w:numPr>
          <w:ilvl w:val="0"/>
          <w:numId w:val="25"/>
        </w:numPr>
        <w:jc w:val="both"/>
        <w:rPr>
          <w:szCs w:val="22"/>
        </w:rPr>
      </w:pPr>
      <w:r w:rsidRPr="00A446FF">
        <w:rPr>
          <w:szCs w:val="22"/>
        </w:rPr>
        <w:t>Alcohol use/misuse</w:t>
      </w:r>
    </w:p>
    <w:p w14:paraId="05D76916" w14:textId="77777777" w:rsidR="00A446FF" w:rsidRPr="00A446FF" w:rsidRDefault="00A446FF" w:rsidP="00A446FF">
      <w:pPr>
        <w:keepNext/>
        <w:overflowPunct w:val="0"/>
        <w:autoSpaceDE w:val="0"/>
        <w:autoSpaceDN w:val="0"/>
        <w:adjustRightInd w:val="0"/>
        <w:spacing w:before="20" w:line="160" w:lineRule="atLeast"/>
        <w:ind w:left="720"/>
        <w:jc w:val="both"/>
        <w:textAlignment w:val="baseline"/>
        <w:rPr>
          <w:bCs/>
          <w:iCs/>
          <w:szCs w:val="22"/>
          <w:lang w:eastAsia="en-US"/>
        </w:rPr>
      </w:pPr>
      <w:r w:rsidRPr="00A446FF">
        <w:rPr>
          <w:bCs/>
          <w:iCs/>
          <w:szCs w:val="22"/>
          <w:lang w:eastAsia="en-US"/>
        </w:rPr>
        <w:t>To identify hazardous alcohol consumption or active alcohol use disorders (including alcohol abuse or dependence) a brief version (AUDIT-C, three-item scale) of the Alcohol Use Disorders Identification Test (AUDIT) (Saunders et al., 1993) was administered.</w:t>
      </w:r>
    </w:p>
    <w:p w14:paraId="33E73687" w14:textId="77777777" w:rsidR="00A446FF" w:rsidRPr="00A446FF" w:rsidRDefault="00A446FF" w:rsidP="00A446FF">
      <w:pPr>
        <w:keepNext/>
        <w:overflowPunct w:val="0"/>
        <w:autoSpaceDE w:val="0"/>
        <w:autoSpaceDN w:val="0"/>
        <w:adjustRightInd w:val="0"/>
        <w:spacing w:before="20" w:line="160" w:lineRule="atLeast"/>
        <w:ind w:left="720"/>
        <w:jc w:val="both"/>
        <w:textAlignment w:val="baseline"/>
        <w:rPr>
          <w:bCs/>
          <w:iCs/>
          <w:szCs w:val="22"/>
          <w:lang w:eastAsia="en-US"/>
        </w:rPr>
      </w:pPr>
    </w:p>
    <w:p w14:paraId="4823A219" w14:textId="77777777" w:rsidR="00A446FF" w:rsidRPr="00A446FF" w:rsidRDefault="00A446FF" w:rsidP="00DD2ADA">
      <w:pPr>
        <w:numPr>
          <w:ilvl w:val="0"/>
          <w:numId w:val="25"/>
        </w:numPr>
        <w:jc w:val="both"/>
        <w:rPr>
          <w:szCs w:val="22"/>
        </w:rPr>
      </w:pPr>
      <w:r w:rsidRPr="00A446FF">
        <w:rPr>
          <w:szCs w:val="22"/>
        </w:rPr>
        <w:t>Substance use/misuse</w:t>
      </w:r>
    </w:p>
    <w:p w14:paraId="1A0E76BF" w14:textId="77777777" w:rsidR="00A446FF" w:rsidRPr="00A446FF" w:rsidRDefault="00A446FF" w:rsidP="00DD2ADA">
      <w:pPr>
        <w:numPr>
          <w:ilvl w:val="1"/>
          <w:numId w:val="25"/>
        </w:numPr>
        <w:jc w:val="both"/>
        <w:rPr>
          <w:szCs w:val="22"/>
        </w:rPr>
      </w:pPr>
      <w:r w:rsidRPr="00A446FF">
        <w:rPr>
          <w:szCs w:val="22"/>
        </w:rPr>
        <w:t>Tobacco</w:t>
      </w:r>
    </w:p>
    <w:p w14:paraId="37EE32D0" w14:textId="77777777" w:rsidR="00A446FF" w:rsidRPr="00A446FF" w:rsidRDefault="00A446FF" w:rsidP="00DD2ADA">
      <w:pPr>
        <w:numPr>
          <w:ilvl w:val="1"/>
          <w:numId w:val="25"/>
        </w:numPr>
        <w:jc w:val="both"/>
        <w:rPr>
          <w:szCs w:val="22"/>
        </w:rPr>
      </w:pPr>
      <w:r w:rsidRPr="00A446FF">
        <w:rPr>
          <w:szCs w:val="22"/>
        </w:rPr>
        <w:t>Other drugs</w:t>
      </w:r>
    </w:p>
    <w:p w14:paraId="48201C98" w14:textId="77777777" w:rsidR="00A446FF" w:rsidRPr="00A446FF" w:rsidRDefault="00A446FF" w:rsidP="00A446FF">
      <w:pPr>
        <w:ind w:left="1440"/>
        <w:jc w:val="both"/>
        <w:rPr>
          <w:szCs w:val="22"/>
        </w:rPr>
      </w:pPr>
    </w:p>
    <w:p w14:paraId="12F5D48E" w14:textId="77777777" w:rsidR="00A446FF" w:rsidRPr="00A446FF" w:rsidRDefault="00A53FA3" w:rsidP="00DD2ADA">
      <w:pPr>
        <w:numPr>
          <w:ilvl w:val="0"/>
          <w:numId w:val="25"/>
        </w:numPr>
        <w:jc w:val="both"/>
        <w:rPr>
          <w:szCs w:val="22"/>
        </w:rPr>
      </w:pPr>
      <w:r>
        <w:rPr>
          <w:szCs w:val="22"/>
        </w:rPr>
        <w:t>General h</w:t>
      </w:r>
      <w:r w:rsidR="00A446FF" w:rsidRPr="00A446FF">
        <w:rPr>
          <w:szCs w:val="22"/>
        </w:rPr>
        <w:t>ealth conditions</w:t>
      </w:r>
      <w:r w:rsidR="00986695">
        <w:rPr>
          <w:szCs w:val="22"/>
        </w:rPr>
        <w:t xml:space="preserve"> (individual questions)</w:t>
      </w:r>
    </w:p>
    <w:p w14:paraId="7BE7FD2F" w14:textId="77777777" w:rsidR="00A446FF" w:rsidRPr="00A446FF" w:rsidRDefault="00A446FF" w:rsidP="00A446FF">
      <w:pPr>
        <w:ind w:left="720"/>
        <w:jc w:val="both"/>
        <w:rPr>
          <w:szCs w:val="22"/>
        </w:rPr>
      </w:pPr>
    </w:p>
    <w:p w14:paraId="0DE8FDB9" w14:textId="77777777" w:rsidR="00A446FF" w:rsidRPr="00A446FF" w:rsidRDefault="00A446FF" w:rsidP="00DD2ADA">
      <w:pPr>
        <w:numPr>
          <w:ilvl w:val="0"/>
          <w:numId w:val="25"/>
        </w:numPr>
        <w:jc w:val="both"/>
        <w:rPr>
          <w:szCs w:val="22"/>
        </w:rPr>
      </w:pPr>
      <w:r w:rsidRPr="00A446FF">
        <w:rPr>
          <w:szCs w:val="22"/>
        </w:rPr>
        <w:t>Social connectedness</w:t>
      </w:r>
    </w:p>
    <w:p w14:paraId="3E5A493F" w14:textId="77777777" w:rsidR="00A446FF" w:rsidRPr="00A446FF" w:rsidRDefault="00A446FF" w:rsidP="00A446FF">
      <w:pPr>
        <w:ind w:left="720"/>
        <w:jc w:val="both"/>
        <w:rPr>
          <w:szCs w:val="22"/>
        </w:rPr>
      </w:pPr>
      <w:r w:rsidRPr="00A446FF">
        <w:rPr>
          <w:szCs w:val="22"/>
        </w:rPr>
        <w:t>Questions were based on those used in the Victorian Gambling Study (Victorian Responsible Gambling Foundation, 2011, 2012).</w:t>
      </w:r>
    </w:p>
    <w:p w14:paraId="28B8C1B7" w14:textId="77777777" w:rsidR="00A446FF" w:rsidRPr="00A446FF" w:rsidRDefault="00A446FF" w:rsidP="00A446FF">
      <w:pPr>
        <w:ind w:left="360"/>
        <w:jc w:val="both"/>
        <w:rPr>
          <w:szCs w:val="22"/>
        </w:rPr>
      </w:pPr>
    </w:p>
    <w:p w14:paraId="52EC5C6D" w14:textId="77777777" w:rsidR="00A446FF" w:rsidRPr="00A446FF" w:rsidRDefault="00A446FF" w:rsidP="00DD2ADA">
      <w:pPr>
        <w:numPr>
          <w:ilvl w:val="0"/>
          <w:numId w:val="25"/>
        </w:numPr>
        <w:jc w:val="both"/>
        <w:rPr>
          <w:szCs w:val="22"/>
        </w:rPr>
      </w:pPr>
      <w:r w:rsidRPr="00A446FF">
        <w:rPr>
          <w:szCs w:val="22"/>
        </w:rPr>
        <w:t>New Zealand Individual Deprivation Index (NZiDep)</w:t>
      </w:r>
    </w:p>
    <w:p w14:paraId="50A29E5C" w14:textId="6E4C3AD1" w:rsidR="00A446FF" w:rsidRPr="00A446FF" w:rsidRDefault="00A446FF" w:rsidP="00A446FF">
      <w:pPr>
        <w:ind w:left="720"/>
        <w:jc w:val="both"/>
        <w:rPr>
          <w:szCs w:val="22"/>
        </w:rPr>
      </w:pPr>
      <w:r w:rsidRPr="00A446FF">
        <w:rPr>
          <w:szCs w:val="22"/>
        </w:rPr>
        <w:t>The New Zealand Index of socio-economic deprivation for individua</w:t>
      </w:r>
      <w:r w:rsidR="00A91699">
        <w:rPr>
          <w:szCs w:val="22"/>
        </w:rPr>
        <w:t>ls was used (eight item index)</w:t>
      </w:r>
      <w:r w:rsidRPr="00A446FF">
        <w:rPr>
          <w:szCs w:val="22"/>
        </w:rPr>
        <w:t xml:space="preserve"> (Salmond, Crampton, King, &amp; Waldegrave, 2006).</w:t>
      </w:r>
    </w:p>
    <w:p w14:paraId="09A20452" w14:textId="77777777" w:rsidR="00A446FF" w:rsidRPr="00A446FF" w:rsidRDefault="00A446FF" w:rsidP="00A446FF">
      <w:pPr>
        <w:ind w:left="720"/>
        <w:jc w:val="both"/>
        <w:rPr>
          <w:szCs w:val="22"/>
        </w:rPr>
      </w:pPr>
    </w:p>
    <w:p w14:paraId="278C698D" w14:textId="77777777" w:rsidR="00A446FF" w:rsidRPr="00A446FF" w:rsidRDefault="00A446FF" w:rsidP="00DD2ADA">
      <w:pPr>
        <w:numPr>
          <w:ilvl w:val="0"/>
          <w:numId w:val="25"/>
        </w:numPr>
        <w:jc w:val="both"/>
        <w:rPr>
          <w:szCs w:val="22"/>
        </w:rPr>
      </w:pPr>
      <w:r w:rsidRPr="00A446FF">
        <w:rPr>
          <w:szCs w:val="22"/>
        </w:rPr>
        <w:t>Demographics</w:t>
      </w:r>
      <w:r w:rsidR="00680230">
        <w:rPr>
          <w:szCs w:val="22"/>
        </w:rPr>
        <w:t>.</w:t>
      </w:r>
    </w:p>
    <w:p w14:paraId="50B9FCB2" w14:textId="77777777" w:rsidR="0046000D" w:rsidRDefault="0046000D" w:rsidP="000D1CF7">
      <w:pPr>
        <w:pStyle w:val="RepNormal"/>
        <w:rPr>
          <w:lang w:val="en-AU"/>
        </w:rPr>
      </w:pPr>
    </w:p>
    <w:p w14:paraId="0A201488" w14:textId="77777777" w:rsidR="0046000D" w:rsidRPr="0046000D" w:rsidRDefault="00800122" w:rsidP="00F25301">
      <w:pPr>
        <w:pStyle w:val="RepHead2"/>
      </w:pPr>
      <w:bookmarkStart w:id="26" w:name="_Toc504488335"/>
      <w:r>
        <w:t>Overview of the survey methodology</w:t>
      </w:r>
      <w:bookmarkEnd w:id="26"/>
    </w:p>
    <w:p w14:paraId="0BC04D0C" w14:textId="77777777" w:rsidR="0046000D" w:rsidRPr="000C265D" w:rsidRDefault="0046000D" w:rsidP="00F25301">
      <w:pPr>
        <w:keepNext/>
        <w:jc w:val="both"/>
        <w:rPr>
          <w:szCs w:val="22"/>
          <w:lang w:val="en-AU"/>
        </w:rPr>
      </w:pPr>
    </w:p>
    <w:p w14:paraId="6B587C34" w14:textId="77777777" w:rsidR="0046000D" w:rsidRPr="000D1CF7" w:rsidRDefault="00800122" w:rsidP="000D1CF7">
      <w:pPr>
        <w:pStyle w:val="RepHead3"/>
      </w:pPr>
      <w:bookmarkStart w:id="27" w:name="_Toc504488336"/>
      <w:r>
        <w:t>Baseline (Wave 1 assessment)</w:t>
      </w:r>
      <w:bookmarkEnd w:id="27"/>
    </w:p>
    <w:p w14:paraId="3CA1D598" w14:textId="77777777" w:rsidR="0046000D" w:rsidRDefault="0046000D" w:rsidP="000D1CF7">
      <w:pPr>
        <w:pStyle w:val="RepNormal"/>
      </w:pPr>
    </w:p>
    <w:p w14:paraId="278C080E" w14:textId="44137098" w:rsidR="00800122" w:rsidRDefault="00800122" w:rsidP="000D1CF7">
      <w:pPr>
        <w:pStyle w:val="RepNormal"/>
      </w:pPr>
      <w:r>
        <w:t xml:space="preserve">Wave 1 survey methodology is </w:t>
      </w:r>
      <w:r w:rsidR="0057482A">
        <w:t>detailed</w:t>
      </w:r>
      <w:r>
        <w:t xml:space="preserve"> in Report </w:t>
      </w:r>
      <w:r w:rsidR="00A91699">
        <w:t xml:space="preserve">Number </w:t>
      </w:r>
      <w:r>
        <w:t xml:space="preserve">1 of the New Zealand National Gambling </w:t>
      </w:r>
      <w:r w:rsidR="0057482A">
        <w:t>Study</w:t>
      </w:r>
      <w:r>
        <w:t xml:space="preserve"> (Abbott et al., 2014a).  </w:t>
      </w:r>
      <w:r w:rsidR="0057482A">
        <w:t>Main</w:t>
      </w:r>
      <w:r>
        <w:t xml:space="preserve"> aspects of the survey methodology have been </w:t>
      </w:r>
      <w:r w:rsidR="0057482A">
        <w:t xml:space="preserve">briefly </w:t>
      </w:r>
      <w:r w:rsidR="009C606F">
        <w:t>reproduced</w:t>
      </w:r>
      <w:r>
        <w:t xml:space="preserve"> below.</w:t>
      </w:r>
    </w:p>
    <w:p w14:paraId="421DC0C6" w14:textId="77777777" w:rsidR="009C606F" w:rsidRPr="00DA16E1" w:rsidRDefault="009C606F" w:rsidP="00DD2ADA">
      <w:pPr>
        <w:pStyle w:val="BodyText1"/>
        <w:numPr>
          <w:ilvl w:val="0"/>
          <w:numId w:val="26"/>
        </w:numPr>
        <w:jc w:val="both"/>
        <w:rPr>
          <w:szCs w:val="22"/>
          <w:lang w:val="en-NZ"/>
        </w:rPr>
      </w:pPr>
      <w:r w:rsidRPr="00DA16E1">
        <w:rPr>
          <w:szCs w:val="22"/>
          <w:lang w:val="en-NZ"/>
        </w:rPr>
        <w:t xml:space="preserve">The survey sampling was at three levels: </w:t>
      </w:r>
      <w:r w:rsidR="00F563BD">
        <w:rPr>
          <w:szCs w:val="22"/>
          <w:lang w:val="en-NZ"/>
        </w:rPr>
        <w:t>1)</w:t>
      </w:r>
      <w:r w:rsidRPr="00DA16E1">
        <w:rPr>
          <w:szCs w:val="22"/>
          <w:lang w:val="en-NZ"/>
        </w:rPr>
        <w:t xml:space="preserve"> </w:t>
      </w:r>
      <w:r>
        <w:rPr>
          <w:szCs w:val="22"/>
          <w:lang w:val="en-NZ"/>
        </w:rPr>
        <w:t>meshblock</w:t>
      </w:r>
      <w:r w:rsidRPr="00DA16E1">
        <w:rPr>
          <w:szCs w:val="22"/>
          <w:lang w:val="en-NZ"/>
        </w:rPr>
        <w:t xml:space="preserve">s (small areas) were selected, </w:t>
      </w:r>
      <w:r w:rsidR="00F563BD">
        <w:rPr>
          <w:szCs w:val="22"/>
          <w:lang w:val="en-NZ"/>
        </w:rPr>
        <w:t>2)</w:t>
      </w:r>
      <w:r w:rsidR="00680230">
        <w:rPr>
          <w:szCs w:val="22"/>
          <w:lang w:val="en-NZ"/>
        </w:rPr>
        <w:t> </w:t>
      </w:r>
      <w:r w:rsidRPr="00DA16E1">
        <w:rPr>
          <w:szCs w:val="22"/>
          <w:lang w:val="en-NZ"/>
        </w:rPr>
        <w:t xml:space="preserve">dwellings were selected within each </w:t>
      </w:r>
      <w:r>
        <w:rPr>
          <w:szCs w:val="22"/>
          <w:lang w:val="en-NZ"/>
        </w:rPr>
        <w:t>meshblock</w:t>
      </w:r>
      <w:r w:rsidR="00F563BD">
        <w:rPr>
          <w:szCs w:val="22"/>
          <w:lang w:val="en-NZ"/>
        </w:rPr>
        <w:t>,</w:t>
      </w:r>
      <w:r w:rsidRPr="00DA16E1">
        <w:rPr>
          <w:szCs w:val="22"/>
          <w:lang w:val="en-NZ"/>
        </w:rPr>
        <w:t xml:space="preserve"> and </w:t>
      </w:r>
      <w:r w:rsidR="00F563BD">
        <w:rPr>
          <w:szCs w:val="22"/>
          <w:lang w:val="en-NZ"/>
        </w:rPr>
        <w:t>3)</w:t>
      </w:r>
      <w:r w:rsidRPr="00DA16E1">
        <w:rPr>
          <w:szCs w:val="22"/>
          <w:lang w:val="en-NZ"/>
        </w:rPr>
        <w:t xml:space="preserve"> an eligible respondent was selected for an interview </w:t>
      </w:r>
      <w:r w:rsidR="00F563BD">
        <w:rPr>
          <w:szCs w:val="22"/>
          <w:lang w:val="en-NZ"/>
        </w:rPr>
        <w:t>from</w:t>
      </w:r>
      <w:r w:rsidRPr="00DA16E1">
        <w:rPr>
          <w:szCs w:val="22"/>
          <w:lang w:val="en-NZ"/>
        </w:rPr>
        <w:t xml:space="preserve"> each dwelling.</w:t>
      </w:r>
    </w:p>
    <w:p w14:paraId="0A7954E8" w14:textId="77777777" w:rsidR="009C606F" w:rsidRPr="00DA16E1" w:rsidRDefault="009C606F" w:rsidP="00DD2ADA">
      <w:pPr>
        <w:pStyle w:val="BodyText1"/>
        <w:numPr>
          <w:ilvl w:val="0"/>
          <w:numId w:val="26"/>
        </w:numPr>
        <w:jc w:val="both"/>
        <w:rPr>
          <w:szCs w:val="22"/>
          <w:lang w:val="en-NZ"/>
        </w:rPr>
      </w:pPr>
      <w:r w:rsidRPr="00DA16E1">
        <w:rPr>
          <w:szCs w:val="22"/>
          <w:lang w:val="en-NZ"/>
        </w:rPr>
        <w:t xml:space="preserve">Random selection procedures were used </w:t>
      </w:r>
      <w:r w:rsidR="00F563BD">
        <w:rPr>
          <w:szCs w:val="22"/>
          <w:lang w:val="en-NZ"/>
        </w:rPr>
        <w:t>in</w:t>
      </w:r>
      <w:r w:rsidRPr="00DA16E1">
        <w:rPr>
          <w:szCs w:val="22"/>
          <w:lang w:val="en-NZ"/>
        </w:rPr>
        <w:t xml:space="preserve"> all three of these sampling levels to minimise sampling bias. </w:t>
      </w:r>
      <w:r>
        <w:rPr>
          <w:szCs w:val="22"/>
          <w:lang w:val="en-NZ"/>
        </w:rPr>
        <w:t xml:space="preserve"> </w:t>
      </w:r>
      <w:r w:rsidRPr="00DA16E1">
        <w:rPr>
          <w:szCs w:val="22"/>
          <w:lang w:val="en-NZ"/>
        </w:rPr>
        <w:t>These procedures were used to ensure known, non-zero probabilities of selection for all final respondents.</w:t>
      </w:r>
    </w:p>
    <w:p w14:paraId="6BBB0E1D" w14:textId="77777777" w:rsidR="009C606F" w:rsidRPr="00DA16E1" w:rsidRDefault="009C606F" w:rsidP="00DD2ADA">
      <w:pPr>
        <w:pStyle w:val="BodyText1"/>
        <w:numPr>
          <w:ilvl w:val="0"/>
          <w:numId w:val="26"/>
        </w:numPr>
        <w:jc w:val="both"/>
        <w:rPr>
          <w:szCs w:val="22"/>
          <w:lang w:val="en-NZ"/>
        </w:rPr>
      </w:pPr>
      <w:r>
        <w:rPr>
          <w:szCs w:val="22"/>
          <w:lang w:val="en-NZ"/>
        </w:rPr>
        <w:t>I</w:t>
      </w:r>
      <w:r w:rsidRPr="00DA16E1">
        <w:rPr>
          <w:szCs w:val="22"/>
          <w:lang w:val="en-NZ"/>
        </w:rPr>
        <w:t>nterviews were conducted face</w:t>
      </w:r>
      <w:r>
        <w:rPr>
          <w:szCs w:val="22"/>
          <w:lang w:val="en-NZ"/>
        </w:rPr>
        <w:t>-</w:t>
      </w:r>
      <w:r w:rsidRPr="00DA16E1">
        <w:rPr>
          <w:szCs w:val="22"/>
          <w:lang w:val="en-NZ"/>
        </w:rPr>
        <w:t>to</w:t>
      </w:r>
      <w:r>
        <w:rPr>
          <w:szCs w:val="22"/>
          <w:lang w:val="en-NZ"/>
        </w:rPr>
        <w:t>-</w:t>
      </w:r>
      <w:r w:rsidRPr="00DA16E1">
        <w:rPr>
          <w:szCs w:val="22"/>
          <w:lang w:val="en-NZ"/>
        </w:rPr>
        <w:t>face with respondents in their homes (dwellings).</w:t>
      </w:r>
    </w:p>
    <w:p w14:paraId="02195378" w14:textId="77777777" w:rsidR="009C606F" w:rsidRPr="00DA16E1" w:rsidRDefault="009C606F" w:rsidP="00DD2ADA">
      <w:pPr>
        <w:pStyle w:val="BodyText1"/>
        <w:numPr>
          <w:ilvl w:val="0"/>
          <w:numId w:val="26"/>
        </w:numPr>
        <w:jc w:val="both"/>
        <w:rPr>
          <w:szCs w:val="22"/>
          <w:lang w:val="en-NZ"/>
        </w:rPr>
      </w:pPr>
      <w:r w:rsidRPr="00DA16E1">
        <w:rPr>
          <w:szCs w:val="22"/>
          <w:lang w:val="en-NZ"/>
        </w:rPr>
        <w:t>Interviews were conducted using Computer-Assisted Personal Interviewing (CAPI) software</w:t>
      </w:r>
      <w:r w:rsidR="00F563BD">
        <w:rPr>
          <w:szCs w:val="22"/>
          <w:lang w:val="en-NZ"/>
        </w:rPr>
        <w:t xml:space="preserve"> (i.e. </w:t>
      </w:r>
      <w:r w:rsidRPr="00DA16E1">
        <w:rPr>
          <w:szCs w:val="22"/>
          <w:lang w:val="en-NZ"/>
        </w:rPr>
        <w:t>interviewers used laptop computers to administer the interview</w:t>
      </w:r>
      <w:r w:rsidR="00F563BD">
        <w:rPr>
          <w:szCs w:val="22"/>
          <w:lang w:val="en-NZ"/>
        </w:rPr>
        <w:t>)</w:t>
      </w:r>
      <w:r w:rsidRPr="00DA16E1">
        <w:rPr>
          <w:szCs w:val="22"/>
          <w:lang w:val="en-NZ"/>
        </w:rPr>
        <w:t>.</w:t>
      </w:r>
    </w:p>
    <w:p w14:paraId="20A3C97C" w14:textId="77777777" w:rsidR="009C606F" w:rsidRPr="00DA16E1" w:rsidRDefault="009C606F" w:rsidP="00DD2ADA">
      <w:pPr>
        <w:pStyle w:val="BodyText1"/>
        <w:numPr>
          <w:ilvl w:val="0"/>
          <w:numId w:val="26"/>
        </w:numPr>
        <w:jc w:val="both"/>
        <w:rPr>
          <w:szCs w:val="22"/>
          <w:lang w:val="en-NZ"/>
        </w:rPr>
      </w:pPr>
      <w:r w:rsidRPr="00DA16E1">
        <w:rPr>
          <w:szCs w:val="22"/>
          <w:lang w:val="en-NZ"/>
        </w:rPr>
        <w:t>The survey had nationwide coverage.</w:t>
      </w:r>
    </w:p>
    <w:p w14:paraId="467557F1" w14:textId="77777777" w:rsidR="009C606F" w:rsidRPr="00DA16E1" w:rsidRDefault="00F563BD" w:rsidP="00DD2ADA">
      <w:pPr>
        <w:pStyle w:val="BodyText1"/>
        <w:numPr>
          <w:ilvl w:val="0"/>
          <w:numId w:val="26"/>
        </w:numPr>
        <w:jc w:val="both"/>
        <w:rPr>
          <w:szCs w:val="22"/>
          <w:lang w:val="en-NZ"/>
        </w:rPr>
      </w:pPr>
      <w:r w:rsidRPr="00DA16E1">
        <w:rPr>
          <w:szCs w:val="22"/>
          <w:lang w:val="en-NZ"/>
        </w:rPr>
        <w:t>The survey was representative of the N</w:t>
      </w:r>
      <w:r>
        <w:rPr>
          <w:szCs w:val="22"/>
          <w:lang w:val="en-NZ"/>
        </w:rPr>
        <w:t xml:space="preserve">ew </w:t>
      </w:r>
      <w:r w:rsidRPr="00DA16E1">
        <w:rPr>
          <w:szCs w:val="22"/>
          <w:lang w:val="en-NZ"/>
        </w:rPr>
        <w:t>Z</w:t>
      </w:r>
      <w:r>
        <w:rPr>
          <w:szCs w:val="22"/>
          <w:lang w:val="en-NZ"/>
        </w:rPr>
        <w:t>ealand</w:t>
      </w:r>
      <w:r w:rsidRPr="00DA16E1">
        <w:rPr>
          <w:szCs w:val="22"/>
          <w:lang w:val="en-NZ"/>
        </w:rPr>
        <w:t xml:space="preserve"> adult </w:t>
      </w:r>
      <w:r w:rsidR="00680230" w:rsidRPr="00DA16E1">
        <w:rPr>
          <w:szCs w:val="22"/>
          <w:lang w:val="en-NZ"/>
        </w:rPr>
        <w:t>population</w:t>
      </w:r>
      <w:r w:rsidR="00680230">
        <w:rPr>
          <w:szCs w:val="22"/>
          <w:lang w:val="en-NZ"/>
        </w:rPr>
        <w:t xml:space="preserve"> (people aged 18 </w:t>
      </w:r>
      <w:r>
        <w:rPr>
          <w:szCs w:val="22"/>
          <w:lang w:val="en-NZ"/>
        </w:rPr>
        <w:t>years or older)</w:t>
      </w:r>
      <w:r w:rsidRPr="00DA16E1">
        <w:rPr>
          <w:szCs w:val="22"/>
          <w:lang w:val="en-NZ"/>
        </w:rPr>
        <w:t>.</w:t>
      </w:r>
      <w:r>
        <w:rPr>
          <w:szCs w:val="22"/>
          <w:lang w:val="en-NZ"/>
        </w:rPr>
        <w:t xml:space="preserve">  </w:t>
      </w:r>
      <w:r w:rsidR="009C606F" w:rsidRPr="00DA16E1">
        <w:rPr>
          <w:szCs w:val="22"/>
          <w:lang w:val="en-NZ"/>
        </w:rPr>
        <w:t>All adults were eligible</w:t>
      </w:r>
      <w:r>
        <w:rPr>
          <w:szCs w:val="22"/>
          <w:lang w:val="en-NZ"/>
        </w:rPr>
        <w:t xml:space="preserve"> (i.e. </w:t>
      </w:r>
      <w:r w:rsidR="009C606F" w:rsidRPr="00DA16E1">
        <w:rPr>
          <w:szCs w:val="22"/>
          <w:lang w:val="en-NZ"/>
        </w:rPr>
        <w:t>gamblers and non-gamblers</w:t>
      </w:r>
      <w:r>
        <w:rPr>
          <w:szCs w:val="22"/>
          <w:lang w:val="en-NZ"/>
        </w:rPr>
        <w:t>).</w:t>
      </w:r>
      <w:r w:rsidR="009C606F" w:rsidRPr="00DA16E1">
        <w:rPr>
          <w:szCs w:val="22"/>
          <w:lang w:val="en-NZ"/>
        </w:rPr>
        <w:t xml:space="preserve"> </w:t>
      </w:r>
      <w:r w:rsidR="009C606F">
        <w:rPr>
          <w:szCs w:val="22"/>
          <w:lang w:val="en-NZ"/>
        </w:rPr>
        <w:t xml:space="preserve"> </w:t>
      </w:r>
    </w:p>
    <w:p w14:paraId="1EBB8461" w14:textId="77777777" w:rsidR="009C606F" w:rsidRPr="00DA16E1" w:rsidRDefault="009C606F" w:rsidP="00DD2ADA">
      <w:pPr>
        <w:pStyle w:val="BodyText1"/>
        <w:numPr>
          <w:ilvl w:val="0"/>
          <w:numId w:val="26"/>
        </w:numPr>
        <w:jc w:val="both"/>
        <w:rPr>
          <w:szCs w:val="22"/>
          <w:lang w:val="en-NZ"/>
        </w:rPr>
      </w:pPr>
      <w:r w:rsidRPr="00DA16E1">
        <w:rPr>
          <w:szCs w:val="22"/>
          <w:lang w:val="en-NZ"/>
        </w:rPr>
        <w:t>The household call pattern, call</w:t>
      </w:r>
      <w:r w:rsidR="00293E43">
        <w:rPr>
          <w:szCs w:val="22"/>
          <w:lang w:val="en-NZ"/>
        </w:rPr>
        <w:t>-</w:t>
      </w:r>
      <w:r w:rsidRPr="00DA16E1">
        <w:rPr>
          <w:szCs w:val="22"/>
          <w:lang w:val="en-NZ"/>
        </w:rPr>
        <w:t xml:space="preserve">backs to households, and the interviewers' approach was designed to achieve an expected response rate of 65%. </w:t>
      </w:r>
      <w:r>
        <w:rPr>
          <w:szCs w:val="22"/>
          <w:lang w:val="en-NZ"/>
        </w:rPr>
        <w:t xml:space="preserve"> </w:t>
      </w:r>
      <w:r w:rsidRPr="00DA16E1">
        <w:rPr>
          <w:szCs w:val="22"/>
          <w:lang w:val="en-NZ"/>
        </w:rPr>
        <w:t xml:space="preserve">Up to seven calls were made to a household to contact the eligible respondent. </w:t>
      </w:r>
      <w:r>
        <w:rPr>
          <w:szCs w:val="22"/>
          <w:lang w:val="en-NZ"/>
        </w:rPr>
        <w:t xml:space="preserve"> </w:t>
      </w:r>
      <w:r w:rsidRPr="00DA16E1">
        <w:rPr>
          <w:szCs w:val="22"/>
          <w:lang w:val="en-NZ"/>
        </w:rPr>
        <w:t>Household calls were made on different days (week days and weekend days) and at different times of the day to maximise the chance of contacting people.</w:t>
      </w:r>
    </w:p>
    <w:p w14:paraId="1AD25030" w14:textId="77777777" w:rsidR="009C606F" w:rsidRPr="00DA16E1" w:rsidRDefault="009C606F" w:rsidP="00DD2ADA">
      <w:pPr>
        <w:pStyle w:val="BodyText1"/>
        <w:numPr>
          <w:ilvl w:val="0"/>
          <w:numId w:val="26"/>
        </w:numPr>
        <w:jc w:val="both"/>
        <w:rPr>
          <w:szCs w:val="22"/>
          <w:lang w:val="en-NZ"/>
        </w:rPr>
      </w:pPr>
      <w:r w:rsidRPr="00DA16E1">
        <w:rPr>
          <w:szCs w:val="22"/>
          <w:lang w:val="en-NZ"/>
        </w:rPr>
        <w:t xml:space="preserve">There was no inducement or coercion of respondents. </w:t>
      </w:r>
      <w:r>
        <w:rPr>
          <w:szCs w:val="22"/>
          <w:lang w:val="en-NZ"/>
        </w:rPr>
        <w:t xml:space="preserve"> </w:t>
      </w:r>
      <w:r w:rsidR="00F563BD">
        <w:rPr>
          <w:szCs w:val="22"/>
          <w:lang w:val="en-NZ"/>
        </w:rPr>
        <w:t>A</w:t>
      </w:r>
      <w:r w:rsidRPr="00DA16E1">
        <w:rPr>
          <w:szCs w:val="22"/>
          <w:lang w:val="en-NZ"/>
        </w:rPr>
        <w:t xml:space="preserve"> consent form was signed or approved by responde</w:t>
      </w:r>
      <w:r>
        <w:rPr>
          <w:szCs w:val="22"/>
          <w:lang w:val="en-NZ"/>
        </w:rPr>
        <w:t>nts before the interview began.</w:t>
      </w:r>
    </w:p>
    <w:p w14:paraId="115AF7D7" w14:textId="77777777" w:rsidR="009C606F" w:rsidRPr="00DA16E1" w:rsidRDefault="009C606F" w:rsidP="00DD2ADA">
      <w:pPr>
        <w:pStyle w:val="BodyText1"/>
        <w:numPr>
          <w:ilvl w:val="0"/>
          <w:numId w:val="26"/>
        </w:numPr>
        <w:jc w:val="both"/>
        <w:rPr>
          <w:szCs w:val="22"/>
          <w:lang w:val="en-NZ"/>
        </w:rPr>
      </w:pPr>
      <w:r>
        <w:rPr>
          <w:szCs w:val="22"/>
          <w:lang w:val="en-NZ"/>
        </w:rPr>
        <w:t>T</w:t>
      </w:r>
      <w:r w:rsidRPr="00DA16E1">
        <w:rPr>
          <w:szCs w:val="22"/>
          <w:lang w:val="en-NZ"/>
        </w:rPr>
        <w:t xml:space="preserve">here were 'core' (non-screened) and 'screened' households within each </w:t>
      </w:r>
      <w:r>
        <w:rPr>
          <w:szCs w:val="22"/>
          <w:lang w:val="en-NZ"/>
        </w:rPr>
        <w:t>meshblock</w:t>
      </w:r>
      <w:r w:rsidRPr="00DA16E1">
        <w:rPr>
          <w:szCs w:val="22"/>
          <w:lang w:val="en-NZ"/>
        </w:rPr>
        <w:t xml:space="preserve">. </w:t>
      </w:r>
      <w:r>
        <w:rPr>
          <w:szCs w:val="22"/>
          <w:lang w:val="en-NZ"/>
        </w:rPr>
        <w:t xml:space="preserve"> </w:t>
      </w:r>
      <w:r w:rsidRPr="00DA16E1">
        <w:rPr>
          <w:szCs w:val="22"/>
          <w:lang w:val="en-NZ"/>
        </w:rPr>
        <w:t xml:space="preserve">Interviews conducted in screened households boosted the number of interviews conducted with </w:t>
      </w:r>
      <w:r>
        <w:rPr>
          <w:szCs w:val="22"/>
          <w:lang w:val="en-NZ"/>
        </w:rPr>
        <w:t>Māori</w:t>
      </w:r>
      <w:r w:rsidRPr="00DA16E1">
        <w:rPr>
          <w:szCs w:val="22"/>
          <w:lang w:val="en-NZ"/>
        </w:rPr>
        <w:t xml:space="preserve">, </w:t>
      </w:r>
      <w:r w:rsidR="00680230" w:rsidRPr="00DA16E1">
        <w:rPr>
          <w:szCs w:val="22"/>
          <w:lang w:val="en-NZ"/>
        </w:rPr>
        <w:t xml:space="preserve">Pacific and </w:t>
      </w:r>
      <w:r w:rsidRPr="00DA16E1">
        <w:rPr>
          <w:szCs w:val="22"/>
          <w:lang w:val="en-NZ"/>
        </w:rPr>
        <w:t>Asian respondents.</w:t>
      </w:r>
    </w:p>
    <w:p w14:paraId="69E2A1A2" w14:textId="77777777" w:rsidR="009C606F" w:rsidRDefault="009C606F" w:rsidP="009C606F">
      <w:pPr>
        <w:pStyle w:val="BodyText1"/>
        <w:jc w:val="both"/>
        <w:rPr>
          <w:szCs w:val="22"/>
          <w:lang w:val="en-NZ"/>
        </w:rPr>
      </w:pPr>
    </w:p>
    <w:p w14:paraId="365FBC56" w14:textId="77777777" w:rsidR="00800122" w:rsidRDefault="00800122" w:rsidP="000D1CF7">
      <w:pPr>
        <w:pStyle w:val="RepNormal"/>
      </w:pPr>
    </w:p>
    <w:p w14:paraId="11C90C15" w14:textId="77777777" w:rsidR="0046000D" w:rsidRPr="000D1CF7" w:rsidRDefault="00F563BD" w:rsidP="000D1CF7">
      <w:pPr>
        <w:pStyle w:val="RepHead3"/>
      </w:pPr>
      <w:bookmarkStart w:id="28" w:name="_Toc504488337"/>
      <w:r>
        <w:t>Follow</w:t>
      </w:r>
      <w:r w:rsidR="009C606F">
        <w:t>-up assessments</w:t>
      </w:r>
      <w:r>
        <w:t xml:space="preserve"> (Wave 2 to Wave 4)</w:t>
      </w:r>
      <w:bookmarkEnd w:id="28"/>
    </w:p>
    <w:p w14:paraId="68E13720" w14:textId="77777777" w:rsidR="0046000D" w:rsidRDefault="0046000D" w:rsidP="000D1CF7">
      <w:pPr>
        <w:pStyle w:val="RepNormal"/>
      </w:pPr>
    </w:p>
    <w:p w14:paraId="230CBAFE" w14:textId="77777777" w:rsidR="009C606F" w:rsidRDefault="009C606F" w:rsidP="009C606F">
      <w:pPr>
        <w:pStyle w:val="BodyText1"/>
        <w:ind w:left="0"/>
        <w:jc w:val="both"/>
        <w:rPr>
          <w:szCs w:val="22"/>
          <w:lang w:val="en-NZ"/>
        </w:rPr>
      </w:pPr>
      <w:r>
        <w:rPr>
          <w:szCs w:val="22"/>
          <w:lang w:val="en-NZ"/>
        </w:rPr>
        <w:t xml:space="preserve">Interviews for the </w:t>
      </w:r>
      <w:r w:rsidR="00F563BD">
        <w:rPr>
          <w:szCs w:val="22"/>
          <w:lang w:val="en-NZ"/>
        </w:rPr>
        <w:t xml:space="preserve">follow-up assessments were </w:t>
      </w:r>
      <w:r>
        <w:rPr>
          <w:szCs w:val="22"/>
          <w:lang w:val="en-NZ"/>
        </w:rPr>
        <w:t xml:space="preserve">conducted </w:t>
      </w:r>
      <w:r w:rsidR="00043B40">
        <w:rPr>
          <w:szCs w:val="22"/>
          <w:lang w:val="en-NZ"/>
        </w:rPr>
        <w:t>1</w:t>
      </w:r>
      <w:r w:rsidR="00F563BD">
        <w:rPr>
          <w:szCs w:val="22"/>
          <w:lang w:val="en-NZ"/>
        </w:rPr>
        <w:t xml:space="preserve">, </w:t>
      </w:r>
      <w:r w:rsidR="00043B40">
        <w:rPr>
          <w:szCs w:val="22"/>
          <w:lang w:val="en-NZ"/>
        </w:rPr>
        <w:t>2 </w:t>
      </w:r>
      <w:r>
        <w:rPr>
          <w:szCs w:val="22"/>
          <w:lang w:val="en-NZ"/>
        </w:rPr>
        <w:t xml:space="preserve">and </w:t>
      </w:r>
      <w:r w:rsidR="00F563BD">
        <w:rPr>
          <w:szCs w:val="22"/>
          <w:lang w:val="en-NZ"/>
        </w:rPr>
        <w:t>3 years</w:t>
      </w:r>
      <w:r w:rsidRPr="002E2A32">
        <w:rPr>
          <w:szCs w:val="22"/>
          <w:lang w:val="en-NZ"/>
        </w:rPr>
        <w:t xml:space="preserve"> after the original interview date, or as near to this as </w:t>
      </w:r>
      <w:r w:rsidR="00F563BD">
        <w:rPr>
          <w:szCs w:val="22"/>
          <w:lang w:val="en-NZ"/>
        </w:rPr>
        <w:t xml:space="preserve">was </w:t>
      </w:r>
      <w:r w:rsidRPr="002E2A32">
        <w:rPr>
          <w:szCs w:val="22"/>
          <w:lang w:val="en-NZ"/>
        </w:rPr>
        <w:t>possible.</w:t>
      </w:r>
      <w:r>
        <w:rPr>
          <w:szCs w:val="22"/>
          <w:lang w:val="en-NZ"/>
        </w:rPr>
        <w:t xml:space="preserve">  Contact and interviewing </w:t>
      </w:r>
      <w:r w:rsidR="00F563BD">
        <w:rPr>
          <w:szCs w:val="22"/>
          <w:lang w:val="en-NZ"/>
        </w:rPr>
        <w:t xml:space="preserve">of </w:t>
      </w:r>
      <w:r>
        <w:rPr>
          <w:szCs w:val="22"/>
          <w:lang w:val="en-NZ"/>
        </w:rPr>
        <w:t xml:space="preserve">participants followed the process described for Wave 1 with the following differences: </w:t>
      </w:r>
    </w:p>
    <w:p w14:paraId="3A6E591F" w14:textId="77777777" w:rsidR="009C606F" w:rsidRPr="007C6817" w:rsidRDefault="009C606F" w:rsidP="00DD2ADA">
      <w:pPr>
        <w:pStyle w:val="BodyText1"/>
        <w:numPr>
          <w:ilvl w:val="0"/>
          <w:numId w:val="27"/>
        </w:numPr>
        <w:jc w:val="both"/>
        <w:rPr>
          <w:szCs w:val="22"/>
          <w:lang w:val="en-NZ"/>
        </w:rPr>
      </w:pPr>
      <w:r w:rsidRPr="007C6817">
        <w:rPr>
          <w:szCs w:val="22"/>
          <w:lang w:val="en-NZ"/>
        </w:rPr>
        <w:t xml:space="preserve">Interviewers re-contacted participants face-to-face (i.e. door-to-door), at the residential address of the participant that was recorded at the </w:t>
      </w:r>
      <w:r>
        <w:rPr>
          <w:szCs w:val="22"/>
          <w:lang w:val="en-NZ"/>
        </w:rPr>
        <w:t>previous</w:t>
      </w:r>
      <w:r w:rsidRPr="007C6817">
        <w:rPr>
          <w:szCs w:val="22"/>
          <w:lang w:val="en-NZ"/>
        </w:rPr>
        <w:t xml:space="preserve"> assessment</w:t>
      </w:r>
      <w:r w:rsidR="00F563BD">
        <w:rPr>
          <w:szCs w:val="22"/>
          <w:lang w:val="en-NZ"/>
        </w:rPr>
        <w:t>, except</w:t>
      </w:r>
      <w:r w:rsidRPr="007C6817">
        <w:rPr>
          <w:szCs w:val="22"/>
          <w:lang w:val="en-NZ"/>
        </w:rPr>
        <w:t xml:space="preserve"> for a small proportion of participants where significant travel was involved to</w:t>
      </w:r>
      <w:r w:rsidR="00F563BD">
        <w:rPr>
          <w:szCs w:val="22"/>
          <w:lang w:val="en-NZ"/>
        </w:rPr>
        <w:t xml:space="preserve"> reach</w:t>
      </w:r>
      <w:r w:rsidRPr="007C6817">
        <w:rPr>
          <w:szCs w:val="22"/>
          <w:lang w:val="en-NZ"/>
        </w:rPr>
        <w:t xml:space="preserve"> the participant's address (u</w:t>
      </w:r>
      <w:r>
        <w:rPr>
          <w:szCs w:val="22"/>
          <w:lang w:val="en-NZ"/>
        </w:rPr>
        <w:t>sually a rural address).  In tho</w:t>
      </w:r>
      <w:r w:rsidRPr="007C6817">
        <w:rPr>
          <w:szCs w:val="22"/>
          <w:lang w:val="en-NZ"/>
        </w:rPr>
        <w:t xml:space="preserve">se cases, interviewers first </w:t>
      </w:r>
      <w:r w:rsidR="00F563BD">
        <w:rPr>
          <w:szCs w:val="22"/>
          <w:lang w:val="en-NZ"/>
        </w:rPr>
        <w:t xml:space="preserve">attempted to </w:t>
      </w:r>
      <w:r>
        <w:rPr>
          <w:szCs w:val="22"/>
          <w:lang w:val="en-NZ"/>
        </w:rPr>
        <w:t>tele</w:t>
      </w:r>
      <w:r w:rsidRPr="007C6817">
        <w:rPr>
          <w:szCs w:val="22"/>
          <w:lang w:val="en-NZ"/>
        </w:rPr>
        <w:t xml:space="preserve">phone the participant to arrange an interview appointment. </w:t>
      </w:r>
    </w:p>
    <w:p w14:paraId="365DD29A" w14:textId="77777777" w:rsidR="009C606F" w:rsidRPr="007C6817" w:rsidRDefault="00F563BD" w:rsidP="00DD2ADA">
      <w:pPr>
        <w:pStyle w:val="BodyText1"/>
        <w:numPr>
          <w:ilvl w:val="0"/>
          <w:numId w:val="27"/>
        </w:numPr>
        <w:jc w:val="both"/>
        <w:rPr>
          <w:szCs w:val="22"/>
          <w:lang w:val="en-NZ"/>
        </w:rPr>
      </w:pPr>
      <w:r>
        <w:rPr>
          <w:szCs w:val="22"/>
          <w:lang w:val="en-NZ"/>
        </w:rPr>
        <w:t>Where</w:t>
      </w:r>
      <w:r w:rsidR="009C606F" w:rsidRPr="007C6817">
        <w:rPr>
          <w:szCs w:val="22"/>
          <w:lang w:val="en-NZ"/>
        </w:rPr>
        <w:t xml:space="preserve"> participants </w:t>
      </w:r>
      <w:r w:rsidR="009C606F">
        <w:rPr>
          <w:szCs w:val="22"/>
          <w:lang w:val="en-NZ"/>
        </w:rPr>
        <w:t>had changed address</w:t>
      </w:r>
      <w:r w:rsidR="009C606F" w:rsidRPr="007C6817">
        <w:rPr>
          <w:szCs w:val="22"/>
          <w:lang w:val="en-NZ"/>
        </w:rPr>
        <w:t>, interviewers recorded that the participant had moved.  Where possible, interviewers established whether the responde</w:t>
      </w:r>
      <w:r w:rsidR="009C606F">
        <w:rPr>
          <w:szCs w:val="22"/>
          <w:lang w:val="en-NZ"/>
        </w:rPr>
        <w:t>nt had moved within New Zealand</w:t>
      </w:r>
      <w:r w:rsidR="009C606F" w:rsidRPr="007C6817">
        <w:rPr>
          <w:szCs w:val="22"/>
          <w:lang w:val="en-NZ"/>
        </w:rPr>
        <w:t xml:space="preserve"> or overseas, and their new address in New Zealand.  </w:t>
      </w:r>
    </w:p>
    <w:p w14:paraId="48653DB4" w14:textId="77777777" w:rsidR="00F563BD" w:rsidRDefault="008F5212" w:rsidP="00DD2ADA">
      <w:pPr>
        <w:pStyle w:val="BodyText1"/>
        <w:numPr>
          <w:ilvl w:val="0"/>
          <w:numId w:val="27"/>
        </w:numPr>
        <w:jc w:val="both"/>
        <w:rPr>
          <w:szCs w:val="22"/>
          <w:lang w:val="en-NZ"/>
        </w:rPr>
      </w:pPr>
      <w:r>
        <w:rPr>
          <w:szCs w:val="22"/>
          <w:lang w:val="en-NZ"/>
        </w:rPr>
        <w:t>W</w:t>
      </w:r>
      <w:r w:rsidR="009C606F" w:rsidRPr="007C6817">
        <w:rPr>
          <w:szCs w:val="22"/>
          <w:lang w:val="en-NZ"/>
        </w:rPr>
        <w:t>he</w:t>
      </w:r>
      <w:r w:rsidR="009C606F">
        <w:rPr>
          <w:szCs w:val="22"/>
          <w:lang w:val="en-NZ"/>
        </w:rPr>
        <w:t>n</w:t>
      </w:r>
      <w:r w:rsidR="009C606F" w:rsidRPr="007C6817">
        <w:rPr>
          <w:szCs w:val="22"/>
          <w:lang w:val="en-NZ"/>
        </w:rPr>
        <w:t xml:space="preserve"> an interviewer was given a new address for a participant within their interviewing area (</w:t>
      </w:r>
      <w:r>
        <w:rPr>
          <w:szCs w:val="22"/>
          <w:lang w:val="en-NZ"/>
        </w:rPr>
        <w:t xml:space="preserve">e.g. </w:t>
      </w:r>
      <w:r w:rsidR="009C606F" w:rsidRPr="007C6817">
        <w:rPr>
          <w:szCs w:val="22"/>
          <w:lang w:val="en-NZ"/>
        </w:rPr>
        <w:t>whe</w:t>
      </w:r>
      <w:r w:rsidR="009C606F">
        <w:rPr>
          <w:szCs w:val="22"/>
          <w:lang w:val="en-NZ"/>
        </w:rPr>
        <w:t>n</w:t>
      </w:r>
      <w:r w:rsidR="009C606F" w:rsidRPr="007C6817">
        <w:rPr>
          <w:szCs w:val="22"/>
          <w:lang w:val="en-NZ"/>
        </w:rPr>
        <w:t xml:space="preserve"> </w:t>
      </w:r>
      <w:r w:rsidR="009C606F">
        <w:rPr>
          <w:szCs w:val="22"/>
          <w:lang w:val="en-NZ"/>
        </w:rPr>
        <w:t>a</w:t>
      </w:r>
      <w:r w:rsidR="009C606F" w:rsidRPr="007C6817">
        <w:rPr>
          <w:szCs w:val="22"/>
          <w:lang w:val="en-NZ"/>
        </w:rPr>
        <w:t xml:space="preserve"> participant had moved within a city or town), the interviewer then contacted the pa</w:t>
      </w:r>
      <w:r w:rsidR="009C606F">
        <w:rPr>
          <w:szCs w:val="22"/>
          <w:lang w:val="en-NZ"/>
        </w:rPr>
        <w:t>rticipant at their new address.</w:t>
      </w:r>
      <w:r w:rsidR="00F563BD" w:rsidRPr="00F563BD">
        <w:rPr>
          <w:szCs w:val="22"/>
          <w:lang w:val="en-NZ"/>
        </w:rPr>
        <w:t xml:space="preserve"> </w:t>
      </w:r>
    </w:p>
    <w:p w14:paraId="6EFD0179" w14:textId="77777777" w:rsidR="008F5212" w:rsidRPr="007C6817" w:rsidRDefault="008F5212" w:rsidP="00DD2ADA">
      <w:pPr>
        <w:pStyle w:val="BodyText1"/>
        <w:numPr>
          <w:ilvl w:val="0"/>
          <w:numId w:val="27"/>
        </w:numPr>
        <w:jc w:val="both"/>
        <w:rPr>
          <w:szCs w:val="22"/>
          <w:lang w:val="en-NZ"/>
        </w:rPr>
      </w:pPr>
      <w:r>
        <w:rPr>
          <w:szCs w:val="22"/>
          <w:lang w:val="en-NZ"/>
        </w:rPr>
        <w:t>I</w:t>
      </w:r>
      <w:r w:rsidRPr="007C6817">
        <w:rPr>
          <w:szCs w:val="22"/>
          <w:lang w:val="en-NZ"/>
        </w:rPr>
        <w:t xml:space="preserve">nterviewers made up to </w:t>
      </w:r>
      <w:r>
        <w:rPr>
          <w:szCs w:val="22"/>
          <w:lang w:val="en-NZ"/>
        </w:rPr>
        <w:t>five</w:t>
      </w:r>
      <w:r w:rsidRPr="007C6817">
        <w:rPr>
          <w:szCs w:val="22"/>
          <w:lang w:val="en-NZ"/>
        </w:rPr>
        <w:t xml:space="preserve"> calls in total (i.e. four call-backs) door-to-door.  </w:t>
      </w:r>
    </w:p>
    <w:p w14:paraId="7B2E6C0D" w14:textId="77777777" w:rsidR="00F563BD" w:rsidRPr="007C6817" w:rsidRDefault="00F563BD" w:rsidP="00DD2ADA">
      <w:pPr>
        <w:pStyle w:val="BodyText1"/>
        <w:numPr>
          <w:ilvl w:val="0"/>
          <w:numId w:val="27"/>
        </w:numPr>
        <w:jc w:val="both"/>
        <w:rPr>
          <w:szCs w:val="22"/>
          <w:lang w:val="en-NZ"/>
        </w:rPr>
      </w:pPr>
      <w:r>
        <w:rPr>
          <w:szCs w:val="22"/>
          <w:lang w:val="en-NZ"/>
        </w:rPr>
        <w:t xml:space="preserve">A small </w:t>
      </w:r>
      <w:r w:rsidRPr="00043B40">
        <w:rPr>
          <w:szCs w:val="22"/>
          <w:lang w:val="en-NZ"/>
        </w:rPr>
        <w:t>koha</w:t>
      </w:r>
      <w:r w:rsidR="00DC689E">
        <w:rPr>
          <w:szCs w:val="22"/>
          <w:lang w:val="en-NZ"/>
        </w:rPr>
        <w:t>/recompense</w:t>
      </w:r>
      <w:r w:rsidRPr="00DA16E1">
        <w:rPr>
          <w:szCs w:val="22"/>
          <w:lang w:val="en-NZ"/>
        </w:rPr>
        <w:t xml:space="preserve"> was </w:t>
      </w:r>
      <w:r>
        <w:rPr>
          <w:szCs w:val="22"/>
          <w:lang w:val="en-NZ"/>
        </w:rPr>
        <w:t>given to participants on completion of the follow-up assessments</w:t>
      </w:r>
      <w:r w:rsidRPr="00DA16E1">
        <w:rPr>
          <w:szCs w:val="22"/>
          <w:lang w:val="en-NZ"/>
        </w:rPr>
        <w:t xml:space="preserve"> </w:t>
      </w:r>
      <w:r>
        <w:rPr>
          <w:szCs w:val="22"/>
          <w:lang w:val="en-NZ"/>
        </w:rPr>
        <w:t>(</w:t>
      </w:r>
      <w:r w:rsidRPr="00043B40">
        <w:rPr>
          <w:szCs w:val="22"/>
          <w:lang w:val="en-NZ"/>
        </w:rPr>
        <w:t xml:space="preserve">$20 </w:t>
      </w:r>
      <w:r>
        <w:rPr>
          <w:szCs w:val="22"/>
          <w:lang w:val="en-NZ"/>
        </w:rPr>
        <w:t>in Wave 2, $40 in Wave 3 and Wave 4)</w:t>
      </w:r>
      <w:r w:rsidRPr="00DA16E1">
        <w:rPr>
          <w:szCs w:val="22"/>
          <w:lang w:val="en-NZ"/>
        </w:rPr>
        <w:t>.</w:t>
      </w:r>
    </w:p>
    <w:p w14:paraId="3EF41A8B" w14:textId="77777777" w:rsidR="009C606F" w:rsidRDefault="009C606F" w:rsidP="00F563BD">
      <w:pPr>
        <w:pStyle w:val="BodyText1"/>
        <w:ind w:left="360"/>
        <w:jc w:val="both"/>
        <w:rPr>
          <w:szCs w:val="22"/>
          <w:lang w:val="en-NZ"/>
        </w:rPr>
      </w:pPr>
    </w:p>
    <w:p w14:paraId="35AB2F06" w14:textId="77777777" w:rsidR="0046000D" w:rsidRDefault="009C606F" w:rsidP="00497EE0">
      <w:pPr>
        <w:pStyle w:val="RepHead2"/>
      </w:pPr>
      <w:bookmarkStart w:id="29" w:name="_Toc504488338"/>
      <w:r>
        <w:t>Survey population</w:t>
      </w:r>
      <w:bookmarkEnd w:id="29"/>
    </w:p>
    <w:p w14:paraId="0337BB92" w14:textId="77777777" w:rsidR="0046000D" w:rsidRDefault="0046000D" w:rsidP="00497EE0">
      <w:pPr>
        <w:pStyle w:val="RepNormal"/>
        <w:keepNext/>
      </w:pPr>
    </w:p>
    <w:p w14:paraId="0C2380F9" w14:textId="77777777" w:rsidR="0046000D" w:rsidRDefault="009C606F" w:rsidP="00497EE0">
      <w:pPr>
        <w:pStyle w:val="RepHead3"/>
      </w:pPr>
      <w:bookmarkStart w:id="30" w:name="_Toc504488339"/>
      <w:r>
        <w:t>Sample size</w:t>
      </w:r>
      <w:bookmarkEnd w:id="30"/>
    </w:p>
    <w:p w14:paraId="49177506" w14:textId="77777777" w:rsidR="0046000D" w:rsidRDefault="0046000D" w:rsidP="000D1CF7">
      <w:pPr>
        <w:pStyle w:val="RepNormal"/>
      </w:pPr>
    </w:p>
    <w:p w14:paraId="23F14A3A" w14:textId="77777777" w:rsidR="009C606F" w:rsidRPr="00473010" w:rsidRDefault="00473010" w:rsidP="00473010">
      <w:pPr>
        <w:jc w:val="both"/>
        <w:rPr>
          <w:szCs w:val="22"/>
        </w:rPr>
      </w:pPr>
      <w:r>
        <w:rPr>
          <w:szCs w:val="22"/>
        </w:rPr>
        <w:t>F</w:t>
      </w:r>
      <w:r w:rsidRPr="00794E8C">
        <w:rPr>
          <w:szCs w:val="22"/>
        </w:rPr>
        <w:t xml:space="preserve">rom March to October </w:t>
      </w:r>
      <w:r>
        <w:rPr>
          <w:szCs w:val="22"/>
        </w:rPr>
        <w:t xml:space="preserve">2012 (Wave 1), a national sample of </w:t>
      </w:r>
      <w:r w:rsidRPr="00794E8C">
        <w:rPr>
          <w:szCs w:val="22"/>
        </w:rPr>
        <w:t xml:space="preserve">6,251 randomly selected </w:t>
      </w:r>
      <w:r>
        <w:rPr>
          <w:szCs w:val="22"/>
        </w:rPr>
        <w:t xml:space="preserve">adults who were </w:t>
      </w:r>
      <w:r w:rsidRPr="00794E8C">
        <w:rPr>
          <w:szCs w:val="22"/>
        </w:rPr>
        <w:t xml:space="preserve">living in private households was interviewed face-to-face.  The response rate was 64% and the sample was weighted to </w:t>
      </w:r>
      <w:r>
        <w:rPr>
          <w:szCs w:val="22"/>
        </w:rPr>
        <w:t>allow</w:t>
      </w:r>
      <w:r w:rsidRPr="00794E8C">
        <w:rPr>
          <w:szCs w:val="22"/>
        </w:rPr>
        <w:t xml:space="preserve"> generalisation of the findings to the </w:t>
      </w:r>
      <w:r>
        <w:rPr>
          <w:szCs w:val="22"/>
        </w:rPr>
        <w:t>New Zealand</w:t>
      </w:r>
      <w:r w:rsidRPr="00794E8C">
        <w:rPr>
          <w:szCs w:val="22"/>
        </w:rPr>
        <w:t xml:space="preserve"> adult population.  From March to November 2013 </w:t>
      </w:r>
      <w:r>
        <w:rPr>
          <w:szCs w:val="22"/>
        </w:rPr>
        <w:t xml:space="preserve">(Wave 2), 3,745 </w:t>
      </w:r>
      <w:r w:rsidRPr="00794E8C">
        <w:rPr>
          <w:szCs w:val="22"/>
        </w:rPr>
        <w:t>participants were re-contacted and re-interviewed.  Attempts were only made to re-contact 5,266 of the original 6,251 participants</w:t>
      </w:r>
      <w:r w:rsidRPr="000E1FB4">
        <w:rPr>
          <w:szCs w:val="22"/>
        </w:rPr>
        <w:t xml:space="preserve"> </w:t>
      </w:r>
      <w:r>
        <w:rPr>
          <w:szCs w:val="22"/>
        </w:rPr>
        <w:t>d</w:t>
      </w:r>
      <w:r w:rsidRPr="00794E8C">
        <w:rPr>
          <w:szCs w:val="22"/>
        </w:rPr>
        <w:t>ue to budgetary constraints</w:t>
      </w:r>
      <w:r>
        <w:rPr>
          <w:szCs w:val="22"/>
        </w:rPr>
        <w:t xml:space="preserve">; </w:t>
      </w:r>
      <w:r w:rsidRPr="00794E8C">
        <w:rPr>
          <w:szCs w:val="22"/>
        </w:rPr>
        <w:t>a 71% response rate was achieved.</w:t>
      </w:r>
      <w:r>
        <w:rPr>
          <w:szCs w:val="22"/>
        </w:rPr>
        <w:t xml:space="preserve">  From March to December 2014 (Wave 3), 3,115 participants were re-interviewed (83% response rate</w:t>
      </w:r>
      <w:r w:rsidRPr="000E1FB4">
        <w:rPr>
          <w:szCs w:val="22"/>
        </w:rPr>
        <w:t xml:space="preserve">).  From March to November 2015 </w:t>
      </w:r>
      <w:r>
        <w:rPr>
          <w:szCs w:val="22"/>
        </w:rPr>
        <w:t>(</w:t>
      </w:r>
      <w:r w:rsidRPr="000E1FB4">
        <w:rPr>
          <w:szCs w:val="22"/>
        </w:rPr>
        <w:t>Wave 4</w:t>
      </w:r>
      <w:r>
        <w:rPr>
          <w:szCs w:val="22"/>
        </w:rPr>
        <w:t>),</w:t>
      </w:r>
      <w:r w:rsidRPr="000E1FB4">
        <w:rPr>
          <w:szCs w:val="22"/>
        </w:rPr>
        <w:t xml:space="preserve"> 2,770 participants </w:t>
      </w:r>
      <w:r>
        <w:rPr>
          <w:szCs w:val="22"/>
        </w:rPr>
        <w:t>were re-interviewed, which was a response rate of 89%</w:t>
      </w:r>
      <w:r w:rsidR="00CA370A">
        <w:t xml:space="preserve"> </w:t>
      </w:r>
      <w:r w:rsidR="00CA370A" w:rsidRPr="006438AE">
        <w:t>(</w:t>
      </w:r>
      <w:r w:rsidR="00CA370A">
        <w:fldChar w:fldCharType="begin"/>
      </w:r>
      <w:r w:rsidR="00CA370A">
        <w:instrText xml:space="preserve"> REF _Ref408404141 \h </w:instrText>
      </w:r>
      <w:r w:rsidR="00CA370A">
        <w:fldChar w:fldCharType="separate"/>
      </w:r>
      <w:r w:rsidR="00D5752E" w:rsidRPr="00E471E8">
        <w:t xml:space="preserve">Figure </w:t>
      </w:r>
      <w:r w:rsidR="00D5752E">
        <w:rPr>
          <w:noProof/>
        </w:rPr>
        <w:t>3</w:t>
      </w:r>
      <w:r w:rsidR="00CA370A">
        <w:fldChar w:fldCharType="end"/>
      </w:r>
      <w:r w:rsidR="00CA370A" w:rsidRPr="006438AE">
        <w:t xml:space="preserve">).  </w:t>
      </w:r>
    </w:p>
    <w:p w14:paraId="7AB96291" w14:textId="77777777" w:rsidR="009C606F" w:rsidRDefault="009C606F" w:rsidP="009C606F">
      <w:pPr>
        <w:jc w:val="both"/>
        <w:rPr>
          <w:szCs w:val="22"/>
        </w:rPr>
      </w:pPr>
    </w:p>
    <w:p w14:paraId="35074A2A" w14:textId="77777777" w:rsidR="009C606F" w:rsidRPr="00E471E8" w:rsidRDefault="009C606F" w:rsidP="00C00791">
      <w:pPr>
        <w:pStyle w:val="Caption"/>
        <w:keepNext/>
        <w:rPr>
          <w:sz w:val="22"/>
        </w:rPr>
      </w:pPr>
      <w:bookmarkStart w:id="31" w:name="_Ref408404141"/>
      <w:bookmarkStart w:id="32" w:name="_Toc408404208"/>
      <w:bookmarkStart w:id="33" w:name="_Toc504486432"/>
      <w:r w:rsidRPr="00E471E8">
        <w:rPr>
          <w:sz w:val="22"/>
        </w:rPr>
        <w:t xml:space="preserve">Figure </w:t>
      </w:r>
      <w:r w:rsidRPr="00E471E8">
        <w:rPr>
          <w:sz w:val="22"/>
        </w:rPr>
        <w:fldChar w:fldCharType="begin"/>
      </w:r>
      <w:r w:rsidRPr="00E471E8">
        <w:rPr>
          <w:sz w:val="22"/>
        </w:rPr>
        <w:instrText xml:space="preserve"> SEQ Figure \* ARABIC </w:instrText>
      </w:r>
      <w:r w:rsidRPr="00E471E8">
        <w:rPr>
          <w:sz w:val="22"/>
        </w:rPr>
        <w:fldChar w:fldCharType="separate"/>
      </w:r>
      <w:r w:rsidR="00D5752E">
        <w:rPr>
          <w:noProof/>
          <w:sz w:val="22"/>
        </w:rPr>
        <w:t>3</w:t>
      </w:r>
      <w:r w:rsidRPr="00E471E8">
        <w:rPr>
          <w:noProof/>
          <w:sz w:val="22"/>
        </w:rPr>
        <w:fldChar w:fldCharType="end"/>
      </w:r>
      <w:bookmarkEnd w:id="31"/>
      <w:r w:rsidRPr="00E471E8">
        <w:rPr>
          <w:sz w:val="22"/>
        </w:rPr>
        <w:t xml:space="preserve">: Number of participants interviewed </w:t>
      </w:r>
      <w:bookmarkEnd w:id="32"/>
      <w:r w:rsidR="00473010">
        <w:rPr>
          <w:sz w:val="22"/>
        </w:rPr>
        <w:t>over time</w:t>
      </w:r>
      <w:bookmarkEnd w:id="33"/>
    </w:p>
    <w:p w14:paraId="73B4FFE7" w14:textId="77777777" w:rsidR="00043B40" w:rsidRPr="00043B40" w:rsidRDefault="00043B40" w:rsidP="00C00791">
      <w:pPr>
        <w:keepNext/>
      </w:pPr>
    </w:p>
    <w:p w14:paraId="01CA282C" w14:textId="77777777" w:rsidR="009C606F" w:rsidRDefault="00043B40" w:rsidP="00C00791">
      <w:pPr>
        <w:keepNext/>
        <w:jc w:val="both"/>
        <w:rPr>
          <w:szCs w:val="22"/>
        </w:rPr>
      </w:pPr>
      <w:r>
        <w:rPr>
          <w:noProof/>
          <w:lang w:eastAsia="en-NZ"/>
        </w:rPr>
        <w:drawing>
          <wp:inline distT="0" distB="0" distL="0" distR="0" wp14:anchorId="5B590C18" wp14:editId="0231D00F">
            <wp:extent cx="5274310" cy="4198289"/>
            <wp:effectExtent l="0" t="0" r="5969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9C606F">
        <w:rPr>
          <w:szCs w:val="22"/>
        </w:rPr>
        <w:t xml:space="preserve"> </w:t>
      </w:r>
    </w:p>
    <w:p w14:paraId="4373DF26" w14:textId="77777777" w:rsidR="0046000D" w:rsidRDefault="0046000D" w:rsidP="000D1CF7">
      <w:pPr>
        <w:pStyle w:val="RepNormal"/>
      </w:pPr>
    </w:p>
    <w:p w14:paraId="4F44935E" w14:textId="77777777" w:rsidR="00D84C5D" w:rsidRPr="00154CA5" w:rsidRDefault="00D84C5D" w:rsidP="000D1CF7">
      <w:pPr>
        <w:pStyle w:val="RepNormal"/>
      </w:pPr>
    </w:p>
    <w:p w14:paraId="14D65079" w14:textId="77777777" w:rsidR="00D84C5D" w:rsidRDefault="00D84C5D">
      <w:pPr>
        <w:spacing w:after="200" w:line="276" w:lineRule="auto"/>
        <w:rPr>
          <w:rFonts w:eastAsiaTheme="majorEastAsia" w:cstheme="majorBidi"/>
          <w:b/>
          <w:bCs/>
          <w:i/>
          <w:szCs w:val="18"/>
          <w:vertAlign w:val="superscript"/>
          <w:lang w:eastAsia="en-US"/>
        </w:rPr>
      </w:pPr>
      <w:r>
        <w:rPr>
          <w:szCs w:val="18"/>
          <w:vertAlign w:val="superscript"/>
        </w:rPr>
        <w:br w:type="page"/>
      </w:r>
    </w:p>
    <w:p w14:paraId="7CD9E4D4" w14:textId="77777777" w:rsidR="0046000D" w:rsidRPr="008C5925" w:rsidRDefault="00C00791" w:rsidP="000D1CF7">
      <w:pPr>
        <w:pStyle w:val="RepHead3"/>
      </w:pPr>
      <w:bookmarkStart w:id="34" w:name="_Toc504488340"/>
      <w:r>
        <w:t>Sample c</w:t>
      </w:r>
      <w:r w:rsidR="007B3F43">
        <w:t xml:space="preserve">omposition </w:t>
      </w:r>
      <w:r w:rsidR="00CB0B65">
        <w:t>by</w:t>
      </w:r>
      <w:r w:rsidR="007B3F43">
        <w:t xml:space="preserve"> gender and age groups</w:t>
      </w:r>
      <w:bookmarkEnd w:id="34"/>
    </w:p>
    <w:p w14:paraId="4E2CA608" w14:textId="77777777" w:rsidR="0046000D" w:rsidRDefault="0046000D" w:rsidP="000D1CF7">
      <w:pPr>
        <w:pStyle w:val="RepNormal"/>
      </w:pPr>
    </w:p>
    <w:p w14:paraId="21EA550E" w14:textId="77777777" w:rsidR="00FA09CB" w:rsidRDefault="00790902" w:rsidP="00FA09CB">
      <w:pPr>
        <w:pStyle w:val="StyleNormalWeb11ptJustifiedBeforeAutoAfterAuto"/>
      </w:pPr>
      <w:r>
        <w:t>Across all four waves</w:t>
      </w:r>
      <w:r w:rsidR="00473010">
        <w:t>, slightly more than</w:t>
      </w:r>
      <w:r w:rsidR="00FA09CB" w:rsidRPr="002C75DE">
        <w:t xml:space="preserve"> half (</w:t>
      </w:r>
      <w:r w:rsidR="00F95160">
        <w:t xml:space="preserve">about </w:t>
      </w:r>
      <w:r w:rsidR="00FA09CB" w:rsidRPr="002C75DE">
        <w:t>5</w:t>
      </w:r>
      <w:r w:rsidR="002C75DE">
        <w:t>8</w:t>
      </w:r>
      <w:r w:rsidR="00FA09CB" w:rsidRPr="002C75DE">
        <w:t xml:space="preserve">%) of the participants </w:t>
      </w:r>
      <w:r w:rsidR="002C75DE">
        <w:t>were female</w:t>
      </w:r>
      <w:r w:rsidR="002C75DE" w:rsidRPr="00766766">
        <w:t xml:space="preserve">.  </w:t>
      </w:r>
      <w:r w:rsidR="00473010" w:rsidRPr="00766766">
        <w:t xml:space="preserve">In Wave 1, </w:t>
      </w:r>
      <w:r w:rsidR="00766766">
        <w:t xml:space="preserve">slightly more than one-third (36%) of the participants were aged 18 to 39 years, a similar proportion (38%) were aged 40 to 59 years, and about one-quarter </w:t>
      </w:r>
      <w:r w:rsidR="00C00791">
        <w:t>(27%) were aged 60 </w:t>
      </w:r>
      <w:r w:rsidR="00766766">
        <w:t>years or older.</w:t>
      </w:r>
      <w:r w:rsidR="00473010" w:rsidRPr="00766766">
        <w:t xml:space="preserve">  </w:t>
      </w:r>
      <w:r w:rsidR="00D84C5D">
        <w:t>By</w:t>
      </w:r>
      <w:r w:rsidR="002C75DE">
        <w:t xml:space="preserve"> Wave </w:t>
      </w:r>
      <w:r w:rsidR="00D84C5D">
        <w:t>4</w:t>
      </w:r>
      <w:r w:rsidR="002C75DE">
        <w:t xml:space="preserve">, </w:t>
      </w:r>
      <w:r w:rsidR="00766766">
        <w:t xml:space="preserve">the proportion of participants comprising the youngest group (18 to 39 years) </w:t>
      </w:r>
      <w:r w:rsidR="00D84C5D">
        <w:t xml:space="preserve">had </w:t>
      </w:r>
      <w:r w:rsidR="00766766">
        <w:t>decreased to less than one-third (29%) due to</w:t>
      </w:r>
      <w:r w:rsidR="00CE2931">
        <w:t xml:space="preserve"> attrition</w:t>
      </w:r>
      <w:r w:rsidR="00766766">
        <w:t xml:space="preserve">.  </w:t>
      </w:r>
      <w:r w:rsidR="00C00791">
        <w:t xml:space="preserve">Consequently, this lead to an increase in the proportion of the older participants </w:t>
      </w:r>
      <w:r w:rsidR="007B740D">
        <w:t>by</w:t>
      </w:r>
      <w:r w:rsidR="00C00791">
        <w:t xml:space="preserve"> Wave </w:t>
      </w:r>
      <w:r w:rsidR="007B740D">
        <w:t>4</w:t>
      </w:r>
      <w:r w:rsidR="00C00791">
        <w:t xml:space="preserve">, with </w:t>
      </w:r>
      <w:r w:rsidR="007B740D">
        <w:t>almost half</w:t>
      </w:r>
      <w:r w:rsidR="002C75DE">
        <w:t xml:space="preserve"> (</w:t>
      </w:r>
      <w:r w:rsidR="007B740D">
        <w:t>49</w:t>
      </w:r>
      <w:r w:rsidR="00FA09CB" w:rsidRPr="002C75DE">
        <w:t xml:space="preserve">%) </w:t>
      </w:r>
      <w:r w:rsidR="002C75DE">
        <w:t xml:space="preserve">of the participants </w:t>
      </w:r>
      <w:r w:rsidR="00FA09CB" w:rsidRPr="002C75DE">
        <w:t>aged 40 to 59 years</w:t>
      </w:r>
      <w:r w:rsidR="002C75DE">
        <w:t xml:space="preserve">, </w:t>
      </w:r>
      <w:r w:rsidR="00C00791">
        <w:t xml:space="preserve">and </w:t>
      </w:r>
      <w:r w:rsidR="007B740D">
        <w:t>22</w:t>
      </w:r>
      <w:r w:rsidR="002C75DE">
        <w:t>%</w:t>
      </w:r>
      <w:r w:rsidR="00C00791">
        <w:t xml:space="preserve"> </w:t>
      </w:r>
      <w:r w:rsidR="002C75DE">
        <w:t xml:space="preserve">aged 60 years or older </w:t>
      </w:r>
      <w:r w:rsidR="00FA09CB" w:rsidRPr="002C75DE">
        <w:t>(</w:t>
      </w:r>
      <w:r w:rsidR="00FA09CB" w:rsidRPr="002C75DE">
        <w:fldChar w:fldCharType="begin"/>
      </w:r>
      <w:r w:rsidR="00FA09CB" w:rsidRPr="002C75DE">
        <w:instrText xml:space="preserve"> REF _Ref408404344 \h  \* MERGEFORMAT </w:instrText>
      </w:r>
      <w:r w:rsidR="00FA09CB" w:rsidRPr="002C75DE">
        <w:fldChar w:fldCharType="separate"/>
      </w:r>
      <w:r w:rsidR="00D5752E" w:rsidRPr="00C24069">
        <w:t xml:space="preserve">Table </w:t>
      </w:r>
      <w:r w:rsidR="00D5752E">
        <w:rPr>
          <w:noProof/>
        </w:rPr>
        <w:t>1</w:t>
      </w:r>
      <w:r w:rsidR="00FA09CB" w:rsidRPr="002C75DE">
        <w:fldChar w:fldCharType="end"/>
      </w:r>
      <w:r w:rsidR="00FA09CB" w:rsidRPr="002C75DE">
        <w:t>).</w:t>
      </w:r>
    </w:p>
    <w:p w14:paraId="35CDACE3" w14:textId="77777777" w:rsidR="00FA09CB" w:rsidRDefault="00FA09CB" w:rsidP="00FA09CB">
      <w:pPr>
        <w:pStyle w:val="StyleNormalWeb11ptJustifiedBeforeAutoAfterAuto"/>
      </w:pPr>
    </w:p>
    <w:p w14:paraId="2E6E6026" w14:textId="77777777" w:rsidR="00FA09CB" w:rsidRPr="00C24069" w:rsidRDefault="00FA09CB" w:rsidP="00C00791">
      <w:pPr>
        <w:pStyle w:val="Caption"/>
        <w:keepNext/>
        <w:keepLines/>
      </w:pPr>
      <w:bookmarkStart w:id="35" w:name="_Ref408404344"/>
      <w:bookmarkStart w:id="36" w:name="_Toc408407351"/>
      <w:bookmarkStart w:id="37" w:name="_Toc504488426"/>
      <w:r w:rsidRPr="00C24069">
        <w:t xml:space="preserve">Table </w:t>
      </w:r>
      <w:r w:rsidR="00D5752E">
        <w:fldChar w:fldCharType="begin"/>
      </w:r>
      <w:r w:rsidR="00D5752E">
        <w:instrText xml:space="preserve"> SEQ Table \* ARABIC </w:instrText>
      </w:r>
      <w:r w:rsidR="00D5752E">
        <w:fldChar w:fldCharType="separate"/>
      </w:r>
      <w:r w:rsidR="00D5752E">
        <w:rPr>
          <w:noProof/>
        </w:rPr>
        <w:t>1</w:t>
      </w:r>
      <w:r w:rsidR="00D5752E">
        <w:rPr>
          <w:noProof/>
        </w:rPr>
        <w:fldChar w:fldCharType="end"/>
      </w:r>
      <w:bookmarkEnd w:id="35"/>
      <w:r w:rsidRPr="00C24069">
        <w:t xml:space="preserve">: Gender and age of participants in Waves 1 to </w:t>
      </w:r>
      <w:bookmarkEnd w:id="36"/>
      <w:r w:rsidR="00AC337F">
        <w:t>4</w:t>
      </w:r>
      <w:bookmarkEnd w:id="37"/>
    </w:p>
    <w:tbl>
      <w:tblPr>
        <w:tblStyle w:val="TableGrid"/>
        <w:tblW w:w="8306" w:type="dxa"/>
        <w:tblLook w:val="04A0" w:firstRow="1" w:lastRow="0" w:firstColumn="1" w:lastColumn="0" w:noHBand="0" w:noVBand="1"/>
      </w:tblPr>
      <w:tblGrid>
        <w:gridCol w:w="1865"/>
        <w:gridCol w:w="780"/>
        <w:gridCol w:w="811"/>
        <w:gridCol w:w="796"/>
        <w:gridCol w:w="820"/>
        <w:gridCol w:w="818"/>
        <w:gridCol w:w="820"/>
        <w:gridCol w:w="796"/>
        <w:gridCol w:w="800"/>
      </w:tblGrid>
      <w:tr w:rsidR="00A70B6E" w:rsidRPr="00EB7841" w14:paraId="70D1C5E8" w14:textId="77777777" w:rsidTr="00D84C5D">
        <w:tc>
          <w:tcPr>
            <w:tcW w:w="1865" w:type="dxa"/>
            <w:tcBorders>
              <w:left w:val="nil"/>
              <w:bottom w:val="nil"/>
              <w:right w:val="nil"/>
            </w:tcBorders>
            <w:vAlign w:val="bottom"/>
          </w:tcPr>
          <w:p w14:paraId="5B6B69EB" w14:textId="77777777" w:rsidR="00A70B6E" w:rsidRPr="00EB7841" w:rsidRDefault="00A70B6E" w:rsidP="00C00791">
            <w:pPr>
              <w:keepNext/>
              <w:keepLines/>
              <w:spacing w:before="20" w:after="20"/>
              <w:rPr>
                <w:b/>
                <w:szCs w:val="18"/>
              </w:rPr>
            </w:pPr>
          </w:p>
        </w:tc>
        <w:tc>
          <w:tcPr>
            <w:tcW w:w="1591" w:type="dxa"/>
            <w:gridSpan w:val="2"/>
            <w:tcBorders>
              <w:left w:val="nil"/>
              <w:bottom w:val="single" w:sz="4" w:space="0" w:color="auto"/>
              <w:right w:val="nil"/>
            </w:tcBorders>
            <w:vAlign w:val="center"/>
          </w:tcPr>
          <w:p w14:paraId="42CB4D97" w14:textId="77777777" w:rsidR="00A70B6E" w:rsidRPr="00EB7841" w:rsidRDefault="00A70B6E" w:rsidP="00C00791">
            <w:pPr>
              <w:keepNext/>
              <w:keepLines/>
              <w:spacing w:before="20" w:after="20"/>
              <w:jc w:val="center"/>
              <w:rPr>
                <w:b/>
                <w:szCs w:val="18"/>
              </w:rPr>
            </w:pPr>
            <w:r>
              <w:rPr>
                <w:b/>
                <w:szCs w:val="18"/>
              </w:rPr>
              <w:t>Wave 1</w:t>
            </w:r>
          </w:p>
        </w:tc>
        <w:tc>
          <w:tcPr>
            <w:tcW w:w="1616" w:type="dxa"/>
            <w:gridSpan w:val="2"/>
            <w:tcBorders>
              <w:left w:val="nil"/>
              <w:bottom w:val="single" w:sz="4" w:space="0" w:color="auto"/>
              <w:right w:val="nil"/>
            </w:tcBorders>
            <w:vAlign w:val="center"/>
          </w:tcPr>
          <w:p w14:paraId="0C6C5EF1" w14:textId="77777777" w:rsidR="00A70B6E" w:rsidRPr="00EB7841" w:rsidRDefault="00A70B6E" w:rsidP="00C00791">
            <w:pPr>
              <w:keepNext/>
              <w:keepLines/>
              <w:spacing w:before="20" w:after="20"/>
              <w:jc w:val="center"/>
              <w:rPr>
                <w:b/>
                <w:szCs w:val="18"/>
              </w:rPr>
            </w:pPr>
            <w:r>
              <w:rPr>
                <w:b/>
                <w:szCs w:val="18"/>
              </w:rPr>
              <w:t>Wave 2</w:t>
            </w:r>
          </w:p>
        </w:tc>
        <w:tc>
          <w:tcPr>
            <w:tcW w:w="1638" w:type="dxa"/>
            <w:gridSpan w:val="2"/>
            <w:tcBorders>
              <w:left w:val="nil"/>
              <w:bottom w:val="single" w:sz="4" w:space="0" w:color="auto"/>
              <w:right w:val="nil"/>
            </w:tcBorders>
            <w:vAlign w:val="center"/>
          </w:tcPr>
          <w:p w14:paraId="34830929" w14:textId="77777777" w:rsidR="00A70B6E" w:rsidRPr="00EB7841" w:rsidRDefault="00A70B6E" w:rsidP="00C00791">
            <w:pPr>
              <w:keepNext/>
              <w:keepLines/>
              <w:spacing w:before="20" w:after="20"/>
              <w:jc w:val="center"/>
              <w:rPr>
                <w:b/>
                <w:szCs w:val="18"/>
              </w:rPr>
            </w:pPr>
            <w:r>
              <w:rPr>
                <w:b/>
                <w:szCs w:val="18"/>
              </w:rPr>
              <w:t>Wave 3</w:t>
            </w:r>
          </w:p>
        </w:tc>
        <w:tc>
          <w:tcPr>
            <w:tcW w:w="1596" w:type="dxa"/>
            <w:gridSpan w:val="2"/>
            <w:tcBorders>
              <w:left w:val="nil"/>
              <w:bottom w:val="single" w:sz="4" w:space="0" w:color="auto"/>
              <w:right w:val="nil"/>
            </w:tcBorders>
          </w:tcPr>
          <w:p w14:paraId="220339EC" w14:textId="77777777" w:rsidR="00A70B6E" w:rsidRDefault="00A70B6E" w:rsidP="00C00791">
            <w:pPr>
              <w:keepNext/>
              <w:keepLines/>
              <w:spacing w:before="20" w:after="20"/>
              <w:jc w:val="center"/>
              <w:rPr>
                <w:b/>
                <w:szCs w:val="18"/>
              </w:rPr>
            </w:pPr>
            <w:r>
              <w:rPr>
                <w:b/>
                <w:szCs w:val="18"/>
              </w:rPr>
              <w:t>Wave 4</w:t>
            </w:r>
          </w:p>
        </w:tc>
      </w:tr>
      <w:tr w:rsidR="00A70B6E" w:rsidRPr="00EB7841" w14:paraId="64ED3D3D" w14:textId="77777777" w:rsidTr="00D84C5D">
        <w:tc>
          <w:tcPr>
            <w:tcW w:w="1865" w:type="dxa"/>
            <w:tcBorders>
              <w:top w:val="nil"/>
              <w:left w:val="nil"/>
              <w:bottom w:val="single" w:sz="4" w:space="0" w:color="auto"/>
              <w:right w:val="nil"/>
            </w:tcBorders>
            <w:vAlign w:val="center"/>
          </w:tcPr>
          <w:p w14:paraId="3AA257CF" w14:textId="77777777" w:rsidR="00A70B6E" w:rsidRPr="00EB7841" w:rsidRDefault="00A70B6E" w:rsidP="00C00791">
            <w:pPr>
              <w:keepNext/>
              <w:keepLines/>
              <w:spacing w:before="20" w:after="20"/>
              <w:rPr>
                <w:b/>
                <w:szCs w:val="18"/>
              </w:rPr>
            </w:pPr>
            <w:r>
              <w:rPr>
                <w:b/>
                <w:szCs w:val="18"/>
              </w:rPr>
              <w:t>Gender and age</w:t>
            </w:r>
          </w:p>
        </w:tc>
        <w:tc>
          <w:tcPr>
            <w:tcW w:w="780" w:type="dxa"/>
            <w:tcBorders>
              <w:left w:val="nil"/>
              <w:bottom w:val="single" w:sz="4" w:space="0" w:color="auto"/>
              <w:right w:val="nil"/>
            </w:tcBorders>
            <w:vAlign w:val="center"/>
          </w:tcPr>
          <w:p w14:paraId="010F63DD" w14:textId="77777777" w:rsidR="00A70B6E" w:rsidRPr="00EB7841" w:rsidRDefault="00A70B6E" w:rsidP="00C00791">
            <w:pPr>
              <w:keepNext/>
              <w:keepLines/>
              <w:spacing w:before="20" w:after="20"/>
              <w:jc w:val="right"/>
              <w:rPr>
                <w:b/>
                <w:szCs w:val="18"/>
              </w:rPr>
            </w:pPr>
            <w:r>
              <w:rPr>
                <w:b/>
                <w:szCs w:val="18"/>
              </w:rPr>
              <w:t>n</w:t>
            </w:r>
          </w:p>
        </w:tc>
        <w:tc>
          <w:tcPr>
            <w:tcW w:w="811" w:type="dxa"/>
            <w:tcBorders>
              <w:left w:val="nil"/>
              <w:bottom w:val="single" w:sz="4" w:space="0" w:color="auto"/>
              <w:right w:val="nil"/>
            </w:tcBorders>
            <w:vAlign w:val="center"/>
          </w:tcPr>
          <w:p w14:paraId="4676C996" w14:textId="77777777" w:rsidR="00A70B6E" w:rsidRPr="00EB7841" w:rsidRDefault="00A70B6E" w:rsidP="00C00791">
            <w:pPr>
              <w:keepNext/>
              <w:keepLines/>
              <w:spacing w:before="20" w:after="20"/>
              <w:jc w:val="right"/>
              <w:rPr>
                <w:b/>
                <w:szCs w:val="18"/>
              </w:rPr>
            </w:pPr>
            <w:r>
              <w:rPr>
                <w:b/>
                <w:szCs w:val="18"/>
              </w:rPr>
              <w:t>(%)</w:t>
            </w:r>
          </w:p>
        </w:tc>
        <w:tc>
          <w:tcPr>
            <w:tcW w:w="796" w:type="dxa"/>
            <w:tcBorders>
              <w:left w:val="nil"/>
              <w:bottom w:val="single" w:sz="4" w:space="0" w:color="auto"/>
              <w:right w:val="nil"/>
            </w:tcBorders>
            <w:vAlign w:val="center"/>
          </w:tcPr>
          <w:p w14:paraId="56205117" w14:textId="77777777" w:rsidR="00A70B6E" w:rsidRPr="00EB7841" w:rsidRDefault="00A70B6E" w:rsidP="00C00791">
            <w:pPr>
              <w:keepNext/>
              <w:keepLines/>
              <w:spacing w:before="20" w:after="20"/>
              <w:jc w:val="right"/>
              <w:rPr>
                <w:b/>
                <w:szCs w:val="18"/>
              </w:rPr>
            </w:pPr>
            <w:r>
              <w:rPr>
                <w:b/>
                <w:szCs w:val="18"/>
              </w:rPr>
              <w:t>n</w:t>
            </w:r>
          </w:p>
        </w:tc>
        <w:tc>
          <w:tcPr>
            <w:tcW w:w="820" w:type="dxa"/>
            <w:tcBorders>
              <w:left w:val="nil"/>
              <w:bottom w:val="single" w:sz="4" w:space="0" w:color="auto"/>
              <w:right w:val="nil"/>
            </w:tcBorders>
            <w:vAlign w:val="center"/>
          </w:tcPr>
          <w:p w14:paraId="30D3BD3E" w14:textId="77777777" w:rsidR="00A70B6E" w:rsidRPr="00EB7841" w:rsidRDefault="00A70B6E" w:rsidP="00C00791">
            <w:pPr>
              <w:keepNext/>
              <w:keepLines/>
              <w:spacing w:before="20" w:after="20"/>
              <w:jc w:val="right"/>
              <w:rPr>
                <w:b/>
                <w:szCs w:val="18"/>
              </w:rPr>
            </w:pPr>
            <w:r w:rsidRPr="00EB7841">
              <w:rPr>
                <w:b/>
                <w:szCs w:val="18"/>
              </w:rPr>
              <w:t>(%)</w:t>
            </w:r>
          </w:p>
        </w:tc>
        <w:tc>
          <w:tcPr>
            <w:tcW w:w="818" w:type="dxa"/>
            <w:tcBorders>
              <w:left w:val="nil"/>
              <w:bottom w:val="single" w:sz="4" w:space="0" w:color="auto"/>
              <w:right w:val="nil"/>
            </w:tcBorders>
            <w:vAlign w:val="center"/>
          </w:tcPr>
          <w:p w14:paraId="460FBDDA" w14:textId="77777777" w:rsidR="00A70B6E" w:rsidRPr="00EB7841" w:rsidRDefault="00A70B6E" w:rsidP="00C00791">
            <w:pPr>
              <w:keepNext/>
              <w:keepLines/>
              <w:spacing w:before="20" w:after="20"/>
              <w:jc w:val="right"/>
              <w:rPr>
                <w:b/>
                <w:szCs w:val="18"/>
              </w:rPr>
            </w:pPr>
            <w:r>
              <w:rPr>
                <w:b/>
                <w:szCs w:val="18"/>
              </w:rPr>
              <w:t>n</w:t>
            </w:r>
          </w:p>
        </w:tc>
        <w:tc>
          <w:tcPr>
            <w:tcW w:w="820" w:type="dxa"/>
            <w:tcBorders>
              <w:left w:val="nil"/>
              <w:bottom w:val="single" w:sz="4" w:space="0" w:color="auto"/>
              <w:right w:val="nil"/>
            </w:tcBorders>
            <w:vAlign w:val="center"/>
          </w:tcPr>
          <w:p w14:paraId="64F3353A" w14:textId="77777777" w:rsidR="00A70B6E" w:rsidRPr="00EB7841" w:rsidRDefault="00A70B6E" w:rsidP="00C00791">
            <w:pPr>
              <w:keepNext/>
              <w:keepLines/>
              <w:spacing w:before="20" w:after="20"/>
              <w:jc w:val="right"/>
              <w:rPr>
                <w:b/>
                <w:szCs w:val="18"/>
              </w:rPr>
            </w:pPr>
            <w:r>
              <w:rPr>
                <w:b/>
                <w:szCs w:val="18"/>
              </w:rPr>
              <w:t>(%)</w:t>
            </w:r>
          </w:p>
        </w:tc>
        <w:tc>
          <w:tcPr>
            <w:tcW w:w="796" w:type="dxa"/>
            <w:tcBorders>
              <w:left w:val="nil"/>
              <w:bottom w:val="single" w:sz="4" w:space="0" w:color="auto"/>
              <w:right w:val="nil"/>
            </w:tcBorders>
          </w:tcPr>
          <w:p w14:paraId="614DD486" w14:textId="77777777" w:rsidR="00A70B6E" w:rsidRDefault="00A70B6E" w:rsidP="00C00791">
            <w:pPr>
              <w:keepNext/>
              <w:keepLines/>
              <w:spacing w:before="20" w:after="20"/>
              <w:jc w:val="right"/>
              <w:rPr>
                <w:b/>
                <w:szCs w:val="18"/>
              </w:rPr>
            </w:pPr>
            <w:r>
              <w:rPr>
                <w:b/>
                <w:szCs w:val="18"/>
              </w:rPr>
              <w:t>n</w:t>
            </w:r>
          </w:p>
        </w:tc>
        <w:tc>
          <w:tcPr>
            <w:tcW w:w="800" w:type="dxa"/>
            <w:tcBorders>
              <w:left w:val="nil"/>
              <w:bottom w:val="single" w:sz="4" w:space="0" w:color="auto"/>
              <w:right w:val="nil"/>
            </w:tcBorders>
          </w:tcPr>
          <w:p w14:paraId="01DF0C73" w14:textId="77777777" w:rsidR="00A70B6E" w:rsidRDefault="00A70B6E" w:rsidP="00C00791">
            <w:pPr>
              <w:keepNext/>
              <w:keepLines/>
              <w:spacing w:before="20" w:after="20"/>
              <w:jc w:val="right"/>
              <w:rPr>
                <w:b/>
                <w:szCs w:val="18"/>
              </w:rPr>
            </w:pPr>
            <w:r>
              <w:rPr>
                <w:b/>
                <w:szCs w:val="18"/>
              </w:rPr>
              <w:t>(%)</w:t>
            </w:r>
          </w:p>
        </w:tc>
      </w:tr>
      <w:tr w:rsidR="00A70B6E" w:rsidRPr="00EB7841" w14:paraId="05F31835" w14:textId="77777777" w:rsidTr="00D84C5D">
        <w:tc>
          <w:tcPr>
            <w:tcW w:w="1865" w:type="dxa"/>
            <w:tcBorders>
              <w:left w:val="nil"/>
              <w:bottom w:val="nil"/>
              <w:right w:val="nil"/>
            </w:tcBorders>
          </w:tcPr>
          <w:p w14:paraId="7C534678" w14:textId="77777777" w:rsidR="00A70B6E" w:rsidRPr="00EB7841" w:rsidRDefault="00A70B6E" w:rsidP="00C00791">
            <w:pPr>
              <w:keepNext/>
              <w:keepLines/>
              <w:spacing w:before="20" w:after="20"/>
              <w:rPr>
                <w:b/>
                <w:szCs w:val="18"/>
              </w:rPr>
            </w:pPr>
            <w:r w:rsidRPr="00EB7841">
              <w:rPr>
                <w:b/>
                <w:szCs w:val="18"/>
              </w:rPr>
              <w:t>Gender</w:t>
            </w:r>
          </w:p>
        </w:tc>
        <w:tc>
          <w:tcPr>
            <w:tcW w:w="780" w:type="dxa"/>
            <w:tcBorders>
              <w:left w:val="nil"/>
              <w:bottom w:val="nil"/>
              <w:right w:val="nil"/>
            </w:tcBorders>
          </w:tcPr>
          <w:p w14:paraId="21C35D5C" w14:textId="77777777" w:rsidR="00A70B6E" w:rsidRPr="00EB7841" w:rsidRDefault="00A70B6E" w:rsidP="00C00791">
            <w:pPr>
              <w:keepNext/>
              <w:keepLines/>
              <w:spacing w:before="20" w:after="20"/>
              <w:rPr>
                <w:szCs w:val="18"/>
              </w:rPr>
            </w:pPr>
          </w:p>
        </w:tc>
        <w:tc>
          <w:tcPr>
            <w:tcW w:w="811" w:type="dxa"/>
            <w:tcBorders>
              <w:left w:val="nil"/>
              <w:bottom w:val="nil"/>
              <w:right w:val="nil"/>
            </w:tcBorders>
          </w:tcPr>
          <w:p w14:paraId="5EE15E53" w14:textId="77777777" w:rsidR="00A70B6E" w:rsidRPr="00EB7841" w:rsidRDefault="00A70B6E" w:rsidP="00C00791">
            <w:pPr>
              <w:keepNext/>
              <w:keepLines/>
              <w:spacing w:before="20" w:after="20"/>
              <w:rPr>
                <w:szCs w:val="18"/>
              </w:rPr>
            </w:pPr>
          </w:p>
        </w:tc>
        <w:tc>
          <w:tcPr>
            <w:tcW w:w="796" w:type="dxa"/>
            <w:tcBorders>
              <w:left w:val="nil"/>
              <w:bottom w:val="nil"/>
              <w:right w:val="nil"/>
            </w:tcBorders>
          </w:tcPr>
          <w:p w14:paraId="06EC7012" w14:textId="77777777" w:rsidR="00A70B6E" w:rsidRPr="00EB7841" w:rsidRDefault="00A70B6E" w:rsidP="00C00791">
            <w:pPr>
              <w:keepNext/>
              <w:keepLines/>
              <w:spacing w:before="20" w:after="20"/>
              <w:rPr>
                <w:szCs w:val="18"/>
              </w:rPr>
            </w:pPr>
          </w:p>
        </w:tc>
        <w:tc>
          <w:tcPr>
            <w:tcW w:w="820" w:type="dxa"/>
            <w:tcBorders>
              <w:left w:val="nil"/>
              <w:bottom w:val="nil"/>
              <w:right w:val="nil"/>
            </w:tcBorders>
          </w:tcPr>
          <w:p w14:paraId="379414D1" w14:textId="77777777" w:rsidR="00A70B6E" w:rsidRPr="00EB7841" w:rsidRDefault="00A70B6E" w:rsidP="00C00791">
            <w:pPr>
              <w:keepNext/>
              <w:keepLines/>
              <w:spacing w:before="20" w:after="20"/>
              <w:rPr>
                <w:szCs w:val="18"/>
              </w:rPr>
            </w:pPr>
          </w:p>
        </w:tc>
        <w:tc>
          <w:tcPr>
            <w:tcW w:w="818" w:type="dxa"/>
            <w:tcBorders>
              <w:left w:val="nil"/>
              <w:bottom w:val="nil"/>
              <w:right w:val="nil"/>
            </w:tcBorders>
          </w:tcPr>
          <w:p w14:paraId="46EF6B32" w14:textId="77777777" w:rsidR="00A70B6E" w:rsidRPr="00EB7841" w:rsidRDefault="00A70B6E" w:rsidP="00C00791">
            <w:pPr>
              <w:keepNext/>
              <w:keepLines/>
              <w:spacing w:before="20" w:after="20"/>
              <w:rPr>
                <w:szCs w:val="18"/>
              </w:rPr>
            </w:pPr>
          </w:p>
        </w:tc>
        <w:tc>
          <w:tcPr>
            <w:tcW w:w="820" w:type="dxa"/>
            <w:tcBorders>
              <w:left w:val="nil"/>
              <w:bottom w:val="nil"/>
              <w:right w:val="nil"/>
            </w:tcBorders>
          </w:tcPr>
          <w:p w14:paraId="69F02BC3" w14:textId="77777777" w:rsidR="00A70B6E" w:rsidRPr="00EB7841" w:rsidRDefault="00A70B6E" w:rsidP="00C00791">
            <w:pPr>
              <w:keepNext/>
              <w:keepLines/>
              <w:spacing w:before="20" w:after="20"/>
              <w:rPr>
                <w:szCs w:val="18"/>
              </w:rPr>
            </w:pPr>
          </w:p>
        </w:tc>
        <w:tc>
          <w:tcPr>
            <w:tcW w:w="796" w:type="dxa"/>
            <w:tcBorders>
              <w:left w:val="nil"/>
              <w:bottom w:val="nil"/>
              <w:right w:val="nil"/>
            </w:tcBorders>
          </w:tcPr>
          <w:p w14:paraId="3DCBC66F" w14:textId="77777777" w:rsidR="00A70B6E" w:rsidRPr="00EB7841" w:rsidRDefault="00A70B6E" w:rsidP="00C00791">
            <w:pPr>
              <w:keepNext/>
              <w:keepLines/>
              <w:spacing w:before="20" w:after="20"/>
              <w:rPr>
                <w:szCs w:val="18"/>
              </w:rPr>
            </w:pPr>
          </w:p>
        </w:tc>
        <w:tc>
          <w:tcPr>
            <w:tcW w:w="800" w:type="dxa"/>
            <w:tcBorders>
              <w:left w:val="nil"/>
              <w:bottom w:val="nil"/>
              <w:right w:val="nil"/>
            </w:tcBorders>
          </w:tcPr>
          <w:p w14:paraId="4D886E0F" w14:textId="77777777" w:rsidR="00A70B6E" w:rsidRPr="00EB7841" w:rsidRDefault="00A70B6E" w:rsidP="00C00791">
            <w:pPr>
              <w:keepNext/>
              <w:keepLines/>
              <w:spacing w:before="20" w:after="20"/>
              <w:rPr>
                <w:szCs w:val="18"/>
              </w:rPr>
            </w:pPr>
          </w:p>
        </w:tc>
      </w:tr>
      <w:tr w:rsidR="00D84C5D" w:rsidRPr="00EB7841" w14:paraId="4872B3BB" w14:textId="77777777" w:rsidTr="00D84C5D">
        <w:tc>
          <w:tcPr>
            <w:tcW w:w="1865" w:type="dxa"/>
            <w:tcBorders>
              <w:top w:val="nil"/>
              <w:left w:val="nil"/>
              <w:bottom w:val="nil"/>
              <w:right w:val="nil"/>
            </w:tcBorders>
          </w:tcPr>
          <w:p w14:paraId="59F46C2A" w14:textId="77777777" w:rsidR="00D84C5D" w:rsidRPr="00EB7841" w:rsidRDefault="00D84C5D" w:rsidP="00D84C5D">
            <w:pPr>
              <w:keepNext/>
              <w:keepLines/>
              <w:spacing w:before="20" w:after="20"/>
              <w:rPr>
                <w:szCs w:val="18"/>
              </w:rPr>
            </w:pPr>
            <w:r w:rsidRPr="00EB7841">
              <w:rPr>
                <w:szCs w:val="18"/>
              </w:rPr>
              <w:t>Male</w:t>
            </w:r>
          </w:p>
        </w:tc>
        <w:tc>
          <w:tcPr>
            <w:tcW w:w="780" w:type="dxa"/>
            <w:tcBorders>
              <w:top w:val="nil"/>
              <w:left w:val="nil"/>
              <w:bottom w:val="nil"/>
              <w:right w:val="nil"/>
            </w:tcBorders>
          </w:tcPr>
          <w:p w14:paraId="10E668F8" w14:textId="77777777" w:rsidR="00D84C5D" w:rsidRPr="00970927" w:rsidRDefault="00D84C5D" w:rsidP="00D84C5D">
            <w:pPr>
              <w:keepNext/>
              <w:keepLines/>
              <w:spacing w:before="20" w:after="20"/>
              <w:jc w:val="right"/>
              <w:rPr>
                <w:szCs w:val="18"/>
              </w:rPr>
            </w:pPr>
            <w:r w:rsidRPr="00970927">
              <w:rPr>
                <w:szCs w:val="18"/>
              </w:rPr>
              <w:t>2,642</w:t>
            </w:r>
          </w:p>
        </w:tc>
        <w:tc>
          <w:tcPr>
            <w:tcW w:w="811" w:type="dxa"/>
            <w:tcBorders>
              <w:top w:val="nil"/>
              <w:left w:val="nil"/>
              <w:bottom w:val="nil"/>
              <w:right w:val="nil"/>
            </w:tcBorders>
          </w:tcPr>
          <w:p w14:paraId="7255A02C" w14:textId="77777777" w:rsidR="00D84C5D" w:rsidRPr="00970927" w:rsidRDefault="00D84C5D" w:rsidP="00D84C5D">
            <w:pPr>
              <w:keepNext/>
              <w:keepLines/>
              <w:spacing w:before="20" w:after="20"/>
              <w:jc w:val="right"/>
              <w:rPr>
                <w:szCs w:val="18"/>
              </w:rPr>
            </w:pPr>
            <w:r>
              <w:rPr>
                <w:szCs w:val="18"/>
              </w:rPr>
              <w:t>(</w:t>
            </w:r>
            <w:r w:rsidRPr="00970927">
              <w:rPr>
                <w:szCs w:val="18"/>
              </w:rPr>
              <w:t>42.3</w:t>
            </w:r>
            <w:r>
              <w:rPr>
                <w:szCs w:val="18"/>
              </w:rPr>
              <w:t>)</w:t>
            </w:r>
          </w:p>
        </w:tc>
        <w:tc>
          <w:tcPr>
            <w:tcW w:w="796" w:type="dxa"/>
            <w:tcBorders>
              <w:top w:val="nil"/>
              <w:left w:val="nil"/>
              <w:bottom w:val="nil"/>
              <w:right w:val="nil"/>
            </w:tcBorders>
          </w:tcPr>
          <w:p w14:paraId="59EEAD05" w14:textId="77777777" w:rsidR="00D84C5D" w:rsidRPr="00EB7841" w:rsidRDefault="00D84C5D" w:rsidP="00D84C5D">
            <w:pPr>
              <w:keepNext/>
              <w:keepLines/>
              <w:spacing w:before="20" w:after="20"/>
              <w:jc w:val="right"/>
              <w:rPr>
                <w:szCs w:val="18"/>
              </w:rPr>
            </w:pPr>
            <w:r w:rsidRPr="00EB7841">
              <w:rPr>
                <w:szCs w:val="18"/>
              </w:rPr>
              <w:t>1,607</w:t>
            </w:r>
          </w:p>
        </w:tc>
        <w:tc>
          <w:tcPr>
            <w:tcW w:w="820" w:type="dxa"/>
            <w:tcBorders>
              <w:top w:val="nil"/>
              <w:left w:val="nil"/>
              <w:bottom w:val="nil"/>
              <w:right w:val="nil"/>
            </w:tcBorders>
          </w:tcPr>
          <w:p w14:paraId="34708E88" w14:textId="77777777" w:rsidR="00D84C5D" w:rsidRPr="00EB7841" w:rsidRDefault="00D84C5D" w:rsidP="00D84C5D">
            <w:pPr>
              <w:keepNext/>
              <w:keepLines/>
              <w:spacing w:before="20" w:after="20"/>
              <w:jc w:val="right"/>
              <w:rPr>
                <w:szCs w:val="18"/>
              </w:rPr>
            </w:pPr>
            <w:r>
              <w:rPr>
                <w:szCs w:val="18"/>
              </w:rPr>
              <w:t>(</w:t>
            </w:r>
            <w:r w:rsidRPr="00EB7841">
              <w:rPr>
                <w:szCs w:val="18"/>
              </w:rPr>
              <w:t>42.9</w:t>
            </w:r>
            <w:r>
              <w:rPr>
                <w:szCs w:val="18"/>
              </w:rPr>
              <w:t>)</w:t>
            </w:r>
          </w:p>
        </w:tc>
        <w:tc>
          <w:tcPr>
            <w:tcW w:w="818" w:type="dxa"/>
            <w:tcBorders>
              <w:top w:val="nil"/>
              <w:left w:val="nil"/>
              <w:bottom w:val="nil"/>
              <w:right w:val="nil"/>
            </w:tcBorders>
          </w:tcPr>
          <w:p w14:paraId="5D18B898" w14:textId="77777777" w:rsidR="00D84C5D" w:rsidRDefault="00D84C5D" w:rsidP="00D84C5D">
            <w:pPr>
              <w:keepNext/>
              <w:keepLines/>
              <w:spacing w:before="20" w:after="20"/>
              <w:jc w:val="right"/>
              <w:rPr>
                <w:szCs w:val="18"/>
              </w:rPr>
            </w:pPr>
            <w:r>
              <w:rPr>
                <w:szCs w:val="18"/>
              </w:rPr>
              <w:t>1,319</w:t>
            </w:r>
          </w:p>
        </w:tc>
        <w:tc>
          <w:tcPr>
            <w:tcW w:w="820" w:type="dxa"/>
            <w:tcBorders>
              <w:top w:val="nil"/>
              <w:left w:val="nil"/>
              <w:bottom w:val="nil"/>
              <w:right w:val="nil"/>
            </w:tcBorders>
          </w:tcPr>
          <w:p w14:paraId="186E7A1C" w14:textId="77777777" w:rsidR="00D84C5D" w:rsidRDefault="00D84C5D" w:rsidP="00D84C5D">
            <w:pPr>
              <w:keepNext/>
              <w:keepLines/>
              <w:spacing w:before="20" w:after="20"/>
              <w:jc w:val="right"/>
              <w:rPr>
                <w:szCs w:val="18"/>
              </w:rPr>
            </w:pPr>
            <w:r>
              <w:rPr>
                <w:szCs w:val="18"/>
              </w:rPr>
              <w:t>(42.3)</w:t>
            </w:r>
          </w:p>
        </w:tc>
        <w:tc>
          <w:tcPr>
            <w:tcW w:w="796" w:type="dxa"/>
            <w:tcBorders>
              <w:top w:val="nil"/>
              <w:left w:val="nil"/>
              <w:bottom w:val="nil"/>
              <w:right w:val="nil"/>
            </w:tcBorders>
          </w:tcPr>
          <w:p w14:paraId="614F444F" w14:textId="77777777" w:rsidR="00D84C5D" w:rsidRDefault="00D84C5D" w:rsidP="00D84C5D">
            <w:pPr>
              <w:keepNext/>
              <w:keepLines/>
              <w:spacing w:before="20" w:after="20"/>
              <w:jc w:val="right"/>
              <w:rPr>
                <w:szCs w:val="18"/>
              </w:rPr>
            </w:pPr>
            <w:r>
              <w:rPr>
                <w:szCs w:val="18"/>
              </w:rPr>
              <w:t>1,170</w:t>
            </w:r>
          </w:p>
        </w:tc>
        <w:tc>
          <w:tcPr>
            <w:tcW w:w="800" w:type="dxa"/>
            <w:tcBorders>
              <w:top w:val="nil"/>
              <w:left w:val="nil"/>
              <w:bottom w:val="nil"/>
              <w:right w:val="nil"/>
            </w:tcBorders>
          </w:tcPr>
          <w:p w14:paraId="38FC771F" w14:textId="77777777" w:rsidR="00D84C5D" w:rsidRDefault="00D84C5D" w:rsidP="00D84C5D">
            <w:pPr>
              <w:keepNext/>
              <w:keepLines/>
              <w:spacing w:before="20" w:after="20"/>
              <w:jc w:val="right"/>
              <w:rPr>
                <w:szCs w:val="18"/>
              </w:rPr>
            </w:pPr>
            <w:r>
              <w:rPr>
                <w:szCs w:val="18"/>
              </w:rPr>
              <w:t>(42.2)</w:t>
            </w:r>
          </w:p>
        </w:tc>
      </w:tr>
      <w:tr w:rsidR="00D84C5D" w:rsidRPr="00EB7841" w14:paraId="125F774C" w14:textId="77777777" w:rsidTr="00D84C5D">
        <w:tc>
          <w:tcPr>
            <w:tcW w:w="1865" w:type="dxa"/>
            <w:tcBorders>
              <w:top w:val="nil"/>
              <w:left w:val="nil"/>
              <w:bottom w:val="nil"/>
              <w:right w:val="nil"/>
            </w:tcBorders>
          </w:tcPr>
          <w:p w14:paraId="7365F41B" w14:textId="77777777" w:rsidR="00D84C5D" w:rsidRPr="00EB7841" w:rsidRDefault="00D84C5D" w:rsidP="00D84C5D">
            <w:pPr>
              <w:keepNext/>
              <w:spacing w:before="20" w:after="20"/>
              <w:rPr>
                <w:szCs w:val="18"/>
              </w:rPr>
            </w:pPr>
            <w:r w:rsidRPr="00EB7841">
              <w:rPr>
                <w:szCs w:val="18"/>
              </w:rPr>
              <w:t>Female</w:t>
            </w:r>
          </w:p>
        </w:tc>
        <w:tc>
          <w:tcPr>
            <w:tcW w:w="780" w:type="dxa"/>
            <w:tcBorders>
              <w:top w:val="nil"/>
              <w:left w:val="nil"/>
              <w:bottom w:val="nil"/>
              <w:right w:val="nil"/>
            </w:tcBorders>
          </w:tcPr>
          <w:p w14:paraId="2952B495" w14:textId="77777777" w:rsidR="00D84C5D" w:rsidRPr="00970927" w:rsidRDefault="00D84C5D" w:rsidP="00D84C5D">
            <w:pPr>
              <w:keepNext/>
              <w:spacing w:before="20" w:after="20"/>
              <w:jc w:val="right"/>
              <w:rPr>
                <w:szCs w:val="18"/>
              </w:rPr>
            </w:pPr>
            <w:r w:rsidRPr="00970927">
              <w:rPr>
                <w:szCs w:val="18"/>
              </w:rPr>
              <w:t>3,609</w:t>
            </w:r>
          </w:p>
        </w:tc>
        <w:tc>
          <w:tcPr>
            <w:tcW w:w="811" w:type="dxa"/>
            <w:tcBorders>
              <w:top w:val="nil"/>
              <w:left w:val="nil"/>
              <w:bottom w:val="nil"/>
              <w:right w:val="nil"/>
            </w:tcBorders>
          </w:tcPr>
          <w:p w14:paraId="64E68CDF" w14:textId="77777777" w:rsidR="00D84C5D" w:rsidRPr="00970927" w:rsidRDefault="00D84C5D" w:rsidP="00D84C5D">
            <w:pPr>
              <w:keepNext/>
              <w:keepLines/>
              <w:spacing w:before="20" w:after="20"/>
              <w:jc w:val="right"/>
              <w:rPr>
                <w:szCs w:val="18"/>
              </w:rPr>
            </w:pPr>
            <w:r>
              <w:rPr>
                <w:szCs w:val="18"/>
              </w:rPr>
              <w:t>(</w:t>
            </w:r>
            <w:r w:rsidRPr="00970927">
              <w:rPr>
                <w:szCs w:val="18"/>
              </w:rPr>
              <w:t>57.7</w:t>
            </w:r>
            <w:r>
              <w:rPr>
                <w:szCs w:val="18"/>
              </w:rPr>
              <w:t>)</w:t>
            </w:r>
          </w:p>
        </w:tc>
        <w:tc>
          <w:tcPr>
            <w:tcW w:w="796" w:type="dxa"/>
            <w:tcBorders>
              <w:top w:val="nil"/>
              <w:left w:val="nil"/>
              <w:bottom w:val="nil"/>
              <w:right w:val="nil"/>
            </w:tcBorders>
          </w:tcPr>
          <w:p w14:paraId="7BB7318E" w14:textId="77777777" w:rsidR="00D84C5D" w:rsidRPr="00EB7841" w:rsidRDefault="00D84C5D" w:rsidP="00D84C5D">
            <w:pPr>
              <w:keepNext/>
              <w:spacing w:before="20" w:after="20"/>
              <w:jc w:val="right"/>
              <w:rPr>
                <w:szCs w:val="18"/>
              </w:rPr>
            </w:pPr>
            <w:r w:rsidRPr="00EB7841">
              <w:rPr>
                <w:szCs w:val="18"/>
              </w:rPr>
              <w:t>2,138</w:t>
            </w:r>
          </w:p>
        </w:tc>
        <w:tc>
          <w:tcPr>
            <w:tcW w:w="820" w:type="dxa"/>
            <w:tcBorders>
              <w:top w:val="nil"/>
              <w:left w:val="nil"/>
              <w:bottom w:val="nil"/>
              <w:right w:val="nil"/>
            </w:tcBorders>
          </w:tcPr>
          <w:p w14:paraId="3DF52007" w14:textId="77777777" w:rsidR="00D84C5D" w:rsidRPr="00EB7841" w:rsidRDefault="00D84C5D" w:rsidP="00D84C5D">
            <w:pPr>
              <w:keepNext/>
              <w:spacing w:before="20" w:after="20"/>
              <w:jc w:val="right"/>
              <w:rPr>
                <w:szCs w:val="18"/>
              </w:rPr>
            </w:pPr>
            <w:r>
              <w:rPr>
                <w:szCs w:val="18"/>
              </w:rPr>
              <w:t>(</w:t>
            </w:r>
            <w:r w:rsidRPr="00EB7841">
              <w:rPr>
                <w:szCs w:val="18"/>
              </w:rPr>
              <w:t>57.1</w:t>
            </w:r>
            <w:r>
              <w:rPr>
                <w:szCs w:val="18"/>
              </w:rPr>
              <w:t>)</w:t>
            </w:r>
          </w:p>
        </w:tc>
        <w:tc>
          <w:tcPr>
            <w:tcW w:w="818" w:type="dxa"/>
            <w:tcBorders>
              <w:top w:val="nil"/>
              <w:left w:val="nil"/>
              <w:bottom w:val="nil"/>
              <w:right w:val="nil"/>
            </w:tcBorders>
          </w:tcPr>
          <w:p w14:paraId="7FDA87BA" w14:textId="77777777" w:rsidR="00D84C5D" w:rsidRDefault="00D84C5D" w:rsidP="00D84C5D">
            <w:pPr>
              <w:keepNext/>
              <w:spacing w:before="20" w:after="20"/>
              <w:jc w:val="right"/>
              <w:rPr>
                <w:szCs w:val="18"/>
              </w:rPr>
            </w:pPr>
            <w:r>
              <w:rPr>
                <w:szCs w:val="18"/>
              </w:rPr>
              <w:t>1,796</w:t>
            </w:r>
          </w:p>
        </w:tc>
        <w:tc>
          <w:tcPr>
            <w:tcW w:w="820" w:type="dxa"/>
            <w:tcBorders>
              <w:top w:val="nil"/>
              <w:left w:val="nil"/>
              <w:bottom w:val="nil"/>
              <w:right w:val="nil"/>
            </w:tcBorders>
          </w:tcPr>
          <w:p w14:paraId="7D95ECF1" w14:textId="77777777" w:rsidR="00D84C5D" w:rsidRDefault="00D84C5D" w:rsidP="00D84C5D">
            <w:pPr>
              <w:keepNext/>
              <w:spacing w:before="20" w:after="20"/>
              <w:jc w:val="right"/>
              <w:rPr>
                <w:szCs w:val="18"/>
              </w:rPr>
            </w:pPr>
            <w:r>
              <w:rPr>
                <w:szCs w:val="18"/>
              </w:rPr>
              <w:t>(57.7)</w:t>
            </w:r>
          </w:p>
        </w:tc>
        <w:tc>
          <w:tcPr>
            <w:tcW w:w="796" w:type="dxa"/>
            <w:tcBorders>
              <w:top w:val="nil"/>
              <w:left w:val="nil"/>
              <w:bottom w:val="nil"/>
              <w:right w:val="nil"/>
            </w:tcBorders>
          </w:tcPr>
          <w:p w14:paraId="7BAFDBD9" w14:textId="77777777" w:rsidR="00D84C5D" w:rsidRDefault="00D84C5D" w:rsidP="00D84C5D">
            <w:pPr>
              <w:spacing w:before="20" w:after="20"/>
              <w:jc w:val="right"/>
              <w:rPr>
                <w:szCs w:val="18"/>
              </w:rPr>
            </w:pPr>
            <w:r>
              <w:rPr>
                <w:szCs w:val="18"/>
              </w:rPr>
              <w:t>1,600</w:t>
            </w:r>
          </w:p>
        </w:tc>
        <w:tc>
          <w:tcPr>
            <w:tcW w:w="800" w:type="dxa"/>
            <w:tcBorders>
              <w:top w:val="nil"/>
              <w:left w:val="nil"/>
              <w:bottom w:val="nil"/>
              <w:right w:val="nil"/>
            </w:tcBorders>
          </w:tcPr>
          <w:p w14:paraId="24920F3E" w14:textId="77777777" w:rsidR="00D84C5D" w:rsidRDefault="00D84C5D" w:rsidP="00D84C5D">
            <w:pPr>
              <w:spacing w:before="20" w:after="20"/>
              <w:jc w:val="right"/>
              <w:rPr>
                <w:szCs w:val="18"/>
              </w:rPr>
            </w:pPr>
            <w:r>
              <w:rPr>
                <w:szCs w:val="18"/>
              </w:rPr>
              <w:t>(57.8)</w:t>
            </w:r>
          </w:p>
        </w:tc>
      </w:tr>
      <w:tr w:rsidR="00D84C5D" w:rsidRPr="00EB7841" w14:paraId="4492E56C" w14:textId="77777777" w:rsidTr="00D84C5D">
        <w:tc>
          <w:tcPr>
            <w:tcW w:w="1865" w:type="dxa"/>
            <w:tcBorders>
              <w:top w:val="nil"/>
              <w:left w:val="nil"/>
              <w:bottom w:val="nil"/>
              <w:right w:val="nil"/>
            </w:tcBorders>
          </w:tcPr>
          <w:p w14:paraId="737053CE" w14:textId="77777777" w:rsidR="00D84C5D" w:rsidRPr="00EB7841" w:rsidRDefault="00D84C5D" w:rsidP="00D84C5D">
            <w:pPr>
              <w:keepNext/>
              <w:spacing w:before="20" w:after="20"/>
              <w:rPr>
                <w:i/>
                <w:szCs w:val="18"/>
              </w:rPr>
            </w:pPr>
            <w:r w:rsidRPr="00EB7841">
              <w:rPr>
                <w:i/>
                <w:szCs w:val="18"/>
              </w:rPr>
              <w:t>Total</w:t>
            </w:r>
          </w:p>
        </w:tc>
        <w:tc>
          <w:tcPr>
            <w:tcW w:w="780" w:type="dxa"/>
            <w:tcBorders>
              <w:top w:val="nil"/>
              <w:left w:val="nil"/>
              <w:bottom w:val="nil"/>
              <w:right w:val="nil"/>
            </w:tcBorders>
          </w:tcPr>
          <w:p w14:paraId="374C04B1" w14:textId="77777777" w:rsidR="00D84C5D" w:rsidRPr="00970927" w:rsidRDefault="00D84C5D" w:rsidP="00D84C5D">
            <w:pPr>
              <w:keepNext/>
              <w:spacing w:before="20" w:after="20"/>
              <w:jc w:val="right"/>
              <w:rPr>
                <w:i/>
                <w:szCs w:val="18"/>
              </w:rPr>
            </w:pPr>
            <w:r w:rsidRPr="00970927">
              <w:rPr>
                <w:i/>
                <w:szCs w:val="18"/>
              </w:rPr>
              <w:t>6,251</w:t>
            </w:r>
          </w:p>
        </w:tc>
        <w:tc>
          <w:tcPr>
            <w:tcW w:w="811" w:type="dxa"/>
            <w:tcBorders>
              <w:top w:val="nil"/>
              <w:left w:val="nil"/>
              <w:bottom w:val="nil"/>
              <w:right w:val="nil"/>
            </w:tcBorders>
          </w:tcPr>
          <w:p w14:paraId="7A5CC1B4" w14:textId="77777777" w:rsidR="00D84C5D" w:rsidRPr="00970927" w:rsidRDefault="00D84C5D" w:rsidP="00D84C5D">
            <w:pPr>
              <w:keepNext/>
              <w:keepLines/>
              <w:spacing w:before="20" w:after="20"/>
              <w:jc w:val="right"/>
              <w:rPr>
                <w:i/>
                <w:szCs w:val="18"/>
              </w:rPr>
            </w:pPr>
            <w:r>
              <w:rPr>
                <w:i/>
                <w:szCs w:val="18"/>
              </w:rPr>
              <w:t>(100.0)</w:t>
            </w:r>
          </w:p>
        </w:tc>
        <w:tc>
          <w:tcPr>
            <w:tcW w:w="796" w:type="dxa"/>
            <w:tcBorders>
              <w:top w:val="nil"/>
              <w:left w:val="nil"/>
              <w:bottom w:val="nil"/>
              <w:right w:val="nil"/>
            </w:tcBorders>
          </w:tcPr>
          <w:p w14:paraId="53801A90" w14:textId="77777777" w:rsidR="00D84C5D" w:rsidRPr="00EB7841" w:rsidRDefault="00D84C5D" w:rsidP="00D84C5D">
            <w:pPr>
              <w:keepNext/>
              <w:spacing w:before="20" w:after="20"/>
              <w:jc w:val="right"/>
              <w:rPr>
                <w:i/>
                <w:szCs w:val="18"/>
              </w:rPr>
            </w:pPr>
            <w:r w:rsidRPr="00EB7841">
              <w:rPr>
                <w:i/>
                <w:szCs w:val="18"/>
              </w:rPr>
              <w:t>3,745</w:t>
            </w:r>
          </w:p>
        </w:tc>
        <w:tc>
          <w:tcPr>
            <w:tcW w:w="820" w:type="dxa"/>
            <w:tcBorders>
              <w:top w:val="nil"/>
              <w:left w:val="nil"/>
              <w:bottom w:val="nil"/>
              <w:right w:val="nil"/>
            </w:tcBorders>
          </w:tcPr>
          <w:p w14:paraId="7487F009" w14:textId="77777777" w:rsidR="00D84C5D" w:rsidRPr="00970927" w:rsidRDefault="00D84C5D" w:rsidP="00D84C5D">
            <w:pPr>
              <w:keepNext/>
              <w:keepLines/>
              <w:spacing w:before="20" w:after="20"/>
              <w:jc w:val="right"/>
              <w:rPr>
                <w:i/>
                <w:szCs w:val="18"/>
              </w:rPr>
            </w:pPr>
            <w:r>
              <w:rPr>
                <w:i/>
                <w:szCs w:val="18"/>
              </w:rPr>
              <w:t>(100.0)</w:t>
            </w:r>
          </w:p>
        </w:tc>
        <w:tc>
          <w:tcPr>
            <w:tcW w:w="818" w:type="dxa"/>
            <w:tcBorders>
              <w:top w:val="nil"/>
              <w:left w:val="nil"/>
              <w:bottom w:val="nil"/>
              <w:right w:val="nil"/>
            </w:tcBorders>
          </w:tcPr>
          <w:p w14:paraId="1E106E6D" w14:textId="77777777" w:rsidR="00D84C5D" w:rsidRDefault="00D84C5D" w:rsidP="00D84C5D">
            <w:pPr>
              <w:keepNext/>
              <w:spacing w:before="20" w:after="20"/>
              <w:jc w:val="right"/>
              <w:rPr>
                <w:i/>
                <w:szCs w:val="18"/>
              </w:rPr>
            </w:pPr>
            <w:r>
              <w:rPr>
                <w:i/>
                <w:szCs w:val="18"/>
              </w:rPr>
              <w:t>3,115</w:t>
            </w:r>
          </w:p>
        </w:tc>
        <w:tc>
          <w:tcPr>
            <w:tcW w:w="820" w:type="dxa"/>
            <w:tcBorders>
              <w:top w:val="nil"/>
              <w:left w:val="nil"/>
              <w:bottom w:val="nil"/>
              <w:right w:val="nil"/>
            </w:tcBorders>
          </w:tcPr>
          <w:p w14:paraId="77690776" w14:textId="77777777" w:rsidR="00D84C5D" w:rsidRPr="00970927" w:rsidRDefault="00D84C5D" w:rsidP="00D84C5D">
            <w:pPr>
              <w:keepNext/>
              <w:keepLines/>
              <w:spacing w:before="20" w:after="20"/>
              <w:jc w:val="right"/>
              <w:rPr>
                <w:i/>
                <w:szCs w:val="18"/>
              </w:rPr>
            </w:pPr>
            <w:r>
              <w:rPr>
                <w:i/>
                <w:szCs w:val="18"/>
              </w:rPr>
              <w:t>(100.0)</w:t>
            </w:r>
          </w:p>
        </w:tc>
        <w:tc>
          <w:tcPr>
            <w:tcW w:w="796" w:type="dxa"/>
            <w:tcBorders>
              <w:top w:val="nil"/>
              <w:left w:val="nil"/>
              <w:bottom w:val="nil"/>
              <w:right w:val="nil"/>
            </w:tcBorders>
          </w:tcPr>
          <w:p w14:paraId="13503F18" w14:textId="77777777" w:rsidR="00D84C5D" w:rsidRDefault="00D84C5D" w:rsidP="00D84C5D">
            <w:pPr>
              <w:keepNext/>
              <w:keepLines/>
              <w:spacing w:before="20" w:after="20"/>
              <w:jc w:val="right"/>
              <w:rPr>
                <w:i/>
                <w:szCs w:val="18"/>
              </w:rPr>
            </w:pPr>
            <w:r>
              <w:rPr>
                <w:i/>
                <w:szCs w:val="18"/>
              </w:rPr>
              <w:t>2,770</w:t>
            </w:r>
          </w:p>
        </w:tc>
        <w:tc>
          <w:tcPr>
            <w:tcW w:w="800" w:type="dxa"/>
            <w:tcBorders>
              <w:top w:val="nil"/>
              <w:left w:val="nil"/>
              <w:bottom w:val="nil"/>
              <w:right w:val="nil"/>
            </w:tcBorders>
          </w:tcPr>
          <w:p w14:paraId="08912DB3" w14:textId="77777777" w:rsidR="00D84C5D" w:rsidRDefault="00D84C5D" w:rsidP="00D84C5D">
            <w:pPr>
              <w:keepNext/>
              <w:keepLines/>
              <w:spacing w:before="20" w:after="20"/>
              <w:jc w:val="right"/>
              <w:rPr>
                <w:i/>
                <w:szCs w:val="18"/>
              </w:rPr>
            </w:pPr>
            <w:r>
              <w:rPr>
                <w:i/>
                <w:szCs w:val="18"/>
              </w:rPr>
              <w:t>(100.0)</w:t>
            </w:r>
          </w:p>
        </w:tc>
      </w:tr>
      <w:tr w:rsidR="00D84C5D" w:rsidRPr="00EB7841" w14:paraId="6B78E13B" w14:textId="77777777" w:rsidTr="00D84C5D">
        <w:tc>
          <w:tcPr>
            <w:tcW w:w="1865" w:type="dxa"/>
            <w:tcBorders>
              <w:top w:val="nil"/>
              <w:left w:val="nil"/>
              <w:bottom w:val="nil"/>
              <w:right w:val="nil"/>
            </w:tcBorders>
          </w:tcPr>
          <w:p w14:paraId="52783F51" w14:textId="77777777" w:rsidR="00D84C5D" w:rsidRPr="00EB7841" w:rsidRDefault="00D84C5D" w:rsidP="00D84C5D">
            <w:pPr>
              <w:keepNext/>
              <w:spacing w:before="20" w:after="20"/>
              <w:rPr>
                <w:szCs w:val="18"/>
              </w:rPr>
            </w:pPr>
          </w:p>
        </w:tc>
        <w:tc>
          <w:tcPr>
            <w:tcW w:w="780" w:type="dxa"/>
            <w:tcBorders>
              <w:top w:val="nil"/>
              <w:left w:val="nil"/>
              <w:bottom w:val="nil"/>
              <w:right w:val="nil"/>
            </w:tcBorders>
          </w:tcPr>
          <w:p w14:paraId="6A21F385" w14:textId="77777777" w:rsidR="00D84C5D" w:rsidRPr="00EB7841" w:rsidRDefault="00D84C5D" w:rsidP="00D84C5D">
            <w:pPr>
              <w:keepNext/>
              <w:spacing w:before="20" w:after="20"/>
              <w:jc w:val="right"/>
              <w:rPr>
                <w:szCs w:val="18"/>
              </w:rPr>
            </w:pPr>
          </w:p>
        </w:tc>
        <w:tc>
          <w:tcPr>
            <w:tcW w:w="811" w:type="dxa"/>
            <w:tcBorders>
              <w:top w:val="nil"/>
              <w:left w:val="nil"/>
              <w:bottom w:val="nil"/>
              <w:right w:val="nil"/>
            </w:tcBorders>
          </w:tcPr>
          <w:p w14:paraId="33882124" w14:textId="77777777" w:rsidR="00D84C5D" w:rsidRPr="00EB7841" w:rsidRDefault="00D84C5D" w:rsidP="00D84C5D">
            <w:pPr>
              <w:keepNext/>
              <w:spacing w:before="20" w:after="20"/>
              <w:jc w:val="right"/>
              <w:rPr>
                <w:szCs w:val="18"/>
              </w:rPr>
            </w:pPr>
          </w:p>
        </w:tc>
        <w:tc>
          <w:tcPr>
            <w:tcW w:w="796" w:type="dxa"/>
            <w:tcBorders>
              <w:top w:val="nil"/>
              <w:left w:val="nil"/>
              <w:bottom w:val="nil"/>
              <w:right w:val="nil"/>
            </w:tcBorders>
          </w:tcPr>
          <w:p w14:paraId="086C242B" w14:textId="77777777" w:rsidR="00D84C5D" w:rsidRPr="00EB7841" w:rsidRDefault="00D84C5D" w:rsidP="00D84C5D">
            <w:pPr>
              <w:keepNext/>
              <w:spacing w:before="20" w:after="20"/>
              <w:jc w:val="right"/>
              <w:rPr>
                <w:szCs w:val="18"/>
              </w:rPr>
            </w:pPr>
          </w:p>
        </w:tc>
        <w:tc>
          <w:tcPr>
            <w:tcW w:w="820" w:type="dxa"/>
            <w:tcBorders>
              <w:top w:val="nil"/>
              <w:left w:val="nil"/>
              <w:bottom w:val="nil"/>
              <w:right w:val="nil"/>
            </w:tcBorders>
          </w:tcPr>
          <w:p w14:paraId="37B4410A" w14:textId="77777777" w:rsidR="00D84C5D" w:rsidRPr="00EB7841" w:rsidRDefault="00D84C5D" w:rsidP="00D84C5D">
            <w:pPr>
              <w:keepNext/>
              <w:spacing w:before="20" w:after="20"/>
              <w:jc w:val="right"/>
              <w:rPr>
                <w:szCs w:val="18"/>
              </w:rPr>
            </w:pPr>
          </w:p>
        </w:tc>
        <w:tc>
          <w:tcPr>
            <w:tcW w:w="818" w:type="dxa"/>
            <w:tcBorders>
              <w:top w:val="nil"/>
              <w:left w:val="nil"/>
              <w:bottom w:val="nil"/>
              <w:right w:val="nil"/>
            </w:tcBorders>
          </w:tcPr>
          <w:p w14:paraId="192FF80C" w14:textId="77777777" w:rsidR="00D84C5D" w:rsidRPr="00EB7841" w:rsidRDefault="00D84C5D" w:rsidP="00D84C5D">
            <w:pPr>
              <w:keepNext/>
              <w:spacing w:before="20" w:after="20"/>
              <w:jc w:val="right"/>
              <w:rPr>
                <w:szCs w:val="18"/>
              </w:rPr>
            </w:pPr>
          </w:p>
        </w:tc>
        <w:tc>
          <w:tcPr>
            <w:tcW w:w="820" w:type="dxa"/>
            <w:tcBorders>
              <w:top w:val="nil"/>
              <w:left w:val="nil"/>
              <w:bottom w:val="nil"/>
              <w:right w:val="nil"/>
            </w:tcBorders>
          </w:tcPr>
          <w:p w14:paraId="604BAEE9" w14:textId="77777777" w:rsidR="00D84C5D" w:rsidRPr="00EB7841" w:rsidRDefault="00D84C5D" w:rsidP="00D84C5D">
            <w:pPr>
              <w:keepNext/>
              <w:spacing w:before="20" w:after="20"/>
              <w:jc w:val="right"/>
              <w:rPr>
                <w:szCs w:val="18"/>
              </w:rPr>
            </w:pPr>
          </w:p>
        </w:tc>
        <w:tc>
          <w:tcPr>
            <w:tcW w:w="796" w:type="dxa"/>
            <w:tcBorders>
              <w:top w:val="nil"/>
              <w:left w:val="nil"/>
              <w:bottom w:val="nil"/>
              <w:right w:val="nil"/>
            </w:tcBorders>
          </w:tcPr>
          <w:p w14:paraId="52821695" w14:textId="77777777" w:rsidR="00D84C5D" w:rsidRPr="00EB7841" w:rsidRDefault="00D84C5D" w:rsidP="00D84C5D">
            <w:pPr>
              <w:spacing w:before="20" w:after="20"/>
              <w:jc w:val="right"/>
              <w:rPr>
                <w:szCs w:val="18"/>
              </w:rPr>
            </w:pPr>
          </w:p>
        </w:tc>
        <w:tc>
          <w:tcPr>
            <w:tcW w:w="800" w:type="dxa"/>
            <w:tcBorders>
              <w:top w:val="nil"/>
              <w:left w:val="nil"/>
              <w:bottom w:val="nil"/>
              <w:right w:val="nil"/>
            </w:tcBorders>
          </w:tcPr>
          <w:p w14:paraId="63A92838" w14:textId="77777777" w:rsidR="00D84C5D" w:rsidRPr="00EB7841" w:rsidRDefault="00D84C5D" w:rsidP="00D84C5D">
            <w:pPr>
              <w:spacing w:before="20" w:after="20"/>
              <w:jc w:val="right"/>
              <w:rPr>
                <w:szCs w:val="18"/>
              </w:rPr>
            </w:pPr>
          </w:p>
        </w:tc>
      </w:tr>
      <w:tr w:rsidR="00D84C5D" w:rsidRPr="00EB7841" w14:paraId="76E30B48" w14:textId="77777777" w:rsidTr="00D84C5D">
        <w:tc>
          <w:tcPr>
            <w:tcW w:w="1865" w:type="dxa"/>
            <w:tcBorders>
              <w:top w:val="nil"/>
              <w:left w:val="nil"/>
              <w:bottom w:val="nil"/>
              <w:right w:val="nil"/>
            </w:tcBorders>
          </w:tcPr>
          <w:p w14:paraId="17657C10" w14:textId="77777777" w:rsidR="00D84C5D" w:rsidRPr="00EB7841" w:rsidRDefault="00D84C5D" w:rsidP="00D84C5D">
            <w:pPr>
              <w:keepNext/>
              <w:spacing w:before="20" w:after="20"/>
              <w:rPr>
                <w:b/>
                <w:szCs w:val="18"/>
              </w:rPr>
            </w:pPr>
            <w:r w:rsidRPr="00EB7841">
              <w:rPr>
                <w:b/>
                <w:szCs w:val="18"/>
              </w:rPr>
              <w:t>Age groups</w:t>
            </w:r>
            <w:r w:rsidRPr="00EB7841">
              <w:rPr>
                <w:b/>
                <w:szCs w:val="18"/>
                <w:vertAlign w:val="superscript"/>
              </w:rPr>
              <w:t>†</w:t>
            </w:r>
          </w:p>
        </w:tc>
        <w:tc>
          <w:tcPr>
            <w:tcW w:w="780" w:type="dxa"/>
            <w:tcBorders>
              <w:top w:val="nil"/>
              <w:left w:val="nil"/>
              <w:bottom w:val="nil"/>
              <w:right w:val="nil"/>
            </w:tcBorders>
          </w:tcPr>
          <w:p w14:paraId="2B552D62" w14:textId="77777777" w:rsidR="00D84C5D" w:rsidRPr="00EB7841" w:rsidRDefault="00D84C5D" w:rsidP="00D84C5D">
            <w:pPr>
              <w:keepNext/>
              <w:spacing w:before="20" w:after="20"/>
              <w:jc w:val="right"/>
              <w:rPr>
                <w:szCs w:val="18"/>
              </w:rPr>
            </w:pPr>
          </w:p>
        </w:tc>
        <w:tc>
          <w:tcPr>
            <w:tcW w:w="811" w:type="dxa"/>
            <w:tcBorders>
              <w:top w:val="nil"/>
              <w:left w:val="nil"/>
              <w:bottom w:val="nil"/>
              <w:right w:val="nil"/>
            </w:tcBorders>
          </w:tcPr>
          <w:p w14:paraId="7DBACB96" w14:textId="77777777" w:rsidR="00D84C5D" w:rsidRPr="00EB7841" w:rsidRDefault="00D84C5D" w:rsidP="00D84C5D">
            <w:pPr>
              <w:keepNext/>
              <w:spacing w:before="20" w:after="20"/>
              <w:jc w:val="right"/>
              <w:rPr>
                <w:szCs w:val="18"/>
              </w:rPr>
            </w:pPr>
          </w:p>
        </w:tc>
        <w:tc>
          <w:tcPr>
            <w:tcW w:w="796" w:type="dxa"/>
            <w:tcBorders>
              <w:top w:val="nil"/>
              <w:left w:val="nil"/>
              <w:bottom w:val="nil"/>
              <w:right w:val="nil"/>
            </w:tcBorders>
          </w:tcPr>
          <w:p w14:paraId="0221222C" w14:textId="77777777" w:rsidR="00D84C5D" w:rsidRPr="00EB7841" w:rsidRDefault="00D84C5D" w:rsidP="00D84C5D">
            <w:pPr>
              <w:keepNext/>
              <w:spacing w:before="20" w:after="20"/>
              <w:jc w:val="right"/>
              <w:rPr>
                <w:szCs w:val="18"/>
              </w:rPr>
            </w:pPr>
          </w:p>
        </w:tc>
        <w:tc>
          <w:tcPr>
            <w:tcW w:w="820" w:type="dxa"/>
            <w:tcBorders>
              <w:top w:val="nil"/>
              <w:left w:val="nil"/>
              <w:bottom w:val="nil"/>
              <w:right w:val="nil"/>
            </w:tcBorders>
          </w:tcPr>
          <w:p w14:paraId="4C289C05" w14:textId="77777777" w:rsidR="00D84C5D" w:rsidRPr="00EB7841" w:rsidRDefault="00D84C5D" w:rsidP="00D84C5D">
            <w:pPr>
              <w:keepNext/>
              <w:spacing w:before="20" w:after="20"/>
              <w:jc w:val="right"/>
              <w:rPr>
                <w:szCs w:val="18"/>
              </w:rPr>
            </w:pPr>
          </w:p>
        </w:tc>
        <w:tc>
          <w:tcPr>
            <w:tcW w:w="818" w:type="dxa"/>
            <w:tcBorders>
              <w:top w:val="nil"/>
              <w:left w:val="nil"/>
              <w:bottom w:val="nil"/>
              <w:right w:val="nil"/>
            </w:tcBorders>
          </w:tcPr>
          <w:p w14:paraId="4CF641D6" w14:textId="77777777" w:rsidR="00D84C5D" w:rsidRPr="00EB7841" w:rsidRDefault="00D84C5D" w:rsidP="00D84C5D">
            <w:pPr>
              <w:keepNext/>
              <w:spacing w:before="20" w:after="20"/>
              <w:jc w:val="right"/>
              <w:rPr>
                <w:szCs w:val="18"/>
              </w:rPr>
            </w:pPr>
          </w:p>
        </w:tc>
        <w:tc>
          <w:tcPr>
            <w:tcW w:w="820" w:type="dxa"/>
            <w:tcBorders>
              <w:top w:val="nil"/>
              <w:left w:val="nil"/>
              <w:bottom w:val="nil"/>
              <w:right w:val="nil"/>
            </w:tcBorders>
          </w:tcPr>
          <w:p w14:paraId="1E488D4E" w14:textId="77777777" w:rsidR="00D84C5D" w:rsidRPr="00EB7841" w:rsidRDefault="00D84C5D" w:rsidP="00D84C5D">
            <w:pPr>
              <w:keepNext/>
              <w:spacing w:before="20" w:after="20"/>
              <w:jc w:val="right"/>
              <w:rPr>
                <w:szCs w:val="18"/>
              </w:rPr>
            </w:pPr>
          </w:p>
        </w:tc>
        <w:tc>
          <w:tcPr>
            <w:tcW w:w="796" w:type="dxa"/>
            <w:tcBorders>
              <w:top w:val="nil"/>
              <w:left w:val="nil"/>
              <w:bottom w:val="nil"/>
              <w:right w:val="nil"/>
            </w:tcBorders>
          </w:tcPr>
          <w:p w14:paraId="6061A5A7" w14:textId="77777777" w:rsidR="00D84C5D" w:rsidRPr="00EB7841" w:rsidRDefault="00D84C5D" w:rsidP="00D84C5D">
            <w:pPr>
              <w:spacing w:before="20" w:after="20"/>
              <w:jc w:val="right"/>
              <w:rPr>
                <w:szCs w:val="18"/>
              </w:rPr>
            </w:pPr>
          </w:p>
        </w:tc>
        <w:tc>
          <w:tcPr>
            <w:tcW w:w="800" w:type="dxa"/>
            <w:tcBorders>
              <w:top w:val="nil"/>
              <w:left w:val="nil"/>
              <w:bottom w:val="nil"/>
              <w:right w:val="nil"/>
            </w:tcBorders>
          </w:tcPr>
          <w:p w14:paraId="1D1CD9FA" w14:textId="77777777" w:rsidR="00D84C5D" w:rsidRPr="00EB7841" w:rsidRDefault="00D84C5D" w:rsidP="00D84C5D">
            <w:pPr>
              <w:spacing w:before="20" w:after="20"/>
              <w:jc w:val="right"/>
              <w:rPr>
                <w:szCs w:val="18"/>
              </w:rPr>
            </w:pPr>
          </w:p>
        </w:tc>
      </w:tr>
      <w:tr w:rsidR="00D84C5D" w:rsidRPr="00EB7841" w14:paraId="7D19FE3F" w14:textId="77777777" w:rsidTr="00D84C5D">
        <w:tc>
          <w:tcPr>
            <w:tcW w:w="1865" w:type="dxa"/>
            <w:tcBorders>
              <w:top w:val="nil"/>
              <w:left w:val="nil"/>
              <w:bottom w:val="nil"/>
              <w:right w:val="nil"/>
            </w:tcBorders>
          </w:tcPr>
          <w:p w14:paraId="7F34C396" w14:textId="77777777" w:rsidR="00D84C5D" w:rsidRPr="00EB7841" w:rsidRDefault="00D84C5D" w:rsidP="00D84C5D">
            <w:pPr>
              <w:keepNext/>
              <w:spacing w:before="20" w:after="20"/>
              <w:rPr>
                <w:szCs w:val="18"/>
              </w:rPr>
            </w:pPr>
            <w:r w:rsidRPr="00EB7841">
              <w:rPr>
                <w:szCs w:val="18"/>
              </w:rPr>
              <w:t>18 - 39 years</w:t>
            </w:r>
          </w:p>
        </w:tc>
        <w:tc>
          <w:tcPr>
            <w:tcW w:w="780" w:type="dxa"/>
            <w:tcBorders>
              <w:top w:val="nil"/>
              <w:left w:val="nil"/>
              <w:bottom w:val="nil"/>
              <w:right w:val="nil"/>
            </w:tcBorders>
          </w:tcPr>
          <w:p w14:paraId="26404A34" w14:textId="77777777" w:rsidR="00D84C5D" w:rsidRPr="00EB7841" w:rsidRDefault="00D84C5D" w:rsidP="00D84C5D">
            <w:pPr>
              <w:keepNext/>
              <w:spacing w:before="20" w:after="20"/>
              <w:jc w:val="right"/>
              <w:rPr>
                <w:szCs w:val="18"/>
              </w:rPr>
            </w:pPr>
            <w:r>
              <w:rPr>
                <w:szCs w:val="18"/>
              </w:rPr>
              <w:t>2,234</w:t>
            </w:r>
          </w:p>
        </w:tc>
        <w:tc>
          <w:tcPr>
            <w:tcW w:w="811" w:type="dxa"/>
            <w:tcBorders>
              <w:top w:val="nil"/>
              <w:left w:val="nil"/>
              <w:bottom w:val="nil"/>
              <w:right w:val="nil"/>
            </w:tcBorders>
          </w:tcPr>
          <w:p w14:paraId="0B6B7859" w14:textId="77777777" w:rsidR="00D84C5D" w:rsidRPr="00EB7841" w:rsidRDefault="00D84C5D" w:rsidP="00D84C5D">
            <w:pPr>
              <w:keepNext/>
              <w:spacing w:before="20" w:after="20"/>
              <w:jc w:val="right"/>
              <w:rPr>
                <w:szCs w:val="18"/>
              </w:rPr>
            </w:pPr>
            <w:r>
              <w:rPr>
                <w:szCs w:val="18"/>
              </w:rPr>
              <w:t>(35.7)</w:t>
            </w:r>
          </w:p>
        </w:tc>
        <w:tc>
          <w:tcPr>
            <w:tcW w:w="796" w:type="dxa"/>
            <w:tcBorders>
              <w:top w:val="nil"/>
              <w:left w:val="nil"/>
              <w:bottom w:val="nil"/>
              <w:right w:val="nil"/>
            </w:tcBorders>
          </w:tcPr>
          <w:p w14:paraId="34F49E70" w14:textId="77777777" w:rsidR="00D84C5D" w:rsidRPr="00EB7841" w:rsidRDefault="00D84C5D" w:rsidP="00D84C5D">
            <w:pPr>
              <w:keepNext/>
              <w:spacing w:before="20" w:after="20"/>
              <w:jc w:val="right"/>
              <w:rPr>
                <w:szCs w:val="18"/>
              </w:rPr>
            </w:pPr>
            <w:r w:rsidRPr="00EB7841">
              <w:rPr>
                <w:szCs w:val="18"/>
              </w:rPr>
              <w:t>1,187</w:t>
            </w:r>
          </w:p>
        </w:tc>
        <w:tc>
          <w:tcPr>
            <w:tcW w:w="820" w:type="dxa"/>
            <w:tcBorders>
              <w:top w:val="nil"/>
              <w:left w:val="nil"/>
              <w:bottom w:val="nil"/>
              <w:right w:val="nil"/>
            </w:tcBorders>
          </w:tcPr>
          <w:p w14:paraId="276EF9B1" w14:textId="77777777" w:rsidR="00D84C5D" w:rsidRPr="00EB7841" w:rsidRDefault="00D84C5D" w:rsidP="00D84C5D">
            <w:pPr>
              <w:keepNext/>
              <w:spacing w:before="20" w:after="20"/>
              <w:jc w:val="right"/>
              <w:rPr>
                <w:szCs w:val="18"/>
              </w:rPr>
            </w:pPr>
            <w:r>
              <w:rPr>
                <w:szCs w:val="18"/>
              </w:rPr>
              <w:t>(</w:t>
            </w:r>
            <w:r w:rsidRPr="00EB7841">
              <w:rPr>
                <w:szCs w:val="18"/>
              </w:rPr>
              <w:t>31.7</w:t>
            </w:r>
            <w:r>
              <w:rPr>
                <w:szCs w:val="18"/>
              </w:rPr>
              <w:t>)</w:t>
            </w:r>
          </w:p>
        </w:tc>
        <w:tc>
          <w:tcPr>
            <w:tcW w:w="818" w:type="dxa"/>
            <w:tcBorders>
              <w:top w:val="nil"/>
              <w:left w:val="nil"/>
              <w:bottom w:val="nil"/>
              <w:right w:val="nil"/>
            </w:tcBorders>
          </w:tcPr>
          <w:p w14:paraId="676DCE52" w14:textId="77777777" w:rsidR="00D84C5D" w:rsidRDefault="00D84C5D" w:rsidP="00D84C5D">
            <w:pPr>
              <w:keepNext/>
              <w:spacing w:before="20" w:after="20"/>
              <w:jc w:val="right"/>
              <w:rPr>
                <w:szCs w:val="18"/>
              </w:rPr>
            </w:pPr>
            <w:r>
              <w:rPr>
                <w:szCs w:val="18"/>
              </w:rPr>
              <w:t>935</w:t>
            </w:r>
          </w:p>
        </w:tc>
        <w:tc>
          <w:tcPr>
            <w:tcW w:w="820" w:type="dxa"/>
            <w:tcBorders>
              <w:top w:val="nil"/>
              <w:left w:val="nil"/>
              <w:bottom w:val="nil"/>
              <w:right w:val="nil"/>
            </w:tcBorders>
          </w:tcPr>
          <w:p w14:paraId="7A910384" w14:textId="77777777" w:rsidR="00D84C5D" w:rsidRDefault="00D84C5D" w:rsidP="00D84C5D">
            <w:pPr>
              <w:keepNext/>
              <w:spacing w:before="20" w:after="20"/>
              <w:jc w:val="right"/>
              <w:rPr>
                <w:szCs w:val="18"/>
              </w:rPr>
            </w:pPr>
            <w:r>
              <w:rPr>
                <w:szCs w:val="18"/>
              </w:rPr>
              <w:t>(30.0)</w:t>
            </w:r>
          </w:p>
        </w:tc>
        <w:tc>
          <w:tcPr>
            <w:tcW w:w="796" w:type="dxa"/>
            <w:tcBorders>
              <w:top w:val="nil"/>
              <w:left w:val="nil"/>
              <w:bottom w:val="nil"/>
              <w:right w:val="nil"/>
            </w:tcBorders>
          </w:tcPr>
          <w:p w14:paraId="2840D617" w14:textId="77777777" w:rsidR="00D84C5D" w:rsidRDefault="00D84C5D" w:rsidP="00D84C5D">
            <w:pPr>
              <w:spacing w:before="20" w:after="20"/>
              <w:jc w:val="right"/>
              <w:rPr>
                <w:szCs w:val="18"/>
              </w:rPr>
            </w:pPr>
            <w:r>
              <w:rPr>
                <w:szCs w:val="18"/>
              </w:rPr>
              <w:t>804</w:t>
            </w:r>
          </w:p>
        </w:tc>
        <w:tc>
          <w:tcPr>
            <w:tcW w:w="800" w:type="dxa"/>
            <w:tcBorders>
              <w:top w:val="nil"/>
              <w:left w:val="nil"/>
              <w:bottom w:val="nil"/>
              <w:right w:val="nil"/>
            </w:tcBorders>
          </w:tcPr>
          <w:p w14:paraId="5A620300" w14:textId="77777777" w:rsidR="00D84C5D" w:rsidRDefault="00D84C5D" w:rsidP="00D84C5D">
            <w:pPr>
              <w:spacing w:before="20" w:after="20"/>
              <w:jc w:val="right"/>
              <w:rPr>
                <w:szCs w:val="18"/>
              </w:rPr>
            </w:pPr>
            <w:r>
              <w:rPr>
                <w:szCs w:val="18"/>
              </w:rPr>
              <w:t>(29.0)</w:t>
            </w:r>
          </w:p>
        </w:tc>
      </w:tr>
      <w:tr w:rsidR="00D84C5D" w:rsidRPr="00EB7841" w14:paraId="4E8FA04E" w14:textId="77777777" w:rsidTr="00D84C5D">
        <w:tc>
          <w:tcPr>
            <w:tcW w:w="1865" w:type="dxa"/>
            <w:tcBorders>
              <w:top w:val="nil"/>
              <w:left w:val="nil"/>
              <w:bottom w:val="nil"/>
              <w:right w:val="nil"/>
            </w:tcBorders>
          </w:tcPr>
          <w:p w14:paraId="693BC2A0" w14:textId="77777777" w:rsidR="00D84C5D" w:rsidRPr="00EB7841" w:rsidRDefault="00D84C5D" w:rsidP="00D84C5D">
            <w:pPr>
              <w:keepNext/>
              <w:spacing w:before="20" w:after="20"/>
              <w:rPr>
                <w:szCs w:val="18"/>
              </w:rPr>
            </w:pPr>
            <w:r w:rsidRPr="00EB7841">
              <w:rPr>
                <w:szCs w:val="18"/>
              </w:rPr>
              <w:t>40 - 59 years</w:t>
            </w:r>
          </w:p>
        </w:tc>
        <w:tc>
          <w:tcPr>
            <w:tcW w:w="780" w:type="dxa"/>
            <w:tcBorders>
              <w:top w:val="nil"/>
              <w:left w:val="nil"/>
              <w:bottom w:val="nil"/>
              <w:right w:val="nil"/>
            </w:tcBorders>
          </w:tcPr>
          <w:p w14:paraId="34A66B30" w14:textId="77777777" w:rsidR="00D84C5D" w:rsidRPr="00EB7841" w:rsidRDefault="00D84C5D" w:rsidP="00D84C5D">
            <w:pPr>
              <w:keepNext/>
              <w:spacing w:before="20" w:after="20"/>
              <w:jc w:val="right"/>
              <w:rPr>
                <w:szCs w:val="18"/>
              </w:rPr>
            </w:pPr>
            <w:r>
              <w:rPr>
                <w:szCs w:val="18"/>
              </w:rPr>
              <w:t>2,342</w:t>
            </w:r>
          </w:p>
        </w:tc>
        <w:tc>
          <w:tcPr>
            <w:tcW w:w="811" w:type="dxa"/>
            <w:tcBorders>
              <w:top w:val="nil"/>
              <w:left w:val="nil"/>
              <w:bottom w:val="nil"/>
              <w:right w:val="nil"/>
            </w:tcBorders>
          </w:tcPr>
          <w:p w14:paraId="6F6ADBF6" w14:textId="77777777" w:rsidR="00D84C5D" w:rsidRPr="00EB7841" w:rsidRDefault="00D84C5D" w:rsidP="00D84C5D">
            <w:pPr>
              <w:keepNext/>
              <w:spacing w:before="20" w:after="20"/>
              <w:jc w:val="right"/>
              <w:rPr>
                <w:szCs w:val="18"/>
              </w:rPr>
            </w:pPr>
            <w:r>
              <w:rPr>
                <w:szCs w:val="18"/>
              </w:rPr>
              <w:t>(37.5)</w:t>
            </w:r>
          </w:p>
        </w:tc>
        <w:tc>
          <w:tcPr>
            <w:tcW w:w="796" w:type="dxa"/>
            <w:tcBorders>
              <w:top w:val="nil"/>
              <w:left w:val="nil"/>
              <w:bottom w:val="nil"/>
              <w:right w:val="nil"/>
            </w:tcBorders>
          </w:tcPr>
          <w:p w14:paraId="7185702A" w14:textId="77777777" w:rsidR="00D84C5D" w:rsidRPr="00EB7841" w:rsidRDefault="00D84C5D" w:rsidP="00D84C5D">
            <w:pPr>
              <w:keepNext/>
              <w:spacing w:before="20" w:after="20"/>
              <w:jc w:val="right"/>
              <w:rPr>
                <w:szCs w:val="18"/>
              </w:rPr>
            </w:pPr>
            <w:r w:rsidRPr="00EB7841">
              <w:rPr>
                <w:szCs w:val="18"/>
              </w:rPr>
              <w:t>1,502</w:t>
            </w:r>
          </w:p>
        </w:tc>
        <w:tc>
          <w:tcPr>
            <w:tcW w:w="820" w:type="dxa"/>
            <w:tcBorders>
              <w:top w:val="nil"/>
              <w:left w:val="nil"/>
              <w:bottom w:val="nil"/>
              <w:right w:val="nil"/>
            </w:tcBorders>
          </w:tcPr>
          <w:p w14:paraId="272CE894" w14:textId="77777777" w:rsidR="00D84C5D" w:rsidRPr="00EB7841" w:rsidRDefault="00D84C5D" w:rsidP="00D84C5D">
            <w:pPr>
              <w:keepNext/>
              <w:spacing w:before="20" w:after="20"/>
              <w:jc w:val="right"/>
              <w:rPr>
                <w:szCs w:val="18"/>
              </w:rPr>
            </w:pPr>
            <w:r>
              <w:rPr>
                <w:szCs w:val="18"/>
              </w:rPr>
              <w:t>(</w:t>
            </w:r>
            <w:r w:rsidRPr="00EB7841">
              <w:rPr>
                <w:szCs w:val="18"/>
              </w:rPr>
              <w:t>40.1</w:t>
            </w:r>
            <w:r>
              <w:rPr>
                <w:szCs w:val="18"/>
              </w:rPr>
              <w:t>)</w:t>
            </w:r>
          </w:p>
        </w:tc>
        <w:tc>
          <w:tcPr>
            <w:tcW w:w="818" w:type="dxa"/>
            <w:tcBorders>
              <w:top w:val="nil"/>
              <w:left w:val="nil"/>
              <w:bottom w:val="nil"/>
              <w:right w:val="nil"/>
            </w:tcBorders>
          </w:tcPr>
          <w:p w14:paraId="00E35035" w14:textId="77777777" w:rsidR="00D84C5D" w:rsidRDefault="00D84C5D" w:rsidP="00D84C5D">
            <w:pPr>
              <w:keepNext/>
              <w:spacing w:before="20" w:after="20"/>
              <w:jc w:val="right"/>
              <w:rPr>
                <w:szCs w:val="18"/>
              </w:rPr>
            </w:pPr>
            <w:r>
              <w:rPr>
                <w:szCs w:val="18"/>
              </w:rPr>
              <w:t>1,276</w:t>
            </w:r>
          </w:p>
        </w:tc>
        <w:tc>
          <w:tcPr>
            <w:tcW w:w="820" w:type="dxa"/>
            <w:tcBorders>
              <w:top w:val="nil"/>
              <w:left w:val="nil"/>
              <w:bottom w:val="nil"/>
              <w:right w:val="nil"/>
            </w:tcBorders>
          </w:tcPr>
          <w:p w14:paraId="2B88BDF3" w14:textId="77777777" w:rsidR="00D84C5D" w:rsidRDefault="00D84C5D" w:rsidP="00D84C5D">
            <w:pPr>
              <w:keepNext/>
              <w:spacing w:before="20" w:after="20"/>
              <w:jc w:val="right"/>
              <w:rPr>
                <w:szCs w:val="18"/>
              </w:rPr>
            </w:pPr>
            <w:r>
              <w:rPr>
                <w:szCs w:val="18"/>
              </w:rPr>
              <w:t>(41.0)</w:t>
            </w:r>
          </w:p>
        </w:tc>
        <w:tc>
          <w:tcPr>
            <w:tcW w:w="796" w:type="dxa"/>
            <w:tcBorders>
              <w:top w:val="nil"/>
              <w:left w:val="nil"/>
              <w:bottom w:val="nil"/>
              <w:right w:val="nil"/>
            </w:tcBorders>
          </w:tcPr>
          <w:p w14:paraId="37EBCBB3" w14:textId="77777777" w:rsidR="00D84C5D" w:rsidRDefault="00D84C5D" w:rsidP="00D84C5D">
            <w:pPr>
              <w:spacing w:before="20" w:after="20"/>
              <w:jc w:val="right"/>
              <w:rPr>
                <w:szCs w:val="18"/>
              </w:rPr>
            </w:pPr>
            <w:r>
              <w:rPr>
                <w:szCs w:val="18"/>
              </w:rPr>
              <w:t>1,368</w:t>
            </w:r>
          </w:p>
        </w:tc>
        <w:tc>
          <w:tcPr>
            <w:tcW w:w="800" w:type="dxa"/>
            <w:tcBorders>
              <w:top w:val="nil"/>
              <w:left w:val="nil"/>
              <w:bottom w:val="nil"/>
              <w:right w:val="nil"/>
            </w:tcBorders>
          </w:tcPr>
          <w:p w14:paraId="6BF26EC0" w14:textId="77777777" w:rsidR="00D84C5D" w:rsidRDefault="00D84C5D" w:rsidP="00D84C5D">
            <w:pPr>
              <w:spacing w:before="20" w:after="20"/>
              <w:jc w:val="right"/>
              <w:rPr>
                <w:szCs w:val="18"/>
              </w:rPr>
            </w:pPr>
            <w:r>
              <w:rPr>
                <w:szCs w:val="18"/>
              </w:rPr>
              <w:t>(49.4)</w:t>
            </w:r>
          </w:p>
        </w:tc>
      </w:tr>
      <w:tr w:rsidR="00D84C5D" w:rsidRPr="00EB7841" w14:paraId="66B3A572" w14:textId="77777777" w:rsidTr="00D84C5D">
        <w:tc>
          <w:tcPr>
            <w:tcW w:w="1865" w:type="dxa"/>
            <w:tcBorders>
              <w:top w:val="nil"/>
              <w:left w:val="nil"/>
              <w:bottom w:val="nil"/>
              <w:right w:val="nil"/>
            </w:tcBorders>
          </w:tcPr>
          <w:p w14:paraId="7705A12E" w14:textId="77777777" w:rsidR="00D84C5D" w:rsidRPr="00EB7841" w:rsidRDefault="00D84C5D" w:rsidP="00D84C5D">
            <w:pPr>
              <w:spacing w:before="20" w:after="20"/>
              <w:rPr>
                <w:szCs w:val="18"/>
              </w:rPr>
            </w:pPr>
            <w:r w:rsidRPr="00EB7841">
              <w:rPr>
                <w:szCs w:val="18"/>
              </w:rPr>
              <w:t>60+ years</w:t>
            </w:r>
          </w:p>
        </w:tc>
        <w:tc>
          <w:tcPr>
            <w:tcW w:w="780" w:type="dxa"/>
            <w:tcBorders>
              <w:top w:val="nil"/>
              <w:left w:val="nil"/>
              <w:bottom w:val="nil"/>
              <w:right w:val="nil"/>
            </w:tcBorders>
          </w:tcPr>
          <w:p w14:paraId="2E05618A" w14:textId="77777777" w:rsidR="00D84C5D" w:rsidRPr="00EB7841" w:rsidRDefault="00D84C5D" w:rsidP="00D84C5D">
            <w:pPr>
              <w:spacing w:before="20" w:after="20"/>
              <w:jc w:val="right"/>
              <w:rPr>
                <w:szCs w:val="18"/>
              </w:rPr>
            </w:pPr>
            <w:r>
              <w:rPr>
                <w:szCs w:val="18"/>
              </w:rPr>
              <w:t>1,668</w:t>
            </w:r>
          </w:p>
        </w:tc>
        <w:tc>
          <w:tcPr>
            <w:tcW w:w="811" w:type="dxa"/>
            <w:tcBorders>
              <w:top w:val="nil"/>
              <w:left w:val="nil"/>
              <w:bottom w:val="nil"/>
              <w:right w:val="nil"/>
            </w:tcBorders>
          </w:tcPr>
          <w:p w14:paraId="1F7BC07A" w14:textId="77777777" w:rsidR="00D84C5D" w:rsidRPr="00EB7841" w:rsidRDefault="00D84C5D" w:rsidP="00D84C5D">
            <w:pPr>
              <w:spacing w:before="20" w:after="20"/>
              <w:jc w:val="right"/>
              <w:rPr>
                <w:szCs w:val="18"/>
              </w:rPr>
            </w:pPr>
            <w:r>
              <w:rPr>
                <w:szCs w:val="18"/>
              </w:rPr>
              <w:t>(26.7)</w:t>
            </w:r>
          </w:p>
        </w:tc>
        <w:tc>
          <w:tcPr>
            <w:tcW w:w="796" w:type="dxa"/>
            <w:tcBorders>
              <w:top w:val="nil"/>
              <w:left w:val="nil"/>
              <w:bottom w:val="nil"/>
              <w:right w:val="nil"/>
            </w:tcBorders>
          </w:tcPr>
          <w:p w14:paraId="6993DDE3" w14:textId="77777777" w:rsidR="00D84C5D" w:rsidRPr="00EB7841" w:rsidRDefault="00D84C5D" w:rsidP="00D84C5D">
            <w:pPr>
              <w:spacing w:before="20" w:after="20"/>
              <w:jc w:val="right"/>
              <w:rPr>
                <w:szCs w:val="18"/>
              </w:rPr>
            </w:pPr>
            <w:r w:rsidRPr="00EB7841">
              <w:rPr>
                <w:szCs w:val="18"/>
              </w:rPr>
              <w:t>1,055</w:t>
            </w:r>
          </w:p>
        </w:tc>
        <w:tc>
          <w:tcPr>
            <w:tcW w:w="820" w:type="dxa"/>
            <w:tcBorders>
              <w:top w:val="nil"/>
              <w:left w:val="nil"/>
              <w:bottom w:val="nil"/>
              <w:right w:val="nil"/>
            </w:tcBorders>
          </w:tcPr>
          <w:p w14:paraId="68B437F0" w14:textId="77777777" w:rsidR="00D84C5D" w:rsidRPr="00EB7841" w:rsidRDefault="00D84C5D" w:rsidP="00D84C5D">
            <w:pPr>
              <w:spacing w:before="20" w:after="20"/>
              <w:jc w:val="right"/>
              <w:rPr>
                <w:szCs w:val="18"/>
              </w:rPr>
            </w:pPr>
            <w:r>
              <w:rPr>
                <w:szCs w:val="18"/>
              </w:rPr>
              <w:t>(</w:t>
            </w:r>
            <w:r w:rsidRPr="00EB7841">
              <w:rPr>
                <w:szCs w:val="18"/>
              </w:rPr>
              <w:t>28.2</w:t>
            </w:r>
            <w:r>
              <w:rPr>
                <w:szCs w:val="18"/>
              </w:rPr>
              <w:t>)</w:t>
            </w:r>
          </w:p>
        </w:tc>
        <w:tc>
          <w:tcPr>
            <w:tcW w:w="818" w:type="dxa"/>
            <w:tcBorders>
              <w:top w:val="nil"/>
              <w:left w:val="nil"/>
              <w:bottom w:val="nil"/>
              <w:right w:val="nil"/>
            </w:tcBorders>
          </w:tcPr>
          <w:p w14:paraId="64D2D04C" w14:textId="77777777" w:rsidR="00D84C5D" w:rsidRDefault="00D84C5D" w:rsidP="00D84C5D">
            <w:pPr>
              <w:spacing w:before="20" w:after="20"/>
              <w:jc w:val="right"/>
              <w:rPr>
                <w:szCs w:val="18"/>
              </w:rPr>
            </w:pPr>
            <w:r>
              <w:rPr>
                <w:szCs w:val="18"/>
              </w:rPr>
              <w:t>903</w:t>
            </w:r>
          </w:p>
        </w:tc>
        <w:tc>
          <w:tcPr>
            <w:tcW w:w="820" w:type="dxa"/>
            <w:tcBorders>
              <w:top w:val="nil"/>
              <w:left w:val="nil"/>
              <w:bottom w:val="nil"/>
              <w:right w:val="nil"/>
            </w:tcBorders>
          </w:tcPr>
          <w:p w14:paraId="068DD2D9" w14:textId="77777777" w:rsidR="00D84C5D" w:rsidRDefault="00D84C5D" w:rsidP="00D84C5D">
            <w:pPr>
              <w:spacing w:before="20" w:after="20"/>
              <w:jc w:val="right"/>
              <w:rPr>
                <w:szCs w:val="18"/>
              </w:rPr>
            </w:pPr>
            <w:r>
              <w:rPr>
                <w:szCs w:val="18"/>
              </w:rPr>
              <w:t>(29.0)</w:t>
            </w:r>
          </w:p>
        </w:tc>
        <w:tc>
          <w:tcPr>
            <w:tcW w:w="796" w:type="dxa"/>
            <w:tcBorders>
              <w:top w:val="nil"/>
              <w:left w:val="nil"/>
              <w:bottom w:val="nil"/>
              <w:right w:val="nil"/>
            </w:tcBorders>
          </w:tcPr>
          <w:p w14:paraId="09DE7D24" w14:textId="77777777" w:rsidR="00D84C5D" w:rsidRDefault="00D84C5D" w:rsidP="00D84C5D">
            <w:pPr>
              <w:spacing w:before="20" w:after="20"/>
              <w:jc w:val="right"/>
              <w:rPr>
                <w:szCs w:val="18"/>
              </w:rPr>
            </w:pPr>
            <w:r>
              <w:rPr>
                <w:szCs w:val="18"/>
              </w:rPr>
              <w:t>597</w:t>
            </w:r>
          </w:p>
        </w:tc>
        <w:tc>
          <w:tcPr>
            <w:tcW w:w="800" w:type="dxa"/>
            <w:tcBorders>
              <w:top w:val="nil"/>
              <w:left w:val="nil"/>
              <w:bottom w:val="nil"/>
              <w:right w:val="nil"/>
            </w:tcBorders>
          </w:tcPr>
          <w:p w14:paraId="37738B4C" w14:textId="77777777" w:rsidR="00D84C5D" w:rsidRDefault="00D84C5D" w:rsidP="00D84C5D">
            <w:pPr>
              <w:spacing w:before="20" w:after="20"/>
              <w:jc w:val="right"/>
              <w:rPr>
                <w:szCs w:val="18"/>
              </w:rPr>
            </w:pPr>
            <w:r>
              <w:rPr>
                <w:szCs w:val="18"/>
              </w:rPr>
              <w:t>(21.6)</w:t>
            </w:r>
          </w:p>
        </w:tc>
      </w:tr>
      <w:tr w:rsidR="00D84C5D" w:rsidRPr="00EB7841" w14:paraId="2EF1021F" w14:textId="77777777" w:rsidTr="00D84C5D">
        <w:tc>
          <w:tcPr>
            <w:tcW w:w="1865" w:type="dxa"/>
            <w:tcBorders>
              <w:top w:val="nil"/>
              <w:left w:val="nil"/>
              <w:right w:val="nil"/>
            </w:tcBorders>
          </w:tcPr>
          <w:p w14:paraId="14DEE128" w14:textId="77777777" w:rsidR="00D84C5D" w:rsidRPr="00EB7841" w:rsidRDefault="00D84C5D" w:rsidP="00D84C5D">
            <w:pPr>
              <w:spacing w:before="20" w:after="20"/>
              <w:rPr>
                <w:i/>
                <w:szCs w:val="18"/>
              </w:rPr>
            </w:pPr>
            <w:r w:rsidRPr="00EB7841">
              <w:rPr>
                <w:i/>
                <w:szCs w:val="18"/>
              </w:rPr>
              <w:t>Total</w:t>
            </w:r>
          </w:p>
        </w:tc>
        <w:tc>
          <w:tcPr>
            <w:tcW w:w="780" w:type="dxa"/>
            <w:tcBorders>
              <w:top w:val="nil"/>
              <w:left w:val="nil"/>
              <w:right w:val="nil"/>
            </w:tcBorders>
          </w:tcPr>
          <w:p w14:paraId="45706DBC" w14:textId="77777777" w:rsidR="00D84C5D" w:rsidRPr="00EB7841" w:rsidRDefault="00D84C5D" w:rsidP="00D84C5D">
            <w:pPr>
              <w:spacing w:before="20" w:after="20"/>
              <w:jc w:val="right"/>
              <w:rPr>
                <w:i/>
                <w:szCs w:val="18"/>
              </w:rPr>
            </w:pPr>
            <w:r>
              <w:rPr>
                <w:i/>
                <w:szCs w:val="18"/>
              </w:rPr>
              <w:t>6,244</w:t>
            </w:r>
            <w:r>
              <w:rPr>
                <w:i/>
                <w:szCs w:val="18"/>
                <w:vertAlign w:val="superscript"/>
              </w:rPr>
              <w:t>‡</w:t>
            </w:r>
          </w:p>
        </w:tc>
        <w:tc>
          <w:tcPr>
            <w:tcW w:w="811" w:type="dxa"/>
            <w:tcBorders>
              <w:top w:val="nil"/>
              <w:left w:val="nil"/>
              <w:right w:val="nil"/>
            </w:tcBorders>
          </w:tcPr>
          <w:p w14:paraId="052E939A" w14:textId="77777777" w:rsidR="00D84C5D" w:rsidRPr="00EB7841" w:rsidRDefault="00D84C5D" w:rsidP="00D84C5D">
            <w:pPr>
              <w:spacing w:before="20" w:after="20"/>
              <w:jc w:val="right"/>
              <w:rPr>
                <w:i/>
                <w:szCs w:val="18"/>
              </w:rPr>
            </w:pPr>
            <w:r>
              <w:rPr>
                <w:i/>
                <w:szCs w:val="18"/>
              </w:rPr>
              <w:t>(99.9)</w:t>
            </w:r>
          </w:p>
        </w:tc>
        <w:tc>
          <w:tcPr>
            <w:tcW w:w="796" w:type="dxa"/>
            <w:tcBorders>
              <w:top w:val="nil"/>
              <w:left w:val="nil"/>
              <w:right w:val="nil"/>
            </w:tcBorders>
          </w:tcPr>
          <w:p w14:paraId="66E1274D" w14:textId="77777777" w:rsidR="00D84C5D" w:rsidRPr="00EB7841" w:rsidRDefault="00D84C5D" w:rsidP="00D84C5D">
            <w:pPr>
              <w:spacing w:before="20" w:after="20"/>
              <w:jc w:val="right"/>
              <w:rPr>
                <w:i/>
                <w:szCs w:val="18"/>
              </w:rPr>
            </w:pPr>
            <w:r w:rsidRPr="00EB7841">
              <w:rPr>
                <w:i/>
                <w:szCs w:val="18"/>
              </w:rPr>
              <w:t>3,744</w:t>
            </w:r>
            <w:r>
              <w:rPr>
                <w:i/>
                <w:szCs w:val="18"/>
                <w:vertAlign w:val="superscript"/>
              </w:rPr>
              <w:t>‡‡</w:t>
            </w:r>
          </w:p>
        </w:tc>
        <w:tc>
          <w:tcPr>
            <w:tcW w:w="820" w:type="dxa"/>
            <w:tcBorders>
              <w:top w:val="nil"/>
              <w:left w:val="nil"/>
              <w:right w:val="nil"/>
            </w:tcBorders>
          </w:tcPr>
          <w:p w14:paraId="66ADA331" w14:textId="77777777" w:rsidR="00D84C5D" w:rsidRPr="00EB7841" w:rsidRDefault="00D84C5D" w:rsidP="00D84C5D">
            <w:pPr>
              <w:spacing w:before="20" w:after="20"/>
              <w:jc w:val="right"/>
              <w:rPr>
                <w:i/>
                <w:szCs w:val="18"/>
              </w:rPr>
            </w:pPr>
            <w:r>
              <w:rPr>
                <w:i/>
                <w:szCs w:val="18"/>
              </w:rPr>
              <w:t>(100.0)</w:t>
            </w:r>
          </w:p>
        </w:tc>
        <w:tc>
          <w:tcPr>
            <w:tcW w:w="818" w:type="dxa"/>
            <w:tcBorders>
              <w:top w:val="nil"/>
              <w:left w:val="nil"/>
              <w:right w:val="nil"/>
            </w:tcBorders>
          </w:tcPr>
          <w:p w14:paraId="2E5A700F" w14:textId="77777777" w:rsidR="00D84C5D" w:rsidRDefault="00D84C5D" w:rsidP="00D84C5D">
            <w:pPr>
              <w:spacing w:before="20" w:after="20"/>
              <w:jc w:val="right"/>
              <w:rPr>
                <w:i/>
                <w:szCs w:val="18"/>
              </w:rPr>
            </w:pPr>
            <w:r>
              <w:rPr>
                <w:i/>
                <w:szCs w:val="18"/>
              </w:rPr>
              <w:t>3,114</w:t>
            </w:r>
            <w:r>
              <w:rPr>
                <w:i/>
                <w:szCs w:val="18"/>
                <w:vertAlign w:val="superscript"/>
              </w:rPr>
              <w:t>‡‡</w:t>
            </w:r>
          </w:p>
        </w:tc>
        <w:tc>
          <w:tcPr>
            <w:tcW w:w="820" w:type="dxa"/>
            <w:tcBorders>
              <w:top w:val="nil"/>
              <w:left w:val="nil"/>
              <w:right w:val="nil"/>
            </w:tcBorders>
          </w:tcPr>
          <w:p w14:paraId="5E89C072" w14:textId="77777777" w:rsidR="00D84C5D" w:rsidRDefault="00D84C5D" w:rsidP="00D84C5D">
            <w:pPr>
              <w:spacing w:before="20" w:after="20"/>
              <w:jc w:val="right"/>
              <w:rPr>
                <w:i/>
                <w:szCs w:val="18"/>
              </w:rPr>
            </w:pPr>
            <w:r>
              <w:rPr>
                <w:i/>
                <w:szCs w:val="18"/>
              </w:rPr>
              <w:t>(100.0)</w:t>
            </w:r>
          </w:p>
        </w:tc>
        <w:tc>
          <w:tcPr>
            <w:tcW w:w="796" w:type="dxa"/>
            <w:tcBorders>
              <w:top w:val="nil"/>
              <w:left w:val="nil"/>
              <w:right w:val="nil"/>
            </w:tcBorders>
          </w:tcPr>
          <w:p w14:paraId="65A8BCD0" w14:textId="77777777" w:rsidR="00D84C5D" w:rsidRDefault="00D84C5D" w:rsidP="00D84C5D">
            <w:pPr>
              <w:spacing w:before="20" w:after="20"/>
              <w:jc w:val="right"/>
              <w:rPr>
                <w:i/>
                <w:szCs w:val="18"/>
              </w:rPr>
            </w:pPr>
            <w:r>
              <w:rPr>
                <w:i/>
                <w:szCs w:val="18"/>
              </w:rPr>
              <w:t>2,769</w:t>
            </w:r>
            <w:r>
              <w:rPr>
                <w:i/>
                <w:szCs w:val="18"/>
                <w:vertAlign w:val="superscript"/>
              </w:rPr>
              <w:t>‡‡</w:t>
            </w:r>
          </w:p>
        </w:tc>
        <w:tc>
          <w:tcPr>
            <w:tcW w:w="800" w:type="dxa"/>
            <w:tcBorders>
              <w:top w:val="nil"/>
              <w:left w:val="nil"/>
              <w:right w:val="nil"/>
            </w:tcBorders>
          </w:tcPr>
          <w:p w14:paraId="15606AE1" w14:textId="77777777" w:rsidR="00D84C5D" w:rsidRDefault="00D84C5D" w:rsidP="00D84C5D">
            <w:pPr>
              <w:spacing w:before="20" w:after="20"/>
              <w:jc w:val="right"/>
              <w:rPr>
                <w:i/>
                <w:szCs w:val="18"/>
              </w:rPr>
            </w:pPr>
            <w:r>
              <w:rPr>
                <w:i/>
                <w:szCs w:val="18"/>
              </w:rPr>
              <w:t>(100.0)</w:t>
            </w:r>
          </w:p>
        </w:tc>
      </w:tr>
    </w:tbl>
    <w:p w14:paraId="6EEB2491" w14:textId="77777777" w:rsidR="00A84CBB" w:rsidRPr="00A84CBB" w:rsidRDefault="00FA09CB" w:rsidP="00FA09CB">
      <w:pPr>
        <w:ind w:right="-52"/>
        <w:jc w:val="both"/>
        <w:rPr>
          <w:szCs w:val="22"/>
        </w:rPr>
      </w:pPr>
      <w:r w:rsidRPr="006D0C12">
        <w:rPr>
          <w:sz w:val="20"/>
          <w:szCs w:val="18"/>
          <w:vertAlign w:val="superscript"/>
        </w:rPr>
        <w:t>†</w:t>
      </w:r>
      <w:r w:rsidRPr="006D0C12">
        <w:rPr>
          <w:sz w:val="20"/>
          <w:szCs w:val="18"/>
        </w:rPr>
        <w:t xml:space="preserve"> Age recorded </w:t>
      </w:r>
      <w:r w:rsidR="003B4065">
        <w:rPr>
          <w:sz w:val="20"/>
          <w:szCs w:val="18"/>
        </w:rPr>
        <w:t xml:space="preserve">in Wave 1 / </w:t>
      </w:r>
      <w:r w:rsidR="00A70B6E">
        <w:rPr>
          <w:i/>
          <w:sz w:val="20"/>
          <w:szCs w:val="18"/>
          <w:vertAlign w:val="superscript"/>
        </w:rPr>
        <w:t>‡</w:t>
      </w:r>
      <w:r w:rsidRPr="006D0C12">
        <w:t xml:space="preserve"> </w:t>
      </w:r>
      <w:r w:rsidR="00A84CBB">
        <w:rPr>
          <w:sz w:val="20"/>
          <w:szCs w:val="18"/>
        </w:rPr>
        <w:t>Seven</w:t>
      </w:r>
      <w:r w:rsidRPr="006D0C12">
        <w:rPr>
          <w:sz w:val="20"/>
          <w:szCs w:val="18"/>
        </w:rPr>
        <w:t xml:space="preserve"> respondent</w:t>
      </w:r>
      <w:r w:rsidR="00A84CBB">
        <w:rPr>
          <w:sz w:val="20"/>
          <w:szCs w:val="18"/>
        </w:rPr>
        <w:t>s</w:t>
      </w:r>
      <w:r w:rsidRPr="006D0C12">
        <w:rPr>
          <w:sz w:val="20"/>
          <w:szCs w:val="18"/>
        </w:rPr>
        <w:t xml:space="preserve"> refused age questions</w:t>
      </w:r>
      <w:r w:rsidR="003B4065">
        <w:rPr>
          <w:sz w:val="20"/>
          <w:szCs w:val="18"/>
        </w:rPr>
        <w:t xml:space="preserve"> / </w:t>
      </w:r>
      <w:r w:rsidR="00A70B6E">
        <w:rPr>
          <w:i/>
          <w:sz w:val="20"/>
          <w:szCs w:val="18"/>
          <w:vertAlign w:val="superscript"/>
        </w:rPr>
        <w:t>‡‡</w:t>
      </w:r>
      <w:r w:rsidR="00A84CBB">
        <w:rPr>
          <w:i/>
          <w:sz w:val="20"/>
          <w:szCs w:val="18"/>
          <w:vertAlign w:val="superscript"/>
        </w:rPr>
        <w:t xml:space="preserve"> </w:t>
      </w:r>
      <w:r w:rsidR="00A84CBB" w:rsidRPr="00A84CBB">
        <w:rPr>
          <w:sz w:val="20"/>
          <w:szCs w:val="18"/>
        </w:rPr>
        <w:t>One respondent</w:t>
      </w:r>
      <w:r w:rsidR="00A84CBB">
        <w:rPr>
          <w:sz w:val="20"/>
          <w:szCs w:val="18"/>
        </w:rPr>
        <w:t xml:space="preserve"> refused age questions</w:t>
      </w:r>
    </w:p>
    <w:p w14:paraId="4DE6CF8D" w14:textId="77777777" w:rsidR="0046000D" w:rsidRPr="003B4065" w:rsidRDefault="0046000D" w:rsidP="000D1CF7">
      <w:pPr>
        <w:pStyle w:val="RepNormal"/>
        <w:rPr>
          <w:sz w:val="16"/>
        </w:rPr>
      </w:pPr>
    </w:p>
    <w:p w14:paraId="2AB53E3F" w14:textId="77777777" w:rsidR="00CB0B65" w:rsidRDefault="00CB0B65" w:rsidP="000D1CF7">
      <w:pPr>
        <w:pStyle w:val="RepNormal"/>
      </w:pPr>
    </w:p>
    <w:p w14:paraId="0621D18E" w14:textId="77777777" w:rsidR="0046000D" w:rsidRPr="00333ADD" w:rsidRDefault="00C00791" w:rsidP="000D1CF7">
      <w:pPr>
        <w:pStyle w:val="RepHead3"/>
      </w:pPr>
      <w:bookmarkStart w:id="38" w:name="_Toc504488341"/>
      <w:r>
        <w:t>Sample c</w:t>
      </w:r>
      <w:r w:rsidR="00CB0B65">
        <w:t>omposition by ethnicity</w:t>
      </w:r>
      <w:bookmarkEnd w:id="38"/>
    </w:p>
    <w:p w14:paraId="5A70DFD1" w14:textId="77777777" w:rsidR="0046000D" w:rsidRPr="00A074D8" w:rsidRDefault="0046000D" w:rsidP="000D1CF7">
      <w:pPr>
        <w:pStyle w:val="RepNormal"/>
        <w:rPr>
          <w:sz w:val="20"/>
        </w:rPr>
      </w:pPr>
    </w:p>
    <w:p w14:paraId="37474DB6" w14:textId="77777777" w:rsidR="00A074D8" w:rsidRDefault="00FA0E60" w:rsidP="00FA0E60">
      <w:pPr>
        <w:keepNext/>
        <w:jc w:val="both"/>
        <w:rPr>
          <w:szCs w:val="22"/>
        </w:rPr>
      </w:pPr>
      <w:r>
        <w:rPr>
          <w:szCs w:val="22"/>
        </w:rPr>
        <w:t>Across all four waves</w:t>
      </w:r>
      <w:r w:rsidR="00A074D8">
        <w:rPr>
          <w:szCs w:val="22"/>
        </w:rPr>
        <w:t xml:space="preserve">, </w:t>
      </w:r>
      <w:r w:rsidR="009C7031">
        <w:rPr>
          <w:szCs w:val="22"/>
        </w:rPr>
        <w:t>slightly more than half</w:t>
      </w:r>
      <w:r>
        <w:rPr>
          <w:szCs w:val="22"/>
        </w:rPr>
        <w:t xml:space="preserve"> of</w:t>
      </w:r>
      <w:r w:rsidR="00A074D8">
        <w:rPr>
          <w:szCs w:val="22"/>
        </w:rPr>
        <w:t xml:space="preserve"> </w:t>
      </w:r>
      <w:r w:rsidR="009C7031">
        <w:rPr>
          <w:szCs w:val="22"/>
        </w:rPr>
        <w:t xml:space="preserve">the </w:t>
      </w:r>
      <w:r w:rsidR="00A074D8">
        <w:rPr>
          <w:szCs w:val="22"/>
        </w:rPr>
        <w:t>participants identified as European/Other (</w:t>
      </w:r>
      <w:r w:rsidR="009C7031">
        <w:rPr>
          <w:szCs w:val="22"/>
        </w:rPr>
        <w:t>56</w:t>
      </w:r>
      <w:r w:rsidR="00A074D8">
        <w:rPr>
          <w:szCs w:val="22"/>
        </w:rPr>
        <w:t>%</w:t>
      </w:r>
      <w:r w:rsidR="009C7031">
        <w:rPr>
          <w:szCs w:val="22"/>
        </w:rPr>
        <w:t xml:space="preserve"> in Wave 1, 62</w:t>
      </w:r>
      <w:r>
        <w:rPr>
          <w:szCs w:val="22"/>
        </w:rPr>
        <w:t>% in Wave 4</w:t>
      </w:r>
      <w:r w:rsidR="00A074D8">
        <w:rPr>
          <w:szCs w:val="22"/>
        </w:rPr>
        <w:t>)</w:t>
      </w:r>
      <w:r>
        <w:rPr>
          <w:szCs w:val="22"/>
        </w:rPr>
        <w:t xml:space="preserve">.  </w:t>
      </w:r>
      <w:r w:rsidR="00A074D8">
        <w:rPr>
          <w:szCs w:val="22"/>
        </w:rPr>
        <w:t xml:space="preserve">Māori </w:t>
      </w:r>
      <w:r>
        <w:rPr>
          <w:szCs w:val="22"/>
        </w:rPr>
        <w:t xml:space="preserve">comprised 19% in Wave 1 and 17% in Wave 4.  The proportion of Pacific and Asian participants was similar with 13% of each ethnicity reported in Wave 1 and </w:t>
      </w:r>
      <w:r w:rsidR="009C7031">
        <w:rPr>
          <w:szCs w:val="22"/>
        </w:rPr>
        <w:t>about 10</w:t>
      </w:r>
      <w:r>
        <w:rPr>
          <w:szCs w:val="22"/>
        </w:rPr>
        <w:t xml:space="preserve">% in Wave 4 </w:t>
      </w:r>
      <w:r w:rsidR="00405EB5">
        <w:rPr>
          <w:szCs w:val="22"/>
        </w:rPr>
        <w:t>(</w:t>
      </w:r>
      <w:r w:rsidR="00405EB5" w:rsidRPr="00A074D8">
        <w:rPr>
          <w:szCs w:val="22"/>
        </w:rPr>
        <w:fldChar w:fldCharType="begin"/>
      </w:r>
      <w:r w:rsidR="00405EB5" w:rsidRPr="00A074D8">
        <w:rPr>
          <w:szCs w:val="22"/>
        </w:rPr>
        <w:instrText xml:space="preserve"> REF _Ref418580588 \h  \* MERGEFORMAT </w:instrText>
      </w:r>
      <w:r w:rsidR="00405EB5" w:rsidRPr="00A074D8">
        <w:rPr>
          <w:szCs w:val="22"/>
        </w:rPr>
      </w:r>
      <w:r w:rsidR="00405EB5" w:rsidRPr="00A074D8">
        <w:rPr>
          <w:szCs w:val="22"/>
        </w:rPr>
        <w:fldChar w:fldCharType="separate"/>
      </w:r>
      <w:r w:rsidR="00D5752E" w:rsidRPr="00C24069">
        <w:t xml:space="preserve">Table </w:t>
      </w:r>
      <w:r w:rsidR="00D5752E">
        <w:rPr>
          <w:noProof/>
        </w:rPr>
        <w:t>2</w:t>
      </w:r>
      <w:r w:rsidR="00405EB5" w:rsidRPr="00A074D8">
        <w:rPr>
          <w:szCs w:val="22"/>
        </w:rPr>
        <w:fldChar w:fldCharType="end"/>
      </w:r>
      <w:r w:rsidR="00405EB5">
        <w:rPr>
          <w:szCs w:val="22"/>
        </w:rPr>
        <w:t>)</w:t>
      </w:r>
      <w:r w:rsidR="00A074D8">
        <w:rPr>
          <w:szCs w:val="22"/>
        </w:rPr>
        <w:t xml:space="preserve">.  </w:t>
      </w:r>
      <w:r w:rsidR="00975C9E">
        <w:rPr>
          <w:szCs w:val="22"/>
        </w:rPr>
        <w:t>The ethnicity</w:t>
      </w:r>
      <w:r w:rsidR="00975C9E">
        <w:rPr>
          <w:rStyle w:val="FootnoteReference"/>
          <w:szCs w:val="22"/>
        </w:rPr>
        <w:footnoteReference w:id="2"/>
      </w:r>
      <w:r w:rsidR="00975C9E">
        <w:rPr>
          <w:szCs w:val="22"/>
        </w:rPr>
        <w:t xml:space="preserve"> reported </w:t>
      </w:r>
      <w:r w:rsidR="003B4065">
        <w:rPr>
          <w:szCs w:val="22"/>
        </w:rPr>
        <w:t>by participants in Wave </w:t>
      </w:r>
      <w:r w:rsidR="00975C9E">
        <w:rPr>
          <w:szCs w:val="22"/>
        </w:rPr>
        <w:t>1 is the ethnic category used for data analyses in all waves.</w:t>
      </w:r>
    </w:p>
    <w:p w14:paraId="457D1177" w14:textId="77777777" w:rsidR="00A074D8" w:rsidRDefault="00A074D8" w:rsidP="00C50714">
      <w:pPr>
        <w:keepNext/>
        <w:jc w:val="both"/>
        <w:rPr>
          <w:szCs w:val="22"/>
        </w:rPr>
      </w:pPr>
    </w:p>
    <w:p w14:paraId="6A13CD9B" w14:textId="77777777" w:rsidR="00C50714" w:rsidRPr="00C24069" w:rsidRDefault="00C50714" w:rsidP="00C50714">
      <w:pPr>
        <w:pStyle w:val="Caption"/>
        <w:keepNext/>
      </w:pPr>
      <w:bookmarkStart w:id="39" w:name="_Ref418580588"/>
      <w:bookmarkStart w:id="40" w:name="_Toc504488427"/>
      <w:r w:rsidRPr="00C24069">
        <w:t xml:space="preserve">Table </w:t>
      </w:r>
      <w:r w:rsidR="00D5752E">
        <w:fldChar w:fldCharType="begin"/>
      </w:r>
      <w:r w:rsidR="00D5752E">
        <w:instrText xml:space="preserve"> SEQ Table \* ARABIC </w:instrText>
      </w:r>
      <w:r w:rsidR="00D5752E">
        <w:fldChar w:fldCharType="separate"/>
      </w:r>
      <w:r w:rsidR="00D5752E">
        <w:rPr>
          <w:noProof/>
        </w:rPr>
        <w:t>2</w:t>
      </w:r>
      <w:r w:rsidR="00D5752E">
        <w:rPr>
          <w:noProof/>
        </w:rPr>
        <w:fldChar w:fldCharType="end"/>
      </w:r>
      <w:bookmarkEnd w:id="39"/>
      <w:r w:rsidRPr="00C24069">
        <w:t xml:space="preserve">: Ethnicity of participants in Waves 1 to </w:t>
      </w:r>
      <w:r w:rsidR="00AC337F">
        <w:t>4</w:t>
      </w:r>
      <w:bookmarkEnd w:id="40"/>
    </w:p>
    <w:tbl>
      <w:tblPr>
        <w:tblStyle w:val="TableGrid"/>
        <w:tblW w:w="8306" w:type="dxa"/>
        <w:tblLook w:val="04A0" w:firstRow="1" w:lastRow="0" w:firstColumn="1" w:lastColumn="0" w:noHBand="0" w:noVBand="1"/>
      </w:tblPr>
      <w:tblGrid>
        <w:gridCol w:w="2213"/>
        <w:gridCol w:w="741"/>
        <w:gridCol w:w="811"/>
        <w:gridCol w:w="692"/>
        <w:gridCol w:w="821"/>
        <w:gridCol w:w="741"/>
        <w:gridCol w:w="821"/>
        <w:gridCol w:w="666"/>
        <w:gridCol w:w="800"/>
      </w:tblGrid>
      <w:tr w:rsidR="00294736" w:rsidRPr="00EB7841" w14:paraId="0D474846" w14:textId="77777777" w:rsidTr="00465A1E">
        <w:tc>
          <w:tcPr>
            <w:tcW w:w="2213" w:type="dxa"/>
            <w:tcBorders>
              <w:left w:val="nil"/>
              <w:bottom w:val="nil"/>
              <w:right w:val="nil"/>
            </w:tcBorders>
            <w:vAlign w:val="bottom"/>
          </w:tcPr>
          <w:p w14:paraId="14C3A92C" w14:textId="77777777" w:rsidR="00294736" w:rsidRPr="00EB7841" w:rsidRDefault="00294736" w:rsidP="00970927">
            <w:pPr>
              <w:spacing w:before="20" w:after="20"/>
              <w:rPr>
                <w:b/>
                <w:szCs w:val="18"/>
              </w:rPr>
            </w:pPr>
          </w:p>
        </w:tc>
        <w:tc>
          <w:tcPr>
            <w:tcW w:w="1552" w:type="dxa"/>
            <w:gridSpan w:val="2"/>
            <w:tcBorders>
              <w:left w:val="nil"/>
              <w:bottom w:val="single" w:sz="4" w:space="0" w:color="auto"/>
              <w:right w:val="nil"/>
            </w:tcBorders>
            <w:vAlign w:val="center"/>
          </w:tcPr>
          <w:p w14:paraId="313DCC1C" w14:textId="77777777" w:rsidR="00294736" w:rsidRPr="00EB7841" w:rsidRDefault="00294736" w:rsidP="00970927">
            <w:pPr>
              <w:spacing w:before="20" w:after="20"/>
              <w:jc w:val="center"/>
              <w:rPr>
                <w:b/>
                <w:szCs w:val="18"/>
              </w:rPr>
            </w:pPr>
            <w:r>
              <w:rPr>
                <w:b/>
                <w:szCs w:val="18"/>
              </w:rPr>
              <w:t>Wave 1</w:t>
            </w:r>
          </w:p>
        </w:tc>
        <w:tc>
          <w:tcPr>
            <w:tcW w:w="1513" w:type="dxa"/>
            <w:gridSpan w:val="2"/>
            <w:tcBorders>
              <w:left w:val="nil"/>
              <w:bottom w:val="single" w:sz="4" w:space="0" w:color="auto"/>
              <w:right w:val="nil"/>
            </w:tcBorders>
            <w:vAlign w:val="center"/>
          </w:tcPr>
          <w:p w14:paraId="2ACC20D2" w14:textId="77777777" w:rsidR="00294736" w:rsidRPr="00EB7841" w:rsidRDefault="00294736" w:rsidP="00970927">
            <w:pPr>
              <w:spacing w:before="20" w:after="20"/>
              <w:jc w:val="center"/>
              <w:rPr>
                <w:b/>
                <w:szCs w:val="18"/>
              </w:rPr>
            </w:pPr>
            <w:r>
              <w:rPr>
                <w:b/>
                <w:szCs w:val="18"/>
              </w:rPr>
              <w:t>Wave 2</w:t>
            </w:r>
          </w:p>
        </w:tc>
        <w:tc>
          <w:tcPr>
            <w:tcW w:w="1562" w:type="dxa"/>
            <w:gridSpan w:val="2"/>
            <w:tcBorders>
              <w:left w:val="nil"/>
              <w:bottom w:val="single" w:sz="4" w:space="0" w:color="auto"/>
              <w:right w:val="nil"/>
            </w:tcBorders>
            <w:vAlign w:val="center"/>
          </w:tcPr>
          <w:p w14:paraId="7413D92D" w14:textId="77777777" w:rsidR="00294736" w:rsidRPr="00EB7841" w:rsidRDefault="00294736" w:rsidP="00970927">
            <w:pPr>
              <w:spacing w:before="20" w:after="20"/>
              <w:jc w:val="center"/>
              <w:rPr>
                <w:b/>
                <w:szCs w:val="18"/>
              </w:rPr>
            </w:pPr>
            <w:r>
              <w:rPr>
                <w:b/>
                <w:szCs w:val="18"/>
              </w:rPr>
              <w:t>Wave 3</w:t>
            </w:r>
          </w:p>
        </w:tc>
        <w:tc>
          <w:tcPr>
            <w:tcW w:w="1466" w:type="dxa"/>
            <w:gridSpan w:val="2"/>
            <w:tcBorders>
              <w:left w:val="nil"/>
              <w:bottom w:val="single" w:sz="4" w:space="0" w:color="auto"/>
              <w:right w:val="nil"/>
            </w:tcBorders>
          </w:tcPr>
          <w:p w14:paraId="387F78BA" w14:textId="77777777" w:rsidR="00294736" w:rsidRDefault="00294736" w:rsidP="00970927">
            <w:pPr>
              <w:spacing w:before="20" w:after="20"/>
              <w:jc w:val="center"/>
              <w:rPr>
                <w:b/>
                <w:szCs w:val="18"/>
              </w:rPr>
            </w:pPr>
            <w:r>
              <w:rPr>
                <w:b/>
                <w:szCs w:val="18"/>
              </w:rPr>
              <w:t>Wave 4</w:t>
            </w:r>
          </w:p>
        </w:tc>
      </w:tr>
      <w:tr w:rsidR="00294736" w:rsidRPr="00EB7841" w14:paraId="4032C877" w14:textId="77777777" w:rsidTr="00465A1E">
        <w:tc>
          <w:tcPr>
            <w:tcW w:w="2213" w:type="dxa"/>
            <w:tcBorders>
              <w:top w:val="nil"/>
              <w:left w:val="nil"/>
              <w:bottom w:val="single" w:sz="4" w:space="0" w:color="auto"/>
              <w:right w:val="nil"/>
            </w:tcBorders>
            <w:vAlign w:val="center"/>
          </w:tcPr>
          <w:p w14:paraId="02AC4A99" w14:textId="77777777" w:rsidR="00294736" w:rsidRPr="00EB7841" w:rsidRDefault="00294736" w:rsidP="00970927">
            <w:pPr>
              <w:spacing w:before="20" w:after="20"/>
              <w:rPr>
                <w:b/>
                <w:szCs w:val="18"/>
              </w:rPr>
            </w:pPr>
            <w:r>
              <w:rPr>
                <w:b/>
                <w:szCs w:val="18"/>
              </w:rPr>
              <w:t>Ethnic group</w:t>
            </w:r>
            <w:r w:rsidRPr="006D0C12">
              <w:rPr>
                <w:szCs w:val="18"/>
                <w:vertAlign w:val="superscript"/>
              </w:rPr>
              <w:t>†</w:t>
            </w:r>
          </w:p>
        </w:tc>
        <w:tc>
          <w:tcPr>
            <w:tcW w:w="741" w:type="dxa"/>
            <w:tcBorders>
              <w:left w:val="nil"/>
              <w:bottom w:val="single" w:sz="4" w:space="0" w:color="auto"/>
              <w:right w:val="nil"/>
            </w:tcBorders>
            <w:vAlign w:val="center"/>
          </w:tcPr>
          <w:p w14:paraId="26B686A8" w14:textId="77777777" w:rsidR="00294736" w:rsidRPr="00EB7841" w:rsidRDefault="00294736" w:rsidP="00294736">
            <w:pPr>
              <w:spacing w:before="20" w:after="20"/>
              <w:jc w:val="right"/>
              <w:rPr>
                <w:b/>
                <w:szCs w:val="18"/>
              </w:rPr>
            </w:pPr>
            <w:r>
              <w:rPr>
                <w:b/>
                <w:szCs w:val="18"/>
              </w:rPr>
              <w:t>n</w:t>
            </w:r>
          </w:p>
        </w:tc>
        <w:tc>
          <w:tcPr>
            <w:tcW w:w="811" w:type="dxa"/>
            <w:tcBorders>
              <w:left w:val="nil"/>
              <w:bottom w:val="single" w:sz="4" w:space="0" w:color="auto"/>
              <w:right w:val="nil"/>
            </w:tcBorders>
            <w:vAlign w:val="center"/>
          </w:tcPr>
          <w:p w14:paraId="4358A1EA" w14:textId="77777777" w:rsidR="00294736" w:rsidRPr="00EB7841" w:rsidRDefault="00294736" w:rsidP="00294736">
            <w:pPr>
              <w:spacing w:before="20" w:after="20"/>
              <w:jc w:val="right"/>
              <w:rPr>
                <w:b/>
                <w:szCs w:val="18"/>
              </w:rPr>
            </w:pPr>
            <w:r>
              <w:rPr>
                <w:b/>
                <w:szCs w:val="18"/>
              </w:rPr>
              <w:t>(%)</w:t>
            </w:r>
          </w:p>
        </w:tc>
        <w:tc>
          <w:tcPr>
            <w:tcW w:w="692" w:type="dxa"/>
            <w:tcBorders>
              <w:left w:val="nil"/>
              <w:bottom w:val="single" w:sz="4" w:space="0" w:color="auto"/>
              <w:right w:val="nil"/>
            </w:tcBorders>
            <w:vAlign w:val="center"/>
          </w:tcPr>
          <w:p w14:paraId="3A487868" w14:textId="77777777" w:rsidR="00294736" w:rsidRPr="00EB7841" w:rsidRDefault="00294736" w:rsidP="00294736">
            <w:pPr>
              <w:spacing w:before="20" w:after="20"/>
              <w:jc w:val="right"/>
              <w:rPr>
                <w:b/>
                <w:szCs w:val="18"/>
              </w:rPr>
            </w:pPr>
            <w:r>
              <w:rPr>
                <w:b/>
                <w:szCs w:val="18"/>
              </w:rPr>
              <w:t>n</w:t>
            </w:r>
          </w:p>
        </w:tc>
        <w:tc>
          <w:tcPr>
            <w:tcW w:w="821" w:type="dxa"/>
            <w:tcBorders>
              <w:left w:val="nil"/>
              <w:bottom w:val="single" w:sz="4" w:space="0" w:color="auto"/>
              <w:right w:val="nil"/>
            </w:tcBorders>
            <w:vAlign w:val="center"/>
          </w:tcPr>
          <w:p w14:paraId="094004ED" w14:textId="77777777" w:rsidR="00294736" w:rsidRPr="00EB7841" w:rsidRDefault="00294736" w:rsidP="00294736">
            <w:pPr>
              <w:spacing w:before="20" w:after="20"/>
              <w:jc w:val="right"/>
              <w:rPr>
                <w:b/>
                <w:szCs w:val="18"/>
              </w:rPr>
            </w:pPr>
            <w:r w:rsidRPr="00EB7841">
              <w:rPr>
                <w:b/>
                <w:szCs w:val="18"/>
              </w:rPr>
              <w:t>(%)</w:t>
            </w:r>
          </w:p>
        </w:tc>
        <w:tc>
          <w:tcPr>
            <w:tcW w:w="741" w:type="dxa"/>
            <w:tcBorders>
              <w:left w:val="nil"/>
              <w:bottom w:val="single" w:sz="4" w:space="0" w:color="auto"/>
              <w:right w:val="nil"/>
            </w:tcBorders>
            <w:vAlign w:val="center"/>
          </w:tcPr>
          <w:p w14:paraId="7809B516" w14:textId="77777777" w:rsidR="00294736" w:rsidRPr="00EB7841" w:rsidRDefault="00294736" w:rsidP="00294736">
            <w:pPr>
              <w:spacing w:before="20" w:after="20"/>
              <w:jc w:val="right"/>
              <w:rPr>
                <w:b/>
                <w:szCs w:val="18"/>
              </w:rPr>
            </w:pPr>
            <w:r>
              <w:rPr>
                <w:b/>
                <w:szCs w:val="18"/>
              </w:rPr>
              <w:t>n</w:t>
            </w:r>
          </w:p>
        </w:tc>
        <w:tc>
          <w:tcPr>
            <w:tcW w:w="821" w:type="dxa"/>
            <w:tcBorders>
              <w:left w:val="nil"/>
              <w:bottom w:val="single" w:sz="4" w:space="0" w:color="auto"/>
              <w:right w:val="nil"/>
            </w:tcBorders>
            <w:vAlign w:val="center"/>
          </w:tcPr>
          <w:p w14:paraId="277507A7" w14:textId="77777777" w:rsidR="00294736" w:rsidRPr="00EB7841" w:rsidRDefault="00294736" w:rsidP="00294736">
            <w:pPr>
              <w:spacing w:before="20" w:after="20"/>
              <w:jc w:val="right"/>
              <w:rPr>
                <w:b/>
                <w:szCs w:val="18"/>
              </w:rPr>
            </w:pPr>
            <w:r>
              <w:rPr>
                <w:b/>
                <w:szCs w:val="18"/>
              </w:rPr>
              <w:t>(%)</w:t>
            </w:r>
          </w:p>
        </w:tc>
        <w:tc>
          <w:tcPr>
            <w:tcW w:w="666" w:type="dxa"/>
            <w:tcBorders>
              <w:left w:val="nil"/>
              <w:bottom w:val="single" w:sz="4" w:space="0" w:color="auto"/>
              <w:right w:val="nil"/>
            </w:tcBorders>
          </w:tcPr>
          <w:p w14:paraId="4FB3527B" w14:textId="77777777" w:rsidR="00294736" w:rsidRDefault="00294736" w:rsidP="00294736">
            <w:pPr>
              <w:spacing w:before="20" w:after="20"/>
              <w:jc w:val="right"/>
              <w:rPr>
                <w:b/>
                <w:szCs w:val="18"/>
              </w:rPr>
            </w:pPr>
            <w:r>
              <w:rPr>
                <w:b/>
                <w:szCs w:val="18"/>
              </w:rPr>
              <w:t>n</w:t>
            </w:r>
          </w:p>
        </w:tc>
        <w:tc>
          <w:tcPr>
            <w:tcW w:w="800" w:type="dxa"/>
            <w:tcBorders>
              <w:left w:val="nil"/>
              <w:bottom w:val="single" w:sz="4" w:space="0" w:color="auto"/>
              <w:right w:val="nil"/>
            </w:tcBorders>
          </w:tcPr>
          <w:p w14:paraId="2D701718" w14:textId="77777777" w:rsidR="00294736" w:rsidRDefault="00294736" w:rsidP="00294736">
            <w:pPr>
              <w:spacing w:before="20" w:after="20"/>
              <w:jc w:val="right"/>
              <w:rPr>
                <w:b/>
                <w:szCs w:val="18"/>
              </w:rPr>
            </w:pPr>
            <w:r>
              <w:rPr>
                <w:b/>
                <w:szCs w:val="18"/>
              </w:rPr>
              <w:t>(%)</w:t>
            </w:r>
          </w:p>
        </w:tc>
      </w:tr>
      <w:tr w:rsidR="00465A1E" w:rsidRPr="00EB7841" w14:paraId="11EC5FFF" w14:textId="77777777" w:rsidTr="00465A1E">
        <w:tc>
          <w:tcPr>
            <w:tcW w:w="2213" w:type="dxa"/>
            <w:tcBorders>
              <w:left w:val="nil"/>
              <w:bottom w:val="nil"/>
              <w:right w:val="nil"/>
            </w:tcBorders>
          </w:tcPr>
          <w:p w14:paraId="7741416A" w14:textId="77777777" w:rsidR="00465A1E" w:rsidRPr="00BE6FF5" w:rsidRDefault="00465A1E" w:rsidP="00465A1E">
            <w:pPr>
              <w:spacing w:before="20" w:after="20"/>
            </w:pPr>
            <w:r w:rsidRPr="00BE6FF5">
              <w:t>European/Other</w:t>
            </w:r>
          </w:p>
        </w:tc>
        <w:tc>
          <w:tcPr>
            <w:tcW w:w="741" w:type="dxa"/>
            <w:tcBorders>
              <w:left w:val="nil"/>
              <w:bottom w:val="nil"/>
              <w:right w:val="nil"/>
            </w:tcBorders>
            <w:vAlign w:val="center"/>
          </w:tcPr>
          <w:p w14:paraId="1D776497" w14:textId="77777777" w:rsidR="00465A1E" w:rsidRPr="00465A1E" w:rsidRDefault="00465A1E" w:rsidP="00465A1E">
            <w:pPr>
              <w:jc w:val="right"/>
              <w:rPr>
                <w:color w:val="000000"/>
                <w:szCs w:val="20"/>
                <w:lang w:eastAsia="en-NZ"/>
              </w:rPr>
            </w:pPr>
            <w:r w:rsidRPr="00465A1E">
              <w:rPr>
                <w:color w:val="000000"/>
                <w:szCs w:val="20"/>
              </w:rPr>
              <w:t>3448</w:t>
            </w:r>
          </w:p>
        </w:tc>
        <w:tc>
          <w:tcPr>
            <w:tcW w:w="811" w:type="dxa"/>
            <w:tcBorders>
              <w:left w:val="nil"/>
              <w:bottom w:val="nil"/>
              <w:right w:val="nil"/>
            </w:tcBorders>
            <w:vAlign w:val="center"/>
          </w:tcPr>
          <w:p w14:paraId="085AA9AF" w14:textId="77777777" w:rsidR="00465A1E" w:rsidRPr="00465A1E" w:rsidRDefault="00465A1E" w:rsidP="00465A1E">
            <w:pPr>
              <w:jc w:val="right"/>
              <w:rPr>
                <w:color w:val="000000"/>
                <w:szCs w:val="20"/>
              </w:rPr>
            </w:pPr>
            <w:r w:rsidRPr="00465A1E">
              <w:rPr>
                <w:color w:val="000000"/>
                <w:szCs w:val="20"/>
              </w:rPr>
              <w:t>(55.7)</w:t>
            </w:r>
          </w:p>
        </w:tc>
        <w:tc>
          <w:tcPr>
            <w:tcW w:w="692" w:type="dxa"/>
            <w:tcBorders>
              <w:left w:val="nil"/>
              <w:bottom w:val="nil"/>
              <w:right w:val="nil"/>
            </w:tcBorders>
            <w:vAlign w:val="center"/>
          </w:tcPr>
          <w:p w14:paraId="192C543A" w14:textId="77777777" w:rsidR="00465A1E" w:rsidRPr="00465A1E" w:rsidRDefault="00465A1E" w:rsidP="00465A1E">
            <w:pPr>
              <w:jc w:val="right"/>
              <w:rPr>
                <w:color w:val="000000"/>
                <w:szCs w:val="20"/>
              </w:rPr>
            </w:pPr>
            <w:r w:rsidRPr="00465A1E">
              <w:rPr>
                <w:color w:val="000000"/>
                <w:szCs w:val="20"/>
              </w:rPr>
              <w:t>2209</w:t>
            </w:r>
          </w:p>
        </w:tc>
        <w:tc>
          <w:tcPr>
            <w:tcW w:w="821" w:type="dxa"/>
            <w:tcBorders>
              <w:left w:val="nil"/>
              <w:bottom w:val="nil"/>
              <w:right w:val="nil"/>
            </w:tcBorders>
            <w:vAlign w:val="center"/>
          </w:tcPr>
          <w:p w14:paraId="54A7EAA5" w14:textId="77777777" w:rsidR="00465A1E" w:rsidRPr="00465A1E" w:rsidRDefault="00465A1E" w:rsidP="00465A1E">
            <w:pPr>
              <w:jc w:val="right"/>
              <w:rPr>
                <w:color w:val="000000"/>
                <w:szCs w:val="20"/>
              </w:rPr>
            </w:pPr>
            <w:r w:rsidRPr="00465A1E">
              <w:rPr>
                <w:color w:val="000000"/>
                <w:szCs w:val="20"/>
              </w:rPr>
              <w:t>(59.6)</w:t>
            </w:r>
          </w:p>
        </w:tc>
        <w:tc>
          <w:tcPr>
            <w:tcW w:w="741" w:type="dxa"/>
            <w:tcBorders>
              <w:left w:val="nil"/>
              <w:bottom w:val="nil"/>
              <w:right w:val="nil"/>
            </w:tcBorders>
            <w:vAlign w:val="center"/>
          </w:tcPr>
          <w:p w14:paraId="48E190E9" w14:textId="77777777" w:rsidR="00465A1E" w:rsidRPr="00465A1E" w:rsidRDefault="00465A1E" w:rsidP="00465A1E">
            <w:pPr>
              <w:jc w:val="right"/>
              <w:rPr>
                <w:color w:val="000000"/>
                <w:szCs w:val="20"/>
              </w:rPr>
            </w:pPr>
            <w:r w:rsidRPr="00465A1E">
              <w:rPr>
                <w:color w:val="000000"/>
                <w:szCs w:val="20"/>
              </w:rPr>
              <w:t>1892</w:t>
            </w:r>
          </w:p>
        </w:tc>
        <w:tc>
          <w:tcPr>
            <w:tcW w:w="821" w:type="dxa"/>
            <w:tcBorders>
              <w:left w:val="nil"/>
              <w:bottom w:val="nil"/>
              <w:right w:val="nil"/>
            </w:tcBorders>
            <w:vAlign w:val="center"/>
          </w:tcPr>
          <w:p w14:paraId="108113BD" w14:textId="77777777" w:rsidR="00465A1E" w:rsidRPr="00465A1E" w:rsidRDefault="00465A1E" w:rsidP="00465A1E">
            <w:pPr>
              <w:jc w:val="right"/>
              <w:rPr>
                <w:color w:val="000000"/>
                <w:szCs w:val="20"/>
              </w:rPr>
            </w:pPr>
            <w:r w:rsidRPr="00465A1E">
              <w:rPr>
                <w:color w:val="000000"/>
                <w:szCs w:val="20"/>
              </w:rPr>
              <w:t>(61.4)</w:t>
            </w:r>
          </w:p>
        </w:tc>
        <w:tc>
          <w:tcPr>
            <w:tcW w:w="666" w:type="dxa"/>
            <w:tcBorders>
              <w:left w:val="nil"/>
              <w:bottom w:val="nil"/>
              <w:right w:val="nil"/>
            </w:tcBorders>
            <w:vAlign w:val="center"/>
          </w:tcPr>
          <w:p w14:paraId="42DEEC03" w14:textId="77777777" w:rsidR="00465A1E" w:rsidRPr="00465A1E" w:rsidRDefault="00465A1E" w:rsidP="00465A1E">
            <w:pPr>
              <w:jc w:val="right"/>
              <w:rPr>
                <w:color w:val="000000"/>
                <w:szCs w:val="20"/>
              </w:rPr>
            </w:pPr>
            <w:r w:rsidRPr="00465A1E">
              <w:rPr>
                <w:color w:val="000000"/>
                <w:szCs w:val="20"/>
              </w:rPr>
              <w:t>1702</w:t>
            </w:r>
          </w:p>
        </w:tc>
        <w:tc>
          <w:tcPr>
            <w:tcW w:w="800" w:type="dxa"/>
            <w:tcBorders>
              <w:left w:val="nil"/>
              <w:bottom w:val="nil"/>
              <w:right w:val="nil"/>
            </w:tcBorders>
            <w:vAlign w:val="center"/>
          </w:tcPr>
          <w:p w14:paraId="7D110B53" w14:textId="77777777" w:rsidR="00465A1E" w:rsidRPr="00465A1E" w:rsidRDefault="00465A1E" w:rsidP="00465A1E">
            <w:pPr>
              <w:jc w:val="right"/>
              <w:rPr>
                <w:color w:val="000000"/>
                <w:szCs w:val="20"/>
              </w:rPr>
            </w:pPr>
            <w:r w:rsidRPr="00465A1E">
              <w:rPr>
                <w:color w:val="000000"/>
                <w:szCs w:val="20"/>
              </w:rPr>
              <w:t>(62.0)</w:t>
            </w:r>
          </w:p>
        </w:tc>
      </w:tr>
      <w:tr w:rsidR="00465A1E" w:rsidRPr="00EB7841" w14:paraId="398A4B43" w14:textId="77777777" w:rsidTr="00465A1E">
        <w:tc>
          <w:tcPr>
            <w:tcW w:w="2213" w:type="dxa"/>
            <w:tcBorders>
              <w:top w:val="nil"/>
              <w:left w:val="nil"/>
              <w:bottom w:val="nil"/>
              <w:right w:val="nil"/>
            </w:tcBorders>
          </w:tcPr>
          <w:p w14:paraId="342B8265" w14:textId="77777777" w:rsidR="00465A1E" w:rsidRPr="00BE6FF5" w:rsidRDefault="00465A1E" w:rsidP="00465A1E">
            <w:pPr>
              <w:spacing w:before="20" w:after="20"/>
            </w:pPr>
            <w:r w:rsidRPr="00BE6FF5">
              <w:t>Māori</w:t>
            </w:r>
          </w:p>
        </w:tc>
        <w:tc>
          <w:tcPr>
            <w:tcW w:w="741" w:type="dxa"/>
            <w:tcBorders>
              <w:top w:val="nil"/>
              <w:left w:val="nil"/>
              <w:bottom w:val="nil"/>
              <w:right w:val="nil"/>
            </w:tcBorders>
            <w:vAlign w:val="center"/>
          </w:tcPr>
          <w:p w14:paraId="04361E7C" w14:textId="77777777" w:rsidR="00465A1E" w:rsidRPr="00465A1E" w:rsidRDefault="00465A1E" w:rsidP="00465A1E">
            <w:pPr>
              <w:jc w:val="right"/>
              <w:rPr>
                <w:color w:val="000000"/>
                <w:szCs w:val="20"/>
              </w:rPr>
            </w:pPr>
            <w:r w:rsidRPr="00465A1E">
              <w:rPr>
                <w:color w:val="000000"/>
                <w:szCs w:val="20"/>
              </w:rPr>
              <w:t>1164</w:t>
            </w:r>
          </w:p>
        </w:tc>
        <w:tc>
          <w:tcPr>
            <w:tcW w:w="811" w:type="dxa"/>
            <w:tcBorders>
              <w:top w:val="nil"/>
              <w:left w:val="nil"/>
              <w:bottom w:val="nil"/>
              <w:right w:val="nil"/>
            </w:tcBorders>
            <w:vAlign w:val="center"/>
          </w:tcPr>
          <w:p w14:paraId="2B3C1A98" w14:textId="77777777" w:rsidR="00465A1E" w:rsidRPr="00465A1E" w:rsidRDefault="00465A1E" w:rsidP="00465A1E">
            <w:pPr>
              <w:jc w:val="right"/>
              <w:rPr>
                <w:color w:val="000000"/>
                <w:szCs w:val="20"/>
              </w:rPr>
            </w:pPr>
            <w:r w:rsidRPr="00465A1E">
              <w:rPr>
                <w:color w:val="000000"/>
                <w:szCs w:val="20"/>
              </w:rPr>
              <w:t>(18.8)</w:t>
            </w:r>
          </w:p>
        </w:tc>
        <w:tc>
          <w:tcPr>
            <w:tcW w:w="692" w:type="dxa"/>
            <w:tcBorders>
              <w:top w:val="nil"/>
              <w:left w:val="nil"/>
              <w:bottom w:val="nil"/>
              <w:right w:val="nil"/>
            </w:tcBorders>
            <w:vAlign w:val="center"/>
          </w:tcPr>
          <w:p w14:paraId="3BD4FEC1" w14:textId="77777777" w:rsidR="00465A1E" w:rsidRPr="00465A1E" w:rsidRDefault="00465A1E" w:rsidP="00465A1E">
            <w:pPr>
              <w:jc w:val="right"/>
              <w:rPr>
                <w:color w:val="000000"/>
                <w:szCs w:val="20"/>
              </w:rPr>
            </w:pPr>
            <w:r w:rsidRPr="00465A1E">
              <w:rPr>
                <w:color w:val="000000"/>
                <w:szCs w:val="20"/>
              </w:rPr>
              <w:t>656</w:t>
            </w:r>
          </w:p>
        </w:tc>
        <w:tc>
          <w:tcPr>
            <w:tcW w:w="821" w:type="dxa"/>
            <w:tcBorders>
              <w:top w:val="nil"/>
              <w:left w:val="nil"/>
              <w:bottom w:val="nil"/>
              <w:right w:val="nil"/>
            </w:tcBorders>
            <w:vAlign w:val="center"/>
          </w:tcPr>
          <w:p w14:paraId="753DFB2A" w14:textId="77777777" w:rsidR="00465A1E" w:rsidRPr="00465A1E" w:rsidRDefault="00465A1E" w:rsidP="00465A1E">
            <w:pPr>
              <w:jc w:val="right"/>
              <w:rPr>
                <w:color w:val="000000"/>
                <w:szCs w:val="20"/>
              </w:rPr>
            </w:pPr>
            <w:r w:rsidRPr="00465A1E">
              <w:rPr>
                <w:color w:val="000000"/>
                <w:szCs w:val="20"/>
              </w:rPr>
              <w:t>(17.7)</w:t>
            </w:r>
          </w:p>
        </w:tc>
        <w:tc>
          <w:tcPr>
            <w:tcW w:w="741" w:type="dxa"/>
            <w:tcBorders>
              <w:top w:val="nil"/>
              <w:left w:val="nil"/>
              <w:bottom w:val="nil"/>
              <w:right w:val="nil"/>
            </w:tcBorders>
            <w:vAlign w:val="center"/>
          </w:tcPr>
          <w:p w14:paraId="65D97E48" w14:textId="77777777" w:rsidR="00465A1E" w:rsidRPr="00465A1E" w:rsidRDefault="00465A1E" w:rsidP="00465A1E">
            <w:pPr>
              <w:jc w:val="right"/>
              <w:rPr>
                <w:color w:val="000000"/>
                <w:szCs w:val="20"/>
              </w:rPr>
            </w:pPr>
            <w:r w:rsidRPr="00465A1E">
              <w:rPr>
                <w:color w:val="000000"/>
                <w:szCs w:val="20"/>
              </w:rPr>
              <w:t>520</w:t>
            </w:r>
          </w:p>
        </w:tc>
        <w:tc>
          <w:tcPr>
            <w:tcW w:w="821" w:type="dxa"/>
            <w:tcBorders>
              <w:top w:val="nil"/>
              <w:left w:val="nil"/>
              <w:bottom w:val="nil"/>
              <w:right w:val="nil"/>
            </w:tcBorders>
            <w:vAlign w:val="center"/>
          </w:tcPr>
          <w:p w14:paraId="63CE6C17" w14:textId="77777777" w:rsidR="00465A1E" w:rsidRPr="00465A1E" w:rsidRDefault="00465A1E" w:rsidP="00465A1E">
            <w:pPr>
              <w:jc w:val="right"/>
              <w:rPr>
                <w:color w:val="000000"/>
                <w:szCs w:val="20"/>
              </w:rPr>
            </w:pPr>
            <w:r w:rsidRPr="00465A1E">
              <w:rPr>
                <w:color w:val="000000"/>
                <w:szCs w:val="20"/>
              </w:rPr>
              <w:t>(16.9)</w:t>
            </w:r>
          </w:p>
        </w:tc>
        <w:tc>
          <w:tcPr>
            <w:tcW w:w="666" w:type="dxa"/>
            <w:tcBorders>
              <w:top w:val="nil"/>
              <w:left w:val="nil"/>
              <w:bottom w:val="nil"/>
              <w:right w:val="nil"/>
            </w:tcBorders>
            <w:vAlign w:val="center"/>
          </w:tcPr>
          <w:p w14:paraId="0115A9B1" w14:textId="77777777" w:rsidR="00465A1E" w:rsidRPr="00465A1E" w:rsidRDefault="00465A1E" w:rsidP="00465A1E">
            <w:pPr>
              <w:jc w:val="right"/>
              <w:rPr>
                <w:color w:val="000000"/>
                <w:szCs w:val="20"/>
              </w:rPr>
            </w:pPr>
            <w:r w:rsidRPr="00465A1E">
              <w:rPr>
                <w:color w:val="000000"/>
                <w:szCs w:val="20"/>
              </w:rPr>
              <w:t>473</w:t>
            </w:r>
          </w:p>
        </w:tc>
        <w:tc>
          <w:tcPr>
            <w:tcW w:w="800" w:type="dxa"/>
            <w:tcBorders>
              <w:top w:val="nil"/>
              <w:left w:val="nil"/>
              <w:bottom w:val="nil"/>
              <w:right w:val="nil"/>
            </w:tcBorders>
            <w:vAlign w:val="center"/>
          </w:tcPr>
          <w:p w14:paraId="371B9E07" w14:textId="77777777" w:rsidR="00465A1E" w:rsidRPr="00465A1E" w:rsidRDefault="00465A1E" w:rsidP="00465A1E">
            <w:pPr>
              <w:jc w:val="right"/>
              <w:rPr>
                <w:color w:val="000000"/>
                <w:szCs w:val="20"/>
              </w:rPr>
            </w:pPr>
            <w:r w:rsidRPr="00465A1E">
              <w:rPr>
                <w:color w:val="000000"/>
                <w:szCs w:val="20"/>
              </w:rPr>
              <w:t>(17.2)</w:t>
            </w:r>
          </w:p>
        </w:tc>
      </w:tr>
      <w:tr w:rsidR="00465A1E" w:rsidRPr="00EB7841" w14:paraId="23F57676" w14:textId="77777777" w:rsidTr="00465A1E">
        <w:tc>
          <w:tcPr>
            <w:tcW w:w="2213" w:type="dxa"/>
            <w:tcBorders>
              <w:top w:val="nil"/>
              <w:left w:val="nil"/>
              <w:bottom w:val="nil"/>
              <w:right w:val="nil"/>
            </w:tcBorders>
          </w:tcPr>
          <w:p w14:paraId="09760AAE" w14:textId="77777777" w:rsidR="00465A1E" w:rsidRPr="00BE6FF5" w:rsidRDefault="00465A1E" w:rsidP="00465A1E">
            <w:pPr>
              <w:spacing w:before="20" w:after="20"/>
            </w:pPr>
            <w:r w:rsidRPr="00BE6FF5">
              <w:t>Pacific</w:t>
            </w:r>
          </w:p>
        </w:tc>
        <w:tc>
          <w:tcPr>
            <w:tcW w:w="741" w:type="dxa"/>
            <w:tcBorders>
              <w:top w:val="nil"/>
              <w:left w:val="nil"/>
              <w:bottom w:val="nil"/>
              <w:right w:val="nil"/>
            </w:tcBorders>
            <w:vAlign w:val="center"/>
          </w:tcPr>
          <w:p w14:paraId="108477AD" w14:textId="77777777" w:rsidR="00465A1E" w:rsidRPr="00465A1E" w:rsidRDefault="00465A1E" w:rsidP="00465A1E">
            <w:pPr>
              <w:jc w:val="right"/>
              <w:rPr>
                <w:color w:val="000000"/>
                <w:szCs w:val="20"/>
              </w:rPr>
            </w:pPr>
            <w:r w:rsidRPr="00465A1E">
              <w:rPr>
                <w:color w:val="000000"/>
                <w:szCs w:val="20"/>
              </w:rPr>
              <w:t>778</w:t>
            </w:r>
          </w:p>
        </w:tc>
        <w:tc>
          <w:tcPr>
            <w:tcW w:w="811" w:type="dxa"/>
            <w:tcBorders>
              <w:top w:val="nil"/>
              <w:left w:val="nil"/>
              <w:bottom w:val="nil"/>
              <w:right w:val="nil"/>
            </w:tcBorders>
            <w:vAlign w:val="center"/>
          </w:tcPr>
          <w:p w14:paraId="44EFDFBF" w14:textId="77777777" w:rsidR="00465A1E" w:rsidRPr="00465A1E" w:rsidRDefault="00465A1E" w:rsidP="00465A1E">
            <w:pPr>
              <w:jc w:val="right"/>
              <w:rPr>
                <w:color w:val="000000"/>
                <w:szCs w:val="20"/>
              </w:rPr>
            </w:pPr>
            <w:r w:rsidRPr="00465A1E">
              <w:rPr>
                <w:color w:val="000000"/>
                <w:szCs w:val="20"/>
              </w:rPr>
              <w:t>(12.6)</w:t>
            </w:r>
          </w:p>
        </w:tc>
        <w:tc>
          <w:tcPr>
            <w:tcW w:w="692" w:type="dxa"/>
            <w:tcBorders>
              <w:top w:val="nil"/>
              <w:left w:val="nil"/>
              <w:bottom w:val="nil"/>
              <w:right w:val="nil"/>
            </w:tcBorders>
            <w:vAlign w:val="center"/>
          </w:tcPr>
          <w:p w14:paraId="41676932" w14:textId="77777777" w:rsidR="00465A1E" w:rsidRPr="00465A1E" w:rsidRDefault="00465A1E" w:rsidP="00465A1E">
            <w:pPr>
              <w:jc w:val="right"/>
              <w:rPr>
                <w:color w:val="000000"/>
                <w:szCs w:val="20"/>
              </w:rPr>
            </w:pPr>
            <w:r w:rsidRPr="00465A1E">
              <w:rPr>
                <w:color w:val="000000"/>
                <w:szCs w:val="20"/>
              </w:rPr>
              <w:t>439</w:t>
            </w:r>
          </w:p>
        </w:tc>
        <w:tc>
          <w:tcPr>
            <w:tcW w:w="821" w:type="dxa"/>
            <w:tcBorders>
              <w:top w:val="nil"/>
              <w:left w:val="nil"/>
              <w:bottom w:val="nil"/>
              <w:right w:val="nil"/>
            </w:tcBorders>
            <w:vAlign w:val="center"/>
          </w:tcPr>
          <w:p w14:paraId="373B6F97" w14:textId="77777777" w:rsidR="00465A1E" w:rsidRPr="00465A1E" w:rsidRDefault="00465A1E" w:rsidP="00465A1E">
            <w:pPr>
              <w:jc w:val="right"/>
              <w:rPr>
                <w:color w:val="000000"/>
                <w:szCs w:val="20"/>
              </w:rPr>
            </w:pPr>
            <w:r w:rsidRPr="00465A1E">
              <w:rPr>
                <w:color w:val="000000"/>
                <w:szCs w:val="20"/>
              </w:rPr>
              <w:t>(11.8)</w:t>
            </w:r>
          </w:p>
        </w:tc>
        <w:tc>
          <w:tcPr>
            <w:tcW w:w="741" w:type="dxa"/>
            <w:tcBorders>
              <w:top w:val="nil"/>
              <w:left w:val="nil"/>
              <w:bottom w:val="nil"/>
              <w:right w:val="nil"/>
            </w:tcBorders>
            <w:vAlign w:val="center"/>
          </w:tcPr>
          <w:p w14:paraId="7E34D82E" w14:textId="77777777" w:rsidR="00465A1E" w:rsidRPr="00465A1E" w:rsidRDefault="00465A1E" w:rsidP="00465A1E">
            <w:pPr>
              <w:jc w:val="right"/>
              <w:rPr>
                <w:color w:val="000000"/>
                <w:szCs w:val="20"/>
              </w:rPr>
            </w:pPr>
            <w:r w:rsidRPr="00465A1E">
              <w:rPr>
                <w:color w:val="000000"/>
                <w:szCs w:val="20"/>
              </w:rPr>
              <w:t>350</w:t>
            </w:r>
          </w:p>
        </w:tc>
        <w:tc>
          <w:tcPr>
            <w:tcW w:w="821" w:type="dxa"/>
            <w:tcBorders>
              <w:top w:val="nil"/>
              <w:left w:val="nil"/>
              <w:bottom w:val="nil"/>
              <w:right w:val="nil"/>
            </w:tcBorders>
            <w:vAlign w:val="center"/>
          </w:tcPr>
          <w:p w14:paraId="4C56653B" w14:textId="77777777" w:rsidR="00465A1E" w:rsidRPr="00465A1E" w:rsidRDefault="00465A1E" w:rsidP="00465A1E">
            <w:pPr>
              <w:jc w:val="right"/>
              <w:rPr>
                <w:color w:val="000000"/>
                <w:szCs w:val="20"/>
              </w:rPr>
            </w:pPr>
            <w:r w:rsidRPr="00465A1E">
              <w:rPr>
                <w:color w:val="000000"/>
                <w:szCs w:val="20"/>
              </w:rPr>
              <w:t>(11.4)</w:t>
            </w:r>
          </w:p>
        </w:tc>
        <w:tc>
          <w:tcPr>
            <w:tcW w:w="666" w:type="dxa"/>
            <w:tcBorders>
              <w:top w:val="nil"/>
              <w:left w:val="nil"/>
              <w:bottom w:val="nil"/>
              <w:right w:val="nil"/>
            </w:tcBorders>
            <w:vAlign w:val="center"/>
          </w:tcPr>
          <w:p w14:paraId="2976607A" w14:textId="77777777" w:rsidR="00465A1E" w:rsidRPr="00465A1E" w:rsidRDefault="00465A1E" w:rsidP="00465A1E">
            <w:pPr>
              <w:jc w:val="right"/>
              <w:rPr>
                <w:color w:val="000000"/>
                <w:szCs w:val="20"/>
              </w:rPr>
            </w:pPr>
            <w:r w:rsidRPr="00465A1E">
              <w:rPr>
                <w:color w:val="000000"/>
                <w:szCs w:val="20"/>
              </w:rPr>
              <w:t>287</w:t>
            </w:r>
          </w:p>
        </w:tc>
        <w:tc>
          <w:tcPr>
            <w:tcW w:w="800" w:type="dxa"/>
            <w:tcBorders>
              <w:top w:val="nil"/>
              <w:left w:val="nil"/>
              <w:bottom w:val="nil"/>
              <w:right w:val="nil"/>
            </w:tcBorders>
            <w:vAlign w:val="center"/>
          </w:tcPr>
          <w:p w14:paraId="3D5FEC35" w14:textId="77777777" w:rsidR="00465A1E" w:rsidRPr="00465A1E" w:rsidRDefault="00465A1E" w:rsidP="00465A1E">
            <w:pPr>
              <w:jc w:val="right"/>
              <w:rPr>
                <w:color w:val="000000"/>
                <w:szCs w:val="20"/>
              </w:rPr>
            </w:pPr>
            <w:r w:rsidRPr="00465A1E">
              <w:rPr>
                <w:color w:val="000000"/>
                <w:szCs w:val="20"/>
              </w:rPr>
              <w:t>(10.5)</w:t>
            </w:r>
          </w:p>
        </w:tc>
      </w:tr>
      <w:tr w:rsidR="00465A1E" w:rsidRPr="00EB7841" w14:paraId="49DC0F88" w14:textId="77777777" w:rsidTr="00465A1E">
        <w:tc>
          <w:tcPr>
            <w:tcW w:w="2213" w:type="dxa"/>
            <w:tcBorders>
              <w:top w:val="nil"/>
              <w:left w:val="nil"/>
              <w:bottom w:val="nil"/>
              <w:right w:val="nil"/>
            </w:tcBorders>
          </w:tcPr>
          <w:p w14:paraId="1ACE521B" w14:textId="77777777" w:rsidR="00465A1E" w:rsidRPr="00BE6FF5" w:rsidRDefault="00465A1E" w:rsidP="00465A1E">
            <w:pPr>
              <w:spacing w:before="20" w:after="20"/>
            </w:pPr>
            <w:r w:rsidRPr="00BE6FF5">
              <w:t>Asian</w:t>
            </w:r>
          </w:p>
        </w:tc>
        <w:tc>
          <w:tcPr>
            <w:tcW w:w="741" w:type="dxa"/>
            <w:tcBorders>
              <w:top w:val="nil"/>
              <w:left w:val="nil"/>
              <w:bottom w:val="nil"/>
              <w:right w:val="nil"/>
            </w:tcBorders>
            <w:vAlign w:val="center"/>
          </w:tcPr>
          <w:p w14:paraId="783082FD" w14:textId="77777777" w:rsidR="00465A1E" w:rsidRPr="00465A1E" w:rsidRDefault="00465A1E" w:rsidP="00465A1E">
            <w:pPr>
              <w:jc w:val="right"/>
              <w:rPr>
                <w:color w:val="000000"/>
                <w:szCs w:val="20"/>
              </w:rPr>
            </w:pPr>
            <w:r w:rsidRPr="00465A1E">
              <w:rPr>
                <w:color w:val="000000"/>
                <w:szCs w:val="20"/>
              </w:rPr>
              <w:t>798</w:t>
            </w:r>
          </w:p>
        </w:tc>
        <w:tc>
          <w:tcPr>
            <w:tcW w:w="811" w:type="dxa"/>
            <w:tcBorders>
              <w:top w:val="nil"/>
              <w:left w:val="nil"/>
              <w:bottom w:val="nil"/>
              <w:right w:val="nil"/>
            </w:tcBorders>
            <w:vAlign w:val="center"/>
          </w:tcPr>
          <w:p w14:paraId="781E120D" w14:textId="77777777" w:rsidR="00465A1E" w:rsidRPr="00465A1E" w:rsidRDefault="00465A1E" w:rsidP="00465A1E">
            <w:pPr>
              <w:jc w:val="right"/>
              <w:rPr>
                <w:color w:val="000000"/>
                <w:szCs w:val="20"/>
              </w:rPr>
            </w:pPr>
            <w:r w:rsidRPr="00465A1E">
              <w:rPr>
                <w:color w:val="000000"/>
                <w:szCs w:val="20"/>
              </w:rPr>
              <w:t>(12.9)</w:t>
            </w:r>
          </w:p>
        </w:tc>
        <w:tc>
          <w:tcPr>
            <w:tcW w:w="692" w:type="dxa"/>
            <w:tcBorders>
              <w:top w:val="nil"/>
              <w:left w:val="nil"/>
              <w:bottom w:val="nil"/>
              <w:right w:val="nil"/>
            </w:tcBorders>
            <w:vAlign w:val="center"/>
          </w:tcPr>
          <w:p w14:paraId="34A77D87" w14:textId="77777777" w:rsidR="00465A1E" w:rsidRPr="00465A1E" w:rsidRDefault="00465A1E" w:rsidP="00465A1E">
            <w:pPr>
              <w:jc w:val="right"/>
              <w:rPr>
                <w:color w:val="000000"/>
                <w:szCs w:val="20"/>
              </w:rPr>
            </w:pPr>
            <w:r w:rsidRPr="00465A1E">
              <w:rPr>
                <w:color w:val="000000"/>
                <w:szCs w:val="20"/>
              </w:rPr>
              <w:t>403</w:t>
            </w:r>
          </w:p>
        </w:tc>
        <w:tc>
          <w:tcPr>
            <w:tcW w:w="821" w:type="dxa"/>
            <w:tcBorders>
              <w:top w:val="nil"/>
              <w:left w:val="nil"/>
              <w:bottom w:val="nil"/>
              <w:right w:val="nil"/>
            </w:tcBorders>
            <w:vAlign w:val="center"/>
          </w:tcPr>
          <w:p w14:paraId="188760D0" w14:textId="77777777" w:rsidR="00465A1E" w:rsidRPr="00465A1E" w:rsidRDefault="00465A1E" w:rsidP="00465A1E">
            <w:pPr>
              <w:jc w:val="right"/>
              <w:rPr>
                <w:color w:val="000000"/>
                <w:szCs w:val="20"/>
              </w:rPr>
            </w:pPr>
            <w:r w:rsidRPr="00465A1E">
              <w:rPr>
                <w:color w:val="000000"/>
                <w:szCs w:val="20"/>
              </w:rPr>
              <w:t>(10.9)</w:t>
            </w:r>
          </w:p>
        </w:tc>
        <w:tc>
          <w:tcPr>
            <w:tcW w:w="741" w:type="dxa"/>
            <w:tcBorders>
              <w:top w:val="nil"/>
              <w:left w:val="nil"/>
              <w:bottom w:val="nil"/>
              <w:right w:val="nil"/>
            </w:tcBorders>
            <w:vAlign w:val="center"/>
          </w:tcPr>
          <w:p w14:paraId="1C99CAF4" w14:textId="77777777" w:rsidR="00465A1E" w:rsidRPr="00465A1E" w:rsidRDefault="00465A1E" w:rsidP="00465A1E">
            <w:pPr>
              <w:jc w:val="right"/>
              <w:rPr>
                <w:color w:val="000000"/>
                <w:szCs w:val="20"/>
              </w:rPr>
            </w:pPr>
            <w:r w:rsidRPr="00465A1E">
              <w:rPr>
                <w:color w:val="000000"/>
                <w:szCs w:val="20"/>
              </w:rPr>
              <w:t>322</w:t>
            </w:r>
          </w:p>
        </w:tc>
        <w:tc>
          <w:tcPr>
            <w:tcW w:w="821" w:type="dxa"/>
            <w:tcBorders>
              <w:top w:val="nil"/>
              <w:left w:val="nil"/>
              <w:bottom w:val="nil"/>
              <w:right w:val="nil"/>
            </w:tcBorders>
            <w:vAlign w:val="center"/>
          </w:tcPr>
          <w:p w14:paraId="530BBFBE" w14:textId="77777777" w:rsidR="00465A1E" w:rsidRPr="00465A1E" w:rsidRDefault="00465A1E" w:rsidP="00465A1E">
            <w:pPr>
              <w:jc w:val="right"/>
              <w:rPr>
                <w:color w:val="000000"/>
                <w:szCs w:val="20"/>
              </w:rPr>
            </w:pPr>
            <w:r w:rsidRPr="00465A1E">
              <w:rPr>
                <w:color w:val="000000"/>
                <w:szCs w:val="20"/>
              </w:rPr>
              <w:t>(10.4)</w:t>
            </w:r>
          </w:p>
        </w:tc>
        <w:tc>
          <w:tcPr>
            <w:tcW w:w="666" w:type="dxa"/>
            <w:tcBorders>
              <w:top w:val="nil"/>
              <w:left w:val="nil"/>
              <w:bottom w:val="nil"/>
              <w:right w:val="nil"/>
            </w:tcBorders>
            <w:vAlign w:val="center"/>
          </w:tcPr>
          <w:p w14:paraId="04C7B258" w14:textId="77777777" w:rsidR="00465A1E" w:rsidRPr="00465A1E" w:rsidRDefault="00465A1E" w:rsidP="00465A1E">
            <w:pPr>
              <w:jc w:val="right"/>
              <w:rPr>
                <w:color w:val="000000"/>
                <w:szCs w:val="20"/>
              </w:rPr>
            </w:pPr>
            <w:r w:rsidRPr="00465A1E">
              <w:rPr>
                <w:color w:val="000000"/>
                <w:szCs w:val="20"/>
              </w:rPr>
              <w:t>282</w:t>
            </w:r>
          </w:p>
        </w:tc>
        <w:tc>
          <w:tcPr>
            <w:tcW w:w="800" w:type="dxa"/>
            <w:tcBorders>
              <w:top w:val="nil"/>
              <w:left w:val="nil"/>
              <w:bottom w:val="nil"/>
              <w:right w:val="nil"/>
            </w:tcBorders>
            <w:vAlign w:val="center"/>
          </w:tcPr>
          <w:p w14:paraId="7C119708" w14:textId="77777777" w:rsidR="00465A1E" w:rsidRPr="00465A1E" w:rsidRDefault="00465A1E" w:rsidP="00465A1E">
            <w:pPr>
              <w:jc w:val="right"/>
              <w:rPr>
                <w:color w:val="000000"/>
                <w:szCs w:val="20"/>
              </w:rPr>
            </w:pPr>
            <w:r w:rsidRPr="00465A1E">
              <w:rPr>
                <w:color w:val="000000"/>
                <w:szCs w:val="20"/>
              </w:rPr>
              <w:t>(10.3)</w:t>
            </w:r>
          </w:p>
        </w:tc>
      </w:tr>
      <w:tr w:rsidR="00465A1E" w:rsidRPr="00EB7841" w14:paraId="285E03F6" w14:textId="77777777" w:rsidTr="00465A1E">
        <w:tc>
          <w:tcPr>
            <w:tcW w:w="2213" w:type="dxa"/>
            <w:tcBorders>
              <w:top w:val="nil"/>
              <w:left w:val="nil"/>
              <w:bottom w:val="nil"/>
              <w:right w:val="nil"/>
            </w:tcBorders>
          </w:tcPr>
          <w:p w14:paraId="1A4CB78A" w14:textId="77777777" w:rsidR="00465A1E" w:rsidRPr="00BE6FF5" w:rsidRDefault="00465A1E" w:rsidP="00465A1E">
            <w:pPr>
              <w:spacing w:before="20" w:after="20"/>
            </w:pPr>
            <w:r>
              <w:t>Not reported</w:t>
            </w:r>
          </w:p>
        </w:tc>
        <w:tc>
          <w:tcPr>
            <w:tcW w:w="741" w:type="dxa"/>
            <w:tcBorders>
              <w:top w:val="nil"/>
              <w:left w:val="nil"/>
              <w:bottom w:val="nil"/>
              <w:right w:val="nil"/>
            </w:tcBorders>
            <w:vAlign w:val="center"/>
          </w:tcPr>
          <w:p w14:paraId="0C29E887" w14:textId="77777777" w:rsidR="00465A1E" w:rsidRPr="00465A1E" w:rsidRDefault="00465A1E" w:rsidP="00465A1E">
            <w:pPr>
              <w:jc w:val="right"/>
              <w:rPr>
                <w:color w:val="000000"/>
                <w:szCs w:val="20"/>
              </w:rPr>
            </w:pPr>
            <w:r w:rsidRPr="00465A1E">
              <w:rPr>
                <w:color w:val="000000"/>
                <w:szCs w:val="20"/>
              </w:rPr>
              <w:t>63</w:t>
            </w:r>
          </w:p>
        </w:tc>
        <w:tc>
          <w:tcPr>
            <w:tcW w:w="811" w:type="dxa"/>
            <w:tcBorders>
              <w:top w:val="nil"/>
              <w:left w:val="nil"/>
              <w:bottom w:val="nil"/>
              <w:right w:val="nil"/>
            </w:tcBorders>
            <w:vAlign w:val="center"/>
          </w:tcPr>
          <w:p w14:paraId="3ECA29C8" w14:textId="77777777" w:rsidR="00465A1E" w:rsidRPr="00465A1E" w:rsidRDefault="00465A1E" w:rsidP="00465A1E">
            <w:pPr>
              <w:jc w:val="right"/>
              <w:rPr>
                <w:color w:val="000000"/>
                <w:szCs w:val="20"/>
              </w:rPr>
            </w:pPr>
            <w:r w:rsidRPr="00465A1E">
              <w:rPr>
                <w:color w:val="000000"/>
                <w:szCs w:val="20"/>
              </w:rPr>
              <w:t>-</w:t>
            </w:r>
          </w:p>
        </w:tc>
        <w:tc>
          <w:tcPr>
            <w:tcW w:w="692" w:type="dxa"/>
            <w:tcBorders>
              <w:top w:val="nil"/>
              <w:left w:val="nil"/>
              <w:bottom w:val="nil"/>
              <w:right w:val="nil"/>
            </w:tcBorders>
            <w:vAlign w:val="center"/>
          </w:tcPr>
          <w:p w14:paraId="6CB1B3F9" w14:textId="77777777" w:rsidR="00465A1E" w:rsidRPr="00465A1E" w:rsidRDefault="00465A1E" w:rsidP="00465A1E">
            <w:pPr>
              <w:jc w:val="right"/>
              <w:rPr>
                <w:color w:val="000000"/>
                <w:szCs w:val="20"/>
              </w:rPr>
            </w:pPr>
            <w:r w:rsidRPr="00465A1E">
              <w:rPr>
                <w:color w:val="000000"/>
                <w:szCs w:val="20"/>
              </w:rPr>
              <w:t>38</w:t>
            </w:r>
          </w:p>
        </w:tc>
        <w:tc>
          <w:tcPr>
            <w:tcW w:w="821" w:type="dxa"/>
            <w:tcBorders>
              <w:top w:val="nil"/>
              <w:left w:val="nil"/>
              <w:bottom w:val="nil"/>
              <w:right w:val="nil"/>
            </w:tcBorders>
            <w:vAlign w:val="center"/>
          </w:tcPr>
          <w:p w14:paraId="78523AE2" w14:textId="77777777" w:rsidR="00465A1E" w:rsidRPr="00465A1E" w:rsidRDefault="00465A1E" w:rsidP="00465A1E">
            <w:pPr>
              <w:jc w:val="right"/>
              <w:rPr>
                <w:color w:val="000000"/>
                <w:szCs w:val="20"/>
              </w:rPr>
            </w:pPr>
            <w:r w:rsidRPr="00465A1E">
              <w:rPr>
                <w:color w:val="000000"/>
                <w:szCs w:val="20"/>
              </w:rPr>
              <w:t>-</w:t>
            </w:r>
          </w:p>
        </w:tc>
        <w:tc>
          <w:tcPr>
            <w:tcW w:w="741" w:type="dxa"/>
            <w:tcBorders>
              <w:top w:val="nil"/>
              <w:left w:val="nil"/>
              <w:bottom w:val="nil"/>
              <w:right w:val="nil"/>
            </w:tcBorders>
            <w:vAlign w:val="center"/>
          </w:tcPr>
          <w:p w14:paraId="05A9F1CE" w14:textId="77777777" w:rsidR="00465A1E" w:rsidRPr="00465A1E" w:rsidRDefault="00465A1E" w:rsidP="00465A1E">
            <w:pPr>
              <w:jc w:val="right"/>
              <w:rPr>
                <w:color w:val="000000"/>
                <w:szCs w:val="20"/>
              </w:rPr>
            </w:pPr>
            <w:r w:rsidRPr="00465A1E">
              <w:rPr>
                <w:color w:val="000000"/>
                <w:szCs w:val="20"/>
              </w:rPr>
              <w:t>31</w:t>
            </w:r>
          </w:p>
        </w:tc>
        <w:tc>
          <w:tcPr>
            <w:tcW w:w="821" w:type="dxa"/>
            <w:tcBorders>
              <w:top w:val="nil"/>
              <w:left w:val="nil"/>
              <w:bottom w:val="nil"/>
              <w:right w:val="nil"/>
            </w:tcBorders>
            <w:vAlign w:val="center"/>
          </w:tcPr>
          <w:p w14:paraId="63AE2F7F" w14:textId="77777777" w:rsidR="00465A1E" w:rsidRPr="00465A1E" w:rsidRDefault="00465A1E" w:rsidP="00465A1E">
            <w:pPr>
              <w:jc w:val="right"/>
              <w:rPr>
                <w:color w:val="000000"/>
                <w:szCs w:val="20"/>
              </w:rPr>
            </w:pPr>
            <w:r w:rsidRPr="00465A1E">
              <w:rPr>
                <w:color w:val="000000"/>
                <w:szCs w:val="20"/>
              </w:rPr>
              <w:t>-</w:t>
            </w:r>
          </w:p>
        </w:tc>
        <w:tc>
          <w:tcPr>
            <w:tcW w:w="666" w:type="dxa"/>
            <w:tcBorders>
              <w:top w:val="nil"/>
              <w:left w:val="nil"/>
              <w:bottom w:val="nil"/>
              <w:right w:val="nil"/>
            </w:tcBorders>
            <w:vAlign w:val="center"/>
          </w:tcPr>
          <w:p w14:paraId="2C60F5CD" w14:textId="77777777" w:rsidR="00465A1E" w:rsidRPr="00465A1E" w:rsidRDefault="00465A1E" w:rsidP="00465A1E">
            <w:pPr>
              <w:jc w:val="right"/>
              <w:rPr>
                <w:color w:val="000000"/>
                <w:szCs w:val="20"/>
              </w:rPr>
            </w:pPr>
            <w:r w:rsidRPr="00465A1E">
              <w:rPr>
                <w:color w:val="000000"/>
                <w:szCs w:val="20"/>
              </w:rPr>
              <w:t>26</w:t>
            </w:r>
          </w:p>
        </w:tc>
        <w:tc>
          <w:tcPr>
            <w:tcW w:w="800" w:type="dxa"/>
            <w:tcBorders>
              <w:top w:val="nil"/>
              <w:left w:val="nil"/>
              <w:bottom w:val="nil"/>
              <w:right w:val="nil"/>
            </w:tcBorders>
            <w:vAlign w:val="center"/>
          </w:tcPr>
          <w:p w14:paraId="1EC28B12" w14:textId="77777777" w:rsidR="00465A1E" w:rsidRPr="00465A1E" w:rsidRDefault="00465A1E" w:rsidP="00465A1E">
            <w:pPr>
              <w:jc w:val="right"/>
              <w:rPr>
                <w:color w:val="000000"/>
                <w:szCs w:val="20"/>
              </w:rPr>
            </w:pPr>
            <w:r w:rsidRPr="00465A1E">
              <w:rPr>
                <w:color w:val="000000"/>
                <w:szCs w:val="20"/>
              </w:rPr>
              <w:t>-</w:t>
            </w:r>
          </w:p>
        </w:tc>
      </w:tr>
      <w:tr w:rsidR="00465A1E" w:rsidRPr="00EB7841" w14:paraId="1FBF9D17" w14:textId="77777777" w:rsidTr="00465A1E">
        <w:tc>
          <w:tcPr>
            <w:tcW w:w="2213" w:type="dxa"/>
            <w:tcBorders>
              <w:top w:val="nil"/>
              <w:left w:val="nil"/>
              <w:bottom w:val="single" w:sz="4" w:space="0" w:color="auto"/>
              <w:right w:val="nil"/>
            </w:tcBorders>
          </w:tcPr>
          <w:p w14:paraId="39CAC6B7" w14:textId="77777777" w:rsidR="00465A1E" w:rsidRPr="00BE6FF5" w:rsidRDefault="00465A1E" w:rsidP="00465A1E">
            <w:pPr>
              <w:spacing w:before="20" w:after="20"/>
              <w:rPr>
                <w:i/>
              </w:rPr>
            </w:pPr>
            <w:r w:rsidRPr="00BE6FF5">
              <w:rPr>
                <w:i/>
              </w:rPr>
              <w:t>Total</w:t>
            </w:r>
          </w:p>
        </w:tc>
        <w:tc>
          <w:tcPr>
            <w:tcW w:w="741" w:type="dxa"/>
            <w:tcBorders>
              <w:top w:val="nil"/>
              <w:left w:val="nil"/>
              <w:bottom w:val="single" w:sz="4" w:space="0" w:color="auto"/>
              <w:right w:val="nil"/>
            </w:tcBorders>
            <w:vAlign w:val="center"/>
          </w:tcPr>
          <w:p w14:paraId="333625DC" w14:textId="77777777" w:rsidR="00465A1E" w:rsidRPr="003B4065" w:rsidRDefault="00465A1E" w:rsidP="00465A1E">
            <w:pPr>
              <w:jc w:val="right"/>
              <w:rPr>
                <w:i/>
                <w:color w:val="000000"/>
                <w:szCs w:val="20"/>
              </w:rPr>
            </w:pPr>
            <w:r w:rsidRPr="003B4065">
              <w:rPr>
                <w:i/>
                <w:color w:val="000000"/>
                <w:szCs w:val="20"/>
              </w:rPr>
              <w:t>6,251</w:t>
            </w:r>
          </w:p>
        </w:tc>
        <w:tc>
          <w:tcPr>
            <w:tcW w:w="811" w:type="dxa"/>
            <w:tcBorders>
              <w:top w:val="nil"/>
              <w:left w:val="nil"/>
              <w:bottom w:val="single" w:sz="4" w:space="0" w:color="auto"/>
              <w:right w:val="nil"/>
            </w:tcBorders>
            <w:vAlign w:val="center"/>
          </w:tcPr>
          <w:p w14:paraId="3F57386C" w14:textId="77777777" w:rsidR="00465A1E" w:rsidRPr="003B4065" w:rsidRDefault="00465A1E" w:rsidP="00465A1E">
            <w:pPr>
              <w:jc w:val="right"/>
              <w:rPr>
                <w:i/>
                <w:color w:val="000000"/>
                <w:szCs w:val="20"/>
              </w:rPr>
            </w:pPr>
          </w:p>
        </w:tc>
        <w:tc>
          <w:tcPr>
            <w:tcW w:w="692" w:type="dxa"/>
            <w:tcBorders>
              <w:top w:val="nil"/>
              <w:left w:val="nil"/>
              <w:bottom w:val="single" w:sz="4" w:space="0" w:color="auto"/>
              <w:right w:val="nil"/>
            </w:tcBorders>
            <w:vAlign w:val="center"/>
          </w:tcPr>
          <w:p w14:paraId="101C565D" w14:textId="77777777" w:rsidR="00465A1E" w:rsidRPr="003B4065" w:rsidRDefault="00465A1E" w:rsidP="00465A1E">
            <w:pPr>
              <w:jc w:val="right"/>
              <w:rPr>
                <w:i/>
                <w:color w:val="000000"/>
                <w:szCs w:val="20"/>
              </w:rPr>
            </w:pPr>
            <w:r w:rsidRPr="003B4065">
              <w:rPr>
                <w:i/>
                <w:color w:val="000000"/>
                <w:szCs w:val="20"/>
              </w:rPr>
              <w:t>3,745</w:t>
            </w:r>
          </w:p>
        </w:tc>
        <w:tc>
          <w:tcPr>
            <w:tcW w:w="821" w:type="dxa"/>
            <w:tcBorders>
              <w:top w:val="nil"/>
              <w:left w:val="nil"/>
              <w:bottom w:val="single" w:sz="4" w:space="0" w:color="auto"/>
              <w:right w:val="nil"/>
            </w:tcBorders>
            <w:vAlign w:val="center"/>
          </w:tcPr>
          <w:p w14:paraId="2A29DA12" w14:textId="77777777" w:rsidR="00465A1E" w:rsidRPr="003B4065" w:rsidRDefault="00465A1E" w:rsidP="00465A1E">
            <w:pPr>
              <w:jc w:val="right"/>
              <w:rPr>
                <w:i/>
                <w:color w:val="000000"/>
                <w:szCs w:val="20"/>
              </w:rPr>
            </w:pPr>
          </w:p>
        </w:tc>
        <w:tc>
          <w:tcPr>
            <w:tcW w:w="741" w:type="dxa"/>
            <w:tcBorders>
              <w:top w:val="nil"/>
              <w:left w:val="nil"/>
              <w:bottom w:val="single" w:sz="4" w:space="0" w:color="auto"/>
              <w:right w:val="nil"/>
            </w:tcBorders>
            <w:vAlign w:val="center"/>
          </w:tcPr>
          <w:p w14:paraId="229FA56E" w14:textId="77777777" w:rsidR="00465A1E" w:rsidRPr="003B4065" w:rsidRDefault="00465A1E" w:rsidP="00465A1E">
            <w:pPr>
              <w:jc w:val="right"/>
              <w:rPr>
                <w:i/>
                <w:color w:val="000000"/>
                <w:szCs w:val="20"/>
              </w:rPr>
            </w:pPr>
            <w:r w:rsidRPr="003B4065">
              <w:rPr>
                <w:i/>
                <w:color w:val="000000"/>
                <w:szCs w:val="20"/>
              </w:rPr>
              <w:t>3,115</w:t>
            </w:r>
          </w:p>
        </w:tc>
        <w:tc>
          <w:tcPr>
            <w:tcW w:w="821" w:type="dxa"/>
            <w:tcBorders>
              <w:top w:val="nil"/>
              <w:left w:val="nil"/>
              <w:bottom w:val="single" w:sz="4" w:space="0" w:color="auto"/>
              <w:right w:val="nil"/>
            </w:tcBorders>
            <w:vAlign w:val="center"/>
          </w:tcPr>
          <w:p w14:paraId="619A2BF9" w14:textId="77777777" w:rsidR="00465A1E" w:rsidRPr="003B4065" w:rsidRDefault="00465A1E" w:rsidP="00465A1E">
            <w:pPr>
              <w:jc w:val="right"/>
              <w:rPr>
                <w:i/>
                <w:color w:val="000000"/>
                <w:szCs w:val="20"/>
              </w:rPr>
            </w:pPr>
          </w:p>
        </w:tc>
        <w:tc>
          <w:tcPr>
            <w:tcW w:w="666" w:type="dxa"/>
            <w:tcBorders>
              <w:top w:val="nil"/>
              <w:left w:val="nil"/>
              <w:bottom w:val="single" w:sz="4" w:space="0" w:color="auto"/>
              <w:right w:val="nil"/>
            </w:tcBorders>
            <w:vAlign w:val="center"/>
          </w:tcPr>
          <w:p w14:paraId="7295E671" w14:textId="77777777" w:rsidR="00465A1E" w:rsidRPr="003B4065" w:rsidRDefault="00465A1E" w:rsidP="00465A1E">
            <w:pPr>
              <w:jc w:val="right"/>
              <w:rPr>
                <w:i/>
                <w:color w:val="000000"/>
                <w:szCs w:val="20"/>
              </w:rPr>
            </w:pPr>
            <w:r w:rsidRPr="003B4065">
              <w:rPr>
                <w:i/>
                <w:color w:val="000000"/>
                <w:szCs w:val="20"/>
              </w:rPr>
              <w:t>2,770</w:t>
            </w:r>
          </w:p>
        </w:tc>
        <w:tc>
          <w:tcPr>
            <w:tcW w:w="800" w:type="dxa"/>
            <w:tcBorders>
              <w:top w:val="nil"/>
              <w:left w:val="nil"/>
              <w:bottom w:val="single" w:sz="4" w:space="0" w:color="auto"/>
              <w:right w:val="nil"/>
            </w:tcBorders>
            <w:vAlign w:val="center"/>
          </w:tcPr>
          <w:p w14:paraId="7BB667F8" w14:textId="77777777" w:rsidR="00465A1E" w:rsidRPr="00465A1E" w:rsidRDefault="00465A1E" w:rsidP="00465A1E">
            <w:pPr>
              <w:jc w:val="right"/>
              <w:rPr>
                <w:color w:val="000000"/>
                <w:szCs w:val="20"/>
              </w:rPr>
            </w:pPr>
          </w:p>
        </w:tc>
      </w:tr>
    </w:tbl>
    <w:p w14:paraId="14FA48E9" w14:textId="77777777" w:rsidR="0046000D" w:rsidRDefault="00C50714" w:rsidP="000D1CF7">
      <w:pPr>
        <w:pStyle w:val="RepNormal"/>
        <w:rPr>
          <w:sz w:val="20"/>
          <w:szCs w:val="20"/>
        </w:rPr>
      </w:pPr>
      <w:r w:rsidRPr="00A074D8">
        <w:rPr>
          <w:sz w:val="20"/>
          <w:szCs w:val="20"/>
          <w:vertAlign w:val="superscript"/>
        </w:rPr>
        <w:t xml:space="preserve">† </w:t>
      </w:r>
      <w:r w:rsidR="00465A1E">
        <w:rPr>
          <w:sz w:val="20"/>
          <w:szCs w:val="20"/>
        </w:rPr>
        <w:t>Pr</w:t>
      </w:r>
      <w:r w:rsidRPr="00A074D8">
        <w:rPr>
          <w:sz w:val="20"/>
          <w:szCs w:val="20"/>
        </w:rPr>
        <w:t xml:space="preserve">ioritised ethnicity - respondents </w:t>
      </w:r>
      <w:r w:rsidR="00465A1E">
        <w:rPr>
          <w:sz w:val="20"/>
          <w:szCs w:val="20"/>
        </w:rPr>
        <w:t xml:space="preserve">who </w:t>
      </w:r>
      <w:r w:rsidRPr="00A074D8">
        <w:rPr>
          <w:sz w:val="20"/>
          <w:szCs w:val="20"/>
        </w:rPr>
        <w:t xml:space="preserve">identified with more than one of the four broad ethnic groups have been included </w:t>
      </w:r>
      <w:r w:rsidR="009C7031">
        <w:rPr>
          <w:sz w:val="20"/>
          <w:szCs w:val="20"/>
        </w:rPr>
        <w:t xml:space="preserve">in only </w:t>
      </w:r>
      <w:r w:rsidR="00465A1E">
        <w:rPr>
          <w:sz w:val="20"/>
          <w:szCs w:val="20"/>
        </w:rPr>
        <w:t>one ethnic group using a prioritisation of Māori then Pacific then Asian then European/Other</w:t>
      </w:r>
      <w:r w:rsidR="009A6884">
        <w:rPr>
          <w:sz w:val="20"/>
          <w:szCs w:val="20"/>
        </w:rPr>
        <w:t>.</w:t>
      </w:r>
    </w:p>
    <w:p w14:paraId="60CBC60B" w14:textId="77777777" w:rsidR="00C50714" w:rsidRDefault="00C50714" w:rsidP="00C50714">
      <w:pPr>
        <w:pStyle w:val="RepHead2"/>
      </w:pPr>
      <w:bookmarkStart w:id="41" w:name="_Toc504488342"/>
      <w:r>
        <w:t>Weighting</w:t>
      </w:r>
      <w:bookmarkEnd w:id="41"/>
    </w:p>
    <w:p w14:paraId="04798511" w14:textId="77777777" w:rsidR="00C50714" w:rsidRDefault="00C50714" w:rsidP="000D1CF7">
      <w:pPr>
        <w:pStyle w:val="RepNormal"/>
      </w:pPr>
    </w:p>
    <w:p w14:paraId="44F29453" w14:textId="77777777" w:rsidR="00C50714" w:rsidRDefault="005E40E4" w:rsidP="00C50714">
      <w:pPr>
        <w:pStyle w:val="RepHead3"/>
      </w:pPr>
      <w:bookmarkStart w:id="42" w:name="_Toc504488343"/>
      <w:r>
        <w:t>Weighting</w:t>
      </w:r>
      <w:bookmarkEnd w:id="42"/>
    </w:p>
    <w:p w14:paraId="29310201" w14:textId="77777777" w:rsidR="00C50714" w:rsidRPr="00405EB5" w:rsidRDefault="00C50714" w:rsidP="000D1CF7">
      <w:pPr>
        <w:pStyle w:val="RepNormal"/>
        <w:rPr>
          <w:sz w:val="20"/>
        </w:rPr>
      </w:pPr>
    </w:p>
    <w:p w14:paraId="5826AFA3" w14:textId="77777777" w:rsidR="00C50714" w:rsidRPr="00405EB5" w:rsidRDefault="00FA0E60" w:rsidP="00C50714">
      <w:pPr>
        <w:jc w:val="both"/>
        <w:rPr>
          <w:szCs w:val="22"/>
        </w:rPr>
      </w:pPr>
      <w:r>
        <w:rPr>
          <w:szCs w:val="22"/>
        </w:rPr>
        <w:t>T</w:t>
      </w:r>
      <w:r w:rsidR="00C50714" w:rsidRPr="00405EB5">
        <w:rPr>
          <w:szCs w:val="22"/>
        </w:rPr>
        <w:t xml:space="preserve">he representativeness of the sample </w:t>
      </w:r>
      <w:r>
        <w:rPr>
          <w:szCs w:val="22"/>
        </w:rPr>
        <w:t>was maintained by weighting</w:t>
      </w:r>
      <w:r w:rsidR="00C50714" w:rsidRPr="00405EB5">
        <w:rPr>
          <w:szCs w:val="22"/>
        </w:rPr>
        <w:t xml:space="preserve">.  The general principle underlying the analysis of the </w:t>
      </w:r>
      <w:r>
        <w:rPr>
          <w:szCs w:val="22"/>
        </w:rPr>
        <w:t>Wave 4 data</w:t>
      </w:r>
      <w:r w:rsidR="00C50714" w:rsidRPr="00405EB5">
        <w:rPr>
          <w:szCs w:val="22"/>
        </w:rPr>
        <w:t xml:space="preserve"> was </w:t>
      </w:r>
      <w:r>
        <w:rPr>
          <w:szCs w:val="22"/>
        </w:rPr>
        <w:t>to obtain</w:t>
      </w:r>
      <w:r w:rsidR="00C50714" w:rsidRPr="00405EB5">
        <w:rPr>
          <w:szCs w:val="22"/>
        </w:rPr>
        <w:t xml:space="preserve"> results representative of the Wave 1 population, rather than the population of </w:t>
      </w:r>
      <w:r>
        <w:rPr>
          <w:szCs w:val="22"/>
        </w:rPr>
        <w:t>Waves 2, 3 or 4</w:t>
      </w:r>
      <w:r w:rsidR="00C50714" w:rsidRPr="00405EB5">
        <w:rPr>
          <w:szCs w:val="22"/>
        </w:rPr>
        <w:t xml:space="preserve">.  </w:t>
      </w:r>
      <w:r>
        <w:rPr>
          <w:szCs w:val="22"/>
        </w:rPr>
        <w:t>Thus</w:t>
      </w:r>
      <w:r w:rsidR="00C50714" w:rsidRPr="00405EB5">
        <w:rPr>
          <w:szCs w:val="22"/>
        </w:rPr>
        <w:t xml:space="preserve">, inference </w:t>
      </w:r>
      <w:r>
        <w:rPr>
          <w:szCs w:val="22"/>
        </w:rPr>
        <w:t>on</w:t>
      </w:r>
      <w:r w:rsidR="00C50714" w:rsidRPr="00405EB5">
        <w:rPr>
          <w:szCs w:val="22"/>
        </w:rPr>
        <w:t xml:space="preserve"> gambling and other trajectories, particularly inference </w:t>
      </w:r>
      <w:r>
        <w:rPr>
          <w:szCs w:val="22"/>
        </w:rPr>
        <w:t>on</w:t>
      </w:r>
      <w:r w:rsidR="00C50714" w:rsidRPr="00405EB5">
        <w:rPr>
          <w:szCs w:val="22"/>
        </w:rPr>
        <w:t xml:space="preserve"> transitions, was </w:t>
      </w:r>
      <w:r>
        <w:rPr>
          <w:szCs w:val="22"/>
        </w:rPr>
        <w:t>obtained</w:t>
      </w:r>
      <w:r w:rsidR="00C50714" w:rsidRPr="00405EB5">
        <w:rPr>
          <w:szCs w:val="22"/>
        </w:rPr>
        <w:t xml:space="preserve"> from the sample as originally constructed.  Population-inference </w:t>
      </w:r>
      <w:r w:rsidR="007E33ED">
        <w:rPr>
          <w:szCs w:val="22"/>
        </w:rPr>
        <w:t>was</w:t>
      </w:r>
      <w:r w:rsidR="00C50714" w:rsidRPr="00405EB5">
        <w:rPr>
          <w:szCs w:val="22"/>
        </w:rPr>
        <w:t xml:space="preserve"> obtained by considering </w:t>
      </w:r>
      <w:r w:rsidR="005E40E4">
        <w:rPr>
          <w:szCs w:val="22"/>
        </w:rPr>
        <w:t xml:space="preserve">the </w:t>
      </w:r>
      <w:r w:rsidR="00C50714" w:rsidRPr="00405EB5">
        <w:rPr>
          <w:szCs w:val="22"/>
        </w:rPr>
        <w:t>shifting composition of the population.</w:t>
      </w:r>
    </w:p>
    <w:p w14:paraId="5F2CE0CC" w14:textId="77777777" w:rsidR="00C50714" w:rsidRPr="00405EB5" w:rsidRDefault="00C50714" w:rsidP="00C50714">
      <w:pPr>
        <w:jc w:val="both"/>
        <w:rPr>
          <w:szCs w:val="22"/>
        </w:rPr>
      </w:pPr>
    </w:p>
    <w:p w14:paraId="57B8D11E" w14:textId="77777777" w:rsidR="00C50714" w:rsidRPr="00405EB5" w:rsidRDefault="00C50714" w:rsidP="00C50714">
      <w:pPr>
        <w:jc w:val="both"/>
        <w:rPr>
          <w:szCs w:val="22"/>
        </w:rPr>
      </w:pPr>
      <w:r w:rsidRPr="00405EB5">
        <w:rPr>
          <w:szCs w:val="22"/>
        </w:rPr>
        <w:t xml:space="preserve">To achieve this with the </w:t>
      </w:r>
      <w:r w:rsidR="00FA0E60">
        <w:rPr>
          <w:szCs w:val="22"/>
        </w:rPr>
        <w:t>Wave 4</w:t>
      </w:r>
      <w:r w:rsidRPr="00405EB5">
        <w:rPr>
          <w:szCs w:val="22"/>
        </w:rPr>
        <w:t xml:space="preserve"> analyses, Wave 1 weights, in order to be representative of the New Zealand population, were based on age group, gender and ethnicity.  Wave </w:t>
      </w:r>
      <w:r w:rsidR="00FA0E60">
        <w:rPr>
          <w:szCs w:val="22"/>
        </w:rPr>
        <w:t xml:space="preserve">2, </w:t>
      </w:r>
      <w:r w:rsidRPr="00405EB5">
        <w:rPr>
          <w:szCs w:val="22"/>
        </w:rPr>
        <w:t>3</w:t>
      </w:r>
      <w:r w:rsidR="00FA0E60">
        <w:rPr>
          <w:szCs w:val="22"/>
        </w:rPr>
        <w:t xml:space="preserve"> and 4</w:t>
      </w:r>
      <w:r w:rsidRPr="00405EB5">
        <w:rPr>
          <w:szCs w:val="22"/>
        </w:rPr>
        <w:t xml:space="preserve"> weights incorporated </w:t>
      </w:r>
      <w:r w:rsidRPr="00D8412A">
        <w:rPr>
          <w:szCs w:val="22"/>
        </w:rPr>
        <w:t>Wave 1 weights</w:t>
      </w:r>
      <w:r w:rsidRPr="00405EB5">
        <w:rPr>
          <w:szCs w:val="22"/>
        </w:rPr>
        <w:t xml:space="preserve"> but also took into consideration differential attrition in the same categories. </w:t>
      </w:r>
    </w:p>
    <w:p w14:paraId="683B5206" w14:textId="77777777" w:rsidR="00C50714" w:rsidRPr="00405EB5" w:rsidRDefault="00C50714" w:rsidP="00C50714">
      <w:pPr>
        <w:jc w:val="both"/>
        <w:rPr>
          <w:szCs w:val="22"/>
        </w:rPr>
      </w:pPr>
    </w:p>
    <w:p w14:paraId="46C6A01F" w14:textId="77777777" w:rsidR="00C50714" w:rsidRPr="00405EB5" w:rsidRDefault="00C50714" w:rsidP="00C50714">
      <w:pPr>
        <w:jc w:val="both"/>
        <w:rPr>
          <w:szCs w:val="22"/>
        </w:rPr>
      </w:pPr>
      <w:r w:rsidRPr="00405EB5">
        <w:rPr>
          <w:szCs w:val="22"/>
        </w:rPr>
        <w:t>An assumption was made that the bulk of the information concerning differential attrition was contained in the age-gender-ethnicity triad.  This information was tempered with an investigation of outcome-based attrition, which determined whether further adjust</w:t>
      </w:r>
      <w:r w:rsidR="007E33ED">
        <w:rPr>
          <w:szCs w:val="22"/>
        </w:rPr>
        <w:t>ment of</w:t>
      </w:r>
      <w:r w:rsidRPr="00405EB5">
        <w:rPr>
          <w:szCs w:val="22"/>
        </w:rPr>
        <w:t xml:space="preserve"> the weights based on </w:t>
      </w:r>
      <w:r w:rsidR="00E45844">
        <w:rPr>
          <w:szCs w:val="22"/>
        </w:rPr>
        <w:t>gambling risk level</w:t>
      </w:r>
      <w:r w:rsidRPr="00405EB5">
        <w:rPr>
          <w:szCs w:val="22"/>
        </w:rPr>
        <w:t xml:space="preserve"> or aggregated categories</w:t>
      </w:r>
      <w:r w:rsidR="007E33ED">
        <w:rPr>
          <w:szCs w:val="22"/>
        </w:rPr>
        <w:t xml:space="preserve"> was required</w:t>
      </w:r>
      <w:r w:rsidRPr="00405EB5">
        <w:rPr>
          <w:szCs w:val="22"/>
        </w:rPr>
        <w:t>.</w:t>
      </w:r>
    </w:p>
    <w:p w14:paraId="4CF9AD56" w14:textId="77777777" w:rsidR="00C50714" w:rsidRDefault="00C50714" w:rsidP="00C50714">
      <w:pPr>
        <w:jc w:val="both"/>
        <w:rPr>
          <w:szCs w:val="22"/>
        </w:rPr>
      </w:pPr>
    </w:p>
    <w:p w14:paraId="217BA18C" w14:textId="77777777" w:rsidR="00405EB5" w:rsidRPr="00405EB5" w:rsidRDefault="00405EB5" w:rsidP="00C50714">
      <w:pPr>
        <w:jc w:val="both"/>
        <w:rPr>
          <w:szCs w:val="22"/>
        </w:rPr>
      </w:pPr>
    </w:p>
    <w:p w14:paraId="1EF14184" w14:textId="77777777" w:rsidR="00C50714" w:rsidRPr="00C50714" w:rsidRDefault="00405EB5" w:rsidP="00405EB5">
      <w:pPr>
        <w:pStyle w:val="RepHead3"/>
      </w:pPr>
      <w:bookmarkStart w:id="43" w:name="_Toc504488344"/>
      <w:r>
        <w:t>Census benchmark</w:t>
      </w:r>
      <w:bookmarkEnd w:id="43"/>
    </w:p>
    <w:p w14:paraId="286B2DA3" w14:textId="77777777" w:rsidR="0046000D" w:rsidRDefault="0046000D" w:rsidP="00F25301">
      <w:pPr>
        <w:pStyle w:val="BodyText1"/>
        <w:ind w:left="0"/>
        <w:jc w:val="both"/>
        <w:rPr>
          <w:szCs w:val="22"/>
        </w:rPr>
      </w:pPr>
    </w:p>
    <w:p w14:paraId="32C28109" w14:textId="77777777" w:rsidR="00405EB5" w:rsidRDefault="00405EB5" w:rsidP="00F25301">
      <w:pPr>
        <w:pStyle w:val="BodyText1"/>
        <w:ind w:left="0"/>
        <w:jc w:val="both"/>
        <w:rPr>
          <w:szCs w:val="22"/>
        </w:rPr>
      </w:pPr>
      <w:r w:rsidRPr="00F94543">
        <w:rPr>
          <w:szCs w:val="22"/>
        </w:rPr>
        <w:t xml:space="preserve">Factor weights for analyses </w:t>
      </w:r>
      <w:r>
        <w:rPr>
          <w:szCs w:val="22"/>
        </w:rPr>
        <w:t>were</w:t>
      </w:r>
      <w:r w:rsidRPr="00F94543">
        <w:rPr>
          <w:szCs w:val="22"/>
        </w:rPr>
        <w:t xml:space="preserve"> based on the 2013 Census</w:t>
      </w:r>
      <w:r w:rsidR="006459F2">
        <w:rPr>
          <w:rStyle w:val="FootnoteReference"/>
          <w:szCs w:val="22"/>
        </w:rPr>
        <w:footnoteReference w:id="3"/>
      </w:r>
      <w:r w:rsidR="00D8412A">
        <w:rPr>
          <w:szCs w:val="22"/>
        </w:rPr>
        <w:t xml:space="preserve">, from Wave 1 to Wave </w:t>
      </w:r>
      <w:r w:rsidR="00E45844">
        <w:rPr>
          <w:szCs w:val="22"/>
        </w:rPr>
        <w:t>4</w:t>
      </w:r>
      <w:r w:rsidRPr="00F94543">
        <w:rPr>
          <w:szCs w:val="22"/>
        </w:rPr>
        <w:t xml:space="preserve">. </w:t>
      </w:r>
      <w:r>
        <w:rPr>
          <w:szCs w:val="22"/>
        </w:rPr>
        <w:t xml:space="preserve"> </w:t>
      </w:r>
    </w:p>
    <w:p w14:paraId="6ADD004C" w14:textId="77777777" w:rsidR="00405EB5" w:rsidRDefault="00405EB5" w:rsidP="00F25301">
      <w:pPr>
        <w:pStyle w:val="BodyText1"/>
        <w:ind w:left="0"/>
        <w:jc w:val="both"/>
        <w:rPr>
          <w:szCs w:val="22"/>
        </w:rPr>
      </w:pPr>
    </w:p>
    <w:p w14:paraId="3B614F22" w14:textId="77777777" w:rsidR="008E64D7" w:rsidRDefault="008E64D7" w:rsidP="00F25301">
      <w:pPr>
        <w:pStyle w:val="BodyText1"/>
        <w:ind w:left="0"/>
        <w:jc w:val="both"/>
        <w:rPr>
          <w:szCs w:val="22"/>
        </w:rPr>
      </w:pPr>
    </w:p>
    <w:p w14:paraId="1F259801" w14:textId="77777777" w:rsidR="008E64D7" w:rsidRDefault="008E64D7" w:rsidP="008E64D7">
      <w:pPr>
        <w:pStyle w:val="RepHead3"/>
      </w:pPr>
      <w:bookmarkStart w:id="44" w:name="_Toc504488345"/>
      <w:r>
        <w:t>Attrition-specific weights</w:t>
      </w:r>
      <w:bookmarkEnd w:id="44"/>
    </w:p>
    <w:p w14:paraId="0045313D" w14:textId="77777777" w:rsidR="008E64D7" w:rsidRDefault="008E64D7" w:rsidP="00F25301">
      <w:pPr>
        <w:pStyle w:val="BodyText1"/>
        <w:ind w:left="0"/>
        <w:jc w:val="both"/>
        <w:rPr>
          <w:szCs w:val="22"/>
        </w:rPr>
      </w:pPr>
    </w:p>
    <w:p w14:paraId="797EA096" w14:textId="77777777" w:rsidR="008E64D7" w:rsidRPr="008E64D7" w:rsidRDefault="00EF150F" w:rsidP="008E64D7">
      <w:pPr>
        <w:pStyle w:val="BodyText1"/>
        <w:ind w:left="0"/>
        <w:jc w:val="both"/>
        <w:rPr>
          <w:szCs w:val="22"/>
        </w:rPr>
      </w:pPr>
      <w:r>
        <w:rPr>
          <w:szCs w:val="22"/>
        </w:rPr>
        <w:t>P</w:t>
      </w:r>
      <w:r w:rsidR="008E64D7" w:rsidRPr="008E64D7">
        <w:rPr>
          <w:szCs w:val="22"/>
        </w:rPr>
        <w:t xml:space="preserve">articipants in Wave </w:t>
      </w:r>
      <w:r w:rsidR="00E45844">
        <w:rPr>
          <w:szCs w:val="22"/>
        </w:rPr>
        <w:t>4</w:t>
      </w:r>
      <w:r w:rsidR="008E64D7" w:rsidRPr="008E64D7">
        <w:rPr>
          <w:szCs w:val="22"/>
        </w:rPr>
        <w:t xml:space="preserve"> (n=</w:t>
      </w:r>
      <w:r w:rsidR="00E45844">
        <w:rPr>
          <w:szCs w:val="22"/>
        </w:rPr>
        <w:t>2,770</w:t>
      </w:r>
      <w:r w:rsidR="008E64D7" w:rsidRPr="008E64D7">
        <w:rPr>
          <w:szCs w:val="22"/>
        </w:rPr>
        <w:t xml:space="preserve">) represented </w:t>
      </w:r>
      <w:r w:rsidR="00E45844">
        <w:rPr>
          <w:szCs w:val="22"/>
        </w:rPr>
        <w:t>89</w:t>
      </w:r>
      <w:r w:rsidR="008E64D7" w:rsidRPr="008E64D7">
        <w:rPr>
          <w:szCs w:val="22"/>
        </w:rPr>
        <w:t xml:space="preserve">% of </w:t>
      </w:r>
      <w:r>
        <w:rPr>
          <w:szCs w:val="22"/>
        </w:rPr>
        <w:t xml:space="preserve">the </w:t>
      </w:r>
      <w:r w:rsidR="008E64D7" w:rsidRPr="008E64D7">
        <w:rPr>
          <w:szCs w:val="22"/>
        </w:rPr>
        <w:t xml:space="preserve">participants </w:t>
      </w:r>
      <w:r w:rsidR="00E45844">
        <w:rPr>
          <w:szCs w:val="22"/>
        </w:rPr>
        <w:t>from</w:t>
      </w:r>
      <w:r w:rsidR="008E64D7" w:rsidRPr="008E64D7">
        <w:rPr>
          <w:szCs w:val="22"/>
        </w:rPr>
        <w:t xml:space="preserve"> Wave </w:t>
      </w:r>
      <w:r w:rsidR="00E45844">
        <w:rPr>
          <w:szCs w:val="22"/>
        </w:rPr>
        <w:t>3</w:t>
      </w:r>
      <w:r w:rsidR="008E64D7" w:rsidRPr="008E64D7">
        <w:rPr>
          <w:szCs w:val="22"/>
        </w:rPr>
        <w:t xml:space="preserve"> (n=</w:t>
      </w:r>
      <w:r w:rsidR="008E64D7">
        <w:rPr>
          <w:szCs w:val="22"/>
        </w:rPr>
        <w:t>3,</w:t>
      </w:r>
      <w:r w:rsidR="00E45844">
        <w:rPr>
          <w:szCs w:val="22"/>
        </w:rPr>
        <w:t>115</w:t>
      </w:r>
      <w:r w:rsidR="008E64D7" w:rsidRPr="008E64D7">
        <w:rPr>
          <w:szCs w:val="22"/>
        </w:rPr>
        <w:t>)</w:t>
      </w:r>
      <w:r w:rsidR="00521390">
        <w:rPr>
          <w:szCs w:val="22"/>
        </w:rPr>
        <w:t>,</w:t>
      </w:r>
      <w:r w:rsidR="008E64D7">
        <w:rPr>
          <w:szCs w:val="22"/>
        </w:rPr>
        <w:t xml:space="preserve"> </w:t>
      </w:r>
      <w:r w:rsidR="00E45844" w:rsidRPr="00E45844">
        <w:rPr>
          <w:szCs w:val="22"/>
        </w:rPr>
        <w:t xml:space="preserve">74% of the participants from Wave </w:t>
      </w:r>
      <w:r w:rsidR="00E45844">
        <w:rPr>
          <w:szCs w:val="22"/>
        </w:rPr>
        <w:t>2 (n=3,745) and</w:t>
      </w:r>
      <w:r w:rsidR="00E45844" w:rsidRPr="00E45844">
        <w:rPr>
          <w:szCs w:val="22"/>
        </w:rPr>
        <w:t xml:space="preserve"> 44% of the </w:t>
      </w:r>
      <w:r w:rsidR="0055283D">
        <w:rPr>
          <w:szCs w:val="22"/>
        </w:rPr>
        <w:t xml:space="preserve">total </w:t>
      </w:r>
      <w:r w:rsidR="00E45844" w:rsidRPr="00E45844">
        <w:rPr>
          <w:szCs w:val="22"/>
        </w:rPr>
        <w:t>par</w:t>
      </w:r>
      <w:r w:rsidR="00E45844">
        <w:rPr>
          <w:szCs w:val="22"/>
        </w:rPr>
        <w:t>ticipants from Wave 1 (n=6,251)</w:t>
      </w:r>
      <w:r w:rsidR="008E64D7" w:rsidRPr="008E64D7">
        <w:rPr>
          <w:szCs w:val="22"/>
        </w:rPr>
        <w:t xml:space="preserve">.  </w:t>
      </w:r>
      <w:r w:rsidR="005E40E4">
        <w:rPr>
          <w:szCs w:val="22"/>
        </w:rPr>
        <w:t xml:space="preserve">Note, however, that </w:t>
      </w:r>
      <w:r w:rsidR="0055283D">
        <w:rPr>
          <w:szCs w:val="22"/>
        </w:rPr>
        <w:t xml:space="preserve">due to budgetary constraints, </w:t>
      </w:r>
      <w:r w:rsidR="005E40E4">
        <w:rPr>
          <w:szCs w:val="22"/>
        </w:rPr>
        <w:t xml:space="preserve">attempt was not made to contact 985 participants </w:t>
      </w:r>
      <w:r w:rsidR="0055283D">
        <w:rPr>
          <w:szCs w:val="22"/>
        </w:rPr>
        <w:t>from</w:t>
      </w:r>
      <w:r w:rsidR="005E40E4">
        <w:rPr>
          <w:szCs w:val="22"/>
        </w:rPr>
        <w:t xml:space="preserve"> the Wave 1 sample, so the retention rate in Wave 4 from the Wave 1 sample where actual foll</w:t>
      </w:r>
      <w:r w:rsidR="0055283D">
        <w:rPr>
          <w:szCs w:val="22"/>
        </w:rPr>
        <w:t>ow-up assessments were made (n=</w:t>
      </w:r>
      <w:r w:rsidR="005E40E4">
        <w:rPr>
          <w:szCs w:val="22"/>
        </w:rPr>
        <w:t xml:space="preserve">5,266) was </w:t>
      </w:r>
      <w:r w:rsidR="0055283D">
        <w:rPr>
          <w:szCs w:val="22"/>
        </w:rPr>
        <w:t>53%.  Thus, although the</w:t>
      </w:r>
      <w:r w:rsidR="008E64D7" w:rsidRPr="008E64D7">
        <w:rPr>
          <w:szCs w:val="22"/>
        </w:rPr>
        <w:t xml:space="preserve"> reduction is described by the word ‘attrition’ in the present report, </w:t>
      </w:r>
      <w:r w:rsidR="008E64D7">
        <w:rPr>
          <w:szCs w:val="22"/>
        </w:rPr>
        <w:t>the mechanisms by which Wave </w:t>
      </w:r>
      <w:r w:rsidR="008E64D7" w:rsidRPr="008E64D7">
        <w:rPr>
          <w:szCs w:val="22"/>
        </w:rPr>
        <w:t xml:space="preserve">2 was reduced from Wave 1 </w:t>
      </w:r>
      <w:r w:rsidR="002F7B53">
        <w:rPr>
          <w:szCs w:val="22"/>
        </w:rPr>
        <w:t>did</w:t>
      </w:r>
      <w:r w:rsidR="008E64D7" w:rsidRPr="008E64D7">
        <w:rPr>
          <w:szCs w:val="22"/>
        </w:rPr>
        <w:t xml:space="preserve"> not all fall under non-response</w:t>
      </w:r>
      <w:r w:rsidR="00521390">
        <w:rPr>
          <w:szCs w:val="22"/>
        </w:rPr>
        <w:t xml:space="preserve">; therefore, this has </w:t>
      </w:r>
      <w:r w:rsidR="002F7B53">
        <w:rPr>
          <w:szCs w:val="22"/>
        </w:rPr>
        <w:t>affected</w:t>
      </w:r>
      <w:r w:rsidR="00521390">
        <w:rPr>
          <w:szCs w:val="22"/>
        </w:rPr>
        <w:t xml:space="preserve"> the Wave </w:t>
      </w:r>
      <w:r w:rsidR="00E45844">
        <w:rPr>
          <w:szCs w:val="22"/>
        </w:rPr>
        <w:t>4</w:t>
      </w:r>
      <w:r w:rsidR="00521390">
        <w:rPr>
          <w:szCs w:val="22"/>
        </w:rPr>
        <w:t xml:space="preserve"> attrition from Wave 1.</w:t>
      </w:r>
    </w:p>
    <w:p w14:paraId="09E399E0" w14:textId="77777777" w:rsidR="008E64D7" w:rsidRPr="008E64D7" w:rsidRDefault="008E64D7" w:rsidP="008E64D7">
      <w:pPr>
        <w:pStyle w:val="BodyText1"/>
        <w:ind w:left="0"/>
        <w:jc w:val="both"/>
        <w:rPr>
          <w:szCs w:val="22"/>
        </w:rPr>
      </w:pPr>
    </w:p>
    <w:p w14:paraId="7B92E024" w14:textId="77777777" w:rsidR="008E64D7" w:rsidRPr="008E64D7" w:rsidRDefault="008E64D7" w:rsidP="008E64D7">
      <w:pPr>
        <w:pStyle w:val="BodyText1"/>
        <w:ind w:left="0"/>
        <w:jc w:val="both"/>
        <w:rPr>
          <w:szCs w:val="22"/>
        </w:rPr>
      </w:pPr>
      <w:r w:rsidRPr="008E64D7">
        <w:rPr>
          <w:szCs w:val="22"/>
        </w:rPr>
        <w:t xml:space="preserve">The application of age, gender and ethnicity-based weights to </w:t>
      </w:r>
      <w:r w:rsidR="00E45844">
        <w:rPr>
          <w:szCs w:val="22"/>
        </w:rPr>
        <w:t xml:space="preserve">data from </w:t>
      </w:r>
      <w:r w:rsidR="00521390">
        <w:rPr>
          <w:szCs w:val="22"/>
        </w:rPr>
        <w:t>Wave</w:t>
      </w:r>
      <w:r w:rsidR="00E45844">
        <w:rPr>
          <w:szCs w:val="22"/>
        </w:rPr>
        <w:t>s</w:t>
      </w:r>
      <w:r w:rsidR="00521390">
        <w:rPr>
          <w:szCs w:val="22"/>
        </w:rPr>
        <w:t xml:space="preserve"> 2</w:t>
      </w:r>
      <w:r w:rsidR="00E45844">
        <w:rPr>
          <w:szCs w:val="22"/>
        </w:rPr>
        <w:t>,</w:t>
      </w:r>
      <w:r w:rsidR="00521390">
        <w:rPr>
          <w:szCs w:val="22"/>
        </w:rPr>
        <w:t xml:space="preserve"> </w:t>
      </w:r>
      <w:r>
        <w:rPr>
          <w:szCs w:val="22"/>
        </w:rPr>
        <w:t>3</w:t>
      </w:r>
      <w:r w:rsidR="00E45844">
        <w:rPr>
          <w:szCs w:val="22"/>
        </w:rPr>
        <w:t xml:space="preserve"> and 4</w:t>
      </w:r>
      <w:r w:rsidR="002F7B53">
        <w:rPr>
          <w:szCs w:val="22"/>
        </w:rPr>
        <w:t xml:space="preserve"> caused</w:t>
      </w:r>
      <w:r w:rsidRPr="008E64D7">
        <w:rPr>
          <w:szCs w:val="22"/>
        </w:rPr>
        <w:t xml:space="preserve"> an underestimation of the estimated proportions in the moderate-risk and problem gambl</w:t>
      </w:r>
      <w:r w:rsidR="00521390">
        <w:rPr>
          <w:szCs w:val="22"/>
        </w:rPr>
        <w:t>er</w:t>
      </w:r>
      <w:r w:rsidRPr="008E64D7">
        <w:rPr>
          <w:szCs w:val="22"/>
        </w:rPr>
        <w:t xml:space="preserve"> categories.  </w:t>
      </w:r>
      <w:r w:rsidR="002F7B53">
        <w:rPr>
          <w:szCs w:val="22"/>
        </w:rPr>
        <w:t>However, s</w:t>
      </w:r>
      <w:r w:rsidRPr="008E64D7">
        <w:rPr>
          <w:szCs w:val="22"/>
        </w:rPr>
        <w:t>mall numbers in some of the cells of the four-way table cause</w:t>
      </w:r>
      <w:r w:rsidR="002F7B53">
        <w:rPr>
          <w:szCs w:val="22"/>
        </w:rPr>
        <w:t>d</w:t>
      </w:r>
      <w:r w:rsidRPr="008E64D7">
        <w:rPr>
          <w:szCs w:val="22"/>
        </w:rPr>
        <w:t xml:space="preserve"> the variance inflation factor to reach unacceptable values.  For this reason, raking (gender-age-ethnicity in one margin, </w:t>
      </w:r>
      <w:r w:rsidR="00E45844">
        <w:rPr>
          <w:szCs w:val="22"/>
        </w:rPr>
        <w:t>gambling</w:t>
      </w:r>
      <w:r w:rsidRPr="008E64D7">
        <w:rPr>
          <w:szCs w:val="22"/>
        </w:rPr>
        <w:t xml:space="preserve"> risk </w:t>
      </w:r>
      <w:r w:rsidR="00E45844">
        <w:rPr>
          <w:szCs w:val="22"/>
        </w:rPr>
        <w:t>level</w:t>
      </w:r>
      <w:r w:rsidRPr="008E64D7">
        <w:rPr>
          <w:szCs w:val="22"/>
        </w:rPr>
        <w:t xml:space="preserve"> in the other) was used to produce the final weights. Raking presents the advantage of preserving the marginal weights (Deming &amp; Stephan, 1940).</w:t>
      </w:r>
    </w:p>
    <w:p w14:paraId="4CADC701" w14:textId="77777777" w:rsidR="008E64D7" w:rsidRPr="008E64D7" w:rsidRDefault="008E64D7" w:rsidP="008E64D7">
      <w:pPr>
        <w:pStyle w:val="BodyText1"/>
        <w:ind w:left="0"/>
        <w:jc w:val="both"/>
        <w:rPr>
          <w:szCs w:val="22"/>
        </w:rPr>
      </w:pPr>
    </w:p>
    <w:p w14:paraId="41B84A01" w14:textId="77777777" w:rsidR="008E64D7" w:rsidRDefault="008E64D7" w:rsidP="008E64D7">
      <w:pPr>
        <w:pStyle w:val="BodyText1"/>
        <w:ind w:left="0"/>
        <w:jc w:val="both"/>
        <w:rPr>
          <w:szCs w:val="22"/>
        </w:rPr>
      </w:pPr>
      <w:r>
        <w:rPr>
          <w:szCs w:val="22"/>
        </w:rPr>
        <w:t xml:space="preserve">Raking was applied to the Wave </w:t>
      </w:r>
      <w:r w:rsidR="00521390">
        <w:rPr>
          <w:szCs w:val="22"/>
        </w:rPr>
        <w:t>1</w:t>
      </w:r>
      <w:r w:rsidRPr="008E64D7">
        <w:rPr>
          <w:szCs w:val="22"/>
        </w:rPr>
        <w:t xml:space="preserve"> sample to </w:t>
      </w:r>
      <w:r w:rsidR="00521390">
        <w:rPr>
          <w:szCs w:val="22"/>
        </w:rPr>
        <w:t xml:space="preserve">preserve the observed proportions in each </w:t>
      </w:r>
      <w:r w:rsidR="00E45844">
        <w:rPr>
          <w:szCs w:val="22"/>
        </w:rPr>
        <w:t>gambling</w:t>
      </w:r>
      <w:r w:rsidR="00521390">
        <w:rPr>
          <w:szCs w:val="22"/>
        </w:rPr>
        <w:t xml:space="preserve"> risk </w:t>
      </w:r>
      <w:r w:rsidR="00E45844">
        <w:rPr>
          <w:szCs w:val="22"/>
        </w:rPr>
        <w:t>level</w:t>
      </w:r>
      <w:r w:rsidR="00521390">
        <w:rPr>
          <w:szCs w:val="22"/>
        </w:rPr>
        <w:t>.  It was then applied separately to the Wave 2</w:t>
      </w:r>
      <w:r w:rsidR="00E45844">
        <w:rPr>
          <w:szCs w:val="22"/>
        </w:rPr>
        <w:t>,</w:t>
      </w:r>
      <w:r w:rsidR="00521390">
        <w:rPr>
          <w:szCs w:val="22"/>
        </w:rPr>
        <w:t xml:space="preserve"> 3 </w:t>
      </w:r>
      <w:r w:rsidR="00E45844">
        <w:rPr>
          <w:szCs w:val="22"/>
        </w:rPr>
        <w:t xml:space="preserve">and 4 </w:t>
      </w:r>
      <w:r w:rsidR="00521390">
        <w:rPr>
          <w:szCs w:val="22"/>
        </w:rPr>
        <w:t xml:space="preserve">samples to </w:t>
      </w:r>
      <w:r w:rsidRPr="008E64D7">
        <w:rPr>
          <w:szCs w:val="22"/>
        </w:rPr>
        <w:t>match the weighted marginal frequencies of the Wave 1 sample, in an effort to allay any gambling outcome-based differential attrition.</w:t>
      </w:r>
    </w:p>
    <w:p w14:paraId="55FBDDA1" w14:textId="77777777" w:rsidR="008E64D7" w:rsidRDefault="008E64D7" w:rsidP="00F25301">
      <w:pPr>
        <w:pStyle w:val="BodyText1"/>
        <w:ind w:left="0"/>
        <w:jc w:val="both"/>
        <w:rPr>
          <w:szCs w:val="22"/>
        </w:rPr>
      </w:pPr>
    </w:p>
    <w:p w14:paraId="3A725E74" w14:textId="77777777" w:rsidR="00C54473" w:rsidRDefault="00C54473" w:rsidP="00C54473">
      <w:pPr>
        <w:pStyle w:val="RepHead2"/>
      </w:pPr>
      <w:bookmarkStart w:id="45" w:name="_Toc504488346"/>
      <w:r>
        <w:t>Data analysis</w:t>
      </w:r>
      <w:bookmarkEnd w:id="45"/>
    </w:p>
    <w:p w14:paraId="509E505F" w14:textId="77777777" w:rsidR="008E64D7" w:rsidRDefault="008E64D7" w:rsidP="00F25301">
      <w:pPr>
        <w:pStyle w:val="BodyText1"/>
        <w:ind w:left="0"/>
        <w:jc w:val="both"/>
        <w:rPr>
          <w:szCs w:val="22"/>
        </w:rPr>
      </w:pPr>
    </w:p>
    <w:p w14:paraId="647E2A3F" w14:textId="77777777" w:rsidR="00C54473" w:rsidRPr="0004202D" w:rsidRDefault="00C54473" w:rsidP="00C54473">
      <w:pPr>
        <w:pStyle w:val="RepHead3"/>
      </w:pPr>
      <w:bookmarkStart w:id="46" w:name="_Toc504488347"/>
      <w:r w:rsidRPr="0004202D">
        <w:t>Attrition analyses</w:t>
      </w:r>
      <w:bookmarkEnd w:id="46"/>
    </w:p>
    <w:p w14:paraId="572795A4" w14:textId="77777777" w:rsidR="008E64D7" w:rsidRDefault="008E64D7" w:rsidP="00F25301">
      <w:pPr>
        <w:pStyle w:val="BodyText1"/>
        <w:ind w:left="0"/>
        <w:jc w:val="both"/>
        <w:rPr>
          <w:szCs w:val="22"/>
        </w:rPr>
      </w:pPr>
    </w:p>
    <w:p w14:paraId="24A49DDB" w14:textId="77777777" w:rsidR="00C54473" w:rsidRDefault="00A515DB" w:rsidP="00F25301">
      <w:pPr>
        <w:pStyle w:val="BodyText1"/>
        <w:ind w:left="0"/>
        <w:jc w:val="both"/>
        <w:rPr>
          <w:szCs w:val="22"/>
        </w:rPr>
      </w:pPr>
      <w:r w:rsidRPr="00A515DB">
        <w:rPr>
          <w:szCs w:val="22"/>
        </w:rPr>
        <w:t xml:space="preserve">Attrition </w:t>
      </w:r>
      <w:r w:rsidR="0055283D">
        <w:rPr>
          <w:szCs w:val="22"/>
        </w:rPr>
        <w:t xml:space="preserve">analyses were conducted by </w:t>
      </w:r>
      <w:r w:rsidRPr="00A515DB">
        <w:rPr>
          <w:szCs w:val="22"/>
        </w:rPr>
        <w:t>examining unweighted Wave 1 characteristics (including a category for missing value</w:t>
      </w:r>
      <w:r w:rsidR="00B00AFE">
        <w:rPr>
          <w:szCs w:val="22"/>
        </w:rPr>
        <w:t>s</w:t>
      </w:r>
      <w:r w:rsidRPr="00A515DB">
        <w:rPr>
          <w:szCs w:val="22"/>
        </w:rPr>
        <w:t>) with frequencies and proportions</w:t>
      </w:r>
      <w:r w:rsidR="0055283D">
        <w:rPr>
          <w:szCs w:val="22"/>
        </w:rPr>
        <w:t>, then examining s</w:t>
      </w:r>
      <w:r w:rsidRPr="00A515DB">
        <w:rPr>
          <w:szCs w:val="22"/>
        </w:rPr>
        <w:t xml:space="preserve">ubsequent participation for </w:t>
      </w:r>
      <w:r>
        <w:rPr>
          <w:szCs w:val="22"/>
        </w:rPr>
        <w:t>Waves</w:t>
      </w:r>
      <w:r w:rsidRPr="00A515DB">
        <w:rPr>
          <w:szCs w:val="22"/>
        </w:rPr>
        <w:t xml:space="preserve"> 2, 3 and 4.  </w:t>
      </w:r>
      <w:r w:rsidR="00C54473" w:rsidRPr="00C54473">
        <w:rPr>
          <w:szCs w:val="22"/>
        </w:rPr>
        <w:t>The p-values testing independence</w:t>
      </w:r>
      <w:r w:rsidR="0004202D">
        <w:rPr>
          <w:rStyle w:val="FootnoteReference"/>
          <w:szCs w:val="22"/>
        </w:rPr>
        <w:footnoteReference w:id="4"/>
      </w:r>
      <w:r w:rsidR="00C54473" w:rsidRPr="00C54473">
        <w:rPr>
          <w:szCs w:val="22"/>
        </w:rPr>
        <w:t xml:space="preserve"> between Wave </w:t>
      </w:r>
      <w:r w:rsidR="002C1997">
        <w:rPr>
          <w:szCs w:val="22"/>
        </w:rPr>
        <w:t>4</w:t>
      </w:r>
      <w:r w:rsidR="00C54473" w:rsidRPr="00C54473">
        <w:rPr>
          <w:szCs w:val="22"/>
        </w:rPr>
        <w:t xml:space="preserve"> participants and non-participants are displayed in </w:t>
      </w:r>
      <w:r w:rsidR="0055283D">
        <w:rPr>
          <w:szCs w:val="22"/>
        </w:rPr>
        <w:t>Appendix 6</w:t>
      </w:r>
      <w:r w:rsidR="00C54473" w:rsidRPr="00C54473">
        <w:rPr>
          <w:szCs w:val="22"/>
        </w:rPr>
        <w:t>.  The categorical variables concerned are presented in</w:t>
      </w:r>
      <w:r w:rsidR="0004202D">
        <w:rPr>
          <w:szCs w:val="22"/>
        </w:rPr>
        <w:t xml:space="preserve"> Appendix 1.</w:t>
      </w:r>
    </w:p>
    <w:p w14:paraId="5A4895E7" w14:textId="77777777" w:rsidR="00B00AFE" w:rsidRDefault="00B00AFE" w:rsidP="00F25301">
      <w:pPr>
        <w:pStyle w:val="BodyText1"/>
        <w:ind w:left="0"/>
        <w:jc w:val="both"/>
        <w:rPr>
          <w:szCs w:val="22"/>
        </w:rPr>
      </w:pPr>
    </w:p>
    <w:p w14:paraId="2DAB935D" w14:textId="77777777" w:rsidR="00C54473" w:rsidRDefault="00C54473" w:rsidP="00F25301">
      <w:pPr>
        <w:pStyle w:val="BodyText1"/>
        <w:ind w:left="0"/>
        <w:jc w:val="both"/>
        <w:rPr>
          <w:szCs w:val="22"/>
        </w:rPr>
      </w:pPr>
    </w:p>
    <w:p w14:paraId="2A412576" w14:textId="77777777" w:rsidR="00C54473" w:rsidRPr="00E916E7" w:rsidRDefault="00DA71CC" w:rsidP="002C1997">
      <w:pPr>
        <w:pStyle w:val="RepHead3"/>
      </w:pPr>
      <w:bookmarkStart w:id="47" w:name="_Toc504488348"/>
      <w:r w:rsidRPr="00E916E7">
        <w:t>Descriptive statistics</w:t>
      </w:r>
      <w:bookmarkEnd w:id="47"/>
    </w:p>
    <w:p w14:paraId="2046EF12" w14:textId="77777777" w:rsidR="00C54473" w:rsidRPr="00E916E7" w:rsidRDefault="00C54473" w:rsidP="002C1997">
      <w:pPr>
        <w:pStyle w:val="BodyText1"/>
        <w:keepNext/>
        <w:ind w:left="0"/>
        <w:jc w:val="both"/>
        <w:rPr>
          <w:szCs w:val="22"/>
        </w:rPr>
      </w:pPr>
    </w:p>
    <w:p w14:paraId="5C4E38CA" w14:textId="77777777" w:rsidR="00C54473" w:rsidRPr="00DA71CC" w:rsidRDefault="00E916E7" w:rsidP="002C1997">
      <w:pPr>
        <w:pStyle w:val="BodyText1"/>
        <w:keepNext/>
        <w:ind w:left="0"/>
        <w:jc w:val="both"/>
        <w:rPr>
          <w:b/>
          <w:szCs w:val="22"/>
        </w:rPr>
      </w:pPr>
      <w:r>
        <w:rPr>
          <w:b/>
          <w:szCs w:val="22"/>
        </w:rPr>
        <w:t>Population prevalence trends</w:t>
      </w:r>
    </w:p>
    <w:p w14:paraId="3FE58083" w14:textId="77777777" w:rsidR="00C54473" w:rsidRDefault="00C54473" w:rsidP="00F25301">
      <w:pPr>
        <w:pStyle w:val="BodyText1"/>
        <w:ind w:left="0"/>
        <w:jc w:val="both"/>
        <w:rPr>
          <w:szCs w:val="22"/>
        </w:rPr>
      </w:pPr>
    </w:p>
    <w:p w14:paraId="62800757" w14:textId="77777777" w:rsidR="00E916E7" w:rsidRPr="00E916E7" w:rsidRDefault="00E916E7" w:rsidP="00E916E7">
      <w:pPr>
        <w:pStyle w:val="BodyText1"/>
        <w:ind w:left="0"/>
        <w:jc w:val="both"/>
        <w:rPr>
          <w:szCs w:val="22"/>
        </w:rPr>
      </w:pPr>
      <w:r>
        <w:rPr>
          <w:szCs w:val="22"/>
        </w:rPr>
        <w:t>T</w:t>
      </w:r>
      <w:r w:rsidRPr="00E916E7">
        <w:rPr>
          <w:szCs w:val="22"/>
        </w:rPr>
        <w:t xml:space="preserve">rends across all </w:t>
      </w:r>
      <w:r>
        <w:rPr>
          <w:szCs w:val="22"/>
        </w:rPr>
        <w:t>four</w:t>
      </w:r>
      <w:r w:rsidRPr="00E916E7">
        <w:rPr>
          <w:szCs w:val="22"/>
        </w:rPr>
        <w:t xml:space="preserve"> waves for each of the categorical v</w:t>
      </w:r>
      <w:r>
        <w:rPr>
          <w:szCs w:val="22"/>
        </w:rPr>
        <w:t xml:space="preserve">ariables presented in Appendix 2 </w:t>
      </w:r>
      <w:r w:rsidR="0055283D">
        <w:rPr>
          <w:szCs w:val="22"/>
        </w:rPr>
        <w:t>are presented</w:t>
      </w:r>
      <w:r>
        <w:rPr>
          <w:szCs w:val="22"/>
        </w:rPr>
        <w:t>, detailing</w:t>
      </w:r>
      <w:r w:rsidRPr="00E916E7">
        <w:rPr>
          <w:szCs w:val="22"/>
        </w:rPr>
        <w:t xml:space="preserve"> population prevalence estimates and 95% confidence intervals based on the census</w:t>
      </w:r>
      <w:r w:rsidR="002D3CBA">
        <w:rPr>
          <w:szCs w:val="22"/>
        </w:rPr>
        <w:t xml:space="preserve"> </w:t>
      </w:r>
      <w:r w:rsidRPr="00E916E7">
        <w:rPr>
          <w:szCs w:val="22"/>
        </w:rPr>
        <w:t>+</w:t>
      </w:r>
      <w:r w:rsidR="002D3CBA">
        <w:rPr>
          <w:szCs w:val="22"/>
        </w:rPr>
        <w:t xml:space="preserve"> </w:t>
      </w:r>
      <w:r w:rsidRPr="00E916E7">
        <w:rPr>
          <w:szCs w:val="22"/>
        </w:rPr>
        <w:t xml:space="preserve">attrition weights.  </w:t>
      </w:r>
      <w:r w:rsidR="002D3CBA">
        <w:rPr>
          <w:szCs w:val="22"/>
        </w:rPr>
        <w:t>T</w:t>
      </w:r>
      <w:r w:rsidRPr="00E916E7">
        <w:rPr>
          <w:szCs w:val="22"/>
        </w:rPr>
        <w:t xml:space="preserve">rends for online gambling (in New Zealand and overseas, separately) for the different gambling </w:t>
      </w:r>
      <w:r>
        <w:rPr>
          <w:szCs w:val="22"/>
        </w:rPr>
        <w:t>activities</w:t>
      </w:r>
      <w:r w:rsidRPr="00E916E7">
        <w:rPr>
          <w:szCs w:val="22"/>
        </w:rPr>
        <w:t xml:space="preserve"> </w:t>
      </w:r>
      <w:r>
        <w:rPr>
          <w:szCs w:val="22"/>
        </w:rPr>
        <w:t>have</w:t>
      </w:r>
      <w:r w:rsidRPr="00E916E7">
        <w:rPr>
          <w:szCs w:val="22"/>
        </w:rPr>
        <w:t xml:space="preserve"> also be</w:t>
      </w:r>
      <w:r>
        <w:rPr>
          <w:szCs w:val="22"/>
        </w:rPr>
        <w:t>en</w:t>
      </w:r>
      <w:r w:rsidRPr="00E916E7">
        <w:rPr>
          <w:szCs w:val="22"/>
        </w:rPr>
        <w:t xml:space="preserve"> presented.  </w:t>
      </w:r>
      <w:r w:rsidR="00AB77E4">
        <w:rPr>
          <w:szCs w:val="22"/>
        </w:rPr>
        <w:t xml:space="preserve">Where calculations have been made using 2013 Census population figures, a value of 3,300,996 was used for the total number of adults aged 18 years and older on </w:t>
      </w:r>
      <w:r w:rsidR="00B00AFE">
        <w:rPr>
          <w:szCs w:val="22"/>
        </w:rPr>
        <w:t xml:space="preserve">Census </w:t>
      </w:r>
      <w:r w:rsidR="00AB77E4">
        <w:rPr>
          <w:szCs w:val="22"/>
        </w:rPr>
        <w:t>night.</w:t>
      </w:r>
    </w:p>
    <w:p w14:paraId="64A68811" w14:textId="77777777" w:rsidR="00E916E7" w:rsidRDefault="00E916E7" w:rsidP="00E916E7">
      <w:pPr>
        <w:pStyle w:val="BodyText1"/>
        <w:ind w:left="0"/>
        <w:jc w:val="both"/>
        <w:rPr>
          <w:szCs w:val="22"/>
        </w:rPr>
      </w:pPr>
    </w:p>
    <w:p w14:paraId="63BEF0DB" w14:textId="4B3F050B" w:rsidR="00C54473" w:rsidRDefault="00E916E7" w:rsidP="00E916E7">
      <w:pPr>
        <w:pStyle w:val="BodyText1"/>
        <w:ind w:left="0"/>
        <w:jc w:val="both"/>
        <w:rPr>
          <w:szCs w:val="22"/>
        </w:rPr>
      </w:pPr>
      <w:r>
        <w:rPr>
          <w:szCs w:val="22"/>
        </w:rPr>
        <w:t>Data</w:t>
      </w:r>
      <w:r w:rsidRPr="00E916E7">
        <w:rPr>
          <w:szCs w:val="22"/>
        </w:rPr>
        <w:t xml:space="preserve"> for Māori, Pacific and Asian groups </w:t>
      </w:r>
      <w:r w:rsidR="0055283D">
        <w:rPr>
          <w:szCs w:val="22"/>
        </w:rPr>
        <w:t>are</w:t>
      </w:r>
      <w:r w:rsidRPr="00E916E7">
        <w:rPr>
          <w:szCs w:val="22"/>
        </w:rPr>
        <w:t xml:space="preserve"> also presented for each of the categorical v</w:t>
      </w:r>
      <w:r>
        <w:rPr>
          <w:szCs w:val="22"/>
        </w:rPr>
        <w:t xml:space="preserve">ariables </w:t>
      </w:r>
      <w:r w:rsidRPr="00F60109">
        <w:rPr>
          <w:szCs w:val="22"/>
        </w:rPr>
        <w:t xml:space="preserve">presented in Appendix 2 (except ethnicity), where </w:t>
      </w:r>
      <w:r w:rsidR="00166C6E" w:rsidRPr="00F60109">
        <w:rPr>
          <w:szCs w:val="22"/>
        </w:rPr>
        <w:t xml:space="preserve">statistically </w:t>
      </w:r>
      <w:r w:rsidRPr="00F60109">
        <w:rPr>
          <w:szCs w:val="22"/>
        </w:rPr>
        <w:t>feasible (</w:t>
      </w:r>
      <w:r w:rsidR="002D3CBA" w:rsidRPr="00F60109">
        <w:rPr>
          <w:szCs w:val="22"/>
        </w:rPr>
        <w:t>i.e. where</w:t>
      </w:r>
      <w:r w:rsidRPr="00F60109">
        <w:rPr>
          <w:szCs w:val="22"/>
        </w:rPr>
        <w:t xml:space="preserve"> numbers</w:t>
      </w:r>
      <w:r w:rsidRPr="00E916E7">
        <w:rPr>
          <w:szCs w:val="22"/>
        </w:rPr>
        <w:t xml:space="preserve"> allow</w:t>
      </w:r>
      <w:r w:rsidR="002D3CBA">
        <w:rPr>
          <w:szCs w:val="22"/>
        </w:rPr>
        <w:t>ed</w:t>
      </w:r>
      <w:r w:rsidRPr="00E916E7">
        <w:rPr>
          <w:szCs w:val="22"/>
        </w:rPr>
        <w:t>).</w:t>
      </w:r>
    </w:p>
    <w:p w14:paraId="2F2AE4FD" w14:textId="77777777" w:rsidR="00E916E7" w:rsidRDefault="00E916E7" w:rsidP="00E916E7">
      <w:pPr>
        <w:pStyle w:val="BodyText1"/>
        <w:ind w:left="0"/>
        <w:jc w:val="both"/>
        <w:rPr>
          <w:szCs w:val="22"/>
        </w:rPr>
      </w:pPr>
    </w:p>
    <w:p w14:paraId="1B9F992D" w14:textId="77777777" w:rsidR="00C54473" w:rsidRDefault="00C54473" w:rsidP="00F25301">
      <w:pPr>
        <w:pStyle w:val="BodyText1"/>
        <w:ind w:left="0"/>
        <w:jc w:val="both"/>
        <w:rPr>
          <w:szCs w:val="22"/>
        </w:rPr>
      </w:pPr>
    </w:p>
    <w:p w14:paraId="54C40FF7" w14:textId="77777777" w:rsidR="00C54473" w:rsidRPr="00DA4655" w:rsidRDefault="00E916E7" w:rsidP="00F25301">
      <w:pPr>
        <w:pStyle w:val="BodyText1"/>
        <w:ind w:left="0"/>
        <w:jc w:val="both"/>
        <w:rPr>
          <w:b/>
          <w:szCs w:val="22"/>
        </w:rPr>
      </w:pPr>
      <w:r>
        <w:rPr>
          <w:b/>
          <w:szCs w:val="22"/>
        </w:rPr>
        <w:t>Gambling risk level trends</w:t>
      </w:r>
    </w:p>
    <w:p w14:paraId="00A54E8D" w14:textId="77777777" w:rsidR="00C54473" w:rsidRDefault="00C54473" w:rsidP="00F25301">
      <w:pPr>
        <w:pStyle w:val="BodyText1"/>
        <w:ind w:left="0"/>
        <w:jc w:val="both"/>
        <w:rPr>
          <w:szCs w:val="22"/>
        </w:rPr>
      </w:pPr>
    </w:p>
    <w:p w14:paraId="60C32633" w14:textId="77777777" w:rsidR="00403773" w:rsidRDefault="00E916E7" w:rsidP="00403773">
      <w:pPr>
        <w:jc w:val="both"/>
        <w:rPr>
          <w:szCs w:val="22"/>
        </w:rPr>
      </w:pPr>
      <w:r>
        <w:rPr>
          <w:szCs w:val="22"/>
        </w:rPr>
        <w:t>C</w:t>
      </w:r>
      <w:r w:rsidRPr="00E916E7">
        <w:rPr>
          <w:szCs w:val="22"/>
        </w:rPr>
        <w:t xml:space="preserve">hange trends over the </w:t>
      </w:r>
      <w:r>
        <w:rPr>
          <w:szCs w:val="22"/>
        </w:rPr>
        <w:t>four</w:t>
      </w:r>
      <w:r w:rsidRPr="00E916E7">
        <w:rPr>
          <w:szCs w:val="22"/>
        </w:rPr>
        <w:t xml:space="preserve"> waves for the characteristics of </w:t>
      </w:r>
      <w:r w:rsidR="002D4EC6">
        <w:rPr>
          <w:szCs w:val="22"/>
        </w:rPr>
        <w:t>gambling risk level</w:t>
      </w:r>
      <w:r>
        <w:rPr>
          <w:szCs w:val="22"/>
        </w:rPr>
        <w:t xml:space="preserve"> over the past 12 months</w:t>
      </w:r>
      <w:r w:rsidRPr="00E916E7">
        <w:rPr>
          <w:szCs w:val="22"/>
        </w:rPr>
        <w:t xml:space="preserve"> (</w:t>
      </w:r>
      <w:r>
        <w:rPr>
          <w:szCs w:val="22"/>
        </w:rPr>
        <w:t>non-gambler</w:t>
      </w:r>
      <w:r w:rsidRPr="00E916E7">
        <w:rPr>
          <w:szCs w:val="22"/>
        </w:rPr>
        <w:t xml:space="preserve">, </w:t>
      </w:r>
      <w:r>
        <w:rPr>
          <w:szCs w:val="22"/>
        </w:rPr>
        <w:t>non-problem gambler</w:t>
      </w:r>
      <w:r w:rsidRPr="00E916E7">
        <w:rPr>
          <w:szCs w:val="22"/>
        </w:rPr>
        <w:t xml:space="preserve">, </w:t>
      </w:r>
      <w:r>
        <w:rPr>
          <w:szCs w:val="22"/>
        </w:rPr>
        <w:t>l</w:t>
      </w:r>
      <w:r w:rsidRPr="00E916E7">
        <w:rPr>
          <w:szCs w:val="22"/>
        </w:rPr>
        <w:t>ow</w:t>
      </w:r>
      <w:r w:rsidR="006408BE">
        <w:rPr>
          <w:szCs w:val="22"/>
        </w:rPr>
        <w:t>-r</w:t>
      </w:r>
      <w:r w:rsidRPr="00E916E7">
        <w:rPr>
          <w:szCs w:val="22"/>
        </w:rPr>
        <w:t>isk</w:t>
      </w:r>
      <w:r w:rsidR="006408BE">
        <w:rPr>
          <w:szCs w:val="22"/>
        </w:rPr>
        <w:t xml:space="preserve"> gambler</w:t>
      </w:r>
      <w:r w:rsidRPr="00E916E7">
        <w:rPr>
          <w:szCs w:val="22"/>
        </w:rPr>
        <w:t xml:space="preserve">, </w:t>
      </w:r>
      <w:r w:rsidR="006408BE">
        <w:rPr>
          <w:szCs w:val="22"/>
        </w:rPr>
        <w:t>m</w:t>
      </w:r>
      <w:r w:rsidRPr="00E916E7">
        <w:rPr>
          <w:szCs w:val="22"/>
        </w:rPr>
        <w:t>oderate</w:t>
      </w:r>
      <w:r w:rsidR="006408BE">
        <w:rPr>
          <w:szCs w:val="22"/>
        </w:rPr>
        <w:t>-r</w:t>
      </w:r>
      <w:r w:rsidRPr="00E916E7">
        <w:rPr>
          <w:szCs w:val="22"/>
        </w:rPr>
        <w:t>isk</w:t>
      </w:r>
      <w:r w:rsidR="006408BE">
        <w:rPr>
          <w:szCs w:val="22"/>
        </w:rPr>
        <w:t xml:space="preserve"> gambler</w:t>
      </w:r>
      <w:r w:rsidRPr="00E916E7">
        <w:rPr>
          <w:szCs w:val="22"/>
        </w:rPr>
        <w:t xml:space="preserve"> and </w:t>
      </w:r>
      <w:r w:rsidR="006408BE">
        <w:rPr>
          <w:szCs w:val="22"/>
        </w:rPr>
        <w:t>problem g</w:t>
      </w:r>
      <w:r w:rsidRPr="00E916E7">
        <w:rPr>
          <w:szCs w:val="22"/>
        </w:rPr>
        <w:t>ambler) by the each of the categorical v</w:t>
      </w:r>
      <w:r w:rsidR="006408BE">
        <w:rPr>
          <w:szCs w:val="22"/>
        </w:rPr>
        <w:t>ariables presented in Appendix 3</w:t>
      </w:r>
      <w:r>
        <w:rPr>
          <w:szCs w:val="22"/>
        </w:rPr>
        <w:t xml:space="preserve"> </w:t>
      </w:r>
      <w:r w:rsidR="0055283D">
        <w:rPr>
          <w:szCs w:val="22"/>
        </w:rPr>
        <w:t>are</w:t>
      </w:r>
      <w:r>
        <w:rPr>
          <w:szCs w:val="22"/>
        </w:rPr>
        <w:t xml:space="preserve"> presented</w:t>
      </w:r>
      <w:r w:rsidRPr="00E916E7">
        <w:rPr>
          <w:szCs w:val="22"/>
        </w:rPr>
        <w:t>.</w:t>
      </w:r>
    </w:p>
    <w:p w14:paraId="399D6E76" w14:textId="77777777" w:rsidR="006408BE" w:rsidRDefault="006408BE" w:rsidP="00403773">
      <w:pPr>
        <w:jc w:val="both"/>
        <w:rPr>
          <w:szCs w:val="22"/>
        </w:rPr>
      </w:pPr>
    </w:p>
    <w:p w14:paraId="67A37470" w14:textId="77777777" w:rsidR="006408BE" w:rsidRDefault="006408BE" w:rsidP="00403773">
      <w:pPr>
        <w:jc w:val="both"/>
        <w:rPr>
          <w:szCs w:val="22"/>
        </w:rPr>
      </w:pPr>
    </w:p>
    <w:p w14:paraId="04B6E926" w14:textId="77777777" w:rsidR="006408BE" w:rsidRDefault="006408BE" w:rsidP="00403773">
      <w:pPr>
        <w:jc w:val="both"/>
        <w:rPr>
          <w:szCs w:val="22"/>
        </w:rPr>
      </w:pPr>
      <w:r>
        <w:rPr>
          <w:b/>
          <w:szCs w:val="22"/>
        </w:rPr>
        <w:t>Electronic gaming machine expenditure trends</w:t>
      </w:r>
    </w:p>
    <w:p w14:paraId="781AFEF7" w14:textId="77777777" w:rsidR="006408BE" w:rsidRDefault="006408BE" w:rsidP="00403773">
      <w:pPr>
        <w:jc w:val="both"/>
        <w:rPr>
          <w:szCs w:val="22"/>
        </w:rPr>
      </w:pPr>
    </w:p>
    <w:p w14:paraId="3EB4315B" w14:textId="77777777" w:rsidR="006408BE" w:rsidRDefault="006408BE" w:rsidP="00403773">
      <w:pPr>
        <w:jc w:val="both"/>
        <w:rPr>
          <w:szCs w:val="22"/>
        </w:rPr>
      </w:pPr>
      <w:r>
        <w:rPr>
          <w:szCs w:val="22"/>
        </w:rPr>
        <w:t>Electronic gaming machine</w:t>
      </w:r>
      <w:r w:rsidRPr="006408BE">
        <w:rPr>
          <w:szCs w:val="22"/>
        </w:rPr>
        <w:t xml:space="preserve"> expenditure by venue type and </w:t>
      </w:r>
      <w:r w:rsidR="002D4EC6">
        <w:rPr>
          <w:szCs w:val="22"/>
        </w:rPr>
        <w:t>gambling risk</w:t>
      </w:r>
      <w:r w:rsidRPr="006408BE">
        <w:rPr>
          <w:szCs w:val="22"/>
        </w:rPr>
        <w:t xml:space="preserve"> </w:t>
      </w:r>
      <w:r>
        <w:rPr>
          <w:szCs w:val="22"/>
        </w:rPr>
        <w:t xml:space="preserve">level </w:t>
      </w:r>
      <w:r w:rsidRPr="006408BE">
        <w:rPr>
          <w:szCs w:val="22"/>
        </w:rPr>
        <w:t>(includi</w:t>
      </w:r>
      <w:r>
        <w:rPr>
          <w:szCs w:val="22"/>
        </w:rPr>
        <w:t>ng 95% </w:t>
      </w:r>
      <w:r w:rsidRPr="006408BE">
        <w:rPr>
          <w:szCs w:val="22"/>
        </w:rPr>
        <w:t xml:space="preserve">confidence intervals) </w:t>
      </w:r>
      <w:r w:rsidR="0055283D">
        <w:rPr>
          <w:szCs w:val="22"/>
        </w:rPr>
        <w:t>are</w:t>
      </w:r>
      <w:r>
        <w:rPr>
          <w:szCs w:val="22"/>
        </w:rPr>
        <w:t xml:space="preserve"> presented </w:t>
      </w:r>
      <w:r w:rsidRPr="006408BE">
        <w:rPr>
          <w:szCs w:val="22"/>
        </w:rPr>
        <w:t xml:space="preserve">across the </w:t>
      </w:r>
      <w:r>
        <w:rPr>
          <w:szCs w:val="22"/>
        </w:rPr>
        <w:t>four</w:t>
      </w:r>
      <w:r w:rsidRPr="006408BE">
        <w:rPr>
          <w:szCs w:val="22"/>
        </w:rPr>
        <w:t xml:space="preserve"> waves.</w:t>
      </w:r>
    </w:p>
    <w:p w14:paraId="21D651FE" w14:textId="77777777" w:rsidR="006408BE" w:rsidRDefault="006408BE" w:rsidP="00403773">
      <w:pPr>
        <w:jc w:val="both"/>
        <w:rPr>
          <w:szCs w:val="22"/>
        </w:rPr>
      </w:pPr>
    </w:p>
    <w:p w14:paraId="36144043" w14:textId="77777777" w:rsidR="006408BE" w:rsidRDefault="006408BE" w:rsidP="00403773">
      <w:pPr>
        <w:jc w:val="both"/>
        <w:rPr>
          <w:szCs w:val="22"/>
        </w:rPr>
      </w:pPr>
    </w:p>
    <w:p w14:paraId="41F20CA7" w14:textId="77777777" w:rsidR="006408BE" w:rsidRDefault="006408BE" w:rsidP="003B4065">
      <w:pPr>
        <w:keepNext/>
        <w:jc w:val="both"/>
        <w:rPr>
          <w:szCs w:val="22"/>
        </w:rPr>
      </w:pPr>
      <w:r>
        <w:rPr>
          <w:b/>
          <w:szCs w:val="22"/>
        </w:rPr>
        <w:t>Gambling risk level transitions</w:t>
      </w:r>
    </w:p>
    <w:p w14:paraId="7DDC32FD" w14:textId="77777777" w:rsidR="006408BE" w:rsidRDefault="006408BE" w:rsidP="003B4065">
      <w:pPr>
        <w:keepNext/>
        <w:jc w:val="both"/>
        <w:rPr>
          <w:szCs w:val="22"/>
        </w:rPr>
      </w:pPr>
    </w:p>
    <w:p w14:paraId="039D0954" w14:textId="77777777" w:rsidR="006408BE" w:rsidRDefault="006408BE" w:rsidP="003B4065">
      <w:pPr>
        <w:keepNext/>
        <w:jc w:val="both"/>
        <w:rPr>
          <w:szCs w:val="22"/>
        </w:rPr>
      </w:pPr>
      <w:r>
        <w:rPr>
          <w:szCs w:val="22"/>
        </w:rPr>
        <w:t>Data detailing</w:t>
      </w:r>
      <w:r w:rsidRPr="006408BE">
        <w:rPr>
          <w:szCs w:val="22"/>
        </w:rPr>
        <w:t xml:space="preserve"> </w:t>
      </w:r>
      <w:r w:rsidR="002D4EC6">
        <w:rPr>
          <w:szCs w:val="22"/>
        </w:rPr>
        <w:t>gambling risk</w:t>
      </w:r>
      <w:r w:rsidRPr="006408BE">
        <w:rPr>
          <w:szCs w:val="22"/>
        </w:rPr>
        <w:t xml:space="preserve"> </w:t>
      </w:r>
      <w:r>
        <w:rPr>
          <w:szCs w:val="22"/>
        </w:rPr>
        <w:t>level</w:t>
      </w:r>
      <w:r w:rsidRPr="006408BE">
        <w:rPr>
          <w:szCs w:val="22"/>
        </w:rPr>
        <w:t xml:space="preserve"> transitions between Waves 1, 2, 3 and 4 </w:t>
      </w:r>
      <w:r w:rsidR="0055283D">
        <w:rPr>
          <w:szCs w:val="22"/>
        </w:rPr>
        <w:t>are</w:t>
      </w:r>
      <w:r>
        <w:rPr>
          <w:szCs w:val="22"/>
        </w:rPr>
        <w:t xml:space="preserve"> presented</w:t>
      </w:r>
      <w:r w:rsidRPr="006408BE">
        <w:rPr>
          <w:szCs w:val="22"/>
        </w:rPr>
        <w:t xml:space="preserve"> d</w:t>
      </w:r>
      <w:r>
        <w:rPr>
          <w:szCs w:val="22"/>
        </w:rPr>
        <w:t>etailing</w:t>
      </w:r>
      <w:r w:rsidRPr="006408BE">
        <w:rPr>
          <w:szCs w:val="22"/>
        </w:rPr>
        <w:t xml:space="preserve"> census</w:t>
      </w:r>
      <w:r w:rsidR="002D4EC6">
        <w:rPr>
          <w:szCs w:val="22"/>
        </w:rPr>
        <w:t xml:space="preserve"> </w:t>
      </w:r>
      <w:r w:rsidRPr="006408BE">
        <w:rPr>
          <w:szCs w:val="22"/>
        </w:rPr>
        <w:t>+</w:t>
      </w:r>
      <w:r w:rsidR="002D4EC6">
        <w:rPr>
          <w:szCs w:val="22"/>
        </w:rPr>
        <w:t xml:space="preserve"> </w:t>
      </w:r>
      <w:r w:rsidRPr="006408BE">
        <w:rPr>
          <w:szCs w:val="22"/>
        </w:rPr>
        <w:t>attrition-weighted frequencies, along with transitio</w:t>
      </w:r>
      <w:r>
        <w:rPr>
          <w:szCs w:val="22"/>
        </w:rPr>
        <w:t>n incidence proportions and 95% </w:t>
      </w:r>
      <w:r w:rsidRPr="006408BE">
        <w:rPr>
          <w:szCs w:val="22"/>
        </w:rPr>
        <w:t xml:space="preserve">confidence intervals based on the latter. </w:t>
      </w:r>
      <w:r>
        <w:rPr>
          <w:szCs w:val="22"/>
        </w:rPr>
        <w:t xml:space="preserve"> Data</w:t>
      </w:r>
      <w:r w:rsidRPr="006408BE">
        <w:rPr>
          <w:szCs w:val="22"/>
        </w:rPr>
        <w:t xml:space="preserve"> (including incidence proportions and </w:t>
      </w:r>
      <w:r w:rsidR="002D4EC6">
        <w:rPr>
          <w:szCs w:val="22"/>
        </w:rPr>
        <w:t xml:space="preserve">95% </w:t>
      </w:r>
      <w:r w:rsidRPr="006408BE">
        <w:rPr>
          <w:szCs w:val="22"/>
        </w:rPr>
        <w:t xml:space="preserve">confidence intervals) </w:t>
      </w:r>
      <w:r>
        <w:rPr>
          <w:szCs w:val="22"/>
        </w:rPr>
        <w:t>have</w:t>
      </w:r>
      <w:r w:rsidRPr="006408BE">
        <w:rPr>
          <w:szCs w:val="22"/>
        </w:rPr>
        <w:t xml:space="preserve"> also be</w:t>
      </w:r>
      <w:r>
        <w:rPr>
          <w:szCs w:val="22"/>
        </w:rPr>
        <w:t>en</w:t>
      </w:r>
      <w:r w:rsidRPr="006408BE">
        <w:rPr>
          <w:szCs w:val="22"/>
        </w:rPr>
        <w:t xml:space="preserve"> produced for Māori and Pacific groups.</w:t>
      </w:r>
    </w:p>
    <w:p w14:paraId="3A7B80E8" w14:textId="77777777" w:rsidR="006408BE" w:rsidRPr="006408BE" w:rsidRDefault="006408BE" w:rsidP="00403773">
      <w:pPr>
        <w:jc w:val="both"/>
        <w:rPr>
          <w:szCs w:val="22"/>
        </w:rPr>
      </w:pPr>
    </w:p>
    <w:p w14:paraId="2F0D1043" w14:textId="77777777" w:rsidR="00403773" w:rsidRPr="00D5459E" w:rsidRDefault="00403773" w:rsidP="00403773">
      <w:pPr>
        <w:jc w:val="both"/>
        <w:rPr>
          <w:szCs w:val="22"/>
        </w:rPr>
      </w:pPr>
    </w:p>
    <w:p w14:paraId="233594DC" w14:textId="77777777" w:rsidR="00403773" w:rsidRDefault="00403773" w:rsidP="00403773">
      <w:pPr>
        <w:pStyle w:val="RepHead3"/>
      </w:pPr>
      <w:bookmarkStart w:id="48" w:name="_Ref465774892"/>
      <w:bookmarkStart w:id="49" w:name="_Toc504488349"/>
      <w:r>
        <w:t>Inferential statistics</w:t>
      </w:r>
      <w:bookmarkEnd w:id="48"/>
      <w:bookmarkEnd w:id="49"/>
    </w:p>
    <w:p w14:paraId="599C9071" w14:textId="77777777" w:rsidR="00C54473" w:rsidRDefault="00C54473" w:rsidP="00F25301">
      <w:pPr>
        <w:pStyle w:val="BodyText1"/>
        <w:ind w:left="0"/>
        <w:jc w:val="both"/>
        <w:rPr>
          <w:szCs w:val="22"/>
        </w:rPr>
      </w:pPr>
    </w:p>
    <w:p w14:paraId="665E14B1" w14:textId="77777777" w:rsidR="00403773" w:rsidRPr="00403773" w:rsidRDefault="00A640D6" w:rsidP="00F25301">
      <w:pPr>
        <w:pStyle w:val="BodyText1"/>
        <w:ind w:left="0"/>
        <w:jc w:val="both"/>
        <w:rPr>
          <w:b/>
          <w:szCs w:val="22"/>
        </w:rPr>
      </w:pPr>
      <w:r>
        <w:rPr>
          <w:b/>
          <w:szCs w:val="22"/>
        </w:rPr>
        <w:t>Repeated measures modelling</w:t>
      </w:r>
    </w:p>
    <w:p w14:paraId="424CBBBE" w14:textId="77777777" w:rsidR="00403773" w:rsidRDefault="00403773" w:rsidP="00F25301">
      <w:pPr>
        <w:pStyle w:val="BodyText1"/>
        <w:ind w:left="0"/>
        <w:jc w:val="both"/>
        <w:rPr>
          <w:szCs w:val="22"/>
        </w:rPr>
      </w:pPr>
    </w:p>
    <w:p w14:paraId="14CB4204" w14:textId="77777777" w:rsidR="00A640D6" w:rsidRPr="00A640D6" w:rsidRDefault="00A640D6" w:rsidP="00A640D6">
      <w:pPr>
        <w:pStyle w:val="BodyText1"/>
        <w:ind w:left="0"/>
        <w:jc w:val="both"/>
        <w:rPr>
          <w:szCs w:val="22"/>
        </w:rPr>
      </w:pPr>
      <w:r w:rsidRPr="00A640D6">
        <w:rPr>
          <w:szCs w:val="22"/>
        </w:rPr>
        <w:t xml:space="preserve">Mixed effects logistic regression (repeated measures analysis) </w:t>
      </w:r>
      <w:r>
        <w:rPr>
          <w:szCs w:val="22"/>
        </w:rPr>
        <w:t>was</w:t>
      </w:r>
      <w:r w:rsidRPr="00A640D6">
        <w:rPr>
          <w:szCs w:val="22"/>
        </w:rPr>
        <w:t xml:space="preserve"> undertaken for each of the following comparisons, taking the </w:t>
      </w:r>
      <w:r>
        <w:rPr>
          <w:szCs w:val="22"/>
        </w:rPr>
        <w:t>four</w:t>
      </w:r>
      <w:r w:rsidRPr="00A640D6">
        <w:rPr>
          <w:szCs w:val="22"/>
        </w:rPr>
        <w:t xml:space="preserve"> waves of data into account:</w:t>
      </w:r>
    </w:p>
    <w:p w14:paraId="54B04CB3" w14:textId="77777777" w:rsidR="00A640D6" w:rsidRPr="00A640D6" w:rsidRDefault="00A640D6" w:rsidP="00DD2ADA">
      <w:pPr>
        <w:pStyle w:val="BodyText1"/>
        <w:numPr>
          <w:ilvl w:val="0"/>
          <w:numId w:val="36"/>
        </w:numPr>
        <w:jc w:val="both"/>
        <w:rPr>
          <w:szCs w:val="22"/>
        </w:rPr>
      </w:pPr>
      <w:r w:rsidRPr="00A640D6">
        <w:rPr>
          <w:szCs w:val="22"/>
        </w:rPr>
        <w:t>Gambling participation versus not gambling</w:t>
      </w:r>
    </w:p>
    <w:p w14:paraId="0A7B402E" w14:textId="77777777" w:rsidR="00A640D6" w:rsidRPr="00A640D6" w:rsidRDefault="00787CAD" w:rsidP="00DD2ADA">
      <w:pPr>
        <w:pStyle w:val="BodyText1"/>
        <w:numPr>
          <w:ilvl w:val="0"/>
          <w:numId w:val="36"/>
        </w:numPr>
        <w:jc w:val="both"/>
        <w:rPr>
          <w:szCs w:val="22"/>
        </w:rPr>
      </w:pPr>
      <w:r>
        <w:rPr>
          <w:szCs w:val="22"/>
        </w:rPr>
        <w:t>Low-risk/moderate-risk/problem</w:t>
      </w:r>
      <w:r w:rsidR="00A640D6">
        <w:rPr>
          <w:szCs w:val="22"/>
        </w:rPr>
        <w:t xml:space="preserve"> gambler versus n</w:t>
      </w:r>
      <w:r w:rsidR="00A640D6" w:rsidRPr="00A640D6">
        <w:rPr>
          <w:szCs w:val="22"/>
        </w:rPr>
        <w:t>on-</w:t>
      </w:r>
      <w:r w:rsidR="00A640D6">
        <w:rPr>
          <w:szCs w:val="22"/>
        </w:rPr>
        <w:t>problem gambler</w:t>
      </w:r>
      <w:r w:rsidR="00A640D6" w:rsidRPr="00A640D6">
        <w:rPr>
          <w:szCs w:val="22"/>
        </w:rPr>
        <w:t>/non-gambl</w:t>
      </w:r>
      <w:r w:rsidR="00A640D6">
        <w:rPr>
          <w:szCs w:val="22"/>
        </w:rPr>
        <w:t>er</w:t>
      </w:r>
    </w:p>
    <w:p w14:paraId="3559CD53" w14:textId="77777777" w:rsidR="00A640D6" w:rsidRDefault="00A640D6" w:rsidP="00DD2ADA">
      <w:pPr>
        <w:pStyle w:val="BodyText1"/>
        <w:numPr>
          <w:ilvl w:val="0"/>
          <w:numId w:val="36"/>
        </w:numPr>
        <w:jc w:val="both"/>
        <w:rPr>
          <w:szCs w:val="22"/>
        </w:rPr>
      </w:pPr>
      <w:r w:rsidRPr="00A640D6">
        <w:rPr>
          <w:szCs w:val="22"/>
        </w:rPr>
        <w:t>Moderate</w:t>
      </w:r>
      <w:r>
        <w:rPr>
          <w:szCs w:val="22"/>
        </w:rPr>
        <w:t>-r</w:t>
      </w:r>
      <w:r w:rsidRPr="00A640D6">
        <w:rPr>
          <w:szCs w:val="22"/>
        </w:rPr>
        <w:t>isk/</w:t>
      </w:r>
      <w:r>
        <w:rPr>
          <w:szCs w:val="22"/>
        </w:rPr>
        <w:t>problem gambler versus low-</w:t>
      </w:r>
      <w:r w:rsidRPr="00A640D6">
        <w:rPr>
          <w:szCs w:val="22"/>
        </w:rPr>
        <w:t>risk/</w:t>
      </w:r>
      <w:r>
        <w:rPr>
          <w:szCs w:val="22"/>
        </w:rPr>
        <w:t>n</w:t>
      </w:r>
      <w:r w:rsidRPr="00A640D6">
        <w:rPr>
          <w:szCs w:val="22"/>
        </w:rPr>
        <w:t>on-</w:t>
      </w:r>
      <w:r>
        <w:rPr>
          <w:szCs w:val="22"/>
        </w:rPr>
        <w:t>problem</w:t>
      </w:r>
      <w:r w:rsidRPr="00A640D6">
        <w:rPr>
          <w:szCs w:val="22"/>
        </w:rPr>
        <w:t>/non-gamb</w:t>
      </w:r>
      <w:r>
        <w:rPr>
          <w:szCs w:val="22"/>
        </w:rPr>
        <w:t>ler</w:t>
      </w:r>
    </w:p>
    <w:p w14:paraId="5126ADDC" w14:textId="77777777" w:rsidR="00A640D6" w:rsidRPr="00A640D6" w:rsidRDefault="00A640D6" w:rsidP="00A640D6">
      <w:pPr>
        <w:pStyle w:val="BodyText1"/>
        <w:ind w:left="720"/>
        <w:jc w:val="both"/>
        <w:rPr>
          <w:szCs w:val="22"/>
        </w:rPr>
      </w:pPr>
    </w:p>
    <w:p w14:paraId="53E8C06A" w14:textId="77777777" w:rsidR="00D5459E" w:rsidRDefault="00A640D6" w:rsidP="00A640D6">
      <w:pPr>
        <w:pStyle w:val="BodyText1"/>
        <w:ind w:left="0"/>
        <w:jc w:val="both"/>
        <w:rPr>
          <w:szCs w:val="22"/>
        </w:rPr>
      </w:pPr>
      <w:r w:rsidRPr="00A640D6">
        <w:rPr>
          <w:szCs w:val="22"/>
        </w:rPr>
        <w:t xml:space="preserve">These comparisons </w:t>
      </w:r>
      <w:r>
        <w:rPr>
          <w:szCs w:val="22"/>
        </w:rPr>
        <w:t>were</w:t>
      </w:r>
      <w:r w:rsidRPr="00A640D6">
        <w:rPr>
          <w:szCs w:val="22"/>
        </w:rPr>
        <w:t xml:space="preserve"> examined for each wave using a weighted repeated measures logistic regression, using the census</w:t>
      </w:r>
      <w:r w:rsidR="00787CAD">
        <w:rPr>
          <w:szCs w:val="22"/>
        </w:rPr>
        <w:t xml:space="preserve"> </w:t>
      </w:r>
      <w:r w:rsidRPr="00A640D6">
        <w:rPr>
          <w:szCs w:val="22"/>
        </w:rPr>
        <w:t>+</w:t>
      </w:r>
      <w:r w:rsidR="00787CAD">
        <w:rPr>
          <w:szCs w:val="22"/>
        </w:rPr>
        <w:t xml:space="preserve"> </w:t>
      </w:r>
      <w:r w:rsidRPr="00A640D6">
        <w:rPr>
          <w:szCs w:val="22"/>
        </w:rPr>
        <w:t xml:space="preserve">attrition weights. </w:t>
      </w:r>
      <w:r>
        <w:rPr>
          <w:szCs w:val="22"/>
        </w:rPr>
        <w:t xml:space="preserve"> </w:t>
      </w:r>
      <w:r w:rsidRPr="00A640D6">
        <w:rPr>
          <w:szCs w:val="22"/>
        </w:rPr>
        <w:t xml:space="preserve">For each wave, the potential explanatory covariates listed in Appendix </w:t>
      </w:r>
      <w:r>
        <w:rPr>
          <w:szCs w:val="22"/>
        </w:rPr>
        <w:t>4</w:t>
      </w:r>
      <w:r w:rsidRPr="00A640D6">
        <w:rPr>
          <w:szCs w:val="22"/>
        </w:rPr>
        <w:t xml:space="preserve"> </w:t>
      </w:r>
      <w:r>
        <w:rPr>
          <w:szCs w:val="22"/>
        </w:rPr>
        <w:t>were</w:t>
      </w:r>
      <w:r w:rsidRPr="00A640D6">
        <w:rPr>
          <w:szCs w:val="22"/>
        </w:rPr>
        <w:t xml:space="preserve"> considered for possible inclusion in an explanatory model. In general, the covariates </w:t>
      </w:r>
      <w:r>
        <w:rPr>
          <w:szCs w:val="22"/>
        </w:rPr>
        <w:t>varied</w:t>
      </w:r>
      <w:r w:rsidRPr="00A640D6">
        <w:rPr>
          <w:szCs w:val="22"/>
        </w:rPr>
        <w:t xml:space="preserve"> over time and </w:t>
      </w:r>
      <w:r>
        <w:rPr>
          <w:szCs w:val="22"/>
        </w:rPr>
        <w:t>were</w:t>
      </w:r>
      <w:r w:rsidRPr="00A640D6">
        <w:rPr>
          <w:szCs w:val="22"/>
        </w:rPr>
        <w:t xml:space="preserve"> modelled as such</w:t>
      </w:r>
      <w:r>
        <w:rPr>
          <w:szCs w:val="22"/>
        </w:rPr>
        <w:t>;</w:t>
      </w:r>
      <w:r w:rsidRPr="00A640D6">
        <w:rPr>
          <w:szCs w:val="22"/>
        </w:rPr>
        <w:t xml:space="preserve"> however</w:t>
      </w:r>
      <w:r>
        <w:rPr>
          <w:szCs w:val="22"/>
        </w:rPr>
        <w:t>,</w:t>
      </w:r>
      <w:r w:rsidRPr="00A640D6">
        <w:rPr>
          <w:szCs w:val="22"/>
        </w:rPr>
        <w:t xml:space="preserve"> some covariate</w:t>
      </w:r>
      <w:r w:rsidR="00CD1F83">
        <w:rPr>
          <w:szCs w:val="22"/>
        </w:rPr>
        <w:t>s such as the majority of socio</w:t>
      </w:r>
      <w:r w:rsidRPr="00A640D6">
        <w:rPr>
          <w:szCs w:val="22"/>
        </w:rPr>
        <w:t xml:space="preserve">demographic variables </w:t>
      </w:r>
      <w:r>
        <w:rPr>
          <w:szCs w:val="22"/>
        </w:rPr>
        <w:t>were</w:t>
      </w:r>
      <w:r w:rsidRPr="00A640D6">
        <w:rPr>
          <w:szCs w:val="22"/>
        </w:rPr>
        <w:t xml:space="preserve"> examined for any changes over time and</w:t>
      </w:r>
      <w:r>
        <w:rPr>
          <w:szCs w:val="22"/>
        </w:rPr>
        <w:t>,</w:t>
      </w:r>
      <w:r w:rsidRPr="00A640D6">
        <w:rPr>
          <w:szCs w:val="22"/>
        </w:rPr>
        <w:t xml:space="preserve"> where no change exist</w:t>
      </w:r>
      <w:r>
        <w:rPr>
          <w:szCs w:val="22"/>
        </w:rPr>
        <w:t>ed,</w:t>
      </w:r>
      <w:r w:rsidRPr="00A640D6">
        <w:rPr>
          <w:szCs w:val="22"/>
        </w:rPr>
        <w:t xml:space="preserve"> the Wave 1 (baseline) measures </w:t>
      </w:r>
      <w:r>
        <w:rPr>
          <w:szCs w:val="22"/>
        </w:rPr>
        <w:t>were</w:t>
      </w:r>
      <w:r w:rsidRPr="00A640D6">
        <w:rPr>
          <w:szCs w:val="22"/>
        </w:rPr>
        <w:t xml:space="preserve"> utilised.</w:t>
      </w:r>
      <w:r w:rsidR="006F1095">
        <w:rPr>
          <w:szCs w:val="22"/>
        </w:rPr>
        <w:t xml:space="preserve">  </w:t>
      </w:r>
      <w:r w:rsidRPr="00A640D6">
        <w:rPr>
          <w:szCs w:val="22"/>
        </w:rPr>
        <w:t xml:space="preserve">Note that the </w:t>
      </w:r>
      <w:r w:rsidR="006F1095">
        <w:rPr>
          <w:szCs w:val="22"/>
        </w:rPr>
        <w:t>‘gambling participation versus</w:t>
      </w:r>
      <w:r w:rsidRPr="00A640D6">
        <w:rPr>
          <w:szCs w:val="22"/>
        </w:rPr>
        <w:t xml:space="preserve"> not gambling</w:t>
      </w:r>
      <w:r w:rsidR="006F1095">
        <w:rPr>
          <w:szCs w:val="22"/>
        </w:rPr>
        <w:t>’ comparison</w:t>
      </w:r>
      <w:r w:rsidRPr="00A640D6">
        <w:rPr>
          <w:szCs w:val="22"/>
        </w:rPr>
        <w:t xml:space="preserve"> only include</w:t>
      </w:r>
      <w:r w:rsidR="006F1095">
        <w:rPr>
          <w:szCs w:val="22"/>
        </w:rPr>
        <w:t>d the s</w:t>
      </w:r>
      <w:r w:rsidRPr="00A640D6">
        <w:rPr>
          <w:szCs w:val="22"/>
        </w:rPr>
        <w:t>ociodemographic variables and other outcome variables.</w:t>
      </w:r>
    </w:p>
    <w:p w14:paraId="232A8723" w14:textId="77777777" w:rsidR="006F1095" w:rsidRDefault="006F1095" w:rsidP="00A640D6">
      <w:pPr>
        <w:pStyle w:val="BodyText1"/>
        <w:ind w:left="0"/>
        <w:jc w:val="both"/>
        <w:rPr>
          <w:szCs w:val="22"/>
        </w:rPr>
      </w:pPr>
    </w:p>
    <w:p w14:paraId="318F2162" w14:textId="77777777" w:rsidR="00BA4FE6" w:rsidRDefault="00BA4FE6" w:rsidP="00BA4FE6">
      <w:pPr>
        <w:pStyle w:val="BodyText1"/>
        <w:ind w:left="0"/>
        <w:jc w:val="both"/>
        <w:rPr>
          <w:szCs w:val="22"/>
        </w:rPr>
      </w:pPr>
      <w:r w:rsidRPr="00BA4FE6">
        <w:rPr>
          <w:szCs w:val="22"/>
        </w:rPr>
        <w:t>Model selection generally proceed</w:t>
      </w:r>
      <w:r>
        <w:rPr>
          <w:szCs w:val="22"/>
        </w:rPr>
        <w:t>ed</w:t>
      </w:r>
      <w:r w:rsidRPr="00BA4FE6">
        <w:rPr>
          <w:szCs w:val="22"/>
        </w:rPr>
        <w:t xml:space="preserve"> through several steps. </w:t>
      </w:r>
      <w:r>
        <w:rPr>
          <w:szCs w:val="22"/>
        </w:rPr>
        <w:t xml:space="preserve"> The f</w:t>
      </w:r>
      <w:r w:rsidRPr="00BA4FE6">
        <w:rPr>
          <w:szCs w:val="22"/>
        </w:rPr>
        <w:t>irst step iden</w:t>
      </w:r>
      <w:r>
        <w:rPr>
          <w:szCs w:val="22"/>
        </w:rPr>
        <w:t>tified</w:t>
      </w:r>
      <w:r w:rsidRPr="00BA4FE6">
        <w:rPr>
          <w:szCs w:val="22"/>
        </w:rPr>
        <w:t xml:space="preserve"> candidate variables in bivariate analyses with the outcome variables that ha</w:t>
      </w:r>
      <w:r>
        <w:rPr>
          <w:szCs w:val="22"/>
        </w:rPr>
        <w:t>d a p-value &lt; 0.2.</w:t>
      </w:r>
      <w:r w:rsidRPr="00BA4FE6">
        <w:rPr>
          <w:szCs w:val="22"/>
        </w:rPr>
        <w:t xml:space="preserve"> </w:t>
      </w:r>
      <w:r>
        <w:rPr>
          <w:szCs w:val="22"/>
        </w:rPr>
        <w:t xml:space="preserve"> </w:t>
      </w:r>
      <w:r w:rsidRPr="00BA4FE6">
        <w:rPr>
          <w:szCs w:val="22"/>
        </w:rPr>
        <w:t xml:space="preserve">Models </w:t>
      </w:r>
      <w:r>
        <w:rPr>
          <w:szCs w:val="22"/>
        </w:rPr>
        <w:t>were</w:t>
      </w:r>
      <w:r w:rsidRPr="00BA4FE6">
        <w:rPr>
          <w:szCs w:val="22"/>
        </w:rPr>
        <w:t xml:space="preserve"> then developed for each of the major data domains (e.g. demographics, </w:t>
      </w:r>
      <w:r>
        <w:rPr>
          <w:szCs w:val="22"/>
        </w:rPr>
        <w:t xml:space="preserve">gambling </w:t>
      </w:r>
      <w:r w:rsidRPr="00BA4FE6">
        <w:rPr>
          <w:szCs w:val="22"/>
        </w:rPr>
        <w:t xml:space="preserve">participation, co-existing conditions) using the candidate variables, in order to identify the best subset of variables from that data domain. </w:t>
      </w:r>
      <w:r>
        <w:rPr>
          <w:szCs w:val="22"/>
        </w:rPr>
        <w:t xml:space="preserve"> </w:t>
      </w:r>
      <w:r w:rsidRPr="00BA4FE6">
        <w:rPr>
          <w:szCs w:val="22"/>
        </w:rPr>
        <w:t xml:space="preserve">Then all of the results from the separate domains </w:t>
      </w:r>
      <w:r>
        <w:rPr>
          <w:szCs w:val="22"/>
        </w:rPr>
        <w:t>were</w:t>
      </w:r>
      <w:r w:rsidRPr="00BA4FE6">
        <w:rPr>
          <w:szCs w:val="22"/>
        </w:rPr>
        <w:t xml:space="preserve"> considered for an overall model. </w:t>
      </w:r>
      <w:r>
        <w:rPr>
          <w:szCs w:val="22"/>
        </w:rPr>
        <w:t xml:space="preserve"> </w:t>
      </w:r>
      <w:r w:rsidRPr="00BA4FE6">
        <w:rPr>
          <w:szCs w:val="22"/>
        </w:rPr>
        <w:t>Each of the model building procedures follow</w:t>
      </w:r>
      <w:r>
        <w:rPr>
          <w:szCs w:val="22"/>
        </w:rPr>
        <w:t>ed</w:t>
      </w:r>
      <w:r w:rsidRPr="00BA4FE6">
        <w:rPr>
          <w:szCs w:val="22"/>
        </w:rPr>
        <w:t xml:space="preserve"> a stepwise selection method tempered by consideration of information criteria.</w:t>
      </w:r>
      <w:r>
        <w:rPr>
          <w:szCs w:val="22"/>
        </w:rPr>
        <w:t xml:space="preserve"> </w:t>
      </w:r>
      <w:r w:rsidRPr="00BA4FE6">
        <w:rPr>
          <w:szCs w:val="22"/>
        </w:rPr>
        <w:t xml:space="preserve"> Parsimonious models </w:t>
      </w:r>
      <w:r>
        <w:rPr>
          <w:szCs w:val="22"/>
        </w:rPr>
        <w:t>were favoured</w:t>
      </w:r>
      <w:r w:rsidRPr="00BA4FE6">
        <w:rPr>
          <w:szCs w:val="22"/>
        </w:rPr>
        <w:t xml:space="preserve"> and competing models with similar fit but markedly different compositions </w:t>
      </w:r>
      <w:r>
        <w:rPr>
          <w:szCs w:val="22"/>
        </w:rPr>
        <w:t>have</w:t>
      </w:r>
      <w:r w:rsidRPr="00BA4FE6">
        <w:rPr>
          <w:szCs w:val="22"/>
        </w:rPr>
        <w:t xml:space="preserve"> all be</w:t>
      </w:r>
      <w:r>
        <w:rPr>
          <w:szCs w:val="22"/>
        </w:rPr>
        <w:t>en</w:t>
      </w:r>
      <w:r w:rsidRPr="00BA4FE6">
        <w:rPr>
          <w:szCs w:val="22"/>
        </w:rPr>
        <w:t xml:space="preserve"> reported. </w:t>
      </w:r>
    </w:p>
    <w:p w14:paraId="5B007402" w14:textId="77777777" w:rsidR="00BA4FE6" w:rsidRPr="00BA4FE6" w:rsidRDefault="00BA4FE6" w:rsidP="00BA4FE6">
      <w:pPr>
        <w:pStyle w:val="BodyText1"/>
        <w:ind w:left="0"/>
        <w:jc w:val="both"/>
        <w:rPr>
          <w:szCs w:val="22"/>
        </w:rPr>
      </w:pPr>
    </w:p>
    <w:p w14:paraId="3B6F4E8A" w14:textId="77777777" w:rsidR="006F1095" w:rsidRDefault="00BA4FE6" w:rsidP="00BA4FE6">
      <w:pPr>
        <w:pStyle w:val="BodyText1"/>
        <w:ind w:left="0"/>
        <w:jc w:val="both"/>
        <w:rPr>
          <w:szCs w:val="22"/>
        </w:rPr>
      </w:pPr>
      <w:r w:rsidRPr="00BA4FE6">
        <w:rPr>
          <w:szCs w:val="22"/>
        </w:rPr>
        <w:t xml:space="preserve">The base odds and odds ratio of potential explanatory covariates </w:t>
      </w:r>
      <w:r w:rsidR="0055283D">
        <w:rPr>
          <w:szCs w:val="22"/>
        </w:rPr>
        <w:t>are</w:t>
      </w:r>
      <w:r w:rsidRPr="00BA4FE6">
        <w:rPr>
          <w:szCs w:val="22"/>
        </w:rPr>
        <w:t xml:space="preserve"> reported as point estimates and 95% confidence interval</w:t>
      </w:r>
      <w:r w:rsidR="00787CAD">
        <w:rPr>
          <w:szCs w:val="22"/>
        </w:rPr>
        <w:t>s</w:t>
      </w:r>
      <w:r>
        <w:rPr>
          <w:szCs w:val="22"/>
        </w:rPr>
        <w:t>,</w:t>
      </w:r>
      <w:r w:rsidRPr="00BA4FE6">
        <w:rPr>
          <w:szCs w:val="22"/>
        </w:rPr>
        <w:t xml:space="preserve"> accompanied by a p-value for the covariate.</w:t>
      </w:r>
    </w:p>
    <w:p w14:paraId="3824C77F" w14:textId="77777777" w:rsidR="00BA4FE6" w:rsidRDefault="00BA4FE6" w:rsidP="00BA4FE6">
      <w:pPr>
        <w:pStyle w:val="BodyText1"/>
        <w:ind w:left="0"/>
        <w:jc w:val="both"/>
        <w:rPr>
          <w:szCs w:val="22"/>
        </w:rPr>
      </w:pPr>
    </w:p>
    <w:p w14:paraId="760611EC" w14:textId="77777777" w:rsidR="001A43CB" w:rsidRPr="001A43CB" w:rsidRDefault="001A43CB" w:rsidP="001A43CB">
      <w:pPr>
        <w:pStyle w:val="BodyText1"/>
        <w:ind w:left="0"/>
        <w:jc w:val="both"/>
        <w:rPr>
          <w:szCs w:val="22"/>
        </w:rPr>
      </w:pPr>
      <w:r w:rsidRPr="001A43CB">
        <w:rPr>
          <w:szCs w:val="22"/>
        </w:rPr>
        <w:t xml:space="preserve">Subgroup analysis for Māori and Pacific groups </w:t>
      </w:r>
      <w:r>
        <w:rPr>
          <w:szCs w:val="22"/>
        </w:rPr>
        <w:t>was</w:t>
      </w:r>
      <w:r w:rsidRPr="001A43CB">
        <w:rPr>
          <w:szCs w:val="22"/>
        </w:rPr>
        <w:t xml:space="preserve"> examined in an equivalent manner for:</w:t>
      </w:r>
    </w:p>
    <w:p w14:paraId="61EA932D" w14:textId="77777777" w:rsidR="001A43CB" w:rsidRPr="001A43CB" w:rsidRDefault="00787CAD" w:rsidP="00DD2ADA">
      <w:pPr>
        <w:pStyle w:val="BodyText1"/>
        <w:numPr>
          <w:ilvl w:val="0"/>
          <w:numId w:val="37"/>
        </w:numPr>
        <w:jc w:val="both"/>
        <w:rPr>
          <w:szCs w:val="22"/>
        </w:rPr>
      </w:pPr>
      <w:r>
        <w:rPr>
          <w:szCs w:val="22"/>
        </w:rPr>
        <w:t xml:space="preserve">Low-risk/moderate-risk/problem gambler </w:t>
      </w:r>
      <w:r w:rsidR="001A43CB">
        <w:rPr>
          <w:szCs w:val="22"/>
        </w:rPr>
        <w:t>versus n</w:t>
      </w:r>
      <w:r w:rsidR="001A43CB" w:rsidRPr="00A640D6">
        <w:rPr>
          <w:szCs w:val="22"/>
        </w:rPr>
        <w:t>on-</w:t>
      </w:r>
      <w:r w:rsidR="001A43CB">
        <w:rPr>
          <w:szCs w:val="22"/>
        </w:rPr>
        <w:t>problem gambler</w:t>
      </w:r>
      <w:r w:rsidR="001A43CB" w:rsidRPr="00A640D6">
        <w:rPr>
          <w:szCs w:val="22"/>
        </w:rPr>
        <w:t>/non-gambl</w:t>
      </w:r>
      <w:r w:rsidR="001A43CB">
        <w:rPr>
          <w:szCs w:val="22"/>
        </w:rPr>
        <w:t>er</w:t>
      </w:r>
    </w:p>
    <w:p w14:paraId="7F1D1CB4" w14:textId="77777777" w:rsidR="001A43CB" w:rsidRDefault="001A43CB" w:rsidP="00DD2ADA">
      <w:pPr>
        <w:pStyle w:val="BodyText1"/>
        <w:numPr>
          <w:ilvl w:val="0"/>
          <w:numId w:val="37"/>
        </w:numPr>
        <w:jc w:val="both"/>
        <w:rPr>
          <w:szCs w:val="22"/>
        </w:rPr>
      </w:pPr>
      <w:r w:rsidRPr="00A640D6">
        <w:rPr>
          <w:szCs w:val="22"/>
        </w:rPr>
        <w:t>Moderate</w:t>
      </w:r>
      <w:r>
        <w:rPr>
          <w:szCs w:val="22"/>
        </w:rPr>
        <w:t>-r</w:t>
      </w:r>
      <w:r w:rsidRPr="00A640D6">
        <w:rPr>
          <w:szCs w:val="22"/>
        </w:rPr>
        <w:t>isk/</w:t>
      </w:r>
      <w:r>
        <w:rPr>
          <w:szCs w:val="22"/>
        </w:rPr>
        <w:t>problem gambler versus low-</w:t>
      </w:r>
      <w:r w:rsidRPr="00A640D6">
        <w:rPr>
          <w:szCs w:val="22"/>
        </w:rPr>
        <w:t>risk/</w:t>
      </w:r>
      <w:r>
        <w:rPr>
          <w:szCs w:val="22"/>
        </w:rPr>
        <w:t>n</w:t>
      </w:r>
      <w:r w:rsidRPr="00A640D6">
        <w:rPr>
          <w:szCs w:val="22"/>
        </w:rPr>
        <w:t>on-</w:t>
      </w:r>
      <w:r>
        <w:rPr>
          <w:szCs w:val="22"/>
        </w:rPr>
        <w:t>problem</w:t>
      </w:r>
      <w:r w:rsidRPr="00A640D6">
        <w:rPr>
          <w:szCs w:val="22"/>
        </w:rPr>
        <w:t>/non-gamb</w:t>
      </w:r>
      <w:r>
        <w:rPr>
          <w:szCs w:val="22"/>
        </w:rPr>
        <w:t>ler</w:t>
      </w:r>
      <w:r w:rsidR="00787CAD">
        <w:rPr>
          <w:szCs w:val="22"/>
        </w:rPr>
        <w:t>.</w:t>
      </w:r>
    </w:p>
    <w:p w14:paraId="1AE33328" w14:textId="77777777" w:rsidR="00BA4FE6" w:rsidRDefault="00BA4FE6" w:rsidP="001A43CB">
      <w:pPr>
        <w:pStyle w:val="BodyText1"/>
        <w:ind w:left="0"/>
        <w:jc w:val="both"/>
        <w:rPr>
          <w:szCs w:val="22"/>
        </w:rPr>
      </w:pPr>
    </w:p>
    <w:p w14:paraId="192E527C" w14:textId="77777777" w:rsidR="001A43CB" w:rsidRDefault="001A43CB" w:rsidP="001A43CB">
      <w:pPr>
        <w:pStyle w:val="BodyText1"/>
        <w:ind w:left="0"/>
        <w:jc w:val="both"/>
        <w:rPr>
          <w:szCs w:val="22"/>
        </w:rPr>
      </w:pPr>
    </w:p>
    <w:p w14:paraId="211F276E" w14:textId="77777777" w:rsidR="001A43CB" w:rsidRDefault="001A43CB" w:rsidP="002D3CBA">
      <w:pPr>
        <w:pStyle w:val="RepHead3"/>
      </w:pPr>
      <w:bookmarkStart w:id="50" w:name="_Toc504488350"/>
      <w:r>
        <w:t>Inference on specific transitions</w:t>
      </w:r>
      <w:bookmarkEnd w:id="50"/>
    </w:p>
    <w:p w14:paraId="43386C45" w14:textId="77777777" w:rsidR="001A43CB" w:rsidRDefault="001A43CB" w:rsidP="002D3CBA">
      <w:pPr>
        <w:pStyle w:val="RepNormal"/>
        <w:keepNext/>
      </w:pPr>
    </w:p>
    <w:p w14:paraId="669E6D94" w14:textId="77777777" w:rsidR="001A43CB" w:rsidRPr="001A43CB" w:rsidRDefault="001A43CB" w:rsidP="002D3CBA">
      <w:pPr>
        <w:pStyle w:val="RepNormal"/>
        <w:keepNext/>
      </w:pPr>
      <w:r w:rsidRPr="001A43CB">
        <w:t>The transitions</w:t>
      </w:r>
      <w:r>
        <w:t xml:space="preserve"> detailed in </w:t>
      </w:r>
      <w:r w:rsidR="00AC337F">
        <w:fldChar w:fldCharType="begin"/>
      </w:r>
      <w:r w:rsidR="00AC337F">
        <w:instrText xml:space="preserve"> REF _Ref465774775 \h </w:instrText>
      </w:r>
      <w:r w:rsidR="00AC337F">
        <w:fldChar w:fldCharType="separate"/>
      </w:r>
      <w:r w:rsidR="00D5752E">
        <w:t xml:space="preserve">Table </w:t>
      </w:r>
      <w:r w:rsidR="00D5752E">
        <w:rPr>
          <w:noProof/>
        </w:rPr>
        <w:t>3</w:t>
      </w:r>
      <w:r w:rsidR="00AC337F">
        <w:fldChar w:fldCharType="end"/>
      </w:r>
      <w:r w:rsidR="00AC337F">
        <w:t xml:space="preserve"> </w:t>
      </w:r>
      <w:r w:rsidR="00787CAD">
        <w:t xml:space="preserve">for recovery from moderate-risk/problem gambling and relapse into moderate-risk/problem gambling </w:t>
      </w:r>
      <w:r>
        <w:t>wer</w:t>
      </w:r>
      <w:r w:rsidRPr="001A43CB">
        <w:t>e examined in turn using weighted logistic regression</w:t>
      </w:r>
      <w:r>
        <w:t xml:space="preserve"> and</w:t>
      </w:r>
      <w:r w:rsidRPr="001A43CB">
        <w:t xml:space="preserve"> the census</w:t>
      </w:r>
      <w:r w:rsidR="002D3CBA">
        <w:t xml:space="preserve"> </w:t>
      </w:r>
      <w:r w:rsidRPr="001A43CB">
        <w:t>+</w:t>
      </w:r>
      <w:r w:rsidR="002D3CBA">
        <w:t xml:space="preserve"> </w:t>
      </w:r>
      <w:r>
        <w:t>attrition weights</w:t>
      </w:r>
      <w:r w:rsidRPr="001A43CB">
        <w:t xml:space="preserve">. </w:t>
      </w:r>
      <w:r>
        <w:t xml:space="preserve"> </w:t>
      </w:r>
      <w:r w:rsidRPr="001A43CB">
        <w:t>For each transition, the potential explanatory</w:t>
      </w:r>
      <w:r>
        <w:t xml:space="preserve"> covariates listed in Appendix 4</w:t>
      </w:r>
      <w:r w:rsidRPr="001A43CB">
        <w:t xml:space="preserve"> </w:t>
      </w:r>
      <w:r>
        <w:t>wer</w:t>
      </w:r>
      <w:r w:rsidRPr="001A43CB">
        <w:t>e considered for possible inclusion in an explanatory model.</w:t>
      </w:r>
    </w:p>
    <w:p w14:paraId="66DEB0CA" w14:textId="77777777" w:rsidR="001A43CB" w:rsidRDefault="001A43CB" w:rsidP="001A43CB">
      <w:pPr>
        <w:pStyle w:val="BodyText1"/>
        <w:ind w:left="0"/>
        <w:jc w:val="both"/>
        <w:rPr>
          <w:szCs w:val="22"/>
        </w:rPr>
      </w:pPr>
    </w:p>
    <w:p w14:paraId="0831100D" w14:textId="77777777" w:rsidR="00A35C59" w:rsidRPr="001E6782" w:rsidRDefault="0087301F" w:rsidP="00A35C59">
      <w:pPr>
        <w:jc w:val="both"/>
        <w:rPr>
          <w:lang w:eastAsia="en-NZ"/>
        </w:rPr>
      </w:pPr>
      <w:r>
        <w:t>Model selection is</w:t>
      </w:r>
      <w:r w:rsidR="00A35C59">
        <w:t xml:space="preserve"> detailed in section </w:t>
      </w:r>
      <w:r w:rsidR="00A35C59">
        <w:fldChar w:fldCharType="begin"/>
      </w:r>
      <w:r w:rsidR="00A35C59">
        <w:instrText xml:space="preserve"> REF _Ref465774892 \n \h </w:instrText>
      </w:r>
      <w:r w:rsidR="00A35C59">
        <w:fldChar w:fldCharType="separate"/>
      </w:r>
      <w:r w:rsidR="00D5752E">
        <w:t>3.6.3</w:t>
      </w:r>
      <w:r w:rsidR="00A35C59">
        <w:fldChar w:fldCharType="end"/>
      </w:r>
      <w:r w:rsidR="00A35C59">
        <w:t xml:space="preserve">.  </w:t>
      </w:r>
      <w:r w:rsidR="00A35C59" w:rsidRPr="00A35C59">
        <w:rPr>
          <w:lang w:eastAsia="en-NZ"/>
        </w:rPr>
        <w:t xml:space="preserve">A key covariate considered for the recovery model </w:t>
      </w:r>
      <w:r w:rsidR="00A35C59">
        <w:rPr>
          <w:lang w:eastAsia="en-NZ"/>
        </w:rPr>
        <w:t>was</w:t>
      </w:r>
      <w:r w:rsidR="00A35C59" w:rsidRPr="00A35C59">
        <w:rPr>
          <w:lang w:eastAsia="en-NZ"/>
        </w:rPr>
        <w:t xml:space="preserve"> seeking formal assistance</w:t>
      </w:r>
      <w:r w:rsidR="00787CAD">
        <w:rPr>
          <w:lang w:eastAsia="en-NZ"/>
        </w:rPr>
        <w:t>,</w:t>
      </w:r>
      <w:r w:rsidR="00A35C59" w:rsidRPr="00A35C59">
        <w:rPr>
          <w:lang w:eastAsia="en-NZ"/>
        </w:rPr>
        <w:t xml:space="preserve"> in order to examine the effect of natural recovery.</w:t>
      </w:r>
      <w:r w:rsidR="00A35C59">
        <w:rPr>
          <w:lang w:eastAsia="en-NZ"/>
        </w:rPr>
        <w:t xml:space="preserve">  </w:t>
      </w:r>
      <w:r w:rsidR="00A35C59" w:rsidRPr="00A35C59">
        <w:rPr>
          <w:lang w:eastAsia="en-NZ"/>
        </w:rPr>
        <w:t xml:space="preserve">Subgroup analysis for </w:t>
      </w:r>
      <w:r w:rsidR="00A35C59">
        <w:rPr>
          <w:lang w:eastAsia="en-NZ"/>
        </w:rPr>
        <w:t>Māori</w:t>
      </w:r>
      <w:r w:rsidR="00A35C59" w:rsidRPr="00A35C59">
        <w:rPr>
          <w:lang w:eastAsia="en-NZ"/>
        </w:rPr>
        <w:t xml:space="preserve"> and Pacific groups </w:t>
      </w:r>
      <w:r w:rsidR="00A35C59">
        <w:rPr>
          <w:lang w:eastAsia="en-NZ"/>
        </w:rPr>
        <w:t>was</w:t>
      </w:r>
      <w:r w:rsidR="00A35C59" w:rsidRPr="00A35C59">
        <w:rPr>
          <w:lang w:eastAsia="en-NZ"/>
        </w:rPr>
        <w:t xml:space="preserve"> also </w:t>
      </w:r>
      <w:r w:rsidR="00A35C59">
        <w:rPr>
          <w:lang w:eastAsia="en-NZ"/>
        </w:rPr>
        <w:t>undertaken.</w:t>
      </w:r>
    </w:p>
    <w:p w14:paraId="5D416DF4" w14:textId="77777777" w:rsidR="00A35C59" w:rsidRDefault="00A35C59" w:rsidP="00A35C59">
      <w:pPr>
        <w:pStyle w:val="BodyText1"/>
        <w:ind w:left="0"/>
        <w:jc w:val="both"/>
      </w:pPr>
    </w:p>
    <w:p w14:paraId="3224226D" w14:textId="77777777" w:rsidR="00AC337F" w:rsidRPr="00BA4FE6" w:rsidRDefault="00AC337F" w:rsidP="00AC337F">
      <w:pPr>
        <w:pStyle w:val="Caption"/>
        <w:keepNext/>
        <w:rPr>
          <w:szCs w:val="22"/>
        </w:rPr>
      </w:pPr>
      <w:bookmarkStart w:id="51" w:name="_Ref465774775"/>
      <w:bookmarkStart w:id="52" w:name="_Toc504488428"/>
      <w:r>
        <w:t xml:space="preserve">Table </w:t>
      </w:r>
      <w:r w:rsidR="00D5752E">
        <w:fldChar w:fldCharType="begin"/>
      </w:r>
      <w:r w:rsidR="00D5752E">
        <w:instrText xml:space="preserve"> SEQ Table \* ARABIC </w:instrText>
      </w:r>
      <w:r w:rsidR="00D5752E">
        <w:fldChar w:fldCharType="separate"/>
      </w:r>
      <w:r w:rsidR="00D5752E">
        <w:rPr>
          <w:noProof/>
        </w:rPr>
        <w:t>3</w:t>
      </w:r>
      <w:r w:rsidR="00D5752E">
        <w:rPr>
          <w:noProof/>
        </w:rPr>
        <w:fldChar w:fldCharType="end"/>
      </w:r>
      <w:bookmarkEnd w:id="51"/>
      <w:r>
        <w:t>: Recovery and relapse from Waves 1 to 4</w:t>
      </w:r>
      <w:bookmarkEnd w:id="52"/>
    </w:p>
    <w:tbl>
      <w:tblPr>
        <w:tblStyle w:val="TableGrid"/>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
        <w:gridCol w:w="1645"/>
        <w:gridCol w:w="1763"/>
        <w:gridCol w:w="1831"/>
        <w:gridCol w:w="1797"/>
        <w:gridCol w:w="416"/>
        <w:gridCol w:w="589"/>
      </w:tblGrid>
      <w:tr w:rsidR="00B24B0F" w:rsidRPr="001E6782" w14:paraId="3088E12D" w14:textId="77777777" w:rsidTr="00B24B0F">
        <w:tc>
          <w:tcPr>
            <w:tcW w:w="1121" w:type="dxa"/>
            <w:tcBorders>
              <w:top w:val="single" w:sz="4" w:space="0" w:color="auto"/>
              <w:bottom w:val="single" w:sz="4" w:space="0" w:color="auto"/>
            </w:tcBorders>
          </w:tcPr>
          <w:p w14:paraId="2F4981F2" w14:textId="77777777" w:rsidR="00B24B0F" w:rsidRPr="001E6782" w:rsidRDefault="00B24B0F" w:rsidP="00AC337F">
            <w:pPr>
              <w:keepNext/>
              <w:rPr>
                <w:lang w:eastAsia="en-US"/>
              </w:rPr>
            </w:pPr>
          </w:p>
        </w:tc>
        <w:tc>
          <w:tcPr>
            <w:tcW w:w="1645" w:type="dxa"/>
            <w:tcBorders>
              <w:top w:val="single" w:sz="4" w:space="0" w:color="auto"/>
              <w:bottom w:val="single" w:sz="4" w:space="0" w:color="auto"/>
            </w:tcBorders>
            <w:vAlign w:val="bottom"/>
          </w:tcPr>
          <w:p w14:paraId="320AEC4B" w14:textId="77777777" w:rsidR="00B24B0F" w:rsidRPr="001A43CB" w:rsidRDefault="00B24B0F" w:rsidP="00B24B0F">
            <w:pPr>
              <w:keepNext/>
              <w:jc w:val="center"/>
              <w:rPr>
                <w:b/>
                <w:lang w:eastAsia="en-US"/>
              </w:rPr>
            </w:pPr>
            <w:r w:rsidRPr="001A43CB">
              <w:rPr>
                <w:b/>
                <w:lang w:eastAsia="en-US"/>
              </w:rPr>
              <w:t>Wave 1</w:t>
            </w:r>
          </w:p>
        </w:tc>
        <w:tc>
          <w:tcPr>
            <w:tcW w:w="1763" w:type="dxa"/>
            <w:tcBorders>
              <w:top w:val="single" w:sz="4" w:space="0" w:color="auto"/>
              <w:bottom w:val="single" w:sz="4" w:space="0" w:color="auto"/>
            </w:tcBorders>
            <w:vAlign w:val="bottom"/>
          </w:tcPr>
          <w:p w14:paraId="6817C8BE" w14:textId="77777777" w:rsidR="00B24B0F" w:rsidRPr="001A43CB" w:rsidRDefault="00B24B0F" w:rsidP="00B24B0F">
            <w:pPr>
              <w:keepNext/>
              <w:jc w:val="center"/>
              <w:rPr>
                <w:b/>
                <w:lang w:eastAsia="en-US"/>
              </w:rPr>
            </w:pPr>
            <w:r w:rsidRPr="001A43CB">
              <w:rPr>
                <w:b/>
                <w:lang w:eastAsia="en-US"/>
              </w:rPr>
              <w:t>Wave 2</w:t>
            </w:r>
          </w:p>
        </w:tc>
        <w:tc>
          <w:tcPr>
            <w:tcW w:w="1831" w:type="dxa"/>
            <w:tcBorders>
              <w:top w:val="single" w:sz="4" w:space="0" w:color="auto"/>
              <w:bottom w:val="single" w:sz="4" w:space="0" w:color="auto"/>
            </w:tcBorders>
            <w:vAlign w:val="bottom"/>
          </w:tcPr>
          <w:p w14:paraId="737D1682" w14:textId="77777777" w:rsidR="00B24B0F" w:rsidRPr="001A43CB" w:rsidRDefault="00B24B0F" w:rsidP="00B24B0F">
            <w:pPr>
              <w:keepNext/>
              <w:jc w:val="center"/>
              <w:rPr>
                <w:b/>
                <w:lang w:eastAsia="en-US"/>
              </w:rPr>
            </w:pPr>
            <w:r w:rsidRPr="001A43CB">
              <w:rPr>
                <w:b/>
                <w:lang w:eastAsia="en-US"/>
              </w:rPr>
              <w:t>Wave 3</w:t>
            </w:r>
          </w:p>
        </w:tc>
        <w:tc>
          <w:tcPr>
            <w:tcW w:w="1797" w:type="dxa"/>
            <w:tcBorders>
              <w:top w:val="single" w:sz="4" w:space="0" w:color="auto"/>
              <w:bottom w:val="single" w:sz="4" w:space="0" w:color="auto"/>
            </w:tcBorders>
            <w:vAlign w:val="bottom"/>
          </w:tcPr>
          <w:p w14:paraId="20D5723D" w14:textId="77777777" w:rsidR="00B24B0F" w:rsidRPr="001A43CB" w:rsidRDefault="00B24B0F" w:rsidP="00B24B0F">
            <w:pPr>
              <w:keepNext/>
              <w:jc w:val="center"/>
              <w:rPr>
                <w:b/>
                <w:lang w:eastAsia="en-US"/>
              </w:rPr>
            </w:pPr>
            <w:r w:rsidRPr="001A43CB">
              <w:rPr>
                <w:b/>
                <w:lang w:eastAsia="en-US"/>
              </w:rPr>
              <w:t>Wave 4</w:t>
            </w:r>
          </w:p>
        </w:tc>
        <w:tc>
          <w:tcPr>
            <w:tcW w:w="416" w:type="dxa"/>
            <w:tcBorders>
              <w:top w:val="single" w:sz="4" w:space="0" w:color="auto"/>
              <w:bottom w:val="single" w:sz="4" w:space="0" w:color="auto"/>
            </w:tcBorders>
            <w:vAlign w:val="bottom"/>
          </w:tcPr>
          <w:p w14:paraId="378C4F20" w14:textId="77777777" w:rsidR="00B24B0F" w:rsidRPr="001A43CB" w:rsidRDefault="00B24B0F" w:rsidP="00B24B0F">
            <w:pPr>
              <w:keepNext/>
              <w:jc w:val="center"/>
              <w:rPr>
                <w:b/>
                <w:lang w:eastAsia="en-US"/>
              </w:rPr>
            </w:pPr>
            <w:r>
              <w:rPr>
                <w:b/>
                <w:lang w:eastAsia="en-US"/>
              </w:rPr>
              <w:t>n</w:t>
            </w:r>
          </w:p>
        </w:tc>
        <w:tc>
          <w:tcPr>
            <w:tcW w:w="589" w:type="dxa"/>
            <w:tcBorders>
              <w:top w:val="single" w:sz="4" w:space="0" w:color="auto"/>
              <w:bottom w:val="single" w:sz="4" w:space="0" w:color="auto"/>
            </w:tcBorders>
            <w:vAlign w:val="bottom"/>
          </w:tcPr>
          <w:p w14:paraId="1CC4449C" w14:textId="77777777" w:rsidR="00B24B0F" w:rsidRPr="001A43CB" w:rsidRDefault="00B24B0F" w:rsidP="00B24B0F">
            <w:pPr>
              <w:keepNext/>
              <w:jc w:val="center"/>
              <w:rPr>
                <w:b/>
                <w:lang w:eastAsia="en-US"/>
              </w:rPr>
            </w:pPr>
            <w:r>
              <w:rPr>
                <w:b/>
                <w:lang w:eastAsia="en-US"/>
              </w:rPr>
              <w:t>Adj. n</w:t>
            </w:r>
          </w:p>
        </w:tc>
      </w:tr>
      <w:tr w:rsidR="00B24B0F" w:rsidRPr="001E6782" w14:paraId="555A84CC" w14:textId="77777777" w:rsidTr="00B24B0F">
        <w:tc>
          <w:tcPr>
            <w:tcW w:w="1121" w:type="dxa"/>
            <w:vMerge w:val="restart"/>
            <w:tcBorders>
              <w:top w:val="single" w:sz="4" w:space="0" w:color="auto"/>
            </w:tcBorders>
          </w:tcPr>
          <w:p w14:paraId="0E334049" w14:textId="77777777" w:rsidR="00B24B0F" w:rsidRPr="001A43CB" w:rsidRDefault="00B24B0F" w:rsidP="00AC337F">
            <w:pPr>
              <w:keepNext/>
              <w:rPr>
                <w:b/>
                <w:lang w:eastAsia="en-US"/>
              </w:rPr>
            </w:pPr>
            <w:r w:rsidRPr="001A43CB">
              <w:rPr>
                <w:b/>
                <w:lang w:eastAsia="en-US"/>
              </w:rPr>
              <w:t>Recovery</w:t>
            </w:r>
          </w:p>
        </w:tc>
        <w:tc>
          <w:tcPr>
            <w:tcW w:w="1645" w:type="dxa"/>
            <w:tcBorders>
              <w:top w:val="single" w:sz="4" w:space="0" w:color="auto"/>
            </w:tcBorders>
            <w:shd w:val="clear" w:color="auto" w:fill="CCFFFF"/>
          </w:tcPr>
          <w:p w14:paraId="5F35E831" w14:textId="77777777" w:rsidR="00B24B0F" w:rsidRPr="001E6782" w:rsidRDefault="00B24B0F" w:rsidP="00AC337F">
            <w:pPr>
              <w:keepNext/>
              <w:spacing w:after="40"/>
              <w:jc w:val="center"/>
              <w:rPr>
                <w:lang w:eastAsia="en-US"/>
              </w:rPr>
            </w:pPr>
            <w:r>
              <w:rPr>
                <w:lang w:eastAsia="en-US"/>
              </w:rPr>
              <w:t>Moderate-risk/ problem gambler</w:t>
            </w:r>
          </w:p>
        </w:tc>
        <w:tc>
          <w:tcPr>
            <w:tcW w:w="1763" w:type="dxa"/>
            <w:tcBorders>
              <w:top w:val="single" w:sz="4" w:space="0" w:color="auto"/>
            </w:tcBorders>
            <w:shd w:val="clear" w:color="auto" w:fill="CCFFFF"/>
          </w:tcPr>
          <w:p w14:paraId="32197811" w14:textId="77777777" w:rsidR="00B24B0F" w:rsidRPr="001E6782" w:rsidRDefault="00B24B0F" w:rsidP="00AC337F">
            <w:pPr>
              <w:keepNext/>
              <w:jc w:val="center"/>
              <w:rPr>
                <w:lang w:eastAsia="en-US"/>
              </w:rPr>
            </w:pPr>
            <w:r>
              <w:rPr>
                <w:lang w:eastAsia="en-US"/>
              </w:rPr>
              <w:t>Moderate-risk/ problem gambler</w:t>
            </w:r>
          </w:p>
        </w:tc>
        <w:tc>
          <w:tcPr>
            <w:tcW w:w="1831" w:type="dxa"/>
            <w:tcBorders>
              <w:top w:val="single" w:sz="4" w:space="0" w:color="auto"/>
            </w:tcBorders>
            <w:shd w:val="clear" w:color="auto" w:fill="CCFFFF"/>
          </w:tcPr>
          <w:p w14:paraId="161FFCF8" w14:textId="77777777" w:rsidR="00B24B0F" w:rsidRPr="001E6782" w:rsidRDefault="00B24B0F" w:rsidP="00AC337F">
            <w:pPr>
              <w:keepNext/>
              <w:jc w:val="center"/>
              <w:rPr>
                <w:lang w:eastAsia="en-US"/>
              </w:rPr>
            </w:pPr>
            <w:r>
              <w:rPr>
                <w:lang w:eastAsia="en-US"/>
              </w:rPr>
              <w:t>Moderate-risk/ problem gambler</w:t>
            </w:r>
          </w:p>
        </w:tc>
        <w:tc>
          <w:tcPr>
            <w:tcW w:w="1797" w:type="dxa"/>
            <w:tcBorders>
              <w:top w:val="single" w:sz="4" w:space="0" w:color="auto"/>
            </w:tcBorders>
            <w:shd w:val="clear" w:color="auto" w:fill="CCFFFF"/>
          </w:tcPr>
          <w:p w14:paraId="643872EF" w14:textId="77777777" w:rsidR="00B24B0F" w:rsidRPr="001E6782" w:rsidRDefault="00B24B0F" w:rsidP="00AC337F">
            <w:pPr>
              <w:keepNext/>
              <w:jc w:val="center"/>
              <w:rPr>
                <w:lang w:eastAsia="en-US"/>
              </w:rPr>
            </w:pPr>
            <w:r>
              <w:rPr>
                <w:lang w:eastAsia="en-US"/>
              </w:rPr>
              <w:t>Moderate-risk/ problem gambler</w:t>
            </w:r>
          </w:p>
        </w:tc>
        <w:tc>
          <w:tcPr>
            <w:tcW w:w="416" w:type="dxa"/>
            <w:tcBorders>
              <w:top w:val="single" w:sz="4" w:space="0" w:color="auto"/>
            </w:tcBorders>
            <w:shd w:val="clear" w:color="auto" w:fill="CCFFFF"/>
            <w:vAlign w:val="center"/>
          </w:tcPr>
          <w:p w14:paraId="649E278B" w14:textId="77777777" w:rsidR="00B24B0F" w:rsidRDefault="00B24B0F" w:rsidP="00B24B0F">
            <w:pPr>
              <w:keepNext/>
              <w:jc w:val="right"/>
              <w:rPr>
                <w:lang w:eastAsia="en-US"/>
              </w:rPr>
            </w:pPr>
            <w:r>
              <w:rPr>
                <w:lang w:eastAsia="en-US"/>
              </w:rPr>
              <w:t>17</w:t>
            </w:r>
          </w:p>
        </w:tc>
        <w:tc>
          <w:tcPr>
            <w:tcW w:w="589" w:type="dxa"/>
            <w:tcBorders>
              <w:top w:val="single" w:sz="4" w:space="0" w:color="auto"/>
            </w:tcBorders>
            <w:shd w:val="clear" w:color="auto" w:fill="CCFFFF"/>
            <w:vAlign w:val="center"/>
          </w:tcPr>
          <w:p w14:paraId="225FEED7" w14:textId="77777777" w:rsidR="00B24B0F" w:rsidRDefault="00B24B0F" w:rsidP="00B24B0F">
            <w:pPr>
              <w:keepNext/>
              <w:jc w:val="right"/>
              <w:rPr>
                <w:lang w:eastAsia="en-US"/>
              </w:rPr>
            </w:pPr>
            <w:r>
              <w:rPr>
                <w:lang w:eastAsia="en-US"/>
              </w:rPr>
              <w:t>7.7</w:t>
            </w:r>
          </w:p>
        </w:tc>
      </w:tr>
      <w:tr w:rsidR="00B24B0F" w:rsidRPr="001E6782" w14:paraId="1092C01D" w14:textId="77777777" w:rsidTr="00B24B0F">
        <w:tc>
          <w:tcPr>
            <w:tcW w:w="1121" w:type="dxa"/>
            <w:vMerge/>
          </w:tcPr>
          <w:p w14:paraId="0CA56605" w14:textId="77777777" w:rsidR="00B24B0F" w:rsidRPr="001A43CB" w:rsidRDefault="00B24B0F" w:rsidP="00AC337F">
            <w:pPr>
              <w:keepNext/>
              <w:rPr>
                <w:b/>
                <w:lang w:eastAsia="en-US"/>
              </w:rPr>
            </w:pPr>
          </w:p>
        </w:tc>
        <w:tc>
          <w:tcPr>
            <w:tcW w:w="1645" w:type="dxa"/>
            <w:shd w:val="clear" w:color="auto" w:fill="CCFFFF"/>
          </w:tcPr>
          <w:p w14:paraId="40479479" w14:textId="77777777" w:rsidR="00B24B0F" w:rsidRPr="001E6782" w:rsidRDefault="00B24B0F" w:rsidP="00AC337F">
            <w:pPr>
              <w:keepNext/>
              <w:jc w:val="center"/>
              <w:rPr>
                <w:lang w:eastAsia="en-US"/>
              </w:rPr>
            </w:pPr>
            <w:r>
              <w:rPr>
                <w:lang w:eastAsia="en-US"/>
              </w:rPr>
              <w:t>Moderate-risk/ problem gambler</w:t>
            </w:r>
          </w:p>
        </w:tc>
        <w:tc>
          <w:tcPr>
            <w:tcW w:w="1763" w:type="dxa"/>
          </w:tcPr>
          <w:p w14:paraId="1517CAD0" w14:textId="77777777" w:rsidR="00B24B0F" w:rsidRPr="001E6782" w:rsidRDefault="00B24B0F" w:rsidP="00AC337F">
            <w:pPr>
              <w:keepNext/>
              <w:jc w:val="center"/>
              <w:rPr>
                <w:lang w:eastAsia="en-US"/>
              </w:rPr>
            </w:pPr>
            <w:r>
              <w:rPr>
                <w:lang w:eastAsia="en-US"/>
              </w:rPr>
              <w:t>Non-gambler/non-problem/low-risk gambler</w:t>
            </w:r>
          </w:p>
        </w:tc>
        <w:tc>
          <w:tcPr>
            <w:tcW w:w="1831" w:type="dxa"/>
          </w:tcPr>
          <w:p w14:paraId="4CCC53C5" w14:textId="77777777" w:rsidR="00B24B0F" w:rsidRPr="001E6782" w:rsidRDefault="00B24B0F" w:rsidP="00AC337F">
            <w:pPr>
              <w:keepNext/>
              <w:jc w:val="center"/>
              <w:rPr>
                <w:lang w:eastAsia="en-US"/>
              </w:rPr>
            </w:pPr>
            <w:r>
              <w:rPr>
                <w:lang w:eastAsia="en-US"/>
              </w:rPr>
              <w:t>Non-gambler/non-problem/low-risk gambler</w:t>
            </w:r>
          </w:p>
        </w:tc>
        <w:tc>
          <w:tcPr>
            <w:tcW w:w="1797" w:type="dxa"/>
          </w:tcPr>
          <w:p w14:paraId="55B68DF9" w14:textId="77777777" w:rsidR="00B24B0F" w:rsidRPr="001E6782" w:rsidRDefault="00B24B0F" w:rsidP="00AC337F">
            <w:pPr>
              <w:keepNext/>
              <w:jc w:val="center"/>
              <w:rPr>
                <w:lang w:eastAsia="en-US"/>
              </w:rPr>
            </w:pPr>
            <w:r>
              <w:rPr>
                <w:lang w:eastAsia="en-US"/>
              </w:rPr>
              <w:t>Non-gambler/non-problem/low-risk gambler</w:t>
            </w:r>
          </w:p>
        </w:tc>
        <w:tc>
          <w:tcPr>
            <w:tcW w:w="416" w:type="dxa"/>
            <w:vAlign w:val="center"/>
          </w:tcPr>
          <w:p w14:paraId="57716864" w14:textId="77777777" w:rsidR="00B24B0F" w:rsidRDefault="00B24B0F" w:rsidP="00B24B0F">
            <w:pPr>
              <w:keepNext/>
              <w:jc w:val="right"/>
              <w:rPr>
                <w:lang w:eastAsia="en-US"/>
              </w:rPr>
            </w:pPr>
            <w:r>
              <w:rPr>
                <w:lang w:eastAsia="en-US"/>
              </w:rPr>
              <w:t>32</w:t>
            </w:r>
          </w:p>
        </w:tc>
        <w:tc>
          <w:tcPr>
            <w:tcW w:w="589" w:type="dxa"/>
            <w:vAlign w:val="center"/>
          </w:tcPr>
          <w:p w14:paraId="34BEA37D" w14:textId="77777777" w:rsidR="00B24B0F" w:rsidRDefault="00B24B0F" w:rsidP="00B24B0F">
            <w:pPr>
              <w:keepNext/>
              <w:jc w:val="right"/>
              <w:rPr>
                <w:lang w:eastAsia="en-US"/>
              </w:rPr>
            </w:pPr>
            <w:r>
              <w:rPr>
                <w:lang w:eastAsia="en-US"/>
              </w:rPr>
              <w:t>25.5</w:t>
            </w:r>
          </w:p>
        </w:tc>
      </w:tr>
      <w:tr w:rsidR="00B24B0F" w:rsidRPr="001E6782" w14:paraId="0E29CD6E" w14:textId="77777777" w:rsidTr="00B24B0F">
        <w:tc>
          <w:tcPr>
            <w:tcW w:w="1121" w:type="dxa"/>
          </w:tcPr>
          <w:p w14:paraId="68E0D9DF" w14:textId="77777777" w:rsidR="00B24B0F" w:rsidRPr="001A43CB" w:rsidRDefault="00B24B0F" w:rsidP="00AC337F">
            <w:pPr>
              <w:keepNext/>
              <w:rPr>
                <w:b/>
                <w:lang w:eastAsia="en-US"/>
              </w:rPr>
            </w:pPr>
          </w:p>
        </w:tc>
        <w:tc>
          <w:tcPr>
            <w:tcW w:w="1645" w:type="dxa"/>
          </w:tcPr>
          <w:p w14:paraId="151328D7" w14:textId="77777777" w:rsidR="00B24B0F" w:rsidRPr="001E6782" w:rsidRDefault="00B24B0F" w:rsidP="00AC337F">
            <w:pPr>
              <w:keepNext/>
              <w:jc w:val="center"/>
              <w:rPr>
                <w:lang w:eastAsia="en-US"/>
              </w:rPr>
            </w:pPr>
          </w:p>
        </w:tc>
        <w:tc>
          <w:tcPr>
            <w:tcW w:w="1763" w:type="dxa"/>
          </w:tcPr>
          <w:p w14:paraId="1B127801" w14:textId="77777777" w:rsidR="00B24B0F" w:rsidRPr="001E6782" w:rsidRDefault="00B24B0F" w:rsidP="00AC337F">
            <w:pPr>
              <w:keepNext/>
              <w:jc w:val="center"/>
              <w:rPr>
                <w:lang w:eastAsia="en-US"/>
              </w:rPr>
            </w:pPr>
          </w:p>
        </w:tc>
        <w:tc>
          <w:tcPr>
            <w:tcW w:w="1831" w:type="dxa"/>
          </w:tcPr>
          <w:p w14:paraId="2E92852C" w14:textId="77777777" w:rsidR="00B24B0F" w:rsidRPr="001E6782" w:rsidRDefault="00B24B0F" w:rsidP="00AC337F">
            <w:pPr>
              <w:keepNext/>
              <w:jc w:val="center"/>
              <w:rPr>
                <w:lang w:eastAsia="en-US"/>
              </w:rPr>
            </w:pPr>
          </w:p>
        </w:tc>
        <w:tc>
          <w:tcPr>
            <w:tcW w:w="1797" w:type="dxa"/>
          </w:tcPr>
          <w:p w14:paraId="460BB569" w14:textId="77777777" w:rsidR="00B24B0F" w:rsidRPr="001E6782" w:rsidRDefault="00B24B0F" w:rsidP="00AC337F">
            <w:pPr>
              <w:keepNext/>
              <w:jc w:val="center"/>
              <w:rPr>
                <w:lang w:eastAsia="en-US"/>
              </w:rPr>
            </w:pPr>
          </w:p>
        </w:tc>
        <w:tc>
          <w:tcPr>
            <w:tcW w:w="416" w:type="dxa"/>
            <w:vAlign w:val="center"/>
          </w:tcPr>
          <w:p w14:paraId="4A3B6179" w14:textId="77777777" w:rsidR="00B24B0F" w:rsidRPr="001E6782" w:rsidRDefault="00B24B0F" w:rsidP="00B24B0F">
            <w:pPr>
              <w:keepNext/>
              <w:jc w:val="right"/>
              <w:rPr>
                <w:lang w:eastAsia="en-US"/>
              </w:rPr>
            </w:pPr>
          </w:p>
        </w:tc>
        <w:tc>
          <w:tcPr>
            <w:tcW w:w="589" w:type="dxa"/>
            <w:vAlign w:val="center"/>
          </w:tcPr>
          <w:p w14:paraId="6317411C" w14:textId="77777777" w:rsidR="00B24B0F" w:rsidRPr="001E6782" w:rsidRDefault="00B24B0F" w:rsidP="00B24B0F">
            <w:pPr>
              <w:keepNext/>
              <w:jc w:val="right"/>
              <w:rPr>
                <w:lang w:eastAsia="en-US"/>
              </w:rPr>
            </w:pPr>
          </w:p>
        </w:tc>
      </w:tr>
      <w:tr w:rsidR="00B24B0F" w:rsidRPr="001E6782" w14:paraId="12EC85DB" w14:textId="77777777" w:rsidTr="00B24B0F">
        <w:tc>
          <w:tcPr>
            <w:tcW w:w="1121" w:type="dxa"/>
          </w:tcPr>
          <w:p w14:paraId="74BAAAE8" w14:textId="77777777" w:rsidR="00B24B0F" w:rsidRPr="001A43CB" w:rsidRDefault="00C007A6" w:rsidP="00AC337F">
            <w:pPr>
              <w:keepNext/>
              <w:rPr>
                <w:b/>
                <w:lang w:eastAsia="en-US"/>
              </w:rPr>
            </w:pPr>
            <w:r>
              <w:rPr>
                <w:b/>
                <w:lang w:eastAsia="en-US"/>
              </w:rPr>
              <w:t>Relapse</w:t>
            </w:r>
          </w:p>
        </w:tc>
        <w:tc>
          <w:tcPr>
            <w:tcW w:w="1645" w:type="dxa"/>
            <w:shd w:val="clear" w:color="auto" w:fill="CCFFFF"/>
          </w:tcPr>
          <w:p w14:paraId="383B7E18" w14:textId="77777777" w:rsidR="00B24B0F" w:rsidRPr="00B24B0F" w:rsidRDefault="00B24B0F" w:rsidP="00AC337F">
            <w:pPr>
              <w:keepNext/>
              <w:jc w:val="center"/>
              <w:rPr>
                <w:lang w:eastAsia="en-US"/>
              </w:rPr>
            </w:pPr>
            <w:r w:rsidRPr="00B24B0F">
              <w:rPr>
                <w:lang w:eastAsia="en-US"/>
              </w:rPr>
              <w:t>Moderate-risk/ problem gambler</w:t>
            </w:r>
          </w:p>
        </w:tc>
        <w:tc>
          <w:tcPr>
            <w:tcW w:w="1763" w:type="dxa"/>
          </w:tcPr>
          <w:p w14:paraId="5D612347" w14:textId="77777777" w:rsidR="00B24B0F" w:rsidRPr="001E6782" w:rsidRDefault="00B24B0F" w:rsidP="00AC337F">
            <w:pPr>
              <w:keepNext/>
              <w:jc w:val="center"/>
              <w:rPr>
                <w:lang w:eastAsia="en-US"/>
              </w:rPr>
            </w:pPr>
            <w:r>
              <w:rPr>
                <w:lang w:eastAsia="en-US"/>
              </w:rPr>
              <w:t>Non-gambler/non-problem/low-risk gambler</w:t>
            </w:r>
          </w:p>
        </w:tc>
        <w:tc>
          <w:tcPr>
            <w:tcW w:w="1831" w:type="dxa"/>
          </w:tcPr>
          <w:p w14:paraId="72933C59" w14:textId="77777777" w:rsidR="00B24B0F" w:rsidRPr="001E6782" w:rsidRDefault="00B24B0F" w:rsidP="00AC337F">
            <w:pPr>
              <w:keepNext/>
              <w:jc w:val="center"/>
              <w:rPr>
                <w:lang w:eastAsia="en-US"/>
              </w:rPr>
            </w:pPr>
            <w:r>
              <w:rPr>
                <w:lang w:eastAsia="en-US"/>
              </w:rPr>
              <w:t>Non-gambler/non-problem/low-risk gambler</w:t>
            </w:r>
          </w:p>
        </w:tc>
        <w:tc>
          <w:tcPr>
            <w:tcW w:w="1797" w:type="dxa"/>
            <w:shd w:val="clear" w:color="auto" w:fill="CCFFFF"/>
          </w:tcPr>
          <w:p w14:paraId="157F0F35" w14:textId="77777777" w:rsidR="00B24B0F" w:rsidRPr="001E6782" w:rsidRDefault="00B24B0F" w:rsidP="00AC337F">
            <w:pPr>
              <w:keepNext/>
              <w:jc w:val="center"/>
              <w:rPr>
                <w:lang w:eastAsia="en-US"/>
              </w:rPr>
            </w:pPr>
            <w:r>
              <w:rPr>
                <w:lang w:eastAsia="en-US"/>
              </w:rPr>
              <w:t>Moderate-risk/ problem gambler</w:t>
            </w:r>
          </w:p>
        </w:tc>
        <w:tc>
          <w:tcPr>
            <w:tcW w:w="416" w:type="dxa"/>
            <w:shd w:val="clear" w:color="auto" w:fill="CCFFFF"/>
            <w:vAlign w:val="center"/>
          </w:tcPr>
          <w:p w14:paraId="467714E2" w14:textId="77777777" w:rsidR="00B24B0F" w:rsidRDefault="00B24B0F" w:rsidP="00B24B0F">
            <w:pPr>
              <w:keepNext/>
              <w:jc w:val="right"/>
              <w:rPr>
                <w:lang w:eastAsia="en-US"/>
              </w:rPr>
            </w:pPr>
            <w:r>
              <w:rPr>
                <w:lang w:eastAsia="en-US"/>
              </w:rPr>
              <w:t>2</w:t>
            </w:r>
          </w:p>
        </w:tc>
        <w:tc>
          <w:tcPr>
            <w:tcW w:w="589" w:type="dxa"/>
            <w:shd w:val="clear" w:color="auto" w:fill="CCFFFF"/>
            <w:vAlign w:val="center"/>
          </w:tcPr>
          <w:p w14:paraId="6168F785" w14:textId="77777777" w:rsidR="00B24B0F" w:rsidRDefault="00B24B0F" w:rsidP="00B24B0F">
            <w:pPr>
              <w:keepNext/>
              <w:jc w:val="right"/>
              <w:rPr>
                <w:lang w:eastAsia="en-US"/>
              </w:rPr>
            </w:pPr>
            <w:r>
              <w:rPr>
                <w:lang w:eastAsia="en-US"/>
              </w:rPr>
              <w:t>1.3</w:t>
            </w:r>
          </w:p>
        </w:tc>
      </w:tr>
      <w:tr w:rsidR="00B24B0F" w:rsidRPr="001E6782" w14:paraId="44B7A182" w14:textId="77777777" w:rsidTr="00B24B0F">
        <w:tc>
          <w:tcPr>
            <w:tcW w:w="1121" w:type="dxa"/>
            <w:vMerge w:val="restart"/>
          </w:tcPr>
          <w:p w14:paraId="16D7E28D" w14:textId="77777777" w:rsidR="00B24B0F" w:rsidRPr="001A43CB" w:rsidRDefault="00B24B0F" w:rsidP="00AC337F">
            <w:pPr>
              <w:keepNext/>
              <w:rPr>
                <w:b/>
                <w:lang w:eastAsia="en-US"/>
              </w:rPr>
            </w:pPr>
          </w:p>
        </w:tc>
        <w:tc>
          <w:tcPr>
            <w:tcW w:w="1645" w:type="dxa"/>
            <w:shd w:val="clear" w:color="auto" w:fill="CCFFFF"/>
          </w:tcPr>
          <w:p w14:paraId="731AF357" w14:textId="77777777" w:rsidR="00B24B0F" w:rsidRPr="00B24B0F" w:rsidRDefault="00B24B0F" w:rsidP="00AC337F">
            <w:pPr>
              <w:keepNext/>
              <w:jc w:val="center"/>
              <w:rPr>
                <w:lang w:eastAsia="en-US"/>
              </w:rPr>
            </w:pPr>
            <w:r w:rsidRPr="00B24B0F">
              <w:rPr>
                <w:lang w:eastAsia="en-US"/>
              </w:rPr>
              <w:t>Moderate-risk/ problem gambler</w:t>
            </w:r>
          </w:p>
        </w:tc>
        <w:tc>
          <w:tcPr>
            <w:tcW w:w="1763" w:type="dxa"/>
          </w:tcPr>
          <w:p w14:paraId="6BF652AE" w14:textId="77777777" w:rsidR="00B24B0F" w:rsidRPr="001E6782" w:rsidRDefault="00B24B0F" w:rsidP="00AC337F">
            <w:pPr>
              <w:keepNext/>
              <w:spacing w:after="40"/>
              <w:jc w:val="center"/>
              <w:rPr>
                <w:lang w:eastAsia="en-US"/>
              </w:rPr>
            </w:pPr>
            <w:r>
              <w:rPr>
                <w:lang w:eastAsia="en-US"/>
              </w:rPr>
              <w:t>Non-gambler/non-problem/low-risk gambler</w:t>
            </w:r>
          </w:p>
        </w:tc>
        <w:tc>
          <w:tcPr>
            <w:tcW w:w="1831" w:type="dxa"/>
            <w:shd w:val="clear" w:color="auto" w:fill="CCFFFF"/>
          </w:tcPr>
          <w:p w14:paraId="63CEC3A3" w14:textId="77777777" w:rsidR="00B24B0F" w:rsidRPr="001E6782" w:rsidRDefault="00B24B0F" w:rsidP="00AC337F">
            <w:pPr>
              <w:keepNext/>
              <w:jc w:val="center"/>
              <w:rPr>
                <w:lang w:eastAsia="en-US"/>
              </w:rPr>
            </w:pPr>
            <w:r>
              <w:rPr>
                <w:lang w:eastAsia="en-US"/>
              </w:rPr>
              <w:t>Moderate-risk/ problem gambler</w:t>
            </w:r>
          </w:p>
        </w:tc>
        <w:tc>
          <w:tcPr>
            <w:tcW w:w="1797" w:type="dxa"/>
          </w:tcPr>
          <w:p w14:paraId="0E3429BF" w14:textId="77777777" w:rsidR="00B24B0F" w:rsidRPr="001E6782" w:rsidRDefault="00B24B0F" w:rsidP="00AC337F">
            <w:pPr>
              <w:keepNext/>
              <w:jc w:val="center"/>
              <w:rPr>
                <w:lang w:eastAsia="en-US"/>
              </w:rPr>
            </w:pPr>
            <w:r>
              <w:rPr>
                <w:lang w:eastAsia="en-US"/>
              </w:rPr>
              <w:t>Non-gambler/non-problem/low-risk gambler</w:t>
            </w:r>
          </w:p>
        </w:tc>
        <w:tc>
          <w:tcPr>
            <w:tcW w:w="416" w:type="dxa"/>
            <w:vAlign w:val="center"/>
          </w:tcPr>
          <w:p w14:paraId="02323C96" w14:textId="77777777" w:rsidR="00B24B0F" w:rsidRDefault="00B24B0F" w:rsidP="00B24B0F">
            <w:pPr>
              <w:keepNext/>
              <w:jc w:val="right"/>
              <w:rPr>
                <w:lang w:eastAsia="en-US"/>
              </w:rPr>
            </w:pPr>
            <w:r>
              <w:rPr>
                <w:lang w:eastAsia="en-US"/>
              </w:rPr>
              <w:t>3</w:t>
            </w:r>
          </w:p>
        </w:tc>
        <w:tc>
          <w:tcPr>
            <w:tcW w:w="589" w:type="dxa"/>
            <w:vAlign w:val="center"/>
          </w:tcPr>
          <w:p w14:paraId="5C4B02CF" w14:textId="77777777" w:rsidR="00B24B0F" w:rsidRDefault="00B24B0F" w:rsidP="00B24B0F">
            <w:pPr>
              <w:keepNext/>
              <w:jc w:val="right"/>
              <w:rPr>
                <w:lang w:eastAsia="en-US"/>
              </w:rPr>
            </w:pPr>
            <w:r>
              <w:rPr>
                <w:lang w:eastAsia="en-US"/>
              </w:rPr>
              <w:t>1.0</w:t>
            </w:r>
          </w:p>
        </w:tc>
      </w:tr>
      <w:tr w:rsidR="00B24B0F" w:rsidRPr="001E6782" w14:paraId="41369277" w14:textId="77777777" w:rsidTr="00B24B0F">
        <w:tc>
          <w:tcPr>
            <w:tcW w:w="1121" w:type="dxa"/>
            <w:vMerge/>
            <w:tcBorders>
              <w:bottom w:val="single" w:sz="4" w:space="0" w:color="auto"/>
            </w:tcBorders>
          </w:tcPr>
          <w:p w14:paraId="53BBCEB1" w14:textId="77777777" w:rsidR="00B24B0F" w:rsidRPr="001E6782" w:rsidRDefault="00B24B0F" w:rsidP="00AC337F">
            <w:pPr>
              <w:keepNext/>
              <w:rPr>
                <w:lang w:eastAsia="en-US"/>
              </w:rPr>
            </w:pPr>
          </w:p>
        </w:tc>
        <w:tc>
          <w:tcPr>
            <w:tcW w:w="1645" w:type="dxa"/>
            <w:tcBorders>
              <w:bottom w:val="single" w:sz="4" w:space="0" w:color="auto"/>
            </w:tcBorders>
            <w:shd w:val="clear" w:color="auto" w:fill="CCFFFF"/>
          </w:tcPr>
          <w:p w14:paraId="66F54DAA" w14:textId="77777777" w:rsidR="00B24B0F" w:rsidRPr="00B24B0F" w:rsidRDefault="00B24B0F" w:rsidP="00AC337F">
            <w:pPr>
              <w:keepNext/>
              <w:jc w:val="center"/>
              <w:rPr>
                <w:lang w:eastAsia="en-US"/>
              </w:rPr>
            </w:pPr>
            <w:r w:rsidRPr="00B24B0F">
              <w:rPr>
                <w:lang w:eastAsia="en-US"/>
              </w:rPr>
              <w:t>Moderate-risk/ problem gambler</w:t>
            </w:r>
          </w:p>
        </w:tc>
        <w:tc>
          <w:tcPr>
            <w:tcW w:w="1763" w:type="dxa"/>
            <w:tcBorders>
              <w:bottom w:val="single" w:sz="4" w:space="0" w:color="auto"/>
            </w:tcBorders>
          </w:tcPr>
          <w:p w14:paraId="6BB16C24" w14:textId="77777777" w:rsidR="00B24B0F" w:rsidRPr="001E6782" w:rsidRDefault="00B24B0F" w:rsidP="00AC337F">
            <w:pPr>
              <w:keepNext/>
              <w:jc w:val="center"/>
              <w:rPr>
                <w:lang w:eastAsia="en-US"/>
              </w:rPr>
            </w:pPr>
            <w:r>
              <w:rPr>
                <w:lang w:eastAsia="en-US"/>
              </w:rPr>
              <w:t>Non-gambler/non-problem/low-risk gambler</w:t>
            </w:r>
          </w:p>
        </w:tc>
        <w:tc>
          <w:tcPr>
            <w:tcW w:w="1831" w:type="dxa"/>
            <w:tcBorders>
              <w:bottom w:val="single" w:sz="4" w:space="0" w:color="auto"/>
            </w:tcBorders>
            <w:shd w:val="clear" w:color="auto" w:fill="CCFFFF"/>
          </w:tcPr>
          <w:p w14:paraId="108E84D0" w14:textId="77777777" w:rsidR="00B24B0F" w:rsidRPr="001E6782" w:rsidRDefault="00B24B0F" w:rsidP="00AC337F">
            <w:pPr>
              <w:keepNext/>
              <w:jc w:val="center"/>
              <w:rPr>
                <w:lang w:eastAsia="en-US"/>
              </w:rPr>
            </w:pPr>
            <w:r>
              <w:rPr>
                <w:lang w:eastAsia="en-US"/>
              </w:rPr>
              <w:t>Moderate-risk/ problem gambler</w:t>
            </w:r>
          </w:p>
        </w:tc>
        <w:tc>
          <w:tcPr>
            <w:tcW w:w="1797" w:type="dxa"/>
            <w:tcBorders>
              <w:bottom w:val="single" w:sz="4" w:space="0" w:color="auto"/>
            </w:tcBorders>
            <w:shd w:val="clear" w:color="auto" w:fill="CCFFFF"/>
          </w:tcPr>
          <w:p w14:paraId="4689CA0C" w14:textId="77777777" w:rsidR="00B24B0F" w:rsidRPr="001E6782" w:rsidRDefault="00B24B0F" w:rsidP="00AC337F">
            <w:pPr>
              <w:keepNext/>
              <w:jc w:val="center"/>
              <w:rPr>
                <w:lang w:eastAsia="en-US"/>
              </w:rPr>
            </w:pPr>
            <w:r>
              <w:rPr>
                <w:lang w:eastAsia="en-US"/>
              </w:rPr>
              <w:t>Moderate-risk/ problem gambler</w:t>
            </w:r>
          </w:p>
        </w:tc>
        <w:tc>
          <w:tcPr>
            <w:tcW w:w="416" w:type="dxa"/>
            <w:tcBorders>
              <w:bottom w:val="single" w:sz="4" w:space="0" w:color="auto"/>
            </w:tcBorders>
            <w:shd w:val="clear" w:color="auto" w:fill="CCFFFF"/>
            <w:vAlign w:val="center"/>
          </w:tcPr>
          <w:p w14:paraId="2F1907D3" w14:textId="77777777" w:rsidR="00B24B0F" w:rsidRDefault="00B24B0F" w:rsidP="00B24B0F">
            <w:pPr>
              <w:keepNext/>
              <w:jc w:val="right"/>
              <w:rPr>
                <w:lang w:eastAsia="en-US"/>
              </w:rPr>
            </w:pPr>
            <w:r>
              <w:rPr>
                <w:lang w:eastAsia="en-US"/>
              </w:rPr>
              <w:t>4</w:t>
            </w:r>
          </w:p>
        </w:tc>
        <w:tc>
          <w:tcPr>
            <w:tcW w:w="589" w:type="dxa"/>
            <w:tcBorders>
              <w:bottom w:val="single" w:sz="4" w:space="0" w:color="auto"/>
            </w:tcBorders>
            <w:shd w:val="clear" w:color="auto" w:fill="CCFFFF"/>
            <w:vAlign w:val="center"/>
          </w:tcPr>
          <w:p w14:paraId="6E4DFED8" w14:textId="77777777" w:rsidR="00B24B0F" w:rsidRDefault="00B24B0F" w:rsidP="00B24B0F">
            <w:pPr>
              <w:keepNext/>
              <w:jc w:val="right"/>
              <w:rPr>
                <w:lang w:eastAsia="en-US"/>
              </w:rPr>
            </w:pPr>
            <w:r>
              <w:rPr>
                <w:lang w:eastAsia="en-US"/>
              </w:rPr>
              <w:t>2.4</w:t>
            </w:r>
          </w:p>
        </w:tc>
      </w:tr>
    </w:tbl>
    <w:p w14:paraId="659DAB95" w14:textId="77777777" w:rsidR="00583365" w:rsidRPr="00583365" w:rsidRDefault="00583365" w:rsidP="00583365">
      <w:pPr>
        <w:rPr>
          <w:rFonts w:eastAsiaTheme="majorEastAsia"/>
          <w:sz w:val="20"/>
          <w:szCs w:val="20"/>
          <w:lang w:eastAsia="en-US"/>
        </w:rPr>
      </w:pPr>
      <w:r w:rsidRPr="00583365">
        <w:rPr>
          <w:sz w:val="20"/>
          <w:szCs w:val="20"/>
        </w:rPr>
        <w:t xml:space="preserve">Adj.n = </w:t>
      </w:r>
      <w:r w:rsidRPr="00583365">
        <w:rPr>
          <w:rFonts w:eastAsiaTheme="majorEastAsia"/>
          <w:sz w:val="20"/>
          <w:szCs w:val="20"/>
          <w:lang w:eastAsia="en-US"/>
        </w:rPr>
        <w:t>Data weighted for 2013 Census data (all Waves) and attrition (Waves 2, 3 and 4)</w:t>
      </w:r>
    </w:p>
    <w:p w14:paraId="6CCC507D" w14:textId="77777777" w:rsidR="00A35C59" w:rsidRDefault="00A35C59" w:rsidP="00F25301">
      <w:pPr>
        <w:pStyle w:val="BodyText1"/>
        <w:ind w:left="0"/>
        <w:jc w:val="both"/>
      </w:pPr>
    </w:p>
    <w:p w14:paraId="7538B1AF" w14:textId="77777777" w:rsidR="00CE3809" w:rsidRPr="00154CA5" w:rsidRDefault="00CE3809" w:rsidP="00F25301">
      <w:pPr>
        <w:pStyle w:val="BodyText1"/>
        <w:ind w:left="0"/>
        <w:jc w:val="both"/>
        <w:rPr>
          <w:szCs w:val="22"/>
        </w:rPr>
      </w:pPr>
    </w:p>
    <w:p w14:paraId="1B058488" w14:textId="77777777" w:rsidR="0046000D" w:rsidRPr="007474D2" w:rsidRDefault="0046000D" w:rsidP="000D1CF7">
      <w:pPr>
        <w:pStyle w:val="RepHead1"/>
        <w:rPr>
          <w:lang w:val="en-AU"/>
        </w:rPr>
      </w:pPr>
      <w:bookmarkStart w:id="53" w:name="_Toc109453391"/>
      <w:r>
        <w:rPr>
          <w:lang w:val="en-AU"/>
        </w:rPr>
        <w:br w:type="page"/>
      </w:r>
      <w:bookmarkStart w:id="54" w:name="_Toc504488351"/>
      <w:r w:rsidRPr="007474D2">
        <w:rPr>
          <w:lang w:val="en-AU"/>
        </w:rPr>
        <w:t>RESULTS</w:t>
      </w:r>
      <w:bookmarkEnd w:id="53"/>
      <w:bookmarkEnd w:id="54"/>
    </w:p>
    <w:p w14:paraId="3DBA15EC" w14:textId="77777777" w:rsidR="0046000D" w:rsidRDefault="0046000D" w:rsidP="000D1CF7">
      <w:pPr>
        <w:pStyle w:val="RepNormal"/>
      </w:pPr>
      <w:bookmarkStart w:id="55" w:name="_Toc109453392"/>
    </w:p>
    <w:p w14:paraId="722732D7" w14:textId="77777777" w:rsidR="0046000D" w:rsidRPr="000C265D" w:rsidRDefault="00267429" w:rsidP="008E05BA">
      <w:pPr>
        <w:pStyle w:val="RepHead2"/>
        <w:pBdr>
          <w:top w:val="single" w:sz="4" w:space="0" w:color="auto"/>
        </w:pBdr>
      </w:pPr>
      <w:bookmarkStart w:id="56" w:name="_Ref473033222"/>
      <w:bookmarkStart w:id="57" w:name="_Toc504488352"/>
      <w:bookmarkEnd w:id="55"/>
      <w:r>
        <w:t>Attrition analyses</w:t>
      </w:r>
      <w:bookmarkEnd w:id="56"/>
      <w:bookmarkEnd w:id="57"/>
    </w:p>
    <w:p w14:paraId="64D653EB" w14:textId="77777777" w:rsidR="0046000D" w:rsidRDefault="0046000D" w:rsidP="000D1CF7">
      <w:pPr>
        <w:pStyle w:val="RepNormal"/>
      </w:pPr>
    </w:p>
    <w:p w14:paraId="0D5E5B48" w14:textId="77777777" w:rsidR="00267429" w:rsidRPr="00EA2833" w:rsidRDefault="00267429" w:rsidP="00267429">
      <w:pPr>
        <w:pStyle w:val="RepNormal"/>
      </w:pPr>
      <w:r>
        <w:t>Attrition analyses were conducted to investigate Wav</w:t>
      </w:r>
      <w:r w:rsidR="00CD1F83">
        <w:t>e 4 sample differences in socio</w:t>
      </w:r>
      <w:r>
        <w:t>demographic and gambling data</w:t>
      </w:r>
      <w:r w:rsidR="00127F46">
        <w:t>,</w:t>
      </w:r>
      <w:r>
        <w:t xml:space="preserve"> compared to Wave 1.  S</w:t>
      </w:r>
      <w:r w:rsidRPr="00EA2833">
        <w:t>tatistical</w:t>
      </w:r>
      <w:r>
        <w:t>ly significant</w:t>
      </w:r>
      <w:r w:rsidRPr="00EA2833">
        <w:t xml:space="preserve"> differences </w:t>
      </w:r>
      <w:r>
        <w:t xml:space="preserve">were noted </w:t>
      </w:r>
      <w:r w:rsidRPr="00EA2833">
        <w:t xml:space="preserve">between the samples </w:t>
      </w:r>
      <w:r>
        <w:t>for</w:t>
      </w:r>
      <w:r w:rsidRPr="00EA2833">
        <w:t xml:space="preserve"> demographics (age, ethnicity and area of residence), problem gambling severity, gambling participation and </w:t>
      </w:r>
      <w:r>
        <w:t>experiencing major life events</w:t>
      </w:r>
      <w:r w:rsidRPr="00EA2833">
        <w:t>.</w:t>
      </w:r>
    </w:p>
    <w:p w14:paraId="77E084C3" w14:textId="77777777" w:rsidR="00267429" w:rsidRPr="00EA2833" w:rsidRDefault="00267429" w:rsidP="00267429">
      <w:pPr>
        <w:pStyle w:val="RepNormal"/>
      </w:pPr>
    </w:p>
    <w:p w14:paraId="7B522219" w14:textId="77777777" w:rsidR="00267429" w:rsidRPr="00B63921" w:rsidRDefault="00267429" w:rsidP="00267429">
      <w:pPr>
        <w:pStyle w:val="RepNormal"/>
      </w:pPr>
      <w:r w:rsidRPr="00B63921">
        <w:t xml:space="preserve">There was </w:t>
      </w:r>
      <w:r w:rsidRPr="00533C2B">
        <w:rPr>
          <w:i/>
        </w:rPr>
        <w:t>higher</w:t>
      </w:r>
      <w:r w:rsidRPr="001850C1">
        <w:t xml:space="preserve"> </w:t>
      </w:r>
      <w:r w:rsidRPr="00B63921">
        <w:rPr>
          <w:i/>
        </w:rPr>
        <w:t>attrition</w:t>
      </w:r>
      <w:r w:rsidRPr="00B63921">
        <w:t xml:space="preserve"> (less people retained in the study) </w:t>
      </w:r>
      <w:r>
        <w:t>for</w:t>
      </w:r>
      <w:r w:rsidRPr="00B63921">
        <w:t xml:space="preserve">: </w:t>
      </w:r>
    </w:p>
    <w:p w14:paraId="18F323A1" w14:textId="77777777" w:rsidR="00267429" w:rsidRPr="00B63921" w:rsidRDefault="00267429" w:rsidP="00DD2ADA">
      <w:pPr>
        <w:pStyle w:val="RepNormal"/>
        <w:numPr>
          <w:ilvl w:val="0"/>
          <w:numId w:val="33"/>
        </w:numPr>
      </w:pPr>
      <w:r w:rsidRPr="00B63921">
        <w:t xml:space="preserve">The youngest age group (18-24 years) and, to a </w:t>
      </w:r>
      <w:r w:rsidR="00127F46">
        <w:t>lesser</w:t>
      </w:r>
      <w:r w:rsidRPr="00B63921">
        <w:t xml:space="preserve"> extent, the next youngest age group (25-34 years)</w:t>
      </w:r>
    </w:p>
    <w:p w14:paraId="42AA856B" w14:textId="77777777" w:rsidR="00267429" w:rsidRPr="00B63921" w:rsidRDefault="00267429" w:rsidP="00DD2ADA">
      <w:pPr>
        <w:pStyle w:val="RepNormal"/>
        <w:numPr>
          <w:ilvl w:val="0"/>
          <w:numId w:val="33"/>
        </w:numPr>
      </w:pPr>
      <w:r w:rsidRPr="00B63921">
        <w:t>People who had gambled on 10 or m</w:t>
      </w:r>
      <w:r w:rsidR="00CD1F83">
        <w:t>ore activities in the past year</w:t>
      </w:r>
    </w:p>
    <w:p w14:paraId="22CD40F9" w14:textId="77777777" w:rsidR="00267429" w:rsidRPr="00B63921" w:rsidRDefault="00267429" w:rsidP="00DD2ADA">
      <w:pPr>
        <w:pStyle w:val="RepNormal"/>
        <w:numPr>
          <w:ilvl w:val="0"/>
          <w:numId w:val="33"/>
        </w:numPr>
      </w:pPr>
      <w:r w:rsidRPr="00B63921">
        <w:t>People who had experienced five or more major life events in the past year</w:t>
      </w:r>
      <w:r>
        <w:t>.</w:t>
      </w:r>
      <w:r w:rsidRPr="00B63921">
        <w:t xml:space="preserve"> </w:t>
      </w:r>
    </w:p>
    <w:p w14:paraId="374267E6" w14:textId="77777777" w:rsidR="00267429" w:rsidRPr="00EA2833" w:rsidRDefault="00267429" w:rsidP="00267429">
      <w:pPr>
        <w:pStyle w:val="RepNormal"/>
      </w:pPr>
    </w:p>
    <w:p w14:paraId="0998BB6C" w14:textId="77777777" w:rsidR="00267429" w:rsidRPr="00EA2833" w:rsidRDefault="00267429" w:rsidP="00267429">
      <w:pPr>
        <w:pStyle w:val="RepNormal"/>
      </w:pPr>
      <w:r w:rsidRPr="00EA2833">
        <w:t xml:space="preserve">There was </w:t>
      </w:r>
      <w:r w:rsidRPr="00EA2833">
        <w:rPr>
          <w:i/>
        </w:rPr>
        <w:t>greater retention</w:t>
      </w:r>
      <w:r w:rsidRPr="00EA2833">
        <w:t xml:space="preserve"> (more people stayed in the study) </w:t>
      </w:r>
      <w:r w:rsidR="00C954D4">
        <w:t>for</w:t>
      </w:r>
      <w:r w:rsidRPr="00EA2833">
        <w:t xml:space="preserve">: </w:t>
      </w:r>
    </w:p>
    <w:p w14:paraId="435AE20B" w14:textId="77777777" w:rsidR="00267429" w:rsidRPr="00EA2833" w:rsidRDefault="00267429" w:rsidP="00DD2ADA">
      <w:pPr>
        <w:pStyle w:val="RepNormal"/>
        <w:numPr>
          <w:ilvl w:val="0"/>
          <w:numId w:val="34"/>
        </w:numPr>
      </w:pPr>
      <w:r w:rsidRPr="00EA2833">
        <w:t>European/Other</w:t>
      </w:r>
      <w:r>
        <w:t xml:space="preserve"> ethnicity</w:t>
      </w:r>
    </w:p>
    <w:p w14:paraId="109EA899" w14:textId="77777777" w:rsidR="00267429" w:rsidRPr="00EA2833" w:rsidRDefault="00267429" w:rsidP="00DD2ADA">
      <w:pPr>
        <w:pStyle w:val="RepNormal"/>
        <w:numPr>
          <w:ilvl w:val="0"/>
          <w:numId w:val="34"/>
        </w:numPr>
      </w:pPr>
      <w:r w:rsidRPr="00EA2833">
        <w:t>People living in Wellington or Christchurch</w:t>
      </w:r>
    </w:p>
    <w:p w14:paraId="31B6BEF0" w14:textId="6296A7B6" w:rsidR="00267429" w:rsidRDefault="00286FD1" w:rsidP="00DD2ADA">
      <w:pPr>
        <w:pStyle w:val="RepNormal"/>
        <w:numPr>
          <w:ilvl w:val="0"/>
          <w:numId w:val="34"/>
        </w:numPr>
      </w:pPr>
      <w:r>
        <w:t>Non-problem gamblers</w:t>
      </w:r>
      <w:r w:rsidR="00267429" w:rsidRPr="00EA2833">
        <w:t xml:space="preserve"> and </w:t>
      </w:r>
      <w:r>
        <w:t>problem</w:t>
      </w:r>
      <w:r w:rsidR="00267429" w:rsidRPr="00EA2833">
        <w:t xml:space="preserve"> gamblers</w:t>
      </w:r>
      <w:r w:rsidR="00C954D4">
        <w:t>.</w:t>
      </w:r>
    </w:p>
    <w:p w14:paraId="4AC7D05C" w14:textId="77777777" w:rsidR="00267429" w:rsidRPr="00F30BFE" w:rsidRDefault="00267429" w:rsidP="00267429">
      <w:pPr>
        <w:pStyle w:val="RepNormal"/>
      </w:pPr>
    </w:p>
    <w:p w14:paraId="6E9124B9" w14:textId="77777777" w:rsidR="00267429" w:rsidRDefault="00267429" w:rsidP="00267429">
      <w:pPr>
        <w:pStyle w:val="RepNormal"/>
      </w:pPr>
      <w:r w:rsidRPr="00F30BFE">
        <w:t xml:space="preserve">Due to the significant differential attrition, data analyses </w:t>
      </w:r>
      <w:r>
        <w:t>were</w:t>
      </w:r>
      <w:r w:rsidRPr="00F30BFE">
        <w:t xml:space="preserve"> adjusted to account for attrition effects.</w:t>
      </w:r>
    </w:p>
    <w:p w14:paraId="513ABC1A" w14:textId="77777777" w:rsidR="00267429" w:rsidRDefault="00267429" w:rsidP="00267429">
      <w:pPr>
        <w:pStyle w:val="RepNormal"/>
      </w:pPr>
    </w:p>
    <w:p w14:paraId="554F04B1" w14:textId="77777777" w:rsidR="00267429" w:rsidRPr="00F30BFE" w:rsidRDefault="0055283D" w:rsidP="00267429">
      <w:pPr>
        <w:pStyle w:val="RepNormal"/>
      </w:pPr>
      <w:r>
        <w:t>Data are presented in Appendix 6</w:t>
      </w:r>
      <w:r w:rsidR="00267429">
        <w:t>.</w:t>
      </w:r>
    </w:p>
    <w:p w14:paraId="5373CC92" w14:textId="77777777" w:rsidR="00267429" w:rsidRDefault="00267429" w:rsidP="000D1CF7">
      <w:pPr>
        <w:pStyle w:val="RepNormal"/>
      </w:pPr>
    </w:p>
    <w:p w14:paraId="1C7BE7D0" w14:textId="77777777" w:rsidR="00EB73B9" w:rsidRDefault="00EB73B9" w:rsidP="000D1CF7">
      <w:pPr>
        <w:pStyle w:val="RepNormal"/>
      </w:pPr>
    </w:p>
    <w:p w14:paraId="5878EA2E" w14:textId="77777777" w:rsidR="0046000D" w:rsidRPr="000C265D" w:rsidRDefault="00F51B0D" w:rsidP="00127F46">
      <w:pPr>
        <w:pStyle w:val="RepHead2"/>
      </w:pPr>
      <w:bookmarkStart w:id="58" w:name="_Ref473033251"/>
      <w:bookmarkStart w:id="59" w:name="_Toc504488353"/>
      <w:r>
        <w:t>Descriptive statistics</w:t>
      </w:r>
      <w:bookmarkEnd w:id="58"/>
      <w:bookmarkEnd w:id="59"/>
    </w:p>
    <w:p w14:paraId="31BCDBD3" w14:textId="77777777" w:rsidR="0046000D" w:rsidRDefault="0046000D" w:rsidP="00127F46">
      <w:pPr>
        <w:pStyle w:val="RepNormal"/>
        <w:keepNext/>
      </w:pPr>
    </w:p>
    <w:p w14:paraId="354A03D2" w14:textId="77777777" w:rsidR="00F30BFE" w:rsidRDefault="00F30BFE" w:rsidP="00127F46">
      <w:pPr>
        <w:pStyle w:val="RepNormal"/>
        <w:keepNext/>
      </w:pPr>
      <w:r w:rsidRPr="002F04E8">
        <w:t xml:space="preserve">This section </w:t>
      </w:r>
      <w:r w:rsidR="000303D0" w:rsidRPr="002F04E8">
        <w:t xml:space="preserve">details </w:t>
      </w:r>
      <w:r w:rsidR="00CD1F83">
        <w:t>socio</w:t>
      </w:r>
      <w:r w:rsidR="00F51B0D" w:rsidRPr="002F04E8">
        <w:t>demographic characteristics that could have changed</w:t>
      </w:r>
      <w:r w:rsidR="00C93E1E">
        <w:t xml:space="preserve"> over time</w:t>
      </w:r>
      <w:r w:rsidR="00F51B0D" w:rsidRPr="002F04E8">
        <w:t xml:space="preserve"> </w:t>
      </w:r>
      <w:r w:rsidR="00CD1F83">
        <w:t>(i.e. labour force status, household size, annual personal and household incomes, and individual level of deprivation)</w:t>
      </w:r>
      <w:r w:rsidR="00CD1F83" w:rsidRPr="002F04E8">
        <w:t xml:space="preserve"> </w:t>
      </w:r>
      <w:r w:rsidR="00F51B0D" w:rsidRPr="002F04E8">
        <w:t>(section</w:t>
      </w:r>
      <w:r w:rsidR="003511F6">
        <w:t xml:space="preserve"> </w:t>
      </w:r>
      <w:r w:rsidR="003511F6">
        <w:fldChar w:fldCharType="begin"/>
      </w:r>
      <w:r w:rsidR="003511F6">
        <w:instrText xml:space="preserve"> REF _Ref473033354 \r \h </w:instrText>
      </w:r>
      <w:r w:rsidR="003511F6">
        <w:fldChar w:fldCharType="separate"/>
      </w:r>
      <w:r w:rsidR="00D5752E">
        <w:t>4.2.1</w:t>
      </w:r>
      <w:r w:rsidR="003511F6">
        <w:fldChar w:fldCharType="end"/>
      </w:r>
      <w:r w:rsidR="00FB1015" w:rsidRPr="002F04E8">
        <w:t>);</w:t>
      </w:r>
      <w:r w:rsidR="00F51B0D" w:rsidRPr="002F04E8">
        <w:t xml:space="preserve"> gambling participation</w:t>
      </w:r>
      <w:r w:rsidR="00FB1015" w:rsidRPr="002F04E8">
        <w:t xml:space="preserve"> including past year and past month gambling, gambling behaviour and EGM gambling</w:t>
      </w:r>
      <w:r w:rsidR="00F51B0D" w:rsidRPr="002F04E8">
        <w:t xml:space="preserve"> (section </w:t>
      </w:r>
      <w:r w:rsidR="00492CE9" w:rsidRPr="002F04E8">
        <w:fldChar w:fldCharType="begin"/>
      </w:r>
      <w:r w:rsidR="00492CE9" w:rsidRPr="002F04E8">
        <w:instrText xml:space="preserve"> REF _Ref469919939 \r \h </w:instrText>
      </w:r>
      <w:r w:rsidR="002F04E8" w:rsidRPr="002F04E8">
        <w:instrText xml:space="preserve"> \* MERGEFORMAT </w:instrText>
      </w:r>
      <w:r w:rsidR="00492CE9" w:rsidRPr="002F04E8">
        <w:fldChar w:fldCharType="separate"/>
      </w:r>
      <w:r w:rsidR="00D5752E">
        <w:t>4.2.2</w:t>
      </w:r>
      <w:r w:rsidR="00492CE9" w:rsidRPr="002F04E8">
        <w:fldChar w:fldCharType="end"/>
      </w:r>
      <w:r w:rsidR="00F51B0D" w:rsidRPr="002F04E8">
        <w:t>)</w:t>
      </w:r>
      <w:r w:rsidR="00FB1015" w:rsidRPr="002F04E8">
        <w:t>;</w:t>
      </w:r>
      <w:r w:rsidR="00F51B0D" w:rsidRPr="002F04E8">
        <w:t xml:space="preserve"> </w:t>
      </w:r>
      <w:r w:rsidR="00F679B7">
        <w:t xml:space="preserve">online/remote gambling (section </w:t>
      </w:r>
      <w:r w:rsidR="00F679B7">
        <w:fldChar w:fldCharType="begin"/>
      </w:r>
      <w:r w:rsidR="00F679B7">
        <w:instrText xml:space="preserve"> REF _Ref470095723 \r \h </w:instrText>
      </w:r>
      <w:r w:rsidR="00F679B7">
        <w:fldChar w:fldCharType="separate"/>
      </w:r>
      <w:r w:rsidR="00D5752E">
        <w:t>4.2.3</w:t>
      </w:r>
      <w:r w:rsidR="00F679B7">
        <w:fldChar w:fldCharType="end"/>
      </w:r>
      <w:r w:rsidR="00F679B7">
        <w:t>)</w:t>
      </w:r>
      <w:r w:rsidR="00C93E1E">
        <w:t>;</w:t>
      </w:r>
      <w:r w:rsidR="00F679B7">
        <w:t xml:space="preserve"> </w:t>
      </w:r>
      <w:r w:rsidR="00F51B0D" w:rsidRPr="002F04E8">
        <w:t>methods to stop gambling too much and hel</w:t>
      </w:r>
      <w:r w:rsidR="00FB1015" w:rsidRPr="002F04E8">
        <w:t>p-seeking behaviour (section</w:t>
      </w:r>
      <w:r w:rsidR="00F679B7">
        <w:t xml:space="preserve"> </w:t>
      </w:r>
      <w:r w:rsidR="00F679B7">
        <w:fldChar w:fldCharType="begin"/>
      </w:r>
      <w:r w:rsidR="00F679B7">
        <w:instrText xml:space="preserve"> REF _Ref470095748 \r \h </w:instrText>
      </w:r>
      <w:r w:rsidR="00F679B7">
        <w:fldChar w:fldCharType="separate"/>
      </w:r>
      <w:r w:rsidR="00D5752E">
        <w:t>4.2.4</w:t>
      </w:r>
      <w:r w:rsidR="00F679B7">
        <w:fldChar w:fldCharType="end"/>
      </w:r>
      <w:r w:rsidR="00FB1015" w:rsidRPr="002F04E8">
        <w:t>);</w:t>
      </w:r>
      <w:r w:rsidR="00F51B0D" w:rsidRPr="002F04E8">
        <w:t xml:space="preserve"> and health status</w:t>
      </w:r>
      <w:r w:rsidR="002F04E8">
        <w:t xml:space="preserve"> including number of </w:t>
      </w:r>
      <w:r w:rsidR="00C93E1E">
        <w:t>major</w:t>
      </w:r>
      <w:r w:rsidR="002F04E8">
        <w:t xml:space="preserve"> life events experienced, quality of life, psychological distress, hazardous alcohol consumption, other drug use, and tobacco smoking</w:t>
      </w:r>
      <w:r w:rsidR="00F51B0D" w:rsidRPr="002F04E8">
        <w:t xml:space="preserve"> (section </w:t>
      </w:r>
      <w:r w:rsidR="002F04E8" w:rsidRPr="002F04E8">
        <w:fldChar w:fldCharType="begin"/>
      </w:r>
      <w:r w:rsidR="002F04E8" w:rsidRPr="002F04E8">
        <w:instrText xml:space="preserve"> REF _Ref470012879 \r \h  \* MERGEFORMAT </w:instrText>
      </w:r>
      <w:r w:rsidR="002F04E8" w:rsidRPr="002F04E8">
        <w:fldChar w:fldCharType="separate"/>
      </w:r>
      <w:r w:rsidR="00D5752E">
        <w:t>4.2.5</w:t>
      </w:r>
      <w:r w:rsidR="002F04E8" w:rsidRPr="002F04E8">
        <w:fldChar w:fldCharType="end"/>
      </w:r>
      <w:r w:rsidR="00F51B0D" w:rsidRPr="002F04E8">
        <w:t>).</w:t>
      </w:r>
    </w:p>
    <w:p w14:paraId="738164C8" w14:textId="77777777" w:rsidR="00F51B0D" w:rsidRPr="00F30BFE" w:rsidRDefault="00F51B0D" w:rsidP="00F30BFE">
      <w:pPr>
        <w:pStyle w:val="RepNormal"/>
      </w:pPr>
    </w:p>
    <w:p w14:paraId="46043029" w14:textId="77777777" w:rsidR="00EB73B9" w:rsidRDefault="00EB73B9" w:rsidP="000D1CF7">
      <w:pPr>
        <w:pStyle w:val="RepNormal"/>
      </w:pPr>
    </w:p>
    <w:p w14:paraId="29B87721" w14:textId="77777777" w:rsidR="00EB73B9" w:rsidRPr="00084361" w:rsidRDefault="00CD1F83" w:rsidP="00003BD7">
      <w:pPr>
        <w:pStyle w:val="RepHead3"/>
      </w:pPr>
      <w:bookmarkStart w:id="60" w:name="_Ref473033354"/>
      <w:bookmarkStart w:id="61" w:name="_Toc504488354"/>
      <w:r>
        <w:t>Socio</w:t>
      </w:r>
      <w:r w:rsidR="00EB312F">
        <w:t>demographic variables that could have changed over time</w:t>
      </w:r>
      <w:bookmarkEnd w:id="60"/>
      <w:bookmarkEnd w:id="61"/>
    </w:p>
    <w:p w14:paraId="24BEE57C" w14:textId="77777777" w:rsidR="0046000D" w:rsidRDefault="0046000D" w:rsidP="00003BD7">
      <w:pPr>
        <w:pStyle w:val="RepNormal"/>
        <w:keepNext/>
      </w:pPr>
    </w:p>
    <w:p w14:paraId="4A769E3D" w14:textId="77777777" w:rsidR="00C873C1" w:rsidRDefault="00C873C1" w:rsidP="00C873C1">
      <w:pPr>
        <w:pStyle w:val="RepNormal"/>
      </w:pPr>
      <w:r w:rsidRPr="004D21E4">
        <w:t xml:space="preserve">Data are presented in Appendix </w:t>
      </w:r>
      <w:r>
        <w:t>7</w:t>
      </w:r>
      <w:r w:rsidRPr="004D21E4">
        <w:t>.</w:t>
      </w:r>
    </w:p>
    <w:p w14:paraId="43A15BFB" w14:textId="77777777" w:rsidR="00C873C1" w:rsidRDefault="00C873C1" w:rsidP="00C873C1">
      <w:pPr>
        <w:pStyle w:val="RepNormal"/>
        <w:keepNext/>
      </w:pPr>
    </w:p>
    <w:p w14:paraId="20529383" w14:textId="77777777" w:rsidR="00EB312F" w:rsidRDefault="00EB312F" w:rsidP="00EB312F">
      <w:pPr>
        <w:pStyle w:val="RepNormal"/>
        <w:keepNext/>
      </w:pPr>
      <w:r>
        <w:t>Each year from Wave 2 to Wave 4, partici</w:t>
      </w:r>
      <w:r w:rsidR="00CD1F83">
        <w:t>pants were re-asked about socio</w:t>
      </w:r>
      <w:r>
        <w:t xml:space="preserve">demographic factors that could have changed in the prior </w:t>
      </w:r>
      <w:r w:rsidR="00886517">
        <w:t>12 months</w:t>
      </w:r>
      <w:r>
        <w:t xml:space="preserve"> (i.e. labour force status, household size, annual personal and household incomes, and individual level of deprivation</w:t>
      </w:r>
      <w:r w:rsidR="002F12D7">
        <w:t>)</w:t>
      </w:r>
      <w:r>
        <w:t xml:space="preserve">.  There were no major differences </w:t>
      </w:r>
      <w:r w:rsidR="002F12D7">
        <w:t>over time</w:t>
      </w:r>
      <w:r>
        <w:t xml:space="preserve"> for </w:t>
      </w:r>
      <w:r w:rsidR="002F12D7">
        <w:t>labour force status and household size</w:t>
      </w:r>
      <w:r>
        <w:t xml:space="preserve">.  </w:t>
      </w:r>
    </w:p>
    <w:p w14:paraId="1AF1CE93" w14:textId="77777777" w:rsidR="00EB312F" w:rsidRDefault="00EB312F" w:rsidP="00EB312F">
      <w:pPr>
        <w:pStyle w:val="RepNormal"/>
      </w:pPr>
    </w:p>
    <w:p w14:paraId="498EA9E7" w14:textId="77777777" w:rsidR="00EB312F" w:rsidRDefault="002F12D7" w:rsidP="00EB312F">
      <w:pPr>
        <w:pStyle w:val="RepNormal"/>
      </w:pPr>
      <w:r>
        <w:t>The proportion of participants with an a</w:t>
      </w:r>
      <w:r w:rsidR="00EB312F">
        <w:t xml:space="preserve">nnual personal income of $20,000 or less </w:t>
      </w:r>
      <w:r>
        <w:t>decreased</w:t>
      </w:r>
      <w:r w:rsidR="00EB312F">
        <w:t xml:space="preserve"> over time</w:t>
      </w:r>
      <w:r>
        <w:t xml:space="preserve"> from 33% in Wave 1 to 27% in Wave 3, and then stabilised (26% in Wave 4).  The proportion of participants earning $60,001 to $80,000 incr</w:t>
      </w:r>
      <w:r w:rsidR="001E7F8D">
        <w:t>eased from 11% in Wave 1 to 13% </w:t>
      </w:r>
      <w:r>
        <w:t>in Wave 4.  The proportion of households with an annual income of $100,000 or more, increased from 28% in Wave 1 to 32% in Wave 3 and then stabilised (34% in Wave 4).</w:t>
      </w:r>
    </w:p>
    <w:p w14:paraId="0118EE38" w14:textId="77777777" w:rsidR="002F12D7" w:rsidRDefault="002F12D7" w:rsidP="00EB312F">
      <w:pPr>
        <w:pStyle w:val="RepNormal"/>
      </w:pPr>
    </w:p>
    <w:p w14:paraId="34779204" w14:textId="77777777" w:rsidR="00EB312F" w:rsidRDefault="00B53E24" w:rsidP="00EB312F">
      <w:pPr>
        <w:pStyle w:val="RepNormal"/>
      </w:pPr>
      <w:r>
        <w:t>The percentage of participants without deprivation increased from 57% in Wave 1 to 64% in Wave 3 and then stabilised (67% in Wave 4).  Conversely, the percentage of participants with one, two, four or five individual deprivation factors reduced over time.</w:t>
      </w:r>
    </w:p>
    <w:p w14:paraId="6A297BB8" w14:textId="77777777" w:rsidR="00B53E24" w:rsidRDefault="00B53E24" w:rsidP="00EB312F">
      <w:pPr>
        <w:pStyle w:val="RepNormal"/>
      </w:pPr>
    </w:p>
    <w:p w14:paraId="547C2622" w14:textId="77777777" w:rsidR="002678F6" w:rsidRDefault="002678F6" w:rsidP="000D1CF7">
      <w:pPr>
        <w:pStyle w:val="RepNormal"/>
      </w:pPr>
    </w:p>
    <w:p w14:paraId="39CFD83E" w14:textId="77777777" w:rsidR="00B53E24" w:rsidRPr="00084361" w:rsidRDefault="00B53E24" w:rsidP="00B53E24">
      <w:pPr>
        <w:pStyle w:val="RepHead3"/>
      </w:pPr>
      <w:bookmarkStart w:id="62" w:name="_Ref469919939"/>
      <w:bookmarkStart w:id="63" w:name="_Toc504488355"/>
      <w:r>
        <w:t>Gambling participation</w:t>
      </w:r>
      <w:bookmarkEnd w:id="62"/>
      <w:bookmarkEnd w:id="63"/>
    </w:p>
    <w:p w14:paraId="75A79FF5" w14:textId="77777777" w:rsidR="00B53E24" w:rsidRDefault="00B53E24" w:rsidP="000D1CF7">
      <w:pPr>
        <w:pStyle w:val="RepNormal"/>
      </w:pPr>
    </w:p>
    <w:p w14:paraId="3AB06740" w14:textId="77777777" w:rsidR="00DA34B9" w:rsidRPr="00D401C0" w:rsidRDefault="00DA34B9" w:rsidP="00DA34B9">
      <w:pPr>
        <w:pStyle w:val="RepNormal"/>
        <w:rPr>
          <w:b/>
        </w:rPr>
      </w:pPr>
      <w:r w:rsidRPr="001C5AFB">
        <w:rPr>
          <w:b/>
        </w:rPr>
        <w:t>Past year and past month gambling</w:t>
      </w:r>
    </w:p>
    <w:p w14:paraId="1C75D5CC" w14:textId="77777777" w:rsidR="00DA34B9" w:rsidRDefault="00DA34B9" w:rsidP="00DA34B9">
      <w:pPr>
        <w:pStyle w:val="RepNormal"/>
        <w:rPr>
          <w:highlight w:val="cyan"/>
        </w:rPr>
      </w:pPr>
    </w:p>
    <w:p w14:paraId="6F97BAE3" w14:textId="77777777" w:rsidR="00C873C1" w:rsidRDefault="00C873C1" w:rsidP="00DA34B9">
      <w:pPr>
        <w:pStyle w:val="RepNormal"/>
      </w:pPr>
      <w:r>
        <w:t>Data are presented in Appendix 8.</w:t>
      </w:r>
    </w:p>
    <w:p w14:paraId="2AE9971E" w14:textId="77777777" w:rsidR="00C873C1" w:rsidRDefault="00C873C1" w:rsidP="00DA34B9">
      <w:pPr>
        <w:pStyle w:val="RepNormal"/>
      </w:pPr>
    </w:p>
    <w:p w14:paraId="5E572F17" w14:textId="77777777" w:rsidR="00DA34B9" w:rsidRDefault="00DA34B9" w:rsidP="00DA34B9">
      <w:pPr>
        <w:pStyle w:val="RepNormal"/>
      </w:pPr>
      <w:r w:rsidRPr="004D21E4">
        <w:t>G</w:t>
      </w:r>
      <w:r>
        <w:t xml:space="preserve">ambling participation was assessed as gambling on a particular activity at least once in the past year, or at least once in the past month.  </w:t>
      </w:r>
    </w:p>
    <w:p w14:paraId="51B67359" w14:textId="77777777" w:rsidR="00DA34B9" w:rsidRPr="004D21E4" w:rsidRDefault="00DA34B9" w:rsidP="00DA34B9">
      <w:pPr>
        <w:pStyle w:val="RepNormal"/>
      </w:pPr>
    </w:p>
    <w:p w14:paraId="5F74100C" w14:textId="77777777" w:rsidR="00DA34B9" w:rsidRDefault="00DA34B9" w:rsidP="00DA34B9">
      <w:pPr>
        <w:pStyle w:val="RepNormal"/>
      </w:pPr>
    </w:p>
    <w:p w14:paraId="029879B9" w14:textId="77777777" w:rsidR="00DA34B9" w:rsidRDefault="00DA34B9" w:rsidP="00DA34B9">
      <w:pPr>
        <w:pStyle w:val="RepNormal"/>
      </w:pPr>
      <w:r>
        <w:rPr>
          <w:u w:val="single"/>
        </w:rPr>
        <w:t>Past year gambling</w:t>
      </w:r>
    </w:p>
    <w:p w14:paraId="2E826E1F" w14:textId="77777777" w:rsidR="00DA34B9" w:rsidRDefault="00DA34B9" w:rsidP="00DA34B9">
      <w:pPr>
        <w:pStyle w:val="RepNormal"/>
      </w:pPr>
    </w:p>
    <w:p w14:paraId="5CC772C7" w14:textId="77777777" w:rsidR="00DA34B9" w:rsidRDefault="00E3129B" w:rsidP="00DA34B9">
      <w:pPr>
        <w:pStyle w:val="RepNormal"/>
      </w:pPr>
      <w:r>
        <w:t>In Wave 4, the most popular gambling activit</w:t>
      </w:r>
      <w:r w:rsidR="00A24222">
        <w:t>ies</w:t>
      </w:r>
      <w:r>
        <w:t xml:space="preserve"> for past year participation </w:t>
      </w:r>
      <w:r w:rsidR="00A24222">
        <w:t>were</w:t>
      </w:r>
      <w:r>
        <w:t xml:space="preserve"> Lotto (56%), raffles or lotteries (45%), Instant Kiwi or other scratch tickets (30%), and bets with friends or workmates (13%).  Participation in each of the other gambling activities was less than 10%.  These findings were similar to those noted in prior waves.  However, s</w:t>
      </w:r>
      <w:r w:rsidR="00DA34B9">
        <w:t xml:space="preserve">ome changes in </w:t>
      </w:r>
      <w:r>
        <w:t xml:space="preserve">past year </w:t>
      </w:r>
      <w:r w:rsidR="00DA34B9">
        <w:t>gambling participation were apparent over time</w:t>
      </w:r>
      <w:r w:rsidR="00827201">
        <w:t xml:space="preserve"> (</w:t>
      </w:r>
      <w:r w:rsidR="00827201">
        <w:fldChar w:fldCharType="begin"/>
      </w:r>
      <w:r w:rsidR="00827201">
        <w:instrText xml:space="preserve"> REF _Ref495413085 \h </w:instrText>
      </w:r>
      <w:r w:rsidR="00827201">
        <w:fldChar w:fldCharType="separate"/>
      </w:r>
      <w:r w:rsidR="00D5752E" w:rsidRPr="00485FA0">
        <w:t xml:space="preserve">Figure </w:t>
      </w:r>
      <w:r w:rsidR="00D5752E">
        <w:rPr>
          <w:noProof/>
        </w:rPr>
        <w:t>4</w:t>
      </w:r>
      <w:r w:rsidR="00827201">
        <w:fldChar w:fldCharType="end"/>
      </w:r>
      <w:r w:rsidR="00827201">
        <w:t>)</w:t>
      </w:r>
      <w:r w:rsidR="00DA34B9">
        <w:t>.</w:t>
      </w:r>
    </w:p>
    <w:p w14:paraId="6A8B3321" w14:textId="77777777" w:rsidR="00DA34B9" w:rsidRDefault="00DA34B9" w:rsidP="00DA34B9">
      <w:pPr>
        <w:pStyle w:val="RepNormal"/>
      </w:pPr>
    </w:p>
    <w:p w14:paraId="793555F9" w14:textId="77777777" w:rsidR="00DA34B9" w:rsidRDefault="00DA34B9" w:rsidP="00C873C1">
      <w:pPr>
        <w:pStyle w:val="RepNormal"/>
        <w:keepNext/>
      </w:pPr>
      <w:r>
        <w:t xml:space="preserve">A </w:t>
      </w:r>
      <w:r w:rsidRPr="000D4358">
        <w:rPr>
          <w:i/>
        </w:rPr>
        <w:t>decrease</w:t>
      </w:r>
      <w:r>
        <w:t xml:space="preserve"> in participation from Wave 1 to Wave 4 was noted for the following gambling activities:</w:t>
      </w:r>
    </w:p>
    <w:p w14:paraId="0E301B42" w14:textId="77777777" w:rsidR="00DA34B9" w:rsidRDefault="00DA34B9" w:rsidP="00DD2ADA">
      <w:pPr>
        <w:pStyle w:val="RepNormal"/>
        <w:keepNext/>
        <w:numPr>
          <w:ilvl w:val="0"/>
          <w:numId w:val="35"/>
        </w:numPr>
      </w:pPr>
      <w:r>
        <w:t xml:space="preserve">Card games </w:t>
      </w:r>
      <w:r w:rsidR="00661CF6">
        <w:t>(4.2% in Wave 1, 2.6% in Wave 4)</w:t>
      </w:r>
    </w:p>
    <w:p w14:paraId="669278BC" w14:textId="77777777" w:rsidR="00661CF6" w:rsidRDefault="00661CF6" w:rsidP="00DD2ADA">
      <w:pPr>
        <w:pStyle w:val="RepNormal"/>
        <w:numPr>
          <w:ilvl w:val="0"/>
          <w:numId w:val="35"/>
        </w:numPr>
      </w:pPr>
      <w:r>
        <w:t>Text game or competition (2.7% in Wave 1, 1.3% in Wave 4)</w:t>
      </w:r>
    </w:p>
    <w:p w14:paraId="1C2EA242" w14:textId="77777777" w:rsidR="00661CF6" w:rsidRDefault="00661CF6" w:rsidP="00DD2ADA">
      <w:pPr>
        <w:pStyle w:val="RepNormal"/>
        <w:numPr>
          <w:ilvl w:val="0"/>
          <w:numId w:val="35"/>
        </w:numPr>
      </w:pPr>
      <w:r>
        <w:t>Lotto (62% in Wave 1, 56% in Wave 4)</w:t>
      </w:r>
    </w:p>
    <w:p w14:paraId="44138F46" w14:textId="77777777" w:rsidR="00661CF6" w:rsidRDefault="00661CF6" w:rsidP="00DD2ADA">
      <w:pPr>
        <w:pStyle w:val="RepNormal"/>
        <w:numPr>
          <w:ilvl w:val="0"/>
          <w:numId w:val="35"/>
        </w:numPr>
      </w:pPr>
      <w:r>
        <w:t>Keno (2.8% in Wave 1, 1.8% in Wave 4)</w:t>
      </w:r>
    </w:p>
    <w:p w14:paraId="3D6C4D57" w14:textId="77777777" w:rsidR="00661CF6" w:rsidRDefault="00661CF6" w:rsidP="00DD2ADA">
      <w:pPr>
        <w:pStyle w:val="RepNormal"/>
        <w:numPr>
          <w:ilvl w:val="0"/>
          <w:numId w:val="35"/>
        </w:numPr>
      </w:pPr>
      <w:r>
        <w:t>Overseas casino table games/EGMs (3.6% in Wave 1, 2.2% in Wave 4)</w:t>
      </w:r>
    </w:p>
    <w:p w14:paraId="7EDFE56F" w14:textId="77777777" w:rsidR="00661CF6" w:rsidRDefault="00661CF6" w:rsidP="00DD2ADA">
      <w:pPr>
        <w:pStyle w:val="RepNormal"/>
        <w:numPr>
          <w:ilvl w:val="0"/>
          <w:numId w:val="35"/>
        </w:numPr>
      </w:pPr>
      <w:r>
        <w:t>New Zealand casino table games/EGMs (9.4% in Wave 1, 6.6% in Wave 4)</w:t>
      </w:r>
    </w:p>
    <w:p w14:paraId="6E71C390" w14:textId="77777777" w:rsidR="00661CF6" w:rsidRDefault="00FA1B0F" w:rsidP="00DD2ADA">
      <w:pPr>
        <w:pStyle w:val="RepNormal"/>
        <w:numPr>
          <w:ilvl w:val="0"/>
          <w:numId w:val="35"/>
        </w:numPr>
      </w:pPr>
      <w:r>
        <w:t>New Zealand casino EGMs (8.3% in Wave 1, 5.9% in Wave 4)</w:t>
      </w:r>
    </w:p>
    <w:p w14:paraId="1D686F6A" w14:textId="77777777" w:rsidR="00FA1B0F" w:rsidRDefault="00B45469" w:rsidP="00DD2ADA">
      <w:pPr>
        <w:pStyle w:val="RepNormal"/>
        <w:numPr>
          <w:ilvl w:val="0"/>
          <w:numId w:val="35"/>
        </w:numPr>
      </w:pPr>
      <w:r>
        <w:t>Club EGMs</w:t>
      </w:r>
      <w:r w:rsidR="00FA1B0F">
        <w:t xml:space="preserve"> (5.6% in Wave 1, 3.7% in Wave 4)</w:t>
      </w:r>
    </w:p>
    <w:p w14:paraId="4A86F1FA" w14:textId="77777777" w:rsidR="00E3129B" w:rsidRDefault="00E3129B" w:rsidP="00DD2ADA">
      <w:pPr>
        <w:pStyle w:val="RepNormal"/>
        <w:numPr>
          <w:ilvl w:val="0"/>
          <w:numId w:val="35"/>
        </w:numPr>
      </w:pPr>
      <w:r>
        <w:t>Overall overseas internet gambling (1.7% in Wave 1, 0.7% in Wave 4).</w:t>
      </w:r>
    </w:p>
    <w:p w14:paraId="35FDCDB3" w14:textId="77777777" w:rsidR="00DA34B9" w:rsidRDefault="00DA34B9" w:rsidP="00661CF6">
      <w:pPr>
        <w:pStyle w:val="RepNormal"/>
      </w:pPr>
    </w:p>
    <w:p w14:paraId="64C9299C" w14:textId="77777777" w:rsidR="00661CF6" w:rsidRDefault="00661CF6" w:rsidP="00661CF6">
      <w:pPr>
        <w:pStyle w:val="RepNormal"/>
      </w:pPr>
      <w:r>
        <w:t xml:space="preserve">For </w:t>
      </w:r>
      <w:r w:rsidR="00E3129B">
        <w:t>one</w:t>
      </w:r>
      <w:r>
        <w:t xml:space="preserve"> gambling activit</w:t>
      </w:r>
      <w:r w:rsidR="00E3129B">
        <w:t>y</w:t>
      </w:r>
      <w:r>
        <w:t>, the decreased participation was noted in Wave 3 and maintained in Wave 4:</w:t>
      </w:r>
    </w:p>
    <w:p w14:paraId="144E40DB" w14:textId="77777777" w:rsidR="00661CF6" w:rsidRDefault="00661CF6" w:rsidP="00DD2ADA">
      <w:pPr>
        <w:pStyle w:val="RepNormal"/>
        <w:numPr>
          <w:ilvl w:val="0"/>
          <w:numId w:val="61"/>
        </w:numPr>
      </w:pPr>
      <w:r>
        <w:t>Horse/dog race betting (</w:t>
      </w:r>
      <w:r w:rsidR="00FA1B0F">
        <w:t>11.7%</w:t>
      </w:r>
      <w:r>
        <w:t xml:space="preserve"> </w:t>
      </w:r>
      <w:r w:rsidR="00B15ED2">
        <w:t xml:space="preserve">in </w:t>
      </w:r>
      <w:r>
        <w:t>Wave 1, 9</w:t>
      </w:r>
      <w:r w:rsidR="00796F41">
        <w:t>.4</w:t>
      </w:r>
      <w:r>
        <w:t xml:space="preserve">% </w:t>
      </w:r>
      <w:r w:rsidR="00B15ED2">
        <w:t xml:space="preserve">in </w:t>
      </w:r>
      <w:r>
        <w:t>Wave 3</w:t>
      </w:r>
      <w:r w:rsidR="00796F41">
        <w:t>, 9.2%</w:t>
      </w:r>
      <w:r>
        <w:t xml:space="preserve"> </w:t>
      </w:r>
      <w:r w:rsidR="00B15ED2">
        <w:t xml:space="preserve">in </w:t>
      </w:r>
      <w:r>
        <w:t>Wave 4)</w:t>
      </w:r>
      <w:r w:rsidR="00E3129B">
        <w:t>.</w:t>
      </w:r>
    </w:p>
    <w:p w14:paraId="191ADCB7" w14:textId="77777777" w:rsidR="00661CF6" w:rsidRDefault="00661CF6" w:rsidP="00661CF6">
      <w:pPr>
        <w:pStyle w:val="RepNormal"/>
      </w:pPr>
    </w:p>
    <w:p w14:paraId="36921313" w14:textId="77777777" w:rsidR="00FA1B0F" w:rsidRDefault="00FA1B0F" w:rsidP="00661CF6">
      <w:pPr>
        <w:pStyle w:val="RepNormal"/>
      </w:pPr>
      <w:r>
        <w:t>For other gambling activities, the decreased participation was noted in Wave 2 and maintained in Waves 3 and 4:</w:t>
      </w:r>
    </w:p>
    <w:p w14:paraId="1CF29B64" w14:textId="77777777" w:rsidR="00FA1B0F" w:rsidRDefault="00FA1B0F" w:rsidP="00DD2ADA">
      <w:pPr>
        <w:pStyle w:val="RepNormal"/>
        <w:numPr>
          <w:ilvl w:val="0"/>
          <w:numId w:val="61"/>
        </w:numPr>
      </w:pPr>
      <w:r>
        <w:t xml:space="preserve">Pub EGMs (11.5% </w:t>
      </w:r>
      <w:r w:rsidR="00B15ED2">
        <w:t xml:space="preserve">in </w:t>
      </w:r>
      <w:r>
        <w:t xml:space="preserve">Wave 1, 8.9% </w:t>
      </w:r>
      <w:r w:rsidR="00B15ED2">
        <w:t xml:space="preserve">in </w:t>
      </w:r>
      <w:r>
        <w:t xml:space="preserve">Wave 2, 8.3% </w:t>
      </w:r>
      <w:r w:rsidR="00B15ED2">
        <w:t xml:space="preserve">in </w:t>
      </w:r>
      <w:r>
        <w:t xml:space="preserve">Wave 3, 8.2% </w:t>
      </w:r>
      <w:r w:rsidR="00B15ED2">
        <w:t xml:space="preserve">in </w:t>
      </w:r>
      <w:r>
        <w:t>Wave 4)</w:t>
      </w:r>
    </w:p>
    <w:p w14:paraId="22401CDA" w14:textId="77777777" w:rsidR="00FA1B0F" w:rsidRDefault="00FA1B0F" w:rsidP="00DD2ADA">
      <w:pPr>
        <w:pStyle w:val="RepNormal"/>
        <w:numPr>
          <w:ilvl w:val="0"/>
          <w:numId w:val="61"/>
        </w:numPr>
      </w:pPr>
      <w:r>
        <w:t xml:space="preserve">EGMs overall (17.6% </w:t>
      </w:r>
      <w:r w:rsidR="00B15ED2">
        <w:t xml:space="preserve">in </w:t>
      </w:r>
      <w:r>
        <w:t xml:space="preserve">Wave 1, </w:t>
      </w:r>
      <w:r w:rsidR="00E3129B">
        <w:t xml:space="preserve">14.1% </w:t>
      </w:r>
      <w:r w:rsidR="00B15ED2">
        <w:t xml:space="preserve">in </w:t>
      </w:r>
      <w:r w:rsidR="00E3129B">
        <w:t xml:space="preserve">Wave 2, 13.6% </w:t>
      </w:r>
      <w:r w:rsidR="00B15ED2">
        <w:t xml:space="preserve">in </w:t>
      </w:r>
      <w:r w:rsidR="00E3129B">
        <w:t xml:space="preserve">Wave 3, 12.8% </w:t>
      </w:r>
      <w:r w:rsidR="00B15ED2">
        <w:t>in Wave </w:t>
      </w:r>
      <w:r w:rsidR="00E3129B">
        <w:t>4).</w:t>
      </w:r>
    </w:p>
    <w:p w14:paraId="109FA2A7" w14:textId="77777777" w:rsidR="00FA1B0F" w:rsidRDefault="00FA1B0F" w:rsidP="00661CF6">
      <w:pPr>
        <w:pStyle w:val="RepNormal"/>
      </w:pPr>
    </w:p>
    <w:p w14:paraId="572F90C5" w14:textId="77777777" w:rsidR="00AF140B" w:rsidRPr="00E471E8" w:rsidRDefault="00AF140B" w:rsidP="00AF140B">
      <w:pPr>
        <w:pStyle w:val="Caption"/>
        <w:keepNext/>
        <w:rPr>
          <w:sz w:val="22"/>
        </w:rPr>
      </w:pPr>
      <w:bookmarkStart w:id="64" w:name="_Ref495413085"/>
      <w:bookmarkStart w:id="65" w:name="_Toc504486433"/>
      <w:r w:rsidRPr="00485FA0">
        <w:rPr>
          <w:sz w:val="22"/>
        </w:rPr>
        <w:t xml:space="preserve">Figure </w:t>
      </w:r>
      <w:r w:rsidRPr="00485FA0">
        <w:rPr>
          <w:sz w:val="22"/>
        </w:rPr>
        <w:fldChar w:fldCharType="begin"/>
      </w:r>
      <w:r w:rsidRPr="00485FA0">
        <w:rPr>
          <w:sz w:val="22"/>
        </w:rPr>
        <w:instrText xml:space="preserve"> SEQ Figure \* ARABIC </w:instrText>
      </w:r>
      <w:r w:rsidRPr="00485FA0">
        <w:rPr>
          <w:sz w:val="22"/>
        </w:rPr>
        <w:fldChar w:fldCharType="separate"/>
      </w:r>
      <w:r w:rsidR="00D5752E">
        <w:rPr>
          <w:noProof/>
          <w:sz w:val="22"/>
        </w:rPr>
        <w:t>4</w:t>
      </w:r>
      <w:r w:rsidRPr="00485FA0">
        <w:rPr>
          <w:noProof/>
          <w:sz w:val="22"/>
        </w:rPr>
        <w:fldChar w:fldCharType="end"/>
      </w:r>
      <w:bookmarkEnd w:id="64"/>
      <w:r w:rsidRPr="00485FA0">
        <w:rPr>
          <w:sz w:val="22"/>
        </w:rPr>
        <w:t xml:space="preserve">: </w:t>
      </w:r>
      <w:r w:rsidR="005213B2">
        <w:rPr>
          <w:sz w:val="22"/>
        </w:rPr>
        <w:t>P</w:t>
      </w:r>
      <w:r w:rsidR="00827201" w:rsidRPr="00485FA0">
        <w:rPr>
          <w:sz w:val="22"/>
        </w:rPr>
        <w:t xml:space="preserve">ast year gambling participation by activity </w:t>
      </w:r>
      <w:r w:rsidR="00B15ED2">
        <w:rPr>
          <w:sz w:val="22"/>
        </w:rPr>
        <w:t>across Waves 1 to 4</w:t>
      </w:r>
      <w:bookmarkEnd w:id="65"/>
    </w:p>
    <w:p w14:paraId="56D1C6EF" w14:textId="77777777" w:rsidR="00DA34B9" w:rsidRDefault="00485FA0" w:rsidP="00DA34B9">
      <w:pPr>
        <w:pStyle w:val="RepNormal"/>
      </w:pPr>
      <w:r>
        <w:rPr>
          <w:noProof/>
          <w:lang w:eastAsia="en-NZ"/>
        </w:rPr>
        <w:drawing>
          <wp:inline distT="0" distB="0" distL="0" distR="0" wp14:anchorId="4C079309" wp14:editId="59A093F7">
            <wp:extent cx="5263763" cy="4736415"/>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5911" cy="4747346"/>
                    </a:xfrm>
                    <a:prstGeom prst="rect">
                      <a:avLst/>
                    </a:prstGeom>
                    <a:noFill/>
                  </pic:spPr>
                </pic:pic>
              </a:graphicData>
            </a:graphic>
          </wp:inline>
        </w:drawing>
      </w:r>
    </w:p>
    <w:p w14:paraId="1562898E" w14:textId="77777777" w:rsidR="00166C6E" w:rsidRDefault="00166C6E" w:rsidP="00AB3B09">
      <w:pPr>
        <w:pStyle w:val="RepNormal"/>
        <w:keepNext/>
        <w:rPr>
          <w:u w:val="single"/>
        </w:rPr>
      </w:pPr>
    </w:p>
    <w:p w14:paraId="48C991D8" w14:textId="77777777" w:rsidR="00DA34B9" w:rsidRDefault="00DA34B9" w:rsidP="00AB3B09">
      <w:pPr>
        <w:pStyle w:val="RepNormal"/>
        <w:keepNext/>
      </w:pPr>
      <w:r>
        <w:rPr>
          <w:u w:val="single"/>
        </w:rPr>
        <w:t>Past month gambling</w:t>
      </w:r>
    </w:p>
    <w:p w14:paraId="77ECEF32" w14:textId="77777777" w:rsidR="00DA34B9" w:rsidRDefault="00DA34B9" w:rsidP="00AB3B09">
      <w:pPr>
        <w:pStyle w:val="RepNormal"/>
        <w:keepNext/>
      </w:pPr>
    </w:p>
    <w:p w14:paraId="57A1484D" w14:textId="77777777" w:rsidR="00E3129B" w:rsidRDefault="00E3129B" w:rsidP="00AB3B09">
      <w:pPr>
        <w:pStyle w:val="RepNormal"/>
        <w:keepNext/>
      </w:pPr>
      <w:r>
        <w:t>In Wave 4, the most popular gambling activit</w:t>
      </w:r>
      <w:r w:rsidR="00C52827">
        <w:t>ies</w:t>
      </w:r>
      <w:r>
        <w:t xml:space="preserve"> for past month participation </w:t>
      </w:r>
      <w:r w:rsidR="00C52827">
        <w:t>were</w:t>
      </w:r>
      <w:r>
        <w:t xml:space="preserve"> Lotto (30%), Instant Kiwi or other scratch tickets (</w:t>
      </w:r>
      <w:r w:rsidR="00836FD9">
        <w:t>8.6</w:t>
      </w:r>
      <w:r>
        <w:t>%), and raffles or lotteries (</w:t>
      </w:r>
      <w:r w:rsidR="00836FD9">
        <w:t>7.</w:t>
      </w:r>
      <w:r>
        <w:t>8%).  Participation in each of the other gambling activities was less than three percent.  These findings were similar to those noted in prior waves.  However, some changes in past month gambling participation were apparent over time</w:t>
      </w:r>
      <w:r w:rsidR="00485FA0">
        <w:t xml:space="preserve"> (</w:t>
      </w:r>
      <w:r w:rsidR="00485FA0">
        <w:fldChar w:fldCharType="begin"/>
      </w:r>
      <w:r w:rsidR="00485FA0">
        <w:instrText xml:space="preserve"> REF _Ref495493028 \h </w:instrText>
      </w:r>
      <w:r w:rsidR="00485FA0">
        <w:fldChar w:fldCharType="separate"/>
      </w:r>
      <w:r w:rsidR="00D5752E" w:rsidRPr="00485FA0">
        <w:t xml:space="preserve">Figure </w:t>
      </w:r>
      <w:r w:rsidR="00D5752E">
        <w:rPr>
          <w:noProof/>
        </w:rPr>
        <w:t>5</w:t>
      </w:r>
      <w:r w:rsidR="00485FA0">
        <w:fldChar w:fldCharType="end"/>
      </w:r>
      <w:r w:rsidR="00485FA0">
        <w:t>)</w:t>
      </w:r>
      <w:r>
        <w:t>.</w:t>
      </w:r>
    </w:p>
    <w:p w14:paraId="615F849E" w14:textId="77777777" w:rsidR="00E3129B" w:rsidRPr="004D21E4" w:rsidRDefault="00E3129B" w:rsidP="00E3129B">
      <w:pPr>
        <w:pStyle w:val="RepNormal"/>
      </w:pPr>
    </w:p>
    <w:p w14:paraId="286F88A7" w14:textId="77777777" w:rsidR="00E3129B" w:rsidRDefault="00E3129B" w:rsidP="00E3129B">
      <w:pPr>
        <w:pStyle w:val="RepNormal"/>
      </w:pPr>
      <w:r>
        <w:t xml:space="preserve">A </w:t>
      </w:r>
      <w:r w:rsidRPr="000D4358">
        <w:rPr>
          <w:i/>
        </w:rPr>
        <w:t>decrease</w:t>
      </w:r>
      <w:r>
        <w:t xml:space="preserve"> in participation from Wave 1 to Wave 4 was noted for the following gambling activities:</w:t>
      </w:r>
    </w:p>
    <w:p w14:paraId="59DA2DAE" w14:textId="77777777" w:rsidR="00E3129B" w:rsidRDefault="00E3129B" w:rsidP="00DD2ADA">
      <w:pPr>
        <w:pStyle w:val="RepNormal"/>
        <w:numPr>
          <w:ilvl w:val="0"/>
          <w:numId w:val="35"/>
        </w:numPr>
      </w:pPr>
      <w:r>
        <w:t>Lotto (</w:t>
      </w:r>
      <w:r w:rsidR="009701AF">
        <w:t>35</w:t>
      </w:r>
      <w:r>
        <w:t xml:space="preserve">% in Wave 1, </w:t>
      </w:r>
      <w:r w:rsidR="009701AF">
        <w:t>30</w:t>
      </w:r>
      <w:r>
        <w:t>% in Wave 4)</w:t>
      </w:r>
    </w:p>
    <w:p w14:paraId="22176333" w14:textId="77777777" w:rsidR="00E3129B" w:rsidRDefault="00E3129B" w:rsidP="00DD2ADA">
      <w:pPr>
        <w:pStyle w:val="RepNormal"/>
        <w:numPr>
          <w:ilvl w:val="0"/>
          <w:numId w:val="35"/>
        </w:numPr>
      </w:pPr>
      <w:r>
        <w:t>New Zealand casino table games/EGMs (</w:t>
      </w:r>
      <w:r w:rsidR="009701AF">
        <w:t>0.9</w:t>
      </w:r>
      <w:r>
        <w:t xml:space="preserve">% in Wave 1, </w:t>
      </w:r>
      <w:r w:rsidR="009701AF">
        <w:t>0.3</w:t>
      </w:r>
      <w:r>
        <w:t>% in Wave 4)</w:t>
      </w:r>
    </w:p>
    <w:p w14:paraId="76456015" w14:textId="77777777" w:rsidR="00E3129B" w:rsidRDefault="00E3129B" w:rsidP="00DD2ADA">
      <w:pPr>
        <w:pStyle w:val="RepNormal"/>
        <w:numPr>
          <w:ilvl w:val="0"/>
          <w:numId w:val="35"/>
        </w:numPr>
      </w:pPr>
      <w:r>
        <w:t>New Zealand casino EGMs (</w:t>
      </w:r>
      <w:r w:rsidR="009701AF">
        <w:t>0.9</w:t>
      </w:r>
      <w:r>
        <w:t xml:space="preserve">% in Wave 1, </w:t>
      </w:r>
      <w:r w:rsidR="009701AF">
        <w:t>0.3</w:t>
      </w:r>
      <w:r>
        <w:t>% in Wave 4)</w:t>
      </w:r>
    </w:p>
    <w:p w14:paraId="5E840D8C" w14:textId="77777777" w:rsidR="00E3129B" w:rsidRDefault="009701AF" w:rsidP="00DD2ADA">
      <w:pPr>
        <w:pStyle w:val="RepNormal"/>
        <w:numPr>
          <w:ilvl w:val="0"/>
          <w:numId w:val="35"/>
        </w:numPr>
      </w:pPr>
      <w:r>
        <w:t>Pub</w:t>
      </w:r>
      <w:r w:rsidR="00E3129B">
        <w:t xml:space="preserve"> EGMS (</w:t>
      </w:r>
      <w:r>
        <w:t>3.4</w:t>
      </w:r>
      <w:r w:rsidR="00E3129B">
        <w:t xml:space="preserve">% in Wave 1, </w:t>
      </w:r>
      <w:r>
        <w:t>2.2</w:t>
      </w:r>
      <w:r w:rsidR="00E3129B">
        <w:t>% in Wave 4)</w:t>
      </w:r>
      <w:r>
        <w:t>.</w:t>
      </w:r>
    </w:p>
    <w:p w14:paraId="0B08A0E2" w14:textId="77777777" w:rsidR="00E3129B" w:rsidRDefault="00E3129B" w:rsidP="00E3129B">
      <w:pPr>
        <w:pStyle w:val="RepNormal"/>
      </w:pPr>
    </w:p>
    <w:p w14:paraId="6510BC97" w14:textId="77777777" w:rsidR="00E3129B" w:rsidRDefault="00E3129B" w:rsidP="00E3129B">
      <w:pPr>
        <w:pStyle w:val="RepNormal"/>
      </w:pPr>
      <w:r>
        <w:t xml:space="preserve">For </w:t>
      </w:r>
      <w:r w:rsidR="009701AF">
        <w:t>some</w:t>
      </w:r>
      <w:r>
        <w:t xml:space="preserve"> gambling activit</w:t>
      </w:r>
      <w:r w:rsidR="009701AF">
        <w:t>ies</w:t>
      </w:r>
      <w:r>
        <w:t>, the decreased participation was noted in Wave 3 and maintained in Wave 4:</w:t>
      </w:r>
    </w:p>
    <w:p w14:paraId="4E1FD96D" w14:textId="77777777" w:rsidR="00E3129B" w:rsidRDefault="00E3129B" w:rsidP="00DD2ADA">
      <w:pPr>
        <w:pStyle w:val="RepNormal"/>
        <w:numPr>
          <w:ilvl w:val="0"/>
          <w:numId w:val="61"/>
        </w:numPr>
      </w:pPr>
      <w:r>
        <w:t>New Zealand/overseas raffle/lottery (</w:t>
      </w:r>
      <w:r w:rsidR="009701AF">
        <w:t>10.9</w:t>
      </w:r>
      <w:r>
        <w:t xml:space="preserve">% </w:t>
      </w:r>
      <w:r w:rsidR="00E43D2B">
        <w:t xml:space="preserve">in </w:t>
      </w:r>
      <w:r>
        <w:t xml:space="preserve">Wave 1, </w:t>
      </w:r>
      <w:r w:rsidR="009701AF">
        <w:t>8.7</w:t>
      </w:r>
      <w:r>
        <w:t xml:space="preserve">% </w:t>
      </w:r>
      <w:r w:rsidR="00E43D2B">
        <w:t xml:space="preserve">in </w:t>
      </w:r>
      <w:r>
        <w:t xml:space="preserve">Wave 3, </w:t>
      </w:r>
      <w:r w:rsidR="009701AF">
        <w:t>7.8</w:t>
      </w:r>
      <w:r>
        <w:t xml:space="preserve">% </w:t>
      </w:r>
      <w:r w:rsidR="00E43D2B">
        <w:t>in Wave </w:t>
      </w:r>
      <w:r>
        <w:t>4)</w:t>
      </w:r>
    </w:p>
    <w:p w14:paraId="36E50C01" w14:textId="77777777" w:rsidR="009701AF" w:rsidRDefault="009701AF" w:rsidP="00DD2ADA">
      <w:pPr>
        <w:pStyle w:val="RepNormal"/>
        <w:numPr>
          <w:ilvl w:val="0"/>
          <w:numId w:val="61"/>
        </w:numPr>
      </w:pPr>
      <w:r>
        <w:t xml:space="preserve">Instant Kiwi/other scratch tickets (12.0% </w:t>
      </w:r>
      <w:r w:rsidR="00E43D2B">
        <w:t xml:space="preserve">in </w:t>
      </w:r>
      <w:r>
        <w:t xml:space="preserve">Wave 1, 9.5% </w:t>
      </w:r>
      <w:r w:rsidR="00E43D2B">
        <w:t xml:space="preserve">in </w:t>
      </w:r>
      <w:r>
        <w:t xml:space="preserve">Wave 3, 8.6% </w:t>
      </w:r>
      <w:r w:rsidR="00E43D2B">
        <w:t>in Wave </w:t>
      </w:r>
      <w:r>
        <w:t>4).</w:t>
      </w:r>
    </w:p>
    <w:p w14:paraId="0C0A614D" w14:textId="77777777" w:rsidR="00E3129B" w:rsidRDefault="00E3129B" w:rsidP="00E3129B">
      <w:pPr>
        <w:pStyle w:val="RepNormal"/>
      </w:pPr>
    </w:p>
    <w:p w14:paraId="05437FC6" w14:textId="77777777" w:rsidR="00E3129B" w:rsidRDefault="00E3129B" w:rsidP="00E3129B">
      <w:pPr>
        <w:pStyle w:val="RepNormal"/>
      </w:pPr>
      <w:r>
        <w:t xml:space="preserve">For </w:t>
      </w:r>
      <w:r w:rsidR="009701AF">
        <w:t>one</w:t>
      </w:r>
      <w:r>
        <w:t xml:space="preserve"> gambling activit</w:t>
      </w:r>
      <w:r w:rsidR="009701AF">
        <w:t>y</w:t>
      </w:r>
      <w:r>
        <w:t>, the decreased participation was noted in Wave 2 and maintained in Waves 3 and 4:</w:t>
      </w:r>
    </w:p>
    <w:p w14:paraId="09897645" w14:textId="77777777" w:rsidR="00E3129B" w:rsidRDefault="00E3129B" w:rsidP="00DD2ADA">
      <w:pPr>
        <w:pStyle w:val="RepNormal"/>
        <w:numPr>
          <w:ilvl w:val="0"/>
          <w:numId w:val="61"/>
        </w:numPr>
      </w:pPr>
      <w:r>
        <w:t>EGMs overall (</w:t>
      </w:r>
      <w:r w:rsidR="009701AF">
        <w:t>4.9</w:t>
      </w:r>
      <w:r>
        <w:t xml:space="preserve">% </w:t>
      </w:r>
      <w:r w:rsidR="00E43D2B">
        <w:t xml:space="preserve">in </w:t>
      </w:r>
      <w:r>
        <w:t xml:space="preserve">Wave 1, </w:t>
      </w:r>
      <w:r w:rsidR="009701AF">
        <w:t>3.4</w:t>
      </w:r>
      <w:r>
        <w:t xml:space="preserve">% </w:t>
      </w:r>
      <w:r w:rsidR="00E43D2B">
        <w:t xml:space="preserve">in </w:t>
      </w:r>
      <w:r>
        <w:t xml:space="preserve">Wave 2, </w:t>
      </w:r>
      <w:r w:rsidR="009701AF">
        <w:t>3.5</w:t>
      </w:r>
      <w:r>
        <w:t xml:space="preserve">% </w:t>
      </w:r>
      <w:r w:rsidR="00E43D2B">
        <w:t xml:space="preserve">in </w:t>
      </w:r>
      <w:r>
        <w:t xml:space="preserve">Wave 3, </w:t>
      </w:r>
      <w:r w:rsidR="009701AF">
        <w:t>3.1</w:t>
      </w:r>
      <w:r>
        <w:t xml:space="preserve">% </w:t>
      </w:r>
      <w:r w:rsidR="00E43D2B">
        <w:t xml:space="preserve">in </w:t>
      </w:r>
      <w:r>
        <w:t>Wave 4).</w:t>
      </w:r>
    </w:p>
    <w:p w14:paraId="798AF667" w14:textId="77777777" w:rsidR="00DA34B9" w:rsidRDefault="00DA34B9" w:rsidP="00DA34B9">
      <w:pPr>
        <w:pStyle w:val="RepNormal"/>
      </w:pPr>
    </w:p>
    <w:p w14:paraId="631BB63E" w14:textId="77777777" w:rsidR="003B0E1A" w:rsidRPr="00E471E8" w:rsidRDefault="003B0E1A" w:rsidP="003B0E1A">
      <w:pPr>
        <w:pStyle w:val="Caption"/>
        <w:keepNext/>
        <w:rPr>
          <w:sz w:val="22"/>
        </w:rPr>
      </w:pPr>
      <w:bookmarkStart w:id="66" w:name="_Ref495493028"/>
      <w:bookmarkStart w:id="67" w:name="_Toc504486434"/>
      <w:r w:rsidRPr="00485FA0">
        <w:rPr>
          <w:sz w:val="22"/>
        </w:rPr>
        <w:t xml:space="preserve">Figure </w:t>
      </w:r>
      <w:r w:rsidRPr="00485FA0">
        <w:rPr>
          <w:sz w:val="22"/>
        </w:rPr>
        <w:fldChar w:fldCharType="begin"/>
      </w:r>
      <w:r w:rsidRPr="00485FA0">
        <w:rPr>
          <w:sz w:val="22"/>
        </w:rPr>
        <w:instrText xml:space="preserve"> SEQ Figure \* ARABIC </w:instrText>
      </w:r>
      <w:r w:rsidRPr="00485FA0">
        <w:rPr>
          <w:sz w:val="22"/>
        </w:rPr>
        <w:fldChar w:fldCharType="separate"/>
      </w:r>
      <w:r w:rsidR="00D5752E">
        <w:rPr>
          <w:noProof/>
          <w:sz w:val="22"/>
        </w:rPr>
        <w:t>5</w:t>
      </w:r>
      <w:r w:rsidRPr="00485FA0">
        <w:rPr>
          <w:noProof/>
          <w:sz w:val="22"/>
        </w:rPr>
        <w:fldChar w:fldCharType="end"/>
      </w:r>
      <w:bookmarkEnd w:id="66"/>
      <w:r w:rsidRPr="00485FA0">
        <w:rPr>
          <w:sz w:val="22"/>
        </w:rPr>
        <w:t xml:space="preserve">: </w:t>
      </w:r>
      <w:r w:rsidR="005213B2">
        <w:rPr>
          <w:sz w:val="22"/>
        </w:rPr>
        <w:t>P</w:t>
      </w:r>
      <w:r w:rsidRPr="00485FA0">
        <w:rPr>
          <w:sz w:val="22"/>
        </w:rPr>
        <w:t>ast month gam</w:t>
      </w:r>
      <w:r w:rsidR="005213B2">
        <w:rPr>
          <w:sz w:val="22"/>
        </w:rPr>
        <w:t>bling participation by activity</w:t>
      </w:r>
      <w:r w:rsidRPr="00485FA0">
        <w:rPr>
          <w:sz w:val="22"/>
        </w:rPr>
        <w:t xml:space="preserve"> </w:t>
      </w:r>
      <w:r w:rsidR="00E43D2B">
        <w:rPr>
          <w:sz w:val="22"/>
        </w:rPr>
        <w:t>across Waves 1 to 4</w:t>
      </w:r>
      <w:bookmarkEnd w:id="67"/>
    </w:p>
    <w:p w14:paraId="392B46DC" w14:textId="77777777" w:rsidR="003B0E1A" w:rsidRPr="004D21E4" w:rsidRDefault="00485FA0" w:rsidP="00DA34B9">
      <w:pPr>
        <w:pStyle w:val="RepNormal"/>
      </w:pPr>
      <w:r>
        <w:rPr>
          <w:noProof/>
          <w:lang w:eastAsia="en-NZ"/>
        </w:rPr>
        <w:drawing>
          <wp:inline distT="0" distB="0" distL="0" distR="0" wp14:anchorId="00595775" wp14:editId="7E7CC61E">
            <wp:extent cx="5135841" cy="4317558"/>
            <wp:effectExtent l="0" t="0" r="825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71924" cy="4347892"/>
                    </a:xfrm>
                    <a:prstGeom prst="rect">
                      <a:avLst/>
                    </a:prstGeom>
                    <a:noFill/>
                  </pic:spPr>
                </pic:pic>
              </a:graphicData>
            </a:graphic>
          </wp:inline>
        </w:drawing>
      </w:r>
    </w:p>
    <w:p w14:paraId="4C4A33B2" w14:textId="77777777" w:rsidR="00B53E24" w:rsidRPr="00492CE9" w:rsidRDefault="00492CE9" w:rsidP="000D1CF7">
      <w:pPr>
        <w:pStyle w:val="RepNormal"/>
        <w:rPr>
          <w:b/>
        </w:rPr>
      </w:pPr>
      <w:r>
        <w:rPr>
          <w:b/>
        </w:rPr>
        <w:t>Gambling behaviour</w:t>
      </w:r>
    </w:p>
    <w:p w14:paraId="55AE2255" w14:textId="77777777" w:rsidR="00B53E24" w:rsidRDefault="00B53E24" w:rsidP="000D1CF7">
      <w:pPr>
        <w:pStyle w:val="RepNormal"/>
      </w:pPr>
    </w:p>
    <w:p w14:paraId="1467FB96" w14:textId="77777777" w:rsidR="001650FB" w:rsidRDefault="001650FB" w:rsidP="001650FB">
      <w:pPr>
        <w:pStyle w:val="RepNormal"/>
      </w:pPr>
      <w:r>
        <w:t xml:space="preserve">Data are presented in Appendix 9.  </w:t>
      </w:r>
    </w:p>
    <w:p w14:paraId="742B61C3" w14:textId="77777777" w:rsidR="001650FB" w:rsidRDefault="001650FB" w:rsidP="00411D8E">
      <w:pPr>
        <w:pStyle w:val="RepNormal"/>
      </w:pPr>
    </w:p>
    <w:p w14:paraId="3F525F7D" w14:textId="77777777" w:rsidR="00411D8E" w:rsidRDefault="00411D8E" w:rsidP="00411D8E">
      <w:pPr>
        <w:pStyle w:val="RepNormal"/>
      </w:pPr>
      <w:r>
        <w:t xml:space="preserve">In Wave 4, one-quarter of </w:t>
      </w:r>
      <w:r w:rsidR="00C52827">
        <w:t xml:space="preserve">the </w:t>
      </w:r>
      <w:r>
        <w:t xml:space="preserve">participants (25%) had not gambled and about a fifth had each participated in one (23%) or two activities (21%).  Over half (56%) of the participants were infrequent gamblers.  Slightly more than one-quarter (29%) had gambled at least once in the past six months, and just less than one-fifth had gambled either weekly </w:t>
      </w:r>
      <w:r w:rsidR="00480479">
        <w:t>or more often</w:t>
      </w:r>
      <w:r w:rsidR="00FE2F59">
        <w:t>,</w:t>
      </w:r>
      <w:r w:rsidR="00480479">
        <w:t xml:space="preserve"> </w:t>
      </w:r>
      <w:r>
        <w:t>or monthly</w:t>
      </w:r>
      <w:r w:rsidR="00480479">
        <w:t xml:space="preserve"> or more often</w:t>
      </w:r>
      <w:r>
        <w:t xml:space="preserve"> (both 19%).  The greatest proportions spent between $1 to $10, or $11 to $20 on gambling in a typical month (17% and 14% respectively).  The most preferred gambling activity was Lotto (13%).  Half (52%) of the participants usually gambled alone.  These findings were similar to those noted in prior waves, except for the differences detailed below.</w:t>
      </w:r>
    </w:p>
    <w:p w14:paraId="56261CBE" w14:textId="77777777" w:rsidR="00411D8E" w:rsidRDefault="00411D8E" w:rsidP="00411D8E">
      <w:pPr>
        <w:pStyle w:val="RepNormal"/>
      </w:pPr>
    </w:p>
    <w:p w14:paraId="0F29992A" w14:textId="77777777" w:rsidR="00411D8E" w:rsidRDefault="007C46D2" w:rsidP="00411D8E">
      <w:pPr>
        <w:pStyle w:val="RepNormal"/>
      </w:pPr>
      <w:r>
        <w:t>From Wave 1 to Wave 4, there was an increase in the percentage of participants who had not gambled in the past year, from 20% to 25%.</w:t>
      </w:r>
      <w:r w:rsidR="00411D8E" w:rsidRPr="00411D8E">
        <w:t xml:space="preserve"> </w:t>
      </w:r>
      <w:r w:rsidR="00411D8E">
        <w:t xml:space="preserve"> From Wave 1 to Wave 2, a slight </w:t>
      </w:r>
      <w:r w:rsidR="00411D8E" w:rsidRPr="00A91BC6">
        <w:t>decrease</w:t>
      </w:r>
      <w:r w:rsidR="00411D8E">
        <w:t xml:space="preserve"> was noted in the percentage of people participating in </w:t>
      </w:r>
      <w:r w:rsidR="00695FBF">
        <w:t>seven</w:t>
      </w:r>
      <w:r w:rsidR="00411D8E">
        <w:t xml:space="preserve"> to </w:t>
      </w:r>
      <w:r w:rsidR="00695FBF">
        <w:t>nine</w:t>
      </w:r>
      <w:r w:rsidR="00411D8E">
        <w:t xml:space="preserve"> gambling activities in the past year (3.3% </w:t>
      </w:r>
      <w:r w:rsidR="00F158C8">
        <w:t xml:space="preserve">in </w:t>
      </w:r>
      <w:r w:rsidR="00411D8E">
        <w:t xml:space="preserve">Wave 1, 2.0% </w:t>
      </w:r>
      <w:r w:rsidR="00F158C8">
        <w:t xml:space="preserve">in </w:t>
      </w:r>
      <w:r w:rsidR="00411D8E">
        <w:t>Wave 2); this reduction was sub</w:t>
      </w:r>
      <w:r w:rsidR="00695FBF">
        <w:t xml:space="preserve">sequently maintained (2.1% </w:t>
      </w:r>
      <w:r w:rsidR="00F158C8">
        <w:t xml:space="preserve">in </w:t>
      </w:r>
      <w:r w:rsidR="00695FBF">
        <w:t>Wave </w:t>
      </w:r>
      <w:r w:rsidR="00411D8E">
        <w:t>3, 1.5%</w:t>
      </w:r>
      <w:r w:rsidR="003511F6">
        <w:t> </w:t>
      </w:r>
      <w:r w:rsidR="00F158C8">
        <w:t xml:space="preserve">in </w:t>
      </w:r>
      <w:r w:rsidR="00411D8E">
        <w:t xml:space="preserve">Wave 4).  There was also a decrease in the proportion of participants gambling on </w:t>
      </w:r>
      <w:r w:rsidR="00C52827">
        <w:t>four</w:t>
      </w:r>
      <w:r w:rsidR="00411D8E">
        <w:t xml:space="preserve"> to </w:t>
      </w:r>
      <w:r w:rsidR="00C52827">
        <w:t>six</w:t>
      </w:r>
      <w:r w:rsidR="00411D8E">
        <w:t> activities, from 18% in Wave 1 to 14% in Wave 4.</w:t>
      </w:r>
    </w:p>
    <w:p w14:paraId="49E5A890" w14:textId="77777777" w:rsidR="007C46D2" w:rsidRDefault="007C46D2" w:rsidP="007C46D2">
      <w:pPr>
        <w:pStyle w:val="RepNormal"/>
      </w:pPr>
    </w:p>
    <w:p w14:paraId="0A808105" w14:textId="77777777" w:rsidR="00485FA0" w:rsidRDefault="00485FA0" w:rsidP="00485FA0">
      <w:pPr>
        <w:pStyle w:val="RepNormal"/>
      </w:pPr>
      <w:r>
        <w:t xml:space="preserve">There were no differences across the waves for typical monthly gambling expenditure </w:t>
      </w:r>
      <w:r w:rsidR="00F158C8">
        <w:t>n</w:t>
      </w:r>
      <w:r>
        <w:t>or with whom a participant gambled.</w:t>
      </w:r>
    </w:p>
    <w:p w14:paraId="7EE25516" w14:textId="77777777" w:rsidR="00485FA0" w:rsidRDefault="00485FA0" w:rsidP="00485FA0">
      <w:pPr>
        <w:pStyle w:val="RepNormal"/>
      </w:pPr>
    </w:p>
    <w:p w14:paraId="4BE716A4" w14:textId="77777777" w:rsidR="00411D8E" w:rsidRDefault="00411D8E" w:rsidP="007C46D2">
      <w:pPr>
        <w:pStyle w:val="RepNormal"/>
      </w:pPr>
      <w:r>
        <w:t>From Wave 1 to Wave 4, there was a decrease in the percentage of regular non-continuous</w:t>
      </w:r>
      <w:r>
        <w:rPr>
          <w:rStyle w:val="FootnoteReference"/>
        </w:rPr>
        <w:footnoteReference w:id="5"/>
      </w:r>
      <w:r>
        <w:t xml:space="preserve"> gamblers from 16% to 14%.  This finding was probably due to the reduced percentage of participants whose most preferred gambling activity was Lotto, which decreased from 18% in Wave 1 to 13% in Wave 4.</w:t>
      </w:r>
      <w:r w:rsidR="00485FA0">
        <w:t xml:space="preserve">  The percentage of regular continuous gamblers</w:t>
      </w:r>
      <w:r w:rsidR="00A402BC">
        <w:t xml:space="preserve"> was stable fr</w:t>
      </w:r>
      <w:r w:rsidR="00F158C8">
        <w:t>om Wave 1 (6.3%) to Wave 4 (5.0</w:t>
      </w:r>
      <w:r w:rsidR="00A402BC">
        <w:t>%) (</w:t>
      </w:r>
      <w:r w:rsidR="00A402BC">
        <w:fldChar w:fldCharType="begin"/>
      </w:r>
      <w:r w:rsidR="00A402BC">
        <w:instrText xml:space="preserve"> REF _Ref495493270 \h </w:instrText>
      </w:r>
      <w:r w:rsidR="00A402BC">
        <w:fldChar w:fldCharType="separate"/>
      </w:r>
      <w:r w:rsidR="00D5752E" w:rsidRPr="00DE09C6">
        <w:t xml:space="preserve">Figure </w:t>
      </w:r>
      <w:r w:rsidR="00D5752E">
        <w:rPr>
          <w:noProof/>
        </w:rPr>
        <w:t>6</w:t>
      </w:r>
      <w:r w:rsidR="00A402BC">
        <w:fldChar w:fldCharType="end"/>
      </w:r>
      <w:r w:rsidR="00A402BC">
        <w:t>).</w:t>
      </w:r>
    </w:p>
    <w:p w14:paraId="7B5C6FE9" w14:textId="77777777" w:rsidR="00485FA0" w:rsidRDefault="00485FA0" w:rsidP="007C46D2">
      <w:pPr>
        <w:pStyle w:val="RepNormal"/>
      </w:pPr>
    </w:p>
    <w:p w14:paraId="243E31C9" w14:textId="77777777" w:rsidR="00485FA0" w:rsidRPr="00E471E8" w:rsidRDefault="00485FA0" w:rsidP="00485FA0">
      <w:pPr>
        <w:pStyle w:val="Caption"/>
        <w:keepNext/>
        <w:rPr>
          <w:sz w:val="22"/>
        </w:rPr>
      </w:pPr>
      <w:bookmarkStart w:id="68" w:name="_Ref495493270"/>
      <w:bookmarkStart w:id="69" w:name="_Toc504486435"/>
      <w:r w:rsidRPr="00DE09C6">
        <w:rPr>
          <w:sz w:val="22"/>
        </w:rPr>
        <w:t xml:space="preserve">Figure </w:t>
      </w:r>
      <w:r w:rsidRPr="00DE09C6">
        <w:rPr>
          <w:sz w:val="22"/>
        </w:rPr>
        <w:fldChar w:fldCharType="begin"/>
      </w:r>
      <w:r w:rsidRPr="00DE09C6">
        <w:rPr>
          <w:sz w:val="22"/>
        </w:rPr>
        <w:instrText xml:space="preserve"> SEQ Figure \* ARABIC </w:instrText>
      </w:r>
      <w:r w:rsidRPr="00DE09C6">
        <w:rPr>
          <w:sz w:val="22"/>
        </w:rPr>
        <w:fldChar w:fldCharType="separate"/>
      </w:r>
      <w:r w:rsidR="00D5752E">
        <w:rPr>
          <w:noProof/>
          <w:sz w:val="22"/>
        </w:rPr>
        <w:t>6</w:t>
      </w:r>
      <w:r w:rsidRPr="00DE09C6">
        <w:rPr>
          <w:noProof/>
          <w:sz w:val="22"/>
        </w:rPr>
        <w:fldChar w:fldCharType="end"/>
      </w:r>
      <w:bookmarkEnd w:id="68"/>
      <w:r w:rsidRPr="00DE09C6">
        <w:rPr>
          <w:sz w:val="22"/>
        </w:rPr>
        <w:t>: Regular continuous and regular non-continuous gambling, over time</w:t>
      </w:r>
      <w:bookmarkEnd w:id="69"/>
    </w:p>
    <w:p w14:paraId="0108B47B" w14:textId="77777777" w:rsidR="00485FA0" w:rsidRDefault="00DE09C6" w:rsidP="007C46D2">
      <w:pPr>
        <w:pStyle w:val="RepNormal"/>
      </w:pPr>
      <w:r>
        <w:rPr>
          <w:noProof/>
          <w:lang w:eastAsia="en-NZ"/>
        </w:rPr>
        <w:drawing>
          <wp:inline distT="0" distB="0" distL="0" distR="0" wp14:anchorId="13C969F5" wp14:editId="30F2A403">
            <wp:extent cx="3792772" cy="25998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20895" cy="2619175"/>
                    </a:xfrm>
                    <a:prstGeom prst="rect">
                      <a:avLst/>
                    </a:prstGeom>
                    <a:noFill/>
                  </pic:spPr>
                </pic:pic>
              </a:graphicData>
            </a:graphic>
          </wp:inline>
        </w:drawing>
      </w:r>
    </w:p>
    <w:p w14:paraId="46007899" w14:textId="77777777" w:rsidR="00A91BC6" w:rsidRDefault="00A91BC6" w:rsidP="00A402BC">
      <w:pPr>
        <w:pStyle w:val="RepNormal"/>
        <w:keepNext/>
      </w:pPr>
      <w:r>
        <w:rPr>
          <w:u w:val="single"/>
        </w:rPr>
        <w:t>By ethnicity</w:t>
      </w:r>
    </w:p>
    <w:p w14:paraId="1B1F5BFA" w14:textId="77777777" w:rsidR="00A91BC6" w:rsidRDefault="00A91BC6" w:rsidP="00A402BC">
      <w:pPr>
        <w:pStyle w:val="RepNormal"/>
        <w:keepNext/>
      </w:pPr>
    </w:p>
    <w:p w14:paraId="1D185552" w14:textId="49618C5C" w:rsidR="00A91BC6" w:rsidRDefault="00A91BC6" w:rsidP="00A402BC">
      <w:pPr>
        <w:pStyle w:val="RepNormal"/>
        <w:keepNext/>
      </w:pPr>
      <w:r>
        <w:t xml:space="preserve">In Wave 4, </w:t>
      </w:r>
      <w:r w:rsidR="00164D20">
        <w:t xml:space="preserve">gambling </w:t>
      </w:r>
      <w:r w:rsidR="00695FBF">
        <w:t>participation by</w:t>
      </w:r>
      <w:r w:rsidR="00164D20">
        <w:t xml:space="preserve"> Māori participants was </w:t>
      </w:r>
      <w:r w:rsidR="00782307">
        <w:t xml:space="preserve">similar to that of the </w:t>
      </w:r>
      <w:r w:rsidR="00E07CFD">
        <w:t xml:space="preserve">total </w:t>
      </w:r>
      <w:r w:rsidR="00782307" w:rsidRPr="0067291F">
        <w:t xml:space="preserve">population with one exception.  </w:t>
      </w:r>
      <w:r w:rsidR="00166C6E" w:rsidRPr="0067291F">
        <w:t>Fewer</w:t>
      </w:r>
      <w:r w:rsidR="00782307" w:rsidRPr="0067291F">
        <w:t xml:space="preserve"> Māori reported that they did not have a preferred</w:t>
      </w:r>
      <w:r w:rsidR="00782307">
        <w:t xml:space="preserve"> gambling activity (8%) compared with the </w:t>
      </w:r>
      <w:r w:rsidR="00E07CFD">
        <w:t xml:space="preserve">total </w:t>
      </w:r>
      <w:r w:rsidR="00782307">
        <w:t>population (14%).  The proportion had decreased from Wave 1 when it was 13%.  Data are presented in Appendix 1</w:t>
      </w:r>
      <w:r w:rsidR="00BA7B09">
        <w:t>0</w:t>
      </w:r>
      <w:r w:rsidR="00782307">
        <w:t>.</w:t>
      </w:r>
    </w:p>
    <w:p w14:paraId="498DF9EA" w14:textId="77777777" w:rsidR="00A91BC6" w:rsidRPr="00A91BC6" w:rsidRDefault="00A91BC6" w:rsidP="007C46D2">
      <w:pPr>
        <w:pStyle w:val="RepNormal"/>
      </w:pPr>
    </w:p>
    <w:p w14:paraId="66B958A7" w14:textId="77777777" w:rsidR="00A91BC6" w:rsidRDefault="0018593F" w:rsidP="007C46D2">
      <w:pPr>
        <w:pStyle w:val="RepNormal"/>
      </w:pPr>
      <w:r>
        <w:t>Gambling participation by</w:t>
      </w:r>
      <w:r w:rsidR="006D5500">
        <w:t xml:space="preserve"> Pacific participants </w:t>
      </w:r>
      <w:r>
        <w:t xml:space="preserve">in Wave 4, </w:t>
      </w:r>
      <w:r w:rsidR="006D5500">
        <w:t>was similar to that of the</w:t>
      </w:r>
      <w:r w:rsidR="002F04E8">
        <w:t xml:space="preserve"> </w:t>
      </w:r>
      <w:r w:rsidR="00E07CFD">
        <w:t xml:space="preserve">total </w:t>
      </w:r>
      <w:r w:rsidR="002F04E8">
        <w:t>population (Appendix 1</w:t>
      </w:r>
      <w:r w:rsidR="00591EAA">
        <w:t>1</w:t>
      </w:r>
      <w:r w:rsidR="006D5500">
        <w:t>).</w:t>
      </w:r>
    </w:p>
    <w:p w14:paraId="6F8AE5EB" w14:textId="77777777" w:rsidR="006F7569" w:rsidRDefault="006F7569" w:rsidP="007C46D2">
      <w:pPr>
        <w:pStyle w:val="RepNormal"/>
      </w:pPr>
    </w:p>
    <w:p w14:paraId="3EA34DC0" w14:textId="77777777" w:rsidR="00A31BD8" w:rsidRDefault="00A31BD8" w:rsidP="007C46D2">
      <w:pPr>
        <w:pStyle w:val="RepNormal"/>
      </w:pPr>
      <w:r>
        <w:t xml:space="preserve">In Wave 4, there were some differences in gambling </w:t>
      </w:r>
      <w:r w:rsidR="0018593F">
        <w:t>participation</w:t>
      </w:r>
      <w:r>
        <w:t xml:space="preserve"> between Asian participants and the </w:t>
      </w:r>
      <w:r w:rsidR="00E07CFD">
        <w:t xml:space="preserve">total </w:t>
      </w:r>
      <w:r>
        <w:t xml:space="preserve">population.  A higher proportion of Asian participants had not gambled in the prior </w:t>
      </w:r>
      <w:r w:rsidR="00886517">
        <w:t>12 months</w:t>
      </w:r>
      <w:r>
        <w:t xml:space="preserve">, compared with the </w:t>
      </w:r>
      <w:r w:rsidR="00E07CFD">
        <w:t xml:space="preserve">total </w:t>
      </w:r>
      <w:r>
        <w:t>population (41% vs. 25%).  Lower proportions of Asian participants had gambled:</w:t>
      </w:r>
    </w:p>
    <w:p w14:paraId="19EA8F73" w14:textId="77777777" w:rsidR="006F7569" w:rsidRDefault="00A31BD8" w:rsidP="00DD2ADA">
      <w:pPr>
        <w:pStyle w:val="RepNormal"/>
        <w:numPr>
          <w:ilvl w:val="0"/>
          <w:numId w:val="61"/>
        </w:numPr>
      </w:pPr>
      <w:r>
        <w:t xml:space="preserve">On </w:t>
      </w:r>
      <w:r w:rsidR="0018593F">
        <w:t>four</w:t>
      </w:r>
      <w:r>
        <w:t xml:space="preserve"> to </w:t>
      </w:r>
      <w:r w:rsidR="0018593F">
        <w:t>six</w:t>
      </w:r>
      <w:r>
        <w:t xml:space="preserve"> activities (6.4% vs. 14%)</w:t>
      </w:r>
    </w:p>
    <w:p w14:paraId="568DFA4E" w14:textId="77777777" w:rsidR="00A31BD8" w:rsidRDefault="00A31BD8" w:rsidP="00DD2ADA">
      <w:pPr>
        <w:pStyle w:val="RepNormal"/>
        <w:numPr>
          <w:ilvl w:val="0"/>
          <w:numId w:val="61"/>
        </w:numPr>
      </w:pPr>
      <w:r>
        <w:t>Regularly on non-continuous activities (6.0% vs. 14%)</w:t>
      </w:r>
    </w:p>
    <w:p w14:paraId="1FC85FC6" w14:textId="77777777" w:rsidR="00A31BD8" w:rsidRDefault="00A31BD8" w:rsidP="00DD2ADA">
      <w:pPr>
        <w:pStyle w:val="RepNormal"/>
        <w:numPr>
          <w:ilvl w:val="0"/>
          <w:numId w:val="61"/>
        </w:numPr>
      </w:pPr>
      <w:r>
        <w:t>At least weekly (</w:t>
      </w:r>
      <w:r w:rsidR="0018593F">
        <w:t>8.</w:t>
      </w:r>
      <w:r>
        <w:t>9% vs. 19%).</w:t>
      </w:r>
    </w:p>
    <w:p w14:paraId="650EF5CF" w14:textId="77777777" w:rsidR="00A31BD8" w:rsidRDefault="00A31BD8" w:rsidP="00A31BD8">
      <w:pPr>
        <w:pStyle w:val="RepNormal"/>
      </w:pPr>
    </w:p>
    <w:p w14:paraId="09F8FFF6" w14:textId="77777777" w:rsidR="00A31BD8" w:rsidRDefault="00A31BD8" w:rsidP="00166C6E">
      <w:pPr>
        <w:pStyle w:val="RepNormal"/>
        <w:keepNext/>
      </w:pPr>
      <w:r>
        <w:t xml:space="preserve">Lower proportions of Asian participants, compared with the </w:t>
      </w:r>
      <w:r w:rsidR="00E07CFD">
        <w:t xml:space="preserve">total </w:t>
      </w:r>
      <w:r>
        <w:t>population, preferred to gamble on:</w:t>
      </w:r>
    </w:p>
    <w:p w14:paraId="30803A37" w14:textId="77777777" w:rsidR="00A31BD8" w:rsidRDefault="0018593F" w:rsidP="00166C6E">
      <w:pPr>
        <w:pStyle w:val="RepNormal"/>
        <w:keepNext/>
        <w:numPr>
          <w:ilvl w:val="0"/>
          <w:numId w:val="61"/>
        </w:numPr>
      </w:pPr>
      <w:r>
        <w:t>B</w:t>
      </w:r>
      <w:r w:rsidR="00A31BD8">
        <w:t>ets with friends or workmates (1.3% vs. 4.6%)</w:t>
      </w:r>
    </w:p>
    <w:p w14:paraId="42460C26" w14:textId="77777777" w:rsidR="00A31BD8" w:rsidRDefault="00A31BD8" w:rsidP="00DD2ADA">
      <w:pPr>
        <w:pStyle w:val="RepNormal"/>
        <w:numPr>
          <w:ilvl w:val="0"/>
          <w:numId w:val="61"/>
        </w:numPr>
      </w:pPr>
      <w:r>
        <w:t>New Zealand or overseas raffles or lotteries (5.5% vs. 11%)</w:t>
      </w:r>
    </w:p>
    <w:p w14:paraId="144CE22D" w14:textId="77777777" w:rsidR="00A31BD8" w:rsidRDefault="00A31BD8" w:rsidP="00DD2ADA">
      <w:pPr>
        <w:pStyle w:val="RepNormal"/>
        <w:numPr>
          <w:ilvl w:val="0"/>
          <w:numId w:val="61"/>
        </w:numPr>
      </w:pPr>
      <w:r>
        <w:t>Horse or dog race betting (1.3% vs. 4.9%)</w:t>
      </w:r>
    </w:p>
    <w:p w14:paraId="648DA00D" w14:textId="77777777" w:rsidR="00A31BD8" w:rsidRDefault="0018593F" w:rsidP="00DD2ADA">
      <w:pPr>
        <w:pStyle w:val="RepNormal"/>
        <w:numPr>
          <w:ilvl w:val="0"/>
          <w:numId w:val="61"/>
        </w:numPr>
      </w:pPr>
      <w:r>
        <w:t>N</w:t>
      </w:r>
      <w:r w:rsidR="00A31BD8">
        <w:t>on-casino EGMs (1.0% vs. 4.0%).</w:t>
      </w:r>
    </w:p>
    <w:p w14:paraId="28420C68" w14:textId="77777777" w:rsidR="00A31BD8" w:rsidRDefault="00A31BD8" w:rsidP="00A31BD8">
      <w:pPr>
        <w:pStyle w:val="RepNormal"/>
      </w:pPr>
    </w:p>
    <w:p w14:paraId="08E2CB06" w14:textId="77777777" w:rsidR="006D5500" w:rsidRDefault="00A31BD8" w:rsidP="007C46D2">
      <w:pPr>
        <w:pStyle w:val="RepNormal"/>
      </w:pPr>
      <w:r>
        <w:t xml:space="preserve">A lower proportion of Asian participants did not have a preferred gambling activity, compared with the </w:t>
      </w:r>
      <w:r w:rsidR="00E07CFD">
        <w:t xml:space="preserve">total </w:t>
      </w:r>
      <w:r>
        <w:t>population (2.7% vs. 7.4%).</w:t>
      </w:r>
    </w:p>
    <w:p w14:paraId="7F936577" w14:textId="77777777" w:rsidR="00FB1015" w:rsidRDefault="00FB1015" w:rsidP="007C46D2">
      <w:pPr>
        <w:pStyle w:val="RepNormal"/>
      </w:pPr>
    </w:p>
    <w:p w14:paraId="54A88096" w14:textId="77777777" w:rsidR="008F0D62" w:rsidRDefault="008F0D62" w:rsidP="007C46D2">
      <w:pPr>
        <w:pStyle w:val="RepNormal"/>
      </w:pPr>
      <w:r>
        <w:t xml:space="preserve">Data for Asian participants </w:t>
      </w:r>
      <w:r w:rsidR="002F04E8">
        <w:t>are presented in Appendix 1</w:t>
      </w:r>
      <w:r w:rsidR="00591EAA">
        <w:t>2</w:t>
      </w:r>
      <w:r>
        <w:t>.</w:t>
      </w:r>
    </w:p>
    <w:p w14:paraId="5F59EC28" w14:textId="77777777" w:rsidR="0018593F" w:rsidRDefault="0018593F" w:rsidP="007C46D2">
      <w:pPr>
        <w:pStyle w:val="RepNormal"/>
      </w:pPr>
    </w:p>
    <w:p w14:paraId="17C5A96E" w14:textId="77777777" w:rsidR="008F0D62" w:rsidRDefault="008F0D62" w:rsidP="007C46D2">
      <w:pPr>
        <w:pStyle w:val="RepNormal"/>
      </w:pPr>
    </w:p>
    <w:p w14:paraId="15018DD9" w14:textId="77777777" w:rsidR="00FB1015" w:rsidRDefault="00FB1015" w:rsidP="007C46D2">
      <w:pPr>
        <w:pStyle w:val="RepNormal"/>
      </w:pPr>
      <w:r>
        <w:rPr>
          <w:b/>
        </w:rPr>
        <w:t>EGM gambling</w:t>
      </w:r>
    </w:p>
    <w:p w14:paraId="77AB69BD" w14:textId="77777777" w:rsidR="00FB1015" w:rsidRDefault="00FB1015" w:rsidP="007C46D2">
      <w:pPr>
        <w:pStyle w:val="RepNormal"/>
      </w:pPr>
    </w:p>
    <w:p w14:paraId="06046270" w14:textId="77777777" w:rsidR="00C873C1" w:rsidRDefault="00C873C1" w:rsidP="00C873C1">
      <w:pPr>
        <w:pStyle w:val="RepNormal"/>
      </w:pPr>
      <w:r>
        <w:t>Data are presented in Appendix 1</w:t>
      </w:r>
      <w:r w:rsidR="00591EAA">
        <w:t>3</w:t>
      </w:r>
      <w:r>
        <w:t>.</w:t>
      </w:r>
    </w:p>
    <w:p w14:paraId="71411004" w14:textId="77777777" w:rsidR="00C873C1" w:rsidRDefault="00C873C1" w:rsidP="00C873C1">
      <w:pPr>
        <w:pStyle w:val="RepNormal"/>
      </w:pPr>
    </w:p>
    <w:p w14:paraId="68106588" w14:textId="77777777" w:rsidR="00A372FE" w:rsidRDefault="00A372FE" w:rsidP="00A372FE">
      <w:pPr>
        <w:pStyle w:val="RepNormal"/>
      </w:pPr>
      <w:r>
        <w:t>In each of the four waves, time spent gambling on casino, pub and club EGMs in an average day was assessed.  There were no major differences over time.  In Wave 4, a higher</w:t>
      </w:r>
      <w:r w:rsidRPr="001850C1">
        <w:t xml:space="preserve"> </w:t>
      </w:r>
      <w:r>
        <w:t xml:space="preserve">proportion of participants gambled for more than an hour in a typical day on casino EGMs (39%) than on pub (12%) or club </w:t>
      </w:r>
      <w:r w:rsidR="00C00763">
        <w:t xml:space="preserve">(17%) </w:t>
      </w:r>
      <w:r>
        <w:t xml:space="preserve">EGMs.  </w:t>
      </w:r>
    </w:p>
    <w:p w14:paraId="58140AD1" w14:textId="77777777" w:rsidR="00A372FE" w:rsidRDefault="00A372FE" w:rsidP="00A372FE">
      <w:pPr>
        <w:pStyle w:val="RepNormal"/>
      </w:pPr>
    </w:p>
    <w:p w14:paraId="13EFC9CC" w14:textId="77777777" w:rsidR="00782307" w:rsidRDefault="00782307" w:rsidP="00A372FE">
      <w:pPr>
        <w:pStyle w:val="RepNormal"/>
      </w:pPr>
    </w:p>
    <w:p w14:paraId="711D50BA" w14:textId="77777777" w:rsidR="00782307" w:rsidRDefault="00782307" w:rsidP="00A372FE">
      <w:pPr>
        <w:pStyle w:val="RepNormal"/>
      </w:pPr>
      <w:r>
        <w:rPr>
          <w:u w:val="single"/>
        </w:rPr>
        <w:t>By ethnicity</w:t>
      </w:r>
    </w:p>
    <w:p w14:paraId="0CAEE390" w14:textId="77777777" w:rsidR="00782307" w:rsidRDefault="00782307" w:rsidP="00A372FE">
      <w:pPr>
        <w:pStyle w:val="RepNormal"/>
      </w:pPr>
    </w:p>
    <w:p w14:paraId="2C5CC5AF" w14:textId="77777777" w:rsidR="00782307" w:rsidRPr="00782307" w:rsidRDefault="00AC70A8" w:rsidP="00A372FE">
      <w:pPr>
        <w:pStyle w:val="RepNormal"/>
      </w:pPr>
      <w:r>
        <w:t xml:space="preserve">In Wave 4, the length of time Māori spent gambling on EGMs was similar to that of the </w:t>
      </w:r>
      <w:r w:rsidR="00E07CFD">
        <w:t xml:space="preserve">total </w:t>
      </w:r>
      <w:r>
        <w:t xml:space="preserve">population.  </w:t>
      </w:r>
      <w:r w:rsidR="00381E9F">
        <w:t>D</w:t>
      </w:r>
      <w:r w:rsidR="00591EAA">
        <w:t>ata are presented in Appendix 14</w:t>
      </w:r>
      <w:r w:rsidR="00381E9F">
        <w:t>.</w:t>
      </w:r>
    </w:p>
    <w:p w14:paraId="7E189127" w14:textId="77777777" w:rsidR="00211849" w:rsidRDefault="00211849" w:rsidP="00A372FE">
      <w:pPr>
        <w:pStyle w:val="RepNormal"/>
      </w:pPr>
    </w:p>
    <w:p w14:paraId="0F85896B" w14:textId="77777777" w:rsidR="00480556" w:rsidRDefault="00480556" w:rsidP="00A372FE">
      <w:pPr>
        <w:pStyle w:val="RepNormal"/>
      </w:pPr>
      <w:r>
        <w:t xml:space="preserve">Sample sizes were too small for data to be presented on the length of time Pacific </w:t>
      </w:r>
      <w:r w:rsidR="008F0D62">
        <w:t xml:space="preserve">or Asian </w:t>
      </w:r>
      <w:r>
        <w:t>people spent gambling on EGMs.</w:t>
      </w:r>
    </w:p>
    <w:p w14:paraId="10F59847" w14:textId="77777777" w:rsidR="00F679B7" w:rsidRDefault="00F679B7" w:rsidP="00A372FE">
      <w:pPr>
        <w:pStyle w:val="RepNormal"/>
      </w:pPr>
    </w:p>
    <w:p w14:paraId="38DF9D6E" w14:textId="77777777" w:rsidR="00F679B7" w:rsidRDefault="00F679B7" w:rsidP="00A372FE">
      <w:pPr>
        <w:pStyle w:val="RepNormal"/>
      </w:pPr>
    </w:p>
    <w:p w14:paraId="75A7634B" w14:textId="77777777" w:rsidR="00F679B7" w:rsidRPr="00422F08" w:rsidRDefault="00F679B7" w:rsidP="0026477A">
      <w:pPr>
        <w:pStyle w:val="RepHead3"/>
      </w:pPr>
      <w:bookmarkStart w:id="70" w:name="_Ref470095723"/>
      <w:bookmarkStart w:id="71" w:name="_Toc504488356"/>
      <w:r>
        <w:t>Online/remote</w:t>
      </w:r>
      <w:r w:rsidR="00FC432C">
        <w:t xml:space="preserve"> </w:t>
      </w:r>
      <w:r>
        <w:t>gambling</w:t>
      </w:r>
      <w:bookmarkEnd w:id="70"/>
      <w:bookmarkEnd w:id="71"/>
    </w:p>
    <w:p w14:paraId="31992863" w14:textId="77777777" w:rsidR="00F679B7" w:rsidRDefault="00F679B7" w:rsidP="0026477A">
      <w:pPr>
        <w:pStyle w:val="RepNormal"/>
        <w:keepNext/>
      </w:pPr>
    </w:p>
    <w:p w14:paraId="5BAF266B" w14:textId="77777777" w:rsidR="0067535C" w:rsidRDefault="0067535C" w:rsidP="0026477A">
      <w:pPr>
        <w:pStyle w:val="RepNormal"/>
        <w:keepNext/>
      </w:pPr>
      <w:r>
        <w:t xml:space="preserve">Data are presented in </w:t>
      </w:r>
      <w:r>
        <w:fldChar w:fldCharType="begin"/>
      </w:r>
      <w:r>
        <w:instrText xml:space="preserve"> REF _Ref470100363 \h </w:instrText>
      </w:r>
      <w:r>
        <w:fldChar w:fldCharType="separate"/>
      </w:r>
      <w:r w:rsidR="00D5752E">
        <w:t xml:space="preserve">Table </w:t>
      </w:r>
      <w:r w:rsidR="00D5752E">
        <w:rPr>
          <w:noProof/>
        </w:rPr>
        <w:t>4</w:t>
      </w:r>
      <w:r>
        <w:fldChar w:fldCharType="end"/>
      </w:r>
      <w:r>
        <w:t>.</w:t>
      </w:r>
    </w:p>
    <w:p w14:paraId="6961C982" w14:textId="77777777" w:rsidR="0067535C" w:rsidRDefault="0067535C" w:rsidP="0026477A">
      <w:pPr>
        <w:pStyle w:val="RepNormal"/>
        <w:keepNext/>
      </w:pPr>
    </w:p>
    <w:p w14:paraId="677C7CFB" w14:textId="77777777" w:rsidR="00004BDB" w:rsidRDefault="00593AED" w:rsidP="0026477A">
      <w:pPr>
        <w:pStyle w:val="RepNormal"/>
        <w:keepNext/>
      </w:pPr>
      <w:r>
        <w:t xml:space="preserve">Across the waves, online/remote gambling occurred to a substantially lower extent than the same gambling via land based means.  Lotto and </w:t>
      </w:r>
      <w:r w:rsidR="00735CCC">
        <w:t>New Zealand Racing Board</w:t>
      </w:r>
      <w:r>
        <w:t xml:space="preserve"> gambling are both available online in New Zealand.  Online Lotto participation was 4.9% in Wave 1, increasing to 8.2% in Wave 3; this then stabilised at 6.9% in Wave 4.</w:t>
      </w:r>
      <w:r w:rsidR="00004BDB">
        <w:t xml:space="preserve">  Buying Lotto tickets from stores (on site) was more common with 61% of participants reporting this in Wave 1; this decreased to 53% in Wave 4.</w:t>
      </w:r>
    </w:p>
    <w:p w14:paraId="2DD39395" w14:textId="77777777" w:rsidR="00004BDB" w:rsidRDefault="00004BDB" w:rsidP="00A372FE">
      <w:pPr>
        <w:pStyle w:val="RepNormal"/>
      </w:pPr>
    </w:p>
    <w:p w14:paraId="28D19246" w14:textId="77777777" w:rsidR="00593AED" w:rsidRDefault="00735CCC" w:rsidP="00A372FE">
      <w:pPr>
        <w:pStyle w:val="RepNormal"/>
      </w:pPr>
      <w:r>
        <w:t>New Zealand online/</w:t>
      </w:r>
      <w:r w:rsidR="00004BDB">
        <w:t xml:space="preserve">remote </w:t>
      </w:r>
      <w:r>
        <w:t>Totalisator Agency Board (</w:t>
      </w:r>
      <w:r w:rsidR="00004BDB">
        <w:t>TAB</w:t>
      </w:r>
      <w:r>
        <w:t>)</w:t>
      </w:r>
      <w:r w:rsidR="00004BDB">
        <w:t xml:space="preserve"> gambling prevalence remained stable across the waves.  In Wave 4, for horse/dog race betting it was 2.2%, and for sports betting </w:t>
      </w:r>
      <w:r w:rsidR="006D0DAB">
        <w:t xml:space="preserve">it was </w:t>
      </w:r>
      <w:r w:rsidR="00004BDB">
        <w:t>1.5%.  Offshore online/remote horse/dog race and spor</w:t>
      </w:r>
      <w:r>
        <w:t xml:space="preserve">ts betting </w:t>
      </w:r>
      <w:r w:rsidR="006D0DAB">
        <w:t>percentages</w:t>
      </w:r>
      <w:r>
        <w:t xml:space="preserve"> were 0.2% </w:t>
      </w:r>
      <w:r w:rsidR="00004BDB">
        <w:t xml:space="preserve">and </w:t>
      </w:r>
      <w:r w:rsidR="0067535C">
        <w:t>0.1% respectively, in Wave </w:t>
      </w:r>
      <w:r w:rsidR="00004BDB">
        <w:t>4.</w:t>
      </w:r>
      <w:r w:rsidR="0067535C">
        <w:t xml:space="preserve">  </w:t>
      </w:r>
      <w:r w:rsidR="00713F39">
        <w:t xml:space="preserve">The prevalence of </w:t>
      </w:r>
      <w:r w:rsidR="006D0DAB">
        <w:t>land based</w:t>
      </w:r>
      <w:r w:rsidR="00FB0FCF">
        <w:t xml:space="preserve"> (venue)</w:t>
      </w:r>
      <w:r w:rsidR="0067535C">
        <w:t xml:space="preserve"> betting </w:t>
      </w:r>
      <w:r w:rsidR="00713F39">
        <w:t>was</w:t>
      </w:r>
      <w:r w:rsidR="0067535C">
        <w:t xml:space="preserve"> higher</w:t>
      </w:r>
      <w:r w:rsidR="00FB0FCF">
        <w:t>.  In Wave </w:t>
      </w:r>
      <w:r w:rsidR="0067535C">
        <w:t>4, it was 6.1% for horse/dog rac</w:t>
      </w:r>
      <w:r w:rsidR="00C00763">
        <w:t>e bett</w:t>
      </w:r>
      <w:r w:rsidR="0067535C">
        <w:t>ing at a TAB and 1.7% for sports betting at a TAB.  The proportion of participants betting on horse/dog races at an event venue decreased from 8.0% in Wave 1 to 6.1% in Wave 2, then stabilised and was 5.7% in Wave 4.  A similar trend was noted for sports betting at an event venue with 2.8% in Wave 1, decreasing to 1.6% in Wave 2 then stabilising (1.5% in Wave 4).</w:t>
      </w:r>
    </w:p>
    <w:p w14:paraId="0AE5446D" w14:textId="77777777" w:rsidR="00593AED" w:rsidRDefault="00593AED" w:rsidP="00A372FE">
      <w:pPr>
        <w:pStyle w:val="RepNormal"/>
      </w:pPr>
    </w:p>
    <w:p w14:paraId="187EB788" w14:textId="77777777" w:rsidR="00735CCC" w:rsidRDefault="00735CCC" w:rsidP="00A372FE">
      <w:pPr>
        <w:pStyle w:val="RepNormal"/>
      </w:pPr>
      <w:r>
        <w:t>Other online</w:t>
      </w:r>
      <w:r w:rsidR="00C873C1">
        <w:t>/remote</w:t>
      </w:r>
      <w:r>
        <w:t xml:space="preserve"> gambling activities occurred to a very low extent - three percent</w:t>
      </w:r>
      <w:r w:rsidR="006D0DAB">
        <w:t xml:space="preserve"> or less</w:t>
      </w:r>
      <w:r>
        <w:t xml:space="preserve">.  </w:t>
      </w:r>
      <w:r w:rsidRPr="00735CCC">
        <w:rPr>
          <w:i/>
        </w:rPr>
        <w:t xml:space="preserve">Overall, nine percent of </w:t>
      </w:r>
      <w:r w:rsidR="006D0DAB">
        <w:rPr>
          <w:i/>
        </w:rPr>
        <w:t>adults</w:t>
      </w:r>
      <w:r w:rsidRPr="00735CCC">
        <w:rPr>
          <w:i/>
        </w:rPr>
        <w:t xml:space="preserve"> participated in New Zealand online gambling activities</w:t>
      </w:r>
      <w:r w:rsidR="006D0DAB">
        <w:t xml:space="preserve"> in Wave </w:t>
      </w:r>
      <w:r>
        <w:t xml:space="preserve">4 (Lotto and New Zealand Racing Board activities).  This proportion remained relatively constant from Wave 1.  </w:t>
      </w:r>
      <w:r w:rsidRPr="00587951">
        <w:rPr>
          <w:i/>
        </w:rPr>
        <w:t xml:space="preserve">Overall offshore online gambling activities were participated in by 0.7% of the participants </w:t>
      </w:r>
      <w:r w:rsidR="00587951">
        <w:t>in Wave 4.</w:t>
      </w:r>
      <w:r>
        <w:t xml:space="preserve"> </w:t>
      </w:r>
      <w:r w:rsidR="00587951">
        <w:t xml:space="preserve"> T</w:t>
      </w:r>
      <w:r>
        <w:t>his was a decrease fro</w:t>
      </w:r>
      <w:r w:rsidR="00587951">
        <w:t xml:space="preserve">m the Wave 1 prevalence of 1.7% in what appears to be a decreasing trend in offshore online gambling over the four waves (1.7%, 1.2%, 0.9% and 0.7%).  Overall offshore gambling prevalence, which includes online and </w:t>
      </w:r>
      <w:r w:rsidR="006D0DAB">
        <w:t>land based</w:t>
      </w:r>
      <w:r w:rsidR="00587951">
        <w:t xml:space="preserve"> gambling, was 5.4% in Wave 4; this was a </w:t>
      </w:r>
      <w:r w:rsidR="00C00763">
        <w:t>reduction</w:t>
      </w:r>
      <w:r w:rsidR="00587951">
        <w:t xml:space="preserve"> from 7.6% in Wave 1.</w:t>
      </w:r>
    </w:p>
    <w:p w14:paraId="50539D25" w14:textId="77777777" w:rsidR="00735CCC" w:rsidRDefault="00735CCC" w:rsidP="00A372FE">
      <w:pPr>
        <w:pStyle w:val="RepNormal"/>
      </w:pPr>
    </w:p>
    <w:p w14:paraId="32C06BE2" w14:textId="77777777" w:rsidR="00F679B7" w:rsidRDefault="00F679B7" w:rsidP="00C873C1">
      <w:pPr>
        <w:pStyle w:val="Caption"/>
        <w:keepNext/>
        <w:keepLines/>
        <w:ind w:left="-567"/>
        <w:jc w:val="both"/>
        <w:rPr>
          <w:szCs w:val="22"/>
        </w:rPr>
      </w:pPr>
      <w:bookmarkStart w:id="72" w:name="_Ref470100363"/>
      <w:bookmarkStart w:id="73" w:name="_Ref470100356"/>
      <w:bookmarkStart w:id="74" w:name="_Toc504488429"/>
      <w:r>
        <w:t xml:space="preserve">Table </w:t>
      </w:r>
      <w:r w:rsidR="00D5752E">
        <w:fldChar w:fldCharType="begin"/>
      </w:r>
      <w:r w:rsidR="00D5752E">
        <w:instrText xml:space="preserve"> SEQ Table \* ARABIC </w:instrText>
      </w:r>
      <w:r w:rsidR="00D5752E">
        <w:fldChar w:fldCharType="separate"/>
      </w:r>
      <w:r w:rsidR="00D5752E">
        <w:rPr>
          <w:noProof/>
        </w:rPr>
        <w:t>4</w:t>
      </w:r>
      <w:r w:rsidR="00D5752E">
        <w:rPr>
          <w:noProof/>
        </w:rPr>
        <w:fldChar w:fldCharType="end"/>
      </w:r>
      <w:bookmarkEnd w:id="72"/>
      <w:r>
        <w:t xml:space="preserve">: </w:t>
      </w:r>
      <w:r w:rsidR="00315163">
        <w:t>O</w:t>
      </w:r>
      <w:r>
        <w:t>nline/remote gambling in Waves 1, 2, 3 and 4</w:t>
      </w:r>
      <w:bookmarkEnd w:id="73"/>
      <w:bookmarkEnd w:id="74"/>
    </w:p>
    <w:tbl>
      <w:tblPr>
        <w:tblStyle w:val="LightShading4"/>
        <w:tblW w:w="9718" w:type="dxa"/>
        <w:tblInd w:w="-567" w:type="dxa"/>
        <w:tblLayout w:type="fixed"/>
        <w:tblLook w:val="06A0" w:firstRow="1" w:lastRow="0" w:firstColumn="1" w:lastColumn="0" w:noHBand="1" w:noVBand="1"/>
      </w:tblPr>
      <w:tblGrid>
        <w:gridCol w:w="1418"/>
        <w:gridCol w:w="536"/>
        <w:gridCol w:w="496"/>
        <w:gridCol w:w="1043"/>
        <w:gridCol w:w="536"/>
        <w:gridCol w:w="496"/>
        <w:gridCol w:w="1043"/>
        <w:gridCol w:w="536"/>
        <w:gridCol w:w="496"/>
        <w:gridCol w:w="1043"/>
        <w:gridCol w:w="536"/>
        <w:gridCol w:w="496"/>
        <w:gridCol w:w="1043"/>
      </w:tblGrid>
      <w:tr w:rsidR="00F679B7" w:rsidRPr="00D05AB1" w14:paraId="43084856" w14:textId="77777777" w:rsidTr="00EE34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vMerge w:val="restart"/>
            <w:tcBorders>
              <w:bottom w:val="single" w:sz="4" w:space="0" w:color="auto"/>
            </w:tcBorders>
            <w:vAlign w:val="bottom"/>
            <w:hideMark/>
          </w:tcPr>
          <w:p w14:paraId="1AF795F8" w14:textId="77777777" w:rsidR="00F679B7" w:rsidRPr="00D05AB1" w:rsidRDefault="00F679B7" w:rsidP="00C873C1">
            <w:pPr>
              <w:keepNext/>
              <w:spacing w:before="20" w:after="20"/>
              <w:rPr>
                <w:rFonts w:eastAsiaTheme="minorEastAsia"/>
                <w:sz w:val="16"/>
                <w:szCs w:val="16"/>
                <w:lang w:eastAsia="en-US"/>
              </w:rPr>
            </w:pPr>
            <w:r>
              <w:rPr>
                <w:rFonts w:eastAsiaTheme="minorEastAsia"/>
                <w:sz w:val="16"/>
                <w:szCs w:val="16"/>
                <w:lang w:eastAsia="en-US"/>
              </w:rPr>
              <w:t>Gambling</w:t>
            </w:r>
          </w:p>
        </w:tc>
        <w:tc>
          <w:tcPr>
            <w:tcW w:w="2075" w:type="dxa"/>
            <w:gridSpan w:val="3"/>
            <w:tcBorders>
              <w:bottom w:val="single" w:sz="4" w:space="0" w:color="auto"/>
              <w:right w:val="single" w:sz="4" w:space="0" w:color="auto"/>
            </w:tcBorders>
            <w:noWrap/>
            <w:vAlign w:val="center"/>
            <w:hideMark/>
          </w:tcPr>
          <w:p w14:paraId="27410EE8" w14:textId="77777777" w:rsidR="00F679B7" w:rsidRPr="00D05AB1" w:rsidRDefault="00F679B7" w:rsidP="00C873C1">
            <w:pPr>
              <w:keepNext/>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6"/>
                <w:szCs w:val="16"/>
                <w:lang w:eastAsia="en-US"/>
              </w:rPr>
            </w:pPr>
            <w:r w:rsidRPr="00D05AB1">
              <w:rPr>
                <w:rFonts w:eastAsiaTheme="minorEastAsia"/>
                <w:sz w:val="16"/>
                <w:szCs w:val="16"/>
              </w:rPr>
              <w:t>Wave 1</w:t>
            </w:r>
          </w:p>
        </w:tc>
        <w:tc>
          <w:tcPr>
            <w:tcW w:w="2075" w:type="dxa"/>
            <w:gridSpan w:val="3"/>
            <w:tcBorders>
              <w:left w:val="single" w:sz="4" w:space="0" w:color="auto"/>
              <w:bottom w:val="single" w:sz="4" w:space="0" w:color="auto"/>
            </w:tcBorders>
            <w:vAlign w:val="center"/>
          </w:tcPr>
          <w:p w14:paraId="05E59C86" w14:textId="77777777" w:rsidR="00F679B7" w:rsidRPr="00D05AB1" w:rsidRDefault="00F679B7" w:rsidP="00C873C1">
            <w:pPr>
              <w:keepNext/>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Wave 2</w:t>
            </w:r>
          </w:p>
        </w:tc>
        <w:tc>
          <w:tcPr>
            <w:tcW w:w="2075" w:type="dxa"/>
            <w:gridSpan w:val="3"/>
            <w:tcBorders>
              <w:left w:val="single" w:sz="4" w:space="0" w:color="auto"/>
              <w:bottom w:val="single" w:sz="4" w:space="0" w:color="auto"/>
            </w:tcBorders>
          </w:tcPr>
          <w:p w14:paraId="54B263AC" w14:textId="77777777" w:rsidR="00F679B7" w:rsidRPr="00D05AB1" w:rsidRDefault="00F679B7" w:rsidP="00C873C1">
            <w:pPr>
              <w:keepNext/>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Wave 3</w:t>
            </w:r>
          </w:p>
        </w:tc>
        <w:tc>
          <w:tcPr>
            <w:tcW w:w="2075" w:type="dxa"/>
            <w:gridSpan w:val="3"/>
            <w:tcBorders>
              <w:left w:val="single" w:sz="4" w:space="0" w:color="auto"/>
              <w:bottom w:val="single" w:sz="4" w:space="0" w:color="auto"/>
            </w:tcBorders>
          </w:tcPr>
          <w:p w14:paraId="5AA690A7" w14:textId="77777777" w:rsidR="00F679B7" w:rsidRPr="00D05AB1" w:rsidRDefault="00F679B7" w:rsidP="00C873C1">
            <w:pPr>
              <w:keepNext/>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Pr>
                <w:rFonts w:eastAsiaTheme="minorEastAsia"/>
                <w:sz w:val="16"/>
                <w:szCs w:val="16"/>
                <w:lang w:eastAsia="en-US"/>
              </w:rPr>
              <w:t>Wave 4</w:t>
            </w:r>
          </w:p>
        </w:tc>
      </w:tr>
      <w:tr w:rsidR="00F679B7" w:rsidRPr="00D05AB1" w14:paraId="0B32D33F" w14:textId="77777777" w:rsidTr="00EE34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vMerge/>
            <w:tcBorders>
              <w:bottom w:val="single" w:sz="4" w:space="0" w:color="auto"/>
            </w:tcBorders>
            <w:vAlign w:val="center"/>
            <w:hideMark/>
          </w:tcPr>
          <w:p w14:paraId="2FCBD3C6" w14:textId="77777777" w:rsidR="00F679B7" w:rsidRPr="00D05AB1" w:rsidRDefault="00F679B7" w:rsidP="00C873C1">
            <w:pPr>
              <w:keepNext/>
              <w:spacing w:before="20" w:after="20"/>
              <w:rPr>
                <w:rFonts w:eastAsiaTheme="minorEastAsia"/>
                <w:sz w:val="16"/>
                <w:szCs w:val="16"/>
                <w:lang w:eastAsia="en-US"/>
              </w:rPr>
            </w:pPr>
          </w:p>
        </w:tc>
        <w:tc>
          <w:tcPr>
            <w:tcW w:w="536" w:type="dxa"/>
            <w:tcBorders>
              <w:top w:val="single" w:sz="4" w:space="0" w:color="auto"/>
              <w:bottom w:val="single" w:sz="4" w:space="0" w:color="auto"/>
            </w:tcBorders>
            <w:noWrap/>
            <w:vAlign w:val="center"/>
            <w:hideMark/>
          </w:tcPr>
          <w:p w14:paraId="3988262D" w14:textId="77777777" w:rsidR="00F679B7" w:rsidRPr="00D05AB1" w:rsidRDefault="00F679B7" w:rsidP="00C873C1">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rPr>
              <w:t>n</w:t>
            </w:r>
          </w:p>
        </w:tc>
        <w:tc>
          <w:tcPr>
            <w:tcW w:w="496" w:type="dxa"/>
            <w:tcBorders>
              <w:top w:val="single" w:sz="4" w:space="0" w:color="auto"/>
              <w:bottom w:val="single" w:sz="4" w:space="0" w:color="auto"/>
            </w:tcBorders>
            <w:noWrap/>
            <w:vAlign w:val="center"/>
            <w:hideMark/>
          </w:tcPr>
          <w:p w14:paraId="372D5E9F" w14:textId="77777777" w:rsidR="00F679B7" w:rsidRPr="00D05AB1" w:rsidRDefault="00F679B7" w:rsidP="00C873C1">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rPr>
              <w:t>%</w:t>
            </w:r>
          </w:p>
        </w:tc>
        <w:tc>
          <w:tcPr>
            <w:tcW w:w="1043" w:type="dxa"/>
            <w:tcBorders>
              <w:top w:val="single" w:sz="4" w:space="0" w:color="auto"/>
              <w:bottom w:val="single" w:sz="4" w:space="0" w:color="auto"/>
              <w:right w:val="single" w:sz="4" w:space="0" w:color="auto"/>
            </w:tcBorders>
            <w:noWrap/>
            <w:vAlign w:val="center"/>
          </w:tcPr>
          <w:p w14:paraId="6293BE2B" w14:textId="77777777" w:rsidR="00F679B7" w:rsidRPr="00D05AB1" w:rsidRDefault="00F679B7" w:rsidP="00C873C1">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lang w:eastAsia="en-US"/>
              </w:rPr>
              <w:t>(95% CI)</w:t>
            </w:r>
          </w:p>
        </w:tc>
        <w:tc>
          <w:tcPr>
            <w:tcW w:w="536" w:type="dxa"/>
            <w:tcBorders>
              <w:top w:val="single" w:sz="4" w:space="0" w:color="auto"/>
              <w:left w:val="single" w:sz="4" w:space="0" w:color="auto"/>
              <w:bottom w:val="single" w:sz="4" w:space="0" w:color="auto"/>
            </w:tcBorders>
            <w:noWrap/>
            <w:vAlign w:val="center"/>
          </w:tcPr>
          <w:p w14:paraId="58F3719A" w14:textId="77777777" w:rsidR="00F679B7" w:rsidRPr="00D05AB1" w:rsidRDefault="00F679B7" w:rsidP="00C873C1">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lang w:eastAsia="en-US"/>
              </w:rPr>
              <w:t>n</w:t>
            </w:r>
          </w:p>
        </w:tc>
        <w:tc>
          <w:tcPr>
            <w:tcW w:w="496" w:type="dxa"/>
            <w:tcBorders>
              <w:top w:val="single" w:sz="4" w:space="0" w:color="auto"/>
              <w:bottom w:val="single" w:sz="4" w:space="0" w:color="auto"/>
            </w:tcBorders>
            <w:noWrap/>
            <w:vAlign w:val="center"/>
          </w:tcPr>
          <w:p w14:paraId="0E5A1610" w14:textId="77777777" w:rsidR="00F679B7" w:rsidRPr="00D05AB1" w:rsidRDefault="00F679B7" w:rsidP="00C873C1">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lang w:eastAsia="en-US"/>
              </w:rPr>
              <w:t>%</w:t>
            </w:r>
          </w:p>
        </w:tc>
        <w:tc>
          <w:tcPr>
            <w:tcW w:w="1043" w:type="dxa"/>
            <w:tcBorders>
              <w:top w:val="single" w:sz="4" w:space="0" w:color="auto"/>
              <w:bottom w:val="single" w:sz="4" w:space="0" w:color="auto"/>
              <w:right w:val="single" w:sz="4" w:space="0" w:color="000000"/>
            </w:tcBorders>
            <w:shd w:val="clear" w:color="auto" w:fill="FFFFFF" w:themeFill="background1"/>
            <w:noWrap/>
            <w:vAlign w:val="center"/>
          </w:tcPr>
          <w:p w14:paraId="310D139E" w14:textId="77777777" w:rsidR="00F679B7" w:rsidRPr="00D05AB1" w:rsidRDefault="00F679B7" w:rsidP="00C873C1">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D05AB1">
              <w:rPr>
                <w:rFonts w:eastAsiaTheme="minorEastAsia"/>
                <w:sz w:val="16"/>
                <w:szCs w:val="16"/>
                <w:lang w:eastAsia="en-US"/>
              </w:rPr>
              <w:t>(95% CI)</w:t>
            </w:r>
          </w:p>
        </w:tc>
        <w:tc>
          <w:tcPr>
            <w:tcW w:w="536" w:type="dxa"/>
            <w:tcBorders>
              <w:top w:val="single" w:sz="4" w:space="0" w:color="auto"/>
              <w:left w:val="single" w:sz="4" w:space="0" w:color="000000"/>
              <w:bottom w:val="single" w:sz="4" w:space="0" w:color="auto"/>
            </w:tcBorders>
            <w:shd w:val="clear" w:color="auto" w:fill="FFFFFF" w:themeFill="background1"/>
            <w:vAlign w:val="center"/>
          </w:tcPr>
          <w:p w14:paraId="5DB669E4" w14:textId="77777777" w:rsidR="00F679B7" w:rsidRPr="00D05AB1" w:rsidRDefault="00F679B7" w:rsidP="00C873C1">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lang w:eastAsia="en-US"/>
              </w:rPr>
              <w:t>n</w:t>
            </w:r>
          </w:p>
        </w:tc>
        <w:tc>
          <w:tcPr>
            <w:tcW w:w="496" w:type="dxa"/>
            <w:tcBorders>
              <w:top w:val="single" w:sz="4" w:space="0" w:color="auto"/>
              <w:bottom w:val="single" w:sz="4" w:space="0" w:color="auto"/>
            </w:tcBorders>
            <w:shd w:val="clear" w:color="auto" w:fill="FFFFFF" w:themeFill="background1"/>
            <w:vAlign w:val="center"/>
          </w:tcPr>
          <w:p w14:paraId="3A093355" w14:textId="77777777" w:rsidR="00F679B7" w:rsidRPr="00D05AB1" w:rsidRDefault="00F679B7" w:rsidP="00C873C1">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lang w:eastAsia="en-US"/>
              </w:rPr>
              <w:t>%</w:t>
            </w:r>
          </w:p>
        </w:tc>
        <w:tc>
          <w:tcPr>
            <w:tcW w:w="1043" w:type="dxa"/>
            <w:tcBorders>
              <w:top w:val="single" w:sz="4" w:space="0" w:color="auto"/>
              <w:bottom w:val="single" w:sz="4" w:space="0" w:color="auto"/>
              <w:right w:val="single" w:sz="4" w:space="0" w:color="000000"/>
            </w:tcBorders>
            <w:shd w:val="clear" w:color="auto" w:fill="FFFFFF" w:themeFill="background1"/>
            <w:vAlign w:val="center"/>
          </w:tcPr>
          <w:p w14:paraId="0E03261D" w14:textId="77777777" w:rsidR="00F679B7" w:rsidRPr="00D05AB1" w:rsidRDefault="00F679B7" w:rsidP="00C873C1">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D05AB1">
              <w:rPr>
                <w:rFonts w:eastAsiaTheme="minorEastAsia"/>
                <w:sz w:val="16"/>
                <w:szCs w:val="16"/>
                <w:lang w:eastAsia="en-US"/>
              </w:rPr>
              <w:t>(95% CI)</w:t>
            </w:r>
          </w:p>
        </w:tc>
        <w:tc>
          <w:tcPr>
            <w:tcW w:w="536" w:type="dxa"/>
            <w:tcBorders>
              <w:top w:val="single" w:sz="4" w:space="0" w:color="auto"/>
              <w:left w:val="single" w:sz="4" w:space="0" w:color="000000"/>
              <w:bottom w:val="single" w:sz="4" w:space="0" w:color="auto"/>
            </w:tcBorders>
            <w:shd w:val="clear" w:color="auto" w:fill="FFFFFF" w:themeFill="background1"/>
            <w:vAlign w:val="center"/>
          </w:tcPr>
          <w:p w14:paraId="29D9DF08" w14:textId="77777777" w:rsidR="00F679B7" w:rsidRPr="00A3143A" w:rsidRDefault="00F679B7" w:rsidP="00C873C1">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A3143A">
              <w:rPr>
                <w:rFonts w:eastAsiaTheme="minorEastAsia"/>
                <w:sz w:val="16"/>
                <w:szCs w:val="16"/>
                <w:lang w:eastAsia="en-US"/>
              </w:rPr>
              <w:t>n</w:t>
            </w:r>
          </w:p>
        </w:tc>
        <w:tc>
          <w:tcPr>
            <w:tcW w:w="496" w:type="dxa"/>
            <w:tcBorders>
              <w:top w:val="single" w:sz="4" w:space="0" w:color="auto"/>
              <w:bottom w:val="single" w:sz="4" w:space="0" w:color="auto"/>
            </w:tcBorders>
            <w:shd w:val="clear" w:color="auto" w:fill="FFFFFF" w:themeFill="background1"/>
            <w:vAlign w:val="center"/>
          </w:tcPr>
          <w:p w14:paraId="264E0E19" w14:textId="77777777" w:rsidR="00F679B7" w:rsidRPr="00A3143A" w:rsidRDefault="00F679B7" w:rsidP="00C873C1">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A3143A">
              <w:rPr>
                <w:rFonts w:eastAsiaTheme="minorEastAsia"/>
                <w:sz w:val="16"/>
                <w:szCs w:val="16"/>
                <w:lang w:eastAsia="en-US"/>
              </w:rPr>
              <w:t>%</w:t>
            </w:r>
          </w:p>
        </w:tc>
        <w:tc>
          <w:tcPr>
            <w:tcW w:w="1043" w:type="dxa"/>
            <w:tcBorders>
              <w:top w:val="single" w:sz="4" w:space="0" w:color="auto"/>
              <w:bottom w:val="single" w:sz="4" w:space="0" w:color="auto"/>
            </w:tcBorders>
            <w:shd w:val="clear" w:color="auto" w:fill="FFFFFF" w:themeFill="background1"/>
            <w:vAlign w:val="center"/>
          </w:tcPr>
          <w:p w14:paraId="1B7FA6E8" w14:textId="77777777" w:rsidR="00F679B7" w:rsidRPr="00A3143A" w:rsidRDefault="00F679B7" w:rsidP="00C873C1">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A3143A">
              <w:rPr>
                <w:rFonts w:eastAsiaTheme="minorEastAsia"/>
                <w:sz w:val="16"/>
                <w:szCs w:val="16"/>
                <w:lang w:eastAsia="en-US"/>
              </w:rPr>
              <w:t>(95% CI)</w:t>
            </w:r>
          </w:p>
        </w:tc>
      </w:tr>
      <w:tr w:rsidR="00F679B7" w:rsidRPr="00D05AB1" w14:paraId="4ED0DB7F" w14:textId="77777777" w:rsidTr="00EE34AF">
        <w:tc>
          <w:tcPr>
            <w:cnfStyle w:val="001000000000" w:firstRow="0" w:lastRow="0" w:firstColumn="1" w:lastColumn="0" w:oddVBand="0" w:evenVBand="0" w:oddHBand="0" w:evenHBand="0" w:firstRowFirstColumn="0" w:firstRowLastColumn="0" w:lastRowFirstColumn="0" w:lastRowLastColumn="0"/>
            <w:tcW w:w="3493" w:type="dxa"/>
            <w:gridSpan w:val="4"/>
            <w:tcBorders>
              <w:top w:val="nil"/>
              <w:left w:val="nil"/>
              <w:bottom w:val="nil"/>
              <w:right w:val="single" w:sz="4" w:space="0" w:color="auto"/>
            </w:tcBorders>
            <w:shd w:val="clear" w:color="auto" w:fill="auto"/>
            <w:vAlign w:val="center"/>
          </w:tcPr>
          <w:p w14:paraId="37DEDDDF" w14:textId="77777777" w:rsidR="00F679B7" w:rsidRPr="00D05AB1" w:rsidRDefault="00F679B7" w:rsidP="00C873C1">
            <w:pPr>
              <w:keepNext/>
              <w:spacing w:before="20" w:after="20"/>
              <w:rPr>
                <w:rFonts w:eastAsiaTheme="minorEastAsia"/>
                <w:sz w:val="16"/>
                <w:szCs w:val="16"/>
                <w:lang w:eastAsia="en-US"/>
              </w:rPr>
            </w:pPr>
            <w:r>
              <w:rPr>
                <w:rFonts w:eastAsiaTheme="minorEastAsia"/>
                <w:sz w:val="16"/>
                <w:szCs w:val="16"/>
                <w:lang w:eastAsia="en-US"/>
              </w:rPr>
              <w:t>Horse/dog race betting</w:t>
            </w:r>
          </w:p>
        </w:tc>
        <w:tc>
          <w:tcPr>
            <w:tcW w:w="536" w:type="dxa"/>
            <w:tcBorders>
              <w:top w:val="nil"/>
              <w:left w:val="single" w:sz="4" w:space="0" w:color="auto"/>
              <w:bottom w:val="nil"/>
              <w:right w:val="nil"/>
            </w:tcBorders>
            <w:shd w:val="clear" w:color="auto" w:fill="auto"/>
            <w:noWrap/>
            <w:vAlign w:val="center"/>
          </w:tcPr>
          <w:p w14:paraId="7BF28083" w14:textId="77777777" w:rsidR="00F679B7" w:rsidRPr="00D05AB1" w:rsidRDefault="00F679B7" w:rsidP="00C873C1">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496" w:type="dxa"/>
            <w:tcBorders>
              <w:top w:val="nil"/>
              <w:left w:val="nil"/>
              <w:bottom w:val="nil"/>
              <w:right w:val="nil"/>
            </w:tcBorders>
            <w:shd w:val="clear" w:color="auto" w:fill="auto"/>
            <w:noWrap/>
            <w:vAlign w:val="center"/>
          </w:tcPr>
          <w:p w14:paraId="21390CE4" w14:textId="77777777" w:rsidR="00F679B7" w:rsidRPr="00D05AB1" w:rsidRDefault="00F679B7" w:rsidP="00C873C1">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000000"/>
            </w:tcBorders>
            <w:shd w:val="clear" w:color="auto" w:fill="auto"/>
            <w:noWrap/>
            <w:vAlign w:val="center"/>
          </w:tcPr>
          <w:p w14:paraId="24B03E80" w14:textId="77777777" w:rsidR="00F679B7" w:rsidRPr="00D05AB1" w:rsidRDefault="00F679B7" w:rsidP="00C873C1">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536" w:type="dxa"/>
            <w:tcBorders>
              <w:top w:val="nil"/>
              <w:left w:val="single" w:sz="4" w:space="0" w:color="000000"/>
              <w:bottom w:val="nil"/>
              <w:right w:val="nil"/>
            </w:tcBorders>
            <w:shd w:val="clear" w:color="auto" w:fill="auto"/>
          </w:tcPr>
          <w:p w14:paraId="185A8CC5" w14:textId="77777777" w:rsidR="00F679B7" w:rsidRPr="00D05AB1" w:rsidRDefault="00F679B7" w:rsidP="00C873C1">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496" w:type="dxa"/>
            <w:tcBorders>
              <w:top w:val="nil"/>
              <w:left w:val="nil"/>
              <w:bottom w:val="nil"/>
              <w:right w:val="nil"/>
            </w:tcBorders>
            <w:shd w:val="clear" w:color="auto" w:fill="auto"/>
          </w:tcPr>
          <w:p w14:paraId="64D713FE" w14:textId="77777777" w:rsidR="00F679B7" w:rsidRPr="00D05AB1" w:rsidRDefault="00F679B7" w:rsidP="00C873C1">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1043" w:type="dxa"/>
            <w:tcBorders>
              <w:top w:val="nil"/>
              <w:left w:val="nil"/>
              <w:bottom w:val="nil"/>
              <w:right w:val="single" w:sz="4" w:space="0" w:color="000000"/>
            </w:tcBorders>
            <w:shd w:val="clear" w:color="auto" w:fill="auto"/>
          </w:tcPr>
          <w:p w14:paraId="2A26DA7B" w14:textId="77777777" w:rsidR="00F679B7" w:rsidRPr="00D05AB1" w:rsidRDefault="00F679B7" w:rsidP="00C873C1">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536" w:type="dxa"/>
            <w:tcBorders>
              <w:top w:val="nil"/>
              <w:left w:val="single" w:sz="4" w:space="0" w:color="000000"/>
              <w:bottom w:val="nil"/>
              <w:right w:val="nil"/>
            </w:tcBorders>
            <w:shd w:val="clear" w:color="auto" w:fill="auto"/>
          </w:tcPr>
          <w:p w14:paraId="2F98670B" w14:textId="77777777" w:rsidR="00F679B7" w:rsidRPr="00A3143A" w:rsidRDefault="00F679B7" w:rsidP="00C873C1">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496" w:type="dxa"/>
            <w:tcBorders>
              <w:top w:val="nil"/>
              <w:left w:val="nil"/>
              <w:bottom w:val="nil"/>
              <w:right w:val="nil"/>
            </w:tcBorders>
            <w:shd w:val="clear" w:color="auto" w:fill="auto"/>
          </w:tcPr>
          <w:p w14:paraId="04B5D9FB" w14:textId="77777777" w:rsidR="00F679B7" w:rsidRPr="00A3143A" w:rsidRDefault="00F679B7" w:rsidP="00C873C1">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1043" w:type="dxa"/>
            <w:tcBorders>
              <w:top w:val="nil"/>
              <w:left w:val="nil"/>
              <w:bottom w:val="nil"/>
              <w:right w:val="nil"/>
            </w:tcBorders>
            <w:shd w:val="clear" w:color="auto" w:fill="auto"/>
          </w:tcPr>
          <w:p w14:paraId="4F782283" w14:textId="77777777" w:rsidR="00F679B7" w:rsidRPr="00A3143A" w:rsidRDefault="00F679B7" w:rsidP="00C873C1">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r>
      <w:tr w:rsidR="009118DA" w:rsidRPr="00D05AB1" w14:paraId="2BDB8B3E" w14:textId="77777777" w:rsidTr="008E6E03">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tcPr>
          <w:p w14:paraId="3D818428" w14:textId="77777777" w:rsidR="00F679B7" w:rsidRPr="00D05AB1" w:rsidRDefault="0067535C" w:rsidP="00C873C1">
            <w:pPr>
              <w:keepNext/>
              <w:spacing w:before="20" w:after="20"/>
              <w:ind w:left="34"/>
              <w:rPr>
                <w:rFonts w:eastAsiaTheme="minorEastAsia"/>
                <w:b w:val="0"/>
                <w:sz w:val="16"/>
                <w:szCs w:val="16"/>
                <w:lang w:eastAsia="en-US"/>
              </w:rPr>
            </w:pPr>
            <w:r>
              <w:rPr>
                <w:rFonts w:eastAsiaTheme="minorEastAsia"/>
                <w:b w:val="0"/>
                <w:sz w:val="16"/>
                <w:szCs w:val="16"/>
                <w:lang w:eastAsia="en-US"/>
              </w:rPr>
              <w:t>NZ e</w:t>
            </w:r>
            <w:r w:rsidR="00F679B7">
              <w:rPr>
                <w:rFonts w:eastAsiaTheme="minorEastAsia"/>
                <w:b w:val="0"/>
                <w:sz w:val="16"/>
                <w:szCs w:val="16"/>
                <w:lang w:eastAsia="en-US"/>
              </w:rPr>
              <w:t xml:space="preserve">vent venue </w:t>
            </w:r>
          </w:p>
        </w:tc>
        <w:tc>
          <w:tcPr>
            <w:tcW w:w="536" w:type="dxa"/>
            <w:tcBorders>
              <w:top w:val="nil"/>
              <w:left w:val="nil"/>
              <w:bottom w:val="nil"/>
              <w:right w:val="nil"/>
            </w:tcBorders>
            <w:shd w:val="clear" w:color="auto" w:fill="auto"/>
            <w:noWrap/>
            <w:vAlign w:val="center"/>
          </w:tcPr>
          <w:p w14:paraId="2CB7D763"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Pr>
                <w:color w:val="000000"/>
                <w:sz w:val="16"/>
                <w:szCs w:val="16"/>
              </w:rPr>
              <w:t>500</w:t>
            </w:r>
          </w:p>
        </w:tc>
        <w:tc>
          <w:tcPr>
            <w:tcW w:w="496" w:type="dxa"/>
            <w:tcBorders>
              <w:top w:val="nil"/>
              <w:left w:val="nil"/>
              <w:bottom w:val="nil"/>
              <w:right w:val="nil"/>
            </w:tcBorders>
            <w:shd w:val="clear" w:color="auto" w:fill="auto"/>
            <w:noWrap/>
            <w:vAlign w:val="center"/>
          </w:tcPr>
          <w:p w14:paraId="23CEB72D"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1043" w:type="dxa"/>
            <w:tcBorders>
              <w:top w:val="nil"/>
              <w:left w:val="nil"/>
              <w:bottom w:val="nil"/>
              <w:right w:val="single" w:sz="4" w:space="0" w:color="auto"/>
            </w:tcBorders>
            <w:shd w:val="clear" w:color="auto" w:fill="auto"/>
            <w:noWrap/>
            <w:vAlign w:val="center"/>
          </w:tcPr>
          <w:p w14:paraId="4C55F464"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(7.2, 8.8)</w:t>
            </w:r>
          </w:p>
        </w:tc>
        <w:tc>
          <w:tcPr>
            <w:tcW w:w="536" w:type="dxa"/>
            <w:tcBorders>
              <w:top w:val="nil"/>
              <w:left w:val="single" w:sz="4" w:space="0" w:color="auto"/>
              <w:bottom w:val="nil"/>
              <w:right w:val="nil"/>
            </w:tcBorders>
            <w:shd w:val="clear" w:color="auto" w:fill="auto"/>
            <w:noWrap/>
            <w:vAlign w:val="center"/>
          </w:tcPr>
          <w:p w14:paraId="188D7F44"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229</w:t>
            </w:r>
          </w:p>
        </w:tc>
        <w:tc>
          <w:tcPr>
            <w:tcW w:w="496" w:type="dxa"/>
            <w:tcBorders>
              <w:top w:val="nil"/>
              <w:left w:val="nil"/>
              <w:bottom w:val="nil"/>
              <w:right w:val="nil"/>
            </w:tcBorders>
            <w:shd w:val="clear" w:color="auto" w:fill="auto"/>
            <w:noWrap/>
            <w:vAlign w:val="center"/>
          </w:tcPr>
          <w:p w14:paraId="07580C81"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1043" w:type="dxa"/>
            <w:tcBorders>
              <w:top w:val="nil"/>
              <w:left w:val="nil"/>
              <w:bottom w:val="nil"/>
              <w:right w:val="single" w:sz="4" w:space="0" w:color="000000"/>
            </w:tcBorders>
            <w:shd w:val="clear" w:color="auto" w:fill="auto"/>
            <w:noWrap/>
            <w:vAlign w:val="center"/>
          </w:tcPr>
          <w:p w14:paraId="57E45833"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(5.1, 7.1)</w:t>
            </w:r>
          </w:p>
        </w:tc>
        <w:tc>
          <w:tcPr>
            <w:tcW w:w="536" w:type="dxa"/>
            <w:tcBorders>
              <w:top w:val="nil"/>
              <w:left w:val="single" w:sz="4" w:space="0" w:color="000000"/>
              <w:bottom w:val="nil"/>
              <w:right w:val="nil"/>
            </w:tcBorders>
            <w:shd w:val="clear" w:color="auto" w:fill="auto"/>
            <w:vAlign w:val="center"/>
          </w:tcPr>
          <w:p w14:paraId="6E18843A"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167</w:t>
            </w:r>
          </w:p>
        </w:tc>
        <w:tc>
          <w:tcPr>
            <w:tcW w:w="496" w:type="dxa"/>
            <w:tcBorders>
              <w:top w:val="nil"/>
              <w:left w:val="nil"/>
              <w:bottom w:val="nil"/>
              <w:right w:val="nil"/>
            </w:tcBorders>
            <w:shd w:val="clear" w:color="auto" w:fill="auto"/>
            <w:vAlign w:val="center"/>
          </w:tcPr>
          <w:p w14:paraId="3D958DE5"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1043" w:type="dxa"/>
            <w:tcBorders>
              <w:top w:val="nil"/>
              <w:left w:val="nil"/>
              <w:bottom w:val="nil"/>
              <w:right w:val="single" w:sz="4" w:space="0" w:color="000000"/>
            </w:tcBorders>
            <w:shd w:val="clear" w:color="auto" w:fill="auto"/>
            <w:vAlign w:val="center"/>
          </w:tcPr>
          <w:p w14:paraId="2D716887"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(4.4, 6.3)</w:t>
            </w:r>
          </w:p>
        </w:tc>
        <w:tc>
          <w:tcPr>
            <w:tcW w:w="536" w:type="dxa"/>
            <w:tcBorders>
              <w:top w:val="nil"/>
              <w:left w:val="single" w:sz="4" w:space="0" w:color="000000"/>
              <w:bottom w:val="nil"/>
              <w:right w:val="nil"/>
            </w:tcBorders>
            <w:shd w:val="clear" w:color="auto" w:fill="auto"/>
            <w:vAlign w:val="center"/>
          </w:tcPr>
          <w:p w14:paraId="72C3D0D1"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496" w:type="dxa"/>
            <w:tcBorders>
              <w:top w:val="nil"/>
              <w:left w:val="nil"/>
              <w:bottom w:val="nil"/>
              <w:right w:val="nil"/>
            </w:tcBorders>
            <w:shd w:val="clear" w:color="auto" w:fill="auto"/>
            <w:vAlign w:val="center"/>
          </w:tcPr>
          <w:p w14:paraId="5D2ED098"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1043" w:type="dxa"/>
            <w:tcBorders>
              <w:top w:val="nil"/>
              <w:left w:val="nil"/>
              <w:bottom w:val="nil"/>
              <w:right w:val="nil"/>
            </w:tcBorders>
            <w:shd w:val="clear" w:color="auto" w:fill="auto"/>
            <w:vAlign w:val="center"/>
          </w:tcPr>
          <w:p w14:paraId="68053BFF"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(4.6, 6.7)</w:t>
            </w:r>
          </w:p>
        </w:tc>
      </w:tr>
      <w:tr w:rsidR="009118DA" w:rsidRPr="00D05AB1" w14:paraId="1CE50468" w14:textId="77777777" w:rsidTr="00EE34AF">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tcPr>
          <w:p w14:paraId="207988B1" w14:textId="77777777" w:rsidR="00F679B7" w:rsidRPr="00D05AB1" w:rsidRDefault="0067535C" w:rsidP="00C873C1">
            <w:pPr>
              <w:keepNext/>
              <w:spacing w:before="20" w:after="20"/>
              <w:ind w:left="34"/>
              <w:rPr>
                <w:rFonts w:eastAsiaTheme="minorEastAsia"/>
                <w:b w:val="0"/>
                <w:sz w:val="16"/>
                <w:szCs w:val="16"/>
                <w:lang w:eastAsia="en-US"/>
              </w:rPr>
            </w:pPr>
            <w:r>
              <w:rPr>
                <w:rFonts w:eastAsiaTheme="minorEastAsia"/>
                <w:b w:val="0"/>
                <w:sz w:val="16"/>
                <w:szCs w:val="16"/>
                <w:lang w:eastAsia="en-US"/>
              </w:rPr>
              <w:t xml:space="preserve">NZ </w:t>
            </w:r>
            <w:r w:rsidR="00F679B7">
              <w:rPr>
                <w:rFonts w:eastAsiaTheme="minorEastAsia"/>
                <w:b w:val="0"/>
                <w:sz w:val="16"/>
                <w:szCs w:val="16"/>
                <w:lang w:eastAsia="en-US"/>
              </w:rPr>
              <w:t>TAB on site</w:t>
            </w:r>
          </w:p>
        </w:tc>
        <w:tc>
          <w:tcPr>
            <w:tcW w:w="536" w:type="dxa"/>
            <w:tcBorders>
              <w:top w:val="nil"/>
              <w:left w:val="nil"/>
              <w:bottom w:val="nil"/>
              <w:right w:val="nil"/>
            </w:tcBorders>
            <w:shd w:val="clear" w:color="auto" w:fill="auto"/>
            <w:noWrap/>
            <w:vAlign w:val="center"/>
          </w:tcPr>
          <w:p w14:paraId="717DA67F"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481</w:t>
            </w:r>
          </w:p>
        </w:tc>
        <w:tc>
          <w:tcPr>
            <w:tcW w:w="496" w:type="dxa"/>
            <w:tcBorders>
              <w:top w:val="nil"/>
              <w:left w:val="nil"/>
              <w:bottom w:val="nil"/>
              <w:right w:val="nil"/>
            </w:tcBorders>
            <w:shd w:val="clear" w:color="auto" w:fill="auto"/>
            <w:noWrap/>
            <w:vAlign w:val="center"/>
          </w:tcPr>
          <w:p w14:paraId="7C6938D0"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1043" w:type="dxa"/>
            <w:tcBorders>
              <w:top w:val="nil"/>
              <w:left w:val="nil"/>
              <w:bottom w:val="nil"/>
              <w:right w:val="single" w:sz="4" w:space="0" w:color="auto"/>
            </w:tcBorders>
            <w:shd w:val="clear" w:color="auto" w:fill="auto"/>
            <w:noWrap/>
            <w:vAlign w:val="center"/>
          </w:tcPr>
          <w:p w14:paraId="6BB58C4E"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(6.9, 8.5)</w:t>
            </w:r>
          </w:p>
        </w:tc>
        <w:tc>
          <w:tcPr>
            <w:tcW w:w="536" w:type="dxa"/>
            <w:tcBorders>
              <w:top w:val="nil"/>
              <w:left w:val="single" w:sz="4" w:space="0" w:color="auto"/>
              <w:bottom w:val="nil"/>
              <w:right w:val="nil"/>
            </w:tcBorders>
            <w:shd w:val="clear" w:color="auto" w:fill="auto"/>
            <w:noWrap/>
            <w:vAlign w:val="center"/>
          </w:tcPr>
          <w:p w14:paraId="2ED47935"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259</w:t>
            </w:r>
          </w:p>
        </w:tc>
        <w:tc>
          <w:tcPr>
            <w:tcW w:w="496" w:type="dxa"/>
            <w:tcBorders>
              <w:top w:val="nil"/>
              <w:left w:val="nil"/>
              <w:bottom w:val="nil"/>
              <w:right w:val="nil"/>
            </w:tcBorders>
            <w:shd w:val="clear" w:color="auto" w:fill="auto"/>
            <w:noWrap/>
            <w:vAlign w:val="center"/>
          </w:tcPr>
          <w:p w14:paraId="283ABD3F"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1043" w:type="dxa"/>
            <w:tcBorders>
              <w:top w:val="nil"/>
              <w:left w:val="nil"/>
              <w:bottom w:val="nil"/>
              <w:right w:val="single" w:sz="4" w:space="0" w:color="000000"/>
            </w:tcBorders>
            <w:shd w:val="clear" w:color="auto" w:fill="auto"/>
            <w:noWrap/>
            <w:vAlign w:val="center"/>
          </w:tcPr>
          <w:p w14:paraId="707AEF4D"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(5.9, 7.9)</w:t>
            </w:r>
          </w:p>
        </w:tc>
        <w:tc>
          <w:tcPr>
            <w:tcW w:w="536" w:type="dxa"/>
            <w:tcBorders>
              <w:top w:val="nil"/>
              <w:left w:val="single" w:sz="4" w:space="0" w:color="000000"/>
              <w:bottom w:val="nil"/>
              <w:right w:val="nil"/>
            </w:tcBorders>
            <w:shd w:val="clear" w:color="auto" w:fill="auto"/>
            <w:vAlign w:val="center"/>
          </w:tcPr>
          <w:p w14:paraId="373B5FE0"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496" w:type="dxa"/>
            <w:tcBorders>
              <w:top w:val="nil"/>
              <w:left w:val="nil"/>
              <w:bottom w:val="nil"/>
              <w:right w:val="nil"/>
            </w:tcBorders>
            <w:shd w:val="clear" w:color="auto" w:fill="auto"/>
            <w:vAlign w:val="center"/>
          </w:tcPr>
          <w:p w14:paraId="7BD9D46F"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1043" w:type="dxa"/>
            <w:tcBorders>
              <w:top w:val="nil"/>
              <w:left w:val="nil"/>
              <w:bottom w:val="nil"/>
              <w:right w:val="single" w:sz="4" w:space="0" w:color="000000"/>
            </w:tcBorders>
            <w:shd w:val="clear" w:color="auto" w:fill="auto"/>
            <w:vAlign w:val="center"/>
          </w:tcPr>
          <w:p w14:paraId="6EB7B223"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(5.3, 7.2)</w:t>
            </w:r>
          </w:p>
        </w:tc>
        <w:tc>
          <w:tcPr>
            <w:tcW w:w="536" w:type="dxa"/>
            <w:tcBorders>
              <w:top w:val="nil"/>
              <w:left w:val="single" w:sz="4" w:space="0" w:color="000000"/>
              <w:bottom w:val="nil"/>
              <w:right w:val="nil"/>
            </w:tcBorders>
            <w:shd w:val="clear" w:color="auto" w:fill="auto"/>
            <w:vAlign w:val="center"/>
          </w:tcPr>
          <w:p w14:paraId="1839E6D2"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496" w:type="dxa"/>
            <w:tcBorders>
              <w:top w:val="nil"/>
              <w:left w:val="nil"/>
              <w:bottom w:val="nil"/>
              <w:right w:val="nil"/>
            </w:tcBorders>
            <w:shd w:val="clear" w:color="auto" w:fill="auto"/>
            <w:vAlign w:val="center"/>
          </w:tcPr>
          <w:p w14:paraId="0058D4BE"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1043" w:type="dxa"/>
            <w:tcBorders>
              <w:top w:val="nil"/>
              <w:left w:val="nil"/>
              <w:bottom w:val="nil"/>
              <w:right w:val="nil"/>
            </w:tcBorders>
            <w:shd w:val="clear" w:color="auto" w:fill="auto"/>
            <w:vAlign w:val="center"/>
          </w:tcPr>
          <w:p w14:paraId="6AE63751"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(5.0, 7.2)</w:t>
            </w:r>
          </w:p>
        </w:tc>
      </w:tr>
      <w:tr w:rsidR="009118DA" w:rsidRPr="00D05AB1" w14:paraId="45D41CEA" w14:textId="77777777" w:rsidTr="00EE34AF">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tcPr>
          <w:p w14:paraId="18E6D3E3" w14:textId="77777777" w:rsidR="00F679B7" w:rsidRPr="00D05AB1" w:rsidRDefault="0067535C" w:rsidP="00C873C1">
            <w:pPr>
              <w:keepNext/>
              <w:spacing w:before="20" w:after="20"/>
              <w:ind w:left="34"/>
              <w:rPr>
                <w:rFonts w:eastAsiaTheme="minorEastAsia"/>
                <w:b w:val="0"/>
                <w:sz w:val="16"/>
                <w:szCs w:val="16"/>
                <w:lang w:eastAsia="en-US"/>
              </w:rPr>
            </w:pPr>
            <w:r>
              <w:rPr>
                <w:rFonts w:eastAsiaTheme="minorEastAsia"/>
                <w:b w:val="0"/>
                <w:sz w:val="16"/>
                <w:szCs w:val="16"/>
                <w:lang w:eastAsia="en-US"/>
              </w:rPr>
              <w:t xml:space="preserve">NZ </w:t>
            </w:r>
            <w:r w:rsidR="00F679B7">
              <w:rPr>
                <w:rFonts w:eastAsiaTheme="minorEastAsia"/>
                <w:b w:val="0"/>
                <w:sz w:val="16"/>
                <w:szCs w:val="16"/>
                <w:lang w:eastAsia="en-US"/>
              </w:rPr>
              <w:t>TAB online/</w:t>
            </w:r>
            <w:r>
              <w:rPr>
                <w:rFonts w:eastAsiaTheme="minorEastAsia"/>
                <w:b w:val="0"/>
                <w:sz w:val="16"/>
                <w:szCs w:val="16"/>
                <w:lang w:eastAsia="en-US"/>
              </w:rPr>
              <w:t xml:space="preserve"> </w:t>
            </w:r>
            <w:r w:rsidR="00F679B7">
              <w:rPr>
                <w:rFonts w:eastAsiaTheme="minorEastAsia"/>
                <w:b w:val="0"/>
                <w:sz w:val="16"/>
                <w:szCs w:val="16"/>
                <w:lang w:eastAsia="en-US"/>
              </w:rPr>
              <w:t>remote</w:t>
            </w:r>
          </w:p>
        </w:tc>
        <w:tc>
          <w:tcPr>
            <w:tcW w:w="536" w:type="dxa"/>
            <w:tcBorders>
              <w:top w:val="nil"/>
              <w:left w:val="nil"/>
              <w:bottom w:val="nil"/>
              <w:right w:val="nil"/>
            </w:tcBorders>
            <w:shd w:val="clear" w:color="auto" w:fill="auto"/>
            <w:noWrap/>
            <w:vAlign w:val="center"/>
          </w:tcPr>
          <w:p w14:paraId="6A5B7797"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496" w:type="dxa"/>
            <w:tcBorders>
              <w:top w:val="nil"/>
              <w:left w:val="nil"/>
              <w:bottom w:val="nil"/>
              <w:right w:val="nil"/>
            </w:tcBorders>
            <w:shd w:val="clear" w:color="auto" w:fill="auto"/>
            <w:noWrap/>
            <w:vAlign w:val="center"/>
          </w:tcPr>
          <w:p w14:paraId="5207CAAC"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1043" w:type="dxa"/>
            <w:tcBorders>
              <w:top w:val="nil"/>
              <w:left w:val="nil"/>
              <w:bottom w:val="nil"/>
              <w:right w:val="single" w:sz="4" w:space="0" w:color="auto"/>
            </w:tcBorders>
            <w:shd w:val="clear" w:color="auto" w:fill="auto"/>
            <w:noWrap/>
            <w:vAlign w:val="center"/>
          </w:tcPr>
          <w:p w14:paraId="0FF71B21"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(2.4, 3.5)</w:t>
            </w:r>
          </w:p>
        </w:tc>
        <w:tc>
          <w:tcPr>
            <w:tcW w:w="536" w:type="dxa"/>
            <w:tcBorders>
              <w:top w:val="nil"/>
              <w:left w:val="single" w:sz="4" w:space="0" w:color="auto"/>
              <w:bottom w:val="nil"/>
              <w:right w:val="nil"/>
            </w:tcBorders>
            <w:shd w:val="clear" w:color="auto" w:fill="auto"/>
            <w:noWrap/>
            <w:vAlign w:val="center"/>
          </w:tcPr>
          <w:p w14:paraId="15D87105"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496" w:type="dxa"/>
            <w:tcBorders>
              <w:top w:val="nil"/>
              <w:left w:val="nil"/>
              <w:bottom w:val="nil"/>
              <w:right w:val="nil"/>
            </w:tcBorders>
            <w:shd w:val="clear" w:color="auto" w:fill="auto"/>
            <w:noWrap/>
            <w:vAlign w:val="center"/>
          </w:tcPr>
          <w:p w14:paraId="2B7490DA"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1043" w:type="dxa"/>
            <w:tcBorders>
              <w:top w:val="nil"/>
              <w:left w:val="nil"/>
              <w:bottom w:val="nil"/>
              <w:right w:val="single" w:sz="4" w:space="0" w:color="000000"/>
            </w:tcBorders>
            <w:shd w:val="clear" w:color="auto" w:fill="auto"/>
            <w:noWrap/>
            <w:vAlign w:val="center"/>
          </w:tcPr>
          <w:p w14:paraId="31E5D257"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(1.9, 3.3)</w:t>
            </w:r>
          </w:p>
        </w:tc>
        <w:tc>
          <w:tcPr>
            <w:tcW w:w="536" w:type="dxa"/>
            <w:tcBorders>
              <w:top w:val="nil"/>
              <w:left w:val="single" w:sz="4" w:space="0" w:color="000000"/>
              <w:bottom w:val="nil"/>
              <w:right w:val="nil"/>
            </w:tcBorders>
            <w:shd w:val="clear" w:color="auto" w:fill="auto"/>
            <w:vAlign w:val="center"/>
          </w:tcPr>
          <w:p w14:paraId="58C31099"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496" w:type="dxa"/>
            <w:tcBorders>
              <w:top w:val="nil"/>
              <w:left w:val="nil"/>
              <w:bottom w:val="nil"/>
              <w:right w:val="nil"/>
            </w:tcBorders>
            <w:shd w:val="clear" w:color="auto" w:fill="auto"/>
            <w:vAlign w:val="center"/>
          </w:tcPr>
          <w:p w14:paraId="4E6091E0"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w:t>
            </w:r>
          </w:p>
        </w:tc>
        <w:tc>
          <w:tcPr>
            <w:tcW w:w="1043" w:type="dxa"/>
            <w:tcBorders>
              <w:top w:val="nil"/>
              <w:left w:val="nil"/>
              <w:bottom w:val="nil"/>
              <w:right w:val="single" w:sz="4" w:space="0" w:color="000000"/>
            </w:tcBorders>
            <w:shd w:val="clear" w:color="auto" w:fill="auto"/>
            <w:vAlign w:val="center"/>
          </w:tcPr>
          <w:p w14:paraId="69C92579"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(1.5, 2.9)</w:t>
            </w:r>
          </w:p>
        </w:tc>
        <w:tc>
          <w:tcPr>
            <w:tcW w:w="536" w:type="dxa"/>
            <w:tcBorders>
              <w:top w:val="nil"/>
              <w:left w:val="single" w:sz="4" w:space="0" w:color="000000"/>
              <w:bottom w:val="nil"/>
              <w:right w:val="nil"/>
            </w:tcBorders>
            <w:shd w:val="clear" w:color="auto" w:fill="auto"/>
            <w:vAlign w:val="center"/>
          </w:tcPr>
          <w:p w14:paraId="64AF90C2"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496" w:type="dxa"/>
            <w:tcBorders>
              <w:top w:val="nil"/>
              <w:left w:val="nil"/>
              <w:bottom w:val="nil"/>
              <w:right w:val="nil"/>
            </w:tcBorders>
            <w:shd w:val="clear" w:color="auto" w:fill="auto"/>
            <w:vAlign w:val="center"/>
          </w:tcPr>
          <w:p w14:paraId="3E5161B5"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1043" w:type="dxa"/>
            <w:tcBorders>
              <w:top w:val="nil"/>
              <w:left w:val="nil"/>
              <w:bottom w:val="nil"/>
              <w:right w:val="nil"/>
            </w:tcBorders>
            <w:shd w:val="clear" w:color="auto" w:fill="auto"/>
            <w:vAlign w:val="center"/>
          </w:tcPr>
          <w:p w14:paraId="531E2090"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(1.6, 2.8)</w:t>
            </w:r>
          </w:p>
        </w:tc>
      </w:tr>
      <w:tr w:rsidR="009118DA" w:rsidRPr="00D05AB1" w14:paraId="7DE6FDCF" w14:textId="77777777" w:rsidTr="00EE34AF">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tcPr>
          <w:p w14:paraId="7566065C" w14:textId="77777777" w:rsidR="00F679B7" w:rsidRPr="00D05AB1" w:rsidRDefault="00F679B7" w:rsidP="00C873C1">
            <w:pPr>
              <w:keepNext/>
              <w:spacing w:before="20" w:after="20"/>
              <w:ind w:left="34"/>
              <w:rPr>
                <w:rFonts w:eastAsiaTheme="minorEastAsia"/>
                <w:b w:val="0"/>
                <w:sz w:val="16"/>
                <w:szCs w:val="16"/>
                <w:lang w:eastAsia="en-US"/>
              </w:rPr>
            </w:pPr>
            <w:r>
              <w:rPr>
                <w:rFonts w:eastAsiaTheme="minorEastAsia"/>
                <w:b w:val="0"/>
                <w:sz w:val="16"/>
                <w:szCs w:val="16"/>
                <w:lang w:eastAsia="en-US"/>
              </w:rPr>
              <w:t>Offshore online/ remote</w:t>
            </w:r>
          </w:p>
        </w:tc>
        <w:tc>
          <w:tcPr>
            <w:tcW w:w="536" w:type="dxa"/>
            <w:tcBorders>
              <w:top w:val="nil"/>
              <w:left w:val="nil"/>
              <w:bottom w:val="nil"/>
              <w:right w:val="nil"/>
            </w:tcBorders>
            <w:shd w:val="clear" w:color="auto" w:fill="auto"/>
            <w:noWrap/>
            <w:vAlign w:val="center"/>
          </w:tcPr>
          <w:p w14:paraId="660EF0F4"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496" w:type="dxa"/>
            <w:tcBorders>
              <w:top w:val="nil"/>
              <w:left w:val="nil"/>
              <w:bottom w:val="nil"/>
              <w:right w:val="nil"/>
            </w:tcBorders>
            <w:shd w:val="clear" w:color="auto" w:fill="auto"/>
            <w:noWrap/>
            <w:vAlign w:val="center"/>
          </w:tcPr>
          <w:p w14:paraId="663EB274"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1043" w:type="dxa"/>
            <w:tcBorders>
              <w:top w:val="nil"/>
              <w:left w:val="nil"/>
              <w:bottom w:val="nil"/>
              <w:right w:val="single" w:sz="4" w:space="0" w:color="auto"/>
            </w:tcBorders>
            <w:shd w:val="clear" w:color="auto" w:fill="auto"/>
            <w:noWrap/>
            <w:vAlign w:val="center"/>
          </w:tcPr>
          <w:p w14:paraId="0E5108F9"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(0.2, 0.6)</w:t>
            </w:r>
          </w:p>
        </w:tc>
        <w:tc>
          <w:tcPr>
            <w:tcW w:w="536" w:type="dxa"/>
            <w:tcBorders>
              <w:top w:val="nil"/>
              <w:left w:val="single" w:sz="4" w:space="0" w:color="auto"/>
              <w:bottom w:val="nil"/>
              <w:right w:val="nil"/>
            </w:tcBorders>
            <w:shd w:val="clear" w:color="auto" w:fill="auto"/>
            <w:noWrap/>
            <w:vAlign w:val="center"/>
          </w:tcPr>
          <w:p w14:paraId="55D20376"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496" w:type="dxa"/>
            <w:tcBorders>
              <w:top w:val="nil"/>
              <w:left w:val="nil"/>
              <w:bottom w:val="nil"/>
              <w:right w:val="nil"/>
            </w:tcBorders>
            <w:shd w:val="clear" w:color="auto" w:fill="auto"/>
            <w:noWrap/>
            <w:vAlign w:val="center"/>
          </w:tcPr>
          <w:p w14:paraId="74DB98E3"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1043" w:type="dxa"/>
            <w:tcBorders>
              <w:top w:val="nil"/>
              <w:left w:val="nil"/>
              <w:bottom w:val="nil"/>
              <w:right w:val="single" w:sz="4" w:space="0" w:color="000000"/>
            </w:tcBorders>
            <w:shd w:val="clear" w:color="auto" w:fill="auto"/>
            <w:noWrap/>
            <w:vAlign w:val="center"/>
          </w:tcPr>
          <w:p w14:paraId="27852032"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(0.1, 0.6)</w:t>
            </w:r>
          </w:p>
        </w:tc>
        <w:tc>
          <w:tcPr>
            <w:tcW w:w="536" w:type="dxa"/>
            <w:tcBorders>
              <w:top w:val="nil"/>
              <w:left w:val="single" w:sz="4" w:space="0" w:color="000000"/>
              <w:bottom w:val="nil"/>
              <w:right w:val="nil"/>
            </w:tcBorders>
            <w:shd w:val="clear" w:color="auto" w:fill="auto"/>
            <w:vAlign w:val="center"/>
          </w:tcPr>
          <w:p w14:paraId="3930EF03"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496" w:type="dxa"/>
            <w:tcBorders>
              <w:top w:val="nil"/>
              <w:left w:val="nil"/>
              <w:bottom w:val="nil"/>
              <w:right w:val="nil"/>
            </w:tcBorders>
            <w:shd w:val="clear" w:color="auto" w:fill="auto"/>
            <w:vAlign w:val="center"/>
          </w:tcPr>
          <w:p w14:paraId="254E1F8E"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1043" w:type="dxa"/>
            <w:tcBorders>
              <w:top w:val="nil"/>
              <w:left w:val="nil"/>
              <w:bottom w:val="nil"/>
              <w:right w:val="single" w:sz="4" w:space="0" w:color="000000"/>
            </w:tcBorders>
            <w:shd w:val="clear" w:color="auto" w:fill="auto"/>
            <w:vAlign w:val="center"/>
          </w:tcPr>
          <w:p w14:paraId="411D5FC8"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(0.0, 0.7)</w:t>
            </w:r>
          </w:p>
        </w:tc>
        <w:tc>
          <w:tcPr>
            <w:tcW w:w="536" w:type="dxa"/>
            <w:tcBorders>
              <w:top w:val="nil"/>
              <w:left w:val="single" w:sz="4" w:space="0" w:color="000000"/>
              <w:bottom w:val="nil"/>
              <w:right w:val="nil"/>
            </w:tcBorders>
            <w:shd w:val="clear" w:color="auto" w:fill="auto"/>
            <w:vAlign w:val="center"/>
          </w:tcPr>
          <w:p w14:paraId="1EF0434A"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w:t>
            </w:r>
          </w:p>
        </w:tc>
        <w:tc>
          <w:tcPr>
            <w:tcW w:w="496" w:type="dxa"/>
            <w:tcBorders>
              <w:top w:val="nil"/>
              <w:left w:val="nil"/>
              <w:bottom w:val="nil"/>
              <w:right w:val="nil"/>
            </w:tcBorders>
            <w:shd w:val="clear" w:color="auto" w:fill="auto"/>
            <w:vAlign w:val="center"/>
          </w:tcPr>
          <w:p w14:paraId="02523A3D"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1043" w:type="dxa"/>
            <w:tcBorders>
              <w:top w:val="nil"/>
              <w:left w:val="nil"/>
              <w:bottom w:val="nil"/>
              <w:right w:val="nil"/>
            </w:tcBorders>
            <w:shd w:val="clear" w:color="auto" w:fill="auto"/>
            <w:vAlign w:val="center"/>
          </w:tcPr>
          <w:p w14:paraId="2790ED29" w14:textId="77777777" w:rsidR="00F679B7"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w:t>
            </w:r>
            <w:r w:rsidR="00004BDB">
              <w:rPr>
                <w:color w:val="000000"/>
                <w:sz w:val="16"/>
                <w:szCs w:val="16"/>
              </w:rPr>
              <w:t>.0</w:t>
            </w:r>
            <w:r>
              <w:rPr>
                <w:color w:val="000000"/>
                <w:sz w:val="16"/>
                <w:szCs w:val="16"/>
              </w:rPr>
              <w:t>, 0.4)</w:t>
            </w:r>
          </w:p>
        </w:tc>
      </w:tr>
      <w:tr w:rsidR="009118DA" w:rsidRPr="00D05AB1" w14:paraId="165D80AD" w14:textId="77777777" w:rsidTr="00EE34AF">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tcPr>
          <w:p w14:paraId="21A3DCB8" w14:textId="77777777" w:rsidR="00F679B7" w:rsidRPr="00E8720B" w:rsidRDefault="00E8720B" w:rsidP="00C873C1">
            <w:pPr>
              <w:keepNext/>
              <w:spacing w:before="20" w:after="20"/>
              <w:ind w:left="34"/>
              <w:rPr>
                <w:rFonts w:eastAsiaTheme="minorEastAsia"/>
                <w:sz w:val="16"/>
                <w:szCs w:val="16"/>
                <w:lang w:eastAsia="en-US"/>
              </w:rPr>
            </w:pPr>
            <w:r>
              <w:rPr>
                <w:rFonts w:eastAsiaTheme="minorEastAsia"/>
                <w:sz w:val="16"/>
                <w:szCs w:val="16"/>
                <w:lang w:eastAsia="en-US"/>
              </w:rPr>
              <w:t>Sports betting</w:t>
            </w:r>
          </w:p>
        </w:tc>
        <w:tc>
          <w:tcPr>
            <w:tcW w:w="536" w:type="dxa"/>
            <w:tcBorders>
              <w:top w:val="nil"/>
              <w:left w:val="nil"/>
              <w:bottom w:val="nil"/>
              <w:right w:val="nil"/>
            </w:tcBorders>
            <w:shd w:val="clear" w:color="auto" w:fill="auto"/>
            <w:noWrap/>
            <w:vAlign w:val="center"/>
          </w:tcPr>
          <w:p w14:paraId="265755B0" w14:textId="77777777" w:rsidR="00F679B7" w:rsidRPr="00D05AB1" w:rsidRDefault="00F679B7" w:rsidP="00C873C1">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496" w:type="dxa"/>
            <w:tcBorders>
              <w:top w:val="nil"/>
              <w:left w:val="nil"/>
              <w:bottom w:val="nil"/>
              <w:right w:val="nil"/>
            </w:tcBorders>
            <w:shd w:val="clear" w:color="auto" w:fill="auto"/>
            <w:noWrap/>
            <w:vAlign w:val="center"/>
          </w:tcPr>
          <w:p w14:paraId="7F7F086A" w14:textId="77777777" w:rsidR="00F679B7" w:rsidRPr="00D05AB1" w:rsidRDefault="00F679B7" w:rsidP="00C873C1">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auto"/>
            </w:tcBorders>
            <w:shd w:val="clear" w:color="auto" w:fill="auto"/>
            <w:noWrap/>
            <w:vAlign w:val="center"/>
          </w:tcPr>
          <w:p w14:paraId="4772D5A6" w14:textId="77777777" w:rsidR="00F679B7" w:rsidRPr="00D05AB1" w:rsidRDefault="00F679B7" w:rsidP="00C873C1">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36" w:type="dxa"/>
            <w:tcBorders>
              <w:top w:val="nil"/>
              <w:left w:val="single" w:sz="4" w:space="0" w:color="auto"/>
              <w:bottom w:val="nil"/>
              <w:right w:val="nil"/>
            </w:tcBorders>
            <w:shd w:val="clear" w:color="auto" w:fill="auto"/>
            <w:noWrap/>
            <w:vAlign w:val="center"/>
          </w:tcPr>
          <w:p w14:paraId="1B7B26FC" w14:textId="77777777" w:rsidR="00F679B7" w:rsidRPr="00D05AB1" w:rsidRDefault="00F679B7" w:rsidP="00C873C1">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496" w:type="dxa"/>
            <w:tcBorders>
              <w:top w:val="nil"/>
              <w:left w:val="nil"/>
              <w:bottom w:val="nil"/>
              <w:right w:val="nil"/>
            </w:tcBorders>
            <w:shd w:val="clear" w:color="auto" w:fill="auto"/>
            <w:noWrap/>
            <w:vAlign w:val="center"/>
          </w:tcPr>
          <w:p w14:paraId="5E9357AE" w14:textId="77777777" w:rsidR="00F679B7" w:rsidRPr="00D05AB1" w:rsidRDefault="00F679B7" w:rsidP="00C873C1">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000000"/>
            </w:tcBorders>
            <w:shd w:val="clear" w:color="auto" w:fill="auto"/>
            <w:noWrap/>
            <w:vAlign w:val="center"/>
          </w:tcPr>
          <w:p w14:paraId="559788A6" w14:textId="77777777" w:rsidR="00F679B7" w:rsidRPr="00D05AB1" w:rsidRDefault="00F679B7" w:rsidP="00C873C1">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36" w:type="dxa"/>
            <w:tcBorders>
              <w:top w:val="nil"/>
              <w:left w:val="single" w:sz="4" w:space="0" w:color="000000"/>
              <w:bottom w:val="nil"/>
              <w:right w:val="nil"/>
            </w:tcBorders>
            <w:shd w:val="clear" w:color="auto" w:fill="auto"/>
            <w:vAlign w:val="center"/>
          </w:tcPr>
          <w:p w14:paraId="31622B5C" w14:textId="77777777" w:rsidR="00F679B7" w:rsidRPr="00D05AB1"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96" w:type="dxa"/>
            <w:tcBorders>
              <w:top w:val="nil"/>
              <w:left w:val="nil"/>
              <w:bottom w:val="nil"/>
              <w:right w:val="nil"/>
            </w:tcBorders>
            <w:shd w:val="clear" w:color="auto" w:fill="auto"/>
            <w:vAlign w:val="center"/>
          </w:tcPr>
          <w:p w14:paraId="1E264735" w14:textId="77777777" w:rsidR="00F679B7" w:rsidRPr="00D05AB1"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43" w:type="dxa"/>
            <w:tcBorders>
              <w:top w:val="nil"/>
              <w:left w:val="nil"/>
              <w:bottom w:val="nil"/>
              <w:right w:val="single" w:sz="4" w:space="0" w:color="000000"/>
            </w:tcBorders>
            <w:shd w:val="clear" w:color="auto" w:fill="auto"/>
            <w:vAlign w:val="center"/>
          </w:tcPr>
          <w:p w14:paraId="3D868D7A" w14:textId="77777777" w:rsidR="00F679B7" w:rsidRPr="00D05AB1"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536" w:type="dxa"/>
            <w:tcBorders>
              <w:top w:val="nil"/>
              <w:left w:val="single" w:sz="4" w:space="0" w:color="000000"/>
              <w:bottom w:val="nil"/>
              <w:right w:val="nil"/>
            </w:tcBorders>
            <w:shd w:val="clear" w:color="auto" w:fill="auto"/>
            <w:vAlign w:val="center"/>
          </w:tcPr>
          <w:p w14:paraId="6DEE5743" w14:textId="77777777" w:rsidR="00F679B7" w:rsidRPr="00A3143A"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96" w:type="dxa"/>
            <w:tcBorders>
              <w:top w:val="nil"/>
              <w:left w:val="nil"/>
              <w:bottom w:val="nil"/>
              <w:right w:val="nil"/>
            </w:tcBorders>
            <w:shd w:val="clear" w:color="auto" w:fill="auto"/>
            <w:vAlign w:val="center"/>
          </w:tcPr>
          <w:p w14:paraId="6B968C4A" w14:textId="77777777" w:rsidR="00F679B7" w:rsidRPr="00A3143A"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43" w:type="dxa"/>
            <w:tcBorders>
              <w:top w:val="nil"/>
              <w:left w:val="nil"/>
              <w:bottom w:val="nil"/>
              <w:right w:val="nil"/>
            </w:tcBorders>
            <w:shd w:val="clear" w:color="auto" w:fill="auto"/>
            <w:vAlign w:val="center"/>
          </w:tcPr>
          <w:p w14:paraId="0990E2E7" w14:textId="77777777" w:rsidR="00F679B7" w:rsidRPr="00A3143A" w:rsidRDefault="00F679B7"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9118DA" w:rsidRPr="00D05AB1" w14:paraId="02CD76C7" w14:textId="77777777" w:rsidTr="008E6E03">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tcPr>
          <w:p w14:paraId="1C1E2EA3" w14:textId="77777777" w:rsidR="00E8720B" w:rsidRPr="00D05AB1" w:rsidRDefault="0067535C" w:rsidP="00C873C1">
            <w:pPr>
              <w:keepNext/>
              <w:spacing w:before="20" w:after="20"/>
              <w:ind w:left="34"/>
              <w:rPr>
                <w:rFonts w:eastAsiaTheme="minorEastAsia"/>
                <w:b w:val="0"/>
                <w:sz w:val="16"/>
                <w:szCs w:val="16"/>
                <w:lang w:eastAsia="en-US"/>
              </w:rPr>
            </w:pPr>
            <w:r>
              <w:rPr>
                <w:rFonts w:eastAsiaTheme="minorEastAsia"/>
                <w:b w:val="0"/>
                <w:sz w:val="16"/>
                <w:szCs w:val="16"/>
                <w:lang w:eastAsia="en-US"/>
              </w:rPr>
              <w:t>NZ e</w:t>
            </w:r>
            <w:r w:rsidR="00E8720B">
              <w:rPr>
                <w:rFonts w:eastAsiaTheme="minorEastAsia"/>
                <w:b w:val="0"/>
                <w:sz w:val="16"/>
                <w:szCs w:val="16"/>
                <w:lang w:eastAsia="en-US"/>
              </w:rPr>
              <w:t>vent venue</w:t>
            </w:r>
          </w:p>
        </w:tc>
        <w:tc>
          <w:tcPr>
            <w:tcW w:w="536" w:type="dxa"/>
            <w:tcBorders>
              <w:top w:val="nil"/>
              <w:left w:val="nil"/>
              <w:bottom w:val="nil"/>
              <w:right w:val="nil"/>
            </w:tcBorders>
            <w:shd w:val="clear" w:color="auto" w:fill="auto"/>
            <w:noWrap/>
            <w:vAlign w:val="center"/>
          </w:tcPr>
          <w:p w14:paraId="4CEFE91F"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Pr>
                <w:color w:val="000000"/>
                <w:sz w:val="16"/>
                <w:szCs w:val="16"/>
              </w:rPr>
              <w:t>175</w:t>
            </w:r>
          </w:p>
        </w:tc>
        <w:tc>
          <w:tcPr>
            <w:tcW w:w="496" w:type="dxa"/>
            <w:tcBorders>
              <w:top w:val="nil"/>
              <w:left w:val="nil"/>
              <w:bottom w:val="nil"/>
              <w:right w:val="nil"/>
            </w:tcBorders>
            <w:shd w:val="clear" w:color="auto" w:fill="auto"/>
            <w:noWrap/>
            <w:vAlign w:val="center"/>
          </w:tcPr>
          <w:p w14:paraId="2ACF3629"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1043" w:type="dxa"/>
            <w:tcBorders>
              <w:top w:val="nil"/>
              <w:left w:val="nil"/>
              <w:bottom w:val="nil"/>
              <w:right w:val="single" w:sz="4" w:space="0" w:color="auto"/>
            </w:tcBorders>
            <w:shd w:val="clear" w:color="auto" w:fill="auto"/>
            <w:noWrap/>
            <w:vAlign w:val="center"/>
          </w:tcPr>
          <w:p w14:paraId="6A5D8BF3"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(2.3, 3.3)</w:t>
            </w:r>
          </w:p>
        </w:tc>
        <w:tc>
          <w:tcPr>
            <w:tcW w:w="536" w:type="dxa"/>
            <w:tcBorders>
              <w:top w:val="nil"/>
              <w:left w:val="single" w:sz="4" w:space="0" w:color="auto"/>
              <w:bottom w:val="nil"/>
              <w:right w:val="nil"/>
            </w:tcBorders>
            <w:shd w:val="clear" w:color="auto" w:fill="auto"/>
            <w:noWrap/>
            <w:vAlign w:val="center"/>
          </w:tcPr>
          <w:p w14:paraId="21CEC6F1"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496" w:type="dxa"/>
            <w:tcBorders>
              <w:top w:val="nil"/>
              <w:left w:val="nil"/>
              <w:bottom w:val="nil"/>
              <w:right w:val="nil"/>
            </w:tcBorders>
            <w:shd w:val="clear" w:color="auto" w:fill="auto"/>
            <w:noWrap/>
            <w:vAlign w:val="center"/>
          </w:tcPr>
          <w:p w14:paraId="14B2C0FA"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1043" w:type="dxa"/>
            <w:tcBorders>
              <w:top w:val="nil"/>
              <w:left w:val="nil"/>
              <w:bottom w:val="nil"/>
              <w:right w:val="single" w:sz="4" w:space="0" w:color="000000"/>
            </w:tcBorders>
            <w:shd w:val="clear" w:color="auto" w:fill="auto"/>
            <w:noWrap/>
            <w:vAlign w:val="center"/>
          </w:tcPr>
          <w:p w14:paraId="28A1FDDB"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(1.1, 2.0)</w:t>
            </w:r>
          </w:p>
        </w:tc>
        <w:tc>
          <w:tcPr>
            <w:tcW w:w="536" w:type="dxa"/>
            <w:tcBorders>
              <w:top w:val="nil"/>
              <w:left w:val="single" w:sz="4" w:space="0" w:color="000000"/>
              <w:bottom w:val="nil"/>
              <w:right w:val="nil"/>
            </w:tcBorders>
            <w:shd w:val="clear" w:color="auto" w:fill="auto"/>
            <w:vAlign w:val="center"/>
          </w:tcPr>
          <w:p w14:paraId="69947586"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55</w:t>
            </w:r>
          </w:p>
        </w:tc>
        <w:tc>
          <w:tcPr>
            <w:tcW w:w="496" w:type="dxa"/>
            <w:tcBorders>
              <w:top w:val="nil"/>
              <w:left w:val="nil"/>
              <w:bottom w:val="nil"/>
              <w:right w:val="nil"/>
            </w:tcBorders>
            <w:shd w:val="clear" w:color="auto" w:fill="auto"/>
            <w:vAlign w:val="center"/>
          </w:tcPr>
          <w:p w14:paraId="7F6D9401"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1043" w:type="dxa"/>
            <w:tcBorders>
              <w:top w:val="nil"/>
              <w:left w:val="nil"/>
              <w:bottom w:val="nil"/>
              <w:right w:val="single" w:sz="4" w:space="0" w:color="000000"/>
            </w:tcBorders>
            <w:shd w:val="clear" w:color="auto" w:fill="auto"/>
            <w:vAlign w:val="center"/>
          </w:tcPr>
          <w:p w14:paraId="29D3F402"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(1.1, 2.4)</w:t>
            </w:r>
          </w:p>
        </w:tc>
        <w:tc>
          <w:tcPr>
            <w:tcW w:w="536" w:type="dxa"/>
            <w:tcBorders>
              <w:top w:val="nil"/>
              <w:left w:val="single" w:sz="4" w:space="0" w:color="000000"/>
              <w:bottom w:val="nil"/>
              <w:right w:val="nil"/>
            </w:tcBorders>
            <w:shd w:val="clear" w:color="auto" w:fill="auto"/>
            <w:vAlign w:val="center"/>
          </w:tcPr>
          <w:p w14:paraId="4344BE21"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496" w:type="dxa"/>
            <w:tcBorders>
              <w:top w:val="nil"/>
              <w:left w:val="nil"/>
              <w:bottom w:val="nil"/>
              <w:right w:val="nil"/>
            </w:tcBorders>
            <w:shd w:val="clear" w:color="auto" w:fill="auto"/>
            <w:vAlign w:val="center"/>
          </w:tcPr>
          <w:p w14:paraId="3F3EC3D1"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1043" w:type="dxa"/>
            <w:tcBorders>
              <w:top w:val="nil"/>
              <w:left w:val="nil"/>
              <w:bottom w:val="nil"/>
              <w:right w:val="nil"/>
            </w:tcBorders>
            <w:shd w:val="clear" w:color="auto" w:fill="auto"/>
            <w:vAlign w:val="center"/>
          </w:tcPr>
          <w:p w14:paraId="65EAFBDF"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(1.0, 2.0)</w:t>
            </w:r>
          </w:p>
        </w:tc>
      </w:tr>
      <w:tr w:rsidR="009118DA" w:rsidRPr="00D05AB1" w14:paraId="1DE92D42" w14:textId="77777777" w:rsidTr="008E6E03">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tcPr>
          <w:p w14:paraId="1F525ED3" w14:textId="77777777" w:rsidR="00E8720B" w:rsidRPr="00D05AB1" w:rsidRDefault="0067535C" w:rsidP="00C873C1">
            <w:pPr>
              <w:keepNext/>
              <w:spacing w:before="20" w:after="20"/>
              <w:ind w:left="34"/>
              <w:rPr>
                <w:rFonts w:eastAsiaTheme="minorEastAsia"/>
                <w:b w:val="0"/>
                <w:sz w:val="16"/>
                <w:szCs w:val="16"/>
                <w:lang w:eastAsia="en-US"/>
              </w:rPr>
            </w:pPr>
            <w:r>
              <w:rPr>
                <w:rFonts w:eastAsiaTheme="minorEastAsia"/>
                <w:b w:val="0"/>
                <w:sz w:val="16"/>
                <w:szCs w:val="16"/>
                <w:lang w:eastAsia="en-US"/>
              </w:rPr>
              <w:t xml:space="preserve">NZ </w:t>
            </w:r>
            <w:r w:rsidR="00E8720B">
              <w:rPr>
                <w:rFonts w:eastAsiaTheme="minorEastAsia"/>
                <w:b w:val="0"/>
                <w:sz w:val="16"/>
                <w:szCs w:val="16"/>
                <w:lang w:eastAsia="en-US"/>
              </w:rPr>
              <w:t>TAB on site</w:t>
            </w:r>
          </w:p>
        </w:tc>
        <w:tc>
          <w:tcPr>
            <w:tcW w:w="536" w:type="dxa"/>
            <w:tcBorders>
              <w:top w:val="nil"/>
              <w:left w:val="nil"/>
              <w:bottom w:val="nil"/>
              <w:right w:val="nil"/>
            </w:tcBorders>
            <w:shd w:val="clear" w:color="auto" w:fill="auto"/>
            <w:noWrap/>
            <w:vAlign w:val="center"/>
          </w:tcPr>
          <w:p w14:paraId="360C96C7"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496" w:type="dxa"/>
            <w:tcBorders>
              <w:top w:val="nil"/>
              <w:left w:val="nil"/>
              <w:bottom w:val="nil"/>
              <w:right w:val="nil"/>
            </w:tcBorders>
            <w:shd w:val="clear" w:color="auto" w:fill="auto"/>
            <w:noWrap/>
            <w:vAlign w:val="center"/>
          </w:tcPr>
          <w:p w14:paraId="1C011DC5"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1043" w:type="dxa"/>
            <w:tcBorders>
              <w:top w:val="nil"/>
              <w:left w:val="nil"/>
              <w:bottom w:val="nil"/>
              <w:right w:val="single" w:sz="4" w:space="0" w:color="auto"/>
            </w:tcBorders>
            <w:shd w:val="clear" w:color="auto" w:fill="auto"/>
            <w:noWrap/>
            <w:vAlign w:val="center"/>
          </w:tcPr>
          <w:p w14:paraId="71DFE15C"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(2.3, 3.4)</w:t>
            </w:r>
          </w:p>
        </w:tc>
        <w:tc>
          <w:tcPr>
            <w:tcW w:w="536" w:type="dxa"/>
            <w:tcBorders>
              <w:top w:val="nil"/>
              <w:left w:val="single" w:sz="4" w:space="0" w:color="auto"/>
              <w:bottom w:val="nil"/>
              <w:right w:val="nil"/>
            </w:tcBorders>
            <w:shd w:val="clear" w:color="auto" w:fill="auto"/>
            <w:noWrap/>
            <w:vAlign w:val="center"/>
          </w:tcPr>
          <w:p w14:paraId="34D57B9C"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496" w:type="dxa"/>
            <w:tcBorders>
              <w:top w:val="nil"/>
              <w:left w:val="nil"/>
              <w:bottom w:val="nil"/>
              <w:right w:val="nil"/>
            </w:tcBorders>
            <w:shd w:val="clear" w:color="auto" w:fill="auto"/>
            <w:noWrap/>
            <w:vAlign w:val="center"/>
          </w:tcPr>
          <w:p w14:paraId="7CF3ECCE"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1043" w:type="dxa"/>
            <w:tcBorders>
              <w:top w:val="nil"/>
              <w:left w:val="nil"/>
              <w:bottom w:val="nil"/>
              <w:right w:val="single" w:sz="4" w:space="0" w:color="000000"/>
            </w:tcBorders>
            <w:shd w:val="clear" w:color="auto" w:fill="auto"/>
            <w:noWrap/>
            <w:vAlign w:val="center"/>
          </w:tcPr>
          <w:p w14:paraId="34D09293"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(1.2, 2.3)</w:t>
            </w:r>
          </w:p>
        </w:tc>
        <w:tc>
          <w:tcPr>
            <w:tcW w:w="536" w:type="dxa"/>
            <w:tcBorders>
              <w:top w:val="nil"/>
              <w:left w:val="single" w:sz="4" w:space="0" w:color="000000"/>
              <w:bottom w:val="nil"/>
              <w:right w:val="nil"/>
            </w:tcBorders>
            <w:shd w:val="clear" w:color="auto" w:fill="auto"/>
            <w:vAlign w:val="center"/>
          </w:tcPr>
          <w:p w14:paraId="4093CF12"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496" w:type="dxa"/>
            <w:tcBorders>
              <w:top w:val="nil"/>
              <w:left w:val="nil"/>
              <w:bottom w:val="nil"/>
              <w:right w:val="nil"/>
            </w:tcBorders>
            <w:shd w:val="clear" w:color="auto" w:fill="auto"/>
            <w:vAlign w:val="center"/>
          </w:tcPr>
          <w:p w14:paraId="017BABD3"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1043" w:type="dxa"/>
            <w:tcBorders>
              <w:top w:val="nil"/>
              <w:left w:val="nil"/>
              <w:bottom w:val="nil"/>
              <w:right w:val="single" w:sz="4" w:space="0" w:color="000000"/>
            </w:tcBorders>
            <w:shd w:val="clear" w:color="auto" w:fill="auto"/>
            <w:vAlign w:val="center"/>
          </w:tcPr>
          <w:p w14:paraId="007B7FAB"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(1.1, 2.2)</w:t>
            </w:r>
          </w:p>
        </w:tc>
        <w:tc>
          <w:tcPr>
            <w:tcW w:w="536" w:type="dxa"/>
            <w:tcBorders>
              <w:top w:val="nil"/>
              <w:left w:val="single" w:sz="4" w:space="0" w:color="000000"/>
              <w:bottom w:val="nil"/>
              <w:right w:val="nil"/>
            </w:tcBorders>
            <w:shd w:val="clear" w:color="auto" w:fill="auto"/>
            <w:vAlign w:val="center"/>
          </w:tcPr>
          <w:p w14:paraId="1CDD7793"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496" w:type="dxa"/>
            <w:tcBorders>
              <w:top w:val="nil"/>
              <w:left w:val="nil"/>
              <w:bottom w:val="nil"/>
              <w:right w:val="nil"/>
            </w:tcBorders>
            <w:shd w:val="clear" w:color="auto" w:fill="auto"/>
            <w:vAlign w:val="center"/>
          </w:tcPr>
          <w:p w14:paraId="77410712"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1043" w:type="dxa"/>
            <w:tcBorders>
              <w:top w:val="nil"/>
              <w:left w:val="nil"/>
              <w:bottom w:val="nil"/>
              <w:right w:val="nil"/>
            </w:tcBorders>
            <w:shd w:val="clear" w:color="auto" w:fill="auto"/>
            <w:vAlign w:val="center"/>
          </w:tcPr>
          <w:p w14:paraId="14B925BB"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(1.1, 2.3)</w:t>
            </w:r>
          </w:p>
        </w:tc>
      </w:tr>
      <w:tr w:rsidR="009118DA" w:rsidRPr="00D05AB1" w14:paraId="417B391A" w14:textId="77777777" w:rsidTr="008E6E03">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tcPr>
          <w:p w14:paraId="157A0AE8" w14:textId="77777777" w:rsidR="00E8720B" w:rsidRPr="00D05AB1" w:rsidRDefault="0067535C" w:rsidP="00C873C1">
            <w:pPr>
              <w:keepNext/>
              <w:spacing w:before="20" w:after="20"/>
              <w:ind w:left="34"/>
              <w:rPr>
                <w:rFonts w:eastAsiaTheme="minorEastAsia"/>
                <w:b w:val="0"/>
                <w:sz w:val="16"/>
                <w:szCs w:val="16"/>
                <w:lang w:eastAsia="en-US"/>
              </w:rPr>
            </w:pPr>
            <w:r>
              <w:rPr>
                <w:rFonts w:eastAsiaTheme="minorEastAsia"/>
                <w:b w:val="0"/>
                <w:sz w:val="16"/>
                <w:szCs w:val="16"/>
                <w:lang w:eastAsia="en-US"/>
              </w:rPr>
              <w:t xml:space="preserve">NZ </w:t>
            </w:r>
            <w:r w:rsidR="00E8720B">
              <w:rPr>
                <w:rFonts w:eastAsiaTheme="minorEastAsia"/>
                <w:b w:val="0"/>
                <w:sz w:val="16"/>
                <w:szCs w:val="16"/>
                <w:lang w:eastAsia="en-US"/>
              </w:rPr>
              <w:t>TAB online/</w:t>
            </w:r>
            <w:r>
              <w:rPr>
                <w:rFonts w:eastAsiaTheme="minorEastAsia"/>
                <w:b w:val="0"/>
                <w:sz w:val="16"/>
                <w:szCs w:val="16"/>
                <w:lang w:eastAsia="en-US"/>
              </w:rPr>
              <w:t xml:space="preserve"> </w:t>
            </w:r>
            <w:r w:rsidR="00E8720B">
              <w:rPr>
                <w:rFonts w:eastAsiaTheme="minorEastAsia"/>
                <w:b w:val="0"/>
                <w:sz w:val="16"/>
                <w:szCs w:val="16"/>
                <w:lang w:eastAsia="en-US"/>
              </w:rPr>
              <w:t>remote</w:t>
            </w:r>
          </w:p>
        </w:tc>
        <w:tc>
          <w:tcPr>
            <w:tcW w:w="536" w:type="dxa"/>
            <w:tcBorders>
              <w:top w:val="nil"/>
              <w:left w:val="nil"/>
              <w:bottom w:val="nil"/>
              <w:right w:val="nil"/>
            </w:tcBorders>
            <w:shd w:val="clear" w:color="auto" w:fill="auto"/>
            <w:noWrap/>
            <w:vAlign w:val="center"/>
          </w:tcPr>
          <w:p w14:paraId="0601162A"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496" w:type="dxa"/>
            <w:tcBorders>
              <w:top w:val="nil"/>
              <w:left w:val="nil"/>
              <w:bottom w:val="nil"/>
              <w:right w:val="nil"/>
            </w:tcBorders>
            <w:shd w:val="clear" w:color="auto" w:fill="auto"/>
            <w:noWrap/>
            <w:vAlign w:val="center"/>
          </w:tcPr>
          <w:p w14:paraId="72BBFF5A"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1043" w:type="dxa"/>
            <w:tcBorders>
              <w:top w:val="nil"/>
              <w:left w:val="nil"/>
              <w:bottom w:val="nil"/>
              <w:right w:val="single" w:sz="4" w:space="0" w:color="auto"/>
            </w:tcBorders>
            <w:shd w:val="clear" w:color="auto" w:fill="auto"/>
            <w:noWrap/>
            <w:vAlign w:val="center"/>
          </w:tcPr>
          <w:p w14:paraId="31402572"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(1.4, 2.3)</w:t>
            </w:r>
          </w:p>
        </w:tc>
        <w:tc>
          <w:tcPr>
            <w:tcW w:w="536" w:type="dxa"/>
            <w:tcBorders>
              <w:top w:val="nil"/>
              <w:left w:val="single" w:sz="4" w:space="0" w:color="auto"/>
              <w:bottom w:val="nil"/>
              <w:right w:val="nil"/>
            </w:tcBorders>
            <w:shd w:val="clear" w:color="auto" w:fill="auto"/>
            <w:noWrap/>
            <w:vAlign w:val="center"/>
          </w:tcPr>
          <w:p w14:paraId="04E942BC"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496" w:type="dxa"/>
            <w:tcBorders>
              <w:top w:val="nil"/>
              <w:left w:val="nil"/>
              <w:bottom w:val="nil"/>
              <w:right w:val="nil"/>
            </w:tcBorders>
            <w:shd w:val="clear" w:color="auto" w:fill="auto"/>
            <w:noWrap/>
            <w:vAlign w:val="center"/>
          </w:tcPr>
          <w:p w14:paraId="03B1E23E"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1043" w:type="dxa"/>
            <w:tcBorders>
              <w:top w:val="nil"/>
              <w:left w:val="nil"/>
              <w:bottom w:val="nil"/>
              <w:right w:val="single" w:sz="4" w:space="0" w:color="000000"/>
            </w:tcBorders>
            <w:shd w:val="clear" w:color="auto" w:fill="auto"/>
            <w:noWrap/>
            <w:vAlign w:val="center"/>
          </w:tcPr>
          <w:p w14:paraId="5A4123FD"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(0.5, 1.1)</w:t>
            </w:r>
          </w:p>
        </w:tc>
        <w:tc>
          <w:tcPr>
            <w:tcW w:w="536" w:type="dxa"/>
            <w:tcBorders>
              <w:top w:val="nil"/>
              <w:left w:val="single" w:sz="4" w:space="0" w:color="000000"/>
              <w:bottom w:val="nil"/>
              <w:right w:val="nil"/>
            </w:tcBorders>
            <w:shd w:val="clear" w:color="auto" w:fill="auto"/>
            <w:vAlign w:val="center"/>
          </w:tcPr>
          <w:p w14:paraId="100E74FC"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496" w:type="dxa"/>
            <w:tcBorders>
              <w:top w:val="nil"/>
              <w:left w:val="nil"/>
              <w:bottom w:val="nil"/>
              <w:right w:val="nil"/>
            </w:tcBorders>
            <w:shd w:val="clear" w:color="auto" w:fill="auto"/>
            <w:vAlign w:val="center"/>
          </w:tcPr>
          <w:p w14:paraId="15AA9362"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w:t>
            </w:r>
          </w:p>
        </w:tc>
        <w:tc>
          <w:tcPr>
            <w:tcW w:w="1043" w:type="dxa"/>
            <w:tcBorders>
              <w:top w:val="nil"/>
              <w:left w:val="nil"/>
              <w:bottom w:val="nil"/>
              <w:right w:val="single" w:sz="4" w:space="0" w:color="000000"/>
            </w:tcBorders>
            <w:shd w:val="clear" w:color="auto" w:fill="auto"/>
            <w:vAlign w:val="center"/>
          </w:tcPr>
          <w:p w14:paraId="4BE4D40B"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(0.7, 1.5)</w:t>
            </w:r>
          </w:p>
        </w:tc>
        <w:tc>
          <w:tcPr>
            <w:tcW w:w="536" w:type="dxa"/>
            <w:tcBorders>
              <w:top w:val="nil"/>
              <w:left w:val="single" w:sz="4" w:space="0" w:color="000000"/>
              <w:bottom w:val="nil"/>
              <w:right w:val="nil"/>
            </w:tcBorders>
            <w:shd w:val="clear" w:color="auto" w:fill="auto"/>
            <w:vAlign w:val="center"/>
          </w:tcPr>
          <w:p w14:paraId="24A781BD"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496" w:type="dxa"/>
            <w:tcBorders>
              <w:top w:val="nil"/>
              <w:left w:val="nil"/>
              <w:bottom w:val="nil"/>
              <w:right w:val="nil"/>
            </w:tcBorders>
            <w:shd w:val="clear" w:color="auto" w:fill="auto"/>
            <w:vAlign w:val="center"/>
          </w:tcPr>
          <w:p w14:paraId="4928FE09"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1043" w:type="dxa"/>
            <w:tcBorders>
              <w:top w:val="nil"/>
              <w:left w:val="nil"/>
              <w:bottom w:val="nil"/>
              <w:right w:val="nil"/>
            </w:tcBorders>
            <w:shd w:val="clear" w:color="auto" w:fill="auto"/>
            <w:vAlign w:val="center"/>
          </w:tcPr>
          <w:p w14:paraId="44A678F5"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(0.9, 2.1)</w:t>
            </w:r>
          </w:p>
        </w:tc>
      </w:tr>
      <w:tr w:rsidR="009118DA" w:rsidRPr="00D05AB1" w14:paraId="2562D8C5" w14:textId="77777777" w:rsidTr="008E6E03">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tcPr>
          <w:p w14:paraId="2F4A7C14" w14:textId="77777777" w:rsidR="00E8720B" w:rsidRPr="00D05AB1" w:rsidRDefault="00E8720B" w:rsidP="00C873C1">
            <w:pPr>
              <w:keepNext/>
              <w:spacing w:before="20" w:after="20"/>
              <w:ind w:left="34"/>
              <w:rPr>
                <w:rFonts w:eastAsiaTheme="minorEastAsia"/>
                <w:b w:val="0"/>
                <w:sz w:val="16"/>
                <w:szCs w:val="16"/>
                <w:lang w:eastAsia="en-US"/>
              </w:rPr>
            </w:pPr>
            <w:r>
              <w:rPr>
                <w:rFonts w:eastAsiaTheme="minorEastAsia"/>
                <w:b w:val="0"/>
                <w:sz w:val="16"/>
                <w:szCs w:val="16"/>
                <w:lang w:eastAsia="en-US"/>
              </w:rPr>
              <w:t>Offshore online/ remote</w:t>
            </w:r>
          </w:p>
        </w:tc>
        <w:tc>
          <w:tcPr>
            <w:tcW w:w="536" w:type="dxa"/>
            <w:tcBorders>
              <w:top w:val="nil"/>
              <w:left w:val="nil"/>
              <w:bottom w:val="nil"/>
              <w:right w:val="nil"/>
            </w:tcBorders>
            <w:shd w:val="clear" w:color="auto" w:fill="auto"/>
            <w:noWrap/>
            <w:vAlign w:val="center"/>
          </w:tcPr>
          <w:p w14:paraId="5786D8BE"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496" w:type="dxa"/>
            <w:tcBorders>
              <w:top w:val="nil"/>
              <w:left w:val="nil"/>
              <w:bottom w:val="nil"/>
              <w:right w:val="nil"/>
            </w:tcBorders>
            <w:shd w:val="clear" w:color="auto" w:fill="auto"/>
            <w:noWrap/>
            <w:vAlign w:val="center"/>
          </w:tcPr>
          <w:p w14:paraId="6B35C3D1"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1043" w:type="dxa"/>
            <w:tcBorders>
              <w:top w:val="nil"/>
              <w:left w:val="nil"/>
              <w:bottom w:val="nil"/>
              <w:right w:val="single" w:sz="4" w:space="0" w:color="auto"/>
            </w:tcBorders>
            <w:shd w:val="clear" w:color="auto" w:fill="auto"/>
            <w:noWrap/>
            <w:vAlign w:val="center"/>
          </w:tcPr>
          <w:p w14:paraId="08A61E1E"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(0.2, 0.6)</w:t>
            </w:r>
          </w:p>
        </w:tc>
        <w:tc>
          <w:tcPr>
            <w:tcW w:w="536" w:type="dxa"/>
            <w:tcBorders>
              <w:top w:val="nil"/>
              <w:left w:val="single" w:sz="4" w:space="0" w:color="auto"/>
              <w:bottom w:val="nil"/>
              <w:right w:val="nil"/>
            </w:tcBorders>
            <w:shd w:val="clear" w:color="auto" w:fill="auto"/>
            <w:noWrap/>
            <w:vAlign w:val="center"/>
          </w:tcPr>
          <w:p w14:paraId="67DE1BAB"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w:t>
            </w:r>
          </w:p>
        </w:tc>
        <w:tc>
          <w:tcPr>
            <w:tcW w:w="496" w:type="dxa"/>
            <w:tcBorders>
              <w:top w:val="nil"/>
              <w:left w:val="nil"/>
              <w:bottom w:val="nil"/>
              <w:right w:val="nil"/>
            </w:tcBorders>
            <w:shd w:val="clear" w:color="auto" w:fill="auto"/>
            <w:noWrap/>
            <w:vAlign w:val="center"/>
          </w:tcPr>
          <w:p w14:paraId="4ED866DB"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1043" w:type="dxa"/>
            <w:tcBorders>
              <w:top w:val="nil"/>
              <w:left w:val="nil"/>
              <w:bottom w:val="nil"/>
              <w:right w:val="single" w:sz="4" w:space="0" w:color="000000"/>
            </w:tcBorders>
            <w:shd w:val="clear" w:color="auto" w:fill="auto"/>
            <w:noWrap/>
            <w:vAlign w:val="center"/>
          </w:tcPr>
          <w:p w14:paraId="5EEEC370"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(0.0, 0.5)</w:t>
            </w:r>
          </w:p>
        </w:tc>
        <w:tc>
          <w:tcPr>
            <w:tcW w:w="536" w:type="dxa"/>
            <w:tcBorders>
              <w:top w:val="nil"/>
              <w:left w:val="single" w:sz="4" w:space="0" w:color="000000"/>
              <w:bottom w:val="nil"/>
              <w:right w:val="nil"/>
            </w:tcBorders>
            <w:shd w:val="clear" w:color="auto" w:fill="auto"/>
            <w:vAlign w:val="center"/>
          </w:tcPr>
          <w:p w14:paraId="08CC7E67"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w:t>
            </w:r>
          </w:p>
        </w:tc>
        <w:tc>
          <w:tcPr>
            <w:tcW w:w="496" w:type="dxa"/>
            <w:tcBorders>
              <w:top w:val="nil"/>
              <w:left w:val="nil"/>
              <w:bottom w:val="nil"/>
              <w:right w:val="nil"/>
            </w:tcBorders>
            <w:shd w:val="clear" w:color="auto" w:fill="auto"/>
            <w:vAlign w:val="center"/>
          </w:tcPr>
          <w:p w14:paraId="2819D94F"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1043" w:type="dxa"/>
            <w:tcBorders>
              <w:top w:val="nil"/>
              <w:left w:val="nil"/>
              <w:bottom w:val="nil"/>
              <w:right w:val="single" w:sz="4" w:space="0" w:color="000000"/>
            </w:tcBorders>
            <w:shd w:val="clear" w:color="auto" w:fill="auto"/>
            <w:vAlign w:val="center"/>
          </w:tcPr>
          <w:p w14:paraId="02B285C4"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(0.1, 0.4)</w:t>
            </w:r>
          </w:p>
        </w:tc>
        <w:tc>
          <w:tcPr>
            <w:tcW w:w="536" w:type="dxa"/>
            <w:tcBorders>
              <w:top w:val="nil"/>
              <w:left w:val="single" w:sz="4" w:space="0" w:color="000000"/>
              <w:bottom w:val="nil"/>
              <w:right w:val="nil"/>
            </w:tcBorders>
            <w:shd w:val="clear" w:color="auto" w:fill="auto"/>
            <w:vAlign w:val="center"/>
          </w:tcPr>
          <w:p w14:paraId="15C2706B"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w:t>
            </w:r>
          </w:p>
        </w:tc>
        <w:tc>
          <w:tcPr>
            <w:tcW w:w="496" w:type="dxa"/>
            <w:tcBorders>
              <w:top w:val="nil"/>
              <w:left w:val="nil"/>
              <w:bottom w:val="nil"/>
              <w:right w:val="nil"/>
            </w:tcBorders>
            <w:shd w:val="clear" w:color="auto" w:fill="auto"/>
            <w:vAlign w:val="center"/>
          </w:tcPr>
          <w:p w14:paraId="5F5F85E6"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1043" w:type="dxa"/>
            <w:tcBorders>
              <w:top w:val="nil"/>
              <w:left w:val="nil"/>
              <w:bottom w:val="nil"/>
              <w:right w:val="nil"/>
            </w:tcBorders>
            <w:shd w:val="clear" w:color="auto" w:fill="auto"/>
            <w:vAlign w:val="center"/>
          </w:tcPr>
          <w:p w14:paraId="6EA0AEE7"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(0.0, 0.2)</w:t>
            </w:r>
          </w:p>
        </w:tc>
      </w:tr>
      <w:tr w:rsidR="00E8720B" w:rsidRPr="00D05AB1" w14:paraId="2D588767" w14:textId="77777777" w:rsidTr="008E6E03">
        <w:tc>
          <w:tcPr>
            <w:cnfStyle w:val="001000000000" w:firstRow="0" w:lastRow="0" w:firstColumn="1" w:lastColumn="0" w:oddVBand="0" w:evenVBand="0" w:oddHBand="0" w:evenHBand="0" w:firstRowFirstColumn="0" w:firstRowLastColumn="0" w:lastRowFirstColumn="0" w:lastRowLastColumn="0"/>
            <w:tcW w:w="1954" w:type="dxa"/>
            <w:gridSpan w:val="2"/>
            <w:tcBorders>
              <w:top w:val="nil"/>
              <w:left w:val="nil"/>
              <w:bottom w:val="nil"/>
              <w:right w:val="nil"/>
            </w:tcBorders>
            <w:shd w:val="clear" w:color="auto" w:fill="auto"/>
            <w:vAlign w:val="center"/>
          </w:tcPr>
          <w:p w14:paraId="5C22B2FD" w14:textId="77777777" w:rsidR="00E8720B" w:rsidRDefault="00E8720B" w:rsidP="00C873C1">
            <w:pPr>
              <w:keepNext/>
              <w:rPr>
                <w:color w:val="000000"/>
                <w:sz w:val="16"/>
                <w:szCs w:val="16"/>
              </w:rPr>
            </w:pPr>
            <w:r>
              <w:rPr>
                <w:rFonts w:eastAsiaTheme="minorEastAsia"/>
                <w:sz w:val="16"/>
                <w:szCs w:val="16"/>
                <w:lang w:eastAsia="en-US"/>
              </w:rPr>
              <w:t>Poker: Commercial</w:t>
            </w:r>
          </w:p>
        </w:tc>
        <w:tc>
          <w:tcPr>
            <w:tcW w:w="496" w:type="dxa"/>
            <w:tcBorders>
              <w:top w:val="nil"/>
              <w:left w:val="nil"/>
              <w:bottom w:val="nil"/>
              <w:right w:val="nil"/>
            </w:tcBorders>
            <w:shd w:val="clear" w:color="auto" w:fill="auto"/>
            <w:noWrap/>
            <w:vAlign w:val="center"/>
          </w:tcPr>
          <w:p w14:paraId="3A39814E"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43" w:type="dxa"/>
            <w:tcBorders>
              <w:top w:val="nil"/>
              <w:left w:val="nil"/>
              <w:bottom w:val="nil"/>
              <w:right w:val="single" w:sz="4" w:space="0" w:color="auto"/>
            </w:tcBorders>
            <w:shd w:val="clear" w:color="auto" w:fill="auto"/>
            <w:noWrap/>
            <w:vAlign w:val="center"/>
          </w:tcPr>
          <w:p w14:paraId="4B226EAB"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536" w:type="dxa"/>
            <w:tcBorders>
              <w:top w:val="nil"/>
              <w:left w:val="single" w:sz="4" w:space="0" w:color="auto"/>
              <w:bottom w:val="nil"/>
              <w:right w:val="nil"/>
            </w:tcBorders>
            <w:shd w:val="clear" w:color="auto" w:fill="auto"/>
            <w:noWrap/>
            <w:vAlign w:val="center"/>
          </w:tcPr>
          <w:p w14:paraId="02FC6E17"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96" w:type="dxa"/>
            <w:tcBorders>
              <w:top w:val="nil"/>
              <w:left w:val="nil"/>
              <w:bottom w:val="nil"/>
              <w:right w:val="nil"/>
            </w:tcBorders>
            <w:shd w:val="clear" w:color="auto" w:fill="auto"/>
            <w:noWrap/>
            <w:vAlign w:val="center"/>
          </w:tcPr>
          <w:p w14:paraId="29182546"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43" w:type="dxa"/>
            <w:tcBorders>
              <w:top w:val="nil"/>
              <w:left w:val="nil"/>
              <w:bottom w:val="nil"/>
              <w:right w:val="single" w:sz="4" w:space="0" w:color="000000"/>
            </w:tcBorders>
            <w:shd w:val="clear" w:color="auto" w:fill="auto"/>
            <w:noWrap/>
            <w:vAlign w:val="center"/>
          </w:tcPr>
          <w:p w14:paraId="1E5ABBC3"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536" w:type="dxa"/>
            <w:tcBorders>
              <w:top w:val="nil"/>
              <w:left w:val="single" w:sz="4" w:space="0" w:color="000000"/>
              <w:bottom w:val="nil"/>
              <w:right w:val="nil"/>
            </w:tcBorders>
            <w:shd w:val="clear" w:color="auto" w:fill="auto"/>
            <w:vAlign w:val="center"/>
          </w:tcPr>
          <w:p w14:paraId="19E1DD57"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96" w:type="dxa"/>
            <w:tcBorders>
              <w:top w:val="nil"/>
              <w:left w:val="nil"/>
              <w:bottom w:val="nil"/>
              <w:right w:val="nil"/>
            </w:tcBorders>
            <w:shd w:val="clear" w:color="auto" w:fill="auto"/>
            <w:vAlign w:val="center"/>
          </w:tcPr>
          <w:p w14:paraId="08F5209C"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43" w:type="dxa"/>
            <w:tcBorders>
              <w:top w:val="nil"/>
              <w:left w:val="nil"/>
              <w:bottom w:val="nil"/>
              <w:right w:val="single" w:sz="4" w:space="0" w:color="000000"/>
            </w:tcBorders>
            <w:shd w:val="clear" w:color="auto" w:fill="auto"/>
            <w:vAlign w:val="center"/>
          </w:tcPr>
          <w:p w14:paraId="3EF0B785"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536" w:type="dxa"/>
            <w:tcBorders>
              <w:top w:val="nil"/>
              <w:left w:val="single" w:sz="4" w:space="0" w:color="000000"/>
              <w:bottom w:val="nil"/>
              <w:right w:val="nil"/>
            </w:tcBorders>
            <w:shd w:val="clear" w:color="auto" w:fill="auto"/>
            <w:vAlign w:val="center"/>
          </w:tcPr>
          <w:p w14:paraId="33BD41A8"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96" w:type="dxa"/>
            <w:tcBorders>
              <w:top w:val="nil"/>
              <w:left w:val="nil"/>
              <w:bottom w:val="nil"/>
              <w:right w:val="nil"/>
            </w:tcBorders>
            <w:shd w:val="clear" w:color="auto" w:fill="auto"/>
            <w:vAlign w:val="center"/>
          </w:tcPr>
          <w:p w14:paraId="7E8CA9C9"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43" w:type="dxa"/>
            <w:tcBorders>
              <w:top w:val="nil"/>
              <w:left w:val="nil"/>
              <w:bottom w:val="nil"/>
              <w:right w:val="nil"/>
            </w:tcBorders>
            <w:shd w:val="clear" w:color="auto" w:fill="auto"/>
            <w:vAlign w:val="center"/>
          </w:tcPr>
          <w:p w14:paraId="755A8977" w14:textId="77777777" w:rsidR="00E8720B" w:rsidRDefault="00E8720B" w:rsidP="00C873C1">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9118DA" w:rsidRPr="00D05AB1" w14:paraId="03121E92" w14:textId="77777777" w:rsidTr="008E6E03">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tcPr>
          <w:p w14:paraId="384F46EC" w14:textId="77777777" w:rsidR="00E8720B" w:rsidRDefault="00E8720B" w:rsidP="00C873C1">
            <w:pPr>
              <w:keepNext/>
              <w:spacing w:before="20" w:after="20"/>
              <w:ind w:left="34"/>
              <w:rPr>
                <w:rFonts w:eastAsiaTheme="minorEastAsia"/>
                <w:b w:val="0"/>
                <w:sz w:val="16"/>
                <w:szCs w:val="16"/>
                <w:lang w:eastAsia="en-US"/>
              </w:rPr>
            </w:pPr>
            <w:r>
              <w:rPr>
                <w:rFonts w:eastAsiaTheme="minorEastAsia"/>
                <w:b w:val="0"/>
                <w:sz w:val="16"/>
                <w:szCs w:val="16"/>
                <w:lang w:eastAsia="en-US"/>
              </w:rPr>
              <w:t>NZ</w:t>
            </w:r>
            <w:r w:rsidR="0067535C">
              <w:rPr>
                <w:rFonts w:eastAsiaTheme="minorEastAsia"/>
                <w:b w:val="0"/>
                <w:sz w:val="16"/>
                <w:szCs w:val="16"/>
                <w:lang w:eastAsia="en-US"/>
              </w:rPr>
              <w:t xml:space="preserve"> on site</w:t>
            </w:r>
          </w:p>
        </w:tc>
        <w:tc>
          <w:tcPr>
            <w:tcW w:w="536" w:type="dxa"/>
            <w:tcBorders>
              <w:top w:val="nil"/>
              <w:left w:val="nil"/>
              <w:bottom w:val="nil"/>
              <w:right w:val="nil"/>
            </w:tcBorders>
            <w:shd w:val="clear" w:color="auto" w:fill="auto"/>
            <w:noWrap/>
            <w:vAlign w:val="center"/>
          </w:tcPr>
          <w:p w14:paraId="546090AB"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Pr>
                <w:color w:val="000000"/>
                <w:sz w:val="16"/>
                <w:szCs w:val="16"/>
              </w:rPr>
              <w:t>107</w:t>
            </w:r>
          </w:p>
        </w:tc>
        <w:tc>
          <w:tcPr>
            <w:tcW w:w="496" w:type="dxa"/>
            <w:tcBorders>
              <w:top w:val="nil"/>
              <w:left w:val="nil"/>
              <w:bottom w:val="nil"/>
              <w:right w:val="nil"/>
            </w:tcBorders>
            <w:shd w:val="clear" w:color="auto" w:fill="auto"/>
            <w:noWrap/>
            <w:vAlign w:val="center"/>
          </w:tcPr>
          <w:p w14:paraId="179ACE29"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1043" w:type="dxa"/>
            <w:tcBorders>
              <w:top w:val="nil"/>
              <w:left w:val="nil"/>
              <w:bottom w:val="nil"/>
              <w:right w:val="single" w:sz="4" w:space="0" w:color="auto"/>
            </w:tcBorders>
            <w:shd w:val="clear" w:color="auto" w:fill="auto"/>
            <w:noWrap/>
            <w:vAlign w:val="center"/>
          </w:tcPr>
          <w:p w14:paraId="28E3ACCC"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(1.3, 2.1)</w:t>
            </w:r>
          </w:p>
        </w:tc>
        <w:tc>
          <w:tcPr>
            <w:tcW w:w="536" w:type="dxa"/>
            <w:tcBorders>
              <w:top w:val="nil"/>
              <w:left w:val="single" w:sz="4" w:space="0" w:color="auto"/>
              <w:bottom w:val="nil"/>
              <w:right w:val="nil"/>
            </w:tcBorders>
            <w:shd w:val="clear" w:color="auto" w:fill="auto"/>
            <w:noWrap/>
            <w:vAlign w:val="center"/>
          </w:tcPr>
          <w:p w14:paraId="4168E6E6"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496" w:type="dxa"/>
            <w:tcBorders>
              <w:top w:val="nil"/>
              <w:left w:val="nil"/>
              <w:bottom w:val="nil"/>
              <w:right w:val="nil"/>
            </w:tcBorders>
            <w:shd w:val="clear" w:color="auto" w:fill="auto"/>
            <w:noWrap/>
            <w:vAlign w:val="center"/>
          </w:tcPr>
          <w:p w14:paraId="706EE8C2"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1043" w:type="dxa"/>
            <w:tcBorders>
              <w:top w:val="nil"/>
              <w:left w:val="nil"/>
              <w:bottom w:val="nil"/>
              <w:right w:val="single" w:sz="4" w:space="0" w:color="000000"/>
            </w:tcBorders>
            <w:shd w:val="clear" w:color="auto" w:fill="auto"/>
            <w:noWrap/>
            <w:vAlign w:val="center"/>
          </w:tcPr>
          <w:p w14:paraId="69E44732"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(0.7, 1.7)</w:t>
            </w:r>
          </w:p>
        </w:tc>
        <w:tc>
          <w:tcPr>
            <w:tcW w:w="536" w:type="dxa"/>
            <w:tcBorders>
              <w:top w:val="nil"/>
              <w:left w:val="single" w:sz="4" w:space="0" w:color="000000"/>
              <w:bottom w:val="nil"/>
              <w:right w:val="nil"/>
            </w:tcBorders>
            <w:shd w:val="clear" w:color="auto" w:fill="auto"/>
            <w:vAlign w:val="center"/>
          </w:tcPr>
          <w:p w14:paraId="758C3894"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w:t>
            </w:r>
          </w:p>
        </w:tc>
        <w:tc>
          <w:tcPr>
            <w:tcW w:w="496" w:type="dxa"/>
            <w:tcBorders>
              <w:top w:val="nil"/>
              <w:left w:val="nil"/>
              <w:bottom w:val="nil"/>
              <w:right w:val="nil"/>
            </w:tcBorders>
            <w:shd w:val="clear" w:color="auto" w:fill="auto"/>
            <w:vAlign w:val="center"/>
          </w:tcPr>
          <w:p w14:paraId="1F6389CB"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0.6</w:t>
            </w:r>
          </w:p>
        </w:tc>
        <w:tc>
          <w:tcPr>
            <w:tcW w:w="1043" w:type="dxa"/>
            <w:tcBorders>
              <w:top w:val="nil"/>
              <w:left w:val="nil"/>
              <w:bottom w:val="nil"/>
              <w:right w:val="single" w:sz="4" w:space="0" w:color="000000"/>
            </w:tcBorders>
            <w:shd w:val="clear" w:color="auto" w:fill="auto"/>
            <w:vAlign w:val="center"/>
          </w:tcPr>
          <w:p w14:paraId="48A9E652"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(0.3, 1.0)</w:t>
            </w:r>
          </w:p>
        </w:tc>
        <w:tc>
          <w:tcPr>
            <w:tcW w:w="536" w:type="dxa"/>
            <w:tcBorders>
              <w:top w:val="nil"/>
              <w:left w:val="single" w:sz="4" w:space="0" w:color="000000"/>
              <w:bottom w:val="nil"/>
              <w:right w:val="nil"/>
            </w:tcBorders>
            <w:shd w:val="clear" w:color="auto" w:fill="auto"/>
            <w:vAlign w:val="center"/>
          </w:tcPr>
          <w:p w14:paraId="38F5ACC2"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496" w:type="dxa"/>
            <w:tcBorders>
              <w:top w:val="nil"/>
              <w:left w:val="nil"/>
              <w:bottom w:val="nil"/>
              <w:right w:val="nil"/>
            </w:tcBorders>
            <w:shd w:val="clear" w:color="auto" w:fill="auto"/>
            <w:vAlign w:val="center"/>
          </w:tcPr>
          <w:p w14:paraId="43F16791"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1043" w:type="dxa"/>
            <w:tcBorders>
              <w:top w:val="nil"/>
              <w:left w:val="nil"/>
              <w:bottom w:val="nil"/>
              <w:right w:val="nil"/>
            </w:tcBorders>
            <w:shd w:val="clear" w:color="auto" w:fill="auto"/>
            <w:vAlign w:val="center"/>
          </w:tcPr>
          <w:p w14:paraId="1F1EFE65"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(0.1, 0.8)</w:t>
            </w:r>
          </w:p>
        </w:tc>
      </w:tr>
      <w:tr w:rsidR="009118DA" w:rsidRPr="00D05AB1" w14:paraId="5BE1EC60" w14:textId="77777777" w:rsidTr="008E6E03">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tcPr>
          <w:p w14:paraId="692B6B27" w14:textId="77777777" w:rsidR="00E8720B" w:rsidRDefault="00E8720B" w:rsidP="00C873C1">
            <w:pPr>
              <w:keepNext/>
              <w:spacing w:before="20" w:after="20"/>
              <w:ind w:left="34"/>
              <w:rPr>
                <w:rFonts w:eastAsiaTheme="minorEastAsia"/>
                <w:b w:val="0"/>
                <w:sz w:val="16"/>
                <w:szCs w:val="16"/>
                <w:lang w:eastAsia="en-US"/>
              </w:rPr>
            </w:pPr>
            <w:r>
              <w:rPr>
                <w:rFonts w:eastAsiaTheme="minorEastAsia"/>
                <w:b w:val="0"/>
                <w:sz w:val="16"/>
                <w:szCs w:val="16"/>
                <w:lang w:eastAsia="en-US"/>
              </w:rPr>
              <w:t>Offshore online/</w:t>
            </w:r>
            <w:r w:rsidR="0067535C">
              <w:rPr>
                <w:rFonts w:eastAsiaTheme="minorEastAsia"/>
                <w:b w:val="0"/>
                <w:sz w:val="16"/>
                <w:szCs w:val="16"/>
                <w:lang w:eastAsia="en-US"/>
              </w:rPr>
              <w:t xml:space="preserve"> </w:t>
            </w:r>
            <w:r>
              <w:rPr>
                <w:rFonts w:eastAsiaTheme="minorEastAsia"/>
                <w:b w:val="0"/>
                <w:sz w:val="16"/>
                <w:szCs w:val="16"/>
                <w:lang w:eastAsia="en-US"/>
              </w:rPr>
              <w:t>remote</w:t>
            </w:r>
          </w:p>
        </w:tc>
        <w:tc>
          <w:tcPr>
            <w:tcW w:w="536" w:type="dxa"/>
            <w:tcBorders>
              <w:top w:val="nil"/>
              <w:left w:val="nil"/>
              <w:bottom w:val="nil"/>
              <w:right w:val="nil"/>
            </w:tcBorders>
            <w:shd w:val="clear" w:color="auto" w:fill="auto"/>
            <w:noWrap/>
            <w:vAlign w:val="center"/>
          </w:tcPr>
          <w:p w14:paraId="41BAA624"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496" w:type="dxa"/>
            <w:tcBorders>
              <w:top w:val="nil"/>
              <w:left w:val="nil"/>
              <w:bottom w:val="nil"/>
              <w:right w:val="nil"/>
            </w:tcBorders>
            <w:shd w:val="clear" w:color="auto" w:fill="auto"/>
            <w:noWrap/>
            <w:vAlign w:val="center"/>
          </w:tcPr>
          <w:p w14:paraId="30847DEF"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1043" w:type="dxa"/>
            <w:tcBorders>
              <w:top w:val="nil"/>
              <w:left w:val="nil"/>
              <w:bottom w:val="nil"/>
              <w:right w:val="single" w:sz="4" w:space="0" w:color="auto"/>
            </w:tcBorders>
            <w:shd w:val="clear" w:color="auto" w:fill="auto"/>
            <w:noWrap/>
            <w:vAlign w:val="center"/>
          </w:tcPr>
          <w:p w14:paraId="65DFFEE8"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(0.2, 0.7)</w:t>
            </w:r>
          </w:p>
        </w:tc>
        <w:tc>
          <w:tcPr>
            <w:tcW w:w="536" w:type="dxa"/>
            <w:tcBorders>
              <w:top w:val="nil"/>
              <w:left w:val="single" w:sz="4" w:space="0" w:color="auto"/>
              <w:bottom w:val="nil"/>
              <w:right w:val="nil"/>
            </w:tcBorders>
            <w:shd w:val="clear" w:color="auto" w:fill="auto"/>
            <w:noWrap/>
            <w:vAlign w:val="center"/>
          </w:tcPr>
          <w:p w14:paraId="5D42F640"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496" w:type="dxa"/>
            <w:tcBorders>
              <w:top w:val="nil"/>
              <w:left w:val="nil"/>
              <w:bottom w:val="nil"/>
              <w:right w:val="nil"/>
            </w:tcBorders>
            <w:shd w:val="clear" w:color="auto" w:fill="auto"/>
            <w:noWrap/>
            <w:vAlign w:val="center"/>
          </w:tcPr>
          <w:p w14:paraId="6CEDEBA2"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1043" w:type="dxa"/>
            <w:tcBorders>
              <w:top w:val="nil"/>
              <w:left w:val="nil"/>
              <w:bottom w:val="nil"/>
              <w:right w:val="single" w:sz="4" w:space="0" w:color="000000"/>
            </w:tcBorders>
            <w:shd w:val="clear" w:color="auto" w:fill="auto"/>
            <w:noWrap/>
            <w:vAlign w:val="center"/>
          </w:tcPr>
          <w:p w14:paraId="7E75A5C0"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(0.1, 0.7)</w:t>
            </w:r>
          </w:p>
        </w:tc>
        <w:tc>
          <w:tcPr>
            <w:tcW w:w="536" w:type="dxa"/>
            <w:tcBorders>
              <w:top w:val="nil"/>
              <w:left w:val="single" w:sz="4" w:space="0" w:color="000000"/>
              <w:bottom w:val="nil"/>
              <w:right w:val="nil"/>
            </w:tcBorders>
            <w:shd w:val="clear" w:color="auto" w:fill="auto"/>
            <w:vAlign w:val="center"/>
          </w:tcPr>
          <w:p w14:paraId="0264B95B"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w:t>
            </w:r>
          </w:p>
        </w:tc>
        <w:tc>
          <w:tcPr>
            <w:tcW w:w="496" w:type="dxa"/>
            <w:tcBorders>
              <w:top w:val="nil"/>
              <w:left w:val="nil"/>
              <w:bottom w:val="nil"/>
              <w:right w:val="nil"/>
            </w:tcBorders>
            <w:shd w:val="clear" w:color="auto" w:fill="auto"/>
            <w:vAlign w:val="center"/>
          </w:tcPr>
          <w:p w14:paraId="6D277C3F"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1043" w:type="dxa"/>
            <w:tcBorders>
              <w:top w:val="nil"/>
              <w:left w:val="nil"/>
              <w:bottom w:val="nil"/>
              <w:right w:val="single" w:sz="4" w:space="0" w:color="000000"/>
            </w:tcBorders>
            <w:shd w:val="clear" w:color="auto" w:fill="auto"/>
            <w:vAlign w:val="center"/>
          </w:tcPr>
          <w:p w14:paraId="1ED672D4"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(0.0, 0.2)</w:t>
            </w:r>
          </w:p>
        </w:tc>
        <w:tc>
          <w:tcPr>
            <w:tcW w:w="536" w:type="dxa"/>
            <w:tcBorders>
              <w:top w:val="nil"/>
              <w:left w:val="single" w:sz="4" w:space="0" w:color="000000"/>
              <w:bottom w:val="nil"/>
              <w:right w:val="nil"/>
            </w:tcBorders>
            <w:shd w:val="clear" w:color="auto" w:fill="auto"/>
            <w:vAlign w:val="center"/>
          </w:tcPr>
          <w:p w14:paraId="23FFF5D3"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w:t>
            </w:r>
          </w:p>
        </w:tc>
        <w:tc>
          <w:tcPr>
            <w:tcW w:w="496" w:type="dxa"/>
            <w:tcBorders>
              <w:top w:val="nil"/>
              <w:left w:val="nil"/>
              <w:bottom w:val="nil"/>
              <w:right w:val="nil"/>
            </w:tcBorders>
            <w:shd w:val="clear" w:color="auto" w:fill="auto"/>
            <w:vAlign w:val="center"/>
          </w:tcPr>
          <w:p w14:paraId="2D866C15"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1043" w:type="dxa"/>
            <w:tcBorders>
              <w:top w:val="nil"/>
              <w:left w:val="nil"/>
              <w:bottom w:val="nil"/>
              <w:right w:val="nil"/>
            </w:tcBorders>
            <w:shd w:val="clear" w:color="auto" w:fill="auto"/>
            <w:vAlign w:val="center"/>
          </w:tcPr>
          <w:p w14:paraId="18ED1F99"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(0.0, 0.4)</w:t>
            </w:r>
          </w:p>
        </w:tc>
      </w:tr>
      <w:tr w:rsidR="009118DA" w:rsidRPr="00D05AB1" w14:paraId="562CF127" w14:textId="77777777" w:rsidTr="008E6E03">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tcPr>
          <w:p w14:paraId="0535F6C5" w14:textId="77777777" w:rsidR="00E8720B" w:rsidRPr="00F62E6F" w:rsidRDefault="00F62E6F" w:rsidP="00C873C1">
            <w:pPr>
              <w:keepNext/>
              <w:spacing w:before="20" w:after="20"/>
              <w:ind w:left="34"/>
              <w:rPr>
                <w:rFonts w:eastAsiaTheme="minorEastAsia"/>
                <w:sz w:val="16"/>
                <w:szCs w:val="16"/>
                <w:lang w:eastAsia="en-US"/>
              </w:rPr>
            </w:pPr>
            <w:r>
              <w:rPr>
                <w:rFonts w:eastAsiaTheme="minorEastAsia"/>
                <w:sz w:val="16"/>
                <w:szCs w:val="16"/>
                <w:lang w:eastAsia="en-US"/>
              </w:rPr>
              <w:t>Raffle/lottery</w:t>
            </w:r>
          </w:p>
        </w:tc>
        <w:tc>
          <w:tcPr>
            <w:tcW w:w="536" w:type="dxa"/>
            <w:tcBorders>
              <w:top w:val="nil"/>
              <w:left w:val="nil"/>
              <w:bottom w:val="nil"/>
              <w:right w:val="nil"/>
            </w:tcBorders>
            <w:shd w:val="clear" w:color="auto" w:fill="auto"/>
            <w:noWrap/>
            <w:vAlign w:val="center"/>
          </w:tcPr>
          <w:p w14:paraId="02489985"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96" w:type="dxa"/>
            <w:tcBorders>
              <w:top w:val="nil"/>
              <w:left w:val="nil"/>
              <w:bottom w:val="nil"/>
              <w:right w:val="nil"/>
            </w:tcBorders>
            <w:shd w:val="clear" w:color="auto" w:fill="auto"/>
            <w:noWrap/>
            <w:vAlign w:val="center"/>
          </w:tcPr>
          <w:p w14:paraId="36362E67"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43" w:type="dxa"/>
            <w:tcBorders>
              <w:top w:val="nil"/>
              <w:left w:val="nil"/>
              <w:bottom w:val="nil"/>
              <w:right w:val="single" w:sz="4" w:space="0" w:color="auto"/>
            </w:tcBorders>
            <w:shd w:val="clear" w:color="auto" w:fill="auto"/>
            <w:noWrap/>
            <w:vAlign w:val="center"/>
          </w:tcPr>
          <w:p w14:paraId="579EE9E7"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536" w:type="dxa"/>
            <w:tcBorders>
              <w:top w:val="nil"/>
              <w:left w:val="single" w:sz="4" w:space="0" w:color="auto"/>
              <w:bottom w:val="nil"/>
              <w:right w:val="nil"/>
            </w:tcBorders>
            <w:shd w:val="clear" w:color="auto" w:fill="auto"/>
            <w:noWrap/>
            <w:vAlign w:val="center"/>
          </w:tcPr>
          <w:p w14:paraId="06803483"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96" w:type="dxa"/>
            <w:tcBorders>
              <w:top w:val="nil"/>
              <w:left w:val="nil"/>
              <w:bottom w:val="nil"/>
              <w:right w:val="nil"/>
            </w:tcBorders>
            <w:shd w:val="clear" w:color="auto" w:fill="auto"/>
            <w:noWrap/>
            <w:vAlign w:val="center"/>
          </w:tcPr>
          <w:p w14:paraId="7F6B4726"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43" w:type="dxa"/>
            <w:tcBorders>
              <w:top w:val="nil"/>
              <w:left w:val="nil"/>
              <w:bottom w:val="nil"/>
              <w:right w:val="single" w:sz="4" w:space="0" w:color="000000"/>
            </w:tcBorders>
            <w:shd w:val="clear" w:color="auto" w:fill="auto"/>
            <w:noWrap/>
            <w:vAlign w:val="center"/>
          </w:tcPr>
          <w:p w14:paraId="51957A89"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536" w:type="dxa"/>
            <w:tcBorders>
              <w:top w:val="nil"/>
              <w:left w:val="single" w:sz="4" w:space="0" w:color="000000"/>
              <w:bottom w:val="nil"/>
              <w:right w:val="nil"/>
            </w:tcBorders>
            <w:shd w:val="clear" w:color="auto" w:fill="auto"/>
            <w:vAlign w:val="center"/>
          </w:tcPr>
          <w:p w14:paraId="6E8AABD0"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96" w:type="dxa"/>
            <w:tcBorders>
              <w:top w:val="nil"/>
              <w:left w:val="nil"/>
              <w:bottom w:val="nil"/>
              <w:right w:val="nil"/>
            </w:tcBorders>
            <w:shd w:val="clear" w:color="auto" w:fill="auto"/>
            <w:vAlign w:val="center"/>
          </w:tcPr>
          <w:p w14:paraId="58EE46CB"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43" w:type="dxa"/>
            <w:tcBorders>
              <w:top w:val="nil"/>
              <w:left w:val="nil"/>
              <w:bottom w:val="nil"/>
              <w:right w:val="single" w:sz="4" w:space="0" w:color="000000"/>
            </w:tcBorders>
            <w:shd w:val="clear" w:color="auto" w:fill="auto"/>
            <w:vAlign w:val="center"/>
          </w:tcPr>
          <w:p w14:paraId="481EB9E1"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536" w:type="dxa"/>
            <w:tcBorders>
              <w:top w:val="nil"/>
              <w:left w:val="single" w:sz="4" w:space="0" w:color="000000"/>
              <w:bottom w:val="nil"/>
              <w:right w:val="nil"/>
            </w:tcBorders>
            <w:shd w:val="clear" w:color="auto" w:fill="auto"/>
            <w:vAlign w:val="center"/>
          </w:tcPr>
          <w:p w14:paraId="5DCDC84D"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96" w:type="dxa"/>
            <w:tcBorders>
              <w:top w:val="nil"/>
              <w:left w:val="nil"/>
              <w:bottom w:val="nil"/>
              <w:right w:val="nil"/>
            </w:tcBorders>
            <w:shd w:val="clear" w:color="auto" w:fill="auto"/>
            <w:vAlign w:val="center"/>
          </w:tcPr>
          <w:p w14:paraId="3A8A0A77"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43" w:type="dxa"/>
            <w:tcBorders>
              <w:top w:val="nil"/>
              <w:left w:val="nil"/>
              <w:bottom w:val="nil"/>
              <w:right w:val="nil"/>
            </w:tcBorders>
            <w:shd w:val="clear" w:color="auto" w:fill="auto"/>
            <w:vAlign w:val="center"/>
          </w:tcPr>
          <w:p w14:paraId="5CC03E90"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9118DA" w:rsidRPr="00D05AB1" w14:paraId="1FA96F3B" w14:textId="77777777" w:rsidTr="008E6E03">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tcPr>
          <w:p w14:paraId="152C5304" w14:textId="77777777" w:rsidR="00F62E6F" w:rsidRDefault="00F62E6F" w:rsidP="00C873C1">
            <w:pPr>
              <w:keepNext/>
              <w:spacing w:before="20" w:after="20"/>
              <w:ind w:left="34"/>
              <w:rPr>
                <w:rFonts w:eastAsiaTheme="minorEastAsia"/>
                <w:b w:val="0"/>
                <w:sz w:val="16"/>
                <w:szCs w:val="16"/>
                <w:lang w:eastAsia="en-US"/>
              </w:rPr>
            </w:pPr>
            <w:r>
              <w:rPr>
                <w:rFonts w:eastAsiaTheme="minorEastAsia"/>
                <w:b w:val="0"/>
                <w:sz w:val="16"/>
                <w:szCs w:val="16"/>
                <w:lang w:eastAsia="en-US"/>
              </w:rPr>
              <w:t>NZ</w:t>
            </w:r>
            <w:r w:rsidR="0067535C">
              <w:rPr>
                <w:rFonts w:eastAsiaTheme="minorEastAsia"/>
                <w:b w:val="0"/>
                <w:sz w:val="16"/>
                <w:szCs w:val="16"/>
                <w:lang w:eastAsia="en-US"/>
              </w:rPr>
              <w:t xml:space="preserve"> on site</w:t>
            </w:r>
          </w:p>
        </w:tc>
        <w:tc>
          <w:tcPr>
            <w:tcW w:w="536" w:type="dxa"/>
            <w:tcBorders>
              <w:top w:val="nil"/>
              <w:left w:val="nil"/>
              <w:bottom w:val="nil"/>
              <w:right w:val="nil"/>
            </w:tcBorders>
            <w:shd w:val="clear" w:color="auto" w:fill="auto"/>
            <w:noWrap/>
            <w:vAlign w:val="center"/>
          </w:tcPr>
          <w:p w14:paraId="60797EDE" w14:textId="77777777" w:rsidR="00F62E6F" w:rsidRDefault="00F62E6F"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Pr>
                <w:color w:val="000000"/>
                <w:sz w:val="16"/>
                <w:szCs w:val="16"/>
              </w:rPr>
              <w:t>2929</w:t>
            </w:r>
          </w:p>
        </w:tc>
        <w:tc>
          <w:tcPr>
            <w:tcW w:w="496" w:type="dxa"/>
            <w:tcBorders>
              <w:top w:val="nil"/>
              <w:left w:val="nil"/>
              <w:bottom w:val="nil"/>
              <w:right w:val="nil"/>
            </w:tcBorders>
            <w:shd w:val="clear" w:color="auto" w:fill="auto"/>
            <w:noWrap/>
            <w:vAlign w:val="center"/>
          </w:tcPr>
          <w:p w14:paraId="3004F041" w14:textId="77777777" w:rsidR="00F62E6F" w:rsidRDefault="00F62E6F"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46.9</w:t>
            </w:r>
          </w:p>
        </w:tc>
        <w:tc>
          <w:tcPr>
            <w:tcW w:w="1043" w:type="dxa"/>
            <w:tcBorders>
              <w:top w:val="nil"/>
              <w:left w:val="nil"/>
              <w:bottom w:val="nil"/>
              <w:right w:val="single" w:sz="4" w:space="0" w:color="auto"/>
            </w:tcBorders>
            <w:shd w:val="clear" w:color="auto" w:fill="auto"/>
            <w:noWrap/>
            <w:vAlign w:val="center"/>
          </w:tcPr>
          <w:p w14:paraId="4881ACC7" w14:textId="77777777" w:rsidR="00F62E6F" w:rsidRDefault="00F62E6F"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(45.4, 48.3)</w:t>
            </w:r>
          </w:p>
        </w:tc>
        <w:tc>
          <w:tcPr>
            <w:tcW w:w="536" w:type="dxa"/>
            <w:tcBorders>
              <w:top w:val="nil"/>
              <w:left w:val="single" w:sz="4" w:space="0" w:color="auto"/>
              <w:bottom w:val="nil"/>
              <w:right w:val="nil"/>
            </w:tcBorders>
            <w:shd w:val="clear" w:color="auto" w:fill="auto"/>
            <w:noWrap/>
            <w:vAlign w:val="center"/>
          </w:tcPr>
          <w:p w14:paraId="31CE2CDB" w14:textId="77777777" w:rsidR="00F62E6F" w:rsidRDefault="00F62E6F"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1784</w:t>
            </w:r>
          </w:p>
        </w:tc>
        <w:tc>
          <w:tcPr>
            <w:tcW w:w="496" w:type="dxa"/>
            <w:tcBorders>
              <w:top w:val="nil"/>
              <w:left w:val="nil"/>
              <w:bottom w:val="nil"/>
              <w:right w:val="nil"/>
            </w:tcBorders>
            <w:shd w:val="clear" w:color="auto" w:fill="auto"/>
            <w:noWrap/>
            <w:vAlign w:val="center"/>
          </w:tcPr>
          <w:p w14:paraId="4D9B89E0" w14:textId="77777777" w:rsidR="00F62E6F" w:rsidRDefault="00F62E6F"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47.6</w:t>
            </w:r>
          </w:p>
        </w:tc>
        <w:tc>
          <w:tcPr>
            <w:tcW w:w="1043" w:type="dxa"/>
            <w:tcBorders>
              <w:top w:val="nil"/>
              <w:left w:val="nil"/>
              <w:bottom w:val="nil"/>
              <w:right w:val="single" w:sz="4" w:space="0" w:color="000000"/>
            </w:tcBorders>
            <w:shd w:val="clear" w:color="auto" w:fill="auto"/>
            <w:noWrap/>
            <w:vAlign w:val="center"/>
          </w:tcPr>
          <w:p w14:paraId="630538AE" w14:textId="77777777" w:rsidR="00F62E6F" w:rsidRDefault="00F62E6F"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(45.7, 49.5)</w:t>
            </w:r>
          </w:p>
        </w:tc>
        <w:tc>
          <w:tcPr>
            <w:tcW w:w="536" w:type="dxa"/>
            <w:tcBorders>
              <w:top w:val="nil"/>
              <w:left w:val="single" w:sz="4" w:space="0" w:color="000000"/>
              <w:bottom w:val="nil"/>
              <w:right w:val="nil"/>
            </w:tcBorders>
            <w:shd w:val="clear" w:color="auto" w:fill="auto"/>
            <w:vAlign w:val="center"/>
          </w:tcPr>
          <w:p w14:paraId="5A5C510A" w14:textId="77777777" w:rsidR="00F62E6F" w:rsidRDefault="00F62E6F"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1482</w:t>
            </w:r>
          </w:p>
        </w:tc>
        <w:tc>
          <w:tcPr>
            <w:tcW w:w="496" w:type="dxa"/>
            <w:tcBorders>
              <w:top w:val="nil"/>
              <w:left w:val="nil"/>
              <w:bottom w:val="nil"/>
              <w:right w:val="nil"/>
            </w:tcBorders>
            <w:shd w:val="clear" w:color="auto" w:fill="auto"/>
            <w:vAlign w:val="center"/>
          </w:tcPr>
          <w:p w14:paraId="229DC0B4" w14:textId="77777777" w:rsidR="00F62E6F" w:rsidRDefault="00F62E6F"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45.7</w:t>
            </w:r>
          </w:p>
        </w:tc>
        <w:tc>
          <w:tcPr>
            <w:tcW w:w="1043" w:type="dxa"/>
            <w:tcBorders>
              <w:top w:val="nil"/>
              <w:left w:val="nil"/>
              <w:bottom w:val="nil"/>
              <w:right w:val="single" w:sz="4" w:space="0" w:color="000000"/>
            </w:tcBorders>
            <w:shd w:val="clear" w:color="auto" w:fill="auto"/>
            <w:vAlign w:val="center"/>
          </w:tcPr>
          <w:p w14:paraId="18F68B97" w14:textId="77777777" w:rsidR="00F62E6F" w:rsidRDefault="00F62E6F"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(43.6, 47.9)</w:t>
            </w:r>
          </w:p>
        </w:tc>
        <w:tc>
          <w:tcPr>
            <w:tcW w:w="536" w:type="dxa"/>
            <w:tcBorders>
              <w:top w:val="nil"/>
              <w:left w:val="single" w:sz="4" w:space="0" w:color="000000"/>
              <w:bottom w:val="nil"/>
              <w:right w:val="nil"/>
            </w:tcBorders>
            <w:shd w:val="clear" w:color="auto" w:fill="auto"/>
            <w:vAlign w:val="center"/>
          </w:tcPr>
          <w:p w14:paraId="4555DD4C" w14:textId="77777777" w:rsidR="00F62E6F" w:rsidRDefault="00F62E6F"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1233</w:t>
            </w:r>
          </w:p>
        </w:tc>
        <w:tc>
          <w:tcPr>
            <w:tcW w:w="496" w:type="dxa"/>
            <w:tcBorders>
              <w:top w:val="nil"/>
              <w:left w:val="nil"/>
              <w:bottom w:val="nil"/>
              <w:right w:val="nil"/>
            </w:tcBorders>
            <w:shd w:val="clear" w:color="auto" w:fill="auto"/>
            <w:vAlign w:val="center"/>
          </w:tcPr>
          <w:p w14:paraId="0A17845B" w14:textId="77777777" w:rsidR="00F62E6F" w:rsidRDefault="00F62E6F"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44.5</w:t>
            </w:r>
          </w:p>
        </w:tc>
        <w:tc>
          <w:tcPr>
            <w:tcW w:w="1043" w:type="dxa"/>
            <w:tcBorders>
              <w:top w:val="nil"/>
              <w:left w:val="nil"/>
              <w:bottom w:val="nil"/>
              <w:right w:val="nil"/>
            </w:tcBorders>
            <w:shd w:val="clear" w:color="auto" w:fill="auto"/>
            <w:vAlign w:val="center"/>
          </w:tcPr>
          <w:p w14:paraId="433D3F12" w14:textId="77777777" w:rsidR="00F62E6F" w:rsidRDefault="00F62E6F"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(42.2, 46.8)</w:t>
            </w:r>
          </w:p>
        </w:tc>
      </w:tr>
      <w:tr w:rsidR="009118DA" w:rsidRPr="00D05AB1" w14:paraId="7F753BFB" w14:textId="77777777" w:rsidTr="008E6E03">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tcPr>
          <w:p w14:paraId="421CEE2B" w14:textId="77777777" w:rsidR="00F62E6F" w:rsidRDefault="00F62E6F" w:rsidP="00C873C1">
            <w:pPr>
              <w:keepNext/>
              <w:spacing w:before="20" w:after="20"/>
              <w:ind w:left="34"/>
              <w:rPr>
                <w:rFonts w:eastAsiaTheme="minorEastAsia"/>
                <w:b w:val="0"/>
                <w:sz w:val="16"/>
                <w:szCs w:val="16"/>
                <w:lang w:eastAsia="en-US"/>
              </w:rPr>
            </w:pPr>
            <w:r>
              <w:rPr>
                <w:rFonts w:eastAsiaTheme="minorEastAsia"/>
                <w:b w:val="0"/>
                <w:sz w:val="16"/>
                <w:szCs w:val="16"/>
                <w:lang w:eastAsia="en-US"/>
              </w:rPr>
              <w:t>Offshore</w:t>
            </w:r>
            <w:r w:rsidR="0067535C">
              <w:rPr>
                <w:rFonts w:eastAsiaTheme="minorEastAsia"/>
                <w:b w:val="0"/>
                <w:sz w:val="16"/>
                <w:szCs w:val="16"/>
                <w:lang w:eastAsia="en-US"/>
              </w:rPr>
              <w:t xml:space="preserve"> online/ remote/on site</w:t>
            </w:r>
          </w:p>
        </w:tc>
        <w:tc>
          <w:tcPr>
            <w:tcW w:w="536" w:type="dxa"/>
            <w:tcBorders>
              <w:top w:val="nil"/>
              <w:left w:val="nil"/>
              <w:bottom w:val="nil"/>
              <w:right w:val="nil"/>
            </w:tcBorders>
            <w:shd w:val="clear" w:color="auto" w:fill="auto"/>
            <w:noWrap/>
            <w:vAlign w:val="center"/>
          </w:tcPr>
          <w:p w14:paraId="6AE9C940" w14:textId="77777777" w:rsidR="00F62E6F" w:rsidRDefault="00F62E6F"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496" w:type="dxa"/>
            <w:tcBorders>
              <w:top w:val="nil"/>
              <w:left w:val="nil"/>
              <w:bottom w:val="nil"/>
              <w:right w:val="nil"/>
            </w:tcBorders>
            <w:shd w:val="clear" w:color="auto" w:fill="auto"/>
            <w:noWrap/>
            <w:vAlign w:val="center"/>
          </w:tcPr>
          <w:p w14:paraId="25DA9017" w14:textId="77777777" w:rsidR="00F62E6F" w:rsidRDefault="00F62E6F"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1043" w:type="dxa"/>
            <w:tcBorders>
              <w:top w:val="nil"/>
              <w:left w:val="nil"/>
              <w:bottom w:val="nil"/>
              <w:right w:val="single" w:sz="4" w:space="0" w:color="auto"/>
            </w:tcBorders>
            <w:shd w:val="clear" w:color="auto" w:fill="auto"/>
            <w:noWrap/>
            <w:vAlign w:val="center"/>
          </w:tcPr>
          <w:p w14:paraId="4CD6954D" w14:textId="77777777" w:rsidR="00F62E6F" w:rsidRDefault="00F62E6F"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(2.7, 3.7)</w:t>
            </w:r>
          </w:p>
        </w:tc>
        <w:tc>
          <w:tcPr>
            <w:tcW w:w="536" w:type="dxa"/>
            <w:tcBorders>
              <w:top w:val="nil"/>
              <w:left w:val="single" w:sz="4" w:space="0" w:color="auto"/>
              <w:bottom w:val="nil"/>
              <w:right w:val="nil"/>
            </w:tcBorders>
            <w:shd w:val="clear" w:color="auto" w:fill="auto"/>
            <w:noWrap/>
            <w:vAlign w:val="center"/>
          </w:tcPr>
          <w:p w14:paraId="5F2A87BB" w14:textId="77777777" w:rsidR="00F62E6F" w:rsidRDefault="00F62E6F"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496" w:type="dxa"/>
            <w:tcBorders>
              <w:top w:val="nil"/>
              <w:left w:val="nil"/>
              <w:bottom w:val="nil"/>
              <w:right w:val="nil"/>
            </w:tcBorders>
            <w:shd w:val="clear" w:color="auto" w:fill="auto"/>
            <w:noWrap/>
            <w:vAlign w:val="center"/>
          </w:tcPr>
          <w:p w14:paraId="7DA60C30" w14:textId="77777777" w:rsidR="00F62E6F" w:rsidRDefault="00F62E6F"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1043" w:type="dxa"/>
            <w:tcBorders>
              <w:top w:val="nil"/>
              <w:left w:val="nil"/>
              <w:bottom w:val="nil"/>
              <w:right w:val="single" w:sz="4" w:space="0" w:color="000000"/>
            </w:tcBorders>
            <w:shd w:val="clear" w:color="auto" w:fill="auto"/>
            <w:noWrap/>
            <w:vAlign w:val="center"/>
          </w:tcPr>
          <w:p w14:paraId="662E85EC" w14:textId="77777777" w:rsidR="00F62E6F" w:rsidRDefault="00F62E6F"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(2.6, 3.8)</w:t>
            </w:r>
          </w:p>
        </w:tc>
        <w:tc>
          <w:tcPr>
            <w:tcW w:w="536" w:type="dxa"/>
            <w:tcBorders>
              <w:top w:val="nil"/>
              <w:left w:val="single" w:sz="4" w:space="0" w:color="000000"/>
              <w:bottom w:val="nil"/>
              <w:right w:val="nil"/>
            </w:tcBorders>
            <w:shd w:val="clear" w:color="auto" w:fill="auto"/>
            <w:vAlign w:val="center"/>
          </w:tcPr>
          <w:p w14:paraId="21D48B93" w14:textId="77777777" w:rsidR="00F62E6F" w:rsidRDefault="00F62E6F"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496" w:type="dxa"/>
            <w:tcBorders>
              <w:top w:val="nil"/>
              <w:left w:val="nil"/>
              <w:bottom w:val="nil"/>
              <w:right w:val="nil"/>
            </w:tcBorders>
            <w:shd w:val="clear" w:color="auto" w:fill="auto"/>
            <w:vAlign w:val="center"/>
          </w:tcPr>
          <w:p w14:paraId="71FB3BE6" w14:textId="77777777" w:rsidR="00F62E6F" w:rsidRDefault="00F62E6F"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1043" w:type="dxa"/>
            <w:tcBorders>
              <w:top w:val="nil"/>
              <w:left w:val="nil"/>
              <w:bottom w:val="nil"/>
              <w:right w:val="single" w:sz="4" w:space="0" w:color="000000"/>
            </w:tcBorders>
            <w:shd w:val="clear" w:color="auto" w:fill="auto"/>
            <w:vAlign w:val="center"/>
          </w:tcPr>
          <w:p w14:paraId="4E35DAEB" w14:textId="77777777" w:rsidR="00F62E6F" w:rsidRDefault="00F62E6F"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(2.4, 3.7)</w:t>
            </w:r>
          </w:p>
        </w:tc>
        <w:tc>
          <w:tcPr>
            <w:tcW w:w="536" w:type="dxa"/>
            <w:tcBorders>
              <w:top w:val="nil"/>
              <w:left w:val="single" w:sz="4" w:space="0" w:color="000000"/>
              <w:bottom w:val="nil"/>
              <w:right w:val="nil"/>
            </w:tcBorders>
            <w:shd w:val="clear" w:color="auto" w:fill="auto"/>
            <w:vAlign w:val="center"/>
          </w:tcPr>
          <w:p w14:paraId="031C46A9" w14:textId="77777777" w:rsidR="00F62E6F" w:rsidRDefault="00F62E6F"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496" w:type="dxa"/>
            <w:tcBorders>
              <w:top w:val="nil"/>
              <w:left w:val="nil"/>
              <w:bottom w:val="nil"/>
              <w:right w:val="nil"/>
            </w:tcBorders>
            <w:shd w:val="clear" w:color="auto" w:fill="auto"/>
            <w:vAlign w:val="center"/>
          </w:tcPr>
          <w:p w14:paraId="6ECF7A56" w14:textId="77777777" w:rsidR="00F62E6F" w:rsidRDefault="00F62E6F"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1043" w:type="dxa"/>
            <w:tcBorders>
              <w:top w:val="nil"/>
              <w:left w:val="nil"/>
              <w:bottom w:val="nil"/>
              <w:right w:val="nil"/>
            </w:tcBorders>
            <w:shd w:val="clear" w:color="auto" w:fill="auto"/>
            <w:vAlign w:val="center"/>
          </w:tcPr>
          <w:p w14:paraId="2895373F" w14:textId="77777777" w:rsidR="00F62E6F" w:rsidRDefault="00F62E6F"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(2.1, 3.5)</w:t>
            </w:r>
          </w:p>
        </w:tc>
      </w:tr>
      <w:tr w:rsidR="009118DA" w:rsidRPr="00D05AB1" w14:paraId="089FF4B1" w14:textId="77777777" w:rsidTr="008E6E03">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tcPr>
          <w:p w14:paraId="4F8B130E" w14:textId="77777777" w:rsidR="00E8720B" w:rsidRPr="00FC432C" w:rsidRDefault="00FC432C" w:rsidP="00C873C1">
            <w:pPr>
              <w:keepNext/>
              <w:spacing w:before="20" w:after="20"/>
              <w:ind w:left="34"/>
              <w:rPr>
                <w:rFonts w:eastAsiaTheme="minorEastAsia"/>
                <w:sz w:val="16"/>
                <w:szCs w:val="16"/>
                <w:lang w:eastAsia="en-US"/>
              </w:rPr>
            </w:pPr>
            <w:r>
              <w:rPr>
                <w:rFonts w:eastAsiaTheme="minorEastAsia"/>
                <w:sz w:val="16"/>
                <w:szCs w:val="16"/>
                <w:lang w:eastAsia="en-US"/>
              </w:rPr>
              <w:t>Lotto</w:t>
            </w:r>
          </w:p>
        </w:tc>
        <w:tc>
          <w:tcPr>
            <w:tcW w:w="536" w:type="dxa"/>
            <w:tcBorders>
              <w:top w:val="nil"/>
              <w:left w:val="nil"/>
              <w:bottom w:val="nil"/>
              <w:right w:val="nil"/>
            </w:tcBorders>
            <w:shd w:val="clear" w:color="auto" w:fill="auto"/>
            <w:noWrap/>
            <w:vAlign w:val="center"/>
          </w:tcPr>
          <w:p w14:paraId="2566D821"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96" w:type="dxa"/>
            <w:tcBorders>
              <w:top w:val="nil"/>
              <w:left w:val="nil"/>
              <w:bottom w:val="nil"/>
              <w:right w:val="nil"/>
            </w:tcBorders>
            <w:shd w:val="clear" w:color="auto" w:fill="auto"/>
            <w:noWrap/>
            <w:vAlign w:val="center"/>
          </w:tcPr>
          <w:p w14:paraId="757E2DDF"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43" w:type="dxa"/>
            <w:tcBorders>
              <w:top w:val="nil"/>
              <w:left w:val="nil"/>
              <w:bottom w:val="nil"/>
              <w:right w:val="single" w:sz="4" w:space="0" w:color="auto"/>
            </w:tcBorders>
            <w:shd w:val="clear" w:color="auto" w:fill="auto"/>
            <w:noWrap/>
            <w:vAlign w:val="center"/>
          </w:tcPr>
          <w:p w14:paraId="04B2B395"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536" w:type="dxa"/>
            <w:tcBorders>
              <w:top w:val="nil"/>
              <w:left w:val="single" w:sz="4" w:space="0" w:color="auto"/>
              <w:bottom w:val="nil"/>
              <w:right w:val="nil"/>
            </w:tcBorders>
            <w:shd w:val="clear" w:color="auto" w:fill="auto"/>
            <w:noWrap/>
            <w:vAlign w:val="center"/>
          </w:tcPr>
          <w:p w14:paraId="56A02070"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96" w:type="dxa"/>
            <w:tcBorders>
              <w:top w:val="nil"/>
              <w:left w:val="nil"/>
              <w:bottom w:val="nil"/>
              <w:right w:val="nil"/>
            </w:tcBorders>
            <w:shd w:val="clear" w:color="auto" w:fill="auto"/>
            <w:noWrap/>
            <w:vAlign w:val="center"/>
          </w:tcPr>
          <w:p w14:paraId="58094333"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43" w:type="dxa"/>
            <w:tcBorders>
              <w:top w:val="nil"/>
              <w:left w:val="nil"/>
              <w:bottom w:val="nil"/>
              <w:right w:val="single" w:sz="4" w:space="0" w:color="000000"/>
            </w:tcBorders>
            <w:shd w:val="clear" w:color="auto" w:fill="auto"/>
            <w:noWrap/>
            <w:vAlign w:val="center"/>
          </w:tcPr>
          <w:p w14:paraId="7663E58C"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536" w:type="dxa"/>
            <w:tcBorders>
              <w:top w:val="nil"/>
              <w:left w:val="single" w:sz="4" w:space="0" w:color="000000"/>
              <w:bottom w:val="nil"/>
              <w:right w:val="nil"/>
            </w:tcBorders>
            <w:shd w:val="clear" w:color="auto" w:fill="auto"/>
            <w:vAlign w:val="center"/>
          </w:tcPr>
          <w:p w14:paraId="716A2CE2"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96" w:type="dxa"/>
            <w:tcBorders>
              <w:top w:val="nil"/>
              <w:left w:val="nil"/>
              <w:bottom w:val="nil"/>
              <w:right w:val="nil"/>
            </w:tcBorders>
            <w:shd w:val="clear" w:color="auto" w:fill="auto"/>
            <w:vAlign w:val="center"/>
          </w:tcPr>
          <w:p w14:paraId="1148D237"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43" w:type="dxa"/>
            <w:tcBorders>
              <w:top w:val="nil"/>
              <w:left w:val="nil"/>
              <w:bottom w:val="nil"/>
              <w:right w:val="single" w:sz="4" w:space="0" w:color="000000"/>
            </w:tcBorders>
            <w:shd w:val="clear" w:color="auto" w:fill="auto"/>
            <w:vAlign w:val="center"/>
          </w:tcPr>
          <w:p w14:paraId="31B5420D"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536" w:type="dxa"/>
            <w:tcBorders>
              <w:top w:val="nil"/>
              <w:left w:val="single" w:sz="4" w:space="0" w:color="000000"/>
              <w:bottom w:val="nil"/>
              <w:right w:val="nil"/>
            </w:tcBorders>
            <w:shd w:val="clear" w:color="auto" w:fill="auto"/>
            <w:vAlign w:val="center"/>
          </w:tcPr>
          <w:p w14:paraId="11B3BDCC"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96" w:type="dxa"/>
            <w:tcBorders>
              <w:top w:val="nil"/>
              <w:left w:val="nil"/>
              <w:bottom w:val="nil"/>
              <w:right w:val="nil"/>
            </w:tcBorders>
            <w:shd w:val="clear" w:color="auto" w:fill="auto"/>
            <w:vAlign w:val="center"/>
          </w:tcPr>
          <w:p w14:paraId="3785031E"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43" w:type="dxa"/>
            <w:tcBorders>
              <w:top w:val="nil"/>
              <w:left w:val="nil"/>
              <w:bottom w:val="nil"/>
              <w:right w:val="nil"/>
            </w:tcBorders>
            <w:shd w:val="clear" w:color="auto" w:fill="auto"/>
            <w:vAlign w:val="center"/>
          </w:tcPr>
          <w:p w14:paraId="04D55EBC" w14:textId="77777777" w:rsidR="00E8720B" w:rsidRDefault="00E8720B"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9118DA" w:rsidRPr="00D05AB1" w14:paraId="14A94226" w14:textId="77777777" w:rsidTr="008E6E03">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tcPr>
          <w:p w14:paraId="7B7AEC16" w14:textId="77777777" w:rsidR="00FC432C" w:rsidRDefault="0067535C" w:rsidP="00C873C1">
            <w:pPr>
              <w:keepNext/>
              <w:spacing w:before="20" w:after="20"/>
              <w:ind w:left="34"/>
              <w:rPr>
                <w:rFonts w:eastAsiaTheme="minorEastAsia"/>
                <w:b w:val="0"/>
                <w:sz w:val="16"/>
                <w:szCs w:val="16"/>
                <w:lang w:eastAsia="en-US"/>
              </w:rPr>
            </w:pPr>
            <w:r>
              <w:rPr>
                <w:rFonts w:eastAsiaTheme="minorEastAsia"/>
                <w:b w:val="0"/>
                <w:sz w:val="16"/>
                <w:szCs w:val="16"/>
                <w:lang w:eastAsia="en-US"/>
              </w:rPr>
              <w:t>NZ o</w:t>
            </w:r>
            <w:r w:rsidR="00FC432C">
              <w:rPr>
                <w:rFonts w:eastAsiaTheme="minorEastAsia"/>
                <w:b w:val="0"/>
                <w:sz w:val="16"/>
                <w:szCs w:val="16"/>
                <w:lang w:eastAsia="en-US"/>
              </w:rPr>
              <w:t>n site</w:t>
            </w:r>
          </w:p>
        </w:tc>
        <w:tc>
          <w:tcPr>
            <w:tcW w:w="536" w:type="dxa"/>
            <w:tcBorders>
              <w:top w:val="nil"/>
              <w:left w:val="nil"/>
              <w:bottom w:val="nil"/>
              <w:right w:val="nil"/>
            </w:tcBorders>
            <w:shd w:val="clear" w:color="auto" w:fill="auto"/>
            <w:noWrap/>
            <w:vAlign w:val="center"/>
          </w:tcPr>
          <w:p w14:paraId="35BFF444" w14:textId="77777777" w:rsidR="00FC432C" w:rsidRDefault="00FC432C"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Pr>
                <w:color w:val="000000"/>
                <w:sz w:val="16"/>
                <w:szCs w:val="16"/>
              </w:rPr>
              <w:t>3804</w:t>
            </w:r>
          </w:p>
        </w:tc>
        <w:tc>
          <w:tcPr>
            <w:tcW w:w="496" w:type="dxa"/>
            <w:tcBorders>
              <w:top w:val="nil"/>
              <w:left w:val="nil"/>
              <w:bottom w:val="nil"/>
              <w:right w:val="nil"/>
            </w:tcBorders>
            <w:shd w:val="clear" w:color="auto" w:fill="auto"/>
            <w:noWrap/>
            <w:vAlign w:val="center"/>
          </w:tcPr>
          <w:p w14:paraId="200A9A50" w14:textId="77777777" w:rsidR="00FC432C" w:rsidRDefault="00FC432C"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60.9</w:t>
            </w:r>
          </w:p>
        </w:tc>
        <w:tc>
          <w:tcPr>
            <w:tcW w:w="1043" w:type="dxa"/>
            <w:tcBorders>
              <w:top w:val="nil"/>
              <w:left w:val="nil"/>
              <w:bottom w:val="nil"/>
              <w:right w:val="single" w:sz="4" w:space="0" w:color="auto"/>
            </w:tcBorders>
            <w:shd w:val="clear" w:color="auto" w:fill="auto"/>
            <w:noWrap/>
            <w:vAlign w:val="center"/>
          </w:tcPr>
          <w:p w14:paraId="51CEBF16" w14:textId="77777777" w:rsidR="00FC432C" w:rsidRDefault="00FC432C"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(59.4, 62.3)</w:t>
            </w:r>
          </w:p>
        </w:tc>
        <w:tc>
          <w:tcPr>
            <w:tcW w:w="536" w:type="dxa"/>
            <w:tcBorders>
              <w:top w:val="nil"/>
              <w:left w:val="single" w:sz="4" w:space="0" w:color="auto"/>
              <w:bottom w:val="nil"/>
              <w:right w:val="nil"/>
            </w:tcBorders>
            <w:shd w:val="clear" w:color="auto" w:fill="auto"/>
            <w:noWrap/>
            <w:vAlign w:val="center"/>
          </w:tcPr>
          <w:p w14:paraId="03858889" w14:textId="77777777" w:rsidR="00FC432C" w:rsidRDefault="00FC432C"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2175</w:t>
            </w:r>
          </w:p>
        </w:tc>
        <w:tc>
          <w:tcPr>
            <w:tcW w:w="496" w:type="dxa"/>
            <w:tcBorders>
              <w:top w:val="nil"/>
              <w:left w:val="nil"/>
              <w:bottom w:val="nil"/>
              <w:right w:val="nil"/>
            </w:tcBorders>
            <w:shd w:val="clear" w:color="auto" w:fill="auto"/>
            <w:noWrap/>
            <w:vAlign w:val="center"/>
          </w:tcPr>
          <w:p w14:paraId="34D3A592" w14:textId="77777777" w:rsidR="00FC432C" w:rsidRDefault="00FC432C"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58.1</w:t>
            </w:r>
          </w:p>
        </w:tc>
        <w:tc>
          <w:tcPr>
            <w:tcW w:w="1043" w:type="dxa"/>
            <w:tcBorders>
              <w:top w:val="nil"/>
              <w:left w:val="nil"/>
              <w:bottom w:val="nil"/>
              <w:right w:val="single" w:sz="4" w:space="0" w:color="000000"/>
            </w:tcBorders>
            <w:shd w:val="clear" w:color="auto" w:fill="auto"/>
            <w:noWrap/>
            <w:vAlign w:val="center"/>
          </w:tcPr>
          <w:p w14:paraId="3683958D" w14:textId="77777777" w:rsidR="00FC432C" w:rsidRDefault="00FC432C"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(56.2, 60.0)</w:t>
            </w:r>
          </w:p>
        </w:tc>
        <w:tc>
          <w:tcPr>
            <w:tcW w:w="536" w:type="dxa"/>
            <w:tcBorders>
              <w:top w:val="nil"/>
              <w:left w:val="single" w:sz="4" w:space="0" w:color="000000"/>
              <w:bottom w:val="nil"/>
              <w:right w:val="nil"/>
            </w:tcBorders>
            <w:shd w:val="clear" w:color="auto" w:fill="auto"/>
            <w:vAlign w:val="center"/>
          </w:tcPr>
          <w:p w14:paraId="710D0EF2" w14:textId="77777777" w:rsidR="00FC432C" w:rsidRDefault="00FC432C"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1793</w:t>
            </w:r>
          </w:p>
        </w:tc>
        <w:tc>
          <w:tcPr>
            <w:tcW w:w="496" w:type="dxa"/>
            <w:tcBorders>
              <w:top w:val="nil"/>
              <w:left w:val="nil"/>
              <w:bottom w:val="nil"/>
              <w:right w:val="nil"/>
            </w:tcBorders>
            <w:shd w:val="clear" w:color="auto" w:fill="auto"/>
            <w:vAlign w:val="center"/>
          </w:tcPr>
          <w:p w14:paraId="1D035A1E" w14:textId="77777777" w:rsidR="00FC432C" w:rsidRDefault="00FC432C"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57.4</w:t>
            </w:r>
          </w:p>
        </w:tc>
        <w:tc>
          <w:tcPr>
            <w:tcW w:w="1043" w:type="dxa"/>
            <w:tcBorders>
              <w:top w:val="nil"/>
              <w:left w:val="nil"/>
              <w:bottom w:val="nil"/>
              <w:right w:val="single" w:sz="4" w:space="0" w:color="000000"/>
            </w:tcBorders>
            <w:shd w:val="clear" w:color="auto" w:fill="auto"/>
            <w:vAlign w:val="center"/>
          </w:tcPr>
          <w:p w14:paraId="24A502A6" w14:textId="77777777" w:rsidR="00FC432C" w:rsidRDefault="00FC432C"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(55.2, 59.6)</w:t>
            </w:r>
          </w:p>
        </w:tc>
        <w:tc>
          <w:tcPr>
            <w:tcW w:w="536" w:type="dxa"/>
            <w:tcBorders>
              <w:top w:val="nil"/>
              <w:left w:val="single" w:sz="4" w:space="0" w:color="000000"/>
              <w:bottom w:val="nil"/>
              <w:right w:val="nil"/>
            </w:tcBorders>
            <w:shd w:val="clear" w:color="auto" w:fill="auto"/>
            <w:vAlign w:val="center"/>
          </w:tcPr>
          <w:p w14:paraId="6963544C" w14:textId="77777777" w:rsidR="00FC432C" w:rsidRDefault="00FC432C"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1475</w:t>
            </w:r>
          </w:p>
        </w:tc>
        <w:tc>
          <w:tcPr>
            <w:tcW w:w="496" w:type="dxa"/>
            <w:tcBorders>
              <w:top w:val="nil"/>
              <w:left w:val="nil"/>
              <w:bottom w:val="nil"/>
              <w:right w:val="nil"/>
            </w:tcBorders>
            <w:shd w:val="clear" w:color="auto" w:fill="auto"/>
            <w:vAlign w:val="center"/>
          </w:tcPr>
          <w:p w14:paraId="22A5D814" w14:textId="77777777" w:rsidR="00FC432C" w:rsidRDefault="00FC432C"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53.2</w:t>
            </w:r>
          </w:p>
        </w:tc>
        <w:tc>
          <w:tcPr>
            <w:tcW w:w="1043" w:type="dxa"/>
            <w:tcBorders>
              <w:top w:val="nil"/>
              <w:left w:val="nil"/>
              <w:bottom w:val="nil"/>
              <w:right w:val="nil"/>
            </w:tcBorders>
            <w:shd w:val="clear" w:color="auto" w:fill="auto"/>
            <w:vAlign w:val="center"/>
          </w:tcPr>
          <w:p w14:paraId="4F5F4364" w14:textId="77777777" w:rsidR="00FC432C" w:rsidRDefault="00FC432C"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(50.9, 55.6)</w:t>
            </w:r>
          </w:p>
        </w:tc>
      </w:tr>
      <w:tr w:rsidR="009118DA" w:rsidRPr="00D05AB1" w14:paraId="64B8C7BF" w14:textId="77777777" w:rsidTr="008E6E03">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tcPr>
          <w:p w14:paraId="3C5B7815" w14:textId="77777777" w:rsidR="00FC432C" w:rsidRDefault="0067535C" w:rsidP="00C873C1">
            <w:pPr>
              <w:keepNext/>
              <w:spacing w:before="20" w:after="20"/>
              <w:ind w:left="34"/>
              <w:rPr>
                <w:rFonts w:eastAsiaTheme="minorEastAsia"/>
                <w:b w:val="0"/>
                <w:sz w:val="16"/>
                <w:szCs w:val="16"/>
                <w:lang w:eastAsia="en-US"/>
              </w:rPr>
            </w:pPr>
            <w:r>
              <w:rPr>
                <w:rFonts w:eastAsiaTheme="minorEastAsia"/>
                <w:b w:val="0"/>
                <w:sz w:val="16"/>
                <w:szCs w:val="16"/>
                <w:lang w:eastAsia="en-US"/>
              </w:rPr>
              <w:t>NZ o</w:t>
            </w:r>
            <w:r w:rsidR="00FC432C">
              <w:rPr>
                <w:rFonts w:eastAsiaTheme="minorEastAsia"/>
                <w:b w:val="0"/>
                <w:sz w:val="16"/>
                <w:szCs w:val="16"/>
                <w:lang w:eastAsia="en-US"/>
              </w:rPr>
              <w:t>nline</w:t>
            </w:r>
          </w:p>
        </w:tc>
        <w:tc>
          <w:tcPr>
            <w:tcW w:w="536" w:type="dxa"/>
            <w:tcBorders>
              <w:top w:val="nil"/>
              <w:left w:val="nil"/>
              <w:bottom w:val="nil"/>
              <w:right w:val="nil"/>
            </w:tcBorders>
            <w:shd w:val="clear" w:color="auto" w:fill="auto"/>
            <w:noWrap/>
            <w:vAlign w:val="center"/>
          </w:tcPr>
          <w:p w14:paraId="1C1A9406" w14:textId="77777777" w:rsidR="00FC432C" w:rsidRDefault="00FC432C"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305</w:t>
            </w:r>
          </w:p>
        </w:tc>
        <w:tc>
          <w:tcPr>
            <w:tcW w:w="496" w:type="dxa"/>
            <w:tcBorders>
              <w:top w:val="nil"/>
              <w:left w:val="nil"/>
              <w:bottom w:val="nil"/>
              <w:right w:val="nil"/>
            </w:tcBorders>
            <w:shd w:val="clear" w:color="auto" w:fill="auto"/>
            <w:noWrap/>
            <w:vAlign w:val="center"/>
          </w:tcPr>
          <w:p w14:paraId="42AD6E37" w14:textId="77777777" w:rsidR="00FC432C" w:rsidRDefault="00FC432C"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1043" w:type="dxa"/>
            <w:tcBorders>
              <w:top w:val="nil"/>
              <w:left w:val="nil"/>
              <w:bottom w:val="nil"/>
              <w:right w:val="single" w:sz="4" w:space="0" w:color="auto"/>
            </w:tcBorders>
            <w:shd w:val="clear" w:color="auto" w:fill="auto"/>
            <w:noWrap/>
            <w:vAlign w:val="center"/>
          </w:tcPr>
          <w:p w14:paraId="126A0B20" w14:textId="77777777" w:rsidR="00FC432C" w:rsidRDefault="00FC432C"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(4.2, 5.5)</w:t>
            </w:r>
          </w:p>
        </w:tc>
        <w:tc>
          <w:tcPr>
            <w:tcW w:w="536" w:type="dxa"/>
            <w:tcBorders>
              <w:top w:val="nil"/>
              <w:left w:val="single" w:sz="4" w:space="0" w:color="auto"/>
              <w:bottom w:val="nil"/>
              <w:right w:val="nil"/>
            </w:tcBorders>
            <w:shd w:val="clear" w:color="auto" w:fill="auto"/>
            <w:noWrap/>
            <w:vAlign w:val="center"/>
          </w:tcPr>
          <w:p w14:paraId="0939879F" w14:textId="77777777" w:rsidR="00FC432C" w:rsidRDefault="00FC432C"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496" w:type="dxa"/>
            <w:tcBorders>
              <w:top w:val="nil"/>
              <w:left w:val="nil"/>
              <w:bottom w:val="nil"/>
              <w:right w:val="nil"/>
            </w:tcBorders>
            <w:shd w:val="clear" w:color="auto" w:fill="auto"/>
            <w:noWrap/>
            <w:vAlign w:val="center"/>
          </w:tcPr>
          <w:p w14:paraId="7F148CB0" w14:textId="77777777" w:rsidR="00FC432C" w:rsidRDefault="00FC432C"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1043" w:type="dxa"/>
            <w:tcBorders>
              <w:top w:val="nil"/>
              <w:left w:val="nil"/>
              <w:bottom w:val="nil"/>
              <w:right w:val="single" w:sz="4" w:space="0" w:color="000000"/>
            </w:tcBorders>
            <w:shd w:val="clear" w:color="auto" w:fill="auto"/>
            <w:noWrap/>
            <w:vAlign w:val="center"/>
          </w:tcPr>
          <w:p w14:paraId="52664967" w14:textId="77777777" w:rsidR="00FC432C" w:rsidRDefault="00FC432C"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(5.0, 7.0)</w:t>
            </w:r>
          </w:p>
        </w:tc>
        <w:tc>
          <w:tcPr>
            <w:tcW w:w="536" w:type="dxa"/>
            <w:tcBorders>
              <w:top w:val="nil"/>
              <w:left w:val="single" w:sz="4" w:space="0" w:color="000000"/>
              <w:bottom w:val="nil"/>
              <w:right w:val="nil"/>
            </w:tcBorders>
            <w:shd w:val="clear" w:color="auto" w:fill="auto"/>
            <w:vAlign w:val="center"/>
          </w:tcPr>
          <w:p w14:paraId="391ACBDC" w14:textId="77777777" w:rsidR="00FC432C" w:rsidRDefault="00FC432C"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256</w:t>
            </w:r>
          </w:p>
        </w:tc>
        <w:tc>
          <w:tcPr>
            <w:tcW w:w="496" w:type="dxa"/>
            <w:tcBorders>
              <w:top w:val="nil"/>
              <w:left w:val="nil"/>
              <w:bottom w:val="nil"/>
              <w:right w:val="nil"/>
            </w:tcBorders>
            <w:shd w:val="clear" w:color="auto" w:fill="auto"/>
            <w:vAlign w:val="center"/>
          </w:tcPr>
          <w:p w14:paraId="540B8FC9" w14:textId="77777777" w:rsidR="00FC432C" w:rsidRDefault="00FC432C"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8.2</w:t>
            </w:r>
          </w:p>
        </w:tc>
        <w:tc>
          <w:tcPr>
            <w:tcW w:w="1043" w:type="dxa"/>
            <w:tcBorders>
              <w:top w:val="nil"/>
              <w:left w:val="nil"/>
              <w:bottom w:val="nil"/>
              <w:right w:val="single" w:sz="4" w:space="0" w:color="000000"/>
            </w:tcBorders>
            <w:shd w:val="clear" w:color="auto" w:fill="auto"/>
            <w:vAlign w:val="center"/>
          </w:tcPr>
          <w:p w14:paraId="5A97FC31" w14:textId="77777777" w:rsidR="00FC432C" w:rsidRDefault="00FC432C"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(7.0, 9.4)</w:t>
            </w:r>
          </w:p>
        </w:tc>
        <w:tc>
          <w:tcPr>
            <w:tcW w:w="536" w:type="dxa"/>
            <w:tcBorders>
              <w:top w:val="nil"/>
              <w:left w:val="single" w:sz="4" w:space="0" w:color="000000"/>
              <w:bottom w:val="nil"/>
              <w:right w:val="nil"/>
            </w:tcBorders>
            <w:shd w:val="clear" w:color="auto" w:fill="auto"/>
            <w:vAlign w:val="center"/>
          </w:tcPr>
          <w:p w14:paraId="13B2CC67" w14:textId="77777777" w:rsidR="00FC432C" w:rsidRDefault="00FC432C"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191</w:t>
            </w:r>
          </w:p>
        </w:tc>
        <w:tc>
          <w:tcPr>
            <w:tcW w:w="496" w:type="dxa"/>
            <w:tcBorders>
              <w:top w:val="nil"/>
              <w:left w:val="nil"/>
              <w:bottom w:val="nil"/>
              <w:right w:val="nil"/>
            </w:tcBorders>
            <w:shd w:val="clear" w:color="auto" w:fill="auto"/>
            <w:vAlign w:val="center"/>
          </w:tcPr>
          <w:p w14:paraId="4D5854C6" w14:textId="77777777" w:rsidR="00FC432C" w:rsidRDefault="00FC432C"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1043" w:type="dxa"/>
            <w:tcBorders>
              <w:top w:val="nil"/>
              <w:left w:val="nil"/>
              <w:bottom w:val="nil"/>
              <w:right w:val="nil"/>
            </w:tcBorders>
            <w:shd w:val="clear" w:color="auto" w:fill="auto"/>
            <w:vAlign w:val="center"/>
          </w:tcPr>
          <w:p w14:paraId="50B90319" w14:textId="77777777" w:rsidR="00FC432C" w:rsidRDefault="00FC432C" w:rsidP="004B2E77">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(5.8, 8.0)</w:t>
            </w:r>
          </w:p>
        </w:tc>
      </w:tr>
      <w:tr w:rsidR="009118DA" w:rsidRPr="00D05AB1" w14:paraId="14D30CB8" w14:textId="77777777" w:rsidTr="008E6E03">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tcPr>
          <w:p w14:paraId="1FD3D948" w14:textId="77777777" w:rsidR="00E8720B" w:rsidRPr="00FC432C" w:rsidRDefault="00FC432C" w:rsidP="00E8720B">
            <w:pPr>
              <w:spacing w:before="20" w:after="20"/>
              <w:ind w:left="34"/>
              <w:rPr>
                <w:rFonts w:eastAsiaTheme="minorEastAsia"/>
                <w:sz w:val="16"/>
                <w:szCs w:val="16"/>
                <w:lang w:eastAsia="en-US"/>
              </w:rPr>
            </w:pPr>
            <w:r>
              <w:rPr>
                <w:rFonts w:eastAsiaTheme="minorEastAsia"/>
                <w:sz w:val="16"/>
                <w:szCs w:val="16"/>
                <w:lang w:eastAsia="en-US"/>
              </w:rPr>
              <w:t>Keno</w:t>
            </w:r>
          </w:p>
        </w:tc>
        <w:tc>
          <w:tcPr>
            <w:tcW w:w="536" w:type="dxa"/>
            <w:tcBorders>
              <w:top w:val="nil"/>
              <w:left w:val="nil"/>
              <w:bottom w:val="nil"/>
              <w:right w:val="nil"/>
            </w:tcBorders>
            <w:shd w:val="clear" w:color="auto" w:fill="auto"/>
            <w:noWrap/>
            <w:vAlign w:val="center"/>
          </w:tcPr>
          <w:p w14:paraId="1D437267" w14:textId="77777777" w:rsidR="00E8720B" w:rsidRDefault="00E8720B"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96" w:type="dxa"/>
            <w:tcBorders>
              <w:top w:val="nil"/>
              <w:left w:val="nil"/>
              <w:bottom w:val="nil"/>
              <w:right w:val="nil"/>
            </w:tcBorders>
            <w:shd w:val="clear" w:color="auto" w:fill="auto"/>
            <w:noWrap/>
            <w:vAlign w:val="center"/>
          </w:tcPr>
          <w:p w14:paraId="3F88ABB1" w14:textId="77777777" w:rsidR="00E8720B" w:rsidRDefault="00E8720B"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43" w:type="dxa"/>
            <w:tcBorders>
              <w:top w:val="nil"/>
              <w:left w:val="nil"/>
              <w:bottom w:val="nil"/>
              <w:right w:val="single" w:sz="4" w:space="0" w:color="auto"/>
            </w:tcBorders>
            <w:shd w:val="clear" w:color="auto" w:fill="auto"/>
            <w:noWrap/>
            <w:vAlign w:val="center"/>
          </w:tcPr>
          <w:p w14:paraId="792F69B5" w14:textId="77777777" w:rsidR="00E8720B" w:rsidRDefault="00E8720B"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536" w:type="dxa"/>
            <w:tcBorders>
              <w:top w:val="nil"/>
              <w:left w:val="single" w:sz="4" w:space="0" w:color="auto"/>
              <w:bottom w:val="nil"/>
              <w:right w:val="nil"/>
            </w:tcBorders>
            <w:shd w:val="clear" w:color="auto" w:fill="auto"/>
            <w:noWrap/>
            <w:vAlign w:val="center"/>
          </w:tcPr>
          <w:p w14:paraId="2AF73EBD" w14:textId="77777777" w:rsidR="00E8720B" w:rsidRDefault="00E8720B"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96" w:type="dxa"/>
            <w:tcBorders>
              <w:top w:val="nil"/>
              <w:left w:val="nil"/>
              <w:bottom w:val="nil"/>
              <w:right w:val="nil"/>
            </w:tcBorders>
            <w:shd w:val="clear" w:color="auto" w:fill="auto"/>
            <w:noWrap/>
            <w:vAlign w:val="center"/>
          </w:tcPr>
          <w:p w14:paraId="6A2EA768" w14:textId="77777777" w:rsidR="00E8720B" w:rsidRDefault="00E8720B"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43" w:type="dxa"/>
            <w:tcBorders>
              <w:top w:val="nil"/>
              <w:left w:val="nil"/>
              <w:bottom w:val="nil"/>
              <w:right w:val="single" w:sz="4" w:space="0" w:color="000000"/>
            </w:tcBorders>
            <w:shd w:val="clear" w:color="auto" w:fill="auto"/>
            <w:noWrap/>
            <w:vAlign w:val="center"/>
          </w:tcPr>
          <w:p w14:paraId="1AD93D51" w14:textId="77777777" w:rsidR="00E8720B" w:rsidRDefault="00E8720B"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536" w:type="dxa"/>
            <w:tcBorders>
              <w:top w:val="nil"/>
              <w:left w:val="single" w:sz="4" w:space="0" w:color="000000"/>
              <w:bottom w:val="nil"/>
              <w:right w:val="nil"/>
            </w:tcBorders>
            <w:shd w:val="clear" w:color="auto" w:fill="auto"/>
            <w:vAlign w:val="center"/>
          </w:tcPr>
          <w:p w14:paraId="1B11FB8F" w14:textId="77777777" w:rsidR="00E8720B" w:rsidRDefault="00E8720B"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96" w:type="dxa"/>
            <w:tcBorders>
              <w:top w:val="nil"/>
              <w:left w:val="nil"/>
              <w:bottom w:val="nil"/>
              <w:right w:val="nil"/>
            </w:tcBorders>
            <w:shd w:val="clear" w:color="auto" w:fill="auto"/>
            <w:vAlign w:val="center"/>
          </w:tcPr>
          <w:p w14:paraId="1BEC5A18" w14:textId="77777777" w:rsidR="00E8720B" w:rsidRDefault="00E8720B"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43" w:type="dxa"/>
            <w:tcBorders>
              <w:top w:val="nil"/>
              <w:left w:val="nil"/>
              <w:bottom w:val="nil"/>
              <w:right w:val="single" w:sz="4" w:space="0" w:color="000000"/>
            </w:tcBorders>
            <w:shd w:val="clear" w:color="auto" w:fill="auto"/>
            <w:vAlign w:val="center"/>
          </w:tcPr>
          <w:p w14:paraId="55490696" w14:textId="77777777" w:rsidR="00E8720B" w:rsidRDefault="00E8720B"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536" w:type="dxa"/>
            <w:tcBorders>
              <w:top w:val="nil"/>
              <w:left w:val="single" w:sz="4" w:space="0" w:color="000000"/>
              <w:bottom w:val="nil"/>
              <w:right w:val="nil"/>
            </w:tcBorders>
            <w:shd w:val="clear" w:color="auto" w:fill="auto"/>
            <w:vAlign w:val="center"/>
          </w:tcPr>
          <w:p w14:paraId="6D8E8759" w14:textId="77777777" w:rsidR="00E8720B" w:rsidRDefault="00E8720B"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96" w:type="dxa"/>
            <w:tcBorders>
              <w:top w:val="nil"/>
              <w:left w:val="nil"/>
              <w:bottom w:val="nil"/>
              <w:right w:val="nil"/>
            </w:tcBorders>
            <w:shd w:val="clear" w:color="auto" w:fill="auto"/>
            <w:vAlign w:val="center"/>
          </w:tcPr>
          <w:p w14:paraId="0FEB5FE4" w14:textId="77777777" w:rsidR="00E8720B" w:rsidRDefault="00E8720B"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43" w:type="dxa"/>
            <w:tcBorders>
              <w:top w:val="nil"/>
              <w:left w:val="nil"/>
              <w:bottom w:val="nil"/>
              <w:right w:val="nil"/>
            </w:tcBorders>
            <w:shd w:val="clear" w:color="auto" w:fill="auto"/>
            <w:vAlign w:val="center"/>
          </w:tcPr>
          <w:p w14:paraId="53CA595C" w14:textId="77777777" w:rsidR="00E8720B" w:rsidRDefault="00E8720B"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9118DA" w:rsidRPr="00D05AB1" w14:paraId="07EA7E7F" w14:textId="77777777" w:rsidTr="008E6E03">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tcPr>
          <w:p w14:paraId="7F9BB0B4" w14:textId="77777777" w:rsidR="00FC432C" w:rsidRDefault="0067535C" w:rsidP="0067535C">
            <w:pPr>
              <w:spacing w:before="20" w:after="20"/>
              <w:ind w:left="34"/>
              <w:rPr>
                <w:rFonts w:eastAsiaTheme="minorEastAsia"/>
                <w:b w:val="0"/>
                <w:sz w:val="16"/>
                <w:szCs w:val="16"/>
                <w:lang w:eastAsia="en-US"/>
              </w:rPr>
            </w:pPr>
            <w:r>
              <w:rPr>
                <w:rFonts w:eastAsiaTheme="minorEastAsia"/>
                <w:b w:val="0"/>
                <w:sz w:val="16"/>
                <w:szCs w:val="16"/>
                <w:lang w:eastAsia="en-US"/>
              </w:rPr>
              <w:t>NZ o</w:t>
            </w:r>
            <w:r w:rsidR="00FC432C">
              <w:rPr>
                <w:rFonts w:eastAsiaTheme="minorEastAsia"/>
                <w:b w:val="0"/>
                <w:sz w:val="16"/>
                <w:szCs w:val="16"/>
                <w:lang w:eastAsia="en-US"/>
              </w:rPr>
              <w:t>n site</w:t>
            </w:r>
          </w:p>
        </w:tc>
        <w:tc>
          <w:tcPr>
            <w:tcW w:w="536" w:type="dxa"/>
            <w:tcBorders>
              <w:top w:val="nil"/>
              <w:left w:val="nil"/>
              <w:bottom w:val="nil"/>
              <w:right w:val="nil"/>
            </w:tcBorders>
            <w:shd w:val="clear" w:color="auto" w:fill="auto"/>
            <w:noWrap/>
            <w:vAlign w:val="center"/>
          </w:tcPr>
          <w:p w14:paraId="12D6DCA2" w14:textId="77777777" w:rsidR="00FC432C" w:rsidRDefault="00FC432C"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Pr>
                <w:color w:val="000000"/>
                <w:sz w:val="16"/>
                <w:szCs w:val="16"/>
              </w:rPr>
              <w:t>145</w:t>
            </w:r>
          </w:p>
        </w:tc>
        <w:tc>
          <w:tcPr>
            <w:tcW w:w="496" w:type="dxa"/>
            <w:tcBorders>
              <w:top w:val="nil"/>
              <w:left w:val="nil"/>
              <w:bottom w:val="nil"/>
              <w:right w:val="nil"/>
            </w:tcBorders>
            <w:shd w:val="clear" w:color="auto" w:fill="auto"/>
            <w:noWrap/>
            <w:vAlign w:val="center"/>
          </w:tcPr>
          <w:p w14:paraId="57DAF46A" w14:textId="77777777" w:rsidR="00FC432C" w:rsidRDefault="00FC432C"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1043" w:type="dxa"/>
            <w:tcBorders>
              <w:top w:val="nil"/>
              <w:left w:val="nil"/>
              <w:bottom w:val="nil"/>
              <w:right w:val="single" w:sz="4" w:space="0" w:color="auto"/>
            </w:tcBorders>
            <w:shd w:val="clear" w:color="auto" w:fill="auto"/>
            <w:noWrap/>
            <w:vAlign w:val="center"/>
          </w:tcPr>
          <w:p w14:paraId="05DF5DE1" w14:textId="77777777" w:rsidR="00FC432C" w:rsidRDefault="00FC432C"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(1.9, 2.7)</w:t>
            </w:r>
          </w:p>
        </w:tc>
        <w:tc>
          <w:tcPr>
            <w:tcW w:w="536" w:type="dxa"/>
            <w:tcBorders>
              <w:top w:val="nil"/>
              <w:left w:val="single" w:sz="4" w:space="0" w:color="auto"/>
              <w:bottom w:val="nil"/>
              <w:right w:val="nil"/>
            </w:tcBorders>
            <w:shd w:val="clear" w:color="auto" w:fill="auto"/>
            <w:noWrap/>
            <w:vAlign w:val="center"/>
          </w:tcPr>
          <w:p w14:paraId="65212C45" w14:textId="77777777" w:rsidR="00FC432C" w:rsidRDefault="00FC432C"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496" w:type="dxa"/>
            <w:tcBorders>
              <w:top w:val="nil"/>
              <w:left w:val="nil"/>
              <w:bottom w:val="nil"/>
              <w:right w:val="nil"/>
            </w:tcBorders>
            <w:shd w:val="clear" w:color="auto" w:fill="auto"/>
            <w:noWrap/>
            <w:vAlign w:val="center"/>
          </w:tcPr>
          <w:p w14:paraId="44AC415C" w14:textId="77777777" w:rsidR="00FC432C" w:rsidRDefault="00FC432C"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w:t>
            </w:r>
          </w:p>
        </w:tc>
        <w:tc>
          <w:tcPr>
            <w:tcW w:w="1043" w:type="dxa"/>
            <w:tcBorders>
              <w:top w:val="nil"/>
              <w:left w:val="nil"/>
              <w:bottom w:val="nil"/>
              <w:right w:val="single" w:sz="4" w:space="0" w:color="000000"/>
            </w:tcBorders>
            <w:shd w:val="clear" w:color="auto" w:fill="auto"/>
            <w:noWrap/>
            <w:vAlign w:val="center"/>
          </w:tcPr>
          <w:p w14:paraId="1F544EA6" w14:textId="77777777" w:rsidR="00FC432C" w:rsidRDefault="00FC432C"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(1.5, 2.5)</w:t>
            </w:r>
          </w:p>
        </w:tc>
        <w:tc>
          <w:tcPr>
            <w:tcW w:w="536" w:type="dxa"/>
            <w:tcBorders>
              <w:top w:val="nil"/>
              <w:left w:val="single" w:sz="4" w:space="0" w:color="000000"/>
              <w:bottom w:val="nil"/>
              <w:right w:val="nil"/>
            </w:tcBorders>
            <w:shd w:val="clear" w:color="auto" w:fill="auto"/>
            <w:vAlign w:val="center"/>
          </w:tcPr>
          <w:p w14:paraId="005A032F" w14:textId="77777777" w:rsidR="00FC432C" w:rsidRDefault="00FC432C"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496" w:type="dxa"/>
            <w:tcBorders>
              <w:top w:val="nil"/>
              <w:left w:val="nil"/>
              <w:bottom w:val="nil"/>
              <w:right w:val="nil"/>
            </w:tcBorders>
            <w:shd w:val="clear" w:color="auto" w:fill="auto"/>
            <w:vAlign w:val="center"/>
          </w:tcPr>
          <w:p w14:paraId="1838E37D" w14:textId="77777777" w:rsidR="00FC432C" w:rsidRDefault="00FC432C"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1043" w:type="dxa"/>
            <w:tcBorders>
              <w:top w:val="nil"/>
              <w:left w:val="nil"/>
              <w:bottom w:val="nil"/>
              <w:right w:val="single" w:sz="4" w:space="0" w:color="000000"/>
            </w:tcBorders>
            <w:shd w:val="clear" w:color="auto" w:fill="auto"/>
            <w:vAlign w:val="center"/>
          </w:tcPr>
          <w:p w14:paraId="597BFBD7" w14:textId="77777777" w:rsidR="00FC432C" w:rsidRDefault="00FC432C"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(1.4, 2.5)</w:t>
            </w:r>
          </w:p>
        </w:tc>
        <w:tc>
          <w:tcPr>
            <w:tcW w:w="536" w:type="dxa"/>
            <w:tcBorders>
              <w:top w:val="nil"/>
              <w:left w:val="single" w:sz="4" w:space="0" w:color="000000"/>
              <w:bottom w:val="nil"/>
              <w:right w:val="nil"/>
            </w:tcBorders>
            <w:shd w:val="clear" w:color="auto" w:fill="auto"/>
            <w:vAlign w:val="center"/>
          </w:tcPr>
          <w:p w14:paraId="04794F9E" w14:textId="77777777" w:rsidR="00FC432C" w:rsidRDefault="00FC432C"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496" w:type="dxa"/>
            <w:tcBorders>
              <w:top w:val="nil"/>
              <w:left w:val="nil"/>
              <w:bottom w:val="nil"/>
              <w:right w:val="nil"/>
            </w:tcBorders>
            <w:shd w:val="clear" w:color="auto" w:fill="auto"/>
            <w:vAlign w:val="center"/>
          </w:tcPr>
          <w:p w14:paraId="3CF0044A" w14:textId="77777777" w:rsidR="00FC432C" w:rsidRDefault="00FC432C"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1043" w:type="dxa"/>
            <w:tcBorders>
              <w:top w:val="nil"/>
              <w:left w:val="nil"/>
              <w:bottom w:val="nil"/>
              <w:right w:val="nil"/>
            </w:tcBorders>
            <w:shd w:val="clear" w:color="auto" w:fill="auto"/>
            <w:vAlign w:val="center"/>
          </w:tcPr>
          <w:p w14:paraId="5EE164F2" w14:textId="77777777" w:rsidR="00FC432C" w:rsidRDefault="00FC432C"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(0.9, 1.9)</w:t>
            </w:r>
          </w:p>
        </w:tc>
      </w:tr>
      <w:tr w:rsidR="009118DA" w:rsidRPr="00D05AB1" w14:paraId="17A31517" w14:textId="77777777" w:rsidTr="008E6E03">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tcPr>
          <w:p w14:paraId="4A0374CD" w14:textId="77777777" w:rsidR="00FC432C" w:rsidRDefault="00B27CF2" w:rsidP="0067535C">
            <w:pPr>
              <w:spacing w:before="20" w:after="20"/>
              <w:ind w:left="34"/>
              <w:rPr>
                <w:rFonts w:eastAsiaTheme="minorEastAsia"/>
                <w:b w:val="0"/>
                <w:sz w:val="16"/>
                <w:szCs w:val="16"/>
                <w:lang w:eastAsia="en-US"/>
              </w:rPr>
            </w:pPr>
            <w:r>
              <w:rPr>
                <w:rFonts w:eastAsiaTheme="minorEastAsia"/>
                <w:b w:val="0"/>
                <w:sz w:val="16"/>
                <w:szCs w:val="16"/>
                <w:lang w:eastAsia="en-US"/>
              </w:rPr>
              <w:t>NZ</w:t>
            </w:r>
            <w:r w:rsidR="0067535C">
              <w:rPr>
                <w:rFonts w:eastAsiaTheme="minorEastAsia"/>
                <w:b w:val="0"/>
                <w:sz w:val="16"/>
                <w:szCs w:val="16"/>
                <w:lang w:eastAsia="en-US"/>
              </w:rPr>
              <w:t xml:space="preserve"> o</w:t>
            </w:r>
            <w:r w:rsidR="00FC432C">
              <w:rPr>
                <w:rFonts w:eastAsiaTheme="minorEastAsia"/>
                <w:b w:val="0"/>
                <w:sz w:val="16"/>
                <w:szCs w:val="16"/>
                <w:lang w:eastAsia="en-US"/>
              </w:rPr>
              <w:t>nline</w:t>
            </w:r>
          </w:p>
        </w:tc>
        <w:tc>
          <w:tcPr>
            <w:tcW w:w="536" w:type="dxa"/>
            <w:tcBorders>
              <w:top w:val="nil"/>
              <w:left w:val="nil"/>
              <w:bottom w:val="nil"/>
              <w:right w:val="nil"/>
            </w:tcBorders>
            <w:shd w:val="clear" w:color="auto" w:fill="auto"/>
            <w:noWrap/>
            <w:vAlign w:val="center"/>
          </w:tcPr>
          <w:p w14:paraId="01A4ABD3" w14:textId="77777777" w:rsidR="00FC432C" w:rsidRDefault="00FC432C"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496" w:type="dxa"/>
            <w:tcBorders>
              <w:top w:val="nil"/>
              <w:left w:val="nil"/>
              <w:bottom w:val="nil"/>
              <w:right w:val="nil"/>
            </w:tcBorders>
            <w:shd w:val="clear" w:color="auto" w:fill="auto"/>
            <w:noWrap/>
            <w:vAlign w:val="center"/>
          </w:tcPr>
          <w:p w14:paraId="25607ED8" w14:textId="77777777" w:rsidR="00FC432C" w:rsidRDefault="00FC432C"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1043" w:type="dxa"/>
            <w:tcBorders>
              <w:top w:val="nil"/>
              <w:left w:val="nil"/>
              <w:bottom w:val="nil"/>
              <w:right w:val="single" w:sz="4" w:space="0" w:color="auto"/>
            </w:tcBorders>
            <w:shd w:val="clear" w:color="auto" w:fill="auto"/>
            <w:noWrap/>
            <w:vAlign w:val="center"/>
          </w:tcPr>
          <w:p w14:paraId="01EED900" w14:textId="77777777" w:rsidR="00FC432C" w:rsidRDefault="00FC432C"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(0.4, 0.9)</w:t>
            </w:r>
          </w:p>
        </w:tc>
        <w:tc>
          <w:tcPr>
            <w:tcW w:w="536" w:type="dxa"/>
            <w:tcBorders>
              <w:top w:val="nil"/>
              <w:left w:val="single" w:sz="4" w:space="0" w:color="auto"/>
              <w:bottom w:val="nil"/>
              <w:right w:val="nil"/>
            </w:tcBorders>
            <w:shd w:val="clear" w:color="auto" w:fill="auto"/>
            <w:noWrap/>
            <w:vAlign w:val="center"/>
          </w:tcPr>
          <w:p w14:paraId="43077A47" w14:textId="77777777" w:rsidR="00FC432C" w:rsidRDefault="00FC432C"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496" w:type="dxa"/>
            <w:tcBorders>
              <w:top w:val="nil"/>
              <w:left w:val="nil"/>
              <w:bottom w:val="nil"/>
              <w:right w:val="nil"/>
            </w:tcBorders>
            <w:shd w:val="clear" w:color="auto" w:fill="auto"/>
            <w:noWrap/>
            <w:vAlign w:val="center"/>
          </w:tcPr>
          <w:p w14:paraId="10EACA81" w14:textId="77777777" w:rsidR="00FC432C" w:rsidRDefault="00FC432C"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0.6</w:t>
            </w:r>
          </w:p>
        </w:tc>
        <w:tc>
          <w:tcPr>
            <w:tcW w:w="1043" w:type="dxa"/>
            <w:tcBorders>
              <w:top w:val="nil"/>
              <w:left w:val="nil"/>
              <w:bottom w:val="nil"/>
              <w:right w:val="single" w:sz="4" w:space="0" w:color="000000"/>
            </w:tcBorders>
            <w:shd w:val="clear" w:color="auto" w:fill="auto"/>
            <w:noWrap/>
            <w:vAlign w:val="center"/>
          </w:tcPr>
          <w:p w14:paraId="1A677B5A" w14:textId="77777777" w:rsidR="00FC432C" w:rsidRDefault="00FC432C"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(0.3, 0.9)</w:t>
            </w:r>
          </w:p>
        </w:tc>
        <w:tc>
          <w:tcPr>
            <w:tcW w:w="536" w:type="dxa"/>
            <w:tcBorders>
              <w:top w:val="nil"/>
              <w:left w:val="single" w:sz="4" w:space="0" w:color="000000"/>
              <w:bottom w:val="nil"/>
              <w:right w:val="nil"/>
            </w:tcBorders>
            <w:shd w:val="clear" w:color="auto" w:fill="auto"/>
            <w:vAlign w:val="center"/>
          </w:tcPr>
          <w:p w14:paraId="0EF3DFEC" w14:textId="77777777" w:rsidR="00FC432C" w:rsidRDefault="00FC432C"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496" w:type="dxa"/>
            <w:tcBorders>
              <w:top w:val="nil"/>
              <w:left w:val="nil"/>
              <w:bottom w:val="nil"/>
              <w:right w:val="nil"/>
            </w:tcBorders>
            <w:shd w:val="clear" w:color="auto" w:fill="auto"/>
            <w:vAlign w:val="center"/>
          </w:tcPr>
          <w:p w14:paraId="3CE22B5D" w14:textId="77777777" w:rsidR="00FC432C" w:rsidRDefault="00FC432C"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0.6</w:t>
            </w:r>
          </w:p>
        </w:tc>
        <w:tc>
          <w:tcPr>
            <w:tcW w:w="1043" w:type="dxa"/>
            <w:tcBorders>
              <w:top w:val="nil"/>
              <w:left w:val="nil"/>
              <w:bottom w:val="nil"/>
              <w:right w:val="single" w:sz="4" w:space="0" w:color="000000"/>
            </w:tcBorders>
            <w:shd w:val="clear" w:color="auto" w:fill="auto"/>
            <w:vAlign w:val="center"/>
          </w:tcPr>
          <w:p w14:paraId="4BA66554" w14:textId="77777777" w:rsidR="00FC432C" w:rsidRDefault="00FC432C"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(0.3, 0.9)</w:t>
            </w:r>
          </w:p>
        </w:tc>
        <w:tc>
          <w:tcPr>
            <w:tcW w:w="536" w:type="dxa"/>
            <w:tcBorders>
              <w:top w:val="nil"/>
              <w:left w:val="single" w:sz="4" w:space="0" w:color="000000"/>
              <w:bottom w:val="nil"/>
              <w:right w:val="nil"/>
            </w:tcBorders>
            <w:shd w:val="clear" w:color="auto" w:fill="auto"/>
            <w:vAlign w:val="center"/>
          </w:tcPr>
          <w:p w14:paraId="498A197D" w14:textId="77777777" w:rsidR="00FC432C" w:rsidRDefault="00FC432C"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496" w:type="dxa"/>
            <w:tcBorders>
              <w:top w:val="nil"/>
              <w:left w:val="nil"/>
              <w:bottom w:val="nil"/>
              <w:right w:val="nil"/>
            </w:tcBorders>
            <w:shd w:val="clear" w:color="auto" w:fill="auto"/>
            <w:vAlign w:val="center"/>
          </w:tcPr>
          <w:p w14:paraId="52009F4F" w14:textId="77777777" w:rsidR="00FC432C" w:rsidRDefault="00FC432C"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1043" w:type="dxa"/>
            <w:tcBorders>
              <w:top w:val="nil"/>
              <w:left w:val="nil"/>
              <w:bottom w:val="nil"/>
              <w:right w:val="nil"/>
            </w:tcBorders>
            <w:shd w:val="clear" w:color="auto" w:fill="auto"/>
            <w:vAlign w:val="center"/>
          </w:tcPr>
          <w:p w14:paraId="7CEC7DCD" w14:textId="77777777" w:rsidR="00FC432C" w:rsidRDefault="00FC432C" w:rsidP="004B2E77">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(0.2, 0.7)</w:t>
            </w:r>
          </w:p>
        </w:tc>
      </w:tr>
      <w:tr w:rsidR="00FC432C" w:rsidRPr="00D05AB1" w14:paraId="132A6D81" w14:textId="77777777" w:rsidTr="008E6E03">
        <w:tc>
          <w:tcPr>
            <w:cnfStyle w:val="001000000000" w:firstRow="0" w:lastRow="0" w:firstColumn="1" w:lastColumn="0" w:oddVBand="0" w:evenVBand="0" w:oddHBand="0" w:evenHBand="0" w:firstRowFirstColumn="0" w:firstRowLastColumn="0" w:lastRowFirstColumn="0" w:lastRowLastColumn="0"/>
            <w:tcW w:w="2450" w:type="dxa"/>
            <w:gridSpan w:val="3"/>
            <w:tcBorders>
              <w:top w:val="nil"/>
              <w:left w:val="nil"/>
              <w:bottom w:val="nil"/>
              <w:right w:val="nil"/>
            </w:tcBorders>
            <w:shd w:val="clear" w:color="auto" w:fill="auto"/>
            <w:vAlign w:val="center"/>
          </w:tcPr>
          <w:p w14:paraId="666CD152" w14:textId="77777777" w:rsidR="00FC432C" w:rsidRDefault="00FC432C" w:rsidP="00FC432C">
            <w:pPr>
              <w:rPr>
                <w:color w:val="000000"/>
                <w:sz w:val="16"/>
                <w:szCs w:val="16"/>
              </w:rPr>
            </w:pPr>
            <w:r>
              <w:rPr>
                <w:rFonts w:eastAsiaTheme="minorEastAsia"/>
                <w:sz w:val="16"/>
                <w:szCs w:val="16"/>
                <w:lang w:eastAsia="en-US"/>
              </w:rPr>
              <w:t>Casino (table gambles/EGMs)</w:t>
            </w:r>
          </w:p>
        </w:tc>
        <w:tc>
          <w:tcPr>
            <w:tcW w:w="1043" w:type="dxa"/>
            <w:tcBorders>
              <w:top w:val="nil"/>
              <w:left w:val="nil"/>
              <w:bottom w:val="nil"/>
              <w:right w:val="single" w:sz="4" w:space="0" w:color="auto"/>
            </w:tcBorders>
            <w:shd w:val="clear" w:color="auto" w:fill="auto"/>
            <w:noWrap/>
            <w:vAlign w:val="center"/>
          </w:tcPr>
          <w:p w14:paraId="77A718F1" w14:textId="77777777" w:rsidR="00FC432C" w:rsidRDefault="00FC432C" w:rsidP="00E8720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536" w:type="dxa"/>
            <w:tcBorders>
              <w:top w:val="nil"/>
              <w:left w:val="single" w:sz="4" w:space="0" w:color="auto"/>
              <w:bottom w:val="nil"/>
              <w:right w:val="nil"/>
            </w:tcBorders>
            <w:shd w:val="clear" w:color="auto" w:fill="auto"/>
            <w:noWrap/>
            <w:vAlign w:val="center"/>
          </w:tcPr>
          <w:p w14:paraId="6074D3CE" w14:textId="77777777" w:rsidR="00FC432C" w:rsidRDefault="00FC432C" w:rsidP="00E8720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96" w:type="dxa"/>
            <w:tcBorders>
              <w:top w:val="nil"/>
              <w:left w:val="nil"/>
              <w:bottom w:val="nil"/>
              <w:right w:val="nil"/>
            </w:tcBorders>
            <w:shd w:val="clear" w:color="auto" w:fill="auto"/>
            <w:noWrap/>
            <w:vAlign w:val="center"/>
          </w:tcPr>
          <w:p w14:paraId="7CEE6238" w14:textId="77777777" w:rsidR="00FC432C" w:rsidRDefault="00FC432C" w:rsidP="00E8720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43" w:type="dxa"/>
            <w:tcBorders>
              <w:top w:val="nil"/>
              <w:left w:val="nil"/>
              <w:bottom w:val="nil"/>
              <w:right w:val="single" w:sz="4" w:space="0" w:color="000000"/>
            </w:tcBorders>
            <w:shd w:val="clear" w:color="auto" w:fill="auto"/>
            <w:noWrap/>
            <w:vAlign w:val="center"/>
          </w:tcPr>
          <w:p w14:paraId="603AFD1F" w14:textId="77777777" w:rsidR="00FC432C" w:rsidRDefault="00FC432C" w:rsidP="00E8720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536" w:type="dxa"/>
            <w:tcBorders>
              <w:top w:val="nil"/>
              <w:left w:val="single" w:sz="4" w:space="0" w:color="000000"/>
              <w:bottom w:val="nil"/>
              <w:right w:val="nil"/>
            </w:tcBorders>
            <w:shd w:val="clear" w:color="auto" w:fill="auto"/>
            <w:vAlign w:val="center"/>
          </w:tcPr>
          <w:p w14:paraId="520D74FD" w14:textId="77777777" w:rsidR="00FC432C" w:rsidRDefault="00FC432C" w:rsidP="00E8720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96" w:type="dxa"/>
            <w:tcBorders>
              <w:top w:val="nil"/>
              <w:left w:val="nil"/>
              <w:bottom w:val="nil"/>
              <w:right w:val="nil"/>
            </w:tcBorders>
            <w:shd w:val="clear" w:color="auto" w:fill="auto"/>
            <w:vAlign w:val="center"/>
          </w:tcPr>
          <w:p w14:paraId="694DE8DF" w14:textId="77777777" w:rsidR="00FC432C" w:rsidRDefault="00FC432C" w:rsidP="00E8720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43" w:type="dxa"/>
            <w:tcBorders>
              <w:top w:val="nil"/>
              <w:left w:val="nil"/>
              <w:bottom w:val="nil"/>
              <w:right w:val="single" w:sz="4" w:space="0" w:color="000000"/>
            </w:tcBorders>
            <w:shd w:val="clear" w:color="auto" w:fill="auto"/>
            <w:vAlign w:val="center"/>
          </w:tcPr>
          <w:p w14:paraId="6CEBA07B" w14:textId="77777777" w:rsidR="00FC432C" w:rsidRDefault="00FC432C" w:rsidP="00E8720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536" w:type="dxa"/>
            <w:tcBorders>
              <w:top w:val="nil"/>
              <w:left w:val="single" w:sz="4" w:space="0" w:color="000000"/>
              <w:bottom w:val="nil"/>
              <w:right w:val="nil"/>
            </w:tcBorders>
            <w:shd w:val="clear" w:color="auto" w:fill="auto"/>
            <w:vAlign w:val="center"/>
          </w:tcPr>
          <w:p w14:paraId="267876FC" w14:textId="77777777" w:rsidR="00FC432C" w:rsidRDefault="00FC432C" w:rsidP="00E8720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96" w:type="dxa"/>
            <w:tcBorders>
              <w:top w:val="nil"/>
              <w:left w:val="nil"/>
              <w:bottom w:val="nil"/>
              <w:right w:val="nil"/>
            </w:tcBorders>
            <w:shd w:val="clear" w:color="auto" w:fill="auto"/>
            <w:vAlign w:val="center"/>
          </w:tcPr>
          <w:p w14:paraId="76797563" w14:textId="77777777" w:rsidR="00FC432C" w:rsidRDefault="00FC432C" w:rsidP="00E8720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43" w:type="dxa"/>
            <w:tcBorders>
              <w:top w:val="nil"/>
              <w:left w:val="nil"/>
              <w:bottom w:val="nil"/>
              <w:right w:val="nil"/>
            </w:tcBorders>
            <w:shd w:val="clear" w:color="auto" w:fill="auto"/>
            <w:vAlign w:val="center"/>
          </w:tcPr>
          <w:p w14:paraId="2C9960FC" w14:textId="77777777" w:rsidR="00FC432C" w:rsidRDefault="00FC432C" w:rsidP="00E8720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9118DA" w:rsidRPr="00D05AB1" w14:paraId="5510CB88" w14:textId="77777777" w:rsidTr="008E6E03">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tcPr>
          <w:p w14:paraId="5DB7AC0D" w14:textId="77777777" w:rsidR="00FC432C" w:rsidRDefault="00B27CF2" w:rsidP="00B27CF2">
            <w:pPr>
              <w:spacing w:before="20" w:after="20"/>
              <w:ind w:left="34"/>
              <w:rPr>
                <w:rFonts w:eastAsiaTheme="minorEastAsia"/>
                <w:b w:val="0"/>
                <w:sz w:val="16"/>
                <w:szCs w:val="16"/>
                <w:lang w:eastAsia="en-US"/>
              </w:rPr>
            </w:pPr>
            <w:r>
              <w:rPr>
                <w:rFonts w:eastAsiaTheme="minorEastAsia"/>
                <w:b w:val="0"/>
                <w:sz w:val="16"/>
                <w:szCs w:val="16"/>
                <w:lang w:eastAsia="en-US"/>
              </w:rPr>
              <w:t>NZ o</w:t>
            </w:r>
            <w:r w:rsidR="00FC432C">
              <w:rPr>
                <w:rFonts w:eastAsiaTheme="minorEastAsia"/>
                <w:b w:val="0"/>
                <w:sz w:val="16"/>
                <w:szCs w:val="16"/>
                <w:lang w:eastAsia="en-US"/>
              </w:rPr>
              <w:t>n site</w:t>
            </w:r>
          </w:p>
        </w:tc>
        <w:tc>
          <w:tcPr>
            <w:tcW w:w="536" w:type="dxa"/>
            <w:tcBorders>
              <w:top w:val="nil"/>
              <w:left w:val="nil"/>
              <w:bottom w:val="nil"/>
              <w:right w:val="nil"/>
            </w:tcBorders>
            <w:shd w:val="clear" w:color="auto" w:fill="auto"/>
            <w:noWrap/>
            <w:vAlign w:val="center"/>
          </w:tcPr>
          <w:p w14:paraId="6A5065C8" w14:textId="77777777" w:rsidR="00FC432C" w:rsidRDefault="00FC432C" w:rsidP="00FC432C">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Pr>
                <w:color w:val="000000"/>
                <w:sz w:val="16"/>
                <w:szCs w:val="16"/>
              </w:rPr>
              <w:t>590</w:t>
            </w:r>
          </w:p>
        </w:tc>
        <w:tc>
          <w:tcPr>
            <w:tcW w:w="496" w:type="dxa"/>
            <w:tcBorders>
              <w:top w:val="nil"/>
              <w:left w:val="nil"/>
              <w:bottom w:val="nil"/>
              <w:right w:val="nil"/>
            </w:tcBorders>
            <w:shd w:val="clear" w:color="auto" w:fill="auto"/>
            <w:noWrap/>
            <w:vAlign w:val="center"/>
          </w:tcPr>
          <w:p w14:paraId="295D9B8D" w14:textId="77777777" w:rsidR="00FC432C" w:rsidRDefault="00FC432C" w:rsidP="00FC432C">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1043" w:type="dxa"/>
            <w:tcBorders>
              <w:top w:val="nil"/>
              <w:left w:val="nil"/>
              <w:bottom w:val="nil"/>
              <w:right w:val="single" w:sz="4" w:space="0" w:color="auto"/>
            </w:tcBorders>
            <w:shd w:val="clear" w:color="auto" w:fill="auto"/>
            <w:noWrap/>
            <w:vAlign w:val="center"/>
          </w:tcPr>
          <w:p w14:paraId="0725274C" w14:textId="77777777" w:rsidR="00FC432C" w:rsidRDefault="00FC432C" w:rsidP="00FC432C">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(8.5, 10.4)</w:t>
            </w:r>
          </w:p>
        </w:tc>
        <w:tc>
          <w:tcPr>
            <w:tcW w:w="536" w:type="dxa"/>
            <w:tcBorders>
              <w:top w:val="nil"/>
              <w:left w:val="single" w:sz="4" w:space="0" w:color="auto"/>
              <w:bottom w:val="nil"/>
              <w:right w:val="nil"/>
            </w:tcBorders>
            <w:shd w:val="clear" w:color="auto" w:fill="auto"/>
            <w:noWrap/>
            <w:vAlign w:val="center"/>
          </w:tcPr>
          <w:p w14:paraId="3761557E" w14:textId="77777777" w:rsidR="00FC432C" w:rsidRDefault="00FC432C" w:rsidP="00FC432C">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270</w:t>
            </w:r>
          </w:p>
        </w:tc>
        <w:tc>
          <w:tcPr>
            <w:tcW w:w="496" w:type="dxa"/>
            <w:tcBorders>
              <w:top w:val="nil"/>
              <w:left w:val="nil"/>
              <w:bottom w:val="nil"/>
              <w:right w:val="nil"/>
            </w:tcBorders>
            <w:shd w:val="clear" w:color="auto" w:fill="auto"/>
            <w:noWrap/>
            <w:vAlign w:val="center"/>
          </w:tcPr>
          <w:p w14:paraId="2C19962C" w14:textId="77777777" w:rsidR="00FC432C" w:rsidRDefault="00FC432C" w:rsidP="00FC432C">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1043" w:type="dxa"/>
            <w:tcBorders>
              <w:top w:val="nil"/>
              <w:left w:val="nil"/>
              <w:bottom w:val="nil"/>
              <w:right w:val="single" w:sz="4" w:space="0" w:color="000000"/>
            </w:tcBorders>
            <w:shd w:val="clear" w:color="auto" w:fill="auto"/>
            <w:noWrap/>
            <w:vAlign w:val="center"/>
          </w:tcPr>
          <w:p w14:paraId="6CA2CFD4" w14:textId="77777777" w:rsidR="00FC432C" w:rsidRDefault="00FC432C" w:rsidP="00FC432C">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(6.1, 8.3)</w:t>
            </w:r>
          </w:p>
        </w:tc>
        <w:tc>
          <w:tcPr>
            <w:tcW w:w="536" w:type="dxa"/>
            <w:tcBorders>
              <w:top w:val="nil"/>
              <w:left w:val="single" w:sz="4" w:space="0" w:color="000000"/>
              <w:bottom w:val="nil"/>
              <w:right w:val="nil"/>
            </w:tcBorders>
            <w:shd w:val="clear" w:color="auto" w:fill="auto"/>
            <w:vAlign w:val="center"/>
          </w:tcPr>
          <w:p w14:paraId="3D0BDA8C" w14:textId="77777777" w:rsidR="00FC432C" w:rsidRDefault="00FC432C" w:rsidP="00FC432C">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227</w:t>
            </w:r>
          </w:p>
        </w:tc>
        <w:tc>
          <w:tcPr>
            <w:tcW w:w="496" w:type="dxa"/>
            <w:tcBorders>
              <w:top w:val="nil"/>
              <w:left w:val="nil"/>
              <w:bottom w:val="nil"/>
              <w:right w:val="nil"/>
            </w:tcBorders>
            <w:shd w:val="clear" w:color="auto" w:fill="auto"/>
            <w:vAlign w:val="center"/>
          </w:tcPr>
          <w:p w14:paraId="0ACC014F" w14:textId="77777777" w:rsidR="00FC432C" w:rsidRDefault="00FC432C" w:rsidP="00FC432C">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1043" w:type="dxa"/>
            <w:tcBorders>
              <w:top w:val="nil"/>
              <w:left w:val="nil"/>
              <w:bottom w:val="nil"/>
              <w:right w:val="single" w:sz="4" w:space="0" w:color="000000"/>
            </w:tcBorders>
            <w:shd w:val="clear" w:color="auto" w:fill="auto"/>
            <w:vAlign w:val="center"/>
          </w:tcPr>
          <w:p w14:paraId="4F5ADC03" w14:textId="77777777" w:rsidR="00FC432C" w:rsidRDefault="00FC432C" w:rsidP="00FC432C">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(6.1, 8.5)</w:t>
            </w:r>
          </w:p>
        </w:tc>
        <w:tc>
          <w:tcPr>
            <w:tcW w:w="536" w:type="dxa"/>
            <w:tcBorders>
              <w:top w:val="nil"/>
              <w:left w:val="single" w:sz="4" w:space="0" w:color="000000"/>
              <w:bottom w:val="nil"/>
              <w:right w:val="nil"/>
            </w:tcBorders>
            <w:shd w:val="clear" w:color="auto" w:fill="auto"/>
            <w:vAlign w:val="center"/>
          </w:tcPr>
          <w:p w14:paraId="6BB72E49" w14:textId="77777777" w:rsidR="00FC432C" w:rsidRDefault="00FC432C" w:rsidP="00FC432C">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496" w:type="dxa"/>
            <w:tcBorders>
              <w:top w:val="nil"/>
              <w:left w:val="nil"/>
              <w:bottom w:val="nil"/>
              <w:right w:val="nil"/>
            </w:tcBorders>
            <w:shd w:val="clear" w:color="auto" w:fill="auto"/>
            <w:vAlign w:val="center"/>
          </w:tcPr>
          <w:p w14:paraId="6D77A67F" w14:textId="77777777" w:rsidR="00FC432C" w:rsidRDefault="00FC432C" w:rsidP="00FC432C">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1043" w:type="dxa"/>
            <w:tcBorders>
              <w:top w:val="nil"/>
              <w:left w:val="nil"/>
              <w:bottom w:val="nil"/>
              <w:right w:val="nil"/>
            </w:tcBorders>
            <w:shd w:val="clear" w:color="auto" w:fill="auto"/>
            <w:vAlign w:val="center"/>
          </w:tcPr>
          <w:p w14:paraId="223B3945" w14:textId="77777777" w:rsidR="00FC432C" w:rsidRDefault="00FC432C" w:rsidP="00FC432C">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(5.3, 7.8)</w:t>
            </w:r>
          </w:p>
        </w:tc>
      </w:tr>
      <w:tr w:rsidR="009118DA" w:rsidRPr="00D05AB1" w14:paraId="1C91A6D3" w14:textId="77777777" w:rsidTr="008E6E03">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tcPr>
          <w:p w14:paraId="005CF47B" w14:textId="77777777" w:rsidR="00FC432C" w:rsidRDefault="00B27CF2" w:rsidP="00B27CF2">
            <w:pPr>
              <w:spacing w:before="20" w:after="20"/>
              <w:ind w:left="34"/>
              <w:rPr>
                <w:rFonts w:eastAsiaTheme="minorEastAsia"/>
                <w:b w:val="0"/>
                <w:sz w:val="16"/>
                <w:szCs w:val="16"/>
                <w:lang w:eastAsia="en-US"/>
              </w:rPr>
            </w:pPr>
            <w:r>
              <w:rPr>
                <w:rFonts w:eastAsiaTheme="minorEastAsia"/>
                <w:b w:val="0"/>
                <w:sz w:val="16"/>
                <w:szCs w:val="16"/>
                <w:lang w:eastAsia="en-US"/>
              </w:rPr>
              <w:t>Offshore o</w:t>
            </w:r>
            <w:r w:rsidR="00FC432C">
              <w:rPr>
                <w:rFonts w:eastAsiaTheme="minorEastAsia"/>
                <w:b w:val="0"/>
                <w:sz w:val="16"/>
                <w:szCs w:val="16"/>
                <w:lang w:eastAsia="en-US"/>
              </w:rPr>
              <w:t xml:space="preserve">n site </w:t>
            </w:r>
          </w:p>
        </w:tc>
        <w:tc>
          <w:tcPr>
            <w:tcW w:w="536" w:type="dxa"/>
            <w:tcBorders>
              <w:top w:val="nil"/>
              <w:left w:val="nil"/>
              <w:bottom w:val="nil"/>
              <w:right w:val="nil"/>
            </w:tcBorders>
            <w:shd w:val="clear" w:color="auto" w:fill="auto"/>
            <w:noWrap/>
            <w:vAlign w:val="center"/>
          </w:tcPr>
          <w:p w14:paraId="091BBE85" w14:textId="77777777" w:rsidR="00FC432C" w:rsidRDefault="00FC432C" w:rsidP="00FC432C">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228</w:t>
            </w:r>
          </w:p>
        </w:tc>
        <w:tc>
          <w:tcPr>
            <w:tcW w:w="496" w:type="dxa"/>
            <w:tcBorders>
              <w:top w:val="nil"/>
              <w:left w:val="nil"/>
              <w:bottom w:val="nil"/>
              <w:right w:val="nil"/>
            </w:tcBorders>
            <w:shd w:val="clear" w:color="auto" w:fill="auto"/>
            <w:noWrap/>
            <w:vAlign w:val="center"/>
          </w:tcPr>
          <w:p w14:paraId="0868B1C3" w14:textId="77777777" w:rsidR="00FC432C" w:rsidRDefault="00FC432C" w:rsidP="00FC432C">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1043" w:type="dxa"/>
            <w:tcBorders>
              <w:top w:val="nil"/>
              <w:left w:val="nil"/>
              <w:bottom w:val="nil"/>
              <w:right w:val="single" w:sz="4" w:space="0" w:color="auto"/>
            </w:tcBorders>
            <w:shd w:val="clear" w:color="auto" w:fill="auto"/>
            <w:noWrap/>
            <w:vAlign w:val="center"/>
          </w:tcPr>
          <w:p w14:paraId="33784598" w14:textId="77777777" w:rsidR="00FC432C" w:rsidRDefault="00FC432C" w:rsidP="00FC432C">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(3.1, 4.2)</w:t>
            </w:r>
          </w:p>
        </w:tc>
        <w:tc>
          <w:tcPr>
            <w:tcW w:w="536" w:type="dxa"/>
            <w:tcBorders>
              <w:top w:val="nil"/>
              <w:left w:val="single" w:sz="4" w:space="0" w:color="auto"/>
              <w:bottom w:val="nil"/>
              <w:right w:val="nil"/>
            </w:tcBorders>
            <w:shd w:val="clear" w:color="auto" w:fill="auto"/>
            <w:noWrap/>
            <w:vAlign w:val="center"/>
          </w:tcPr>
          <w:p w14:paraId="2812B8E8" w14:textId="77777777" w:rsidR="00FC432C" w:rsidRDefault="00FC432C" w:rsidP="00FC432C">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496" w:type="dxa"/>
            <w:tcBorders>
              <w:top w:val="nil"/>
              <w:left w:val="nil"/>
              <w:bottom w:val="nil"/>
              <w:right w:val="nil"/>
            </w:tcBorders>
            <w:shd w:val="clear" w:color="auto" w:fill="auto"/>
            <w:noWrap/>
            <w:vAlign w:val="center"/>
          </w:tcPr>
          <w:p w14:paraId="714C6350" w14:textId="77777777" w:rsidR="00FC432C" w:rsidRDefault="00FC432C" w:rsidP="00FC432C">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w:t>
            </w:r>
          </w:p>
        </w:tc>
        <w:tc>
          <w:tcPr>
            <w:tcW w:w="1043" w:type="dxa"/>
            <w:tcBorders>
              <w:top w:val="nil"/>
              <w:left w:val="nil"/>
              <w:bottom w:val="nil"/>
              <w:right w:val="single" w:sz="4" w:space="0" w:color="000000"/>
            </w:tcBorders>
            <w:shd w:val="clear" w:color="auto" w:fill="auto"/>
            <w:noWrap/>
            <w:vAlign w:val="center"/>
          </w:tcPr>
          <w:p w14:paraId="1A8AD566" w14:textId="77777777" w:rsidR="00FC432C" w:rsidRDefault="00FC432C" w:rsidP="00FC432C">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(1.9, 3.1)</w:t>
            </w:r>
          </w:p>
        </w:tc>
        <w:tc>
          <w:tcPr>
            <w:tcW w:w="536" w:type="dxa"/>
            <w:tcBorders>
              <w:top w:val="nil"/>
              <w:left w:val="single" w:sz="4" w:space="0" w:color="000000"/>
              <w:bottom w:val="nil"/>
              <w:right w:val="nil"/>
            </w:tcBorders>
            <w:shd w:val="clear" w:color="auto" w:fill="auto"/>
            <w:vAlign w:val="center"/>
          </w:tcPr>
          <w:p w14:paraId="5B295BBB" w14:textId="77777777" w:rsidR="00FC432C" w:rsidRDefault="00FC432C" w:rsidP="00FC432C">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496" w:type="dxa"/>
            <w:tcBorders>
              <w:top w:val="nil"/>
              <w:left w:val="nil"/>
              <w:bottom w:val="nil"/>
              <w:right w:val="nil"/>
            </w:tcBorders>
            <w:shd w:val="clear" w:color="auto" w:fill="auto"/>
            <w:vAlign w:val="center"/>
          </w:tcPr>
          <w:p w14:paraId="5CB0FF2E" w14:textId="77777777" w:rsidR="00FC432C" w:rsidRDefault="00FC432C" w:rsidP="00FC432C">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1043" w:type="dxa"/>
            <w:tcBorders>
              <w:top w:val="nil"/>
              <w:left w:val="nil"/>
              <w:bottom w:val="nil"/>
              <w:right w:val="single" w:sz="4" w:space="0" w:color="000000"/>
            </w:tcBorders>
            <w:shd w:val="clear" w:color="auto" w:fill="auto"/>
            <w:vAlign w:val="center"/>
          </w:tcPr>
          <w:p w14:paraId="0D3A7748" w14:textId="77777777" w:rsidR="00FC432C" w:rsidRDefault="00FC432C" w:rsidP="00FC432C">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(2.0, 3.4)</w:t>
            </w:r>
          </w:p>
        </w:tc>
        <w:tc>
          <w:tcPr>
            <w:tcW w:w="536" w:type="dxa"/>
            <w:tcBorders>
              <w:top w:val="nil"/>
              <w:left w:val="single" w:sz="4" w:space="0" w:color="000000"/>
              <w:bottom w:val="nil"/>
              <w:right w:val="nil"/>
            </w:tcBorders>
            <w:shd w:val="clear" w:color="auto" w:fill="auto"/>
            <w:vAlign w:val="center"/>
          </w:tcPr>
          <w:p w14:paraId="16FECA65" w14:textId="77777777" w:rsidR="00FC432C" w:rsidRDefault="00FC432C" w:rsidP="00FC432C">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496" w:type="dxa"/>
            <w:tcBorders>
              <w:top w:val="nil"/>
              <w:left w:val="nil"/>
              <w:bottom w:val="nil"/>
              <w:right w:val="nil"/>
            </w:tcBorders>
            <w:shd w:val="clear" w:color="auto" w:fill="auto"/>
            <w:vAlign w:val="center"/>
          </w:tcPr>
          <w:p w14:paraId="47A731DF" w14:textId="77777777" w:rsidR="00FC432C" w:rsidRDefault="00FC432C" w:rsidP="00FC432C">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1043" w:type="dxa"/>
            <w:tcBorders>
              <w:top w:val="nil"/>
              <w:left w:val="nil"/>
              <w:bottom w:val="nil"/>
              <w:right w:val="nil"/>
            </w:tcBorders>
            <w:shd w:val="clear" w:color="auto" w:fill="auto"/>
            <w:vAlign w:val="center"/>
          </w:tcPr>
          <w:p w14:paraId="74312627" w14:textId="77777777" w:rsidR="00FC432C" w:rsidRDefault="00FC432C" w:rsidP="00FC432C">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(1.5, 2.9)</w:t>
            </w:r>
          </w:p>
        </w:tc>
      </w:tr>
      <w:tr w:rsidR="009118DA" w:rsidRPr="00D05AB1" w14:paraId="66F262A3" w14:textId="77777777" w:rsidTr="008E6E03">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tcPr>
          <w:p w14:paraId="1AB99B7C" w14:textId="77777777" w:rsidR="00593AED" w:rsidRPr="00FC432C" w:rsidRDefault="00593AED" w:rsidP="00593AED">
            <w:pPr>
              <w:spacing w:before="20" w:after="20"/>
              <w:ind w:left="34"/>
              <w:rPr>
                <w:rFonts w:eastAsiaTheme="minorEastAsia"/>
                <w:sz w:val="16"/>
                <w:szCs w:val="16"/>
                <w:lang w:eastAsia="en-US"/>
              </w:rPr>
            </w:pPr>
            <w:r>
              <w:rPr>
                <w:rFonts w:eastAsiaTheme="minorEastAsia"/>
                <w:sz w:val="16"/>
                <w:szCs w:val="16"/>
                <w:lang w:eastAsia="en-US"/>
              </w:rPr>
              <w:t>Other offshore online gambling</w:t>
            </w:r>
            <w:r w:rsidRPr="00FC432C">
              <w:rPr>
                <w:rFonts w:eastAsiaTheme="minorEastAsia"/>
                <w:sz w:val="16"/>
                <w:szCs w:val="16"/>
                <w:vertAlign w:val="superscript"/>
                <w:lang w:eastAsia="en-US"/>
              </w:rPr>
              <w:t>#</w:t>
            </w:r>
          </w:p>
        </w:tc>
        <w:tc>
          <w:tcPr>
            <w:tcW w:w="536" w:type="dxa"/>
            <w:tcBorders>
              <w:top w:val="nil"/>
              <w:left w:val="nil"/>
              <w:bottom w:val="nil"/>
              <w:right w:val="nil"/>
            </w:tcBorders>
            <w:shd w:val="clear" w:color="auto" w:fill="auto"/>
            <w:noWrap/>
            <w:vAlign w:val="center"/>
          </w:tcPr>
          <w:p w14:paraId="5D8EABAD"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Pr>
                <w:color w:val="000000"/>
                <w:sz w:val="16"/>
                <w:szCs w:val="16"/>
              </w:rPr>
              <w:t>39</w:t>
            </w:r>
          </w:p>
        </w:tc>
        <w:tc>
          <w:tcPr>
            <w:tcW w:w="496" w:type="dxa"/>
            <w:tcBorders>
              <w:top w:val="nil"/>
              <w:left w:val="nil"/>
              <w:bottom w:val="nil"/>
              <w:right w:val="nil"/>
            </w:tcBorders>
            <w:shd w:val="clear" w:color="auto" w:fill="auto"/>
            <w:noWrap/>
            <w:vAlign w:val="center"/>
          </w:tcPr>
          <w:p w14:paraId="455CFE90"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0.6</w:t>
            </w:r>
          </w:p>
        </w:tc>
        <w:tc>
          <w:tcPr>
            <w:tcW w:w="1043" w:type="dxa"/>
            <w:tcBorders>
              <w:top w:val="nil"/>
              <w:left w:val="nil"/>
              <w:bottom w:val="nil"/>
              <w:right w:val="single" w:sz="4" w:space="0" w:color="auto"/>
            </w:tcBorders>
            <w:shd w:val="clear" w:color="auto" w:fill="auto"/>
            <w:noWrap/>
            <w:vAlign w:val="center"/>
          </w:tcPr>
          <w:p w14:paraId="1B9EB7AD"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(0.4, 0.9)</w:t>
            </w:r>
          </w:p>
        </w:tc>
        <w:tc>
          <w:tcPr>
            <w:tcW w:w="536" w:type="dxa"/>
            <w:tcBorders>
              <w:top w:val="nil"/>
              <w:left w:val="single" w:sz="4" w:space="0" w:color="auto"/>
              <w:bottom w:val="nil"/>
              <w:right w:val="nil"/>
            </w:tcBorders>
            <w:shd w:val="clear" w:color="auto" w:fill="auto"/>
            <w:noWrap/>
            <w:vAlign w:val="center"/>
          </w:tcPr>
          <w:p w14:paraId="32F927C3"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496" w:type="dxa"/>
            <w:tcBorders>
              <w:top w:val="nil"/>
              <w:left w:val="nil"/>
              <w:bottom w:val="nil"/>
              <w:right w:val="nil"/>
            </w:tcBorders>
            <w:shd w:val="clear" w:color="auto" w:fill="auto"/>
            <w:noWrap/>
            <w:vAlign w:val="center"/>
          </w:tcPr>
          <w:p w14:paraId="1B773B5C"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1043" w:type="dxa"/>
            <w:tcBorders>
              <w:top w:val="nil"/>
              <w:left w:val="nil"/>
              <w:bottom w:val="nil"/>
              <w:right w:val="single" w:sz="4" w:space="0" w:color="000000"/>
            </w:tcBorders>
            <w:shd w:val="clear" w:color="auto" w:fill="auto"/>
            <w:noWrap/>
            <w:vAlign w:val="center"/>
          </w:tcPr>
          <w:p w14:paraId="482CF1E4"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(0.2, 0.7)</w:t>
            </w:r>
          </w:p>
        </w:tc>
        <w:tc>
          <w:tcPr>
            <w:tcW w:w="536" w:type="dxa"/>
            <w:tcBorders>
              <w:top w:val="nil"/>
              <w:left w:val="single" w:sz="4" w:space="0" w:color="000000"/>
              <w:bottom w:val="nil"/>
              <w:right w:val="nil"/>
            </w:tcBorders>
            <w:shd w:val="clear" w:color="auto" w:fill="auto"/>
            <w:vAlign w:val="center"/>
          </w:tcPr>
          <w:p w14:paraId="7F489DE0"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496" w:type="dxa"/>
            <w:tcBorders>
              <w:top w:val="nil"/>
              <w:left w:val="nil"/>
              <w:bottom w:val="nil"/>
              <w:right w:val="nil"/>
            </w:tcBorders>
            <w:shd w:val="clear" w:color="auto" w:fill="auto"/>
            <w:vAlign w:val="center"/>
          </w:tcPr>
          <w:p w14:paraId="1FDDA9B7"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1043" w:type="dxa"/>
            <w:tcBorders>
              <w:top w:val="nil"/>
              <w:left w:val="nil"/>
              <w:bottom w:val="nil"/>
              <w:right w:val="single" w:sz="4" w:space="0" w:color="000000"/>
            </w:tcBorders>
            <w:shd w:val="clear" w:color="auto" w:fill="auto"/>
            <w:vAlign w:val="center"/>
          </w:tcPr>
          <w:p w14:paraId="15C49764"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(0.1, 0.5)</w:t>
            </w:r>
          </w:p>
        </w:tc>
        <w:tc>
          <w:tcPr>
            <w:tcW w:w="536" w:type="dxa"/>
            <w:tcBorders>
              <w:top w:val="nil"/>
              <w:left w:val="single" w:sz="4" w:space="0" w:color="000000"/>
              <w:bottom w:val="nil"/>
              <w:right w:val="nil"/>
            </w:tcBorders>
            <w:shd w:val="clear" w:color="auto" w:fill="auto"/>
            <w:vAlign w:val="center"/>
          </w:tcPr>
          <w:p w14:paraId="31F09CDD"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w:t>
            </w:r>
          </w:p>
        </w:tc>
        <w:tc>
          <w:tcPr>
            <w:tcW w:w="496" w:type="dxa"/>
            <w:tcBorders>
              <w:top w:val="nil"/>
              <w:left w:val="nil"/>
              <w:bottom w:val="nil"/>
              <w:right w:val="nil"/>
            </w:tcBorders>
            <w:shd w:val="clear" w:color="auto" w:fill="auto"/>
            <w:vAlign w:val="center"/>
          </w:tcPr>
          <w:p w14:paraId="76BE9356"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1043" w:type="dxa"/>
            <w:tcBorders>
              <w:top w:val="nil"/>
              <w:left w:val="nil"/>
              <w:bottom w:val="nil"/>
              <w:right w:val="nil"/>
            </w:tcBorders>
            <w:shd w:val="clear" w:color="auto" w:fill="auto"/>
            <w:vAlign w:val="center"/>
          </w:tcPr>
          <w:p w14:paraId="08274E45"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(0.1, 0.6)</w:t>
            </w:r>
          </w:p>
        </w:tc>
      </w:tr>
      <w:tr w:rsidR="009118DA" w:rsidRPr="00D05AB1" w14:paraId="4D4313FB" w14:textId="77777777" w:rsidTr="008E6E03">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tcPr>
          <w:p w14:paraId="7BBF028B" w14:textId="77777777" w:rsidR="00593AED" w:rsidRPr="00593AED" w:rsidRDefault="00593AED" w:rsidP="00593AED">
            <w:pPr>
              <w:spacing w:before="20" w:after="20"/>
              <w:ind w:left="34"/>
              <w:rPr>
                <w:rFonts w:eastAsiaTheme="minorEastAsia"/>
                <w:sz w:val="16"/>
                <w:szCs w:val="16"/>
                <w:lang w:eastAsia="en-US"/>
              </w:rPr>
            </w:pPr>
            <w:r>
              <w:rPr>
                <w:rFonts w:eastAsiaTheme="minorEastAsia"/>
                <w:sz w:val="16"/>
                <w:szCs w:val="16"/>
                <w:lang w:eastAsia="en-US"/>
              </w:rPr>
              <w:t>Overall NZ online gambling</w:t>
            </w:r>
          </w:p>
        </w:tc>
        <w:tc>
          <w:tcPr>
            <w:tcW w:w="536" w:type="dxa"/>
            <w:tcBorders>
              <w:top w:val="nil"/>
              <w:left w:val="nil"/>
              <w:bottom w:val="nil"/>
              <w:right w:val="nil"/>
            </w:tcBorders>
            <w:shd w:val="clear" w:color="auto" w:fill="auto"/>
            <w:noWrap/>
            <w:vAlign w:val="center"/>
          </w:tcPr>
          <w:p w14:paraId="69D18DF2"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Pr>
                <w:color w:val="000000"/>
                <w:sz w:val="16"/>
                <w:szCs w:val="16"/>
              </w:rPr>
              <w:t>503</w:t>
            </w:r>
          </w:p>
        </w:tc>
        <w:tc>
          <w:tcPr>
            <w:tcW w:w="496" w:type="dxa"/>
            <w:tcBorders>
              <w:top w:val="nil"/>
              <w:left w:val="nil"/>
              <w:bottom w:val="nil"/>
              <w:right w:val="nil"/>
            </w:tcBorders>
            <w:shd w:val="clear" w:color="auto" w:fill="auto"/>
            <w:noWrap/>
            <w:vAlign w:val="center"/>
          </w:tcPr>
          <w:p w14:paraId="273F7C12"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1043" w:type="dxa"/>
            <w:tcBorders>
              <w:top w:val="nil"/>
              <w:left w:val="nil"/>
              <w:bottom w:val="nil"/>
              <w:right w:val="single" w:sz="4" w:space="0" w:color="auto"/>
            </w:tcBorders>
            <w:shd w:val="clear" w:color="auto" w:fill="auto"/>
            <w:noWrap/>
            <w:vAlign w:val="center"/>
          </w:tcPr>
          <w:p w14:paraId="49877B61"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(7.2, 8.9)</w:t>
            </w:r>
          </w:p>
        </w:tc>
        <w:tc>
          <w:tcPr>
            <w:tcW w:w="536" w:type="dxa"/>
            <w:tcBorders>
              <w:top w:val="nil"/>
              <w:left w:val="single" w:sz="4" w:space="0" w:color="auto"/>
              <w:bottom w:val="nil"/>
              <w:right w:val="nil"/>
            </w:tcBorders>
            <w:shd w:val="clear" w:color="auto" w:fill="auto"/>
            <w:noWrap/>
            <w:vAlign w:val="center"/>
          </w:tcPr>
          <w:p w14:paraId="6D9524F5"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308</w:t>
            </w:r>
          </w:p>
        </w:tc>
        <w:tc>
          <w:tcPr>
            <w:tcW w:w="496" w:type="dxa"/>
            <w:tcBorders>
              <w:top w:val="nil"/>
              <w:left w:val="nil"/>
              <w:bottom w:val="nil"/>
              <w:right w:val="nil"/>
            </w:tcBorders>
            <w:shd w:val="clear" w:color="auto" w:fill="auto"/>
            <w:noWrap/>
            <w:vAlign w:val="center"/>
          </w:tcPr>
          <w:p w14:paraId="0DB7BA5A"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8.2</w:t>
            </w:r>
          </w:p>
        </w:tc>
        <w:tc>
          <w:tcPr>
            <w:tcW w:w="1043" w:type="dxa"/>
            <w:tcBorders>
              <w:top w:val="nil"/>
              <w:left w:val="nil"/>
              <w:bottom w:val="nil"/>
              <w:right w:val="single" w:sz="4" w:space="0" w:color="000000"/>
            </w:tcBorders>
            <w:shd w:val="clear" w:color="auto" w:fill="auto"/>
            <w:noWrap/>
            <w:vAlign w:val="center"/>
          </w:tcPr>
          <w:p w14:paraId="5C74BF2C"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(7.1, 9.4)</w:t>
            </w:r>
          </w:p>
        </w:tc>
        <w:tc>
          <w:tcPr>
            <w:tcW w:w="536" w:type="dxa"/>
            <w:tcBorders>
              <w:top w:val="nil"/>
              <w:left w:val="single" w:sz="4" w:space="0" w:color="000000"/>
              <w:bottom w:val="nil"/>
              <w:right w:val="nil"/>
            </w:tcBorders>
            <w:shd w:val="clear" w:color="auto" w:fill="auto"/>
            <w:vAlign w:val="center"/>
          </w:tcPr>
          <w:p w14:paraId="05D6E8D5"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319</w:t>
            </w:r>
          </w:p>
        </w:tc>
        <w:tc>
          <w:tcPr>
            <w:tcW w:w="496" w:type="dxa"/>
            <w:tcBorders>
              <w:top w:val="nil"/>
              <w:left w:val="nil"/>
              <w:bottom w:val="nil"/>
              <w:right w:val="nil"/>
            </w:tcBorders>
            <w:shd w:val="clear" w:color="auto" w:fill="auto"/>
            <w:vAlign w:val="center"/>
          </w:tcPr>
          <w:p w14:paraId="20AEF1CC"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1043" w:type="dxa"/>
            <w:tcBorders>
              <w:top w:val="nil"/>
              <w:left w:val="nil"/>
              <w:bottom w:val="nil"/>
              <w:right w:val="single" w:sz="4" w:space="0" w:color="000000"/>
            </w:tcBorders>
            <w:shd w:val="clear" w:color="auto" w:fill="auto"/>
            <w:vAlign w:val="center"/>
          </w:tcPr>
          <w:p w14:paraId="727EDE59"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(8.9, 11.5)</w:t>
            </w:r>
          </w:p>
        </w:tc>
        <w:tc>
          <w:tcPr>
            <w:tcW w:w="536" w:type="dxa"/>
            <w:tcBorders>
              <w:top w:val="nil"/>
              <w:left w:val="single" w:sz="4" w:space="0" w:color="000000"/>
              <w:bottom w:val="nil"/>
              <w:right w:val="nil"/>
            </w:tcBorders>
            <w:shd w:val="clear" w:color="auto" w:fill="auto"/>
            <w:vAlign w:val="center"/>
          </w:tcPr>
          <w:p w14:paraId="0824E1DD"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251</w:t>
            </w:r>
          </w:p>
        </w:tc>
        <w:tc>
          <w:tcPr>
            <w:tcW w:w="496" w:type="dxa"/>
            <w:tcBorders>
              <w:top w:val="nil"/>
              <w:left w:val="nil"/>
              <w:bottom w:val="nil"/>
              <w:right w:val="nil"/>
            </w:tcBorders>
            <w:shd w:val="clear" w:color="auto" w:fill="auto"/>
            <w:vAlign w:val="center"/>
          </w:tcPr>
          <w:p w14:paraId="09F9938F"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1043" w:type="dxa"/>
            <w:tcBorders>
              <w:top w:val="nil"/>
              <w:left w:val="nil"/>
              <w:bottom w:val="nil"/>
              <w:right w:val="nil"/>
            </w:tcBorders>
            <w:shd w:val="clear" w:color="auto" w:fill="auto"/>
            <w:vAlign w:val="center"/>
          </w:tcPr>
          <w:p w14:paraId="469E983C"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(7.8, 10.3)</w:t>
            </w:r>
          </w:p>
        </w:tc>
      </w:tr>
      <w:tr w:rsidR="009118DA" w:rsidRPr="00D05AB1" w14:paraId="2F6C3E15" w14:textId="77777777" w:rsidTr="008E6E03">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tcPr>
          <w:p w14:paraId="21626A63" w14:textId="77777777" w:rsidR="00593AED" w:rsidRPr="00593AED" w:rsidRDefault="00593AED" w:rsidP="00593AED">
            <w:pPr>
              <w:spacing w:before="20" w:after="20"/>
              <w:ind w:left="34"/>
              <w:rPr>
                <w:rFonts w:eastAsiaTheme="minorEastAsia"/>
                <w:sz w:val="16"/>
                <w:szCs w:val="16"/>
                <w:lang w:eastAsia="en-US"/>
              </w:rPr>
            </w:pPr>
            <w:r w:rsidRPr="00593AED">
              <w:rPr>
                <w:rFonts w:eastAsiaTheme="minorEastAsia"/>
                <w:sz w:val="16"/>
                <w:szCs w:val="16"/>
                <w:lang w:eastAsia="en-US"/>
              </w:rPr>
              <w:t>Overall offshore online gambling</w:t>
            </w:r>
          </w:p>
        </w:tc>
        <w:tc>
          <w:tcPr>
            <w:tcW w:w="536" w:type="dxa"/>
            <w:tcBorders>
              <w:top w:val="nil"/>
              <w:left w:val="nil"/>
              <w:bottom w:val="nil"/>
              <w:right w:val="nil"/>
            </w:tcBorders>
            <w:shd w:val="clear" w:color="auto" w:fill="auto"/>
            <w:noWrap/>
            <w:vAlign w:val="center"/>
          </w:tcPr>
          <w:p w14:paraId="57982883"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496" w:type="dxa"/>
            <w:tcBorders>
              <w:top w:val="nil"/>
              <w:left w:val="nil"/>
              <w:bottom w:val="nil"/>
              <w:right w:val="nil"/>
            </w:tcBorders>
            <w:shd w:val="clear" w:color="auto" w:fill="auto"/>
            <w:noWrap/>
            <w:vAlign w:val="center"/>
          </w:tcPr>
          <w:p w14:paraId="03570D8C"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1043" w:type="dxa"/>
            <w:tcBorders>
              <w:top w:val="nil"/>
              <w:left w:val="nil"/>
              <w:bottom w:val="nil"/>
              <w:right w:val="single" w:sz="4" w:space="0" w:color="auto"/>
            </w:tcBorders>
            <w:shd w:val="clear" w:color="auto" w:fill="auto"/>
            <w:noWrap/>
            <w:vAlign w:val="center"/>
          </w:tcPr>
          <w:p w14:paraId="3DAF732D"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(1.2, 2.1)</w:t>
            </w:r>
          </w:p>
        </w:tc>
        <w:tc>
          <w:tcPr>
            <w:tcW w:w="536" w:type="dxa"/>
            <w:tcBorders>
              <w:top w:val="nil"/>
              <w:left w:val="single" w:sz="4" w:space="0" w:color="auto"/>
              <w:bottom w:val="nil"/>
              <w:right w:val="nil"/>
            </w:tcBorders>
            <w:shd w:val="clear" w:color="auto" w:fill="auto"/>
            <w:noWrap/>
            <w:vAlign w:val="center"/>
          </w:tcPr>
          <w:p w14:paraId="0EE24B7C"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496" w:type="dxa"/>
            <w:tcBorders>
              <w:top w:val="nil"/>
              <w:left w:val="nil"/>
              <w:bottom w:val="nil"/>
              <w:right w:val="nil"/>
            </w:tcBorders>
            <w:shd w:val="clear" w:color="auto" w:fill="auto"/>
            <w:noWrap/>
            <w:vAlign w:val="center"/>
          </w:tcPr>
          <w:p w14:paraId="1A768820"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1043" w:type="dxa"/>
            <w:tcBorders>
              <w:top w:val="nil"/>
              <w:left w:val="nil"/>
              <w:bottom w:val="nil"/>
              <w:right w:val="single" w:sz="4" w:space="0" w:color="000000"/>
            </w:tcBorders>
            <w:shd w:val="clear" w:color="auto" w:fill="auto"/>
            <w:noWrap/>
            <w:vAlign w:val="center"/>
          </w:tcPr>
          <w:p w14:paraId="5050F051"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(0.8, 1.7)</w:t>
            </w:r>
          </w:p>
        </w:tc>
        <w:tc>
          <w:tcPr>
            <w:tcW w:w="536" w:type="dxa"/>
            <w:tcBorders>
              <w:top w:val="nil"/>
              <w:left w:val="single" w:sz="4" w:space="0" w:color="000000"/>
              <w:bottom w:val="nil"/>
              <w:right w:val="nil"/>
            </w:tcBorders>
            <w:shd w:val="clear" w:color="auto" w:fill="auto"/>
            <w:vAlign w:val="center"/>
          </w:tcPr>
          <w:p w14:paraId="4C203236"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496" w:type="dxa"/>
            <w:tcBorders>
              <w:top w:val="nil"/>
              <w:left w:val="nil"/>
              <w:bottom w:val="nil"/>
              <w:right w:val="nil"/>
            </w:tcBorders>
            <w:shd w:val="clear" w:color="auto" w:fill="auto"/>
            <w:vAlign w:val="center"/>
          </w:tcPr>
          <w:p w14:paraId="0A3312D8"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1043" w:type="dxa"/>
            <w:tcBorders>
              <w:top w:val="nil"/>
              <w:left w:val="nil"/>
              <w:bottom w:val="nil"/>
              <w:right w:val="single" w:sz="4" w:space="0" w:color="000000"/>
            </w:tcBorders>
            <w:shd w:val="clear" w:color="auto" w:fill="auto"/>
            <w:vAlign w:val="center"/>
          </w:tcPr>
          <w:p w14:paraId="6466980C"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(0.5, 1.3)</w:t>
            </w:r>
          </w:p>
        </w:tc>
        <w:tc>
          <w:tcPr>
            <w:tcW w:w="536" w:type="dxa"/>
            <w:tcBorders>
              <w:top w:val="nil"/>
              <w:left w:val="single" w:sz="4" w:space="0" w:color="000000"/>
              <w:bottom w:val="nil"/>
              <w:right w:val="nil"/>
            </w:tcBorders>
            <w:shd w:val="clear" w:color="auto" w:fill="auto"/>
            <w:vAlign w:val="center"/>
          </w:tcPr>
          <w:p w14:paraId="4EE3EB4F"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w:t>
            </w:r>
          </w:p>
        </w:tc>
        <w:tc>
          <w:tcPr>
            <w:tcW w:w="496" w:type="dxa"/>
            <w:tcBorders>
              <w:top w:val="nil"/>
              <w:left w:val="nil"/>
              <w:bottom w:val="nil"/>
              <w:right w:val="nil"/>
            </w:tcBorders>
            <w:shd w:val="clear" w:color="auto" w:fill="auto"/>
            <w:vAlign w:val="center"/>
          </w:tcPr>
          <w:p w14:paraId="18C72592"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1043" w:type="dxa"/>
            <w:tcBorders>
              <w:top w:val="nil"/>
              <w:left w:val="nil"/>
              <w:bottom w:val="nil"/>
              <w:right w:val="nil"/>
            </w:tcBorders>
            <w:shd w:val="clear" w:color="auto" w:fill="auto"/>
            <w:vAlign w:val="center"/>
          </w:tcPr>
          <w:p w14:paraId="2AF90CC9"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(0.3, 1.1)</w:t>
            </w:r>
          </w:p>
        </w:tc>
      </w:tr>
      <w:tr w:rsidR="009118DA" w:rsidRPr="00D05AB1" w14:paraId="4C62E49C" w14:textId="77777777" w:rsidTr="008E6E03">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single" w:sz="4" w:space="0" w:color="000000"/>
              <w:right w:val="nil"/>
            </w:tcBorders>
            <w:shd w:val="clear" w:color="auto" w:fill="auto"/>
          </w:tcPr>
          <w:p w14:paraId="669674E8" w14:textId="77777777" w:rsidR="00593AED" w:rsidRPr="00593AED" w:rsidRDefault="00593AED" w:rsidP="00E07CFD">
            <w:pPr>
              <w:spacing w:before="20" w:after="20"/>
              <w:ind w:left="34"/>
              <w:rPr>
                <w:rFonts w:eastAsiaTheme="minorEastAsia"/>
                <w:sz w:val="16"/>
                <w:szCs w:val="16"/>
                <w:lang w:eastAsia="en-US"/>
              </w:rPr>
            </w:pPr>
            <w:r w:rsidRPr="00593AED">
              <w:rPr>
                <w:rFonts w:eastAsiaTheme="minorEastAsia"/>
                <w:sz w:val="16"/>
                <w:szCs w:val="16"/>
                <w:lang w:eastAsia="en-US"/>
              </w:rPr>
              <w:t>Overall offshore gambling (online/on site)</w:t>
            </w:r>
          </w:p>
        </w:tc>
        <w:tc>
          <w:tcPr>
            <w:tcW w:w="536" w:type="dxa"/>
            <w:tcBorders>
              <w:top w:val="nil"/>
              <w:left w:val="nil"/>
              <w:bottom w:val="single" w:sz="4" w:space="0" w:color="000000"/>
              <w:right w:val="nil"/>
            </w:tcBorders>
            <w:shd w:val="clear" w:color="auto" w:fill="auto"/>
            <w:noWrap/>
            <w:vAlign w:val="center"/>
          </w:tcPr>
          <w:p w14:paraId="350FDAD9"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476</w:t>
            </w:r>
          </w:p>
        </w:tc>
        <w:tc>
          <w:tcPr>
            <w:tcW w:w="496" w:type="dxa"/>
            <w:tcBorders>
              <w:top w:val="nil"/>
              <w:left w:val="nil"/>
              <w:bottom w:val="single" w:sz="4" w:space="0" w:color="000000"/>
              <w:right w:val="nil"/>
            </w:tcBorders>
            <w:shd w:val="clear" w:color="auto" w:fill="auto"/>
            <w:noWrap/>
            <w:vAlign w:val="center"/>
          </w:tcPr>
          <w:p w14:paraId="3C4B8642"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1043" w:type="dxa"/>
            <w:tcBorders>
              <w:top w:val="nil"/>
              <w:left w:val="nil"/>
              <w:bottom w:val="single" w:sz="4" w:space="0" w:color="000000"/>
              <w:right w:val="single" w:sz="4" w:space="0" w:color="auto"/>
            </w:tcBorders>
            <w:shd w:val="clear" w:color="auto" w:fill="auto"/>
            <w:noWrap/>
            <w:vAlign w:val="center"/>
          </w:tcPr>
          <w:p w14:paraId="386A5A22"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(6.8, 8.4)</w:t>
            </w:r>
          </w:p>
        </w:tc>
        <w:tc>
          <w:tcPr>
            <w:tcW w:w="536" w:type="dxa"/>
            <w:tcBorders>
              <w:top w:val="nil"/>
              <w:left w:val="single" w:sz="4" w:space="0" w:color="auto"/>
              <w:bottom w:val="single" w:sz="4" w:space="0" w:color="000000"/>
              <w:right w:val="nil"/>
            </w:tcBorders>
            <w:shd w:val="clear" w:color="auto" w:fill="auto"/>
            <w:noWrap/>
            <w:vAlign w:val="center"/>
          </w:tcPr>
          <w:p w14:paraId="6310A11E"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496" w:type="dxa"/>
            <w:tcBorders>
              <w:top w:val="nil"/>
              <w:left w:val="nil"/>
              <w:bottom w:val="single" w:sz="4" w:space="0" w:color="000000"/>
              <w:right w:val="nil"/>
            </w:tcBorders>
            <w:shd w:val="clear" w:color="auto" w:fill="auto"/>
            <w:noWrap/>
            <w:vAlign w:val="center"/>
          </w:tcPr>
          <w:p w14:paraId="1001E2C7"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1043" w:type="dxa"/>
            <w:tcBorders>
              <w:top w:val="nil"/>
              <w:left w:val="nil"/>
              <w:bottom w:val="single" w:sz="4" w:space="0" w:color="000000"/>
              <w:right w:val="single" w:sz="4" w:space="0" w:color="000000"/>
            </w:tcBorders>
            <w:shd w:val="clear" w:color="auto" w:fill="auto"/>
            <w:noWrap/>
            <w:vAlign w:val="center"/>
          </w:tcPr>
          <w:p w14:paraId="3365AED5"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(5.4, 7.3)</w:t>
            </w:r>
          </w:p>
        </w:tc>
        <w:tc>
          <w:tcPr>
            <w:tcW w:w="536" w:type="dxa"/>
            <w:tcBorders>
              <w:top w:val="nil"/>
              <w:left w:val="single" w:sz="4" w:space="0" w:color="000000"/>
              <w:bottom w:val="single" w:sz="4" w:space="0" w:color="000000"/>
              <w:right w:val="nil"/>
            </w:tcBorders>
            <w:shd w:val="clear" w:color="auto" w:fill="auto"/>
            <w:vAlign w:val="center"/>
          </w:tcPr>
          <w:p w14:paraId="5EF0E03E"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496" w:type="dxa"/>
            <w:tcBorders>
              <w:top w:val="nil"/>
              <w:left w:val="nil"/>
              <w:bottom w:val="single" w:sz="4" w:space="0" w:color="000000"/>
              <w:right w:val="nil"/>
            </w:tcBorders>
            <w:shd w:val="clear" w:color="auto" w:fill="auto"/>
            <w:vAlign w:val="center"/>
          </w:tcPr>
          <w:p w14:paraId="59D79392"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1043" w:type="dxa"/>
            <w:tcBorders>
              <w:top w:val="nil"/>
              <w:left w:val="nil"/>
              <w:bottom w:val="single" w:sz="4" w:space="0" w:color="000000"/>
              <w:right w:val="single" w:sz="4" w:space="0" w:color="000000"/>
            </w:tcBorders>
            <w:shd w:val="clear" w:color="auto" w:fill="auto"/>
            <w:vAlign w:val="center"/>
          </w:tcPr>
          <w:p w14:paraId="3E453B34"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(5.0, 7.0)</w:t>
            </w:r>
          </w:p>
        </w:tc>
        <w:tc>
          <w:tcPr>
            <w:tcW w:w="536" w:type="dxa"/>
            <w:tcBorders>
              <w:top w:val="nil"/>
              <w:left w:val="single" w:sz="4" w:space="0" w:color="000000"/>
              <w:bottom w:val="single" w:sz="4" w:space="0" w:color="000000"/>
              <w:right w:val="nil"/>
            </w:tcBorders>
            <w:shd w:val="clear" w:color="auto" w:fill="auto"/>
            <w:vAlign w:val="center"/>
          </w:tcPr>
          <w:p w14:paraId="00FD1AB4"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150</w:t>
            </w:r>
          </w:p>
        </w:tc>
        <w:tc>
          <w:tcPr>
            <w:tcW w:w="496" w:type="dxa"/>
            <w:tcBorders>
              <w:top w:val="nil"/>
              <w:left w:val="nil"/>
              <w:bottom w:val="single" w:sz="4" w:space="0" w:color="000000"/>
              <w:right w:val="nil"/>
            </w:tcBorders>
            <w:shd w:val="clear" w:color="auto" w:fill="auto"/>
            <w:vAlign w:val="center"/>
          </w:tcPr>
          <w:p w14:paraId="08F61295"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1043" w:type="dxa"/>
            <w:tcBorders>
              <w:top w:val="nil"/>
              <w:left w:val="nil"/>
              <w:bottom w:val="single" w:sz="4" w:space="0" w:color="000000"/>
              <w:right w:val="nil"/>
            </w:tcBorders>
            <w:shd w:val="clear" w:color="auto" w:fill="auto"/>
            <w:vAlign w:val="center"/>
          </w:tcPr>
          <w:p w14:paraId="63339187" w14:textId="77777777" w:rsidR="00593AED" w:rsidRDefault="00593AED"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(4.4, 6.4)</w:t>
            </w:r>
          </w:p>
        </w:tc>
      </w:tr>
    </w:tbl>
    <w:p w14:paraId="08E920DF" w14:textId="77777777" w:rsidR="00F679B7" w:rsidRPr="00D05AB1" w:rsidRDefault="00F679B7" w:rsidP="00EE34AF">
      <w:pPr>
        <w:ind w:left="-567"/>
        <w:rPr>
          <w:sz w:val="16"/>
          <w:szCs w:val="16"/>
        </w:rPr>
      </w:pPr>
      <w:r w:rsidRPr="00D05AB1">
        <w:rPr>
          <w:sz w:val="16"/>
          <w:szCs w:val="16"/>
        </w:rPr>
        <w:t>Data weighted for 2013 Census data (</w:t>
      </w:r>
      <w:r>
        <w:rPr>
          <w:sz w:val="16"/>
          <w:szCs w:val="16"/>
        </w:rPr>
        <w:t>all w</w:t>
      </w:r>
      <w:r w:rsidRPr="00D05AB1">
        <w:rPr>
          <w:sz w:val="16"/>
          <w:szCs w:val="16"/>
        </w:rPr>
        <w:t>aves) and attrition (Wave</w:t>
      </w:r>
      <w:r>
        <w:rPr>
          <w:sz w:val="16"/>
          <w:szCs w:val="16"/>
        </w:rPr>
        <w:t>s</w:t>
      </w:r>
      <w:r w:rsidRPr="00D05AB1">
        <w:rPr>
          <w:sz w:val="16"/>
          <w:szCs w:val="16"/>
        </w:rPr>
        <w:t xml:space="preserve"> 2</w:t>
      </w:r>
      <w:r>
        <w:rPr>
          <w:sz w:val="16"/>
          <w:szCs w:val="16"/>
        </w:rPr>
        <w:t>,</w:t>
      </w:r>
      <w:r w:rsidRPr="00D05AB1">
        <w:rPr>
          <w:sz w:val="16"/>
          <w:szCs w:val="16"/>
        </w:rPr>
        <w:t xml:space="preserve"> 3</w:t>
      </w:r>
      <w:r>
        <w:rPr>
          <w:sz w:val="16"/>
          <w:szCs w:val="16"/>
        </w:rPr>
        <w:t xml:space="preserve"> and 4</w:t>
      </w:r>
      <w:r w:rsidRPr="00D05AB1">
        <w:rPr>
          <w:sz w:val="16"/>
          <w:szCs w:val="16"/>
        </w:rPr>
        <w:t>)</w:t>
      </w:r>
    </w:p>
    <w:p w14:paraId="729EC993" w14:textId="77777777" w:rsidR="00480556" w:rsidRPr="00FC432C" w:rsidRDefault="00FC432C" w:rsidP="00C00763">
      <w:pPr>
        <w:pStyle w:val="RepNormal"/>
        <w:ind w:left="-567" w:right="-766"/>
      </w:pPr>
      <w:r w:rsidRPr="00FC432C">
        <w:rPr>
          <w:rFonts w:eastAsiaTheme="minorEastAsia"/>
          <w:sz w:val="16"/>
          <w:szCs w:val="16"/>
          <w:vertAlign w:val="superscript"/>
        </w:rPr>
        <w:t>#</w:t>
      </w:r>
      <w:r>
        <w:rPr>
          <w:rFonts w:eastAsiaTheme="minorEastAsia"/>
          <w:sz w:val="16"/>
          <w:szCs w:val="16"/>
          <w:vertAlign w:val="superscript"/>
        </w:rPr>
        <w:t xml:space="preserve"> </w:t>
      </w:r>
      <w:r>
        <w:rPr>
          <w:rFonts w:eastAsiaTheme="minorEastAsia"/>
          <w:sz w:val="16"/>
          <w:szCs w:val="16"/>
        </w:rPr>
        <w:t xml:space="preserve"> Not </w:t>
      </w:r>
      <w:r w:rsidR="001911F2">
        <w:rPr>
          <w:rFonts w:eastAsiaTheme="minorEastAsia"/>
          <w:sz w:val="16"/>
          <w:szCs w:val="16"/>
        </w:rPr>
        <w:t>previously listed in table.  Includes</w:t>
      </w:r>
      <w:r w:rsidR="001911F2" w:rsidRPr="001911F2">
        <w:rPr>
          <w:rFonts w:eastAsiaTheme="minorEastAsia"/>
          <w:sz w:val="16"/>
          <w:szCs w:val="16"/>
        </w:rPr>
        <w:t xml:space="preserve"> </w:t>
      </w:r>
      <w:r w:rsidR="00EE34AF">
        <w:rPr>
          <w:rFonts w:eastAsiaTheme="minorEastAsia"/>
          <w:sz w:val="16"/>
          <w:szCs w:val="16"/>
        </w:rPr>
        <w:t>i</w:t>
      </w:r>
      <w:r w:rsidR="001911F2" w:rsidRPr="001911F2">
        <w:rPr>
          <w:rFonts w:eastAsiaTheme="minorEastAsia"/>
          <w:sz w:val="16"/>
          <w:szCs w:val="16"/>
        </w:rPr>
        <w:t>nternet casino games and EGMs</w:t>
      </w:r>
      <w:r w:rsidR="00662F08" w:rsidRPr="001911F2">
        <w:rPr>
          <w:rFonts w:eastAsiaTheme="minorEastAsia"/>
          <w:sz w:val="16"/>
          <w:szCs w:val="16"/>
        </w:rPr>
        <w:t xml:space="preserve">, </w:t>
      </w:r>
      <w:r w:rsidR="00662F08">
        <w:rPr>
          <w:rFonts w:eastAsiaTheme="minorEastAsia"/>
          <w:sz w:val="16"/>
          <w:szCs w:val="16"/>
        </w:rPr>
        <w:t xml:space="preserve">events betting, bingo, </w:t>
      </w:r>
      <w:r w:rsidR="00662F08" w:rsidRPr="001911F2">
        <w:rPr>
          <w:rFonts w:eastAsiaTheme="minorEastAsia"/>
          <w:sz w:val="16"/>
          <w:szCs w:val="16"/>
        </w:rPr>
        <w:t xml:space="preserve">skill games, virtual sport, </w:t>
      </w:r>
      <w:r w:rsidR="00662F08">
        <w:rPr>
          <w:rFonts w:eastAsiaTheme="minorEastAsia"/>
          <w:sz w:val="16"/>
          <w:szCs w:val="16"/>
        </w:rPr>
        <w:t xml:space="preserve">and </w:t>
      </w:r>
      <w:r w:rsidR="00662F08" w:rsidRPr="001911F2">
        <w:rPr>
          <w:rFonts w:eastAsiaTheme="minorEastAsia"/>
          <w:sz w:val="16"/>
          <w:szCs w:val="16"/>
        </w:rPr>
        <w:t>raffle</w:t>
      </w:r>
      <w:r w:rsidR="00662F08">
        <w:rPr>
          <w:rFonts w:eastAsiaTheme="minorEastAsia"/>
          <w:sz w:val="16"/>
          <w:szCs w:val="16"/>
        </w:rPr>
        <w:t>s/lotteries</w:t>
      </w:r>
      <w:r w:rsidR="00BF15F8">
        <w:rPr>
          <w:rFonts w:eastAsiaTheme="minorEastAsia"/>
          <w:sz w:val="16"/>
          <w:szCs w:val="16"/>
        </w:rPr>
        <w:t xml:space="preserve"> (</w:t>
      </w:r>
      <w:r w:rsidR="00662F08">
        <w:rPr>
          <w:rFonts w:eastAsiaTheme="minorEastAsia"/>
          <w:sz w:val="16"/>
          <w:szCs w:val="16"/>
        </w:rPr>
        <w:t xml:space="preserve">does </w:t>
      </w:r>
      <w:r w:rsidR="001911F2" w:rsidRPr="001911F2">
        <w:rPr>
          <w:rFonts w:eastAsiaTheme="minorEastAsia"/>
          <w:sz w:val="16"/>
          <w:szCs w:val="16"/>
        </w:rPr>
        <w:t xml:space="preserve">not </w:t>
      </w:r>
      <w:r w:rsidR="00662F08">
        <w:rPr>
          <w:rFonts w:eastAsiaTheme="minorEastAsia"/>
          <w:sz w:val="16"/>
          <w:szCs w:val="16"/>
        </w:rPr>
        <w:t>include internet poker, New Zealand track betting or sports</w:t>
      </w:r>
      <w:r w:rsidR="001911F2" w:rsidRPr="001911F2">
        <w:rPr>
          <w:rFonts w:eastAsiaTheme="minorEastAsia"/>
          <w:sz w:val="16"/>
          <w:szCs w:val="16"/>
        </w:rPr>
        <w:t xml:space="preserve"> betting</w:t>
      </w:r>
      <w:r w:rsidR="00662F08">
        <w:rPr>
          <w:rFonts w:eastAsiaTheme="minorEastAsia"/>
          <w:sz w:val="16"/>
          <w:szCs w:val="16"/>
        </w:rPr>
        <w:t>, or New Zealand lottery products)</w:t>
      </w:r>
    </w:p>
    <w:p w14:paraId="50A7FFF1" w14:textId="77777777" w:rsidR="00F679B7" w:rsidRDefault="00F679B7" w:rsidP="00A372FE">
      <w:pPr>
        <w:pStyle w:val="RepNormal"/>
      </w:pPr>
    </w:p>
    <w:p w14:paraId="58129DFC" w14:textId="77777777" w:rsidR="00F679B7" w:rsidRDefault="00F679B7" w:rsidP="00A372FE">
      <w:pPr>
        <w:pStyle w:val="RepNormal"/>
      </w:pPr>
    </w:p>
    <w:p w14:paraId="5D43B9CA" w14:textId="77777777" w:rsidR="00211849" w:rsidRPr="00422F08" w:rsidRDefault="00AB3B09" w:rsidP="00166C6E">
      <w:pPr>
        <w:pStyle w:val="RepHead3"/>
      </w:pPr>
      <w:bookmarkStart w:id="75" w:name="_Ref470095748"/>
      <w:bookmarkStart w:id="76" w:name="_Toc504488357"/>
      <w:r w:rsidRPr="00422F08">
        <w:t>Methods used to stop gambling too much and help-seeking behaviour</w:t>
      </w:r>
      <w:bookmarkEnd w:id="75"/>
      <w:bookmarkEnd w:id="76"/>
    </w:p>
    <w:p w14:paraId="0A3B7425" w14:textId="77777777" w:rsidR="00211849" w:rsidRDefault="00211849" w:rsidP="00166C6E">
      <w:pPr>
        <w:pStyle w:val="RepNormal"/>
        <w:keepNext/>
        <w:keepLines/>
      </w:pPr>
    </w:p>
    <w:p w14:paraId="25E3694A" w14:textId="77777777" w:rsidR="00C873C1" w:rsidRDefault="00C873C1" w:rsidP="00166C6E">
      <w:pPr>
        <w:pStyle w:val="RepNormal"/>
        <w:keepNext/>
        <w:keepLines/>
      </w:pPr>
      <w:r>
        <w:t xml:space="preserve">Data are presented in </w:t>
      </w:r>
      <w:r>
        <w:fldChar w:fldCharType="begin"/>
      </w:r>
      <w:r>
        <w:instrText xml:space="preserve"> REF _Ref404179227 \h </w:instrText>
      </w:r>
      <w:r>
        <w:fldChar w:fldCharType="separate"/>
      </w:r>
      <w:r w:rsidR="00D5752E">
        <w:t xml:space="preserve">Table </w:t>
      </w:r>
      <w:r w:rsidR="00D5752E">
        <w:rPr>
          <w:noProof/>
        </w:rPr>
        <w:t>5</w:t>
      </w:r>
      <w:r>
        <w:fldChar w:fldCharType="end"/>
      </w:r>
      <w:r>
        <w:t>.</w:t>
      </w:r>
    </w:p>
    <w:p w14:paraId="204AF80D" w14:textId="77777777" w:rsidR="00C873C1" w:rsidRPr="00E72302" w:rsidRDefault="00C873C1" w:rsidP="00166C6E">
      <w:pPr>
        <w:pStyle w:val="RepNormal"/>
        <w:keepNext/>
        <w:keepLines/>
      </w:pPr>
    </w:p>
    <w:p w14:paraId="771ADF17" w14:textId="77777777" w:rsidR="00A3143A" w:rsidRDefault="00A3143A" w:rsidP="00166C6E">
      <w:pPr>
        <w:pStyle w:val="RepNormal"/>
        <w:keepNext/>
        <w:keepLines/>
      </w:pPr>
      <w:r>
        <w:t xml:space="preserve">Participants who </w:t>
      </w:r>
      <w:r w:rsidR="00EF7A6B">
        <w:t xml:space="preserve">had </w:t>
      </w:r>
      <w:r>
        <w:t xml:space="preserve">gambled </w:t>
      </w:r>
      <w:r w:rsidR="00EF7A6B">
        <w:t xml:space="preserve">in the past year </w:t>
      </w:r>
      <w:r>
        <w:t xml:space="preserve">were asked if they used any methods to stop gambling too much.  Overall, across the four waves, percentages were generally similar for each of the methods used.  In Wave 4 compared to Wave 1, slightly lower proportions reported setting a money limit for gambling before leaving home (12% </w:t>
      </w:r>
      <w:r w:rsidR="00180546">
        <w:t xml:space="preserve">in </w:t>
      </w:r>
      <w:r>
        <w:t xml:space="preserve">Wave 4, 16% </w:t>
      </w:r>
      <w:r w:rsidR="00180546">
        <w:t xml:space="preserve">in </w:t>
      </w:r>
      <w:r>
        <w:t>Wave 1) and separating betting money from other money and stopping gamb</w:t>
      </w:r>
      <w:r w:rsidR="00C873C1">
        <w:t>ling when it is used (2.1% </w:t>
      </w:r>
      <w:r w:rsidR="00180546">
        <w:t xml:space="preserve">in </w:t>
      </w:r>
      <w:r w:rsidR="00EF7A6B">
        <w:t>Wave </w:t>
      </w:r>
      <w:r>
        <w:t xml:space="preserve">4, 3.5% </w:t>
      </w:r>
      <w:r w:rsidR="00180546">
        <w:t xml:space="preserve">in </w:t>
      </w:r>
      <w:r>
        <w:t>Wave 1).  Similar reductions had been noted in Wave 2 but not Wave 3.  Thus, these appear to be fluctuations that are probably of little importance.</w:t>
      </w:r>
    </w:p>
    <w:p w14:paraId="5CED636C" w14:textId="77777777" w:rsidR="00A3143A" w:rsidRDefault="00A3143A" w:rsidP="00A3143A">
      <w:pPr>
        <w:pStyle w:val="RepNormal"/>
      </w:pPr>
    </w:p>
    <w:p w14:paraId="1A0C1FFF" w14:textId="77777777" w:rsidR="00A3143A" w:rsidRDefault="00A3143A" w:rsidP="00A3143A">
      <w:pPr>
        <w:pStyle w:val="RepNormal"/>
      </w:pPr>
      <w:r>
        <w:t xml:space="preserve">All participants were asked if they had sought help for gambling in the past year, either from </w:t>
      </w:r>
      <w:r w:rsidR="00265003">
        <w:t>professional gambling treatment services</w:t>
      </w:r>
      <w:r>
        <w:t xml:space="preserve"> or informal </w:t>
      </w:r>
      <w:r w:rsidR="00265003">
        <w:t xml:space="preserve">sources </w:t>
      </w:r>
      <w:r>
        <w:t>(e.g. family, friends and work colleagues).  Across all four waves, a very low percentage reported seeking help</w:t>
      </w:r>
      <w:r w:rsidR="00180546">
        <w:t xml:space="preserve"> (0.4% or less)</w:t>
      </w:r>
      <w:r>
        <w:t xml:space="preserve">.  </w:t>
      </w:r>
    </w:p>
    <w:p w14:paraId="5E34337B" w14:textId="77777777" w:rsidR="00EF7A6B" w:rsidRPr="00180546" w:rsidRDefault="00EF7A6B" w:rsidP="00A3143A">
      <w:pPr>
        <w:pStyle w:val="RepNormal"/>
      </w:pPr>
    </w:p>
    <w:p w14:paraId="13A7D838" w14:textId="77777777" w:rsidR="00A3143A" w:rsidRDefault="00A3143A" w:rsidP="00C873C1">
      <w:pPr>
        <w:pStyle w:val="Caption"/>
        <w:keepNext/>
        <w:keepLines/>
        <w:ind w:left="-851" w:right="84"/>
        <w:jc w:val="both"/>
        <w:rPr>
          <w:szCs w:val="22"/>
        </w:rPr>
      </w:pPr>
      <w:bookmarkStart w:id="77" w:name="_Ref404179227"/>
      <w:bookmarkStart w:id="78" w:name="_Toc420393798"/>
      <w:bookmarkStart w:id="79" w:name="_Toc444864314"/>
      <w:bookmarkStart w:id="80" w:name="_Toc504488430"/>
      <w:r>
        <w:t xml:space="preserve">Table </w:t>
      </w:r>
      <w:r w:rsidR="00D5752E">
        <w:fldChar w:fldCharType="begin"/>
      </w:r>
      <w:r w:rsidR="00D5752E">
        <w:instrText xml:space="preserve"> SEQ Table \* ARABIC </w:instrText>
      </w:r>
      <w:r w:rsidR="00D5752E">
        <w:fldChar w:fldCharType="separate"/>
      </w:r>
      <w:r w:rsidR="00D5752E">
        <w:rPr>
          <w:noProof/>
        </w:rPr>
        <w:t>5</w:t>
      </w:r>
      <w:r w:rsidR="00D5752E">
        <w:rPr>
          <w:noProof/>
        </w:rPr>
        <w:fldChar w:fldCharType="end"/>
      </w:r>
      <w:bookmarkEnd w:id="77"/>
      <w:r>
        <w:t xml:space="preserve">: </w:t>
      </w:r>
      <w:r w:rsidR="00315163">
        <w:t>M</w:t>
      </w:r>
      <w:r>
        <w:t>ethods used to stop gambling too much and help-seeking behaviour in Wave</w:t>
      </w:r>
      <w:bookmarkEnd w:id="78"/>
      <w:r>
        <w:t>s 1, 2, 3</w:t>
      </w:r>
      <w:bookmarkEnd w:id="79"/>
      <w:r>
        <w:t xml:space="preserve"> and 4</w:t>
      </w:r>
      <w:bookmarkEnd w:id="80"/>
    </w:p>
    <w:tbl>
      <w:tblPr>
        <w:tblStyle w:val="LightShading4"/>
        <w:tblW w:w="10065" w:type="dxa"/>
        <w:tblInd w:w="-851" w:type="dxa"/>
        <w:tblLayout w:type="fixed"/>
        <w:tblLook w:val="06A0" w:firstRow="1" w:lastRow="0" w:firstColumn="1" w:lastColumn="0" w:noHBand="1" w:noVBand="1"/>
      </w:tblPr>
      <w:tblGrid>
        <w:gridCol w:w="1560"/>
        <w:gridCol w:w="536"/>
        <w:gridCol w:w="576"/>
        <w:gridCol w:w="1015"/>
        <w:gridCol w:w="536"/>
        <w:gridCol w:w="576"/>
        <w:gridCol w:w="1043"/>
        <w:gridCol w:w="536"/>
        <w:gridCol w:w="576"/>
        <w:gridCol w:w="1015"/>
        <w:gridCol w:w="537"/>
        <w:gridCol w:w="567"/>
        <w:gridCol w:w="992"/>
      </w:tblGrid>
      <w:tr w:rsidR="00A3143A" w:rsidRPr="00D05AB1" w14:paraId="4DD83E66" w14:textId="77777777" w:rsidTr="00F679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vMerge w:val="restart"/>
            <w:tcBorders>
              <w:bottom w:val="single" w:sz="4" w:space="0" w:color="auto"/>
            </w:tcBorders>
            <w:vAlign w:val="bottom"/>
            <w:hideMark/>
          </w:tcPr>
          <w:p w14:paraId="291E8A5A" w14:textId="77777777" w:rsidR="00A3143A" w:rsidRPr="00D05AB1" w:rsidRDefault="00A3143A" w:rsidP="00A31BD8">
            <w:pPr>
              <w:keepNext/>
              <w:keepLines/>
              <w:spacing w:before="20" w:after="20"/>
              <w:rPr>
                <w:rFonts w:eastAsiaTheme="minorEastAsia"/>
                <w:sz w:val="16"/>
                <w:szCs w:val="16"/>
                <w:lang w:eastAsia="en-US"/>
              </w:rPr>
            </w:pPr>
            <w:r w:rsidRPr="00D05AB1">
              <w:rPr>
                <w:rFonts w:eastAsiaTheme="minorEastAsia"/>
                <w:sz w:val="16"/>
                <w:szCs w:val="16"/>
                <w:lang w:eastAsia="en-US"/>
              </w:rPr>
              <w:t>Variable</w:t>
            </w:r>
          </w:p>
        </w:tc>
        <w:tc>
          <w:tcPr>
            <w:tcW w:w="2127" w:type="dxa"/>
            <w:gridSpan w:val="3"/>
            <w:tcBorders>
              <w:bottom w:val="single" w:sz="4" w:space="0" w:color="auto"/>
              <w:right w:val="single" w:sz="4" w:space="0" w:color="auto"/>
            </w:tcBorders>
            <w:noWrap/>
            <w:vAlign w:val="center"/>
            <w:hideMark/>
          </w:tcPr>
          <w:p w14:paraId="13AE6668" w14:textId="77777777" w:rsidR="00A3143A" w:rsidRPr="00D05AB1" w:rsidRDefault="00A3143A" w:rsidP="00A31BD8">
            <w:pPr>
              <w:keepNext/>
              <w:keepLines/>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6"/>
                <w:szCs w:val="16"/>
                <w:lang w:eastAsia="en-US"/>
              </w:rPr>
            </w:pPr>
            <w:r w:rsidRPr="00D05AB1">
              <w:rPr>
                <w:rFonts w:eastAsiaTheme="minorEastAsia"/>
                <w:sz w:val="16"/>
                <w:szCs w:val="16"/>
              </w:rPr>
              <w:t>Wave 1</w:t>
            </w:r>
          </w:p>
        </w:tc>
        <w:tc>
          <w:tcPr>
            <w:tcW w:w="2155" w:type="dxa"/>
            <w:gridSpan w:val="3"/>
            <w:tcBorders>
              <w:left w:val="single" w:sz="4" w:space="0" w:color="auto"/>
              <w:bottom w:val="single" w:sz="4" w:space="0" w:color="auto"/>
            </w:tcBorders>
            <w:vAlign w:val="center"/>
          </w:tcPr>
          <w:p w14:paraId="249B50BD" w14:textId="77777777" w:rsidR="00A3143A" w:rsidRPr="00D05AB1" w:rsidRDefault="00A3143A" w:rsidP="00A31BD8">
            <w:pPr>
              <w:keepNext/>
              <w:keepLines/>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Wave 2</w:t>
            </w:r>
          </w:p>
        </w:tc>
        <w:tc>
          <w:tcPr>
            <w:tcW w:w="2127" w:type="dxa"/>
            <w:gridSpan w:val="3"/>
            <w:tcBorders>
              <w:left w:val="single" w:sz="4" w:space="0" w:color="auto"/>
              <w:bottom w:val="single" w:sz="4" w:space="0" w:color="auto"/>
            </w:tcBorders>
          </w:tcPr>
          <w:p w14:paraId="75753BE6" w14:textId="77777777" w:rsidR="00A3143A" w:rsidRPr="00D05AB1" w:rsidRDefault="00A3143A" w:rsidP="00A31BD8">
            <w:pPr>
              <w:keepNext/>
              <w:keepLines/>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Wave 3</w:t>
            </w:r>
          </w:p>
        </w:tc>
        <w:tc>
          <w:tcPr>
            <w:tcW w:w="2096" w:type="dxa"/>
            <w:gridSpan w:val="3"/>
            <w:tcBorders>
              <w:left w:val="single" w:sz="4" w:space="0" w:color="auto"/>
              <w:bottom w:val="single" w:sz="4" w:space="0" w:color="auto"/>
            </w:tcBorders>
          </w:tcPr>
          <w:p w14:paraId="2D87CD35" w14:textId="77777777" w:rsidR="00A3143A" w:rsidRPr="00D05AB1" w:rsidRDefault="00A3143A" w:rsidP="00A31BD8">
            <w:pPr>
              <w:keepNext/>
              <w:keepLines/>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Pr>
                <w:rFonts w:eastAsiaTheme="minorEastAsia"/>
                <w:sz w:val="16"/>
                <w:szCs w:val="16"/>
                <w:lang w:eastAsia="en-US"/>
              </w:rPr>
              <w:t>Wave 4</w:t>
            </w:r>
          </w:p>
        </w:tc>
      </w:tr>
      <w:tr w:rsidR="00A3143A" w:rsidRPr="00D05AB1" w14:paraId="040014B1" w14:textId="77777777" w:rsidTr="00F679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vMerge/>
            <w:tcBorders>
              <w:bottom w:val="single" w:sz="4" w:space="0" w:color="auto"/>
            </w:tcBorders>
            <w:vAlign w:val="center"/>
            <w:hideMark/>
          </w:tcPr>
          <w:p w14:paraId="7BDEA837" w14:textId="77777777" w:rsidR="00A3143A" w:rsidRPr="00D05AB1" w:rsidRDefault="00A3143A" w:rsidP="00A31BD8">
            <w:pPr>
              <w:keepNext/>
              <w:keepLines/>
              <w:spacing w:before="20" w:after="20"/>
              <w:rPr>
                <w:rFonts w:eastAsiaTheme="minorEastAsia"/>
                <w:sz w:val="16"/>
                <w:szCs w:val="16"/>
                <w:lang w:eastAsia="en-US"/>
              </w:rPr>
            </w:pPr>
          </w:p>
        </w:tc>
        <w:tc>
          <w:tcPr>
            <w:tcW w:w="536" w:type="dxa"/>
            <w:tcBorders>
              <w:top w:val="single" w:sz="4" w:space="0" w:color="auto"/>
              <w:bottom w:val="single" w:sz="4" w:space="0" w:color="auto"/>
            </w:tcBorders>
            <w:noWrap/>
            <w:vAlign w:val="center"/>
            <w:hideMark/>
          </w:tcPr>
          <w:p w14:paraId="27E84C07" w14:textId="77777777" w:rsidR="00A3143A" w:rsidRPr="00D05AB1" w:rsidRDefault="00A3143A" w:rsidP="00A31BD8">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rPr>
              <w:t>n</w:t>
            </w:r>
          </w:p>
        </w:tc>
        <w:tc>
          <w:tcPr>
            <w:tcW w:w="576" w:type="dxa"/>
            <w:tcBorders>
              <w:top w:val="single" w:sz="4" w:space="0" w:color="auto"/>
              <w:bottom w:val="single" w:sz="4" w:space="0" w:color="auto"/>
            </w:tcBorders>
            <w:noWrap/>
            <w:vAlign w:val="center"/>
            <w:hideMark/>
          </w:tcPr>
          <w:p w14:paraId="15B980BD" w14:textId="77777777" w:rsidR="00A3143A" w:rsidRPr="00D05AB1" w:rsidRDefault="00A3143A" w:rsidP="00A31BD8">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rPr>
              <w:t>%</w:t>
            </w:r>
          </w:p>
        </w:tc>
        <w:tc>
          <w:tcPr>
            <w:tcW w:w="1015" w:type="dxa"/>
            <w:tcBorders>
              <w:top w:val="single" w:sz="4" w:space="0" w:color="auto"/>
              <w:bottom w:val="single" w:sz="4" w:space="0" w:color="auto"/>
              <w:right w:val="single" w:sz="4" w:space="0" w:color="auto"/>
            </w:tcBorders>
            <w:noWrap/>
            <w:vAlign w:val="center"/>
          </w:tcPr>
          <w:p w14:paraId="088C7E1F" w14:textId="77777777" w:rsidR="00A3143A" w:rsidRPr="00D05AB1" w:rsidRDefault="00A3143A" w:rsidP="00A31BD8">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lang w:eastAsia="en-US"/>
              </w:rPr>
              <w:t>(95% CI)</w:t>
            </w:r>
          </w:p>
        </w:tc>
        <w:tc>
          <w:tcPr>
            <w:tcW w:w="536" w:type="dxa"/>
            <w:tcBorders>
              <w:top w:val="single" w:sz="4" w:space="0" w:color="auto"/>
              <w:left w:val="single" w:sz="4" w:space="0" w:color="auto"/>
              <w:bottom w:val="single" w:sz="4" w:space="0" w:color="auto"/>
            </w:tcBorders>
            <w:noWrap/>
            <w:vAlign w:val="center"/>
          </w:tcPr>
          <w:p w14:paraId="10CF2C3A" w14:textId="77777777" w:rsidR="00A3143A" w:rsidRPr="00D05AB1" w:rsidRDefault="00A3143A" w:rsidP="00A31BD8">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lang w:eastAsia="en-US"/>
              </w:rPr>
              <w:t>n</w:t>
            </w:r>
          </w:p>
        </w:tc>
        <w:tc>
          <w:tcPr>
            <w:tcW w:w="576" w:type="dxa"/>
            <w:tcBorders>
              <w:top w:val="single" w:sz="4" w:space="0" w:color="auto"/>
              <w:bottom w:val="single" w:sz="4" w:space="0" w:color="auto"/>
            </w:tcBorders>
            <w:noWrap/>
            <w:vAlign w:val="center"/>
          </w:tcPr>
          <w:p w14:paraId="76E0730D" w14:textId="77777777" w:rsidR="00A3143A" w:rsidRPr="00D05AB1" w:rsidRDefault="00A3143A" w:rsidP="00A31BD8">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lang w:eastAsia="en-US"/>
              </w:rPr>
              <w:t>%</w:t>
            </w:r>
          </w:p>
        </w:tc>
        <w:tc>
          <w:tcPr>
            <w:tcW w:w="1043" w:type="dxa"/>
            <w:tcBorders>
              <w:top w:val="single" w:sz="4" w:space="0" w:color="auto"/>
              <w:bottom w:val="single" w:sz="4" w:space="0" w:color="auto"/>
              <w:right w:val="single" w:sz="4" w:space="0" w:color="000000"/>
            </w:tcBorders>
            <w:shd w:val="clear" w:color="auto" w:fill="FFFFFF" w:themeFill="background1"/>
            <w:noWrap/>
            <w:vAlign w:val="center"/>
          </w:tcPr>
          <w:p w14:paraId="1BAAAC97" w14:textId="77777777" w:rsidR="00A3143A" w:rsidRPr="00D05AB1" w:rsidRDefault="00A3143A" w:rsidP="00A31BD8">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D05AB1">
              <w:rPr>
                <w:rFonts w:eastAsiaTheme="minorEastAsia"/>
                <w:sz w:val="16"/>
                <w:szCs w:val="16"/>
                <w:lang w:eastAsia="en-US"/>
              </w:rPr>
              <w:t>(95% CI)</w:t>
            </w:r>
          </w:p>
        </w:tc>
        <w:tc>
          <w:tcPr>
            <w:tcW w:w="536" w:type="dxa"/>
            <w:tcBorders>
              <w:top w:val="single" w:sz="4" w:space="0" w:color="auto"/>
              <w:left w:val="single" w:sz="4" w:space="0" w:color="000000"/>
              <w:bottom w:val="single" w:sz="4" w:space="0" w:color="auto"/>
            </w:tcBorders>
            <w:shd w:val="clear" w:color="auto" w:fill="FFFFFF" w:themeFill="background1"/>
            <w:vAlign w:val="center"/>
          </w:tcPr>
          <w:p w14:paraId="7DABE1DC" w14:textId="77777777" w:rsidR="00A3143A" w:rsidRPr="00D05AB1" w:rsidRDefault="00A3143A" w:rsidP="00A31BD8">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lang w:eastAsia="en-US"/>
              </w:rPr>
              <w:t>n</w:t>
            </w:r>
          </w:p>
        </w:tc>
        <w:tc>
          <w:tcPr>
            <w:tcW w:w="576" w:type="dxa"/>
            <w:tcBorders>
              <w:top w:val="single" w:sz="4" w:space="0" w:color="auto"/>
              <w:bottom w:val="single" w:sz="4" w:space="0" w:color="auto"/>
            </w:tcBorders>
            <w:shd w:val="clear" w:color="auto" w:fill="FFFFFF" w:themeFill="background1"/>
            <w:vAlign w:val="center"/>
          </w:tcPr>
          <w:p w14:paraId="4604C04A" w14:textId="77777777" w:rsidR="00A3143A" w:rsidRPr="00D05AB1" w:rsidRDefault="00A3143A" w:rsidP="00A31BD8">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lang w:eastAsia="en-US"/>
              </w:rPr>
              <w:t>%</w:t>
            </w:r>
          </w:p>
        </w:tc>
        <w:tc>
          <w:tcPr>
            <w:tcW w:w="1015" w:type="dxa"/>
            <w:tcBorders>
              <w:top w:val="single" w:sz="4" w:space="0" w:color="auto"/>
              <w:bottom w:val="single" w:sz="4" w:space="0" w:color="auto"/>
              <w:right w:val="single" w:sz="4" w:space="0" w:color="000000"/>
            </w:tcBorders>
            <w:shd w:val="clear" w:color="auto" w:fill="FFFFFF" w:themeFill="background1"/>
            <w:vAlign w:val="center"/>
          </w:tcPr>
          <w:p w14:paraId="3F51AB07" w14:textId="77777777" w:rsidR="00A3143A" w:rsidRPr="00D05AB1" w:rsidRDefault="00A3143A" w:rsidP="00A31BD8">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D05AB1">
              <w:rPr>
                <w:rFonts w:eastAsiaTheme="minorEastAsia"/>
                <w:sz w:val="16"/>
                <w:szCs w:val="16"/>
                <w:lang w:eastAsia="en-US"/>
              </w:rPr>
              <w:t>(95% CI)</w:t>
            </w:r>
          </w:p>
        </w:tc>
        <w:tc>
          <w:tcPr>
            <w:tcW w:w="537" w:type="dxa"/>
            <w:tcBorders>
              <w:top w:val="single" w:sz="4" w:space="0" w:color="auto"/>
              <w:left w:val="single" w:sz="4" w:space="0" w:color="000000"/>
              <w:bottom w:val="single" w:sz="4" w:space="0" w:color="auto"/>
            </w:tcBorders>
            <w:shd w:val="clear" w:color="auto" w:fill="FFFFFF" w:themeFill="background1"/>
            <w:vAlign w:val="center"/>
          </w:tcPr>
          <w:p w14:paraId="3B1B04B5" w14:textId="77777777" w:rsidR="00A3143A" w:rsidRPr="00A3143A" w:rsidRDefault="00A3143A" w:rsidP="00A31BD8">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A3143A">
              <w:rPr>
                <w:rFonts w:eastAsiaTheme="minorEastAsia"/>
                <w:sz w:val="16"/>
                <w:szCs w:val="16"/>
                <w:lang w:eastAsia="en-US"/>
              </w:rPr>
              <w:t>n</w:t>
            </w:r>
          </w:p>
        </w:tc>
        <w:tc>
          <w:tcPr>
            <w:tcW w:w="567" w:type="dxa"/>
            <w:tcBorders>
              <w:top w:val="single" w:sz="4" w:space="0" w:color="auto"/>
              <w:bottom w:val="single" w:sz="4" w:space="0" w:color="auto"/>
            </w:tcBorders>
            <w:shd w:val="clear" w:color="auto" w:fill="FFFFFF" w:themeFill="background1"/>
            <w:vAlign w:val="center"/>
          </w:tcPr>
          <w:p w14:paraId="16907371" w14:textId="77777777" w:rsidR="00A3143A" w:rsidRPr="00A3143A" w:rsidRDefault="00A3143A" w:rsidP="00A31BD8">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A3143A">
              <w:rPr>
                <w:rFonts w:eastAsiaTheme="minorEastAsia"/>
                <w:sz w:val="16"/>
                <w:szCs w:val="16"/>
                <w:lang w:eastAsia="en-US"/>
              </w:rPr>
              <w:t>%</w:t>
            </w:r>
          </w:p>
        </w:tc>
        <w:tc>
          <w:tcPr>
            <w:tcW w:w="992" w:type="dxa"/>
            <w:tcBorders>
              <w:top w:val="single" w:sz="4" w:space="0" w:color="auto"/>
              <w:bottom w:val="single" w:sz="4" w:space="0" w:color="auto"/>
            </w:tcBorders>
            <w:shd w:val="clear" w:color="auto" w:fill="FFFFFF" w:themeFill="background1"/>
            <w:vAlign w:val="center"/>
          </w:tcPr>
          <w:p w14:paraId="3EA967CE" w14:textId="77777777" w:rsidR="00A3143A" w:rsidRPr="00A3143A" w:rsidRDefault="00A3143A" w:rsidP="00A31BD8">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A3143A">
              <w:rPr>
                <w:rFonts w:eastAsiaTheme="minorEastAsia"/>
                <w:sz w:val="16"/>
                <w:szCs w:val="16"/>
                <w:lang w:eastAsia="en-US"/>
              </w:rPr>
              <w:t>(95% CI)</w:t>
            </w:r>
          </w:p>
        </w:tc>
      </w:tr>
      <w:tr w:rsidR="002F04E8" w:rsidRPr="00D05AB1" w14:paraId="3E303B0E" w14:textId="77777777" w:rsidTr="00F679B7">
        <w:tc>
          <w:tcPr>
            <w:cnfStyle w:val="001000000000" w:firstRow="0" w:lastRow="0" w:firstColumn="1" w:lastColumn="0" w:oddVBand="0" w:evenVBand="0" w:oddHBand="0" w:evenHBand="0" w:firstRowFirstColumn="0" w:firstRowLastColumn="0" w:lastRowFirstColumn="0" w:lastRowLastColumn="0"/>
            <w:tcW w:w="3687" w:type="dxa"/>
            <w:gridSpan w:val="4"/>
            <w:tcBorders>
              <w:top w:val="nil"/>
              <w:left w:val="nil"/>
              <w:bottom w:val="nil"/>
              <w:right w:val="single" w:sz="4" w:space="0" w:color="auto"/>
            </w:tcBorders>
            <w:vAlign w:val="center"/>
          </w:tcPr>
          <w:p w14:paraId="12268F63" w14:textId="77777777" w:rsidR="002F04E8" w:rsidRPr="00D05AB1" w:rsidRDefault="002F04E8" w:rsidP="002F04E8">
            <w:pPr>
              <w:keepNext/>
              <w:keepLines/>
              <w:spacing w:before="20" w:after="20"/>
              <w:rPr>
                <w:rFonts w:eastAsiaTheme="minorEastAsia"/>
                <w:sz w:val="16"/>
                <w:szCs w:val="16"/>
                <w:lang w:eastAsia="en-US"/>
              </w:rPr>
            </w:pPr>
            <w:r w:rsidRPr="00D05AB1">
              <w:rPr>
                <w:rFonts w:eastAsiaTheme="minorEastAsia"/>
                <w:sz w:val="16"/>
                <w:szCs w:val="16"/>
                <w:lang w:eastAsia="en-US"/>
              </w:rPr>
              <w:t>Methods used to stop gambling too much</w:t>
            </w:r>
            <w:r w:rsidRPr="00D05AB1">
              <w:rPr>
                <w:rFonts w:eastAsiaTheme="minorEastAsia"/>
                <w:sz w:val="16"/>
                <w:szCs w:val="16"/>
                <w:vertAlign w:val="superscript"/>
                <w:lang w:eastAsia="en-US"/>
              </w:rPr>
              <w:t>#</w:t>
            </w:r>
          </w:p>
        </w:tc>
        <w:tc>
          <w:tcPr>
            <w:tcW w:w="536" w:type="dxa"/>
            <w:tcBorders>
              <w:top w:val="nil"/>
              <w:left w:val="single" w:sz="4" w:space="0" w:color="auto"/>
              <w:bottom w:val="nil"/>
              <w:right w:val="nil"/>
            </w:tcBorders>
            <w:noWrap/>
            <w:vAlign w:val="center"/>
          </w:tcPr>
          <w:p w14:paraId="6C578E92" w14:textId="77777777" w:rsidR="002F04E8" w:rsidRPr="00D05AB1" w:rsidRDefault="002F04E8"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76" w:type="dxa"/>
            <w:tcBorders>
              <w:top w:val="nil"/>
              <w:left w:val="nil"/>
              <w:bottom w:val="nil"/>
              <w:right w:val="nil"/>
            </w:tcBorders>
            <w:noWrap/>
            <w:vAlign w:val="center"/>
          </w:tcPr>
          <w:p w14:paraId="76056D6C" w14:textId="77777777" w:rsidR="002F04E8" w:rsidRPr="00D05AB1" w:rsidRDefault="002F04E8"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000000"/>
            </w:tcBorders>
            <w:shd w:val="clear" w:color="auto" w:fill="FFFFFF" w:themeFill="background1"/>
            <w:noWrap/>
            <w:vAlign w:val="center"/>
          </w:tcPr>
          <w:p w14:paraId="4943C823" w14:textId="77777777" w:rsidR="002F04E8" w:rsidRPr="00D05AB1" w:rsidRDefault="002F04E8"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536" w:type="dxa"/>
            <w:tcBorders>
              <w:top w:val="nil"/>
              <w:left w:val="single" w:sz="4" w:space="0" w:color="000000"/>
              <w:bottom w:val="nil"/>
              <w:right w:val="nil"/>
            </w:tcBorders>
          </w:tcPr>
          <w:p w14:paraId="4861C2F4" w14:textId="77777777" w:rsidR="002F04E8" w:rsidRPr="00D05AB1" w:rsidRDefault="002F04E8"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576" w:type="dxa"/>
            <w:tcBorders>
              <w:top w:val="nil"/>
              <w:left w:val="nil"/>
              <w:bottom w:val="nil"/>
              <w:right w:val="nil"/>
            </w:tcBorders>
          </w:tcPr>
          <w:p w14:paraId="6980D51E" w14:textId="77777777" w:rsidR="002F04E8" w:rsidRPr="00D05AB1" w:rsidRDefault="002F04E8"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1015" w:type="dxa"/>
            <w:tcBorders>
              <w:top w:val="nil"/>
              <w:left w:val="nil"/>
              <w:bottom w:val="nil"/>
              <w:right w:val="single" w:sz="4" w:space="0" w:color="000000"/>
            </w:tcBorders>
          </w:tcPr>
          <w:p w14:paraId="0E7CCEDF" w14:textId="77777777" w:rsidR="002F04E8" w:rsidRPr="00D05AB1" w:rsidRDefault="002F04E8"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537" w:type="dxa"/>
            <w:tcBorders>
              <w:top w:val="nil"/>
              <w:left w:val="single" w:sz="4" w:space="0" w:color="000000"/>
              <w:bottom w:val="nil"/>
              <w:right w:val="nil"/>
            </w:tcBorders>
          </w:tcPr>
          <w:p w14:paraId="6518F4DC" w14:textId="77777777" w:rsidR="002F04E8" w:rsidRPr="00A3143A" w:rsidRDefault="002F04E8"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567" w:type="dxa"/>
            <w:tcBorders>
              <w:top w:val="nil"/>
              <w:left w:val="nil"/>
              <w:bottom w:val="nil"/>
              <w:right w:val="nil"/>
            </w:tcBorders>
          </w:tcPr>
          <w:p w14:paraId="09769070" w14:textId="77777777" w:rsidR="002F04E8" w:rsidRPr="00A3143A" w:rsidRDefault="002F04E8"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992" w:type="dxa"/>
            <w:tcBorders>
              <w:top w:val="nil"/>
              <w:left w:val="nil"/>
              <w:bottom w:val="nil"/>
              <w:right w:val="nil"/>
            </w:tcBorders>
          </w:tcPr>
          <w:p w14:paraId="248FDD79" w14:textId="77777777" w:rsidR="002F04E8" w:rsidRPr="00A3143A" w:rsidRDefault="002F04E8"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r>
      <w:tr w:rsidR="009118DA" w:rsidRPr="00D05AB1" w14:paraId="58D04E20" w14:textId="77777777" w:rsidTr="009E769D">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shd w:val="clear" w:color="auto" w:fill="auto"/>
          </w:tcPr>
          <w:p w14:paraId="5B566898" w14:textId="77777777" w:rsidR="00A3143A" w:rsidRPr="00D05AB1" w:rsidRDefault="00A3143A" w:rsidP="00A31BD8">
            <w:pPr>
              <w:keepNext/>
              <w:keepLines/>
              <w:spacing w:before="20" w:after="20"/>
              <w:ind w:left="34"/>
              <w:rPr>
                <w:rFonts w:eastAsiaTheme="minorEastAsia"/>
                <w:b w:val="0"/>
                <w:sz w:val="16"/>
                <w:szCs w:val="16"/>
                <w:lang w:eastAsia="en-US"/>
              </w:rPr>
            </w:pPr>
            <w:r w:rsidRPr="00D05AB1">
              <w:rPr>
                <w:rFonts w:eastAsiaTheme="minorEastAsia"/>
                <w:b w:val="0"/>
                <w:sz w:val="16"/>
                <w:szCs w:val="16"/>
                <w:lang w:eastAsia="en-US"/>
              </w:rPr>
              <w:t>Set a money limit</w:t>
            </w:r>
          </w:p>
        </w:tc>
        <w:tc>
          <w:tcPr>
            <w:tcW w:w="536" w:type="dxa"/>
            <w:tcBorders>
              <w:top w:val="nil"/>
              <w:left w:val="nil"/>
              <w:bottom w:val="nil"/>
              <w:right w:val="nil"/>
            </w:tcBorders>
            <w:shd w:val="clear" w:color="auto" w:fill="auto"/>
            <w:noWrap/>
            <w:vAlign w:val="center"/>
          </w:tcPr>
          <w:p w14:paraId="1CF76743"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992</w:t>
            </w:r>
          </w:p>
        </w:tc>
        <w:tc>
          <w:tcPr>
            <w:tcW w:w="576" w:type="dxa"/>
            <w:tcBorders>
              <w:top w:val="nil"/>
              <w:left w:val="nil"/>
              <w:bottom w:val="nil"/>
              <w:right w:val="nil"/>
            </w:tcBorders>
            <w:shd w:val="clear" w:color="auto" w:fill="auto"/>
            <w:noWrap/>
            <w:vAlign w:val="center"/>
          </w:tcPr>
          <w:p w14:paraId="5A413939"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16.0</w:t>
            </w:r>
          </w:p>
        </w:tc>
        <w:tc>
          <w:tcPr>
            <w:tcW w:w="1015" w:type="dxa"/>
            <w:tcBorders>
              <w:top w:val="nil"/>
              <w:left w:val="nil"/>
              <w:bottom w:val="nil"/>
              <w:right w:val="single" w:sz="4" w:space="0" w:color="auto"/>
            </w:tcBorders>
            <w:shd w:val="clear" w:color="auto" w:fill="auto"/>
            <w:noWrap/>
            <w:vAlign w:val="center"/>
          </w:tcPr>
          <w:p w14:paraId="133D2F47"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(14.8</w:t>
            </w:r>
            <w:r>
              <w:rPr>
                <w:rFonts w:eastAsiaTheme="minorEastAsia"/>
                <w:sz w:val="16"/>
                <w:szCs w:val="16"/>
                <w:lang w:eastAsia="en-US"/>
              </w:rPr>
              <w:t>,</w:t>
            </w:r>
            <w:r w:rsidRPr="00D05AB1">
              <w:rPr>
                <w:rFonts w:eastAsiaTheme="minorEastAsia"/>
                <w:sz w:val="16"/>
                <w:szCs w:val="16"/>
                <w:lang w:eastAsia="en-US"/>
              </w:rPr>
              <w:t xml:space="preserve"> 17.1)</w:t>
            </w:r>
          </w:p>
        </w:tc>
        <w:tc>
          <w:tcPr>
            <w:tcW w:w="536" w:type="dxa"/>
            <w:tcBorders>
              <w:top w:val="nil"/>
              <w:left w:val="single" w:sz="4" w:space="0" w:color="auto"/>
              <w:bottom w:val="nil"/>
              <w:right w:val="nil"/>
            </w:tcBorders>
            <w:shd w:val="clear" w:color="auto" w:fill="auto"/>
            <w:noWrap/>
            <w:vAlign w:val="center"/>
          </w:tcPr>
          <w:p w14:paraId="2D4B7C07"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497</w:t>
            </w:r>
          </w:p>
        </w:tc>
        <w:tc>
          <w:tcPr>
            <w:tcW w:w="576" w:type="dxa"/>
            <w:tcBorders>
              <w:top w:val="nil"/>
              <w:left w:val="nil"/>
              <w:bottom w:val="nil"/>
              <w:right w:val="nil"/>
            </w:tcBorders>
            <w:shd w:val="clear" w:color="auto" w:fill="auto"/>
            <w:noWrap/>
            <w:vAlign w:val="center"/>
          </w:tcPr>
          <w:p w14:paraId="43E1EC17"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13.4</w:t>
            </w:r>
          </w:p>
        </w:tc>
        <w:tc>
          <w:tcPr>
            <w:tcW w:w="1043" w:type="dxa"/>
            <w:tcBorders>
              <w:top w:val="nil"/>
              <w:left w:val="nil"/>
              <w:bottom w:val="nil"/>
              <w:right w:val="single" w:sz="4" w:space="0" w:color="000000"/>
            </w:tcBorders>
            <w:shd w:val="clear" w:color="auto" w:fill="auto"/>
            <w:noWrap/>
            <w:vAlign w:val="center"/>
          </w:tcPr>
          <w:p w14:paraId="4D2AF623"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(12.0</w:t>
            </w:r>
            <w:r>
              <w:rPr>
                <w:rFonts w:eastAsiaTheme="minorEastAsia"/>
                <w:sz w:val="16"/>
                <w:szCs w:val="16"/>
                <w:lang w:eastAsia="en-US"/>
              </w:rPr>
              <w:t>,</w:t>
            </w:r>
            <w:r w:rsidRPr="00D05AB1">
              <w:rPr>
                <w:rFonts w:eastAsiaTheme="minorEastAsia"/>
                <w:sz w:val="16"/>
                <w:szCs w:val="16"/>
                <w:lang w:eastAsia="en-US"/>
              </w:rPr>
              <w:t xml:space="preserve"> 14.7)</w:t>
            </w:r>
          </w:p>
        </w:tc>
        <w:tc>
          <w:tcPr>
            <w:tcW w:w="536" w:type="dxa"/>
            <w:tcBorders>
              <w:top w:val="nil"/>
              <w:left w:val="single" w:sz="4" w:space="0" w:color="000000"/>
              <w:bottom w:val="nil"/>
              <w:right w:val="nil"/>
            </w:tcBorders>
            <w:shd w:val="clear" w:color="auto" w:fill="auto"/>
            <w:vAlign w:val="center"/>
          </w:tcPr>
          <w:p w14:paraId="04317702"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D05AB1">
              <w:rPr>
                <w:color w:val="000000"/>
                <w:sz w:val="16"/>
                <w:szCs w:val="16"/>
              </w:rPr>
              <w:t>379</w:t>
            </w:r>
          </w:p>
        </w:tc>
        <w:tc>
          <w:tcPr>
            <w:tcW w:w="576" w:type="dxa"/>
            <w:tcBorders>
              <w:top w:val="nil"/>
              <w:left w:val="nil"/>
              <w:bottom w:val="nil"/>
              <w:right w:val="nil"/>
            </w:tcBorders>
            <w:shd w:val="clear" w:color="auto" w:fill="auto"/>
            <w:vAlign w:val="center"/>
          </w:tcPr>
          <w:p w14:paraId="78AF367B"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15.9</w:t>
            </w:r>
          </w:p>
        </w:tc>
        <w:tc>
          <w:tcPr>
            <w:tcW w:w="1015" w:type="dxa"/>
            <w:tcBorders>
              <w:top w:val="nil"/>
              <w:left w:val="nil"/>
              <w:bottom w:val="nil"/>
              <w:right w:val="single" w:sz="4" w:space="0" w:color="000000"/>
            </w:tcBorders>
            <w:shd w:val="clear" w:color="auto" w:fill="auto"/>
            <w:vAlign w:val="center"/>
          </w:tcPr>
          <w:p w14:paraId="74C9F3B5"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(14.2, 17.6)</w:t>
            </w:r>
          </w:p>
        </w:tc>
        <w:tc>
          <w:tcPr>
            <w:tcW w:w="537" w:type="dxa"/>
            <w:tcBorders>
              <w:top w:val="nil"/>
              <w:left w:val="single" w:sz="4" w:space="0" w:color="000000"/>
              <w:bottom w:val="nil"/>
              <w:right w:val="nil"/>
            </w:tcBorders>
            <w:shd w:val="clear" w:color="auto" w:fill="auto"/>
            <w:vAlign w:val="center"/>
          </w:tcPr>
          <w:p w14:paraId="02975DAB" w14:textId="77777777" w:rsidR="00A3143A" w:rsidRPr="00A3143A"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A3143A">
              <w:rPr>
                <w:color w:val="000000"/>
                <w:sz w:val="16"/>
                <w:szCs w:val="16"/>
              </w:rPr>
              <w:t>334</w:t>
            </w:r>
          </w:p>
        </w:tc>
        <w:tc>
          <w:tcPr>
            <w:tcW w:w="567" w:type="dxa"/>
            <w:tcBorders>
              <w:top w:val="nil"/>
              <w:left w:val="nil"/>
              <w:bottom w:val="nil"/>
              <w:right w:val="nil"/>
            </w:tcBorders>
            <w:shd w:val="clear" w:color="auto" w:fill="auto"/>
            <w:vAlign w:val="center"/>
          </w:tcPr>
          <w:p w14:paraId="03F126CB" w14:textId="77777777" w:rsidR="00A3143A" w:rsidRPr="00A3143A"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3143A">
              <w:rPr>
                <w:color w:val="000000"/>
                <w:sz w:val="16"/>
                <w:szCs w:val="16"/>
              </w:rPr>
              <w:t>12.1</w:t>
            </w:r>
          </w:p>
        </w:tc>
        <w:tc>
          <w:tcPr>
            <w:tcW w:w="992" w:type="dxa"/>
            <w:tcBorders>
              <w:top w:val="nil"/>
              <w:left w:val="nil"/>
              <w:bottom w:val="nil"/>
              <w:right w:val="nil"/>
            </w:tcBorders>
            <w:shd w:val="clear" w:color="auto" w:fill="auto"/>
            <w:vAlign w:val="center"/>
          </w:tcPr>
          <w:p w14:paraId="5569D9AB" w14:textId="77777777" w:rsidR="00A3143A" w:rsidRPr="00A3143A"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3143A">
              <w:rPr>
                <w:color w:val="000000"/>
                <w:sz w:val="16"/>
                <w:szCs w:val="16"/>
              </w:rPr>
              <w:t>(10.5, 13.7)</w:t>
            </w:r>
          </w:p>
        </w:tc>
      </w:tr>
      <w:tr w:rsidR="009118DA" w:rsidRPr="00D05AB1" w14:paraId="6EA7FA41" w14:textId="77777777" w:rsidTr="009E769D">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shd w:val="clear" w:color="auto" w:fill="auto"/>
          </w:tcPr>
          <w:p w14:paraId="4A520A73" w14:textId="77777777" w:rsidR="00A3143A" w:rsidRPr="00D05AB1" w:rsidRDefault="00A3143A" w:rsidP="00A31BD8">
            <w:pPr>
              <w:keepNext/>
              <w:keepLines/>
              <w:spacing w:before="20" w:after="20"/>
              <w:ind w:left="34"/>
              <w:rPr>
                <w:rFonts w:eastAsiaTheme="minorEastAsia"/>
                <w:b w:val="0"/>
                <w:sz w:val="16"/>
                <w:szCs w:val="16"/>
                <w:lang w:eastAsia="en-US"/>
              </w:rPr>
            </w:pPr>
            <w:r w:rsidRPr="00D05AB1">
              <w:rPr>
                <w:rFonts w:eastAsiaTheme="minorEastAsia"/>
                <w:b w:val="0"/>
                <w:sz w:val="16"/>
                <w:szCs w:val="16"/>
                <w:lang w:eastAsia="en-US"/>
              </w:rPr>
              <w:t>Trusted person manages the money</w:t>
            </w:r>
          </w:p>
        </w:tc>
        <w:tc>
          <w:tcPr>
            <w:tcW w:w="536" w:type="dxa"/>
            <w:tcBorders>
              <w:top w:val="nil"/>
              <w:left w:val="nil"/>
              <w:bottom w:val="nil"/>
              <w:right w:val="nil"/>
            </w:tcBorders>
            <w:shd w:val="clear" w:color="auto" w:fill="auto"/>
            <w:noWrap/>
            <w:vAlign w:val="center"/>
          </w:tcPr>
          <w:p w14:paraId="4867BC09"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33</w:t>
            </w:r>
          </w:p>
        </w:tc>
        <w:tc>
          <w:tcPr>
            <w:tcW w:w="576" w:type="dxa"/>
            <w:tcBorders>
              <w:top w:val="nil"/>
              <w:left w:val="nil"/>
              <w:bottom w:val="nil"/>
              <w:right w:val="nil"/>
            </w:tcBorders>
            <w:shd w:val="clear" w:color="auto" w:fill="auto"/>
            <w:noWrap/>
            <w:vAlign w:val="center"/>
          </w:tcPr>
          <w:p w14:paraId="4EA59271"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0.5</w:t>
            </w:r>
          </w:p>
        </w:tc>
        <w:tc>
          <w:tcPr>
            <w:tcW w:w="1015" w:type="dxa"/>
            <w:tcBorders>
              <w:top w:val="nil"/>
              <w:left w:val="nil"/>
              <w:bottom w:val="nil"/>
              <w:right w:val="single" w:sz="4" w:space="0" w:color="auto"/>
            </w:tcBorders>
            <w:shd w:val="clear" w:color="auto" w:fill="auto"/>
            <w:noWrap/>
            <w:vAlign w:val="center"/>
          </w:tcPr>
          <w:p w14:paraId="40EFC57A"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(0.3</w:t>
            </w:r>
            <w:r>
              <w:rPr>
                <w:rFonts w:eastAsiaTheme="minorEastAsia"/>
                <w:sz w:val="16"/>
                <w:szCs w:val="16"/>
                <w:lang w:eastAsia="en-US"/>
              </w:rPr>
              <w:t>,</w:t>
            </w:r>
            <w:r w:rsidRPr="00D05AB1">
              <w:rPr>
                <w:rFonts w:eastAsiaTheme="minorEastAsia"/>
                <w:sz w:val="16"/>
                <w:szCs w:val="16"/>
                <w:lang w:eastAsia="en-US"/>
              </w:rPr>
              <w:t xml:space="preserve"> 0.7)</w:t>
            </w:r>
          </w:p>
        </w:tc>
        <w:tc>
          <w:tcPr>
            <w:tcW w:w="536" w:type="dxa"/>
            <w:tcBorders>
              <w:top w:val="nil"/>
              <w:left w:val="single" w:sz="4" w:space="0" w:color="auto"/>
              <w:bottom w:val="nil"/>
              <w:right w:val="nil"/>
            </w:tcBorders>
            <w:shd w:val="clear" w:color="auto" w:fill="auto"/>
            <w:noWrap/>
            <w:vAlign w:val="center"/>
          </w:tcPr>
          <w:p w14:paraId="4977BDA6"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17</w:t>
            </w:r>
          </w:p>
        </w:tc>
        <w:tc>
          <w:tcPr>
            <w:tcW w:w="576" w:type="dxa"/>
            <w:tcBorders>
              <w:top w:val="nil"/>
              <w:left w:val="nil"/>
              <w:bottom w:val="nil"/>
              <w:right w:val="nil"/>
            </w:tcBorders>
            <w:shd w:val="clear" w:color="auto" w:fill="auto"/>
            <w:noWrap/>
            <w:vAlign w:val="center"/>
          </w:tcPr>
          <w:p w14:paraId="11B36B77"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0.4</w:t>
            </w:r>
          </w:p>
        </w:tc>
        <w:tc>
          <w:tcPr>
            <w:tcW w:w="1043" w:type="dxa"/>
            <w:tcBorders>
              <w:top w:val="nil"/>
              <w:left w:val="nil"/>
              <w:bottom w:val="nil"/>
              <w:right w:val="single" w:sz="4" w:space="0" w:color="000000"/>
            </w:tcBorders>
            <w:shd w:val="clear" w:color="auto" w:fill="auto"/>
            <w:noWrap/>
            <w:vAlign w:val="center"/>
          </w:tcPr>
          <w:p w14:paraId="2B2E65C2"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(0.2</w:t>
            </w:r>
            <w:r>
              <w:rPr>
                <w:rFonts w:eastAsiaTheme="minorEastAsia"/>
                <w:sz w:val="16"/>
                <w:szCs w:val="16"/>
                <w:lang w:eastAsia="en-US"/>
              </w:rPr>
              <w:t>,</w:t>
            </w:r>
            <w:r w:rsidRPr="00D05AB1">
              <w:rPr>
                <w:rFonts w:eastAsiaTheme="minorEastAsia"/>
                <w:sz w:val="16"/>
                <w:szCs w:val="16"/>
                <w:lang w:eastAsia="en-US"/>
              </w:rPr>
              <w:t xml:space="preserve"> 0.7)</w:t>
            </w:r>
          </w:p>
        </w:tc>
        <w:tc>
          <w:tcPr>
            <w:tcW w:w="536" w:type="dxa"/>
            <w:tcBorders>
              <w:top w:val="nil"/>
              <w:left w:val="single" w:sz="4" w:space="0" w:color="000000"/>
              <w:bottom w:val="nil"/>
              <w:right w:val="nil"/>
            </w:tcBorders>
            <w:shd w:val="clear" w:color="auto" w:fill="auto"/>
            <w:vAlign w:val="center"/>
          </w:tcPr>
          <w:p w14:paraId="2E029FCA"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13</w:t>
            </w:r>
          </w:p>
        </w:tc>
        <w:tc>
          <w:tcPr>
            <w:tcW w:w="576" w:type="dxa"/>
            <w:tcBorders>
              <w:top w:val="nil"/>
              <w:left w:val="nil"/>
              <w:bottom w:val="nil"/>
              <w:right w:val="nil"/>
            </w:tcBorders>
            <w:shd w:val="clear" w:color="auto" w:fill="auto"/>
            <w:vAlign w:val="center"/>
          </w:tcPr>
          <w:p w14:paraId="35B8D9D5"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0.5</w:t>
            </w:r>
          </w:p>
        </w:tc>
        <w:tc>
          <w:tcPr>
            <w:tcW w:w="1015" w:type="dxa"/>
            <w:tcBorders>
              <w:top w:val="nil"/>
              <w:left w:val="nil"/>
              <w:bottom w:val="nil"/>
              <w:right w:val="single" w:sz="4" w:space="0" w:color="000000"/>
            </w:tcBorders>
            <w:shd w:val="clear" w:color="auto" w:fill="auto"/>
            <w:vAlign w:val="center"/>
          </w:tcPr>
          <w:p w14:paraId="0F8984DE"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(0.1, 1.0)</w:t>
            </w:r>
          </w:p>
        </w:tc>
        <w:tc>
          <w:tcPr>
            <w:tcW w:w="537" w:type="dxa"/>
            <w:tcBorders>
              <w:top w:val="nil"/>
              <w:left w:val="single" w:sz="4" w:space="0" w:color="000000"/>
              <w:bottom w:val="nil"/>
              <w:right w:val="nil"/>
            </w:tcBorders>
            <w:shd w:val="clear" w:color="auto" w:fill="auto"/>
            <w:vAlign w:val="center"/>
          </w:tcPr>
          <w:p w14:paraId="29BAECE0" w14:textId="77777777" w:rsidR="00A3143A" w:rsidRPr="00A3143A"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3143A">
              <w:rPr>
                <w:color w:val="000000"/>
                <w:sz w:val="16"/>
                <w:szCs w:val="16"/>
              </w:rPr>
              <w:t>17</w:t>
            </w:r>
          </w:p>
        </w:tc>
        <w:tc>
          <w:tcPr>
            <w:tcW w:w="567" w:type="dxa"/>
            <w:tcBorders>
              <w:top w:val="nil"/>
              <w:left w:val="nil"/>
              <w:bottom w:val="nil"/>
              <w:right w:val="nil"/>
            </w:tcBorders>
            <w:shd w:val="clear" w:color="auto" w:fill="auto"/>
            <w:vAlign w:val="center"/>
          </w:tcPr>
          <w:p w14:paraId="031E1802" w14:textId="77777777" w:rsidR="00A3143A" w:rsidRPr="00A3143A"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3143A">
              <w:rPr>
                <w:color w:val="000000"/>
                <w:sz w:val="16"/>
                <w:szCs w:val="16"/>
              </w:rPr>
              <w:t>0.6</w:t>
            </w:r>
          </w:p>
        </w:tc>
        <w:tc>
          <w:tcPr>
            <w:tcW w:w="992" w:type="dxa"/>
            <w:tcBorders>
              <w:top w:val="nil"/>
              <w:left w:val="nil"/>
              <w:bottom w:val="nil"/>
              <w:right w:val="nil"/>
            </w:tcBorders>
            <w:shd w:val="clear" w:color="auto" w:fill="auto"/>
            <w:vAlign w:val="center"/>
          </w:tcPr>
          <w:p w14:paraId="348BB4E8" w14:textId="77777777" w:rsidR="00A3143A" w:rsidRPr="00A3143A"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3143A">
              <w:rPr>
                <w:color w:val="000000"/>
                <w:sz w:val="16"/>
                <w:szCs w:val="16"/>
              </w:rPr>
              <w:t>(0.2, 1.1)</w:t>
            </w:r>
          </w:p>
        </w:tc>
      </w:tr>
      <w:tr w:rsidR="009118DA" w:rsidRPr="00D05AB1" w14:paraId="618354BB" w14:textId="77777777" w:rsidTr="009E769D">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shd w:val="clear" w:color="auto" w:fill="auto"/>
          </w:tcPr>
          <w:p w14:paraId="3D387584" w14:textId="77777777" w:rsidR="00A3143A" w:rsidRPr="00D05AB1" w:rsidRDefault="00A3143A" w:rsidP="00A31BD8">
            <w:pPr>
              <w:keepNext/>
              <w:keepLines/>
              <w:spacing w:before="20" w:after="20"/>
              <w:ind w:left="34"/>
              <w:rPr>
                <w:rFonts w:eastAsiaTheme="minorEastAsia"/>
                <w:b w:val="0"/>
                <w:sz w:val="16"/>
                <w:szCs w:val="16"/>
                <w:lang w:eastAsia="en-US"/>
              </w:rPr>
            </w:pPr>
            <w:r w:rsidRPr="00D05AB1">
              <w:rPr>
                <w:rFonts w:eastAsiaTheme="minorEastAsia"/>
                <w:b w:val="0"/>
                <w:sz w:val="16"/>
                <w:szCs w:val="16"/>
                <w:lang w:eastAsia="en-US"/>
              </w:rPr>
              <w:t>Separate betting money and stopping when used</w:t>
            </w:r>
          </w:p>
        </w:tc>
        <w:tc>
          <w:tcPr>
            <w:tcW w:w="536" w:type="dxa"/>
            <w:tcBorders>
              <w:top w:val="nil"/>
              <w:left w:val="nil"/>
              <w:bottom w:val="nil"/>
              <w:right w:val="nil"/>
            </w:tcBorders>
            <w:shd w:val="clear" w:color="auto" w:fill="auto"/>
            <w:noWrap/>
            <w:vAlign w:val="center"/>
          </w:tcPr>
          <w:p w14:paraId="3A0123FE"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215</w:t>
            </w:r>
          </w:p>
        </w:tc>
        <w:tc>
          <w:tcPr>
            <w:tcW w:w="576" w:type="dxa"/>
            <w:tcBorders>
              <w:top w:val="nil"/>
              <w:left w:val="nil"/>
              <w:bottom w:val="nil"/>
              <w:right w:val="nil"/>
            </w:tcBorders>
            <w:shd w:val="clear" w:color="auto" w:fill="auto"/>
            <w:noWrap/>
            <w:vAlign w:val="center"/>
          </w:tcPr>
          <w:p w14:paraId="58CE9559"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3.5</w:t>
            </w:r>
          </w:p>
        </w:tc>
        <w:tc>
          <w:tcPr>
            <w:tcW w:w="1015" w:type="dxa"/>
            <w:tcBorders>
              <w:top w:val="nil"/>
              <w:left w:val="nil"/>
              <w:bottom w:val="nil"/>
              <w:right w:val="single" w:sz="4" w:space="0" w:color="auto"/>
            </w:tcBorders>
            <w:shd w:val="clear" w:color="auto" w:fill="auto"/>
            <w:noWrap/>
            <w:vAlign w:val="center"/>
          </w:tcPr>
          <w:p w14:paraId="08445B84"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(2.9</w:t>
            </w:r>
            <w:r>
              <w:rPr>
                <w:rFonts w:eastAsiaTheme="minorEastAsia"/>
                <w:sz w:val="16"/>
                <w:szCs w:val="16"/>
                <w:lang w:eastAsia="en-US"/>
              </w:rPr>
              <w:t>,</w:t>
            </w:r>
            <w:r w:rsidRPr="00D05AB1">
              <w:rPr>
                <w:rFonts w:eastAsiaTheme="minorEastAsia"/>
                <w:sz w:val="16"/>
                <w:szCs w:val="16"/>
                <w:lang w:eastAsia="en-US"/>
              </w:rPr>
              <w:t xml:space="preserve"> 4.0)</w:t>
            </w:r>
          </w:p>
        </w:tc>
        <w:tc>
          <w:tcPr>
            <w:tcW w:w="536" w:type="dxa"/>
            <w:tcBorders>
              <w:top w:val="nil"/>
              <w:left w:val="single" w:sz="4" w:space="0" w:color="auto"/>
              <w:bottom w:val="nil"/>
              <w:right w:val="nil"/>
            </w:tcBorders>
            <w:shd w:val="clear" w:color="auto" w:fill="auto"/>
            <w:noWrap/>
            <w:vAlign w:val="center"/>
          </w:tcPr>
          <w:p w14:paraId="417784CF"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83</w:t>
            </w:r>
          </w:p>
        </w:tc>
        <w:tc>
          <w:tcPr>
            <w:tcW w:w="576" w:type="dxa"/>
            <w:tcBorders>
              <w:top w:val="nil"/>
              <w:left w:val="nil"/>
              <w:bottom w:val="nil"/>
              <w:right w:val="nil"/>
            </w:tcBorders>
            <w:shd w:val="clear" w:color="auto" w:fill="auto"/>
            <w:noWrap/>
            <w:vAlign w:val="center"/>
          </w:tcPr>
          <w:p w14:paraId="212ED956"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2.2</w:t>
            </w:r>
          </w:p>
        </w:tc>
        <w:tc>
          <w:tcPr>
            <w:tcW w:w="1043" w:type="dxa"/>
            <w:tcBorders>
              <w:top w:val="nil"/>
              <w:left w:val="nil"/>
              <w:bottom w:val="nil"/>
              <w:right w:val="single" w:sz="4" w:space="0" w:color="000000"/>
            </w:tcBorders>
            <w:shd w:val="clear" w:color="auto" w:fill="auto"/>
            <w:noWrap/>
            <w:vAlign w:val="center"/>
          </w:tcPr>
          <w:p w14:paraId="1D546D72"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(1.7</w:t>
            </w:r>
            <w:r>
              <w:rPr>
                <w:rFonts w:eastAsiaTheme="minorEastAsia"/>
                <w:sz w:val="16"/>
                <w:szCs w:val="16"/>
                <w:lang w:eastAsia="en-US"/>
              </w:rPr>
              <w:t>,</w:t>
            </w:r>
            <w:r w:rsidRPr="00D05AB1">
              <w:rPr>
                <w:rFonts w:eastAsiaTheme="minorEastAsia"/>
                <w:sz w:val="16"/>
                <w:szCs w:val="16"/>
                <w:lang w:eastAsia="en-US"/>
              </w:rPr>
              <w:t xml:space="preserve"> 2.8)</w:t>
            </w:r>
          </w:p>
        </w:tc>
        <w:tc>
          <w:tcPr>
            <w:tcW w:w="536" w:type="dxa"/>
            <w:tcBorders>
              <w:top w:val="nil"/>
              <w:left w:val="single" w:sz="4" w:space="0" w:color="000000"/>
              <w:bottom w:val="nil"/>
              <w:right w:val="nil"/>
            </w:tcBorders>
            <w:shd w:val="clear" w:color="auto" w:fill="auto"/>
            <w:vAlign w:val="center"/>
          </w:tcPr>
          <w:p w14:paraId="4AF7608A"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65</w:t>
            </w:r>
          </w:p>
        </w:tc>
        <w:tc>
          <w:tcPr>
            <w:tcW w:w="576" w:type="dxa"/>
            <w:tcBorders>
              <w:top w:val="nil"/>
              <w:left w:val="nil"/>
              <w:bottom w:val="nil"/>
              <w:right w:val="nil"/>
            </w:tcBorders>
            <w:shd w:val="clear" w:color="auto" w:fill="auto"/>
            <w:vAlign w:val="center"/>
          </w:tcPr>
          <w:p w14:paraId="0F3F7BD5"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2.7</w:t>
            </w:r>
          </w:p>
        </w:tc>
        <w:tc>
          <w:tcPr>
            <w:tcW w:w="1015" w:type="dxa"/>
            <w:tcBorders>
              <w:top w:val="nil"/>
              <w:left w:val="nil"/>
              <w:bottom w:val="nil"/>
              <w:right w:val="single" w:sz="4" w:space="0" w:color="000000"/>
            </w:tcBorders>
            <w:shd w:val="clear" w:color="auto" w:fill="auto"/>
            <w:vAlign w:val="center"/>
          </w:tcPr>
          <w:p w14:paraId="117E4ADC"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(1.9, 3.5)</w:t>
            </w:r>
          </w:p>
        </w:tc>
        <w:tc>
          <w:tcPr>
            <w:tcW w:w="537" w:type="dxa"/>
            <w:tcBorders>
              <w:top w:val="nil"/>
              <w:left w:val="single" w:sz="4" w:space="0" w:color="000000"/>
              <w:bottom w:val="nil"/>
              <w:right w:val="nil"/>
            </w:tcBorders>
            <w:shd w:val="clear" w:color="auto" w:fill="auto"/>
            <w:vAlign w:val="center"/>
          </w:tcPr>
          <w:p w14:paraId="350AA168" w14:textId="77777777" w:rsidR="00A3143A" w:rsidRPr="00A3143A"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3143A">
              <w:rPr>
                <w:color w:val="000000"/>
                <w:sz w:val="16"/>
                <w:szCs w:val="16"/>
              </w:rPr>
              <w:t>57</w:t>
            </w:r>
          </w:p>
        </w:tc>
        <w:tc>
          <w:tcPr>
            <w:tcW w:w="567" w:type="dxa"/>
            <w:tcBorders>
              <w:top w:val="nil"/>
              <w:left w:val="nil"/>
              <w:bottom w:val="nil"/>
              <w:right w:val="nil"/>
            </w:tcBorders>
            <w:shd w:val="clear" w:color="auto" w:fill="auto"/>
            <w:vAlign w:val="center"/>
          </w:tcPr>
          <w:p w14:paraId="73DED132" w14:textId="77777777" w:rsidR="00A3143A" w:rsidRPr="00A3143A"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3143A">
              <w:rPr>
                <w:color w:val="000000"/>
                <w:sz w:val="16"/>
                <w:szCs w:val="16"/>
              </w:rPr>
              <w:t>2.1</w:t>
            </w:r>
          </w:p>
        </w:tc>
        <w:tc>
          <w:tcPr>
            <w:tcW w:w="992" w:type="dxa"/>
            <w:tcBorders>
              <w:top w:val="nil"/>
              <w:left w:val="nil"/>
              <w:bottom w:val="nil"/>
              <w:right w:val="nil"/>
            </w:tcBorders>
            <w:shd w:val="clear" w:color="auto" w:fill="auto"/>
            <w:vAlign w:val="center"/>
          </w:tcPr>
          <w:p w14:paraId="460C50C4" w14:textId="77777777" w:rsidR="00A3143A" w:rsidRPr="00A3143A"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3143A">
              <w:rPr>
                <w:color w:val="000000"/>
                <w:sz w:val="16"/>
                <w:szCs w:val="16"/>
              </w:rPr>
              <w:t>(1.3, 2.8)</w:t>
            </w:r>
          </w:p>
        </w:tc>
      </w:tr>
      <w:tr w:rsidR="009118DA" w:rsidRPr="00D05AB1" w14:paraId="2A45B0AF" w14:textId="77777777" w:rsidTr="00F679B7">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tcPr>
          <w:p w14:paraId="0656687F" w14:textId="77777777" w:rsidR="00A3143A" w:rsidRPr="00D05AB1" w:rsidRDefault="00A3143A" w:rsidP="00A31BD8">
            <w:pPr>
              <w:keepNext/>
              <w:keepLines/>
              <w:spacing w:before="20" w:after="20"/>
              <w:ind w:left="34"/>
              <w:rPr>
                <w:rFonts w:eastAsiaTheme="minorEastAsia"/>
                <w:b w:val="0"/>
                <w:sz w:val="16"/>
                <w:szCs w:val="16"/>
                <w:lang w:eastAsia="en-US"/>
              </w:rPr>
            </w:pPr>
            <w:r w:rsidRPr="00D05AB1">
              <w:rPr>
                <w:rFonts w:eastAsiaTheme="minorEastAsia"/>
                <w:b w:val="0"/>
                <w:sz w:val="16"/>
                <w:szCs w:val="16"/>
                <w:lang w:eastAsia="en-US"/>
              </w:rPr>
              <w:t>Leave ATM/credit cards at home</w:t>
            </w:r>
          </w:p>
        </w:tc>
        <w:tc>
          <w:tcPr>
            <w:tcW w:w="536" w:type="dxa"/>
            <w:tcBorders>
              <w:top w:val="nil"/>
              <w:left w:val="nil"/>
              <w:bottom w:val="nil"/>
              <w:right w:val="nil"/>
            </w:tcBorders>
            <w:noWrap/>
            <w:vAlign w:val="center"/>
          </w:tcPr>
          <w:p w14:paraId="3BF38C74"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72</w:t>
            </w:r>
          </w:p>
        </w:tc>
        <w:tc>
          <w:tcPr>
            <w:tcW w:w="576" w:type="dxa"/>
            <w:tcBorders>
              <w:top w:val="nil"/>
              <w:left w:val="nil"/>
              <w:bottom w:val="nil"/>
              <w:right w:val="nil"/>
            </w:tcBorders>
            <w:noWrap/>
            <w:vAlign w:val="center"/>
          </w:tcPr>
          <w:p w14:paraId="09602073"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1.2</w:t>
            </w:r>
          </w:p>
        </w:tc>
        <w:tc>
          <w:tcPr>
            <w:tcW w:w="1015" w:type="dxa"/>
            <w:tcBorders>
              <w:top w:val="nil"/>
              <w:left w:val="nil"/>
              <w:bottom w:val="nil"/>
              <w:right w:val="single" w:sz="4" w:space="0" w:color="auto"/>
            </w:tcBorders>
            <w:noWrap/>
            <w:vAlign w:val="center"/>
          </w:tcPr>
          <w:p w14:paraId="47C99B3E"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(0.8</w:t>
            </w:r>
            <w:r>
              <w:rPr>
                <w:rFonts w:eastAsiaTheme="minorEastAsia"/>
                <w:sz w:val="16"/>
                <w:szCs w:val="16"/>
                <w:lang w:eastAsia="en-US"/>
              </w:rPr>
              <w:t>,</w:t>
            </w:r>
            <w:r w:rsidRPr="00D05AB1">
              <w:rPr>
                <w:rFonts w:eastAsiaTheme="minorEastAsia"/>
                <w:sz w:val="16"/>
                <w:szCs w:val="16"/>
                <w:lang w:eastAsia="en-US"/>
              </w:rPr>
              <w:t xml:space="preserve"> 1.5)</w:t>
            </w:r>
          </w:p>
        </w:tc>
        <w:tc>
          <w:tcPr>
            <w:tcW w:w="536" w:type="dxa"/>
            <w:tcBorders>
              <w:top w:val="nil"/>
              <w:left w:val="single" w:sz="4" w:space="0" w:color="auto"/>
              <w:bottom w:val="nil"/>
              <w:right w:val="nil"/>
            </w:tcBorders>
            <w:noWrap/>
            <w:vAlign w:val="center"/>
          </w:tcPr>
          <w:p w14:paraId="1C556D98"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42</w:t>
            </w:r>
          </w:p>
        </w:tc>
        <w:tc>
          <w:tcPr>
            <w:tcW w:w="576" w:type="dxa"/>
            <w:tcBorders>
              <w:top w:val="nil"/>
              <w:left w:val="nil"/>
              <w:bottom w:val="nil"/>
              <w:right w:val="nil"/>
            </w:tcBorders>
            <w:noWrap/>
            <w:vAlign w:val="center"/>
          </w:tcPr>
          <w:p w14:paraId="145A326B"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1.1</w:t>
            </w:r>
          </w:p>
        </w:tc>
        <w:tc>
          <w:tcPr>
            <w:tcW w:w="1043" w:type="dxa"/>
            <w:tcBorders>
              <w:top w:val="nil"/>
              <w:left w:val="nil"/>
              <w:bottom w:val="nil"/>
              <w:right w:val="single" w:sz="4" w:space="0" w:color="000000"/>
            </w:tcBorders>
            <w:shd w:val="clear" w:color="auto" w:fill="FFFFFF" w:themeFill="background1"/>
            <w:noWrap/>
            <w:vAlign w:val="center"/>
          </w:tcPr>
          <w:p w14:paraId="634CF04F"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(0.7</w:t>
            </w:r>
            <w:r>
              <w:rPr>
                <w:rFonts w:eastAsiaTheme="minorEastAsia"/>
                <w:sz w:val="16"/>
                <w:szCs w:val="16"/>
                <w:lang w:eastAsia="en-US"/>
              </w:rPr>
              <w:t>,</w:t>
            </w:r>
            <w:r w:rsidRPr="00D05AB1">
              <w:rPr>
                <w:rFonts w:eastAsiaTheme="minorEastAsia"/>
                <w:sz w:val="16"/>
                <w:szCs w:val="16"/>
                <w:lang w:eastAsia="en-US"/>
              </w:rPr>
              <w:t xml:space="preserve"> 1.5)</w:t>
            </w:r>
          </w:p>
        </w:tc>
        <w:tc>
          <w:tcPr>
            <w:tcW w:w="536" w:type="dxa"/>
            <w:tcBorders>
              <w:top w:val="nil"/>
              <w:left w:val="single" w:sz="4" w:space="0" w:color="000000"/>
              <w:bottom w:val="nil"/>
              <w:right w:val="nil"/>
            </w:tcBorders>
            <w:shd w:val="clear" w:color="auto" w:fill="FFFFFF" w:themeFill="background1"/>
            <w:vAlign w:val="center"/>
          </w:tcPr>
          <w:p w14:paraId="19AC04CE"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27</w:t>
            </w:r>
          </w:p>
        </w:tc>
        <w:tc>
          <w:tcPr>
            <w:tcW w:w="576" w:type="dxa"/>
            <w:tcBorders>
              <w:top w:val="nil"/>
              <w:left w:val="nil"/>
              <w:bottom w:val="nil"/>
              <w:right w:val="nil"/>
            </w:tcBorders>
            <w:shd w:val="clear" w:color="auto" w:fill="FFFFFF" w:themeFill="background1"/>
            <w:vAlign w:val="center"/>
          </w:tcPr>
          <w:p w14:paraId="77412135"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1.1</w:t>
            </w:r>
          </w:p>
        </w:tc>
        <w:tc>
          <w:tcPr>
            <w:tcW w:w="1015" w:type="dxa"/>
            <w:tcBorders>
              <w:top w:val="nil"/>
              <w:left w:val="nil"/>
              <w:bottom w:val="nil"/>
              <w:right w:val="single" w:sz="4" w:space="0" w:color="000000"/>
            </w:tcBorders>
            <w:shd w:val="clear" w:color="auto" w:fill="FFFFFF" w:themeFill="background1"/>
            <w:vAlign w:val="center"/>
          </w:tcPr>
          <w:p w14:paraId="18A3EE4F"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(0.5, 1.7)</w:t>
            </w:r>
          </w:p>
        </w:tc>
        <w:tc>
          <w:tcPr>
            <w:tcW w:w="537" w:type="dxa"/>
            <w:tcBorders>
              <w:top w:val="nil"/>
              <w:left w:val="single" w:sz="4" w:space="0" w:color="000000"/>
              <w:bottom w:val="nil"/>
              <w:right w:val="nil"/>
            </w:tcBorders>
            <w:shd w:val="clear" w:color="auto" w:fill="FFFFFF" w:themeFill="background1"/>
            <w:vAlign w:val="center"/>
          </w:tcPr>
          <w:p w14:paraId="63FA1082" w14:textId="77777777" w:rsidR="00A3143A" w:rsidRPr="00A3143A"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3143A">
              <w:rPr>
                <w:color w:val="000000"/>
                <w:sz w:val="16"/>
                <w:szCs w:val="16"/>
              </w:rPr>
              <w:t>26</w:t>
            </w:r>
          </w:p>
        </w:tc>
        <w:tc>
          <w:tcPr>
            <w:tcW w:w="567" w:type="dxa"/>
            <w:tcBorders>
              <w:top w:val="nil"/>
              <w:left w:val="nil"/>
              <w:bottom w:val="nil"/>
              <w:right w:val="nil"/>
            </w:tcBorders>
            <w:shd w:val="clear" w:color="auto" w:fill="FFFFFF" w:themeFill="background1"/>
            <w:vAlign w:val="center"/>
          </w:tcPr>
          <w:p w14:paraId="0B5833D4" w14:textId="77777777" w:rsidR="00A3143A" w:rsidRPr="00A3143A"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3143A">
              <w:rPr>
                <w:color w:val="000000"/>
                <w:sz w:val="16"/>
                <w:szCs w:val="16"/>
              </w:rPr>
              <w:t>0.9</w:t>
            </w:r>
          </w:p>
        </w:tc>
        <w:tc>
          <w:tcPr>
            <w:tcW w:w="992" w:type="dxa"/>
            <w:tcBorders>
              <w:top w:val="nil"/>
              <w:left w:val="nil"/>
              <w:bottom w:val="nil"/>
              <w:right w:val="nil"/>
            </w:tcBorders>
            <w:shd w:val="clear" w:color="auto" w:fill="FFFFFF" w:themeFill="background1"/>
            <w:vAlign w:val="center"/>
          </w:tcPr>
          <w:p w14:paraId="51C9155F" w14:textId="77777777" w:rsidR="00A3143A" w:rsidRPr="00A3143A"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3143A">
              <w:rPr>
                <w:color w:val="000000"/>
                <w:sz w:val="16"/>
                <w:szCs w:val="16"/>
              </w:rPr>
              <w:t>(0.4, 1.4)</w:t>
            </w:r>
          </w:p>
        </w:tc>
      </w:tr>
      <w:tr w:rsidR="009118DA" w:rsidRPr="00D05AB1" w14:paraId="6576B8BC" w14:textId="77777777" w:rsidTr="00F679B7">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tcPr>
          <w:p w14:paraId="4E97F4E0" w14:textId="77777777" w:rsidR="00A3143A" w:rsidRPr="00D05AB1" w:rsidRDefault="00A3143A" w:rsidP="00A31BD8">
            <w:pPr>
              <w:keepNext/>
              <w:keepLines/>
              <w:spacing w:before="20" w:after="20"/>
              <w:ind w:left="34"/>
              <w:rPr>
                <w:rFonts w:eastAsiaTheme="minorEastAsia"/>
                <w:b w:val="0"/>
                <w:sz w:val="16"/>
                <w:szCs w:val="16"/>
                <w:lang w:eastAsia="en-US"/>
              </w:rPr>
            </w:pPr>
            <w:r w:rsidRPr="00D05AB1">
              <w:rPr>
                <w:rFonts w:eastAsiaTheme="minorEastAsia"/>
                <w:b w:val="0"/>
                <w:sz w:val="16"/>
                <w:szCs w:val="16"/>
                <w:lang w:eastAsia="en-US"/>
              </w:rPr>
              <w:t>Set a time limit</w:t>
            </w:r>
          </w:p>
        </w:tc>
        <w:tc>
          <w:tcPr>
            <w:tcW w:w="536" w:type="dxa"/>
            <w:tcBorders>
              <w:top w:val="nil"/>
              <w:left w:val="nil"/>
              <w:bottom w:val="nil"/>
              <w:right w:val="nil"/>
            </w:tcBorders>
            <w:noWrap/>
            <w:vAlign w:val="center"/>
          </w:tcPr>
          <w:p w14:paraId="369A2445"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93</w:t>
            </w:r>
          </w:p>
        </w:tc>
        <w:tc>
          <w:tcPr>
            <w:tcW w:w="576" w:type="dxa"/>
            <w:tcBorders>
              <w:top w:val="nil"/>
              <w:left w:val="nil"/>
              <w:bottom w:val="nil"/>
              <w:right w:val="nil"/>
            </w:tcBorders>
            <w:noWrap/>
            <w:vAlign w:val="center"/>
          </w:tcPr>
          <w:p w14:paraId="526E3E50"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1.5</w:t>
            </w:r>
          </w:p>
        </w:tc>
        <w:tc>
          <w:tcPr>
            <w:tcW w:w="1015" w:type="dxa"/>
            <w:tcBorders>
              <w:top w:val="nil"/>
              <w:left w:val="nil"/>
              <w:bottom w:val="nil"/>
              <w:right w:val="single" w:sz="4" w:space="0" w:color="auto"/>
            </w:tcBorders>
            <w:noWrap/>
            <w:vAlign w:val="center"/>
          </w:tcPr>
          <w:p w14:paraId="6A595555"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(1.1</w:t>
            </w:r>
            <w:r>
              <w:rPr>
                <w:rFonts w:eastAsiaTheme="minorEastAsia"/>
                <w:sz w:val="16"/>
                <w:szCs w:val="16"/>
                <w:lang w:eastAsia="en-US"/>
              </w:rPr>
              <w:t>,</w:t>
            </w:r>
            <w:r w:rsidRPr="00D05AB1">
              <w:rPr>
                <w:rFonts w:eastAsiaTheme="minorEastAsia"/>
                <w:sz w:val="16"/>
                <w:szCs w:val="16"/>
                <w:lang w:eastAsia="en-US"/>
              </w:rPr>
              <w:t xml:space="preserve"> 1.9)</w:t>
            </w:r>
          </w:p>
        </w:tc>
        <w:tc>
          <w:tcPr>
            <w:tcW w:w="536" w:type="dxa"/>
            <w:tcBorders>
              <w:top w:val="nil"/>
              <w:left w:val="single" w:sz="4" w:space="0" w:color="auto"/>
              <w:bottom w:val="nil"/>
              <w:right w:val="nil"/>
            </w:tcBorders>
            <w:noWrap/>
            <w:vAlign w:val="center"/>
          </w:tcPr>
          <w:p w14:paraId="002B88A8"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46</w:t>
            </w:r>
          </w:p>
        </w:tc>
        <w:tc>
          <w:tcPr>
            <w:tcW w:w="576" w:type="dxa"/>
            <w:tcBorders>
              <w:top w:val="nil"/>
              <w:left w:val="nil"/>
              <w:bottom w:val="nil"/>
              <w:right w:val="nil"/>
            </w:tcBorders>
            <w:noWrap/>
            <w:vAlign w:val="center"/>
          </w:tcPr>
          <w:p w14:paraId="2126424A"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1.2</w:t>
            </w:r>
          </w:p>
        </w:tc>
        <w:tc>
          <w:tcPr>
            <w:tcW w:w="1043" w:type="dxa"/>
            <w:tcBorders>
              <w:top w:val="nil"/>
              <w:left w:val="nil"/>
              <w:bottom w:val="nil"/>
              <w:right w:val="single" w:sz="4" w:space="0" w:color="000000"/>
            </w:tcBorders>
            <w:shd w:val="clear" w:color="auto" w:fill="FFFFFF" w:themeFill="background1"/>
            <w:noWrap/>
            <w:vAlign w:val="center"/>
          </w:tcPr>
          <w:p w14:paraId="53C9DFA2" w14:textId="77777777" w:rsidR="00A3143A" w:rsidRPr="00D05AB1" w:rsidRDefault="00A3143A" w:rsidP="00A31BD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(0.8</w:t>
            </w:r>
            <w:r>
              <w:rPr>
                <w:rFonts w:eastAsiaTheme="minorEastAsia"/>
                <w:sz w:val="16"/>
                <w:szCs w:val="16"/>
                <w:lang w:eastAsia="en-US"/>
              </w:rPr>
              <w:t>,</w:t>
            </w:r>
            <w:r w:rsidRPr="00D05AB1">
              <w:rPr>
                <w:rFonts w:eastAsiaTheme="minorEastAsia"/>
                <w:sz w:val="16"/>
                <w:szCs w:val="16"/>
                <w:lang w:eastAsia="en-US"/>
              </w:rPr>
              <w:t xml:space="preserve"> 1.7)</w:t>
            </w:r>
          </w:p>
        </w:tc>
        <w:tc>
          <w:tcPr>
            <w:tcW w:w="536" w:type="dxa"/>
            <w:tcBorders>
              <w:top w:val="nil"/>
              <w:left w:val="single" w:sz="4" w:space="0" w:color="000000"/>
              <w:bottom w:val="nil"/>
              <w:right w:val="nil"/>
            </w:tcBorders>
            <w:shd w:val="clear" w:color="auto" w:fill="FFFFFF" w:themeFill="background1"/>
            <w:vAlign w:val="center"/>
          </w:tcPr>
          <w:p w14:paraId="02952E69"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29</w:t>
            </w:r>
          </w:p>
        </w:tc>
        <w:tc>
          <w:tcPr>
            <w:tcW w:w="576" w:type="dxa"/>
            <w:tcBorders>
              <w:top w:val="nil"/>
              <w:left w:val="nil"/>
              <w:bottom w:val="nil"/>
              <w:right w:val="nil"/>
            </w:tcBorders>
            <w:shd w:val="clear" w:color="auto" w:fill="FFFFFF" w:themeFill="background1"/>
            <w:vAlign w:val="center"/>
          </w:tcPr>
          <w:p w14:paraId="30221C7B"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1.2</w:t>
            </w:r>
          </w:p>
        </w:tc>
        <w:tc>
          <w:tcPr>
            <w:tcW w:w="1015" w:type="dxa"/>
            <w:tcBorders>
              <w:top w:val="nil"/>
              <w:left w:val="nil"/>
              <w:bottom w:val="nil"/>
              <w:right w:val="single" w:sz="4" w:space="0" w:color="000000"/>
            </w:tcBorders>
            <w:shd w:val="clear" w:color="auto" w:fill="FFFFFF" w:themeFill="background1"/>
            <w:vAlign w:val="center"/>
          </w:tcPr>
          <w:p w14:paraId="27AB6637"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(0.7, 1.7)</w:t>
            </w:r>
          </w:p>
        </w:tc>
        <w:tc>
          <w:tcPr>
            <w:tcW w:w="537" w:type="dxa"/>
            <w:tcBorders>
              <w:top w:val="nil"/>
              <w:left w:val="single" w:sz="4" w:space="0" w:color="000000"/>
              <w:bottom w:val="nil"/>
              <w:right w:val="nil"/>
            </w:tcBorders>
            <w:shd w:val="clear" w:color="auto" w:fill="FFFFFF" w:themeFill="background1"/>
            <w:vAlign w:val="center"/>
          </w:tcPr>
          <w:p w14:paraId="757D1A0E" w14:textId="77777777" w:rsidR="00A3143A" w:rsidRPr="00A3143A"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3143A">
              <w:rPr>
                <w:color w:val="000000"/>
                <w:sz w:val="16"/>
                <w:szCs w:val="16"/>
              </w:rPr>
              <w:t>24</w:t>
            </w:r>
          </w:p>
        </w:tc>
        <w:tc>
          <w:tcPr>
            <w:tcW w:w="567" w:type="dxa"/>
            <w:tcBorders>
              <w:top w:val="nil"/>
              <w:left w:val="nil"/>
              <w:bottom w:val="nil"/>
              <w:right w:val="nil"/>
            </w:tcBorders>
            <w:shd w:val="clear" w:color="auto" w:fill="FFFFFF" w:themeFill="background1"/>
            <w:vAlign w:val="center"/>
          </w:tcPr>
          <w:p w14:paraId="5B5D6F44" w14:textId="77777777" w:rsidR="00A3143A" w:rsidRPr="00A3143A"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3143A">
              <w:rPr>
                <w:color w:val="000000"/>
                <w:sz w:val="16"/>
                <w:szCs w:val="16"/>
              </w:rPr>
              <w:t>0.9</w:t>
            </w:r>
          </w:p>
        </w:tc>
        <w:tc>
          <w:tcPr>
            <w:tcW w:w="992" w:type="dxa"/>
            <w:tcBorders>
              <w:top w:val="nil"/>
              <w:left w:val="nil"/>
              <w:bottom w:val="nil"/>
              <w:right w:val="nil"/>
            </w:tcBorders>
            <w:shd w:val="clear" w:color="auto" w:fill="FFFFFF" w:themeFill="background1"/>
            <w:vAlign w:val="center"/>
          </w:tcPr>
          <w:p w14:paraId="2A825800" w14:textId="77777777" w:rsidR="00A3143A" w:rsidRPr="00A3143A"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3143A">
              <w:rPr>
                <w:color w:val="000000"/>
                <w:sz w:val="16"/>
                <w:szCs w:val="16"/>
              </w:rPr>
              <w:t>(0.5, 1.2)</w:t>
            </w:r>
          </w:p>
        </w:tc>
      </w:tr>
      <w:tr w:rsidR="009118DA" w:rsidRPr="00D05AB1" w14:paraId="3EC3AC76" w14:textId="77777777" w:rsidTr="00F679B7">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tcPr>
          <w:p w14:paraId="169A021B" w14:textId="77777777" w:rsidR="00A3143A" w:rsidRPr="00D05AB1" w:rsidRDefault="00A3143A" w:rsidP="00A31BD8">
            <w:pPr>
              <w:spacing w:before="20" w:after="20"/>
              <w:ind w:left="34"/>
              <w:rPr>
                <w:rFonts w:eastAsiaTheme="minorEastAsia"/>
                <w:b w:val="0"/>
                <w:sz w:val="16"/>
                <w:szCs w:val="16"/>
                <w:lang w:eastAsia="en-US"/>
              </w:rPr>
            </w:pPr>
            <w:r w:rsidRPr="00D05AB1">
              <w:rPr>
                <w:rFonts w:eastAsiaTheme="minorEastAsia"/>
                <w:b w:val="0"/>
                <w:sz w:val="16"/>
                <w:szCs w:val="16"/>
                <w:lang w:eastAsia="en-US"/>
              </w:rPr>
              <w:t>Avoid betting/</w:t>
            </w:r>
            <w:r>
              <w:rPr>
                <w:rFonts w:eastAsiaTheme="minorEastAsia"/>
                <w:b w:val="0"/>
                <w:sz w:val="16"/>
                <w:szCs w:val="16"/>
                <w:lang w:eastAsia="en-US"/>
              </w:rPr>
              <w:t xml:space="preserve"> </w:t>
            </w:r>
            <w:r w:rsidRPr="00D05AB1">
              <w:rPr>
                <w:rFonts w:eastAsiaTheme="minorEastAsia"/>
                <w:b w:val="0"/>
                <w:sz w:val="16"/>
                <w:szCs w:val="16"/>
                <w:lang w:eastAsia="en-US"/>
              </w:rPr>
              <w:t>gambling places</w:t>
            </w:r>
          </w:p>
        </w:tc>
        <w:tc>
          <w:tcPr>
            <w:tcW w:w="536" w:type="dxa"/>
            <w:tcBorders>
              <w:top w:val="nil"/>
              <w:left w:val="nil"/>
              <w:bottom w:val="nil"/>
              <w:right w:val="nil"/>
            </w:tcBorders>
            <w:noWrap/>
            <w:vAlign w:val="center"/>
          </w:tcPr>
          <w:p w14:paraId="2D4F7850" w14:textId="77777777" w:rsidR="00A3143A" w:rsidRPr="00D05AB1" w:rsidRDefault="00A3143A"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116</w:t>
            </w:r>
          </w:p>
        </w:tc>
        <w:tc>
          <w:tcPr>
            <w:tcW w:w="576" w:type="dxa"/>
            <w:tcBorders>
              <w:top w:val="nil"/>
              <w:left w:val="nil"/>
              <w:bottom w:val="nil"/>
              <w:right w:val="nil"/>
            </w:tcBorders>
            <w:noWrap/>
            <w:vAlign w:val="center"/>
          </w:tcPr>
          <w:p w14:paraId="5CC758DF" w14:textId="77777777" w:rsidR="00A3143A" w:rsidRPr="00D05AB1" w:rsidRDefault="00A3143A"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1.9</w:t>
            </w:r>
          </w:p>
        </w:tc>
        <w:tc>
          <w:tcPr>
            <w:tcW w:w="1015" w:type="dxa"/>
            <w:tcBorders>
              <w:top w:val="nil"/>
              <w:left w:val="nil"/>
              <w:bottom w:val="nil"/>
              <w:right w:val="single" w:sz="4" w:space="0" w:color="auto"/>
            </w:tcBorders>
            <w:noWrap/>
            <w:vAlign w:val="center"/>
          </w:tcPr>
          <w:p w14:paraId="66A94B9C" w14:textId="77777777" w:rsidR="00A3143A" w:rsidRPr="00D05AB1" w:rsidRDefault="00A3143A"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(1.5</w:t>
            </w:r>
            <w:r>
              <w:rPr>
                <w:rFonts w:eastAsiaTheme="minorEastAsia"/>
                <w:sz w:val="16"/>
                <w:szCs w:val="16"/>
                <w:lang w:eastAsia="en-US"/>
              </w:rPr>
              <w:t>,</w:t>
            </w:r>
            <w:r w:rsidRPr="00D05AB1">
              <w:rPr>
                <w:rFonts w:eastAsiaTheme="minorEastAsia"/>
                <w:sz w:val="16"/>
                <w:szCs w:val="16"/>
                <w:lang w:eastAsia="en-US"/>
              </w:rPr>
              <w:t xml:space="preserve"> 2.2)</w:t>
            </w:r>
          </w:p>
        </w:tc>
        <w:tc>
          <w:tcPr>
            <w:tcW w:w="536" w:type="dxa"/>
            <w:tcBorders>
              <w:top w:val="nil"/>
              <w:left w:val="single" w:sz="4" w:space="0" w:color="auto"/>
              <w:bottom w:val="nil"/>
              <w:right w:val="nil"/>
            </w:tcBorders>
            <w:noWrap/>
            <w:vAlign w:val="center"/>
          </w:tcPr>
          <w:p w14:paraId="07C68F65" w14:textId="77777777" w:rsidR="00A3143A" w:rsidRPr="00D05AB1" w:rsidRDefault="00A3143A"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57</w:t>
            </w:r>
          </w:p>
        </w:tc>
        <w:tc>
          <w:tcPr>
            <w:tcW w:w="576" w:type="dxa"/>
            <w:tcBorders>
              <w:top w:val="nil"/>
              <w:left w:val="nil"/>
              <w:bottom w:val="nil"/>
              <w:right w:val="nil"/>
            </w:tcBorders>
            <w:noWrap/>
            <w:vAlign w:val="center"/>
          </w:tcPr>
          <w:p w14:paraId="6777C27F" w14:textId="77777777" w:rsidR="00A3143A" w:rsidRPr="00D05AB1" w:rsidRDefault="00A3143A"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1.5</w:t>
            </w:r>
          </w:p>
        </w:tc>
        <w:tc>
          <w:tcPr>
            <w:tcW w:w="1043" w:type="dxa"/>
            <w:tcBorders>
              <w:top w:val="nil"/>
              <w:left w:val="nil"/>
              <w:bottom w:val="nil"/>
              <w:right w:val="single" w:sz="4" w:space="0" w:color="000000"/>
            </w:tcBorders>
            <w:shd w:val="clear" w:color="auto" w:fill="FFFFFF" w:themeFill="background1"/>
            <w:noWrap/>
            <w:vAlign w:val="center"/>
          </w:tcPr>
          <w:p w14:paraId="786D73CD" w14:textId="77777777" w:rsidR="00A3143A" w:rsidRPr="00D05AB1" w:rsidRDefault="00A3143A"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(1.1</w:t>
            </w:r>
            <w:r>
              <w:rPr>
                <w:rFonts w:eastAsiaTheme="minorEastAsia"/>
                <w:sz w:val="16"/>
                <w:szCs w:val="16"/>
                <w:lang w:eastAsia="en-US"/>
              </w:rPr>
              <w:t>,</w:t>
            </w:r>
            <w:r w:rsidRPr="00D05AB1">
              <w:rPr>
                <w:rFonts w:eastAsiaTheme="minorEastAsia"/>
                <w:sz w:val="16"/>
                <w:szCs w:val="16"/>
                <w:lang w:eastAsia="en-US"/>
              </w:rPr>
              <w:t xml:space="preserve"> 2.0)</w:t>
            </w:r>
          </w:p>
        </w:tc>
        <w:tc>
          <w:tcPr>
            <w:tcW w:w="536" w:type="dxa"/>
            <w:tcBorders>
              <w:top w:val="nil"/>
              <w:left w:val="single" w:sz="4" w:space="0" w:color="000000"/>
              <w:bottom w:val="nil"/>
              <w:right w:val="nil"/>
            </w:tcBorders>
            <w:shd w:val="clear" w:color="auto" w:fill="FFFFFF" w:themeFill="background1"/>
            <w:vAlign w:val="center"/>
          </w:tcPr>
          <w:p w14:paraId="1A006E5F"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34</w:t>
            </w:r>
          </w:p>
        </w:tc>
        <w:tc>
          <w:tcPr>
            <w:tcW w:w="576" w:type="dxa"/>
            <w:tcBorders>
              <w:top w:val="nil"/>
              <w:left w:val="nil"/>
              <w:bottom w:val="nil"/>
              <w:right w:val="nil"/>
            </w:tcBorders>
            <w:shd w:val="clear" w:color="auto" w:fill="FFFFFF" w:themeFill="background1"/>
            <w:vAlign w:val="center"/>
          </w:tcPr>
          <w:p w14:paraId="1D96DF65"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1.4</w:t>
            </w:r>
          </w:p>
        </w:tc>
        <w:tc>
          <w:tcPr>
            <w:tcW w:w="1015" w:type="dxa"/>
            <w:tcBorders>
              <w:top w:val="nil"/>
              <w:left w:val="nil"/>
              <w:bottom w:val="nil"/>
              <w:right w:val="single" w:sz="4" w:space="0" w:color="000000"/>
            </w:tcBorders>
            <w:shd w:val="clear" w:color="auto" w:fill="FFFFFF" w:themeFill="background1"/>
            <w:vAlign w:val="center"/>
          </w:tcPr>
          <w:p w14:paraId="4004F7F7"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(0.8, 2.0)</w:t>
            </w:r>
          </w:p>
        </w:tc>
        <w:tc>
          <w:tcPr>
            <w:tcW w:w="537" w:type="dxa"/>
            <w:tcBorders>
              <w:top w:val="nil"/>
              <w:left w:val="single" w:sz="4" w:space="0" w:color="000000"/>
              <w:bottom w:val="nil"/>
              <w:right w:val="nil"/>
            </w:tcBorders>
            <w:shd w:val="clear" w:color="auto" w:fill="FFFFFF" w:themeFill="background1"/>
            <w:vAlign w:val="center"/>
          </w:tcPr>
          <w:p w14:paraId="19A98325" w14:textId="77777777" w:rsidR="00A3143A" w:rsidRPr="00A3143A"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3143A">
              <w:rPr>
                <w:color w:val="000000"/>
                <w:sz w:val="16"/>
                <w:szCs w:val="16"/>
              </w:rPr>
              <w:t>33</w:t>
            </w:r>
          </w:p>
        </w:tc>
        <w:tc>
          <w:tcPr>
            <w:tcW w:w="567" w:type="dxa"/>
            <w:tcBorders>
              <w:top w:val="nil"/>
              <w:left w:val="nil"/>
              <w:bottom w:val="nil"/>
              <w:right w:val="nil"/>
            </w:tcBorders>
            <w:shd w:val="clear" w:color="auto" w:fill="FFFFFF" w:themeFill="background1"/>
            <w:vAlign w:val="center"/>
          </w:tcPr>
          <w:p w14:paraId="1718CFB3" w14:textId="77777777" w:rsidR="00A3143A" w:rsidRPr="00A3143A"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3143A">
              <w:rPr>
                <w:color w:val="000000"/>
                <w:sz w:val="16"/>
                <w:szCs w:val="16"/>
              </w:rPr>
              <w:t>1.2</w:t>
            </w:r>
          </w:p>
        </w:tc>
        <w:tc>
          <w:tcPr>
            <w:tcW w:w="992" w:type="dxa"/>
            <w:tcBorders>
              <w:top w:val="nil"/>
              <w:left w:val="nil"/>
              <w:bottom w:val="nil"/>
              <w:right w:val="nil"/>
            </w:tcBorders>
            <w:shd w:val="clear" w:color="auto" w:fill="FFFFFF" w:themeFill="background1"/>
            <w:vAlign w:val="center"/>
          </w:tcPr>
          <w:p w14:paraId="2DE4D4C7" w14:textId="77777777" w:rsidR="00A3143A" w:rsidRPr="00A3143A"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3143A">
              <w:rPr>
                <w:color w:val="000000"/>
                <w:sz w:val="16"/>
                <w:szCs w:val="16"/>
              </w:rPr>
              <w:t>(0.8, 1.6)</w:t>
            </w:r>
          </w:p>
        </w:tc>
      </w:tr>
      <w:tr w:rsidR="00A3143A" w:rsidRPr="00D05AB1" w14:paraId="1A0EDDB9" w14:textId="77777777" w:rsidTr="00F679B7">
        <w:tc>
          <w:tcPr>
            <w:cnfStyle w:val="001000000000" w:firstRow="0" w:lastRow="0" w:firstColumn="1" w:lastColumn="0" w:oddVBand="0" w:evenVBand="0" w:oddHBand="0" w:evenHBand="0" w:firstRowFirstColumn="0" w:firstRowLastColumn="0" w:lastRowFirstColumn="0" w:lastRowLastColumn="0"/>
            <w:tcW w:w="3687" w:type="dxa"/>
            <w:gridSpan w:val="4"/>
            <w:tcBorders>
              <w:top w:val="nil"/>
              <w:left w:val="nil"/>
              <w:bottom w:val="nil"/>
              <w:right w:val="single" w:sz="4" w:space="0" w:color="auto"/>
            </w:tcBorders>
          </w:tcPr>
          <w:p w14:paraId="73BC005C" w14:textId="77777777" w:rsidR="00A3143A" w:rsidRPr="00D05AB1" w:rsidRDefault="00A3143A" w:rsidP="00A31BD8">
            <w:pPr>
              <w:spacing w:before="20" w:after="20"/>
              <w:ind w:left="-108"/>
              <w:rPr>
                <w:rFonts w:eastAsiaTheme="minorEastAsia"/>
                <w:sz w:val="16"/>
                <w:szCs w:val="16"/>
                <w:lang w:eastAsia="en-US"/>
              </w:rPr>
            </w:pPr>
            <w:r w:rsidRPr="00D05AB1">
              <w:rPr>
                <w:rFonts w:eastAsiaTheme="minorEastAsia"/>
                <w:sz w:val="16"/>
                <w:szCs w:val="16"/>
                <w:lang w:eastAsia="en-US"/>
              </w:rPr>
              <w:t>Sought help in past year</w:t>
            </w:r>
          </w:p>
        </w:tc>
        <w:tc>
          <w:tcPr>
            <w:tcW w:w="536" w:type="dxa"/>
            <w:tcBorders>
              <w:top w:val="nil"/>
              <w:left w:val="single" w:sz="4" w:space="0" w:color="auto"/>
              <w:bottom w:val="nil"/>
              <w:right w:val="nil"/>
            </w:tcBorders>
            <w:noWrap/>
            <w:vAlign w:val="center"/>
          </w:tcPr>
          <w:p w14:paraId="0E66ACEE" w14:textId="77777777" w:rsidR="00A3143A" w:rsidRPr="00D05AB1" w:rsidRDefault="00A3143A"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76" w:type="dxa"/>
            <w:tcBorders>
              <w:top w:val="nil"/>
              <w:left w:val="nil"/>
              <w:bottom w:val="nil"/>
              <w:right w:val="nil"/>
            </w:tcBorders>
            <w:noWrap/>
            <w:vAlign w:val="center"/>
          </w:tcPr>
          <w:p w14:paraId="1404E255" w14:textId="77777777" w:rsidR="00A3143A" w:rsidRPr="00D05AB1" w:rsidRDefault="00A3143A"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000000"/>
            </w:tcBorders>
            <w:shd w:val="clear" w:color="auto" w:fill="FFFFFF" w:themeFill="background1"/>
            <w:noWrap/>
            <w:vAlign w:val="center"/>
          </w:tcPr>
          <w:p w14:paraId="1A6B8F61" w14:textId="77777777" w:rsidR="00A3143A" w:rsidRPr="00D05AB1" w:rsidRDefault="00A3143A"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36" w:type="dxa"/>
            <w:tcBorders>
              <w:top w:val="nil"/>
              <w:left w:val="single" w:sz="4" w:space="0" w:color="000000"/>
              <w:bottom w:val="nil"/>
              <w:right w:val="nil"/>
            </w:tcBorders>
          </w:tcPr>
          <w:p w14:paraId="2B682E11" w14:textId="77777777" w:rsidR="00A3143A" w:rsidRPr="00D05AB1" w:rsidRDefault="00A3143A"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76" w:type="dxa"/>
            <w:tcBorders>
              <w:top w:val="nil"/>
              <w:left w:val="nil"/>
              <w:bottom w:val="nil"/>
              <w:right w:val="nil"/>
            </w:tcBorders>
          </w:tcPr>
          <w:p w14:paraId="56BC13FF" w14:textId="77777777" w:rsidR="00A3143A" w:rsidRPr="00D05AB1" w:rsidRDefault="00A3143A"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15" w:type="dxa"/>
            <w:tcBorders>
              <w:top w:val="nil"/>
              <w:left w:val="nil"/>
              <w:bottom w:val="nil"/>
              <w:right w:val="single" w:sz="4" w:space="0" w:color="000000"/>
            </w:tcBorders>
          </w:tcPr>
          <w:p w14:paraId="085804F7" w14:textId="77777777" w:rsidR="00A3143A" w:rsidRPr="00D05AB1" w:rsidRDefault="00A3143A"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37" w:type="dxa"/>
            <w:tcBorders>
              <w:top w:val="nil"/>
              <w:left w:val="single" w:sz="4" w:space="0" w:color="000000"/>
              <w:bottom w:val="nil"/>
              <w:right w:val="nil"/>
            </w:tcBorders>
          </w:tcPr>
          <w:p w14:paraId="33C33DB7" w14:textId="77777777" w:rsidR="00A3143A" w:rsidRPr="00A3143A" w:rsidRDefault="00A3143A"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nil"/>
              <w:bottom w:val="nil"/>
              <w:right w:val="nil"/>
            </w:tcBorders>
          </w:tcPr>
          <w:p w14:paraId="642361FB" w14:textId="77777777" w:rsidR="00A3143A" w:rsidRPr="00A3143A" w:rsidRDefault="00A3143A"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992" w:type="dxa"/>
            <w:tcBorders>
              <w:top w:val="nil"/>
              <w:left w:val="nil"/>
              <w:bottom w:val="nil"/>
              <w:right w:val="nil"/>
            </w:tcBorders>
          </w:tcPr>
          <w:p w14:paraId="3C72C57B" w14:textId="77777777" w:rsidR="00A3143A" w:rsidRPr="00A3143A" w:rsidRDefault="00A3143A"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r>
      <w:tr w:rsidR="00A3143A" w:rsidRPr="00D05AB1" w14:paraId="47BC6FAB" w14:textId="77777777" w:rsidTr="00F679B7">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shd w:val="clear" w:color="auto" w:fill="auto"/>
          </w:tcPr>
          <w:p w14:paraId="475CB41C" w14:textId="77777777" w:rsidR="00A3143A" w:rsidRPr="00D05AB1" w:rsidRDefault="00265003" w:rsidP="00265003">
            <w:pPr>
              <w:spacing w:before="20" w:after="20"/>
              <w:ind w:left="34"/>
              <w:rPr>
                <w:rFonts w:eastAsiaTheme="minorEastAsia"/>
                <w:b w:val="0"/>
                <w:sz w:val="16"/>
                <w:szCs w:val="16"/>
                <w:lang w:eastAsia="en-US"/>
              </w:rPr>
            </w:pPr>
            <w:r>
              <w:rPr>
                <w:rFonts w:eastAsiaTheme="minorEastAsia"/>
                <w:b w:val="0"/>
                <w:sz w:val="16"/>
                <w:szCs w:val="16"/>
                <w:lang w:eastAsia="en-US"/>
              </w:rPr>
              <w:t>Gambling treatment /</w:t>
            </w:r>
            <w:r w:rsidR="00A3143A" w:rsidRPr="00D05AB1">
              <w:rPr>
                <w:rFonts w:eastAsiaTheme="minorEastAsia"/>
                <w:b w:val="0"/>
                <w:sz w:val="16"/>
                <w:szCs w:val="16"/>
                <w:lang w:eastAsia="en-US"/>
              </w:rPr>
              <w:t xml:space="preserve"> informal sources</w:t>
            </w:r>
          </w:p>
        </w:tc>
        <w:tc>
          <w:tcPr>
            <w:tcW w:w="536" w:type="dxa"/>
            <w:tcBorders>
              <w:top w:val="nil"/>
              <w:left w:val="nil"/>
              <w:bottom w:val="nil"/>
              <w:right w:val="nil"/>
            </w:tcBorders>
            <w:shd w:val="clear" w:color="auto" w:fill="auto"/>
            <w:noWrap/>
            <w:vAlign w:val="center"/>
          </w:tcPr>
          <w:p w14:paraId="4A766EF6"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D05AB1">
              <w:rPr>
                <w:color w:val="000000"/>
                <w:sz w:val="16"/>
                <w:szCs w:val="16"/>
              </w:rPr>
              <w:t>17</w:t>
            </w:r>
          </w:p>
        </w:tc>
        <w:tc>
          <w:tcPr>
            <w:tcW w:w="576" w:type="dxa"/>
            <w:tcBorders>
              <w:top w:val="nil"/>
              <w:left w:val="nil"/>
              <w:bottom w:val="nil"/>
              <w:right w:val="nil"/>
            </w:tcBorders>
            <w:shd w:val="clear" w:color="auto" w:fill="auto"/>
            <w:noWrap/>
            <w:vAlign w:val="center"/>
          </w:tcPr>
          <w:p w14:paraId="3C8BB693"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0.3</w:t>
            </w:r>
          </w:p>
        </w:tc>
        <w:tc>
          <w:tcPr>
            <w:tcW w:w="1015" w:type="dxa"/>
            <w:tcBorders>
              <w:top w:val="nil"/>
              <w:left w:val="nil"/>
              <w:bottom w:val="nil"/>
              <w:right w:val="single" w:sz="4" w:space="0" w:color="auto"/>
            </w:tcBorders>
            <w:shd w:val="clear" w:color="auto" w:fill="auto"/>
            <w:noWrap/>
            <w:vAlign w:val="center"/>
          </w:tcPr>
          <w:p w14:paraId="56E7EBC2"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(0.1, 0.4)</w:t>
            </w:r>
          </w:p>
        </w:tc>
        <w:tc>
          <w:tcPr>
            <w:tcW w:w="536" w:type="dxa"/>
            <w:tcBorders>
              <w:top w:val="nil"/>
              <w:left w:val="single" w:sz="4" w:space="0" w:color="auto"/>
              <w:bottom w:val="nil"/>
              <w:right w:val="nil"/>
            </w:tcBorders>
            <w:shd w:val="clear" w:color="auto" w:fill="auto"/>
            <w:noWrap/>
            <w:vAlign w:val="center"/>
          </w:tcPr>
          <w:p w14:paraId="1A4C60D3"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D05AB1">
              <w:rPr>
                <w:color w:val="000000"/>
                <w:sz w:val="16"/>
                <w:szCs w:val="16"/>
              </w:rPr>
              <w:t>14</w:t>
            </w:r>
          </w:p>
        </w:tc>
        <w:tc>
          <w:tcPr>
            <w:tcW w:w="576" w:type="dxa"/>
            <w:tcBorders>
              <w:top w:val="nil"/>
              <w:left w:val="nil"/>
              <w:bottom w:val="nil"/>
              <w:right w:val="nil"/>
            </w:tcBorders>
            <w:shd w:val="clear" w:color="auto" w:fill="auto"/>
            <w:noWrap/>
            <w:vAlign w:val="center"/>
          </w:tcPr>
          <w:p w14:paraId="7F2B2EFA"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0.4</w:t>
            </w:r>
          </w:p>
        </w:tc>
        <w:tc>
          <w:tcPr>
            <w:tcW w:w="1043" w:type="dxa"/>
            <w:tcBorders>
              <w:top w:val="nil"/>
              <w:left w:val="nil"/>
              <w:bottom w:val="nil"/>
              <w:right w:val="single" w:sz="4" w:space="0" w:color="000000"/>
            </w:tcBorders>
            <w:shd w:val="clear" w:color="auto" w:fill="auto"/>
            <w:noWrap/>
            <w:vAlign w:val="center"/>
          </w:tcPr>
          <w:p w14:paraId="36B63318"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(0.2, 0.6)</w:t>
            </w:r>
          </w:p>
        </w:tc>
        <w:tc>
          <w:tcPr>
            <w:tcW w:w="536" w:type="dxa"/>
            <w:tcBorders>
              <w:top w:val="nil"/>
              <w:left w:val="single" w:sz="4" w:space="0" w:color="000000"/>
              <w:bottom w:val="nil"/>
              <w:right w:val="nil"/>
            </w:tcBorders>
            <w:shd w:val="clear" w:color="auto" w:fill="auto"/>
            <w:vAlign w:val="center"/>
          </w:tcPr>
          <w:p w14:paraId="06D2E661"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D05AB1">
              <w:rPr>
                <w:color w:val="000000"/>
                <w:sz w:val="16"/>
                <w:szCs w:val="16"/>
              </w:rPr>
              <w:t>10</w:t>
            </w:r>
          </w:p>
        </w:tc>
        <w:tc>
          <w:tcPr>
            <w:tcW w:w="576" w:type="dxa"/>
            <w:tcBorders>
              <w:top w:val="nil"/>
              <w:left w:val="nil"/>
              <w:bottom w:val="nil"/>
              <w:right w:val="nil"/>
            </w:tcBorders>
            <w:shd w:val="clear" w:color="auto" w:fill="auto"/>
            <w:vAlign w:val="center"/>
          </w:tcPr>
          <w:p w14:paraId="63DCD5BA"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0.3</w:t>
            </w:r>
          </w:p>
        </w:tc>
        <w:tc>
          <w:tcPr>
            <w:tcW w:w="1015" w:type="dxa"/>
            <w:tcBorders>
              <w:top w:val="nil"/>
              <w:left w:val="nil"/>
              <w:bottom w:val="nil"/>
              <w:right w:val="single" w:sz="4" w:space="0" w:color="000000"/>
            </w:tcBorders>
            <w:shd w:val="clear" w:color="auto" w:fill="auto"/>
            <w:vAlign w:val="center"/>
          </w:tcPr>
          <w:p w14:paraId="2A002D25"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(0.1, 0.5)</w:t>
            </w:r>
          </w:p>
        </w:tc>
        <w:tc>
          <w:tcPr>
            <w:tcW w:w="537" w:type="dxa"/>
            <w:tcBorders>
              <w:top w:val="nil"/>
              <w:left w:val="single" w:sz="4" w:space="0" w:color="000000"/>
              <w:bottom w:val="nil"/>
              <w:right w:val="nil"/>
            </w:tcBorders>
            <w:vAlign w:val="center"/>
          </w:tcPr>
          <w:p w14:paraId="63D09F7C" w14:textId="77777777" w:rsidR="00A3143A" w:rsidRPr="00A3143A"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A3143A">
              <w:rPr>
                <w:color w:val="000000"/>
                <w:sz w:val="16"/>
                <w:szCs w:val="16"/>
              </w:rPr>
              <w:t>5</w:t>
            </w:r>
          </w:p>
        </w:tc>
        <w:tc>
          <w:tcPr>
            <w:tcW w:w="567" w:type="dxa"/>
            <w:tcBorders>
              <w:top w:val="nil"/>
              <w:left w:val="nil"/>
              <w:bottom w:val="nil"/>
              <w:right w:val="nil"/>
            </w:tcBorders>
            <w:vAlign w:val="center"/>
          </w:tcPr>
          <w:p w14:paraId="558336FB" w14:textId="77777777" w:rsidR="00A3143A" w:rsidRPr="00A3143A"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3143A">
              <w:rPr>
                <w:color w:val="000000"/>
                <w:sz w:val="16"/>
                <w:szCs w:val="16"/>
              </w:rPr>
              <w:t>0.2</w:t>
            </w:r>
          </w:p>
        </w:tc>
        <w:tc>
          <w:tcPr>
            <w:tcW w:w="992" w:type="dxa"/>
            <w:tcBorders>
              <w:top w:val="nil"/>
              <w:left w:val="nil"/>
              <w:bottom w:val="nil"/>
              <w:right w:val="nil"/>
            </w:tcBorders>
            <w:vAlign w:val="center"/>
          </w:tcPr>
          <w:p w14:paraId="25E11A58" w14:textId="77777777" w:rsidR="00A3143A" w:rsidRPr="00A3143A"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3143A">
              <w:rPr>
                <w:color w:val="000000"/>
                <w:sz w:val="16"/>
                <w:szCs w:val="16"/>
              </w:rPr>
              <w:t>(0</w:t>
            </w:r>
            <w:r>
              <w:rPr>
                <w:color w:val="000000"/>
                <w:sz w:val="16"/>
                <w:szCs w:val="16"/>
              </w:rPr>
              <w:t>.0</w:t>
            </w:r>
            <w:r w:rsidRPr="00A3143A">
              <w:rPr>
                <w:color w:val="000000"/>
                <w:sz w:val="16"/>
                <w:szCs w:val="16"/>
              </w:rPr>
              <w:t>, 0.3)</w:t>
            </w:r>
          </w:p>
        </w:tc>
      </w:tr>
      <w:tr w:rsidR="00A3143A" w:rsidRPr="00D05AB1" w14:paraId="385D90DD" w14:textId="77777777" w:rsidTr="00F679B7">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single" w:sz="4" w:space="0" w:color="000000"/>
              <w:right w:val="nil"/>
            </w:tcBorders>
            <w:shd w:val="clear" w:color="auto" w:fill="auto"/>
          </w:tcPr>
          <w:p w14:paraId="2314DAD3" w14:textId="77777777" w:rsidR="00A3143A" w:rsidRPr="00D05AB1" w:rsidRDefault="00A3143A" w:rsidP="00265003">
            <w:pPr>
              <w:spacing w:before="20" w:after="20"/>
              <w:ind w:left="34"/>
              <w:rPr>
                <w:rFonts w:eastAsiaTheme="minorEastAsia"/>
                <w:b w:val="0"/>
                <w:sz w:val="16"/>
                <w:szCs w:val="16"/>
                <w:lang w:eastAsia="en-US"/>
              </w:rPr>
            </w:pPr>
            <w:r w:rsidRPr="00D05AB1">
              <w:rPr>
                <w:rFonts w:eastAsiaTheme="minorEastAsia"/>
                <w:b w:val="0"/>
                <w:sz w:val="16"/>
                <w:szCs w:val="16"/>
                <w:lang w:eastAsia="en-US"/>
              </w:rPr>
              <w:t xml:space="preserve">Only </w:t>
            </w:r>
            <w:r w:rsidR="00265003">
              <w:rPr>
                <w:rFonts w:eastAsiaTheme="minorEastAsia"/>
                <w:b w:val="0"/>
                <w:sz w:val="16"/>
                <w:szCs w:val="16"/>
                <w:lang w:eastAsia="en-US"/>
              </w:rPr>
              <w:t>gambling treatment services</w:t>
            </w:r>
          </w:p>
        </w:tc>
        <w:tc>
          <w:tcPr>
            <w:tcW w:w="536" w:type="dxa"/>
            <w:tcBorders>
              <w:top w:val="nil"/>
              <w:left w:val="nil"/>
              <w:bottom w:val="single" w:sz="4" w:space="0" w:color="000000"/>
              <w:right w:val="nil"/>
            </w:tcBorders>
            <w:shd w:val="clear" w:color="auto" w:fill="auto"/>
            <w:noWrap/>
            <w:vAlign w:val="center"/>
          </w:tcPr>
          <w:p w14:paraId="721B931C"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4</w:t>
            </w:r>
          </w:p>
        </w:tc>
        <w:tc>
          <w:tcPr>
            <w:tcW w:w="576" w:type="dxa"/>
            <w:tcBorders>
              <w:top w:val="nil"/>
              <w:left w:val="nil"/>
              <w:bottom w:val="single" w:sz="4" w:space="0" w:color="000000"/>
              <w:right w:val="nil"/>
            </w:tcBorders>
            <w:shd w:val="clear" w:color="auto" w:fill="auto"/>
            <w:noWrap/>
            <w:vAlign w:val="center"/>
          </w:tcPr>
          <w:p w14:paraId="26E79DCC"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0.1</w:t>
            </w:r>
          </w:p>
        </w:tc>
        <w:tc>
          <w:tcPr>
            <w:tcW w:w="1015" w:type="dxa"/>
            <w:tcBorders>
              <w:top w:val="nil"/>
              <w:left w:val="nil"/>
              <w:bottom w:val="single" w:sz="4" w:space="0" w:color="000000"/>
              <w:right w:val="single" w:sz="4" w:space="0" w:color="auto"/>
            </w:tcBorders>
            <w:shd w:val="clear" w:color="auto" w:fill="auto"/>
            <w:noWrap/>
            <w:vAlign w:val="center"/>
          </w:tcPr>
          <w:p w14:paraId="1E9D6212"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(0.0, 0.1)</w:t>
            </w:r>
          </w:p>
        </w:tc>
        <w:tc>
          <w:tcPr>
            <w:tcW w:w="536" w:type="dxa"/>
            <w:tcBorders>
              <w:top w:val="nil"/>
              <w:left w:val="single" w:sz="4" w:space="0" w:color="auto"/>
              <w:bottom w:val="single" w:sz="4" w:space="0" w:color="000000"/>
              <w:right w:val="nil"/>
            </w:tcBorders>
            <w:shd w:val="clear" w:color="auto" w:fill="auto"/>
            <w:noWrap/>
            <w:vAlign w:val="center"/>
          </w:tcPr>
          <w:p w14:paraId="16C8008B"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5</w:t>
            </w:r>
          </w:p>
        </w:tc>
        <w:tc>
          <w:tcPr>
            <w:tcW w:w="576" w:type="dxa"/>
            <w:tcBorders>
              <w:top w:val="nil"/>
              <w:left w:val="nil"/>
              <w:bottom w:val="single" w:sz="4" w:space="0" w:color="000000"/>
              <w:right w:val="nil"/>
            </w:tcBorders>
            <w:shd w:val="clear" w:color="auto" w:fill="auto"/>
            <w:noWrap/>
            <w:vAlign w:val="center"/>
          </w:tcPr>
          <w:p w14:paraId="11C98A39"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0.1</w:t>
            </w:r>
          </w:p>
        </w:tc>
        <w:tc>
          <w:tcPr>
            <w:tcW w:w="1043" w:type="dxa"/>
            <w:tcBorders>
              <w:top w:val="nil"/>
              <w:left w:val="nil"/>
              <w:bottom w:val="single" w:sz="4" w:space="0" w:color="000000"/>
              <w:right w:val="single" w:sz="4" w:space="0" w:color="000000"/>
            </w:tcBorders>
            <w:shd w:val="clear" w:color="auto" w:fill="auto"/>
            <w:noWrap/>
            <w:vAlign w:val="center"/>
          </w:tcPr>
          <w:p w14:paraId="7BC8693F"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(0.0, 0.3)</w:t>
            </w:r>
          </w:p>
        </w:tc>
        <w:tc>
          <w:tcPr>
            <w:tcW w:w="536" w:type="dxa"/>
            <w:tcBorders>
              <w:top w:val="nil"/>
              <w:left w:val="single" w:sz="4" w:space="0" w:color="000000"/>
              <w:bottom w:val="single" w:sz="4" w:space="0" w:color="000000"/>
              <w:right w:val="nil"/>
            </w:tcBorders>
            <w:shd w:val="clear" w:color="auto" w:fill="auto"/>
            <w:vAlign w:val="center"/>
          </w:tcPr>
          <w:p w14:paraId="527A8D19"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D05AB1">
              <w:rPr>
                <w:color w:val="000000"/>
                <w:sz w:val="16"/>
                <w:szCs w:val="16"/>
              </w:rPr>
              <w:t>3</w:t>
            </w:r>
          </w:p>
        </w:tc>
        <w:tc>
          <w:tcPr>
            <w:tcW w:w="576" w:type="dxa"/>
            <w:tcBorders>
              <w:top w:val="nil"/>
              <w:left w:val="nil"/>
              <w:bottom w:val="single" w:sz="4" w:space="0" w:color="000000"/>
              <w:right w:val="nil"/>
            </w:tcBorders>
            <w:shd w:val="clear" w:color="auto" w:fill="auto"/>
            <w:vAlign w:val="center"/>
          </w:tcPr>
          <w:p w14:paraId="4283D19F"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0.1</w:t>
            </w:r>
          </w:p>
        </w:tc>
        <w:tc>
          <w:tcPr>
            <w:tcW w:w="1015" w:type="dxa"/>
            <w:tcBorders>
              <w:top w:val="nil"/>
              <w:left w:val="nil"/>
              <w:bottom w:val="single" w:sz="4" w:space="0" w:color="000000"/>
              <w:right w:val="single" w:sz="4" w:space="0" w:color="000000"/>
            </w:tcBorders>
            <w:shd w:val="clear" w:color="auto" w:fill="auto"/>
            <w:vAlign w:val="center"/>
          </w:tcPr>
          <w:p w14:paraId="560D9CEC" w14:textId="77777777" w:rsidR="00A3143A" w:rsidRPr="00D05AB1"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(0.0, 0.2)</w:t>
            </w:r>
          </w:p>
        </w:tc>
        <w:tc>
          <w:tcPr>
            <w:tcW w:w="537" w:type="dxa"/>
            <w:tcBorders>
              <w:top w:val="nil"/>
              <w:left w:val="single" w:sz="4" w:space="0" w:color="000000"/>
              <w:bottom w:val="single" w:sz="4" w:space="0" w:color="000000"/>
              <w:right w:val="nil"/>
            </w:tcBorders>
            <w:vAlign w:val="center"/>
          </w:tcPr>
          <w:p w14:paraId="6349F39B" w14:textId="77777777" w:rsidR="00A3143A" w:rsidRPr="00A3143A"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3143A">
              <w:rPr>
                <w:color w:val="000000"/>
                <w:sz w:val="16"/>
                <w:szCs w:val="16"/>
              </w:rPr>
              <w:t>1</w:t>
            </w:r>
          </w:p>
        </w:tc>
        <w:tc>
          <w:tcPr>
            <w:tcW w:w="567" w:type="dxa"/>
            <w:tcBorders>
              <w:top w:val="nil"/>
              <w:left w:val="nil"/>
              <w:bottom w:val="single" w:sz="4" w:space="0" w:color="000000"/>
              <w:right w:val="nil"/>
            </w:tcBorders>
            <w:vAlign w:val="center"/>
          </w:tcPr>
          <w:p w14:paraId="27137466" w14:textId="77777777" w:rsidR="00A3143A" w:rsidRPr="00A3143A" w:rsidRDefault="00A3143A" w:rsidP="00A31B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3143A">
              <w:rPr>
                <w:color w:val="000000"/>
                <w:sz w:val="16"/>
                <w:szCs w:val="16"/>
              </w:rPr>
              <w:t>0.0</w:t>
            </w:r>
          </w:p>
        </w:tc>
        <w:tc>
          <w:tcPr>
            <w:tcW w:w="992" w:type="dxa"/>
            <w:tcBorders>
              <w:top w:val="nil"/>
              <w:left w:val="nil"/>
              <w:bottom w:val="single" w:sz="4" w:space="0" w:color="000000"/>
              <w:right w:val="nil"/>
            </w:tcBorders>
            <w:vAlign w:val="center"/>
          </w:tcPr>
          <w:p w14:paraId="306546E5" w14:textId="77777777" w:rsidR="00A3143A" w:rsidRPr="00A3143A" w:rsidRDefault="009E769D" w:rsidP="009E769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w:t>
            </w:r>
          </w:p>
        </w:tc>
      </w:tr>
    </w:tbl>
    <w:p w14:paraId="788B47AC" w14:textId="77777777" w:rsidR="00A3143A" w:rsidRPr="00D05AB1" w:rsidRDefault="00A3143A" w:rsidP="00A3143A">
      <w:pPr>
        <w:ind w:left="-851"/>
        <w:rPr>
          <w:sz w:val="16"/>
          <w:szCs w:val="16"/>
        </w:rPr>
      </w:pPr>
      <w:r w:rsidRPr="00D05AB1">
        <w:rPr>
          <w:sz w:val="16"/>
          <w:szCs w:val="16"/>
        </w:rPr>
        <w:t>Data weighted for 2013 Census data (</w:t>
      </w:r>
      <w:r>
        <w:rPr>
          <w:sz w:val="16"/>
          <w:szCs w:val="16"/>
        </w:rPr>
        <w:t>all w</w:t>
      </w:r>
      <w:r w:rsidRPr="00D05AB1">
        <w:rPr>
          <w:sz w:val="16"/>
          <w:szCs w:val="16"/>
        </w:rPr>
        <w:t>aves) and attrition (Wave</w:t>
      </w:r>
      <w:r>
        <w:rPr>
          <w:sz w:val="16"/>
          <w:szCs w:val="16"/>
        </w:rPr>
        <w:t>s</w:t>
      </w:r>
      <w:r w:rsidRPr="00D05AB1">
        <w:rPr>
          <w:sz w:val="16"/>
          <w:szCs w:val="16"/>
        </w:rPr>
        <w:t xml:space="preserve"> 2</w:t>
      </w:r>
      <w:r>
        <w:rPr>
          <w:sz w:val="16"/>
          <w:szCs w:val="16"/>
        </w:rPr>
        <w:t>,</w:t>
      </w:r>
      <w:r w:rsidRPr="00D05AB1">
        <w:rPr>
          <w:sz w:val="16"/>
          <w:szCs w:val="16"/>
        </w:rPr>
        <w:t xml:space="preserve"> 3</w:t>
      </w:r>
      <w:r>
        <w:rPr>
          <w:sz w:val="16"/>
          <w:szCs w:val="16"/>
        </w:rPr>
        <w:t xml:space="preserve"> and 4</w:t>
      </w:r>
      <w:r w:rsidRPr="00D05AB1">
        <w:rPr>
          <w:sz w:val="16"/>
          <w:szCs w:val="16"/>
        </w:rPr>
        <w:t>)</w:t>
      </w:r>
    </w:p>
    <w:p w14:paraId="12498613" w14:textId="77777777" w:rsidR="00257963" w:rsidRDefault="00A3143A" w:rsidP="00A3143A">
      <w:pPr>
        <w:pStyle w:val="RepNormal"/>
        <w:ind w:left="-851"/>
        <w:rPr>
          <w:sz w:val="16"/>
          <w:szCs w:val="16"/>
        </w:rPr>
      </w:pPr>
      <w:r w:rsidRPr="00D05AB1">
        <w:rPr>
          <w:rFonts w:eastAsiaTheme="minorEastAsia"/>
          <w:sz w:val="16"/>
          <w:szCs w:val="16"/>
          <w:vertAlign w:val="superscript"/>
        </w:rPr>
        <w:t xml:space="preserve"># </w:t>
      </w:r>
      <w:r w:rsidRPr="00D05AB1">
        <w:rPr>
          <w:sz w:val="16"/>
          <w:szCs w:val="16"/>
        </w:rPr>
        <w:t>Calculated for participan</w:t>
      </w:r>
      <w:r>
        <w:rPr>
          <w:sz w:val="16"/>
          <w:szCs w:val="16"/>
        </w:rPr>
        <w:t>ts who gambled in the last year</w:t>
      </w:r>
    </w:p>
    <w:p w14:paraId="29A952A8" w14:textId="77777777" w:rsidR="009E769D" w:rsidRPr="009E769D" w:rsidRDefault="009E769D" w:rsidP="00180546">
      <w:pPr>
        <w:spacing w:line="276" w:lineRule="auto"/>
        <w:ind w:left="-851"/>
        <w:rPr>
          <w:sz w:val="16"/>
        </w:rPr>
      </w:pPr>
      <w:r w:rsidRPr="009E769D">
        <w:rPr>
          <w:sz w:val="16"/>
        </w:rPr>
        <w:t>! Meaningful confidence intervals not calculable due to small sample size</w:t>
      </w:r>
    </w:p>
    <w:p w14:paraId="5FD4C302" w14:textId="77777777" w:rsidR="00AC70A8" w:rsidRPr="00180546" w:rsidRDefault="00AC70A8" w:rsidP="007C46D2">
      <w:pPr>
        <w:pStyle w:val="RepNormal"/>
        <w:rPr>
          <w:sz w:val="4"/>
        </w:rPr>
      </w:pPr>
    </w:p>
    <w:p w14:paraId="004A049D" w14:textId="77777777" w:rsidR="00180546" w:rsidRDefault="00180546" w:rsidP="007C46D2">
      <w:pPr>
        <w:pStyle w:val="RepNormal"/>
        <w:rPr>
          <w:u w:val="single"/>
        </w:rPr>
      </w:pPr>
    </w:p>
    <w:p w14:paraId="329FA931" w14:textId="77777777" w:rsidR="00AC70A8" w:rsidRDefault="00AC70A8" w:rsidP="007C46D2">
      <w:pPr>
        <w:pStyle w:val="RepNormal"/>
      </w:pPr>
      <w:r>
        <w:rPr>
          <w:u w:val="single"/>
        </w:rPr>
        <w:t>By ethnicity</w:t>
      </w:r>
    </w:p>
    <w:p w14:paraId="322A9272" w14:textId="77777777" w:rsidR="00AC70A8" w:rsidRPr="00180546" w:rsidRDefault="00AC70A8" w:rsidP="007C46D2">
      <w:pPr>
        <w:pStyle w:val="RepNormal"/>
      </w:pPr>
    </w:p>
    <w:p w14:paraId="2640F8E1" w14:textId="77777777" w:rsidR="00AC70A8" w:rsidRPr="00AC70A8" w:rsidRDefault="00381E9F" w:rsidP="007C46D2">
      <w:pPr>
        <w:pStyle w:val="RepNormal"/>
      </w:pPr>
      <w:r>
        <w:t>In Wave 4, methods used to stop gambling too much and help-seeking behaviours were similar between Māori</w:t>
      </w:r>
      <w:r w:rsidR="00E07CFD">
        <w:t xml:space="preserve"> and</w:t>
      </w:r>
      <w:r>
        <w:t xml:space="preserve"> the </w:t>
      </w:r>
      <w:r w:rsidR="00E07CFD">
        <w:t xml:space="preserve">total </w:t>
      </w:r>
      <w:r>
        <w:t>population.  There was a decrease in the proportion of Māori who set a money limit for gambling before leaving home in Wave 4 c</w:t>
      </w:r>
      <w:r w:rsidR="002F04E8">
        <w:t>ompared to Wave 1 (13% vs. 20%) (</w:t>
      </w:r>
      <w:r w:rsidR="002F04E8">
        <w:fldChar w:fldCharType="begin"/>
      </w:r>
      <w:r w:rsidR="002F04E8">
        <w:instrText xml:space="preserve"> REF _Ref470013200 \h </w:instrText>
      </w:r>
      <w:r w:rsidR="002F04E8">
        <w:fldChar w:fldCharType="separate"/>
      </w:r>
      <w:r w:rsidR="00D5752E">
        <w:t xml:space="preserve">Table </w:t>
      </w:r>
      <w:r w:rsidR="00D5752E">
        <w:rPr>
          <w:noProof/>
        </w:rPr>
        <w:t>6</w:t>
      </w:r>
      <w:r w:rsidR="002F04E8">
        <w:fldChar w:fldCharType="end"/>
      </w:r>
      <w:r w:rsidR="002F04E8">
        <w:t>).</w:t>
      </w:r>
    </w:p>
    <w:p w14:paraId="2598A4EF" w14:textId="77777777" w:rsidR="00AC70A8" w:rsidRDefault="00AC70A8" w:rsidP="007C46D2">
      <w:pPr>
        <w:pStyle w:val="RepNormal"/>
      </w:pPr>
    </w:p>
    <w:p w14:paraId="6BFC2C74" w14:textId="77777777" w:rsidR="00480556" w:rsidRDefault="00480556" w:rsidP="00480556">
      <w:pPr>
        <w:pStyle w:val="RepNormal"/>
      </w:pPr>
      <w:r>
        <w:t xml:space="preserve">Sample sizes were too small for data to be presented on methods used to stop gambling too much and help-seeking behaviours of </w:t>
      </w:r>
      <w:r w:rsidR="008F0D62">
        <w:t xml:space="preserve">Pacific and Asian </w:t>
      </w:r>
      <w:r>
        <w:t>people.</w:t>
      </w:r>
    </w:p>
    <w:p w14:paraId="444250DB" w14:textId="77777777" w:rsidR="00AC70A8" w:rsidRPr="00180546" w:rsidRDefault="00AC70A8" w:rsidP="007C46D2">
      <w:pPr>
        <w:pStyle w:val="RepNormal"/>
      </w:pPr>
    </w:p>
    <w:p w14:paraId="3F24BEFF" w14:textId="77777777" w:rsidR="002F04E8" w:rsidRPr="002F04E8" w:rsidRDefault="002F04E8" w:rsidP="00C873C1">
      <w:pPr>
        <w:pStyle w:val="Caption"/>
        <w:keepNext/>
        <w:keepLines/>
        <w:ind w:left="-851"/>
        <w:jc w:val="both"/>
      </w:pPr>
      <w:bookmarkStart w:id="81" w:name="_Ref470013200"/>
      <w:bookmarkStart w:id="82" w:name="_Toc504488431"/>
      <w:r>
        <w:t xml:space="preserve">Table </w:t>
      </w:r>
      <w:r w:rsidR="00D5752E">
        <w:fldChar w:fldCharType="begin"/>
      </w:r>
      <w:r w:rsidR="00D5752E">
        <w:instrText xml:space="preserve"> SEQ Table \* ARABIC </w:instrText>
      </w:r>
      <w:r w:rsidR="00D5752E">
        <w:fldChar w:fldCharType="separate"/>
      </w:r>
      <w:r w:rsidR="00D5752E">
        <w:rPr>
          <w:noProof/>
        </w:rPr>
        <w:t>6</w:t>
      </w:r>
      <w:r w:rsidR="00D5752E">
        <w:rPr>
          <w:noProof/>
        </w:rPr>
        <w:fldChar w:fldCharType="end"/>
      </w:r>
      <w:bookmarkEnd w:id="81"/>
      <w:r>
        <w:t xml:space="preserve">: </w:t>
      </w:r>
      <w:r w:rsidR="00315163">
        <w:t>M</w:t>
      </w:r>
      <w:r>
        <w:t>ethods used to stop gambling too much and help-seeking behaviour in Waves 1, 2, 3 and 4 - Māori</w:t>
      </w:r>
      <w:bookmarkEnd w:id="82"/>
    </w:p>
    <w:tbl>
      <w:tblPr>
        <w:tblStyle w:val="LightShading4"/>
        <w:tblW w:w="10065" w:type="dxa"/>
        <w:tblInd w:w="-851" w:type="dxa"/>
        <w:tblLayout w:type="fixed"/>
        <w:tblLook w:val="06A0" w:firstRow="1" w:lastRow="0" w:firstColumn="1" w:lastColumn="0" w:noHBand="1" w:noVBand="1"/>
      </w:tblPr>
      <w:tblGrid>
        <w:gridCol w:w="1560"/>
        <w:gridCol w:w="536"/>
        <w:gridCol w:w="576"/>
        <w:gridCol w:w="1015"/>
        <w:gridCol w:w="536"/>
        <w:gridCol w:w="576"/>
        <w:gridCol w:w="1043"/>
        <w:gridCol w:w="536"/>
        <w:gridCol w:w="576"/>
        <w:gridCol w:w="1015"/>
        <w:gridCol w:w="536"/>
        <w:gridCol w:w="568"/>
        <w:gridCol w:w="992"/>
      </w:tblGrid>
      <w:tr w:rsidR="002F04E8" w:rsidRPr="00D05AB1" w14:paraId="69DA8CD2" w14:textId="77777777" w:rsidTr="00046B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vMerge w:val="restart"/>
            <w:tcBorders>
              <w:bottom w:val="single" w:sz="4" w:space="0" w:color="auto"/>
            </w:tcBorders>
            <w:vAlign w:val="bottom"/>
            <w:hideMark/>
          </w:tcPr>
          <w:p w14:paraId="7FC00384" w14:textId="77777777" w:rsidR="002F04E8" w:rsidRPr="00D05AB1" w:rsidRDefault="002F04E8" w:rsidP="00046B54">
            <w:pPr>
              <w:keepNext/>
              <w:keepLines/>
              <w:spacing w:before="20" w:after="20"/>
              <w:rPr>
                <w:rFonts w:eastAsiaTheme="minorEastAsia"/>
                <w:sz w:val="16"/>
                <w:szCs w:val="16"/>
                <w:lang w:eastAsia="en-US"/>
              </w:rPr>
            </w:pPr>
            <w:r w:rsidRPr="00D05AB1">
              <w:rPr>
                <w:rFonts w:eastAsiaTheme="minorEastAsia"/>
                <w:sz w:val="16"/>
                <w:szCs w:val="16"/>
                <w:lang w:eastAsia="en-US"/>
              </w:rPr>
              <w:t>Variable</w:t>
            </w:r>
          </w:p>
        </w:tc>
        <w:tc>
          <w:tcPr>
            <w:tcW w:w="2127" w:type="dxa"/>
            <w:gridSpan w:val="3"/>
            <w:tcBorders>
              <w:bottom w:val="single" w:sz="4" w:space="0" w:color="auto"/>
              <w:right w:val="single" w:sz="4" w:space="0" w:color="auto"/>
            </w:tcBorders>
            <w:noWrap/>
            <w:vAlign w:val="center"/>
            <w:hideMark/>
          </w:tcPr>
          <w:p w14:paraId="0453D8B7" w14:textId="77777777" w:rsidR="002F04E8" w:rsidRPr="00D05AB1" w:rsidRDefault="002F04E8" w:rsidP="00046B54">
            <w:pPr>
              <w:keepNext/>
              <w:keepLines/>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6"/>
                <w:szCs w:val="16"/>
                <w:lang w:eastAsia="en-US"/>
              </w:rPr>
            </w:pPr>
            <w:r w:rsidRPr="00D05AB1">
              <w:rPr>
                <w:rFonts w:eastAsiaTheme="minorEastAsia"/>
                <w:sz w:val="16"/>
                <w:szCs w:val="16"/>
              </w:rPr>
              <w:t>Wave 1</w:t>
            </w:r>
          </w:p>
        </w:tc>
        <w:tc>
          <w:tcPr>
            <w:tcW w:w="2155" w:type="dxa"/>
            <w:gridSpan w:val="3"/>
            <w:tcBorders>
              <w:left w:val="single" w:sz="4" w:space="0" w:color="auto"/>
              <w:bottom w:val="single" w:sz="4" w:space="0" w:color="auto"/>
            </w:tcBorders>
            <w:vAlign w:val="center"/>
          </w:tcPr>
          <w:p w14:paraId="1FAD9E67" w14:textId="77777777" w:rsidR="002F04E8" w:rsidRPr="00D05AB1" w:rsidRDefault="002F04E8" w:rsidP="00046B54">
            <w:pPr>
              <w:keepNext/>
              <w:keepLines/>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Wave 2</w:t>
            </w:r>
          </w:p>
        </w:tc>
        <w:tc>
          <w:tcPr>
            <w:tcW w:w="2127" w:type="dxa"/>
            <w:gridSpan w:val="3"/>
            <w:tcBorders>
              <w:left w:val="single" w:sz="4" w:space="0" w:color="auto"/>
              <w:bottom w:val="single" w:sz="4" w:space="0" w:color="auto"/>
            </w:tcBorders>
          </w:tcPr>
          <w:p w14:paraId="62A2988D" w14:textId="77777777" w:rsidR="002F04E8" w:rsidRPr="00D05AB1" w:rsidRDefault="002F04E8" w:rsidP="00046B54">
            <w:pPr>
              <w:keepNext/>
              <w:keepLines/>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Wave 3</w:t>
            </w:r>
          </w:p>
        </w:tc>
        <w:tc>
          <w:tcPr>
            <w:tcW w:w="2096" w:type="dxa"/>
            <w:gridSpan w:val="3"/>
            <w:tcBorders>
              <w:left w:val="single" w:sz="4" w:space="0" w:color="auto"/>
              <w:bottom w:val="single" w:sz="4" w:space="0" w:color="auto"/>
            </w:tcBorders>
          </w:tcPr>
          <w:p w14:paraId="12C34FD6" w14:textId="77777777" w:rsidR="002F04E8" w:rsidRPr="00D05AB1" w:rsidRDefault="002F04E8" w:rsidP="00046B54">
            <w:pPr>
              <w:keepNext/>
              <w:keepLines/>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Pr>
                <w:rFonts w:eastAsiaTheme="minorEastAsia"/>
                <w:sz w:val="16"/>
                <w:szCs w:val="16"/>
                <w:lang w:eastAsia="en-US"/>
              </w:rPr>
              <w:t>Wave 4</w:t>
            </w:r>
          </w:p>
        </w:tc>
      </w:tr>
      <w:tr w:rsidR="002F04E8" w:rsidRPr="00D05AB1" w14:paraId="3C33575D" w14:textId="77777777" w:rsidTr="00046B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vMerge/>
            <w:tcBorders>
              <w:bottom w:val="single" w:sz="4" w:space="0" w:color="auto"/>
            </w:tcBorders>
            <w:vAlign w:val="center"/>
            <w:hideMark/>
          </w:tcPr>
          <w:p w14:paraId="00594A75" w14:textId="77777777" w:rsidR="002F04E8" w:rsidRPr="00D05AB1" w:rsidRDefault="002F04E8" w:rsidP="00046B54">
            <w:pPr>
              <w:keepNext/>
              <w:keepLines/>
              <w:spacing w:before="20" w:after="20"/>
              <w:rPr>
                <w:rFonts w:eastAsiaTheme="minorEastAsia"/>
                <w:sz w:val="16"/>
                <w:szCs w:val="16"/>
                <w:lang w:eastAsia="en-US"/>
              </w:rPr>
            </w:pPr>
          </w:p>
        </w:tc>
        <w:tc>
          <w:tcPr>
            <w:tcW w:w="536" w:type="dxa"/>
            <w:tcBorders>
              <w:top w:val="single" w:sz="4" w:space="0" w:color="auto"/>
              <w:bottom w:val="single" w:sz="4" w:space="0" w:color="auto"/>
            </w:tcBorders>
            <w:noWrap/>
            <w:vAlign w:val="center"/>
            <w:hideMark/>
          </w:tcPr>
          <w:p w14:paraId="7C8A08C6" w14:textId="77777777" w:rsidR="002F04E8" w:rsidRPr="00D05AB1" w:rsidRDefault="002F04E8" w:rsidP="00046B54">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rPr>
              <w:t>n</w:t>
            </w:r>
          </w:p>
        </w:tc>
        <w:tc>
          <w:tcPr>
            <w:tcW w:w="576" w:type="dxa"/>
            <w:tcBorders>
              <w:top w:val="single" w:sz="4" w:space="0" w:color="auto"/>
              <w:bottom w:val="single" w:sz="4" w:space="0" w:color="auto"/>
            </w:tcBorders>
            <w:noWrap/>
            <w:vAlign w:val="center"/>
            <w:hideMark/>
          </w:tcPr>
          <w:p w14:paraId="567F7C75" w14:textId="77777777" w:rsidR="002F04E8" w:rsidRPr="00D05AB1" w:rsidRDefault="002F04E8" w:rsidP="00046B54">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rPr>
              <w:t>%</w:t>
            </w:r>
          </w:p>
        </w:tc>
        <w:tc>
          <w:tcPr>
            <w:tcW w:w="1015" w:type="dxa"/>
            <w:tcBorders>
              <w:top w:val="single" w:sz="4" w:space="0" w:color="auto"/>
              <w:bottom w:val="single" w:sz="4" w:space="0" w:color="auto"/>
              <w:right w:val="single" w:sz="4" w:space="0" w:color="auto"/>
            </w:tcBorders>
            <w:noWrap/>
            <w:vAlign w:val="center"/>
          </w:tcPr>
          <w:p w14:paraId="73D66559" w14:textId="77777777" w:rsidR="002F04E8" w:rsidRPr="00D05AB1" w:rsidRDefault="002F04E8" w:rsidP="00046B54">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lang w:eastAsia="en-US"/>
              </w:rPr>
              <w:t>(95% CI)</w:t>
            </w:r>
          </w:p>
        </w:tc>
        <w:tc>
          <w:tcPr>
            <w:tcW w:w="536" w:type="dxa"/>
            <w:tcBorders>
              <w:top w:val="single" w:sz="4" w:space="0" w:color="auto"/>
              <w:left w:val="single" w:sz="4" w:space="0" w:color="auto"/>
              <w:bottom w:val="single" w:sz="4" w:space="0" w:color="auto"/>
            </w:tcBorders>
            <w:noWrap/>
            <w:vAlign w:val="center"/>
          </w:tcPr>
          <w:p w14:paraId="02FB072A" w14:textId="77777777" w:rsidR="002F04E8" w:rsidRPr="00D05AB1" w:rsidRDefault="002F04E8" w:rsidP="00046B54">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lang w:eastAsia="en-US"/>
              </w:rPr>
              <w:t>n</w:t>
            </w:r>
          </w:p>
        </w:tc>
        <w:tc>
          <w:tcPr>
            <w:tcW w:w="576" w:type="dxa"/>
            <w:tcBorders>
              <w:top w:val="single" w:sz="4" w:space="0" w:color="auto"/>
              <w:bottom w:val="single" w:sz="4" w:space="0" w:color="auto"/>
            </w:tcBorders>
            <w:noWrap/>
            <w:vAlign w:val="center"/>
          </w:tcPr>
          <w:p w14:paraId="734E853C" w14:textId="77777777" w:rsidR="002F04E8" w:rsidRPr="00D05AB1" w:rsidRDefault="002F04E8" w:rsidP="00046B54">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lang w:eastAsia="en-US"/>
              </w:rPr>
              <w:t>%</w:t>
            </w:r>
          </w:p>
        </w:tc>
        <w:tc>
          <w:tcPr>
            <w:tcW w:w="1043" w:type="dxa"/>
            <w:tcBorders>
              <w:top w:val="single" w:sz="4" w:space="0" w:color="auto"/>
              <w:bottom w:val="single" w:sz="4" w:space="0" w:color="auto"/>
              <w:right w:val="single" w:sz="4" w:space="0" w:color="000000"/>
            </w:tcBorders>
            <w:shd w:val="clear" w:color="auto" w:fill="FFFFFF" w:themeFill="background1"/>
            <w:noWrap/>
            <w:vAlign w:val="center"/>
          </w:tcPr>
          <w:p w14:paraId="265A4ABC" w14:textId="77777777" w:rsidR="002F04E8" w:rsidRPr="00D05AB1" w:rsidRDefault="002F04E8" w:rsidP="00046B54">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D05AB1">
              <w:rPr>
                <w:rFonts w:eastAsiaTheme="minorEastAsia"/>
                <w:sz w:val="16"/>
                <w:szCs w:val="16"/>
                <w:lang w:eastAsia="en-US"/>
              </w:rPr>
              <w:t>(95% CI)</w:t>
            </w:r>
          </w:p>
        </w:tc>
        <w:tc>
          <w:tcPr>
            <w:tcW w:w="536" w:type="dxa"/>
            <w:tcBorders>
              <w:top w:val="single" w:sz="4" w:space="0" w:color="auto"/>
              <w:left w:val="single" w:sz="4" w:space="0" w:color="000000"/>
              <w:bottom w:val="single" w:sz="4" w:space="0" w:color="auto"/>
            </w:tcBorders>
            <w:shd w:val="clear" w:color="auto" w:fill="FFFFFF" w:themeFill="background1"/>
            <w:vAlign w:val="center"/>
          </w:tcPr>
          <w:p w14:paraId="70F1C31E" w14:textId="77777777" w:rsidR="002F04E8" w:rsidRPr="00D05AB1" w:rsidRDefault="002F04E8" w:rsidP="00046B54">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lang w:eastAsia="en-US"/>
              </w:rPr>
              <w:t>n</w:t>
            </w:r>
          </w:p>
        </w:tc>
        <w:tc>
          <w:tcPr>
            <w:tcW w:w="576" w:type="dxa"/>
            <w:tcBorders>
              <w:top w:val="single" w:sz="4" w:space="0" w:color="auto"/>
              <w:bottom w:val="single" w:sz="4" w:space="0" w:color="auto"/>
            </w:tcBorders>
            <w:shd w:val="clear" w:color="auto" w:fill="FFFFFF" w:themeFill="background1"/>
            <w:vAlign w:val="center"/>
          </w:tcPr>
          <w:p w14:paraId="05D75847" w14:textId="77777777" w:rsidR="002F04E8" w:rsidRPr="00D05AB1" w:rsidRDefault="002F04E8" w:rsidP="00046B54">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lang w:eastAsia="en-US"/>
              </w:rPr>
              <w:t>%</w:t>
            </w:r>
          </w:p>
        </w:tc>
        <w:tc>
          <w:tcPr>
            <w:tcW w:w="1015" w:type="dxa"/>
            <w:tcBorders>
              <w:top w:val="single" w:sz="4" w:space="0" w:color="auto"/>
              <w:bottom w:val="single" w:sz="4" w:space="0" w:color="auto"/>
              <w:right w:val="single" w:sz="4" w:space="0" w:color="000000"/>
            </w:tcBorders>
            <w:shd w:val="clear" w:color="auto" w:fill="FFFFFF" w:themeFill="background1"/>
            <w:vAlign w:val="center"/>
          </w:tcPr>
          <w:p w14:paraId="3162515E" w14:textId="77777777" w:rsidR="002F04E8" w:rsidRPr="00D05AB1" w:rsidRDefault="002F04E8" w:rsidP="00046B54">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D05AB1">
              <w:rPr>
                <w:rFonts w:eastAsiaTheme="minorEastAsia"/>
                <w:sz w:val="16"/>
                <w:szCs w:val="16"/>
                <w:lang w:eastAsia="en-US"/>
              </w:rPr>
              <w:t>(95% CI)</w:t>
            </w:r>
          </w:p>
        </w:tc>
        <w:tc>
          <w:tcPr>
            <w:tcW w:w="536" w:type="dxa"/>
            <w:tcBorders>
              <w:top w:val="single" w:sz="4" w:space="0" w:color="auto"/>
              <w:left w:val="single" w:sz="4" w:space="0" w:color="000000"/>
              <w:bottom w:val="single" w:sz="4" w:space="0" w:color="auto"/>
            </w:tcBorders>
            <w:shd w:val="clear" w:color="auto" w:fill="FFFFFF" w:themeFill="background1"/>
            <w:vAlign w:val="center"/>
          </w:tcPr>
          <w:p w14:paraId="23D8581F" w14:textId="77777777" w:rsidR="002F04E8" w:rsidRPr="00A3143A" w:rsidRDefault="002F04E8" w:rsidP="00046B54">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A3143A">
              <w:rPr>
                <w:rFonts w:eastAsiaTheme="minorEastAsia"/>
                <w:sz w:val="16"/>
                <w:szCs w:val="16"/>
                <w:lang w:eastAsia="en-US"/>
              </w:rPr>
              <w:t>n</w:t>
            </w:r>
          </w:p>
        </w:tc>
        <w:tc>
          <w:tcPr>
            <w:tcW w:w="568" w:type="dxa"/>
            <w:tcBorders>
              <w:top w:val="single" w:sz="4" w:space="0" w:color="auto"/>
              <w:bottom w:val="single" w:sz="4" w:space="0" w:color="auto"/>
            </w:tcBorders>
            <w:shd w:val="clear" w:color="auto" w:fill="FFFFFF" w:themeFill="background1"/>
            <w:vAlign w:val="center"/>
          </w:tcPr>
          <w:p w14:paraId="3DB94FFD" w14:textId="77777777" w:rsidR="002F04E8" w:rsidRPr="00A3143A" w:rsidRDefault="002F04E8" w:rsidP="00046B54">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A3143A">
              <w:rPr>
                <w:rFonts w:eastAsiaTheme="minorEastAsia"/>
                <w:sz w:val="16"/>
                <w:szCs w:val="16"/>
                <w:lang w:eastAsia="en-US"/>
              </w:rPr>
              <w:t>%</w:t>
            </w:r>
          </w:p>
        </w:tc>
        <w:tc>
          <w:tcPr>
            <w:tcW w:w="992" w:type="dxa"/>
            <w:tcBorders>
              <w:top w:val="single" w:sz="4" w:space="0" w:color="auto"/>
              <w:bottom w:val="single" w:sz="4" w:space="0" w:color="auto"/>
            </w:tcBorders>
            <w:shd w:val="clear" w:color="auto" w:fill="FFFFFF" w:themeFill="background1"/>
            <w:vAlign w:val="center"/>
          </w:tcPr>
          <w:p w14:paraId="093E75A1" w14:textId="77777777" w:rsidR="002F04E8" w:rsidRPr="00A3143A" w:rsidRDefault="002F04E8" w:rsidP="00046B54">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A3143A">
              <w:rPr>
                <w:rFonts w:eastAsiaTheme="minorEastAsia"/>
                <w:sz w:val="16"/>
                <w:szCs w:val="16"/>
                <w:lang w:eastAsia="en-US"/>
              </w:rPr>
              <w:t>(95% CI)</w:t>
            </w:r>
          </w:p>
        </w:tc>
      </w:tr>
      <w:tr w:rsidR="002F04E8" w:rsidRPr="00D05AB1" w14:paraId="66552A33" w14:textId="77777777" w:rsidTr="00046B54">
        <w:tc>
          <w:tcPr>
            <w:cnfStyle w:val="001000000000" w:firstRow="0" w:lastRow="0" w:firstColumn="1" w:lastColumn="0" w:oddVBand="0" w:evenVBand="0" w:oddHBand="0" w:evenHBand="0" w:firstRowFirstColumn="0" w:firstRowLastColumn="0" w:lastRowFirstColumn="0" w:lastRowLastColumn="0"/>
            <w:tcW w:w="3687" w:type="dxa"/>
            <w:gridSpan w:val="4"/>
            <w:tcBorders>
              <w:top w:val="nil"/>
              <w:left w:val="nil"/>
              <w:bottom w:val="nil"/>
              <w:right w:val="single" w:sz="4" w:space="0" w:color="auto"/>
            </w:tcBorders>
            <w:vAlign w:val="center"/>
          </w:tcPr>
          <w:p w14:paraId="18AB5544" w14:textId="77777777" w:rsidR="002F04E8" w:rsidRPr="00D05AB1" w:rsidRDefault="002F04E8" w:rsidP="00046B54">
            <w:pPr>
              <w:keepNext/>
              <w:keepLines/>
              <w:spacing w:before="20" w:after="20"/>
              <w:rPr>
                <w:rFonts w:eastAsiaTheme="minorEastAsia"/>
                <w:sz w:val="16"/>
                <w:szCs w:val="16"/>
                <w:lang w:eastAsia="en-US"/>
              </w:rPr>
            </w:pPr>
            <w:r w:rsidRPr="00D05AB1">
              <w:rPr>
                <w:rFonts w:eastAsiaTheme="minorEastAsia"/>
                <w:sz w:val="16"/>
                <w:szCs w:val="16"/>
                <w:lang w:eastAsia="en-US"/>
              </w:rPr>
              <w:t>Methods used to stop gambling too much</w:t>
            </w:r>
            <w:r w:rsidRPr="00D05AB1">
              <w:rPr>
                <w:rFonts w:eastAsiaTheme="minorEastAsia"/>
                <w:sz w:val="16"/>
                <w:szCs w:val="16"/>
                <w:vertAlign w:val="superscript"/>
                <w:lang w:eastAsia="en-US"/>
              </w:rPr>
              <w:t>#</w:t>
            </w:r>
          </w:p>
        </w:tc>
        <w:tc>
          <w:tcPr>
            <w:tcW w:w="536" w:type="dxa"/>
            <w:tcBorders>
              <w:top w:val="nil"/>
              <w:left w:val="single" w:sz="4" w:space="0" w:color="auto"/>
              <w:bottom w:val="nil"/>
              <w:right w:val="nil"/>
            </w:tcBorders>
            <w:noWrap/>
            <w:vAlign w:val="center"/>
          </w:tcPr>
          <w:p w14:paraId="7FF2DA4E" w14:textId="77777777" w:rsidR="002F04E8" w:rsidRPr="00D05AB1" w:rsidRDefault="002F04E8" w:rsidP="00046B54">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76" w:type="dxa"/>
            <w:tcBorders>
              <w:top w:val="nil"/>
              <w:left w:val="nil"/>
              <w:bottom w:val="nil"/>
              <w:right w:val="nil"/>
            </w:tcBorders>
            <w:noWrap/>
            <w:vAlign w:val="center"/>
          </w:tcPr>
          <w:p w14:paraId="22ADE2EA" w14:textId="77777777" w:rsidR="002F04E8" w:rsidRPr="00D05AB1" w:rsidRDefault="002F04E8" w:rsidP="00046B54">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000000"/>
            </w:tcBorders>
            <w:shd w:val="clear" w:color="auto" w:fill="FFFFFF" w:themeFill="background1"/>
            <w:noWrap/>
            <w:vAlign w:val="center"/>
          </w:tcPr>
          <w:p w14:paraId="03E6F929" w14:textId="77777777" w:rsidR="002F04E8" w:rsidRPr="00D05AB1" w:rsidRDefault="002F04E8" w:rsidP="00046B54">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536" w:type="dxa"/>
            <w:tcBorders>
              <w:top w:val="nil"/>
              <w:left w:val="single" w:sz="4" w:space="0" w:color="000000"/>
              <w:bottom w:val="nil"/>
              <w:right w:val="nil"/>
            </w:tcBorders>
          </w:tcPr>
          <w:p w14:paraId="4EF15EAE" w14:textId="77777777" w:rsidR="002F04E8" w:rsidRPr="00D05AB1" w:rsidRDefault="002F04E8" w:rsidP="00046B54">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576" w:type="dxa"/>
            <w:tcBorders>
              <w:top w:val="nil"/>
              <w:left w:val="nil"/>
              <w:bottom w:val="nil"/>
              <w:right w:val="nil"/>
            </w:tcBorders>
          </w:tcPr>
          <w:p w14:paraId="1CCA0950" w14:textId="77777777" w:rsidR="002F04E8" w:rsidRPr="00D05AB1" w:rsidRDefault="002F04E8" w:rsidP="00046B54">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1015" w:type="dxa"/>
            <w:tcBorders>
              <w:top w:val="nil"/>
              <w:left w:val="nil"/>
              <w:bottom w:val="nil"/>
              <w:right w:val="single" w:sz="4" w:space="0" w:color="000000"/>
            </w:tcBorders>
          </w:tcPr>
          <w:p w14:paraId="0DD3FC36" w14:textId="77777777" w:rsidR="002F04E8" w:rsidRPr="00D05AB1" w:rsidRDefault="002F04E8" w:rsidP="00046B54">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536" w:type="dxa"/>
            <w:tcBorders>
              <w:top w:val="nil"/>
              <w:left w:val="single" w:sz="4" w:space="0" w:color="000000"/>
              <w:bottom w:val="nil"/>
              <w:right w:val="nil"/>
            </w:tcBorders>
          </w:tcPr>
          <w:p w14:paraId="187F554C" w14:textId="77777777" w:rsidR="002F04E8" w:rsidRPr="00A3143A" w:rsidRDefault="002F04E8" w:rsidP="00046B54">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568" w:type="dxa"/>
            <w:tcBorders>
              <w:top w:val="nil"/>
              <w:left w:val="nil"/>
              <w:bottom w:val="nil"/>
              <w:right w:val="nil"/>
            </w:tcBorders>
          </w:tcPr>
          <w:p w14:paraId="67F8087E" w14:textId="77777777" w:rsidR="002F04E8" w:rsidRPr="00A3143A" w:rsidRDefault="002F04E8" w:rsidP="00046B54">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992" w:type="dxa"/>
            <w:tcBorders>
              <w:top w:val="nil"/>
              <w:left w:val="nil"/>
              <w:bottom w:val="nil"/>
              <w:right w:val="nil"/>
            </w:tcBorders>
          </w:tcPr>
          <w:p w14:paraId="316AB958" w14:textId="77777777" w:rsidR="002F04E8" w:rsidRPr="00A3143A" w:rsidRDefault="002F04E8" w:rsidP="00046B54">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r>
      <w:tr w:rsidR="009118DA" w:rsidRPr="00D05AB1" w14:paraId="64B4C94D" w14:textId="77777777" w:rsidTr="00180546">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shd w:val="clear" w:color="auto" w:fill="auto"/>
          </w:tcPr>
          <w:p w14:paraId="6C40E06F" w14:textId="77777777" w:rsidR="002F04E8" w:rsidRPr="00D05AB1" w:rsidRDefault="002F04E8" w:rsidP="002F04E8">
            <w:pPr>
              <w:keepNext/>
              <w:keepLines/>
              <w:spacing w:before="20" w:after="20"/>
              <w:ind w:left="34"/>
              <w:rPr>
                <w:rFonts w:eastAsiaTheme="minorEastAsia"/>
                <w:b w:val="0"/>
                <w:sz w:val="16"/>
                <w:szCs w:val="16"/>
                <w:lang w:eastAsia="en-US"/>
              </w:rPr>
            </w:pPr>
            <w:r w:rsidRPr="00D05AB1">
              <w:rPr>
                <w:rFonts w:eastAsiaTheme="minorEastAsia"/>
                <w:b w:val="0"/>
                <w:sz w:val="16"/>
                <w:szCs w:val="16"/>
                <w:lang w:eastAsia="en-US"/>
              </w:rPr>
              <w:t>Set a money limit</w:t>
            </w:r>
          </w:p>
        </w:tc>
        <w:tc>
          <w:tcPr>
            <w:tcW w:w="536" w:type="dxa"/>
            <w:tcBorders>
              <w:top w:val="nil"/>
              <w:left w:val="nil"/>
              <w:bottom w:val="nil"/>
              <w:right w:val="nil"/>
            </w:tcBorders>
            <w:shd w:val="clear" w:color="auto" w:fill="auto"/>
            <w:noWrap/>
            <w:vAlign w:val="center"/>
          </w:tcPr>
          <w:p w14:paraId="0FEEF079"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Pr>
                <w:color w:val="000000"/>
                <w:sz w:val="16"/>
                <w:szCs w:val="16"/>
              </w:rPr>
              <w:t>129</w:t>
            </w:r>
          </w:p>
        </w:tc>
        <w:tc>
          <w:tcPr>
            <w:tcW w:w="576" w:type="dxa"/>
            <w:tcBorders>
              <w:top w:val="nil"/>
              <w:left w:val="nil"/>
              <w:bottom w:val="nil"/>
              <w:right w:val="nil"/>
            </w:tcBorders>
            <w:shd w:val="clear" w:color="auto" w:fill="auto"/>
            <w:noWrap/>
            <w:vAlign w:val="center"/>
          </w:tcPr>
          <w:p w14:paraId="5C8C0608"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19.8</w:t>
            </w:r>
          </w:p>
        </w:tc>
        <w:tc>
          <w:tcPr>
            <w:tcW w:w="1015" w:type="dxa"/>
            <w:tcBorders>
              <w:top w:val="nil"/>
              <w:left w:val="nil"/>
              <w:bottom w:val="nil"/>
              <w:right w:val="single" w:sz="4" w:space="0" w:color="auto"/>
            </w:tcBorders>
            <w:shd w:val="clear" w:color="auto" w:fill="auto"/>
            <w:noWrap/>
            <w:vAlign w:val="center"/>
          </w:tcPr>
          <w:p w14:paraId="02D043F7"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(17.2, 22.5)</w:t>
            </w:r>
          </w:p>
        </w:tc>
        <w:tc>
          <w:tcPr>
            <w:tcW w:w="536" w:type="dxa"/>
            <w:tcBorders>
              <w:top w:val="nil"/>
              <w:left w:val="single" w:sz="4" w:space="0" w:color="auto"/>
              <w:bottom w:val="nil"/>
              <w:right w:val="nil"/>
            </w:tcBorders>
            <w:shd w:val="clear" w:color="auto" w:fill="auto"/>
            <w:noWrap/>
            <w:vAlign w:val="center"/>
          </w:tcPr>
          <w:p w14:paraId="0ACC1328"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Pr>
                <w:color w:val="000000"/>
                <w:sz w:val="16"/>
                <w:szCs w:val="16"/>
              </w:rPr>
              <w:t>69</w:t>
            </w:r>
          </w:p>
        </w:tc>
        <w:tc>
          <w:tcPr>
            <w:tcW w:w="576" w:type="dxa"/>
            <w:tcBorders>
              <w:top w:val="nil"/>
              <w:left w:val="nil"/>
              <w:bottom w:val="nil"/>
              <w:right w:val="nil"/>
            </w:tcBorders>
            <w:shd w:val="clear" w:color="auto" w:fill="auto"/>
            <w:noWrap/>
            <w:vAlign w:val="center"/>
          </w:tcPr>
          <w:p w14:paraId="52079064"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1043" w:type="dxa"/>
            <w:tcBorders>
              <w:top w:val="nil"/>
              <w:left w:val="nil"/>
              <w:bottom w:val="nil"/>
              <w:right w:val="single" w:sz="4" w:space="0" w:color="000000"/>
            </w:tcBorders>
            <w:shd w:val="clear" w:color="auto" w:fill="auto"/>
            <w:noWrap/>
            <w:vAlign w:val="center"/>
          </w:tcPr>
          <w:p w14:paraId="073B3945"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(14.5, 21.3)</w:t>
            </w:r>
          </w:p>
        </w:tc>
        <w:tc>
          <w:tcPr>
            <w:tcW w:w="536" w:type="dxa"/>
            <w:tcBorders>
              <w:top w:val="nil"/>
              <w:left w:val="single" w:sz="4" w:space="0" w:color="000000"/>
              <w:bottom w:val="nil"/>
              <w:right w:val="nil"/>
            </w:tcBorders>
            <w:shd w:val="clear" w:color="auto" w:fill="auto"/>
            <w:vAlign w:val="center"/>
          </w:tcPr>
          <w:p w14:paraId="0610B44F"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Pr>
                <w:color w:val="000000"/>
                <w:sz w:val="16"/>
                <w:szCs w:val="16"/>
              </w:rPr>
              <w:t>46</w:t>
            </w:r>
          </w:p>
        </w:tc>
        <w:tc>
          <w:tcPr>
            <w:tcW w:w="576" w:type="dxa"/>
            <w:tcBorders>
              <w:top w:val="nil"/>
              <w:left w:val="nil"/>
              <w:bottom w:val="nil"/>
              <w:right w:val="nil"/>
            </w:tcBorders>
            <w:shd w:val="clear" w:color="auto" w:fill="auto"/>
            <w:vAlign w:val="center"/>
          </w:tcPr>
          <w:p w14:paraId="49E1DC91"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1015" w:type="dxa"/>
            <w:tcBorders>
              <w:top w:val="nil"/>
              <w:left w:val="nil"/>
              <w:bottom w:val="nil"/>
              <w:right w:val="single" w:sz="4" w:space="0" w:color="000000"/>
            </w:tcBorders>
            <w:shd w:val="clear" w:color="auto" w:fill="auto"/>
            <w:vAlign w:val="center"/>
          </w:tcPr>
          <w:p w14:paraId="78D78468"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(10.9, 17.7)</w:t>
            </w:r>
          </w:p>
        </w:tc>
        <w:tc>
          <w:tcPr>
            <w:tcW w:w="536" w:type="dxa"/>
            <w:tcBorders>
              <w:top w:val="nil"/>
              <w:left w:val="single" w:sz="4" w:space="0" w:color="000000"/>
              <w:bottom w:val="nil"/>
              <w:right w:val="nil"/>
            </w:tcBorders>
            <w:shd w:val="clear" w:color="auto" w:fill="auto"/>
            <w:vAlign w:val="center"/>
          </w:tcPr>
          <w:p w14:paraId="7EFF92E6"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Pr>
                <w:color w:val="000000"/>
                <w:sz w:val="16"/>
                <w:szCs w:val="16"/>
              </w:rPr>
              <w:t>37</w:t>
            </w:r>
          </w:p>
        </w:tc>
        <w:tc>
          <w:tcPr>
            <w:tcW w:w="568" w:type="dxa"/>
            <w:tcBorders>
              <w:top w:val="nil"/>
              <w:left w:val="nil"/>
              <w:bottom w:val="nil"/>
              <w:right w:val="nil"/>
            </w:tcBorders>
            <w:shd w:val="clear" w:color="auto" w:fill="auto"/>
            <w:vAlign w:val="center"/>
          </w:tcPr>
          <w:p w14:paraId="2DB36AFB"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992" w:type="dxa"/>
            <w:tcBorders>
              <w:top w:val="nil"/>
              <w:left w:val="nil"/>
              <w:bottom w:val="nil"/>
              <w:right w:val="nil"/>
            </w:tcBorders>
            <w:shd w:val="clear" w:color="auto" w:fill="auto"/>
            <w:vAlign w:val="center"/>
          </w:tcPr>
          <w:p w14:paraId="571BE88A"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(9.2, 16.1)</w:t>
            </w:r>
          </w:p>
        </w:tc>
      </w:tr>
      <w:tr w:rsidR="002F04E8" w:rsidRPr="00D05AB1" w14:paraId="3748B45F" w14:textId="77777777" w:rsidTr="00046B54">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shd w:val="clear" w:color="auto" w:fill="auto"/>
          </w:tcPr>
          <w:p w14:paraId="069B80A5" w14:textId="77777777" w:rsidR="002F04E8" w:rsidRPr="00D05AB1" w:rsidRDefault="002F04E8" w:rsidP="002F04E8">
            <w:pPr>
              <w:keepNext/>
              <w:keepLines/>
              <w:spacing w:before="20" w:after="20"/>
              <w:ind w:left="34"/>
              <w:rPr>
                <w:rFonts w:eastAsiaTheme="minorEastAsia"/>
                <w:b w:val="0"/>
                <w:sz w:val="16"/>
                <w:szCs w:val="16"/>
                <w:lang w:eastAsia="en-US"/>
              </w:rPr>
            </w:pPr>
            <w:r w:rsidRPr="00D05AB1">
              <w:rPr>
                <w:rFonts w:eastAsiaTheme="minorEastAsia"/>
                <w:b w:val="0"/>
                <w:sz w:val="16"/>
                <w:szCs w:val="16"/>
                <w:lang w:eastAsia="en-US"/>
              </w:rPr>
              <w:t>Trusted person manages the money</w:t>
            </w:r>
          </w:p>
        </w:tc>
        <w:tc>
          <w:tcPr>
            <w:tcW w:w="536" w:type="dxa"/>
            <w:tcBorders>
              <w:top w:val="nil"/>
              <w:left w:val="nil"/>
              <w:bottom w:val="nil"/>
              <w:right w:val="nil"/>
            </w:tcBorders>
            <w:shd w:val="clear" w:color="auto" w:fill="auto"/>
            <w:noWrap/>
            <w:vAlign w:val="center"/>
          </w:tcPr>
          <w:p w14:paraId="16A2DC1D"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w:t>
            </w:r>
          </w:p>
        </w:tc>
        <w:tc>
          <w:tcPr>
            <w:tcW w:w="576" w:type="dxa"/>
            <w:tcBorders>
              <w:top w:val="nil"/>
              <w:left w:val="nil"/>
              <w:bottom w:val="nil"/>
              <w:right w:val="nil"/>
            </w:tcBorders>
            <w:shd w:val="clear" w:color="auto" w:fill="auto"/>
            <w:noWrap/>
            <w:vAlign w:val="center"/>
          </w:tcPr>
          <w:p w14:paraId="00E2F16C"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1015" w:type="dxa"/>
            <w:tcBorders>
              <w:top w:val="nil"/>
              <w:left w:val="nil"/>
              <w:bottom w:val="nil"/>
              <w:right w:val="single" w:sz="4" w:space="0" w:color="auto"/>
            </w:tcBorders>
            <w:shd w:val="clear" w:color="auto" w:fill="auto"/>
            <w:noWrap/>
            <w:vAlign w:val="center"/>
          </w:tcPr>
          <w:p w14:paraId="1D546825"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(0.5, 1.8)</w:t>
            </w:r>
          </w:p>
        </w:tc>
        <w:tc>
          <w:tcPr>
            <w:tcW w:w="536" w:type="dxa"/>
            <w:tcBorders>
              <w:top w:val="nil"/>
              <w:left w:val="single" w:sz="4" w:space="0" w:color="auto"/>
              <w:bottom w:val="nil"/>
              <w:right w:val="nil"/>
            </w:tcBorders>
            <w:shd w:val="clear" w:color="auto" w:fill="auto"/>
            <w:noWrap/>
            <w:vAlign w:val="center"/>
          </w:tcPr>
          <w:p w14:paraId="4A2C17DA"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w:t>
            </w:r>
          </w:p>
        </w:tc>
        <w:tc>
          <w:tcPr>
            <w:tcW w:w="576" w:type="dxa"/>
            <w:tcBorders>
              <w:top w:val="nil"/>
              <w:left w:val="nil"/>
              <w:bottom w:val="nil"/>
              <w:right w:val="nil"/>
            </w:tcBorders>
            <w:shd w:val="clear" w:color="auto" w:fill="auto"/>
            <w:noWrap/>
            <w:vAlign w:val="center"/>
          </w:tcPr>
          <w:p w14:paraId="189BE552"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w:t>
            </w:r>
          </w:p>
        </w:tc>
        <w:tc>
          <w:tcPr>
            <w:tcW w:w="1043" w:type="dxa"/>
            <w:tcBorders>
              <w:top w:val="nil"/>
              <w:left w:val="nil"/>
              <w:bottom w:val="nil"/>
              <w:right w:val="single" w:sz="4" w:space="0" w:color="000000"/>
            </w:tcBorders>
            <w:shd w:val="clear" w:color="auto" w:fill="auto"/>
            <w:noWrap/>
            <w:vAlign w:val="center"/>
          </w:tcPr>
          <w:p w14:paraId="2FB931CA"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(0.7, 3.2)</w:t>
            </w:r>
          </w:p>
        </w:tc>
        <w:tc>
          <w:tcPr>
            <w:tcW w:w="536" w:type="dxa"/>
            <w:tcBorders>
              <w:top w:val="nil"/>
              <w:left w:val="single" w:sz="4" w:space="0" w:color="000000"/>
              <w:bottom w:val="nil"/>
              <w:right w:val="nil"/>
            </w:tcBorders>
            <w:shd w:val="clear" w:color="auto" w:fill="auto"/>
            <w:vAlign w:val="center"/>
          </w:tcPr>
          <w:p w14:paraId="6EB7D24B"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w:t>
            </w:r>
          </w:p>
        </w:tc>
        <w:tc>
          <w:tcPr>
            <w:tcW w:w="576" w:type="dxa"/>
            <w:tcBorders>
              <w:top w:val="nil"/>
              <w:left w:val="nil"/>
              <w:bottom w:val="nil"/>
              <w:right w:val="nil"/>
            </w:tcBorders>
            <w:shd w:val="clear" w:color="auto" w:fill="auto"/>
            <w:vAlign w:val="center"/>
          </w:tcPr>
          <w:p w14:paraId="1D0B8521"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1015" w:type="dxa"/>
            <w:tcBorders>
              <w:top w:val="nil"/>
              <w:left w:val="nil"/>
              <w:bottom w:val="nil"/>
              <w:right w:val="single" w:sz="4" w:space="0" w:color="000000"/>
            </w:tcBorders>
            <w:shd w:val="clear" w:color="auto" w:fill="auto"/>
            <w:vAlign w:val="center"/>
          </w:tcPr>
          <w:p w14:paraId="5DFEFC75"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(0.2, 2.8)</w:t>
            </w:r>
          </w:p>
        </w:tc>
        <w:tc>
          <w:tcPr>
            <w:tcW w:w="536" w:type="dxa"/>
            <w:tcBorders>
              <w:top w:val="nil"/>
              <w:left w:val="single" w:sz="4" w:space="0" w:color="000000"/>
              <w:bottom w:val="nil"/>
              <w:right w:val="nil"/>
            </w:tcBorders>
            <w:vAlign w:val="center"/>
          </w:tcPr>
          <w:p w14:paraId="1A27FA8F"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w:t>
            </w:r>
          </w:p>
        </w:tc>
        <w:tc>
          <w:tcPr>
            <w:tcW w:w="568" w:type="dxa"/>
            <w:tcBorders>
              <w:top w:val="nil"/>
              <w:left w:val="nil"/>
              <w:bottom w:val="nil"/>
              <w:right w:val="nil"/>
            </w:tcBorders>
            <w:vAlign w:val="center"/>
          </w:tcPr>
          <w:p w14:paraId="0AC40290"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992" w:type="dxa"/>
            <w:tcBorders>
              <w:top w:val="nil"/>
              <w:left w:val="nil"/>
              <w:bottom w:val="nil"/>
              <w:right w:val="nil"/>
            </w:tcBorders>
            <w:vAlign w:val="center"/>
          </w:tcPr>
          <w:p w14:paraId="1CA31426"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(0.1, 2.9)</w:t>
            </w:r>
          </w:p>
        </w:tc>
      </w:tr>
      <w:tr w:rsidR="009118DA" w:rsidRPr="00D05AB1" w14:paraId="11E42237" w14:textId="77777777" w:rsidTr="002F04E8">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shd w:val="clear" w:color="auto" w:fill="auto"/>
          </w:tcPr>
          <w:p w14:paraId="7B3C6DAF" w14:textId="77777777" w:rsidR="002F04E8" w:rsidRPr="00D05AB1" w:rsidRDefault="002F04E8" w:rsidP="002F04E8">
            <w:pPr>
              <w:keepNext/>
              <w:keepLines/>
              <w:spacing w:before="20" w:after="20"/>
              <w:ind w:left="34"/>
              <w:rPr>
                <w:rFonts w:eastAsiaTheme="minorEastAsia"/>
                <w:b w:val="0"/>
                <w:sz w:val="16"/>
                <w:szCs w:val="16"/>
                <w:lang w:eastAsia="en-US"/>
              </w:rPr>
            </w:pPr>
            <w:r w:rsidRPr="00D05AB1">
              <w:rPr>
                <w:rFonts w:eastAsiaTheme="minorEastAsia"/>
                <w:b w:val="0"/>
                <w:sz w:val="16"/>
                <w:szCs w:val="16"/>
                <w:lang w:eastAsia="en-US"/>
              </w:rPr>
              <w:t>Separate betting money and stopping when used</w:t>
            </w:r>
          </w:p>
        </w:tc>
        <w:tc>
          <w:tcPr>
            <w:tcW w:w="536" w:type="dxa"/>
            <w:tcBorders>
              <w:top w:val="nil"/>
              <w:left w:val="nil"/>
              <w:bottom w:val="nil"/>
              <w:right w:val="nil"/>
            </w:tcBorders>
            <w:shd w:val="clear" w:color="auto" w:fill="auto"/>
            <w:noWrap/>
            <w:vAlign w:val="center"/>
          </w:tcPr>
          <w:p w14:paraId="5848D639"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76" w:type="dxa"/>
            <w:tcBorders>
              <w:top w:val="nil"/>
              <w:left w:val="nil"/>
              <w:bottom w:val="nil"/>
              <w:right w:val="nil"/>
            </w:tcBorders>
            <w:shd w:val="clear" w:color="auto" w:fill="auto"/>
            <w:noWrap/>
            <w:vAlign w:val="center"/>
          </w:tcPr>
          <w:p w14:paraId="7D4F2816"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1015" w:type="dxa"/>
            <w:tcBorders>
              <w:top w:val="nil"/>
              <w:left w:val="nil"/>
              <w:bottom w:val="nil"/>
              <w:right w:val="single" w:sz="4" w:space="0" w:color="auto"/>
            </w:tcBorders>
            <w:shd w:val="clear" w:color="auto" w:fill="auto"/>
            <w:noWrap/>
            <w:vAlign w:val="center"/>
          </w:tcPr>
          <w:p w14:paraId="60C1DCF6"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(3.0, 5.6)</w:t>
            </w:r>
          </w:p>
        </w:tc>
        <w:tc>
          <w:tcPr>
            <w:tcW w:w="536" w:type="dxa"/>
            <w:tcBorders>
              <w:top w:val="nil"/>
              <w:left w:val="single" w:sz="4" w:space="0" w:color="auto"/>
              <w:bottom w:val="nil"/>
              <w:right w:val="nil"/>
            </w:tcBorders>
            <w:shd w:val="clear" w:color="auto" w:fill="auto"/>
            <w:noWrap/>
            <w:vAlign w:val="center"/>
          </w:tcPr>
          <w:p w14:paraId="0846A4B5"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576" w:type="dxa"/>
            <w:tcBorders>
              <w:top w:val="nil"/>
              <w:left w:val="nil"/>
              <w:bottom w:val="nil"/>
              <w:right w:val="nil"/>
            </w:tcBorders>
            <w:shd w:val="clear" w:color="auto" w:fill="auto"/>
            <w:noWrap/>
            <w:vAlign w:val="center"/>
          </w:tcPr>
          <w:p w14:paraId="19297758"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1043" w:type="dxa"/>
            <w:tcBorders>
              <w:top w:val="nil"/>
              <w:left w:val="nil"/>
              <w:bottom w:val="nil"/>
              <w:right w:val="single" w:sz="4" w:space="0" w:color="000000"/>
            </w:tcBorders>
            <w:shd w:val="clear" w:color="auto" w:fill="auto"/>
            <w:noWrap/>
            <w:vAlign w:val="center"/>
          </w:tcPr>
          <w:p w14:paraId="66D4184C"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(2.8, 6.4)</w:t>
            </w:r>
          </w:p>
        </w:tc>
        <w:tc>
          <w:tcPr>
            <w:tcW w:w="536" w:type="dxa"/>
            <w:tcBorders>
              <w:top w:val="nil"/>
              <w:left w:val="single" w:sz="4" w:space="0" w:color="000000"/>
              <w:bottom w:val="nil"/>
              <w:right w:val="nil"/>
            </w:tcBorders>
            <w:shd w:val="clear" w:color="auto" w:fill="auto"/>
            <w:vAlign w:val="center"/>
          </w:tcPr>
          <w:p w14:paraId="71B517B0"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76" w:type="dxa"/>
            <w:tcBorders>
              <w:top w:val="nil"/>
              <w:left w:val="nil"/>
              <w:bottom w:val="nil"/>
              <w:right w:val="nil"/>
            </w:tcBorders>
            <w:shd w:val="clear" w:color="auto" w:fill="auto"/>
            <w:vAlign w:val="center"/>
          </w:tcPr>
          <w:p w14:paraId="4B5AB359"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1015" w:type="dxa"/>
            <w:tcBorders>
              <w:top w:val="nil"/>
              <w:left w:val="nil"/>
              <w:bottom w:val="nil"/>
              <w:right w:val="single" w:sz="4" w:space="0" w:color="000000"/>
            </w:tcBorders>
            <w:shd w:val="clear" w:color="auto" w:fill="auto"/>
            <w:vAlign w:val="center"/>
          </w:tcPr>
          <w:p w14:paraId="719F3346"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(2.2, 5.9)</w:t>
            </w:r>
          </w:p>
        </w:tc>
        <w:tc>
          <w:tcPr>
            <w:tcW w:w="536" w:type="dxa"/>
            <w:tcBorders>
              <w:top w:val="nil"/>
              <w:left w:val="single" w:sz="4" w:space="0" w:color="000000"/>
              <w:bottom w:val="nil"/>
              <w:right w:val="nil"/>
            </w:tcBorders>
            <w:shd w:val="clear" w:color="auto" w:fill="auto"/>
            <w:vAlign w:val="center"/>
          </w:tcPr>
          <w:p w14:paraId="037EEB63"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568" w:type="dxa"/>
            <w:tcBorders>
              <w:top w:val="nil"/>
              <w:left w:val="nil"/>
              <w:bottom w:val="nil"/>
              <w:right w:val="nil"/>
            </w:tcBorders>
            <w:shd w:val="clear" w:color="auto" w:fill="auto"/>
            <w:vAlign w:val="center"/>
          </w:tcPr>
          <w:p w14:paraId="3718D842"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992" w:type="dxa"/>
            <w:tcBorders>
              <w:top w:val="nil"/>
              <w:left w:val="nil"/>
              <w:bottom w:val="nil"/>
              <w:right w:val="nil"/>
            </w:tcBorders>
            <w:shd w:val="clear" w:color="auto" w:fill="auto"/>
            <w:vAlign w:val="center"/>
          </w:tcPr>
          <w:p w14:paraId="4F2D24A8"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(0.1, 9.5)</w:t>
            </w:r>
          </w:p>
        </w:tc>
      </w:tr>
      <w:tr w:rsidR="009118DA" w:rsidRPr="00D05AB1" w14:paraId="4F05FA94" w14:textId="77777777" w:rsidTr="00046B54">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tcPr>
          <w:p w14:paraId="78016202" w14:textId="77777777" w:rsidR="002F04E8" w:rsidRPr="00D05AB1" w:rsidRDefault="002F04E8" w:rsidP="002F04E8">
            <w:pPr>
              <w:keepNext/>
              <w:keepLines/>
              <w:spacing w:before="20" w:after="20"/>
              <w:ind w:left="34"/>
              <w:rPr>
                <w:rFonts w:eastAsiaTheme="minorEastAsia"/>
                <w:b w:val="0"/>
                <w:sz w:val="16"/>
                <w:szCs w:val="16"/>
                <w:lang w:eastAsia="en-US"/>
              </w:rPr>
            </w:pPr>
            <w:r w:rsidRPr="00D05AB1">
              <w:rPr>
                <w:rFonts w:eastAsiaTheme="minorEastAsia"/>
                <w:b w:val="0"/>
                <w:sz w:val="16"/>
                <w:szCs w:val="16"/>
                <w:lang w:eastAsia="en-US"/>
              </w:rPr>
              <w:t>Leave ATM/credit cards at home</w:t>
            </w:r>
          </w:p>
        </w:tc>
        <w:tc>
          <w:tcPr>
            <w:tcW w:w="536" w:type="dxa"/>
            <w:tcBorders>
              <w:top w:val="nil"/>
              <w:left w:val="nil"/>
              <w:bottom w:val="nil"/>
              <w:right w:val="nil"/>
            </w:tcBorders>
            <w:noWrap/>
            <w:vAlign w:val="center"/>
          </w:tcPr>
          <w:p w14:paraId="6819D23F"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76" w:type="dxa"/>
            <w:tcBorders>
              <w:top w:val="nil"/>
              <w:left w:val="nil"/>
              <w:bottom w:val="nil"/>
              <w:right w:val="nil"/>
            </w:tcBorders>
            <w:noWrap/>
            <w:vAlign w:val="center"/>
          </w:tcPr>
          <w:p w14:paraId="41A3ADE7"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1015" w:type="dxa"/>
            <w:tcBorders>
              <w:top w:val="nil"/>
              <w:left w:val="nil"/>
              <w:bottom w:val="nil"/>
              <w:right w:val="single" w:sz="4" w:space="0" w:color="auto"/>
            </w:tcBorders>
            <w:noWrap/>
            <w:vAlign w:val="center"/>
          </w:tcPr>
          <w:p w14:paraId="3F5349CA"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(1.4, 3.3)</w:t>
            </w:r>
          </w:p>
        </w:tc>
        <w:tc>
          <w:tcPr>
            <w:tcW w:w="536" w:type="dxa"/>
            <w:tcBorders>
              <w:top w:val="nil"/>
              <w:left w:val="single" w:sz="4" w:space="0" w:color="auto"/>
              <w:bottom w:val="nil"/>
              <w:right w:val="nil"/>
            </w:tcBorders>
            <w:noWrap/>
            <w:vAlign w:val="center"/>
          </w:tcPr>
          <w:p w14:paraId="7942A02C"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576" w:type="dxa"/>
            <w:tcBorders>
              <w:top w:val="nil"/>
              <w:left w:val="nil"/>
              <w:bottom w:val="nil"/>
              <w:right w:val="nil"/>
            </w:tcBorders>
            <w:noWrap/>
            <w:vAlign w:val="center"/>
          </w:tcPr>
          <w:p w14:paraId="0C07B75E"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1043" w:type="dxa"/>
            <w:tcBorders>
              <w:top w:val="nil"/>
              <w:left w:val="nil"/>
              <w:bottom w:val="nil"/>
              <w:right w:val="single" w:sz="4" w:space="0" w:color="000000"/>
            </w:tcBorders>
            <w:shd w:val="clear" w:color="auto" w:fill="FFFFFF" w:themeFill="background1"/>
            <w:noWrap/>
            <w:vAlign w:val="center"/>
          </w:tcPr>
          <w:p w14:paraId="1F123C89"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(1.5, 4.8)</w:t>
            </w:r>
          </w:p>
        </w:tc>
        <w:tc>
          <w:tcPr>
            <w:tcW w:w="536" w:type="dxa"/>
            <w:tcBorders>
              <w:top w:val="nil"/>
              <w:left w:val="single" w:sz="4" w:space="0" w:color="000000"/>
              <w:bottom w:val="nil"/>
              <w:right w:val="nil"/>
            </w:tcBorders>
            <w:shd w:val="clear" w:color="auto" w:fill="FFFFFF" w:themeFill="background1"/>
            <w:vAlign w:val="center"/>
          </w:tcPr>
          <w:p w14:paraId="19A90DC4"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w:t>
            </w:r>
          </w:p>
        </w:tc>
        <w:tc>
          <w:tcPr>
            <w:tcW w:w="576" w:type="dxa"/>
            <w:tcBorders>
              <w:top w:val="nil"/>
              <w:left w:val="nil"/>
              <w:bottom w:val="nil"/>
              <w:right w:val="nil"/>
            </w:tcBorders>
            <w:shd w:val="clear" w:color="auto" w:fill="FFFFFF" w:themeFill="background1"/>
            <w:vAlign w:val="center"/>
          </w:tcPr>
          <w:p w14:paraId="0581E250"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1015" w:type="dxa"/>
            <w:tcBorders>
              <w:top w:val="nil"/>
              <w:left w:val="nil"/>
              <w:bottom w:val="nil"/>
              <w:right w:val="single" w:sz="4" w:space="0" w:color="000000"/>
            </w:tcBorders>
            <w:shd w:val="clear" w:color="auto" w:fill="FFFFFF" w:themeFill="background1"/>
            <w:vAlign w:val="center"/>
          </w:tcPr>
          <w:p w14:paraId="62D3BCD3"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(0.8, 4.4)</w:t>
            </w:r>
          </w:p>
        </w:tc>
        <w:tc>
          <w:tcPr>
            <w:tcW w:w="536" w:type="dxa"/>
            <w:tcBorders>
              <w:top w:val="nil"/>
              <w:left w:val="single" w:sz="4" w:space="0" w:color="000000"/>
              <w:bottom w:val="nil"/>
              <w:right w:val="nil"/>
            </w:tcBorders>
            <w:shd w:val="clear" w:color="auto" w:fill="FFFFFF" w:themeFill="background1"/>
            <w:vAlign w:val="center"/>
          </w:tcPr>
          <w:p w14:paraId="6FFFD978"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w:t>
            </w:r>
          </w:p>
        </w:tc>
        <w:tc>
          <w:tcPr>
            <w:tcW w:w="568" w:type="dxa"/>
            <w:tcBorders>
              <w:top w:val="nil"/>
              <w:left w:val="nil"/>
              <w:bottom w:val="nil"/>
              <w:right w:val="nil"/>
            </w:tcBorders>
            <w:shd w:val="clear" w:color="auto" w:fill="FFFFFF" w:themeFill="background1"/>
            <w:vAlign w:val="center"/>
          </w:tcPr>
          <w:p w14:paraId="4546C33C"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992" w:type="dxa"/>
            <w:tcBorders>
              <w:top w:val="nil"/>
              <w:left w:val="nil"/>
              <w:bottom w:val="nil"/>
              <w:right w:val="nil"/>
            </w:tcBorders>
            <w:shd w:val="clear" w:color="auto" w:fill="FFFFFF" w:themeFill="background1"/>
            <w:vAlign w:val="center"/>
          </w:tcPr>
          <w:p w14:paraId="46BCAB57"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(0.1, 2.0)</w:t>
            </w:r>
          </w:p>
        </w:tc>
      </w:tr>
      <w:tr w:rsidR="009118DA" w:rsidRPr="00D05AB1" w14:paraId="4ED435AD" w14:textId="77777777" w:rsidTr="00046B54">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tcPr>
          <w:p w14:paraId="336ACEAB" w14:textId="77777777" w:rsidR="002F04E8" w:rsidRPr="00D05AB1" w:rsidRDefault="002F04E8" w:rsidP="002F04E8">
            <w:pPr>
              <w:keepNext/>
              <w:keepLines/>
              <w:spacing w:before="20" w:after="20"/>
              <w:ind w:left="34"/>
              <w:rPr>
                <w:rFonts w:eastAsiaTheme="minorEastAsia"/>
                <w:b w:val="0"/>
                <w:sz w:val="16"/>
                <w:szCs w:val="16"/>
                <w:lang w:eastAsia="en-US"/>
              </w:rPr>
            </w:pPr>
            <w:r w:rsidRPr="00D05AB1">
              <w:rPr>
                <w:rFonts w:eastAsiaTheme="minorEastAsia"/>
                <w:b w:val="0"/>
                <w:sz w:val="16"/>
                <w:szCs w:val="16"/>
                <w:lang w:eastAsia="en-US"/>
              </w:rPr>
              <w:t>Set a time limit</w:t>
            </w:r>
          </w:p>
        </w:tc>
        <w:tc>
          <w:tcPr>
            <w:tcW w:w="536" w:type="dxa"/>
            <w:tcBorders>
              <w:top w:val="nil"/>
              <w:left w:val="nil"/>
              <w:bottom w:val="nil"/>
              <w:right w:val="nil"/>
            </w:tcBorders>
            <w:noWrap/>
            <w:vAlign w:val="center"/>
          </w:tcPr>
          <w:p w14:paraId="238733DD"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576" w:type="dxa"/>
            <w:tcBorders>
              <w:top w:val="nil"/>
              <w:left w:val="nil"/>
              <w:bottom w:val="nil"/>
              <w:right w:val="nil"/>
            </w:tcBorders>
            <w:noWrap/>
            <w:vAlign w:val="center"/>
          </w:tcPr>
          <w:p w14:paraId="14DD728A"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1015" w:type="dxa"/>
            <w:tcBorders>
              <w:top w:val="nil"/>
              <w:left w:val="nil"/>
              <w:bottom w:val="nil"/>
              <w:right w:val="single" w:sz="4" w:space="0" w:color="auto"/>
            </w:tcBorders>
            <w:noWrap/>
            <w:vAlign w:val="center"/>
          </w:tcPr>
          <w:p w14:paraId="0E7FD607"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(2.0, 4.5)</w:t>
            </w:r>
          </w:p>
        </w:tc>
        <w:tc>
          <w:tcPr>
            <w:tcW w:w="536" w:type="dxa"/>
            <w:tcBorders>
              <w:top w:val="nil"/>
              <w:left w:val="single" w:sz="4" w:space="0" w:color="auto"/>
              <w:bottom w:val="nil"/>
              <w:right w:val="nil"/>
            </w:tcBorders>
            <w:noWrap/>
            <w:vAlign w:val="center"/>
          </w:tcPr>
          <w:p w14:paraId="59427F5E"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576" w:type="dxa"/>
            <w:tcBorders>
              <w:top w:val="nil"/>
              <w:left w:val="nil"/>
              <w:bottom w:val="nil"/>
              <w:right w:val="nil"/>
            </w:tcBorders>
            <w:noWrap/>
            <w:vAlign w:val="center"/>
          </w:tcPr>
          <w:p w14:paraId="671D1529"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1043" w:type="dxa"/>
            <w:tcBorders>
              <w:top w:val="nil"/>
              <w:left w:val="nil"/>
              <w:bottom w:val="nil"/>
              <w:right w:val="single" w:sz="4" w:space="0" w:color="000000"/>
            </w:tcBorders>
            <w:shd w:val="clear" w:color="auto" w:fill="FFFFFF" w:themeFill="background1"/>
            <w:noWrap/>
            <w:vAlign w:val="center"/>
          </w:tcPr>
          <w:p w14:paraId="61C1A1D4"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(1.1, 4.1)</w:t>
            </w:r>
          </w:p>
        </w:tc>
        <w:tc>
          <w:tcPr>
            <w:tcW w:w="536" w:type="dxa"/>
            <w:tcBorders>
              <w:top w:val="nil"/>
              <w:left w:val="single" w:sz="4" w:space="0" w:color="000000"/>
              <w:bottom w:val="nil"/>
              <w:right w:val="nil"/>
            </w:tcBorders>
            <w:shd w:val="clear" w:color="auto" w:fill="FFFFFF" w:themeFill="background1"/>
            <w:vAlign w:val="center"/>
          </w:tcPr>
          <w:p w14:paraId="5C6A3D59"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w:t>
            </w:r>
          </w:p>
        </w:tc>
        <w:tc>
          <w:tcPr>
            <w:tcW w:w="576" w:type="dxa"/>
            <w:tcBorders>
              <w:top w:val="nil"/>
              <w:left w:val="nil"/>
              <w:bottom w:val="nil"/>
              <w:right w:val="nil"/>
            </w:tcBorders>
            <w:shd w:val="clear" w:color="auto" w:fill="FFFFFF" w:themeFill="background1"/>
            <w:vAlign w:val="center"/>
          </w:tcPr>
          <w:p w14:paraId="72C0586B"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1015" w:type="dxa"/>
            <w:tcBorders>
              <w:top w:val="nil"/>
              <w:left w:val="nil"/>
              <w:bottom w:val="nil"/>
              <w:right w:val="single" w:sz="4" w:space="0" w:color="000000"/>
            </w:tcBorders>
            <w:shd w:val="clear" w:color="auto" w:fill="FFFFFF" w:themeFill="background1"/>
            <w:vAlign w:val="center"/>
          </w:tcPr>
          <w:p w14:paraId="580CFFF3"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(1.0, 4.2)</w:t>
            </w:r>
          </w:p>
        </w:tc>
        <w:tc>
          <w:tcPr>
            <w:tcW w:w="536" w:type="dxa"/>
            <w:tcBorders>
              <w:top w:val="nil"/>
              <w:left w:val="single" w:sz="4" w:space="0" w:color="000000"/>
              <w:bottom w:val="nil"/>
              <w:right w:val="nil"/>
            </w:tcBorders>
            <w:shd w:val="clear" w:color="auto" w:fill="FFFFFF" w:themeFill="background1"/>
            <w:vAlign w:val="center"/>
          </w:tcPr>
          <w:p w14:paraId="05C3E985"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w:t>
            </w:r>
          </w:p>
        </w:tc>
        <w:tc>
          <w:tcPr>
            <w:tcW w:w="568" w:type="dxa"/>
            <w:tcBorders>
              <w:top w:val="nil"/>
              <w:left w:val="nil"/>
              <w:bottom w:val="nil"/>
              <w:right w:val="nil"/>
            </w:tcBorders>
            <w:shd w:val="clear" w:color="auto" w:fill="FFFFFF" w:themeFill="background1"/>
            <w:vAlign w:val="center"/>
          </w:tcPr>
          <w:p w14:paraId="47E2376F"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992" w:type="dxa"/>
            <w:tcBorders>
              <w:top w:val="nil"/>
              <w:left w:val="nil"/>
              <w:bottom w:val="nil"/>
              <w:right w:val="nil"/>
            </w:tcBorders>
            <w:shd w:val="clear" w:color="auto" w:fill="FFFFFF" w:themeFill="background1"/>
            <w:vAlign w:val="center"/>
          </w:tcPr>
          <w:p w14:paraId="4C7565EE"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(0.3, 3.0)</w:t>
            </w:r>
          </w:p>
        </w:tc>
      </w:tr>
      <w:tr w:rsidR="009118DA" w:rsidRPr="00D05AB1" w14:paraId="5F01E3E7" w14:textId="77777777" w:rsidTr="00046B54">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tcPr>
          <w:p w14:paraId="3E1BFC00" w14:textId="77777777" w:rsidR="002F04E8" w:rsidRPr="00D05AB1" w:rsidRDefault="002F04E8" w:rsidP="002F04E8">
            <w:pPr>
              <w:spacing w:before="20" w:after="20"/>
              <w:ind w:left="34"/>
              <w:rPr>
                <w:rFonts w:eastAsiaTheme="minorEastAsia"/>
                <w:b w:val="0"/>
                <w:sz w:val="16"/>
                <w:szCs w:val="16"/>
                <w:lang w:eastAsia="en-US"/>
              </w:rPr>
            </w:pPr>
            <w:r w:rsidRPr="00D05AB1">
              <w:rPr>
                <w:rFonts w:eastAsiaTheme="minorEastAsia"/>
                <w:b w:val="0"/>
                <w:sz w:val="16"/>
                <w:szCs w:val="16"/>
                <w:lang w:eastAsia="en-US"/>
              </w:rPr>
              <w:t>Avoid betting/</w:t>
            </w:r>
            <w:r>
              <w:rPr>
                <w:rFonts w:eastAsiaTheme="minorEastAsia"/>
                <w:b w:val="0"/>
                <w:sz w:val="16"/>
                <w:szCs w:val="16"/>
                <w:lang w:eastAsia="en-US"/>
              </w:rPr>
              <w:t xml:space="preserve"> </w:t>
            </w:r>
            <w:r w:rsidRPr="00D05AB1">
              <w:rPr>
                <w:rFonts w:eastAsiaTheme="minorEastAsia"/>
                <w:b w:val="0"/>
                <w:sz w:val="16"/>
                <w:szCs w:val="16"/>
                <w:lang w:eastAsia="en-US"/>
              </w:rPr>
              <w:t>gambling places</w:t>
            </w:r>
          </w:p>
        </w:tc>
        <w:tc>
          <w:tcPr>
            <w:tcW w:w="536" w:type="dxa"/>
            <w:tcBorders>
              <w:top w:val="nil"/>
              <w:left w:val="nil"/>
              <w:bottom w:val="nil"/>
              <w:right w:val="nil"/>
            </w:tcBorders>
            <w:noWrap/>
            <w:vAlign w:val="center"/>
          </w:tcPr>
          <w:p w14:paraId="529F50C9"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76" w:type="dxa"/>
            <w:tcBorders>
              <w:top w:val="nil"/>
              <w:left w:val="nil"/>
              <w:bottom w:val="nil"/>
              <w:right w:val="nil"/>
            </w:tcBorders>
            <w:noWrap/>
            <w:vAlign w:val="center"/>
          </w:tcPr>
          <w:p w14:paraId="44EAFF1E"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1015" w:type="dxa"/>
            <w:tcBorders>
              <w:top w:val="nil"/>
              <w:left w:val="nil"/>
              <w:bottom w:val="nil"/>
              <w:right w:val="single" w:sz="4" w:space="0" w:color="auto"/>
            </w:tcBorders>
            <w:noWrap/>
            <w:vAlign w:val="center"/>
          </w:tcPr>
          <w:p w14:paraId="064A0269"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(1.7, 3.5)</w:t>
            </w:r>
          </w:p>
        </w:tc>
        <w:tc>
          <w:tcPr>
            <w:tcW w:w="536" w:type="dxa"/>
            <w:tcBorders>
              <w:top w:val="nil"/>
              <w:left w:val="single" w:sz="4" w:space="0" w:color="auto"/>
              <w:bottom w:val="nil"/>
              <w:right w:val="nil"/>
            </w:tcBorders>
            <w:noWrap/>
            <w:vAlign w:val="center"/>
          </w:tcPr>
          <w:p w14:paraId="604B27D2"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76" w:type="dxa"/>
            <w:tcBorders>
              <w:top w:val="nil"/>
              <w:left w:val="nil"/>
              <w:bottom w:val="nil"/>
              <w:right w:val="nil"/>
            </w:tcBorders>
            <w:noWrap/>
            <w:vAlign w:val="center"/>
          </w:tcPr>
          <w:p w14:paraId="3E438D8A"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1043" w:type="dxa"/>
            <w:tcBorders>
              <w:top w:val="nil"/>
              <w:left w:val="nil"/>
              <w:bottom w:val="nil"/>
              <w:right w:val="single" w:sz="4" w:space="0" w:color="000000"/>
            </w:tcBorders>
            <w:shd w:val="clear" w:color="auto" w:fill="FFFFFF" w:themeFill="background1"/>
            <w:noWrap/>
            <w:vAlign w:val="center"/>
          </w:tcPr>
          <w:p w14:paraId="4099B057"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(2.3, 5.7)</w:t>
            </w:r>
          </w:p>
        </w:tc>
        <w:tc>
          <w:tcPr>
            <w:tcW w:w="536" w:type="dxa"/>
            <w:tcBorders>
              <w:top w:val="nil"/>
              <w:left w:val="single" w:sz="4" w:space="0" w:color="000000"/>
              <w:bottom w:val="nil"/>
              <w:right w:val="nil"/>
            </w:tcBorders>
            <w:shd w:val="clear" w:color="auto" w:fill="FFFFFF" w:themeFill="background1"/>
            <w:vAlign w:val="center"/>
          </w:tcPr>
          <w:p w14:paraId="630EBED6"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w:t>
            </w:r>
          </w:p>
        </w:tc>
        <w:tc>
          <w:tcPr>
            <w:tcW w:w="576" w:type="dxa"/>
            <w:tcBorders>
              <w:top w:val="nil"/>
              <w:left w:val="nil"/>
              <w:bottom w:val="nil"/>
              <w:right w:val="nil"/>
            </w:tcBorders>
            <w:shd w:val="clear" w:color="auto" w:fill="FFFFFF" w:themeFill="background1"/>
            <w:vAlign w:val="center"/>
          </w:tcPr>
          <w:p w14:paraId="47BC11A6"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1015" w:type="dxa"/>
            <w:tcBorders>
              <w:top w:val="nil"/>
              <w:left w:val="nil"/>
              <w:bottom w:val="nil"/>
              <w:right w:val="single" w:sz="4" w:space="0" w:color="000000"/>
            </w:tcBorders>
            <w:shd w:val="clear" w:color="auto" w:fill="FFFFFF" w:themeFill="background1"/>
            <w:vAlign w:val="center"/>
          </w:tcPr>
          <w:p w14:paraId="14FDFB74"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(0.7, 2.8)</w:t>
            </w:r>
          </w:p>
        </w:tc>
        <w:tc>
          <w:tcPr>
            <w:tcW w:w="536" w:type="dxa"/>
            <w:tcBorders>
              <w:top w:val="nil"/>
              <w:left w:val="single" w:sz="4" w:space="0" w:color="000000"/>
              <w:bottom w:val="nil"/>
              <w:right w:val="nil"/>
            </w:tcBorders>
            <w:shd w:val="clear" w:color="auto" w:fill="FFFFFF" w:themeFill="background1"/>
            <w:vAlign w:val="center"/>
          </w:tcPr>
          <w:p w14:paraId="6EA44510"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w:t>
            </w:r>
          </w:p>
        </w:tc>
        <w:tc>
          <w:tcPr>
            <w:tcW w:w="568" w:type="dxa"/>
            <w:tcBorders>
              <w:top w:val="nil"/>
              <w:left w:val="nil"/>
              <w:bottom w:val="nil"/>
              <w:right w:val="nil"/>
            </w:tcBorders>
            <w:shd w:val="clear" w:color="auto" w:fill="FFFFFF" w:themeFill="background1"/>
            <w:vAlign w:val="center"/>
          </w:tcPr>
          <w:p w14:paraId="2EFA724C"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992" w:type="dxa"/>
            <w:tcBorders>
              <w:top w:val="nil"/>
              <w:left w:val="nil"/>
              <w:bottom w:val="nil"/>
              <w:right w:val="nil"/>
            </w:tcBorders>
            <w:shd w:val="clear" w:color="auto" w:fill="FFFFFF" w:themeFill="background1"/>
            <w:vAlign w:val="center"/>
          </w:tcPr>
          <w:p w14:paraId="58FF8E45"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(0.2, 2.7)</w:t>
            </w:r>
          </w:p>
        </w:tc>
      </w:tr>
      <w:tr w:rsidR="002F04E8" w:rsidRPr="00D05AB1" w14:paraId="28BA3B93" w14:textId="77777777" w:rsidTr="00046B54">
        <w:tc>
          <w:tcPr>
            <w:cnfStyle w:val="001000000000" w:firstRow="0" w:lastRow="0" w:firstColumn="1" w:lastColumn="0" w:oddVBand="0" w:evenVBand="0" w:oddHBand="0" w:evenHBand="0" w:firstRowFirstColumn="0" w:firstRowLastColumn="0" w:lastRowFirstColumn="0" w:lastRowLastColumn="0"/>
            <w:tcW w:w="3687" w:type="dxa"/>
            <w:gridSpan w:val="4"/>
            <w:tcBorders>
              <w:top w:val="nil"/>
              <w:left w:val="nil"/>
              <w:bottom w:val="nil"/>
              <w:right w:val="single" w:sz="4" w:space="0" w:color="auto"/>
            </w:tcBorders>
          </w:tcPr>
          <w:p w14:paraId="6690F1E7" w14:textId="77777777" w:rsidR="002F04E8" w:rsidRPr="00D05AB1" w:rsidRDefault="002F04E8" w:rsidP="00046B54">
            <w:pPr>
              <w:spacing w:before="20" w:after="20"/>
              <w:ind w:left="-108"/>
              <w:rPr>
                <w:rFonts w:eastAsiaTheme="minorEastAsia"/>
                <w:sz w:val="16"/>
                <w:szCs w:val="16"/>
                <w:lang w:eastAsia="en-US"/>
              </w:rPr>
            </w:pPr>
            <w:r w:rsidRPr="00D05AB1">
              <w:rPr>
                <w:rFonts w:eastAsiaTheme="minorEastAsia"/>
                <w:sz w:val="16"/>
                <w:szCs w:val="16"/>
                <w:lang w:eastAsia="en-US"/>
              </w:rPr>
              <w:t>Sought help in past year</w:t>
            </w:r>
          </w:p>
        </w:tc>
        <w:tc>
          <w:tcPr>
            <w:tcW w:w="536" w:type="dxa"/>
            <w:tcBorders>
              <w:top w:val="nil"/>
              <w:left w:val="single" w:sz="4" w:space="0" w:color="auto"/>
              <w:bottom w:val="nil"/>
              <w:right w:val="nil"/>
            </w:tcBorders>
            <w:noWrap/>
            <w:vAlign w:val="center"/>
          </w:tcPr>
          <w:p w14:paraId="619D14B7" w14:textId="77777777" w:rsidR="002F04E8" w:rsidRPr="00D05AB1" w:rsidRDefault="002F04E8" w:rsidP="00046B5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76" w:type="dxa"/>
            <w:tcBorders>
              <w:top w:val="nil"/>
              <w:left w:val="nil"/>
              <w:bottom w:val="nil"/>
              <w:right w:val="nil"/>
            </w:tcBorders>
            <w:noWrap/>
            <w:vAlign w:val="center"/>
          </w:tcPr>
          <w:p w14:paraId="62309C9A" w14:textId="77777777" w:rsidR="002F04E8" w:rsidRPr="00D05AB1" w:rsidRDefault="002F04E8" w:rsidP="00046B5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000000"/>
            </w:tcBorders>
            <w:shd w:val="clear" w:color="auto" w:fill="FFFFFF" w:themeFill="background1"/>
            <w:noWrap/>
            <w:vAlign w:val="center"/>
          </w:tcPr>
          <w:p w14:paraId="7DF49DE7" w14:textId="77777777" w:rsidR="002F04E8" w:rsidRPr="00D05AB1" w:rsidRDefault="002F04E8" w:rsidP="00046B5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36" w:type="dxa"/>
            <w:tcBorders>
              <w:top w:val="nil"/>
              <w:left w:val="single" w:sz="4" w:space="0" w:color="000000"/>
              <w:bottom w:val="nil"/>
              <w:right w:val="nil"/>
            </w:tcBorders>
          </w:tcPr>
          <w:p w14:paraId="2C5A9E94" w14:textId="77777777" w:rsidR="002F04E8" w:rsidRPr="00D05AB1" w:rsidRDefault="002F04E8" w:rsidP="00046B5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76" w:type="dxa"/>
            <w:tcBorders>
              <w:top w:val="nil"/>
              <w:left w:val="nil"/>
              <w:bottom w:val="nil"/>
              <w:right w:val="nil"/>
            </w:tcBorders>
          </w:tcPr>
          <w:p w14:paraId="2B8270C1" w14:textId="77777777" w:rsidR="002F04E8" w:rsidRPr="00D05AB1" w:rsidRDefault="002F04E8" w:rsidP="00046B5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15" w:type="dxa"/>
            <w:tcBorders>
              <w:top w:val="nil"/>
              <w:left w:val="nil"/>
              <w:bottom w:val="nil"/>
              <w:right w:val="single" w:sz="4" w:space="0" w:color="000000"/>
            </w:tcBorders>
          </w:tcPr>
          <w:p w14:paraId="462C5F8C" w14:textId="77777777" w:rsidR="002F04E8" w:rsidRPr="00D05AB1" w:rsidRDefault="002F04E8" w:rsidP="00046B5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36" w:type="dxa"/>
            <w:tcBorders>
              <w:top w:val="nil"/>
              <w:left w:val="single" w:sz="4" w:space="0" w:color="000000"/>
              <w:bottom w:val="nil"/>
              <w:right w:val="nil"/>
            </w:tcBorders>
          </w:tcPr>
          <w:p w14:paraId="2F5A69FB" w14:textId="77777777" w:rsidR="002F04E8" w:rsidRPr="00A3143A" w:rsidRDefault="002F04E8" w:rsidP="00046B5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8" w:type="dxa"/>
            <w:tcBorders>
              <w:top w:val="nil"/>
              <w:left w:val="nil"/>
              <w:bottom w:val="nil"/>
              <w:right w:val="nil"/>
            </w:tcBorders>
          </w:tcPr>
          <w:p w14:paraId="3AA0A025" w14:textId="77777777" w:rsidR="002F04E8" w:rsidRPr="00A3143A" w:rsidRDefault="002F04E8" w:rsidP="00046B5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992" w:type="dxa"/>
            <w:tcBorders>
              <w:top w:val="nil"/>
              <w:left w:val="nil"/>
              <w:bottom w:val="nil"/>
              <w:right w:val="nil"/>
            </w:tcBorders>
          </w:tcPr>
          <w:p w14:paraId="3F2C7CBD" w14:textId="77777777" w:rsidR="002F04E8" w:rsidRPr="00A3143A" w:rsidRDefault="002F04E8" w:rsidP="00046B5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r>
      <w:tr w:rsidR="002F04E8" w:rsidRPr="00D05AB1" w14:paraId="5E2E60ED" w14:textId="77777777" w:rsidTr="00046B54">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shd w:val="clear" w:color="auto" w:fill="auto"/>
          </w:tcPr>
          <w:p w14:paraId="0B8C32DF" w14:textId="77777777" w:rsidR="002F04E8" w:rsidRPr="00D05AB1" w:rsidRDefault="002F04E8" w:rsidP="002F04E8">
            <w:pPr>
              <w:spacing w:before="20" w:after="20"/>
              <w:ind w:left="34"/>
              <w:rPr>
                <w:rFonts w:eastAsiaTheme="minorEastAsia"/>
                <w:b w:val="0"/>
                <w:sz w:val="16"/>
                <w:szCs w:val="16"/>
                <w:lang w:eastAsia="en-US"/>
              </w:rPr>
            </w:pPr>
            <w:r>
              <w:rPr>
                <w:rFonts w:eastAsiaTheme="minorEastAsia"/>
                <w:b w:val="0"/>
                <w:sz w:val="16"/>
                <w:szCs w:val="16"/>
                <w:lang w:eastAsia="en-US"/>
              </w:rPr>
              <w:t>Gambling treatment /</w:t>
            </w:r>
            <w:r w:rsidRPr="00D05AB1">
              <w:rPr>
                <w:rFonts w:eastAsiaTheme="minorEastAsia"/>
                <w:b w:val="0"/>
                <w:sz w:val="16"/>
                <w:szCs w:val="16"/>
                <w:lang w:eastAsia="en-US"/>
              </w:rPr>
              <w:t xml:space="preserve"> informal sources</w:t>
            </w:r>
          </w:p>
        </w:tc>
        <w:tc>
          <w:tcPr>
            <w:tcW w:w="536" w:type="dxa"/>
            <w:tcBorders>
              <w:top w:val="nil"/>
              <w:left w:val="nil"/>
              <w:bottom w:val="nil"/>
              <w:right w:val="nil"/>
            </w:tcBorders>
            <w:shd w:val="clear" w:color="auto" w:fill="auto"/>
            <w:noWrap/>
            <w:vAlign w:val="center"/>
          </w:tcPr>
          <w:p w14:paraId="1C885EE5"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w:t>
            </w:r>
          </w:p>
        </w:tc>
        <w:tc>
          <w:tcPr>
            <w:tcW w:w="576" w:type="dxa"/>
            <w:tcBorders>
              <w:top w:val="nil"/>
              <w:left w:val="nil"/>
              <w:bottom w:val="nil"/>
              <w:right w:val="nil"/>
            </w:tcBorders>
            <w:shd w:val="clear" w:color="auto" w:fill="auto"/>
            <w:noWrap/>
            <w:vAlign w:val="center"/>
          </w:tcPr>
          <w:p w14:paraId="36AD2E6A"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w:t>
            </w:r>
          </w:p>
        </w:tc>
        <w:tc>
          <w:tcPr>
            <w:tcW w:w="1015" w:type="dxa"/>
            <w:tcBorders>
              <w:top w:val="nil"/>
              <w:left w:val="nil"/>
              <w:bottom w:val="nil"/>
              <w:right w:val="single" w:sz="4" w:space="0" w:color="auto"/>
            </w:tcBorders>
            <w:shd w:val="clear" w:color="auto" w:fill="auto"/>
            <w:noWrap/>
            <w:vAlign w:val="center"/>
          </w:tcPr>
          <w:p w14:paraId="2CDA6D54"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(0.3, 1.9)</w:t>
            </w:r>
          </w:p>
        </w:tc>
        <w:tc>
          <w:tcPr>
            <w:tcW w:w="536" w:type="dxa"/>
            <w:tcBorders>
              <w:top w:val="nil"/>
              <w:left w:val="single" w:sz="4" w:space="0" w:color="auto"/>
              <w:bottom w:val="nil"/>
              <w:right w:val="nil"/>
            </w:tcBorders>
            <w:shd w:val="clear" w:color="auto" w:fill="auto"/>
            <w:noWrap/>
            <w:vAlign w:val="center"/>
          </w:tcPr>
          <w:p w14:paraId="52A0FAAB"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w:t>
            </w:r>
          </w:p>
        </w:tc>
        <w:tc>
          <w:tcPr>
            <w:tcW w:w="576" w:type="dxa"/>
            <w:tcBorders>
              <w:top w:val="nil"/>
              <w:left w:val="nil"/>
              <w:bottom w:val="nil"/>
              <w:right w:val="nil"/>
            </w:tcBorders>
            <w:shd w:val="clear" w:color="auto" w:fill="auto"/>
            <w:noWrap/>
            <w:vAlign w:val="center"/>
          </w:tcPr>
          <w:p w14:paraId="04BD5315"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1043" w:type="dxa"/>
            <w:tcBorders>
              <w:top w:val="nil"/>
              <w:left w:val="nil"/>
              <w:bottom w:val="nil"/>
              <w:right w:val="single" w:sz="4" w:space="0" w:color="000000"/>
            </w:tcBorders>
            <w:shd w:val="clear" w:color="auto" w:fill="auto"/>
            <w:noWrap/>
            <w:vAlign w:val="center"/>
          </w:tcPr>
          <w:p w14:paraId="6E2901C0"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(0.3, 2.4)</w:t>
            </w:r>
          </w:p>
        </w:tc>
        <w:tc>
          <w:tcPr>
            <w:tcW w:w="536" w:type="dxa"/>
            <w:tcBorders>
              <w:top w:val="nil"/>
              <w:left w:val="single" w:sz="4" w:space="0" w:color="000000"/>
              <w:bottom w:val="nil"/>
              <w:right w:val="nil"/>
            </w:tcBorders>
            <w:shd w:val="clear" w:color="auto" w:fill="auto"/>
            <w:vAlign w:val="center"/>
          </w:tcPr>
          <w:p w14:paraId="36351AA3"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w:t>
            </w:r>
          </w:p>
        </w:tc>
        <w:tc>
          <w:tcPr>
            <w:tcW w:w="576" w:type="dxa"/>
            <w:tcBorders>
              <w:top w:val="nil"/>
              <w:left w:val="nil"/>
              <w:bottom w:val="nil"/>
              <w:right w:val="nil"/>
            </w:tcBorders>
            <w:shd w:val="clear" w:color="auto" w:fill="auto"/>
            <w:vAlign w:val="center"/>
          </w:tcPr>
          <w:p w14:paraId="2E4BAAAB"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1015" w:type="dxa"/>
            <w:tcBorders>
              <w:top w:val="nil"/>
              <w:left w:val="nil"/>
              <w:bottom w:val="nil"/>
              <w:right w:val="single" w:sz="4" w:space="0" w:color="000000"/>
            </w:tcBorders>
            <w:shd w:val="clear" w:color="auto" w:fill="auto"/>
            <w:vAlign w:val="center"/>
          </w:tcPr>
          <w:p w14:paraId="27DF3897"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(0.2, 2.7)</w:t>
            </w:r>
          </w:p>
        </w:tc>
        <w:tc>
          <w:tcPr>
            <w:tcW w:w="536" w:type="dxa"/>
            <w:tcBorders>
              <w:top w:val="nil"/>
              <w:left w:val="single" w:sz="4" w:space="0" w:color="000000"/>
              <w:bottom w:val="nil"/>
              <w:right w:val="nil"/>
            </w:tcBorders>
            <w:vAlign w:val="center"/>
          </w:tcPr>
          <w:p w14:paraId="398AC3DC"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w:t>
            </w:r>
          </w:p>
        </w:tc>
        <w:tc>
          <w:tcPr>
            <w:tcW w:w="568" w:type="dxa"/>
            <w:tcBorders>
              <w:top w:val="nil"/>
              <w:left w:val="nil"/>
              <w:bottom w:val="nil"/>
              <w:right w:val="nil"/>
            </w:tcBorders>
            <w:vAlign w:val="center"/>
          </w:tcPr>
          <w:p w14:paraId="1B88A1F2"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992" w:type="dxa"/>
            <w:tcBorders>
              <w:top w:val="nil"/>
              <w:left w:val="nil"/>
              <w:bottom w:val="nil"/>
              <w:right w:val="nil"/>
            </w:tcBorders>
            <w:vAlign w:val="center"/>
          </w:tcPr>
          <w:p w14:paraId="63B97E47"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(0.0, 1.9)</w:t>
            </w:r>
          </w:p>
        </w:tc>
      </w:tr>
      <w:tr w:rsidR="002F04E8" w:rsidRPr="00D05AB1" w14:paraId="2CFEAAF2" w14:textId="77777777" w:rsidTr="00046B54">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single" w:sz="4" w:space="0" w:color="000000"/>
              <w:right w:val="nil"/>
            </w:tcBorders>
            <w:shd w:val="clear" w:color="auto" w:fill="auto"/>
          </w:tcPr>
          <w:p w14:paraId="34495CF5" w14:textId="77777777" w:rsidR="002F04E8" w:rsidRPr="00D05AB1" w:rsidRDefault="002F04E8" w:rsidP="002F04E8">
            <w:pPr>
              <w:spacing w:before="20" w:after="20"/>
              <w:ind w:left="34"/>
              <w:rPr>
                <w:rFonts w:eastAsiaTheme="minorEastAsia"/>
                <w:b w:val="0"/>
                <w:sz w:val="16"/>
                <w:szCs w:val="16"/>
                <w:lang w:eastAsia="en-US"/>
              </w:rPr>
            </w:pPr>
            <w:r w:rsidRPr="00D05AB1">
              <w:rPr>
                <w:rFonts w:eastAsiaTheme="minorEastAsia"/>
                <w:b w:val="0"/>
                <w:sz w:val="16"/>
                <w:szCs w:val="16"/>
                <w:lang w:eastAsia="en-US"/>
              </w:rPr>
              <w:t xml:space="preserve">Only </w:t>
            </w:r>
            <w:r>
              <w:rPr>
                <w:rFonts w:eastAsiaTheme="minorEastAsia"/>
                <w:b w:val="0"/>
                <w:sz w:val="16"/>
                <w:szCs w:val="16"/>
                <w:lang w:eastAsia="en-US"/>
              </w:rPr>
              <w:t>gambling treatment services</w:t>
            </w:r>
          </w:p>
        </w:tc>
        <w:tc>
          <w:tcPr>
            <w:tcW w:w="536" w:type="dxa"/>
            <w:tcBorders>
              <w:top w:val="nil"/>
              <w:left w:val="nil"/>
              <w:bottom w:val="single" w:sz="4" w:space="0" w:color="000000"/>
              <w:right w:val="nil"/>
            </w:tcBorders>
            <w:shd w:val="clear" w:color="auto" w:fill="auto"/>
            <w:noWrap/>
            <w:vAlign w:val="center"/>
          </w:tcPr>
          <w:p w14:paraId="7D7FFC51"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w:t>
            </w:r>
          </w:p>
        </w:tc>
        <w:tc>
          <w:tcPr>
            <w:tcW w:w="576" w:type="dxa"/>
            <w:tcBorders>
              <w:top w:val="nil"/>
              <w:left w:val="nil"/>
              <w:bottom w:val="single" w:sz="4" w:space="0" w:color="000000"/>
              <w:right w:val="nil"/>
            </w:tcBorders>
            <w:shd w:val="clear" w:color="auto" w:fill="auto"/>
            <w:noWrap/>
            <w:vAlign w:val="center"/>
          </w:tcPr>
          <w:p w14:paraId="31FF9D0C"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1015" w:type="dxa"/>
            <w:tcBorders>
              <w:top w:val="nil"/>
              <w:left w:val="nil"/>
              <w:bottom w:val="single" w:sz="4" w:space="0" w:color="000000"/>
              <w:right w:val="single" w:sz="4" w:space="0" w:color="auto"/>
            </w:tcBorders>
            <w:shd w:val="clear" w:color="auto" w:fill="auto"/>
            <w:noWrap/>
            <w:vAlign w:val="center"/>
          </w:tcPr>
          <w:p w14:paraId="3638A54F" w14:textId="77777777" w:rsidR="002F04E8" w:rsidRDefault="00180546"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w:t>
            </w:r>
          </w:p>
        </w:tc>
        <w:tc>
          <w:tcPr>
            <w:tcW w:w="536" w:type="dxa"/>
            <w:tcBorders>
              <w:top w:val="nil"/>
              <w:left w:val="single" w:sz="4" w:space="0" w:color="auto"/>
              <w:bottom w:val="single" w:sz="4" w:space="0" w:color="000000"/>
              <w:right w:val="nil"/>
            </w:tcBorders>
            <w:shd w:val="clear" w:color="auto" w:fill="auto"/>
            <w:noWrap/>
            <w:vAlign w:val="center"/>
          </w:tcPr>
          <w:p w14:paraId="362A9A45"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w:t>
            </w:r>
          </w:p>
        </w:tc>
        <w:tc>
          <w:tcPr>
            <w:tcW w:w="576" w:type="dxa"/>
            <w:tcBorders>
              <w:top w:val="nil"/>
              <w:left w:val="nil"/>
              <w:bottom w:val="single" w:sz="4" w:space="0" w:color="000000"/>
              <w:right w:val="nil"/>
            </w:tcBorders>
            <w:shd w:val="clear" w:color="auto" w:fill="auto"/>
            <w:noWrap/>
            <w:vAlign w:val="center"/>
          </w:tcPr>
          <w:p w14:paraId="1B6D295A"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1043" w:type="dxa"/>
            <w:tcBorders>
              <w:top w:val="nil"/>
              <w:left w:val="nil"/>
              <w:bottom w:val="single" w:sz="4" w:space="0" w:color="000000"/>
              <w:right w:val="single" w:sz="4" w:space="0" w:color="000000"/>
            </w:tcBorders>
            <w:shd w:val="clear" w:color="auto" w:fill="auto"/>
            <w:noWrap/>
            <w:vAlign w:val="center"/>
          </w:tcPr>
          <w:p w14:paraId="45D824D5" w14:textId="77777777" w:rsidR="002F04E8" w:rsidRDefault="00180546"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w:t>
            </w:r>
          </w:p>
        </w:tc>
        <w:tc>
          <w:tcPr>
            <w:tcW w:w="536" w:type="dxa"/>
            <w:tcBorders>
              <w:top w:val="nil"/>
              <w:left w:val="single" w:sz="4" w:space="0" w:color="000000"/>
              <w:bottom w:val="single" w:sz="4" w:space="0" w:color="000000"/>
              <w:right w:val="nil"/>
            </w:tcBorders>
            <w:shd w:val="clear" w:color="auto" w:fill="auto"/>
            <w:vAlign w:val="center"/>
          </w:tcPr>
          <w:p w14:paraId="1009CFA1"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w:t>
            </w:r>
          </w:p>
        </w:tc>
        <w:tc>
          <w:tcPr>
            <w:tcW w:w="576" w:type="dxa"/>
            <w:tcBorders>
              <w:top w:val="nil"/>
              <w:left w:val="nil"/>
              <w:bottom w:val="single" w:sz="4" w:space="0" w:color="000000"/>
              <w:right w:val="nil"/>
            </w:tcBorders>
            <w:shd w:val="clear" w:color="auto" w:fill="auto"/>
            <w:vAlign w:val="center"/>
          </w:tcPr>
          <w:p w14:paraId="636F1B91"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0.6</w:t>
            </w:r>
          </w:p>
        </w:tc>
        <w:tc>
          <w:tcPr>
            <w:tcW w:w="1015" w:type="dxa"/>
            <w:tcBorders>
              <w:top w:val="nil"/>
              <w:left w:val="nil"/>
              <w:bottom w:val="single" w:sz="4" w:space="0" w:color="000000"/>
              <w:right w:val="single" w:sz="4" w:space="0" w:color="000000"/>
            </w:tcBorders>
            <w:shd w:val="clear" w:color="auto" w:fill="auto"/>
            <w:vAlign w:val="center"/>
          </w:tcPr>
          <w:p w14:paraId="38817FD7" w14:textId="77777777" w:rsidR="002F04E8" w:rsidRDefault="00180546"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w:t>
            </w:r>
          </w:p>
        </w:tc>
        <w:tc>
          <w:tcPr>
            <w:tcW w:w="536" w:type="dxa"/>
            <w:tcBorders>
              <w:top w:val="nil"/>
              <w:left w:val="single" w:sz="4" w:space="0" w:color="000000"/>
              <w:bottom w:val="single" w:sz="4" w:space="0" w:color="000000"/>
              <w:right w:val="nil"/>
            </w:tcBorders>
            <w:vAlign w:val="center"/>
          </w:tcPr>
          <w:p w14:paraId="5B121FBD"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w:t>
            </w:r>
          </w:p>
        </w:tc>
        <w:tc>
          <w:tcPr>
            <w:tcW w:w="568" w:type="dxa"/>
            <w:tcBorders>
              <w:top w:val="nil"/>
              <w:left w:val="nil"/>
              <w:bottom w:val="single" w:sz="4" w:space="0" w:color="000000"/>
              <w:right w:val="nil"/>
            </w:tcBorders>
            <w:vAlign w:val="center"/>
          </w:tcPr>
          <w:p w14:paraId="61587E2F" w14:textId="77777777" w:rsidR="002F04E8" w:rsidRDefault="002F04E8"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992" w:type="dxa"/>
            <w:tcBorders>
              <w:top w:val="nil"/>
              <w:left w:val="nil"/>
              <w:bottom w:val="single" w:sz="4" w:space="0" w:color="000000"/>
              <w:right w:val="nil"/>
            </w:tcBorders>
            <w:vAlign w:val="center"/>
          </w:tcPr>
          <w:p w14:paraId="1AEDB9D4" w14:textId="77777777" w:rsidR="002F04E8" w:rsidRDefault="00180546" w:rsidP="002F04E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w:t>
            </w:r>
          </w:p>
        </w:tc>
      </w:tr>
    </w:tbl>
    <w:p w14:paraId="40F0D0D8" w14:textId="77777777" w:rsidR="002F04E8" w:rsidRPr="00D05AB1" w:rsidRDefault="002F04E8" w:rsidP="002F04E8">
      <w:pPr>
        <w:ind w:left="-851"/>
        <w:rPr>
          <w:sz w:val="16"/>
          <w:szCs w:val="16"/>
        </w:rPr>
      </w:pPr>
      <w:r w:rsidRPr="00D05AB1">
        <w:rPr>
          <w:sz w:val="16"/>
          <w:szCs w:val="16"/>
        </w:rPr>
        <w:t>Data weighted for 2013 Census data (</w:t>
      </w:r>
      <w:r>
        <w:rPr>
          <w:sz w:val="16"/>
          <w:szCs w:val="16"/>
        </w:rPr>
        <w:t>all w</w:t>
      </w:r>
      <w:r w:rsidRPr="00D05AB1">
        <w:rPr>
          <w:sz w:val="16"/>
          <w:szCs w:val="16"/>
        </w:rPr>
        <w:t>aves) and attrition (Wave</w:t>
      </w:r>
      <w:r>
        <w:rPr>
          <w:sz w:val="16"/>
          <w:szCs w:val="16"/>
        </w:rPr>
        <w:t>s</w:t>
      </w:r>
      <w:r w:rsidRPr="00D05AB1">
        <w:rPr>
          <w:sz w:val="16"/>
          <w:szCs w:val="16"/>
        </w:rPr>
        <w:t xml:space="preserve"> 2</w:t>
      </w:r>
      <w:r>
        <w:rPr>
          <w:sz w:val="16"/>
          <w:szCs w:val="16"/>
        </w:rPr>
        <w:t>,</w:t>
      </w:r>
      <w:r w:rsidRPr="00D05AB1">
        <w:rPr>
          <w:sz w:val="16"/>
          <w:szCs w:val="16"/>
        </w:rPr>
        <w:t xml:space="preserve"> 3</w:t>
      </w:r>
      <w:r>
        <w:rPr>
          <w:sz w:val="16"/>
          <w:szCs w:val="16"/>
        </w:rPr>
        <w:t xml:space="preserve"> and 4</w:t>
      </w:r>
      <w:r w:rsidRPr="00D05AB1">
        <w:rPr>
          <w:sz w:val="16"/>
          <w:szCs w:val="16"/>
        </w:rPr>
        <w:t>)</w:t>
      </w:r>
    </w:p>
    <w:p w14:paraId="7188BA85" w14:textId="77777777" w:rsidR="00180546" w:rsidRDefault="002F04E8" w:rsidP="00180546">
      <w:pPr>
        <w:spacing w:line="276" w:lineRule="auto"/>
        <w:ind w:left="-851"/>
        <w:rPr>
          <w:sz w:val="16"/>
          <w:szCs w:val="16"/>
        </w:rPr>
      </w:pPr>
      <w:r w:rsidRPr="00D05AB1">
        <w:rPr>
          <w:rFonts w:eastAsiaTheme="minorEastAsia"/>
          <w:sz w:val="16"/>
          <w:szCs w:val="16"/>
          <w:vertAlign w:val="superscript"/>
        </w:rPr>
        <w:t xml:space="preserve"># </w:t>
      </w:r>
      <w:r w:rsidRPr="00D05AB1">
        <w:rPr>
          <w:sz w:val="16"/>
          <w:szCs w:val="16"/>
        </w:rPr>
        <w:t>Calculated for participan</w:t>
      </w:r>
      <w:r>
        <w:rPr>
          <w:sz w:val="16"/>
          <w:szCs w:val="16"/>
        </w:rPr>
        <w:t>ts who gambled in the last year</w:t>
      </w:r>
    </w:p>
    <w:p w14:paraId="2568682B" w14:textId="77777777" w:rsidR="00180546" w:rsidRDefault="00180546" w:rsidP="00180546">
      <w:pPr>
        <w:spacing w:after="200" w:line="276" w:lineRule="auto"/>
        <w:ind w:left="-851"/>
        <w:rPr>
          <w:sz w:val="16"/>
        </w:rPr>
      </w:pPr>
      <w:r w:rsidRPr="009E769D">
        <w:rPr>
          <w:sz w:val="16"/>
        </w:rPr>
        <w:t>! Meaningful confidence intervals not calculable due to small sample size</w:t>
      </w:r>
    </w:p>
    <w:p w14:paraId="5B442F24" w14:textId="77777777" w:rsidR="00166C6E" w:rsidRPr="009E769D" w:rsidRDefault="00166C6E" w:rsidP="00180546">
      <w:pPr>
        <w:spacing w:after="200" w:line="276" w:lineRule="auto"/>
        <w:ind w:left="-851"/>
        <w:rPr>
          <w:sz w:val="16"/>
        </w:rPr>
      </w:pPr>
    </w:p>
    <w:p w14:paraId="31710A2C" w14:textId="77777777" w:rsidR="001E2F74" w:rsidRPr="00084361" w:rsidRDefault="001E2F74" w:rsidP="002F04E8">
      <w:pPr>
        <w:pStyle w:val="RepHead3"/>
      </w:pPr>
      <w:bookmarkStart w:id="83" w:name="_Ref470012879"/>
      <w:bookmarkStart w:id="84" w:name="_Toc504488358"/>
      <w:r>
        <w:t>Health status</w:t>
      </w:r>
      <w:bookmarkEnd w:id="83"/>
      <w:bookmarkEnd w:id="84"/>
    </w:p>
    <w:p w14:paraId="589FF793" w14:textId="77777777" w:rsidR="00257963" w:rsidRDefault="00257963" w:rsidP="007C46D2">
      <w:pPr>
        <w:pStyle w:val="RepNormal"/>
      </w:pPr>
    </w:p>
    <w:p w14:paraId="0BE9A815" w14:textId="77777777" w:rsidR="00B3600F" w:rsidRDefault="00B3600F" w:rsidP="00B3600F">
      <w:pPr>
        <w:pStyle w:val="RepNormal"/>
      </w:pPr>
      <w:r>
        <w:t xml:space="preserve">In each wave, participants were </w:t>
      </w:r>
      <w:r w:rsidR="00EF7A6B">
        <w:t>asked</w:t>
      </w:r>
      <w:r>
        <w:t xml:space="preserve"> about </w:t>
      </w:r>
      <w:r w:rsidR="00EF7A6B">
        <w:t>major</w:t>
      </w:r>
      <w:r>
        <w:t xml:space="preserve"> life events </w:t>
      </w:r>
      <w:r w:rsidR="00EF7A6B">
        <w:t xml:space="preserve">experienced </w:t>
      </w:r>
      <w:r>
        <w:t xml:space="preserve">in the prior </w:t>
      </w:r>
      <w:r w:rsidR="00EF7A6B">
        <w:t>12 </w:t>
      </w:r>
      <w:r w:rsidR="00886517">
        <w:t>months</w:t>
      </w:r>
      <w:r>
        <w:t xml:space="preserve">, quality of life in the past two weeks, psychological distress in the past four weeks, hazardous alcohol consumption and other drug use in the past year, and tobacco use.  </w:t>
      </w:r>
    </w:p>
    <w:p w14:paraId="1DE1F3C4" w14:textId="77777777" w:rsidR="00B3600F" w:rsidRDefault="00B3600F" w:rsidP="00B3600F">
      <w:pPr>
        <w:pStyle w:val="RepNormal"/>
      </w:pPr>
    </w:p>
    <w:p w14:paraId="00515A48" w14:textId="77777777" w:rsidR="00B3600F" w:rsidRPr="00BB6565" w:rsidRDefault="00B3600F" w:rsidP="00B3600F">
      <w:pPr>
        <w:pStyle w:val="RepNormal"/>
      </w:pPr>
    </w:p>
    <w:p w14:paraId="4C0138D9" w14:textId="77777777" w:rsidR="00B3600F" w:rsidRPr="00D2168E" w:rsidRDefault="00EF7A6B" w:rsidP="00B3600F">
      <w:pPr>
        <w:pStyle w:val="RepNormal"/>
        <w:rPr>
          <w:b/>
        </w:rPr>
      </w:pPr>
      <w:r>
        <w:rPr>
          <w:b/>
        </w:rPr>
        <w:t>Major</w:t>
      </w:r>
      <w:r w:rsidR="00B3600F">
        <w:rPr>
          <w:b/>
        </w:rPr>
        <w:t xml:space="preserve"> life events</w:t>
      </w:r>
    </w:p>
    <w:p w14:paraId="65EEBB9E" w14:textId="77777777" w:rsidR="00B3600F" w:rsidRDefault="00B3600F" w:rsidP="00B3600F">
      <w:pPr>
        <w:pStyle w:val="RepNormal"/>
      </w:pPr>
    </w:p>
    <w:p w14:paraId="12A07C03" w14:textId="77777777" w:rsidR="00C873C1" w:rsidRDefault="00C873C1" w:rsidP="00C873C1">
      <w:pPr>
        <w:pStyle w:val="RepNormal"/>
      </w:pPr>
      <w:r>
        <w:t>Data are presented in Appendix 1</w:t>
      </w:r>
      <w:r w:rsidR="00591EAA">
        <w:t>5</w:t>
      </w:r>
      <w:r>
        <w:t>.</w:t>
      </w:r>
    </w:p>
    <w:p w14:paraId="31C229E0" w14:textId="77777777" w:rsidR="00C873C1" w:rsidRDefault="00C873C1" w:rsidP="00C873C1">
      <w:pPr>
        <w:pStyle w:val="RepNormal"/>
      </w:pPr>
    </w:p>
    <w:p w14:paraId="00CD455B" w14:textId="61D15849" w:rsidR="00B3600F" w:rsidRDefault="00B3600F" w:rsidP="00B3600F">
      <w:pPr>
        <w:pStyle w:val="RepNormal"/>
      </w:pPr>
      <w:r>
        <w:t xml:space="preserve">Thirty-two percent of participants in Wave 4 had not experienced any major life events in the </w:t>
      </w:r>
      <w:r w:rsidRPr="00F60109">
        <w:t xml:space="preserve">prior </w:t>
      </w:r>
      <w:r w:rsidR="00886517" w:rsidRPr="00F60109">
        <w:t>12 months</w:t>
      </w:r>
      <w:r w:rsidRPr="00F60109">
        <w:t>, and 29% reported a single event</w:t>
      </w:r>
      <w:r w:rsidR="00166C6E" w:rsidRPr="00F60109">
        <w:t xml:space="preserve"> (from a list of 18 possible events)</w:t>
      </w:r>
      <w:r w:rsidRPr="00F60109">
        <w:t>.  Ten</w:t>
      </w:r>
      <w:r>
        <w:t xml:space="preserve"> percent of participants reported experiencing four or more major events.</w:t>
      </w:r>
    </w:p>
    <w:p w14:paraId="5DEA5267" w14:textId="77777777" w:rsidR="00B3600F" w:rsidRDefault="00B3600F" w:rsidP="00B3600F">
      <w:pPr>
        <w:pStyle w:val="RepNormal"/>
      </w:pPr>
    </w:p>
    <w:p w14:paraId="016828EB" w14:textId="77777777" w:rsidR="00B3600F" w:rsidRDefault="00B3600F" w:rsidP="00B3600F">
      <w:pPr>
        <w:pStyle w:val="RepNormal"/>
      </w:pPr>
      <w:r>
        <w:t xml:space="preserve">A slightly higher proportion of participants reported that they </w:t>
      </w:r>
      <w:r w:rsidR="00EF7A6B">
        <w:t>had</w:t>
      </w:r>
      <w:r>
        <w:t xml:space="preserve"> not experience</w:t>
      </w:r>
      <w:r w:rsidR="00EF7A6B">
        <w:t>d</w:t>
      </w:r>
      <w:r>
        <w:t xml:space="preserve"> any major life events in Wave 4 (32%) compared with Wave 1 (27%).  The proportion of participants who experienced </w:t>
      </w:r>
      <w:r w:rsidR="00EF7A6B">
        <w:t>four or</w:t>
      </w:r>
      <w:r>
        <w:t xml:space="preserve"> more major life events decreased in Wave 2 from Wave 1 (5.7% vs. 7.7%) and then stabilised in Waves 3 and 4 (4.4% and 5.3%</w:t>
      </w:r>
      <w:r w:rsidR="00D60727">
        <w:t>,</w:t>
      </w:r>
      <w:r>
        <w:t xml:space="preserve"> respectively).  A similar trend was noted for participants who experienced </w:t>
      </w:r>
      <w:r w:rsidR="00EF7A6B">
        <w:t>five</w:t>
      </w:r>
      <w:r>
        <w:t xml:space="preserve"> or more major life events.</w:t>
      </w:r>
    </w:p>
    <w:p w14:paraId="13F662BE" w14:textId="77777777" w:rsidR="00B3600F" w:rsidRDefault="00B3600F" w:rsidP="00B3600F">
      <w:pPr>
        <w:pStyle w:val="RepNormal"/>
      </w:pPr>
    </w:p>
    <w:p w14:paraId="6E36BC4F" w14:textId="77777777" w:rsidR="003366FE" w:rsidRDefault="003366FE" w:rsidP="00B3600F">
      <w:pPr>
        <w:pStyle w:val="RepNormal"/>
      </w:pPr>
    </w:p>
    <w:p w14:paraId="44E30B43" w14:textId="77777777" w:rsidR="003366FE" w:rsidRDefault="003366FE" w:rsidP="00B3600F">
      <w:pPr>
        <w:pStyle w:val="RepNormal"/>
      </w:pPr>
      <w:r>
        <w:rPr>
          <w:u w:val="single"/>
        </w:rPr>
        <w:t>By ethnicity</w:t>
      </w:r>
    </w:p>
    <w:p w14:paraId="5533E26E" w14:textId="77777777" w:rsidR="003366FE" w:rsidRDefault="003366FE" w:rsidP="00B3600F">
      <w:pPr>
        <w:pStyle w:val="RepNormal"/>
      </w:pPr>
    </w:p>
    <w:p w14:paraId="42826EAD" w14:textId="77777777" w:rsidR="003366FE" w:rsidRDefault="00F038C1" w:rsidP="00B3600F">
      <w:pPr>
        <w:pStyle w:val="RepNormal"/>
      </w:pPr>
      <w:r>
        <w:t>In Wave 4, t</w:t>
      </w:r>
      <w:r w:rsidR="003366FE">
        <w:t>here were no differences between Māori</w:t>
      </w:r>
      <w:r>
        <w:t xml:space="preserve"> or</w:t>
      </w:r>
      <w:r w:rsidR="003F3F2F">
        <w:t xml:space="preserve"> Pacific people </w:t>
      </w:r>
      <w:r w:rsidR="003366FE">
        <w:t xml:space="preserve">and the </w:t>
      </w:r>
      <w:r w:rsidR="00227E3A">
        <w:t>total</w:t>
      </w:r>
      <w:r w:rsidR="003366FE">
        <w:t xml:space="preserve"> population in the proportions experiencing different number</w:t>
      </w:r>
      <w:r>
        <w:t>s of major life events (Appendices</w:t>
      </w:r>
      <w:r w:rsidR="003366FE">
        <w:t xml:space="preserve"> 1</w:t>
      </w:r>
      <w:r w:rsidR="00591EAA">
        <w:t>6 and 17</w:t>
      </w:r>
      <w:r w:rsidR="003366FE">
        <w:t>).</w:t>
      </w:r>
      <w:r>
        <w:t xml:space="preserve">  However, a </w:t>
      </w:r>
      <w:r w:rsidR="00046B54">
        <w:t>higher</w:t>
      </w:r>
      <w:r>
        <w:t xml:space="preserve"> proportion of A</w:t>
      </w:r>
      <w:r w:rsidR="00046B54">
        <w:t xml:space="preserve">sian participants reported no major life events in the prior </w:t>
      </w:r>
      <w:r w:rsidR="00886517">
        <w:t>12 months</w:t>
      </w:r>
      <w:r w:rsidR="00046B54">
        <w:t xml:space="preserve"> compared with the </w:t>
      </w:r>
      <w:r w:rsidR="00227E3A">
        <w:t>total</w:t>
      </w:r>
      <w:r w:rsidR="00046B54">
        <w:t xml:space="preserve"> population (42% vs. 32%) (Appendix 1</w:t>
      </w:r>
      <w:r w:rsidR="00591EAA">
        <w:t>8</w:t>
      </w:r>
      <w:r w:rsidR="00046B54">
        <w:t>).</w:t>
      </w:r>
    </w:p>
    <w:p w14:paraId="20DCBF16" w14:textId="77777777" w:rsidR="00C971D4" w:rsidRDefault="00C971D4" w:rsidP="00B3600F">
      <w:pPr>
        <w:pStyle w:val="RepNormal"/>
      </w:pPr>
    </w:p>
    <w:p w14:paraId="4F9B7978" w14:textId="77777777" w:rsidR="00C971D4" w:rsidRDefault="00C971D4" w:rsidP="00B3600F">
      <w:pPr>
        <w:pStyle w:val="RepNormal"/>
      </w:pPr>
      <w:r>
        <w:t xml:space="preserve">A lower proportion of Pacific people had experienced </w:t>
      </w:r>
      <w:r w:rsidR="00EF7A6B">
        <w:t>five</w:t>
      </w:r>
      <w:r>
        <w:t xml:space="preserve"> or</w:t>
      </w:r>
      <w:r w:rsidR="00EF7A6B">
        <w:t xml:space="preserve"> more major life events in Wave </w:t>
      </w:r>
      <w:r>
        <w:t>4 compared with Wave 1 (35% vs. 8.2%)</w:t>
      </w:r>
      <w:r w:rsidR="00BA7B09">
        <w:t xml:space="preserve"> (Appendix 17</w:t>
      </w:r>
      <w:r w:rsidR="00046B54">
        <w:t>)</w:t>
      </w:r>
      <w:r>
        <w:t>.</w:t>
      </w:r>
    </w:p>
    <w:p w14:paraId="06901632" w14:textId="77777777" w:rsidR="00B3600F" w:rsidRDefault="00B3600F" w:rsidP="00B3600F">
      <w:pPr>
        <w:pStyle w:val="RepNormal"/>
        <w:rPr>
          <w:b/>
        </w:rPr>
      </w:pPr>
      <w:r>
        <w:rPr>
          <w:b/>
        </w:rPr>
        <w:t>Quality of life</w:t>
      </w:r>
    </w:p>
    <w:p w14:paraId="60B040F2" w14:textId="77777777" w:rsidR="00B3600F" w:rsidRDefault="00B3600F" w:rsidP="00B3600F">
      <w:pPr>
        <w:pStyle w:val="RepNormal"/>
        <w:rPr>
          <w:b/>
        </w:rPr>
      </w:pPr>
    </w:p>
    <w:p w14:paraId="64B87A60" w14:textId="77777777" w:rsidR="00C873C1" w:rsidRPr="0092574A" w:rsidRDefault="00C873C1" w:rsidP="00C873C1">
      <w:pPr>
        <w:pStyle w:val="RepNormal"/>
      </w:pPr>
      <w:r>
        <w:t>D</w:t>
      </w:r>
      <w:r w:rsidR="00591EAA">
        <w:t>ata are presented in Appendix 15</w:t>
      </w:r>
      <w:r>
        <w:t>.</w:t>
      </w:r>
    </w:p>
    <w:p w14:paraId="143B9563" w14:textId="77777777" w:rsidR="00C873C1" w:rsidRDefault="00C873C1" w:rsidP="00C873C1">
      <w:pPr>
        <w:pStyle w:val="RepNormal"/>
        <w:rPr>
          <w:b/>
        </w:rPr>
      </w:pPr>
    </w:p>
    <w:p w14:paraId="4CDEA8A4" w14:textId="684B0E6C" w:rsidR="003366FE" w:rsidRDefault="00D45218" w:rsidP="00B3600F">
      <w:pPr>
        <w:pStyle w:val="RepNormal"/>
      </w:pPr>
      <w:r>
        <w:t>Q</w:t>
      </w:r>
      <w:r w:rsidR="00B3600F" w:rsidRPr="0092574A">
        <w:t xml:space="preserve">uality of life </w:t>
      </w:r>
      <w:r w:rsidR="004E2C27">
        <w:t xml:space="preserve">in the prior two weeks </w:t>
      </w:r>
      <w:r w:rsidR="00B47110">
        <w:t>reported</w:t>
      </w:r>
      <w:r w:rsidR="00B3600F" w:rsidRPr="0092574A">
        <w:t xml:space="preserve"> by participants was similar </w:t>
      </w:r>
      <w:r w:rsidR="00B3600F">
        <w:t>across</w:t>
      </w:r>
      <w:r w:rsidR="00B3600F" w:rsidRPr="0092574A">
        <w:t xml:space="preserve"> the waves.</w:t>
      </w:r>
      <w:r w:rsidR="00B3600F">
        <w:t xml:space="preserve">  </w:t>
      </w:r>
      <w:r w:rsidR="00B47110" w:rsidRPr="00F60109">
        <w:t>Ten</w:t>
      </w:r>
      <w:r w:rsidR="00B3600F" w:rsidRPr="00F60109">
        <w:t xml:space="preserve"> percent of participants in Wave </w:t>
      </w:r>
      <w:r w:rsidR="00B47110" w:rsidRPr="00F60109">
        <w:t>4</w:t>
      </w:r>
      <w:r w:rsidR="00B3600F" w:rsidRPr="00F60109">
        <w:t xml:space="preserve"> scored the median</w:t>
      </w:r>
      <w:r w:rsidRPr="00F60109">
        <w:t xml:space="preserve"> level</w:t>
      </w:r>
      <w:r w:rsidR="00166C6E" w:rsidRPr="00F60109">
        <w:t xml:space="preserve"> (score of 25)</w:t>
      </w:r>
      <w:r w:rsidR="00B3600F" w:rsidRPr="00F60109">
        <w:t>; half (</w:t>
      </w:r>
      <w:r w:rsidR="00B47110" w:rsidRPr="00F60109">
        <w:t>50</w:t>
      </w:r>
      <w:r w:rsidR="00B3600F" w:rsidRPr="00F60109">
        <w:t xml:space="preserve">%) were above the </w:t>
      </w:r>
      <w:r w:rsidR="00B47110" w:rsidRPr="00F60109">
        <w:t>median level</w:t>
      </w:r>
      <w:r w:rsidR="00166C6E" w:rsidRPr="00F60109">
        <w:t xml:space="preserve"> (scored 26 to 32)</w:t>
      </w:r>
      <w:r w:rsidR="00B47110" w:rsidRPr="00F60109">
        <w:t>, and two-fifths (40</w:t>
      </w:r>
      <w:r w:rsidR="00B3600F" w:rsidRPr="00F60109">
        <w:t>%) had a quality of life below the median</w:t>
      </w:r>
      <w:r w:rsidR="00B47110" w:rsidRPr="00F60109">
        <w:t xml:space="preserve"> level</w:t>
      </w:r>
      <w:r w:rsidR="00166C6E" w:rsidRPr="00F60109">
        <w:t xml:space="preserve"> (scored 0 to 24)</w:t>
      </w:r>
      <w:r w:rsidR="00B3600F" w:rsidRPr="00F60109">
        <w:t>.</w:t>
      </w:r>
      <w:r w:rsidR="00B3600F">
        <w:t xml:space="preserve">  </w:t>
      </w:r>
    </w:p>
    <w:p w14:paraId="14F885D4" w14:textId="77777777" w:rsidR="00C873C1" w:rsidRDefault="00C873C1" w:rsidP="00B3600F">
      <w:pPr>
        <w:pStyle w:val="RepNormal"/>
      </w:pPr>
    </w:p>
    <w:p w14:paraId="1D32DF39" w14:textId="77777777" w:rsidR="00C873C1" w:rsidRDefault="00C873C1" w:rsidP="00B3600F">
      <w:pPr>
        <w:pStyle w:val="RepNormal"/>
        <w:rPr>
          <w:b/>
        </w:rPr>
      </w:pPr>
    </w:p>
    <w:p w14:paraId="43AA52F1" w14:textId="77777777" w:rsidR="003366FE" w:rsidRDefault="003366FE" w:rsidP="003366FE">
      <w:pPr>
        <w:pStyle w:val="RepNormal"/>
      </w:pPr>
      <w:r>
        <w:rPr>
          <w:u w:val="single"/>
        </w:rPr>
        <w:t>By ethnicity</w:t>
      </w:r>
    </w:p>
    <w:p w14:paraId="783CBB18" w14:textId="77777777" w:rsidR="003366FE" w:rsidRDefault="003366FE" w:rsidP="003366FE">
      <w:pPr>
        <w:pStyle w:val="RepNormal"/>
      </w:pPr>
    </w:p>
    <w:p w14:paraId="4CE275DD" w14:textId="77777777" w:rsidR="003366FE" w:rsidRPr="003366FE" w:rsidRDefault="00046B54" w:rsidP="003366FE">
      <w:pPr>
        <w:pStyle w:val="RepNormal"/>
      </w:pPr>
      <w:r>
        <w:t>In Wave 4, t</w:t>
      </w:r>
      <w:r w:rsidR="003366FE">
        <w:t>here were no differences between Māori</w:t>
      </w:r>
      <w:r>
        <w:t xml:space="preserve"> or</w:t>
      </w:r>
      <w:r w:rsidR="003366FE">
        <w:t xml:space="preserve"> </w:t>
      </w:r>
      <w:r w:rsidR="003F3F2F">
        <w:t xml:space="preserve">Pacific people </w:t>
      </w:r>
      <w:r w:rsidR="003366FE">
        <w:t xml:space="preserve">and the </w:t>
      </w:r>
      <w:r w:rsidR="00227E3A">
        <w:t xml:space="preserve">total </w:t>
      </w:r>
      <w:r w:rsidR="003366FE">
        <w:t xml:space="preserve">population </w:t>
      </w:r>
      <w:r w:rsidR="00F038C1">
        <w:t>for quality of life (Appendices</w:t>
      </w:r>
      <w:r w:rsidR="00591EAA">
        <w:t xml:space="preserve"> 16</w:t>
      </w:r>
      <w:r>
        <w:t xml:space="preserve"> and</w:t>
      </w:r>
      <w:r w:rsidR="00591EAA">
        <w:t xml:space="preserve"> 17</w:t>
      </w:r>
      <w:r w:rsidR="003366FE">
        <w:t>).</w:t>
      </w:r>
      <w:r>
        <w:t xml:space="preserve">  However, a lower proportion of Asian participants scored above the median level for qu</w:t>
      </w:r>
      <w:r w:rsidR="00C72CDD">
        <w:t>ality of life t</w:t>
      </w:r>
      <w:r w:rsidR="00D45218">
        <w:t xml:space="preserve">han the </w:t>
      </w:r>
      <w:r w:rsidR="00227E3A">
        <w:t xml:space="preserve">total </w:t>
      </w:r>
      <w:r w:rsidR="00D45218">
        <w:t>population (40% </w:t>
      </w:r>
      <w:r w:rsidR="00591EAA">
        <w:t>vs. 50%) (Appendix 18</w:t>
      </w:r>
      <w:r w:rsidR="00C72CDD">
        <w:t>).</w:t>
      </w:r>
    </w:p>
    <w:p w14:paraId="26D079BA" w14:textId="77777777" w:rsidR="00B3600F" w:rsidRDefault="00B3600F" w:rsidP="00B3600F">
      <w:pPr>
        <w:pStyle w:val="RepNormal"/>
        <w:rPr>
          <w:b/>
        </w:rPr>
      </w:pPr>
    </w:p>
    <w:p w14:paraId="26DA9144" w14:textId="77777777" w:rsidR="003366FE" w:rsidRDefault="003366FE" w:rsidP="00B3600F">
      <w:pPr>
        <w:pStyle w:val="RepNormal"/>
        <w:rPr>
          <w:b/>
        </w:rPr>
      </w:pPr>
    </w:p>
    <w:p w14:paraId="2A039620" w14:textId="77777777" w:rsidR="00B3600F" w:rsidRDefault="00B3600F" w:rsidP="00422F08">
      <w:pPr>
        <w:pStyle w:val="RepNormal"/>
        <w:keepNext/>
      </w:pPr>
      <w:r>
        <w:rPr>
          <w:b/>
        </w:rPr>
        <w:t>Psychological distress</w:t>
      </w:r>
    </w:p>
    <w:p w14:paraId="66A31AD8" w14:textId="77777777" w:rsidR="00B3600F" w:rsidRDefault="00B3600F" w:rsidP="00422F08">
      <w:pPr>
        <w:pStyle w:val="RepNormal"/>
        <w:keepNext/>
      </w:pPr>
    </w:p>
    <w:p w14:paraId="1A49CCC7" w14:textId="77777777" w:rsidR="00C873C1" w:rsidRDefault="00C873C1" w:rsidP="00C873C1">
      <w:pPr>
        <w:pStyle w:val="RepNormal"/>
        <w:keepNext/>
      </w:pPr>
      <w:r>
        <w:t>D</w:t>
      </w:r>
      <w:r w:rsidR="00591EAA">
        <w:t>ata are presented in Appendix 15</w:t>
      </w:r>
      <w:r>
        <w:t>.</w:t>
      </w:r>
    </w:p>
    <w:p w14:paraId="1C41AEE2" w14:textId="77777777" w:rsidR="00C873C1" w:rsidRDefault="00C873C1" w:rsidP="00C873C1">
      <w:pPr>
        <w:pStyle w:val="RepNormal"/>
      </w:pPr>
    </w:p>
    <w:p w14:paraId="1EDEDD9C" w14:textId="77777777" w:rsidR="00B3600F" w:rsidRDefault="00B3600F" w:rsidP="00C873C1">
      <w:pPr>
        <w:pStyle w:val="RepNormal"/>
        <w:keepNext/>
      </w:pPr>
      <w:r>
        <w:t xml:space="preserve">The level of general psychological distress </w:t>
      </w:r>
      <w:r w:rsidR="004E2C27">
        <w:t xml:space="preserve">in the prior four weeks </w:t>
      </w:r>
      <w:r>
        <w:t>reported by participants was simi</w:t>
      </w:r>
      <w:r w:rsidR="00B47110">
        <w:t>lar across the waves.  In Wave 4</w:t>
      </w:r>
      <w:r>
        <w:t xml:space="preserve">, a low level of distress was reported by </w:t>
      </w:r>
      <w:r w:rsidR="00B47110">
        <w:t>three-quarters</w:t>
      </w:r>
      <w:r>
        <w:t xml:space="preserve"> of </w:t>
      </w:r>
      <w:r w:rsidR="00B47110">
        <w:t>the participants (75</w:t>
      </w:r>
      <w:r>
        <w:t xml:space="preserve">%), with </w:t>
      </w:r>
      <w:r w:rsidR="00B47110">
        <w:t xml:space="preserve">almost </w:t>
      </w:r>
      <w:r>
        <w:t>one-fif</w:t>
      </w:r>
      <w:r w:rsidR="00B47110">
        <w:t>th (18</w:t>
      </w:r>
      <w:r>
        <w:t xml:space="preserve">%) reporting a moderate level of distress.  </w:t>
      </w:r>
      <w:r w:rsidR="00B47110">
        <w:t xml:space="preserve">Seven percent of participants scored </w:t>
      </w:r>
      <w:r>
        <w:t xml:space="preserve">in the </w:t>
      </w:r>
      <w:r w:rsidR="00152900">
        <w:t>high or severe</w:t>
      </w:r>
      <w:r>
        <w:t xml:space="preserve"> level</w:t>
      </w:r>
      <w:r w:rsidR="00B47110">
        <w:t>s</w:t>
      </w:r>
      <w:r>
        <w:t xml:space="preserve"> of psychological distress</w:t>
      </w:r>
      <w:r w:rsidR="00B47110">
        <w:t>.</w:t>
      </w:r>
      <w:r>
        <w:t xml:space="preserve">  </w:t>
      </w:r>
    </w:p>
    <w:p w14:paraId="66E8646A" w14:textId="77777777" w:rsidR="003366FE" w:rsidRDefault="003366FE" w:rsidP="00B3600F">
      <w:pPr>
        <w:pStyle w:val="RepNormal"/>
      </w:pPr>
    </w:p>
    <w:p w14:paraId="7C611FEE" w14:textId="77777777" w:rsidR="00C873C1" w:rsidRDefault="00C873C1" w:rsidP="00B3600F">
      <w:pPr>
        <w:pStyle w:val="RepNormal"/>
      </w:pPr>
    </w:p>
    <w:p w14:paraId="3512DD1B" w14:textId="77777777" w:rsidR="003366FE" w:rsidRDefault="003366FE" w:rsidP="003366FE">
      <w:pPr>
        <w:pStyle w:val="RepNormal"/>
      </w:pPr>
      <w:r>
        <w:rPr>
          <w:u w:val="single"/>
        </w:rPr>
        <w:t>By ethnicity</w:t>
      </w:r>
    </w:p>
    <w:p w14:paraId="2FB92129" w14:textId="77777777" w:rsidR="003366FE" w:rsidRDefault="003366FE" w:rsidP="003366FE">
      <w:pPr>
        <w:pStyle w:val="RepNormal"/>
      </w:pPr>
    </w:p>
    <w:p w14:paraId="6C39FF41" w14:textId="77777777" w:rsidR="003366FE" w:rsidRPr="003366FE" w:rsidRDefault="00C72CDD" w:rsidP="003366FE">
      <w:pPr>
        <w:pStyle w:val="RepNormal"/>
      </w:pPr>
      <w:r>
        <w:t>In Wave 4, t</w:t>
      </w:r>
      <w:r w:rsidR="003366FE">
        <w:t>here were no differences between Māori</w:t>
      </w:r>
      <w:r w:rsidR="00F038C1">
        <w:t>,</w:t>
      </w:r>
      <w:r w:rsidR="003F3F2F">
        <w:t xml:space="preserve"> </w:t>
      </w:r>
      <w:r w:rsidR="00F038C1">
        <w:t>Pacific or Asian</w:t>
      </w:r>
      <w:r w:rsidR="003F3F2F">
        <w:t xml:space="preserve"> people </w:t>
      </w:r>
      <w:r w:rsidR="003366FE">
        <w:t xml:space="preserve">and the </w:t>
      </w:r>
      <w:r w:rsidR="00227E3A">
        <w:t xml:space="preserve">total </w:t>
      </w:r>
      <w:r w:rsidR="003366FE">
        <w:t>population for psy</w:t>
      </w:r>
      <w:r w:rsidR="00F038C1">
        <w:t>chological distress (Appendices</w:t>
      </w:r>
      <w:r w:rsidR="003D7BB5">
        <w:t xml:space="preserve"> 16, 17 and 18</w:t>
      </w:r>
      <w:r w:rsidR="003366FE">
        <w:t>).</w:t>
      </w:r>
    </w:p>
    <w:p w14:paraId="080246E5" w14:textId="77777777" w:rsidR="00B3600F" w:rsidRDefault="00B3600F" w:rsidP="00B3600F">
      <w:pPr>
        <w:pStyle w:val="RepNormal"/>
      </w:pPr>
    </w:p>
    <w:p w14:paraId="5A66706B" w14:textId="77777777" w:rsidR="003366FE" w:rsidRDefault="003366FE" w:rsidP="00B3600F">
      <w:pPr>
        <w:pStyle w:val="RepNormal"/>
      </w:pPr>
    </w:p>
    <w:p w14:paraId="26F39FAD" w14:textId="77777777" w:rsidR="00B3600F" w:rsidRPr="00D2168E" w:rsidRDefault="00B3600F" w:rsidP="00B3600F">
      <w:pPr>
        <w:pStyle w:val="RepNormal"/>
        <w:rPr>
          <w:b/>
        </w:rPr>
      </w:pPr>
      <w:r>
        <w:rPr>
          <w:b/>
        </w:rPr>
        <w:t>Hazardous alcohol consumption</w:t>
      </w:r>
    </w:p>
    <w:p w14:paraId="6B416B6A" w14:textId="77777777" w:rsidR="00B3600F" w:rsidRDefault="00B3600F" w:rsidP="00B3600F">
      <w:pPr>
        <w:pStyle w:val="RepNormal"/>
      </w:pPr>
    </w:p>
    <w:p w14:paraId="47C2AADB" w14:textId="77777777" w:rsidR="00C873C1" w:rsidRDefault="00C873C1" w:rsidP="00C873C1">
      <w:pPr>
        <w:pStyle w:val="RepNormal"/>
      </w:pPr>
      <w:r>
        <w:t>Data are presented i</w:t>
      </w:r>
      <w:r w:rsidR="003D7BB5">
        <w:t>n Appendix 15</w:t>
      </w:r>
      <w:r>
        <w:t>.</w:t>
      </w:r>
    </w:p>
    <w:p w14:paraId="12217C63" w14:textId="77777777" w:rsidR="00C873C1" w:rsidRDefault="00C873C1" w:rsidP="00C873C1">
      <w:pPr>
        <w:pStyle w:val="RepNormal"/>
      </w:pPr>
    </w:p>
    <w:p w14:paraId="29AD99DD" w14:textId="77777777" w:rsidR="003366FE" w:rsidRDefault="00B3600F" w:rsidP="00B3600F">
      <w:pPr>
        <w:pStyle w:val="RepNormal"/>
      </w:pPr>
      <w:r>
        <w:t xml:space="preserve">A slight </w:t>
      </w:r>
      <w:r w:rsidRPr="003E40B1">
        <w:t>decrease</w:t>
      </w:r>
      <w:r>
        <w:t xml:space="preserve"> in the proportion of participants reporting hazardous alcohol consumption</w:t>
      </w:r>
      <w:r w:rsidR="004E2C27">
        <w:t xml:space="preserve"> in the prior </w:t>
      </w:r>
      <w:r w:rsidR="00886517">
        <w:t>12 months</w:t>
      </w:r>
      <w:r>
        <w:t xml:space="preserve"> was noted from Wave 1 to Wave 3 (37%</w:t>
      </w:r>
      <w:r w:rsidR="003E40B1">
        <w:t xml:space="preserve"> and</w:t>
      </w:r>
      <w:r>
        <w:t xml:space="preserve"> 33%</w:t>
      </w:r>
      <w:r w:rsidR="00017595">
        <w:t>,</w:t>
      </w:r>
      <w:r>
        <w:t xml:space="preserve"> </w:t>
      </w:r>
      <w:r w:rsidR="003E40B1">
        <w:t>respectively</w:t>
      </w:r>
      <w:r>
        <w:t>)</w:t>
      </w:r>
      <w:r w:rsidR="003E40B1">
        <w:t>; the decrease was maintained in Wave 4 (30%)</w:t>
      </w:r>
      <w:r>
        <w:t xml:space="preserve">.  </w:t>
      </w:r>
      <w:r w:rsidR="003E40B1">
        <w:t>Correspondingly</w:t>
      </w:r>
      <w:r>
        <w:t xml:space="preserve">, </w:t>
      </w:r>
      <w:r w:rsidR="003E40B1">
        <w:t>there was</w:t>
      </w:r>
      <w:r>
        <w:t xml:space="preserve"> a slight increase in the proportion of </w:t>
      </w:r>
      <w:r w:rsidR="003E40B1">
        <w:t>participants</w:t>
      </w:r>
      <w:r>
        <w:t xml:space="preserve"> who did not report hazardous alcohol consumption</w:t>
      </w:r>
      <w:r w:rsidR="003E40B1">
        <w:t xml:space="preserve"> from Wave 1 to Wave 3</w:t>
      </w:r>
      <w:r>
        <w:t xml:space="preserve"> (63% </w:t>
      </w:r>
      <w:r w:rsidR="004E2C27">
        <w:t>and 67% respectively</w:t>
      </w:r>
      <w:r>
        <w:t>)</w:t>
      </w:r>
      <w:r w:rsidR="004E2C27">
        <w:t>; this increase was maintained in Wave 4 (70%)</w:t>
      </w:r>
      <w:r>
        <w:t xml:space="preserve">.  </w:t>
      </w:r>
    </w:p>
    <w:p w14:paraId="03F47A19" w14:textId="77777777" w:rsidR="00C873C1" w:rsidRDefault="00C873C1" w:rsidP="00B3600F">
      <w:pPr>
        <w:pStyle w:val="RepNormal"/>
      </w:pPr>
    </w:p>
    <w:p w14:paraId="54FCB725" w14:textId="77777777" w:rsidR="00C873C1" w:rsidRDefault="00C873C1" w:rsidP="00B3600F">
      <w:pPr>
        <w:pStyle w:val="RepNormal"/>
      </w:pPr>
    </w:p>
    <w:p w14:paraId="7E0AEAC4" w14:textId="77777777" w:rsidR="003366FE" w:rsidRDefault="003366FE" w:rsidP="003366FE">
      <w:pPr>
        <w:pStyle w:val="RepNormal"/>
      </w:pPr>
      <w:r>
        <w:rPr>
          <w:u w:val="single"/>
        </w:rPr>
        <w:t>By ethnicity</w:t>
      </w:r>
    </w:p>
    <w:p w14:paraId="03DD69BA" w14:textId="77777777" w:rsidR="003366FE" w:rsidRDefault="003366FE" w:rsidP="003366FE">
      <w:pPr>
        <w:pStyle w:val="RepNormal"/>
      </w:pPr>
    </w:p>
    <w:p w14:paraId="602DB63F" w14:textId="77777777" w:rsidR="003366FE" w:rsidRDefault="00886517" w:rsidP="003366FE">
      <w:pPr>
        <w:pStyle w:val="RepNormal"/>
      </w:pPr>
      <w:r>
        <w:t>In Wave 4, t</w:t>
      </w:r>
      <w:r w:rsidR="003366FE">
        <w:t xml:space="preserve">here were no differences between Māori </w:t>
      </w:r>
      <w:r w:rsidR="003F3F2F">
        <w:t xml:space="preserve">or Pacific people </w:t>
      </w:r>
      <w:r w:rsidR="003366FE">
        <w:t xml:space="preserve">and the </w:t>
      </w:r>
      <w:r w:rsidR="00227E3A">
        <w:t xml:space="preserve">total </w:t>
      </w:r>
      <w:r w:rsidR="003366FE">
        <w:t>population for the proportion consuming alcohol in</w:t>
      </w:r>
      <w:r w:rsidR="002F04E8">
        <w:t xml:space="preserve"> a hazardous man</w:t>
      </w:r>
      <w:r w:rsidR="003D7BB5">
        <w:t>ner (Appendix 16 and Appendix 17</w:t>
      </w:r>
      <w:r w:rsidR="003366FE">
        <w:t>).</w:t>
      </w:r>
      <w:r w:rsidR="00C72CDD">
        <w:t xml:space="preserve">  However, a substantially lower proportion of Asian participants drank alcohol at a hazardous level compared with the </w:t>
      </w:r>
      <w:r w:rsidR="00227E3A">
        <w:t xml:space="preserve">total </w:t>
      </w:r>
      <w:r w:rsidR="00C72CDD">
        <w:t>popu</w:t>
      </w:r>
      <w:r w:rsidR="00BA7B09">
        <w:t>lat</w:t>
      </w:r>
      <w:r w:rsidR="003D7BB5">
        <w:t>ion (5% vs. 30%) (Appendix 18</w:t>
      </w:r>
      <w:r w:rsidR="00C72CDD">
        <w:t>).</w:t>
      </w:r>
    </w:p>
    <w:p w14:paraId="54B57922" w14:textId="77777777" w:rsidR="00152900" w:rsidRDefault="00152900" w:rsidP="003366FE">
      <w:pPr>
        <w:pStyle w:val="RepNormal"/>
      </w:pPr>
    </w:p>
    <w:p w14:paraId="50F4FCEB" w14:textId="77777777" w:rsidR="00152900" w:rsidRDefault="00152900" w:rsidP="003366FE">
      <w:pPr>
        <w:pStyle w:val="RepNormal"/>
      </w:pPr>
    </w:p>
    <w:p w14:paraId="6197AEF7" w14:textId="77777777" w:rsidR="00B3600F" w:rsidRPr="00D2168E" w:rsidRDefault="00B3600F" w:rsidP="00B3600F">
      <w:pPr>
        <w:pStyle w:val="RepNormal"/>
        <w:rPr>
          <w:b/>
        </w:rPr>
      </w:pPr>
      <w:r>
        <w:rPr>
          <w:b/>
        </w:rPr>
        <w:t>Other drug use</w:t>
      </w:r>
    </w:p>
    <w:p w14:paraId="132033A4" w14:textId="77777777" w:rsidR="00B3600F" w:rsidRDefault="00B3600F" w:rsidP="00B3600F">
      <w:pPr>
        <w:pStyle w:val="RepNormal"/>
      </w:pPr>
    </w:p>
    <w:p w14:paraId="5569E25C" w14:textId="77777777" w:rsidR="00C873C1" w:rsidRDefault="00C873C1" w:rsidP="00C873C1">
      <w:pPr>
        <w:pStyle w:val="RepNormal"/>
      </w:pPr>
      <w:r>
        <w:t>D</w:t>
      </w:r>
      <w:r w:rsidR="003D7BB5">
        <w:t>ata are presented in Appendix 15</w:t>
      </w:r>
      <w:r w:rsidRPr="00235AF5">
        <w:t>.</w:t>
      </w:r>
    </w:p>
    <w:p w14:paraId="5A1DBDB6" w14:textId="77777777" w:rsidR="00C873C1" w:rsidRDefault="00C873C1" w:rsidP="00C873C1">
      <w:pPr>
        <w:pStyle w:val="RepNormal"/>
      </w:pPr>
    </w:p>
    <w:p w14:paraId="4203C43C" w14:textId="77777777" w:rsidR="00CE03A3" w:rsidRDefault="00B3600F" w:rsidP="00B3600F">
      <w:pPr>
        <w:pStyle w:val="RepNormal"/>
      </w:pPr>
      <w:r>
        <w:t xml:space="preserve">From Wave 1 to Wave 2, </w:t>
      </w:r>
      <w:r w:rsidR="004E2C27">
        <w:t xml:space="preserve">there was </w:t>
      </w:r>
      <w:r>
        <w:t xml:space="preserve">a </w:t>
      </w:r>
      <w:r w:rsidRPr="004E2C27">
        <w:t>decrease</w:t>
      </w:r>
      <w:r>
        <w:t xml:space="preserve"> in the </w:t>
      </w:r>
      <w:r w:rsidR="004E2C27">
        <w:t>proportion</w:t>
      </w:r>
      <w:r>
        <w:t xml:space="preserve"> of people who reported using recreational drugs (excluding alcohol and tobacco)</w:t>
      </w:r>
      <w:r w:rsidR="004E2C27">
        <w:t xml:space="preserve"> in the prior </w:t>
      </w:r>
      <w:r w:rsidR="00886517">
        <w:t>12 months</w:t>
      </w:r>
      <w:r>
        <w:t xml:space="preserve"> (1</w:t>
      </w:r>
      <w:r w:rsidR="004E2C27">
        <w:t>5</w:t>
      </w:r>
      <w:r>
        <w:t xml:space="preserve">% </w:t>
      </w:r>
      <w:r w:rsidR="00017595">
        <w:t xml:space="preserve">in </w:t>
      </w:r>
      <w:r>
        <w:t>Wave 1, 11% </w:t>
      </w:r>
      <w:r w:rsidR="00017595">
        <w:t xml:space="preserve">in </w:t>
      </w:r>
      <w:r w:rsidR="004E2C27">
        <w:t>Wave 2);</w:t>
      </w:r>
      <w:r>
        <w:t xml:space="preserve"> </w:t>
      </w:r>
      <w:r w:rsidR="004E2C27">
        <w:t>the</w:t>
      </w:r>
      <w:r>
        <w:t xml:space="preserve"> reduction was maintained in Wave</w:t>
      </w:r>
      <w:r w:rsidR="004E2C27">
        <w:t>s</w:t>
      </w:r>
      <w:r>
        <w:t xml:space="preserve"> 3</w:t>
      </w:r>
      <w:r w:rsidR="004E2C27">
        <w:t xml:space="preserve"> and 4</w:t>
      </w:r>
      <w:r>
        <w:t xml:space="preserve"> (1</w:t>
      </w:r>
      <w:r w:rsidR="004E2C27">
        <w:t>1</w:t>
      </w:r>
      <w:r>
        <w:t>%</w:t>
      </w:r>
      <w:r w:rsidR="004E2C27">
        <w:t xml:space="preserve"> and 10%</w:t>
      </w:r>
      <w:r w:rsidR="00017595">
        <w:t>,</w:t>
      </w:r>
      <w:r w:rsidR="004E2C27">
        <w:t xml:space="preserve"> respectively</w:t>
      </w:r>
      <w:r>
        <w:t xml:space="preserve">).  This finding was </w:t>
      </w:r>
      <w:r w:rsidR="004E2C27">
        <w:t>principally</w:t>
      </w:r>
      <w:r>
        <w:t xml:space="preserve"> due to decreased use of cannabis (12% </w:t>
      </w:r>
      <w:r w:rsidR="00017595">
        <w:t xml:space="preserve">in </w:t>
      </w:r>
      <w:r>
        <w:t xml:space="preserve">Wave 1, </w:t>
      </w:r>
      <w:r w:rsidR="004E2C27">
        <w:t xml:space="preserve">then </w:t>
      </w:r>
      <w:r>
        <w:t xml:space="preserve">9% </w:t>
      </w:r>
      <w:r w:rsidR="004E2C27">
        <w:t xml:space="preserve">in </w:t>
      </w:r>
      <w:r>
        <w:t>Wave</w:t>
      </w:r>
      <w:r w:rsidR="004E2C27">
        <w:t>s</w:t>
      </w:r>
      <w:r w:rsidR="00082299">
        <w:t> </w:t>
      </w:r>
      <w:r>
        <w:t>2</w:t>
      </w:r>
      <w:r w:rsidR="004E2C27">
        <w:t xml:space="preserve"> to 4</w:t>
      </w:r>
      <w:r>
        <w:t xml:space="preserve">).  </w:t>
      </w:r>
      <w:r w:rsidR="004E2C27">
        <w:t>Correspondingly</w:t>
      </w:r>
      <w:r>
        <w:t xml:space="preserve">, </w:t>
      </w:r>
      <w:r w:rsidR="004E2C27">
        <w:t xml:space="preserve">there was </w:t>
      </w:r>
      <w:r>
        <w:t xml:space="preserve">a slight increase in the proportion of </w:t>
      </w:r>
      <w:r w:rsidR="004E2C27">
        <w:t>participants</w:t>
      </w:r>
      <w:r>
        <w:t xml:space="preserve"> who did not use recreational drugs from Wave 1 to Wave 2 (85%</w:t>
      </w:r>
      <w:r w:rsidR="00082299">
        <w:t xml:space="preserve"> </w:t>
      </w:r>
      <w:r w:rsidR="00017595">
        <w:t xml:space="preserve">in </w:t>
      </w:r>
      <w:r w:rsidR="00082299">
        <w:t>Wave 1</w:t>
      </w:r>
      <w:r>
        <w:t>, 89%</w:t>
      </w:r>
      <w:r w:rsidR="00082299">
        <w:t xml:space="preserve"> </w:t>
      </w:r>
      <w:r w:rsidR="00017595">
        <w:t xml:space="preserve">in </w:t>
      </w:r>
      <w:r w:rsidR="00082299">
        <w:t>Wave 2</w:t>
      </w:r>
      <w:r>
        <w:t>)</w:t>
      </w:r>
      <w:r w:rsidR="00017595">
        <w:t>,</w:t>
      </w:r>
      <w:r>
        <w:t xml:space="preserve"> which </w:t>
      </w:r>
      <w:r w:rsidR="004E2C27">
        <w:t>was maintained</w:t>
      </w:r>
      <w:r>
        <w:t xml:space="preserve"> in Wave</w:t>
      </w:r>
      <w:r w:rsidR="004E2C27">
        <w:t>s</w:t>
      </w:r>
      <w:r>
        <w:t xml:space="preserve"> 3</w:t>
      </w:r>
      <w:r w:rsidR="004E2C27">
        <w:t xml:space="preserve"> and 4</w:t>
      </w:r>
      <w:r>
        <w:t xml:space="preserve"> (</w:t>
      </w:r>
      <w:r w:rsidR="004E2C27">
        <w:t xml:space="preserve">both </w:t>
      </w:r>
      <w:r>
        <w:t>90%).</w:t>
      </w:r>
      <w:r w:rsidRPr="00F55632">
        <w:t xml:space="preserve"> </w:t>
      </w:r>
      <w:r>
        <w:t xml:space="preserve"> </w:t>
      </w:r>
    </w:p>
    <w:p w14:paraId="258C18D3" w14:textId="77777777" w:rsidR="00C873C1" w:rsidRDefault="00C873C1" w:rsidP="00B3600F">
      <w:pPr>
        <w:pStyle w:val="RepNormal"/>
      </w:pPr>
    </w:p>
    <w:p w14:paraId="0AA12721" w14:textId="77777777" w:rsidR="00C873C1" w:rsidRDefault="00C873C1" w:rsidP="00B3600F">
      <w:pPr>
        <w:pStyle w:val="RepNormal"/>
      </w:pPr>
    </w:p>
    <w:p w14:paraId="6366D39C" w14:textId="77777777" w:rsidR="00CE03A3" w:rsidRDefault="00CE03A3" w:rsidP="00B3600F">
      <w:pPr>
        <w:pStyle w:val="RepNormal"/>
      </w:pPr>
      <w:r>
        <w:rPr>
          <w:u w:val="single"/>
        </w:rPr>
        <w:t>By ethnicity</w:t>
      </w:r>
    </w:p>
    <w:p w14:paraId="7AD0F178" w14:textId="77777777" w:rsidR="00CE03A3" w:rsidRDefault="00CE03A3" w:rsidP="00B3600F">
      <w:pPr>
        <w:pStyle w:val="RepNormal"/>
      </w:pPr>
    </w:p>
    <w:p w14:paraId="3CCC74B7" w14:textId="77777777" w:rsidR="00CE03A3" w:rsidRPr="00CE03A3" w:rsidRDefault="00CE03A3" w:rsidP="00B3600F">
      <w:pPr>
        <w:pStyle w:val="RepNormal"/>
      </w:pPr>
      <w:r>
        <w:t>In Wave 4, a higher percentage of Māori reported using drugs other than alcohol and tobacco</w:t>
      </w:r>
      <w:r w:rsidR="00887110">
        <w:t>, c</w:t>
      </w:r>
      <w:r>
        <w:t xml:space="preserve">ompared with the </w:t>
      </w:r>
      <w:r w:rsidR="00227E3A">
        <w:t xml:space="preserve">total </w:t>
      </w:r>
      <w:r>
        <w:t xml:space="preserve">population (18% vs. 10%).  A similar finding was noted for cannabis use (17% </w:t>
      </w:r>
      <w:r w:rsidR="00017595">
        <w:t xml:space="preserve">of </w:t>
      </w:r>
      <w:r>
        <w:t xml:space="preserve">Māori vs. 9% overall).  Correspondingly, a lower proportion of Māori did not use drugs compared with the </w:t>
      </w:r>
      <w:r w:rsidR="00227E3A">
        <w:t xml:space="preserve">total </w:t>
      </w:r>
      <w:r>
        <w:t>population (82% vs. 90%).  The percentages of Māori who used drugs/cannabis in Wave 4 were lower than the percentage</w:t>
      </w:r>
      <w:r w:rsidR="00887110">
        <w:t>s in Wave 1</w:t>
      </w:r>
      <w:r w:rsidR="00017595">
        <w:t xml:space="preserve"> (18% vs. 29%).  Data</w:t>
      </w:r>
      <w:r w:rsidR="00887110">
        <w:t xml:space="preserve"> are presented in Appendix </w:t>
      </w:r>
      <w:r w:rsidR="003D7BB5">
        <w:t>16</w:t>
      </w:r>
      <w:r>
        <w:t>.</w:t>
      </w:r>
    </w:p>
    <w:p w14:paraId="0AA66E85" w14:textId="77777777" w:rsidR="00CE03A3" w:rsidRDefault="00CE03A3" w:rsidP="00B3600F">
      <w:pPr>
        <w:pStyle w:val="RepNormal"/>
      </w:pPr>
    </w:p>
    <w:p w14:paraId="2DEA9638" w14:textId="77777777" w:rsidR="003F3F2F" w:rsidRDefault="003F3F2F" w:rsidP="003F3F2F">
      <w:pPr>
        <w:pStyle w:val="RepNormal"/>
      </w:pPr>
      <w:r>
        <w:t xml:space="preserve">There were no differences between Pacific people and the </w:t>
      </w:r>
      <w:r w:rsidR="00227E3A">
        <w:t xml:space="preserve">total </w:t>
      </w:r>
      <w:r>
        <w:t>population</w:t>
      </w:r>
      <w:r w:rsidR="00C72CDD">
        <w:t xml:space="preserve"> for other drug use</w:t>
      </w:r>
      <w:r w:rsidR="003F1B62">
        <w:t xml:space="preserve"> in Wave 4</w:t>
      </w:r>
      <w:r w:rsidR="003D7BB5">
        <w:t xml:space="preserve"> (Appendix 17</w:t>
      </w:r>
      <w:r>
        <w:t>).</w:t>
      </w:r>
    </w:p>
    <w:p w14:paraId="1B91BB23" w14:textId="77777777" w:rsidR="003F1B62" w:rsidRDefault="003F1B62" w:rsidP="003F3F2F">
      <w:pPr>
        <w:pStyle w:val="RepNormal"/>
      </w:pPr>
    </w:p>
    <w:p w14:paraId="40C4EA8F" w14:textId="77777777" w:rsidR="003F1B62" w:rsidRDefault="00886517" w:rsidP="003F3F2F">
      <w:pPr>
        <w:pStyle w:val="RepNormal"/>
      </w:pPr>
      <w:r>
        <w:t>In Wave 4, a</w:t>
      </w:r>
      <w:r w:rsidR="003F1B62">
        <w:t xml:space="preserve"> higher proportion of </w:t>
      </w:r>
      <w:r>
        <w:t>Asian participants reported that they had not used drugs (other than alcohol and tobacco) in the prior 12 months</w:t>
      </w:r>
      <w:r w:rsidR="00B57AE4">
        <w:t>,</w:t>
      </w:r>
      <w:r>
        <w:t xml:space="preserve"> compared with the </w:t>
      </w:r>
      <w:r w:rsidR="00227E3A">
        <w:t xml:space="preserve">total </w:t>
      </w:r>
      <w:r w:rsidR="00B57AE4">
        <w:t>population (98</w:t>
      </w:r>
      <w:r>
        <w:t xml:space="preserve">% vs. 90%).  Correspondingly, a lower proportion of Asian participants reported using drugs (2.0% vs. 10%) and cannabis (2.0% vs 9%) in comparison with the </w:t>
      </w:r>
      <w:r w:rsidR="00227E3A">
        <w:t xml:space="preserve">total </w:t>
      </w:r>
      <w:r>
        <w:t>population (Appendix 18).</w:t>
      </w:r>
    </w:p>
    <w:p w14:paraId="5D67364E" w14:textId="77777777" w:rsidR="003F3F2F" w:rsidRDefault="003F3F2F" w:rsidP="003F3F2F">
      <w:pPr>
        <w:pStyle w:val="RepNormal"/>
      </w:pPr>
    </w:p>
    <w:p w14:paraId="5B9B3DAE" w14:textId="77777777" w:rsidR="00257963" w:rsidRDefault="00257963" w:rsidP="007C46D2">
      <w:pPr>
        <w:pStyle w:val="RepNormal"/>
      </w:pPr>
    </w:p>
    <w:p w14:paraId="6D9A12E7" w14:textId="77777777" w:rsidR="004E2C27" w:rsidRDefault="004E2C27" w:rsidP="004E2C27">
      <w:pPr>
        <w:pStyle w:val="RepNormal"/>
      </w:pPr>
      <w:r>
        <w:rPr>
          <w:b/>
        </w:rPr>
        <w:t>Tobacco use</w:t>
      </w:r>
    </w:p>
    <w:p w14:paraId="4AD407D3" w14:textId="77777777" w:rsidR="004E2C27" w:rsidRDefault="004E2C27" w:rsidP="004E2C27">
      <w:pPr>
        <w:pStyle w:val="RepNormal"/>
      </w:pPr>
    </w:p>
    <w:p w14:paraId="433D16AC" w14:textId="77777777" w:rsidR="00C873C1" w:rsidRDefault="00C873C1" w:rsidP="00C873C1">
      <w:pPr>
        <w:pStyle w:val="RepNormal"/>
      </w:pPr>
      <w:r>
        <w:t>Data are presented in Appendix 1</w:t>
      </w:r>
      <w:r w:rsidR="003D7BB5">
        <w:t>5</w:t>
      </w:r>
      <w:r>
        <w:t>.</w:t>
      </w:r>
    </w:p>
    <w:p w14:paraId="199BA957" w14:textId="77777777" w:rsidR="00C873C1" w:rsidRDefault="00C873C1" w:rsidP="00C873C1">
      <w:pPr>
        <w:pStyle w:val="RepNormal"/>
      </w:pPr>
    </w:p>
    <w:p w14:paraId="03BC34D1" w14:textId="77777777" w:rsidR="004E2C27" w:rsidRDefault="00813122" w:rsidP="004E2C27">
      <w:pPr>
        <w:pStyle w:val="RepNormal"/>
      </w:pPr>
      <w:r>
        <w:t>The proportion of participants who smoked tobacco daily reduced slightly in Wave 4 compared to Wave 1 (13% vs. 16%).  Other t</w:t>
      </w:r>
      <w:r w:rsidR="004E2C27">
        <w:t>obacco use by participants was simi</w:t>
      </w:r>
      <w:r>
        <w:t>lar across the waves.  In Wave 4</w:t>
      </w:r>
      <w:r w:rsidR="004E2C27">
        <w:t xml:space="preserve">, slightly more than half (55%) of the participants had never smoked, and </w:t>
      </w:r>
      <w:r>
        <w:t>almost</w:t>
      </w:r>
      <w:r w:rsidR="004E2C27">
        <w:t xml:space="preserve"> one-</w:t>
      </w:r>
      <w:r>
        <w:t>third (29</w:t>
      </w:r>
      <w:r w:rsidR="004E2C27">
        <w:t xml:space="preserve">%) had given up smoking.  </w:t>
      </w:r>
      <w:r>
        <w:t>Two-thirds (66</w:t>
      </w:r>
      <w:r w:rsidR="004E2C27">
        <w:t>%) of participants reported ever smoking in t</w:t>
      </w:r>
      <w:r>
        <w:t>heir lifetime and two-fifths (42</w:t>
      </w:r>
      <w:r w:rsidR="004E2C27">
        <w:t xml:space="preserve">%) had ever smoked daily. </w:t>
      </w:r>
      <w:r w:rsidR="004E2C27" w:rsidRPr="00907B69">
        <w:t xml:space="preserve"> </w:t>
      </w:r>
    </w:p>
    <w:p w14:paraId="6642F0F8" w14:textId="77777777" w:rsidR="00C873C1" w:rsidRDefault="00C873C1" w:rsidP="004E2C27">
      <w:pPr>
        <w:pStyle w:val="RepNormal"/>
      </w:pPr>
    </w:p>
    <w:p w14:paraId="31233907" w14:textId="77777777" w:rsidR="00C873C1" w:rsidRDefault="00C873C1" w:rsidP="004E2C27">
      <w:pPr>
        <w:pStyle w:val="RepNormal"/>
      </w:pPr>
    </w:p>
    <w:p w14:paraId="2F4FA0B4" w14:textId="77777777" w:rsidR="00CE03A3" w:rsidRDefault="00CE03A3" w:rsidP="00CE03A3">
      <w:pPr>
        <w:pStyle w:val="RepNormal"/>
      </w:pPr>
      <w:r>
        <w:rPr>
          <w:u w:val="single"/>
        </w:rPr>
        <w:t>By ethnicity</w:t>
      </w:r>
    </w:p>
    <w:p w14:paraId="1CD4E718" w14:textId="77777777" w:rsidR="00CE03A3" w:rsidRDefault="00CE03A3" w:rsidP="00CE03A3">
      <w:pPr>
        <w:pStyle w:val="RepNormal"/>
      </w:pPr>
    </w:p>
    <w:p w14:paraId="2EB2450F" w14:textId="77777777" w:rsidR="00257963" w:rsidRDefault="00CE03A3" w:rsidP="00CE03A3">
      <w:pPr>
        <w:pStyle w:val="RepNormal"/>
      </w:pPr>
      <w:r>
        <w:t xml:space="preserve">In Wave 4, higher percentages of Māori reported ever having smoked tobacco (80%), smoking more than 100 cigarettes in lifetime (59%) and ever smoking daily (57%) compared with the </w:t>
      </w:r>
      <w:r w:rsidR="00227E3A">
        <w:t xml:space="preserve">total </w:t>
      </w:r>
      <w:r>
        <w:t>population (66%, 45% and 42%</w:t>
      </w:r>
      <w:r w:rsidR="00B57AE4">
        <w:t>,</w:t>
      </w:r>
      <w:r>
        <w:t xml:space="preserve"> respectively).</w:t>
      </w:r>
      <w:r w:rsidR="000D70C4">
        <w:t xml:space="preserve">  Correspondingly, in Wave 4</w:t>
      </w:r>
      <w:r w:rsidR="00B57AE4">
        <w:t>,</w:t>
      </w:r>
      <w:r w:rsidR="000D70C4">
        <w:t xml:space="preserve"> a lower proportion of Māori reported never having smoked compared w</w:t>
      </w:r>
      <w:r w:rsidR="00887110">
        <w:t xml:space="preserve">ith the </w:t>
      </w:r>
      <w:r w:rsidR="00227E3A">
        <w:t xml:space="preserve">total </w:t>
      </w:r>
      <w:r w:rsidR="00887110">
        <w:t>population (41% </w:t>
      </w:r>
      <w:r w:rsidR="000D70C4">
        <w:t>vs. 55%).  There were no major differences in smoking behaviour amongst Māori from Wave 1 to Wave 4.  Data</w:t>
      </w:r>
      <w:r w:rsidR="003D7BB5">
        <w:t xml:space="preserve"> are presented in Appendix 16</w:t>
      </w:r>
      <w:r w:rsidR="000D70C4">
        <w:t>.</w:t>
      </w:r>
    </w:p>
    <w:p w14:paraId="081012EA" w14:textId="77777777" w:rsidR="00257963" w:rsidRDefault="00257963" w:rsidP="007C46D2">
      <w:pPr>
        <w:pStyle w:val="RepNormal"/>
      </w:pPr>
    </w:p>
    <w:p w14:paraId="6BB252E7" w14:textId="77777777" w:rsidR="003F3F2F" w:rsidRDefault="003F3F2F" w:rsidP="003F3F2F">
      <w:pPr>
        <w:pStyle w:val="RepNormal"/>
      </w:pPr>
      <w:r>
        <w:t xml:space="preserve">In Wave 4, </w:t>
      </w:r>
      <w:r w:rsidR="00C971D4">
        <w:t>lower</w:t>
      </w:r>
      <w:r>
        <w:t xml:space="preserve"> percentages of Pacific people reported </w:t>
      </w:r>
      <w:r w:rsidR="00C971D4">
        <w:t>ever having smoked tobacco</w:t>
      </w:r>
      <w:r>
        <w:t xml:space="preserve"> compared with the </w:t>
      </w:r>
      <w:r w:rsidR="00227E3A">
        <w:t xml:space="preserve">total </w:t>
      </w:r>
      <w:r>
        <w:t>population (</w:t>
      </w:r>
      <w:r w:rsidR="00C971D4">
        <w:t>53% vs. 66%</w:t>
      </w:r>
      <w:r>
        <w:t xml:space="preserve">).  </w:t>
      </w:r>
      <w:r w:rsidR="00C971D4">
        <w:t>However</w:t>
      </w:r>
      <w:r>
        <w:t xml:space="preserve">, in Wave 4 a lower proportion of </w:t>
      </w:r>
      <w:r w:rsidR="00C971D4">
        <w:t>Pacific people</w:t>
      </w:r>
      <w:r>
        <w:t xml:space="preserve"> reported </w:t>
      </w:r>
      <w:r w:rsidR="00C971D4">
        <w:t>having given up smoking</w:t>
      </w:r>
      <w:r>
        <w:t xml:space="preserve"> compared with the </w:t>
      </w:r>
      <w:r w:rsidR="00227E3A">
        <w:t xml:space="preserve">total </w:t>
      </w:r>
      <w:r>
        <w:t>population (</w:t>
      </w:r>
      <w:r w:rsidR="00C971D4">
        <w:t>17</w:t>
      </w:r>
      <w:r>
        <w:t xml:space="preserve">% vs. </w:t>
      </w:r>
      <w:r w:rsidR="00C971D4">
        <w:t>29</w:t>
      </w:r>
      <w:r>
        <w:t xml:space="preserve">%).  There were no major differences in smoking behaviour amongst </w:t>
      </w:r>
      <w:r w:rsidR="00C971D4">
        <w:t>Pacific people</w:t>
      </w:r>
      <w:r>
        <w:t xml:space="preserve"> from Wave 1 to Wave 4.  Data are presented in Appendix</w:t>
      </w:r>
      <w:r w:rsidR="003D7BB5">
        <w:t xml:space="preserve"> 17</w:t>
      </w:r>
      <w:r>
        <w:t>.</w:t>
      </w:r>
    </w:p>
    <w:p w14:paraId="33235517" w14:textId="77777777" w:rsidR="00257963" w:rsidRDefault="00257963" w:rsidP="007C46D2">
      <w:pPr>
        <w:pStyle w:val="RepNormal"/>
      </w:pPr>
    </w:p>
    <w:p w14:paraId="6D841FDB" w14:textId="77777777" w:rsidR="00257963" w:rsidRDefault="00886517" w:rsidP="007C46D2">
      <w:pPr>
        <w:pStyle w:val="RepNormal"/>
      </w:pPr>
      <w:r>
        <w:t xml:space="preserve">In Wave 4 a higher proportion of Asian participants reported that they had never smoked, compared with the </w:t>
      </w:r>
      <w:r w:rsidR="00227E3A">
        <w:t xml:space="preserve">total </w:t>
      </w:r>
      <w:r>
        <w:t>population (83% vs. 55%).  Correspondingly, the proportions of Asians who had ever smoked (27%), smoked more than 100 cigarettes in lifetime (17%)</w:t>
      </w:r>
      <w:r w:rsidR="002B5B2A">
        <w:t xml:space="preserve"> and</w:t>
      </w:r>
      <w:r>
        <w:t xml:space="preserve"> </w:t>
      </w:r>
      <w:r w:rsidR="002B5B2A">
        <w:t xml:space="preserve">ever smoked daily (17%) were lower than the percentages of the </w:t>
      </w:r>
      <w:r w:rsidR="00227E3A">
        <w:t xml:space="preserve">total </w:t>
      </w:r>
      <w:r w:rsidR="002B5B2A">
        <w:t>population reporting these smoking behaviours (66%, 45% and 42%</w:t>
      </w:r>
      <w:r w:rsidR="00B57AE4">
        <w:t>,</w:t>
      </w:r>
      <w:r w:rsidR="002B5B2A">
        <w:t xml:space="preserve"> respectively).  Similarly, a lower proportion of Asian participants reported that they had stopped smoking (13%) or reported that they smoked daily (3.5%) compared with the </w:t>
      </w:r>
      <w:r w:rsidR="00227E3A">
        <w:t xml:space="preserve">total </w:t>
      </w:r>
      <w:r w:rsidR="002B5B2A">
        <w:t>population (29% and 13%</w:t>
      </w:r>
      <w:r w:rsidR="00B57AE4">
        <w:t>,</w:t>
      </w:r>
      <w:r w:rsidR="002B5B2A">
        <w:t xml:space="preserve"> respectively).  Data are presente</w:t>
      </w:r>
      <w:r w:rsidR="003D7BB5">
        <w:t>d in Appendix 18</w:t>
      </w:r>
      <w:r w:rsidR="002B5B2A">
        <w:t>.</w:t>
      </w:r>
    </w:p>
    <w:p w14:paraId="00C6FFDC" w14:textId="77777777" w:rsidR="00257963" w:rsidRDefault="00257963" w:rsidP="007C46D2">
      <w:pPr>
        <w:pStyle w:val="RepNormal"/>
      </w:pPr>
    </w:p>
    <w:p w14:paraId="6D525297" w14:textId="77777777" w:rsidR="00A023BD" w:rsidRDefault="00A023BD" w:rsidP="007C46D2">
      <w:pPr>
        <w:pStyle w:val="RepNormal"/>
      </w:pPr>
    </w:p>
    <w:p w14:paraId="0A37697D" w14:textId="3A42DD6D" w:rsidR="00A023BD" w:rsidRPr="00F60109" w:rsidRDefault="00A023BD" w:rsidP="00A023BD">
      <w:pPr>
        <w:pStyle w:val="RepHead2"/>
      </w:pPr>
      <w:bookmarkStart w:id="85" w:name="_Ref483378407"/>
      <w:bookmarkStart w:id="86" w:name="_Toc504488359"/>
      <w:r w:rsidRPr="00F60109">
        <w:t xml:space="preserve">Gambling type games not </w:t>
      </w:r>
      <w:r w:rsidR="00947B47" w:rsidRPr="00F60109">
        <w:t xml:space="preserve">played </w:t>
      </w:r>
      <w:r w:rsidRPr="00F60109">
        <w:t>for money or prizes</w:t>
      </w:r>
      <w:bookmarkEnd w:id="85"/>
      <w:bookmarkEnd w:id="86"/>
    </w:p>
    <w:p w14:paraId="0AD69E61" w14:textId="77777777" w:rsidR="00A023BD" w:rsidRPr="00F60109" w:rsidRDefault="00A023BD" w:rsidP="00A023BD">
      <w:pPr>
        <w:pStyle w:val="RepNormal"/>
        <w:keepNext/>
      </w:pPr>
    </w:p>
    <w:p w14:paraId="6686AB07" w14:textId="6A3FA1B0" w:rsidR="00364987" w:rsidRDefault="00364987" w:rsidP="00364987">
      <w:pPr>
        <w:pStyle w:val="RepNormal"/>
        <w:keepNext/>
      </w:pPr>
      <w:r w:rsidRPr="00F60109">
        <w:t xml:space="preserve">This section details past year participation in gambling type games </w:t>
      </w:r>
      <w:r w:rsidR="00947B47" w:rsidRPr="00F60109">
        <w:t xml:space="preserve">that are </w:t>
      </w:r>
      <w:r w:rsidRPr="00F60109">
        <w:t xml:space="preserve">not </w:t>
      </w:r>
      <w:r w:rsidR="00947B47" w:rsidRPr="00F60109">
        <w:t xml:space="preserve">played </w:t>
      </w:r>
      <w:r w:rsidRPr="00F60109">
        <w:t xml:space="preserve">for money or prizes (section </w:t>
      </w:r>
      <w:r w:rsidRPr="00F60109">
        <w:fldChar w:fldCharType="begin"/>
      </w:r>
      <w:r w:rsidRPr="00F60109">
        <w:instrText xml:space="preserve"> REF _Ref495670419 \r \h </w:instrText>
      </w:r>
      <w:r w:rsidR="00F60109">
        <w:instrText xml:space="preserve"> \* MERGEFORMAT </w:instrText>
      </w:r>
      <w:r w:rsidRPr="00F60109">
        <w:fldChar w:fldCharType="separate"/>
      </w:r>
      <w:r w:rsidR="00D5752E">
        <w:rPr>
          <w:b/>
          <w:bCs/>
          <w:lang w:val="en-US"/>
        </w:rPr>
        <w:t>Error! Reference source not found.</w:t>
      </w:r>
      <w:r w:rsidRPr="00F60109">
        <w:fldChar w:fldCharType="end"/>
      </w:r>
      <w:r w:rsidR="00947B47" w:rsidRPr="00F60109">
        <w:t>).</w:t>
      </w:r>
    </w:p>
    <w:p w14:paraId="575C29CC" w14:textId="77777777" w:rsidR="00364987" w:rsidRDefault="00364987" w:rsidP="00A023BD">
      <w:pPr>
        <w:pStyle w:val="RepNormal"/>
        <w:keepNext/>
      </w:pPr>
    </w:p>
    <w:p w14:paraId="1B37FF0A" w14:textId="77777777" w:rsidR="00A023BD" w:rsidRDefault="00A023BD" w:rsidP="00A023BD">
      <w:pPr>
        <w:pStyle w:val="RepNormal"/>
      </w:pPr>
      <w:r>
        <w:t>Overall in Wave 4, 13% of participants reported playing gambling type games not for money or prizes in the prior 12 months.  This was a slight decrease from Wave 1 (16%).  Participation in individual games was low, with skill games being the most popular at 7.2% in Wave 4.  Participation in fantasy football and internet poker both decreased over time from 4.7% and 4.1% respectively in Wave 1</w:t>
      </w:r>
      <w:r w:rsidR="003D3900">
        <w:t>,</w:t>
      </w:r>
      <w:r>
        <w:t xml:space="preserve"> to 2.6% and 2.3% respectively in Wave 4 (</w:t>
      </w:r>
      <w:r>
        <w:fldChar w:fldCharType="begin"/>
      </w:r>
      <w:r>
        <w:instrText xml:space="preserve"> REF _Ref470268358 \h </w:instrText>
      </w:r>
      <w:r>
        <w:fldChar w:fldCharType="separate"/>
      </w:r>
      <w:r w:rsidR="00D5752E">
        <w:t xml:space="preserve">Table </w:t>
      </w:r>
      <w:r w:rsidR="00D5752E">
        <w:rPr>
          <w:noProof/>
        </w:rPr>
        <w:t>7</w:t>
      </w:r>
      <w:r>
        <w:fldChar w:fldCharType="end"/>
      </w:r>
      <w:r>
        <w:t>).</w:t>
      </w:r>
    </w:p>
    <w:p w14:paraId="4E3FED43" w14:textId="77777777" w:rsidR="00A023BD" w:rsidRDefault="00A023BD" w:rsidP="00A023BD">
      <w:pPr>
        <w:pStyle w:val="RepNormal"/>
      </w:pPr>
    </w:p>
    <w:p w14:paraId="057DF9E3" w14:textId="77777777" w:rsidR="00A023BD" w:rsidRPr="00BA05A5" w:rsidRDefault="00A023BD" w:rsidP="00A023BD">
      <w:pPr>
        <w:pStyle w:val="Caption"/>
        <w:keepNext/>
        <w:keepLines/>
        <w:ind w:left="-709"/>
      </w:pPr>
      <w:bookmarkStart w:id="87" w:name="_Ref470268358"/>
      <w:bookmarkStart w:id="88" w:name="_Toc504488432"/>
      <w:r>
        <w:t xml:space="preserve">Table </w:t>
      </w:r>
      <w:r w:rsidR="00D5752E">
        <w:fldChar w:fldCharType="begin"/>
      </w:r>
      <w:r w:rsidR="00D5752E">
        <w:instrText xml:space="preserve"> SEQ Table \* ARABIC </w:instrText>
      </w:r>
      <w:r w:rsidR="00D5752E">
        <w:fldChar w:fldCharType="separate"/>
      </w:r>
      <w:r w:rsidR="00D5752E">
        <w:rPr>
          <w:noProof/>
        </w:rPr>
        <w:t>7</w:t>
      </w:r>
      <w:r w:rsidR="00D5752E">
        <w:rPr>
          <w:noProof/>
        </w:rPr>
        <w:fldChar w:fldCharType="end"/>
      </w:r>
      <w:bookmarkEnd w:id="87"/>
      <w:r>
        <w:t>: Participation in gambling type games not for money or prizes in Waves 1, 2, 3 and 4</w:t>
      </w:r>
      <w:bookmarkEnd w:id="88"/>
    </w:p>
    <w:tbl>
      <w:tblPr>
        <w:tblStyle w:val="LightShading4"/>
        <w:tblW w:w="9781" w:type="dxa"/>
        <w:jc w:val="center"/>
        <w:tblLayout w:type="fixed"/>
        <w:tblLook w:val="06A0" w:firstRow="1" w:lastRow="0" w:firstColumn="1" w:lastColumn="0" w:noHBand="1" w:noVBand="1"/>
      </w:tblPr>
      <w:tblGrid>
        <w:gridCol w:w="1276"/>
        <w:gridCol w:w="567"/>
        <w:gridCol w:w="567"/>
        <w:gridCol w:w="992"/>
        <w:gridCol w:w="536"/>
        <w:gridCol w:w="567"/>
        <w:gridCol w:w="1024"/>
        <w:gridCol w:w="536"/>
        <w:gridCol w:w="567"/>
        <w:gridCol w:w="1043"/>
        <w:gridCol w:w="536"/>
        <w:gridCol w:w="576"/>
        <w:gridCol w:w="994"/>
      </w:tblGrid>
      <w:tr w:rsidR="00A023BD" w:rsidRPr="00F573AD" w14:paraId="1DE4570E" w14:textId="77777777" w:rsidTr="00A023B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bottom w:val="single" w:sz="4" w:space="0" w:color="auto"/>
            </w:tcBorders>
            <w:vAlign w:val="bottom"/>
            <w:hideMark/>
          </w:tcPr>
          <w:p w14:paraId="4CE82513" w14:textId="77777777" w:rsidR="00A023BD" w:rsidRPr="00F573AD" w:rsidRDefault="00A023BD" w:rsidP="00A023BD">
            <w:pPr>
              <w:keepNext/>
              <w:keepLines/>
              <w:spacing w:before="20" w:after="20"/>
              <w:rPr>
                <w:rFonts w:eastAsiaTheme="minorEastAsia"/>
                <w:sz w:val="16"/>
                <w:szCs w:val="16"/>
                <w:lang w:eastAsia="en-US"/>
              </w:rPr>
            </w:pPr>
            <w:r w:rsidRPr="00F573AD">
              <w:rPr>
                <w:rFonts w:eastAsiaTheme="minorEastAsia"/>
                <w:sz w:val="16"/>
                <w:szCs w:val="16"/>
              </w:rPr>
              <w:t>Activity</w:t>
            </w:r>
          </w:p>
        </w:tc>
        <w:tc>
          <w:tcPr>
            <w:tcW w:w="2126" w:type="dxa"/>
            <w:gridSpan w:val="3"/>
            <w:tcBorders>
              <w:bottom w:val="single" w:sz="4" w:space="0" w:color="auto"/>
              <w:right w:val="single" w:sz="4" w:space="0" w:color="auto"/>
            </w:tcBorders>
            <w:noWrap/>
            <w:vAlign w:val="center"/>
            <w:hideMark/>
          </w:tcPr>
          <w:p w14:paraId="00E318CE" w14:textId="77777777" w:rsidR="00A023BD" w:rsidRPr="00F573AD" w:rsidRDefault="00A023BD" w:rsidP="00A023BD">
            <w:pPr>
              <w:keepNext/>
              <w:keepLines/>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6"/>
                <w:szCs w:val="16"/>
                <w:lang w:eastAsia="en-US"/>
              </w:rPr>
            </w:pPr>
            <w:r w:rsidRPr="00F573AD">
              <w:rPr>
                <w:rFonts w:eastAsiaTheme="minorEastAsia"/>
                <w:sz w:val="16"/>
                <w:szCs w:val="16"/>
              </w:rPr>
              <w:t>Wave 1</w:t>
            </w:r>
          </w:p>
        </w:tc>
        <w:tc>
          <w:tcPr>
            <w:tcW w:w="2127" w:type="dxa"/>
            <w:gridSpan w:val="3"/>
            <w:tcBorders>
              <w:left w:val="single" w:sz="4" w:space="0" w:color="auto"/>
              <w:bottom w:val="single" w:sz="4" w:space="0" w:color="auto"/>
            </w:tcBorders>
            <w:vAlign w:val="center"/>
          </w:tcPr>
          <w:p w14:paraId="233B5494" w14:textId="77777777" w:rsidR="00A023BD" w:rsidRPr="00F573AD" w:rsidRDefault="00A023BD" w:rsidP="00A023BD">
            <w:pPr>
              <w:keepNext/>
              <w:keepLines/>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F573AD">
              <w:rPr>
                <w:rFonts w:eastAsiaTheme="minorEastAsia"/>
                <w:sz w:val="16"/>
                <w:szCs w:val="16"/>
                <w:lang w:eastAsia="en-US"/>
              </w:rPr>
              <w:t>Wave 2</w:t>
            </w:r>
          </w:p>
        </w:tc>
        <w:tc>
          <w:tcPr>
            <w:tcW w:w="2146" w:type="dxa"/>
            <w:gridSpan w:val="3"/>
            <w:tcBorders>
              <w:left w:val="single" w:sz="4" w:space="0" w:color="auto"/>
              <w:bottom w:val="single" w:sz="4" w:space="0" w:color="auto"/>
            </w:tcBorders>
          </w:tcPr>
          <w:p w14:paraId="36287F05" w14:textId="77777777" w:rsidR="00A023BD" w:rsidRPr="00F573AD" w:rsidRDefault="00A023BD" w:rsidP="00A023BD">
            <w:pPr>
              <w:keepNext/>
              <w:keepLines/>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F573AD">
              <w:rPr>
                <w:rFonts w:eastAsiaTheme="minorEastAsia"/>
                <w:sz w:val="16"/>
                <w:szCs w:val="16"/>
                <w:lang w:eastAsia="en-US"/>
              </w:rPr>
              <w:t>Wave 3</w:t>
            </w:r>
          </w:p>
        </w:tc>
        <w:tc>
          <w:tcPr>
            <w:tcW w:w="2106" w:type="dxa"/>
            <w:gridSpan w:val="3"/>
            <w:tcBorders>
              <w:left w:val="single" w:sz="4" w:space="0" w:color="auto"/>
              <w:bottom w:val="single" w:sz="4" w:space="0" w:color="auto"/>
            </w:tcBorders>
          </w:tcPr>
          <w:p w14:paraId="4A9DAC35" w14:textId="77777777" w:rsidR="00A023BD" w:rsidRPr="00F573AD" w:rsidRDefault="00A023BD" w:rsidP="00A023BD">
            <w:pPr>
              <w:keepNext/>
              <w:keepLines/>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F573AD">
              <w:rPr>
                <w:rFonts w:eastAsiaTheme="minorEastAsia"/>
                <w:sz w:val="16"/>
                <w:szCs w:val="16"/>
                <w:lang w:eastAsia="en-US"/>
              </w:rPr>
              <w:t>Wave 4</w:t>
            </w:r>
          </w:p>
        </w:tc>
      </w:tr>
      <w:tr w:rsidR="00A023BD" w:rsidRPr="00F573AD" w14:paraId="548B8BE3" w14:textId="77777777" w:rsidTr="00A023B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76" w:type="dxa"/>
            <w:vMerge/>
            <w:tcBorders>
              <w:bottom w:val="single" w:sz="4" w:space="0" w:color="auto"/>
            </w:tcBorders>
            <w:vAlign w:val="center"/>
            <w:hideMark/>
          </w:tcPr>
          <w:p w14:paraId="5BEC79D8" w14:textId="77777777" w:rsidR="00A023BD" w:rsidRPr="00F573AD" w:rsidRDefault="00A023BD" w:rsidP="00A023BD">
            <w:pPr>
              <w:keepNext/>
              <w:keepLines/>
              <w:spacing w:before="20" w:after="20"/>
              <w:rPr>
                <w:rFonts w:eastAsiaTheme="minorEastAsia"/>
                <w:sz w:val="16"/>
                <w:szCs w:val="16"/>
                <w:lang w:eastAsia="en-US"/>
              </w:rPr>
            </w:pPr>
          </w:p>
        </w:tc>
        <w:tc>
          <w:tcPr>
            <w:tcW w:w="567" w:type="dxa"/>
            <w:tcBorders>
              <w:top w:val="single" w:sz="4" w:space="0" w:color="auto"/>
              <w:bottom w:val="single" w:sz="4" w:space="0" w:color="auto"/>
            </w:tcBorders>
            <w:noWrap/>
            <w:vAlign w:val="center"/>
            <w:hideMark/>
          </w:tcPr>
          <w:p w14:paraId="1A0B316E" w14:textId="77777777" w:rsidR="00A023BD" w:rsidRPr="00F573AD" w:rsidRDefault="00A023BD" w:rsidP="00A023BD">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F573AD">
              <w:rPr>
                <w:rFonts w:eastAsiaTheme="minorEastAsia"/>
                <w:sz w:val="16"/>
                <w:szCs w:val="16"/>
              </w:rPr>
              <w:t>n</w:t>
            </w:r>
          </w:p>
        </w:tc>
        <w:tc>
          <w:tcPr>
            <w:tcW w:w="567" w:type="dxa"/>
            <w:tcBorders>
              <w:top w:val="single" w:sz="4" w:space="0" w:color="auto"/>
              <w:bottom w:val="single" w:sz="4" w:space="0" w:color="auto"/>
            </w:tcBorders>
            <w:noWrap/>
            <w:vAlign w:val="center"/>
            <w:hideMark/>
          </w:tcPr>
          <w:p w14:paraId="3A741A42" w14:textId="77777777" w:rsidR="00A023BD" w:rsidRPr="00F573AD" w:rsidRDefault="00A023BD" w:rsidP="00A023BD">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F573AD">
              <w:rPr>
                <w:rFonts w:eastAsiaTheme="minorEastAsia"/>
                <w:sz w:val="16"/>
                <w:szCs w:val="16"/>
              </w:rPr>
              <w:t>%</w:t>
            </w:r>
          </w:p>
        </w:tc>
        <w:tc>
          <w:tcPr>
            <w:tcW w:w="992" w:type="dxa"/>
            <w:tcBorders>
              <w:top w:val="single" w:sz="4" w:space="0" w:color="auto"/>
              <w:bottom w:val="single" w:sz="4" w:space="0" w:color="auto"/>
              <w:right w:val="single" w:sz="4" w:space="0" w:color="auto"/>
            </w:tcBorders>
            <w:noWrap/>
            <w:vAlign w:val="center"/>
          </w:tcPr>
          <w:p w14:paraId="132032E4" w14:textId="77777777" w:rsidR="00A023BD" w:rsidRPr="00F573AD" w:rsidRDefault="00A023BD" w:rsidP="00A023BD">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F573AD">
              <w:rPr>
                <w:rFonts w:eastAsiaTheme="minorEastAsia"/>
                <w:sz w:val="16"/>
                <w:szCs w:val="16"/>
                <w:lang w:eastAsia="en-US"/>
              </w:rPr>
              <w:t>(95% CI)</w:t>
            </w:r>
          </w:p>
        </w:tc>
        <w:tc>
          <w:tcPr>
            <w:tcW w:w="536" w:type="dxa"/>
            <w:tcBorders>
              <w:top w:val="single" w:sz="4" w:space="0" w:color="auto"/>
              <w:left w:val="single" w:sz="4" w:space="0" w:color="auto"/>
              <w:bottom w:val="single" w:sz="4" w:space="0" w:color="auto"/>
            </w:tcBorders>
            <w:noWrap/>
            <w:vAlign w:val="center"/>
          </w:tcPr>
          <w:p w14:paraId="554D114B" w14:textId="77777777" w:rsidR="00A023BD" w:rsidRPr="00F573AD" w:rsidRDefault="00A023BD" w:rsidP="00A023BD">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F573AD">
              <w:rPr>
                <w:rFonts w:eastAsiaTheme="minorEastAsia"/>
                <w:sz w:val="16"/>
                <w:szCs w:val="16"/>
                <w:lang w:eastAsia="en-US"/>
              </w:rPr>
              <w:t>n</w:t>
            </w:r>
          </w:p>
        </w:tc>
        <w:tc>
          <w:tcPr>
            <w:tcW w:w="567" w:type="dxa"/>
            <w:tcBorders>
              <w:top w:val="single" w:sz="4" w:space="0" w:color="auto"/>
              <w:bottom w:val="single" w:sz="4" w:space="0" w:color="auto"/>
            </w:tcBorders>
            <w:noWrap/>
            <w:vAlign w:val="center"/>
          </w:tcPr>
          <w:p w14:paraId="089D5A7E" w14:textId="77777777" w:rsidR="00A023BD" w:rsidRPr="00F573AD" w:rsidRDefault="00A023BD" w:rsidP="00A023BD">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F573AD">
              <w:rPr>
                <w:rFonts w:eastAsiaTheme="minorEastAsia"/>
                <w:sz w:val="16"/>
                <w:szCs w:val="16"/>
                <w:lang w:eastAsia="en-US"/>
              </w:rPr>
              <w:t>%</w:t>
            </w:r>
          </w:p>
        </w:tc>
        <w:tc>
          <w:tcPr>
            <w:tcW w:w="1024" w:type="dxa"/>
            <w:tcBorders>
              <w:top w:val="single" w:sz="4" w:space="0" w:color="auto"/>
              <w:bottom w:val="single" w:sz="4" w:space="0" w:color="auto"/>
              <w:right w:val="single" w:sz="4" w:space="0" w:color="000000"/>
            </w:tcBorders>
            <w:shd w:val="clear" w:color="auto" w:fill="FFFFFF" w:themeFill="background1"/>
            <w:noWrap/>
            <w:vAlign w:val="center"/>
          </w:tcPr>
          <w:p w14:paraId="17A54B00" w14:textId="77777777" w:rsidR="00A023BD" w:rsidRPr="00F573AD" w:rsidRDefault="00A023BD" w:rsidP="00A023BD">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F573AD">
              <w:rPr>
                <w:rFonts w:eastAsiaTheme="minorEastAsia"/>
                <w:sz w:val="16"/>
                <w:szCs w:val="16"/>
                <w:lang w:eastAsia="en-US"/>
              </w:rPr>
              <w:t>(95% CI)</w:t>
            </w:r>
          </w:p>
        </w:tc>
        <w:tc>
          <w:tcPr>
            <w:tcW w:w="536" w:type="dxa"/>
            <w:tcBorders>
              <w:top w:val="single" w:sz="4" w:space="0" w:color="auto"/>
              <w:left w:val="single" w:sz="4" w:space="0" w:color="000000"/>
              <w:bottom w:val="single" w:sz="4" w:space="0" w:color="auto"/>
            </w:tcBorders>
            <w:shd w:val="clear" w:color="auto" w:fill="FFFFFF" w:themeFill="background1"/>
            <w:vAlign w:val="center"/>
          </w:tcPr>
          <w:p w14:paraId="3B3AED75" w14:textId="77777777" w:rsidR="00A023BD" w:rsidRPr="00F573AD" w:rsidRDefault="00A023BD" w:rsidP="00A023BD">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F573AD">
              <w:rPr>
                <w:rFonts w:eastAsiaTheme="minorEastAsia"/>
                <w:sz w:val="16"/>
                <w:szCs w:val="16"/>
                <w:lang w:eastAsia="en-US"/>
              </w:rPr>
              <w:t>n</w:t>
            </w:r>
          </w:p>
        </w:tc>
        <w:tc>
          <w:tcPr>
            <w:tcW w:w="567" w:type="dxa"/>
            <w:tcBorders>
              <w:top w:val="single" w:sz="4" w:space="0" w:color="auto"/>
              <w:bottom w:val="single" w:sz="4" w:space="0" w:color="auto"/>
            </w:tcBorders>
            <w:shd w:val="clear" w:color="auto" w:fill="FFFFFF" w:themeFill="background1"/>
            <w:vAlign w:val="center"/>
          </w:tcPr>
          <w:p w14:paraId="5EB46CA8" w14:textId="77777777" w:rsidR="00A023BD" w:rsidRPr="00F573AD" w:rsidRDefault="00A023BD" w:rsidP="00A023BD">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F573AD">
              <w:rPr>
                <w:rFonts w:eastAsiaTheme="minorEastAsia"/>
                <w:sz w:val="16"/>
                <w:szCs w:val="16"/>
                <w:lang w:eastAsia="en-US"/>
              </w:rPr>
              <w:t>%</w:t>
            </w:r>
          </w:p>
        </w:tc>
        <w:tc>
          <w:tcPr>
            <w:tcW w:w="1043" w:type="dxa"/>
            <w:tcBorders>
              <w:top w:val="single" w:sz="4" w:space="0" w:color="auto"/>
              <w:bottom w:val="single" w:sz="4" w:space="0" w:color="auto"/>
              <w:right w:val="single" w:sz="4" w:space="0" w:color="000000"/>
            </w:tcBorders>
            <w:shd w:val="clear" w:color="auto" w:fill="FFFFFF" w:themeFill="background1"/>
            <w:vAlign w:val="center"/>
          </w:tcPr>
          <w:p w14:paraId="4AB949FD" w14:textId="77777777" w:rsidR="00A023BD" w:rsidRPr="00F573AD" w:rsidRDefault="00A023BD" w:rsidP="00A023BD">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F573AD">
              <w:rPr>
                <w:rFonts w:eastAsiaTheme="minorEastAsia"/>
                <w:sz w:val="16"/>
                <w:szCs w:val="16"/>
                <w:lang w:eastAsia="en-US"/>
              </w:rPr>
              <w:t>(95% CI)</w:t>
            </w:r>
          </w:p>
        </w:tc>
        <w:tc>
          <w:tcPr>
            <w:tcW w:w="536" w:type="dxa"/>
            <w:tcBorders>
              <w:top w:val="single" w:sz="4" w:space="0" w:color="auto"/>
              <w:left w:val="single" w:sz="4" w:space="0" w:color="000000"/>
              <w:bottom w:val="single" w:sz="4" w:space="0" w:color="auto"/>
            </w:tcBorders>
            <w:shd w:val="clear" w:color="auto" w:fill="FFFFFF" w:themeFill="background1"/>
            <w:vAlign w:val="center"/>
          </w:tcPr>
          <w:p w14:paraId="41584A66" w14:textId="77777777" w:rsidR="00A023BD" w:rsidRPr="00F573AD" w:rsidRDefault="00A023BD" w:rsidP="00A023BD">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F573AD">
              <w:rPr>
                <w:rFonts w:eastAsiaTheme="minorEastAsia"/>
                <w:sz w:val="16"/>
                <w:szCs w:val="16"/>
                <w:lang w:eastAsia="en-US"/>
              </w:rPr>
              <w:t>n</w:t>
            </w:r>
          </w:p>
        </w:tc>
        <w:tc>
          <w:tcPr>
            <w:tcW w:w="576" w:type="dxa"/>
            <w:tcBorders>
              <w:top w:val="single" w:sz="4" w:space="0" w:color="auto"/>
              <w:bottom w:val="single" w:sz="4" w:space="0" w:color="auto"/>
            </w:tcBorders>
            <w:shd w:val="clear" w:color="auto" w:fill="FFFFFF" w:themeFill="background1"/>
            <w:vAlign w:val="center"/>
          </w:tcPr>
          <w:p w14:paraId="732AFC93" w14:textId="77777777" w:rsidR="00A023BD" w:rsidRPr="00F573AD" w:rsidRDefault="00A023BD" w:rsidP="00A023BD">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F573AD">
              <w:rPr>
                <w:rFonts w:eastAsiaTheme="minorEastAsia"/>
                <w:sz w:val="16"/>
                <w:szCs w:val="16"/>
                <w:lang w:eastAsia="en-US"/>
              </w:rPr>
              <w:t>%</w:t>
            </w:r>
          </w:p>
        </w:tc>
        <w:tc>
          <w:tcPr>
            <w:tcW w:w="994" w:type="dxa"/>
            <w:tcBorders>
              <w:top w:val="single" w:sz="4" w:space="0" w:color="auto"/>
              <w:bottom w:val="single" w:sz="4" w:space="0" w:color="auto"/>
            </w:tcBorders>
            <w:shd w:val="clear" w:color="auto" w:fill="FFFFFF" w:themeFill="background1"/>
            <w:vAlign w:val="center"/>
          </w:tcPr>
          <w:p w14:paraId="53288538" w14:textId="77777777" w:rsidR="00A023BD" w:rsidRPr="00F573AD" w:rsidRDefault="00A023BD" w:rsidP="00A023BD">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F573AD">
              <w:rPr>
                <w:rFonts w:eastAsiaTheme="minorEastAsia"/>
                <w:sz w:val="16"/>
                <w:szCs w:val="16"/>
                <w:lang w:eastAsia="en-US"/>
              </w:rPr>
              <w:t>(95% CI)</w:t>
            </w:r>
          </w:p>
        </w:tc>
      </w:tr>
      <w:tr w:rsidR="009118DA" w:rsidRPr="00F573AD" w14:paraId="3CBCBF1C" w14:textId="77777777" w:rsidTr="00891417">
        <w:trPr>
          <w:jc w:val="center"/>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shd w:val="clear" w:color="auto" w:fill="auto"/>
            <w:vAlign w:val="center"/>
          </w:tcPr>
          <w:p w14:paraId="08825571" w14:textId="77777777" w:rsidR="00A023BD" w:rsidRPr="00F573AD" w:rsidRDefault="00A023BD" w:rsidP="00A023BD">
            <w:pPr>
              <w:keepNext/>
              <w:keepLines/>
              <w:spacing w:before="20" w:after="20"/>
              <w:rPr>
                <w:rFonts w:eastAsiaTheme="minorEastAsia"/>
                <w:b w:val="0"/>
                <w:sz w:val="16"/>
                <w:szCs w:val="16"/>
                <w:lang w:eastAsia="en-US"/>
              </w:rPr>
            </w:pPr>
            <w:r>
              <w:rPr>
                <w:rFonts w:eastAsiaTheme="minorEastAsia"/>
                <w:b w:val="0"/>
                <w:sz w:val="16"/>
                <w:szCs w:val="16"/>
                <w:lang w:eastAsia="en-US"/>
              </w:rPr>
              <w:t>Fantasy football</w:t>
            </w:r>
          </w:p>
        </w:tc>
        <w:tc>
          <w:tcPr>
            <w:tcW w:w="567" w:type="dxa"/>
            <w:tcBorders>
              <w:top w:val="nil"/>
              <w:left w:val="nil"/>
              <w:bottom w:val="nil"/>
              <w:right w:val="nil"/>
            </w:tcBorders>
            <w:shd w:val="clear" w:color="auto" w:fill="auto"/>
            <w:noWrap/>
            <w:vAlign w:val="center"/>
          </w:tcPr>
          <w:p w14:paraId="0B147897"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Pr>
                <w:color w:val="000000"/>
                <w:sz w:val="16"/>
                <w:szCs w:val="16"/>
              </w:rPr>
              <w:t>296</w:t>
            </w:r>
          </w:p>
        </w:tc>
        <w:tc>
          <w:tcPr>
            <w:tcW w:w="567" w:type="dxa"/>
            <w:tcBorders>
              <w:top w:val="nil"/>
              <w:left w:val="nil"/>
              <w:bottom w:val="nil"/>
              <w:right w:val="nil"/>
            </w:tcBorders>
            <w:shd w:val="clear" w:color="auto" w:fill="auto"/>
            <w:noWrap/>
            <w:vAlign w:val="center"/>
          </w:tcPr>
          <w:p w14:paraId="2B62F699"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992" w:type="dxa"/>
            <w:tcBorders>
              <w:top w:val="nil"/>
              <w:left w:val="nil"/>
              <w:bottom w:val="nil"/>
              <w:right w:val="single" w:sz="4" w:space="0" w:color="auto"/>
            </w:tcBorders>
            <w:shd w:val="clear" w:color="auto" w:fill="auto"/>
            <w:noWrap/>
            <w:vAlign w:val="center"/>
          </w:tcPr>
          <w:p w14:paraId="0E9B18D6"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(4.0, 5.5)</w:t>
            </w:r>
          </w:p>
        </w:tc>
        <w:tc>
          <w:tcPr>
            <w:tcW w:w="536" w:type="dxa"/>
            <w:tcBorders>
              <w:top w:val="nil"/>
              <w:left w:val="single" w:sz="4" w:space="0" w:color="auto"/>
              <w:bottom w:val="nil"/>
              <w:right w:val="nil"/>
            </w:tcBorders>
            <w:shd w:val="clear" w:color="auto" w:fill="auto"/>
            <w:noWrap/>
            <w:vAlign w:val="center"/>
          </w:tcPr>
          <w:p w14:paraId="6F1487A1"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567" w:type="dxa"/>
            <w:tcBorders>
              <w:top w:val="nil"/>
              <w:left w:val="nil"/>
              <w:bottom w:val="nil"/>
              <w:right w:val="nil"/>
            </w:tcBorders>
            <w:shd w:val="clear" w:color="auto" w:fill="auto"/>
            <w:noWrap/>
            <w:vAlign w:val="center"/>
          </w:tcPr>
          <w:p w14:paraId="01A42D0B"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1024" w:type="dxa"/>
            <w:tcBorders>
              <w:top w:val="nil"/>
              <w:left w:val="nil"/>
              <w:bottom w:val="nil"/>
              <w:right w:val="single" w:sz="4" w:space="0" w:color="000000"/>
            </w:tcBorders>
            <w:shd w:val="clear" w:color="auto" w:fill="auto"/>
            <w:noWrap/>
            <w:vAlign w:val="center"/>
          </w:tcPr>
          <w:p w14:paraId="1260B4B9"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(3.0, 4.6)</w:t>
            </w:r>
          </w:p>
        </w:tc>
        <w:tc>
          <w:tcPr>
            <w:tcW w:w="536" w:type="dxa"/>
            <w:tcBorders>
              <w:top w:val="nil"/>
              <w:left w:val="single" w:sz="4" w:space="0" w:color="000000"/>
              <w:bottom w:val="nil"/>
              <w:right w:val="nil"/>
            </w:tcBorders>
            <w:shd w:val="clear" w:color="auto" w:fill="auto"/>
            <w:vAlign w:val="center"/>
          </w:tcPr>
          <w:p w14:paraId="2301D9C1"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567" w:type="dxa"/>
            <w:tcBorders>
              <w:top w:val="nil"/>
              <w:left w:val="nil"/>
              <w:bottom w:val="nil"/>
              <w:right w:val="nil"/>
            </w:tcBorders>
            <w:shd w:val="clear" w:color="auto" w:fill="auto"/>
            <w:vAlign w:val="center"/>
          </w:tcPr>
          <w:p w14:paraId="190B771A"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1043" w:type="dxa"/>
            <w:tcBorders>
              <w:top w:val="nil"/>
              <w:left w:val="nil"/>
              <w:bottom w:val="nil"/>
              <w:right w:val="single" w:sz="4" w:space="0" w:color="000000"/>
            </w:tcBorders>
            <w:shd w:val="clear" w:color="auto" w:fill="auto"/>
            <w:vAlign w:val="center"/>
          </w:tcPr>
          <w:p w14:paraId="67E4E231"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(2.0, 3.6)</w:t>
            </w:r>
          </w:p>
        </w:tc>
        <w:tc>
          <w:tcPr>
            <w:tcW w:w="536" w:type="dxa"/>
            <w:tcBorders>
              <w:top w:val="nil"/>
              <w:left w:val="single" w:sz="4" w:space="0" w:color="000000"/>
              <w:bottom w:val="nil"/>
              <w:right w:val="nil"/>
            </w:tcBorders>
            <w:shd w:val="clear" w:color="auto" w:fill="auto"/>
            <w:vAlign w:val="center"/>
          </w:tcPr>
          <w:p w14:paraId="52C66DC5"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576" w:type="dxa"/>
            <w:tcBorders>
              <w:top w:val="nil"/>
              <w:left w:val="nil"/>
              <w:bottom w:val="nil"/>
              <w:right w:val="nil"/>
            </w:tcBorders>
            <w:shd w:val="clear" w:color="auto" w:fill="auto"/>
            <w:vAlign w:val="center"/>
          </w:tcPr>
          <w:p w14:paraId="216DF962"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994" w:type="dxa"/>
            <w:tcBorders>
              <w:top w:val="nil"/>
              <w:left w:val="nil"/>
              <w:bottom w:val="nil"/>
              <w:right w:val="nil"/>
            </w:tcBorders>
            <w:shd w:val="clear" w:color="auto" w:fill="auto"/>
            <w:vAlign w:val="center"/>
          </w:tcPr>
          <w:p w14:paraId="1304DDC6"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(1.8, 3.3)</w:t>
            </w:r>
          </w:p>
        </w:tc>
      </w:tr>
      <w:tr w:rsidR="009118DA" w:rsidRPr="00F573AD" w14:paraId="76CB3292" w14:textId="77777777" w:rsidTr="00891417">
        <w:trPr>
          <w:jc w:val="center"/>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shd w:val="clear" w:color="auto" w:fill="auto"/>
            <w:vAlign w:val="center"/>
          </w:tcPr>
          <w:p w14:paraId="2FFC6845" w14:textId="77777777" w:rsidR="00A023BD" w:rsidRPr="00F573AD" w:rsidRDefault="00A023BD" w:rsidP="00A023BD">
            <w:pPr>
              <w:keepNext/>
              <w:keepLines/>
              <w:spacing w:before="20" w:after="20"/>
              <w:rPr>
                <w:rFonts w:eastAsiaTheme="minorEastAsia"/>
                <w:b w:val="0"/>
                <w:sz w:val="16"/>
                <w:szCs w:val="16"/>
              </w:rPr>
            </w:pPr>
            <w:r>
              <w:rPr>
                <w:rFonts w:eastAsiaTheme="minorEastAsia"/>
                <w:b w:val="0"/>
                <w:sz w:val="16"/>
                <w:szCs w:val="16"/>
              </w:rPr>
              <w:t>Internet poker</w:t>
            </w:r>
          </w:p>
        </w:tc>
        <w:tc>
          <w:tcPr>
            <w:tcW w:w="567" w:type="dxa"/>
            <w:tcBorders>
              <w:top w:val="nil"/>
              <w:left w:val="nil"/>
              <w:bottom w:val="nil"/>
              <w:right w:val="nil"/>
            </w:tcBorders>
            <w:shd w:val="clear" w:color="auto" w:fill="auto"/>
            <w:noWrap/>
            <w:vAlign w:val="center"/>
          </w:tcPr>
          <w:p w14:paraId="0138E368"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253</w:t>
            </w:r>
          </w:p>
        </w:tc>
        <w:tc>
          <w:tcPr>
            <w:tcW w:w="567" w:type="dxa"/>
            <w:tcBorders>
              <w:top w:val="nil"/>
              <w:left w:val="nil"/>
              <w:bottom w:val="nil"/>
              <w:right w:val="nil"/>
            </w:tcBorders>
            <w:shd w:val="clear" w:color="auto" w:fill="auto"/>
            <w:noWrap/>
            <w:vAlign w:val="center"/>
          </w:tcPr>
          <w:p w14:paraId="7E78B311"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992" w:type="dxa"/>
            <w:tcBorders>
              <w:top w:val="nil"/>
              <w:left w:val="nil"/>
              <w:bottom w:val="nil"/>
              <w:right w:val="single" w:sz="4" w:space="0" w:color="auto"/>
            </w:tcBorders>
            <w:shd w:val="clear" w:color="auto" w:fill="auto"/>
            <w:noWrap/>
            <w:vAlign w:val="center"/>
          </w:tcPr>
          <w:p w14:paraId="777A8C68"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(3.4, 4.7)</w:t>
            </w:r>
          </w:p>
        </w:tc>
        <w:tc>
          <w:tcPr>
            <w:tcW w:w="536" w:type="dxa"/>
            <w:tcBorders>
              <w:top w:val="nil"/>
              <w:left w:val="single" w:sz="4" w:space="0" w:color="auto"/>
              <w:bottom w:val="nil"/>
              <w:right w:val="nil"/>
            </w:tcBorders>
            <w:shd w:val="clear" w:color="auto" w:fill="auto"/>
            <w:noWrap/>
            <w:vAlign w:val="center"/>
          </w:tcPr>
          <w:p w14:paraId="3369797A"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67" w:type="dxa"/>
            <w:tcBorders>
              <w:top w:val="nil"/>
              <w:left w:val="nil"/>
              <w:bottom w:val="nil"/>
              <w:right w:val="nil"/>
            </w:tcBorders>
            <w:shd w:val="clear" w:color="auto" w:fill="auto"/>
            <w:noWrap/>
            <w:vAlign w:val="center"/>
          </w:tcPr>
          <w:p w14:paraId="7066155C"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1024" w:type="dxa"/>
            <w:tcBorders>
              <w:top w:val="nil"/>
              <w:left w:val="nil"/>
              <w:bottom w:val="nil"/>
              <w:right w:val="single" w:sz="4" w:space="0" w:color="000000"/>
            </w:tcBorders>
            <w:shd w:val="clear" w:color="auto" w:fill="auto"/>
            <w:noWrap/>
            <w:vAlign w:val="center"/>
          </w:tcPr>
          <w:p w14:paraId="174E54AC"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(2.8, 4.7)</w:t>
            </w:r>
          </w:p>
        </w:tc>
        <w:tc>
          <w:tcPr>
            <w:tcW w:w="536" w:type="dxa"/>
            <w:tcBorders>
              <w:top w:val="nil"/>
              <w:left w:val="single" w:sz="4" w:space="0" w:color="000000"/>
              <w:bottom w:val="nil"/>
              <w:right w:val="nil"/>
            </w:tcBorders>
            <w:shd w:val="clear" w:color="auto" w:fill="auto"/>
            <w:vAlign w:val="center"/>
          </w:tcPr>
          <w:p w14:paraId="331313D7"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67" w:type="dxa"/>
            <w:tcBorders>
              <w:top w:val="nil"/>
              <w:left w:val="nil"/>
              <w:bottom w:val="nil"/>
              <w:right w:val="nil"/>
            </w:tcBorders>
            <w:shd w:val="clear" w:color="auto" w:fill="auto"/>
            <w:vAlign w:val="center"/>
          </w:tcPr>
          <w:p w14:paraId="7DECF246"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1043" w:type="dxa"/>
            <w:tcBorders>
              <w:top w:val="nil"/>
              <w:left w:val="nil"/>
              <w:bottom w:val="nil"/>
              <w:right w:val="single" w:sz="4" w:space="0" w:color="000000"/>
            </w:tcBorders>
            <w:shd w:val="clear" w:color="auto" w:fill="auto"/>
            <w:vAlign w:val="center"/>
          </w:tcPr>
          <w:p w14:paraId="0617591A"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(2.4, 4.2)</w:t>
            </w:r>
          </w:p>
        </w:tc>
        <w:tc>
          <w:tcPr>
            <w:tcW w:w="536" w:type="dxa"/>
            <w:tcBorders>
              <w:top w:val="nil"/>
              <w:left w:val="single" w:sz="4" w:space="0" w:color="000000"/>
              <w:bottom w:val="nil"/>
              <w:right w:val="nil"/>
            </w:tcBorders>
            <w:shd w:val="clear" w:color="auto" w:fill="auto"/>
            <w:vAlign w:val="center"/>
          </w:tcPr>
          <w:p w14:paraId="48C1DCB0"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576" w:type="dxa"/>
            <w:tcBorders>
              <w:top w:val="nil"/>
              <w:left w:val="nil"/>
              <w:bottom w:val="nil"/>
              <w:right w:val="nil"/>
            </w:tcBorders>
            <w:shd w:val="clear" w:color="auto" w:fill="auto"/>
            <w:vAlign w:val="center"/>
          </w:tcPr>
          <w:p w14:paraId="503C2627"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994" w:type="dxa"/>
            <w:tcBorders>
              <w:top w:val="nil"/>
              <w:left w:val="nil"/>
              <w:bottom w:val="nil"/>
              <w:right w:val="nil"/>
            </w:tcBorders>
            <w:shd w:val="clear" w:color="auto" w:fill="auto"/>
            <w:vAlign w:val="center"/>
          </w:tcPr>
          <w:p w14:paraId="2E907452"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(1.5, 3.0)</w:t>
            </w:r>
          </w:p>
        </w:tc>
      </w:tr>
      <w:tr w:rsidR="009118DA" w:rsidRPr="00F573AD" w14:paraId="48B53062" w14:textId="77777777" w:rsidTr="00A023BD">
        <w:trPr>
          <w:jc w:val="center"/>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shd w:val="clear" w:color="auto" w:fill="auto"/>
            <w:vAlign w:val="center"/>
          </w:tcPr>
          <w:p w14:paraId="6C600180" w14:textId="77777777" w:rsidR="00A023BD" w:rsidRPr="00F573AD" w:rsidRDefault="00A023BD" w:rsidP="00A023BD">
            <w:pPr>
              <w:keepNext/>
              <w:keepLines/>
              <w:spacing w:before="20" w:after="20"/>
              <w:rPr>
                <w:rFonts w:eastAsiaTheme="minorEastAsia"/>
                <w:b w:val="0"/>
                <w:sz w:val="16"/>
                <w:szCs w:val="16"/>
                <w:lang w:eastAsia="en-US"/>
              </w:rPr>
            </w:pPr>
            <w:r>
              <w:rPr>
                <w:rFonts w:eastAsiaTheme="minorEastAsia"/>
                <w:b w:val="0"/>
                <w:sz w:val="16"/>
                <w:szCs w:val="16"/>
                <w:lang w:eastAsia="en-US"/>
              </w:rPr>
              <w:t>Online casino games</w:t>
            </w:r>
          </w:p>
        </w:tc>
        <w:tc>
          <w:tcPr>
            <w:tcW w:w="567" w:type="dxa"/>
            <w:tcBorders>
              <w:top w:val="nil"/>
              <w:left w:val="nil"/>
              <w:bottom w:val="nil"/>
              <w:right w:val="nil"/>
            </w:tcBorders>
            <w:shd w:val="clear" w:color="auto" w:fill="auto"/>
            <w:noWrap/>
            <w:vAlign w:val="center"/>
          </w:tcPr>
          <w:p w14:paraId="3A266C15"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567" w:type="dxa"/>
            <w:tcBorders>
              <w:top w:val="nil"/>
              <w:left w:val="nil"/>
              <w:bottom w:val="nil"/>
              <w:right w:val="nil"/>
            </w:tcBorders>
            <w:shd w:val="clear" w:color="auto" w:fill="auto"/>
            <w:noWrap/>
            <w:vAlign w:val="center"/>
          </w:tcPr>
          <w:p w14:paraId="6F0D40B6"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992" w:type="dxa"/>
            <w:tcBorders>
              <w:top w:val="nil"/>
              <w:left w:val="nil"/>
              <w:bottom w:val="nil"/>
              <w:right w:val="single" w:sz="4" w:space="0" w:color="auto"/>
            </w:tcBorders>
            <w:shd w:val="clear" w:color="auto" w:fill="auto"/>
            <w:noWrap/>
            <w:vAlign w:val="center"/>
          </w:tcPr>
          <w:p w14:paraId="6A787336"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(1.5, 2.3)</w:t>
            </w:r>
          </w:p>
        </w:tc>
        <w:tc>
          <w:tcPr>
            <w:tcW w:w="536" w:type="dxa"/>
            <w:tcBorders>
              <w:top w:val="nil"/>
              <w:left w:val="single" w:sz="4" w:space="0" w:color="auto"/>
              <w:bottom w:val="nil"/>
              <w:right w:val="nil"/>
            </w:tcBorders>
            <w:shd w:val="clear" w:color="auto" w:fill="auto"/>
            <w:noWrap/>
            <w:vAlign w:val="center"/>
          </w:tcPr>
          <w:p w14:paraId="29E8CA71"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67" w:type="dxa"/>
            <w:tcBorders>
              <w:top w:val="nil"/>
              <w:left w:val="nil"/>
              <w:bottom w:val="nil"/>
              <w:right w:val="nil"/>
            </w:tcBorders>
            <w:shd w:val="clear" w:color="auto" w:fill="auto"/>
            <w:noWrap/>
            <w:vAlign w:val="center"/>
          </w:tcPr>
          <w:p w14:paraId="62AB1323"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1024" w:type="dxa"/>
            <w:tcBorders>
              <w:top w:val="nil"/>
              <w:left w:val="nil"/>
              <w:bottom w:val="nil"/>
              <w:right w:val="single" w:sz="4" w:space="0" w:color="000000"/>
            </w:tcBorders>
            <w:shd w:val="clear" w:color="auto" w:fill="auto"/>
            <w:noWrap/>
            <w:vAlign w:val="center"/>
          </w:tcPr>
          <w:p w14:paraId="580A077F"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(1.0, 2.3)</w:t>
            </w:r>
          </w:p>
        </w:tc>
        <w:tc>
          <w:tcPr>
            <w:tcW w:w="536" w:type="dxa"/>
            <w:tcBorders>
              <w:top w:val="nil"/>
              <w:left w:val="single" w:sz="4" w:space="0" w:color="000000"/>
              <w:bottom w:val="nil"/>
              <w:right w:val="nil"/>
            </w:tcBorders>
            <w:shd w:val="clear" w:color="auto" w:fill="auto"/>
            <w:vAlign w:val="center"/>
          </w:tcPr>
          <w:p w14:paraId="13CE6E8D"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567" w:type="dxa"/>
            <w:tcBorders>
              <w:top w:val="nil"/>
              <w:left w:val="nil"/>
              <w:bottom w:val="nil"/>
              <w:right w:val="nil"/>
            </w:tcBorders>
            <w:shd w:val="clear" w:color="auto" w:fill="auto"/>
            <w:vAlign w:val="center"/>
          </w:tcPr>
          <w:p w14:paraId="7173E1C6"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1043" w:type="dxa"/>
            <w:tcBorders>
              <w:top w:val="nil"/>
              <w:left w:val="nil"/>
              <w:bottom w:val="nil"/>
              <w:right w:val="single" w:sz="4" w:space="0" w:color="000000"/>
            </w:tcBorders>
            <w:shd w:val="clear" w:color="auto" w:fill="auto"/>
            <w:vAlign w:val="center"/>
          </w:tcPr>
          <w:p w14:paraId="05A95EDF"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(1.0, 2.3)</w:t>
            </w:r>
          </w:p>
        </w:tc>
        <w:tc>
          <w:tcPr>
            <w:tcW w:w="536" w:type="dxa"/>
            <w:tcBorders>
              <w:top w:val="nil"/>
              <w:left w:val="single" w:sz="4" w:space="0" w:color="000000"/>
              <w:bottom w:val="nil"/>
              <w:right w:val="nil"/>
            </w:tcBorders>
            <w:shd w:val="clear" w:color="auto" w:fill="auto"/>
            <w:vAlign w:val="center"/>
          </w:tcPr>
          <w:p w14:paraId="4DA940E4"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76" w:type="dxa"/>
            <w:tcBorders>
              <w:top w:val="nil"/>
              <w:left w:val="nil"/>
              <w:bottom w:val="nil"/>
              <w:right w:val="nil"/>
            </w:tcBorders>
            <w:shd w:val="clear" w:color="auto" w:fill="auto"/>
            <w:vAlign w:val="center"/>
          </w:tcPr>
          <w:p w14:paraId="712B4749"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994" w:type="dxa"/>
            <w:tcBorders>
              <w:top w:val="nil"/>
              <w:left w:val="nil"/>
              <w:bottom w:val="nil"/>
              <w:right w:val="nil"/>
            </w:tcBorders>
            <w:shd w:val="clear" w:color="auto" w:fill="auto"/>
            <w:vAlign w:val="center"/>
          </w:tcPr>
          <w:p w14:paraId="245AC145" w14:textId="77777777" w:rsidR="00A023BD" w:rsidRDefault="00A023BD" w:rsidP="00A023BD">
            <w:pPr>
              <w:keepNext/>
              <w:keepLines/>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(0.8, 2.2)</w:t>
            </w:r>
          </w:p>
        </w:tc>
      </w:tr>
      <w:tr w:rsidR="009118DA" w:rsidRPr="00F573AD" w14:paraId="4EC1F70A" w14:textId="77777777" w:rsidTr="00A023BD">
        <w:trPr>
          <w:jc w:val="center"/>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shd w:val="clear" w:color="auto" w:fill="auto"/>
            <w:vAlign w:val="center"/>
          </w:tcPr>
          <w:p w14:paraId="6A0E01E8" w14:textId="77777777" w:rsidR="00A023BD" w:rsidRPr="00F573AD" w:rsidRDefault="00A023BD" w:rsidP="00A023BD">
            <w:pPr>
              <w:spacing w:before="20" w:after="20"/>
              <w:rPr>
                <w:rFonts w:eastAsiaTheme="minorEastAsia"/>
                <w:b w:val="0"/>
                <w:sz w:val="16"/>
                <w:szCs w:val="16"/>
                <w:lang w:eastAsia="en-US"/>
              </w:rPr>
            </w:pPr>
            <w:r>
              <w:rPr>
                <w:rFonts w:eastAsiaTheme="minorEastAsia"/>
                <w:b w:val="0"/>
                <w:sz w:val="16"/>
                <w:szCs w:val="16"/>
                <w:lang w:eastAsia="en-US"/>
              </w:rPr>
              <w:t>Internet bingo</w:t>
            </w:r>
          </w:p>
        </w:tc>
        <w:tc>
          <w:tcPr>
            <w:tcW w:w="567" w:type="dxa"/>
            <w:tcBorders>
              <w:top w:val="nil"/>
              <w:left w:val="nil"/>
              <w:bottom w:val="nil"/>
              <w:right w:val="nil"/>
            </w:tcBorders>
            <w:shd w:val="clear" w:color="auto" w:fill="auto"/>
            <w:noWrap/>
            <w:vAlign w:val="center"/>
          </w:tcPr>
          <w:p w14:paraId="366C071C"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567" w:type="dxa"/>
            <w:tcBorders>
              <w:top w:val="nil"/>
              <w:left w:val="nil"/>
              <w:bottom w:val="nil"/>
              <w:right w:val="nil"/>
            </w:tcBorders>
            <w:shd w:val="clear" w:color="auto" w:fill="auto"/>
            <w:noWrap/>
            <w:vAlign w:val="center"/>
          </w:tcPr>
          <w:p w14:paraId="6959913D"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992" w:type="dxa"/>
            <w:tcBorders>
              <w:top w:val="nil"/>
              <w:left w:val="nil"/>
              <w:bottom w:val="nil"/>
              <w:right w:val="single" w:sz="4" w:space="0" w:color="auto"/>
            </w:tcBorders>
            <w:shd w:val="clear" w:color="auto" w:fill="auto"/>
            <w:noWrap/>
            <w:vAlign w:val="center"/>
          </w:tcPr>
          <w:p w14:paraId="2C25C9B9"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(0.6, 1.1)</w:t>
            </w:r>
          </w:p>
        </w:tc>
        <w:tc>
          <w:tcPr>
            <w:tcW w:w="536" w:type="dxa"/>
            <w:tcBorders>
              <w:top w:val="nil"/>
              <w:left w:val="single" w:sz="4" w:space="0" w:color="auto"/>
              <w:bottom w:val="nil"/>
              <w:right w:val="nil"/>
            </w:tcBorders>
            <w:shd w:val="clear" w:color="auto" w:fill="auto"/>
            <w:noWrap/>
            <w:vAlign w:val="center"/>
          </w:tcPr>
          <w:p w14:paraId="40B87BA6"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567" w:type="dxa"/>
            <w:tcBorders>
              <w:top w:val="nil"/>
              <w:left w:val="nil"/>
              <w:bottom w:val="nil"/>
              <w:right w:val="nil"/>
            </w:tcBorders>
            <w:shd w:val="clear" w:color="auto" w:fill="auto"/>
            <w:noWrap/>
            <w:vAlign w:val="center"/>
          </w:tcPr>
          <w:p w14:paraId="006C670D"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1024" w:type="dxa"/>
            <w:tcBorders>
              <w:top w:val="nil"/>
              <w:left w:val="nil"/>
              <w:bottom w:val="nil"/>
              <w:right w:val="single" w:sz="4" w:space="0" w:color="000000"/>
            </w:tcBorders>
            <w:shd w:val="clear" w:color="auto" w:fill="auto"/>
            <w:noWrap/>
            <w:vAlign w:val="center"/>
          </w:tcPr>
          <w:p w14:paraId="59BA05BC"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(0.5, 1.1)</w:t>
            </w:r>
          </w:p>
        </w:tc>
        <w:tc>
          <w:tcPr>
            <w:tcW w:w="536" w:type="dxa"/>
            <w:tcBorders>
              <w:top w:val="nil"/>
              <w:left w:val="single" w:sz="4" w:space="0" w:color="000000"/>
              <w:bottom w:val="nil"/>
              <w:right w:val="nil"/>
            </w:tcBorders>
            <w:shd w:val="clear" w:color="auto" w:fill="auto"/>
            <w:vAlign w:val="center"/>
          </w:tcPr>
          <w:p w14:paraId="507AD6FD"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67" w:type="dxa"/>
            <w:tcBorders>
              <w:top w:val="nil"/>
              <w:left w:val="nil"/>
              <w:bottom w:val="nil"/>
              <w:right w:val="nil"/>
            </w:tcBorders>
            <w:shd w:val="clear" w:color="auto" w:fill="auto"/>
            <w:vAlign w:val="center"/>
          </w:tcPr>
          <w:p w14:paraId="1396771D"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1043" w:type="dxa"/>
            <w:tcBorders>
              <w:top w:val="nil"/>
              <w:left w:val="nil"/>
              <w:bottom w:val="nil"/>
              <w:right w:val="single" w:sz="4" w:space="0" w:color="000000"/>
            </w:tcBorders>
            <w:shd w:val="clear" w:color="auto" w:fill="auto"/>
            <w:vAlign w:val="center"/>
          </w:tcPr>
          <w:p w14:paraId="0E6446CA"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(0.9, 1.7)</w:t>
            </w:r>
          </w:p>
        </w:tc>
        <w:tc>
          <w:tcPr>
            <w:tcW w:w="536" w:type="dxa"/>
            <w:tcBorders>
              <w:top w:val="nil"/>
              <w:left w:val="single" w:sz="4" w:space="0" w:color="000000"/>
              <w:bottom w:val="nil"/>
              <w:right w:val="nil"/>
            </w:tcBorders>
            <w:shd w:val="clear" w:color="auto" w:fill="auto"/>
            <w:vAlign w:val="center"/>
          </w:tcPr>
          <w:p w14:paraId="37FC7027"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576" w:type="dxa"/>
            <w:tcBorders>
              <w:top w:val="nil"/>
              <w:left w:val="nil"/>
              <w:bottom w:val="nil"/>
              <w:right w:val="nil"/>
            </w:tcBorders>
            <w:shd w:val="clear" w:color="auto" w:fill="auto"/>
            <w:vAlign w:val="center"/>
          </w:tcPr>
          <w:p w14:paraId="6A67478E"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994" w:type="dxa"/>
            <w:tcBorders>
              <w:top w:val="nil"/>
              <w:left w:val="nil"/>
              <w:bottom w:val="nil"/>
              <w:right w:val="nil"/>
            </w:tcBorders>
            <w:shd w:val="clear" w:color="auto" w:fill="auto"/>
            <w:vAlign w:val="center"/>
          </w:tcPr>
          <w:p w14:paraId="1731060E"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(0.5, 1.2)</w:t>
            </w:r>
          </w:p>
        </w:tc>
      </w:tr>
      <w:tr w:rsidR="009118DA" w:rsidRPr="00F573AD" w14:paraId="6BEF178D" w14:textId="77777777" w:rsidTr="00A023BD">
        <w:trPr>
          <w:jc w:val="center"/>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shd w:val="clear" w:color="auto" w:fill="auto"/>
            <w:vAlign w:val="center"/>
          </w:tcPr>
          <w:p w14:paraId="022F1E11" w14:textId="77777777" w:rsidR="00A023BD" w:rsidRPr="00F573AD" w:rsidRDefault="00A023BD" w:rsidP="00A023BD">
            <w:pPr>
              <w:spacing w:before="20" w:after="20"/>
              <w:rPr>
                <w:rFonts w:eastAsiaTheme="minorEastAsia"/>
                <w:b w:val="0"/>
                <w:sz w:val="16"/>
                <w:szCs w:val="16"/>
                <w:lang w:eastAsia="en-US"/>
              </w:rPr>
            </w:pPr>
            <w:r>
              <w:rPr>
                <w:rFonts w:eastAsiaTheme="minorEastAsia"/>
                <w:b w:val="0"/>
                <w:sz w:val="16"/>
                <w:szCs w:val="16"/>
                <w:lang w:eastAsia="en-US"/>
              </w:rPr>
              <w:t>Skill games</w:t>
            </w:r>
          </w:p>
        </w:tc>
        <w:tc>
          <w:tcPr>
            <w:tcW w:w="567" w:type="dxa"/>
            <w:tcBorders>
              <w:top w:val="nil"/>
              <w:left w:val="nil"/>
              <w:bottom w:val="nil"/>
              <w:right w:val="nil"/>
            </w:tcBorders>
            <w:shd w:val="clear" w:color="auto" w:fill="auto"/>
            <w:noWrap/>
            <w:vAlign w:val="center"/>
          </w:tcPr>
          <w:p w14:paraId="64A12713"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547</w:t>
            </w:r>
          </w:p>
        </w:tc>
        <w:tc>
          <w:tcPr>
            <w:tcW w:w="567" w:type="dxa"/>
            <w:tcBorders>
              <w:top w:val="nil"/>
              <w:left w:val="nil"/>
              <w:bottom w:val="nil"/>
              <w:right w:val="nil"/>
            </w:tcBorders>
            <w:shd w:val="clear" w:color="auto" w:fill="auto"/>
            <w:noWrap/>
            <w:vAlign w:val="center"/>
          </w:tcPr>
          <w:p w14:paraId="1564E6E3"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992" w:type="dxa"/>
            <w:tcBorders>
              <w:top w:val="nil"/>
              <w:left w:val="nil"/>
              <w:bottom w:val="nil"/>
              <w:right w:val="single" w:sz="4" w:space="0" w:color="auto"/>
            </w:tcBorders>
            <w:shd w:val="clear" w:color="auto" w:fill="auto"/>
            <w:noWrap/>
            <w:vAlign w:val="center"/>
          </w:tcPr>
          <w:p w14:paraId="5AFA5AEB"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(7.9, 9.6)</w:t>
            </w:r>
          </w:p>
        </w:tc>
        <w:tc>
          <w:tcPr>
            <w:tcW w:w="536" w:type="dxa"/>
            <w:tcBorders>
              <w:top w:val="nil"/>
              <w:left w:val="single" w:sz="4" w:space="0" w:color="auto"/>
              <w:bottom w:val="nil"/>
              <w:right w:val="nil"/>
            </w:tcBorders>
            <w:shd w:val="clear" w:color="auto" w:fill="auto"/>
            <w:noWrap/>
            <w:vAlign w:val="center"/>
          </w:tcPr>
          <w:p w14:paraId="517EDC03"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375</w:t>
            </w:r>
          </w:p>
        </w:tc>
        <w:tc>
          <w:tcPr>
            <w:tcW w:w="567" w:type="dxa"/>
            <w:tcBorders>
              <w:top w:val="nil"/>
              <w:left w:val="nil"/>
              <w:bottom w:val="nil"/>
              <w:right w:val="nil"/>
            </w:tcBorders>
            <w:shd w:val="clear" w:color="auto" w:fill="auto"/>
            <w:noWrap/>
            <w:vAlign w:val="center"/>
          </w:tcPr>
          <w:p w14:paraId="0ACB357C"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1024" w:type="dxa"/>
            <w:tcBorders>
              <w:top w:val="nil"/>
              <w:left w:val="nil"/>
              <w:bottom w:val="nil"/>
              <w:right w:val="single" w:sz="4" w:space="0" w:color="000000"/>
            </w:tcBorders>
            <w:shd w:val="clear" w:color="auto" w:fill="auto"/>
            <w:noWrap/>
            <w:vAlign w:val="center"/>
          </w:tcPr>
          <w:p w14:paraId="30CF9A15"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(8.7, 11.3)</w:t>
            </w:r>
          </w:p>
        </w:tc>
        <w:tc>
          <w:tcPr>
            <w:tcW w:w="536" w:type="dxa"/>
            <w:tcBorders>
              <w:top w:val="nil"/>
              <w:left w:val="single" w:sz="4" w:space="0" w:color="000000"/>
              <w:bottom w:val="nil"/>
              <w:right w:val="nil"/>
            </w:tcBorders>
            <w:shd w:val="clear" w:color="auto" w:fill="auto"/>
            <w:vAlign w:val="center"/>
          </w:tcPr>
          <w:p w14:paraId="2756EEC6"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288</w:t>
            </w:r>
          </w:p>
        </w:tc>
        <w:tc>
          <w:tcPr>
            <w:tcW w:w="567" w:type="dxa"/>
            <w:tcBorders>
              <w:top w:val="nil"/>
              <w:left w:val="nil"/>
              <w:bottom w:val="nil"/>
              <w:right w:val="nil"/>
            </w:tcBorders>
            <w:shd w:val="clear" w:color="auto" w:fill="auto"/>
            <w:vAlign w:val="center"/>
          </w:tcPr>
          <w:p w14:paraId="4D12DEEC"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1043" w:type="dxa"/>
            <w:tcBorders>
              <w:top w:val="nil"/>
              <w:left w:val="nil"/>
              <w:bottom w:val="nil"/>
              <w:right w:val="single" w:sz="4" w:space="0" w:color="000000"/>
            </w:tcBorders>
            <w:shd w:val="clear" w:color="auto" w:fill="auto"/>
            <w:vAlign w:val="center"/>
          </w:tcPr>
          <w:p w14:paraId="67FED807"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(8.0, 10.5)</w:t>
            </w:r>
          </w:p>
        </w:tc>
        <w:tc>
          <w:tcPr>
            <w:tcW w:w="536" w:type="dxa"/>
            <w:tcBorders>
              <w:top w:val="nil"/>
              <w:left w:val="single" w:sz="4" w:space="0" w:color="000000"/>
              <w:bottom w:val="nil"/>
              <w:right w:val="nil"/>
            </w:tcBorders>
            <w:shd w:val="clear" w:color="auto" w:fill="auto"/>
            <w:vAlign w:val="center"/>
          </w:tcPr>
          <w:p w14:paraId="36B26BA5"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576" w:type="dxa"/>
            <w:tcBorders>
              <w:top w:val="nil"/>
              <w:left w:val="nil"/>
              <w:bottom w:val="nil"/>
              <w:right w:val="nil"/>
            </w:tcBorders>
            <w:shd w:val="clear" w:color="auto" w:fill="auto"/>
            <w:vAlign w:val="center"/>
          </w:tcPr>
          <w:p w14:paraId="75D87061"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994" w:type="dxa"/>
            <w:tcBorders>
              <w:top w:val="nil"/>
              <w:left w:val="nil"/>
              <w:bottom w:val="nil"/>
              <w:right w:val="nil"/>
            </w:tcBorders>
            <w:shd w:val="clear" w:color="auto" w:fill="auto"/>
            <w:vAlign w:val="center"/>
          </w:tcPr>
          <w:p w14:paraId="0B5C3878"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(6.0, 8.3)</w:t>
            </w:r>
          </w:p>
        </w:tc>
      </w:tr>
      <w:tr w:rsidR="009118DA" w:rsidRPr="00F573AD" w14:paraId="51BCFDAD" w14:textId="77777777" w:rsidTr="00A023BD">
        <w:trPr>
          <w:jc w:val="center"/>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shd w:val="clear" w:color="auto" w:fill="auto"/>
            <w:vAlign w:val="center"/>
          </w:tcPr>
          <w:p w14:paraId="4E6772C2" w14:textId="77777777" w:rsidR="00A023BD" w:rsidRPr="00F573AD" w:rsidRDefault="00A023BD" w:rsidP="00A023BD">
            <w:pPr>
              <w:spacing w:before="20" w:after="20"/>
              <w:rPr>
                <w:rFonts w:eastAsiaTheme="minorEastAsia"/>
                <w:b w:val="0"/>
                <w:sz w:val="16"/>
                <w:szCs w:val="16"/>
                <w:lang w:eastAsia="en-US"/>
              </w:rPr>
            </w:pPr>
            <w:r>
              <w:rPr>
                <w:rFonts w:eastAsiaTheme="minorEastAsia"/>
                <w:b w:val="0"/>
                <w:sz w:val="16"/>
                <w:szCs w:val="16"/>
                <w:lang w:eastAsia="en-US"/>
              </w:rPr>
              <w:t>Other</w:t>
            </w:r>
          </w:p>
        </w:tc>
        <w:tc>
          <w:tcPr>
            <w:tcW w:w="567" w:type="dxa"/>
            <w:tcBorders>
              <w:top w:val="nil"/>
              <w:left w:val="nil"/>
              <w:bottom w:val="nil"/>
              <w:right w:val="nil"/>
            </w:tcBorders>
            <w:shd w:val="clear" w:color="auto" w:fill="auto"/>
            <w:noWrap/>
            <w:vAlign w:val="center"/>
          </w:tcPr>
          <w:p w14:paraId="71AA641A"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67" w:type="dxa"/>
            <w:tcBorders>
              <w:top w:val="nil"/>
              <w:left w:val="nil"/>
              <w:bottom w:val="nil"/>
              <w:right w:val="nil"/>
            </w:tcBorders>
            <w:shd w:val="clear" w:color="auto" w:fill="auto"/>
            <w:noWrap/>
            <w:vAlign w:val="center"/>
          </w:tcPr>
          <w:p w14:paraId="30CF1B4E"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992" w:type="dxa"/>
            <w:tcBorders>
              <w:top w:val="nil"/>
              <w:left w:val="nil"/>
              <w:bottom w:val="nil"/>
              <w:right w:val="single" w:sz="4" w:space="0" w:color="auto"/>
            </w:tcBorders>
            <w:shd w:val="clear" w:color="auto" w:fill="auto"/>
            <w:noWrap/>
            <w:vAlign w:val="center"/>
          </w:tcPr>
          <w:p w14:paraId="14573B82"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(0.4, 0.9)</w:t>
            </w:r>
          </w:p>
        </w:tc>
        <w:tc>
          <w:tcPr>
            <w:tcW w:w="536" w:type="dxa"/>
            <w:tcBorders>
              <w:top w:val="nil"/>
              <w:left w:val="single" w:sz="4" w:space="0" w:color="auto"/>
              <w:bottom w:val="nil"/>
              <w:right w:val="nil"/>
            </w:tcBorders>
            <w:shd w:val="clear" w:color="auto" w:fill="auto"/>
            <w:noWrap/>
            <w:vAlign w:val="center"/>
          </w:tcPr>
          <w:p w14:paraId="7192983B"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67" w:type="dxa"/>
            <w:tcBorders>
              <w:top w:val="nil"/>
              <w:left w:val="nil"/>
              <w:bottom w:val="nil"/>
              <w:right w:val="nil"/>
            </w:tcBorders>
            <w:shd w:val="clear" w:color="auto" w:fill="auto"/>
            <w:noWrap/>
            <w:vAlign w:val="center"/>
          </w:tcPr>
          <w:p w14:paraId="1FE6FD81"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1024" w:type="dxa"/>
            <w:tcBorders>
              <w:top w:val="nil"/>
              <w:left w:val="nil"/>
              <w:bottom w:val="nil"/>
              <w:right w:val="single" w:sz="4" w:space="0" w:color="000000"/>
            </w:tcBorders>
            <w:shd w:val="clear" w:color="auto" w:fill="auto"/>
            <w:noWrap/>
            <w:vAlign w:val="center"/>
          </w:tcPr>
          <w:p w14:paraId="7B981141"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(0.5, 1.2)</w:t>
            </w:r>
          </w:p>
        </w:tc>
        <w:tc>
          <w:tcPr>
            <w:tcW w:w="536" w:type="dxa"/>
            <w:tcBorders>
              <w:top w:val="nil"/>
              <w:left w:val="single" w:sz="4" w:space="0" w:color="000000"/>
              <w:bottom w:val="nil"/>
              <w:right w:val="nil"/>
            </w:tcBorders>
            <w:shd w:val="clear" w:color="auto" w:fill="auto"/>
            <w:vAlign w:val="center"/>
          </w:tcPr>
          <w:p w14:paraId="13DAF130"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567" w:type="dxa"/>
            <w:tcBorders>
              <w:top w:val="nil"/>
              <w:left w:val="nil"/>
              <w:bottom w:val="nil"/>
              <w:right w:val="nil"/>
            </w:tcBorders>
            <w:shd w:val="clear" w:color="auto" w:fill="auto"/>
            <w:vAlign w:val="center"/>
          </w:tcPr>
          <w:p w14:paraId="51637A9B"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w:t>
            </w:r>
          </w:p>
        </w:tc>
        <w:tc>
          <w:tcPr>
            <w:tcW w:w="1043" w:type="dxa"/>
            <w:tcBorders>
              <w:top w:val="nil"/>
              <w:left w:val="nil"/>
              <w:bottom w:val="nil"/>
              <w:right w:val="single" w:sz="4" w:space="0" w:color="000000"/>
            </w:tcBorders>
            <w:shd w:val="clear" w:color="auto" w:fill="auto"/>
            <w:vAlign w:val="center"/>
          </w:tcPr>
          <w:p w14:paraId="706360AD"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(0.6, 1.5)</w:t>
            </w:r>
          </w:p>
        </w:tc>
        <w:tc>
          <w:tcPr>
            <w:tcW w:w="536" w:type="dxa"/>
            <w:tcBorders>
              <w:top w:val="nil"/>
              <w:left w:val="single" w:sz="4" w:space="0" w:color="000000"/>
              <w:bottom w:val="nil"/>
              <w:right w:val="nil"/>
            </w:tcBorders>
            <w:shd w:val="clear" w:color="auto" w:fill="auto"/>
            <w:vAlign w:val="center"/>
          </w:tcPr>
          <w:p w14:paraId="2F80BAEB"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w:t>
            </w:r>
          </w:p>
        </w:tc>
        <w:tc>
          <w:tcPr>
            <w:tcW w:w="576" w:type="dxa"/>
            <w:tcBorders>
              <w:top w:val="nil"/>
              <w:left w:val="nil"/>
              <w:bottom w:val="nil"/>
              <w:right w:val="nil"/>
            </w:tcBorders>
            <w:shd w:val="clear" w:color="auto" w:fill="auto"/>
            <w:vAlign w:val="center"/>
          </w:tcPr>
          <w:p w14:paraId="788F9CC3"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994" w:type="dxa"/>
            <w:tcBorders>
              <w:top w:val="nil"/>
              <w:left w:val="nil"/>
              <w:bottom w:val="nil"/>
              <w:right w:val="nil"/>
            </w:tcBorders>
            <w:shd w:val="clear" w:color="auto" w:fill="auto"/>
            <w:vAlign w:val="center"/>
          </w:tcPr>
          <w:p w14:paraId="387DEB69"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(0.3, 1.1)</w:t>
            </w:r>
          </w:p>
        </w:tc>
      </w:tr>
      <w:tr w:rsidR="004B2E77" w:rsidRPr="00F573AD" w14:paraId="43786E4D" w14:textId="77777777" w:rsidTr="00891417">
        <w:trPr>
          <w:jc w:val="center"/>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single" w:sz="4" w:space="0" w:color="auto"/>
              <w:right w:val="nil"/>
            </w:tcBorders>
            <w:shd w:val="clear" w:color="auto" w:fill="auto"/>
            <w:vAlign w:val="center"/>
          </w:tcPr>
          <w:p w14:paraId="5A5CAA37" w14:textId="77777777" w:rsidR="00A023BD" w:rsidRPr="00F573AD" w:rsidRDefault="00A023BD" w:rsidP="00A023BD">
            <w:pPr>
              <w:spacing w:before="20" w:after="20"/>
              <w:rPr>
                <w:rFonts w:eastAsiaTheme="minorEastAsia"/>
                <w:b w:val="0"/>
                <w:i/>
                <w:sz w:val="16"/>
                <w:szCs w:val="16"/>
              </w:rPr>
            </w:pPr>
            <w:r w:rsidRPr="00F573AD">
              <w:rPr>
                <w:rFonts w:eastAsiaTheme="minorEastAsia"/>
                <w:b w:val="0"/>
                <w:i/>
                <w:sz w:val="16"/>
                <w:szCs w:val="16"/>
              </w:rPr>
              <w:t>Total</w:t>
            </w:r>
          </w:p>
        </w:tc>
        <w:tc>
          <w:tcPr>
            <w:tcW w:w="567" w:type="dxa"/>
            <w:tcBorders>
              <w:top w:val="nil"/>
              <w:left w:val="nil"/>
              <w:bottom w:val="single" w:sz="4" w:space="0" w:color="auto"/>
              <w:right w:val="nil"/>
            </w:tcBorders>
            <w:shd w:val="clear" w:color="auto" w:fill="auto"/>
            <w:noWrap/>
            <w:vAlign w:val="center"/>
          </w:tcPr>
          <w:p w14:paraId="2FFAEE0D" w14:textId="77777777" w:rsidR="00A023BD" w:rsidRPr="00F573AD" w:rsidRDefault="00A023BD" w:rsidP="00A023BD">
            <w:pPr>
              <w:jc w:val="right"/>
              <w:cnfStyle w:val="000000000000" w:firstRow="0" w:lastRow="0" w:firstColumn="0" w:lastColumn="0" w:oddVBand="0" w:evenVBand="0" w:oddHBand="0" w:evenHBand="0" w:firstRowFirstColumn="0" w:firstRowLastColumn="0" w:lastRowFirstColumn="0" w:lastRowLastColumn="0"/>
              <w:rPr>
                <w:i/>
                <w:color w:val="000000"/>
                <w:sz w:val="16"/>
                <w:szCs w:val="16"/>
              </w:rPr>
            </w:pPr>
            <w:r w:rsidRPr="00F573AD">
              <w:rPr>
                <w:i/>
                <w:color w:val="000000"/>
                <w:sz w:val="16"/>
                <w:szCs w:val="16"/>
              </w:rPr>
              <w:t>1008</w:t>
            </w:r>
          </w:p>
        </w:tc>
        <w:tc>
          <w:tcPr>
            <w:tcW w:w="567" w:type="dxa"/>
            <w:tcBorders>
              <w:top w:val="nil"/>
              <w:left w:val="nil"/>
              <w:bottom w:val="single" w:sz="4" w:space="0" w:color="auto"/>
              <w:right w:val="nil"/>
            </w:tcBorders>
            <w:shd w:val="clear" w:color="auto" w:fill="auto"/>
            <w:noWrap/>
            <w:vAlign w:val="center"/>
          </w:tcPr>
          <w:p w14:paraId="488B3C0B" w14:textId="77777777" w:rsidR="00A023BD" w:rsidRPr="00F573AD" w:rsidRDefault="00A023BD" w:rsidP="00A023BD">
            <w:pPr>
              <w:jc w:val="right"/>
              <w:cnfStyle w:val="000000000000" w:firstRow="0" w:lastRow="0" w:firstColumn="0" w:lastColumn="0" w:oddVBand="0" w:evenVBand="0" w:oddHBand="0" w:evenHBand="0" w:firstRowFirstColumn="0" w:firstRowLastColumn="0" w:lastRowFirstColumn="0" w:lastRowLastColumn="0"/>
              <w:rPr>
                <w:i/>
                <w:color w:val="000000"/>
                <w:sz w:val="16"/>
                <w:szCs w:val="16"/>
              </w:rPr>
            </w:pPr>
            <w:r w:rsidRPr="00F573AD">
              <w:rPr>
                <w:i/>
                <w:color w:val="000000"/>
                <w:sz w:val="16"/>
                <w:szCs w:val="16"/>
              </w:rPr>
              <w:t>16.1</w:t>
            </w:r>
          </w:p>
        </w:tc>
        <w:tc>
          <w:tcPr>
            <w:tcW w:w="992" w:type="dxa"/>
            <w:tcBorders>
              <w:top w:val="nil"/>
              <w:left w:val="nil"/>
              <w:bottom w:val="single" w:sz="4" w:space="0" w:color="auto"/>
              <w:right w:val="single" w:sz="4" w:space="0" w:color="auto"/>
            </w:tcBorders>
            <w:shd w:val="clear" w:color="auto" w:fill="auto"/>
            <w:noWrap/>
            <w:vAlign w:val="center"/>
          </w:tcPr>
          <w:p w14:paraId="208B4B3D" w14:textId="77777777" w:rsidR="00A023BD" w:rsidRPr="00F573AD" w:rsidRDefault="00A023BD" w:rsidP="00A023BD">
            <w:pPr>
              <w:jc w:val="right"/>
              <w:cnfStyle w:val="000000000000" w:firstRow="0" w:lastRow="0" w:firstColumn="0" w:lastColumn="0" w:oddVBand="0" w:evenVBand="0" w:oddHBand="0" w:evenHBand="0" w:firstRowFirstColumn="0" w:firstRowLastColumn="0" w:lastRowFirstColumn="0" w:lastRowLastColumn="0"/>
              <w:rPr>
                <w:i/>
                <w:color w:val="000000"/>
                <w:sz w:val="16"/>
                <w:szCs w:val="16"/>
              </w:rPr>
            </w:pPr>
            <w:r w:rsidRPr="00F573AD">
              <w:rPr>
                <w:i/>
                <w:color w:val="000000"/>
                <w:sz w:val="16"/>
                <w:szCs w:val="16"/>
              </w:rPr>
              <w:t>(15.0, 17.3)</w:t>
            </w:r>
          </w:p>
        </w:tc>
        <w:tc>
          <w:tcPr>
            <w:tcW w:w="536" w:type="dxa"/>
            <w:tcBorders>
              <w:top w:val="nil"/>
              <w:left w:val="single" w:sz="4" w:space="0" w:color="auto"/>
              <w:bottom w:val="single" w:sz="4" w:space="0" w:color="auto"/>
              <w:right w:val="nil"/>
            </w:tcBorders>
            <w:shd w:val="clear" w:color="auto" w:fill="auto"/>
            <w:noWrap/>
            <w:vAlign w:val="center"/>
          </w:tcPr>
          <w:p w14:paraId="1AD22374" w14:textId="77777777" w:rsidR="00A023BD" w:rsidRPr="00F573AD" w:rsidRDefault="00A023BD" w:rsidP="00A023BD">
            <w:pPr>
              <w:jc w:val="right"/>
              <w:cnfStyle w:val="000000000000" w:firstRow="0" w:lastRow="0" w:firstColumn="0" w:lastColumn="0" w:oddVBand="0" w:evenVBand="0" w:oddHBand="0" w:evenHBand="0" w:firstRowFirstColumn="0" w:firstRowLastColumn="0" w:lastRowFirstColumn="0" w:lastRowLastColumn="0"/>
              <w:rPr>
                <w:i/>
                <w:color w:val="000000"/>
                <w:sz w:val="16"/>
                <w:szCs w:val="16"/>
              </w:rPr>
            </w:pPr>
            <w:r w:rsidRPr="00F573AD">
              <w:rPr>
                <w:i/>
                <w:color w:val="000000"/>
                <w:sz w:val="16"/>
                <w:szCs w:val="16"/>
              </w:rPr>
              <w:t>625</w:t>
            </w:r>
          </w:p>
        </w:tc>
        <w:tc>
          <w:tcPr>
            <w:tcW w:w="567" w:type="dxa"/>
            <w:tcBorders>
              <w:top w:val="nil"/>
              <w:left w:val="nil"/>
              <w:bottom w:val="single" w:sz="4" w:space="0" w:color="auto"/>
              <w:right w:val="nil"/>
            </w:tcBorders>
            <w:shd w:val="clear" w:color="auto" w:fill="auto"/>
            <w:noWrap/>
            <w:vAlign w:val="center"/>
          </w:tcPr>
          <w:p w14:paraId="0AA6C6C7" w14:textId="77777777" w:rsidR="00A023BD" w:rsidRPr="00F573AD" w:rsidRDefault="00A023BD" w:rsidP="00A023BD">
            <w:pPr>
              <w:jc w:val="right"/>
              <w:cnfStyle w:val="000000000000" w:firstRow="0" w:lastRow="0" w:firstColumn="0" w:lastColumn="0" w:oddVBand="0" w:evenVBand="0" w:oddHBand="0" w:evenHBand="0" w:firstRowFirstColumn="0" w:firstRowLastColumn="0" w:lastRowFirstColumn="0" w:lastRowLastColumn="0"/>
              <w:rPr>
                <w:i/>
                <w:color w:val="000000"/>
                <w:sz w:val="16"/>
                <w:szCs w:val="16"/>
              </w:rPr>
            </w:pPr>
            <w:r w:rsidRPr="00F573AD">
              <w:rPr>
                <w:i/>
                <w:color w:val="000000"/>
                <w:sz w:val="16"/>
                <w:szCs w:val="16"/>
              </w:rPr>
              <w:t>16.7</w:t>
            </w:r>
          </w:p>
        </w:tc>
        <w:tc>
          <w:tcPr>
            <w:tcW w:w="1024" w:type="dxa"/>
            <w:tcBorders>
              <w:top w:val="nil"/>
              <w:left w:val="nil"/>
              <w:bottom w:val="single" w:sz="4" w:space="0" w:color="auto"/>
              <w:right w:val="single" w:sz="4" w:space="0" w:color="000000"/>
            </w:tcBorders>
            <w:shd w:val="clear" w:color="auto" w:fill="auto"/>
            <w:noWrap/>
            <w:vAlign w:val="center"/>
          </w:tcPr>
          <w:p w14:paraId="3B246529" w14:textId="77777777" w:rsidR="00A023BD" w:rsidRPr="00F573AD" w:rsidRDefault="00A023BD" w:rsidP="00A023BD">
            <w:pPr>
              <w:jc w:val="right"/>
              <w:cnfStyle w:val="000000000000" w:firstRow="0" w:lastRow="0" w:firstColumn="0" w:lastColumn="0" w:oddVBand="0" w:evenVBand="0" w:oddHBand="0" w:evenHBand="0" w:firstRowFirstColumn="0" w:firstRowLastColumn="0" w:lastRowFirstColumn="0" w:lastRowLastColumn="0"/>
              <w:rPr>
                <w:i/>
                <w:color w:val="000000"/>
                <w:sz w:val="16"/>
                <w:szCs w:val="16"/>
              </w:rPr>
            </w:pPr>
            <w:r w:rsidRPr="00F573AD">
              <w:rPr>
                <w:i/>
                <w:color w:val="000000"/>
                <w:sz w:val="16"/>
                <w:szCs w:val="16"/>
              </w:rPr>
              <w:t>(15.1, 18.2)</w:t>
            </w:r>
          </w:p>
        </w:tc>
        <w:tc>
          <w:tcPr>
            <w:tcW w:w="536" w:type="dxa"/>
            <w:tcBorders>
              <w:top w:val="nil"/>
              <w:left w:val="single" w:sz="4" w:space="0" w:color="000000"/>
              <w:bottom w:val="single" w:sz="4" w:space="0" w:color="auto"/>
              <w:right w:val="nil"/>
            </w:tcBorders>
            <w:shd w:val="clear" w:color="auto" w:fill="auto"/>
            <w:vAlign w:val="center"/>
          </w:tcPr>
          <w:p w14:paraId="7E499774" w14:textId="77777777" w:rsidR="00A023BD" w:rsidRPr="00F573AD" w:rsidRDefault="00A023BD" w:rsidP="00A023BD">
            <w:pPr>
              <w:jc w:val="right"/>
              <w:cnfStyle w:val="000000000000" w:firstRow="0" w:lastRow="0" w:firstColumn="0" w:lastColumn="0" w:oddVBand="0" w:evenVBand="0" w:oddHBand="0" w:evenHBand="0" w:firstRowFirstColumn="0" w:firstRowLastColumn="0" w:lastRowFirstColumn="0" w:lastRowLastColumn="0"/>
              <w:rPr>
                <w:i/>
                <w:color w:val="000000"/>
                <w:sz w:val="16"/>
                <w:szCs w:val="16"/>
              </w:rPr>
            </w:pPr>
            <w:r w:rsidRPr="00F573AD">
              <w:rPr>
                <w:i/>
                <w:color w:val="000000"/>
                <w:sz w:val="16"/>
                <w:szCs w:val="16"/>
              </w:rPr>
              <w:t>475</w:t>
            </w:r>
          </w:p>
        </w:tc>
        <w:tc>
          <w:tcPr>
            <w:tcW w:w="567" w:type="dxa"/>
            <w:tcBorders>
              <w:top w:val="nil"/>
              <w:left w:val="nil"/>
              <w:bottom w:val="single" w:sz="4" w:space="0" w:color="auto"/>
              <w:right w:val="nil"/>
            </w:tcBorders>
            <w:shd w:val="clear" w:color="auto" w:fill="auto"/>
            <w:vAlign w:val="center"/>
          </w:tcPr>
          <w:p w14:paraId="68443ADE" w14:textId="77777777" w:rsidR="00A023BD" w:rsidRPr="00F573AD" w:rsidRDefault="00A023BD" w:rsidP="00A023BD">
            <w:pPr>
              <w:jc w:val="right"/>
              <w:cnfStyle w:val="000000000000" w:firstRow="0" w:lastRow="0" w:firstColumn="0" w:lastColumn="0" w:oddVBand="0" w:evenVBand="0" w:oddHBand="0" w:evenHBand="0" w:firstRowFirstColumn="0" w:firstRowLastColumn="0" w:lastRowFirstColumn="0" w:lastRowLastColumn="0"/>
              <w:rPr>
                <w:i/>
                <w:color w:val="000000"/>
                <w:sz w:val="16"/>
                <w:szCs w:val="16"/>
              </w:rPr>
            </w:pPr>
            <w:r w:rsidRPr="00F573AD">
              <w:rPr>
                <w:i/>
                <w:color w:val="000000"/>
                <w:sz w:val="16"/>
                <w:szCs w:val="16"/>
              </w:rPr>
              <w:t>15.2</w:t>
            </w:r>
          </w:p>
        </w:tc>
        <w:tc>
          <w:tcPr>
            <w:tcW w:w="1043" w:type="dxa"/>
            <w:tcBorders>
              <w:top w:val="nil"/>
              <w:left w:val="nil"/>
              <w:bottom w:val="single" w:sz="4" w:space="0" w:color="auto"/>
              <w:right w:val="single" w:sz="4" w:space="0" w:color="000000"/>
            </w:tcBorders>
            <w:shd w:val="clear" w:color="auto" w:fill="auto"/>
            <w:vAlign w:val="center"/>
          </w:tcPr>
          <w:p w14:paraId="1C934F10" w14:textId="77777777" w:rsidR="00A023BD" w:rsidRPr="00F573AD" w:rsidRDefault="00A023BD" w:rsidP="00A023BD">
            <w:pPr>
              <w:jc w:val="right"/>
              <w:cnfStyle w:val="000000000000" w:firstRow="0" w:lastRow="0" w:firstColumn="0" w:lastColumn="0" w:oddVBand="0" w:evenVBand="0" w:oddHBand="0" w:evenHBand="0" w:firstRowFirstColumn="0" w:firstRowLastColumn="0" w:lastRowFirstColumn="0" w:lastRowLastColumn="0"/>
              <w:rPr>
                <w:i/>
                <w:color w:val="000000"/>
                <w:sz w:val="16"/>
                <w:szCs w:val="16"/>
              </w:rPr>
            </w:pPr>
            <w:r w:rsidRPr="00F573AD">
              <w:rPr>
                <w:i/>
                <w:color w:val="000000"/>
                <w:sz w:val="16"/>
                <w:szCs w:val="16"/>
              </w:rPr>
              <w:t>(13.6, 16.8)</w:t>
            </w:r>
          </w:p>
        </w:tc>
        <w:tc>
          <w:tcPr>
            <w:tcW w:w="536" w:type="dxa"/>
            <w:tcBorders>
              <w:top w:val="nil"/>
              <w:left w:val="single" w:sz="4" w:space="0" w:color="000000"/>
              <w:bottom w:val="single" w:sz="4" w:space="0" w:color="auto"/>
              <w:right w:val="nil"/>
            </w:tcBorders>
            <w:shd w:val="clear" w:color="auto" w:fill="auto"/>
            <w:vAlign w:val="center"/>
          </w:tcPr>
          <w:p w14:paraId="5A4CC851" w14:textId="77777777" w:rsidR="00A023BD" w:rsidRPr="00F573AD" w:rsidRDefault="00A023BD" w:rsidP="00A023BD">
            <w:pPr>
              <w:jc w:val="right"/>
              <w:cnfStyle w:val="000000000000" w:firstRow="0" w:lastRow="0" w:firstColumn="0" w:lastColumn="0" w:oddVBand="0" w:evenVBand="0" w:oddHBand="0" w:evenHBand="0" w:firstRowFirstColumn="0" w:firstRowLastColumn="0" w:lastRowFirstColumn="0" w:lastRowLastColumn="0"/>
              <w:rPr>
                <w:i/>
                <w:color w:val="000000"/>
                <w:sz w:val="16"/>
                <w:szCs w:val="16"/>
              </w:rPr>
            </w:pPr>
            <w:r w:rsidRPr="00F573AD">
              <w:rPr>
                <w:i/>
                <w:color w:val="000000"/>
                <w:sz w:val="16"/>
                <w:szCs w:val="16"/>
              </w:rPr>
              <w:t>361</w:t>
            </w:r>
          </w:p>
        </w:tc>
        <w:tc>
          <w:tcPr>
            <w:tcW w:w="576" w:type="dxa"/>
            <w:tcBorders>
              <w:top w:val="nil"/>
              <w:left w:val="nil"/>
              <w:bottom w:val="single" w:sz="4" w:space="0" w:color="auto"/>
              <w:right w:val="nil"/>
            </w:tcBorders>
            <w:shd w:val="clear" w:color="auto" w:fill="auto"/>
            <w:vAlign w:val="center"/>
          </w:tcPr>
          <w:p w14:paraId="4EADAB69" w14:textId="77777777" w:rsidR="00A023BD" w:rsidRPr="00F573AD" w:rsidRDefault="00A023BD" w:rsidP="00A023BD">
            <w:pPr>
              <w:jc w:val="right"/>
              <w:cnfStyle w:val="000000000000" w:firstRow="0" w:lastRow="0" w:firstColumn="0" w:lastColumn="0" w:oddVBand="0" w:evenVBand="0" w:oddHBand="0" w:evenHBand="0" w:firstRowFirstColumn="0" w:firstRowLastColumn="0" w:lastRowFirstColumn="0" w:lastRowLastColumn="0"/>
              <w:rPr>
                <w:i/>
                <w:color w:val="000000"/>
                <w:sz w:val="16"/>
                <w:szCs w:val="16"/>
              </w:rPr>
            </w:pPr>
            <w:r w:rsidRPr="00F573AD">
              <w:rPr>
                <w:i/>
                <w:color w:val="000000"/>
                <w:sz w:val="16"/>
                <w:szCs w:val="16"/>
              </w:rPr>
              <w:t>13.0</w:t>
            </w:r>
          </w:p>
        </w:tc>
        <w:tc>
          <w:tcPr>
            <w:tcW w:w="994" w:type="dxa"/>
            <w:tcBorders>
              <w:top w:val="nil"/>
              <w:left w:val="nil"/>
              <w:bottom w:val="single" w:sz="4" w:space="0" w:color="auto"/>
              <w:right w:val="nil"/>
            </w:tcBorders>
            <w:shd w:val="clear" w:color="auto" w:fill="auto"/>
            <w:vAlign w:val="center"/>
          </w:tcPr>
          <w:p w14:paraId="7795A8C4" w14:textId="77777777" w:rsidR="00A023BD" w:rsidRPr="00F573AD" w:rsidRDefault="00A023BD" w:rsidP="00A023BD">
            <w:pPr>
              <w:jc w:val="right"/>
              <w:cnfStyle w:val="000000000000" w:firstRow="0" w:lastRow="0" w:firstColumn="0" w:lastColumn="0" w:oddVBand="0" w:evenVBand="0" w:oddHBand="0" w:evenHBand="0" w:firstRowFirstColumn="0" w:firstRowLastColumn="0" w:lastRowFirstColumn="0" w:lastRowLastColumn="0"/>
              <w:rPr>
                <w:i/>
                <w:color w:val="000000"/>
                <w:sz w:val="16"/>
                <w:szCs w:val="16"/>
              </w:rPr>
            </w:pPr>
            <w:r w:rsidRPr="00F573AD">
              <w:rPr>
                <w:i/>
                <w:color w:val="000000"/>
                <w:sz w:val="16"/>
                <w:szCs w:val="16"/>
              </w:rPr>
              <w:t>(11.4, 14.6)</w:t>
            </w:r>
          </w:p>
        </w:tc>
      </w:tr>
    </w:tbl>
    <w:p w14:paraId="7E2C46A0" w14:textId="77777777" w:rsidR="00A023BD" w:rsidRPr="00AB3B09" w:rsidRDefault="00A023BD" w:rsidP="00A023BD">
      <w:pPr>
        <w:ind w:left="-709"/>
        <w:jc w:val="both"/>
        <w:rPr>
          <w:sz w:val="16"/>
        </w:rPr>
      </w:pPr>
      <w:r w:rsidRPr="00AB3B09">
        <w:rPr>
          <w:sz w:val="16"/>
        </w:rPr>
        <w:t>Data weighted for 2013 Census data (all waves) and attrition (Waves 2, 3 and 4)</w:t>
      </w:r>
    </w:p>
    <w:p w14:paraId="039E7359" w14:textId="77777777" w:rsidR="00A023BD" w:rsidRPr="00AB3B09" w:rsidRDefault="00A023BD" w:rsidP="00A023BD">
      <w:pPr>
        <w:pStyle w:val="RepNormal"/>
        <w:ind w:left="-709"/>
        <w:rPr>
          <w:sz w:val="16"/>
        </w:rPr>
      </w:pPr>
      <w:r w:rsidRPr="00AB3B09">
        <w:rPr>
          <w:sz w:val="16"/>
        </w:rPr>
        <w:t>Wave 1 N=6,251; Wave 2 N=3,745; Wave 3 N=3,115; Wave 4 N=2,770</w:t>
      </w:r>
    </w:p>
    <w:p w14:paraId="70BBBD53" w14:textId="77777777" w:rsidR="00A023BD" w:rsidRDefault="00A023BD" w:rsidP="00A023BD">
      <w:pPr>
        <w:pStyle w:val="RepNormal"/>
      </w:pPr>
    </w:p>
    <w:p w14:paraId="6D5B087E" w14:textId="77777777" w:rsidR="00A023BD" w:rsidRDefault="00A023BD" w:rsidP="00A023BD">
      <w:pPr>
        <w:pStyle w:val="RepNormal"/>
      </w:pPr>
    </w:p>
    <w:p w14:paraId="5861C6FA" w14:textId="77777777" w:rsidR="00A023BD" w:rsidRDefault="00A023BD" w:rsidP="00A023BD">
      <w:pPr>
        <w:pStyle w:val="RepNormal"/>
      </w:pPr>
      <w:r>
        <w:rPr>
          <w:u w:val="single"/>
        </w:rPr>
        <w:t>By ethnicity</w:t>
      </w:r>
    </w:p>
    <w:p w14:paraId="3A1B52BE" w14:textId="77777777" w:rsidR="00A023BD" w:rsidRDefault="00A023BD" w:rsidP="00A023BD">
      <w:pPr>
        <w:pStyle w:val="RepNormal"/>
      </w:pPr>
    </w:p>
    <w:p w14:paraId="45420868" w14:textId="77777777" w:rsidR="00A023BD" w:rsidRDefault="00A023BD" w:rsidP="00A023BD">
      <w:pPr>
        <w:pStyle w:val="RepNormal"/>
      </w:pPr>
      <w:r>
        <w:t>Across all four waves, a higher proportion of Māori participated in gambling types games not for money or prizes in the prior 12 months, compared with European/Other participants.  In Wave 4, participation in these games was 21% for Māori, 11% for Pacific participants, 10% for Asian participants and 13% for European/Other participants.  Participation decreased for Asian participants in Wave 4 compared with Wave 1 (10% vs. 17%) (</w:t>
      </w:r>
      <w:r>
        <w:fldChar w:fldCharType="begin"/>
      </w:r>
      <w:r>
        <w:instrText xml:space="preserve"> REF _Ref470268912 \h </w:instrText>
      </w:r>
      <w:r>
        <w:fldChar w:fldCharType="separate"/>
      </w:r>
      <w:r w:rsidR="00D5752E">
        <w:t xml:space="preserve">Table </w:t>
      </w:r>
      <w:r w:rsidR="00D5752E">
        <w:rPr>
          <w:noProof/>
        </w:rPr>
        <w:t>8</w:t>
      </w:r>
      <w:r>
        <w:fldChar w:fldCharType="end"/>
      </w:r>
      <w:r>
        <w:t xml:space="preserve">). </w:t>
      </w:r>
    </w:p>
    <w:p w14:paraId="11495F44" w14:textId="77777777" w:rsidR="00A023BD" w:rsidRDefault="00A023BD" w:rsidP="00A023BD">
      <w:pPr>
        <w:pStyle w:val="RepNormal"/>
      </w:pPr>
    </w:p>
    <w:p w14:paraId="46D8733E" w14:textId="77777777" w:rsidR="00A023BD" w:rsidRPr="00BA05A5" w:rsidRDefault="00A023BD" w:rsidP="00A023BD">
      <w:pPr>
        <w:pStyle w:val="Caption"/>
        <w:keepNext/>
        <w:ind w:left="-709"/>
      </w:pPr>
      <w:bookmarkStart w:id="89" w:name="_Ref470268912"/>
      <w:bookmarkStart w:id="90" w:name="_Toc504488433"/>
      <w:r>
        <w:t xml:space="preserve">Table </w:t>
      </w:r>
      <w:r w:rsidR="00D5752E">
        <w:fldChar w:fldCharType="begin"/>
      </w:r>
      <w:r w:rsidR="00D5752E">
        <w:instrText xml:space="preserve"> SEQ Table \* ARABIC </w:instrText>
      </w:r>
      <w:r w:rsidR="00D5752E">
        <w:fldChar w:fldCharType="separate"/>
      </w:r>
      <w:r w:rsidR="00D5752E">
        <w:rPr>
          <w:noProof/>
        </w:rPr>
        <w:t>8</w:t>
      </w:r>
      <w:r w:rsidR="00D5752E">
        <w:rPr>
          <w:noProof/>
        </w:rPr>
        <w:fldChar w:fldCharType="end"/>
      </w:r>
      <w:bookmarkEnd w:id="89"/>
      <w:r>
        <w:t>: Participation in gambling type games not for money or prizes by ethnicity in Waves 1, 2, 3 and 4</w:t>
      </w:r>
      <w:bookmarkEnd w:id="90"/>
    </w:p>
    <w:tbl>
      <w:tblPr>
        <w:tblStyle w:val="LightShading4"/>
        <w:tblW w:w="9781" w:type="dxa"/>
        <w:jc w:val="center"/>
        <w:tblLayout w:type="fixed"/>
        <w:tblLook w:val="06A0" w:firstRow="1" w:lastRow="0" w:firstColumn="1" w:lastColumn="0" w:noHBand="1" w:noVBand="1"/>
      </w:tblPr>
      <w:tblGrid>
        <w:gridCol w:w="1276"/>
        <w:gridCol w:w="567"/>
        <w:gridCol w:w="567"/>
        <w:gridCol w:w="992"/>
        <w:gridCol w:w="536"/>
        <w:gridCol w:w="567"/>
        <w:gridCol w:w="1024"/>
        <w:gridCol w:w="536"/>
        <w:gridCol w:w="567"/>
        <w:gridCol w:w="1043"/>
        <w:gridCol w:w="536"/>
        <w:gridCol w:w="576"/>
        <w:gridCol w:w="994"/>
      </w:tblGrid>
      <w:tr w:rsidR="00A023BD" w:rsidRPr="00F573AD" w14:paraId="0A9C5EE8" w14:textId="77777777" w:rsidTr="00A023B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bottom w:val="single" w:sz="4" w:space="0" w:color="auto"/>
            </w:tcBorders>
            <w:vAlign w:val="bottom"/>
            <w:hideMark/>
          </w:tcPr>
          <w:p w14:paraId="78C9EC8F" w14:textId="77777777" w:rsidR="00A023BD" w:rsidRPr="00F573AD" w:rsidRDefault="00A023BD" w:rsidP="00A023BD">
            <w:pPr>
              <w:keepNext/>
              <w:spacing w:before="20" w:after="20"/>
              <w:rPr>
                <w:rFonts w:eastAsiaTheme="minorEastAsia"/>
                <w:sz w:val="16"/>
                <w:szCs w:val="16"/>
                <w:lang w:eastAsia="en-US"/>
              </w:rPr>
            </w:pPr>
            <w:r>
              <w:rPr>
                <w:rFonts w:eastAsiaTheme="minorEastAsia"/>
                <w:sz w:val="16"/>
                <w:szCs w:val="16"/>
              </w:rPr>
              <w:t>Ethnicity</w:t>
            </w:r>
          </w:p>
        </w:tc>
        <w:tc>
          <w:tcPr>
            <w:tcW w:w="2126" w:type="dxa"/>
            <w:gridSpan w:val="3"/>
            <w:tcBorders>
              <w:bottom w:val="single" w:sz="4" w:space="0" w:color="auto"/>
              <w:right w:val="single" w:sz="4" w:space="0" w:color="auto"/>
            </w:tcBorders>
            <w:noWrap/>
            <w:vAlign w:val="center"/>
            <w:hideMark/>
          </w:tcPr>
          <w:p w14:paraId="75851E63" w14:textId="77777777" w:rsidR="00A023BD" w:rsidRPr="00F573AD" w:rsidRDefault="00A023BD" w:rsidP="00A023BD">
            <w:pPr>
              <w:keepNext/>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6"/>
                <w:szCs w:val="16"/>
                <w:lang w:eastAsia="en-US"/>
              </w:rPr>
            </w:pPr>
            <w:r w:rsidRPr="00F573AD">
              <w:rPr>
                <w:rFonts w:eastAsiaTheme="minorEastAsia"/>
                <w:sz w:val="16"/>
                <w:szCs w:val="16"/>
              </w:rPr>
              <w:t>Wave 1</w:t>
            </w:r>
          </w:p>
        </w:tc>
        <w:tc>
          <w:tcPr>
            <w:tcW w:w="2127" w:type="dxa"/>
            <w:gridSpan w:val="3"/>
            <w:tcBorders>
              <w:left w:val="single" w:sz="4" w:space="0" w:color="auto"/>
              <w:bottom w:val="single" w:sz="4" w:space="0" w:color="auto"/>
            </w:tcBorders>
            <w:vAlign w:val="center"/>
          </w:tcPr>
          <w:p w14:paraId="0EEBA04C" w14:textId="77777777" w:rsidR="00A023BD" w:rsidRPr="00F573AD" w:rsidRDefault="00A023BD" w:rsidP="00A023BD">
            <w:pPr>
              <w:keepNext/>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F573AD">
              <w:rPr>
                <w:rFonts w:eastAsiaTheme="minorEastAsia"/>
                <w:sz w:val="16"/>
                <w:szCs w:val="16"/>
                <w:lang w:eastAsia="en-US"/>
              </w:rPr>
              <w:t>Wave 2</w:t>
            </w:r>
          </w:p>
        </w:tc>
        <w:tc>
          <w:tcPr>
            <w:tcW w:w="2146" w:type="dxa"/>
            <w:gridSpan w:val="3"/>
            <w:tcBorders>
              <w:left w:val="single" w:sz="4" w:space="0" w:color="auto"/>
              <w:bottom w:val="single" w:sz="4" w:space="0" w:color="auto"/>
            </w:tcBorders>
          </w:tcPr>
          <w:p w14:paraId="00713F7B" w14:textId="77777777" w:rsidR="00A023BD" w:rsidRPr="00F573AD" w:rsidRDefault="00A023BD" w:rsidP="00A023BD">
            <w:pPr>
              <w:keepNext/>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F573AD">
              <w:rPr>
                <w:rFonts w:eastAsiaTheme="minorEastAsia"/>
                <w:sz w:val="16"/>
                <w:szCs w:val="16"/>
                <w:lang w:eastAsia="en-US"/>
              </w:rPr>
              <w:t>Wave 3</w:t>
            </w:r>
          </w:p>
        </w:tc>
        <w:tc>
          <w:tcPr>
            <w:tcW w:w="2106" w:type="dxa"/>
            <w:gridSpan w:val="3"/>
            <w:tcBorders>
              <w:left w:val="single" w:sz="4" w:space="0" w:color="auto"/>
              <w:bottom w:val="single" w:sz="4" w:space="0" w:color="auto"/>
            </w:tcBorders>
          </w:tcPr>
          <w:p w14:paraId="139D0A2F" w14:textId="77777777" w:rsidR="00A023BD" w:rsidRPr="00F573AD" w:rsidRDefault="00A023BD" w:rsidP="00A023BD">
            <w:pPr>
              <w:keepNext/>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F573AD">
              <w:rPr>
                <w:rFonts w:eastAsiaTheme="minorEastAsia"/>
                <w:sz w:val="16"/>
                <w:szCs w:val="16"/>
                <w:lang w:eastAsia="en-US"/>
              </w:rPr>
              <w:t>Wave 4</w:t>
            </w:r>
          </w:p>
        </w:tc>
      </w:tr>
      <w:tr w:rsidR="00A023BD" w:rsidRPr="00F573AD" w14:paraId="6868D273" w14:textId="77777777" w:rsidTr="00A023B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76" w:type="dxa"/>
            <w:vMerge/>
            <w:tcBorders>
              <w:bottom w:val="single" w:sz="4" w:space="0" w:color="auto"/>
            </w:tcBorders>
            <w:vAlign w:val="center"/>
            <w:hideMark/>
          </w:tcPr>
          <w:p w14:paraId="2BF1A13E" w14:textId="77777777" w:rsidR="00A023BD" w:rsidRPr="00F573AD" w:rsidRDefault="00A023BD" w:rsidP="00A023BD">
            <w:pPr>
              <w:keepNext/>
              <w:spacing w:before="20" w:after="20"/>
              <w:rPr>
                <w:rFonts w:eastAsiaTheme="minorEastAsia"/>
                <w:sz w:val="16"/>
                <w:szCs w:val="16"/>
                <w:lang w:eastAsia="en-US"/>
              </w:rPr>
            </w:pPr>
          </w:p>
        </w:tc>
        <w:tc>
          <w:tcPr>
            <w:tcW w:w="567" w:type="dxa"/>
            <w:tcBorders>
              <w:top w:val="single" w:sz="4" w:space="0" w:color="auto"/>
              <w:bottom w:val="single" w:sz="4" w:space="0" w:color="auto"/>
            </w:tcBorders>
            <w:noWrap/>
            <w:vAlign w:val="center"/>
            <w:hideMark/>
          </w:tcPr>
          <w:p w14:paraId="6FC39722" w14:textId="77777777" w:rsidR="00A023BD" w:rsidRPr="00F573AD" w:rsidRDefault="00A023BD" w:rsidP="00A023BD">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F573AD">
              <w:rPr>
                <w:rFonts w:eastAsiaTheme="minorEastAsia"/>
                <w:sz w:val="16"/>
                <w:szCs w:val="16"/>
              </w:rPr>
              <w:t>n</w:t>
            </w:r>
          </w:p>
        </w:tc>
        <w:tc>
          <w:tcPr>
            <w:tcW w:w="567" w:type="dxa"/>
            <w:tcBorders>
              <w:top w:val="single" w:sz="4" w:space="0" w:color="auto"/>
              <w:bottom w:val="single" w:sz="4" w:space="0" w:color="auto"/>
            </w:tcBorders>
            <w:noWrap/>
            <w:vAlign w:val="center"/>
            <w:hideMark/>
          </w:tcPr>
          <w:p w14:paraId="3D89E01C" w14:textId="77777777" w:rsidR="00A023BD" w:rsidRPr="00F573AD" w:rsidRDefault="00A023BD" w:rsidP="00A023BD">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F573AD">
              <w:rPr>
                <w:rFonts w:eastAsiaTheme="minorEastAsia"/>
                <w:sz w:val="16"/>
                <w:szCs w:val="16"/>
              </w:rPr>
              <w:t>%</w:t>
            </w:r>
          </w:p>
        </w:tc>
        <w:tc>
          <w:tcPr>
            <w:tcW w:w="992" w:type="dxa"/>
            <w:tcBorders>
              <w:top w:val="single" w:sz="4" w:space="0" w:color="auto"/>
              <w:bottom w:val="single" w:sz="4" w:space="0" w:color="auto"/>
              <w:right w:val="single" w:sz="4" w:space="0" w:color="auto"/>
            </w:tcBorders>
            <w:noWrap/>
            <w:vAlign w:val="center"/>
          </w:tcPr>
          <w:p w14:paraId="6D6771DA" w14:textId="77777777" w:rsidR="00A023BD" w:rsidRPr="00F573AD" w:rsidRDefault="00A023BD" w:rsidP="00A023BD">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F573AD">
              <w:rPr>
                <w:rFonts w:eastAsiaTheme="minorEastAsia"/>
                <w:sz w:val="16"/>
                <w:szCs w:val="16"/>
                <w:lang w:eastAsia="en-US"/>
              </w:rPr>
              <w:t>(95% CI)</w:t>
            </w:r>
          </w:p>
        </w:tc>
        <w:tc>
          <w:tcPr>
            <w:tcW w:w="536" w:type="dxa"/>
            <w:tcBorders>
              <w:top w:val="single" w:sz="4" w:space="0" w:color="auto"/>
              <w:left w:val="single" w:sz="4" w:space="0" w:color="auto"/>
              <w:bottom w:val="single" w:sz="4" w:space="0" w:color="auto"/>
            </w:tcBorders>
            <w:noWrap/>
            <w:vAlign w:val="center"/>
          </w:tcPr>
          <w:p w14:paraId="3487B6AD" w14:textId="77777777" w:rsidR="00A023BD" w:rsidRPr="00F573AD" w:rsidRDefault="00A023BD" w:rsidP="00A023BD">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F573AD">
              <w:rPr>
                <w:rFonts w:eastAsiaTheme="minorEastAsia"/>
                <w:sz w:val="16"/>
                <w:szCs w:val="16"/>
                <w:lang w:eastAsia="en-US"/>
              </w:rPr>
              <w:t>n</w:t>
            </w:r>
          </w:p>
        </w:tc>
        <w:tc>
          <w:tcPr>
            <w:tcW w:w="567" w:type="dxa"/>
            <w:tcBorders>
              <w:top w:val="single" w:sz="4" w:space="0" w:color="auto"/>
              <w:bottom w:val="single" w:sz="4" w:space="0" w:color="auto"/>
            </w:tcBorders>
            <w:noWrap/>
            <w:vAlign w:val="center"/>
          </w:tcPr>
          <w:p w14:paraId="5577D5B3" w14:textId="77777777" w:rsidR="00A023BD" w:rsidRPr="00F573AD" w:rsidRDefault="00A023BD" w:rsidP="00A023BD">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F573AD">
              <w:rPr>
                <w:rFonts w:eastAsiaTheme="minorEastAsia"/>
                <w:sz w:val="16"/>
                <w:szCs w:val="16"/>
                <w:lang w:eastAsia="en-US"/>
              </w:rPr>
              <w:t>%</w:t>
            </w:r>
          </w:p>
        </w:tc>
        <w:tc>
          <w:tcPr>
            <w:tcW w:w="1024" w:type="dxa"/>
            <w:tcBorders>
              <w:top w:val="single" w:sz="4" w:space="0" w:color="auto"/>
              <w:bottom w:val="single" w:sz="4" w:space="0" w:color="auto"/>
              <w:right w:val="single" w:sz="4" w:space="0" w:color="000000"/>
            </w:tcBorders>
            <w:shd w:val="clear" w:color="auto" w:fill="FFFFFF" w:themeFill="background1"/>
            <w:noWrap/>
            <w:vAlign w:val="center"/>
          </w:tcPr>
          <w:p w14:paraId="714E1F79" w14:textId="77777777" w:rsidR="00A023BD" w:rsidRPr="00F573AD" w:rsidRDefault="00A023BD" w:rsidP="00A023BD">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F573AD">
              <w:rPr>
                <w:rFonts w:eastAsiaTheme="minorEastAsia"/>
                <w:sz w:val="16"/>
                <w:szCs w:val="16"/>
                <w:lang w:eastAsia="en-US"/>
              </w:rPr>
              <w:t>(95% CI)</w:t>
            </w:r>
          </w:p>
        </w:tc>
        <w:tc>
          <w:tcPr>
            <w:tcW w:w="536" w:type="dxa"/>
            <w:tcBorders>
              <w:top w:val="single" w:sz="4" w:space="0" w:color="auto"/>
              <w:left w:val="single" w:sz="4" w:space="0" w:color="000000"/>
              <w:bottom w:val="single" w:sz="4" w:space="0" w:color="auto"/>
            </w:tcBorders>
            <w:shd w:val="clear" w:color="auto" w:fill="FFFFFF" w:themeFill="background1"/>
            <w:vAlign w:val="center"/>
          </w:tcPr>
          <w:p w14:paraId="5D1A50ED" w14:textId="77777777" w:rsidR="00A023BD" w:rsidRPr="00F573AD" w:rsidRDefault="00A023BD" w:rsidP="00A023BD">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F573AD">
              <w:rPr>
                <w:rFonts w:eastAsiaTheme="minorEastAsia"/>
                <w:sz w:val="16"/>
                <w:szCs w:val="16"/>
                <w:lang w:eastAsia="en-US"/>
              </w:rPr>
              <w:t>n</w:t>
            </w:r>
          </w:p>
        </w:tc>
        <w:tc>
          <w:tcPr>
            <w:tcW w:w="567" w:type="dxa"/>
            <w:tcBorders>
              <w:top w:val="single" w:sz="4" w:space="0" w:color="auto"/>
              <w:bottom w:val="single" w:sz="4" w:space="0" w:color="auto"/>
            </w:tcBorders>
            <w:shd w:val="clear" w:color="auto" w:fill="FFFFFF" w:themeFill="background1"/>
            <w:vAlign w:val="center"/>
          </w:tcPr>
          <w:p w14:paraId="559F8A8F" w14:textId="77777777" w:rsidR="00A023BD" w:rsidRPr="00F573AD" w:rsidRDefault="00A023BD" w:rsidP="00A023BD">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F573AD">
              <w:rPr>
                <w:rFonts w:eastAsiaTheme="minorEastAsia"/>
                <w:sz w:val="16"/>
                <w:szCs w:val="16"/>
                <w:lang w:eastAsia="en-US"/>
              </w:rPr>
              <w:t>%</w:t>
            </w:r>
          </w:p>
        </w:tc>
        <w:tc>
          <w:tcPr>
            <w:tcW w:w="1043" w:type="dxa"/>
            <w:tcBorders>
              <w:top w:val="single" w:sz="4" w:space="0" w:color="auto"/>
              <w:bottom w:val="single" w:sz="4" w:space="0" w:color="auto"/>
              <w:right w:val="single" w:sz="4" w:space="0" w:color="000000"/>
            </w:tcBorders>
            <w:shd w:val="clear" w:color="auto" w:fill="FFFFFF" w:themeFill="background1"/>
            <w:vAlign w:val="center"/>
          </w:tcPr>
          <w:p w14:paraId="64937074" w14:textId="77777777" w:rsidR="00A023BD" w:rsidRPr="00F573AD" w:rsidRDefault="00A023BD" w:rsidP="00A023BD">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F573AD">
              <w:rPr>
                <w:rFonts w:eastAsiaTheme="minorEastAsia"/>
                <w:sz w:val="16"/>
                <w:szCs w:val="16"/>
                <w:lang w:eastAsia="en-US"/>
              </w:rPr>
              <w:t>(95% CI)</w:t>
            </w:r>
          </w:p>
        </w:tc>
        <w:tc>
          <w:tcPr>
            <w:tcW w:w="536" w:type="dxa"/>
            <w:tcBorders>
              <w:top w:val="single" w:sz="4" w:space="0" w:color="auto"/>
              <w:left w:val="single" w:sz="4" w:space="0" w:color="000000"/>
              <w:bottom w:val="single" w:sz="4" w:space="0" w:color="auto"/>
            </w:tcBorders>
            <w:shd w:val="clear" w:color="auto" w:fill="FFFFFF" w:themeFill="background1"/>
            <w:vAlign w:val="center"/>
          </w:tcPr>
          <w:p w14:paraId="074E108C" w14:textId="77777777" w:rsidR="00A023BD" w:rsidRPr="00F573AD" w:rsidRDefault="00A023BD" w:rsidP="00A023BD">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F573AD">
              <w:rPr>
                <w:rFonts w:eastAsiaTheme="minorEastAsia"/>
                <w:sz w:val="16"/>
                <w:szCs w:val="16"/>
                <w:lang w:eastAsia="en-US"/>
              </w:rPr>
              <w:t>n</w:t>
            </w:r>
          </w:p>
        </w:tc>
        <w:tc>
          <w:tcPr>
            <w:tcW w:w="576" w:type="dxa"/>
            <w:tcBorders>
              <w:top w:val="single" w:sz="4" w:space="0" w:color="auto"/>
              <w:bottom w:val="single" w:sz="4" w:space="0" w:color="auto"/>
            </w:tcBorders>
            <w:shd w:val="clear" w:color="auto" w:fill="FFFFFF" w:themeFill="background1"/>
            <w:vAlign w:val="center"/>
          </w:tcPr>
          <w:p w14:paraId="58DD8EBE" w14:textId="77777777" w:rsidR="00A023BD" w:rsidRPr="00F573AD" w:rsidRDefault="00A023BD" w:rsidP="00A023BD">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F573AD">
              <w:rPr>
                <w:rFonts w:eastAsiaTheme="minorEastAsia"/>
                <w:sz w:val="16"/>
                <w:szCs w:val="16"/>
                <w:lang w:eastAsia="en-US"/>
              </w:rPr>
              <w:t>%</w:t>
            </w:r>
          </w:p>
        </w:tc>
        <w:tc>
          <w:tcPr>
            <w:tcW w:w="994" w:type="dxa"/>
            <w:tcBorders>
              <w:top w:val="single" w:sz="4" w:space="0" w:color="auto"/>
              <w:bottom w:val="single" w:sz="4" w:space="0" w:color="auto"/>
            </w:tcBorders>
            <w:shd w:val="clear" w:color="auto" w:fill="FFFFFF" w:themeFill="background1"/>
            <w:vAlign w:val="center"/>
          </w:tcPr>
          <w:p w14:paraId="46B9FE97" w14:textId="77777777" w:rsidR="00A023BD" w:rsidRPr="00F573AD" w:rsidRDefault="00A023BD" w:rsidP="00A023BD">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F573AD">
              <w:rPr>
                <w:rFonts w:eastAsiaTheme="minorEastAsia"/>
                <w:sz w:val="16"/>
                <w:szCs w:val="16"/>
                <w:lang w:eastAsia="en-US"/>
              </w:rPr>
              <w:t>(95% CI)</w:t>
            </w:r>
          </w:p>
        </w:tc>
      </w:tr>
      <w:tr w:rsidR="009118DA" w:rsidRPr="00F573AD" w14:paraId="58068CC5" w14:textId="77777777" w:rsidTr="00A023BD">
        <w:trPr>
          <w:jc w:val="center"/>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shd w:val="clear" w:color="auto" w:fill="auto"/>
            <w:vAlign w:val="center"/>
          </w:tcPr>
          <w:p w14:paraId="185E7FB0" w14:textId="77777777" w:rsidR="00A023BD" w:rsidRPr="00F573AD" w:rsidRDefault="00A023BD" w:rsidP="00A023BD">
            <w:pPr>
              <w:keepNext/>
              <w:spacing w:before="20" w:after="20"/>
              <w:rPr>
                <w:rFonts w:eastAsiaTheme="minorEastAsia"/>
                <w:b w:val="0"/>
                <w:sz w:val="16"/>
                <w:szCs w:val="16"/>
                <w:lang w:eastAsia="en-US"/>
              </w:rPr>
            </w:pPr>
            <w:r>
              <w:rPr>
                <w:rFonts w:eastAsiaTheme="minorEastAsia"/>
                <w:b w:val="0"/>
                <w:sz w:val="16"/>
                <w:szCs w:val="16"/>
                <w:lang w:eastAsia="en-US"/>
              </w:rPr>
              <w:t>Māori</w:t>
            </w:r>
          </w:p>
        </w:tc>
        <w:tc>
          <w:tcPr>
            <w:tcW w:w="567" w:type="dxa"/>
            <w:tcBorders>
              <w:top w:val="nil"/>
              <w:left w:val="nil"/>
              <w:bottom w:val="nil"/>
              <w:right w:val="nil"/>
            </w:tcBorders>
            <w:shd w:val="clear" w:color="auto" w:fill="auto"/>
            <w:noWrap/>
            <w:vAlign w:val="center"/>
          </w:tcPr>
          <w:p w14:paraId="7C554AB7" w14:textId="77777777" w:rsidR="00A023BD" w:rsidRDefault="00A023BD"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Pr>
                <w:color w:val="000000"/>
                <w:sz w:val="16"/>
                <w:szCs w:val="16"/>
              </w:rPr>
              <w:t>146</w:t>
            </w:r>
          </w:p>
        </w:tc>
        <w:tc>
          <w:tcPr>
            <w:tcW w:w="567" w:type="dxa"/>
            <w:tcBorders>
              <w:top w:val="nil"/>
              <w:left w:val="nil"/>
              <w:bottom w:val="nil"/>
              <w:right w:val="nil"/>
            </w:tcBorders>
            <w:shd w:val="clear" w:color="auto" w:fill="auto"/>
            <w:noWrap/>
            <w:vAlign w:val="center"/>
          </w:tcPr>
          <w:p w14:paraId="6F204F21" w14:textId="77777777" w:rsidR="00A023BD" w:rsidRDefault="00A023BD"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22.4</w:t>
            </w:r>
          </w:p>
        </w:tc>
        <w:tc>
          <w:tcPr>
            <w:tcW w:w="992" w:type="dxa"/>
            <w:tcBorders>
              <w:top w:val="nil"/>
              <w:left w:val="nil"/>
              <w:bottom w:val="nil"/>
              <w:right w:val="single" w:sz="4" w:space="0" w:color="auto"/>
            </w:tcBorders>
            <w:shd w:val="clear" w:color="auto" w:fill="auto"/>
            <w:noWrap/>
            <w:vAlign w:val="center"/>
          </w:tcPr>
          <w:p w14:paraId="4588A08C" w14:textId="77777777" w:rsidR="00A023BD" w:rsidRDefault="00A023BD"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(19.6, 25.1)</w:t>
            </w:r>
          </w:p>
        </w:tc>
        <w:tc>
          <w:tcPr>
            <w:tcW w:w="536" w:type="dxa"/>
            <w:tcBorders>
              <w:top w:val="nil"/>
              <w:left w:val="single" w:sz="4" w:space="0" w:color="auto"/>
              <w:bottom w:val="nil"/>
              <w:right w:val="nil"/>
            </w:tcBorders>
            <w:shd w:val="clear" w:color="auto" w:fill="auto"/>
            <w:noWrap/>
            <w:vAlign w:val="center"/>
          </w:tcPr>
          <w:p w14:paraId="2583E291" w14:textId="77777777" w:rsidR="00A023BD" w:rsidRDefault="00A023BD"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567" w:type="dxa"/>
            <w:tcBorders>
              <w:top w:val="nil"/>
              <w:left w:val="nil"/>
              <w:bottom w:val="nil"/>
              <w:right w:val="nil"/>
            </w:tcBorders>
            <w:shd w:val="clear" w:color="auto" w:fill="auto"/>
            <w:noWrap/>
            <w:vAlign w:val="center"/>
          </w:tcPr>
          <w:p w14:paraId="4F97A7FF" w14:textId="77777777" w:rsidR="00A023BD" w:rsidRDefault="00A023BD"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24.1</w:t>
            </w:r>
          </w:p>
        </w:tc>
        <w:tc>
          <w:tcPr>
            <w:tcW w:w="1024" w:type="dxa"/>
            <w:tcBorders>
              <w:top w:val="nil"/>
              <w:left w:val="nil"/>
              <w:bottom w:val="nil"/>
              <w:right w:val="single" w:sz="4" w:space="0" w:color="000000"/>
            </w:tcBorders>
            <w:shd w:val="clear" w:color="auto" w:fill="auto"/>
            <w:noWrap/>
            <w:vAlign w:val="center"/>
          </w:tcPr>
          <w:p w14:paraId="0814BAE1" w14:textId="77777777" w:rsidR="00A023BD" w:rsidRDefault="00A023BD"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(20.1, 28.1)</w:t>
            </w:r>
          </w:p>
        </w:tc>
        <w:tc>
          <w:tcPr>
            <w:tcW w:w="536" w:type="dxa"/>
            <w:tcBorders>
              <w:top w:val="nil"/>
              <w:left w:val="single" w:sz="4" w:space="0" w:color="000000"/>
              <w:bottom w:val="nil"/>
              <w:right w:val="nil"/>
            </w:tcBorders>
            <w:shd w:val="clear" w:color="auto" w:fill="auto"/>
            <w:vAlign w:val="center"/>
          </w:tcPr>
          <w:p w14:paraId="1E520A07" w14:textId="77777777" w:rsidR="00A023BD" w:rsidRDefault="00A023BD"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567" w:type="dxa"/>
            <w:tcBorders>
              <w:top w:val="nil"/>
              <w:left w:val="nil"/>
              <w:bottom w:val="nil"/>
              <w:right w:val="nil"/>
            </w:tcBorders>
            <w:shd w:val="clear" w:color="auto" w:fill="auto"/>
            <w:vAlign w:val="center"/>
          </w:tcPr>
          <w:p w14:paraId="4C57828A" w14:textId="77777777" w:rsidR="00A023BD" w:rsidRDefault="00A023BD"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23.6</w:t>
            </w:r>
          </w:p>
        </w:tc>
        <w:tc>
          <w:tcPr>
            <w:tcW w:w="1043" w:type="dxa"/>
            <w:tcBorders>
              <w:top w:val="nil"/>
              <w:left w:val="nil"/>
              <w:bottom w:val="nil"/>
              <w:right w:val="single" w:sz="4" w:space="0" w:color="000000"/>
            </w:tcBorders>
            <w:shd w:val="clear" w:color="auto" w:fill="auto"/>
            <w:vAlign w:val="center"/>
          </w:tcPr>
          <w:p w14:paraId="5437B35C" w14:textId="77777777" w:rsidR="00A023BD" w:rsidRDefault="00A023BD"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(18.2, 29.0)</w:t>
            </w:r>
          </w:p>
        </w:tc>
        <w:tc>
          <w:tcPr>
            <w:tcW w:w="536" w:type="dxa"/>
            <w:tcBorders>
              <w:top w:val="nil"/>
              <w:left w:val="single" w:sz="4" w:space="0" w:color="000000"/>
              <w:bottom w:val="nil"/>
              <w:right w:val="nil"/>
            </w:tcBorders>
            <w:shd w:val="clear" w:color="auto" w:fill="auto"/>
            <w:vAlign w:val="center"/>
          </w:tcPr>
          <w:p w14:paraId="77E8B858" w14:textId="77777777" w:rsidR="00A023BD" w:rsidRDefault="00A023BD"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576" w:type="dxa"/>
            <w:tcBorders>
              <w:top w:val="nil"/>
              <w:left w:val="nil"/>
              <w:bottom w:val="nil"/>
              <w:right w:val="nil"/>
            </w:tcBorders>
            <w:shd w:val="clear" w:color="auto" w:fill="auto"/>
            <w:vAlign w:val="center"/>
          </w:tcPr>
          <w:p w14:paraId="35F505B3" w14:textId="77777777" w:rsidR="00A023BD" w:rsidRDefault="00A023BD"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20.8</w:t>
            </w:r>
          </w:p>
        </w:tc>
        <w:tc>
          <w:tcPr>
            <w:tcW w:w="994" w:type="dxa"/>
            <w:tcBorders>
              <w:top w:val="nil"/>
              <w:left w:val="nil"/>
              <w:bottom w:val="nil"/>
              <w:right w:val="nil"/>
            </w:tcBorders>
            <w:shd w:val="clear" w:color="auto" w:fill="auto"/>
            <w:vAlign w:val="center"/>
          </w:tcPr>
          <w:p w14:paraId="13E87614" w14:textId="77777777" w:rsidR="00A023BD" w:rsidRDefault="00A023BD"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(14.9, 26.6)</w:t>
            </w:r>
          </w:p>
        </w:tc>
      </w:tr>
      <w:tr w:rsidR="009118DA" w:rsidRPr="00F573AD" w14:paraId="48371A66" w14:textId="77777777" w:rsidTr="00A023BD">
        <w:trPr>
          <w:jc w:val="center"/>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shd w:val="clear" w:color="auto" w:fill="auto"/>
            <w:vAlign w:val="center"/>
          </w:tcPr>
          <w:p w14:paraId="0E53418E" w14:textId="77777777" w:rsidR="00A023BD" w:rsidRPr="00F573AD" w:rsidRDefault="00A023BD" w:rsidP="00A023BD">
            <w:pPr>
              <w:keepNext/>
              <w:spacing w:before="20" w:after="20"/>
              <w:rPr>
                <w:rFonts w:eastAsiaTheme="minorEastAsia"/>
                <w:b w:val="0"/>
                <w:sz w:val="16"/>
                <w:szCs w:val="16"/>
              </w:rPr>
            </w:pPr>
            <w:r>
              <w:rPr>
                <w:rFonts w:eastAsiaTheme="minorEastAsia"/>
                <w:b w:val="0"/>
                <w:sz w:val="16"/>
                <w:szCs w:val="16"/>
              </w:rPr>
              <w:t>Pacific</w:t>
            </w:r>
          </w:p>
        </w:tc>
        <w:tc>
          <w:tcPr>
            <w:tcW w:w="567" w:type="dxa"/>
            <w:tcBorders>
              <w:top w:val="nil"/>
              <w:left w:val="nil"/>
              <w:bottom w:val="nil"/>
              <w:right w:val="nil"/>
            </w:tcBorders>
            <w:shd w:val="clear" w:color="auto" w:fill="auto"/>
            <w:noWrap/>
            <w:vAlign w:val="center"/>
          </w:tcPr>
          <w:p w14:paraId="2B068BDA" w14:textId="77777777" w:rsidR="00A023BD" w:rsidRDefault="00A023BD"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55</w:t>
            </w:r>
          </w:p>
        </w:tc>
        <w:tc>
          <w:tcPr>
            <w:tcW w:w="567" w:type="dxa"/>
            <w:tcBorders>
              <w:top w:val="nil"/>
              <w:left w:val="nil"/>
              <w:bottom w:val="nil"/>
              <w:right w:val="nil"/>
            </w:tcBorders>
            <w:shd w:val="clear" w:color="auto" w:fill="auto"/>
            <w:noWrap/>
            <w:vAlign w:val="center"/>
          </w:tcPr>
          <w:p w14:paraId="352FE491" w14:textId="77777777" w:rsidR="00A023BD" w:rsidRDefault="00A023BD"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992" w:type="dxa"/>
            <w:tcBorders>
              <w:top w:val="nil"/>
              <w:left w:val="nil"/>
              <w:bottom w:val="nil"/>
              <w:right w:val="single" w:sz="4" w:space="0" w:color="auto"/>
            </w:tcBorders>
            <w:shd w:val="clear" w:color="auto" w:fill="auto"/>
            <w:noWrap/>
            <w:vAlign w:val="center"/>
          </w:tcPr>
          <w:p w14:paraId="09605543" w14:textId="77777777" w:rsidR="00A023BD" w:rsidRDefault="00A023BD"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(14.4, 21.3)</w:t>
            </w:r>
          </w:p>
        </w:tc>
        <w:tc>
          <w:tcPr>
            <w:tcW w:w="536" w:type="dxa"/>
            <w:tcBorders>
              <w:top w:val="nil"/>
              <w:left w:val="single" w:sz="4" w:space="0" w:color="auto"/>
              <w:bottom w:val="nil"/>
              <w:right w:val="nil"/>
            </w:tcBorders>
            <w:shd w:val="clear" w:color="auto" w:fill="auto"/>
            <w:noWrap/>
            <w:vAlign w:val="center"/>
          </w:tcPr>
          <w:p w14:paraId="4FB3A2DC" w14:textId="77777777" w:rsidR="00A023BD" w:rsidRDefault="00A023BD"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67" w:type="dxa"/>
            <w:tcBorders>
              <w:top w:val="nil"/>
              <w:left w:val="nil"/>
              <w:bottom w:val="nil"/>
              <w:right w:val="nil"/>
            </w:tcBorders>
            <w:shd w:val="clear" w:color="auto" w:fill="auto"/>
            <w:noWrap/>
            <w:vAlign w:val="center"/>
          </w:tcPr>
          <w:p w14:paraId="397BC29D" w14:textId="77777777" w:rsidR="00A023BD" w:rsidRDefault="00A023BD"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17.0</w:t>
            </w:r>
          </w:p>
        </w:tc>
        <w:tc>
          <w:tcPr>
            <w:tcW w:w="1024" w:type="dxa"/>
            <w:tcBorders>
              <w:top w:val="nil"/>
              <w:left w:val="nil"/>
              <w:bottom w:val="nil"/>
              <w:right w:val="single" w:sz="4" w:space="0" w:color="000000"/>
            </w:tcBorders>
            <w:shd w:val="clear" w:color="auto" w:fill="auto"/>
            <w:noWrap/>
            <w:vAlign w:val="center"/>
          </w:tcPr>
          <w:p w14:paraId="5BE5E211" w14:textId="77777777" w:rsidR="00A023BD" w:rsidRDefault="00A023BD"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(12.9, 21.2)</w:t>
            </w:r>
          </w:p>
        </w:tc>
        <w:tc>
          <w:tcPr>
            <w:tcW w:w="536" w:type="dxa"/>
            <w:tcBorders>
              <w:top w:val="nil"/>
              <w:left w:val="single" w:sz="4" w:space="0" w:color="000000"/>
              <w:bottom w:val="nil"/>
              <w:right w:val="nil"/>
            </w:tcBorders>
            <w:shd w:val="clear" w:color="auto" w:fill="auto"/>
            <w:vAlign w:val="center"/>
          </w:tcPr>
          <w:p w14:paraId="1D1E88A2" w14:textId="77777777" w:rsidR="00A023BD" w:rsidRDefault="00A023BD"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567" w:type="dxa"/>
            <w:tcBorders>
              <w:top w:val="nil"/>
              <w:left w:val="nil"/>
              <w:bottom w:val="nil"/>
              <w:right w:val="nil"/>
            </w:tcBorders>
            <w:shd w:val="clear" w:color="auto" w:fill="auto"/>
            <w:vAlign w:val="center"/>
          </w:tcPr>
          <w:p w14:paraId="376C7C41" w14:textId="77777777" w:rsidR="00A023BD" w:rsidRDefault="00A023BD"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1043" w:type="dxa"/>
            <w:tcBorders>
              <w:top w:val="nil"/>
              <w:left w:val="nil"/>
              <w:bottom w:val="nil"/>
              <w:right w:val="single" w:sz="4" w:space="0" w:color="000000"/>
            </w:tcBorders>
            <w:shd w:val="clear" w:color="auto" w:fill="auto"/>
            <w:vAlign w:val="center"/>
          </w:tcPr>
          <w:p w14:paraId="57E79571" w14:textId="77777777" w:rsidR="00A023BD" w:rsidRDefault="00A023BD"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(10.7, 19.5)</w:t>
            </w:r>
          </w:p>
        </w:tc>
        <w:tc>
          <w:tcPr>
            <w:tcW w:w="536" w:type="dxa"/>
            <w:tcBorders>
              <w:top w:val="nil"/>
              <w:left w:val="single" w:sz="4" w:space="0" w:color="000000"/>
              <w:bottom w:val="nil"/>
              <w:right w:val="nil"/>
            </w:tcBorders>
            <w:shd w:val="clear" w:color="auto" w:fill="auto"/>
            <w:vAlign w:val="center"/>
          </w:tcPr>
          <w:p w14:paraId="6A5CE2FF" w14:textId="77777777" w:rsidR="00A023BD" w:rsidRDefault="00A023BD"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576" w:type="dxa"/>
            <w:tcBorders>
              <w:top w:val="nil"/>
              <w:left w:val="nil"/>
              <w:bottom w:val="nil"/>
              <w:right w:val="nil"/>
            </w:tcBorders>
            <w:shd w:val="clear" w:color="auto" w:fill="auto"/>
            <w:vAlign w:val="center"/>
          </w:tcPr>
          <w:p w14:paraId="087D2D67" w14:textId="77777777" w:rsidR="00A023BD" w:rsidRDefault="00A023BD"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994" w:type="dxa"/>
            <w:tcBorders>
              <w:top w:val="nil"/>
              <w:left w:val="nil"/>
              <w:bottom w:val="nil"/>
              <w:right w:val="nil"/>
            </w:tcBorders>
            <w:shd w:val="clear" w:color="auto" w:fill="auto"/>
            <w:vAlign w:val="center"/>
          </w:tcPr>
          <w:p w14:paraId="454376F3" w14:textId="77777777" w:rsidR="00A023BD" w:rsidRDefault="00A023BD"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(6.3, 15.6)</w:t>
            </w:r>
          </w:p>
        </w:tc>
      </w:tr>
      <w:tr w:rsidR="009118DA" w:rsidRPr="00F573AD" w14:paraId="511D65E8" w14:textId="77777777" w:rsidTr="003D3900">
        <w:trPr>
          <w:jc w:val="center"/>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shd w:val="clear" w:color="auto" w:fill="auto"/>
            <w:vAlign w:val="center"/>
          </w:tcPr>
          <w:p w14:paraId="04FC97E5" w14:textId="77777777" w:rsidR="00A023BD" w:rsidRPr="00F573AD" w:rsidRDefault="00A023BD" w:rsidP="00A023BD">
            <w:pPr>
              <w:spacing w:before="20" w:after="20"/>
              <w:rPr>
                <w:rFonts w:eastAsiaTheme="minorEastAsia"/>
                <w:b w:val="0"/>
                <w:sz w:val="16"/>
                <w:szCs w:val="16"/>
                <w:lang w:eastAsia="en-US"/>
              </w:rPr>
            </w:pPr>
            <w:r>
              <w:rPr>
                <w:rFonts w:eastAsiaTheme="minorEastAsia"/>
                <w:b w:val="0"/>
                <w:sz w:val="16"/>
                <w:szCs w:val="16"/>
                <w:lang w:eastAsia="en-US"/>
              </w:rPr>
              <w:t>Asian</w:t>
            </w:r>
          </w:p>
        </w:tc>
        <w:tc>
          <w:tcPr>
            <w:tcW w:w="567" w:type="dxa"/>
            <w:tcBorders>
              <w:top w:val="nil"/>
              <w:left w:val="nil"/>
              <w:bottom w:val="nil"/>
              <w:right w:val="nil"/>
            </w:tcBorders>
            <w:shd w:val="clear" w:color="auto" w:fill="auto"/>
            <w:noWrap/>
            <w:vAlign w:val="center"/>
          </w:tcPr>
          <w:p w14:paraId="695BE1B0"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567" w:type="dxa"/>
            <w:tcBorders>
              <w:top w:val="nil"/>
              <w:left w:val="nil"/>
              <w:bottom w:val="nil"/>
              <w:right w:val="nil"/>
            </w:tcBorders>
            <w:shd w:val="clear" w:color="auto" w:fill="auto"/>
            <w:noWrap/>
            <w:vAlign w:val="center"/>
          </w:tcPr>
          <w:p w14:paraId="04EE114E"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16.8</w:t>
            </w:r>
          </w:p>
        </w:tc>
        <w:tc>
          <w:tcPr>
            <w:tcW w:w="992" w:type="dxa"/>
            <w:tcBorders>
              <w:top w:val="nil"/>
              <w:left w:val="nil"/>
              <w:bottom w:val="nil"/>
              <w:right w:val="single" w:sz="4" w:space="0" w:color="auto"/>
            </w:tcBorders>
            <w:shd w:val="clear" w:color="auto" w:fill="auto"/>
            <w:noWrap/>
            <w:vAlign w:val="center"/>
          </w:tcPr>
          <w:p w14:paraId="3C1A942F"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(13.8, 19.8)</w:t>
            </w:r>
          </w:p>
        </w:tc>
        <w:tc>
          <w:tcPr>
            <w:tcW w:w="536" w:type="dxa"/>
            <w:tcBorders>
              <w:top w:val="nil"/>
              <w:left w:val="single" w:sz="4" w:space="0" w:color="auto"/>
              <w:bottom w:val="nil"/>
              <w:right w:val="nil"/>
            </w:tcBorders>
            <w:shd w:val="clear" w:color="auto" w:fill="auto"/>
            <w:noWrap/>
            <w:vAlign w:val="center"/>
          </w:tcPr>
          <w:p w14:paraId="62B3A76A"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567" w:type="dxa"/>
            <w:tcBorders>
              <w:top w:val="nil"/>
              <w:left w:val="nil"/>
              <w:bottom w:val="nil"/>
              <w:right w:val="nil"/>
            </w:tcBorders>
            <w:shd w:val="clear" w:color="auto" w:fill="auto"/>
            <w:noWrap/>
            <w:vAlign w:val="center"/>
          </w:tcPr>
          <w:p w14:paraId="212A6D45"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w:t>
            </w:r>
          </w:p>
        </w:tc>
        <w:tc>
          <w:tcPr>
            <w:tcW w:w="1024" w:type="dxa"/>
            <w:tcBorders>
              <w:top w:val="nil"/>
              <w:left w:val="nil"/>
              <w:bottom w:val="nil"/>
              <w:right w:val="single" w:sz="4" w:space="0" w:color="000000"/>
            </w:tcBorders>
            <w:shd w:val="clear" w:color="auto" w:fill="auto"/>
            <w:noWrap/>
            <w:vAlign w:val="center"/>
          </w:tcPr>
          <w:p w14:paraId="73AEA8C9"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(10.4, 18.5)</w:t>
            </w:r>
          </w:p>
        </w:tc>
        <w:tc>
          <w:tcPr>
            <w:tcW w:w="536" w:type="dxa"/>
            <w:tcBorders>
              <w:top w:val="nil"/>
              <w:left w:val="single" w:sz="4" w:space="0" w:color="000000"/>
              <w:bottom w:val="nil"/>
              <w:right w:val="nil"/>
            </w:tcBorders>
            <w:shd w:val="clear" w:color="auto" w:fill="auto"/>
            <w:vAlign w:val="center"/>
          </w:tcPr>
          <w:p w14:paraId="0E8E141E"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67" w:type="dxa"/>
            <w:tcBorders>
              <w:top w:val="nil"/>
              <w:left w:val="nil"/>
              <w:bottom w:val="nil"/>
              <w:right w:val="nil"/>
            </w:tcBorders>
            <w:shd w:val="clear" w:color="auto" w:fill="auto"/>
            <w:vAlign w:val="center"/>
          </w:tcPr>
          <w:p w14:paraId="7BA6885B"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1043" w:type="dxa"/>
            <w:tcBorders>
              <w:top w:val="nil"/>
              <w:left w:val="nil"/>
              <w:bottom w:val="nil"/>
              <w:right w:val="single" w:sz="4" w:space="0" w:color="000000"/>
            </w:tcBorders>
            <w:shd w:val="clear" w:color="auto" w:fill="auto"/>
            <w:vAlign w:val="center"/>
          </w:tcPr>
          <w:p w14:paraId="3EC9F382"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(11.7, 20.2)</w:t>
            </w:r>
          </w:p>
        </w:tc>
        <w:tc>
          <w:tcPr>
            <w:tcW w:w="536" w:type="dxa"/>
            <w:tcBorders>
              <w:top w:val="nil"/>
              <w:left w:val="single" w:sz="4" w:space="0" w:color="000000"/>
              <w:bottom w:val="nil"/>
              <w:right w:val="nil"/>
            </w:tcBorders>
            <w:shd w:val="clear" w:color="auto" w:fill="auto"/>
            <w:vAlign w:val="center"/>
          </w:tcPr>
          <w:p w14:paraId="648FA428"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576" w:type="dxa"/>
            <w:tcBorders>
              <w:top w:val="nil"/>
              <w:left w:val="nil"/>
              <w:bottom w:val="nil"/>
              <w:right w:val="nil"/>
            </w:tcBorders>
            <w:shd w:val="clear" w:color="auto" w:fill="auto"/>
            <w:vAlign w:val="center"/>
          </w:tcPr>
          <w:p w14:paraId="75997BE1"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994" w:type="dxa"/>
            <w:tcBorders>
              <w:top w:val="nil"/>
              <w:left w:val="nil"/>
              <w:bottom w:val="nil"/>
              <w:right w:val="nil"/>
            </w:tcBorders>
            <w:shd w:val="clear" w:color="auto" w:fill="auto"/>
            <w:vAlign w:val="center"/>
          </w:tcPr>
          <w:p w14:paraId="1C324F6A"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(5.8, 13.2)</w:t>
            </w:r>
          </w:p>
        </w:tc>
      </w:tr>
      <w:tr w:rsidR="00A023BD" w:rsidRPr="00F573AD" w14:paraId="41614A29" w14:textId="77777777" w:rsidTr="00A023BD">
        <w:trPr>
          <w:jc w:val="center"/>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single" w:sz="4" w:space="0" w:color="auto"/>
              <w:right w:val="nil"/>
            </w:tcBorders>
            <w:shd w:val="clear" w:color="auto" w:fill="auto"/>
            <w:vAlign w:val="center"/>
          </w:tcPr>
          <w:p w14:paraId="6FDB4B4C" w14:textId="77777777" w:rsidR="00A023BD" w:rsidRPr="00F573AD" w:rsidRDefault="00A023BD" w:rsidP="00A023BD">
            <w:pPr>
              <w:spacing w:before="20" w:after="20"/>
              <w:rPr>
                <w:rFonts w:eastAsiaTheme="minorEastAsia"/>
                <w:b w:val="0"/>
                <w:sz w:val="16"/>
                <w:szCs w:val="16"/>
                <w:lang w:eastAsia="en-US"/>
              </w:rPr>
            </w:pPr>
            <w:r>
              <w:rPr>
                <w:rFonts w:eastAsiaTheme="minorEastAsia"/>
                <w:b w:val="0"/>
                <w:sz w:val="16"/>
                <w:szCs w:val="16"/>
                <w:lang w:eastAsia="en-US"/>
              </w:rPr>
              <w:t>European/Other</w:t>
            </w:r>
          </w:p>
        </w:tc>
        <w:tc>
          <w:tcPr>
            <w:tcW w:w="567" w:type="dxa"/>
            <w:tcBorders>
              <w:top w:val="nil"/>
              <w:left w:val="nil"/>
              <w:bottom w:val="single" w:sz="4" w:space="0" w:color="auto"/>
              <w:right w:val="nil"/>
            </w:tcBorders>
            <w:shd w:val="clear" w:color="auto" w:fill="auto"/>
            <w:noWrap/>
            <w:vAlign w:val="center"/>
          </w:tcPr>
          <w:p w14:paraId="4AE49087"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687</w:t>
            </w:r>
          </w:p>
        </w:tc>
        <w:tc>
          <w:tcPr>
            <w:tcW w:w="567" w:type="dxa"/>
            <w:tcBorders>
              <w:top w:val="nil"/>
              <w:left w:val="nil"/>
              <w:bottom w:val="single" w:sz="4" w:space="0" w:color="auto"/>
              <w:right w:val="nil"/>
            </w:tcBorders>
            <w:shd w:val="clear" w:color="auto" w:fill="auto"/>
            <w:noWrap/>
            <w:vAlign w:val="center"/>
          </w:tcPr>
          <w:p w14:paraId="3D8976DE"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992" w:type="dxa"/>
            <w:tcBorders>
              <w:top w:val="nil"/>
              <w:left w:val="nil"/>
              <w:bottom w:val="single" w:sz="4" w:space="0" w:color="auto"/>
              <w:right w:val="single" w:sz="4" w:space="0" w:color="auto"/>
            </w:tcBorders>
            <w:shd w:val="clear" w:color="auto" w:fill="auto"/>
            <w:noWrap/>
            <w:vAlign w:val="center"/>
          </w:tcPr>
          <w:p w14:paraId="5DA1E4BC"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(13.6, 16.5)</w:t>
            </w:r>
          </w:p>
        </w:tc>
        <w:tc>
          <w:tcPr>
            <w:tcW w:w="536" w:type="dxa"/>
            <w:tcBorders>
              <w:top w:val="nil"/>
              <w:left w:val="single" w:sz="4" w:space="0" w:color="auto"/>
              <w:bottom w:val="single" w:sz="4" w:space="0" w:color="auto"/>
              <w:right w:val="nil"/>
            </w:tcBorders>
            <w:shd w:val="clear" w:color="auto" w:fill="auto"/>
            <w:noWrap/>
            <w:vAlign w:val="center"/>
          </w:tcPr>
          <w:p w14:paraId="26D0E215"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442</w:t>
            </w:r>
          </w:p>
        </w:tc>
        <w:tc>
          <w:tcPr>
            <w:tcW w:w="567" w:type="dxa"/>
            <w:tcBorders>
              <w:top w:val="nil"/>
              <w:left w:val="nil"/>
              <w:bottom w:val="single" w:sz="4" w:space="0" w:color="auto"/>
              <w:right w:val="nil"/>
            </w:tcBorders>
            <w:shd w:val="clear" w:color="auto" w:fill="auto"/>
            <w:noWrap/>
            <w:vAlign w:val="center"/>
          </w:tcPr>
          <w:p w14:paraId="367DF4AE"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1024" w:type="dxa"/>
            <w:tcBorders>
              <w:top w:val="nil"/>
              <w:left w:val="nil"/>
              <w:bottom w:val="single" w:sz="4" w:space="0" w:color="auto"/>
              <w:right w:val="single" w:sz="4" w:space="0" w:color="000000"/>
            </w:tcBorders>
            <w:shd w:val="clear" w:color="auto" w:fill="auto"/>
            <w:noWrap/>
            <w:vAlign w:val="center"/>
          </w:tcPr>
          <w:p w14:paraId="192081C4"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(14.0, 17.9)</w:t>
            </w:r>
          </w:p>
        </w:tc>
        <w:tc>
          <w:tcPr>
            <w:tcW w:w="536" w:type="dxa"/>
            <w:tcBorders>
              <w:top w:val="nil"/>
              <w:left w:val="single" w:sz="4" w:space="0" w:color="000000"/>
              <w:bottom w:val="single" w:sz="4" w:space="0" w:color="auto"/>
              <w:right w:val="nil"/>
            </w:tcBorders>
            <w:shd w:val="clear" w:color="auto" w:fill="auto"/>
            <w:vAlign w:val="center"/>
          </w:tcPr>
          <w:p w14:paraId="0F1F0BC8"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567" w:type="dxa"/>
            <w:tcBorders>
              <w:top w:val="nil"/>
              <w:left w:val="nil"/>
              <w:bottom w:val="single" w:sz="4" w:space="0" w:color="auto"/>
              <w:right w:val="nil"/>
            </w:tcBorders>
            <w:shd w:val="clear" w:color="auto" w:fill="auto"/>
            <w:vAlign w:val="center"/>
          </w:tcPr>
          <w:p w14:paraId="3513A763"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1043" w:type="dxa"/>
            <w:tcBorders>
              <w:top w:val="nil"/>
              <w:left w:val="nil"/>
              <w:bottom w:val="single" w:sz="4" w:space="0" w:color="auto"/>
              <w:right w:val="single" w:sz="4" w:space="0" w:color="000000"/>
            </w:tcBorders>
            <w:shd w:val="clear" w:color="auto" w:fill="auto"/>
            <w:vAlign w:val="center"/>
          </w:tcPr>
          <w:p w14:paraId="4E094F7D"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(12.0, 15.7)</w:t>
            </w:r>
          </w:p>
        </w:tc>
        <w:tc>
          <w:tcPr>
            <w:tcW w:w="536" w:type="dxa"/>
            <w:tcBorders>
              <w:top w:val="nil"/>
              <w:left w:val="single" w:sz="4" w:space="0" w:color="000000"/>
              <w:bottom w:val="single" w:sz="4" w:space="0" w:color="auto"/>
              <w:right w:val="nil"/>
            </w:tcBorders>
            <w:shd w:val="clear" w:color="auto" w:fill="auto"/>
            <w:vAlign w:val="center"/>
          </w:tcPr>
          <w:p w14:paraId="563B5609"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576" w:type="dxa"/>
            <w:tcBorders>
              <w:top w:val="nil"/>
              <w:left w:val="nil"/>
              <w:bottom w:val="single" w:sz="4" w:space="0" w:color="auto"/>
              <w:right w:val="nil"/>
            </w:tcBorders>
            <w:shd w:val="clear" w:color="auto" w:fill="auto"/>
            <w:vAlign w:val="center"/>
          </w:tcPr>
          <w:p w14:paraId="3D607920"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994" w:type="dxa"/>
            <w:tcBorders>
              <w:top w:val="nil"/>
              <w:left w:val="nil"/>
              <w:bottom w:val="single" w:sz="4" w:space="0" w:color="auto"/>
              <w:right w:val="nil"/>
            </w:tcBorders>
            <w:shd w:val="clear" w:color="auto" w:fill="auto"/>
            <w:vAlign w:val="center"/>
          </w:tcPr>
          <w:p w14:paraId="3913A302" w14:textId="77777777" w:rsidR="00A023BD" w:rsidRDefault="00A023BD" w:rsidP="00A023BD">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(10.7, 14.5)</w:t>
            </w:r>
          </w:p>
        </w:tc>
      </w:tr>
    </w:tbl>
    <w:p w14:paraId="4C66D6D8" w14:textId="77777777" w:rsidR="00A023BD" w:rsidRPr="00AB3B09" w:rsidRDefault="00A023BD" w:rsidP="00A023BD">
      <w:pPr>
        <w:ind w:left="-709"/>
        <w:jc w:val="both"/>
        <w:rPr>
          <w:sz w:val="16"/>
        </w:rPr>
      </w:pPr>
      <w:r w:rsidRPr="00AB3B09">
        <w:rPr>
          <w:sz w:val="16"/>
        </w:rPr>
        <w:t>Data weighted for 2013 Census data (all waves) and attrition (Waves 2, 3 and 4)</w:t>
      </w:r>
    </w:p>
    <w:p w14:paraId="204CEF0B" w14:textId="77777777" w:rsidR="00A023BD" w:rsidRPr="00AB3B09" w:rsidRDefault="00A023BD" w:rsidP="00A023BD">
      <w:pPr>
        <w:pStyle w:val="RepNormal"/>
        <w:ind w:left="-709"/>
        <w:rPr>
          <w:sz w:val="16"/>
        </w:rPr>
      </w:pPr>
      <w:r w:rsidRPr="00AB3B09">
        <w:rPr>
          <w:sz w:val="16"/>
        </w:rPr>
        <w:t>Wave 1 N=6,251; Wave 2 N=3,745; Wave 3 N=3,115; Wave 4 N=2,770</w:t>
      </w:r>
    </w:p>
    <w:p w14:paraId="427B32EA" w14:textId="77777777" w:rsidR="00A023BD" w:rsidRPr="00F573AD" w:rsidRDefault="00A023BD" w:rsidP="00A023BD">
      <w:pPr>
        <w:pStyle w:val="RepNormal"/>
      </w:pPr>
    </w:p>
    <w:p w14:paraId="3E89DF23" w14:textId="77777777" w:rsidR="00A023BD" w:rsidRDefault="00A023BD" w:rsidP="00A023BD">
      <w:pPr>
        <w:pStyle w:val="RepNormal"/>
      </w:pPr>
    </w:p>
    <w:p w14:paraId="4A42176F" w14:textId="77777777" w:rsidR="00A023BD" w:rsidRDefault="00A023BD" w:rsidP="00A023BD">
      <w:pPr>
        <w:pStyle w:val="RepHead2"/>
      </w:pPr>
      <w:bookmarkStart w:id="91" w:name="_Ref473033284"/>
      <w:bookmarkStart w:id="92" w:name="_Toc504488360"/>
      <w:r>
        <w:t>EGM expenditure trends</w:t>
      </w:r>
      <w:bookmarkEnd w:id="91"/>
      <w:bookmarkEnd w:id="92"/>
    </w:p>
    <w:p w14:paraId="6489CF5E" w14:textId="77777777" w:rsidR="00A023BD" w:rsidRDefault="00A023BD" w:rsidP="00A023BD">
      <w:pPr>
        <w:pStyle w:val="RepNormal"/>
        <w:keepNext/>
        <w:keepLines/>
      </w:pPr>
    </w:p>
    <w:p w14:paraId="15E54562" w14:textId="77777777" w:rsidR="00A023BD" w:rsidRPr="001D6E16" w:rsidRDefault="00A023BD" w:rsidP="00A023BD">
      <w:pPr>
        <w:pStyle w:val="RepNormal"/>
        <w:keepNext/>
        <w:keepLines/>
        <w:rPr>
          <w:i/>
        </w:rPr>
      </w:pPr>
      <w:r w:rsidRPr="000848C3">
        <w:t xml:space="preserve">This section details typical per-participant monthly expenditure on casino, pub and club EGM gambling by gambling risk level (section </w:t>
      </w:r>
      <w:r w:rsidRPr="000848C3">
        <w:fldChar w:fldCharType="begin"/>
      </w:r>
      <w:r w:rsidRPr="000848C3">
        <w:instrText xml:space="preserve"> REF _Ref470177067 \r \h </w:instrText>
      </w:r>
      <w:r>
        <w:instrText xml:space="preserve"> \* MERGEFORMAT </w:instrText>
      </w:r>
      <w:r w:rsidRPr="000848C3">
        <w:fldChar w:fldCharType="separate"/>
      </w:r>
      <w:r w:rsidR="00D5752E">
        <w:t>4.4.1</w:t>
      </w:r>
      <w:r w:rsidRPr="000848C3">
        <w:fldChar w:fldCharType="end"/>
      </w:r>
      <w:r w:rsidRPr="000848C3">
        <w:t>)</w:t>
      </w:r>
      <w:r>
        <w:t>,</w:t>
      </w:r>
      <w:r w:rsidRPr="000848C3">
        <w:t xml:space="preserve"> </w:t>
      </w:r>
      <w:r w:rsidR="00B04068">
        <w:t xml:space="preserve">estimated annual EGM expenditure by gambling risk level </w:t>
      </w:r>
      <w:r w:rsidR="00B04068" w:rsidRPr="000848C3">
        <w:t xml:space="preserve">(section </w:t>
      </w:r>
      <w:r w:rsidR="00B04068">
        <w:fldChar w:fldCharType="begin"/>
      </w:r>
      <w:r w:rsidR="00B04068">
        <w:instrText xml:space="preserve"> REF _Ref496705846 \r \h </w:instrText>
      </w:r>
      <w:r w:rsidR="00B04068">
        <w:fldChar w:fldCharType="separate"/>
      </w:r>
      <w:r w:rsidR="00D5752E">
        <w:t>4.4.2</w:t>
      </w:r>
      <w:r w:rsidR="00B04068">
        <w:fldChar w:fldCharType="end"/>
      </w:r>
      <w:r w:rsidR="00B04068" w:rsidRPr="000848C3">
        <w:t>)</w:t>
      </w:r>
      <w:r w:rsidR="00B04068">
        <w:t xml:space="preserve">, </w:t>
      </w:r>
      <w:r w:rsidRPr="000848C3">
        <w:t xml:space="preserve">and </w:t>
      </w:r>
      <w:r>
        <w:t xml:space="preserve">Class 4 (pub and club) monthly expenditure </w:t>
      </w:r>
      <w:r w:rsidRPr="000848C3">
        <w:t xml:space="preserve">by </w:t>
      </w:r>
      <w:r w:rsidR="00B04068">
        <w:t xml:space="preserve">selected </w:t>
      </w:r>
      <w:r w:rsidRPr="000848C3">
        <w:t>sociodemographic characteristics</w:t>
      </w:r>
      <w:r w:rsidR="00B04068">
        <w:t xml:space="preserve"> (section </w:t>
      </w:r>
      <w:r w:rsidR="00B04068">
        <w:fldChar w:fldCharType="begin"/>
      </w:r>
      <w:r w:rsidR="00B04068">
        <w:instrText xml:space="preserve"> REF _Ref496705933 \r \h </w:instrText>
      </w:r>
      <w:r w:rsidR="00B04068">
        <w:fldChar w:fldCharType="separate"/>
      </w:r>
      <w:r w:rsidR="00D5752E">
        <w:t>4.4.3</w:t>
      </w:r>
      <w:r w:rsidR="00B04068">
        <w:fldChar w:fldCharType="end"/>
      </w:r>
      <w:r w:rsidR="00B04068">
        <w:t>)</w:t>
      </w:r>
      <w:r w:rsidRPr="000848C3">
        <w:t>.</w:t>
      </w:r>
    </w:p>
    <w:p w14:paraId="17A37A39" w14:textId="77777777" w:rsidR="00A023BD" w:rsidRDefault="00A023BD" w:rsidP="00A023BD">
      <w:pPr>
        <w:pStyle w:val="RepNormal"/>
        <w:keepNext/>
        <w:keepLines/>
      </w:pPr>
    </w:p>
    <w:p w14:paraId="7594AA54" w14:textId="77777777" w:rsidR="00A023BD" w:rsidRDefault="00A023BD" w:rsidP="00A023BD">
      <w:pPr>
        <w:pStyle w:val="RepNormal"/>
        <w:keepNext/>
        <w:keepLines/>
      </w:pPr>
    </w:p>
    <w:p w14:paraId="63575F9C" w14:textId="77777777" w:rsidR="00A023BD" w:rsidRDefault="00A023BD" w:rsidP="00A023BD">
      <w:pPr>
        <w:pStyle w:val="RepHead3"/>
      </w:pPr>
      <w:bookmarkStart w:id="93" w:name="_Ref470177067"/>
      <w:bookmarkStart w:id="94" w:name="_Toc504488361"/>
      <w:r>
        <w:t>Typical monthly EGM expenditure by gambling risk level</w:t>
      </w:r>
      <w:bookmarkEnd w:id="93"/>
      <w:bookmarkEnd w:id="94"/>
    </w:p>
    <w:p w14:paraId="29FBD0B2" w14:textId="77777777" w:rsidR="00A023BD" w:rsidRDefault="00A023BD" w:rsidP="00A023BD">
      <w:pPr>
        <w:pStyle w:val="RepNormal"/>
      </w:pPr>
    </w:p>
    <w:p w14:paraId="3C81FB28" w14:textId="77777777" w:rsidR="00A023BD" w:rsidRDefault="00A023BD" w:rsidP="00A023BD">
      <w:pPr>
        <w:pStyle w:val="RepNormal"/>
      </w:pPr>
      <w:r>
        <w:t xml:space="preserve">Data are presented in Appendix </w:t>
      </w:r>
      <w:r w:rsidR="003D7BB5">
        <w:t>19</w:t>
      </w:r>
      <w:r>
        <w:t>.</w:t>
      </w:r>
    </w:p>
    <w:p w14:paraId="618CF3BD" w14:textId="77777777" w:rsidR="00A023BD" w:rsidRDefault="00A023BD" w:rsidP="00A023BD">
      <w:pPr>
        <w:pStyle w:val="RepNormal"/>
      </w:pPr>
    </w:p>
    <w:p w14:paraId="776F7B10" w14:textId="70128E4C" w:rsidR="00A023BD" w:rsidRDefault="00A023BD" w:rsidP="00A023BD">
      <w:pPr>
        <w:pStyle w:val="RepNormal"/>
      </w:pPr>
      <w:r>
        <w:t>Overall, there were no changes over time in the typical monthly expenditure</w:t>
      </w:r>
      <w:r w:rsidR="001C0955">
        <w:rPr>
          <w:rStyle w:val="FootnoteReference"/>
        </w:rPr>
        <w:footnoteReference w:id="6"/>
      </w:r>
      <w:r>
        <w:t xml:space="preserve"> by EGM gambling type.  In Wave 4, it was $51 for casino EGMs, $35 for pub EGMs and $37 for club EGMs.</w:t>
      </w:r>
    </w:p>
    <w:p w14:paraId="0AD11A1D" w14:textId="77777777" w:rsidR="00A023BD" w:rsidRDefault="00A023BD" w:rsidP="00A023BD">
      <w:pPr>
        <w:pStyle w:val="RepNormal"/>
      </w:pPr>
    </w:p>
    <w:p w14:paraId="12E38369" w14:textId="77777777" w:rsidR="00A023BD" w:rsidRDefault="00A023BD" w:rsidP="00A023BD">
      <w:pPr>
        <w:pStyle w:val="RepNormal"/>
      </w:pPr>
      <w:r>
        <w:t>Typical monthly expenditure on casino EGM gambling in Wave 4 was $107 for moderate-risk/ problem gamblers, $93 for low-risk gamblers and $33 for non-problem gamblers.  The difference in expenditure between moderate-risk/problem gamblers and non-problem gamblers was substantial and was apparent from Wave 1 to Wave 4.</w:t>
      </w:r>
    </w:p>
    <w:p w14:paraId="3D350173" w14:textId="77777777" w:rsidR="00A023BD" w:rsidRDefault="00A023BD" w:rsidP="00A023BD">
      <w:pPr>
        <w:pStyle w:val="RepNormal"/>
      </w:pPr>
    </w:p>
    <w:p w14:paraId="35857C5C" w14:textId="77777777" w:rsidR="00A023BD" w:rsidRDefault="00A023BD" w:rsidP="00A023BD">
      <w:pPr>
        <w:pStyle w:val="RepNormal"/>
      </w:pPr>
      <w:r>
        <w:t>A similar finding was noted for monthly expenditure on pub EGM gambling.  In Wave 4, expenditure was $92 for moderate-risk/problem gamblers, $45 for low-risk gamblers and $25 for non-problem gamblers.  The difference between non-problem and moderate-risk/ problem gamblers was substantial and apparent from Wave 1 to Wave 4.</w:t>
      </w:r>
    </w:p>
    <w:p w14:paraId="5D009842" w14:textId="77777777" w:rsidR="00A023BD" w:rsidRDefault="00A023BD" w:rsidP="00A023BD">
      <w:pPr>
        <w:pStyle w:val="RepNormal"/>
      </w:pPr>
    </w:p>
    <w:p w14:paraId="7ADDF6B6" w14:textId="77777777" w:rsidR="00A023BD" w:rsidRDefault="00A023BD" w:rsidP="00A023BD">
      <w:pPr>
        <w:pStyle w:val="RepNormal"/>
      </w:pPr>
      <w:r>
        <w:t>In Wave 4, monthly expenditure on club EGM gambling was $110 for moderate-risk/problem gamblers, $66 for low-risk gamblers and $22 for non-problem gamblers.  However, at some waves, 95% confidence intervals overlapped or were not calculable due to small sample size and non-normal distribution, meaning that the importance of the difference in point estimates is not ascertainable.</w:t>
      </w:r>
    </w:p>
    <w:p w14:paraId="304EA30C" w14:textId="77777777" w:rsidR="00A023BD" w:rsidRDefault="00A023BD" w:rsidP="00A023BD">
      <w:pPr>
        <w:pStyle w:val="RepNormal"/>
      </w:pPr>
    </w:p>
    <w:p w14:paraId="53D1D1CF" w14:textId="77777777" w:rsidR="00A023BD" w:rsidRDefault="00A023BD" w:rsidP="00A023BD">
      <w:pPr>
        <w:pStyle w:val="RepNormal"/>
      </w:pPr>
      <w:r>
        <w:t>When pub and club EGM gambling expenditure were considered together (i.e. Class 4 gambling expenditure), in Wave 4, moderate-risk/problem gamblers spent $117 per month, low-risk gamblers spent $57 and non-problem gamblers spent $28.  Expenditure of non-problem and low-risk gamblers were both substantially lower than that of moderate-risk/ problem gamblers from Wave 1 to Wave 4; although there was some overlap of confidence intervals in Wave 4.  This is probably due to small sample sizes.</w:t>
      </w:r>
    </w:p>
    <w:p w14:paraId="1A7CBC00" w14:textId="77777777" w:rsidR="00947B47" w:rsidRDefault="00947B47" w:rsidP="00A023BD">
      <w:pPr>
        <w:pStyle w:val="RepNormal"/>
      </w:pPr>
    </w:p>
    <w:p w14:paraId="3E4505EC" w14:textId="77777777" w:rsidR="00947B47" w:rsidRDefault="00947B47" w:rsidP="00A023BD">
      <w:pPr>
        <w:pStyle w:val="RepNormal"/>
      </w:pPr>
    </w:p>
    <w:p w14:paraId="336AD2DC" w14:textId="77777777" w:rsidR="00A023BD" w:rsidRPr="00927358" w:rsidRDefault="00A023BD" w:rsidP="00947B47">
      <w:pPr>
        <w:pStyle w:val="RepHead3"/>
      </w:pPr>
      <w:bookmarkStart w:id="95" w:name="_Ref496705846"/>
      <w:bookmarkStart w:id="96" w:name="_Toc504488362"/>
      <w:r w:rsidRPr="00927358">
        <w:t>Estimated annual EGM expenditure by gambling risk level</w:t>
      </w:r>
      <w:bookmarkEnd w:id="95"/>
      <w:bookmarkEnd w:id="96"/>
    </w:p>
    <w:p w14:paraId="2428018A" w14:textId="77777777" w:rsidR="00A023BD" w:rsidRDefault="00A023BD" w:rsidP="00947B47">
      <w:pPr>
        <w:pStyle w:val="RepNormal"/>
        <w:keepNext/>
      </w:pPr>
    </w:p>
    <w:p w14:paraId="2DCFC6C7" w14:textId="0B55B33D" w:rsidR="00A023BD" w:rsidRPr="00F60109" w:rsidRDefault="00A023BD" w:rsidP="00947B47">
      <w:pPr>
        <w:pStyle w:val="RepNormal"/>
        <w:keepNext/>
      </w:pPr>
      <w:r w:rsidRPr="00F60109">
        <w:t xml:space="preserve">Data are presented in Appendix </w:t>
      </w:r>
      <w:r w:rsidR="003D7BB5" w:rsidRPr="00F60109">
        <w:t>20</w:t>
      </w:r>
      <w:r w:rsidRPr="00F60109">
        <w:t>.  Overall in Wave 4</w:t>
      </w:r>
      <w:r w:rsidR="00927358" w:rsidRPr="00F60109">
        <w:t>,</w:t>
      </w:r>
      <w:r w:rsidRPr="00F60109">
        <w:t xml:space="preserve"> </w:t>
      </w:r>
      <w:r w:rsidR="00927358" w:rsidRPr="00F60109">
        <w:t xml:space="preserve">estimated EGM expenditure </w:t>
      </w:r>
      <w:r w:rsidR="009043E9" w:rsidRPr="00F60109">
        <w:t>was $286 </w:t>
      </w:r>
      <w:r w:rsidRPr="00F60109">
        <w:t xml:space="preserve">million ($119 million on casino EGMs, $167 million on pub and club EGMs).  </w:t>
      </w:r>
    </w:p>
    <w:p w14:paraId="17098A40" w14:textId="77777777" w:rsidR="00A023BD" w:rsidRPr="00F60109" w:rsidRDefault="00A023BD" w:rsidP="00A023BD">
      <w:pPr>
        <w:pStyle w:val="RepNormal"/>
      </w:pPr>
    </w:p>
    <w:p w14:paraId="64097770" w14:textId="262ACB89" w:rsidR="00A023BD" w:rsidRPr="00F60109" w:rsidRDefault="00A023BD" w:rsidP="00A023BD">
      <w:pPr>
        <w:pStyle w:val="RepNormal"/>
      </w:pPr>
      <w:r w:rsidRPr="00F60109">
        <w:t>Converting total estimated expenditure into percentages</w:t>
      </w:r>
      <w:r w:rsidR="009043E9" w:rsidRPr="00F60109">
        <w:t xml:space="preserve"> for each type of EGM (casino, pub or club)</w:t>
      </w:r>
      <w:r w:rsidRPr="00F60109">
        <w:t xml:space="preserve"> allows comparison of relative proportions spent on </w:t>
      </w:r>
      <w:r w:rsidR="00693C91" w:rsidRPr="00F60109">
        <w:t>E</w:t>
      </w:r>
      <w:r w:rsidRPr="00F60109">
        <w:t xml:space="preserve">GM gambling by gambling risk level.  </w:t>
      </w:r>
      <w:r w:rsidRPr="00F60109">
        <w:fldChar w:fldCharType="begin"/>
      </w:r>
      <w:r w:rsidRPr="00F60109">
        <w:instrText xml:space="preserve"> REF _Ref495658235 \h </w:instrText>
      </w:r>
      <w:r w:rsidR="00F60109">
        <w:instrText xml:space="preserve"> \* MERGEFORMAT </w:instrText>
      </w:r>
      <w:r w:rsidRPr="00F60109">
        <w:fldChar w:fldCharType="separate"/>
      </w:r>
      <w:r w:rsidR="00D5752E">
        <w:t xml:space="preserve">Table </w:t>
      </w:r>
      <w:r w:rsidR="00D5752E">
        <w:rPr>
          <w:noProof/>
        </w:rPr>
        <w:t>9</w:t>
      </w:r>
      <w:r w:rsidRPr="00F60109">
        <w:fldChar w:fldCharType="end"/>
      </w:r>
      <w:r w:rsidRPr="00F60109">
        <w:t xml:space="preserve"> details expenditure as percentages.</w:t>
      </w:r>
    </w:p>
    <w:p w14:paraId="5A37FABF" w14:textId="77777777" w:rsidR="00A023BD" w:rsidRPr="00F60109" w:rsidRDefault="00A023BD" w:rsidP="00A023BD">
      <w:pPr>
        <w:pStyle w:val="RepNormal"/>
      </w:pPr>
    </w:p>
    <w:p w14:paraId="309B6347" w14:textId="77777777" w:rsidR="00A023BD" w:rsidRDefault="00A023BD" w:rsidP="00A023BD">
      <w:pPr>
        <w:pStyle w:val="RepNormal"/>
      </w:pPr>
      <w:r w:rsidRPr="00F60109">
        <w:t>Overall, slightly more than half of EGM expenditure was on pub and club EGMs and slightly</w:t>
      </w:r>
      <w:r>
        <w:t xml:space="preserve"> less than half on casino EGMs.  In Wave 4, this was 58% and 42%, respectively.  When examined by gambling risk level, from Wave 1 to Wave 3, a higher proportion of the expenditure was on pub and club EGMs for moderate-risk/problem gamblers (about three-quarters) compared with low-risk and non-problem gamblers (slightly more than half).  Conversely, casino expenditure for moderate-risk/problem gamblers was lower (about one-quarter) compared with low-risk and non-problem gamblers (slightly less than half).  Of the pub and club gambling, about two-thirds of the expenditure was on pub EGMs for moderate-risk/problem gamblers; it was slightly higher for low-risk and non-problem gamblers at about three-quarters of the expenditure.</w:t>
      </w:r>
    </w:p>
    <w:p w14:paraId="543C783A" w14:textId="77777777" w:rsidR="00A023BD" w:rsidRDefault="00A023BD" w:rsidP="00A023BD">
      <w:pPr>
        <w:pStyle w:val="RepNormal"/>
      </w:pPr>
    </w:p>
    <w:p w14:paraId="2EDD3651" w14:textId="77777777" w:rsidR="00A023BD" w:rsidRDefault="00A023BD" w:rsidP="00A023BD">
      <w:pPr>
        <w:pStyle w:val="RepNormal"/>
      </w:pPr>
      <w:r>
        <w:t>Wave 4 was anomalous in that the expenditure proportions for moderate-risk/problem gamblers were similar to that of low-risk gamblers and non-problem gamblers.  There is no explanation for this finding</w:t>
      </w:r>
      <w:r w:rsidR="004A1A6C">
        <w:t>.</w:t>
      </w:r>
    </w:p>
    <w:p w14:paraId="777994D1" w14:textId="77777777" w:rsidR="00A023BD" w:rsidRDefault="00A023BD" w:rsidP="00A023BD">
      <w:pPr>
        <w:pStyle w:val="RepNormal"/>
      </w:pPr>
    </w:p>
    <w:p w14:paraId="0E4F1C80" w14:textId="77777777" w:rsidR="00A023BD" w:rsidRDefault="00A023BD" w:rsidP="00A023BD">
      <w:pPr>
        <w:pStyle w:val="Caption"/>
        <w:keepNext/>
        <w:jc w:val="both"/>
        <w:rPr>
          <w:szCs w:val="22"/>
        </w:rPr>
      </w:pPr>
      <w:bookmarkStart w:id="97" w:name="_Ref495658235"/>
      <w:bookmarkStart w:id="98" w:name="_Toc504488434"/>
      <w:r>
        <w:t xml:space="preserve">Table </w:t>
      </w:r>
      <w:r w:rsidR="00D5752E">
        <w:fldChar w:fldCharType="begin"/>
      </w:r>
      <w:r w:rsidR="00D5752E">
        <w:instrText xml:space="preserve"> SEQ Table \* ARABIC </w:instrText>
      </w:r>
      <w:r w:rsidR="00D5752E">
        <w:fldChar w:fldCharType="separate"/>
      </w:r>
      <w:r w:rsidR="00D5752E">
        <w:rPr>
          <w:noProof/>
        </w:rPr>
        <w:t>9</w:t>
      </w:r>
      <w:r w:rsidR="00D5752E">
        <w:rPr>
          <w:noProof/>
        </w:rPr>
        <w:fldChar w:fldCharType="end"/>
      </w:r>
      <w:bookmarkEnd w:id="97"/>
      <w:r>
        <w:t xml:space="preserve">: </w:t>
      </w:r>
      <w:r w:rsidR="0029462F">
        <w:t>Percentage of total estimated EGM expenditure by g</w:t>
      </w:r>
      <w:r>
        <w:t xml:space="preserve">ambling risk </w:t>
      </w:r>
      <w:r w:rsidR="0029462F">
        <w:t xml:space="preserve">level and venue </w:t>
      </w:r>
      <w:r>
        <w:t>in Waves 1, 2, 3 and 4</w:t>
      </w:r>
      <w:bookmarkEnd w:id="98"/>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5"/>
        <w:gridCol w:w="916"/>
        <w:gridCol w:w="567"/>
        <w:gridCol w:w="708"/>
        <w:gridCol w:w="567"/>
        <w:gridCol w:w="709"/>
        <w:gridCol w:w="567"/>
        <w:gridCol w:w="709"/>
        <w:gridCol w:w="567"/>
        <w:gridCol w:w="709"/>
      </w:tblGrid>
      <w:tr w:rsidR="00A023BD" w:rsidRPr="007B4EF8" w14:paraId="33F59794" w14:textId="77777777" w:rsidTr="00A023BD">
        <w:trPr>
          <w:tblHeader/>
        </w:trPr>
        <w:tc>
          <w:tcPr>
            <w:tcW w:w="2345" w:type="dxa"/>
            <w:vMerge w:val="restart"/>
            <w:tcBorders>
              <w:top w:val="single" w:sz="4" w:space="0" w:color="auto"/>
            </w:tcBorders>
            <w:vAlign w:val="bottom"/>
          </w:tcPr>
          <w:p w14:paraId="0C0516AC" w14:textId="77777777" w:rsidR="00A023BD" w:rsidRPr="00D317D8" w:rsidRDefault="00A023BD" w:rsidP="00A023BD">
            <w:pPr>
              <w:keepNext/>
              <w:spacing w:before="20" w:after="20"/>
              <w:rPr>
                <w:rFonts w:eastAsiaTheme="minorEastAsia"/>
                <w:b/>
                <w:sz w:val="18"/>
                <w:szCs w:val="18"/>
                <w:lang w:eastAsia="en-US"/>
              </w:rPr>
            </w:pPr>
            <w:r w:rsidRPr="001B7431">
              <w:rPr>
                <w:rFonts w:eastAsiaTheme="minorEastAsia"/>
                <w:b/>
                <w:sz w:val="16"/>
                <w:szCs w:val="16"/>
                <w:lang w:eastAsia="en-US"/>
              </w:rPr>
              <w:t>Gambling risk level</w:t>
            </w:r>
          </w:p>
        </w:tc>
        <w:tc>
          <w:tcPr>
            <w:tcW w:w="916" w:type="dxa"/>
            <w:vMerge w:val="restart"/>
            <w:tcBorders>
              <w:top w:val="single" w:sz="4" w:space="0" w:color="auto"/>
            </w:tcBorders>
            <w:vAlign w:val="bottom"/>
          </w:tcPr>
          <w:p w14:paraId="3A43727E" w14:textId="77777777" w:rsidR="00A023BD" w:rsidRPr="001B7431" w:rsidRDefault="00A023BD" w:rsidP="00A023BD">
            <w:pPr>
              <w:keepNext/>
              <w:spacing w:before="20" w:after="20"/>
              <w:ind w:left="34"/>
              <w:rPr>
                <w:rFonts w:eastAsiaTheme="minorEastAsia"/>
                <w:b/>
                <w:sz w:val="16"/>
                <w:szCs w:val="16"/>
                <w:lang w:eastAsia="en-US"/>
              </w:rPr>
            </w:pPr>
            <w:r>
              <w:rPr>
                <w:rFonts w:eastAsiaTheme="minorEastAsia"/>
                <w:b/>
                <w:sz w:val="16"/>
                <w:szCs w:val="16"/>
                <w:lang w:eastAsia="en-US"/>
              </w:rPr>
              <w:t>EGM type</w:t>
            </w:r>
          </w:p>
        </w:tc>
        <w:tc>
          <w:tcPr>
            <w:tcW w:w="1275" w:type="dxa"/>
            <w:gridSpan w:val="2"/>
            <w:tcBorders>
              <w:top w:val="single" w:sz="4" w:space="0" w:color="auto"/>
              <w:bottom w:val="single" w:sz="4" w:space="0" w:color="auto"/>
              <w:right w:val="single" w:sz="4" w:space="0" w:color="auto"/>
            </w:tcBorders>
            <w:vAlign w:val="center"/>
          </w:tcPr>
          <w:p w14:paraId="488C137B" w14:textId="77777777" w:rsidR="00A023BD" w:rsidRPr="001B7431" w:rsidRDefault="00A023BD" w:rsidP="00A023BD">
            <w:pPr>
              <w:keepNext/>
              <w:spacing w:before="20" w:after="20"/>
              <w:ind w:left="34"/>
              <w:jc w:val="center"/>
              <w:rPr>
                <w:rFonts w:eastAsiaTheme="minorEastAsia"/>
                <w:b/>
                <w:sz w:val="16"/>
                <w:szCs w:val="16"/>
                <w:lang w:eastAsia="en-US"/>
              </w:rPr>
            </w:pPr>
            <w:r w:rsidRPr="001B7431">
              <w:rPr>
                <w:rFonts w:eastAsiaTheme="minorEastAsia"/>
                <w:b/>
                <w:sz w:val="16"/>
                <w:szCs w:val="16"/>
                <w:lang w:eastAsia="en-US"/>
              </w:rPr>
              <w:t>Wave 1</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0D42901" w14:textId="77777777" w:rsidR="00A023BD" w:rsidRPr="001B7431" w:rsidRDefault="00A023BD" w:rsidP="00A023BD">
            <w:pPr>
              <w:keepNext/>
              <w:spacing w:before="20" w:after="20"/>
              <w:ind w:left="34"/>
              <w:jc w:val="center"/>
              <w:rPr>
                <w:rFonts w:eastAsiaTheme="minorEastAsia"/>
                <w:b/>
                <w:sz w:val="16"/>
                <w:szCs w:val="16"/>
                <w:lang w:eastAsia="en-US"/>
              </w:rPr>
            </w:pPr>
            <w:r w:rsidRPr="001B7431">
              <w:rPr>
                <w:rFonts w:eastAsiaTheme="minorEastAsia"/>
                <w:b/>
                <w:sz w:val="16"/>
                <w:szCs w:val="16"/>
                <w:lang w:eastAsia="en-US"/>
              </w:rPr>
              <w:t>Wave 2</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635E49B" w14:textId="77777777" w:rsidR="00A023BD" w:rsidRPr="001B7431" w:rsidRDefault="00A023BD" w:rsidP="00A023BD">
            <w:pPr>
              <w:keepNext/>
              <w:spacing w:before="20" w:after="20"/>
              <w:ind w:left="34"/>
              <w:jc w:val="center"/>
              <w:rPr>
                <w:rFonts w:eastAsiaTheme="minorEastAsia"/>
                <w:b/>
                <w:sz w:val="16"/>
                <w:szCs w:val="16"/>
                <w:lang w:eastAsia="en-US"/>
              </w:rPr>
            </w:pPr>
            <w:r w:rsidRPr="001B7431">
              <w:rPr>
                <w:rFonts w:eastAsiaTheme="minorEastAsia"/>
                <w:b/>
                <w:sz w:val="16"/>
                <w:szCs w:val="16"/>
                <w:lang w:eastAsia="en-US"/>
              </w:rPr>
              <w:t>Wave 3</w:t>
            </w:r>
          </w:p>
        </w:tc>
        <w:tc>
          <w:tcPr>
            <w:tcW w:w="1276" w:type="dxa"/>
            <w:gridSpan w:val="2"/>
            <w:tcBorders>
              <w:top w:val="single" w:sz="4" w:space="0" w:color="auto"/>
              <w:left w:val="single" w:sz="4" w:space="0" w:color="auto"/>
              <w:bottom w:val="single" w:sz="4" w:space="0" w:color="auto"/>
            </w:tcBorders>
            <w:vAlign w:val="center"/>
          </w:tcPr>
          <w:p w14:paraId="7C8FCE98" w14:textId="77777777" w:rsidR="00A023BD" w:rsidRPr="001B7431" w:rsidRDefault="00A023BD" w:rsidP="00A023BD">
            <w:pPr>
              <w:keepNext/>
              <w:spacing w:before="20" w:after="20"/>
              <w:ind w:left="34"/>
              <w:jc w:val="center"/>
              <w:rPr>
                <w:rFonts w:eastAsiaTheme="minorEastAsia"/>
                <w:b/>
                <w:sz w:val="16"/>
                <w:szCs w:val="16"/>
                <w:lang w:eastAsia="en-US"/>
              </w:rPr>
            </w:pPr>
            <w:r w:rsidRPr="001B7431">
              <w:rPr>
                <w:rFonts w:eastAsiaTheme="minorEastAsia"/>
                <w:b/>
                <w:sz w:val="16"/>
                <w:szCs w:val="16"/>
                <w:lang w:eastAsia="en-US"/>
              </w:rPr>
              <w:t>Wave 4</w:t>
            </w:r>
          </w:p>
        </w:tc>
      </w:tr>
      <w:tr w:rsidR="00A023BD" w:rsidRPr="007B4EF8" w14:paraId="01C0574D" w14:textId="77777777" w:rsidTr="00A023BD">
        <w:trPr>
          <w:tblHeader/>
        </w:trPr>
        <w:tc>
          <w:tcPr>
            <w:tcW w:w="2345" w:type="dxa"/>
            <w:vMerge/>
            <w:tcBorders>
              <w:bottom w:val="single" w:sz="4" w:space="0" w:color="auto"/>
            </w:tcBorders>
            <w:vAlign w:val="center"/>
          </w:tcPr>
          <w:p w14:paraId="6FC4D411" w14:textId="77777777" w:rsidR="00A023BD" w:rsidRPr="001B7431" w:rsidRDefault="00A023BD" w:rsidP="00A023BD">
            <w:pPr>
              <w:keepNext/>
              <w:spacing w:before="20" w:after="20"/>
              <w:ind w:left="34"/>
              <w:rPr>
                <w:rFonts w:eastAsiaTheme="minorEastAsia"/>
                <w:b/>
                <w:sz w:val="16"/>
                <w:szCs w:val="16"/>
                <w:lang w:eastAsia="en-US"/>
              </w:rPr>
            </w:pPr>
          </w:p>
        </w:tc>
        <w:tc>
          <w:tcPr>
            <w:tcW w:w="916" w:type="dxa"/>
            <w:vMerge/>
            <w:tcBorders>
              <w:bottom w:val="single" w:sz="4" w:space="0" w:color="auto"/>
            </w:tcBorders>
          </w:tcPr>
          <w:p w14:paraId="6D087F11" w14:textId="77777777" w:rsidR="00A023BD" w:rsidRPr="001B7431" w:rsidRDefault="00A023BD" w:rsidP="00A023BD">
            <w:pPr>
              <w:keepNext/>
              <w:spacing w:before="20" w:after="20"/>
              <w:ind w:left="34"/>
              <w:rPr>
                <w:rFonts w:eastAsiaTheme="minorEastAsia"/>
                <w:b/>
                <w:sz w:val="16"/>
                <w:szCs w:val="16"/>
                <w:lang w:eastAsia="en-US"/>
              </w:rPr>
            </w:pPr>
          </w:p>
        </w:tc>
        <w:tc>
          <w:tcPr>
            <w:tcW w:w="567" w:type="dxa"/>
            <w:tcBorders>
              <w:top w:val="single" w:sz="4" w:space="0" w:color="auto"/>
              <w:bottom w:val="single" w:sz="4" w:space="0" w:color="auto"/>
            </w:tcBorders>
            <w:vAlign w:val="center"/>
          </w:tcPr>
          <w:p w14:paraId="79FFA8C8" w14:textId="77777777" w:rsidR="00A023BD" w:rsidRPr="001B7431" w:rsidRDefault="00A023BD" w:rsidP="00A023BD">
            <w:pPr>
              <w:keepNext/>
              <w:spacing w:before="20" w:after="20"/>
              <w:ind w:left="34"/>
              <w:jc w:val="right"/>
              <w:rPr>
                <w:rFonts w:eastAsiaTheme="minorEastAsia"/>
                <w:b/>
                <w:sz w:val="16"/>
                <w:szCs w:val="16"/>
                <w:lang w:eastAsia="en-US"/>
              </w:rPr>
            </w:pPr>
            <w:r w:rsidRPr="001B7431">
              <w:rPr>
                <w:rFonts w:eastAsiaTheme="minorEastAsia"/>
                <w:b/>
                <w:sz w:val="16"/>
                <w:szCs w:val="16"/>
                <w:lang w:eastAsia="en-US"/>
              </w:rPr>
              <w:t>n</w:t>
            </w:r>
          </w:p>
        </w:tc>
        <w:tc>
          <w:tcPr>
            <w:tcW w:w="708" w:type="dxa"/>
            <w:tcBorders>
              <w:top w:val="single" w:sz="4" w:space="0" w:color="auto"/>
              <w:bottom w:val="single" w:sz="4" w:space="0" w:color="auto"/>
            </w:tcBorders>
            <w:vAlign w:val="center"/>
          </w:tcPr>
          <w:p w14:paraId="5FFAF95D" w14:textId="77777777" w:rsidR="00A023BD" w:rsidRPr="001B7431" w:rsidRDefault="00A023BD" w:rsidP="00A023BD">
            <w:pPr>
              <w:keepNext/>
              <w:spacing w:before="20" w:after="20"/>
              <w:ind w:left="34"/>
              <w:jc w:val="right"/>
              <w:rPr>
                <w:rFonts w:eastAsiaTheme="minorEastAsia"/>
                <w:b/>
                <w:sz w:val="16"/>
                <w:szCs w:val="16"/>
                <w:lang w:eastAsia="en-US"/>
              </w:rPr>
            </w:pPr>
            <w:r w:rsidRPr="001B7431">
              <w:rPr>
                <w:rFonts w:eastAsiaTheme="minorEastAsia"/>
                <w:b/>
                <w:sz w:val="16"/>
                <w:szCs w:val="16"/>
                <w:lang w:eastAsia="en-US"/>
              </w:rPr>
              <w:t>%</w:t>
            </w:r>
          </w:p>
        </w:tc>
        <w:tc>
          <w:tcPr>
            <w:tcW w:w="567" w:type="dxa"/>
            <w:tcBorders>
              <w:top w:val="single" w:sz="4" w:space="0" w:color="auto"/>
              <w:left w:val="single" w:sz="4" w:space="0" w:color="auto"/>
              <w:bottom w:val="single" w:sz="4" w:space="0" w:color="auto"/>
            </w:tcBorders>
            <w:vAlign w:val="center"/>
          </w:tcPr>
          <w:p w14:paraId="3A3D569A" w14:textId="77777777" w:rsidR="00A023BD" w:rsidRPr="001B7431" w:rsidRDefault="00A023BD" w:rsidP="00A023BD">
            <w:pPr>
              <w:keepNext/>
              <w:spacing w:before="20" w:after="20"/>
              <w:ind w:left="34"/>
              <w:jc w:val="right"/>
              <w:rPr>
                <w:rFonts w:eastAsiaTheme="minorEastAsia"/>
                <w:b/>
                <w:sz w:val="16"/>
                <w:szCs w:val="16"/>
                <w:lang w:eastAsia="en-US"/>
              </w:rPr>
            </w:pPr>
            <w:r w:rsidRPr="001B7431">
              <w:rPr>
                <w:rFonts w:eastAsiaTheme="minorEastAsia"/>
                <w:b/>
                <w:sz w:val="16"/>
                <w:szCs w:val="16"/>
                <w:lang w:eastAsia="en-US"/>
              </w:rPr>
              <w:t>n</w:t>
            </w:r>
          </w:p>
        </w:tc>
        <w:tc>
          <w:tcPr>
            <w:tcW w:w="709" w:type="dxa"/>
            <w:tcBorders>
              <w:top w:val="single" w:sz="4" w:space="0" w:color="auto"/>
              <w:bottom w:val="single" w:sz="4" w:space="0" w:color="auto"/>
            </w:tcBorders>
            <w:vAlign w:val="center"/>
          </w:tcPr>
          <w:p w14:paraId="5E302869" w14:textId="77777777" w:rsidR="00A023BD" w:rsidRPr="001B7431" w:rsidRDefault="00A023BD" w:rsidP="00A023BD">
            <w:pPr>
              <w:keepNext/>
              <w:spacing w:before="20" w:after="20"/>
              <w:ind w:left="34"/>
              <w:jc w:val="right"/>
              <w:rPr>
                <w:rFonts w:eastAsiaTheme="minorEastAsia"/>
                <w:b/>
                <w:sz w:val="16"/>
                <w:szCs w:val="16"/>
                <w:lang w:eastAsia="en-US"/>
              </w:rPr>
            </w:pPr>
            <w:r w:rsidRPr="001B7431">
              <w:rPr>
                <w:rFonts w:eastAsiaTheme="minorEastAsia"/>
                <w:b/>
                <w:sz w:val="16"/>
                <w:szCs w:val="16"/>
                <w:lang w:eastAsia="en-US"/>
              </w:rPr>
              <w:t>%</w:t>
            </w:r>
          </w:p>
        </w:tc>
        <w:tc>
          <w:tcPr>
            <w:tcW w:w="567" w:type="dxa"/>
            <w:tcBorders>
              <w:top w:val="single" w:sz="4" w:space="0" w:color="auto"/>
              <w:left w:val="single" w:sz="4" w:space="0" w:color="auto"/>
              <w:bottom w:val="single" w:sz="4" w:space="0" w:color="auto"/>
            </w:tcBorders>
            <w:vAlign w:val="center"/>
          </w:tcPr>
          <w:p w14:paraId="788B3582" w14:textId="77777777" w:rsidR="00A023BD" w:rsidRPr="001B7431" w:rsidRDefault="00A023BD" w:rsidP="00A023BD">
            <w:pPr>
              <w:keepNext/>
              <w:spacing w:before="20" w:after="20"/>
              <w:ind w:left="34"/>
              <w:jc w:val="right"/>
              <w:rPr>
                <w:rFonts w:eastAsiaTheme="minorEastAsia"/>
                <w:b/>
                <w:sz w:val="16"/>
                <w:szCs w:val="16"/>
                <w:lang w:eastAsia="en-US"/>
              </w:rPr>
            </w:pPr>
            <w:r w:rsidRPr="001B7431">
              <w:rPr>
                <w:rFonts w:eastAsiaTheme="minorEastAsia"/>
                <w:b/>
                <w:sz w:val="16"/>
                <w:szCs w:val="16"/>
                <w:lang w:eastAsia="en-US"/>
              </w:rPr>
              <w:t>n</w:t>
            </w:r>
          </w:p>
        </w:tc>
        <w:tc>
          <w:tcPr>
            <w:tcW w:w="709" w:type="dxa"/>
            <w:tcBorders>
              <w:top w:val="single" w:sz="4" w:space="0" w:color="auto"/>
              <w:bottom w:val="single" w:sz="4" w:space="0" w:color="auto"/>
            </w:tcBorders>
            <w:vAlign w:val="center"/>
          </w:tcPr>
          <w:p w14:paraId="0F90B59D" w14:textId="77777777" w:rsidR="00A023BD" w:rsidRPr="001B7431" w:rsidRDefault="00A023BD" w:rsidP="00A023BD">
            <w:pPr>
              <w:keepNext/>
              <w:spacing w:before="20" w:after="20"/>
              <w:ind w:left="34"/>
              <w:jc w:val="right"/>
              <w:rPr>
                <w:rFonts w:eastAsiaTheme="minorEastAsia"/>
                <w:b/>
                <w:sz w:val="16"/>
                <w:szCs w:val="16"/>
                <w:lang w:eastAsia="en-US"/>
              </w:rPr>
            </w:pPr>
            <w:r w:rsidRPr="001B7431">
              <w:rPr>
                <w:rFonts w:eastAsiaTheme="minorEastAsia"/>
                <w:b/>
                <w:sz w:val="16"/>
                <w:szCs w:val="16"/>
                <w:lang w:eastAsia="en-US"/>
              </w:rPr>
              <w:t>%</w:t>
            </w:r>
          </w:p>
        </w:tc>
        <w:tc>
          <w:tcPr>
            <w:tcW w:w="567" w:type="dxa"/>
            <w:tcBorders>
              <w:top w:val="single" w:sz="4" w:space="0" w:color="auto"/>
              <w:left w:val="single" w:sz="4" w:space="0" w:color="auto"/>
              <w:bottom w:val="single" w:sz="4" w:space="0" w:color="auto"/>
            </w:tcBorders>
            <w:vAlign w:val="center"/>
          </w:tcPr>
          <w:p w14:paraId="3D940567" w14:textId="77777777" w:rsidR="00A023BD" w:rsidRPr="001B7431" w:rsidRDefault="00A023BD" w:rsidP="00A023BD">
            <w:pPr>
              <w:keepNext/>
              <w:spacing w:before="20" w:after="20"/>
              <w:ind w:left="34"/>
              <w:jc w:val="right"/>
              <w:rPr>
                <w:rFonts w:eastAsiaTheme="minorEastAsia"/>
                <w:b/>
                <w:sz w:val="16"/>
                <w:szCs w:val="16"/>
                <w:lang w:eastAsia="en-US"/>
              </w:rPr>
            </w:pPr>
            <w:r w:rsidRPr="001B7431">
              <w:rPr>
                <w:rFonts w:eastAsiaTheme="minorEastAsia"/>
                <w:b/>
                <w:sz w:val="16"/>
                <w:szCs w:val="16"/>
                <w:lang w:eastAsia="en-US"/>
              </w:rPr>
              <w:t>n</w:t>
            </w:r>
          </w:p>
        </w:tc>
        <w:tc>
          <w:tcPr>
            <w:tcW w:w="709" w:type="dxa"/>
            <w:tcBorders>
              <w:top w:val="single" w:sz="4" w:space="0" w:color="auto"/>
              <w:bottom w:val="single" w:sz="4" w:space="0" w:color="auto"/>
            </w:tcBorders>
            <w:vAlign w:val="center"/>
          </w:tcPr>
          <w:p w14:paraId="72A01130" w14:textId="77777777" w:rsidR="00A023BD" w:rsidRPr="001B7431" w:rsidRDefault="00A023BD" w:rsidP="00A023BD">
            <w:pPr>
              <w:keepNext/>
              <w:spacing w:before="20" w:after="20"/>
              <w:ind w:left="34"/>
              <w:jc w:val="right"/>
              <w:rPr>
                <w:rFonts w:eastAsiaTheme="minorEastAsia"/>
                <w:b/>
                <w:sz w:val="16"/>
                <w:szCs w:val="16"/>
                <w:lang w:eastAsia="en-US"/>
              </w:rPr>
            </w:pPr>
            <w:r w:rsidRPr="001B7431">
              <w:rPr>
                <w:rFonts w:eastAsiaTheme="minorEastAsia"/>
                <w:b/>
                <w:sz w:val="16"/>
                <w:szCs w:val="16"/>
                <w:lang w:eastAsia="en-US"/>
              </w:rPr>
              <w:t>%</w:t>
            </w:r>
          </w:p>
        </w:tc>
      </w:tr>
      <w:tr w:rsidR="00A023BD" w:rsidRPr="007B4EF8" w14:paraId="7935B8E6" w14:textId="77777777" w:rsidTr="00A023BD">
        <w:tc>
          <w:tcPr>
            <w:tcW w:w="2345" w:type="dxa"/>
            <w:vAlign w:val="center"/>
          </w:tcPr>
          <w:p w14:paraId="4AE1D800" w14:textId="77777777" w:rsidR="00A023BD" w:rsidRDefault="00A023BD" w:rsidP="00A023BD">
            <w:pPr>
              <w:keepNext/>
              <w:spacing w:before="20" w:after="20"/>
              <w:rPr>
                <w:color w:val="000000"/>
                <w:sz w:val="16"/>
                <w:szCs w:val="16"/>
                <w:lang w:eastAsia="en-NZ"/>
              </w:rPr>
            </w:pPr>
            <w:r>
              <w:rPr>
                <w:color w:val="000000"/>
                <w:sz w:val="16"/>
                <w:szCs w:val="16"/>
              </w:rPr>
              <w:t>Non-problem gambler</w:t>
            </w:r>
          </w:p>
        </w:tc>
        <w:tc>
          <w:tcPr>
            <w:tcW w:w="916" w:type="dxa"/>
            <w:vAlign w:val="center"/>
          </w:tcPr>
          <w:p w14:paraId="5528463A" w14:textId="77777777" w:rsidR="00A023BD" w:rsidRDefault="00A023BD" w:rsidP="00A023BD">
            <w:pPr>
              <w:keepNext/>
              <w:spacing w:before="20" w:after="20"/>
              <w:rPr>
                <w:color w:val="000000"/>
                <w:sz w:val="16"/>
                <w:szCs w:val="16"/>
              </w:rPr>
            </w:pPr>
            <w:r>
              <w:rPr>
                <w:color w:val="000000"/>
                <w:sz w:val="16"/>
                <w:szCs w:val="16"/>
              </w:rPr>
              <w:t>Casino</w:t>
            </w:r>
          </w:p>
        </w:tc>
        <w:tc>
          <w:tcPr>
            <w:tcW w:w="567" w:type="dxa"/>
            <w:shd w:val="clear" w:color="auto" w:fill="auto"/>
            <w:vAlign w:val="center"/>
          </w:tcPr>
          <w:p w14:paraId="051B01D4" w14:textId="77777777" w:rsidR="00A023BD" w:rsidRPr="009B520B" w:rsidRDefault="00A023BD" w:rsidP="00A023BD">
            <w:pPr>
              <w:keepNext/>
              <w:jc w:val="right"/>
              <w:rPr>
                <w:color w:val="000000"/>
                <w:sz w:val="16"/>
                <w:szCs w:val="16"/>
                <w:lang w:eastAsia="en-NZ"/>
              </w:rPr>
            </w:pPr>
            <w:r w:rsidRPr="009B520B">
              <w:rPr>
                <w:color w:val="000000"/>
                <w:sz w:val="16"/>
                <w:szCs w:val="16"/>
              </w:rPr>
              <w:t>380</w:t>
            </w:r>
          </w:p>
        </w:tc>
        <w:tc>
          <w:tcPr>
            <w:tcW w:w="708" w:type="dxa"/>
            <w:shd w:val="clear" w:color="auto" w:fill="auto"/>
            <w:vAlign w:val="center"/>
          </w:tcPr>
          <w:p w14:paraId="7821E4EC" w14:textId="77777777" w:rsidR="00A023BD" w:rsidRPr="00BE35A7" w:rsidRDefault="00A023BD" w:rsidP="00A023BD">
            <w:pPr>
              <w:keepNext/>
              <w:spacing w:before="20" w:after="20"/>
              <w:jc w:val="right"/>
              <w:rPr>
                <w:sz w:val="16"/>
                <w:szCs w:val="16"/>
              </w:rPr>
            </w:pPr>
            <w:r>
              <w:rPr>
                <w:sz w:val="16"/>
                <w:szCs w:val="16"/>
              </w:rPr>
              <w:t>46.2</w:t>
            </w:r>
          </w:p>
        </w:tc>
        <w:tc>
          <w:tcPr>
            <w:tcW w:w="567" w:type="dxa"/>
            <w:tcBorders>
              <w:left w:val="single" w:sz="4" w:space="0" w:color="auto"/>
            </w:tcBorders>
            <w:shd w:val="clear" w:color="auto" w:fill="auto"/>
            <w:vAlign w:val="center"/>
          </w:tcPr>
          <w:p w14:paraId="475839CE" w14:textId="77777777" w:rsidR="00A023BD" w:rsidRPr="009B520B" w:rsidRDefault="00A023BD" w:rsidP="00A023BD">
            <w:pPr>
              <w:keepNext/>
              <w:jc w:val="right"/>
              <w:rPr>
                <w:color w:val="000000"/>
                <w:sz w:val="16"/>
                <w:szCs w:val="16"/>
              </w:rPr>
            </w:pPr>
            <w:r w:rsidRPr="009B520B">
              <w:rPr>
                <w:color w:val="000000"/>
                <w:sz w:val="16"/>
                <w:szCs w:val="16"/>
              </w:rPr>
              <w:t>155</w:t>
            </w:r>
          </w:p>
        </w:tc>
        <w:tc>
          <w:tcPr>
            <w:tcW w:w="709" w:type="dxa"/>
            <w:shd w:val="clear" w:color="auto" w:fill="auto"/>
            <w:vAlign w:val="center"/>
          </w:tcPr>
          <w:p w14:paraId="1EAE6848" w14:textId="77777777" w:rsidR="00A023BD" w:rsidRPr="009B520B" w:rsidRDefault="00A023BD" w:rsidP="00A023BD">
            <w:pPr>
              <w:keepNext/>
              <w:spacing w:before="20" w:after="20"/>
              <w:jc w:val="right"/>
              <w:rPr>
                <w:color w:val="000000"/>
                <w:sz w:val="16"/>
                <w:szCs w:val="16"/>
              </w:rPr>
            </w:pPr>
            <w:r>
              <w:rPr>
                <w:color w:val="000000"/>
                <w:sz w:val="16"/>
                <w:szCs w:val="16"/>
              </w:rPr>
              <w:t>45.6</w:t>
            </w:r>
          </w:p>
        </w:tc>
        <w:tc>
          <w:tcPr>
            <w:tcW w:w="567" w:type="dxa"/>
            <w:tcBorders>
              <w:left w:val="single" w:sz="4" w:space="0" w:color="auto"/>
            </w:tcBorders>
            <w:shd w:val="clear" w:color="auto" w:fill="auto"/>
            <w:vAlign w:val="center"/>
          </w:tcPr>
          <w:p w14:paraId="23E360D5" w14:textId="77777777" w:rsidR="00A023BD" w:rsidRPr="009B520B" w:rsidRDefault="00A023BD" w:rsidP="00A023BD">
            <w:pPr>
              <w:keepNext/>
              <w:jc w:val="right"/>
              <w:rPr>
                <w:color w:val="000000"/>
                <w:sz w:val="16"/>
                <w:szCs w:val="16"/>
              </w:rPr>
            </w:pPr>
            <w:r w:rsidRPr="009B520B">
              <w:rPr>
                <w:color w:val="000000"/>
                <w:sz w:val="16"/>
                <w:szCs w:val="16"/>
              </w:rPr>
              <w:t>154</w:t>
            </w:r>
          </w:p>
        </w:tc>
        <w:tc>
          <w:tcPr>
            <w:tcW w:w="709" w:type="dxa"/>
            <w:shd w:val="clear" w:color="auto" w:fill="auto"/>
            <w:vAlign w:val="center"/>
          </w:tcPr>
          <w:p w14:paraId="65069A94" w14:textId="77777777" w:rsidR="00A023BD" w:rsidRPr="009B520B" w:rsidRDefault="00A023BD" w:rsidP="00A023BD">
            <w:pPr>
              <w:keepNext/>
              <w:spacing w:before="20" w:after="20"/>
              <w:jc w:val="right"/>
              <w:rPr>
                <w:color w:val="000000"/>
                <w:sz w:val="16"/>
                <w:szCs w:val="16"/>
              </w:rPr>
            </w:pPr>
            <w:r>
              <w:rPr>
                <w:color w:val="000000"/>
                <w:sz w:val="16"/>
                <w:szCs w:val="16"/>
              </w:rPr>
              <w:t>46.8</w:t>
            </w:r>
          </w:p>
        </w:tc>
        <w:tc>
          <w:tcPr>
            <w:tcW w:w="567" w:type="dxa"/>
            <w:tcBorders>
              <w:left w:val="single" w:sz="4" w:space="0" w:color="auto"/>
            </w:tcBorders>
            <w:shd w:val="clear" w:color="auto" w:fill="auto"/>
            <w:vAlign w:val="center"/>
          </w:tcPr>
          <w:p w14:paraId="4964F961" w14:textId="77777777" w:rsidR="00A023BD" w:rsidRPr="009B520B" w:rsidRDefault="00A023BD" w:rsidP="00A023BD">
            <w:pPr>
              <w:keepNext/>
              <w:jc w:val="right"/>
              <w:rPr>
                <w:color w:val="000000"/>
                <w:sz w:val="16"/>
                <w:szCs w:val="16"/>
              </w:rPr>
            </w:pPr>
            <w:r w:rsidRPr="009B520B">
              <w:rPr>
                <w:color w:val="000000"/>
                <w:sz w:val="16"/>
                <w:szCs w:val="16"/>
              </w:rPr>
              <w:t>118</w:t>
            </w:r>
          </w:p>
        </w:tc>
        <w:tc>
          <w:tcPr>
            <w:tcW w:w="709" w:type="dxa"/>
            <w:shd w:val="clear" w:color="auto" w:fill="auto"/>
            <w:vAlign w:val="center"/>
          </w:tcPr>
          <w:p w14:paraId="41BFE15E" w14:textId="77777777" w:rsidR="00A023BD" w:rsidRPr="00BE35A7" w:rsidRDefault="00A023BD" w:rsidP="00A023BD">
            <w:pPr>
              <w:keepNext/>
              <w:spacing w:before="20" w:after="20"/>
              <w:jc w:val="right"/>
              <w:rPr>
                <w:sz w:val="16"/>
                <w:szCs w:val="16"/>
              </w:rPr>
            </w:pPr>
            <w:r>
              <w:rPr>
                <w:sz w:val="16"/>
                <w:szCs w:val="16"/>
              </w:rPr>
              <w:t>40.4</w:t>
            </w:r>
          </w:p>
        </w:tc>
      </w:tr>
      <w:tr w:rsidR="00A023BD" w:rsidRPr="007B4EF8" w14:paraId="0CA6D8D7" w14:textId="77777777" w:rsidTr="00A023BD">
        <w:tc>
          <w:tcPr>
            <w:tcW w:w="2345" w:type="dxa"/>
            <w:vAlign w:val="center"/>
          </w:tcPr>
          <w:p w14:paraId="1D034306" w14:textId="77777777" w:rsidR="00A023BD" w:rsidRDefault="00A023BD" w:rsidP="00A023BD">
            <w:pPr>
              <w:keepNext/>
              <w:spacing w:before="20" w:after="20"/>
              <w:rPr>
                <w:color w:val="000000"/>
                <w:sz w:val="16"/>
                <w:szCs w:val="16"/>
              </w:rPr>
            </w:pPr>
          </w:p>
        </w:tc>
        <w:tc>
          <w:tcPr>
            <w:tcW w:w="916" w:type="dxa"/>
            <w:vAlign w:val="center"/>
          </w:tcPr>
          <w:p w14:paraId="212EED36" w14:textId="77777777" w:rsidR="00A023BD" w:rsidRDefault="00A023BD" w:rsidP="00A023BD">
            <w:pPr>
              <w:keepNext/>
              <w:spacing w:before="20" w:after="20"/>
              <w:rPr>
                <w:color w:val="000000"/>
                <w:sz w:val="16"/>
                <w:szCs w:val="16"/>
              </w:rPr>
            </w:pPr>
            <w:r>
              <w:rPr>
                <w:color w:val="000000"/>
                <w:sz w:val="16"/>
                <w:szCs w:val="16"/>
              </w:rPr>
              <w:t>Pub</w:t>
            </w:r>
          </w:p>
        </w:tc>
        <w:tc>
          <w:tcPr>
            <w:tcW w:w="567" w:type="dxa"/>
            <w:shd w:val="clear" w:color="auto" w:fill="auto"/>
            <w:vAlign w:val="center"/>
          </w:tcPr>
          <w:p w14:paraId="204EF4A8" w14:textId="77777777" w:rsidR="00A023BD" w:rsidRPr="009B520B" w:rsidRDefault="00A023BD" w:rsidP="00A023BD">
            <w:pPr>
              <w:keepNext/>
              <w:jc w:val="right"/>
              <w:rPr>
                <w:color w:val="000000"/>
                <w:sz w:val="16"/>
                <w:szCs w:val="16"/>
              </w:rPr>
            </w:pPr>
            <w:r w:rsidRPr="009B520B">
              <w:rPr>
                <w:color w:val="000000"/>
                <w:sz w:val="16"/>
                <w:szCs w:val="16"/>
              </w:rPr>
              <w:t>519</w:t>
            </w:r>
          </w:p>
        </w:tc>
        <w:tc>
          <w:tcPr>
            <w:tcW w:w="708" w:type="dxa"/>
            <w:shd w:val="clear" w:color="auto" w:fill="auto"/>
            <w:vAlign w:val="center"/>
          </w:tcPr>
          <w:p w14:paraId="100C81D0" w14:textId="77777777" w:rsidR="00A023BD" w:rsidRPr="00BE35A7" w:rsidRDefault="00A023BD" w:rsidP="00A023BD">
            <w:pPr>
              <w:keepNext/>
              <w:spacing w:before="20" w:after="20"/>
              <w:jc w:val="right"/>
              <w:rPr>
                <w:sz w:val="16"/>
                <w:szCs w:val="16"/>
              </w:rPr>
            </w:pPr>
            <w:r>
              <w:rPr>
                <w:sz w:val="16"/>
                <w:szCs w:val="16"/>
              </w:rPr>
              <w:t>34.3</w:t>
            </w:r>
          </w:p>
        </w:tc>
        <w:tc>
          <w:tcPr>
            <w:tcW w:w="567" w:type="dxa"/>
            <w:tcBorders>
              <w:left w:val="single" w:sz="4" w:space="0" w:color="auto"/>
            </w:tcBorders>
            <w:shd w:val="clear" w:color="auto" w:fill="auto"/>
            <w:vAlign w:val="center"/>
          </w:tcPr>
          <w:p w14:paraId="4ADCC58E" w14:textId="77777777" w:rsidR="00A023BD" w:rsidRPr="009B520B" w:rsidRDefault="00A023BD" w:rsidP="00A023BD">
            <w:pPr>
              <w:keepNext/>
              <w:jc w:val="right"/>
              <w:rPr>
                <w:color w:val="000000"/>
                <w:sz w:val="16"/>
                <w:szCs w:val="16"/>
              </w:rPr>
            </w:pPr>
            <w:r w:rsidRPr="009B520B">
              <w:rPr>
                <w:color w:val="000000"/>
                <w:sz w:val="16"/>
                <w:szCs w:val="16"/>
              </w:rPr>
              <w:t>224</w:t>
            </w:r>
          </w:p>
        </w:tc>
        <w:tc>
          <w:tcPr>
            <w:tcW w:w="709" w:type="dxa"/>
            <w:shd w:val="clear" w:color="auto" w:fill="auto"/>
            <w:vAlign w:val="center"/>
          </w:tcPr>
          <w:p w14:paraId="1293ACE2" w14:textId="77777777" w:rsidR="00A023BD" w:rsidRPr="009B520B" w:rsidRDefault="00A023BD" w:rsidP="00A023BD">
            <w:pPr>
              <w:keepNext/>
              <w:spacing w:before="20" w:after="20"/>
              <w:jc w:val="right"/>
              <w:rPr>
                <w:color w:val="000000"/>
                <w:sz w:val="16"/>
                <w:szCs w:val="16"/>
              </w:rPr>
            </w:pPr>
            <w:r>
              <w:rPr>
                <w:color w:val="000000"/>
                <w:sz w:val="16"/>
                <w:szCs w:val="16"/>
              </w:rPr>
              <w:t>38.6</w:t>
            </w:r>
          </w:p>
        </w:tc>
        <w:tc>
          <w:tcPr>
            <w:tcW w:w="567" w:type="dxa"/>
            <w:tcBorders>
              <w:left w:val="single" w:sz="4" w:space="0" w:color="auto"/>
            </w:tcBorders>
            <w:shd w:val="clear" w:color="auto" w:fill="auto"/>
            <w:vAlign w:val="center"/>
          </w:tcPr>
          <w:p w14:paraId="465C1AD7" w14:textId="77777777" w:rsidR="00A023BD" w:rsidRPr="009B520B" w:rsidRDefault="00A023BD" w:rsidP="00A023BD">
            <w:pPr>
              <w:keepNext/>
              <w:jc w:val="right"/>
              <w:rPr>
                <w:color w:val="000000"/>
                <w:sz w:val="16"/>
                <w:szCs w:val="16"/>
              </w:rPr>
            </w:pPr>
            <w:r w:rsidRPr="009B520B">
              <w:rPr>
                <w:color w:val="000000"/>
                <w:sz w:val="16"/>
                <w:szCs w:val="16"/>
              </w:rPr>
              <w:t>195</w:t>
            </w:r>
          </w:p>
        </w:tc>
        <w:tc>
          <w:tcPr>
            <w:tcW w:w="709" w:type="dxa"/>
            <w:shd w:val="clear" w:color="auto" w:fill="auto"/>
            <w:vAlign w:val="center"/>
          </w:tcPr>
          <w:p w14:paraId="567E818C" w14:textId="77777777" w:rsidR="00A023BD" w:rsidRPr="009B520B" w:rsidRDefault="00A023BD" w:rsidP="00A023BD">
            <w:pPr>
              <w:keepNext/>
              <w:spacing w:before="20" w:after="20"/>
              <w:jc w:val="right"/>
              <w:rPr>
                <w:color w:val="000000"/>
                <w:sz w:val="16"/>
                <w:szCs w:val="16"/>
              </w:rPr>
            </w:pPr>
            <w:r>
              <w:rPr>
                <w:color w:val="000000"/>
                <w:sz w:val="16"/>
                <w:szCs w:val="16"/>
              </w:rPr>
              <w:t>34.0</w:t>
            </w:r>
          </w:p>
        </w:tc>
        <w:tc>
          <w:tcPr>
            <w:tcW w:w="567" w:type="dxa"/>
            <w:tcBorders>
              <w:left w:val="single" w:sz="4" w:space="0" w:color="auto"/>
            </w:tcBorders>
            <w:shd w:val="clear" w:color="auto" w:fill="auto"/>
            <w:vAlign w:val="center"/>
          </w:tcPr>
          <w:p w14:paraId="4E3CB0B9" w14:textId="77777777" w:rsidR="00A023BD" w:rsidRPr="009B520B" w:rsidRDefault="00A023BD" w:rsidP="00A023BD">
            <w:pPr>
              <w:keepNext/>
              <w:jc w:val="right"/>
              <w:rPr>
                <w:color w:val="000000"/>
                <w:sz w:val="16"/>
                <w:szCs w:val="16"/>
              </w:rPr>
            </w:pPr>
            <w:r w:rsidRPr="009B520B">
              <w:rPr>
                <w:color w:val="000000"/>
                <w:sz w:val="16"/>
                <w:szCs w:val="16"/>
              </w:rPr>
              <w:t>162</w:t>
            </w:r>
          </w:p>
        </w:tc>
        <w:tc>
          <w:tcPr>
            <w:tcW w:w="709" w:type="dxa"/>
            <w:shd w:val="clear" w:color="auto" w:fill="auto"/>
            <w:vAlign w:val="center"/>
          </w:tcPr>
          <w:p w14:paraId="09549362" w14:textId="77777777" w:rsidR="00A023BD" w:rsidRPr="00BE35A7" w:rsidRDefault="00A023BD" w:rsidP="00A023BD">
            <w:pPr>
              <w:keepNext/>
              <w:spacing w:before="20" w:after="20"/>
              <w:jc w:val="right"/>
              <w:rPr>
                <w:sz w:val="16"/>
                <w:szCs w:val="16"/>
              </w:rPr>
            </w:pPr>
            <w:r>
              <w:rPr>
                <w:sz w:val="16"/>
                <w:szCs w:val="16"/>
              </w:rPr>
              <w:t>41.5</w:t>
            </w:r>
          </w:p>
        </w:tc>
      </w:tr>
      <w:tr w:rsidR="00A023BD" w:rsidRPr="007B4EF8" w14:paraId="2F3B5091" w14:textId="77777777" w:rsidTr="00A023BD">
        <w:tc>
          <w:tcPr>
            <w:tcW w:w="2345" w:type="dxa"/>
            <w:vAlign w:val="center"/>
          </w:tcPr>
          <w:p w14:paraId="77D97975" w14:textId="77777777" w:rsidR="00A023BD" w:rsidRDefault="00A023BD" w:rsidP="00A023BD">
            <w:pPr>
              <w:keepNext/>
              <w:spacing w:before="20" w:after="20"/>
              <w:rPr>
                <w:color w:val="000000"/>
                <w:sz w:val="16"/>
                <w:szCs w:val="16"/>
              </w:rPr>
            </w:pPr>
          </w:p>
        </w:tc>
        <w:tc>
          <w:tcPr>
            <w:tcW w:w="916" w:type="dxa"/>
            <w:vAlign w:val="center"/>
          </w:tcPr>
          <w:p w14:paraId="6D157709" w14:textId="77777777" w:rsidR="00A023BD" w:rsidRDefault="00A023BD" w:rsidP="00A023BD">
            <w:pPr>
              <w:keepNext/>
              <w:spacing w:before="20" w:after="20"/>
              <w:rPr>
                <w:color w:val="000000"/>
                <w:sz w:val="16"/>
                <w:szCs w:val="16"/>
              </w:rPr>
            </w:pPr>
            <w:r>
              <w:rPr>
                <w:color w:val="000000"/>
                <w:sz w:val="16"/>
                <w:szCs w:val="16"/>
              </w:rPr>
              <w:t>Club</w:t>
            </w:r>
          </w:p>
        </w:tc>
        <w:tc>
          <w:tcPr>
            <w:tcW w:w="567" w:type="dxa"/>
            <w:shd w:val="clear" w:color="auto" w:fill="auto"/>
            <w:vAlign w:val="center"/>
          </w:tcPr>
          <w:p w14:paraId="6B848615" w14:textId="77777777" w:rsidR="00A023BD" w:rsidRPr="009B520B" w:rsidRDefault="00A023BD" w:rsidP="00A023BD">
            <w:pPr>
              <w:keepNext/>
              <w:jc w:val="right"/>
              <w:rPr>
                <w:color w:val="000000"/>
                <w:sz w:val="16"/>
                <w:szCs w:val="16"/>
              </w:rPr>
            </w:pPr>
            <w:r w:rsidRPr="009B520B">
              <w:rPr>
                <w:color w:val="000000"/>
                <w:sz w:val="16"/>
                <w:szCs w:val="16"/>
              </w:rPr>
              <w:t>267</w:t>
            </w:r>
          </w:p>
        </w:tc>
        <w:tc>
          <w:tcPr>
            <w:tcW w:w="708" w:type="dxa"/>
            <w:shd w:val="clear" w:color="auto" w:fill="auto"/>
            <w:vAlign w:val="center"/>
          </w:tcPr>
          <w:p w14:paraId="5618D089" w14:textId="77777777" w:rsidR="00A023BD" w:rsidRPr="00BE35A7" w:rsidRDefault="00A023BD" w:rsidP="00A023BD">
            <w:pPr>
              <w:keepNext/>
              <w:spacing w:before="20" w:after="20"/>
              <w:jc w:val="right"/>
              <w:rPr>
                <w:sz w:val="16"/>
                <w:szCs w:val="16"/>
              </w:rPr>
            </w:pPr>
            <w:r>
              <w:rPr>
                <w:sz w:val="16"/>
                <w:szCs w:val="16"/>
              </w:rPr>
              <w:t>19.5</w:t>
            </w:r>
          </w:p>
        </w:tc>
        <w:tc>
          <w:tcPr>
            <w:tcW w:w="567" w:type="dxa"/>
            <w:tcBorders>
              <w:left w:val="single" w:sz="4" w:space="0" w:color="auto"/>
            </w:tcBorders>
            <w:shd w:val="clear" w:color="auto" w:fill="auto"/>
            <w:vAlign w:val="center"/>
          </w:tcPr>
          <w:p w14:paraId="1104E9D2" w14:textId="77777777" w:rsidR="00A023BD" w:rsidRPr="009B520B" w:rsidRDefault="00A023BD" w:rsidP="00A023BD">
            <w:pPr>
              <w:keepNext/>
              <w:jc w:val="right"/>
              <w:rPr>
                <w:color w:val="000000"/>
                <w:sz w:val="16"/>
                <w:szCs w:val="16"/>
              </w:rPr>
            </w:pPr>
            <w:r w:rsidRPr="009B520B">
              <w:rPr>
                <w:color w:val="000000"/>
                <w:sz w:val="16"/>
                <w:szCs w:val="16"/>
              </w:rPr>
              <w:t>105</w:t>
            </w:r>
          </w:p>
        </w:tc>
        <w:tc>
          <w:tcPr>
            <w:tcW w:w="709" w:type="dxa"/>
            <w:shd w:val="clear" w:color="auto" w:fill="auto"/>
            <w:vAlign w:val="center"/>
          </w:tcPr>
          <w:p w14:paraId="048ACCCC" w14:textId="77777777" w:rsidR="00A023BD" w:rsidRPr="009B520B" w:rsidRDefault="00A023BD" w:rsidP="00A023BD">
            <w:pPr>
              <w:keepNext/>
              <w:spacing w:before="20" w:after="20"/>
              <w:jc w:val="right"/>
              <w:rPr>
                <w:color w:val="000000"/>
                <w:sz w:val="16"/>
                <w:szCs w:val="16"/>
              </w:rPr>
            </w:pPr>
            <w:r>
              <w:rPr>
                <w:color w:val="000000"/>
                <w:sz w:val="16"/>
                <w:szCs w:val="16"/>
              </w:rPr>
              <w:t>15.8</w:t>
            </w:r>
          </w:p>
        </w:tc>
        <w:tc>
          <w:tcPr>
            <w:tcW w:w="567" w:type="dxa"/>
            <w:tcBorders>
              <w:left w:val="single" w:sz="4" w:space="0" w:color="auto"/>
            </w:tcBorders>
            <w:shd w:val="clear" w:color="auto" w:fill="auto"/>
            <w:vAlign w:val="center"/>
          </w:tcPr>
          <w:p w14:paraId="5BDF67BA" w14:textId="77777777" w:rsidR="00A023BD" w:rsidRPr="009B520B" w:rsidRDefault="00A023BD" w:rsidP="00A023BD">
            <w:pPr>
              <w:keepNext/>
              <w:jc w:val="right"/>
              <w:rPr>
                <w:color w:val="000000"/>
                <w:sz w:val="16"/>
                <w:szCs w:val="16"/>
              </w:rPr>
            </w:pPr>
            <w:r w:rsidRPr="009B520B">
              <w:rPr>
                <w:color w:val="000000"/>
                <w:sz w:val="16"/>
                <w:szCs w:val="16"/>
              </w:rPr>
              <w:t>99</w:t>
            </w:r>
          </w:p>
        </w:tc>
        <w:tc>
          <w:tcPr>
            <w:tcW w:w="709" w:type="dxa"/>
            <w:shd w:val="clear" w:color="auto" w:fill="auto"/>
            <w:vAlign w:val="center"/>
          </w:tcPr>
          <w:p w14:paraId="249B3E90" w14:textId="77777777" w:rsidR="00A023BD" w:rsidRPr="009B520B" w:rsidRDefault="00A023BD" w:rsidP="00A023BD">
            <w:pPr>
              <w:keepNext/>
              <w:spacing w:before="20" w:after="20"/>
              <w:jc w:val="right"/>
              <w:rPr>
                <w:color w:val="000000"/>
                <w:sz w:val="16"/>
                <w:szCs w:val="16"/>
              </w:rPr>
            </w:pPr>
            <w:r>
              <w:rPr>
                <w:color w:val="000000"/>
                <w:sz w:val="16"/>
                <w:szCs w:val="16"/>
              </w:rPr>
              <w:t>19.2</w:t>
            </w:r>
          </w:p>
        </w:tc>
        <w:tc>
          <w:tcPr>
            <w:tcW w:w="567" w:type="dxa"/>
            <w:tcBorders>
              <w:left w:val="single" w:sz="4" w:space="0" w:color="auto"/>
            </w:tcBorders>
            <w:shd w:val="clear" w:color="auto" w:fill="auto"/>
            <w:vAlign w:val="center"/>
          </w:tcPr>
          <w:p w14:paraId="72BBD4AE" w14:textId="77777777" w:rsidR="00A023BD" w:rsidRPr="009B520B" w:rsidRDefault="00A023BD" w:rsidP="00A023BD">
            <w:pPr>
              <w:keepNext/>
              <w:jc w:val="right"/>
              <w:rPr>
                <w:color w:val="000000"/>
                <w:sz w:val="16"/>
                <w:szCs w:val="16"/>
              </w:rPr>
            </w:pPr>
            <w:r w:rsidRPr="009B520B">
              <w:rPr>
                <w:color w:val="000000"/>
                <w:sz w:val="16"/>
                <w:szCs w:val="16"/>
              </w:rPr>
              <w:t>79</w:t>
            </w:r>
          </w:p>
        </w:tc>
        <w:tc>
          <w:tcPr>
            <w:tcW w:w="709" w:type="dxa"/>
            <w:shd w:val="clear" w:color="auto" w:fill="auto"/>
            <w:vAlign w:val="center"/>
          </w:tcPr>
          <w:p w14:paraId="2ADB0429" w14:textId="77777777" w:rsidR="00A023BD" w:rsidRPr="00BE35A7" w:rsidRDefault="00A023BD" w:rsidP="00A023BD">
            <w:pPr>
              <w:keepNext/>
              <w:spacing w:before="20" w:after="20"/>
              <w:jc w:val="right"/>
              <w:rPr>
                <w:sz w:val="16"/>
                <w:szCs w:val="16"/>
              </w:rPr>
            </w:pPr>
            <w:r>
              <w:rPr>
                <w:sz w:val="16"/>
                <w:szCs w:val="16"/>
              </w:rPr>
              <w:t>18.1</w:t>
            </w:r>
          </w:p>
        </w:tc>
      </w:tr>
      <w:tr w:rsidR="00A023BD" w:rsidRPr="007B4EF8" w14:paraId="4213B2DF" w14:textId="77777777" w:rsidTr="00A023BD">
        <w:tc>
          <w:tcPr>
            <w:tcW w:w="2345" w:type="dxa"/>
            <w:shd w:val="clear" w:color="auto" w:fill="auto"/>
            <w:vAlign w:val="center"/>
          </w:tcPr>
          <w:p w14:paraId="118EA2F2" w14:textId="77777777" w:rsidR="00A023BD" w:rsidRDefault="00A023BD" w:rsidP="00A023BD">
            <w:pPr>
              <w:keepNext/>
              <w:spacing w:before="20" w:after="20"/>
              <w:rPr>
                <w:color w:val="000000"/>
                <w:sz w:val="16"/>
                <w:szCs w:val="16"/>
              </w:rPr>
            </w:pPr>
          </w:p>
        </w:tc>
        <w:tc>
          <w:tcPr>
            <w:tcW w:w="916" w:type="dxa"/>
            <w:shd w:val="clear" w:color="auto" w:fill="auto"/>
            <w:vAlign w:val="center"/>
          </w:tcPr>
          <w:p w14:paraId="280DD058" w14:textId="77777777" w:rsidR="00A023BD" w:rsidRDefault="00A023BD" w:rsidP="00A023BD">
            <w:pPr>
              <w:keepNext/>
              <w:spacing w:before="20" w:after="20"/>
              <w:rPr>
                <w:color w:val="000000"/>
                <w:sz w:val="16"/>
                <w:szCs w:val="16"/>
              </w:rPr>
            </w:pPr>
            <w:r>
              <w:rPr>
                <w:color w:val="000000"/>
                <w:sz w:val="16"/>
                <w:szCs w:val="16"/>
              </w:rPr>
              <w:t>Pub+Club</w:t>
            </w:r>
          </w:p>
        </w:tc>
        <w:tc>
          <w:tcPr>
            <w:tcW w:w="567" w:type="dxa"/>
            <w:shd w:val="clear" w:color="auto" w:fill="auto"/>
            <w:vAlign w:val="center"/>
          </w:tcPr>
          <w:p w14:paraId="34FE7CD0" w14:textId="77777777" w:rsidR="00A023BD" w:rsidRPr="009B520B" w:rsidRDefault="00A023BD" w:rsidP="00A023BD">
            <w:pPr>
              <w:keepNext/>
              <w:jc w:val="right"/>
              <w:rPr>
                <w:color w:val="000000"/>
                <w:sz w:val="16"/>
                <w:szCs w:val="16"/>
              </w:rPr>
            </w:pPr>
            <w:r w:rsidRPr="009B520B">
              <w:rPr>
                <w:color w:val="000000"/>
                <w:sz w:val="16"/>
                <w:szCs w:val="16"/>
              </w:rPr>
              <w:t>640</w:t>
            </w:r>
          </w:p>
        </w:tc>
        <w:tc>
          <w:tcPr>
            <w:tcW w:w="708" w:type="dxa"/>
            <w:shd w:val="clear" w:color="auto" w:fill="auto"/>
            <w:vAlign w:val="center"/>
          </w:tcPr>
          <w:p w14:paraId="2206FDEC" w14:textId="77777777" w:rsidR="00A023BD" w:rsidRPr="00F909A0" w:rsidRDefault="00A023BD" w:rsidP="00A023BD">
            <w:pPr>
              <w:keepNext/>
              <w:spacing w:before="20" w:after="20"/>
              <w:jc w:val="right"/>
              <w:rPr>
                <w:sz w:val="16"/>
                <w:szCs w:val="16"/>
              </w:rPr>
            </w:pPr>
            <w:r>
              <w:rPr>
                <w:sz w:val="16"/>
                <w:szCs w:val="16"/>
              </w:rPr>
              <w:t>53.8</w:t>
            </w:r>
          </w:p>
        </w:tc>
        <w:tc>
          <w:tcPr>
            <w:tcW w:w="567" w:type="dxa"/>
            <w:tcBorders>
              <w:left w:val="single" w:sz="4" w:space="0" w:color="auto"/>
            </w:tcBorders>
            <w:shd w:val="clear" w:color="auto" w:fill="auto"/>
            <w:vAlign w:val="center"/>
          </w:tcPr>
          <w:p w14:paraId="01480FB8" w14:textId="77777777" w:rsidR="00A023BD" w:rsidRPr="009B520B" w:rsidRDefault="00A023BD" w:rsidP="00A023BD">
            <w:pPr>
              <w:keepNext/>
              <w:jc w:val="right"/>
              <w:rPr>
                <w:color w:val="000000"/>
                <w:sz w:val="16"/>
                <w:szCs w:val="16"/>
              </w:rPr>
            </w:pPr>
            <w:r w:rsidRPr="009B520B">
              <w:rPr>
                <w:color w:val="000000"/>
                <w:sz w:val="16"/>
                <w:szCs w:val="16"/>
              </w:rPr>
              <w:t>281</w:t>
            </w:r>
          </w:p>
        </w:tc>
        <w:tc>
          <w:tcPr>
            <w:tcW w:w="709" w:type="dxa"/>
            <w:shd w:val="clear" w:color="auto" w:fill="auto"/>
            <w:vAlign w:val="center"/>
          </w:tcPr>
          <w:p w14:paraId="448FB62C" w14:textId="77777777" w:rsidR="00A023BD" w:rsidRPr="009B520B" w:rsidRDefault="00A023BD" w:rsidP="00A023BD">
            <w:pPr>
              <w:keepNext/>
              <w:spacing w:before="20" w:after="20"/>
              <w:jc w:val="right"/>
              <w:rPr>
                <w:color w:val="000000"/>
                <w:sz w:val="16"/>
                <w:szCs w:val="16"/>
              </w:rPr>
            </w:pPr>
            <w:r>
              <w:rPr>
                <w:color w:val="000000"/>
                <w:sz w:val="16"/>
                <w:szCs w:val="16"/>
              </w:rPr>
              <w:t>54.4</w:t>
            </w:r>
          </w:p>
        </w:tc>
        <w:tc>
          <w:tcPr>
            <w:tcW w:w="567" w:type="dxa"/>
            <w:tcBorders>
              <w:left w:val="single" w:sz="4" w:space="0" w:color="auto"/>
            </w:tcBorders>
            <w:shd w:val="clear" w:color="auto" w:fill="auto"/>
            <w:vAlign w:val="center"/>
          </w:tcPr>
          <w:p w14:paraId="584C95E5" w14:textId="77777777" w:rsidR="00A023BD" w:rsidRPr="009B520B" w:rsidRDefault="00A023BD" w:rsidP="00A023BD">
            <w:pPr>
              <w:keepNext/>
              <w:jc w:val="right"/>
              <w:rPr>
                <w:color w:val="000000"/>
                <w:sz w:val="16"/>
                <w:szCs w:val="16"/>
              </w:rPr>
            </w:pPr>
            <w:r w:rsidRPr="009B520B">
              <w:rPr>
                <w:color w:val="000000"/>
                <w:sz w:val="16"/>
                <w:szCs w:val="16"/>
              </w:rPr>
              <w:t>252</w:t>
            </w:r>
          </w:p>
        </w:tc>
        <w:tc>
          <w:tcPr>
            <w:tcW w:w="709" w:type="dxa"/>
            <w:shd w:val="clear" w:color="auto" w:fill="auto"/>
            <w:vAlign w:val="center"/>
          </w:tcPr>
          <w:p w14:paraId="0D1F4451" w14:textId="77777777" w:rsidR="00A023BD" w:rsidRPr="009B520B" w:rsidRDefault="00A023BD" w:rsidP="00A023BD">
            <w:pPr>
              <w:keepNext/>
              <w:spacing w:before="20" w:after="20"/>
              <w:jc w:val="right"/>
              <w:rPr>
                <w:color w:val="000000"/>
                <w:sz w:val="16"/>
                <w:szCs w:val="16"/>
              </w:rPr>
            </w:pPr>
            <w:r>
              <w:rPr>
                <w:color w:val="000000"/>
                <w:sz w:val="16"/>
                <w:szCs w:val="16"/>
              </w:rPr>
              <w:t>53.2</w:t>
            </w:r>
          </w:p>
        </w:tc>
        <w:tc>
          <w:tcPr>
            <w:tcW w:w="567" w:type="dxa"/>
            <w:tcBorders>
              <w:left w:val="single" w:sz="4" w:space="0" w:color="auto"/>
            </w:tcBorders>
            <w:shd w:val="clear" w:color="auto" w:fill="auto"/>
            <w:vAlign w:val="center"/>
          </w:tcPr>
          <w:p w14:paraId="038C8DE7" w14:textId="77777777" w:rsidR="00A023BD" w:rsidRPr="009B520B" w:rsidRDefault="00A023BD" w:rsidP="00A023BD">
            <w:pPr>
              <w:keepNext/>
              <w:jc w:val="right"/>
              <w:rPr>
                <w:color w:val="000000"/>
                <w:sz w:val="16"/>
                <w:szCs w:val="16"/>
              </w:rPr>
            </w:pPr>
            <w:r w:rsidRPr="009B520B">
              <w:rPr>
                <w:color w:val="000000"/>
                <w:sz w:val="16"/>
                <w:szCs w:val="16"/>
              </w:rPr>
              <w:t>203</w:t>
            </w:r>
          </w:p>
        </w:tc>
        <w:tc>
          <w:tcPr>
            <w:tcW w:w="709" w:type="dxa"/>
            <w:shd w:val="clear" w:color="auto" w:fill="auto"/>
            <w:vAlign w:val="center"/>
          </w:tcPr>
          <w:p w14:paraId="422C8C6B" w14:textId="77777777" w:rsidR="00A023BD" w:rsidRPr="00F909A0" w:rsidRDefault="00A023BD" w:rsidP="00A023BD">
            <w:pPr>
              <w:keepNext/>
              <w:spacing w:before="20" w:after="20"/>
              <w:jc w:val="right"/>
              <w:rPr>
                <w:sz w:val="16"/>
                <w:szCs w:val="16"/>
              </w:rPr>
            </w:pPr>
            <w:r>
              <w:rPr>
                <w:sz w:val="16"/>
                <w:szCs w:val="16"/>
              </w:rPr>
              <w:t>59.6</w:t>
            </w:r>
          </w:p>
        </w:tc>
      </w:tr>
      <w:tr w:rsidR="00A023BD" w:rsidRPr="007B4EF8" w14:paraId="155DD588" w14:textId="77777777" w:rsidTr="00A023BD">
        <w:tc>
          <w:tcPr>
            <w:tcW w:w="2345" w:type="dxa"/>
            <w:shd w:val="clear" w:color="auto" w:fill="auto"/>
            <w:vAlign w:val="center"/>
          </w:tcPr>
          <w:p w14:paraId="08C1F23A" w14:textId="77777777" w:rsidR="00A023BD" w:rsidRDefault="00A023BD" w:rsidP="00A023BD">
            <w:pPr>
              <w:keepNext/>
              <w:spacing w:before="20" w:after="20"/>
              <w:rPr>
                <w:color w:val="000000"/>
                <w:sz w:val="16"/>
                <w:szCs w:val="16"/>
              </w:rPr>
            </w:pPr>
          </w:p>
        </w:tc>
        <w:tc>
          <w:tcPr>
            <w:tcW w:w="916" w:type="dxa"/>
            <w:shd w:val="clear" w:color="auto" w:fill="auto"/>
            <w:vAlign w:val="center"/>
          </w:tcPr>
          <w:p w14:paraId="13764D0D" w14:textId="77777777" w:rsidR="00A023BD" w:rsidRPr="009B520B" w:rsidRDefault="00A023BD" w:rsidP="00A023BD">
            <w:pPr>
              <w:keepNext/>
              <w:spacing w:before="20" w:after="20"/>
              <w:rPr>
                <w:i/>
                <w:color w:val="000000"/>
                <w:sz w:val="16"/>
                <w:szCs w:val="16"/>
              </w:rPr>
            </w:pPr>
            <w:r w:rsidRPr="009B520B">
              <w:rPr>
                <w:i/>
                <w:color w:val="000000"/>
                <w:sz w:val="16"/>
                <w:szCs w:val="16"/>
              </w:rPr>
              <w:t>Total</w:t>
            </w:r>
          </w:p>
        </w:tc>
        <w:tc>
          <w:tcPr>
            <w:tcW w:w="567" w:type="dxa"/>
            <w:shd w:val="clear" w:color="auto" w:fill="auto"/>
            <w:vAlign w:val="center"/>
          </w:tcPr>
          <w:p w14:paraId="3C76A51E" w14:textId="77777777" w:rsidR="00A023BD" w:rsidRPr="00944BD1" w:rsidRDefault="00A023BD" w:rsidP="00A023BD">
            <w:pPr>
              <w:keepNext/>
              <w:jc w:val="right"/>
              <w:rPr>
                <w:i/>
                <w:color w:val="000000"/>
                <w:sz w:val="16"/>
                <w:szCs w:val="16"/>
              </w:rPr>
            </w:pPr>
            <w:r w:rsidRPr="00944BD1">
              <w:rPr>
                <w:i/>
                <w:color w:val="000000"/>
                <w:sz w:val="16"/>
                <w:szCs w:val="16"/>
              </w:rPr>
              <w:t>834</w:t>
            </w:r>
          </w:p>
        </w:tc>
        <w:tc>
          <w:tcPr>
            <w:tcW w:w="708" w:type="dxa"/>
            <w:shd w:val="clear" w:color="auto" w:fill="auto"/>
            <w:vAlign w:val="center"/>
          </w:tcPr>
          <w:p w14:paraId="2EA94EFC" w14:textId="77777777" w:rsidR="00A023BD" w:rsidRPr="00944BD1" w:rsidRDefault="00A023BD" w:rsidP="00A023BD">
            <w:pPr>
              <w:keepNext/>
              <w:spacing w:before="20" w:after="20"/>
              <w:jc w:val="right"/>
              <w:rPr>
                <w:i/>
                <w:sz w:val="16"/>
                <w:szCs w:val="16"/>
              </w:rPr>
            </w:pPr>
            <w:r w:rsidRPr="00944BD1">
              <w:rPr>
                <w:i/>
                <w:sz w:val="16"/>
                <w:szCs w:val="16"/>
              </w:rPr>
              <w:t>100</w:t>
            </w:r>
            <w:r>
              <w:rPr>
                <w:i/>
                <w:sz w:val="16"/>
                <w:szCs w:val="16"/>
              </w:rPr>
              <w:t>.0</w:t>
            </w:r>
          </w:p>
        </w:tc>
        <w:tc>
          <w:tcPr>
            <w:tcW w:w="567" w:type="dxa"/>
            <w:tcBorders>
              <w:left w:val="single" w:sz="4" w:space="0" w:color="auto"/>
            </w:tcBorders>
            <w:shd w:val="clear" w:color="auto" w:fill="auto"/>
            <w:vAlign w:val="center"/>
          </w:tcPr>
          <w:p w14:paraId="3047E048" w14:textId="77777777" w:rsidR="00A023BD" w:rsidRPr="00944BD1" w:rsidRDefault="00A023BD" w:rsidP="00A023BD">
            <w:pPr>
              <w:keepNext/>
              <w:jc w:val="right"/>
              <w:rPr>
                <w:i/>
                <w:color w:val="000000"/>
                <w:sz w:val="16"/>
                <w:szCs w:val="16"/>
              </w:rPr>
            </w:pPr>
            <w:r w:rsidRPr="00944BD1">
              <w:rPr>
                <w:i/>
                <w:color w:val="000000"/>
                <w:sz w:val="16"/>
                <w:szCs w:val="16"/>
              </w:rPr>
              <w:t>383</w:t>
            </w:r>
          </w:p>
        </w:tc>
        <w:tc>
          <w:tcPr>
            <w:tcW w:w="709" w:type="dxa"/>
            <w:shd w:val="clear" w:color="auto" w:fill="auto"/>
            <w:vAlign w:val="center"/>
          </w:tcPr>
          <w:p w14:paraId="5073EF9D" w14:textId="77777777" w:rsidR="00A023BD" w:rsidRPr="00944BD1" w:rsidRDefault="00A023BD" w:rsidP="00A023BD">
            <w:pPr>
              <w:keepNext/>
              <w:spacing w:before="20" w:after="20"/>
              <w:jc w:val="right"/>
              <w:rPr>
                <w:i/>
                <w:color w:val="000000"/>
                <w:sz w:val="16"/>
                <w:szCs w:val="16"/>
              </w:rPr>
            </w:pPr>
            <w:r w:rsidRPr="00944BD1">
              <w:rPr>
                <w:i/>
                <w:color w:val="000000"/>
                <w:sz w:val="16"/>
                <w:szCs w:val="16"/>
              </w:rPr>
              <w:t>100</w:t>
            </w:r>
            <w:r>
              <w:rPr>
                <w:i/>
                <w:color w:val="000000"/>
                <w:sz w:val="16"/>
                <w:szCs w:val="16"/>
              </w:rPr>
              <w:t>.0</w:t>
            </w:r>
          </w:p>
        </w:tc>
        <w:tc>
          <w:tcPr>
            <w:tcW w:w="567" w:type="dxa"/>
            <w:tcBorders>
              <w:left w:val="single" w:sz="4" w:space="0" w:color="auto"/>
            </w:tcBorders>
            <w:shd w:val="clear" w:color="auto" w:fill="auto"/>
            <w:vAlign w:val="center"/>
          </w:tcPr>
          <w:p w14:paraId="0ABC427D" w14:textId="77777777" w:rsidR="00A023BD" w:rsidRPr="00944BD1" w:rsidRDefault="00A023BD" w:rsidP="00A023BD">
            <w:pPr>
              <w:keepNext/>
              <w:jc w:val="right"/>
              <w:rPr>
                <w:i/>
                <w:color w:val="000000"/>
                <w:sz w:val="16"/>
                <w:szCs w:val="16"/>
              </w:rPr>
            </w:pPr>
            <w:r w:rsidRPr="00944BD1">
              <w:rPr>
                <w:i/>
                <w:color w:val="000000"/>
                <w:sz w:val="16"/>
                <w:szCs w:val="16"/>
              </w:rPr>
              <w:t>334</w:t>
            </w:r>
          </w:p>
        </w:tc>
        <w:tc>
          <w:tcPr>
            <w:tcW w:w="709" w:type="dxa"/>
            <w:shd w:val="clear" w:color="auto" w:fill="auto"/>
            <w:vAlign w:val="center"/>
          </w:tcPr>
          <w:p w14:paraId="734F70D3" w14:textId="77777777" w:rsidR="00A023BD" w:rsidRPr="00944BD1" w:rsidRDefault="00A023BD" w:rsidP="00A023BD">
            <w:pPr>
              <w:keepNext/>
              <w:spacing w:before="20" w:after="20"/>
              <w:jc w:val="right"/>
              <w:rPr>
                <w:i/>
                <w:color w:val="000000"/>
                <w:sz w:val="16"/>
                <w:szCs w:val="16"/>
              </w:rPr>
            </w:pPr>
            <w:r w:rsidRPr="00944BD1">
              <w:rPr>
                <w:i/>
                <w:color w:val="000000"/>
                <w:sz w:val="16"/>
                <w:szCs w:val="16"/>
              </w:rPr>
              <w:t>100</w:t>
            </w:r>
            <w:r>
              <w:rPr>
                <w:i/>
                <w:color w:val="000000"/>
                <w:sz w:val="16"/>
                <w:szCs w:val="16"/>
              </w:rPr>
              <w:t>.0</w:t>
            </w:r>
          </w:p>
        </w:tc>
        <w:tc>
          <w:tcPr>
            <w:tcW w:w="567" w:type="dxa"/>
            <w:tcBorders>
              <w:left w:val="single" w:sz="4" w:space="0" w:color="auto"/>
            </w:tcBorders>
            <w:shd w:val="clear" w:color="auto" w:fill="auto"/>
            <w:vAlign w:val="center"/>
          </w:tcPr>
          <w:p w14:paraId="49A8506E" w14:textId="77777777" w:rsidR="00A023BD" w:rsidRPr="00944BD1" w:rsidRDefault="00A023BD" w:rsidP="00A023BD">
            <w:pPr>
              <w:keepNext/>
              <w:jc w:val="right"/>
              <w:rPr>
                <w:i/>
                <w:color w:val="000000"/>
                <w:sz w:val="16"/>
                <w:szCs w:val="16"/>
              </w:rPr>
            </w:pPr>
            <w:r w:rsidRPr="00944BD1">
              <w:rPr>
                <w:i/>
                <w:color w:val="000000"/>
                <w:sz w:val="16"/>
                <w:szCs w:val="16"/>
              </w:rPr>
              <w:t>265</w:t>
            </w:r>
          </w:p>
        </w:tc>
        <w:tc>
          <w:tcPr>
            <w:tcW w:w="709" w:type="dxa"/>
            <w:shd w:val="clear" w:color="auto" w:fill="auto"/>
            <w:vAlign w:val="center"/>
          </w:tcPr>
          <w:p w14:paraId="59225683" w14:textId="77777777" w:rsidR="00A023BD" w:rsidRPr="00944BD1" w:rsidRDefault="00A023BD" w:rsidP="00A023BD">
            <w:pPr>
              <w:keepNext/>
              <w:spacing w:before="20" w:after="20"/>
              <w:jc w:val="right"/>
              <w:rPr>
                <w:i/>
                <w:sz w:val="16"/>
                <w:szCs w:val="16"/>
              </w:rPr>
            </w:pPr>
            <w:r w:rsidRPr="00944BD1">
              <w:rPr>
                <w:i/>
                <w:sz w:val="16"/>
                <w:szCs w:val="16"/>
              </w:rPr>
              <w:t>100</w:t>
            </w:r>
            <w:r>
              <w:rPr>
                <w:i/>
                <w:sz w:val="16"/>
                <w:szCs w:val="16"/>
              </w:rPr>
              <w:t>.0</w:t>
            </w:r>
          </w:p>
        </w:tc>
      </w:tr>
      <w:tr w:rsidR="00A023BD" w:rsidRPr="007B4EF8" w14:paraId="7A41A818" w14:textId="77777777" w:rsidTr="00A023BD">
        <w:tc>
          <w:tcPr>
            <w:tcW w:w="2345" w:type="dxa"/>
            <w:shd w:val="clear" w:color="auto" w:fill="auto"/>
            <w:vAlign w:val="center"/>
          </w:tcPr>
          <w:p w14:paraId="4BD57223" w14:textId="77777777" w:rsidR="00A023BD" w:rsidRDefault="00A023BD" w:rsidP="00A023BD">
            <w:pPr>
              <w:keepNext/>
              <w:spacing w:before="40" w:after="20"/>
              <w:rPr>
                <w:color w:val="000000"/>
                <w:sz w:val="16"/>
                <w:szCs w:val="16"/>
              </w:rPr>
            </w:pPr>
            <w:r>
              <w:rPr>
                <w:color w:val="000000"/>
                <w:sz w:val="16"/>
                <w:szCs w:val="16"/>
              </w:rPr>
              <w:t>Low-risk gambler</w:t>
            </w:r>
          </w:p>
        </w:tc>
        <w:tc>
          <w:tcPr>
            <w:tcW w:w="916" w:type="dxa"/>
            <w:shd w:val="clear" w:color="auto" w:fill="auto"/>
            <w:vAlign w:val="center"/>
          </w:tcPr>
          <w:p w14:paraId="5688773D" w14:textId="77777777" w:rsidR="00A023BD" w:rsidRDefault="00A023BD" w:rsidP="00A023BD">
            <w:pPr>
              <w:keepNext/>
              <w:spacing w:before="40" w:after="20"/>
              <w:rPr>
                <w:color w:val="000000"/>
                <w:sz w:val="16"/>
                <w:szCs w:val="16"/>
              </w:rPr>
            </w:pPr>
            <w:r>
              <w:rPr>
                <w:color w:val="000000"/>
                <w:sz w:val="16"/>
                <w:szCs w:val="16"/>
              </w:rPr>
              <w:t>Casino</w:t>
            </w:r>
          </w:p>
        </w:tc>
        <w:tc>
          <w:tcPr>
            <w:tcW w:w="567" w:type="dxa"/>
            <w:shd w:val="clear" w:color="auto" w:fill="auto"/>
            <w:vAlign w:val="center"/>
          </w:tcPr>
          <w:p w14:paraId="4C5346C9" w14:textId="77777777" w:rsidR="00A023BD" w:rsidRPr="009B520B" w:rsidRDefault="00A023BD" w:rsidP="00A023BD">
            <w:pPr>
              <w:keepNext/>
              <w:jc w:val="right"/>
              <w:rPr>
                <w:color w:val="000000"/>
                <w:sz w:val="16"/>
                <w:szCs w:val="16"/>
              </w:rPr>
            </w:pPr>
            <w:r w:rsidRPr="009B520B">
              <w:rPr>
                <w:color w:val="000000"/>
                <w:sz w:val="16"/>
                <w:szCs w:val="16"/>
              </w:rPr>
              <w:t>77</w:t>
            </w:r>
          </w:p>
        </w:tc>
        <w:tc>
          <w:tcPr>
            <w:tcW w:w="708" w:type="dxa"/>
            <w:shd w:val="clear" w:color="auto" w:fill="auto"/>
            <w:vAlign w:val="center"/>
          </w:tcPr>
          <w:p w14:paraId="31CF6EE1" w14:textId="77777777" w:rsidR="00A023BD" w:rsidRPr="00F909A0" w:rsidRDefault="00A023BD" w:rsidP="00A023BD">
            <w:pPr>
              <w:keepNext/>
              <w:spacing w:before="40" w:after="20"/>
              <w:jc w:val="right"/>
              <w:rPr>
                <w:sz w:val="16"/>
                <w:szCs w:val="16"/>
              </w:rPr>
            </w:pPr>
            <w:r>
              <w:rPr>
                <w:sz w:val="16"/>
                <w:szCs w:val="16"/>
              </w:rPr>
              <w:t>42.0</w:t>
            </w:r>
          </w:p>
        </w:tc>
        <w:tc>
          <w:tcPr>
            <w:tcW w:w="567" w:type="dxa"/>
            <w:tcBorders>
              <w:left w:val="single" w:sz="4" w:space="0" w:color="auto"/>
            </w:tcBorders>
            <w:shd w:val="clear" w:color="auto" w:fill="auto"/>
            <w:vAlign w:val="center"/>
          </w:tcPr>
          <w:p w14:paraId="7DDD69C1" w14:textId="77777777" w:rsidR="00A023BD" w:rsidRPr="009B520B" w:rsidRDefault="00A023BD" w:rsidP="00A023BD">
            <w:pPr>
              <w:keepNext/>
              <w:jc w:val="right"/>
              <w:rPr>
                <w:color w:val="000000"/>
                <w:sz w:val="16"/>
                <w:szCs w:val="16"/>
              </w:rPr>
            </w:pPr>
            <w:r w:rsidRPr="009B520B">
              <w:rPr>
                <w:color w:val="000000"/>
                <w:sz w:val="16"/>
                <w:szCs w:val="16"/>
              </w:rPr>
              <w:t>46</w:t>
            </w:r>
          </w:p>
        </w:tc>
        <w:tc>
          <w:tcPr>
            <w:tcW w:w="709" w:type="dxa"/>
            <w:shd w:val="clear" w:color="auto" w:fill="auto"/>
            <w:vAlign w:val="center"/>
          </w:tcPr>
          <w:p w14:paraId="322EFDE9" w14:textId="77777777" w:rsidR="00A023BD" w:rsidRPr="009B520B" w:rsidRDefault="00A023BD" w:rsidP="00A023BD">
            <w:pPr>
              <w:keepNext/>
              <w:spacing w:before="40" w:after="20"/>
              <w:jc w:val="right"/>
              <w:rPr>
                <w:color w:val="000000"/>
                <w:sz w:val="16"/>
                <w:szCs w:val="16"/>
              </w:rPr>
            </w:pPr>
            <w:r>
              <w:rPr>
                <w:color w:val="000000"/>
                <w:sz w:val="16"/>
                <w:szCs w:val="16"/>
              </w:rPr>
              <w:t>38.4</w:t>
            </w:r>
          </w:p>
        </w:tc>
        <w:tc>
          <w:tcPr>
            <w:tcW w:w="567" w:type="dxa"/>
            <w:tcBorders>
              <w:left w:val="single" w:sz="4" w:space="0" w:color="auto"/>
            </w:tcBorders>
            <w:shd w:val="clear" w:color="auto" w:fill="auto"/>
            <w:vAlign w:val="center"/>
          </w:tcPr>
          <w:p w14:paraId="4FCFA398" w14:textId="77777777" w:rsidR="00A023BD" w:rsidRPr="009B520B" w:rsidRDefault="00A023BD" w:rsidP="00A023BD">
            <w:pPr>
              <w:keepNext/>
              <w:jc w:val="right"/>
              <w:rPr>
                <w:color w:val="000000"/>
                <w:sz w:val="16"/>
                <w:szCs w:val="16"/>
              </w:rPr>
            </w:pPr>
            <w:r w:rsidRPr="009B520B">
              <w:rPr>
                <w:color w:val="000000"/>
                <w:sz w:val="16"/>
                <w:szCs w:val="16"/>
              </w:rPr>
              <w:t>32</w:t>
            </w:r>
          </w:p>
        </w:tc>
        <w:tc>
          <w:tcPr>
            <w:tcW w:w="709" w:type="dxa"/>
            <w:shd w:val="clear" w:color="auto" w:fill="auto"/>
            <w:vAlign w:val="center"/>
          </w:tcPr>
          <w:p w14:paraId="6BC3D0CA" w14:textId="77777777" w:rsidR="00A023BD" w:rsidRPr="009B520B" w:rsidRDefault="00A023BD" w:rsidP="00A023BD">
            <w:pPr>
              <w:keepNext/>
              <w:spacing w:before="40" w:after="20"/>
              <w:jc w:val="right"/>
              <w:rPr>
                <w:color w:val="000000"/>
                <w:sz w:val="16"/>
                <w:szCs w:val="16"/>
              </w:rPr>
            </w:pPr>
            <w:r>
              <w:rPr>
                <w:color w:val="000000"/>
                <w:sz w:val="16"/>
                <w:szCs w:val="16"/>
              </w:rPr>
              <w:t>43.4</w:t>
            </w:r>
          </w:p>
        </w:tc>
        <w:tc>
          <w:tcPr>
            <w:tcW w:w="567" w:type="dxa"/>
            <w:tcBorders>
              <w:left w:val="single" w:sz="4" w:space="0" w:color="auto"/>
            </w:tcBorders>
            <w:shd w:val="clear" w:color="auto" w:fill="auto"/>
            <w:vAlign w:val="center"/>
          </w:tcPr>
          <w:p w14:paraId="522DB5AA" w14:textId="77777777" w:rsidR="00A023BD" w:rsidRPr="009B520B" w:rsidRDefault="00A023BD" w:rsidP="00A023BD">
            <w:pPr>
              <w:keepNext/>
              <w:jc w:val="right"/>
              <w:rPr>
                <w:color w:val="000000"/>
                <w:sz w:val="16"/>
                <w:szCs w:val="16"/>
              </w:rPr>
            </w:pPr>
            <w:r w:rsidRPr="009B520B">
              <w:rPr>
                <w:color w:val="000000"/>
                <w:sz w:val="16"/>
                <w:szCs w:val="16"/>
              </w:rPr>
              <w:t>21</w:t>
            </w:r>
          </w:p>
        </w:tc>
        <w:tc>
          <w:tcPr>
            <w:tcW w:w="709" w:type="dxa"/>
            <w:shd w:val="clear" w:color="auto" w:fill="auto"/>
            <w:vAlign w:val="center"/>
          </w:tcPr>
          <w:p w14:paraId="3E9F2455" w14:textId="77777777" w:rsidR="00A023BD" w:rsidRPr="00F909A0" w:rsidRDefault="00A023BD" w:rsidP="00A023BD">
            <w:pPr>
              <w:keepNext/>
              <w:spacing w:before="40" w:after="20"/>
              <w:jc w:val="right"/>
              <w:rPr>
                <w:sz w:val="16"/>
                <w:szCs w:val="16"/>
              </w:rPr>
            </w:pPr>
            <w:r>
              <w:rPr>
                <w:sz w:val="16"/>
                <w:szCs w:val="16"/>
              </w:rPr>
              <w:t>40.4</w:t>
            </w:r>
          </w:p>
        </w:tc>
      </w:tr>
      <w:tr w:rsidR="00A023BD" w:rsidRPr="007B4EF8" w14:paraId="5A58B79D" w14:textId="77777777" w:rsidTr="00A023BD">
        <w:tc>
          <w:tcPr>
            <w:tcW w:w="2345" w:type="dxa"/>
            <w:shd w:val="clear" w:color="auto" w:fill="auto"/>
            <w:vAlign w:val="center"/>
          </w:tcPr>
          <w:p w14:paraId="43DA8B0B" w14:textId="77777777" w:rsidR="00A023BD" w:rsidRDefault="00A023BD" w:rsidP="00A023BD">
            <w:pPr>
              <w:keepNext/>
              <w:spacing w:before="20" w:after="20"/>
              <w:rPr>
                <w:color w:val="000000"/>
                <w:sz w:val="16"/>
                <w:szCs w:val="16"/>
              </w:rPr>
            </w:pPr>
          </w:p>
        </w:tc>
        <w:tc>
          <w:tcPr>
            <w:tcW w:w="916" w:type="dxa"/>
            <w:shd w:val="clear" w:color="auto" w:fill="auto"/>
            <w:vAlign w:val="center"/>
          </w:tcPr>
          <w:p w14:paraId="3214F53F" w14:textId="77777777" w:rsidR="00A023BD" w:rsidRDefault="00A023BD" w:rsidP="00A023BD">
            <w:pPr>
              <w:keepNext/>
              <w:spacing w:before="20" w:after="20"/>
              <w:rPr>
                <w:color w:val="000000"/>
                <w:sz w:val="16"/>
                <w:szCs w:val="16"/>
              </w:rPr>
            </w:pPr>
            <w:r>
              <w:rPr>
                <w:color w:val="000000"/>
                <w:sz w:val="16"/>
                <w:szCs w:val="16"/>
              </w:rPr>
              <w:t>Pub</w:t>
            </w:r>
          </w:p>
        </w:tc>
        <w:tc>
          <w:tcPr>
            <w:tcW w:w="567" w:type="dxa"/>
            <w:shd w:val="clear" w:color="auto" w:fill="auto"/>
            <w:vAlign w:val="center"/>
          </w:tcPr>
          <w:p w14:paraId="691139F7" w14:textId="77777777" w:rsidR="00A023BD" w:rsidRPr="009B520B" w:rsidRDefault="00A023BD" w:rsidP="00A023BD">
            <w:pPr>
              <w:keepNext/>
              <w:jc w:val="right"/>
              <w:rPr>
                <w:color w:val="000000"/>
                <w:sz w:val="16"/>
                <w:szCs w:val="16"/>
              </w:rPr>
            </w:pPr>
            <w:r w:rsidRPr="009B520B">
              <w:rPr>
                <w:color w:val="000000"/>
                <w:sz w:val="16"/>
                <w:szCs w:val="16"/>
              </w:rPr>
              <w:t>103</w:t>
            </w:r>
          </w:p>
        </w:tc>
        <w:tc>
          <w:tcPr>
            <w:tcW w:w="708" w:type="dxa"/>
            <w:shd w:val="clear" w:color="auto" w:fill="auto"/>
            <w:vAlign w:val="center"/>
          </w:tcPr>
          <w:p w14:paraId="54E9AEE4" w14:textId="77777777" w:rsidR="00A023BD" w:rsidRPr="00F909A0" w:rsidRDefault="00A023BD" w:rsidP="00A023BD">
            <w:pPr>
              <w:keepNext/>
              <w:spacing w:before="20" w:after="20"/>
              <w:jc w:val="right"/>
              <w:rPr>
                <w:sz w:val="16"/>
                <w:szCs w:val="16"/>
              </w:rPr>
            </w:pPr>
            <w:r>
              <w:rPr>
                <w:sz w:val="16"/>
                <w:szCs w:val="16"/>
              </w:rPr>
              <w:t>44.1</w:t>
            </w:r>
          </w:p>
        </w:tc>
        <w:tc>
          <w:tcPr>
            <w:tcW w:w="567" w:type="dxa"/>
            <w:tcBorders>
              <w:left w:val="single" w:sz="4" w:space="0" w:color="auto"/>
            </w:tcBorders>
            <w:shd w:val="clear" w:color="auto" w:fill="auto"/>
            <w:vAlign w:val="center"/>
          </w:tcPr>
          <w:p w14:paraId="23E74BD4" w14:textId="77777777" w:rsidR="00A023BD" w:rsidRPr="009B520B" w:rsidRDefault="00A023BD" w:rsidP="00A023BD">
            <w:pPr>
              <w:keepNext/>
              <w:jc w:val="right"/>
              <w:rPr>
                <w:color w:val="000000"/>
                <w:sz w:val="16"/>
                <w:szCs w:val="16"/>
              </w:rPr>
            </w:pPr>
            <w:r w:rsidRPr="009B520B">
              <w:rPr>
                <w:color w:val="000000"/>
                <w:sz w:val="16"/>
                <w:szCs w:val="16"/>
              </w:rPr>
              <w:t>72</w:t>
            </w:r>
          </w:p>
        </w:tc>
        <w:tc>
          <w:tcPr>
            <w:tcW w:w="709" w:type="dxa"/>
            <w:shd w:val="clear" w:color="auto" w:fill="auto"/>
            <w:vAlign w:val="center"/>
          </w:tcPr>
          <w:p w14:paraId="7B54C62D" w14:textId="77777777" w:rsidR="00A023BD" w:rsidRPr="009B520B" w:rsidRDefault="00A023BD" w:rsidP="00A023BD">
            <w:pPr>
              <w:keepNext/>
              <w:spacing w:before="20" w:after="20"/>
              <w:jc w:val="right"/>
              <w:rPr>
                <w:color w:val="000000"/>
                <w:sz w:val="16"/>
                <w:szCs w:val="16"/>
              </w:rPr>
            </w:pPr>
            <w:r>
              <w:rPr>
                <w:color w:val="000000"/>
                <w:sz w:val="16"/>
                <w:szCs w:val="16"/>
              </w:rPr>
              <w:t>47.7</w:t>
            </w:r>
          </w:p>
        </w:tc>
        <w:tc>
          <w:tcPr>
            <w:tcW w:w="567" w:type="dxa"/>
            <w:tcBorders>
              <w:left w:val="single" w:sz="4" w:space="0" w:color="auto"/>
            </w:tcBorders>
            <w:shd w:val="clear" w:color="auto" w:fill="auto"/>
            <w:vAlign w:val="center"/>
          </w:tcPr>
          <w:p w14:paraId="7E439518" w14:textId="77777777" w:rsidR="00A023BD" w:rsidRPr="009B520B" w:rsidRDefault="00A023BD" w:rsidP="00A023BD">
            <w:pPr>
              <w:keepNext/>
              <w:jc w:val="right"/>
              <w:rPr>
                <w:color w:val="000000"/>
                <w:sz w:val="16"/>
                <w:szCs w:val="16"/>
              </w:rPr>
            </w:pPr>
            <w:r w:rsidRPr="009B520B">
              <w:rPr>
                <w:color w:val="000000"/>
                <w:sz w:val="16"/>
                <w:szCs w:val="16"/>
              </w:rPr>
              <w:t>37</w:t>
            </w:r>
          </w:p>
        </w:tc>
        <w:tc>
          <w:tcPr>
            <w:tcW w:w="709" w:type="dxa"/>
            <w:shd w:val="clear" w:color="auto" w:fill="auto"/>
            <w:vAlign w:val="center"/>
          </w:tcPr>
          <w:p w14:paraId="01BBB787" w14:textId="77777777" w:rsidR="00A023BD" w:rsidRPr="009B520B" w:rsidRDefault="00A023BD" w:rsidP="00A023BD">
            <w:pPr>
              <w:keepNext/>
              <w:spacing w:before="20" w:after="20"/>
              <w:jc w:val="right"/>
              <w:rPr>
                <w:color w:val="000000"/>
                <w:sz w:val="16"/>
                <w:szCs w:val="16"/>
              </w:rPr>
            </w:pPr>
            <w:r>
              <w:rPr>
                <w:color w:val="000000"/>
                <w:sz w:val="16"/>
                <w:szCs w:val="16"/>
              </w:rPr>
              <w:t>38.6</w:t>
            </w:r>
          </w:p>
        </w:tc>
        <w:tc>
          <w:tcPr>
            <w:tcW w:w="567" w:type="dxa"/>
            <w:tcBorders>
              <w:left w:val="single" w:sz="4" w:space="0" w:color="auto"/>
            </w:tcBorders>
            <w:shd w:val="clear" w:color="auto" w:fill="auto"/>
            <w:vAlign w:val="center"/>
          </w:tcPr>
          <w:p w14:paraId="197C689F" w14:textId="77777777" w:rsidR="00A023BD" w:rsidRPr="009B520B" w:rsidRDefault="00A023BD" w:rsidP="00A023BD">
            <w:pPr>
              <w:keepNext/>
              <w:jc w:val="right"/>
              <w:rPr>
                <w:color w:val="000000"/>
                <w:sz w:val="16"/>
                <w:szCs w:val="16"/>
              </w:rPr>
            </w:pPr>
            <w:r w:rsidRPr="009B520B">
              <w:rPr>
                <w:color w:val="000000"/>
                <w:sz w:val="16"/>
                <w:szCs w:val="16"/>
              </w:rPr>
              <w:t>45</w:t>
            </w:r>
          </w:p>
        </w:tc>
        <w:tc>
          <w:tcPr>
            <w:tcW w:w="709" w:type="dxa"/>
            <w:shd w:val="clear" w:color="auto" w:fill="auto"/>
            <w:vAlign w:val="center"/>
          </w:tcPr>
          <w:p w14:paraId="54C6668B" w14:textId="77777777" w:rsidR="00A023BD" w:rsidRPr="00F909A0" w:rsidRDefault="00A023BD" w:rsidP="00A023BD">
            <w:pPr>
              <w:keepNext/>
              <w:spacing w:before="20" w:after="20"/>
              <w:jc w:val="right"/>
              <w:rPr>
                <w:sz w:val="16"/>
                <w:szCs w:val="16"/>
              </w:rPr>
            </w:pPr>
            <w:r>
              <w:rPr>
                <w:sz w:val="16"/>
                <w:szCs w:val="16"/>
              </w:rPr>
              <w:t>42.5</w:t>
            </w:r>
          </w:p>
        </w:tc>
      </w:tr>
      <w:tr w:rsidR="00A023BD" w:rsidRPr="007B4EF8" w14:paraId="75C84ACA" w14:textId="77777777" w:rsidTr="00A023BD">
        <w:tc>
          <w:tcPr>
            <w:tcW w:w="2345" w:type="dxa"/>
            <w:shd w:val="clear" w:color="auto" w:fill="auto"/>
            <w:vAlign w:val="center"/>
          </w:tcPr>
          <w:p w14:paraId="1888E910" w14:textId="77777777" w:rsidR="00A023BD" w:rsidRDefault="00A023BD" w:rsidP="00A023BD">
            <w:pPr>
              <w:keepNext/>
              <w:spacing w:before="20" w:after="20"/>
              <w:rPr>
                <w:color w:val="000000"/>
                <w:sz w:val="16"/>
                <w:szCs w:val="16"/>
              </w:rPr>
            </w:pPr>
          </w:p>
        </w:tc>
        <w:tc>
          <w:tcPr>
            <w:tcW w:w="916" w:type="dxa"/>
            <w:shd w:val="clear" w:color="auto" w:fill="auto"/>
            <w:vAlign w:val="center"/>
          </w:tcPr>
          <w:p w14:paraId="5761DB49" w14:textId="77777777" w:rsidR="00A023BD" w:rsidRDefault="00A023BD" w:rsidP="00A023BD">
            <w:pPr>
              <w:keepNext/>
              <w:spacing w:before="20" w:after="20"/>
              <w:rPr>
                <w:color w:val="000000"/>
                <w:sz w:val="16"/>
                <w:szCs w:val="16"/>
              </w:rPr>
            </w:pPr>
            <w:r>
              <w:rPr>
                <w:color w:val="000000"/>
                <w:sz w:val="16"/>
                <w:szCs w:val="16"/>
              </w:rPr>
              <w:t>Club</w:t>
            </w:r>
          </w:p>
        </w:tc>
        <w:tc>
          <w:tcPr>
            <w:tcW w:w="567" w:type="dxa"/>
            <w:shd w:val="clear" w:color="auto" w:fill="auto"/>
            <w:vAlign w:val="center"/>
          </w:tcPr>
          <w:p w14:paraId="60265C81" w14:textId="77777777" w:rsidR="00A023BD" w:rsidRPr="009B520B" w:rsidRDefault="00A023BD" w:rsidP="00A023BD">
            <w:pPr>
              <w:keepNext/>
              <w:jc w:val="right"/>
              <w:rPr>
                <w:color w:val="000000"/>
                <w:sz w:val="16"/>
                <w:szCs w:val="16"/>
              </w:rPr>
            </w:pPr>
            <w:r w:rsidRPr="009B520B">
              <w:rPr>
                <w:color w:val="000000"/>
                <w:sz w:val="16"/>
                <w:szCs w:val="16"/>
              </w:rPr>
              <w:t>47</w:t>
            </w:r>
          </w:p>
        </w:tc>
        <w:tc>
          <w:tcPr>
            <w:tcW w:w="708" w:type="dxa"/>
            <w:shd w:val="clear" w:color="auto" w:fill="auto"/>
            <w:vAlign w:val="center"/>
          </w:tcPr>
          <w:p w14:paraId="3AB7AAAA" w14:textId="77777777" w:rsidR="00A023BD" w:rsidRPr="00F909A0" w:rsidRDefault="00A023BD" w:rsidP="00A023BD">
            <w:pPr>
              <w:keepNext/>
              <w:spacing w:before="20" w:after="20"/>
              <w:jc w:val="right"/>
              <w:rPr>
                <w:sz w:val="16"/>
                <w:szCs w:val="16"/>
              </w:rPr>
            </w:pPr>
            <w:r>
              <w:rPr>
                <w:sz w:val="16"/>
                <w:szCs w:val="16"/>
              </w:rPr>
              <w:t>13.9</w:t>
            </w:r>
          </w:p>
        </w:tc>
        <w:tc>
          <w:tcPr>
            <w:tcW w:w="567" w:type="dxa"/>
            <w:tcBorders>
              <w:left w:val="single" w:sz="4" w:space="0" w:color="auto"/>
            </w:tcBorders>
            <w:shd w:val="clear" w:color="auto" w:fill="auto"/>
            <w:vAlign w:val="center"/>
          </w:tcPr>
          <w:p w14:paraId="331B0184" w14:textId="77777777" w:rsidR="00A023BD" w:rsidRPr="009B520B" w:rsidRDefault="00A023BD" w:rsidP="00A023BD">
            <w:pPr>
              <w:keepNext/>
              <w:jc w:val="right"/>
              <w:rPr>
                <w:color w:val="000000"/>
                <w:sz w:val="16"/>
                <w:szCs w:val="16"/>
              </w:rPr>
            </w:pPr>
            <w:r w:rsidRPr="009B520B">
              <w:rPr>
                <w:color w:val="000000"/>
                <w:sz w:val="16"/>
                <w:szCs w:val="16"/>
              </w:rPr>
              <w:t>33</w:t>
            </w:r>
          </w:p>
        </w:tc>
        <w:tc>
          <w:tcPr>
            <w:tcW w:w="709" w:type="dxa"/>
            <w:shd w:val="clear" w:color="auto" w:fill="auto"/>
            <w:vAlign w:val="center"/>
          </w:tcPr>
          <w:p w14:paraId="2E1602EA" w14:textId="77777777" w:rsidR="00A023BD" w:rsidRPr="009B520B" w:rsidRDefault="00A023BD" w:rsidP="00A023BD">
            <w:pPr>
              <w:keepNext/>
              <w:spacing w:before="20" w:after="20"/>
              <w:jc w:val="right"/>
              <w:rPr>
                <w:color w:val="000000"/>
                <w:sz w:val="16"/>
                <w:szCs w:val="16"/>
              </w:rPr>
            </w:pPr>
            <w:r>
              <w:rPr>
                <w:color w:val="000000"/>
                <w:sz w:val="16"/>
                <w:szCs w:val="16"/>
              </w:rPr>
              <w:t>13.9</w:t>
            </w:r>
          </w:p>
        </w:tc>
        <w:tc>
          <w:tcPr>
            <w:tcW w:w="567" w:type="dxa"/>
            <w:tcBorders>
              <w:left w:val="single" w:sz="4" w:space="0" w:color="auto"/>
            </w:tcBorders>
            <w:shd w:val="clear" w:color="auto" w:fill="auto"/>
            <w:vAlign w:val="center"/>
          </w:tcPr>
          <w:p w14:paraId="1D7A9C4F" w14:textId="77777777" w:rsidR="00A023BD" w:rsidRPr="009B520B" w:rsidRDefault="00A023BD" w:rsidP="00A023BD">
            <w:pPr>
              <w:keepNext/>
              <w:jc w:val="right"/>
              <w:rPr>
                <w:color w:val="000000"/>
                <w:sz w:val="16"/>
                <w:szCs w:val="16"/>
              </w:rPr>
            </w:pPr>
            <w:r w:rsidRPr="009B520B">
              <w:rPr>
                <w:color w:val="000000"/>
                <w:sz w:val="16"/>
                <w:szCs w:val="16"/>
              </w:rPr>
              <w:t>20</w:t>
            </w:r>
          </w:p>
        </w:tc>
        <w:tc>
          <w:tcPr>
            <w:tcW w:w="709" w:type="dxa"/>
            <w:shd w:val="clear" w:color="auto" w:fill="auto"/>
            <w:vAlign w:val="center"/>
          </w:tcPr>
          <w:p w14:paraId="03CB3940" w14:textId="77777777" w:rsidR="00A023BD" w:rsidRPr="009B520B" w:rsidRDefault="00A023BD" w:rsidP="00A023BD">
            <w:pPr>
              <w:keepNext/>
              <w:spacing w:before="20" w:after="20"/>
              <w:jc w:val="right"/>
              <w:rPr>
                <w:color w:val="000000"/>
                <w:sz w:val="16"/>
                <w:szCs w:val="16"/>
              </w:rPr>
            </w:pPr>
            <w:r>
              <w:rPr>
                <w:color w:val="000000"/>
                <w:sz w:val="16"/>
                <w:szCs w:val="16"/>
              </w:rPr>
              <w:t>18.0</w:t>
            </w:r>
          </w:p>
        </w:tc>
        <w:tc>
          <w:tcPr>
            <w:tcW w:w="567" w:type="dxa"/>
            <w:tcBorders>
              <w:left w:val="single" w:sz="4" w:space="0" w:color="auto"/>
            </w:tcBorders>
            <w:shd w:val="clear" w:color="auto" w:fill="auto"/>
            <w:vAlign w:val="center"/>
          </w:tcPr>
          <w:p w14:paraId="266008B8" w14:textId="77777777" w:rsidR="00A023BD" w:rsidRPr="009B520B" w:rsidRDefault="00A023BD" w:rsidP="00A023BD">
            <w:pPr>
              <w:keepNext/>
              <w:jc w:val="right"/>
              <w:rPr>
                <w:color w:val="000000"/>
                <w:sz w:val="16"/>
                <w:szCs w:val="16"/>
              </w:rPr>
            </w:pPr>
            <w:r w:rsidRPr="009B520B">
              <w:rPr>
                <w:color w:val="000000"/>
                <w:sz w:val="16"/>
                <w:szCs w:val="16"/>
              </w:rPr>
              <w:t>12</w:t>
            </w:r>
          </w:p>
        </w:tc>
        <w:tc>
          <w:tcPr>
            <w:tcW w:w="709" w:type="dxa"/>
            <w:shd w:val="clear" w:color="auto" w:fill="auto"/>
            <w:vAlign w:val="center"/>
          </w:tcPr>
          <w:p w14:paraId="4D3B44B9" w14:textId="77777777" w:rsidR="00A023BD" w:rsidRPr="00F909A0" w:rsidRDefault="00A023BD" w:rsidP="00A023BD">
            <w:pPr>
              <w:keepNext/>
              <w:spacing w:before="20" w:after="20"/>
              <w:jc w:val="right"/>
              <w:rPr>
                <w:sz w:val="16"/>
                <w:szCs w:val="16"/>
              </w:rPr>
            </w:pPr>
            <w:r>
              <w:rPr>
                <w:sz w:val="16"/>
                <w:szCs w:val="16"/>
              </w:rPr>
              <w:t>17.1</w:t>
            </w:r>
          </w:p>
        </w:tc>
      </w:tr>
      <w:tr w:rsidR="00A023BD" w:rsidRPr="007B4EF8" w14:paraId="4CA3AF09" w14:textId="77777777" w:rsidTr="00A023BD">
        <w:tc>
          <w:tcPr>
            <w:tcW w:w="2345" w:type="dxa"/>
            <w:shd w:val="clear" w:color="auto" w:fill="auto"/>
            <w:vAlign w:val="bottom"/>
          </w:tcPr>
          <w:p w14:paraId="1FEA2291" w14:textId="77777777" w:rsidR="00A023BD" w:rsidRDefault="00A023BD" w:rsidP="00A023BD">
            <w:pPr>
              <w:keepNext/>
              <w:spacing w:before="20" w:after="20"/>
              <w:rPr>
                <w:color w:val="000000"/>
                <w:sz w:val="16"/>
                <w:szCs w:val="16"/>
              </w:rPr>
            </w:pPr>
          </w:p>
        </w:tc>
        <w:tc>
          <w:tcPr>
            <w:tcW w:w="916" w:type="dxa"/>
            <w:shd w:val="clear" w:color="auto" w:fill="auto"/>
            <w:vAlign w:val="center"/>
          </w:tcPr>
          <w:p w14:paraId="743CDFD3" w14:textId="77777777" w:rsidR="00A023BD" w:rsidRDefault="00A023BD" w:rsidP="00A023BD">
            <w:pPr>
              <w:keepNext/>
              <w:spacing w:before="20" w:after="20"/>
              <w:rPr>
                <w:color w:val="000000"/>
                <w:sz w:val="16"/>
                <w:szCs w:val="16"/>
              </w:rPr>
            </w:pPr>
            <w:r>
              <w:rPr>
                <w:color w:val="000000"/>
                <w:sz w:val="16"/>
                <w:szCs w:val="16"/>
              </w:rPr>
              <w:t>Pub+Club</w:t>
            </w:r>
          </w:p>
        </w:tc>
        <w:tc>
          <w:tcPr>
            <w:tcW w:w="567" w:type="dxa"/>
            <w:shd w:val="clear" w:color="auto" w:fill="auto"/>
            <w:vAlign w:val="center"/>
          </w:tcPr>
          <w:p w14:paraId="5E63A8F9" w14:textId="77777777" w:rsidR="00A023BD" w:rsidRPr="009B520B" w:rsidRDefault="00A023BD" w:rsidP="00A023BD">
            <w:pPr>
              <w:keepNext/>
              <w:jc w:val="right"/>
              <w:rPr>
                <w:color w:val="000000"/>
                <w:sz w:val="16"/>
                <w:szCs w:val="16"/>
              </w:rPr>
            </w:pPr>
            <w:r w:rsidRPr="009B520B">
              <w:rPr>
                <w:color w:val="000000"/>
                <w:sz w:val="16"/>
                <w:szCs w:val="16"/>
              </w:rPr>
              <w:t>117</w:t>
            </w:r>
          </w:p>
        </w:tc>
        <w:tc>
          <w:tcPr>
            <w:tcW w:w="708" w:type="dxa"/>
            <w:shd w:val="clear" w:color="auto" w:fill="auto"/>
            <w:vAlign w:val="center"/>
          </w:tcPr>
          <w:p w14:paraId="30563418" w14:textId="77777777" w:rsidR="00A023BD" w:rsidRPr="00F909A0" w:rsidRDefault="00A023BD" w:rsidP="00A023BD">
            <w:pPr>
              <w:keepNext/>
              <w:spacing w:before="20" w:after="20"/>
              <w:jc w:val="right"/>
              <w:rPr>
                <w:sz w:val="16"/>
                <w:szCs w:val="16"/>
              </w:rPr>
            </w:pPr>
            <w:r>
              <w:rPr>
                <w:sz w:val="16"/>
                <w:szCs w:val="16"/>
              </w:rPr>
              <w:t>58.0</w:t>
            </w:r>
          </w:p>
        </w:tc>
        <w:tc>
          <w:tcPr>
            <w:tcW w:w="567" w:type="dxa"/>
            <w:tcBorders>
              <w:left w:val="single" w:sz="4" w:space="0" w:color="auto"/>
            </w:tcBorders>
            <w:shd w:val="clear" w:color="auto" w:fill="auto"/>
            <w:vAlign w:val="center"/>
          </w:tcPr>
          <w:p w14:paraId="76195C2D" w14:textId="77777777" w:rsidR="00A023BD" w:rsidRPr="009B520B" w:rsidRDefault="00A023BD" w:rsidP="00A023BD">
            <w:pPr>
              <w:keepNext/>
              <w:jc w:val="right"/>
              <w:rPr>
                <w:color w:val="000000"/>
                <w:sz w:val="16"/>
                <w:szCs w:val="16"/>
              </w:rPr>
            </w:pPr>
            <w:r w:rsidRPr="009B520B">
              <w:rPr>
                <w:color w:val="000000"/>
                <w:sz w:val="16"/>
                <w:szCs w:val="16"/>
              </w:rPr>
              <w:t>85</w:t>
            </w:r>
          </w:p>
        </w:tc>
        <w:tc>
          <w:tcPr>
            <w:tcW w:w="709" w:type="dxa"/>
            <w:shd w:val="clear" w:color="auto" w:fill="auto"/>
            <w:vAlign w:val="center"/>
          </w:tcPr>
          <w:p w14:paraId="45F213EC" w14:textId="77777777" w:rsidR="00A023BD" w:rsidRPr="009B520B" w:rsidRDefault="00A023BD" w:rsidP="00A023BD">
            <w:pPr>
              <w:keepNext/>
              <w:spacing w:before="20" w:after="20"/>
              <w:jc w:val="right"/>
              <w:rPr>
                <w:color w:val="000000"/>
                <w:sz w:val="16"/>
                <w:szCs w:val="16"/>
              </w:rPr>
            </w:pPr>
            <w:r>
              <w:rPr>
                <w:color w:val="000000"/>
                <w:sz w:val="16"/>
                <w:szCs w:val="16"/>
              </w:rPr>
              <w:t>61.6</w:t>
            </w:r>
          </w:p>
        </w:tc>
        <w:tc>
          <w:tcPr>
            <w:tcW w:w="567" w:type="dxa"/>
            <w:tcBorders>
              <w:left w:val="single" w:sz="4" w:space="0" w:color="auto"/>
            </w:tcBorders>
            <w:shd w:val="clear" w:color="auto" w:fill="auto"/>
            <w:vAlign w:val="center"/>
          </w:tcPr>
          <w:p w14:paraId="72F31C06" w14:textId="77777777" w:rsidR="00A023BD" w:rsidRPr="009B520B" w:rsidRDefault="00A023BD" w:rsidP="00A023BD">
            <w:pPr>
              <w:keepNext/>
              <w:jc w:val="right"/>
              <w:rPr>
                <w:color w:val="000000"/>
                <w:sz w:val="16"/>
                <w:szCs w:val="16"/>
              </w:rPr>
            </w:pPr>
            <w:r w:rsidRPr="009B520B">
              <w:rPr>
                <w:color w:val="000000"/>
                <w:sz w:val="16"/>
                <w:szCs w:val="16"/>
              </w:rPr>
              <w:t>44</w:t>
            </w:r>
          </w:p>
        </w:tc>
        <w:tc>
          <w:tcPr>
            <w:tcW w:w="709" w:type="dxa"/>
            <w:shd w:val="clear" w:color="auto" w:fill="auto"/>
            <w:vAlign w:val="center"/>
          </w:tcPr>
          <w:p w14:paraId="73870378" w14:textId="77777777" w:rsidR="00A023BD" w:rsidRPr="009B520B" w:rsidRDefault="00A023BD" w:rsidP="00A023BD">
            <w:pPr>
              <w:keepNext/>
              <w:spacing w:before="20" w:after="20"/>
              <w:jc w:val="right"/>
              <w:rPr>
                <w:color w:val="000000"/>
                <w:sz w:val="16"/>
                <w:szCs w:val="16"/>
              </w:rPr>
            </w:pPr>
            <w:r>
              <w:rPr>
                <w:color w:val="000000"/>
                <w:sz w:val="16"/>
                <w:szCs w:val="16"/>
              </w:rPr>
              <w:t>56.6</w:t>
            </w:r>
          </w:p>
        </w:tc>
        <w:tc>
          <w:tcPr>
            <w:tcW w:w="567" w:type="dxa"/>
            <w:tcBorders>
              <w:left w:val="single" w:sz="4" w:space="0" w:color="auto"/>
            </w:tcBorders>
            <w:shd w:val="clear" w:color="auto" w:fill="auto"/>
            <w:vAlign w:val="center"/>
          </w:tcPr>
          <w:p w14:paraId="1D9D0503" w14:textId="77777777" w:rsidR="00A023BD" w:rsidRPr="009B520B" w:rsidRDefault="00A023BD" w:rsidP="00A023BD">
            <w:pPr>
              <w:keepNext/>
              <w:jc w:val="right"/>
              <w:rPr>
                <w:color w:val="000000"/>
                <w:sz w:val="16"/>
                <w:szCs w:val="16"/>
              </w:rPr>
            </w:pPr>
            <w:r w:rsidRPr="009B520B">
              <w:rPr>
                <w:color w:val="000000"/>
                <w:sz w:val="16"/>
                <w:szCs w:val="16"/>
              </w:rPr>
              <w:t>50</w:t>
            </w:r>
          </w:p>
        </w:tc>
        <w:tc>
          <w:tcPr>
            <w:tcW w:w="709" w:type="dxa"/>
            <w:shd w:val="clear" w:color="auto" w:fill="auto"/>
            <w:vAlign w:val="center"/>
          </w:tcPr>
          <w:p w14:paraId="2BD605A7" w14:textId="77777777" w:rsidR="00A023BD" w:rsidRPr="00F909A0" w:rsidRDefault="00A023BD" w:rsidP="00A023BD">
            <w:pPr>
              <w:keepNext/>
              <w:spacing w:before="20" w:after="20"/>
              <w:jc w:val="right"/>
              <w:rPr>
                <w:sz w:val="16"/>
                <w:szCs w:val="16"/>
              </w:rPr>
            </w:pPr>
            <w:r>
              <w:rPr>
                <w:sz w:val="16"/>
                <w:szCs w:val="16"/>
              </w:rPr>
              <w:t>59.6</w:t>
            </w:r>
          </w:p>
        </w:tc>
      </w:tr>
      <w:tr w:rsidR="00A023BD" w:rsidRPr="007B4EF8" w14:paraId="3E0C45AC" w14:textId="77777777" w:rsidTr="00A023BD">
        <w:tc>
          <w:tcPr>
            <w:tcW w:w="2345" w:type="dxa"/>
            <w:shd w:val="clear" w:color="auto" w:fill="auto"/>
            <w:vAlign w:val="center"/>
          </w:tcPr>
          <w:p w14:paraId="3E7EBE2B" w14:textId="77777777" w:rsidR="00A023BD" w:rsidRDefault="00A023BD" w:rsidP="00A023BD">
            <w:pPr>
              <w:spacing w:before="20" w:after="20"/>
              <w:rPr>
                <w:color w:val="000000"/>
                <w:sz w:val="16"/>
                <w:szCs w:val="16"/>
              </w:rPr>
            </w:pPr>
          </w:p>
        </w:tc>
        <w:tc>
          <w:tcPr>
            <w:tcW w:w="916" w:type="dxa"/>
            <w:shd w:val="clear" w:color="auto" w:fill="auto"/>
            <w:vAlign w:val="center"/>
          </w:tcPr>
          <w:p w14:paraId="1F523F8E" w14:textId="77777777" w:rsidR="00A023BD" w:rsidRPr="009B520B" w:rsidRDefault="00A023BD" w:rsidP="00A023BD">
            <w:pPr>
              <w:spacing w:before="20" w:after="20"/>
              <w:rPr>
                <w:i/>
                <w:color w:val="000000"/>
                <w:sz w:val="16"/>
                <w:szCs w:val="16"/>
              </w:rPr>
            </w:pPr>
            <w:r w:rsidRPr="009B520B">
              <w:rPr>
                <w:i/>
                <w:color w:val="000000"/>
                <w:sz w:val="16"/>
                <w:szCs w:val="16"/>
              </w:rPr>
              <w:t>Total</w:t>
            </w:r>
          </w:p>
        </w:tc>
        <w:tc>
          <w:tcPr>
            <w:tcW w:w="567" w:type="dxa"/>
            <w:shd w:val="clear" w:color="auto" w:fill="auto"/>
            <w:vAlign w:val="center"/>
          </w:tcPr>
          <w:p w14:paraId="315CEC73" w14:textId="77777777" w:rsidR="00A023BD" w:rsidRPr="009B520B" w:rsidRDefault="00A023BD" w:rsidP="00A023BD">
            <w:pPr>
              <w:jc w:val="right"/>
              <w:rPr>
                <w:color w:val="000000"/>
                <w:sz w:val="16"/>
                <w:szCs w:val="16"/>
              </w:rPr>
            </w:pPr>
            <w:r w:rsidRPr="009B520B">
              <w:rPr>
                <w:color w:val="000000"/>
                <w:sz w:val="16"/>
                <w:szCs w:val="16"/>
              </w:rPr>
              <w:t>154</w:t>
            </w:r>
          </w:p>
        </w:tc>
        <w:tc>
          <w:tcPr>
            <w:tcW w:w="708" w:type="dxa"/>
            <w:shd w:val="clear" w:color="auto" w:fill="auto"/>
            <w:vAlign w:val="center"/>
          </w:tcPr>
          <w:p w14:paraId="54E7C4A7" w14:textId="77777777" w:rsidR="00A023BD" w:rsidRPr="00944BD1" w:rsidRDefault="00A023BD" w:rsidP="00A023BD">
            <w:pPr>
              <w:spacing w:before="20" w:after="20"/>
              <w:jc w:val="right"/>
              <w:rPr>
                <w:i/>
                <w:sz w:val="16"/>
                <w:szCs w:val="16"/>
              </w:rPr>
            </w:pPr>
            <w:r w:rsidRPr="00944BD1">
              <w:rPr>
                <w:i/>
                <w:sz w:val="16"/>
                <w:szCs w:val="16"/>
              </w:rPr>
              <w:t>100</w:t>
            </w:r>
            <w:r>
              <w:rPr>
                <w:i/>
                <w:sz w:val="16"/>
                <w:szCs w:val="16"/>
              </w:rPr>
              <w:t>.0</w:t>
            </w:r>
          </w:p>
        </w:tc>
        <w:tc>
          <w:tcPr>
            <w:tcW w:w="567" w:type="dxa"/>
            <w:tcBorders>
              <w:left w:val="single" w:sz="4" w:space="0" w:color="auto"/>
            </w:tcBorders>
            <w:shd w:val="clear" w:color="auto" w:fill="auto"/>
            <w:vAlign w:val="center"/>
          </w:tcPr>
          <w:p w14:paraId="5A702271" w14:textId="77777777" w:rsidR="00A023BD" w:rsidRPr="009B520B" w:rsidRDefault="00A023BD" w:rsidP="00A023BD">
            <w:pPr>
              <w:jc w:val="right"/>
              <w:rPr>
                <w:color w:val="000000"/>
                <w:sz w:val="16"/>
                <w:szCs w:val="16"/>
              </w:rPr>
            </w:pPr>
            <w:r w:rsidRPr="009B520B">
              <w:rPr>
                <w:color w:val="000000"/>
                <w:sz w:val="16"/>
                <w:szCs w:val="16"/>
              </w:rPr>
              <w:t>99</w:t>
            </w:r>
          </w:p>
        </w:tc>
        <w:tc>
          <w:tcPr>
            <w:tcW w:w="709" w:type="dxa"/>
            <w:shd w:val="clear" w:color="auto" w:fill="auto"/>
            <w:vAlign w:val="center"/>
          </w:tcPr>
          <w:p w14:paraId="1AE638D9" w14:textId="77777777" w:rsidR="00A023BD" w:rsidRPr="00944BD1" w:rsidRDefault="00A023BD" w:rsidP="00A023BD">
            <w:pPr>
              <w:spacing w:before="20" w:after="20"/>
              <w:jc w:val="right"/>
              <w:rPr>
                <w:i/>
                <w:sz w:val="16"/>
                <w:szCs w:val="16"/>
              </w:rPr>
            </w:pPr>
            <w:r w:rsidRPr="00944BD1">
              <w:rPr>
                <w:i/>
                <w:sz w:val="16"/>
                <w:szCs w:val="16"/>
              </w:rPr>
              <w:t>100</w:t>
            </w:r>
            <w:r>
              <w:rPr>
                <w:i/>
                <w:sz w:val="16"/>
                <w:szCs w:val="16"/>
              </w:rPr>
              <w:t>.0</w:t>
            </w:r>
          </w:p>
        </w:tc>
        <w:tc>
          <w:tcPr>
            <w:tcW w:w="567" w:type="dxa"/>
            <w:tcBorders>
              <w:left w:val="single" w:sz="4" w:space="0" w:color="auto"/>
            </w:tcBorders>
            <w:shd w:val="clear" w:color="auto" w:fill="auto"/>
            <w:vAlign w:val="center"/>
          </w:tcPr>
          <w:p w14:paraId="0D1F909C" w14:textId="77777777" w:rsidR="00A023BD" w:rsidRPr="009B520B" w:rsidRDefault="00A023BD" w:rsidP="00A023BD">
            <w:pPr>
              <w:jc w:val="right"/>
              <w:rPr>
                <w:color w:val="000000"/>
                <w:sz w:val="16"/>
                <w:szCs w:val="16"/>
              </w:rPr>
            </w:pPr>
            <w:r w:rsidRPr="009B520B">
              <w:rPr>
                <w:color w:val="000000"/>
                <w:sz w:val="16"/>
                <w:szCs w:val="16"/>
              </w:rPr>
              <w:t>58</w:t>
            </w:r>
          </w:p>
        </w:tc>
        <w:tc>
          <w:tcPr>
            <w:tcW w:w="709" w:type="dxa"/>
            <w:shd w:val="clear" w:color="auto" w:fill="auto"/>
            <w:vAlign w:val="center"/>
          </w:tcPr>
          <w:p w14:paraId="0EFB77DB" w14:textId="77777777" w:rsidR="00A023BD" w:rsidRPr="00944BD1" w:rsidRDefault="00A023BD" w:rsidP="00A023BD">
            <w:pPr>
              <w:spacing w:before="20" w:after="20"/>
              <w:jc w:val="right"/>
              <w:rPr>
                <w:i/>
                <w:sz w:val="16"/>
                <w:szCs w:val="16"/>
              </w:rPr>
            </w:pPr>
            <w:r w:rsidRPr="00944BD1">
              <w:rPr>
                <w:i/>
                <w:sz w:val="16"/>
                <w:szCs w:val="16"/>
              </w:rPr>
              <w:t>100</w:t>
            </w:r>
            <w:r>
              <w:rPr>
                <w:i/>
                <w:sz w:val="16"/>
                <w:szCs w:val="16"/>
              </w:rPr>
              <w:t>.0</w:t>
            </w:r>
          </w:p>
        </w:tc>
        <w:tc>
          <w:tcPr>
            <w:tcW w:w="567" w:type="dxa"/>
            <w:tcBorders>
              <w:left w:val="single" w:sz="4" w:space="0" w:color="auto"/>
            </w:tcBorders>
            <w:shd w:val="clear" w:color="auto" w:fill="auto"/>
            <w:vAlign w:val="center"/>
          </w:tcPr>
          <w:p w14:paraId="6031D576" w14:textId="77777777" w:rsidR="00A023BD" w:rsidRPr="009B520B" w:rsidRDefault="00A023BD" w:rsidP="00A023BD">
            <w:pPr>
              <w:jc w:val="right"/>
              <w:rPr>
                <w:color w:val="000000"/>
                <w:sz w:val="16"/>
                <w:szCs w:val="16"/>
              </w:rPr>
            </w:pPr>
            <w:r w:rsidRPr="009B520B">
              <w:rPr>
                <w:color w:val="000000"/>
                <w:sz w:val="16"/>
                <w:szCs w:val="16"/>
              </w:rPr>
              <w:t>51</w:t>
            </w:r>
          </w:p>
        </w:tc>
        <w:tc>
          <w:tcPr>
            <w:tcW w:w="709" w:type="dxa"/>
            <w:shd w:val="clear" w:color="auto" w:fill="auto"/>
            <w:vAlign w:val="center"/>
          </w:tcPr>
          <w:p w14:paraId="72D705F4" w14:textId="77777777" w:rsidR="00A023BD" w:rsidRPr="00944BD1" w:rsidRDefault="00A023BD" w:rsidP="00A023BD">
            <w:pPr>
              <w:spacing w:before="20" w:after="20"/>
              <w:jc w:val="right"/>
              <w:rPr>
                <w:i/>
                <w:sz w:val="16"/>
                <w:szCs w:val="16"/>
              </w:rPr>
            </w:pPr>
            <w:r w:rsidRPr="00944BD1">
              <w:rPr>
                <w:i/>
                <w:sz w:val="16"/>
                <w:szCs w:val="16"/>
              </w:rPr>
              <w:t>100</w:t>
            </w:r>
            <w:r>
              <w:rPr>
                <w:i/>
                <w:sz w:val="16"/>
                <w:szCs w:val="16"/>
              </w:rPr>
              <w:t>.0</w:t>
            </w:r>
          </w:p>
        </w:tc>
      </w:tr>
      <w:tr w:rsidR="00A023BD" w:rsidRPr="007B4EF8" w14:paraId="02F6679E" w14:textId="77777777" w:rsidTr="00A023BD">
        <w:tc>
          <w:tcPr>
            <w:tcW w:w="2345" w:type="dxa"/>
            <w:shd w:val="clear" w:color="auto" w:fill="auto"/>
            <w:vAlign w:val="center"/>
          </w:tcPr>
          <w:p w14:paraId="77D99DD7" w14:textId="77777777" w:rsidR="00A023BD" w:rsidRDefault="00A023BD" w:rsidP="00A023BD">
            <w:pPr>
              <w:spacing w:before="40" w:after="20"/>
              <w:rPr>
                <w:color w:val="000000"/>
                <w:sz w:val="16"/>
                <w:szCs w:val="16"/>
              </w:rPr>
            </w:pPr>
            <w:r>
              <w:rPr>
                <w:color w:val="000000"/>
                <w:sz w:val="16"/>
                <w:szCs w:val="16"/>
              </w:rPr>
              <w:t>Moderate-risk/problem gambler</w:t>
            </w:r>
          </w:p>
        </w:tc>
        <w:tc>
          <w:tcPr>
            <w:tcW w:w="916" w:type="dxa"/>
            <w:shd w:val="clear" w:color="auto" w:fill="auto"/>
            <w:vAlign w:val="center"/>
          </w:tcPr>
          <w:p w14:paraId="72893072" w14:textId="77777777" w:rsidR="00A023BD" w:rsidRDefault="00A023BD" w:rsidP="00A023BD">
            <w:pPr>
              <w:spacing w:before="40" w:after="20"/>
              <w:rPr>
                <w:color w:val="000000"/>
                <w:sz w:val="16"/>
                <w:szCs w:val="16"/>
              </w:rPr>
            </w:pPr>
            <w:r>
              <w:rPr>
                <w:color w:val="000000"/>
                <w:sz w:val="16"/>
                <w:szCs w:val="16"/>
              </w:rPr>
              <w:t>Casino</w:t>
            </w:r>
          </w:p>
        </w:tc>
        <w:tc>
          <w:tcPr>
            <w:tcW w:w="567" w:type="dxa"/>
            <w:shd w:val="clear" w:color="auto" w:fill="auto"/>
            <w:vAlign w:val="center"/>
          </w:tcPr>
          <w:p w14:paraId="1414829F" w14:textId="77777777" w:rsidR="00A023BD" w:rsidRPr="009B520B" w:rsidRDefault="00A023BD" w:rsidP="00A023BD">
            <w:pPr>
              <w:jc w:val="right"/>
              <w:rPr>
                <w:color w:val="000000"/>
                <w:sz w:val="16"/>
                <w:szCs w:val="16"/>
              </w:rPr>
            </w:pPr>
            <w:r w:rsidRPr="009B520B">
              <w:rPr>
                <w:color w:val="000000"/>
                <w:sz w:val="16"/>
                <w:szCs w:val="16"/>
              </w:rPr>
              <w:t>60</w:t>
            </w:r>
          </w:p>
        </w:tc>
        <w:tc>
          <w:tcPr>
            <w:tcW w:w="708" w:type="dxa"/>
            <w:shd w:val="clear" w:color="auto" w:fill="auto"/>
            <w:vAlign w:val="center"/>
          </w:tcPr>
          <w:p w14:paraId="71E3D551" w14:textId="77777777" w:rsidR="00A023BD" w:rsidRPr="00F909A0" w:rsidRDefault="00A023BD" w:rsidP="00A023BD">
            <w:pPr>
              <w:spacing w:before="40" w:after="20"/>
              <w:jc w:val="right"/>
              <w:rPr>
                <w:sz w:val="16"/>
                <w:szCs w:val="16"/>
              </w:rPr>
            </w:pPr>
            <w:r>
              <w:rPr>
                <w:sz w:val="16"/>
                <w:szCs w:val="16"/>
              </w:rPr>
              <w:t>29.4</w:t>
            </w:r>
          </w:p>
        </w:tc>
        <w:tc>
          <w:tcPr>
            <w:tcW w:w="567" w:type="dxa"/>
            <w:tcBorders>
              <w:left w:val="single" w:sz="4" w:space="0" w:color="auto"/>
            </w:tcBorders>
            <w:shd w:val="clear" w:color="auto" w:fill="auto"/>
            <w:vAlign w:val="center"/>
          </w:tcPr>
          <w:p w14:paraId="4C7B702C" w14:textId="77777777" w:rsidR="00A023BD" w:rsidRPr="009B520B" w:rsidRDefault="00A023BD" w:rsidP="00A023BD">
            <w:pPr>
              <w:jc w:val="right"/>
              <w:rPr>
                <w:color w:val="000000"/>
                <w:sz w:val="16"/>
                <w:szCs w:val="16"/>
              </w:rPr>
            </w:pPr>
            <w:r w:rsidRPr="009B520B">
              <w:rPr>
                <w:color w:val="000000"/>
                <w:sz w:val="16"/>
                <w:szCs w:val="16"/>
              </w:rPr>
              <w:t>25</w:t>
            </w:r>
          </w:p>
        </w:tc>
        <w:tc>
          <w:tcPr>
            <w:tcW w:w="709" w:type="dxa"/>
            <w:shd w:val="clear" w:color="auto" w:fill="auto"/>
            <w:vAlign w:val="center"/>
          </w:tcPr>
          <w:p w14:paraId="368B299E" w14:textId="77777777" w:rsidR="00A023BD" w:rsidRPr="009B520B" w:rsidRDefault="00A023BD" w:rsidP="00A023BD">
            <w:pPr>
              <w:spacing w:before="40" w:after="20"/>
              <w:jc w:val="right"/>
              <w:rPr>
                <w:color w:val="000000"/>
                <w:sz w:val="16"/>
                <w:szCs w:val="16"/>
              </w:rPr>
            </w:pPr>
            <w:r>
              <w:rPr>
                <w:color w:val="000000"/>
                <w:sz w:val="16"/>
                <w:szCs w:val="16"/>
              </w:rPr>
              <w:t>26.4</w:t>
            </w:r>
          </w:p>
        </w:tc>
        <w:tc>
          <w:tcPr>
            <w:tcW w:w="567" w:type="dxa"/>
            <w:tcBorders>
              <w:left w:val="single" w:sz="4" w:space="0" w:color="auto"/>
            </w:tcBorders>
            <w:shd w:val="clear" w:color="auto" w:fill="auto"/>
            <w:vAlign w:val="center"/>
          </w:tcPr>
          <w:p w14:paraId="13C85FE1" w14:textId="77777777" w:rsidR="00A023BD" w:rsidRPr="009B520B" w:rsidRDefault="00A023BD" w:rsidP="00A023BD">
            <w:pPr>
              <w:jc w:val="right"/>
              <w:rPr>
                <w:color w:val="000000"/>
                <w:sz w:val="16"/>
                <w:szCs w:val="16"/>
              </w:rPr>
            </w:pPr>
            <w:r w:rsidRPr="009B520B">
              <w:rPr>
                <w:color w:val="000000"/>
                <w:sz w:val="16"/>
                <w:szCs w:val="16"/>
              </w:rPr>
              <w:t>12</w:t>
            </w:r>
          </w:p>
        </w:tc>
        <w:tc>
          <w:tcPr>
            <w:tcW w:w="709" w:type="dxa"/>
            <w:shd w:val="clear" w:color="auto" w:fill="auto"/>
            <w:vAlign w:val="center"/>
          </w:tcPr>
          <w:p w14:paraId="0912E72D" w14:textId="77777777" w:rsidR="00A023BD" w:rsidRPr="009B520B" w:rsidRDefault="00A023BD" w:rsidP="00A023BD">
            <w:pPr>
              <w:spacing w:before="40" w:after="20"/>
              <w:jc w:val="right"/>
              <w:rPr>
                <w:color w:val="000000"/>
                <w:sz w:val="16"/>
                <w:szCs w:val="16"/>
              </w:rPr>
            </w:pPr>
            <w:r>
              <w:rPr>
                <w:color w:val="000000"/>
                <w:sz w:val="16"/>
                <w:szCs w:val="16"/>
              </w:rPr>
              <w:t>28.4</w:t>
            </w:r>
          </w:p>
        </w:tc>
        <w:tc>
          <w:tcPr>
            <w:tcW w:w="567" w:type="dxa"/>
            <w:tcBorders>
              <w:left w:val="single" w:sz="4" w:space="0" w:color="auto"/>
            </w:tcBorders>
            <w:shd w:val="clear" w:color="auto" w:fill="auto"/>
            <w:vAlign w:val="center"/>
          </w:tcPr>
          <w:p w14:paraId="353B51CF" w14:textId="77777777" w:rsidR="00A023BD" w:rsidRPr="009B520B" w:rsidRDefault="00A023BD" w:rsidP="00A023BD">
            <w:pPr>
              <w:jc w:val="right"/>
              <w:rPr>
                <w:color w:val="000000"/>
                <w:sz w:val="16"/>
                <w:szCs w:val="16"/>
              </w:rPr>
            </w:pPr>
            <w:r w:rsidRPr="009B520B">
              <w:rPr>
                <w:color w:val="000000"/>
                <w:sz w:val="16"/>
                <w:szCs w:val="16"/>
              </w:rPr>
              <w:t>24</w:t>
            </w:r>
          </w:p>
        </w:tc>
        <w:tc>
          <w:tcPr>
            <w:tcW w:w="709" w:type="dxa"/>
            <w:shd w:val="clear" w:color="auto" w:fill="auto"/>
            <w:vAlign w:val="center"/>
          </w:tcPr>
          <w:p w14:paraId="3FBE4F56" w14:textId="77777777" w:rsidR="00A023BD" w:rsidRPr="00F909A0" w:rsidRDefault="00A023BD" w:rsidP="00A023BD">
            <w:pPr>
              <w:spacing w:before="40" w:after="20"/>
              <w:jc w:val="right"/>
              <w:rPr>
                <w:sz w:val="16"/>
                <w:szCs w:val="16"/>
              </w:rPr>
            </w:pPr>
            <w:r>
              <w:rPr>
                <w:sz w:val="16"/>
                <w:szCs w:val="16"/>
              </w:rPr>
              <w:t>44.6</w:t>
            </w:r>
          </w:p>
        </w:tc>
      </w:tr>
      <w:tr w:rsidR="00A023BD" w:rsidRPr="007B4EF8" w14:paraId="6CBD0E50" w14:textId="77777777" w:rsidTr="00A023BD">
        <w:tc>
          <w:tcPr>
            <w:tcW w:w="2345" w:type="dxa"/>
            <w:shd w:val="clear" w:color="auto" w:fill="auto"/>
            <w:vAlign w:val="bottom"/>
          </w:tcPr>
          <w:p w14:paraId="41F1D5EA" w14:textId="77777777" w:rsidR="00A023BD" w:rsidRDefault="00A023BD" w:rsidP="00A023BD">
            <w:pPr>
              <w:spacing w:before="20" w:after="20"/>
              <w:rPr>
                <w:color w:val="000000"/>
                <w:sz w:val="16"/>
                <w:szCs w:val="16"/>
              </w:rPr>
            </w:pPr>
          </w:p>
        </w:tc>
        <w:tc>
          <w:tcPr>
            <w:tcW w:w="916" w:type="dxa"/>
            <w:shd w:val="clear" w:color="auto" w:fill="auto"/>
            <w:vAlign w:val="center"/>
          </w:tcPr>
          <w:p w14:paraId="75A850B7" w14:textId="77777777" w:rsidR="00A023BD" w:rsidRDefault="00A023BD" w:rsidP="00A023BD">
            <w:pPr>
              <w:spacing w:before="20" w:after="20"/>
              <w:rPr>
                <w:color w:val="000000"/>
                <w:sz w:val="16"/>
                <w:szCs w:val="16"/>
              </w:rPr>
            </w:pPr>
            <w:r>
              <w:rPr>
                <w:color w:val="000000"/>
                <w:sz w:val="16"/>
                <w:szCs w:val="16"/>
              </w:rPr>
              <w:t>Pub</w:t>
            </w:r>
          </w:p>
        </w:tc>
        <w:tc>
          <w:tcPr>
            <w:tcW w:w="567" w:type="dxa"/>
            <w:shd w:val="clear" w:color="auto" w:fill="auto"/>
            <w:vAlign w:val="center"/>
          </w:tcPr>
          <w:p w14:paraId="552D841A" w14:textId="77777777" w:rsidR="00A023BD" w:rsidRPr="009B520B" w:rsidRDefault="00A023BD" w:rsidP="00A023BD">
            <w:pPr>
              <w:jc w:val="right"/>
              <w:rPr>
                <w:color w:val="000000"/>
                <w:sz w:val="16"/>
                <w:szCs w:val="16"/>
              </w:rPr>
            </w:pPr>
            <w:r w:rsidRPr="009B520B">
              <w:rPr>
                <w:color w:val="000000"/>
                <w:sz w:val="16"/>
                <w:szCs w:val="16"/>
              </w:rPr>
              <w:t>93</w:t>
            </w:r>
          </w:p>
        </w:tc>
        <w:tc>
          <w:tcPr>
            <w:tcW w:w="708" w:type="dxa"/>
            <w:shd w:val="clear" w:color="auto" w:fill="auto"/>
            <w:vAlign w:val="center"/>
          </w:tcPr>
          <w:p w14:paraId="4E31AA98" w14:textId="77777777" w:rsidR="00A023BD" w:rsidRPr="00F909A0" w:rsidRDefault="00A023BD" w:rsidP="00A023BD">
            <w:pPr>
              <w:spacing w:before="20" w:after="20"/>
              <w:jc w:val="right"/>
              <w:rPr>
                <w:sz w:val="16"/>
                <w:szCs w:val="16"/>
              </w:rPr>
            </w:pPr>
            <w:r>
              <w:rPr>
                <w:sz w:val="16"/>
                <w:szCs w:val="16"/>
              </w:rPr>
              <w:t>50.5</w:t>
            </w:r>
          </w:p>
        </w:tc>
        <w:tc>
          <w:tcPr>
            <w:tcW w:w="567" w:type="dxa"/>
            <w:tcBorders>
              <w:left w:val="single" w:sz="4" w:space="0" w:color="auto"/>
            </w:tcBorders>
            <w:shd w:val="clear" w:color="auto" w:fill="auto"/>
            <w:vAlign w:val="center"/>
          </w:tcPr>
          <w:p w14:paraId="626A5831" w14:textId="77777777" w:rsidR="00A023BD" w:rsidRPr="009B520B" w:rsidRDefault="00A023BD" w:rsidP="00A023BD">
            <w:pPr>
              <w:jc w:val="right"/>
              <w:rPr>
                <w:color w:val="000000"/>
                <w:sz w:val="16"/>
                <w:szCs w:val="16"/>
              </w:rPr>
            </w:pPr>
            <w:r w:rsidRPr="009B520B">
              <w:rPr>
                <w:color w:val="000000"/>
                <w:sz w:val="16"/>
                <w:szCs w:val="16"/>
              </w:rPr>
              <w:t>36</w:t>
            </w:r>
          </w:p>
        </w:tc>
        <w:tc>
          <w:tcPr>
            <w:tcW w:w="709" w:type="dxa"/>
            <w:shd w:val="clear" w:color="auto" w:fill="auto"/>
            <w:vAlign w:val="center"/>
          </w:tcPr>
          <w:p w14:paraId="24C63AE0" w14:textId="77777777" w:rsidR="00A023BD" w:rsidRPr="009B520B" w:rsidRDefault="00A023BD" w:rsidP="00A023BD">
            <w:pPr>
              <w:spacing w:before="20" w:after="20"/>
              <w:jc w:val="right"/>
              <w:rPr>
                <w:color w:val="000000"/>
                <w:sz w:val="16"/>
                <w:szCs w:val="16"/>
              </w:rPr>
            </w:pPr>
            <w:r>
              <w:rPr>
                <w:color w:val="000000"/>
                <w:sz w:val="16"/>
                <w:szCs w:val="16"/>
              </w:rPr>
              <w:t>56.2</w:t>
            </w:r>
          </w:p>
        </w:tc>
        <w:tc>
          <w:tcPr>
            <w:tcW w:w="567" w:type="dxa"/>
            <w:tcBorders>
              <w:left w:val="single" w:sz="4" w:space="0" w:color="auto"/>
            </w:tcBorders>
            <w:shd w:val="clear" w:color="auto" w:fill="auto"/>
            <w:vAlign w:val="center"/>
          </w:tcPr>
          <w:p w14:paraId="63CD6C81" w14:textId="77777777" w:rsidR="00A023BD" w:rsidRPr="009B520B" w:rsidRDefault="00A023BD" w:rsidP="00A023BD">
            <w:pPr>
              <w:jc w:val="right"/>
              <w:rPr>
                <w:color w:val="000000"/>
                <w:sz w:val="16"/>
                <w:szCs w:val="16"/>
              </w:rPr>
            </w:pPr>
            <w:r w:rsidRPr="009B520B">
              <w:rPr>
                <w:color w:val="000000"/>
                <w:sz w:val="16"/>
                <w:szCs w:val="16"/>
              </w:rPr>
              <w:t>28</w:t>
            </w:r>
          </w:p>
        </w:tc>
        <w:tc>
          <w:tcPr>
            <w:tcW w:w="709" w:type="dxa"/>
            <w:shd w:val="clear" w:color="auto" w:fill="auto"/>
            <w:vAlign w:val="center"/>
          </w:tcPr>
          <w:p w14:paraId="5AC8757E" w14:textId="77777777" w:rsidR="00A023BD" w:rsidRPr="009B520B" w:rsidRDefault="00A023BD" w:rsidP="00A023BD">
            <w:pPr>
              <w:spacing w:before="20" w:after="20"/>
              <w:jc w:val="right"/>
              <w:rPr>
                <w:color w:val="000000"/>
                <w:sz w:val="16"/>
                <w:szCs w:val="16"/>
              </w:rPr>
            </w:pPr>
            <w:r>
              <w:rPr>
                <w:color w:val="000000"/>
                <w:sz w:val="16"/>
                <w:szCs w:val="16"/>
              </w:rPr>
              <w:t>50.2</w:t>
            </w:r>
          </w:p>
        </w:tc>
        <w:tc>
          <w:tcPr>
            <w:tcW w:w="567" w:type="dxa"/>
            <w:tcBorders>
              <w:left w:val="single" w:sz="4" w:space="0" w:color="auto"/>
            </w:tcBorders>
            <w:shd w:val="clear" w:color="auto" w:fill="auto"/>
            <w:vAlign w:val="center"/>
          </w:tcPr>
          <w:p w14:paraId="57503A70" w14:textId="77777777" w:rsidR="00A023BD" w:rsidRPr="009B520B" w:rsidRDefault="00A023BD" w:rsidP="00A023BD">
            <w:pPr>
              <w:jc w:val="right"/>
              <w:rPr>
                <w:color w:val="000000"/>
                <w:sz w:val="16"/>
                <w:szCs w:val="16"/>
              </w:rPr>
            </w:pPr>
            <w:r w:rsidRPr="009B520B">
              <w:rPr>
                <w:color w:val="000000"/>
                <w:sz w:val="16"/>
                <w:szCs w:val="16"/>
              </w:rPr>
              <w:t>20</w:t>
            </w:r>
          </w:p>
        </w:tc>
        <w:tc>
          <w:tcPr>
            <w:tcW w:w="709" w:type="dxa"/>
            <w:shd w:val="clear" w:color="auto" w:fill="auto"/>
            <w:vAlign w:val="center"/>
          </w:tcPr>
          <w:p w14:paraId="3BDEC875" w14:textId="77777777" w:rsidR="00A023BD" w:rsidRPr="00F909A0" w:rsidRDefault="00A023BD" w:rsidP="00A023BD">
            <w:pPr>
              <w:spacing w:before="20" w:after="20"/>
              <w:jc w:val="right"/>
              <w:rPr>
                <w:sz w:val="16"/>
                <w:szCs w:val="16"/>
              </w:rPr>
            </w:pPr>
            <w:r>
              <w:rPr>
                <w:sz w:val="16"/>
                <w:szCs w:val="16"/>
              </w:rPr>
              <w:t>33.2</w:t>
            </w:r>
          </w:p>
        </w:tc>
      </w:tr>
      <w:tr w:rsidR="00A023BD" w:rsidRPr="007B4EF8" w14:paraId="50523F6C" w14:textId="77777777" w:rsidTr="00A023BD">
        <w:tc>
          <w:tcPr>
            <w:tcW w:w="2345" w:type="dxa"/>
            <w:vAlign w:val="center"/>
          </w:tcPr>
          <w:p w14:paraId="2BDAFCCA" w14:textId="77777777" w:rsidR="00A023BD" w:rsidRDefault="00A023BD" w:rsidP="00A023BD">
            <w:pPr>
              <w:spacing w:before="20" w:after="20"/>
              <w:rPr>
                <w:color w:val="000000"/>
                <w:sz w:val="16"/>
                <w:szCs w:val="16"/>
              </w:rPr>
            </w:pPr>
          </w:p>
        </w:tc>
        <w:tc>
          <w:tcPr>
            <w:tcW w:w="916" w:type="dxa"/>
            <w:vAlign w:val="center"/>
          </w:tcPr>
          <w:p w14:paraId="0B209040" w14:textId="77777777" w:rsidR="00A023BD" w:rsidRDefault="00A023BD" w:rsidP="00A023BD">
            <w:pPr>
              <w:spacing w:before="20" w:after="20"/>
              <w:rPr>
                <w:color w:val="000000"/>
                <w:sz w:val="16"/>
                <w:szCs w:val="16"/>
              </w:rPr>
            </w:pPr>
            <w:r>
              <w:rPr>
                <w:color w:val="000000"/>
                <w:sz w:val="16"/>
                <w:szCs w:val="16"/>
              </w:rPr>
              <w:t>Club</w:t>
            </w:r>
          </w:p>
        </w:tc>
        <w:tc>
          <w:tcPr>
            <w:tcW w:w="567" w:type="dxa"/>
            <w:vAlign w:val="center"/>
          </w:tcPr>
          <w:p w14:paraId="7B4AA9EF" w14:textId="77777777" w:rsidR="00A023BD" w:rsidRPr="009B520B" w:rsidRDefault="00A023BD" w:rsidP="00A023BD">
            <w:pPr>
              <w:jc w:val="right"/>
              <w:rPr>
                <w:color w:val="000000"/>
                <w:sz w:val="16"/>
                <w:szCs w:val="16"/>
              </w:rPr>
            </w:pPr>
            <w:r w:rsidRPr="009B520B">
              <w:rPr>
                <w:color w:val="000000"/>
                <w:sz w:val="16"/>
                <w:szCs w:val="16"/>
              </w:rPr>
              <w:t>35</w:t>
            </w:r>
          </w:p>
        </w:tc>
        <w:tc>
          <w:tcPr>
            <w:tcW w:w="708" w:type="dxa"/>
            <w:vAlign w:val="center"/>
          </w:tcPr>
          <w:p w14:paraId="7A6628FC" w14:textId="77777777" w:rsidR="00A023BD" w:rsidRPr="00F909A0" w:rsidRDefault="00A023BD" w:rsidP="00A023BD">
            <w:pPr>
              <w:spacing w:before="20" w:after="20"/>
              <w:jc w:val="right"/>
              <w:rPr>
                <w:sz w:val="16"/>
                <w:szCs w:val="16"/>
              </w:rPr>
            </w:pPr>
            <w:r>
              <w:rPr>
                <w:sz w:val="16"/>
                <w:szCs w:val="16"/>
              </w:rPr>
              <w:t>20.1</w:t>
            </w:r>
          </w:p>
        </w:tc>
        <w:tc>
          <w:tcPr>
            <w:tcW w:w="567" w:type="dxa"/>
            <w:tcBorders>
              <w:left w:val="single" w:sz="4" w:space="0" w:color="auto"/>
            </w:tcBorders>
            <w:vAlign w:val="center"/>
          </w:tcPr>
          <w:p w14:paraId="3C3F52CB" w14:textId="77777777" w:rsidR="00A023BD" w:rsidRPr="009B520B" w:rsidRDefault="00A023BD" w:rsidP="00A023BD">
            <w:pPr>
              <w:jc w:val="right"/>
              <w:rPr>
                <w:color w:val="000000"/>
                <w:sz w:val="16"/>
                <w:szCs w:val="16"/>
              </w:rPr>
            </w:pPr>
            <w:r w:rsidRPr="009B520B">
              <w:rPr>
                <w:color w:val="000000"/>
                <w:sz w:val="16"/>
                <w:szCs w:val="16"/>
              </w:rPr>
              <w:t>16</w:t>
            </w:r>
          </w:p>
        </w:tc>
        <w:tc>
          <w:tcPr>
            <w:tcW w:w="709" w:type="dxa"/>
            <w:vAlign w:val="center"/>
          </w:tcPr>
          <w:p w14:paraId="64580A57" w14:textId="77777777" w:rsidR="00A023BD" w:rsidRPr="009B520B" w:rsidRDefault="00A023BD" w:rsidP="00A023BD">
            <w:pPr>
              <w:spacing w:before="20" w:after="20"/>
              <w:jc w:val="right"/>
              <w:rPr>
                <w:color w:val="000000"/>
                <w:sz w:val="16"/>
                <w:szCs w:val="16"/>
              </w:rPr>
            </w:pPr>
            <w:r>
              <w:rPr>
                <w:color w:val="000000"/>
                <w:sz w:val="16"/>
                <w:szCs w:val="16"/>
              </w:rPr>
              <w:t>17.3</w:t>
            </w:r>
          </w:p>
        </w:tc>
        <w:tc>
          <w:tcPr>
            <w:tcW w:w="567" w:type="dxa"/>
            <w:tcBorders>
              <w:left w:val="single" w:sz="4" w:space="0" w:color="auto"/>
            </w:tcBorders>
            <w:vAlign w:val="center"/>
          </w:tcPr>
          <w:p w14:paraId="20918838" w14:textId="77777777" w:rsidR="00A023BD" w:rsidRPr="009B520B" w:rsidRDefault="00A023BD" w:rsidP="00A023BD">
            <w:pPr>
              <w:jc w:val="right"/>
              <w:rPr>
                <w:color w:val="000000"/>
                <w:sz w:val="16"/>
                <w:szCs w:val="16"/>
              </w:rPr>
            </w:pPr>
            <w:r w:rsidRPr="009B520B">
              <w:rPr>
                <w:color w:val="000000"/>
                <w:sz w:val="16"/>
                <w:szCs w:val="16"/>
              </w:rPr>
              <w:t>10</w:t>
            </w:r>
          </w:p>
        </w:tc>
        <w:tc>
          <w:tcPr>
            <w:tcW w:w="709" w:type="dxa"/>
            <w:vAlign w:val="center"/>
          </w:tcPr>
          <w:p w14:paraId="0A23934E" w14:textId="77777777" w:rsidR="00A023BD" w:rsidRPr="009B520B" w:rsidRDefault="00A023BD" w:rsidP="00A023BD">
            <w:pPr>
              <w:spacing w:before="20" w:after="20"/>
              <w:jc w:val="right"/>
              <w:rPr>
                <w:color w:val="000000"/>
                <w:sz w:val="16"/>
                <w:szCs w:val="16"/>
              </w:rPr>
            </w:pPr>
            <w:r>
              <w:rPr>
                <w:color w:val="000000"/>
                <w:sz w:val="16"/>
                <w:szCs w:val="16"/>
              </w:rPr>
              <w:t>21.3</w:t>
            </w:r>
          </w:p>
        </w:tc>
        <w:tc>
          <w:tcPr>
            <w:tcW w:w="567" w:type="dxa"/>
            <w:tcBorders>
              <w:left w:val="single" w:sz="4" w:space="0" w:color="auto"/>
            </w:tcBorders>
            <w:vAlign w:val="center"/>
          </w:tcPr>
          <w:p w14:paraId="11D6CB57" w14:textId="77777777" w:rsidR="00A023BD" w:rsidRPr="009B520B" w:rsidRDefault="00A023BD" w:rsidP="00A023BD">
            <w:pPr>
              <w:jc w:val="right"/>
              <w:rPr>
                <w:color w:val="000000"/>
                <w:sz w:val="16"/>
                <w:szCs w:val="16"/>
              </w:rPr>
            </w:pPr>
            <w:r w:rsidRPr="009B520B">
              <w:rPr>
                <w:color w:val="000000"/>
                <w:sz w:val="16"/>
                <w:szCs w:val="16"/>
              </w:rPr>
              <w:t>11</w:t>
            </w:r>
          </w:p>
        </w:tc>
        <w:tc>
          <w:tcPr>
            <w:tcW w:w="709" w:type="dxa"/>
            <w:vAlign w:val="center"/>
          </w:tcPr>
          <w:p w14:paraId="78437E53" w14:textId="77777777" w:rsidR="00A023BD" w:rsidRPr="00F909A0" w:rsidRDefault="00A023BD" w:rsidP="00A023BD">
            <w:pPr>
              <w:spacing w:before="20" w:after="20"/>
              <w:jc w:val="right"/>
              <w:rPr>
                <w:sz w:val="16"/>
                <w:szCs w:val="16"/>
              </w:rPr>
            </w:pPr>
            <w:r>
              <w:rPr>
                <w:sz w:val="16"/>
                <w:szCs w:val="16"/>
              </w:rPr>
              <w:t>22.2</w:t>
            </w:r>
          </w:p>
        </w:tc>
      </w:tr>
      <w:tr w:rsidR="00A023BD" w:rsidRPr="007B4EF8" w14:paraId="34B93A7D" w14:textId="77777777" w:rsidTr="00A023BD">
        <w:tc>
          <w:tcPr>
            <w:tcW w:w="2345" w:type="dxa"/>
            <w:vAlign w:val="bottom"/>
          </w:tcPr>
          <w:p w14:paraId="7E57E314" w14:textId="77777777" w:rsidR="00A023BD" w:rsidRDefault="00A023BD" w:rsidP="00A023BD">
            <w:pPr>
              <w:spacing w:before="20" w:after="20"/>
              <w:rPr>
                <w:color w:val="000000"/>
                <w:sz w:val="16"/>
                <w:szCs w:val="16"/>
              </w:rPr>
            </w:pPr>
          </w:p>
        </w:tc>
        <w:tc>
          <w:tcPr>
            <w:tcW w:w="916" w:type="dxa"/>
            <w:vAlign w:val="center"/>
          </w:tcPr>
          <w:p w14:paraId="0CAF7619" w14:textId="77777777" w:rsidR="00A023BD" w:rsidRDefault="00A023BD" w:rsidP="00A023BD">
            <w:pPr>
              <w:spacing w:before="20" w:after="20"/>
              <w:rPr>
                <w:color w:val="000000"/>
                <w:sz w:val="16"/>
                <w:szCs w:val="16"/>
              </w:rPr>
            </w:pPr>
            <w:r>
              <w:rPr>
                <w:color w:val="000000"/>
                <w:sz w:val="16"/>
                <w:szCs w:val="16"/>
              </w:rPr>
              <w:t>Pub+Club</w:t>
            </w:r>
          </w:p>
        </w:tc>
        <w:tc>
          <w:tcPr>
            <w:tcW w:w="567" w:type="dxa"/>
            <w:vAlign w:val="center"/>
          </w:tcPr>
          <w:p w14:paraId="42524C10" w14:textId="77777777" w:rsidR="00A023BD" w:rsidRPr="009B520B" w:rsidRDefault="00A023BD" w:rsidP="00A023BD">
            <w:pPr>
              <w:jc w:val="right"/>
              <w:rPr>
                <w:color w:val="000000"/>
                <w:sz w:val="16"/>
                <w:szCs w:val="16"/>
              </w:rPr>
            </w:pPr>
            <w:r w:rsidRPr="009B520B">
              <w:rPr>
                <w:color w:val="000000"/>
                <w:sz w:val="16"/>
                <w:szCs w:val="16"/>
              </w:rPr>
              <w:t>98</w:t>
            </w:r>
          </w:p>
        </w:tc>
        <w:tc>
          <w:tcPr>
            <w:tcW w:w="708" w:type="dxa"/>
            <w:vAlign w:val="center"/>
          </w:tcPr>
          <w:p w14:paraId="6A3CD761" w14:textId="77777777" w:rsidR="00A023BD" w:rsidRPr="00F909A0" w:rsidRDefault="00A023BD" w:rsidP="00A023BD">
            <w:pPr>
              <w:spacing w:before="20" w:after="20"/>
              <w:jc w:val="right"/>
              <w:rPr>
                <w:sz w:val="16"/>
                <w:szCs w:val="16"/>
              </w:rPr>
            </w:pPr>
            <w:r>
              <w:rPr>
                <w:sz w:val="16"/>
                <w:szCs w:val="16"/>
              </w:rPr>
              <w:t>70.6</w:t>
            </w:r>
          </w:p>
        </w:tc>
        <w:tc>
          <w:tcPr>
            <w:tcW w:w="567" w:type="dxa"/>
            <w:tcBorders>
              <w:left w:val="single" w:sz="4" w:space="0" w:color="auto"/>
            </w:tcBorders>
            <w:vAlign w:val="center"/>
          </w:tcPr>
          <w:p w14:paraId="3B1F8EB6" w14:textId="77777777" w:rsidR="00A023BD" w:rsidRPr="009B520B" w:rsidRDefault="00A023BD" w:rsidP="00A023BD">
            <w:pPr>
              <w:jc w:val="right"/>
              <w:rPr>
                <w:color w:val="000000"/>
                <w:sz w:val="16"/>
                <w:szCs w:val="16"/>
              </w:rPr>
            </w:pPr>
            <w:r w:rsidRPr="009B520B">
              <w:rPr>
                <w:color w:val="000000"/>
                <w:sz w:val="16"/>
                <w:szCs w:val="16"/>
              </w:rPr>
              <w:t>39</w:t>
            </w:r>
          </w:p>
        </w:tc>
        <w:tc>
          <w:tcPr>
            <w:tcW w:w="709" w:type="dxa"/>
            <w:vAlign w:val="center"/>
          </w:tcPr>
          <w:p w14:paraId="44B2BA3A" w14:textId="77777777" w:rsidR="00A023BD" w:rsidRPr="009B520B" w:rsidRDefault="00A023BD" w:rsidP="00A023BD">
            <w:pPr>
              <w:spacing w:before="20" w:after="20"/>
              <w:jc w:val="right"/>
              <w:rPr>
                <w:color w:val="000000"/>
                <w:sz w:val="16"/>
                <w:szCs w:val="16"/>
              </w:rPr>
            </w:pPr>
            <w:r>
              <w:rPr>
                <w:color w:val="000000"/>
                <w:sz w:val="16"/>
                <w:szCs w:val="16"/>
              </w:rPr>
              <w:t>73.6</w:t>
            </w:r>
          </w:p>
        </w:tc>
        <w:tc>
          <w:tcPr>
            <w:tcW w:w="567" w:type="dxa"/>
            <w:tcBorders>
              <w:left w:val="single" w:sz="4" w:space="0" w:color="auto"/>
            </w:tcBorders>
            <w:vAlign w:val="center"/>
          </w:tcPr>
          <w:p w14:paraId="179F224F" w14:textId="77777777" w:rsidR="00A023BD" w:rsidRPr="009B520B" w:rsidRDefault="00A023BD" w:rsidP="00A023BD">
            <w:pPr>
              <w:jc w:val="right"/>
              <w:rPr>
                <w:color w:val="000000"/>
                <w:sz w:val="16"/>
                <w:szCs w:val="16"/>
              </w:rPr>
            </w:pPr>
            <w:r w:rsidRPr="009B520B">
              <w:rPr>
                <w:color w:val="000000"/>
                <w:sz w:val="16"/>
                <w:szCs w:val="16"/>
              </w:rPr>
              <w:t>30</w:t>
            </w:r>
          </w:p>
        </w:tc>
        <w:tc>
          <w:tcPr>
            <w:tcW w:w="709" w:type="dxa"/>
            <w:vAlign w:val="center"/>
          </w:tcPr>
          <w:p w14:paraId="4EF3DF01" w14:textId="77777777" w:rsidR="00A023BD" w:rsidRPr="009B520B" w:rsidRDefault="00A023BD" w:rsidP="00A023BD">
            <w:pPr>
              <w:spacing w:before="20" w:after="20"/>
              <w:jc w:val="right"/>
              <w:rPr>
                <w:color w:val="000000"/>
                <w:sz w:val="16"/>
                <w:szCs w:val="16"/>
              </w:rPr>
            </w:pPr>
            <w:r>
              <w:rPr>
                <w:color w:val="000000"/>
                <w:sz w:val="16"/>
                <w:szCs w:val="16"/>
              </w:rPr>
              <w:t>71.6</w:t>
            </w:r>
          </w:p>
        </w:tc>
        <w:tc>
          <w:tcPr>
            <w:tcW w:w="567" w:type="dxa"/>
            <w:tcBorders>
              <w:left w:val="single" w:sz="4" w:space="0" w:color="auto"/>
            </w:tcBorders>
            <w:vAlign w:val="center"/>
          </w:tcPr>
          <w:p w14:paraId="7CBF0CF1" w14:textId="77777777" w:rsidR="00A023BD" w:rsidRPr="009B520B" w:rsidRDefault="00A023BD" w:rsidP="00A023BD">
            <w:pPr>
              <w:jc w:val="right"/>
              <w:rPr>
                <w:color w:val="000000"/>
                <w:sz w:val="16"/>
                <w:szCs w:val="16"/>
              </w:rPr>
            </w:pPr>
            <w:r w:rsidRPr="009B520B">
              <w:rPr>
                <w:color w:val="000000"/>
                <w:sz w:val="16"/>
                <w:szCs w:val="16"/>
              </w:rPr>
              <w:t>27</w:t>
            </w:r>
          </w:p>
        </w:tc>
        <w:tc>
          <w:tcPr>
            <w:tcW w:w="709" w:type="dxa"/>
            <w:vAlign w:val="center"/>
          </w:tcPr>
          <w:p w14:paraId="486062C0" w14:textId="77777777" w:rsidR="00A023BD" w:rsidRPr="00F909A0" w:rsidRDefault="00A023BD" w:rsidP="00A023BD">
            <w:pPr>
              <w:spacing w:before="20" w:after="20"/>
              <w:jc w:val="right"/>
              <w:rPr>
                <w:sz w:val="16"/>
                <w:szCs w:val="16"/>
              </w:rPr>
            </w:pPr>
            <w:r>
              <w:rPr>
                <w:sz w:val="16"/>
                <w:szCs w:val="16"/>
              </w:rPr>
              <w:t>55.4</w:t>
            </w:r>
          </w:p>
        </w:tc>
      </w:tr>
      <w:tr w:rsidR="00A023BD" w:rsidRPr="007B4EF8" w14:paraId="594DBAFB" w14:textId="77777777" w:rsidTr="00A023BD">
        <w:tc>
          <w:tcPr>
            <w:tcW w:w="2345" w:type="dxa"/>
            <w:vAlign w:val="bottom"/>
          </w:tcPr>
          <w:p w14:paraId="4105A5FA" w14:textId="77777777" w:rsidR="00A023BD" w:rsidRDefault="00A023BD" w:rsidP="00A023BD">
            <w:pPr>
              <w:spacing w:before="20" w:after="20"/>
              <w:rPr>
                <w:color w:val="000000"/>
                <w:sz w:val="16"/>
                <w:szCs w:val="16"/>
              </w:rPr>
            </w:pPr>
          </w:p>
        </w:tc>
        <w:tc>
          <w:tcPr>
            <w:tcW w:w="916" w:type="dxa"/>
            <w:vAlign w:val="center"/>
          </w:tcPr>
          <w:p w14:paraId="10BD3620" w14:textId="77777777" w:rsidR="00A023BD" w:rsidRPr="009B520B" w:rsidRDefault="00A023BD" w:rsidP="00A023BD">
            <w:pPr>
              <w:spacing w:before="20" w:after="20"/>
              <w:rPr>
                <w:i/>
                <w:color w:val="000000"/>
                <w:sz w:val="16"/>
                <w:szCs w:val="16"/>
              </w:rPr>
            </w:pPr>
            <w:r w:rsidRPr="009B520B">
              <w:rPr>
                <w:i/>
                <w:color w:val="000000"/>
                <w:sz w:val="16"/>
                <w:szCs w:val="16"/>
              </w:rPr>
              <w:t>Total</w:t>
            </w:r>
          </w:p>
        </w:tc>
        <w:tc>
          <w:tcPr>
            <w:tcW w:w="567" w:type="dxa"/>
            <w:vAlign w:val="center"/>
          </w:tcPr>
          <w:p w14:paraId="45D215FC" w14:textId="77777777" w:rsidR="00A023BD" w:rsidRPr="009B520B" w:rsidRDefault="00A023BD" w:rsidP="00A023BD">
            <w:pPr>
              <w:jc w:val="right"/>
              <w:rPr>
                <w:color w:val="000000"/>
                <w:sz w:val="16"/>
                <w:szCs w:val="16"/>
              </w:rPr>
            </w:pPr>
            <w:r w:rsidRPr="009B520B">
              <w:rPr>
                <w:color w:val="000000"/>
                <w:sz w:val="16"/>
                <w:szCs w:val="16"/>
              </w:rPr>
              <w:t>110</w:t>
            </w:r>
          </w:p>
        </w:tc>
        <w:tc>
          <w:tcPr>
            <w:tcW w:w="708" w:type="dxa"/>
            <w:vAlign w:val="center"/>
          </w:tcPr>
          <w:p w14:paraId="27A22C68" w14:textId="77777777" w:rsidR="00A023BD" w:rsidRPr="00F909A0" w:rsidRDefault="00A023BD" w:rsidP="00A023BD">
            <w:pPr>
              <w:spacing w:before="20" w:after="20"/>
              <w:jc w:val="right"/>
              <w:rPr>
                <w:sz w:val="16"/>
                <w:szCs w:val="16"/>
              </w:rPr>
            </w:pPr>
            <w:r w:rsidRPr="00944BD1">
              <w:rPr>
                <w:i/>
                <w:sz w:val="16"/>
                <w:szCs w:val="16"/>
              </w:rPr>
              <w:t>100</w:t>
            </w:r>
            <w:r>
              <w:rPr>
                <w:i/>
                <w:sz w:val="16"/>
                <w:szCs w:val="16"/>
              </w:rPr>
              <w:t>.0</w:t>
            </w:r>
          </w:p>
        </w:tc>
        <w:tc>
          <w:tcPr>
            <w:tcW w:w="567" w:type="dxa"/>
            <w:tcBorders>
              <w:left w:val="single" w:sz="4" w:space="0" w:color="auto"/>
            </w:tcBorders>
            <w:vAlign w:val="center"/>
          </w:tcPr>
          <w:p w14:paraId="138E4CAE" w14:textId="77777777" w:rsidR="00A023BD" w:rsidRPr="009B520B" w:rsidRDefault="00A023BD" w:rsidP="00A023BD">
            <w:pPr>
              <w:jc w:val="right"/>
              <w:rPr>
                <w:color w:val="000000"/>
                <w:sz w:val="16"/>
                <w:szCs w:val="16"/>
              </w:rPr>
            </w:pPr>
            <w:r w:rsidRPr="009B520B">
              <w:rPr>
                <w:color w:val="000000"/>
                <w:sz w:val="16"/>
                <w:szCs w:val="16"/>
              </w:rPr>
              <w:t>46</w:t>
            </w:r>
          </w:p>
        </w:tc>
        <w:tc>
          <w:tcPr>
            <w:tcW w:w="709" w:type="dxa"/>
            <w:vAlign w:val="center"/>
          </w:tcPr>
          <w:p w14:paraId="552059D8" w14:textId="77777777" w:rsidR="00A023BD" w:rsidRPr="009B520B" w:rsidRDefault="00A023BD" w:rsidP="00A023BD">
            <w:pPr>
              <w:spacing w:before="20" w:after="20"/>
              <w:jc w:val="right"/>
              <w:rPr>
                <w:color w:val="000000"/>
                <w:sz w:val="16"/>
                <w:szCs w:val="16"/>
              </w:rPr>
            </w:pPr>
            <w:r>
              <w:rPr>
                <w:i/>
                <w:sz w:val="16"/>
                <w:szCs w:val="16"/>
              </w:rPr>
              <w:t>99.9</w:t>
            </w:r>
          </w:p>
        </w:tc>
        <w:tc>
          <w:tcPr>
            <w:tcW w:w="567" w:type="dxa"/>
            <w:tcBorders>
              <w:left w:val="single" w:sz="4" w:space="0" w:color="auto"/>
            </w:tcBorders>
            <w:vAlign w:val="center"/>
          </w:tcPr>
          <w:p w14:paraId="55239ADE" w14:textId="77777777" w:rsidR="00A023BD" w:rsidRPr="009B520B" w:rsidRDefault="00A023BD" w:rsidP="00A023BD">
            <w:pPr>
              <w:jc w:val="right"/>
              <w:rPr>
                <w:color w:val="000000"/>
                <w:sz w:val="16"/>
                <w:szCs w:val="16"/>
              </w:rPr>
            </w:pPr>
            <w:r w:rsidRPr="009B520B">
              <w:rPr>
                <w:color w:val="000000"/>
                <w:sz w:val="16"/>
                <w:szCs w:val="16"/>
              </w:rPr>
              <w:t>32</w:t>
            </w:r>
          </w:p>
        </w:tc>
        <w:tc>
          <w:tcPr>
            <w:tcW w:w="709" w:type="dxa"/>
            <w:vAlign w:val="center"/>
          </w:tcPr>
          <w:p w14:paraId="51F929F6" w14:textId="77777777" w:rsidR="00A023BD" w:rsidRPr="009B520B" w:rsidRDefault="00A023BD" w:rsidP="00A023BD">
            <w:pPr>
              <w:spacing w:before="20" w:after="20"/>
              <w:jc w:val="right"/>
              <w:rPr>
                <w:color w:val="000000"/>
                <w:sz w:val="16"/>
                <w:szCs w:val="16"/>
              </w:rPr>
            </w:pPr>
            <w:r>
              <w:rPr>
                <w:i/>
                <w:sz w:val="16"/>
                <w:szCs w:val="16"/>
              </w:rPr>
              <w:t>99.9</w:t>
            </w:r>
          </w:p>
        </w:tc>
        <w:tc>
          <w:tcPr>
            <w:tcW w:w="567" w:type="dxa"/>
            <w:tcBorders>
              <w:left w:val="single" w:sz="4" w:space="0" w:color="auto"/>
            </w:tcBorders>
            <w:vAlign w:val="center"/>
          </w:tcPr>
          <w:p w14:paraId="5ECBB11C" w14:textId="77777777" w:rsidR="00A023BD" w:rsidRPr="009B520B" w:rsidRDefault="00A023BD" w:rsidP="00A023BD">
            <w:pPr>
              <w:jc w:val="right"/>
              <w:rPr>
                <w:color w:val="000000"/>
                <w:sz w:val="16"/>
                <w:szCs w:val="16"/>
              </w:rPr>
            </w:pPr>
            <w:r w:rsidRPr="009B520B">
              <w:rPr>
                <w:color w:val="000000"/>
                <w:sz w:val="16"/>
                <w:szCs w:val="16"/>
              </w:rPr>
              <w:t>37</w:t>
            </w:r>
          </w:p>
        </w:tc>
        <w:tc>
          <w:tcPr>
            <w:tcW w:w="709" w:type="dxa"/>
            <w:vAlign w:val="center"/>
          </w:tcPr>
          <w:p w14:paraId="47566AD8" w14:textId="77777777" w:rsidR="00A023BD" w:rsidRPr="00F909A0" w:rsidRDefault="00A023BD" w:rsidP="00A023BD">
            <w:pPr>
              <w:spacing w:before="20" w:after="20"/>
              <w:jc w:val="right"/>
              <w:rPr>
                <w:sz w:val="16"/>
                <w:szCs w:val="16"/>
              </w:rPr>
            </w:pPr>
            <w:r w:rsidRPr="00944BD1">
              <w:rPr>
                <w:i/>
                <w:sz w:val="16"/>
                <w:szCs w:val="16"/>
              </w:rPr>
              <w:t>100</w:t>
            </w:r>
            <w:r>
              <w:rPr>
                <w:i/>
                <w:sz w:val="16"/>
                <w:szCs w:val="16"/>
              </w:rPr>
              <w:t>.0</w:t>
            </w:r>
          </w:p>
        </w:tc>
      </w:tr>
      <w:tr w:rsidR="00A023BD" w:rsidRPr="007B4EF8" w14:paraId="199DC9A0" w14:textId="77777777" w:rsidTr="00A023BD">
        <w:tc>
          <w:tcPr>
            <w:tcW w:w="2345" w:type="dxa"/>
            <w:vAlign w:val="bottom"/>
          </w:tcPr>
          <w:p w14:paraId="160B1936" w14:textId="77777777" w:rsidR="00A023BD" w:rsidRDefault="00A023BD" w:rsidP="00A023BD">
            <w:pPr>
              <w:spacing w:before="40" w:after="20"/>
              <w:rPr>
                <w:color w:val="000000"/>
                <w:sz w:val="16"/>
                <w:szCs w:val="16"/>
              </w:rPr>
            </w:pPr>
            <w:r>
              <w:rPr>
                <w:color w:val="000000"/>
                <w:sz w:val="16"/>
                <w:szCs w:val="16"/>
              </w:rPr>
              <w:t>Total</w:t>
            </w:r>
          </w:p>
        </w:tc>
        <w:tc>
          <w:tcPr>
            <w:tcW w:w="916" w:type="dxa"/>
            <w:vAlign w:val="center"/>
          </w:tcPr>
          <w:p w14:paraId="42D2E0EB" w14:textId="77777777" w:rsidR="00A023BD" w:rsidRDefault="00A023BD" w:rsidP="00A023BD">
            <w:pPr>
              <w:spacing w:before="40" w:after="20"/>
              <w:rPr>
                <w:color w:val="000000"/>
                <w:sz w:val="16"/>
                <w:szCs w:val="16"/>
              </w:rPr>
            </w:pPr>
            <w:r>
              <w:rPr>
                <w:color w:val="000000"/>
                <w:sz w:val="16"/>
                <w:szCs w:val="16"/>
              </w:rPr>
              <w:t>Casino</w:t>
            </w:r>
          </w:p>
        </w:tc>
        <w:tc>
          <w:tcPr>
            <w:tcW w:w="567" w:type="dxa"/>
            <w:vAlign w:val="center"/>
          </w:tcPr>
          <w:p w14:paraId="2F0B68F8" w14:textId="77777777" w:rsidR="00A023BD" w:rsidRPr="009B520B" w:rsidRDefault="00A023BD" w:rsidP="00A023BD">
            <w:pPr>
              <w:jc w:val="right"/>
              <w:rPr>
                <w:color w:val="000000"/>
                <w:sz w:val="16"/>
                <w:szCs w:val="16"/>
              </w:rPr>
            </w:pPr>
            <w:r w:rsidRPr="009B520B">
              <w:rPr>
                <w:color w:val="000000"/>
                <w:sz w:val="16"/>
                <w:szCs w:val="16"/>
              </w:rPr>
              <w:t>516</w:t>
            </w:r>
          </w:p>
        </w:tc>
        <w:tc>
          <w:tcPr>
            <w:tcW w:w="708" w:type="dxa"/>
            <w:vAlign w:val="center"/>
          </w:tcPr>
          <w:p w14:paraId="63C6C483" w14:textId="77777777" w:rsidR="00A023BD" w:rsidRPr="00A8054F" w:rsidRDefault="00A023BD" w:rsidP="00A023BD">
            <w:pPr>
              <w:spacing w:before="20" w:after="20"/>
              <w:jc w:val="right"/>
              <w:rPr>
                <w:sz w:val="16"/>
                <w:szCs w:val="16"/>
              </w:rPr>
            </w:pPr>
            <w:r>
              <w:rPr>
                <w:sz w:val="16"/>
                <w:szCs w:val="16"/>
              </w:rPr>
              <w:t>39.5</w:t>
            </w:r>
          </w:p>
        </w:tc>
        <w:tc>
          <w:tcPr>
            <w:tcW w:w="567" w:type="dxa"/>
            <w:tcBorders>
              <w:left w:val="single" w:sz="4" w:space="0" w:color="auto"/>
            </w:tcBorders>
            <w:vAlign w:val="center"/>
          </w:tcPr>
          <w:p w14:paraId="5B6DCE4C" w14:textId="77777777" w:rsidR="00A023BD" w:rsidRPr="009B520B" w:rsidRDefault="00A023BD" w:rsidP="00A023BD">
            <w:pPr>
              <w:jc w:val="right"/>
              <w:rPr>
                <w:color w:val="000000"/>
                <w:sz w:val="16"/>
                <w:szCs w:val="16"/>
              </w:rPr>
            </w:pPr>
            <w:r w:rsidRPr="009B520B">
              <w:rPr>
                <w:color w:val="000000"/>
                <w:sz w:val="16"/>
                <w:szCs w:val="16"/>
              </w:rPr>
              <w:t>227</w:t>
            </w:r>
          </w:p>
        </w:tc>
        <w:tc>
          <w:tcPr>
            <w:tcW w:w="709" w:type="dxa"/>
            <w:vAlign w:val="center"/>
          </w:tcPr>
          <w:p w14:paraId="1E902B5A" w14:textId="77777777" w:rsidR="00A023BD" w:rsidRPr="00A8054F" w:rsidRDefault="00A023BD" w:rsidP="00A023BD">
            <w:pPr>
              <w:spacing w:before="20" w:after="20"/>
              <w:jc w:val="right"/>
              <w:rPr>
                <w:sz w:val="16"/>
                <w:szCs w:val="16"/>
              </w:rPr>
            </w:pPr>
            <w:r>
              <w:rPr>
                <w:sz w:val="16"/>
                <w:szCs w:val="16"/>
              </w:rPr>
              <w:t>37.8</w:t>
            </w:r>
          </w:p>
        </w:tc>
        <w:tc>
          <w:tcPr>
            <w:tcW w:w="567" w:type="dxa"/>
            <w:tcBorders>
              <w:left w:val="single" w:sz="4" w:space="0" w:color="auto"/>
            </w:tcBorders>
            <w:vAlign w:val="center"/>
          </w:tcPr>
          <w:p w14:paraId="1BDBEB32" w14:textId="77777777" w:rsidR="00A023BD" w:rsidRPr="009B520B" w:rsidRDefault="00A023BD" w:rsidP="00A023BD">
            <w:pPr>
              <w:jc w:val="right"/>
              <w:rPr>
                <w:color w:val="000000"/>
                <w:sz w:val="16"/>
                <w:szCs w:val="16"/>
              </w:rPr>
            </w:pPr>
            <w:r w:rsidRPr="009B520B">
              <w:rPr>
                <w:color w:val="000000"/>
                <w:sz w:val="16"/>
                <w:szCs w:val="16"/>
              </w:rPr>
              <w:t>198</w:t>
            </w:r>
          </w:p>
        </w:tc>
        <w:tc>
          <w:tcPr>
            <w:tcW w:w="709" w:type="dxa"/>
            <w:vAlign w:val="center"/>
          </w:tcPr>
          <w:p w14:paraId="5EDAAC49" w14:textId="77777777" w:rsidR="00A023BD" w:rsidRPr="00A8054F" w:rsidRDefault="00A023BD" w:rsidP="00A023BD">
            <w:pPr>
              <w:spacing w:before="20" w:after="20"/>
              <w:jc w:val="right"/>
              <w:rPr>
                <w:sz w:val="16"/>
                <w:szCs w:val="16"/>
              </w:rPr>
            </w:pPr>
            <w:r>
              <w:rPr>
                <w:sz w:val="16"/>
                <w:szCs w:val="16"/>
              </w:rPr>
              <w:t>42.2</w:t>
            </w:r>
          </w:p>
        </w:tc>
        <w:tc>
          <w:tcPr>
            <w:tcW w:w="567" w:type="dxa"/>
            <w:tcBorders>
              <w:left w:val="single" w:sz="4" w:space="0" w:color="auto"/>
            </w:tcBorders>
            <w:vAlign w:val="center"/>
          </w:tcPr>
          <w:p w14:paraId="06106588" w14:textId="77777777" w:rsidR="00A023BD" w:rsidRPr="009B520B" w:rsidRDefault="00A023BD" w:rsidP="00A023BD">
            <w:pPr>
              <w:jc w:val="right"/>
              <w:rPr>
                <w:color w:val="000000"/>
                <w:sz w:val="16"/>
                <w:szCs w:val="16"/>
              </w:rPr>
            </w:pPr>
            <w:r w:rsidRPr="009B520B">
              <w:rPr>
                <w:color w:val="000000"/>
                <w:sz w:val="16"/>
                <w:szCs w:val="16"/>
              </w:rPr>
              <w:t>163</w:t>
            </w:r>
          </w:p>
        </w:tc>
        <w:tc>
          <w:tcPr>
            <w:tcW w:w="709" w:type="dxa"/>
            <w:vAlign w:val="center"/>
          </w:tcPr>
          <w:p w14:paraId="3E13D34B" w14:textId="77777777" w:rsidR="00A023BD" w:rsidRPr="00A8054F" w:rsidRDefault="00A023BD" w:rsidP="00A023BD">
            <w:pPr>
              <w:spacing w:before="20" w:after="20"/>
              <w:jc w:val="right"/>
              <w:rPr>
                <w:sz w:val="16"/>
                <w:szCs w:val="16"/>
              </w:rPr>
            </w:pPr>
            <w:r>
              <w:rPr>
                <w:sz w:val="16"/>
                <w:szCs w:val="16"/>
              </w:rPr>
              <w:t>41.6</w:t>
            </w:r>
          </w:p>
        </w:tc>
      </w:tr>
      <w:tr w:rsidR="00A023BD" w:rsidRPr="007B4EF8" w14:paraId="6F36533C" w14:textId="77777777" w:rsidTr="00A023BD">
        <w:tc>
          <w:tcPr>
            <w:tcW w:w="2345" w:type="dxa"/>
            <w:vAlign w:val="bottom"/>
          </w:tcPr>
          <w:p w14:paraId="554CCFBF" w14:textId="77777777" w:rsidR="00A023BD" w:rsidRDefault="00A023BD" w:rsidP="00A023BD">
            <w:pPr>
              <w:spacing w:before="20" w:after="20"/>
              <w:rPr>
                <w:color w:val="000000"/>
                <w:sz w:val="16"/>
                <w:szCs w:val="16"/>
              </w:rPr>
            </w:pPr>
          </w:p>
        </w:tc>
        <w:tc>
          <w:tcPr>
            <w:tcW w:w="916" w:type="dxa"/>
            <w:vAlign w:val="center"/>
          </w:tcPr>
          <w:p w14:paraId="7ECABD4E" w14:textId="77777777" w:rsidR="00A023BD" w:rsidRDefault="00A023BD" w:rsidP="00A023BD">
            <w:pPr>
              <w:spacing w:before="20" w:after="20"/>
              <w:rPr>
                <w:color w:val="000000"/>
                <w:sz w:val="16"/>
                <w:szCs w:val="16"/>
              </w:rPr>
            </w:pPr>
            <w:r>
              <w:rPr>
                <w:color w:val="000000"/>
                <w:sz w:val="16"/>
                <w:szCs w:val="16"/>
              </w:rPr>
              <w:t>Pub</w:t>
            </w:r>
          </w:p>
        </w:tc>
        <w:tc>
          <w:tcPr>
            <w:tcW w:w="567" w:type="dxa"/>
            <w:vAlign w:val="center"/>
          </w:tcPr>
          <w:p w14:paraId="42CD6142" w14:textId="77777777" w:rsidR="00A023BD" w:rsidRPr="009B520B" w:rsidRDefault="00A023BD" w:rsidP="00A023BD">
            <w:pPr>
              <w:jc w:val="right"/>
              <w:rPr>
                <w:color w:val="000000"/>
                <w:sz w:val="16"/>
                <w:szCs w:val="16"/>
              </w:rPr>
            </w:pPr>
            <w:r w:rsidRPr="009B520B">
              <w:rPr>
                <w:color w:val="000000"/>
                <w:sz w:val="16"/>
                <w:szCs w:val="16"/>
              </w:rPr>
              <w:t>715</w:t>
            </w:r>
          </w:p>
        </w:tc>
        <w:tc>
          <w:tcPr>
            <w:tcW w:w="708" w:type="dxa"/>
            <w:vAlign w:val="center"/>
          </w:tcPr>
          <w:p w14:paraId="5C18E7A2" w14:textId="77777777" w:rsidR="00A023BD" w:rsidRPr="00F909A0" w:rsidRDefault="00A023BD" w:rsidP="00A023BD">
            <w:pPr>
              <w:spacing w:before="20" w:after="20"/>
              <w:jc w:val="right"/>
              <w:rPr>
                <w:sz w:val="16"/>
                <w:szCs w:val="16"/>
              </w:rPr>
            </w:pPr>
            <w:r>
              <w:rPr>
                <w:sz w:val="16"/>
                <w:szCs w:val="16"/>
              </w:rPr>
              <w:t>41.8</w:t>
            </w:r>
          </w:p>
        </w:tc>
        <w:tc>
          <w:tcPr>
            <w:tcW w:w="567" w:type="dxa"/>
            <w:tcBorders>
              <w:left w:val="single" w:sz="4" w:space="0" w:color="auto"/>
            </w:tcBorders>
            <w:vAlign w:val="center"/>
          </w:tcPr>
          <w:p w14:paraId="427B16B5" w14:textId="77777777" w:rsidR="00A023BD" w:rsidRPr="009B520B" w:rsidRDefault="00A023BD" w:rsidP="00A023BD">
            <w:pPr>
              <w:jc w:val="right"/>
              <w:rPr>
                <w:color w:val="000000"/>
                <w:sz w:val="16"/>
                <w:szCs w:val="16"/>
              </w:rPr>
            </w:pPr>
            <w:r w:rsidRPr="009B520B">
              <w:rPr>
                <w:color w:val="000000"/>
                <w:sz w:val="16"/>
                <w:szCs w:val="16"/>
              </w:rPr>
              <w:t>331</w:t>
            </w:r>
          </w:p>
        </w:tc>
        <w:tc>
          <w:tcPr>
            <w:tcW w:w="709" w:type="dxa"/>
            <w:vAlign w:val="center"/>
          </w:tcPr>
          <w:p w14:paraId="0722E3F7" w14:textId="77777777" w:rsidR="00A023BD" w:rsidRPr="009B520B" w:rsidRDefault="00A023BD" w:rsidP="00A023BD">
            <w:pPr>
              <w:spacing w:before="20" w:after="20"/>
              <w:jc w:val="right"/>
              <w:rPr>
                <w:color w:val="000000"/>
                <w:sz w:val="16"/>
                <w:szCs w:val="16"/>
              </w:rPr>
            </w:pPr>
            <w:r>
              <w:rPr>
                <w:color w:val="000000"/>
                <w:sz w:val="16"/>
                <w:szCs w:val="16"/>
              </w:rPr>
              <w:t>46.4</w:t>
            </w:r>
          </w:p>
        </w:tc>
        <w:tc>
          <w:tcPr>
            <w:tcW w:w="567" w:type="dxa"/>
            <w:tcBorders>
              <w:left w:val="single" w:sz="4" w:space="0" w:color="auto"/>
            </w:tcBorders>
            <w:vAlign w:val="center"/>
          </w:tcPr>
          <w:p w14:paraId="609035C6" w14:textId="77777777" w:rsidR="00A023BD" w:rsidRPr="009B520B" w:rsidRDefault="00A023BD" w:rsidP="00A023BD">
            <w:pPr>
              <w:jc w:val="right"/>
              <w:rPr>
                <w:color w:val="000000"/>
                <w:sz w:val="16"/>
                <w:szCs w:val="16"/>
              </w:rPr>
            </w:pPr>
            <w:r w:rsidRPr="009B520B">
              <w:rPr>
                <w:color w:val="000000"/>
                <w:sz w:val="16"/>
                <w:szCs w:val="16"/>
              </w:rPr>
              <w:t>259</w:t>
            </w:r>
          </w:p>
        </w:tc>
        <w:tc>
          <w:tcPr>
            <w:tcW w:w="709" w:type="dxa"/>
            <w:vAlign w:val="center"/>
          </w:tcPr>
          <w:p w14:paraId="176BCBDE" w14:textId="77777777" w:rsidR="00A023BD" w:rsidRPr="009B520B" w:rsidRDefault="00A023BD" w:rsidP="00A023BD">
            <w:pPr>
              <w:spacing w:before="20" w:after="20"/>
              <w:jc w:val="right"/>
              <w:rPr>
                <w:color w:val="000000"/>
                <w:sz w:val="16"/>
                <w:szCs w:val="16"/>
              </w:rPr>
            </w:pPr>
            <w:r>
              <w:rPr>
                <w:color w:val="000000"/>
                <w:sz w:val="16"/>
                <w:szCs w:val="16"/>
              </w:rPr>
              <w:t>38.5</w:t>
            </w:r>
          </w:p>
        </w:tc>
        <w:tc>
          <w:tcPr>
            <w:tcW w:w="567" w:type="dxa"/>
            <w:tcBorders>
              <w:left w:val="single" w:sz="4" w:space="0" w:color="auto"/>
            </w:tcBorders>
            <w:vAlign w:val="center"/>
          </w:tcPr>
          <w:p w14:paraId="1D78BC72" w14:textId="77777777" w:rsidR="00A023BD" w:rsidRPr="009B520B" w:rsidRDefault="00A023BD" w:rsidP="00A023BD">
            <w:pPr>
              <w:jc w:val="right"/>
              <w:rPr>
                <w:color w:val="000000"/>
                <w:sz w:val="16"/>
                <w:szCs w:val="16"/>
              </w:rPr>
            </w:pPr>
            <w:r w:rsidRPr="009B520B">
              <w:rPr>
                <w:color w:val="000000"/>
                <w:sz w:val="16"/>
                <w:szCs w:val="16"/>
              </w:rPr>
              <w:t>227</w:t>
            </w:r>
          </w:p>
        </w:tc>
        <w:tc>
          <w:tcPr>
            <w:tcW w:w="709" w:type="dxa"/>
            <w:vAlign w:val="center"/>
          </w:tcPr>
          <w:p w14:paraId="3BE22F1E" w14:textId="77777777" w:rsidR="00A023BD" w:rsidRPr="00F909A0" w:rsidRDefault="00A023BD" w:rsidP="00A023BD">
            <w:pPr>
              <w:spacing w:before="20" w:after="20"/>
              <w:jc w:val="right"/>
              <w:rPr>
                <w:sz w:val="16"/>
                <w:szCs w:val="16"/>
              </w:rPr>
            </w:pPr>
            <w:r>
              <w:rPr>
                <w:sz w:val="16"/>
                <w:szCs w:val="16"/>
              </w:rPr>
              <w:t>39.4</w:t>
            </w:r>
          </w:p>
        </w:tc>
      </w:tr>
      <w:tr w:rsidR="00A023BD" w:rsidRPr="007B4EF8" w14:paraId="6CF19603" w14:textId="77777777" w:rsidTr="00A023BD">
        <w:tc>
          <w:tcPr>
            <w:tcW w:w="2345" w:type="dxa"/>
            <w:vAlign w:val="bottom"/>
          </w:tcPr>
          <w:p w14:paraId="12240DA0" w14:textId="77777777" w:rsidR="00A023BD" w:rsidRDefault="00A023BD" w:rsidP="00A023BD">
            <w:pPr>
              <w:spacing w:before="20" w:after="20"/>
              <w:rPr>
                <w:color w:val="000000"/>
                <w:sz w:val="16"/>
                <w:szCs w:val="16"/>
              </w:rPr>
            </w:pPr>
          </w:p>
        </w:tc>
        <w:tc>
          <w:tcPr>
            <w:tcW w:w="916" w:type="dxa"/>
            <w:vAlign w:val="center"/>
          </w:tcPr>
          <w:p w14:paraId="0C2B6B1A" w14:textId="77777777" w:rsidR="00A023BD" w:rsidRDefault="00A023BD" w:rsidP="00A023BD">
            <w:pPr>
              <w:spacing w:before="20" w:after="20"/>
              <w:rPr>
                <w:color w:val="000000"/>
                <w:sz w:val="16"/>
                <w:szCs w:val="16"/>
              </w:rPr>
            </w:pPr>
            <w:r>
              <w:rPr>
                <w:color w:val="000000"/>
                <w:sz w:val="16"/>
                <w:szCs w:val="16"/>
              </w:rPr>
              <w:t>Club</w:t>
            </w:r>
          </w:p>
        </w:tc>
        <w:tc>
          <w:tcPr>
            <w:tcW w:w="567" w:type="dxa"/>
            <w:vAlign w:val="center"/>
          </w:tcPr>
          <w:p w14:paraId="78B86BDB" w14:textId="77777777" w:rsidR="00A023BD" w:rsidRPr="009B520B" w:rsidRDefault="00A023BD" w:rsidP="00A023BD">
            <w:pPr>
              <w:jc w:val="right"/>
              <w:rPr>
                <w:color w:val="000000"/>
                <w:sz w:val="16"/>
                <w:szCs w:val="16"/>
              </w:rPr>
            </w:pPr>
            <w:r w:rsidRPr="009B520B">
              <w:rPr>
                <w:color w:val="000000"/>
                <w:sz w:val="16"/>
                <w:szCs w:val="16"/>
              </w:rPr>
              <w:t>349</w:t>
            </w:r>
          </w:p>
        </w:tc>
        <w:tc>
          <w:tcPr>
            <w:tcW w:w="708" w:type="dxa"/>
            <w:vAlign w:val="center"/>
          </w:tcPr>
          <w:p w14:paraId="560E9F3A" w14:textId="77777777" w:rsidR="00A023BD" w:rsidRPr="00F909A0" w:rsidRDefault="00A023BD" w:rsidP="00A023BD">
            <w:pPr>
              <w:spacing w:before="20" w:after="20"/>
              <w:jc w:val="right"/>
              <w:rPr>
                <w:sz w:val="16"/>
                <w:szCs w:val="16"/>
              </w:rPr>
            </w:pPr>
            <w:r>
              <w:rPr>
                <w:sz w:val="16"/>
                <w:szCs w:val="16"/>
              </w:rPr>
              <w:t>18.7</w:t>
            </w:r>
          </w:p>
        </w:tc>
        <w:tc>
          <w:tcPr>
            <w:tcW w:w="567" w:type="dxa"/>
            <w:tcBorders>
              <w:left w:val="single" w:sz="4" w:space="0" w:color="auto"/>
            </w:tcBorders>
            <w:vAlign w:val="center"/>
          </w:tcPr>
          <w:p w14:paraId="09FF58DA" w14:textId="77777777" w:rsidR="00A023BD" w:rsidRPr="009B520B" w:rsidRDefault="00A023BD" w:rsidP="00A023BD">
            <w:pPr>
              <w:jc w:val="right"/>
              <w:rPr>
                <w:color w:val="000000"/>
                <w:sz w:val="16"/>
                <w:szCs w:val="16"/>
              </w:rPr>
            </w:pPr>
            <w:r w:rsidRPr="009B520B">
              <w:rPr>
                <w:color w:val="000000"/>
                <w:sz w:val="16"/>
                <w:szCs w:val="16"/>
              </w:rPr>
              <w:t>154</w:t>
            </w:r>
          </w:p>
        </w:tc>
        <w:tc>
          <w:tcPr>
            <w:tcW w:w="709" w:type="dxa"/>
            <w:vAlign w:val="center"/>
          </w:tcPr>
          <w:p w14:paraId="24006270" w14:textId="77777777" w:rsidR="00A023BD" w:rsidRPr="009B520B" w:rsidRDefault="00A023BD" w:rsidP="00A023BD">
            <w:pPr>
              <w:spacing w:before="20" w:after="20"/>
              <w:jc w:val="right"/>
              <w:rPr>
                <w:color w:val="000000"/>
                <w:sz w:val="16"/>
                <w:szCs w:val="16"/>
              </w:rPr>
            </w:pPr>
            <w:r>
              <w:rPr>
                <w:color w:val="000000"/>
                <w:sz w:val="16"/>
                <w:szCs w:val="16"/>
              </w:rPr>
              <w:t>15.8</w:t>
            </w:r>
          </w:p>
        </w:tc>
        <w:tc>
          <w:tcPr>
            <w:tcW w:w="567" w:type="dxa"/>
            <w:tcBorders>
              <w:left w:val="single" w:sz="4" w:space="0" w:color="auto"/>
            </w:tcBorders>
            <w:vAlign w:val="center"/>
          </w:tcPr>
          <w:p w14:paraId="3DCD21DA" w14:textId="77777777" w:rsidR="00A023BD" w:rsidRPr="009B520B" w:rsidRDefault="00A023BD" w:rsidP="00A023BD">
            <w:pPr>
              <w:jc w:val="right"/>
              <w:rPr>
                <w:color w:val="000000"/>
                <w:sz w:val="16"/>
                <w:szCs w:val="16"/>
              </w:rPr>
            </w:pPr>
            <w:r w:rsidRPr="009B520B">
              <w:rPr>
                <w:color w:val="000000"/>
                <w:sz w:val="16"/>
                <w:szCs w:val="16"/>
              </w:rPr>
              <w:t>129</w:t>
            </w:r>
          </w:p>
        </w:tc>
        <w:tc>
          <w:tcPr>
            <w:tcW w:w="709" w:type="dxa"/>
            <w:vAlign w:val="center"/>
          </w:tcPr>
          <w:p w14:paraId="019886C2" w14:textId="77777777" w:rsidR="00A023BD" w:rsidRPr="009B520B" w:rsidRDefault="00A023BD" w:rsidP="00A023BD">
            <w:pPr>
              <w:spacing w:before="20" w:after="20"/>
              <w:jc w:val="right"/>
              <w:rPr>
                <w:color w:val="000000"/>
                <w:sz w:val="16"/>
                <w:szCs w:val="16"/>
              </w:rPr>
            </w:pPr>
            <w:r>
              <w:rPr>
                <w:color w:val="000000"/>
                <w:sz w:val="16"/>
                <w:szCs w:val="16"/>
              </w:rPr>
              <w:t>19.4</w:t>
            </w:r>
          </w:p>
        </w:tc>
        <w:tc>
          <w:tcPr>
            <w:tcW w:w="567" w:type="dxa"/>
            <w:tcBorders>
              <w:left w:val="single" w:sz="4" w:space="0" w:color="auto"/>
            </w:tcBorders>
            <w:vAlign w:val="center"/>
          </w:tcPr>
          <w:p w14:paraId="53767CCB" w14:textId="77777777" w:rsidR="00A023BD" w:rsidRPr="009B520B" w:rsidRDefault="00A023BD" w:rsidP="00A023BD">
            <w:pPr>
              <w:jc w:val="right"/>
              <w:rPr>
                <w:color w:val="000000"/>
                <w:sz w:val="16"/>
                <w:szCs w:val="16"/>
              </w:rPr>
            </w:pPr>
            <w:r w:rsidRPr="009B520B">
              <w:rPr>
                <w:color w:val="000000"/>
                <w:sz w:val="16"/>
                <w:szCs w:val="16"/>
              </w:rPr>
              <w:t>103</w:t>
            </w:r>
          </w:p>
        </w:tc>
        <w:tc>
          <w:tcPr>
            <w:tcW w:w="709" w:type="dxa"/>
            <w:vAlign w:val="center"/>
          </w:tcPr>
          <w:p w14:paraId="039E5A0F" w14:textId="77777777" w:rsidR="00A023BD" w:rsidRPr="00F909A0" w:rsidRDefault="00A023BD" w:rsidP="00A023BD">
            <w:pPr>
              <w:spacing w:before="20" w:after="20"/>
              <w:jc w:val="right"/>
              <w:rPr>
                <w:sz w:val="16"/>
                <w:szCs w:val="16"/>
              </w:rPr>
            </w:pPr>
            <w:r>
              <w:rPr>
                <w:sz w:val="16"/>
                <w:szCs w:val="16"/>
              </w:rPr>
              <w:t>19.0</w:t>
            </w:r>
          </w:p>
        </w:tc>
      </w:tr>
      <w:tr w:rsidR="00A023BD" w:rsidRPr="007B4EF8" w14:paraId="21C046F2" w14:textId="77777777" w:rsidTr="00A023BD">
        <w:tc>
          <w:tcPr>
            <w:tcW w:w="2345" w:type="dxa"/>
            <w:vAlign w:val="bottom"/>
          </w:tcPr>
          <w:p w14:paraId="0B14E382" w14:textId="77777777" w:rsidR="00A023BD" w:rsidRDefault="00A023BD" w:rsidP="00A023BD">
            <w:pPr>
              <w:spacing w:before="20" w:after="20"/>
              <w:rPr>
                <w:color w:val="000000"/>
                <w:sz w:val="16"/>
                <w:szCs w:val="16"/>
              </w:rPr>
            </w:pPr>
          </w:p>
        </w:tc>
        <w:tc>
          <w:tcPr>
            <w:tcW w:w="916" w:type="dxa"/>
            <w:vAlign w:val="center"/>
          </w:tcPr>
          <w:p w14:paraId="3B68B3CA" w14:textId="77777777" w:rsidR="00A023BD" w:rsidRDefault="00A023BD" w:rsidP="00A023BD">
            <w:pPr>
              <w:spacing w:before="20" w:after="20"/>
              <w:rPr>
                <w:color w:val="000000"/>
                <w:sz w:val="16"/>
                <w:szCs w:val="16"/>
              </w:rPr>
            </w:pPr>
            <w:r>
              <w:rPr>
                <w:color w:val="000000"/>
                <w:sz w:val="16"/>
                <w:szCs w:val="16"/>
              </w:rPr>
              <w:t>Pub+Club</w:t>
            </w:r>
          </w:p>
        </w:tc>
        <w:tc>
          <w:tcPr>
            <w:tcW w:w="567" w:type="dxa"/>
            <w:vAlign w:val="center"/>
          </w:tcPr>
          <w:p w14:paraId="3AC623C0" w14:textId="77777777" w:rsidR="00A023BD" w:rsidRPr="009B520B" w:rsidRDefault="00A023BD" w:rsidP="00A023BD">
            <w:pPr>
              <w:jc w:val="right"/>
              <w:rPr>
                <w:color w:val="000000"/>
                <w:sz w:val="16"/>
                <w:szCs w:val="16"/>
              </w:rPr>
            </w:pPr>
            <w:r w:rsidRPr="009B520B">
              <w:rPr>
                <w:color w:val="000000"/>
                <w:sz w:val="16"/>
                <w:szCs w:val="16"/>
              </w:rPr>
              <w:t>855</w:t>
            </w:r>
          </w:p>
        </w:tc>
        <w:tc>
          <w:tcPr>
            <w:tcW w:w="708" w:type="dxa"/>
            <w:vAlign w:val="center"/>
          </w:tcPr>
          <w:p w14:paraId="5E564EA5" w14:textId="77777777" w:rsidR="00A023BD" w:rsidRPr="00F909A0" w:rsidRDefault="00A023BD" w:rsidP="00A023BD">
            <w:pPr>
              <w:spacing w:before="20" w:after="20"/>
              <w:jc w:val="right"/>
              <w:rPr>
                <w:sz w:val="16"/>
                <w:szCs w:val="16"/>
              </w:rPr>
            </w:pPr>
            <w:r>
              <w:rPr>
                <w:sz w:val="16"/>
                <w:szCs w:val="16"/>
              </w:rPr>
              <w:t>60.5</w:t>
            </w:r>
          </w:p>
        </w:tc>
        <w:tc>
          <w:tcPr>
            <w:tcW w:w="567" w:type="dxa"/>
            <w:tcBorders>
              <w:left w:val="single" w:sz="4" w:space="0" w:color="auto"/>
            </w:tcBorders>
            <w:vAlign w:val="center"/>
          </w:tcPr>
          <w:p w14:paraId="3013FE3D" w14:textId="77777777" w:rsidR="00A023BD" w:rsidRPr="009B520B" w:rsidRDefault="00A023BD" w:rsidP="00A023BD">
            <w:pPr>
              <w:jc w:val="right"/>
              <w:rPr>
                <w:color w:val="000000"/>
                <w:sz w:val="16"/>
                <w:szCs w:val="16"/>
              </w:rPr>
            </w:pPr>
            <w:r w:rsidRPr="009B520B">
              <w:rPr>
                <w:color w:val="000000"/>
                <w:sz w:val="16"/>
                <w:szCs w:val="16"/>
              </w:rPr>
              <w:t>406</w:t>
            </w:r>
          </w:p>
        </w:tc>
        <w:tc>
          <w:tcPr>
            <w:tcW w:w="709" w:type="dxa"/>
            <w:vAlign w:val="center"/>
          </w:tcPr>
          <w:p w14:paraId="0A0D2C07" w14:textId="77777777" w:rsidR="00A023BD" w:rsidRPr="009B520B" w:rsidRDefault="00A023BD" w:rsidP="00A023BD">
            <w:pPr>
              <w:spacing w:before="20" w:after="20"/>
              <w:jc w:val="right"/>
              <w:rPr>
                <w:color w:val="000000"/>
                <w:sz w:val="16"/>
                <w:szCs w:val="16"/>
              </w:rPr>
            </w:pPr>
            <w:r>
              <w:rPr>
                <w:color w:val="000000"/>
                <w:sz w:val="16"/>
                <w:szCs w:val="16"/>
              </w:rPr>
              <w:t>62.2</w:t>
            </w:r>
          </w:p>
        </w:tc>
        <w:tc>
          <w:tcPr>
            <w:tcW w:w="567" w:type="dxa"/>
            <w:tcBorders>
              <w:left w:val="single" w:sz="4" w:space="0" w:color="auto"/>
            </w:tcBorders>
            <w:vAlign w:val="center"/>
          </w:tcPr>
          <w:p w14:paraId="365EAF0F" w14:textId="77777777" w:rsidR="00A023BD" w:rsidRPr="009B520B" w:rsidRDefault="00A023BD" w:rsidP="00A023BD">
            <w:pPr>
              <w:jc w:val="right"/>
              <w:rPr>
                <w:color w:val="000000"/>
                <w:sz w:val="16"/>
                <w:szCs w:val="16"/>
              </w:rPr>
            </w:pPr>
            <w:r w:rsidRPr="009B520B">
              <w:rPr>
                <w:color w:val="000000"/>
                <w:sz w:val="16"/>
                <w:szCs w:val="16"/>
              </w:rPr>
              <w:t>326</w:t>
            </w:r>
          </w:p>
        </w:tc>
        <w:tc>
          <w:tcPr>
            <w:tcW w:w="709" w:type="dxa"/>
            <w:vAlign w:val="center"/>
          </w:tcPr>
          <w:p w14:paraId="696E93DC" w14:textId="77777777" w:rsidR="00A023BD" w:rsidRPr="009B520B" w:rsidRDefault="00A023BD" w:rsidP="00A023BD">
            <w:pPr>
              <w:spacing w:before="20" w:after="20"/>
              <w:jc w:val="right"/>
              <w:rPr>
                <w:color w:val="000000"/>
                <w:sz w:val="16"/>
                <w:szCs w:val="16"/>
              </w:rPr>
            </w:pPr>
            <w:r>
              <w:rPr>
                <w:color w:val="000000"/>
                <w:sz w:val="16"/>
                <w:szCs w:val="16"/>
              </w:rPr>
              <w:t>57.8</w:t>
            </w:r>
          </w:p>
        </w:tc>
        <w:tc>
          <w:tcPr>
            <w:tcW w:w="567" w:type="dxa"/>
            <w:tcBorders>
              <w:left w:val="single" w:sz="4" w:space="0" w:color="auto"/>
            </w:tcBorders>
            <w:vAlign w:val="center"/>
          </w:tcPr>
          <w:p w14:paraId="522B4EB7" w14:textId="77777777" w:rsidR="00A023BD" w:rsidRPr="009B520B" w:rsidRDefault="00A023BD" w:rsidP="00A023BD">
            <w:pPr>
              <w:jc w:val="right"/>
              <w:rPr>
                <w:color w:val="000000"/>
                <w:sz w:val="16"/>
                <w:szCs w:val="16"/>
              </w:rPr>
            </w:pPr>
            <w:r w:rsidRPr="009B520B">
              <w:rPr>
                <w:color w:val="000000"/>
                <w:sz w:val="16"/>
                <w:szCs w:val="16"/>
              </w:rPr>
              <w:t>279</w:t>
            </w:r>
          </w:p>
        </w:tc>
        <w:tc>
          <w:tcPr>
            <w:tcW w:w="709" w:type="dxa"/>
            <w:vAlign w:val="center"/>
          </w:tcPr>
          <w:p w14:paraId="62779C9E" w14:textId="77777777" w:rsidR="00A023BD" w:rsidRPr="00F909A0" w:rsidRDefault="00A023BD" w:rsidP="00A023BD">
            <w:pPr>
              <w:spacing w:before="20" w:after="20"/>
              <w:jc w:val="right"/>
              <w:rPr>
                <w:sz w:val="16"/>
                <w:szCs w:val="16"/>
              </w:rPr>
            </w:pPr>
            <w:r>
              <w:rPr>
                <w:sz w:val="16"/>
                <w:szCs w:val="16"/>
              </w:rPr>
              <w:t>58.4</w:t>
            </w:r>
          </w:p>
        </w:tc>
      </w:tr>
      <w:tr w:rsidR="00A023BD" w:rsidRPr="007B4EF8" w14:paraId="4896C0E7" w14:textId="77777777" w:rsidTr="00A023BD">
        <w:tc>
          <w:tcPr>
            <w:tcW w:w="2345" w:type="dxa"/>
            <w:tcBorders>
              <w:bottom w:val="single" w:sz="4" w:space="0" w:color="auto"/>
            </w:tcBorders>
            <w:vAlign w:val="bottom"/>
          </w:tcPr>
          <w:p w14:paraId="686E7AD1" w14:textId="77777777" w:rsidR="00A023BD" w:rsidRDefault="00A023BD" w:rsidP="00A023BD">
            <w:pPr>
              <w:spacing w:before="20" w:after="20"/>
              <w:rPr>
                <w:color w:val="000000"/>
                <w:sz w:val="16"/>
                <w:szCs w:val="16"/>
              </w:rPr>
            </w:pPr>
          </w:p>
        </w:tc>
        <w:tc>
          <w:tcPr>
            <w:tcW w:w="916" w:type="dxa"/>
            <w:tcBorders>
              <w:bottom w:val="single" w:sz="4" w:space="0" w:color="auto"/>
            </w:tcBorders>
            <w:vAlign w:val="center"/>
          </w:tcPr>
          <w:p w14:paraId="716A9A03" w14:textId="77777777" w:rsidR="00A023BD" w:rsidRPr="009B520B" w:rsidRDefault="00A023BD" w:rsidP="00A023BD">
            <w:pPr>
              <w:spacing w:before="20" w:after="20"/>
              <w:rPr>
                <w:i/>
                <w:color w:val="000000"/>
                <w:sz w:val="16"/>
                <w:szCs w:val="16"/>
              </w:rPr>
            </w:pPr>
            <w:r w:rsidRPr="009B520B">
              <w:rPr>
                <w:i/>
                <w:color w:val="000000"/>
                <w:sz w:val="16"/>
                <w:szCs w:val="16"/>
              </w:rPr>
              <w:t>Total</w:t>
            </w:r>
          </w:p>
        </w:tc>
        <w:tc>
          <w:tcPr>
            <w:tcW w:w="567" w:type="dxa"/>
            <w:tcBorders>
              <w:bottom w:val="single" w:sz="4" w:space="0" w:color="auto"/>
            </w:tcBorders>
            <w:vAlign w:val="center"/>
          </w:tcPr>
          <w:p w14:paraId="21A3491F" w14:textId="77777777" w:rsidR="00A023BD" w:rsidRPr="009B520B" w:rsidRDefault="00A023BD" w:rsidP="00A023BD">
            <w:pPr>
              <w:jc w:val="right"/>
              <w:rPr>
                <w:color w:val="000000"/>
                <w:sz w:val="16"/>
                <w:szCs w:val="16"/>
              </w:rPr>
            </w:pPr>
            <w:r w:rsidRPr="009B520B">
              <w:rPr>
                <w:color w:val="000000"/>
                <w:sz w:val="16"/>
                <w:szCs w:val="16"/>
              </w:rPr>
              <w:t>1097</w:t>
            </w:r>
          </w:p>
        </w:tc>
        <w:tc>
          <w:tcPr>
            <w:tcW w:w="708" w:type="dxa"/>
            <w:tcBorders>
              <w:bottom w:val="single" w:sz="4" w:space="0" w:color="auto"/>
            </w:tcBorders>
            <w:vAlign w:val="center"/>
          </w:tcPr>
          <w:p w14:paraId="1038F09F" w14:textId="77777777" w:rsidR="00A023BD" w:rsidRPr="00944BD1" w:rsidRDefault="00A023BD" w:rsidP="00A023BD">
            <w:pPr>
              <w:spacing w:before="20" w:after="20"/>
              <w:jc w:val="right"/>
              <w:rPr>
                <w:i/>
                <w:sz w:val="16"/>
                <w:szCs w:val="16"/>
              </w:rPr>
            </w:pPr>
            <w:r w:rsidRPr="00944BD1">
              <w:rPr>
                <w:i/>
                <w:sz w:val="16"/>
                <w:szCs w:val="16"/>
              </w:rPr>
              <w:t>100</w:t>
            </w:r>
            <w:r>
              <w:rPr>
                <w:i/>
                <w:sz w:val="16"/>
                <w:szCs w:val="16"/>
              </w:rPr>
              <w:t>.0</w:t>
            </w:r>
          </w:p>
        </w:tc>
        <w:tc>
          <w:tcPr>
            <w:tcW w:w="567" w:type="dxa"/>
            <w:tcBorders>
              <w:left w:val="single" w:sz="4" w:space="0" w:color="auto"/>
              <w:bottom w:val="single" w:sz="4" w:space="0" w:color="auto"/>
            </w:tcBorders>
            <w:vAlign w:val="center"/>
          </w:tcPr>
          <w:p w14:paraId="7373CCBD" w14:textId="77777777" w:rsidR="00A023BD" w:rsidRPr="009B520B" w:rsidRDefault="00A023BD" w:rsidP="00A023BD">
            <w:pPr>
              <w:jc w:val="right"/>
              <w:rPr>
                <w:color w:val="000000"/>
                <w:sz w:val="16"/>
                <w:szCs w:val="16"/>
              </w:rPr>
            </w:pPr>
            <w:r w:rsidRPr="009B520B">
              <w:rPr>
                <w:color w:val="000000"/>
                <w:sz w:val="16"/>
                <w:szCs w:val="16"/>
              </w:rPr>
              <w:t>528</w:t>
            </w:r>
          </w:p>
        </w:tc>
        <w:tc>
          <w:tcPr>
            <w:tcW w:w="709" w:type="dxa"/>
            <w:tcBorders>
              <w:bottom w:val="single" w:sz="4" w:space="0" w:color="auto"/>
            </w:tcBorders>
            <w:vAlign w:val="center"/>
          </w:tcPr>
          <w:p w14:paraId="3C826BB7" w14:textId="77777777" w:rsidR="00A023BD" w:rsidRPr="00944BD1" w:rsidRDefault="00A023BD" w:rsidP="00A023BD">
            <w:pPr>
              <w:spacing w:before="20" w:after="20"/>
              <w:jc w:val="right"/>
              <w:rPr>
                <w:i/>
                <w:sz w:val="16"/>
                <w:szCs w:val="16"/>
              </w:rPr>
            </w:pPr>
            <w:r w:rsidRPr="00944BD1">
              <w:rPr>
                <w:i/>
                <w:sz w:val="16"/>
                <w:szCs w:val="16"/>
              </w:rPr>
              <w:t>100</w:t>
            </w:r>
            <w:r>
              <w:rPr>
                <w:i/>
                <w:sz w:val="16"/>
                <w:szCs w:val="16"/>
              </w:rPr>
              <w:t>.0</w:t>
            </w:r>
          </w:p>
        </w:tc>
        <w:tc>
          <w:tcPr>
            <w:tcW w:w="567" w:type="dxa"/>
            <w:tcBorders>
              <w:left w:val="single" w:sz="4" w:space="0" w:color="auto"/>
              <w:bottom w:val="single" w:sz="4" w:space="0" w:color="auto"/>
            </w:tcBorders>
            <w:vAlign w:val="center"/>
          </w:tcPr>
          <w:p w14:paraId="726B2B76" w14:textId="77777777" w:rsidR="00A023BD" w:rsidRPr="009B520B" w:rsidRDefault="00A023BD" w:rsidP="00A023BD">
            <w:pPr>
              <w:jc w:val="right"/>
              <w:rPr>
                <w:color w:val="000000"/>
                <w:sz w:val="16"/>
                <w:szCs w:val="16"/>
              </w:rPr>
            </w:pPr>
            <w:r w:rsidRPr="009B520B">
              <w:rPr>
                <w:color w:val="000000"/>
                <w:sz w:val="16"/>
                <w:szCs w:val="16"/>
              </w:rPr>
              <w:t>424</w:t>
            </w:r>
          </w:p>
        </w:tc>
        <w:tc>
          <w:tcPr>
            <w:tcW w:w="709" w:type="dxa"/>
            <w:tcBorders>
              <w:bottom w:val="single" w:sz="4" w:space="0" w:color="auto"/>
            </w:tcBorders>
            <w:vAlign w:val="center"/>
          </w:tcPr>
          <w:p w14:paraId="146F41DC" w14:textId="77777777" w:rsidR="00A023BD" w:rsidRPr="00944BD1" w:rsidRDefault="00A023BD" w:rsidP="00A023BD">
            <w:pPr>
              <w:spacing w:before="20" w:after="20"/>
              <w:jc w:val="right"/>
              <w:rPr>
                <w:i/>
                <w:sz w:val="16"/>
                <w:szCs w:val="16"/>
              </w:rPr>
            </w:pPr>
            <w:r w:rsidRPr="00944BD1">
              <w:rPr>
                <w:i/>
                <w:sz w:val="16"/>
                <w:szCs w:val="16"/>
              </w:rPr>
              <w:t>100</w:t>
            </w:r>
            <w:r>
              <w:rPr>
                <w:i/>
                <w:sz w:val="16"/>
                <w:szCs w:val="16"/>
              </w:rPr>
              <w:t>.1</w:t>
            </w:r>
          </w:p>
        </w:tc>
        <w:tc>
          <w:tcPr>
            <w:tcW w:w="567" w:type="dxa"/>
            <w:tcBorders>
              <w:left w:val="single" w:sz="4" w:space="0" w:color="auto"/>
              <w:bottom w:val="single" w:sz="4" w:space="0" w:color="auto"/>
            </w:tcBorders>
            <w:vAlign w:val="center"/>
          </w:tcPr>
          <w:p w14:paraId="0B3E4F4B" w14:textId="77777777" w:rsidR="00A023BD" w:rsidRPr="009B520B" w:rsidRDefault="00A023BD" w:rsidP="00A023BD">
            <w:pPr>
              <w:jc w:val="right"/>
              <w:rPr>
                <w:color w:val="000000"/>
                <w:sz w:val="16"/>
                <w:szCs w:val="16"/>
              </w:rPr>
            </w:pPr>
            <w:r w:rsidRPr="009B520B">
              <w:rPr>
                <w:color w:val="000000"/>
                <w:sz w:val="16"/>
                <w:szCs w:val="16"/>
              </w:rPr>
              <w:t>353</w:t>
            </w:r>
          </w:p>
        </w:tc>
        <w:tc>
          <w:tcPr>
            <w:tcW w:w="709" w:type="dxa"/>
            <w:tcBorders>
              <w:bottom w:val="single" w:sz="4" w:space="0" w:color="auto"/>
            </w:tcBorders>
            <w:vAlign w:val="center"/>
          </w:tcPr>
          <w:p w14:paraId="7074B6D3" w14:textId="77777777" w:rsidR="00A023BD" w:rsidRPr="00944BD1" w:rsidRDefault="00A023BD" w:rsidP="00A023BD">
            <w:pPr>
              <w:spacing w:before="20" w:after="20"/>
              <w:jc w:val="right"/>
              <w:rPr>
                <w:i/>
                <w:sz w:val="16"/>
                <w:szCs w:val="16"/>
              </w:rPr>
            </w:pPr>
            <w:r w:rsidRPr="00944BD1">
              <w:rPr>
                <w:i/>
                <w:sz w:val="16"/>
                <w:szCs w:val="16"/>
              </w:rPr>
              <w:t>100</w:t>
            </w:r>
            <w:r>
              <w:rPr>
                <w:i/>
                <w:sz w:val="16"/>
                <w:szCs w:val="16"/>
              </w:rPr>
              <w:t>.0</w:t>
            </w:r>
          </w:p>
        </w:tc>
      </w:tr>
    </w:tbl>
    <w:p w14:paraId="5A732852" w14:textId="77777777" w:rsidR="00A023BD" w:rsidRPr="000F1B26" w:rsidRDefault="00A023BD" w:rsidP="00A023BD">
      <w:pPr>
        <w:pStyle w:val="RepNormal"/>
        <w:rPr>
          <w:sz w:val="16"/>
        </w:rPr>
      </w:pPr>
      <w:r w:rsidRPr="000F1B26">
        <w:rPr>
          <w:sz w:val="16"/>
        </w:rPr>
        <w:t>Percentages do not always add to 100% due to rounding</w:t>
      </w:r>
    </w:p>
    <w:p w14:paraId="0EDEB9CB" w14:textId="77777777" w:rsidR="00A023BD" w:rsidRDefault="00A023BD" w:rsidP="00A023BD">
      <w:pPr>
        <w:pStyle w:val="RepNormal"/>
      </w:pPr>
    </w:p>
    <w:p w14:paraId="118A58B8" w14:textId="77777777" w:rsidR="00A023BD" w:rsidRDefault="00A023BD" w:rsidP="00A023BD">
      <w:pPr>
        <w:pStyle w:val="RepNormal"/>
      </w:pPr>
    </w:p>
    <w:p w14:paraId="037A58A0" w14:textId="77777777" w:rsidR="00A023BD" w:rsidRDefault="00A023BD" w:rsidP="00A023BD">
      <w:pPr>
        <w:pStyle w:val="RepHead3"/>
      </w:pPr>
      <w:bookmarkStart w:id="99" w:name="_Ref496705933"/>
      <w:bookmarkStart w:id="100" w:name="_Toc504488363"/>
      <w:r>
        <w:t>Typical monthly Class 4 expenditure by selected demographics</w:t>
      </w:r>
      <w:bookmarkEnd w:id="99"/>
      <w:bookmarkEnd w:id="100"/>
    </w:p>
    <w:p w14:paraId="07A69412" w14:textId="77777777" w:rsidR="00A023BD" w:rsidRDefault="00A023BD" w:rsidP="00A023BD">
      <w:pPr>
        <w:pStyle w:val="RepNormal"/>
        <w:keepNext/>
      </w:pPr>
    </w:p>
    <w:p w14:paraId="1C8B34E2" w14:textId="77777777" w:rsidR="00A023BD" w:rsidRDefault="00A023BD" w:rsidP="00A023BD">
      <w:pPr>
        <w:pStyle w:val="RepNormal"/>
        <w:keepNext/>
      </w:pPr>
      <w:r>
        <w:t>Data are presented in Appendix 2</w:t>
      </w:r>
      <w:r w:rsidR="003D7BB5">
        <w:t>1</w:t>
      </w:r>
      <w:r>
        <w:t>.</w:t>
      </w:r>
    </w:p>
    <w:p w14:paraId="23787A60" w14:textId="77777777" w:rsidR="00A023BD" w:rsidRDefault="00A023BD" w:rsidP="00A023BD">
      <w:pPr>
        <w:pStyle w:val="RepNormal"/>
        <w:keepNext/>
      </w:pPr>
    </w:p>
    <w:p w14:paraId="5FFB7829" w14:textId="77777777" w:rsidR="00A023BD" w:rsidRDefault="00A023BD" w:rsidP="00A023BD">
      <w:pPr>
        <w:pStyle w:val="RepNormal"/>
        <w:keepNext/>
      </w:pPr>
      <w:r>
        <w:t>In Wave 4, median typical monthly expenditure on Class 4 (pub and club EGM) gambling was similar between males and females at $18.  This was fairly stable across Waves 1 to 4.</w:t>
      </w:r>
    </w:p>
    <w:p w14:paraId="4D3D9B14" w14:textId="77777777" w:rsidR="00A023BD" w:rsidRDefault="00A023BD" w:rsidP="00A023BD">
      <w:pPr>
        <w:pStyle w:val="RepNormal"/>
      </w:pPr>
    </w:p>
    <w:p w14:paraId="4F733478" w14:textId="77777777" w:rsidR="00A023BD" w:rsidRDefault="00A023BD" w:rsidP="00A023BD">
      <w:pPr>
        <w:pStyle w:val="RepNormal"/>
      </w:pPr>
      <w:r>
        <w:t>Expenditure by age group varied across the waves.  In Wave 1 and Wave 3, the lowest median expenditure was by participants aged 18 to 24 years who spent less than $10 per month; however, in Wave 4 participants aged 35 to 44 years spent less than $10.  Monthly expenditure for the other age groups across the waves was between $12 and $24.  There were no apparent expenditure trends by ethnicity with median monthly amounts varying from $13 to $27.</w:t>
      </w:r>
    </w:p>
    <w:p w14:paraId="11B0B025" w14:textId="77777777" w:rsidR="00BA7B09" w:rsidRDefault="00BA7B09" w:rsidP="00A023BD">
      <w:pPr>
        <w:pStyle w:val="RepNormal"/>
      </w:pPr>
    </w:p>
    <w:p w14:paraId="42623908" w14:textId="77777777" w:rsidR="00A023BD" w:rsidRDefault="00A023BD" w:rsidP="00A023BD">
      <w:pPr>
        <w:pStyle w:val="RepNormal"/>
      </w:pPr>
      <w:r>
        <w:t>Recent migrants who had arrived in New Zealand since 2008 had the lowest median monthly expenditure ($5 to $12) on Class 4 gambling in all waves apart from Wave 3 when it was the highest ($20); this latter finding may be an anomaly due to the small sample size.  For less recent migrants (arrived before 2008), median expenditure varied between $14 and $19, with similar amounts recorded for New Zealand born participants ($17 to $19).</w:t>
      </w:r>
    </w:p>
    <w:p w14:paraId="4D32CD95" w14:textId="77777777" w:rsidR="00A023BD" w:rsidRDefault="00A023BD" w:rsidP="00A023BD">
      <w:pPr>
        <w:pStyle w:val="RepNormal"/>
      </w:pPr>
    </w:p>
    <w:p w14:paraId="3105B9A0" w14:textId="77777777" w:rsidR="00A023BD" w:rsidRDefault="00A023BD" w:rsidP="00A023BD">
      <w:pPr>
        <w:pStyle w:val="RepNormal"/>
      </w:pPr>
      <w:r>
        <w:t>There were no apparent expenditure trends across the waves by area of residence with median values ranging from $14 to $20, apart from participants residing in Auckland in Wave 4 when the median expenditure was $33.</w:t>
      </w:r>
    </w:p>
    <w:p w14:paraId="43AF0990" w14:textId="77777777" w:rsidR="00A023BD" w:rsidRDefault="00A023BD" w:rsidP="00A023BD">
      <w:pPr>
        <w:pStyle w:val="RepNormal"/>
      </w:pPr>
    </w:p>
    <w:p w14:paraId="2D0EBC5F" w14:textId="2002DC48" w:rsidR="00A023BD" w:rsidRDefault="00A023BD" w:rsidP="00A023BD">
      <w:pPr>
        <w:pStyle w:val="RepNormal"/>
      </w:pPr>
      <w:r w:rsidRPr="00F60109">
        <w:t xml:space="preserve">In all cases the expenditure range was </w:t>
      </w:r>
      <w:r w:rsidR="009043E9" w:rsidRPr="00F60109">
        <w:t>large</w:t>
      </w:r>
      <w:r w:rsidRPr="00F60109">
        <w:t>.  Generally, min</w:t>
      </w:r>
      <w:r w:rsidR="009043E9" w:rsidRPr="00F60109">
        <w:t>imum monthly expenditure was</w:t>
      </w:r>
      <w:r w:rsidR="009043E9">
        <w:t xml:space="preserve"> $1 </w:t>
      </w:r>
      <w:r>
        <w:t xml:space="preserve">to $2.  The exception was for recent migrants with minimum expenditure of $5 to $20 across the </w:t>
      </w:r>
      <w:r w:rsidRPr="00317B90">
        <w:t>waves.</w:t>
      </w:r>
      <w:r>
        <w:t xml:space="preserve">  Maximum monthly expenditure varied up to $4,500.  The lowest maximum expenditure was again for recent migrants ($250 in Wave 1).</w:t>
      </w:r>
    </w:p>
    <w:p w14:paraId="295D40EF" w14:textId="77777777" w:rsidR="00A023BD" w:rsidRDefault="00A023BD" w:rsidP="007C46D2">
      <w:pPr>
        <w:pStyle w:val="RepNormal"/>
      </w:pPr>
    </w:p>
    <w:p w14:paraId="7990E20B" w14:textId="77777777" w:rsidR="0046000D" w:rsidRPr="005F02B6" w:rsidRDefault="000F3D96" w:rsidP="00C873C1">
      <w:pPr>
        <w:pStyle w:val="RepHead2"/>
      </w:pPr>
      <w:bookmarkStart w:id="101" w:name="_Ref473033268"/>
      <w:bookmarkStart w:id="102" w:name="_Toc504488364"/>
      <w:r>
        <w:t>Gambling risk trends</w:t>
      </w:r>
      <w:bookmarkEnd w:id="101"/>
      <w:bookmarkEnd w:id="102"/>
    </w:p>
    <w:p w14:paraId="463CBC4D" w14:textId="77777777" w:rsidR="0046000D" w:rsidRPr="00D2168E" w:rsidRDefault="0046000D" w:rsidP="00C873C1">
      <w:pPr>
        <w:pStyle w:val="RepNormal"/>
        <w:keepNext/>
      </w:pPr>
    </w:p>
    <w:p w14:paraId="2310BD00" w14:textId="77777777" w:rsidR="00D2168E" w:rsidRDefault="00D2168E" w:rsidP="00C873C1">
      <w:pPr>
        <w:pStyle w:val="RepNormal"/>
        <w:keepNext/>
      </w:pPr>
      <w:r w:rsidRPr="003511F6">
        <w:t xml:space="preserve">This section details </w:t>
      </w:r>
      <w:r w:rsidR="000A72EA" w:rsidRPr="003511F6">
        <w:t xml:space="preserve">Wave 1 to Wave 4 </w:t>
      </w:r>
      <w:r w:rsidR="004F007F" w:rsidRPr="003511F6">
        <w:t xml:space="preserve">gambling risk </w:t>
      </w:r>
      <w:r w:rsidR="000A72EA" w:rsidRPr="003511F6">
        <w:t>trends</w:t>
      </w:r>
      <w:r w:rsidR="004F007F" w:rsidRPr="003511F6">
        <w:t xml:space="preserve"> </w:t>
      </w:r>
      <w:r w:rsidR="00422F08" w:rsidRPr="003511F6">
        <w:t xml:space="preserve">(section </w:t>
      </w:r>
      <w:r w:rsidR="00422F08" w:rsidRPr="003511F6">
        <w:fldChar w:fldCharType="begin"/>
      </w:r>
      <w:r w:rsidR="00422F08" w:rsidRPr="003511F6">
        <w:instrText xml:space="preserve"> REF _Ref470091221 \r \h </w:instrText>
      </w:r>
      <w:r w:rsidR="003511F6">
        <w:instrText xml:space="preserve"> \* MERGEFORMAT </w:instrText>
      </w:r>
      <w:r w:rsidR="00422F08" w:rsidRPr="003511F6">
        <w:fldChar w:fldCharType="separate"/>
      </w:r>
      <w:r w:rsidR="00D5752E">
        <w:t>4.5.1</w:t>
      </w:r>
      <w:r w:rsidR="00422F08" w:rsidRPr="003511F6">
        <w:fldChar w:fldCharType="end"/>
      </w:r>
      <w:r w:rsidR="00422F08" w:rsidRPr="003511F6">
        <w:t>)</w:t>
      </w:r>
      <w:r w:rsidR="000A72EA" w:rsidRPr="003511F6">
        <w:t>,</w:t>
      </w:r>
      <w:r w:rsidR="00422F08" w:rsidRPr="003511F6">
        <w:t xml:space="preserve"> gambling risk </w:t>
      </w:r>
      <w:r w:rsidR="000A72EA" w:rsidRPr="003511F6">
        <w:t>levels</w:t>
      </w:r>
      <w:r w:rsidR="004F007F" w:rsidRPr="003511F6">
        <w:t xml:space="preserve"> </w:t>
      </w:r>
      <w:r w:rsidR="000A72EA" w:rsidRPr="003511F6">
        <w:t>by</w:t>
      </w:r>
      <w:r w:rsidR="00CD1F83">
        <w:t xml:space="preserve"> socio</w:t>
      </w:r>
      <w:r w:rsidR="004F007F" w:rsidRPr="003511F6">
        <w:t xml:space="preserve">demographic variables (section </w:t>
      </w:r>
      <w:r w:rsidR="00422F08" w:rsidRPr="003511F6">
        <w:fldChar w:fldCharType="begin"/>
      </w:r>
      <w:r w:rsidR="00422F08" w:rsidRPr="003511F6">
        <w:instrText xml:space="preserve"> REF _Ref470091258 \r \h </w:instrText>
      </w:r>
      <w:r w:rsidR="003511F6">
        <w:instrText xml:space="preserve"> \* MERGEFORMAT </w:instrText>
      </w:r>
      <w:r w:rsidR="00422F08" w:rsidRPr="003511F6">
        <w:fldChar w:fldCharType="separate"/>
      </w:r>
      <w:r w:rsidR="00D5752E">
        <w:t>4.5.2</w:t>
      </w:r>
      <w:r w:rsidR="00422F08" w:rsidRPr="003511F6">
        <w:fldChar w:fldCharType="end"/>
      </w:r>
      <w:r w:rsidR="004F007F" w:rsidRPr="003511F6">
        <w:t xml:space="preserve">), </w:t>
      </w:r>
      <w:r w:rsidR="00B07458" w:rsidRPr="003511F6">
        <w:t xml:space="preserve">gambling risk levels by gambling behaviour (section </w:t>
      </w:r>
      <w:r w:rsidR="00B07458" w:rsidRPr="003511F6">
        <w:fldChar w:fldCharType="begin"/>
      </w:r>
      <w:r w:rsidR="00B07458" w:rsidRPr="003511F6">
        <w:instrText xml:space="preserve"> REF _Ref470186191 \r \h </w:instrText>
      </w:r>
      <w:r w:rsidR="003511F6">
        <w:instrText xml:space="preserve"> \* MERGEFORMAT </w:instrText>
      </w:r>
      <w:r w:rsidR="00B07458" w:rsidRPr="003511F6">
        <w:fldChar w:fldCharType="separate"/>
      </w:r>
      <w:r w:rsidR="00D5752E">
        <w:t>4.5.3</w:t>
      </w:r>
      <w:r w:rsidR="00B07458" w:rsidRPr="003511F6">
        <w:fldChar w:fldCharType="end"/>
      </w:r>
      <w:r w:rsidR="00B07458" w:rsidRPr="003511F6">
        <w:t>), gambling risk levels by methods used to stop gambling too much and help-</w:t>
      </w:r>
      <w:r w:rsidR="00B07458">
        <w:t xml:space="preserve">seeking behaviour (section </w:t>
      </w:r>
      <w:r w:rsidR="00B07458">
        <w:fldChar w:fldCharType="begin"/>
      </w:r>
      <w:r w:rsidR="00B07458">
        <w:instrText xml:space="preserve"> REF _Ref470186247 \r \h </w:instrText>
      </w:r>
      <w:r w:rsidR="00B07458">
        <w:fldChar w:fldCharType="separate"/>
      </w:r>
      <w:r w:rsidR="00D5752E">
        <w:t>4.5.5</w:t>
      </w:r>
      <w:r w:rsidR="00B07458">
        <w:fldChar w:fldCharType="end"/>
      </w:r>
      <w:r w:rsidR="00B07458">
        <w:t>)</w:t>
      </w:r>
      <w:r w:rsidR="00887110">
        <w:t>,</w:t>
      </w:r>
      <w:r w:rsidR="00B07458">
        <w:t xml:space="preserve"> and gambling risk levels by </w:t>
      </w:r>
      <w:r w:rsidR="00887110">
        <w:t>major</w:t>
      </w:r>
      <w:r w:rsidR="00B07458">
        <w:t xml:space="preserve"> life events experienced and psychological distress (section </w:t>
      </w:r>
      <w:r w:rsidR="00BA7B09">
        <w:fldChar w:fldCharType="begin"/>
      </w:r>
      <w:r w:rsidR="00BA7B09">
        <w:instrText xml:space="preserve"> REF _Ref495668654 \r \h </w:instrText>
      </w:r>
      <w:r w:rsidR="00BA7B09">
        <w:fldChar w:fldCharType="separate"/>
      </w:r>
      <w:r w:rsidR="00D5752E">
        <w:t>4.5.6</w:t>
      </w:r>
      <w:r w:rsidR="00BA7B09">
        <w:fldChar w:fldCharType="end"/>
      </w:r>
      <w:r w:rsidR="00B07458">
        <w:t>).</w:t>
      </w:r>
    </w:p>
    <w:p w14:paraId="542F7979" w14:textId="77777777" w:rsidR="00B7429B" w:rsidRDefault="00B7429B" w:rsidP="008E05BA">
      <w:pPr>
        <w:pStyle w:val="RepNormal"/>
      </w:pPr>
    </w:p>
    <w:p w14:paraId="3C53F3F2" w14:textId="77777777" w:rsidR="00B7429B" w:rsidRDefault="00B7429B" w:rsidP="008E05BA">
      <w:pPr>
        <w:pStyle w:val="RepNormal"/>
      </w:pPr>
    </w:p>
    <w:p w14:paraId="7BC24E59" w14:textId="77777777" w:rsidR="00422F08" w:rsidRPr="00084361" w:rsidRDefault="00422F08" w:rsidP="00152900">
      <w:pPr>
        <w:pStyle w:val="RepHead3"/>
      </w:pPr>
      <w:bookmarkStart w:id="103" w:name="_Ref469924244"/>
      <w:bookmarkStart w:id="104" w:name="_Ref470091221"/>
      <w:bookmarkStart w:id="105" w:name="_Toc504488365"/>
      <w:r>
        <w:t>Gambling</w:t>
      </w:r>
      <w:bookmarkEnd w:id="103"/>
      <w:r>
        <w:t xml:space="preserve"> risk</w:t>
      </w:r>
      <w:bookmarkEnd w:id="104"/>
      <w:bookmarkEnd w:id="105"/>
    </w:p>
    <w:p w14:paraId="68449874" w14:textId="77777777" w:rsidR="00422F08" w:rsidRDefault="00422F08" w:rsidP="00152900">
      <w:pPr>
        <w:pStyle w:val="RepNormal"/>
        <w:keepNext/>
        <w:keepLines/>
      </w:pPr>
    </w:p>
    <w:p w14:paraId="2A99782D" w14:textId="77777777" w:rsidR="00422F08" w:rsidRDefault="00422F08" w:rsidP="00152900">
      <w:pPr>
        <w:pStyle w:val="RepNormal"/>
        <w:keepNext/>
        <w:keepLines/>
      </w:pPr>
      <w:r>
        <w:t>Gambling risk was assessed via the Problem Gambling Severity Index (PGSI) (</w:t>
      </w:r>
      <w:r>
        <w:fldChar w:fldCharType="begin"/>
      </w:r>
      <w:r>
        <w:instrText xml:space="preserve"> REF _Ref469926671 \h </w:instrText>
      </w:r>
      <w:r>
        <w:fldChar w:fldCharType="separate"/>
      </w:r>
      <w:r w:rsidR="00D5752E">
        <w:t xml:space="preserve">Table </w:t>
      </w:r>
      <w:r w:rsidR="00D5752E">
        <w:rPr>
          <w:noProof/>
        </w:rPr>
        <w:t>10</w:t>
      </w:r>
      <w:r>
        <w:fldChar w:fldCharType="end"/>
      </w:r>
      <w:r>
        <w:t xml:space="preserve">).  </w:t>
      </w:r>
      <w:r w:rsidR="00AB77E4">
        <w:t>In Wave 4, 0.2% of participants were problem gamblers, 1.8% we</w:t>
      </w:r>
      <w:r w:rsidR="00887110">
        <w:t>re moderate-risk gamblers, 4.6% </w:t>
      </w:r>
      <w:r w:rsidR="00AB77E4">
        <w:t xml:space="preserve">were low-risk gamblers and 68% were non-problem gamblers.  Twenty-five percent had not gambled in the prior 12 months.  </w:t>
      </w:r>
      <w:r>
        <w:t xml:space="preserve">In Wave 4, there was an increase in the proportion of participants who had not gambled in the past year (25%) compared with Wave 1 (20%).  There was a slight decrease in the proportion of non-problem gamblers from </w:t>
      </w:r>
      <w:r w:rsidR="00887110">
        <w:t>Wave 1 (73%) to Wave </w:t>
      </w:r>
      <w:r>
        <w:t>4 (68%).</w:t>
      </w:r>
    </w:p>
    <w:p w14:paraId="5CA42E9D" w14:textId="77777777" w:rsidR="00422F08" w:rsidRDefault="00422F08" w:rsidP="00422F08">
      <w:pPr>
        <w:pStyle w:val="RepNormal"/>
      </w:pPr>
    </w:p>
    <w:p w14:paraId="219D15D4" w14:textId="77777777" w:rsidR="00422F08" w:rsidRDefault="00422F08" w:rsidP="00A023BD">
      <w:pPr>
        <w:pStyle w:val="Caption"/>
        <w:keepNext/>
        <w:ind w:left="-567"/>
        <w:jc w:val="both"/>
        <w:rPr>
          <w:szCs w:val="22"/>
        </w:rPr>
      </w:pPr>
      <w:bookmarkStart w:id="106" w:name="_Ref469926671"/>
      <w:bookmarkStart w:id="107" w:name="_Toc504488435"/>
      <w:r>
        <w:t xml:space="preserve">Table </w:t>
      </w:r>
      <w:r w:rsidR="00D5752E">
        <w:fldChar w:fldCharType="begin"/>
      </w:r>
      <w:r w:rsidR="00D5752E">
        <w:instrText xml:space="preserve"> SEQ Table \* ARABIC </w:instrText>
      </w:r>
      <w:r w:rsidR="00D5752E">
        <w:fldChar w:fldCharType="separate"/>
      </w:r>
      <w:r w:rsidR="00D5752E">
        <w:rPr>
          <w:noProof/>
        </w:rPr>
        <w:t>10</w:t>
      </w:r>
      <w:r w:rsidR="00D5752E">
        <w:rPr>
          <w:noProof/>
        </w:rPr>
        <w:fldChar w:fldCharType="end"/>
      </w:r>
      <w:bookmarkEnd w:id="106"/>
      <w:r>
        <w:t xml:space="preserve">: </w:t>
      </w:r>
      <w:r w:rsidR="00315163">
        <w:t>G</w:t>
      </w:r>
      <w:r>
        <w:t>ambling risk in Waves 1, 2, 3 and 4</w:t>
      </w:r>
      <w:bookmarkEnd w:id="107"/>
    </w:p>
    <w:tbl>
      <w:tblPr>
        <w:tblStyle w:val="LightShading4"/>
        <w:tblW w:w="9356" w:type="dxa"/>
        <w:jc w:val="center"/>
        <w:tblLayout w:type="fixed"/>
        <w:tblLook w:val="06A0" w:firstRow="1" w:lastRow="0" w:firstColumn="1" w:lastColumn="0" w:noHBand="1" w:noVBand="1"/>
      </w:tblPr>
      <w:tblGrid>
        <w:gridCol w:w="1146"/>
        <w:gridCol w:w="536"/>
        <w:gridCol w:w="496"/>
        <w:gridCol w:w="963"/>
        <w:gridCol w:w="536"/>
        <w:gridCol w:w="496"/>
        <w:gridCol w:w="963"/>
        <w:gridCol w:w="536"/>
        <w:gridCol w:w="496"/>
        <w:gridCol w:w="1062"/>
        <w:gridCol w:w="567"/>
        <w:gridCol w:w="567"/>
        <w:gridCol w:w="992"/>
      </w:tblGrid>
      <w:tr w:rsidR="00422F08" w:rsidRPr="00AB3B09" w14:paraId="3DFDC1F5" w14:textId="77777777" w:rsidTr="00593AE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46" w:type="dxa"/>
            <w:vMerge w:val="restart"/>
            <w:tcBorders>
              <w:bottom w:val="single" w:sz="4" w:space="0" w:color="auto"/>
            </w:tcBorders>
            <w:vAlign w:val="bottom"/>
            <w:hideMark/>
          </w:tcPr>
          <w:p w14:paraId="225B22DC" w14:textId="77777777" w:rsidR="00422F08" w:rsidRPr="00AB3B09" w:rsidRDefault="00422F08" w:rsidP="00A023BD">
            <w:pPr>
              <w:keepNext/>
              <w:spacing w:before="20" w:after="20"/>
              <w:rPr>
                <w:rFonts w:eastAsiaTheme="minorEastAsia"/>
                <w:sz w:val="16"/>
                <w:szCs w:val="18"/>
                <w:lang w:eastAsia="en-US"/>
              </w:rPr>
            </w:pPr>
            <w:r>
              <w:rPr>
                <w:rFonts w:eastAsiaTheme="minorEastAsia"/>
                <w:sz w:val="16"/>
                <w:szCs w:val="18"/>
              </w:rPr>
              <w:t>Gambling risk level</w:t>
            </w:r>
          </w:p>
        </w:tc>
        <w:tc>
          <w:tcPr>
            <w:tcW w:w="1995" w:type="dxa"/>
            <w:gridSpan w:val="3"/>
            <w:tcBorders>
              <w:bottom w:val="single" w:sz="4" w:space="0" w:color="auto"/>
              <w:right w:val="single" w:sz="4" w:space="0" w:color="auto"/>
            </w:tcBorders>
            <w:noWrap/>
            <w:vAlign w:val="center"/>
            <w:hideMark/>
          </w:tcPr>
          <w:p w14:paraId="1D551848" w14:textId="77777777" w:rsidR="00422F08" w:rsidRPr="00AB3B09" w:rsidRDefault="00422F08" w:rsidP="00A023BD">
            <w:pPr>
              <w:keepNext/>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6"/>
                <w:szCs w:val="18"/>
                <w:lang w:eastAsia="en-US"/>
              </w:rPr>
            </w:pPr>
            <w:r w:rsidRPr="00AB3B09">
              <w:rPr>
                <w:rFonts w:eastAsiaTheme="minorEastAsia"/>
                <w:sz w:val="16"/>
                <w:szCs w:val="18"/>
              </w:rPr>
              <w:t>Wave 1</w:t>
            </w:r>
          </w:p>
        </w:tc>
        <w:tc>
          <w:tcPr>
            <w:tcW w:w="1995" w:type="dxa"/>
            <w:gridSpan w:val="3"/>
            <w:tcBorders>
              <w:left w:val="single" w:sz="4" w:space="0" w:color="auto"/>
              <w:bottom w:val="single" w:sz="4" w:space="0" w:color="auto"/>
            </w:tcBorders>
            <w:vAlign w:val="center"/>
          </w:tcPr>
          <w:p w14:paraId="64914B22" w14:textId="77777777" w:rsidR="00422F08" w:rsidRPr="00AB3B09" w:rsidRDefault="00422F08" w:rsidP="00A023BD">
            <w:pPr>
              <w:keepNext/>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Wave 2</w:t>
            </w:r>
          </w:p>
        </w:tc>
        <w:tc>
          <w:tcPr>
            <w:tcW w:w="2094" w:type="dxa"/>
            <w:gridSpan w:val="3"/>
            <w:tcBorders>
              <w:left w:val="single" w:sz="4" w:space="0" w:color="auto"/>
              <w:bottom w:val="single" w:sz="4" w:space="0" w:color="auto"/>
            </w:tcBorders>
          </w:tcPr>
          <w:p w14:paraId="34FC5468" w14:textId="77777777" w:rsidR="00422F08" w:rsidRPr="00AB3B09" w:rsidRDefault="00422F08" w:rsidP="00A023BD">
            <w:pPr>
              <w:keepNext/>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Wave 3</w:t>
            </w:r>
          </w:p>
        </w:tc>
        <w:tc>
          <w:tcPr>
            <w:tcW w:w="2126" w:type="dxa"/>
            <w:gridSpan w:val="3"/>
            <w:tcBorders>
              <w:left w:val="single" w:sz="4" w:space="0" w:color="auto"/>
              <w:bottom w:val="single" w:sz="4" w:space="0" w:color="auto"/>
            </w:tcBorders>
          </w:tcPr>
          <w:p w14:paraId="4F3EF9B0" w14:textId="77777777" w:rsidR="00422F08" w:rsidRPr="00AB3B09" w:rsidRDefault="00422F08" w:rsidP="00A023BD">
            <w:pPr>
              <w:keepNext/>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Wave 4</w:t>
            </w:r>
          </w:p>
        </w:tc>
      </w:tr>
      <w:tr w:rsidR="00422F08" w:rsidRPr="00AB3B09" w14:paraId="125B1C97" w14:textId="77777777" w:rsidTr="00593AE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46" w:type="dxa"/>
            <w:vMerge/>
            <w:tcBorders>
              <w:bottom w:val="single" w:sz="4" w:space="0" w:color="auto"/>
            </w:tcBorders>
            <w:vAlign w:val="center"/>
            <w:hideMark/>
          </w:tcPr>
          <w:p w14:paraId="4B06B8DB" w14:textId="77777777" w:rsidR="00422F08" w:rsidRPr="00AB3B09" w:rsidRDefault="00422F08" w:rsidP="00A023BD">
            <w:pPr>
              <w:keepNext/>
              <w:spacing w:before="20" w:after="20"/>
              <w:rPr>
                <w:rFonts w:eastAsiaTheme="minorEastAsia"/>
                <w:sz w:val="16"/>
                <w:szCs w:val="18"/>
                <w:lang w:eastAsia="en-US"/>
              </w:rPr>
            </w:pPr>
          </w:p>
        </w:tc>
        <w:tc>
          <w:tcPr>
            <w:tcW w:w="536" w:type="dxa"/>
            <w:tcBorders>
              <w:top w:val="single" w:sz="4" w:space="0" w:color="auto"/>
              <w:bottom w:val="single" w:sz="4" w:space="0" w:color="auto"/>
            </w:tcBorders>
            <w:noWrap/>
            <w:vAlign w:val="center"/>
            <w:hideMark/>
          </w:tcPr>
          <w:p w14:paraId="5BEE9621" w14:textId="77777777" w:rsidR="00422F08" w:rsidRPr="00AB3B09" w:rsidRDefault="00422F08" w:rsidP="00A023BD">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8"/>
                <w:lang w:eastAsia="en-US"/>
              </w:rPr>
            </w:pPr>
            <w:r w:rsidRPr="00AB3B09">
              <w:rPr>
                <w:rFonts w:eastAsiaTheme="minorEastAsia"/>
                <w:sz w:val="16"/>
                <w:szCs w:val="18"/>
              </w:rPr>
              <w:t>n</w:t>
            </w:r>
          </w:p>
        </w:tc>
        <w:tc>
          <w:tcPr>
            <w:tcW w:w="496" w:type="dxa"/>
            <w:tcBorders>
              <w:top w:val="single" w:sz="4" w:space="0" w:color="auto"/>
              <w:bottom w:val="single" w:sz="4" w:space="0" w:color="auto"/>
            </w:tcBorders>
            <w:noWrap/>
            <w:vAlign w:val="center"/>
            <w:hideMark/>
          </w:tcPr>
          <w:p w14:paraId="6B025165" w14:textId="77777777" w:rsidR="00422F08" w:rsidRPr="00AB3B09" w:rsidRDefault="00422F08" w:rsidP="00A023BD">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8"/>
                <w:lang w:eastAsia="en-US"/>
              </w:rPr>
            </w:pPr>
            <w:r w:rsidRPr="00AB3B09">
              <w:rPr>
                <w:rFonts w:eastAsiaTheme="minorEastAsia"/>
                <w:sz w:val="16"/>
                <w:szCs w:val="18"/>
              </w:rPr>
              <w:t>%</w:t>
            </w:r>
          </w:p>
        </w:tc>
        <w:tc>
          <w:tcPr>
            <w:tcW w:w="963" w:type="dxa"/>
            <w:tcBorders>
              <w:top w:val="single" w:sz="4" w:space="0" w:color="auto"/>
              <w:bottom w:val="single" w:sz="4" w:space="0" w:color="auto"/>
              <w:right w:val="single" w:sz="4" w:space="0" w:color="auto"/>
            </w:tcBorders>
            <w:noWrap/>
            <w:vAlign w:val="center"/>
          </w:tcPr>
          <w:p w14:paraId="52F96EA0" w14:textId="77777777" w:rsidR="00422F08" w:rsidRPr="00AB3B09" w:rsidRDefault="00422F08" w:rsidP="00A023BD">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8"/>
                <w:lang w:eastAsia="en-US"/>
              </w:rPr>
            </w:pPr>
            <w:r w:rsidRPr="00AB3B09">
              <w:rPr>
                <w:rFonts w:eastAsiaTheme="minorEastAsia"/>
                <w:sz w:val="16"/>
                <w:szCs w:val="18"/>
                <w:lang w:eastAsia="en-US"/>
              </w:rPr>
              <w:t>(95% CI)</w:t>
            </w:r>
          </w:p>
        </w:tc>
        <w:tc>
          <w:tcPr>
            <w:tcW w:w="536" w:type="dxa"/>
            <w:tcBorders>
              <w:top w:val="single" w:sz="4" w:space="0" w:color="auto"/>
              <w:left w:val="single" w:sz="4" w:space="0" w:color="auto"/>
              <w:bottom w:val="single" w:sz="4" w:space="0" w:color="auto"/>
            </w:tcBorders>
            <w:noWrap/>
            <w:vAlign w:val="center"/>
          </w:tcPr>
          <w:p w14:paraId="4615CF5C" w14:textId="77777777" w:rsidR="00422F08" w:rsidRPr="00AB3B09" w:rsidRDefault="00422F08" w:rsidP="00A023BD">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8"/>
                <w:lang w:eastAsia="en-US"/>
              </w:rPr>
            </w:pPr>
            <w:r w:rsidRPr="00AB3B09">
              <w:rPr>
                <w:rFonts w:eastAsiaTheme="minorEastAsia"/>
                <w:sz w:val="16"/>
                <w:szCs w:val="18"/>
                <w:lang w:eastAsia="en-US"/>
              </w:rPr>
              <w:t>n</w:t>
            </w:r>
          </w:p>
        </w:tc>
        <w:tc>
          <w:tcPr>
            <w:tcW w:w="496" w:type="dxa"/>
            <w:tcBorders>
              <w:top w:val="single" w:sz="4" w:space="0" w:color="auto"/>
              <w:bottom w:val="single" w:sz="4" w:space="0" w:color="auto"/>
            </w:tcBorders>
            <w:noWrap/>
            <w:vAlign w:val="center"/>
          </w:tcPr>
          <w:p w14:paraId="4DC0D117" w14:textId="77777777" w:rsidR="00422F08" w:rsidRPr="00AB3B09" w:rsidRDefault="00422F08" w:rsidP="00A023BD">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8"/>
                <w:lang w:eastAsia="en-US"/>
              </w:rPr>
            </w:pPr>
            <w:r w:rsidRPr="00AB3B09">
              <w:rPr>
                <w:rFonts w:eastAsiaTheme="minorEastAsia"/>
                <w:sz w:val="16"/>
                <w:szCs w:val="18"/>
                <w:lang w:eastAsia="en-US"/>
              </w:rPr>
              <w:t>%</w:t>
            </w:r>
          </w:p>
        </w:tc>
        <w:tc>
          <w:tcPr>
            <w:tcW w:w="963" w:type="dxa"/>
            <w:tcBorders>
              <w:top w:val="single" w:sz="4" w:space="0" w:color="auto"/>
              <w:bottom w:val="single" w:sz="4" w:space="0" w:color="auto"/>
              <w:right w:val="single" w:sz="4" w:space="0" w:color="000000"/>
            </w:tcBorders>
            <w:shd w:val="clear" w:color="auto" w:fill="FFFFFF" w:themeFill="background1"/>
            <w:noWrap/>
            <w:vAlign w:val="center"/>
          </w:tcPr>
          <w:p w14:paraId="792242EF" w14:textId="77777777" w:rsidR="00422F08" w:rsidRPr="00AB3B09" w:rsidRDefault="00422F08" w:rsidP="00A023BD">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8"/>
                <w:lang w:eastAsia="en-US"/>
              </w:rPr>
            </w:pPr>
            <w:r w:rsidRPr="00AB3B09">
              <w:rPr>
                <w:rFonts w:eastAsiaTheme="minorEastAsia"/>
                <w:sz w:val="16"/>
                <w:szCs w:val="18"/>
                <w:lang w:eastAsia="en-US"/>
              </w:rPr>
              <w:t>(95% CI)</w:t>
            </w:r>
          </w:p>
        </w:tc>
        <w:tc>
          <w:tcPr>
            <w:tcW w:w="536" w:type="dxa"/>
            <w:tcBorders>
              <w:top w:val="single" w:sz="4" w:space="0" w:color="auto"/>
              <w:left w:val="single" w:sz="4" w:space="0" w:color="000000"/>
              <w:bottom w:val="single" w:sz="4" w:space="0" w:color="auto"/>
            </w:tcBorders>
            <w:shd w:val="clear" w:color="auto" w:fill="FFFFFF" w:themeFill="background1"/>
            <w:vAlign w:val="center"/>
          </w:tcPr>
          <w:p w14:paraId="326EB406" w14:textId="77777777" w:rsidR="00422F08" w:rsidRPr="00AB3B09" w:rsidRDefault="00422F08" w:rsidP="00A023BD">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8"/>
                <w:lang w:eastAsia="en-US"/>
              </w:rPr>
            </w:pPr>
            <w:r w:rsidRPr="00AB3B09">
              <w:rPr>
                <w:rFonts w:eastAsiaTheme="minorEastAsia"/>
                <w:sz w:val="16"/>
                <w:szCs w:val="18"/>
                <w:lang w:eastAsia="en-US"/>
              </w:rPr>
              <w:t>n</w:t>
            </w:r>
          </w:p>
        </w:tc>
        <w:tc>
          <w:tcPr>
            <w:tcW w:w="496" w:type="dxa"/>
            <w:tcBorders>
              <w:top w:val="single" w:sz="4" w:space="0" w:color="auto"/>
              <w:bottom w:val="single" w:sz="4" w:space="0" w:color="auto"/>
            </w:tcBorders>
            <w:shd w:val="clear" w:color="auto" w:fill="FFFFFF" w:themeFill="background1"/>
            <w:vAlign w:val="center"/>
          </w:tcPr>
          <w:p w14:paraId="5BFD24EB" w14:textId="77777777" w:rsidR="00422F08" w:rsidRPr="00AB3B09" w:rsidRDefault="00422F08" w:rsidP="00A023BD">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8"/>
                <w:lang w:eastAsia="en-US"/>
              </w:rPr>
            </w:pPr>
            <w:r w:rsidRPr="00AB3B09">
              <w:rPr>
                <w:rFonts w:eastAsiaTheme="minorEastAsia"/>
                <w:sz w:val="16"/>
                <w:szCs w:val="18"/>
                <w:lang w:eastAsia="en-US"/>
              </w:rPr>
              <w:t>%</w:t>
            </w:r>
          </w:p>
        </w:tc>
        <w:tc>
          <w:tcPr>
            <w:tcW w:w="1062" w:type="dxa"/>
            <w:tcBorders>
              <w:top w:val="single" w:sz="4" w:space="0" w:color="auto"/>
              <w:bottom w:val="single" w:sz="4" w:space="0" w:color="auto"/>
              <w:right w:val="single" w:sz="4" w:space="0" w:color="000000"/>
            </w:tcBorders>
            <w:shd w:val="clear" w:color="auto" w:fill="FFFFFF" w:themeFill="background1"/>
            <w:vAlign w:val="center"/>
          </w:tcPr>
          <w:p w14:paraId="197E23F0" w14:textId="77777777" w:rsidR="00422F08" w:rsidRPr="00AB3B09" w:rsidRDefault="00422F08" w:rsidP="00A023BD">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8"/>
                <w:lang w:eastAsia="en-US"/>
              </w:rPr>
            </w:pPr>
            <w:r w:rsidRPr="00AB3B09">
              <w:rPr>
                <w:rFonts w:eastAsiaTheme="minorEastAsia"/>
                <w:sz w:val="16"/>
                <w:szCs w:val="18"/>
                <w:lang w:eastAsia="en-US"/>
              </w:rPr>
              <w:t>(95% CI)</w:t>
            </w:r>
          </w:p>
        </w:tc>
        <w:tc>
          <w:tcPr>
            <w:tcW w:w="567" w:type="dxa"/>
            <w:tcBorders>
              <w:top w:val="single" w:sz="4" w:space="0" w:color="auto"/>
              <w:left w:val="single" w:sz="4" w:space="0" w:color="000000"/>
              <w:bottom w:val="single" w:sz="4" w:space="0" w:color="auto"/>
            </w:tcBorders>
            <w:shd w:val="clear" w:color="auto" w:fill="FFFFFF" w:themeFill="background1"/>
            <w:vAlign w:val="center"/>
          </w:tcPr>
          <w:p w14:paraId="17357C7E" w14:textId="77777777" w:rsidR="00422F08" w:rsidRPr="00AB3B09" w:rsidRDefault="00422F08" w:rsidP="00A023BD">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8"/>
                <w:lang w:eastAsia="en-US"/>
              </w:rPr>
            </w:pPr>
            <w:r w:rsidRPr="00AB3B09">
              <w:rPr>
                <w:rFonts w:eastAsiaTheme="minorEastAsia"/>
                <w:sz w:val="16"/>
                <w:szCs w:val="18"/>
                <w:lang w:eastAsia="en-US"/>
              </w:rPr>
              <w:t>n</w:t>
            </w:r>
          </w:p>
        </w:tc>
        <w:tc>
          <w:tcPr>
            <w:tcW w:w="567" w:type="dxa"/>
            <w:tcBorders>
              <w:top w:val="single" w:sz="4" w:space="0" w:color="auto"/>
              <w:bottom w:val="single" w:sz="4" w:space="0" w:color="auto"/>
            </w:tcBorders>
            <w:shd w:val="clear" w:color="auto" w:fill="FFFFFF" w:themeFill="background1"/>
            <w:vAlign w:val="center"/>
          </w:tcPr>
          <w:p w14:paraId="79F59A21" w14:textId="77777777" w:rsidR="00422F08" w:rsidRPr="00AB3B09" w:rsidRDefault="00422F08" w:rsidP="00A023BD">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8"/>
                <w:lang w:eastAsia="en-US"/>
              </w:rPr>
            </w:pPr>
            <w:r w:rsidRPr="00AB3B09">
              <w:rPr>
                <w:rFonts w:eastAsiaTheme="minorEastAsia"/>
                <w:sz w:val="16"/>
                <w:szCs w:val="18"/>
                <w:lang w:eastAsia="en-US"/>
              </w:rPr>
              <w:t>%</w:t>
            </w:r>
          </w:p>
        </w:tc>
        <w:tc>
          <w:tcPr>
            <w:tcW w:w="992" w:type="dxa"/>
            <w:tcBorders>
              <w:top w:val="single" w:sz="4" w:space="0" w:color="auto"/>
              <w:bottom w:val="single" w:sz="4" w:space="0" w:color="auto"/>
            </w:tcBorders>
            <w:shd w:val="clear" w:color="auto" w:fill="FFFFFF" w:themeFill="background1"/>
            <w:vAlign w:val="center"/>
          </w:tcPr>
          <w:p w14:paraId="5E26D235" w14:textId="77777777" w:rsidR="00422F08" w:rsidRPr="00AB3B09" w:rsidRDefault="00422F08" w:rsidP="00A023BD">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8"/>
                <w:lang w:eastAsia="en-US"/>
              </w:rPr>
            </w:pPr>
            <w:r w:rsidRPr="00AB3B09">
              <w:rPr>
                <w:rFonts w:eastAsiaTheme="minorEastAsia"/>
                <w:sz w:val="16"/>
                <w:szCs w:val="18"/>
                <w:lang w:eastAsia="en-US"/>
              </w:rPr>
              <w:t>(95% CI)</w:t>
            </w:r>
          </w:p>
        </w:tc>
      </w:tr>
      <w:tr w:rsidR="009118DA" w:rsidRPr="00AB3B09" w14:paraId="2944E117" w14:textId="77777777" w:rsidTr="00CA1CD6">
        <w:trPr>
          <w:jc w:val="center"/>
        </w:trPr>
        <w:tc>
          <w:tcPr>
            <w:cnfStyle w:val="001000000000" w:firstRow="0" w:lastRow="0" w:firstColumn="1" w:lastColumn="0" w:oddVBand="0" w:evenVBand="0" w:oddHBand="0" w:evenHBand="0" w:firstRowFirstColumn="0" w:firstRowLastColumn="0" w:lastRowFirstColumn="0" w:lastRowLastColumn="0"/>
            <w:tcW w:w="1146" w:type="dxa"/>
            <w:tcBorders>
              <w:top w:val="nil"/>
              <w:left w:val="nil"/>
              <w:bottom w:val="nil"/>
              <w:right w:val="nil"/>
            </w:tcBorders>
            <w:shd w:val="clear" w:color="auto" w:fill="auto"/>
          </w:tcPr>
          <w:p w14:paraId="4C647E75" w14:textId="77777777" w:rsidR="00422F08" w:rsidRPr="00AB3B09" w:rsidRDefault="00422F08" w:rsidP="00A023BD">
            <w:pPr>
              <w:keepNext/>
              <w:spacing w:before="20" w:after="20"/>
              <w:ind w:left="34"/>
              <w:rPr>
                <w:rFonts w:eastAsiaTheme="minorEastAsia"/>
                <w:b w:val="0"/>
                <w:sz w:val="16"/>
                <w:szCs w:val="18"/>
                <w:lang w:eastAsia="en-US"/>
              </w:rPr>
            </w:pPr>
            <w:r w:rsidRPr="00AB3B09">
              <w:rPr>
                <w:rFonts w:eastAsiaTheme="minorEastAsia"/>
                <w:b w:val="0"/>
                <w:sz w:val="16"/>
                <w:szCs w:val="18"/>
                <w:lang w:eastAsia="en-US"/>
              </w:rPr>
              <w:t>Non-problem gambler</w:t>
            </w:r>
          </w:p>
        </w:tc>
        <w:tc>
          <w:tcPr>
            <w:tcW w:w="536" w:type="dxa"/>
            <w:tcBorders>
              <w:top w:val="nil"/>
              <w:left w:val="nil"/>
              <w:bottom w:val="nil"/>
              <w:right w:val="nil"/>
            </w:tcBorders>
            <w:shd w:val="clear" w:color="auto" w:fill="auto"/>
            <w:noWrap/>
            <w:vAlign w:val="center"/>
          </w:tcPr>
          <w:p w14:paraId="465431C9" w14:textId="77777777" w:rsidR="00422F08" w:rsidRPr="00AB3B09" w:rsidRDefault="00422F08" w:rsidP="00A023BD">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4535</w:t>
            </w:r>
          </w:p>
        </w:tc>
        <w:tc>
          <w:tcPr>
            <w:tcW w:w="496" w:type="dxa"/>
            <w:tcBorders>
              <w:top w:val="nil"/>
              <w:left w:val="nil"/>
              <w:bottom w:val="nil"/>
              <w:right w:val="nil"/>
            </w:tcBorders>
            <w:shd w:val="clear" w:color="auto" w:fill="auto"/>
            <w:noWrap/>
            <w:vAlign w:val="center"/>
          </w:tcPr>
          <w:p w14:paraId="2706B959" w14:textId="77777777" w:rsidR="00422F08" w:rsidRPr="00AB3B09" w:rsidRDefault="00422F08" w:rsidP="00A023BD">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72.5</w:t>
            </w:r>
          </w:p>
        </w:tc>
        <w:tc>
          <w:tcPr>
            <w:tcW w:w="963" w:type="dxa"/>
            <w:tcBorders>
              <w:top w:val="nil"/>
              <w:left w:val="nil"/>
              <w:bottom w:val="nil"/>
              <w:right w:val="single" w:sz="4" w:space="0" w:color="auto"/>
            </w:tcBorders>
            <w:shd w:val="clear" w:color="auto" w:fill="auto"/>
            <w:noWrap/>
            <w:vAlign w:val="center"/>
          </w:tcPr>
          <w:p w14:paraId="48015031" w14:textId="77777777" w:rsidR="00422F08" w:rsidRPr="00AB3B09" w:rsidRDefault="00422F08" w:rsidP="00A023BD">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(71.2, 73.9)</w:t>
            </w:r>
          </w:p>
        </w:tc>
        <w:tc>
          <w:tcPr>
            <w:tcW w:w="536" w:type="dxa"/>
            <w:tcBorders>
              <w:top w:val="nil"/>
              <w:left w:val="single" w:sz="4" w:space="0" w:color="auto"/>
              <w:bottom w:val="nil"/>
              <w:right w:val="nil"/>
            </w:tcBorders>
            <w:shd w:val="clear" w:color="auto" w:fill="auto"/>
            <w:noWrap/>
            <w:vAlign w:val="center"/>
          </w:tcPr>
          <w:p w14:paraId="756E3EDD" w14:textId="77777777" w:rsidR="00422F08" w:rsidRPr="00AB3B09" w:rsidRDefault="00422F08" w:rsidP="00A023BD">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2633</w:t>
            </w:r>
          </w:p>
        </w:tc>
        <w:tc>
          <w:tcPr>
            <w:tcW w:w="496" w:type="dxa"/>
            <w:tcBorders>
              <w:top w:val="nil"/>
              <w:left w:val="nil"/>
              <w:bottom w:val="nil"/>
              <w:right w:val="nil"/>
            </w:tcBorders>
            <w:shd w:val="clear" w:color="auto" w:fill="auto"/>
            <w:noWrap/>
            <w:vAlign w:val="center"/>
          </w:tcPr>
          <w:p w14:paraId="216EA70A" w14:textId="77777777" w:rsidR="00422F08" w:rsidRPr="00AB3B09" w:rsidRDefault="00422F08" w:rsidP="00A023BD">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70.3</w:t>
            </w:r>
          </w:p>
        </w:tc>
        <w:tc>
          <w:tcPr>
            <w:tcW w:w="963" w:type="dxa"/>
            <w:tcBorders>
              <w:top w:val="nil"/>
              <w:left w:val="nil"/>
              <w:bottom w:val="nil"/>
              <w:right w:val="single" w:sz="4" w:space="0" w:color="000000"/>
            </w:tcBorders>
            <w:shd w:val="clear" w:color="auto" w:fill="auto"/>
            <w:noWrap/>
            <w:vAlign w:val="center"/>
          </w:tcPr>
          <w:p w14:paraId="2D0ADCC3" w14:textId="77777777" w:rsidR="00422F08" w:rsidRPr="00AB3B09" w:rsidRDefault="00422F08" w:rsidP="00A023BD">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(68.6, 72.0)</w:t>
            </w:r>
          </w:p>
        </w:tc>
        <w:tc>
          <w:tcPr>
            <w:tcW w:w="536" w:type="dxa"/>
            <w:tcBorders>
              <w:top w:val="nil"/>
              <w:left w:val="single" w:sz="4" w:space="0" w:color="000000"/>
              <w:bottom w:val="nil"/>
              <w:right w:val="nil"/>
            </w:tcBorders>
            <w:shd w:val="clear" w:color="auto" w:fill="auto"/>
            <w:vAlign w:val="center"/>
          </w:tcPr>
          <w:p w14:paraId="14C3EC2D" w14:textId="77777777" w:rsidR="00422F08" w:rsidRPr="00AB3B09" w:rsidRDefault="00422F08"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8"/>
                <w:lang w:eastAsia="en-NZ"/>
              </w:rPr>
            </w:pPr>
            <w:r w:rsidRPr="00AB3B09">
              <w:rPr>
                <w:color w:val="000000"/>
                <w:sz w:val="16"/>
                <w:szCs w:val="18"/>
              </w:rPr>
              <w:t>2186</w:t>
            </w:r>
          </w:p>
        </w:tc>
        <w:tc>
          <w:tcPr>
            <w:tcW w:w="496" w:type="dxa"/>
            <w:tcBorders>
              <w:top w:val="nil"/>
              <w:left w:val="nil"/>
              <w:bottom w:val="nil"/>
              <w:right w:val="nil"/>
            </w:tcBorders>
            <w:shd w:val="clear" w:color="auto" w:fill="auto"/>
            <w:vAlign w:val="center"/>
          </w:tcPr>
          <w:p w14:paraId="3B482AD4" w14:textId="77777777" w:rsidR="00422F08" w:rsidRPr="00AB3B09" w:rsidRDefault="00422F08"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8"/>
                <w:lang w:eastAsia="en-NZ"/>
              </w:rPr>
            </w:pPr>
            <w:r w:rsidRPr="00AB3B09">
              <w:rPr>
                <w:color w:val="000000"/>
                <w:sz w:val="16"/>
                <w:szCs w:val="18"/>
              </w:rPr>
              <w:t>70.0</w:t>
            </w:r>
          </w:p>
        </w:tc>
        <w:tc>
          <w:tcPr>
            <w:tcW w:w="1062" w:type="dxa"/>
            <w:tcBorders>
              <w:top w:val="nil"/>
              <w:left w:val="nil"/>
              <w:bottom w:val="nil"/>
              <w:right w:val="single" w:sz="4" w:space="0" w:color="000000"/>
            </w:tcBorders>
            <w:shd w:val="clear" w:color="auto" w:fill="auto"/>
            <w:vAlign w:val="center"/>
          </w:tcPr>
          <w:p w14:paraId="5A9FCE7F" w14:textId="77777777" w:rsidR="00422F08" w:rsidRPr="00AB3B09" w:rsidRDefault="00422F08"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(68.0, 72.0)</w:t>
            </w:r>
          </w:p>
        </w:tc>
        <w:tc>
          <w:tcPr>
            <w:tcW w:w="567" w:type="dxa"/>
            <w:tcBorders>
              <w:top w:val="nil"/>
              <w:left w:val="single" w:sz="4" w:space="0" w:color="000000"/>
              <w:bottom w:val="nil"/>
              <w:right w:val="nil"/>
            </w:tcBorders>
            <w:shd w:val="clear" w:color="auto" w:fill="auto"/>
            <w:vAlign w:val="center"/>
          </w:tcPr>
          <w:p w14:paraId="3FC1C2EA" w14:textId="77777777" w:rsidR="00422F08" w:rsidRPr="00AB3B09" w:rsidRDefault="00422F08"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8"/>
                <w:lang w:eastAsia="en-NZ"/>
              </w:rPr>
            </w:pPr>
            <w:r w:rsidRPr="00AB3B09">
              <w:rPr>
                <w:color w:val="000000"/>
                <w:sz w:val="16"/>
                <w:szCs w:val="18"/>
              </w:rPr>
              <w:t>1890</w:t>
            </w:r>
          </w:p>
        </w:tc>
        <w:tc>
          <w:tcPr>
            <w:tcW w:w="567" w:type="dxa"/>
            <w:tcBorders>
              <w:top w:val="nil"/>
              <w:left w:val="nil"/>
              <w:bottom w:val="nil"/>
              <w:right w:val="nil"/>
            </w:tcBorders>
            <w:shd w:val="clear" w:color="auto" w:fill="auto"/>
            <w:vAlign w:val="center"/>
          </w:tcPr>
          <w:p w14:paraId="075F709D" w14:textId="77777777" w:rsidR="00422F08" w:rsidRPr="00AB3B09" w:rsidRDefault="00422F08"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68.2</w:t>
            </w:r>
          </w:p>
        </w:tc>
        <w:tc>
          <w:tcPr>
            <w:tcW w:w="992" w:type="dxa"/>
            <w:tcBorders>
              <w:top w:val="nil"/>
              <w:left w:val="nil"/>
              <w:bottom w:val="nil"/>
              <w:right w:val="nil"/>
            </w:tcBorders>
            <w:shd w:val="clear" w:color="auto" w:fill="auto"/>
            <w:vAlign w:val="center"/>
          </w:tcPr>
          <w:p w14:paraId="736FF632" w14:textId="77777777" w:rsidR="00422F08" w:rsidRPr="00AB3B09" w:rsidRDefault="00422F08"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(66</w:t>
            </w:r>
            <w:r>
              <w:rPr>
                <w:color w:val="000000"/>
                <w:sz w:val="16"/>
                <w:szCs w:val="18"/>
              </w:rPr>
              <w:t>.0</w:t>
            </w:r>
            <w:r w:rsidRPr="00AB3B09">
              <w:rPr>
                <w:color w:val="000000"/>
                <w:sz w:val="16"/>
                <w:szCs w:val="18"/>
              </w:rPr>
              <w:t>, 70.5)</w:t>
            </w:r>
          </w:p>
        </w:tc>
      </w:tr>
      <w:tr w:rsidR="009118DA" w:rsidRPr="00AB3B09" w14:paraId="4479B253" w14:textId="77777777" w:rsidTr="00CA1CD6">
        <w:trPr>
          <w:jc w:val="center"/>
        </w:trPr>
        <w:tc>
          <w:tcPr>
            <w:cnfStyle w:val="001000000000" w:firstRow="0" w:lastRow="0" w:firstColumn="1" w:lastColumn="0" w:oddVBand="0" w:evenVBand="0" w:oddHBand="0" w:evenHBand="0" w:firstRowFirstColumn="0" w:firstRowLastColumn="0" w:lastRowFirstColumn="0" w:lastRowLastColumn="0"/>
            <w:tcW w:w="1146" w:type="dxa"/>
            <w:tcBorders>
              <w:top w:val="nil"/>
              <w:left w:val="nil"/>
              <w:bottom w:val="nil"/>
              <w:right w:val="nil"/>
            </w:tcBorders>
            <w:shd w:val="clear" w:color="auto" w:fill="auto"/>
          </w:tcPr>
          <w:p w14:paraId="527BEBD2" w14:textId="77777777" w:rsidR="00422F08" w:rsidRPr="00AB3B09" w:rsidRDefault="00422F08" w:rsidP="00A023BD">
            <w:pPr>
              <w:keepNext/>
              <w:spacing w:before="20" w:after="20"/>
              <w:ind w:left="34"/>
              <w:rPr>
                <w:rFonts w:eastAsiaTheme="minorEastAsia"/>
                <w:b w:val="0"/>
                <w:sz w:val="16"/>
                <w:szCs w:val="18"/>
                <w:lang w:eastAsia="en-US"/>
              </w:rPr>
            </w:pPr>
            <w:r w:rsidRPr="00AB3B09">
              <w:rPr>
                <w:rFonts w:eastAsiaTheme="minorEastAsia"/>
                <w:b w:val="0"/>
                <w:sz w:val="16"/>
                <w:szCs w:val="18"/>
                <w:lang w:eastAsia="en-US"/>
              </w:rPr>
              <w:t>Low-risk gambler</w:t>
            </w:r>
          </w:p>
        </w:tc>
        <w:tc>
          <w:tcPr>
            <w:tcW w:w="536" w:type="dxa"/>
            <w:tcBorders>
              <w:top w:val="nil"/>
              <w:left w:val="nil"/>
              <w:bottom w:val="nil"/>
              <w:right w:val="nil"/>
            </w:tcBorders>
            <w:shd w:val="clear" w:color="auto" w:fill="auto"/>
            <w:noWrap/>
            <w:vAlign w:val="center"/>
          </w:tcPr>
          <w:p w14:paraId="7712C787" w14:textId="77777777" w:rsidR="00422F08" w:rsidRPr="00AB3B09" w:rsidRDefault="00422F08" w:rsidP="00A023BD">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307</w:t>
            </w:r>
          </w:p>
        </w:tc>
        <w:tc>
          <w:tcPr>
            <w:tcW w:w="496" w:type="dxa"/>
            <w:tcBorders>
              <w:top w:val="nil"/>
              <w:left w:val="nil"/>
              <w:bottom w:val="nil"/>
              <w:right w:val="nil"/>
            </w:tcBorders>
            <w:shd w:val="clear" w:color="auto" w:fill="auto"/>
            <w:noWrap/>
            <w:vAlign w:val="center"/>
          </w:tcPr>
          <w:p w14:paraId="267D89FE" w14:textId="77777777" w:rsidR="00422F08" w:rsidRPr="00AB3B09" w:rsidRDefault="00422F08" w:rsidP="00A023BD">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4.9</w:t>
            </w:r>
          </w:p>
        </w:tc>
        <w:tc>
          <w:tcPr>
            <w:tcW w:w="963" w:type="dxa"/>
            <w:tcBorders>
              <w:top w:val="nil"/>
              <w:left w:val="nil"/>
              <w:bottom w:val="nil"/>
              <w:right w:val="single" w:sz="4" w:space="0" w:color="auto"/>
            </w:tcBorders>
            <w:shd w:val="clear" w:color="auto" w:fill="auto"/>
            <w:noWrap/>
            <w:vAlign w:val="center"/>
          </w:tcPr>
          <w:p w14:paraId="3923AA2B" w14:textId="77777777" w:rsidR="00422F08" w:rsidRPr="00AB3B09" w:rsidRDefault="00422F08" w:rsidP="00A023BD">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(4.3, 5.6)</w:t>
            </w:r>
          </w:p>
        </w:tc>
        <w:tc>
          <w:tcPr>
            <w:tcW w:w="536" w:type="dxa"/>
            <w:tcBorders>
              <w:top w:val="nil"/>
              <w:left w:val="single" w:sz="4" w:space="0" w:color="auto"/>
              <w:bottom w:val="nil"/>
              <w:right w:val="nil"/>
            </w:tcBorders>
            <w:shd w:val="clear" w:color="auto" w:fill="auto"/>
            <w:noWrap/>
            <w:vAlign w:val="center"/>
          </w:tcPr>
          <w:p w14:paraId="284405BF" w14:textId="77777777" w:rsidR="00422F08" w:rsidRPr="00AB3B09" w:rsidRDefault="00422F08" w:rsidP="00A023BD">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210</w:t>
            </w:r>
          </w:p>
        </w:tc>
        <w:tc>
          <w:tcPr>
            <w:tcW w:w="496" w:type="dxa"/>
            <w:tcBorders>
              <w:top w:val="nil"/>
              <w:left w:val="nil"/>
              <w:bottom w:val="nil"/>
              <w:right w:val="nil"/>
            </w:tcBorders>
            <w:shd w:val="clear" w:color="auto" w:fill="auto"/>
            <w:noWrap/>
            <w:vAlign w:val="center"/>
          </w:tcPr>
          <w:p w14:paraId="549D26DC" w14:textId="77777777" w:rsidR="00422F08" w:rsidRPr="00AB3B09" w:rsidRDefault="00422F08" w:rsidP="00A023BD">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5.6</w:t>
            </w:r>
          </w:p>
        </w:tc>
        <w:tc>
          <w:tcPr>
            <w:tcW w:w="963" w:type="dxa"/>
            <w:tcBorders>
              <w:top w:val="nil"/>
              <w:left w:val="nil"/>
              <w:bottom w:val="nil"/>
              <w:right w:val="single" w:sz="4" w:space="0" w:color="000000"/>
            </w:tcBorders>
            <w:shd w:val="clear" w:color="auto" w:fill="auto"/>
            <w:noWrap/>
            <w:vAlign w:val="center"/>
          </w:tcPr>
          <w:p w14:paraId="2BE8A1C9" w14:textId="77777777" w:rsidR="00422F08" w:rsidRPr="00AB3B09" w:rsidRDefault="00422F08" w:rsidP="00A023BD">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(4.8, 6.5)</w:t>
            </w:r>
          </w:p>
        </w:tc>
        <w:tc>
          <w:tcPr>
            <w:tcW w:w="536" w:type="dxa"/>
            <w:tcBorders>
              <w:top w:val="nil"/>
              <w:left w:val="single" w:sz="4" w:space="0" w:color="000000"/>
              <w:bottom w:val="nil"/>
              <w:right w:val="nil"/>
            </w:tcBorders>
            <w:shd w:val="clear" w:color="auto" w:fill="auto"/>
            <w:vAlign w:val="center"/>
          </w:tcPr>
          <w:p w14:paraId="16936A06" w14:textId="77777777" w:rsidR="00422F08" w:rsidRPr="00AB3B09" w:rsidRDefault="00422F08"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155</w:t>
            </w:r>
          </w:p>
        </w:tc>
        <w:tc>
          <w:tcPr>
            <w:tcW w:w="496" w:type="dxa"/>
            <w:tcBorders>
              <w:top w:val="nil"/>
              <w:left w:val="nil"/>
              <w:bottom w:val="nil"/>
              <w:right w:val="nil"/>
            </w:tcBorders>
            <w:shd w:val="clear" w:color="auto" w:fill="auto"/>
            <w:vAlign w:val="center"/>
          </w:tcPr>
          <w:p w14:paraId="30571F07" w14:textId="77777777" w:rsidR="00422F08" w:rsidRPr="00AB3B09" w:rsidRDefault="00422F08"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5.0</w:t>
            </w:r>
          </w:p>
        </w:tc>
        <w:tc>
          <w:tcPr>
            <w:tcW w:w="1062" w:type="dxa"/>
            <w:tcBorders>
              <w:top w:val="nil"/>
              <w:left w:val="nil"/>
              <w:bottom w:val="nil"/>
              <w:right w:val="single" w:sz="4" w:space="0" w:color="000000"/>
            </w:tcBorders>
            <w:shd w:val="clear" w:color="auto" w:fill="auto"/>
            <w:vAlign w:val="center"/>
          </w:tcPr>
          <w:p w14:paraId="194E27E3" w14:textId="77777777" w:rsidR="00422F08" w:rsidRPr="00AB3B09" w:rsidRDefault="00422F08"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(4.1, 5.9)</w:t>
            </w:r>
          </w:p>
        </w:tc>
        <w:tc>
          <w:tcPr>
            <w:tcW w:w="567" w:type="dxa"/>
            <w:tcBorders>
              <w:top w:val="nil"/>
              <w:left w:val="single" w:sz="4" w:space="0" w:color="000000"/>
              <w:bottom w:val="nil"/>
              <w:right w:val="nil"/>
            </w:tcBorders>
            <w:shd w:val="clear" w:color="auto" w:fill="auto"/>
            <w:vAlign w:val="center"/>
          </w:tcPr>
          <w:p w14:paraId="665CE8DC" w14:textId="77777777" w:rsidR="00422F08" w:rsidRPr="00AB3B09" w:rsidRDefault="00422F08"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127</w:t>
            </w:r>
          </w:p>
        </w:tc>
        <w:tc>
          <w:tcPr>
            <w:tcW w:w="567" w:type="dxa"/>
            <w:tcBorders>
              <w:top w:val="nil"/>
              <w:left w:val="nil"/>
              <w:bottom w:val="nil"/>
              <w:right w:val="nil"/>
            </w:tcBorders>
            <w:shd w:val="clear" w:color="auto" w:fill="auto"/>
            <w:vAlign w:val="center"/>
          </w:tcPr>
          <w:p w14:paraId="155E1F02" w14:textId="77777777" w:rsidR="00422F08" w:rsidRPr="00AB3B09" w:rsidRDefault="00422F08"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4.6</w:t>
            </w:r>
          </w:p>
        </w:tc>
        <w:tc>
          <w:tcPr>
            <w:tcW w:w="992" w:type="dxa"/>
            <w:tcBorders>
              <w:top w:val="nil"/>
              <w:left w:val="nil"/>
              <w:bottom w:val="nil"/>
              <w:right w:val="nil"/>
            </w:tcBorders>
            <w:shd w:val="clear" w:color="auto" w:fill="auto"/>
            <w:vAlign w:val="center"/>
          </w:tcPr>
          <w:p w14:paraId="56D85675" w14:textId="77777777" w:rsidR="00422F08" w:rsidRPr="00AB3B09" w:rsidRDefault="00422F08" w:rsidP="00A023BD">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(3.7, 5.5)</w:t>
            </w:r>
          </w:p>
        </w:tc>
      </w:tr>
      <w:tr w:rsidR="009118DA" w:rsidRPr="00AB3B09" w14:paraId="5AB5E522" w14:textId="77777777" w:rsidTr="00CA1CD6">
        <w:trPr>
          <w:jc w:val="center"/>
        </w:trPr>
        <w:tc>
          <w:tcPr>
            <w:cnfStyle w:val="001000000000" w:firstRow="0" w:lastRow="0" w:firstColumn="1" w:lastColumn="0" w:oddVBand="0" w:evenVBand="0" w:oddHBand="0" w:evenHBand="0" w:firstRowFirstColumn="0" w:firstRowLastColumn="0" w:lastRowFirstColumn="0" w:lastRowLastColumn="0"/>
            <w:tcW w:w="1146" w:type="dxa"/>
            <w:tcBorders>
              <w:top w:val="nil"/>
              <w:left w:val="nil"/>
              <w:bottom w:val="nil"/>
              <w:right w:val="nil"/>
            </w:tcBorders>
            <w:shd w:val="clear" w:color="auto" w:fill="auto"/>
          </w:tcPr>
          <w:p w14:paraId="0BBB029B" w14:textId="77777777" w:rsidR="00422F08" w:rsidRPr="00AB3B09" w:rsidRDefault="00422F08" w:rsidP="00593AED">
            <w:pPr>
              <w:spacing w:before="20" w:after="20"/>
              <w:ind w:left="34"/>
              <w:rPr>
                <w:rFonts w:eastAsiaTheme="minorEastAsia"/>
                <w:b w:val="0"/>
                <w:sz w:val="16"/>
                <w:szCs w:val="18"/>
                <w:lang w:eastAsia="en-US"/>
              </w:rPr>
            </w:pPr>
            <w:r w:rsidRPr="00AB3B09">
              <w:rPr>
                <w:rFonts w:eastAsiaTheme="minorEastAsia"/>
                <w:b w:val="0"/>
                <w:sz w:val="16"/>
                <w:szCs w:val="18"/>
                <w:lang w:eastAsia="en-US"/>
              </w:rPr>
              <w:t>Moderate-risk gambler</w:t>
            </w:r>
          </w:p>
        </w:tc>
        <w:tc>
          <w:tcPr>
            <w:tcW w:w="536" w:type="dxa"/>
            <w:tcBorders>
              <w:top w:val="nil"/>
              <w:left w:val="nil"/>
              <w:bottom w:val="nil"/>
              <w:right w:val="nil"/>
            </w:tcBorders>
            <w:shd w:val="clear" w:color="auto" w:fill="auto"/>
            <w:noWrap/>
            <w:vAlign w:val="center"/>
          </w:tcPr>
          <w:p w14:paraId="205FAFBB" w14:textId="77777777" w:rsidR="00422F08" w:rsidRPr="00AB3B09" w:rsidRDefault="00422F08" w:rsidP="00593AE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108</w:t>
            </w:r>
          </w:p>
        </w:tc>
        <w:tc>
          <w:tcPr>
            <w:tcW w:w="496" w:type="dxa"/>
            <w:tcBorders>
              <w:top w:val="nil"/>
              <w:left w:val="nil"/>
              <w:bottom w:val="nil"/>
              <w:right w:val="nil"/>
            </w:tcBorders>
            <w:shd w:val="clear" w:color="auto" w:fill="auto"/>
            <w:noWrap/>
            <w:vAlign w:val="center"/>
          </w:tcPr>
          <w:p w14:paraId="11E54DFC" w14:textId="77777777" w:rsidR="00422F08" w:rsidRPr="00AB3B09" w:rsidRDefault="00422F08" w:rsidP="00593AE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1.7</w:t>
            </w:r>
          </w:p>
        </w:tc>
        <w:tc>
          <w:tcPr>
            <w:tcW w:w="963" w:type="dxa"/>
            <w:tcBorders>
              <w:top w:val="nil"/>
              <w:left w:val="nil"/>
              <w:bottom w:val="nil"/>
              <w:right w:val="single" w:sz="4" w:space="0" w:color="auto"/>
            </w:tcBorders>
            <w:shd w:val="clear" w:color="auto" w:fill="auto"/>
            <w:noWrap/>
            <w:vAlign w:val="center"/>
          </w:tcPr>
          <w:p w14:paraId="24ED871A" w14:textId="77777777" w:rsidR="00422F08" w:rsidRPr="00AB3B09" w:rsidRDefault="00422F08" w:rsidP="00593AE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(1.4, 2.1)</w:t>
            </w:r>
          </w:p>
        </w:tc>
        <w:tc>
          <w:tcPr>
            <w:tcW w:w="536" w:type="dxa"/>
            <w:tcBorders>
              <w:top w:val="nil"/>
              <w:left w:val="single" w:sz="4" w:space="0" w:color="auto"/>
              <w:bottom w:val="nil"/>
              <w:right w:val="nil"/>
            </w:tcBorders>
            <w:shd w:val="clear" w:color="auto" w:fill="auto"/>
            <w:noWrap/>
            <w:vAlign w:val="center"/>
          </w:tcPr>
          <w:p w14:paraId="4764C005" w14:textId="77777777" w:rsidR="00422F08" w:rsidRPr="00AB3B09" w:rsidRDefault="00422F08" w:rsidP="00593AE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57</w:t>
            </w:r>
          </w:p>
        </w:tc>
        <w:tc>
          <w:tcPr>
            <w:tcW w:w="496" w:type="dxa"/>
            <w:tcBorders>
              <w:top w:val="nil"/>
              <w:left w:val="nil"/>
              <w:bottom w:val="nil"/>
              <w:right w:val="nil"/>
            </w:tcBorders>
            <w:shd w:val="clear" w:color="auto" w:fill="auto"/>
            <w:noWrap/>
            <w:vAlign w:val="center"/>
          </w:tcPr>
          <w:p w14:paraId="7F2755E8" w14:textId="77777777" w:rsidR="00422F08" w:rsidRPr="00AB3B09" w:rsidRDefault="00422F08" w:rsidP="00593AE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1.5</w:t>
            </w:r>
          </w:p>
        </w:tc>
        <w:tc>
          <w:tcPr>
            <w:tcW w:w="963" w:type="dxa"/>
            <w:tcBorders>
              <w:top w:val="nil"/>
              <w:left w:val="nil"/>
              <w:bottom w:val="nil"/>
              <w:right w:val="single" w:sz="4" w:space="0" w:color="000000"/>
            </w:tcBorders>
            <w:shd w:val="clear" w:color="auto" w:fill="auto"/>
            <w:noWrap/>
            <w:vAlign w:val="center"/>
          </w:tcPr>
          <w:p w14:paraId="23179A2C" w14:textId="77777777" w:rsidR="00422F08" w:rsidRPr="00AB3B09" w:rsidRDefault="00422F08" w:rsidP="00593AE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(1.1, 1.9)</w:t>
            </w:r>
          </w:p>
        </w:tc>
        <w:tc>
          <w:tcPr>
            <w:tcW w:w="536" w:type="dxa"/>
            <w:tcBorders>
              <w:top w:val="nil"/>
              <w:left w:val="single" w:sz="4" w:space="0" w:color="000000"/>
              <w:bottom w:val="nil"/>
              <w:right w:val="nil"/>
            </w:tcBorders>
            <w:shd w:val="clear" w:color="auto" w:fill="auto"/>
            <w:vAlign w:val="center"/>
          </w:tcPr>
          <w:p w14:paraId="5B824B3F" w14:textId="77777777" w:rsidR="00422F08" w:rsidRPr="00AB3B09" w:rsidRDefault="00422F08"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45</w:t>
            </w:r>
          </w:p>
        </w:tc>
        <w:tc>
          <w:tcPr>
            <w:tcW w:w="496" w:type="dxa"/>
            <w:tcBorders>
              <w:top w:val="nil"/>
              <w:left w:val="nil"/>
              <w:bottom w:val="nil"/>
              <w:right w:val="nil"/>
            </w:tcBorders>
            <w:shd w:val="clear" w:color="auto" w:fill="auto"/>
            <w:vAlign w:val="center"/>
          </w:tcPr>
          <w:p w14:paraId="308D91BF" w14:textId="77777777" w:rsidR="00422F08" w:rsidRPr="00AB3B09" w:rsidRDefault="00422F08"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1.5</w:t>
            </w:r>
          </w:p>
        </w:tc>
        <w:tc>
          <w:tcPr>
            <w:tcW w:w="1062" w:type="dxa"/>
            <w:tcBorders>
              <w:top w:val="nil"/>
              <w:left w:val="nil"/>
              <w:bottom w:val="nil"/>
              <w:right w:val="single" w:sz="4" w:space="0" w:color="000000"/>
            </w:tcBorders>
            <w:shd w:val="clear" w:color="auto" w:fill="auto"/>
            <w:vAlign w:val="center"/>
          </w:tcPr>
          <w:p w14:paraId="421D0868" w14:textId="77777777" w:rsidR="00422F08" w:rsidRPr="00AB3B09" w:rsidRDefault="00422F08"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(1.0, 1.9)</w:t>
            </w:r>
          </w:p>
        </w:tc>
        <w:tc>
          <w:tcPr>
            <w:tcW w:w="567" w:type="dxa"/>
            <w:tcBorders>
              <w:top w:val="nil"/>
              <w:left w:val="single" w:sz="4" w:space="0" w:color="000000"/>
              <w:bottom w:val="nil"/>
              <w:right w:val="nil"/>
            </w:tcBorders>
            <w:shd w:val="clear" w:color="auto" w:fill="auto"/>
            <w:vAlign w:val="center"/>
          </w:tcPr>
          <w:p w14:paraId="6ED84436" w14:textId="77777777" w:rsidR="00422F08" w:rsidRPr="00AB3B09" w:rsidRDefault="00422F08"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51</w:t>
            </w:r>
          </w:p>
        </w:tc>
        <w:tc>
          <w:tcPr>
            <w:tcW w:w="567" w:type="dxa"/>
            <w:tcBorders>
              <w:top w:val="nil"/>
              <w:left w:val="nil"/>
              <w:bottom w:val="nil"/>
              <w:right w:val="nil"/>
            </w:tcBorders>
            <w:shd w:val="clear" w:color="auto" w:fill="auto"/>
            <w:vAlign w:val="center"/>
          </w:tcPr>
          <w:p w14:paraId="79BDC1ED" w14:textId="77777777" w:rsidR="00422F08" w:rsidRPr="00AB3B09" w:rsidRDefault="00422F08"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1.8</w:t>
            </w:r>
          </w:p>
        </w:tc>
        <w:tc>
          <w:tcPr>
            <w:tcW w:w="992" w:type="dxa"/>
            <w:tcBorders>
              <w:top w:val="nil"/>
              <w:left w:val="nil"/>
              <w:bottom w:val="nil"/>
              <w:right w:val="nil"/>
            </w:tcBorders>
            <w:shd w:val="clear" w:color="auto" w:fill="auto"/>
            <w:vAlign w:val="center"/>
          </w:tcPr>
          <w:p w14:paraId="7FC59A1A" w14:textId="77777777" w:rsidR="00422F08" w:rsidRPr="00AB3B09" w:rsidRDefault="00422F08"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(1.2, 2.5)</w:t>
            </w:r>
          </w:p>
        </w:tc>
      </w:tr>
      <w:tr w:rsidR="009118DA" w:rsidRPr="00AB3B09" w14:paraId="3B8154C6" w14:textId="77777777" w:rsidTr="00CA1CD6">
        <w:trPr>
          <w:jc w:val="center"/>
        </w:trPr>
        <w:tc>
          <w:tcPr>
            <w:cnfStyle w:val="001000000000" w:firstRow="0" w:lastRow="0" w:firstColumn="1" w:lastColumn="0" w:oddVBand="0" w:evenVBand="0" w:oddHBand="0" w:evenHBand="0" w:firstRowFirstColumn="0" w:firstRowLastColumn="0" w:lastRowFirstColumn="0" w:lastRowLastColumn="0"/>
            <w:tcW w:w="1146" w:type="dxa"/>
            <w:tcBorders>
              <w:top w:val="nil"/>
              <w:left w:val="nil"/>
              <w:bottom w:val="nil"/>
              <w:right w:val="nil"/>
            </w:tcBorders>
            <w:shd w:val="clear" w:color="auto" w:fill="auto"/>
          </w:tcPr>
          <w:p w14:paraId="0F2435C7" w14:textId="77777777" w:rsidR="00422F08" w:rsidRPr="00AB3B09" w:rsidRDefault="00422F08" w:rsidP="00593AED">
            <w:pPr>
              <w:spacing w:before="20" w:after="20"/>
              <w:ind w:left="34"/>
              <w:rPr>
                <w:rFonts w:eastAsiaTheme="minorEastAsia"/>
                <w:b w:val="0"/>
                <w:sz w:val="16"/>
                <w:szCs w:val="18"/>
                <w:lang w:eastAsia="en-US"/>
              </w:rPr>
            </w:pPr>
            <w:r w:rsidRPr="00AB3B09">
              <w:rPr>
                <w:rFonts w:eastAsiaTheme="minorEastAsia"/>
                <w:b w:val="0"/>
                <w:sz w:val="16"/>
                <w:szCs w:val="18"/>
                <w:lang w:eastAsia="en-US"/>
              </w:rPr>
              <w:t>Problem gambler</w:t>
            </w:r>
          </w:p>
        </w:tc>
        <w:tc>
          <w:tcPr>
            <w:tcW w:w="536" w:type="dxa"/>
            <w:tcBorders>
              <w:top w:val="nil"/>
              <w:left w:val="nil"/>
              <w:bottom w:val="nil"/>
              <w:right w:val="nil"/>
            </w:tcBorders>
            <w:shd w:val="clear" w:color="auto" w:fill="auto"/>
            <w:noWrap/>
            <w:vAlign w:val="center"/>
          </w:tcPr>
          <w:p w14:paraId="7B2FC066" w14:textId="77777777" w:rsidR="00422F08" w:rsidRPr="00AB3B09" w:rsidRDefault="00422F08" w:rsidP="00593AE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40</w:t>
            </w:r>
          </w:p>
        </w:tc>
        <w:tc>
          <w:tcPr>
            <w:tcW w:w="496" w:type="dxa"/>
            <w:tcBorders>
              <w:top w:val="nil"/>
              <w:left w:val="nil"/>
              <w:bottom w:val="nil"/>
              <w:right w:val="nil"/>
            </w:tcBorders>
            <w:shd w:val="clear" w:color="auto" w:fill="auto"/>
            <w:noWrap/>
            <w:vAlign w:val="center"/>
          </w:tcPr>
          <w:p w14:paraId="71F4F03A" w14:textId="77777777" w:rsidR="00422F08" w:rsidRPr="00AB3B09" w:rsidRDefault="00422F08" w:rsidP="00593AE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0.6</w:t>
            </w:r>
          </w:p>
        </w:tc>
        <w:tc>
          <w:tcPr>
            <w:tcW w:w="963" w:type="dxa"/>
            <w:tcBorders>
              <w:top w:val="nil"/>
              <w:left w:val="nil"/>
              <w:bottom w:val="nil"/>
              <w:right w:val="single" w:sz="4" w:space="0" w:color="auto"/>
            </w:tcBorders>
            <w:shd w:val="clear" w:color="auto" w:fill="auto"/>
            <w:noWrap/>
            <w:vAlign w:val="center"/>
          </w:tcPr>
          <w:p w14:paraId="5CB0E5EB" w14:textId="77777777" w:rsidR="00422F08" w:rsidRPr="00AB3B09" w:rsidRDefault="00422F08" w:rsidP="00593AE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(0.4, 0.9)</w:t>
            </w:r>
          </w:p>
        </w:tc>
        <w:tc>
          <w:tcPr>
            <w:tcW w:w="536" w:type="dxa"/>
            <w:tcBorders>
              <w:top w:val="nil"/>
              <w:left w:val="single" w:sz="4" w:space="0" w:color="auto"/>
              <w:bottom w:val="nil"/>
              <w:right w:val="nil"/>
            </w:tcBorders>
            <w:shd w:val="clear" w:color="auto" w:fill="auto"/>
            <w:noWrap/>
            <w:vAlign w:val="center"/>
          </w:tcPr>
          <w:p w14:paraId="09714429" w14:textId="77777777" w:rsidR="00422F08" w:rsidRPr="00AB3B09" w:rsidRDefault="00422F08" w:rsidP="00593AE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18</w:t>
            </w:r>
          </w:p>
        </w:tc>
        <w:tc>
          <w:tcPr>
            <w:tcW w:w="496" w:type="dxa"/>
            <w:tcBorders>
              <w:top w:val="nil"/>
              <w:left w:val="nil"/>
              <w:bottom w:val="nil"/>
              <w:right w:val="nil"/>
            </w:tcBorders>
            <w:shd w:val="clear" w:color="auto" w:fill="auto"/>
            <w:noWrap/>
            <w:vAlign w:val="center"/>
          </w:tcPr>
          <w:p w14:paraId="59509FED" w14:textId="77777777" w:rsidR="00422F08" w:rsidRPr="00AB3B09" w:rsidRDefault="00422F08" w:rsidP="00593AE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0.5</w:t>
            </w:r>
          </w:p>
        </w:tc>
        <w:tc>
          <w:tcPr>
            <w:tcW w:w="963" w:type="dxa"/>
            <w:tcBorders>
              <w:top w:val="nil"/>
              <w:left w:val="nil"/>
              <w:bottom w:val="nil"/>
              <w:right w:val="single" w:sz="4" w:space="0" w:color="000000"/>
            </w:tcBorders>
            <w:shd w:val="clear" w:color="auto" w:fill="auto"/>
            <w:noWrap/>
            <w:vAlign w:val="center"/>
          </w:tcPr>
          <w:p w14:paraId="0514286F" w14:textId="77777777" w:rsidR="00422F08" w:rsidRPr="00AB3B09" w:rsidRDefault="00422F08" w:rsidP="00593AE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(0.3, 0.7)</w:t>
            </w:r>
          </w:p>
        </w:tc>
        <w:tc>
          <w:tcPr>
            <w:tcW w:w="536" w:type="dxa"/>
            <w:tcBorders>
              <w:top w:val="nil"/>
              <w:left w:val="single" w:sz="4" w:space="0" w:color="000000"/>
              <w:bottom w:val="nil"/>
              <w:right w:val="nil"/>
            </w:tcBorders>
            <w:shd w:val="clear" w:color="auto" w:fill="auto"/>
            <w:vAlign w:val="center"/>
          </w:tcPr>
          <w:p w14:paraId="715FDBED" w14:textId="77777777" w:rsidR="00422F08" w:rsidRPr="00AB3B09" w:rsidRDefault="00422F08"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10</w:t>
            </w:r>
          </w:p>
        </w:tc>
        <w:tc>
          <w:tcPr>
            <w:tcW w:w="496" w:type="dxa"/>
            <w:tcBorders>
              <w:top w:val="nil"/>
              <w:left w:val="nil"/>
              <w:bottom w:val="nil"/>
              <w:right w:val="nil"/>
            </w:tcBorders>
            <w:shd w:val="clear" w:color="auto" w:fill="auto"/>
            <w:vAlign w:val="center"/>
          </w:tcPr>
          <w:p w14:paraId="0584F662" w14:textId="77777777" w:rsidR="00422F08" w:rsidRPr="00AB3B09" w:rsidRDefault="00422F08"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0.3</w:t>
            </w:r>
          </w:p>
        </w:tc>
        <w:tc>
          <w:tcPr>
            <w:tcW w:w="1062" w:type="dxa"/>
            <w:tcBorders>
              <w:top w:val="nil"/>
              <w:left w:val="nil"/>
              <w:bottom w:val="nil"/>
              <w:right w:val="single" w:sz="4" w:space="0" w:color="000000"/>
            </w:tcBorders>
            <w:shd w:val="clear" w:color="auto" w:fill="auto"/>
            <w:vAlign w:val="center"/>
          </w:tcPr>
          <w:p w14:paraId="58ECB4A3" w14:textId="77777777" w:rsidR="00422F08" w:rsidRPr="00AB3B09" w:rsidRDefault="00422F08"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(0.2, 0.5)</w:t>
            </w:r>
          </w:p>
        </w:tc>
        <w:tc>
          <w:tcPr>
            <w:tcW w:w="567" w:type="dxa"/>
            <w:tcBorders>
              <w:top w:val="nil"/>
              <w:left w:val="single" w:sz="4" w:space="0" w:color="000000"/>
              <w:bottom w:val="nil"/>
              <w:right w:val="nil"/>
            </w:tcBorders>
            <w:shd w:val="clear" w:color="auto" w:fill="auto"/>
            <w:vAlign w:val="center"/>
          </w:tcPr>
          <w:p w14:paraId="0BDAC369" w14:textId="77777777" w:rsidR="00422F08" w:rsidRPr="00AB3B09" w:rsidRDefault="00422F08"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6</w:t>
            </w:r>
          </w:p>
        </w:tc>
        <w:tc>
          <w:tcPr>
            <w:tcW w:w="567" w:type="dxa"/>
            <w:tcBorders>
              <w:top w:val="nil"/>
              <w:left w:val="nil"/>
              <w:bottom w:val="nil"/>
              <w:right w:val="nil"/>
            </w:tcBorders>
            <w:shd w:val="clear" w:color="auto" w:fill="auto"/>
            <w:vAlign w:val="center"/>
          </w:tcPr>
          <w:p w14:paraId="62873FBA" w14:textId="77777777" w:rsidR="00422F08" w:rsidRPr="00AB3B09" w:rsidRDefault="00422F08"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0.2</w:t>
            </w:r>
          </w:p>
        </w:tc>
        <w:tc>
          <w:tcPr>
            <w:tcW w:w="992" w:type="dxa"/>
            <w:tcBorders>
              <w:top w:val="nil"/>
              <w:left w:val="nil"/>
              <w:bottom w:val="nil"/>
              <w:right w:val="nil"/>
            </w:tcBorders>
            <w:shd w:val="clear" w:color="auto" w:fill="auto"/>
            <w:vAlign w:val="center"/>
          </w:tcPr>
          <w:p w14:paraId="79A49F54" w14:textId="77777777" w:rsidR="00422F08" w:rsidRPr="00AB3B09" w:rsidRDefault="00422F08"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(0.1, 0.4)</w:t>
            </w:r>
          </w:p>
        </w:tc>
      </w:tr>
      <w:tr w:rsidR="004B2E77" w:rsidRPr="00AB3B09" w14:paraId="164597E8" w14:textId="77777777" w:rsidTr="00CA1CD6">
        <w:trPr>
          <w:jc w:val="center"/>
        </w:trPr>
        <w:tc>
          <w:tcPr>
            <w:cnfStyle w:val="001000000000" w:firstRow="0" w:lastRow="0" w:firstColumn="1" w:lastColumn="0" w:oddVBand="0" w:evenVBand="0" w:oddHBand="0" w:evenHBand="0" w:firstRowFirstColumn="0" w:firstRowLastColumn="0" w:lastRowFirstColumn="0" w:lastRowLastColumn="0"/>
            <w:tcW w:w="1146" w:type="dxa"/>
            <w:tcBorders>
              <w:top w:val="nil"/>
              <w:left w:val="nil"/>
              <w:bottom w:val="single" w:sz="4" w:space="0" w:color="auto"/>
              <w:right w:val="nil"/>
            </w:tcBorders>
            <w:shd w:val="clear" w:color="auto" w:fill="auto"/>
          </w:tcPr>
          <w:p w14:paraId="6B9E0220" w14:textId="77777777" w:rsidR="00422F08" w:rsidRPr="00AB3B09" w:rsidRDefault="00422F08" w:rsidP="00593AED">
            <w:pPr>
              <w:spacing w:before="20" w:after="20"/>
              <w:ind w:left="34"/>
              <w:rPr>
                <w:rFonts w:eastAsiaTheme="minorEastAsia"/>
                <w:sz w:val="16"/>
                <w:szCs w:val="18"/>
                <w:lang w:eastAsia="en-US"/>
              </w:rPr>
            </w:pPr>
            <w:r w:rsidRPr="00AB3B09">
              <w:rPr>
                <w:rFonts w:eastAsiaTheme="minorEastAsia"/>
                <w:b w:val="0"/>
                <w:sz w:val="16"/>
                <w:szCs w:val="18"/>
                <w:lang w:eastAsia="en-US"/>
              </w:rPr>
              <w:t>No gambling in past year</w:t>
            </w:r>
          </w:p>
        </w:tc>
        <w:tc>
          <w:tcPr>
            <w:tcW w:w="536" w:type="dxa"/>
            <w:tcBorders>
              <w:top w:val="nil"/>
              <w:left w:val="nil"/>
              <w:bottom w:val="single" w:sz="4" w:space="0" w:color="auto"/>
              <w:right w:val="nil"/>
            </w:tcBorders>
            <w:shd w:val="clear" w:color="auto" w:fill="auto"/>
            <w:noWrap/>
            <w:vAlign w:val="center"/>
          </w:tcPr>
          <w:p w14:paraId="27C4696E" w14:textId="77777777" w:rsidR="00422F08" w:rsidRPr="00AB3B09" w:rsidRDefault="00422F08" w:rsidP="00593AE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1261</w:t>
            </w:r>
          </w:p>
        </w:tc>
        <w:tc>
          <w:tcPr>
            <w:tcW w:w="496" w:type="dxa"/>
            <w:tcBorders>
              <w:top w:val="nil"/>
              <w:left w:val="nil"/>
              <w:bottom w:val="single" w:sz="4" w:space="0" w:color="auto"/>
              <w:right w:val="nil"/>
            </w:tcBorders>
            <w:shd w:val="clear" w:color="auto" w:fill="auto"/>
            <w:noWrap/>
            <w:vAlign w:val="center"/>
          </w:tcPr>
          <w:p w14:paraId="350D78B4" w14:textId="77777777" w:rsidR="00422F08" w:rsidRPr="00AB3B09" w:rsidRDefault="00422F08" w:rsidP="00593AE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20.2</w:t>
            </w:r>
          </w:p>
        </w:tc>
        <w:tc>
          <w:tcPr>
            <w:tcW w:w="963" w:type="dxa"/>
            <w:tcBorders>
              <w:top w:val="nil"/>
              <w:left w:val="nil"/>
              <w:bottom w:val="single" w:sz="4" w:space="0" w:color="auto"/>
              <w:right w:val="single" w:sz="4" w:space="0" w:color="auto"/>
            </w:tcBorders>
            <w:shd w:val="clear" w:color="auto" w:fill="auto"/>
            <w:noWrap/>
            <w:vAlign w:val="center"/>
          </w:tcPr>
          <w:p w14:paraId="60DC5FC4" w14:textId="77777777" w:rsidR="00422F08" w:rsidRPr="00AB3B09" w:rsidRDefault="00422F08" w:rsidP="00593AE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(19.0, 21.4)</w:t>
            </w:r>
          </w:p>
        </w:tc>
        <w:tc>
          <w:tcPr>
            <w:tcW w:w="536" w:type="dxa"/>
            <w:tcBorders>
              <w:top w:val="nil"/>
              <w:left w:val="single" w:sz="4" w:space="0" w:color="auto"/>
              <w:bottom w:val="single" w:sz="4" w:space="0" w:color="auto"/>
              <w:right w:val="nil"/>
            </w:tcBorders>
            <w:shd w:val="clear" w:color="auto" w:fill="auto"/>
            <w:noWrap/>
            <w:vAlign w:val="center"/>
          </w:tcPr>
          <w:p w14:paraId="0152BBE5" w14:textId="77777777" w:rsidR="00422F08" w:rsidRPr="00AB3B09" w:rsidRDefault="00422F08" w:rsidP="00593AE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828</w:t>
            </w:r>
          </w:p>
        </w:tc>
        <w:tc>
          <w:tcPr>
            <w:tcW w:w="496" w:type="dxa"/>
            <w:tcBorders>
              <w:top w:val="nil"/>
              <w:left w:val="nil"/>
              <w:bottom w:val="single" w:sz="4" w:space="0" w:color="auto"/>
              <w:right w:val="nil"/>
            </w:tcBorders>
            <w:shd w:val="clear" w:color="auto" w:fill="auto"/>
            <w:noWrap/>
            <w:vAlign w:val="center"/>
          </w:tcPr>
          <w:p w14:paraId="5DFF03ED" w14:textId="77777777" w:rsidR="00422F08" w:rsidRPr="00AB3B09" w:rsidRDefault="00422F08" w:rsidP="00593AE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22.1</w:t>
            </w:r>
          </w:p>
        </w:tc>
        <w:tc>
          <w:tcPr>
            <w:tcW w:w="963" w:type="dxa"/>
            <w:tcBorders>
              <w:top w:val="nil"/>
              <w:left w:val="nil"/>
              <w:bottom w:val="single" w:sz="4" w:space="0" w:color="auto"/>
              <w:right w:val="single" w:sz="4" w:space="0" w:color="000000"/>
            </w:tcBorders>
            <w:shd w:val="clear" w:color="auto" w:fill="auto"/>
            <w:noWrap/>
            <w:vAlign w:val="center"/>
          </w:tcPr>
          <w:p w14:paraId="1B467CBC" w14:textId="77777777" w:rsidR="00422F08" w:rsidRPr="00AB3B09" w:rsidRDefault="00422F08" w:rsidP="00593AE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8"/>
                <w:lang w:eastAsia="en-US"/>
              </w:rPr>
            </w:pPr>
            <w:r w:rsidRPr="00AB3B09">
              <w:rPr>
                <w:rFonts w:eastAsiaTheme="minorEastAsia"/>
                <w:sz w:val="16"/>
                <w:szCs w:val="18"/>
                <w:lang w:eastAsia="en-US"/>
              </w:rPr>
              <w:t>(20.5, 23.7)</w:t>
            </w:r>
          </w:p>
        </w:tc>
        <w:tc>
          <w:tcPr>
            <w:tcW w:w="536" w:type="dxa"/>
            <w:tcBorders>
              <w:top w:val="nil"/>
              <w:left w:val="single" w:sz="4" w:space="0" w:color="000000"/>
              <w:bottom w:val="single" w:sz="4" w:space="0" w:color="auto"/>
              <w:right w:val="nil"/>
            </w:tcBorders>
            <w:shd w:val="clear" w:color="auto" w:fill="auto"/>
            <w:vAlign w:val="center"/>
          </w:tcPr>
          <w:p w14:paraId="7A2BEADF" w14:textId="77777777" w:rsidR="00422F08" w:rsidRPr="00AB3B09" w:rsidRDefault="00422F08"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727</w:t>
            </w:r>
          </w:p>
        </w:tc>
        <w:tc>
          <w:tcPr>
            <w:tcW w:w="496" w:type="dxa"/>
            <w:tcBorders>
              <w:top w:val="nil"/>
              <w:left w:val="nil"/>
              <w:bottom w:val="single" w:sz="4" w:space="0" w:color="auto"/>
              <w:right w:val="nil"/>
            </w:tcBorders>
            <w:shd w:val="clear" w:color="auto" w:fill="auto"/>
            <w:vAlign w:val="center"/>
          </w:tcPr>
          <w:p w14:paraId="01DE5E28" w14:textId="77777777" w:rsidR="00422F08" w:rsidRPr="00AB3B09" w:rsidRDefault="00422F08"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23.3</w:t>
            </w:r>
          </w:p>
        </w:tc>
        <w:tc>
          <w:tcPr>
            <w:tcW w:w="1062" w:type="dxa"/>
            <w:tcBorders>
              <w:top w:val="nil"/>
              <w:left w:val="nil"/>
              <w:bottom w:val="single" w:sz="4" w:space="0" w:color="auto"/>
              <w:right w:val="single" w:sz="4" w:space="0" w:color="000000"/>
            </w:tcBorders>
            <w:shd w:val="clear" w:color="auto" w:fill="auto"/>
            <w:vAlign w:val="center"/>
          </w:tcPr>
          <w:p w14:paraId="4ACEE2CC" w14:textId="77777777" w:rsidR="00422F08" w:rsidRPr="00AB3B09" w:rsidRDefault="00422F08"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(21.3, 25.2)</w:t>
            </w:r>
          </w:p>
        </w:tc>
        <w:tc>
          <w:tcPr>
            <w:tcW w:w="567" w:type="dxa"/>
            <w:tcBorders>
              <w:top w:val="nil"/>
              <w:left w:val="single" w:sz="4" w:space="0" w:color="000000"/>
              <w:bottom w:val="single" w:sz="4" w:space="0" w:color="auto"/>
              <w:right w:val="nil"/>
            </w:tcBorders>
            <w:shd w:val="clear" w:color="auto" w:fill="auto"/>
            <w:vAlign w:val="center"/>
          </w:tcPr>
          <w:p w14:paraId="7DDF83C6" w14:textId="77777777" w:rsidR="00422F08" w:rsidRPr="00AB3B09" w:rsidRDefault="00422F08"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695</w:t>
            </w:r>
          </w:p>
        </w:tc>
        <w:tc>
          <w:tcPr>
            <w:tcW w:w="567" w:type="dxa"/>
            <w:tcBorders>
              <w:top w:val="nil"/>
              <w:left w:val="nil"/>
              <w:bottom w:val="single" w:sz="4" w:space="0" w:color="auto"/>
              <w:right w:val="nil"/>
            </w:tcBorders>
            <w:shd w:val="clear" w:color="auto" w:fill="auto"/>
            <w:vAlign w:val="center"/>
          </w:tcPr>
          <w:p w14:paraId="02CF47B5" w14:textId="77777777" w:rsidR="00422F08" w:rsidRPr="00AB3B09" w:rsidRDefault="00422F08"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25.1</w:t>
            </w:r>
          </w:p>
        </w:tc>
        <w:tc>
          <w:tcPr>
            <w:tcW w:w="992" w:type="dxa"/>
            <w:tcBorders>
              <w:top w:val="nil"/>
              <w:left w:val="nil"/>
              <w:bottom w:val="single" w:sz="4" w:space="0" w:color="auto"/>
              <w:right w:val="nil"/>
            </w:tcBorders>
            <w:shd w:val="clear" w:color="auto" w:fill="auto"/>
            <w:vAlign w:val="center"/>
          </w:tcPr>
          <w:p w14:paraId="64FE9922" w14:textId="77777777" w:rsidR="00422F08" w:rsidRPr="00AB3B09" w:rsidRDefault="00422F08" w:rsidP="00593AED">
            <w:pPr>
              <w:jc w:val="right"/>
              <w:cnfStyle w:val="000000000000" w:firstRow="0" w:lastRow="0" w:firstColumn="0" w:lastColumn="0" w:oddVBand="0" w:evenVBand="0" w:oddHBand="0" w:evenHBand="0" w:firstRowFirstColumn="0" w:firstRowLastColumn="0" w:lastRowFirstColumn="0" w:lastRowLastColumn="0"/>
              <w:rPr>
                <w:color w:val="000000"/>
                <w:sz w:val="16"/>
                <w:szCs w:val="18"/>
              </w:rPr>
            </w:pPr>
            <w:r w:rsidRPr="00AB3B09">
              <w:rPr>
                <w:color w:val="000000"/>
                <w:sz w:val="16"/>
                <w:szCs w:val="18"/>
              </w:rPr>
              <w:t>(23.0, 27.2)</w:t>
            </w:r>
          </w:p>
        </w:tc>
      </w:tr>
    </w:tbl>
    <w:p w14:paraId="06E14EA4" w14:textId="77777777" w:rsidR="00422F08" w:rsidRPr="00AB3B09" w:rsidRDefault="00422F08" w:rsidP="00422F08">
      <w:pPr>
        <w:ind w:left="-567"/>
        <w:jc w:val="both"/>
        <w:rPr>
          <w:sz w:val="16"/>
        </w:rPr>
      </w:pPr>
      <w:r w:rsidRPr="00AB3B09">
        <w:rPr>
          <w:sz w:val="16"/>
        </w:rPr>
        <w:t>Data weighted for 2013 Census data (all waves) and attrition (Waves 2, 3 and 4)</w:t>
      </w:r>
    </w:p>
    <w:p w14:paraId="0C929544" w14:textId="77777777" w:rsidR="00422F08" w:rsidRPr="00AB3B09" w:rsidRDefault="00422F08" w:rsidP="00422F08">
      <w:pPr>
        <w:pStyle w:val="RepNormal"/>
        <w:ind w:left="-567"/>
        <w:rPr>
          <w:sz w:val="16"/>
        </w:rPr>
      </w:pPr>
      <w:r w:rsidRPr="00AB3B09">
        <w:rPr>
          <w:sz w:val="16"/>
        </w:rPr>
        <w:t>Wave 1 N=6,251; Wave 2 N=3,745; Wave 3 N=3,115; Wave 4 N=2,770</w:t>
      </w:r>
    </w:p>
    <w:p w14:paraId="6E750135" w14:textId="77777777" w:rsidR="00422F08" w:rsidRDefault="00422F08" w:rsidP="00422F08">
      <w:pPr>
        <w:pStyle w:val="RepNormal"/>
      </w:pPr>
    </w:p>
    <w:p w14:paraId="19BC2E3D" w14:textId="77777777" w:rsidR="00422F08" w:rsidRPr="00D2168E" w:rsidRDefault="00422F08" w:rsidP="00D2168E">
      <w:pPr>
        <w:pStyle w:val="RepNormal"/>
      </w:pPr>
    </w:p>
    <w:p w14:paraId="6346A7DC" w14:textId="77777777" w:rsidR="0046000D" w:rsidRPr="00D2168E" w:rsidRDefault="00CD1F83" w:rsidP="00B07458">
      <w:pPr>
        <w:pStyle w:val="RepHead3"/>
      </w:pPr>
      <w:bookmarkStart w:id="108" w:name="_Ref470091258"/>
      <w:bookmarkStart w:id="109" w:name="_Toc504488366"/>
      <w:r>
        <w:t>Gambling risk levels by socio</w:t>
      </w:r>
      <w:r w:rsidR="004F007F">
        <w:t>demographic</w:t>
      </w:r>
      <w:r w:rsidR="00B6484F">
        <w:t xml:space="preserve"> variable</w:t>
      </w:r>
      <w:r w:rsidR="004F007F">
        <w:t>s</w:t>
      </w:r>
      <w:bookmarkEnd w:id="108"/>
      <w:bookmarkEnd w:id="109"/>
    </w:p>
    <w:p w14:paraId="28A28AA0" w14:textId="77777777" w:rsidR="0046000D" w:rsidRPr="004F007F" w:rsidRDefault="0046000D" w:rsidP="00B07458">
      <w:pPr>
        <w:pStyle w:val="RepNormal"/>
        <w:keepNext/>
      </w:pPr>
    </w:p>
    <w:p w14:paraId="7EACDE95" w14:textId="77777777" w:rsidR="004F007F" w:rsidRDefault="004F007F" w:rsidP="00B07458">
      <w:pPr>
        <w:pStyle w:val="RepNormal"/>
        <w:keepNext/>
      </w:pPr>
      <w:r w:rsidRPr="001F5099">
        <w:t xml:space="preserve">Data are presented in Appendix </w:t>
      </w:r>
      <w:r w:rsidR="003D7BB5">
        <w:t>22</w:t>
      </w:r>
      <w:r w:rsidRPr="001F5099">
        <w:t>.</w:t>
      </w:r>
    </w:p>
    <w:p w14:paraId="48E3FEC0" w14:textId="77777777" w:rsidR="004F007F" w:rsidRDefault="004F007F" w:rsidP="00B07458">
      <w:pPr>
        <w:pStyle w:val="RepNormal"/>
        <w:keepNext/>
      </w:pPr>
    </w:p>
    <w:p w14:paraId="6DB0F911" w14:textId="477979AF" w:rsidR="004F007F" w:rsidRDefault="0065088E" w:rsidP="00B07458">
      <w:pPr>
        <w:pStyle w:val="RepNormal"/>
        <w:keepNext/>
      </w:pPr>
      <w:r>
        <w:t>In Wave 4</w:t>
      </w:r>
      <w:r w:rsidR="004F007F">
        <w:t>, similar proportions of males and females were mod</w:t>
      </w:r>
      <w:r>
        <w:t>erate-risk/problem gamblers (2.2</w:t>
      </w:r>
      <w:r w:rsidR="004F007F">
        <w:t>% males, 1.9% females), low-risk gamblers (</w:t>
      </w:r>
      <w:r>
        <w:t>4.9%, 4.3</w:t>
      </w:r>
      <w:r w:rsidR="004F007F">
        <w:t>%) and non-problem gamblers (</w:t>
      </w:r>
      <w:r>
        <w:t>69</w:t>
      </w:r>
      <w:r w:rsidR="004F007F">
        <w:t xml:space="preserve">%, </w:t>
      </w:r>
      <w:r>
        <w:t>67</w:t>
      </w:r>
      <w:r w:rsidR="004F007F">
        <w:t xml:space="preserve">%).  </w:t>
      </w:r>
      <w:r>
        <w:t>Twenty-four percent of</w:t>
      </w:r>
      <w:r w:rsidR="004F007F">
        <w:t xml:space="preserve"> males and </w:t>
      </w:r>
      <w:r>
        <w:t>26</w:t>
      </w:r>
      <w:r w:rsidRPr="001030E2">
        <w:t xml:space="preserve">% </w:t>
      </w:r>
      <w:r w:rsidR="007526C8" w:rsidRPr="001030E2">
        <w:t xml:space="preserve">of </w:t>
      </w:r>
      <w:r w:rsidR="004F007F" w:rsidRPr="001030E2">
        <w:t>females</w:t>
      </w:r>
      <w:r>
        <w:t xml:space="preserve"> </w:t>
      </w:r>
      <w:r w:rsidR="007526C8">
        <w:t>had not gambled in the prior 12 </w:t>
      </w:r>
      <w:r w:rsidR="004F007F">
        <w:t xml:space="preserve">months.  There were no </w:t>
      </w:r>
      <w:r w:rsidR="001F5099">
        <w:t>substantial</w:t>
      </w:r>
      <w:r w:rsidR="004F007F">
        <w:t xml:space="preserve"> changes over the four waves for males.  For females, the proportion of non-problem gamblers decreased slightly </w:t>
      </w:r>
      <w:r>
        <w:t>from Wave 1</w:t>
      </w:r>
      <w:r w:rsidR="004F007F">
        <w:t xml:space="preserve"> </w:t>
      </w:r>
      <w:r>
        <w:t xml:space="preserve">to </w:t>
      </w:r>
      <w:r w:rsidR="004F007F">
        <w:t xml:space="preserve">Wave 2 to </w:t>
      </w:r>
      <w:r>
        <w:t xml:space="preserve">(73% to </w:t>
      </w:r>
      <w:r w:rsidR="004F007F">
        <w:t>69%</w:t>
      </w:r>
      <w:r>
        <w:t>)</w:t>
      </w:r>
      <w:r w:rsidR="004F007F">
        <w:t xml:space="preserve"> and then stayed at this level (</w:t>
      </w:r>
      <w:r>
        <w:t>67%</w:t>
      </w:r>
      <w:r w:rsidR="001F5099">
        <w:t xml:space="preserve"> in Wave 4</w:t>
      </w:r>
      <w:r w:rsidR="004F007F">
        <w:t xml:space="preserve">).  The proportion of females who had not gambled in the </w:t>
      </w:r>
      <w:r w:rsidR="001F5099">
        <w:t>prior</w:t>
      </w:r>
      <w:r w:rsidR="004F007F">
        <w:t xml:space="preserve"> year increased </w:t>
      </w:r>
      <w:r>
        <w:t>from Wave 1 to</w:t>
      </w:r>
      <w:r w:rsidR="004F007F">
        <w:t xml:space="preserve"> Wave 4 to </w:t>
      </w:r>
      <w:r w:rsidR="001F5099">
        <w:t>(20</w:t>
      </w:r>
      <w:r>
        <w:t xml:space="preserve">% to </w:t>
      </w:r>
      <w:r w:rsidR="004F007F">
        <w:t>26%</w:t>
      </w:r>
      <w:r>
        <w:t>)</w:t>
      </w:r>
      <w:r w:rsidR="004F007F">
        <w:t>.</w:t>
      </w:r>
    </w:p>
    <w:p w14:paraId="395001E7" w14:textId="77777777" w:rsidR="004F007F" w:rsidRDefault="004F007F" w:rsidP="000D1CF7">
      <w:pPr>
        <w:pStyle w:val="RepNormal"/>
      </w:pPr>
    </w:p>
    <w:p w14:paraId="4D65D727" w14:textId="77777777" w:rsidR="004F007F" w:rsidRDefault="00DB02A7" w:rsidP="000D1CF7">
      <w:pPr>
        <w:pStyle w:val="RepNormal"/>
      </w:pPr>
      <w:r>
        <w:t xml:space="preserve">A higher proportion of participants aged 18 to 39 years were moderate-risk/problem gamblers in Wave </w:t>
      </w:r>
      <w:r w:rsidR="0065088E">
        <w:t>4</w:t>
      </w:r>
      <w:r>
        <w:t xml:space="preserve"> (3.</w:t>
      </w:r>
      <w:r w:rsidR="0065088E">
        <w:t>2</w:t>
      </w:r>
      <w:r>
        <w:t>%), compared wit</w:t>
      </w:r>
      <w:r w:rsidR="0065088E">
        <w:t>h those aged 40 to 59 years (1.6</w:t>
      </w:r>
      <w:r>
        <w:t>%) or 60 years and older (</w:t>
      </w:r>
      <w:r w:rsidR="0065088E">
        <w:t>1.0</w:t>
      </w:r>
      <w:r>
        <w:t xml:space="preserve">%).  </w:t>
      </w:r>
      <w:r w:rsidR="0065088E">
        <w:t>A similar pattern was</w:t>
      </w:r>
      <w:r>
        <w:t xml:space="preserve"> noted for low-risk gamblers (6.</w:t>
      </w:r>
      <w:r w:rsidR="0065088E">
        <w:t>4</w:t>
      </w:r>
      <w:r>
        <w:t xml:space="preserve">% vs. 4.1% and </w:t>
      </w:r>
      <w:r w:rsidR="0065088E">
        <w:t>2.3</w:t>
      </w:r>
      <w:r>
        <w:t>%)</w:t>
      </w:r>
      <w:r w:rsidR="0065088E">
        <w:t>.  For</w:t>
      </w:r>
      <w:r>
        <w:t xml:space="preserve"> non-problem gamblers</w:t>
      </w:r>
      <w:r w:rsidR="0065088E">
        <w:t>, the pattern was reversed with a lower proportion amongst the younger age group</w:t>
      </w:r>
      <w:r>
        <w:t xml:space="preserve"> (6</w:t>
      </w:r>
      <w:r w:rsidR="0065088E">
        <w:t>0</w:t>
      </w:r>
      <w:r>
        <w:t>% vs. 7</w:t>
      </w:r>
      <w:r w:rsidR="0065088E">
        <w:t>7</w:t>
      </w:r>
      <w:r>
        <w:t xml:space="preserve">% and </w:t>
      </w:r>
      <w:r w:rsidR="0065088E">
        <w:t>69</w:t>
      </w:r>
      <w:r>
        <w:t xml:space="preserve">%).  </w:t>
      </w:r>
      <w:r w:rsidR="0065088E">
        <w:t xml:space="preserve">Although in some cases the confidence intervals overlapped in Wave 4, </w:t>
      </w:r>
      <w:r w:rsidR="00412669">
        <w:t>suggesting</w:t>
      </w:r>
      <w:r w:rsidR="0065088E">
        <w:t xml:space="preserve"> no difference between the age groups, similar patterns and percentages were noted in Wave 1 where confidence intervals did not overlap</w:t>
      </w:r>
      <w:r w:rsidR="00D66297">
        <w:t>,</w:t>
      </w:r>
      <w:r w:rsidR="0065088E">
        <w:t xml:space="preserve"> implying a valid difference.  </w:t>
      </w:r>
      <w:r w:rsidR="00ED3008">
        <w:t>The only change noted over time was</w:t>
      </w:r>
      <w:r>
        <w:t xml:space="preserve"> for participants aged 18 to 39 years</w:t>
      </w:r>
      <w:r w:rsidR="00ED3008">
        <w:t>;</w:t>
      </w:r>
      <w:r>
        <w:t xml:space="preserve"> in Wave 4, a higher percentage had not gambled in the prior 12 months compared to Wave 1 (30% vs. 22%).</w:t>
      </w:r>
    </w:p>
    <w:p w14:paraId="56FBE402" w14:textId="77777777" w:rsidR="00D66297" w:rsidRDefault="00D66297" w:rsidP="000D1CF7">
      <w:pPr>
        <w:pStyle w:val="RepNormal"/>
      </w:pPr>
    </w:p>
    <w:p w14:paraId="18670FB3" w14:textId="77777777" w:rsidR="009E5311" w:rsidRDefault="00422F08" w:rsidP="009E5311">
      <w:pPr>
        <w:pStyle w:val="RepNormal"/>
        <w:keepNext/>
      </w:pPr>
      <w:r w:rsidRPr="001F5099">
        <w:t>When gambling risk was examined by ethnicity</w:t>
      </w:r>
      <w:r w:rsidR="00AB77E4" w:rsidRPr="001F5099">
        <w:t xml:space="preserve"> in Wave 4</w:t>
      </w:r>
      <w:r w:rsidRPr="001F5099">
        <w:t xml:space="preserve">, </w:t>
      </w:r>
      <w:r w:rsidR="00AB77E4" w:rsidRPr="001F5099">
        <w:t>a substantially higher proportion of</w:t>
      </w:r>
      <w:r w:rsidR="00AB77E4">
        <w:t xml:space="preserve"> Māori and Pacific participants were moderate-risk/problem gamblers (8.6% </w:t>
      </w:r>
      <w:r w:rsidR="009E5311">
        <w:t>Māori, 7.6% Pacific)</w:t>
      </w:r>
      <w:r w:rsidR="00412669">
        <w:t>,</w:t>
      </w:r>
      <w:r w:rsidR="009E5311">
        <w:t xml:space="preserve"> compared with European/Other (0.9%) and Asian (1.2%) participants.  A higher proportion of Pacific participants were low-risk gamblers (8.8%)</w:t>
      </w:r>
      <w:r w:rsidR="00412669">
        <w:t>,</w:t>
      </w:r>
      <w:r w:rsidR="009E5311">
        <w:t xml:space="preserve"> compared with European/ Other participants (4.1); 6.4% of Māori and 4.5% of Asian participants were low-risk gamblers.  Lower proportions of Pacific (53%) and Asian (54%) participants were non-problem gamblers</w:t>
      </w:r>
      <w:r w:rsidR="00412669">
        <w:t>,</w:t>
      </w:r>
      <w:r w:rsidR="009E5311">
        <w:t xml:space="preserve"> compared with European/Other participants (72%); the proportion was 65% for Māori.  A greater proportion of Asian participants had not gambled in the prior 12 months (41%)</w:t>
      </w:r>
      <w:r w:rsidR="00412669">
        <w:t>,</w:t>
      </w:r>
      <w:r w:rsidR="009E5311">
        <w:t xml:space="preserve"> compared with European/Other participants (23%); non-gamblers comprised 20% of Māori and 31% of Pacific people.  T</w:t>
      </w:r>
      <w:r>
        <w:t xml:space="preserve">he only </w:t>
      </w:r>
      <w:r w:rsidR="001F5099">
        <w:t>changes</w:t>
      </w:r>
      <w:r>
        <w:t xml:space="preserve"> over time </w:t>
      </w:r>
      <w:r w:rsidR="001F5099">
        <w:t>were</w:t>
      </w:r>
      <w:r>
        <w:t xml:space="preserve"> for European/Other participants, of whom a higher proportion had not gambled in the prior 12 months in Wave 4</w:t>
      </w:r>
      <w:r w:rsidR="00412669">
        <w:t>,</w:t>
      </w:r>
      <w:r>
        <w:t xml:space="preserve"> compared with Wave 1 (23% vs. 18%) and a lower proportion were non-problem gamblers in Wave 1</w:t>
      </w:r>
      <w:r w:rsidR="00412669">
        <w:t>,</w:t>
      </w:r>
      <w:r>
        <w:t xml:space="preserve"> compared with Wave 4 (72% vs. 77%)</w:t>
      </w:r>
      <w:r w:rsidR="009E5311">
        <w:t>.</w:t>
      </w:r>
    </w:p>
    <w:p w14:paraId="44D1F9E1" w14:textId="77777777" w:rsidR="009E5311" w:rsidRDefault="009E5311" w:rsidP="009E5311">
      <w:pPr>
        <w:pStyle w:val="RepNormal"/>
        <w:keepNext/>
      </w:pPr>
    </w:p>
    <w:p w14:paraId="466BFAE3" w14:textId="77777777" w:rsidR="009E5311" w:rsidRDefault="005906E7" w:rsidP="009E5311">
      <w:pPr>
        <w:pStyle w:val="RepNormal"/>
        <w:keepNext/>
      </w:pPr>
      <w:r>
        <w:t>In Wave 4, a higher proportion of New Zealand born participants were non-problem gamblers (72%)</w:t>
      </w:r>
      <w:r w:rsidR="00C01191">
        <w:t>,</w:t>
      </w:r>
      <w:r>
        <w:t xml:space="preserve"> compared with migrants who had arrived before 2008 (61%) or since 2008 (47%).  Migrants were more likely to have not gambled in the prior </w:t>
      </w:r>
      <w:r w:rsidR="00ED3008">
        <w:t>12 months (32% before 2008, 49% </w:t>
      </w:r>
      <w:r>
        <w:t>since 2008) than New Zealand born participants (21%).</w:t>
      </w:r>
      <w:r w:rsidRPr="005906E7">
        <w:t xml:space="preserve"> </w:t>
      </w:r>
      <w:r>
        <w:t xml:space="preserve"> The only </w:t>
      </w:r>
      <w:r w:rsidR="00ED3008">
        <w:t>changes</w:t>
      </w:r>
      <w:r>
        <w:t xml:space="preserve"> over time were for New Zealand born participants.  The proportion who had not gambled in the prior 12 months increased from 17% in Wave 1 to 21% in Wave 4, whilst the proportion who were non-problem gamblers slightly decreased from 76% in Wave 1 to 72% in Wave 4.</w:t>
      </w:r>
    </w:p>
    <w:p w14:paraId="3784C19D" w14:textId="77777777" w:rsidR="000E3E32" w:rsidRDefault="000E3E32" w:rsidP="009E5311">
      <w:pPr>
        <w:pStyle w:val="RepNormal"/>
        <w:keepNext/>
      </w:pPr>
    </w:p>
    <w:p w14:paraId="7B047421" w14:textId="77777777" w:rsidR="000E3E32" w:rsidRDefault="000E3E32" w:rsidP="009E5311">
      <w:pPr>
        <w:pStyle w:val="RepNormal"/>
        <w:keepNext/>
      </w:pPr>
      <w:r>
        <w:t>A lower proportion of unemployed participants were non-problem gamblers in Wave 4 (49%)</w:t>
      </w:r>
      <w:r w:rsidR="00C01191">
        <w:t>,</w:t>
      </w:r>
      <w:r>
        <w:t xml:space="preserve"> compared with employed participants (71%); 66% of students/homemakers/retired participants were non-problem gamblers.</w:t>
      </w:r>
      <w:r w:rsidR="00B06FA3">
        <w:t xml:space="preserve">  The latter group were </w:t>
      </w:r>
      <w:r w:rsidR="007F45F5">
        <w:t>more</w:t>
      </w:r>
      <w:r w:rsidR="00B06FA3">
        <w:t xml:space="preserve"> likely </w:t>
      </w:r>
      <w:r w:rsidR="007F45F5">
        <w:t>to have not gambled in the prior 12 months (30%) than employed participants (23%); 32% of unemployed participants had not gambled in the prior year.</w:t>
      </w:r>
      <w:r w:rsidR="007F45F5" w:rsidRPr="007F45F5">
        <w:t xml:space="preserve"> </w:t>
      </w:r>
      <w:r w:rsidR="007F45F5">
        <w:t xml:space="preserve"> The percentage of non-problem gamblers among employed participants slightly decreased from Wave 1 (75%) to Wave 4 (71%).  A larger decrease was noted for unemployed non-problem gamblers, from 65% in Wave 1 reducing to </w:t>
      </w:r>
      <w:r w:rsidR="00ED3008">
        <w:t>53% in Wave </w:t>
      </w:r>
      <w:r w:rsidR="00661182">
        <w:t>3, stabilising in Wave 4 (49%).</w:t>
      </w:r>
    </w:p>
    <w:p w14:paraId="74E81CDB" w14:textId="77777777" w:rsidR="00422F08" w:rsidRDefault="00422F08" w:rsidP="00422F08">
      <w:pPr>
        <w:pStyle w:val="RepNormal"/>
      </w:pPr>
    </w:p>
    <w:p w14:paraId="07A7FBF7" w14:textId="77777777" w:rsidR="00D66297" w:rsidRDefault="00C0327B" w:rsidP="000D1CF7">
      <w:pPr>
        <w:pStyle w:val="RepNormal"/>
      </w:pPr>
      <w:r>
        <w:t xml:space="preserve">In Wave 4, higher proportions of </w:t>
      </w:r>
      <w:r w:rsidR="00ED3008">
        <w:t>moderate-risk/problem gamblers</w:t>
      </w:r>
      <w:r>
        <w:t xml:space="preserve"> experienc</w:t>
      </w:r>
      <w:r w:rsidR="00ED3008">
        <w:t>ed</w:t>
      </w:r>
      <w:r>
        <w:t xml:space="preserve"> five or more individual levels of deprivation </w:t>
      </w:r>
      <w:r w:rsidR="00ED3008">
        <w:t>than moderate-risk/problem gamblers who did not experience any deprivation</w:t>
      </w:r>
      <w:r>
        <w:t xml:space="preserve"> (11% vs. 1.0%)</w:t>
      </w:r>
      <w:r w:rsidR="00ED3008">
        <w:t>; a similar finding was noted for</w:t>
      </w:r>
      <w:r>
        <w:t xml:space="preserve"> low-risk gamblers (20% vs. 3.1%</w:t>
      </w:r>
      <w:r w:rsidR="008604EB">
        <w:t>)</w:t>
      </w:r>
      <w:r>
        <w:t xml:space="preserve">.  People with no deprivation were more likely to be non-problem gamblers (73%) than people with one or more levels of deprivation (42% to 63%).  There were no major differences in proportions of participants who had not gambled in the prior 12 months and levels of deprivation.  There were no changes in the </w:t>
      </w:r>
      <w:r w:rsidR="008604EB">
        <w:t>findings</w:t>
      </w:r>
      <w:r>
        <w:t xml:space="preserve"> over time.</w:t>
      </w:r>
    </w:p>
    <w:p w14:paraId="5279F6B1" w14:textId="77777777" w:rsidR="00315163" w:rsidRPr="004F007F" w:rsidRDefault="00315163" w:rsidP="000D1CF7">
      <w:pPr>
        <w:pStyle w:val="RepNormal"/>
      </w:pPr>
    </w:p>
    <w:p w14:paraId="2BF9B47A" w14:textId="77777777" w:rsidR="00F62E37" w:rsidRPr="004F007F" w:rsidRDefault="00F62E37" w:rsidP="00F62E37">
      <w:pPr>
        <w:pStyle w:val="RepNormal"/>
        <w:rPr>
          <w:sz w:val="16"/>
          <w:szCs w:val="16"/>
        </w:rPr>
      </w:pPr>
    </w:p>
    <w:p w14:paraId="258D6D6F" w14:textId="77777777" w:rsidR="00315163" w:rsidRPr="00D2168E" w:rsidRDefault="00315163" w:rsidP="00315163">
      <w:pPr>
        <w:pStyle w:val="RepHead3"/>
      </w:pPr>
      <w:bookmarkStart w:id="110" w:name="_Ref470186191"/>
      <w:bookmarkStart w:id="111" w:name="_Toc504488367"/>
      <w:r>
        <w:t xml:space="preserve">Gambling risk levels by gambling </w:t>
      </w:r>
      <w:r w:rsidR="0008676D">
        <w:t>behaviour</w:t>
      </w:r>
      <w:bookmarkEnd w:id="110"/>
      <w:bookmarkEnd w:id="111"/>
    </w:p>
    <w:p w14:paraId="3DAC0F3F" w14:textId="77777777" w:rsidR="00315163" w:rsidRPr="004F007F" w:rsidRDefault="00315163" w:rsidP="00315163">
      <w:pPr>
        <w:pStyle w:val="RepNormal"/>
      </w:pPr>
    </w:p>
    <w:p w14:paraId="0CD1A826" w14:textId="77777777" w:rsidR="00315163" w:rsidRDefault="00315163" w:rsidP="00315163">
      <w:pPr>
        <w:pStyle w:val="RepNormal"/>
      </w:pPr>
      <w:r w:rsidRPr="00FF44B5">
        <w:t xml:space="preserve">Data are presented in Appendix </w:t>
      </w:r>
      <w:r w:rsidR="003D7BB5" w:rsidRPr="00FF44B5">
        <w:t>23</w:t>
      </w:r>
      <w:r w:rsidRPr="00FF44B5">
        <w:t>.</w:t>
      </w:r>
    </w:p>
    <w:p w14:paraId="622C7F7C" w14:textId="77777777" w:rsidR="00315163" w:rsidRDefault="00315163" w:rsidP="00315163">
      <w:pPr>
        <w:pStyle w:val="RepNormal"/>
      </w:pPr>
    </w:p>
    <w:p w14:paraId="6023B566" w14:textId="1CAEF40A" w:rsidR="00315163" w:rsidRPr="00F60109" w:rsidRDefault="00592BAA" w:rsidP="00315163">
      <w:pPr>
        <w:pStyle w:val="RepNormal"/>
      </w:pPr>
      <w:r w:rsidRPr="00F60109">
        <w:t>In Wave 4</w:t>
      </w:r>
      <w:r w:rsidR="00317B90" w:rsidRPr="00F60109">
        <w:t xml:space="preserve">, a higher proportion of moderate-risk/problem gamblers </w:t>
      </w:r>
      <w:r w:rsidR="00FF44B5" w:rsidRPr="00F60109">
        <w:t xml:space="preserve">had </w:t>
      </w:r>
      <w:r w:rsidR="00317B90" w:rsidRPr="00F60109">
        <w:t>gambled on seven to nine activities</w:t>
      </w:r>
      <w:r w:rsidR="00FF44B5" w:rsidRPr="00F60109">
        <w:t xml:space="preserve"> in the prior 12 months</w:t>
      </w:r>
      <w:r w:rsidR="001B2200" w:rsidRPr="00F60109">
        <w:t xml:space="preserve"> (15%)</w:t>
      </w:r>
      <w:r w:rsidR="00317B90" w:rsidRPr="00F60109">
        <w:t xml:space="preserve">, compared </w:t>
      </w:r>
      <w:r w:rsidR="00F03B3D" w:rsidRPr="00F60109">
        <w:t>to those gambling on</w:t>
      </w:r>
      <w:r w:rsidR="00317B90" w:rsidRPr="00F60109">
        <w:t xml:space="preserve"> one</w:t>
      </w:r>
      <w:r w:rsidRPr="00F60109">
        <w:t xml:space="preserve"> (0.4%), two (1.3%) or</w:t>
      </w:r>
      <w:r w:rsidR="00317B90" w:rsidRPr="00F60109">
        <w:t xml:space="preserve"> three activities</w:t>
      </w:r>
      <w:r w:rsidR="001B2200" w:rsidRPr="00F60109">
        <w:t xml:space="preserve"> (</w:t>
      </w:r>
      <w:r w:rsidRPr="00F60109">
        <w:t>3.4%)</w:t>
      </w:r>
      <w:r w:rsidR="00317B90" w:rsidRPr="00F60109">
        <w:t xml:space="preserve">.  </w:t>
      </w:r>
      <w:r w:rsidRPr="00F60109">
        <w:t xml:space="preserve">This finding was similar across the waves.  </w:t>
      </w:r>
      <w:r w:rsidR="00317B90" w:rsidRPr="00F60109">
        <w:t xml:space="preserve">A </w:t>
      </w:r>
      <w:r w:rsidRPr="00F60109">
        <w:t>comparable</w:t>
      </w:r>
      <w:r w:rsidR="00317B90" w:rsidRPr="00F60109">
        <w:t xml:space="preserve"> trend was noted for low-risk gamblers.  For non-problem gamblers, the opposite trend was noted with a lower proportion gambling on seven to nine activities (58%</w:t>
      </w:r>
      <w:r w:rsidR="00C75BB8" w:rsidRPr="00F60109">
        <w:t xml:space="preserve"> in Wave 4</w:t>
      </w:r>
      <w:r w:rsidR="00317B90" w:rsidRPr="00F60109">
        <w:t>), compared with less activities (81% to 96%).  There were no changes in the trend</w:t>
      </w:r>
      <w:r w:rsidR="00FF44B5" w:rsidRPr="00F60109">
        <w:t>s over time.  After Wave </w:t>
      </w:r>
      <w:r w:rsidR="00317B90" w:rsidRPr="00F60109">
        <w:t xml:space="preserve">1, the sample sizes were too small to meaningfully examine participants who </w:t>
      </w:r>
      <w:r w:rsidR="00F03B3D" w:rsidRPr="00F60109">
        <w:t xml:space="preserve">had </w:t>
      </w:r>
      <w:r w:rsidR="00317B90" w:rsidRPr="00F60109">
        <w:t>gambled on 10 or more activities.</w:t>
      </w:r>
    </w:p>
    <w:p w14:paraId="54F305D6" w14:textId="77777777" w:rsidR="00317B90" w:rsidRPr="00F60109" w:rsidRDefault="00317B90" w:rsidP="00315163">
      <w:pPr>
        <w:pStyle w:val="RepNormal"/>
      </w:pPr>
    </w:p>
    <w:p w14:paraId="0A33BF48" w14:textId="5B9E58FD" w:rsidR="00317B90" w:rsidRDefault="005B6AFA" w:rsidP="00315163">
      <w:pPr>
        <w:pStyle w:val="RepNormal"/>
      </w:pPr>
      <w:r w:rsidRPr="00F60109">
        <w:t>From Waves 1 to 4, a</w:t>
      </w:r>
      <w:r w:rsidR="00C9693E" w:rsidRPr="00F60109">
        <w:t xml:space="preserve"> higher proportion of moderate-risk/problem gamblers gambled weekly </w:t>
      </w:r>
      <w:r w:rsidR="00F03B3D" w:rsidRPr="00F60109">
        <w:t xml:space="preserve">or more often </w:t>
      </w:r>
      <w:r w:rsidRPr="00F60109">
        <w:t>compared with those who</w:t>
      </w:r>
      <w:r w:rsidR="00C9693E" w:rsidRPr="00F60109">
        <w:t xml:space="preserve"> gambled at a lower frequency.  In Wave 4, 6.2% of</w:t>
      </w:r>
      <w:r w:rsidR="00C9693E">
        <w:t xml:space="preserve"> moderate-risk/problem gamblers gambled weekly </w:t>
      </w:r>
      <w:r w:rsidR="00483A00">
        <w:t xml:space="preserve">or more often </w:t>
      </w:r>
      <w:r w:rsidR="00C9693E">
        <w:t xml:space="preserve">compared with 2.2% </w:t>
      </w:r>
      <w:r w:rsidR="00483A00">
        <w:t xml:space="preserve">who gambled </w:t>
      </w:r>
      <w:r w:rsidR="00C9693E">
        <w:t>monthly</w:t>
      </w:r>
      <w:r w:rsidR="00F03B3D">
        <w:t xml:space="preserve"> or more often</w:t>
      </w:r>
      <w:r w:rsidR="00C9693E">
        <w:t xml:space="preserve">, 1.6% </w:t>
      </w:r>
      <w:r w:rsidR="00483A00">
        <w:t xml:space="preserve">who gambled </w:t>
      </w:r>
      <w:r w:rsidR="00C9693E">
        <w:t>six monthly</w:t>
      </w:r>
      <w:r w:rsidR="00F03B3D">
        <w:t xml:space="preserve"> or more often</w:t>
      </w:r>
      <w:r w:rsidR="00C9693E">
        <w:t xml:space="preserve">, </w:t>
      </w:r>
      <w:r w:rsidR="00483A00">
        <w:t xml:space="preserve">and </w:t>
      </w:r>
      <w:r w:rsidR="00C9693E">
        <w:t xml:space="preserve">0.4% </w:t>
      </w:r>
      <w:r w:rsidR="00483A00">
        <w:t xml:space="preserve">who gambled </w:t>
      </w:r>
      <w:r w:rsidR="00C9693E">
        <w:t>at least once in the past year.  Higher proportions of low-risk gamblers gambled at least weekly or monthly compared with less often.</w:t>
      </w:r>
      <w:r w:rsidR="00C75BB8">
        <w:t xml:space="preserve">  Conversely, lower proportions of non-problem gamblers gambled </w:t>
      </w:r>
      <w:r w:rsidR="00483A00">
        <w:t xml:space="preserve">at least </w:t>
      </w:r>
      <w:r w:rsidR="00C75BB8">
        <w:t>weekly (83% in Wave 4) or monthly (90%)</w:t>
      </w:r>
      <w:r w:rsidR="00483A00">
        <w:t>,</w:t>
      </w:r>
      <w:r w:rsidR="00C75BB8">
        <w:t xml:space="preserve"> compared with less often (95% to 98%).</w:t>
      </w:r>
      <w:r w:rsidR="00C75BB8" w:rsidRPr="00C75BB8">
        <w:t xml:space="preserve"> </w:t>
      </w:r>
      <w:r w:rsidR="00C75BB8">
        <w:t xml:space="preserve"> There were no changes in the trends over time.</w:t>
      </w:r>
    </w:p>
    <w:p w14:paraId="7E3DED24" w14:textId="77777777" w:rsidR="00315163" w:rsidRDefault="00315163" w:rsidP="00315163">
      <w:pPr>
        <w:pStyle w:val="RepNormal"/>
      </w:pPr>
    </w:p>
    <w:p w14:paraId="28BF82EE" w14:textId="77777777" w:rsidR="00315163" w:rsidRDefault="00051CD6" w:rsidP="00315163">
      <w:pPr>
        <w:pStyle w:val="RepNormal"/>
      </w:pPr>
      <w:r>
        <w:t>Across the waves, higher proportion</w:t>
      </w:r>
      <w:r w:rsidR="00A34FD4">
        <w:t>s</w:t>
      </w:r>
      <w:r>
        <w:t xml:space="preserve"> of regular continuous gamblers were moderate-risk/ problem gamblers compared with regular non-continuous gamblers and infrequent gamblers.  In Wave 4, moderate-risk/problem gamblers comprised 15% of regular continuous gamblers compared with 3.1% </w:t>
      </w:r>
      <w:r w:rsidR="00A34FD4">
        <w:t xml:space="preserve">of </w:t>
      </w:r>
      <w:r>
        <w:t xml:space="preserve">regular non-continuous gamblers and 1.6% </w:t>
      </w:r>
      <w:r w:rsidR="00A34FD4">
        <w:t xml:space="preserve">of </w:t>
      </w:r>
      <w:r>
        <w:t>infrequent gamblers.</w:t>
      </w:r>
      <w:r w:rsidR="00421EC9">
        <w:t xml:space="preserve">  A similar finding was noted for low-risk gamblers.</w:t>
      </w:r>
      <w:r w:rsidR="005065AF">
        <w:t xml:space="preserve">  Conversely, a lower proportion of regular continuous gamblers were non-problem gamblers (67% in Wave 4) compared with regular non-continuous gamblers (89%) and infrequent gamblers (94%).</w:t>
      </w:r>
      <w:r w:rsidR="005065AF" w:rsidRPr="005065AF">
        <w:t xml:space="preserve"> </w:t>
      </w:r>
      <w:r w:rsidR="005065AF">
        <w:t xml:space="preserve"> There were no changes in the trends over time.</w:t>
      </w:r>
    </w:p>
    <w:p w14:paraId="09326080" w14:textId="77777777" w:rsidR="00EA2845" w:rsidRDefault="00EA2845" w:rsidP="00315163">
      <w:pPr>
        <w:pStyle w:val="RepNormal"/>
      </w:pPr>
      <w:r>
        <w:t xml:space="preserve">Higher monthly gambling expenditure of $101 or </w:t>
      </w:r>
      <w:r w:rsidR="00A34FD4">
        <w:t>greater</w:t>
      </w:r>
      <w:r>
        <w:t xml:space="preserve"> was more likely for moderate-risk/ problem gamblers and low-risk gamblers, whilst non-problem gamblers were le</w:t>
      </w:r>
      <w:r w:rsidR="00023A1A">
        <w:t>ss likely to spend that amount.</w:t>
      </w:r>
      <w:r>
        <w:t xml:space="preserve">  There were no changes over time although there were some fluctuations in percentages due to very small sample sizes</w:t>
      </w:r>
      <w:r w:rsidR="00A34FD4">
        <w:t>,</w:t>
      </w:r>
      <w:r>
        <w:t xml:space="preserve"> in some cases.</w:t>
      </w:r>
    </w:p>
    <w:p w14:paraId="6CACC977" w14:textId="77777777" w:rsidR="00EA2845" w:rsidRDefault="00EA2845" w:rsidP="00315163">
      <w:pPr>
        <w:pStyle w:val="RepNormal"/>
      </w:pPr>
    </w:p>
    <w:p w14:paraId="3BB9D88F" w14:textId="77777777" w:rsidR="00EA2845" w:rsidRDefault="002A3C9F" w:rsidP="00315163">
      <w:pPr>
        <w:pStyle w:val="RepNormal"/>
      </w:pPr>
      <w:r>
        <w:t xml:space="preserve">Time spent gambling on EGMS </w:t>
      </w:r>
      <w:r w:rsidR="000A72EA">
        <w:t xml:space="preserve">(casino, pub and club) </w:t>
      </w:r>
      <w:r>
        <w:t xml:space="preserve">in an average day was also examined by gambling risk level across the waves.  </w:t>
      </w:r>
      <w:r w:rsidR="000A72EA">
        <w:t>Generally, higher proportions of non-problem gamblers gambled for shorter periods, whilst higher proportions of moderate-risk/problem gamblers gambled for more than 60 minutes.  However, it is difficult to determine exact trends within and between the waves due to small sample sizes</w:t>
      </w:r>
      <w:r w:rsidR="00A34FD4">
        <w:t>,</w:t>
      </w:r>
      <w:r w:rsidR="000A72EA">
        <w:t xml:space="preserve"> in some cases.</w:t>
      </w:r>
    </w:p>
    <w:p w14:paraId="63B5C961" w14:textId="77777777" w:rsidR="000A72EA" w:rsidRDefault="000A72EA" w:rsidP="00315163">
      <w:pPr>
        <w:pStyle w:val="RepNormal"/>
      </w:pPr>
    </w:p>
    <w:p w14:paraId="4FFB6980" w14:textId="77777777" w:rsidR="000A72EA" w:rsidRDefault="000A72EA" w:rsidP="00315163">
      <w:pPr>
        <w:pStyle w:val="RepNormal"/>
      </w:pPr>
      <w:r>
        <w:t xml:space="preserve">There were no differences within and between the waves in regard to with whom participants gambled.  </w:t>
      </w:r>
    </w:p>
    <w:p w14:paraId="7B0B367A" w14:textId="77777777" w:rsidR="00315163" w:rsidRDefault="00315163" w:rsidP="00315163">
      <w:pPr>
        <w:pStyle w:val="RepNormal"/>
      </w:pPr>
    </w:p>
    <w:p w14:paraId="6A00F2A6" w14:textId="77777777" w:rsidR="00947B47" w:rsidRDefault="00947B47" w:rsidP="00947B47">
      <w:pPr>
        <w:pStyle w:val="RepNormal"/>
      </w:pPr>
    </w:p>
    <w:p w14:paraId="4169CA5B" w14:textId="770E458F" w:rsidR="00947B47" w:rsidRPr="00E50C52" w:rsidRDefault="00947B47" w:rsidP="00947B47">
      <w:pPr>
        <w:pStyle w:val="RepHead3"/>
      </w:pPr>
      <w:bookmarkStart w:id="112" w:name="_Toc504488368"/>
      <w:r w:rsidRPr="00E50C52">
        <w:t>Past year participation in gambling type games not played for money by gambling risk level</w:t>
      </w:r>
      <w:bookmarkEnd w:id="112"/>
    </w:p>
    <w:p w14:paraId="1284EF29" w14:textId="77777777" w:rsidR="00947B47" w:rsidRPr="00E50C52" w:rsidRDefault="00947B47" w:rsidP="00947B47">
      <w:pPr>
        <w:pStyle w:val="RepNormal"/>
      </w:pPr>
    </w:p>
    <w:p w14:paraId="10D7B32B" w14:textId="1ADE04E4" w:rsidR="00947B47" w:rsidRPr="00E50C52" w:rsidRDefault="00E50C52" w:rsidP="00947B47">
      <w:pPr>
        <w:pStyle w:val="RepNormal"/>
      </w:pPr>
      <w:r w:rsidRPr="00E50C52">
        <w:t xml:space="preserve">In Wave 4, 34% of moderate-risk/problem gamblers had participated in gambling type games not for money or prizes in the prior 12 months; 27% of low-risk gamblers and 13% of non-problem gamblers participated in these types of games.  Eight percent of participants who had not gambled in the prior 12 months, participated in the not-for-money games.  These percentages remained similar to those in previous waves.  </w:t>
      </w:r>
      <w:r w:rsidR="00947B47" w:rsidRPr="00E50C52">
        <w:t xml:space="preserve">Data are presented in </w:t>
      </w:r>
      <w:r w:rsidR="00947B47" w:rsidRPr="00E50C52">
        <w:fldChar w:fldCharType="begin"/>
      </w:r>
      <w:r w:rsidR="00947B47" w:rsidRPr="00E50C52">
        <w:instrText xml:space="preserve"> REF _Ref470270153 \h  \* MERGEFORMAT </w:instrText>
      </w:r>
      <w:r w:rsidR="00947B47" w:rsidRPr="00E50C52">
        <w:fldChar w:fldCharType="separate"/>
      </w:r>
      <w:r w:rsidR="00D5752E" w:rsidRPr="00E50C52">
        <w:t xml:space="preserve">Table </w:t>
      </w:r>
      <w:r w:rsidR="00D5752E">
        <w:rPr>
          <w:noProof/>
        </w:rPr>
        <w:t>11</w:t>
      </w:r>
      <w:r w:rsidR="00947B47" w:rsidRPr="00E50C52">
        <w:fldChar w:fldCharType="end"/>
      </w:r>
      <w:r w:rsidR="00947B47" w:rsidRPr="00E50C52">
        <w:t xml:space="preserve">.  </w:t>
      </w:r>
    </w:p>
    <w:p w14:paraId="3E011FBC" w14:textId="77777777" w:rsidR="00947B47" w:rsidRPr="00E50C52" w:rsidRDefault="00947B47" w:rsidP="00947B47">
      <w:pPr>
        <w:pStyle w:val="RepNormal"/>
      </w:pPr>
    </w:p>
    <w:p w14:paraId="4C2B4218" w14:textId="77777777" w:rsidR="00947B47" w:rsidRPr="00E50C52" w:rsidRDefault="00947B47" w:rsidP="00947B47">
      <w:pPr>
        <w:pStyle w:val="Caption"/>
        <w:keepNext/>
        <w:ind w:left="-709" w:right="-766"/>
      </w:pPr>
      <w:bookmarkStart w:id="113" w:name="_Ref470270153"/>
      <w:bookmarkStart w:id="114" w:name="_Toc504488436"/>
      <w:r w:rsidRPr="00E50C52">
        <w:t xml:space="preserve">Table </w:t>
      </w:r>
      <w:r w:rsidR="00D5752E">
        <w:fldChar w:fldCharType="begin"/>
      </w:r>
      <w:r w:rsidR="00D5752E">
        <w:instrText xml:space="preserve"> SEQ Table \* ARABIC </w:instrText>
      </w:r>
      <w:r w:rsidR="00D5752E">
        <w:fldChar w:fldCharType="separate"/>
      </w:r>
      <w:r w:rsidR="00D5752E">
        <w:rPr>
          <w:noProof/>
        </w:rPr>
        <w:t>11</w:t>
      </w:r>
      <w:r w:rsidR="00D5752E">
        <w:rPr>
          <w:noProof/>
        </w:rPr>
        <w:fldChar w:fldCharType="end"/>
      </w:r>
      <w:bookmarkEnd w:id="113"/>
      <w:r w:rsidRPr="00E50C52">
        <w:t>: Participation in gambling type games not for money or prizes by gambling risk level in Waves 1, 2, 3 and 4</w:t>
      </w:r>
      <w:bookmarkEnd w:id="114"/>
    </w:p>
    <w:tbl>
      <w:tblPr>
        <w:tblStyle w:val="LightShading4"/>
        <w:tblW w:w="9870" w:type="dxa"/>
        <w:jc w:val="center"/>
        <w:tblLayout w:type="fixed"/>
        <w:tblLook w:val="06A0" w:firstRow="1" w:lastRow="0" w:firstColumn="1" w:lastColumn="0" w:noHBand="1" w:noVBand="1"/>
      </w:tblPr>
      <w:tblGrid>
        <w:gridCol w:w="1276"/>
        <w:gridCol w:w="567"/>
        <w:gridCol w:w="567"/>
        <w:gridCol w:w="992"/>
        <w:gridCol w:w="656"/>
        <w:gridCol w:w="536"/>
        <w:gridCol w:w="1024"/>
        <w:gridCol w:w="536"/>
        <w:gridCol w:w="567"/>
        <w:gridCol w:w="1043"/>
        <w:gridCol w:w="536"/>
        <w:gridCol w:w="576"/>
        <w:gridCol w:w="994"/>
      </w:tblGrid>
      <w:tr w:rsidR="00947B47" w:rsidRPr="00E50C52" w14:paraId="790A0E24" w14:textId="77777777" w:rsidTr="00626D5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bottom w:val="single" w:sz="4" w:space="0" w:color="auto"/>
            </w:tcBorders>
            <w:vAlign w:val="bottom"/>
            <w:hideMark/>
          </w:tcPr>
          <w:p w14:paraId="3293618B" w14:textId="77777777" w:rsidR="00947B47" w:rsidRPr="00E50C52" w:rsidRDefault="00947B47" w:rsidP="00626D50">
            <w:pPr>
              <w:keepNext/>
              <w:spacing w:before="20" w:after="20"/>
              <w:rPr>
                <w:rFonts w:eastAsiaTheme="minorEastAsia"/>
                <w:sz w:val="16"/>
                <w:szCs w:val="16"/>
                <w:lang w:eastAsia="en-US"/>
              </w:rPr>
            </w:pPr>
            <w:r w:rsidRPr="00E50C52">
              <w:rPr>
                <w:rFonts w:eastAsiaTheme="minorEastAsia"/>
                <w:sz w:val="16"/>
                <w:szCs w:val="16"/>
              </w:rPr>
              <w:t>Gambling risk level</w:t>
            </w:r>
          </w:p>
        </w:tc>
        <w:tc>
          <w:tcPr>
            <w:tcW w:w="2126" w:type="dxa"/>
            <w:gridSpan w:val="3"/>
            <w:tcBorders>
              <w:bottom w:val="single" w:sz="4" w:space="0" w:color="auto"/>
              <w:right w:val="single" w:sz="4" w:space="0" w:color="auto"/>
            </w:tcBorders>
            <w:noWrap/>
            <w:vAlign w:val="center"/>
            <w:hideMark/>
          </w:tcPr>
          <w:p w14:paraId="5B11EEA1" w14:textId="77777777" w:rsidR="00947B47" w:rsidRPr="00E50C52" w:rsidRDefault="00947B47" w:rsidP="00626D50">
            <w:pPr>
              <w:keepNext/>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6"/>
                <w:szCs w:val="16"/>
                <w:lang w:eastAsia="en-US"/>
              </w:rPr>
            </w:pPr>
            <w:r w:rsidRPr="00E50C52">
              <w:rPr>
                <w:rFonts w:eastAsiaTheme="minorEastAsia"/>
                <w:sz w:val="16"/>
                <w:szCs w:val="16"/>
              </w:rPr>
              <w:t>Wave 1</w:t>
            </w:r>
          </w:p>
        </w:tc>
        <w:tc>
          <w:tcPr>
            <w:tcW w:w="2216" w:type="dxa"/>
            <w:gridSpan w:val="3"/>
            <w:tcBorders>
              <w:left w:val="single" w:sz="4" w:space="0" w:color="auto"/>
              <w:bottom w:val="single" w:sz="4" w:space="0" w:color="auto"/>
            </w:tcBorders>
            <w:vAlign w:val="center"/>
          </w:tcPr>
          <w:p w14:paraId="59FC8E39" w14:textId="77777777" w:rsidR="00947B47" w:rsidRPr="00E50C52" w:rsidRDefault="00947B47" w:rsidP="00626D50">
            <w:pPr>
              <w:keepNext/>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E50C52">
              <w:rPr>
                <w:rFonts w:eastAsiaTheme="minorEastAsia"/>
                <w:sz w:val="16"/>
                <w:szCs w:val="16"/>
                <w:lang w:eastAsia="en-US"/>
              </w:rPr>
              <w:t>Wave 2</w:t>
            </w:r>
          </w:p>
        </w:tc>
        <w:tc>
          <w:tcPr>
            <w:tcW w:w="2146" w:type="dxa"/>
            <w:gridSpan w:val="3"/>
            <w:tcBorders>
              <w:left w:val="single" w:sz="4" w:space="0" w:color="auto"/>
              <w:bottom w:val="single" w:sz="4" w:space="0" w:color="auto"/>
            </w:tcBorders>
          </w:tcPr>
          <w:p w14:paraId="48E90496" w14:textId="77777777" w:rsidR="00947B47" w:rsidRPr="00E50C52" w:rsidRDefault="00947B47" w:rsidP="00626D50">
            <w:pPr>
              <w:keepNext/>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E50C52">
              <w:rPr>
                <w:rFonts w:eastAsiaTheme="minorEastAsia"/>
                <w:sz w:val="16"/>
                <w:szCs w:val="16"/>
                <w:lang w:eastAsia="en-US"/>
              </w:rPr>
              <w:t>Wave 3</w:t>
            </w:r>
          </w:p>
        </w:tc>
        <w:tc>
          <w:tcPr>
            <w:tcW w:w="2106" w:type="dxa"/>
            <w:gridSpan w:val="3"/>
            <w:tcBorders>
              <w:left w:val="single" w:sz="4" w:space="0" w:color="auto"/>
              <w:bottom w:val="single" w:sz="4" w:space="0" w:color="auto"/>
            </w:tcBorders>
          </w:tcPr>
          <w:p w14:paraId="2E61CD34" w14:textId="77777777" w:rsidR="00947B47" w:rsidRPr="00E50C52" w:rsidRDefault="00947B47" w:rsidP="00626D50">
            <w:pPr>
              <w:keepNext/>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E50C52">
              <w:rPr>
                <w:rFonts w:eastAsiaTheme="minorEastAsia"/>
                <w:sz w:val="16"/>
                <w:szCs w:val="16"/>
                <w:lang w:eastAsia="en-US"/>
              </w:rPr>
              <w:t>Wave 4</w:t>
            </w:r>
          </w:p>
        </w:tc>
      </w:tr>
      <w:tr w:rsidR="00947B47" w:rsidRPr="00E50C52" w14:paraId="02A9C30B" w14:textId="77777777" w:rsidTr="00626D5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76" w:type="dxa"/>
            <w:vMerge/>
            <w:tcBorders>
              <w:bottom w:val="single" w:sz="4" w:space="0" w:color="auto"/>
            </w:tcBorders>
            <w:vAlign w:val="center"/>
            <w:hideMark/>
          </w:tcPr>
          <w:p w14:paraId="11CD7B82" w14:textId="77777777" w:rsidR="00947B47" w:rsidRPr="00E50C52" w:rsidRDefault="00947B47" w:rsidP="00626D50">
            <w:pPr>
              <w:keepNext/>
              <w:spacing w:before="20" w:after="20"/>
              <w:rPr>
                <w:rFonts w:eastAsiaTheme="minorEastAsia"/>
                <w:sz w:val="16"/>
                <w:szCs w:val="16"/>
                <w:lang w:eastAsia="en-US"/>
              </w:rPr>
            </w:pPr>
          </w:p>
        </w:tc>
        <w:tc>
          <w:tcPr>
            <w:tcW w:w="567" w:type="dxa"/>
            <w:tcBorders>
              <w:top w:val="single" w:sz="4" w:space="0" w:color="auto"/>
              <w:bottom w:val="single" w:sz="4" w:space="0" w:color="auto"/>
            </w:tcBorders>
            <w:noWrap/>
            <w:vAlign w:val="center"/>
            <w:hideMark/>
          </w:tcPr>
          <w:p w14:paraId="1307EA98" w14:textId="77777777" w:rsidR="00947B47" w:rsidRPr="00E50C52" w:rsidRDefault="00947B47" w:rsidP="00626D50">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E50C52">
              <w:rPr>
                <w:rFonts w:eastAsiaTheme="minorEastAsia"/>
                <w:sz w:val="16"/>
                <w:szCs w:val="16"/>
              </w:rPr>
              <w:t>n</w:t>
            </w:r>
          </w:p>
        </w:tc>
        <w:tc>
          <w:tcPr>
            <w:tcW w:w="567" w:type="dxa"/>
            <w:tcBorders>
              <w:top w:val="single" w:sz="4" w:space="0" w:color="auto"/>
              <w:bottom w:val="single" w:sz="4" w:space="0" w:color="auto"/>
            </w:tcBorders>
            <w:noWrap/>
            <w:vAlign w:val="center"/>
            <w:hideMark/>
          </w:tcPr>
          <w:p w14:paraId="31BF7DD2" w14:textId="77777777" w:rsidR="00947B47" w:rsidRPr="00E50C52" w:rsidRDefault="00947B47" w:rsidP="00626D50">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E50C52">
              <w:rPr>
                <w:rFonts w:eastAsiaTheme="minorEastAsia"/>
                <w:sz w:val="16"/>
                <w:szCs w:val="16"/>
              </w:rPr>
              <w:t>%</w:t>
            </w:r>
          </w:p>
        </w:tc>
        <w:tc>
          <w:tcPr>
            <w:tcW w:w="992" w:type="dxa"/>
            <w:tcBorders>
              <w:top w:val="single" w:sz="4" w:space="0" w:color="auto"/>
              <w:bottom w:val="single" w:sz="4" w:space="0" w:color="auto"/>
              <w:right w:val="single" w:sz="4" w:space="0" w:color="auto"/>
            </w:tcBorders>
            <w:noWrap/>
            <w:vAlign w:val="center"/>
          </w:tcPr>
          <w:p w14:paraId="1A4AA866" w14:textId="77777777" w:rsidR="00947B47" w:rsidRPr="00E50C52" w:rsidRDefault="00947B47" w:rsidP="00626D50">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E50C52">
              <w:rPr>
                <w:rFonts w:eastAsiaTheme="minorEastAsia"/>
                <w:sz w:val="16"/>
                <w:szCs w:val="16"/>
                <w:lang w:eastAsia="en-US"/>
              </w:rPr>
              <w:t>(95% CI)</w:t>
            </w:r>
          </w:p>
        </w:tc>
        <w:tc>
          <w:tcPr>
            <w:tcW w:w="656" w:type="dxa"/>
            <w:tcBorders>
              <w:top w:val="single" w:sz="4" w:space="0" w:color="auto"/>
              <w:left w:val="single" w:sz="4" w:space="0" w:color="auto"/>
              <w:bottom w:val="single" w:sz="4" w:space="0" w:color="auto"/>
            </w:tcBorders>
            <w:noWrap/>
            <w:vAlign w:val="center"/>
          </w:tcPr>
          <w:p w14:paraId="3D2B12FE" w14:textId="77777777" w:rsidR="00947B47" w:rsidRPr="00E50C52" w:rsidRDefault="00947B47" w:rsidP="00626D50">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E50C52">
              <w:rPr>
                <w:rFonts w:eastAsiaTheme="minorEastAsia"/>
                <w:sz w:val="16"/>
                <w:szCs w:val="16"/>
                <w:lang w:eastAsia="en-US"/>
              </w:rPr>
              <w:t>n</w:t>
            </w:r>
          </w:p>
        </w:tc>
        <w:tc>
          <w:tcPr>
            <w:tcW w:w="536" w:type="dxa"/>
            <w:tcBorders>
              <w:top w:val="single" w:sz="4" w:space="0" w:color="auto"/>
              <w:bottom w:val="single" w:sz="4" w:space="0" w:color="auto"/>
            </w:tcBorders>
            <w:noWrap/>
            <w:vAlign w:val="center"/>
          </w:tcPr>
          <w:p w14:paraId="38846E1E" w14:textId="77777777" w:rsidR="00947B47" w:rsidRPr="00E50C52" w:rsidRDefault="00947B47" w:rsidP="00626D50">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E50C52">
              <w:rPr>
                <w:rFonts w:eastAsiaTheme="minorEastAsia"/>
                <w:sz w:val="16"/>
                <w:szCs w:val="16"/>
                <w:lang w:eastAsia="en-US"/>
              </w:rPr>
              <w:t>%</w:t>
            </w:r>
          </w:p>
        </w:tc>
        <w:tc>
          <w:tcPr>
            <w:tcW w:w="1024" w:type="dxa"/>
            <w:tcBorders>
              <w:top w:val="single" w:sz="4" w:space="0" w:color="auto"/>
              <w:bottom w:val="single" w:sz="4" w:space="0" w:color="auto"/>
              <w:right w:val="single" w:sz="4" w:space="0" w:color="000000"/>
            </w:tcBorders>
            <w:shd w:val="clear" w:color="auto" w:fill="FFFFFF" w:themeFill="background1"/>
            <w:noWrap/>
            <w:vAlign w:val="center"/>
          </w:tcPr>
          <w:p w14:paraId="4B81588D" w14:textId="77777777" w:rsidR="00947B47" w:rsidRPr="00E50C52" w:rsidRDefault="00947B47" w:rsidP="00626D50">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E50C52">
              <w:rPr>
                <w:rFonts w:eastAsiaTheme="minorEastAsia"/>
                <w:sz w:val="16"/>
                <w:szCs w:val="16"/>
                <w:lang w:eastAsia="en-US"/>
              </w:rPr>
              <w:t>(95% CI)</w:t>
            </w:r>
          </w:p>
        </w:tc>
        <w:tc>
          <w:tcPr>
            <w:tcW w:w="536" w:type="dxa"/>
            <w:tcBorders>
              <w:top w:val="single" w:sz="4" w:space="0" w:color="auto"/>
              <w:left w:val="single" w:sz="4" w:space="0" w:color="000000"/>
              <w:bottom w:val="single" w:sz="4" w:space="0" w:color="auto"/>
            </w:tcBorders>
            <w:shd w:val="clear" w:color="auto" w:fill="FFFFFF" w:themeFill="background1"/>
            <w:vAlign w:val="center"/>
          </w:tcPr>
          <w:p w14:paraId="3C2F0964" w14:textId="77777777" w:rsidR="00947B47" w:rsidRPr="00E50C52" w:rsidRDefault="00947B47" w:rsidP="00626D50">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E50C52">
              <w:rPr>
                <w:rFonts w:eastAsiaTheme="minorEastAsia"/>
                <w:sz w:val="16"/>
                <w:szCs w:val="16"/>
                <w:lang w:eastAsia="en-US"/>
              </w:rPr>
              <w:t>n</w:t>
            </w:r>
          </w:p>
        </w:tc>
        <w:tc>
          <w:tcPr>
            <w:tcW w:w="567" w:type="dxa"/>
            <w:tcBorders>
              <w:top w:val="single" w:sz="4" w:space="0" w:color="auto"/>
              <w:bottom w:val="single" w:sz="4" w:space="0" w:color="auto"/>
            </w:tcBorders>
            <w:shd w:val="clear" w:color="auto" w:fill="FFFFFF" w:themeFill="background1"/>
            <w:vAlign w:val="center"/>
          </w:tcPr>
          <w:p w14:paraId="738817F1" w14:textId="77777777" w:rsidR="00947B47" w:rsidRPr="00E50C52" w:rsidRDefault="00947B47" w:rsidP="00626D50">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E50C52">
              <w:rPr>
                <w:rFonts w:eastAsiaTheme="minorEastAsia"/>
                <w:sz w:val="16"/>
                <w:szCs w:val="16"/>
                <w:lang w:eastAsia="en-US"/>
              </w:rPr>
              <w:t>%</w:t>
            </w:r>
          </w:p>
        </w:tc>
        <w:tc>
          <w:tcPr>
            <w:tcW w:w="1043" w:type="dxa"/>
            <w:tcBorders>
              <w:top w:val="single" w:sz="4" w:space="0" w:color="auto"/>
              <w:bottom w:val="single" w:sz="4" w:space="0" w:color="auto"/>
              <w:right w:val="single" w:sz="4" w:space="0" w:color="000000"/>
            </w:tcBorders>
            <w:shd w:val="clear" w:color="auto" w:fill="FFFFFF" w:themeFill="background1"/>
            <w:vAlign w:val="center"/>
          </w:tcPr>
          <w:p w14:paraId="470B77DB" w14:textId="77777777" w:rsidR="00947B47" w:rsidRPr="00E50C52" w:rsidRDefault="00947B47" w:rsidP="00626D50">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E50C52">
              <w:rPr>
                <w:rFonts w:eastAsiaTheme="minorEastAsia"/>
                <w:sz w:val="16"/>
                <w:szCs w:val="16"/>
                <w:lang w:eastAsia="en-US"/>
              </w:rPr>
              <w:t>(95% CI)</w:t>
            </w:r>
          </w:p>
        </w:tc>
        <w:tc>
          <w:tcPr>
            <w:tcW w:w="536" w:type="dxa"/>
            <w:tcBorders>
              <w:top w:val="single" w:sz="4" w:space="0" w:color="auto"/>
              <w:left w:val="single" w:sz="4" w:space="0" w:color="000000"/>
              <w:bottom w:val="single" w:sz="4" w:space="0" w:color="auto"/>
            </w:tcBorders>
            <w:shd w:val="clear" w:color="auto" w:fill="FFFFFF" w:themeFill="background1"/>
            <w:vAlign w:val="center"/>
          </w:tcPr>
          <w:p w14:paraId="1E01D76A" w14:textId="77777777" w:rsidR="00947B47" w:rsidRPr="00E50C52" w:rsidRDefault="00947B47" w:rsidP="00626D50">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E50C52">
              <w:rPr>
                <w:rFonts w:eastAsiaTheme="minorEastAsia"/>
                <w:sz w:val="16"/>
                <w:szCs w:val="16"/>
                <w:lang w:eastAsia="en-US"/>
              </w:rPr>
              <w:t>n</w:t>
            </w:r>
          </w:p>
        </w:tc>
        <w:tc>
          <w:tcPr>
            <w:tcW w:w="576" w:type="dxa"/>
            <w:tcBorders>
              <w:top w:val="single" w:sz="4" w:space="0" w:color="auto"/>
              <w:bottom w:val="single" w:sz="4" w:space="0" w:color="auto"/>
            </w:tcBorders>
            <w:shd w:val="clear" w:color="auto" w:fill="FFFFFF" w:themeFill="background1"/>
            <w:vAlign w:val="center"/>
          </w:tcPr>
          <w:p w14:paraId="47B1C297" w14:textId="77777777" w:rsidR="00947B47" w:rsidRPr="00E50C52" w:rsidRDefault="00947B47" w:rsidP="00626D50">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E50C52">
              <w:rPr>
                <w:rFonts w:eastAsiaTheme="minorEastAsia"/>
                <w:sz w:val="16"/>
                <w:szCs w:val="16"/>
                <w:lang w:eastAsia="en-US"/>
              </w:rPr>
              <w:t>%</w:t>
            </w:r>
          </w:p>
        </w:tc>
        <w:tc>
          <w:tcPr>
            <w:tcW w:w="994" w:type="dxa"/>
            <w:tcBorders>
              <w:top w:val="single" w:sz="4" w:space="0" w:color="auto"/>
              <w:bottom w:val="single" w:sz="4" w:space="0" w:color="auto"/>
            </w:tcBorders>
            <w:shd w:val="clear" w:color="auto" w:fill="FFFFFF" w:themeFill="background1"/>
            <w:vAlign w:val="center"/>
          </w:tcPr>
          <w:p w14:paraId="098306D5" w14:textId="77777777" w:rsidR="00947B47" w:rsidRPr="00E50C52" w:rsidRDefault="00947B47" w:rsidP="00626D50">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E50C52">
              <w:rPr>
                <w:rFonts w:eastAsiaTheme="minorEastAsia"/>
                <w:sz w:val="16"/>
                <w:szCs w:val="16"/>
                <w:lang w:eastAsia="en-US"/>
              </w:rPr>
              <w:t>(95% CI)</w:t>
            </w:r>
          </w:p>
        </w:tc>
      </w:tr>
      <w:tr w:rsidR="009118DA" w:rsidRPr="00E50C52" w14:paraId="7C3954E5" w14:textId="77777777" w:rsidTr="00626D50">
        <w:trPr>
          <w:jc w:val="center"/>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shd w:val="clear" w:color="auto" w:fill="auto"/>
            <w:vAlign w:val="center"/>
          </w:tcPr>
          <w:p w14:paraId="45AC302C" w14:textId="77777777" w:rsidR="00947B47" w:rsidRPr="00E50C52" w:rsidRDefault="00947B47" w:rsidP="00626D50">
            <w:pPr>
              <w:keepNext/>
              <w:spacing w:before="20" w:after="20"/>
              <w:rPr>
                <w:rFonts w:eastAsiaTheme="minorEastAsia"/>
                <w:b w:val="0"/>
                <w:sz w:val="16"/>
                <w:szCs w:val="16"/>
                <w:lang w:eastAsia="en-US"/>
              </w:rPr>
            </w:pPr>
            <w:r w:rsidRPr="00E50C52">
              <w:rPr>
                <w:rFonts w:eastAsiaTheme="minorEastAsia"/>
                <w:b w:val="0"/>
                <w:sz w:val="16"/>
                <w:szCs w:val="16"/>
                <w:lang w:eastAsia="en-US"/>
              </w:rPr>
              <w:t>Non-problem gambler</w:t>
            </w:r>
          </w:p>
        </w:tc>
        <w:tc>
          <w:tcPr>
            <w:tcW w:w="567" w:type="dxa"/>
            <w:tcBorders>
              <w:top w:val="nil"/>
              <w:left w:val="nil"/>
              <w:bottom w:val="nil"/>
              <w:right w:val="nil"/>
            </w:tcBorders>
            <w:shd w:val="clear" w:color="auto" w:fill="auto"/>
            <w:noWrap/>
            <w:vAlign w:val="center"/>
          </w:tcPr>
          <w:p w14:paraId="79C0E425" w14:textId="77777777" w:rsidR="00947B47" w:rsidRPr="00E50C52" w:rsidRDefault="00947B47" w:rsidP="00626D50">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E50C52">
              <w:rPr>
                <w:color w:val="000000"/>
                <w:sz w:val="16"/>
                <w:szCs w:val="16"/>
              </w:rPr>
              <w:t>683</w:t>
            </w:r>
          </w:p>
        </w:tc>
        <w:tc>
          <w:tcPr>
            <w:tcW w:w="567" w:type="dxa"/>
            <w:tcBorders>
              <w:top w:val="nil"/>
              <w:left w:val="nil"/>
              <w:bottom w:val="nil"/>
              <w:right w:val="nil"/>
            </w:tcBorders>
            <w:shd w:val="clear" w:color="auto" w:fill="auto"/>
            <w:noWrap/>
            <w:vAlign w:val="center"/>
          </w:tcPr>
          <w:p w14:paraId="77FD6051" w14:textId="77777777" w:rsidR="00947B47" w:rsidRPr="00E50C52" w:rsidRDefault="00947B47" w:rsidP="00626D50">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15.1</w:t>
            </w:r>
          </w:p>
        </w:tc>
        <w:tc>
          <w:tcPr>
            <w:tcW w:w="992" w:type="dxa"/>
            <w:tcBorders>
              <w:top w:val="nil"/>
              <w:left w:val="nil"/>
              <w:bottom w:val="nil"/>
              <w:right w:val="single" w:sz="4" w:space="0" w:color="auto"/>
            </w:tcBorders>
            <w:shd w:val="clear" w:color="auto" w:fill="auto"/>
            <w:noWrap/>
            <w:vAlign w:val="center"/>
          </w:tcPr>
          <w:p w14:paraId="4E64ED73" w14:textId="77777777" w:rsidR="00947B47" w:rsidRPr="00E50C52" w:rsidRDefault="00947B47" w:rsidP="00626D50">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(13.8, 16.4)</w:t>
            </w:r>
          </w:p>
        </w:tc>
        <w:tc>
          <w:tcPr>
            <w:tcW w:w="656" w:type="dxa"/>
            <w:tcBorders>
              <w:top w:val="nil"/>
              <w:left w:val="single" w:sz="4" w:space="0" w:color="auto"/>
              <w:bottom w:val="nil"/>
              <w:right w:val="nil"/>
            </w:tcBorders>
            <w:shd w:val="clear" w:color="auto" w:fill="auto"/>
            <w:noWrap/>
            <w:vAlign w:val="center"/>
          </w:tcPr>
          <w:p w14:paraId="10F62F85" w14:textId="77777777" w:rsidR="00947B47" w:rsidRPr="00E50C52" w:rsidRDefault="00947B47" w:rsidP="00626D50">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419.0</w:t>
            </w:r>
          </w:p>
        </w:tc>
        <w:tc>
          <w:tcPr>
            <w:tcW w:w="536" w:type="dxa"/>
            <w:tcBorders>
              <w:top w:val="nil"/>
              <w:left w:val="nil"/>
              <w:bottom w:val="nil"/>
              <w:right w:val="nil"/>
            </w:tcBorders>
            <w:shd w:val="clear" w:color="auto" w:fill="auto"/>
            <w:noWrap/>
            <w:vAlign w:val="center"/>
          </w:tcPr>
          <w:p w14:paraId="4F89B385" w14:textId="77777777" w:rsidR="00947B47" w:rsidRPr="00E50C52" w:rsidRDefault="00947B47" w:rsidP="00626D50">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15.9</w:t>
            </w:r>
          </w:p>
        </w:tc>
        <w:tc>
          <w:tcPr>
            <w:tcW w:w="1024" w:type="dxa"/>
            <w:tcBorders>
              <w:top w:val="nil"/>
              <w:left w:val="nil"/>
              <w:bottom w:val="nil"/>
              <w:right w:val="single" w:sz="4" w:space="0" w:color="000000"/>
            </w:tcBorders>
            <w:shd w:val="clear" w:color="auto" w:fill="auto"/>
            <w:noWrap/>
            <w:vAlign w:val="center"/>
          </w:tcPr>
          <w:p w14:paraId="70B8C39D" w14:textId="77777777" w:rsidR="00947B47" w:rsidRPr="00E50C52" w:rsidRDefault="00947B47" w:rsidP="00626D50">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(14.1, 17.8)</w:t>
            </w:r>
          </w:p>
        </w:tc>
        <w:tc>
          <w:tcPr>
            <w:tcW w:w="536" w:type="dxa"/>
            <w:tcBorders>
              <w:top w:val="nil"/>
              <w:left w:val="single" w:sz="4" w:space="0" w:color="000000"/>
              <w:bottom w:val="nil"/>
              <w:right w:val="nil"/>
            </w:tcBorders>
            <w:shd w:val="clear" w:color="auto" w:fill="auto"/>
            <w:vAlign w:val="center"/>
          </w:tcPr>
          <w:p w14:paraId="7B35571E" w14:textId="77777777" w:rsidR="00947B47" w:rsidRPr="00E50C52" w:rsidRDefault="00947B47" w:rsidP="00626D50">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345</w:t>
            </w:r>
          </w:p>
        </w:tc>
        <w:tc>
          <w:tcPr>
            <w:tcW w:w="567" w:type="dxa"/>
            <w:tcBorders>
              <w:top w:val="nil"/>
              <w:left w:val="nil"/>
              <w:bottom w:val="nil"/>
              <w:right w:val="nil"/>
            </w:tcBorders>
            <w:shd w:val="clear" w:color="auto" w:fill="auto"/>
            <w:vAlign w:val="center"/>
          </w:tcPr>
          <w:p w14:paraId="485C081E" w14:textId="77777777" w:rsidR="00947B47" w:rsidRPr="00E50C52" w:rsidRDefault="00947B47" w:rsidP="00626D50">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15.8</w:t>
            </w:r>
          </w:p>
        </w:tc>
        <w:tc>
          <w:tcPr>
            <w:tcW w:w="1043" w:type="dxa"/>
            <w:tcBorders>
              <w:top w:val="nil"/>
              <w:left w:val="nil"/>
              <w:bottom w:val="nil"/>
              <w:right w:val="single" w:sz="4" w:space="0" w:color="000000"/>
            </w:tcBorders>
            <w:shd w:val="clear" w:color="auto" w:fill="auto"/>
            <w:vAlign w:val="center"/>
          </w:tcPr>
          <w:p w14:paraId="0DB0483C" w14:textId="77777777" w:rsidR="00947B47" w:rsidRPr="00E50C52" w:rsidRDefault="00947B47" w:rsidP="00626D50">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(13.9, 17.7)</w:t>
            </w:r>
          </w:p>
        </w:tc>
        <w:tc>
          <w:tcPr>
            <w:tcW w:w="536" w:type="dxa"/>
            <w:tcBorders>
              <w:top w:val="nil"/>
              <w:left w:val="single" w:sz="4" w:space="0" w:color="000000"/>
              <w:bottom w:val="nil"/>
              <w:right w:val="nil"/>
            </w:tcBorders>
            <w:shd w:val="clear" w:color="auto" w:fill="auto"/>
            <w:vAlign w:val="center"/>
          </w:tcPr>
          <w:p w14:paraId="3ECFD766" w14:textId="77777777" w:rsidR="00947B47" w:rsidRPr="00E50C52" w:rsidRDefault="00947B47" w:rsidP="00626D50">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253</w:t>
            </w:r>
          </w:p>
        </w:tc>
        <w:tc>
          <w:tcPr>
            <w:tcW w:w="576" w:type="dxa"/>
            <w:tcBorders>
              <w:top w:val="nil"/>
              <w:left w:val="nil"/>
              <w:bottom w:val="nil"/>
              <w:right w:val="nil"/>
            </w:tcBorders>
            <w:shd w:val="clear" w:color="auto" w:fill="auto"/>
            <w:vAlign w:val="center"/>
          </w:tcPr>
          <w:p w14:paraId="46874756" w14:textId="77777777" w:rsidR="00947B47" w:rsidRPr="00E50C52" w:rsidRDefault="00947B47" w:rsidP="00626D50">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13.4</w:t>
            </w:r>
          </w:p>
        </w:tc>
        <w:tc>
          <w:tcPr>
            <w:tcW w:w="994" w:type="dxa"/>
            <w:tcBorders>
              <w:top w:val="nil"/>
              <w:left w:val="nil"/>
              <w:bottom w:val="nil"/>
              <w:right w:val="nil"/>
            </w:tcBorders>
            <w:shd w:val="clear" w:color="auto" w:fill="auto"/>
            <w:vAlign w:val="center"/>
          </w:tcPr>
          <w:p w14:paraId="4EC87B91" w14:textId="77777777" w:rsidR="00947B47" w:rsidRPr="00E50C52" w:rsidRDefault="00947B47" w:rsidP="00626D50">
            <w:pPr>
              <w:keepNext/>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(11.5, 15.2)</w:t>
            </w:r>
          </w:p>
        </w:tc>
      </w:tr>
      <w:tr w:rsidR="009118DA" w:rsidRPr="00E50C52" w14:paraId="7DF3E0E0" w14:textId="77777777" w:rsidTr="00626D50">
        <w:trPr>
          <w:jc w:val="center"/>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shd w:val="clear" w:color="auto" w:fill="auto"/>
            <w:vAlign w:val="center"/>
          </w:tcPr>
          <w:p w14:paraId="3E7AD29F" w14:textId="77777777" w:rsidR="00947B47" w:rsidRPr="00E50C52" w:rsidRDefault="00947B47" w:rsidP="00626D50">
            <w:pPr>
              <w:spacing w:before="20" w:after="20"/>
              <w:rPr>
                <w:rFonts w:eastAsiaTheme="minorEastAsia"/>
                <w:b w:val="0"/>
                <w:sz w:val="16"/>
                <w:szCs w:val="16"/>
              </w:rPr>
            </w:pPr>
            <w:r w:rsidRPr="00E50C52">
              <w:rPr>
                <w:rFonts w:eastAsiaTheme="minorEastAsia"/>
                <w:b w:val="0"/>
                <w:sz w:val="16"/>
                <w:szCs w:val="16"/>
              </w:rPr>
              <w:t>Low-risk gambler</w:t>
            </w:r>
          </w:p>
        </w:tc>
        <w:tc>
          <w:tcPr>
            <w:tcW w:w="567" w:type="dxa"/>
            <w:tcBorders>
              <w:top w:val="nil"/>
              <w:left w:val="nil"/>
              <w:bottom w:val="nil"/>
              <w:right w:val="nil"/>
            </w:tcBorders>
            <w:shd w:val="clear" w:color="auto" w:fill="auto"/>
            <w:noWrap/>
            <w:vAlign w:val="center"/>
          </w:tcPr>
          <w:p w14:paraId="08EEFA4D"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105</w:t>
            </w:r>
          </w:p>
        </w:tc>
        <w:tc>
          <w:tcPr>
            <w:tcW w:w="567" w:type="dxa"/>
            <w:tcBorders>
              <w:top w:val="nil"/>
              <w:left w:val="nil"/>
              <w:bottom w:val="nil"/>
              <w:right w:val="nil"/>
            </w:tcBorders>
            <w:shd w:val="clear" w:color="auto" w:fill="auto"/>
            <w:noWrap/>
            <w:vAlign w:val="center"/>
          </w:tcPr>
          <w:p w14:paraId="53051BF6"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34.1</w:t>
            </w:r>
          </w:p>
        </w:tc>
        <w:tc>
          <w:tcPr>
            <w:tcW w:w="992" w:type="dxa"/>
            <w:tcBorders>
              <w:top w:val="nil"/>
              <w:left w:val="nil"/>
              <w:bottom w:val="nil"/>
              <w:right w:val="single" w:sz="4" w:space="0" w:color="auto"/>
            </w:tcBorders>
            <w:shd w:val="clear" w:color="auto" w:fill="auto"/>
            <w:noWrap/>
            <w:vAlign w:val="center"/>
          </w:tcPr>
          <w:p w14:paraId="060E8ADB"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(27.2, 41.1)</w:t>
            </w:r>
          </w:p>
        </w:tc>
        <w:tc>
          <w:tcPr>
            <w:tcW w:w="656" w:type="dxa"/>
            <w:tcBorders>
              <w:top w:val="nil"/>
              <w:left w:val="single" w:sz="4" w:space="0" w:color="auto"/>
              <w:bottom w:val="nil"/>
              <w:right w:val="nil"/>
            </w:tcBorders>
            <w:shd w:val="clear" w:color="auto" w:fill="auto"/>
            <w:noWrap/>
            <w:vAlign w:val="center"/>
          </w:tcPr>
          <w:p w14:paraId="76F1A8E8"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57.0</w:t>
            </w:r>
          </w:p>
        </w:tc>
        <w:tc>
          <w:tcPr>
            <w:tcW w:w="536" w:type="dxa"/>
            <w:tcBorders>
              <w:top w:val="nil"/>
              <w:left w:val="nil"/>
              <w:bottom w:val="nil"/>
              <w:right w:val="nil"/>
            </w:tcBorders>
            <w:shd w:val="clear" w:color="auto" w:fill="auto"/>
            <w:noWrap/>
            <w:vAlign w:val="center"/>
          </w:tcPr>
          <w:p w14:paraId="2FE9B2B6"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27.3</w:t>
            </w:r>
          </w:p>
        </w:tc>
        <w:tc>
          <w:tcPr>
            <w:tcW w:w="1024" w:type="dxa"/>
            <w:tcBorders>
              <w:top w:val="nil"/>
              <w:left w:val="nil"/>
              <w:bottom w:val="nil"/>
              <w:right w:val="single" w:sz="4" w:space="0" w:color="000000"/>
            </w:tcBorders>
            <w:shd w:val="clear" w:color="auto" w:fill="auto"/>
            <w:noWrap/>
            <w:vAlign w:val="center"/>
          </w:tcPr>
          <w:p w14:paraId="3379AF48"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(20.4, 34.3)</w:t>
            </w:r>
          </w:p>
        </w:tc>
        <w:tc>
          <w:tcPr>
            <w:tcW w:w="536" w:type="dxa"/>
            <w:tcBorders>
              <w:top w:val="nil"/>
              <w:left w:val="single" w:sz="4" w:space="0" w:color="000000"/>
              <w:bottom w:val="nil"/>
              <w:right w:val="nil"/>
            </w:tcBorders>
            <w:shd w:val="clear" w:color="auto" w:fill="auto"/>
            <w:vAlign w:val="center"/>
          </w:tcPr>
          <w:p w14:paraId="5E463BB7"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37</w:t>
            </w:r>
          </w:p>
        </w:tc>
        <w:tc>
          <w:tcPr>
            <w:tcW w:w="567" w:type="dxa"/>
            <w:tcBorders>
              <w:top w:val="nil"/>
              <w:left w:val="nil"/>
              <w:bottom w:val="nil"/>
              <w:right w:val="nil"/>
            </w:tcBorders>
            <w:shd w:val="clear" w:color="auto" w:fill="auto"/>
            <w:vAlign w:val="center"/>
          </w:tcPr>
          <w:p w14:paraId="476DBE29"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23.8</w:t>
            </w:r>
          </w:p>
        </w:tc>
        <w:tc>
          <w:tcPr>
            <w:tcW w:w="1043" w:type="dxa"/>
            <w:tcBorders>
              <w:top w:val="nil"/>
              <w:left w:val="nil"/>
              <w:bottom w:val="nil"/>
              <w:right w:val="single" w:sz="4" w:space="0" w:color="000000"/>
            </w:tcBorders>
            <w:shd w:val="clear" w:color="auto" w:fill="auto"/>
            <w:vAlign w:val="center"/>
          </w:tcPr>
          <w:p w14:paraId="58250D33"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(14.9, 32.8)</w:t>
            </w:r>
          </w:p>
        </w:tc>
        <w:tc>
          <w:tcPr>
            <w:tcW w:w="536" w:type="dxa"/>
            <w:tcBorders>
              <w:top w:val="nil"/>
              <w:left w:val="single" w:sz="4" w:space="0" w:color="000000"/>
              <w:bottom w:val="nil"/>
              <w:right w:val="nil"/>
            </w:tcBorders>
            <w:shd w:val="clear" w:color="auto" w:fill="auto"/>
            <w:vAlign w:val="center"/>
          </w:tcPr>
          <w:p w14:paraId="2078435B"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34</w:t>
            </w:r>
          </w:p>
        </w:tc>
        <w:tc>
          <w:tcPr>
            <w:tcW w:w="576" w:type="dxa"/>
            <w:tcBorders>
              <w:top w:val="nil"/>
              <w:left w:val="nil"/>
              <w:bottom w:val="nil"/>
              <w:right w:val="nil"/>
            </w:tcBorders>
            <w:shd w:val="clear" w:color="auto" w:fill="auto"/>
            <w:vAlign w:val="center"/>
          </w:tcPr>
          <w:p w14:paraId="40BCCE21"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26.7</w:t>
            </w:r>
          </w:p>
        </w:tc>
        <w:tc>
          <w:tcPr>
            <w:tcW w:w="994" w:type="dxa"/>
            <w:tcBorders>
              <w:top w:val="nil"/>
              <w:left w:val="nil"/>
              <w:bottom w:val="nil"/>
              <w:right w:val="nil"/>
            </w:tcBorders>
            <w:shd w:val="clear" w:color="auto" w:fill="auto"/>
            <w:vAlign w:val="center"/>
          </w:tcPr>
          <w:p w14:paraId="263C9A30"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(16.6, 36.8)</w:t>
            </w:r>
          </w:p>
        </w:tc>
      </w:tr>
      <w:tr w:rsidR="009118DA" w:rsidRPr="00E50C52" w14:paraId="37D62185" w14:textId="77777777" w:rsidTr="00626D50">
        <w:trPr>
          <w:jc w:val="center"/>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shd w:val="clear" w:color="auto" w:fill="auto"/>
            <w:vAlign w:val="center"/>
          </w:tcPr>
          <w:p w14:paraId="1006EF7C" w14:textId="77777777" w:rsidR="00947B47" w:rsidRPr="00E50C52" w:rsidRDefault="00947B47" w:rsidP="00626D50">
            <w:pPr>
              <w:spacing w:before="20" w:after="20"/>
              <w:rPr>
                <w:rFonts w:eastAsiaTheme="minorEastAsia"/>
                <w:b w:val="0"/>
                <w:sz w:val="16"/>
                <w:szCs w:val="16"/>
                <w:lang w:eastAsia="en-US"/>
              </w:rPr>
            </w:pPr>
            <w:r w:rsidRPr="00E50C52">
              <w:rPr>
                <w:rFonts w:eastAsiaTheme="minorEastAsia"/>
                <w:b w:val="0"/>
                <w:sz w:val="16"/>
                <w:szCs w:val="16"/>
                <w:lang w:eastAsia="en-US"/>
              </w:rPr>
              <w:t>Moderate-risk/ problem gambler</w:t>
            </w:r>
          </w:p>
        </w:tc>
        <w:tc>
          <w:tcPr>
            <w:tcW w:w="567" w:type="dxa"/>
            <w:tcBorders>
              <w:top w:val="nil"/>
              <w:left w:val="nil"/>
              <w:bottom w:val="nil"/>
              <w:right w:val="nil"/>
            </w:tcBorders>
            <w:shd w:val="clear" w:color="auto" w:fill="auto"/>
            <w:noWrap/>
            <w:vAlign w:val="center"/>
          </w:tcPr>
          <w:p w14:paraId="751E1021"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59</w:t>
            </w:r>
          </w:p>
        </w:tc>
        <w:tc>
          <w:tcPr>
            <w:tcW w:w="567" w:type="dxa"/>
            <w:tcBorders>
              <w:top w:val="nil"/>
              <w:left w:val="nil"/>
              <w:bottom w:val="nil"/>
              <w:right w:val="nil"/>
            </w:tcBorders>
            <w:shd w:val="clear" w:color="auto" w:fill="auto"/>
            <w:noWrap/>
            <w:vAlign w:val="center"/>
          </w:tcPr>
          <w:p w14:paraId="1D5DC903"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40.1</w:t>
            </w:r>
          </w:p>
        </w:tc>
        <w:tc>
          <w:tcPr>
            <w:tcW w:w="992" w:type="dxa"/>
            <w:tcBorders>
              <w:top w:val="nil"/>
              <w:left w:val="nil"/>
              <w:bottom w:val="nil"/>
              <w:right w:val="single" w:sz="4" w:space="0" w:color="auto"/>
            </w:tcBorders>
            <w:shd w:val="clear" w:color="auto" w:fill="auto"/>
            <w:noWrap/>
            <w:vAlign w:val="center"/>
          </w:tcPr>
          <w:p w14:paraId="31F537DB"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(31.1, 49.0)</w:t>
            </w:r>
          </w:p>
        </w:tc>
        <w:tc>
          <w:tcPr>
            <w:tcW w:w="656" w:type="dxa"/>
            <w:tcBorders>
              <w:top w:val="nil"/>
              <w:left w:val="single" w:sz="4" w:space="0" w:color="auto"/>
              <w:bottom w:val="nil"/>
              <w:right w:val="nil"/>
            </w:tcBorders>
            <w:shd w:val="clear" w:color="auto" w:fill="auto"/>
            <w:noWrap/>
            <w:vAlign w:val="center"/>
          </w:tcPr>
          <w:p w14:paraId="276C9624"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27.0</w:t>
            </w:r>
          </w:p>
        </w:tc>
        <w:tc>
          <w:tcPr>
            <w:tcW w:w="536" w:type="dxa"/>
            <w:tcBorders>
              <w:top w:val="nil"/>
              <w:left w:val="nil"/>
              <w:bottom w:val="nil"/>
              <w:right w:val="nil"/>
            </w:tcBorders>
            <w:shd w:val="clear" w:color="auto" w:fill="auto"/>
            <w:noWrap/>
            <w:vAlign w:val="center"/>
          </w:tcPr>
          <w:p w14:paraId="0BC8A4CB"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35.9</w:t>
            </w:r>
          </w:p>
        </w:tc>
        <w:tc>
          <w:tcPr>
            <w:tcW w:w="1024" w:type="dxa"/>
            <w:tcBorders>
              <w:top w:val="nil"/>
              <w:left w:val="nil"/>
              <w:bottom w:val="nil"/>
              <w:right w:val="single" w:sz="4" w:space="0" w:color="000000"/>
            </w:tcBorders>
            <w:shd w:val="clear" w:color="auto" w:fill="auto"/>
            <w:noWrap/>
            <w:vAlign w:val="center"/>
          </w:tcPr>
          <w:p w14:paraId="2B66BEB0"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(24.6, 47.2)</w:t>
            </w:r>
          </w:p>
        </w:tc>
        <w:tc>
          <w:tcPr>
            <w:tcW w:w="536" w:type="dxa"/>
            <w:tcBorders>
              <w:top w:val="nil"/>
              <w:left w:val="single" w:sz="4" w:space="0" w:color="000000"/>
              <w:bottom w:val="nil"/>
              <w:right w:val="nil"/>
            </w:tcBorders>
            <w:shd w:val="clear" w:color="auto" w:fill="auto"/>
            <w:vAlign w:val="center"/>
          </w:tcPr>
          <w:p w14:paraId="1FAE2F98"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16</w:t>
            </w:r>
          </w:p>
        </w:tc>
        <w:tc>
          <w:tcPr>
            <w:tcW w:w="567" w:type="dxa"/>
            <w:tcBorders>
              <w:top w:val="nil"/>
              <w:left w:val="nil"/>
              <w:bottom w:val="nil"/>
              <w:right w:val="nil"/>
            </w:tcBorders>
            <w:shd w:val="clear" w:color="auto" w:fill="auto"/>
            <w:vAlign w:val="center"/>
          </w:tcPr>
          <w:p w14:paraId="7864A2E5"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30.0</w:t>
            </w:r>
          </w:p>
        </w:tc>
        <w:tc>
          <w:tcPr>
            <w:tcW w:w="1043" w:type="dxa"/>
            <w:tcBorders>
              <w:top w:val="nil"/>
              <w:left w:val="nil"/>
              <w:bottom w:val="nil"/>
              <w:right w:val="single" w:sz="4" w:space="0" w:color="000000"/>
            </w:tcBorders>
            <w:shd w:val="clear" w:color="auto" w:fill="auto"/>
            <w:vAlign w:val="center"/>
          </w:tcPr>
          <w:p w14:paraId="47CA32BD"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(19.0, 41.1)</w:t>
            </w:r>
          </w:p>
        </w:tc>
        <w:tc>
          <w:tcPr>
            <w:tcW w:w="536" w:type="dxa"/>
            <w:tcBorders>
              <w:top w:val="nil"/>
              <w:left w:val="single" w:sz="4" w:space="0" w:color="000000"/>
              <w:bottom w:val="nil"/>
              <w:right w:val="nil"/>
            </w:tcBorders>
            <w:shd w:val="clear" w:color="auto" w:fill="auto"/>
            <w:vAlign w:val="center"/>
          </w:tcPr>
          <w:p w14:paraId="330946C4"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20</w:t>
            </w:r>
          </w:p>
        </w:tc>
        <w:tc>
          <w:tcPr>
            <w:tcW w:w="576" w:type="dxa"/>
            <w:tcBorders>
              <w:top w:val="nil"/>
              <w:left w:val="nil"/>
              <w:bottom w:val="nil"/>
              <w:right w:val="nil"/>
            </w:tcBorders>
            <w:shd w:val="clear" w:color="auto" w:fill="auto"/>
            <w:vAlign w:val="center"/>
          </w:tcPr>
          <w:p w14:paraId="05EC9956"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34.0</w:t>
            </w:r>
          </w:p>
        </w:tc>
        <w:tc>
          <w:tcPr>
            <w:tcW w:w="994" w:type="dxa"/>
            <w:tcBorders>
              <w:top w:val="nil"/>
              <w:left w:val="nil"/>
              <w:bottom w:val="nil"/>
              <w:right w:val="nil"/>
            </w:tcBorders>
            <w:shd w:val="clear" w:color="auto" w:fill="auto"/>
            <w:vAlign w:val="center"/>
          </w:tcPr>
          <w:p w14:paraId="60C31A55"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(15.2, 52.9)</w:t>
            </w:r>
          </w:p>
        </w:tc>
      </w:tr>
      <w:tr w:rsidR="00947B47" w:rsidRPr="00E50C52" w14:paraId="70443296" w14:textId="77777777" w:rsidTr="00626D50">
        <w:trPr>
          <w:jc w:val="center"/>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single" w:sz="4" w:space="0" w:color="auto"/>
              <w:right w:val="nil"/>
            </w:tcBorders>
            <w:shd w:val="clear" w:color="auto" w:fill="auto"/>
            <w:vAlign w:val="center"/>
          </w:tcPr>
          <w:p w14:paraId="2CD0C1B6" w14:textId="77777777" w:rsidR="00947B47" w:rsidRPr="00E50C52" w:rsidRDefault="00947B47" w:rsidP="00626D50">
            <w:pPr>
              <w:spacing w:before="20" w:after="20"/>
              <w:rPr>
                <w:rFonts w:eastAsiaTheme="minorEastAsia"/>
                <w:b w:val="0"/>
                <w:sz w:val="16"/>
                <w:szCs w:val="16"/>
                <w:lang w:eastAsia="en-US"/>
              </w:rPr>
            </w:pPr>
            <w:r w:rsidRPr="00E50C52">
              <w:rPr>
                <w:rFonts w:eastAsiaTheme="minorEastAsia"/>
                <w:b w:val="0"/>
                <w:sz w:val="16"/>
                <w:szCs w:val="16"/>
                <w:lang w:eastAsia="en-US"/>
              </w:rPr>
              <w:t>No gambling in past year</w:t>
            </w:r>
          </w:p>
        </w:tc>
        <w:tc>
          <w:tcPr>
            <w:tcW w:w="567" w:type="dxa"/>
            <w:tcBorders>
              <w:top w:val="nil"/>
              <w:left w:val="nil"/>
              <w:bottom w:val="single" w:sz="4" w:space="0" w:color="auto"/>
              <w:right w:val="nil"/>
            </w:tcBorders>
            <w:shd w:val="clear" w:color="auto" w:fill="auto"/>
            <w:noWrap/>
            <w:vAlign w:val="center"/>
          </w:tcPr>
          <w:p w14:paraId="5FA42727"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161</w:t>
            </w:r>
          </w:p>
        </w:tc>
        <w:tc>
          <w:tcPr>
            <w:tcW w:w="567" w:type="dxa"/>
            <w:tcBorders>
              <w:top w:val="nil"/>
              <w:left w:val="nil"/>
              <w:bottom w:val="single" w:sz="4" w:space="0" w:color="auto"/>
              <w:right w:val="nil"/>
            </w:tcBorders>
            <w:shd w:val="clear" w:color="auto" w:fill="auto"/>
            <w:noWrap/>
            <w:vAlign w:val="center"/>
          </w:tcPr>
          <w:p w14:paraId="377EDA4F"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12.8</w:t>
            </w:r>
          </w:p>
        </w:tc>
        <w:tc>
          <w:tcPr>
            <w:tcW w:w="992" w:type="dxa"/>
            <w:tcBorders>
              <w:top w:val="nil"/>
              <w:left w:val="nil"/>
              <w:bottom w:val="single" w:sz="4" w:space="0" w:color="auto"/>
              <w:right w:val="single" w:sz="4" w:space="0" w:color="auto"/>
            </w:tcBorders>
            <w:shd w:val="clear" w:color="auto" w:fill="auto"/>
            <w:noWrap/>
            <w:vAlign w:val="center"/>
          </w:tcPr>
          <w:p w14:paraId="1889EC0F"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(10.4, 15.1)</w:t>
            </w:r>
          </w:p>
        </w:tc>
        <w:tc>
          <w:tcPr>
            <w:tcW w:w="656" w:type="dxa"/>
            <w:tcBorders>
              <w:top w:val="nil"/>
              <w:left w:val="single" w:sz="4" w:space="0" w:color="auto"/>
              <w:bottom w:val="single" w:sz="4" w:space="0" w:color="auto"/>
              <w:right w:val="nil"/>
            </w:tcBorders>
            <w:shd w:val="clear" w:color="auto" w:fill="auto"/>
            <w:noWrap/>
            <w:vAlign w:val="center"/>
          </w:tcPr>
          <w:p w14:paraId="7E31A960"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121.0</w:t>
            </w:r>
          </w:p>
        </w:tc>
        <w:tc>
          <w:tcPr>
            <w:tcW w:w="536" w:type="dxa"/>
            <w:tcBorders>
              <w:top w:val="nil"/>
              <w:left w:val="nil"/>
              <w:bottom w:val="single" w:sz="4" w:space="0" w:color="auto"/>
              <w:right w:val="nil"/>
            </w:tcBorders>
            <w:shd w:val="clear" w:color="auto" w:fill="auto"/>
            <w:noWrap/>
            <w:vAlign w:val="center"/>
          </w:tcPr>
          <w:p w14:paraId="523BD557"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14.6</w:t>
            </w:r>
          </w:p>
        </w:tc>
        <w:tc>
          <w:tcPr>
            <w:tcW w:w="1024" w:type="dxa"/>
            <w:tcBorders>
              <w:top w:val="nil"/>
              <w:left w:val="nil"/>
              <w:bottom w:val="single" w:sz="4" w:space="0" w:color="auto"/>
              <w:right w:val="single" w:sz="4" w:space="0" w:color="000000"/>
            </w:tcBorders>
            <w:shd w:val="clear" w:color="auto" w:fill="auto"/>
            <w:noWrap/>
            <w:vAlign w:val="center"/>
          </w:tcPr>
          <w:p w14:paraId="5C74420C"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(11.2, 18.1)</w:t>
            </w:r>
          </w:p>
        </w:tc>
        <w:tc>
          <w:tcPr>
            <w:tcW w:w="536" w:type="dxa"/>
            <w:tcBorders>
              <w:top w:val="nil"/>
              <w:left w:val="single" w:sz="4" w:space="0" w:color="000000"/>
              <w:bottom w:val="single" w:sz="4" w:space="0" w:color="auto"/>
              <w:right w:val="nil"/>
            </w:tcBorders>
            <w:shd w:val="clear" w:color="auto" w:fill="auto"/>
            <w:vAlign w:val="center"/>
          </w:tcPr>
          <w:p w14:paraId="73169F39"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76</w:t>
            </w:r>
          </w:p>
        </w:tc>
        <w:tc>
          <w:tcPr>
            <w:tcW w:w="567" w:type="dxa"/>
            <w:tcBorders>
              <w:top w:val="nil"/>
              <w:left w:val="nil"/>
              <w:bottom w:val="single" w:sz="4" w:space="0" w:color="auto"/>
              <w:right w:val="nil"/>
            </w:tcBorders>
            <w:shd w:val="clear" w:color="auto" w:fill="auto"/>
            <w:vAlign w:val="center"/>
          </w:tcPr>
          <w:p w14:paraId="45E737E1"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10.5</w:t>
            </w:r>
          </w:p>
        </w:tc>
        <w:tc>
          <w:tcPr>
            <w:tcW w:w="1043" w:type="dxa"/>
            <w:tcBorders>
              <w:top w:val="nil"/>
              <w:left w:val="nil"/>
              <w:bottom w:val="single" w:sz="4" w:space="0" w:color="auto"/>
              <w:right w:val="single" w:sz="4" w:space="0" w:color="000000"/>
            </w:tcBorders>
            <w:shd w:val="clear" w:color="auto" w:fill="auto"/>
            <w:vAlign w:val="center"/>
          </w:tcPr>
          <w:p w14:paraId="52579B6A"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(7.6, 13.4)</w:t>
            </w:r>
          </w:p>
        </w:tc>
        <w:tc>
          <w:tcPr>
            <w:tcW w:w="536" w:type="dxa"/>
            <w:tcBorders>
              <w:top w:val="nil"/>
              <w:left w:val="single" w:sz="4" w:space="0" w:color="000000"/>
              <w:bottom w:val="single" w:sz="4" w:space="0" w:color="auto"/>
              <w:right w:val="nil"/>
            </w:tcBorders>
            <w:shd w:val="clear" w:color="auto" w:fill="auto"/>
            <w:vAlign w:val="center"/>
          </w:tcPr>
          <w:p w14:paraId="05F201D6"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55</w:t>
            </w:r>
          </w:p>
        </w:tc>
        <w:tc>
          <w:tcPr>
            <w:tcW w:w="576" w:type="dxa"/>
            <w:tcBorders>
              <w:top w:val="nil"/>
              <w:left w:val="nil"/>
              <w:bottom w:val="single" w:sz="4" w:space="0" w:color="auto"/>
              <w:right w:val="nil"/>
            </w:tcBorders>
            <w:shd w:val="clear" w:color="auto" w:fill="auto"/>
            <w:vAlign w:val="center"/>
          </w:tcPr>
          <w:p w14:paraId="303D176E"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7.8</w:t>
            </w:r>
          </w:p>
        </w:tc>
        <w:tc>
          <w:tcPr>
            <w:tcW w:w="994" w:type="dxa"/>
            <w:tcBorders>
              <w:top w:val="nil"/>
              <w:left w:val="nil"/>
              <w:bottom w:val="single" w:sz="4" w:space="0" w:color="auto"/>
              <w:right w:val="nil"/>
            </w:tcBorders>
            <w:shd w:val="clear" w:color="auto" w:fill="auto"/>
            <w:vAlign w:val="center"/>
          </w:tcPr>
          <w:p w14:paraId="32B8A2A4" w14:textId="77777777" w:rsidR="00947B47" w:rsidRPr="00E50C52" w:rsidRDefault="00947B47" w:rsidP="00626D50">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E50C52">
              <w:rPr>
                <w:color w:val="000000"/>
                <w:sz w:val="16"/>
                <w:szCs w:val="16"/>
              </w:rPr>
              <w:t>(5.1, 10.6)</w:t>
            </w:r>
          </w:p>
        </w:tc>
      </w:tr>
    </w:tbl>
    <w:p w14:paraId="03558980" w14:textId="77777777" w:rsidR="00947B47" w:rsidRPr="00E50C52" w:rsidRDefault="00947B47" w:rsidP="00947B47">
      <w:pPr>
        <w:ind w:left="-709"/>
        <w:jc w:val="both"/>
        <w:rPr>
          <w:sz w:val="16"/>
        </w:rPr>
      </w:pPr>
      <w:r w:rsidRPr="00E50C52">
        <w:rPr>
          <w:sz w:val="16"/>
        </w:rPr>
        <w:t>Data weighted for 2013 Census data (all waves) and attrition (Waves 2, 3 and 4)</w:t>
      </w:r>
    </w:p>
    <w:p w14:paraId="0388A149" w14:textId="77777777" w:rsidR="00947B47" w:rsidRPr="00AB3B09" w:rsidRDefault="00947B47" w:rsidP="00947B47">
      <w:pPr>
        <w:pStyle w:val="RepNormal"/>
        <w:ind w:left="-709"/>
        <w:rPr>
          <w:sz w:val="16"/>
        </w:rPr>
      </w:pPr>
      <w:r w:rsidRPr="00E50C52">
        <w:rPr>
          <w:sz w:val="16"/>
        </w:rPr>
        <w:t>Wave 1 N=6,251; Wave 2 N=3,745; Wave 3 N=3,115; Wave 4 N=2,770</w:t>
      </w:r>
    </w:p>
    <w:p w14:paraId="11851ABA" w14:textId="77777777" w:rsidR="00947B47" w:rsidRDefault="00947B47" w:rsidP="00315163">
      <w:pPr>
        <w:pStyle w:val="RepNormal"/>
      </w:pPr>
    </w:p>
    <w:p w14:paraId="7835E47F" w14:textId="77777777" w:rsidR="00B7429B" w:rsidRDefault="00B7429B" w:rsidP="00303328">
      <w:pPr>
        <w:pStyle w:val="RepNormal"/>
      </w:pPr>
    </w:p>
    <w:p w14:paraId="468BD7D8" w14:textId="77777777" w:rsidR="000A72EA" w:rsidRPr="00513714" w:rsidRDefault="000A72EA" w:rsidP="006D609D">
      <w:pPr>
        <w:pStyle w:val="RepHead3"/>
        <w:keepNext w:val="0"/>
        <w:keepLines w:val="0"/>
        <w:jc w:val="both"/>
      </w:pPr>
      <w:bookmarkStart w:id="115" w:name="_Ref470186247"/>
      <w:bookmarkStart w:id="116" w:name="_Toc504488369"/>
      <w:r w:rsidRPr="00513714">
        <w:t>Gambling risk levels by methods used to stop gambling too much and help-seeking behaviour</w:t>
      </w:r>
      <w:bookmarkEnd w:id="115"/>
      <w:bookmarkEnd w:id="116"/>
    </w:p>
    <w:p w14:paraId="7DE44F1C" w14:textId="77777777" w:rsidR="000A72EA" w:rsidRPr="00513714" w:rsidRDefault="000A72EA" w:rsidP="006D609D">
      <w:pPr>
        <w:pStyle w:val="RepNormal"/>
      </w:pPr>
    </w:p>
    <w:p w14:paraId="3ABBD69D" w14:textId="77777777" w:rsidR="00E7746B" w:rsidRPr="00513714" w:rsidRDefault="00E7746B" w:rsidP="006D609D">
      <w:pPr>
        <w:pStyle w:val="RepNormal"/>
      </w:pPr>
      <w:r w:rsidRPr="00513714">
        <w:t>D</w:t>
      </w:r>
      <w:r w:rsidR="003D7BB5">
        <w:t>ata are presented in Appendix 24</w:t>
      </w:r>
      <w:r w:rsidRPr="00513714">
        <w:t>.</w:t>
      </w:r>
    </w:p>
    <w:p w14:paraId="53251F2C" w14:textId="77777777" w:rsidR="001E6C0F" w:rsidRPr="00513714" w:rsidRDefault="001E6C0F" w:rsidP="006D609D">
      <w:pPr>
        <w:pStyle w:val="RepNormal"/>
      </w:pPr>
    </w:p>
    <w:p w14:paraId="5229C887" w14:textId="77777777" w:rsidR="00513714" w:rsidRDefault="00513714" w:rsidP="006D609D">
      <w:pPr>
        <w:pStyle w:val="RepNormal"/>
      </w:pPr>
      <w:r w:rsidRPr="00513714">
        <w:t>Participants were asked about particular methods they</w:t>
      </w:r>
      <w:r>
        <w:t xml:space="preserve"> used to stop gambling too much, in relation </w:t>
      </w:r>
      <w:r w:rsidRPr="00513714">
        <w:t xml:space="preserve">to their overall gambling.  </w:t>
      </w:r>
      <w:r>
        <w:t xml:space="preserve">In Wave 4, </w:t>
      </w:r>
      <w:r w:rsidRPr="00513714">
        <w:t>moderate-risk</w:t>
      </w:r>
      <w:r>
        <w:t>/problem gamblers (42%) and low-risk gamblers (</w:t>
      </w:r>
      <w:r w:rsidR="00DA5BCB">
        <w:t>40%)</w:t>
      </w:r>
      <w:r w:rsidRPr="00513714">
        <w:t xml:space="preserve"> more often than non-problem gamblers </w:t>
      </w:r>
      <w:r w:rsidR="00DA5BCB">
        <w:t xml:space="preserve">(14%) </w:t>
      </w:r>
      <w:r>
        <w:t>reported that</w:t>
      </w:r>
      <w:r w:rsidRPr="00513714">
        <w:t xml:space="preserve"> they </w:t>
      </w:r>
      <w:r>
        <w:t>set a money limit</w:t>
      </w:r>
      <w:r w:rsidR="00DA5BCB">
        <w:t xml:space="preserve"> for gambling</w:t>
      </w:r>
      <w:r>
        <w:t>.</w:t>
      </w:r>
      <w:r w:rsidR="00DA5BCB">
        <w:t xml:space="preserve">  This finding had been noted from Wave </w:t>
      </w:r>
      <w:r w:rsidR="00733273">
        <w:t>1 and was the most reported method reported by each group (moderate-risk/problem gamblers, low-risk gamblers and non-problem gamblers)</w:t>
      </w:r>
      <w:r w:rsidR="006E4A38">
        <w:t>.</w:t>
      </w:r>
    </w:p>
    <w:p w14:paraId="27FED250" w14:textId="77777777" w:rsidR="00DA5BCB" w:rsidRDefault="00DA5BCB" w:rsidP="006D609D">
      <w:pPr>
        <w:pStyle w:val="RepNormal"/>
      </w:pPr>
    </w:p>
    <w:p w14:paraId="75D716C9" w14:textId="77777777" w:rsidR="00DA5BCB" w:rsidRDefault="00733273" w:rsidP="006D609D">
      <w:pPr>
        <w:pStyle w:val="RepNormal"/>
      </w:pPr>
      <w:r>
        <w:t>In Wave 4, a</w:t>
      </w:r>
      <w:r w:rsidR="00DA5BCB">
        <w:t xml:space="preserve"> greater proportion of moderate-risk/problem gamblers</w:t>
      </w:r>
      <w:r>
        <w:t>, compared with non-problem gamblers,</w:t>
      </w:r>
      <w:r w:rsidR="00DA5BCB">
        <w:t xml:space="preserve"> </w:t>
      </w:r>
      <w:r w:rsidR="007B511E">
        <w:t xml:space="preserve">also </w:t>
      </w:r>
      <w:r w:rsidR="00DA5BCB">
        <w:t>separated money for betting and stopped when it was used up</w:t>
      </w:r>
      <w:r w:rsidR="007B511E">
        <w:t xml:space="preserve"> (17% vs. 1.8%)</w:t>
      </w:r>
      <w:r>
        <w:t>, left Automated Teller Machine (ATM) and credit cards at home (7.6% vs. 0.7%), and avoided betting/gambling places (6.1% vs. 1.1)</w:t>
      </w:r>
      <w:r w:rsidR="00DA5BCB">
        <w:t>.  Although the 95% confidence intervals overlapped</w:t>
      </w:r>
      <w:r w:rsidR="007B511E">
        <w:t xml:space="preserve"> in Wave 4</w:t>
      </w:r>
      <w:r>
        <w:t xml:space="preserve"> between the groups</w:t>
      </w:r>
      <w:r w:rsidR="00DA5BCB">
        <w:t xml:space="preserve">, </w:t>
      </w:r>
      <w:r>
        <w:t>the</w:t>
      </w:r>
      <w:r w:rsidR="007B511E">
        <w:t xml:space="preserve"> </w:t>
      </w:r>
      <w:r>
        <w:t>findings</w:t>
      </w:r>
      <w:r w:rsidR="007B511E">
        <w:t xml:space="preserve"> </w:t>
      </w:r>
      <w:r>
        <w:t>were</w:t>
      </w:r>
      <w:r w:rsidR="007B511E">
        <w:t xml:space="preserve"> noted consistently from Wave 1</w:t>
      </w:r>
      <w:r>
        <w:t xml:space="preserve"> to Wave 3</w:t>
      </w:r>
      <w:r w:rsidR="007B511E">
        <w:t xml:space="preserve"> without confidence interval overlap</w:t>
      </w:r>
      <w:r>
        <w:t>.  T</w:t>
      </w:r>
      <w:r w:rsidR="007B511E">
        <w:t>he finding</w:t>
      </w:r>
      <w:r>
        <w:t>s</w:t>
      </w:r>
      <w:r w:rsidR="007B511E">
        <w:t xml:space="preserve"> </w:t>
      </w:r>
      <w:r>
        <w:t>are thus</w:t>
      </w:r>
      <w:r w:rsidR="007B511E">
        <w:t xml:space="preserve"> deemed valid</w:t>
      </w:r>
      <w:r>
        <w:t xml:space="preserve"> and the confidence interval overlaps are considered to be due to the small sample sizes in Wave 4</w:t>
      </w:r>
      <w:r w:rsidR="007B511E">
        <w:t>.</w:t>
      </w:r>
    </w:p>
    <w:p w14:paraId="5792010C" w14:textId="77777777" w:rsidR="006E4A38" w:rsidRDefault="006E4A38" w:rsidP="006D609D">
      <w:pPr>
        <w:pStyle w:val="RepNormal"/>
      </w:pPr>
    </w:p>
    <w:p w14:paraId="173F1615" w14:textId="77777777" w:rsidR="006E4A38" w:rsidRDefault="006E4A38" w:rsidP="006D609D">
      <w:pPr>
        <w:pStyle w:val="RepNormal"/>
      </w:pPr>
      <w:r>
        <w:t>The only changes over time were noted for non-problem gamblers, whereby lower percentages reported setting a money limit for gambling in Wave</w:t>
      </w:r>
      <w:r w:rsidR="00A01708">
        <w:t>s</w:t>
      </w:r>
      <w:r>
        <w:t xml:space="preserve"> 3 and 4 (both 14%) compared with Wave 1 (18%), and lower percentages reported separating betting money and stopping when it was spent in Waves 2, 3 and 4 (1.9%, 1.5%</w:t>
      </w:r>
      <w:r w:rsidR="001863AD">
        <w:t xml:space="preserve"> and</w:t>
      </w:r>
      <w:r>
        <w:t xml:space="preserve"> 1.8%) compared with Wave 1 (3.4%).</w:t>
      </w:r>
    </w:p>
    <w:p w14:paraId="6A3EEC9B" w14:textId="77777777" w:rsidR="00DA5BCB" w:rsidRDefault="00DA5BCB" w:rsidP="006D609D">
      <w:pPr>
        <w:pStyle w:val="RepNormal"/>
      </w:pPr>
    </w:p>
    <w:p w14:paraId="0B07F35E" w14:textId="3C53AAAC" w:rsidR="00BA0C0A" w:rsidRPr="0038107A" w:rsidRDefault="00BA0C0A" w:rsidP="006D609D">
      <w:pPr>
        <w:pStyle w:val="RepNormal"/>
      </w:pPr>
      <w:r w:rsidRPr="006E4A38">
        <w:t xml:space="preserve">Very few participants </w:t>
      </w:r>
      <w:r w:rsidR="00C40276" w:rsidRPr="006E4A38">
        <w:t xml:space="preserve">had </w:t>
      </w:r>
      <w:r w:rsidRPr="006E4A38">
        <w:t xml:space="preserve">sought help from a </w:t>
      </w:r>
      <w:r w:rsidR="00C40276" w:rsidRPr="006E4A38">
        <w:t>professional</w:t>
      </w:r>
      <w:r w:rsidRPr="006E4A38">
        <w:t xml:space="preserve"> gambling treatment service</w:t>
      </w:r>
      <w:r w:rsidR="00C40276" w:rsidRPr="006E4A38">
        <w:t xml:space="preserve"> in the prior year</w:t>
      </w:r>
      <w:r w:rsidRPr="006E4A38">
        <w:t xml:space="preserve">.  </w:t>
      </w:r>
      <w:r w:rsidR="006E4A38">
        <w:t xml:space="preserve">In Wave 4, only </w:t>
      </w:r>
      <w:r w:rsidR="009C09AE">
        <w:t xml:space="preserve">1.6% of </w:t>
      </w:r>
      <w:r w:rsidR="006E4A38">
        <w:t xml:space="preserve">moderate-risk/problem gamblers had sought help.  </w:t>
      </w:r>
      <w:r w:rsidR="006E4A38" w:rsidRPr="0038107A">
        <w:t>Although point estimates varied slightly, this finding was similar across the waves.</w:t>
      </w:r>
      <w:r w:rsidR="009043E9" w:rsidRPr="0038107A">
        <w:t xml:space="preserve">  No low-risk gamblers or moderate-risk gamblers sought professional help.</w:t>
      </w:r>
    </w:p>
    <w:p w14:paraId="4B1016B1" w14:textId="77777777" w:rsidR="00BA0C0A" w:rsidRPr="0038107A" w:rsidRDefault="00BA0C0A" w:rsidP="006D609D">
      <w:pPr>
        <w:pStyle w:val="RepNormal"/>
      </w:pPr>
    </w:p>
    <w:p w14:paraId="43437152" w14:textId="77777777" w:rsidR="000A72EA" w:rsidRPr="0038107A" w:rsidRDefault="000A72EA" w:rsidP="006D609D">
      <w:pPr>
        <w:pStyle w:val="RepNormal"/>
      </w:pPr>
    </w:p>
    <w:p w14:paraId="0D5F3BA5" w14:textId="77777777" w:rsidR="000A72EA" w:rsidRPr="006E4A38" w:rsidRDefault="000A72EA" w:rsidP="00A01708">
      <w:pPr>
        <w:pStyle w:val="RepHead3"/>
        <w:keepLines w:val="0"/>
        <w:jc w:val="both"/>
      </w:pPr>
      <w:bookmarkStart w:id="117" w:name="_Ref495668654"/>
      <w:bookmarkStart w:id="118" w:name="_Toc504488370"/>
      <w:r w:rsidRPr="006E4A38">
        <w:t xml:space="preserve">Gambling risk levels by </w:t>
      </w:r>
      <w:r w:rsidR="00E6714C" w:rsidRPr="006E4A38">
        <w:t>major</w:t>
      </w:r>
      <w:r w:rsidRPr="006E4A38">
        <w:t xml:space="preserve"> life events and psychological distress</w:t>
      </w:r>
      <w:bookmarkEnd w:id="117"/>
      <w:bookmarkEnd w:id="118"/>
    </w:p>
    <w:p w14:paraId="197FEF27" w14:textId="77777777" w:rsidR="000A72EA" w:rsidRPr="006E4A38" w:rsidRDefault="000A72EA" w:rsidP="00A01708">
      <w:pPr>
        <w:pStyle w:val="RepNormal"/>
        <w:keepNext/>
      </w:pPr>
    </w:p>
    <w:p w14:paraId="5C066636" w14:textId="77777777" w:rsidR="0047103A" w:rsidRPr="006E4A38" w:rsidRDefault="0047103A" w:rsidP="00A01708">
      <w:pPr>
        <w:pStyle w:val="RepNormal"/>
        <w:keepNext/>
      </w:pPr>
      <w:r w:rsidRPr="006E4A38">
        <w:t>D</w:t>
      </w:r>
      <w:r w:rsidR="003D7BB5">
        <w:t>ata are presented in Appendix 25</w:t>
      </w:r>
      <w:r w:rsidRPr="006E4A38">
        <w:t>.</w:t>
      </w:r>
    </w:p>
    <w:p w14:paraId="7C8C048C" w14:textId="77777777" w:rsidR="000A72EA" w:rsidRDefault="000A72EA" w:rsidP="00A01708">
      <w:pPr>
        <w:pStyle w:val="RepNormal"/>
        <w:keepNext/>
        <w:rPr>
          <w:highlight w:val="yellow"/>
        </w:rPr>
      </w:pPr>
    </w:p>
    <w:p w14:paraId="22977462" w14:textId="77777777" w:rsidR="0087656C" w:rsidRDefault="005A01FC" w:rsidP="00A01708">
      <w:pPr>
        <w:keepNext/>
        <w:jc w:val="both"/>
        <w:rPr>
          <w:szCs w:val="22"/>
        </w:rPr>
      </w:pPr>
      <w:r>
        <w:rPr>
          <w:szCs w:val="22"/>
        </w:rPr>
        <w:t>In some waves, the low-risk and combined moderate-risk and problem groups reported more major life events than non-problem gamblers.  However, there were no consistent</w:t>
      </w:r>
      <w:r w:rsidR="0029789C" w:rsidRPr="0081404F">
        <w:rPr>
          <w:szCs w:val="22"/>
        </w:rPr>
        <w:t xml:space="preserve"> major differences in the number of major life events experienced in the prior 12</w:t>
      </w:r>
      <w:r w:rsidR="0081404F">
        <w:rPr>
          <w:szCs w:val="22"/>
        </w:rPr>
        <w:t> </w:t>
      </w:r>
      <w:r w:rsidR="0029789C">
        <w:rPr>
          <w:szCs w:val="22"/>
        </w:rPr>
        <w:t xml:space="preserve">months between non-problem gamblers, low-risk gamblers and moderate-risk/problem gamblers.  </w:t>
      </w:r>
      <w:r>
        <w:rPr>
          <w:szCs w:val="22"/>
        </w:rPr>
        <w:t>O</w:t>
      </w:r>
      <w:r w:rsidR="0029789C">
        <w:rPr>
          <w:szCs w:val="22"/>
        </w:rPr>
        <w:t>ver time, there were changes in the proportions of non-problem gamblers experiencing different numbers of major life events.  The proportion who had no</w:t>
      </w:r>
      <w:r w:rsidR="0081404F">
        <w:rPr>
          <w:szCs w:val="22"/>
        </w:rPr>
        <w:t>t</w:t>
      </w:r>
      <w:r w:rsidR="0029789C">
        <w:rPr>
          <w:szCs w:val="22"/>
        </w:rPr>
        <w:t xml:space="preserve"> experienced any life event increased in Wave 4 to 31% from 27% in Wave 1.  Conversely, the percentage experiencing </w:t>
      </w:r>
      <w:r w:rsidR="0081404F">
        <w:rPr>
          <w:szCs w:val="22"/>
        </w:rPr>
        <w:t>four</w:t>
      </w:r>
      <w:r w:rsidR="0029789C">
        <w:rPr>
          <w:szCs w:val="22"/>
        </w:rPr>
        <w:t xml:space="preserve"> events, or </w:t>
      </w:r>
      <w:r w:rsidR="0081404F">
        <w:rPr>
          <w:szCs w:val="22"/>
        </w:rPr>
        <w:t>five</w:t>
      </w:r>
      <w:r w:rsidR="0029789C">
        <w:rPr>
          <w:szCs w:val="22"/>
        </w:rPr>
        <w:t xml:space="preserve"> or more events, decreased in Wave 4 (5.0% and 3.5% respectively) compared to Wave 1 (7.2% and 8.9% respectively).</w:t>
      </w:r>
    </w:p>
    <w:p w14:paraId="2758A174" w14:textId="77777777" w:rsidR="0087656C" w:rsidRDefault="0087656C" w:rsidP="000A72EA">
      <w:pPr>
        <w:pStyle w:val="RepNormal"/>
        <w:rPr>
          <w:highlight w:val="yellow"/>
        </w:rPr>
      </w:pPr>
    </w:p>
    <w:p w14:paraId="0E36AE6B" w14:textId="77777777" w:rsidR="008D3DA6" w:rsidRPr="000A72EA" w:rsidRDefault="00FB7CB9" w:rsidP="000A72EA">
      <w:pPr>
        <w:pStyle w:val="RepNormal"/>
      </w:pPr>
      <w:r>
        <w:t xml:space="preserve">In Wave 4, </w:t>
      </w:r>
      <w:r w:rsidR="0081404F">
        <w:t>higher</w:t>
      </w:r>
      <w:r>
        <w:t xml:space="preserve"> proportions of moderate-risk/problem gamblers reported severe and high psychological distress (10% and 17%, respectively) than non-problem gamblers (0.8% and 4.5%, respectively).  Conversely, a lower proportion of moderate-risk/problem gamblers reported a low level of psychological distress (41%) compared with non-problem gamblers (78%).</w:t>
      </w:r>
      <w:r w:rsidR="00AA3224">
        <w:t xml:space="preserve">  These findings were consistently noted across time from Wave 1.</w:t>
      </w:r>
    </w:p>
    <w:p w14:paraId="62CDF917" w14:textId="77777777" w:rsidR="000A72EA" w:rsidRDefault="000A72EA" w:rsidP="00303328">
      <w:pPr>
        <w:pStyle w:val="RepNormal"/>
      </w:pPr>
    </w:p>
    <w:p w14:paraId="12D9C65E" w14:textId="77777777" w:rsidR="001863AD" w:rsidRDefault="001863AD" w:rsidP="001863AD">
      <w:pPr>
        <w:pStyle w:val="RepHead2"/>
      </w:pPr>
      <w:bookmarkStart w:id="119" w:name="_Toc504488371"/>
      <w:r>
        <w:t>Incidence</w:t>
      </w:r>
      <w:bookmarkEnd w:id="119"/>
    </w:p>
    <w:p w14:paraId="479BC3EA" w14:textId="77777777" w:rsidR="001863AD" w:rsidRDefault="001863AD" w:rsidP="00303328">
      <w:pPr>
        <w:pStyle w:val="RepNormal"/>
      </w:pPr>
    </w:p>
    <w:p w14:paraId="3DB7B196" w14:textId="77777777" w:rsidR="001863AD" w:rsidRDefault="001863AD" w:rsidP="001863AD">
      <w:pPr>
        <w:pStyle w:val="RepNormal"/>
      </w:pPr>
      <w:r>
        <w:t xml:space="preserve">Incidence of problem gambling </w:t>
      </w:r>
      <w:r w:rsidR="00E775FA">
        <w:t>in</w:t>
      </w:r>
      <w:r>
        <w:t xml:space="preserve"> Wave 4 was calculated fr</w:t>
      </w:r>
      <w:r w:rsidR="00E775FA">
        <w:t>om problem gamblers who in Wave </w:t>
      </w:r>
      <w:r>
        <w:t>3 were non-gamblers, non-problem gamblers, low-risk gamblers or moderate-risk gamblers.  In Wave 4, the incidence rate for problem gambling was 0.10% (CI 0.00, 0.19).  Of the people who developed problem gambling, 33.3% (CI 13.3, 53.3) were new problem gamblers and the remaining 67% were people who had previously had problems with gambling (either in Waves 1 or 2, or previously in their lifetime).</w:t>
      </w:r>
    </w:p>
    <w:p w14:paraId="4B24AF91" w14:textId="77777777" w:rsidR="001863AD" w:rsidRDefault="001863AD" w:rsidP="001863AD">
      <w:pPr>
        <w:pStyle w:val="RepNormal"/>
      </w:pPr>
    </w:p>
    <w:p w14:paraId="597032FA" w14:textId="77777777" w:rsidR="001863AD" w:rsidRDefault="001863AD" w:rsidP="001863AD">
      <w:pPr>
        <w:pStyle w:val="RepNormal"/>
      </w:pPr>
      <w:r>
        <w:t xml:space="preserve">Incidence of </w:t>
      </w:r>
      <w:r w:rsidR="00015174">
        <w:t>moderate-risk gambling in Wave 4</w:t>
      </w:r>
      <w:r>
        <w:t xml:space="preserve"> was calculated from mode</w:t>
      </w:r>
      <w:r w:rsidR="00015174">
        <w:t>rate-risk gamblers who in Wave 3</w:t>
      </w:r>
      <w:r>
        <w:t xml:space="preserve"> were non-gamblers, non-problem gamblers or low-risk gamblers.</w:t>
      </w:r>
      <w:r w:rsidR="00015174">
        <w:t xml:space="preserve">  </w:t>
      </w:r>
      <w:r>
        <w:t xml:space="preserve">The incidence rate for moderate-risk gambling in Wave </w:t>
      </w:r>
      <w:r w:rsidR="00015174">
        <w:t>4</w:t>
      </w:r>
      <w:r>
        <w:t xml:space="preserve"> is estimated at 1.</w:t>
      </w:r>
      <w:r w:rsidR="00015174">
        <w:t>15</w:t>
      </w:r>
      <w:r>
        <w:t>% (CI 0.</w:t>
      </w:r>
      <w:r w:rsidR="00015174">
        <w:t>55</w:t>
      </w:r>
      <w:r>
        <w:t xml:space="preserve">, </w:t>
      </w:r>
      <w:r w:rsidR="00015174">
        <w:t>1.76)</w:t>
      </w:r>
      <w:r>
        <w:t xml:space="preserve">.  Of these people, </w:t>
      </w:r>
      <w:r w:rsidR="00015174">
        <w:t>71.2</w:t>
      </w:r>
      <w:r>
        <w:t xml:space="preserve">% (CI </w:t>
      </w:r>
      <w:r w:rsidR="00015174">
        <w:t>54.1</w:t>
      </w:r>
      <w:r>
        <w:t xml:space="preserve">, </w:t>
      </w:r>
      <w:r w:rsidR="00015174">
        <w:t>88.3</w:t>
      </w:r>
      <w:r>
        <w:t>) were new moderate-risk gamblers.</w:t>
      </w:r>
      <w:r w:rsidR="00015174">
        <w:t xml:space="preserve">  The estimate for incident cases of moderate-risk and problem gamblers combined was 70.0% (CI 52.8, 87.5).</w:t>
      </w:r>
    </w:p>
    <w:p w14:paraId="406090D7" w14:textId="77777777" w:rsidR="001863AD" w:rsidRDefault="001863AD" w:rsidP="001863AD">
      <w:pPr>
        <w:pStyle w:val="RepNormal"/>
      </w:pPr>
    </w:p>
    <w:p w14:paraId="53A150C9" w14:textId="77777777" w:rsidR="001863AD" w:rsidRDefault="001863AD" w:rsidP="001863AD">
      <w:pPr>
        <w:pStyle w:val="RepNormal"/>
      </w:pPr>
      <w:r>
        <w:t xml:space="preserve">The incidence rate for </w:t>
      </w:r>
      <w:r w:rsidR="00015174">
        <w:t>low-risk gambling in Wave 4</w:t>
      </w:r>
      <w:r>
        <w:t xml:space="preserve"> </w:t>
      </w:r>
      <w:r w:rsidR="00015174">
        <w:t xml:space="preserve">was calculated from low-risk gamblers who in Wave 3 were non-gamblers or non-problem gamblers.  The incidence rate for low-risk gambling in Wave 4 </w:t>
      </w:r>
      <w:r>
        <w:t xml:space="preserve">is estimated at </w:t>
      </w:r>
      <w:r w:rsidR="00015174">
        <w:t>3.25</w:t>
      </w:r>
      <w:r>
        <w:t xml:space="preserve">% (CI </w:t>
      </w:r>
      <w:r w:rsidR="00015174">
        <w:t>2.42</w:t>
      </w:r>
      <w:r>
        <w:t xml:space="preserve">, </w:t>
      </w:r>
      <w:r w:rsidR="00015174">
        <w:t>4.09</w:t>
      </w:r>
      <w:r>
        <w:t xml:space="preserve">).  </w:t>
      </w:r>
    </w:p>
    <w:p w14:paraId="6EA51033" w14:textId="77777777" w:rsidR="001863AD" w:rsidRDefault="001863AD" w:rsidP="00303328">
      <w:pPr>
        <w:pStyle w:val="RepNormal"/>
      </w:pPr>
    </w:p>
    <w:p w14:paraId="4D6B64EB" w14:textId="77777777" w:rsidR="003016B3" w:rsidRDefault="003016B3" w:rsidP="00962DEA">
      <w:pPr>
        <w:pStyle w:val="RepHead2"/>
      </w:pPr>
      <w:bookmarkStart w:id="120" w:name="_Ref483378446"/>
      <w:bookmarkStart w:id="121" w:name="_Toc504488372"/>
      <w:r>
        <w:t>Gambling risk level transitions</w:t>
      </w:r>
      <w:bookmarkEnd w:id="120"/>
      <w:bookmarkEnd w:id="121"/>
    </w:p>
    <w:p w14:paraId="2C0B76E5" w14:textId="77777777" w:rsidR="003016B3" w:rsidRDefault="003016B3" w:rsidP="000D1CF7">
      <w:pPr>
        <w:pStyle w:val="RepNormal"/>
      </w:pPr>
    </w:p>
    <w:p w14:paraId="4EDCFBC4" w14:textId="77777777" w:rsidR="00CB53B9" w:rsidRDefault="00CB53B9" w:rsidP="000D1CF7">
      <w:pPr>
        <w:pStyle w:val="RepNormal"/>
      </w:pPr>
      <w:r w:rsidRPr="00E67E9D">
        <w:fldChar w:fldCharType="begin"/>
      </w:r>
      <w:r w:rsidRPr="00E67E9D">
        <w:instrText xml:space="preserve"> REF _Ref404250377 \h </w:instrText>
      </w:r>
      <w:r w:rsidR="003511F6" w:rsidRPr="00E67E9D">
        <w:instrText xml:space="preserve"> \* MERGEFORMAT </w:instrText>
      </w:r>
      <w:r w:rsidRPr="00E67E9D">
        <w:fldChar w:fldCharType="separate"/>
      </w:r>
      <w:r w:rsidR="00D5752E">
        <w:t xml:space="preserve">Table </w:t>
      </w:r>
      <w:r w:rsidR="00D5752E">
        <w:rPr>
          <w:noProof/>
        </w:rPr>
        <w:t>12</w:t>
      </w:r>
      <w:r w:rsidRPr="00E67E9D">
        <w:fldChar w:fldCharType="end"/>
      </w:r>
      <w:r w:rsidRPr="00E67E9D">
        <w:t xml:space="preserve"> details transitio</w:t>
      </w:r>
      <w:r w:rsidR="00B44AC7" w:rsidRPr="00E67E9D">
        <w:t>ns in gambling risk level from W</w:t>
      </w:r>
      <w:r w:rsidRPr="00E67E9D">
        <w:t xml:space="preserve">ave 1 to Wave 2, Wave 2 to Wave 3, and Wave 3 to Wave 4.  The same data with 95% confidence intervals are presented in Appendix 26.  </w:t>
      </w:r>
      <w:r w:rsidRPr="00E67E9D">
        <w:rPr>
          <w:i/>
        </w:rPr>
        <w:t>Note that</w:t>
      </w:r>
      <w:r>
        <w:rPr>
          <w:i/>
        </w:rPr>
        <w:t xml:space="preserve"> the sample size is very small for some cells, particularly for problem gamblers and, to a lesser extent, moderate-risk gamblers so the results should be considered with caution and should be considered indicative rather than absolute.</w:t>
      </w:r>
    </w:p>
    <w:p w14:paraId="0EB38079" w14:textId="77777777" w:rsidR="00CB53B9" w:rsidRDefault="00CB53B9" w:rsidP="000D1CF7">
      <w:pPr>
        <w:pStyle w:val="RepNormal"/>
      </w:pPr>
    </w:p>
    <w:p w14:paraId="04EDB5B1" w14:textId="77777777" w:rsidR="00FC6127" w:rsidRDefault="00FC6127" w:rsidP="00FC6127">
      <w:pPr>
        <w:pStyle w:val="Caption"/>
        <w:keepNext/>
        <w:keepLines/>
        <w:rPr>
          <w:szCs w:val="22"/>
        </w:rPr>
      </w:pPr>
      <w:bookmarkStart w:id="122" w:name="_Ref404250377"/>
      <w:bookmarkStart w:id="123" w:name="_Toc420393801"/>
      <w:bookmarkStart w:id="124" w:name="_Toc444864315"/>
      <w:bookmarkStart w:id="125" w:name="_Toc504488437"/>
      <w:r>
        <w:t xml:space="preserve">Table </w:t>
      </w:r>
      <w:r w:rsidR="00D5752E">
        <w:fldChar w:fldCharType="begin"/>
      </w:r>
      <w:r w:rsidR="00D5752E">
        <w:instrText xml:space="preserve"> SEQ Table \* ARABIC </w:instrText>
      </w:r>
      <w:r w:rsidR="00D5752E">
        <w:fldChar w:fldCharType="separate"/>
      </w:r>
      <w:r w:rsidR="00D5752E">
        <w:rPr>
          <w:noProof/>
        </w:rPr>
        <w:t>12</w:t>
      </w:r>
      <w:r w:rsidR="00D5752E">
        <w:rPr>
          <w:noProof/>
        </w:rPr>
        <w:fldChar w:fldCharType="end"/>
      </w:r>
      <w:bookmarkEnd w:id="122"/>
      <w:r>
        <w:t xml:space="preserve">: Transitions between gambling risk levels </w:t>
      </w:r>
      <w:bookmarkEnd w:id="123"/>
      <w:r>
        <w:t>between the waves</w:t>
      </w:r>
      <w:bookmarkEnd w:id="124"/>
      <w:bookmarkEnd w:id="125"/>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709"/>
        <w:gridCol w:w="567"/>
        <w:gridCol w:w="709"/>
        <w:gridCol w:w="567"/>
        <w:gridCol w:w="567"/>
        <w:gridCol w:w="567"/>
        <w:gridCol w:w="567"/>
        <w:gridCol w:w="567"/>
        <w:gridCol w:w="567"/>
        <w:gridCol w:w="567"/>
      </w:tblGrid>
      <w:tr w:rsidR="00FC6127" w:rsidRPr="00672B00" w14:paraId="400F5277" w14:textId="77777777" w:rsidTr="0008407A">
        <w:trPr>
          <w:jc w:val="center"/>
        </w:trPr>
        <w:tc>
          <w:tcPr>
            <w:tcW w:w="2269" w:type="dxa"/>
            <w:vMerge w:val="restart"/>
            <w:tcBorders>
              <w:top w:val="single" w:sz="4" w:space="0" w:color="auto"/>
            </w:tcBorders>
            <w:vAlign w:val="bottom"/>
          </w:tcPr>
          <w:p w14:paraId="2E600006" w14:textId="77777777" w:rsidR="00FC6127" w:rsidRPr="00672B00" w:rsidRDefault="00FC6127" w:rsidP="0008407A">
            <w:pPr>
              <w:keepNext/>
              <w:keepLines/>
              <w:spacing w:before="20" w:after="20"/>
              <w:rPr>
                <w:b/>
                <w:szCs w:val="20"/>
              </w:rPr>
            </w:pPr>
            <w:r>
              <w:rPr>
                <w:b/>
                <w:szCs w:val="20"/>
              </w:rPr>
              <w:t>Transition from</w:t>
            </w:r>
          </w:p>
        </w:tc>
        <w:tc>
          <w:tcPr>
            <w:tcW w:w="5954" w:type="dxa"/>
            <w:gridSpan w:val="10"/>
            <w:tcBorders>
              <w:top w:val="single" w:sz="4" w:space="0" w:color="auto"/>
              <w:bottom w:val="single" w:sz="4" w:space="0" w:color="auto"/>
            </w:tcBorders>
            <w:vAlign w:val="bottom"/>
          </w:tcPr>
          <w:p w14:paraId="33EDACEA" w14:textId="77777777" w:rsidR="00FC6127" w:rsidRPr="00672B00" w:rsidRDefault="00FC6127" w:rsidP="0008407A">
            <w:pPr>
              <w:keepNext/>
              <w:keepLines/>
              <w:spacing w:before="20" w:after="20"/>
              <w:jc w:val="center"/>
              <w:rPr>
                <w:b/>
                <w:szCs w:val="20"/>
              </w:rPr>
            </w:pPr>
            <w:r>
              <w:rPr>
                <w:b/>
                <w:szCs w:val="20"/>
              </w:rPr>
              <w:t>Transition to</w:t>
            </w:r>
          </w:p>
        </w:tc>
      </w:tr>
      <w:tr w:rsidR="00FC6127" w:rsidRPr="00672B00" w14:paraId="48C8D91F" w14:textId="77777777" w:rsidTr="0008407A">
        <w:trPr>
          <w:jc w:val="center"/>
        </w:trPr>
        <w:tc>
          <w:tcPr>
            <w:tcW w:w="2269" w:type="dxa"/>
            <w:vMerge/>
          </w:tcPr>
          <w:p w14:paraId="26DB87AF" w14:textId="77777777" w:rsidR="00FC6127" w:rsidRPr="00672B00" w:rsidRDefault="00FC6127" w:rsidP="0008407A">
            <w:pPr>
              <w:keepNext/>
              <w:keepLines/>
              <w:spacing w:before="20" w:after="20"/>
              <w:rPr>
                <w:b/>
                <w:szCs w:val="20"/>
              </w:rPr>
            </w:pPr>
          </w:p>
        </w:tc>
        <w:tc>
          <w:tcPr>
            <w:tcW w:w="1276" w:type="dxa"/>
            <w:gridSpan w:val="2"/>
            <w:tcBorders>
              <w:top w:val="single" w:sz="4" w:space="0" w:color="auto"/>
              <w:bottom w:val="single" w:sz="4" w:space="0" w:color="auto"/>
            </w:tcBorders>
            <w:vAlign w:val="bottom"/>
          </w:tcPr>
          <w:p w14:paraId="4EF0FFFE" w14:textId="77777777" w:rsidR="00FC6127" w:rsidRPr="00672B00" w:rsidRDefault="00FC6127" w:rsidP="0008407A">
            <w:pPr>
              <w:keepNext/>
              <w:keepLines/>
              <w:spacing w:before="20" w:after="20"/>
              <w:jc w:val="center"/>
              <w:rPr>
                <w:b/>
                <w:szCs w:val="20"/>
              </w:rPr>
            </w:pPr>
            <w:r w:rsidRPr="00672B00">
              <w:rPr>
                <w:b/>
                <w:szCs w:val="20"/>
              </w:rPr>
              <w:t>Non-gambler</w:t>
            </w:r>
          </w:p>
        </w:tc>
        <w:tc>
          <w:tcPr>
            <w:tcW w:w="1276" w:type="dxa"/>
            <w:gridSpan w:val="2"/>
            <w:tcBorders>
              <w:top w:val="single" w:sz="4" w:space="0" w:color="auto"/>
              <w:bottom w:val="single" w:sz="4" w:space="0" w:color="auto"/>
            </w:tcBorders>
            <w:vAlign w:val="bottom"/>
          </w:tcPr>
          <w:p w14:paraId="0E998EB0" w14:textId="77777777" w:rsidR="00FC6127" w:rsidRPr="00672B00" w:rsidRDefault="00FC6127" w:rsidP="0008407A">
            <w:pPr>
              <w:keepNext/>
              <w:keepLines/>
              <w:spacing w:before="20" w:after="20"/>
              <w:jc w:val="center"/>
              <w:rPr>
                <w:b/>
                <w:szCs w:val="20"/>
              </w:rPr>
            </w:pPr>
            <w:r w:rsidRPr="00672B00">
              <w:rPr>
                <w:b/>
                <w:szCs w:val="20"/>
              </w:rPr>
              <w:t>Non-problem gambler</w:t>
            </w:r>
          </w:p>
        </w:tc>
        <w:tc>
          <w:tcPr>
            <w:tcW w:w="1134" w:type="dxa"/>
            <w:gridSpan w:val="2"/>
            <w:tcBorders>
              <w:top w:val="single" w:sz="4" w:space="0" w:color="auto"/>
              <w:bottom w:val="single" w:sz="4" w:space="0" w:color="auto"/>
            </w:tcBorders>
            <w:vAlign w:val="bottom"/>
          </w:tcPr>
          <w:p w14:paraId="3403C07E" w14:textId="77777777" w:rsidR="00FC6127" w:rsidRPr="00672B00" w:rsidRDefault="00FC6127" w:rsidP="0008407A">
            <w:pPr>
              <w:keepNext/>
              <w:keepLines/>
              <w:spacing w:before="20" w:after="20"/>
              <w:jc w:val="center"/>
              <w:rPr>
                <w:b/>
                <w:szCs w:val="20"/>
              </w:rPr>
            </w:pPr>
            <w:r w:rsidRPr="00672B00">
              <w:rPr>
                <w:b/>
                <w:szCs w:val="20"/>
              </w:rPr>
              <w:t>Low-risk gambler</w:t>
            </w:r>
          </w:p>
        </w:tc>
        <w:tc>
          <w:tcPr>
            <w:tcW w:w="1134" w:type="dxa"/>
            <w:gridSpan w:val="2"/>
            <w:tcBorders>
              <w:top w:val="single" w:sz="4" w:space="0" w:color="auto"/>
              <w:bottom w:val="single" w:sz="4" w:space="0" w:color="auto"/>
            </w:tcBorders>
            <w:vAlign w:val="bottom"/>
          </w:tcPr>
          <w:p w14:paraId="0EFC715A" w14:textId="77777777" w:rsidR="00FC6127" w:rsidRPr="00672B00" w:rsidRDefault="00FC6127" w:rsidP="0008407A">
            <w:pPr>
              <w:keepNext/>
              <w:keepLines/>
              <w:spacing w:before="20" w:after="20"/>
              <w:jc w:val="center"/>
              <w:rPr>
                <w:b/>
                <w:szCs w:val="20"/>
              </w:rPr>
            </w:pPr>
            <w:r w:rsidRPr="00672B00">
              <w:rPr>
                <w:b/>
                <w:szCs w:val="20"/>
              </w:rPr>
              <w:t>Moderate-risk gambler</w:t>
            </w:r>
          </w:p>
        </w:tc>
        <w:tc>
          <w:tcPr>
            <w:tcW w:w="1134" w:type="dxa"/>
            <w:gridSpan w:val="2"/>
            <w:tcBorders>
              <w:top w:val="single" w:sz="4" w:space="0" w:color="auto"/>
              <w:bottom w:val="single" w:sz="4" w:space="0" w:color="auto"/>
            </w:tcBorders>
            <w:vAlign w:val="bottom"/>
          </w:tcPr>
          <w:p w14:paraId="0595396E" w14:textId="77777777" w:rsidR="00FC6127" w:rsidRPr="00672B00" w:rsidRDefault="00FC6127" w:rsidP="0008407A">
            <w:pPr>
              <w:keepNext/>
              <w:keepLines/>
              <w:spacing w:before="20" w:after="20"/>
              <w:jc w:val="center"/>
              <w:rPr>
                <w:b/>
                <w:szCs w:val="20"/>
              </w:rPr>
            </w:pPr>
            <w:r w:rsidRPr="00672B00">
              <w:rPr>
                <w:b/>
                <w:szCs w:val="20"/>
              </w:rPr>
              <w:t>Problem gambler</w:t>
            </w:r>
          </w:p>
        </w:tc>
      </w:tr>
      <w:tr w:rsidR="00FC6127" w:rsidRPr="00672B00" w14:paraId="24D37B4E" w14:textId="77777777" w:rsidTr="0008407A">
        <w:trPr>
          <w:jc w:val="center"/>
        </w:trPr>
        <w:tc>
          <w:tcPr>
            <w:tcW w:w="2269" w:type="dxa"/>
            <w:vMerge/>
            <w:tcBorders>
              <w:bottom w:val="single" w:sz="4" w:space="0" w:color="auto"/>
            </w:tcBorders>
            <w:vAlign w:val="center"/>
          </w:tcPr>
          <w:p w14:paraId="5C3E61E3" w14:textId="77777777" w:rsidR="00FC6127" w:rsidRPr="00672B00" w:rsidRDefault="00FC6127" w:rsidP="0008407A">
            <w:pPr>
              <w:keepNext/>
              <w:keepLines/>
              <w:spacing w:before="20" w:after="20"/>
              <w:rPr>
                <w:b/>
                <w:szCs w:val="20"/>
              </w:rPr>
            </w:pPr>
          </w:p>
        </w:tc>
        <w:tc>
          <w:tcPr>
            <w:tcW w:w="709" w:type="dxa"/>
            <w:tcBorders>
              <w:top w:val="single" w:sz="4" w:space="0" w:color="auto"/>
              <w:bottom w:val="single" w:sz="4" w:space="0" w:color="auto"/>
            </w:tcBorders>
          </w:tcPr>
          <w:p w14:paraId="603E2352" w14:textId="77777777" w:rsidR="00FC6127" w:rsidRPr="00672B00" w:rsidRDefault="00FC6127" w:rsidP="0008407A">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tcBorders>
          </w:tcPr>
          <w:p w14:paraId="4ADDE32B" w14:textId="77777777" w:rsidR="00FC6127" w:rsidRPr="00672B00" w:rsidRDefault="00FC6127" w:rsidP="0008407A">
            <w:pPr>
              <w:keepNext/>
              <w:keepLines/>
              <w:spacing w:before="20" w:after="20"/>
              <w:jc w:val="right"/>
              <w:rPr>
                <w:b/>
                <w:szCs w:val="20"/>
              </w:rPr>
            </w:pPr>
            <w:r w:rsidRPr="00672B00">
              <w:rPr>
                <w:b/>
                <w:szCs w:val="20"/>
              </w:rPr>
              <w:t>%</w:t>
            </w:r>
          </w:p>
        </w:tc>
        <w:tc>
          <w:tcPr>
            <w:tcW w:w="709" w:type="dxa"/>
            <w:tcBorders>
              <w:top w:val="single" w:sz="4" w:space="0" w:color="auto"/>
              <w:bottom w:val="single" w:sz="4" w:space="0" w:color="auto"/>
            </w:tcBorders>
          </w:tcPr>
          <w:p w14:paraId="3D60D56B" w14:textId="77777777" w:rsidR="00FC6127" w:rsidRPr="00672B00" w:rsidRDefault="00FC6127" w:rsidP="0008407A">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tcBorders>
          </w:tcPr>
          <w:p w14:paraId="46E839D2" w14:textId="77777777" w:rsidR="00FC6127" w:rsidRPr="00672B00" w:rsidRDefault="00FC6127" w:rsidP="0008407A">
            <w:pPr>
              <w:keepNext/>
              <w:keepLines/>
              <w:spacing w:before="20" w:after="20"/>
              <w:jc w:val="right"/>
              <w:rPr>
                <w:b/>
                <w:szCs w:val="20"/>
              </w:rPr>
            </w:pPr>
            <w:r w:rsidRPr="00672B00">
              <w:rPr>
                <w:b/>
                <w:szCs w:val="20"/>
              </w:rPr>
              <w:t>%</w:t>
            </w:r>
          </w:p>
        </w:tc>
        <w:tc>
          <w:tcPr>
            <w:tcW w:w="567" w:type="dxa"/>
            <w:tcBorders>
              <w:top w:val="single" w:sz="4" w:space="0" w:color="auto"/>
              <w:bottom w:val="single" w:sz="4" w:space="0" w:color="auto"/>
            </w:tcBorders>
          </w:tcPr>
          <w:p w14:paraId="55FEFFDC" w14:textId="77777777" w:rsidR="00FC6127" w:rsidRPr="00672B00" w:rsidRDefault="00FC6127" w:rsidP="0008407A">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tcBorders>
          </w:tcPr>
          <w:p w14:paraId="32AA7B35" w14:textId="77777777" w:rsidR="00FC6127" w:rsidRPr="00672B00" w:rsidRDefault="00FC6127" w:rsidP="0008407A">
            <w:pPr>
              <w:keepNext/>
              <w:keepLines/>
              <w:spacing w:before="20" w:after="20"/>
              <w:jc w:val="right"/>
              <w:rPr>
                <w:b/>
                <w:szCs w:val="20"/>
              </w:rPr>
            </w:pPr>
            <w:r w:rsidRPr="00672B00">
              <w:rPr>
                <w:b/>
                <w:szCs w:val="20"/>
              </w:rPr>
              <w:t>%</w:t>
            </w:r>
          </w:p>
        </w:tc>
        <w:tc>
          <w:tcPr>
            <w:tcW w:w="567" w:type="dxa"/>
            <w:tcBorders>
              <w:top w:val="single" w:sz="4" w:space="0" w:color="auto"/>
              <w:bottom w:val="single" w:sz="4" w:space="0" w:color="auto"/>
            </w:tcBorders>
          </w:tcPr>
          <w:p w14:paraId="51456364" w14:textId="77777777" w:rsidR="00FC6127" w:rsidRPr="00672B00" w:rsidRDefault="00FC6127" w:rsidP="0008407A">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tcBorders>
          </w:tcPr>
          <w:p w14:paraId="6E02C393" w14:textId="77777777" w:rsidR="00FC6127" w:rsidRPr="00672B00" w:rsidRDefault="00FC6127" w:rsidP="0008407A">
            <w:pPr>
              <w:keepNext/>
              <w:keepLines/>
              <w:spacing w:before="20" w:after="20"/>
              <w:jc w:val="right"/>
              <w:rPr>
                <w:b/>
                <w:szCs w:val="20"/>
              </w:rPr>
            </w:pPr>
            <w:r w:rsidRPr="00672B00">
              <w:rPr>
                <w:b/>
                <w:szCs w:val="20"/>
              </w:rPr>
              <w:t>%</w:t>
            </w:r>
          </w:p>
        </w:tc>
        <w:tc>
          <w:tcPr>
            <w:tcW w:w="567" w:type="dxa"/>
            <w:tcBorders>
              <w:top w:val="single" w:sz="4" w:space="0" w:color="auto"/>
              <w:bottom w:val="single" w:sz="4" w:space="0" w:color="auto"/>
            </w:tcBorders>
          </w:tcPr>
          <w:p w14:paraId="7B15CCD8" w14:textId="77777777" w:rsidR="00FC6127" w:rsidRPr="00672B00" w:rsidRDefault="00FC6127" w:rsidP="0008407A">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tcBorders>
          </w:tcPr>
          <w:p w14:paraId="0E6070C9" w14:textId="77777777" w:rsidR="00FC6127" w:rsidRPr="00672B00" w:rsidRDefault="00FC6127" w:rsidP="0008407A">
            <w:pPr>
              <w:keepNext/>
              <w:keepLines/>
              <w:spacing w:before="20" w:after="20"/>
              <w:jc w:val="right"/>
              <w:rPr>
                <w:b/>
                <w:szCs w:val="20"/>
              </w:rPr>
            </w:pPr>
            <w:r w:rsidRPr="00672B00">
              <w:rPr>
                <w:b/>
                <w:szCs w:val="20"/>
              </w:rPr>
              <w:t>%</w:t>
            </w:r>
          </w:p>
        </w:tc>
      </w:tr>
      <w:tr w:rsidR="00FC6127" w:rsidRPr="00672B00" w14:paraId="4D68FD56" w14:textId="77777777" w:rsidTr="0008407A">
        <w:trPr>
          <w:jc w:val="center"/>
        </w:trPr>
        <w:tc>
          <w:tcPr>
            <w:tcW w:w="3545" w:type="dxa"/>
            <w:gridSpan w:val="3"/>
            <w:tcBorders>
              <w:top w:val="single" w:sz="4" w:space="0" w:color="auto"/>
            </w:tcBorders>
            <w:shd w:val="clear" w:color="auto" w:fill="auto"/>
            <w:vAlign w:val="center"/>
          </w:tcPr>
          <w:p w14:paraId="602E2039" w14:textId="77777777" w:rsidR="00FC6127" w:rsidRPr="001E27B8" w:rsidRDefault="00FC6127" w:rsidP="0008407A">
            <w:pPr>
              <w:keepNext/>
              <w:keepLines/>
              <w:spacing w:before="20" w:after="20"/>
              <w:rPr>
                <w:b/>
                <w:color w:val="000000"/>
                <w:szCs w:val="20"/>
              </w:rPr>
            </w:pPr>
            <w:r>
              <w:rPr>
                <w:b/>
                <w:color w:val="000000"/>
                <w:szCs w:val="20"/>
              </w:rPr>
              <w:t>Wave 1 to Wave 2</w:t>
            </w:r>
          </w:p>
        </w:tc>
        <w:tc>
          <w:tcPr>
            <w:tcW w:w="709" w:type="dxa"/>
            <w:tcBorders>
              <w:top w:val="single" w:sz="4" w:space="0" w:color="auto"/>
            </w:tcBorders>
            <w:shd w:val="clear" w:color="auto" w:fill="auto"/>
            <w:vAlign w:val="center"/>
          </w:tcPr>
          <w:p w14:paraId="64971015" w14:textId="77777777" w:rsidR="00FC6127" w:rsidRPr="00672B00" w:rsidRDefault="00FC6127" w:rsidP="0008407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14:paraId="1250EC9E" w14:textId="77777777" w:rsidR="00FC6127" w:rsidRPr="00672B00" w:rsidRDefault="00FC6127" w:rsidP="0008407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14:paraId="45922DF5" w14:textId="77777777" w:rsidR="00FC6127" w:rsidRPr="00672B00" w:rsidRDefault="00FC6127" w:rsidP="0008407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14:paraId="13F9F190" w14:textId="77777777" w:rsidR="00FC6127" w:rsidRPr="00672B00" w:rsidRDefault="00FC6127" w:rsidP="0008407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14:paraId="76B4E7D1" w14:textId="77777777" w:rsidR="00FC6127" w:rsidRPr="00672B00" w:rsidRDefault="00FC6127" w:rsidP="0008407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14:paraId="152E3A35" w14:textId="77777777" w:rsidR="00FC6127" w:rsidRPr="00672B00" w:rsidRDefault="00FC6127" w:rsidP="0008407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14:paraId="297BD1B5" w14:textId="77777777" w:rsidR="00FC6127" w:rsidRPr="00672B00" w:rsidRDefault="00FC6127" w:rsidP="0008407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14:paraId="0E28C70D" w14:textId="77777777" w:rsidR="00FC6127" w:rsidRPr="00672B00" w:rsidRDefault="00FC6127" w:rsidP="0008407A">
            <w:pPr>
              <w:keepNext/>
              <w:keepLines/>
              <w:spacing w:before="20" w:after="20"/>
              <w:jc w:val="right"/>
              <w:rPr>
                <w:color w:val="000000"/>
                <w:szCs w:val="20"/>
              </w:rPr>
            </w:pPr>
          </w:p>
        </w:tc>
      </w:tr>
      <w:tr w:rsidR="00FC6127" w:rsidRPr="00672B00" w14:paraId="4DCCF2F8" w14:textId="77777777" w:rsidTr="0008407A">
        <w:trPr>
          <w:jc w:val="center"/>
        </w:trPr>
        <w:tc>
          <w:tcPr>
            <w:tcW w:w="2269" w:type="dxa"/>
            <w:vAlign w:val="center"/>
          </w:tcPr>
          <w:p w14:paraId="4FCBAE3F" w14:textId="77777777" w:rsidR="00FC6127" w:rsidRPr="00672B00" w:rsidRDefault="00FC6127" w:rsidP="0008407A">
            <w:pPr>
              <w:keepNext/>
              <w:keepLines/>
              <w:spacing w:before="20" w:after="20"/>
              <w:ind w:left="88"/>
              <w:rPr>
                <w:szCs w:val="20"/>
              </w:rPr>
            </w:pPr>
            <w:r w:rsidRPr="00672B00">
              <w:rPr>
                <w:szCs w:val="20"/>
              </w:rPr>
              <w:t>Non-gambler</w:t>
            </w:r>
          </w:p>
        </w:tc>
        <w:tc>
          <w:tcPr>
            <w:tcW w:w="709" w:type="dxa"/>
            <w:shd w:val="clear" w:color="auto" w:fill="FFFF00"/>
            <w:vAlign w:val="center"/>
          </w:tcPr>
          <w:p w14:paraId="53E89734" w14:textId="77777777" w:rsidR="00FC6127" w:rsidRPr="003016B3" w:rsidRDefault="00FC6127" w:rsidP="0008407A">
            <w:pPr>
              <w:keepNext/>
              <w:jc w:val="right"/>
              <w:rPr>
                <w:color w:val="000000"/>
                <w:szCs w:val="22"/>
                <w:lang w:eastAsia="en-NZ"/>
              </w:rPr>
            </w:pPr>
            <w:r w:rsidRPr="003016B3">
              <w:rPr>
                <w:color w:val="000000"/>
                <w:szCs w:val="22"/>
              </w:rPr>
              <w:t>485</w:t>
            </w:r>
          </w:p>
        </w:tc>
        <w:tc>
          <w:tcPr>
            <w:tcW w:w="567" w:type="dxa"/>
            <w:shd w:val="clear" w:color="auto" w:fill="FFFF00"/>
            <w:vAlign w:val="center"/>
          </w:tcPr>
          <w:p w14:paraId="1CFD8A72" w14:textId="77777777" w:rsidR="00FC6127" w:rsidRPr="003016B3" w:rsidRDefault="00FC6127" w:rsidP="0008407A">
            <w:pPr>
              <w:keepNext/>
              <w:jc w:val="right"/>
              <w:rPr>
                <w:color w:val="000000"/>
                <w:szCs w:val="22"/>
              </w:rPr>
            </w:pPr>
            <w:r w:rsidRPr="003016B3">
              <w:rPr>
                <w:color w:val="000000"/>
                <w:szCs w:val="22"/>
              </w:rPr>
              <w:t>64.7</w:t>
            </w:r>
          </w:p>
        </w:tc>
        <w:tc>
          <w:tcPr>
            <w:tcW w:w="709" w:type="dxa"/>
            <w:shd w:val="clear" w:color="auto" w:fill="E5B8B7" w:themeFill="accent2" w:themeFillTint="66"/>
            <w:vAlign w:val="bottom"/>
          </w:tcPr>
          <w:p w14:paraId="45B5081D" w14:textId="77777777" w:rsidR="00FC6127" w:rsidRPr="003016B3" w:rsidRDefault="00FC6127" w:rsidP="0008407A">
            <w:pPr>
              <w:keepNext/>
              <w:jc w:val="right"/>
              <w:rPr>
                <w:color w:val="000000"/>
                <w:szCs w:val="22"/>
              </w:rPr>
            </w:pPr>
            <w:r w:rsidRPr="003016B3">
              <w:rPr>
                <w:color w:val="000000"/>
                <w:szCs w:val="22"/>
              </w:rPr>
              <w:t>247</w:t>
            </w:r>
          </w:p>
        </w:tc>
        <w:tc>
          <w:tcPr>
            <w:tcW w:w="567" w:type="dxa"/>
            <w:shd w:val="clear" w:color="auto" w:fill="E5B8B7" w:themeFill="accent2" w:themeFillTint="66"/>
            <w:vAlign w:val="bottom"/>
          </w:tcPr>
          <w:p w14:paraId="4D050C10" w14:textId="77777777" w:rsidR="00FC6127" w:rsidRPr="003016B3" w:rsidRDefault="00FC6127" w:rsidP="0008407A">
            <w:pPr>
              <w:keepNext/>
              <w:jc w:val="right"/>
              <w:rPr>
                <w:color w:val="000000"/>
                <w:szCs w:val="22"/>
              </w:rPr>
            </w:pPr>
            <w:r w:rsidRPr="003016B3">
              <w:rPr>
                <w:color w:val="000000"/>
                <w:szCs w:val="22"/>
              </w:rPr>
              <w:t>33.0</w:t>
            </w:r>
          </w:p>
        </w:tc>
        <w:tc>
          <w:tcPr>
            <w:tcW w:w="567" w:type="dxa"/>
            <w:shd w:val="clear" w:color="auto" w:fill="E5B8B7" w:themeFill="accent2" w:themeFillTint="66"/>
            <w:vAlign w:val="bottom"/>
          </w:tcPr>
          <w:p w14:paraId="55AC9F3F" w14:textId="77777777" w:rsidR="00FC6127" w:rsidRPr="003016B3" w:rsidRDefault="00FC6127" w:rsidP="0008407A">
            <w:pPr>
              <w:keepNext/>
              <w:jc w:val="right"/>
              <w:rPr>
                <w:color w:val="000000"/>
                <w:szCs w:val="22"/>
              </w:rPr>
            </w:pPr>
            <w:r w:rsidRPr="003016B3">
              <w:rPr>
                <w:color w:val="000000"/>
                <w:szCs w:val="22"/>
              </w:rPr>
              <w:t>16</w:t>
            </w:r>
          </w:p>
        </w:tc>
        <w:tc>
          <w:tcPr>
            <w:tcW w:w="567" w:type="dxa"/>
            <w:shd w:val="clear" w:color="auto" w:fill="E5B8B7" w:themeFill="accent2" w:themeFillTint="66"/>
            <w:vAlign w:val="bottom"/>
          </w:tcPr>
          <w:p w14:paraId="5A662122" w14:textId="77777777" w:rsidR="00FC6127" w:rsidRPr="003016B3" w:rsidRDefault="00FC6127" w:rsidP="0008407A">
            <w:pPr>
              <w:keepNext/>
              <w:jc w:val="right"/>
              <w:rPr>
                <w:color w:val="000000"/>
                <w:szCs w:val="22"/>
              </w:rPr>
            </w:pPr>
            <w:r w:rsidRPr="003016B3">
              <w:rPr>
                <w:color w:val="000000"/>
                <w:szCs w:val="22"/>
              </w:rPr>
              <w:t>2.1</w:t>
            </w:r>
          </w:p>
        </w:tc>
        <w:tc>
          <w:tcPr>
            <w:tcW w:w="567" w:type="dxa"/>
            <w:shd w:val="clear" w:color="auto" w:fill="E5B8B7" w:themeFill="accent2" w:themeFillTint="66"/>
            <w:vAlign w:val="bottom"/>
          </w:tcPr>
          <w:p w14:paraId="1B11E8C0" w14:textId="77777777" w:rsidR="00FC6127" w:rsidRPr="003016B3" w:rsidRDefault="00FC6127" w:rsidP="0008407A">
            <w:pPr>
              <w:keepNext/>
              <w:jc w:val="right"/>
              <w:rPr>
                <w:color w:val="000000"/>
                <w:szCs w:val="22"/>
              </w:rPr>
            </w:pPr>
            <w:r w:rsidRPr="003016B3">
              <w:rPr>
                <w:color w:val="000000"/>
                <w:szCs w:val="22"/>
              </w:rPr>
              <w:t>1</w:t>
            </w:r>
          </w:p>
        </w:tc>
        <w:tc>
          <w:tcPr>
            <w:tcW w:w="567" w:type="dxa"/>
            <w:shd w:val="clear" w:color="auto" w:fill="E5B8B7" w:themeFill="accent2" w:themeFillTint="66"/>
            <w:vAlign w:val="bottom"/>
          </w:tcPr>
          <w:p w14:paraId="191AC799" w14:textId="77777777" w:rsidR="00FC6127" w:rsidRPr="003016B3" w:rsidRDefault="00FC6127" w:rsidP="0008407A">
            <w:pPr>
              <w:keepNext/>
              <w:jc w:val="right"/>
              <w:rPr>
                <w:color w:val="000000"/>
                <w:szCs w:val="22"/>
              </w:rPr>
            </w:pPr>
            <w:r w:rsidRPr="003016B3">
              <w:rPr>
                <w:color w:val="000000"/>
                <w:szCs w:val="22"/>
              </w:rPr>
              <w:t>0.1</w:t>
            </w:r>
          </w:p>
        </w:tc>
        <w:tc>
          <w:tcPr>
            <w:tcW w:w="567" w:type="dxa"/>
            <w:shd w:val="clear" w:color="auto" w:fill="E5B8B7" w:themeFill="accent2" w:themeFillTint="66"/>
            <w:vAlign w:val="bottom"/>
          </w:tcPr>
          <w:p w14:paraId="3367F4C0" w14:textId="77777777" w:rsidR="00FC6127" w:rsidRPr="003016B3" w:rsidRDefault="00FC6127" w:rsidP="0008407A">
            <w:pPr>
              <w:keepNext/>
              <w:jc w:val="right"/>
              <w:rPr>
                <w:color w:val="000000"/>
                <w:szCs w:val="22"/>
              </w:rPr>
            </w:pPr>
            <w:r w:rsidRPr="003016B3">
              <w:rPr>
                <w:color w:val="000000"/>
                <w:szCs w:val="22"/>
              </w:rPr>
              <w:t>0</w:t>
            </w:r>
          </w:p>
        </w:tc>
        <w:tc>
          <w:tcPr>
            <w:tcW w:w="567" w:type="dxa"/>
            <w:shd w:val="clear" w:color="auto" w:fill="E5B8B7" w:themeFill="accent2" w:themeFillTint="66"/>
            <w:vAlign w:val="bottom"/>
          </w:tcPr>
          <w:p w14:paraId="36253E1F" w14:textId="77777777" w:rsidR="00FC6127" w:rsidRPr="003016B3" w:rsidRDefault="00FC6127" w:rsidP="0008407A">
            <w:pPr>
              <w:keepNext/>
              <w:jc w:val="right"/>
              <w:rPr>
                <w:color w:val="000000"/>
                <w:szCs w:val="22"/>
              </w:rPr>
            </w:pPr>
            <w:r w:rsidRPr="003016B3">
              <w:rPr>
                <w:color w:val="000000"/>
                <w:szCs w:val="22"/>
              </w:rPr>
              <w:t>0.1</w:t>
            </w:r>
          </w:p>
        </w:tc>
      </w:tr>
      <w:tr w:rsidR="00FC6127" w:rsidRPr="00672B00" w14:paraId="173DA172" w14:textId="77777777" w:rsidTr="0008407A">
        <w:trPr>
          <w:jc w:val="center"/>
        </w:trPr>
        <w:tc>
          <w:tcPr>
            <w:tcW w:w="2269" w:type="dxa"/>
            <w:vAlign w:val="center"/>
          </w:tcPr>
          <w:p w14:paraId="4A91E76A" w14:textId="77777777" w:rsidR="00FC6127" w:rsidRPr="00672B00" w:rsidRDefault="00FC6127" w:rsidP="0008407A">
            <w:pPr>
              <w:keepNext/>
              <w:spacing w:before="20" w:after="20"/>
              <w:ind w:left="88"/>
              <w:rPr>
                <w:szCs w:val="20"/>
              </w:rPr>
            </w:pPr>
            <w:r w:rsidRPr="00672B00">
              <w:rPr>
                <w:szCs w:val="20"/>
              </w:rPr>
              <w:t>Non-problem gambler</w:t>
            </w:r>
          </w:p>
        </w:tc>
        <w:tc>
          <w:tcPr>
            <w:tcW w:w="709" w:type="dxa"/>
            <w:shd w:val="clear" w:color="auto" w:fill="D6E3BC" w:themeFill="accent3" w:themeFillTint="66"/>
            <w:vAlign w:val="center"/>
          </w:tcPr>
          <w:p w14:paraId="5A67A6BF" w14:textId="77777777" w:rsidR="00FC6127" w:rsidRPr="003016B3" w:rsidRDefault="00FC6127" w:rsidP="0008407A">
            <w:pPr>
              <w:keepNext/>
              <w:jc w:val="right"/>
              <w:rPr>
                <w:color w:val="000000"/>
                <w:szCs w:val="22"/>
              </w:rPr>
            </w:pPr>
            <w:r w:rsidRPr="003016B3">
              <w:rPr>
                <w:color w:val="000000"/>
                <w:szCs w:val="22"/>
              </w:rPr>
              <w:t>327</w:t>
            </w:r>
          </w:p>
        </w:tc>
        <w:tc>
          <w:tcPr>
            <w:tcW w:w="567" w:type="dxa"/>
            <w:shd w:val="clear" w:color="auto" w:fill="D6E3BC" w:themeFill="accent3" w:themeFillTint="66"/>
            <w:vAlign w:val="center"/>
          </w:tcPr>
          <w:p w14:paraId="5574D40A" w14:textId="77777777" w:rsidR="00FC6127" w:rsidRPr="003016B3" w:rsidRDefault="00FC6127" w:rsidP="0008407A">
            <w:pPr>
              <w:keepNext/>
              <w:jc w:val="right"/>
              <w:rPr>
                <w:color w:val="000000"/>
                <w:szCs w:val="22"/>
              </w:rPr>
            </w:pPr>
            <w:r w:rsidRPr="003016B3">
              <w:rPr>
                <w:color w:val="000000"/>
                <w:szCs w:val="22"/>
              </w:rPr>
              <w:t>11.9</w:t>
            </w:r>
          </w:p>
        </w:tc>
        <w:tc>
          <w:tcPr>
            <w:tcW w:w="709" w:type="dxa"/>
            <w:shd w:val="clear" w:color="auto" w:fill="FFFF00"/>
            <w:vAlign w:val="bottom"/>
          </w:tcPr>
          <w:p w14:paraId="7DF757A0" w14:textId="77777777" w:rsidR="00FC6127" w:rsidRPr="003016B3" w:rsidRDefault="00FC6127" w:rsidP="0008407A">
            <w:pPr>
              <w:keepNext/>
              <w:jc w:val="right"/>
              <w:rPr>
                <w:color w:val="000000"/>
                <w:szCs w:val="22"/>
              </w:rPr>
            </w:pPr>
            <w:r w:rsidRPr="003016B3">
              <w:rPr>
                <w:color w:val="000000"/>
                <w:szCs w:val="22"/>
              </w:rPr>
              <w:t>2267</w:t>
            </w:r>
          </w:p>
        </w:tc>
        <w:tc>
          <w:tcPr>
            <w:tcW w:w="567" w:type="dxa"/>
            <w:shd w:val="clear" w:color="auto" w:fill="FFFF00"/>
            <w:vAlign w:val="bottom"/>
          </w:tcPr>
          <w:p w14:paraId="14E986B8" w14:textId="77777777" w:rsidR="00FC6127" w:rsidRPr="003016B3" w:rsidRDefault="00FC6127" w:rsidP="0008407A">
            <w:pPr>
              <w:keepNext/>
              <w:jc w:val="right"/>
              <w:rPr>
                <w:color w:val="000000"/>
                <w:szCs w:val="22"/>
              </w:rPr>
            </w:pPr>
            <w:r w:rsidRPr="003016B3">
              <w:rPr>
                <w:color w:val="000000"/>
                <w:szCs w:val="22"/>
              </w:rPr>
              <w:t>82.5</w:t>
            </w:r>
          </w:p>
        </w:tc>
        <w:tc>
          <w:tcPr>
            <w:tcW w:w="567" w:type="dxa"/>
            <w:shd w:val="clear" w:color="auto" w:fill="E5B8B7" w:themeFill="accent2" w:themeFillTint="66"/>
            <w:vAlign w:val="bottom"/>
          </w:tcPr>
          <w:p w14:paraId="5DE20268" w14:textId="77777777" w:rsidR="00FC6127" w:rsidRPr="003016B3" w:rsidRDefault="00FC6127" w:rsidP="0008407A">
            <w:pPr>
              <w:keepNext/>
              <w:jc w:val="right"/>
              <w:rPr>
                <w:color w:val="000000"/>
                <w:szCs w:val="22"/>
              </w:rPr>
            </w:pPr>
            <w:r w:rsidRPr="003016B3">
              <w:rPr>
                <w:color w:val="000000"/>
                <w:szCs w:val="22"/>
              </w:rPr>
              <w:t>133</w:t>
            </w:r>
          </w:p>
        </w:tc>
        <w:tc>
          <w:tcPr>
            <w:tcW w:w="567" w:type="dxa"/>
            <w:shd w:val="clear" w:color="auto" w:fill="E5B8B7" w:themeFill="accent2" w:themeFillTint="66"/>
            <w:vAlign w:val="bottom"/>
          </w:tcPr>
          <w:p w14:paraId="42832726" w14:textId="77777777" w:rsidR="00FC6127" w:rsidRPr="003016B3" w:rsidRDefault="00FC6127" w:rsidP="0008407A">
            <w:pPr>
              <w:keepNext/>
              <w:jc w:val="right"/>
              <w:rPr>
                <w:color w:val="000000"/>
                <w:szCs w:val="22"/>
              </w:rPr>
            </w:pPr>
            <w:r w:rsidRPr="003016B3">
              <w:rPr>
                <w:color w:val="000000"/>
                <w:szCs w:val="22"/>
              </w:rPr>
              <w:t>4.8</w:t>
            </w:r>
          </w:p>
        </w:tc>
        <w:tc>
          <w:tcPr>
            <w:tcW w:w="567" w:type="dxa"/>
            <w:shd w:val="clear" w:color="auto" w:fill="E5B8B7" w:themeFill="accent2" w:themeFillTint="66"/>
            <w:vAlign w:val="bottom"/>
          </w:tcPr>
          <w:p w14:paraId="3C81AEB4" w14:textId="77777777" w:rsidR="00FC6127" w:rsidRPr="003016B3" w:rsidRDefault="00FC6127" w:rsidP="0008407A">
            <w:pPr>
              <w:keepNext/>
              <w:jc w:val="right"/>
              <w:rPr>
                <w:color w:val="000000"/>
                <w:szCs w:val="22"/>
              </w:rPr>
            </w:pPr>
            <w:r w:rsidRPr="003016B3">
              <w:rPr>
                <w:color w:val="000000"/>
                <w:szCs w:val="22"/>
              </w:rPr>
              <w:t>19</w:t>
            </w:r>
          </w:p>
        </w:tc>
        <w:tc>
          <w:tcPr>
            <w:tcW w:w="567" w:type="dxa"/>
            <w:shd w:val="clear" w:color="auto" w:fill="E5B8B7" w:themeFill="accent2" w:themeFillTint="66"/>
            <w:vAlign w:val="bottom"/>
          </w:tcPr>
          <w:p w14:paraId="5617F752" w14:textId="77777777" w:rsidR="00FC6127" w:rsidRPr="003016B3" w:rsidRDefault="00FC6127" w:rsidP="0008407A">
            <w:pPr>
              <w:keepNext/>
              <w:jc w:val="right"/>
              <w:rPr>
                <w:color w:val="000000"/>
                <w:szCs w:val="22"/>
              </w:rPr>
            </w:pPr>
            <w:r w:rsidRPr="003016B3">
              <w:rPr>
                <w:color w:val="000000"/>
                <w:szCs w:val="22"/>
              </w:rPr>
              <w:t>0.7</w:t>
            </w:r>
          </w:p>
        </w:tc>
        <w:tc>
          <w:tcPr>
            <w:tcW w:w="567" w:type="dxa"/>
            <w:shd w:val="clear" w:color="auto" w:fill="E5B8B7" w:themeFill="accent2" w:themeFillTint="66"/>
            <w:vAlign w:val="bottom"/>
          </w:tcPr>
          <w:p w14:paraId="7077ED03" w14:textId="77777777" w:rsidR="00FC6127" w:rsidRPr="003016B3" w:rsidRDefault="00FC6127" w:rsidP="0008407A">
            <w:pPr>
              <w:keepNext/>
              <w:jc w:val="right"/>
              <w:rPr>
                <w:color w:val="000000"/>
                <w:szCs w:val="22"/>
              </w:rPr>
            </w:pPr>
            <w:r w:rsidRPr="003016B3">
              <w:rPr>
                <w:color w:val="000000"/>
                <w:szCs w:val="22"/>
              </w:rPr>
              <w:t>3</w:t>
            </w:r>
          </w:p>
        </w:tc>
        <w:tc>
          <w:tcPr>
            <w:tcW w:w="567" w:type="dxa"/>
            <w:shd w:val="clear" w:color="auto" w:fill="E5B8B7" w:themeFill="accent2" w:themeFillTint="66"/>
            <w:vAlign w:val="bottom"/>
          </w:tcPr>
          <w:p w14:paraId="43CC7F54" w14:textId="77777777" w:rsidR="00FC6127" w:rsidRPr="003016B3" w:rsidRDefault="00FC6127" w:rsidP="0008407A">
            <w:pPr>
              <w:keepNext/>
              <w:jc w:val="right"/>
              <w:rPr>
                <w:color w:val="000000"/>
                <w:szCs w:val="22"/>
              </w:rPr>
            </w:pPr>
            <w:r w:rsidRPr="003016B3">
              <w:rPr>
                <w:color w:val="000000"/>
                <w:szCs w:val="22"/>
              </w:rPr>
              <w:t>0.1</w:t>
            </w:r>
          </w:p>
        </w:tc>
      </w:tr>
      <w:tr w:rsidR="00FC6127" w:rsidRPr="00672B00" w14:paraId="7631DDD5" w14:textId="77777777" w:rsidTr="0008407A">
        <w:trPr>
          <w:jc w:val="center"/>
        </w:trPr>
        <w:tc>
          <w:tcPr>
            <w:tcW w:w="2269" w:type="dxa"/>
            <w:vAlign w:val="center"/>
          </w:tcPr>
          <w:p w14:paraId="3267436B" w14:textId="77777777" w:rsidR="00FC6127" w:rsidRPr="00672B00" w:rsidRDefault="00FC6127" w:rsidP="0008407A">
            <w:pPr>
              <w:keepNext/>
              <w:spacing w:before="20" w:after="20"/>
              <w:ind w:left="88"/>
              <w:rPr>
                <w:szCs w:val="20"/>
              </w:rPr>
            </w:pPr>
            <w:r w:rsidRPr="00672B00">
              <w:rPr>
                <w:szCs w:val="20"/>
              </w:rPr>
              <w:t>Low-risk gambler</w:t>
            </w:r>
          </w:p>
        </w:tc>
        <w:tc>
          <w:tcPr>
            <w:tcW w:w="709" w:type="dxa"/>
            <w:shd w:val="clear" w:color="auto" w:fill="D6E3BC" w:themeFill="accent3" w:themeFillTint="66"/>
            <w:vAlign w:val="center"/>
          </w:tcPr>
          <w:p w14:paraId="3E9231C5" w14:textId="77777777" w:rsidR="00FC6127" w:rsidRPr="003016B3" w:rsidRDefault="00FC6127" w:rsidP="0008407A">
            <w:pPr>
              <w:keepNext/>
              <w:jc w:val="right"/>
              <w:rPr>
                <w:color w:val="000000"/>
                <w:szCs w:val="22"/>
              </w:rPr>
            </w:pPr>
            <w:r w:rsidRPr="003016B3">
              <w:rPr>
                <w:color w:val="000000"/>
                <w:szCs w:val="22"/>
              </w:rPr>
              <w:t>13</w:t>
            </w:r>
          </w:p>
        </w:tc>
        <w:tc>
          <w:tcPr>
            <w:tcW w:w="567" w:type="dxa"/>
            <w:shd w:val="clear" w:color="auto" w:fill="D6E3BC" w:themeFill="accent3" w:themeFillTint="66"/>
            <w:vAlign w:val="center"/>
          </w:tcPr>
          <w:p w14:paraId="098C1A80" w14:textId="77777777" w:rsidR="00FC6127" w:rsidRPr="003016B3" w:rsidRDefault="00FC6127" w:rsidP="0008407A">
            <w:pPr>
              <w:keepNext/>
              <w:jc w:val="right"/>
              <w:rPr>
                <w:color w:val="000000"/>
                <w:szCs w:val="22"/>
              </w:rPr>
            </w:pPr>
            <w:r w:rsidRPr="003016B3">
              <w:rPr>
                <w:color w:val="000000"/>
                <w:szCs w:val="22"/>
              </w:rPr>
              <w:t>7.2</w:t>
            </w:r>
          </w:p>
        </w:tc>
        <w:tc>
          <w:tcPr>
            <w:tcW w:w="709" w:type="dxa"/>
            <w:shd w:val="clear" w:color="auto" w:fill="D6E3BC" w:themeFill="accent3" w:themeFillTint="66"/>
            <w:vAlign w:val="bottom"/>
          </w:tcPr>
          <w:p w14:paraId="5EE1625C" w14:textId="77777777" w:rsidR="00FC6127" w:rsidRPr="003016B3" w:rsidRDefault="00FC6127" w:rsidP="0008407A">
            <w:pPr>
              <w:keepNext/>
              <w:jc w:val="right"/>
              <w:rPr>
                <w:color w:val="000000"/>
                <w:szCs w:val="22"/>
              </w:rPr>
            </w:pPr>
            <w:r w:rsidRPr="003016B3">
              <w:rPr>
                <w:color w:val="000000"/>
                <w:szCs w:val="22"/>
              </w:rPr>
              <w:t>97</w:t>
            </w:r>
          </w:p>
        </w:tc>
        <w:tc>
          <w:tcPr>
            <w:tcW w:w="567" w:type="dxa"/>
            <w:shd w:val="clear" w:color="auto" w:fill="D6E3BC" w:themeFill="accent3" w:themeFillTint="66"/>
            <w:vAlign w:val="bottom"/>
          </w:tcPr>
          <w:p w14:paraId="078756AA" w14:textId="77777777" w:rsidR="00FC6127" w:rsidRPr="003016B3" w:rsidRDefault="00FC6127" w:rsidP="0008407A">
            <w:pPr>
              <w:keepNext/>
              <w:jc w:val="right"/>
              <w:rPr>
                <w:color w:val="000000"/>
                <w:szCs w:val="22"/>
              </w:rPr>
            </w:pPr>
            <w:r w:rsidRPr="003016B3">
              <w:rPr>
                <w:color w:val="000000"/>
                <w:szCs w:val="22"/>
              </w:rPr>
              <w:t>54.6</w:t>
            </w:r>
          </w:p>
        </w:tc>
        <w:tc>
          <w:tcPr>
            <w:tcW w:w="567" w:type="dxa"/>
            <w:shd w:val="clear" w:color="auto" w:fill="FFFF00"/>
            <w:vAlign w:val="bottom"/>
          </w:tcPr>
          <w:p w14:paraId="6E14792B" w14:textId="77777777" w:rsidR="00FC6127" w:rsidRPr="003016B3" w:rsidRDefault="00FC6127" w:rsidP="0008407A">
            <w:pPr>
              <w:keepNext/>
              <w:jc w:val="right"/>
              <w:rPr>
                <w:color w:val="000000"/>
                <w:szCs w:val="22"/>
              </w:rPr>
            </w:pPr>
            <w:r w:rsidRPr="003016B3">
              <w:rPr>
                <w:color w:val="000000"/>
                <w:szCs w:val="22"/>
              </w:rPr>
              <w:t>46</w:t>
            </w:r>
          </w:p>
        </w:tc>
        <w:tc>
          <w:tcPr>
            <w:tcW w:w="567" w:type="dxa"/>
            <w:shd w:val="clear" w:color="auto" w:fill="FFFF00"/>
            <w:vAlign w:val="bottom"/>
          </w:tcPr>
          <w:p w14:paraId="2279566B" w14:textId="77777777" w:rsidR="00FC6127" w:rsidRPr="003016B3" w:rsidRDefault="00FC6127" w:rsidP="0008407A">
            <w:pPr>
              <w:keepNext/>
              <w:jc w:val="right"/>
              <w:rPr>
                <w:color w:val="000000"/>
                <w:szCs w:val="22"/>
              </w:rPr>
            </w:pPr>
            <w:r w:rsidRPr="003016B3">
              <w:rPr>
                <w:color w:val="000000"/>
                <w:szCs w:val="22"/>
              </w:rPr>
              <w:t>25.7</w:t>
            </w:r>
          </w:p>
        </w:tc>
        <w:tc>
          <w:tcPr>
            <w:tcW w:w="567" w:type="dxa"/>
            <w:shd w:val="clear" w:color="auto" w:fill="E5B8B7" w:themeFill="accent2" w:themeFillTint="66"/>
            <w:vAlign w:val="bottom"/>
          </w:tcPr>
          <w:p w14:paraId="23F4FAA6" w14:textId="77777777" w:rsidR="00FC6127" w:rsidRPr="003016B3" w:rsidRDefault="00FC6127" w:rsidP="0008407A">
            <w:pPr>
              <w:keepNext/>
              <w:jc w:val="right"/>
              <w:rPr>
                <w:color w:val="000000"/>
                <w:szCs w:val="22"/>
              </w:rPr>
            </w:pPr>
            <w:r w:rsidRPr="003016B3">
              <w:rPr>
                <w:color w:val="000000"/>
                <w:szCs w:val="22"/>
              </w:rPr>
              <w:t>21</w:t>
            </w:r>
          </w:p>
        </w:tc>
        <w:tc>
          <w:tcPr>
            <w:tcW w:w="567" w:type="dxa"/>
            <w:shd w:val="clear" w:color="auto" w:fill="E5B8B7" w:themeFill="accent2" w:themeFillTint="66"/>
            <w:vAlign w:val="bottom"/>
          </w:tcPr>
          <w:p w14:paraId="0840797E" w14:textId="77777777" w:rsidR="00FC6127" w:rsidRPr="003016B3" w:rsidRDefault="00FC6127" w:rsidP="0008407A">
            <w:pPr>
              <w:keepNext/>
              <w:jc w:val="right"/>
              <w:rPr>
                <w:color w:val="000000"/>
                <w:szCs w:val="22"/>
              </w:rPr>
            </w:pPr>
            <w:r w:rsidRPr="003016B3">
              <w:rPr>
                <w:color w:val="000000"/>
                <w:szCs w:val="22"/>
              </w:rPr>
              <w:t>11.7</w:t>
            </w:r>
          </w:p>
        </w:tc>
        <w:tc>
          <w:tcPr>
            <w:tcW w:w="567" w:type="dxa"/>
            <w:shd w:val="clear" w:color="auto" w:fill="E5B8B7" w:themeFill="accent2" w:themeFillTint="66"/>
            <w:vAlign w:val="bottom"/>
          </w:tcPr>
          <w:p w14:paraId="2C817951" w14:textId="77777777" w:rsidR="00FC6127" w:rsidRPr="003016B3" w:rsidRDefault="00FC6127" w:rsidP="0008407A">
            <w:pPr>
              <w:keepNext/>
              <w:jc w:val="right"/>
              <w:rPr>
                <w:color w:val="000000"/>
                <w:szCs w:val="22"/>
              </w:rPr>
            </w:pPr>
            <w:r w:rsidRPr="003016B3">
              <w:rPr>
                <w:color w:val="000000"/>
                <w:szCs w:val="22"/>
              </w:rPr>
              <w:t>1</w:t>
            </w:r>
          </w:p>
        </w:tc>
        <w:tc>
          <w:tcPr>
            <w:tcW w:w="567" w:type="dxa"/>
            <w:shd w:val="clear" w:color="auto" w:fill="E5B8B7" w:themeFill="accent2" w:themeFillTint="66"/>
            <w:vAlign w:val="bottom"/>
          </w:tcPr>
          <w:p w14:paraId="7E17E825" w14:textId="77777777" w:rsidR="00FC6127" w:rsidRPr="003016B3" w:rsidRDefault="00FC6127" w:rsidP="0008407A">
            <w:pPr>
              <w:keepNext/>
              <w:jc w:val="right"/>
              <w:rPr>
                <w:color w:val="000000"/>
                <w:szCs w:val="22"/>
              </w:rPr>
            </w:pPr>
            <w:r w:rsidRPr="003016B3">
              <w:rPr>
                <w:color w:val="000000"/>
                <w:szCs w:val="22"/>
              </w:rPr>
              <w:t>0.8</w:t>
            </w:r>
          </w:p>
        </w:tc>
      </w:tr>
      <w:tr w:rsidR="00FC6127" w:rsidRPr="00672B00" w14:paraId="435914B9" w14:textId="77777777" w:rsidTr="0008407A">
        <w:trPr>
          <w:jc w:val="center"/>
        </w:trPr>
        <w:tc>
          <w:tcPr>
            <w:tcW w:w="2269" w:type="dxa"/>
            <w:vAlign w:val="center"/>
          </w:tcPr>
          <w:p w14:paraId="72182119" w14:textId="77777777" w:rsidR="00FC6127" w:rsidRPr="00672B00" w:rsidRDefault="00FC6127" w:rsidP="0008407A">
            <w:pPr>
              <w:keepNext/>
              <w:spacing w:before="20" w:after="20"/>
              <w:ind w:left="88"/>
              <w:rPr>
                <w:szCs w:val="20"/>
              </w:rPr>
            </w:pPr>
            <w:r w:rsidRPr="00672B00">
              <w:rPr>
                <w:szCs w:val="20"/>
              </w:rPr>
              <w:t>Moderate-risk gambler</w:t>
            </w:r>
          </w:p>
        </w:tc>
        <w:tc>
          <w:tcPr>
            <w:tcW w:w="709" w:type="dxa"/>
            <w:shd w:val="clear" w:color="auto" w:fill="D6E3BC" w:themeFill="accent3" w:themeFillTint="66"/>
            <w:vAlign w:val="center"/>
          </w:tcPr>
          <w:p w14:paraId="22BAAB81" w14:textId="77777777" w:rsidR="00FC6127" w:rsidRPr="003016B3" w:rsidRDefault="00FC6127" w:rsidP="0008407A">
            <w:pPr>
              <w:keepNext/>
              <w:jc w:val="right"/>
              <w:rPr>
                <w:color w:val="000000"/>
                <w:szCs w:val="22"/>
              </w:rPr>
            </w:pPr>
            <w:r w:rsidRPr="003016B3">
              <w:rPr>
                <w:color w:val="000000"/>
                <w:szCs w:val="22"/>
              </w:rPr>
              <w:t>4</w:t>
            </w:r>
          </w:p>
        </w:tc>
        <w:tc>
          <w:tcPr>
            <w:tcW w:w="567" w:type="dxa"/>
            <w:shd w:val="clear" w:color="auto" w:fill="D6E3BC" w:themeFill="accent3" w:themeFillTint="66"/>
            <w:vAlign w:val="center"/>
          </w:tcPr>
          <w:p w14:paraId="6E522B3C" w14:textId="77777777" w:rsidR="00FC6127" w:rsidRPr="003016B3" w:rsidRDefault="00FC6127" w:rsidP="0008407A">
            <w:pPr>
              <w:keepNext/>
              <w:jc w:val="right"/>
              <w:rPr>
                <w:color w:val="000000"/>
                <w:szCs w:val="22"/>
              </w:rPr>
            </w:pPr>
            <w:r w:rsidRPr="003016B3">
              <w:rPr>
                <w:color w:val="000000"/>
                <w:szCs w:val="22"/>
              </w:rPr>
              <w:t>6.9</w:t>
            </w:r>
          </w:p>
        </w:tc>
        <w:tc>
          <w:tcPr>
            <w:tcW w:w="709" w:type="dxa"/>
            <w:shd w:val="clear" w:color="auto" w:fill="D6E3BC" w:themeFill="accent3" w:themeFillTint="66"/>
            <w:vAlign w:val="bottom"/>
          </w:tcPr>
          <w:p w14:paraId="61517F8D" w14:textId="77777777" w:rsidR="00FC6127" w:rsidRPr="003016B3" w:rsidRDefault="00FC6127" w:rsidP="0008407A">
            <w:pPr>
              <w:keepNext/>
              <w:jc w:val="right"/>
              <w:rPr>
                <w:color w:val="000000"/>
                <w:szCs w:val="22"/>
              </w:rPr>
            </w:pPr>
            <w:r w:rsidRPr="003016B3">
              <w:rPr>
                <w:color w:val="000000"/>
                <w:szCs w:val="22"/>
              </w:rPr>
              <w:t>16</w:t>
            </w:r>
          </w:p>
        </w:tc>
        <w:tc>
          <w:tcPr>
            <w:tcW w:w="567" w:type="dxa"/>
            <w:shd w:val="clear" w:color="auto" w:fill="D6E3BC" w:themeFill="accent3" w:themeFillTint="66"/>
            <w:vAlign w:val="bottom"/>
          </w:tcPr>
          <w:p w14:paraId="0E972DA6" w14:textId="77777777" w:rsidR="00FC6127" w:rsidRPr="003016B3" w:rsidRDefault="00FC6127" w:rsidP="0008407A">
            <w:pPr>
              <w:keepNext/>
              <w:jc w:val="right"/>
              <w:rPr>
                <w:color w:val="000000"/>
                <w:szCs w:val="22"/>
              </w:rPr>
            </w:pPr>
            <w:r w:rsidRPr="003016B3">
              <w:rPr>
                <w:color w:val="000000"/>
                <w:szCs w:val="22"/>
              </w:rPr>
              <w:t>30.7</w:t>
            </w:r>
          </w:p>
        </w:tc>
        <w:tc>
          <w:tcPr>
            <w:tcW w:w="567" w:type="dxa"/>
            <w:shd w:val="clear" w:color="auto" w:fill="D6E3BC" w:themeFill="accent3" w:themeFillTint="66"/>
            <w:vAlign w:val="bottom"/>
          </w:tcPr>
          <w:p w14:paraId="58BF0295" w14:textId="77777777" w:rsidR="00FC6127" w:rsidRPr="003016B3" w:rsidRDefault="00FC6127" w:rsidP="0008407A">
            <w:pPr>
              <w:keepNext/>
              <w:jc w:val="right"/>
              <w:rPr>
                <w:color w:val="000000"/>
                <w:szCs w:val="22"/>
              </w:rPr>
            </w:pPr>
            <w:r w:rsidRPr="003016B3">
              <w:rPr>
                <w:color w:val="000000"/>
                <w:szCs w:val="22"/>
              </w:rPr>
              <w:t>13</w:t>
            </w:r>
          </w:p>
        </w:tc>
        <w:tc>
          <w:tcPr>
            <w:tcW w:w="567" w:type="dxa"/>
            <w:shd w:val="clear" w:color="auto" w:fill="D6E3BC" w:themeFill="accent3" w:themeFillTint="66"/>
            <w:vAlign w:val="bottom"/>
          </w:tcPr>
          <w:p w14:paraId="32D300B2" w14:textId="77777777" w:rsidR="00FC6127" w:rsidRPr="003016B3" w:rsidRDefault="00FC6127" w:rsidP="0008407A">
            <w:pPr>
              <w:keepNext/>
              <w:jc w:val="right"/>
              <w:rPr>
                <w:color w:val="000000"/>
                <w:szCs w:val="22"/>
              </w:rPr>
            </w:pPr>
            <w:r w:rsidRPr="003016B3">
              <w:rPr>
                <w:color w:val="000000"/>
                <w:szCs w:val="22"/>
              </w:rPr>
              <w:t>25.3</w:t>
            </w:r>
          </w:p>
        </w:tc>
        <w:tc>
          <w:tcPr>
            <w:tcW w:w="567" w:type="dxa"/>
            <w:shd w:val="clear" w:color="auto" w:fill="FFFF00"/>
            <w:vAlign w:val="bottom"/>
          </w:tcPr>
          <w:p w14:paraId="63CE7C16" w14:textId="77777777" w:rsidR="00FC6127" w:rsidRPr="003016B3" w:rsidRDefault="00FC6127" w:rsidP="0008407A">
            <w:pPr>
              <w:keepNext/>
              <w:jc w:val="right"/>
              <w:rPr>
                <w:color w:val="000000"/>
                <w:szCs w:val="22"/>
              </w:rPr>
            </w:pPr>
            <w:r w:rsidRPr="003016B3">
              <w:rPr>
                <w:color w:val="000000"/>
                <w:szCs w:val="22"/>
              </w:rPr>
              <w:t>15</w:t>
            </w:r>
          </w:p>
        </w:tc>
        <w:tc>
          <w:tcPr>
            <w:tcW w:w="567" w:type="dxa"/>
            <w:shd w:val="clear" w:color="auto" w:fill="FFFF00"/>
            <w:vAlign w:val="bottom"/>
          </w:tcPr>
          <w:p w14:paraId="037B4684" w14:textId="77777777" w:rsidR="00FC6127" w:rsidRPr="003016B3" w:rsidRDefault="00FC6127" w:rsidP="0008407A">
            <w:pPr>
              <w:keepNext/>
              <w:jc w:val="right"/>
              <w:rPr>
                <w:color w:val="000000"/>
                <w:szCs w:val="22"/>
              </w:rPr>
            </w:pPr>
            <w:r w:rsidRPr="003016B3">
              <w:rPr>
                <w:color w:val="000000"/>
                <w:szCs w:val="22"/>
              </w:rPr>
              <w:t>27.5</w:t>
            </w:r>
          </w:p>
        </w:tc>
        <w:tc>
          <w:tcPr>
            <w:tcW w:w="567" w:type="dxa"/>
            <w:shd w:val="clear" w:color="auto" w:fill="E5B8B7" w:themeFill="accent2" w:themeFillTint="66"/>
            <w:vAlign w:val="bottom"/>
          </w:tcPr>
          <w:p w14:paraId="2B4CE65C" w14:textId="77777777" w:rsidR="00FC6127" w:rsidRPr="003016B3" w:rsidRDefault="00FC6127" w:rsidP="0008407A">
            <w:pPr>
              <w:keepNext/>
              <w:jc w:val="right"/>
              <w:rPr>
                <w:color w:val="000000"/>
                <w:szCs w:val="22"/>
              </w:rPr>
            </w:pPr>
            <w:r w:rsidRPr="003016B3">
              <w:rPr>
                <w:color w:val="000000"/>
                <w:szCs w:val="22"/>
              </w:rPr>
              <w:t>5</w:t>
            </w:r>
          </w:p>
        </w:tc>
        <w:tc>
          <w:tcPr>
            <w:tcW w:w="567" w:type="dxa"/>
            <w:shd w:val="clear" w:color="auto" w:fill="E5B8B7" w:themeFill="accent2" w:themeFillTint="66"/>
            <w:vAlign w:val="bottom"/>
          </w:tcPr>
          <w:p w14:paraId="402E17EF" w14:textId="77777777" w:rsidR="00FC6127" w:rsidRPr="003016B3" w:rsidRDefault="00FC6127" w:rsidP="0008407A">
            <w:pPr>
              <w:keepNext/>
              <w:jc w:val="right"/>
              <w:rPr>
                <w:color w:val="000000"/>
                <w:szCs w:val="22"/>
              </w:rPr>
            </w:pPr>
            <w:r w:rsidRPr="003016B3">
              <w:rPr>
                <w:color w:val="000000"/>
                <w:szCs w:val="22"/>
              </w:rPr>
              <w:t>9.6</w:t>
            </w:r>
          </w:p>
        </w:tc>
      </w:tr>
      <w:tr w:rsidR="00FC6127" w:rsidRPr="00672B00" w14:paraId="61BDDA1F" w14:textId="77777777" w:rsidTr="0008407A">
        <w:trPr>
          <w:jc w:val="center"/>
        </w:trPr>
        <w:tc>
          <w:tcPr>
            <w:tcW w:w="2269" w:type="dxa"/>
            <w:vAlign w:val="center"/>
          </w:tcPr>
          <w:p w14:paraId="4B7CE26F" w14:textId="77777777" w:rsidR="00FC6127" w:rsidRPr="00672B00" w:rsidRDefault="00FC6127" w:rsidP="0008407A">
            <w:pPr>
              <w:keepNext/>
              <w:spacing w:before="20" w:after="20"/>
              <w:ind w:left="88"/>
              <w:rPr>
                <w:szCs w:val="20"/>
              </w:rPr>
            </w:pPr>
            <w:r w:rsidRPr="00672B00">
              <w:rPr>
                <w:szCs w:val="20"/>
              </w:rPr>
              <w:t>Problem gambler</w:t>
            </w:r>
          </w:p>
        </w:tc>
        <w:tc>
          <w:tcPr>
            <w:tcW w:w="709" w:type="dxa"/>
            <w:shd w:val="clear" w:color="auto" w:fill="D6E3BC" w:themeFill="accent3" w:themeFillTint="66"/>
            <w:vAlign w:val="center"/>
          </w:tcPr>
          <w:p w14:paraId="1107A560" w14:textId="77777777" w:rsidR="00FC6127" w:rsidRPr="003016B3" w:rsidRDefault="00FC6127" w:rsidP="0008407A">
            <w:pPr>
              <w:keepNext/>
              <w:jc w:val="right"/>
              <w:rPr>
                <w:color w:val="000000"/>
                <w:szCs w:val="22"/>
              </w:rPr>
            </w:pPr>
            <w:r>
              <w:rPr>
                <w:color w:val="000000"/>
                <w:szCs w:val="22"/>
              </w:rPr>
              <w:t>-</w:t>
            </w:r>
          </w:p>
        </w:tc>
        <w:tc>
          <w:tcPr>
            <w:tcW w:w="567" w:type="dxa"/>
            <w:shd w:val="clear" w:color="auto" w:fill="D6E3BC" w:themeFill="accent3" w:themeFillTint="66"/>
            <w:vAlign w:val="center"/>
          </w:tcPr>
          <w:p w14:paraId="6D6020AD" w14:textId="77777777" w:rsidR="00FC6127" w:rsidRPr="003016B3" w:rsidRDefault="00FC6127" w:rsidP="0008407A">
            <w:pPr>
              <w:keepNext/>
              <w:jc w:val="right"/>
              <w:rPr>
                <w:color w:val="000000"/>
                <w:szCs w:val="22"/>
              </w:rPr>
            </w:pPr>
          </w:p>
        </w:tc>
        <w:tc>
          <w:tcPr>
            <w:tcW w:w="709" w:type="dxa"/>
            <w:shd w:val="clear" w:color="auto" w:fill="D6E3BC" w:themeFill="accent3" w:themeFillTint="66"/>
            <w:vAlign w:val="bottom"/>
          </w:tcPr>
          <w:p w14:paraId="1BD26DA8" w14:textId="77777777" w:rsidR="00FC6127" w:rsidRPr="003016B3" w:rsidRDefault="00FC6127" w:rsidP="0008407A">
            <w:pPr>
              <w:keepNext/>
              <w:jc w:val="right"/>
              <w:rPr>
                <w:color w:val="000000"/>
                <w:szCs w:val="22"/>
              </w:rPr>
            </w:pPr>
            <w:r w:rsidRPr="003016B3">
              <w:rPr>
                <w:color w:val="000000"/>
                <w:szCs w:val="22"/>
              </w:rPr>
              <w:t>5</w:t>
            </w:r>
          </w:p>
        </w:tc>
        <w:tc>
          <w:tcPr>
            <w:tcW w:w="567" w:type="dxa"/>
            <w:shd w:val="clear" w:color="auto" w:fill="D6E3BC" w:themeFill="accent3" w:themeFillTint="66"/>
            <w:vAlign w:val="bottom"/>
          </w:tcPr>
          <w:p w14:paraId="72C59394" w14:textId="77777777" w:rsidR="00FC6127" w:rsidRPr="003016B3" w:rsidRDefault="00FC6127" w:rsidP="0008407A">
            <w:pPr>
              <w:keepNext/>
              <w:jc w:val="right"/>
              <w:rPr>
                <w:color w:val="000000"/>
                <w:szCs w:val="22"/>
              </w:rPr>
            </w:pPr>
            <w:r w:rsidRPr="003016B3">
              <w:rPr>
                <w:color w:val="000000"/>
                <w:szCs w:val="22"/>
              </w:rPr>
              <w:t>32.6</w:t>
            </w:r>
          </w:p>
        </w:tc>
        <w:tc>
          <w:tcPr>
            <w:tcW w:w="567" w:type="dxa"/>
            <w:shd w:val="clear" w:color="auto" w:fill="D6E3BC" w:themeFill="accent3" w:themeFillTint="66"/>
            <w:vAlign w:val="bottom"/>
          </w:tcPr>
          <w:p w14:paraId="20BB94E5" w14:textId="77777777" w:rsidR="00FC6127" w:rsidRPr="003016B3" w:rsidRDefault="00FC6127" w:rsidP="0008407A">
            <w:pPr>
              <w:keepNext/>
              <w:jc w:val="right"/>
              <w:rPr>
                <w:color w:val="000000"/>
                <w:szCs w:val="22"/>
              </w:rPr>
            </w:pPr>
            <w:r w:rsidRPr="003016B3">
              <w:rPr>
                <w:color w:val="000000"/>
                <w:szCs w:val="22"/>
              </w:rPr>
              <w:t>2</w:t>
            </w:r>
          </w:p>
        </w:tc>
        <w:tc>
          <w:tcPr>
            <w:tcW w:w="567" w:type="dxa"/>
            <w:shd w:val="clear" w:color="auto" w:fill="D6E3BC" w:themeFill="accent3" w:themeFillTint="66"/>
            <w:vAlign w:val="bottom"/>
          </w:tcPr>
          <w:p w14:paraId="574BE00B" w14:textId="77777777" w:rsidR="00FC6127" w:rsidRPr="003016B3" w:rsidRDefault="00FC6127" w:rsidP="0008407A">
            <w:pPr>
              <w:keepNext/>
              <w:jc w:val="right"/>
              <w:rPr>
                <w:color w:val="000000"/>
                <w:szCs w:val="22"/>
              </w:rPr>
            </w:pPr>
            <w:r w:rsidRPr="003016B3">
              <w:rPr>
                <w:color w:val="000000"/>
                <w:szCs w:val="22"/>
              </w:rPr>
              <w:t>13.6</w:t>
            </w:r>
          </w:p>
        </w:tc>
        <w:tc>
          <w:tcPr>
            <w:tcW w:w="567" w:type="dxa"/>
            <w:shd w:val="clear" w:color="auto" w:fill="D6E3BC" w:themeFill="accent3" w:themeFillTint="66"/>
            <w:vAlign w:val="bottom"/>
          </w:tcPr>
          <w:p w14:paraId="14DEF172" w14:textId="77777777" w:rsidR="00FC6127" w:rsidRPr="003016B3" w:rsidRDefault="00FC6127" w:rsidP="0008407A">
            <w:pPr>
              <w:keepNext/>
              <w:jc w:val="right"/>
              <w:rPr>
                <w:color w:val="000000"/>
                <w:szCs w:val="22"/>
              </w:rPr>
            </w:pPr>
            <w:r w:rsidRPr="003016B3">
              <w:rPr>
                <w:color w:val="000000"/>
                <w:szCs w:val="22"/>
              </w:rPr>
              <w:t>2</w:t>
            </w:r>
          </w:p>
        </w:tc>
        <w:tc>
          <w:tcPr>
            <w:tcW w:w="567" w:type="dxa"/>
            <w:shd w:val="clear" w:color="auto" w:fill="D6E3BC" w:themeFill="accent3" w:themeFillTint="66"/>
            <w:vAlign w:val="bottom"/>
          </w:tcPr>
          <w:p w14:paraId="47E16806" w14:textId="77777777" w:rsidR="00FC6127" w:rsidRPr="003016B3" w:rsidRDefault="00FC6127" w:rsidP="0008407A">
            <w:pPr>
              <w:keepNext/>
              <w:jc w:val="right"/>
              <w:rPr>
                <w:color w:val="000000"/>
                <w:szCs w:val="22"/>
              </w:rPr>
            </w:pPr>
            <w:r w:rsidRPr="003016B3">
              <w:rPr>
                <w:color w:val="000000"/>
                <w:szCs w:val="22"/>
              </w:rPr>
              <w:t>9.7</w:t>
            </w:r>
          </w:p>
        </w:tc>
        <w:tc>
          <w:tcPr>
            <w:tcW w:w="567" w:type="dxa"/>
            <w:shd w:val="clear" w:color="auto" w:fill="FFFF00"/>
            <w:vAlign w:val="bottom"/>
          </w:tcPr>
          <w:p w14:paraId="2D607E34" w14:textId="77777777" w:rsidR="00FC6127" w:rsidRPr="003016B3" w:rsidRDefault="00FC6127" w:rsidP="0008407A">
            <w:pPr>
              <w:keepNext/>
              <w:jc w:val="right"/>
              <w:rPr>
                <w:color w:val="000000"/>
                <w:szCs w:val="22"/>
              </w:rPr>
            </w:pPr>
            <w:r w:rsidRPr="003016B3">
              <w:rPr>
                <w:color w:val="000000"/>
                <w:szCs w:val="22"/>
              </w:rPr>
              <w:t>7</w:t>
            </w:r>
          </w:p>
        </w:tc>
        <w:tc>
          <w:tcPr>
            <w:tcW w:w="567" w:type="dxa"/>
            <w:shd w:val="clear" w:color="auto" w:fill="FFFF00"/>
            <w:vAlign w:val="bottom"/>
          </w:tcPr>
          <w:p w14:paraId="69D66A6D" w14:textId="77777777" w:rsidR="00FC6127" w:rsidRPr="003016B3" w:rsidRDefault="00FC6127" w:rsidP="0008407A">
            <w:pPr>
              <w:keepNext/>
              <w:jc w:val="right"/>
              <w:rPr>
                <w:color w:val="000000"/>
                <w:szCs w:val="22"/>
              </w:rPr>
            </w:pPr>
            <w:r w:rsidRPr="003016B3">
              <w:rPr>
                <w:color w:val="000000"/>
                <w:szCs w:val="22"/>
              </w:rPr>
              <w:t>44.1</w:t>
            </w:r>
          </w:p>
        </w:tc>
      </w:tr>
      <w:tr w:rsidR="00FC6127" w:rsidRPr="00672B00" w14:paraId="2414B1ED" w14:textId="77777777" w:rsidTr="0008407A">
        <w:trPr>
          <w:jc w:val="center"/>
        </w:trPr>
        <w:tc>
          <w:tcPr>
            <w:tcW w:w="3545" w:type="dxa"/>
            <w:gridSpan w:val="3"/>
            <w:tcBorders>
              <w:top w:val="single" w:sz="4" w:space="0" w:color="auto"/>
            </w:tcBorders>
            <w:shd w:val="clear" w:color="auto" w:fill="auto"/>
            <w:vAlign w:val="center"/>
          </w:tcPr>
          <w:p w14:paraId="4B65C123" w14:textId="77777777" w:rsidR="00FC6127" w:rsidRPr="001E27B8" w:rsidRDefault="00FC6127" w:rsidP="0008407A">
            <w:pPr>
              <w:keepNext/>
              <w:keepLines/>
              <w:spacing w:before="20" w:after="20"/>
              <w:rPr>
                <w:b/>
                <w:color w:val="000000"/>
                <w:szCs w:val="20"/>
              </w:rPr>
            </w:pPr>
            <w:r>
              <w:rPr>
                <w:b/>
                <w:color w:val="000000"/>
                <w:szCs w:val="20"/>
              </w:rPr>
              <w:t>Wave 2 to Wave 3</w:t>
            </w:r>
          </w:p>
        </w:tc>
        <w:tc>
          <w:tcPr>
            <w:tcW w:w="709" w:type="dxa"/>
            <w:tcBorders>
              <w:top w:val="single" w:sz="4" w:space="0" w:color="auto"/>
            </w:tcBorders>
            <w:shd w:val="clear" w:color="auto" w:fill="auto"/>
            <w:vAlign w:val="center"/>
          </w:tcPr>
          <w:p w14:paraId="19AF2872" w14:textId="77777777" w:rsidR="00FC6127" w:rsidRPr="00672B00" w:rsidRDefault="00FC6127" w:rsidP="0008407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14:paraId="6FAF50E3" w14:textId="77777777" w:rsidR="00FC6127" w:rsidRPr="00672B00" w:rsidRDefault="00FC6127" w:rsidP="0008407A">
            <w:pPr>
              <w:keepNext/>
              <w:keepLines/>
              <w:spacing w:before="20" w:after="20"/>
              <w:jc w:val="right"/>
              <w:rPr>
                <w:color w:val="000000"/>
                <w:szCs w:val="20"/>
              </w:rPr>
            </w:pPr>
          </w:p>
        </w:tc>
        <w:tc>
          <w:tcPr>
            <w:tcW w:w="567" w:type="dxa"/>
            <w:tcBorders>
              <w:top w:val="single" w:sz="4" w:space="0" w:color="auto"/>
            </w:tcBorders>
            <w:shd w:val="clear" w:color="auto" w:fill="auto"/>
            <w:vAlign w:val="bottom"/>
          </w:tcPr>
          <w:p w14:paraId="33BF0C80" w14:textId="77777777" w:rsidR="00FC6127" w:rsidRDefault="00FC6127" w:rsidP="0008407A">
            <w:pPr>
              <w:keepNext/>
              <w:jc w:val="center"/>
              <w:rPr>
                <w:rFonts w:ascii="Calibri" w:hAnsi="Calibri"/>
                <w:color w:val="000000"/>
                <w:sz w:val="22"/>
                <w:szCs w:val="22"/>
              </w:rPr>
            </w:pPr>
          </w:p>
        </w:tc>
        <w:tc>
          <w:tcPr>
            <w:tcW w:w="567" w:type="dxa"/>
            <w:tcBorders>
              <w:top w:val="single" w:sz="4" w:space="0" w:color="auto"/>
            </w:tcBorders>
            <w:shd w:val="clear" w:color="auto" w:fill="auto"/>
            <w:vAlign w:val="bottom"/>
          </w:tcPr>
          <w:p w14:paraId="434F640A" w14:textId="77777777" w:rsidR="00FC6127" w:rsidRDefault="00FC6127" w:rsidP="0008407A">
            <w:pPr>
              <w:keepNext/>
              <w:jc w:val="center"/>
              <w:rPr>
                <w:szCs w:val="20"/>
              </w:rPr>
            </w:pPr>
          </w:p>
        </w:tc>
        <w:tc>
          <w:tcPr>
            <w:tcW w:w="567" w:type="dxa"/>
            <w:tcBorders>
              <w:top w:val="single" w:sz="4" w:space="0" w:color="auto"/>
            </w:tcBorders>
            <w:shd w:val="clear" w:color="auto" w:fill="auto"/>
            <w:vAlign w:val="bottom"/>
          </w:tcPr>
          <w:p w14:paraId="57BDAFCB" w14:textId="77777777" w:rsidR="00FC6127" w:rsidRDefault="00FC6127" w:rsidP="0008407A">
            <w:pPr>
              <w:keepNext/>
              <w:jc w:val="center"/>
              <w:rPr>
                <w:rFonts w:ascii="Calibri" w:hAnsi="Calibri"/>
                <w:color w:val="000000"/>
                <w:sz w:val="22"/>
                <w:szCs w:val="22"/>
              </w:rPr>
            </w:pPr>
          </w:p>
        </w:tc>
        <w:tc>
          <w:tcPr>
            <w:tcW w:w="567" w:type="dxa"/>
            <w:tcBorders>
              <w:top w:val="single" w:sz="4" w:space="0" w:color="auto"/>
            </w:tcBorders>
            <w:shd w:val="clear" w:color="auto" w:fill="auto"/>
            <w:vAlign w:val="bottom"/>
          </w:tcPr>
          <w:p w14:paraId="230DE89F" w14:textId="77777777" w:rsidR="00FC6127" w:rsidRDefault="00FC6127" w:rsidP="0008407A">
            <w:pPr>
              <w:keepNext/>
              <w:jc w:val="center"/>
              <w:rPr>
                <w:szCs w:val="20"/>
              </w:rPr>
            </w:pPr>
          </w:p>
        </w:tc>
        <w:tc>
          <w:tcPr>
            <w:tcW w:w="567" w:type="dxa"/>
            <w:tcBorders>
              <w:top w:val="single" w:sz="4" w:space="0" w:color="auto"/>
            </w:tcBorders>
            <w:shd w:val="clear" w:color="auto" w:fill="auto"/>
            <w:vAlign w:val="bottom"/>
          </w:tcPr>
          <w:p w14:paraId="67A1E87C" w14:textId="77777777" w:rsidR="00FC6127" w:rsidRDefault="00FC6127" w:rsidP="0008407A">
            <w:pPr>
              <w:keepNext/>
              <w:jc w:val="center"/>
              <w:rPr>
                <w:rFonts w:ascii="Calibri" w:hAnsi="Calibri"/>
                <w:color w:val="000000"/>
                <w:sz w:val="22"/>
                <w:szCs w:val="22"/>
              </w:rPr>
            </w:pPr>
          </w:p>
        </w:tc>
        <w:tc>
          <w:tcPr>
            <w:tcW w:w="567" w:type="dxa"/>
            <w:tcBorders>
              <w:top w:val="single" w:sz="4" w:space="0" w:color="auto"/>
            </w:tcBorders>
            <w:shd w:val="clear" w:color="auto" w:fill="auto"/>
            <w:vAlign w:val="bottom"/>
          </w:tcPr>
          <w:p w14:paraId="4960DD40" w14:textId="77777777" w:rsidR="00FC6127" w:rsidRDefault="00FC6127" w:rsidP="0008407A">
            <w:pPr>
              <w:keepNext/>
              <w:jc w:val="center"/>
              <w:rPr>
                <w:szCs w:val="20"/>
              </w:rPr>
            </w:pPr>
          </w:p>
        </w:tc>
      </w:tr>
      <w:tr w:rsidR="00FC6127" w:rsidRPr="00672B00" w14:paraId="14DAEE1A" w14:textId="77777777" w:rsidTr="0008407A">
        <w:trPr>
          <w:jc w:val="center"/>
        </w:trPr>
        <w:tc>
          <w:tcPr>
            <w:tcW w:w="2269" w:type="dxa"/>
            <w:vAlign w:val="center"/>
          </w:tcPr>
          <w:p w14:paraId="48FA8420" w14:textId="77777777" w:rsidR="00FC6127" w:rsidRPr="00672B00" w:rsidRDefault="00FC6127" w:rsidP="0008407A">
            <w:pPr>
              <w:keepNext/>
              <w:keepLines/>
              <w:spacing w:before="20" w:after="20"/>
              <w:ind w:left="88"/>
              <w:rPr>
                <w:szCs w:val="20"/>
              </w:rPr>
            </w:pPr>
            <w:r w:rsidRPr="00672B00">
              <w:rPr>
                <w:szCs w:val="20"/>
              </w:rPr>
              <w:t>Non-gambler</w:t>
            </w:r>
          </w:p>
        </w:tc>
        <w:tc>
          <w:tcPr>
            <w:tcW w:w="709" w:type="dxa"/>
            <w:shd w:val="clear" w:color="auto" w:fill="FFFF00"/>
            <w:vAlign w:val="bottom"/>
          </w:tcPr>
          <w:p w14:paraId="4DAB8DDA" w14:textId="77777777" w:rsidR="00FC6127" w:rsidRPr="003016B3" w:rsidRDefault="00FC6127" w:rsidP="0008407A">
            <w:pPr>
              <w:keepNext/>
              <w:jc w:val="right"/>
              <w:rPr>
                <w:color w:val="000000"/>
                <w:szCs w:val="22"/>
              </w:rPr>
            </w:pPr>
            <w:r w:rsidRPr="003016B3">
              <w:rPr>
                <w:color w:val="000000"/>
                <w:szCs w:val="22"/>
              </w:rPr>
              <w:t>439</w:t>
            </w:r>
          </w:p>
        </w:tc>
        <w:tc>
          <w:tcPr>
            <w:tcW w:w="567" w:type="dxa"/>
            <w:shd w:val="clear" w:color="auto" w:fill="FFFF00"/>
            <w:vAlign w:val="bottom"/>
          </w:tcPr>
          <w:p w14:paraId="496DAFF3" w14:textId="77777777" w:rsidR="00FC6127" w:rsidRPr="003016B3" w:rsidRDefault="00FC6127" w:rsidP="0008407A">
            <w:pPr>
              <w:keepNext/>
              <w:jc w:val="right"/>
              <w:rPr>
                <w:color w:val="000000"/>
                <w:szCs w:val="22"/>
              </w:rPr>
            </w:pPr>
            <w:r w:rsidRPr="003016B3">
              <w:rPr>
                <w:color w:val="000000"/>
                <w:szCs w:val="22"/>
              </w:rPr>
              <w:t>64.1</w:t>
            </w:r>
          </w:p>
        </w:tc>
        <w:tc>
          <w:tcPr>
            <w:tcW w:w="709" w:type="dxa"/>
            <w:shd w:val="clear" w:color="auto" w:fill="E5B8B7" w:themeFill="accent2" w:themeFillTint="66"/>
            <w:vAlign w:val="bottom"/>
          </w:tcPr>
          <w:p w14:paraId="1003C942" w14:textId="77777777" w:rsidR="00FC6127" w:rsidRPr="003016B3" w:rsidRDefault="00FC6127" w:rsidP="0008407A">
            <w:pPr>
              <w:keepNext/>
              <w:jc w:val="right"/>
              <w:rPr>
                <w:color w:val="000000"/>
                <w:szCs w:val="22"/>
              </w:rPr>
            </w:pPr>
            <w:r w:rsidRPr="003016B3">
              <w:rPr>
                <w:color w:val="000000"/>
                <w:szCs w:val="22"/>
              </w:rPr>
              <w:t>231</w:t>
            </w:r>
          </w:p>
        </w:tc>
        <w:tc>
          <w:tcPr>
            <w:tcW w:w="567" w:type="dxa"/>
            <w:shd w:val="clear" w:color="auto" w:fill="E5B8B7" w:themeFill="accent2" w:themeFillTint="66"/>
            <w:vAlign w:val="bottom"/>
          </w:tcPr>
          <w:p w14:paraId="7C4CA37E" w14:textId="77777777" w:rsidR="00FC6127" w:rsidRPr="003016B3" w:rsidRDefault="00FC6127" w:rsidP="0008407A">
            <w:pPr>
              <w:keepNext/>
              <w:jc w:val="right"/>
              <w:rPr>
                <w:color w:val="000000"/>
                <w:szCs w:val="22"/>
              </w:rPr>
            </w:pPr>
            <w:r w:rsidRPr="003016B3">
              <w:rPr>
                <w:color w:val="000000"/>
                <w:szCs w:val="22"/>
              </w:rPr>
              <w:t>33.8</w:t>
            </w:r>
          </w:p>
        </w:tc>
        <w:tc>
          <w:tcPr>
            <w:tcW w:w="567" w:type="dxa"/>
            <w:shd w:val="clear" w:color="auto" w:fill="E5B8B7" w:themeFill="accent2" w:themeFillTint="66"/>
            <w:vAlign w:val="bottom"/>
          </w:tcPr>
          <w:p w14:paraId="232913A8" w14:textId="77777777" w:rsidR="00FC6127" w:rsidRPr="003016B3" w:rsidRDefault="00FC6127" w:rsidP="0008407A">
            <w:pPr>
              <w:keepNext/>
              <w:jc w:val="right"/>
              <w:rPr>
                <w:color w:val="000000"/>
                <w:szCs w:val="22"/>
              </w:rPr>
            </w:pPr>
            <w:r w:rsidRPr="003016B3">
              <w:rPr>
                <w:color w:val="000000"/>
                <w:szCs w:val="22"/>
              </w:rPr>
              <w:t>13</w:t>
            </w:r>
          </w:p>
        </w:tc>
        <w:tc>
          <w:tcPr>
            <w:tcW w:w="567" w:type="dxa"/>
            <w:shd w:val="clear" w:color="auto" w:fill="E5B8B7" w:themeFill="accent2" w:themeFillTint="66"/>
            <w:vAlign w:val="bottom"/>
          </w:tcPr>
          <w:p w14:paraId="79E3E9AC" w14:textId="77777777" w:rsidR="00FC6127" w:rsidRPr="003016B3" w:rsidRDefault="00FC6127" w:rsidP="0008407A">
            <w:pPr>
              <w:keepNext/>
              <w:jc w:val="right"/>
              <w:rPr>
                <w:color w:val="000000"/>
                <w:szCs w:val="22"/>
              </w:rPr>
            </w:pPr>
            <w:r w:rsidRPr="003016B3">
              <w:rPr>
                <w:color w:val="000000"/>
                <w:szCs w:val="22"/>
              </w:rPr>
              <w:t>1.8</w:t>
            </w:r>
          </w:p>
        </w:tc>
        <w:tc>
          <w:tcPr>
            <w:tcW w:w="567" w:type="dxa"/>
            <w:shd w:val="clear" w:color="auto" w:fill="E5B8B7" w:themeFill="accent2" w:themeFillTint="66"/>
            <w:vAlign w:val="bottom"/>
          </w:tcPr>
          <w:p w14:paraId="37885CED" w14:textId="77777777" w:rsidR="00FC6127" w:rsidRPr="003016B3" w:rsidRDefault="00FC6127" w:rsidP="0008407A">
            <w:pPr>
              <w:keepNext/>
              <w:jc w:val="right"/>
              <w:rPr>
                <w:color w:val="000000"/>
                <w:szCs w:val="22"/>
              </w:rPr>
            </w:pPr>
            <w:r w:rsidRPr="003016B3">
              <w:rPr>
                <w:color w:val="000000"/>
                <w:szCs w:val="22"/>
              </w:rPr>
              <w:t>2</w:t>
            </w:r>
          </w:p>
        </w:tc>
        <w:tc>
          <w:tcPr>
            <w:tcW w:w="567" w:type="dxa"/>
            <w:shd w:val="clear" w:color="auto" w:fill="E5B8B7" w:themeFill="accent2" w:themeFillTint="66"/>
            <w:vAlign w:val="bottom"/>
          </w:tcPr>
          <w:p w14:paraId="0561CA3E" w14:textId="77777777" w:rsidR="00FC6127" w:rsidRPr="003016B3" w:rsidRDefault="00FC6127" w:rsidP="0008407A">
            <w:pPr>
              <w:keepNext/>
              <w:jc w:val="right"/>
              <w:rPr>
                <w:color w:val="000000"/>
                <w:szCs w:val="22"/>
              </w:rPr>
            </w:pPr>
            <w:r w:rsidRPr="003016B3">
              <w:rPr>
                <w:color w:val="000000"/>
                <w:szCs w:val="22"/>
              </w:rPr>
              <w:t>0.2</w:t>
            </w:r>
          </w:p>
        </w:tc>
        <w:tc>
          <w:tcPr>
            <w:tcW w:w="567" w:type="dxa"/>
            <w:shd w:val="clear" w:color="auto" w:fill="E5B8B7" w:themeFill="accent2" w:themeFillTint="66"/>
            <w:vAlign w:val="bottom"/>
          </w:tcPr>
          <w:p w14:paraId="13984D58" w14:textId="77777777" w:rsidR="00FC6127" w:rsidRPr="003016B3" w:rsidRDefault="00FC6127" w:rsidP="0008407A">
            <w:pPr>
              <w:keepNext/>
              <w:jc w:val="right"/>
              <w:rPr>
                <w:color w:val="000000"/>
                <w:szCs w:val="22"/>
              </w:rPr>
            </w:pPr>
            <w:r w:rsidRPr="003016B3">
              <w:rPr>
                <w:color w:val="000000"/>
                <w:szCs w:val="22"/>
              </w:rPr>
              <w:t>0</w:t>
            </w:r>
          </w:p>
        </w:tc>
        <w:tc>
          <w:tcPr>
            <w:tcW w:w="567" w:type="dxa"/>
            <w:shd w:val="clear" w:color="auto" w:fill="E5B8B7" w:themeFill="accent2" w:themeFillTint="66"/>
            <w:vAlign w:val="bottom"/>
          </w:tcPr>
          <w:p w14:paraId="54DBF1DF" w14:textId="77777777" w:rsidR="00FC6127" w:rsidRPr="003016B3" w:rsidRDefault="00FC6127" w:rsidP="0008407A">
            <w:pPr>
              <w:keepNext/>
              <w:jc w:val="right"/>
              <w:rPr>
                <w:color w:val="000000"/>
                <w:szCs w:val="22"/>
              </w:rPr>
            </w:pPr>
            <w:r>
              <w:rPr>
                <w:color w:val="000000"/>
                <w:szCs w:val="22"/>
              </w:rPr>
              <w:t>-</w:t>
            </w:r>
          </w:p>
        </w:tc>
      </w:tr>
      <w:tr w:rsidR="00FC6127" w:rsidRPr="00672B00" w14:paraId="00AEACC8" w14:textId="77777777" w:rsidTr="0008407A">
        <w:trPr>
          <w:jc w:val="center"/>
        </w:trPr>
        <w:tc>
          <w:tcPr>
            <w:tcW w:w="2269" w:type="dxa"/>
            <w:vAlign w:val="center"/>
          </w:tcPr>
          <w:p w14:paraId="2DED191D" w14:textId="77777777" w:rsidR="00FC6127" w:rsidRPr="00672B00" w:rsidRDefault="00FC6127" w:rsidP="0008407A">
            <w:pPr>
              <w:keepNext/>
              <w:spacing w:before="20" w:after="20"/>
              <w:ind w:left="88"/>
              <w:rPr>
                <w:szCs w:val="20"/>
              </w:rPr>
            </w:pPr>
            <w:r w:rsidRPr="00672B00">
              <w:rPr>
                <w:szCs w:val="20"/>
              </w:rPr>
              <w:t>Non-problem gambler</w:t>
            </w:r>
          </w:p>
        </w:tc>
        <w:tc>
          <w:tcPr>
            <w:tcW w:w="709" w:type="dxa"/>
            <w:shd w:val="clear" w:color="auto" w:fill="D6E3BC" w:themeFill="accent3" w:themeFillTint="66"/>
            <w:vAlign w:val="bottom"/>
          </w:tcPr>
          <w:p w14:paraId="7BE933D1" w14:textId="77777777" w:rsidR="00FC6127" w:rsidRPr="003016B3" w:rsidRDefault="00FC6127" w:rsidP="0008407A">
            <w:pPr>
              <w:keepNext/>
              <w:jc w:val="right"/>
              <w:rPr>
                <w:color w:val="000000"/>
                <w:szCs w:val="22"/>
              </w:rPr>
            </w:pPr>
            <w:r w:rsidRPr="003016B3">
              <w:rPr>
                <w:color w:val="000000"/>
                <w:szCs w:val="22"/>
              </w:rPr>
              <w:t>275</w:t>
            </w:r>
          </w:p>
        </w:tc>
        <w:tc>
          <w:tcPr>
            <w:tcW w:w="567" w:type="dxa"/>
            <w:shd w:val="clear" w:color="auto" w:fill="D6E3BC" w:themeFill="accent3" w:themeFillTint="66"/>
            <w:vAlign w:val="bottom"/>
          </w:tcPr>
          <w:p w14:paraId="3C75C14D" w14:textId="77777777" w:rsidR="00FC6127" w:rsidRPr="003016B3" w:rsidRDefault="00FC6127" w:rsidP="0008407A">
            <w:pPr>
              <w:keepNext/>
              <w:jc w:val="right"/>
              <w:rPr>
                <w:color w:val="000000"/>
                <w:szCs w:val="22"/>
              </w:rPr>
            </w:pPr>
            <w:r w:rsidRPr="003016B3">
              <w:rPr>
                <w:color w:val="000000"/>
                <w:szCs w:val="22"/>
              </w:rPr>
              <w:t>12.5</w:t>
            </w:r>
          </w:p>
        </w:tc>
        <w:tc>
          <w:tcPr>
            <w:tcW w:w="709" w:type="dxa"/>
            <w:shd w:val="clear" w:color="auto" w:fill="FFFF00"/>
            <w:vAlign w:val="bottom"/>
          </w:tcPr>
          <w:p w14:paraId="0C8581DD" w14:textId="77777777" w:rsidR="00FC6127" w:rsidRPr="003016B3" w:rsidRDefault="00FC6127" w:rsidP="0008407A">
            <w:pPr>
              <w:keepNext/>
              <w:jc w:val="right"/>
              <w:rPr>
                <w:color w:val="000000"/>
                <w:szCs w:val="22"/>
              </w:rPr>
            </w:pPr>
            <w:r w:rsidRPr="003016B3">
              <w:rPr>
                <w:color w:val="000000"/>
                <w:szCs w:val="22"/>
              </w:rPr>
              <w:t>1828</w:t>
            </w:r>
          </w:p>
        </w:tc>
        <w:tc>
          <w:tcPr>
            <w:tcW w:w="567" w:type="dxa"/>
            <w:shd w:val="clear" w:color="auto" w:fill="FFFF00"/>
            <w:vAlign w:val="bottom"/>
          </w:tcPr>
          <w:p w14:paraId="78D3BB6C" w14:textId="77777777" w:rsidR="00FC6127" w:rsidRPr="003016B3" w:rsidRDefault="00FC6127" w:rsidP="0008407A">
            <w:pPr>
              <w:keepNext/>
              <w:jc w:val="right"/>
              <w:rPr>
                <w:color w:val="000000"/>
                <w:szCs w:val="22"/>
              </w:rPr>
            </w:pPr>
            <w:r w:rsidRPr="003016B3">
              <w:rPr>
                <w:color w:val="000000"/>
                <w:szCs w:val="22"/>
              </w:rPr>
              <w:t>83.0</w:t>
            </w:r>
          </w:p>
        </w:tc>
        <w:tc>
          <w:tcPr>
            <w:tcW w:w="567" w:type="dxa"/>
            <w:shd w:val="clear" w:color="auto" w:fill="E5B8B7" w:themeFill="accent2" w:themeFillTint="66"/>
            <w:vAlign w:val="bottom"/>
          </w:tcPr>
          <w:p w14:paraId="6DCA0AA7" w14:textId="77777777" w:rsidR="00FC6127" w:rsidRPr="003016B3" w:rsidRDefault="00FC6127" w:rsidP="0008407A">
            <w:pPr>
              <w:keepNext/>
              <w:jc w:val="right"/>
              <w:rPr>
                <w:color w:val="000000"/>
                <w:szCs w:val="22"/>
              </w:rPr>
            </w:pPr>
            <w:r w:rsidRPr="003016B3">
              <w:rPr>
                <w:color w:val="000000"/>
                <w:szCs w:val="22"/>
              </w:rPr>
              <w:t>82</w:t>
            </w:r>
          </w:p>
        </w:tc>
        <w:tc>
          <w:tcPr>
            <w:tcW w:w="567" w:type="dxa"/>
            <w:shd w:val="clear" w:color="auto" w:fill="E5B8B7" w:themeFill="accent2" w:themeFillTint="66"/>
            <w:vAlign w:val="bottom"/>
          </w:tcPr>
          <w:p w14:paraId="7B07A293" w14:textId="77777777" w:rsidR="00FC6127" w:rsidRPr="003016B3" w:rsidRDefault="00FC6127" w:rsidP="0008407A">
            <w:pPr>
              <w:keepNext/>
              <w:jc w:val="right"/>
              <w:rPr>
                <w:color w:val="000000"/>
                <w:szCs w:val="22"/>
              </w:rPr>
            </w:pPr>
            <w:r w:rsidRPr="003016B3">
              <w:rPr>
                <w:color w:val="000000"/>
                <w:szCs w:val="22"/>
              </w:rPr>
              <w:t>3.7</w:t>
            </w:r>
          </w:p>
        </w:tc>
        <w:tc>
          <w:tcPr>
            <w:tcW w:w="567" w:type="dxa"/>
            <w:shd w:val="clear" w:color="auto" w:fill="E5B8B7" w:themeFill="accent2" w:themeFillTint="66"/>
            <w:vAlign w:val="bottom"/>
          </w:tcPr>
          <w:p w14:paraId="6EF4CF9F" w14:textId="77777777" w:rsidR="00FC6127" w:rsidRPr="003016B3" w:rsidRDefault="00FC6127" w:rsidP="0008407A">
            <w:pPr>
              <w:keepNext/>
              <w:jc w:val="right"/>
              <w:rPr>
                <w:color w:val="000000"/>
                <w:szCs w:val="22"/>
              </w:rPr>
            </w:pPr>
            <w:r w:rsidRPr="003016B3">
              <w:rPr>
                <w:color w:val="000000"/>
                <w:szCs w:val="22"/>
              </w:rPr>
              <w:t>17</w:t>
            </w:r>
          </w:p>
        </w:tc>
        <w:tc>
          <w:tcPr>
            <w:tcW w:w="567" w:type="dxa"/>
            <w:shd w:val="clear" w:color="auto" w:fill="E5B8B7" w:themeFill="accent2" w:themeFillTint="66"/>
            <w:vAlign w:val="bottom"/>
          </w:tcPr>
          <w:p w14:paraId="40CDE818" w14:textId="77777777" w:rsidR="00FC6127" w:rsidRPr="003016B3" w:rsidRDefault="00FC6127" w:rsidP="0008407A">
            <w:pPr>
              <w:keepNext/>
              <w:jc w:val="right"/>
              <w:rPr>
                <w:color w:val="000000"/>
                <w:szCs w:val="22"/>
              </w:rPr>
            </w:pPr>
            <w:r w:rsidRPr="003016B3">
              <w:rPr>
                <w:color w:val="000000"/>
                <w:szCs w:val="22"/>
              </w:rPr>
              <w:t>0.8</w:t>
            </w:r>
          </w:p>
        </w:tc>
        <w:tc>
          <w:tcPr>
            <w:tcW w:w="567" w:type="dxa"/>
            <w:shd w:val="clear" w:color="auto" w:fill="E5B8B7" w:themeFill="accent2" w:themeFillTint="66"/>
            <w:vAlign w:val="bottom"/>
          </w:tcPr>
          <w:p w14:paraId="364DB8C3" w14:textId="77777777" w:rsidR="00FC6127" w:rsidRPr="003016B3" w:rsidRDefault="00FC6127" w:rsidP="0008407A">
            <w:pPr>
              <w:keepNext/>
              <w:jc w:val="right"/>
              <w:rPr>
                <w:color w:val="000000"/>
                <w:szCs w:val="22"/>
              </w:rPr>
            </w:pPr>
            <w:r>
              <w:rPr>
                <w:color w:val="000000"/>
                <w:szCs w:val="22"/>
              </w:rPr>
              <w:t>-</w:t>
            </w:r>
          </w:p>
        </w:tc>
        <w:tc>
          <w:tcPr>
            <w:tcW w:w="567" w:type="dxa"/>
            <w:shd w:val="clear" w:color="auto" w:fill="E5B8B7" w:themeFill="accent2" w:themeFillTint="66"/>
            <w:vAlign w:val="bottom"/>
          </w:tcPr>
          <w:p w14:paraId="5EB5D4B9" w14:textId="77777777" w:rsidR="00FC6127" w:rsidRPr="003016B3" w:rsidRDefault="00FC6127" w:rsidP="0008407A">
            <w:pPr>
              <w:keepNext/>
              <w:jc w:val="right"/>
              <w:rPr>
                <w:color w:val="000000"/>
                <w:szCs w:val="22"/>
              </w:rPr>
            </w:pPr>
          </w:p>
        </w:tc>
      </w:tr>
      <w:tr w:rsidR="00FC6127" w:rsidRPr="00672B00" w14:paraId="5A3BB4D7" w14:textId="77777777" w:rsidTr="0008407A">
        <w:trPr>
          <w:jc w:val="center"/>
        </w:trPr>
        <w:tc>
          <w:tcPr>
            <w:tcW w:w="2269" w:type="dxa"/>
            <w:vAlign w:val="center"/>
          </w:tcPr>
          <w:p w14:paraId="48271387" w14:textId="77777777" w:rsidR="00FC6127" w:rsidRPr="00672B00" w:rsidRDefault="00FC6127" w:rsidP="0008407A">
            <w:pPr>
              <w:keepNext/>
              <w:spacing w:before="20" w:after="20"/>
              <w:ind w:left="88"/>
              <w:rPr>
                <w:szCs w:val="20"/>
              </w:rPr>
            </w:pPr>
            <w:r w:rsidRPr="00672B00">
              <w:rPr>
                <w:szCs w:val="20"/>
              </w:rPr>
              <w:t>Low-risk gambler</w:t>
            </w:r>
          </w:p>
        </w:tc>
        <w:tc>
          <w:tcPr>
            <w:tcW w:w="709" w:type="dxa"/>
            <w:shd w:val="clear" w:color="auto" w:fill="D6E3BC" w:themeFill="accent3" w:themeFillTint="66"/>
            <w:vAlign w:val="bottom"/>
          </w:tcPr>
          <w:p w14:paraId="1E24F597" w14:textId="77777777" w:rsidR="00FC6127" w:rsidRPr="003016B3" w:rsidRDefault="00FC6127" w:rsidP="0008407A">
            <w:pPr>
              <w:keepNext/>
              <w:jc w:val="right"/>
              <w:rPr>
                <w:color w:val="000000"/>
                <w:szCs w:val="22"/>
              </w:rPr>
            </w:pPr>
            <w:r w:rsidRPr="003016B3">
              <w:rPr>
                <w:color w:val="000000"/>
                <w:szCs w:val="22"/>
              </w:rPr>
              <w:t>4</w:t>
            </w:r>
          </w:p>
        </w:tc>
        <w:tc>
          <w:tcPr>
            <w:tcW w:w="567" w:type="dxa"/>
            <w:shd w:val="clear" w:color="auto" w:fill="D6E3BC" w:themeFill="accent3" w:themeFillTint="66"/>
            <w:vAlign w:val="bottom"/>
          </w:tcPr>
          <w:p w14:paraId="0AEE751B" w14:textId="77777777" w:rsidR="00FC6127" w:rsidRPr="003016B3" w:rsidRDefault="00FC6127" w:rsidP="0008407A">
            <w:pPr>
              <w:keepNext/>
              <w:jc w:val="right"/>
              <w:rPr>
                <w:color w:val="000000"/>
                <w:szCs w:val="22"/>
              </w:rPr>
            </w:pPr>
            <w:r w:rsidRPr="003016B3">
              <w:rPr>
                <w:color w:val="000000"/>
                <w:szCs w:val="22"/>
              </w:rPr>
              <w:t>2.4</w:t>
            </w:r>
          </w:p>
        </w:tc>
        <w:tc>
          <w:tcPr>
            <w:tcW w:w="709" w:type="dxa"/>
            <w:shd w:val="clear" w:color="auto" w:fill="D6E3BC" w:themeFill="accent3" w:themeFillTint="66"/>
            <w:vAlign w:val="bottom"/>
          </w:tcPr>
          <w:p w14:paraId="790F38B7" w14:textId="77777777" w:rsidR="00FC6127" w:rsidRPr="003016B3" w:rsidRDefault="00FC6127" w:rsidP="0008407A">
            <w:pPr>
              <w:keepNext/>
              <w:jc w:val="right"/>
              <w:rPr>
                <w:color w:val="000000"/>
                <w:szCs w:val="22"/>
              </w:rPr>
            </w:pPr>
            <w:r w:rsidRPr="003016B3">
              <w:rPr>
                <w:color w:val="000000"/>
                <w:szCs w:val="22"/>
              </w:rPr>
              <w:t>109</w:t>
            </w:r>
          </w:p>
        </w:tc>
        <w:tc>
          <w:tcPr>
            <w:tcW w:w="567" w:type="dxa"/>
            <w:shd w:val="clear" w:color="auto" w:fill="D6E3BC" w:themeFill="accent3" w:themeFillTint="66"/>
            <w:vAlign w:val="bottom"/>
          </w:tcPr>
          <w:p w14:paraId="57FFAF41" w14:textId="77777777" w:rsidR="00FC6127" w:rsidRPr="003016B3" w:rsidRDefault="00FC6127" w:rsidP="0008407A">
            <w:pPr>
              <w:keepNext/>
              <w:jc w:val="right"/>
              <w:rPr>
                <w:color w:val="000000"/>
                <w:szCs w:val="22"/>
              </w:rPr>
            </w:pPr>
            <w:r w:rsidRPr="003016B3">
              <w:rPr>
                <w:color w:val="000000"/>
                <w:szCs w:val="22"/>
              </w:rPr>
              <w:t>61.7</w:t>
            </w:r>
          </w:p>
        </w:tc>
        <w:tc>
          <w:tcPr>
            <w:tcW w:w="567" w:type="dxa"/>
            <w:shd w:val="clear" w:color="auto" w:fill="FFFF00"/>
            <w:vAlign w:val="bottom"/>
          </w:tcPr>
          <w:p w14:paraId="06F32450" w14:textId="77777777" w:rsidR="00FC6127" w:rsidRPr="003016B3" w:rsidRDefault="00FC6127" w:rsidP="0008407A">
            <w:pPr>
              <w:keepNext/>
              <w:jc w:val="right"/>
              <w:rPr>
                <w:color w:val="000000"/>
                <w:szCs w:val="22"/>
              </w:rPr>
            </w:pPr>
            <w:r w:rsidRPr="003016B3">
              <w:rPr>
                <w:color w:val="000000"/>
                <w:szCs w:val="22"/>
              </w:rPr>
              <w:t>49</w:t>
            </w:r>
          </w:p>
        </w:tc>
        <w:tc>
          <w:tcPr>
            <w:tcW w:w="567" w:type="dxa"/>
            <w:shd w:val="clear" w:color="auto" w:fill="FFFF00"/>
            <w:vAlign w:val="bottom"/>
          </w:tcPr>
          <w:p w14:paraId="38C4C06B" w14:textId="77777777" w:rsidR="00FC6127" w:rsidRPr="003016B3" w:rsidRDefault="00FC6127" w:rsidP="0008407A">
            <w:pPr>
              <w:keepNext/>
              <w:jc w:val="right"/>
              <w:rPr>
                <w:color w:val="000000"/>
                <w:szCs w:val="22"/>
              </w:rPr>
            </w:pPr>
            <w:r w:rsidRPr="003016B3">
              <w:rPr>
                <w:color w:val="000000"/>
                <w:szCs w:val="22"/>
              </w:rPr>
              <w:t>27.8</w:t>
            </w:r>
          </w:p>
        </w:tc>
        <w:tc>
          <w:tcPr>
            <w:tcW w:w="567" w:type="dxa"/>
            <w:shd w:val="clear" w:color="auto" w:fill="E5B8B7" w:themeFill="accent2" w:themeFillTint="66"/>
            <w:vAlign w:val="bottom"/>
          </w:tcPr>
          <w:p w14:paraId="6F169AEA" w14:textId="77777777" w:rsidR="00FC6127" w:rsidRPr="003016B3" w:rsidRDefault="00FC6127" w:rsidP="0008407A">
            <w:pPr>
              <w:keepNext/>
              <w:jc w:val="right"/>
              <w:rPr>
                <w:color w:val="000000"/>
                <w:szCs w:val="22"/>
              </w:rPr>
            </w:pPr>
            <w:r w:rsidRPr="003016B3">
              <w:rPr>
                <w:color w:val="000000"/>
                <w:szCs w:val="22"/>
              </w:rPr>
              <w:t>14</w:t>
            </w:r>
          </w:p>
        </w:tc>
        <w:tc>
          <w:tcPr>
            <w:tcW w:w="567" w:type="dxa"/>
            <w:shd w:val="clear" w:color="auto" w:fill="E5B8B7" w:themeFill="accent2" w:themeFillTint="66"/>
            <w:vAlign w:val="bottom"/>
          </w:tcPr>
          <w:p w14:paraId="5141FF3D" w14:textId="77777777" w:rsidR="00FC6127" w:rsidRPr="003016B3" w:rsidRDefault="00FC6127" w:rsidP="0008407A">
            <w:pPr>
              <w:keepNext/>
              <w:jc w:val="right"/>
              <w:rPr>
                <w:color w:val="000000"/>
                <w:szCs w:val="22"/>
              </w:rPr>
            </w:pPr>
            <w:r w:rsidRPr="003016B3">
              <w:rPr>
                <w:color w:val="000000"/>
                <w:szCs w:val="22"/>
              </w:rPr>
              <w:t>7.7</w:t>
            </w:r>
          </w:p>
        </w:tc>
        <w:tc>
          <w:tcPr>
            <w:tcW w:w="567" w:type="dxa"/>
            <w:shd w:val="clear" w:color="auto" w:fill="E5B8B7" w:themeFill="accent2" w:themeFillTint="66"/>
            <w:vAlign w:val="bottom"/>
          </w:tcPr>
          <w:p w14:paraId="6BE9A74A" w14:textId="77777777" w:rsidR="00FC6127" w:rsidRPr="003016B3" w:rsidRDefault="00FC6127" w:rsidP="0008407A">
            <w:pPr>
              <w:keepNext/>
              <w:jc w:val="right"/>
              <w:rPr>
                <w:color w:val="000000"/>
                <w:szCs w:val="22"/>
              </w:rPr>
            </w:pPr>
            <w:r w:rsidRPr="003016B3">
              <w:rPr>
                <w:color w:val="000000"/>
                <w:szCs w:val="22"/>
              </w:rPr>
              <w:t>1</w:t>
            </w:r>
          </w:p>
        </w:tc>
        <w:tc>
          <w:tcPr>
            <w:tcW w:w="567" w:type="dxa"/>
            <w:shd w:val="clear" w:color="auto" w:fill="E5B8B7" w:themeFill="accent2" w:themeFillTint="66"/>
            <w:vAlign w:val="bottom"/>
          </w:tcPr>
          <w:p w14:paraId="7DC3C3CE" w14:textId="77777777" w:rsidR="00FC6127" w:rsidRPr="003016B3" w:rsidRDefault="00FC6127" w:rsidP="0008407A">
            <w:pPr>
              <w:keepNext/>
              <w:jc w:val="right"/>
              <w:rPr>
                <w:color w:val="000000"/>
                <w:szCs w:val="22"/>
              </w:rPr>
            </w:pPr>
            <w:r w:rsidRPr="003016B3">
              <w:rPr>
                <w:color w:val="000000"/>
                <w:szCs w:val="22"/>
              </w:rPr>
              <w:t>0.5</w:t>
            </w:r>
          </w:p>
        </w:tc>
      </w:tr>
      <w:tr w:rsidR="00FC6127" w:rsidRPr="00672B00" w14:paraId="1ACCA65E" w14:textId="77777777" w:rsidTr="0008407A">
        <w:trPr>
          <w:jc w:val="center"/>
        </w:trPr>
        <w:tc>
          <w:tcPr>
            <w:tcW w:w="2269" w:type="dxa"/>
            <w:vAlign w:val="center"/>
          </w:tcPr>
          <w:p w14:paraId="3F957173" w14:textId="77777777" w:rsidR="00FC6127" w:rsidRPr="00672B00" w:rsidRDefault="00FC6127" w:rsidP="0008407A">
            <w:pPr>
              <w:keepNext/>
              <w:spacing w:before="20" w:after="20"/>
              <w:ind w:left="88"/>
              <w:rPr>
                <w:szCs w:val="20"/>
              </w:rPr>
            </w:pPr>
            <w:r w:rsidRPr="00672B00">
              <w:rPr>
                <w:szCs w:val="20"/>
              </w:rPr>
              <w:t>Moderate-risk gambler</w:t>
            </w:r>
          </w:p>
        </w:tc>
        <w:tc>
          <w:tcPr>
            <w:tcW w:w="709" w:type="dxa"/>
            <w:shd w:val="clear" w:color="auto" w:fill="D6E3BC" w:themeFill="accent3" w:themeFillTint="66"/>
            <w:vAlign w:val="bottom"/>
          </w:tcPr>
          <w:p w14:paraId="632E1E58" w14:textId="77777777" w:rsidR="00FC6127" w:rsidRPr="003016B3" w:rsidRDefault="00FC6127" w:rsidP="0008407A">
            <w:pPr>
              <w:keepNext/>
              <w:jc w:val="right"/>
              <w:rPr>
                <w:color w:val="000000"/>
                <w:szCs w:val="22"/>
              </w:rPr>
            </w:pPr>
            <w:r w:rsidRPr="003016B3">
              <w:rPr>
                <w:color w:val="000000"/>
                <w:szCs w:val="22"/>
              </w:rPr>
              <w:t>2</w:t>
            </w:r>
          </w:p>
        </w:tc>
        <w:tc>
          <w:tcPr>
            <w:tcW w:w="567" w:type="dxa"/>
            <w:shd w:val="clear" w:color="auto" w:fill="D6E3BC" w:themeFill="accent3" w:themeFillTint="66"/>
            <w:vAlign w:val="bottom"/>
          </w:tcPr>
          <w:p w14:paraId="7B4F0070" w14:textId="77777777" w:rsidR="00FC6127" w:rsidRPr="003016B3" w:rsidRDefault="00FC6127" w:rsidP="0008407A">
            <w:pPr>
              <w:keepNext/>
              <w:jc w:val="right"/>
              <w:rPr>
                <w:color w:val="000000"/>
                <w:szCs w:val="22"/>
              </w:rPr>
            </w:pPr>
            <w:r w:rsidRPr="003016B3">
              <w:rPr>
                <w:color w:val="000000"/>
                <w:szCs w:val="22"/>
              </w:rPr>
              <w:t>4.1</w:t>
            </w:r>
          </w:p>
        </w:tc>
        <w:tc>
          <w:tcPr>
            <w:tcW w:w="709" w:type="dxa"/>
            <w:shd w:val="clear" w:color="auto" w:fill="D6E3BC" w:themeFill="accent3" w:themeFillTint="66"/>
            <w:vAlign w:val="bottom"/>
          </w:tcPr>
          <w:p w14:paraId="20D0CD2A" w14:textId="77777777" w:rsidR="00FC6127" w:rsidRPr="003016B3" w:rsidRDefault="00FC6127" w:rsidP="0008407A">
            <w:pPr>
              <w:keepNext/>
              <w:jc w:val="right"/>
              <w:rPr>
                <w:color w:val="000000"/>
                <w:szCs w:val="22"/>
              </w:rPr>
            </w:pPr>
            <w:r w:rsidRPr="003016B3">
              <w:rPr>
                <w:color w:val="000000"/>
                <w:szCs w:val="22"/>
              </w:rPr>
              <w:t>15</w:t>
            </w:r>
          </w:p>
        </w:tc>
        <w:tc>
          <w:tcPr>
            <w:tcW w:w="567" w:type="dxa"/>
            <w:shd w:val="clear" w:color="auto" w:fill="D6E3BC" w:themeFill="accent3" w:themeFillTint="66"/>
            <w:vAlign w:val="bottom"/>
          </w:tcPr>
          <w:p w14:paraId="055B7D22" w14:textId="77777777" w:rsidR="00FC6127" w:rsidRPr="003016B3" w:rsidRDefault="00FC6127" w:rsidP="0008407A">
            <w:pPr>
              <w:keepNext/>
              <w:jc w:val="right"/>
              <w:rPr>
                <w:color w:val="000000"/>
                <w:szCs w:val="22"/>
              </w:rPr>
            </w:pPr>
            <w:r w:rsidRPr="003016B3">
              <w:rPr>
                <w:color w:val="000000"/>
                <w:szCs w:val="22"/>
              </w:rPr>
              <w:t>33.7</w:t>
            </w:r>
          </w:p>
        </w:tc>
        <w:tc>
          <w:tcPr>
            <w:tcW w:w="567" w:type="dxa"/>
            <w:shd w:val="clear" w:color="auto" w:fill="D6E3BC" w:themeFill="accent3" w:themeFillTint="66"/>
            <w:vAlign w:val="bottom"/>
          </w:tcPr>
          <w:p w14:paraId="21DC2FA9" w14:textId="77777777" w:rsidR="00FC6127" w:rsidRPr="003016B3" w:rsidRDefault="00FC6127" w:rsidP="0008407A">
            <w:pPr>
              <w:keepNext/>
              <w:jc w:val="right"/>
              <w:rPr>
                <w:color w:val="000000"/>
                <w:szCs w:val="22"/>
              </w:rPr>
            </w:pPr>
            <w:r w:rsidRPr="003016B3">
              <w:rPr>
                <w:color w:val="000000"/>
                <w:szCs w:val="22"/>
              </w:rPr>
              <w:t>11</w:t>
            </w:r>
          </w:p>
        </w:tc>
        <w:tc>
          <w:tcPr>
            <w:tcW w:w="567" w:type="dxa"/>
            <w:shd w:val="clear" w:color="auto" w:fill="D6E3BC" w:themeFill="accent3" w:themeFillTint="66"/>
            <w:vAlign w:val="bottom"/>
          </w:tcPr>
          <w:p w14:paraId="171D239D" w14:textId="77777777" w:rsidR="00FC6127" w:rsidRPr="003016B3" w:rsidRDefault="00FC6127" w:rsidP="0008407A">
            <w:pPr>
              <w:keepNext/>
              <w:jc w:val="right"/>
              <w:rPr>
                <w:color w:val="000000"/>
                <w:szCs w:val="22"/>
              </w:rPr>
            </w:pPr>
            <w:r w:rsidRPr="003016B3">
              <w:rPr>
                <w:color w:val="000000"/>
                <w:szCs w:val="22"/>
              </w:rPr>
              <w:t>24.5</w:t>
            </w:r>
          </w:p>
        </w:tc>
        <w:tc>
          <w:tcPr>
            <w:tcW w:w="567" w:type="dxa"/>
            <w:shd w:val="clear" w:color="auto" w:fill="FFFF00"/>
            <w:vAlign w:val="bottom"/>
          </w:tcPr>
          <w:p w14:paraId="53EC00DF" w14:textId="77777777" w:rsidR="00FC6127" w:rsidRPr="003016B3" w:rsidRDefault="00FC6127" w:rsidP="0008407A">
            <w:pPr>
              <w:keepNext/>
              <w:jc w:val="right"/>
              <w:rPr>
                <w:color w:val="000000"/>
                <w:szCs w:val="22"/>
              </w:rPr>
            </w:pPr>
            <w:r w:rsidRPr="003016B3">
              <w:rPr>
                <w:color w:val="000000"/>
                <w:szCs w:val="22"/>
              </w:rPr>
              <w:t>12</w:t>
            </w:r>
          </w:p>
        </w:tc>
        <w:tc>
          <w:tcPr>
            <w:tcW w:w="567" w:type="dxa"/>
            <w:shd w:val="clear" w:color="auto" w:fill="FFFF00"/>
            <w:vAlign w:val="bottom"/>
          </w:tcPr>
          <w:p w14:paraId="1FEA45C1" w14:textId="77777777" w:rsidR="00FC6127" w:rsidRPr="003016B3" w:rsidRDefault="00FC6127" w:rsidP="0008407A">
            <w:pPr>
              <w:keepNext/>
              <w:jc w:val="right"/>
              <w:rPr>
                <w:color w:val="000000"/>
                <w:szCs w:val="22"/>
              </w:rPr>
            </w:pPr>
            <w:r w:rsidRPr="003016B3">
              <w:rPr>
                <w:color w:val="000000"/>
                <w:szCs w:val="22"/>
              </w:rPr>
              <w:t>27.8</w:t>
            </w:r>
          </w:p>
        </w:tc>
        <w:tc>
          <w:tcPr>
            <w:tcW w:w="567" w:type="dxa"/>
            <w:shd w:val="clear" w:color="auto" w:fill="E5B8B7" w:themeFill="accent2" w:themeFillTint="66"/>
            <w:vAlign w:val="bottom"/>
          </w:tcPr>
          <w:p w14:paraId="7982AF50" w14:textId="77777777" w:rsidR="00FC6127" w:rsidRPr="003016B3" w:rsidRDefault="00FC6127" w:rsidP="0008407A">
            <w:pPr>
              <w:keepNext/>
              <w:jc w:val="right"/>
              <w:rPr>
                <w:color w:val="000000"/>
                <w:szCs w:val="22"/>
              </w:rPr>
            </w:pPr>
            <w:r w:rsidRPr="003016B3">
              <w:rPr>
                <w:color w:val="000000"/>
                <w:szCs w:val="22"/>
              </w:rPr>
              <w:t>4</w:t>
            </w:r>
          </w:p>
        </w:tc>
        <w:tc>
          <w:tcPr>
            <w:tcW w:w="567" w:type="dxa"/>
            <w:shd w:val="clear" w:color="auto" w:fill="E5B8B7" w:themeFill="accent2" w:themeFillTint="66"/>
            <w:vAlign w:val="bottom"/>
          </w:tcPr>
          <w:p w14:paraId="258C84BA" w14:textId="77777777" w:rsidR="00FC6127" w:rsidRPr="003016B3" w:rsidRDefault="00FC6127" w:rsidP="0008407A">
            <w:pPr>
              <w:keepNext/>
              <w:jc w:val="right"/>
              <w:rPr>
                <w:color w:val="000000"/>
                <w:szCs w:val="22"/>
              </w:rPr>
            </w:pPr>
            <w:r w:rsidRPr="003016B3">
              <w:rPr>
                <w:color w:val="000000"/>
                <w:szCs w:val="22"/>
              </w:rPr>
              <w:t>9.9</w:t>
            </w:r>
          </w:p>
        </w:tc>
      </w:tr>
      <w:tr w:rsidR="00FC6127" w:rsidRPr="00672B00" w14:paraId="6E6073C8" w14:textId="77777777" w:rsidTr="0008407A">
        <w:trPr>
          <w:jc w:val="center"/>
        </w:trPr>
        <w:tc>
          <w:tcPr>
            <w:tcW w:w="2269" w:type="dxa"/>
            <w:vAlign w:val="center"/>
          </w:tcPr>
          <w:p w14:paraId="381732F9" w14:textId="77777777" w:rsidR="00FC6127" w:rsidRPr="00672B00" w:rsidRDefault="00FC6127" w:rsidP="0008407A">
            <w:pPr>
              <w:keepNext/>
              <w:spacing w:before="20" w:after="20"/>
              <w:ind w:left="88"/>
              <w:rPr>
                <w:szCs w:val="20"/>
              </w:rPr>
            </w:pPr>
            <w:r w:rsidRPr="00672B00">
              <w:rPr>
                <w:szCs w:val="20"/>
              </w:rPr>
              <w:t>Problem gambler</w:t>
            </w:r>
          </w:p>
        </w:tc>
        <w:tc>
          <w:tcPr>
            <w:tcW w:w="709" w:type="dxa"/>
            <w:shd w:val="clear" w:color="auto" w:fill="D6E3BC" w:themeFill="accent3" w:themeFillTint="66"/>
            <w:vAlign w:val="bottom"/>
          </w:tcPr>
          <w:p w14:paraId="6D0B5797" w14:textId="77777777" w:rsidR="00FC6127" w:rsidRPr="003016B3" w:rsidRDefault="00FC6127" w:rsidP="0008407A">
            <w:pPr>
              <w:keepNext/>
              <w:jc w:val="right"/>
              <w:rPr>
                <w:color w:val="000000"/>
                <w:szCs w:val="22"/>
              </w:rPr>
            </w:pPr>
            <w:r w:rsidRPr="003016B3">
              <w:rPr>
                <w:color w:val="000000"/>
                <w:szCs w:val="22"/>
              </w:rPr>
              <w:t>6</w:t>
            </w:r>
          </w:p>
        </w:tc>
        <w:tc>
          <w:tcPr>
            <w:tcW w:w="567" w:type="dxa"/>
            <w:shd w:val="clear" w:color="auto" w:fill="D6E3BC" w:themeFill="accent3" w:themeFillTint="66"/>
            <w:vAlign w:val="bottom"/>
          </w:tcPr>
          <w:p w14:paraId="672C3397" w14:textId="77777777" w:rsidR="00FC6127" w:rsidRPr="003016B3" w:rsidRDefault="00FC6127" w:rsidP="0008407A">
            <w:pPr>
              <w:keepNext/>
              <w:jc w:val="right"/>
              <w:rPr>
                <w:color w:val="000000"/>
                <w:szCs w:val="22"/>
              </w:rPr>
            </w:pPr>
            <w:r w:rsidRPr="003016B3">
              <w:rPr>
                <w:color w:val="000000"/>
                <w:szCs w:val="22"/>
              </w:rPr>
              <w:t>44.1</w:t>
            </w:r>
          </w:p>
        </w:tc>
        <w:tc>
          <w:tcPr>
            <w:tcW w:w="709" w:type="dxa"/>
            <w:shd w:val="clear" w:color="auto" w:fill="D6E3BC" w:themeFill="accent3" w:themeFillTint="66"/>
            <w:vAlign w:val="bottom"/>
          </w:tcPr>
          <w:p w14:paraId="25C40BE3" w14:textId="77777777" w:rsidR="00FC6127" w:rsidRPr="003016B3" w:rsidRDefault="00FC6127" w:rsidP="0008407A">
            <w:pPr>
              <w:keepNext/>
              <w:jc w:val="right"/>
              <w:rPr>
                <w:color w:val="000000"/>
                <w:szCs w:val="22"/>
              </w:rPr>
            </w:pPr>
            <w:r w:rsidRPr="003016B3">
              <w:rPr>
                <w:color w:val="000000"/>
                <w:szCs w:val="22"/>
              </w:rPr>
              <w:t>3</w:t>
            </w:r>
          </w:p>
        </w:tc>
        <w:tc>
          <w:tcPr>
            <w:tcW w:w="567" w:type="dxa"/>
            <w:shd w:val="clear" w:color="auto" w:fill="D6E3BC" w:themeFill="accent3" w:themeFillTint="66"/>
            <w:vAlign w:val="bottom"/>
          </w:tcPr>
          <w:p w14:paraId="6D08C9BF" w14:textId="77777777" w:rsidR="00FC6127" w:rsidRPr="003016B3" w:rsidRDefault="00FC6127" w:rsidP="0008407A">
            <w:pPr>
              <w:keepNext/>
              <w:jc w:val="right"/>
              <w:rPr>
                <w:color w:val="000000"/>
                <w:szCs w:val="22"/>
              </w:rPr>
            </w:pPr>
            <w:r w:rsidRPr="003016B3">
              <w:rPr>
                <w:color w:val="000000"/>
                <w:szCs w:val="22"/>
              </w:rPr>
              <w:t>19.4</w:t>
            </w:r>
          </w:p>
        </w:tc>
        <w:tc>
          <w:tcPr>
            <w:tcW w:w="567" w:type="dxa"/>
            <w:shd w:val="clear" w:color="auto" w:fill="D6E3BC" w:themeFill="accent3" w:themeFillTint="66"/>
            <w:vAlign w:val="bottom"/>
          </w:tcPr>
          <w:p w14:paraId="05308CC4" w14:textId="77777777" w:rsidR="00FC6127" w:rsidRPr="003016B3" w:rsidRDefault="00FC6127" w:rsidP="0008407A">
            <w:pPr>
              <w:keepNext/>
              <w:jc w:val="right"/>
              <w:rPr>
                <w:color w:val="000000"/>
                <w:szCs w:val="22"/>
              </w:rPr>
            </w:pPr>
            <w:r w:rsidRPr="003016B3">
              <w:rPr>
                <w:color w:val="000000"/>
                <w:szCs w:val="22"/>
              </w:rPr>
              <w:t>0</w:t>
            </w:r>
          </w:p>
        </w:tc>
        <w:tc>
          <w:tcPr>
            <w:tcW w:w="567" w:type="dxa"/>
            <w:shd w:val="clear" w:color="auto" w:fill="D6E3BC" w:themeFill="accent3" w:themeFillTint="66"/>
            <w:vAlign w:val="bottom"/>
          </w:tcPr>
          <w:p w14:paraId="3294EFBB" w14:textId="77777777" w:rsidR="00FC6127" w:rsidRPr="003016B3" w:rsidRDefault="00FC6127" w:rsidP="0008407A">
            <w:pPr>
              <w:keepNext/>
              <w:jc w:val="right"/>
              <w:rPr>
                <w:color w:val="000000"/>
                <w:szCs w:val="22"/>
              </w:rPr>
            </w:pPr>
            <w:r w:rsidRPr="003016B3">
              <w:rPr>
                <w:color w:val="000000"/>
                <w:szCs w:val="22"/>
              </w:rPr>
              <w:t>2.6</w:t>
            </w:r>
          </w:p>
        </w:tc>
        <w:tc>
          <w:tcPr>
            <w:tcW w:w="567" w:type="dxa"/>
            <w:shd w:val="clear" w:color="auto" w:fill="D6E3BC" w:themeFill="accent3" w:themeFillTint="66"/>
            <w:vAlign w:val="bottom"/>
          </w:tcPr>
          <w:p w14:paraId="16BD9913" w14:textId="77777777" w:rsidR="00FC6127" w:rsidRPr="003016B3" w:rsidRDefault="00FC6127" w:rsidP="0008407A">
            <w:pPr>
              <w:keepNext/>
              <w:jc w:val="right"/>
              <w:rPr>
                <w:color w:val="000000"/>
                <w:szCs w:val="22"/>
              </w:rPr>
            </w:pPr>
            <w:r w:rsidRPr="003016B3">
              <w:rPr>
                <w:color w:val="000000"/>
                <w:szCs w:val="22"/>
              </w:rPr>
              <w:t>1</w:t>
            </w:r>
          </w:p>
        </w:tc>
        <w:tc>
          <w:tcPr>
            <w:tcW w:w="567" w:type="dxa"/>
            <w:shd w:val="clear" w:color="auto" w:fill="D6E3BC" w:themeFill="accent3" w:themeFillTint="66"/>
            <w:vAlign w:val="bottom"/>
          </w:tcPr>
          <w:p w14:paraId="02A633F7" w14:textId="77777777" w:rsidR="00FC6127" w:rsidRPr="003016B3" w:rsidRDefault="00FC6127" w:rsidP="0008407A">
            <w:pPr>
              <w:keepNext/>
              <w:jc w:val="right"/>
              <w:rPr>
                <w:color w:val="000000"/>
                <w:szCs w:val="22"/>
              </w:rPr>
            </w:pPr>
            <w:r w:rsidRPr="003016B3">
              <w:rPr>
                <w:color w:val="000000"/>
                <w:szCs w:val="22"/>
              </w:rPr>
              <w:t>6.5</w:t>
            </w:r>
          </w:p>
        </w:tc>
        <w:tc>
          <w:tcPr>
            <w:tcW w:w="567" w:type="dxa"/>
            <w:shd w:val="clear" w:color="auto" w:fill="FFFF00"/>
            <w:vAlign w:val="bottom"/>
          </w:tcPr>
          <w:p w14:paraId="3D2437D6" w14:textId="77777777" w:rsidR="00FC6127" w:rsidRPr="003016B3" w:rsidRDefault="00FC6127" w:rsidP="0008407A">
            <w:pPr>
              <w:keepNext/>
              <w:jc w:val="right"/>
              <w:rPr>
                <w:color w:val="000000"/>
                <w:szCs w:val="22"/>
              </w:rPr>
            </w:pPr>
            <w:r w:rsidRPr="003016B3">
              <w:rPr>
                <w:color w:val="000000"/>
                <w:szCs w:val="22"/>
              </w:rPr>
              <w:t>4</w:t>
            </w:r>
          </w:p>
        </w:tc>
        <w:tc>
          <w:tcPr>
            <w:tcW w:w="567" w:type="dxa"/>
            <w:shd w:val="clear" w:color="auto" w:fill="FFFF00"/>
            <w:vAlign w:val="bottom"/>
          </w:tcPr>
          <w:p w14:paraId="317EF3EC" w14:textId="77777777" w:rsidR="00FC6127" w:rsidRPr="003016B3" w:rsidRDefault="00FC6127" w:rsidP="0008407A">
            <w:pPr>
              <w:keepNext/>
              <w:jc w:val="right"/>
              <w:rPr>
                <w:color w:val="000000"/>
                <w:szCs w:val="22"/>
              </w:rPr>
            </w:pPr>
            <w:r w:rsidRPr="003016B3">
              <w:rPr>
                <w:color w:val="000000"/>
                <w:szCs w:val="22"/>
              </w:rPr>
              <w:t>27.4</w:t>
            </w:r>
          </w:p>
        </w:tc>
      </w:tr>
      <w:tr w:rsidR="00FC6127" w:rsidRPr="00672B00" w14:paraId="1A7C78D8" w14:textId="77777777" w:rsidTr="0008407A">
        <w:trPr>
          <w:jc w:val="center"/>
        </w:trPr>
        <w:tc>
          <w:tcPr>
            <w:tcW w:w="3545" w:type="dxa"/>
            <w:gridSpan w:val="3"/>
            <w:tcBorders>
              <w:top w:val="single" w:sz="4" w:space="0" w:color="auto"/>
            </w:tcBorders>
            <w:shd w:val="clear" w:color="auto" w:fill="auto"/>
            <w:vAlign w:val="center"/>
          </w:tcPr>
          <w:p w14:paraId="0546B1B3" w14:textId="77777777" w:rsidR="00FC6127" w:rsidRPr="001E27B8" w:rsidRDefault="00FC6127" w:rsidP="0008407A">
            <w:pPr>
              <w:keepNext/>
              <w:keepLines/>
              <w:spacing w:before="20" w:after="20"/>
              <w:rPr>
                <w:b/>
                <w:color w:val="000000"/>
                <w:szCs w:val="20"/>
              </w:rPr>
            </w:pPr>
            <w:r>
              <w:rPr>
                <w:b/>
                <w:color w:val="000000"/>
                <w:szCs w:val="20"/>
              </w:rPr>
              <w:t>Wave 3 to Wave 4</w:t>
            </w:r>
          </w:p>
        </w:tc>
        <w:tc>
          <w:tcPr>
            <w:tcW w:w="709" w:type="dxa"/>
            <w:tcBorders>
              <w:top w:val="single" w:sz="4" w:space="0" w:color="auto"/>
            </w:tcBorders>
            <w:shd w:val="clear" w:color="auto" w:fill="auto"/>
            <w:vAlign w:val="center"/>
          </w:tcPr>
          <w:p w14:paraId="041BE531" w14:textId="77777777" w:rsidR="00FC6127" w:rsidRPr="00672B00" w:rsidRDefault="00FC6127" w:rsidP="0008407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14:paraId="3D342F04" w14:textId="77777777" w:rsidR="00FC6127" w:rsidRPr="00672B00" w:rsidRDefault="00FC6127" w:rsidP="0008407A">
            <w:pPr>
              <w:keepNext/>
              <w:keepLines/>
              <w:spacing w:before="20" w:after="20"/>
              <w:jc w:val="right"/>
              <w:rPr>
                <w:color w:val="000000"/>
                <w:szCs w:val="20"/>
              </w:rPr>
            </w:pPr>
          </w:p>
        </w:tc>
        <w:tc>
          <w:tcPr>
            <w:tcW w:w="567" w:type="dxa"/>
            <w:tcBorders>
              <w:top w:val="single" w:sz="4" w:space="0" w:color="auto"/>
            </w:tcBorders>
            <w:shd w:val="clear" w:color="auto" w:fill="auto"/>
            <w:vAlign w:val="bottom"/>
          </w:tcPr>
          <w:p w14:paraId="15FC785C" w14:textId="77777777" w:rsidR="00FC6127" w:rsidRDefault="00FC6127" w:rsidP="0008407A">
            <w:pPr>
              <w:keepNext/>
              <w:jc w:val="center"/>
              <w:rPr>
                <w:rFonts w:ascii="Calibri" w:hAnsi="Calibri"/>
                <w:color w:val="000000"/>
                <w:sz w:val="22"/>
                <w:szCs w:val="22"/>
              </w:rPr>
            </w:pPr>
          </w:p>
        </w:tc>
        <w:tc>
          <w:tcPr>
            <w:tcW w:w="567" w:type="dxa"/>
            <w:tcBorders>
              <w:top w:val="single" w:sz="4" w:space="0" w:color="auto"/>
            </w:tcBorders>
            <w:shd w:val="clear" w:color="auto" w:fill="auto"/>
            <w:vAlign w:val="bottom"/>
          </w:tcPr>
          <w:p w14:paraId="11A214FA" w14:textId="77777777" w:rsidR="00FC6127" w:rsidRDefault="00FC6127" w:rsidP="0008407A">
            <w:pPr>
              <w:keepNext/>
              <w:jc w:val="center"/>
              <w:rPr>
                <w:szCs w:val="20"/>
              </w:rPr>
            </w:pPr>
          </w:p>
        </w:tc>
        <w:tc>
          <w:tcPr>
            <w:tcW w:w="567" w:type="dxa"/>
            <w:tcBorders>
              <w:top w:val="single" w:sz="4" w:space="0" w:color="auto"/>
            </w:tcBorders>
            <w:shd w:val="clear" w:color="auto" w:fill="auto"/>
            <w:vAlign w:val="bottom"/>
          </w:tcPr>
          <w:p w14:paraId="120B6D1A" w14:textId="77777777" w:rsidR="00FC6127" w:rsidRDefault="00FC6127" w:rsidP="0008407A">
            <w:pPr>
              <w:keepNext/>
              <w:jc w:val="center"/>
              <w:rPr>
                <w:rFonts w:ascii="Calibri" w:hAnsi="Calibri"/>
                <w:color w:val="000000"/>
                <w:sz w:val="22"/>
                <w:szCs w:val="22"/>
              </w:rPr>
            </w:pPr>
          </w:p>
        </w:tc>
        <w:tc>
          <w:tcPr>
            <w:tcW w:w="567" w:type="dxa"/>
            <w:tcBorders>
              <w:top w:val="single" w:sz="4" w:space="0" w:color="auto"/>
            </w:tcBorders>
            <w:shd w:val="clear" w:color="auto" w:fill="auto"/>
            <w:vAlign w:val="bottom"/>
          </w:tcPr>
          <w:p w14:paraId="5B652D59" w14:textId="77777777" w:rsidR="00FC6127" w:rsidRDefault="00FC6127" w:rsidP="0008407A">
            <w:pPr>
              <w:keepNext/>
              <w:jc w:val="center"/>
              <w:rPr>
                <w:szCs w:val="20"/>
              </w:rPr>
            </w:pPr>
          </w:p>
        </w:tc>
        <w:tc>
          <w:tcPr>
            <w:tcW w:w="567" w:type="dxa"/>
            <w:tcBorders>
              <w:top w:val="single" w:sz="4" w:space="0" w:color="auto"/>
            </w:tcBorders>
            <w:shd w:val="clear" w:color="auto" w:fill="auto"/>
            <w:vAlign w:val="bottom"/>
          </w:tcPr>
          <w:p w14:paraId="5389A44B" w14:textId="77777777" w:rsidR="00FC6127" w:rsidRDefault="00FC6127" w:rsidP="0008407A">
            <w:pPr>
              <w:keepNext/>
              <w:jc w:val="center"/>
              <w:rPr>
                <w:rFonts w:ascii="Calibri" w:hAnsi="Calibri"/>
                <w:color w:val="000000"/>
                <w:sz w:val="22"/>
                <w:szCs w:val="22"/>
              </w:rPr>
            </w:pPr>
          </w:p>
        </w:tc>
        <w:tc>
          <w:tcPr>
            <w:tcW w:w="567" w:type="dxa"/>
            <w:tcBorders>
              <w:top w:val="single" w:sz="4" w:space="0" w:color="auto"/>
            </w:tcBorders>
            <w:shd w:val="clear" w:color="auto" w:fill="auto"/>
            <w:vAlign w:val="bottom"/>
          </w:tcPr>
          <w:p w14:paraId="6270BFD7" w14:textId="77777777" w:rsidR="00FC6127" w:rsidRDefault="00FC6127" w:rsidP="0008407A">
            <w:pPr>
              <w:keepNext/>
              <w:jc w:val="center"/>
              <w:rPr>
                <w:szCs w:val="20"/>
              </w:rPr>
            </w:pPr>
          </w:p>
        </w:tc>
      </w:tr>
      <w:tr w:rsidR="00FC6127" w:rsidRPr="00672B00" w14:paraId="5C102137" w14:textId="77777777" w:rsidTr="0008407A">
        <w:trPr>
          <w:jc w:val="center"/>
        </w:trPr>
        <w:tc>
          <w:tcPr>
            <w:tcW w:w="2269" w:type="dxa"/>
            <w:vAlign w:val="center"/>
          </w:tcPr>
          <w:p w14:paraId="3434B2DD" w14:textId="77777777" w:rsidR="00FC6127" w:rsidRPr="00672B00" w:rsidRDefault="00FC6127" w:rsidP="0008407A">
            <w:pPr>
              <w:keepNext/>
              <w:keepLines/>
              <w:spacing w:before="20" w:after="20"/>
              <w:ind w:left="88"/>
              <w:rPr>
                <w:szCs w:val="20"/>
              </w:rPr>
            </w:pPr>
            <w:r w:rsidRPr="00672B00">
              <w:rPr>
                <w:szCs w:val="20"/>
              </w:rPr>
              <w:t>Non-gambler</w:t>
            </w:r>
          </w:p>
        </w:tc>
        <w:tc>
          <w:tcPr>
            <w:tcW w:w="709" w:type="dxa"/>
            <w:shd w:val="clear" w:color="auto" w:fill="FFFF00"/>
            <w:vAlign w:val="bottom"/>
          </w:tcPr>
          <w:p w14:paraId="64BE8B32" w14:textId="77777777" w:rsidR="00FC6127" w:rsidRPr="003016B3" w:rsidRDefault="00FC6127" w:rsidP="0008407A">
            <w:pPr>
              <w:keepNext/>
              <w:jc w:val="right"/>
              <w:rPr>
                <w:color w:val="000000"/>
                <w:szCs w:val="22"/>
              </w:rPr>
            </w:pPr>
            <w:r w:rsidRPr="003016B3">
              <w:rPr>
                <w:color w:val="000000"/>
                <w:szCs w:val="22"/>
              </w:rPr>
              <w:t>453</w:t>
            </w:r>
          </w:p>
        </w:tc>
        <w:tc>
          <w:tcPr>
            <w:tcW w:w="567" w:type="dxa"/>
            <w:shd w:val="clear" w:color="auto" w:fill="FFFF00"/>
            <w:vAlign w:val="bottom"/>
          </w:tcPr>
          <w:p w14:paraId="7CEEDEDE" w14:textId="77777777" w:rsidR="00FC6127" w:rsidRPr="003016B3" w:rsidRDefault="00FC6127" w:rsidP="0008407A">
            <w:pPr>
              <w:keepNext/>
              <w:jc w:val="right"/>
              <w:rPr>
                <w:color w:val="000000"/>
                <w:szCs w:val="22"/>
              </w:rPr>
            </w:pPr>
            <w:r w:rsidRPr="003016B3">
              <w:rPr>
                <w:color w:val="000000"/>
                <w:szCs w:val="22"/>
              </w:rPr>
              <w:t>70.9</w:t>
            </w:r>
          </w:p>
        </w:tc>
        <w:tc>
          <w:tcPr>
            <w:tcW w:w="709" w:type="dxa"/>
            <w:shd w:val="clear" w:color="auto" w:fill="E5B8B7" w:themeFill="accent2" w:themeFillTint="66"/>
            <w:vAlign w:val="bottom"/>
          </w:tcPr>
          <w:p w14:paraId="72E8E574" w14:textId="77777777" w:rsidR="00FC6127" w:rsidRPr="003016B3" w:rsidRDefault="00FC6127" w:rsidP="0008407A">
            <w:pPr>
              <w:keepNext/>
              <w:jc w:val="right"/>
              <w:rPr>
                <w:color w:val="000000"/>
                <w:szCs w:val="22"/>
              </w:rPr>
            </w:pPr>
            <w:r w:rsidRPr="003016B3">
              <w:rPr>
                <w:color w:val="000000"/>
                <w:szCs w:val="22"/>
              </w:rPr>
              <w:t>180</w:t>
            </w:r>
          </w:p>
        </w:tc>
        <w:tc>
          <w:tcPr>
            <w:tcW w:w="567" w:type="dxa"/>
            <w:shd w:val="clear" w:color="auto" w:fill="E5B8B7" w:themeFill="accent2" w:themeFillTint="66"/>
            <w:vAlign w:val="bottom"/>
          </w:tcPr>
          <w:p w14:paraId="6BB78840" w14:textId="77777777" w:rsidR="00FC6127" w:rsidRPr="003016B3" w:rsidRDefault="00FC6127" w:rsidP="0008407A">
            <w:pPr>
              <w:keepNext/>
              <w:jc w:val="right"/>
              <w:rPr>
                <w:color w:val="000000"/>
                <w:szCs w:val="22"/>
              </w:rPr>
            </w:pPr>
            <w:r w:rsidRPr="003016B3">
              <w:rPr>
                <w:color w:val="000000"/>
                <w:szCs w:val="22"/>
              </w:rPr>
              <w:t>28.2</w:t>
            </w:r>
          </w:p>
        </w:tc>
        <w:tc>
          <w:tcPr>
            <w:tcW w:w="567" w:type="dxa"/>
            <w:shd w:val="clear" w:color="auto" w:fill="E5B8B7" w:themeFill="accent2" w:themeFillTint="66"/>
            <w:vAlign w:val="bottom"/>
          </w:tcPr>
          <w:p w14:paraId="7AF2FBDA" w14:textId="77777777" w:rsidR="00FC6127" w:rsidRPr="003016B3" w:rsidRDefault="00FC6127" w:rsidP="0008407A">
            <w:pPr>
              <w:keepNext/>
              <w:jc w:val="right"/>
              <w:rPr>
                <w:color w:val="000000"/>
                <w:szCs w:val="22"/>
              </w:rPr>
            </w:pPr>
            <w:r w:rsidRPr="003016B3">
              <w:rPr>
                <w:color w:val="000000"/>
                <w:szCs w:val="22"/>
              </w:rPr>
              <w:t>5</w:t>
            </w:r>
          </w:p>
        </w:tc>
        <w:tc>
          <w:tcPr>
            <w:tcW w:w="567" w:type="dxa"/>
            <w:shd w:val="clear" w:color="auto" w:fill="E5B8B7" w:themeFill="accent2" w:themeFillTint="66"/>
            <w:vAlign w:val="bottom"/>
          </w:tcPr>
          <w:p w14:paraId="56B4DD18" w14:textId="77777777" w:rsidR="00FC6127" w:rsidRPr="003016B3" w:rsidRDefault="00FC6127" w:rsidP="0008407A">
            <w:pPr>
              <w:keepNext/>
              <w:jc w:val="right"/>
              <w:rPr>
                <w:color w:val="000000"/>
                <w:szCs w:val="22"/>
              </w:rPr>
            </w:pPr>
            <w:r w:rsidRPr="003016B3">
              <w:rPr>
                <w:color w:val="000000"/>
                <w:szCs w:val="22"/>
              </w:rPr>
              <w:t>0.7</w:t>
            </w:r>
          </w:p>
        </w:tc>
        <w:tc>
          <w:tcPr>
            <w:tcW w:w="567" w:type="dxa"/>
            <w:shd w:val="clear" w:color="auto" w:fill="E5B8B7" w:themeFill="accent2" w:themeFillTint="66"/>
            <w:vAlign w:val="bottom"/>
          </w:tcPr>
          <w:p w14:paraId="7392C825" w14:textId="77777777" w:rsidR="00FC6127" w:rsidRPr="003016B3" w:rsidRDefault="00FC6127" w:rsidP="0008407A">
            <w:pPr>
              <w:keepNext/>
              <w:jc w:val="right"/>
              <w:rPr>
                <w:color w:val="000000"/>
                <w:szCs w:val="22"/>
              </w:rPr>
            </w:pPr>
            <w:r w:rsidRPr="003016B3">
              <w:rPr>
                <w:color w:val="000000"/>
                <w:szCs w:val="22"/>
              </w:rPr>
              <w:t>1</w:t>
            </w:r>
          </w:p>
        </w:tc>
        <w:tc>
          <w:tcPr>
            <w:tcW w:w="567" w:type="dxa"/>
            <w:shd w:val="clear" w:color="auto" w:fill="E5B8B7" w:themeFill="accent2" w:themeFillTint="66"/>
            <w:vAlign w:val="bottom"/>
          </w:tcPr>
          <w:p w14:paraId="611518E5" w14:textId="77777777" w:rsidR="00FC6127" w:rsidRPr="003016B3" w:rsidRDefault="00FC6127" w:rsidP="0008407A">
            <w:pPr>
              <w:keepNext/>
              <w:jc w:val="right"/>
              <w:rPr>
                <w:color w:val="000000"/>
                <w:szCs w:val="22"/>
              </w:rPr>
            </w:pPr>
            <w:r w:rsidRPr="003016B3">
              <w:rPr>
                <w:color w:val="000000"/>
                <w:szCs w:val="22"/>
              </w:rPr>
              <w:t>0.2</w:t>
            </w:r>
          </w:p>
        </w:tc>
        <w:tc>
          <w:tcPr>
            <w:tcW w:w="567" w:type="dxa"/>
            <w:shd w:val="clear" w:color="auto" w:fill="E5B8B7" w:themeFill="accent2" w:themeFillTint="66"/>
            <w:vAlign w:val="bottom"/>
          </w:tcPr>
          <w:p w14:paraId="0168E0F0" w14:textId="77777777" w:rsidR="00FC6127" w:rsidRPr="003016B3" w:rsidRDefault="00FC6127" w:rsidP="0008407A">
            <w:pPr>
              <w:keepNext/>
              <w:jc w:val="right"/>
              <w:rPr>
                <w:color w:val="000000"/>
                <w:szCs w:val="22"/>
              </w:rPr>
            </w:pPr>
            <w:r>
              <w:rPr>
                <w:color w:val="000000"/>
                <w:szCs w:val="22"/>
              </w:rPr>
              <w:t>-</w:t>
            </w:r>
          </w:p>
        </w:tc>
        <w:tc>
          <w:tcPr>
            <w:tcW w:w="567" w:type="dxa"/>
            <w:shd w:val="clear" w:color="auto" w:fill="E5B8B7" w:themeFill="accent2" w:themeFillTint="66"/>
            <w:vAlign w:val="bottom"/>
          </w:tcPr>
          <w:p w14:paraId="2F89FF33" w14:textId="77777777" w:rsidR="00FC6127" w:rsidRPr="003016B3" w:rsidRDefault="00FC6127" w:rsidP="0008407A">
            <w:pPr>
              <w:keepNext/>
              <w:jc w:val="right"/>
              <w:rPr>
                <w:color w:val="000000"/>
                <w:szCs w:val="22"/>
              </w:rPr>
            </w:pPr>
          </w:p>
        </w:tc>
      </w:tr>
      <w:tr w:rsidR="00FC6127" w:rsidRPr="00672B00" w14:paraId="78DE74C7" w14:textId="77777777" w:rsidTr="0008407A">
        <w:trPr>
          <w:jc w:val="center"/>
        </w:trPr>
        <w:tc>
          <w:tcPr>
            <w:tcW w:w="2269" w:type="dxa"/>
            <w:vAlign w:val="center"/>
          </w:tcPr>
          <w:p w14:paraId="71D73094" w14:textId="77777777" w:rsidR="00FC6127" w:rsidRPr="00672B00" w:rsidRDefault="00FC6127" w:rsidP="0008407A">
            <w:pPr>
              <w:keepNext/>
              <w:spacing w:before="20" w:after="20"/>
              <w:ind w:left="88"/>
              <w:rPr>
                <w:szCs w:val="20"/>
              </w:rPr>
            </w:pPr>
            <w:r w:rsidRPr="00672B00">
              <w:rPr>
                <w:szCs w:val="20"/>
              </w:rPr>
              <w:t>Non-problem gambler</w:t>
            </w:r>
          </w:p>
        </w:tc>
        <w:tc>
          <w:tcPr>
            <w:tcW w:w="709" w:type="dxa"/>
            <w:shd w:val="clear" w:color="auto" w:fill="D6E3BC" w:themeFill="accent3" w:themeFillTint="66"/>
            <w:vAlign w:val="bottom"/>
          </w:tcPr>
          <w:p w14:paraId="676F8E02" w14:textId="77777777" w:rsidR="00FC6127" w:rsidRPr="003016B3" w:rsidRDefault="00FC6127" w:rsidP="0008407A">
            <w:pPr>
              <w:keepNext/>
              <w:jc w:val="right"/>
              <w:rPr>
                <w:color w:val="000000"/>
                <w:szCs w:val="22"/>
              </w:rPr>
            </w:pPr>
            <w:r w:rsidRPr="003016B3">
              <w:rPr>
                <w:color w:val="000000"/>
                <w:szCs w:val="22"/>
              </w:rPr>
              <w:t>232</w:t>
            </w:r>
          </w:p>
        </w:tc>
        <w:tc>
          <w:tcPr>
            <w:tcW w:w="567" w:type="dxa"/>
            <w:shd w:val="clear" w:color="auto" w:fill="D6E3BC" w:themeFill="accent3" w:themeFillTint="66"/>
            <w:vAlign w:val="bottom"/>
          </w:tcPr>
          <w:p w14:paraId="3DA7C076" w14:textId="77777777" w:rsidR="00FC6127" w:rsidRPr="003016B3" w:rsidRDefault="00FC6127" w:rsidP="0008407A">
            <w:pPr>
              <w:keepNext/>
              <w:jc w:val="right"/>
              <w:rPr>
                <w:color w:val="000000"/>
                <w:szCs w:val="22"/>
              </w:rPr>
            </w:pPr>
            <w:r w:rsidRPr="003016B3">
              <w:rPr>
                <w:color w:val="000000"/>
                <w:szCs w:val="22"/>
              </w:rPr>
              <w:t>11.9</w:t>
            </w:r>
          </w:p>
        </w:tc>
        <w:tc>
          <w:tcPr>
            <w:tcW w:w="709" w:type="dxa"/>
            <w:shd w:val="clear" w:color="auto" w:fill="FFFF00"/>
            <w:vAlign w:val="bottom"/>
          </w:tcPr>
          <w:p w14:paraId="678F519F" w14:textId="77777777" w:rsidR="00FC6127" w:rsidRPr="003016B3" w:rsidRDefault="00FC6127" w:rsidP="0008407A">
            <w:pPr>
              <w:keepNext/>
              <w:jc w:val="right"/>
              <w:rPr>
                <w:color w:val="000000"/>
                <w:szCs w:val="22"/>
              </w:rPr>
            </w:pPr>
            <w:r w:rsidRPr="003016B3">
              <w:rPr>
                <w:color w:val="000000"/>
                <w:szCs w:val="22"/>
              </w:rPr>
              <w:t>1609</w:t>
            </w:r>
          </w:p>
        </w:tc>
        <w:tc>
          <w:tcPr>
            <w:tcW w:w="567" w:type="dxa"/>
            <w:shd w:val="clear" w:color="auto" w:fill="FFFF00"/>
            <w:vAlign w:val="bottom"/>
          </w:tcPr>
          <w:p w14:paraId="003B2A0A" w14:textId="77777777" w:rsidR="00FC6127" w:rsidRPr="003016B3" w:rsidRDefault="00FC6127" w:rsidP="0008407A">
            <w:pPr>
              <w:keepNext/>
              <w:jc w:val="right"/>
              <w:rPr>
                <w:color w:val="000000"/>
                <w:szCs w:val="22"/>
              </w:rPr>
            </w:pPr>
            <w:r w:rsidRPr="003016B3">
              <w:rPr>
                <w:color w:val="000000"/>
                <w:szCs w:val="22"/>
              </w:rPr>
              <w:t>82.8</w:t>
            </w:r>
          </w:p>
        </w:tc>
        <w:tc>
          <w:tcPr>
            <w:tcW w:w="567" w:type="dxa"/>
            <w:shd w:val="clear" w:color="auto" w:fill="E5B8B7" w:themeFill="accent2" w:themeFillTint="66"/>
            <w:vAlign w:val="bottom"/>
          </w:tcPr>
          <w:p w14:paraId="78C87CF9" w14:textId="77777777" w:rsidR="00FC6127" w:rsidRPr="003016B3" w:rsidRDefault="00FC6127" w:rsidP="0008407A">
            <w:pPr>
              <w:keepNext/>
              <w:jc w:val="right"/>
              <w:rPr>
                <w:color w:val="000000"/>
                <w:szCs w:val="22"/>
              </w:rPr>
            </w:pPr>
            <w:r w:rsidRPr="003016B3">
              <w:rPr>
                <w:color w:val="000000"/>
                <w:szCs w:val="22"/>
              </w:rPr>
              <w:t>85</w:t>
            </w:r>
          </w:p>
        </w:tc>
        <w:tc>
          <w:tcPr>
            <w:tcW w:w="567" w:type="dxa"/>
            <w:shd w:val="clear" w:color="auto" w:fill="E5B8B7" w:themeFill="accent2" w:themeFillTint="66"/>
            <w:vAlign w:val="bottom"/>
          </w:tcPr>
          <w:p w14:paraId="3E6F5744" w14:textId="77777777" w:rsidR="00FC6127" w:rsidRPr="003016B3" w:rsidRDefault="00FC6127" w:rsidP="0008407A">
            <w:pPr>
              <w:keepNext/>
              <w:jc w:val="right"/>
              <w:rPr>
                <w:color w:val="000000"/>
                <w:szCs w:val="22"/>
              </w:rPr>
            </w:pPr>
            <w:r w:rsidRPr="003016B3">
              <w:rPr>
                <w:color w:val="000000"/>
                <w:szCs w:val="22"/>
              </w:rPr>
              <w:t>4.4</w:t>
            </w:r>
          </w:p>
        </w:tc>
        <w:tc>
          <w:tcPr>
            <w:tcW w:w="567" w:type="dxa"/>
            <w:shd w:val="clear" w:color="auto" w:fill="E5B8B7" w:themeFill="accent2" w:themeFillTint="66"/>
            <w:vAlign w:val="bottom"/>
          </w:tcPr>
          <w:p w14:paraId="5073A8D7" w14:textId="77777777" w:rsidR="00FC6127" w:rsidRPr="003016B3" w:rsidRDefault="00FC6127" w:rsidP="0008407A">
            <w:pPr>
              <w:keepNext/>
              <w:jc w:val="right"/>
              <w:rPr>
                <w:color w:val="000000"/>
                <w:szCs w:val="22"/>
              </w:rPr>
            </w:pPr>
            <w:r w:rsidRPr="003016B3">
              <w:rPr>
                <w:color w:val="000000"/>
                <w:szCs w:val="22"/>
              </w:rPr>
              <w:t>16</w:t>
            </w:r>
          </w:p>
        </w:tc>
        <w:tc>
          <w:tcPr>
            <w:tcW w:w="567" w:type="dxa"/>
            <w:shd w:val="clear" w:color="auto" w:fill="E5B8B7" w:themeFill="accent2" w:themeFillTint="66"/>
            <w:vAlign w:val="bottom"/>
          </w:tcPr>
          <w:p w14:paraId="0021117B" w14:textId="77777777" w:rsidR="00FC6127" w:rsidRPr="003016B3" w:rsidRDefault="00FC6127" w:rsidP="0008407A">
            <w:pPr>
              <w:keepNext/>
              <w:jc w:val="right"/>
              <w:rPr>
                <w:color w:val="000000"/>
                <w:szCs w:val="22"/>
              </w:rPr>
            </w:pPr>
            <w:r w:rsidRPr="003016B3">
              <w:rPr>
                <w:color w:val="000000"/>
                <w:szCs w:val="22"/>
              </w:rPr>
              <w:t>0.8</w:t>
            </w:r>
          </w:p>
        </w:tc>
        <w:tc>
          <w:tcPr>
            <w:tcW w:w="567" w:type="dxa"/>
            <w:shd w:val="clear" w:color="auto" w:fill="E5B8B7" w:themeFill="accent2" w:themeFillTint="66"/>
            <w:vAlign w:val="bottom"/>
          </w:tcPr>
          <w:p w14:paraId="0FA85934" w14:textId="77777777" w:rsidR="00FC6127" w:rsidRPr="003016B3" w:rsidRDefault="00FC6127" w:rsidP="0008407A">
            <w:pPr>
              <w:keepNext/>
              <w:jc w:val="right"/>
              <w:rPr>
                <w:color w:val="000000"/>
                <w:szCs w:val="22"/>
              </w:rPr>
            </w:pPr>
            <w:r w:rsidRPr="003016B3">
              <w:rPr>
                <w:color w:val="000000"/>
                <w:szCs w:val="22"/>
              </w:rPr>
              <w:t>1</w:t>
            </w:r>
          </w:p>
        </w:tc>
        <w:tc>
          <w:tcPr>
            <w:tcW w:w="567" w:type="dxa"/>
            <w:shd w:val="clear" w:color="auto" w:fill="E5B8B7" w:themeFill="accent2" w:themeFillTint="66"/>
            <w:vAlign w:val="bottom"/>
          </w:tcPr>
          <w:p w14:paraId="4872D83D" w14:textId="77777777" w:rsidR="00FC6127" w:rsidRPr="003016B3" w:rsidRDefault="00FC6127" w:rsidP="0008407A">
            <w:pPr>
              <w:keepNext/>
              <w:jc w:val="right"/>
              <w:rPr>
                <w:color w:val="000000"/>
                <w:szCs w:val="22"/>
              </w:rPr>
            </w:pPr>
            <w:r w:rsidRPr="003016B3">
              <w:rPr>
                <w:color w:val="000000"/>
                <w:szCs w:val="22"/>
              </w:rPr>
              <w:t>0.0</w:t>
            </w:r>
          </w:p>
        </w:tc>
      </w:tr>
      <w:tr w:rsidR="00FC6127" w:rsidRPr="00672B00" w14:paraId="085243D3" w14:textId="77777777" w:rsidTr="0008407A">
        <w:trPr>
          <w:jc w:val="center"/>
        </w:trPr>
        <w:tc>
          <w:tcPr>
            <w:tcW w:w="2269" w:type="dxa"/>
            <w:vAlign w:val="center"/>
          </w:tcPr>
          <w:p w14:paraId="0932F9CC" w14:textId="77777777" w:rsidR="00FC6127" w:rsidRPr="00672B00" w:rsidRDefault="00FC6127" w:rsidP="0008407A">
            <w:pPr>
              <w:keepNext/>
              <w:spacing w:before="20" w:after="20"/>
              <w:ind w:left="88"/>
              <w:rPr>
                <w:szCs w:val="20"/>
              </w:rPr>
            </w:pPr>
            <w:r w:rsidRPr="00672B00">
              <w:rPr>
                <w:szCs w:val="20"/>
              </w:rPr>
              <w:t>Low-risk gambler</w:t>
            </w:r>
          </w:p>
        </w:tc>
        <w:tc>
          <w:tcPr>
            <w:tcW w:w="709" w:type="dxa"/>
            <w:shd w:val="clear" w:color="auto" w:fill="D6E3BC" w:themeFill="accent3" w:themeFillTint="66"/>
            <w:vAlign w:val="bottom"/>
          </w:tcPr>
          <w:p w14:paraId="03A5B232" w14:textId="77777777" w:rsidR="00FC6127" w:rsidRPr="003016B3" w:rsidRDefault="00FC6127" w:rsidP="0008407A">
            <w:pPr>
              <w:keepNext/>
              <w:jc w:val="right"/>
              <w:rPr>
                <w:color w:val="000000"/>
                <w:szCs w:val="22"/>
              </w:rPr>
            </w:pPr>
            <w:r w:rsidRPr="003016B3">
              <w:rPr>
                <w:color w:val="000000"/>
                <w:szCs w:val="22"/>
              </w:rPr>
              <w:t>9</w:t>
            </w:r>
          </w:p>
        </w:tc>
        <w:tc>
          <w:tcPr>
            <w:tcW w:w="567" w:type="dxa"/>
            <w:shd w:val="clear" w:color="auto" w:fill="D6E3BC" w:themeFill="accent3" w:themeFillTint="66"/>
            <w:vAlign w:val="bottom"/>
          </w:tcPr>
          <w:p w14:paraId="06B1ECA7" w14:textId="77777777" w:rsidR="00FC6127" w:rsidRPr="003016B3" w:rsidRDefault="00FC6127" w:rsidP="0008407A">
            <w:pPr>
              <w:keepNext/>
              <w:jc w:val="right"/>
              <w:rPr>
                <w:color w:val="000000"/>
                <w:szCs w:val="22"/>
              </w:rPr>
            </w:pPr>
            <w:r w:rsidRPr="003016B3">
              <w:rPr>
                <w:color w:val="000000"/>
                <w:szCs w:val="22"/>
              </w:rPr>
              <w:t>6.4</w:t>
            </w:r>
          </w:p>
        </w:tc>
        <w:tc>
          <w:tcPr>
            <w:tcW w:w="709" w:type="dxa"/>
            <w:shd w:val="clear" w:color="auto" w:fill="D6E3BC" w:themeFill="accent3" w:themeFillTint="66"/>
            <w:vAlign w:val="bottom"/>
          </w:tcPr>
          <w:p w14:paraId="72D076E4" w14:textId="77777777" w:rsidR="00FC6127" w:rsidRPr="003016B3" w:rsidRDefault="00FC6127" w:rsidP="0008407A">
            <w:pPr>
              <w:keepNext/>
              <w:jc w:val="right"/>
              <w:rPr>
                <w:color w:val="000000"/>
                <w:szCs w:val="22"/>
              </w:rPr>
            </w:pPr>
            <w:r w:rsidRPr="003016B3">
              <w:rPr>
                <w:color w:val="000000"/>
                <w:szCs w:val="22"/>
              </w:rPr>
              <w:t>83</w:t>
            </w:r>
          </w:p>
        </w:tc>
        <w:tc>
          <w:tcPr>
            <w:tcW w:w="567" w:type="dxa"/>
            <w:shd w:val="clear" w:color="auto" w:fill="D6E3BC" w:themeFill="accent3" w:themeFillTint="66"/>
            <w:vAlign w:val="bottom"/>
          </w:tcPr>
          <w:p w14:paraId="426DF9D2" w14:textId="77777777" w:rsidR="00FC6127" w:rsidRPr="003016B3" w:rsidRDefault="00FC6127" w:rsidP="0008407A">
            <w:pPr>
              <w:keepNext/>
              <w:jc w:val="right"/>
              <w:rPr>
                <w:color w:val="000000"/>
                <w:szCs w:val="22"/>
              </w:rPr>
            </w:pPr>
            <w:r w:rsidRPr="003016B3">
              <w:rPr>
                <w:color w:val="000000"/>
                <w:szCs w:val="22"/>
              </w:rPr>
              <w:t>61.1</w:t>
            </w:r>
          </w:p>
        </w:tc>
        <w:tc>
          <w:tcPr>
            <w:tcW w:w="567" w:type="dxa"/>
            <w:shd w:val="clear" w:color="auto" w:fill="FFFF00"/>
            <w:vAlign w:val="bottom"/>
          </w:tcPr>
          <w:p w14:paraId="1015C3D6" w14:textId="77777777" w:rsidR="00FC6127" w:rsidRPr="003016B3" w:rsidRDefault="00FC6127" w:rsidP="0008407A">
            <w:pPr>
              <w:keepNext/>
              <w:jc w:val="right"/>
              <w:rPr>
                <w:color w:val="000000"/>
                <w:szCs w:val="22"/>
              </w:rPr>
            </w:pPr>
            <w:r w:rsidRPr="003016B3">
              <w:rPr>
                <w:color w:val="000000"/>
                <w:szCs w:val="22"/>
              </w:rPr>
              <w:t>29</w:t>
            </w:r>
          </w:p>
        </w:tc>
        <w:tc>
          <w:tcPr>
            <w:tcW w:w="567" w:type="dxa"/>
            <w:shd w:val="clear" w:color="auto" w:fill="FFFF00"/>
            <w:vAlign w:val="bottom"/>
          </w:tcPr>
          <w:p w14:paraId="2E06945A" w14:textId="77777777" w:rsidR="00FC6127" w:rsidRPr="003016B3" w:rsidRDefault="00FC6127" w:rsidP="0008407A">
            <w:pPr>
              <w:keepNext/>
              <w:jc w:val="right"/>
              <w:rPr>
                <w:color w:val="000000"/>
                <w:szCs w:val="22"/>
              </w:rPr>
            </w:pPr>
            <w:r w:rsidRPr="003016B3">
              <w:rPr>
                <w:color w:val="000000"/>
                <w:szCs w:val="22"/>
              </w:rPr>
              <w:t>21.7</w:t>
            </w:r>
          </w:p>
        </w:tc>
        <w:tc>
          <w:tcPr>
            <w:tcW w:w="567" w:type="dxa"/>
            <w:shd w:val="clear" w:color="auto" w:fill="E5B8B7" w:themeFill="accent2" w:themeFillTint="66"/>
            <w:vAlign w:val="bottom"/>
          </w:tcPr>
          <w:p w14:paraId="4D760F98" w14:textId="77777777" w:rsidR="00FC6127" w:rsidRPr="003016B3" w:rsidRDefault="00FC6127" w:rsidP="0008407A">
            <w:pPr>
              <w:keepNext/>
              <w:jc w:val="right"/>
              <w:rPr>
                <w:color w:val="000000"/>
                <w:szCs w:val="22"/>
              </w:rPr>
            </w:pPr>
            <w:r w:rsidRPr="003016B3">
              <w:rPr>
                <w:color w:val="000000"/>
                <w:szCs w:val="22"/>
              </w:rPr>
              <w:t>15</w:t>
            </w:r>
          </w:p>
        </w:tc>
        <w:tc>
          <w:tcPr>
            <w:tcW w:w="567" w:type="dxa"/>
            <w:shd w:val="clear" w:color="auto" w:fill="E5B8B7" w:themeFill="accent2" w:themeFillTint="66"/>
            <w:vAlign w:val="bottom"/>
          </w:tcPr>
          <w:p w14:paraId="45411E53" w14:textId="77777777" w:rsidR="00FC6127" w:rsidRPr="003016B3" w:rsidRDefault="00FC6127" w:rsidP="0008407A">
            <w:pPr>
              <w:keepNext/>
              <w:jc w:val="right"/>
              <w:rPr>
                <w:color w:val="000000"/>
                <w:szCs w:val="22"/>
              </w:rPr>
            </w:pPr>
            <w:r w:rsidRPr="003016B3">
              <w:rPr>
                <w:color w:val="000000"/>
                <w:szCs w:val="22"/>
              </w:rPr>
              <w:t>10.8</w:t>
            </w:r>
          </w:p>
        </w:tc>
        <w:tc>
          <w:tcPr>
            <w:tcW w:w="567" w:type="dxa"/>
            <w:shd w:val="clear" w:color="auto" w:fill="E5B8B7" w:themeFill="accent2" w:themeFillTint="66"/>
            <w:vAlign w:val="bottom"/>
          </w:tcPr>
          <w:p w14:paraId="6E352367" w14:textId="77777777" w:rsidR="00FC6127" w:rsidRPr="003016B3" w:rsidRDefault="00FC6127" w:rsidP="0008407A">
            <w:pPr>
              <w:keepNext/>
              <w:jc w:val="right"/>
              <w:rPr>
                <w:color w:val="000000"/>
                <w:szCs w:val="22"/>
              </w:rPr>
            </w:pPr>
            <w:r>
              <w:rPr>
                <w:color w:val="000000"/>
                <w:szCs w:val="22"/>
              </w:rPr>
              <w:t>-</w:t>
            </w:r>
          </w:p>
        </w:tc>
        <w:tc>
          <w:tcPr>
            <w:tcW w:w="567" w:type="dxa"/>
            <w:shd w:val="clear" w:color="auto" w:fill="E5B8B7" w:themeFill="accent2" w:themeFillTint="66"/>
            <w:vAlign w:val="bottom"/>
          </w:tcPr>
          <w:p w14:paraId="079C0AAD" w14:textId="77777777" w:rsidR="00FC6127" w:rsidRPr="003016B3" w:rsidRDefault="00FC6127" w:rsidP="0008407A">
            <w:pPr>
              <w:keepNext/>
              <w:jc w:val="right"/>
              <w:rPr>
                <w:color w:val="000000"/>
                <w:szCs w:val="22"/>
              </w:rPr>
            </w:pPr>
          </w:p>
        </w:tc>
      </w:tr>
      <w:tr w:rsidR="00FC6127" w:rsidRPr="00672B00" w14:paraId="51989334" w14:textId="77777777" w:rsidTr="0008407A">
        <w:trPr>
          <w:jc w:val="center"/>
        </w:trPr>
        <w:tc>
          <w:tcPr>
            <w:tcW w:w="2269" w:type="dxa"/>
            <w:vAlign w:val="center"/>
          </w:tcPr>
          <w:p w14:paraId="5700B93D" w14:textId="77777777" w:rsidR="00FC6127" w:rsidRPr="00672B00" w:rsidRDefault="00FC6127" w:rsidP="0008407A">
            <w:pPr>
              <w:keepNext/>
              <w:spacing w:before="20" w:after="20"/>
              <w:ind w:left="88"/>
              <w:rPr>
                <w:szCs w:val="20"/>
              </w:rPr>
            </w:pPr>
            <w:r w:rsidRPr="00672B00">
              <w:rPr>
                <w:szCs w:val="20"/>
              </w:rPr>
              <w:t>Moderate-risk gambler</w:t>
            </w:r>
          </w:p>
        </w:tc>
        <w:tc>
          <w:tcPr>
            <w:tcW w:w="709" w:type="dxa"/>
            <w:shd w:val="clear" w:color="auto" w:fill="D6E3BC" w:themeFill="accent3" w:themeFillTint="66"/>
            <w:vAlign w:val="bottom"/>
          </w:tcPr>
          <w:p w14:paraId="51CF2CDB" w14:textId="77777777" w:rsidR="00FC6127" w:rsidRPr="003016B3" w:rsidRDefault="00FC6127" w:rsidP="0008407A">
            <w:pPr>
              <w:keepNext/>
              <w:jc w:val="right"/>
              <w:rPr>
                <w:color w:val="000000"/>
                <w:szCs w:val="22"/>
              </w:rPr>
            </w:pPr>
            <w:r w:rsidRPr="003016B3">
              <w:rPr>
                <w:color w:val="000000"/>
                <w:szCs w:val="22"/>
              </w:rPr>
              <w:t>2</w:t>
            </w:r>
          </w:p>
        </w:tc>
        <w:tc>
          <w:tcPr>
            <w:tcW w:w="567" w:type="dxa"/>
            <w:shd w:val="clear" w:color="auto" w:fill="D6E3BC" w:themeFill="accent3" w:themeFillTint="66"/>
            <w:vAlign w:val="bottom"/>
          </w:tcPr>
          <w:p w14:paraId="13F8A348" w14:textId="77777777" w:rsidR="00FC6127" w:rsidRPr="003016B3" w:rsidRDefault="00FC6127" w:rsidP="0008407A">
            <w:pPr>
              <w:keepNext/>
              <w:jc w:val="right"/>
              <w:rPr>
                <w:color w:val="000000"/>
                <w:szCs w:val="22"/>
              </w:rPr>
            </w:pPr>
            <w:r w:rsidRPr="003016B3">
              <w:rPr>
                <w:color w:val="000000"/>
                <w:szCs w:val="22"/>
              </w:rPr>
              <w:t>3.5</w:t>
            </w:r>
          </w:p>
        </w:tc>
        <w:tc>
          <w:tcPr>
            <w:tcW w:w="709" w:type="dxa"/>
            <w:shd w:val="clear" w:color="auto" w:fill="D6E3BC" w:themeFill="accent3" w:themeFillTint="66"/>
            <w:vAlign w:val="bottom"/>
          </w:tcPr>
          <w:p w14:paraId="449CACD7" w14:textId="77777777" w:rsidR="00FC6127" w:rsidRPr="003016B3" w:rsidRDefault="00FC6127" w:rsidP="0008407A">
            <w:pPr>
              <w:keepNext/>
              <w:jc w:val="right"/>
              <w:rPr>
                <w:color w:val="000000"/>
                <w:szCs w:val="22"/>
              </w:rPr>
            </w:pPr>
            <w:r w:rsidRPr="003016B3">
              <w:rPr>
                <w:color w:val="000000"/>
                <w:szCs w:val="22"/>
              </w:rPr>
              <w:t>17</w:t>
            </w:r>
          </w:p>
        </w:tc>
        <w:tc>
          <w:tcPr>
            <w:tcW w:w="567" w:type="dxa"/>
            <w:shd w:val="clear" w:color="auto" w:fill="D6E3BC" w:themeFill="accent3" w:themeFillTint="66"/>
            <w:vAlign w:val="bottom"/>
          </w:tcPr>
          <w:p w14:paraId="499F89F9" w14:textId="77777777" w:rsidR="00FC6127" w:rsidRPr="003016B3" w:rsidRDefault="00FC6127" w:rsidP="0008407A">
            <w:pPr>
              <w:keepNext/>
              <w:jc w:val="right"/>
              <w:rPr>
                <w:color w:val="000000"/>
                <w:szCs w:val="22"/>
              </w:rPr>
            </w:pPr>
            <w:r w:rsidRPr="003016B3">
              <w:rPr>
                <w:color w:val="000000"/>
                <w:szCs w:val="22"/>
              </w:rPr>
              <w:t>38.6</w:t>
            </w:r>
          </w:p>
        </w:tc>
        <w:tc>
          <w:tcPr>
            <w:tcW w:w="567" w:type="dxa"/>
            <w:shd w:val="clear" w:color="auto" w:fill="D6E3BC" w:themeFill="accent3" w:themeFillTint="66"/>
            <w:vAlign w:val="bottom"/>
          </w:tcPr>
          <w:p w14:paraId="087CF572" w14:textId="77777777" w:rsidR="00FC6127" w:rsidRPr="003016B3" w:rsidRDefault="00FC6127" w:rsidP="0008407A">
            <w:pPr>
              <w:keepNext/>
              <w:jc w:val="right"/>
              <w:rPr>
                <w:color w:val="000000"/>
                <w:szCs w:val="22"/>
              </w:rPr>
            </w:pPr>
            <w:r w:rsidRPr="003016B3">
              <w:rPr>
                <w:color w:val="000000"/>
                <w:szCs w:val="22"/>
              </w:rPr>
              <w:t>7</w:t>
            </w:r>
          </w:p>
        </w:tc>
        <w:tc>
          <w:tcPr>
            <w:tcW w:w="567" w:type="dxa"/>
            <w:shd w:val="clear" w:color="auto" w:fill="D6E3BC" w:themeFill="accent3" w:themeFillTint="66"/>
            <w:vAlign w:val="bottom"/>
          </w:tcPr>
          <w:p w14:paraId="3CE0BDAD" w14:textId="77777777" w:rsidR="00FC6127" w:rsidRPr="003016B3" w:rsidRDefault="00FC6127" w:rsidP="0008407A">
            <w:pPr>
              <w:keepNext/>
              <w:jc w:val="right"/>
              <w:rPr>
                <w:color w:val="000000"/>
                <w:szCs w:val="22"/>
              </w:rPr>
            </w:pPr>
            <w:r w:rsidRPr="003016B3">
              <w:rPr>
                <w:color w:val="000000"/>
                <w:szCs w:val="22"/>
              </w:rPr>
              <w:t>15.4</w:t>
            </w:r>
          </w:p>
        </w:tc>
        <w:tc>
          <w:tcPr>
            <w:tcW w:w="567" w:type="dxa"/>
            <w:shd w:val="clear" w:color="auto" w:fill="FFFF00"/>
            <w:vAlign w:val="bottom"/>
          </w:tcPr>
          <w:p w14:paraId="14D97695" w14:textId="77777777" w:rsidR="00FC6127" w:rsidRPr="003016B3" w:rsidRDefault="00FC6127" w:rsidP="0008407A">
            <w:pPr>
              <w:keepNext/>
              <w:jc w:val="right"/>
              <w:rPr>
                <w:color w:val="000000"/>
                <w:szCs w:val="22"/>
              </w:rPr>
            </w:pPr>
            <w:r w:rsidRPr="003016B3">
              <w:rPr>
                <w:color w:val="000000"/>
                <w:szCs w:val="22"/>
              </w:rPr>
              <w:t>17</w:t>
            </w:r>
          </w:p>
        </w:tc>
        <w:tc>
          <w:tcPr>
            <w:tcW w:w="567" w:type="dxa"/>
            <w:shd w:val="clear" w:color="auto" w:fill="FFFF00"/>
            <w:vAlign w:val="bottom"/>
          </w:tcPr>
          <w:p w14:paraId="75A6F8B5" w14:textId="77777777" w:rsidR="00FC6127" w:rsidRPr="003016B3" w:rsidRDefault="00FC6127" w:rsidP="0008407A">
            <w:pPr>
              <w:keepNext/>
              <w:jc w:val="right"/>
              <w:rPr>
                <w:color w:val="000000"/>
                <w:szCs w:val="22"/>
              </w:rPr>
            </w:pPr>
            <w:r w:rsidRPr="003016B3">
              <w:rPr>
                <w:color w:val="000000"/>
                <w:szCs w:val="22"/>
              </w:rPr>
              <w:t>37.6</w:t>
            </w:r>
          </w:p>
        </w:tc>
        <w:tc>
          <w:tcPr>
            <w:tcW w:w="567" w:type="dxa"/>
            <w:shd w:val="clear" w:color="auto" w:fill="E5B8B7" w:themeFill="accent2" w:themeFillTint="66"/>
            <w:vAlign w:val="bottom"/>
          </w:tcPr>
          <w:p w14:paraId="21A03C01" w14:textId="77777777" w:rsidR="00FC6127" w:rsidRPr="003016B3" w:rsidRDefault="00FC6127" w:rsidP="0008407A">
            <w:pPr>
              <w:keepNext/>
              <w:jc w:val="right"/>
              <w:rPr>
                <w:color w:val="000000"/>
                <w:szCs w:val="22"/>
              </w:rPr>
            </w:pPr>
            <w:r w:rsidRPr="003016B3">
              <w:rPr>
                <w:color w:val="000000"/>
                <w:szCs w:val="22"/>
              </w:rPr>
              <w:t>2</w:t>
            </w:r>
          </w:p>
        </w:tc>
        <w:tc>
          <w:tcPr>
            <w:tcW w:w="567" w:type="dxa"/>
            <w:shd w:val="clear" w:color="auto" w:fill="E5B8B7" w:themeFill="accent2" w:themeFillTint="66"/>
            <w:vAlign w:val="bottom"/>
          </w:tcPr>
          <w:p w14:paraId="1B2ABCC5" w14:textId="77777777" w:rsidR="00FC6127" w:rsidRPr="003016B3" w:rsidRDefault="00FC6127" w:rsidP="0008407A">
            <w:pPr>
              <w:keepNext/>
              <w:jc w:val="right"/>
              <w:rPr>
                <w:color w:val="000000"/>
                <w:szCs w:val="22"/>
              </w:rPr>
            </w:pPr>
            <w:r w:rsidRPr="003016B3">
              <w:rPr>
                <w:color w:val="000000"/>
                <w:szCs w:val="22"/>
              </w:rPr>
              <w:t>5.0</w:t>
            </w:r>
          </w:p>
        </w:tc>
      </w:tr>
      <w:tr w:rsidR="00FC6127" w:rsidRPr="00672B00" w14:paraId="1070EA9A" w14:textId="77777777" w:rsidTr="0008407A">
        <w:trPr>
          <w:jc w:val="center"/>
        </w:trPr>
        <w:tc>
          <w:tcPr>
            <w:tcW w:w="2269" w:type="dxa"/>
            <w:tcBorders>
              <w:bottom w:val="single" w:sz="4" w:space="0" w:color="auto"/>
            </w:tcBorders>
            <w:vAlign w:val="center"/>
          </w:tcPr>
          <w:p w14:paraId="65541039" w14:textId="77777777" w:rsidR="00FC6127" w:rsidRPr="00672B00" w:rsidRDefault="00FC6127" w:rsidP="0008407A">
            <w:pPr>
              <w:keepNext/>
              <w:spacing w:before="20" w:after="20"/>
              <w:ind w:left="88"/>
              <w:rPr>
                <w:szCs w:val="20"/>
              </w:rPr>
            </w:pPr>
            <w:r w:rsidRPr="00672B00">
              <w:rPr>
                <w:szCs w:val="20"/>
              </w:rPr>
              <w:t>Problem gambler</w:t>
            </w:r>
          </w:p>
        </w:tc>
        <w:tc>
          <w:tcPr>
            <w:tcW w:w="709" w:type="dxa"/>
            <w:tcBorders>
              <w:bottom w:val="single" w:sz="4" w:space="0" w:color="auto"/>
            </w:tcBorders>
            <w:shd w:val="clear" w:color="auto" w:fill="D6E3BC" w:themeFill="accent3" w:themeFillTint="66"/>
            <w:vAlign w:val="bottom"/>
          </w:tcPr>
          <w:p w14:paraId="64FF4ED8" w14:textId="77777777" w:rsidR="00FC6127" w:rsidRPr="003016B3" w:rsidRDefault="00FC6127" w:rsidP="0008407A">
            <w:pPr>
              <w:keepNext/>
              <w:jc w:val="right"/>
              <w:rPr>
                <w:color w:val="000000"/>
                <w:szCs w:val="22"/>
              </w:rPr>
            </w:pPr>
            <w:r w:rsidRPr="003016B3">
              <w:rPr>
                <w:color w:val="000000"/>
                <w:szCs w:val="22"/>
              </w:rPr>
              <w:t>0</w:t>
            </w:r>
          </w:p>
        </w:tc>
        <w:tc>
          <w:tcPr>
            <w:tcW w:w="567" w:type="dxa"/>
            <w:tcBorders>
              <w:bottom w:val="single" w:sz="4" w:space="0" w:color="auto"/>
            </w:tcBorders>
            <w:shd w:val="clear" w:color="auto" w:fill="D6E3BC" w:themeFill="accent3" w:themeFillTint="66"/>
            <w:vAlign w:val="bottom"/>
          </w:tcPr>
          <w:p w14:paraId="3180A324" w14:textId="77777777" w:rsidR="00FC6127" w:rsidRPr="003016B3" w:rsidRDefault="00FC6127" w:rsidP="0008407A">
            <w:pPr>
              <w:keepNext/>
              <w:jc w:val="right"/>
              <w:rPr>
                <w:color w:val="000000"/>
                <w:szCs w:val="22"/>
              </w:rPr>
            </w:pPr>
            <w:r w:rsidRPr="003016B3">
              <w:rPr>
                <w:color w:val="000000"/>
                <w:szCs w:val="22"/>
              </w:rPr>
              <w:t>1.8</w:t>
            </w:r>
          </w:p>
        </w:tc>
        <w:tc>
          <w:tcPr>
            <w:tcW w:w="709" w:type="dxa"/>
            <w:tcBorders>
              <w:bottom w:val="single" w:sz="4" w:space="0" w:color="auto"/>
            </w:tcBorders>
            <w:shd w:val="clear" w:color="auto" w:fill="D6E3BC" w:themeFill="accent3" w:themeFillTint="66"/>
            <w:vAlign w:val="bottom"/>
          </w:tcPr>
          <w:p w14:paraId="2EFF5A6B" w14:textId="77777777" w:rsidR="00FC6127" w:rsidRPr="003016B3" w:rsidRDefault="00FC6127" w:rsidP="0008407A">
            <w:pPr>
              <w:keepNext/>
              <w:jc w:val="right"/>
              <w:rPr>
                <w:color w:val="000000"/>
                <w:szCs w:val="22"/>
              </w:rPr>
            </w:pPr>
            <w:r w:rsidRPr="003016B3">
              <w:rPr>
                <w:color w:val="000000"/>
                <w:szCs w:val="22"/>
              </w:rPr>
              <w:t>1</w:t>
            </w:r>
          </w:p>
        </w:tc>
        <w:tc>
          <w:tcPr>
            <w:tcW w:w="567" w:type="dxa"/>
            <w:tcBorders>
              <w:bottom w:val="single" w:sz="4" w:space="0" w:color="auto"/>
            </w:tcBorders>
            <w:shd w:val="clear" w:color="auto" w:fill="D6E3BC" w:themeFill="accent3" w:themeFillTint="66"/>
            <w:vAlign w:val="bottom"/>
          </w:tcPr>
          <w:p w14:paraId="153C9982" w14:textId="77777777" w:rsidR="00FC6127" w:rsidRPr="003016B3" w:rsidRDefault="00FC6127" w:rsidP="0008407A">
            <w:pPr>
              <w:keepNext/>
              <w:jc w:val="right"/>
              <w:rPr>
                <w:color w:val="000000"/>
                <w:szCs w:val="22"/>
              </w:rPr>
            </w:pPr>
            <w:r w:rsidRPr="003016B3">
              <w:rPr>
                <w:color w:val="000000"/>
                <w:szCs w:val="22"/>
              </w:rPr>
              <w:t>7.5</w:t>
            </w:r>
          </w:p>
        </w:tc>
        <w:tc>
          <w:tcPr>
            <w:tcW w:w="567" w:type="dxa"/>
            <w:tcBorders>
              <w:bottom w:val="single" w:sz="4" w:space="0" w:color="auto"/>
            </w:tcBorders>
            <w:shd w:val="clear" w:color="auto" w:fill="D6E3BC" w:themeFill="accent3" w:themeFillTint="66"/>
            <w:vAlign w:val="bottom"/>
          </w:tcPr>
          <w:p w14:paraId="50D9D383" w14:textId="77777777" w:rsidR="00FC6127" w:rsidRPr="003016B3" w:rsidRDefault="00FC6127" w:rsidP="0008407A">
            <w:pPr>
              <w:keepNext/>
              <w:jc w:val="right"/>
              <w:rPr>
                <w:color w:val="000000"/>
                <w:szCs w:val="22"/>
              </w:rPr>
            </w:pPr>
            <w:r w:rsidRPr="003016B3">
              <w:rPr>
                <w:color w:val="000000"/>
                <w:szCs w:val="22"/>
              </w:rPr>
              <w:t>1</w:t>
            </w:r>
          </w:p>
        </w:tc>
        <w:tc>
          <w:tcPr>
            <w:tcW w:w="567" w:type="dxa"/>
            <w:tcBorders>
              <w:bottom w:val="single" w:sz="4" w:space="0" w:color="auto"/>
            </w:tcBorders>
            <w:shd w:val="clear" w:color="auto" w:fill="D6E3BC" w:themeFill="accent3" w:themeFillTint="66"/>
            <w:vAlign w:val="bottom"/>
          </w:tcPr>
          <w:p w14:paraId="4F9426C6" w14:textId="77777777" w:rsidR="00FC6127" w:rsidRPr="003016B3" w:rsidRDefault="00FC6127" w:rsidP="0008407A">
            <w:pPr>
              <w:keepNext/>
              <w:jc w:val="right"/>
              <w:rPr>
                <w:color w:val="000000"/>
                <w:szCs w:val="22"/>
              </w:rPr>
            </w:pPr>
            <w:r w:rsidRPr="003016B3">
              <w:rPr>
                <w:color w:val="000000"/>
                <w:szCs w:val="22"/>
              </w:rPr>
              <w:t>13.1</w:t>
            </w:r>
          </w:p>
        </w:tc>
        <w:tc>
          <w:tcPr>
            <w:tcW w:w="567" w:type="dxa"/>
            <w:tcBorders>
              <w:bottom w:val="single" w:sz="4" w:space="0" w:color="auto"/>
            </w:tcBorders>
            <w:shd w:val="clear" w:color="auto" w:fill="D6E3BC" w:themeFill="accent3" w:themeFillTint="66"/>
            <w:vAlign w:val="bottom"/>
          </w:tcPr>
          <w:p w14:paraId="01A06023" w14:textId="77777777" w:rsidR="00FC6127" w:rsidRPr="003016B3" w:rsidRDefault="00FC6127" w:rsidP="0008407A">
            <w:pPr>
              <w:keepNext/>
              <w:jc w:val="right"/>
              <w:rPr>
                <w:color w:val="000000"/>
                <w:szCs w:val="22"/>
              </w:rPr>
            </w:pPr>
            <w:r w:rsidRPr="003016B3">
              <w:rPr>
                <w:color w:val="000000"/>
                <w:szCs w:val="22"/>
              </w:rPr>
              <w:t>3</w:t>
            </w:r>
          </w:p>
        </w:tc>
        <w:tc>
          <w:tcPr>
            <w:tcW w:w="567" w:type="dxa"/>
            <w:tcBorders>
              <w:bottom w:val="single" w:sz="4" w:space="0" w:color="auto"/>
            </w:tcBorders>
            <w:shd w:val="clear" w:color="auto" w:fill="D6E3BC" w:themeFill="accent3" w:themeFillTint="66"/>
            <w:vAlign w:val="bottom"/>
          </w:tcPr>
          <w:p w14:paraId="0094C8E7" w14:textId="77777777" w:rsidR="00FC6127" w:rsidRPr="003016B3" w:rsidRDefault="00FC6127" w:rsidP="0008407A">
            <w:pPr>
              <w:keepNext/>
              <w:jc w:val="right"/>
              <w:rPr>
                <w:color w:val="000000"/>
                <w:szCs w:val="22"/>
              </w:rPr>
            </w:pPr>
            <w:r w:rsidRPr="003016B3">
              <w:rPr>
                <w:color w:val="000000"/>
                <w:szCs w:val="22"/>
              </w:rPr>
              <w:t>33.8</w:t>
            </w:r>
          </w:p>
        </w:tc>
        <w:tc>
          <w:tcPr>
            <w:tcW w:w="567" w:type="dxa"/>
            <w:tcBorders>
              <w:bottom w:val="single" w:sz="4" w:space="0" w:color="auto"/>
            </w:tcBorders>
            <w:shd w:val="clear" w:color="auto" w:fill="FFFF00"/>
            <w:vAlign w:val="bottom"/>
          </w:tcPr>
          <w:p w14:paraId="66EC0382" w14:textId="77777777" w:rsidR="00FC6127" w:rsidRPr="003016B3" w:rsidRDefault="00FC6127" w:rsidP="0008407A">
            <w:pPr>
              <w:keepNext/>
              <w:jc w:val="right"/>
              <w:rPr>
                <w:color w:val="000000"/>
                <w:szCs w:val="22"/>
              </w:rPr>
            </w:pPr>
            <w:r w:rsidRPr="003016B3">
              <w:rPr>
                <w:color w:val="000000"/>
                <w:szCs w:val="22"/>
              </w:rPr>
              <w:t>4</w:t>
            </w:r>
          </w:p>
        </w:tc>
        <w:tc>
          <w:tcPr>
            <w:tcW w:w="567" w:type="dxa"/>
            <w:tcBorders>
              <w:bottom w:val="single" w:sz="4" w:space="0" w:color="auto"/>
            </w:tcBorders>
            <w:shd w:val="clear" w:color="auto" w:fill="FFFF00"/>
            <w:vAlign w:val="bottom"/>
          </w:tcPr>
          <w:p w14:paraId="074F8368" w14:textId="77777777" w:rsidR="00FC6127" w:rsidRPr="003016B3" w:rsidRDefault="00FC6127" w:rsidP="0008407A">
            <w:pPr>
              <w:keepNext/>
              <w:jc w:val="right"/>
              <w:rPr>
                <w:color w:val="000000"/>
                <w:szCs w:val="22"/>
              </w:rPr>
            </w:pPr>
            <w:r w:rsidRPr="003016B3">
              <w:rPr>
                <w:color w:val="000000"/>
                <w:szCs w:val="22"/>
              </w:rPr>
              <w:t>43.9</w:t>
            </w:r>
          </w:p>
        </w:tc>
      </w:tr>
    </w:tbl>
    <w:p w14:paraId="56E4C3CD" w14:textId="77777777" w:rsidR="00FC6127" w:rsidRDefault="00FC6127" w:rsidP="00FC6127">
      <w:pPr>
        <w:keepNext/>
        <w:rPr>
          <w:sz w:val="20"/>
        </w:rPr>
      </w:pPr>
      <w:r w:rsidRPr="00672B00">
        <w:rPr>
          <w:sz w:val="20"/>
        </w:rPr>
        <w:t>Data weighted for 2013 Census data and attrition</w:t>
      </w:r>
    </w:p>
    <w:p w14:paraId="21386F9C" w14:textId="77777777" w:rsidR="00FC6127" w:rsidRPr="00672B00" w:rsidRDefault="00FC6127" w:rsidP="00FC6127">
      <w:pPr>
        <w:keepNext/>
        <w:rPr>
          <w:sz w:val="20"/>
        </w:rPr>
      </w:pPr>
      <w:r>
        <w:rPr>
          <w:sz w:val="20"/>
        </w:rPr>
        <w:t>Total percentages do not always add up to 100% due to rounding</w:t>
      </w:r>
    </w:p>
    <w:p w14:paraId="0D1E68E0" w14:textId="77777777" w:rsidR="00FC6127" w:rsidRDefault="00FC6127" w:rsidP="00FC6127">
      <w:pPr>
        <w:keepNext/>
      </w:pPr>
    </w:p>
    <w:p w14:paraId="62AA0B80" w14:textId="77777777" w:rsidR="00FC6127" w:rsidRPr="00672B00" w:rsidRDefault="00FC6127" w:rsidP="00FC6127">
      <w:pPr>
        <w:keepNext/>
        <w:rPr>
          <w:sz w:val="20"/>
        </w:rPr>
      </w:pPr>
      <w:r w:rsidRPr="00672B00">
        <w:rPr>
          <w:sz w:val="20"/>
        </w:rPr>
        <w:t xml:space="preserve">Table key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tblGrid>
      <w:tr w:rsidR="00FC6127" w:rsidRPr="00672B00" w14:paraId="31DA2836" w14:textId="77777777" w:rsidTr="0008407A">
        <w:tc>
          <w:tcPr>
            <w:tcW w:w="1101" w:type="dxa"/>
            <w:shd w:val="clear" w:color="auto" w:fill="FFFF00"/>
          </w:tcPr>
          <w:p w14:paraId="30881B32" w14:textId="77777777" w:rsidR="00FC6127" w:rsidRPr="00672B00" w:rsidRDefault="00FC6127" w:rsidP="0008407A">
            <w:pPr>
              <w:keepNext/>
            </w:pPr>
          </w:p>
        </w:tc>
        <w:tc>
          <w:tcPr>
            <w:tcW w:w="2835" w:type="dxa"/>
          </w:tcPr>
          <w:p w14:paraId="70882401" w14:textId="77777777" w:rsidR="00FC6127" w:rsidRPr="00672B00" w:rsidRDefault="00FC6127" w:rsidP="0008407A">
            <w:pPr>
              <w:keepNext/>
            </w:pPr>
            <w:r w:rsidRPr="00672B00">
              <w:t>No change</w:t>
            </w:r>
          </w:p>
        </w:tc>
      </w:tr>
      <w:tr w:rsidR="00FC6127" w:rsidRPr="00672B00" w14:paraId="1338BA8A" w14:textId="77777777" w:rsidTr="0008407A">
        <w:tc>
          <w:tcPr>
            <w:tcW w:w="1101" w:type="dxa"/>
            <w:shd w:val="clear" w:color="auto" w:fill="E5B8B7" w:themeFill="accent2" w:themeFillTint="66"/>
          </w:tcPr>
          <w:p w14:paraId="19455E2F" w14:textId="77777777" w:rsidR="00FC6127" w:rsidRPr="00672B00" w:rsidRDefault="00FC6127" w:rsidP="0008407A">
            <w:pPr>
              <w:keepNext/>
            </w:pPr>
          </w:p>
        </w:tc>
        <w:tc>
          <w:tcPr>
            <w:tcW w:w="2835" w:type="dxa"/>
          </w:tcPr>
          <w:p w14:paraId="153AFE41" w14:textId="77777777" w:rsidR="00FC6127" w:rsidRPr="00672B00" w:rsidRDefault="00FC6127" w:rsidP="0008407A">
            <w:pPr>
              <w:keepNext/>
            </w:pPr>
            <w:r w:rsidRPr="00672B00">
              <w:t>Transition to a higher risk level</w:t>
            </w:r>
          </w:p>
        </w:tc>
      </w:tr>
      <w:tr w:rsidR="00FC6127" w:rsidRPr="00672B00" w14:paraId="18FE3062" w14:textId="77777777" w:rsidTr="0008407A">
        <w:tc>
          <w:tcPr>
            <w:tcW w:w="1101" w:type="dxa"/>
            <w:shd w:val="clear" w:color="auto" w:fill="D6E3BC" w:themeFill="accent3" w:themeFillTint="66"/>
          </w:tcPr>
          <w:p w14:paraId="0258F915" w14:textId="77777777" w:rsidR="00FC6127" w:rsidRPr="00672B00" w:rsidRDefault="00FC6127" w:rsidP="0008407A">
            <w:pPr>
              <w:keepNext/>
            </w:pPr>
          </w:p>
        </w:tc>
        <w:tc>
          <w:tcPr>
            <w:tcW w:w="2835" w:type="dxa"/>
          </w:tcPr>
          <w:p w14:paraId="2A584FE8" w14:textId="77777777" w:rsidR="00FC6127" w:rsidRPr="00672B00" w:rsidRDefault="00FC6127" w:rsidP="0008407A">
            <w:pPr>
              <w:keepNext/>
            </w:pPr>
            <w:r w:rsidRPr="00672B00">
              <w:t>Transition to a lower risk level</w:t>
            </w:r>
          </w:p>
        </w:tc>
      </w:tr>
    </w:tbl>
    <w:p w14:paraId="6A92D373" w14:textId="77777777" w:rsidR="00FC6127" w:rsidRDefault="00FC6127" w:rsidP="00FC6127">
      <w:pPr>
        <w:pStyle w:val="RepNormal"/>
      </w:pPr>
    </w:p>
    <w:p w14:paraId="17545583" w14:textId="77777777" w:rsidR="001F5D1A" w:rsidRDefault="001F5D1A" w:rsidP="000D1CF7">
      <w:pPr>
        <w:pStyle w:val="RepNormal"/>
      </w:pPr>
    </w:p>
    <w:p w14:paraId="196134DF" w14:textId="77777777" w:rsidR="00CB53B9" w:rsidRDefault="00CB53B9" w:rsidP="005B6AFA">
      <w:pPr>
        <w:pStyle w:val="RepNormal"/>
        <w:keepNext/>
      </w:pPr>
      <w:r>
        <w:rPr>
          <w:b/>
          <w:i/>
        </w:rPr>
        <w:t>Stability</w:t>
      </w:r>
    </w:p>
    <w:p w14:paraId="4135FDEB" w14:textId="77777777" w:rsidR="00CB53B9" w:rsidRDefault="00CB53B9" w:rsidP="005B6AFA">
      <w:pPr>
        <w:pStyle w:val="RepNormal"/>
        <w:keepNext/>
      </w:pPr>
    </w:p>
    <w:p w14:paraId="4F5AEEF8" w14:textId="77777777" w:rsidR="00CB53B9" w:rsidRDefault="009F029F" w:rsidP="005B6AFA">
      <w:pPr>
        <w:pStyle w:val="RepNormal"/>
        <w:keepNext/>
      </w:pPr>
      <w:r>
        <w:t>G</w:t>
      </w:r>
      <w:r w:rsidR="00CB53B9">
        <w:t xml:space="preserve">roups where there were no changes across the waves are depicted in yellow in </w:t>
      </w:r>
      <w:r w:rsidR="00CB53B9">
        <w:fldChar w:fldCharType="begin"/>
      </w:r>
      <w:r w:rsidR="00CB53B9">
        <w:instrText xml:space="preserve"> REF _Ref404250377 \h </w:instrText>
      </w:r>
      <w:r w:rsidR="00CB53B9">
        <w:fldChar w:fldCharType="separate"/>
      </w:r>
      <w:r w:rsidR="00D5752E">
        <w:t xml:space="preserve">Table </w:t>
      </w:r>
      <w:r w:rsidR="00D5752E">
        <w:rPr>
          <w:noProof/>
        </w:rPr>
        <w:t>12</w:t>
      </w:r>
      <w:r w:rsidR="00CB53B9">
        <w:fldChar w:fldCharType="end"/>
      </w:r>
      <w:r w:rsidR="00CB53B9">
        <w:t>.</w:t>
      </w:r>
    </w:p>
    <w:p w14:paraId="6E8E8EAF" w14:textId="77777777" w:rsidR="00CB53B9" w:rsidRDefault="00CB53B9" w:rsidP="005B6AFA">
      <w:pPr>
        <w:pStyle w:val="RepNormal"/>
        <w:keepNext/>
      </w:pPr>
    </w:p>
    <w:p w14:paraId="6E04D3AC" w14:textId="69127300" w:rsidR="00CB53B9" w:rsidRDefault="00CB53B9" w:rsidP="005B6AFA">
      <w:pPr>
        <w:pStyle w:val="RepNormal"/>
        <w:keepNext/>
      </w:pPr>
      <w:r>
        <w:t xml:space="preserve">The most stable groups across the waves were non-gamblers and non-problem gamblers with a majority remaining in those categories </w:t>
      </w:r>
      <w:r w:rsidR="001F5D1A">
        <w:t>in</w:t>
      </w:r>
      <w:r>
        <w:t xml:space="preserve"> all waves.  About two-thirds of non-gamblers stayed </w:t>
      </w:r>
      <w:r w:rsidRPr="0038107A">
        <w:t xml:space="preserve">as non-gamblers and about four-fifths </w:t>
      </w:r>
      <w:r w:rsidR="002C702E" w:rsidRPr="0038107A">
        <w:t xml:space="preserve">of non-problem gamblers </w:t>
      </w:r>
      <w:r w:rsidRPr="0038107A">
        <w:t>remained as non-problem</w:t>
      </w:r>
      <w:r>
        <w:t xml:space="preserve"> gamblers.</w:t>
      </w:r>
    </w:p>
    <w:p w14:paraId="4A395051" w14:textId="77777777" w:rsidR="00CB53B9" w:rsidRDefault="00CB53B9" w:rsidP="00CB53B9">
      <w:pPr>
        <w:pStyle w:val="RepNormal"/>
      </w:pPr>
    </w:p>
    <w:p w14:paraId="13CAFD62" w14:textId="77777777" w:rsidR="00CB53B9" w:rsidRDefault="00CB53B9" w:rsidP="00CB53B9">
      <w:pPr>
        <w:pStyle w:val="RepNormal"/>
      </w:pPr>
      <w:r>
        <w:t xml:space="preserve">Problem gamblers were the next most stable group from Wave 1 to Wave 2, and from Wave 3 to Wave 4 with 44% staying in that category.  Although the percentage appeared lower from Wave 2 to Wave 3 (27%), </w:t>
      </w:r>
      <w:r w:rsidR="00B413A5">
        <w:t xml:space="preserve">this is likely to be an artefact </w:t>
      </w:r>
      <w:r w:rsidR="00B44AC7">
        <w:t>of small sample size as the 95% </w:t>
      </w:r>
      <w:r w:rsidR="00B413A5">
        <w:t>confidence internals overlapped those from the other waves.</w:t>
      </w:r>
    </w:p>
    <w:p w14:paraId="6D6756CA" w14:textId="77777777" w:rsidR="0041490D" w:rsidRDefault="0041490D" w:rsidP="00CB53B9">
      <w:pPr>
        <w:pStyle w:val="RepNormal"/>
      </w:pPr>
    </w:p>
    <w:p w14:paraId="30797A72" w14:textId="77777777" w:rsidR="00CB53B9" w:rsidRDefault="00B413A5" w:rsidP="00CB53B9">
      <w:pPr>
        <w:pStyle w:val="RepNormal"/>
      </w:pPr>
      <w:r>
        <w:t>About</w:t>
      </w:r>
      <w:r w:rsidR="00CB53B9">
        <w:t xml:space="preserve"> one-quarter </w:t>
      </w:r>
      <w:r>
        <w:t xml:space="preserve">to one-third </w:t>
      </w:r>
      <w:r w:rsidR="00CB53B9">
        <w:t xml:space="preserve">of low-risk and moderate-risk gamblers remained in those categories </w:t>
      </w:r>
      <w:r>
        <w:t>across the waves</w:t>
      </w:r>
      <w:r w:rsidR="00CB53B9">
        <w:t>.</w:t>
      </w:r>
    </w:p>
    <w:p w14:paraId="3F5B3304" w14:textId="77777777" w:rsidR="00B413A5" w:rsidRDefault="00B413A5" w:rsidP="00CB53B9">
      <w:pPr>
        <w:pStyle w:val="RepNormal"/>
      </w:pPr>
    </w:p>
    <w:p w14:paraId="28C104DC" w14:textId="77777777" w:rsidR="00B413A5" w:rsidRDefault="00B413A5" w:rsidP="00CB53B9">
      <w:pPr>
        <w:pStyle w:val="RepNormal"/>
      </w:pPr>
    </w:p>
    <w:p w14:paraId="0FE42EB0" w14:textId="77777777" w:rsidR="00B413A5" w:rsidRPr="00B413A5" w:rsidRDefault="00B413A5" w:rsidP="00B413A5">
      <w:pPr>
        <w:pStyle w:val="RepNormal"/>
        <w:rPr>
          <w:b/>
          <w:i/>
        </w:rPr>
      </w:pPr>
      <w:r w:rsidRPr="00B413A5">
        <w:rPr>
          <w:b/>
          <w:i/>
        </w:rPr>
        <w:t xml:space="preserve">Transition to </w:t>
      </w:r>
      <w:r w:rsidR="00454E44">
        <w:rPr>
          <w:b/>
          <w:i/>
        </w:rPr>
        <w:t>higher</w:t>
      </w:r>
      <w:r w:rsidRPr="00B413A5">
        <w:rPr>
          <w:b/>
          <w:i/>
        </w:rPr>
        <w:t xml:space="preserve"> risk </w:t>
      </w:r>
      <w:r w:rsidR="001F5D1A">
        <w:rPr>
          <w:b/>
          <w:i/>
        </w:rPr>
        <w:t>level</w:t>
      </w:r>
    </w:p>
    <w:p w14:paraId="3FDFC358" w14:textId="77777777" w:rsidR="00B413A5" w:rsidRDefault="00B413A5" w:rsidP="00B413A5">
      <w:pPr>
        <w:pStyle w:val="RepNormal"/>
        <w:rPr>
          <w:b/>
        </w:rPr>
      </w:pPr>
    </w:p>
    <w:p w14:paraId="0655E3A9" w14:textId="77777777" w:rsidR="00B413A5" w:rsidRDefault="00B413A5" w:rsidP="00B413A5">
      <w:pPr>
        <w:pStyle w:val="RepNormal"/>
      </w:pPr>
      <w:r>
        <w:t xml:space="preserve">Transitions to </w:t>
      </w:r>
      <w:r w:rsidR="00454E44">
        <w:t>a higher</w:t>
      </w:r>
      <w:r>
        <w:t xml:space="preserve"> risk </w:t>
      </w:r>
      <w:r w:rsidR="001F5D1A">
        <w:t>level</w:t>
      </w:r>
      <w:r>
        <w:t xml:space="preserve"> were similar across the waves and are depicted in pink in </w:t>
      </w:r>
      <w:r>
        <w:fldChar w:fldCharType="begin"/>
      </w:r>
      <w:r>
        <w:instrText xml:space="preserve"> REF _Ref404250377 \h </w:instrText>
      </w:r>
      <w:r>
        <w:fldChar w:fldCharType="separate"/>
      </w:r>
      <w:r w:rsidR="00D5752E">
        <w:t xml:space="preserve">Table </w:t>
      </w:r>
      <w:r w:rsidR="00D5752E">
        <w:rPr>
          <w:noProof/>
        </w:rPr>
        <w:t>12</w:t>
      </w:r>
      <w:r>
        <w:fldChar w:fldCharType="end"/>
      </w:r>
      <w:r>
        <w:t xml:space="preserve">.  </w:t>
      </w:r>
    </w:p>
    <w:p w14:paraId="280B71F5" w14:textId="77777777" w:rsidR="00B413A5" w:rsidRPr="00CA794B" w:rsidRDefault="00B413A5" w:rsidP="00B413A5">
      <w:pPr>
        <w:pStyle w:val="RepNormal"/>
      </w:pPr>
    </w:p>
    <w:p w14:paraId="5A1F9A3F" w14:textId="77777777" w:rsidR="00B413A5" w:rsidRDefault="00B413A5" w:rsidP="00B413A5">
      <w:pPr>
        <w:pStyle w:val="RepNormal"/>
      </w:pPr>
      <w:r>
        <w:t>About o</w:t>
      </w:r>
      <w:r w:rsidRPr="00CA794B">
        <w:t xml:space="preserve">ne-third (33%) of non-gamblers commenced gambling and </w:t>
      </w:r>
      <w:r>
        <w:t>became</w:t>
      </w:r>
      <w:r w:rsidRPr="00CA794B">
        <w:t xml:space="preserve"> non-problem gamblers</w:t>
      </w:r>
      <w:r>
        <w:t>.</w:t>
      </w:r>
      <w:r w:rsidRPr="00CA794B">
        <w:t xml:space="preserve"> </w:t>
      </w:r>
      <w:r>
        <w:t xml:space="preserve"> </w:t>
      </w:r>
      <w:r w:rsidRPr="00CA794B">
        <w:t>A very small percentage (</w:t>
      </w:r>
      <w:r>
        <w:t>1</w:t>
      </w:r>
      <w:r w:rsidR="004244BA">
        <w:t xml:space="preserve">% to </w:t>
      </w:r>
      <w:r w:rsidRPr="00CA794B">
        <w:t xml:space="preserve">2%) </w:t>
      </w:r>
      <w:r>
        <w:t>transitioned to low-risk gambling, 0.1</w:t>
      </w:r>
      <w:r w:rsidR="007734E6">
        <w:t>%</w:t>
      </w:r>
      <w:r>
        <w:t xml:space="preserve"> to 0.2% to moderate-risk gambling, and 0.1% or less transitioned into problem gambling</w:t>
      </w:r>
      <w:r w:rsidRPr="00CA794B">
        <w:t>.</w:t>
      </w:r>
    </w:p>
    <w:p w14:paraId="096D3F5A" w14:textId="77777777" w:rsidR="00B413A5" w:rsidRDefault="00B413A5" w:rsidP="00B413A5">
      <w:pPr>
        <w:pStyle w:val="RepNormal"/>
      </w:pPr>
    </w:p>
    <w:p w14:paraId="3F2418B7" w14:textId="77777777" w:rsidR="00B413A5" w:rsidRDefault="00B413A5" w:rsidP="00B413A5">
      <w:pPr>
        <w:pStyle w:val="RepNormal"/>
      </w:pPr>
      <w:r>
        <w:t>A small proportion (about 5%) of non-problem gamblers transitioned to risky gambling and 0.1% or less transitioned into the problem gambler category.</w:t>
      </w:r>
    </w:p>
    <w:p w14:paraId="66D50716" w14:textId="77777777" w:rsidR="00B413A5" w:rsidRDefault="00B413A5" w:rsidP="00B413A5">
      <w:pPr>
        <w:pStyle w:val="RepNormal"/>
      </w:pPr>
    </w:p>
    <w:p w14:paraId="157DB255" w14:textId="77777777" w:rsidR="00B413A5" w:rsidRDefault="00B413A5" w:rsidP="00B413A5">
      <w:pPr>
        <w:pStyle w:val="RepNormal"/>
      </w:pPr>
      <w:r>
        <w:t xml:space="preserve">About 10% of low-risk gamblers became moderate-risk gamblers and 0.8% or less transitioned into problem gambling. </w:t>
      </w:r>
    </w:p>
    <w:p w14:paraId="122F2A78" w14:textId="77777777" w:rsidR="00B413A5" w:rsidRDefault="00B413A5" w:rsidP="00B413A5">
      <w:pPr>
        <w:pStyle w:val="RepNormal"/>
      </w:pPr>
    </w:p>
    <w:p w14:paraId="367CEAED" w14:textId="77777777" w:rsidR="00B413A5" w:rsidRDefault="00B413A5" w:rsidP="00B413A5">
      <w:pPr>
        <w:pStyle w:val="RepNormal"/>
      </w:pPr>
      <w:r>
        <w:t>Ten percent of moderate-risk gamblers became problem gamblers from Wave 1 to Wave 2, and from Wave 2 to Wave 3.  The point estimate was half that (5%) from Wave 3 to Wave 4; however, confidence intervals were wide and overlapped those of previous years due to very small sample size (n=2) so this finding is likely to be an artefact and there is probably no change from transitions between previous waves.</w:t>
      </w:r>
    </w:p>
    <w:p w14:paraId="714D5BD0" w14:textId="77777777" w:rsidR="00F54A7A" w:rsidRDefault="00F54A7A" w:rsidP="00B413A5">
      <w:pPr>
        <w:pStyle w:val="RepNormal"/>
      </w:pPr>
    </w:p>
    <w:p w14:paraId="3FC832F9" w14:textId="77777777" w:rsidR="00F54A7A" w:rsidRDefault="00F54A7A" w:rsidP="00B413A5">
      <w:pPr>
        <w:pStyle w:val="RepNormal"/>
      </w:pPr>
    </w:p>
    <w:p w14:paraId="7E585065" w14:textId="77777777" w:rsidR="00F54A7A" w:rsidRPr="00F54A7A" w:rsidRDefault="00F54A7A" w:rsidP="00F54A7A">
      <w:pPr>
        <w:pStyle w:val="RepNormal"/>
        <w:rPr>
          <w:i/>
        </w:rPr>
      </w:pPr>
      <w:r w:rsidRPr="00F54A7A">
        <w:rPr>
          <w:b/>
          <w:i/>
        </w:rPr>
        <w:t xml:space="preserve">Transition to </w:t>
      </w:r>
      <w:r w:rsidR="00454E44">
        <w:rPr>
          <w:b/>
          <w:i/>
        </w:rPr>
        <w:t>lower</w:t>
      </w:r>
      <w:r w:rsidRPr="00F54A7A">
        <w:rPr>
          <w:b/>
          <w:i/>
        </w:rPr>
        <w:t xml:space="preserve"> risk </w:t>
      </w:r>
      <w:r w:rsidR="001F5D1A">
        <w:rPr>
          <w:b/>
          <w:i/>
        </w:rPr>
        <w:t>level</w:t>
      </w:r>
    </w:p>
    <w:p w14:paraId="1D114002" w14:textId="77777777" w:rsidR="00F54A7A" w:rsidRDefault="00F54A7A" w:rsidP="00F54A7A">
      <w:pPr>
        <w:pStyle w:val="RepNormal"/>
      </w:pPr>
    </w:p>
    <w:p w14:paraId="39D15662" w14:textId="77777777" w:rsidR="00FF13AC" w:rsidRDefault="00F54A7A" w:rsidP="00FF13AC">
      <w:pPr>
        <w:pStyle w:val="RepNormal"/>
      </w:pPr>
      <w:r>
        <w:t xml:space="preserve">Transitions to </w:t>
      </w:r>
      <w:r w:rsidR="00454E44">
        <w:t>a lower</w:t>
      </w:r>
      <w:r>
        <w:t xml:space="preserve"> risk </w:t>
      </w:r>
      <w:r w:rsidR="001F5D1A">
        <w:t>level</w:t>
      </w:r>
      <w:r>
        <w:t xml:space="preserve"> </w:t>
      </w:r>
      <w:r w:rsidR="00FF13AC">
        <w:t xml:space="preserve">are depicted in </w:t>
      </w:r>
      <w:r w:rsidR="001F5D1A">
        <w:t>green</w:t>
      </w:r>
      <w:r w:rsidR="00FF13AC">
        <w:t xml:space="preserve"> in </w:t>
      </w:r>
      <w:r w:rsidR="00FF13AC">
        <w:fldChar w:fldCharType="begin"/>
      </w:r>
      <w:r w:rsidR="00FF13AC">
        <w:instrText xml:space="preserve"> REF _Ref404250377 \h </w:instrText>
      </w:r>
      <w:r w:rsidR="00FF13AC">
        <w:fldChar w:fldCharType="separate"/>
      </w:r>
      <w:r w:rsidR="00D5752E">
        <w:t xml:space="preserve">Table </w:t>
      </w:r>
      <w:r w:rsidR="00D5752E">
        <w:rPr>
          <w:noProof/>
        </w:rPr>
        <w:t>12</w:t>
      </w:r>
      <w:r w:rsidR="00FF13AC">
        <w:fldChar w:fldCharType="end"/>
      </w:r>
      <w:r w:rsidR="00FF13AC">
        <w:t>.  Although the point estimates appear to indicate some differences/changes over time, an examination of the confidence intervals in Appendix 26 shows that they were wide and overlapped, due to very small sample sizes in some cases, particularly for problem gamblers and, to a lesser extent, moderate-risk gamblers.  Therefore, any apparent differences over time are likely to be misleading.</w:t>
      </w:r>
    </w:p>
    <w:p w14:paraId="2EEBB649" w14:textId="77777777" w:rsidR="00F54A7A" w:rsidRDefault="00F54A7A" w:rsidP="00F54A7A">
      <w:pPr>
        <w:pStyle w:val="RepNormal"/>
      </w:pPr>
    </w:p>
    <w:p w14:paraId="23BCC957" w14:textId="77777777" w:rsidR="00F54A7A" w:rsidRDefault="00F54A7A" w:rsidP="00F54A7A">
      <w:pPr>
        <w:pStyle w:val="RepNormal"/>
      </w:pPr>
      <w:r>
        <w:t>From Wave 1 to Wave 2, no problem gamblers stopped gambling;</w:t>
      </w:r>
      <w:r w:rsidR="001F5D1A">
        <w:t xml:space="preserve"> unlike in Wave 2 to Wave </w:t>
      </w:r>
      <w:r w:rsidR="00FF13AC">
        <w:t>3</w:t>
      </w:r>
      <w:r w:rsidR="001F5D1A">
        <w:t>, and</w:t>
      </w:r>
      <w:r w:rsidR="00FF13AC">
        <w:t xml:space="preserve"> Wave 3 to Wave 4</w:t>
      </w:r>
      <w:r>
        <w:t xml:space="preserve">.  </w:t>
      </w:r>
      <w:r w:rsidR="000C2DDF">
        <w:t xml:space="preserve">The majority of problem gamblers who transitioned to a </w:t>
      </w:r>
      <w:r w:rsidR="00454E44">
        <w:t>lower</w:t>
      </w:r>
      <w:r w:rsidR="000C2DDF">
        <w:t xml:space="preserve"> risk </w:t>
      </w:r>
      <w:r w:rsidR="001F5D1A">
        <w:t>level</w:t>
      </w:r>
      <w:r w:rsidR="000C2DDF">
        <w:t xml:space="preserve"> became either </w:t>
      </w:r>
      <w:r w:rsidR="001A34AB">
        <w:t>moderate-risk (9.7% to 34%), low-risk (2.6% to 14%) or non-problem gamblers (7.5% to 33%)</w:t>
      </w:r>
      <w:r w:rsidR="000C2DDF">
        <w:t>.</w:t>
      </w:r>
    </w:p>
    <w:p w14:paraId="1C84D8A3" w14:textId="77777777" w:rsidR="00F54A7A" w:rsidRDefault="00F54A7A" w:rsidP="00F54A7A">
      <w:pPr>
        <w:pStyle w:val="RepNormal"/>
      </w:pPr>
    </w:p>
    <w:p w14:paraId="2F77AA60" w14:textId="77777777" w:rsidR="00F54A7A" w:rsidRDefault="000C2DDF" w:rsidP="00F54A7A">
      <w:pPr>
        <w:pStyle w:val="RepNormal"/>
      </w:pPr>
      <w:r>
        <w:t>The majority</w:t>
      </w:r>
      <w:r w:rsidR="00F54A7A">
        <w:t xml:space="preserve"> of moderate-risk</w:t>
      </w:r>
      <w:r w:rsidRPr="000C2DDF">
        <w:t xml:space="preserve"> </w:t>
      </w:r>
      <w:r>
        <w:t xml:space="preserve">gamblers who transitioned to a </w:t>
      </w:r>
      <w:r w:rsidR="00454E44">
        <w:t>lower</w:t>
      </w:r>
      <w:r>
        <w:t xml:space="preserve"> risk </w:t>
      </w:r>
      <w:r w:rsidR="001F5D1A">
        <w:t>level</w:t>
      </w:r>
      <w:r>
        <w:t xml:space="preserve"> became either </w:t>
      </w:r>
      <w:r w:rsidR="001A34AB">
        <w:t xml:space="preserve">low-risk (15% to 25%) or non-problem gamblers (31% to 39%); a few stopped gambling (3.5% to 6.9%).  </w:t>
      </w:r>
    </w:p>
    <w:p w14:paraId="1CCFF174" w14:textId="77777777" w:rsidR="00F54A7A" w:rsidRDefault="00F54A7A" w:rsidP="00F54A7A">
      <w:pPr>
        <w:pStyle w:val="RepNormal"/>
      </w:pPr>
    </w:p>
    <w:p w14:paraId="706EBB0A" w14:textId="77777777" w:rsidR="00F54A7A" w:rsidRDefault="000C2DDF" w:rsidP="00F54A7A">
      <w:pPr>
        <w:pStyle w:val="RepNormal"/>
      </w:pPr>
      <w:r>
        <w:t xml:space="preserve">The majority of low-risk gamblers who transitioned to a </w:t>
      </w:r>
      <w:r w:rsidR="00454E44">
        <w:t>lower</w:t>
      </w:r>
      <w:r>
        <w:t xml:space="preserve"> risk </w:t>
      </w:r>
      <w:r w:rsidR="001F5D1A">
        <w:t>level</w:t>
      </w:r>
      <w:r>
        <w:t xml:space="preserve"> became non-problem gamblers (55% to 62%), with 2</w:t>
      </w:r>
      <w:r w:rsidR="001A34AB">
        <w:t>.4</w:t>
      </w:r>
      <w:r>
        <w:t>% to 7</w:t>
      </w:r>
      <w:r w:rsidR="001A34AB">
        <w:t>.2</w:t>
      </w:r>
      <w:r>
        <w:t>% stopping gambling</w:t>
      </w:r>
      <w:r w:rsidR="00F54A7A">
        <w:t>.</w:t>
      </w:r>
    </w:p>
    <w:p w14:paraId="1BE65E8A" w14:textId="77777777" w:rsidR="00296F01" w:rsidRPr="009A3229" w:rsidRDefault="00296F01" w:rsidP="000D1CF7">
      <w:pPr>
        <w:pStyle w:val="RepNormal"/>
        <w:rPr>
          <w:b/>
        </w:rPr>
      </w:pPr>
      <w:r w:rsidRPr="009A3229">
        <w:rPr>
          <w:b/>
        </w:rPr>
        <w:t>By ethnicity</w:t>
      </w:r>
    </w:p>
    <w:p w14:paraId="6FC59FE2" w14:textId="77777777" w:rsidR="00296F01" w:rsidRDefault="00296F01" w:rsidP="000D1CF7">
      <w:pPr>
        <w:pStyle w:val="RepNormal"/>
      </w:pPr>
    </w:p>
    <w:p w14:paraId="0B939372" w14:textId="77777777" w:rsidR="00296F01" w:rsidRDefault="00296F01" w:rsidP="00296F01">
      <w:pPr>
        <w:pStyle w:val="RepNormal"/>
      </w:pPr>
      <w:r>
        <w:fldChar w:fldCharType="begin"/>
      </w:r>
      <w:r>
        <w:instrText xml:space="preserve"> REF _Ref475436995 \h </w:instrText>
      </w:r>
      <w:r>
        <w:fldChar w:fldCharType="separate"/>
      </w:r>
      <w:r w:rsidR="00D5752E">
        <w:t xml:space="preserve">Table </w:t>
      </w:r>
      <w:r w:rsidR="00D5752E">
        <w:rPr>
          <w:noProof/>
        </w:rPr>
        <w:t>13</w:t>
      </w:r>
      <w:r>
        <w:fldChar w:fldCharType="end"/>
      </w:r>
      <w:r w:rsidRPr="00E67E9D">
        <w:t xml:space="preserve"> details transitions in gambling risk level from Wave 1 to Wave 2, Wave 2 to Wave 3, and Wave 3 to Wave 4</w:t>
      </w:r>
      <w:r>
        <w:t xml:space="preserve"> by Māori and Pacific ethnicity</w:t>
      </w:r>
      <w:r w:rsidRPr="00E67E9D">
        <w:t>.  The same data with 95% confidence interv</w:t>
      </w:r>
      <w:r>
        <w:t>als are presented in Appendix 27</w:t>
      </w:r>
      <w:r w:rsidRPr="00E67E9D">
        <w:t xml:space="preserve">.  </w:t>
      </w:r>
      <w:r w:rsidRPr="00E67E9D">
        <w:rPr>
          <w:i/>
        </w:rPr>
        <w:t>Note that</w:t>
      </w:r>
      <w:r>
        <w:rPr>
          <w:i/>
        </w:rPr>
        <w:t xml:space="preserve"> the moderate-risk and problem gambling categories have been combined due to very small sample sizes.  Despite this, sample size remained very small for some cells, so the results should be considered with caution and should be considered indicative rather than absolute.</w:t>
      </w:r>
    </w:p>
    <w:p w14:paraId="378C3715" w14:textId="77777777" w:rsidR="00157162" w:rsidRDefault="00157162" w:rsidP="00296F01">
      <w:pPr>
        <w:pStyle w:val="RepNormal"/>
      </w:pPr>
    </w:p>
    <w:p w14:paraId="192A0316" w14:textId="77777777" w:rsidR="00157162" w:rsidRDefault="00157162" w:rsidP="00157162">
      <w:pPr>
        <w:pStyle w:val="RepNormal"/>
      </w:pPr>
      <w:r>
        <w:t>Although the point estimates appear to indicate some differences/changes over time or between the ethnicities, an examination of the confidence intervals in Appendix 27 shows that they were wide and overlapped, due to very small sample sizes in some cases.  Therefore, any apparent differences over time are likely to be misleading.</w:t>
      </w:r>
    </w:p>
    <w:p w14:paraId="3DCBF69F" w14:textId="77777777" w:rsidR="00FC6127" w:rsidRDefault="00FC6127" w:rsidP="00157162">
      <w:pPr>
        <w:pStyle w:val="RepNormal"/>
      </w:pPr>
    </w:p>
    <w:p w14:paraId="59815BC7" w14:textId="77777777" w:rsidR="00FC6127" w:rsidRDefault="00FC6127" w:rsidP="00157162">
      <w:pPr>
        <w:pStyle w:val="RepNormal"/>
      </w:pPr>
    </w:p>
    <w:p w14:paraId="26F24C3C" w14:textId="77777777" w:rsidR="00FC6127" w:rsidRDefault="00FC6127" w:rsidP="00FC6127">
      <w:pPr>
        <w:pStyle w:val="RepNormal"/>
        <w:keepNext/>
      </w:pPr>
      <w:r>
        <w:rPr>
          <w:b/>
          <w:i/>
        </w:rPr>
        <w:t>Stability</w:t>
      </w:r>
    </w:p>
    <w:p w14:paraId="38636088" w14:textId="77777777" w:rsidR="00FC6127" w:rsidRDefault="00FC6127" w:rsidP="00FC6127">
      <w:pPr>
        <w:pStyle w:val="RepNormal"/>
        <w:keepNext/>
      </w:pPr>
    </w:p>
    <w:p w14:paraId="577B06DD" w14:textId="77777777" w:rsidR="00FC6127" w:rsidRDefault="00FC6127" w:rsidP="00FC6127">
      <w:pPr>
        <w:pStyle w:val="RepNormal"/>
        <w:keepNext/>
      </w:pPr>
      <w:r>
        <w:t xml:space="preserve">As previously mentioned, overall, the most stable groups were non-gamblers and non-problem gamblers, followed by problem gamblers.  Overall, people were more likely to transition out of the low-risk and moderate-risk groups.  </w:t>
      </w:r>
    </w:p>
    <w:p w14:paraId="25C334BD" w14:textId="77777777" w:rsidR="00FC6127" w:rsidRDefault="00FC6127" w:rsidP="00FC6127">
      <w:pPr>
        <w:pStyle w:val="RepNormal"/>
      </w:pPr>
    </w:p>
    <w:p w14:paraId="4CCAF214" w14:textId="77777777" w:rsidR="00FC6127" w:rsidRDefault="00FC6127" w:rsidP="00FC6127">
      <w:pPr>
        <w:pStyle w:val="RepNormal"/>
      </w:pPr>
      <w:r>
        <w:t>For the analyses by Māori and Pacific ethnicity, the moderate-risk and problem gambler groups were combined.  As with the total population, the low-risk group was the least stable for Māori and Pacific people.  However, for both Māori and Pacific people, generally a high percentage of moderate-risk/problem gamblers remained in that category across each wave (51% to 64% of Māori, 40% to 55% of Pacific people).</w:t>
      </w:r>
    </w:p>
    <w:p w14:paraId="20B5C4AE" w14:textId="77777777" w:rsidR="00FC6127" w:rsidRDefault="00FC6127" w:rsidP="00FC6127">
      <w:pPr>
        <w:pStyle w:val="RepNormal"/>
      </w:pPr>
    </w:p>
    <w:p w14:paraId="784711C3" w14:textId="77777777" w:rsidR="00FC6127" w:rsidRDefault="00FC6127" w:rsidP="00FC6127">
      <w:pPr>
        <w:pStyle w:val="RepNormal"/>
      </w:pPr>
    </w:p>
    <w:p w14:paraId="58109A92" w14:textId="77777777" w:rsidR="00FC6127" w:rsidRPr="00B413A5" w:rsidRDefault="00FC6127" w:rsidP="00FC6127">
      <w:pPr>
        <w:pStyle w:val="RepNormal"/>
        <w:rPr>
          <w:b/>
          <w:i/>
        </w:rPr>
      </w:pPr>
      <w:r w:rsidRPr="00B413A5">
        <w:rPr>
          <w:b/>
          <w:i/>
        </w:rPr>
        <w:t xml:space="preserve">Transition to </w:t>
      </w:r>
      <w:r>
        <w:rPr>
          <w:b/>
          <w:i/>
        </w:rPr>
        <w:t>higher</w:t>
      </w:r>
      <w:r w:rsidRPr="00B413A5">
        <w:rPr>
          <w:b/>
          <w:i/>
        </w:rPr>
        <w:t xml:space="preserve"> risk </w:t>
      </w:r>
      <w:r>
        <w:rPr>
          <w:b/>
          <w:i/>
        </w:rPr>
        <w:t>level</w:t>
      </w:r>
    </w:p>
    <w:p w14:paraId="1006BA4B" w14:textId="77777777" w:rsidR="00FC6127" w:rsidRDefault="00FC6127" w:rsidP="00FC6127">
      <w:pPr>
        <w:pStyle w:val="RepNormal"/>
      </w:pPr>
    </w:p>
    <w:p w14:paraId="6D258E42" w14:textId="77777777" w:rsidR="00FC6127" w:rsidRDefault="00FC6127" w:rsidP="00FC6127">
      <w:pPr>
        <w:pStyle w:val="RepNormal"/>
      </w:pPr>
      <w:r>
        <w:t>As with the total population, the majority of Māori and Pacific non-gamblers who commenced gambling became non-problem gamblers, with a small percentage transitioning to low-risk gambling (1.0% to 4.2% of Māori, 0.6% to 3.1% of Pacific people) or moderate-risk/problem gambling (0.5% to 1.3% of Māori, 0 to 2.0% of Pacific people).</w:t>
      </w:r>
    </w:p>
    <w:p w14:paraId="54CF70F6" w14:textId="77777777" w:rsidR="00FC6127" w:rsidRDefault="00FC6127" w:rsidP="00FC6127">
      <w:pPr>
        <w:pStyle w:val="RepNormal"/>
      </w:pPr>
    </w:p>
    <w:p w14:paraId="352D784A" w14:textId="77777777" w:rsidR="00FC6127" w:rsidRDefault="00FC6127" w:rsidP="00FC6127">
      <w:pPr>
        <w:pStyle w:val="RepNormal"/>
      </w:pPr>
      <w:r>
        <w:t>A few non-problem gamblers transitioned to low-risk gambling (5.5% to 9.7% of Māori, 8.3% to 9.9% of Pacific people) and slightly fewer (1.6% to 3.1% of Māori, 1.6% to 5.9% of Pacific people) transitioned into the moderate-risk/problem gambler category.</w:t>
      </w:r>
    </w:p>
    <w:p w14:paraId="2C6C9071" w14:textId="77777777" w:rsidR="00FC6127" w:rsidRDefault="00FC6127" w:rsidP="00FC6127">
      <w:pPr>
        <w:pStyle w:val="RepNormal"/>
      </w:pPr>
    </w:p>
    <w:p w14:paraId="5BEE058F" w14:textId="77777777" w:rsidR="00FC6127" w:rsidRDefault="00FC6127" w:rsidP="00FC6127">
      <w:pPr>
        <w:pStyle w:val="RepNormal"/>
      </w:pPr>
      <w:r>
        <w:t xml:space="preserve">A substantial minority of low-risk gamblers became moderate-risk/problem gamblers (14% to 24% of Māori, 7% to 20% of Pacific people). </w:t>
      </w:r>
    </w:p>
    <w:p w14:paraId="555815DD" w14:textId="77777777" w:rsidR="00FC6127" w:rsidRDefault="00FC6127" w:rsidP="00FC6127">
      <w:pPr>
        <w:pStyle w:val="RepNormal"/>
      </w:pPr>
    </w:p>
    <w:p w14:paraId="0A51C25E" w14:textId="77777777" w:rsidR="00FC6127" w:rsidRDefault="00FC6127" w:rsidP="00FC6127">
      <w:pPr>
        <w:pStyle w:val="Caption"/>
        <w:keepNext/>
        <w:keepLines/>
        <w:jc w:val="both"/>
        <w:rPr>
          <w:szCs w:val="22"/>
        </w:rPr>
      </w:pPr>
      <w:bookmarkStart w:id="126" w:name="_Ref475436995"/>
      <w:bookmarkStart w:id="127" w:name="_Toc504488438"/>
      <w:r>
        <w:t xml:space="preserve">Table </w:t>
      </w:r>
      <w:r w:rsidR="00D5752E">
        <w:fldChar w:fldCharType="begin"/>
      </w:r>
      <w:r w:rsidR="00D5752E">
        <w:instrText xml:space="preserve"> SEQ Table \* ARABIC </w:instrText>
      </w:r>
      <w:r w:rsidR="00D5752E">
        <w:fldChar w:fldCharType="separate"/>
      </w:r>
      <w:r w:rsidR="00D5752E">
        <w:rPr>
          <w:noProof/>
        </w:rPr>
        <w:t>13</w:t>
      </w:r>
      <w:r w:rsidR="00D5752E">
        <w:rPr>
          <w:noProof/>
        </w:rPr>
        <w:fldChar w:fldCharType="end"/>
      </w:r>
      <w:bookmarkEnd w:id="126"/>
      <w:r>
        <w:t>: Transitions between gambling risk levels between the waves by Māori and Pacific ethnicity</w:t>
      </w:r>
      <w:bookmarkEnd w:id="127"/>
    </w:p>
    <w:tbl>
      <w:tblPr>
        <w:tblStyle w:val="TableGrid"/>
        <w:tblW w:w="83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1"/>
        <w:gridCol w:w="709"/>
        <w:gridCol w:w="567"/>
        <w:gridCol w:w="709"/>
        <w:gridCol w:w="567"/>
        <w:gridCol w:w="567"/>
        <w:gridCol w:w="567"/>
        <w:gridCol w:w="849"/>
        <w:gridCol w:w="709"/>
      </w:tblGrid>
      <w:tr w:rsidR="00FC6127" w:rsidRPr="00672B00" w14:paraId="39583EB5" w14:textId="77777777" w:rsidTr="0008407A">
        <w:trPr>
          <w:jc w:val="center"/>
        </w:trPr>
        <w:tc>
          <w:tcPr>
            <w:tcW w:w="3121" w:type="dxa"/>
            <w:vMerge w:val="restart"/>
            <w:tcBorders>
              <w:top w:val="single" w:sz="4" w:space="0" w:color="auto"/>
            </w:tcBorders>
            <w:vAlign w:val="bottom"/>
          </w:tcPr>
          <w:p w14:paraId="7D9A37EF" w14:textId="77777777" w:rsidR="00FC6127" w:rsidRPr="00672B00" w:rsidRDefault="00FC6127" w:rsidP="00FC6127">
            <w:pPr>
              <w:keepNext/>
              <w:keepLines/>
              <w:spacing w:before="20" w:after="20"/>
              <w:rPr>
                <w:b/>
                <w:szCs w:val="20"/>
              </w:rPr>
            </w:pPr>
            <w:r>
              <w:rPr>
                <w:b/>
                <w:szCs w:val="20"/>
              </w:rPr>
              <w:t>Transition from</w:t>
            </w:r>
          </w:p>
        </w:tc>
        <w:tc>
          <w:tcPr>
            <w:tcW w:w="5244" w:type="dxa"/>
            <w:gridSpan w:val="8"/>
            <w:tcBorders>
              <w:top w:val="single" w:sz="4" w:space="0" w:color="auto"/>
              <w:bottom w:val="single" w:sz="4" w:space="0" w:color="auto"/>
            </w:tcBorders>
            <w:vAlign w:val="bottom"/>
          </w:tcPr>
          <w:p w14:paraId="2060B6F9" w14:textId="77777777" w:rsidR="00FC6127" w:rsidRPr="00672B00" w:rsidRDefault="00FC6127" w:rsidP="00FC6127">
            <w:pPr>
              <w:keepNext/>
              <w:keepLines/>
              <w:spacing w:before="20" w:after="20"/>
              <w:jc w:val="center"/>
              <w:rPr>
                <w:b/>
                <w:szCs w:val="20"/>
              </w:rPr>
            </w:pPr>
            <w:r>
              <w:rPr>
                <w:b/>
                <w:szCs w:val="20"/>
              </w:rPr>
              <w:t>Transition to</w:t>
            </w:r>
          </w:p>
        </w:tc>
      </w:tr>
      <w:tr w:rsidR="00FC6127" w:rsidRPr="00672B00" w14:paraId="154EA3D8" w14:textId="77777777" w:rsidTr="0008407A">
        <w:trPr>
          <w:jc w:val="center"/>
        </w:trPr>
        <w:tc>
          <w:tcPr>
            <w:tcW w:w="3121" w:type="dxa"/>
            <w:vMerge/>
          </w:tcPr>
          <w:p w14:paraId="096A6DD7" w14:textId="77777777" w:rsidR="00FC6127" w:rsidRPr="00672B00" w:rsidRDefault="00FC6127" w:rsidP="00FC6127">
            <w:pPr>
              <w:keepNext/>
              <w:keepLines/>
              <w:spacing w:before="20" w:after="20"/>
              <w:rPr>
                <w:b/>
                <w:szCs w:val="20"/>
              </w:rPr>
            </w:pPr>
          </w:p>
        </w:tc>
        <w:tc>
          <w:tcPr>
            <w:tcW w:w="1276" w:type="dxa"/>
            <w:gridSpan w:val="2"/>
            <w:tcBorders>
              <w:top w:val="single" w:sz="4" w:space="0" w:color="auto"/>
              <w:bottom w:val="single" w:sz="4" w:space="0" w:color="auto"/>
            </w:tcBorders>
            <w:vAlign w:val="bottom"/>
          </w:tcPr>
          <w:p w14:paraId="53047A8A" w14:textId="77777777" w:rsidR="00FC6127" w:rsidRPr="00672B00" w:rsidRDefault="00FC6127" w:rsidP="00FC6127">
            <w:pPr>
              <w:keepNext/>
              <w:keepLines/>
              <w:spacing w:before="20" w:after="20"/>
              <w:jc w:val="center"/>
              <w:rPr>
                <w:b/>
                <w:szCs w:val="20"/>
              </w:rPr>
            </w:pPr>
            <w:r w:rsidRPr="00672B00">
              <w:rPr>
                <w:b/>
                <w:szCs w:val="20"/>
              </w:rPr>
              <w:t>Non-gambler</w:t>
            </w:r>
          </w:p>
        </w:tc>
        <w:tc>
          <w:tcPr>
            <w:tcW w:w="1276" w:type="dxa"/>
            <w:gridSpan w:val="2"/>
            <w:tcBorders>
              <w:top w:val="single" w:sz="4" w:space="0" w:color="auto"/>
              <w:bottom w:val="single" w:sz="4" w:space="0" w:color="auto"/>
            </w:tcBorders>
            <w:vAlign w:val="bottom"/>
          </w:tcPr>
          <w:p w14:paraId="6DDDEB21" w14:textId="77777777" w:rsidR="00FC6127" w:rsidRPr="00672B00" w:rsidRDefault="00FC6127" w:rsidP="00FC6127">
            <w:pPr>
              <w:keepNext/>
              <w:keepLines/>
              <w:spacing w:before="20" w:after="20"/>
              <w:jc w:val="center"/>
              <w:rPr>
                <w:b/>
                <w:szCs w:val="20"/>
              </w:rPr>
            </w:pPr>
            <w:r w:rsidRPr="00672B00">
              <w:rPr>
                <w:b/>
                <w:szCs w:val="20"/>
              </w:rPr>
              <w:t>Non-problem gambler</w:t>
            </w:r>
          </w:p>
        </w:tc>
        <w:tc>
          <w:tcPr>
            <w:tcW w:w="1134" w:type="dxa"/>
            <w:gridSpan w:val="2"/>
            <w:tcBorders>
              <w:top w:val="single" w:sz="4" w:space="0" w:color="auto"/>
              <w:bottom w:val="single" w:sz="4" w:space="0" w:color="auto"/>
            </w:tcBorders>
            <w:vAlign w:val="bottom"/>
          </w:tcPr>
          <w:p w14:paraId="75923983" w14:textId="77777777" w:rsidR="00FC6127" w:rsidRPr="00672B00" w:rsidRDefault="00FC6127" w:rsidP="00FC6127">
            <w:pPr>
              <w:keepNext/>
              <w:keepLines/>
              <w:spacing w:before="20" w:after="20"/>
              <w:jc w:val="center"/>
              <w:rPr>
                <w:b/>
                <w:szCs w:val="20"/>
              </w:rPr>
            </w:pPr>
            <w:r w:rsidRPr="00672B00">
              <w:rPr>
                <w:b/>
                <w:szCs w:val="20"/>
              </w:rPr>
              <w:t>Low-risk gambler</w:t>
            </w:r>
          </w:p>
        </w:tc>
        <w:tc>
          <w:tcPr>
            <w:tcW w:w="1558" w:type="dxa"/>
            <w:gridSpan w:val="2"/>
            <w:tcBorders>
              <w:top w:val="single" w:sz="4" w:space="0" w:color="auto"/>
              <w:bottom w:val="single" w:sz="4" w:space="0" w:color="auto"/>
            </w:tcBorders>
            <w:vAlign w:val="bottom"/>
          </w:tcPr>
          <w:p w14:paraId="05B53F6B" w14:textId="77777777" w:rsidR="00FC6127" w:rsidRPr="00672B00" w:rsidRDefault="00FC6127" w:rsidP="00FC6127">
            <w:pPr>
              <w:keepNext/>
              <w:keepLines/>
              <w:spacing w:before="20" w:after="20"/>
              <w:jc w:val="center"/>
              <w:rPr>
                <w:b/>
                <w:szCs w:val="20"/>
              </w:rPr>
            </w:pPr>
            <w:r w:rsidRPr="00672B00">
              <w:rPr>
                <w:b/>
                <w:szCs w:val="20"/>
              </w:rPr>
              <w:t>Moderate-risk</w:t>
            </w:r>
            <w:r>
              <w:rPr>
                <w:b/>
                <w:szCs w:val="20"/>
              </w:rPr>
              <w:t>/ problem</w:t>
            </w:r>
            <w:r w:rsidRPr="00672B00">
              <w:rPr>
                <w:b/>
                <w:szCs w:val="20"/>
              </w:rPr>
              <w:t xml:space="preserve"> gambler</w:t>
            </w:r>
          </w:p>
        </w:tc>
      </w:tr>
      <w:tr w:rsidR="00FC6127" w:rsidRPr="00672B00" w14:paraId="6F6B409D" w14:textId="77777777" w:rsidTr="0008407A">
        <w:trPr>
          <w:jc w:val="center"/>
        </w:trPr>
        <w:tc>
          <w:tcPr>
            <w:tcW w:w="3121" w:type="dxa"/>
            <w:vMerge/>
            <w:tcBorders>
              <w:bottom w:val="single" w:sz="4" w:space="0" w:color="auto"/>
            </w:tcBorders>
            <w:vAlign w:val="center"/>
          </w:tcPr>
          <w:p w14:paraId="04F06340" w14:textId="77777777" w:rsidR="00FC6127" w:rsidRPr="00672B00" w:rsidRDefault="00FC6127" w:rsidP="00FC6127">
            <w:pPr>
              <w:keepNext/>
              <w:keepLines/>
              <w:spacing w:before="20" w:after="20"/>
              <w:rPr>
                <w:b/>
                <w:szCs w:val="20"/>
              </w:rPr>
            </w:pPr>
          </w:p>
        </w:tc>
        <w:tc>
          <w:tcPr>
            <w:tcW w:w="709" w:type="dxa"/>
            <w:tcBorders>
              <w:top w:val="single" w:sz="4" w:space="0" w:color="auto"/>
              <w:bottom w:val="single" w:sz="4" w:space="0" w:color="auto"/>
            </w:tcBorders>
          </w:tcPr>
          <w:p w14:paraId="151C3032" w14:textId="77777777" w:rsidR="00FC6127" w:rsidRPr="00672B00" w:rsidRDefault="00FC6127" w:rsidP="00FC6127">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tcBorders>
          </w:tcPr>
          <w:p w14:paraId="7571AC80" w14:textId="77777777" w:rsidR="00FC6127" w:rsidRPr="00672B00" w:rsidRDefault="00FC6127" w:rsidP="00FC6127">
            <w:pPr>
              <w:keepNext/>
              <w:keepLines/>
              <w:spacing w:before="20" w:after="20"/>
              <w:jc w:val="right"/>
              <w:rPr>
                <w:b/>
                <w:szCs w:val="20"/>
              </w:rPr>
            </w:pPr>
            <w:r w:rsidRPr="00672B00">
              <w:rPr>
                <w:b/>
                <w:szCs w:val="20"/>
              </w:rPr>
              <w:t>%</w:t>
            </w:r>
          </w:p>
        </w:tc>
        <w:tc>
          <w:tcPr>
            <w:tcW w:w="709" w:type="dxa"/>
            <w:tcBorders>
              <w:top w:val="single" w:sz="4" w:space="0" w:color="auto"/>
              <w:bottom w:val="single" w:sz="4" w:space="0" w:color="auto"/>
            </w:tcBorders>
          </w:tcPr>
          <w:p w14:paraId="24F3AF80" w14:textId="77777777" w:rsidR="00FC6127" w:rsidRPr="00672B00" w:rsidRDefault="00FC6127" w:rsidP="00FC6127">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tcBorders>
          </w:tcPr>
          <w:p w14:paraId="33A084DD" w14:textId="77777777" w:rsidR="00FC6127" w:rsidRPr="00672B00" w:rsidRDefault="00FC6127" w:rsidP="00FC6127">
            <w:pPr>
              <w:keepNext/>
              <w:keepLines/>
              <w:spacing w:before="20" w:after="20"/>
              <w:jc w:val="right"/>
              <w:rPr>
                <w:b/>
                <w:szCs w:val="20"/>
              </w:rPr>
            </w:pPr>
            <w:r w:rsidRPr="00672B00">
              <w:rPr>
                <w:b/>
                <w:szCs w:val="20"/>
              </w:rPr>
              <w:t>%</w:t>
            </w:r>
          </w:p>
        </w:tc>
        <w:tc>
          <w:tcPr>
            <w:tcW w:w="567" w:type="dxa"/>
            <w:tcBorders>
              <w:top w:val="single" w:sz="4" w:space="0" w:color="auto"/>
              <w:bottom w:val="single" w:sz="4" w:space="0" w:color="auto"/>
            </w:tcBorders>
          </w:tcPr>
          <w:p w14:paraId="3015D114" w14:textId="77777777" w:rsidR="00FC6127" w:rsidRPr="00672B00" w:rsidRDefault="00FC6127" w:rsidP="00FC6127">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tcBorders>
          </w:tcPr>
          <w:p w14:paraId="5002A7FC" w14:textId="77777777" w:rsidR="00FC6127" w:rsidRPr="00672B00" w:rsidRDefault="00FC6127" w:rsidP="00FC6127">
            <w:pPr>
              <w:keepNext/>
              <w:keepLines/>
              <w:spacing w:before="20" w:after="20"/>
              <w:jc w:val="right"/>
              <w:rPr>
                <w:b/>
                <w:szCs w:val="20"/>
              </w:rPr>
            </w:pPr>
            <w:r w:rsidRPr="00672B00">
              <w:rPr>
                <w:b/>
                <w:szCs w:val="20"/>
              </w:rPr>
              <w:t>%</w:t>
            </w:r>
          </w:p>
        </w:tc>
        <w:tc>
          <w:tcPr>
            <w:tcW w:w="849" w:type="dxa"/>
            <w:tcBorders>
              <w:top w:val="single" w:sz="4" w:space="0" w:color="auto"/>
              <w:bottom w:val="single" w:sz="4" w:space="0" w:color="auto"/>
            </w:tcBorders>
          </w:tcPr>
          <w:p w14:paraId="10F33F79" w14:textId="77777777" w:rsidR="00FC6127" w:rsidRPr="00672B00" w:rsidRDefault="00FC6127" w:rsidP="00FC6127">
            <w:pPr>
              <w:keepNext/>
              <w:keepLines/>
              <w:spacing w:before="20" w:after="20"/>
              <w:jc w:val="right"/>
              <w:rPr>
                <w:b/>
                <w:szCs w:val="20"/>
              </w:rPr>
            </w:pPr>
            <w:r w:rsidRPr="00672B00">
              <w:rPr>
                <w:b/>
                <w:szCs w:val="20"/>
              </w:rPr>
              <w:t>n</w:t>
            </w:r>
          </w:p>
        </w:tc>
        <w:tc>
          <w:tcPr>
            <w:tcW w:w="709" w:type="dxa"/>
            <w:tcBorders>
              <w:top w:val="single" w:sz="4" w:space="0" w:color="auto"/>
              <w:bottom w:val="single" w:sz="4" w:space="0" w:color="auto"/>
            </w:tcBorders>
          </w:tcPr>
          <w:p w14:paraId="5ED6BF06" w14:textId="77777777" w:rsidR="00FC6127" w:rsidRPr="00672B00" w:rsidRDefault="00FC6127" w:rsidP="00FC6127">
            <w:pPr>
              <w:keepNext/>
              <w:keepLines/>
              <w:spacing w:before="20" w:after="20"/>
              <w:jc w:val="right"/>
              <w:rPr>
                <w:b/>
                <w:szCs w:val="20"/>
              </w:rPr>
            </w:pPr>
            <w:r w:rsidRPr="00672B00">
              <w:rPr>
                <w:b/>
                <w:szCs w:val="20"/>
              </w:rPr>
              <w:t>%</w:t>
            </w:r>
          </w:p>
        </w:tc>
      </w:tr>
      <w:tr w:rsidR="00FC6127" w:rsidRPr="00672B00" w14:paraId="3646CC10" w14:textId="77777777" w:rsidTr="0008407A">
        <w:trPr>
          <w:jc w:val="center"/>
        </w:trPr>
        <w:tc>
          <w:tcPr>
            <w:tcW w:w="4397" w:type="dxa"/>
            <w:gridSpan w:val="3"/>
            <w:tcBorders>
              <w:top w:val="single" w:sz="4" w:space="0" w:color="auto"/>
            </w:tcBorders>
            <w:shd w:val="clear" w:color="auto" w:fill="auto"/>
            <w:vAlign w:val="center"/>
          </w:tcPr>
          <w:p w14:paraId="009AB569" w14:textId="77777777" w:rsidR="00FC6127" w:rsidRDefault="00FC6127" w:rsidP="00FC6127">
            <w:pPr>
              <w:keepNext/>
              <w:keepLines/>
              <w:spacing w:before="20" w:after="20"/>
              <w:rPr>
                <w:b/>
                <w:color w:val="000000"/>
                <w:szCs w:val="20"/>
              </w:rPr>
            </w:pPr>
            <w:r>
              <w:rPr>
                <w:b/>
                <w:color w:val="000000"/>
                <w:szCs w:val="20"/>
              </w:rPr>
              <w:t xml:space="preserve">Māori </w:t>
            </w:r>
          </w:p>
        </w:tc>
        <w:tc>
          <w:tcPr>
            <w:tcW w:w="709" w:type="dxa"/>
            <w:tcBorders>
              <w:top w:val="single" w:sz="4" w:space="0" w:color="auto"/>
            </w:tcBorders>
            <w:shd w:val="clear" w:color="auto" w:fill="auto"/>
            <w:vAlign w:val="center"/>
          </w:tcPr>
          <w:p w14:paraId="4A2E1FB0" w14:textId="77777777" w:rsidR="00FC6127" w:rsidRPr="00672B00" w:rsidRDefault="00FC6127" w:rsidP="00FC6127">
            <w:pPr>
              <w:keepNext/>
              <w:keepLines/>
              <w:spacing w:before="20" w:after="20"/>
              <w:jc w:val="right"/>
              <w:rPr>
                <w:color w:val="000000"/>
                <w:szCs w:val="20"/>
              </w:rPr>
            </w:pPr>
          </w:p>
        </w:tc>
        <w:tc>
          <w:tcPr>
            <w:tcW w:w="567" w:type="dxa"/>
            <w:tcBorders>
              <w:top w:val="single" w:sz="4" w:space="0" w:color="auto"/>
            </w:tcBorders>
            <w:shd w:val="clear" w:color="auto" w:fill="auto"/>
            <w:vAlign w:val="center"/>
          </w:tcPr>
          <w:p w14:paraId="668272A9" w14:textId="77777777" w:rsidR="00FC6127" w:rsidRPr="00672B00" w:rsidRDefault="00FC6127" w:rsidP="00FC6127">
            <w:pPr>
              <w:keepNext/>
              <w:keepLines/>
              <w:spacing w:before="20" w:after="20"/>
              <w:jc w:val="right"/>
              <w:rPr>
                <w:color w:val="000000"/>
                <w:szCs w:val="20"/>
              </w:rPr>
            </w:pPr>
          </w:p>
        </w:tc>
        <w:tc>
          <w:tcPr>
            <w:tcW w:w="567" w:type="dxa"/>
            <w:tcBorders>
              <w:top w:val="single" w:sz="4" w:space="0" w:color="auto"/>
            </w:tcBorders>
            <w:shd w:val="clear" w:color="auto" w:fill="auto"/>
            <w:vAlign w:val="center"/>
          </w:tcPr>
          <w:p w14:paraId="3575ACE4" w14:textId="77777777" w:rsidR="00FC6127" w:rsidRPr="00672B00" w:rsidRDefault="00FC6127" w:rsidP="00FC6127">
            <w:pPr>
              <w:keepNext/>
              <w:keepLines/>
              <w:spacing w:before="20" w:after="20"/>
              <w:jc w:val="right"/>
              <w:rPr>
                <w:color w:val="000000"/>
                <w:szCs w:val="20"/>
              </w:rPr>
            </w:pPr>
          </w:p>
        </w:tc>
        <w:tc>
          <w:tcPr>
            <w:tcW w:w="567" w:type="dxa"/>
            <w:tcBorders>
              <w:top w:val="single" w:sz="4" w:space="0" w:color="auto"/>
            </w:tcBorders>
            <w:shd w:val="clear" w:color="auto" w:fill="auto"/>
            <w:vAlign w:val="center"/>
          </w:tcPr>
          <w:p w14:paraId="7E766517" w14:textId="77777777" w:rsidR="00FC6127" w:rsidRPr="00672B00" w:rsidRDefault="00FC6127" w:rsidP="00FC6127">
            <w:pPr>
              <w:keepNext/>
              <w:keepLines/>
              <w:spacing w:before="20" w:after="20"/>
              <w:jc w:val="right"/>
              <w:rPr>
                <w:color w:val="000000"/>
                <w:szCs w:val="20"/>
              </w:rPr>
            </w:pPr>
          </w:p>
        </w:tc>
        <w:tc>
          <w:tcPr>
            <w:tcW w:w="849" w:type="dxa"/>
            <w:tcBorders>
              <w:top w:val="single" w:sz="4" w:space="0" w:color="auto"/>
            </w:tcBorders>
            <w:shd w:val="clear" w:color="auto" w:fill="auto"/>
            <w:vAlign w:val="center"/>
          </w:tcPr>
          <w:p w14:paraId="1F112163" w14:textId="77777777" w:rsidR="00FC6127" w:rsidRPr="00672B00" w:rsidRDefault="00FC6127" w:rsidP="00FC6127">
            <w:pPr>
              <w:keepNext/>
              <w:keepLines/>
              <w:spacing w:before="20" w:after="20"/>
              <w:jc w:val="right"/>
              <w:rPr>
                <w:color w:val="000000"/>
                <w:szCs w:val="20"/>
              </w:rPr>
            </w:pPr>
          </w:p>
        </w:tc>
        <w:tc>
          <w:tcPr>
            <w:tcW w:w="709" w:type="dxa"/>
            <w:tcBorders>
              <w:top w:val="single" w:sz="4" w:space="0" w:color="auto"/>
            </w:tcBorders>
            <w:shd w:val="clear" w:color="auto" w:fill="auto"/>
            <w:vAlign w:val="center"/>
          </w:tcPr>
          <w:p w14:paraId="6F3A9A85" w14:textId="77777777" w:rsidR="00FC6127" w:rsidRPr="00672B00" w:rsidRDefault="00FC6127" w:rsidP="00FC6127">
            <w:pPr>
              <w:keepNext/>
              <w:keepLines/>
              <w:spacing w:before="20" w:after="20"/>
              <w:jc w:val="right"/>
              <w:rPr>
                <w:color w:val="000000"/>
                <w:szCs w:val="20"/>
              </w:rPr>
            </w:pPr>
          </w:p>
        </w:tc>
      </w:tr>
      <w:tr w:rsidR="00FC6127" w:rsidRPr="00672B00" w14:paraId="22597B2F" w14:textId="77777777" w:rsidTr="0008407A">
        <w:trPr>
          <w:jc w:val="center"/>
        </w:trPr>
        <w:tc>
          <w:tcPr>
            <w:tcW w:w="4397" w:type="dxa"/>
            <w:gridSpan w:val="3"/>
            <w:shd w:val="clear" w:color="auto" w:fill="auto"/>
            <w:vAlign w:val="center"/>
          </w:tcPr>
          <w:p w14:paraId="550F6371" w14:textId="77777777" w:rsidR="00FC6127" w:rsidRPr="001E27B8" w:rsidRDefault="00FC6127" w:rsidP="00FC6127">
            <w:pPr>
              <w:keepNext/>
              <w:keepLines/>
              <w:spacing w:before="20" w:after="20"/>
              <w:rPr>
                <w:b/>
                <w:color w:val="000000"/>
                <w:szCs w:val="20"/>
              </w:rPr>
            </w:pPr>
            <w:r>
              <w:rPr>
                <w:b/>
                <w:color w:val="000000"/>
                <w:szCs w:val="20"/>
              </w:rPr>
              <w:t>Wave 1 to Wave 2</w:t>
            </w:r>
          </w:p>
        </w:tc>
        <w:tc>
          <w:tcPr>
            <w:tcW w:w="709" w:type="dxa"/>
            <w:shd w:val="clear" w:color="auto" w:fill="auto"/>
            <w:vAlign w:val="center"/>
          </w:tcPr>
          <w:p w14:paraId="4A66D9E4" w14:textId="77777777" w:rsidR="00FC6127" w:rsidRPr="00672B00" w:rsidRDefault="00FC6127" w:rsidP="00FC6127">
            <w:pPr>
              <w:keepNext/>
              <w:keepLines/>
              <w:spacing w:before="20" w:after="20"/>
              <w:jc w:val="right"/>
              <w:rPr>
                <w:color w:val="000000"/>
                <w:szCs w:val="20"/>
              </w:rPr>
            </w:pPr>
          </w:p>
        </w:tc>
        <w:tc>
          <w:tcPr>
            <w:tcW w:w="567" w:type="dxa"/>
            <w:shd w:val="clear" w:color="auto" w:fill="auto"/>
            <w:vAlign w:val="center"/>
          </w:tcPr>
          <w:p w14:paraId="66C1D29F" w14:textId="77777777" w:rsidR="00FC6127" w:rsidRPr="00672B00" w:rsidRDefault="00FC6127" w:rsidP="00FC6127">
            <w:pPr>
              <w:keepNext/>
              <w:keepLines/>
              <w:spacing w:before="20" w:after="20"/>
              <w:jc w:val="right"/>
              <w:rPr>
                <w:color w:val="000000"/>
                <w:szCs w:val="20"/>
              </w:rPr>
            </w:pPr>
          </w:p>
        </w:tc>
        <w:tc>
          <w:tcPr>
            <w:tcW w:w="567" w:type="dxa"/>
            <w:shd w:val="clear" w:color="auto" w:fill="auto"/>
            <w:vAlign w:val="center"/>
          </w:tcPr>
          <w:p w14:paraId="34BA12F3" w14:textId="77777777" w:rsidR="00FC6127" w:rsidRPr="00672B00" w:rsidRDefault="00FC6127" w:rsidP="00FC6127">
            <w:pPr>
              <w:keepNext/>
              <w:keepLines/>
              <w:spacing w:before="20" w:after="20"/>
              <w:jc w:val="right"/>
              <w:rPr>
                <w:color w:val="000000"/>
                <w:szCs w:val="20"/>
              </w:rPr>
            </w:pPr>
          </w:p>
        </w:tc>
        <w:tc>
          <w:tcPr>
            <w:tcW w:w="567" w:type="dxa"/>
            <w:shd w:val="clear" w:color="auto" w:fill="auto"/>
            <w:vAlign w:val="center"/>
          </w:tcPr>
          <w:p w14:paraId="6175D169" w14:textId="77777777" w:rsidR="00FC6127" w:rsidRPr="00672B00" w:rsidRDefault="00FC6127" w:rsidP="00FC6127">
            <w:pPr>
              <w:keepNext/>
              <w:keepLines/>
              <w:spacing w:before="20" w:after="20"/>
              <w:jc w:val="right"/>
              <w:rPr>
                <w:color w:val="000000"/>
                <w:szCs w:val="20"/>
              </w:rPr>
            </w:pPr>
          </w:p>
        </w:tc>
        <w:tc>
          <w:tcPr>
            <w:tcW w:w="849" w:type="dxa"/>
            <w:shd w:val="clear" w:color="auto" w:fill="auto"/>
            <w:vAlign w:val="center"/>
          </w:tcPr>
          <w:p w14:paraId="7FEFA0E0" w14:textId="77777777" w:rsidR="00FC6127" w:rsidRPr="00672B00" w:rsidRDefault="00FC6127" w:rsidP="00FC6127">
            <w:pPr>
              <w:keepNext/>
              <w:keepLines/>
              <w:spacing w:before="20" w:after="20"/>
              <w:jc w:val="right"/>
              <w:rPr>
                <w:color w:val="000000"/>
                <w:szCs w:val="20"/>
              </w:rPr>
            </w:pPr>
          </w:p>
        </w:tc>
        <w:tc>
          <w:tcPr>
            <w:tcW w:w="709" w:type="dxa"/>
            <w:shd w:val="clear" w:color="auto" w:fill="auto"/>
            <w:vAlign w:val="center"/>
          </w:tcPr>
          <w:p w14:paraId="26FBBB9F" w14:textId="77777777" w:rsidR="00FC6127" w:rsidRPr="00672B00" w:rsidRDefault="00FC6127" w:rsidP="00FC6127">
            <w:pPr>
              <w:keepNext/>
              <w:keepLines/>
              <w:spacing w:before="20" w:after="20"/>
              <w:jc w:val="right"/>
              <w:rPr>
                <w:color w:val="000000"/>
                <w:szCs w:val="20"/>
              </w:rPr>
            </w:pPr>
          </w:p>
        </w:tc>
      </w:tr>
      <w:tr w:rsidR="00FC6127" w:rsidRPr="00672B00" w14:paraId="2592770B" w14:textId="77777777" w:rsidTr="0008407A">
        <w:trPr>
          <w:jc w:val="center"/>
        </w:trPr>
        <w:tc>
          <w:tcPr>
            <w:tcW w:w="3121" w:type="dxa"/>
            <w:vAlign w:val="center"/>
          </w:tcPr>
          <w:p w14:paraId="5DD78B4C" w14:textId="77777777" w:rsidR="00FC6127" w:rsidRPr="00672B00" w:rsidRDefault="00FC6127" w:rsidP="00FC6127">
            <w:pPr>
              <w:keepNext/>
              <w:keepLines/>
              <w:spacing w:before="20" w:after="20"/>
              <w:ind w:left="88"/>
              <w:rPr>
                <w:szCs w:val="20"/>
              </w:rPr>
            </w:pPr>
            <w:r w:rsidRPr="00672B00">
              <w:rPr>
                <w:szCs w:val="20"/>
              </w:rPr>
              <w:t>Non-gambler</w:t>
            </w:r>
          </w:p>
        </w:tc>
        <w:tc>
          <w:tcPr>
            <w:tcW w:w="709" w:type="dxa"/>
            <w:shd w:val="clear" w:color="auto" w:fill="FFFF00"/>
          </w:tcPr>
          <w:p w14:paraId="3107B88E" w14:textId="77777777" w:rsidR="00FC6127" w:rsidRPr="00FC0AFA" w:rsidRDefault="00FC6127" w:rsidP="00FC6127">
            <w:pPr>
              <w:keepNext/>
              <w:jc w:val="right"/>
            </w:pPr>
            <w:r w:rsidRPr="00FC0AFA">
              <w:t>28</w:t>
            </w:r>
          </w:p>
        </w:tc>
        <w:tc>
          <w:tcPr>
            <w:tcW w:w="567" w:type="dxa"/>
            <w:shd w:val="clear" w:color="auto" w:fill="FFFF00"/>
          </w:tcPr>
          <w:p w14:paraId="103FE02D" w14:textId="77777777" w:rsidR="00FC6127" w:rsidRPr="00FC0AFA" w:rsidRDefault="00FC6127" w:rsidP="00FC6127">
            <w:pPr>
              <w:keepNext/>
              <w:jc w:val="right"/>
            </w:pPr>
            <w:r w:rsidRPr="00FC0AFA">
              <w:t>47.0</w:t>
            </w:r>
          </w:p>
        </w:tc>
        <w:tc>
          <w:tcPr>
            <w:tcW w:w="709" w:type="dxa"/>
            <w:shd w:val="clear" w:color="auto" w:fill="E5B8B7" w:themeFill="accent2" w:themeFillTint="66"/>
          </w:tcPr>
          <w:p w14:paraId="7D87E7D9" w14:textId="77777777" w:rsidR="00FC6127" w:rsidRPr="00B46B2C" w:rsidRDefault="00FC6127" w:rsidP="00FC6127">
            <w:pPr>
              <w:keepNext/>
              <w:jc w:val="right"/>
            </w:pPr>
            <w:r w:rsidRPr="00B46B2C">
              <w:t>29</w:t>
            </w:r>
          </w:p>
        </w:tc>
        <w:tc>
          <w:tcPr>
            <w:tcW w:w="567" w:type="dxa"/>
            <w:shd w:val="clear" w:color="auto" w:fill="E5B8B7" w:themeFill="accent2" w:themeFillTint="66"/>
          </w:tcPr>
          <w:p w14:paraId="61D6774D" w14:textId="77777777" w:rsidR="00FC6127" w:rsidRPr="00B46B2C" w:rsidRDefault="00FC6127" w:rsidP="00FC6127">
            <w:pPr>
              <w:keepNext/>
              <w:jc w:val="right"/>
            </w:pPr>
            <w:r w:rsidRPr="00B46B2C">
              <w:t>48.6</w:t>
            </w:r>
          </w:p>
        </w:tc>
        <w:tc>
          <w:tcPr>
            <w:tcW w:w="567" w:type="dxa"/>
            <w:shd w:val="clear" w:color="auto" w:fill="E5B8B7" w:themeFill="accent2" w:themeFillTint="66"/>
          </w:tcPr>
          <w:p w14:paraId="7BABAE65" w14:textId="77777777" w:rsidR="00FC6127" w:rsidRPr="0077425B" w:rsidRDefault="00FC6127" w:rsidP="00FC6127">
            <w:pPr>
              <w:keepNext/>
              <w:jc w:val="right"/>
            </w:pPr>
            <w:r w:rsidRPr="0077425B">
              <w:t>2</w:t>
            </w:r>
          </w:p>
        </w:tc>
        <w:tc>
          <w:tcPr>
            <w:tcW w:w="567" w:type="dxa"/>
            <w:shd w:val="clear" w:color="auto" w:fill="E5B8B7" w:themeFill="accent2" w:themeFillTint="66"/>
          </w:tcPr>
          <w:p w14:paraId="044E4857" w14:textId="77777777" w:rsidR="00FC6127" w:rsidRPr="0077425B" w:rsidRDefault="00FC6127" w:rsidP="00FC6127">
            <w:pPr>
              <w:keepNext/>
              <w:jc w:val="right"/>
            </w:pPr>
            <w:r w:rsidRPr="0077425B">
              <w:t>3.9</w:t>
            </w:r>
          </w:p>
        </w:tc>
        <w:tc>
          <w:tcPr>
            <w:tcW w:w="849" w:type="dxa"/>
            <w:shd w:val="clear" w:color="auto" w:fill="E5B8B7" w:themeFill="accent2" w:themeFillTint="66"/>
          </w:tcPr>
          <w:p w14:paraId="4A39D798" w14:textId="77777777" w:rsidR="00FC6127" w:rsidRPr="0015454A" w:rsidRDefault="00FC6127" w:rsidP="00FC6127">
            <w:pPr>
              <w:keepNext/>
              <w:jc w:val="right"/>
            </w:pPr>
            <w:r w:rsidRPr="0015454A">
              <w:t>0</w:t>
            </w:r>
          </w:p>
        </w:tc>
        <w:tc>
          <w:tcPr>
            <w:tcW w:w="709" w:type="dxa"/>
            <w:shd w:val="clear" w:color="auto" w:fill="E5B8B7" w:themeFill="accent2" w:themeFillTint="66"/>
          </w:tcPr>
          <w:p w14:paraId="2810BF95" w14:textId="77777777" w:rsidR="00FC6127" w:rsidRPr="0015454A" w:rsidRDefault="00FC6127" w:rsidP="00FC6127">
            <w:pPr>
              <w:keepNext/>
              <w:jc w:val="right"/>
            </w:pPr>
            <w:r w:rsidRPr="0015454A">
              <w:t>0.5</w:t>
            </w:r>
          </w:p>
        </w:tc>
      </w:tr>
      <w:tr w:rsidR="00FC6127" w:rsidRPr="00672B00" w14:paraId="55638630" w14:textId="77777777" w:rsidTr="0008407A">
        <w:trPr>
          <w:jc w:val="center"/>
        </w:trPr>
        <w:tc>
          <w:tcPr>
            <w:tcW w:w="3121" w:type="dxa"/>
            <w:vAlign w:val="center"/>
          </w:tcPr>
          <w:p w14:paraId="7EEDB882" w14:textId="77777777" w:rsidR="00FC6127" w:rsidRPr="00672B00" w:rsidRDefault="00FC6127" w:rsidP="00FC6127">
            <w:pPr>
              <w:keepNext/>
              <w:spacing w:before="20" w:after="20"/>
              <w:ind w:left="88"/>
              <w:rPr>
                <w:szCs w:val="20"/>
              </w:rPr>
            </w:pPr>
            <w:r w:rsidRPr="00672B00">
              <w:rPr>
                <w:szCs w:val="20"/>
              </w:rPr>
              <w:t>Non-problem gambler</w:t>
            </w:r>
          </w:p>
        </w:tc>
        <w:tc>
          <w:tcPr>
            <w:tcW w:w="709" w:type="dxa"/>
            <w:shd w:val="clear" w:color="auto" w:fill="D6E3BC" w:themeFill="accent3" w:themeFillTint="66"/>
          </w:tcPr>
          <w:p w14:paraId="00CC596D" w14:textId="77777777" w:rsidR="00FC6127" w:rsidRPr="00FC0AFA" w:rsidRDefault="00FC6127" w:rsidP="00FC6127">
            <w:pPr>
              <w:keepNext/>
              <w:jc w:val="right"/>
            </w:pPr>
            <w:r w:rsidRPr="00FC0AFA">
              <w:t>35</w:t>
            </w:r>
          </w:p>
        </w:tc>
        <w:tc>
          <w:tcPr>
            <w:tcW w:w="567" w:type="dxa"/>
            <w:shd w:val="clear" w:color="auto" w:fill="D6E3BC" w:themeFill="accent3" w:themeFillTint="66"/>
          </w:tcPr>
          <w:p w14:paraId="3A8F6A5D" w14:textId="77777777" w:rsidR="00FC6127" w:rsidRPr="00FC0AFA" w:rsidRDefault="00FC6127" w:rsidP="00FC6127">
            <w:pPr>
              <w:keepNext/>
              <w:jc w:val="right"/>
            </w:pPr>
            <w:r w:rsidRPr="00FC0AFA">
              <w:t>12.5</w:t>
            </w:r>
          </w:p>
        </w:tc>
        <w:tc>
          <w:tcPr>
            <w:tcW w:w="709" w:type="dxa"/>
            <w:shd w:val="clear" w:color="auto" w:fill="FFFF00"/>
          </w:tcPr>
          <w:p w14:paraId="2AF03B5E" w14:textId="77777777" w:rsidR="00FC6127" w:rsidRPr="00B46B2C" w:rsidRDefault="00FC6127" w:rsidP="00FC6127">
            <w:pPr>
              <w:keepNext/>
              <w:jc w:val="right"/>
            </w:pPr>
            <w:r w:rsidRPr="00B46B2C">
              <w:t>210</w:t>
            </w:r>
          </w:p>
        </w:tc>
        <w:tc>
          <w:tcPr>
            <w:tcW w:w="567" w:type="dxa"/>
            <w:shd w:val="clear" w:color="auto" w:fill="FFFF00"/>
          </w:tcPr>
          <w:p w14:paraId="5D225253" w14:textId="77777777" w:rsidR="00FC6127" w:rsidRPr="00B46B2C" w:rsidRDefault="00FC6127" w:rsidP="00FC6127">
            <w:pPr>
              <w:keepNext/>
              <w:jc w:val="right"/>
            </w:pPr>
            <w:r w:rsidRPr="00B46B2C">
              <w:t>75.6</w:t>
            </w:r>
          </w:p>
        </w:tc>
        <w:tc>
          <w:tcPr>
            <w:tcW w:w="567" w:type="dxa"/>
            <w:shd w:val="clear" w:color="auto" w:fill="E5B8B7" w:themeFill="accent2" w:themeFillTint="66"/>
          </w:tcPr>
          <w:p w14:paraId="08BD1771" w14:textId="77777777" w:rsidR="00FC6127" w:rsidRPr="0077425B" w:rsidRDefault="00FC6127" w:rsidP="00FC6127">
            <w:pPr>
              <w:keepNext/>
              <w:jc w:val="right"/>
            </w:pPr>
            <w:r w:rsidRPr="0077425B">
              <w:t>27</w:t>
            </w:r>
          </w:p>
        </w:tc>
        <w:tc>
          <w:tcPr>
            <w:tcW w:w="567" w:type="dxa"/>
            <w:shd w:val="clear" w:color="auto" w:fill="E5B8B7" w:themeFill="accent2" w:themeFillTint="66"/>
          </w:tcPr>
          <w:p w14:paraId="593902FF" w14:textId="77777777" w:rsidR="00FC6127" w:rsidRPr="0077425B" w:rsidRDefault="00FC6127" w:rsidP="00FC6127">
            <w:pPr>
              <w:keepNext/>
              <w:jc w:val="right"/>
            </w:pPr>
            <w:r w:rsidRPr="0077425B">
              <w:t>9.7</w:t>
            </w:r>
          </w:p>
        </w:tc>
        <w:tc>
          <w:tcPr>
            <w:tcW w:w="849" w:type="dxa"/>
            <w:shd w:val="clear" w:color="auto" w:fill="E5B8B7" w:themeFill="accent2" w:themeFillTint="66"/>
          </w:tcPr>
          <w:p w14:paraId="7B34CC45" w14:textId="77777777" w:rsidR="00FC6127" w:rsidRPr="0015454A" w:rsidRDefault="00FC6127" w:rsidP="00FC6127">
            <w:pPr>
              <w:keepNext/>
              <w:jc w:val="right"/>
            </w:pPr>
            <w:r w:rsidRPr="0015454A">
              <w:t>6</w:t>
            </w:r>
          </w:p>
        </w:tc>
        <w:tc>
          <w:tcPr>
            <w:tcW w:w="709" w:type="dxa"/>
            <w:shd w:val="clear" w:color="auto" w:fill="E5B8B7" w:themeFill="accent2" w:themeFillTint="66"/>
          </w:tcPr>
          <w:p w14:paraId="338D78E4" w14:textId="77777777" w:rsidR="00FC6127" w:rsidRPr="0015454A" w:rsidRDefault="00FC6127" w:rsidP="00FC6127">
            <w:pPr>
              <w:keepNext/>
              <w:jc w:val="right"/>
            </w:pPr>
            <w:r w:rsidRPr="0015454A">
              <w:t>2.2</w:t>
            </w:r>
          </w:p>
        </w:tc>
      </w:tr>
      <w:tr w:rsidR="00FC6127" w:rsidRPr="00672B00" w14:paraId="42909022" w14:textId="77777777" w:rsidTr="0008407A">
        <w:trPr>
          <w:jc w:val="center"/>
        </w:trPr>
        <w:tc>
          <w:tcPr>
            <w:tcW w:w="3121" w:type="dxa"/>
            <w:vAlign w:val="center"/>
          </w:tcPr>
          <w:p w14:paraId="661FC497" w14:textId="77777777" w:rsidR="00FC6127" w:rsidRPr="00672B00" w:rsidRDefault="00FC6127" w:rsidP="00FC6127">
            <w:pPr>
              <w:keepNext/>
              <w:spacing w:before="20" w:after="20"/>
              <w:ind w:left="88"/>
              <w:rPr>
                <w:szCs w:val="20"/>
              </w:rPr>
            </w:pPr>
            <w:r w:rsidRPr="00672B00">
              <w:rPr>
                <w:szCs w:val="20"/>
              </w:rPr>
              <w:t>Low-risk gambler</w:t>
            </w:r>
          </w:p>
        </w:tc>
        <w:tc>
          <w:tcPr>
            <w:tcW w:w="709" w:type="dxa"/>
            <w:shd w:val="clear" w:color="auto" w:fill="D6E3BC" w:themeFill="accent3" w:themeFillTint="66"/>
          </w:tcPr>
          <w:p w14:paraId="6BC5B6EF" w14:textId="77777777" w:rsidR="00FC6127" w:rsidRPr="00FC0AFA" w:rsidRDefault="00FC6127" w:rsidP="00FC6127">
            <w:pPr>
              <w:keepNext/>
              <w:jc w:val="right"/>
            </w:pPr>
            <w:r w:rsidRPr="00FC0AFA">
              <w:t>1</w:t>
            </w:r>
          </w:p>
        </w:tc>
        <w:tc>
          <w:tcPr>
            <w:tcW w:w="567" w:type="dxa"/>
            <w:shd w:val="clear" w:color="auto" w:fill="D6E3BC" w:themeFill="accent3" w:themeFillTint="66"/>
          </w:tcPr>
          <w:p w14:paraId="1B07E61D" w14:textId="77777777" w:rsidR="00FC6127" w:rsidRPr="00FC0AFA" w:rsidRDefault="00FC6127" w:rsidP="00FC6127">
            <w:pPr>
              <w:keepNext/>
              <w:jc w:val="right"/>
            </w:pPr>
            <w:r w:rsidRPr="00FC0AFA">
              <w:t>3.0</w:t>
            </w:r>
          </w:p>
        </w:tc>
        <w:tc>
          <w:tcPr>
            <w:tcW w:w="709" w:type="dxa"/>
            <w:shd w:val="clear" w:color="auto" w:fill="D6E3BC" w:themeFill="accent3" w:themeFillTint="66"/>
          </w:tcPr>
          <w:p w14:paraId="1913A09B" w14:textId="77777777" w:rsidR="00FC6127" w:rsidRPr="00B46B2C" w:rsidRDefault="00FC6127" w:rsidP="00FC6127">
            <w:pPr>
              <w:keepNext/>
              <w:jc w:val="right"/>
            </w:pPr>
            <w:r w:rsidRPr="00B46B2C">
              <w:t>14</w:t>
            </w:r>
          </w:p>
        </w:tc>
        <w:tc>
          <w:tcPr>
            <w:tcW w:w="567" w:type="dxa"/>
            <w:shd w:val="clear" w:color="auto" w:fill="D6E3BC" w:themeFill="accent3" w:themeFillTint="66"/>
          </w:tcPr>
          <w:p w14:paraId="21052B62" w14:textId="77777777" w:rsidR="00FC6127" w:rsidRPr="00B46B2C" w:rsidRDefault="00FC6127" w:rsidP="00FC6127">
            <w:pPr>
              <w:keepNext/>
              <w:jc w:val="right"/>
            </w:pPr>
            <w:r w:rsidRPr="00B46B2C">
              <w:t>45.2</w:t>
            </w:r>
          </w:p>
        </w:tc>
        <w:tc>
          <w:tcPr>
            <w:tcW w:w="567" w:type="dxa"/>
            <w:shd w:val="clear" w:color="auto" w:fill="FFFF00"/>
          </w:tcPr>
          <w:p w14:paraId="5E5E169B" w14:textId="77777777" w:rsidR="00FC6127" w:rsidRPr="0077425B" w:rsidRDefault="00FC6127" w:rsidP="00FC6127">
            <w:pPr>
              <w:keepNext/>
              <w:jc w:val="right"/>
            </w:pPr>
            <w:r w:rsidRPr="0077425B">
              <w:t>11</w:t>
            </w:r>
          </w:p>
        </w:tc>
        <w:tc>
          <w:tcPr>
            <w:tcW w:w="567" w:type="dxa"/>
            <w:shd w:val="clear" w:color="auto" w:fill="FFFF00"/>
          </w:tcPr>
          <w:p w14:paraId="5A962780" w14:textId="77777777" w:rsidR="00FC6127" w:rsidRPr="0077425B" w:rsidRDefault="00FC6127" w:rsidP="00FC6127">
            <w:pPr>
              <w:keepNext/>
              <w:jc w:val="right"/>
            </w:pPr>
            <w:r w:rsidRPr="0077425B">
              <w:t>37.7</w:t>
            </w:r>
          </w:p>
        </w:tc>
        <w:tc>
          <w:tcPr>
            <w:tcW w:w="849" w:type="dxa"/>
            <w:shd w:val="clear" w:color="auto" w:fill="E5B8B7" w:themeFill="accent2" w:themeFillTint="66"/>
          </w:tcPr>
          <w:p w14:paraId="4D76489E" w14:textId="77777777" w:rsidR="00FC6127" w:rsidRPr="0015454A" w:rsidRDefault="00FC6127" w:rsidP="00FC6127">
            <w:pPr>
              <w:keepNext/>
              <w:jc w:val="right"/>
            </w:pPr>
            <w:r w:rsidRPr="0015454A">
              <w:t>4</w:t>
            </w:r>
          </w:p>
        </w:tc>
        <w:tc>
          <w:tcPr>
            <w:tcW w:w="709" w:type="dxa"/>
            <w:shd w:val="clear" w:color="auto" w:fill="E5B8B7" w:themeFill="accent2" w:themeFillTint="66"/>
          </w:tcPr>
          <w:p w14:paraId="4DCCBD8C" w14:textId="77777777" w:rsidR="00FC6127" w:rsidRPr="0015454A" w:rsidRDefault="00FC6127" w:rsidP="00FC6127">
            <w:pPr>
              <w:keepNext/>
              <w:jc w:val="right"/>
            </w:pPr>
            <w:r w:rsidRPr="0015454A">
              <w:t>14.0</w:t>
            </w:r>
          </w:p>
        </w:tc>
      </w:tr>
      <w:tr w:rsidR="00FC6127" w:rsidRPr="00672B00" w14:paraId="13D749C5" w14:textId="77777777" w:rsidTr="0008407A">
        <w:trPr>
          <w:jc w:val="center"/>
        </w:trPr>
        <w:tc>
          <w:tcPr>
            <w:tcW w:w="3121" w:type="dxa"/>
            <w:vAlign w:val="center"/>
          </w:tcPr>
          <w:p w14:paraId="3EF62DE3" w14:textId="77777777" w:rsidR="00FC6127" w:rsidRPr="00672B00" w:rsidRDefault="00FC6127" w:rsidP="00FC6127">
            <w:pPr>
              <w:keepNext/>
              <w:spacing w:before="20" w:after="20"/>
              <w:ind w:left="88"/>
              <w:rPr>
                <w:szCs w:val="20"/>
              </w:rPr>
            </w:pPr>
            <w:r w:rsidRPr="00672B00">
              <w:rPr>
                <w:szCs w:val="20"/>
              </w:rPr>
              <w:t>Moderate-risk</w:t>
            </w:r>
            <w:r>
              <w:rPr>
                <w:szCs w:val="20"/>
              </w:rPr>
              <w:t>/problem</w:t>
            </w:r>
            <w:r w:rsidRPr="00672B00">
              <w:rPr>
                <w:szCs w:val="20"/>
              </w:rPr>
              <w:t xml:space="preserve"> gambler</w:t>
            </w:r>
          </w:p>
        </w:tc>
        <w:tc>
          <w:tcPr>
            <w:tcW w:w="709" w:type="dxa"/>
            <w:shd w:val="clear" w:color="auto" w:fill="D6E3BC" w:themeFill="accent3" w:themeFillTint="66"/>
          </w:tcPr>
          <w:p w14:paraId="054B2686" w14:textId="77777777" w:rsidR="00FC6127" w:rsidRPr="00FC0AFA" w:rsidRDefault="00FC6127" w:rsidP="00FC6127">
            <w:pPr>
              <w:keepNext/>
              <w:jc w:val="right"/>
            </w:pPr>
            <w:r w:rsidRPr="00FC0AFA">
              <w:t>0</w:t>
            </w:r>
          </w:p>
        </w:tc>
        <w:tc>
          <w:tcPr>
            <w:tcW w:w="567" w:type="dxa"/>
            <w:shd w:val="clear" w:color="auto" w:fill="D6E3BC" w:themeFill="accent3" w:themeFillTint="66"/>
          </w:tcPr>
          <w:p w14:paraId="2F1199FA" w14:textId="77777777" w:rsidR="00FC6127" w:rsidRDefault="00FC6127" w:rsidP="00FC6127">
            <w:pPr>
              <w:keepNext/>
              <w:jc w:val="right"/>
            </w:pPr>
            <w:r w:rsidRPr="00FC0AFA">
              <w:t>-</w:t>
            </w:r>
          </w:p>
        </w:tc>
        <w:tc>
          <w:tcPr>
            <w:tcW w:w="709" w:type="dxa"/>
            <w:shd w:val="clear" w:color="auto" w:fill="D6E3BC" w:themeFill="accent3" w:themeFillTint="66"/>
          </w:tcPr>
          <w:p w14:paraId="514CE79B" w14:textId="77777777" w:rsidR="00FC6127" w:rsidRPr="00B46B2C" w:rsidRDefault="00FC6127" w:rsidP="00FC6127">
            <w:pPr>
              <w:keepNext/>
              <w:jc w:val="right"/>
            </w:pPr>
            <w:r w:rsidRPr="00B46B2C">
              <w:t>2</w:t>
            </w:r>
          </w:p>
        </w:tc>
        <w:tc>
          <w:tcPr>
            <w:tcW w:w="567" w:type="dxa"/>
            <w:shd w:val="clear" w:color="auto" w:fill="D6E3BC" w:themeFill="accent3" w:themeFillTint="66"/>
          </w:tcPr>
          <w:p w14:paraId="0E5E12B5" w14:textId="77777777" w:rsidR="00FC6127" w:rsidRDefault="00FC6127" w:rsidP="00FC6127">
            <w:pPr>
              <w:keepNext/>
              <w:jc w:val="right"/>
            </w:pPr>
            <w:r w:rsidRPr="00B46B2C">
              <w:t>10.5</w:t>
            </w:r>
          </w:p>
        </w:tc>
        <w:tc>
          <w:tcPr>
            <w:tcW w:w="567" w:type="dxa"/>
            <w:shd w:val="clear" w:color="auto" w:fill="D6E3BC" w:themeFill="accent3" w:themeFillTint="66"/>
          </w:tcPr>
          <w:p w14:paraId="4A0064B9" w14:textId="77777777" w:rsidR="00FC6127" w:rsidRPr="0077425B" w:rsidRDefault="00FC6127" w:rsidP="00FC6127">
            <w:pPr>
              <w:keepNext/>
              <w:jc w:val="right"/>
            </w:pPr>
            <w:r w:rsidRPr="0077425B">
              <w:t>6</w:t>
            </w:r>
          </w:p>
        </w:tc>
        <w:tc>
          <w:tcPr>
            <w:tcW w:w="567" w:type="dxa"/>
            <w:shd w:val="clear" w:color="auto" w:fill="D6E3BC" w:themeFill="accent3" w:themeFillTint="66"/>
          </w:tcPr>
          <w:p w14:paraId="0C24E52D" w14:textId="77777777" w:rsidR="00FC6127" w:rsidRDefault="00FC6127" w:rsidP="00FC6127">
            <w:pPr>
              <w:keepNext/>
              <w:jc w:val="right"/>
            </w:pPr>
            <w:r w:rsidRPr="0077425B">
              <w:t>27.1</w:t>
            </w:r>
          </w:p>
        </w:tc>
        <w:tc>
          <w:tcPr>
            <w:tcW w:w="849" w:type="dxa"/>
            <w:shd w:val="clear" w:color="auto" w:fill="FFFF00"/>
          </w:tcPr>
          <w:p w14:paraId="7E78AC43" w14:textId="77777777" w:rsidR="00FC6127" w:rsidRPr="0015454A" w:rsidRDefault="00FC6127" w:rsidP="00FC6127">
            <w:pPr>
              <w:keepNext/>
              <w:jc w:val="right"/>
            </w:pPr>
            <w:r w:rsidRPr="0015454A">
              <w:t>13</w:t>
            </w:r>
          </w:p>
        </w:tc>
        <w:tc>
          <w:tcPr>
            <w:tcW w:w="709" w:type="dxa"/>
            <w:shd w:val="clear" w:color="auto" w:fill="FFFF00"/>
          </w:tcPr>
          <w:p w14:paraId="76757A07" w14:textId="77777777" w:rsidR="00FC6127" w:rsidRDefault="00FC6127" w:rsidP="00FC6127">
            <w:pPr>
              <w:keepNext/>
              <w:jc w:val="right"/>
            </w:pPr>
            <w:r w:rsidRPr="0015454A">
              <w:t>62.4</w:t>
            </w:r>
          </w:p>
        </w:tc>
      </w:tr>
      <w:tr w:rsidR="00FC6127" w:rsidRPr="00672B00" w14:paraId="5749D813" w14:textId="77777777" w:rsidTr="0008407A">
        <w:trPr>
          <w:jc w:val="center"/>
        </w:trPr>
        <w:tc>
          <w:tcPr>
            <w:tcW w:w="4397" w:type="dxa"/>
            <w:gridSpan w:val="3"/>
            <w:tcBorders>
              <w:top w:val="single" w:sz="4" w:space="0" w:color="auto"/>
            </w:tcBorders>
            <w:shd w:val="clear" w:color="auto" w:fill="auto"/>
            <w:vAlign w:val="center"/>
          </w:tcPr>
          <w:p w14:paraId="4535BB58" w14:textId="77777777" w:rsidR="00FC6127" w:rsidRPr="001E27B8" w:rsidRDefault="00FC6127" w:rsidP="00FC6127">
            <w:pPr>
              <w:keepNext/>
              <w:keepLines/>
              <w:spacing w:before="20" w:after="20"/>
              <w:rPr>
                <w:b/>
                <w:color w:val="000000"/>
                <w:szCs w:val="20"/>
              </w:rPr>
            </w:pPr>
            <w:r>
              <w:rPr>
                <w:b/>
                <w:color w:val="000000"/>
                <w:szCs w:val="20"/>
              </w:rPr>
              <w:t>Wave 2 to Wave 3</w:t>
            </w:r>
          </w:p>
        </w:tc>
        <w:tc>
          <w:tcPr>
            <w:tcW w:w="709" w:type="dxa"/>
            <w:tcBorders>
              <w:top w:val="single" w:sz="4" w:space="0" w:color="auto"/>
            </w:tcBorders>
            <w:shd w:val="clear" w:color="auto" w:fill="auto"/>
            <w:vAlign w:val="center"/>
          </w:tcPr>
          <w:p w14:paraId="39610253" w14:textId="77777777" w:rsidR="00FC6127" w:rsidRPr="00672B00" w:rsidRDefault="00FC6127" w:rsidP="00FC6127">
            <w:pPr>
              <w:keepNext/>
              <w:keepLines/>
              <w:spacing w:before="20" w:after="20"/>
              <w:jc w:val="right"/>
              <w:rPr>
                <w:color w:val="000000"/>
                <w:szCs w:val="20"/>
              </w:rPr>
            </w:pPr>
          </w:p>
        </w:tc>
        <w:tc>
          <w:tcPr>
            <w:tcW w:w="567" w:type="dxa"/>
            <w:tcBorders>
              <w:top w:val="single" w:sz="4" w:space="0" w:color="auto"/>
            </w:tcBorders>
            <w:shd w:val="clear" w:color="auto" w:fill="auto"/>
            <w:vAlign w:val="center"/>
          </w:tcPr>
          <w:p w14:paraId="59A2FE72" w14:textId="77777777" w:rsidR="00FC6127" w:rsidRPr="00672B00" w:rsidRDefault="00FC6127" w:rsidP="00FC6127">
            <w:pPr>
              <w:keepNext/>
              <w:keepLines/>
              <w:spacing w:before="20" w:after="20"/>
              <w:jc w:val="right"/>
              <w:rPr>
                <w:color w:val="000000"/>
                <w:szCs w:val="20"/>
              </w:rPr>
            </w:pPr>
          </w:p>
        </w:tc>
        <w:tc>
          <w:tcPr>
            <w:tcW w:w="567" w:type="dxa"/>
            <w:tcBorders>
              <w:top w:val="single" w:sz="4" w:space="0" w:color="auto"/>
            </w:tcBorders>
            <w:shd w:val="clear" w:color="auto" w:fill="auto"/>
            <w:vAlign w:val="bottom"/>
          </w:tcPr>
          <w:p w14:paraId="5D084284" w14:textId="77777777" w:rsidR="00FC6127" w:rsidRDefault="00FC6127" w:rsidP="00FC6127">
            <w:pPr>
              <w:keepNext/>
              <w:jc w:val="center"/>
              <w:rPr>
                <w:rFonts w:ascii="Calibri" w:hAnsi="Calibri"/>
                <w:color w:val="000000"/>
                <w:sz w:val="22"/>
                <w:szCs w:val="22"/>
              </w:rPr>
            </w:pPr>
          </w:p>
        </w:tc>
        <w:tc>
          <w:tcPr>
            <w:tcW w:w="567" w:type="dxa"/>
            <w:tcBorders>
              <w:top w:val="single" w:sz="4" w:space="0" w:color="auto"/>
            </w:tcBorders>
            <w:shd w:val="clear" w:color="auto" w:fill="auto"/>
            <w:vAlign w:val="bottom"/>
          </w:tcPr>
          <w:p w14:paraId="20EC9966" w14:textId="77777777" w:rsidR="00FC6127" w:rsidRDefault="00FC6127" w:rsidP="00FC6127">
            <w:pPr>
              <w:keepNext/>
              <w:jc w:val="center"/>
              <w:rPr>
                <w:szCs w:val="20"/>
              </w:rPr>
            </w:pPr>
          </w:p>
        </w:tc>
        <w:tc>
          <w:tcPr>
            <w:tcW w:w="849" w:type="dxa"/>
            <w:tcBorders>
              <w:top w:val="single" w:sz="4" w:space="0" w:color="auto"/>
            </w:tcBorders>
            <w:shd w:val="clear" w:color="auto" w:fill="auto"/>
            <w:vAlign w:val="bottom"/>
          </w:tcPr>
          <w:p w14:paraId="2FC5908F" w14:textId="77777777" w:rsidR="00FC6127" w:rsidRDefault="00FC6127" w:rsidP="00FC6127">
            <w:pPr>
              <w:keepNext/>
              <w:jc w:val="center"/>
              <w:rPr>
                <w:rFonts w:ascii="Calibri" w:hAnsi="Calibri"/>
                <w:color w:val="000000"/>
                <w:sz w:val="22"/>
                <w:szCs w:val="22"/>
              </w:rPr>
            </w:pPr>
          </w:p>
        </w:tc>
        <w:tc>
          <w:tcPr>
            <w:tcW w:w="709" w:type="dxa"/>
            <w:tcBorders>
              <w:top w:val="single" w:sz="4" w:space="0" w:color="auto"/>
            </w:tcBorders>
            <w:shd w:val="clear" w:color="auto" w:fill="auto"/>
            <w:vAlign w:val="bottom"/>
          </w:tcPr>
          <w:p w14:paraId="494781C2" w14:textId="77777777" w:rsidR="00FC6127" w:rsidRDefault="00FC6127" w:rsidP="00FC6127">
            <w:pPr>
              <w:keepNext/>
              <w:jc w:val="center"/>
              <w:rPr>
                <w:szCs w:val="20"/>
              </w:rPr>
            </w:pPr>
          </w:p>
        </w:tc>
      </w:tr>
      <w:tr w:rsidR="00FC6127" w:rsidRPr="00672B00" w14:paraId="7F5BAB38" w14:textId="77777777" w:rsidTr="0008407A">
        <w:trPr>
          <w:jc w:val="center"/>
        </w:trPr>
        <w:tc>
          <w:tcPr>
            <w:tcW w:w="3121" w:type="dxa"/>
            <w:vAlign w:val="center"/>
          </w:tcPr>
          <w:p w14:paraId="46F3409F" w14:textId="77777777" w:rsidR="00FC6127" w:rsidRPr="00672B00" w:rsidRDefault="00FC6127" w:rsidP="00FC6127">
            <w:pPr>
              <w:keepNext/>
              <w:keepLines/>
              <w:spacing w:before="20" w:after="20"/>
              <w:ind w:left="88"/>
              <w:rPr>
                <w:szCs w:val="20"/>
              </w:rPr>
            </w:pPr>
            <w:r w:rsidRPr="00672B00">
              <w:rPr>
                <w:szCs w:val="20"/>
              </w:rPr>
              <w:t>Non-gambler</w:t>
            </w:r>
          </w:p>
        </w:tc>
        <w:tc>
          <w:tcPr>
            <w:tcW w:w="709" w:type="dxa"/>
            <w:shd w:val="clear" w:color="auto" w:fill="FFFF00"/>
          </w:tcPr>
          <w:p w14:paraId="7D02E6EE" w14:textId="77777777" w:rsidR="00FC6127" w:rsidRPr="00585FF3" w:rsidRDefault="00FC6127" w:rsidP="00FC6127">
            <w:pPr>
              <w:keepNext/>
              <w:jc w:val="right"/>
            </w:pPr>
            <w:r w:rsidRPr="00585FF3">
              <w:t>32</w:t>
            </w:r>
          </w:p>
        </w:tc>
        <w:tc>
          <w:tcPr>
            <w:tcW w:w="567" w:type="dxa"/>
            <w:shd w:val="clear" w:color="auto" w:fill="FFFF00"/>
          </w:tcPr>
          <w:p w14:paraId="73622A20" w14:textId="77777777" w:rsidR="00FC6127" w:rsidRPr="00585FF3" w:rsidRDefault="00FC6127" w:rsidP="00FC6127">
            <w:pPr>
              <w:keepNext/>
              <w:jc w:val="right"/>
            </w:pPr>
            <w:r w:rsidRPr="00585FF3">
              <w:t>55.1</w:t>
            </w:r>
          </w:p>
        </w:tc>
        <w:tc>
          <w:tcPr>
            <w:tcW w:w="709" w:type="dxa"/>
            <w:shd w:val="clear" w:color="auto" w:fill="E5B8B7" w:themeFill="accent2" w:themeFillTint="66"/>
          </w:tcPr>
          <w:p w14:paraId="17F6FC99" w14:textId="77777777" w:rsidR="00FC6127" w:rsidRPr="00771271" w:rsidRDefault="00FC6127" w:rsidP="00FC6127">
            <w:pPr>
              <w:keepNext/>
              <w:jc w:val="right"/>
            </w:pPr>
            <w:r w:rsidRPr="00771271">
              <w:t>23</w:t>
            </w:r>
          </w:p>
        </w:tc>
        <w:tc>
          <w:tcPr>
            <w:tcW w:w="567" w:type="dxa"/>
            <w:shd w:val="clear" w:color="auto" w:fill="E5B8B7" w:themeFill="accent2" w:themeFillTint="66"/>
          </w:tcPr>
          <w:p w14:paraId="79452D81" w14:textId="77777777" w:rsidR="00FC6127" w:rsidRPr="00771271" w:rsidRDefault="00FC6127" w:rsidP="00FC6127">
            <w:pPr>
              <w:keepNext/>
              <w:jc w:val="right"/>
            </w:pPr>
            <w:r w:rsidRPr="00771271">
              <w:t>40.2</w:t>
            </w:r>
          </w:p>
        </w:tc>
        <w:tc>
          <w:tcPr>
            <w:tcW w:w="567" w:type="dxa"/>
            <w:shd w:val="clear" w:color="auto" w:fill="E5B8B7" w:themeFill="accent2" w:themeFillTint="66"/>
          </w:tcPr>
          <w:p w14:paraId="6DEFA958" w14:textId="77777777" w:rsidR="00FC6127" w:rsidRPr="00B027C7" w:rsidRDefault="00FC6127" w:rsidP="00FC6127">
            <w:pPr>
              <w:keepNext/>
              <w:jc w:val="right"/>
            </w:pPr>
            <w:r w:rsidRPr="00B027C7">
              <w:t>2</w:t>
            </w:r>
          </w:p>
        </w:tc>
        <w:tc>
          <w:tcPr>
            <w:tcW w:w="567" w:type="dxa"/>
            <w:shd w:val="clear" w:color="auto" w:fill="E5B8B7" w:themeFill="accent2" w:themeFillTint="66"/>
          </w:tcPr>
          <w:p w14:paraId="1E407BFF" w14:textId="77777777" w:rsidR="00FC6127" w:rsidRPr="00B027C7" w:rsidRDefault="00FC6127" w:rsidP="00FC6127">
            <w:pPr>
              <w:keepNext/>
              <w:jc w:val="right"/>
            </w:pPr>
            <w:r w:rsidRPr="00B027C7">
              <w:t>4.2</w:t>
            </w:r>
          </w:p>
        </w:tc>
        <w:tc>
          <w:tcPr>
            <w:tcW w:w="849" w:type="dxa"/>
            <w:shd w:val="clear" w:color="auto" w:fill="E5B8B7" w:themeFill="accent2" w:themeFillTint="66"/>
          </w:tcPr>
          <w:p w14:paraId="2AE1B630" w14:textId="77777777" w:rsidR="00FC6127" w:rsidRPr="00943AFA" w:rsidRDefault="00FC6127" w:rsidP="00FC6127">
            <w:pPr>
              <w:keepNext/>
              <w:jc w:val="right"/>
            </w:pPr>
            <w:r w:rsidRPr="00943AFA">
              <w:t>0</w:t>
            </w:r>
          </w:p>
        </w:tc>
        <w:tc>
          <w:tcPr>
            <w:tcW w:w="709" w:type="dxa"/>
            <w:shd w:val="clear" w:color="auto" w:fill="E5B8B7" w:themeFill="accent2" w:themeFillTint="66"/>
          </w:tcPr>
          <w:p w14:paraId="30170D08" w14:textId="77777777" w:rsidR="00FC6127" w:rsidRPr="00943AFA" w:rsidRDefault="00FC6127" w:rsidP="00FC6127">
            <w:pPr>
              <w:keepNext/>
              <w:jc w:val="right"/>
            </w:pPr>
            <w:r w:rsidRPr="00943AFA">
              <w:t>0.6</w:t>
            </w:r>
          </w:p>
        </w:tc>
      </w:tr>
      <w:tr w:rsidR="00FC6127" w:rsidRPr="00672B00" w14:paraId="2CB8B5F8" w14:textId="77777777" w:rsidTr="0008407A">
        <w:trPr>
          <w:jc w:val="center"/>
        </w:trPr>
        <w:tc>
          <w:tcPr>
            <w:tcW w:w="3121" w:type="dxa"/>
            <w:vAlign w:val="center"/>
          </w:tcPr>
          <w:p w14:paraId="7AC46FD6" w14:textId="77777777" w:rsidR="00FC6127" w:rsidRPr="00672B00" w:rsidRDefault="00FC6127" w:rsidP="00FC6127">
            <w:pPr>
              <w:keepNext/>
              <w:spacing w:before="20" w:after="20"/>
              <w:ind w:left="88"/>
              <w:rPr>
                <w:szCs w:val="20"/>
              </w:rPr>
            </w:pPr>
            <w:r w:rsidRPr="00672B00">
              <w:rPr>
                <w:szCs w:val="20"/>
              </w:rPr>
              <w:t>Non-problem gambler</w:t>
            </w:r>
          </w:p>
        </w:tc>
        <w:tc>
          <w:tcPr>
            <w:tcW w:w="709" w:type="dxa"/>
            <w:shd w:val="clear" w:color="auto" w:fill="D6E3BC" w:themeFill="accent3" w:themeFillTint="66"/>
          </w:tcPr>
          <w:p w14:paraId="5D03658B" w14:textId="77777777" w:rsidR="00FC6127" w:rsidRPr="00585FF3" w:rsidRDefault="00FC6127" w:rsidP="00FC6127">
            <w:pPr>
              <w:keepNext/>
              <w:jc w:val="right"/>
            </w:pPr>
            <w:r w:rsidRPr="00585FF3">
              <w:t>37</w:t>
            </w:r>
          </w:p>
        </w:tc>
        <w:tc>
          <w:tcPr>
            <w:tcW w:w="567" w:type="dxa"/>
            <w:shd w:val="clear" w:color="auto" w:fill="D6E3BC" w:themeFill="accent3" w:themeFillTint="66"/>
          </w:tcPr>
          <w:p w14:paraId="665B68A0" w14:textId="77777777" w:rsidR="00FC6127" w:rsidRPr="00585FF3" w:rsidRDefault="00FC6127" w:rsidP="00FC6127">
            <w:pPr>
              <w:keepNext/>
              <w:jc w:val="right"/>
            </w:pPr>
            <w:r w:rsidRPr="00585FF3">
              <w:t>17.3</w:t>
            </w:r>
          </w:p>
        </w:tc>
        <w:tc>
          <w:tcPr>
            <w:tcW w:w="709" w:type="dxa"/>
            <w:shd w:val="clear" w:color="auto" w:fill="FFFF00"/>
          </w:tcPr>
          <w:p w14:paraId="5BC9A7E0" w14:textId="77777777" w:rsidR="00FC6127" w:rsidRPr="00771271" w:rsidRDefault="00FC6127" w:rsidP="00FC6127">
            <w:pPr>
              <w:keepNext/>
              <w:jc w:val="right"/>
            </w:pPr>
            <w:r w:rsidRPr="00771271">
              <w:t>162</w:t>
            </w:r>
          </w:p>
        </w:tc>
        <w:tc>
          <w:tcPr>
            <w:tcW w:w="567" w:type="dxa"/>
            <w:shd w:val="clear" w:color="auto" w:fill="FFFF00"/>
          </w:tcPr>
          <w:p w14:paraId="623A2FD6" w14:textId="77777777" w:rsidR="00FC6127" w:rsidRPr="00771271" w:rsidRDefault="00FC6127" w:rsidP="00FC6127">
            <w:pPr>
              <w:keepNext/>
              <w:jc w:val="right"/>
            </w:pPr>
            <w:r w:rsidRPr="00771271">
              <w:t>75.5</w:t>
            </w:r>
          </w:p>
        </w:tc>
        <w:tc>
          <w:tcPr>
            <w:tcW w:w="567" w:type="dxa"/>
            <w:shd w:val="clear" w:color="auto" w:fill="E5B8B7" w:themeFill="accent2" w:themeFillTint="66"/>
          </w:tcPr>
          <w:p w14:paraId="6D4A216C" w14:textId="77777777" w:rsidR="00FC6127" w:rsidRPr="00B027C7" w:rsidRDefault="00FC6127" w:rsidP="00FC6127">
            <w:pPr>
              <w:keepNext/>
              <w:jc w:val="right"/>
            </w:pPr>
            <w:r w:rsidRPr="00B027C7">
              <w:t>12</w:t>
            </w:r>
          </w:p>
        </w:tc>
        <w:tc>
          <w:tcPr>
            <w:tcW w:w="567" w:type="dxa"/>
            <w:shd w:val="clear" w:color="auto" w:fill="E5B8B7" w:themeFill="accent2" w:themeFillTint="66"/>
          </w:tcPr>
          <w:p w14:paraId="4FF10FAA" w14:textId="77777777" w:rsidR="00FC6127" w:rsidRPr="00B027C7" w:rsidRDefault="00FC6127" w:rsidP="00FC6127">
            <w:pPr>
              <w:keepNext/>
              <w:jc w:val="right"/>
            </w:pPr>
            <w:r w:rsidRPr="00B027C7">
              <w:t>5.6</w:t>
            </w:r>
          </w:p>
        </w:tc>
        <w:tc>
          <w:tcPr>
            <w:tcW w:w="849" w:type="dxa"/>
            <w:shd w:val="clear" w:color="auto" w:fill="E5B8B7" w:themeFill="accent2" w:themeFillTint="66"/>
          </w:tcPr>
          <w:p w14:paraId="6DF2C818" w14:textId="77777777" w:rsidR="00FC6127" w:rsidRPr="00943AFA" w:rsidRDefault="00FC6127" w:rsidP="00FC6127">
            <w:pPr>
              <w:keepNext/>
              <w:jc w:val="right"/>
            </w:pPr>
            <w:r w:rsidRPr="00943AFA">
              <w:t>3</w:t>
            </w:r>
          </w:p>
        </w:tc>
        <w:tc>
          <w:tcPr>
            <w:tcW w:w="709" w:type="dxa"/>
            <w:shd w:val="clear" w:color="auto" w:fill="E5B8B7" w:themeFill="accent2" w:themeFillTint="66"/>
          </w:tcPr>
          <w:p w14:paraId="15F32AAC" w14:textId="77777777" w:rsidR="00FC6127" w:rsidRPr="00943AFA" w:rsidRDefault="00FC6127" w:rsidP="00FC6127">
            <w:pPr>
              <w:keepNext/>
              <w:jc w:val="right"/>
            </w:pPr>
            <w:r w:rsidRPr="00943AFA">
              <w:t>1.6</w:t>
            </w:r>
          </w:p>
        </w:tc>
      </w:tr>
      <w:tr w:rsidR="00FC6127" w:rsidRPr="00672B00" w14:paraId="11DE2E86" w14:textId="77777777" w:rsidTr="0008407A">
        <w:trPr>
          <w:jc w:val="center"/>
        </w:trPr>
        <w:tc>
          <w:tcPr>
            <w:tcW w:w="3121" w:type="dxa"/>
            <w:vAlign w:val="center"/>
          </w:tcPr>
          <w:p w14:paraId="4529A863" w14:textId="77777777" w:rsidR="00FC6127" w:rsidRPr="00672B00" w:rsidRDefault="00FC6127" w:rsidP="00FC6127">
            <w:pPr>
              <w:keepNext/>
              <w:spacing w:before="20" w:after="20"/>
              <w:ind w:left="88"/>
              <w:rPr>
                <w:szCs w:val="20"/>
              </w:rPr>
            </w:pPr>
            <w:r w:rsidRPr="00672B00">
              <w:rPr>
                <w:szCs w:val="20"/>
              </w:rPr>
              <w:t>Low-risk gambler</w:t>
            </w:r>
          </w:p>
        </w:tc>
        <w:tc>
          <w:tcPr>
            <w:tcW w:w="709" w:type="dxa"/>
            <w:shd w:val="clear" w:color="auto" w:fill="D6E3BC" w:themeFill="accent3" w:themeFillTint="66"/>
          </w:tcPr>
          <w:p w14:paraId="6A2DA7C4" w14:textId="77777777" w:rsidR="00FC6127" w:rsidRPr="00585FF3" w:rsidRDefault="00FC6127" w:rsidP="00FC6127">
            <w:pPr>
              <w:keepNext/>
              <w:jc w:val="right"/>
            </w:pPr>
            <w:r w:rsidRPr="00585FF3">
              <w:t>0</w:t>
            </w:r>
          </w:p>
        </w:tc>
        <w:tc>
          <w:tcPr>
            <w:tcW w:w="567" w:type="dxa"/>
            <w:shd w:val="clear" w:color="auto" w:fill="D6E3BC" w:themeFill="accent3" w:themeFillTint="66"/>
          </w:tcPr>
          <w:p w14:paraId="748A072E" w14:textId="77777777" w:rsidR="00FC6127" w:rsidRPr="00585FF3" w:rsidRDefault="00FC6127" w:rsidP="00FC6127">
            <w:pPr>
              <w:keepNext/>
              <w:jc w:val="right"/>
            </w:pPr>
            <w:r w:rsidRPr="00585FF3">
              <w:t>-</w:t>
            </w:r>
          </w:p>
        </w:tc>
        <w:tc>
          <w:tcPr>
            <w:tcW w:w="709" w:type="dxa"/>
            <w:shd w:val="clear" w:color="auto" w:fill="D6E3BC" w:themeFill="accent3" w:themeFillTint="66"/>
          </w:tcPr>
          <w:p w14:paraId="6E426F03" w14:textId="77777777" w:rsidR="00FC6127" w:rsidRPr="00771271" w:rsidRDefault="00FC6127" w:rsidP="00FC6127">
            <w:pPr>
              <w:keepNext/>
              <w:jc w:val="right"/>
            </w:pPr>
            <w:r w:rsidRPr="00771271">
              <w:t>14</w:t>
            </w:r>
          </w:p>
        </w:tc>
        <w:tc>
          <w:tcPr>
            <w:tcW w:w="567" w:type="dxa"/>
            <w:shd w:val="clear" w:color="auto" w:fill="D6E3BC" w:themeFill="accent3" w:themeFillTint="66"/>
          </w:tcPr>
          <w:p w14:paraId="05A9B74F" w14:textId="77777777" w:rsidR="00FC6127" w:rsidRPr="00771271" w:rsidRDefault="00FC6127" w:rsidP="00FC6127">
            <w:pPr>
              <w:keepNext/>
              <w:jc w:val="right"/>
            </w:pPr>
            <w:r w:rsidRPr="00771271">
              <w:t>41.0</w:t>
            </w:r>
          </w:p>
        </w:tc>
        <w:tc>
          <w:tcPr>
            <w:tcW w:w="567" w:type="dxa"/>
            <w:shd w:val="clear" w:color="auto" w:fill="FFFF00"/>
          </w:tcPr>
          <w:p w14:paraId="5AEA16DB" w14:textId="77777777" w:rsidR="00FC6127" w:rsidRPr="00B027C7" w:rsidRDefault="00FC6127" w:rsidP="00FC6127">
            <w:pPr>
              <w:keepNext/>
              <w:jc w:val="right"/>
            </w:pPr>
            <w:r w:rsidRPr="00B027C7">
              <w:t>14</w:t>
            </w:r>
          </w:p>
        </w:tc>
        <w:tc>
          <w:tcPr>
            <w:tcW w:w="567" w:type="dxa"/>
            <w:shd w:val="clear" w:color="auto" w:fill="FFFF00"/>
          </w:tcPr>
          <w:p w14:paraId="617BC27F" w14:textId="77777777" w:rsidR="00FC6127" w:rsidRPr="00B027C7" w:rsidRDefault="00FC6127" w:rsidP="00FC6127">
            <w:pPr>
              <w:keepNext/>
              <w:jc w:val="right"/>
            </w:pPr>
            <w:r w:rsidRPr="00B027C7">
              <w:t>39.8</w:t>
            </w:r>
          </w:p>
        </w:tc>
        <w:tc>
          <w:tcPr>
            <w:tcW w:w="849" w:type="dxa"/>
            <w:shd w:val="clear" w:color="auto" w:fill="E5B8B7" w:themeFill="accent2" w:themeFillTint="66"/>
          </w:tcPr>
          <w:p w14:paraId="63E17467" w14:textId="77777777" w:rsidR="00FC6127" w:rsidRPr="00943AFA" w:rsidRDefault="00FC6127" w:rsidP="00FC6127">
            <w:pPr>
              <w:keepNext/>
              <w:jc w:val="right"/>
            </w:pPr>
            <w:r w:rsidRPr="00943AFA">
              <w:t>7</w:t>
            </w:r>
          </w:p>
        </w:tc>
        <w:tc>
          <w:tcPr>
            <w:tcW w:w="709" w:type="dxa"/>
            <w:shd w:val="clear" w:color="auto" w:fill="E5B8B7" w:themeFill="accent2" w:themeFillTint="66"/>
          </w:tcPr>
          <w:p w14:paraId="5B3B6D55" w14:textId="77777777" w:rsidR="00FC6127" w:rsidRPr="00943AFA" w:rsidRDefault="00FC6127" w:rsidP="00FC6127">
            <w:pPr>
              <w:keepNext/>
              <w:jc w:val="right"/>
            </w:pPr>
            <w:r w:rsidRPr="00943AFA">
              <w:t>19.2</w:t>
            </w:r>
          </w:p>
        </w:tc>
      </w:tr>
      <w:tr w:rsidR="00FC6127" w:rsidRPr="00672B00" w14:paraId="021AF55C" w14:textId="77777777" w:rsidTr="0008407A">
        <w:trPr>
          <w:jc w:val="center"/>
        </w:trPr>
        <w:tc>
          <w:tcPr>
            <w:tcW w:w="3121" w:type="dxa"/>
            <w:vAlign w:val="center"/>
          </w:tcPr>
          <w:p w14:paraId="13AB7996" w14:textId="77777777" w:rsidR="00FC6127" w:rsidRPr="00672B00" w:rsidRDefault="00FC6127" w:rsidP="00FC6127">
            <w:pPr>
              <w:keepNext/>
              <w:spacing w:before="20" w:after="20"/>
              <w:ind w:left="88"/>
              <w:rPr>
                <w:szCs w:val="20"/>
              </w:rPr>
            </w:pPr>
            <w:r w:rsidRPr="00672B00">
              <w:rPr>
                <w:szCs w:val="20"/>
              </w:rPr>
              <w:t>Moderate-risk</w:t>
            </w:r>
            <w:r>
              <w:rPr>
                <w:szCs w:val="20"/>
              </w:rPr>
              <w:t>/problem</w:t>
            </w:r>
            <w:r w:rsidRPr="00672B00">
              <w:rPr>
                <w:szCs w:val="20"/>
              </w:rPr>
              <w:t xml:space="preserve"> gambler</w:t>
            </w:r>
          </w:p>
        </w:tc>
        <w:tc>
          <w:tcPr>
            <w:tcW w:w="709" w:type="dxa"/>
            <w:shd w:val="clear" w:color="auto" w:fill="D6E3BC" w:themeFill="accent3" w:themeFillTint="66"/>
          </w:tcPr>
          <w:p w14:paraId="34643E18" w14:textId="77777777" w:rsidR="00FC6127" w:rsidRPr="00585FF3" w:rsidRDefault="00FC6127" w:rsidP="00FC6127">
            <w:pPr>
              <w:keepNext/>
              <w:jc w:val="right"/>
            </w:pPr>
            <w:r w:rsidRPr="00585FF3">
              <w:t>0</w:t>
            </w:r>
          </w:p>
        </w:tc>
        <w:tc>
          <w:tcPr>
            <w:tcW w:w="567" w:type="dxa"/>
            <w:shd w:val="clear" w:color="auto" w:fill="D6E3BC" w:themeFill="accent3" w:themeFillTint="66"/>
          </w:tcPr>
          <w:p w14:paraId="04AEE6F4" w14:textId="77777777" w:rsidR="00FC6127" w:rsidRDefault="00FC6127" w:rsidP="00FC6127">
            <w:pPr>
              <w:keepNext/>
              <w:jc w:val="right"/>
            </w:pPr>
            <w:r w:rsidRPr="00585FF3">
              <w:t>1.9</w:t>
            </w:r>
          </w:p>
        </w:tc>
        <w:tc>
          <w:tcPr>
            <w:tcW w:w="709" w:type="dxa"/>
            <w:shd w:val="clear" w:color="auto" w:fill="D6E3BC" w:themeFill="accent3" w:themeFillTint="66"/>
          </w:tcPr>
          <w:p w14:paraId="44DED603" w14:textId="77777777" w:rsidR="00FC6127" w:rsidRPr="00771271" w:rsidRDefault="00FC6127" w:rsidP="00FC6127">
            <w:pPr>
              <w:keepNext/>
              <w:jc w:val="right"/>
            </w:pPr>
            <w:r w:rsidRPr="00771271">
              <w:t>6</w:t>
            </w:r>
          </w:p>
        </w:tc>
        <w:tc>
          <w:tcPr>
            <w:tcW w:w="567" w:type="dxa"/>
            <w:shd w:val="clear" w:color="auto" w:fill="D6E3BC" w:themeFill="accent3" w:themeFillTint="66"/>
          </w:tcPr>
          <w:p w14:paraId="33C513D9" w14:textId="77777777" w:rsidR="00FC6127" w:rsidRDefault="00FC6127" w:rsidP="00FC6127">
            <w:pPr>
              <w:keepNext/>
              <w:jc w:val="right"/>
            </w:pPr>
            <w:r w:rsidRPr="00771271">
              <w:t>32.4</w:t>
            </w:r>
          </w:p>
        </w:tc>
        <w:tc>
          <w:tcPr>
            <w:tcW w:w="567" w:type="dxa"/>
            <w:shd w:val="clear" w:color="auto" w:fill="D6E3BC" w:themeFill="accent3" w:themeFillTint="66"/>
          </w:tcPr>
          <w:p w14:paraId="2A972EBF" w14:textId="77777777" w:rsidR="00FC6127" w:rsidRPr="00B027C7" w:rsidRDefault="00FC6127" w:rsidP="00FC6127">
            <w:pPr>
              <w:keepNext/>
              <w:jc w:val="right"/>
            </w:pPr>
            <w:r w:rsidRPr="00B027C7">
              <w:t>3</w:t>
            </w:r>
          </w:p>
        </w:tc>
        <w:tc>
          <w:tcPr>
            <w:tcW w:w="567" w:type="dxa"/>
            <w:shd w:val="clear" w:color="auto" w:fill="D6E3BC" w:themeFill="accent3" w:themeFillTint="66"/>
          </w:tcPr>
          <w:p w14:paraId="04E910BC" w14:textId="77777777" w:rsidR="00FC6127" w:rsidRDefault="00FC6127" w:rsidP="00FC6127">
            <w:pPr>
              <w:keepNext/>
              <w:jc w:val="right"/>
            </w:pPr>
            <w:r w:rsidRPr="00B027C7">
              <w:t>14.4</w:t>
            </w:r>
          </w:p>
        </w:tc>
        <w:tc>
          <w:tcPr>
            <w:tcW w:w="849" w:type="dxa"/>
            <w:shd w:val="clear" w:color="auto" w:fill="FFFF00"/>
          </w:tcPr>
          <w:p w14:paraId="7C33AA60" w14:textId="77777777" w:rsidR="00FC6127" w:rsidRPr="00943AFA" w:rsidRDefault="00FC6127" w:rsidP="00FC6127">
            <w:pPr>
              <w:keepNext/>
              <w:jc w:val="right"/>
            </w:pPr>
            <w:r w:rsidRPr="00943AFA">
              <w:t>10</w:t>
            </w:r>
          </w:p>
        </w:tc>
        <w:tc>
          <w:tcPr>
            <w:tcW w:w="709" w:type="dxa"/>
            <w:shd w:val="clear" w:color="auto" w:fill="FFFF00"/>
          </w:tcPr>
          <w:p w14:paraId="651C19E9" w14:textId="77777777" w:rsidR="00FC6127" w:rsidRDefault="00FC6127" w:rsidP="00FC6127">
            <w:pPr>
              <w:keepNext/>
              <w:jc w:val="right"/>
            </w:pPr>
            <w:r w:rsidRPr="00943AFA">
              <w:t>51.3</w:t>
            </w:r>
          </w:p>
        </w:tc>
      </w:tr>
      <w:tr w:rsidR="00FC6127" w:rsidRPr="00672B00" w14:paraId="422A547A" w14:textId="77777777" w:rsidTr="0008407A">
        <w:trPr>
          <w:jc w:val="center"/>
        </w:trPr>
        <w:tc>
          <w:tcPr>
            <w:tcW w:w="4397" w:type="dxa"/>
            <w:gridSpan w:val="3"/>
            <w:tcBorders>
              <w:top w:val="single" w:sz="4" w:space="0" w:color="auto"/>
            </w:tcBorders>
            <w:shd w:val="clear" w:color="auto" w:fill="auto"/>
            <w:vAlign w:val="center"/>
          </w:tcPr>
          <w:p w14:paraId="5F438B9C" w14:textId="77777777" w:rsidR="00FC6127" w:rsidRPr="001E27B8" w:rsidRDefault="00FC6127" w:rsidP="00FC6127">
            <w:pPr>
              <w:keepNext/>
              <w:keepLines/>
              <w:spacing w:before="20" w:after="20"/>
              <w:rPr>
                <w:b/>
                <w:color w:val="000000"/>
                <w:szCs w:val="20"/>
              </w:rPr>
            </w:pPr>
            <w:r>
              <w:rPr>
                <w:b/>
                <w:color w:val="000000"/>
                <w:szCs w:val="20"/>
              </w:rPr>
              <w:t>Wave 3 to Wave 4</w:t>
            </w:r>
          </w:p>
        </w:tc>
        <w:tc>
          <w:tcPr>
            <w:tcW w:w="709" w:type="dxa"/>
            <w:tcBorders>
              <w:top w:val="single" w:sz="4" w:space="0" w:color="auto"/>
            </w:tcBorders>
            <w:shd w:val="clear" w:color="auto" w:fill="auto"/>
            <w:vAlign w:val="center"/>
          </w:tcPr>
          <w:p w14:paraId="3D4FBA90" w14:textId="77777777" w:rsidR="00FC6127" w:rsidRPr="00672B00" w:rsidRDefault="00FC6127" w:rsidP="00FC6127">
            <w:pPr>
              <w:keepNext/>
              <w:keepLines/>
              <w:spacing w:before="20" w:after="20"/>
              <w:jc w:val="right"/>
              <w:rPr>
                <w:color w:val="000000"/>
                <w:szCs w:val="20"/>
              </w:rPr>
            </w:pPr>
          </w:p>
        </w:tc>
        <w:tc>
          <w:tcPr>
            <w:tcW w:w="567" w:type="dxa"/>
            <w:tcBorders>
              <w:top w:val="single" w:sz="4" w:space="0" w:color="auto"/>
            </w:tcBorders>
            <w:shd w:val="clear" w:color="auto" w:fill="auto"/>
            <w:vAlign w:val="center"/>
          </w:tcPr>
          <w:p w14:paraId="36B4FD74" w14:textId="77777777" w:rsidR="00FC6127" w:rsidRPr="00672B00" w:rsidRDefault="00FC6127" w:rsidP="00FC6127">
            <w:pPr>
              <w:keepNext/>
              <w:keepLines/>
              <w:spacing w:before="20" w:after="20"/>
              <w:jc w:val="right"/>
              <w:rPr>
                <w:color w:val="000000"/>
                <w:szCs w:val="20"/>
              </w:rPr>
            </w:pPr>
          </w:p>
        </w:tc>
        <w:tc>
          <w:tcPr>
            <w:tcW w:w="567" w:type="dxa"/>
            <w:tcBorders>
              <w:top w:val="single" w:sz="4" w:space="0" w:color="auto"/>
            </w:tcBorders>
            <w:shd w:val="clear" w:color="auto" w:fill="auto"/>
            <w:vAlign w:val="bottom"/>
          </w:tcPr>
          <w:p w14:paraId="586C2E7F" w14:textId="77777777" w:rsidR="00FC6127" w:rsidRDefault="00FC6127" w:rsidP="00FC6127">
            <w:pPr>
              <w:keepNext/>
              <w:jc w:val="center"/>
              <w:rPr>
                <w:rFonts w:ascii="Calibri" w:hAnsi="Calibri"/>
                <w:color w:val="000000"/>
                <w:sz w:val="22"/>
                <w:szCs w:val="22"/>
              </w:rPr>
            </w:pPr>
          </w:p>
        </w:tc>
        <w:tc>
          <w:tcPr>
            <w:tcW w:w="567" w:type="dxa"/>
            <w:tcBorders>
              <w:top w:val="single" w:sz="4" w:space="0" w:color="auto"/>
            </w:tcBorders>
            <w:shd w:val="clear" w:color="auto" w:fill="auto"/>
            <w:vAlign w:val="bottom"/>
          </w:tcPr>
          <w:p w14:paraId="4940926E" w14:textId="77777777" w:rsidR="00FC6127" w:rsidRDefault="00FC6127" w:rsidP="00FC6127">
            <w:pPr>
              <w:keepNext/>
              <w:jc w:val="center"/>
              <w:rPr>
                <w:szCs w:val="20"/>
              </w:rPr>
            </w:pPr>
          </w:p>
        </w:tc>
        <w:tc>
          <w:tcPr>
            <w:tcW w:w="849" w:type="dxa"/>
            <w:tcBorders>
              <w:top w:val="single" w:sz="4" w:space="0" w:color="auto"/>
            </w:tcBorders>
            <w:shd w:val="clear" w:color="auto" w:fill="auto"/>
            <w:vAlign w:val="bottom"/>
          </w:tcPr>
          <w:p w14:paraId="4D3E6D10" w14:textId="77777777" w:rsidR="00FC6127" w:rsidRDefault="00FC6127" w:rsidP="00FC6127">
            <w:pPr>
              <w:keepNext/>
              <w:jc w:val="center"/>
              <w:rPr>
                <w:rFonts w:ascii="Calibri" w:hAnsi="Calibri"/>
                <w:color w:val="000000"/>
                <w:sz w:val="22"/>
                <w:szCs w:val="22"/>
              </w:rPr>
            </w:pPr>
          </w:p>
        </w:tc>
        <w:tc>
          <w:tcPr>
            <w:tcW w:w="709" w:type="dxa"/>
            <w:tcBorders>
              <w:top w:val="single" w:sz="4" w:space="0" w:color="auto"/>
            </w:tcBorders>
            <w:shd w:val="clear" w:color="auto" w:fill="auto"/>
            <w:vAlign w:val="bottom"/>
          </w:tcPr>
          <w:p w14:paraId="6EEAD640" w14:textId="77777777" w:rsidR="00FC6127" w:rsidRDefault="00FC6127" w:rsidP="00FC6127">
            <w:pPr>
              <w:keepNext/>
              <w:jc w:val="center"/>
              <w:rPr>
                <w:szCs w:val="20"/>
              </w:rPr>
            </w:pPr>
          </w:p>
        </w:tc>
      </w:tr>
      <w:tr w:rsidR="00FC6127" w:rsidRPr="00672B00" w14:paraId="3699F191" w14:textId="77777777" w:rsidTr="0008407A">
        <w:trPr>
          <w:jc w:val="center"/>
        </w:trPr>
        <w:tc>
          <w:tcPr>
            <w:tcW w:w="3121" w:type="dxa"/>
            <w:vAlign w:val="center"/>
          </w:tcPr>
          <w:p w14:paraId="6CF7B6A4" w14:textId="77777777" w:rsidR="00FC6127" w:rsidRPr="00672B00" w:rsidRDefault="00FC6127" w:rsidP="00FC6127">
            <w:pPr>
              <w:keepNext/>
              <w:keepLines/>
              <w:spacing w:before="20" w:after="20"/>
              <w:ind w:left="88"/>
              <w:rPr>
                <w:szCs w:val="20"/>
              </w:rPr>
            </w:pPr>
            <w:r w:rsidRPr="00672B00">
              <w:rPr>
                <w:szCs w:val="20"/>
              </w:rPr>
              <w:t>Non-gambler</w:t>
            </w:r>
          </w:p>
        </w:tc>
        <w:tc>
          <w:tcPr>
            <w:tcW w:w="709" w:type="dxa"/>
            <w:shd w:val="clear" w:color="auto" w:fill="FFFF00"/>
          </w:tcPr>
          <w:p w14:paraId="7626A81D" w14:textId="77777777" w:rsidR="00FC6127" w:rsidRPr="00B06F53" w:rsidRDefault="00FC6127" w:rsidP="00FC6127">
            <w:pPr>
              <w:keepNext/>
              <w:jc w:val="right"/>
            </w:pPr>
            <w:r w:rsidRPr="00B06F53">
              <w:t>39</w:t>
            </w:r>
          </w:p>
        </w:tc>
        <w:tc>
          <w:tcPr>
            <w:tcW w:w="567" w:type="dxa"/>
            <w:shd w:val="clear" w:color="auto" w:fill="FFFF00"/>
          </w:tcPr>
          <w:p w14:paraId="440C4829" w14:textId="77777777" w:rsidR="00FC6127" w:rsidRPr="00B06F53" w:rsidRDefault="00FC6127" w:rsidP="00FC6127">
            <w:pPr>
              <w:keepNext/>
              <w:jc w:val="right"/>
            </w:pPr>
            <w:r w:rsidRPr="00B06F53">
              <w:t>61.7</w:t>
            </w:r>
          </w:p>
        </w:tc>
        <w:tc>
          <w:tcPr>
            <w:tcW w:w="709" w:type="dxa"/>
            <w:shd w:val="clear" w:color="auto" w:fill="E5B8B7" w:themeFill="accent2" w:themeFillTint="66"/>
          </w:tcPr>
          <w:p w14:paraId="26392ED4" w14:textId="77777777" w:rsidR="00FC6127" w:rsidRPr="00BC2BAF" w:rsidRDefault="00FC6127" w:rsidP="00FC6127">
            <w:pPr>
              <w:keepNext/>
              <w:jc w:val="right"/>
            </w:pPr>
            <w:r w:rsidRPr="00BC2BAF">
              <w:t>23</w:t>
            </w:r>
          </w:p>
        </w:tc>
        <w:tc>
          <w:tcPr>
            <w:tcW w:w="567" w:type="dxa"/>
            <w:shd w:val="clear" w:color="auto" w:fill="E5B8B7" w:themeFill="accent2" w:themeFillTint="66"/>
          </w:tcPr>
          <w:p w14:paraId="7AC63E00" w14:textId="77777777" w:rsidR="00FC6127" w:rsidRPr="00BC2BAF" w:rsidRDefault="00FC6127" w:rsidP="00FC6127">
            <w:pPr>
              <w:keepNext/>
              <w:jc w:val="right"/>
            </w:pPr>
            <w:r w:rsidRPr="00BC2BAF">
              <w:t>36.0</w:t>
            </w:r>
          </w:p>
        </w:tc>
        <w:tc>
          <w:tcPr>
            <w:tcW w:w="567" w:type="dxa"/>
            <w:shd w:val="clear" w:color="auto" w:fill="E5B8B7" w:themeFill="accent2" w:themeFillTint="66"/>
          </w:tcPr>
          <w:p w14:paraId="22456EAD" w14:textId="77777777" w:rsidR="00FC6127" w:rsidRPr="005424AB" w:rsidRDefault="00FC6127" w:rsidP="00FC6127">
            <w:pPr>
              <w:keepNext/>
              <w:jc w:val="right"/>
            </w:pPr>
            <w:r w:rsidRPr="005424AB">
              <w:t>1</w:t>
            </w:r>
          </w:p>
        </w:tc>
        <w:tc>
          <w:tcPr>
            <w:tcW w:w="567" w:type="dxa"/>
            <w:shd w:val="clear" w:color="auto" w:fill="E5B8B7" w:themeFill="accent2" w:themeFillTint="66"/>
          </w:tcPr>
          <w:p w14:paraId="5CB3B33F" w14:textId="77777777" w:rsidR="00FC6127" w:rsidRPr="005424AB" w:rsidRDefault="00FC6127" w:rsidP="00FC6127">
            <w:pPr>
              <w:keepNext/>
              <w:jc w:val="right"/>
            </w:pPr>
            <w:r w:rsidRPr="005424AB">
              <w:t>1.0</w:t>
            </w:r>
          </w:p>
        </w:tc>
        <w:tc>
          <w:tcPr>
            <w:tcW w:w="849" w:type="dxa"/>
            <w:shd w:val="clear" w:color="auto" w:fill="E5B8B7" w:themeFill="accent2" w:themeFillTint="66"/>
          </w:tcPr>
          <w:p w14:paraId="74F04DE7" w14:textId="77777777" w:rsidR="00FC6127" w:rsidRPr="00D05E7F" w:rsidRDefault="00FC6127" w:rsidP="00FC6127">
            <w:pPr>
              <w:keepNext/>
              <w:jc w:val="right"/>
            </w:pPr>
            <w:r w:rsidRPr="00D05E7F">
              <w:t>1</w:t>
            </w:r>
          </w:p>
        </w:tc>
        <w:tc>
          <w:tcPr>
            <w:tcW w:w="709" w:type="dxa"/>
            <w:shd w:val="clear" w:color="auto" w:fill="E5B8B7" w:themeFill="accent2" w:themeFillTint="66"/>
          </w:tcPr>
          <w:p w14:paraId="41E984D7" w14:textId="77777777" w:rsidR="00FC6127" w:rsidRPr="00D05E7F" w:rsidRDefault="00FC6127" w:rsidP="00FC6127">
            <w:pPr>
              <w:keepNext/>
              <w:jc w:val="right"/>
            </w:pPr>
            <w:r w:rsidRPr="00D05E7F">
              <w:t>1.3</w:t>
            </w:r>
          </w:p>
        </w:tc>
      </w:tr>
      <w:tr w:rsidR="00FC6127" w:rsidRPr="00672B00" w14:paraId="1CFC2255" w14:textId="77777777" w:rsidTr="0008407A">
        <w:trPr>
          <w:jc w:val="center"/>
        </w:trPr>
        <w:tc>
          <w:tcPr>
            <w:tcW w:w="3121" w:type="dxa"/>
            <w:vAlign w:val="center"/>
          </w:tcPr>
          <w:p w14:paraId="4AD509C3" w14:textId="77777777" w:rsidR="00FC6127" w:rsidRPr="00672B00" w:rsidRDefault="00FC6127" w:rsidP="00FC6127">
            <w:pPr>
              <w:keepNext/>
              <w:spacing w:before="20" w:after="20"/>
              <w:ind w:left="88"/>
              <w:rPr>
                <w:szCs w:val="20"/>
              </w:rPr>
            </w:pPr>
            <w:r w:rsidRPr="00672B00">
              <w:rPr>
                <w:szCs w:val="20"/>
              </w:rPr>
              <w:t>Non-problem gambler</w:t>
            </w:r>
          </w:p>
        </w:tc>
        <w:tc>
          <w:tcPr>
            <w:tcW w:w="709" w:type="dxa"/>
            <w:shd w:val="clear" w:color="auto" w:fill="D6E3BC" w:themeFill="accent3" w:themeFillTint="66"/>
          </w:tcPr>
          <w:p w14:paraId="69E45F9E" w14:textId="77777777" w:rsidR="00FC6127" w:rsidRPr="00B06F53" w:rsidRDefault="00FC6127" w:rsidP="00FC6127">
            <w:pPr>
              <w:keepNext/>
              <w:jc w:val="right"/>
            </w:pPr>
            <w:r w:rsidRPr="00B06F53">
              <w:t>19</w:t>
            </w:r>
          </w:p>
        </w:tc>
        <w:tc>
          <w:tcPr>
            <w:tcW w:w="567" w:type="dxa"/>
            <w:shd w:val="clear" w:color="auto" w:fill="D6E3BC" w:themeFill="accent3" w:themeFillTint="66"/>
          </w:tcPr>
          <w:p w14:paraId="7935322C" w14:textId="77777777" w:rsidR="00FC6127" w:rsidRPr="00B06F53" w:rsidRDefault="00FC6127" w:rsidP="00FC6127">
            <w:pPr>
              <w:keepNext/>
              <w:jc w:val="right"/>
            </w:pPr>
            <w:r w:rsidRPr="00B06F53">
              <w:t>10.3</w:t>
            </w:r>
          </w:p>
        </w:tc>
        <w:tc>
          <w:tcPr>
            <w:tcW w:w="709" w:type="dxa"/>
            <w:shd w:val="clear" w:color="auto" w:fill="FFFF00"/>
          </w:tcPr>
          <w:p w14:paraId="08D2B2E8" w14:textId="77777777" w:rsidR="00FC6127" w:rsidRPr="00BC2BAF" w:rsidRDefault="00FC6127" w:rsidP="00FC6127">
            <w:pPr>
              <w:keepNext/>
              <w:jc w:val="right"/>
            </w:pPr>
            <w:r w:rsidRPr="00BC2BAF">
              <w:t>147</w:t>
            </w:r>
          </w:p>
        </w:tc>
        <w:tc>
          <w:tcPr>
            <w:tcW w:w="567" w:type="dxa"/>
            <w:shd w:val="clear" w:color="auto" w:fill="FFFF00"/>
          </w:tcPr>
          <w:p w14:paraId="16261792" w14:textId="77777777" w:rsidR="00FC6127" w:rsidRPr="00BC2BAF" w:rsidRDefault="00FC6127" w:rsidP="00FC6127">
            <w:pPr>
              <w:keepNext/>
              <w:jc w:val="right"/>
            </w:pPr>
            <w:r w:rsidRPr="00BC2BAF">
              <w:t>81.2</w:t>
            </w:r>
          </w:p>
        </w:tc>
        <w:tc>
          <w:tcPr>
            <w:tcW w:w="567" w:type="dxa"/>
            <w:shd w:val="clear" w:color="auto" w:fill="E5B8B7" w:themeFill="accent2" w:themeFillTint="66"/>
          </w:tcPr>
          <w:p w14:paraId="4E62F2BC" w14:textId="77777777" w:rsidR="00FC6127" w:rsidRPr="005424AB" w:rsidRDefault="00FC6127" w:rsidP="00FC6127">
            <w:pPr>
              <w:keepNext/>
              <w:jc w:val="right"/>
            </w:pPr>
            <w:r w:rsidRPr="005424AB">
              <w:t>10</w:t>
            </w:r>
          </w:p>
        </w:tc>
        <w:tc>
          <w:tcPr>
            <w:tcW w:w="567" w:type="dxa"/>
            <w:shd w:val="clear" w:color="auto" w:fill="E5B8B7" w:themeFill="accent2" w:themeFillTint="66"/>
          </w:tcPr>
          <w:p w14:paraId="45070710" w14:textId="77777777" w:rsidR="00FC6127" w:rsidRPr="005424AB" w:rsidRDefault="00FC6127" w:rsidP="00FC6127">
            <w:pPr>
              <w:keepNext/>
              <w:jc w:val="right"/>
            </w:pPr>
            <w:r w:rsidRPr="005424AB">
              <w:t>5.5</w:t>
            </w:r>
          </w:p>
        </w:tc>
        <w:tc>
          <w:tcPr>
            <w:tcW w:w="849" w:type="dxa"/>
            <w:shd w:val="clear" w:color="auto" w:fill="E5B8B7" w:themeFill="accent2" w:themeFillTint="66"/>
          </w:tcPr>
          <w:p w14:paraId="39A6D8D0" w14:textId="77777777" w:rsidR="00FC6127" w:rsidRPr="00D05E7F" w:rsidRDefault="00FC6127" w:rsidP="00FC6127">
            <w:pPr>
              <w:keepNext/>
              <w:jc w:val="right"/>
            </w:pPr>
            <w:r w:rsidRPr="00D05E7F">
              <w:t>6</w:t>
            </w:r>
          </w:p>
        </w:tc>
        <w:tc>
          <w:tcPr>
            <w:tcW w:w="709" w:type="dxa"/>
            <w:shd w:val="clear" w:color="auto" w:fill="E5B8B7" w:themeFill="accent2" w:themeFillTint="66"/>
          </w:tcPr>
          <w:p w14:paraId="50D881E6" w14:textId="77777777" w:rsidR="00FC6127" w:rsidRPr="00D05E7F" w:rsidRDefault="00FC6127" w:rsidP="00FC6127">
            <w:pPr>
              <w:keepNext/>
              <w:jc w:val="right"/>
            </w:pPr>
            <w:r w:rsidRPr="00D05E7F">
              <w:t>3.1</w:t>
            </w:r>
          </w:p>
        </w:tc>
      </w:tr>
      <w:tr w:rsidR="00FC6127" w:rsidRPr="00672B00" w14:paraId="0A6E5380" w14:textId="77777777" w:rsidTr="0008407A">
        <w:trPr>
          <w:jc w:val="center"/>
        </w:trPr>
        <w:tc>
          <w:tcPr>
            <w:tcW w:w="3121" w:type="dxa"/>
            <w:vAlign w:val="center"/>
          </w:tcPr>
          <w:p w14:paraId="0FBDDF30" w14:textId="77777777" w:rsidR="00FC6127" w:rsidRPr="00672B00" w:rsidRDefault="00FC6127" w:rsidP="00FC6127">
            <w:pPr>
              <w:keepNext/>
              <w:spacing w:before="20" w:after="20"/>
              <w:ind w:left="88"/>
              <w:rPr>
                <w:szCs w:val="20"/>
              </w:rPr>
            </w:pPr>
            <w:r w:rsidRPr="00672B00">
              <w:rPr>
                <w:szCs w:val="20"/>
              </w:rPr>
              <w:t>Low-risk gambler</w:t>
            </w:r>
          </w:p>
        </w:tc>
        <w:tc>
          <w:tcPr>
            <w:tcW w:w="709" w:type="dxa"/>
            <w:shd w:val="clear" w:color="auto" w:fill="D6E3BC" w:themeFill="accent3" w:themeFillTint="66"/>
          </w:tcPr>
          <w:p w14:paraId="0227F2C8" w14:textId="77777777" w:rsidR="00FC6127" w:rsidRPr="00B06F53" w:rsidRDefault="00FC6127" w:rsidP="00FC6127">
            <w:pPr>
              <w:keepNext/>
              <w:jc w:val="right"/>
            </w:pPr>
            <w:r w:rsidRPr="00B06F53">
              <w:t>2</w:t>
            </w:r>
          </w:p>
        </w:tc>
        <w:tc>
          <w:tcPr>
            <w:tcW w:w="567" w:type="dxa"/>
            <w:shd w:val="clear" w:color="auto" w:fill="D6E3BC" w:themeFill="accent3" w:themeFillTint="66"/>
          </w:tcPr>
          <w:p w14:paraId="51999AED" w14:textId="77777777" w:rsidR="00FC6127" w:rsidRPr="00B06F53" w:rsidRDefault="00FC6127" w:rsidP="00FC6127">
            <w:pPr>
              <w:keepNext/>
              <w:jc w:val="right"/>
            </w:pPr>
            <w:r w:rsidRPr="00B06F53">
              <w:t>5.6</w:t>
            </w:r>
          </w:p>
        </w:tc>
        <w:tc>
          <w:tcPr>
            <w:tcW w:w="709" w:type="dxa"/>
            <w:shd w:val="clear" w:color="auto" w:fill="D6E3BC" w:themeFill="accent3" w:themeFillTint="66"/>
          </w:tcPr>
          <w:p w14:paraId="0CD95FC1" w14:textId="77777777" w:rsidR="00FC6127" w:rsidRPr="00BC2BAF" w:rsidRDefault="00FC6127" w:rsidP="00FC6127">
            <w:pPr>
              <w:keepNext/>
              <w:jc w:val="right"/>
            </w:pPr>
            <w:r w:rsidRPr="00BC2BAF">
              <w:t>16</w:t>
            </w:r>
          </w:p>
        </w:tc>
        <w:tc>
          <w:tcPr>
            <w:tcW w:w="567" w:type="dxa"/>
            <w:shd w:val="clear" w:color="auto" w:fill="D6E3BC" w:themeFill="accent3" w:themeFillTint="66"/>
          </w:tcPr>
          <w:p w14:paraId="0A3B1794" w14:textId="77777777" w:rsidR="00FC6127" w:rsidRPr="00BC2BAF" w:rsidRDefault="00FC6127" w:rsidP="00FC6127">
            <w:pPr>
              <w:keepNext/>
              <w:jc w:val="right"/>
            </w:pPr>
            <w:r w:rsidRPr="00BC2BAF">
              <w:t>54.1</w:t>
            </w:r>
          </w:p>
        </w:tc>
        <w:tc>
          <w:tcPr>
            <w:tcW w:w="567" w:type="dxa"/>
            <w:shd w:val="clear" w:color="auto" w:fill="FFFF00"/>
          </w:tcPr>
          <w:p w14:paraId="18043F8A" w14:textId="77777777" w:rsidR="00FC6127" w:rsidRPr="005424AB" w:rsidRDefault="00FC6127" w:rsidP="00FC6127">
            <w:pPr>
              <w:keepNext/>
              <w:jc w:val="right"/>
            </w:pPr>
            <w:r w:rsidRPr="005424AB">
              <w:t>5</w:t>
            </w:r>
          </w:p>
        </w:tc>
        <w:tc>
          <w:tcPr>
            <w:tcW w:w="567" w:type="dxa"/>
            <w:shd w:val="clear" w:color="auto" w:fill="FFFF00"/>
          </w:tcPr>
          <w:p w14:paraId="76066281" w14:textId="77777777" w:rsidR="00FC6127" w:rsidRPr="005424AB" w:rsidRDefault="00FC6127" w:rsidP="00FC6127">
            <w:pPr>
              <w:keepNext/>
              <w:jc w:val="right"/>
            </w:pPr>
            <w:r w:rsidRPr="005424AB">
              <w:t>16.8</w:t>
            </w:r>
          </w:p>
        </w:tc>
        <w:tc>
          <w:tcPr>
            <w:tcW w:w="849" w:type="dxa"/>
            <w:shd w:val="clear" w:color="auto" w:fill="E5B8B7" w:themeFill="accent2" w:themeFillTint="66"/>
          </w:tcPr>
          <w:p w14:paraId="6DFDD2BD" w14:textId="77777777" w:rsidR="00FC6127" w:rsidRPr="00D05E7F" w:rsidRDefault="00FC6127" w:rsidP="00FC6127">
            <w:pPr>
              <w:keepNext/>
              <w:jc w:val="right"/>
            </w:pPr>
            <w:r w:rsidRPr="00D05E7F">
              <w:t>7</w:t>
            </w:r>
          </w:p>
        </w:tc>
        <w:tc>
          <w:tcPr>
            <w:tcW w:w="709" w:type="dxa"/>
            <w:shd w:val="clear" w:color="auto" w:fill="E5B8B7" w:themeFill="accent2" w:themeFillTint="66"/>
          </w:tcPr>
          <w:p w14:paraId="3D8AA1CF" w14:textId="77777777" w:rsidR="00FC6127" w:rsidRPr="00D05E7F" w:rsidRDefault="00FC6127" w:rsidP="00FC6127">
            <w:pPr>
              <w:keepNext/>
              <w:jc w:val="right"/>
            </w:pPr>
            <w:r w:rsidRPr="00D05E7F">
              <w:t>23.5</w:t>
            </w:r>
          </w:p>
        </w:tc>
      </w:tr>
      <w:tr w:rsidR="00FC6127" w:rsidRPr="00672B00" w14:paraId="3FA8F642" w14:textId="77777777" w:rsidTr="0008407A">
        <w:trPr>
          <w:jc w:val="center"/>
        </w:trPr>
        <w:tc>
          <w:tcPr>
            <w:tcW w:w="3121" w:type="dxa"/>
            <w:vAlign w:val="center"/>
          </w:tcPr>
          <w:p w14:paraId="45860C0C" w14:textId="77777777" w:rsidR="00FC6127" w:rsidRPr="00672B00" w:rsidRDefault="00FC6127" w:rsidP="00FC6127">
            <w:pPr>
              <w:keepNext/>
              <w:spacing w:before="20" w:after="20"/>
              <w:ind w:left="88"/>
              <w:rPr>
                <w:szCs w:val="20"/>
              </w:rPr>
            </w:pPr>
            <w:r w:rsidRPr="00672B00">
              <w:rPr>
                <w:szCs w:val="20"/>
              </w:rPr>
              <w:t>Moderate-risk</w:t>
            </w:r>
            <w:r>
              <w:rPr>
                <w:szCs w:val="20"/>
              </w:rPr>
              <w:t>/problem</w:t>
            </w:r>
            <w:r w:rsidRPr="00672B00">
              <w:rPr>
                <w:szCs w:val="20"/>
              </w:rPr>
              <w:t xml:space="preserve"> gambler</w:t>
            </w:r>
          </w:p>
        </w:tc>
        <w:tc>
          <w:tcPr>
            <w:tcW w:w="709" w:type="dxa"/>
            <w:shd w:val="clear" w:color="auto" w:fill="D6E3BC" w:themeFill="accent3" w:themeFillTint="66"/>
          </w:tcPr>
          <w:p w14:paraId="42890B31" w14:textId="77777777" w:rsidR="00FC6127" w:rsidRPr="00B06F53" w:rsidRDefault="00FC6127" w:rsidP="00FC6127">
            <w:pPr>
              <w:keepNext/>
              <w:jc w:val="right"/>
            </w:pPr>
            <w:r w:rsidRPr="00B06F53">
              <w:t>0</w:t>
            </w:r>
          </w:p>
        </w:tc>
        <w:tc>
          <w:tcPr>
            <w:tcW w:w="567" w:type="dxa"/>
            <w:shd w:val="clear" w:color="auto" w:fill="D6E3BC" w:themeFill="accent3" w:themeFillTint="66"/>
          </w:tcPr>
          <w:p w14:paraId="1E7F20AF" w14:textId="77777777" w:rsidR="00FC6127" w:rsidRDefault="00FC6127" w:rsidP="00FC6127">
            <w:pPr>
              <w:keepNext/>
              <w:jc w:val="right"/>
            </w:pPr>
            <w:r w:rsidRPr="00B06F53">
              <w:t>0.8</w:t>
            </w:r>
          </w:p>
        </w:tc>
        <w:tc>
          <w:tcPr>
            <w:tcW w:w="709" w:type="dxa"/>
            <w:shd w:val="clear" w:color="auto" w:fill="D6E3BC" w:themeFill="accent3" w:themeFillTint="66"/>
          </w:tcPr>
          <w:p w14:paraId="0E1590CD" w14:textId="77777777" w:rsidR="00FC6127" w:rsidRPr="00BC2BAF" w:rsidRDefault="00FC6127" w:rsidP="00FC6127">
            <w:pPr>
              <w:keepNext/>
              <w:jc w:val="right"/>
            </w:pPr>
            <w:r w:rsidRPr="00BC2BAF">
              <w:t>3</w:t>
            </w:r>
          </w:p>
        </w:tc>
        <w:tc>
          <w:tcPr>
            <w:tcW w:w="567" w:type="dxa"/>
            <w:shd w:val="clear" w:color="auto" w:fill="D6E3BC" w:themeFill="accent3" w:themeFillTint="66"/>
          </w:tcPr>
          <w:p w14:paraId="6C60B6ED" w14:textId="77777777" w:rsidR="00FC6127" w:rsidRDefault="00FC6127" w:rsidP="00FC6127">
            <w:pPr>
              <w:keepNext/>
              <w:jc w:val="right"/>
            </w:pPr>
            <w:r w:rsidRPr="00BC2BAF">
              <w:t>18.3</w:t>
            </w:r>
          </w:p>
        </w:tc>
        <w:tc>
          <w:tcPr>
            <w:tcW w:w="567" w:type="dxa"/>
            <w:shd w:val="clear" w:color="auto" w:fill="D6E3BC" w:themeFill="accent3" w:themeFillTint="66"/>
          </w:tcPr>
          <w:p w14:paraId="5556939D" w14:textId="77777777" w:rsidR="00FC6127" w:rsidRPr="005424AB" w:rsidRDefault="00FC6127" w:rsidP="00FC6127">
            <w:pPr>
              <w:keepNext/>
              <w:jc w:val="right"/>
            </w:pPr>
            <w:r w:rsidRPr="005424AB">
              <w:t>3</w:t>
            </w:r>
          </w:p>
        </w:tc>
        <w:tc>
          <w:tcPr>
            <w:tcW w:w="567" w:type="dxa"/>
            <w:shd w:val="clear" w:color="auto" w:fill="D6E3BC" w:themeFill="accent3" w:themeFillTint="66"/>
          </w:tcPr>
          <w:p w14:paraId="7569CF10" w14:textId="77777777" w:rsidR="00FC6127" w:rsidRDefault="00FC6127" w:rsidP="00FC6127">
            <w:pPr>
              <w:keepNext/>
              <w:jc w:val="right"/>
            </w:pPr>
            <w:r w:rsidRPr="005424AB">
              <w:t>17.2</w:t>
            </w:r>
          </w:p>
        </w:tc>
        <w:tc>
          <w:tcPr>
            <w:tcW w:w="849" w:type="dxa"/>
            <w:shd w:val="clear" w:color="auto" w:fill="FFFF00"/>
          </w:tcPr>
          <w:p w14:paraId="7739A1A1" w14:textId="77777777" w:rsidR="00FC6127" w:rsidRPr="00D05E7F" w:rsidRDefault="00FC6127" w:rsidP="00FC6127">
            <w:pPr>
              <w:keepNext/>
              <w:jc w:val="right"/>
            </w:pPr>
            <w:r w:rsidRPr="00D05E7F">
              <w:t>12</w:t>
            </w:r>
          </w:p>
        </w:tc>
        <w:tc>
          <w:tcPr>
            <w:tcW w:w="709" w:type="dxa"/>
            <w:shd w:val="clear" w:color="auto" w:fill="FFFF00"/>
          </w:tcPr>
          <w:p w14:paraId="78FA9166" w14:textId="77777777" w:rsidR="00FC6127" w:rsidRDefault="00FC6127" w:rsidP="00FC6127">
            <w:pPr>
              <w:keepNext/>
              <w:jc w:val="right"/>
            </w:pPr>
            <w:r w:rsidRPr="00D05E7F">
              <w:t>63.8</w:t>
            </w:r>
          </w:p>
        </w:tc>
      </w:tr>
      <w:tr w:rsidR="00FC6127" w:rsidRPr="00672B00" w14:paraId="6D1700ED" w14:textId="77777777" w:rsidTr="0008407A">
        <w:trPr>
          <w:trHeight w:hRule="exact" w:val="113"/>
          <w:jc w:val="center"/>
        </w:trPr>
        <w:tc>
          <w:tcPr>
            <w:tcW w:w="4397" w:type="dxa"/>
            <w:gridSpan w:val="3"/>
            <w:tcBorders>
              <w:top w:val="single" w:sz="4" w:space="0" w:color="auto"/>
            </w:tcBorders>
            <w:shd w:val="clear" w:color="auto" w:fill="auto"/>
            <w:vAlign w:val="center"/>
          </w:tcPr>
          <w:p w14:paraId="4FFC13B9" w14:textId="77777777" w:rsidR="00FC6127" w:rsidRDefault="00FC6127" w:rsidP="00FC6127">
            <w:pPr>
              <w:keepNext/>
              <w:keepLines/>
              <w:spacing w:before="20" w:after="20"/>
              <w:rPr>
                <w:b/>
                <w:color w:val="000000"/>
                <w:szCs w:val="20"/>
              </w:rPr>
            </w:pPr>
          </w:p>
        </w:tc>
        <w:tc>
          <w:tcPr>
            <w:tcW w:w="709" w:type="dxa"/>
            <w:tcBorders>
              <w:top w:val="single" w:sz="4" w:space="0" w:color="auto"/>
            </w:tcBorders>
            <w:shd w:val="clear" w:color="auto" w:fill="auto"/>
            <w:vAlign w:val="center"/>
          </w:tcPr>
          <w:p w14:paraId="148D8091" w14:textId="77777777" w:rsidR="00FC6127" w:rsidRPr="00672B00" w:rsidRDefault="00FC6127" w:rsidP="00FC6127">
            <w:pPr>
              <w:keepNext/>
              <w:keepLines/>
              <w:spacing w:before="20" w:after="20"/>
              <w:jc w:val="right"/>
              <w:rPr>
                <w:color w:val="000000"/>
                <w:szCs w:val="20"/>
              </w:rPr>
            </w:pPr>
          </w:p>
        </w:tc>
        <w:tc>
          <w:tcPr>
            <w:tcW w:w="567" w:type="dxa"/>
            <w:tcBorders>
              <w:top w:val="single" w:sz="4" w:space="0" w:color="auto"/>
            </w:tcBorders>
            <w:shd w:val="clear" w:color="auto" w:fill="auto"/>
            <w:vAlign w:val="center"/>
          </w:tcPr>
          <w:p w14:paraId="138A04C8" w14:textId="77777777" w:rsidR="00FC6127" w:rsidRPr="00672B00" w:rsidRDefault="00FC6127" w:rsidP="00FC6127">
            <w:pPr>
              <w:keepNext/>
              <w:keepLines/>
              <w:spacing w:before="20" w:after="20"/>
              <w:jc w:val="right"/>
              <w:rPr>
                <w:color w:val="000000"/>
                <w:szCs w:val="20"/>
              </w:rPr>
            </w:pPr>
          </w:p>
        </w:tc>
        <w:tc>
          <w:tcPr>
            <w:tcW w:w="567" w:type="dxa"/>
            <w:tcBorders>
              <w:top w:val="single" w:sz="4" w:space="0" w:color="auto"/>
            </w:tcBorders>
            <w:shd w:val="clear" w:color="auto" w:fill="auto"/>
            <w:vAlign w:val="center"/>
          </w:tcPr>
          <w:p w14:paraId="30E638C9" w14:textId="77777777" w:rsidR="00FC6127" w:rsidRPr="00672B00" w:rsidRDefault="00FC6127" w:rsidP="00FC6127">
            <w:pPr>
              <w:keepNext/>
              <w:keepLines/>
              <w:spacing w:before="20" w:after="20"/>
              <w:jc w:val="right"/>
              <w:rPr>
                <w:color w:val="000000"/>
                <w:szCs w:val="20"/>
              </w:rPr>
            </w:pPr>
          </w:p>
        </w:tc>
        <w:tc>
          <w:tcPr>
            <w:tcW w:w="567" w:type="dxa"/>
            <w:tcBorders>
              <w:top w:val="single" w:sz="4" w:space="0" w:color="auto"/>
            </w:tcBorders>
            <w:shd w:val="clear" w:color="auto" w:fill="auto"/>
            <w:vAlign w:val="center"/>
          </w:tcPr>
          <w:p w14:paraId="0B1D3F7B" w14:textId="77777777" w:rsidR="00FC6127" w:rsidRPr="00672B00" w:rsidRDefault="00FC6127" w:rsidP="00FC6127">
            <w:pPr>
              <w:keepNext/>
              <w:keepLines/>
              <w:spacing w:before="20" w:after="20"/>
              <w:jc w:val="right"/>
              <w:rPr>
                <w:color w:val="000000"/>
                <w:szCs w:val="20"/>
              </w:rPr>
            </w:pPr>
          </w:p>
        </w:tc>
        <w:tc>
          <w:tcPr>
            <w:tcW w:w="849" w:type="dxa"/>
            <w:tcBorders>
              <w:top w:val="single" w:sz="4" w:space="0" w:color="auto"/>
            </w:tcBorders>
            <w:shd w:val="clear" w:color="auto" w:fill="auto"/>
            <w:vAlign w:val="center"/>
          </w:tcPr>
          <w:p w14:paraId="7C18F798" w14:textId="77777777" w:rsidR="00FC6127" w:rsidRPr="00672B00" w:rsidRDefault="00FC6127" w:rsidP="00FC6127">
            <w:pPr>
              <w:keepNext/>
              <w:keepLines/>
              <w:spacing w:before="20" w:after="20"/>
              <w:jc w:val="right"/>
              <w:rPr>
                <w:color w:val="000000"/>
                <w:szCs w:val="20"/>
              </w:rPr>
            </w:pPr>
          </w:p>
        </w:tc>
        <w:tc>
          <w:tcPr>
            <w:tcW w:w="709" w:type="dxa"/>
            <w:tcBorders>
              <w:top w:val="single" w:sz="4" w:space="0" w:color="auto"/>
            </w:tcBorders>
            <w:shd w:val="clear" w:color="auto" w:fill="auto"/>
            <w:vAlign w:val="center"/>
          </w:tcPr>
          <w:p w14:paraId="64DF7EF9" w14:textId="77777777" w:rsidR="00FC6127" w:rsidRPr="00672B00" w:rsidRDefault="00FC6127" w:rsidP="00FC6127">
            <w:pPr>
              <w:keepNext/>
              <w:keepLines/>
              <w:spacing w:before="20" w:after="20"/>
              <w:jc w:val="right"/>
              <w:rPr>
                <w:color w:val="000000"/>
                <w:szCs w:val="20"/>
              </w:rPr>
            </w:pPr>
          </w:p>
        </w:tc>
      </w:tr>
      <w:tr w:rsidR="00FC6127" w:rsidRPr="00672B00" w14:paraId="43334B57" w14:textId="77777777" w:rsidTr="0008407A">
        <w:trPr>
          <w:jc w:val="center"/>
        </w:trPr>
        <w:tc>
          <w:tcPr>
            <w:tcW w:w="4397" w:type="dxa"/>
            <w:gridSpan w:val="3"/>
            <w:tcBorders>
              <w:top w:val="single" w:sz="4" w:space="0" w:color="auto"/>
            </w:tcBorders>
            <w:shd w:val="clear" w:color="auto" w:fill="auto"/>
            <w:vAlign w:val="center"/>
          </w:tcPr>
          <w:p w14:paraId="268B8893" w14:textId="77777777" w:rsidR="00FC6127" w:rsidRDefault="00FC6127" w:rsidP="00FC6127">
            <w:pPr>
              <w:keepNext/>
              <w:keepLines/>
              <w:spacing w:before="20" w:after="20"/>
              <w:rPr>
                <w:b/>
                <w:color w:val="000000"/>
                <w:szCs w:val="20"/>
              </w:rPr>
            </w:pPr>
            <w:r>
              <w:rPr>
                <w:b/>
                <w:color w:val="000000"/>
                <w:szCs w:val="20"/>
              </w:rPr>
              <w:t xml:space="preserve">Pacific </w:t>
            </w:r>
          </w:p>
        </w:tc>
        <w:tc>
          <w:tcPr>
            <w:tcW w:w="709" w:type="dxa"/>
            <w:tcBorders>
              <w:top w:val="single" w:sz="4" w:space="0" w:color="auto"/>
            </w:tcBorders>
            <w:shd w:val="clear" w:color="auto" w:fill="auto"/>
            <w:vAlign w:val="center"/>
          </w:tcPr>
          <w:p w14:paraId="52032846" w14:textId="77777777" w:rsidR="00FC6127" w:rsidRPr="00672B00" w:rsidRDefault="00FC6127" w:rsidP="00FC6127">
            <w:pPr>
              <w:keepNext/>
              <w:keepLines/>
              <w:spacing w:before="20" w:after="20"/>
              <w:jc w:val="right"/>
              <w:rPr>
                <w:color w:val="000000"/>
                <w:szCs w:val="20"/>
              </w:rPr>
            </w:pPr>
          </w:p>
        </w:tc>
        <w:tc>
          <w:tcPr>
            <w:tcW w:w="567" w:type="dxa"/>
            <w:tcBorders>
              <w:top w:val="single" w:sz="4" w:space="0" w:color="auto"/>
            </w:tcBorders>
            <w:shd w:val="clear" w:color="auto" w:fill="auto"/>
            <w:vAlign w:val="center"/>
          </w:tcPr>
          <w:p w14:paraId="5E2CDA19" w14:textId="77777777" w:rsidR="00FC6127" w:rsidRPr="00672B00" w:rsidRDefault="00FC6127" w:rsidP="00FC6127">
            <w:pPr>
              <w:keepNext/>
              <w:keepLines/>
              <w:spacing w:before="20" w:after="20"/>
              <w:jc w:val="right"/>
              <w:rPr>
                <w:color w:val="000000"/>
                <w:szCs w:val="20"/>
              </w:rPr>
            </w:pPr>
          </w:p>
        </w:tc>
        <w:tc>
          <w:tcPr>
            <w:tcW w:w="567" w:type="dxa"/>
            <w:tcBorders>
              <w:top w:val="single" w:sz="4" w:space="0" w:color="auto"/>
            </w:tcBorders>
            <w:shd w:val="clear" w:color="auto" w:fill="auto"/>
            <w:vAlign w:val="center"/>
          </w:tcPr>
          <w:p w14:paraId="79B7D4A9" w14:textId="77777777" w:rsidR="00FC6127" w:rsidRPr="00672B00" w:rsidRDefault="00FC6127" w:rsidP="00FC6127">
            <w:pPr>
              <w:keepNext/>
              <w:keepLines/>
              <w:spacing w:before="20" w:after="20"/>
              <w:jc w:val="right"/>
              <w:rPr>
                <w:color w:val="000000"/>
                <w:szCs w:val="20"/>
              </w:rPr>
            </w:pPr>
          </w:p>
        </w:tc>
        <w:tc>
          <w:tcPr>
            <w:tcW w:w="567" w:type="dxa"/>
            <w:tcBorders>
              <w:top w:val="single" w:sz="4" w:space="0" w:color="auto"/>
            </w:tcBorders>
            <w:shd w:val="clear" w:color="auto" w:fill="auto"/>
            <w:vAlign w:val="center"/>
          </w:tcPr>
          <w:p w14:paraId="1C664099" w14:textId="77777777" w:rsidR="00FC6127" w:rsidRPr="00672B00" w:rsidRDefault="00FC6127" w:rsidP="00FC6127">
            <w:pPr>
              <w:keepNext/>
              <w:keepLines/>
              <w:spacing w:before="20" w:after="20"/>
              <w:jc w:val="right"/>
              <w:rPr>
                <w:color w:val="000000"/>
                <w:szCs w:val="20"/>
              </w:rPr>
            </w:pPr>
          </w:p>
        </w:tc>
        <w:tc>
          <w:tcPr>
            <w:tcW w:w="849" w:type="dxa"/>
            <w:tcBorders>
              <w:top w:val="single" w:sz="4" w:space="0" w:color="auto"/>
            </w:tcBorders>
            <w:shd w:val="clear" w:color="auto" w:fill="auto"/>
            <w:vAlign w:val="center"/>
          </w:tcPr>
          <w:p w14:paraId="19C8E1F6" w14:textId="77777777" w:rsidR="00FC6127" w:rsidRPr="00672B00" w:rsidRDefault="00FC6127" w:rsidP="00FC6127">
            <w:pPr>
              <w:keepNext/>
              <w:keepLines/>
              <w:spacing w:before="20" w:after="20"/>
              <w:jc w:val="right"/>
              <w:rPr>
                <w:color w:val="000000"/>
                <w:szCs w:val="20"/>
              </w:rPr>
            </w:pPr>
          </w:p>
        </w:tc>
        <w:tc>
          <w:tcPr>
            <w:tcW w:w="709" w:type="dxa"/>
            <w:tcBorders>
              <w:top w:val="single" w:sz="4" w:space="0" w:color="auto"/>
            </w:tcBorders>
            <w:shd w:val="clear" w:color="auto" w:fill="auto"/>
            <w:vAlign w:val="center"/>
          </w:tcPr>
          <w:p w14:paraId="4A914C92" w14:textId="77777777" w:rsidR="00FC6127" w:rsidRPr="00672B00" w:rsidRDefault="00FC6127" w:rsidP="00FC6127">
            <w:pPr>
              <w:keepNext/>
              <w:keepLines/>
              <w:spacing w:before="20" w:after="20"/>
              <w:jc w:val="right"/>
              <w:rPr>
                <w:color w:val="000000"/>
                <w:szCs w:val="20"/>
              </w:rPr>
            </w:pPr>
          </w:p>
        </w:tc>
      </w:tr>
      <w:tr w:rsidR="00FC6127" w:rsidRPr="00672B00" w14:paraId="51455344" w14:textId="77777777" w:rsidTr="0008407A">
        <w:trPr>
          <w:jc w:val="center"/>
        </w:trPr>
        <w:tc>
          <w:tcPr>
            <w:tcW w:w="4397" w:type="dxa"/>
            <w:gridSpan w:val="3"/>
            <w:shd w:val="clear" w:color="auto" w:fill="auto"/>
            <w:vAlign w:val="center"/>
          </w:tcPr>
          <w:p w14:paraId="21DE1B54" w14:textId="77777777" w:rsidR="00FC6127" w:rsidRPr="001E27B8" w:rsidRDefault="00FC6127" w:rsidP="0008407A">
            <w:pPr>
              <w:keepNext/>
              <w:keepLines/>
              <w:spacing w:before="20" w:after="20"/>
              <w:rPr>
                <w:b/>
                <w:color w:val="000000"/>
                <w:szCs w:val="20"/>
              </w:rPr>
            </w:pPr>
            <w:r>
              <w:rPr>
                <w:b/>
                <w:color w:val="000000"/>
                <w:szCs w:val="20"/>
              </w:rPr>
              <w:t>Wave 1 to Wave 2</w:t>
            </w:r>
          </w:p>
        </w:tc>
        <w:tc>
          <w:tcPr>
            <w:tcW w:w="709" w:type="dxa"/>
            <w:shd w:val="clear" w:color="auto" w:fill="auto"/>
            <w:vAlign w:val="center"/>
          </w:tcPr>
          <w:p w14:paraId="60CB2D5F" w14:textId="77777777" w:rsidR="00FC6127" w:rsidRPr="00672B00" w:rsidRDefault="00FC6127" w:rsidP="0008407A">
            <w:pPr>
              <w:keepNext/>
              <w:keepLines/>
              <w:spacing w:before="20" w:after="20"/>
              <w:jc w:val="right"/>
              <w:rPr>
                <w:color w:val="000000"/>
                <w:szCs w:val="20"/>
              </w:rPr>
            </w:pPr>
          </w:p>
        </w:tc>
        <w:tc>
          <w:tcPr>
            <w:tcW w:w="567" w:type="dxa"/>
            <w:shd w:val="clear" w:color="auto" w:fill="auto"/>
            <w:vAlign w:val="center"/>
          </w:tcPr>
          <w:p w14:paraId="6D9876C4" w14:textId="77777777" w:rsidR="00FC6127" w:rsidRPr="00672B00" w:rsidRDefault="00FC6127" w:rsidP="0008407A">
            <w:pPr>
              <w:keepNext/>
              <w:keepLines/>
              <w:spacing w:before="20" w:after="20"/>
              <w:jc w:val="right"/>
              <w:rPr>
                <w:color w:val="000000"/>
                <w:szCs w:val="20"/>
              </w:rPr>
            </w:pPr>
          </w:p>
        </w:tc>
        <w:tc>
          <w:tcPr>
            <w:tcW w:w="567" w:type="dxa"/>
            <w:shd w:val="clear" w:color="auto" w:fill="auto"/>
            <w:vAlign w:val="center"/>
          </w:tcPr>
          <w:p w14:paraId="0D113491" w14:textId="77777777" w:rsidR="00FC6127" w:rsidRPr="00672B00" w:rsidRDefault="00FC6127" w:rsidP="0008407A">
            <w:pPr>
              <w:keepNext/>
              <w:keepLines/>
              <w:spacing w:before="20" w:after="20"/>
              <w:jc w:val="right"/>
              <w:rPr>
                <w:color w:val="000000"/>
                <w:szCs w:val="20"/>
              </w:rPr>
            </w:pPr>
          </w:p>
        </w:tc>
        <w:tc>
          <w:tcPr>
            <w:tcW w:w="567" w:type="dxa"/>
            <w:shd w:val="clear" w:color="auto" w:fill="auto"/>
            <w:vAlign w:val="center"/>
          </w:tcPr>
          <w:p w14:paraId="681A5FC9" w14:textId="77777777" w:rsidR="00FC6127" w:rsidRPr="00672B00" w:rsidRDefault="00FC6127" w:rsidP="0008407A">
            <w:pPr>
              <w:keepNext/>
              <w:keepLines/>
              <w:spacing w:before="20" w:after="20"/>
              <w:jc w:val="right"/>
              <w:rPr>
                <w:color w:val="000000"/>
                <w:szCs w:val="20"/>
              </w:rPr>
            </w:pPr>
          </w:p>
        </w:tc>
        <w:tc>
          <w:tcPr>
            <w:tcW w:w="849" w:type="dxa"/>
            <w:shd w:val="clear" w:color="auto" w:fill="auto"/>
            <w:vAlign w:val="center"/>
          </w:tcPr>
          <w:p w14:paraId="56D99C4D" w14:textId="77777777" w:rsidR="00FC6127" w:rsidRPr="00672B00" w:rsidRDefault="00FC6127" w:rsidP="0008407A">
            <w:pPr>
              <w:keepNext/>
              <w:keepLines/>
              <w:spacing w:before="20" w:after="20"/>
              <w:jc w:val="right"/>
              <w:rPr>
                <w:color w:val="000000"/>
                <w:szCs w:val="20"/>
              </w:rPr>
            </w:pPr>
          </w:p>
        </w:tc>
        <w:tc>
          <w:tcPr>
            <w:tcW w:w="709" w:type="dxa"/>
            <w:shd w:val="clear" w:color="auto" w:fill="auto"/>
            <w:vAlign w:val="center"/>
          </w:tcPr>
          <w:p w14:paraId="754E2098" w14:textId="77777777" w:rsidR="00FC6127" w:rsidRPr="00672B00" w:rsidRDefault="00FC6127" w:rsidP="0008407A">
            <w:pPr>
              <w:keepNext/>
              <w:keepLines/>
              <w:spacing w:before="20" w:after="20"/>
              <w:jc w:val="right"/>
              <w:rPr>
                <w:color w:val="000000"/>
                <w:szCs w:val="20"/>
              </w:rPr>
            </w:pPr>
          </w:p>
        </w:tc>
      </w:tr>
      <w:tr w:rsidR="00FC6127" w:rsidRPr="00672B00" w14:paraId="5C48A647" w14:textId="77777777" w:rsidTr="0008407A">
        <w:trPr>
          <w:jc w:val="center"/>
        </w:trPr>
        <w:tc>
          <w:tcPr>
            <w:tcW w:w="3121" w:type="dxa"/>
            <w:vAlign w:val="center"/>
          </w:tcPr>
          <w:p w14:paraId="6B982ED8" w14:textId="77777777" w:rsidR="00FC6127" w:rsidRPr="00672B00" w:rsidRDefault="00FC6127" w:rsidP="0008407A">
            <w:pPr>
              <w:keepNext/>
              <w:keepLines/>
              <w:spacing w:before="20" w:after="20"/>
              <w:ind w:left="88"/>
              <w:rPr>
                <w:szCs w:val="20"/>
              </w:rPr>
            </w:pPr>
            <w:r w:rsidRPr="00672B00">
              <w:rPr>
                <w:szCs w:val="20"/>
              </w:rPr>
              <w:t>Non-gambler</w:t>
            </w:r>
          </w:p>
        </w:tc>
        <w:tc>
          <w:tcPr>
            <w:tcW w:w="709" w:type="dxa"/>
            <w:shd w:val="clear" w:color="auto" w:fill="FFFF00"/>
          </w:tcPr>
          <w:p w14:paraId="4849F7D3" w14:textId="77777777" w:rsidR="00FC6127" w:rsidRPr="000A7C54" w:rsidRDefault="00FC6127" w:rsidP="0008407A">
            <w:pPr>
              <w:jc w:val="right"/>
            </w:pPr>
            <w:r w:rsidRPr="000A7C54">
              <w:t>33</w:t>
            </w:r>
          </w:p>
        </w:tc>
        <w:tc>
          <w:tcPr>
            <w:tcW w:w="567" w:type="dxa"/>
            <w:shd w:val="clear" w:color="auto" w:fill="FFFF00"/>
          </w:tcPr>
          <w:p w14:paraId="58B52E18" w14:textId="77777777" w:rsidR="00FC6127" w:rsidRPr="000A7C54" w:rsidRDefault="00FC6127" w:rsidP="0008407A">
            <w:pPr>
              <w:jc w:val="right"/>
            </w:pPr>
            <w:r w:rsidRPr="000A7C54">
              <w:t>70.6</w:t>
            </w:r>
          </w:p>
        </w:tc>
        <w:tc>
          <w:tcPr>
            <w:tcW w:w="709" w:type="dxa"/>
            <w:shd w:val="clear" w:color="auto" w:fill="E5B8B7" w:themeFill="accent2" w:themeFillTint="66"/>
          </w:tcPr>
          <w:p w14:paraId="39B643C2" w14:textId="77777777" w:rsidR="00FC6127" w:rsidRPr="002E5AFB" w:rsidRDefault="00FC6127" w:rsidP="0008407A">
            <w:pPr>
              <w:jc w:val="right"/>
            </w:pPr>
            <w:r w:rsidRPr="002E5AFB">
              <w:t>12</w:t>
            </w:r>
          </w:p>
        </w:tc>
        <w:tc>
          <w:tcPr>
            <w:tcW w:w="567" w:type="dxa"/>
            <w:shd w:val="clear" w:color="auto" w:fill="E5B8B7" w:themeFill="accent2" w:themeFillTint="66"/>
          </w:tcPr>
          <w:p w14:paraId="205238AE" w14:textId="77777777" w:rsidR="00FC6127" w:rsidRPr="002E5AFB" w:rsidRDefault="00FC6127" w:rsidP="0008407A">
            <w:pPr>
              <w:jc w:val="right"/>
            </w:pPr>
            <w:r w:rsidRPr="002E5AFB">
              <w:t>25.2</w:t>
            </w:r>
          </w:p>
        </w:tc>
        <w:tc>
          <w:tcPr>
            <w:tcW w:w="567" w:type="dxa"/>
            <w:shd w:val="clear" w:color="auto" w:fill="E5B8B7" w:themeFill="accent2" w:themeFillTint="66"/>
          </w:tcPr>
          <w:p w14:paraId="0D551E77" w14:textId="77777777" w:rsidR="00FC6127" w:rsidRPr="00841A1C" w:rsidRDefault="00FC6127" w:rsidP="0008407A">
            <w:pPr>
              <w:jc w:val="right"/>
            </w:pPr>
            <w:r w:rsidRPr="00841A1C">
              <w:t>1</w:t>
            </w:r>
          </w:p>
        </w:tc>
        <w:tc>
          <w:tcPr>
            <w:tcW w:w="567" w:type="dxa"/>
            <w:shd w:val="clear" w:color="auto" w:fill="E5B8B7" w:themeFill="accent2" w:themeFillTint="66"/>
          </w:tcPr>
          <w:p w14:paraId="157E7800" w14:textId="77777777" w:rsidR="00FC6127" w:rsidRPr="00841A1C" w:rsidRDefault="00FC6127" w:rsidP="0008407A">
            <w:pPr>
              <w:jc w:val="right"/>
            </w:pPr>
            <w:r w:rsidRPr="00841A1C">
              <w:t>2.2</w:t>
            </w:r>
          </w:p>
        </w:tc>
        <w:tc>
          <w:tcPr>
            <w:tcW w:w="849" w:type="dxa"/>
            <w:shd w:val="clear" w:color="auto" w:fill="E5B8B7" w:themeFill="accent2" w:themeFillTint="66"/>
          </w:tcPr>
          <w:p w14:paraId="2FCE5764" w14:textId="77777777" w:rsidR="00FC6127" w:rsidRPr="00434E01" w:rsidRDefault="00FC6127" w:rsidP="0008407A">
            <w:pPr>
              <w:jc w:val="right"/>
            </w:pPr>
            <w:r w:rsidRPr="00434E01">
              <w:t>1</w:t>
            </w:r>
          </w:p>
        </w:tc>
        <w:tc>
          <w:tcPr>
            <w:tcW w:w="709" w:type="dxa"/>
            <w:shd w:val="clear" w:color="auto" w:fill="E5B8B7" w:themeFill="accent2" w:themeFillTint="66"/>
          </w:tcPr>
          <w:p w14:paraId="19FB646F" w14:textId="77777777" w:rsidR="00FC6127" w:rsidRPr="00434E01" w:rsidRDefault="00FC6127" w:rsidP="0008407A">
            <w:pPr>
              <w:jc w:val="right"/>
            </w:pPr>
            <w:r w:rsidRPr="00434E01">
              <w:t>2.0</w:t>
            </w:r>
          </w:p>
        </w:tc>
      </w:tr>
      <w:tr w:rsidR="00FC6127" w:rsidRPr="00672B00" w14:paraId="59E92FA1" w14:textId="77777777" w:rsidTr="0008407A">
        <w:trPr>
          <w:jc w:val="center"/>
        </w:trPr>
        <w:tc>
          <w:tcPr>
            <w:tcW w:w="3121" w:type="dxa"/>
            <w:vAlign w:val="center"/>
          </w:tcPr>
          <w:p w14:paraId="6A1FD538" w14:textId="77777777" w:rsidR="00FC6127" w:rsidRPr="00672B00" w:rsidRDefault="00FC6127" w:rsidP="0008407A">
            <w:pPr>
              <w:keepNext/>
              <w:spacing w:before="20" w:after="20"/>
              <w:ind w:left="88"/>
              <w:rPr>
                <w:szCs w:val="20"/>
              </w:rPr>
            </w:pPr>
            <w:r w:rsidRPr="00672B00">
              <w:rPr>
                <w:szCs w:val="20"/>
              </w:rPr>
              <w:t>Non-problem gambler</w:t>
            </w:r>
          </w:p>
        </w:tc>
        <w:tc>
          <w:tcPr>
            <w:tcW w:w="709" w:type="dxa"/>
            <w:shd w:val="clear" w:color="auto" w:fill="D6E3BC" w:themeFill="accent3" w:themeFillTint="66"/>
          </w:tcPr>
          <w:p w14:paraId="6243C6F8" w14:textId="77777777" w:rsidR="00FC6127" w:rsidRPr="000A7C54" w:rsidRDefault="00FC6127" w:rsidP="0008407A">
            <w:pPr>
              <w:jc w:val="right"/>
            </w:pPr>
            <w:r w:rsidRPr="000A7C54">
              <w:t>19</w:t>
            </w:r>
          </w:p>
        </w:tc>
        <w:tc>
          <w:tcPr>
            <w:tcW w:w="567" w:type="dxa"/>
            <w:shd w:val="clear" w:color="auto" w:fill="D6E3BC" w:themeFill="accent3" w:themeFillTint="66"/>
          </w:tcPr>
          <w:p w14:paraId="5D34FB13" w14:textId="77777777" w:rsidR="00FC6127" w:rsidRPr="000A7C54" w:rsidRDefault="00FC6127" w:rsidP="0008407A">
            <w:pPr>
              <w:jc w:val="right"/>
            </w:pPr>
            <w:r w:rsidRPr="000A7C54">
              <w:t>17.1</w:t>
            </w:r>
          </w:p>
        </w:tc>
        <w:tc>
          <w:tcPr>
            <w:tcW w:w="709" w:type="dxa"/>
            <w:shd w:val="clear" w:color="auto" w:fill="FFFF00"/>
          </w:tcPr>
          <w:p w14:paraId="5490DFB8" w14:textId="77777777" w:rsidR="00FC6127" w:rsidRPr="002E5AFB" w:rsidRDefault="00FC6127" w:rsidP="0008407A">
            <w:pPr>
              <w:jc w:val="right"/>
            </w:pPr>
            <w:r w:rsidRPr="002E5AFB">
              <w:t>77</w:t>
            </w:r>
          </w:p>
        </w:tc>
        <w:tc>
          <w:tcPr>
            <w:tcW w:w="567" w:type="dxa"/>
            <w:shd w:val="clear" w:color="auto" w:fill="FFFF00"/>
          </w:tcPr>
          <w:p w14:paraId="54E36B30" w14:textId="77777777" w:rsidR="00FC6127" w:rsidRPr="002E5AFB" w:rsidRDefault="00FC6127" w:rsidP="0008407A">
            <w:pPr>
              <w:jc w:val="right"/>
            </w:pPr>
            <w:r w:rsidRPr="002E5AFB">
              <w:t>69.0</w:t>
            </w:r>
          </w:p>
        </w:tc>
        <w:tc>
          <w:tcPr>
            <w:tcW w:w="567" w:type="dxa"/>
            <w:shd w:val="clear" w:color="auto" w:fill="E5B8B7" w:themeFill="accent2" w:themeFillTint="66"/>
          </w:tcPr>
          <w:p w14:paraId="3393E602" w14:textId="77777777" w:rsidR="00FC6127" w:rsidRPr="00841A1C" w:rsidRDefault="00FC6127" w:rsidP="0008407A">
            <w:pPr>
              <w:jc w:val="right"/>
            </w:pPr>
            <w:r w:rsidRPr="00841A1C">
              <w:t>11</w:t>
            </w:r>
          </w:p>
        </w:tc>
        <w:tc>
          <w:tcPr>
            <w:tcW w:w="567" w:type="dxa"/>
            <w:shd w:val="clear" w:color="auto" w:fill="E5B8B7" w:themeFill="accent2" w:themeFillTint="66"/>
          </w:tcPr>
          <w:p w14:paraId="4BEB9ED6" w14:textId="77777777" w:rsidR="00FC6127" w:rsidRPr="00841A1C" w:rsidRDefault="00FC6127" w:rsidP="0008407A">
            <w:pPr>
              <w:jc w:val="right"/>
            </w:pPr>
            <w:r w:rsidRPr="00841A1C">
              <w:t>9.9</w:t>
            </w:r>
          </w:p>
        </w:tc>
        <w:tc>
          <w:tcPr>
            <w:tcW w:w="849" w:type="dxa"/>
            <w:shd w:val="clear" w:color="auto" w:fill="E5B8B7" w:themeFill="accent2" w:themeFillTint="66"/>
          </w:tcPr>
          <w:p w14:paraId="293955DB" w14:textId="77777777" w:rsidR="00FC6127" w:rsidRPr="00434E01" w:rsidRDefault="00FC6127" w:rsidP="0008407A">
            <w:pPr>
              <w:jc w:val="right"/>
            </w:pPr>
            <w:r w:rsidRPr="00434E01">
              <w:t>4</w:t>
            </w:r>
          </w:p>
        </w:tc>
        <w:tc>
          <w:tcPr>
            <w:tcW w:w="709" w:type="dxa"/>
            <w:shd w:val="clear" w:color="auto" w:fill="E5B8B7" w:themeFill="accent2" w:themeFillTint="66"/>
          </w:tcPr>
          <w:p w14:paraId="179F6B6F" w14:textId="77777777" w:rsidR="00FC6127" w:rsidRPr="00434E01" w:rsidRDefault="00FC6127" w:rsidP="0008407A">
            <w:pPr>
              <w:jc w:val="right"/>
            </w:pPr>
            <w:r w:rsidRPr="00434E01">
              <w:t>3.9</w:t>
            </w:r>
          </w:p>
        </w:tc>
      </w:tr>
      <w:tr w:rsidR="00FC6127" w:rsidRPr="00672B00" w14:paraId="6E498C7E" w14:textId="77777777" w:rsidTr="0008407A">
        <w:trPr>
          <w:jc w:val="center"/>
        </w:trPr>
        <w:tc>
          <w:tcPr>
            <w:tcW w:w="3121" w:type="dxa"/>
            <w:vAlign w:val="center"/>
          </w:tcPr>
          <w:p w14:paraId="61D51711" w14:textId="77777777" w:rsidR="00FC6127" w:rsidRPr="00672B00" w:rsidRDefault="00FC6127" w:rsidP="0008407A">
            <w:pPr>
              <w:keepNext/>
              <w:spacing w:before="20" w:after="20"/>
              <w:ind w:left="88"/>
              <w:rPr>
                <w:szCs w:val="20"/>
              </w:rPr>
            </w:pPr>
            <w:r w:rsidRPr="00672B00">
              <w:rPr>
                <w:szCs w:val="20"/>
              </w:rPr>
              <w:t>Low-risk gambler</w:t>
            </w:r>
          </w:p>
        </w:tc>
        <w:tc>
          <w:tcPr>
            <w:tcW w:w="709" w:type="dxa"/>
            <w:shd w:val="clear" w:color="auto" w:fill="D6E3BC" w:themeFill="accent3" w:themeFillTint="66"/>
          </w:tcPr>
          <w:p w14:paraId="46E2D060" w14:textId="77777777" w:rsidR="00FC6127" w:rsidRPr="000A7C54" w:rsidRDefault="00FC6127" w:rsidP="0008407A">
            <w:pPr>
              <w:jc w:val="right"/>
            </w:pPr>
            <w:r w:rsidRPr="000A7C54">
              <w:t>1</w:t>
            </w:r>
          </w:p>
        </w:tc>
        <w:tc>
          <w:tcPr>
            <w:tcW w:w="567" w:type="dxa"/>
            <w:shd w:val="clear" w:color="auto" w:fill="D6E3BC" w:themeFill="accent3" w:themeFillTint="66"/>
          </w:tcPr>
          <w:p w14:paraId="0660CD9E" w14:textId="77777777" w:rsidR="00FC6127" w:rsidRPr="000A7C54" w:rsidRDefault="00FC6127" w:rsidP="0008407A">
            <w:pPr>
              <w:jc w:val="right"/>
            </w:pPr>
            <w:r w:rsidRPr="000A7C54">
              <w:t>5.1</w:t>
            </w:r>
          </w:p>
        </w:tc>
        <w:tc>
          <w:tcPr>
            <w:tcW w:w="709" w:type="dxa"/>
            <w:shd w:val="clear" w:color="auto" w:fill="D6E3BC" w:themeFill="accent3" w:themeFillTint="66"/>
          </w:tcPr>
          <w:p w14:paraId="4ABCD89A" w14:textId="77777777" w:rsidR="00FC6127" w:rsidRPr="002E5AFB" w:rsidRDefault="00FC6127" w:rsidP="0008407A">
            <w:pPr>
              <w:jc w:val="right"/>
            </w:pPr>
            <w:r w:rsidRPr="002E5AFB">
              <w:t>8</w:t>
            </w:r>
          </w:p>
        </w:tc>
        <w:tc>
          <w:tcPr>
            <w:tcW w:w="567" w:type="dxa"/>
            <w:shd w:val="clear" w:color="auto" w:fill="D6E3BC" w:themeFill="accent3" w:themeFillTint="66"/>
          </w:tcPr>
          <w:p w14:paraId="49CE5A3F" w14:textId="77777777" w:rsidR="00FC6127" w:rsidRPr="002E5AFB" w:rsidRDefault="00FC6127" w:rsidP="0008407A">
            <w:pPr>
              <w:jc w:val="right"/>
            </w:pPr>
            <w:r w:rsidRPr="002E5AFB">
              <w:t>52.2</w:t>
            </w:r>
          </w:p>
        </w:tc>
        <w:tc>
          <w:tcPr>
            <w:tcW w:w="567" w:type="dxa"/>
            <w:shd w:val="clear" w:color="auto" w:fill="FFFF00"/>
          </w:tcPr>
          <w:p w14:paraId="0C68F59C" w14:textId="77777777" w:rsidR="00FC6127" w:rsidRPr="00841A1C" w:rsidRDefault="00FC6127" w:rsidP="0008407A">
            <w:pPr>
              <w:jc w:val="right"/>
            </w:pPr>
            <w:r w:rsidRPr="00841A1C">
              <w:t>4</w:t>
            </w:r>
          </w:p>
        </w:tc>
        <w:tc>
          <w:tcPr>
            <w:tcW w:w="567" w:type="dxa"/>
            <w:shd w:val="clear" w:color="auto" w:fill="FFFF00"/>
          </w:tcPr>
          <w:p w14:paraId="31A32988" w14:textId="77777777" w:rsidR="00FC6127" w:rsidRPr="00841A1C" w:rsidRDefault="00FC6127" w:rsidP="0008407A">
            <w:pPr>
              <w:jc w:val="right"/>
            </w:pPr>
            <w:r w:rsidRPr="00841A1C">
              <w:t>22.3</w:t>
            </w:r>
          </w:p>
        </w:tc>
        <w:tc>
          <w:tcPr>
            <w:tcW w:w="849" w:type="dxa"/>
            <w:shd w:val="clear" w:color="auto" w:fill="E5B8B7" w:themeFill="accent2" w:themeFillTint="66"/>
          </w:tcPr>
          <w:p w14:paraId="5B7D014C" w14:textId="77777777" w:rsidR="00FC6127" w:rsidRPr="00434E01" w:rsidRDefault="00FC6127" w:rsidP="0008407A">
            <w:pPr>
              <w:jc w:val="right"/>
            </w:pPr>
            <w:r w:rsidRPr="00434E01">
              <w:t>3</w:t>
            </w:r>
          </w:p>
        </w:tc>
        <w:tc>
          <w:tcPr>
            <w:tcW w:w="709" w:type="dxa"/>
            <w:shd w:val="clear" w:color="auto" w:fill="E5B8B7" w:themeFill="accent2" w:themeFillTint="66"/>
          </w:tcPr>
          <w:p w14:paraId="65A7B7F8" w14:textId="77777777" w:rsidR="00FC6127" w:rsidRPr="00434E01" w:rsidRDefault="00FC6127" w:rsidP="0008407A">
            <w:pPr>
              <w:jc w:val="right"/>
            </w:pPr>
            <w:r w:rsidRPr="00434E01">
              <w:t>20.4</w:t>
            </w:r>
          </w:p>
        </w:tc>
      </w:tr>
      <w:tr w:rsidR="00FC6127" w:rsidRPr="00672B00" w14:paraId="62D80BC6" w14:textId="77777777" w:rsidTr="0008407A">
        <w:trPr>
          <w:jc w:val="center"/>
        </w:trPr>
        <w:tc>
          <w:tcPr>
            <w:tcW w:w="3121" w:type="dxa"/>
            <w:vAlign w:val="center"/>
          </w:tcPr>
          <w:p w14:paraId="169FB117" w14:textId="77777777" w:rsidR="00FC6127" w:rsidRPr="00672B00" w:rsidRDefault="00FC6127" w:rsidP="0008407A">
            <w:pPr>
              <w:keepNext/>
              <w:spacing w:before="20" w:after="20"/>
              <w:ind w:left="88"/>
              <w:rPr>
                <w:szCs w:val="20"/>
              </w:rPr>
            </w:pPr>
            <w:r w:rsidRPr="00672B00">
              <w:rPr>
                <w:szCs w:val="20"/>
              </w:rPr>
              <w:t>Moderate-risk</w:t>
            </w:r>
            <w:r>
              <w:rPr>
                <w:szCs w:val="20"/>
              </w:rPr>
              <w:t>/problem</w:t>
            </w:r>
            <w:r w:rsidRPr="00672B00">
              <w:rPr>
                <w:szCs w:val="20"/>
              </w:rPr>
              <w:t xml:space="preserve"> gambler</w:t>
            </w:r>
          </w:p>
        </w:tc>
        <w:tc>
          <w:tcPr>
            <w:tcW w:w="709" w:type="dxa"/>
            <w:shd w:val="clear" w:color="auto" w:fill="D6E3BC" w:themeFill="accent3" w:themeFillTint="66"/>
          </w:tcPr>
          <w:p w14:paraId="075987D1" w14:textId="77777777" w:rsidR="00FC6127" w:rsidRPr="000A7C54" w:rsidRDefault="00FC6127" w:rsidP="0008407A">
            <w:pPr>
              <w:jc w:val="right"/>
            </w:pPr>
            <w:r w:rsidRPr="000A7C54">
              <w:t>0</w:t>
            </w:r>
          </w:p>
        </w:tc>
        <w:tc>
          <w:tcPr>
            <w:tcW w:w="567" w:type="dxa"/>
            <w:shd w:val="clear" w:color="auto" w:fill="D6E3BC" w:themeFill="accent3" w:themeFillTint="66"/>
          </w:tcPr>
          <w:p w14:paraId="10BC02D8" w14:textId="77777777" w:rsidR="00FC6127" w:rsidRDefault="00FC6127" w:rsidP="0008407A">
            <w:pPr>
              <w:jc w:val="right"/>
            </w:pPr>
            <w:r w:rsidRPr="000A7C54">
              <w:t>-</w:t>
            </w:r>
          </w:p>
        </w:tc>
        <w:tc>
          <w:tcPr>
            <w:tcW w:w="709" w:type="dxa"/>
            <w:shd w:val="clear" w:color="auto" w:fill="D6E3BC" w:themeFill="accent3" w:themeFillTint="66"/>
          </w:tcPr>
          <w:p w14:paraId="17C5C880" w14:textId="77777777" w:rsidR="00FC6127" w:rsidRPr="002E5AFB" w:rsidRDefault="00FC6127" w:rsidP="0008407A">
            <w:pPr>
              <w:jc w:val="right"/>
            </w:pPr>
            <w:r w:rsidRPr="002E5AFB">
              <w:t>5</w:t>
            </w:r>
          </w:p>
        </w:tc>
        <w:tc>
          <w:tcPr>
            <w:tcW w:w="567" w:type="dxa"/>
            <w:shd w:val="clear" w:color="auto" w:fill="D6E3BC" w:themeFill="accent3" w:themeFillTint="66"/>
          </w:tcPr>
          <w:p w14:paraId="19A99A8A" w14:textId="77777777" w:rsidR="00FC6127" w:rsidRDefault="00FC6127" w:rsidP="0008407A">
            <w:pPr>
              <w:jc w:val="right"/>
            </w:pPr>
            <w:r w:rsidRPr="002E5AFB">
              <w:t>50.6</w:t>
            </w:r>
          </w:p>
        </w:tc>
        <w:tc>
          <w:tcPr>
            <w:tcW w:w="567" w:type="dxa"/>
            <w:shd w:val="clear" w:color="auto" w:fill="D6E3BC" w:themeFill="accent3" w:themeFillTint="66"/>
          </w:tcPr>
          <w:p w14:paraId="1A9A50EA" w14:textId="77777777" w:rsidR="00FC6127" w:rsidRPr="00841A1C" w:rsidRDefault="00FC6127" w:rsidP="0008407A">
            <w:pPr>
              <w:jc w:val="right"/>
            </w:pPr>
            <w:r w:rsidRPr="00841A1C">
              <w:t>1</w:t>
            </w:r>
          </w:p>
        </w:tc>
        <w:tc>
          <w:tcPr>
            <w:tcW w:w="567" w:type="dxa"/>
            <w:shd w:val="clear" w:color="auto" w:fill="D6E3BC" w:themeFill="accent3" w:themeFillTint="66"/>
          </w:tcPr>
          <w:p w14:paraId="2D1EDE00" w14:textId="77777777" w:rsidR="00FC6127" w:rsidRDefault="00FC6127" w:rsidP="0008407A">
            <w:pPr>
              <w:jc w:val="right"/>
            </w:pPr>
            <w:r w:rsidRPr="00841A1C">
              <w:t>9.5</w:t>
            </w:r>
          </w:p>
        </w:tc>
        <w:tc>
          <w:tcPr>
            <w:tcW w:w="849" w:type="dxa"/>
            <w:shd w:val="clear" w:color="auto" w:fill="FFFF00"/>
          </w:tcPr>
          <w:p w14:paraId="14377A4C" w14:textId="77777777" w:rsidR="00FC6127" w:rsidRPr="00434E01" w:rsidRDefault="00FC6127" w:rsidP="0008407A">
            <w:pPr>
              <w:jc w:val="right"/>
            </w:pPr>
            <w:r w:rsidRPr="00434E01">
              <w:t>4</w:t>
            </w:r>
          </w:p>
        </w:tc>
        <w:tc>
          <w:tcPr>
            <w:tcW w:w="709" w:type="dxa"/>
            <w:shd w:val="clear" w:color="auto" w:fill="FFFF00"/>
          </w:tcPr>
          <w:p w14:paraId="2F5B7659" w14:textId="77777777" w:rsidR="00FC6127" w:rsidRDefault="00FC6127" w:rsidP="0008407A">
            <w:pPr>
              <w:jc w:val="right"/>
            </w:pPr>
            <w:r w:rsidRPr="00434E01">
              <w:t>39.9</w:t>
            </w:r>
          </w:p>
        </w:tc>
      </w:tr>
      <w:tr w:rsidR="00FC6127" w:rsidRPr="00672B00" w14:paraId="19901491" w14:textId="77777777" w:rsidTr="0008407A">
        <w:trPr>
          <w:jc w:val="center"/>
        </w:trPr>
        <w:tc>
          <w:tcPr>
            <w:tcW w:w="4397" w:type="dxa"/>
            <w:gridSpan w:val="3"/>
            <w:tcBorders>
              <w:top w:val="single" w:sz="4" w:space="0" w:color="auto"/>
            </w:tcBorders>
            <w:shd w:val="clear" w:color="auto" w:fill="auto"/>
            <w:vAlign w:val="center"/>
          </w:tcPr>
          <w:p w14:paraId="154883CC" w14:textId="77777777" w:rsidR="00FC6127" w:rsidRPr="001E27B8" w:rsidRDefault="00FC6127" w:rsidP="0008407A">
            <w:pPr>
              <w:keepNext/>
              <w:keepLines/>
              <w:spacing w:before="20" w:after="20"/>
              <w:rPr>
                <w:b/>
                <w:color w:val="000000"/>
                <w:szCs w:val="20"/>
              </w:rPr>
            </w:pPr>
            <w:r>
              <w:rPr>
                <w:b/>
                <w:color w:val="000000"/>
                <w:szCs w:val="20"/>
              </w:rPr>
              <w:t>Wave 2 to Wave 3</w:t>
            </w:r>
          </w:p>
        </w:tc>
        <w:tc>
          <w:tcPr>
            <w:tcW w:w="709" w:type="dxa"/>
            <w:tcBorders>
              <w:top w:val="single" w:sz="4" w:space="0" w:color="auto"/>
            </w:tcBorders>
            <w:shd w:val="clear" w:color="auto" w:fill="auto"/>
            <w:vAlign w:val="center"/>
          </w:tcPr>
          <w:p w14:paraId="19F4ECEC" w14:textId="77777777" w:rsidR="00FC6127" w:rsidRPr="00672B00" w:rsidRDefault="00FC6127" w:rsidP="0008407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14:paraId="6431DBF8" w14:textId="77777777" w:rsidR="00FC6127" w:rsidRPr="00672B00" w:rsidRDefault="00FC6127" w:rsidP="0008407A">
            <w:pPr>
              <w:keepNext/>
              <w:keepLines/>
              <w:spacing w:before="20" w:after="20"/>
              <w:jc w:val="right"/>
              <w:rPr>
                <w:color w:val="000000"/>
                <w:szCs w:val="20"/>
              </w:rPr>
            </w:pPr>
          </w:p>
        </w:tc>
        <w:tc>
          <w:tcPr>
            <w:tcW w:w="567" w:type="dxa"/>
            <w:tcBorders>
              <w:top w:val="single" w:sz="4" w:space="0" w:color="auto"/>
            </w:tcBorders>
            <w:shd w:val="clear" w:color="auto" w:fill="auto"/>
            <w:vAlign w:val="bottom"/>
          </w:tcPr>
          <w:p w14:paraId="67D0A8CF" w14:textId="77777777" w:rsidR="00FC6127" w:rsidRDefault="00FC6127" w:rsidP="0008407A">
            <w:pPr>
              <w:jc w:val="center"/>
              <w:rPr>
                <w:rFonts w:ascii="Calibri" w:hAnsi="Calibri"/>
                <w:color w:val="000000"/>
                <w:sz w:val="22"/>
                <w:szCs w:val="22"/>
              </w:rPr>
            </w:pPr>
          </w:p>
        </w:tc>
        <w:tc>
          <w:tcPr>
            <w:tcW w:w="567" w:type="dxa"/>
            <w:tcBorders>
              <w:top w:val="single" w:sz="4" w:space="0" w:color="auto"/>
            </w:tcBorders>
            <w:shd w:val="clear" w:color="auto" w:fill="auto"/>
            <w:vAlign w:val="bottom"/>
          </w:tcPr>
          <w:p w14:paraId="4AE906BC" w14:textId="77777777" w:rsidR="00FC6127" w:rsidRDefault="00FC6127" w:rsidP="0008407A">
            <w:pPr>
              <w:jc w:val="center"/>
              <w:rPr>
                <w:szCs w:val="20"/>
              </w:rPr>
            </w:pPr>
          </w:p>
        </w:tc>
        <w:tc>
          <w:tcPr>
            <w:tcW w:w="849" w:type="dxa"/>
            <w:tcBorders>
              <w:top w:val="single" w:sz="4" w:space="0" w:color="auto"/>
            </w:tcBorders>
            <w:shd w:val="clear" w:color="auto" w:fill="auto"/>
            <w:vAlign w:val="bottom"/>
          </w:tcPr>
          <w:p w14:paraId="68B42599" w14:textId="77777777" w:rsidR="00FC6127" w:rsidRDefault="00FC6127" w:rsidP="0008407A">
            <w:pPr>
              <w:jc w:val="center"/>
              <w:rPr>
                <w:rFonts w:ascii="Calibri" w:hAnsi="Calibri"/>
                <w:color w:val="000000"/>
                <w:sz w:val="22"/>
                <w:szCs w:val="22"/>
              </w:rPr>
            </w:pPr>
          </w:p>
        </w:tc>
        <w:tc>
          <w:tcPr>
            <w:tcW w:w="709" w:type="dxa"/>
            <w:tcBorders>
              <w:top w:val="single" w:sz="4" w:space="0" w:color="auto"/>
            </w:tcBorders>
            <w:shd w:val="clear" w:color="auto" w:fill="auto"/>
            <w:vAlign w:val="bottom"/>
          </w:tcPr>
          <w:p w14:paraId="62134D79" w14:textId="77777777" w:rsidR="00FC6127" w:rsidRDefault="00FC6127" w:rsidP="0008407A">
            <w:pPr>
              <w:jc w:val="center"/>
              <w:rPr>
                <w:szCs w:val="20"/>
              </w:rPr>
            </w:pPr>
          </w:p>
        </w:tc>
      </w:tr>
      <w:tr w:rsidR="00FC6127" w:rsidRPr="00672B00" w14:paraId="1837C11D" w14:textId="77777777" w:rsidTr="0008407A">
        <w:trPr>
          <w:jc w:val="center"/>
        </w:trPr>
        <w:tc>
          <w:tcPr>
            <w:tcW w:w="3121" w:type="dxa"/>
            <w:vAlign w:val="center"/>
          </w:tcPr>
          <w:p w14:paraId="4771D0F2" w14:textId="77777777" w:rsidR="00FC6127" w:rsidRPr="00672B00" w:rsidRDefault="00FC6127" w:rsidP="0008407A">
            <w:pPr>
              <w:keepNext/>
              <w:keepLines/>
              <w:spacing w:before="20" w:after="20"/>
              <w:ind w:left="88"/>
              <w:rPr>
                <w:szCs w:val="20"/>
              </w:rPr>
            </w:pPr>
            <w:r w:rsidRPr="00672B00">
              <w:rPr>
                <w:szCs w:val="20"/>
              </w:rPr>
              <w:t>Non-gambler</w:t>
            </w:r>
          </w:p>
        </w:tc>
        <w:tc>
          <w:tcPr>
            <w:tcW w:w="709" w:type="dxa"/>
            <w:shd w:val="clear" w:color="auto" w:fill="FFFF00"/>
          </w:tcPr>
          <w:p w14:paraId="7469BEAF" w14:textId="77777777" w:rsidR="00FC6127" w:rsidRPr="007737AB" w:rsidRDefault="00FC6127" w:rsidP="0008407A">
            <w:pPr>
              <w:jc w:val="right"/>
            </w:pPr>
            <w:r w:rsidRPr="007737AB">
              <w:t>28</w:t>
            </w:r>
          </w:p>
        </w:tc>
        <w:tc>
          <w:tcPr>
            <w:tcW w:w="567" w:type="dxa"/>
            <w:shd w:val="clear" w:color="auto" w:fill="FFFF00"/>
          </w:tcPr>
          <w:p w14:paraId="17C5398F" w14:textId="77777777" w:rsidR="00FC6127" w:rsidRPr="007737AB" w:rsidRDefault="00FC6127" w:rsidP="0008407A">
            <w:pPr>
              <w:jc w:val="right"/>
            </w:pPr>
            <w:r w:rsidRPr="007737AB">
              <w:t>65.5</w:t>
            </w:r>
          </w:p>
        </w:tc>
        <w:tc>
          <w:tcPr>
            <w:tcW w:w="709" w:type="dxa"/>
            <w:shd w:val="clear" w:color="auto" w:fill="E5B8B7" w:themeFill="accent2" w:themeFillTint="66"/>
          </w:tcPr>
          <w:p w14:paraId="043DF1B4" w14:textId="77777777" w:rsidR="00FC6127" w:rsidRPr="00151390" w:rsidRDefault="00FC6127" w:rsidP="0008407A">
            <w:pPr>
              <w:jc w:val="right"/>
            </w:pPr>
            <w:r w:rsidRPr="00151390">
              <w:t>14</w:t>
            </w:r>
          </w:p>
        </w:tc>
        <w:tc>
          <w:tcPr>
            <w:tcW w:w="567" w:type="dxa"/>
            <w:shd w:val="clear" w:color="auto" w:fill="E5B8B7" w:themeFill="accent2" w:themeFillTint="66"/>
          </w:tcPr>
          <w:p w14:paraId="576E3632" w14:textId="77777777" w:rsidR="00FC6127" w:rsidRPr="00151390" w:rsidRDefault="00FC6127" w:rsidP="0008407A">
            <w:pPr>
              <w:jc w:val="right"/>
            </w:pPr>
            <w:r w:rsidRPr="00151390">
              <w:t>31.5</w:t>
            </w:r>
          </w:p>
        </w:tc>
        <w:tc>
          <w:tcPr>
            <w:tcW w:w="567" w:type="dxa"/>
            <w:shd w:val="clear" w:color="auto" w:fill="E5B8B7" w:themeFill="accent2" w:themeFillTint="66"/>
          </w:tcPr>
          <w:p w14:paraId="3A21F1A8" w14:textId="77777777" w:rsidR="00FC6127" w:rsidRPr="00A15122" w:rsidRDefault="00FC6127" w:rsidP="0008407A">
            <w:pPr>
              <w:jc w:val="right"/>
            </w:pPr>
            <w:r w:rsidRPr="00A15122">
              <w:t>1</w:t>
            </w:r>
          </w:p>
        </w:tc>
        <w:tc>
          <w:tcPr>
            <w:tcW w:w="567" w:type="dxa"/>
            <w:shd w:val="clear" w:color="auto" w:fill="E5B8B7" w:themeFill="accent2" w:themeFillTint="66"/>
          </w:tcPr>
          <w:p w14:paraId="43409D89" w14:textId="77777777" w:rsidR="00FC6127" w:rsidRPr="00A15122" w:rsidRDefault="00FC6127" w:rsidP="0008407A">
            <w:pPr>
              <w:jc w:val="right"/>
            </w:pPr>
            <w:r w:rsidRPr="00A15122">
              <w:t>3.1</w:t>
            </w:r>
          </w:p>
        </w:tc>
        <w:tc>
          <w:tcPr>
            <w:tcW w:w="849" w:type="dxa"/>
            <w:shd w:val="clear" w:color="auto" w:fill="E5B8B7" w:themeFill="accent2" w:themeFillTint="66"/>
          </w:tcPr>
          <w:p w14:paraId="20E87301" w14:textId="77777777" w:rsidR="00FC6127" w:rsidRPr="00A839CF" w:rsidRDefault="00FC6127" w:rsidP="0008407A">
            <w:pPr>
              <w:jc w:val="right"/>
            </w:pPr>
            <w:r w:rsidRPr="00A839CF">
              <w:t>0</w:t>
            </w:r>
          </w:p>
        </w:tc>
        <w:tc>
          <w:tcPr>
            <w:tcW w:w="709" w:type="dxa"/>
            <w:shd w:val="clear" w:color="auto" w:fill="E5B8B7" w:themeFill="accent2" w:themeFillTint="66"/>
          </w:tcPr>
          <w:p w14:paraId="1090A5DD" w14:textId="77777777" w:rsidR="00FC6127" w:rsidRPr="00A839CF" w:rsidRDefault="00FC6127" w:rsidP="0008407A">
            <w:pPr>
              <w:jc w:val="right"/>
            </w:pPr>
            <w:r w:rsidRPr="00A839CF">
              <w:t>-</w:t>
            </w:r>
          </w:p>
        </w:tc>
      </w:tr>
      <w:tr w:rsidR="00FC6127" w:rsidRPr="00672B00" w14:paraId="63BF9FAE" w14:textId="77777777" w:rsidTr="0008407A">
        <w:trPr>
          <w:jc w:val="center"/>
        </w:trPr>
        <w:tc>
          <w:tcPr>
            <w:tcW w:w="3121" w:type="dxa"/>
            <w:vAlign w:val="center"/>
          </w:tcPr>
          <w:p w14:paraId="2DF8475C" w14:textId="77777777" w:rsidR="00FC6127" w:rsidRPr="00672B00" w:rsidRDefault="00FC6127" w:rsidP="0008407A">
            <w:pPr>
              <w:spacing w:before="20" w:after="20"/>
              <w:ind w:left="88"/>
              <w:rPr>
                <w:szCs w:val="20"/>
              </w:rPr>
            </w:pPr>
            <w:r w:rsidRPr="00672B00">
              <w:rPr>
                <w:szCs w:val="20"/>
              </w:rPr>
              <w:t>Non-problem gambler</w:t>
            </w:r>
          </w:p>
        </w:tc>
        <w:tc>
          <w:tcPr>
            <w:tcW w:w="709" w:type="dxa"/>
            <w:shd w:val="clear" w:color="auto" w:fill="D6E3BC" w:themeFill="accent3" w:themeFillTint="66"/>
          </w:tcPr>
          <w:p w14:paraId="28D65563" w14:textId="77777777" w:rsidR="00FC6127" w:rsidRPr="007737AB" w:rsidRDefault="00FC6127" w:rsidP="0008407A">
            <w:pPr>
              <w:jc w:val="right"/>
            </w:pPr>
            <w:r w:rsidRPr="007737AB">
              <w:t>12</w:t>
            </w:r>
          </w:p>
        </w:tc>
        <w:tc>
          <w:tcPr>
            <w:tcW w:w="567" w:type="dxa"/>
            <w:shd w:val="clear" w:color="auto" w:fill="D6E3BC" w:themeFill="accent3" w:themeFillTint="66"/>
          </w:tcPr>
          <w:p w14:paraId="41967CF3" w14:textId="77777777" w:rsidR="00FC6127" w:rsidRPr="007737AB" w:rsidRDefault="00FC6127" w:rsidP="0008407A">
            <w:pPr>
              <w:jc w:val="right"/>
            </w:pPr>
            <w:r w:rsidRPr="007737AB">
              <w:t>15.3</w:t>
            </w:r>
          </w:p>
        </w:tc>
        <w:tc>
          <w:tcPr>
            <w:tcW w:w="709" w:type="dxa"/>
            <w:shd w:val="clear" w:color="auto" w:fill="FFFF00"/>
          </w:tcPr>
          <w:p w14:paraId="454442C7" w14:textId="77777777" w:rsidR="00FC6127" w:rsidRPr="00151390" w:rsidRDefault="00FC6127" w:rsidP="0008407A">
            <w:pPr>
              <w:jc w:val="right"/>
            </w:pPr>
            <w:r w:rsidRPr="00151390">
              <w:t>56</w:t>
            </w:r>
          </w:p>
        </w:tc>
        <w:tc>
          <w:tcPr>
            <w:tcW w:w="567" w:type="dxa"/>
            <w:shd w:val="clear" w:color="auto" w:fill="FFFF00"/>
          </w:tcPr>
          <w:p w14:paraId="66C2B797" w14:textId="77777777" w:rsidR="00FC6127" w:rsidRPr="00151390" w:rsidRDefault="00FC6127" w:rsidP="0008407A">
            <w:pPr>
              <w:jc w:val="right"/>
            </w:pPr>
            <w:r w:rsidRPr="00151390">
              <w:t>68.9</w:t>
            </w:r>
          </w:p>
        </w:tc>
        <w:tc>
          <w:tcPr>
            <w:tcW w:w="567" w:type="dxa"/>
            <w:shd w:val="clear" w:color="auto" w:fill="E5B8B7" w:themeFill="accent2" w:themeFillTint="66"/>
          </w:tcPr>
          <w:p w14:paraId="5709F9E4" w14:textId="77777777" w:rsidR="00FC6127" w:rsidRPr="00A15122" w:rsidRDefault="00FC6127" w:rsidP="0008407A">
            <w:pPr>
              <w:jc w:val="right"/>
            </w:pPr>
            <w:r w:rsidRPr="00A15122">
              <w:t>8</w:t>
            </w:r>
          </w:p>
        </w:tc>
        <w:tc>
          <w:tcPr>
            <w:tcW w:w="567" w:type="dxa"/>
            <w:shd w:val="clear" w:color="auto" w:fill="E5B8B7" w:themeFill="accent2" w:themeFillTint="66"/>
          </w:tcPr>
          <w:p w14:paraId="34C47818" w14:textId="77777777" w:rsidR="00FC6127" w:rsidRPr="00A15122" w:rsidRDefault="00FC6127" w:rsidP="0008407A">
            <w:pPr>
              <w:jc w:val="right"/>
            </w:pPr>
            <w:r w:rsidRPr="00A15122">
              <w:t>9.9</w:t>
            </w:r>
          </w:p>
        </w:tc>
        <w:tc>
          <w:tcPr>
            <w:tcW w:w="849" w:type="dxa"/>
            <w:shd w:val="clear" w:color="auto" w:fill="E5B8B7" w:themeFill="accent2" w:themeFillTint="66"/>
          </w:tcPr>
          <w:p w14:paraId="70400982" w14:textId="77777777" w:rsidR="00FC6127" w:rsidRPr="00A839CF" w:rsidRDefault="00FC6127" w:rsidP="0008407A">
            <w:pPr>
              <w:jc w:val="right"/>
            </w:pPr>
            <w:r w:rsidRPr="00A839CF">
              <w:t>5</w:t>
            </w:r>
          </w:p>
        </w:tc>
        <w:tc>
          <w:tcPr>
            <w:tcW w:w="709" w:type="dxa"/>
            <w:shd w:val="clear" w:color="auto" w:fill="E5B8B7" w:themeFill="accent2" w:themeFillTint="66"/>
          </w:tcPr>
          <w:p w14:paraId="63B9A36E" w14:textId="77777777" w:rsidR="00FC6127" w:rsidRPr="00A839CF" w:rsidRDefault="00FC6127" w:rsidP="0008407A">
            <w:pPr>
              <w:jc w:val="right"/>
            </w:pPr>
            <w:r w:rsidRPr="00A839CF">
              <w:t>5.9</w:t>
            </w:r>
          </w:p>
        </w:tc>
      </w:tr>
      <w:tr w:rsidR="00FC6127" w:rsidRPr="00672B00" w14:paraId="541E3F77" w14:textId="77777777" w:rsidTr="0008407A">
        <w:trPr>
          <w:jc w:val="center"/>
        </w:trPr>
        <w:tc>
          <w:tcPr>
            <w:tcW w:w="3121" w:type="dxa"/>
            <w:vAlign w:val="center"/>
          </w:tcPr>
          <w:p w14:paraId="495DC58E" w14:textId="77777777" w:rsidR="00FC6127" w:rsidRPr="00672B00" w:rsidRDefault="00FC6127" w:rsidP="0008407A">
            <w:pPr>
              <w:spacing w:before="20" w:after="20"/>
              <w:ind w:left="88"/>
              <w:rPr>
                <w:szCs w:val="20"/>
              </w:rPr>
            </w:pPr>
            <w:r w:rsidRPr="00672B00">
              <w:rPr>
                <w:szCs w:val="20"/>
              </w:rPr>
              <w:t>Low-risk gambler</w:t>
            </w:r>
          </w:p>
        </w:tc>
        <w:tc>
          <w:tcPr>
            <w:tcW w:w="709" w:type="dxa"/>
            <w:shd w:val="clear" w:color="auto" w:fill="D6E3BC" w:themeFill="accent3" w:themeFillTint="66"/>
          </w:tcPr>
          <w:p w14:paraId="2D70AF48" w14:textId="77777777" w:rsidR="00FC6127" w:rsidRPr="007737AB" w:rsidRDefault="00FC6127" w:rsidP="0008407A">
            <w:pPr>
              <w:jc w:val="right"/>
            </w:pPr>
            <w:r w:rsidRPr="007737AB">
              <w:t>1</w:t>
            </w:r>
          </w:p>
        </w:tc>
        <w:tc>
          <w:tcPr>
            <w:tcW w:w="567" w:type="dxa"/>
            <w:shd w:val="clear" w:color="auto" w:fill="D6E3BC" w:themeFill="accent3" w:themeFillTint="66"/>
          </w:tcPr>
          <w:p w14:paraId="570116B3" w14:textId="77777777" w:rsidR="00FC6127" w:rsidRPr="007737AB" w:rsidRDefault="00FC6127" w:rsidP="0008407A">
            <w:pPr>
              <w:jc w:val="right"/>
            </w:pPr>
            <w:r w:rsidRPr="007737AB">
              <w:t>3.8</w:t>
            </w:r>
          </w:p>
        </w:tc>
        <w:tc>
          <w:tcPr>
            <w:tcW w:w="709" w:type="dxa"/>
            <w:shd w:val="clear" w:color="auto" w:fill="D6E3BC" w:themeFill="accent3" w:themeFillTint="66"/>
          </w:tcPr>
          <w:p w14:paraId="5FD0BE0C" w14:textId="77777777" w:rsidR="00FC6127" w:rsidRPr="00151390" w:rsidRDefault="00FC6127" w:rsidP="0008407A">
            <w:pPr>
              <w:jc w:val="right"/>
            </w:pPr>
            <w:r w:rsidRPr="00151390">
              <w:t>9</w:t>
            </w:r>
          </w:p>
        </w:tc>
        <w:tc>
          <w:tcPr>
            <w:tcW w:w="567" w:type="dxa"/>
            <w:shd w:val="clear" w:color="auto" w:fill="D6E3BC" w:themeFill="accent3" w:themeFillTint="66"/>
          </w:tcPr>
          <w:p w14:paraId="6617B736" w14:textId="77777777" w:rsidR="00FC6127" w:rsidRPr="00151390" w:rsidRDefault="00FC6127" w:rsidP="0008407A">
            <w:pPr>
              <w:jc w:val="right"/>
            </w:pPr>
            <w:r w:rsidRPr="00151390">
              <w:t>65.7</w:t>
            </w:r>
          </w:p>
        </w:tc>
        <w:tc>
          <w:tcPr>
            <w:tcW w:w="567" w:type="dxa"/>
            <w:shd w:val="clear" w:color="auto" w:fill="FFFF00"/>
          </w:tcPr>
          <w:p w14:paraId="36DC7F30" w14:textId="77777777" w:rsidR="00FC6127" w:rsidRPr="00A15122" w:rsidRDefault="00FC6127" w:rsidP="0008407A">
            <w:pPr>
              <w:jc w:val="right"/>
            </w:pPr>
            <w:r w:rsidRPr="00A15122">
              <w:t>3</w:t>
            </w:r>
          </w:p>
        </w:tc>
        <w:tc>
          <w:tcPr>
            <w:tcW w:w="567" w:type="dxa"/>
            <w:shd w:val="clear" w:color="auto" w:fill="FFFF00"/>
          </w:tcPr>
          <w:p w14:paraId="440835D8" w14:textId="77777777" w:rsidR="00FC6127" w:rsidRPr="00A15122" w:rsidRDefault="00FC6127" w:rsidP="0008407A">
            <w:pPr>
              <w:jc w:val="right"/>
            </w:pPr>
            <w:r w:rsidRPr="00A15122">
              <w:t>23.4</w:t>
            </w:r>
          </w:p>
        </w:tc>
        <w:tc>
          <w:tcPr>
            <w:tcW w:w="849" w:type="dxa"/>
            <w:shd w:val="clear" w:color="auto" w:fill="E5B8B7" w:themeFill="accent2" w:themeFillTint="66"/>
          </w:tcPr>
          <w:p w14:paraId="0A067E68" w14:textId="77777777" w:rsidR="00FC6127" w:rsidRPr="00A839CF" w:rsidRDefault="00FC6127" w:rsidP="0008407A">
            <w:pPr>
              <w:jc w:val="right"/>
            </w:pPr>
            <w:r w:rsidRPr="00A839CF">
              <w:t>1</w:t>
            </w:r>
          </w:p>
        </w:tc>
        <w:tc>
          <w:tcPr>
            <w:tcW w:w="709" w:type="dxa"/>
            <w:shd w:val="clear" w:color="auto" w:fill="E5B8B7" w:themeFill="accent2" w:themeFillTint="66"/>
          </w:tcPr>
          <w:p w14:paraId="362C1494" w14:textId="77777777" w:rsidR="00FC6127" w:rsidRPr="00A839CF" w:rsidRDefault="00FC6127" w:rsidP="0008407A">
            <w:pPr>
              <w:jc w:val="right"/>
            </w:pPr>
            <w:r w:rsidRPr="00A839CF">
              <w:t>7.1</w:t>
            </w:r>
          </w:p>
        </w:tc>
      </w:tr>
      <w:tr w:rsidR="00FC6127" w:rsidRPr="00672B00" w14:paraId="015E1B6C" w14:textId="77777777" w:rsidTr="0008407A">
        <w:trPr>
          <w:jc w:val="center"/>
        </w:trPr>
        <w:tc>
          <w:tcPr>
            <w:tcW w:w="3121" w:type="dxa"/>
            <w:vAlign w:val="center"/>
          </w:tcPr>
          <w:p w14:paraId="27759FEF" w14:textId="77777777" w:rsidR="00FC6127" w:rsidRPr="00672B00" w:rsidRDefault="00FC6127" w:rsidP="0008407A">
            <w:pPr>
              <w:spacing w:before="20" w:after="20"/>
              <w:ind w:left="88"/>
              <w:rPr>
                <w:szCs w:val="20"/>
              </w:rPr>
            </w:pPr>
            <w:r w:rsidRPr="00672B00">
              <w:rPr>
                <w:szCs w:val="20"/>
              </w:rPr>
              <w:t>Moderate-risk</w:t>
            </w:r>
            <w:r>
              <w:rPr>
                <w:szCs w:val="20"/>
              </w:rPr>
              <w:t>/problem</w:t>
            </w:r>
            <w:r w:rsidRPr="00672B00">
              <w:rPr>
                <w:szCs w:val="20"/>
              </w:rPr>
              <w:t xml:space="preserve"> gambler</w:t>
            </w:r>
          </w:p>
        </w:tc>
        <w:tc>
          <w:tcPr>
            <w:tcW w:w="709" w:type="dxa"/>
            <w:shd w:val="clear" w:color="auto" w:fill="D6E3BC" w:themeFill="accent3" w:themeFillTint="66"/>
          </w:tcPr>
          <w:p w14:paraId="66855649" w14:textId="77777777" w:rsidR="00FC6127" w:rsidRPr="007737AB" w:rsidRDefault="00FC6127" w:rsidP="0008407A">
            <w:pPr>
              <w:jc w:val="right"/>
            </w:pPr>
            <w:r w:rsidRPr="007737AB">
              <w:t>1</w:t>
            </w:r>
          </w:p>
        </w:tc>
        <w:tc>
          <w:tcPr>
            <w:tcW w:w="567" w:type="dxa"/>
            <w:shd w:val="clear" w:color="auto" w:fill="D6E3BC" w:themeFill="accent3" w:themeFillTint="66"/>
          </w:tcPr>
          <w:p w14:paraId="244C0CC8" w14:textId="77777777" w:rsidR="00FC6127" w:rsidRDefault="00FC6127" w:rsidP="0008407A">
            <w:pPr>
              <w:jc w:val="right"/>
            </w:pPr>
            <w:r w:rsidRPr="007737AB">
              <w:t>11.4</w:t>
            </w:r>
          </w:p>
        </w:tc>
        <w:tc>
          <w:tcPr>
            <w:tcW w:w="709" w:type="dxa"/>
            <w:shd w:val="clear" w:color="auto" w:fill="D6E3BC" w:themeFill="accent3" w:themeFillTint="66"/>
          </w:tcPr>
          <w:p w14:paraId="14931B77" w14:textId="77777777" w:rsidR="00FC6127" w:rsidRPr="00151390" w:rsidRDefault="00FC6127" w:rsidP="0008407A">
            <w:pPr>
              <w:jc w:val="right"/>
            </w:pPr>
            <w:r w:rsidRPr="00151390">
              <w:t>2</w:t>
            </w:r>
          </w:p>
        </w:tc>
        <w:tc>
          <w:tcPr>
            <w:tcW w:w="567" w:type="dxa"/>
            <w:shd w:val="clear" w:color="auto" w:fill="D6E3BC" w:themeFill="accent3" w:themeFillTint="66"/>
          </w:tcPr>
          <w:p w14:paraId="6A9170A8" w14:textId="77777777" w:rsidR="00FC6127" w:rsidRDefault="00FC6127" w:rsidP="0008407A">
            <w:pPr>
              <w:jc w:val="right"/>
            </w:pPr>
            <w:r w:rsidRPr="00151390">
              <w:t>15.1</w:t>
            </w:r>
          </w:p>
        </w:tc>
        <w:tc>
          <w:tcPr>
            <w:tcW w:w="567" w:type="dxa"/>
            <w:shd w:val="clear" w:color="auto" w:fill="D6E3BC" w:themeFill="accent3" w:themeFillTint="66"/>
          </w:tcPr>
          <w:p w14:paraId="689BC15C" w14:textId="77777777" w:rsidR="00FC6127" w:rsidRPr="00A15122" w:rsidRDefault="00FC6127" w:rsidP="0008407A">
            <w:pPr>
              <w:jc w:val="right"/>
            </w:pPr>
            <w:r w:rsidRPr="00A15122">
              <w:t>3</w:t>
            </w:r>
          </w:p>
        </w:tc>
        <w:tc>
          <w:tcPr>
            <w:tcW w:w="567" w:type="dxa"/>
            <w:shd w:val="clear" w:color="auto" w:fill="D6E3BC" w:themeFill="accent3" w:themeFillTint="66"/>
          </w:tcPr>
          <w:p w14:paraId="3A55C894" w14:textId="77777777" w:rsidR="00FC6127" w:rsidRPr="00A15122" w:rsidRDefault="00FC6127" w:rsidP="0008407A">
            <w:pPr>
              <w:jc w:val="right"/>
            </w:pPr>
            <w:r w:rsidRPr="00A15122">
              <w:t>22.9</w:t>
            </w:r>
          </w:p>
        </w:tc>
        <w:tc>
          <w:tcPr>
            <w:tcW w:w="849" w:type="dxa"/>
            <w:shd w:val="clear" w:color="auto" w:fill="FFFF00"/>
          </w:tcPr>
          <w:p w14:paraId="07FCADA9" w14:textId="77777777" w:rsidR="00FC6127" w:rsidRPr="00A839CF" w:rsidRDefault="00FC6127" w:rsidP="0008407A">
            <w:pPr>
              <w:jc w:val="right"/>
            </w:pPr>
            <w:r w:rsidRPr="00A839CF">
              <w:t>6</w:t>
            </w:r>
          </w:p>
        </w:tc>
        <w:tc>
          <w:tcPr>
            <w:tcW w:w="709" w:type="dxa"/>
            <w:shd w:val="clear" w:color="auto" w:fill="FFFF00"/>
          </w:tcPr>
          <w:p w14:paraId="039EE259" w14:textId="77777777" w:rsidR="00FC6127" w:rsidRPr="00A839CF" w:rsidRDefault="00FC6127" w:rsidP="0008407A">
            <w:pPr>
              <w:jc w:val="right"/>
            </w:pPr>
            <w:r w:rsidRPr="00A839CF">
              <w:t>50.5</w:t>
            </w:r>
          </w:p>
        </w:tc>
      </w:tr>
      <w:tr w:rsidR="00FC6127" w:rsidRPr="00672B00" w14:paraId="03DC6A73" w14:textId="77777777" w:rsidTr="0008407A">
        <w:trPr>
          <w:jc w:val="center"/>
        </w:trPr>
        <w:tc>
          <w:tcPr>
            <w:tcW w:w="4397" w:type="dxa"/>
            <w:gridSpan w:val="3"/>
            <w:tcBorders>
              <w:top w:val="single" w:sz="4" w:space="0" w:color="auto"/>
            </w:tcBorders>
            <w:shd w:val="clear" w:color="auto" w:fill="auto"/>
            <w:vAlign w:val="center"/>
          </w:tcPr>
          <w:p w14:paraId="124E9C5C" w14:textId="77777777" w:rsidR="00FC6127" w:rsidRPr="001E27B8" w:rsidRDefault="00FC6127" w:rsidP="0008407A">
            <w:pPr>
              <w:keepNext/>
              <w:keepLines/>
              <w:spacing w:before="20" w:after="20"/>
              <w:rPr>
                <w:b/>
                <w:color w:val="000000"/>
                <w:szCs w:val="20"/>
              </w:rPr>
            </w:pPr>
            <w:r>
              <w:rPr>
                <w:b/>
                <w:color w:val="000000"/>
                <w:szCs w:val="20"/>
              </w:rPr>
              <w:t>Wave 3 to Wave 4</w:t>
            </w:r>
          </w:p>
        </w:tc>
        <w:tc>
          <w:tcPr>
            <w:tcW w:w="709" w:type="dxa"/>
            <w:tcBorders>
              <w:top w:val="single" w:sz="4" w:space="0" w:color="auto"/>
            </w:tcBorders>
            <w:shd w:val="clear" w:color="auto" w:fill="auto"/>
            <w:vAlign w:val="center"/>
          </w:tcPr>
          <w:p w14:paraId="6CD129A5" w14:textId="77777777" w:rsidR="00FC6127" w:rsidRPr="00672B00" w:rsidRDefault="00FC6127" w:rsidP="0008407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14:paraId="2F379B70" w14:textId="77777777" w:rsidR="00FC6127" w:rsidRPr="00672B00" w:rsidRDefault="00FC6127" w:rsidP="0008407A">
            <w:pPr>
              <w:keepNext/>
              <w:keepLines/>
              <w:spacing w:before="20" w:after="20"/>
              <w:jc w:val="right"/>
              <w:rPr>
                <w:color w:val="000000"/>
                <w:szCs w:val="20"/>
              </w:rPr>
            </w:pPr>
          </w:p>
        </w:tc>
        <w:tc>
          <w:tcPr>
            <w:tcW w:w="567" w:type="dxa"/>
            <w:tcBorders>
              <w:top w:val="single" w:sz="4" w:space="0" w:color="auto"/>
            </w:tcBorders>
            <w:shd w:val="clear" w:color="auto" w:fill="auto"/>
            <w:vAlign w:val="bottom"/>
          </w:tcPr>
          <w:p w14:paraId="0352D68E" w14:textId="77777777" w:rsidR="00FC6127" w:rsidRDefault="00FC6127" w:rsidP="0008407A">
            <w:pPr>
              <w:jc w:val="center"/>
              <w:rPr>
                <w:rFonts w:ascii="Calibri" w:hAnsi="Calibri"/>
                <w:color w:val="000000"/>
                <w:sz w:val="22"/>
                <w:szCs w:val="22"/>
              </w:rPr>
            </w:pPr>
          </w:p>
        </w:tc>
        <w:tc>
          <w:tcPr>
            <w:tcW w:w="567" w:type="dxa"/>
            <w:tcBorders>
              <w:top w:val="single" w:sz="4" w:space="0" w:color="auto"/>
            </w:tcBorders>
            <w:shd w:val="clear" w:color="auto" w:fill="auto"/>
            <w:vAlign w:val="bottom"/>
          </w:tcPr>
          <w:p w14:paraId="1BFDC846" w14:textId="77777777" w:rsidR="00FC6127" w:rsidRDefault="00FC6127" w:rsidP="0008407A">
            <w:pPr>
              <w:jc w:val="center"/>
              <w:rPr>
                <w:szCs w:val="20"/>
              </w:rPr>
            </w:pPr>
          </w:p>
        </w:tc>
        <w:tc>
          <w:tcPr>
            <w:tcW w:w="849" w:type="dxa"/>
            <w:tcBorders>
              <w:top w:val="single" w:sz="4" w:space="0" w:color="auto"/>
            </w:tcBorders>
            <w:shd w:val="clear" w:color="auto" w:fill="auto"/>
          </w:tcPr>
          <w:p w14:paraId="71F8F23B" w14:textId="77777777" w:rsidR="00FC6127" w:rsidRPr="00A15122" w:rsidRDefault="00FC6127" w:rsidP="0008407A"/>
        </w:tc>
        <w:tc>
          <w:tcPr>
            <w:tcW w:w="709" w:type="dxa"/>
            <w:tcBorders>
              <w:top w:val="single" w:sz="4" w:space="0" w:color="auto"/>
            </w:tcBorders>
            <w:shd w:val="clear" w:color="auto" w:fill="auto"/>
          </w:tcPr>
          <w:p w14:paraId="7671B93E" w14:textId="77777777" w:rsidR="00FC6127" w:rsidRPr="00A15122" w:rsidRDefault="00FC6127" w:rsidP="0008407A"/>
        </w:tc>
      </w:tr>
      <w:tr w:rsidR="00FC6127" w:rsidRPr="00672B00" w14:paraId="3947223A" w14:textId="77777777" w:rsidTr="0008407A">
        <w:trPr>
          <w:jc w:val="center"/>
        </w:trPr>
        <w:tc>
          <w:tcPr>
            <w:tcW w:w="3121" w:type="dxa"/>
            <w:vAlign w:val="center"/>
          </w:tcPr>
          <w:p w14:paraId="39EC790C" w14:textId="77777777" w:rsidR="00FC6127" w:rsidRPr="00672B00" w:rsidRDefault="00FC6127" w:rsidP="0008407A">
            <w:pPr>
              <w:keepNext/>
              <w:keepLines/>
              <w:spacing w:before="20" w:after="20"/>
              <w:ind w:left="88"/>
              <w:rPr>
                <w:szCs w:val="20"/>
              </w:rPr>
            </w:pPr>
            <w:r w:rsidRPr="00672B00">
              <w:rPr>
                <w:szCs w:val="20"/>
              </w:rPr>
              <w:t>Non-gambler</w:t>
            </w:r>
          </w:p>
        </w:tc>
        <w:tc>
          <w:tcPr>
            <w:tcW w:w="709" w:type="dxa"/>
            <w:shd w:val="clear" w:color="auto" w:fill="FFFF00"/>
          </w:tcPr>
          <w:p w14:paraId="3FEC8ED6" w14:textId="77777777" w:rsidR="00FC6127" w:rsidRPr="00932171" w:rsidRDefault="00FC6127" w:rsidP="0008407A">
            <w:pPr>
              <w:jc w:val="right"/>
            </w:pPr>
            <w:r w:rsidRPr="00932171">
              <w:t>26</w:t>
            </w:r>
          </w:p>
        </w:tc>
        <w:tc>
          <w:tcPr>
            <w:tcW w:w="567" w:type="dxa"/>
            <w:shd w:val="clear" w:color="auto" w:fill="FFFF00"/>
          </w:tcPr>
          <w:p w14:paraId="71307A89" w14:textId="77777777" w:rsidR="00FC6127" w:rsidRPr="00932171" w:rsidRDefault="00FC6127" w:rsidP="0008407A">
            <w:pPr>
              <w:jc w:val="right"/>
            </w:pPr>
            <w:r w:rsidRPr="00932171">
              <w:t>76.4</w:t>
            </w:r>
          </w:p>
        </w:tc>
        <w:tc>
          <w:tcPr>
            <w:tcW w:w="709" w:type="dxa"/>
            <w:shd w:val="clear" w:color="auto" w:fill="E5B8B7" w:themeFill="accent2" w:themeFillTint="66"/>
          </w:tcPr>
          <w:p w14:paraId="6BD9CEF4" w14:textId="77777777" w:rsidR="00FC6127" w:rsidRPr="00D12435" w:rsidRDefault="00FC6127" w:rsidP="0008407A">
            <w:pPr>
              <w:jc w:val="right"/>
            </w:pPr>
            <w:r w:rsidRPr="00D12435">
              <w:t>7</w:t>
            </w:r>
          </w:p>
        </w:tc>
        <w:tc>
          <w:tcPr>
            <w:tcW w:w="567" w:type="dxa"/>
            <w:shd w:val="clear" w:color="auto" w:fill="E5B8B7" w:themeFill="accent2" w:themeFillTint="66"/>
          </w:tcPr>
          <w:p w14:paraId="1DE56A24" w14:textId="77777777" w:rsidR="00FC6127" w:rsidRPr="00D12435" w:rsidRDefault="00FC6127" w:rsidP="0008407A">
            <w:pPr>
              <w:jc w:val="right"/>
            </w:pPr>
            <w:r w:rsidRPr="00D12435">
              <w:t>21.8</w:t>
            </w:r>
          </w:p>
        </w:tc>
        <w:tc>
          <w:tcPr>
            <w:tcW w:w="567" w:type="dxa"/>
            <w:shd w:val="clear" w:color="auto" w:fill="E5B8B7" w:themeFill="accent2" w:themeFillTint="66"/>
          </w:tcPr>
          <w:p w14:paraId="0525B887" w14:textId="77777777" w:rsidR="00FC6127" w:rsidRPr="00A15122" w:rsidRDefault="00FC6127" w:rsidP="0008407A">
            <w:pPr>
              <w:jc w:val="right"/>
            </w:pPr>
            <w:r w:rsidRPr="00A15122">
              <w:t>0</w:t>
            </w:r>
          </w:p>
        </w:tc>
        <w:tc>
          <w:tcPr>
            <w:tcW w:w="567" w:type="dxa"/>
            <w:shd w:val="clear" w:color="auto" w:fill="E5B8B7" w:themeFill="accent2" w:themeFillTint="66"/>
          </w:tcPr>
          <w:p w14:paraId="1324D788" w14:textId="77777777" w:rsidR="00FC6127" w:rsidRPr="00A15122" w:rsidRDefault="00FC6127" w:rsidP="0008407A">
            <w:pPr>
              <w:jc w:val="right"/>
            </w:pPr>
            <w:r w:rsidRPr="00A15122">
              <w:t>0.6</w:t>
            </w:r>
          </w:p>
        </w:tc>
        <w:tc>
          <w:tcPr>
            <w:tcW w:w="849" w:type="dxa"/>
            <w:shd w:val="clear" w:color="auto" w:fill="E5B8B7" w:themeFill="accent2" w:themeFillTint="66"/>
          </w:tcPr>
          <w:p w14:paraId="076D30A3" w14:textId="77777777" w:rsidR="00FC6127" w:rsidRPr="00A839CF" w:rsidRDefault="00FC6127" w:rsidP="0008407A">
            <w:pPr>
              <w:jc w:val="right"/>
            </w:pPr>
            <w:r w:rsidRPr="00A839CF">
              <w:t>0</w:t>
            </w:r>
          </w:p>
        </w:tc>
        <w:tc>
          <w:tcPr>
            <w:tcW w:w="709" w:type="dxa"/>
            <w:shd w:val="clear" w:color="auto" w:fill="E5B8B7" w:themeFill="accent2" w:themeFillTint="66"/>
          </w:tcPr>
          <w:p w14:paraId="02EF817C" w14:textId="77777777" w:rsidR="00FC6127" w:rsidRPr="00A839CF" w:rsidRDefault="00FC6127" w:rsidP="0008407A">
            <w:pPr>
              <w:jc w:val="right"/>
            </w:pPr>
            <w:r w:rsidRPr="00A839CF">
              <w:t>1.3</w:t>
            </w:r>
          </w:p>
        </w:tc>
      </w:tr>
      <w:tr w:rsidR="00FC6127" w:rsidRPr="00672B00" w14:paraId="6AA8E89D" w14:textId="77777777" w:rsidTr="0008407A">
        <w:trPr>
          <w:jc w:val="center"/>
        </w:trPr>
        <w:tc>
          <w:tcPr>
            <w:tcW w:w="3121" w:type="dxa"/>
            <w:vAlign w:val="center"/>
          </w:tcPr>
          <w:p w14:paraId="78F8DD0B" w14:textId="77777777" w:rsidR="00FC6127" w:rsidRPr="00672B00" w:rsidRDefault="00FC6127" w:rsidP="0008407A">
            <w:pPr>
              <w:spacing w:before="20" w:after="20"/>
              <w:ind w:left="88"/>
              <w:rPr>
                <w:szCs w:val="20"/>
              </w:rPr>
            </w:pPr>
            <w:r w:rsidRPr="00672B00">
              <w:rPr>
                <w:szCs w:val="20"/>
              </w:rPr>
              <w:t>Non-problem gambler</w:t>
            </w:r>
          </w:p>
        </w:tc>
        <w:tc>
          <w:tcPr>
            <w:tcW w:w="709" w:type="dxa"/>
            <w:shd w:val="clear" w:color="auto" w:fill="D6E3BC" w:themeFill="accent3" w:themeFillTint="66"/>
          </w:tcPr>
          <w:p w14:paraId="7E44D4E5" w14:textId="77777777" w:rsidR="00FC6127" w:rsidRPr="00932171" w:rsidRDefault="00FC6127" w:rsidP="0008407A">
            <w:pPr>
              <w:jc w:val="right"/>
            </w:pPr>
            <w:r w:rsidRPr="00932171">
              <w:t>13</w:t>
            </w:r>
          </w:p>
        </w:tc>
        <w:tc>
          <w:tcPr>
            <w:tcW w:w="567" w:type="dxa"/>
            <w:shd w:val="clear" w:color="auto" w:fill="D6E3BC" w:themeFill="accent3" w:themeFillTint="66"/>
          </w:tcPr>
          <w:p w14:paraId="31A85698" w14:textId="77777777" w:rsidR="00FC6127" w:rsidRPr="00932171" w:rsidRDefault="00FC6127" w:rsidP="0008407A">
            <w:pPr>
              <w:jc w:val="right"/>
            </w:pPr>
            <w:r w:rsidRPr="00932171">
              <w:t>17.7</w:t>
            </w:r>
          </w:p>
        </w:tc>
        <w:tc>
          <w:tcPr>
            <w:tcW w:w="709" w:type="dxa"/>
            <w:shd w:val="clear" w:color="auto" w:fill="FFFF00"/>
          </w:tcPr>
          <w:p w14:paraId="220ED35F" w14:textId="77777777" w:rsidR="00FC6127" w:rsidRPr="00D12435" w:rsidRDefault="00FC6127" w:rsidP="0008407A">
            <w:pPr>
              <w:jc w:val="right"/>
            </w:pPr>
            <w:r w:rsidRPr="00D12435">
              <w:t>53</w:t>
            </w:r>
          </w:p>
        </w:tc>
        <w:tc>
          <w:tcPr>
            <w:tcW w:w="567" w:type="dxa"/>
            <w:shd w:val="clear" w:color="auto" w:fill="FFFF00"/>
          </w:tcPr>
          <w:p w14:paraId="2DCFA84C" w14:textId="77777777" w:rsidR="00FC6127" w:rsidRPr="00D12435" w:rsidRDefault="00FC6127" w:rsidP="0008407A">
            <w:pPr>
              <w:jc w:val="right"/>
            </w:pPr>
            <w:r w:rsidRPr="00D12435">
              <w:t>72.4</w:t>
            </w:r>
          </w:p>
        </w:tc>
        <w:tc>
          <w:tcPr>
            <w:tcW w:w="567" w:type="dxa"/>
            <w:shd w:val="clear" w:color="auto" w:fill="E5B8B7" w:themeFill="accent2" w:themeFillTint="66"/>
          </w:tcPr>
          <w:p w14:paraId="12783BB6" w14:textId="77777777" w:rsidR="00FC6127" w:rsidRPr="00A15122" w:rsidRDefault="00FC6127" w:rsidP="0008407A">
            <w:pPr>
              <w:jc w:val="right"/>
            </w:pPr>
            <w:r w:rsidRPr="00A15122">
              <w:t>6</w:t>
            </w:r>
          </w:p>
        </w:tc>
        <w:tc>
          <w:tcPr>
            <w:tcW w:w="567" w:type="dxa"/>
            <w:shd w:val="clear" w:color="auto" w:fill="E5B8B7" w:themeFill="accent2" w:themeFillTint="66"/>
          </w:tcPr>
          <w:p w14:paraId="29976F43" w14:textId="77777777" w:rsidR="00FC6127" w:rsidRPr="00A15122" w:rsidRDefault="00FC6127" w:rsidP="0008407A">
            <w:pPr>
              <w:jc w:val="right"/>
            </w:pPr>
            <w:r w:rsidRPr="00A15122">
              <w:t>8.3</w:t>
            </w:r>
          </w:p>
        </w:tc>
        <w:tc>
          <w:tcPr>
            <w:tcW w:w="849" w:type="dxa"/>
            <w:shd w:val="clear" w:color="auto" w:fill="E5B8B7" w:themeFill="accent2" w:themeFillTint="66"/>
          </w:tcPr>
          <w:p w14:paraId="31943562" w14:textId="77777777" w:rsidR="00FC6127" w:rsidRPr="00A839CF" w:rsidRDefault="00FC6127" w:rsidP="0008407A">
            <w:pPr>
              <w:jc w:val="right"/>
            </w:pPr>
            <w:r w:rsidRPr="00A839CF">
              <w:t>1</w:t>
            </w:r>
          </w:p>
        </w:tc>
        <w:tc>
          <w:tcPr>
            <w:tcW w:w="709" w:type="dxa"/>
            <w:shd w:val="clear" w:color="auto" w:fill="E5B8B7" w:themeFill="accent2" w:themeFillTint="66"/>
          </w:tcPr>
          <w:p w14:paraId="1DD0B47D" w14:textId="77777777" w:rsidR="00FC6127" w:rsidRPr="00A839CF" w:rsidRDefault="00FC6127" w:rsidP="0008407A">
            <w:pPr>
              <w:jc w:val="right"/>
            </w:pPr>
            <w:r w:rsidRPr="00A839CF">
              <w:t>1.6</w:t>
            </w:r>
          </w:p>
        </w:tc>
      </w:tr>
      <w:tr w:rsidR="00FC6127" w:rsidRPr="00672B00" w14:paraId="3C65065D" w14:textId="77777777" w:rsidTr="0008407A">
        <w:trPr>
          <w:jc w:val="center"/>
        </w:trPr>
        <w:tc>
          <w:tcPr>
            <w:tcW w:w="3121" w:type="dxa"/>
            <w:vAlign w:val="center"/>
          </w:tcPr>
          <w:p w14:paraId="6CF0BAA1" w14:textId="77777777" w:rsidR="00FC6127" w:rsidRPr="00672B00" w:rsidRDefault="00FC6127" w:rsidP="0008407A">
            <w:pPr>
              <w:spacing w:before="20" w:after="20"/>
              <w:ind w:left="88"/>
              <w:rPr>
                <w:szCs w:val="20"/>
              </w:rPr>
            </w:pPr>
            <w:r w:rsidRPr="00672B00">
              <w:rPr>
                <w:szCs w:val="20"/>
              </w:rPr>
              <w:t>Low-risk gambler</w:t>
            </w:r>
          </w:p>
        </w:tc>
        <w:tc>
          <w:tcPr>
            <w:tcW w:w="709" w:type="dxa"/>
            <w:shd w:val="clear" w:color="auto" w:fill="D6E3BC" w:themeFill="accent3" w:themeFillTint="66"/>
          </w:tcPr>
          <w:p w14:paraId="6A34AC65" w14:textId="77777777" w:rsidR="00FC6127" w:rsidRPr="00932171" w:rsidRDefault="00FC6127" w:rsidP="0008407A">
            <w:pPr>
              <w:jc w:val="right"/>
            </w:pPr>
            <w:r w:rsidRPr="00932171">
              <w:t>1</w:t>
            </w:r>
          </w:p>
        </w:tc>
        <w:tc>
          <w:tcPr>
            <w:tcW w:w="567" w:type="dxa"/>
            <w:shd w:val="clear" w:color="auto" w:fill="D6E3BC" w:themeFill="accent3" w:themeFillTint="66"/>
          </w:tcPr>
          <w:p w14:paraId="01C68CEA" w14:textId="77777777" w:rsidR="00FC6127" w:rsidRPr="00932171" w:rsidRDefault="00FC6127" w:rsidP="0008407A">
            <w:pPr>
              <w:jc w:val="right"/>
            </w:pPr>
            <w:r w:rsidRPr="00932171">
              <w:t>9.0</w:t>
            </w:r>
          </w:p>
        </w:tc>
        <w:tc>
          <w:tcPr>
            <w:tcW w:w="709" w:type="dxa"/>
            <w:shd w:val="clear" w:color="auto" w:fill="D6E3BC" w:themeFill="accent3" w:themeFillTint="66"/>
          </w:tcPr>
          <w:p w14:paraId="3918A7E7" w14:textId="77777777" w:rsidR="00FC6127" w:rsidRPr="00D12435" w:rsidRDefault="00FC6127" w:rsidP="0008407A">
            <w:pPr>
              <w:jc w:val="right"/>
            </w:pPr>
            <w:r w:rsidRPr="00D12435">
              <w:t>7</w:t>
            </w:r>
          </w:p>
        </w:tc>
        <w:tc>
          <w:tcPr>
            <w:tcW w:w="567" w:type="dxa"/>
            <w:shd w:val="clear" w:color="auto" w:fill="D6E3BC" w:themeFill="accent3" w:themeFillTint="66"/>
          </w:tcPr>
          <w:p w14:paraId="01EE19EC" w14:textId="77777777" w:rsidR="00FC6127" w:rsidRPr="00D12435" w:rsidRDefault="00FC6127" w:rsidP="0008407A">
            <w:pPr>
              <w:jc w:val="right"/>
            </w:pPr>
            <w:r w:rsidRPr="00D12435">
              <w:t>55.0</w:t>
            </w:r>
          </w:p>
        </w:tc>
        <w:tc>
          <w:tcPr>
            <w:tcW w:w="567" w:type="dxa"/>
            <w:shd w:val="clear" w:color="auto" w:fill="FFFF00"/>
          </w:tcPr>
          <w:p w14:paraId="2665246A" w14:textId="77777777" w:rsidR="00FC6127" w:rsidRPr="00A15122" w:rsidRDefault="00FC6127" w:rsidP="0008407A">
            <w:pPr>
              <w:jc w:val="right"/>
            </w:pPr>
            <w:r w:rsidRPr="00A15122">
              <w:t>2</w:t>
            </w:r>
          </w:p>
        </w:tc>
        <w:tc>
          <w:tcPr>
            <w:tcW w:w="567" w:type="dxa"/>
            <w:shd w:val="clear" w:color="auto" w:fill="FFFF00"/>
          </w:tcPr>
          <w:p w14:paraId="1132BA66" w14:textId="77777777" w:rsidR="00FC6127" w:rsidRPr="00A15122" w:rsidRDefault="00FC6127" w:rsidP="0008407A">
            <w:pPr>
              <w:jc w:val="right"/>
            </w:pPr>
            <w:r w:rsidRPr="00A15122">
              <w:t>17.9</w:t>
            </w:r>
          </w:p>
        </w:tc>
        <w:tc>
          <w:tcPr>
            <w:tcW w:w="849" w:type="dxa"/>
            <w:shd w:val="clear" w:color="auto" w:fill="E5B8B7" w:themeFill="accent2" w:themeFillTint="66"/>
          </w:tcPr>
          <w:p w14:paraId="622594E6" w14:textId="77777777" w:rsidR="00FC6127" w:rsidRPr="00A839CF" w:rsidRDefault="00FC6127" w:rsidP="0008407A">
            <w:pPr>
              <w:jc w:val="right"/>
            </w:pPr>
            <w:r w:rsidRPr="00A839CF">
              <w:t>2</w:t>
            </w:r>
          </w:p>
        </w:tc>
        <w:tc>
          <w:tcPr>
            <w:tcW w:w="709" w:type="dxa"/>
            <w:shd w:val="clear" w:color="auto" w:fill="E5B8B7" w:themeFill="accent2" w:themeFillTint="66"/>
          </w:tcPr>
          <w:p w14:paraId="56CE1E16" w14:textId="77777777" w:rsidR="00FC6127" w:rsidRPr="00A839CF" w:rsidRDefault="00FC6127" w:rsidP="0008407A">
            <w:pPr>
              <w:jc w:val="right"/>
            </w:pPr>
            <w:r w:rsidRPr="00A839CF">
              <w:t>18.1</w:t>
            </w:r>
          </w:p>
        </w:tc>
      </w:tr>
      <w:tr w:rsidR="00FC6127" w:rsidRPr="00672B00" w14:paraId="166A5CA5" w14:textId="77777777" w:rsidTr="0008407A">
        <w:trPr>
          <w:jc w:val="center"/>
        </w:trPr>
        <w:tc>
          <w:tcPr>
            <w:tcW w:w="3121" w:type="dxa"/>
            <w:tcBorders>
              <w:bottom w:val="single" w:sz="4" w:space="0" w:color="auto"/>
            </w:tcBorders>
            <w:vAlign w:val="center"/>
          </w:tcPr>
          <w:p w14:paraId="0AB1E57F" w14:textId="77777777" w:rsidR="00FC6127" w:rsidRPr="00672B00" w:rsidRDefault="00FC6127" w:rsidP="0008407A">
            <w:pPr>
              <w:spacing w:before="20" w:after="20"/>
              <w:ind w:left="88"/>
              <w:rPr>
                <w:szCs w:val="20"/>
              </w:rPr>
            </w:pPr>
            <w:r w:rsidRPr="00672B00">
              <w:rPr>
                <w:szCs w:val="20"/>
              </w:rPr>
              <w:t>Moderate-risk</w:t>
            </w:r>
            <w:r>
              <w:rPr>
                <w:szCs w:val="20"/>
              </w:rPr>
              <w:t>/problem</w:t>
            </w:r>
            <w:r w:rsidRPr="00672B00">
              <w:rPr>
                <w:szCs w:val="20"/>
              </w:rPr>
              <w:t xml:space="preserve"> gambler</w:t>
            </w:r>
          </w:p>
        </w:tc>
        <w:tc>
          <w:tcPr>
            <w:tcW w:w="709" w:type="dxa"/>
            <w:tcBorders>
              <w:bottom w:val="single" w:sz="4" w:space="0" w:color="auto"/>
            </w:tcBorders>
            <w:shd w:val="clear" w:color="auto" w:fill="D6E3BC" w:themeFill="accent3" w:themeFillTint="66"/>
          </w:tcPr>
          <w:p w14:paraId="65BDE617" w14:textId="77777777" w:rsidR="00FC6127" w:rsidRPr="00932171" w:rsidRDefault="00FC6127" w:rsidP="0008407A">
            <w:pPr>
              <w:jc w:val="right"/>
            </w:pPr>
            <w:r w:rsidRPr="00932171">
              <w:t>0</w:t>
            </w:r>
          </w:p>
        </w:tc>
        <w:tc>
          <w:tcPr>
            <w:tcW w:w="567" w:type="dxa"/>
            <w:tcBorders>
              <w:bottom w:val="single" w:sz="4" w:space="0" w:color="auto"/>
            </w:tcBorders>
            <w:shd w:val="clear" w:color="auto" w:fill="D6E3BC" w:themeFill="accent3" w:themeFillTint="66"/>
          </w:tcPr>
          <w:p w14:paraId="4130FFF5" w14:textId="77777777" w:rsidR="00FC6127" w:rsidRDefault="00FC6127" w:rsidP="0008407A">
            <w:pPr>
              <w:jc w:val="right"/>
            </w:pPr>
            <w:r w:rsidRPr="00932171">
              <w:t>-</w:t>
            </w:r>
          </w:p>
        </w:tc>
        <w:tc>
          <w:tcPr>
            <w:tcW w:w="709" w:type="dxa"/>
            <w:tcBorders>
              <w:bottom w:val="single" w:sz="4" w:space="0" w:color="auto"/>
            </w:tcBorders>
            <w:shd w:val="clear" w:color="auto" w:fill="D6E3BC" w:themeFill="accent3" w:themeFillTint="66"/>
          </w:tcPr>
          <w:p w14:paraId="0FD840A9" w14:textId="77777777" w:rsidR="00FC6127" w:rsidRPr="00D12435" w:rsidRDefault="00FC6127" w:rsidP="0008407A">
            <w:pPr>
              <w:jc w:val="right"/>
            </w:pPr>
            <w:r w:rsidRPr="00D12435">
              <w:t>2</w:t>
            </w:r>
          </w:p>
        </w:tc>
        <w:tc>
          <w:tcPr>
            <w:tcW w:w="567" w:type="dxa"/>
            <w:tcBorders>
              <w:bottom w:val="single" w:sz="4" w:space="0" w:color="auto"/>
            </w:tcBorders>
            <w:shd w:val="clear" w:color="auto" w:fill="D6E3BC" w:themeFill="accent3" w:themeFillTint="66"/>
          </w:tcPr>
          <w:p w14:paraId="76354106" w14:textId="77777777" w:rsidR="00FC6127" w:rsidRDefault="00FC6127" w:rsidP="0008407A">
            <w:pPr>
              <w:jc w:val="right"/>
            </w:pPr>
            <w:r w:rsidRPr="00D12435">
              <w:t>18.6</w:t>
            </w:r>
          </w:p>
        </w:tc>
        <w:tc>
          <w:tcPr>
            <w:tcW w:w="567" w:type="dxa"/>
            <w:tcBorders>
              <w:bottom w:val="single" w:sz="4" w:space="0" w:color="auto"/>
            </w:tcBorders>
            <w:shd w:val="clear" w:color="auto" w:fill="D6E3BC" w:themeFill="accent3" w:themeFillTint="66"/>
          </w:tcPr>
          <w:p w14:paraId="740C74C5" w14:textId="77777777" w:rsidR="00FC6127" w:rsidRPr="00A15122" w:rsidRDefault="00FC6127" w:rsidP="0008407A">
            <w:pPr>
              <w:jc w:val="right"/>
            </w:pPr>
            <w:r w:rsidRPr="00A15122">
              <w:t>3</w:t>
            </w:r>
          </w:p>
        </w:tc>
        <w:tc>
          <w:tcPr>
            <w:tcW w:w="567" w:type="dxa"/>
            <w:tcBorders>
              <w:bottom w:val="single" w:sz="4" w:space="0" w:color="auto"/>
            </w:tcBorders>
            <w:shd w:val="clear" w:color="auto" w:fill="D6E3BC" w:themeFill="accent3" w:themeFillTint="66"/>
          </w:tcPr>
          <w:p w14:paraId="1CE8917F" w14:textId="77777777" w:rsidR="00FC6127" w:rsidRDefault="00FC6127" w:rsidP="0008407A">
            <w:pPr>
              <w:jc w:val="right"/>
            </w:pPr>
            <w:r w:rsidRPr="00A15122">
              <w:t>26.8</w:t>
            </w:r>
          </w:p>
        </w:tc>
        <w:tc>
          <w:tcPr>
            <w:tcW w:w="849" w:type="dxa"/>
            <w:tcBorders>
              <w:bottom w:val="single" w:sz="4" w:space="0" w:color="auto"/>
            </w:tcBorders>
            <w:shd w:val="clear" w:color="auto" w:fill="FFFF00"/>
          </w:tcPr>
          <w:p w14:paraId="21226638" w14:textId="77777777" w:rsidR="00FC6127" w:rsidRPr="00A839CF" w:rsidRDefault="00FC6127" w:rsidP="0008407A">
            <w:pPr>
              <w:jc w:val="right"/>
            </w:pPr>
            <w:r w:rsidRPr="00A839CF">
              <w:t>6</w:t>
            </w:r>
          </w:p>
        </w:tc>
        <w:tc>
          <w:tcPr>
            <w:tcW w:w="709" w:type="dxa"/>
            <w:tcBorders>
              <w:bottom w:val="single" w:sz="4" w:space="0" w:color="auto"/>
            </w:tcBorders>
            <w:shd w:val="clear" w:color="auto" w:fill="FFFF00"/>
          </w:tcPr>
          <w:p w14:paraId="3FB824D9" w14:textId="77777777" w:rsidR="00FC6127" w:rsidRDefault="00FC6127" w:rsidP="0008407A">
            <w:pPr>
              <w:jc w:val="right"/>
            </w:pPr>
            <w:r w:rsidRPr="00A839CF">
              <w:t>54.5</w:t>
            </w:r>
          </w:p>
        </w:tc>
      </w:tr>
    </w:tbl>
    <w:p w14:paraId="0970E82F" w14:textId="77777777" w:rsidR="00FC6127" w:rsidRDefault="00FC6127" w:rsidP="00FC6127">
      <w:pPr>
        <w:rPr>
          <w:sz w:val="20"/>
        </w:rPr>
      </w:pPr>
      <w:r w:rsidRPr="00672B00">
        <w:rPr>
          <w:sz w:val="20"/>
        </w:rPr>
        <w:t>Data weighted for 2013 Census data and attrition</w:t>
      </w:r>
    </w:p>
    <w:p w14:paraId="4B87F611" w14:textId="77777777" w:rsidR="00FC6127" w:rsidRPr="00672B00" w:rsidRDefault="00FC6127" w:rsidP="00FC6127">
      <w:pPr>
        <w:rPr>
          <w:sz w:val="20"/>
        </w:rPr>
      </w:pPr>
      <w:r>
        <w:rPr>
          <w:sz w:val="20"/>
        </w:rPr>
        <w:t>Total percentages do not always add up to 100% due to rounding</w:t>
      </w:r>
    </w:p>
    <w:p w14:paraId="39F7BD59" w14:textId="77777777" w:rsidR="00FC6127" w:rsidRDefault="00FC6127" w:rsidP="00FC6127"/>
    <w:p w14:paraId="7027CAA2" w14:textId="77777777" w:rsidR="00FC6127" w:rsidRPr="00672B00" w:rsidRDefault="00FC6127" w:rsidP="00FC6127">
      <w:pPr>
        <w:rPr>
          <w:sz w:val="20"/>
        </w:rPr>
      </w:pPr>
      <w:r w:rsidRPr="00672B00">
        <w:rPr>
          <w:sz w:val="20"/>
        </w:rPr>
        <w:t xml:space="preserve">Table key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tblGrid>
      <w:tr w:rsidR="00FC6127" w:rsidRPr="00672B00" w14:paraId="380E1220" w14:textId="77777777" w:rsidTr="0008407A">
        <w:tc>
          <w:tcPr>
            <w:tcW w:w="1101" w:type="dxa"/>
            <w:shd w:val="clear" w:color="auto" w:fill="FFFF00"/>
          </w:tcPr>
          <w:p w14:paraId="419597BF" w14:textId="77777777" w:rsidR="00FC6127" w:rsidRPr="00672B00" w:rsidRDefault="00FC6127" w:rsidP="0008407A"/>
        </w:tc>
        <w:tc>
          <w:tcPr>
            <w:tcW w:w="2835" w:type="dxa"/>
          </w:tcPr>
          <w:p w14:paraId="22EB4DA2" w14:textId="77777777" w:rsidR="00FC6127" w:rsidRPr="00672B00" w:rsidRDefault="00FC6127" w:rsidP="0008407A">
            <w:r w:rsidRPr="00672B00">
              <w:t>No change</w:t>
            </w:r>
          </w:p>
        </w:tc>
      </w:tr>
      <w:tr w:rsidR="00FC6127" w:rsidRPr="00672B00" w14:paraId="1E4D5F95" w14:textId="77777777" w:rsidTr="0008407A">
        <w:tc>
          <w:tcPr>
            <w:tcW w:w="1101" w:type="dxa"/>
            <w:shd w:val="clear" w:color="auto" w:fill="E5B8B7" w:themeFill="accent2" w:themeFillTint="66"/>
          </w:tcPr>
          <w:p w14:paraId="0EDA1A0A" w14:textId="77777777" w:rsidR="00FC6127" w:rsidRPr="00672B00" w:rsidRDefault="00FC6127" w:rsidP="0008407A"/>
        </w:tc>
        <w:tc>
          <w:tcPr>
            <w:tcW w:w="2835" w:type="dxa"/>
          </w:tcPr>
          <w:p w14:paraId="60259EE3" w14:textId="77777777" w:rsidR="00FC6127" w:rsidRPr="00672B00" w:rsidRDefault="00FC6127" w:rsidP="0008407A">
            <w:r w:rsidRPr="00672B00">
              <w:t>Transition to a higher risk level</w:t>
            </w:r>
          </w:p>
        </w:tc>
      </w:tr>
      <w:tr w:rsidR="00FC6127" w:rsidRPr="00672B00" w14:paraId="6FD88AEE" w14:textId="77777777" w:rsidTr="0008407A">
        <w:tc>
          <w:tcPr>
            <w:tcW w:w="1101" w:type="dxa"/>
            <w:shd w:val="clear" w:color="auto" w:fill="D6E3BC" w:themeFill="accent3" w:themeFillTint="66"/>
          </w:tcPr>
          <w:p w14:paraId="195886F0" w14:textId="77777777" w:rsidR="00FC6127" w:rsidRPr="00672B00" w:rsidRDefault="00FC6127" w:rsidP="0008407A"/>
        </w:tc>
        <w:tc>
          <w:tcPr>
            <w:tcW w:w="2835" w:type="dxa"/>
          </w:tcPr>
          <w:p w14:paraId="743D5451" w14:textId="77777777" w:rsidR="00FC6127" w:rsidRPr="00672B00" w:rsidRDefault="00FC6127" w:rsidP="0008407A">
            <w:r w:rsidRPr="00672B00">
              <w:t>Transition to a lower risk level</w:t>
            </w:r>
          </w:p>
        </w:tc>
      </w:tr>
    </w:tbl>
    <w:p w14:paraId="6156AEB1" w14:textId="77777777" w:rsidR="00FC6127" w:rsidRDefault="00FC6127" w:rsidP="00FC6127">
      <w:pPr>
        <w:pStyle w:val="RepNormal"/>
      </w:pPr>
    </w:p>
    <w:p w14:paraId="54C0FA5E" w14:textId="77777777" w:rsidR="00FC6127" w:rsidRDefault="00FC6127" w:rsidP="00157162">
      <w:pPr>
        <w:pStyle w:val="RepNormal"/>
      </w:pPr>
    </w:p>
    <w:p w14:paraId="7BC53064" w14:textId="77777777" w:rsidR="0041490D" w:rsidRDefault="0041490D" w:rsidP="00157162">
      <w:pPr>
        <w:pStyle w:val="RepNormal"/>
      </w:pPr>
    </w:p>
    <w:p w14:paraId="1FB95ADE" w14:textId="77777777" w:rsidR="00FC6127" w:rsidRDefault="00FC6127" w:rsidP="00157162">
      <w:pPr>
        <w:pStyle w:val="RepNormal"/>
      </w:pPr>
    </w:p>
    <w:p w14:paraId="6B245525" w14:textId="77777777" w:rsidR="00F76352" w:rsidRDefault="00F76352" w:rsidP="00F76352">
      <w:pPr>
        <w:pStyle w:val="RepNormal"/>
      </w:pPr>
    </w:p>
    <w:p w14:paraId="6BE36E37" w14:textId="77777777" w:rsidR="002B445D" w:rsidRPr="00F54A7A" w:rsidRDefault="002B445D" w:rsidP="00FC6127">
      <w:pPr>
        <w:pStyle w:val="RepNormal"/>
        <w:keepNext/>
        <w:rPr>
          <w:i/>
        </w:rPr>
      </w:pPr>
      <w:r w:rsidRPr="00F54A7A">
        <w:rPr>
          <w:b/>
          <w:i/>
        </w:rPr>
        <w:t xml:space="preserve">Transition to </w:t>
      </w:r>
      <w:r w:rsidR="00454E44">
        <w:rPr>
          <w:b/>
          <w:i/>
        </w:rPr>
        <w:t>lower</w:t>
      </w:r>
      <w:r w:rsidRPr="00F54A7A">
        <w:rPr>
          <w:b/>
          <w:i/>
        </w:rPr>
        <w:t xml:space="preserve"> risk </w:t>
      </w:r>
      <w:r w:rsidR="00801806">
        <w:rPr>
          <w:b/>
          <w:i/>
        </w:rPr>
        <w:t>level</w:t>
      </w:r>
    </w:p>
    <w:p w14:paraId="0F0824E7" w14:textId="77777777" w:rsidR="002B445D" w:rsidRDefault="002B445D" w:rsidP="00FC6127">
      <w:pPr>
        <w:pStyle w:val="RepNormal"/>
        <w:keepNext/>
      </w:pPr>
    </w:p>
    <w:p w14:paraId="467C5B34" w14:textId="77777777" w:rsidR="002B445D" w:rsidRDefault="002B445D" w:rsidP="00FC6127">
      <w:pPr>
        <w:pStyle w:val="RepNormal"/>
        <w:keepNext/>
      </w:pPr>
      <w:r>
        <w:t xml:space="preserve">The majority of Māori and Pacific moderate-risk/problem gamblers who transitioned to a </w:t>
      </w:r>
      <w:r w:rsidR="00454E44">
        <w:t>lower</w:t>
      </w:r>
      <w:r>
        <w:t xml:space="preserve"> risk </w:t>
      </w:r>
      <w:r w:rsidR="00801806">
        <w:t>level</w:t>
      </w:r>
      <w:r>
        <w:t xml:space="preserve"> became either low-risk (14% to 27% </w:t>
      </w:r>
      <w:r w:rsidR="004A73C9">
        <w:t xml:space="preserve">of </w:t>
      </w:r>
      <w:r>
        <w:t xml:space="preserve">Māori, 18% to 23% </w:t>
      </w:r>
      <w:r w:rsidR="004A73C9">
        <w:t xml:space="preserve">of </w:t>
      </w:r>
      <w:r>
        <w:t>Pacific</w:t>
      </w:r>
      <w:r w:rsidR="004A73C9">
        <w:t xml:space="preserve"> people</w:t>
      </w:r>
      <w:r>
        <w:t xml:space="preserve">) or non-problem gamblers (11% to 32% </w:t>
      </w:r>
      <w:r w:rsidR="004A73C9">
        <w:t xml:space="preserve">of </w:t>
      </w:r>
      <w:r>
        <w:t xml:space="preserve">Māori, 15% to 51% </w:t>
      </w:r>
      <w:r w:rsidR="004A73C9">
        <w:t xml:space="preserve">of </w:t>
      </w:r>
      <w:r>
        <w:t>Pacific</w:t>
      </w:r>
      <w:r w:rsidR="004A73C9">
        <w:t xml:space="preserve"> people</w:t>
      </w:r>
      <w:r>
        <w:t>).  Very few stopped gambling.</w:t>
      </w:r>
    </w:p>
    <w:p w14:paraId="2BC3B6F4" w14:textId="77777777" w:rsidR="002B445D" w:rsidRDefault="002B445D" w:rsidP="002B445D">
      <w:pPr>
        <w:pStyle w:val="RepNormal"/>
      </w:pPr>
    </w:p>
    <w:p w14:paraId="0E4E790C" w14:textId="77777777" w:rsidR="002B445D" w:rsidRDefault="002B445D" w:rsidP="002B445D">
      <w:pPr>
        <w:pStyle w:val="RepNormal"/>
      </w:pPr>
      <w:r>
        <w:t>The majority of Māori and Pacific low-risk</w:t>
      </w:r>
      <w:r w:rsidRPr="000C2DDF">
        <w:t xml:space="preserve"> </w:t>
      </w:r>
      <w:r>
        <w:t xml:space="preserve">gamblers who transitioned to a </w:t>
      </w:r>
      <w:r w:rsidR="00454E44">
        <w:t>lower</w:t>
      </w:r>
      <w:r>
        <w:t xml:space="preserve"> risk </w:t>
      </w:r>
      <w:r w:rsidR="00454E44">
        <w:t>level</w:t>
      </w:r>
      <w:r>
        <w:t xml:space="preserve"> became non-problem gamblers (41% to 54% </w:t>
      </w:r>
      <w:r w:rsidR="004A73C9">
        <w:t xml:space="preserve">of </w:t>
      </w:r>
      <w:r>
        <w:t xml:space="preserve">Māori, 52% to 66% </w:t>
      </w:r>
      <w:r w:rsidR="004A73C9">
        <w:t xml:space="preserve">of </w:t>
      </w:r>
      <w:r>
        <w:t>Pacific</w:t>
      </w:r>
      <w:r w:rsidR="004A73C9">
        <w:t xml:space="preserve"> people</w:t>
      </w:r>
      <w:r w:rsidR="00801806">
        <w:t>)</w:t>
      </w:r>
      <w:r>
        <w:t xml:space="preserve">.  </w:t>
      </w:r>
      <w:r w:rsidR="00157162">
        <w:t>Very few stopped gambling</w:t>
      </w:r>
      <w:r>
        <w:t xml:space="preserve">.  </w:t>
      </w:r>
    </w:p>
    <w:p w14:paraId="738682FE" w14:textId="77777777" w:rsidR="002B445D" w:rsidRDefault="002B445D" w:rsidP="002B445D">
      <w:pPr>
        <w:pStyle w:val="RepNormal"/>
      </w:pPr>
    </w:p>
    <w:p w14:paraId="56A4CF6D" w14:textId="77777777" w:rsidR="00A023BD" w:rsidRDefault="00A023BD" w:rsidP="00362AFC">
      <w:pPr>
        <w:pStyle w:val="RepHead2"/>
        <w:ind w:left="567" w:hanging="567"/>
      </w:pPr>
      <w:bookmarkStart w:id="128" w:name="_Ref483378713"/>
      <w:bookmarkStart w:id="129" w:name="_Toc504488373"/>
      <w:r>
        <w:t xml:space="preserve">Associations with </w:t>
      </w:r>
      <w:bookmarkEnd w:id="128"/>
      <w:r w:rsidR="00362AFC">
        <w:t xml:space="preserve">the chance of </w:t>
      </w:r>
      <w:r>
        <w:t>being a past year gambler vs. not gambling across Waves 1 to 4</w:t>
      </w:r>
      <w:bookmarkEnd w:id="129"/>
    </w:p>
    <w:p w14:paraId="0BB65E9E" w14:textId="77777777" w:rsidR="00A023BD" w:rsidRDefault="00A023BD" w:rsidP="00A023BD">
      <w:pPr>
        <w:pStyle w:val="RepNormal"/>
      </w:pPr>
    </w:p>
    <w:p w14:paraId="6E589AF4" w14:textId="77777777" w:rsidR="00A023BD" w:rsidRDefault="00A023BD" w:rsidP="00A023BD">
      <w:pPr>
        <w:pStyle w:val="RepNormal"/>
      </w:pPr>
      <w:r w:rsidRPr="00A55E1D">
        <w:t xml:space="preserve">This section details </w:t>
      </w:r>
      <w:r>
        <w:t xml:space="preserve">variables </w:t>
      </w:r>
      <w:r w:rsidRPr="00A55E1D">
        <w:t>associat</w:t>
      </w:r>
      <w:r>
        <w:t>ed</w:t>
      </w:r>
      <w:r w:rsidRPr="00A55E1D">
        <w:t xml:space="preserve"> with </w:t>
      </w:r>
      <w:r>
        <w:t xml:space="preserve">the chance of being a past year </w:t>
      </w:r>
      <w:r w:rsidRPr="00A55E1D">
        <w:t>gambl</w:t>
      </w:r>
      <w:r>
        <w:t>er</w:t>
      </w:r>
      <w:r w:rsidRPr="00A55E1D">
        <w:t xml:space="preserve"> versus not gambling</w:t>
      </w:r>
      <w:r>
        <w:t>, taking the four waves into account.</w:t>
      </w:r>
      <w:r w:rsidR="00364987">
        <w:t xml:space="preserve">  Bivariate associations (section </w:t>
      </w:r>
      <w:r w:rsidR="00364987">
        <w:fldChar w:fldCharType="begin"/>
      </w:r>
      <w:r w:rsidR="00364987">
        <w:instrText xml:space="preserve"> REF _Ref495670519 \r \h </w:instrText>
      </w:r>
      <w:r w:rsidR="00364987">
        <w:fldChar w:fldCharType="separate"/>
      </w:r>
      <w:r w:rsidR="00D5752E">
        <w:t>4.8.1</w:t>
      </w:r>
      <w:r w:rsidR="00364987">
        <w:fldChar w:fldCharType="end"/>
      </w:r>
      <w:r w:rsidR="00364987">
        <w:t xml:space="preserve">) and multiple logistic regression analyses (section </w:t>
      </w:r>
      <w:r w:rsidR="00364987">
        <w:fldChar w:fldCharType="begin"/>
      </w:r>
      <w:r w:rsidR="00364987">
        <w:instrText xml:space="preserve"> REF _Ref495670562 \r \h </w:instrText>
      </w:r>
      <w:r w:rsidR="00364987">
        <w:fldChar w:fldCharType="separate"/>
      </w:r>
      <w:r w:rsidR="00D5752E">
        <w:t>4.8.2</w:t>
      </w:r>
      <w:r w:rsidR="00364987">
        <w:fldChar w:fldCharType="end"/>
      </w:r>
      <w:r w:rsidR="00364987">
        <w:t>) are presented.</w:t>
      </w:r>
    </w:p>
    <w:p w14:paraId="583D6E63" w14:textId="77777777" w:rsidR="00A023BD" w:rsidRDefault="00A023BD" w:rsidP="00A023BD">
      <w:pPr>
        <w:pStyle w:val="RepNormal"/>
      </w:pPr>
    </w:p>
    <w:p w14:paraId="47C0AD99" w14:textId="77777777" w:rsidR="00A023BD" w:rsidRDefault="00A023BD" w:rsidP="00A023BD">
      <w:pPr>
        <w:pStyle w:val="RepNormal"/>
      </w:pPr>
    </w:p>
    <w:p w14:paraId="45D0940F" w14:textId="77777777" w:rsidR="00A023BD" w:rsidRDefault="00A023BD" w:rsidP="00A023BD">
      <w:pPr>
        <w:pStyle w:val="RepHead3"/>
      </w:pPr>
      <w:bookmarkStart w:id="130" w:name="_Ref495670519"/>
      <w:bookmarkStart w:id="131" w:name="_Toc504488374"/>
      <w:r>
        <w:t>Bivariate associations</w:t>
      </w:r>
      <w:bookmarkEnd w:id="130"/>
      <w:bookmarkEnd w:id="131"/>
    </w:p>
    <w:p w14:paraId="6DCCD63E" w14:textId="77777777" w:rsidR="00A023BD" w:rsidRDefault="00A023BD" w:rsidP="00A023BD">
      <w:pPr>
        <w:pStyle w:val="RepNormal"/>
      </w:pPr>
    </w:p>
    <w:p w14:paraId="6643FDB6" w14:textId="77777777" w:rsidR="00A023BD" w:rsidRDefault="00A023BD" w:rsidP="00A023BD">
      <w:pPr>
        <w:pStyle w:val="RepNormal"/>
      </w:pPr>
      <w:r>
        <w:t xml:space="preserve">Statistically significant bivariate associations are presented </w:t>
      </w:r>
      <w:r w:rsidRPr="00B116A3">
        <w:t xml:space="preserve">in </w:t>
      </w:r>
      <w:r w:rsidRPr="00126434">
        <w:t xml:space="preserve">Appendix </w:t>
      </w:r>
      <w:r w:rsidR="003D7BB5">
        <w:t>28</w:t>
      </w:r>
      <w:r w:rsidRPr="00126434">
        <w:t>.</w:t>
      </w:r>
    </w:p>
    <w:p w14:paraId="59690C40" w14:textId="77777777" w:rsidR="00A023BD" w:rsidRDefault="00A023BD" w:rsidP="00A023BD">
      <w:pPr>
        <w:pStyle w:val="RepNormal"/>
      </w:pPr>
    </w:p>
    <w:p w14:paraId="2E07EAFD" w14:textId="77777777" w:rsidR="00A023BD" w:rsidRDefault="00A023BD" w:rsidP="00A023BD">
      <w:pPr>
        <w:pStyle w:val="RepNormal"/>
      </w:pPr>
    </w:p>
    <w:p w14:paraId="00CEA96E" w14:textId="77777777" w:rsidR="00A023BD" w:rsidRPr="00C21EA4" w:rsidRDefault="00A023BD" w:rsidP="00A023BD">
      <w:pPr>
        <w:pStyle w:val="RepNormal"/>
        <w:rPr>
          <w:u w:val="single"/>
        </w:rPr>
      </w:pPr>
      <w:r w:rsidRPr="00C21EA4">
        <w:rPr>
          <w:u w:val="single"/>
        </w:rPr>
        <w:t xml:space="preserve">Variables associated with </w:t>
      </w:r>
      <w:r>
        <w:rPr>
          <w:u w:val="single"/>
        </w:rPr>
        <w:t>a higher chance of</w:t>
      </w:r>
      <w:r w:rsidRPr="00C21EA4">
        <w:rPr>
          <w:u w:val="single"/>
        </w:rPr>
        <w:t xml:space="preserve"> </w:t>
      </w:r>
      <w:r>
        <w:rPr>
          <w:u w:val="single"/>
        </w:rPr>
        <w:t xml:space="preserve">being a past year </w:t>
      </w:r>
      <w:r w:rsidRPr="00C21EA4">
        <w:rPr>
          <w:u w:val="single"/>
        </w:rPr>
        <w:t>gambl</w:t>
      </w:r>
      <w:r>
        <w:rPr>
          <w:u w:val="single"/>
        </w:rPr>
        <w:t>er</w:t>
      </w:r>
    </w:p>
    <w:p w14:paraId="1346994F" w14:textId="77777777" w:rsidR="00A023BD" w:rsidRDefault="00A023BD" w:rsidP="00A023BD">
      <w:pPr>
        <w:pStyle w:val="RepNormal"/>
      </w:pPr>
    </w:p>
    <w:p w14:paraId="167435F5" w14:textId="77777777" w:rsidR="00A023BD" w:rsidRDefault="00A023BD" w:rsidP="00A023BD">
      <w:pPr>
        <w:pStyle w:val="RepNormal"/>
      </w:pPr>
      <w:r>
        <w:t>Bivariate associations examined using logistic regression indicated that male gender (vs. female), being aged 40 to 64 years (vs. 18 to 39 years), having a vocational or trade qualification (vs. no formal qualification), and having an annual personal income higher than $20,000 or an annual household income higher than $80,000 (vs. $20,000 or lower</w:t>
      </w:r>
      <w:r w:rsidR="00362AFC">
        <w:t>,</w:t>
      </w:r>
      <w:r>
        <w:t xml:space="preserve"> or $40,000 or lower, respectively) were significantly associated with a higher chance of being a past year gambler vs. not gambling.</w:t>
      </w:r>
    </w:p>
    <w:p w14:paraId="0346B736" w14:textId="77777777" w:rsidR="00A023BD" w:rsidRDefault="00A023BD" w:rsidP="00A023BD">
      <w:pPr>
        <w:pStyle w:val="RepNormal"/>
      </w:pPr>
    </w:p>
    <w:p w14:paraId="4AEF3B1E" w14:textId="77777777" w:rsidR="00A023BD" w:rsidRDefault="00A023BD" w:rsidP="00A023BD">
      <w:pPr>
        <w:pStyle w:val="RepNormal"/>
      </w:pPr>
      <w:r>
        <w:t>Additionally, experiencing three or more major life events in the prior 12 months (vs. no major life events), hazardous alcohol consumption (vs. non-hazardous consumption), using cannabis (vs. not using), and daily smoking tobacco or ever having smoked more than 100 cigarettes in lifetime (vs. not smoking in this manner) were significantly associated with a higher chance of being a past year gambler vs. not gambling.</w:t>
      </w:r>
    </w:p>
    <w:p w14:paraId="56BBBB57" w14:textId="77777777" w:rsidR="00A023BD" w:rsidRDefault="00A023BD" w:rsidP="00A023BD">
      <w:pPr>
        <w:pStyle w:val="RepNormal"/>
      </w:pPr>
    </w:p>
    <w:p w14:paraId="7B0ECBB3" w14:textId="77777777" w:rsidR="00A023BD" w:rsidRDefault="00A023BD" w:rsidP="00A023BD">
      <w:pPr>
        <w:pStyle w:val="RepNormal"/>
      </w:pPr>
    </w:p>
    <w:p w14:paraId="01A97CBB" w14:textId="77777777" w:rsidR="00A023BD" w:rsidRPr="00C21EA4" w:rsidRDefault="00A023BD" w:rsidP="00A023BD">
      <w:pPr>
        <w:pStyle w:val="RepNormal"/>
        <w:rPr>
          <w:u w:val="single"/>
        </w:rPr>
      </w:pPr>
      <w:r w:rsidRPr="00C21EA4">
        <w:rPr>
          <w:u w:val="single"/>
        </w:rPr>
        <w:t xml:space="preserve">Variables associated with </w:t>
      </w:r>
      <w:r>
        <w:rPr>
          <w:u w:val="single"/>
        </w:rPr>
        <w:t>a lower chance of being a past year</w:t>
      </w:r>
      <w:r w:rsidRPr="00C21EA4">
        <w:rPr>
          <w:u w:val="single"/>
        </w:rPr>
        <w:t xml:space="preserve"> gambl</w:t>
      </w:r>
      <w:r>
        <w:rPr>
          <w:u w:val="single"/>
        </w:rPr>
        <w:t>er</w:t>
      </w:r>
    </w:p>
    <w:p w14:paraId="5E22B838" w14:textId="77777777" w:rsidR="00A023BD" w:rsidRDefault="00A023BD" w:rsidP="00A023BD">
      <w:pPr>
        <w:pStyle w:val="RepNormal"/>
      </w:pPr>
    </w:p>
    <w:p w14:paraId="75023593" w14:textId="77777777" w:rsidR="00A023BD" w:rsidRDefault="00A023BD" w:rsidP="00A023BD">
      <w:pPr>
        <w:pStyle w:val="RepNormal"/>
      </w:pPr>
      <w:r>
        <w:t>Bivariate associations examined using logistic regression indicated that time was associated with gambling participation; participants in Waves 2, 3 and 4 had a lower chance of being a past year gambler than in Wave 1.</w:t>
      </w:r>
    </w:p>
    <w:p w14:paraId="70CE5005" w14:textId="77777777" w:rsidR="00A023BD" w:rsidRDefault="00A023BD" w:rsidP="00A023BD">
      <w:pPr>
        <w:pStyle w:val="RepNormal"/>
      </w:pPr>
    </w:p>
    <w:p w14:paraId="35E0C754" w14:textId="77777777" w:rsidR="00A023BD" w:rsidRDefault="00A023BD" w:rsidP="00A023BD">
      <w:pPr>
        <w:pStyle w:val="RepNormal"/>
      </w:pPr>
      <w:r>
        <w:t>Being of Pacific or Asian ethnicity (vs. being of European/Other ethnicity), being affiliated with a religion (vs. not having a religion), being a migrant (vs. being New Zealand born), not being in employment (vs. being employed), and living in a household with five or more people (vs. a household of one or two people) were significantly associated with a lower chance of being a past year gambler vs. not gambling.</w:t>
      </w:r>
    </w:p>
    <w:p w14:paraId="71C1765A" w14:textId="77777777" w:rsidR="00A023BD" w:rsidRDefault="00A023BD" w:rsidP="00A023BD">
      <w:pPr>
        <w:pStyle w:val="RepNormal"/>
      </w:pPr>
      <w:r>
        <w:t>Experiencing a moderate or high level of psychological distress (vs. a low level) and not using illegal drugs (vs. using drugs) were also significantly associated with a lower chance of being a past year gambler vs. not gambling.</w:t>
      </w:r>
    </w:p>
    <w:p w14:paraId="25E64612" w14:textId="77777777" w:rsidR="00A023BD" w:rsidRDefault="00A023BD" w:rsidP="00A023BD">
      <w:pPr>
        <w:pStyle w:val="RepNormal"/>
      </w:pPr>
    </w:p>
    <w:p w14:paraId="0E1ADF42" w14:textId="77777777" w:rsidR="00A023BD" w:rsidRDefault="00A023BD" w:rsidP="00A023BD">
      <w:pPr>
        <w:pStyle w:val="RepNormal"/>
      </w:pPr>
    </w:p>
    <w:p w14:paraId="37F39BBA" w14:textId="77777777" w:rsidR="00A023BD" w:rsidRDefault="00A023BD" w:rsidP="00364987">
      <w:pPr>
        <w:pStyle w:val="RepHead3"/>
      </w:pPr>
      <w:bookmarkStart w:id="132" w:name="_Ref495670562"/>
      <w:bookmarkStart w:id="133" w:name="_Toc504488375"/>
      <w:r w:rsidRPr="00B116A3">
        <w:t>Multiple logistic regression</w:t>
      </w:r>
      <w:bookmarkEnd w:id="132"/>
      <w:bookmarkEnd w:id="133"/>
    </w:p>
    <w:p w14:paraId="17AA039E" w14:textId="77777777" w:rsidR="00A023BD" w:rsidRDefault="00A023BD" w:rsidP="00364987">
      <w:pPr>
        <w:pStyle w:val="RepNormal"/>
        <w:keepNext/>
      </w:pPr>
    </w:p>
    <w:p w14:paraId="70597E17" w14:textId="77777777" w:rsidR="00A023BD" w:rsidRPr="005C7F89" w:rsidRDefault="00A023BD" w:rsidP="00364987">
      <w:pPr>
        <w:pStyle w:val="RepNormal"/>
        <w:keepNext/>
      </w:pPr>
      <w:r>
        <w:t xml:space="preserve">Data are presented in </w:t>
      </w:r>
      <w:r>
        <w:rPr>
          <w:highlight w:val="yellow"/>
        </w:rPr>
        <w:fldChar w:fldCharType="begin"/>
      </w:r>
      <w:r>
        <w:instrText xml:space="preserve"> REF _Ref481156599 \h </w:instrText>
      </w:r>
      <w:r>
        <w:rPr>
          <w:highlight w:val="yellow"/>
        </w:rPr>
      </w:r>
      <w:r>
        <w:rPr>
          <w:highlight w:val="yellow"/>
        </w:rPr>
        <w:fldChar w:fldCharType="separate"/>
      </w:r>
      <w:r w:rsidR="00D5752E">
        <w:t xml:space="preserve">Table </w:t>
      </w:r>
      <w:r w:rsidR="00D5752E">
        <w:rPr>
          <w:noProof/>
        </w:rPr>
        <w:t>14</w:t>
      </w:r>
      <w:r>
        <w:rPr>
          <w:highlight w:val="yellow"/>
        </w:rPr>
        <w:fldChar w:fldCharType="end"/>
      </w:r>
      <w:r>
        <w:t>.</w:t>
      </w:r>
    </w:p>
    <w:p w14:paraId="34473350" w14:textId="77777777" w:rsidR="00A023BD" w:rsidRDefault="00A023BD" w:rsidP="00364987">
      <w:pPr>
        <w:pStyle w:val="RepNormal"/>
        <w:keepNext/>
      </w:pPr>
    </w:p>
    <w:p w14:paraId="2A8860C0" w14:textId="77777777" w:rsidR="00A023BD" w:rsidRDefault="00A023BD" w:rsidP="00364987">
      <w:pPr>
        <w:pStyle w:val="RepNormal"/>
        <w:keepNext/>
      </w:pPr>
      <w:r>
        <w:t>Multiple logistic regression analyses showed that the majority of the variables that were significantly associated with the chance of being a past year gambler vs. not gambling in the bivariate analyses remained associated in the multiple variable analyses.  The exceptions were gender, educational level, employment status, annual household income, household size, cannabis usage, daily tobacco smoking, and illegal drug usage, which were no longer associated when confounding variables were accounted for.</w:t>
      </w:r>
    </w:p>
    <w:p w14:paraId="4CF473AD" w14:textId="77777777" w:rsidR="00A023BD" w:rsidRDefault="00A023BD" w:rsidP="00A023BD">
      <w:pPr>
        <w:pStyle w:val="RepNormal"/>
      </w:pPr>
    </w:p>
    <w:p w14:paraId="59068A17" w14:textId="77777777" w:rsidR="00A023BD" w:rsidRPr="00B01A26" w:rsidRDefault="00A023BD" w:rsidP="00A023BD">
      <w:pPr>
        <w:pStyle w:val="Caption"/>
        <w:keepNext/>
        <w:jc w:val="both"/>
        <w:rPr>
          <w:sz w:val="22"/>
          <w:szCs w:val="22"/>
        </w:rPr>
      </w:pPr>
      <w:bookmarkStart w:id="134" w:name="_Ref481156599"/>
      <w:bookmarkStart w:id="135" w:name="_Toc504488439"/>
      <w:r>
        <w:t xml:space="preserve">Table </w:t>
      </w:r>
      <w:r w:rsidR="00D5752E">
        <w:fldChar w:fldCharType="begin"/>
      </w:r>
      <w:r w:rsidR="00D5752E">
        <w:instrText xml:space="preserve"> SEQ Table \* ARABIC </w:instrText>
      </w:r>
      <w:r w:rsidR="00D5752E">
        <w:fldChar w:fldCharType="separate"/>
      </w:r>
      <w:r w:rsidR="00D5752E">
        <w:rPr>
          <w:noProof/>
        </w:rPr>
        <w:t>14</w:t>
      </w:r>
      <w:r w:rsidR="00D5752E">
        <w:rPr>
          <w:noProof/>
        </w:rPr>
        <w:fldChar w:fldCharType="end"/>
      </w:r>
      <w:bookmarkEnd w:id="134"/>
      <w:r>
        <w:t xml:space="preserve">: Multiple logistic regression for associations with </w:t>
      </w:r>
      <w:r w:rsidR="00362AFC">
        <w:t xml:space="preserve">chance of </w:t>
      </w:r>
      <w:r>
        <w:t>being a past year gambler vs. not gambling across Waves 1 to 4</w:t>
      </w:r>
      <w:bookmarkEnd w:id="135"/>
    </w:p>
    <w:tbl>
      <w:tblPr>
        <w:tblStyle w:val="TableGrid"/>
        <w:tblW w:w="8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8"/>
        <w:gridCol w:w="1131"/>
        <w:gridCol w:w="990"/>
        <w:gridCol w:w="747"/>
      </w:tblGrid>
      <w:tr w:rsidR="00A023BD" w:rsidRPr="003F15C0" w14:paraId="71343F52" w14:textId="77777777" w:rsidTr="00A023BD">
        <w:trPr>
          <w:tblHeader/>
        </w:trPr>
        <w:tc>
          <w:tcPr>
            <w:tcW w:w="5368" w:type="dxa"/>
            <w:tcBorders>
              <w:top w:val="single" w:sz="4" w:space="0" w:color="auto"/>
              <w:bottom w:val="single" w:sz="4" w:space="0" w:color="auto"/>
            </w:tcBorders>
            <w:vAlign w:val="bottom"/>
          </w:tcPr>
          <w:p w14:paraId="6AEC70D1" w14:textId="77777777" w:rsidR="00A023BD" w:rsidRPr="003F15C0" w:rsidRDefault="00A023BD" w:rsidP="00A023BD">
            <w:pPr>
              <w:keepNext/>
              <w:spacing w:before="20"/>
              <w:jc w:val="both"/>
              <w:rPr>
                <w:b/>
                <w:sz w:val="16"/>
                <w:szCs w:val="16"/>
              </w:rPr>
            </w:pPr>
            <w:r>
              <w:rPr>
                <w:b/>
                <w:sz w:val="16"/>
                <w:szCs w:val="16"/>
              </w:rPr>
              <w:t>Wave 1 v</w:t>
            </w:r>
            <w:r w:rsidRPr="003F15C0">
              <w:rPr>
                <w:b/>
                <w:sz w:val="16"/>
                <w:szCs w:val="16"/>
              </w:rPr>
              <w:t>ariable</w:t>
            </w:r>
          </w:p>
        </w:tc>
        <w:tc>
          <w:tcPr>
            <w:tcW w:w="1131" w:type="dxa"/>
            <w:tcBorders>
              <w:top w:val="single" w:sz="4" w:space="0" w:color="auto"/>
              <w:bottom w:val="single" w:sz="4" w:space="0" w:color="auto"/>
            </w:tcBorders>
            <w:vAlign w:val="bottom"/>
          </w:tcPr>
          <w:p w14:paraId="0BB0E150" w14:textId="1C907708" w:rsidR="00A023BD" w:rsidRPr="003F15C0" w:rsidRDefault="004B0286" w:rsidP="00A023BD">
            <w:pPr>
              <w:keepNext/>
              <w:spacing w:before="20"/>
              <w:jc w:val="right"/>
              <w:rPr>
                <w:b/>
                <w:color w:val="000000"/>
                <w:sz w:val="16"/>
                <w:szCs w:val="16"/>
              </w:rPr>
            </w:pPr>
            <w:r>
              <w:rPr>
                <w:b/>
                <w:color w:val="000000"/>
                <w:sz w:val="16"/>
                <w:szCs w:val="16"/>
              </w:rPr>
              <w:t>Odds r</w:t>
            </w:r>
            <w:r w:rsidR="00A023BD" w:rsidRPr="003F15C0">
              <w:rPr>
                <w:b/>
                <w:color w:val="000000"/>
                <w:sz w:val="16"/>
                <w:szCs w:val="16"/>
              </w:rPr>
              <w:t>atio</w:t>
            </w:r>
          </w:p>
        </w:tc>
        <w:tc>
          <w:tcPr>
            <w:tcW w:w="990" w:type="dxa"/>
            <w:tcBorders>
              <w:top w:val="single" w:sz="4" w:space="0" w:color="auto"/>
              <w:bottom w:val="single" w:sz="4" w:space="0" w:color="auto"/>
            </w:tcBorders>
            <w:vAlign w:val="bottom"/>
          </w:tcPr>
          <w:p w14:paraId="1BC07662" w14:textId="77777777" w:rsidR="00A023BD" w:rsidRPr="003F15C0" w:rsidRDefault="00A023BD" w:rsidP="00A023BD">
            <w:pPr>
              <w:keepNext/>
              <w:spacing w:before="20"/>
              <w:jc w:val="right"/>
              <w:rPr>
                <w:b/>
                <w:color w:val="000000"/>
                <w:sz w:val="16"/>
                <w:szCs w:val="16"/>
              </w:rPr>
            </w:pPr>
            <w:r w:rsidRPr="003F15C0">
              <w:rPr>
                <w:b/>
                <w:color w:val="000000"/>
                <w:sz w:val="16"/>
                <w:szCs w:val="16"/>
              </w:rPr>
              <w:t>(95% CI)</w:t>
            </w:r>
          </w:p>
        </w:tc>
        <w:tc>
          <w:tcPr>
            <w:tcW w:w="747" w:type="dxa"/>
            <w:tcBorders>
              <w:top w:val="single" w:sz="4" w:space="0" w:color="auto"/>
              <w:bottom w:val="single" w:sz="4" w:space="0" w:color="auto"/>
            </w:tcBorders>
            <w:vAlign w:val="bottom"/>
          </w:tcPr>
          <w:p w14:paraId="418A498B" w14:textId="77777777" w:rsidR="00A023BD" w:rsidRPr="003F15C0" w:rsidRDefault="00A023BD" w:rsidP="00A023BD">
            <w:pPr>
              <w:keepNext/>
              <w:spacing w:before="20"/>
              <w:jc w:val="right"/>
              <w:rPr>
                <w:b/>
                <w:color w:val="000000"/>
                <w:sz w:val="16"/>
                <w:szCs w:val="16"/>
              </w:rPr>
            </w:pPr>
            <w:r w:rsidRPr="003F15C0">
              <w:rPr>
                <w:b/>
                <w:color w:val="000000"/>
                <w:sz w:val="16"/>
                <w:szCs w:val="16"/>
              </w:rPr>
              <w:t>p-value</w:t>
            </w:r>
          </w:p>
        </w:tc>
      </w:tr>
      <w:tr w:rsidR="00A023BD" w:rsidRPr="003F15C0" w14:paraId="6F9F7EF2" w14:textId="77777777" w:rsidTr="00A023BD">
        <w:tc>
          <w:tcPr>
            <w:tcW w:w="5368" w:type="dxa"/>
            <w:vAlign w:val="bottom"/>
          </w:tcPr>
          <w:p w14:paraId="7C6E2738" w14:textId="77777777" w:rsidR="00A023BD" w:rsidRPr="003F15C0" w:rsidRDefault="00A023BD" w:rsidP="00A023BD">
            <w:pPr>
              <w:keepNext/>
              <w:spacing w:before="20"/>
              <w:jc w:val="both"/>
              <w:rPr>
                <w:b/>
                <w:sz w:val="16"/>
                <w:szCs w:val="16"/>
              </w:rPr>
            </w:pPr>
            <w:r>
              <w:rPr>
                <w:b/>
                <w:sz w:val="16"/>
                <w:szCs w:val="16"/>
              </w:rPr>
              <w:t>Time</w:t>
            </w:r>
          </w:p>
        </w:tc>
        <w:tc>
          <w:tcPr>
            <w:tcW w:w="1131" w:type="dxa"/>
            <w:shd w:val="clear" w:color="auto" w:fill="auto"/>
            <w:vAlign w:val="center"/>
          </w:tcPr>
          <w:p w14:paraId="28E3880E" w14:textId="77777777" w:rsidR="00A023BD" w:rsidRPr="005E1C4B" w:rsidRDefault="00A023BD" w:rsidP="00A023BD">
            <w:pPr>
              <w:keepNext/>
              <w:jc w:val="right"/>
              <w:rPr>
                <w:color w:val="000000"/>
                <w:sz w:val="16"/>
                <w:szCs w:val="16"/>
                <w:lang w:eastAsia="en-NZ"/>
              </w:rPr>
            </w:pPr>
          </w:p>
        </w:tc>
        <w:tc>
          <w:tcPr>
            <w:tcW w:w="990" w:type="dxa"/>
            <w:shd w:val="clear" w:color="auto" w:fill="auto"/>
            <w:vAlign w:val="center"/>
          </w:tcPr>
          <w:p w14:paraId="3BE74C8A" w14:textId="77777777" w:rsidR="00A023BD" w:rsidRPr="005E1C4B" w:rsidRDefault="00A023BD" w:rsidP="00A023BD">
            <w:pPr>
              <w:keepNext/>
              <w:jc w:val="right"/>
              <w:rPr>
                <w:color w:val="000000"/>
                <w:sz w:val="16"/>
                <w:szCs w:val="16"/>
                <w:lang w:eastAsia="en-NZ"/>
              </w:rPr>
            </w:pPr>
          </w:p>
        </w:tc>
        <w:tc>
          <w:tcPr>
            <w:tcW w:w="747" w:type="dxa"/>
            <w:shd w:val="clear" w:color="auto" w:fill="auto"/>
            <w:vAlign w:val="center"/>
          </w:tcPr>
          <w:p w14:paraId="3370209A" w14:textId="77777777" w:rsidR="00A023BD" w:rsidRPr="005E1C4B" w:rsidRDefault="00A023BD" w:rsidP="00A023BD">
            <w:pPr>
              <w:keepNext/>
              <w:jc w:val="right"/>
              <w:rPr>
                <w:color w:val="000000"/>
                <w:sz w:val="16"/>
                <w:szCs w:val="16"/>
                <w:lang w:eastAsia="en-NZ"/>
              </w:rPr>
            </w:pPr>
          </w:p>
        </w:tc>
      </w:tr>
      <w:tr w:rsidR="00A023BD" w:rsidRPr="003F15C0" w14:paraId="48B8149C" w14:textId="77777777" w:rsidTr="00A023BD">
        <w:trPr>
          <w:trHeight w:val="157"/>
        </w:trPr>
        <w:tc>
          <w:tcPr>
            <w:tcW w:w="5368" w:type="dxa"/>
          </w:tcPr>
          <w:p w14:paraId="54D6034C" w14:textId="77777777" w:rsidR="00A023BD" w:rsidRPr="003F15C0" w:rsidRDefault="00A023BD" w:rsidP="00A023BD">
            <w:pPr>
              <w:keepNext/>
              <w:spacing w:before="20"/>
              <w:ind w:left="176"/>
              <w:jc w:val="both"/>
              <w:rPr>
                <w:sz w:val="16"/>
                <w:szCs w:val="16"/>
              </w:rPr>
            </w:pPr>
            <w:r>
              <w:rPr>
                <w:sz w:val="16"/>
                <w:szCs w:val="16"/>
              </w:rPr>
              <w:t>Wave 1</w:t>
            </w:r>
          </w:p>
        </w:tc>
        <w:tc>
          <w:tcPr>
            <w:tcW w:w="1131" w:type="dxa"/>
            <w:shd w:val="clear" w:color="auto" w:fill="auto"/>
            <w:vAlign w:val="center"/>
          </w:tcPr>
          <w:p w14:paraId="31495E57"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1.00</w:t>
            </w:r>
          </w:p>
        </w:tc>
        <w:tc>
          <w:tcPr>
            <w:tcW w:w="990" w:type="dxa"/>
            <w:shd w:val="clear" w:color="auto" w:fill="auto"/>
            <w:vAlign w:val="center"/>
          </w:tcPr>
          <w:p w14:paraId="66B50060" w14:textId="77777777" w:rsidR="00A023BD" w:rsidRPr="00126434" w:rsidRDefault="00A023BD" w:rsidP="00A023BD">
            <w:pPr>
              <w:keepNext/>
              <w:jc w:val="right"/>
              <w:rPr>
                <w:color w:val="000000"/>
                <w:sz w:val="16"/>
                <w:szCs w:val="16"/>
                <w:lang w:eastAsia="en-NZ"/>
              </w:rPr>
            </w:pPr>
          </w:p>
        </w:tc>
        <w:tc>
          <w:tcPr>
            <w:tcW w:w="747" w:type="dxa"/>
            <w:shd w:val="clear" w:color="auto" w:fill="auto"/>
            <w:vAlign w:val="center"/>
          </w:tcPr>
          <w:p w14:paraId="48DC5BBC" w14:textId="77777777" w:rsidR="00A023BD" w:rsidRPr="00126434" w:rsidRDefault="00A023BD" w:rsidP="00A023BD">
            <w:pPr>
              <w:keepNext/>
              <w:jc w:val="right"/>
              <w:rPr>
                <w:sz w:val="16"/>
                <w:szCs w:val="16"/>
                <w:lang w:eastAsia="en-NZ"/>
              </w:rPr>
            </w:pPr>
          </w:p>
        </w:tc>
      </w:tr>
      <w:tr w:rsidR="00A023BD" w:rsidRPr="003F15C0" w14:paraId="254B6610" w14:textId="77777777" w:rsidTr="00A023BD">
        <w:tc>
          <w:tcPr>
            <w:tcW w:w="5368" w:type="dxa"/>
          </w:tcPr>
          <w:p w14:paraId="58FB924A" w14:textId="77777777" w:rsidR="00A023BD" w:rsidRPr="003F15C0" w:rsidRDefault="00A023BD" w:rsidP="00A023BD">
            <w:pPr>
              <w:keepNext/>
              <w:spacing w:before="20"/>
              <w:ind w:left="176"/>
              <w:jc w:val="both"/>
              <w:rPr>
                <w:sz w:val="16"/>
                <w:szCs w:val="16"/>
              </w:rPr>
            </w:pPr>
            <w:r>
              <w:rPr>
                <w:sz w:val="16"/>
                <w:szCs w:val="16"/>
              </w:rPr>
              <w:t>Wave 2</w:t>
            </w:r>
          </w:p>
        </w:tc>
        <w:tc>
          <w:tcPr>
            <w:tcW w:w="1131" w:type="dxa"/>
            <w:shd w:val="clear" w:color="auto" w:fill="auto"/>
            <w:vAlign w:val="center"/>
          </w:tcPr>
          <w:p w14:paraId="4628171F"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0.74</w:t>
            </w:r>
          </w:p>
        </w:tc>
        <w:tc>
          <w:tcPr>
            <w:tcW w:w="990" w:type="dxa"/>
            <w:shd w:val="clear" w:color="auto" w:fill="auto"/>
            <w:vAlign w:val="center"/>
          </w:tcPr>
          <w:p w14:paraId="0B0BCBDE"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(0.63, 0.87)</w:t>
            </w:r>
          </w:p>
        </w:tc>
        <w:tc>
          <w:tcPr>
            <w:tcW w:w="747" w:type="dxa"/>
            <w:shd w:val="clear" w:color="auto" w:fill="auto"/>
            <w:vAlign w:val="center"/>
          </w:tcPr>
          <w:p w14:paraId="5E98C1B0" w14:textId="77777777" w:rsidR="00A023BD" w:rsidRPr="00126434" w:rsidRDefault="00A023BD" w:rsidP="00A023BD">
            <w:pPr>
              <w:keepNext/>
              <w:jc w:val="right"/>
              <w:rPr>
                <w:color w:val="000000"/>
                <w:sz w:val="16"/>
                <w:szCs w:val="16"/>
                <w:lang w:eastAsia="en-NZ"/>
              </w:rPr>
            </w:pPr>
          </w:p>
        </w:tc>
      </w:tr>
      <w:tr w:rsidR="00A023BD" w:rsidRPr="003F15C0" w14:paraId="6B94C026" w14:textId="77777777" w:rsidTr="00A023BD">
        <w:tc>
          <w:tcPr>
            <w:tcW w:w="5368" w:type="dxa"/>
          </w:tcPr>
          <w:p w14:paraId="58974795" w14:textId="77777777" w:rsidR="00A023BD" w:rsidRPr="003F15C0" w:rsidRDefault="00A023BD" w:rsidP="00A023BD">
            <w:pPr>
              <w:keepNext/>
              <w:spacing w:before="20"/>
              <w:ind w:left="176"/>
              <w:jc w:val="both"/>
              <w:rPr>
                <w:sz w:val="16"/>
                <w:szCs w:val="16"/>
              </w:rPr>
            </w:pPr>
            <w:r>
              <w:rPr>
                <w:sz w:val="16"/>
                <w:szCs w:val="16"/>
              </w:rPr>
              <w:t>Wave 3</w:t>
            </w:r>
          </w:p>
        </w:tc>
        <w:tc>
          <w:tcPr>
            <w:tcW w:w="1131" w:type="dxa"/>
            <w:shd w:val="clear" w:color="auto" w:fill="auto"/>
            <w:vAlign w:val="center"/>
          </w:tcPr>
          <w:p w14:paraId="3EA1FBD1"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0.67</w:t>
            </w:r>
          </w:p>
        </w:tc>
        <w:tc>
          <w:tcPr>
            <w:tcW w:w="990" w:type="dxa"/>
            <w:shd w:val="clear" w:color="auto" w:fill="auto"/>
            <w:vAlign w:val="center"/>
          </w:tcPr>
          <w:p w14:paraId="67464ED9"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(0.56, 0.80)</w:t>
            </w:r>
          </w:p>
        </w:tc>
        <w:tc>
          <w:tcPr>
            <w:tcW w:w="747" w:type="dxa"/>
            <w:shd w:val="clear" w:color="auto" w:fill="auto"/>
            <w:vAlign w:val="center"/>
          </w:tcPr>
          <w:p w14:paraId="0F4BD771" w14:textId="77777777" w:rsidR="00A023BD" w:rsidRPr="00126434" w:rsidRDefault="00A023BD" w:rsidP="00A023BD">
            <w:pPr>
              <w:keepNext/>
              <w:jc w:val="right"/>
              <w:rPr>
                <w:color w:val="000000"/>
                <w:sz w:val="16"/>
                <w:szCs w:val="16"/>
                <w:lang w:eastAsia="en-NZ"/>
              </w:rPr>
            </w:pPr>
          </w:p>
        </w:tc>
      </w:tr>
      <w:tr w:rsidR="00A023BD" w:rsidRPr="003F15C0" w14:paraId="334804EA" w14:textId="77777777" w:rsidTr="00326B55">
        <w:tc>
          <w:tcPr>
            <w:tcW w:w="5368" w:type="dxa"/>
          </w:tcPr>
          <w:p w14:paraId="449C5130" w14:textId="77777777" w:rsidR="00A023BD" w:rsidRPr="003F15C0" w:rsidRDefault="00A023BD" w:rsidP="00A023BD">
            <w:pPr>
              <w:keepNext/>
              <w:spacing w:before="20"/>
              <w:ind w:left="176"/>
              <w:jc w:val="both"/>
              <w:rPr>
                <w:sz w:val="16"/>
                <w:szCs w:val="16"/>
              </w:rPr>
            </w:pPr>
            <w:r>
              <w:rPr>
                <w:sz w:val="16"/>
                <w:szCs w:val="16"/>
              </w:rPr>
              <w:t>Wave 4</w:t>
            </w:r>
          </w:p>
        </w:tc>
        <w:tc>
          <w:tcPr>
            <w:tcW w:w="1131" w:type="dxa"/>
            <w:shd w:val="clear" w:color="auto" w:fill="auto"/>
            <w:vAlign w:val="center"/>
          </w:tcPr>
          <w:p w14:paraId="3BE3811E"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0.49</w:t>
            </w:r>
          </w:p>
        </w:tc>
        <w:tc>
          <w:tcPr>
            <w:tcW w:w="990" w:type="dxa"/>
            <w:shd w:val="clear" w:color="auto" w:fill="auto"/>
            <w:vAlign w:val="center"/>
          </w:tcPr>
          <w:p w14:paraId="21DD3E35"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(0.41, 0.59)</w:t>
            </w:r>
          </w:p>
        </w:tc>
        <w:tc>
          <w:tcPr>
            <w:tcW w:w="747" w:type="dxa"/>
            <w:shd w:val="clear" w:color="auto" w:fill="auto"/>
            <w:vAlign w:val="center"/>
          </w:tcPr>
          <w:p w14:paraId="3FA836B8"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&lt;</w:t>
            </w:r>
            <w:r>
              <w:rPr>
                <w:color w:val="000000"/>
                <w:sz w:val="16"/>
                <w:szCs w:val="16"/>
                <w:lang w:eastAsia="en-NZ"/>
              </w:rPr>
              <w:t>0</w:t>
            </w:r>
            <w:r w:rsidRPr="00126434">
              <w:rPr>
                <w:color w:val="000000"/>
                <w:sz w:val="16"/>
                <w:szCs w:val="16"/>
                <w:lang w:eastAsia="en-NZ"/>
              </w:rPr>
              <w:t>.0001</w:t>
            </w:r>
          </w:p>
        </w:tc>
      </w:tr>
      <w:tr w:rsidR="00A023BD" w:rsidRPr="003F15C0" w14:paraId="2A16543A" w14:textId="77777777" w:rsidTr="00A023BD">
        <w:tc>
          <w:tcPr>
            <w:tcW w:w="5368" w:type="dxa"/>
          </w:tcPr>
          <w:p w14:paraId="6CF15734" w14:textId="77777777" w:rsidR="00A023BD" w:rsidRPr="009A1B9E" w:rsidRDefault="00A023BD" w:rsidP="00A023BD">
            <w:pPr>
              <w:keepNext/>
              <w:spacing w:before="20"/>
              <w:jc w:val="both"/>
              <w:rPr>
                <w:b/>
                <w:sz w:val="16"/>
                <w:szCs w:val="16"/>
              </w:rPr>
            </w:pPr>
            <w:r w:rsidRPr="009A1B9E">
              <w:rPr>
                <w:b/>
                <w:sz w:val="16"/>
                <w:szCs w:val="16"/>
              </w:rPr>
              <w:t>Age group (years)</w:t>
            </w:r>
          </w:p>
        </w:tc>
        <w:tc>
          <w:tcPr>
            <w:tcW w:w="1131" w:type="dxa"/>
            <w:shd w:val="clear" w:color="auto" w:fill="auto"/>
            <w:vAlign w:val="center"/>
          </w:tcPr>
          <w:p w14:paraId="01AB49B3" w14:textId="77777777" w:rsidR="00A023BD" w:rsidRPr="00FE7300" w:rsidRDefault="00A023BD" w:rsidP="00A023BD">
            <w:pPr>
              <w:keepNext/>
              <w:jc w:val="right"/>
              <w:rPr>
                <w:color w:val="000000"/>
                <w:sz w:val="16"/>
                <w:szCs w:val="16"/>
                <w:lang w:eastAsia="en-NZ"/>
              </w:rPr>
            </w:pPr>
          </w:p>
        </w:tc>
        <w:tc>
          <w:tcPr>
            <w:tcW w:w="990" w:type="dxa"/>
            <w:shd w:val="clear" w:color="auto" w:fill="auto"/>
            <w:vAlign w:val="center"/>
          </w:tcPr>
          <w:p w14:paraId="23370968" w14:textId="77777777" w:rsidR="00A023BD" w:rsidRPr="00FE7300" w:rsidRDefault="00A023BD" w:rsidP="00A023BD">
            <w:pPr>
              <w:keepNext/>
              <w:jc w:val="right"/>
              <w:rPr>
                <w:color w:val="000000"/>
                <w:sz w:val="16"/>
                <w:szCs w:val="16"/>
                <w:lang w:eastAsia="en-NZ"/>
              </w:rPr>
            </w:pPr>
          </w:p>
        </w:tc>
        <w:tc>
          <w:tcPr>
            <w:tcW w:w="747" w:type="dxa"/>
            <w:shd w:val="clear" w:color="auto" w:fill="auto"/>
            <w:vAlign w:val="center"/>
          </w:tcPr>
          <w:p w14:paraId="1170A929" w14:textId="77777777" w:rsidR="00A023BD" w:rsidRPr="00FE7300" w:rsidRDefault="00A023BD" w:rsidP="00A023BD">
            <w:pPr>
              <w:keepNext/>
              <w:jc w:val="right"/>
              <w:rPr>
                <w:color w:val="000000"/>
                <w:sz w:val="16"/>
                <w:szCs w:val="16"/>
                <w:lang w:eastAsia="en-NZ"/>
              </w:rPr>
            </w:pPr>
          </w:p>
        </w:tc>
      </w:tr>
      <w:tr w:rsidR="00A023BD" w:rsidRPr="003F15C0" w14:paraId="406C406B" w14:textId="77777777" w:rsidTr="00A023BD">
        <w:tc>
          <w:tcPr>
            <w:tcW w:w="5368" w:type="dxa"/>
            <w:vAlign w:val="bottom"/>
          </w:tcPr>
          <w:p w14:paraId="35A9EFBD" w14:textId="77777777" w:rsidR="00A023BD" w:rsidRPr="009A1B9E" w:rsidRDefault="00A023BD" w:rsidP="00A023BD">
            <w:pPr>
              <w:keepNext/>
              <w:spacing w:before="20"/>
              <w:ind w:left="176"/>
              <w:jc w:val="both"/>
              <w:rPr>
                <w:sz w:val="16"/>
                <w:szCs w:val="16"/>
              </w:rPr>
            </w:pPr>
            <w:r w:rsidRPr="009A1B9E">
              <w:rPr>
                <w:sz w:val="16"/>
                <w:szCs w:val="16"/>
              </w:rPr>
              <w:t>18</w:t>
            </w:r>
            <w:r>
              <w:rPr>
                <w:sz w:val="16"/>
                <w:szCs w:val="16"/>
              </w:rPr>
              <w:t xml:space="preserve"> </w:t>
            </w:r>
            <w:r w:rsidRPr="009A1B9E">
              <w:rPr>
                <w:sz w:val="16"/>
                <w:szCs w:val="16"/>
              </w:rPr>
              <w:t>-</w:t>
            </w:r>
            <w:r>
              <w:rPr>
                <w:sz w:val="16"/>
                <w:szCs w:val="16"/>
              </w:rPr>
              <w:t xml:space="preserve"> </w:t>
            </w:r>
            <w:r w:rsidRPr="009A1B9E">
              <w:rPr>
                <w:sz w:val="16"/>
                <w:szCs w:val="16"/>
              </w:rPr>
              <w:t>39</w:t>
            </w:r>
          </w:p>
        </w:tc>
        <w:tc>
          <w:tcPr>
            <w:tcW w:w="1131" w:type="dxa"/>
            <w:shd w:val="clear" w:color="auto" w:fill="auto"/>
            <w:vAlign w:val="bottom"/>
          </w:tcPr>
          <w:p w14:paraId="535F081D"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1.00</w:t>
            </w:r>
          </w:p>
        </w:tc>
        <w:tc>
          <w:tcPr>
            <w:tcW w:w="990" w:type="dxa"/>
            <w:shd w:val="clear" w:color="auto" w:fill="auto"/>
            <w:vAlign w:val="bottom"/>
          </w:tcPr>
          <w:p w14:paraId="7FC7344C" w14:textId="77777777" w:rsidR="00A023BD" w:rsidRPr="00126434" w:rsidRDefault="00A023BD" w:rsidP="00A023BD">
            <w:pPr>
              <w:keepNext/>
              <w:jc w:val="right"/>
              <w:rPr>
                <w:color w:val="000000"/>
                <w:sz w:val="16"/>
                <w:szCs w:val="16"/>
                <w:lang w:eastAsia="en-NZ"/>
              </w:rPr>
            </w:pPr>
          </w:p>
        </w:tc>
        <w:tc>
          <w:tcPr>
            <w:tcW w:w="747" w:type="dxa"/>
            <w:shd w:val="clear" w:color="auto" w:fill="auto"/>
            <w:vAlign w:val="bottom"/>
          </w:tcPr>
          <w:p w14:paraId="182E39CE" w14:textId="77777777" w:rsidR="00A023BD" w:rsidRPr="00126434" w:rsidRDefault="00A023BD" w:rsidP="00A023BD">
            <w:pPr>
              <w:keepNext/>
              <w:jc w:val="right"/>
              <w:rPr>
                <w:color w:val="000000"/>
                <w:sz w:val="16"/>
                <w:szCs w:val="16"/>
                <w:lang w:eastAsia="en-NZ"/>
              </w:rPr>
            </w:pPr>
          </w:p>
        </w:tc>
      </w:tr>
      <w:tr w:rsidR="00A023BD" w:rsidRPr="003F15C0" w14:paraId="4998AEAD" w14:textId="77777777" w:rsidTr="00A023BD">
        <w:tc>
          <w:tcPr>
            <w:tcW w:w="5368" w:type="dxa"/>
            <w:vAlign w:val="bottom"/>
          </w:tcPr>
          <w:p w14:paraId="13F025A3" w14:textId="77777777" w:rsidR="00A023BD" w:rsidRPr="009A1B9E" w:rsidRDefault="00A023BD" w:rsidP="00A023BD">
            <w:pPr>
              <w:keepNext/>
              <w:spacing w:before="20"/>
              <w:ind w:left="176"/>
              <w:jc w:val="both"/>
              <w:rPr>
                <w:sz w:val="16"/>
                <w:szCs w:val="16"/>
              </w:rPr>
            </w:pPr>
            <w:r w:rsidRPr="009A1B9E">
              <w:rPr>
                <w:sz w:val="16"/>
                <w:szCs w:val="16"/>
              </w:rPr>
              <w:t>40</w:t>
            </w:r>
            <w:r>
              <w:rPr>
                <w:sz w:val="16"/>
                <w:szCs w:val="16"/>
              </w:rPr>
              <w:t xml:space="preserve"> </w:t>
            </w:r>
            <w:r w:rsidRPr="009A1B9E">
              <w:rPr>
                <w:sz w:val="16"/>
                <w:szCs w:val="16"/>
              </w:rPr>
              <w:t>-</w:t>
            </w:r>
            <w:r>
              <w:rPr>
                <w:sz w:val="16"/>
                <w:szCs w:val="16"/>
              </w:rPr>
              <w:t xml:space="preserve"> </w:t>
            </w:r>
            <w:r w:rsidRPr="009A1B9E">
              <w:rPr>
                <w:sz w:val="16"/>
                <w:szCs w:val="16"/>
              </w:rPr>
              <w:t>64</w:t>
            </w:r>
          </w:p>
        </w:tc>
        <w:tc>
          <w:tcPr>
            <w:tcW w:w="1131" w:type="dxa"/>
            <w:shd w:val="clear" w:color="auto" w:fill="auto"/>
            <w:vAlign w:val="bottom"/>
          </w:tcPr>
          <w:p w14:paraId="7EE08CBE"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1.97</w:t>
            </w:r>
          </w:p>
        </w:tc>
        <w:tc>
          <w:tcPr>
            <w:tcW w:w="990" w:type="dxa"/>
            <w:shd w:val="clear" w:color="auto" w:fill="auto"/>
            <w:vAlign w:val="bottom"/>
          </w:tcPr>
          <w:p w14:paraId="07844D83"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(1.49, 2.60)</w:t>
            </w:r>
          </w:p>
        </w:tc>
        <w:tc>
          <w:tcPr>
            <w:tcW w:w="747" w:type="dxa"/>
            <w:shd w:val="clear" w:color="auto" w:fill="auto"/>
            <w:vAlign w:val="bottom"/>
          </w:tcPr>
          <w:p w14:paraId="799E510F" w14:textId="77777777" w:rsidR="00A023BD" w:rsidRPr="00126434" w:rsidRDefault="00A023BD" w:rsidP="00A023BD">
            <w:pPr>
              <w:keepNext/>
              <w:jc w:val="right"/>
              <w:rPr>
                <w:color w:val="000000"/>
                <w:sz w:val="16"/>
                <w:szCs w:val="16"/>
                <w:lang w:eastAsia="en-NZ"/>
              </w:rPr>
            </w:pPr>
          </w:p>
        </w:tc>
      </w:tr>
      <w:tr w:rsidR="00A023BD" w:rsidRPr="003F15C0" w14:paraId="10C468F0" w14:textId="77777777" w:rsidTr="00326B55">
        <w:tc>
          <w:tcPr>
            <w:tcW w:w="5368" w:type="dxa"/>
            <w:vAlign w:val="bottom"/>
          </w:tcPr>
          <w:p w14:paraId="0171F101" w14:textId="77777777" w:rsidR="00A023BD" w:rsidRPr="009A1B9E" w:rsidRDefault="00A023BD" w:rsidP="00A023BD">
            <w:pPr>
              <w:keepNext/>
              <w:spacing w:before="20"/>
              <w:ind w:left="176"/>
              <w:jc w:val="both"/>
              <w:rPr>
                <w:sz w:val="16"/>
                <w:szCs w:val="16"/>
              </w:rPr>
            </w:pPr>
            <w:r w:rsidRPr="009A1B9E">
              <w:rPr>
                <w:sz w:val="16"/>
                <w:szCs w:val="16"/>
              </w:rPr>
              <w:t>65+</w:t>
            </w:r>
          </w:p>
        </w:tc>
        <w:tc>
          <w:tcPr>
            <w:tcW w:w="1131" w:type="dxa"/>
            <w:shd w:val="clear" w:color="auto" w:fill="auto"/>
            <w:vAlign w:val="bottom"/>
          </w:tcPr>
          <w:p w14:paraId="0B3751CA"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1.06</w:t>
            </w:r>
          </w:p>
        </w:tc>
        <w:tc>
          <w:tcPr>
            <w:tcW w:w="990" w:type="dxa"/>
            <w:shd w:val="clear" w:color="auto" w:fill="auto"/>
            <w:vAlign w:val="bottom"/>
          </w:tcPr>
          <w:p w14:paraId="64495C1E"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(0.73, 1.54)</w:t>
            </w:r>
          </w:p>
        </w:tc>
        <w:tc>
          <w:tcPr>
            <w:tcW w:w="747" w:type="dxa"/>
            <w:shd w:val="clear" w:color="auto" w:fill="auto"/>
            <w:vAlign w:val="bottom"/>
          </w:tcPr>
          <w:p w14:paraId="6D5FD6E8"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&lt;</w:t>
            </w:r>
            <w:r>
              <w:rPr>
                <w:color w:val="000000"/>
                <w:sz w:val="16"/>
                <w:szCs w:val="16"/>
                <w:lang w:eastAsia="en-NZ"/>
              </w:rPr>
              <w:t>0</w:t>
            </w:r>
            <w:r w:rsidRPr="00126434">
              <w:rPr>
                <w:color w:val="000000"/>
                <w:sz w:val="16"/>
                <w:szCs w:val="16"/>
                <w:lang w:eastAsia="en-NZ"/>
              </w:rPr>
              <w:t>.0001</w:t>
            </w:r>
          </w:p>
        </w:tc>
      </w:tr>
      <w:tr w:rsidR="00A023BD" w:rsidRPr="003F15C0" w14:paraId="7C71414F" w14:textId="77777777" w:rsidTr="00A023BD">
        <w:tc>
          <w:tcPr>
            <w:tcW w:w="5368" w:type="dxa"/>
          </w:tcPr>
          <w:p w14:paraId="59FA6CF8" w14:textId="77777777" w:rsidR="00A023BD" w:rsidRPr="009A1B9E" w:rsidRDefault="00A023BD" w:rsidP="00A023BD">
            <w:pPr>
              <w:keepNext/>
              <w:spacing w:before="20"/>
              <w:jc w:val="both"/>
              <w:rPr>
                <w:b/>
                <w:sz w:val="16"/>
                <w:szCs w:val="16"/>
              </w:rPr>
            </w:pPr>
            <w:r w:rsidRPr="009A1B9E">
              <w:rPr>
                <w:b/>
                <w:sz w:val="16"/>
                <w:szCs w:val="16"/>
              </w:rPr>
              <w:t>Ethnic group (prioritised)</w:t>
            </w:r>
          </w:p>
        </w:tc>
        <w:tc>
          <w:tcPr>
            <w:tcW w:w="1131" w:type="dxa"/>
            <w:shd w:val="clear" w:color="auto" w:fill="auto"/>
            <w:vAlign w:val="center"/>
          </w:tcPr>
          <w:p w14:paraId="77333F41" w14:textId="77777777" w:rsidR="00A023BD" w:rsidRPr="00230801" w:rsidRDefault="00A023BD" w:rsidP="00A023BD">
            <w:pPr>
              <w:keepNext/>
              <w:jc w:val="right"/>
              <w:rPr>
                <w:color w:val="000000"/>
                <w:sz w:val="16"/>
                <w:szCs w:val="16"/>
                <w:lang w:eastAsia="en-NZ"/>
              </w:rPr>
            </w:pPr>
          </w:p>
        </w:tc>
        <w:tc>
          <w:tcPr>
            <w:tcW w:w="990" w:type="dxa"/>
            <w:shd w:val="clear" w:color="auto" w:fill="auto"/>
            <w:vAlign w:val="center"/>
          </w:tcPr>
          <w:p w14:paraId="040EA6AA" w14:textId="77777777" w:rsidR="00A023BD" w:rsidRPr="00230801" w:rsidRDefault="00A023BD" w:rsidP="00A023BD">
            <w:pPr>
              <w:keepNext/>
              <w:jc w:val="right"/>
              <w:rPr>
                <w:color w:val="000000"/>
                <w:sz w:val="16"/>
                <w:szCs w:val="16"/>
                <w:lang w:eastAsia="en-NZ"/>
              </w:rPr>
            </w:pPr>
          </w:p>
        </w:tc>
        <w:tc>
          <w:tcPr>
            <w:tcW w:w="747" w:type="dxa"/>
            <w:shd w:val="clear" w:color="auto" w:fill="auto"/>
            <w:vAlign w:val="center"/>
          </w:tcPr>
          <w:p w14:paraId="411C7996" w14:textId="77777777" w:rsidR="00A023BD" w:rsidRPr="00230801" w:rsidRDefault="00A023BD" w:rsidP="00A023BD">
            <w:pPr>
              <w:keepNext/>
              <w:jc w:val="right"/>
              <w:rPr>
                <w:color w:val="000000"/>
                <w:sz w:val="16"/>
                <w:szCs w:val="16"/>
                <w:lang w:eastAsia="en-NZ"/>
              </w:rPr>
            </w:pPr>
          </w:p>
        </w:tc>
      </w:tr>
      <w:tr w:rsidR="00A023BD" w:rsidRPr="003F15C0" w14:paraId="71715DA6" w14:textId="77777777" w:rsidTr="00A023BD">
        <w:tc>
          <w:tcPr>
            <w:tcW w:w="5368" w:type="dxa"/>
            <w:vAlign w:val="bottom"/>
          </w:tcPr>
          <w:p w14:paraId="1FE38164" w14:textId="77777777" w:rsidR="00A023BD" w:rsidRPr="009A1B9E" w:rsidRDefault="00A023BD" w:rsidP="00A023BD">
            <w:pPr>
              <w:keepNext/>
              <w:spacing w:before="20"/>
              <w:ind w:left="176"/>
              <w:jc w:val="both"/>
              <w:rPr>
                <w:sz w:val="16"/>
                <w:szCs w:val="16"/>
              </w:rPr>
            </w:pPr>
            <w:r>
              <w:rPr>
                <w:sz w:val="16"/>
                <w:szCs w:val="16"/>
              </w:rPr>
              <w:t>Māori</w:t>
            </w:r>
          </w:p>
        </w:tc>
        <w:tc>
          <w:tcPr>
            <w:tcW w:w="1131" w:type="dxa"/>
            <w:shd w:val="clear" w:color="auto" w:fill="auto"/>
            <w:vAlign w:val="bottom"/>
          </w:tcPr>
          <w:p w14:paraId="75E79F62"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1.11</w:t>
            </w:r>
          </w:p>
        </w:tc>
        <w:tc>
          <w:tcPr>
            <w:tcW w:w="990" w:type="dxa"/>
            <w:shd w:val="clear" w:color="auto" w:fill="auto"/>
            <w:vAlign w:val="bottom"/>
          </w:tcPr>
          <w:p w14:paraId="51DA6C6F"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(0.79, 1.56)</w:t>
            </w:r>
          </w:p>
        </w:tc>
        <w:tc>
          <w:tcPr>
            <w:tcW w:w="747" w:type="dxa"/>
            <w:shd w:val="clear" w:color="auto" w:fill="auto"/>
            <w:vAlign w:val="bottom"/>
          </w:tcPr>
          <w:p w14:paraId="437EC5A7" w14:textId="77777777" w:rsidR="00A023BD" w:rsidRPr="00126434" w:rsidRDefault="00A023BD" w:rsidP="00A023BD">
            <w:pPr>
              <w:keepNext/>
              <w:jc w:val="right"/>
              <w:rPr>
                <w:color w:val="000000"/>
                <w:sz w:val="16"/>
                <w:szCs w:val="16"/>
                <w:lang w:eastAsia="en-NZ"/>
              </w:rPr>
            </w:pPr>
          </w:p>
        </w:tc>
      </w:tr>
      <w:tr w:rsidR="00A023BD" w:rsidRPr="003F15C0" w14:paraId="6C8A905A" w14:textId="77777777" w:rsidTr="00A023BD">
        <w:tc>
          <w:tcPr>
            <w:tcW w:w="5368" w:type="dxa"/>
            <w:vAlign w:val="bottom"/>
          </w:tcPr>
          <w:p w14:paraId="25229C2C" w14:textId="77777777" w:rsidR="00A023BD" w:rsidRPr="009A1B9E" w:rsidRDefault="00A023BD" w:rsidP="00A023BD">
            <w:pPr>
              <w:keepNext/>
              <w:spacing w:before="20"/>
              <w:ind w:left="176"/>
              <w:jc w:val="both"/>
              <w:rPr>
                <w:sz w:val="16"/>
                <w:szCs w:val="16"/>
              </w:rPr>
            </w:pPr>
            <w:r w:rsidRPr="009A1B9E">
              <w:rPr>
                <w:sz w:val="16"/>
                <w:szCs w:val="16"/>
              </w:rPr>
              <w:t>Pacific</w:t>
            </w:r>
          </w:p>
        </w:tc>
        <w:tc>
          <w:tcPr>
            <w:tcW w:w="1131" w:type="dxa"/>
            <w:shd w:val="clear" w:color="auto" w:fill="auto"/>
            <w:vAlign w:val="bottom"/>
          </w:tcPr>
          <w:p w14:paraId="3BCE08FE"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0.68</w:t>
            </w:r>
          </w:p>
        </w:tc>
        <w:tc>
          <w:tcPr>
            <w:tcW w:w="990" w:type="dxa"/>
            <w:shd w:val="clear" w:color="auto" w:fill="auto"/>
            <w:vAlign w:val="bottom"/>
          </w:tcPr>
          <w:p w14:paraId="6A3BDD46"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(0.43, 1.07)</w:t>
            </w:r>
          </w:p>
        </w:tc>
        <w:tc>
          <w:tcPr>
            <w:tcW w:w="747" w:type="dxa"/>
            <w:shd w:val="clear" w:color="auto" w:fill="auto"/>
            <w:vAlign w:val="bottom"/>
          </w:tcPr>
          <w:p w14:paraId="15A4C0F1" w14:textId="77777777" w:rsidR="00A023BD" w:rsidRPr="00126434" w:rsidRDefault="00A023BD" w:rsidP="00A023BD">
            <w:pPr>
              <w:keepNext/>
              <w:jc w:val="right"/>
              <w:rPr>
                <w:color w:val="000000"/>
                <w:sz w:val="16"/>
                <w:szCs w:val="16"/>
                <w:lang w:eastAsia="en-NZ"/>
              </w:rPr>
            </w:pPr>
          </w:p>
        </w:tc>
      </w:tr>
      <w:tr w:rsidR="00A023BD" w:rsidRPr="003F15C0" w14:paraId="6D9B529A" w14:textId="77777777" w:rsidTr="00A023BD">
        <w:tc>
          <w:tcPr>
            <w:tcW w:w="5368" w:type="dxa"/>
            <w:vAlign w:val="bottom"/>
          </w:tcPr>
          <w:p w14:paraId="1AD0AC62" w14:textId="77777777" w:rsidR="00A023BD" w:rsidRPr="009A1B9E" w:rsidRDefault="00A023BD" w:rsidP="00A023BD">
            <w:pPr>
              <w:keepNext/>
              <w:spacing w:before="20"/>
              <w:ind w:left="176"/>
              <w:jc w:val="both"/>
              <w:rPr>
                <w:sz w:val="16"/>
                <w:szCs w:val="16"/>
              </w:rPr>
            </w:pPr>
            <w:r w:rsidRPr="009A1B9E">
              <w:rPr>
                <w:sz w:val="16"/>
                <w:szCs w:val="16"/>
              </w:rPr>
              <w:t>Asian</w:t>
            </w:r>
          </w:p>
        </w:tc>
        <w:tc>
          <w:tcPr>
            <w:tcW w:w="1131" w:type="dxa"/>
            <w:shd w:val="clear" w:color="auto" w:fill="auto"/>
            <w:vAlign w:val="bottom"/>
          </w:tcPr>
          <w:p w14:paraId="5271DD6E"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0.30</w:t>
            </w:r>
          </w:p>
        </w:tc>
        <w:tc>
          <w:tcPr>
            <w:tcW w:w="990" w:type="dxa"/>
            <w:shd w:val="clear" w:color="auto" w:fill="auto"/>
            <w:vAlign w:val="bottom"/>
          </w:tcPr>
          <w:p w14:paraId="754896C8"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(0.18, 0.48)</w:t>
            </w:r>
          </w:p>
        </w:tc>
        <w:tc>
          <w:tcPr>
            <w:tcW w:w="747" w:type="dxa"/>
            <w:shd w:val="clear" w:color="auto" w:fill="auto"/>
            <w:vAlign w:val="bottom"/>
          </w:tcPr>
          <w:p w14:paraId="7CCD5DFB" w14:textId="77777777" w:rsidR="00A023BD" w:rsidRPr="00126434" w:rsidRDefault="00A023BD" w:rsidP="00A023BD">
            <w:pPr>
              <w:keepNext/>
              <w:jc w:val="right"/>
              <w:rPr>
                <w:color w:val="000000"/>
                <w:sz w:val="16"/>
                <w:szCs w:val="16"/>
                <w:lang w:eastAsia="en-NZ"/>
              </w:rPr>
            </w:pPr>
          </w:p>
        </w:tc>
      </w:tr>
      <w:tr w:rsidR="00A023BD" w:rsidRPr="003F15C0" w14:paraId="7E7304F7" w14:textId="77777777" w:rsidTr="00326B55">
        <w:tc>
          <w:tcPr>
            <w:tcW w:w="5368" w:type="dxa"/>
            <w:vAlign w:val="bottom"/>
          </w:tcPr>
          <w:p w14:paraId="7ABCD7DA" w14:textId="77777777" w:rsidR="00A023BD" w:rsidRPr="009A1B9E" w:rsidRDefault="00A023BD" w:rsidP="00A023BD">
            <w:pPr>
              <w:keepNext/>
              <w:spacing w:before="20"/>
              <w:ind w:left="176"/>
              <w:jc w:val="both"/>
              <w:rPr>
                <w:sz w:val="16"/>
                <w:szCs w:val="16"/>
              </w:rPr>
            </w:pPr>
            <w:r w:rsidRPr="009A1B9E">
              <w:rPr>
                <w:sz w:val="16"/>
                <w:szCs w:val="16"/>
              </w:rPr>
              <w:t>European/Other</w:t>
            </w:r>
          </w:p>
        </w:tc>
        <w:tc>
          <w:tcPr>
            <w:tcW w:w="1131" w:type="dxa"/>
            <w:shd w:val="clear" w:color="auto" w:fill="auto"/>
            <w:vAlign w:val="bottom"/>
          </w:tcPr>
          <w:p w14:paraId="39B1B46A"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1.00</w:t>
            </w:r>
          </w:p>
        </w:tc>
        <w:tc>
          <w:tcPr>
            <w:tcW w:w="990" w:type="dxa"/>
            <w:shd w:val="clear" w:color="auto" w:fill="auto"/>
            <w:vAlign w:val="bottom"/>
          </w:tcPr>
          <w:p w14:paraId="716327D6" w14:textId="77777777" w:rsidR="00A023BD" w:rsidRPr="00126434" w:rsidRDefault="00A023BD" w:rsidP="00A023BD">
            <w:pPr>
              <w:keepNext/>
              <w:jc w:val="right"/>
              <w:rPr>
                <w:color w:val="000000"/>
                <w:sz w:val="16"/>
                <w:szCs w:val="16"/>
                <w:lang w:eastAsia="en-NZ"/>
              </w:rPr>
            </w:pPr>
          </w:p>
        </w:tc>
        <w:tc>
          <w:tcPr>
            <w:tcW w:w="747" w:type="dxa"/>
            <w:shd w:val="clear" w:color="auto" w:fill="auto"/>
            <w:vAlign w:val="bottom"/>
          </w:tcPr>
          <w:p w14:paraId="03FC3B13"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&lt;</w:t>
            </w:r>
            <w:r>
              <w:rPr>
                <w:color w:val="000000"/>
                <w:sz w:val="16"/>
                <w:szCs w:val="16"/>
                <w:lang w:eastAsia="en-NZ"/>
              </w:rPr>
              <w:t>0</w:t>
            </w:r>
            <w:r w:rsidRPr="00126434">
              <w:rPr>
                <w:color w:val="000000"/>
                <w:sz w:val="16"/>
                <w:szCs w:val="16"/>
                <w:lang w:eastAsia="en-NZ"/>
              </w:rPr>
              <w:t>.0001</w:t>
            </w:r>
          </w:p>
        </w:tc>
      </w:tr>
      <w:tr w:rsidR="00A023BD" w:rsidRPr="003F15C0" w14:paraId="1511FE3D" w14:textId="77777777" w:rsidTr="00A023BD">
        <w:tc>
          <w:tcPr>
            <w:tcW w:w="5368" w:type="dxa"/>
          </w:tcPr>
          <w:p w14:paraId="1D92795C" w14:textId="77777777" w:rsidR="00A023BD" w:rsidRPr="009A1B9E" w:rsidRDefault="00A023BD" w:rsidP="00A023BD">
            <w:pPr>
              <w:keepNext/>
              <w:spacing w:before="20"/>
              <w:jc w:val="both"/>
              <w:rPr>
                <w:b/>
                <w:sz w:val="16"/>
                <w:szCs w:val="16"/>
              </w:rPr>
            </w:pPr>
            <w:r w:rsidRPr="009A1B9E">
              <w:rPr>
                <w:b/>
                <w:sz w:val="16"/>
                <w:szCs w:val="16"/>
              </w:rPr>
              <w:t>Religion</w:t>
            </w:r>
          </w:p>
        </w:tc>
        <w:tc>
          <w:tcPr>
            <w:tcW w:w="1131" w:type="dxa"/>
            <w:shd w:val="clear" w:color="auto" w:fill="auto"/>
            <w:vAlign w:val="center"/>
          </w:tcPr>
          <w:p w14:paraId="17467B31" w14:textId="77777777" w:rsidR="00A023BD" w:rsidRPr="00230801" w:rsidRDefault="00A023BD" w:rsidP="00A023BD">
            <w:pPr>
              <w:keepNext/>
              <w:jc w:val="right"/>
              <w:rPr>
                <w:color w:val="000000"/>
                <w:sz w:val="16"/>
                <w:szCs w:val="16"/>
                <w:lang w:eastAsia="en-NZ"/>
              </w:rPr>
            </w:pPr>
          </w:p>
        </w:tc>
        <w:tc>
          <w:tcPr>
            <w:tcW w:w="990" w:type="dxa"/>
            <w:shd w:val="clear" w:color="auto" w:fill="auto"/>
            <w:vAlign w:val="center"/>
          </w:tcPr>
          <w:p w14:paraId="05F0C632" w14:textId="77777777" w:rsidR="00A023BD" w:rsidRPr="00230801" w:rsidRDefault="00A023BD" w:rsidP="00A023BD">
            <w:pPr>
              <w:keepNext/>
              <w:jc w:val="right"/>
              <w:rPr>
                <w:color w:val="000000"/>
                <w:sz w:val="16"/>
                <w:szCs w:val="16"/>
                <w:lang w:eastAsia="en-NZ"/>
              </w:rPr>
            </w:pPr>
          </w:p>
        </w:tc>
        <w:tc>
          <w:tcPr>
            <w:tcW w:w="747" w:type="dxa"/>
            <w:shd w:val="clear" w:color="auto" w:fill="auto"/>
            <w:vAlign w:val="center"/>
          </w:tcPr>
          <w:p w14:paraId="00F012E8" w14:textId="77777777" w:rsidR="00A023BD" w:rsidRPr="00230801" w:rsidRDefault="00A023BD" w:rsidP="00A023BD">
            <w:pPr>
              <w:keepNext/>
              <w:jc w:val="right"/>
              <w:rPr>
                <w:color w:val="000000"/>
                <w:sz w:val="16"/>
                <w:szCs w:val="16"/>
                <w:lang w:eastAsia="en-NZ"/>
              </w:rPr>
            </w:pPr>
          </w:p>
        </w:tc>
      </w:tr>
      <w:tr w:rsidR="00A023BD" w:rsidRPr="003F15C0" w14:paraId="32CD1113" w14:textId="77777777" w:rsidTr="00A023BD">
        <w:tc>
          <w:tcPr>
            <w:tcW w:w="5368" w:type="dxa"/>
            <w:vAlign w:val="bottom"/>
          </w:tcPr>
          <w:p w14:paraId="6E53273A" w14:textId="77777777" w:rsidR="00A023BD" w:rsidRPr="006B29E4" w:rsidRDefault="00A023BD" w:rsidP="00A023BD">
            <w:pPr>
              <w:keepNext/>
              <w:spacing w:before="20"/>
              <w:ind w:left="176"/>
              <w:jc w:val="both"/>
              <w:rPr>
                <w:sz w:val="16"/>
                <w:szCs w:val="16"/>
              </w:rPr>
            </w:pPr>
            <w:r>
              <w:rPr>
                <w:sz w:val="16"/>
                <w:szCs w:val="16"/>
              </w:rPr>
              <w:t>No r</w:t>
            </w:r>
            <w:r w:rsidRPr="006B29E4">
              <w:rPr>
                <w:sz w:val="16"/>
                <w:szCs w:val="16"/>
              </w:rPr>
              <w:t>eligion</w:t>
            </w:r>
          </w:p>
        </w:tc>
        <w:tc>
          <w:tcPr>
            <w:tcW w:w="1131" w:type="dxa"/>
            <w:shd w:val="clear" w:color="auto" w:fill="auto"/>
            <w:vAlign w:val="bottom"/>
          </w:tcPr>
          <w:p w14:paraId="0714C2D7"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1.00</w:t>
            </w:r>
          </w:p>
        </w:tc>
        <w:tc>
          <w:tcPr>
            <w:tcW w:w="990" w:type="dxa"/>
            <w:shd w:val="clear" w:color="auto" w:fill="auto"/>
            <w:vAlign w:val="bottom"/>
          </w:tcPr>
          <w:p w14:paraId="4283570C" w14:textId="77777777" w:rsidR="00A023BD" w:rsidRPr="00126434" w:rsidRDefault="00A023BD" w:rsidP="00A023BD">
            <w:pPr>
              <w:keepNext/>
              <w:jc w:val="right"/>
              <w:rPr>
                <w:color w:val="000000"/>
                <w:sz w:val="16"/>
                <w:szCs w:val="16"/>
                <w:lang w:eastAsia="en-NZ"/>
              </w:rPr>
            </w:pPr>
          </w:p>
        </w:tc>
        <w:tc>
          <w:tcPr>
            <w:tcW w:w="747" w:type="dxa"/>
            <w:shd w:val="clear" w:color="auto" w:fill="auto"/>
            <w:vAlign w:val="bottom"/>
          </w:tcPr>
          <w:p w14:paraId="43AF2FE4" w14:textId="77777777" w:rsidR="00A023BD" w:rsidRPr="00126434" w:rsidRDefault="00A023BD" w:rsidP="00A023BD">
            <w:pPr>
              <w:keepNext/>
              <w:jc w:val="right"/>
              <w:rPr>
                <w:color w:val="000000"/>
                <w:sz w:val="16"/>
                <w:szCs w:val="16"/>
                <w:lang w:eastAsia="en-NZ"/>
              </w:rPr>
            </w:pPr>
          </w:p>
        </w:tc>
      </w:tr>
      <w:tr w:rsidR="00A023BD" w:rsidRPr="003F15C0" w14:paraId="22BA9B16" w14:textId="77777777" w:rsidTr="00326B55">
        <w:tc>
          <w:tcPr>
            <w:tcW w:w="5368" w:type="dxa"/>
            <w:vAlign w:val="bottom"/>
          </w:tcPr>
          <w:p w14:paraId="0014D82E" w14:textId="77777777" w:rsidR="00A023BD" w:rsidRPr="006B29E4" w:rsidRDefault="00A023BD" w:rsidP="00A023BD">
            <w:pPr>
              <w:keepNext/>
              <w:spacing w:before="20"/>
              <w:ind w:left="176"/>
              <w:jc w:val="both"/>
              <w:rPr>
                <w:sz w:val="16"/>
                <w:szCs w:val="16"/>
              </w:rPr>
            </w:pPr>
            <w:r w:rsidRPr="006B29E4">
              <w:rPr>
                <w:sz w:val="16"/>
                <w:szCs w:val="16"/>
              </w:rPr>
              <w:t>Religion</w:t>
            </w:r>
          </w:p>
        </w:tc>
        <w:tc>
          <w:tcPr>
            <w:tcW w:w="1131" w:type="dxa"/>
            <w:shd w:val="clear" w:color="auto" w:fill="auto"/>
            <w:vAlign w:val="bottom"/>
          </w:tcPr>
          <w:p w14:paraId="3AB5FAC2"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0.74</w:t>
            </w:r>
          </w:p>
        </w:tc>
        <w:tc>
          <w:tcPr>
            <w:tcW w:w="990" w:type="dxa"/>
            <w:shd w:val="clear" w:color="auto" w:fill="auto"/>
            <w:vAlign w:val="bottom"/>
          </w:tcPr>
          <w:p w14:paraId="7261B818"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(0.56, 0.96)</w:t>
            </w:r>
          </w:p>
        </w:tc>
        <w:tc>
          <w:tcPr>
            <w:tcW w:w="747" w:type="dxa"/>
            <w:shd w:val="clear" w:color="auto" w:fill="auto"/>
            <w:vAlign w:val="bottom"/>
          </w:tcPr>
          <w:p w14:paraId="29E07378"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0.02</w:t>
            </w:r>
          </w:p>
        </w:tc>
      </w:tr>
      <w:tr w:rsidR="00A023BD" w:rsidRPr="003F15C0" w14:paraId="68880CCE" w14:textId="77777777" w:rsidTr="00A023BD">
        <w:tc>
          <w:tcPr>
            <w:tcW w:w="5368" w:type="dxa"/>
          </w:tcPr>
          <w:p w14:paraId="6BDC6252" w14:textId="77777777" w:rsidR="00A023BD" w:rsidRPr="006B29E4" w:rsidRDefault="00A023BD" w:rsidP="00A023BD">
            <w:pPr>
              <w:keepNext/>
              <w:spacing w:before="20"/>
              <w:jc w:val="both"/>
              <w:rPr>
                <w:b/>
                <w:sz w:val="16"/>
                <w:szCs w:val="16"/>
              </w:rPr>
            </w:pPr>
            <w:r w:rsidRPr="006B29E4">
              <w:rPr>
                <w:b/>
                <w:sz w:val="16"/>
                <w:szCs w:val="16"/>
              </w:rPr>
              <w:t>Arrival in New Zealand</w:t>
            </w:r>
          </w:p>
        </w:tc>
        <w:tc>
          <w:tcPr>
            <w:tcW w:w="1131" w:type="dxa"/>
            <w:shd w:val="clear" w:color="auto" w:fill="auto"/>
            <w:vAlign w:val="center"/>
          </w:tcPr>
          <w:p w14:paraId="00B4E100" w14:textId="77777777" w:rsidR="00A023BD" w:rsidRPr="00230801" w:rsidRDefault="00A023BD" w:rsidP="00A023BD">
            <w:pPr>
              <w:keepNext/>
              <w:jc w:val="right"/>
              <w:rPr>
                <w:color w:val="000000"/>
                <w:sz w:val="16"/>
                <w:szCs w:val="16"/>
                <w:lang w:eastAsia="en-NZ"/>
              </w:rPr>
            </w:pPr>
          </w:p>
        </w:tc>
        <w:tc>
          <w:tcPr>
            <w:tcW w:w="990" w:type="dxa"/>
            <w:shd w:val="clear" w:color="auto" w:fill="auto"/>
            <w:vAlign w:val="center"/>
          </w:tcPr>
          <w:p w14:paraId="36285E32" w14:textId="77777777" w:rsidR="00A023BD" w:rsidRPr="00230801" w:rsidRDefault="00A023BD" w:rsidP="00A023BD">
            <w:pPr>
              <w:keepNext/>
              <w:jc w:val="right"/>
              <w:rPr>
                <w:color w:val="000000"/>
                <w:sz w:val="16"/>
                <w:szCs w:val="16"/>
                <w:lang w:eastAsia="en-NZ"/>
              </w:rPr>
            </w:pPr>
          </w:p>
        </w:tc>
        <w:tc>
          <w:tcPr>
            <w:tcW w:w="747" w:type="dxa"/>
            <w:shd w:val="clear" w:color="auto" w:fill="auto"/>
            <w:vAlign w:val="center"/>
          </w:tcPr>
          <w:p w14:paraId="45B2698C" w14:textId="77777777" w:rsidR="00A023BD" w:rsidRPr="00230801" w:rsidRDefault="00A023BD" w:rsidP="00A023BD">
            <w:pPr>
              <w:keepNext/>
              <w:jc w:val="right"/>
              <w:rPr>
                <w:color w:val="000000"/>
                <w:sz w:val="16"/>
                <w:szCs w:val="16"/>
                <w:lang w:eastAsia="en-NZ"/>
              </w:rPr>
            </w:pPr>
          </w:p>
        </w:tc>
      </w:tr>
      <w:tr w:rsidR="00A023BD" w:rsidRPr="003F15C0" w14:paraId="472718BC" w14:textId="77777777" w:rsidTr="00A023BD">
        <w:tc>
          <w:tcPr>
            <w:tcW w:w="5368" w:type="dxa"/>
            <w:vAlign w:val="bottom"/>
          </w:tcPr>
          <w:p w14:paraId="466018B9" w14:textId="77777777" w:rsidR="00A023BD" w:rsidRPr="006B29E4" w:rsidRDefault="00A023BD" w:rsidP="00A023BD">
            <w:pPr>
              <w:keepNext/>
              <w:spacing w:before="20"/>
              <w:ind w:left="176"/>
              <w:jc w:val="both"/>
              <w:rPr>
                <w:sz w:val="16"/>
                <w:szCs w:val="16"/>
              </w:rPr>
            </w:pPr>
            <w:r w:rsidRPr="006B29E4">
              <w:rPr>
                <w:sz w:val="16"/>
                <w:szCs w:val="16"/>
              </w:rPr>
              <w:t>N</w:t>
            </w:r>
            <w:r>
              <w:rPr>
                <w:sz w:val="16"/>
                <w:szCs w:val="16"/>
              </w:rPr>
              <w:t xml:space="preserve">ew </w:t>
            </w:r>
            <w:r w:rsidRPr="006B29E4">
              <w:rPr>
                <w:sz w:val="16"/>
                <w:szCs w:val="16"/>
              </w:rPr>
              <w:t>Z</w:t>
            </w:r>
            <w:r>
              <w:rPr>
                <w:sz w:val="16"/>
                <w:szCs w:val="16"/>
              </w:rPr>
              <w:t>ealand</w:t>
            </w:r>
            <w:r w:rsidRPr="006B29E4">
              <w:rPr>
                <w:sz w:val="16"/>
                <w:szCs w:val="16"/>
              </w:rPr>
              <w:t xml:space="preserve"> born</w:t>
            </w:r>
          </w:p>
        </w:tc>
        <w:tc>
          <w:tcPr>
            <w:tcW w:w="1131" w:type="dxa"/>
            <w:shd w:val="clear" w:color="auto" w:fill="auto"/>
            <w:vAlign w:val="bottom"/>
          </w:tcPr>
          <w:p w14:paraId="6FA13B89"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1.00</w:t>
            </w:r>
          </w:p>
        </w:tc>
        <w:tc>
          <w:tcPr>
            <w:tcW w:w="990" w:type="dxa"/>
            <w:shd w:val="clear" w:color="auto" w:fill="auto"/>
            <w:vAlign w:val="bottom"/>
          </w:tcPr>
          <w:p w14:paraId="1775D7CE" w14:textId="77777777" w:rsidR="00A023BD" w:rsidRPr="00126434" w:rsidRDefault="00A023BD" w:rsidP="00A023BD">
            <w:pPr>
              <w:keepNext/>
              <w:jc w:val="right"/>
              <w:rPr>
                <w:color w:val="000000"/>
                <w:sz w:val="16"/>
                <w:szCs w:val="16"/>
                <w:lang w:eastAsia="en-NZ"/>
              </w:rPr>
            </w:pPr>
          </w:p>
        </w:tc>
        <w:tc>
          <w:tcPr>
            <w:tcW w:w="747" w:type="dxa"/>
            <w:shd w:val="clear" w:color="auto" w:fill="auto"/>
            <w:vAlign w:val="bottom"/>
          </w:tcPr>
          <w:p w14:paraId="1EE4B601" w14:textId="77777777" w:rsidR="00A023BD" w:rsidRPr="00126434" w:rsidRDefault="00A023BD" w:rsidP="00A023BD">
            <w:pPr>
              <w:keepNext/>
              <w:jc w:val="right"/>
              <w:rPr>
                <w:color w:val="000000"/>
                <w:sz w:val="16"/>
                <w:szCs w:val="16"/>
                <w:lang w:eastAsia="en-NZ"/>
              </w:rPr>
            </w:pPr>
          </w:p>
        </w:tc>
      </w:tr>
      <w:tr w:rsidR="00A023BD" w:rsidRPr="003F15C0" w14:paraId="0CF006FB" w14:textId="77777777" w:rsidTr="00A023BD">
        <w:tc>
          <w:tcPr>
            <w:tcW w:w="5368" w:type="dxa"/>
            <w:vAlign w:val="bottom"/>
          </w:tcPr>
          <w:p w14:paraId="41ECAC01" w14:textId="77777777" w:rsidR="00A023BD" w:rsidRPr="006B29E4" w:rsidRDefault="00A023BD" w:rsidP="00A023BD">
            <w:pPr>
              <w:spacing w:before="20"/>
              <w:ind w:left="176"/>
              <w:jc w:val="both"/>
              <w:rPr>
                <w:sz w:val="16"/>
                <w:szCs w:val="16"/>
              </w:rPr>
            </w:pPr>
            <w:r w:rsidRPr="006B29E4">
              <w:rPr>
                <w:sz w:val="16"/>
                <w:szCs w:val="16"/>
              </w:rPr>
              <w:t>Before 2008</w:t>
            </w:r>
          </w:p>
        </w:tc>
        <w:tc>
          <w:tcPr>
            <w:tcW w:w="1131" w:type="dxa"/>
            <w:shd w:val="clear" w:color="auto" w:fill="auto"/>
            <w:vAlign w:val="bottom"/>
          </w:tcPr>
          <w:p w14:paraId="2F8F75AF" w14:textId="77777777" w:rsidR="00A023BD" w:rsidRPr="00126434" w:rsidRDefault="00A023BD" w:rsidP="00A023BD">
            <w:pPr>
              <w:jc w:val="right"/>
              <w:rPr>
                <w:color w:val="000000"/>
                <w:sz w:val="16"/>
                <w:szCs w:val="16"/>
                <w:lang w:eastAsia="en-NZ"/>
              </w:rPr>
            </w:pPr>
            <w:r w:rsidRPr="00126434">
              <w:rPr>
                <w:color w:val="000000"/>
                <w:sz w:val="16"/>
                <w:szCs w:val="16"/>
                <w:lang w:eastAsia="en-NZ"/>
              </w:rPr>
              <w:t>0.59</w:t>
            </w:r>
          </w:p>
        </w:tc>
        <w:tc>
          <w:tcPr>
            <w:tcW w:w="990" w:type="dxa"/>
            <w:shd w:val="clear" w:color="auto" w:fill="auto"/>
            <w:vAlign w:val="bottom"/>
          </w:tcPr>
          <w:p w14:paraId="2DA293D1" w14:textId="77777777" w:rsidR="00A023BD" w:rsidRPr="00126434" w:rsidRDefault="00A023BD" w:rsidP="00A023BD">
            <w:pPr>
              <w:jc w:val="right"/>
              <w:rPr>
                <w:color w:val="000000"/>
                <w:sz w:val="16"/>
                <w:szCs w:val="16"/>
                <w:lang w:eastAsia="en-NZ"/>
              </w:rPr>
            </w:pPr>
            <w:r w:rsidRPr="00126434">
              <w:rPr>
                <w:color w:val="000000"/>
                <w:sz w:val="16"/>
                <w:szCs w:val="16"/>
                <w:lang w:eastAsia="en-NZ"/>
              </w:rPr>
              <w:t>(0.42, 0.82)</w:t>
            </w:r>
          </w:p>
        </w:tc>
        <w:tc>
          <w:tcPr>
            <w:tcW w:w="747" w:type="dxa"/>
            <w:shd w:val="clear" w:color="auto" w:fill="auto"/>
            <w:vAlign w:val="bottom"/>
          </w:tcPr>
          <w:p w14:paraId="510D7937" w14:textId="77777777" w:rsidR="00A023BD" w:rsidRPr="00126434" w:rsidRDefault="00A023BD" w:rsidP="00A023BD">
            <w:pPr>
              <w:jc w:val="right"/>
              <w:rPr>
                <w:color w:val="000000"/>
                <w:sz w:val="16"/>
                <w:szCs w:val="16"/>
                <w:lang w:eastAsia="en-NZ"/>
              </w:rPr>
            </w:pPr>
          </w:p>
        </w:tc>
      </w:tr>
      <w:tr w:rsidR="00A023BD" w:rsidRPr="003F15C0" w14:paraId="08DC129C" w14:textId="77777777" w:rsidTr="00326B55">
        <w:tc>
          <w:tcPr>
            <w:tcW w:w="5368" w:type="dxa"/>
            <w:vAlign w:val="bottom"/>
          </w:tcPr>
          <w:p w14:paraId="6F48700C" w14:textId="77777777" w:rsidR="00A023BD" w:rsidRPr="006B29E4" w:rsidRDefault="00A023BD" w:rsidP="00A023BD">
            <w:pPr>
              <w:spacing w:before="20"/>
              <w:ind w:left="176"/>
              <w:jc w:val="both"/>
              <w:rPr>
                <w:sz w:val="16"/>
                <w:szCs w:val="16"/>
              </w:rPr>
            </w:pPr>
            <w:r w:rsidRPr="006B29E4">
              <w:rPr>
                <w:sz w:val="16"/>
                <w:szCs w:val="16"/>
              </w:rPr>
              <w:t>After 2008</w:t>
            </w:r>
          </w:p>
        </w:tc>
        <w:tc>
          <w:tcPr>
            <w:tcW w:w="1131" w:type="dxa"/>
            <w:shd w:val="clear" w:color="auto" w:fill="auto"/>
            <w:vAlign w:val="bottom"/>
          </w:tcPr>
          <w:p w14:paraId="48FF6449" w14:textId="77777777" w:rsidR="00A023BD" w:rsidRPr="00126434" w:rsidRDefault="00A023BD" w:rsidP="00A023BD">
            <w:pPr>
              <w:jc w:val="right"/>
              <w:rPr>
                <w:color w:val="000000"/>
                <w:sz w:val="16"/>
                <w:szCs w:val="16"/>
                <w:lang w:eastAsia="en-NZ"/>
              </w:rPr>
            </w:pPr>
            <w:r w:rsidRPr="00126434">
              <w:rPr>
                <w:color w:val="000000"/>
                <w:sz w:val="16"/>
                <w:szCs w:val="16"/>
                <w:lang w:eastAsia="en-NZ"/>
              </w:rPr>
              <w:t>0.13</w:t>
            </w:r>
          </w:p>
        </w:tc>
        <w:tc>
          <w:tcPr>
            <w:tcW w:w="990" w:type="dxa"/>
            <w:shd w:val="clear" w:color="auto" w:fill="auto"/>
            <w:vAlign w:val="bottom"/>
          </w:tcPr>
          <w:p w14:paraId="08B71BF7" w14:textId="77777777" w:rsidR="00A023BD" w:rsidRPr="00126434" w:rsidRDefault="00A023BD" w:rsidP="00A023BD">
            <w:pPr>
              <w:jc w:val="right"/>
              <w:rPr>
                <w:color w:val="000000"/>
                <w:sz w:val="16"/>
                <w:szCs w:val="16"/>
                <w:lang w:eastAsia="en-NZ"/>
              </w:rPr>
            </w:pPr>
            <w:r w:rsidRPr="00126434">
              <w:rPr>
                <w:color w:val="000000"/>
                <w:sz w:val="16"/>
                <w:szCs w:val="16"/>
                <w:lang w:eastAsia="en-NZ"/>
              </w:rPr>
              <w:t>(0.07, 0.25)</w:t>
            </w:r>
          </w:p>
        </w:tc>
        <w:tc>
          <w:tcPr>
            <w:tcW w:w="747" w:type="dxa"/>
            <w:shd w:val="clear" w:color="auto" w:fill="auto"/>
            <w:vAlign w:val="bottom"/>
          </w:tcPr>
          <w:p w14:paraId="73B8853B" w14:textId="77777777" w:rsidR="00A023BD" w:rsidRPr="00126434" w:rsidRDefault="00A023BD" w:rsidP="00A023BD">
            <w:pPr>
              <w:jc w:val="right"/>
              <w:rPr>
                <w:color w:val="000000"/>
                <w:sz w:val="16"/>
                <w:szCs w:val="16"/>
                <w:lang w:eastAsia="en-NZ"/>
              </w:rPr>
            </w:pPr>
            <w:r w:rsidRPr="00126434">
              <w:rPr>
                <w:color w:val="000000"/>
                <w:sz w:val="16"/>
                <w:szCs w:val="16"/>
                <w:lang w:eastAsia="en-NZ"/>
              </w:rPr>
              <w:t>&lt;</w:t>
            </w:r>
            <w:r>
              <w:rPr>
                <w:color w:val="000000"/>
                <w:sz w:val="16"/>
                <w:szCs w:val="16"/>
                <w:lang w:eastAsia="en-NZ"/>
              </w:rPr>
              <w:t>0</w:t>
            </w:r>
            <w:r w:rsidRPr="00126434">
              <w:rPr>
                <w:color w:val="000000"/>
                <w:sz w:val="16"/>
                <w:szCs w:val="16"/>
                <w:lang w:eastAsia="en-NZ"/>
              </w:rPr>
              <w:t>.0001</w:t>
            </w:r>
          </w:p>
        </w:tc>
      </w:tr>
      <w:tr w:rsidR="00A023BD" w:rsidRPr="003F15C0" w14:paraId="21FF48C9" w14:textId="77777777" w:rsidTr="00A023BD">
        <w:tc>
          <w:tcPr>
            <w:tcW w:w="5368" w:type="dxa"/>
          </w:tcPr>
          <w:p w14:paraId="7DC2ACFB" w14:textId="77777777" w:rsidR="00A023BD" w:rsidRPr="006B29E4" w:rsidRDefault="00A023BD" w:rsidP="00A023BD">
            <w:pPr>
              <w:spacing w:before="20"/>
              <w:jc w:val="both"/>
              <w:rPr>
                <w:b/>
                <w:sz w:val="16"/>
                <w:szCs w:val="16"/>
              </w:rPr>
            </w:pPr>
            <w:r w:rsidRPr="006B29E4">
              <w:rPr>
                <w:b/>
                <w:sz w:val="16"/>
                <w:szCs w:val="16"/>
              </w:rPr>
              <w:t>Highest qualification</w:t>
            </w:r>
          </w:p>
        </w:tc>
        <w:tc>
          <w:tcPr>
            <w:tcW w:w="1131" w:type="dxa"/>
            <w:shd w:val="clear" w:color="auto" w:fill="auto"/>
            <w:vAlign w:val="center"/>
          </w:tcPr>
          <w:p w14:paraId="30730FDF" w14:textId="77777777" w:rsidR="00A023BD" w:rsidRPr="008A1AFE" w:rsidRDefault="00A023BD" w:rsidP="00A023BD">
            <w:pPr>
              <w:jc w:val="right"/>
              <w:rPr>
                <w:color w:val="000000"/>
                <w:sz w:val="16"/>
                <w:szCs w:val="20"/>
                <w:lang w:eastAsia="en-NZ"/>
              </w:rPr>
            </w:pPr>
          </w:p>
        </w:tc>
        <w:tc>
          <w:tcPr>
            <w:tcW w:w="990" w:type="dxa"/>
            <w:shd w:val="clear" w:color="auto" w:fill="auto"/>
            <w:vAlign w:val="center"/>
          </w:tcPr>
          <w:p w14:paraId="4934AD10" w14:textId="77777777" w:rsidR="00A023BD" w:rsidRPr="008A1AFE" w:rsidRDefault="00A023BD" w:rsidP="00A023BD">
            <w:pPr>
              <w:jc w:val="right"/>
              <w:rPr>
                <w:color w:val="000000"/>
                <w:sz w:val="16"/>
                <w:szCs w:val="20"/>
                <w:lang w:eastAsia="en-NZ"/>
              </w:rPr>
            </w:pPr>
          </w:p>
        </w:tc>
        <w:tc>
          <w:tcPr>
            <w:tcW w:w="747" w:type="dxa"/>
            <w:shd w:val="clear" w:color="auto" w:fill="auto"/>
            <w:vAlign w:val="center"/>
          </w:tcPr>
          <w:p w14:paraId="04E00A7E" w14:textId="77777777" w:rsidR="00A023BD" w:rsidRPr="008A1AFE" w:rsidRDefault="00A023BD" w:rsidP="00A023BD">
            <w:pPr>
              <w:jc w:val="right"/>
              <w:rPr>
                <w:color w:val="000000"/>
                <w:sz w:val="16"/>
                <w:szCs w:val="20"/>
                <w:lang w:eastAsia="en-NZ"/>
              </w:rPr>
            </w:pPr>
          </w:p>
        </w:tc>
      </w:tr>
      <w:tr w:rsidR="00A023BD" w:rsidRPr="003F15C0" w14:paraId="3E2E4370" w14:textId="77777777" w:rsidTr="00A023BD">
        <w:tc>
          <w:tcPr>
            <w:tcW w:w="5368" w:type="dxa"/>
            <w:vAlign w:val="bottom"/>
          </w:tcPr>
          <w:p w14:paraId="599805A9" w14:textId="77777777" w:rsidR="00A023BD" w:rsidRPr="006B29E4" w:rsidRDefault="00A023BD" w:rsidP="00A023BD">
            <w:pPr>
              <w:spacing w:before="20"/>
              <w:ind w:left="176"/>
              <w:jc w:val="both"/>
              <w:rPr>
                <w:sz w:val="16"/>
                <w:szCs w:val="16"/>
              </w:rPr>
            </w:pPr>
            <w:r w:rsidRPr="006B29E4">
              <w:rPr>
                <w:sz w:val="16"/>
                <w:szCs w:val="16"/>
              </w:rPr>
              <w:t>No formal qual</w:t>
            </w:r>
            <w:r>
              <w:rPr>
                <w:sz w:val="16"/>
                <w:szCs w:val="16"/>
              </w:rPr>
              <w:t>ification</w:t>
            </w:r>
          </w:p>
        </w:tc>
        <w:tc>
          <w:tcPr>
            <w:tcW w:w="1131" w:type="dxa"/>
            <w:shd w:val="clear" w:color="auto" w:fill="auto"/>
            <w:vAlign w:val="bottom"/>
          </w:tcPr>
          <w:p w14:paraId="381DF88A" w14:textId="77777777" w:rsidR="00A023BD" w:rsidRPr="00126434" w:rsidRDefault="00A023BD" w:rsidP="00A023BD">
            <w:pPr>
              <w:jc w:val="right"/>
              <w:rPr>
                <w:color w:val="000000"/>
                <w:sz w:val="16"/>
                <w:szCs w:val="16"/>
                <w:lang w:eastAsia="en-NZ"/>
              </w:rPr>
            </w:pPr>
            <w:r w:rsidRPr="00126434">
              <w:rPr>
                <w:color w:val="000000"/>
                <w:sz w:val="16"/>
                <w:szCs w:val="16"/>
                <w:lang w:eastAsia="en-NZ"/>
              </w:rPr>
              <w:t>1.00</w:t>
            </w:r>
          </w:p>
        </w:tc>
        <w:tc>
          <w:tcPr>
            <w:tcW w:w="990" w:type="dxa"/>
            <w:shd w:val="clear" w:color="auto" w:fill="auto"/>
            <w:vAlign w:val="bottom"/>
          </w:tcPr>
          <w:p w14:paraId="70D49F4B" w14:textId="77777777" w:rsidR="00A023BD" w:rsidRPr="00126434" w:rsidRDefault="00A023BD" w:rsidP="00A023BD">
            <w:pPr>
              <w:jc w:val="right"/>
              <w:rPr>
                <w:color w:val="000000"/>
                <w:sz w:val="16"/>
                <w:szCs w:val="16"/>
                <w:lang w:eastAsia="en-NZ"/>
              </w:rPr>
            </w:pPr>
          </w:p>
        </w:tc>
        <w:tc>
          <w:tcPr>
            <w:tcW w:w="747" w:type="dxa"/>
            <w:shd w:val="clear" w:color="auto" w:fill="auto"/>
            <w:vAlign w:val="bottom"/>
          </w:tcPr>
          <w:p w14:paraId="27F0064B" w14:textId="77777777" w:rsidR="00A023BD" w:rsidRPr="00126434" w:rsidRDefault="00A023BD" w:rsidP="00A023BD">
            <w:pPr>
              <w:jc w:val="right"/>
              <w:rPr>
                <w:color w:val="000000"/>
                <w:sz w:val="16"/>
                <w:szCs w:val="16"/>
                <w:lang w:eastAsia="en-NZ"/>
              </w:rPr>
            </w:pPr>
          </w:p>
        </w:tc>
      </w:tr>
      <w:tr w:rsidR="00A023BD" w:rsidRPr="003F15C0" w14:paraId="3B18526E" w14:textId="77777777" w:rsidTr="00A023BD">
        <w:tc>
          <w:tcPr>
            <w:tcW w:w="5368" w:type="dxa"/>
            <w:vAlign w:val="bottom"/>
          </w:tcPr>
          <w:p w14:paraId="0FDDF183" w14:textId="77777777" w:rsidR="00A023BD" w:rsidRPr="006B29E4" w:rsidRDefault="00A023BD" w:rsidP="00A023BD">
            <w:pPr>
              <w:spacing w:before="20"/>
              <w:ind w:left="176"/>
              <w:jc w:val="both"/>
              <w:rPr>
                <w:sz w:val="16"/>
                <w:szCs w:val="16"/>
              </w:rPr>
            </w:pPr>
            <w:r w:rsidRPr="006B29E4">
              <w:rPr>
                <w:sz w:val="16"/>
                <w:szCs w:val="16"/>
              </w:rPr>
              <w:t>Secondary</w:t>
            </w:r>
            <w:r>
              <w:rPr>
                <w:sz w:val="16"/>
                <w:szCs w:val="16"/>
              </w:rPr>
              <w:t xml:space="preserve"> school qualification</w:t>
            </w:r>
          </w:p>
        </w:tc>
        <w:tc>
          <w:tcPr>
            <w:tcW w:w="1131" w:type="dxa"/>
            <w:shd w:val="clear" w:color="auto" w:fill="auto"/>
            <w:vAlign w:val="bottom"/>
          </w:tcPr>
          <w:p w14:paraId="5086EF8D" w14:textId="77777777" w:rsidR="00A023BD" w:rsidRPr="00126434" w:rsidRDefault="00A023BD" w:rsidP="00A023BD">
            <w:pPr>
              <w:jc w:val="right"/>
              <w:rPr>
                <w:color w:val="000000"/>
                <w:sz w:val="16"/>
                <w:szCs w:val="16"/>
                <w:lang w:eastAsia="en-NZ"/>
              </w:rPr>
            </w:pPr>
            <w:r w:rsidRPr="00126434">
              <w:rPr>
                <w:color w:val="000000"/>
                <w:sz w:val="16"/>
                <w:szCs w:val="16"/>
                <w:lang w:eastAsia="en-NZ"/>
              </w:rPr>
              <w:t>0.91</w:t>
            </w:r>
          </w:p>
        </w:tc>
        <w:tc>
          <w:tcPr>
            <w:tcW w:w="990" w:type="dxa"/>
            <w:shd w:val="clear" w:color="auto" w:fill="auto"/>
            <w:vAlign w:val="bottom"/>
          </w:tcPr>
          <w:p w14:paraId="63A0E091" w14:textId="77777777" w:rsidR="00A023BD" w:rsidRPr="00126434" w:rsidRDefault="00A023BD" w:rsidP="00A023BD">
            <w:pPr>
              <w:jc w:val="right"/>
              <w:rPr>
                <w:color w:val="000000"/>
                <w:sz w:val="16"/>
                <w:szCs w:val="16"/>
                <w:lang w:eastAsia="en-NZ"/>
              </w:rPr>
            </w:pPr>
            <w:r w:rsidRPr="00126434">
              <w:rPr>
                <w:color w:val="000000"/>
                <w:sz w:val="16"/>
                <w:szCs w:val="16"/>
                <w:lang w:eastAsia="en-NZ"/>
              </w:rPr>
              <w:t>(0.62, 1.34)</w:t>
            </w:r>
          </w:p>
        </w:tc>
        <w:tc>
          <w:tcPr>
            <w:tcW w:w="747" w:type="dxa"/>
            <w:shd w:val="clear" w:color="auto" w:fill="auto"/>
            <w:vAlign w:val="bottom"/>
          </w:tcPr>
          <w:p w14:paraId="2DD40D8B" w14:textId="77777777" w:rsidR="00A023BD" w:rsidRPr="00126434" w:rsidRDefault="00A023BD" w:rsidP="00A023BD">
            <w:pPr>
              <w:jc w:val="right"/>
              <w:rPr>
                <w:color w:val="000000"/>
                <w:sz w:val="16"/>
                <w:szCs w:val="16"/>
                <w:lang w:eastAsia="en-NZ"/>
              </w:rPr>
            </w:pPr>
          </w:p>
        </w:tc>
      </w:tr>
      <w:tr w:rsidR="00A023BD" w:rsidRPr="003F15C0" w14:paraId="29D7DCBA" w14:textId="77777777" w:rsidTr="00A023BD">
        <w:tc>
          <w:tcPr>
            <w:tcW w:w="5368" w:type="dxa"/>
            <w:vAlign w:val="bottom"/>
          </w:tcPr>
          <w:p w14:paraId="2F1F23FF" w14:textId="77777777" w:rsidR="00A023BD" w:rsidRPr="006B29E4" w:rsidRDefault="00A023BD" w:rsidP="00A023BD">
            <w:pPr>
              <w:spacing w:before="20"/>
              <w:ind w:left="176"/>
              <w:jc w:val="both"/>
              <w:rPr>
                <w:sz w:val="16"/>
                <w:szCs w:val="16"/>
              </w:rPr>
            </w:pPr>
            <w:r>
              <w:rPr>
                <w:sz w:val="16"/>
                <w:szCs w:val="16"/>
              </w:rPr>
              <w:t>Voc</w:t>
            </w:r>
            <w:r w:rsidRPr="006B29E4">
              <w:rPr>
                <w:sz w:val="16"/>
                <w:szCs w:val="16"/>
              </w:rPr>
              <w:t>ational or trade</w:t>
            </w:r>
            <w:r>
              <w:rPr>
                <w:sz w:val="16"/>
                <w:szCs w:val="16"/>
              </w:rPr>
              <w:t xml:space="preserve"> qualification</w:t>
            </w:r>
          </w:p>
        </w:tc>
        <w:tc>
          <w:tcPr>
            <w:tcW w:w="1131" w:type="dxa"/>
            <w:shd w:val="clear" w:color="auto" w:fill="auto"/>
            <w:vAlign w:val="bottom"/>
          </w:tcPr>
          <w:p w14:paraId="58B4C5E7" w14:textId="77777777" w:rsidR="00A023BD" w:rsidRPr="00126434" w:rsidRDefault="00A023BD" w:rsidP="00A023BD">
            <w:pPr>
              <w:jc w:val="right"/>
              <w:rPr>
                <w:color w:val="000000"/>
                <w:sz w:val="16"/>
                <w:szCs w:val="16"/>
                <w:lang w:eastAsia="en-NZ"/>
              </w:rPr>
            </w:pPr>
            <w:r w:rsidRPr="00126434">
              <w:rPr>
                <w:color w:val="000000"/>
                <w:sz w:val="16"/>
                <w:szCs w:val="16"/>
                <w:lang w:eastAsia="en-NZ"/>
              </w:rPr>
              <w:t>1.37</w:t>
            </w:r>
          </w:p>
        </w:tc>
        <w:tc>
          <w:tcPr>
            <w:tcW w:w="990" w:type="dxa"/>
            <w:shd w:val="clear" w:color="auto" w:fill="auto"/>
            <w:vAlign w:val="bottom"/>
          </w:tcPr>
          <w:p w14:paraId="2A1907B6" w14:textId="77777777" w:rsidR="00A023BD" w:rsidRPr="00126434" w:rsidRDefault="00A023BD" w:rsidP="00A023BD">
            <w:pPr>
              <w:jc w:val="right"/>
              <w:rPr>
                <w:color w:val="000000"/>
                <w:sz w:val="16"/>
                <w:szCs w:val="16"/>
                <w:lang w:eastAsia="en-NZ"/>
              </w:rPr>
            </w:pPr>
            <w:r w:rsidRPr="00126434">
              <w:rPr>
                <w:color w:val="000000"/>
                <w:sz w:val="16"/>
                <w:szCs w:val="16"/>
                <w:lang w:eastAsia="en-NZ"/>
              </w:rPr>
              <w:t>(0.93, 2.03)</w:t>
            </w:r>
          </w:p>
        </w:tc>
        <w:tc>
          <w:tcPr>
            <w:tcW w:w="747" w:type="dxa"/>
            <w:shd w:val="clear" w:color="auto" w:fill="auto"/>
            <w:vAlign w:val="bottom"/>
          </w:tcPr>
          <w:p w14:paraId="1D498DF6" w14:textId="77777777" w:rsidR="00A023BD" w:rsidRPr="00126434" w:rsidRDefault="00A023BD" w:rsidP="00A023BD">
            <w:pPr>
              <w:jc w:val="right"/>
              <w:rPr>
                <w:color w:val="000000"/>
                <w:sz w:val="16"/>
                <w:szCs w:val="16"/>
                <w:lang w:eastAsia="en-NZ"/>
              </w:rPr>
            </w:pPr>
          </w:p>
        </w:tc>
      </w:tr>
      <w:tr w:rsidR="00A023BD" w:rsidRPr="003F15C0" w14:paraId="5FD64E78" w14:textId="77777777" w:rsidTr="00326B55">
        <w:tc>
          <w:tcPr>
            <w:tcW w:w="5368" w:type="dxa"/>
            <w:vAlign w:val="bottom"/>
          </w:tcPr>
          <w:p w14:paraId="593B948D" w14:textId="77777777" w:rsidR="00A023BD" w:rsidRPr="006B29E4" w:rsidRDefault="00A023BD" w:rsidP="00A023BD">
            <w:pPr>
              <w:spacing w:before="20"/>
              <w:ind w:left="176"/>
              <w:jc w:val="both"/>
              <w:rPr>
                <w:sz w:val="16"/>
                <w:szCs w:val="16"/>
              </w:rPr>
            </w:pPr>
            <w:r w:rsidRPr="006B29E4">
              <w:rPr>
                <w:sz w:val="16"/>
                <w:szCs w:val="16"/>
              </w:rPr>
              <w:t>University</w:t>
            </w:r>
            <w:r>
              <w:rPr>
                <w:sz w:val="16"/>
                <w:szCs w:val="16"/>
              </w:rPr>
              <w:t xml:space="preserve"> degree or higher</w:t>
            </w:r>
          </w:p>
        </w:tc>
        <w:tc>
          <w:tcPr>
            <w:tcW w:w="1131" w:type="dxa"/>
            <w:shd w:val="clear" w:color="auto" w:fill="auto"/>
            <w:vAlign w:val="bottom"/>
          </w:tcPr>
          <w:p w14:paraId="5DBEBBEA" w14:textId="77777777" w:rsidR="00A023BD" w:rsidRPr="00126434" w:rsidRDefault="00A023BD" w:rsidP="00A023BD">
            <w:pPr>
              <w:jc w:val="right"/>
              <w:rPr>
                <w:color w:val="000000"/>
                <w:sz w:val="16"/>
                <w:szCs w:val="16"/>
                <w:lang w:eastAsia="en-NZ"/>
              </w:rPr>
            </w:pPr>
            <w:r w:rsidRPr="00126434">
              <w:rPr>
                <w:color w:val="000000"/>
                <w:sz w:val="16"/>
                <w:szCs w:val="16"/>
                <w:lang w:eastAsia="en-NZ"/>
              </w:rPr>
              <w:t>0.79</w:t>
            </w:r>
          </w:p>
        </w:tc>
        <w:tc>
          <w:tcPr>
            <w:tcW w:w="990" w:type="dxa"/>
            <w:shd w:val="clear" w:color="auto" w:fill="auto"/>
            <w:vAlign w:val="bottom"/>
          </w:tcPr>
          <w:p w14:paraId="793BDFEA" w14:textId="77777777" w:rsidR="00A023BD" w:rsidRPr="00126434" w:rsidRDefault="00A023BD" w:rsidP="00A023BD">
            <w:pPr>
              <w:jc w:val="right"/>
              <w:rPr>
                <w:color w:val="000000"/>
                <w:sz w:val="16"/>
                <w:szCs w:val="16"/>
                <w:lang w:eastAsia="en-NZ"/>
              </w:rPr>
            </w:pPr>
            <w:r w:rsidRPr="00126434">
              <w:rPr>
                <w:color w:val="000000"/>
                <w:sz w:val="16"/>
                <w:szCs w:val="16"/>
                <w:lang w:eastAsia="en-NZ"/>
              </w:rPr>
              <w:t>(0.55, 1.14)</w:t>
            </w:r>
          </w:p>
        </w:tc>
        <w:tc>
          <w:tcPr>
            <w:tcW w:w="747" w:type="dxa"/>
            <w:shd w:val="clear" w:color="auto" w:fill="auto"/>
            <w:vAlign w:val="bottom"/>
          </w:tcPr>
          <w:p w14:paraId="090A0108" w14:textId="47A6EDC5" w:rsidR="00A023BD" w:rsidRPr="00126434" w:rsidRDefault="002C702E" w:rsidP="00A023BD">
            <w:pPr>
              <w:jc w:val="right"/>
              <w:rPr>
                <w:color w:val="000000"/>
                <w:sz w:val="16"/>
                <w:szCs w:val="16"/>
                <w:lang w:eastAsia="en-NZ"/>
              </w:rPr>
            </w:pPr>
            <w:r>
              <w:rPr>
                <w:color w:val="000000"/>
                <w:sz w:val="16"/>
                <w:szCs w:val="16"/>
                <w:lang w:eastAsia="en-NZ"/>
              </w:rPr>
              <w:t>0.01</w:t>
            </w:r>
          </w:p>
        </w:tc>
      </w:tr>
      <w:tr w:rsidR="00A023BD" w:rsidRPr="003F15C0" w14:paraId="79EEFCE2" w14:textId="77777777" w:rsidTr="00A023BD">
        <w:tc>
          <w:tcPr>
            <w:tcW w:w="5368" w:type="dxa"/>
          </w:tcPr>
          <w:p w14:paraId="3B8D4522" w14:textId="77777777" w:rsidR="00A023BD" w:rsidRPr="00D24C70" w:rsidRDefault="00A023BD" w:rsidP="00A023BD">
            <w:pPr>
              <w:keepNext/>
              <w:spacing w:before="20"/>
              <w:jc w:val="both"/>
              <w:rPr>
                <w:b/>
                <w:sz w:val="16"/>
                <w:szCs w:val="16"/>
              </w:rPr>
            </w:pPr>
            <w:r w:rsidRPr="00D24C70">
              <w:rPr>
                <w:b/>
                <w:sz w:val="16"/>
                <w:szCs w:val="16"/>
              </w:rPr>
              <w:t>Annual personal income</w:t>
            </w:r>
          </w:p>
        </w:tc>
        <w:tc>
          <w:tcPr>
            <w:tcW w:w="1131" w:type="dxa"/>
            <w:shd w:val="clear" w:color="auto" w:fill="auto"/>
            <w:vAlign w:val="center"/>
          </w:tcPr>
          <w:p w14:paraId="35A206A3" w14:textId="77777777" w:rsidR="00A023BD" w:rsidRPr="008A1AFE" w:rsidRDefault="00A023BD" w:rsidP="00A023BD">
            <w:pPr>
              <w:keepNext/>
              <w:jc w:val="right"/>
              <w:rPr>
                <w:color w:val="000000"/>
                <w:sz w:val="16"/>
                <w:szCs w:val="20"/>
                <w:lang w:eastAsia="en-NZ"/>
              </w:rPr>
            </w:pPr>
          </w:p>
        </w:tc>
        <w:tc>
          <w:tcPr>
            <w:tcW w:w="990" w:type="dxa"/>
            <w:shd w:val="clear" w:color="auto" w:fill="auto"/>
            <w:vAlign w:val="center"/>
          </w:tcPr>
          <w:p w14:paraId="23E57A87" w14:textId="77777777" w:rsidR="00A023BD" w:rsidRPr="008A1AFE" w:rsidRDefault="00A023BD" w:rsidP="00A023BD">
            <w:pPr>
              <w:keepNext/>
              <w:jc w:val="right"/>
              <w:rPr>
                <w:color w:val="000000"/>
                <w:sz w:val="16"/>
                <w:szCs w:val="20"/>
                <w:lang w:eastAsia="en-NZ"/>
              </w:rPr>
            </w:pPr>
          </w:p>
        </w:tc>
        <w:tc>
          <w:tcPr>
            <w:tcW w:w="747" w:type="dxa"/>
            <w:shd w:val="clear" w:color="auto" w:fill="auto"/>
            <w:vAlign w:val="center"/>
          </w:tcPr>
          <w:p w14:paraId="359A4251" w14:textId="77777777" w:rsidR="00A023BD" w:rsidRPr="008A1AFE" w:rsidRDefault="00A023BD" w:rsidP="00A023BD">
            <w:pPr>
              <w:keepNext/>
              <w:jc w:val="right"/>
              <w:rPr>
                <w:color w:val="000000"/>
                <w:sz w:val="16"/>
                <w:szCs w:val="20"/>
                <w:lang w:eastAsia="en-NZ"/>
              </w:rPr>
            </w:pPr>
          </w:p>
        </w:tc>
      </w:tr>
      <w:tr w:rsidR="00A023BD" w:rsidRPr="003F15C0" w14:paraId="4AA6B925" w14:textId="77777777" w:rsidTr="00A023BD">
        <w:tc>
          <w:tcPr>
            <w:tcW w:w="5368" w:type="dxa"/>
            <w:vAlign w:val="bottom"/>
          </w:tcPr>
          <w:p w14:paraId="606853AD" w14:textId="77777777" w:rsidR="00A023BD" w:rsidRPr="007C6C78" w:rsidRDefault="00A023BD" w:rsidP="00A023BD">
            <w:pPr>
              <w:keepNext/>
              <w:spacing w:before="20"/>
              <w:ind w:left="176"/>
              <w:jc w:val="both"/>
              <w:rPr>
                <w:sz w:val="16"/>
                <w:szCs w:val="16"/>
              </w:rPr>
            </w:pPr>
            <w:r>
              <w:rPr>
                <w:sz w:val="16"/>
                <w:szCs w:val="16"/>
              </w:rPr>
              <w:t>≤</w:t>
            </w:r>
            <w:r w:rsidRPr="007C6C78">
              <w:rPr>
                <w:sz w:val="16"/>
                <w:szCs w:val="16"/>
              </w:rPr>
              <w:t>$20</w:t>
            </w:r>
            <w:r>
              <w:rPr>
                <w:sz w:val="16"/>
                <w:szCs w:val="16"/>
              </w:rPr>
              <w:t>,000</w:t>
            </w:r>
          </w:p>
        </w:tc>
        <w:tc>
          <w:tcPr>
            <w:tcW w:w="1131" w:type="dxa"/>
            <w:shd w:val="clear" w:color="auto" w:fill="auto"/>
            <w:vAlign w:val="bottom"/>
          </w:tcPr>
          <w:p w14:paraId="1D5EEB24"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1.00</w:t>
            </w:r>
          </w:p>
        </w:tc>
        <w:tc>
          <w:tcPr>
            <w:tcW w:w="990" w:type="dxa"/>
            <w:shd w:val="clear" w:color="auto" w:fill="auto"/>
            <w:vAlign w:val="bottom"/>
          </w:tcPr>
          <w:p w14:paraId="5D6F8F01" w14:textId="77777777" w:rsidR="00A023BD" w:rsidRPr="00126434" w:rsidRDefault="00A023BD" w:rsidP="00A023BD">
            <w:pPr>
              <w:keepNext/>
              <w:jc w:val="right"/>
              <w:rPr>
                <w:color w:val="000000"/>
                <w:sz w:val="16"/>
                <w:szCs w:val="16"/>
                <w:lang w:eastAsia="en-NZ"/>
              </w:rPr>
            </w:pPr>
          </w:p>
        </w:tc>
        <w:tc>
          <w:tcPr>
            <w:tcW w:w="747" w:type="dxa"/>
            <w:shd w:val="clear" w:color="auto" w:fill="auto"/>
            <w:vAlign w:val="bottom"/>
          </w:tcPr>
          <w:p w14:paraId="1BCE0BC8" w14:textId="77777777" w:rsidR="00A023BD" w:rsidRPr="00126434" w:rsidRDefault="00A023BD" w:rsidP="00A023BD">
            <w:pPr>
              <w:keepNext/>
              <w:jc w:val="right"/>
              <w:rPr>
                <w:color w:val="000000"/>
                <w:sz w:val="16"/>
                <w:szCs w:val="16"/>
                <w:lang w:eastAsia="en-NZ"/>
              </w:rPr>
            </w:pPr>
          </w:p>
        </w:tc>
      </w:tr>
      <w:tr w:rsidR="00A023BD" w:rsidRPr="003F15C0" w14:paraId="35243AFD" w14:textId="77777777" w:rsidTr="00A023BD">
        <w:tc>
          <w:tcPr>
            <w:tcW w:w="5368" w:type="dxa"/>
            <w:vAlign w:val="bottom"/>
          </w:tcPr>
          <w:p w14:paraId="791990D6" w14:textId="77777777" w:rsidR="00A023BD" w:rsidRPr="007C6C78" w:rsidRDefault="00A023BD" w:rsidP="00A023BD">
            <w:pPr>
              <w:keepNext/>
              <w:spacing w:before="20"/>
              <w:ind w:left="176"/>
              <w:jc w:val="both"/>
              <w:rPr>
                <w:sz w:val="16"/>
                <w:szCs w:val="16"/>
              </w:rPr>
            </w:pPr>
            <w:r>
              <w:rPr>
                <w:sz w:val="16"/>
                <w:szCs w:val="16"/>
              </w:rPr>
              <w:t>$</w:t>
            </w:r>
            <w:r w:rsidRPr="007C6C78">
              <w:rPr>
                <w:sz w:val="16"/>
                <w:szCs w:val="16"/>
              </w:rPr>
              <w:t>20</w:t>
            </w:r>
            <w:r>
              <w:rPr>
                <w:sz w:val="16"/>
                <w:szCs w:val="16"/>
              </w:rPr>
              <w:t xml:space="preserve">,001 </w:t>
            </w:r>
            <w:r w:rsidRPr="007C6C78">
              <w:rPr>
                <w:sz w:val="16"/>
                <w:szCs w:val="16"/>
              </w:rPr>
              <w:t>-</w:t>
            </w:r>
            <w:r>
              <w:rPr>
                <w:sz w:val="16"/>
                <w:szCs w:val="16"/>
              </w:rPr>
              <w:t xml:space="preserve"> $</w:t>
            </w:r>
            <w:r w:rsidRPr="007C6C78">
              <w:rPr>
                <w:sz w:val="16"/>
                <w:szCs w:val="16"/>
              </w:rPr>
              <w:t>40</w:t>
            </w:r>
            <w:r>
              <w:rPr>
                <w:sz w:val="16"/>
                <w:szCs w:val="16"/>
              </w:rPr>
              <w:t>,000</w:t>
            </w:r>
          </w:p>
        </w:tc>
        <w:tc>
          <w:tcPr>
            <w:tcW w:w="1131" w:type="dxa"/>
            <w:shd w:val="clear" w:color="auto" w:fill="auto"/>
            <w:vAlign w:val="bottom"/>
          </w:tcPr>
          <w:p w14:paraId="64D65E1F"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1.55</w:t>
            </w:r>
          </w:p>
        </w:tc>
        <w:tc>
          <w:tcPr>
            <w:tcW w:w="990" w:type="dxa"/>
            <w:shd w:val="clear" w:color="auto" w:fill="auto"/>
            <w:vAlign w:val="bottom"/>
          </w:tcPr>
          <w:p w14:paraId="0EE5B92F"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(1.26, 1.90)</w:t>
            </w:r>
          </w:p>
        </w:tc>
        <w:tc>
          <w:tcPr>
            <w:tcW w:w="747" w:type="dxa"/>
            <w:shd w:val="clear" w:color="auto" w:fill="auto"/>
            <w:vAlign w:val="bottom"/>
          </w:tcPr>
          <w:p w14:paraId="1DFE0576" w14:textId="77777777" w:rsidR="00A023BD" w:rsidRPr="00126434" w:rsidRDefault="00A023BD" w:rsidP="00A023BD">
            <w:pPr>
              <w:keepNext/>
              <w:jc w:val="right"/>
              <w:rPr>
                <w:color w:val="000000"/>
                <w:sz w:val="16"/>
                <w:szCs w:val="16"/>
                <w:lang w:eastAsia="en-NZ"/>
              </w:rPr>
            </w:pPr>
          </w:p>
        </w:tc>
      </w:tr>
      <w:tr w:rsidR="00A023BD" w:rsidRPr="003F15C0" w14:paraId="3C22C5EE" w14:textId="77777777" w:rsidTr="00A023BD">
        <w:tc>
          <w:tcPr>
            <w:tcW w:w="5368" w:type="dxa"/>
            <w:vAlign w:val="bottom"/>
          </w:tcPr>
          <w:p w14:paraId="49F7BB73" w14:textId="77777777" w:rsidR="00A023BD" w:rsidRPr="007C6C78" w:rsidRDefault="00A023BD" w:rsidP="00A023BD">
            <w:pPr>
              <w:keepNext/>
              <w:spacing w:before="20"/>
              <w:ind w:left="176"/>
              <w:jc w:val="both"/>
              <w:rPr>
                <w:sz w:val="16"/>
                <w:szCs w:val="16"/>
              </w:rPr>
            </w:pPr>
            <w:r>
              <w:rPr>
                <w:sz w:val="16"/>
                <w:szCs w:val="16"/>
              </w:rPr>
              <w:t>$</w:t>
            </w:r>
            <w:r w:rsidRPr="007C6C78">
              <w:rPr>
                <w:sz w:val="16"/>
                <w:szCs w:val="16"/>
              </w:rPr>
              <w:t>40</w:t>
            </w:r>
            <w:r>
              <w:rPr>
                <w:sz w:val="16"/>
                <w:szCs w:val="16"/>
              </w:rPr>
              <w:t xml:space="preserve">,001 </w:t>
            </w:r>
            <w:r w:rsidRPr="007C6C78">
              <w:rPr>
                <w:sz w:val="16"/>
                <w:szCs w:val="16"/>
              </w:rPr>
              <w:t>-</w:t>
            </w:r>
            <w:r>
              <w:rPr>
                <w:sz w:val="16"/>
                <w:szCs w:val="16"/>
              </w:rPr>
              <w:t xml:space="preserve"> $</w:t>
            </w:r>
            <w:r w:rsidRPr="007C6C78">
              <w:rPr>
                <w:sz w:val="16"/>
                <w:szCs w:val="16"/>
              </w:rPr>
              <w:t>60</w:t>
            </w:r>
            <w:r>
              <w:rPr>
                <w:sz w:val="16"/>
                <w:szCs w:val="16"/>
              </w:rPr>
              <w:t>,000</w:t>
            </w:r>
          </w:p>
        </w:tc>
        <w:tc>
          <w:tcPr>
            <w:tcW w:w="1131" w:type="dxa"/>
            <w:shd w:val="clear" w:color="auto" w:fill="auto"/>
            <w:vAlign w:val="bottom"/>
          </w:tcPr>
          <w:p w14:paraId="3FDF05D1"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2.30</w:t>
            </w:r>
          </w:p>
        </w:tc>
        <w:tc>
          <w:tcPr>
            <w:tcW w:w="990" w:type="dxa"/>
            <w:shd w:val="clear" w:color="auto" w:fill="auto"/>
            <w:vAlign w:val="bottom"/>
          </w:tcPr>
          <w:p w14:paraId="69EEF100"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(1.77, 2.99)</w:t>
            </w:r>
          </w:p>
        </w:tc>
        <w:tc>
          <w:tcPr>
            <w:tcW w:w="747" w:type="dxa"/>
            <w:shd w:val="clear" w:color="auto" w:fill="auto"/>
            <w:vAlign w:val="bottom"/>
          </w:tcPr>
          <w:p w14:paraId="0EA0712F" w14:textId="77777777" w:rsidR="00A023BD" w:rsidRPr="00126434" w:rsidRDefault="00A023BD" w:rsidP="00A023BD">
            <w:pPr>
              <w:keepNext/>
              <w:jc w:val="right"/>
              <w:rPr>
                <w:color w:val="000000"/>
                <w:sz w:val="16"/>
                <w:szCs w:val="16"/>
                <w:lang w:eastAsia="en-NZ"/>
              </w:rPr>
            </w:pPr>
          </w:p>
        </w:tc>
      </w:tr>
      <w:tr w:rsidR="00A023BD" w:rsidRPr="003F15C0" w14:paraId="07EE588F" w14:textId="77777777" w:rsidTr="00326B55">
        <w:tc>
          <w:tcPr>
            <w:tcW w:w="5368" w:type="dxa"/>
            <w:vAlign w:val="bottom"/>
          </w:tcPr>
          <w:p w14:paraId="1D101B99" w14:textId="77777777" w:rsidR="00A023BD" w:rsidRPr="007C6C78" w:rsidRDefault="00A023BD" w:rsidP="00A023BD">
            <w:pPr>
              <w:keepNext/>
              <w:spacing w:before="20"/>
              <w:ind w:left="176"/>
              <w:jc w:val="both"/>
              <w:rPr>
                <w:sz w:val="16"/>
                <w:szCs w:val="16"/>
              </w:rPr>
            </w:pPr>
            <w:r w:rsidRPr="007C6C78">
              <w:rPr>
                <w:sz w:val="16"/>
                <w:szCs w:val="16"/>
              </w:rPr>
              <w:t>&gt;</w:t>
            </w:r>
            <w:r>
              <w:rPr>
                <w:sz w:val="16"/>
                <w:szCs w:val="16"/>
              </w:rPr>
              <w:t>$</w:t>
            </w:r>
            <w:r w:rsidRPr="007C6C78">
              <w:rPr>
                <w:sz w:val="16"/>
                <w:szCs w:val="16"/>
              </w:rPr>
              <w:t>60</w:t>
            </w:r>
            <w:r>
              <w:rPr>
                <w:sz w:val="16"/>
                <w:szCs w:val="16"/>
              </w:rPr>
              <w:t>,000</w:t>
            </w:r>
          </w:p>
        </w:tc>
        <w:tc>
          <w:tcPr>
            <w:tcW w:w="1131" w:type="dxa"/>
            <w:shd w:val="clear" w:color="auto" w:fill="auto"/>
            <w:vAlign w:val="bottom"/>
          </w:tcPr>
          <w:p w14:paraId="0DFF71C9"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2.44</w:t>
            </w:r>
          </w:p>
        </w:tc>
        <w:tc>
          <w:tcPr>
            <w:tcW w:w="990" w:type="dxa"/>
            <w:shd w:val="clear" w:color="auto" w:fill="auto"/>
            <w:vAlign w:val="bottom"/>
          </w:tcPr>
          <w:p w14:paraId="1BBCDE26"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(1.84, 3.25)</w:t>
            </w:r>
          </w:p>
        </w:tc>
        <w:tc>
          <w:tcPr>
            <w:tcW w:w="747" w:type="dxa"/>
            <w:shd w:val="clear" w:color="auto" w:fill="auto"/>
            <w:vAlign w:val="bottom"/>
          </w:tcPr>
          <w:p w14:paraId="37A31F23" w14:textId="77777777" w:rsidR="00A023BD" w:rsidRPr="00126434" w:rsidRDefault="00A023BD" w:rsidP="00A023BD">
            <w:pPr>
              <w:keepNext/>
              <w:jc w:val="right"/>
              <w:rPr>
                <w:color w:val="000000"/>
                <w:sz w:val="16"/>
                <w:szCs w:val="16"/>
                <w:lang w:eastAsia="en-NZ"/>
              </w:rPr>
            </w:pPr>
            <w:r w:rsidRPr="00126434">
              <w:rPr>
                <w:color w:val="000000"/>
                <w:sz w:val="16"/>
                <w:szCs w:val="16"/>
                <w:lang w:eastAsia="en-NZ"/>
              </w:rPr>
              <w:t>&lt;</w:t>
            </w:r>
            <w:r>
              <w:rPr>
                <w:color w:val="000000"/>
                <w:sz w:val="16"/>
                <w:szCs w:val="16"/>
                <w:lang w:eastAsia="en-NZ"/>
              </w:rPr>
              <w:t>0</w:t>
            </w:r>
            <w:r w:rsidRPr="00126434">
              <w:rPr>
                <w:color w:val="000000"/>
                <w:sz w:val="16"/>
                <w:szCs w:val="16"/>
                <w:lang w:eastAsia="en-NZ"/>
              </w:rPr>
              <w:t>.0001</w:t>
            </w:r>
          </w:p>
        </w:tc>
      </w:tr>
      <w:tr w:rsidR="00A023BD" w:rsidRPr="003F15C0" w14:paraId="38CC8B35" w14:textId="77777777" w:rsidTr="00A023BD">
        <w:tc>
          <w:tcPr>
            <w:tcW w:w="5368" w:type="dxa"/>
          </w:tcPr>
          <w:p w14:paraId="5DC82D6E" w14:textId="77777777" w:rsidR="00A023BD" w:rsidRPr="007C6C78" w:rsidRDefault="00A023BD" w:rsidP="005B7477">
            <w:pPr>
              <w:spacing w:before="20"/>
              <w:jc w:val="both"/>
              <w:rPr>
                <w:b/>
                <w:sz w:val="16"/>
                <w:szCs w:val="16"/>
              </w:rPr>
            </w:pPr>
            <w:r w:rsidRPr="007C6C78">
              <w:rPr>
                <w:b/>
                <w:sz w:val="16"/>
                <w:szCs w:val="16"/>
              </w:rPr>
              <w:t xml:space="preserve">Number of </w:t>
            </w:r>
            <w:r w:rsidR="005B7477">
              <w:rPr>
                <w:b/>
                <w:sz w:val="16"/>
                <w:szCs w:val="16"/>
              </w:rPr>
              <w:t>major</w:t>
            </w:r>
            <w:r w:rsidRPr="007C6C78">
              <w:rPr>
                <w:b/>
                <w:sz w:val="16"/>
                <w:szCs w:val="16"/>
              </w:rPr>
              <w:t xml:space="preserve"> life events</w:t>
            </w:r>
          </w:p>
        </w:tc>
        <w:tc>
          <w:tcPr>
            <w:tcW w:w="1131" w:type="dxa"/>
            <w:shd w:val="clear" w:color="auto" w:fill="auto"/>
            <w:vAlign w:val="center"/>
          </w:tcPr>
          <w:p w14:paraId="6383B9BD" w14:textId="77777777" w:rsidR="00A023BD" w:rsidRPr="00230801" w:rsidRDefault="00A023BD" w:rsidP="00A023BD">
            <w:pPr>
              <w:jc w:val="right"/>
              <w:rPr>
                <w:color w:val="000000"/>
                <w:sz w:val="16"/>
                <w:szCs w:val="16"/>
                <w:lang w:eastAsia="en-NZ"/>
              </w:rPr>
            </w:pPr>
          </w:p>
        </w:tc>
        <w:tc>
          <w:tcPr>
            <w:tcW w:w="990" w:type="dxa"/>
            <w:shd w:val="clear" w:color="auto" w:fill="auto"/>
            <w:vAlign w:val="center"/>
          </w:tcPr>
          <w:p w14:paraId="4F796D43" w14:textId="77777777" w:rsidR="00A023BD" w:rsidRPr="00230801" w:rsidRDefault="00A023BD" w:rsidP="00A023BD">
            <w:pPr>
              <w:jc w:val="right"/>
              <w:rPr>
                <w:color w:val="000000"/>
                <w:sz w:val="16"/>
                <w:szCs w:val="16"/>
                <w:lang w:eastAsia="en-NZ"/>
              </w:rPr>
            </w:pPr>
          </w:p>
        </w:tc>
        <w:tc>
          <w:tcPr>
            <w:tcW w:w="747" w:type="dxa"/>
            <w:shd w:val="clear" w:color="auto" w:fill="auto"/>
            <w:vAlign w:val="center"/>
          </w:tcPr>
          <w:p w14:paraId="006188DF" w14:textId="77777777" w:rsidR="00A023BD" w:rsidRPr="00230801" w:rsidRDefault="00A023BD" w:rsidP="00A023BD">
            <w:pPr>
              <w:jc w:val="right"/>
              <w:rPr>
                <w:color w:val="000000"/>
                <w:sz w:val="16"/>
                <w:szCs w:val="16"/>
                <w:lang w:eastAsia="en-NZ"/>
              </w:rPr>
            </w:pPr>
          </w:p>
        </w:tc>
      </w:tr>
      <w:tr w:rsidR="00A023BD" w:rsidRPr="003F15C0" w14:paraId="15D4E0C4" w14:textId="77777777" w:rsidTr="00A023BD">
        <w:tc>
          <w:tcPr>
            <w:tcW w:w="5368" w:type="dxa"/>
            <w:shd w:val="clear" w:color="auto" w:fill="auto"/>
            <w:vAlign w:val="bottom"/>
          </w:tcPr>
          <w:p w14:paraId="1A0552F0" w14:textId="77777777" w:rsidR="00A023BD" w:rsidRPr="007C6C78" w:rsidRDefault="00A023BD" w:rsidP="00A023BD">
            <w:pPr>
              <w:spacing w:before="20"/>
              <w:ind w:left="176"/>
              <w:jc w:val="both"/>
              <w:rPr>
                <w:sz w:val="16"/>
                <w:szCs w:val="16"/>
              </w:rPr>
            </w:pPr>
            <w:r w:rsidRPr="007C6C78">
              <w:rPr>
                <w:sz w:val="16"/>
                <w:szCs w:val="16"/>
              </w:rPr>
              <w:t>0</w:t>
            </w:r>
          </w:p>
        </w:tc>
        <w:tc>
          <w:tcPr>
            <w:tcW w:w="1131" w:type="dxa"/>
            <w:shd w:val="clear" w:color="auto" w:fill="auto"/>
            <w:vAlign w:val="bottom"/>
          </w:tcPr>
          <w:p w14:paraId="594B8B84" w14:textId="77777777" w:rsidR="00A023BD" w:rsidRPr="006D35B5" w:rsidRDefault="00A023BD" w:rsidP="00A023BD">
            <w:pPr>
              <w:keepNext/>
              <w:jc w:val="right"/>
              <w:rPr>
                <w:color w:val="000000"/>
                <w:sz w:val="16"/>
                <w:szCs w:val="16"/>
                <w:lang w:eastAsia="en-NZ"/>
              </w:rPr>
            </w:pPr>
            <w:r w:rsidRPr="006D35B5">
              <w:rPr>
                <w:color w:val="000000"/>
                <w:sz w:val="16"/>
                <w:szCs w:val="16"/>
                <w:lang w:eastAsia="en-NZ"/>
              </w:rPr>
              <w:t>1.00</w:t>
            </w:r>
          </w:p>
        </w:tc>
        <w:tc>
          <w:tcPr>
            <w:tcW w:w="990" w:type="dxa"/>
            <w:shd w:val="clear" w:color="auto" w:fill="auto"/>
            <w:vAlign w:val="bottom"/>
          </w:tcPr>
          <w:p w14:paraId="423427FC" w14:textId="77777777" w:rsidR="00A023BD" w:rsidRPr="006D35B5" w:rsidRDefault="00A023BD" w:rsidP="00A023BD">
            <w:pPr>
              <w:keepNext/>
              <w:jc w:val="right"/>
              <w:rPr>
                <w:color w:val="000000"/>
                <w:sz w:val="16"/>
                <w:szCs w:val="16"/>
                <w:lang w:eastAsia="en-NZ"/>
              </w:rPr>
            </w:pPr>
          </w:p>
        </w:tc>
        <w:tc>
          <w:tcPr>
            <w:tcW w:w="747" w:type="dxa"/>
            <w:shd w:val="clear" w:color="auto" w:fill="auto"/>
            <w:vAlign w:val="bottom"/>
          </w:tcPr>
          <w:p w14:paraId="65EED100" w14:textId="77777777" w:rsidR="00A023BD" w:rsidRPr="006D35B5" w:rsidRDefault="00A023BD" w:rsidP="00A023BD">
            <w:pPr>
              <w:keepNext/>
              <w:jc w:val="right"/>
              <w:rPr>
                <w:color w:val="000000"/>
                <w:sz w:val="16"/>
                <w:szCs w:val="16"/>
                <w:lang w:eastAsia="en-NZ"/>
              </w:rPr>
            </w:pPr>
          </w:p>
        </w:tc>
      </w:tr>
      <w:tr w:rsidR="00A023BD" w:rsidRPr="003F15C0" w14:paraId="6CB65BC0" w14:textId="77777777" w:rsidTr="00A023BD">
        <w:tc>
          <w:tcPr>
            <w:tcW w:w="5368" w:type="dxa"/>
            <w:shd w:val="clear" w:color="auto" w:fill="auto"/>
            <w:vAlign w:val="bottom"/>
          </w:tcPr>
          <w:p w14:paraId="22BF8B08" w14:textId="77777777" w:rsidR="00A023BD" w:rsidRPr="007C6C78" w:rsidRDefault="00A023BD" w:rsidP="00A023BD">
            <w:pPr>
              <w:spacing w:before="20"/>
              <w:ind w:left="176"/>
              <w:jc w:val="both"/>
              <w:rPr>
                <w:sz w:val="16"/>
                <w:szCs w:val="16"/>
              </w:rPr>
            </w:pPr>
            <w:r w:rsidRPr="007C6C78">
              <w:rPr>
                <w:sz w:val="16"/>
                <w:szCs w:val="16"/>
              </w:rPr>
              <w:t>1</w:t>
            </w:r>
          </w:p>
        </w:tc>
        <w:tc>
          <w:tcPr>
            <w:tcW w:w="1131" w:type="dxa"/>
            <w:shd w:val="clear" w:color="auto" w:fill="auto"/>
            <w:vAlign w:val="bottom"/>
          </w:tcPr>
          <w:p w14:paraId="294584DB" w14:textId="77777777" w:rsidR="00A023BD" w:rsidRPr="006D35B5" w:rsidRDefault="00A023BD" w:rsidP="00A023BD">
            <w:pPr>
              <w:keepNext/>
              <w:jc w:val="right"/>
              <w:rPr>
                <w:color w:val="000000"/>
                <w:sz w:val="16"/>
                <w:szCs w:val="16"/>
                <w:lang w:eastAsia="en-NZ"/>
              </w:rPr>
            </w:pPr>
            <w:r w:rsidRPr="006D35B5">
              <w:rPr>
                <w:color w:val="000000"/>
                <w:sz w:val="16"/>
                <w:szCs w:val="16"/>
                <w:lang w:eastAsia="en-NZ"/>
              </w:rPr>
              <w:t>1.02</w:t>
            </w:r>
          </w:p>
        </w:tc>
        <w:tc>
          <w:tcPr>
            <w:tcW w:w="990" w:type="dxa"/>
            <w:shd w:val="clear" w:color="auto" w:fill="auto"/>
            <w:vAlign w:val="bottom"/>
          </w:tcPr>
          <w:p w14:paraId="6B067BF4" w14:textId="77777777" w:rsidR="00A023BD" w:rsidRPr="006D35B5" w:rsidRDefault="00A023BD" w:rsidP="00A023BD">
            <w:pPr>
              <w:keepNext/>
              <w:jc w:val="right"/>
              <w:rPr>
                <w:color w:val="000000"/>
                <w:sz w:val="16"/>
                <w:szCs w:val="16"/>
                <w:lang w:eastAsia="en-NZ"/>
              </w:rPr>
            </w:pPr>
            <w:r w:rsidRPr="006D35B5">
              <w:rPr>
                <w:color w:val="000000"/>
                <w:sz w:val="16"/>
                <w:szCs w:val="16"/>
                <w:lang w:eastAsia="en-NZ"/>
              </w:rPr>
              <w:t>(0.85, 1.22)</w:t>
            </w:r>
          </w:p>
        </w:tc>
        <w:tc>
          <w:tcPr>
            <w:tcW w:w="747" w:type="dxa"/>
            <w:shd w:val="clear" w:color="auto" w:fill="auto"/>
            <w:vAlign w:val="bottom"/>
          </w:tcPr>
          <w:p w14:paraId="72CE3AE5" w14:textId="77777777" w:rsidR="00A023BD" w:rsidRPr="006D35B5" w:rsidRDefault="00A023BD" w:rsidP="00A023BD">
            <w:pPr>
              <w:keepNext/>
              <w:jc w:val="right"/>
              <w:rPr>
                <w:color w:val="000000"/>
                <w:sz w:val="16"/>
                <w:szCs w:val="16"/>
                <w:lang w:eastAsia="en-NZ"/>
              </w:rPr>
            </w:pPr>
          </w:p>
        </w:tc>
      </w:tr>
      <w:tr w:rsidR="00A023BD" w:rsidRPr="003F15C0" w14:paraId="5808A49F" w14:textId="77777777" w:rsidTr="00A023BD">
        <w:tc>
          <w:tcPr>
            <w:tcW w:w="5368" w:type="dxa"/>
            <w:shd w:val="clear" w:color="auto" w:fill="auto"/>
            <w:vAlign w:val="bottom"/>
          </w:tcPr>
          <w:p w14:paraId="2AEAB8A2" w14:textId="77777777" w:rsidR="00A023BD" w:rsidRPr="007C6C78" w:rsidRDefault="00A023BD" w:rsidP="00A023BD">
            <w:pPr>
              <w:spacing w:before="20"/>
              <w:ind w:left="176"/>
              <w:jc w:val="both"/>
              <w:rPr>
                <w:sz w:val="16"/>
                <w:szCs w:val="16"/>
              </w:rPr>
            </w:pPr>
            <w:r w:rsidRPr="007C6C78">
              <w:rPr>
                <w:sz w:val="16"/>
                <w:szCs w:val="16"/>
              </w:rPr>
              <w:t>2</w:t>
            </w:r>
          </w:p>
        </w:tc>
        <w:tc>
          <w:tcPr>
            <w:tcW w:w="1131" w:type="dxa"/>
            <w:shd w:val="clear" w:color="auto" w:fill="auto"/>
            <w:vAlign w:val="bottom"/>
          </w:tcPr>
          <w:p w14:paraId="09B9D747" w14:textId="77777777" w:rsidR="00A023BD" w:rsidRPr="006D35B5" w:rsidRDefault="00A023BD" w:rsidP="00A023BD">
            <w:pPr>
              <w:keepNext/>
              <w:jc w:val="right"/>
              <w:rPr>
                <w:color w:val="000000"/>
                <w:sz w:val="16"/>
                <w:szCs w:val="16"/>
                <w:lang w:eastAsia="en-NZ"/>
              </w:rPr>
            </w:pPr>
            <w:r w:rsidRPr="006D35B5">
              <w:rPr>
                <w:color w:val="000000"/>
                <w:sz w:val="16"/>
                <w:szCs w:val="16"/>
                <w:lang w:eastAsia="en-NZ"/>
              </w:rPr>
              <w:t>1.04</w:t>
            </w:r>
          </w:p>
        </w:tc>
        <w:tc>
          <w:tcPr>
            <w:tcW w:w="990" w:type="dxa"/>
            <w:shd w:val="clear" w:color="auto" w:fill="auto"/>
            <w:vAlign w:val="bottom"/>
          </w:tcPr>
          <w:p w14:paraId="398469A7" w14:textId="77777777" w:rsidR="00A023BD" w:rsidRPr="006D35B5" w:rsidRDefault="00A023BD" w:rsidP="00A023BD">
            <w:pPr>
              <w:keepNext/>
              <w:jc w:val="right"/>
              <w:rPr>
                <w:color w:val="000000"/>
                <w:sz w:val="16"/>
                <w:szCs w:val="16"/>
                <w:lang w:eastAsia="en-NZ"/>
              </w:rPr>
            </w:pPr>
            <w:r w:rsidRPr="006D35B5">
              <w:rPr>
                <w:color w:val="000000"/>
                <w:sz w:val="16"/>
                <w:szCs w:val="16"/>
                <w:lang w:eastAsia="en-NZ"/>
              </w:rPr>
              <w:t>(0.84, 1.28)</w:t>
            </w:r>
          </w:p>
        </w:tc>
        <w:tc>
          <w:tcPr>
            <w:tcW w:w="747" w:type="dxa"/>
            <w:shd w:val="clear" w:color="auto" w:fill="auto"/>
            <w:vAlign w:val="bottom"/>
          </w:tcPr>
          <w:p w14:paraId="27D6019D" w14:textId="77777777" w:rsidR="00A023BD" w:rsidRPr="006D35B5" w:rsidRDefault="00A023BD" w:rsidP="00A023BD">
            <w:pPr>
              <w:keepNext/>
              <w:jc w:val="right"/>
              <w:rPr>
                <w:color w:val="000000"/>
                <w:sz w:val="16"/>
                <w:szCs w:val="16"/>
                <w:lang w:eastAsia="en-NZ"/>
              </w:rPr>
            </w:pPr>
          </w:p>
        </w:tc>
      </w:tr>
      <w:tr w:rsidR="00A023BD" w:rsidRPr="003F15C0" w14:paraId="688629E8" w14:textId="77777777" w:rsidTr="00A023BD">
        <w:tc>
          <w:tcPr>
            <w:tcW w:w="5368" w:type="dxa"/>
            <w:shd w:val="clear" w:color="auto" w:fill="auto"/>
            <w:vAlign w:val="bottom"/>
          </w:tcPr>
          <w:p w14:paraId="5EA057A1" w14:textId="77777777" w:rsidR="00A023BD" w:rsidRPr="007C6C78" w:rsidRDefault="00A023BD" w:rsidP="00A023BD">
            <w:pPr>
              <w:spacing w:before="20"/>
              <w:ind w:left="176"/>
              <w:jc w:val="both"/>
              <w:rPr>
                <w:sz w:val="16"/>
                <w:szCs w:val="16"/>
              </w:rPr>
            </w:pPr>
            <w:r w:rsidRPr="007C6C78">
              <w:rPr>
                <w:sz w:val="16"/>
                <w:szCs w:val="16"/>
              </w:rPr>
              <w:t>3</w:t>
            </w:r>
          </w:p>
        </w:tc>
        <w:tc>
          <w:tcPr>
            <w:tcW w:w="1131" w:type="dxa"/>
            <w:shd w:val="clear" w:color="auto" w:fill="auto"/>
            <w:vAlign w:val="bottom"/>
          </w:tcPr>
          <w:p w14:paraId="484E9C98" w14:textId="77777777" w:rsidR="00A023BD" w:rsidRPr="006D35B5" w:rsidRDefault="00A023BD" w:rsidP="00A023BD">
            <w:pPr>
              <w:keepNext/>
              <w:jc w:val="right"/>
              <w:rPr>
                <w:color w:val="000000"/>
                <w:sz w:val="16"/>
                <w:szCs w:val="16"/>
                <w:lang w:eastAsia="en-NZ"/>
              </w:rPr>
            </w:pPr>
            <w:r w:rsidRPr="006D35B5">
              <w:rPr>
                <w:color w:val="000000"/>
                <w:sz w:val="16"/>
                <w:szCs w:val="16"/>
                <w:lang w:eastAsia="en-NZ"/>
              </w:rPr>
              <w:t>1.41</w:t>
            </w:r>
          </w:p>
        </w:tc>
        <w:tc>
          <w:tcPr>
            <w:tcW w:w="990" w:type="dxa"/>
            <w:shd w:val="clear" w:color="auto" w:fill="auto"/>
            <w:vAlign w:val="bottom"/>
          </w:tcPr>
          <w:p w14:paraId="0ADA5CA5" w14:textId="77777777" w:rsidR="00A023BD" w:rsidRPr="006D35B5" w:rsidRDefault="00A023BD" w:rsidP="00A023BD">
            <w:pPr>
              <w:keepNext/>
              <w:jc w:val="right"/>
              <w:rPr>
                <w:color w:val="000000"/>
                <w:sz w:val="16"/>
                <w:szCs w:val="16"/>
                <w:lang w:eastAsia="en-NZ"/>
              </w:rPr>
            </w:pPr>
            <w:r w:rsidRPr="006D35B5">
              <w:rPr>
                <w:color w:val="000000"/>
                <w:sz w:val="16"/>
                <w:szCs w:val="16"/>
                <w:lang w:eastAsia="en-NZ"/>
              </w:rPr>
              <w:t>(1.09, 1.82)</w:t>
            </w:r>
          </w:p>
        </w:tc>
        <w:tc>
          <w:tcPr>
            <w:tcW w:w="747" w:type="dxa"/>
            <w:shd w:val="clear" w:color="auto" w:fill="auto"/>
            <w:vAlign w:val="bottom"/>
          </w:tcPr>
          <w:p w14:paraId="7620EF38" w14:textId="77777777" w:rsidR="00A023BD" w:rsidRPr="006D35B5" w:rsidRDefault="00A023BD" w:rsidP="00A023BD">
            <w:pPr>
              <w:keepNext/>
              <w:jc w:val="right"/>
              <w:rPr>
                <w:color w:val="000000"/>
                <w:sz w:val="16"/>
                <w:szCs w:val="16"/>
                <w:lang w:eastAsia="en-NZ"/>
              </w:rPr>
            </w:pPr>
          </w:p>
        </w:tc>
      </w:tr>
      <w:tr w:rsidR="00A023BD" w:rsidRPr="003F15C0" w14:paraId="0D7D7804" w14:textId="77777777" w:rsidTr="00326B55">
        <w:tc>
          <w:tcPr>
            <w:tcW w:w="5368" w:type="dxa"/>
            <w:shd w:val="clear" w:color="auto" w:fill="auto"/>
            <w:vAlign w:val="bottom"/>
          </w:tcPr>
          <w:p w14:paraId="7E029F24" w14:textId="77777777" w:rsidR="00A023BD" w:rsidRPr="007C6C78" w:rsidRDefault="00A023BD" w:rsidP="00A023BD">
            <w:pPr>
              <w:spacing w:before="20"/>
              <w:ind w:left="176"/>
              <w:jc w:val="both"/>
              <w:rPr>
                <w:sz w:val="16"/>
                <w:szCs w:val="16"/>
              </w:rPr>
            </w:pPr>
            <w:r w:rsidRPr="007C6C78">
              <w:rPr>
                <w:sz w:val="16"/>
                <w:szCs w:val="16"/>
              </w:rPr>
              <w:t>4+</w:t>
            </w:r>
          </w:p>
        </w:tc>
        <w:tc>
          <w:tcPr>
            <w:tcW w:w="1131" w:type="dxa"/>
            <w:shd w:val="clear" w:color="auto" w:fill="auto"/>
            <w:vAlign w:val="bottom"/>
          </w:tcPr>
          <w:p w14:paraId="45A01D91" w14:textId="77777777" w:rsidR="00A023BD" w:rsidRPr="006D35B5" w:rsidRDefault="00A023BD" w:rsidP="00A023BD">
            <w:pPr>
              <w:keepNext/>
              <w:jc w:val="right"/>
              <w:rPr>
                <w:color w:val="000000"/>
                <w:sz w:val="16"/>
                <w:szCs w:val="16"/>
                <w:lang w:eastAsia="en-NZ"/>
              </w:rPr>
            </w:pPr>
            <w:r w:rsidRPr="006D35B5">
              <w:rPr>
                <w:color w:val="000000"/>
                <w:sz w:val="16"/>
                <w:szCs w:val="16"/>
                <w:lang w:eastAsia="en-NZ"/>
              </w:rPr>
              <w:t>1.30</w:t>
            </w:r>
          </w:p>
        </w:tc>
        <w:tc>
          <w:tcPr>
            <w:tcW w:w="990" w:type="dxa"/>
            <w:shd w:val="clear" w:color="auto" w:fill="auto"/>
            <w:vAlign w:val="bottom"/>
          </w:tcPr>
          <w:p w14:paraId="2A9B1653" w14:textId="77777777" w:rsidR="00A023BD" w:rsidRPr="006D35B5" w:rsidRDefault="00A023BD" w:rsidP="00A023BD">
            <w:pPr>
              <w:keepNext/>
              <w:jc w:val="right"/>
              <w:rPr>
                <w:color w:val="000000"/>
                <w:sz w:val="16"/>
                <w:szCs w:val="16"/>
                <w:lang w:eastAsia="en-NZ"/>
              </w:rPr>
            </w:pPr>
            <w:r w:rsidRPr="006D35B5">
              <w:rPr>
                <w:color w:val="000000"/>
                <w:sz w:val="16"/>
                <w:szCs w:val="16"/>
                <w:lang w:eastAsia="en-NZ"/>
              </w:rPr>
              <w:t>(1.00, 1.68)</w:t>
            </w:r>
          </w:p>
        </w:tc>
        <w:tc>
          <w:tcPr>
            <w:tcW w:w="747" w:type="dxa"/>
            <w:shd w:val="clear" w:color="auto" w:fill="auto"/>
            <w:vAlign w:val="bottom"/>
          </w:tcPr>
          <w:p w14:paraId="1AB42F0B" w14:textId="77777777" w:rsidR="00A023BD" w:rsidRPr="006D35B5" w:rsidRDefault="00A023BD" w:rsidP="00A023BD">
            <w:pPr>
              <w:keepNext/>
              <w:jc w:val="right"/>
              <w:rPr>
                <w:color w:val="000000"/>
                <w:sz w:val="16"/>
                <w:szCs w:val="16"/>
                <w:lang w:eastAsia="en-NZ"/>
              </w:rPr>
            </w:pPr>
            <w:r w:rsidRPr="006D35B5">
              <w:rPr>
                <w:color w:val="000000"/>
                <w:sz w:val="16"/>
                <w:szCs w:val="16"/>
                <w:lang w:eastAsia="en-NZ"/>
              </w:rPr>
              <w:t>0.04</w:t>
            </w:r>
          </w:p>
        </w:tc>
      </w:tr>
      <w:tr w:rsidR="00A023BD" w:rsidRPr="003F15C0" w14:paraId="76E47C9D" w14:textId="77777777" w:rsidTr="00A023BD">
        <w:tc>
          <w:tcPr>
            <w:tcW w:w="5368" w:type="dxa"/>
            <w:shd w:val="clear" w:color="auto" w:fill="auto"/>
          </w:tcPr>
          <w:p w14:paraId="2171DBB7" w14:textId="77777777" w:rsidR="00A023BD" w:rsidRPr="007C6C78" w:rsidRDefault="00A023BD" w:rsidP="00A023BD">
            <w:pPr>
              <w:keepNext/>
              <w:spacing w:before="20"/>
              <w:jc w:val="both"/>
              <w:rPr>
                <w:b/>
                <w:sz w:val="16"/>
                <w:szCs w:val="16"/>
              </w:rPr>
            </w:pPr>
            <w:r w:rsidRPr="007C6C78">
              <w:rPr>
                <w:b/>
                <w:sz w:val="16"/>
                <w:szCs w:val="16"/>
              </w:rPr>
              <w:t>Psychological distress (Kessler-10)</w:t>
            </w:r>
          </w:p>
        </w:tc>
        <w:tc>
          <w:tcPr>
            <w:tcW w:w="1131" w:type="dxa"/>
            <w:shd w:val="clear" w:color="auto" w:fill="auto"/>
            <w:vAlign w:val="center"/>
          </w:tcPr>
          <w:p w14:paraId="2806C00B" w14:textId="77777777" w:rsidR="00A023BD" w:rsidRPr="00AA4E6C" w:rsidRDefault="00A023BD" w:rsidP="00A023BD">
            <w:pPr>
              <w:keepNext/>
              <w:jc w:val="right"/>
              <w:rPr>
                <w:color w:val="000000"/>
                <w:sz w:val="16"/>
                <w:szCs w:val="20"/>
                <w:lang w:eastAsia="en-NZ"/>
              </w:rPr>
            </w:pPr>
          </w:p>
        </w:tc>
        <w:tc>
          <w:tcPr>
            <w:tcW w:w="990" w:type="dxa"/>
            <w:shd w:val="clear" w:color="auto" w:fill="auto"/>
            <w:vAlign w:val="center"/>
          </w:tcPr>
          <w:p w14:paraId="26022131" w14:textId="77777777" w:rsidR="00A023BD" w:rsidRPr="00AA4E6C" w:rsidRDefault="00A023BD" w:rsidP="00A023BD">
            <w:pPr>
              <w:keepNext/>
              <w:jc w:val="right"/>
              <w:rPr>
                <w:color w:val="000000"/>
                <w:sz w:val="16"/>
                <w:szCs w:val="20"/>
                <w:lang w:eastAsia="en-NZ"/>
              </w:rPr>
            </w:pPr>
          </w:p>
        </w:tc>
        <w:tc>
          <w:tcPr>
            <w:tcW w:w="747" w:type="dxa"/>
            <w:shd w:val="clear" w:color="auto" w:fill="auto"/>
            <w:vAlign w:val="center"/>
          </w:tcPr>
          <w:p w14:paraId="3AC01B4F" w14:textId="77777777" w:rsidR="00A023BD" w:rsidRPr="00AA4E6C" w:rsidRDefault="00A023BD" w:rsidP="00A023BD">
            <w:pPr>
              <w:keepNext/>
              <w:jc w:val="right"/>
              <w:rPr>
                <w:color w:val="000000"/>
                <w:sz w:val="16"/>
                <w:szCs w:val="20"/>
                <w:lang w:eastAsia="en-NZ"/>
              </w:rPr>
            </w:pPr>
          </w:p>
        </w:tc>
      </w:tr>
      <w:tr w:rsidR="00A023BD" w:rsidRPr="003F15C0" w14:paraId="72193E5A" w14:textId="77777777" w:rsidTr="00A023BD">
        <w:tc>
          <w:tcPr>
            <w:tcW w:w="5368" w:type="dxa"/>
            <w:shd w:val="clear" w:color="auto" w:fill="auto"/>
            <w:vAlign w:val="bottom"/>
          </w:tcPr>
          <w:p w14:paraId="368D87D9" w14:textId="77777777" w:rsidR="00A023BD" w:rsidRPr="007C6C78" w:rsidRDefault="00A023BD" w:rsidP="00A023BD">
            <w:pPr>
              <w:keepNext/>
              <w:spacing w:before="20"/>
              <w:ind w:left="176"/>
              <w:jc w:val="both"/>
              <w:rPr>
                <w:sz w:val="16"/>
                <w:szCs w:val="16"/>
              </w:rPr>
            </w:pPr>
            <w:r>
              <w:rPr>
                <w:sz w:val="16"/>
                <w:szCs w:val="16"/>
              </w:rPr>
              <w:t xml:space="preserve">Low (Score </w:t>
            </w:r>
            <w:r w:rsidRPr="007C6C78">
              <w:rPr>
                <w:sz w:val="16"/>
                <w:szCs w:val="16"/>
              </w:rPr>
              <w:t>0</w:t>
            </w:r>
            <w:r>
              <w:rPr>
                <w:sz w:val="16"/>
                <w:szCs w:val="16"/>
              </w:rPr>
              <w:t xml:space="preserve"> </w:t>
            </w:r>
            <w:r w:rsidRPr="007C6C78">
              <w:rPr>
                <w:sz w:val="16"/>
                <w:szCs w:val="16"/>
              </w:rPr>
              <w:t>-</w:t>
            </w:r>
            <w:r>
              <w:rPr>
                <w:sz w:val="16"/>
                <w:szCs w:val="16"/>
              </w:rPr>
              <w:t xml:space="preserve"> </w:t>
            </w:r>
            <w:r w:rsidRPr="007C6C78">
              <w:rPr>
                <w:sz w:val="16"/>
                <w:szCs w:val="16"/>
              </w:rPr>
              <w:t>5</w:t>
            </w:r>
            <w:r>
              <w:rPr>
                <w:sz w:val="16"/>
                <w:szCs w:val="16"/>
              </w:rPr>
              <w:t>)</w:t>
            </w:r>
          </w:p>
        </w:tc>
        <w:tc>
          <w:tcPr>
            <w:tcW w:w="1131" w:type="dxa"/>
            <w:shd w:val="clear" w:color="auto" w:fill="auto"/>
            <w:vAlign w:val="bottom"/>
          </w:tcPr>
          <w:p w14:paraId="6EA17090" w14:textId="77777777" w:rsidR="00A023BD" w:rsidRPr="00A023BD" w:rsidRDefault="00A023BD" w:rsidP="00A023BD">
            <w:pPr>
              <w:keepNext/>
              <w:jc w:val="right"/>
              <w:rPr>
                <w:color w:val="000000"/>
                <w:sz w:val="16"/>
                <w:szCs w:val="16"/>
                <w:lang w:eastAsia="en-NZ"/>
              </w:rPr>
            </w:pPr>
            <w:r w:rsidRPr="00A023BD">
              <w:rPr>
                <w:color w:val="000000"/>
                <w:sz w:val="16"/>
                <w:szCs w:val="16"/>
                <w:lang w:eastAsia="en-NZ"/>
              </w:rPr>
              <w:t>1.00</w:t>
            </w:r>
          </w:p>
        </w:tc>
        <w:tc>
          <w:tcPr>
            <w:tcW w:w="990" w:type="dxa"/>
            <w:shd w:val="clear" w:color="auto" w:fill="auto"/>
            <w:vAlign w:val="bottom"/>
          </w:tcPr>
          <w:p w14:paraId="42683142" w14:textId="77777777" w:rsidR="00A023BD" w:rsidRPr="00A023BD" w:rsidRDefault="00A023BD" w:rsidP="00A023BD">
            <w:pPr>
              <w:keepNext/>
              <w:jc w:val="right"/>
              <w:rPr>
                <w:color w:val="000000"/>
                <w:sz w:val="16"/>
                <w:szCs w:val="16"/>
                <w:lang w:eastAsia="en-NZ"/>
              </w:rPr>
            </w:pPr>
          </w:p>
        </w:tc>
        <w:tc>
          <w:tcPr>
            <w:tcW w:w="747" w:type="dxa"/>
            <w:shd w:val="clear" w:color="auto" w:fill="auto"/>
            <w:vAlign w:val="bottom"/>
          </w:tcPr>
          <w:p w14:paraId="32368F03" w14:textId="77777777" w:rsidR="00A023BD" w:rsidRPr="006D35B5" w:rsidRDefault="00A023BD" w:rsidP="00A023BD">
            <w:pPr>
              <w:keepNext/>
              <w:jc w:val="right"/>
              <w:rPr>
                <w:color w:val="000000"/>
                <w:sz w:val="16"/>
                <w:szCs w:val="16"/>
                <w:lang w:eastAsia="en-NZ"/>
              </w:rPr>
            </w:pPr>
          </w:p>
        </w:tc>
      </w:tr>
      <w:tr w:rsidR="00A023BD" w:rsidRPr="003F15C0" w14:paraId="7E5BBF81" w14:textId="77777777" w:rsidTr="00A023BD">
        <w:tc>
          <w:tcPr>
            <w:tcW w:w="5368" w:type="dxa"/>
            <w:shd w:val="clear" w:color="auto" w:fill="auto"/>
            <w:vAlign w:val="bottom"/>
          </w:tcPr>
          <w:p w14:paraId="4D7A01D9" w14:textId="77777777" w:rsidR="00A023BD" w:rsidRPr="007C6C78" w:rsidRDefault="00A023BD" w:rsidP="00A023BD">
            <w:pPr>
              <w:keepNext/>
              <w:spacing w:before="20"/>
              <w:ind w:left="176"/>
              <w:jc w:val="both"/>
              <w:rPr>
                <w:sz w:val="16"/>
                <w:szCs w:val="16"/>
              </w:rPr>
            </w:pPr>
            <w:r>
              <w:rPr>
                <w:sz w:val="16"/>
                <w:szCs w:val="16"/>
              </w:rPr>
              <w:t xml:space="preserve">Moderate (Score </w:t>
            </w:r>
            <w:r w:rsidRPr="007C6C78">
              <w:rPr>
                <w:sz w:val="16"/>
                <w:szCs w:val="16"/>
              </w:rPr>
              <w:t>6</w:t>
            </w:r>
            <w:r>
              <w:rPr>
                <w:sz w:val="16"/>
                <w:szCs w:val="16"/>
              </w:rPr>
              <w:t xml:space="preserve"> </w:t>
            </w:r>
            <w:r w:rsidRPr="007C6C78">
              <w:rPr>
                <w:sz w:val="16"/>
                <w:szCs w:val="16"/>
              </w:rPr>
              <w:t>-</w:t>
            </w:r>
            <w:r>
              <w:rPr>
                <w:sz w:val="16"/>
                <w:szCs w:val="16"/>
              </w:rPr>
              <w:t xml:space="preserve"> </w:t>
            </w:r>
            <w:r w:rsidRPr="007C6C78">
              <w:rPr>
                <w:sz w:val="16"/>
                <w:szCs w:val="16"/>
              </w:rPr>
              <w:t>11</w:t>
            </w:r>
            <w:r>
              <w:rPr>
                <w:sz w:val="16"/>
                <w:szCs w:val="16"/>
              </w:rPr>
              <w:t>)</w:t>
            </w:r>
          </w:p>
        </w:tc>
        <w:tc>
          <w:tcPr>
            <w:tcW w:w="1131" w:type="dxa"/>
            <w:shd w:val="clear" w:color="auto" w:fill="auto"/>
            <w:vAlign w:val="bottom"/>
          </w:tcPr>
          <w:p w14:paraId="5CA5C51C" w14:textId="77777777" w:rsidR="00A023BD" w:rsidRPr="00A023BD" w:rsidRDefault="00A023BD" w:rsidP="00A023BD">
            <w:pPr>
              <w:keepNext/>
              <w:jc w:val="right"/>
              <w:rPr>
                <w:color w:val="000000"/>
                <w:sz w:val="16"/>
                <w:szCs w:val="16"/>
                <w:lang w:eastAsia="en-NZ"/>
              </w:rPr>
            </w:pPr>
            <w:r w:rsidRPr="00A023BD">
              <w:rPr>
                <w:color w:val="000000"/>
                <w:sz w:val="16"/>
                <w:szCs w:val="16"/>
                <w:lang w:eastAsia="en-NZ"/>
              </w:rPr>
              <w:t>0.71</w:t>
            </w:r>
          </w:p>
        </w:tc>
        <w:tc>
          <w:tcPr>
            <w:tcW w:w="990" w:type="dxa"/>
            <w:shd w:val="clear" w:color="auto" w:fill="auto"/>
            <w:vAlign w:val="bottom"/>
          </w:tcPr>
          <w:p w14:paraId="5E87B6DC" w14:textId="77777777" w:rsidR="00A023BD" w:rsidRPr="00A023BD" w:rsidRDefault="00A023BD" w:rsidP="00A023BD">
            <w:pPr>
              <w:keepNext/>
              <w:jc w:val="right"/>
              <w:rPr>
                <w:color w:val="000000"/>
                <w:sz w:val="16"/>
                <w:szCs w:val="16"/>
                <w:lang w:eastAsia="en-NZ"/>
              </w:rPr>
            </w:pPr>
            <w:r w:rsidRPr="00A023BD">
              <w:rPr>
                <w:color w:val="000000"/>
                <w:sz w:val="16"/>
                <w:szCs w:val="16"/>
                <w:lang w:eastAsia="en-NZ"/>
              </w:rPr>
              <w:t>(0.52, 0.98)</w:t>
            </w:r>
          </w:p>
        </w:tc>
        <w:tc>
          <w:tcPr>
            <w:tcW w:w="747" w:type="dxa"/>
            <w:shd w:val="clear" w:color="auto" w:fill="auto"/>
            <w:vAlign w:val="bottom"/>
          </w:tcPr>
          <w:p w14:paraId="177F0126" w14:textId="77777777" w:rsidR="00A023BD" w:rsidRPr="006D35B5" w:rsidRDefault="00A023BD" w:rsidP="00A023BD">
            <w:pPr>
              <w:keepNext/>
              <w:jc w:val="right"/>
              <w:rPr>
                <w:color w:val="000000"/>
                <w:sz w:val="16"/>
                <w:szCs w:val="16"/>
                <w:lang w:eastAsia="en-NZ"/>
              </w:rPr>
            </w:pPr>
          </w:p>
        </w:tc>
      </w:tr>
      <w:tr w:rsidR="00A023BD" w:rsidRPr="003F15C0" w14:paraId="1C705654" w14:textId="77777777" w:rsidTr="00FC6127">
        <w:tc>
          <w:tcPr>
            <w:tcW w:w="5368" w:type="dxa"/>
            <w:shd w:val="clear" w:color="auto" w:fill="auto"/>
            <w:vAlign w:val="bottom"/>
          </w:tcPr>
          <w:p w14:paraId="20CEBA9E" w14:textId="77777777" w:rsidR="00A023BD" w:rsidRPr="007C6C78" w:rsidRDefault="00A023BD" w:rsidP="00A023BD">
            <w:pPr>
              <w:keepNext/>
              <w:spacing w:before="20"/>
              <w:ind w:left="176"/>
              <w:jc w:val="both"/>
              <w:rPr>
                <w:sz w:val="16"/>
                <w:szCs w:val="16"/>
              </w:rPr>
            </w:pPr>
            <w:r>
              <w:rPr>
                <w:sz w:val="16"/>
                <w:szCs w:val="16"/>
              </w:rPr>
              <w:t xml:space="preserve">High (Score </w:t>
            </w:r>
            <w:r w:rsidRPr="007C6C78">
              <w:rPr>
                <w:sz w:val="16"/>
                <w:szCs w:val="16"/>
              </w:rPr>
              <w:t>12</w:t>
            </w:r>
            <w:r>
              <w:rPr>
                <w:sz w:val="16"/>
                <w:szCs w:val="16"/>
              </w:rPr>
              <w:t xml:space="preserve"> </w:t>
            </w:r>
            <w:r w:rsidRPr="007C6C78">
              <w:rPr>
                <w:sz w:val="16"/>
                <w:szCs w:val="16"/>
              </w:rPr>
              <w:t>-</w:t>
            </w:r>
            <w:r>
              <w:rPr>
                <w:sz w:val="16"/>
                <w:szCs w:val="16"/>
              </w:rPr>
              <w:t xml:space="preserve"> </w:t>
            </w:r>
            <w:r w:rsidRPr="007C6C78">
              <w:rPr>
                <w:sz w:val="16"/>
                <w:szCs w:val="16"/>
              </w:rPr>
              <w:t>19</w:t>
            </w:r>
            <w:r>
              <w:rPr>
                <w:sz w:val="16"/>
                <w:szCs w:val="16"/>
              </w:rPr>
              <w:t>)</w:t>
            </w:r>
          </w:p>
        </w:tc>
        <w:tc>
          <w:tcPr>
            <w:tcW w:w="1131" w:type="dxa"/>
            <w:shd w:val="clear" w:color="auto" w:fill="auto"/>
            <w:vAlign w:val="bottom"/>
          </w:tcPr>
          <w:p w14:paraId="35D9F187" w14:textId="77777777" w:rsidR="00A023BD" w:rsidRPr="00A023BD" w:rsidRDefault="00A023BD" w:rsidP="00A023BD">
            <w:pPr>
              <w:keepNext/>
              <w:jc w:val="right"/>
              <w:rPr>
                <w:color w:val="000000"/>
                <w:sz w:val="16"/>
                <w:szCs w:val="16"/>
                <w:lang w:eastAsia="en-NZ"/>
              </w:rPr>
            </w:pPr>
            <w:r w:rsidRPr="00A023BD">
              <w:rPr>
                <w:color w:val="000000"/>
                <w:sz w:val="16"/>
                <w:szCs w:val="16"/>
                <w:lang w:eastAsia="en-NZ"/>
              </w:rPr>
              <w:t>0.35</w:t>
            </w:r>
          </w:p>
        </w:tc>
        <w:tc>
          <w:tcPr>
            <w:tcW w:w="990" w:type="dxa"/>
            <w:shd w:val="clear" w:color="auto" w:fill="auto"/>
            <w:vAlign w:val="bottom"/>
          </w:tcPr>
          <w:p w14:paraId="05138F61" w14:textId="77777777" w:rsidR="00A023BD" w:rsidRPr="00A023BD" w:rsidRDefault="00A023BD" w:rsidP="00A023BD">
            <w:pPr>
              <w:keepNext/>
              <w:jc w:val="right"/>
              <w:rPr>
                <w:color w:val="000000"/>
                <w:sz w:val="16"/>
                <w:szCs w:val="16"/>
                <w:lang w:eastAsia="en-NZ"/>
              </w:rPr>
            </w:pPr>
            <w:r w:rsidRPr="00A023BD">
              <w:rPr>
                <w:color w:val="000000"/>
                <w:sz w:val="16"/>
                <w:szCs w:val="16"/>
                <w:lang w:eastAsia="en-NZ"/>
              </w:rPr>
              <w:t>(0.20, 0.61)</w:t>
            </w:r>
          </w:p>
        </w:tc>
        <w:tc>
          <w:tcPr>
            <w:tcW w:w="747" w:type="dxa"/>
            <w:shd w:val="clear" w:color="auto" w:fill="auto"/>
            <w:vAlign w:val="bottom"/>
          </w:tcPr>
          <w:p w14:paraId="5A702CB7" w14:textId="77777777" w:rsidR="00A023BD" w:rsidRPr="006D35B5" w:rsidRDefault="00A023BD" w:rsidP="00A023BD">
            <w:pPr>
              <w:keepNext/>
              <w:jc w:val="right"/>
              <w:rPr>
                <w:color w:val="000000"/>
                <w:sz w:val="16"/>
                <w:szCs w:val="16"/>
                <w:lang w:eastAsia="en-NZ"/>
              </w:rPr>
            </w:pPr>
          </w:p>
        </w:tc>
      </w:tr>
      <w:tr w:rsidR="00A023BD" w:rsidRPr="003F15C0" w14:paraId="0A615AF1" w14:textId="77777777" w:rsidTr="00FC6127">
        <w:tc>
          <w:tcPr>
            <w:tcW w:w="5368" w:type="dxa"/>
            <w:tcBorders>
              <w:bottom w:val="single" w:sz="4" w:space="0" w:color="auto"/>
            </w:tcBorders>
            <w:shd w:val="clear" w:color="auto" w:fill="auto"/>
            <w:vAlign w:val="bottom"/>
          </w:tcPr>
          <w:p w14:paraId="1CAC92EF" w14:textId="77777777" w:rsidR="00A023BD" w:rsidRPr="007C6C78" w:rsidRDefault="00A023BD" w:rsidP="00A023BD">
            <w:pPr>
              <w:spacing w:before="20"/>
              <w:ind w:left="176"/>
              <w:jc w:val="both"/>
              <w:rPr>
                <w:sz w:val="16"/>
                <w:szCs w:val="16"/>
              </w:rPr>
            </w:pPr>
            <w:r>
              <w:rPr>
                <w:sz w:val="16"/>
                <w:szCs w:val="16"/>
              </w:rPr>
              <w:t xml:space="preserve">Severe (Score </w:t>
            </w:r>
            <w:r w:rsidRPr="007C6C78">
              <w:rPr>
                <w:sz w:val="16"/>
                <w:szCs w:val="16"/>
              </w:rPr>
              <w:t>20</w:t>
            </w:r>
            <w:r>
              <w:rPr>
                <w:sz w:val="16"/>
                <w:szCs w:val="16"/>
              </w:rPr>
              <w:t xml:space="preserve"> </w:t>
            </w:r>
            <w:r w:rsidRPr="007C6C78">
              <w:rPr>
                <w:sz w:val="16"/>
                <w:szCs w:val="16"/>
              </w:rPr>
              <w:t>-</w:t>
            </w:r>
            <w:r>
              <w:rPr>
                <w:sz w:val="16"/>
                <w:szCs w:val="16"/>
              </w:rPr>
              <w:t xml:space="preserve"> </w:t>
            </w:r>
            <w:r w:rsidRPr="007C6C78">
              <w:rPr>
                <w:sz w:val="16"/>
                <w:szCs w:val="16"/>
              </w:rPr>
              <w:t>40</w:t>
            </w:r>
            <w:r>
              <w:rPr>
                <w:sz w:val="16"/>
                <w:szCs w:val="16"/>
              </w:rPr>
              <w:t>)</w:t>
            </w:r>
          </w:p>
        </w:tc>
        <w:tc>
          <w:tcPr>
            <w:tcW w:w="1131" w:type="dxa"/>
            <w:tcBorders>
              <w:bottom w:val="single" w:sz="4" w:space="0" w:color="auto"/>
            </w:tcBorders>
            <w:shd w:val="clear" w:color="auto" w:fill="auto"/>
            <w:vAlign w:val="bottom"/>
          </w:tcPr>
          <w:p w14:paraId="238D9A11" w14:textId="77777777" w:rsidR="00A023BD" w:rsidRPr="00A023BD" w:rsidRDefault="00A023BD" w:rsidP="00A023BD">
            <w:pPr>
              <w:keepNext/>
              <w:jc w:val="right"/>
              <w:rPr>
                <w:color w:val="000000"/>
                <w:sz w:val="16"/>
                <w:szCs w:val="16"/>
                <w:lang w:eastAsia="en-NZ"/>
              </w:rPr>
            </w:pPr>
            <w:r w:rsidRPr="00A023BD">
              <w:rPr>
                <w:color w:val="000000"/>
                <w:sz w:val="16"/>
                <w:szCs w:val="16"/>
                <w:lang w:eastAsia="en-NZ"/>
              </w:rPr>
              <w:t>0.83</w:t>
            </w:r>
          </w:p>
        </w:tc>
        <w:tc>
          <w:tcPr>
            <w:tcW w:w="990" w:type="dxa"/>
            <w:tcBorders>
              <w:bottom w:val="single" w:sz="4" w:space="0" w:color="auto"/>
            </w:tcBorders>
            <w:shd w:val="clear" w:color="auto" w:fill="auto"/>
            <w:vAlign w:val="bottom"/>
          </w:tcPr>
          <w:p w14:paraId="0A5C3D58" w14:textId="77777777" w:rsidR="00A023BD" w:rsidRPr="00A023BD" w:rsidRDefault="00A023BD" w:rsidP="00A023BD">
            <w:pPr>
              <w:keepNext/>
              <w:jc w:val="right"/>
              <w:rPr>
                <w:color w:val="000000"/>
                <w:sz w:val="16"/>
                <w:szCs w:val="16"/>
                <w:lang w:eastAsia="en-NZ"/>
              </w:rPr>
            </w:pPr>
            <w:r w:rsidRPr="00A023BD">
              <w:rPr>
                <w:color w:val="000000"/>
                <w:sz w:val="16"/>
                <w:szCs w:val="16"/>
                <w:lang w:eastAsia="en-NZ"/>
              </w:rPr>
              <w:t>(0.68, 1.00)</w:t>
            </w:r>
          </w:p>
        </w:tc>
        <w:tc>
          <w:tcPr>
            <w:tcW w:w="747" w:type="dxa"/>
            <w:tcBorders>
              <w:bottom w:val="single" w:sz="4" w:space="0" w:color="auto"/>
            </w:tcBorders>
            <w:shd w:val="clear" w:color="auto" w:fill="auto"/>
            <w:vAlign w:val="bottom"/>
          </w:tcPr>
          <w:p w14:paraId="0FAA112B" w14:textId="77777777" w:rsidR="00A023BD" w:rsidRPr="006D35B5" w:rsidRDefault="00A023BD" w:rsidP="00A023BD">
            <w:pPr>
              <w:keepNext/>
              <w:jc w:val="right"/>
              <w:rPr>
                <w:color w:val="000000"/>
                <w:sz w:val="16"/>
                <w:szCs w:val="16"/>
                <w:lang w:eastAsia="en-NZ"/>
              </w:rPr>
            </w:pPr>
            <w:r w:rsidRPr="006D35B5">
              <w:rPr>
                <w:color w:val="000000"/>
                <w:sz w:val="16"/>
                <w:szCs w:val="16"/>
                <w:lang w:eastAsia="en-NZ"/>
              </w:rPr>
              <w:t>0.0007</w:t>
            </w:r>
          </w:p>
        </w:tc>
      </w:tr>
      <w:tr w:rsidR="00A023BD" w:rsidRPr="007C6C78" w14:paraId="7793A9A5" w14:textId="77777777" w:rsidTr="00FC6127">
        <w:tc>
          <w:tcPr>
            <w:tcW w:w="6499" w:type="dxa"/>
            <w:gridSpan w:val="2"/>
            <w:tcBorders>
              <w:top w:val="single" w:sz="4" w:space="0" w:color="auto"/>
            </w:tcBorders>
            <w:shd w:val="clear" w:color="auto" w:fill="auto"/>
            <w:vAlign w:val="center"/>
          </w:tcPr>
          <w:p w14:paraId="53EA8B7E" w14:textId="77777777" w:rsidR="00A023BD" w:rsidRPr="007C6C78" w:rsidRDefault="00A023BD" w:rsidP="00A023BD">
            <w:pPr>
              <w:keepNext/>
              <w:spacing w:before="20"/>
              <w:jc w:val="both"/>
              <w:rPr>
                <w:b/>
                <w:sz w:val="16"/>
                <w:szCs w:val="16"/>
              </w:rPr>
            </w:pPr>
            <w:r>
              <w:rPr>
                <w:b/>
                <w:sz w:val="16"/>
                <w:szCs w:val="16"/>
              </w:rPr>
              <w:t>Hazardous alcohol consumption (AUDIT-C)</w:t>
            </w:r>
          </w:p>
        </w:tc>
        <w:tc>
          <w:tcPr>
            <w:tcW w:w="990" w:type="dxa"/>
            <w:tcBorders>
              <w:top w:val="single" w:sz="4" w:space="0" w:color="auto"/>
            </w:tcBorders>
            <w:shd w:val="clear" w:color="auto" w:fill="auto"/>
            <w:vAlign w:val="center"/>
          </w:tcPr>
          <w:p w14:paraId="67F64699" w14:textId="77777777" w:rsidR="00A023BD" w:rsidRPr="007C6C78" w:rsidRDefault="00A023BD" w:rsidP="00A023BD">
            <w:pPr>
              <w:keepNext/>
              <w:spacing w:before="20"/>
              <w:jc w:val="both"/>
              <w:rPr>
                <w:b/>
                <w:sz w:val="16"/>
                <w:szCs w:val="16"/>
              </w:rPr>
            </w:pPr>
          </w:p>
        </w:tc>
        <w:tc>
          <w:tcPr>
            <w:tcW w:w="747" w:type="dxa"/>
            <w:tcBorders>
              <w:top w:val="single" w:sz="4" w:space="0" w:color="auto"/>
            </w:tcBorders>
            <w:shd w:val="clear" w:color="auto" w:fill="auto"/>
            <w:vAlign w:val="center"/>
          </w:tcPr>
          <w:p w14:paraId="6DFF5603" w14:textId="77777777" w:rsidR="00A023BD" w:rsidRPr="007C6C78" w:rsidRDefault="00A023BD" w:rsidP="00A023BD">
            <w:pPr>
              <w:keepNext/>
              <w:spacing w:before="20"/>
              <w:jc w:val="both"/>
              <w:rPr>
                <w:b/>
                <w:sz w:val="16"/>
                <w:szCs w:val="16"/>
              </w:rPr>
            </w:pPr>
          </w:p>
        </w:tc>
      </w:tr>
      <w:tr w:rsidR="00A023BD" w:rsidRPr="003F15C0" w14:paraId="32B91472" w14:textId="77777777" w:rsidTr="00A023BD">
        <w:tc>
          <w:tcPr>
            <w:tcW w:w="5368" w:type="dxa"/>
            <w:shd w:val="clear" w:color="auto" w:fill="auto"/>
            <w:vAlign w:val="bottom"/>
          </w:tcPr>
          <w:p w14:paraId="76E0292E" w14:textId="77777777" w:rsidR="00A023BD" w:rsidRPr="007C6C78" w:rsidRDefault="00A023BD" w:rsidP="00A023BD">
            <w:pPr>
              <w:spacing w:before="20"/>
              <w:ind w:left="176"/>
              <w:jc w:val="both"/>
              <w:rPr>
                <w:sz w:val="16"/>
                <w:szCs w:val="16"/>
              </w:rPr>
            </w:pPr>
            <w:r w:rsidRPr="007C6C78">
              <w:rPr>
                <w:sz w:val="16"/>
                <w:szCs w:val="16"/>
              </w:rPr>
              <w:t>No</w:t>
            </w:r>
          </w:p>
        </w:tc>
        <w:tc>
          <w:tcPr>
            <w:tcW w:w="1131" w:type="dxa"/>
            <w:shd w:val="clear" w:color="auto" w:fill="auto"/>
            <w:vAlign w:val="bottom"/>
          </w:tcPr>
          <w:p w14:paraId="1098CEDD" w14:textId="77777777" w:rsidR="00A023BD" w:rsidRPr="006D35B5" w:rsidRDefault="00A023BD" w:rsidP="00A023BD">
            <w:pPr>
              <w:keepNext/>
              <w:jc w:val="right"/>
              <w:rPr>
                <w:color w:val="000000"/>
                <w:sz w:val="16"/>
                <w:szCs w:val="16"/>
                <w:lang w:eastAsia="en-NZ"/>
              </w:rPr>
            </w:pPr>
            <w:r w:rsidRPr="006D35B5">
              <w:rPr>
                <w:color w:val="000000"/>
                <w:sz w:val="16"/>
                <w:szCs w:val="16"/>
                <w:lang w:eastAsia="en-NZ"/>
              </w:rPr>
              <w:t>1.00</w:t>
            </w:r>
          </w:p>
        </w:tc>
        <w:tc>
          <w:tcPr>
            <w:tcW w:w="990" w:type="dxa"/>
            <w:shd w:val="clear" w:color="auto" w:fill="auto"/>
            <w:vAlign w:val="bottom"/>
          </w:tcPr>
          <w:p w14:paraId="51449F38" w14:textId="77777777" w:rsidR="00A023BD" w:rsidRPr="006D35B5" w:rsidRDefault="00A023BD" w:rsidP="00A023BD">
            <w:pPr>
              <w:keepNext/>
              <w:jc w:val="right"/>
              <w:rPr>
                <w:color w:val="000000"/>
                <w:sz w:val="16"/>
                <w:szCs w:val="16"/>
                <w:lang w:eastAsia="en-NZ"/>
              </w:rPr>
            </w:pPr>
          </w:p>
        </w:tc>
        <w:tc>
          <w:tcPr>
            <w:tcW w:w="747" w:type="dxa"/>
            <w:shd w:val="clear" w:color="auto" w:fill="auto"/>
            <w:vAlign w:val="bottom"/>
          </w:tcPr>
          <w:p w14:paraId="509D0441" w14:textId="77777777" w:rsidR="00A023BD" w:rsidRPr="006D35B5" w:rsidRDefault="00A023BD" w:rsidP="00A023BD">
            <w:pPr>
              <w:keepNext/>
              <w:jc w:val="right"/>
              <w:rPr>
                <w:color w:val="000000"/>
                <w:sz w:val="16"/>
                <w:szCs w:val="16"/>
                <w:lang w:eastAsia="en-NZ"/>
              </w:rPr>
            </w:pPr>
          </w:p>
        </w:tc>
      </w:tr>
      <w:tr w:rsidR="00A023BD" w:rsidRPr="003F15C0" w14:paraId="6593E861" w14:textId="77777777" w:rsidTr="00326B55">
        <w:tc>
          <w:tcPr>
            <w:tcW w:w="5368" w:type="dxa"/>
            <w:shd w:val="clear" w:color="auto" w:fill="auto"/>
            <w:vAlign w:val="bottom"/>
          </w:tcPr>
          <w:p w14:paraId="0152234C" w14:textId="77777777" w:rsidR="00A023BD" w:rsidRPr="007C6C78" w:rsidRDefault="00A023BD" w:rsidP="00A023BD">
            <w:pPr>
              <w:spacing w:before="20"/>
              <w:ind w:left="176"/>
              <w:jc w:val="both"/>
              <w:rPr>
                <w:sz w:val="16"/>
                <w:szCs w:val="16"/>
              </w:rPr>
            </w:pPr>
            <w:r w:rsidRPr="007C6C78">
              <w:rPr>
                <w:sz w:val="16"/>
                <w:szCs w:val="16"/>
              </w:rPr>
              <w:t>Yes</w:t>
            </w:r>
          </w:p>
        </w:tc>
        <w:tc>
          <w:tcPr>
            <w:tcW w:w="1131" w:type="dxa"/>
            <w:shd w:val="clear" w:color="auto" w:fill="auto"/>
            <w:vAlign w:val="bottom"/>
          </w:tcPr>
          <w:p w14:paraId="4720D1D5" w14:textId="77777777" w:rsidR="00A023BD" w:rsidRPr="006D35B5" w:rsidRDefault="00A023BD" w:rsidP="00A023BD">
            <w:pPr>
              <w:keepNext/>
              <w:jc w:val="right"/>
              <w:rPr>
                <w:color w:val="000000"/>
                <w:sz w:val="16"/>
                <w:szCs w:val="16"/>
                <w:lang w:eastAsia="en-NZ"/>
              </w:rPr>
            </w:pPr>
            <w:r w:rsidRPr="006D35B5">
              <w:rPr>
                <w:color w:val="000000"/>
                <w:sz w:val="16"/>
                <w:szCs w:val="16"/>
                <w:lang w:eastAsia="en-NZ"/>
              </w:rPr>
              <w:t>1.73</w:t>
            </w:r>
          </w:p>
        </w:tc>
        <w:tc>
          <w:tcPr>
            <w:tcW w:w="990" w:type="dxa"/>
            <w:shd w:val="clear" w:color="auto" w:fill="auto"/>
            <w:vAlign w:val="bottom"/>
          </w:tcPr>
          <w:p w14:paraId="511EAD33" w14:textId="77777777" w:rsidR="00A023BD" w:rsidRPr="006D35B5" w:rsidRDefault="00A023BD" w:rsidP="00A023BD">
            <w:pPr>
              <w:keepNext/>
              <w:jc w:val="right"/>
              <w:rPr>
                <w:color w:val="000000"/>
                <w:sz w:val="16"/>
                <w:szCs w:val="16"/>
                <w:lang w:eastAsia="en-NZ"/>
              </w:rPr>
            </w:pPr>
            <w:r w:rsidRPr="006D35B5">
              <w:rPr>
                <w:color w:val="000000"/>
                <w:sz w:val="16"/>
                <w:szCs w:val="16"/>
                <w:lang w:eastAsia="en-NZ"/>
              </w:rPr>
              <w:t>(1.42, 2.1)</w:t>
            </w:r>
          </w:p>
        </w:tc>
        <w:tc>
          <w:tcPr>
            <w:tcW w:w="747" w:type="dxa"/>
            <w:shd w:val="clear" w:color="auto" w:fill="auto"/>
            <w:vAlign w:val="bottom"/>
          </w:tcPr>
          <w:p w14:paraId="20E75426" w14:textId="77777777" w:rsidR="00A023BD" w:rsidRPr="006D35B5" w:rsidRDefault="00A023BD" w:rsidP="00A023BD">
            <w:pPr>
              <w:keepNext/>
              <w:jc w:val="right"/>
              <w:rPr>
                <w:color w:val="000000"/>
                <w:sz w:val="16"/>
                <w:szCs w:val="16"/>
                <w:lang w:eastAsia="en-NZ"/>
              </w:rPr>
            </w:pPr>
            <w:r w:rsidRPr="006D35B5">
              <w:rPr>
                <w:color w:val="000000"/>
                <w:sz w:val="16"/>
                <w:szCs w:val="16"/>
                <w:lang w:eastAsia="en-NZ"/>
              </w:rPr>
              <w:t>&lt;</w:t>
            </w:r>
            <w:r>
              <w:rPr>
                <w:color w:val="000000"/>
                <w:sz w:val="16"/>
                <w:szCs w:val="16"/>
                <w:lang w:eastAsia="en-NZ"/>
              </w:rPr>
              <w:t>0</w:t>
            </w:r>
            <w:r w:rsidRPr="006D35B5">
              <w:rPr>
                <w:color w:val="000000"/>
                <w:sz w:val="16"/>
                <w:szCs w:val="16"/>
                <w:lang w:eastAsia="en-NZ"/>
              </w:rPr>
              <w:t>.0001</w:t>
            </w:r>
          </w:p>
        </w:tc>
      </w:tr>
      <w:tr w:rsidR="00A023BD" w:rsidRPr="001A61F1" w14:paraId="4E6A81EC" w14:textId="77777777" w:rsidTr="00A023BD">
        <w:tc>
          <w:tcPr>
            <w:tcW w:w="6499" w:type="dxa"/>
            <w:gridSpan w:val="2"/>
          </w:tcPr>
          <w:p w14:paraId="7646C261" w14:textId="77777777" w:rsidR="00A023BD" w:rsidRPr="00637CF2" w:rsidRDefault="00A023BD" w:rsidP="00A023BD">
            <w:pPr>
              <w:rPr>
                <w:color w:val="000000"/>
                <w:sz w:val="16"/>
                <w:szCs w:val="16"/>
                <w:lang w:eastAsia="en-NZ"/>
              </w:rPr>
            </w:pPr>
            <w:r w:rsidRPr="00931D58">
              <w:rPr>
                <w:b/>
                <w:sz w:val="16"/>
                <w:szCs w:val="16"/>
              </w:rPr>
              <w:t>Ever smoked more than 100 cigarettes in lifetime</w:t>
            </w:r>
          </w:p>
        </w:tc>
        <w:tc>
          <w:tcPr>
            <w:tcW w:w="990" w:type="dxa"/>
            <w:shd w:val="clear" w:color="auto" w:fill="auto"/>
            <w:vAlign w:val="center"/>
          </w:tcPr>
          <w:p w14:paraId="139BE7B8" w14:textId="77777777" w:rsidR="00A023BD" w:rsidRPr="00637CF2" w:rsidRDefault="00A023BD" w:rsidP="00A023BD">
            <w:pPr>
              <w:jc w:val="right"/>
              <w:rPr>
                <w:color w:val="000000"/>
                <w:sz w:val="16"/>
                <w:szCs w:val="16"/>
                <w:lang w:eastAsia="en-NZ"/>
              </w:rPr>
            </w:pPr>
          </w:p>
        </w:tc>
        <w:tc>
          <w:tcPr>
            <w:tcW w:w="747" w:type="dxa"/>
            <w:shd w:val="clear" w:color="auto" w:fill="auto"/>
            <w:vAlign w:val="center"/>
          </w:tcPr>
          <w:p w14:paraId="5F1547A6" w14:textId="77777777" w:rsidR="00A023BD" w:rsidRPr="00637CF2" w:rsidRDefault="00A023BD" w:rsidP="00A023BD">
            <w:pPr>
              <w:jc w:val="right"/>
              <w:rPr>
                <w:color w:val="000000"/>
                <w:sz w:val="16"/>
                <w:szCs w:val="16"/>
                <w:lang w:eastAsia="en-NZ"/>
              </w:rPr>
            </w:pPr>
          </w:p>
        </w:tc>
      </w:tr>
      <w:tr w:rsidR="00A023BD" w:rsidRPr="001A61F1" w14:paraId="6AB92748" w14:textId="77777777" w:rsidTr="00A023BD">
        <w:tc>
          <w:tcPr>
            <w:tcW w:w="5368" w:type="dxa"/>
          </w:tcPr>
          <w:p w14:paraId="670713AC" w14:textId="77777777" w:rsidR="00A023BD" w:rsidRPr="001A61F1" w:rsidRDefault="00A023BD" w:rsidP="00A023BD">
            <w:pPr>
              <w:spacing w:before="20"/>
              <w:ind w:left="176"/>
              <w:jc w:val="both"/>
              <w:rPr>
                <w:sz w:val="16"/>
                <w:szCs w:val="16"/>
              </w:rPr>
            </w:pPr>
            <w:r>
              <w:rPr>
                <w:sz w:val="16"/>
                <w:szCs w:val="16"/>
              </w:rPr>
              <w:t>No</w:t>
            </w:r>
          </w:p>
        </w:tc>
        <w:tc>
          <w:tcPr>
            <w:tcW w:w="1131" w:type="dxa"/>
            <w:shd w:val="clear" w:color="auto" w:fill="auto"/>
            <w:vAlign w:val="bottom"/>
          </w:tcPr>
          <w:p w14:paraId="158A9EA1" w14:textId="77777777" w:rsidR="00A023BD" w:rsidRPr="006D35B5" w:rsidRDefault="00A023BD" w:rsidP="00A023BD">
            <w:pPr>
              <w:keepNext/>
              <w:jc w:val="right"/>
              <w:rPr>
                <w:color w:val="000000"/>
                <w:sz w:val="16"/>
                <w:szCs w:val="16"/>
                <w:lang w:eastAsia="en-NZ"/>
              </w:rPr>
            </w:pPr>
            <w:r w:rsidRPr="006D35B5">
              <w:rPr>
                <w:color w:val="000000"/>
                <w:sz w:val="16"/>
                <w:szCs w:val="16"/>
                <w:lang w:eastAsia="en-NZ"/>
              </w:rPr>
              <w:t>1.00</w:t>
            </w:r>
          </w:p>
        </w:tc>
        <w:tc>
          <w:tcPr>
            <w:tcW w:w="990" w:type="dxa"/>
            <w:shd w:val="clear" w:color="auto" w:fill="auto"/>
            <w:vAlign w:val="bottom"/>
          </w:tcPr>
          <w:p w14:paraId="01F4449C" w14:textId="77777777" w:rsidR="00A023BD" w:rsidRPr="006D35B5" w:rsidRDefault="00A023BD" w:rsidP="00A023BD">
            <w:pPr>
              <w:keepNext/>
              <w:jc w:val="right"/>
              <w:rPr>
                <w:color w:val="000000"/>
                <w:sz w:val="16"/>
                <w:szCs w:val="16"/>
                <w:lang w:eastAsia="en-NZ"/>
              </w:rPr>
            </w:pPr>
          </w:p>
        </w:tc>
        <w:tc>
          <w:tcPr>
            <w:tcW w:w="747" w:type="dxa"/>
            <w:shd w:val="clear" w:color="auto" w:fill="auto"/>
            <w:vAlign w:val="bottom"/>
          </w:tcPr>
          <w:p w14:paraId="12F8B80B" w14:textId="77777777" w:rsidR="00A023BD" w:rsidRPr="00C32FE5" w:rsidRDefault="00A023BD" w:rsidP="00A023BD">
            <w:pPr>
              <w:jc w:val="center"/>
              <w:rPr>
                <w:szCs w:val="20"/>
                <w:lang w:eastAsia="en-NZ"/>
              </w:rPr>
            </w:pPr>
          </w:p>
        </w:tc>
      </w:tr>
      <w:tr w:rsidR="00A023BD" w:rsidRPr="001A61F1" w14:paraId="00F05909" w14:textId="77777777" w:rsidTr="00326B55">
        <w:tc>
          <w:tcPr>
            <w:tcW w:w="5368" w:type="dxa"/>
            <w:tcBorders>
              <w:bottom w:val="single" w:sz="4" w:space="0" w:color="auto"/>
            </w:tcBorders>
          </w:tcPr>
          <w:p w14:paraId="5C24E938" w14:textId="77777777" w:rsidR="00A023BD" w:rsidRPr="001A61F1" w:rsidRDefault="00A023BD" w:rsidP="00A023BD">
            <w:pPr>
              <w:spacing w:before="20"/>
              <w:ind w:left="176"/>
              <w:jc w:val="both"/>
              <w:rPr>
                <w:sz w:val="16"/>
                <w:szCs w:val="16"/>
              </w:rPr>
            </w:pPr>
            <w:r>
              <w:rPr>
                <w:sz w:val="16"/>
                <w:szCs w:val="16"/>
              </w:rPr>
              <w:t>Yes</w:t>
            </w:r>
          </w:p>
        </w:tc>
        <w:tc>
          <w:tcPr>
            <w:tcW w:w="1131" w:type="dxa"/>
            <w:tcBorders>
              <w:bottom w:val="single" w:sz="4" w:space="0" w:color="auto"/>
            </w:tcBorders>
            <w:shd w:val="clear" w:color="auto" w:fill="auto"/>
            <w:vAlign w:val="bottom"/>
          </w:tcPr>
          <w:p w14:paraId="0F13F10C" w14:textId="77777777" w:rsidR="00A023BD" w:rsidRPr="006D35B5" w:rsidRDefault="00A023BD" w:rsidP="00A023BD">
            <w:pPr>
              <w:keepNext/>
              <w:jc w:val="right"/>
              <w:rPr>
                <w:color w:val="000000"/>
                <w:sz w:val="16"/>
                <w:szCs w:val="16"/>
                <w:lang w:eastAsia="en-NZ"/>
              </w:rPr>
            </w:pPr>
            <w:r w:rsidRPr="006D35B5">
              <w:rPr>
                <w:color w:val="000000"/>
                <w:sz w:val="16"/>
                <w:szCs w:val="16"/>
                <w:lang w:eastAsia="en-NZ"/>
              </w:rPr>
              <w:t>1.39</w:t>
            </w:r>
          </w:p>
        </w:tc>
        <w:tc>
          <w:tcPr>
            <w:tcW w:w="990" w:type="dxa"/>
            <w:tcBorders>
              <w:bottom w:val="single" w:sz="4" w:space="0" w:color="auto"/>
            </w:tcBorders>
            <w:shd w:val="clear" w:color="auto" w:fill="auto"/>
            <w:vAlign w:val="bottom"/>
          </w:tcPr>
          <w:p w14:paraId="0B131BD3" w14:textId="77777777" w:rsidR="00A023BD" w:rsidRPr="006D35B5" w:rsidRDefault="00A023BD" w:rsidP="00A023BD">
            <w:pPr>
              <w:keepNext/>
              <w:jc w:val="right"/>
              <w:rPr>
                <w:color w:val="000000"/>
                <w:sz w:val="16"/>
                <w:szCs w:val="16"/>
                <w:lang w:eastAsia="en-NZ"/>
              </w:rPr>
            </w:pPr>
            <w:r w:rsidRPr="006D35B5">
              <w:rPr>
                <w:color w:val="000000"/>
                <w:sz w:val="16"/>
                <w:szCs w:val="16"/>
                <w:lang w:eastAsia="en-NZ"/>
              </w:rPr>
              <w:t>(1.12, 1.73)</w:t>
            </w:r>
          </w:p>
        </w:tc>
        <w:tc>
          <w:tcPr>
            <w:tcW w:w="747" w:type="dxa"/>
            <w:tcBorders>
              <w:bottom w:val="single" w:sz="4" w:space="0" w:color="auto"/>
            </w:tcBorders>
            <w:shd w:val="clear" w:color="auto" w:fill="auto"/>
            <w:vAlign w:val="bottom"/>
          </w:tcPr>
          <w:p w14:paraId="771F258C" w14:textId="77777777" w:rsidR="00A023BD" w:rsidRPr="005258C9" w:rsidRDefault="00A023BD" w:rsidP="00A023BD">
            <w:pPr>
              <w:keepNext/>
              <w:jc w:val="right"/>
              <w:rPr>
                <w:color w:val="000000"/>
                <w:sz w:val="16"/>
                <w:szCs w:val="16"/>
                <w:lang w:eastAsia="en-NZ"/>
              </w:rPr>
            </w:pPr>
            <w:r w:rsidRPr="005258C9">
              <w:rPr>
                <w:color w:val="000000"/>
                <w:sz w:val="16"/>
                <w:szCs w:val="16"/>
                <w:lang w:eastAsia="en-NZ"/>
              </w:rPr>
              <w:t>0.003</w:t>
            </w:r>
          </w:p>
        </w:tc>
      </w:tr>
    </w:tbl>
    <w:p w14:paraId="1F945469" w14:textId="77777777" w:rsidR="00A023BD" w:rsidRPr="00230801" w:rsidRDefault="00A023BD" w:rsidP="00A023BD">
      <w:pPr>
        <w:rPr>
          <w:rFonts w:eastAsiaTheme="majorEastAsia"/>
          <w:sz w:val="16"/>
          <w:lang w:eastAsia="en-US"/>
        </w:rPr>
      </w:pPr>
      <w:r>
        <w:rPr>
          <w:rFonts w:eastAsiaTheme="majorEastAsia"/>
          <w:sz w:val="16"/>
          <w:lang w:eastAsia="en-US"/>
        </w:rPr>
        <w:t>Data weighted for 2013 Census data (all Waves) and attrition (Waves 2, 3 and 4)</w:t>
      </w:r>
    </w:p>
    <w:p w14:paraId="18770515" w14:textId="77777777" w:rsidR="004F677D" w:rsidRDefault="004F677D" w:rsidP="00A023BD">
      <w:pPr>
        <w:pStyle w:val="RepNormal"/>
        <w:rPr>
          <w:u w:val="single"/>
        </w:rPr>
      </w:pPr>
    </w:p>
    <w:p w14:paraId="290AB9CE" w14:textId="77777777" w:rsidR="004F677D" w:rsidRDefault="004F677D" w:rsidP="00A023BD">
      <w:pPr>
        <w:pStyle w:val="RepNormal"/>
        <w:rPr>
          <w:u w:val="single"/>
        </w:rPr>
      </w:pPr>
    </w:p>
    <w:p w14:paraId="1B86D464" w14:textId="77777777" w:rsidR="00A023BD" w:rsidRPr="004C057C" w:rsidRDefault="00A023BD" w:rsidP="00A023BD">
      <w:pPr>
        <w:pStyle w:val="RepNormal"/>
        <w:rPr>
          <w:u w:val="single"/>
        </w:rPr>
      </w:pPr>
      <w:r w:rsidRPr="00C21EA4">
        <w:rPr>
          <w:u w:val="single"/>
        </w:rPr>
        <w:t xml:space="preserve">Variables associated with </w:t>
      </w:r>
      <w:r>
        <w:rPr>
          <w:u w:val="single"/>
        </w:rPr>
        <w:t xml:space="preserve">a higher </w:t>
      </w:r>
      <w:r w:rsidRPr="004C057C">
        <w:rPr>
          <w:u w:val="single"/>
        </w:rPr>
        <w:t>chance of being a past year gambler</w:t>
      </w:r>
    </w:p>
    <w:p w14:paraId="1E8EB32B" w14:textId="77777777" w:rsidR="00A023BD" w:rsidRDefault="00A023BD" w:rsidP="00A023BD">
      <w:pPr>
        <w:pStyle w:val="RepNormal"/>
      </w:pPr>
    </w:p>
    <w:p w14:paraId="637C489B" w14:textId="77777777" w:rsidR="00A023BD" w:rsidRDefault="00A023BD" w:rsidP="00A023BD">
      <w:pPr>
        <w:pStyle w:val="RepNormal"/>
      </w:pPr>
      <w:r w:rsidRPr="00D159FD">
        <w:t>In the multiple logistic regression analyses, participants aged 40 to 64 years had almost twice</w:t>
      </w:r>
      <w:r>
        <w:t xml:space="preserve"> the odds of being a past year gambler vs. not gambling, than participants aged 18 to 39 years.  </w:t>
      </w:r>
    </w:p>
    <w:p w14:paraId="31FA4B8C" w14:textId="77777777" w:rsidR="00A023BD" w:rsidRDefault="00A023BD" w:rsidP="00A023BD">
      <w:pPr>
        <w:pStyle w:val="RepNormal"/>
      </w:pPr>
      <w:r>
        <w:t>Participants with an annual personal income higher than $20,000 had higher odds of being a past year gambler vs. not gambling, compared with participants earning $20,000 or less.  The odds increased with increasing income bands</w:t>
      </w:r>
      <w:r w:rsidR="00587E0A">
        <w:t xml:space="preserve"> from 1.55 times higher (for $20,001</w:t>
      </w:r>
      <w:r>
        <w:t xml:space="preserve"> to $40,000) to 2.44 times higher (for income greater than $60,000).  </w:t>
      </w:r>
    </w:p>
    <w:p w14:paraId="6A3104EF" w14:textId="77777777" w:rsidR="00A023BD" w:rsidRDefault="00A023BD" w:rsidP="00A023BD">
      <w:pPr>
        <w:pStyle w:val="RepNormal"/>
      </w:pPr>
    </w:p>
    <w:p w14:paraId="7597452C" w14:textId="77777777" w:rsidR="00A023BD" w:rsidRDefault="00A023BD" w:rsidP="00A023BD">
      <w:pPr>
        <w:pStyle w:val="RepNormal"/>
      </w:pPr>
      <w:r>
        <w:t>Participants who had experienced three or more major life events in the prior 12 months had 1.3 to 1.4 times higher odds of being a past year gambler vs. not gambling, compared with participants who had not experienced any major life events.</w:t>
      </w:r>
    </w:p>
    <w:p w14:paraId="4745AEF5" w14:textId="77777777" w:rsidR="00A023BD" w:rsidRDefault="00A023BD" w:rsidP="00A023BD">
      <w:pPr>
        <w:pStyle w:val="RepNormal"/>
      </w:pPr>
    </w:p>
    <w:p w14:paraId="5755BE26" w14:textId="77777777" w:rsidR="00A023BD" w:rsidRDefault="00A023BD" w:rsidP="00A023BD">
      <w:pPr>
        <w:pStyle w:val="RepNormal"/>
      </w:pPr>
      <w:r>
        <w:t>Participants who drank alcohol in a hazardous manner had 1.73 times higher odds of being a past year gambler vs. not gambling, than participants who did not have hazardous alcohol consumption.  Participants who had ever smoked more than 100 cigarettes in their lifetime had 1.39 times higher odds compared with participants who had not smoked this many cigarettes.</w:t>
      </w:r>
    </w:p>
    <w:p w14:paraId="0F6CAD25" w14:textId="77777777" w:rsidR="00A023BD" w:rsidRDefault="00A023BD" w:rsidP="00A023BD">
      <w:pPr>
        <w:pStyle w:val="RepNormal"/>
      </w:pPr>
    </w:p>
    <w:p w14:paraId="573B2926" w14:textId="77777777" w:rsidR="00A023BD" w:rsidRDefault="00A023BD" w:rsidP="00A023BD">
      <w:pPr>
        <w:pStyle w:val="RepNormal"/>
      </w:pPr>
      <w:r>
        <w:t xml:space="preserve">Although it appeared that </w:t>
      </w:r>
      <w:r w:rsidRPr="00D65F70">
        <w:t xml:space="preserve">participants with a vocational or trade qualification had 1.37 times higher odds </w:t>
      </w:r>
      <w:r>
        <w:t>of being a past year gambler vs. not gambling,</w:t>
      </w:r>
      <w:r w:rsidRPr="00D65F70">
        <w:t xml:space="preserve"> compared with participants without any formal qualification, the confidence interval included 1 for each of the different levels of educational attainment.  This indicates that the significance is probably between vocational/</w:t>
      </w:r>
      <w:r>
        <w:t xml:space="preserve"> </w:t>
      </w:r>
      <w:r w:rsidRPr="00D65F70">
        <w:t>trade qualification and a different reference group, in this case, university level education.</w:t>
      </w:r>
      <w:r>
        <w:t xml:space="preserve">    </w:t>
      </w:r>
    </w:p>
    <w:p w14:paraId="13A6864D" w14:textId="77777777" w:rsidR="00A023BD" w:rsidRDefault="00A023BD" w:rsidP="00A023BD">
      <w:pPr>
        <w:pStyle w:val="RepNormal"/>
      </w:pPr>
    </w:p>
    <w:p w14:paraId="767AF63C" w14:textId="77777777" w:rsidR="00A023BD" w:rsidRDefault="00A023BD" w:rsidP="00A023BD">
      <w:pPr>
        <w:pStyle w:val="RepNormal"/>
      </w:pPr>
    </w:p>
    <w:p w14:paraId="664559D3" w14:textId="77777777" w:rsidR="00A023BD" w:rsidRPr="00C21EA4" w:rsidRDefault="00A023BD" w:rsidP="00A023BD">
      <w:pPr>
        <w:pStyle w:val="RepNormal"/>
        <w:rPr>
          <w:u w:val="single"/>
        </w:rPr>
      </w:pPr>
      <w:r w:rsidRPr="00C21EA4">
        <w:rPr>
          <w:u w:val="single"/>
        </w:rPr>
        <w:t xml:space="preserve">Variables associated with </w:t>
      </w:r>
      <w:r>
        <w:rPr>
          <w:u w:val="single"/>
        </w:rPr>
        <w:t>a lower chance of being a past year gambler</w:t>
      </w:r>
    </w:p>
    <w:p w14:paraId="0D93E193" w14:textId="77777777" w:rsidR="00A023BD" w:rsidRDefault="00A023BD" w:rsidP="00A023BD">
      <w:pPr>
        <w:pStyle w:val="RepNormal"/>
      </w:pPr>
    </w:p>
    <w:p w14:paraId="7D4189C8" w14:textId="593076CE" w:rsidR="00A023BD" w:rsidRDefault="00A023BD" w:rsidP="00A023BD">
      <w:pPr>
        <w:pStyle w:val="RepNormal"/>
      </w:pPr>
      <w:r>
        <w:t>Time remained associated with the chance of being a past year gambler vs. not gambling</w:t>
      </w:r>
      <w:r w:rsidRPr="00D159FD">
        <w:t xml:space="preserve"> </w:t>
      </w:r>
      <w:r>
        <w:t xml:space="preserve">in the multiple logistic regression analyses, with participants in Waves 2 and 3 having </w:t>
      </w:r>
      <w:r w:rsidR="004D1358">
        <w:t>lower</w:t>
      </w:r>
      <w:r w:rsidR="00AA4D63">
        <w:t xml:space="preserve"> </w:t>
      </w:r>
      <w:r>
        <w:t>odds of being a past year gambler</w:t>
      </w:r>
      <w:r w:rsidR="004D1358">
        <w:t xml:space="preserve"> (odds ratio 0.07)</w:t>
      </w:r>
      <w:r>
        <w:t>, and participants in Wave 4 having lower odds</w:t>
      </w:r>
      <w:r w:rsidR="004D1358">
        <w:t xml:space="preserve"> (odds ratio 0.5)</w:t>
      </w:r>
      <w:r>
        <w:t>, than in Wave 1.</w:t>
      </w:r>
    </w:p>
    <w:p w14:paraId="564FC580" w14:textId="77777777" w:rsidR="00A023BD" w:rsidRDefault="00A023BD" w:rsidP="00A023BD">
      <w:pPr>
        <w:pStyle w:val="RepNormal"/>
      </w:pPr>
    </w:p>
    <w:p w14:paraId="4D58A57A" w14:textId="37F02E22" w:rsidR="00A023BD" w:rsidRDefault="00A023BD" w:rsidP="00A023BD">
      <w:pPr>
        <w:pStyle w:val="RepNormal"/>
      </w:pPr>
      <w:r>
        <w:t>Lower odds of being a past year gambler vs. not gambling remained for participants of Asian ethnicity (</w:t>
      </w:r>
      <w:r w:rsidR="004D1358">
        <w:t>odds ratio 0.30</w:t>
      </w:r>
      <w:r>
        <w:t xml:space="preserve">), compared with participants of European/Other ethnicity.  </w:t>
      </w:r>
    </w:p>
    <w:p w14:paraId="5CD11B53" w14:textId="77777777" w:rsidR="00A023BD" w:rsidRDefault="00A023BD" w:rsidP="00A023BD">
      <w:pPr>
        <w:pStyle w:val="RepNormal"/>
      </w:pPr>
    </w:p>
    <w:p w14:paraId="5D122F78" w14:textId="6F600A92" w:rsidR="00A023BD" w:rsidRDefault="00A023BD" w:rsidP="00A023BD">
      <w:pPr>
        <w:pStyle w:val="RepNormal"/>
      </w:pPr>
      <w:r>
        <w:t>Being affiliated with a religion remained associated with lower odds of being a past year gambler vs. not gambling (</w:t>
      </w:r>
      <w:r w:rsidR="004D1358">
        <w:t xml:space="preserve">odds ratio </w:t>
      </w:r>
      <w:r>
        <w:t xml:space="preserve">0.74), compared with not having a religion.  Migrants had lower odds of being a past year gambler vs. not gambling than participants who were born in New Zealand; this was particularly the case for more recent migrants (arrived in New Zealand after 2008; </w:t>
      </w:r>
      <w:r w:rsidR="004D1358">
        <w:t xml:space="preserve">odds ratio </w:t>
      </w:r>
      <w:r>
        <w:t>0.13) than for migrants who arrived in the country before 2008 (</w:t>
      </w:r>
      <w:r w:rsidR="004D1358">
        <w:t xml:space="preserve">odds ratio </w:t>
      </w:r>
      <w:r>
        <w:t>0.59).</w:t>
      </w:r>
    </w:p>
    <w:p w14:paraId="1DB3F326" w14:textId="77777777" w:rsidR="00A023BD" w:rsidRDefault="00A023BD" w:rsidP="00A023BD">
      <w:pPr>
        <w:pStyle w:val="RepNormal"/>
      </w:pPr>
    </w:p>
    <w:p w14:paraId="1B83C981" w14:textId="528264D2" w:rsidR="00A023BD" w:rsidRDefault="00A023BD" w:rsidP="00A023BD">
      <w:pPr>
        <w:pStyle w:val="RepNormal"/>
      </w:pPr>
      <w:r>
        <w:t>Experiencing a moderate or high level of psychological distress remained associated with lower odds of being a past year gambler vs. not gambling in the multiple variable analyses (</w:t>
      </w:r>
      <w:r w:rsidR="004D1358">
        <w:t xml:space="preserve">odds ratio </w:t>
      </w:r>
      <w:r>
        <w:t>0.71 and 0.35 times respectively), compared with experiencing a low level of psychological distress.</w:t>
      </w:r>
    </w:p>
    <w:p w14:paraId="6F62BEB4" w14:textId="77777777" w:rsidR="004D1358" w:rsidRDefault="004D1358" w:rsidP="00A023BD">
      <w:pPr>
        <w:pStyle w:val="RepNormal"/>
      </w:pPr>
    </w:p>
    <w:p w14:paraId="17654AC4" w14:textId="77777777" w:rsidR="00A023BD" w:rsidRDefault="00A023BD" w:rsidP="00AA4D63">
      <w:pPr>
        <w:pStyle w:val="RepHead2"/>
        <w:ind w:left="709" w:hanging="709"/>
      </w:pPr>
      <w:bookmarkStart w:id="136" w:name="_Ref483378860"/>
      <w:bookmarkStart w:id="137" w:name="_Toc504488376"/>
      <w:r>
        <w:t xml:space="preserve">Associations with </w:t>
      </w:r>
      <w:r w:rsidR="00AA4D63">
        <w:t xml:space="preserve">the chance of </w:t>
      </w:r>
      <w:r>
        <w:t>being a past year low-risk/moderate-risk/</w:t>
      </w:r>
      <w:r w:rsidR="00AA4D63">
        <w:t xml:space="preserve"> </w:t>
      </w:r>
      <w:r>
        <w:t>problem gambler</w:t>
      </w:r>
      <w:bookmarkEnd w:id="136"/>
      <w:r>
        <w:t xml:space="preserve"> vs. being a non-problem gambler/non-gambler across Waves 1 to 4</w:t>
      </w:r>
      <w:bookmarkEnd w:id="137"/>
    </w:p>
    <w:p w14:paraId="23F20816" w14:textId="77777777" w:rsidR="00A023BD" w:rsidRDefault="00A023BD" w:rsidP="00364987">
      <w:pPr>
        <w:pStyle w:val="RepNormal"/>
        <w:keepNext/>
      </w:pPr>
    </w:p>
    <w:p w14:paraId="172D0764" w14:textId="77777777" w:rsidR="00A023BD" w:rsidRDefault="00A023BD" w:rsidP="00364987">
      <w:pPr>
        <w:pStyle w:val="RepNormal"/>
        <w:keepNext/>
      </w:pPr>
      <w:r w:rsidRPr="00A55E1D">
        <w:t xml:space="preserve">This section details </w:t>
      </w:r>
      <w:r>
        <w:t xml:space="preserve">variables </w:t>
      </w:r>
      <w:r w:rsidRPr="00A55E1D">
        <w:t>associat</w:t>
      </w:r>
      <w:r>
        <w:t>ed</w:t>
      </w:r>
      <w:r w:rsidRPr="00A55E1D">
        <w:t xml:space="preserve"> with </w:t>
      </w:r>
      <w:r>
        <w:t>the chance of being a past year low-risk/moderate-risk/problem gambler</w:t>
      </w:r>
      <w:r w:rsidRPr="00A55E1D">
        <w:t xml:space="preserve"> versus </w:t>
      </w:r>
      <w:r>
        <w:t>being a non-problem gambler/non-g</w:t>
      </w:r>
      <w:r w:rsidRPr="00A55E1D">
        <w:t>ambl</w:t>
      </w:r>
      <w:r>
        <w:t>er, taking the four waves into account.</w:t>
      </w:r>
      <w:r w:rsidR="00364987">
        <w:t xml:space="preserve">  Bivariate associations (section </w:t>
      </w:r>
      <w:r w:rsidR="00364987">
        <w:fldChar w:fldCharType="begin"/>
      </w:r>
      <w:r w:rsidR="00364987">
        <w:instrText xml:space="preserve"> REF _Ref495670620 \r \h </w:instrText>
      </w:r>
      <w:r w:rsidR="00364987">
        <w:fldChar w:fldCharType="separate"/>
      </w:r>
      <w:r w:rsidR="00D5752E">
        <w:t>4.9.1</w:t>
      </w:r>
      <w:r w:rsidR="00364987">
        <w:fldChar w:fldCharType="end"/>
      </w:r>
      <w:r w:rsidR="00364987">
        <w:t>)</w:t>
      </w:r>
      <w:r w:rsidR="00776810">
        <w:t xml:space="preserve"> are presented, as are</w:t>
      </w:r>
      <w:r w:rsidR="00364987">
        <w:t xml:space="preserve"> multiple logistic regression analyses (section </w:t>
      </w:r>
      <w:r w:rsidR="00364987">
        <w:fldChar w:fldCharType="begin"/>
      </w:r>
      <w:r w:rsidR="00364987">
        <w:instrText xml:space="preserve"> REF _Ref495670654 \r \h </w:instrText>
      </w:r>
      <w:r w:rsidR="00364987">
        <w:fldChar w:fldCharType="separate"/>
      </w:r>
      <w:r w:rsidR="00D5752E">
        <w:t>4.9.2</w:t>
      </w:r>
      <w:r w:rsidR="00364987">
        <w:fldChar w:fldCharType="end"/>
      </w:r>
      <w:r w:rsidR="00364987">
        <w:t xml:space="preserve">) </w:t>
      </w:r>
      <w:r w:rsidR="00776810">
        <w:t xml:space="preserve">including for Māori (section </w:t>
      </w:r>
      <w:r w:rsidR="00776810">
        <w:fldChar w:fldCharType="begin"/>
      </w:r>
      <w:r w:rsidR="00776810">
        <w:instrText xml:space="preserve"> REF _Ref495670722 \r \h </w:instrText>
      </w:r>
      <w:r w:rsidR="00776810">
        <w:fldChar w:fldCharType="separate"/>
      </w:r>
      <w:r w:rsidR="00D5752E">
        <w:t>4.9.3</w:t>
      </w:r>
      <w:r w:rsidR="00776810">
        <w:fldChar w:fldCharType="end"/>
      </w:r>
      <w:r w:rsidR="00776810">
        <w:t xml:space="preserve">) and Pacific people (section </w:t>
      </w:r>
      <w:r w:rsidR="00776810">
        <w:fldChar w:fldCharType="begin"/>
      </w:r>
      <w:r w:rsidR="00776810">
        <w:instrText xml:space="preserve"> REF _Ref495670737 \r \h </w:instrText>
      </w:r>
      <w:r w:rsidR="00776810">
        <w:fldChar w:fldCharType="separate"/>
      </w:r>
      <w:r w:rsidR="00D5752E">
        <w:t>4.9.4</w:t>
      </w:r>
      <w:r w:rsidR="00776810">
        <w:fldChar w:fldCharType="end"/>
      </w:r>
      <w:r w:rsidR="00776810">
        <w:t>)</w:t>
      </w:r>
      <w:r w:rsidR="00364987">
        <w:t xml:space="preserve">.  </w:t>
      </w:r>
    </w:p>
    <w:p w14:paraId="7033A32B" w14:textId="77777777" w:rsidR="008B226A" w:rsidRDefault="008B226A" w:rsidP="00364987">
      <w:pPr>
        <w:pStyle w:val="RepNormal"/>
        <w:keepNext/>
      </w:pPr>
    </w:p>
    <w:p w14:paraId="3581412C" w14:textId="77777777" w:rsidR="00A023BD" w:rsidRDefault="00A023BD" w:rsidP="00A023BD">
      <w:pPr>
        <w:pStyle w:val="RepNormal"/>
      </w:pPr>
    </w:p>
    <w:p w14:paraId="3AAE1784" w14:textId="77777777" w:rsidR="00A023BD" w:rsidRDefault="00A023BD" w:rsidP="00A023BD">
      <w:pPr>
        <w:pStyle w:val="RepHead3"/>
      </w:pPr>
      <w:bookmarkStart w:id="138" w:name="_Ref495670620"/>
      <w:bookmarkStart w:id="139" w:name="_Toc504488377"/>
      <w:r>
        <w:t>Bivariate associations</w:t>
      </w:r>
      <w:bookmarkEnd w:id="138"/>
      <w:bookmarkEnd w:id="139"/>
    </w:p>
    <w:p w14:paraId="43C8F753" w14:textId="77777777" w:rsidR="00A023BD" w:rsidRDefault="00A023BD" w:rsidP="00A023BD">
      <w:pPr>
        <w:pStyle w:val="RepNormal"/>
        <w:keepNext/>
      </w:pPr>
    </w:p>
    <w:p w14:paraId="0FC4F2DD" w14:textId="77777777" w:rsidR="00A023BD" w:rsidRDefault="00A023BD" w:rsidP="00A023BD">
      <w:pPr>
        <w:pStyle w:val="RepNormal"/>
        <w:keepNext/>
      </w:pPr>
      <w:r>
        <w:t xml:space="preserve">Statistically significant bivariate associations are presented </w:t>
      </w:r>
      <w:r w:rsidRPr="008805C5">
        <w:t xml:space="preserve">in Appendix </w:t>
      </w:r>
      <w:r w:rsidR="003D7BB5">
        <w:t>29</w:t>
      </w:r>
      <w:r w:rsidRPr="008805C5">
        <w:t>.</w:t>
      </w:r>
    </w:p>
    <w:p w14:paraId="11A5B53F" w14:textId="77777777" w:rsidR="00A023BD" w:rsidRDefault="00A023BD" w:rsidP="00A023BD">
      <w:pPr>
        <w:pStyle w:val="RepNormal"/>
      </w:pPr>
    </w:p>
    <w:p w14:paraId="1D26E4C4" w14:textId="77777777" w:rsidR="00A023BD" w:rsidRDefault="00A023BD" w:rsidP="00A023BD">
      <w:pPr>
        <w:pStyle w:val="RepNormal"/>
      </w:pPr>
      <w:r>
        <w:t xml:space="preserve">Bivariate associations examined using logistic regression indicated that time (i.e. the year of participation) was not associated with the chance of being a low-risk/moderate-risk/problem gambler.  </w:t>
      </w:r>
    </w:p>
    <w:p w14:paraId="7822F37D" w14:textId="77777777" w:rsidR="00A023BD" w:rsidRDefault="00A023BD" w:rsidP="00A023BD">
      <w:pPr>
        <w:pStyle w:val="RepNormal"/>
      </w:pPr>
    </w:p>
    <w:p w14:paraId="6FE3FCC4" w14:textId="77777777" w:rsidR="00A023BD" w:rsidRDefault="00A023BD" w:rsidP="00A023BD">
      <w:pPr>
        <w:pStyle w:val="RepNormal"/>
      </w:pPr>
    </w:p>
    <w:p w14:paraId="1864DCDF" w14:textId="77777777" w:rsidR="00A023BD" w:rsidRPr="008D70BF" w:rsidRDefault="00A023BD" w:rsidP="00A023BD">
      <w:pPr>
        <w:pStyle w:val="RepNormal"/>
        <w:rPr>
          <w:u w:val="single"/>
        </w:rPr>
      </w:pPr>
      <w:r w:rsidRPr="00C21EA4">
        <w:rPr>
          <w:u w:val="single"/>
        </w:rPr>
        <w:t xml:space="preserve">Variables associated with </w:t>
      </w:r>
      <w:r>
        <w:rPr>
          <w:u w:val="single"/>
        </w:rPr>
        <w:t xml:space="preserve">a higher chance of being a past year </w:t>
      </w:r>
      <w:r w:rsidRPr="008D70BF">
        <w:rPr>
          <w:u w:val="single"/>
        </w:rPr>
        <w:t>low-risk/moderate-risk/problem gambler</w:t>
      </w:r>
    </w:p>
    <w:p w14:paraId="707A1F9D" w14:textId="77777777" w:rsidR="00A023BD" w:rsidRDefault="00A023BD" w:rsidP="00A023BD">
      <w:pPr>
        <w:pStyle w:val="RepNormal"/>
      </w:pPr>
    </w:p>
    <w:p w14:paraId="181BCA9D" w14:textId="77777777" w:rsidR="00A023BD" w:rsidRPr="00764B92" w:rsidRDefault="00A023BD" w:rsidP="00A023BD">
      <w:pPr>
        <w:pStyle w:val="RepNormal"/>
      </w:pPr>
      <w:r w:rsidRPr="005258C9">
        <w:t>Being of Māori, Pacific or Asian ethnicity (</w:t>
      </w:r>
      <w:r>
        <w:t>vs.</w:t>
      </w:r>
      <w:r w:rsidRPr="005258C9">
        <w:t xml:space="preserve"> being of European/Other ethnicity), being a migrant (vs. being New Zealand born), </w:t>
      </w:r>
      <w:r w:rsidRPr="00E51136">
        <w:t>living in a household with five or more people (vs. a household of one or two people)</w:t>
      </w:r>
      <w:r>
        <w:t>, and having one or more levels of individual deprivation</w:t>
      </w:r>
      <w:r w:rsidRPr="00E51136">
        <w:t xml:space="preserve"> </w:t>
      </w:r>
      <w:r w:rsidRPr="00764B92">
        <w:t>were significantly associated with</w:t>
      </w:r>
      <w:r>
        <w:t xml:space="preserve"> a</w:t>
      </w:r>
      <w:r w:rsidRPr="00764B92">
        <w:t xml:space="preserve"> </w:t>
      </w:r>
      <w:r>
        <w:t>higher</w:t>
      </w:r>
      <w:r w:rsidRPr="00764B92">
        <w:t xml:space="preserve"> </w:t>
      </w:r>
      <w:r>
        <w:t>chance of being a past year low-risk/moderate-risk/ problem gambler</w:t>
      </w:r>
      <w:r w:rsidRPr="00A55E1D">
        <w:t xml:space="preserve"> versus </w:t>
      </w:r>
      <w:r>
        <w:t>being a non-problem gambler/non-g</w:t>
      </w:r>
      <w:r w:rsidRPr="00A55E1D">
        <w:t>ambl</w:t>
      </w:r>
      <w:r>
        <w:t>er</w:t>
      </w:r>
      <w:r w:rsidRPr="00764B92">
        <w:t>.</w:t>
      </w:r>
    </w:p>
    <w:p w14:paraId="7D38B72F" w14:textId="77777777" w:rsidR="00A023BD" w:rsidRPr="005258C9" w:rsidRDefault="00A023BD" w:rsidP="00A023BD">
      <w:pPr>
        <w:pStyle w:val="RepNormal"/>
        <w:rPr>
          <w:highlight w:val="lightGray"/>
        </w:rPr>
      </w:pPr>
    </w:p>
    <w:p w14:paraId="03D8713A" w14:textId="77777777" w:rsidR="00A023BD" w:rsidRDefault="00A023BD" w:rsidP="00A023BD">
      <w:pPr>
        <w:pStyle w:val="RepNormal"/>
      </w:pPr>
      <w:r w:rsidRPr="006F6510">
        <w:t>Experiencing three or more major life events in the prior 12 months (vs. no major life events</w:t>
      </w:r>
      <w:r>
        <w:t>);</w:t>
      </w:r>
      <w:r w:rsidRPr="002E63D5">
        <w:t xml:space="preserve"> experiencing moderate, high or severe levels of psychological distress (vs. a low level of psychological distress)</w:t>
      </w:r>
      <w:r>
        <w:t xml:space="preserve">; </w:t>
      </w:r>
      <w:r w:rsidRPr="00564C8E">
        <w:t xml:space="preserve">hazardous alcohol consumption </w:t>
      </w:r>
      <w:r>
        <w:t>(vs. non-hazardous consumption);</w:t>
      </w:r>
      <w:r w:rsidRPr="00564C8E">
        <w:t xml:space="preserve"> using cannabis (vs. not using); and smoking, daily smoking tobacco or ever having smoked more than 100 cigarettes in lifetime (vs. not smoking in this manner) were</w:t>
      </w:r>
      <w:r>
        <w:t xml:space="preserve"> also</w:t>
      </w:r>
      <w:r w:rsidRPr="00564C8E">
        <w:t xml:space="preserve"> significantly associated with </w:t>
      </w:r>
      <w:r>
        <w:t>a higher</w:t>
      </w:r>
      <w:r w:rsidRPr="00564C8E">
        <w:t xml:space="preserve"> </w:t>
      </w:r>
      <w:r>
        <w:t>chance of being a past year low-risk/moderate-risk/problem gambler</w:t>
      </w:r>
      <w:r w:rsidRPr="00A55E1D">
        <w:t xml:space="preserve"> versus </w:t>
      </w:r>
      <w:r>
        <w:t>being a non-problem gambler/non-g</w:t>
      </w:r>
      <w:r w:rsidRPr="00A55E1D">
        <w:t>ambl</w:t>
      </w:r>
      <w:r>
        <w:t>er</w:t>
      </w:r>
      <w:r w:rsidRPr="00564C8E">
        <w:t>.</w:t>
      </w:r>
    </w:p>
    <w:p w14:paraId="217C67F5" w14:textId="77777777" w:rsidR="00A023BD" w:rsidRDefault="00A023BD" w:rsidP="00A023BD">
      <w:pPr>
        <w:pStyle w:val="RepNormal"/>
      </w:pPr>
    </w:p>
    <w:p w14:paraId="3CACEA16" w14:textId="77777777" w:rsidR="00A023BD" w:rsidRDefault="00A023BD" w:rsidP="00A023BD">
      <w:pPr>
        <w:pStyle w:val="RepNormal"/>
      </w:pPr>
      <w:r>
        <w:t>Additionally, gambling annually or more often, or monthly or more often on most gambling activities (vs. not gambling on the activities at these frequencies) and various other gambling behaviours were associated with a higher</w:t>
      </w:r>
      <w:r w:rsidRPr="00564C8E">
        <w:t xml:space="preserve"> </w:t>
      </w:r>
      <w:r>
        <w:t>chance of being a past year low-risk/moderate-risk/ problem gambler</w:t>
      </w:r>
      <w:r w:rsidRPr="00A55E1D">
        <w:t xml:space="preserve"> versus </w:t>
      </w:r>
      <w:r>
        <w:t>being a non-problem gambler/non-g</w:t>
      </w:r>
      <w:r w:rsidRPr="00A55E1D">
        <w:t>ambl</w:t>
      </w:r>
      <w:r>
        <w:t>er.</w:t>
      </w:r>
    </w:p>
    <w:p w14:paraId="509D1DCA" w14:textId="77777777" w:rsidR="00A023BD" w:rsidRDefault="00A023BD" w:rsidP="00A023BD">
      <w:pPr>
        <w:pStyle w:val="RepNormal"/>
      </w:pPr>
    </w:p>
    <w:p w14:paraId="368CB962" w14:textId="77777777" w:rsidR="00A023BD" w:rsidRDefault="00A023BD" w:rsidP="00A023BD">
      <w:pPr>
        <w:pStyle w:val="RepNormal"/>
      </w:pPr>
    </w:p>
    <w:p w14:paraId="4FB0A6C3" w14:textId="77777777" w:rsidR="00A023BD" w:rsidRPr="00C21EA4" w:rsidRDefault="00A023BD" w:rsidP="00A023BD">
      <w:pPr>
        <w:pStyle w:val="RepNormal"/>
        <w:rPr>
          <w:u w:val="single"/>
        </w:rPr>
      </w:pPr>
      <w:r w:rsidRPr="00C21EA4">
        <w:rPr>
          <w:u w:val="single"/>
        </w:rPr>
        <w:t xml:space="preserve">Variables associated with </w:t>
      </w:r>
      <w:r>
        <w:rPr>
          <w:u w:val="single"/>
        </w:rPr>
        <w:t xml:space="preserve">a lower chance of being a past year </w:t>
      </w:r>
      <w:r w:rsidRPr="008D70BF">
        <w:rPr>
          <w:u w:val="single"/>
        </w:rPr>
        <w:t>low-risk/moderate-risk/problem gambler</w:t>
      </w:r>
      <w:r>
        <w:rPr>
          <w:u w:val="single"/>
        </w:rPr>
        <w:t xml:space="preserve"> </w:t>
      </w:r>
    </w:p>
    <w:p w14:paraId="46FA6F97" w14:textId="77777777" w:rsidR="00A023BD" w:rsidRDefault="00A023BD" w:rsidP="00A023BD">
      <w:pPr>
        <w:pStyle w:val="RepNormal"/>
      </w:pPr>
    </w:p>
    <w:p w14:paraId="1097CB26" w14:textId="77777777" w:rsidR="00A023BD" w:rsidRPr="00764B92" w:rsidRDefault="00A023BD" w:rsidP="00A023BD">
      <w:pPr>
        <w:pStyle w:val="RepNormal"/>
      </w:pPr>
      <w:r>
        <w:t xml:space="preserve">Being aged 40 years or older (vs. 18 to 39 years), </w:t>
      </w:r>
      <w:r w:rsidRPr="005258C9">
        <w:t>having a vocational or trade qualification or being educated to university leve</w:t>
      </w:r>
      <w:r>
        <w:t xml:space="preserve">l (vs. no formal qualification), </w:t>
      </w:r>
      <w:r w:rsidRPr="00E51136">
        <w:t xml:space="preserve">having an annual personal income </w:t>
      </w:r>
      <w:r>
        <w:t>between $20,001</w:t>
      </w:r>
      <w:r w:rsidRPr="00E51136">
        <w:t xml:space="preserve"> </w:t>
      </w:r>
      <w:r>
        <w:t xml:space="preserve">and $40,000 </w:t>
      </w:r>
      <w:r w:rsidRPr="00E51136">
        <w:t xml:space="preserve">or </w:t>
      </w:r>
      <w:r>
        <w:t xml:space="preserve">greater than $60,000 </w:t>
      </w:r>
      <w:r w:rsidRPr="00E51136">
        <w:t xml:space="preserve">(vs. </w:t>
      </w:r>
      <w:r>
        <w:t>$20,000 or less</w:t>
      </w:r>
      <w:r w:rsidRPr="00E51136">
        <w:t>)</w:t>
      </w:r>
      <w:r>
        <w:t xml:space="preserve">, and </w:t>
      </w:r>
      <w:r w:rsidRPr="00E51136">
        <w:t>an annual household income higher tha</w:t>
      </w:r>
      <w:r>
        <w:t>n $4</w:t>
      </w:r>
      <w:r w:rsidRPr="00E51136">
        <w:t xml:space="preserve">0,000 (vs. </w:t>
      </w:r>
      <w:r>
        <w:t>$4</w:t>
      </w:r>
      <w:r w:rsidRPr="00E51136">
        <w:t>0,</w:t>
      </w:r>
      <w:r w:rsidRPr="00764B92">
        <w:t>000</w:t>
      </w:r>
      <w:r>
        <w:t xml:space="preserve"> or less)</w:t>
      </w:r>
      <w:r w:rsidRPr="00764B92">
        <w:t xml:space="preserve"> were significantly associated with </w:t>
      </w:r>
      <w:r>
        <w:t>a lower</w:t>
      </w:r>
      <w:r w:rsidRPr="00764B92">
        <w:t xml:space="preserve"> </w:t>
      </w:r>
      <w:r>
        <w:t>chance of being a past year low-risk/moderate-risk/problem gambler</w:t>
      </w:r>
      <w:r w:rsidRPr="00A55E1D">
        <w:t xml:space="preserve"> versus </w:t>
      </w:r>
      <w:r>
        <w:t>being a non-problem gambler/non-g</w:t>
      </w:r>
      <w:r w:rsidRPr="00A55E1D">
        <w:t>ambl</w:t>
      </w:r>
      <w:r>
        <w:t>er</w:t>
      </w:r>
      <w:r w:rsidRPr="00764B92">
        <w:t>.</w:t>
      </w:r>
    </w:p>
    <w:p w14:paraId="2A593BBC" w14:textId="77777777" w:rsidR="00A023BD" w:rsidRPr="005258C9" w:rsidRDefault="00A023BD" w:rsidP="00A023BD">
      <w:pPr>
        <w:pStyle w:val="RepNormal"/>
        <w:rPr>
          <w:highlight w:val="lightGray"/>
        </w:rPr>
      </w:pPr>
    </w:p>
    <w:p w14:paraId="3C55675A" w14:textId="77777777" w:rsidR="00A023BD" w:rsidRDefault="00A023BD" w:rsidP="00A023BD">
      <w:pPr>
        <w:pStyle w:val="RepNormal"/>
      </w:pPr>
      <w:r w:rsidRPr="006E19E4">
        <w:t>Having a quality of life score equivalent to the median level (vs. below median),</w:t>
      </w:r>
      <w:r w:rsidRPr="00564C8E">
        <w:t xml:space="preserve"> and not using illegal drugs (vs. using drugs) were also significantly associated with </w:t>
      </w:r>
      <w:r>
        <w:t>a lower</w:t>
      </w:r>
      <w:r w:rsidRPr="00564C8E">
        <w:t xml:space="preserve"> </w:t>
      </w:r>
      <w:r>
        <w:t>chance of being a past year low-risk/moderate-risk/problem gambler</w:t>
      </w:r>
      <w:r w:rsidRPr="00A55E1D">
        <w:t xml:space="preserve"> versus </w:t>
      </w:r>
      <w:r>
        <w:t>being a non-problem gambler/non-g</w:t>
      </w:r>
      <w:r w:rsidRPr="00A55E1D">
        <w:t>ambl</w:t>
      </w:r>
      <w:r>
        <w:t>er</w:t>
      </w:r>
      <w:r w:rsidRPr="00564C8E">
        <w:t>.</w:t>
      </w:r>
    </w:p>
    <w:p w14:paraId="336AA92F" w14:textId="77777777" w:rsidR="00A023BD" w:rsidRDefault="00A023BD" w:rsidP="00A023BD">
      <w:pPr>
        <w:pStyle w:val="RepNormal"/>
      </w:pPr>
    </w:p>
    <w:p w14:paraId="1DE9407A" w14:textId="77777777" w:rsidR="00A023BD" w:rsidRDefault="00A023BD" w:rsidP="00A023BD">
      <w:pPr>
        <w:pStyle w:val="RepNormal"/>
      </w:pPr>
      <w:r>
        <w:t>Additionally, gambling less frequently than weekly (vs. weekly or more often) was associated with a lower</w:t>
      </w:r>
      <w:r w:rsidRPr="00564C8E">
        <w:t xml:space="preserve"> </w:t>
      </w:r>
      <w:r>
        <w:t>chance of being a past year low-risk/moderate-risk/problem gambler</w:t>
      </w:r>
      <w:r w:rsidRPr="00A55E1D">
        <w:t xml:space="preserve"> versus </w:t>
      </w:r>
      <w:r>
        <w:t>being a non-problem gambler/non-g</w:t>
      </w:r>
      <w:r w:rsidRPr="00A55E1D">
        <w:t>ambl</w:t>
      </w:r>
      <w:r>
        <w:t>er.</w:t>
      </w:r>
    </w:p>
    <w:p w14:paraId="185B37FA" w14:textId="77777777" w:rsidR="00A023BD" w:rsidRDefault="00A023BD" w:rsidP="00A023BD">
      <w:pPr>
        <w:pStyle w:val="RepNormal"/>
      </w:pPr>
    </w:p>
    <w:p w14:paraId="7E7F3960" w14:textId="77777777" w:rsidR="00A023BD" w:rsidRDefault="00A023BD" w:rsidP="00A023BD">
      <w:pPr>
        <w:pStyle w:val="RepNormal"/>
      </w:pPr>
    </w:p>
    <w:p w14:paraId="71C9039F" w14:textId="77777777" w:rsidR="00A023BD" w:rsidRDefault="00A023BD" w:rsidP="00A023BD">
      <w:pPr>
        <w:pStyle w:val="RepHead3"/>
      </w:pPr>
      <w:bookmarkStart w:id="140" w:name="_Ref495670654"/>
      <w:bookmarkStart w:id="141" w:name="_Toc504488378"/>
      <w:r w:rsidRPr="00B116A3">
        <w:t>Multiple logistic regression</w:t>
      </w:r>
      <w:bookmarkEnd w:id="140"/>
      <w:bookmarkEnd w:id="141"/>
    </w:p>
    <w:p w14:paraId="479CCC65" w14:textId="77777777" w:rsidR="00A023BD" w:rsidRDefault="00A023BD" w:rsidP="00A023BD">
      <w:pPr>
        <w:pStyle w:val="RepNormal"/>
        <w:keepNext/>
      </w:pPr>
    </w:p>
    <w:p w14:paraId="655A0C3E" w14:textId="77777777" w:rsidR="00A023BD" w:rsidRPr="005C7F89" w:rsidRDefault="00A023BD" w:rsidP="00A023BD">
      <w:pPr>
        <w:pStyle w:val="RepNormal"/>
        <w:keepNext/>
      </w:pPr>
      <w:r>
        <w:t xml:space="preserve">Data are presented in </w:t>
      </w:r>
      <w:r>
        <w:fldChar w:fldCharType="begin"/>
      </w:r>
      <w:r>
        <w:instrText xml:space="preserve"> REF _Ref481497522 \h </w:instrText>
      </w:r>
      <w:r>
        <w:fldChar w:fldCharType="separate"/>
      </w:r>
      <w:r w:rsidR="00D5752E">
        <w:t xml:space="preserve">Table </w:t>
      </w:r>
      <w:r w:rsidR="00D5752E">
        <w:rPr>
          <w:noProof/>
        </w:rPr>
        <w:t>15</w:t>
      </w:r>
      <w:r>
        <w:fldChar w:fldCharType="end"/>
      </w:r>
      <w:r w:rsidRPr="00BF3771">
        <w:t>.</w:t>
      </w:r>
    </w:p>
    <w:p w14:paraId="4A94804A" w14:textId="77777777" w:rsidR="00A023BD" w:rsidRDefault="00A023BD" w:rsidP="00A023BD">
      <w:pPr>
        <w:pStyle w:val="RepNormal"/>
        <w:keepNext/>
      </w:pPr>
    </w:p>
    <w:p w14:paraId="3E0A6196" w14:textId="77777777" w:rsidR="00A023BD" w:rsidRPr="00680444" w:rsidRDefault="00A023BD" w:rsidP="00A023BD">
      <w:pPr>
        <w:pStyle w:val="RepNormal"/>
        <w:keepNext/>
      </w:pPr>
      <w:r w:rsidRPr="00C461FD">
        <w:t>Multiple logistic regression analyses showed that</w:t>
      </w:r>
      <w:r>
        <w:t xml:space="preserve"> ethnicity, annual household income, level of individual deprivation, experiencing major life events, psychological distress, using cannabis, and various gambling participation </w:t>
      </w:r>
      <w:r w:rsidRPr="00680444">
        <w:t xml:space="preserve">behaviours remained significantly associated with </w:t>
      </w:r>
      <w:r>
        <w:t>the chance of being a past year low-risk/moderate-risk/problem gambler</w:t>
      </w:r>
      <w:r w:rsidRPr="00A55E1D">
        <w:t xml:space="preserve"> versus </w:t>
      </w:r>
      <w:r>
        <w:t>being a non-problem gambler/non-g</w:t>
      </w:r>
      <w:r w:rsidRPr="00A55E1D">
        <w:t>ambl</w:t>
      </w:r>
      <w:r>
        <w:t>er</w:t>
      </w:r>
      <w:r w:rsidRPr="00680444">
        <w:t>.</w:t>
      </w:r>
    </w:p>
    <w:p w14:paraId="2F4E9501" w14:textId="77777777" w:rsidR="00A023BD" w:rsidRPr="00C461FD" w:rsidRDefault="00A023BD" w:rsidP="00A023BD">
      <w:pPr>
        <w:pStyle w:val="RepNormal"/>
        <w:rPr>
          <w:highlight w:val="lightGray"/>
        </w:rPr>
      </w:pPr>
    </w:p>
    <w:p w14:paraId="74B71536" w14:textId="77777777" w:rsidR="00A023BD" w:rsidRPr="00B01A26" w:rsidRDefault="00A023BD" w:rsidP="00A023BD">
      <w:pPr>
        <w:pStyle w:val="Caption"/>
        <w:keepNext/>
        <w:jc w:val="both"/>
        <w:rPr>
          <w:sz w:val="22"/>
          <w:szCs w:val="22"/>
        </w:rPr>
      </w:pPr>
      <w:bookmarkStart w:id="142" w:name="_Ref481497522"/>
      <w:bookmarkStart w:id="143" w:name="_Toc504488440"/>
      <w:r>
        <w:t xml:space="preserve">Table </w:t>
      </w:r>
      <w:r w:rsidR="00D5752E">
        <w:fldChar w:fldCharType="begin"/>
      </w:r>
      <w:r w:rsidR="00D5752E">
        <w:instrText xml:space="preserve"> SEQ Tabl</w:instrText>
      </w:r>
      <w:r w:rsidR="00D5752E">
        <w:instrText xml:space="preserve">e \* ARABIC </w:instrText>
      </w:r>
      <w:r w:rsidR="00D5752E">
        <w:fldChar w:fldCharType="separate"/>
      </w:r>
      <w:r w:rsidR="00D5752E">
        <w:rPr>
          <w:noProof/>
        </w:rPr>
        <w:t>15</w:t>
      </w:r>
      <w:r w:rsidR="00D5752E">
        <w:rPr>
          <w:noProof/>
        </w:rPr>
        <w:fldChar w:fldCharType="end"/>
      </w:r>
      <w:bookmarkEnd w:id="142"/>
      <w:r>
        <w:t xml:space="preserve">: Multiple logistic regression for </w:t>
      </w:r>
      <w:r w:rsidR="00B862CB">
        <w:t xml:space="preserve">the chance of </w:t>
      </w:r>
      <w:r>
        <w:t>being a past year low-risk/moderate-risk/problem gambler</w:t>
      </w:r>
      <w:r w:rsidRPr="00A55E1D">
        <w:t xml:space="preserve"> versus </w:t>
      </w:r>
      <w:r>
        <w:t>being a non-problem gambler/non-g</w:t>
      </w:r>
      <w:r w:rsidRPr="00A55E1D">
        <w:t>ambl</w:t>
      </w:r>
      <w:r>
        <w:t>er across Waves 1 to 4</w:t>
      </w:r>
      <w:bookmarkEnd w:id="143"/>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1134"/>
        <w:gridCol w:w="1134"/>
        <w:gridCol w:w="850"/>
      </w:tblGrid>
      <w:tr w:rsidR="00A023BD" w:rsidRPr="003F15C0" w14:paraId="734EB198" w14:textId="77777777" w:rsidTr="00A023BD">
        <w:trPr>
          <w:tblHeader/>
        </w:trPr>
        <w:tc>
          <w:tcPr>
            <w:tcW w:w="5387" w:type="dxa"/>
            <w:tcBorders>
              <w:top w:val="single" w:sz="4" w:space="0" w:color="auto"/>
              <w:bottom w:val="single" w:sz="4" w:space="0" w:color="auto"/>
            </w:tcBorders>
            <w:vAlign w:val="bottom"/>
          </w:tcPr>
          <w:p w14:paraId="2EB5AE42" w14:textId="77777777" w:rsidR="00A023BD" w:rsidRPr="003F15C0" w:rsidRDefault="00A023BD" w:rsidP="00A023BD">
            <w:pPr>
              <w:spacing w:before="20"/>
              <w:jc w:val="both"/>
              <w:rPr>
                <w:b/>
                <w:sz w:val="16"/>
                <w:szCs w:val="16"/>
              </w:rPr>
            </w:pPr>
            <w:r>
              <w:rPr>
                <w:b/>
                <w:sz w:val="16"/>
                <w:szCs w:val="16"/>
              </w:rPr>
              <w:t>Wave 1 v</w:t>
            </w:r>
            <w:r w:rsidRPr="003F15C0">
              <w:rPr>
                <w:b/>
                <w:sz w:val="16"/>
                <w:szCs w:val="16"/>
              </w:rPr>
              <w:t>ariable</w:t>
            </w:r>
          </w:p>
        </w:tc>
        <w:tc>
          <w:tcPr>
            <w:tcW w:w="1134" w:type="dxa"/>
            <w:tcBorders>
              <w:top w:val="single" w:sz="4" w:space="0" w:color="auto"/>
              <w:bottom w:val="single" w:sz="4" w:space="0" w:color="auto"/>
            </w:tcBorders>
            <w:vAlign w:val="bottom"/>
          </w:tcPr>
          <w:p w14:paraId="0AEAD459" w14:textId="6206CB0F" w:rsidR="00A023BD" w:rsidRPr="003F15C0" w:rsidRDefault="004B0286" w:rsidP="00A023BD">
            <w:pPr>
              <w:spacing w:before="20"/>
              <w:jc w:val="right"/>
              <w:rPr>
                <w:b/>
                <w:color w:val="000000"/>
                <w:sz w:val="16"/>
                <w:szCs w:val="16"/>
              </w:rPr>
            </w:pPr>
            <w:r>
              <w:rPr>
                <w:b/>
                <w:color w:val="000000"/>
                <w:sz w:val="16"/>
                <w:szCs w:val="16"/>
              </w:rPr>
              <w:t>Odds r</w:t>
            </w:r>
            <w:r w:rsidR="00A023BD" w:rsidRPr="003F15C0">
              <w:rPr>
                <w:b/>
                <w:color w:val="000000"/>
                <w:sz w:val="16"/>
                <w:szCs w:val="16"/>
              </w:rPr>
              <w:t>atio</w:t>
            </w:r>
          </w:p>
        </w:tc>
        <w:tc>
          <w:tcPr>
            <w:tcW w:w="1134" w:type="dxa"/>
            <w:tcBorders>
              <w:top w:val="single" w:sz="4" w:space="0" w:color="auto"/>
              <w:bottom w:val="single" w:sz="4" w:space="0" w:color="auto"/>
            </w:tcBorders>
            <w:vAlign w:val="bottom"/>
          </w:tcPr>
          <w:p w14:paraId="6DE120E9" w14:textId="77777777" w:rsidR="00A023BD" w:rsidRPr="003F15C0" w:rsidRDefault="00A023BD" w:rsidP="00A023BD">
            <w:pPr>
              <w:spacing w:before="20"/>
              <w:jc w:val="right"/>
              <w:rPr>
                <w:b/>
                <w:color w:val="000000"/>
                <w:sz w:val="16"/>
                <w:szCs w:val="16"/>
              </w:rPr>
            </w:pPr>
            <w:r w:rsidRPr="003F15C0">
              <w:rPr>
                <w:b/>
                <w:color w:val="000000"/>
                <w:sz w:val="16"/>
                <w:szCs w:val="16"/>
              </w:rPr>
              <w:t>(95% CI)</w:t>
            </w:r>
          </w:p>
        </w:tc>
        <w:tc>
          <w:tcPr>
            <w:tcW w:w="850" w:type="dxa"/>
            <w:tcBorders>
              <w:top w:val="single" w:sz="4" w:space="0" w:color="auto"/>
              <w:bottom w:val="single" w:sz="4" w:space="0" w:color="auto"/>
            </w:tcBorders>
            <w:vAlign w:val="bottom"/>
          </w:tcPr>
          <w:p w14:paraId="70B88EE4" w14:textId="77777777" w:rsidR="00A023BD" w:rsidRPr="003F15C0" w:rsidRDefault="00A023BD" w:rsidP="00A023BD">
            <w:pPr>
              <w:spacing w:before="20"/>
              <w:jc w:val="right"/>
              <w:rPr>
                <w:b/>
                <w:color w:val="000000"/>
                <w:sz w:val="16"/>
                <w:szCs w:val="16"/>
              </w:rPr>
            </w:pPr>
            <w:r w:rsidRPr="003F15C0">
              <w:rPr>
                <w:b/>
                <w:color w:val="000000"/>
                <w:sz w:val="16"/>
                <w:szCs w:val="16"/>
              </w:rPr>
              <w:t>p-value</w:t>
            </w:r>
          </w:p>
        </w:tc>
      </w:tr>
      <w:tr w:rsidR="00A023BD" w:rsidRPr="003F15C0" w14:paraId="7619DA41" w14:textId="77777777" w:rsidTr="00A023BD">
        <w:tc>
          <w:tcPr>
            <w:tcW w:w="5387" w:type="dxa"/>
          </w:tcPr>
          <w:p w14:paraId="2CFFFC4C" w14:textId="77777777" w:rsidR="00A023BD" w:rsidRPr="009A1B9E" w:rsidRDefault="00A023BD" w:rsidP="00A023BD">
            <w:pPr>
              <w:spacing w:before="20"/>
              <w:jc w:val="both"/>
              <w:rPr>
                <w:b/>
                <w:sz w:val="16"/>
                <w:szCs w:val="16"/>
              </w:rPr>
            </w:pPr>
            <w:r w:rsidRPr="009A1B9E">
              <w:rPr>
                <w:b/>
                <w:sz w:val="16"/>
                <w:szCs w:val="16"/>
              </w:rPr>
              <w:t>Ethnic group (prioritised)</w:t>
            </w:r>
          </w:p>
        </w:tc>
        <w:tc>
          <w:tcPr>
            <w:tcW w:w="1134" w:type="dxa"/>
            <w:shd w:val="clear" w:color="auto" w:fill="auto"/>
            <w:vAlign w:val="center"/>
          </w:tcPr>
          <w:p w14:paraId="737EAE9F" w14:textId="77777777" w:rsidR="00A023BD" w:rsidRPr="00230801" w:rsidRDefault="00A023BD" w:rsidP="00A023BD">
            <w:pPr>
              <w:jc w:val="right"/>
              <w:rPr>
                <w:color w:val="000000"/>
                <w:sz w:val="16"/>
                <w:szCs w:val="16"/>
                <w:lang w:eastAsia="en-NZ"/>
              </w:rPr>
            </w:pPr>
          </w:p>
        </w:tc>
        <w:tc>
          <w:tcPr>
            <w:tcW w:w="1134" w:type="dxa"/>
            <w:shd w:val="clear" w:color="auto" w:fill="auto"/>
            <w:vAlign w:val="center"/>
          </w:tcPr>
          <w:p w14:paraId="5DFE00BF" w14:textId="77777777" w:rsidR="00A023BD" w:rsidRPr="00230801" w:rsidRDefault="00A023BD" w:rsidP="00A023BD">
            <w:pPr>
              <w:jc w:val="right"/>
              <w:rPr>
                <w:color w:val="000000"/>
                <w:sz w:val="16"/>
                <w:szCs w:val="16"/>
                <w:lang w:eastAsia="en-NZ"/>
              </w:rPr>
            </w:pPr>
          </w:p>
        </w:tc>
        <w:tc>
          <w:tcPr>
            <w:tcW w:w="850" w:type="dxa"/>
            <w:shd w:val="clear" w:color="auto" w:fill="auto"/>
            <w:vAlign w:val="center"/>
          </w:tcPr>
          <w:p w14:paraId="746F8A4E" w14:textId="77777777" w:rsidR="00A023BD" w:rsidRPr="00230801" w:rsidRDefault="00A023BD" w:rsidP="00A023BD">
            <w:pPr>
              <w:jc w:val="right"/>
              <w:rPr>
                <w:color w:val="000000"/>
                <w:sz w:val="16"/>
                <w:szCs w:val="16"/>
                <w:lang w:eastAsia="en-NZ"/>
              </w:rPr>
            </w:pPr>
          </w:p>
        </w:tc>
      </w:tr>
      <w:tr w:rsidR="00A023BD" w:rsidRPr="003F15C0" w14:paraId="7F602110" w14:textId="77777777" w:rsidTr="00A023BD">
        <w:tc>
          <w:tcPr>
            <w:tcW w:w="5387" w:type="dxa"/>
            <w:vAlign w:val="bottom"/>
          </w:tcPr>
          <w:p w14:paraId="58D6DCA2" w14:textId="77777777" w:rsidR="00A023BD" w:rsidRPr="009A1B9E" w:rsidRDefault="00A023BD" w:rsidP="00A023BD">
            <w:pPr>
              <w:spacing w:before="20"/>
              <w:ind w:left="176"/>
              <w:jc w:val="both"/>
              <w:rPr>
                <w:sz w:val="16"/>
                <w:szCs w:val="16"/>
              </w:rPr>
            </w:pPr>
            <w:r>
              <w:rPr>
                <w:sz w:val="16"/>
                <w:szCs w:val="16"/>
              </w:rPr>
              <w:t>Māori</w:t>
            </w:r>
          </w:p>
        </w:tc>
        <w:tc>
          <w:tcPr>
            <w:tcW w:w="1134" w:type="dxa"/>
            <w:shd w:val="clear" w:color="auto" w:fill="auto"/>
            <w:vAlign w:val="bottom"/>
          </w:tcPr>
          <w:p w14:paraId="45DB17C8" w14:textId="77777777" w:rsidR="00A023BD" w:rsidRPr="00A023BD" w:rsidRDefault="00A023BD" w:rsidP="00A023BD">
            <w:pPr>
              <w:keepNext/>
              <w:jc w:val="right"/>
              <w:rPr>
                <w:color w:val="000000"/>
                <w:sz w:val="16"/>
                <w:szCs w:val="16"/>
                <w:lang w:eastAsia="en-NZ"/>
              </w:rPr>
            </w:pPr>
            <w:r w:rsidRPr="00A023BD">
              <w:rPr>
                <w:color w:val="000000"/>
                <w:sz w:val="16"/>
                <w:szCs w:val="16"/>
                <w:lang w:eastAsia="en-NZ"/>
              </w:rPr>
              <w:t>2.92</w:t>
            </w:r>
          </w:p>
        </w:tc>
        <w:tc>
          <w:tcPr>
            <w:tcW w:w="1134" w:type="dxa"/>
            <w:shd w:val="clear" w:color="auto" w:fill="auto"/>
            <w:vAlign w:val="bottom"/>
          </w:tcPr>
          <w:p w14:paraId="012C20D6" w14:textId="77777777" w:rsidR="00A023BD" w:rsidRPr="00A023BD" w:rsidRDefault="00A023BD" w:rsidP="00A023BD">
            <w:pPr>
              <w:keepNext/>
              <w:jc w:val="right"/>
              <w:rPr>
                <w:color w:val="000000"/>
                <w:sz w:val="16"/>
                <w:szCs w:val="16"/>
                <w:lang w:eastAsia="en-NZ"/>
              </w:rPr>
            </w:pPr>
            <w:r w:rsidRPr="00A023BD">
              <w:rPr>
                <w:color w:val="000000"/>
                <w:sz w:val="16"/>
                <w:szCs w:val="16"/>
                <w:lang w:eastAsia="en-NZ"/>
              </w:rPr>
              <w:t>(1.75, 4.88)</w:t>
            </w:r>
          </w:p>
        </w:tc>
        <w:tc>
          <w:tcPr>
            <w:tcW w:w="850" w:type="dxa"/>
            <w:shd w:val="clear" w:color="auto" w:fill="auto"/>
            <w:vAlign w:val="bottom"/>
          </w:tcPr>
          <w:p w14:paraId="14F468AB" w14:textId="77777777" w:rsidR="00A023BD" w:rsidRPr="00DF4034" w:rsidRDefault="00A023BD" w:rsidP="00A023BD">
            <w:pPr>
              <w:keepNext/>
              <w:jc w:val="right"/>
              <w:rPr>
                <w:color w:val="000000"/>
                <w:sz w:val="16"/>
                <w:szCs w:val="16"/>
                <w:lang w:eastAsia="en-NZ"/>
              </w:rPr>
            </w:pPr>
          </w:p>
        </w:tc>
      </w:tr>
      <w:tr w:rsidR="00A023BD" w:rsidRPr="003F15C0" w14:paraId="5C248D43" w14:textId="77777777" w:rsidTr="00A023BD">
        <w:tc>
          <w:tcPr>
            <w:tcW w:w="5387" w:type="dxa"/>
            <w:vAlign w:val="bottom"/>
          </w:tcPr>
          <w:p w14:paraId="25E17051" w14:textId="77777777" w:rsidR="00A023BD" w:rsidRPr="009A1B9E" w:rsidRDefault="00A023BD" w:rsidP="00A023BD">
            <w:pPr>
              <w:spacing w:before="20"/>
              <w:ind w:left="176"/>
              <w:jc w:val="both"/>
              <w:rPr>
                <w:sz w:val="16"/>
                <w:szCs w:val="16"/>
              </w:rPr>
            </w:pPr>
            <w:r w:rsidRPr="009A1B9E">
              <w:rPr>
                <w:sz w:val="16"/>
                <w:szCs w:val="16"/>
              </w:rPr>
              <w:t>Pacific</w:t>
            </w:r>
          </w:p>
        </w:tc>
        <w:tc>
          <w:tcPr>
            <w:tcW w:w="1134" w:type="dxa"/>
            <w:shd w:val="clear" w:color="auto" w:fill="auto"/>
            <w:vAlign w:val="bottom"/>
          </w:tcPr>
          <w:p w14:paraId="549E9B48" w14:textId="77777777" w:rsidR="00A023BD" w:rsidRPr="00A023BD" w:rsidRDefault="00A023BD" w:rsidP="00A023BD">
            <w:pPr>
              <w:keepNext/>
              <w:jc w:val="right"/>
              <w:rPr>
                <w:color w:val="000000"/>
                <w:sz w:val="16"/>
                <w:szCs w:val="16"/>
                <w:lang w:eastAsia="en-NZ"/>
              </w:rPr>
            </w:pPr>
            <w:r w:rsidRPr="00A023BD">
              <w:rPr>
                <w:color w:val="000000"/>
                <w:sz w:val="16"/>
                <w:szCs w:val="16"/>
                <w:lang w:eastAsia="en-NZ"/>
              </w:rPr>
              <w:t>2.50</w:t>
            </w:r>
          </w:p>
        </w:tc>
        <w:tc>
          <w:tcPr>
            <w:tcW w:w="1134" w:type="dxa"/>
            <w:shd w:val="clear" w:color="auto" w:fill="auto"/>
            <w:vAlign w:val="bottom"/>
          </w:tcPr>
          <w:p w14:paraId="63B7FA69" w14:textId="77777777" w:rsidR="00A023BD" w:rsidRPr="00A023BD" w:rsidRDefault="00A023BD" w:rsidP="00A023BD">
            <w:pPr>
              <w:keepNext/>
              <w:jc w:val="right"/>
              <w:rPr>
                <w:color w:val="000000"/>
                <w:sz w:val="16"/>
                <w:szCs w:val="16"/>
                <w:lang w:eastAsia="en-NZ"/>
              </w:rPr>
            </w:pPr>
            <w:r w:rsidRPr="00A023BD">
              <w:rPr>
                <w:color w:val="000000"/>
                <w:sz w:val="16"/>
                <w:szCs w:val="16"/>
                <w:lang w:eastAsia="en-NZ"/>
              </w:rPr>
              <w:t>(1.48, 4.24)</w:t>
            </w:r>
          </w:p>
        </w:tc>
        <w:tc>
          <w:tcPr>
            <w:tcW w:w="850" w:type="dxa"/>
            <w:shd w:val="clear" w:color="auto" w:fill="auto"/>
            <w:vAlign w:val="bottom"/>
          </w:tcPr>
          <w:p w14:paraId="240E8582" w14:textId="77777777" w:rsidR="00A023BD" w:rsidRPr="00DF4034" w:rsidRDefault="00A023BD" w:rsidP="00A023BD">
            <w:pPr>
              <w:keepNext/>
              <w:jc w:val="right"/>
              <w:rPr>
                <w:color w:val="000000"/>
                <w:sz w:val="16"/>
                <w:szCs w:val="16"/>
                <w:lang w:eastAsia="en-NZ"/>
              </w:rPr>
            </w:pPr>
          </w:p>
        </w:tc>
      </w:tr>
      <w:tr w:rsidR="00A023BD" w:rsidRPr="003F15C0" w14:paraId="2B4B78ED" w14:textId="77777777" w:rsidTr="00A023BD">
        <w:tc>
          <w:tcPr>
            <w:tcW w:w="5387" w:type="dxa"/>
            <w:vAlign w:val="bottom"/>
          </w:tcPr>
          <w:p w14:paraId="014C36A9" w14:textId="77777777" w:rsidR="00A023BD" w:rsidRPr="009A1B9E" w:rsidRDefault="00A023BD" w:rsidP="00A023BD">
            <w:pPr>
              <w:spacing w:before="20"/>
              <w:ind w:left="176"/>
              <w:jc w:val="both"/>
              <w:rPr>
                <w:sz w:val="16"/>
                <w:szCs w:val="16"/>
              </w:rPr>
            </w:pPr>
            <w:r w:rsidRPr="009A1B9E">
              <w:rPr>
                <w:sz w:val="16"/>
                <w:szCs w:val="16"/>
              </w:rPr>
              <w:t>Asian</w:t>
            </w:r>
          </w:p>
        </w:tc>
        <w:tc>
          <w:tcPr>
            <w:tcW w:w="1134" w:type="dxa"/>
            <w:shd w:val="clear" w:color="auto" w:fill="auto"/>
            <w:vAlign w:val="bottom"/>
          </w:tcPr>
          <w:p w14:paraId="63D99369" w14:textId="77777777" w:rsidR="00A023BD" w:rsidRPr="00A023BD" w:rsidRDefault="00A023BD" w:rsidP="00A023BD">
            <w:pPr>
              <w:keepNext/>
              <w:jc w:val="right"/>
              <w:rPr>
                <w:color w:val="000000"/>
                <w:sz w:val="16"/>
                <w:szCs w:val="16"/>
                <w:lang w:eastAsia="en-NZ"/>
              </w:rPr>
            </w:pPr>
            <w:r w:rsidRPr="00A023BD">
              <w:rPr>
                <w:color w:val="000000"/>
                <w:sz w:val="16"/>
                <w:szCs w:val="16"/>
                <w:lang w:eastAsia="en-NZ"/>
              </w:rPr>
              <w:t>0.53</w:t>
            </w:r>
          </w:p>
        </w:tc>
        <w:tc>
          <w:tcPr>
            <w:tcW w:w="1134" w:type="dxa"/>
            <w:shd w:val="clear" w:color="auto" w:fill="auto"/>
            <w:vAlign w:val="bottom"/>
          </w:tcPr>
          <w:p w14:paraId="2CF90ED2" w14:textId="77777777" w:rsidR="00A023BD" w:rsidRPr="00A023BD" w:rsidRDefault="00A023BD" w:rsidP="00A023BD">
            <w:pPr>
              <w:keepNext/>
              <w:jc w:val="right"/>
              <w:rPr>
                <w:color w:val="000000"/>
                <w:sz w:val="16"/>
                <w:szCs w:val="16"/>
                <w:lang w:eastAsia="en-NZ"/>
              </w:rPr>
            </w:pPr>
            <w:r w:rsidRPr="00A023BD">
              <w:rPr>
                <w:color w:val="000000"/>
                <w:sz w:val="16"/>
                <w:szCs w:val="16"/>
                <w:lang w:eastAsia="en-NZ"/>
              </w:rPr>
              <w:t>(0.36, 0.76)</w:t>
            </w:r>
          </w:p>
        </w:tc>
        <w:tc>
          <w:tcPr>
            <w:tcW w:w="850" w:type="dxa"/>
            <w:shd w:val="clear" w:color="auto" w:fill="auto"/>
            <w:vAlign w:val="bottom"/>
          </w:tcPr>
          <w:p w14:paraId="69BA4DE7" w14:textId="77777777" w:rsidR="00A023BD" w:rsidRPr="00DF4034" w:rsidRDefault="00A023BD" w:rsidP="00A023BD">
            <w:pPr>
              <w:keepNext/>
              <w:jc w:val="right"/>
              <w:rPr>
                <w:color w:val="000000"/>
                <w:sz w:val="16"/>
                <w:szCs w:val="16"/>
                <w:lang w:eastAsia="en-NZ"/>
              </w:rPr>
            </w:pPr>
          </w:p>
        </w:tc>
      </w:tr>
      <w:tr w:rsidR="00A023BD" w:rsidRPr="003F15C0" w14:paraId="12684D69" w14:textId="77777777" w:rsidTr="00326B55">
        <w:tc>
          <w:tcPr>
            <w:tcW w:w="5387" w:type="dxa"/>
            <w:vAlign w:val="bottom"/>
          </w:tcPr>
          <w:p w14:paraId="096AE60E" w14:textId="77777777" w:rsidR="00A023BD" w:rsidRPr="009A1B9E" w:rsidRDefault="00A023BD" w:rsidP="00A023BD">
            <w:pPr>
              <w:spacing w:before="20"/>
              <w:ind w:left="176"/>
              <w:jc w:val="both"/>
              <w:rPr>
                <w:sz w:val="16"/>
                <w:szCs w:val="16"/>
              </w:rPr>
            </w:pPr>
            <w:r w:rsidRPr="009A1B9E">
              <w:rPr>
                <w:sz w:val="16"/>
                <w:szCs w:val="16"/>
              </w:rPr>
              <w:t>European/Other</w:t>
            </w:r>
          </w:p>
        </w:tc>
        <w:tc>
          <w:tcPr>
            <w:tcW w:w="1134" w:type="dxa"/>
            <w:shd w:val="clear" w:color="auto" w:fill="auto"/>
            <w:vAlign w:val="bottom"/>
          </w:tcPr>
          <w:p w14:paraId="65086546" w14:textId="77777777" w:rsidR="00A023BD" w:rsidRPr="00A023BD" w:rsidRDefault="00A023BD" w:rsidP="00A023BD">
            <w:pPr>
              <w:keepNext/>
              <w:jc w:val="right"/>
              <w:rPr>
                <w:color w:val="000000"/>
                <w:sz w:val="16"/>
                <w:szCs w:val="16"/>
                <w:lang w:eastAsia="en-NZ"/>
              </w:rPr>
            </w:pPr>
            <w:r w:rsidRPr="00A023BD">
              <w:rPr>
                <w:color w:val="000000"/>
                <w:sz w:val="16"/>
                <w:szCs w:val="16"/>
                <w:lang w:eastAsia="en-NZ"/>
              </w:rPr>
              <w:t>1.00</w:t>
            </w:r>
          </w:p>
        </w:tc>
        <w:tc>
          <w:tcPr>
            <w:tcW w:w="1134" w:type="dxa"/>
            <w:shd w:val="clear" w:color="auto" w:fill="auto"/>
            <w:vAlign w:val="bottom"/>
          </w:tcPr>
          <w:p w14:paraId="0E22257E" w14:textId="77777777" w:rsidR="00A023BD" w:rsidRPr="00A023BD" w:rsidRDefault="00A023BD" w:rsidP="00A023BD">
            <w:pPr>
              <w:keepNext/>
              <w:jc w:val="right"/>
              <w:rPr>
                <w:color w:val="000000"/>
                <w:sz w:val="16"/>
                <w:szCs w:val="16"/>
                <w:lang w:eastAsia="en-NZ"/>
              </w:rPr>
            </w:pPr>
          </w:p>
        </w:tc>
        <w:tc>
          <w:tcPr>
            <w:tcW w:w="850" w:type="dxa"/>
            <w:shd w:val="clear" w:color="auto" w:fill="auto"/>
            <w:vAlign w:val="bottom"/>
          </w:tcPr>
          <w:p w14:paraId="4F051E4D" w14:textId="77777777" w:rsidR="00A023BD" w:rsidRPr="00DF4034" w:rsidRDefault="00A023BD" w:rsidP="00A023BD">
            <w:pPr>
              <w:keepNext/>
              <w:jc w:val="right"/>
              <w:rPr>
                <w:color w:val="000000"/>
                <w:sz w:val="16"/>
                <w:szCs w:val="16"/>
                <w:lang w:eastAsia="en-NZ"/>
              </w:rPr>
            </w:pPr>
            <w:r w:rsidRPr="00DF4034">
              <w:rPr>
                <w:color w:val="000000"/>
                <w:sz w:val="16"/>
                <w:szCs w:val="16"/>
                <w:lang w:eastAsia="en-NZ"/>
              </w:rPr>
              <w:t>&lt;</w:t>
            </w:r>
            <w:r>
              <w:rPr>
                <w:color w:val="000000"/>
                <w:sz w:val="16"/>
                <w:szCs w:val="16"/>
                <w:lang w:eastAsia="en-NZ"/>
              </w:rPr>
              <w:t>0</w:t>
            </w:r>
            <w:r w:rsidRPr="00DF4034">
              <w:rPr>
                <w:color w:val="000000"/>
                <w:sz w:val="16"/>
                <w:szCs w:val="16"/>
                <w:lang w:eastAsia="en-NZ"/>
              </w:rPr>
              <w:t>.0001</w:t>
            </w:r>
          </w:p>
        </w:tc>
      </w:tr>
      <w:tr w:rsidR="00A023BD" w:rsidRPr="003F15C0" w14:paraId="0CA99614" w14:textId="77777777" w:rsidTr="00A023BD">
        <w:tc>
          <w:tcPr>
            <w:tcW w:w="5387" w:type="dxa"/>
          </w:tcPr>
          <w:p w14:paraId="466E7C07" w14:textId="77777777" w:rsidR="00A023BD" w:rsidRPr="007C6C78" w:rsidRDefault="00A023BD" w:rsidP="00A023BD">
            <w:pPr>
              <w:spacing w:before="20"/>
              <w:jc w:val="both"/>
              <w:rPr>
                <w:b/>
                <w:sz w:val="16"/>
                <w:szCs w:val="16"/>
              </w:rPr>
            </w:pPr>
            <w:r w:rsidRPr="007C6C78">
              <w:rPr>
                <w:b/>
                <w:sz w:val="16"/>
                <w:szCs w:val="16"/>
              </w:rPr>
              <w:t>Annual household income</w:t>
            </w:r>
          </w:p>
        </w:tc>
        <w:tc>
          <w:tcPr>
            <w:tcW w:w="1134" w:type="dxa"/>
            <w:shd w:val="clear" w:color="auto" w:fill="auto"/>
            <w:vAlign w:val="center"/>
          </w:tcPr>
          <w:p w14:paraId="1798EBF1" w14:textId="77777777" w:rsidR="00A023BD" w:rsidRPr="00A023BD" w:rsidRDefault="00A023BD" w:rsidP="00A023BD">
            <w:pPr>
              <w:keepNext/>
              <w:jc w:val="right"/>
              <w:rPr>
                <w:color w:val="000000"/>
                <w:sz w:val="16"/>
                <w:szCs w:val="16"/>
                <w:lang w:eastAsia="en-NZ"/>
              </w:rPr>
            </w:pPr>
          </w:p>
        </w:tc>
        <w:tc>
          <w:tcPr>
            <w:tcW w:w="1134" w:type="dxa"/>
            <w:shd w:val="clear" w:color="auto" w:fill="auto"/>
            <w:vAlign w:val="center"/>
          </w:tcPr>
          <w:p w14:paraId="60A03665" w14:textId="77777777" w:rsidR="00A023BD" w:rsidRPr="00A023BD" w:rsidRDefault="00A023BD" w:rsidP="00A023BD">
            <w:pPr>
              <w:keepNext/>
              <w:jc w:val="right"/>
              <w:rPr>
                <w:color w:val="000000"/>
                <w:sz w:val="16"/>
                <w:szCs w:val="16"/>
                <w:lang w:eastAsia="en-NZ"/>
              </w:rPr>
            </w:pPr>
          </w:p>
        </w:tc>
        <w:tc>
          <w:tcPr>
            <w:tcW w:w="850" w:type="dxa"/>
            <w:shd w:val="clear" w:color="auto" w:fill="auto"/>
            <w:vAlign w:val="center"/>
          </w:tcPr>
          <w:p w14:paraId="7D53A338" w14:textId="77777777" w:rsidR="00A023BD" w:rsidRPr="00DF4034" w:rsidRDefault="00A023BD" w:rsidP="00A023BD">
            <w:pPr>
              <w:keepNext/>
              <w:jc w:val="right"/>
              <w:rPr>
                <w:color w:val="000000"/>
                <w:sz w:val="16"/>
                <w:szCs w:val="16"/>
                <w:lang w:eastAsia="en-NZ"/>
              </w:rPr>
            </w:pPr>
          </w:p>
        </w:tc>
      </w:tr>
      <w:tr w:rsidR="00A023BD" w:rsidRPr="003F15C0" w14:paraId="51DC602E" w14:textId="77777777" w:rsidTr="00A023BD">
        <w:tc>
          <w:tcPr>
            <w:tcW w:w="5387" w:type="dxa"/>
            <w:vAlign w:val="bottom"/>
          </w:tcPr>
          <w:p w14:paraId="60EF451F" w14:textId="77777777" w:rsidR="00A023BD" w:rsidRPr="007C6C78" w:rsidRDefault="00A023BD" w:rsidP="00A023BD">
            <w:pPr>
              <w:spacing w:before="20"/>
              <w:ind w:left="176"/>
              <w:jc w:val="both"/>
              <w:rPr>
                <w:sz w:val="16"/>
                <w:szCs w:val="16"/>
              </w:rPr>
            </w:pPr>
            <w:r>
              <w:rPr>
                <w:sz w:val="16"/>
                <w:szCs w:val="16"/>
              </w:rPr>
              <w:t>≤$4</w:t>
            </w:r>
            <w:r w:rsidRPr="007C6C78">
              <w:rPr>
                <w:sz w:val="16"/>
                <w:szCs w:val="16"/>
              </w:rPr>
              <w:t>0</w:t>
            </w:r>
            <w:r>
              <w:rPr>
                <w:sz w:val="16"/>
                <w:szCs w:val="16"/>
              </w:rPr>
              <w:t>,000</w:t>
            </w:r>
          </w:p>
        </w:tc>
        <w:tc>
          <w:tcPr>
            <w:tcW w:w="1134" w:type="dxa"/>
            <w:shd w:val="clear" w:color="auto" w:fill="auto"/>
            <w:vAlign w:val="bottom"/>
          </w:tcPr>
          <w:p w14:paraId="563B9785" w14:textId="77777777" w:rsidR="00A023BD" w:rsidRPr="00A023BD" w:rsidRDefault="00A023BD" w:rsidP="00A023BD">
            <w:pPr>
              <w:keepNext/>
              <w:jc w:val="right"/>
              <w:rPr>
                <w:color w:val="000000"/>
                <w:sz w:val="16"/>
                <w:szCs w:val="16"/>
                <w:lang w:eastAsia="en-NZ"/>
              </w:rPr>
            </w:pPr>
            <w:r w:rsidRPr="00A023BD">
              <w:rPr>
                <w:color w:val="000000"/>
                <w:sz w:val="16"/>
                <w:szCs w:val="16"/>
                <w:lang w:eastAsia="en-NZ"/>
              </w:rPr>
              <w:t>1.00</w:t>
            </w:r>
          </w:p>
        </w:tc>
        <w:tc>
          <w:tcPr>
            <w:tcW w:w="1134" w:type="dxa"/>
            <w:shd w:val="clear" w:color="auto" w:fill="auto"/>
            <w:vAlign w:val="bottom"/>
          </w:tcPr>
          <w:p w14:paraId="47309A50" w14:textId="77777777" w:rsidR="00A023BD" w:rsidRPr="00A023BD" w:rsidRDefault="00A023BD" w:rsidP="00A023BD">
            <w:pPr>
              <w:keepNext/>
              <w:jc w:val="right"/>
              <w:rPr>
                <w:color w:val="000000"/>
                <w:sz w:val="16"/>
                <w:szCs w:val="16"/>
                <w:lang w:eastAsia="en-NZ"/>
              </w:rPr>
            </w:pPr>
          </w:p>
        </w:tc>
        <w:tc>
          <w:tcPr>
            <w:tcW w:w="850" w:type="dxa"/>
            <w:shd w:val="clear" w:color="auto" w:fill="auto"/>
            <w:vAlign w:val="bottom"/>
          </w:tcPr>
          <w:p w14:paraId="2E9CD677" w14:textId="77777777" w:rsidR="00A023BD" w:rsidRPr="00D36119" w:rsidRDefault="00A023BD" w:rsidP="00A023BD">
            <w:pPr>
              <w:keepNext/>
              <w:jc w:val="right"/>
              <w:rPr>
                <w:color w:val="000000"/>
                <w:sz w:val="16"/>
                <w:szCs w:val="16"/>
                <w:lang w:eastAsia="en-NZ"/>
              </w:rPr>
            </w:pPr>
          </w:p>
        </w:tc>
      </w:tr>
      <w:tr w:rsidR="00A023BD" w:rsidRPr="003F15C0" w14:paraId="160D32C4" w14:textId="77777777" w:rsidTr="00A023BD">
        <w:tc>
          <w:tcPr>
            <w:tcW w:w="5387" w:type="dxa"/>
            <w:vAlign w:val="bottom"/>
          </w:tcPr>
          <w:p w14:paraId="0E62B375" w14:textId="77777777" w:rsidR="00A023BD" w:rsidRPr="007C6C78" w:rsidRDefault="00A023BD" w:rsidP="00A023BD">
            <w:pPr>
              <w:spacing w:before="20"/>
              <w:ind w:left="176"/>
              <w:jc w:val="both"/>
              <w:rPr>
                <w:sz w:val="16"/>
                <w:szCs w:val="16"/>
              </w:rPr>
            </w:pPr>
            <w:r>
              <w:rPr>
                <w:sz w:val="16"/>
                <w:szCs w:val="16"/>
              </w:rPr>
              <w:t>$4</w:t>
            </w:r>
            <w:r w:rsidRPr="007C6C78">
              <w:rPr>
                <w:sz w:val="16"/>
                <w:szCs w:val="16"/>
              </w:rPr>
              <w:t>0</w:t>
            </w:r>
            <w:r>
              <w:rPr>
                <w:sz w:val="16"/>
                <w:szCs w:val="16"/>
              </w:rPr>
              <w:t xml:space="preserve">,001 </w:t>
            </w:r>
            <w:r w:rsidRPr="007C6C78">
              <w:rPr>
                <w:sz w:val="16"/>
                <w:szCs w:val="16"/>
              </w:rPr>
              <w:t>-</w:t>
            </w:r>
            <w:r>
              <w:rPr>
                <w:sz w:val="16"/>
                <w:szCs w:val="16"/>
              </w:rPr>
              <w:t xml:space="preserve"> $6</w:t>
            </w:r>
            <w:r w:rsidRPr="007C6C78">
              <w:rPr>
                <w:sz w:val="16"/>
                <w:szCs w:val="16"/>
              </w:rPr>
              <w:t>0</w:t>
            </w:r>
            <w:r>
              <w:rPr>
                <w:sz w:val="16"/>
                <w:szCs w:val="16"/>
              </w:rPr>
              <w:t>,000</w:t>
            </w:r>
          </w:p>
        </w:tc>
        <w:tc>
          <w:tcPr>
            <w:tcW w:w="1134" w:type="dxa"/>
            <w:shd w:val="clear" w:color="auto" w:fill="auto"/>
            <w:vAlign w:val="bottom"/>
          </w:tcPr>
          <w:p w14:paraId="7B8B54CF"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0.58</w:t>
            </w:r>
          </w:p>
        </w:tc>
        <w:tc>
          <w:tcPr>
            <w:tcW w:w="1134" w:type="dxa"/>
            <w:shd w:val="clear" w:color="auto" w:fill="auto"/>
            <w:vAlign w:val="bottom"/>
          </w:tcPr>
          <w:p w14:paraId="2B418A14"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(0.40, 0.84)</w:t>
            </w:r>
          </w:p>
        </w:tc>
        <w:tc>
          <w:tcPr>
            <w:tcW w:w="850" w:type="dxa"/>
            <w:shd w:val="clear" w:color="auto" w:fill="auto"/>
            <w:vAlign w:val="bottom"/>
          </w:tcPr>
          <w:p w14:paraId="0C5AE4EE" w14:textId="77777777" w:rsidR="00A023BD" w:rsidRPr="00D36119" w:rsidRDefault="00A023BD" w:rsidP="00A023BD">
            <w:pPr>
              <w:keepNext/>
              <w:jc w:val="right"/>
              <w:rPr>
                <w:color w:val="000000"/>
                <w:sz w:val="16"/>
                <w:szCs w:val="16"/>
                <w:lang w:eastAsia="en-NZ"/>
              </w:rPr>
            </w:pPr>
          </w:p>
        </w:tc>
      </w:tr>
      <w:tr w:rsidR="00A023BD" w:rsidRPr="003F15C0" w14:paraId="75C45029" w14:textId="77777777" w:rsidTr="00A023BD">
        <w:tc>
          <w:tcPr>
            <w:tcW w:w="5387" w:type="dxa"/>
            <w:vAlign w:val="bottom"/>
          </w:tcPr>
          <w:p w14:paraId="13613471" w14:textId="77777777" w:rsidR="00A023BD" w:rsidRPr="007C6C78" w:rsidRDefault="00A023BD" w:rsidP="00A023BD">
            <w:pPr>
              <w:spacing w:before="20"/>
              <w:ind w:left="176"/>
              <w:jc w:val="both"/>
              <w:rPr>
                <w:sz w:val="16"/>
                <w:szCs w:val="16"/>
              </w:rPr>
            </w:pPr>
            <w:r>
              <w:rPr>
                <w:sz w:val="16"/>
                <w:szCs w:val="16"/>
              </w:rPr>
              <w:t>$6</w:t>
            </w:r>
            <w:r w:rsidRPr="007C6C78">
              <w:rPr>
                <w:sz w:val="16"/>
                <w:szCs w:val="16"/>
              </w:rPr>
              <w:t>0</w:t>
            </w:r>
            <w:r>
              <w:rPr>
                <w:sz w:val="16"/>
                <w:szCs w:val="16"/>
              </w:rPr>
              <w:t xml:space="preserve">,001 </w:t>
            </w:r>
            <w:r w:rsidRPr="007C6C78">
              <w:rPr>
                <w:sz w:val="16"/>
                <w:szCs w:val="16"/>
              </w:rPr>
              <w:t>-</w:t>
            </w:r>
            <w:r>
              <w:rPr>
                <w:sz w:val="16"/>
                <w:szCs w:val="16"/>
              </w:rPr>
              <w:t xml:space="preserve"> $8</w:t>
            </w:r>
            <w:r w:rsidRPr="007C6C78">
              <w:rPr>
                <w:sz w:val="16"/>
                <w:szCs w:val="16"/>
              </w:rPr>
              <w:t>0</w:t>
            </w:r>
            <w:r>
              <w:rPr>
                <w:sz w:val="16"/>
                <w:szCs w:val="16"/>
              </w:rPr>
              <w:t>,000</w:t>
            </w:r>
          </w:p>
        </w:tc>
        <w:tc>
          <w:tcPr>
            <w:tcW w:w="1134" w:type="dxa"/>
            <w:shd w:val="clear" w:color="auto" w:fill="auto"/>
            <w:vAlign w:val="bottom"/>
          </w:tcPr>
          <w:p w14:paraId="13257F1D"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0.79</w:t>
            </w:r>
          </w:p>
        </w:tc>
        <w:tc>
          <w:tcPr>
            <w:tcW w:w="1134" w:type="dxa"/>
            <w:shd w:val="clear" w:color="auto" w:fill="auto"/>
            <w:vAlign w:val="bottom"/>
          </w:tcPr>
          <w:p w14:paraId="208A2785"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(0.54, 1.15)</w:t>
            </w:r>
          </w:p>
        </w:tc>
        <w:tc>
          <w:tcPr>
            <w:tcW w:w="850" w:type="dxa"/>
            <w:shd w:val="clear" w:color="auto" w:fill="auto"/>
            <w:vAlign w:val="bottom"/>
          </w:tcPr>
          <w:p w14:paraId="6F1AE4B1" w14:textId="77777777" w:rsidR="00A023BD" w:rsidRPr="00D36119" w:rsidRDefault="00A023BD" w:rsidP="00A023BD">
            <w:pPr>
              <w:keepNext/>
              <w:jc w:val="right"/>
              <w:rPr>
                <w:color w:val="000000"/>
                <w:sz w:val="16"/>
                <w:szCs w:val="16"/>
                <w:lang w:eastAsia="en-NZ"/>
              </w:rPr>
            </w:pPr>
          </w:p>
        </w:tc>
      </w:tr>
      <w:tr w:rsidR="00A023BD" w:rsidRPr="003F15C0" w14:paraId="5E1590E9" w14:textId="77777777" w:rsidTr="00A023BD">
        <w:tc>
          <w:tcPr>
            <w:tcW w:w="5387" w:type="dxa"/>
            <w:vAlign w:val="bottom"/>
          </w:tcPr>
          <w:p w14:paraId="07442A76" w14:textId="77777777" w:rsidR="00A023BD" w:rsidRPr="007C6C78" w:rsidRDefault="00A023BD" w:rsidP="00A023BD">
            <w:pPr>
              <w:spacing w:before="20"/>
              <w:ind w:left="176"/>
              <w:jc w:val="both"/>
              <w:rPr>
                <w:sz w:val="16"/>
                <w:szCs w:val="16"/>
              </w:rPr>
            </w:pPr>
            <w:r>
              <w:rPr>
                <w:sz w:val="16"/>
                <w:szCs w:val="16"/>
              </w:rPr>
              <w:t>$80,001 - $100,000</w:t>
            </w:r>
          </w:p>
        </w:tc>
        <w:tc>
          <w:tcPr>
            <w:tcW w:w="1134" w:type="dxa"/>
            <w:shd w:val="clear" w:color="auto" w:fill="auto"/>
            <w:vAlign w:val="bottom"/>
          </w:tcPr>
          <w:p w14:paraId="5D1DA431"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0.63</w:t>
            </w:r>
          </w:p>
        </w:tc>
        <w:tc>
          <w:tcPr>
            <w:tcW w:w="1134" w:type="dxa"/>
            <w:shd w:val="clear" w:color="auto" w:fill="auto"/>
            <w:vAlign w:val="bottom"/>
          </w:tcPr>
          <w:p w14:paraId="5530D5E6"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(0.42, 0.93)</w:t>
            </w:r>
          </w:p>
        </w:tc>
        <w:tc>
          <w:tcPr>
            <w:tcW w:w="850" w:type="dxa"/>
            <w:shd w:val="clear" w:color="auto" w:fill="auto"/>
            <w:vAlign w:val="bottom"/>
          </w:tcPr>
          <w:p w14:paraId="4D8ABA30" w14:textId="77777777" w:rsidR="00A023BD" w:rsidRPr="00D36119" w:rsidRDefault="00A023BD" w:rsidP="00A023BD">
            <w:pPr>
              <w:keepNext/>
              <w:jc w:val="right"/>
              <w:rPr>
                <w:color w:val="000000"/>
                <w:sz w:val="16"/>
                <w:szCs w:val="16"/>
                <w:lang w:eastAsia="en-NZ"/>
              </w:rPr>
            </w:pPr>
          </w:p>
        </w:tc>
      </w:tr>
      <w:tr w:rsidR="00A023BD" w:rsidRPr="003F15C0" w14:paraId="1A37942D" w14:textId="77777777" w:rsidTr="00326B55">
        <w:tc>
          <w:tcPr>
            <w:tcW w:w="5387" w:type="dxa"/>
            <w:shd w:val="clear" w:color="auto" w:fill="auto"/>
            <w:vAlign w:val="bottom"/>
          </w:tcPr>
          <w:p w14:paraId="7C6533CD" w14:textId="77777777" w:rsidR="00A023BD" w:rsidRPr="007C6C78" w:rsidRDefault="00A023BD" w:rsidP="00A023BD">
            <w:pPr>
              <w:spacing w:before="20"/>
              <w:ind w:left="176"/>
              <w:jc w:val="both"/>
              <w:rPr>
                <w:sz w:val="16"/>
                <w:szCs w:val="16"/>
              </w:rPr>
            </w:pPr>
            <w:r w:rsidRPr="007C6C78">
              <w:rPr>
                <w:sz w:val="16"/>
                <w:szCs w:val="16"/>
              </w:rPr>
              <w:t>&gt;</w:t>
            </w:r>
            <w:r>
              <w:rPr>
                <w:sz w:val="16"/>
                <w:szCs w:val="16"/>
              </w:rPr>
              <w:t>$10</w:t>
            </w:r>
            <w:r w:rsidRPr="007C6C78">
              <w:rPr>
                <w:sz w:val="16"/>
                <w:szCs w:val="16"/>
              </w:rPr>
              <w:t>0</w:t>
            </w:r>
            <w:r>
              <w:rPr>
                <w:sz w:val="16"/>
                <w:szCs w:val="16"/>
              </w:rPr>
              <w:t>,000</w:t>
            </w:r>
          </w:p>
        </w:tc>
        <w:tc>
          <w:tcPr>
            <w:tcW w:w="1134" w:type="dxa"/>
            <w:shd w:val="clear" w:color="auto" w:fill="auto"/>
            <w:vAlign w:val="bottom"/>
          </w:tcPr>
          <w:p w14:paraId="518134A9"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0.56</w:t>
            </w:r>
          </w:p>
        </w:tc>
        <w:tc>
          <w:tcPr>
            <w:tcW w:w="1134" w:type="dxa"/>
            <w:shd w:val="clear" w:color="auto" w:fill="auto"/>
            <w:vAlign w:val="bottom"/>
          </w:tcPr>
          <w:p w14:paraId="64CE1487"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(0.39, 0.80)</w:t>
            </w:r>
          </w:p>
        </w:tc>
        <w:tc>
          <w:tcPr>
            <w:tcW w:w="850" w:type="dxa"/>
            <w:shd w:val="clear" w:color="auto" w:fill="auto"/>
            <w:vAlign w:val="bottom"/>
          </w:tcPr>
          <w:p w14:paraId="50F676C7"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0.006</w:t>
            </w:r>
          </w:p>
        </w:tc>
      </w:tr>
      <w:tr w:rsidR="00A023BD" w:rsidRPr="003F15C0" w14:paraId="56DAD3F1" w14:textId="77777777" w:rsidTr="00A023BD">
        <w:tc>
          <w:tcPr>
            <w:tcW w:w="5387" w:type="dxa"/>
          </w:tcPr>
          <w:p w14:paraId="613C3AB1" w14:textId="77777777" w:rsidR="00A023BD" w:rsidRPr="007C6C78" w:rsidRDefault="00A023BD" w:rsidP="00A023BD">
            <w:pPr>
              <w:spacing w:before="20"/>
              <w:jc w:val="both"/>
              <w:rPr>
                <w:b/>
                <w:sz w:val="16"/>
                <w:szCs w:val="16"/>
              </w:rPr>
            </w:pPr>
            <w:r>
              <w:rPr>
                <w:b/>
                <w:sz w:val="16"/>
                <w:szCs w:val="16"/>
              </w:rPr>
              <w:t>New Zealand Individual deprivation Index</w:t>
            </w:r>
          </w:p>
        </w:tc>
        <w:tc>
          <w:tcPr>
            <w:tcW w:w="1134" w:type="dxa"/>
            <w:shd w:val="clear" w:color="auto" w:fill="auto"/>
            <w:vAlign w:val="center"/>
          </w:tcPr>
          <w:p w14:paraId="5EA488EB" w14:textId="77777777" w:rsidR="00A023BD" w:rsidRPr="00230801" w:rsidRDefault="00A023BD" w:rsidP="00A023BD">
            <w:pPr>
              <w:keepNext/>
              <w:jc w:val="right"/>
              <w:rPr>
                <w:color w:val="000000"/>
                <w:sz w:val="16"/>
                <w:szCs w:val="16"/>
                <w:lang w:eastAsia="en-NZ"/>
              </w:rPr>
            </w:pPr>
          </w:p>
        </w:tc>
        <w:tc>
          <w:tcPr>
            <w:tcW w:w="1134" w:type="dxa"/>
            <w:shd w:val="clear" w:color="auto" w:fill="auto"/>
            <w:vAlign w:val="center"/>
          </w:tcPr>
          <w:p w14:paraId="6925796F" w14:textId="77777777" w:rsidR="00A023BD" w:rsidRPr="00230801" w:rsidRDefault="00A023BD" w:rsidP="00A023BD">
            <w:pPr>
              <w:keepNext/>
              <w:jc w:val="right"/>
              <w:rPr>
                <w:color w:val="000000"/>
                <w:sz w:val="16"/>
                <w:szCs w:val="16"/>
                <w:lang w:eastAsia="en-NZ"/>
              </w:rPr>
            </w:pPr>
          </w:p>
        </w:tc>
        <w:tc>
          <w:tcPr>
            <w:tcW w:w="850" w:type="dxa"/>
            <w:shd w:val="clear" w:color="auto" w:fill="auto"/>
            <w:vAlign w:val="center"/>
          </w:tcPr>
          <w:p w14:paraId="5DB07DE6" w14:textId="77777777" w:rsidR="00A023BD" w:rsidRPr="00230801" w:rsidRDefault="00A023BD" w:rsidP="00A023BD">
            <w:pPr>
              <w:keepNext/>
              <w:jc w:val="right"/>
              <w:rPr>
                <w:color w:val="000000"/>
                <w:sz w:val="16"/>
                <w:szCs w:val="16"/>
                <w:lang w:eastAsia="en-NZ"/>
              </w:rPr>
            </w:pPr>
          </w:p>
        </w:tc>
      </w:tr>
      <w:tr w:rsidR="00A023BD" w:rsidRPr="003F15C0" w14:paraId="2C9CAF7A" w14:textId="77777777" w:rsidTr="00A023BD">
        <w:tc>
          <w:tcPr>
            <w:tcW w:w="5387" w:type="dxa"/>
            <w:shd w:val="clear" w:color="auto" w:fill="auto"/>
            <w:vAlign w:val="bottom"/>
          </w:tcPr>
          <w:p w14:paraId="2401BA44" w14:textId="77777777" w:rsidR="00A023BD" w:rsidRPr="007C6C78" w:rsidRDefault="00A023BD" w:rsidP="00A023BD">
            <w:pPr>
              <w:spacing w:before="20"/>
              <w:ind w:left="176"/>
              <w:jc w:val="both"/>
              <w:rPr>
                <w:sz w:val="16"/>
                <w:szCs w:val="16"/>
              </w:rPr>
            </w:pPr>
            <w:r w:rsidRPr="007C6C78">
              <w:rPr>
                <w:sz w:val="16"/>
                <w:szCs w:val="16"/>
              </w:rPr>
              <w:t>0</w:t>
            </w:r>
          </w:p>
        </w:tc>
        <w:tc>
          <w:tcPr>
            <w:tcW w:w="1134" w:type="dxa"/>
            <w:shd w:val="clear" w:color="auto" w:fill="auto"/>
            <w:vAlign w:val="bottom"/>
          </w:tcPr>
          <w:p w14:paraId="715383E3"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1.00</w:t>
            </w:r>
          </w:p>
        </w:tc>
        <w:tc>
          <w:tcPr>
            <w:tcW w:w="1134" w:type="dxa"/>
            <w:shd w:val="clear" w:color="auto" w:fill="auto"/>
            <w:vAlign w:val="bottom"/>
          </w:tcPr>
          <w:p w14:paraId="2BF79CB8" w14:textId="77777777" w:rsidR="00A023BD" w:rsidRPr="00D36119" w:rsidRDefault="00A023BD" w:rsidP="00A023BD">
            <w:pPr>
              <w:keepNext/>
              <w:jc w:val="right"/>
              <w:rPr>
                <w:color w:val="000000"/>
                <w:sz w:val="16"/>
                <w:szCs w:val="16"/>
                <w:lang w:eastAsia="en-NZ"/>
              </w:rPr>
            </w:pPr>
          </w:p>
        </w:tc>
        <w:tc>
          <w:tcPr>
            <w:tcW w:w="850" w:type="dxa"/>
            <w:shd w:val="clear" w:color="auto" w:fill="auto"/>
            <w:vAlign w:val="bottom"/>
          </w:tcPr>
          <w:p w14:paraId="5543FF0E" w14:textId="77777777" w:rsidR="00A023BD" w:rsidRPr="00D36119" w:rsidRDefault="00A023BD" w:rsidP="00A023BD">
            <w:pPr>
              <w:keepNext/>
              <w:jc w:val="right"/>
              <w:rPr>
                <w:color w:val="000000"/>
                <w:sz w:val="16"/>
                <w:szCs w:val="16"/>
                <w:lang w:eastAsia="en-NZ"/>
              </w:rPr>
            </w:pPr>
          </w:p>
        </w:tc>
      </w:tr>
      <w:tr w:rsidR="00A023BD" w:rsidRPr="003F15C0" w14:paraId="2CB9EC83" w14:textId="77777777" w:rsidTr="00A023BD">
        <w:tc>
          <w:tcPr>
            <w:tcW w:w="5387" w:type="dxa"/>
            <w:shd w:val="clear" w:color="auto" w:fill="auto"/>
            <w:vAlign w:val="bottom"/>
          </w:tcPr>
          <w:p w14:paraId="1204AAAC" w14:textId="77777777" w:rsidR="00A023BD" w:rsidRPr="007C6C78" w:rsidRDefault="00A023BD" w:rsidP="00A023BD">
            <w:pPr>
              <w:spacing w:before="20"/>
              <w:ind w:left="176"/>
              <w:jc w:val="both"/>
              <w:rPr>
                <w:sz w:val="16"/>
                <w:szCs w:val="16"/>
              </w:rPr>
            </w:pPr>
            <w:r w:rsidRPr="007C6C78">
              <w:rPr>
                <w:sz w:val="16"/>
                <w:szCs w:val="16"/>
              </w:rPr>
              <w:t>1</w:t>
            </w:r>
          </w:p>
        </w:tc>
        <w:tc>
          <w:tcPr>
            <w:tcW w:w="1134" w:type="dxa"/>
            <w:shd w:val="clear" w:color="auto" w:fill="auto"/>
            <w:vAlign w:val="bottom"/>
          </w:tcPr>
          <w:p w14:paraId="581449AC"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1.43</w:t>
            </w:r>
          </w:p>
        </w:tc>
        <w:tc>
          <w:tcPr>
            <w:tcW w:w="1134" w:type="dxa"/>
            <w:shd w:val="clear" w:color="auto" w:fill="auto"/>
            <w:vAlign w:val="bottom"/>
          </w:tcPr>
          <w:p w14:paraId="1D5B2660"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(1.07, 1.90)</w:t>
            </w:r>
          </w:p>
        </w:tc>
        <w:tc>
          <w:tcPr>
            <w:tcW w:w="850" w:type="dxa"/>
            <w:shd w:val="clear" w:color="auto" w:fill="auto"/>
            <w:vAlign w:val="bottom"/>
          </w:tcPr>
          <w:p w14:paraId="4CDBF103" w14:textId="77777777" w:rsidR="00A023BD" w:rsidRPr="00D36119" w:rsidRDefault="00A023BD" w:rsidP="00A023BD">
            <w:pPr>
              <w:keepNext/>
              <w:jc w:val="right"/>
              <w:rPr>
                <w:color w:val="000000"/>
                <w:sz w:val="16"/>
                <w:szCs w:val="16"/>
                <w:lang w:eastAsia="en-NZ"/>
              </w:rPr>
            </w:pPr>
          </w:p>
        </w:tc>
      </w:tr>
      <w:tr w:rsidR="00A023BD" w:rsidRPr="003F15C0" w14:paraId="6090B907" w14:textId="77777777" w:rsidTr="00A023BD">
        <w:tc>
          <w:tcPr>
            <w:tcW w:w="5387" w:type="dxa"/>
            <w:shd w:val="clear" w:color="auto" w:fill="auto"/>
            <w:vAlign w:val="bottom"/>
          </w:tcPr>
          <w:p w14:paraId="73B3310F" w14:textId="77777777" w:rsidR="00A023BD" w:rsidRPr="007C6C78" w:rsidRDefault="00A023BD" w:rsidP="00A023BD">
            <w:pPr>
              <w:spacing w:before="20"/>
              <w:ind w:left="176"/>
              <w:jc w:val="both"/>
              <w:rPr>
                <w:sz w:val="16"/>
                <w:szCs w:val="16"/>
              </w:rPr>
            </w:pPr>
            <w:r w:rsidRPr="007C6C78">
              <w:rPr>
                <w:sz w:val="16"/>
                <w:szCs w:val="16"/>
              </w:rPr>
              <w:t>2</w:t>
            </w:r>
          </w:p>
        </w:tc>
        <w:tc>
          <w:tcPr>
            <w:tcW w:w="1134" w:type="dxa"/>
            <w:shd w:val="clear" w:color="auto" w:fill="auto"/>
            <w:vAlign w:val="bottom"/>
          </w:tcPr>
          <w:p w14:paraId="3C6DF3A0"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2.32</w:t>
            </w:r>
          </w:p>
        </w:tc>
        <w:tc>
          <w:tcPr>
            <w:tcW w:w="1134" w:type="dxa"/>
            <w:shd w:val="clear" w:color="auto" w:fill="auto"/>
            <w:vAlign w:val="bottom"/>
          </w:tcPr>
          <w:p w14:paraId="61281F9C"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(1.60, 3.37)</w:t>
            </w:r>
          </w:p>
        </w:tc>
        <w:tc>
          <w:tcPr>
            <w:tcW w:w="850" w:type="dxa"/>
            <w:shd w:val="clear" w:color="auto" w:fill="auto"/>
            <w:vAlign w:val="bottom"/>
          </w:tcPr>
          <w:p w14:paraId="5B517F62" w14:textId="77777777" w:rsidR="00A023BD" w:rsidRPr="00D36119" w:rsidRDefault="00A023BD" w:rsidP="00A023BD">
            <w:pPr>
              <w:keepNext/>
              <w:jc w:val="right"/>
              <w:rPr>
                <w:color w:val="000000"/>
                <w:sz w:val="16"/>
                <w:szCs w:val="16"/>
                <w:lang w:eastAsia="en-NZ"/>
              </w:rPr>
            </w:pPr>
          </w:p>
        </w:tc>
      </w:tr>
      <w:tr w:rsidR="00A023BD" w:rsidRPr="003F15C0" w14:paraId="6AD87DE6" w14:textId="77777777" w:rsidTr="00A023BD">
        <w:tc>
          <w:tcPr>
            <w:tcW w:w="5387" w:type="dxa"/>
            <w:shd w:val="clear" w:color="auto" w:fill="auto"/>
            <w:vAlign w:val="bottom"/>
          </w:tcPr>
          <w:p w14:paraId="2B1726FF" w14:textId="77777777" w:rsidR="00A023BD" w:rsidRPr="007C6C78" w:rsidRDefault="00A023BD" w:rsidP="00A023BD">
            <w:pPr>
              <w:spacing w:before="20"/>
              <w:ind w:left="176"/>
              <w:jc w:val="both"/>
              <w:rPr>
                <w:sz w:val="16"/>
                <w:szCs w:val="16"/>
              </w:rPr>
            </w:pPr>
            <w:r w:rsidRPr="007C6C78">
              <w:rPr>
                <w:sz w:val="16"/>
                <w:szCs w:val="16"/>
              </w:rPr>
              <w:t>3</w:t>
            </w:r>
          </w:p>
        </w:tc>
        <w:tc>
          <w:tcPr>
            <w:tcW w:w="1134" w:type="dxa"/>
            <w:shd w:val="clear" w:color="auto" w:fill="auto"/>
            <w:vAlign w:val="bottom"/>
          </w:tcPr>
          <w:p w14:paraId="323FDC3B"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2.41</w:t>
            </w:r>
          </w:p>
        </w:tc>
        <w:tc>
          <w:tcPr>
            <w:tcW w:w="1134" w:type="dxa"/>
            <w:shd w:val="clear" w:color="auto" w:fill="auto"/>
            <w:vAlign w:val="bottom"/>
          </w:tcPr>
          <w:p w14:paraId="56F083DF"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(1.50, 3.87)</w:t>
            </w:r>
          </w:p>
        </w:tc>
        <w:tc>
          <w:tcPr>
            <w:tcW w:w="850" w:type="dxa"/>
            <w:shd w:val="clear" w:color="auto" w:fill="auto"/>
            <w:vAlign w:val="bottom"/>
          </w:tcPr>
          <w:p w14:paraId="63FFE3F1" w14:textId="77777777" w:rsidR="00A023BD" w:rsidRPr="00D36119" w:rsidRDefault="00A023BD" w:rsidP="00A023BD">
            <w:pPr>
              <w:keepNext/>
              <w:jc w:val="right"/>
              <w:rPr>
                <w:color w:val="000000"/>
                <w:sz w:val="16"/>
                <w:szCs w:val="16"/>
                <w:lang w:eastAsia="en-NZ"/>
              </w:rPr>
            </w:pPr>
          </w:p>
        </w:tc>
      </w:tr>
      <w:tr w:rsidR="00A023BD" w:rsidRPr="003F15C0" w14:paraId="32C0016B" w14:textId="77777777" w:rsidTr="00326B55">
        <w:tc>
          <w:tcPr>
            <w:tcW w:w="5387" w:type="dxa"/>
            <w:shd w:val="clear" w:color="auto" w:fill="auto"/>
            <w:vAlign w:val="bottom"/>
          </w:tcPr>
          <w:p w14:paraId="0E62C93C" w14:textId="77777777" w:rsidR="00A023BD" w:rsidRPr="007C6C78" w:rsidRDefault="00A023BD" w:rsidP="00A023BD">
            <w:pPr>
              <w:spacing w:before="20"/>
              <w:ind w:left="176"/>
              <w:jc w:val="both"/>
              <w:rPr>
                <w:sz w:val="16"/>
                <w:szCs w:val="16"/>
              </w:rPr>
            </w:pPr>
            <w:r w:rsidRPr="007C6C78">
              <w:rPr>
                <w:sz w:val="16"/>
                <w:szCs w:val="16"/>
              </w:rPr>
              <w:t>4+</w:t>
            </w:r>
          </w:p>
        </w:tc>
        <w:tc>
          <w:tcPr>
            <w:tcW w:w="1134" w:type="dxa"/>
            <w:shd w:val="clear" w:color="auto" w:fill="auto"/>
            <w:vAlign w:val="bottom"/>
          </w:tcPr>
          <w:p w14:paraId="7ECEACD4"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3.18</w:t>
            </w:r>
          </w:p>
        </w:tc>
        <w:tc>
          <w:tcPr>
            <w:tcW w:w="1134" w:type="dxa"/>
            <w:shd w:val="clear" w:color="auto" w:fill="auto"/>
            <w:vAlign w:val="bottom"/>
          </w:tcPr>
          <w:p w14:paraId="59C93D65"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(2.01, 5.02)</w:t>
            </w:r>
          </w:p>
        </w:tc>
        <w:tc>
          <w:tcPr>
            <w:tcW w:w="850" w:type="dxa"/>
            <w:shd w:val="clear" w:color="auto" w:fill="auto"/>
            <w:vAlign w:val="bottom"/>
          </w:tcPr>
          <w:p w14:paraId="1845399D"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&lt;.0001</w:t>
            </w:r>
          </w:p>
        </w:tc>
      </w:tr>
      <w:tr w:rsidR="00A023BD" w:rsidRPr="003F15C0" w14:paraId="72735BEB" w14:textId="77777777" w:rsidTr="00A023BD">
        <w:tc>
          <w:tcPr>
            <w:tcW w:w="5387" w:type="dxa"/>
          </w:tcPr>
          <w:p w14:paraId="0B03475B" w14:textId="77777777" w:rsidR="00A023BD" w:rsidRPr="007C6C78" w:rsidRDefault="00A023BD" w:rsidP="005B7477">
            <w:pPr>
              <w:spacing w:before="20"/>
              <w:jc w:val="both"/>
              <w:rPr>
                <w:b/>
                <w:sz w:val="16"/>
                <w:szCs w:val="16"/>
              </w:rPr>
            </w:pPr>
            <w:r w:rsidRPr="007C6C78">
              <w:rPr>
                <w:b/>
                <w:sz w:val="16"/>
                <w:szCs w:val="16"/>
              </w:rPr>
              <w:t xml:space="preserve">Number of </w:t>
            </w:r>
            <w:r w:rsidR="005B7477">
              <w:rPr>
                <w:b/>
                <w:sz w:val="16"/>
                <w:szCs w:val="16"/>
              </w:rPr>
              <w:t>major</w:t>
            </w:r>
            <w:r w:rsidRPr="007C6C78">
              <w:rPr>
                <w:b/>
                <w:sz w:val="16"/>
                <w:szCs w:val="16"/>
              </w:rPr>
              <w:t xml:space="preserve"> life events</w:t>
            </w:r>
          </w:p>
        </w:tc>
        <w:tc>
          <w:tcPr>
            <w:tcW w:w="1134" w:type="dxa"/>
            <w:shd w:val="clear" w:color="auto" w:fill="auto"/>
            <w:vAlign w:val="center"/>
          </w:tcPr>
          <w:p w14:paraId="17D52D9A" w14:textId="77777777" w:rsidR="00A023BD" w:rsidRPr="00230801" w:rsidRDefault="00A023BD" w:rsidP="00A023BD">
            <w:pPr>
              <w:keepNext/>
              <w:jc w:val="right"/>
              <w:rPr>
                <w:color w:val="000000"/>
                <w:sz w:val="16"/>
                <w:szCs w:val="16"/>
                <w:lang w:eastAsia="en-NZ"/>
              </w:rPr>
            </w:pPr>
          </w:p>
        </w:tc>
        <w:tc>
          <w:tcPr>
            <w:tcW w:w="1134" w:type="dxa"/>
            <w:shd w:val="clear" w:color="auto" w:fill="auto"/>
            <w:vAlign w:val="center"/>
          </w:tcPr>
          <w:p w14:paraId="6843219E" w14:textId="77777777" w:rsidR="00A023BD" w:rsidRPr="00230801" w:rsidRDefault="00A023BD" w:rsidP="00A023BD">
            <w:pPr>
              <w:keepNext/>
              <w:jc w:val="right"/>
              <w:rPr>
                <w:color w:val="000000"/>
                <w:sz w:val="16"/>
                <w:szCs w:val="16"/>
                <w:lang w:eastAsia="en-NZ"/>
              </w:rPr>
            </w:pPr>
          </w:p>
        </w:tc>
        <w:tc>
          <w:tcPr>
            <w:tcW w:w="850" w:type="dxa"/>
            <w:shd w:val="clear" w:color="auto" w:fill="auto"/>
            <w:vAlign w:val="center"/>
          </w:tcPr>
          <w:p w14:paraId="726D9ED6" w14:textId="77777777" w:rsidR="00A023BD" w:rsidRPr="00230801" w:rsidRDefault="00A023BD" w:rsidP="00A023BD">
            <w:pPr>
              <w:keepNext/>
              <w:jc w:val="right"/>
              <w:rPr>
                <w:color w:val="000000"/>
                <w:sz w:val="16"/>
                <w:szCs w:val="16"/>
                <w:lang w:eastAsia="en-NZ"/>
              </w:rPr>
            </w:pPr>
          </w:p>
        </w:tc>
      </w:tr>
      <w:tr w:rsidR="00A023BD" w:rsidRPr="003F15C0" w14:paraId="5B5B209B" w14:textId="77777777" w:rsidTr="00A023BD">
        <w:tc>
          <w:tcPr>
            <w:tcW w:w="5387" w:type="dxa"/>
            <w:shd w:val="clear" w:color="auto" w:fill="auto"/>
            <w:vAlign w:val="bottom"/>
          </w:tcPr>
          <w:p w14:paraId="4E9A4107" w14:textId="77777777" w:rsidR="00A023BD" w:rsidRPr="007C6C78" w:rsidRDefault="00A023BD" w:rsidP="00A023BD">
            <w:pPr>
              <w:spacing w:before="20"/>
              <w:ind w:left="176"/>
              <w:jc w:val="both"/>
              <w:rPr>
                <w:sz w:val="16"/>
                <w:szCs w:val="16"/>
              </w:rPr>
            </w:pPr>
            <w:r w:rsidRPr="007C6C78">
              <w:rPr>
                <w:sz w:val="16"/>
                <w:szCs w:val="16"/>
              </w:rPr>
              <w:t>0</w:t>
            </w:r>
          </w:p>
        </w:tc>
        <w:tc>
          <w:tcPr>
            <w:tcW w:w="1134" w:type="dxa"/>
            <w:shd w:val="clear" w:color="auto" w:fill="auto"/>
            <w:vAlign w:val="bottom"/>
          </w:tcPr>
          <w:p w14:paraId="0EBD90B9" w14:textId="77777777" w:rsidR="00A023BD" w:rsidRPr="00DF4034" w:rsidRDefault="00A023BD" w:rsidP="00A023BD">
            <w:pPr>
              <w:keepNext/>
              <w:jc w:val="right"/>
              <w:rPr>
                <w:color w:val="000000"/>
                <w:sz w:val="16"/>
                <w:szCs w:val="16"/>
                <w:lang w:eastAsia="en-NZ"/>
              </w:rPr>
            </w:pPr>
            <w:r w:rsidRPr="00DF4034">
              <w:rPr>
                <w:color w:val="000000"/>
                <w:sz w:val="16"/>
                <w:szCs w:val="16"/>
                <w:lang w:eastAsia="en-NZ"/>
              </w:rPr>
              <w:t>1.00</w:t>
            </w:r>
          </w:p>
        </w:tc>
        <w:tc>
          <w:tcPr>
            <w:tcW w:w="1134" w:type="dxa"/>
            <w:shd w:val="clear" w:color="auto" w:fill="auto"/>
            <w:vAlign w:val="bottom"/>
          </w:tcPr>
          <w:p w14:paraId="1965C142" w14:textId="77777777" w:rsidR="00A023BD" w:rsidRPr="00DF4034" w:rsidRDefault="00A023BD" w:rsidP="00A023BD">
            <w:pPr>
              <w:keepNext/>
              <w:jc w:val="right"/>
              <w:rPr>
                <w:color w:val="000000"/>
                <w:sz w:val="16"/>
                <w:szCs w:val="16"/>
                <w:lang w:eastAsia="en-NZ"/>
              </w:rPr>
            </w:pPr>
          </w:p>
        </w:tc>
        <w:tc>
          <w:tcPr>
            <w:tcW w:w="850" w:type="dxa"/>
            <w:shd w:val="clear" w:color="auto" w:fill="auto"/>
            <w:vAlign w:val="bottom"/>
          </w:tcPr>
          <w:p w14:paraId="6FB3AF5B" w14:textId="77777777" w:rsidR="00A023BD" w:rsidRPr="00DF4034" w:rsidRDefault="00A023BD" w:rsidP="00A023BD">
            <w:pPr>
              <w:keepNext/>
              <w:jc w:val="right"/>
              <w:rPr>
                <w:color w:val="000000"/>
                <w:sz w:val="16"/>
                <w:szCs w:val="16"/>
                <w:lang w:eastAsia="en-NZ"/>
              </w:rPr>
            </w:pPr>
          </w:p>
        </w:tc>
      </w:tr>
      <w:tr w:rsidR="00A023BD" w:rsidRPr="003F15C0" w14:paraId="23008BD0" w14:textId="77777777" w:rsidTr="00A023BD">
        <w:tc>
          <w:tcPr>
            <w:tcW w:w="5387" w:type="dxa"/>
            <w:shd w:val="clear" w:color="auto" w:fill="auto"/>
            <w:vAlign w:val="bottom"/>
          </w:tcPr>
          <w:p w14:paraId="51FEBF89" w14:textId="77777777" w:rsidR="00A023BD" w:rsidRPr="007C6C78" w:rsidRDefault="00A023BD" w:rsidP="00A023BD">
            <w:pPr>
              <w:spacing w:before="20"/>
              <w:ind w:left="176"/>
              <w:jc w:val="both"/>
              <w:rPr>
                <w:sz w:val="16"/>
                <w:szCs w:val="16"/>
              </w:rPr>
            </w:pPr>
            <w:r w:rsidRPr="007C6C78">
              <w:rPr>
                <w:sz w:val="16"/>
                <w:szCs w:val="16"/>
              </w:rPr>
              <w:t>1</w:t>
            </w:r>
          </w:p>
        </w:tc>
        <w:tc>
          <w:tcPr>
            <w:tcW w:w="1134" w:type="dxa"/>
            <w:shd w:val="clear" w:color="auto" w:fill="auto"/>
            <w:vAlign w:val="bottom"/>
          </w:tcPr>
          <w:p w14:paraId="3506D3D2" w14:textId="77777777" w:rsidR="00A023BD" w:rsidRPr="00DF4034" w:rsidRDefault="00A023BD" w:rsidP="00A023BD">
            <w:pPr>
              <w:keepNext/>
              <w:jc w:val="right"/>
              <w:rPr>
                <w:color w:val="000000"/>
                <w:sz w:val="16"/>
                <w:szCs w:val="16"/>
                <w:lang w:eastAsia="en-NZ"/>
              </w:rPr>
            </w:pPr>
            <w:r w:rsidRPr="00DF4034">
              <w:rPr>
                <w:color w:val="000000"/>
                <w:sz w:val="16"/>
                <w:szCs w:val="16"/>
                <w:lang w:eastAsia="en-NZ"/>
              </w:rPr>
              <w:t>1.11</w:t>
            </w:r>
          </w:p>
        </w:tc>
        <w:tc>
          <w:tcPr>
            <w:tcW w:w="1134" w:type="dxa"/>
            <w:shd w:val="clear" w:color="auto" w:fill="auto"/>
            <w:vAlign w:val="bottom"/>
          </w:tcPr>
          <w:p w14:paraId="61F8EC17" w14:textId="77777777" w:rsidR="00A023BD" w:rsidRPr="00DF4034" w:rsidRDefault="00A023BD" w:rsidP="00A023BD">
            <w:pPr>
              <w:keepNext/>
              <w:jc w:val="right"/>
              <w:rPr>
                <w:color w:val="000000"/>
                <w:sz w:val="16"/>
                <w:szCs w:val="16"/>
                <w:lang w:eastAsia="en-NZ"/>
              </w:rPr>
            </w:pPr>
            <w:r w:rsidRPr="00DF4034">
              <w:rPr>
                <w:color w:val="000000"/>
                <w:sz w:val="16"/>
                <w:szCs w:val="16"/>
                <w:lang w:eastAsia="en-NZ"/>
              </w:rPr>
              <w:t>(0.81, 1.53)</w:t>
            </w:r>
          </w:p>
        </w:tc>
        <w:tc>
          <w:tcPr>
            <w:tcW w:w="850" w:type="dxa"/>
            <w:shd w:val="clear" w:color="auto" w:fill="auto"/>
            <w:vAlign w:val="bottom"/>
          </w:tcPr>
          <w:p w14:paraId="25860F2A" w14:textId="77777777" w:rsidR="00A023BD" w:rsidRPr="00DF4034" w:rsidRDefault="00A023BD" w:rsidP="00A023BD">
            <w:pPr>
              <w:keepNext/>
              <w:jc w:val="right"/>
              <w:rPr>
                <w:color w:val="000000"/>
                <w:sz w:val="16"/>
                <w:szCs w:val="16"/>
                <w:lang w:eastAsia="en-NZ"/>
              </w:rPr>
            </w:pPr>
          </w:p>
        </w:tc>
      </w:tr>
      <w:tr w:rsidR="00A023BD" w:rsidRPr="003F15C0" w14:paraId="0D16437F" w14:textId="77777777" w:rsidTr="00A023BD">
        <w:tc>
          <w:tcPr>
            <w:tcW w:w="5387" w:type="dxa"/>
            <w:shd w:val="clear" w:color="auto" w:fill="auto"/>
            <w:vAlign w:val="bottom"/>
          </w:tcPr>
          <w:p w14:paraId="67005DF6" w14:textId="77777777" w:rsidR="00A023BD" w:rsidRPr="007C6C78" w:rsidRDefault="00A023BD" w:rsidP="00A023BD">
            <w:pPr>
              <w:spacing w:before="20"/>
              <w:ind w:left="176"/>
              <w:jc w:val="both"/>
              <w:rPr>
                <w:sz w:val="16"/>
                <w:szCs w:val="16"/>
              </w:rPr>
            </w:pPr>
            <w:r w:rsidRPr="007C6C78">
              <w:rPr>
                <w:sz w:val="16"/>
                <w:szCs w:val="16"/>
              </w:rPr>
              <w:t>2</w:t>
            </w:r>
          </w:p>
        </w:tc>
        <w:tc>
          <w:tcPr>
            <w:tcW w:w="1134" w:type="dxa"/>
            <w:shd w:val="clear" w:color="auto" w:fill="auto"/>
            <w:vAlign w:val="bottom"/>
          </w:tcPr>
          <w:p w14:paraId="14219770" w14:textId="77777777" w:rsidR="00A023BD" w:rsidRPr="00DF4034" w:rsidRDefault="00A023BD" w:rsidP="00A023BD">
            <w:pPr>
              <w:keepNext/>
              <w:jc w:val="right"/>
              <w:rPr>
                <w:color w:val="000000"/>
                <w:sz w:val="16"/>
                <w:szCs w:val="16"/>
                <w:lang w:eastAsia="en-NZ"/>
              </w:rPr>
            </w:pPr>
            <w:r w:rsidRPr="00DF4034">
              <w:rPr>
                <w:color w:val="000000"/>
                <w:sz w:val="16"/>
                <w:szCs w:val="16"/>
                <w:lang w:eastAsia="en-NZ"/>
              </w:rPr>
              <w:t>1.34</w:t>
            </w:r>
          </w:p>
        </w:tc>
        <w:tc>
          <w:tcPr>
            <w:tcW w:w="1134" w:type="dxa"/>
            <w:shd w:val="clear" w:color="auto" w:fill="auto"/>
            <w:vAlign w:val="bottom"/>
          </w:tcPr>
          <w:p w14:paraId="67BB5AD5" w14:textId="77777777" w:rsidR="00A023BD" w:rsidRPr="00DF4034" w:rsidRDefault="00A023BD" w:rsidP="00A023BD">
            <w:pPr>
              <w:keepNext/>
              <w:jc w:val="right"/>
              <w:rPr>
                <w:color w:val="000000"/>
                <w:sz w:val="16"/>
                <w:szCs w:val="16"/>
                <w:lang w:eastAsia="en-NZ"/>
              </w:rPr>
            </w:pPr>
            <w:r w:rsidRPr="00DF4034">
              <w:rPr>
                <w:color w:val="000000"/>
                <w:sz w:val="16"/>
                <w:szCs w:val="16"/>
                <w:lang w:eastAsia="en-NZ"/>
              </w:rPr>
              <w:t>(0.95, 1.88)</w:t>
            </w:r>
          </w:p>
        </w:tc>
        <w:tc>
          <w:tcPr>
            <w:tcW w:w="850" w:type="dxa"/>
            <w:shd w:val="clear" w:color="auto" w:fill="auto"/>
            <w:vAlign w:val="bottom"/>
          </w:tcPr>
          <w:p w14:paraId="19989198" w14:textId="77777777" w:rsidR="00A023BD" w:rsidRPr="00DF4034" w:rsidRDefault="00A023BD" w:rsidP="00A023BD">
            <w:pPr>
              <w:keepNext/>
              <w:jc w:val="right"/>
              <w:rPr>
                <w:color w:val="000000"/>
                <w:sz w:val="16"/>
                <w:szCs w:val="16"/>
                <w:lang w:eastAsia="en-NZ"/>
              </w:rPr>
            </w:pPr>
          </w:p>
        </w:tc>
      </w:tr>
      <w:tr w:rsidR="00A023BD" w:rsidRPr="003F15C0" w14:paraId="59346315" w14:textId="77777777" w:rsidTr="00A023BD">
        <w:tc>
          <w:tcPr>
            <w:tcW w:w="5387" w:type="dxa"/>
            <w:shd w:val="clear" w:color="auto" w:fill="auto"/>
            <w:vAlign w:val="bottom"/>
          </w:tcPr>
          <w:p w14:paraId="2A28195C" w14:textId="77777777" w:rsidR="00A023BD" w:rsidRPr="007C6C78" w:rsidRDefault="00A023BD" w:rsidP="00A023BD">
            <w:pPr>
              <w:spacing w:before="20"/>
              <w:ind w:left="176"/>
              <w:jc w:val="both"/>
              <w:rPr>
                <w:sz w:val="16"/>
                <w:szCs w:val="16"/>
              </w:rPr>
            </w:pPr>
            <w:r w:rsidRPr="007C6C78">
              <w:rPr>
                <w:sz w:val="16"/>
                <w:szCs w:val="16"/>
              </w:rPr>
              <w:t>3</w:t>
            </w:r>
          </w:p>
        </w:tc>
        <w:tc>
          <w:tcPr>
            <w:tcW w:w="1134" w:type="dxa"/>
            <w:shd w:val="clear" w:color="auto" w:fill="auto"/>
            <w:vAlign w:val="bottom"/>
          </w:tcPr>
          <w:p w14:paraId="5F619711" w14:textId="77777777" w:rsidR="00A023BD" w:rsidRPr="00DF4034" w:rsidRDefault="00A023BD" w:rsidP="00A023BD">
            <w:pPr>
              <w:keepNext/>
              <w:jc w:val="right"/>
              <w:rPr>
                <w:color w:val="000000"/>
                <w:sz w:val="16"/>
                <w:szCs w:val="16"/>
                <w:lang w:eastAsia="en-NZ"/>
              </w:rPr>
            </w:pPr>
            <w:r w:rsidRPr="00DF4034">
              <w:rPr>
                <w:color w:val="000000"/>
                <w:sz w:val="16"/>
                <w:szCs w:val="16"/>
                <w:lang w:eastAsia="en-NZ"/>
              </w:rPr>
              <w:t>1.79</w:t>
            </w:r>
          </w:p>
        </w:tc>
        <w:tc>
          <w:tcPr>
            <w:tcW w:w="1134" w:type="dxa"/>
            <w:shd w:val="clear" w:color="auto" w:fill="auto"/>
            <w:vAlign w:val="bottom"/>
          </w:tcPr>
          <w:p w14:paraId="3DED4D4E" w14:textId="77777777" w:rsidR="00A023BD" w:rsidRPr="00DF4034" w:rsidRDefault="00A023BD" w:rsidP="00A023BD">
            <w:pPr>
              <w:keepNext/>
              <w:jc w:val="right"/>
              <w:rPr>
                <w:color w:val="000000"/>
                <w:sz w:val="16"/>
                <w:szCs w:val="16"/>
                <w:lang w:eastAsia="en-NZ"/>
              </w:rPr>
            </w:pPr>
            <w:r w:rsidRPr="00DF4034">
              <w:rPr>
                <w:color w:val="000000"/>
                <w:sz w:val="16"/>
                <w:szCs w:val="16"/>
                <w:lang w:eastAsia="en-NZ"/>
              </w:rPr>
              <w:t>(1.24, 2.60)</w:t>
            </w:r>
          </w:p>
        </w:tc>
        <w:tc>
          <w:tcPr>
            <w:tcW w:w="850" w:type="dxa"/>
            <w:shd w:val="clear" w:color="auto" w:fill="auto"/>
            <w:vAlign w:val="bottom"/>
          </w:tcPr>
          <w:p w14:paraId="53BB72EA" w14:textId="77777777" w:rsidR="00A023BD" w:rsidRPr="00DF4034" w:rsidRDefault="00A023BD" w:rsidP="00A023BD">
            <w:pPr>
              <w:keepNext/>
              <w:jc w:val="right"/>
              <w:rPr>
                <w:color w:val="000000"/>
                <w:sz w:val="16"/>
                <w:szCs w:val="16"/>
                <w:lang w:eastAsia="en-NZ"/>
              </w:rPr>
            </w:pPr>
          </w:p>
        </w:tc>
      </w:tr>
      <w:tr w:rsidR="00A023BD" w:rsidRPr="003F15C0" w14:paraId="6181861F" w14:textId="77777777" w:rsidTr="00326B55">
        <w:tc>
          <w:tcPr>
            <w:tcW w:w="5387" w:type="dxa"/>
            <w:shd w:val="clear" w:color="auto" w:fill="auto"/>
            <w:vAlign w:val="bottom"/>
          </w:tcPr>
          <w:p w14:paraId="49CA01EF" w14:textId="77777777" w:rsidR="00A023BD" w:rsidRPr="007C6C78" w:rsidRDefault="00A023BD" w:rsidP="00A023BD">
            <w:pPr>
              <w:spacing w:before="20"/>
              <w:ind w:left="176"/>
              <w:jc w:val="both"/>
              <w:rPr>
                <w:sz w:val="16"/>
                <w:szCs w:val="16"/>
              </w:rPr>
            </w:pPr>
            <w:r w:rsidRPr="007C6C78">
              <w:rPr>
                <w:sz w:val="16"/>
                <w:szCs w:val="16"/>
              </w:rPr>
              <w:t>4+</w:t>
            </w:r>
          </w:p>
        </w:tc>
        <w:tc>
          <w:tcPr>
            <w:tcW w:w="1134" w:type="dxa"/>
            <w:shd w:val="clear" w:color="auto" w:fill="auto"/>
            <w:vAlign w:val="bottom"/>
          </w:tcPr>
          <w:p w14:paraId="65B8F77A" w14:textId="77777777" w:rsidR="00A023BD" w:rsidRPr="00DF4034" w:rsidRDefault="00A023BD" w:rsidP="00A023BD">
            <w:pPr>
              <w:keepNext/>
              <w:jc w:val="right"/>
              <w:rPr>
                <w:color w:val="000000"/>
                <w:sz w:val="16"/>
                <w:szCs w:val="16"/>
                <w:lang w:eastAsia="en-NZ"/>
              </w:rPr>
            </w:pPr>
            <w:r w:rsidRPr="00DF4034">
              <w:rPr>
                <w:color w:val="000000"/>
                <w:sz w:val="16"/>
                <w:szCs w:val="16"/>
                <w:lang w:eastAsia="en-NZ"/>
              </w:rPr>
              <w:t>1.74</w:t>
            </w:r>
          </w:p>
        </w:tc>
        <w:tc>
          <w:tcPr>
            <w:tcW w:w="1134" w:type="dxa"/>
            <w:shd w:val="clear" w:color="auto" w:fill="auto"/>
            <w:vAlign w:val="bottom"/>
          </w:tcPr>
          <w:p w14:paraId="03FAF25E" w14:textId="77777777" w:rsidR="00A023BD" w:rsidRPr="00DF4034" w:rsidRDefault="00A023BD" w:rsidP="00A023BD">
            <w:pPr>
              <w:keepNext/>
              <w:jc w:val="right"/>
              <w:rPr>
                <w:color w:val="000000"/>
                <w:sz w:val="16"/>
                <w:szCs w:val="16"/>
                <w:lang w:eastAsia="en-NZ"/>
              </w:rPr>
            </w:pPr>
            <w:r w:rsidRPr="00DF4034">
              <w:rPr>
                <w:color w:val="000000"/>
                <w:sz w:val="16"/>
                <w:szCs w:val="16"/>
                <w:lang w:eastAsia="en-NZ"/>
              </w:rPr>
              <w:t>(1.20, 2.52)</w:t>
            </w:r>
          </w:p>
        </w:tc>
        <w:tc>
          <w:tcPr>
            <w:tcW w:w="850" w:type="dxa"/>
            <w:shd w:val="clear" w:color="auto" w:fill="auto"/>
            <w:vAlign w:val="bottom"/>
          </w:tcPr>
          <w:p w14:paraId="4D30BAF7" w14:textId="77777777" w:rsidR="00A023BD" w:rsidRPr="00DF4034" w:rsidRDefault="00A023BD" w:rsidP="00A023BD">
            <w:pPr>
              <w:keepNext/>
              <w:jc w:val="right"/>
              <w:rPr>
                <w:color w:val="000000"/>
                <w:sz w:val="16"/>
                <w:szCs w:val="16"/>
                <w:lang w:eastAsia="en-NZ"/>
              </w:rPr>
            </w:pPr>
            <w:r w:rsidRPr="00DF4034">
              <w:rPr>
                <w:color w:val="000000"/>
                <w:sz w:val="16"/>
                <w:szCs w:val="16"/>
                <w:lang w:eastAsia="en-NZ"/>
              </w:rPr>
              <w:t>0.005</w:t>
            </w:r>
          </w:p>
        </w:tc>
      </w:tr>
      <w:tr w:rsidR="00A023BD" w:rsidRPr="003F15C0" w14:paraId="37982202" w14:textId="77777777" w:rsidTr="00A023BD">
        <w:tc>
          <w:tcPr>
            <w:tcW w:w="5387" w:type="dxa"/>
            <w:shd w:val="clear" w:color="auto" w:fill="auto"/>
          </w:tcPr>
          <w:p w14:paraId="41033EC9" w14:textId="77777777" w:rsidR="00A023BD" w:rsidRPr="007C6C78" w:rsidRDefault="00A023BD" w:rsidP="00A023BD">
            <w:pPr>
              <w:keepNext/>
              <w:spacing w:before="20"/>
              <w:jc w:val="both"/>
              <w:rPr>
                <w:b/>
                <w:sz w:val="16"/>
                <w:szCs w:val="16"/>
              </w:rPr>
            </w:pPr>
            <w:r w:rsidRPr="007C6C78">
              <w:rPr>
                <w:b/>
                <w:sz w:val="16"/>
                <w:szCs w:val="16"/>
              </w:rPr>
              <w:t>Psychological distress (Kessler-10)</w:t>
            </w:r>
          </w:p>
        </w:tc>
        <w:tc>
          <w:tcPr>
            <w:tcW w:w="1134" w:type="dxa"/>
            <w:shd w:val="clear" w:color="auto" w:fill="auto"/>
            <w:vAlign w:val="center"/>
          </w:tcPr>
          <w:p w14:paraId="348C7199" w14:textId="77777777" w:rsidR="00A023BD" w:rsidRPr="00DF4034" w:rsidRDefault="00A023BD" w:rsidP="00A023BD">
            <w:pPr>
              <w:keepNext/>
              <w:jc w:val="right"/>
              <w:rPr>
                <w:color w:val="000000"/>
                <w:sz w:val="16"/>
                <w:szCs w:val="16"/>
                <w:lang w:eastAsia="en-NZ"/>
              </w:rPr>
            </w:pPr>
          </w:p>
        </w:tc>
        <w:tc>
          <w:tcPr>
            <w:tcW w:w="1134" w:type="dxa"/>
            <w:shd w:val="clear" w:color="auto" w:fill="auto"/>
            <w:vAlign w:val="center"/>
          </w:tcPr>
          <w:p w14:paraId="0AEEC67D" w14:textId="77777777" w:rsidR="00A023BD" w:rsidRPr="00DF4034" w:rsidRDefault="00A023BD" w:rsidP="00A023BD">
            <w:pPr>
              <w:keepNext/>
              <w:jc w:val="right"/>
              <w:rPr>
                <w:color w:val="000000"/>
                <w:sz w:val="16"/>
                <w:szCs w:val="16"/>
                <w:lang w:eastAsia="en-NZ"/>
              </w:rPr>
            </w:pPr>
          </w:p>
        </w:tc>
        <w:tc>
          <w:tcPr>
            <w:tcW w:w="850" w:type="dxa"/>
            <w:shd w:val="clear" w:color="auto" w:fill="auto"/>
            <w:vAlign w:val="center"/>
          </w:tcPr>
          <w:p w14:paraId="05415CF7" w14:textId="77777777" w:rsidR="00A023BD" w:rsidRPr="00DF4034" w:rsidRDefault="00A023BD" w:rsidP="00A023BD">
            <w:pPr>
              <w:keepNext/>
              <w:jc w:val="right"/>
              <w:rPr>
                <w:color w:val="000000"/>
                <w:sz w:val="16"/>
                <w:szCs w:val="16"/>
                <w:lang w:eastAsia="en-NZ"/>
              </w:rPr>
            </w:pPr>
          </w:p>
        </w:tc>
      </w:tr>
      <w:tr w:rsidR="00A023BD" w:rsidRPr="003F15C0" w14:paraId="6BB14A91" w14:textId="77777777" w:rsidTr="00A023BD">
        <w:tc>
          <w:tcPr>
            <w:tcW w:w="5387" w:type="dxa"/>
            <w:shd w:val="clear" w:color="auto" w:fill="auto"/>
            <w:vAlign w:val="bottom"/>
          </w:tcPr>
          <w:p w14:paraId="625D7BFE" w14:textId="77777777" w:rsidR="00A023BD" w:rsidRPr="007C6C78" w:rsidRDefault="00A023BD" w:rsidP="00A023BD">
            <w:pPr>
              <w:keepNext/>
              <w:spacing w:before="20"/>
              <w:ind w:left="176"/>
              <w:jc w:val="both"/>
              <w:rPr>
                <w:sz w:val="16"/>
                <w:szCs w:val="16"/>
              </w:rPr>
            </w:pPr>
            <w:r>
              <w:rPr>
                <w:sz w:val="16"/>
                <w:szCs w:val="16"/>
              </w:rPr>
              <w:t xml:space="preserve">Low (Score </w:t>
            </w:r>
            <w:r w:rsidRPr="007C6C78">
              <w:rPr>
                <w:sz w:val="16"/>
                <w:szCs w:val="16"/>
              </w:rPr>
              <w:t>0</w:t>
            </w:r>
            <w:r>
              <w:rPr>
                <w:sz w:val="16"/>
                <w:szCs w:val="16"/>
              </w:rPr>
              <w:t xml:space="preserve"> </w:t>
            </w:r>
            <w:r w:rsidRPr="007C6C78">
              <w:rPr>
                <w:sz w:val="16"/>
                <w:szCs w:val="16"/>
              </w:rPr>
              <w:t>-</w:t>
            </w:r>
            <w:r>
              <w:rPr>
                <w:sz w:val="16"/>
                <w:szCs w:val="16"/>
              </w:rPr>
              <w:t xml:space="preserve"> </w:t>
            </w:r>
            <w:r w:rsidRPr="007C6C78">
              <w:rPr>
                <w:sz w:val="16"/>
                <w:szCs w:val="16"/>
              </w:rPr>
              <w:t>5</w:t>
            </w:r>
            <w:r>
              <w:rPr>
                <w:sz w:val="16"/>
                <w:szCs w:val="16"/>
              </w:rPr>
              <w:t>)</w:t>
            </w:r>
          </w:p>
        </w:tc>
        <w:tc>
          <w:tcPr>
            <w:tcW w:w="1134" w:type="dxa"/>
            <w:shd w:val="clear" w:color="auto" w:fill="auto"/>
            <w:vAlign w:val="bottom"/>
          </w:tcPr>
          <w:p w14:paraId="376AB43D" w14:textId="77777777" w:rsidR="00A023BD" w:rsidRPr="00DF4034" w:rsidRDefault="00A023BD" w:rsidP="00A023BD">
            <w:pPr>
              <w:keepNext/>
              <w:jc w:val="right"/>
              <w:rPr>
                <w:color w:val="000000"/>
                <w:sz w:val="16"/>
                <w:szCs w:val="16"/>
                <w:lang w:eastAsia="en-NZ"/>
              </w:rPr>
            </w:pPr>
            <w:r w:rsidRPr="00DF4034">
              <w:rPr>
                <w:color w:val="000000"/>
                <w:sz w:val="16"/>
                <w:szCs w:val="16"/>
                <w:lang w:eastAsia="en-NZ"/>
              </w:rPr>
              <w:t>1.00</w:t>
            </w:r>
          </w:p>
        </w:tc>
        <w:tc>
          <w:tcPr>
            <w:tcW w:w="1134" w:type="dxa"/>
            <w:shd w:val="clear" w:color="auto" w:fill="auto"/>
            <w:vAlign w:val="bottom"/>
          </w:tcPr>
          <w:p w14:paraId="13915065" w14:textId="77777777" w:rsidR="00A023BD" w:rsidRPr="00DF4034" w:rsidRDefault="00A023BD" w:rsidP="00A023BD">
            <w:pPr>
              <w:keepNext/>
              <w:jc w:val="right"/>
              <w:rPr>
                <w:color w:val="000000"/>
                <w:sz w:val="16"/>
                <w:szCs w:val="16"/>
                <w:lang w:eastAsia="en-NZ"/>
              </w:rPr>
            </w:pPr>
          </w:p>
        </w:tc>
        <w:tc>
          <w:tcPr>
            <w:tcW w:w="850" w:type="dxa"/>
            <w:shd w:val="clear" w:color="auto" w:fill="auto"/>
            <w:vAlign w:val="bottom"/>
          </w:tcPr>
          <w:p w14:paraId="48C5EA10" w14:textId="77777777" w:rsidR="00A023BD" w:rsidRPr="00DF4034" w:rsidRDefault="00A023BD" w:rsidP="00A023BD">
            <w:pPr>
              <w:keepNext/>
              <w:jc w:val="right"/>
              <w:rPr>
                <w:color w:val="000000"/>
                <w:sz w:val="16"/>
                <w:szCs w:val="16"/>
                <w:lang w:eastAsia="en-NZ"/>
              </w:rPr>
            </w:pPr>
          </w:p>
        </w:tc>
      </w:tr>
      <w:tr w:rsidR="00A023BD" w:rsidRPr="003F15C0" w14:paraId="6E03CAAD" w14:textId="77777777" w:rsidTr="00A023BD">
        <w:tc>
          <w:tcPr>
            <w:tcW w:w="5387" w:type="dxa"/>
            <w:shd w:val="clear" w:color="auto" w:fill="auto"/>
            <w:vAlign w:val="bottom"/>
          </w:tcPr>
          <w:p w14:paraId="0B8685F4" w14:textId="77777777" w:rsidR="00A023BD" w:rsidRPr="007C6C78" w:rsidRDefault="00A023BD" w:rsidP="00A023BD">
            <w:pPr>
              <w:keepNext/>
              <w:spacing w:before="20"/>
              <w:ind w:left="176"/>
              <w:jc w:val="both"/>
              <w:rPr>
                <w:sz w:val="16"/>
                <w:szCs w:val="16"/>
              </w:rPr>
            </w:pPr>
            <w:r>
              <w:rPr>
                <w:sz w:val="16"/>
                <w:szCs w:val="16"/>
              </w:rPr>
              <w:t xml:space="preserve">Moderate (Score </w:t>
            </w:r>
            <w:r w:rsidRPr="007C6C78">
              <w:rPr>
                <w:sz w:val="16"/>
                <w:szCs w:val="16"/>
              </w:rPr>
              <w:t>6</w:t>
            </w:r>
            <w:r>
              <w:rPr>
                <w:sz w:val="16"/>
                <w:szCs w:val="16"/>
              </w:rPr>
              <w:t xml:space="preserve"> </w:t>
            </w:r>
            <w:r w:rsidRPr="007C6C78">
              <w:rPr>
                <w:sz w:val="16"/>
                <w:szCs w:val="16"/>
              </w:rPr>
              <w:t>-</w:t>
            </w:r>
            <w:r>
              <w:rPr>
                <w:sz w:val="16"/>
                <w:szCs w:val="16"/>
              </w:rPr>
              <w:t xml:space="preserve"> </w:t>
            </w:r>
            <w:r w:rsidRPr="007C6C78">
              <w:rPr>
                <w:sz w:val="16"/>
                <w:szCs w:val="16"/>
              </w:rPr>
              <w:t>11</w:t>
            </w:r>
            <w:r>
              <w:rPr>
                <w:sz w:val="16"/>
                <w:szCs w:val="16"/>
              </w:rPr>
              <w:t>)</w:t>
            </w:r>
          </w:p>
        </w:tc>
        <w:tc>
          <w:tcPr>
            <w:tcW w:w="1134" w:type="dxa"/>
            <w:shd w:val="clear" w:color="auto" w:fill="auto"/>
            <w:vAlign w:val="bottom"/>
          </w:tcPr>
          <w:p w14:paraId="42CD9D0F" w14:textId="77777777" w:rsidR="00A023BD" w:rsidRPr="00DF4034" w:rsidRDefault="00A023BD" w:rsidP="00A023BD">
            <w:pPr>
              <w:keepNext/>
              <w:jc w:val="right"/>
              <w:rPr>
                <w:color w:val="000000"/>
                <w:sz w:val="16"/>
                <w:szCs w:val="16"/>
                <w:lang w:eastAsia="en-NZ"/>
              </w:rPr>
            </w:pPr>
            <w:r w:rsidRPr="00DF4034">
              <w:rPr>
                <w:color w:val="000000"/>
                <w:sz w:val="16"/>
                <w:szCs w:val="16"/>
                <w:lang w:eastAsia="en-NZ"/>
              </w:rPr>
              <w:t>3.26</w:t>
            </w:r>
          </w:p>
        </w:tc>
        <w:tc>
          <w:tcPr>
            <w:tcW w:w="1134" w:type="dxa"/>
            <w:shd w:val="clear" w:color="auto" w:fill="auto"/>
            <w:vAlign w:val="bottom"/>
          </w:tcPr>
          <w:p w14:paraId="650F23DC" w14:textId="77777777" w:rsidR="00A023BD" w:rsidRPr="00DF4034" w:rsidRDefault="00A023BD" w:rsidP="00A023BD">
            <w:pPr>
              <w:keepNext/>
              <w:jc w:val="right"/>
              <w:rPr>
                <w:color w:val="000000"/>
                <w:sz w:val="16"/>
                <w:szCs w:val="16"/>
                <w:lang w:eastAsia="en-NZ"/>
              </w:rPr>
            </w:pPr>
            <w:r w:rsidRPr="00DF4034">
              <w:rPr>
                <w:color w:val="000000"/>
                <w:sz w:val="16"/>
                <w:szCs w:val="16"/>
                <w:lang w:eastAsia="en-NZ"/>
              </w:rPr>
              <w:t>(2.19, 4.85)</w:t>
            </w:r>
          </w:p>
        </w:tc>
        <w:tc>
          <w:tcPr>
            <w:tcW w:w="850" w:type="dxa"/>
            <w:shd w:val="clear" w:color="auto" w:fill="auto"/>
            <w:vAlign w:val="bottom"/>
          </w:tcPr>
          <w:p w14:paraId="10DF9FD8" w14:textId="77777777" w:rsidR="00A023BD" w:rsidRPr="00DF4034" w:rsidRDefault="00A023BD" w:rsidP="00A023BD">
            <w:pPr>
              <w:keepNext/>
              <w:jc w:val="right"/>
              <w:rPr>
                <w:color w:val="000000"/>
                <w:sz w:val="16"/>
                <w:szCs w:val="16"/>
                <w:lang w:eastAsia="en-NZ"/>
              </w:rPr>
            </w:pPr>
          </w:p>
        </w:tc>
      </w:tr>
      <w:tr w:rsidR="00A023BD" w:rsidRPr="003F15C0" w14:paraId="7A585310" w14:textId="77777777" w:rsidTr="00A023BD">
        <w:tc>
          <w:tcPr>
            <w:tcW w:w="5387" w:type="dxa"/>
            <w:shd w:val="clear" w:color="auto" w:fill="auto"/>
            <w:vAlign w:val="bottom"/>
          </w:tcPr>
          <w:p w14:paraId="22834B4E" w14:textId="77777777" w:rsidR="00A023BD" w:rsidRPr="007C6C78" w:rsidRDefault="00A023BD" w:rsidP="00A023BD">
            <w:pPr>
              <w:keepNext/>
              <w:spacing w:before="20"/>
              <w:ind w:left="176"/>
              <w:jc w:val="both"/>
              <w:rPr>
                <w:sz w:val="16"/>
                <w:szCs w:val="16"/>
              </w:rPr>
            </w:pPr>
            <w:r>
              <w:rPr>
                <w:sz w:val="16"/>
                <w:szCs w:val="16"/>
              </w:rPr>
              <w:t xml:space="preserve">High (Score </w:t>
            </w:r>
            <w:r w:rsidRPr="007C6C78">
              <w:rPr>
                <w:sz w:val="16"/>
                <w:szCs w:val="16"/>
              </w:rPr>
              <w:t>12</w:t>
            </w:r>
            <w:r>
              <w:rPr>
                <w:sz w:val="16"/>
                <w:szCs w:val="16"/>
              </w:rPr>
              <w:t xml:space="preserve"> </w:t>
            </w:r>
            <w:r w:rsidRPr="007C6C78">
              <w:rPr>
                <w:sz w:val="16"/>
                <w:szCs w:val="16"/>
              </w:rPr>
              <w:t>-</w:t>
            </w:r>
            <w:r>
              <w:rPr>
                <w:sz w:val="16"/>
                <w:szCs w:val="16"/>
              </w:rPr>
              <w:t xml:space="preserve"> </w:t>
            </w:r>
            <w:r w:rsidRPr="007C6C78">
              <w:rPr>
                <w:sz w:val="16"/>
                <w:szCs w:val="16"/>
              </w:rPr>
              <w:t>19</w:t>
            </w:r>
            <w:r>
              <w:rPr>
                <w:sz w:val="16"/>
                <w:szCs w:val="16"/>
              </w:rPr>
              <w:t>)</w:t>
            </w:r>
          </w:p>
        </w:tc>
        <w:tc>
          <w:tcPr>
            <w:tcW w:w="1134" w:type="dxa"/>
            <w:shd w:val="clear" w:color="auto" w:fill="auto"/>
            <w:vAlign w:val="bottom"/>
          </w:tcPr>
          <w:p w14:paraId="21ECBDF0" w14:textId="77777777" w:rsidR="00A023BD" w:rsidRPr="00DF4034" w:rsidRDefault="00A023BD" w:rsidP="00A023BD">
            <w:pPr>
              <w:keepNext/>
              <w:jc w:val="right"/>
              <w:rPr>
                <w:color w:val="000000"/>
                <w:sz w:val="16"/>
                <w:szCs w:val="16"/>
                <w:lang w:eastAsia="en-NZ"/>
              </w:rPr>
            </w:pPr>
            <w:r w:rsidRPr="00DF4034">
              <w:rPr>
                <w:color w:val="000000"/>
                <w:sz w:val="16"/>
                <w:szCs w:val="16"/>
                <w:lang w:eastAsia="en-NZ"/>
              </w:rPr>
              <w:t>6.25</w:t>
            </w:r>
          </w:p>
        </w:tc>
        <w:tc>
          <w:tcPr>
            <w:tcW w:w="1134" w:type="dxa"/>
            <w:shd w:val="clear" w:color="auto" w:fill="auto"/>
            <w:vAlign w:val="bottom"/>
          </w:tcPr>
          <w:p w14:paraId="123F686C" w14:textId="77777777" w:rsidR="00A023BD" w:rsidRPr="00DF4034" w:rsidRDefault="00A023BD" w:rsidP="00A023BD">
            <w:pPr>
              <w:keepNext/>
              <w:jc w:val="right"/>
              <w:rPr>
                <w:color w:val="000000"/>
                <w:sz w:val="16"/>
                <w:szCs w:val="16"/>
                <w:lang w:eastAsia="en-NZ"/>
              </w:rPr>
            </w:pPr>
            <w:r w:rsidRPr="00DF4034">
              <w:rPr>
                <w:color w:val="000000"/>
                <w:sz w:val="16"/>
                <w:szCs w:val="16"/>
                <w:lang w:eastAsia="en-NZ"/>
              </w:rPr>
              <w:t>(3.15, 12.4)</w:t>
            </w:r>
          </w:p>
        </w:tc>
        <w:tc>
          <w:tcPr>
            <w:tcW w:w="850" w:type="dxa"/>
            <w:shd w:val="clear" w:color="auto" w:fill="auto"/>
            <w:vAlign w:val="bottom"/>
          </w:tcPr>
          <w:p w14:paraId="2595AE9C" w14:textId="77777777" w:rsidR="00A023BD" w:rsidRPr="00DF4034" w:rsidRDefault="00A023BD" w:rsidP="00A023BD">
            <w:pPr>
              <w:keepNext/>
              <w:jc w:val="right"/>
              <w:rPr>
                <w:color w:val="000000"/>
                <w:sz w:val="16"/>
                <w:szCs w:val="16"/>
                <w:lang w:eastAsia="en-NZ"/>
              </w:rPr>
            </w:pPr>
          </w:p>
        </w:tc>
      </w:tr>
      <w:tr w:rsidR="00A023BD" w:rsidRPr="003F15C0" w14:paraId="2E35EC41" w14:textId="77777777" w:rsidTr="00326B55">
        <w:tc>
          <w:tcPr>
            <w:tcW w:w="5387" w:type="dxa"/>
            <w:shd w:val="clear" w:color="auto" w:fill="auto"/>
            <w:vAlign w:val="bottom"/>
          </w:tcPr>
          <w:p w14:paraId="29777617" w14:textId="77777777" w:rsidR="00A023BD" w:rsidRPr="007C6C78" w:rsidRDefault="00A023BD" w:rsidP="00A023BD">
            <w:pPr>
              <w:spacing w:before="20"/>
              <w:ind w:left="176"/>
              <w:jc w:val="both"/>
              <w:rPr>
                <w:sz w:val="16"/>
                <w:szCs w:val="16"/>
              </w:rPr>
            </w:pPr>
            <w:r>
              <w:rPr>
                <w:sz w:val="16"/>
                <w:szCs w:val="16"/>
              </w:rPr>
              <w:t xml:space="preserve">Severe (Score </w:t>
            </w:r>
            <w:r w:rsidRPr="007C6C78">
              <w:rPr>
                <w:sz w:val="16"/>
                <w:szCs w:val="16"/>
              </w:rPr>
              <w:t>20</w:t>
            </w:r>
            <w:r>
              <w:rPr>
                <w:sz w:val="16"/>
                <w:szCs w:val="16"/>
              </w:rPr>
              <w:t xml:space="preserve"> </w:t>
            </w:r>
            <w:r w:rsidRPr="007C6C78">
              <w:rPr>
                <w:sz w:val="16"/>
                <w:szCs w:val="16"/>
              </w:rPr>
              <w:t>-</w:t>
            </w:r>
            <w:r>
              <w:rPr>
                <w:sz w:val="16"/>
                <w:szCs w:val="16"/>
              </w:rPr>
              <w:t xml:space="preserve"> </w:t>
            </w:r>
            <w:r w:rsidRPr="007C6C78">
              <w:rPr>
                <w:sz w:val="16"/>
                <w:szCs w:val="16"/>
              </w:rPr>
              <w:t>40</w:t>
            </w:r>
            <w:r>
              <w:rPr>
                <w:sz w:val="16"/>
                <w:szCs w:val="16"/>
              </w:rPr>
              <w:t>)</w:t>
            </w:r>
          </w:p>
        </w:tc>
        <w:tc>
          <w:tcPr>
            <w:tcW w:w="1134" w:type="dxa"/>
            <w:shd w:val="clear" w:color="auto" w:fill="auto"/>
            <w:vAlign w:val="bottom"/>
          </w:tcPr>
          <w:p w14:paraId="66FA0BC6" w14:textId="77777777" w:rsidR="00A023BD" w:rsidRPr="00DF4034" w:rsidRDefault="00A023BD" w:rsidP="00A023BD">
            <w:pPr>
              <w:keepNext/>
              <w:jc w:val="right"/>
              <w:rPr>
                <w:color w:val="000000"/>
                <w:sz w:val="16"/>
                <w:szCs w:val="16"/>
                <w:lang w:eastAsia="en-NZ"/>
              </w:rPr>
            </w:pPr>
            <w:r w:rsidRPr="00DF4034">
              <w:rPr>
                <w:color w:val="000000"/>
                <w:sz w:val="16"/>
                <w:szCs w:val="16"/>
                <w:lang w:eastAsia="en-NZ"/>
              </w:rPr>
              <w:t>1.75</w:t>
            </w:r>
          </w:p>
        </w:tc>
        <w:tc>
          <w:tcPr>
            <w:tcW w:w="1134" w:type="dxa"/>
            <w:shd w:val="clear" w:color="auto" w:fill="auto"/>
            <w:vAlign w:val="bottom"/>
          </w:tcPr>
          <w:p w14:paraId="21A28658" w14:textId="77777777" w:rsidR="00A023BD" w:rsidRPr="00DF4034" w:rsidRDefault="00A023BD" w:rsidP="00A023BD">
            <w:pPr>
              <w:keepNext/>
              <w:jc w:val="right"/>
              <w:rPr>
                <w:color w:val="000000"/>
                <w:sz w:val="16"/>
                <w:szCs w:val="16"/>
                <w:lang w:eastAsia="en-NZ"/>
              </w:rPr>
            </w:pPr>
            <w:r w:rsidRPr="00DF4034">
              <w:rPr>
                <w:color w:val="000000"/>
                <w:sz w:val="16"/>
                <w:szCs w:val="16"/>
                <w:lang w:eastAsia="en-NZ"/>
              </w:rPr>
              <w:t>(1.33, 2.30)</w:t>
            </w:r>
          </w:p>
        </w:tc>
        <w:tc>
          <w:tcPr>
            <w:tcW w:w="850" w:type="dxa"/>
            <w:shd w:val="clear" w:color="auto" w:fill="auto"/>
            <w:vAlign w:val="bottom"/>
          </w:tcPr>
          <w:p w14:paraId="7308A885" w14:textId="77777777" w:rsidR="00A023BD" w:rsidRPr="00DF4034" w:rsidRDefault="00A023BD" w:rsidP="00A023BD">
            <w:pPr>
              <w:keepNext/>
              <w:jc w:val="right"/>
              <w:rPr>
                <w:color w:val="000000"/>
                <w:sz w:val="16"/>
                <w:szCs w:val="16"/>
                <w:lang w:eastAsia="en-NZ"/>
              </w:rPr>
            </w:pPr>
            <w:r w:rsidRPr="00DF4034">
              <w:rPr>
                <w:color w:val="000000"/>
                <w:sz w:val="16"/>
                <w:szCs w:val="16"/>
                <w:lang w:eastAsia="en-NZ"/>
              </w:rPr>
              <w:t>&lt;.0001</w:t>
            </w:r>
          </w:p>
        </w:tc>
      </w:tr>
      <w:tr w:rsidR="00A023BD" w:rsidRPr="001A61F1" w14:paraId="684B9A8F" w14:textId="77777777" w:rsidTr="00A023BD">
        <w:tc>
          <w:tcPr>
            <w:tcW w:w="5387" w:type="dxa"/>
          </w:tcPr>
          <w:p w14:paraId="65B54FDB" w14:textId="77777777" w:rsidR="00A023BD" w:rsidRPr="007C6C78" w:rsidRDefault="00A023BD" w:rsidP="00A023BD">
            <w:pPr>
              <w:keepNext/>
              <w:spacing w:before="20"/>
              <w:jc w:val="both"/>
              <w:rPr>
                <w:b/>
                <w:sz w:val="16"/>
                <w:szCs w:val="16"/>
              </w:rPr>
            </w:pPr>
            <w:r w:rsidRPr="007C6C78">
              <w:rPr>
                <w:b/>
                <w:sz w:val="16"/>
                <w:szCs w:val="16"/>
              </w:rPr>
              <w:t>Cannabis</w:t>
            </w:r>
          </w:p>
        </w:tc>
        <w:tc>
          <w:tcPr>
            <w:tcW w:w="1134" w:type="dxa"/>
            <w:shd w:val="clear" w:color="auto" w:fill="auto"/>
            <w:vAlign w:val="center"/>
          </w:tcPr>
          <w:p w14:paraId="77C56104" w14:textId="77777777" w:rsidR="00A023BD" w:rsidRPr="00637CF2" w:rsidRDefault="00A023BD" w:rsidP="00A023BD">
            <w:pPr>
              <w:keepNext/>
              <w:jc w:val="right"/>
              <w:rPr>
                <w:color w:val="000000"/>
                <w:sz w:val="16"/>
                <w:szCs w:val="16"/>
                <w:lang w:eastAsia="en-NZ"/>
              </w:rPr>
            </w:pPr>
          </w:p>
        </w:tc>
        <w:tc>
          <w:tcPr>
            <w:tcW w:w="1134" w:type="dxa"/>
            <w:shd w:val="clear" w:color="auto" w:fill="auto"/>
            <w:vAlign w:val="center"/>
          </w:tcPr>
          <w:p w14:paraId="6A27DC33" w14:textId="77777777" w:rsidR="00A023BD" w:rsidRPr="00637CF2" w:rsidRDefault="00A023BD" w:rsidP="00A023BD">
            <w:pPr>
              <w:keepNext/>
              <w:jc w:val="right"/>
              <w:rPr>
                <w:color w:val="000000"/>
                <w:sz w:val="16"/>
                <w:szCs w:val="16"/>
                <w:lang w:eastAsia="en-NZ"/>
              </w:rPr>
            </w:pPr>
          </w:p>
        </w:tc>
        <w:tc>
          <w:tcPr>
            <w:tcW w:w="850" w:type="dxa"/>
            <w:shd w:val="clear" w:color="auto" w:fill="auto"/>
            <w:vAlign w:val="center"/>
          </w:tcPr>
          <w:p w14:paraId="16377336" w14:textId="77777777" w:rsidR="00A023BD" w:rsidRPr="00637CF2" w:rsidRDefault="00A023BD" w:rsidP="00A023BD">
            <w:pPr>
              <w:keepNext/>
              <w:jc w:val="right"/>
              <w:rPr>
                <w:color w:val="000000"/>
                <w:sz w:val="16"/>
                <w:szCs w:val="16"/>
                <w:lang w:eastAsia="en-NZ"/>
              </w:rPr>
            </w:pPr>
          </w:p>
        </w:tc>
      </w:tr>
      <w:tr w:rsidR="00A023BD" w:rsidRPr="001A61F1" w14:paraId="440F5DA7" w14:textId="77777777" w:rsidTr="004D1358">
        <w:tc>
          <w:tcPr>
            <w:tcW w:w="5387" w:type="dxa"/>
          </w:tcPr>
          <w:p w14:paraId="377545C7" w14:textId="77777777" w:rsidR="00A023BD" w:rsidRPr="001A61F1" w:rsidRDefault="00A023BD" w:rsidP="00A023BD">
            <w:pPr>
              <w:spacing w:before="20"/>
              <w:ind w:left="176"/>
              <w:jc w:val="both"/>
              <w:rPr>
                <w:sz w:val="16"/>
                <w:szCs w:val="16"/>
              </w:rPr>
            </w:pPr>
            <w:r>
              <w:rPr>
                <w:sz w:val="16"/>
                <w:szCs w:val="16"/>
              </w:rPr>
              <w:t>No</w:t>
            </w:r>
          </w:p>
        </w:tc>
        <w:tc>
          <w:tcPr>
            <w:tcW w:w="1134" w:type="dxa"/>
            <w:shd w:val="clear" w:color="auto" w:fill="auto"/>
            <w:vAlign w:val="bottom"/>
          </w:tcPr>
          <w:p w14:paraId="2902B75D" w14:textId="77777777" w:rsidR="00A023BD" w:rsidRPr="00DF4034" w:rsidRDefault="00A023BD" w:rsidP="00A023BD">
            <w:pPr>
              <w:keepNext/>
              <w:jc w:val="right"/>
              <w:rPr>
                <w:color w:val="000000"/>
                <w:sz w:val="16"/>
                <w:szCs w:val="16"/>
                <w:lang w:eastAsia="en-NZ"/>
              </w:rPr>
            </w:pPr>
            <w:r w:rsidRPr="00DF4034">
              <w:rPr>
                <w:color w:val="000000"/>
                <w:sz w:val="16"/>
                <w:szCs w:val="16"/>
                <w:lang w:eastAsia="en-NZ"/>
              </w:rPr>
              <w:t>1.00</w:t>
            </w:r>
          </w:p>
        </w:tc>
        <w:tc>
          <w:tcPr>
            <w:tcW w:w="1134" w:type="dxa"/>
            <w:shd w:val="clear" w:color="auto" w:fill="auto"/>
            <w:vAlign w:val="bottom"/>
          </w:tcPr>
          <w:p w14:paraId="68413CFB" w14:textId="77777777" w:rsidR="00A023BD" w:rsidRPr="00DF4034" w:rsidRDefault="00A023BD" w:rsidP="00A023BD">
            <w:pPr>
              <w:keepNext/>
              <w:jc w:val="right"/>
              <w:rPr>
                <w:color w:val="000000"/>
                <w:sz w:val="16"/>
                <w:szCs w:val="16"/>
                <w:lang w:eastAsia="en-NZ"/>
              </w:rPr>
            </w:pPr>
          </w:p>
        </w:tc>
        <w:tc>
          <w:tcPr>
            <w:tcW w:w="850" w:type="dxa"/>
            <w:shd w:val="clear" w:color="auto" w:fill="auto"/>
            <w:vAlign w:val="bottom"/>
          </w:tcPr>
          <w:p w14:paraId="29CD4CFD" w14:textId="77777777" w:rsidR="00A023BD" w:rsidRPr="00DF4034" w:rsidRDefault="00A023BD" w:rsidP="00A023BD">
            <w:pPr>
              <w:keepNext/>
              <w:jc w:val="right"/>
              <w:rPr>
                <w:color w:val="000000"/>
                <w:sz w:val="16"/>
                <w:szCs w:val="16"/>
                <w:lang w:eastAsia="en-NZ"/>
              </w:rPr>
            </w:pPr>
          </w:p>
        </w:tc>
      </w:tr>
      <w:tr w:rsidR="00A023BD" w:rsidRPr="001A61F1" w14:paraId="13394861" w14:textId="77777777" w:rsidTr="004D1358">
        <w:tc>
          <w:tcPr>
            <w:tcW w:w="5387" w:type="dxa"/>
            <w:tcBorders>
              <w:bottom w:val="single" w:sz="4" w:space="0" w:color="auto"/>
            </w:tcBorders>
          </w:tcPr>
          <w:p w14:paraId="1C889E0C" w14:textId="77777777" w:rsidR="00A023BD" w:rsidRPr="001A61F1" w:rsidRDefault="00A023BD" w:rsidP="00A023BD">
            <w:pPr>
              <w:spacing w:before="20"/>
              <w:ind w:left="176"/>
              <w:jc w:val="both"/>
              <w:rPr>
                <w:sz w:val="16"/>
                <w:szCs w:val="16"/>
              </w:rPr>
            </w:pPr>
            <w:r>
              <w:rPr>
                <w:sz w:val="16"/>
                <w:szCs w:val="16"/>
              </w:rPr>
              <w:t>Yes</w:t>
            </w:r>
          </w:p>
        </w:tc>
        <w:tc>
          <w:tcPr>
            <w:tcW w:w="1134" w:type="dxa"/>
            <w:tcBorders>
              <w:bottom w:val="single" w:sz="4" w:space="0" w:color="auto"/>
            </w:tcBorders>
            <w:shd w:val="clear" w:color="auto" w:fill="auto"/>
            <w:vAlign w:val="bottom"/>
          </w:tcPr>
          <w:p w14:paraId="4023E5B0" w14:textId="77777777" w:rsidR="00A023BD" w:rsidRPr="00DF4034" w:rsidRDefault="00A023BD" w:rsidP="00A023BD">
            <w:pPr>
              <w:keepNext/>
              <w:jc w:val="right"/>
              <w:rPr>
                <w:color w:val="000000"/>
                <w:sz w:val="16"/>
                <w:szCs w:val="16"/>
                <w:lang w:eastAsia="en-NZ"/>
              </w:rPr>
            </w:pPr>
            <w:r w:rsidRPr="00DF4034">
              <w:rPr>
                <w:color w:val="000000"/>
                <w:sz w:val="16"/>
                <w:szCs w:val="16"/>
                <w:lang w:eastAsia="en-NZ"/>
              </w:rPr>
              <w:t>1.59</w:t>
            </w:r>
          </w:p>
        </w:tc>
        <w:tc>
          <w:tcPr>
            <w:tcW w:w="1134" w:type="dxa"/>
            <w:tcBorders>
              <w:bottom w:val="single" w:sz="4" w:space="0" w:color="auto"/>
            </w:tcBorders>
            <w:shd w:val="clear" w:color="auto" w:fill="auto"/>
            <w:vAlign w:val="bottom"/>
          </w:tcPr>
          <w:p w14:paraId="3C2F54AC" w14:textId="77777777" w:rsidR="00A023BD" w:rsidRPr="00DF4034" w:rsidRDefault="00A023BD" w:rsidP="00A023BD">
            <w:pPr>
              <w:keepNext/>
              <w:jc w:val="right"/>
              <w:rPr>
                <w:color w:val="000000"/>
                <w:sz w:val="16"/>
                <w:szCs w:val="16"/>
                <w:lang w:eastAsia="en-NZ"/>
              </w:rPr>
            </w:pPr>
            <w:r w:rsidRPr="00DF4034">
              <w:rPr>
                <w:color w:val="000000"/>
                <w:sz w:val="16"/>
                <w:szCs w:val="16"/>
                <w:lang w:eastAsia="en-NZ"/>
              </w:rPr>
              <w:t>(1.10, 2.30)</w:t>
            </w:r>
          </w:p>
        </w:tc>
        <w:tc>
          <w:tcPr>
            <w:tcW w:w="850" w:type="dxa"/>
            <w:tcBorders>
              <w:bottom w:val="single" w:sz="4" w:space="0" w:color="auto"/>
            </w:tcBorders>
            <w:shd w:val="clear" w:color="auto" w:fill="auto"/>
            <w:vAlign w:val="bottom"/>
          </w:tcPr>
          <w:p w14:paraId="7ED02C1D" w14:textId="77777777" w:rsidR="00A023BD" w:rsidRPr="00DF4034" w:rsidRDefault="00A023BD" w:rsidP="00A023BD">
            <w:pPr>
              <w:keepNext/>
              <w:jc w:val="right"/>
              <w:rPr>
                <w:color w:val="000000"/>
                <w:sz w:val="16"/>
                <w:szCs w:val="16"/>
                <w:lang w:eastAsia="en-NZ"/>
              </w:rPr>
            </w:pPr>
            <w:r w:rsidRPr="00DF4034">
              <w:rPr>
                <w:color w:val="000000"/>
                <w:sz w:val="16"/>
                <w:szCs w:val="16"/>
                <w:lang w:eastAsia="en-NZ"/>
              </w:rPr>
              <w:t>0.01</w:t>
            </w:r>
          </w:p>
        </w:tc>
      </w:tr>
      <w:tr w:rsidR="00A023BD" w:rsidRPr="001A61F1" w14:paraId="3C78C327" w14:textId="77777777" w:rsidTr="004D1358">
        <w:tc>
          <w:tcPr>
            <w:tcW w:w="5387" w:type="dxa"/>
            <w:tcBorders>
              <w:top w:val="single" w:sz="4" w:space="0" w:color="auto"/>
            </w:tcBorders>
            <w:vAlign w:val="bottom"/>
          </w:tcPr>
          <w:p w14:paraId="179A5DD3" w14:textId="77777777" w:rsidR="00A023BD" w:rsidRPr="003F15C0" w:rsidRDefault="00A023BD" w:rsidP="004D1358">
            <w:pPr>
              <w:keepNext/>
              <w:spacing w:before="20"/>
              <w:jc w:val="both"/>
              <w:rPr>
                <w:b/>
                <w:sz w:val="16"/>
                <w:szCs w:val="16"/>
              </w:rPr>
            </w:pPr>
            <w:r w:rsidRPr="003F15C0">
              <w:rPr>
                <w:b/>
                <w:sz w:val="16"/>
                <w:szCs w:val="16"/>
              </w:rPr>
              <w:t>Pattern of participation</w:t>
            </w:r>
          </w:p>
        </w:tc>
        <w:tc>
          <w:tcPr>
            <w:tcW w:w="1134" w:type="dxa"/>
            <w:tcBorders>
              <w:top w:val="single" w:sz="4" w:space="0" w:color="auto"/>
            </w:tcBorders>
            <w:shd w:val="clear" w:color="auto" w:fill="auto"/>
            <w:vAlign w:val="bottom"/>
          </w:tcPr>
          <w:p w14:paraId="180E1E0E" w14:textId="77777777" w:rsidR="00A023BD" w:rsidRPr="007B750E" w:rsidRDefault="00A023BD" w:rsidP="004D1358">
            <w:pPr>
              <w:keepNext/>
              <w:jc w:val="right"/>
              <w:rPr>
                <w:color w:val="000000"/>
                <w:sz w:val="16"/>
                <w:szCs w:val="16"/>
                <w:lang w:eastAsia="en-NZ"/>
              </w:rPr>
            </w:pPr>
          </w:p>
        </w:tc>
        <w:tc>
          <w:tcPr>
            <w:tcW w:w="1134" w:type="dxa"/>
            <w:tcBorders>
              <w:top w:val="single" w:sz="4" w:space="0" w:color="auto"/>
            </w:tcBorders>
            <w:shd w:val="clear" w:color="auto" w:fill="auto"/>
            <w:vAlign w:val="bottom"/>
          </w:tcPr>
          <w:p w14:paraId="70A3AD9D" w14:textId="77777777" w:rsidR="00A023BD" w:rsidRPr="007B750E" w:rsidRDefault="00A023BD" w:rsidP="004D1358">
            <w:pPr>
              <w:keepNext/>
              <w:jc w:val="right"/>
              <w:rPr>
                <w:color w:val="000000"/>
                <w:sz w:val="16"/>
                <w:szCs w:val="16"/>
                <w:lang w:eastAsia="en-NZ"/>
              </w:rPr>
            </w:pPr>
          </w:p>
        </w:tc>
        <w:tc>
          <w:tcPr>
            <w:tcW w:w="850" w:type="dxa"/>
            <w:tcBorders>
              <w:top w:val="single" w:sz="4" w:space="0" w:color="auto"/>
            </w:tcBorders>
            <w:shd w:val="clear" w:color="auto" w:fill="auto"/>
            <w:vAlign w:val="bottom"/>
          </w:tcPr>
          <w:p w14:paraId="52485885" w14:textId="77777777" w:rsidR="00A023BD" w:rsidRPr="007B750E" w:rsidRDefault="00A023BD" w:rsidP="004D1358">
            <w:pPr>
              <w:keepNext/>
              <w:jc w:val="right"/>
              <w:rPr>
                <w:color w:val="000000"/>
                <w:sz w:val="16"/>
                <w:szCs w:val="16"/>
                <w:lang w:eastAsia="en-NZ"/>
              </w:rPr>
            </w:pPr>
          </w:p>
        </w:tc>
      </w:tr>
      <w:tr w:rsidR="00A023BD" w:rsidRPr="001A61F1" w14:paraId="07B41830" w14:textId="77777777" w:rsidTr="00A023BD">
        <w:tc>
          <w:tcPr>
            <w:tcW w:w="5387" w:type="dxa"/>
          </w:tcPr>
          <w:p w14:paraId="7FE38B07" w14:textId="77777777" w:rsidR="00A023BD" w:rsidRPr="003F15C0" w:rsidRDefault="00A023BD" w:rsidP="004D1358">
            <w:pPr>
              <w:keepNext/>
              <w:spacing w:before="20"/>
              <w:ind w:left="176"/>
              <w:jc w:val="both"/>
              <w:rPr>
                <w:sz w:val="16"/>
                <w:szCs w:val="16"/>
              </w:rPr>
            </w:pPr>
            <w:r w:rsidRPr="003F15C0">
              <w:rPr>
                <w:sz w:val="16"/>
                <w:szCs w:val="16"/>
              </w:rPr>
              <w:t>Infrequent gambler</w:t>
            </w:r>
          </w:p>
        </w:tc>
        <w:tc>
          <w:tcPr>
            <w:tcW w:w="1134" w:type="dxa"/>
            <w:shd w:val="clear" w:color="auto" w:fill="auto"/>
            <w:vAlign w:val="bottom"/>
          </w:tcPr>
          <w:p w14:paraId="57597FE8" w14:textId="77777777" w:rsidR="00A023BD" w:rsidRPr="00D36119" w:rsidRDefault="00A023BD" w:rsidP="004D1358">
            <w:pPr>
              <w:keepNext/>
              <w:jc w:val="right"/>
              <w:rPr>
                <w:color w:val="000000"/>
                <w:sz w:val="16"/>
                <w:szCs w:val="16"/>
                <w:lang w:eastAsia="en-NZ"/>
              </w:rPr>
            </w:pPr>
            <w:r w:rsidRPr="00D36119">
              <w:rPr>
                <w:color w:val="000000"/>
                <w:sz w:val="16"/>
                <w:szCs w:val="16"/>
                <w:lang w:eastAsia="en-NZ"/>
              </w:rPr>
              <w:t>1.00</w:t>
            </w:r>
          </w:p>
        </w:tc>
        <w:tc>
          <w:tcPr>
            <w:tcW w:w="1134" w:type="dxa"/>
            <w:shd w:val="clear" w:color="auto" w:fill="auto"/>
            <w:vAlign w:val="bottom"/>
          </w:tcPr>
          <w:p w14:paraId="1F8CC492" w14:textId="77777777" w:rsidR="00A023BD" w:rsidRPr="00D36119" w:rsidRDefault="00A023BD" w:rsidP="004D1358">
            <w:pPr>
              <w:keepNext/>
              <w:jc w:val="right"/>
              <w:rPr>
                <w:color w:val="000000"/>
                <w:sz w:val="16"/>
                <w:szCs w:val="16"/>
                <w:lang w:eastAsia="en-NZ"/>
              </w:rPr>
            </w:pPr>
          </w:p>
        </w:tc>
        <w:tc>
          <w:tcPr>
            <w:tcW w:w="850" w:type="dxa"/>
            <w:shd w:val="clear" w:color="auto" w:fill="auto"/>
            <w:vAlign w:val="bottom"/>
          </w:tcPr>
          <w:p w14:paraId="765DCDFB" w14:textId="77777777" w:rsidR="00A023BD" w:rsidRPr="00D36119" w:rsidRDefault="00A023BD" w:rsidP="004D1358">
            <w:pPr>
              <w:keepNext/>
              <w:jc w:val="right"/>
              <w:rPr>
                <w:color w:val="000000"/>
                <w:sz w:val="16"/>
                <w:szCs w:val="16"/>
                <w:lang w:eastAsia="en-NZ"/>
              </w:rPr>
            </w:pPr>
          </w:p>
        </w:tc>
      </w:tr>
      <w:tr w:rsidR="00A023BD" w:rsidRPr="001A61F1" w14:paraId="6A067FC8" w14:textId="77777777" w:rsidTr="004D1358">
        <w:tc>
          <w:tcPr>
            <w:tcW w:w="5387" w:type="dxa"/>
          </w:tcPr>
          <w:p w14:paraId="2310A29C" w14:textId="77777777" w:rsidR="00A023BD" w:rsidRPr="003F15C0" w:rsidRDefault="00A023BD" w:rsidP="004D1358">
            <w:pPr>
              <w:keepNext/>
              <w:spacing w:before="20"/>
              <w:ind w:left="176"/>
              <w:jc w:val="both"/>
              <w:rPr>
                <w:sz w:val="16"/>
                <w:szCs w:val="16"/>
              </w:rPr>
            </w:pPr>
            <w:r w:rsidRPr="003F15C0">
              <w:rPr>
                <w:sz w:val="16"/>
                <w:szCs w:val="16"/>
              </w:rPr>
              <w:t>Regular non-continuous gambler</w:t>
            </w:r>
          </w:p>
        </w:tc>
        <w:tc>
          <w:tcPr>
            <w:tcW w:w="1134" w:type="dxa"/>
            <w:shd w:val="clear" w:color="auto" w:fill="auto"/>
            <w:vAlign w:val="bottom"/>
          </w:tcPr>
          <w:p w14:paraId="503B04DA" w14:textId="77777777" w:rsidR="00A023BD" w:rsidRPr="00D36119" w:rsidRDefault="00A023BD" w:rsidP="004D1358">
            <w:pPr>
              <w:keepNext/>
              <w:jc w:val="right"/>
              <w:rPr>
                <w:color w:val="000000"/>
                <w:sz w:val="16"/>
                <w:szCs w:val="16"/>
                <w:lang w:eastAsia="en-NZ"/>
              </w:rPr>
            </w:pPr>
            <w:r w:rsidRPr="00D36119">
              <w:rPr>
                <w:color w:val="000000"/>
                <w:sz w:val="16"/>
                <w:szCs w:val="16"/>
                <w:lang w:eastAsia="en-NZ"/>
              </w:rPr>
              <w:t>0.49</w:t>
            </w:r>
          </w:p>
        </w:tc>
        <w:tc>
          <w:tcPr>
            <w:tcW w:w="1134" w:type="dxa"/>
            <w:shd w:val="clear" w:color="auto" w:fill="auto"/>
            <w:vAlign w:val="bottom"/>
          </w:tcPr>
          <w:p w14:paraId="0335F24B" w14:textId="77777777" w:rsidR="00A023BD" w:rsidRPr="00D36119" w:rsidRDefault="00A023BD" w:rsidP="004D1358">
            <w:pPr>
              <w:keepNext/>
              <w:jc w:val="right"/>
              <w:rPr>
                <w:color w:val="000000"/>
                <w:sz w:val="16"/>
                <w:szCs w:val="16"/>
                <w:lang w:eastAsia="en-NZ"/>
              </w:rPr>
            </w:pPr>
            <w:r w:rsidRPr="00D36119">
              <w:rPr>
                <w:color w:val="000000"/>
                <w:sz w:val="16"/>
                <w:szCs w:val="16"/>
                <w:lang w:eastAsia="en-NZ"/>
              </w:rPr>
              <w:t>(0.14, 1.78)</w:t>
            </w:r>
          </w:p>
        </w:tc>
        <w:tc>
          <w:tcPr>
            <w:tcW w:w="850" w:type="dxa"/>
            <w:shd w:val="clear" w:color="auto" w:fill="auto"/>
            <w:vAlign w:val="bottom"/>
          </w:tcPr>
          <w:p w14:paraId="479CEB95" w14:textId="77777777" w:rsidR="00A023BD" w:rsidRPr="007B750E" w:rsidRDefault="00A023BD" w:rsidP="004D1358">
            <w:pPr>
              <w:keepNext/>
              <w:jc w:val="right"/>
              <w:rPr>
                <w:color w:val="000000"/>
                <w:sz w:val="16"/>
                <w:szCs w:val="16"/>
                <w:lang w:eastAsia="en-NZ"/>
              </w:rPr>
            </w:pPr>
          </w:p>
        </w:tc>
      </w:tr>
      <w:tr w:rsidR="00A023BD" w:rsidRPr="001A61F1" w14:paraId="4A16DD59" w14:textId="77777777" w:rsidTr="004D1358">
        <w:tc>
          <w:tcPr>
            <w:tcW w:w="5387" w:type="dxa"/>
          </w:tcPr>
          <w:p w14:paraId="16610588" w14:textId="77777777" w:rsidR="00A023BD" w:rsidRPr="003F15C0" w:rsidRDefault="00A023BD" w:rsidP="004D1358">
            <w:pPr>
              <w:keepNext/>
              <w:spacing w:before="20"/>
              <w:ind w:left="176"/>
              <w:jc w:val="both"/>
              <w:rPr>
                <w:sz w:val="16"/>
                <w:szCs w:val="16"/>
              </w:rPr>
            </w:pPr>
            <w:r w:rsidRPr="003F15C0">
              <w:rPr>
                <w:sz w:val="16"/>
                <w:szCs w:val="16"/>
              </w:rPr>
              <w:t>Regular continuous gambler</w:t>
            </w:r>
          </w:p>
        </w:tc>
        <w:tc>
          <w:tcPr>
            <w:tcW w:w="1134" w:type="dxa"/>
            <w:shd w:val="clear" w:color="auto" w:fill="auto"/>
            <w:vAlign w:val="bottom"/>
          </w:tcPr>
          <w:p w14:paraId="231DFF23" w14:textId="77777777" w:rsidR="00A023BD" w:rsidRPr="00D36119" w:rsidRDefault="00A023BD" w:rsidP="004D1358">
            <w:pPr>
              <w:keepNext/>
              <w:jc w:val="right"/>
              <w:rPr>
                <w:color w:val="000000"/>
                <w:sz w:val="16"/>
                <w:szCs w:val="16"/>
                <w:lang w:eastAsia="en-NZ"/>
              </w:rPr>
            </w:pPr>
            <w:r w:rsidRPr="00D36119">
              <w:rPr>
                <w:color w:val="000000"/>
                <w:sz w:val="16"/>
                <w:szCs w:val="16"/>
                <w:lang w:eastAsia="en-NZ"/>
              </w:rPr>
              <w:t>1.47</w:t>
            </w:r>
          </w:p>
        </w:tc>
        <w:tc>
          <w:tcPr>
            <w:tcW w:w="1134" w:type="dxa"/>
            <w:shd w:val="clear" w:color="auto" w:fill="auto"/>
            <w:vAlign w:val="bottom"/>
          </w:tcPr>
          <w:p w14:paraId="50D19531" w14:textId="77777777" w:rsidR="00A023BD" w:rsidRPr="00D36119" w:rsidRDefault="00A023BD" w:rsidP="004D1358">
            <w:pPr>
              <w:keepNext/>
              <w:jc w:val="right"/>
              <w:rPr>
                <w:color w:val="000000"/>
                <w:sz w:val="16"/>
                <w:szCs w:val="16"/>
                <w:lang w:eastAsia="en-NZ"/>
              </w:rPr>
            </w:pPr>
            <w:r w:rsidRPr="00D36119">
              <w:rPr>
                <w:color w:val="000000"/>
                <w:sz w:val="16"/>
                <w:szCs w:val="16"/>
                <w:lang w:eastAsia="en-NZ"/>
              </w:rPr>
              <w:t>(0.41, 5.28)</w:t>
            </w:r>
          </w:p>
        </w:tc>
        <w:tc>
          <w:tcPr>
            <w:tcW w:w="850" w:type="dxa"/>
            <w:shd w:val="clear" w:color="auto" w:fill="auto"/>
            <w:vAlign w:val="bottom"/>
          </w:tcPr>
          <w:p w14:paraId="13554A7A" w14:textId="77777777" w:rsidR="00A023BD" w:rsidRPr="007B750E" w:rsidRDefault="00A023BD" w:rsidP="004D1358">
            <w:pPr>
              <w:keepNext/>
              <w:jc w:val="right"/>
              <w:rPr>
                <w:color w:val="000000"/>
                <w:sz w:val="16"/>
                <w:szCs w:val="16"/>
                <w:lang w:eastAsia="en-NZ"/>
              </w:rPr>
            </w:pPr>
            <w:r w:rsidRPr="00D36119">
              <w:rPr>
                <w:color w:val="000000"/>
                <w:sz w:val="16"/>
                <w:szCs w:val="16"/>
                <w:lang w:eastAsia="en-NZ"/>
              </w:rPr>
              <w:t>&lt;</w:t>
            </w:r>
            <w:r>
              <w:rPr>
                <w:color w:val="000000"/>
                <w:sz w:val="16"/>
                <w:szCs w:val="16"/>
                <w:lang w:eastAsia="en-NZ"/>
              </w:rPr>
              <w:t>0</w:t>
            </w:r>
            <w:r w:rsidRPr="00D36119">
              <w:rPr>
                <w:color w:val="000000"/>
                <w:sz w:val="16"/>
                <w:szCs w:val="16"/>
                <w:lang w:eastAsia="en-NZ"/>
              </w:rPr>
              <w:t>.0001</w:t>
            </w:r>
          </w:p>
        </w:tc>
      </w:tr>
      <w:tr w:rsidR="00A023BD" w:rsidRPr="001A61F1" w14:paraId="19AB8981" w14:textId="77777777" w:rsidTr="004D1358">
        <w:tc>
          <w:tcPr>
            <w:tcW w:w="5387" w:type="dxa"/>
            <w:vAlign w:val="bottom"/>
          </w:tcPr>
          <w:p w14:paraId="6A366D8E" w14:textId="77777777" w:rsidR="00A023BD" w:rsidRPr="003F15C0" w:rsidRDefault="00A023BD" w:rsidP="008B226A">
            <w:pPr>
              <w:keepNext/>
              <w:spacing w:before="20"/>
              <w:jc w:val="both"/>
              <w:rPr>
                <w:b/>
                <w:sz w:val="16"/>
                <w:szCs w:val="16"/>
              </w:rPr>
            </w:pPr>
            <w:r w:rsidRPr="003F15C0">
              <w:rPr>
                <w:b/>
                <w:sz w:val="16"/>
                <w:szCs w:val="16"/>
              </w:rPr>
              <w:t>Gambling frequency</w:t>
            </w:r>
          </w:p>
        </w:tc>
        <w:tc>
          <w:tcPr>
            <w:tcW w:w="1134" w:type="dxa"/>
            <w:shd w:val="clear" w:color="auto" w:fill="auto"/>
            <w:vAlign w:val="bottom"/>
          </w:tcPr>
          <w:p w14:paraId="4515D2B4" w14:textId="77777777" w:rsidR="00A023BD" w:rsidRPr="007B750E" w:rsidRDefault="00A023BD" w:rsidP="008B226A">
            <w:pPr>
              <w:keepNext/>
              <w:jc w:val="right"/>
              <w:rPr>
                <w:color w:val="000000"/>
                <w:sz w:val="16"/>
                <w:szCs w:val="16"/>
                <w:lang w:eastAsia="en-NZ"/>
              </w:rPr>
            </w:pPr>
          </w:p>
        </w:tc>
        <w:tc>
          <w:tcPr>
            <w:tcW w:w="1134" w:type="dxa"/>
            <w:shd w:val="clear" w:color="auto" w:fill="auto"/>
            <w:vAlign w:val="bottom"/>
          </w:tcPr>
          <w:p w14:paraId="71410F5D" w14:textId="77777777" w:rsidR="00A023BD" w:rsidRPr="007B750E" w:rsidRDefault="00A023BD" w:rsidP="008B226A">
            <w:pPr>
              <w:keepNext/>
              <w:jc w:val="right"/>
              <w:rPr>
                <w:color w:val="000000"/>
                <w:sz w:val="16"/>
                <w:szCs w:val="16"/>
                <w:lang w:eastAsia="en-NZ"/>
              </w:rPr>
            </w:pPr>
          </w:p>
        </w:tc>
        <w:tc>
          <w:tcPr>
            <w:tcW w:w="850" w:type="dxa"/>
            <w:shd w:val="clear" w:color="auto" w:fill="auto"/>
            <w:vAlign w:val="bottom"/>
          </w:tcPr>
          <w:p w14:paraId="67F76A07" w14:textId="77777777" w:rsidR="00A023BD" w:rsidRPr="007B750E" w:rsidRDefault="00A023BD" w:rsidP="008B226A">
            <w:pPr>
              <w:keepNext/>
              <w:jc w:val="right"/>
              <w:rPr>
                <w:color w:val="000000"/>
                <w:sz w:val="16"/>
                <w:szCs w:val="16"/>
                <w:lang w:eastAsia="en-NZ"/>
              </w:rPr>
            </w:pPr>
          </w:p>
        </w:tc>
      </w:tr>
      <w:tr w:rsidR="00A023BD" w:rsidRPr="001A61F1" w14:paraId="56DF1460" w14:textId="77777777" w:rsidTr="00A023BD">
        <w:tc>
          <w:tcPr>
            <w:tcW w:w="5387" w:type="dxa"/>
          </w:tcPr>
          <w:p w14:paraId="64C6D01C" w14:textId="77777777" w:rsidR="00A023BD" w:rsidRPr="003F15C0" w:rsidRDefault="00A023BD" w:rsidP="008B226A">
            <w:pPr>
              <w:keepNext/>
              <w:spacing w:before="20"/>
              <w:ind w:left="176"/>
              <w:jc w:val="both"/>
              <w:rPr>
                <w:sz w:val="16"/>
                <w:szCs w:val="16"/>
              </w:rPr>
            </w:pPr>
            <w:r w:rsidRPr="003F15C0">
              <w:rPr>
                <w:sz w:val="16"/>
                <w:szCs w:val="16"/>
              </w:rPr>
              <w:t>At least weekly</w:t>
            </w:r>
          </w:p>
        </w:tc>
        <w:tc>
          <w:tcPr>
            <w:tcW w:w="1134" w:type="dxa"/>
            <w:shd w:val="clear" w:color="auto" w:fill="auto"/>
            <w:vAlign w:val="bottom"/>
          </w:tcPr>
          <w:p w14:paraId="3A2AAF7E" w14:textId="77777777" w:rsidR="00A023BD" w:rsidRPr="00D36119" w:rsidRDefault="00A023BD" w:rsidP="008B226A">
            <w:pPr>
              <w:keepNext/>
              <w:jc w:val="right"/>
              <w:rPr>
                <w:color w:val="000000"/>
                <w:sz w:val="16"/>
                <w:szCs w:val="16"/>
                <w:lang w:eastAsia="en-NZ"/>
              </w:rPr>
            </w:pPr>
            <w:r w:rsidRPr="00D36119">
              <w:rPr>
                <w:color w:val="000000"/>
                <w:sz w:val="16"/>
                <w:szCs w:val="16"/>
                <w:lang w:eastAsia="en-NZ"/>
              </w:rPr>
              <w:t>1.00</w:t>
            </w:r>
          </w:p>
        </w:tc>
        <w:tc>
          <w:tcPr>
            <w:tcW w:w="1134" w:type="dxa"/>
            <w:shd w:val="clear" w:color="auto" w:fill="auto"/>
            <w:vAlign w:val="bottom"/>
          </w:tcPr>
          <w:p w14:paraId="129B4F24" w14:textId="77777777" w:rsidR="00A023BD" w:rsidRPr="00D36119" w:rsidRDefault="00A023BD" w:rsidP="008B226A">
            <w:pPr>
              <w:keepNext/>
              <w:jc w:val="right"/>
              <w:rPr>
                <w:color w:val="000000"/>
                <w:sz w:val="16"/>
                <w:szCs w:val="16"/>
                <w:lang w:eastAsia="en-NZ"/>
              </w:rPr>
            </w:pPr>
          </w:p>
        </w:tc>
        <w:tc>
          <w:tcPr>
            <w:tcW w:w="850" w:type="dxa"/>
            <w:shd w:val="clear" w:color="auto" w:fill="auto"/>
            <w:vAlign w:val="bottom"/>
          </w:tcPr>
          <w:p w14:paraId="6B37CDCD" w14:textId="77777777" w:rsidR="00A023BD" w:rsidRPr="00D36119" w:rsidRDefault="00A023BD" w:rsidP="008B226A">
            <w:pPr>
              <w:keepNext/>
              <w:jc w:val="right"/>
              <w:rPr>
                <w:color w:val="000000"/>
                <w:sz w:val="16"/>
                <w:szCs w:val="16"/>
                <w:lang w:eastAsia="en-NZ"/>
              </w:rPr>
            </w:pPr>
          </w:p>
        </w:tc>
      </w:tr>
      <w:tr w:rsidR="00A023BD" w:rsidRPr="001A61F1" w14:paraId="4EDDCDBF" w14:textId="77777777" w:rsidTr="00A023BD">
        <w:tc>
          <w:tcPr>
            <w:tcW w:w="5387" w:type="dxa"/>
          </w:tcPr>
          <w:p w14:paraId="471D9E16" w14:textId="77777777" w:rsidR="00A023BD" w:rsidRPr="003F15C0" w:rsidRDefault="00A023BD" w:rsidP="008B226A">
            <w:pPr>
              <w:keepNext/>
              <w:spacing w:before="20"/>
              <w:ind w:left="176"/>
              <w:jc w:val="both"/>
              <w:rPr>
                <w:sz w:val="16"/>
                <w:szCs w:val="16"/>
              </w:rPr>
            </w:pPr>
            <w:r w:rsidRPr="003F15C0">
              <w:rPr>
                <w:sz w:val="16"/>
                <w:szCs w:val="16"/>
              </w:rPr>
              <w:t>At least monthly</w:t>
            </w:r>
          </w:p>
        </w:tc>
        <w:tc>
          <w:tcPr>
            <w:tcW w:w="1134" w:type="dxa"/>
            <w:shd w:val="clear" w:color="auto" w:fill="auto"/>
            <w:vAlign w:val="bottom"/>
          </w:tcPr>
          <w:p w14:paraId="56468B75" w14:textId="77777777" w:rsidR="00A023BD" w:rsidRPr="00D36119" w:rsidRDefault="00A023BD" w:rsidP="008B226A">
            <w:pPr>
              <w:keepNext/>
              <w:jc w:val="right"/>
              <w:rPr>
                <w:color w:val="000000"/>
                <w:sz w:val="16"/>
                <w:szCs w:val="16"/>
                <w:lang w:eastAsia="en-NZ"/>
              </w:rPr>
            </w:pPr>
            <w:r w:rsidRPr="00D36119">
              <w:rPr>
                <w:color w:val="000000"/>
                <w:sz w:val="16"/>
                <w:szCs w:val="16"/>
                <w:lang w:eastAsia="en-NZ"/>
              </w:rPr>
              <w:t>0.42</w:t>
            </w:r>
          </w:p>
        </w:tc>
        <w:tc>
          <w:tcPr>
            <w:tcW w:w="1134" w:type="dxa"/>
            <w:shd w:val="clear" w:color="auto" w:fill="auto"/>
            <w:vAlign w:val="bottom"/>
          </w:tcPr>
          <w:p w14:paraId="6B60DCB2" w14:textId="77777777" w:rsidR="00A023BD" w:rsidRPr="00D36119" w:rsidRDefault="00A023BD" w:rsidP="008B226A">
            <w:pPr>
              <w:keepNext/>
              <w:jc w:val="right"/>
              <w:rPr>
                <w:color w:val="000000"/>
                <w:sz w:val="16"/>
                <w:szCs w:val="16"/>
                <w:lang w:eastAsia="en-NZ"/>
              </w:rPr>
            </w:pPr>
            <w:r w:rsidRPr="00D36119">
              <w:rPr>
                <w:color w:val="000000"/>
                <w:sz w:val="16"/>
                <w:szCs w:val="16"/>
                <w:lang w:eastAsia="en-NZ"/>
              </w:rPr>
              <w:t>(0.12, 1.49)</w:t>
            </w:r>
          </w:p>
        </w:tc>
        <w:tc>
          <w:tcPr>
            <w:tcW w:w="850" w:type="dxa"/>
            <w:shd w:val="clear" w:color="auto" w:fill="auto"/>
            <w:vAlign w:val="bottom"/>
          </w:tcPr>
          <w:p w14:paraId="7DFF86A8" w14:textId="77777777" w:rsidR="00A023BD" w:rsidRPr="00D36119" w:rsidRDefault="00A023BD" w:rsidP="008B226A">
            <w:pPr>
              <w:keepNext/>
              <w:jc w:val="right"/>
              <w:rPr>
                <w:color w:val="000000"/>
                <w:sz w:val="16"/>
                <w:szCs w:val="16"/>
                <w:lang w:eastAsia="en-NZ"/>
              </w:rPr>
            </w:pPr>
          </w:p>
        </w:tc>
      </w:tr>
      <w:tr w:rsidR="00A023BD" w:rsidRPr="001A61F1" w14:paraId="2B41C7C3" w14:textId="77777777" w:rsidTr="00326B55">
        <w:tc>
          <w:tcPr>
            <w:tcW w:w="5387" w:type="dxa"/>
          </w:tcPr>
          <w:p w14:paraId="2E2AF5D3" w14:textId="77777777" w:rsidR="00A023BD" w:rsidRPr="003F15C0" w:rsidRDefault="00A023BD" w:rsidP="008B226A">
            <w:pPr>
              <w:keepNext/>
              <w:spacing w:before="20"/>
              <w:ind w:left="176"/>
              <w:jc w:val="both"/>
              <w:rPr>
                <w:sz w:val="16"/>
                <w:szCs w:val="16"/>
              </w:rPr>
            </w:pPr>
            <w:r w:rsidRPr="003F15C0">
              <w:rPr>
                <w:sz w:val="16"/>
                <w:szCs w:val="16"/>
              </w:rPr>
              <w:t>At least once in past year</w:t>
            </w:r>
          </w:p>
        </w:tc>
        <w:tc>
          <w:tcPr>
            <w:tcW w:w="1134" w:type="dxa"/>
            <w:shd w:val="clear" w:color="auto" w:fill="auto"/>
            <w:vAlign w:val="bottom"/>
          </w:tcPr>
          <w:p w14:paraId="41256689" w14:textId="77777777" w:rsidR="00A023BD" w:rsidRPr="00D36119" w:rsidRDefault="00A023BD" w:rsidP="008B226A">
            <w:pPr>
              <w:keepNext/>
              <w:jc w:val="right"/>
              <w:rPr>
                <w:color w:val="000000"/>
                <w:sz w:val="16"/>
                <w:szCs w:val="16"/>
                <w:lang w:eastAsia="en-NZ"/>
              </w:rPr>
            </w:pPr>
            <w:r w:rsidRPr="00D36119">
              <w:rPr>
                <w:color w:val="000000"/>
                <w:sz w:val="16"/>
                <w:szCs w:val="16"/>
                <w:lang w:eastAsia="en-NZ"/>
              </w:rPr>
              <w:t>0.27</w:t>
            </w:r>
          </w:p>
        </w:tc>
        <w:tc>
          <w:tcPr>
            <w:tcW w:w="1134" w:type="dxa"/>
            <w:shd w:val="clear" w:color="auto" w:fill="auto"/>
            <w:vAlign w:val="bottom"/>
          </w:tcPr>
          <w:p w14:paraId="52DB692A" w14:textId="77777777" w:rsidR="00A023BD" w:rsidRPr="00D36119" w:rsidRDefault="00A023BD" w:rsidP="008B226A">
            <w:pPr>
              <w:keepNext/>
              <w:jc w:val="right"/>
              <w:rPr>
                <w:color w:val="000000"/>
                <w:sz w:val="16"/>
                <w:szCs w:val="16"/>
                <w:lang w:eastAsia="en-NZ"/>
              </w:rPr>
            </w:pPr>
            <w:r w:rsidRPr="00D36119">
              <w:rPr>
                <w:color w:val="000000"/>
                <w:sz w:val="16"/>
                <w:szCs w:val="16"/>
                <w:lang w:eastAsia="en-NZ"/>
              </w:rPr>
              <w:t>(0.07, 0.98)</w:t>
            </w:r>
          </w:p>
        </w:tc>
        <w:tc>
          <w:tcPr>
            <w:tcW w:w="850" w:type="dxa"/>
            <w:shd w:val="clear" w:color="auto" w:fill="auto"/>
            <w:vAlign w:val="bottom"/>
          </w:tcPr>
          <w:p w14:paraId="465E5077" w14:textId="77777777" w:rsidR="00A023BD" w:rsidRPr="00D36119" w:rsidRDefault="00A023BD" w:rsidP="008B226A">
            <w:pPr>
              <w:keepNext/>
              <w:jc w:val="right"/>
              <w:rPr>
                <w:color w:val="000000"/>
                <w:sz w:val="16"/>
                <w:szCs w:val="16"/>
                <w:lang w:eastAsia="en-NZ"/>
              </w:rPr>
            </w:pPr>
            <w:r w:rsidRPr="00D36119">
              <w:rPr>
                <w:color w:val="000000"/>
                <w:sz w:val="16"/>
                <w:szCs w:val="16"/>
                <w:lang w:eastAsia="en-NZ"/>
              </w:rPr>
              <w:t>0.007</w:t>
            </w:r>
          </w:p>
        </w:tc>
      </w:tr>
      <w:tr w:rsidR="00A023BD" w:rsidRPr="001A61F1" w14:paraId="701D61D0" w14:textId="77777777" w:rsidTr="00A023BD">
        <w:tc>
          <w:tcPr>
            <w:tcW w:w="5387" w:type="dxa"/>
            <w:vAlign w:val="bottom"/>
          </w:tcPr>
          <w:p w14:paraId="15995836" w14:textId="77777777" w:rsidR="00A023BD" w:rsidRPr="003F15C0" w:rsidRDefault="00A023BD" w:rsidP="00A023BD">
            <w:pPr>
              <w:keepNext/>
              <w:keepLines/>
              <w:spacing w:before="20"/>
              <w:jc w:val="both"/>
              <w:rPr>
                <w:b/>
                <w:sz w:val="16"/>
                <w:szCs w:val="16"/>
              </w:rPr>
            </w:pPr>
            <w:r w:rsidRPr="003F15C0">
              <w:rPr>
                <w:rFonts w:eastAsiaTheme="minorEastAsia"/>
                <w:b/>
                <w:sz w:val="16"/>
                <w:szCs w:val="16"/>
                <w:lang w:eastAsia="en-US"/>
              </w:rPr>
              <w:t>Typical monthly gambling expenditure</w:t>
            </w:r>
          </w:p>
        </w:tc>
        <w:tc>
          <w:tcPr>
            <w:tcW w:w="1134" w:type="dxa"/>
            <w:shd w:val="clear" w:color="auto" w:fill="auto"/>
            <w:vAlign w:val="bottom"/>
          </w:tcPr>
          <w:p w14:paraId="36D9D753" w14:textId="77777777" w:rsidR="00A023BD" w:rsidRPr="007B750E" w:rsidRDefault="00A023BD" w:rsidP="00A023BD">
            <w:pPr>
              <w:keepNext/>
              <w:jc w:val="right"/>
              <w:rPr>
                <w:color w:val="000000"/>
                <w:sz w:val="16"/>
                <w:szCs w:val="16"/>
                <w:lang w:eastAsia="en-NZ"/>
              </w:rPr>
            </w:pPr>
          </w:p>
        </w:tc>
        <w:tc>
          <w:tcPr>
            <w:tcW w:w="1134" w:type="dxa"/>
            <w:shd w:val="clear" w:color="auto" w:fill="auto"/>
            <w:vAlign w:val="bottom"/>
          </w:tcPr>
          <w:p w14:paraId="5E265E79" w14:textId="77777777" w:rsidR="00A023BD" w:rsidRPr="007B750E" w:rsidRDefault="00A023BD" w:rsidP="00A023BD">
            <w:pPr>
              <w:keepNext/>
              <w:jc w:val="right"/>
              <w:rPr>
                <w:color w:val="000000"/>
                <w:sz w:val="16"/>
                <w:szCs w:val="16"/>
                <w:lang w:eastAsia="en-NZ"/>
              </w:rPr>
            </w:pPr>
          </w:p>
        </w:tc>
        <w:tc>
          <w:tcPr>
            <w:tcW w:w="850" w:type="dxa"/>
            <w:shd w:val="clear" w:color="auto" w:fill="auto"/>
            <w:vAlign w:val="bottom"/>
          </w:tcPr>
          <w:p w14:paraId="01032133" w14:textId="77777777" w:rsidR="00A023BD" w:rsidRPr="007B750E" w:rsidRDefault="00A023BD" w:rsidP="00A023BD">
            <w:pPr>
              <w:keepNext/>
              <w:jc w:val="right"/>
              <w:rPr>
                <w:color w:val="000000"/>
                <w:sz w:val="16"/>
                <w:szCs w:val="16"/>
                <w:lang w:eastAsia="en-NZ"/>
              </w:rPr>
            </w:pPr>
          </w:p>
        </w:tc>
      </w:tr>
      <w:tr w:rsidR="00A023BD" w:rsidRPr="001A61F1" w14:paraId="1621A35D" w14:textId="77777777" w:rsidTr="00A023BD">
        <w:tc>
          <w:tcPr>
            <w:tcW w:w="5387" w:type="dxa"/>
          </w:tcPr>
          <w:p w14:paraId="323E62EC" w14:textId="77777777" w:rsidR="00A023BD" w:rsidRPr="003F15C0" w:rsidRDefault="00A023BD" w:rsidP="00A023BD">
            <w:pPr>
              <w:spacing w:before="20"/>
              <w:ind w:left="176"/>
              <w:jc w:val="both"/>
              <w:rPr>
                <w:sz w:val="16"/>
                <w:szCs w:val="16"/>
              </w:rPr>
            </w:pPr>
            <w:r>
              <w:rPr>
                <w:sz w:val="16"/>
                <w:szCs w:val="16"/>
              </w:rPr>
              <w:t>≤</w:t>
            </w:r>
            <w:r w:rsidRPr="003F15C0">
              <w:rPr>
                <w:sz w:val="16"/>
                <w:szCs w:val="16"/>
              </w:rPr>
              <w:t>$</w:t>
            </w:r>
            <w:r>
              <w:rPr>
                <w:sz w:val="16"/>
                <w:szCs w:val="16"/>
              </w:rPr>
              <w:t>20</w:t>
            </w:r>
          </w:p>
        </w:tc>
        <w:tc>
          <w:tcPr>
            <w:tcW w:w="1134" w:type="dxa"/>
            <w:shd w:val="clear" w:color="auto" w:fill="auto"/>
            <w:vAlign w:val="bottom"/>
          </w:tcPr>
          <w:p w14:paraId="1E65CE94"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1.00</w:t>
            </w:r>
          </w:p>
        </w:tc>
        <w:tc>
          <w:tcPr>
            <w:tcW w:w="1134" w:type="dxa"/>
            <w:shd w:val="clear" w:color="auto" w:fill="auto"/>
            <w:vAlign w:val="bottom"/>
          </w:tcPr>
          <w:p w14:paraId="42B2CB3F" w14:textId="77777777" w:rsidR="00A023BD" w:rsidRPr="00D36119" w:rsidRDefault="00A023BD" w:rsidP="00A023BD">
            <w:pPr>
              <w:keepNext/>
              <w:jc w:val="right"/>
              <w:rPr>
                <w:color w:val="000000"/>
                <w:sz w:val="16"/>
                <w:szCs w:val="16"/>
                <w:lang w:eastAsia="en-NZ"/>
              </w:rPr>
            </w:pPr>
          </w:p>
        </w:tc>
        <w:tc>
          <w:tcPr>
            <w:tcW w:w="850" w:type="dxa"/>
            <w:shd w:val="clear" w:color="auto" w:fill="auto"/>
            <w:vAlign w:val="bottom"/>
          </w:tcPr>
          <w:p w14:paraId="602C14AA" w14:textId="77777777" w:rsidR="00A023BD" w:rsidRPr="00D36119" w:rsidRDefault="00A023BD" w:rsidP="00A023BD">
            <w:pPr>
              <w:keepNext/>
              <w:jc w:val="right"/>
              <w:rPr>
                <w:color w:val="000000"/>
                <w:sz w:val="16"/>
                <w:szCs w:val="16"/>
                <w:lang w:eastAsia="en-NZ"/>
              </w:rPr>
            </w:pPr>
          </w:p>
        </w:tc>
      </w:tr>
      <w:tr w:rsidR="00A023BD" w:rsidRPr="001A61F1" w14:paraId="4F7EB1F6" w14:textId="77777777" w:rsidTr="00DE09C6">
        <w:tc>
          <w:tcPr>
            <w:tcW w:w="5387" w:type="dxa"/>
          </w:tcPr>
          <w:p w14:paraId="2384E5F4" w14:textId="77777777" w:rsidR="00A023BD" w:rsidRPr="003F15C0" w:rsidRDefault="00A023BD" w:rsidP="00A023BD">
            <w:pPr>
              <w:spacing w:before="20"/>
              <w:ind w:left="176"/>
              <w:jc w:val="both"/>
              <w:rPr>
                <w:sz w:val="16"/>
                <w:szCs w:val="16"/>
              </w:rPr>
            </w:pPr>
            <w:r w:rsidRPr="003F15C0">
              <w:rPr>
                <w:sz w:val="16"/>
                <w:szCs w:val="16"/>
              </w:rPr>
              <w:t>$21 - $</w:t>
            </w:r>
            <w:r>
              <w:rPr>
                <w:sz w:val="16"/>
                <w:szCs w:val="16"/>
              </w:rPr>
              <w:t>5</w:t>
            </w:r>
            <w:r w:rsidRPr="003F15C0">
              <w:rPr>
                <w:sz w:val="16"/>
                <w:szCs w:val="16"/>
              </w:rPr>
              <w:t>0</w:t>
            </w:r>
          </w:p>
        </w:tc>
        <w:tc>
          <w:tcPr>
            <w:tcW w:w="1134" w:type="dxa"/>
            <w:shd w:val="clear" w:color="auto" w:fill="auto"/>
            <w:vAlign w:val="bottom"/>
          </w:tcPr>
          <w:p w14:paraId="3C7679D6"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1.25</w:t>
            </w:r>
          </w:p>
        </w:tc>
        <w:tc>
          <w:tcPr>
            <w:tcW w:w="1134" w:type="dxa"/>
            <w:shd w:val="clear" w:color="auto" w:fill="auto"/>
            <w:vAlign w:val="bottom"/>
          </w:tcPr>
          <w:p w14:paraId="282CE96D"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(0.90, 1.74)</w:t>
            </w:r>
          </w:p>
        </w:tc>
        <w:tc>
          <w:tcPr>
            <w:tcW w:w="850" w:type="dxa"/>
            <w:shd w:val="clear" w:color="auto" w:fill="auto"/>
            <w:vAlign w:val="bottom"/>
          </w:tcPr>
          <w:p w14:paraId="5E03B68A" w14:textId="77777777" w:rsidR="00A023BD" w:rsidRPr="00D36119" w:rsidRDefault="00A023BD" w:rsidP="00A023BD">
            <w:pPr>
              <w:keepNext/>
              <w:jc w:val="right"/>
              <w:rPr>
                <w:color w:val="000000"/>
                <w:sz w:val="16"/>
                <w:szCs w:val="16"/>
                <w:lang w:eastAsia="en-NZ"/>
              </w:rPr>
            </w:pPr>
          </w:p>
        </w:tc>
      </w:tr>
      <w:tr w:rsidR="00A023BD" w:rsidRPr="001A61F1" w14:paraId="3FA6498E" w14:textId="77777777" w:rsidTr="00DE09C6">
        <w:tc>
          <w:tcPr>
            <w:tcW w:w="5387" w:type="dxa"/>
          </w:tcPr>
          <w:p w14:paraId="4A7DFE70" w14:textId="77777777" w:rsidR="00A023BD" w:rsidRPr="003F15C0" w:rsidRDefault="00A023BD" w:rsidP="00A023BD">
            <w:pPr>
              <w:spacing w:before="20"/>
              <w:ind w:left="176"/>
              <w:jc w:val="both"/>
              <w:rPr>
                <w:sz w:val="16"/>
                <w:szCs w:val="16"/>
              </w:rPr>
            </w:pPr>
            <w:r>
              <w:rPr>
                <w:sz w:val="16"/>
                <w:szCs w:val="16"/>
              </w:rPr>
              <w:t>&gt;$50</w:t>
            </w:r>
          </w:p>
        </w:tc>
        <w:tc>
          <w:tcPr>
            <w:tcW w:w="1134" w:type="dxa"/>
            <w:shd w:val="clear" w:color="auto" w:fill="auto"/>
            <w:vAlign w:val="bottom"/>
          </w:tcPr>
          <w:p w14:paraId="5E96E0E2"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2.57</w:t>
            </w:r>
          </w:p>
        </w:tc>
        <w:tc>
          <w:tcPr>
            <w:tcW w:w="1134" w:type="dxa"/>
            <w:shd w:val="clear" w:color="auto" w:fill="auto"/>
            <w:vAlign w:val="bottom"/>
          </w:tcPr>
          <w:p w14:paraId="5D3E21E8"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(1.81, 3.66)</w:t>
            </w:r>
          </w:p>
        </w:tc>
        <w:tc>
          <w:tcPr>
            <w:tcW w:w="850" w:type="dxa"/>
            <w:shd w:val="clear" w:color="auto" w:fill="auto"/>
            <w:vAlign w:val="bottom"/>
          </w:tcPr>
          <w:p w14:paraId="33A79906"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&lt;</w:t>
            </w:r>
            <w:r>
              <w:rPr>
                <w:color w:val="000000"/>
                <w:sz w:val="16"/>
                <w:szCs w:val="16"/>
                <w:lang w:eastAsia="en-NZ"/>
              </w:rPr>
              <w:t>0</w:t>
            </w:r>
            <w:r w:rsidRPr="00D36119">
              <w:rPr>
                <w:color w:val="000000"/>
                <w:sz w:val="16"/>
                <w:szCs w:val="16"/>
                <w:lang w:eastAsia="en-NZ"/>
              </w:rPr>
              <w:t>.0001</w:t>
            </w:r>
          </w:p>
        </w:tc>
      </w:tr>
      <w:tr w:rsidR="00A023BD" w:rsidRPr="001A61F1" w14:paraId="3A1059F3" w14:textId="77777777" w:rsidTr="00DE09C6">
        <w:tc>
          <w:tcPr>
            <w:tcW w:w="5387" w:type="dxa"/>
            <w:vAlign w:val="bottom"/>
          </w:tcPr>
          <w:p w14:paraId="6960A646" w14:textId="77777777" w:rsidR="00A023BD" w:rsidRPr="003F15C0" w:rsidRDefault="00A023BD" w:rsidP="00A023BD">
            <w:pPr>
              <w:keepNext/>
              <w:spacing w:before="20"/>
              <w:jc w:val="both"/>
              <w:rPr>
                <w:b/>
                <w:sz w:val="16"/>
                <w:szCs w:val="16"/>
              </w:rPr>
            </w:pPr>
            <w:r w:rsidRPr="003F15C0">
              <w:rPr>
                <w:b/>
                <w:sz w:val="16"/>
                <w:szCs w:val="16"/>
              </w:rPr>
              <w:t>EGMs overall - annual</w:t>
            </w:r>
          </w:p>
        </w:tc>
        <w:tc>
          <w:tcPr>
            <w:tcW w:w="1134" w:type="dxa"/>
            <w:shd w:val="clear" w:color="auto" w:fill="auto"/>
            <w:vAlign w:val="bottom"/>
          </w:tcPr>
          <w:p w14:paraId="3BD7B587" w14:textId="77777777" w:rsidR="00A023BD" w:rsidRPr="007B750E" w:rsidRDefault="00A023BD" w:rsidP="00A023BD">
            <w:pPr>
              <w:keepNext/>
              <w:jc w:val="right"/>
              <w:rPr>
                <w:color w:val="000000"/>
                <w:sz w:val="16"/>
                <w:szCs w:val="16"/>
                <w:lang w:eastAsia="en-NZ"/>
              </w:rPr>
            </w:pPr>
          </w:p>
        </w:tc>
        <w:tc>
          <w:tcPr>
            <w:tcW w:w="1134" w:type="dxa"/>
            <w:shd w:val="clear" w:color="auto" w:fill="auto"/>
            <w:vAlign w:val="bottom"/>
          </w:tcPr>
          <w:p w14:paraId="5D5BDDAC" w14:textId="77777777" w:rsidR="00A023BD" w:rsidRPr="007B750E" w:rsidRDefault="00A023BD" w:rsidP="00A023BD">
            <w:pPr>
              <w:keepNext/>
              <w:jc w:val="right"/>
              <w:rPr>
                <w:color w:val="000000"/>
                <w:sz w:val="16"/>
                <w:szCs w:val="16"/>
                <w:lang w:eastAsia="en-NZ"/>
              </w:rPr>
            </w:pPr>
          </w:p>
        </w:tc>
        <w:tc>
          <w:tcPr>
            <w:tcW w:w="850" w:type="dxa"/>
            <w:shd w:val="clear" w:color="auto" w:fill="auto"/>
            <w:vAlign w:val="bottom"/>
          </w:tcPr>
          <w:p w14:paraId="28540353" w14:textId="77777777" w:rsidR="00A023BD" w:rsidRPr="007B750E" w:rsidRDefault="00A023BD" w:rsidP="00A023BD">
            <w:pPr>
              <w:keepNext/>
              <w:jc w:val="right"/>
              <w:rPr>
                <w:color w:val="000000"/>
                <w:sz w:val="16"/>
                <w:szCs w:val="16"/>
                <w:lang w:eastAsia="en-NZ"/>
              </w:rPr>
            </w:pPr>
          </w:p>
        </w:tc>
      </w:tr>
      <w:tr w:rsidR="00A023BD" w:rsidRPr="001A61F1" w14:paraId="7AD7B6F2" w14:textId="77777777" w:rsidTr="00A023BD">
        <w:tc>
          <w:tcPr>
            <w:tcW w:w="5387" w:type="dxa"/>
          </w:tcPr>
          <w:p w14:paraId="20578E1B" w14:textId="77777777" w:rsidR="00A023BD" w:rsidRPr="003F15C0" w:rsidRDefault="00A023BD" w:rsidP="00A023BD">
            <w:pPr>
              <w:keepNext/>
              <w:spacing w:before="20"/>
              <w:ind w:left="176"/>
              <w:jc w:val="both"/>
              <w:rPr>
                <w:sz w:val="16"/>
                <w:szCs w:val="16"/>
              </w:rPr>
            </w:pPr>
            <w:r w:rsidRPr="003F15C0">
              <w:rPr>
                <w:sz w:val="16"/>
                <w:szCs w:val="16"/>
              </w:rPr>
              <w:t>No</w:t>
            </w:r>
          </w:p>
        </w:tc>
        <w:tc>
          <w:tcPr>
            <w:tcW w:w="1134" w:type="dxa"/>
            <w:shd w:val="clear" w:color="auto" w:fill="auto"/>
            <w:vAlign w:val="bottom"/>
          </w:tcPr>
          <w:p w14:paraId="59F35894"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1.00</w:t>
            </w:r>
          </w:p>
        </w:tc>
        <w:tc>
          <w:tcPr>
            <w:tcW w:w="1134" w:type="dxa"/>
            <w:shd w:val="clear" w:color="auto" w:fill="auto"/>
            <w:vAlign w:val="bottom"/>
          </w:tcPr>
          <w:p w14:paraId="679A1D80" w14:textId="77777777" w:rsidR="00A023BD" w:rsidRPr="00D36119" w:rsidRDefault="00A023BD" w:rsidP="00A023BD">
            <w:pPr>
              <w:keepNext/>
              <w:jc w:val="right"/>
              <w:rPr>
                <w:color w:val="000000"/>
                <w:sz w:val="16"/>
                <w:szCs w:val="16"/>
                <w:lang w:eastAsia="en-NZ"/>
              </w:rPr>
            </w:pPr>
          </w:p>
        </w:tc>
        <w:tc>
          <w:tcPr>
            <w:tcW w:w="850" w:type="dxa"/>
            <w:shd w:val="clear" w:color="auto" w:fill="auto"/>
            <w:vAlign w:val="bottom"/>
          </w:tcPr>
          <w:p w14:paraId="1E6A9B62" w14:textId="77777777" w:rsidR="00A023BD" w:rsidRPr="00D36119" w:rsidRDefault="00A023BD" w:rsidP="00A023BD">
            <w:pPr>
              <w:keepNext/>
              <w:jc w:val="right"/>
              <w:rPr>
                <w:color w:val="000000"/>
                <w:sz w:val="16"/>
                <w:szCs w:val="16"/>
                <w:lang w:eastAsia="en-NZ"/>
              </w:rPr>
            </w:pPr>
          </w:p>
        </w:tc>
      </w:tr>
      <w:tr w:rsidR="00A023BD" w:rsidRPr="001A61F1" w14:paraId="00ADCEA5" w14:textId="77777777" w:rsidTr="00326B55">
        <w:tc>
          <w:tcPr>
            <w:tcW w:w="5387" w:type="dxa"/>
          </w:tcPr>
          <w:p w14:paraId="40925288"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bottom"/>
          </w:tcPr>
          <w:p w14:paraId="4875058B"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2.79</w:t>
            </w:r>
          </w:p>
        </w:tc>
        <w:tc>
          <w:tcPr>
            <w:tcW w:w="1134" w:type="dxa"/>
            <w:shd w:val="clear" w:color="auto" w:fill="auto"/>
            <w:vAlign w:val="bottom"/>
          </w:tcPr>
          <w:p w14:paraId="4C62930A"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(1.90, 4.09)</w:t>
            </w:r>
          </w:p>
        </w:tc>
        <w:tc>
          <w:tcPr>
            <w:tcW w:w="850" w:type="dxa"/>
            <w:shd w:val="clear" w:color="auto" w:fill="auto"/>
            <w:vAlign w:val="bottom"/>
          </w:tcPr>
          <w:p w14:paraId="7CAFD5E6"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&lt;</w:t>
            </w:r>
            <w:r>
              <w:rPr>
                <w:color w:val="000000"/>
                <w:sz w:val="16"/>
                <w:szCs w:val="16"/>
                <w:lang w:eastAsia="en-NZ"/>
              </w:rPr>
              <w:t>0</w:t>
            </w:r>
            <w:r w:rsidRPr="00D36119">
              <w:rPr>
                <w:color w:val="000000"/>
                <w:sz w:val="16"/>
                <w:szCs w:val="16"/>
                <w:lang w:eastAsia="en-NZ"/>
              </w:rPr>
              <w:t>.0001</w:t>
            </w:r>
          </w:p>
        </w:tc>
      </w:tr>
      <w:tr w:rsidR="00A023BD" w:rsidRPr="001A61F1" w14:paraId="30A34E74" w14:textId="77777777" w:rsidTr="00A023BD">
        <w:tc>
          <w:tcPr>
            <w:tcW w:w="5387" w:type="dxa"/>
            <w:vAlign w:val="bottom"/>
          </w:tcPr>
          <w:p w14:paraId="26DD4D9C" w14:textId="77777777" w:rsidR="00A023BD" w:rsidRPr="003F15C0" w:rsidRDefault="00A023BD" w:rsidP="00A023BD">
            <w:pPr>
              <w:spacing w:before="20"/>
              <w:jc w:val="both"/>
              <w:rPr>
                <w:b/>
                <w:sz w:val="16"/>
                <w:szCs w:val="16"/>
              </w:rPr>
            </w:pPr>
            <w:r w:rsidRPr="003F15C0">
              <w:rPr>
                <w:b/>
                <w:sz w:val="16"/>
                <w:szCs w:val="16"/>
              </w:rPr>
              <w:t>Card games - monthly</w:t>
            </w:r>
          </w:p>
        </w:tc>
        <w:tc>
          <w:tcPr>
            <w:tcW w:w="1134" w:type="dxa"/>
            <w:shd w:val="clear" w:color="auto" w:fill="auto"/>
            <w:vAlign w:val="bottom"/>
          </w:tcPr>
          <w:p w14:paraId="12F71FF5" w14:textId="77777777" w:rsidR="00A023BD" w:rsidRPr="007B750E" w:rsidRDefault="00A023BD" w:rsidP="00A023BD">
            <w:pPr>
              <w:keepNext/>
              <w:jc w:val="right"/>
              <w:rPr>
                <w:color w:val="000000"/>
                <w:sz w:val="16"/>
                <w:szCs w:val="16"/>
                <w:lang w:eastAsia="en-NZ"/>
              </w:rPr>
            </w:pPr>
          </w:p>
        </w:tc>
        <w:tc>
          <w:tcPr>
            <w:tcW w:w="1134" w:type="dxa"/>
            <w:shd w:val="clear" w:color="auto" w:fill="auto"/>
            <w:vAlign w:val="bottom"/>
          </w:tcPr>
          <w:p w14:paraId="2D91C785" w14:textId="77777777" w:rsidR="00A023BD" w:rsidRPr="007B750E" w:rsidRDefault="00A023BD" w:rsidP="00A023BD">
            <w:pPr>
              <w:keepNext/>
              <w:jc w:val="right"/>
              <w:rPr>
                <w:color w:val="000000"/>
                <w:sz w:val="16"/>
                <w:szCs w:val="16"/>
                <w:lang w:eastAsia="en-NZ"/>
              </w:rPr>
            </w:pPr>
          </w:p>
        </w:tc>
        <w:tc>
          <w:tcPr>
            <w:tcW w:w="850" w:type="dxa"/>
            <w:shd w:val="clear" w:color="auto" w:fill="auto"/>
            <w:vAlign w:val="bottom"/>
          </w:tcPr>
          <w:p w14:paraId="4C9FFC6A" w14:textId="77777777" w:rsidR="00A023BD" w:rsidRPr="007B750E" w:rsidRDefault="00A023BD" w:rsidP="00A023BD">
            <w:pPr>
              <w:keepNext/>
              <w:jc w:val="right"/>
              <w:rPr>
                <w:color w:val="000000"/>
                <w:sz w:val="16"/>
                <w:szCs w:val="16"/>
                <w:lang w:eastAsia="en-NZ"/>
              </w:rPr>
            </w:pPr>
          </w:p>
        </w:tc>
      </w:tr>
      <w:tr w:rsidR="00A023BD" w:rsidRPr="001A61F1" w14:paraId="230403F6" w14:textId="77777777" w:rsidTr="008B226A">
        <w:tc>
          <w:tcPr>
            <w:tcW w:w="5387" w:type="dxa"/>
          </w:tcPr>
          <w:p w14:paraId="04059581"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bottom"/>
          </w:tcPr>
          <w:p w14:paraId="654535C6"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1.00</w:t>
            </w:r>
          </w:p>
        </w:tc>
        <w:tc>
          <w:tcPr>
            <w:tcW w:w="1134" w:type="dxa"/>
            <w:shd w:val="clear" w:color="auto" w:fill="auto"/>
            <w:vAlign w:val="bottom"/>
          </w:tcPr>
          <w:p w14:paraId="2B2CEAD0" w14:textId="77777777" w:rsidR="00A023BD" w:rsidRPr="00D36119" w:rsidRDefault="00A023BD" w:rsidP="00A023BD">
            <w:pPr>
              <w:keepNext/>
              <w:jc w:val="right"/>
              <w:rPr>
                <w:color w:val="000000"/>
                <w:sz w:val="16"/>
                <w:szCs w:val="16"/>
                <w:lang w:eastAsia="en-NZ"/>
              </w:rPr>
            </w:pPr>
          </w:p>
        </w:tc>
        <w:tc>
          <w:tcPr>
            <w:tcW w:w="850" w:type="dxa"/>
            <w:shd w:val="clear" w:color="auto" w:fill="auto"/>
            <w:vAlign w:val="bottom"/>
          </w:tcPr>
          <w:p w14:paraId="7538E708" w14:textId="77777777" w:rsidR="00A023BD" w:rsidRPr="00D36119" w:rsidRDefault="00A023BD" w:rsidP="00A023BD">
            <w:pPr>
              <w:keepNext/>
              <w:jc w:val="right"/>
              <w:rPr>
                <w:color w:val="000000"/>
                <w:sz w:val="16"/>
                <w:szCs w:val="16"/>
                <w:lang w:eastAsia="en-NZ"/>
              </w:rPr>
            </w:pPr>
          </w:p>
        </w:tc>
      </w:tr>
      <w:tr w:rsidR="00A023BD" w:rsidRPr="001A61F1" w14:paraId="17B5B11A" w14:textId="77777777" w:rsidTr="008B226A">
        <w:tc>
          <w:tcPr>
            <w:tcW w:w="5387" w:type="dxa"/>
          </w:tcPr>
          <w:p w14:paraId="6C18B720"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bottom"/>
          </w:tcPr>
          <w:p w14:paraId="0B3640C3"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3.64</w:t>
            </w:r>
          </w:p>
        </w:tc>
        <w:tc>
          <w:tcPr>
            <w:tcW w:w="1134" w:type="dxa"/>
            <w:shd w:val="clear" w:color="auto" w:fill="auto"/>
            <w:vAlign w:val="bottom"/>
          </w:tcPr>
          <w:p w14:paraId="3B5F2F50"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(1.67, 7.95)</w:t>
            </w:r>
          </w:p>
        </w:tc>
        <w:tc>
          <w:tcPr>
            <w:tcW w:w="850" w:type="dxa"/>
            <w:shd w:val="clear" w:color="auto" w:fill="auto"/>
            <w:vAlign w:val="bottom"/>
          </w:tcPr>
          <w:p w14:paraId="4DA6EBED"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0.001</w:t>
            </w:r>
          </w:p>
        </w:tc>
      </w:tr>
      <w:tr w:rsidR="00A023BD" w:rsidRPr="001A61F1" w14:paraId="735ED3F9" w14:textId="77777777" w:rsidTr="008B226A">
        <w:tc>
          <w:tcPr>
            <w:tcW w:w="5387" w:type="dxa"/>
            <w:vAlign w:val="bottom"/>
          </w:tcPr>
          <w:p w14:paraId="3057E94B" w14:textId="77777777" w:rsidR="00A023BD" w:rsidRPr="003F15C0" w:rsidRDefault="00A023BD" w:rsidP="00A023BD">
            <w:pPr>
              <w:keepNext/>
              <w:spacing w:before="20"/>
              <w:jc w:val="both"/>
              <w:rPr>
                <w:b/>
                <w:sz w:val="16"/>
                <w:szCs w:val="16"/>
              </w:rPr>
            </w:pPr>
            <w:r w:rsidRPr="003F15C0">
              <w:rPr>
                <w:b/>
                <w:sz w:val="16"/>
                <w:szCs w:val="16"/>
              </w:rPr>
              <w:t>Sports betting - monthly</w:t>
            </w:r>
          </w:p>
        </w:tc>
        <w:tc>
          <w:tcPr>
            <w:tcW w:w="1134" w:type="dxa"/>
            <w:shd w:val="clear" w:color="auto" w:fill="auto"/>
            <w:vAlign w:val="bottom"/>
          </w:tcPr>
          <w:p w14:paraId="379DBA96" w14:textId="77777777" w:rsidR="00A023BD" w:rsidRPr="007B750E" w:rsidRDefault="00A023BD" w:rsidP="00A023BD">
            <w:pPr>
              <w:keepNext/>
              <w:jc w:val="right"/>
              <w:rPr>
                <w:color w:val="000000"/>
                <w:sz w:val="16"/>
                <w:szCs w:val="16"/>
                <w:lang w:eastAsia="en-NZ"/>
              </w:rPr>
            </w:pPr>
          </w:p>
        </w:tc>
        <w:tc>
          <w:tcPr>
            <w:tcW w:w="1134" w:type="dxa"/>
            <w:shd w:val="clear" w:color="auto" w:fill="auto"/>
            <w:vAlign w:val="bottom"/>
          </w:tcPr>
          <w:p w14:paraId="390BEC40" w14:textId="77777777" w:rsidR="00A023BD" w:rsidRPr="007B750E" w:rsidRDefault="00A023BD" w:rsidP="00A023BD">
            <w:pPr>
              <w:keepNext/>
              <w:jc w:val="right"/>
              <w:rPr>
                <w:color w:val="000000"/>
                <w:sz w:val="16"/>
                <w:szCs w:val="16"/>
                <w:lang w:eastAsia="en-NZ"/>
              </w:rPr>
            </w:pPr>
          </w:p>
        </w:tc>
        <w:tc>
          <w:tcPr>
            <w:tcW w:w="850" w:type="dxa"/>
            <w:shd w:val="clear" w:color="auto" w:fill="auto"/>
            <w:vAlign w:val="bottom"/>
          </w:tcPr>
          <w:p w14:paraId="19733256" w14:textId="77777777" w:rsidR="00A023BD" w:rsidRPr="007B750E" w:rsidRDefault="00A023BD" w:rsidP="00A023BD">
            <w:pPr>
              <w:keepNext/>
              <w:jc w:val="right"/>
              <w:rPr>
                <w:color w:val="000000"/>
                <w:sz w:val="16"/>
                <w:szCs w:val="16"/>
                <w:lang w:eastAsia="en-NZ"/>
              </w:rPr>
            </w:pPr>
          </w:p>
        </w:tc>
      </w:tr>
      <w:tr w:rsidR="00A023BD" w:rsidRPr="001A61F1" w14:paraId="28A6BA40" w14:textId="77777777" w:rsidTr="00A023BD">
        <w:tc>
          <w:tcPr>
            <w:tcW w:w="5387" w:type="dxa"/>
          </w:tcPr>
          <w:p w14:paraId="17F6E348" w14:textId="77777777" w:rsidR="00A023BD" w:rsidRPr="003F15C0" w:rsidRDefault="00A023BD" w:rsidP="00A023BD">
            <w:pPr>
              <w:keepNext/>
              <w:spacing w:before="20"/>
              <w:ind w:left="176"/>
              <w:jc w:val="both"/>
              <w:rPr>
                <w:sz w:val="16"/>
                <w:szCs w:val="16"/>
              </w:rPr>
            </w:pPr>
            <w:r w:rsidRPr="003F15C0">
              <w:rPr>
                <w:sz w:val="16"/>
                <w:szCs w:val="16"/>
              </w:rPr>
              <w:t>No</w:t>
            </w:r>
          </w:p>
        </w:tc>
        <w:tc>
          <w:tcPr>
            <w:tcW w:w="1134" w:type="dxa"/>
            <w:shd w:val="clear" w:color="auto" w:fill="auto"/>
            <w:vAlign w:val="bottom"/>
          </w:tcPr>
          <w:p w14:paraId="757A0351"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1.00</w:t>
            </w:r>
          </w:p>
        </w:tc>
        <w:tc>
          <w:tcPr>
            <w:tcW w:w="1134" w:type="dxa"/>
            <w:shd w:val="clear" w:color="auto" w:fill="auto"/>
            <w:vAlign w:val="bottom"/>
          </w:tcPr>
          <w:p w14:paraId="64DE232C" w14:textId="77777777" w:rsidR="00A023BD" w:rsidRPr="00D36119" w:rsidRDefault="00A023BD" w:rsidP="00A023BD">
            <w:pPr>
              <w:keepNext/>
              <w:jc w:val="right"/>
              <w:rPr>
                <w:color w:val="000000"/>
                <w:sz w:val="16"/>
                <w:szCs w:val="16"/>
                <w:lang w:eastAsia="en-NZ"/>
              </w:rPr>
            </w:pPr>
          </w:p>
        </w:tc>
        <w:tc>
          <w:tcPr>
            <w:tcW w:w="850" w:type="dxa"/>
            <w:shd w:val="clear" w:color="auto" w:fill="auto"/>
            <w:vAlign w:val="bottom"/>
          </w:tcPr>
          <w:p w14:paraId="38F84CCA" w14:textId="77777777" w:rsidR="00A023BD" w:rsidRPr="00D36119" w:rsidRDefault="00A023BD" w:rsidP="00A023BD">
            <w:pPr>
              <w:keepNext/>
              <w:jc w:val="right"/>
              <w:rPr>
                <w:color w:val="000000"/>
                <w:sz w:val="16"/>
                <w:szCs w:val="16"/>
                <w:lang w:eastAsia="en-NZ"/>
              </w:rPr>
            </w:pPr>
          </w:p>
        </w:tc>
      </w:tr>
      <w:tr w:rsidR="00A023BD" w:rsidRPr="001A61F1" w14:paraId="7DC1BEFD" w14:textId="77777777" w:rsidTr="00326B55">
        <w:tc>
          <w:tcPr>
            <w:tcW w:w="5387" w:type="dxa"/>
          </w:tcPr>
          <w:p w14:paraId="1F43ED10" w14:textId="77777777" w:rsidR="00A023BD" w:rsidRPr="003F15C0" w:rsidRDefault="00A023BD" w:rsidP="00A023BD">
            <w:pPr>
              <w:keepNext/>
              <w:spacing w:before="20"/>
              <w:ind w:left="176"/>
              <w:jc w:val="both"/>
              <w:rPr>
                <w:sz w:val="16"/>
                <w:szCs w:val="16"/>
              </w:rPr>
            </w:pPr>
            <w:r w:rsidRPr="003F15C0">
              <w:rPr>
                <w:sz w:val="16"/>
                <w:szCs w:val="16"/>
              </w:rPr>
              <w:t>Yes</w:t>
            </w:r>
          </w:p>
        </w:tc>
        <w:tc>
          <w:tcPr>
            <w:tcW w:w="1134" w:type="dxa"/>
            <w:shd w:val="clear" w:color="auto" w:fill="auto"/>
            <w:vAlign w:val="bottom"/>
          </w:tcPr>
          <w:p w14:paraId="0BEA410D"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4.87</w:t>
            </w:r>
          </w:p>
        </w:tc>
        <w:tc>
          <w:tcPr>
            <w:tcW w:w="1134" w:type="dxa"/>
            <w:shd w:val="clear" w:color="auto" w:fill="auto"/>
            <w:vAlign w:val="bottom"/>
          </w:tcPr>
          <w:p w14:paraId="34CE5914"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(2.15, 11.02)</w:t>
            </w:r>
          </w:p>
        </w:tc>
        <w:tc>
          <w:tcPr>
            <w:tcW w:w="850" w:type="dxa"/>
            <w:shd w:val="clear" w:color="auto" w:fill="auto"/>
            <w:vAlign w:val="bottom"/>
          </w:tcPr>
          <w:p w14:paraId="6B3C276F"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0.0001</w:t>
            </w:r>
          </w:p>
        </w:tc>
      </w:tr>
      <w:tr w:rsidR="00A023BD" w:rsidRPr="001A61F1" w14:paraId="41E6D2B5" w14:textId="77777777" w:rsidTr="00A023BD">
        <w:tc>
          <w:tcPr>
            <w:tcW w:w="5387" w:type="dxa"/>
            <w:vAlign w:val="bottom"/>
          </w:tcPr>
          <w:p w14:paraId="0CC8DEE2" w14:textId="77777777" w:rsidR="00A023BD" w:rsidRPr="003F15C0" w:rsidRDefault="00A023BD" w:rsidP="00A023BD">
            <w:pPr>
              <w:keepNext/>
              <w:spacing w:before="20"/>
              <w:jc w:val="both"/>
              <w:rPr>
                <w:b/>
                <w:sz w:val="16"/>
                <w:szCs w:val="16"/>
              </w:rPr>
            </w:pPr>
            <w:r w:rsidRPr="003F15C0">
              <w:rPr>
                <w:b/>
                <w:sz w:val="16"/>
                <w:szCs w:val="16"/>
              </w:rPr>
              <w:t>Pub EGMs - monthly</w:t>
            </w:r>
          </w:p>
        </w:tc>
        <w:tc>
          <w:tcPr>
            <w:tcW w:w="1134" w:type="dxa"/>
            <w:shd w:val="clear" w:color="auto" w:fill="auto"/>
            <w:vAlign w:val="bottom"/>
          </w:tcPr>
          <w:p w14:paraId="111B3808" w14:textId="77777777" w:rsidR="00A023BD" w:rsidRPr="007B750E" w:rsidRDefault="00A023BD" w:rsidP="00A023BD">
            <w:pPr>
              <w:keepNext/>
              <w:jc w:val="right"/>
              <w:rPr>
                <w:color w:val="000000"/>
                <w:sz w:val="16"/>
                <w:szCs w:val="16"/>
                <w:lang w:eastAsia="en-NZ"/>
              </w:rPr>
            </w:pPr>
          </w:p>
        </w:tc>
        <w:tc>
          <w:tcPr>
            <w:tcW w:w="1134" w:type="dxa"/>
            <w:shd w:val="clear" w:color="auto" w:fill="auto"/>
            <w:vAlign w:val="bottom"/>
          </w:tcPr>
          <w:p w14:paraId="5C4139A9" w14:textId="77777777" w:rsidR="00A023BD" w:rsidRPr="007B750E" w:rsidRDefault="00A023BD" w:rsidP="00A023BD">
            <w:pPr>
              <w:keepNext/>
              <w:jc w:val="right"/>
              <w:rPr>
                <w:color w:val="000000"/>
                <w:sz w:val="16"/>
                <w:szCs w:val="16"/>
                <w:lang w:eastAsia="en-NZ"/>
              </w:rPr>
            </w:pPr>
          </w:p>
        </w:tc>
        <w:tc>
          <w:tcPr>
            <w:tcW w:w="850" w:type="dxa"/>
            <w:shd w:val="clear" w:color="auto" w:fill="auto"/>
            <w:vAlign w:val="bottom"/>
          </w:tcPr>
          <w:p w14:paraId="4D4DEF6C" w14:textId="77777777" w:rsidR="00A023BD" w:rsidRPr="007B750E" w:rsidRDefault="00A023BD" w:rsidP="00A023BD">
            <w:pPr>
              <w:keepNext/>
              <w:jc w:val="right"/>
              <w:rPr>
                <w:color w:val="000000"/>
                <w:sz w:val="16"/>
                <w:szCs w:val="16"/>
                <w:lang w:eastAsia="en-NZ"/>
              </w:rPr>
            </w:pPr>
          </w:p>
        </w:tc>
      </w:tr>
      <w:tr w:rsidR="00A023BD" w:rsidRPr="001A61F1" w14:paraId="77AEFB49" w14:textId="77777777" w:rsidTr="00A023BD">
        <w:tc>
          <w:tcPr>
            <w:tcW w:w="5387" w:type="dxa"/>
          </w:tcPr>
          <w:p w14:paraId="4F2E46BD" w14:textId="77777777" w:rsidR="00A023BD" w:rsidRPr="003F15C0" w:rsidRDefault="00A023BD" w:rsidP="00A023BD">
            <w:pPr>
              <w:keepNext/>
              <w:spacing w:before="20"/>
              <w:ind w:left="176"/>
              <w:jc w:val="both"/>
              <w:rPr>
                <w:sz w:val="16"/>
                <w:szCs w:val="16"/>
              </w:rPr>
            </w:pPr>
            <w:r w:rsidRPr="003F15C0">
              <w:rPr>
                <w:sz w:val="16"/>
                <w:szCs w:val="16"/>
              </w:rPr>
              <w:t>No</w:t>
            </w:r>
          </w:p>
        </w:tc>
        <w:tc>
          <w:tcPr>
            <w:tcW w:w="1134" w:type="dxa"/>
            <w:shd w:val="clear" w:color="auto" w:fill="auto"/>
            <w:vAlign w:val="bottom"/>
          </w:tcPr>
          <w:p w14:paraId="3D5CAA76"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1.00</w:t>
            </w:r>
          </w:p>
        </w:tc>
        <w:tc>
          <w:tcPr>
            <w:tcW w:w="1134" w:type="dxa"/>
            <w:shd w:val="clear" w:color="auto" w:fill="auto"/>
            <w:vAlign w:val="bottom"/>
          </w:tcPr>
          <w:p w14:paraId="270436A1" w14:textId="77777777" w:rsidR="00A023BD" w:rsidRPr="00D36119" w:rsidRDefault="00A023BD" w:rsidP="00A023BD">
            <w:pPr>
              <w:keepNext/>
              <w:jc w:val="right"/>
              <w:rPr>
                <w:color w:val="000000"/>
                <w:sz w:val="16"/>
                <w:szCs w:val="16"/>
                <w:lang w:eastAsia="en-NZ"/>
              </w:rPr>
            </w:pPr>
          </w:p>
        </w:tc>
        <w:tc>
          <w:tcPr>
            <w:tcW w:w="850" w:type="dxa"/>
            <w:shd w:val="clear" w:color="auto" w:fill="auto"/>
            <w:vAlign w:val="bottom"/>
          </w:tcPr>
          <w:p w14:paraId="67B07615" w14:textId="77777777" w:rsidR="00A023BD" w:rsidRPr="00D36119" w:rsidRDefault="00A023BD" w:rsidP="00A023BD">
            <w:pPr>
              <w:keepNext/>
              <w:jc w:val="right"/>
              <w:rPr>
                <w:color w:val="000000"/>
                <w:sz w:val="16"/>
                <w:szCs w:val="16"/>
                <w:lang w:eastAsia="en-NZ"/>
              </w:rPr>
            </w:pPr>
          </w:p>
        </w:tc>
      </w:tr>
      <w:tr w:rsidR="00A023BD" w:rsidRPr="001A61F1" w14:paraId="2374E19B" w14:textId="77777777" w:rsidTr="00326B55">
        <w:tc>
          <w:tcPr>
            <w:tcW w:w="5387" w:type="dxa"/>
          </w:tcPr>
          <w:p w14:paraId="0EEB22CC"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bottom"/>
          </w:tcPr>
          <w:p w14:paraId="6DA2A893"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3.89</w:t>
            </w:r>
          </w:p>
        </w:tc>
        <w:tc>
          <w:tcPr>
            <w:tcW w:w="1134" w:type="dxa"/>
            <w:shd w:val="clear" w:color="auto" w:fill="auto"/>
            <w:vAlign w:val="bottom"/>
          </w:tcPr>
          <w:p w14:paraId="1429FFA6"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(2.34, 6.45)</w:t>
            </w:r>
          </w:p>
        </w:tc>
        <w:tc>
          <w:tcPr>
            <w:tcW w:w="850" w:type="dxa"/>
            <w:shd w:val="clear" w:color="auto" w:fill="auto"/>
            <w:vAlign w:val="bottom"/>
          </w:tcPr>
          <w:p w14:paraId="2A413AAE" w14:textId="77777777" w:rsidR="00A023BD" w:rsidRPr="00D36119" w:rsidRDefault="00A023BD" w:rsidP="00A023BD">
            <w:pPr>
              <w:keepNext/>
              <w:jc w:val="right"/>
              <w:rPr>
                <w:color w:val="000000"/>
                <w:sz w:val="16"/>
                <w:szCs w:val="16"/>
                <w:lang w:eastAsia="en-NZ"/>
              </w:rPr>
            </w:pPr>
            <w:r w:rsidRPr="00D36119">
              <w:rPr>
                <w:color w:val="000000"/>
                <w:sz w:val="16"/>
                <w:szCs w:val="16"/>
                <w:lang w:eastAsia="en-NZ"/>
              </w:rPr>
              <w:t>&lt;</w:t>
            </w:r>
            <w:r>
              <w:rPr>
                <w:color w:val="000000"/>
                <w:sz w:val="16"/>
                <w:szCs w:val="16"/>
                <w:lang w:eastAsia="en-NZ"/>
              </w:rPr>
              <w:t>0</w:t>
            </w:r>
            <w:r w:rsidRPr="00D36119">
              <w:rPr>
                <w:color w:val="000000"/>
                <w:sz w:val="16"/>
                <w:szCs w:val="16"/>
                <w:lang w:eastAsia="en-NZ"/>
              </w:rPr>
              <w:t>.0001</w:t>
            </w:r>
          </w:p>
        </w:tc>
      </w:tr>
      <w:tr w:rsidR="00A023BD" w:rsidRPr="001A61F1" w14:paraId="1ED2E9D0" w14:textId="77777777" w:rsidTr="00A023BD">
        <w:tc>
          <w:tcPr>
            <w:tcW w:w="5387" w:type="dxa"/>
            <w:vAlign w:val="bottom"/>
          </w:tcPr>
          <w:p w14:paraId="55FFBA38" w14:textId="77777777" w:rsidR="00A023BD" w:rsidRPr="003F15C0" w:rsidRDefault="00A023BD" w:rsidP="00A023BD">
            <w:pPr>
              <w:spacing w:before="20"/>
              <w:jc w:val="both"/>
              <w:rPr>
                <w:b/>
                <w:sz w:val="16"/>
                <w:szCs w:val="16"/>
              </w:rPr>
            </w:pPr>
            <w:r w:rsidRPr="003F15C0">
              <w:rPr>
                <w:b/>
                <w:sz w:val="16"/>
                <w:szCs w:val="16"/>
              </w:rPr>
              <w:t>Club EGMs - monthly</w:t>
            </w:r>
          </w:p>
        </w:tc>
        <w:tc>
          <w:tcPr>
            <w:tcW w:w="1134" w:type="dxa"/>
            <w:shd w:val="clear" w:color="auto" w:fill="auto"/>
            <w:vAlign w:val="bottom"/>
          </w:tcPr>
          <w:p w14:paraId="4E97D80D" w14:textId="77777777" w:rsidR="00A023BD" w:rsidRPr="007B750E" w:rsidRDefault="00A023BD" w:rsidP="00A023BD">
            <w:pPr>
              <w:jc w:val="right"/>
              <w:rPr>
                <w:color w:val="000000"/>
                <w:sz w:val="16"/>
                <w:szCs w:val="16"/>
                <w:lang w:eastAsia="en-NZ"/>
              </w:rPr>
            </w:pPr>
          </w:p>
        </w:tc>
        <w:tc>
          <w:tcPr>
            <w:tcW w:w="1134" w:type="dxa"/>
            <w:shd w:val="clear" w:color="auto" w:fill="auto"/>
            <w:vAlign w:val="bottom"/>
          </w:tcPr>
          <w:p w14:paraId="32483F2B" w14:textId="77777777" w:rsidR="00A023BD" w:rsidRPr="007B750E" w:rsidRDefault="00A023BD" w:rsidP="00A023BD">
            <w:pPr>
              <w:jc w:val="right"/>
              <w:rPr>
                <w:color w:val="000000"/>
                <w:sz w:val="16"/>
                <w:szCs w:val="16"/>
                <w:lang w:eastAsia="en-NZ"/>
              </w:rPr>
            </w:pPr>
          </w:p>
        </w:tc>
        <w:tc>
          <w:tcPr>
            <w:tcW w:w="850" w:type="dxa"/>
            <w:shd w:val="clear" w:color="auto" w:fill="auto"/>
            <w:vAlign w:val="bottom"/>
          </w:tcPr>
          <w:p w14:paraId="18AC234C" w14:textId="77777777" w:rsidR="00A023BD" w:rsidRPr="007B750E" w:rsidRDefault="00A023BD" w:rsidP="00A023BD">
            <w:pPr>
              <w:jc w:val="right"/>
              <w:rPr>
                <w:color w:val="000000"/>
                <w:sz w:val="16"/>
                <w:szCs w:val="16"/>
                <w:lang w:eastAsia="en-NZ"/>
              </w:rPr>
            </w:pPr>
          </w:p>
        </w:tc>
      </w:tr>
      <w:tr w:rsidR="00A023BD" w:rsidRPr="001A61F1" w14:paraId="029D9AC2" w14:textId="77777777" w:rsidTr="00A023BD">
        <w:tc>
          <w:tcPr>
            <w:tcW w:w="5387" w:type="dxa"/>
          </w:tcPr>
          <w:p w14:paraId="1C6083D1"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bottom"/>
          </w:tcPr>
          <w:p w14:paraId="3DADA5B1"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1.00</w:t>
            </w:r>
          </w:p>
        </w:tc>
        <w:tc>
          <w:tcPr>
            <w:tcW w:w="1134" w:type="dxa"/>
            <w:shd w:val="clear" w:color="auto" w:fill="auto"/>
            <w:vAlign w:val="bottom"/>
          </w:tcPr>
          <w:p w14:paraId="49BA5D0E" w14:textId="77777777" w:rsidR="00A023BD" w:rsidRPr="001945A1" w:rsidRDefault="00A023BD" w:rsidP="00A023BD">
            <w:pPr>
              <w:keepNext/>
              <w:jc w:val="right"/>
              <w:rPr>
                <w:color w:val="000000"/>
                <w:sz w:val="16"/>
                <w:szCs w:val="16"/>
                <w:lang w:eastAsia="en-NZ"/>
              </w:rPr>
            </w:pPr>
          </w:p>
        </w:tc>
        <w:tc>
          <w:tcPr>
            <w:tcW w:w="850" w:type="dxa"/>
            <w:shd w:val="clear" w:color="auto" w:fill="auto"/>
            <w:vAlign w:val="bottom"/>
          </w:tcPr>
          <w:p w14:paraId="0D90AF31" w14:textId="77777777" w:rsidR="00A023BD" w:rsidRPr="001945A1" w:rsidRDefault="00A023BD" w:rsidP="00A023BD">
            <w:pPr>
              <w:keepNext/>
              <w:jc w:val="right"/>
              <w:rPr>
                <w:color w:val="000000"/>
                <w:sz w:val="16"/>
                <w:szCs w:val="16"/>
                <w:lang w:eastAsia="en-NZ"/>
              </w:rPr>
            </w:pPr>
          </w:p>
        </w:tc>
      </w:tr>
      <w:tr w:rsidR="00A023BD" w:rsidRPr="001A61F1" w14:paraId="06B99E55" w14:textId="77777777" w:rsidTr="00326B55">
        <w:tc>
          <w:tcPr>
            <w:tcW w:w="5387" w:type="dxa"/>
          </w:tcPr>
          <w:p w14:paraId="7346C18A"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bottom"/>
          </w:tcPr>
          <w:p w14:paraId="7C7BCCC2"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2.53</w:t>
            </w:r>
          </w:p>
        </w:tc>
        <w:tc>
          <w:tcPr>
            <w:tcW w:w="1134" w:type="dxa"/>
            <w:shd w:val="clear" w:color="auto" w:fill="auto"/>
            <w:vAlign w:val="bottom"/>
          </w:tcPr>
          <w:p w14:paraId="346B2889"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(1.16, 5.54)</w:t>
            </w:r>
          </w:p>
        </w:tc>
        <w:tc>
          <w:tcPr>
            <w:tcW w:w="850" w:type="dxa"/>
            <w:shd w:val="clear" w:color="auto" w:fill="auto"/>
            <w:vAlign w:val="bottom"/>
          </w:tcPr>
          <w:p w14:paraId="0DFEE591"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0.02</w:t>
            </w:r>
          </w:p>
        </w:tc>
      </w:tr>
      <w:tr w:rsidR="00A023BD" w:rsidRPr="001A61F1" w14:paraId="5F34F002" w14:textId="77777777" w:rsidTr="00A023BD">
        <w:tc>
          <w:tcPr>
            <w:tcW w:w="5387" w:type="dxa"/>
            <w:vAlign w:val="center"/>
          </w:tcPr>
          <w:p w14:paraId="19FBCE44" w14:textId="77777777" w:rsidR="00A023BD" w:rsidRPr="003F15C0" w:rsidRDefault="00A023BD" w:rsidP="00A023BD">
            <w:pPr>
              <w:spacing w:before="20"/>
              <w:rPr>
                <w:b/>
                <w:bCs/>
                <w:color w:val="000000"/>
                <w:sz w:val="16"/>
                <w:szCs w:val="16"/>
              </w:rPr>
            </w:pPr>
            <w:r w:rsidRPr="003F15C0">
              <w:rPr>
                <w:b/>
                <w:sz w:val="16"/>
                <w:szCs w:val="16"/>
              </w:rPr>
              <w:t>Short-term speculative investments - monthly</w:t>
            </w:r>
          </w:p>
        </w:tc>
        <w:tc>
          <w:tcPr>
            <w:tcW w:w="1134" w:type="dxa"/>
            <w:shd w:val="clear" w:color="auto" w:fill="auto"/>
            <w:vAlign w:val="bottom"/>
          </w:tcPr>
          <w:p w14:paraId="6C24C0B2" w14:textId="77777777" w:rsidR="00A023BD" w:rsidRPr="007B750E" w:rsidRDefault="00A023BD" w:rsidP="00A023BD">
            <w:pPr>
              <w:keepNext/>
              <w:jc w:val="right"/>
              <w:rPr>
                <w:color w:val="000000"/>
                <w:sz w:val="16"/>
                <w:szCs w:val="16"/>
                <w:lang w:eastAsia="en-NZ"/>
              </w:rPr>
            </w:pPr>
          </w:p>
        </w:tc>
        <w:tc>
          <w:tcPr>
            <w:tcW w:w="1134" w:type="dxa"/>
            <w:shd w:val="clear" w:color="auto" w:fill="auto"/>
            <w:vAlign w:val="bottom"/>
          </w:tcPr>
          <w:p w14:paraId="59015D21" w14:textId="77777777" w:rsidR="00A023BD" w:rsidRPr="007B750E" w:rsidRDefault="00A023BD" w:rsidP="00A023BD">
            <w:pPr>
              <w:keepNext/>
              <w:jc w:val="right"/>
              <w:rPr>
                <w:color w:val="000000"/>
                <w:sz w:val="16"/>
                <w:szCs w:val="16"/>
                <w:lang w:eastAsia="en-NZ"/>
              </w:rPr>
            </w:pPr>
          </w:p>
        </w:tc>
        <w:tc>
          <w:tcPr>
            <w:tcW w:w="850" w:type="dxa"/>
            <w:shd w:val="clear" w:color="auto" w:fill="auto"/>
            <w:vAlign w:val="bottom"/>
          </w:tcPr>
          <w:p w14:paraId="245EAD8E" w14:textId="77777777" w:rsidR="00A023BD" w:rsidRPr="007B750E" w:rsidRDefault="00A023BD" w:rsidP="00A023BD">
            <w:pPr>
              <w:keepNext/>
              <w:jc w:val="right"/>
              <w:rPr>
                <w:color w:val="000000"/>
                <w:sz w:val="16"/>
                <w:szCs w:val="16"/>
                <w:lang w:eastAsia="en-NZ"/>
              </w:rPr>
            </w:pPr>
          </w:p>
        </w:tc>
      </w:tr>
      <w:tr w:rsidR="00A023BD" w:rsidRPr="001A61F1" w14:paraId="7CDF83EB" w14:textId="77777777" w:rsidTr="00A023BD">
        <w:tc>
          <w:tcPr>
            <w:tcW w:w="5387" w:type="dxa"/>
          </w:tcPr>
          <w:p w14:paraId="0CE86B40"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bottom"/>
          </w:tcPr>
          <w:p w14:paraId="4B6726A7"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1.00</w:t>
            </w:r>
          </w:p>
        </w:tc>
        <w:tc>
          <w:tcPr>
            <w:tcW w:w="1134" w:type="dxa"/>
            <w:shd w:val="clear" w:color="auto" w:fill="auto"/>
            <w:vAlign w:val="bottom"/>
          </w:tcPr>
          <w:p w14:paraId="4F42BB8B" w14:textId="77777777" w:rsidR="00A023BD" w:rsidRPr="001945A1" w:rsidRDefault="00A023BD" w:rsidP="00A023BD">
            <w:pPr>
              <w:keepNext/>
              <w:jc w:val="right"/>
              <w:rPr>
                <w:color w:val="000000"/>
                <w:sz w:val="16"/>
                <w:szCs w:val="16"/>
                <w:lang w:eastAsia="en-NZ"/>
              </w:rPr>
            </w:pPr>
          </w:p>
        </w:tc>
        <w:tc>
          <w:tcPr>
            <w:tcW w:w="850" w:type="dxa"/>
            <w:shd w:val="clear" w:color="auto" w:fill="auto"/>
            <w:vAlign w:val="bottom"/>
          </w:tcPr>
          <w:p w14:paraId="4E21AC65" w14:textId="77777777" w:rsidR="00A023BD" w:rsidRPr="001945A1" w:rsidRDefault="00A023BD" w:rsidP="00A023BD">
            <w:pPr>
              <w:keepNext/>
              <w:jc w:val="right"/>
              <w:rPr>
                <w:color w:val="000000"/>
                <w:sz w:val="16"/>
                <w:szCs w:val="16"/>
                <w:lang w:eastAsia="en-NZ"/>
              </w:rPr>
            </w:pPr>
          </w:p>
        </w:tc>
      </w:tr>
      <w:tr w:rsidR="00A023BD" w:rsidRPr="001A61F1" w14:paraId="0C8884D7" w14:textId="77777777" w:rsidTr="00326B55">
        <w:tc>
          <w:tcPr>
            <w:tcW w:w="5387" w:type="dxa"/>
          </w:tcPr>
          <w:p w14:paraId="25D4B76C"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bottom"/>
          </w:tcPr>
          <w:p w14:paraId="6C8D772F"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4.86</w:t>
            </w:r>
          </w:p>
        </w:tc>
        <w:tc>
          <w:tcPr>
            <w:tcW w:w="1134" w:type="dxa"/>
            <w:shd w:val="clear" w:color="auto" w:fill="auto"/>
            <w:vAlign w:val="bottom"/>
          </w:tcPr>
          <w:p w14:paraId="0A2234D2"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(1.22, 19.29)</w:t>
            </w:r>
          </w:p>
        </w:tc>
        <w:tc>
          <w:tcPr>
            <w:tcW w:w="850" w:type="dxa"/>
            <w:shd w:val="clear" w:color="auto" w:fill="auto"/>
            <w:vAlign w:val="bottom"/>
          </w:tcPr>
          <w:p w14:paraId="5D5121BF"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0.02</w:t>
            </w:r>
          </w:p>
        </w:tc>
      </w:tr>
      <w:tr w:rsidR="00A023BD" w:rsidRPr="001A61F1" w14:paraId="69D4F774" w14:textId="77777777" w:rsidTr="00A023BD">
        <w:tc>
          <w:tcPr>
            <w:tcW w:w="5387" w:type="dxa"/>
            <w:vAlign w:val="bottom"/>
          </w:tcPr>
          <w:p w14:paraId="6C5CE785" w14:textId="77777777" w:rsidR="00A023BD" w:rsidRPr="003F15C0" w:rsidRDefault="00A023BD" w:rsidP="00A023BD">
            <w:pPr>
              <w:spacing w:before="20"/>
              <w:jc w:val="both"/>
              <w:rPr>
                <w:b/>
                <w:sz w:val="16"/>
                <w:szCs w:val="16"/>
              </w:rPr>
            </w:pPr>
            <w:r>
              <w:rPr>
                <w:b/>
                <w:sz w:val="16"/>
                <w:szCs w:val="16"/>
              </w:rPr>
              <w:t>Gambling-type games not for money</w:t>
            </w:r>
            <w:r w:rsidRPr="003F15C0">
              <w:rPr>
                <w:b/>
                <w:sz w:val="16"/>
                <w:szCs w:val="16"/>
              </w:rPr>
              <w:t xml:space="preserve"> - monthly</w:t>
            </w:r>
          </w:p>
        </w:tc>
        <w:tc>
          <w:tcPr>
            <w:tcW w:w="1134" w:type="dxa"/>
            <w:shd w:val="clear" w:color="auto" w:fill="auto"/>
            <w:vAlign w:val="bottom"/>
          </w:tcPr>
          <w:p w14:paraId="432ADB18" w14:textId="77777777" w:rsidR="00A023BD" w:rsidRPr="007B750E" w:rsidRDefault="00A023BD" w:rsidP="00A023BD">
            <w:pPr>
              <w:keepNext/>
              <w:jc w:val="right"/>
              <w:rPr>
                <w:color w:val="000000"/>
                <w:sz w:val="16"/>
                <w:szCs w:val="16"/>
                <w:lang w:eastAsia="en-NZ"/>
              </w:rPr>
            </w:pPr>
          </w:p>
        </w:tc>
        <w:tc>
          <w:tcPr>
            <w:tcW w:w="1134" w:type="dxa"/>
            <w:shd w:val="clear" w:color="auto" w:fill="auto"/>
            <w:vAlign w:val="bottom"/>
          </w:tcPr>
          <w:p w14:paraId="5E23F245" w14:textId="77777777" w:rsidR="00A023BD" w:rsidRPr="007B750E" w:rsidRDefault="00A023BD" w:rsidP="00A023BD">
            <w:pPr>
              <w:keepNext/>
              <w:jc w:val="right"/>
              <w:rPr>
                <w:color w:val="000000"/>
                <w:sz w:val="16"/>
                <w:szCs w:val="16"/>
                <w:lang w:eastAsia="en-NZ"/>
              </w:rPr>
            </w:pPr>
          </w:p>
        </w:tc>
        <w:tc>
          <w:tcPr>
            <w:tcW w:w="850" w:type="dxa"/>
            <w:shd w:val="clear" w:color="auto" w:fill="auto"/>
            <w:vAlign w:val="bottom"/>
          </w:tcPr>
          <w:p w14:paraId="24123701" w14:textId="77777777" w:rsidR="00A023BD" w:rsidRPr="007B750E" w:rsidRDefault="00A023BD" w:rsidP="00A023BD">
            <w:pPr>
              <w:keepNext/>
              <w:jc w:val="right"/>
              <w:rPr>
                <w:color w:val="000000"/>
                <w:sz w:val="16"/>
                <w:szCs w:val="16"/>
                <w:lang w:eastAsia="en-NZ"/>
              </w:rPr>
            </w:pPr>
          </w:p>
        </w:tc>
      </w:tr>
      <w:tr w:rsidR="00A023BD" w:rsidRPr="001A61F1" w14:paraId="0D61A2D4" w14:textId="77777777" w:rsidTr="00A023BD">
        <w:tc>
          <w:tcPr>
            <w:tcW w:w="5387" w:type="dxa"/>
          </w:tcPr>
          <w:p w14:paraId="2A261208"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bottom"/>
          </w:tcPr>
          <w:p w14:paraId="118E7E2C"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1.00</w:t>
            </w:r>
          </w:p>
        </w:tc>
        <w:tc>
          <w:tcPr>
            <w:tcW w:w="1134" w:type="dxa"/>
            <w:shd w:val="clear" w:color="auto" w:fill="auto"/>
            <w:vAlign w:val="bottom"/>
          </w:tcPr>
          <w:p w14:paraId="228B197B" w14:textId="77777777" w:rsidR="00A023BD" w:rsidRPr="001945A1" w:rsidRDefault="00A023BD" w:rsidP="00A023BD">
            <w:pPr>
              <w:keepNext/>
              <w:jc w:val="right"/>
              <w:rPr>
                <w:color w:val="000000"/>
                <w:sz w:val="16"/>
                <w:szCs w:val="16"/>
                <w:lang w:eastAsia="en-NZ"/>
              </w:rPr>
            </w:pPr>
          </w:p>
        </w:tc>
        <w:tc>
          <w:tcPr>
            <w:tcW w:w="850" w:type="dxa"/>
            <w:shd w:val="clear" w:color="auto" w:fill="auto"/>
            <w:vAlign w:val="bottom"/>
          </w:tcPr>
          <w:p w14:paraId="4D5D3FB3" w14:textId="77777777" w:rsidR="00A023BD" w:rsidRPr="001945A1" w:rsidRDefault="00A023BD" w:rsidP="00A023BD">
            <w:pPr>
              <w:keepNext/>
              <w:jc w:val="right"/>
              <w:rPr>
                <w:color w:val="000000"/>
                <w:sz w:val="16"/>
                <w:szCs w:val="16"/>
                <w:lang w:eastAsia="en-NZ"/>
              </w:rPr>
            </w:pPr>
          </w:p>
        </w:tc>
      </w:tr>
      <w:tr w:rsidR="00A023BD" w:rsidRPr="001A61F1" w14:paraId="76D620A3" w14:textId="77777777" w:rsidTr="00326B55">
        <w:tc>
          <w:tcPr>
            <w:tcW w:w="5387" w:type="dxa"/>
          </w:tcPr>
          <w:p w14:paraId="75B04899"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bottom"/>
          </w:tcPr>
          <w:p w14:paraId="06DE0E85"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1.72</w:t>
            </w:r>
          </w:p>
        </w:tc>
        <w:tc>
          <w:tcPr>
            <w:tcW w:w="1134" w:type="dxa"/>
            <w:shd w:val="clear" w:color="auto" w:fill="auto"/>
            <w:vAlign w:val="bottom"/>
          </w:tcPr>
          <w:p w14:paraId="0FDFBE64"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(1.30, 2.29)</w:t>
            </w:r>
          </w:p>
        </w:tc>
        <w:tc>
          <w:tcPr>
            <w:tcW w:w="850" w:type="dxa"/>
            <w:shd w:val="clear" w:color="auto" w:fill="auto"/>
            <w:vAlign w:val="bottom"/>
          </w:tcPr>
          <w:p w14:paraId="1597AD0A"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0.0002</w:t>
            </w:r>
          </w:p>
        </w:tc>
      </w:tr>
      <w:tr w:rsidR="00A023BD" w:rsidRPr="001A61F1" w14:paraId="66E5574A" w14:textId="77777777" w:rsidTr="00A023BD">
        <w:tc>
          <w:tcPr>
            <w:tcW w:w="5387" w:type="dxa"/>
          </w:tcPr>
          <w:p w14:paraId="0FAEFC69" w14:textId="77777777" w:rsidR="00A023BD" w:rsidRPr="003F15C0" w:rsidRDefault="00A023BD" w:rsidP="00A023BD">
            <w:pPr>
              <w:spacing w:before="20"/>
              <w:rPr>
                <w:b/>
                <w:bCs/>
                <w:color w:val="000000"/>
                <w:sz w:val="16"/>
                <w:szCs w:val="16"/>
              </w:rPr>
            </w:pPr>
            <w:r w:rsidRPr="003F15C0">
              <w:rPr>
                <w:b/>
                <w:bCs/>
                <w:color w:val="000000"/>
                <w:sz w:val="16"/>
                <w:szCs w:val="16"/>
              </w:rPr>
              <w:t>Time spent playing EGMs in an average day (casino)</w:t>
            </w:r>
          </w:p>
        </w:tc>
        <w:tc>
          <w:tcPr>
            <w:tcW w:w="1134" w:type="dxa"/>
            <w:shd w:val="clear" w:color="auto" w:fill="auto"/>
            <w:vAlign w:val="bottom"/>
          </w:tcPr>
          <w:p w14:paraId="471610E6" w14:textId="77777777" w:rsidR="00A023BD" w:rsidRPr="007B750E" w:rsidRDefault="00A023BD" w:rsidP="00A023BD">
            <w:pPr>
              <w:keepNext/>
              <w:jc w:val="right"/>
              <w:rPr>
                <w:color w:val="000000"/>
                <w:sz w:val="16"/>
                <w:szCs w:val="16"/>
                <w:lang w:eastAsia="en-NZ"/>
              </w:rPr>
            </w:pPr>
          </w:p>
        </w:tc>
        <w:tc>
          <w:tcPr>
            <w:tcW w:w="1134" w:type="dxa"/>
            <w:shd w:val="clear" w:color="auto" w:fill="auto"/>
            <w:vAlign w:val="bottom"/>
          </w:tcPr>
          <w:p w14:paraId="34932FB5" w14:textId="77777777" w:rsidR="00A023BD" w:rsidRPr="007B750E" w:rsidRDefault="00A023BD" w:rsidP="00A023BD">
            <w:pPr>
              <w:keepNext/>
              <w:jc w:val="right"/>
              <w:rPr>
                <w:color w:val="000000"/>
                <w:sz w:val="16"/>
                <w:szCs w:val="16"/>
                <w:lang w:eastAsia="en-NZ"/>
              </w:rPr>
            </w:pPr>
          </w:p>
        </w:tc>
        <w:tc>
          <w:tcPr>
            <w:tcW w:w="850" w:type="dxa"/>
            <w:shd w:val="clear" w:color="auto" w:fill="auto"/>
            <w:vAlign w:val="bottom"/>
          </w:tcPr>
          <w:p w14:paraId="0D99F8AA" w14:textId="77777777" w:rsidR="00A023BD" w:rsidRPr="007B750E" w:rsidRDefault="00A023BD" w:rsidP="00A023BD">
            <w:pPr>
              <w:keepNext/>
              <w:jc w:val="right"/>
              <w:rPr>
                <w:color w:val="000000"/>
                <w:sz w:val="16"/>
                <w:szCs w:val="16"/>
                <w:lang w:eastAsia="en-NZ"/>
              </w:rPr>
            </w:pPr>
          </w:p>
        </w:tc>
      </w:tr>
      <w:tr w:rsidR="00A023BD" w:rsidRPr="001A61F1" w14:paraId="71821A00" w14:textId="77777777" w:rsidTr="00A023BD">
        <w:tc>
          <w:tcPr>
            <w:tcW w:w="5387" w:type="dxa"/>
          </w:tcPr>
          <w:p w14:paraId="0752A14E" w14:textId="77777777" w:rsidR="00A023BD" w:rsidRPr="003F15C0" w:rsidRDefault="00A023BD" w:rsidP="00A023BD">
            <w:pPr>
              <w:spacing w:before="20"/>
              <w:ind w:left="176"/>
              <w:jc w:val="both"/>
              <w:rPr>
                <w:sz w:val="16"/>
                <w:szCs w:val="16"/>
              </w:rPr>
            </w:pPr>
            <w:r w:rsidRPr="003F15C0">
              <w:rPr>
                <w:sz w:val="16"/>
                <w:szCs w:val="16"/>
              </w:rPr>
              <w:t>No time</w:t>
            </w:r>
          </w:p>
        </w:tc>
        <w:tc>
          <w:tcPr>
            <w:tcW w:w="1134" w:type="dxa"/>
            <w:shd w:val="clear" w:color="auto" w:fill="auto"/>
            <w:vAlign w:val="bottom"/>
          </w:tcPr>
          <w:p w14:paraId="0802E4A3"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1.00</w:t>
            </w:r>
          </w:p>
        </w:tc>
        <w:tc>
          <w:tcPr>
            <w:tcW w:w="1134" w:type="dxa"/>
            <w:shd w:val="clear" w:color="auto" w:fill="auto"/>
            <w:vAlign w:val="bottom"/>
          </w:tcPr>
          <w:p w14:paraId="7209F6A3" w14:textId="77777777" w:rsidR="00A023BD" w:rsidRPr="001945A1" w:rsidRDefault="00A023BD" w:rsidP="00A023BD">
            <w:pPr>
              <w:keepNext/>
              <w:jc w:val="right"/>
              <w:rPr>
                <w:color w:val="000000"/>
                <w:sz w:val="16"/>
                <w:szCs w:val="16"/>
                <w:lang w:eastAsia="en-NZ"/>
              </w:rPr>
            </w:pPr>
          </w:p>
        </w:tc>
        <w:tc>
          <w:tcPr>
            <w:tcW w:w="850" w:type="dxa"/>
            <w:shd w:val="clear" w:color="auto" w:fill="auto"/>
            <w:vAlign w:val="bottom"/>
          </w:tcPr>
          <w:p w14:paraId="0347B89D" w14:textId="77777777" w:rsidR="00A023BD" w:rsidRPr="001945A1" w:rsidRDefault="00A023BD" w:rsidP="00A023BD">
            <w:pPr>
              <w:keepNext/>
              <w:jc w:val="right"/>
              <w:rPr>
                <w:color w:val="000000"/>
                <w:sz w:val="16"/>
                <w:szCs w:val="16"/>
                <w:lang w:eastAsia="en-NZ"/>
              </w:rPr>
            </w:pPr>
          </w:p>
        </w:tc>
      </w:tr>
      <w:tr w:rsidR="00A023BD" w:rsidRPr="001A61F1" w14:paraId="102BED62" w14:textId="77777777" w:rsidTr="00A023BD">
        <w:tc>
          <w:tcPr>
            <w:tcW w:w="5387" w:type="dxa"/>
          </w:tcPr>
          <w:p w14:paraId="272C7055" w14:textId="77777777" w:rsidR="00A023BD" w:rsidRPr="003F15C0" w:rsidRDefault="00A023BD" w:rsidP="00A023BD">
            <w:pPr>
              <w:spacing w:before="20"/>
              <w:ind w:left="176"/>
              <w:jc w:val="both"/>
              <w:rPr>
                <w:sz w:val="16"/>
                <w:szCs w:val="16"/>
              </w:rPr>
            </w:pPr>
            <w:r w:rsidRPr="003F15C0">
              <w:rPr>
                <w:sz w:val="16"/>
                <w:szCs w:val="16"/>
              </w:rPr>
              <w:t>Up to 15 minutes</w:t>
            </w:r>
          </w:p>
        </w:tc>
        <w:tc>
          <w:tcPr>
            <w:tcW w:w="1134" w:type="dxa"/>
            <w:shd w:val="clear" w:color="auto" w:fill="auto"/>
            <w:vAlign w:val="bottom"/>
          </w:tcPr>
          <w:p w14:paraId="6EDE40DF"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0.52</w:t>
            </w:r>
          </w:p>
        </w:tc>
        <w:tc>
          <w:tcPr>
            <w:tcW w:w="1134" w:type="dxa"/>
            <w:shd w:val="clear" w:color="auto" w:fill="auto"/>
            <w:vAlign w:val="bottom"/>
          </w:tcPr>
          <w:p w14:paraId="5F6B9C9A"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(0.23, 1.15)</w:t>
            </w:r>
          </w:p>
        </w:tc>
        <w:tc>
          <w:tcPr>
            <w:tcW w:w="850" w:type="dxa"/>
            <w:shd w:val="clear" w:color="auto" w:fill="auto"/>
            <w:vAlign w:val="bottom"/>
          </w:tcPr>
          <w:p w14:paraId="3E63A7DF" w14:textId="77777777" w:rsidR="00A023BD" w:rsidRPr="001945A1" w:rsidRDefault="00A023BD" w:rsidP="00A023BD">
            <w:pPr>
              <w:keepNext/>
              <w:jc w:val="right"/>
              <w:rPr>
                <w:color w:val="000000"/>
                <w:sz w:val="16"/>
                <w:szCs w:val="16"/>
                <w:lang w:eastAsia="en-NZ"/>
              </w:rPr>
            </w:pPr>
          </w:p>
        </w:tc>
      </w:tr>
      <w:tr w:rsidR="00A023BD" w:rsidRPr="001A61F1" w14:paraId="27554107" w14:textId="77777777" w:rsidTr="00A023BD">
        <w:tc>
          <w:tcPr>
            <w:tcW w:w="5387" w:type="dxa"/>
          </w:tcPr>
          <w:p w14:paraId="003E7424" w14:textId="77777777" w:rsidR="00A023BD" w:rsidRPr="003F15C0" w:rsidRDefault="00A023BD" w:rsidP="00A023BD">
            <w:pPr>
              <w:spacing w:before="20"/>
              <w:ind w:left="176"/>
              <w:jc w:val="both"/>
              <w:rPr>
                <w:sz w:val="16"/>
                <w:szCs w:val="16"/>
              </w:rPr>
            </w:pPr>
            <w:r w:rsidRPr="003F15C0">
              <w:rPr>
                <w:sz w:val="16"/>
                <w:szCs w:val="16"/>
              </w:rPr>
              <w:t>16 to 30 minutes</w:t>
            </w:r>
          </w:p>
        </w:tc>
        <w:tc>
          <w:tcPr>
            <w:tcW w:w="1134" w:type="dxa"/>
            <w:shd w:val="clear" w:color="auto" w:fill="auto"/>
            <w:vAlign w:val="bottom"/>
          </w:tcPr>
          <w:p w14:paraId="76FA2AA5"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1.02</w:t>
            </w:r>
          </w:p>
        </w:tc>
        <w:tc>
          <w:tcPr>
            <w:tcW w:w="1134" w:type="dxa"/>
            <w:shd w:val="clear" w:color="auto" w:fill="auto"/>
            <w:vAlign w:val="bottom"/>
          </w:tcPr>
          <w:p w14:paraId="7642E42A"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(0.53, 1.95)</w:t>
            </w:r>
          </w:p>
        </w:tc>
        <w:tc>
          <w:tcPr>
            <w:tcW w:w="850" w:type="dxa"/>
            <w:shd w:val="clear" w:color="auto" w:fill="auto"/>
            <w:vAlign w:val="bottom"/>
          </w:tcPr>
          <w:p w14:paraId="7F3820F5" w14:textId="77777777" w:rsidR="00A023BD" w:rsidRPr="001945A1" w:rsidRDefault="00A023BD" w:rsidP="00A023BD">
            <w:pPr>
              <w:keepNext/>
              <w:jc w:val="right"/>
              <w:rPr>
                <w:color w:val="000000"/>
                <w:sz w:val="16"/>
                <w:szCs w:val="16"/>
                <w:lang w:eastAsia="en-NZ"/>
              </w:rPr>
            </w:pPr>
          </w:p>
        </w:tc>
      </w:tr>
      <w:tr w:rsidR="00A023BD" w:rsidRPr="001A61F1" w14:paraId="7ED21821" w14:textId="77777777" w:rsidTr="00A023BD">
        <w:tc>
          <w:tcPr>
            <w:tcW w:w="5387" w:type="dxa"/>
          </w:tcPr>
          <w:p w14:paraId="0CAC8449" w14:textId="77777777" w:rsidR="00A023BD" w:rsidRPr="003F15C0" w:rsidRDefault="00A023BD" w:rsidP="00A023BD">
            <w:pPr>
              <w:spacing w:before="20"/>
              <w:ind w:left="176"/>
              <w:jc w:val="both"/>
              <w:rPr>
                <w:sz w:val="16"/>
                <w:szCs w:val="16"/>
              </w:rPr>
            </w:pPr>
            <w:r w:rsidRPr="003F15C0">
              <w:rPr>
                <w:sz w:val="16"/>
                <w:szCs w:val="16"/>
              </w:rPr>
              <w:t>31 to 60 minutes</w:t>
            </w:r>
          </w:p>
        </w:tc>
        <w:tc>
          <w:tcPr>
            <w:tcW w:w="1134" w:type="dxa"/>
            <w:shd w:val="clear" w:color="auto" w:fill="auto"/>
            <w:vAlign w:val="bottom"/>
          </w:tcPr>
          <w:p w14:paraId="515B96B9"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0.65</w:t>
            </w:r>
          </w:p>
        </w:tc>
        <w:tc>
          <w:tcPr>
            <w:tcW w:w="1134" w:type="dxa"/>
            <w:shd w:val="clear" w:color="auto" w:fill="auto"/>
            <w:vAlign w:val="bottom"/>
          </w:tcPr>
          <w:p w14:paraId="41B20582"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(0.34, 1.23)</w:t>
            </w:r>
          </w:p>
        </w:tc>
        <w:tc>
          <w:tcPr>
            <w:tcW w:w="850" w:type="dxa"/>
            <w:shd w:val="clear" w:color="auto" w:fill="auto"/>
            <w:vAlign w:val="bottom"/>
          </w:tcPr>
          <w:p w14:paraId="658A1EF2" w14:textId="77777777" w:rsidR="00A023BD" w:rsidRPr="001945A1" w:rsidRDefault="00A023BD" w:rsidP="00A023BD">
            <w:pPr>
              <w:keepNext/>
              <w:jc w:val="right"/>
              <w:rPr>
                <w:color w:val="000000"/>
                <w:sz w:val="16"/>
                <w:szCs w:val="16"/>
                <w:lang w:eastAsia="en-NZ"/>
              </w:rPr>
            </w:pPr>
          </w:p>
        </w:tc>
      </w:tr>
      <w:tr w:rsidR="00A023BD" w:rsidRPr="001A61F1" w14:paraId="01F8E1A4" w14:textId="77777777" w:rsidTr="00326B55">
        <w:tc>
          <w:tcPr>
            <w:tcW w:w="5387" w:type="dxa"/>
          </w:tcPr>
          <w:p w14:paraId="5CF4B19B" w14:textId="77777777" w:rsidR="00A023BD" w:rsidRPr="003F15C0" w:rsidRDefault="00A023BD" w:rsidP="00A023BD">
            <w:pPr>
              <w:spacing w:before="20"/>
              <w:ind w:left="176"/>
              <w:jc w:val="both"/>
              <w:rPr>
                <w:sz w:val="16"/>
                <w:szCs w:val="16"/>
              </w:rPr>
            </w:pPr>
            <w:r w:rsidRPr="003F15C0">
              <w:rPr>
                <w:sz w:val="16"/>
                <w:szCs w:val="16"/>
              </w:rPr>
              <w:t>&gt;60 minutes</w:t>
            </w:r>
          </w:p>
        </w:tc>
        <w:tc>
          <w:tcPr>
            <w:tcW w:w="1134" w:type="dxa"/>
            <w:shd w:val="clear" w:color="auto" w:fill="auto"/>
            <w:vAlign w:val="bottom"/>
          </w:tcPr>
          <w:p w14:paraId="324E7ED2"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2.43</w:t>
            </w:r>
          </w:p>
        </w:tc>
        <w:tc>
          <w:tcPr>
            <w:tcW w:w="1134" w:type="dxa"/>
            <w:shd w:val="clear" w:color="auto" w:fill="auto"/>
            <w:vAlign w:val="bottom"/>
          </w:tcPr>
          <w:p w14:paraId="08640D44"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(1.42, 4.18)</w:t>
            </w:r>
          </w:p>
        </w:tc>
        <w:tc>
          <w:tcPr>
            <w:tcW w:w="850" w:type="dxa"/>
            <w:shd w:val="clear" w:color="auto" w:fill="auto"/>
            <w:vAlign w:val="bottom"/>
          </w:tcPr>
          <w:p w14:paraId="015DAE6B"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0.0006</w:t>
            </w:r>
          </w:p>
        </w:tc>
      </w:tr>
      <w:tr w:rsidR="00A023BD" w:rsidRPr="001A61F1" w14:paraId="762BB4F9" w14:textId="77777777" w:rsidTr="00A023BD">
        <w:tc>
          <w:tcPr>
            <w:tcW w:w="5387" w:type="dxa"/>
            <w:vAlign w:val="center"/>
          </w:tcPr>
          <w:p w14:paraId="43F50ED8" w14:textId="77777777" w:rsidR="00A023BD" w:rsidRPr="003F15C0" w:rsidRDefault="00A023BD" w:rsidP="00A023BD">
            <w:pPr>
              <w:spacing w:before="20"/>
              <w:rPr>
                <w:b/>
                <w:bCs/>
                <w:color w:val="000000"/>
                <w:sz w:val="16"/>
                <w:szCs w:val="16"/>
              </w:rPr>
            </w:pPr>
            <w:r w:rsidRPr="003F15C0">
              <w:rPr>
                <w:b/>
                <w:bCs/>
                <w:color w:val="000000"/>
                <w:sz w:val="16"/>
                <w:szCs w:val="16"/>
              </w:rPr>
              <w:t>Time spent playing EGMs in an average day (club)</w:t>
            </w:r>
          </w:p>
        </w:tc>
        <w:tc>
          <w:tcPr>
            <w:tcW w:w="1134" w:type="dxa"/>
            <w:shd w:val="clear" w:color="auto" w:fill="auto"/>
            <w:vAlign w:val="bottom"/>
          </w:tcPr>
          <w:p w14:paraId="2B4757A3" w14:textId="77777777" w:rsidR="00A023BD" w:rsidRPr="007B750E" w:rsidRDefault="00A023BD" w:rsidP="00A023BD">
            <w:pPr>
              <w:keepNext/>
              <w:jc w:val="right"/>
              <w:rPr>
                <w:color w:val="000000"/>
                <w:sz w:val="16"/>
                <w:szCs w:val="16"/>
                <w:lang w:eastAsia="en-NZ"/>
              </w:rPr>
            </w:pPr>
          </w:p>
        </w:tc>
        <w:tc>
          <w:tcPr>
            <w:tcW w:w="1134" w:type="dxa"/>
            <w:shd w:val="clear" w:color="auto" w:fill="auto"/>
            <w:vAlign w:val="bottom"/>
          </w:tcPr>
          <w:p w14:paraId="6AF9C74D" w14:textId="77777777" w:rsidR="00A023BD" w:rsidRPr="007B750E" w:rsidRDefault="00A023BD" w:rsidP="00A023BD">
            <w:pPr>
              <w:keepNext/>
              <w:jc w:val="right"/>
              <w:rPr>
                <w:color w:val="000000"/>
                <w:sz w:val="16"/>
                <w:szCs w:val="16"/>
                <w:lang w:eastAsia="en-NZ"/>
              </w:rPr>
            </w:pPr>
          </w:p>
        </w:tc>
        <w:tc>
          <w:tcPr>
            <w:tcW w:w="850" w:type="dxa"/>
            <w:shd w:val="clear" w:color="auto" w:fill="auto"/>
            <w:vAlign w:val="bottom"/>
          </w:tcPr>
          <w:p w14:paraId="0B5FD2EE" w14:textId="77777777" w:rsidR="00A023BD" w:rsidRPr="007B750E" w:rsidRDefault="00A023BD" w:rsidP="00A023BD">
            <w:pPr>
              <w:keepNext/>
              <w:jc w:val="right"/>
              <w:rPr>
                <w:color w:val="000000"/>
                <w:sz w:val="16"/>
                <w:szCs w:val="16"/>
                <w:lang w:eastAsia="en-NZ"/>
              </w:rPr>
            </w:pPr>
          </w:p>
        </w:tc>
      </w:tr>
      <w:tr w:rsidR="00A023BD" w:rsidRPr="001A61F1" w14:paraId="1DBC27EA" w14:textId="77777777" w:rsidTr="00A023BD">
        <w:tc>
          <w:tcPr>
            <w:tcW w:w="5387" w:type="dxa"/>
          </w:tcPr>
          <w:p w14:paraId="05CA9D5C" w14:textId="77777777" w:rsidR="00A023BD" w:rsidRPr="003F15C0" w:rsidRDefault="00A023BD" w:rsidP="00A023BD">
            <w:pPr>
              <w:spacing w:before="20"/>
              <w:ind w:left="176"/>
              <w:jc w:val="both"/>
              <w:rPr>
                <w:sz w:val="16"/>
                <w:szCs w:val="16"/>
              </w:rPr>
            </w:pPr>
            <w:r w:rsidRPr="003F15C0">
              <w:rPr>
                <w:sz w:val="16"/>
                <w:szCs w:val="16"/>
              </w:rPr>
              <w:t>No time</w:t>
            </w:r>
          </w:p>
        </w:tc>
        <w:tc>
          <w:tcPr>
            <w:tcW w:w="1134" w:type="dxa"/>
            <w:shd w:val="clear" w:color="auto" w:fill="auto"/>
            <w:vAlign w:val="bottom"/>
          </w:tcPr>
          <w:p w14:paraId="49039149"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1.00</w:t>
            </w:r>
          </w:p>
        </w:tc>
        <w:tc>
          <w:tcPr>
            <w:tcW w:w="1134" w:type="dxa"/>
            <w:shd w:val="clear" w:color="auto" w:fill="auto"/>
            <w:vAlign w:val="bottom"/>
          </w:tcPr>
          <w:p w14:paraId="28E98692" w14:textId="77777777" w:rsidR="00A023BD" w:rsidRPr="001945A1" w:rsidRDefault="00A023BD" w:rsidP="00A023BD">
            <w:pPr>
              <w:keepNext/>
              <w:jc w:val="right"/>
              <w:rPr>
                <w:color w:val="000000"/>
                <w:sz w:val="16"/>
                <w:szCs w:val="16"/>
                <w:lang w:eastAsia="en-NZ"/>
              </w:rPr>
            </w:pPr>
          </w:p>
        </w:tc>
        <w:tc>
          <w:tcPr>
            <w:tcW w:w="850" w:type="dxa"/>
            <w:shd w:val="clear" w:color="auto" w:fill="auto"/>
            <w:vAlign w:val="bottom"/>
          </w:tcPr>
          <w:p w14:paraId="21DC5BD8" w14:textId="77777777" w:rsidR="00A023BD" w:rsidRPr="001945A1" w:rsidRDefault="00A023BD" w:rsidP="00A023BD">
            <w:pPr>
              <w:keepNext/>
              <w:jc w:val="right"/>
              <w:rPr>
                <w:color w:val="000000"/>
                <w:sz w:val="16"/>
                <w:szCs w:val="16"/>
                <w:lang w:eastAsia="en-NZ"/>
              </w:rPr>
            </w:pPr>
          </w:p>
        </w:tc>
      </w:tr>
      <w:tr w:rsidR="00A023BD" w:rsidRPr="001A61F1" w14:paraId="305D5B37" w14:textId="77777777" w:rsidTr="00A023BD">
        <w:tc>
          <w:tcPr>
            <w:tcW w:w="5387" w:type="dxa"/>
          </w:tcPr>
          <w:p w14:paraId="5654098F" w14:textId="77777777" w:rsidR="00A023BD" w:rsidRPr="003F15C0" w:rsidRDefault="00A023BD" w:rsidP="00A023BD">
            <w:pPr>
              <w:spacing w:before="20"/>
              <w:ind w:left="176"/>
              <w:jc w:val="both"/>
              <w:rPr>
                <w:sz w:val="16"/>
                <w:szCs w:val="16"/>
              </w:rPr>
            </w:pPr>
            <w:r w:rsidRPr="003F15C0">
              <w:rPr>
                <w:sz w:val="16"/>
                <w:szCs w:val="16"/>
              </w:rPr>
              <w:t>Up to 15 minutes</w:t>
            </w:r>
          </w:p>
        </w:tc>
        <w:tc>
          <w:tcPr>
            <w:tcW w:w="1134" w:type="dxa"/>
            <w:shd w:val="clear" w:color="auto" w:fill="auto"/>
            <w:vAlign w:val="bottom"/>
          </w:tcPr>
          <w:p w14:paraId="70FF8CB6"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0.59</w:t>
            </w:r>
          </w:p>
        </w:tc>
        <w:tc>
          <w:tcPr>
            <w:tcW w:w="1134" w:type="dxa"/>
            <w:shd w:val="clear" w:color="auto" w:fill="auto"/>
            <w:vAlign w:val="bottom"/>
          </w:tcPr>
          <w:p w14:paraId="16C61330"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(0.26, 1.31)</w:t>
            </w:r>
          </w:p>
        </w:tc>
        <w:tc>
          <w:tcPr>
            <w:tcW w:w="850" w:type="dxa"/>
            <w:shd w:val="clear" w:color="auto" w:fill="auto"/>
            <w:vAlign w:val="bottom"/>
          </w:tcPr>
          <w:p w14:paraId="47DACFA9" w14:textId="77777777" w:rsidR="00A023BD" w:rsidRPr="001945A1" w:rsidRDefault="00A023BD" w:rsidP="00A023BD">
            <w:pPr>
              <w:keepNext/>
              <w:jc w:val="right"/>
              <w:rPr>
                <w:color w:val="000000"/>
                <w:sz w:val="16"/>
                <w:szCs w:val="16"/>
                <w:lang w:eastAsia="en-NZ"/>
              </w:rPr>
            </w:pPr>
          </w:p>
        </w:tc>
      </w:tr>
      <w:tr w:rsidR="00A023BD" w:rsidRPr="001A61F1" w14:paraId="687E99D1" w14:textId="77777777" w:rsidTr="00A023BD">
        <w:tc>
          <w:tcPr>
            <w:tcW w:w="5387" w:type="dxa"/>
          </w:tcPr>
          <w:p w14:paraId="08811823" w14:textId="77777777" w:rsidR="00A023BD" w:rsidRPr="003F15C0" w:rsidRDefault="00A023BD" w:rsidP="00A023BD">
            <w:pPr>
              <w:spacing w:before="20"/>
              <w:ind w:left="176"/>
              <w:jc w:val="both"/>
              <w:rPr>
                <w:sz w:val="16"/>
                <w:szCs w:val="16"/>
              </w:rPr>
            </w:pPr>
            <w:r w:rsidRPr="003F15C0">
              <w:rPr>
                <w:sz w:val="16"/>
                <w:szCs w:val="16"/>
              </w:rPr>
              <w:t>16 to 30 minutes</w:t>
            </w:r>
          </w:p>
        </w:tc>
        <w:tc>
          <w:tcPr>
            <w:tcW w:w="1134" w:type="dxa"/>
            <w:shd w:val="clear" w:color="auto" w:fill="auto"/>
            <w:vAlign w:val="bottom"/>
          </w:tcPr>
          <w:p w14:paraId="5B87B14F"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0.50</w:t>
            </w:r>
          </w:p>
        </w:tc>
        <w:tc>
          <w:tcPr>
            <w:tcW w:w="1134" w:type="dxa"/>
            <w:shd w:val="clear" w:color="auto" w:fill="auto"/>
            <w:vAlign w:val="bottom"/>
          </w:tcPr>
          <w:p w14:paraId="7FA9FF2F"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(0.25, 1.00)</w:t>
            </w:r>
          </w:p>
        </w:tc>
        <w:tc>
          <w:tcPr>
            <w:tcW w:w="850" w:type="dxa"/>
            <w:shd w:val="clear" w:color="auto" w:fill="auto"/>
            <w:vAlign w:val="bottom"/>
          </w:tcPr>
          <w:p w14:paraId="37AFA5F6" w14:textId="77777777" w:rsidR="00A023BD" w:rsidRPr="001945A1" w:rsidRDefault="00A023BD" w:rsidP="00A023BD">
            <w:pPr>
              <w:keepNext/>
              <w:jc w:val="right"/>
              <w:rPr>
                <w:color w:val="000000"/>
                <w:sz w:val="16"/>
                <w:szCs w:val="16"/>
                <w:lang w:eastAsia="en-NZ"/>
              </w:rPr>
            </w:pPr>
          </w:p>
        </w:tc>
      </w:tr>
      <w:tr w:rsidR="00A023BD" w:rsidRPr="001A61F1" w14:paraId="1A786C1D" w14:textId="77777777" w:rsidTr="00A023BD">
        <w:tc>
          <w:tcPr>
            <w:tcW w:w="5387" w:type="dxa"/>
          </w:tcPr>
          <w:p w14:paraId="5BDFE3C1" w14:textId="77777777" w:rsidR="00A023BD" w:rsidRPr="003F15C0" w:rsidRDefault="00A023BD" w:rsidP="00A023BD">
            <w:pPr>
              <w:spacing w:before="20"/>
              <w:ind w:left="176"/>
              <w:jc w:val="both"/>
              <w:rPr>
                <w:sz w:val="16"/>
                <w:szCs w:val="16"/>
              </w:rPr>
            </w:pPr>
            <w:r w:rsidRPr="003F15C0">
              <w:rPr>
                <w:sz w:val="16"/>
                <w:szCs w:val="16"/>
              </w:rPr>
              <w:t>31 to 60 minutes</w:t>
            </w:r>
          </w:p>
        </w:tc>
        <w:tc>
          <w:tcPr>
            <w:tcW w:w="1134" w:type="dxa"/>
            <w:shd w:val="clear" w:color="auto" w:fill="auto"/>
            <w:vAlign w:val="bottom"/>
          </w:tcPr>
          <w:p w14:paraId="3731547B"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0.54</w:t>
            </w:r>
          </w:p>
        </w:tc>
        <w:tc>
          <w:tcPr>
            <w:tcW w:w="1134" w:type="dxa"/>
            <w:shd w:val="clear" w:color="auto" w:fill="auto"/>
            <w:vAlign w:val="bottom"/>
          </w:tcPr>
          <w:p w14:paraId="7A82C5B3"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(0.26, 1.12)</w:t>
            </w:r>
          </w:p>
        </w:tc>
        <w:tc>
          <w:tcPr>
            <w:tcW w:w="850" w:type="dxa"/>
            <w:shd w:val="clear" w:color="auto" w:fill="auto"/>
            <w:vAlign w:val="bottom"/>
          </w:tcPr>
          <w:p w14:paraId="05E76E20" w14:textId="77777777" w:rsidR="00A023BD" w:rsidRPr="001945A1" w:rsidRDefault="00A023BD" w:rsidP="00A023BD">
            <w:pPr>
              <w:keepNext/>
              <w:jc w:val="right"/>
              <w:rPr>
                <w:color w:val="000000"/>
                <w:sz w:val="16"/>
                <w:szCs w:val="16"/>
                <w:lang w:eastAsia="en-NZ"/>
              </w:rPr>
            </w:pPr>
          </w:p>
        </w:tc>
      </w:tr>
      <w:tr w:rsidR="00A023BD" w:rsidRPr="001A61F1" w14:paraId="169C194E" w14:textId="77777777" w:rsidTr="00326B55">
        <w:tc>
          <w:tcPr>
            <w:tcW w:w="5387" w:type="dxa"/>
          </w:tcPr>
          <w:p w14:paraId="18D847A4" w14:textId="77777777" w:rsidR="00A023BD" w:rsidRPr="003F15C0" w:rsidRDefault="00A023BD" w:rsidP="00A023BD">
            <w:pPr>
              <w:spacing w:before="20"/>
              <w:ind w:left="176"/>
              <w:jc w:val="both"/>
              <w:rPr>
                <w:sz w:val="16"/>
                <w:szCs w:val="16"/>
              </w:rPr>
            </w:pPr>
            <w:r w:rsidRPr="003F15C0">
              <w:rPr>
                <w:sz w:val="16"/>
                <w:szCs w:val="16"/>
              </w:rPr>
              <w:t>&gt;60 minutes</w:t>
            </w:r>
          </w:p>
        </w:tc>
        <w:tc>
          <w:tcPr>
            <w:tcW w:w="1134" w:type="dxa"/>
            <w:shd w:val="clear" w:color="auto" w:fill="auto"/>
            <w:vAlign w:val="bottom"/>
          </w:tcPr>
          <w:p w14:paraId="3C410D69"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4.38</w:t>
            </w:r>
          </w:p>
        </w:tc>
        <w:tc>
          <w:tcPr>
            <w:tcW w:w="1134" w:type="dxa"/>
            <w:shd w:val="clear" w:color="auto" w:fill="auto"/>
            <w:vAlign w:val="bottom"/>
          </w:tcPr>
          <w:p w14:paraId="26AC3CC7"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(1.74, 11.05)</w:t>
            </w:r>
          </w:p>
        </w:tc>
        <w:tc>
          <w:tcPr>
            <w:tcW w:w="850" w:type="dxa"/>
            <w:shd w:val="clear" w:color="auto" w:fill="auto"/>
            <w:vAlign w:val="bottom"/>
          </w:tcPr>
          <w:p w14:paraId="38A46AA5"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0.0001</w:t>
            </w:r>
          </w:p>
        </w:tc>
      </w:tr>
      <w:tr w:rsidR="00A023BD" w:rsidRPr="001A61F1" w14:paraId="4C9147C3" w14:textId="77777777" w:rsidTr="00A023BD">
        <w:tc>
          <w:tcPr>
            <w:tcW w:w="5387" w:type="dxa"/>
            <w:vAlign w:val="center"/>
          </w:tcPr>
          <w:p w14:paraId="7D83853F" w14:textId="77777777" w:rsidR="00A023BD" w:rsidRPr="003F15C0" w:rsidRDefault="00A023BD" w:rsidP="00A023BD">
            <w:pPr>
              <w:spacing w:before="20"/>
              <w:rPr>
                <w:b/>
                <w:bCs/>
                <w:color w:val="000000"/>
                <w:sz w:val="16"/>
                <w:szCs w:val="16"/>
              </w:rPr>
            </w:pPr>
            <w:r w:rsidRPr="003F15C0">
              <w:rPr>
                <w:b/>
                <w:bCs/>
                <w:color w:val="000000"/>
                <w:sz w:val="16"/>
                <w:szCs w:val="16"/>
              </w:rPr>
              <w:t xml:space="preserve">Methods - Setting a dollar </w:t>
            </w:r>
            <w:r>
              <w:rPr>
                <w:b/>
                <w:bCs/>
                <w:color w:val="000000"/>
                <w:sz w:val="16"/>
                <w:szCs w:val="16"/>
              </w:rPr>
              <w:t>limit</w:t>
            </w:r>
            <w:r w:rsidRPr="003F15C0">
              <w:rPr>
                <w:b/>
                <w:bCs/>
                <w:color w:val="000000"/>
                <w:sz w:val="16"/>
                <w:szCs w:val="16"/>
              </w:rPr>
              <w:t xml:space="preserve"> before leaving home</w:t>
            </w:r>
          </w:p>
        </w:tc>
        <w:tc>
          <w:tcPr>
            <w:tcW w:w="1134" w:type="dxa"/>
            <w:shd w:val="clear" w:color="auto" w:fill="auto"/>
            <w:vAlign w:val="bottom"/>
          </w:tcPr>
          <w:p w14:paraId="399BBFC4" w14:textId="77777777" w:rsidR="00A023BD" w:rsidRPr="007B750E" w:rsidRDefault="00A023BD" w:rsidP="00A023BD">
            <w:pPr>
              <w:keepNext/>
              <w:jc w:val="right"/>
              <w:rPr>
                <w:color w:val="000000"/>
                <w:sz w:val="16"/>
                <w:szCs w:val="16"/>
                <w:lang w:eastAsia="en-NZ"/>
              </w:rPr>
            </w:pPr>
          </w:p>
        </w:tc>
        <w:tc>
          <w:tcPr>
            <w:tcW w:w="1134" w:type="dxa"/>
            <w:shd w:val="clear" w:color="auto" w:fill="auto"/>
            <w:vAlign w:val="bottom"/>
          </w:tcPr>
          <w:p w14:paraId="2718A20A" w14:textId="77777777" w:rsidR="00A023BD" w:rsidRPr="007B750E" w:rsidRDefault="00A023BD" w:rsidP="00A023BD">
            <w:pPr>
              <w:keepNext/>
              <w:jc w:val="right"/>
              <w:rPr>
                <w:color w:val="000000"/>
                <w:sz w:val="16"/>
                <w:szCs w:val="16"/>
                <w:lang w:eastAsia="en-NZ"/>
              </w:rPr>
            </w:pPr>
          </w:p>
        </w:tc>
        <w:tc>
          <w:tcPr>
            <w:tcW w:w="850" w:type="dxa"/>
            <w:shd w:val="clear" w:color="auto" w:fill="auto"/>
            <w:vAlign w:val="bottom"/>
          </w:tcPr>
          <w:p w14:paraId="770D1952" w14:textId="77777777" w:rsidR="00A023BD" w:rsidRPr="007B750E" w:rsidRDefault="00A023BD" w:rsidP="00A023BD">
            <w:pPr>
              <w:keepNext/>
              <w:jc w:val="right"/>
              <w:rPr>
                <w:color w:val="000000"/>
                <w:sz w:val="16"/>
                <w:szCs w:val="16"/>
                <w:lang w:eastAsia="en-NZ"/>
              </w:rPr>
            </w:pPr>
          </w:p>
        </w:tc>
      </w:tr>
      <w:tr w:rsidR="00A023BD" w:rsidRPr="001A61F1" w14:paraId="6B234086" w14:textId="77777777" w:rsidTr="00A023BD">
        <w:tc>
          <w:tcPr>
            <w:tcW w:w="5387" w:type="dxa"/>
          </w:tcPr>
          <w:p w14:paraId="7C7AF01C"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bottom"/>
          </w:tcPr>
          <w:p w14:paraId="135A4E12"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1.00</w:t>
            </w:r>
          </w:p>
        </w:tc>
        <w:tc>
          <w:tcPr>
            <w:tcW w:w="1134" w:type="dxa"/>
            <w:shd w:val="clear" w:color="auto" w:fill="auto"/>
            <w:vAlign w:val="bottom"/>
          </w:tcPr>
          <w:p w14:paraId="0A71D199" w14:textId="77777777" w:rsidR="00A023BD" w:rsidRPr="001945A1" w:rsidRDefault="00A023BD" w:rsidP="00A023BD">
            <w:pPr>
              <w:keepNext/>
              <w:jc w:val="right"/>
              <w:rPr>
                <w:color w:val="000000"/>
                <w:sz w:val="16"/>
                <w:szCs w:val="16"/>
                <w:lang w:eastAsia="en-NZ"/>
              </w:rPr>
            </w:pPr>
          </w:p>
        </w:tc>
        <w:tc>
          <w:tcPr>
            <w:tcW w:w="850" w:type="dxa"/>
            <w:shd w:val="clear" w:color="auto" w:fill="auto"/>
            <w:vAlign w:val="bottom"/>
          </w:tcPr>
          <w:p w14:paraId="4B8291E1" w14:textId="77777777" w:rsidR="00A023BD" w:rsidRPr="001945A1" w:rsidRDefault="00A023BD" w:rsidP="00A023BD">
            <w:pPr>
              <w:keepNext/>
              <w:jc w:val="right"/>
              <w:rPr>
                <w:color w:val="000000"/>
                <w:sz w:val="16"/>
                <w:szCs w:val="16"/>
                <w:lang w:eastAsia="en-NZ"/>
              </w:rPr>
            </w:pPr>
          </w:p>
        </w:tc>
      </w:tr>
      <w:tr w:rsidR="00A023BD" w:rsidRPr="001A61F1" w14:paraId="65EC5F96" w14:textId="77777777" w:rsidTr="00326B55">
        <w:tc>
          <w:tcPr>
            <w:tcW w:w="5387" w:type="dxa"/>
          </w:tcPr>
          <w:p w14:paraId="426F4213"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bottom"/>
          </w:tcPr>
          <w:p w14:paraId="4146B43C"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1.54</w:t>
            </w:r>
          </w:p>
        </w:tc>
        <w:tc>
          <w:tcPr>
            <w:tcW w:w="1134" w:type="dxa"/>
            <w:shd w:val="clear" w:color="auto" w:fill="auto"/>
            <w:vAlign w:val="bottom"/>
          </w:tcPr>
          <w:p w14:paraId="507D39C3"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(1.19, 1.99)</w:t>
            </w:r>
          </w:p>
        </w:tc>
        <w:tc>
          <w:tcPr>
            <w:tcW w:w="850" w:type="dxa"/>
            <w:shd w:val="clear" w:color="auto" w:fill="auto"/>
            <w:vAlign w:val="bottom"/>
          </w:tcPr>
          <w:p w14:paraId="6F1DD11E"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0.001</w:t>
            </w:r>
          </w:p>
        </w:tc>
      </w:tr>
      <w:tr w:rsidR="00A023BD" w:rsidRPr="001A61F1" w14:paraId="31957BB3" w14:textId="77777777" w:rsidTr="00A023BD">
        <w:tc>
          <w:tcPr>
            <w:tcW w:w="5387" w:type="dxa"/>
          </w:tcPr>
          <w:p w14:paraId="381BE8B7" w14:textId="77777777" w:rsidR="00A023BD" w:rsidRPr="003F15C0" w:rsidRDefault="00A023BD" w:rsidP="00A023BD">
            <w:pPr>
              <w:spacing w:before="20"/>
              <w:rPr>
                <w:b/>
                <w:bCs/>
                <w:color w:val="000000"/>
                <w:sz w:val="16"/>
                <w:szCs w:val="16"/>
              </w:rPr>
            </w:pPr>
            <w:r w:rsidRPr="003F15C0">
              <w:rPr>
                <w:b/>
                <w:bCs/>
                <w:color w:val="000000"/>
                <w:sz w:val="16"/>
                <w:szCs w:val="16"/>
              </w:rPr>
              <w:t>Methods - Getting someone you trust to manage the money</w:t>
            </w:r>
          </w:p>
        </w:tc>
        <w:tc>
          <w:tcPr>
            <w:tcW w:w="1134" w:type="dxa"/>
            <w:shd w:val="clear" w:color="auto" w:fill="auto"/>
            <w:vAlign w:val="bottom"/>
          </w:tcPr>
          <w:p w14:paraId="21BB8B8D" w14:textId="77777777" w:rsidR="00A023BD" w:rsidRPr="007B750E" w:rsidRDefault="00A023BD" w:rsidP="00A023BD">
            <w:pPr>
              <w:keepNext/>
              <w:jc w:val="right"/>
              <w:rPr>
                <w:color w:val="000000"/>
                <w:sz w:val="16"/>
                <w:szCs w:val="16"/>
                <w:lang w:eastAsia="en-NZ"/>
              </w:rPr>
            </w:pPr>
          </w:p>
        </w:tc>
        <w:tc>
          <w:tcPr>
            <w:tcW w:w="1134" w:type="dxa"/>
            <w:shd w:val="clear" w:color="auto" w:fill="auto"/>
            <w:vAlign w:val="bottom"/>
          </w:tcPr>
          <w:p w14:paraId="32E5563F" w14:textId="77777777" w:rsidR="00A023BD" w:rsidRPr="007B750E" w:rsidRDefault="00A023BD" w:rsidP="00A023BD">
            <w:pPr>
              <w:keepNext/>
              <w:jc w:val="right"/>
              <w:rPr>
                <w:color w:val="000000"/>
                <w:sz w:val="16"/>
                <w:szCs w:val="16"/>
                <w:lang w:eastAsia="en-NZ"/>
              </w:rPr>
            </w:pPr>
          </w:p>
        </w:tc>
        <w:tc>
          <w:tcPr>
            <w:tcW w:w="850" w:type="dxa"/>
            <w:shd w:val="clear" w:color="auto" w:fill="auto"/>
            <w:vAlign w:val="bottom"/>
          </w:tcPr>
          <w:p w14:paraId="232A874E" w14:textId="77777777" w:rsidR="00A023BD" w:rsidRPr="007B750E" w:rsidRDefault="00A023BD" w:rsidP="00A023BD">
            <w:pPr>
              <w:keepNext/>
              <w:jc w:val="right"/>
              <w:rPr>
                <w:color w:val="000000"/>
                <w:sz w:val="16"/>
                <w:szCs w:val="16"/>
                <w:lang w:eastAsia="en-NZ"/>
              </w:rPr>
            </w:pPr>
          </w:p>
        </w:tc>
      </w:tr>
      <w:tr w:rsidR="00A023BD" w:rsidRPr="001A61F1" w14:paraId="48293F7A" w14:textId="77777777" w:rsidTr="00A023BD">
        <w:tc>
          <w:tcPr>
            <w:tcW w:w="5387" w:type="dxa"/>
          </w:tcPr>
          <w:p w14:paraId="4EB75CFD"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bottom"/>
          </w:tcPr>
          <w:p w14:paraId="6B774361"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1.00</w:t>
            </w:r>
          </w:p>
        </w:tc>
        <w:tc>
          <w:tcPr>
            <w:tcW w:w="1134" w:type="dxa"/>
            <w:shd w:val="clear" w:color="auto" w:fill="auto"/>
            <w:vAlign w:val="bottom"/>
          </w:tcPr>
          <w:p w14:paraId="5960C88A" w14:textId="77777777" w:rsidR="00A023BD" w:rsidRPr="001945A1" w:rsidRDefault="00A023BD" w:rsidP="00A023BD">
            <w:pPr>
              <w:keepNext/>
              <w:jc w:val="right"/>
              <w:rPr>
                <w:color w:val="000000"/>
                <w:sz w:val="16"/>
                <w:szCs w:val="16"/>
                <w:lang w:eastAsia="en-NZ"/>
              </w:rPr>
            </w:pPr>
          </w:p>
        </w:tc>
        <w:tc>
          <w:tcPr>
            <w:tcW w:w="850" w:type="dxa"/>
            <w:shd w:val="clear" w:color="auto" w:fill="auto"/>
            <w:vAlign w:val="bottom"/>
          </w:tcPr>
          <w:p w14:paraId="70FA29FA" w14:textId="77777777" w:rsidR="00A023BD" w:rsidRPr="001945A1" w:rsidRDefault="00A023BD" w:rsidP="00A023BD">
            <w:pPr>
              <w:keepNext/>
              <w:jc w:val="right"/>
              <w:rPr>
                <w:color w:val="000000"/>
                <w:sz w:val="16"/>
                <w:szCs w:val="16"/>
                <w:lang w:eastAsia="en-NZ"/>
              </w:rPr>
            </w:pPr>
          </w:p>
        </w:tc>
      </w:tr>
      <w:tr w:rsidR="00A023BD" w:rsidRPr="001A61F1" w14:paraId="46EB7DBA" w14:textId="77777777" w:rsidTr="00326B55">
        <w:tc>
          <w:tcPr>
            <w:tcW w:w="5387" w:type="dxa"/>
          </w:tcPr>
          <w:p w14:paraId="7174F546"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bottom"/>
          </w:tcPr>
          <w:p w14:paraId="2EF262FC"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5.13</w:t>
            </w:r>
          </w:p>
        </w:tc>
        <w:tc>
          <w:tcPr>
            <w:tcW w:w="1134" w:type="dxa"/>
            <w:shd w:val="clear" w:color="auto" w:fill="auto"/>
            <w:vAlign w:val="bottom"/>
          </w:tcPr>
          <w:p w14:paraId="23CC2E66"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(1.77, 14.88)</w:t>
            </w:r>
          </w:p>
        </w:tc>
        <w:tc>
          <w:tcPr>
            <w:tcW w:w="850" w:type="dxa"/>
            <w:shd w:val="clear" w:color="auto" w:fill="auto"/>
            <w:vAlign w:val="bottom"/>
          </w:tcPr>
          <w:p w14:paraId="6B1CB227"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0.003</w:t>
            </w:r>
          </w:p>
        </w:tc>
      </w:tr>
      <w:tr w:rsidR="00A023BD" w:rsidRPr="001A61F1" w14:paraId="32900E20" w14:textId="77777777" w:rsidTr="00A023BD">
        <w:tc>
          <w:tcPr>
            <w:tcW w:w="5387" w:type="dxa"/>
          </w:tcPr>
          <w:p w14:paraId="53431047" w14:textId="77777777" w:rsidR="00A023BD" w:rsidRPr="003F15C0" w:rsidRDefault="00A023BD" w:rsidP="00A023BD">
            <w:pPr>
              <w:spacing w:before="20"/>
              <w:rPr>
                <w:color w:val="000000"/>
                <w:sz w:val="16"/>
                <w:szCs w:val="16"/>
              </w:rPr>
            </w:pPr>
            <w:r w:rsidRPr="003F15C0">
              <w:rPr>
                <w:b/>
                <w:bCs/>
                <w:color w:val="000000"/>
                <w:sz w:val="16"/>
                <w:szCs w:val="16"/>
              </w:rPr>
              <w:t>Methods - Separating money for betting from other money and stopping</w:t>
            </w:r>
          </w:p>
        </w:tc>
        <w:tc>
          <w:tcPr>
            <w:tcW w:w="1134" w:type="dxa"/>
            <w:shd w:val="clear" w:color="auto" w:fill="auto"/>
            <w:vAlign w:val="bottom"/>
          </w:tcPr>
          <w:p w14:paraId="4ED4471D" w14:textId="77777777" w:rsidR="00A023BD" w:rsidRPr="007B750E" w:rsidRDefault="00A023BD" w:rsidP="00A023BD">
            <w:pPr>
              <w:keepNext/>
              <w:jc w:val="right"/>
              <w:rPr>
                <w:color w:val="000000"/>
                <w:sz w:val="16"/>
                <w:szCs w:val="16"/>
                <w:lang w:eastAsia="en-NZ"/>
              </w:rPr>
            </w:pPr>
          </w:p>
        </w:tc>
        <w:tc>
          <w:tcPr>
            <w:tcW w:w="1134" w:type="dxa"/>
            <w:shd w:val="clear" w:color="auto" w:fill="auto"/>
            <w:vAlign w:val="bottom"/>
          </w:tcPr>
          <w:p w14:paraId="40B8FCC6" w14:textId="77777777" w:rsidR="00A023BD" w:rsidRPr="007B750E" w:rsidRDefault="00A023BD" w:rsidP="00A023BD">
            <w:pPr>
              <w:keepNext/>
              <w:jc w:val="right"/>
              <w:rPr>
                <w:color w:val="000000"/>
                <w:sz w:val="16"/>
                <w:szCs w:val="16"/>
                <w:lang w:eastAsia="en-NZ"/>
              </w:rPr>
            </w:pPr>
          </w:p>
        </w:tc>
        <w:tc>
          <w:tcPr>
            <w:tcW w:w="850" w:type="dxa"/>
            <w:shd w:val="clear" w:color="auto" w:fill="auto"/>
            <w:vAlign w:val="bottom"/>
          </w:tcPr>
          <w:p w14:paraId="13C61E96" w14:textId="77777777" w:rsidR="00A023BD" w:rsidRPr="007B750E" w:rsidRDefault="00A023BD" w:rsidP="00A023BD">
            <w:pPr>
              <w:keepNext/>
              <w:jc w:val="right"/>
              <w:rPr>
                <w:color w:val="000000"/>
                <w:sz w:val="16"/>
                <w:szCs w:val="16"/>
                <w:lang w:eastAsia="en-NZ"/>
              </w:rPr>
            </w:pPr>
          </w:p>
        </w:tc>
      </w:tr>
      <w:tr w:rsidR="00A023BD" w:rsidRPr="001A61F1" w14:paraId="76D02EF8" w14:textId="77777777" w:rsidTr="00A023BD">
        <w:tc>
          <w:tcPr>
            <w:tcW w:w="5387" w:type="dxa"/>
          </w:tcPr>
          <w:p w14:paraId="5B7AACDA"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bottom"/>
          </w:tcPr>
          <w:p w14:paraId="0C460F20"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1.00</w:t>
            </w:r>
          </w:p>
        </w:tc>
        <w:tc>
          <w:tcPr>
            <w:tcW w:w="1134" w:type="dxa"/>
            <w:shd w:val="clear" w:color="auto" w:fill="auto"/>
            <w:vAlign w:val="bottom"/>
          </w:tcPr>
          <w:p w14:paraId="76BEEFA0" w14:textId="77777777" w:rsidR="00A023BD" w:rsidRPr="001945A1" w:rsidRDefault="00A023BD" w:rsidP="00A023BD">
            <w:pPr>
              <w:keepNext/>
              <w:jc w:val="right"/>
              <w:rPr>
                <w:color w:val="000000"/>
                <w:sz w:val="16"/>
                <w:szCs w:val="16"/>
                <w:lang w:eastAsia="en-NZ"/>
              </w:rPr>
            </w:pPr>
          </w:p>
        </w:tc>
        <w:tc>
          <w:tcPr>
            <w:tcW w:w="850" w:type="dxa"/>
            <w:shd w:val="clear" w:color="auto" w:fill="auto"/>
            <w:vAlign w:val="bottom"/>
          </w:tcPr>
          <w:p w14:paraId="15FBC563" w14:textId="77777777" w:rsidR="00A023BD" w:rsidRPr="001945A1" w:rsidRDefault="00A023BD" w:rsidP="00A023BD">
            <w:pPr>
              <w:keepNext/>
              <w:jc w:val="right"/>
              <w:rPr>
                <w:color w:val="000000"/>
                <w:sz w:val="16"/>
                <w:szCs w:val="16"/>
                <w:lang w:eastAsia="en-NZ"/>
              </w:rPr>
            </w:pPr>
          </w:p>
        </w:tc>
      </w:tr>
      <w:tr w:rsidR="00A023BD" w:rsidRPr="001A61F1" w14:paraId="56B107FB" w14:textId="77777777" w:rsidTr="00326B55">
        <w:tc>
          <w:tcPr>
            <w:tcW w:w="5387" w:type="dxa"/>
          </w:tcPr>
          <w:p w14:paraId="2BA6CF4A"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bottom"/>
          </w:tcPr>
          <w:p w14:paraId="396B12A4"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2.37</w:t>
            </w:r>
          </w:p>
        </w:tc>
        <w:tc>
          <w:tcPr>
            <w:tcW w:w="1134" w:type="dxa"/>
            <w:shd w:val="clear" w:color="auto" w:fill="auto"/>
            <w:vAlign w:val="bottom"/>
          </w:tcPr>
          <w:p w14:paraId="5BB6DF5D"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(1.52, 3.71)</w:t>
            </w:r>
          </w:p>
        </w:tc>
        <w:tc>
          <w:tcPr>
            <w:tcW w:w="850" w:type="dxa"/>
            <w:shd w:val="clear" w:color="auto" w:fill="auto"/>
            <w:vAlign w:val="bottom"/>
          </w:tcPr>
          <w:p w14:paraId="11A3DF0F"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0.0001</w:t>
            </w:r>
          </w:p>
        </w:tc>
      </w:tr>
      <w:tr w:rsidR="00A023BD" w:rsidRPr="001A61F1" w14:paraId="102789BE" w14:textId="77777777" w:rsidTr="00A023BD">
        <w:tc>
          <w:tcPr>
            <w:tcW w:w="5387" w:type="dxa"/>
            <w:vAlign w:val="center"/>
          </w:tcPr>
          <w:p w14:paraId="608C179A" w14:textId="77777777" w:rsidR="00A023BD" w:rsidRPr="003F15C0" w:rsidRDefault="00A023BD" w:rsidP="00A023BD">
            <w:pPr>
              <w:spacing w:before="20"/>
              <w:rPr>
                <w:b/>
                <w:bCs/>
                <w:color w:val="000000"/>
                <w:sz w:val="16"/>
                <w:szCs w:val="16"/>
              </w:rPr>
            </w:pPr>
            <w:r w:rsidRPr="003F15C0">
              <w:rPr>
                <w:b/>
                <w:bCs/>
                <w:color w:val="000000"/>
                <w:sz w:val="16"/>
                <w:szCs w:val="16"/>
              </w:rPr>
              <w:t>Methods - Leaving ATM and credit cards at home</w:t>
            </w:r>
          </w:p>
        </w:tc>
        <w:tc>
          <w:tcPr>
            <w:tcW w:w="1134" w:type="dxa"/>
            <w:shd w:val="clear" w:color="auto" w:fill="auto"/>
            <w:vAlign w:val="bottom"/>
          </w:tcPr>
          <w:p w14:paraId="79724C9A" w14:textId="77777777" w:rsidR="00A023BD" w:rsidRPr="007B750E" w:rsidRDefault="00A023BD" w:rsidP="00A023BD">
            <w:pPr>
              <w:keepNext/>
              <w:jc w:val="right"/>
              <w:rPr>
                <w:color w:val="000000"/>
                <w:sz w:val="16"/>
                <w:szCs w:val="16"/>
                <w:lang w:eastAsia="en-NZ"/>
              </w:rPr>
            </w:pPr>
          </w:p>
        </w:tc>
        <w:tc>
          <w:tcPr>
            <w:tcW w:w="1134" w:type="dxa"/>
            <w:shd w:val="clear" w:color="auto" w:fill="auto"/>
            <w:vAlign w:val="bottom"/>
          </w:tcPr>
          <w:p w14:paraId="30F1B219" w14:textId="77777777" w:rsidR="00A023BD" w:rsidRPr="007B750E" w:rsidRDefault="00A023BD" w:rsidP="00A023BD">
            <w:pPr>
              <w:keepNext/>
              <w:jc w:val="right"/>
              <w:rPr>
                <w:color w:val="000000"/>
                <w:sz w:val="16"/>
                <w:szCs w:val="16"/>
                <w:lang w:eastAsia="en-NZ"/>
              </w:rPr>
            </w:pPr>
          </w:p>
        </w:tc>
        <w:tc>
          <w:tcPr>
            <w:tcW w:w="850" w:type="dxa"/>
            <w:shd w:val="clear" w:color="auto" w:fill="auto"/>
            <w:vAlign w:val="bottom"/>
          </w:tcPr>
          <w:p w14:paraId="434A3030" w14:textId="77777777" w:rsidR="00A023BD" w:rsidRPr="007B750E" w:rsidRDefault="00A023BD" w:rsidP="00A023BD">
            <w:pPr>
              <w:keepNext/>
              <w:jc w:val="right"/>
              <w:rPr>
                <w:color w:val="000000"/>
                <w:sz w:val="16"/>
                <w:szCs w:val="16"/>
                <w:lang w:eastAsia="en-NZ"/>
              </w:rPr>
            </w:pPr>
          </w:p>
        </w:tc>
      </w:tr>
      <w:tr w:rsidR="00A023BD" w:rsidRPr="001A61F1" w14:paraId="36CBAAAE" w14:textId="77777777" w:rsidTr="00A023BD">
        <w:tc>
          <w:tcPr>
            <w:tcW w:w="5387" w:type="dxa"/>
          </w:tcPr>
          <w:p w14:paraId="57DBEB81"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bottom"/>
          </w:tcPr>
          <w:p w14:paraId="2AE69785"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1.00</w:t>
            </w:r>
          </w:p>
        </w:tc>
        <w:tc>
          <w:tcPr>
            <w:tcW w:w="1134" w:type="dxa"/>
            <w:shd w:val="clear" w:color="auto" w:fill="auto"/>
            <w:vAlign w:val="bottom"/>
          </w:tcPr>
          <w:p w14:paraId="6B4F931E" w14:textId="77777777" w:rsidR="00A023BD" w:rsidRPr="001945A1" w:rsidRDefault="00A023BD" w:rsidP="00A023BD">
            <w:pPr>
              <w:keepNext/>
              <w:jc w:val="right"/>
              <w:rPr>
                <w:color w:val="000000"/>
                <w:sz w:val="16"/>
                <w:szCs w:val="16"/>
                <w:lang w:eastAsia="en-NZ"/>
              </w:rPr>
            </w:pPr>
          </w:p>
        </w:tc>
        <w:tc>
          <w:tcPr>
            <w:tcW w:w="850" w:type="dxa"/>
            <w:shd w:val="clear" w:color="auto" w:fill="auto"/>
            <w:vAlign w:val="bottom"/>
          </w:tcPr>
          <w:p w14:paraId="66CBE2E0" w14:textId="77777777" w:rsidR="00A023BD" w:rsidRPr="001945A1" w:rsidRDefault="00A023BD" w:rsidP="00A023BD">
            <w:pPr>
              <w:keepNext/>
              <w:jc w:val="right"/>
              <w:rPr>
                <w:color w:val="000000"/>
                <w:sz w:val="16"/>
                <w:szCs w:val="16"/>
                <w:lang w:eastAsia="en-NZ"/>
              </w:rPr>
            </w:pPr>
          </w:p>
        </w:tc>
      </w:tr>
      <w:tr w:rsidR="00A023BD" w:rsidRPr="001A61F1" w14:paraId="77B75A24" w14:textId="77777777" w:rsidTr="00326B55">
        <w:tc>
          <w:tcPr>
            <w:tcW w:w="5387" w:type="dxa"/>
          </w:tcPr>
          <w:p w14:paraId="3E5F9FFD"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bottom"/>
          </w:tcPr>
          <w:p w14:paraId="75899163"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2.38</w:t>
            </w:r>
          </w:p>
        </w:tc>
        <w:tc>
          <w:tcPr>
            <w:tcW w:w="1134" w:type="dxa"/>
            <w:shd w:val="clear" w:color="auto" w:fill="auto"/>
            <w:vAlign w:val="bottom"/>
          </w:tcPr>
          <w:p w14:paraId="399B730F"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(1.19, 4.75)</w:t>
            </w:r>
          </w:p>
        </w:tc>
        <w:tc>
          <w:tcPr>
            <w:tcW w:w="850" w:type="dxa"/>
            <w:shd w:val="clear" w:color="auto" w:fill="auto"/>
            <w:vAlign w:val="bottom"/>
          </w:tcPr>
          <w:p w14:paraId="1B99D61A"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0.01</w:t>
            </w:r>
          </w:p>
        </w:tc>
      </w:tr>
      <w:tr w:rsidR="00A023BD" w:rsidRPr="001A61F1" w14:paraId="02CE4AAC" w14:textId="77777777" w:rsidTr="00A023BD">
        <w:tc>
          <w:tcPr>
            <w:tcW w:w="5387" w:type="dxa"/>
            <w:vAlign w:val="bottom"/>
          </w:tcPr>
          <w:p w14:paraId="500A07D8" w14:textId="77777777" w:rsidR="00A023BD" w:rsidRPr="003F15C0" w:rsidRDefault="00A023BD" w:rsidP="00A023BD">
            <w:pPr>
              <w:spacing w:before="20"/>
              <w:jc w:val="both"/>
              <w:rPr>
                <w:b/>
                <w:sz w:val="16"/>
                <w:szCs w:val="16"/>
              </w:rPr>
            </w:pPr>
            <w:r w:rsidRPr="003F15C0">
              <w:rPr>
                <w:b/>
                <w:bCs/>
                <w:color w:val="000000"/>
                <w:sz w:val="16"/>
                <w:szCs w:val="16"/>
              </w:rPr>
              <w:t>Methods - Setting a time limit</w:t>
            </w:r>
          </w:p>
        </w:tc>
        <w:tc>
          <w:tcPr>
            <w:tcW w:w="1134" w:type="dxa"/>
            <w:shd w:val="clear" w:color="auto" w:fill="auto"/>
            <w:vAlign w:val="bottom"/>
          </w:tcPr>
          <w:p w14:paraId="2BDBD18C" w14:textId="77777777" w:rsidR="00A023BD" w:rsidRPr="007B750E" w:rsidRDefault="00A023BD" w:rsidP="00A023BD">
            <w:pPr>
              <w:keepNext/>
              <w:jc w:val="right"/>
              <w:rPr>
                <w:color w:val="000000"/>
                <w:sz w:val="16"/>
                <w:szCs w:val="16"/>
                <w:lang w:eastAsia="en-NZ"/>
              </w:rPr>
            </w:pPr>
          </w:p>
        </w:tc>
        <w:tc>
          <w:tcPr>
            <w:tcW w:w="1134" w:type="dxa"/>
            <w:shd w:val="clear" w:color="auto" w:fill="auto"/>
            <w:vAlign w:val="bottom"/>
          </w:tcPr>
          <w:p w14:paraId="2B02A6CD" w14:textId="77777777" w:rsidR="00A023BD" w:rsidRPr="007B750E" w:rsidRDefault="00A023BD" w:rsidP="00A023BD">
            <w:pPr>
              <w:keepNext/>
              <w:jc w:val="right"/>
              <w:rPr>
                <w:color w:val="000000"/>
                <w:sz w:val="16"/>
                <w:szCs w:val="16"/>
                <w:lang w:eastAsia="en-NZ"/>
              </w:rPr>
            </w:pPr>
          </w:p>
        </w:tc>
        <w:tc>
          <w:tcPr>
            <w:tcW w:w="850" w:type="dxa"/>
            <w:shd w:val="clear" w:color="auto" w:fill="auto"/>
            <w:vAlign w:val="bottom"/>
          </w:tcPr>
          <w:p w14:paraId="1FC5D021" w14:textId="77777777" w:rsidR="00A023BD" w:rsidRPr="007B750E" w:rsidRDefault="00A023BD" w:rsidP="00A023BD">
            <w:pPr>
              <w:keepNext/>
              <w:jc w:val="right"/>
              <w:rPr>
                <w:color w:val="000000"/>
                <w:sz w:val="16"/>
                <w:szCs w:val="16"/>
                <w:lang w:eastAsia="en-NZ"/>
              </w:rPr>
            </w:pPr>
          </w:p>
        </w:tc>
      </w:tr>
      <w:tr w:rsidR="00A023BD" w:rsidRPr="001A61F1" w14:paraId="3AE5CB21" w14:textId="77777777" w:rsidTr="00A023BD">
        <w:tc>
          <w:tcPr>
            <w:tcW w:w="5387" w:type="dxa"/>
          </w:tcPr>
          <w:p w14:paraId="3F13634E"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bottom"/>
          </w:tcPr>
          <w:p w14:paraId="65D5715E"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1.00</w:t>
            </w:r>
          </w:p>
        </w:tc>
        <w:tc>
          <w:tcPr>
            <w:tcW w:w="1134" w:type="dxa"/>
            <w:shd w:val="clear" w:color="auto" w:fill="auto"/>
            <w:vAlign w:val="bottom"/>
          </w:tcPr>
          <w:p w14:paraId="486AFF4F" w14:textId="77777777" w:rsidR="00A023BD" w:rsidRPr="001945A1" w:rsidRDefault="00A023BD" w:rsidP="00A023BD">
            <w:pPr>
              <w:keepNext/>
              <w:jc w:val="right"/>
              <w:rPr>
                <w:color w:val="000000"/>
                <w:sz w:val="16"/>
                <w:szCs w:val="16"/>
                <w:lang w:eastAsia="en-NZ"/>
              </w:rPr>
            </w:pPr>
          </w:p>
        </w:tc>
        <w:tc>
          <w:tcPr>
            <w:tcW w:w="850" w:type="dxa"/>
            <w:shd w:val="clear" w:color="auto" w:fill="auto"/>
            <w:vAlign w:val="bottom"/>
          </w:tcPr>
          <w:p w14:paraId="4BD16393" w14:textId="77777777" w:rsidR="00A023BD" w:rsidRPr="001945A1" w:rsidRDefault="00A023BD" w:rsidP="00A023BD">
            <w:pPr>
              <w:keepNext/>
              <w:jc w:val="right"/>
              <w:rPr>
                <w:color w:val="000000"/>
                <w:sz w:val="16"/>
                <w:szCs w:val="16"/>
                <w:lang w:eastAsia="en-NZ"/>
              </w:rPr>
            </w:pPr>
          </w:p>
        </w:tc>
      </w:tr>
      <w:tr w:rsidR="00A023BD" w:rsidRPr="001A61F1" w14:paraId="6931D1B8" w14:textId="77777777" w:rsidTr="00326B55">
        <w:tc>
          <w:tcPr>
            <w:tcW w:w="5387" w:type="dxa"/>
          </w:tcPr>
          <w:p w14:paraId="1CAE8AD4"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bottom"/>
          </w:tcPr>
          <w:p w14:paraId="6F10B8AF"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3.16</w:t>
            </w:r>
          </w:p>
        </w:tc>
        <w:tc>
          <w:tcPr>
            <w:tcW w:w="1134" w:type="dxa"/>
            <w:shd w:val="clear" w:color="auto" w:fill="auto"/>
            <w:vAlign w:val="bottom"/>
          </w:tcPr>
          <w:p w14:paraId="6F8A1153"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(1.65, 6.07)</w:t>
            </w:r>
          </w:p>
        </w:tc>
        <w:tc>
          <w:tcPr>
            <w:tcW w:w="850" w:type="dxa"/>
            <w:shd w:val="clear" w:color="auto" w:fill="auto"/>
            <w:vAlign w:val="bottom"/>
          </w:tcPr>
          <w:p w14:paraId="1EC791D1"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0.0005</w:t>
            </w:r>
          </w:p>
        </w:tc>
      </w:tr>
      <w:tr w:rsidR="00A023BD" w:rsidRPr="001A61F1" w14:paraId="5F5D0153" w14:textId="77777777" w:rsidTr="00A023BD">
        <w:tc>
          <w:tcPr>
            <w:tcW w:w="5387" w:type="dxa"/>
          </w:tcPr>
          <w:p w14:paraId="37477508" w14:textId="77777777" w:rsidR="00A023BD" w:rsidRPr="003F15C0" w:rsidRDefault="00A023BD" w:rsidP="00A023BD">
            <w:pPr>
              <w:spacing w:before="20"/>
              <w:rPr>
                <w:b/>
                <w:bCs/>
                <w:color w:val="000000"/>
                <w:sz w:val="16"/>
                <w:szCs w:val="16"/>
              </w:rPr>
            </w:pPr>
            <w:r w:rsidRPr="003F15C0">
              <w:rPr>
                <w:b/>
                <w:bCs/>
                <w:color w:val="000000"/>
                <w:sz w:val="16"/>
                <w:szCs w:val="16"/>
              </w:rPr>
              <w:t>Methods - Avoiding places that have betting or gambling</w:t>
            </w:r>
          </w:p>
        </w:tc>
        <w:tc>
          <w:tcPr>
            <w:tcW w:w="1134" w:type="dxa"/>
            <w:shd w:val="clear" w:color="auto" w:fill="auto"/>
            <w:vAlign w:val="bottom"/>
          </w:tcPr>
          <w:p w14:paraId="4B61910B" w14:textId="77777777" w:rsidR="00A023BD" w:rsidRPr="007B750E" w:rsidRDefault="00A023BD" w:rsidP="00A023BD">
            <w:pPr>
              <w:keepNext/>
              <w:jc w:val="right"/>
              <w:rPr>
                <w:color w:val="000000"/>
                <w:sz w:val="16"/>
                <w:szCs w:val="16"/>
                <w:lang w:eastAsia="en-NZ"/>
              </w:rPr>
            </w:pPr>
          </w:p>
        </w:tc>
        <w:tc>
          <w:tcPr>
            <w:tcW w:w="1134" w:type="dxa"/>
            <w:shd w:val="clear" w:color="auto" w:fill="auto"/>
            <w:vAlign w:val="bottom"/>
          </w:tcPr>
          <w:p w14:paraId="7906245D" w14:textId="77777777" w:rsidR="00A023BD" w:rsidRPr="007B750E" w:rsidRDefault="00A023BD" w:rsidP="00A023BD">
            <w:pPr>
              <w:keepNext/>
              <w:jc w:val="right"/>
              <w:rPr>
                <w:color w:val="000000"/>
                <w:sz w:val="16"/>
                <w:szCs w:val="16"/>
                <w:lang w:eastAsia="en-NZ"/>
              </w:rPr>
            </w:pPr>
          </w:p>
        </w:tc>
        <w:tc>
          <w:tcPr>
            <w:tcW w:w="850" w:type="dxa"/>
            <w:shd w:val="clear" w:color="auto" w:fill="auto"/>
            <w:vAlign w:val="bottom"/>
          </w:tcPr>
          <w:p w14:paraId="7BAE0E06" w14:textId="77777777" w:rsidR="00A023BD" w:rsidRPr="007B750E" w:rsidRDefault="00A023BD" w:rsidP="00A023BD">
            <w:pPr>
              <w:keepNext/>
              <w:jc w:val="right"/>
              <w:rPr>
                <w:color w:val="000000"/>
                <w:sz w:val="16"/>
                <w:szCs w:val="16"/>
                <w:lang w:eastAsia="en-NZ"/>
              </w:rPr>
            </w:pPr>
          </w:p>
        </w:tc>
      </w:tr>
      <w:tr w:rsidR="00A023BD" w:rsidRPr="001A61F1" w14:paraId="0D63B665" w14:textId="77777777" w:rsidTr="00A023BD">
        <w:tc>
          <w:tcPr>
            <w:tcW w:w="5387" w:type="dxa"/>
          </w:tcPr>
          <w:p w14:paraId="0E08C4D1"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bottom"/>
          </w:tcPr>
          <w:p w14:paraId="01733C7A"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1.00</w:t>
            </w:r>
          </w:p>
        </w:tc>
        <w:tc>
          <w:tcPr>
            <w:tcW w:w="1134" w:type="dxa"/>
            <w:shd w:val="clear" w:color="auto" w:fill="auto"/>
            <w:vAlign w:val="bottom"/>
          </w:tcPr>
          <w:p w14:paraId="3CE3D0CA" w14:textId="77777777" w:rsidR="00A023BD" w:rsidRPr="001945A1" w:rsidRDefault="00A023BD" w:rsidP="00A023BD">
            <w:pPr>
              <w:keepNext/>
              <w:jc w:val="right"/>
              <w:rPr>
                <w:color w:val="000000"/>
                <w:sz w:val="16"/>
                <w:szCs w:val="16"/>
                <w:lang w:eastAsia="en-NZ"/>
              </w:rPr>
            </w:pPr>
          </w:p>
        </w:tc>
        <w:tc>
          <w:tcPr>
            <w:tcW w:w="850" w:type="dxa"/>
            <w:shd w:val="clear" w:color="auto" w:fill="auto"/>
            <w:vAlign w:val="bottom"/>
          </w:tcPr>
          <w:p w14:paraId="0ACD9F44" w14:textId="77777777" w:rsidR="00A023BD" w:rsidRPr="001945A1" w:rsidRDefault="00A023BD" w:rsidP="00A023BD">
            <w:pPr>
              <w:keepNext/>
              <w:jc w:val="right"/>
              <w:rPr>
                <w:color w:val="000000"/>
                <w:sz w:val="16"/>
                <w:szCs w:val="16"/>
                <w:lang w:eastAsia="en-NZ"/>
              </w:rPr>
            </w:pPr>
          </w:p>
        </w:tc>
      </w:tr>
      <w:tr w:rsidR="00A023BD" w:rsidRPr="001A61F1" w14:paraId="29C17078" w14:textId="77777777" w:rsidTr="00326B55">
        <w:tc>
          <w:tcPr>
            <w:tcW w:w="5387" w:type="dxa"/>
            <w:tcBorders>
              <w:bottom w:val="single" w:sz="4" w:space="0" w:color="auto"/>
            </w:tcBorders>
          </w:tcPr>
          <w:p w14:paraId="4558E721"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tcBorders>
              <w:bottom w:val="single" w:sz="4" w:space="0" w:color="auto"/>
            </w:tcBorders>
            <w:shd w:val="clear" w:color="auto" w:fill="auto"/>
            <w:vAlign w:val="bottom"/>
          </w:tcPr>
          <w:p w14:paraId="7EA7BDCB"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5.46</w:t>
            </w:r>
          </w:p>
        </w:tc>
        <w:tc>
          <w:tcPr>
            <w:tcW w:w="1134" w:type="dxa"/>
            <w:tcBorders>
              <w:bottom w:val="single" w:sz="4" w:space="0" w:color="auto"/>
            </w:tcBorders>
            <w:shd w:val="clear" w:color="auto" w:fill="auto"/>
            <w:vAlign w:val="bottom"/>
          </w:tcPr>
          <w:p w14:paraId="042908AA"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(3.16, 9.42)</w:t>
            </w:r>
          </w:p>
        </w:tc>
        <w:tc>
          <w:tcPr>
            <w:tcW w:w="850" w:type="dxa"/>
            <w:tcBorders>
              <w:bottom w:val="single" w:sz="4" w:space="0" w:color="auto"/>
            </w:tcBorders>
            <w:shd w:val="clear" w:color="auto" w:fill="auto"/>
            <w:vAlign w:val="bottom"/>
          </w:tcPr>
          <w:p w14:paraId="353E153C" w14:textId="77777777" w:rsidR="00A023BD" w:rsidRPr="001945A1" w:rsidRDefault="00A023BD" w:rsidP="00A023BD">
            <w:pPr>
              <w:keepNext/>
              <w:jc w:val="right"/>
              <w:rPr>
                <w:color w:val="000000"/>
                <w:sz w:val="16"/>
                <w:szCs w:val="16"/>
                <w:lang w:eastAsia="en-NZ"/>
              </w:rPr>
            </w:pPr>
            <w:r w:rsidRPr="001945A1">
              <w:rPr>
                <w:color w:val="000000"/>
                <w:sz w:val="16"/>
                <w:szCs w:val="16"/>
                <w:lang w:eastAsia="en-NZ"/>
              </w:rPr>
              <w:t>&lt;</w:t>
            </w:r>
            <w:r>
              <w:rPr>
                <w:color w:val="000000"/>
                <w:sz w:val="16"/>
                <w:szCs w:val="16"/>
                <w:lang w:eastAsia="en-NZ"/>
              </w:rPr>
              <w:t>0</w:t>
            </w:r>
            <w:r w:rsidRPr="001945A1">
              <w:rPr>
                <w:color w:val="000000"/>
                <w:sz w:val="16"/>
                <w:szCs w:val="16"/>
                <w:lang w:eastAsia="en-NZ"/>
              </w:rPr>
              <w:t>.0001</w:t>
            </w:r>
          </w:p>
        </w:tc>
      </w:tr>
    </w:tbl>
    <w:p w14:paraId="7D0484FB" w14:textId="77777777" w:rsidR="00A023BD" w:rsidRPr="00230801" w:rsidRDefault="00A023BD" w:rsidP="00A023BD">
      <w:pPr>
        <w:rPr>
          <w:rFonts w:eastAsiaTheme="majorEastAsia"/>
          <w:sz w:val="16"/>
          <w:lang w:eastAsia="en-US"/>
        </w:rPr>
      </w:pPr>
      <w:r>
        <w:rPr>
          <w:rFonts w:eastAsiaTheme="majorEastAsia"/>
          <w:sz w:val="16"/>
          <w:lang w:eastAsia="en-US"/>
        </w:rPr>
        <w:t>Data weighted for 2013 Census data (all Waves) and attrition (Waves 2, 3 and 4)</w:t>
      </w:r>
    </w:p>
    <w:p w14:paraId="316E85C6" w14:textId="77777777" w:rsidR="00A023BD" w:rsidRDefault="00A023BD" w:rsidP="00A023BD">
      <w:pPr>
        <w:pStyle w:val="RepNormal"/>
      </w:pPr>
    </w:p>
    <w:p w14:paraId="6A35AD8D" w14:textId="77777777" w:rsidR="00A023BD" w:rsidRPr="008D70BF" w:rsidRDefault="00A023BD" w:rsidP="008B226A">
      <w:pPr>
        <w:pStyle w:val="RepNormal"/>
        <w:keepNext/>
        <w:rPr>
          <w:u w:val="single"/>
        </w:rPr>
      </w:pPr>
      <w:r w:rsidRPr="00C21EA4">
        <w:rPr>
          <w:u w:val="single"/>
        </w:rPr>
        <w:t xml:space="preserve">Variables associated with </w:t>
      </w:r>
      <w:r>
        <w:rPr>
          <w:u w:val="single"/>
        </w:rPr>
        <w:t xml:space="preserve">a higher chance of being a past year </w:t>
      </w:r>
      <w:r w:rsidRPr="008D70BF">
        <w:rPr>
          <w:u w:val="single"/>
        </w:rPr>
        <w:t>low-risk/moderate-risk/problem gambler</w:t>
      </w:r>
    </w:p>
    <w:p w14:paraId="284FDB42" w14:textId="77777777" w:rsidR="00A023BD" w:rsidRDefault="00A023BD" w:rsidP="008B226A">
      <w:pPr>
        <w:pStyle w:val="RepNormal"/>
        <w:keepNext/>
      </w:pPr>
    </w:p>
    <w:p w14:paraId="1A9B2F12" w14:textId="77777777" w:rsidR="00A023BD" w:rsidRDefault="00A023BD" w:rsidP="008B226A">
      <w:pPr>
        <w:pStyle w:val="RepNormal"/>
        <w:keepNext/>
      </w:pPr>
      <w:r w:rsidRPr="00680444">
        <w:t xml:space="preserve">Māori and Pacific participants had more than twice the odds </w:t>
      </w:r>
      <w:r>
        <w:t>of being a past year low-risk/ moderate-risk/problem gambler</w:t>
      </w:r>
      <w:r w:rsidRPr="00A55E1D">
        <w:t xml:space="preserve"> versus </w:t>
      </w:r>
      <w:r>
        <w:t>being a non-problem gambler/non-g</w:t>
      </w:r>
      <w:r w:rsidRPr="00A55E1D">
        <w:t>ambl</w:t>
      </w:r>
      <w:r>
        <w:t>er</w:t>
      </w:r>
      <w:r w:rsidRPr="00680444">
        <w:t xml:space="preserve"> (2.92 and 2.50 times higher, respectively), than European/Other participants.  </w:t>
      </w:r>
    </w:p>
    <w:p w14:paraId="4E6992F0" w14:textId="77777777" w:rsidR="00A023BD" w:rsidRDefault="00A023BD" w:rsidP="00A023BD">
      <w:pPr>
        <w:pStyle w:val="RepNormal"/>
      </w:pPr>
    </w:p>
    <w:p w14:paraId="4336F361" w14:textId="77777777" w:rsidR="00A023BD" w:rsidRDefault="00A023BD" w:rsidP="00A023BD">
      <w:pPr>
        <w:pStyle w:val="RepNormal"/>
      </w:pPr>
      <w:r>
        <w:t>Participants with one or more individual levels of deprivation had higher odds of being a past year low-risk/moderate-risk/problem gambler</w:t>
      </w:r>
      <w:r w:rsidRPr="00A55E1D">
        <w:t xml:space="preserve"> versus </w:t>
      </w:r>
      <w:r>
        <w:t>being a non-problem gambler/non-g</w:t>
      </w:r>
      <w:r w:rsidRPr="00A55E1D">
        <w:t>ambl</w:t>
      </w:r>
      <w:r>
        <w:t xml:space="preserve">er, compared with participants who did not experience any deprivation.  The odds increased with increasing deprivation from 1.43 times higher (for one deprivation level) to 3.18 times higher (for four or more deprivation levels).  </w:t>
      </w:r>
    </w:p>
    <w:p w14:paraId="2E23A32F" w14:textId="77777777" w:rsidR="00A023BD" w:rsidRDefault="00A023BD" w:rsidP="00A023BD">
      <w:pPr>
        <w:pStyle w:val="RepNormal"/>
      </w:pPr>
    </w:p>
    <w:p w14:paraId="28381ED6" w14:textId="77777777" w:rsidR="00A023BD" w:rsidRDefault="00A023BD" w:rsidP="00A023BD">
      <w:pPr>
        <w:pStyle w:val="RepNormal"/>
      </w:pPr>
      <w:r w:rsidRPr="00522F3C">
        <w:t xml:space="preserve">Participants who had experienced three or more major life events in the prior 12 months had about 1.8 times higher odds </w:t>
      </w:r>
      <w:r>
        <w:t>of being a past year low-risk/moderate-risk/problem gambler</w:t>
      </w:r>
      <w:r w:rsidRPr="00A55E1D">
        <w:t xml:space="preserve"> versus </w:t>
      </w:r>
      <w:r>
        <w:t>being a non-problem gambler/non-g</w:t>
      </w:r>
      <w:r w:rsidRPr="00A55E1D">
        <w:t>ambl</w:t>
      </w:r>
      <w:r>
        <w:t>er</w:t>
      </w:r>
      <w:r w:rsidRPr="00522F3C">
        <w:t>, compared with participants who had not experienced any major life events.</w:t>
      </w:r>
    </w:p>
    <w:p w14:paraId="0C03CCA4" w14:textId="77777777" w:rsidR="00A023BD" w:rsidRDefault="00A023BD" w:rsidP="00A023BD">
      <w:pPr>
        <w:pStyle w:val="RepNormal"/>
      </w:pPr>
    </w:p>
    <w:p w14:paraId="08CE5B57" w14:textId="77777777" w:rsidR="00A023BD" w:rsidRDefault="00A023BD" w:rsidP="00A023BD">
      <w:pPr>
        <w:pStyle w:val="RepNormal"/>
      </w:pPr>
      <w:r>
        <w:t>Experiencing moderate, high or severe levels of psychological distress remained associated with higher odds of being a past year low-risk/moderate-risk/problem gambler</w:t>
      </w:r>
      <w:r w:rsidRPr="00A55E1D">
        <w:t xml:space="preserve"> versus </w:t>
      </w:r>
      <w:r>
        <w:t>being a non-problem gambler/non-g</w:t>
      </w:r>
      <w:r w:rsidRPr="00A55E1D">
        <w:t>ambl</w:t>
      </w:r>
      <w:r>
        <w:t>er, compared with experiencing a low level of psychological distress.  However, the increased risk was not linear at 3.26, 6.25 and 1.75 times for moderate, high and severe levels, respectively.</w:t>
      </w:r>
    </w:p>
    <w:p w14:paraId="6F92CF13" w14:textId="77777777" w:rsidR="00A023BD" w:rsidRDefault="00A023BD" w:rsidP="00A023BD">
      <w:pPr>
        <w:pStyle w:val="RepNormal"/>
      </w:pPr>
    </w:p>
    <w:p w14:paraId="6E1F0E20" w14:textId="77777777" w:rsidR="00A023BD" w:rsidRDefault="00A023BD" w:rsidP="00A023BD">
      <w:pPr>
        <w:pStyle w:val="RepNormal"/>
      </w:pPr>
      <w:r>
        <w:t>Using cannabis also remained associated with being a past year low-risk/moderate-risk/problem gambler</w:t>
      </w:r>
      <w:r w:rsidRPr="00A55E1D">
        <w:t xml:space="preserve"> versus </w:t>
      </w:r>
      <w:r>
        <w:t>being a non-problem gambler/non-g</w:t>
      </w:r>
      <w:r w:rsidRPr="00A55E1D">
        <w:t>ambl</w:t>
      </w:r>
      <w:r>
        <w:t>er</w:t>
      </w:r>
      <w:r w:rsidRPr="00680444">
        <w:t xml:space="preserve"> </w:t>
      </w:r>
      <w:r>
        <w:t>in the multiple logistic regression analyses (1.59 times higher), compared with not using cannabis.</w:t>
      </w:r>
    </w:p>
    <w:p w14:paraId="386DD624" w14:textId="77777777" w:rsidR="00A023BD" w:rsidRDefault="00A023BD" w:rsidP="00A023BD">
      <w:pPr>
        <w:pStyle w:val="RepNormal"/>
      </w:pPr>
    </w:p>
    <w:p w14:paraId="68BCE7EF" w14:textId="77777777" w:rsidR="00A023BD" w:rsidRDefault="00A023BD" w:rsidP="00A023BD">
      <w:pPr>
        <w:pStyle w:val="RepNormal"/>
      </w:pPr>
      <w:r>
        <w:t>Various gambling participation behaviours remained associated with being a past year low-risk/moderate-risk/problem gambler</w:t>
      </w:r>
      <w:r w:rsidRPr="00A55E1D">
        <w:t xml:space="preserve"> versus </w:t>
      </w:r>
      <w:r>
        <w:t>being a non-problem gambler/non-g</w:t>
      </w:r>
      <w:r w:rsidRPr="00A55E1D">
        <w:t>ambl</w:t>
      </w:r>
      <w:r>
        <w:t>er.  These included at least annual gambling on EGMs in any venue (2.79 times higher); and at least monthly gambling on card games, sports betting, pub or club EGMs, short-term speculative investments, and playing on gambling-type games not for money (varied from 1.72 to 4.87 times higher), compared with not participating in these activities at least annually or monthly.</w:t>
      </w:r>
    </w:p>
    <w:p w14:paraId="321AB941" w14:textId="77777777" w:rsidR="00A023BD" w:rsidRDefault="00A023BD" w:rsidP="00A023BD">
      <w:pPr>
        <w:pStyle w:val="RepNormal"/>
      </w:pPr>
    </w:p>
    <w:p w14:paraId="4641CF00" w14:textId="77777777" w:rsidR="00A023BD" w:rsidRDefault="00A023BD" w:rsidP="00A023BD">
      <w:pPr>
        <w:pStyle w:val="RepNormal"/>
      </w:pPr>
      <w:r>
        <w:t>Having a typical monthly gambling expenditure of more than $50 was associated with 2.57 times higher odds of being a past year low-risk/moderate-risk/problem gambler</w:t>
      </w:r>
      <w:r w:rsidRPr="00A55E1D">
        <w:t xml:space="preserve"> versus </w:t>
      </w:r>
      <w:r>
        <w:t>being a non-problem gambler/non-g</w:t>
      </w:r>
      <w:r w:rsidRPr="00A55E1D">
        <w:t>ambl</w:t>
      </w:r>
      <w:r>
        <w:t>er,</w:t>
      </w:r>
      <w:r w:rsidRPr="00680444">
        <w:t xml:space="preserve"> </w:t>
      </w:r>
      <w:r>
        <w:t xml:space="preserve">than having a monthly expenditure of $20 or less.  Participants who gambled on club </w:t>
      </w:r>
      <w:r w:rsidR="00AE5AEA">
        <w:t xml:space="preserve">or casino </w:t>
      </w:r>
      <w:r>
        <w:t xml:space="preserve">EGMs for more than 60 minutes in an average day had 4.38 times </w:t>
      </w:r>
      <w:r w:rsidR="00AE5AEA">
        <w:t xml:space="preserve">and 2.43 times </w:t>
      </w:r>
      <w:r>
        <w:t>higher odds</w:t>
      </w:r>
      <w:r w:rsidR="00AE5AEA">
        <w:t>, respectively,</w:t>
      </w:r>
      <w:r>
        <w:t xml:space="preserve"> than participants who did not gamble on </w:t>
      </w:r>
      <w:r w:rsidR="00AE5AEA">
        <w:t>these</w:t>
      </w:r>
      <w:r>
        <w:t xml:space="preserve"> EGMs.</w:t>
      </w:r>
    </w:p>
    <w:p w14:paraId="65AF0B6A" w14:textId="77777777" w:rsidR="00A023BD" w:rsidRDefault="00A023BD" w:rsidP="00A023BD">
      <w:pPr>
        <w:pStyle w:val="RepNormal"/>
      </w:pPr>
    </w:p>
    <w:p w14:paraId="0755C83D" w14:textId="77777777" w:rsidR="00A023BD" w:rsidRDefault="00A023BD" w:rsidP="00A023BD">
      <w:pPr>
        <w:pStyle w:val="RepNormal"/>
      </w:pPr>
      <w:r>
        <w:t>Various methods for moderating gambling behaviour also remained associated with being a past year low-risk/moderate-risk/problem gambler</w:t>
      </w:r>
      <w:r w:rsidRPr="00A55E1D">
        <w:t xml:space="preserve"> versus </w:t>
      </w:r>
      <w:r>
        <w:t>being a non-problem gambler/non-g</w:t>
      </w:r>
      <w:r w:rsidRPr="00A55E1D">
        <w:t>ambl</w:t>
      </w:r>
      <w:r>
        <w:t xml:space="preserve">er.  These were setting a dollar limit before leaving home, getting someone trustworthy to manage the money, separating money for betting from other money and stopping when it is used, leaving ATM and credit cards at home, and avoiding places that have betting or gambling.  The odds for increased risk varied from 1.54 to 5.46 times higher. </w:t>
      </w:r>
    </w:p>
    <w:p w14:paraId="00EF80C4" w14:textId="77777777" w:rsidR="00A023BD" w:rsidRDefault="00A023BD" w:rsidP="00A023BD">
      <w:pPr>
        <w:pStyle w:val="RepNormal"/>
      </w:pPr>
    </w:p>
    <w:p w14:paraId="7F2B7FF1" w14:textId="4DE05F83" w:rsidR="00A023BD" w:rsidRDefault="00A023BD" w:rsidP="00A023BD">
      <w:pPr>
        <w:pStyle w:val="RepNormal"/>
      </w:pPr>
      <w:r>
        <w:t xml:space="preserve">Although it appeared that </w:t>
      </w:r>
      <w:r w:rsidRPr="00D65F70">
        <w:t xml:space="preserve">participants </w:t>
      </w:r>
      <w:r>
        <w:t>who gambled regularly on continuous activities</w:t>
      </w:r>
      <w:r w:rsidRPr="00D65F70">
        <w:t xml:space="preserve"> had higher odds </w:t>
      </w:r>
      <w:r>
        <w:t>for being a past year low-risk/moderate-risk/problem gambler</w:t>
      </w:r>
      <w:r w:rsidRPr="00A55E1D">
        <w:t xml:space="preserve"> versus </w:t>
      </w:r>
      <w:r>
        <w:t>being a non-problem gambler/non-g</w:t>
      </w:r>
      <w:r w:rsidRPr="00A55E1D">
        <w:t>ambl</w:t>
      </w:r>
      <w:r>
        <w:t xml:space="preserve">er, and </w:t>
      </w:r>
      <w:r w:rsidRPr="00D65F70">
        <w:t xml:space="preserve">participants </w:t>
      </w:r>
      <w:r>
        <w:t>who gambled regularly on non-continuous activities</w:t>
      </w:r>
      <w:r w:rsidRPr="00D65F70">
        <w:t xml:space="preserve"> had </w:t>
      </w:r>
      <w:r>
        <w:t>lower</w:t>
      </w:r>
      <w:r w:rsidRPr="00D65F70">
        <w:t xml:space="preserve"> odds</w:t>
      </w:r>
      <w:r>
        <w:t xml:space="preserve">, compared with infrequent gamblers, </w:t>
      </w:r>
      <w:r w:rsidRPr="00D65F70">
        <w:t>the confidence interval</w:t>
      </w:r>
      <w:r>
        <w:t>s</w:t>
      </w:r>
      <w:r w:rsidRPr="00D65F70">
        <w:t xml:space="preserve"> included 1 for </w:t>
      </w:r>
      <w:r>
        <w:t>both</w:t>
      </w:r>
      <w:r w:rsidRPr="00D65F70">
        <w:t xml:space="preserve">.  This indicates that the significance is probably </w:t>
      </w:r>
      <w:r>
        <w:t xml:space="preserve">between these two gambling behaviours and not with the reference group of infrequent gambling.    </w:t>
      </w:r>
    </w:p>
    <w:p w14:paraId="42D84F37" w14:textId="77777777" w:rsidR="00A023BD" w:rsidRDefault="00A023BD" w:rsidP="00A023BD">
      <w:pPr>
        <w:pStyle w:val="RepNormal"/>
      </w:pPr>
    </w:p>
    <w:p w14:paraId="7F63D05C" w14:textId="77777777" w:rsidR="00A023BD" w:rsidRDefault="00A023BD" w:rsidP="00A023BD">
      <w:pPr>
        <w:pStyle w:val="RepNormal"/>
      </w:pPr>
    </w:p>
    <w:p w14:paraId="333D6264" w14:textId="77777777" w:rsidR="00A023BD" w:rsidRPr="008D70BF" w:rsidRDefault="00A023BD" w:rsidP="00A023BD">
      <w:pPr>
        <w:pStyle w:val="RepNormal"/>
        <w:rPr>
          <w:u w:val="single"/>
        </w:rPr>
      </w:pPr>
      <w:r w:rsidRPr="00C21EA4">
        <w:rPr>
          <w:u w:val="single"/>
        </w:rPr>
        <w:t xml:space="preserve">Variables associated with </w:t>
      </w:r>
      <w:r>
        <w:rPr>
          <w:u w:val="single"/>
        </w:rPr>
        <w:t xml:space="preserve">a lower chance of being a past year </w:t>
      </w:r>
      <w:r w:rsidRPr="008D70BF">
        <w:rPr>
          <w:u w:val="single"/>
        </w:rPr>
        <w:t>low-risk/moderate-risk/problem gambler</w:t>
      </w:r>
    </w:p>
    <w:p w14:paraId="54F471AA" w14:textId="77777777" w:rsidR="00A023BD" w:rsidRDefault="00A023BD" w:rsidP="00A023BD">
      <w:pPr>
        <w:pStyle w:val="RepNormal"/>
      </w:pPr>
    </w:p>
    <w:p w14:paraId="40B970B5" w14:textId="77777777" w:rsidR="00A023BD" w:rsidRPr="00680444" w:rsidRDefault="00A023BD" w:rsidP="00A023BD">
      <w:pPr>
        <w:pStyle w:val="RepNormal"/>
      </w:pPr>
      <w:r>
        <w:t>Asian participants had half the odds of being a past year low-risk/moderate-risk/problem gambler</w:t>
      </w:r>
      <w:r w:rsidRPr="00A55E1D">
        <w:t xml:space="preserve"> versus </w:t>
      </w:r>
      <w:r>
        <w:t>being a non-problem gambler/non-g</w:t>
      </w:r>
      <w:r w:rsidRPr="00A55E1D">
        <w:t>ambl</w:t>
      </w:r>
      <w:r>
        <w:t>er, compared with European/Other participants.</w:t>
      </w:r>
    </w:p>
    <w:p w14:paraId="2525A373" w14:textId="77777777" w:rsidR="00A023BD" w:rsidRPr="00C461FD" w:rsidRDefault="00A023BD" w:rsidP="00A023BD">
      <w:pPr>
        <w:pStyle w:val="RepNormal"/>
        <w:rPr>
          <w:highlight w:val="lightGray"/>
        </w:rPr>
      </w:pPr>
    </w:p>
    <w:p w14:paraId="2FFC487F" w14:textId="1D860B34" w:rsidR="00A023BD" w:rsidRPr="00C21EA4" w:rsidRDefault="00A023BD" w:rsidP="00A023BD">
      <w:pPr>
        <w:pStyle w:val="RepNormal"/>
      </w:pPr>
      <w:r w:rsidRPr="00C21EA4">
        <w:t xml:space="preserve">Participants with an annual household income higher than $40,000 (apart from those in the $60,001 to $80,000 bracket) had lower odds </w:t>
      </w:r>
      <w:r>
        <w:t>of being a past year low-risk/moderate-risk/ problem gambler</w:t>
      </w:r>
      <w:r w:rsidRPr="00A55E1D">
        <w:t xml:space="preserve"> versus </w:t>
      </w:r>
      <w:r>
        <w:t>being a non-problem gambler/non-g</w:t>
      </w:r>
      <w:r w:rsidRPr="00A55E1D">
        <w:t>ambl</w:t>
      </w:r>
      <w:r>
        <w:t>er</w:t>
      </w:r>
      <w:r w:rsidRPr="00C21EA4">
        <w:t xml:space="preserve"> (</w:t>
      </w:r>
      <w:r w:rsidR="004D1358">
        <w:t>odds ratio about 0.6</w:t>
      </w:r>
      <w:r w:rsidRPr="00C21EA4">
        <w:t>)</w:t>
      </w:r>
      <w:r>
        <w:t>,</w:t>
      </w:r>
      <w:r w:rsidRPr="00C21EA4">
        <w:t xml:space="preserve"> compared with participants with an annual household income of $40,000</w:t>
      </w:r>
      <w:r>
        <w:t xml:space="preserve"> or less</w:t>
      </w:r>
      <w:r w:rsidRPr="00C21EA4">
        <w:t xml:space="preserve">.  </w:t>
      </w:r>
    </w:p>
    <w:p w14:paraId="7C76022E" w14:textId="77777777" w:rsidR="00A023BD" w:rsidRPr="00C461FD" w:rsidRDefault="00A023BD" w:rsidP="00A023BD">
      <w:pPr>
        <w:pStyle w:val="RepNormal"/>
        <w:rPr>
          <w:highlight w:val="lightGray"/>
        </w:rPr>
      </w:pPr>
    </w:p>
    <w:p w14:paraId="563E9AF1" w14:textId="17837C99" w:rsidR="00A023BD" w:rsidRDefault="00A023BD" w:rsidP="00A023BD">
      <w:pPr>
        <w:pStyle w:val="RepNormal"/>
      </w:pPr>
      <w:r>
        <w:t>Participants who gambled at least once in the past year had lower odds of being a past year low-risk/moderate-risk/problem gambler</w:t>
      </w:r>
      <w:r w:rsidRPr="00A55E1D">
        <w:t xml:space="preserve"> versus </w:t>
      </w:r>
      <w:r>
        <w:t>being a non-problem gambler/non-g</w:t>
      </w:r>
      <w:r w:rsidRPr="00A55E1D">
        <w:t>ambl</w:t>
      </w:r>
      <w:r>
        <w:t>er (</w:t>
      </w:r>
      <w:r w:rsidR="004D1358">
        <w:t xml:space="preserve">odds ratio </w:t>
      </w:r>
      <w:r>
        <w:t>0.27), than participants who gambled at least weekly.</w:t>
      </w:r>
    </w:p>
    <w:p w14:paraId="3ACAEFAF" w14:textId="77777777" w:rsidR="00A023BD" w:rsidRPr="00522F3C" w:rsidRDefault="00A023BD" w:rsidP="00A023BD">
      <w:pPr>
        <w:pStyle w:val="RepNormal"/>
      </w:pPr>
    </w:p>
    <w:p w14:paraId="1659E824" w14:textId="77777777" w:rsidR="00A023BD" w:rsidRDefault="00A023BD" w:rsidP="00A023BD">
      <w:pPr>
        <w:pStyle w:val="RepNormal"/>
      </w:pPr>
    </w:p>
    <w:p w14:paraId="122B5F35" w14:textId="77777777" w:rsidR="00A023BD" w:rsidRDefault="00A023BD" w:rsidP="00A023BD">
      <w:pPr>
        <w:pStyle w:val="RepHead3"/>
      </w:pPr>
      <w:bookmarkStart w:id="144" w:name="_Ref495670722"/>
      <w:bookmarkStart w:id="145" w:name="_Toc504488379"/>
      <w:r w:rsidRPr="00B116A3">
        <w:t>Multiple logistic regression</w:t>
      </w:r>
      <w:r>
        <w:t xml:space="preserve"> - Māori</w:t>
      </w:r>
      <w:bookmarkEnd w:id="144"/>
      <w:bookmarkEnd w:id="145"/>
    </w:p>
    <w:p w14:paraId="24F03B96" w14:textId="77777777" w:rsidR="00A023BD" w:rsidRDefault="00A023BD" w:rsidP="00A023BD">
      <w:pPr>
        <w:pStyle w:val="RepNormal"/>
      </w:pPr>
    </w:p>
    <w:p w14:paraId="2F2AC056" w14:textId="77777777" w:rsidR="00A023BD" w:rsidRPr="005C7F89" w:rsidRDefault="00A023BD" w:rsidP="00A023BD">
      <w:pPr>
        <w:pStyle w:val="RepNormal"/>
      </w:pPr>
      <w:r>
        <w:t xml:space="preserve">Data are presented in </w:t>
      </w:r>
      <w:r>
        <w:fldChar w:fldCharType="begin"/>
      </w:r>
      <w:r>
        <w:instrText xml:space="preserve"> REF _Ref481501050 \h </w:instrText>
      </w:r>
      <w:r>
        <w:fldChar w:fldCharType="separate"/>
      </w:r>
      <w:r w:rsidR="00D5752E">
        <w:t xml:space="preserve">Table </w:t>
      </w:r>
      <w:r w:rsidR="00D5752E">
        <w:rPr>
          <w:noProof/>
        </w:rPr>
        <w:t>16</w:t>
      </w:r>
      <w:r>
        <w:fldChar w:fldCharType="end"/>
      </w:r>
      <w:r w:rsidRPr="00BF3771">
        <w:t>.</w:t>
      </w:r>
    </w:p>
    <w:p w14:paraId="16216ABA" w14:textId="77777777" w:rsidR="00A023BD" w:rsidRDefault="00A023BD" w:rsidP="00A023BD">
      <w:pPr>
        <w:pStyle w:val="RepNormal"/>
      </w:pPr>
    </w:p>
    <w:p w14:paraId="1B081FFD" w14:textId="77777777" w:rsidR="00A023BD" w:rsidRDefault="00A023BD" w:rsidP="00A023BD">
      <w:pPr>
        <w:pStyle w:val="RepNormal"/>
      </w:pPr>
      <w:r w:rsidRPr="00CC0DD0">
        <w:t xml:space="preserve">Multiple logistic regression analyses for Māori showed that </w:t>
      </w:r>
      <w:r>
        <w:t>there were some similarities, and some differences, from the total population in regard to associations with being a past year low-risk/moderate-risk/problem gambler</w:t>
      </w:r>
      <w:r w:rsidRPr="00A55E1D">
        <w:t xml:space="preserve"> versus </w:t>
      </w:r>
      <w:r>
        <w:t>being a non-problem gambler/non-g</w:t>
      </w:r>
      <w:r w:rsidRPr="00A55E1D">
        <w:t>ambl</w:t>
      </w:r>
      <w:r>
        <w:t xml:space="preserve">er.  </w:t>
      </w:r>
      <w:r w:rsidRPr="00735871">
        <w:t xml:space="preserve">Using drugs, </w:t>
      </w:r>
      <w:r>
        <w:t xml:space="preserve">current tobacco smoking, </w:t>
      </w:r>
      <w:r w:rsidRPr="00735871">
        <w:t>psychological distress, and various gambling participation behaviours were significantly associated.</w:t>
      </w:r>
    </w:p>
    <w:p w14:paraId="21BFEC27" w14:textId="77777777" w:rsidR="00A023BD" w:rsidRPr="00735871" w:rsidRDefault="00A023BD" w:rsidP="00A023BD">
      <w:pPr>
        <w:pStyle w:val="RepNormal"/>
      </w:pPr>
    </w:p>
    <w:p w14:paraId="5AD35355" w14:textId="77777777" w:rsidR="00A023BD" w:rsidRPr="00B01A26" w:rsidRDefault="00A023BD" w:rsidP="00A023BD">
      <w:pPr>
        <w:pStyle w:val="Caption"/>
        <w:keepNext/>
        <w:keepLines/>
        <w:jc w:val="both"/>
        <w:rPr>
          <w:sz w:val="22"/>
          <w:szCs w:val="22"/>
        </w:rPr>
      </w:pPr>
      <w:bookmarkStart w:id="146" w:name="_Ref481501050"/>
      <w:bookmarkStart w:id="147" w:name="_Toc504488441"/>
      <w:r>
        <w:t xml:space="preserve">Table </w:t>
      </w:r>
      <w:r w:rsidR="00D5752E">
        <w:fldChar w:fldCharType="begin"/>
      </w:r>
      <w:r w:rsidR="00D5752E">
        <w:instrText xml:space="preserve"> SEQ Table \* ARABIC </w:instrText>
      </w:r>
      <w:r w:rsidR="00D5752E">
        <w:fldChar w:fldCharType="separate"/>
      </w:r>
      <w:r w:rsidR="00D5752E">
        <w:rPr>
          <w:noProof/>
        </w:rPr>
        <w:t>16</w:t>
      </w:r>
      <w:r w:rsidR="00D5752E">
        <w:rPr>
          <w:noProof/>
        </w:rPr>
        <w:fldChar w:fldCharType="end"/>
      </w:r>
      <w:bookmarkEnd w:id="146"/>
      <w:r>
        <w:t xml:space="preserve">: Multiple logistic regression for </w:t>
      </w:r>
      <w:r w:rsidR="004B0282">
        <w:t xml:space="preserve">the chance of </w:t>
      </w:r>
      <w:r>
        <w:t>being a past year low-risk/moderate-risk/problem gambler</w:t>
      </w:r>
      <w:r w:rsidRPr="00A55E1D">
        <w:t xml:space="preserve"> versus </w:t>
      </w:r>
      <w:r>
        <w:t>being a non-problem gambler/non-g</w:t>
      </w:r>
      <w:r w:rsidRPr="00A55E1D">
        <w:t>ambl</w:t>
      </w:r>
      <w:r>
        <w:t>er across Waves 1 to 4 - Māori</w:t>
      </w:r>
      <w:bookmarkEnd w:id="147"/>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1134"/>
        <w:gridCol w:w="1134"/>
        <w:gridCol w:w="850"/>
      </w:tblGrid>
      <w:tr w:rsidR="00A023BD" w:rsidRPr="003F15C0" w14:paraId="3F4FAF98" w14:textId="77777777" w:rsidTr="00A023BD">
        <w:trPr>
          <w:tblHeader/>
        </w:trPr>
        <w:tc>
          <w:tcPr>
            <w:tcW w:w="5387" w:type="dxa"/>
            <w:tcBorders>
              <w:top w:val="single" w:sz="4" w:space="0" w:color="auto"/>
              <w:bottom w:val="single" w:sz="4" w:space="0" w:color="auto"/>
            </w:tcBorders>
            <w:vAlign w:val="bottom"/>
          </w:tcPr>
          <w:p w14:paraId="7830C26F" w14:textId="77777777" w:rsidR="00A023BD" w:rsidRPr="003F15C0" w:rsidRDefault="00A023BD" w:rsidP="00A023BD">
            <w:pPr>
              <w:keepNext/>
              <w:keepLines/>
              <w:spacing w:before="20"/>
              <w:jc w:val="both"/>
              <w:rPr>
                <w:b/>
                <w:sz w:val="16"/>
                <w:szCs w:val="16"/>
              </w:rPr>
            </w:pPr>
            <w:r>
              <w:rPr>
                <w:b/>
                <w:sz w:val="16"/>
                <w:szCs w:val="16"/>
              </w:rPr>
              <w:t>Wave 1 v</w:t>
            </w:r>
            <w:r w:rsidRPr="003F15C0">
              <w:rPr>
                <w:b/>
                <w:sz w:val="16"/>
                <w:szCs w:val="16"/>
              </w:rPr>
              <w:t>ariable</w:t>
            </w:r>
          </w:p>
        </w:tc>
        <w:tc>
          <w:tcPr>
            <w:tcW w:w="1134" w:type="dxa"/>
            <w:tcBorders>
              <w:top w:val="single" w:sz="4" w:space="0" w:color="auto"/>
              <w:bottom w:val="single" w:sz="4" w:space="0" w:color="auto"/>
            </w:tcBorders>
            <w:vAlign w:val="bottom"/>
          </w:tcPr>
          <w:p w14:paraId="01A0255F" w14:textId="2019428E" w:rsidR="00A023BD" w:rsidRPr="003F15C0" w:rsidRDefault="004B0286" w:rsidP="00A023BD">
            <w:pPr>
              <w:keepNext/>
              <w:keepLines/>
              <w:spacing w:before="20"/>
              <w:jc w:val="right"/>
              <w:rPr>
                <w:b/>
                <w:color w:val="000000"/>
                <w:sz w:val="16"/>
                <w:szCs w:val="16"/>
              </w:rPr>
            </w:pPr>
            <w:r>
              <w:rPr>
                <w:b/>
                <w:color w:val="000000"/>
                <w:sz w:val="16"/>
                <w:szCs w:val="16"/>
              </w:rPr>
              <w:t>Odds r</w:t>
            </w:r>
            <w:r w:rsidR="00A023BD" w:rsidRPr="003F15C0">
              <w:rPr>
                <w:b/>
                <w:color w:val="000000"/>
                <w:sz w:val="16"/>
                <w:szCs w:val="16"/>
              </w:rPr>
              <w:t>atio</w:t>
            </w:r>
          </w:p>
        </w:tc>
        <w:tc>
          <w:tcPr>
            <w:tcW w:w="1134" w:type="dxa"/>
            <w:tcBorders>
              <w:top w:val="single" w:sz="4" w:space="0" w:color="auto"/>
              <w:bottom w:val="single" w:sz="4" w:space="0" w:color="auto"/>
            </w:tcBorders>
            <w:vAlign w:val="bottom"/>
          </w:tcPr>
          <w:p w14:paraId="77C66987" w14:textId="77777777" w:rsidR="00A023BD" w:rsidRPr="003F15C0" w:rsidRDefault="00A023BD" w:rsidP="00A023BD">
            <w:pPr>
              <w:keepNext/>
              <w:keepLines/>
              <w:spacing w:before="20"/>
              <w:jc w:val="right"/>
              <w:rPr>
                <w:b/>
                <w:color w:val="000000"/>
                <w:sz w:val="16"/>
                <w:szCs w:val="16"/>
              </w:rPr>
            </w:pPr>
            <w:r w:rsidRPr="003F15C0">
              <w:rPr>
                <w:b/>
                <w:color w:val="000000"/>
                <w:sz w:val="16"/>
                <w:szCs w:val="16"/>
              </w:rPr>
              <w:t>(95% CI)</w:t>
            </w:r>
          </w:p>
        </w:tc>
        <w:tc>
          <w:tcPr>
            <w:tcW w:w="850" w:type="dxa"/>
            <w:tcBorders>
              <w:top w:val="single" w:sz="4" w:space="0" w:color="auto"/>
              <w:bottom w:val="single" w:sz="4" w:space="0" w:color="auto"/>
            </w:tcBorders>
            <w:vAlign w:val="bottom"/>
          </w:tcPr>
          <w:p w14:paraId="11CB4CD8" w14:textId="77777777" w:rsidR="00A023BD" w:rsidRPr="003F15C0" w:rsidRDefault="00A023BD" w:rsidP="00A023BD">
            <w:pPr>
              <w:keepNext/>
              <w:keepLines/>
              <w:spacing w:before="20"/>
              <w:jc w:val="right"/>
              <w:rPr>
                <w:b/>
                <w:color w:val="000000"/>
                <w:sz w:val="16"/>
                <w:szCs w:val="16"/>
              </w:rPr>
            </w:pPr>
            <w:r w:rsidRPr="003F15C0">
              <w:rPr>
                <w:b/>
                <w:color w:val="000000"/>
                <w:sz w:val="16"/>
                <w:szCs w:val="16"/>
              </w:rPr>
              <w:t>p-value</w:t>
            </w:r>
          </w:p>
        </w:tc>
      </w:tr>
      <w:tr w:rsidR="00A023BD" w:rsidRPr="001A61F1" w14:paraId="5169DFE0" w14:textId="77777777" w:rsidTr="00A023BD">
        <w:tc>
          <w:tcPr>
            <w:tcW w:w="5387" w:type="dxa"/>
            <w:tcBorders>
              <w:top w:val="single" w:sz="4" w:space="0" w:color="auto"/>
            </w:tcBorders>
          </w:tcPr>
          <w:p w14:paraId="6F102BBD" w14:textId="77777777" w:rsidR="00A023BD" w:rsidRPr="007C6C78" w:rsidRDefault="00A023BD" w:rsidP="00A023BD">
            <w:pPr>
              <w:keepNext/>
              <w:keepLines/>
              <w:spacing w:before="20"/>
              <w:jc w:val="both"/>
              <w:rPr>
                <w:b/>
                <w:sz w:val="16"/>
                <w:szCs w:val="16"/>
              </w:rPr>
            </w:pPr>
            <w:r w:rsidRPr="007C6C78">
              <w:rPr>
                <w:b/>
                <w:sz w:val="16"/>
                <w:szCs w:val="16"/>
              </w:rPr>
              <w:t>Uses drugs</w:t>
            </w:r>
          </w:p>
        </w:tc>
        <w:tc>
          <w:tcPr>
            <w:tcW w:w="1134" w:type="dxa"/>
            <w:tcBorders>
              <w:top w:val="single" w:sz="4" w:space="0" w:color="auto"/>
            </w:tcBorders>
            <w:shd w:val="clear" w:color="auto" w:fill="auto"/>
            <w:vAlign w:val="center"/>
          </w:tcPr>
          <w:p w14:paraId="5A6AE37A" w14:textId="77777777" w:rsidR="00A023BD" w:rsidRPr="00637CF2" w:rsidRDefault="00A023BD" w:rsidP="00A023BD">
            <w:pPr>
              <w:keepNext/>
              <w:keepLines/>
              <w:jc w:val="right"/>
              <w:rPr>
                <w:color w:val="000000"/>
                <w:sz w:val="16"/>
                <w:szCs w:val="16"/>
                <w:lang w:eastAsia="en-NZ"/>
              </w:rPr>
            </w:pPr>
          </w:p>
        </w:tc>
        <w:tc>
          <w:tcPr>
            <w:tcW w:w="1134" w:type="dxa"/>
            <w:tcBorders>
              <w:top w:val="single" w:sz="4" w:space="0" w:color="auto"/>
            </w:tcBorders>
            <w:shd w:val="clear" w:color="auto" w:fill="auto"/>
            <w:vAlign w:val="center"/>
          </w:tcPr>
          <w:p w14:paraId="51A595DD" w14:textId="77777777" w:rsidR="00A023BD" w:rsidRPr="00637CF2" w:rsidRDefault="00A023BD" w:rsidP="00A023BD">
            <w:pPr>
              <w:keepNext/>
              <w:keepLines/>
              <w:jc w:val="right"/>
              <w:rPr>
                <w:color w:val="000000"/>
                <w:sz w:val="16"/>
                <w:szCs w:val="16"/>
                <w:lang w:eastAsia="en-NZ"/>
              </w:rPr>
            </w:pPr>
          </w:p>
        </w:tc>
        <w:tc>
          <w:tcPr>
            <w:tcW w:w="850" w:type="dxa"/>
            <w:tcBorders>
              <w:top w:val="single" w:sz="4" w:space="0" w:color="auto"/>
            </w:tcBorders>
            <w:shd w:val="clear" w:color="auto" w:fill="auto"/>
            <w:vAlign w:val="center"/>
          </w:tcPr>
          <w:p w14:paraId="58731141" w14:textId="77777777" w:rsidR="00A023BD" w:rsidRPr="00637CF2" w:rsidRDefault="00A023BD" w:rsidP="00A023BD">
            <w:pPr>
              <w:keepNext/>
              <w:keepLines/>
              <w:jc w:val="right"/>
              <w:rPr>
                <w:color w:val="000000"/>
                <w:sz w:val="16"/>
                <w:szCs w:val="16"/>
                <w:lang w:eastAsia="en-NZ"/>
              </w:rPr>
            </w:pPr>
          </w:p>
        </w:tc>
      </w:tr>
      <w:tr w:rsidR="00A023BD" w:rsidRPr="001A61F1" w14:paraId="6597AC27" w14:textId="77777777" w:rsidTr="00A023BD">
        <w:tc>
          <w:tcPr>
            <w:tcW w:w="5387" w:type="dxa"/>
          </w:tcPr>
          <w:p w14:paraId="65BE787A" w14:textId="77777777" w:rsidR="00A023BD" w:rsidRPr="001A61F1" w:rsidRDefault="00A023BD" w:rsidP="00A023BD">
            <w:pPr>
              <w:keepNext/>
              <w:keepLines/>
              <w:spacing w:before="20"/>
              <w:ind w:left="176"/>
              <w:jc w:val="both"/>
              <w:rPr>
                <w:sz w:val="16"/>
                <w:szCs w:val="16"/>
              </w:rPr>
            </w:pPr>
            <w:r>
              <w:rPr>
                <w:sz w:val="16"/>
                <w:szCs w:val="16"/>
              </w:rPr>
              <w:t>Yes</w:t>
            </w:r>
          </w:p>
        </w:tc>
        <w:tc>
          <w:tcPr>
            <w:tcW w:w="1134" w:type="dxa"/>
            <w:shd w:val="clear" w:color="auto" w:fill="auto"/>
            <w:vAlign w:val="bottom"/>
          </w:tcPr>
          <w:p w14:paraId="5720D3EF"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1.00</w:t>
            </w:r>
          </w:p>
        </w:tc>
        <w:tc>
          <w:tcPr>
            <w:tcW w:w="1134" w:type="dxa"/>
            <w:shd w:val="clear" w:color="auto" w:fill="auto"/>
            <w:vAlign w:val="bottom"/>
          </w:tcPr>
          <w:p w14:paraId="216F5C15" w14:textId="77777777" w:rsidR="00A023BD" w:rsidRPr="0004389A" w:rsidRDefault="00A023BD" w:rsidP="00A023BD">
            <w:pPr>
              <w:keepNext/>
              <w:keepLines/>
              <w:jc w:val="right"/>
              <w:rPr>
                <w:color w:val="000000"/>
                <w:sz w:val="16"/>
                <w:szCs w:val="16"/>
                <w:lang w:eastAsia="en-NZ"/>
              </w:rPr>
            </w:pPr>
          </w:p>
        </w:tc>
        <w:tc>
          <w:tcPr>
            <w:tcW w:w="850" w:type="dxa"/>
            <w:shd w:val="clear" w:color="auto" w:fill="auto"/>
            <w:vAlign w:val="bottom"/>
          </w:tcPr>
          <w:p w14:paraId="482C4674" w14:textId="77777777" w:rsidR="00A023BD" w:rsidRPr="0004389A" w:rsidRDefault="00A023BD" w:rsidP="00A023BD">
            <w:pPr>
              <w:keepNext/>
              <w:keepLines/>
              <w:jc w:val="right"/>
              <w:rPr>
                <w:color w:val="000000"/>
                <w:sz w:val="16"/>
                <w:szCs w:val="16"/>
                <w:lang w:eastAsia="en-NZ"/>
              </w:rPr>
            </w:pPr>
          </w:p>
        </w:tc>
      </w:tr>
      <w:tr w:rsidR="00A023BD" w:rsidRPr="001A61F1" w14:paraId="42C83AAA" w14:textId="77777777" w:rsidTr="00326B55">
        <w:tc>
          <w:tcPr>
            <w:tcW w:w="5387" w:type="dxa"/>
          </w:tcPr>
          <w:p w14:paraId="06B4301C" w14:textId="77777777" w:rsidR="00A023BD" w:rsidRPr="001A61F1" w:rsidRDefault="00A023BD" w:rsidP="00A023BD">
            <w:pPr>
              <w:keepNext/>
              <w:keepLines/>
              <w:spacing w:before="20"/>
              <w:ind w:left="176"/>
              <w:jc w:val="both"/>
              <w:rPr>
                <w:sz w:val="16"/>
                <w:szCs w:val="16"/>
              </w:rPr>
            </w:pPr>
            <w:r>
              <w:rPr>
                <w:sz w:val="16"/>
                <w:szCs w:val="16"/>
              </w:rPr>
              <w:t>No</w:t>
            </w:r>
          </w:p>
        </w:tc>
        <w:tc>
          <w:tcPr>
            <w:tcW w:w="1134" w:type="dxa"/>
            <w:shd w:val="clear" w:color="auto" w:fill="auto"/>
            <w:vAlign w:val="bottom"/>
          </w:tcPr>
          <w:p w14:paraId="49A650C7"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0.63</w:t>
            </w:r>
          </w:p>
        </w:tc>
        <w:tc>
          <w:tcPr>
            <w:tcW w:w="1134" w:type="dxa"/>
            <w:shd w:val="clear" w:color="auto" w:fill="auto"/>
            <w:vAlign w:val="bottom"/>
          </w:tcPr>
          <w:p w14:paraId="0C75BB63"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(0.41, 0.96)</w:t>
            </w:r>
          </w:p>
        </w:tc>
        <w:tc>
          <w:tcPr>
            <w:tcW w:w="850" w:type="dxa"/>
            <w:shd w:val="clear" w:color="auto" w:fill="auto"/>
            <w:vAlign w:val="bottom"/>
          </w:tcPr>
          <w:p w14:paraId="1BA27752"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0.03</w:t>
            </w:r>
          </w:p>
        </w:tc>
      </w:tr>
      <w:tr w:rsidR="00A023BD" w:rsidRPr="003F15C0" w14:paraId="490A58F7" w14:textId="77777777" w:rsidTr="00A023BD">
        <w:tc>
          <w:tcPr>
            <w:tcW w:w="5387" w:type="dxa"/>
            <w:shd w:val="clear" w:color="auto" w:fill="auto"/>
          </w:tcPr>
          <w:p w14:paraId="167F563D" w14:textId="77777777" w:rsidR="00A023BD" w:rsidRPr="007C6C78" w:rsidRDefault="00A023BD" w:rsidP="00A023BD">
            <w:pPr>
              <w:keepNext/>
              <w:keepLines/>
              <w:spacing w:before="20"/>
              <w:jc w:val="both"/>
              <w:rPr>
                <w:b/>
                <w:sz w:val="16"/>
                <w:szCs w:val="16"/>
              </w:rPr>
            </w:pPr>
            <w:r w:rsidRPr="007C6C78">
              <w:rPr>
                <w:b/>
                <w:sz w:val="16"/>
                <w:szCs w:val="16"/>
              </w:rPr>
              <w:t>Psychological distress (Kessler-10)</w:t>
            </w:r>
          </w:p>
        </w:tc>
        <w:tc>
          <w:tcPr>
            <w:tcW w:w="1134" w:type="dxa"/>
            <w:shd w:val="clear" w:color="auto" w:fill="auto"/>
            <w:vAlign w:val="center"/>
          </w:tcPr>
          <w:p w14:paraId="2E1C2AC4" w14:textId="77777777" w:rsidR="00A023BD" w:rsidRPr="00DF4034" w:rsidRDefault="00A023BD" w:rsidP="00A023BD">
            <w:pPr>
              <w:keepNext/>
              <w:keepLines/>
              <w:jc w:val="right"/>
              <w:rPr>
                <w:color w:val="000000"/>
                <w:sz w:val="16"/>
                <w:szCs w:val="16"/>
                <w:lang w:eastAsia="en-NZ"/>
              </w:rPr>
            </w:pPr>
          </w:p>
        </w:tc>
        <w:tc>
          <w:tcPr>
            <w:tcW w:w="1134" w:type="dxa"/>
            <w:shd w:val="clear" w:color="auto" w:fill="auto"/>
            <w:vAlign w:val="center"/>
          </w:tcPr>
          <w:p w14:paraId="09A17B6C" w14:textId="77777777" w:rsidR="00A023BD" w:rsidRPr="00DF4034" w:rsidRDefault="00A023BD" w:rsidP="00A023BD">
            <w:pPr>
              <w:keepNext/>
              <w:keepLines/>
              <w:jc w:val="right"/>
              <w:rPr>
                <w:color w:val="000000"/>
                <w:sz w:val="16"/>
                <w:szCs w:val="16"/>
                <w:lang w:eastAsia="en-NZ"/>
              </w:rPr>
            </w:pPr>
          </w:p>
        </w:tc>
        <w:tc>
          <w:tcPr>
            <w:tcW w:w="850" w:type="dxa"/>
            <w:shd w:val="clear" w:color="auto" w:fill="auto"/>
            <w:vAlign w:val="center"/>
          </w:tcPr>
          <w:p w14:paraId="13088606" w14:textId="77777777" w:rsidR="00A023BD" w:rsidRPr="00DF4034" w:rsidRDefault="00A023BD" w:rsidP="00A023BD">
            <w:pPr>
              <w:keepNext/>
              <w:keepLines/>
              <w:jc w:val="right"/>
              <w:rPr>
                <w:color w:val="000000"/>
                <w:sz w:val="16"/>
                <w:szCs w:val="16"/>
                <w:lang w:eastAsia="en-NZ"/>
              </w:rPr>
            </w:pPr>
          </w:p>
        </w:tc>
      </w:tr>
      <w:tr w:rsidR="00A023BD" w:rsidRPr="003F15C0" w14:paraId="38F60AED" w14:textId="77777777" w:rsidTr="00A023BD">
        <w:tc>
          <w:tcPr>
            <w:tcW w:w="5387" w:type="dxa"/>
            <w:shd w:val="clear" w:color="auto" w:fill="auto"/>
            <w:vAlign w:val="bottom"/>
          </w:tcPr>
          <w:p w14:paraId="2D03CBD5" w14:textId="77777777" w:rsidR="00A023BD" w:rsidRPr="007C6C78" w:rsidRDefault="00A023BD" w:rsidP="00A023BD">
            <w:pPr>
              <w:keepNext/>
              <w:keepLines/>
              <w:spacing w:before="20"/>
              <w:ind w:left="176"/>
              <w:jc w:val="both"/>
              <w:rPr>
                <w:sz w:val="16"/>
                <w:szCs w:val="16"/>
              </w:rPr>
            </w:pPr>
            <w:r>
              <w:rPr>
                <w:sz w:val="16"/>
                <w:szCs w:val="16"/>
              </w:rPr>
              <w:t xml:space="preserve">Low (Score </w:t>
            </w:r>
            <w:r w:rsidRPr="007C6C78">
              <w:rPr>
                <w:sz w:val="16"/>
                <w:szCs w:val="16"/>
              </w:rPr>
              <w:t>0</w:t>
            </w:r>
            <w:r>
              <w:rPr>
                <w:sz w:val="16"/>
                <w:szCs w:val="16"/>
              </w:rPr>
              <w:t xml:space="preserve"> </w:t>
            </w:r>
            <w:r w:rsidRPr="007C6C78">
              <w:rPr>
                <w:sz w:val="16"/>
                <w:szCs w:val="16"/>
              </w:rPr>
              <w:t>-</w:t>
            </w:r>
            <w:r>
              <w:rPr>
                <w:sz w:val="16"/>
                <w:szCs w:val="16"/>
              </w:rPr>
              <w:t xml:space="preserve"> </w:t>
            </w:r>
            <w:r w:rsidRPr="007C6C78">
              <w:rPr>
                <w:sz w:val="16"/>
                <w:szCs w:val="16"/>
              </w:rPr>
              <w:t>5</w:t>
            </w:r>
            <w:r>
              <w:rPr>
                <w:sz w:val="16"/>
                <w:szCs w:val="16"/>
              </w:rPr>
              <w:t>)</w:t>
            </w:r>
          </w:p>
        </w:tc>
        <w:tc>
          <w:tcPr>
            <w:tcW w:w="1134" w:type="dxa"/>
            <w:shd w:val="clear" w:color="auto" w:fill="auto"/>
            <w:vAlign w:val="bottom"/>
          </w:tcPr>
          <w:p w14:paraId="05AF6487"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1.00</w:t>
            </w:r>
          </w:p>
        </w:tc>
        <w:tc>
          <w:tcPr>
            <w:tcW w:w="1134" w:type="dxa"/>
            <w:shd w:val="clear" w:color="auto" w:fill="auto"/>
            <w:vAlign w:val="bottom"/>
          </w:tcPr>
          <w:p w14:paraId="34B040B9" w14:textId="77777777" w:rsidR="00A023BD" w:rsidRPr="0004389A" w:rsidRDefault="00A023BD" w:rsidP="00A023BD">
            <w:pPr>
              <w:keepNext/>
              <w:keepLines/>
              <w:jc w:val="right"/>
              <w:rPr>
                <w:color w:val="000000"/>
                <w:sz w:val="16"/>
                <w:szCs w:val="16"/>
                <w:lang w:eastAsia="en-NZ"/>
              </w:rPr>
            </w:pPr>
          </w:p>
        </w:tc>
        <w:tc>
          <w:tcPr>
            <w:tcW w:w="850" w:type="dxa"/>
            <w:shd w:val="clear" w:color="auto" w:fill="auto"/>
            <w:vAlign w:val="bottom"/>
          </w:tcPr>
          <w:p w14:paraId="68AFBD17" w14:textId="77777777" w:rsidR="00A023BD" w:rsidRPr="0004389A" w:rsidRDefault="00A023BD" w:rsidP="00A023BD">
            <w:pPr>
              <w:keepNext/>
              <w:keepLines/>
              <w:jc w:val="right"/>
              <w:rPr>
                <w:color w:val="000000"/>
                <w:sz w:val="16"/>
                <w:szCs w:val="16"/>
                <w:lang w:eastAsia="en-NZ"/>
              </w:rPr>
            </w:pPr>
          </w:p>
        </w:tc>
      </w:tr>
      <w:tr w:rsidR="00A023BD" w:rsidRPr="003F15C0" w14:paraId="16FA36E8" w14:textId="77777777" w:rsidTr="00A023BD">
        <w:tc>
          <w:tcPr>
            <w:tcW w:w="5387" w:type="dxa"/>
            <w:shd w:val="clear" w:color="auto" w:fill="auto"/>
            <w:vAlign w:val="bottom"/>
          </w:tcPr>
          <w:p w14:paraId="520DEB55" w14:textId="77777777" w:rsidR="00A023BD" w:rsidRPr="007C6C78" w:rsidRDefault="00A023BD" w:rsidP="00A023BD">
            <w:pPr>
              <w:keepNext/>
              <w:keepLines/>
              <w:spacing w:before="20"/>
              <w:ind w:left="176"/>
              <w:jc w:val="both"/>
              <w:rPr>
                <w:sz w:val="16"/>
                <w:szCs w:val="16"/>
              </w:rPr>
            </w:pPr>
            <w:r>
              <w:rPr>
                <w:sz w:val="16"/>
                <w:szCs w:val="16"/>
              </w:rPr>
              <w:t xml:space="preserve">Moderate (Score </w:t>
            </w:r>
            <w:r w:rsidRPr="007C6C78">
              <w:rPr>
                <w:sz w:val="16"/>
                <w:szCs w:val="16"/>
              </w:rPr>
              <w:t>6</w:t>
            </w:r>
            <w:r>
              <w:rPr>
                <w:sz w:val="16"/>
                <w:szCs w:val="16"/>
              </w:rPr>
              <w:t xml:space="preserve"> </w:t>
            </w:r>
            <w:r w:rsidRPr="007C6C78">
              <w:rPr>
                <w:sz w:val="16"/>
                <w:szCs w:val="16"/>
              </w:rPr>
              <w:t>-</w:t>
            </w:r>
            <w:r>
              <w:rPr>
                <w:sz w:val="16"/>
                <w:szCs w:val="16"/>
              </w:rPr>
              <w:t xml:space="preserve"> </w:t>
            </w:r>
            <w:r w:rsidRPr="007C6C78">
              <w:rPr>
                <w:sz w:val="16"/>
                <w:szCs w:val="16"/>
              </w:rPr>
              <w:t>11</w:t>
            </w:r>
            <w:r>
              <w:rPr>
                <w:sz w:val="16"/>
                <w:szCs w:val="16"/>
              </w:rPr>
              <w:t>)</w:t>
            </w:r>
          </w:p>
        </w:tc>
        <w:tc>
          <w:tcPr>
            <w:tcW w:w="1134" w:type="dxa"/>
            <w:shd w:val="clear" w:color="auto" w:fill="auto"/>
            <w:vAlign w:val="bottom"/>
          </w:tcPr>
          <w:p w14:paraId="7B09EF6C"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4.98</w:t>
            </w:r>
          </w:p>
        </w:tc>
        <w:tc>
          <w:tcPr>
            <w:tcW w:w="1134" w:type="dxa"/>
            <w:shd w:val="clear" w:color="auto" w:fill="auto"/>
            <w:vAlign w:val="bottom"/>
          </w:tcPr>
          <w:p w14:paraId="4732F061"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(2.82, 8.83)</w:t>
            </w:r>
          </w:p>
        </w:tc>
        <w:tc>
          <w:tcPr>
            <w:tcW w:w="850" w:type="dxa"/>
            <w:shd w:val="clear" w:color="auto" w:fill="auto"/>
            <w:vAlign w:val="bottom"/>
          </w:tcPr>
          <w:p w14:paraId="083C93AE" w14:textId="77777777" w:rsidR="00A023BD" w:rsidRPr="0004389A" w:rsidRDefault="00A023BD" w:rsidP="00A023BD">
            <w:pPr>
              <w:keepNext/>
              <w:keepLines/>
              <w:jc w:val="right"/>
              <w:rPr>
                <w:color w:val="000000"/>
                <w:sz w:val="16"/>
                <w:szCs w:val="16"/>
                <w:lang w:eastAsia="en-NZ"/>
              </w:rPr>
            </w:pPr>
          </w:p>
        </w:tc>
      </w:tr>
      <w:tr w:rsidR="00A023BD" w:rsidRPr="003F15C0" w14:paraId="6347A66F" w14:textId="77777777" w:rsidTr="00A023BD">
        <w:tc>
          <w:tcPr>
            <w:tcW w:w="5387" w:type="dxa"/>
            <w:shd w:val="clear" w:color="auto" w:fill="auto"/>
            <w:vAlign w:val="bottom"/>
          </w:tcPr>
          <w:p w14:paraId="18191AB4" w14:textId="77777777" w:rsidR="00A023BD" w:rsidRPr="007C6C78" w:rsidRDefault="00A023BD" w:rsidP="00A023BD">
            <w:pPr>
              <w:keepNext/>
              <w:keepLines/>
              <w:spacing w:before="20"/>
              <w:ind w:left="176"/>
              <w:jc w:val="both"/>
              <w:rPr>
                <w:sz w:val="16"/>
                <w:szCs w:val="16"/>
              </w:rPr>
            </w:pPr>
            <w:r>
              <w:rPr>
                <w:sz w:val="16"/>
                <w:szCs w:val="16"/>
              </w:rPr>
              <w:t xml:space="preserve">High (Score </w:t>
            </w:r>
            <w:r w:rsidRPr="007C6C78">
              <w:rPr>
                <w:sz w:val="16"/>
                <w:szCs w:val="16"/>
              </w:rPr>
              <w:t>12</w:t>
            </w:r>
            <w:r>
              <w:rPr>
                <w:sz w:val="16"/>
                <w:szCs w:val="16"/>
              </w:rPr>
              <w:t xml:space="preserve"> </w:t>
            </w:r>
            <w:r w:rsidRPr="007C6C78">
              <w:rPr>
                <w:sz w:val="16"/>
                <w:szCs w:val="16"/>
              </w:rPr>
              <w:t>-</w:t>
            </w:r>
            <w:r>
              <w:rPr>
                <w:sz w:val="16"/>
                <w:szCs w:val="16"/>
              </w:rPr>
              <w:t xml:space="preserve"> </w:t>
            </w:r>
            <w:r w:rsidRPr="007C6C78">
              <w:rPr>
                <w:sz w:val="16"/>
                <w:szCs w:val="16"/>
              </w:rPr>
              <w:t>19</w:t>
            </w:r>
            <w:r>
              <w:rPr>
                <w:sz w:val="16"/>
                <w:szCs w:val="16"/>
              </w:rPr>
              <w:t>)</w:t>
            </w:r>
          </w:p>
        </w:tc>
        <w:tc>
          <w:tcPr>
            <w:tcW w:w="1134" w:type="dxa"/>
            <w:shd w:val="clear" w:color="auto" w:fill="auto"/>
            <w:vAlign w:val="bottom"/>
          </w:tcPr>
          <w:p w14:paraId="16223C9E"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8.79</w:t>
            </w:r>
          </w:p>
        </w:tc>
        <w:tc>
          <w:tcPr>
            <w:tcW w:w="1134" w:type="dxa"/>
            <w:shd w:val="clear" w:color="auto" w:fill="auto"/>
            <w:vAlign w:val="bottom"/>
          </w:tcPr>
          <w:p w14:paraId="3A7C28FB"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(3.67, 21.04)</w:t>
            </w:r>
          </w:p>
        </w:tc>
        <w:tc>
          <w:tcPr>
            <w:tcW w:w="850" w:type="dxa"/>
            <w:shd w:val="clear" w:color="auto" w:fill="auto"/>
            <w:vAlign w:val="bottom"/>
          </w:tcPr>
          <w:p w14:paraId="483CE5C6" w14:textId="77777777" w:rsidR="00A023BD" w:rsidRPr="0004389A" w:rsidRDefault="00A023BD" w:rsidP="00A023BD">
            <w:pPr>
              <w:keepNext/>
              <w:keepLines/>
              <w:jc w:val="right"/>
              <w:rPr>
                <w:color w:val="000000"/>
                <w:sz w:val="16"/>
                <w:szCs w:val="16"/>
                <w:lang w:eastAsia="en-NZ"/>
              </w:rPr>
            </w:pPr>
          </w:p>
        </w:tc>
      </w:tr>
      <w:tr w:rsidR="00A023BD" w:rsidRPr="003F15C0" w14:paraId="08C9DBC8" w14:textId="77777777" w:rsidTr="00326B55">
        <w:tc>
          <w:tcPr>
            <w:tcW w:w="5387" w:type="dxa"/>
            <w:shd w:val="clear" w:color="auto" w:fill="auto"/>
            <w:vAlign w:val="bottom"/>
          </w:tcPr>
          <w:p w14:paraId="4EC8D16E" w14:textId="77777777" w:rsidR="00A023BD" w:rsidRPr="007C6C78" w:rsidRDefault="00A023BD" w:rsidP="00A023BD">
            <w:pPr>
              <w:keepNext/>
              <w:keepLines/>
              <w:spacing w:before="20"/>
              <w:ind w:left="176"/>
              <w:jc w:val="both"/>
              <w:rPr>
                <w:sz w:val="16"/>
                <w:szCs w:val="16"/>
              </w:rPr>
            </w:pPr>
            <w:r>
              <w:rPr>
                <w:sz w:val="16"/>
                <w:szCs w:val="16"/>
              </w:rPr>
              <w:t xml:space="preserve">Severe (Score </w:t>
            </w:r>
            <w:r w:rsidRPr="007C6C78">
              <w:rPr>
                <w:sz w:val="16"/>
                <w:szCs w:val="16"/>
              </w:rPr>
              <w:t>20</w:t>
            </w:r>
            <w:r>
              <w:rPr>
                <w:sz w:val="16"/>
                <w:szCs w:val="16"/>
              </w:rPr>
              <w:t xml:space="preserve"> </w:t>
            </w:r>
            <w:r w:rsidRPr="007C6C78">
              <w:rPr>
                <w:sz w:val="16"/>
                <w:szCs w:val="16"/>
              </w:rPr>
              <w:t>-</w:t>
            </w:r>
            <w:r>
              <w:rPr>
                <w:sz w:val="16"/>
                <w:szCs w:val="16"/>
              </w:rPr>
              <w:t xml:space="preserve"> </w:t>
            </w:r>
            <w:r w:rsidRPr="007C6C78">
              <w:rPr>
                <w:sz w:val="16"/>
                <w:szCs w:val="16"/>
              </w:rPr>
              <w:t>40</w:t>
            </w:r>
            <w:r>
              <w:rPr>
                <w:sz w:val="16"/>
                <w:szCs w:val="16"/>
              </w:rPr>
              <w:t>)</w:t>
            </w:r>
          </w:p>
        </w:tc>
        <w:tc>
          <w:tcPr>
            <w:tcW w:w="1134" w:type="dxa"/>
            <w:shd w:val="clear" w:color="auto" w:fill="auto"/>
            <w:vAlign w:val="bottom"/>
          </w:tcPr>
          <w:p w14:paraId="09175264"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3.40</w:t>
            </w:r>
          </w:p>
        </w:tc>
        <w:tc>
          <w:tcPr>
            <w:tcW w:w="1134" w:type="dxa"/>
            <w:shd w:val="clear" w:color="auto" w:fill="auto"/>
            <w:vAlign w:val="bottom"/>
          </w:tcPr>
          <w:p w14:paraId="5EC0693E"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(2.18, 5.30)</w:t>
            </w:r>
          </w:p>
        </w:tc>
        <w:tc>
          <w:tcPr>
            <w:tcW w:w="850" w:type="dxa"/>
            <w:shd w:val="clear" w:color="auto" w:fill="auto"/>
            <w:vAlign w:val="bottom"/>
          </w:tcPr>
          <w:p w14:paraId="16926217"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&lt;</w:t>
            </w:r>
            <w:r>
              <w:rPr>
                <w:color w:val="000000"/>
                <w:sz w:val="16"/>
                <w:szCs w:val="16"/>
                <w:lang w:eastAsia="en-NZ"/>
              </w:rPr>
              <w:t>0</w:t>
            </w:r>
            <w:r w:rsidRPr="0004389A">
              <w:rPr>
                <w:color w:val="000000"/>
                <w:sz w:val="16"/>
                <w:szCs w:val="16"/>
                <w:lang w:eastAsia="en-NZ"/>
              </w:rPr>
              <w:t>.0001</w:t>
            </w:r>
          </w:p>
        </w:tc>
      </w:tr>
      <w:tr w:rsidR="00A023BD" w:rsidRPr="001A61F1" w14:paraId="1DC8754D" w14:textId="77777777" w:rsidTr="00A023BD">
        <w:tc>
          <w:tcPr>
            <w:tcW w:w="5387" w:type="dxa"/>
          </w:tcPr>
          <w:p w14:paraId="43014FD0" w14:textId="77777777" w:rsidR="00A023BD" w:rsidRPr="00672E88" w:rsidRDefault="00A023BD" w:rsidP="00A023BD">
            <w:pPr>
              <w:keepNext/>
              <w:keepLines/>
              <w:spacing w:before="20"/>
              <w:jc w:val="both"/>
              <w:rPr>
                <w:b/>
                <w:sz w:val="16"/>
                <w:szCs w:val="16"/>
              </w:rPr>
            </w:pPr>
            <w:r w:rsidRPr="00672E88">
              <w:rPr>
                <w:b/>
                <w:sz w:val="16"/>
                <w:szCs w:val="16"/>
              </w:rPr>
              <w:t>Current tobacco use</w:t>
            </w:r>
          </w:p>
        </w:tc>
        <w:tc>
          <w:tcPr>
            <w:tcW w:w="1134" w:type="dxa"/>
            <w:shd w:val="clear" w:color="auto" w:fill="auto"/>
            <w:vAlign w:val="center"/>
          </w:tcPr>
          <w:p w14:paraId="245FB555" w14:textId="77777777" w:rsidR="00A023BD" w:rsidRPr="00637CF2" w:rsidRDefault="00A023BD" w:rsidP="00A023BD">
            <w:pPr>
              <w:keepNext/>
              <w:keepLines/>
              <w:jc w:val="right"/>
              <w:rPr>
                <w:color w:val="000000"/>
                <w:sz w:val="16"/>
                <w:szCs w:val="16"/>
                <w:lang w:eastAsia="en-NZ"/>
              </w:rPr>
            </w:pPr>
          </w:p>
        </w:tc>
        <w:tc>
          <w:tcPr>
            <w:tcW w:w="1134" w:type="dxa"/>
            <w:shd w:val="clear" w:color="auto" w:fill="auto"/>
            <w:vAlign w:val="center"/>
          </w:tcPr>
          <w:p w14:paraId="06BC3E65" w14:textId="77777777" w:rsidR="00A023BD" w:rsidRPr="00637CF2" w:rsidRDefault="00A023BD" w:rsidP="00A023BD">
            <w:pPr>
              <w:keepNext/>
              <w:keepLines/>
              <w:jc w:val="right"/>
              <w:rPr>
                <w:color w:val="000000"/>
                <w:sz w:val="16"/>
                <w:szCs w:val="16"/>
                <w:lang w:eastAsia="en-NZ"/>
              </w:rPr>
            </w:pPr>
          </w:p>
        </w:tc>
        <w:tc>
          <w:tcPr>
            <w:tcW w:w="850" w:type="dxa"/>
            <w:shd w:val="clear" w:color="auto" w:fill="auto"/>
            <w:vAlign w:val="center"/>
          </w:tcPr>
          <w:p w14:paraId="7EB26B39" w14:textId="77777777" w:rsidR="00A023BD" w:rsidRPr="00637CF2" w:rsidRDefault="00A023BD" w:rsidP="00A023BD">
            <w:pPr>
              <w:keepNext/>
              <w:keepLines/>
              <w:jc w:val="right"/>
              <w:rPr>
                <w:color w:val="000000"/>
                <w:sz w:val="16"/>
                <w:szCs w:val="16"/>
                <w:lang w:eastAsia="en-NZ"/>
              </w:rPr>
            </w:pPr>
          </w:p>
        </w:tc>
      </w:tr>
      <w:tr w:rsidR="00A023BD" w:rsidRPr="001A61F1" w14:paraId="4663AEDC" w14:textId="77777777" w:rsidTr="00A023BD">
        <w:tc>
          <w:tcPr>
            <w:tcW w:w="5387" w:type="dxa"/>
          </w:tcPr>
          <w:p w14:paraId="2E48CDBC" w14:textId="77777777" w:rsidR="00A023BD" w:rsidRPr="00672E88" w:rsidRDefault="00A023BD" w:rsidP="00A023BD">
            <w:pPr>
              <w:keepNext/>
              <w:keepLines/>
              <w:spacing w:before="20"/>
              <w:ind w:left="176"/>
              <w:jc w:val="both"/>
              <w:rPr>
                <w:sz w:val="16"/>
                <w:szCs w:val="16"/>
              </w:rPr>
            </w:pPr>
            <w:r w:rsidRPr="00672E88">
              <w:rPr>
                <w:sz w:val="16"/>
                <w:szCs w:val="16"/>
              </w:rPr>
              <w:t>Non-smoker</w:t>
            </w:r>
          </w:p>
        </w:tc>
        <w:tc>
          <w:tcPr>
            <w:tcW w:w="1134" w:type="dxa"/>
            <w:shd w:val="clear" w:color="auto" w:fill="auto"/>
            <w:vAlign w:val="bottom"/>
          </w:tcPr>
          <w:p w14:paraId="3A097911"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1.00</w:t>
            </w:r>
          </w:p>
        </w:tc>
        <w:tc>
          <w:tcPr>
            <w:tcW w:w="1134" w:type="dxa"/>
            <w:shd w:val="clear" w:color="auto" w:fill="auto"/>
            <w:vAlign w:val="bottom"/>
          </w:tcPr>
          <w:p w14:paraId="18765DDD" w14:textId="77777777" w:rsidR="00A023BD" w:rsidRPr="0004389A" w:rsidRDefault="00A023BD" w:rsidP="00A023BD">
            <w:pPr>
              <w:keepNext/>
              <w:keepLines/>
              <w:jc w:val="right"/>
              <w:rPr>
                <w:color w:val="000000"/>
                <w:sz w:val="16"/>
                <w:szCs w:val="16"/>
                <w:lang w:eastAsia="en-NZ"/>
              </w:rPr>
            </w:pPr>
          </w:p>
        </w:tc>
        <w:tc>
          <w:tcPr>
            <w:tcW w:w="850" w:type="dxa"/>
            <w:shd w:val="clear" w:color="auto" w:fill="auto"/>
            <w:vAlign w:val="bottom"/>
          </w:tcPr>
          <w:p w14:paraId="0FFBB537" w14:textId="77777777" w:rsidR="00A023BD" w:rsidRPr="0004389A" w:rsidRDefault="00A023BD" w:rsidP="00A023BD">
            <w:pPr>
              <w:keepNext/>
              <w:keepLines/>
              <w:jc w:val="right"/>
              <w:rPr>
                <w:color w:val="000000"/>
                <w:sz w:val="16"/>
                <w:szCs w:val="16"/>
                <w:lang w:eastAsia="en-NZ"/>
              </w:rPr>
            </w:pPr>
          </w:p>
        </w:tc>
      </w:tr>
      <w:tr w:rsidR="00A023BD" w:rsidRPr="001A61F1" w14:paraId="1A58D593" w14:textId="77777777" w:rsidTr="00326B55">
        <w:tc>
          <w:tcPr>
            <w:tcW w:w="5387" w:type="dxa"/>
          </w:tcPr>
          <w:p w14:paraId="79380A61" w14:textId="77777777" w:rsidR="00A023BD" w:rsidRPr="00672E88" w:rsidRDefault="00A023BD" w:rsidP="00A023BD">
            <w:pPr>
              <w:keepNext/>
              <w:keepLines/>
              <w:spacing w:before="20"/>
              <w:ind w:left="176"/>
              <w:jc w:val="both"/>
              <w:rPr>
                <w:sz w:val="16"/>
                <w:szCs w:val="16"/>
              </w:rPr>
            </w:pPr>
            <w:r w:rsidRPr="00672E88">
              <w:rPr>
                <w:sz w:val="16"/>
                <w:szCs w:val="16"/>
              </w:rPr>
              <w:t>Smoker</w:t>
            </w:r>
          </w:p>
        </w:tc>
        <w:tc>
          <w:tcPr>
            <w:tcW w:w="1134" w:type="dxa"/>
            <w:shd w:val="clear" w:color="auto" w:fill="auto"/>
            <w:vAlign w:val="bottom"/>
          </w:tcPr>
          <w:p w14:paraId="75F330FB"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1.63</w:t>
            </w:r>
          </w:p>
        </w:tc>
        <w:tc>
          <w:tcPr>
            <w:tcW w:w="1134" w:type="dxa"/>
            <w:shd w:val="clear" w:color="auto" w:fill="auto"/>
            <w:vAlign w:val="bottom"/>
          </w:tcPr>
          <w:p w14:paraId="0DAB163B"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(1.11, 2.40)</w:t>
            </w:r>
          </w:p>
        </w:tc>
        <w:tc>
          <w:tcPr>
            <w:tcW w:w="850" w:type="dxa"/>
            <w:shd w:val="clear" w:color="auto" w:fill="auto"/>
            <w:vAlign w:val="bottom"/>
          </w:tcPr>
          <w:p w14:paraId="77809173"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0.01</w:t>
            </w:r>
          </w:p>
        </w:tc>
      </w:tr>
      <w:tr w:rsidR="00A023BD" w:rsidRPr="005474C4" w14:paraId="62E8489B" w14:textId="77777777" w:rsidTr="00A023BD">
        <w:tc>
          <w:tcPr>
            <w:tcW w:w="5387" w:type="dxa"/>
            <w:vAlign w:val="bottom"/>
          </w:tcPr>
          <w:p w14:paraId="5D063859" w14:textId="77777777" w:rsidR="00A023BD" w:rsidRPr="005474C4" w:rsidRDefault="00A023BD" w:rsidP="00A023BD">
            <w:pPr>
              <w:keepNext/>
              <w:keepLines/>
              <w:spacing w:before="20"/>
              <w:jc w:val="both"/>
              <w:rPr>
                <w:b/>
                <w:sz w:val="16"/>
                <w:szCs w:val="16"/>
              </w:rPr>
            </w:pPr>
            <w:r w:rsidRPr="005474C4">
              <w:rPr>
                <w:b/>
                <w:sz w:val="16"/>
                <w:szCs w:val="16"/>
              </w:rPr>
              <w:t>Pattern of participation</w:t>
            </w:r>
          </w:p>
        </w:tc>
        <w:tc>
          <w:tcPr>
            <w:tcW w:w="1134" w:type="dxa"/>
            <w:shd w:val="clear" w:color="auto" w:fill="auto"/>
            <w:vAlign w:val="bottom"/>
          </w:tcPr>
          <w:p w14:paraId="52ACA744" w14:textId="77777777" w:rsidR="00A023BD" w:rsidRPr="005474C4" w:rsidRDefault="00A023BD" w:rsidP="00A023BD">
            <w:pPr>
              <w:keepNext/>
              <w:keepLines/>
              <w:jc w:val="right"/>
              <w:rPr>
                <w:color w:val="000000"/>
                <w:sz w:val="16"/>
                <w:szCs w:val="16"/>
                <w:lang w:eastAsia="en-NZ"/>
              </w:rPr>
            </w:pPr>
          </w:p>
        </w:tc>
        <w:tc>
          <w:tcPr>
            <w:tcW w:w="1134" w:type="dxa"/>
            <w:shd w:val="clear" w:color="auto" w:fill="auto"/>
            <w:vAlign w:val="bottom"/>
          </w:tcPr>
          <w:p w14:paraId="4499BBFC" w14:textId="77777777" w:rsidR="00A023BD" w:rsidRPr="005474C4" w:rsidRDefault="00A023BD" w:rsidP="00A023BD">
            <w:pPr>
              <w:keepNext/>
              <w:keepLines/>
              <w:jc w:val="right"/>
              <w:rPr>
                <w:color w:val="000000"/>
                <w:sz w:val="16"/>
                <w:szCs w:val="16"/>
                <w:lang w:eastAsia="en-NZ"/>
              </w:rPr>
            </w:pPr>
          </w:p>
        </w:tc>
        <w:tc>
          <w:tcPr>
            <w:tcW w:w="850" w:type="dxa"/>
            <w:shd w:val="clear" w:color="auto" w:fill="auto"/>
            <w:vAlign w:val="bottom"/>
          </w:tcPr>
          <w:p w14:paraId="58CD9C0B" w14:textId="77777777" w:rsidR="00A023BD" w:rsidRPr="005474C4" w:rsidRDefault="00A023BD" w:rsidP="00A023BD">
            <w:pPr>
              <w:keepNext/>
              <w:keepLines/>
              <w:jc w:val="right"/>
              <w:rPr>
                <w:color w:val="000000"/>
                <w:sz w:val="16"/>
                <w:szCs w:val="16"/>
                <w:lang w:eastAsia="en-NZ"/>
              </w:rPr>
            </w:pPr>
          </w:p>
        </w:tc>
      </w:tr>
      <w:tr w:rsidR="00A023BD" w:rsidRPr="005474C4" w14:paraId="29560E32" w14:textId="77777777" w:rsidTr="00A023BD">
        <w:tc>
          <w:tcPr>
            <w:tcW w:w="5387" w:type="dxa"/>
          </w:tcPr>
          <w:p w14:paraId="043650C2" w14:textId="77777777" w:rsidR="00A023BD" w:rsidRPr="005474C4" w:rsidRDefault="00A023BD" w:rsidP="00A023BD">
            <w:pPr>
              <w:keepNext/>
              <w:keepLines/>
              <w:spacing w:before="20"/>
              <w:ind w:left="176"/>
              <w:jc w:val="both"/>
              <w:rPr>
                <w:sz w:val="16"/>
                <w:szCs w:val="16"/>
              </w:rPr>
            </w:pPr>
            <w:r w:rsidRPr="005474C4">
              <w:rPr>
                <w:sz w:val="16"/>
                <w:szCs w:val="16"/>
              </w:rPr>
              <w:t>Infrequent gambler</w:t>
            </w:r>
          </w:p>
        </w:tc>
        <w:tc>
          <w:tcPr>
            <w:tcW w:w="1134" w:type="dxa"/>
            <w:shd w:val="clear" w:color="auto" w:fill="auto"/>
            <w:vAlign w:val="bottom"/>
          </w:tcPr>
          <w:p w14:paraId="32C4CBEA" w14:textId="77777777" w:rsidR="00A023BD" w:rsidRPr="005474C4" w:rsidRDefault="00A023BD" w:rsidP="00A023BD">
            <w:pPr>
              <w:keepNext/>
              <w:keepLines/>
              <w:jc w:val="right"/>
              <w:rPr>
                <w:color w:val="000000"/>
                <w:sz w:val="16"/>
                <w:szCs w:val="16"/>
                <w:lang w:eastAsia="en-NZ"/>
              </w:rPr>
            </w:pPr>
            <w:r w:rsidRPr="005474C4">
              <w:rPr>
                <w:color w:val="000000"/>
                <w:sz w:val="16"/>
                <w:szCs w:val="16"/>
                <w:lang w:eastAsia="en-NZ"/>
              </w:rPr>
              <w:t>1.00</w:t>
            </w:r>
          </w:p>
        </w:tc>
        <w:tc>
          <w:tcPr>
            <w:tcW w:w="1134" w:type="dxa"/>
            <w:shd w:val="clear" w:color="auto" w:fill="auto"/>
            <w:vAlign w:val="bottom"/>
          </w:tcPr>
          <w:p w14:paraId="42CF94A4" w14:textId="77777777" w:rsidR="00A023BD" w:rsidRPr="005474C4" w:rsidRDefault="00A023BD" w:rsidP="00A023BD">
            <w:pPr>
              <w:keepNext/>
              <w:keepLines/>
              <w:jc w:val="right"/>
              <w:rPr>
                <w:color w:val="000000"/>
                <w:sz w:val="16"/>
                <w:szCs w:val="16"/>
                <w:lang w:eastAsia="en-NZ"/>
              </w:rPr>
            </w:pPr>
          </w:p>
        </w:tc>
        <w:tc>
          <w:tcPr>
            <w:tcW w:w="850" w:type="dxa"/>
            <w:shd w:val="clear" w:color="auto" w:fill="auto"/>
            <w:vAlign w:val="bottom"/>
          </w:tcPr>
          <w:p w14:paraId="3086401B" w14:textId="77777777" w:rsidR="00A023BD" w:rsidRPr="005474C4" w:rsidRDefault="00A023BD" w:rsidP="00A023BD">
            <w:pPr>
              <w:keepNext/>
              <w:keepLines/>
              <w:jc w:val="right"/>
              <w:rPr>
                <w:color w:val="000000"/>
                <w:sz w:val="16"/>
                <w:szCs w:val="16"/>
                <w:lang w:eastAsia="en-NZ"/>
              </w:rPr>
            </w:pPr>
          </w:p>
        </w:tc>
      </w:tr>
      <w:tr w:rsidR="00A023BD" w:rsidRPr="005474C4" w14:paraId="1D8EE9F9" w14:textId="77777777" w:rsidTr="00A023BD">
        <w:tc>
          <w:tcPr>
            <w:tcW w:w="5387" w:type="dxa"/>
          </w:tcPr>
          <w:p w14:paraId="656B6B74" w14:textId="77777777" w:rsidR="00A023BD" w:rsidRPr="005474C4" w:rsidRDefault="00A023BD" w:rsidP="00A023BD">
            <w:pPr>
              <w:spacing w:before="20"/>
              <w:ind w:left="176"/>
              <w:jc w:val="both"/>
              <w:rPr>
                <w:sz w:val="16"/>
                <w:szCs w:val="16"/>
              </w:rPr>
            </w:pPr>
            <w:r w:rsidRPr="005474C4">
              <w:rPr>
                <w:sz w:val="16"/>
                <w:szCs w:val="16"/>
              </w:rPr>
              <w:t>Regular non-continuous gambler</w:t>
            </w:r>
          </w:p>
        </w:tc>
        <w:tc>
          <w:tcPr>
            <w:tcW w:w="1134" w:type="dxa"/>
            <w:shd w:val="clear" w:color="auto" w:fill="auto"/>
          </w:tcPr>
          <w:p w14:paraId="6506326E" w14:textId="77777777" w:rsidR="00A023BD" w:rsidRPr="005474C4" w:rsidRDefault="00A023BD" w:rsidP="00A023BD">
            <w:pPr>
              <w:keepNext/>
              <w:keepLines/>
              <w:jc w:val="right"/>
              <w:rPr>
                <w:color w:val="000000"/>
                <w:sz w:val="16"/>
                <w:szCs w:val="16"/>
                <w:lang w:eastAsia="en-NZ"/>
              </w:rPr>
            </w:pPr>
            <w:r w:rsidRPr="005474C4">
              <w:rPr>
                <w:color w:val="000000"/>
                <w:sz w:val="16"/>
                <w:szCs w:val="16"/>
                <w:lang w:eastAsia="en-NZ"/>
              </w:rPr>
              <w:t>1.34</w:t>
            </w:r>
          </w:p>
        </w:tc>
        <w:tc>
          <w:tcPr>
            <w:tcW w:w="1134" w:type="dxa"/>
            <w:shd w:val="clear" w:color="auto" w:fill="auto"/>
          </w:tcPr>
          <w:p w14:paraId="39C99861" w14:textId="77777777" w:rsidR="00A023BD" w:rsidRPr="005474C4" w:rsidRDefault="00A023BD" w:rsidP="00A023BD">
            <w:pPr>
              <w:keepNext/>
              <w:keepLines/>
              <w:jc w:val="right"/>
              <w:rPr>
                <w:color w:val="000000"/>
                <w:sz w:val="16"/>
                <w:szCs w:val="16"/>
                <w:lang w:eastAsia="en-NZ"/>
              </w:rPr>
            </w:pPr>
            <w:r w:rsidRPr="005474C4">
              <w:rPr>
                <w:color w:val="000000"/>
                <w:sz w:val="16"/>
                <w:szCs w:val="16"/>
                <w:lang w:eastAsia="en-NZ"/>
              </w:rPr>
              <w:t>(0.83, 2.16)</w:t>
            </w:r>
          </w:p>
        </w:tc>
        <w:tc>
          <w:tcPr>
            <w:tcW w:w="850" w:type="dxa"/>
            <w:shd w:val="clear" w:color="auto" w:fill="auto"/>
            <w:vAlign w:val="bottom"/>
          </w:tcPr>
          <w:p w14:paraId="05E782BB" w14:textId="77777777" w:rsidR="00A023BD" w:rsidRPr="005474C4" w:rsidRDefault="00A023BD" w:rsidP="00A023BD">
            <w:pPr>
              <w:keepNext/>
              <w:keepLines/>
              <w:jc w:val="right"/>
              <w:rPr>
                <w:color w:val="000000"/>
                <w:sz w:val="16"/>
                <w:szCs w:val="16"/>
                <w:lang w:eastAsia="en-NZ"/>
              </w:rPr>
            </w:pPr>
          </w:p>
        </w:tc>
      </w:tr>
      <w:tr w:rsidR="00A023BD" w:rsidRPr="005474C4" w14:paraId="2D833ABE" w14:textId="77777777" w:rsidTr="00326B55">
        <w:tc>
          <w:tcPr>
            <w:tcW w:w="5387" w:type="dxa"/>
          </w:tcPr>
          <w:p w14:paraId="0EB2A51D" w14:textId="77777777" w:rsidR="00A023BD" w:rsidRPr="005474C4" w:rsidRDefault="00A023BD" w:rsidP="00A023BD">
            <w:pPr>
              <w:spacing w:before="20"/>
              <w:ind w:left="176"/>
              <w:jc w:val="both"/>
              <w:rPr>
                <w:sz w:val="16"/>
                <w:szCs w:val="16"/>
              </w:rPr>
            </w:pPr>
            <w:r w:rsidRPr="005474C4">
              <w:rPr>
                <w:sz w:val="16"/>
                <w:szCs w:val="16"/>
              </w:rPr>
              <w:t>Regular continuous gambler</w:t>
            </w:r>
          </w:p>
        </w:tc>
        <w:tc>
          <w:tcPr>
            <w:tcW w:w="1134" w:type="dxa"/>
            <w:shd w:val="clear" w:color="auto" w:fill="auto"/>
          </w:tcPr>
          <w:p w14:paraId="76751117" w14:textId="77777777" w:rsidR="00A023BD" w:rsidRPr="005474C4" w:rsidRDefault="00A023BD" w:rsidP="00A023BD">
            <w:pPr>
              <w:keepNext/>
              <w:keepLines/>
              <w:jc w:val="right"/>
              <w:rPr>
                <w:color w:val="000000"/>
                <w:sz w:val="16"/>
                <w:szCs w:val="16"/>
                <w:lang w:eastAsia="en-NZ"/>
              </w:rPr>
            </w:pPr>
            <w:r w:rsidRPr="005474C4">
              <w:rPr>
                <w:color w:val="000000"/>
                <w:sz w:val="16"/>
                <w:szCs w:val="16"/>
                <w:lang w:eastAsia="en-NZ"/>
              </w:rPr>
              <w:t>2.68</w:t>
            </w:r>
          </w:p>
        </w:tc>
        <w:tc>
          <w:tcPr>
            <w:tcW w:w="1134" w:type="dxa"/>
            <w:shd w:val="clear" w:color="auto" w:fill="auto"/>
          </w:tcPr>
          <w:p w14:paraId="041D8B1B" w14:textId="77777777" w:rsidR="00A023BD" w:rsidRPr="005474C4" w:rsidRDefault="00A023BD" w:rsidP="00A023BD">
            <w:pPr>
              <w:keepNext/>
              <w:keepLines/>
              <w:jc w:val="right"/>
              <w:rPr>
                <w:color w:val="000000"/>
                <w:sz w:val="16"/>
                <w:szCs w:val="16"/>
                <w:lang w:eastAsia="en-NZ"/>
              </w:rPr>
            </w:pPr>
            <w:r w:rsidRPr="005474C4">
              <w:rPr>
                <w:color w:val="000000"/>
                <w:sz w:val="16"/>
                <w:szCs w:val="16"/>
                <w:lang w:eastAsia="en-NZ"/>
              </w:rPr>
              <w:t>(1.53, 4.71)</w:t>
            </w:r>
          </w:p>
        </w:tc>
        <w:tc>
          <w:tcPr>
            <w:tcW w:w="850" w:type="dxa"/>
            <w:shd w:val="clear" w:color="auto" w:fill="auto"/>
            <w:vAlign w:val="bottom"/>
          </w:tcPr>
          <w:p w14:paraId="7C6E4613" w14:textId="77777777" w:rsidR="00A023BD" w:rsidRPr="005474C4" w:rsidRDefault="00A023BD" w:rsidP="00A023BD">
            <w:pPr>
              <w:keepNext/>
              <w:keepLines/>
              <w:jc w:val="right"/>
              <w:rPr>
                <w:color w:val="000000"/>
                <w:sz w:val="16"/>
                <w:szCs w:val="16"/>
                <w:lang w:eastAsia="en-NZ"/>
              </w:rPr>
            </w:pPr>
            <w:r w:rsidRPr="005474C4">
              <w:rPr>
                <w:color w:val="000000"/>
                <w:sz w:val="16"/>
                <w:szCs w:val="16"/>
                <w:lang w:eastAsia="en-NZ"/>
              </w:rPr>
              <w:t>0.01</w:t>
            </w:r>
          </w:p>
        </w:tc>
      </w:tr>
      <w:tr w:rsidR="00A023BD" w:rsidRPr="001A61F1" w14:paraId="7AD20C0B" w14:textId="77777777" w:rsidTr="00A023BD">
        <w:tc>
          <w:tcPr>
            <w:tcW w:w="5387" w:type="dxa"/>
            <w:vAlign w:val="bottom"/>
          </w:tcPr>
          <w:p w14:paraId="1E715DF9" w14:textId="77777777" w:rsidR="00A023BD" w:rsidRPr="005474C4" w:rsidRDefault="00A023BD" w:rsidP="00A023BD">
            <w:pPr>
              <w:keepNext/>
              <w:keepLines/>
              <w:spacing w:before="20"/>
              <w:jc w:val="both"/>
              <w:rPr>
                <w:b/>
                <w:sz w:val="16"/>
                <w:szCs w:val="16"/>
              </w:rPr>
            </w:pPr>
            <w:r w:rsidRPr="005474C4">
              <w:rPr>
                <w:rFonts w:eastAsiaTheme="minorEastAsia"/>
                <w:b/>
                <w:sz w:val="16"/>
                <w:szCs w:val="16"/>
                <w:lang w:eastAsia="en-US"/>
              </w:rPr>
              <w:t>Typical monthly gambling expenditure</w:t>
            </w:r>
          </w:p>
        </w:tc>
        <w:tc>
          <w:tcPr>
            <w:tcW w:w="1134" w:type="dxa"/>
            <w:shd w:val="clear" w:color="auto" w:fill="auto"/>
            <w:vAlign w:val="bottom"/>
          </w:tcPr>
          <w:p w14:paraId="7E2ECFDA" w14:textId="77777777" w:rsidR="00A023BD" w:rsidRPr="005474C4" w:rsidRDefault="00A023BD" w:rsidP="00A023BD">
            <w:pPr>
              <w:keepNext/>
              <w:keepLines/>
              <w:jc w:val="right"/>
              <w:rPr>
                <w:color w:val="000000"/>
                <w:sz w:val="16"/>
                <w:szCs w:val="16"/>
                <w:lang w:eastAsia="en-NZ"/>
              </w:rPr>
            </w:pPr>
          </w:p>
        </w:tc>
        <w:tc>
          <w:tcPr>
            <w:tcW w:w="1134" w:type="dxa"/>
            <w:shd w:val="clear" w:color="auto" w:fill="auto"/>
            <w:vAlign w:val="bottom"/>
          </w:tcPr>
          <w:p w14:paraId="64E8D973" w14:textId="77777777" w:rsidR="00A023BD" w:rsidRPr="005474C4" w:rsidRDefault="00A023BD" w:rsidP="00A023BD">
            <w:pPr>
              <w:keepNext/>
              <w:keepLines/>
              <w:jc w:val="right"/>
              <w:rPr>
                <w:color w:val="000000"/>
                <w:sz w:val="16"/>
                <w:szCs w:val="16"/>
                <w:lang w:eastAsia="en-NZ"/>
              </w:rPr>
            </w:pPr>
          </w:p>
        </w:tc>
        <w:tc>
          <w:tcPr>
            <w:tcW w:w="850" w:type="dxa"/>
            <w:shd w:val="clear" w:color="auto" w:fill="auto"/>
            <w:vAlign w:val="bottom"/>
          </w:tcPr>
          <w:p w14:paraId="53EB0956" w14:textId="77777777" w:rsidR="00A023BD" w:rsidRPr="005474C4" w:rsidRDefault="00A023BD" w:rsidP="00A023BD">
            <w:pPr>
              <w:keepNext/>
              <w:keepLines/>
              <w:jc w:val="right"/>
              <w:rPr>
                <w:color w:val="000000"/>
                <w:sz w:val="16"/>
                <w:szCs w:val="16"/>
                <w:lang w:eastAsia="en-NZ"/>
              </w:rPr>
            </w:pPr>
          </w:p>
        </w:tc>
      </w:tr>
      <w:tr w:rsidR="00A023BD" w:rsidRPr="001A61F1" w14:paraId="2B026135" w14:textId="77777777" w:rsidTr="00A023BD">
        <w:tc>
          <w:tcPr>
            <w:tcW w:w="5387" w:type="dxa"/>
          </w:tcPr>
          <w:p w14:paraId="67250019" w14:textId="77777777" w:rsidR="00A023BD" w:rsidRPr="003F15C0" w:rsidRDefault="00A023BD" w:rsidP="00A023BD">
            <w:pPr>
              <w:spacing w:before="20"/>
              <w:ind w:left="176"/>
              <w:jc w:val="both"/>
              <w:rPr>
                <w:sz w:val="16"/>
                <w:szCs w:val="16"/>
              </w:rPr>
            </w:pPr>
            <w:r>
              <w:rPr>
                <w:sz w:val="16"/>
                <w:szCs w:val="16"/>
              </w:rPr>
              <w:t>≤</w:t>
            </w:r>
            <w:r w:rsidRPr="003F15C0">
              <w:rPr>
                <w:sz w:val="16"/>
                <w:szCs w:val="16"/>
              </w:rPr>
              <w:t>$</w:t>
            </w:r>
            <w:r>
              <w:rPr>
                <w:sz w:val="16"/>
                <w:szCs w:val="16"/>
              </w:rPr>
              <w:t>20</w:t>
            </w:r>
          </w:p>
        </w:tc>
        <w:tc>
          <w:tcPr>
            <w:tcW w:w="1134" w:type="dxa"/>
            <w:shd w:val="clear" w:color="auto" w:fill="auto"/>
            <w:vAlign w:val="bottom"/>
          </w:tcPr>
          <w:p w14:paraId="1181B3E6"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1.00</w:t>
            </w:r>
          </w:p>
        </w:tc>
        <w:tc>
          <w:tcPr>
            <w:tcW w:w="1134" w:type="dxa"/>
            <w:shd w:val="clear" w:color="auto" w:fill="auto"/>
            <w:vAlign w:val="bottom"/>
          </w:tcPr>
          <w:p w14:paraId="37DF38DA" w14:textId="77777777" w:rsidR="00A023BD" w:rsidRPr="0004389A" w:rsidRDefault="00A023BD" w:rsidP="00A023BD">
            <w:pPr>
              <w:keepNext/>
              <w:keepLines/>
              <w:jc w:val="right"/>
              <w:rPr>
                <w:color w:val="000000"/>
                <w:sz w:val="16"/>
                <w:szCs w:val="16"/>
                <w:lang w:eastAsia="en-NZ"/>
              </w:rPr>
            </w:pPr>
          </w:p>
        </w:tc>
        <w:tc>
          <w:tcPr>
            <w:tcW w:w="850" w:type="dxa"/>
            <w:shd w:val="clear" w:color="auto" w:fill="auto"/>
            <w:vAlign w:val="bottom"/>
          </w:tcPr>
          <w:p w14:paraId="0994C2D0" w14:textId="77777777" w:rsidR="00A023BD" w:rsidRPr="0004389A" w:rsidRDefault="00A023BD" w:rsidP="00A023BD">
            <w:pPr>
              <w:keepNext/>
              <w:keepLines/>
              <w:jc w:val="right"/>
              <w:rPr>
                <w:color w:val="000000"/>
                <w:sz w:val="16"/>
                <w:szCs w:val="16"/>
                <w:lang w:eastAsia="en-NZ"/>
              </w:rPr>
            </w:pPr>
          </w:p>
        </w:tc>
      </w:tr>
      <w:tr w:rsidR="00A023BD" w:rsidRPr="001A61F1" w14:paraId="4A4517EF" w14:textId="77777777" w:rsidTr="00A023BD">
        <w:tc>
          <w:tcPr>
            <w:tcW w:w="5387" w:type="dxa"/>
          </w:tcPr>
          <w:p w14:paraId="1557F836" w14:textId="77777777" w:rsidR="00A023BD" w:rsidRPr="003F15C0" w:rsidRDefault="00A023BD" w:rsidP="00A023BD">
            <w:pPr>
              <w:spacing w:before="20"/>
              <w:ind w:left="176"/>
              <w:jc w:val="both"/>
              <w:rPr>
                <w:sz w:val="16"/>
                <w:szCs w:val="16"/>
              </w:rPr>
            </w:pPr>
            <w:r w:rsidRPr="003F15C0">
              <w:rPr>
                <w:sz w:val="16"/>
                <w:szCs w:val="16"/>
              </w:rPr>
              <w:t>$21 - $</w:t>
            </w:r>
            <w:r>
              <w:rPr>
                <w:sz w:val="16"/>
                <w:szCs w:val="16"/>
              </w:rPr>
              <w:t>5</w:t>
            </w:r>
            <w:r w:rsidRPr="003F15C0">
              <w:rPr>
                <w:sz w:val="16"/>
                <w:szCs w:val="16"/>
              </w:rPr>
              <w:t>0</w:t>
            </w:r>
          </w:p>
        </w:tc>
        <w:tc>
          <w:tcPr>
            <w:tcW w:w="1134" w:type="dxa"/>
            <w:shd w:val="clear" w:color="auto" w:fill="auto"/>
            <w:vAlign w:val="bottom"/>
          </w:tcPr>
          <w:p w14:paraId="6AD9EDCE"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1.63</w:t>
            </w:r>
          </w:p>
        </w:tc>
        <w:tc>
          <w:tcPr>
            <w:tcW w:w="1134" w:type="dxa"/>
            <w:shd w:val="clear" w:color="auto" w:fill="auto"/>
            <w:vAlign w:val="bottom"/>
          </w:tcPr>
          <w:p w14:paraId="4584EEE6"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(0.86, 3.10)</w:t>
            </w:r>
          </w:p>
        </w:tc>
        <w:tc>
          <w:tcPr>
            <w:tcW w:w="850" w:type="dxa"/>
            <w:shd w:val="clear" w:color="auto" w:fill="auto"/>
            <w:vAlign w:val="bottom"/>
          </w:tcPr>
          <w:p w14:paraId="17CDB929" w14:textId="77777777" w:rsidR="00A023BD" w:rsidRPr="0004389A" w:rsidRDefault="00A023BD" w:rsidP="00A023BD">
            <w:pPr>
              <w:keepNext/>
              <w:keepLines/>
              <w:jc w:val="right"/>
              <w:rPr>
                <w:color w:val="000000"/>
                <w:sz w:val="16"/>
                <w:szCs w:val="16"/>
                <w:lang w:eastAsia="en-NZ"/>
              </w:rPr>
            </w:pPr>
          </w:p>
        </w:tc>
      </w:tr>
      <w:tr w:rsidR="00A023BD" w:rsidRPr="001A61F1" w14:paraId="6AFFF3C2" w14:textId="77777777" w:rsidTr="00326B55">
        <w:tc>
          <w:tcPr>
            <w:tcW w:w="5387" w:type="dxa"/>
          </w:tcPr>
          <w:p w14:paraId="57B414F3" w14:textId="77777777" w:rsidR="00A023BD" w:rsidRPr="003F15C0" w:rsidRDefault="00A023BD" w:rsidP="00A023BD">
            <w:pPr>
              <w:spacing w:before="20"/>
              <w:ind w:left="176"/>
              <w:jc w:val="both"/>
              <w:rPr>
                <w:sz w:val="16"/>
                <w:szCs w:val="16"/>
              </w:rPr>
            </w:pPr>
            <w:r>
              <w:rPr>
                <w:sz w:val="16"/>
                <w:szCs w:val="16"/>
              </w:rPr>
              <w:t>&gt;$50</w:t>
            </w:r>
          </w:p>
        </w:tc>
        <w:tc>
          <w:tcPr>
            <w:tcW w:w="1134" w:type="dxa"/>
            <w:shd w:val="clear" w:color="auto" w:fill="auto"/>
            <w:vAlign w:val="bottom"/>
          </w:tcPr>
          <w:p w14:paraId="3294820C"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3.21</w:t>
            </w:r>
          </w:p>
        </w:tc>
        <w:tc>
          <w:tcPr>
            <w:tcW w:w="1134" w:type="dxa"/>
            <w:shd w:val="clear" w:color="auto" w:fill="auto"/>
            <w:vAlign w:val="bottom"/>
          </w:tcPr>
          <w:p w14:paraId="064DE30D"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(1.72, 5.98)</w:t>
            </w:r>
          </w:p>
        </w:tc>
        <w:tc>
          <w:tcPr>
            <w:tcW w:w="850" w:type="dxa"/>
            <w:shd w:val="clear" w:color="auto" w:fill="auto"/>
            <w:vAlign w:val="bottom"/>
          </w:tcPr>
          <w:p w14:paraId="750C1148"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0.001</w:t>
            </w:r>
          </w:p>
        </w:tc>
      </w:tr>
      <w:tr w:rsidR="00A023BD" w:rsidRPr="001A61F1" w14:paraId="478D6B00" w14:textId="77777777" w:rsidTr="00A023BD">
        <w:tc>
          <w:tcPr>
            <w:tcW w:w="5387" w:type="dxa"/>
            <w:vAlign w:val="bottom"/>
          </w:tcPr>
          <w:p w14:paraId="78375C60" w14:textId="77777777" w:rsidR="00A023BD" w:rsidRPr="003F15C0" w:rsidRDefault="00A023BD" w:rsidP="00A023BD">
            <w:pPr>
              <w:spacing w:before="20"/>
              <w:jc w:val="both"/>
              <w:rPr>
                <w:b/>
                <w:sz w:val="16"/>
                <w:szCs w:val="16"/>
              </w:rPr>
            </w:pPr>
            <w:r>
              <w:rPr>
                <w:b/>
                <w:sz w:val="16"/>
                <w:szCs w:val="16"/>
              </w:rPr>
              <w:t>NZ</w:t>
            </w:r>
            <w:r w:rsidRPr="003F15C0">
              <w:rPr>
                <w:b/>
                <w:sz w:val="16"/>
                <w:szCs w:val="16"/>
              </w:rPr>
              <w:t xml:space="preserve"> internet gambling - annual</w:t>
            </w:r>
          </w:p>
        </w:tc>
        <w:tc>
          <w:tcPr>
            <w:tcW w:w="1134" w:type="dxa"/>
            <w:shd w:val="clear" w:color="auto" w:fill="auto"/>
            <w:vAlign w:val="bottom"/>
          </w:tcPr>
          <w:p w14:paraId="7EDFB54C" w14:textId="77777777" w:rsidR="00A023BD" w:rsidRPr="007B750E" w:rsidRDefault="00A023BD" w:rsidP="00A023BD">
            <w:pPr>
              <w:keepNext/>
              <w:keepLines/>
              <w:jc w:val="right"/>
              <w:rPr>
                <w:color w:val="000000"/>
                <w:sz w:val="16"/>
                <w:szCs w:val="16"/>
                <w:lang w:eastAsia="en-NZ"/>
              </w:rPr>
            </w:pPr>
          </w:p>
        </w:tc>
        <w:tc>
          <w:tcPr>
            <w:tcW w:w="1134" w:type="dxa"/>
            <w:shd w:val="clear" w:color="auto" w:fill="auto"/>
            <w:vAlign w:val="bottom"/>
          </w:tcPr>
          <w:p w14:paraId="673B3080" w14:textId="77777777" w:rsidR="00A023BD" w:rsidRPr="007B750E" w:rsidRDefault="00A023BD" w:rsidP="00A023BD">
            <w:pPr>
              <w:keepNext/>
              <w:keepLines/>
              <w:jc w:val="right"/>
              <w:rPr>
                <w:color w:val="000000"/>
                <w:sz w:val="16"/>
                <w:szCs w:val="16"/>
                <w:lang w:eastAsia="en-NZ"/>
              </w:rPr>
            </w:pPr>
          </w:p>
        </w:tc>
        <w:tc>
          <w:tcPr>
            <w:tcW w:w="850" w:type="dxa"/>
            <w:shd w:val="clear" w:color="auto" w:fill="auto"/>
            <w:vAlign w:val="bottom"/>
          </w:tcPr>
          <w:p w14:paraId="64C07D22" w14:textId="77777777" w:rsidR="00A023BD" w:rsidRPr="007B750E" w:rsidRDefault="00A023BD" w:rsidP="00A023BD">
            <w:pPr>
              <w:keepNext/>
              <w:keepLines/>
              <w:jc w:val="right"/>
              <w:rPr>
                <w:color w:val="000000"/>
                <w:sz w:val="16"/>
                <w:szCs w:val="16"/>
                <w:lang w:eastAsia="en-NZ"/>
              </w:rPr>
            </w:pPr>
          </w:p>
        </w:tc>
      </w:tr>
      <w:tr w:rsidR="00A023BD" w:rsidRPr="001A61F1" w14:paraId="02C882A2" w14:textId="77777777" w:rsidTr="008B226A">
        <w:tc>
          <w:tcPr>
            <w:tcW w:w="5387" w:type="dxa"/>
          </w:tcPr>
          <w:p w14:paraId="174EBD30"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bottom"/>
          </w:tcPr>
          <w:p w14:paraId="42BC9A47"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1.00</w:t>
            </w:r>
          </w:p>
        </w:tc>
        <w:tc>
          <w:tcPr>
            <w:tcW w:w="1134" w:type="dxa"/>
            <w:shd w:val="clear" w:color="auto" w:fill="auto"/>
            <w:vAlign w:val="bottom"/>
          </w:tcPr>
          <w:p w14:paraId="58776657" w14:textId="77777777" w:rsidR="00A023BD" w:rsidRPr="0004389A" w:rsidRDefault="00A023BD" w:rsidP="00A023BD">
            <w:pPr>
              <w:keepNext/>
              <w:keepLines/>
              <w:jc w:val="right"/>
              <w:rPr>
                <w:color w:val="000000"/>
                <w:sz w:val="16"/>
                <w:szCs w:val="16"/>
                <w:lang w:eastAsia="en-NZ"/>
              </w:rPr>
            </w:pPr>
          </w:p>
        </w:tc>
        <w:tc>
          <w:tcPr>
            <w:tcW w:w="850" w:type="dxa"/>
            <w:shd w:val="clear" w:color="auto" w:fill="auto"/>
            <w:vAlign w:val="bottom"/>
          </w:tcPr>
          <w:p w14:paraId="779DFB8F" w14:textId="77777777" w:rsidR="00A023BD" w:rsidRPr="0004389A" w:rsidRDefault="00A023BD" w:rsidP="00A023BD">
            <w:pPr>
              <w:keepNext/>
              <w:keepLines/>
              <w:jc w:val="right"/>
              <w:rPr>
                <w:color w:val="000000"/>
                <w:sz w:val="16"/>
                <w:szCs w:val="16"/>
                <w:lang w:eastAsia="en-NZ"/>
              </w:rPr>
            </w:pPr>
          </w:p>
        </w:tc>
      </w:tr>
      <w:tr w:rsidR="00A023BD" w:rsidRPr="001A61F1" w14:paraId="23A96509" w14:textId="77777777" w:rsidTr="008B226A">
        <w:tc>
          <w:tcPr>
            <w:tcW w:w="5387" w:type="dxa"/>
            <w:tcBorders>
              <w:bottom w:val="single" w:sz="4" w:space="0" w:color="auto"/>
            </w:tcBorders>
          </w:tcPr>
          <w:p w14:paraId="614820B2"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tcBorders>
              <w:bottom w:val="single" w:sz="4" w:space="0" w:color="auto"/>
            </w:tcBorders>
            <w:shd w:val="clear" w:color="auto" w:fill="auto"/>
            <w:vAlign w:val="bottom"/>
          </w:tcPr>
          <w:p w14:paraId="271B2E13"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1.74</w:t>
            </w:r>
          </w:p>
        </w:tc>
        <w:tc>
          <w:tcPr>
            <w:tcW w:w="1134" w:type="dxa"/>
            <w:tcBorders>
              <w:bottom w:val="single" w:sz="4" w:space="0" w:color="auto"/>
            </w:tcBorders>
            <w:shd w:val="clear" w:color="auto" w:fill="auto"/>
            <w:vAlign w:val="bottom"/>
          </w:tcPr>
          <w:p w14:paraId="58C35E7A"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(1.01, 2.98)</w:t>
            </w:r>
          </w:p>
        </w:tc>
        <w:tc>
          <w:tcPr>
            <w:tcW w:w="850" w:type="dxa"/>
            <w:tcBorders>
              <w:bottom w:val="single" w:sz="4" w:space="0" w:color="auto"/>
            </w:tcBorders>
            <w:shd w:val="clear" w:color="auto" w:fill="auto"/>
            <w:vAlign w:val="bottom"/>
          </w:tcPr>
          <w:p w14:paraId="5A0C4469"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0.04</w:t>
            </w:r>
          </w:p>
        </w:tc>
      </w:tr>
      <w:tr w:rsidR="00A023BD" w:rsidRPr="001A61F1" w14:paraId="10E9BC67" w14:textId="77777777" w:rsidTr="008B226A">
        <w:tc>
          <w:tcPr>
            <w:tcW w:w="5387" w:type="dxa"/>
            <w:tcBorders>
              <w:top w:val="single" w:sz="4" w:space="0" w:color="auto"/>
            </w:tcBorders>
            <w:vAlign w:val="bottom"/>
          </w:tcPr>
          <w:p w14:paraId="3495CB88" w14:textId="77777777" w:rsidR="00A023BD" w:rsidRPr="003F15C0" w:rsidRDefault="00A023BD" w:rsidP="00626C08">
            <w:pPr>
              <w:keepNext/>
              <w:spacing w:before="20"/>
              <w:jc w:val="both"/>
              <w:rPr>
                <w:b/>
                <w:sz w:val="16"/>
                <w:szCs w:val="16"/>
              </w:rPr>
            </w:pPr>
            <w:r w:rsidRPr="003F15C0">
              <w:rPr>
                <w:b/>
                <w:sz w:val="16"/>
                <w:szCs w:val="16"/>
              </w:rPr>
              <w:t>Card games - monthly</w:t>
            </w:r>
          </w:p>
        </w:tc>
        <w:tc>
          <w:tcPr>
            <w:tcW w:w="1134" w:type="dxa"/>
            <w:tcBorders>
              <w:top w:val="single" w:sz="4" w:space="0" w:color="auto"/>
            </w:tcBorders>
            <w:shd w:val="clear" w:color="auto" w:fill="auto"/>
            <w:vAlign w:val="bottom"/>
          </w:tcPr>
          <w:p w14:paraId="71AE0243" w14:textId="77777777" w:rsidR="00A023BD" w:rsidRPr="007B750E" w:rsidRDefault="00A023BD" w:rsidP="00626C08">
            <w:pPr>
              <w:keepNext/>
              <w:keepLines/>
              <w:jc w:val="right"/>
              <w:rPr>
                <w:color w:val="000000"/>
                <w:sz w:val="16"/>
                <w:szCs w:val="16"/>
                <w:lang w:eastAsia="en-NZ"/>
              </w:rPr>
            </w:pPr>
          </w:p>
        </w:tc>
        <w:tc>
          <w:tcPr>
            <w:tcW w:w="1134" w:type="dxa"/>
            <w:tcBorders>
              <w:top w:val="single" w:sz="4" w:space="0" w:color="auto"/>
            </w:tcBorders>
            <w:shd w:val="clear" w:color="auto" w:fill="auto"/>
            <w:vAlign w:val="bottom"/>
          </w:tcPr>
          <w:p w14:paraId="3B99A6B9" w14:textId="77777777" w:rsidR="00A023BD" w:rsidRPr="007B750E" w:rsidRDefault="00A023BD" w:rsidP="00626C08">
            <w:pPr>
              <w:keepNext/>
              <w:keepLines/>
              <w:jc w:val="right"/>
              <w:rPr>
                <w:color w:val="000000"/>
                <w:sz w:val="16"/>
                <w:szCs w:val="16"/>
                <w:lang w:eastAsia="en-NZ"/>
              </w:rPr>
            </w:pPr>
          </w:p>
        </w:tc>
        <w:tc>
          <w:tcPr>
            <w:tcW w:w="850" w:type="dxa"/>
            <w:tcBorders>
              <w:top w:val="single" w:sz="4" w:space="0" w:color="auto"/>
            </w:tcBorders>
            <w:shd w:val="clear" w:color="auto" w:fill="auto"/>
            <w:vAlign w:val="bottom"/>
          </w:tcPr>
          <w:p w14:paraId="109DCDB8" w14:textId="77777777" w:rsidR="00A023BD" w:rsidRPr="007B750E" w:rsidRDefault="00A023BD" w:rsidP="00626C08">
            <w:pPr>
              <w:keepNext/>
              <w:keepLines/>
              <w:jc w:val="right"/>
              <w:rPr>
                <w:color w:val="000000"/>
                <w:sz w:val="16"/>
                <w:szCs w:val="16"/>
                <w:lang w:eastAsia="en-NZ"/>
              </w:rPr>
            </w:pPr>
          </w:p>
        </w:tc>
      </w:tr>
      <w:tr w:rsidR="00A023BD" w:rsidRPr="001A61F1" w14:paraId="5EF6EE59" w14:textId="77777777" w:rsidTr="00A023BD">
        <w:tc>
          <w:tcPr>
            <w:tcW w:w="5387" w:type="dxa"/>
          </w:tcPr>
          <w:p w14:paraId="71ED6380" w14:textId="77777777" w:rsidR="00A023BD" w:rsidRPr="003F15C0" w:rsidRDefault="00A023BD" w:rsidP="00626C08">
            <w:pPr>
              <w:keepNext/>
              <w:spacing w:before="20"/>
              <w:ind w:left="176"/>
              <w:jc w:val="both"/>
              <w:rPr>
                <w:sz w:val="16"/>
                <w:szCs w:val="16"/>
              </w:rPr>
            </w:pPr>
            <w:r w:rsidRPr="003F15C0">
              <w:rPr>
                <w:sz w:val="16"/>
                <w:szCs w:val="16"/>
              </w:rPr>
              <w:t>No</w:t>
            </w:r>
          </w:p>
        </w:tc>
        <w:tc>
          <w:tcPr>
            <w:tcW w:w="1134" w:type="dxa"/>
            <w:shd w:val="clear" w:color="auto" w:fill="auto"/>
            <w:vAlign w:val="bottom"/>
          </w:tcPr>
          <w:p w14:paraId="3B0F2C85" w14:textId="77777777" w:rsidR="00A023BD" w:rsidRPr="0004389A" w:rsidRDefault="00A023BD" w:rsidP="00626C08">
            <w:pPr>
              <w:keepNext/>
              <w:keepLines/>
              <w:jc w:val="right"/>
              <w:rPr>
                <w:color w:val="000000"/>
                <w:sz w:val="16"/>
                <w:szCs w:val="16"/>
                <w:lang w:eastAsia="en-NZ"/>
              </w:rPr>
            </w:pPr>
            <w:r w:rsidRPr="0004389A">
              <w:rPr>
                <w:color w:val="000000"/>
                <w:sz w:val="16"/>
                <w:szCs w:val="16"/>
                <w:lang w:eastAsia="en-NZ"/>
              </w:rPr>
              <w:t>1.00</w:t>
            </w:r>
          </w:p>
        </w:tc>
        <w:tc>
          <w:tcPr>
            <w:tcW w:w="1134" w:type="dxa"/>
            <w:shd w:val="clear" w:color="auto" w:fill="auto"/>
            <w:vAlign w:val="bottom"/>
          </w:tcPr>
          <w:p w14:paraId="502BD071" w14:textId="77777777" w:rsidR="00A023BD" w:rsidRPr="0004389A" w:rsidRDefault="00A023BD" w:rsidP="00626C08">
            <w:pPr>
              <w:keepNext/>
              <w:keepLines/>
              <w:jc w:val="right"/>
              <w:rPr>
                <w:color w:val="000000"/>
                <w:sz w:val="16"/>
                <w:szCs w:val="16"/>
                <w:lang w:eastAsia="en-NZ"/>
              </w:rPr>
            </w:pPr>
          </w:p>
        </w:tc>
        <w:tc>
          <w:tcPr>
            <w:tcW w:w="850" w:type="dxa"/>
            <w:shd w:val="clear" w:color="auto" w:fill="auto"/>
            <w:vAlign w:val="bottom"/>
          </w:tcPr>
          <w:p w14:paraId="3BE86EFF" w14:textId="77777777" w:rsidR="00A023BD" w:rsidRPr="0004389A" w:rsidRDefault="00A023BD" w:rsidP="00626C08">
            <w:pPr>
              <w:keepNext/>
              <w:keepLines/>
              <w:jc w:val="right"/>
              <w:rPr>
                <w:color w:val="000000"/>
                <w:sz w:val="16"/>
                <w:szCs w:val="16"/>
                <w:lang w:eastAsia="en-NZ"/>
              </w:rPr>
            </w:pPr>
          </w:p>
        </w:tc>
      </w:tr>
      <w:tr w:rsidR="00A023BD" w:rsidRPr="001A61F1" w14:paraId="011A6415" w14:textId="77777777" w:rsidTr="00326B55">
        <w:tc>
          <w:tcPr>
            <w:tcW w:w="5387" w:type="dxa"/>
          </w:tcPr>
          <w:p w14:paraId="4222B1A3" w14:textId="77777777" w:rsidR="00A023BD" w:rsidRPr="003F15C0" w:rsidRDefault="00A023BD" w:rsidP="00626C08">
            <w:pPr>
              <w:keepNext/>
              <w:spacing w:before="20"/>
              <w:ind w:left="176"/>
              <w:jc w:val="both"/>
              <w:rPr>
                <w:sz w:val="16"/>
                <w:szCs w:val="16"/>
              </w:rPr>
            </w:pPr>
            <w:r w:rsidRPr="003F15C0">
              <w:rPr>
                <w:sz w:val="16"/>
                <w:szCs w:val="16"/>
              </w:rPr>
              <w:t>Yes</w:t>
            </w:r>
          </w:p>
        </w:tc>
        <w:tc>
          <w:tcPr>
            <w:tcW w:w="1134" w:type="dxa"/>
            <w:shd w:val="clear" w:color="auto" w:fill="auto"/>
            <w:vAlign w:val="bottom"/>
          </w:tcPr>
          <w:p w14:paraId="480583DF" w14:textId="77777777" w:rsidR="00A023BD" w:rsidRPr="0004389A" w:rsidRDefault="00A023BD" w:rsidP="00626C08">
            <w:pPr>
              <w:keepNext/>
              <w:keepLines/>
              <w:jc w:val="right"/>
              <w:rPr>
                <w:color w:val="000000"/>
                <w:sz w:val="16"/>
                <w:szCs w:val="16"/>
                <w:lang w:eastAsia="en-NZ"/>
              </w:rPr>
            </w:pPr>
            <w:r w:rsidRPr="0004389A">
              <w:rPr>
                <w:color w:val="000000"/>
                <w:sz w:val="16"/>
                <w:szCs w:val="16"/>
                <w:lang w:eastAsia="en-NZ"/>
              </w:rPr>
              <w:t>5.23</w:t>
            </w:r>
          </w:p>
        </w:tc>
        <w:tc>
          <w:tcPr>
            <w:tcW w:w="1134" w:type="dxa"/>
            <w:shd w:val="clear" w:color="auto" w:fill="auto"/>
            <w:vAlign w:val="bottom"/>
          </w:tcPr>
          <w:p w14:paraId="16A0CAB2" w14:textId="77777777" w:rsidR="00A023BD" w:rsidRPr="0004389A" w:rsidRDefault="00A023BD" w:rsidP="00626C08">
            <w:pPr>
              <w:keepNext/>
              <w:keepLines/>
              <w:jc w:val="right"/>
              <w:rPr>
                <w:color w:val="000000"/>
                <w:sz w:val="16"/>
                <w:szCs w:val="16"/>
                <w:lang w:eastAsia="en-NZ"/>
              </w:rPr>
            </w:pPr>
            <w:r w:rsidRPr="0004389A">
              <w:rPr>
                <w:color w:val="000000"/>
                <w:sz w:val="16"/>
                <w:szCs w:val="16"/>
                <w:lang w:eastAsia="en-NZ"/>
              </w:rPr>
              <w:t>(1.96, 13.91)</w:t>
            </w:r>
          </w:p>
        </w:tc>
        <w:tc>
          <w:tcPr>
            <w:tcW w:w="850" w:type="dxa"/>
            <w:shd w:val="clear" w:color="auto" w:fill="auto"/>
            <w:vAlign w:val="bottom"/>
          </w:tcPr>
          <w:p w14:paraId="318CC97C" w14:textId="77777777" w:rsidR="00A023BD" w:rsidRPr="0004389A" w:rsidRDefault="00A023BD" w:rsidP="00626C08">
            <w:pPr>
              <w:keepNext/>
              <w:keepLines/>
              <w:jc w:val="right"/>
              <w:rPr>
                <w:color w:val="000000"/>
                <w:sz w:val="16"/>
                <w:szCs w:val="16"/>
                <w:lang w:eastAsia="en-NZ"/>
              </w:rPr>
            </w:pPr>
            <w:r w:rsidRPr="0004389A">
              <w:rPr>
                <w:color w:val="000000"/>
                <w:sz w:val="16"/>
                <w:szCs w:val="16"/>
                <w:lang w:eastAsia="en-NZ"/>
              </w:rPr>
              <w:t>0.001</w:t>
            </w:r>
          </w:p>
        </w:tc>
      </w:tr>
      <w:tr w:rsidR="00A023BD" w:rsidRPr="001A61F1" w14:paraId="61508035" w14:textId="77777777" w:rsidTr="00A023BD">
        <w:tc>
          <w:tcPr>
            <w:tcW w:w="5387" w:type="dxa"/>
            <w:vAlign w:val="bottom"/>
          </w:tcPr>
          <w:p w14:paraId="6C7E186C" w14:textId="77777777" w:rsidR="00A023BD" w:rsidRPr="003F15C0" w:rsidRDefault="00A023BD" w:rsidP="00A023BD">
            <w:pPr>
              <w:spacing w:before="20"/>
              <w:jc w:val="both"/>
              <w:rPr>
                <w:b/>
                <w:sz w:val="16"/>
                <w:szCs w:val="16"/>
              </w:rPr>
            </w:pPr>
            <w:r w:rsidRPr="003F15C0">
              <w:rPr>
                <w:b/>
                <w:sz w:val="16"/>
                <w:szCs w:val="16"/>
              </w:rPr>
              <w:t>Sports betting - monthly</w:t>
            </w:r>
          </w:p>
        </w:tc>
        <w:tc>
          <w:tcPr>
            <w:tcW w:w="1134" w:type="dxa"/>
            <w:shd w:val="clear" w:color="auto" w:fill="auto"/>
            <w:vAlign w:val="bottom"/>
          </w:tcPr>
          <w:p w14:paraId="3C7BDA2D" w14:textId="77777777" w:rsidR="00A023BD" w:rsidRPr="007B750E" w:rsidRDefault="00A023BD" w:rsidP="00A023BD">
            <w:pPr>
              <w:keepNext/>
              <w:keepLines/>
              <w:jc w:val="right"/>
              <w:rPr>
                <w:color w:val="000000"/>
                <w:sz w:val="16"/>
                <w:szCs w:val="16"/>
                <w:lang w:eastAsia="en-NZ"/>
              </w:rPr>
            </w:pPr>
          </w:p>
        </w:tc>
        <w:tc>
          <w:tcPr>
            <w:tcW w:w="1134" w:type="dxa"/>
            <w:shd w:val="clear" w:color="auto" w:fill="auto"/>
            <w:vAlign w:val="bottom"/>
          </w:tcPr>
          <w:p w14:paraId="766DC7C9" w14:textId="77777777" w:rsidR="00A023BD" w:rsidRPr="007B750E" w:rsidRDefault="00A023BD" w:rsidP="00A023BD">
            <w:pPr>
              <w:keepNext/>
              <w:keepLines/>
              <w:jc w:val="right"/>
              <w:rPr>
                <w:color w:val="000000"/>
                <w:sz w:val="16"/>
                <w:szCs w:val="16"/>
                <w:lang w:eastAsia="en-NZ"/>
              </w:rPr>
            </w:pPr>
          </w:p>
        </w:tc>
        <w:tc>
          <w:tcPr>
            <w:tcW w:w="850" w:type="dxa"/>
            <w:shd w:val="clear" w:color="auto" w:fill="auto"/>
            <w:vAlign w:val="bottom"/>
          </w:tcPr>
          <w:p w14:paraId="6C96693F" w14:textId="77777777" w:rsidR="00A023BD" w:rsidRPr="007B750E" w:rsidRDefault="00A023BD" w:rsidP="00A023BD">
            <w:pPr>
              <w:keepNext/>
              <w:keepLines/>
              <w:jc w:val="right"/>
              <w:rPr>
                <w:color w:val="000000"/>
                <w:sz w:val="16"/>
                <w:szCs w:val="16"/>
                <w:lang w:eastAsia="en-NZ"/>
              </w:rPr>
            </w:pPr>
          </w:p>
        </w:tc>
      </w:tr>
      <w:tr w:rsidR="00A023BD" w:rsidRPr="001A61F1" w14:paraId="6FCE52FC" w14:textId="77777777" w:rsidTr="008B226A">
        <w:tc>
          <w:tcPr>
            <w:tcW w:w="5387" w:type="dxa"/>
          </w:tcPr>
          <w:p w14:paraId="685367DD"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bottom"/>
          </w:tcPr>
          <w:p w14:paraId="62C477BA"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1.00</w:t>
            </w:r>
          </w:p>
        </w:tc>
        <w:tc>
          <w:tcPr>
            <w:tcW w:w="1134" w:type="dxa"/>
            <w:shd w:val="clear" w:color="auto" w:fill="auto"/>
            <w:vAlign w:val="bottom"/>
          </w:tcPr>
          <w:p w14:paraId="263210BC" w14:textId="77777777" w:rsidR="00A023BD" w:rsidRPr="0004389A" w:rsidRDefault="00A023BD" w:rsidP="00A023BD">
            <w:pPr>
              <w:keepNext/>
              <w:keepLines/>
              <w:jc w:val="right"/>
              <w:rPr>
                <w:color w:val="000000"/>
                <w:sz w:val="16"/>
                <w:szCs w:val="16"/>
                <w:lang w:eastAsia="en-NZ"/>
              </w:rPr>
            </w:pPr>
          </w:p>
        </w:tc>
        <w:tc>
          <w:tcPr>
            <w:tcW w:w="850" w:type="dxa"/>
            <w:shd w:val="clear" w:color="auto" w:fill="auto"/>
            <w:vAlign w:val="bottom"/>
          </w:tcPr>
          <w:p w14:paraId="69B8C0EE" w14:textId="77777777" w:rsidR="00A023BD" w:rsidRPr="0004389A" w:rsidRDefault="00A023BD" w:rsidP="00A023BD">
            <w:pPr>
              <w:keepNext/>
              <w:keepLines/>
              <w:jc w:val="right"/>
              <w:rPr>
                <w:color w:val="000000"/>
                <w:sz w:val="16"/>
                <w:szCs w:val="16"/>
                <w:lang w:eastAsia="en-NZ"/>
              </w:rPr>
            </w:pPr>
          </w:p>
        </w:tc>
      </w:tr>
      <w:tr w:rsidR="00A023BD" w:rsidRPr="001A61F1" w14:paraId="47B3965C" w14:textId="77777777" w:rsidTr="008B226A">
        <w:tc>
          <w:tcPr>
            <w:tcW w:w="5387" w:type="dxa"/>
          </w:tcPr>
          <w:p w14:paraId="5952764C"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bottom"/>
          </w:tcPr>
          <w:p w14:paraId="4B91190D"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2.77</w:t>
            </w:r>
          </w:p>
        </w:tc>
        <w:tc>
          <w:tcPr>
            <w:tcW w:w="1134" w:type="dxa"/>
            <w:shd w:val="clear" w:color="auto" w:fill="auto"/>
            <w:vAlign w:val="bottom"/>
          </w:tcPr>
          <w:p w14:paraId="187AE097"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(1.03, 7.41)</w:t>
            </w:r>
          </w:p>
        </w:tc>
        <w:tc>
          <w:tcPr>
            <w:tcW w:w="850" w:type="dxa"/>
            <w:shd w:val="clear" w:color="auto" w:fill="auto"/>
            <w:vAlign w:val="bottom"/>
          </w:tcPr>
          <w:p w14:paraId="3D06C4AB"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0.04</w:t>
            </w:r>
          </w:p>
        </w:tc>
      </w:tr>
      <w:tr w:rsidR="00A023BD" w:rsidRPr="001A61F1" w14:paraId="4FD45638" w14:textId="77777777" w:rsidTr="008B226A">
        <w:tc>
          <w:tcPr>
            <w:tcW w:w="5387" w:type="dxa"/>
            <w:vAlign w:val="bottom"/>
          </w:tcPr>
          <w:p w14:paraId="4F9C10C7" w14:textId="77777777" w:rsidR="00A023BD" w:rsidRPr="003F15C0" w:rsidRDefault="00A023BD" w:rsidP="00A023BD">
            <w:pPr>
              <w:keepNext/>
              <w:spacing w:before="20"/>
              <w:jc w:val="both"/>
              <w:rPr>
                <w:b/>
                <w:sz w:val="16"/>
                <w:szCs w:val="16"/>
              </w:rPr>
            </w:pPr>
            <w:r w:rsidRPr="003F15C0">
              <w:rPr>
                <w:b/>
                <w:sz w:val="16"/>
                <w:szCs w:val="16"/>
              </w:rPr>
              <w:t>Pub EGMs - monthly</w:t>
            </w:r>
          </w:p>
        </w:tc>
        <w:tc>
          <w:tcPr>
            <w:tcW w:w="1134" w:type="dxa"/>
            <w:shd w:val="clear" w:color="auto" w:fill="auto"/>
            <w:vAlign w:val="bottom"/>
          </w:tcPr>
          <w:p w14:paraId="313C7577" w14:textId="77777777" w:rsidR="00A023BD" w:rsidRPr="007B750E" w:rsidRDefault="00A023BD" w:rsidP="00A023BD">
            <w:pPr>
              <w:keepNext/>
              <w:keepLines/>
              <w:jc w:val="right"/>
              <w:rPr>
                <w:color w:val="000000"/>
                <w:sz w:val="16"/>
                <w:szCs w:val="16"/>
                <w:lang w:eastAsia="en-NZ"/>
              </w:rPr>
            </w:pPr>
          </w:p>
        </w:tc>
        <w:tc>
          <w:tcPr>
            <w:tcW w:w="1134" w:type="dxa"/>
            <w:shd w:val="clear" w:color="auto" w:fill="auto"/>
            <w:vAlign w:val="bottom"/>
          </w:tcPr>
          <w:p w14:paraId="77732188" w14:textId="77777777" w:rsidR="00A023BD" w:rsidRPr="007B750E" w:rsidRDefault="00A023BD" w:rsidP="00A023BD">
            <w:pPr>
              <w:keepNext/>
              <w:keepLines/>
              <w:jc w:val="right"/>
              <w:rPr>
                <w:color w:val="000000"/>
                <w:sz w:val="16"/>
                <w:szCs w:val="16"/>
                <w:lang w:eastAsia="en-NZ"/>
              </w:rPr>
            </w:pPr>
          </w:p>
        </w:tc>
        <w:tc>
          <w:tcPr>
            <w:tcW w:w="850" w:type="dxa"/>
            <w:shd w:val="clear" w:color="auto" w:fill="auto"/>
            <w:vAlign w:val="bottom"/>
          </w:tcPr>
          <w:p w14:paraId="16DA4D4E" w14:textId="77777777" w:rsidR="00A023BD" w:rsidRPr="007B750E" w:rsidRDefault="00A023BD" w:rsidP="00A023BD">
            <w:pPr>
              <w:keepNext/>
              <w:keepLines/>
              <w:jc w:val="right"/>
              <w:rPr>
                <w:color w:val="000000"/>
                <w:sz w:val="16"/>
                <w:szCs w:val="16"/>
                <w:lang w:eastAsia="en-NZ"/>
              </w:rPr>
            </w:pPr>
          </w:p>
        </w:tc>
      </w:tr>
      <w:tr w:rsidR="00A023BD" w:rsidRPr="001A61F1" w14:paraId="3B57A1E0" w14:textId="77777777" w:rsidTr="00A023BD">
        <w:tc>
          <w:tcPr>
            <w:tcW w:w="5387" w:type="dxa"/>
          </w:tcPr>
          <w:p w14:paraId="1FFC749E" w14:textId="77777777" w:rsidR="00A023BD" w:rsidRPr="003F15C0" w:rsidRDefault="00A023BD" w:rsidP="00A023BD">
            <w:pPr>
              <w:keepNext/>
              <w:spacing w:before="20"/>
              <w:ind w:left="176"/>
              <w:jc w:val="both"/>
              <w:rPr>
                <w:sz w:val="16"/>
                <w:szCs w:val="16"/>
              </w:rPr>
            </w:pPr>
            <w:r w:rsidRPr="003F15C0">
              <w:rPr>
                <w:sz w:val="16"/>
                <w:szCs w:val="16"/>
              </w:rPr>
              <w:t>No</w:t>
            </w:r>
          </w:p>
        </w:tc>
        <w:tc>
          <w:tcPr>
            <w:tcW w:w="1134" w:type="dxa"/>
            <w:shd w:val="clear" w:color="auto" w:fill="auto"/>
            <w:vAlign w:val="bottom"/>
          </w:tcPr>
          <w:p w14:paraId="331295CF"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1.00</w:t>
            </w:r>
          </w:p>
        </w:tc>
        <w:tc>
          <w:tcPr>
            <w:tcW w:w="1134" w:type="dxa"/>
            <w:shd w:val="clear" w:color="auto" w:fill="auto"/>
            <w:vAlign w:val="bottom"/>
          </w:tcPr>
          <w:p w14:paraId="6B09F9D1" w14:textId="77777777" w:rsidR="00A023BD" w:rsidRPr="0004389A" w:rsidRDefault="00A023BD" w:rsidP="00A023BD">
            <w:pPr>
              <w:keepNext/>
              <w:keepLines/>
              <w:jc w:val="right"/>
              <w:rPr>
                <w:color w:val="000000"/>
                <w:sz w:val="16"/>
                <w:szCs w:val="16"/>
                <w:lang w:eastAsia="en-NZ"/>
              </w:rPr>
            </w:pPr>
          </w:p>
        </w:tc>
        <w:tc>
          <w:tcPr>
            <w:tcW w:w="850" w:type="dxa"/>
            <w:shd w:val="clear" w:color="auto" w:fill="auto"/>
            <w:vAlign w:val="bottom"/>
          </w:tcPr>
          <w:p w14:paraId="78C1BC09" w14:textId="77777777" w:rsidR="00A023BD" w:rsidRPr="0004389A" w:rsidRDefault="00A023BD" w:rsidP="00A023BD">
            <w:pPr>
              <w:keepNext/>
              <w:keepLines/>
              <w:jc w:val="right"/>
              <w:rPr>
                <w:color w:val="000000"/>
                <w:sz w:val="16"/>
                <w:szCs w:val="16"/>
                <w:lang w:eastAsia="en-NZ"/>
              </w:rPr>
            </w:pPr>
          </w:p>
        </w:tc>
      </w:tr>
      <w:tr w:rsidR="00A023BD" w:rsidRPr="001A61F1" w14:paraId="4FB74DE2" w14:textId="77777777" w:rsidTr="00326B55">
        <w:tc>
          <w:tcPr>
            <w:tcW w:w="5387" w:type="dxa"/>
          </w:tcPr>
          <w:p w14:paraId="2BE9EAEA"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bottom"/>
          </w:tcPr>
          <w:p w14:paraId="47E5D2FF"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0.37</w:t>
            </w:r>
          </w:p>
        </w:tc>
        <w:tc>
          <w:tcPr>
            <w:tcW w:w="1134" w:type="dxa"/>
            <w:shd w:val="clear" w:color="auto" w:fill="auto"/>
            <w:vAlign w:val="bottom"/>
          </w:tcPr>
          <w:p w14:paraId="56DC5F1F"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(0.19, 0.74)</w:t>
            </w:r>
          </w:p>
        </w:tc>
        <w:tc>
          <w:tcPr>
            <w:tcW w:w="850" w:type="dxa"/>
            <w:shd w:val="clear" w:color="auto" w:fill="auto"/>
            <w:vAlign w:val="bottom"/>
          </w:tcPr>
          <w:p w14:paraId="5F3A03F9"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0.01</w:t>
            </w:r>
          </w:p>
        </w:tc>
      </w:tr>
      <w:tr w:rsidR="00A023BD" w:rsidRPr="001A61F1" w14:paraId="6EBB20A5" w14:textId="77777777" w:rsidTr="00A023BD">
        <w:tc>
          <w:tcPr>
            <w:tcW w:w="5387" w:type="dxa"/>
            <w:vAlign w:val="bottom"/>
          </w:tcPr>
          <w:p w14:paraId="4633BC8E" w14:textId="77777777" w:rsidR="00A023BD" w:rsidRPr="003F15C0" w:rsidRDefault="00A023BD" w:rsidP="00A023BD">
            <w:pPr>
              <w:spacing w:before="20"/>
              <w:jc w:val="both"/>
              <w:rPr>
                <w:b/>
                <w:sz w:val="16"/>
                <w:szCs w:val="16"/>
              </w:rPr>
            </w:pPr>
            <w:r>
              <w:rPr>
                <w:b/>
                <w:sz w:val="16"/>
                <w:szCs w:val="16"/>
              </w:rPr>
              <w:t>Gambling-type games not for money</w:t>
            </w:r>
            <w:r w:rsidRPr="003F15C0">
              <w:rPr>
                <w:b/>
                <w:sz w:val="16"/>
                <w:szCs w:val="16"/>
              </w:rPr>
              <w:t xml:space="preserve"> - monthly</w:t>
            </w:r>
          </w:p>
        </w:tc>
        <w:tc>
          <w:tcPr>
            <w:tcW w:w="1134" w:type="dxa"/>
            <w:shd w:val="clear" w:color="auto" w:fill="auto"/>
            <w:vAlign w:val="bottom"/>
          </w:tcPr>
          <w:p w14:paraId="49D56B2D" w14:textId="77777777" w:rsidR="00A023BD" w:rsidRPr="007B750E" w:rsidRDefault="00A023BD" w:rsidP="00A023BD">
            <w:pPr>
              <w:keepNext/>
              <w:keepLines/>
              <w:jc w:val="right"/>
              <w:rPr>
                <w:color w:val="000000"/>
                <w:sz w:val="16"/>
                <w:szCs w:val="16"/>
                <w:lang w:eastAsia="en-NZ"/>
              </w:rPr>
            </w:pPr>
          </w:p>
        </w:tc>
        <w:tc>
          <w:tcPr>
            <w:tcW w:w="1134" w:type="dxa"/>
            <w:shd w:val="clear" w:color="auto" w:fill="auto"/>
            <w:vAlign w:val="bottom"/>
          </w:tcPr>
          <w:p w14:paraId="1B7D8427" w14:textId="77777777" w:rsidR="00A023BD" w:rsidRPr="007B750E" w:rsidRDefault="00A023BD" w:rsidP="00A023BD">
            <w:pPr>
              <w:keepNext/>
              <w:keepLines/>
              <w:jc w:val="right"/>
              <w:rPr>
                <w:color w:val="000000"/>
                <w:sz w:val="16"/>
                <w:szCs w:val="16"/>
                <w:lang w:eastAsia="en-NZ"/>
              </w:rPr>
            </w:pPr>
          </w:p>
        </w:tc>
        <w:tc>
          <w:tcPr>
            <w:tcW w:w="850" w:type="dxa"/>
            <w:shd w:val="clear" w:color="auto" w:fill="auto"/>
            <w:vAlign w:val="bottom"/>
          </w:tcPr>
          <w:p w14:paraId="394387BD" w14:textId="77777777" w:rsidR="00A023BD" w:rsidRPr="007B750E" w:rsidRDefault="00A023BD" w:rsidP="00A023BD">
            <w:pPr>
              <w:keepNext/>
              <w:keepLines/>
              <w:jc w:val="right"/>
              <w:rPr>
                <w:color w:val="000000"/>
                <w:sz w:val="16"/>
                <w:szCs w:val="16"/>
                <w:lang w:eastAsia="en-NZ"/>
              </w:rPr>
            </w:pPr>
          </w:p>
        </w:tc>
      </w:tr>
      <w:tr w:rsidR="00A023BD" w:rsidRPr="001A61F1" w14:paraId="57E6F03E" w14:textId="77777777" w:rsidTr="00A023BD">
        <w:tc>
          <w:tcPr>
            <w:tcW w:w="5387" w:type="dxa"/>
          </w:tcPr>
          <w:p w14:paraId="1BE0429E"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bottom"/>
          </w:tcPr>
          <w:p w14:paraId="056877CD"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1.00</w:t>
            </w:r>
          </w:p>
        </w:tc>
        <w:tc>
          <w:tcPr>
            <w:tcW w:w="1134" w:type="dxa"/>
            <w:shd w:val="clear" w:color="auto" w:fill="auto"/>
            <w:vAlign w:val="bottom"/>
          </w:tcPr>
          <w:p w14:paraId="13C8A321" w14:textId="77777777" w:rsidR="00A023BD" w:rsidRPr="0004389A" w:rsidRDefault="00A023BD" w:rsidP="00A023BD">
            <w:pPr>
              <w:keepNext/>
              <w:keepLines/>
              <w:jc w:val="right"/>
              <w:rPr>
                <w:color w:val="000000"/>
                <w:sz w:val="16"/>
                <w:szCs w:val="16"/>
                <w:lang w:eastAsia="en-NZ"/>
              </w:rPr>
            </w:pPr>
          </w:p>
        </w:tc>
        <w:tc>
          <w:tcPr>
            <w:tcW w:w="850" w:type="dxa"/>
            <w:shd w:val="clear" w:color="auto" w:fill="auto"/>
            <w:vAlign w:val="bottom"/>
          </w:tcPr>
          <w:p w14:paraId="1326F08C" w14:textId="77777777" w:rsidR="00A023BD" w:rsidRPr="0004389A" w:rsidRDefault="00A023BD" w:rsidP="00A023BD">
            <w:pPr>
              <w:keepNext/>
              <w:keepLines/>
              <w:jc w:val="right"/>
              <w:rPr>
                <w:color w:val="000000"/>
                <w:sz w:val="16"/>
                <w:szCs w:val="16"/>
                <w:lang w:eastAsia="en-NZ"/>
              </w:rPr>
            </w:pPr>
          </w:p>
        </w:tc>
      </w:tr>
      <w:tr w:rsidR="00A023BD" w:rsidRPr="001A61F1" w14:paraId="554B6943" w14:textId="77777777" w:rsidTr="00326B55">
        <w:tc>
          <w:tcPr>
            <w:tcW w:w="5387" w:type="dxa"/>
          </w:tcPr>
          <w:p w14:paraId="519B5C01"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bottom"/>
          </w:tcPr>
          <w:p w14:paraId="50257844"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1.69</w:t>
            </w:r>
          </w:p>
        </w:tc>
        <w:tc>
          <w:tcPr>
            <w:tcW w:w="1134" w:type="dxa"/>
            <w:shd w:val="clear" w:color="auto" w:fill="auto"/>
            <w:vAlign w:val="bottom"/>
          </w:tcPr>
          <w:p w14:paraId="4883A3BE"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(1.13, 2.53)</w:t>
            </w:r>
          </w:p>
        </w:tc>
        <w:tc>
          <w:tcPr>
            <w:tcW w:w="850" w:type="dxa"/>
            <w:shd w:val="clear" w:color="auto" w:fill="auto"/>
            <w:vAlign w:val="bottom"/>
          </w:tcPr>
          <w:p w14:paraId="7D2D7E18"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0.01</w:t>
            </w:r>
          </w:p>
        </w:tc>
      </w:tr>
      <w:tr w:rsidR="00A023BD" w:rsidRPr="001A61F1" w14:paraId="2C010DF3" w14:textId="77777777" w:rsidTr="00A023BD">
        <w:tc>
          <w:tcPr>
            <w:tcW w:w="5387" w:type="dxa"/>
          </w:tcPr>
          <w:p w14:paraId="491203A2" w14:textId="77777777" w:rsidR="00A023BD" w:rsidRPr="003F15C0" w:rsidRDefault="00A023BD" w:rsidP="00A023BD">
            <w:pPr>
              <w:spacing w:before="20"/>
              <w:rPr>
                <w:b/>
                <w:bCs/>
                <w:color w:val="000000"/>
                <w:sz w:val="16"/>
                <w:szCs w:val="16"/>
              </w:rPr>
            </w:pPr>
            <w:r w:rsidRPr="003F15C0">
              <w:rPr>
                <w:b/>
                <w:bCs/>
                <w:color w:val="000000"/>
                <w:sz w:val="16"/>
                <w:szCs w:val="16"/>
              </w:rPr>
              <w:t>Time spent playing EGMs in an average day (</w:t>
            </w:r>
            <w:r>
              <w:rPr>
                <w:b/>
                <w:bCs/>
                <w:color w:val="000000"/>
                <w:sz w:val="16"/>
                <w:szCs w:val="16"/>
              </w:rPr>
              <w:t>pub</w:t>
            </w:r>
            <w:r w:rsidRPr="003F15C0">
              <w:rPr>
                <w:b/>
                <w:bCs/>
                <w:color w:val="000000"/>
                <w:sz w:val="16"/>
                <w:szCs w:val="16"/>
              </w:rPr>
              <w:t>)</w:t>
            </w:r>
          </w:p>
        </w:tc>
        <w:tc>
          <w:tcPr>
            <w:tcW w:w="1134" w:type="dxa"/>
            <w:shd w:val="clear" w:color="auto" w:fill="auto"/>
            <w:vAlign w:val="bottom"/>
          </w:tcPr>
          <w:p w14:paraId="532244F4" w14:textId="77777777" w:rsidR="00A023BD" w:rsidRPr="007B750E" w:rsidRDefault="00A023BD" w:rsidP="00A023BD">
            <w:pPr>
              <w:keepNext/>
              <w:keepLines/>
              <w:jc w:val="right"/>
              <w:rPr>
                <w:color w:val="000000"/>
                <w:sz w:val="16"/>
                <w:szCs w:val="16"/>
                <w:lang w:eastAsia="en-NZ"/>
              </w:rPr>
            </w:pPr>
          </w:p>
        </w:tc>
        <w:tc>
          <w:tcPr>
            <w:tcW w:w="1134" w:type="dxa"/>
            <w:shd w:val="clear" w:color="auto" w:fill="auto"/>
            <w:vAlign w:val="bottom"/>
          </w:tcPr>
          <w:p w14:paraId="64BC1C14" w14:textId="77777777" w:rsidR="00A023BD" w:rsidRPr="007B750E" w:rsidRDefault="00A023BD" w:rsidP="00A023BD">
            <w:pPr>
              <w:keepNext/>
              <w:keepLines/>
              <w:jc w:val="right"/>
              <w:rPr>
                <w:color w:val="000000"/>
                <w:sz w:val="16"/>
                <w:szCs w:val="16"/>
                <w:lang w:eastAsia="en-NZ"/>
              </w:rPr>
            </w:pPr>
          </w:p>
        </w:tc>
        <w:tc>
          <w:tcPr>
            <w:tcW w:w="850" w:type="dxa"/>
            <w:shd w:val="clear" w:color="auto" w:fill="auto"/>
            <w:vAlign w:val="bottom"/>
          </w:tcPr>
          <w:p w14:paraId="1F8E2A7F" w14:textId="77777777" w:rsidR="00A023BD" w:rsidRPr="007B750E" w:rsidRDefault="00A023BD" w:rsidP="00A023BD">
            <w:pPr>
              <w:keepNext/>
              <w:keepLines/>
              <w:jc w:val="right"/>
              <w:rPr>
                <w:color w:val="000000"/>
                <w:sz w:val="16"/>
                <w:szCs w:val="16"/>
                <w:lang w:eastAsia="en-NZ"/>
              </w:rPr>
            </w:pPr>
          </w:p>
        </w:tc>
      </w:tr>
      <w:tr w:rsidR="00A023BD" w:rsidRPr="001A61F1" w14:paraId="395104F5" w14:textId="77777777" w:rsidTr="00A023BD">
        <w:tc>
          <w:tcPr>
            <w:tcW w:w="5387" w:type="dxa"/>
          </w:tcPr>
          <w:p w14:paraId="3F80E584" w14:textId="77777777" w:rsidR="00A023BD" w:rsidRPr="003F15C0" w:rsidRDefault="00A023BD" w:rsidP="00A023BD">
            <w:pPr>
              <w:spacing w:before="20"/>
              <w:ind w:left="176"/>
              <w:jc w:val="both"/>
              <w:rPr>
                <w:sz w:val="16"/>
                <w:szCs w:val="16"/>
              </w:rPr>
            </w:pPr>
            <w:r w:rsidRPr="003F15C0">
              <w:rPr>
                <w:sz w:val="16"/>
                <w:szCs w:val="16"/>
              </w:rPr>
              <w:t>No time</w:t>
            </w:r>
          </w:p>
        </w:tc>
        <w:tc>
          <w:tcPr>
            <w:tcW w:w="1134" w:type="dxa"/>
            <w:shd w:val="clear" w:color="auto" w:fill="auto"/>
            <w:vAlign w:val="bottom"/>
          </w:tcPr>
          <w:p w14:paraId="4EF1C24F"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1.00</w:t>
            </w:r>
          </w:p>
        </w:tc>
        <w:tc>
          <w:tcPr>
            <w:tcW w:w="1134" w:type="dxa"/>
            <w:shd w:val="clear" w:color="auto" w:fill="auto"/>
            <w:vAlign w:val="bottom"/>
          </w:tcPr>
          <w:p w14:paraId="2BB823DF" w14:textId="77777777" w:rsidR="00A023BD" w:rsidRPr="0004389A" w:rsidRDefault="00A023BD" w:rsidP="00A023BD">
            <w:pPr>
              <w:keepNext/>
              <w:keepLines/>
              <w:jc w:val="right"/>
              <w:rPr>
                <w:color w:val="000000"/>
                <w:sz w:val="16"/>
                <w:szCs w:val="16"/>
                <w:lang w:eastAsia="en-NZ"/>
              </w:rPr>
            </w:pPr>
          </w:p>
        </w:tc>
        <w:tc>
          <w:tcPr>
            <w:tcW w:w="850" w:type="dxa"/>
            <w:shd w:val="clear" w:color="auto" w:fill="auto"/>
            <w:vAlign w:val="bottom"/>
          </w:tcPr>
          <w:p w14:paraId="5244ED50" w14:textId="77777777" w:rsidR="00A023BD" w:rsidRPr="001945A1" w:rsidRDefault="00A023BD" w:rsidP="00A023BD">
            <w:pPr>
              <w:keepNext/>
              <w:keepLines/>
              <w:jc w:val="right"/>
              <w:rPr>
                <w:color w:val="000000"/>
                <w:sz w:val="16"/>
                <w:szCs w:val="16"/>
                <w:lang w:eastAsia="en-NZ"/>
              </w:rPr>
            </w:pPr>
          </w:p>
        </w:tc>
      </w:tr>
      <w:tr w:rsidR="00A023BD" w:rsidRPr="001A61F1" w14:paraId="6845F659" w14:textId="77777777" w:rsidTr="00A023BD">
        <w:tc>
          <w:tcPr>
            <w:tcW w:w="5387" w:type="dxa"/>
          </w:tcPr>
          <w:p w14:paraId="7437FE3F" w14:textId="77777777" w:rsidR="00A023BD" w:rsidRPr="003F15C0" w:rsidRDefault="00A023BD" w:rsidP="00A023BD">
            <w:pPr>
              <w:spacing w:before="20"/>
              <w:ind w:left="176"/>
              <w:jc w:val="both"/>
              <w:rPr>
                <w:sz w:val="16"/>
                <w:szCs w:val="16"/>
              </w:rPr>
            </w:pPr>
            <w:r w:rsidRPr="003F15C0">
              <w:rPr>
                <w:sz w:val="16"/>
                <w:szCs w:val="16"/>
              </w:rPr>
              <w:t>Up to 15 minutes</w:t>
            </w:r>
          </w:p>
        </w:tc>
        <w:tc>
          <w:tcPr>
            <w:tcW w:w="1134" w:type="dxa"/>
            <w:shd w:val="clear" w:color="auto" w:fill="auto"/>
            <w:vAlign w:val="bottom"/>
          </w:tcPr>
          <w:p w14:paraId="2321AF86"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1.16</w:t>
            </w:r>
          </w:p>
        </w:tc>
        <w:tc>
          <w:tcPr>
            <w:tcW w:w="1134" w:type="dxa"/>
            <w:shd w:val="clear" w:color="auto" w:fill="auto"/>
            <w:vAlign w:val="bottom"/>
          </w:tcPr>
          <w:p w14:paraId="5E576C3D"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(0.58, 2.32)</w:t>
            </w:r>
          </w:p>
        </w:tc>
        <w:tc>
          <w:tcPr>
            <w:tcW w:w="850" w:type="dxa"/>
            <w:shd w:val="clear" w:color="auto" w:fill="auto"/>
            <w:vAlign w:val="bottom"/>
          </w:tcPr>
          <w:p w14:paraId="5AE041B7" w14:textId="77777777" w:rsidR="00A023BD" w:rsidRPr="001945A1" w:rsidRDefault="00A023BD" w:rsidP="00A023BD">
            <w:pPr>
              <w:keepNext/>
              <w:keepLines/>
              <w:jc w:val="right"/>
              <w:rPr>
                <w:color w:val="000000"/>
                <w:sz w:val="16"/>
                <w:szCs w:val="16"/>
                <w:lang w:eastAsia="en-NZ"/>
              </w:rPr>
            </w:pPr>
          </w:p>
        </w:tc>
      </w:tr>
      <w:tr w:rsidR="00A023BD" w:rsidRPr="001A61F1" w14:paraId="6237C1F8" w14:textId="77777777" w:rsidTr="00A023BD">
        <w:tc>
          <w:tcPr>
            <w:tcW w:w="5387" w:type="dxa"/>
          </w:tcPr>
          <w:p w14:paraId="5F08B19C" w14:textId="77777777" w:rsidR="00A023BD" w:rsidRPr="003F15C0" w:rsidRDefault="00A023BD" w:rsidP="00A023BD">
            <w:pPr>
              <w:spacing w:before="20"/>
              <w:ind w:left="176"/>
              <w:jc w:val="both"/>
              <w:rPr>
                <w:sz w:val="16"/>
                <w:szCs w:val="16"/>
              </w:rPr>
            </w:pPr>
            <w:r w:rsidRPr="003F15C0">
              <w:rPr>
                <w:sz w:val="16"/>
                <w:szCs w:val="16"/>
              </w:rPr>
              <w:t>16 to 30 minutes</w:t>
            </w:r>
          </w:p>
        </w:tc>
        <w:tc>
          <w:tcPr>
            <w:tcW w:w="1134" w:type="dxa"/>
            <w:shd w:val="clear" w:color="auto" w:fill="auto"/>
            <w:vAlign w:val="bottom"/>
          </w:tcPr>
          <w:p w14:paraId="6B92A27C"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1.33</w:t>
            </w:r>
          </w:p>
        </w:tc>
        <w:tc>
          <w:tcPr>
            <w:tcW w:w="1134" w:type="dxa"/>
            <w:shd w:val="clear" w:color="auto" w:fill="auto"/>
            <w:vAlign w:val="bottom"/>
          </w:tcPr>
          <w:p w14:paraId="73704FB4"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(0.64, 2.79)</w:t>
            </w:r>
          </w:p>
        </w:tc>
        <w:tc>
          <w:tcPr>
            <w:tcW w:w="850" w:type="dxa"/>
            <w:shd w:val="clear" w:color="auto" w:fill="auto"/>
            <w:vAlign w:val="bottom"/>
          </w:tcPr>
          <w:p w14:paraId="36AE9285" w14:textId="77777777" w:rsidR="00A023BD" w:rsidRPr="001945A1" w:rsidRDefault="00A023BD" w:rsidP="00A023BD">
            <w:pPr>
              <w:keepNext/>
              <w:keepLines/>
              <w:jc w:val="right"/>
              <w:rPr>
                <w:color w:val="000000"/>
                <w:sz w:val="16"/>
                <w:szCs w:val="16"/>
                <w:lang w:eastAsia="en-NZ"/>
              </w:rPr>
            </w:pPr>
          </w:p>
        </w:tc>
      </w:tr>
      <w:tr w:rsidR="00A023BD" w:rsidRPr="001A61F1" w14:paraId="3246703F" w14:textId="77777777" w:rsidTr="00A023BD">
        <w:tc>
          <w:tcPr>
            <w:tcW w:w="5387" w:type="dxa"/>
          </w:tcPr>
          <w:p w14:paraId="10193624" w14:textId="77777777" w:rsidR="00A023BD" w:rsidRPr="003F15C0" w:rsidRDefault="00A023BD" w:rsidP="00A023BD">
            <w:pPr>
              <w:spacing w:before="20"/>
              <w:ind w:left="176"/>
              <w:jc w:val="both"/>
              <w:rPr>
                <w:sz w:val="16"/>
                <w:szCs w:val="16"/>
              </w:rPr>
            </w:pPr>
            <w:r w:rsidRPr="003F15C0">
              <w:rPr>
                <w:sz w:val="16"/>
                <w:szCs w:val="16"/>
              </w:rPr>
              <w:t>31 to 60 minutes</w:t>
            </w:r>
          </w:p>
        </w:tc>
        <w:tc>
          <w:tcPr>
            <w:tcW w:w="1134" w:type="dxa"/>
            <w:shd w:val="clear" w:color="auto" w:fill="auto"/>
            <w:vAlign w:val="bottom"/>
          </w:tcPr>
          <w:p w14:paraId="323EBDE6"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2.63</w:t>
            </w:r>
          </w:p>
        </w:tc>
        <w:tc>
          <w:tcPr>
            <w:tcW w:w="1134" w:type="dxa"/>
            <w:shd w:val="clear" w:color="auto" w:fill="auto"/>
            <w:vAlign w:val="bottom"/>
          </w:tcPr>
          <w:p w14:paraId="2C07EA96"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(1.31, 5.30)</w:t>
            </w:r>
          </w:p>
        </w:tc>
        <w:tc>
          <w:tcPr>
            <w:tcW w:w="850" w:type="dxa"/>
            <w:shd w:val="clear" w:color="auto" w:fill="auto"/>
            <w:vAlign w:val="bottom"/>
          </w:tcPr>
          <w:p w14:paraId="46BF41A7" w14:textId="77777777" w:rsidR="00A023BD" w:rsidRPr="001945A1" w:rsidRDefault="00A023BD" w:rsidP="00A023BD">
            <w:pPr>
              <w:keepNext/>
              <w:keepLines/>
              <w:jc w:val="right"/>
              <w:rPr>
                <w:color w:val="000000"/>
                <w:sz w:val="16"/>
                <w:szCs w:val="16"/>
                <w:lang w:eastAsia="en-NZ"/>
              </w:rPr>
            </w:pPr>
          </w:p>
        </w:tc>
      </w:tr>
      <w:tr w:rsidR="00A023BD" w:rsidRPr="001A61F1" w14:paraId="6E715BEA" w14:textId="77777777" w:rsidTr="00326B55">
        <w:tc>
          <w:tcPr>
            <w:tcW w:w="5387" w:type="dxa"/>
          </w:tcPr>
          <w:p w14:paraId="534CECCA" w14:textId="77777777" w:rsidR="00A023BD" w:rsidRPr="003F15C0" w:rsidRDefault="00A023BD" w:rsidP="00A023BD">
            <w:pPr>
              <w:spacing w:before="20"/>
              <w:ind w:left="176"/>
              <w:jc w:val="both"/>
              <w:rPr>
                <w:sz w:val="16"/>
                <w:szCs w:val="16"/>
              </w:rPr>
            </w:pPr>
            <w:r w:rsidRPr="003F15C0">
              <w:rPr>
                <w:sz w:val="16"/>
                <w:szCs w:val="16"/>
              </w:rPr>
              <w:t>&gt;60 minutes</w:t>
            </w:r>
          </w:p>
        </w:tc>
        <w:tc>
          <w:tcPr>
            <w:tcW w:w="1134" w:type="dxa"/>
            <w:shd w:val="clear" w:color="auto" w:fill="auto"/>
            <w:vAlign w:val="bottom"/>
          </w:tcPr>
          <w:p w14:paraId="4924DB4C"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5.20</w:t>
            </w:r>
          </w:p>
        </w:tc>
        <w:tc>
          <w:tcPr>
            <w:tcW w:w="1134" w:type="dxa"/>
            <w:shd w:val="clear" w:color="auto" w:fill="auto"/>
            <w:vAlign w:val="bottom"/>
          </w:tcPr>
          <w:p w14:paraId="25FDCB40"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(2.35, 11.51)</w:t>
            </w:r>
          </w:p>
        </w:tc>
        <w:tc>
          <w:tcPr>
            <w:tcW w:w="850" w:type="dxa"/>
            <w:shd w:val="clear" w:color="auto" w:fill="auto"/>
            <w:vAlign w:val="bottom"/>
          </w:tcPr>
          <w:p w14:paraId="146B2B85" w14:textId="77777777" w:rsidR="00A023BD" w:rsidRPr="001945A1" w:rsidRDefault="00A023BD" w:rsidP="00A023BD">
            <w:pPr>
              <w:keepNext/>
              <w:keepLines/>
              <w:jc w:val="right"/>
              <w:rPr>
                <w:color w:val="000000"/>
                <w:sz w:val="16"/>
                <w:szCs w:val="16"/>
                <w:lang w:eastAsia="en-NZ"/>
              </w:rPr>
            </w:pPr>
            <w:r>
              <w:rPr>
                <w:color w:val="000000"/>
                <w:sz w:val="16"/>
                <w:szCs w:val="16"/>
                <w:lang w:eastAsia="en-NZ"/>
              </w:rPr>
              <w:t>0.001</w:t>
            </w:r>
          </w:p>
        </w:tc>
      </w:tr>
      <w:tr w:rsidR="00A023BD" w:rsidRPr="001A61F1" w14:paraId="3D5EA112" w14:textId="77777777" w:rsidTr="00A023BD">
        <w:tc>
          <w:tcPr>
            <w:tcW w:w="5387" w:type="dxa"/>
          </w:tcPr>
          <w:p w14:paraId="0DE00E9B" w14:textId="77777777" w:rsidR="00A023BD" w:rsidRPr="003F15C0" w:rsidRDefault="00A023BD" w:rsidP="00A023BD">
            <w:pPr>
              <w:spacing w:before="20"/>
              <w:rPr>
                <w:color w:val="000000"/>
                <w:sz w:val="16"/>
                <w:szCs w:val="16"/>
              </w:rPr>
            </w:pPr>
            <w:r w:rsidRPr="003F15C0">
              <w:rPr>
                <w:b/>
                <w:bCs/>
                <w:color w:val="000000"/>
                <w:sz w:val="16"/>
                <w:szCs w:val="16"/>
              </w:rPr>
              <w:t>Methods - Separating money for betting from other money and stopping</w:t>
            </w:r>
          </w:p>
        </w:tc>
        <w:tc>
          <w:tcPr>
            <w:tcW w:w="1134" w:type="dxa"/>
            <w:shd w:val="clear" w:color="auto" w:fill="auto"/>
            <w:vAlign w:val="bottom"/>
          </w:tcPr>
          <w:p w14:paraId="679D07AE" w14:textId="77777777" w:rsidR="00A023BD" w:rsidRPr="007B750E" w:rsidRDefault="00A023BD" w:rsidP="00A023BD">
            <w:pPr>
              <w:keepNext/>
              <w:keepLines/>
              <w:jc w:val="right"/>
              <w:rPr>
                <w:color w:val="000000"/>
                <w:sz w:val="16"/>
                <w:szCs w:val="16"/>
                <w:lang w:eastAsia="en-NZ"/>
              </w:rPr>
            </w:pPr>
          </w:p>
        </w:tc>
        <w:tc>
          <w:tcPr>
            <w:tcW w:w="1134" w:type="dxa"/>
            <w:shd w:val="clear" w:color="auto" w:fill="auto"/>
            <w:vAlign w:val="bottom"/>
          </w:tcPr>
          <w:p w14:paraId="0E3C80F8" w14:textId="77777777" w:rsidR="00A023BD" w:rsidRPr="007B750E" w:rsidRDefault="00A023BD" w:rsidP="00A023BD">
            <w:pPr>
              <w:keepNext/>
              <w:keepLines/>
              <w:jc w:val="right"/>
              <w:rPr>
                <w:color w:val="000000"/>
                <w:sz w:val="16"/>
                <w:szCs w:val="16"/>
                <w:lang w:eastAsia="en-NZ"/>
              </w:rPr>
            </w:pPr>
          </w:p>
        </w:tc>
        <w:tc>
          <w:tcPr>
            <w:tcW w:w="850" w:type="dxa"/>
            <w:shd w:val="clear" w:color="auto" w:fill="auto"/>
            <w:vAlign w:val="bottom"/>
          </w:tcPr>
          <w:p w14:paraId="422C6D01" w14:textId="77777777" w:rsidR="00A023BD" w:rsidRPr="007B750E" w:rsidRDefault="00A023BD" w:rsidP="00A023BD">
            <w:pPr>
              <w:keepNext/>
              <w:keepLines/>
              <w:jc w:val="right"/>
              <w:rPr>
                <w:color w:val="000000"/>
                <w:sz w:val="16"/>
                <w:szCs w:val="16"/>
                <w:lang w:eastAsia="en-NZ"/>
              </w:rPr>
            </w:pPr>
          </w:p>
        </w:tc>
      </w:tr>
      <w:tr w:rsidR="00A023BD" w:rsidRPr="001A61F1" w14:paraId="0A483F1C" w14:textId="77777777" w:rsidTr="00A023BD">
        <w:tc>
          <w:tcPr>
            <w:tcW w:w="5387" w:type="dxa"/>
          </w:tcPr>
          <w:p w14:paraId="725603FB"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bottom"/>
          </w:tcPr>
          <w:p w14:paraId="68E3A938"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1.00</w:t>
            </w:r>
          </w:p>
        </w:tc>
        <w:tc>
          <w:tcPr>
            <w:tcW w:w="1134" w:type="dxa"/>
            <w:shd w:val="clear" w:color="auto" w:fill="auto"/>
            <w:vAlign w:val="bottom"/>
          </w:tcPr>
          <w:p w14:paraId="00DFBF0F" w14:textId="77777777" w:rsidR="00A023BD" w:rsidRPr="0004389A" w:rsidRDefault="00A023BD" w:rsidP="00A023BD">
            <w:pPr>
              <w:keepNext/>
              <w:keepLines/>
              <w:jc w:val="right"/>
              <w:rPr>
                <w:color w:val="000000"/>
                <w:sz w:val="16"/>
                <w:szCs w:val="16"/>
                <w:lang w:eastAsia="en-NZ"/>
              </w:rPr>
            </w:pPr>
          </w:p>
        </w:tc>
        <w:tc>
          <w:tcPr>
            <w:tcW w:w="850" w:type="dxa"/>
            <w:shd w:val="clear" w:color="auto" w:fill="auto"/>
            <w:vAlign w:val="bottom"/>
          </w:tcPr>
          <w:p w14:paraId="22B163A4" w14:textId="77777777" w:rsidR="00A023BD" w:rsidRPr="0004389A" w:rsidRDefault="00A023BD" w:rsidP="00A023BD">
            <w:pPr>
              <w:keepNext/>
              <w:keepLines/>
              <w:jc w:val="right"/>
              <w:rPr>
                <w:color w:val="000000"/>
                <w:sz w:val="16"/>
                <w:szCs w:val="16"/>
                <w:lang w:eastAsia="en-NZ"/>
              </w:rPr>
            </w:pPr>
          </w:p>
        </w:tc>
      </w:tr>
      <w:tr w:rsidR="00A023BD" w:rsidRPr="001A61F1" w14:paraId="1A5B0BDD" w14:textId="77777777" w:rsidTr="00326B55">
        <w:tc>
          <w:tcPr>
            <w:tcW w:w="5387" w:type="dxa"/>
          </w:tcPr>
          <w:p w14:paraId="10A9BA74"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bottom"/>
          </w:tcPr>
          <w:p w14:paraId="5A62A27C"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2.90</w:t>
            </w:r>
          </w:p>
        </w:tc>
        <w:tc>
          <w:tcPr>
            <w:tcW w:w="1134" w:type="dxa"/>
            <w:shd w:val="clear" w:color="auto" w:fill="auto"/>
            <w:vAlign w:val="bottom"/>
          </w:tcPr>
          <w:p w14:paraId="150042EF"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(1.48, 5.68)</w:t>
            </w:r>
          </w:p>
        </w:tc>
        <w:tc>
          <w:tcPr>
            <w:tcW w:w="850" w:type="dxa"/>
            <w:shd w:val="clear" w:color="auto" w:fill="auto"/>
            <w:vAlign w:val="bottom"/>
          </w:tcPr>
          <w:p w14:paraId="46147861"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0.002</w:t>
            </w:r>
          </w:p>
        </w:tc>
      </w:tr>
      <w:tr w:rsidR="00A023BD" w:rsidRPr="001A61F1" w14:paraId="290BA191" w14:textId="77777777" w:rsidTr="00A023BD">
        <w:tc>
          <w:tcPr>
            <w:tcW w:w="5387" w:type="dxa"/>
            <w:vAlign w:val="center"/>
          </w:tcPr>
          <w:p w14:paraId="31E2E2F8" w14:textId="77777777" w:rsidR="00A023BD" w:rsidRPr="003F15C0" w:rsidRDefault="00A023BD" w:rsidP="00A023BD">
            <w:pPr>
              <w:spacing w:before="20"/>
              <w:rPr>
                <w:b/>
                <w:bCs/>
                <w:color w:val="000000"/>
                <w:sz w:val="16"/>
                <w:szCs w:val="16"/>
              </w:rPr>
            </w:pPr>
            <w:r w:rsidRPr="003F15C0">
              <w:rPr>
                <w:b/>
                <w:bCs/>
                <w:color w:val="000000"/>
                <w:sz w:val="16"/>
                <w:szCs w:val="16"/>
              </w:rPr>
              <w:t>Methods - Leaving ATM and credit cards at home</w:t>
            </w:r>
          </w:p>
        </w:tc>
        <w:tc>
          <w:tcPr>
            <w:tcW w:w="1134" w:type="dxa"/>
            <w:shd w:val="clear" w:color="auto" w:fill="auto"/>
            <w:vAlign w:val="bottom"/>
          </w:tcPr>
          <w:p w14:paraId="682A1B15" w14:textId="77777777" w:rsidR="00A023BD" w:rsidRPr="007B750E" w:rsidRDefault="00A023BD" w:rsidP="00A023BD">
            <w:pPr>
              <w:keepNext/>
              <w:keepLines/>
              <w:jc w:val="right"/>
              <w:rPr>
                <w:color w:val="000000"/>
                <w:sz w:val="16"/>
                <w:szCs w:val="16"/>
                <w:lang w:eastAsia="en-NZ"/>
              </w:rPr>
            </w:pPr>
          </w:p>
        </w:tc>
        <w:tc>
          <w:tcPr>
            <w:tcW w:w="1134" w:type="dxa"/>
            <w:shd w:val="clear" w:color="auto" w:fill="auto"/>
            <w:vAlign w:val="bottom"/>
          </w:tcPr>
          <w:p w14:paraId="325DF069" w14:textId="77777777" w:rsidR="00A023BD" w:rsidRPr="007B750E" w:rsidRDefault="00A023BD" w:rsidP="00A023BD">
            <w:pPr>
              <w:keepNext/>
              <w:keepLines/>
              <w:jc w:val="right"/>
              <w:rPr>
                <w:color w:val="000000"/>
                <w:sz w:val="16"/>
                <w:szCs w:val="16"/>
                <w:lang w:eastAsia="en-NZ"/>
              </w:rPr>
            </w:pPr>
          </w:p>
        </w:tc>
        <w:tc>
          <w:tcPr>
            <w:tcW w:w="850" w:type="dxa"/>
            <w:shd w:val="clear" w:color="auto" w:fill="auto"/>
            <w:vAlign w:val="bottom"/>
          </w:tcPr>
          <w:p w14:paraId="58DCC8AE" w14:textId="77777777" w:rsidR="00A023BD" w:rsidRPr="007B750E" w:rsidRDefault="00A023BD" w:rsidP="00A023BD">
            <w:pPr>
              <w:keepNext/>
              <w:keepLines/>
              <w:jc w:val="right"/>
              <w:rPr>
                <w:color w:val="000000"/>
                <w:sz w:val="16"/>
                <w:szCs w:val="16"/>
                <w:lang w:eastAsia="en-NZ"/>
              </w:rPr>
            </w:pPr>
          </w:p>
        </w:tc>
      </w:tr>
      <w:tr w:rsidR="00A023BD" w:rsidRPr="001A61F1" w14:paraId="35163A6B" w14:textId="77777777" w:rsidTr="00A023BD">
        <w:tc>
          <w:tcPr>
            <w:tcW w:w="5387" w:type="dxa"/>
          </w:tcPr>
          <w:p w14:paraId="3E41EFCC"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bottom"/>
          </w:tcPr>
          <w:p w14:paraId="029940D3"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1.00</w:t>
            </w:r>
          </w:p>
        </w:tc>
        <w:tc>
          <w:tcPr>
            <w:tcW w:w="1134" w:type="dxa"/>
            <w:shd w:val="clear" w:color="auto" w:fill="auto"/>
            <w:vAlign w:val="bottom"/>
          </w:tcPr>
          <w:p w14:paraId="4C589EB7" w14:textId="77777777" w:rsidR="00A023BD" w:rsidRPr="0004389A" w:rsidRDefault="00A023BD" w:rsidP="00A023BD">
            <w:pPr>
              <w:keepNext/>
              <w:keepLines/>
              <w:jc w:val="right"/>
              <w:rPr>
                <w:color w:val="000000"/>
                <w:sz w:val="16"/>
                <w:szCs w:val="16"/>
                <w:lang w:eastAsia="en-NZ"/>
              </w:rPr>
            </w:pPr>
          </w:p>
        </w:tc>
        <w:tc>
          <w:tcPr>
            <w:tcW w:w="850" w:type="dxa"/>
            <w:shd w:val="clear" w:color="auto" w:fill="auto"/>
            <w:vAlign w:val="bottom"/>
          </w:tcPr>
          <w:p w14:paraId="7ECDB7EF" w14:textId="77777777" w:rsidR="00A023BD" w:rsidRPr="0004389A" w:rsidRDefault="00A023BD" w:rsidP="00A023BD">
            <w:pPr>
              <w:keepNext/>
              <w:keepLines/>
              <w:jc w:val="right"/>
              <w:rPr>
                <w:color w:val="000000"/>
                <w:sz w:val="16"/>
                <w:szCs w:val="16"/>
                <w:lang w:eastAsia="en-NZ"/>
              </w:rPr>
            </w:pPr>
          </w:p>
        </w:tc>
      </w:tr>
      <w:tr w:rsidR="00A023BD" w:rsidRPr="001A61F1" w14:paraId="60B81078" w14:textId="77777777" w:rsidTr="00326B55">
        <w:tc>
          <w:tcPr>
            <w:tcW w:w="5387" w:type="dxa"/>
            <w:tcBorders>
              <w:bottom w:val="single" w:sz="4" w:space="0" w:color="auto"/>
            </w:tcBorders>
          </w:tcPr>
          <w:p w14:paraId="30CBF89C"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tcBorders>
              <w:bottom w:val="single" w:sz="4" w:space="0" w:color="auto"/>
            </w:tcBorders>
            <w:shd w:val="clear" w:color="auto" w:fill="auto"/>
            <w:vAlign w:val="bottom"/>
          </w:tcPr>
          <w:p w14:paraId="1C0D3511"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4.08</w:t>
            </w:r>
          </w:p>
        </w:tc>
        <w:tc>
          <w:tcPr>
            <w:tcW w:w="1134" w:type="dxa"/>
            <w:tcBorders>
              <w:bottom w:val="single" w:sz="4" w:space="0" w:color="auto"/>
            </w:tcBorders>
            <w:shd w:val="clear" w:color="auto" w:fill="auto"/>
            <w:vAlign w:val="bottom"/>
          </w:tcPr>
          <w:p w14:paraId="41B99016"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(1.59, 10.48)</w:t>
            </w:r>
          </w:p>
        </w:tc>
        <w:tc>
          <w:tcPr>
            <w:tcW w:w="850" w:type="dxa"/>
            <w:tcBorders>
              <w:bottom w:val="single" w:sz="4" w:space="0" w:color="auto"/>
            </w:tcBorders>
            <w:shd w:val="clear" w:color="auto" w:fill="auto"/>
            <w:vAlign w:val="bottom"/>
          </w:tcPr>
          <w:p w14:paraId="06D97DB4" w14:textId="77777777" w:rsidR="00A023BD" w:rsidRPr="0004389A" w:rsidRDefault="00A023BD" w:rsidP="00A023BD">
            <w:pPr>
              <w:keepNext/>
              <w:keepLines/>
              <w:jc w:val="right"/>
              <w:rPr>
                <w:color w:val="000000"/>
                <w:sz w:val="16"/>
                <w:szCs w:val="16"/>
                <w:lang w:eastAsia="en-NZ"/>
              </w:rPr>
            </w:pPr>
            <w:r w:rsidRPr="0004389A">
              <w:rPr>
                <w:color w:val="000000"/>
                <w:sz w:val="16"/>
                <w:szCs w:val="16"/>
                <w:lang w:eastAsia="en-NZ"/>
              </w:rPr>
              <w:t>0.004</w:t>
            </w:r>
          </w:p>
        </w:tc>
      </w:tr>
    </w:tbl>
    <w:p w14:paraId="105CC0A3" w14:textId="77777777" w:rsidR="00A023BD" w:rsidRPr="00230801" w:rsidRDefault="00A023BD" w:rsidP="00A023BD">
      <w:pPr>
        <w:rPr>
          <w:rFonts w:eastAsiaTheme="majorEastAsia"/>
          <w:sz w:val="16"/>
          <w:lang w:eastAsia="en-US"/>
        </w:rPr>
      </w:pPr>
      <w:r>
        <w:rPr>
          <w:rFonts w:eastAsiaTheme="majorEastAsia"/>
          <w:sz w:val="16"/>
          <w:lang w:eastAsia="en-US"/>
        </w:rPr>
        <w:t>Data weighted for 2013 Census data (all Waves) and attrition (Waves 2, 3 and 4)</w:t>
      </w:r>
    </w:p>
    <w:p w14:paraId="5156D60D" w14:textId="77777777" w:rsidR="00A023BD" w:rsidRDefault="00A023BD" w:rsidP="00A023BD">
      <w:pPr>
        <w:pStyle w:val="RepNormal"/>
      </w:pPr>
    </w:p>
    <w:p w14:paraId="0B5E8A57" w14:textId="77777777" w:rsidR="00A023BD" w:rsidRDefault="00A023BD" w:rsidP="00A023BD">
      <w:pPr>
        <w:pStyle w:val="RepNormal"/>
      </w:pPr>
    </w:p>
    <w:p w14:paraId="44EDE85F" w14:textId="77777777" w:rsidR="00A023BD" w:rsidRPr="008D70BF" w:rsidRDefault="00A023BD" w:rsidP="00A023BD">
      <w:pPr>
        <w:pStyle w:val="RepNormal"/>
        <w:rPr>
          <w:u w:val="single"/>
        </w:rPr>
      </w:pPr>
      <w:r w:rsidRPr="00C21EA4">
        <w:rPr>
          <w:u w:val="single"/>
        </w:rPr>
        <w:t xml:space="preserve">Variables associated with </w:t>
      </w:r>
      <w:r>
        <w:rPr>
          <w:u w:val="single"/>
        </w:rPr>
        <w:t xml:space="preserve">a higher chance of being a past year </w:t>
      </w:r>
      <w:r w:rsidRPr="008D70BF">
        <w:rPr>
          <w:u w:val="single"/>
        </w:rPr>
        <w:t>low-risk/moderate-risk/problem gambler</w:t>
      </w:r>
    </w:p>
    <w:p w14:paraId="75F86A43" w14:textId="77777777" w:rsidR="00A023BD" w:rsidRPr="00CC0DD0" w:rsidRDefault="00A023BD" w:rsidP="00A023BD">
      <w:pPr>
        <w:pStyle w:val="RepNormal"/>
        <w:rPr>
          <w:highlight w:val="lightGray"/>
        </w:rPr>
      </w:pPr>
    </w:p>
    <w:p w14:paraId="56117FCE" w14:textId="77777777" w:rsidR="00A023BD" w:rsidRPr="006E51C3" w:rsidRDefault="00A023BD" w:rsidP="00A023BD">
      <w:pPr>
        <w:pStyle w:val="RepNormal"/>
      </w:pPr>
      <w:r w:rsidRPr="006E51C3">
        <w:t xml:space="preserve">Māori experiencing moderate, high or severe levels of psychological distress had higher odds </w:t>
      </w:r>
      <w:r>
        <w:t>of being a past year low-risk/moderate-risk/problem gambler</w:t>
      </w:r>
      <w:r w:rsidRPr="00A55E1D">
        <w:t xml:space="preserve"> versus </w:t>
      </w:r>
      <w:r>
        <w:t>being a non-problem gambler/non-g</w:t>
      </w:r>
      <w:r w:rsidRPr="00A55E1D">
        <w:t>ambl</w:t>
      </w:r>
      <w:r>
        <w:t>er</w:t>
      </w:r>
      <w:r w:rsidRPr="006E51C3">
        <w:t>, compared with Māori who experienced a low level of psychological distress.  However, the increased risk was not linear at 4.98, 8.79 and 3.40 times for moderate, high and severe levels, respectively.</w:t>
      </w:r>
      <w:r>
        <w:t xml:space="preserve">  This finding was similar to that noted for the total population; however, the level of risk (odds ratios) </w:t>
      </w:r>
      <w:r w:rsidR="00234828">
        <w:t>was</w:t>
      </w:r>
      <w:r>
        <w:t xml:space="preserve"> higher for Māori.</w:t>
      </w:r>
    </w:p>
    <w:p w14:paraId="7860D83A" w14:textId="77777777" w:rsidR="00A023BD" w:rsidRPr="00CC0DD0" w:rsidRDefault="00A023BD" w:rsidP="00A023BD">
      <w:pPr>
        <w:pStyle w:val="RepNormal"/>
        <w:rPr>
          <w:highlight w:val="lightGray"/>
        </w:rPr>
      </w:pPr>
    </w:p>
    <w:p w14:paraId="36541378" w14:textId="77777777" w:rsidR="00A023BD" w:rsidRPr="00672E88" w:rsidRDefault="00A023BD" w:rsidP="00A023BD">
      <w:pPr>
        <w:pStyle w:val="RepNormal"/>
      </w:pPr>
      <w:r>
        <w:t xml:space="preserve">Māori who were current tobacco smokers had </w:t>
      </w:r>
      <w:r w:rsidRPr="00672E88">
        <w:t>1.</w:t>
      </w:r>
      <w:r>
        <w:t>63</w:t>
      </w:r>
      <w:r w:rsidRPr="00672E88">
        <w:t xml:space="preserve"> times higher</w:t>
      </w:r>
      <w:r>
        <w:t xml:space="preserve"> odds of being a past year low-risk/moderate-risk/problem gambler</w:t>
      </w:r>
      <w:r w:rsidRPr="00A55E1D">
        <w:t xml:space="preserve"> versus </w:t>
      </w:r>
      <w:r>
        <w:t>being a non-problem gambler/non-g</w:t>
      </w:r>
      <w:r w:rsidRPr="00A55E1D">
        <w:t>ambl</w:t>
      </w:r>
      <w:r>
        <w:t>er</w:t>
      </w:r>
      <w:r w:rsidRPr="00672E88">
        <w:t xml:space="preserve">, compared with </w:t>
      </w:r>
      <w:r>
        <w:t>Māori who were not current smokers</w:t>
      </w:r>
      <w:r w:rsidRPr="00672E88">
        <w:t>.</w:t>
      </w:r>
      <w:r>
        <w:t xml:space="preserve">  This risk was not found in the multiple logistic regression analyses for the total population.</w:t>
      </w:r>
    </w:p>
    <w:p w14:paraId="527BB9BC" w14:textId="77777777" w:rsidR="00A023BD" w:rsidRPr="00CC0DD0" w:rsidRDefault="00A023BD" w:rsidP="00A023BD">
      <w:pPr>
        <w:pStyle w:val="RepNormal"/>
        <w:rPr>
          <w:highlight w:val="lightGray"/>
        </w:rPr>
      </w:pPr>
    </w:p>
    <w:p w14:paraId="6F9144A6" w14:textId="77777777" w:rsidR="00A023BD" w:rsidRDefault="00A023BD" w:rsidP="00A023BD">
      <w:pPr>
        <w:pStyle w:val="RepNormal"/>
      </w:pPr>
      <w:r w:rsidRPr="00144644">
        <w:t xml:space="preserve">Various gambling participation behaviours were associated with </w:t>
      </w:r>
      <w:r>
        <w:t>Māori being past year low-risk/moderate-risk/problem gamblers</w:t>
      </w:r>
      <w:r w:rsidRPr="00A55E1D">
        <w:t xml:space="preserve"> versus </w:t>
      </w:r>
      <w:r>
        <w:t>being non-problem gamblers/non-g</w:t>
      </w:r>
      <w:r w:rsidRPr="00A55E1D">
        <w:t>ambl</w:t>
      </w:r>
      <w:r>
        <w:t>ers</w:t>
      </w:r>
      <w:r w:rsidRPr="00144644">
        <w:t xml:space="preserve">.  These included at least annual New Zealand internet gambling (1.74 times higher); and </w:t>
      </w:r>
      <w:r>
        <w:t>gambling</w:t>
      </w:r>
      <w:r w:rsidRPr="00144644">
        <w:t xml:space="preserve"> monthly </w:t>
      </w:r>
      <w:r>
        <w:t>or more often</w:t>
      </w:r>
      <w:r w:rsidRPr="00144644">
        <w:t xml:space="preserve"> on card games, sports betting, and playing on gambling-type games not for money (varied from 1.69 to 5.23 times higher), compared with not participating in these activities at least annually or monthly.  </w:t>
      </w:r>
      <w:r>
        <w:t>These findings were similar (though not identical) to those noted for the total population.</w:t>
      </w:r>
    </w:p>
    <w:p w14:paraId="33038EF7" w14:textId="77777777" w:rsidR="00A023BD" w:rsidRDefault="00A023BD" w:rsidP="00A023BD">
      <w:pPr>
        <w:pStyle w:val="RepNormal"/>
      </w:pPr>
    </w:p>
    <w:p w14:paraId="2A905A8C" w14:textId="77777777" w:rsidR="00A023BD" w:rsidRPr="00CC0DD0" w:rsidRDefault="00A023BD" w:rsidP="00A023BD">
      <w:pPr>
        <w:pStyle w:val="RepNormal"/>
        <w:rPr>
          <w:highlight w:val="lightGray"/>
        </w:rPr>
      </w:pPr>
      <w:r>
        <w:t>Māori who regularly gambled on continuous activities had 2.68 times higher odds of being a past year low-risk/moderate-risk/problem gambler</w:t>
      </w:r>
      <w:r w:rsidRPr="00A55E1D">
        <w:t xml:space="preserve"> versus </w:t>
      </w:r>
      <w:r>
        <w:t>being a non-problem gambler/non-g</w:t>
      </w:r>
      <w:r w:rsidRPr="00A55E1D">
        <w:t>ambl</w:t>
      </w:r>
      <w:r>
        <w:t>er, than Māori who were infrequent gamblers.  This finding was not noted for the total population.</w:t>
      </w:r>
    </w:p>
    <w:p w14:paraId="7EEE64E7" w14:textId="77777777" w:rsidR="00A023BD" w:rsidRPr="00CC0DD0" w:rsidRDefault="00A023BD" w:rsidP="00A023BD">
      <w:pPr>
        <w:pStyle w:val="RepNormal"/>
        <w:rPr>
          <w:highlight w:val="lightGray"/>
        </w:rPr>
      </w:pPr>
    </w:p>
    <w:p w14:paraId="1AA1ED07" w14:textId="77777777" w:rsidR="00A023BD" w:rsidRPr="00144644" w:rsidRDefault="00A023BD" w:rsidP="00A023BD">
      <w:pPr>
        <w:pStyle w:val="RepNormal"/>
      </w:pPr>
      <w:r w:rsidRPr="00144644">
        <w:t xml:space="preserve">Māori who had a typical monthly gambling expenditure of more than $50 were 3.21 times more likely to </w:t>
      </w:r>
      <w:r>
        <w:t>be past year low-risk/moderate-risk/problem gamblers</w:t>
      </w:r>
      <w:r w:rsidRPr="00A55E1D">
        <w:t xml:space="preserve"> versus </w:t>
      </w:r>
      <w:r>
        <w:t>being non-problem gamblers/non-g</w:t>
      </w:r>
      <w:r w:rsidRPr="00A55E1D">
        <w:t>ambl</w:t>
      </w:r>
      <w:r>
        <w:t>ers,</w:t>
      </w:r>
      <w:r w:rsidRPr="00144644">
        <w:t xml:space="preserve"> than Māori who had a monthly expenditure of $20 or less.  This finding was similar to that noted for </w:t>
      </w:r>
      <w:r>
        <w:t>the total population</w:t>
      </w:r>
      <w:r w:rsidRPr="00144644">
        <w:t xml:space="preserve">.  Māori who gambled on pub EGMs for more than 30 minutes in an average day had higher odds </w:t>
      </w:r>
      <w:r>
        <w:t>of</w:t>
      </w:r>
      <w:r w:rsidRPr="00144644">
        <w:t xml:space="preserve"> </w:t>
      </w:r>
      <w:r>
        <w:t>being a past year low-risk/moderate-risk/ problem gambler</w:t>
      </w:r>
      <w:r w:rsidRPr="00A55E1D">
        <w:t xml:space="preserve"> versus </w:t>
      </w:r>
      <w:r>
        <w:t>non-problem gambler/non-g</w:t>
      </w:r>
      <w:r w:rsidRPr="00A55E1D">
        <w:t>ambl</w:t>
      </w:r>
      <w:r>
        <w:t>er,</w:t>
      </w:r>
      <w:r w:rsidRPr="00144644">
        <w:t xml:space="preserve"> than Māori who did not gamble on pub EGMs; the risk increased with increasing time </w:t>
      </w:r>
      <w:r>
        <w:t xml:space="preserve">spent </w:t>
      </w:r>
      <w:r w:rsidRPr="00144644">
        <w:t>gambling on the EGMs</w:t>
      </w:r>
      <w:r>
        <w:t>, from 2.63 </w:t>
      </w:r>
      <w:r w:rsidRPr="00144644">
        <w:t xml:space="preserve">times to 5.20 times.  This finding had not been noted for </w:t>
      </w:r>
      <w:r>
        <w:t>the total population</w:t>
      </w:r>
      <w:r w:rsidRPr="00144644">
        <w:t xml:space="preserve"> for whom length of time gambling on club EGMs was a risk factor.</w:t>
      </w:r>
    </w:p>
    <w:p w14:paraId="510EE9CD" w14:textId="77777777" w:rsidR="00A023BD" w:rsidRDefault="00A023BD" w:rsidP="00A023BD">
      <w:pPr>
        <w:pStyle w:val="RepNormal"/>
      </w:pPr>
    </w:p>
    <w:p w14:paraId="442C4985" w14:textId="77777777" w:rsidR="00A023BD" w:rsidRDefault="00A023BD" w:rsidP="00A023BD">
      <w:pPr>
        <w:pStyle w:val="RepNormal"/>
      </w:pPr>
      <w:r w:rsidRPr="004942DB">
        <w:t xml:space="preserve">Two methods for moderating gambling behaviour were associated with </w:t>
      </w:r>
      <w:r>
        <w:t>Māori being past year low-risk/moderate-risk/problem gamblers</w:t>
      </w:r>
      <w:r w:rsidRPr="00A55E1D">
        <w:t xml:space="preserve"> versus </w:t>
      </w:r>
      <w:r>
        <w:t>being non-problem gamblers/non-g</w:t>
      </w:r>
      <w:r w:rsidRPr="00A55E1D">
        <w:t>ambl</w:t>
      </w:r>
      <w:r>
        <w:t>ers</w:t>
      </w:r>
      <w:r w:rsidRPr="004942DB">
        <w:t xml:space="preserve">.  These were separating money for betting from other money and stopping when it is used, and leaving ATM and credit cards at home (2.90 and 4.08 times higher, respectively).  These findings were similar to those noted for </w:t>
      </w:r>
      <w:r>
        <w:t>the total population</w:t>
      </w:r>
      <w:r w:rsidRPr="004942DB">
        <w:t xml:space="preserve">; however, more moderating methods were associated with </w:t>
      </w:r>
      <w:r>
        <w:t>past year low-risk/moderate-risk/problem gambling</w:t>
      </w:r>
      <w:r w:rsidRPr="004942DB">
        <w:t xml:space="preserve"> </w:t>
      </w:r>
      <w:r w:rsidR="00D06B71">
        <w:t>for</w:t>
      </w:r>
      <w:r w:rsidRPr="004942DB">
        <w:t xml:space="preserve"> </w:t>
      </w:r>
      <w:r>
        <w:t>the total population</w:t>
      </w:r>
      <w:r w:rsidRPr="004942DB">
        <w:t xml:space="preserve">. </w:t>
      </w:r>
    </w:p>
    <w:p w14:paraId="720D4A4E" w14:textId="77777777" w:rsidR="00A023BD" w:rsidRPr="004942DB" w:rsidRDefault="00A023BD" w:rsidP="00A023BD">
      <w:pPr>
        <w:pStyle w:val="RepNormal"/>
      </w:pPr>
    </w:p>
    <w:p w14:paraId="02E88E1F" w14:textId="77777777" w:rsidR="00A023BD" w:rsidRPr="004942DB" w:rsidRDefault="00A023BD" w:rsidP="00A023BD">
      <w:pPr>
        <w:pStyle w:val="RepNormal"/>
      </w:pPr>
    </w:p>
    <w:p w14:paraId="2EA0F170" w14:textId="77777777" w:rsidR="00A023BD" w:rsidRPr="008D70BF" w:rsidRDefault="00A023BD" w:rsidP="00A023BD">
      <w:pPr>
        <w:pStyle w:val="RepNormal"/>
        <w:rPr>
          <w:u w:val="single"/>
        </w:rPr>
      </w:pPr>
      <w:r w:rsidRPr="00D06B71">
        <w:rPr>
          <w:u w:val="single"/>
        </w:rPr>
        <w:t>Variables associated with a lower chance of being a past year low-risk/moderate-risk/problem</w:t>
      </w:r>
      <w:r w:rsidRPr="008D70BF">
        <w:rPr>
          <w:u w:val="single"/>
        </w:rPr>
        <w:t xml:space="preserve"> gambler</w:t>
      </w:r>
    </w:p>
    <w:p w14:paraId="6F5B15AD" w14:textId="77777777" w:rsidR="00A023BD" w:rsidRDefault="00A023BD" w:rsidP="00A023BD">
      <w:pPr>
        <w:pStyle w:val="RepNormal"/>
        <w:rPr>
          <w:highlight w:val="lightGray"/>
        </w:rPr>
      </w:pPr>
    </w:p>
    <w:p w14:paraId="145B8357" w14:textId="49B8878A" w:rsidR="00A023BD" w:rsidRDefault="00A023BD" w:rsidP="00A023BD">
      <w:pPr>
        <w:pStyle w:val="RepNormal"/>
      </w:pPr>
      <w:r w:rsidRPr="00735871">
        <w:t xml:space="preserve">Māori who did not use drugs had </w:t>
      </w:r>
      <w:r>
        <w:t>significantly lower odds (</w:t>
      </w:r>
      <w:r w:rsidR="004D1358">
        <w:t xml:space="preserve">odds ratio </w:t>
      </w:r>
      <w:r>
        <w:t>0.63) of being a past year low-risk/moderate-risk/problem gambler</w:t>
      </w:r>
      <w:r w:rsidRPr="00A55E1D">
        <w:t xml:space="preserve"> versus </w:t>
      </w:r>
      <w:r>
        <w:t>being a non-problem gambler/non-g</w:t>
      </w:r>
      <w:r w:rsidRPr="00A55E1D">
        <w:t>ambl</w:t>
      </w:r>
      <w:r>
        <w:t>er, than Māori who used drugs.  This finding was not noted in the multiple logistic regression analyses for the total population.</w:t>
      </w:r>
    </w:p>
    <w:p w14:paraId="15CA4CE4" w14:textId="77777777" w:rsidR="00A023BD" w:rsidRDefault="00A023BD" w:rsidP="00A023BD">
      <w:pPr>
        <w:pStyle w:val="RepNormal"/>
      </w:pPr>
    </w:p>
    <w:p w14:paraId="0CF487B8" w14:textId="1098B075" w:rsidR="00A023BD" w:rsidRDefault="00A023BD" w:rsidP="00A023BD">
      <w:pPr>
        <w:pStyle w:val="RepNormal"/>
      </w:pPr>
      <w:r>
        <w:t>Māori</w:t>
      </w:r>
      <w:r w:rsidRPr="00320388">
        <w:t xml:space="preserve"> who gambled monthly</w:t>
      </w:r>
      <w:r>
        <w:t xml:space="preserve"> or more often</w:t>
      </w:r>
      <w:r w:rsidRPr="00320388">
        <w:t xml:space="preserve"> on pub EGMs had lower odds </w:t>
      </w:r>
      <w:r>
        <w:t>of being a past year low-risk/moderate-risk/problem gambler</w:t>
      </w:r>
      <w:r w:rsidRPr="00A55E1D">
        <w:t xml:space="preserve"> versus </w:t>
      </w:r>
      <w:r>
        <w:t>being a non-problem gambler/non-g</w:t>
      </w:r>
      <w:r w:rsidRPr="00A55E1D">
        <w:t>ambl</w:t>
      </w:r>
      <w:r>
        <w:t>er</w:t>
      </w:r>
      <w:r w:rsidRPr="00320388">
        <w:t xml:space="preserve"> (</w:t>
      </w:r>
      <w:r w:rsidR="004D1358">
        <w:t xml:space="preserve">odds ratio </w:t>
      </w:r>
      <w:r w:rsidRPr="00320388">
        <w:t>0.3</w:t>
      </w:r>
      <w:r>
        <w:t>7</w:t>
      </w:r>
      <w:r w:rsidRPr="00320388">
        <w:t xml:space="preserve">), than Māori who did not gamble monthly </w:t>
      </w:r>
      <w:r>
        <w:t xml:space="preserve">or more often </w:t>
      </w:r>
      <w:r w:rsidRPr="00320388">
        <w:t xml:space="preserve">on these EGMs.  This finding is the opposite </w:t>
      </w:r>
      <w:r>
        <w:t>of</w:t>
      </w:r>
      <w:r w:rsidRPr="00320388">
        <w:t xml:space="preserve"> that noted for </w:t>
      </w:r>
      <w:r>
        <w:t>the total population</w:t>
      </w:r>
      <w:r w:rsidRPr="00320388">
        <w:t xml:space="preserve"> who had 3.89 times higher odds</w:t>
      </w:r>
      <w:r>
        <w:t>,</w:t>
      </w:r>
      <w:r w:rsidRPr="00320388">
        <w:t xml:space="preserve"> if they gambled monthly </w:t>
      </w:r>
      <w:r>
        <w:t xml:space="preserve">or more often </w:t>
      </w:r>
      <w:r w:rsidRPr="00320388">
        <w:t>on pub EGMs.</w:t>
      </w:r>
      <w:r>
        <w:t xml:space="preserve">  However, this is likely to be a function of the statistical modelling adjusting for the related factor of time spent gambling on pub EGMs.</w:t>
      </w:r>
    </w:p>
    <w:p w14:paraId="1C075CDC" w14:textId="77777777" w:rsidR="00A023BD" w:rsidRPr="00320388" w:rsidRDefault="00A023BD" w:rsidP="00A023BD">
      <w:pPr>
        <w:pStyle w:val="RepNormal"/>
      </w:pPr>
    </w:p>
    <w:p w14:paraId="6182348B" w14:textId="77777777" w:rsidR="00A023BD" w:rsidRDefault="00A023BD" w:rsidP="00A023BD">
      <w:pPr>
        <w:pStyle w:val="RepNormal"/>
      </w:pPr>
    </w:p>
    <w:p w14:paraId="5B26A36B" w14:textId="77777777" w:rsidR="00A023BD" w:rsidRPr="00320388" w:rsidRDefault="00A023BD" w:rsidP="00A023BD">
      <w:pPr>
        <w:pStyle w:val="RepHead3"/>
      </w:pPr>
      <w:bookmarkStart w:id="148" w:name="_Ref495670737"/>
      <w:bookmarkStart w:id="149" w:name="_Toc504488380"/>
      <w:r w:rsidRPr="00320388">
        <w:t xml:space="preserve">Multiple logistic regression - </w:t>
      </w:r>
      <w:r>
        <w:t>Pacific people</w:t>
      </w:r>
      <w:bookmarkEnd w:id="148"/>
      <w:bookmarkEnd w:id="149"/>
    </w:p>
    <w:p w14:paraId="7458216D" w14:textId="77777777" w:rsidR="00A023BD" w:rsidRDefault="00A023BD" w:rsidP="00A023BD">
      <w:pPr>
        <w:pStyle w:val="RepNormal"/>
      </w:pPr>
    </w:p>
    <w:p w14:paraId="74073F77" w14:textId="77777777" w:rsidR="00A023BD" w:rsidRPr="005C7F89" w:rsidRDefault="00A023BD" w:rsidP="00A023BD">
      <w:pPr>
        <w:pStyle w:val="RepNormal"/>
      </w:pPr>
      <w:r>
        <w:t xml:space="preserve">Data are presented in </w:t>
      </w:r>
      <w:r>
        <w:fldChar w:fldCharType="begin"/>
      </w:r>
      <w:r>
        <w:instrText xml:space="preserve"> REF _Ref483302335 \h </w:instrText>
      </w:r>
      <w:r>
        <w:fldChar w:fldCharType="separate"/>
      </w:r>
      <w:r w:rsidR="00D5752E">
        <w:t xml:space="preserve">Table </w:t>
      </w:r>
      <w:r w:rsidR="00D5752E">
        <w:rPr>
          <w:noProof/>
        </w:rPr>
        <w:t>17</w:t>
      </w:r>
      <w:r>
        <w:fldChar w:fldCharType="end"/>
      </w:r>
      <w:r w:rsidRPr="00BF3771">
        <w:t>.</w:t>
      </w:r>
    </w:p>
    <w:p w14:paraId="551AB596" w14:textId="77777777" w:rsidR="00A023BD" w:rsidRDefault="00A023BD" w:rsidP="00A023BD">
      <w:pPr>
        <w:pStyle w:val="RepNormal"/>
      </w:pPr>
    </w:p>
    <w:p w14:paraId="7CB510FB" w14:textId="77777777" w:rsidR="00A023BD" w:rsidRPr="00735871" w:rsidRDefault="00A023BD" w:rsidP="00A023BD">
      <w:pPr>
        <w:pStyle w:val="RepNormal"/>
      </w:pPr>
      <w:r w:rsidRPr="00CC0DD0">
        <w:t xml:space="preserve">Multiple logistic regression analyses for </w:t>
      </w:r>
      <w:r>
        <w:t>Pacific people</w:t>
      </w:r>
      <w:r w:rsidRPr="00CC0DD0">
        <w:t xml:space="preserve"> showed that </w:t>
      </w:r>
      <w:r>
        <w:t>there were some similarities, and some differences, from the total population in regard to associations with being a past year low-risk/moderate-risk/problem gambler</w:t>
      </w:r>
      <w:r w:rsidRPr="00A55E1D">
        <w:t xml:space="preserve"> versus </w:t>
      </w:r>
      <w:r>
        <w:t>being a non-problem gambler/non-g</w:t>
      </w:r>
      <w:r w:rsidRPr="00A55E1D">
        <w:t>ambl</w:t>
      </w:r>
      <w:r>
        <w:t xml:space="preserve">er.  Highest educational level, </w:t>
      </w:r>
      <w:r w:rsidRPr="00735871">
        <w:t>psychological distress, various gambling participation behaviours</w:t>
      </w:r>
      <w:r>
        <w:t>, and two methods for moderating gambling behaviour</w:t>
      </w:r>
      <w:r w:rsidRPr="00735871">
        <w:t xml:space="preserve"> were significantly associated with </w:t>
      </w:r>
      <w:r>
        <w:t>being a past year low-risk/moderate-risk/problem gambler</w:t>
      </w:r>
      <w:r w:rsidRPr="00735871">
        <w:t>.</w:t>
      </w:r>
    </w:p>
    <w:p w14:paraId="4959770D" w14:textId="77777777" w:rsidR="00A023BD" w:rsidRDefault="00A023BD" w:rsidP="00A023BD">
      <w:pPr>
        <w:pStyle w:val="RepNormal"/>
        <w:rPr>
          <w:highlight w:val="lightGray"/>
        </w:rPr>
      </w:pPr>
    </w:p>
    <w:p w14:paraId="08390FF5" w14:textId="77777777" w:rsidR="00A023BD" w:rsidRPr="00CC0DD0" w:rsidRDefault="00A023BD" w:rsidP="00A023BD">
      <w:pPr>
        <w:pStyle w:val="RepNormal"/>
        <w:rPr>
          <w:highlight w:val="lightGray"/>
        </w:rPr>
      </w:pPr>
    </w:p>
    <w:p w14:paraId="1025E281" w14:textId="77777777" w:rsidR="00A023BD" w:rsidRPr="00B01A26" w:rsidRDefault="00A023BD" w:rsidP="00A023BD">
      <w:pPr>
        <w:pStyle w:val="Caption"/>
        <w:keepNext/>
        <w:keepLines/>
        <w:jc w:val="both"/>
        <w:rPr>
          <w:sz w:val="22"/>
          <w:szCs w:val="22"/>
        </w:rPr>
      </w:pPr>
      <w:bookmarkStart w:id="150" w:name="_Ref483302335"/>
      <w:bookmarkStart w:id="151" w:name="_Toc504488442"/>
      <w:r>
        <w:t xml:space="preserve">Table </w:t>
      </w:r>
      <w:r w:rsidR="00D5752E">
        <w:fldChar w:fldCharType="begin"/>
      </w:r>
      <w:r w:rsidR="00D5752E">
        <w:instrText xml:space="preserve"> SEQ Table \* ARABIC </w:instrText>
      </w:r>
      <w:r w:rsidR="00D5752E">
        <w:fldChar w:fldCharType="separate"/>
      </w:r>
      <w:r w:rsidR="00D5752E">
        <w:rPr>
          <w:noProof/>
        </w:rPr>
        <w:t>17</w:t>
      </w:r>
      <w:r w:rsidR="00D5752E">
        <w:rPr>
          <w:noProof/>
        </w:rPr>
        <w:fldChar w:fldCharType="end"/>
      </w:r>
      <w:bookmarkEnd w:id="150"/>
      <w:r>
        <w:t xml:space="preserve">: Multiple logistic regression for </w:t>
      </w:r>
      <w:r w:rsidR="00681AF3">
        <w:t xml:space="preserve">the </w:t>
      </w:r>
      <w:r w:rsidR="00D06B71">
        <w:t xml:space="preserve">chance of </w:t>
      </w:r>
      <w:r>
        <w:t>being a past year low-risk/moderate-risk/</w:t>
      </w:r>
      <w:r w:rsidR="00D06B71">
        <w:t xml:space="preserve"> </w:t>
      </w:r>
      <w:r>
        <w:t>problem gambler</w:t>
      </w:r>
      <w:r w:rsidRPr="00A55E1D">
        <w:t xml:space="preserve"> versus </w:t>
      </w:r>
      <w:r>
        <w:t>being a non-problem gambler/non-g</w:t>
      </w:r>
      <w:r w:rsidRPr="00A55E1D">
        <w:t>ambl</w:t>
      </w:r>
      <w:r>
        <w:t>er across Waves 1 to 4 - Pacific people</w:t>
      </w:r>
      <w:bookmarkEnd w:id="151"/>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1134"/>
        <w:gridCol w:w="1134"/>
        <w:gridCol w:w="850"/>
      </w:tblGrid>
      <w:tr w:rsidR="00A023BD" w:rsidRPr="003F15C0" w14:paraId="5670B67A" w14:textId="77777777" w:rsidTr="00A023BD">
        <w:trPr>
          <w:tblHeader/>
        </w:trPr>
        <w:tc>
          <w:tcPr>
            <w:tcW w:w="5387" w:type="dxa"/>
            <w:tcBorders>
              <w:top w:val="single" w:sz="4" w:space="0" w:color="auto"/>
              <w:bottom w:val="single" w:sz="4" w:space="0" w:color="auto"/>
            </w:tcBorders>
            <w:vAlign w:val="bottom"/>
          </w:tcPr>
          <w:p w14:paraId="186F20B1" w14:textId="77777777" w:rsidR="00A023BD" w:rsidRPr="003F15C0" w:rsidRDefault="00A023BD" w:rsidP="00A023BD">
            <w:pPr>
              <w:keepNext/>
              <w:keepLines/>
              <w:spacing w:before="20"/>
              <w:jc w:val="both"/>
              <w:rPr>
                <w:b/>
                <w:sz w:val="16"/>
                <w:szCs w:val="16"/>
              </w:rPr>
            </w:pPr>
            <w:r>
              <w:rPr>
                <w:b/>
                <w:sz w:val="16"/>
                <w:szCs w:val="16"/>
              </w:rPr>
              <w:t>Wave 1 v</w:t>
            </w:r>
            <w:r w:rsidRPr="003F15C0">
              <w:rPr>
                <w:b/>
                <w:sz w:val="16"/>
                <w:szCs w:val="16"/>
              </w:rPr>
              <w:t>ariable</w:t>
            </w:r>
          </w:p>
        </w:tc>
        <w:tc>
          <w:tcPr>
            <w:tcW w:w="1134" w:type="dxa"/>
            <w:tcBorders>
              <w:top w:val="single" w:sz="4" w:space="0" w:color="auto"/>
              <w:bottom w:val="single" w:sz="4" w:space="0" w:color="auto"/>
            </w:tcBorders>
            <w:vAlign w:val="bottom"/>
          </w:tcPr>
          <w:p w14:paraId="7A45F81F" w14:textId="1999F417" w:rsidR="00A023BD" w:rsidRPr="003F15C0" w:rsidRDefault="004B0286" w:rsidP="00A023BD">
            <w:pPr>
              <w:keepNext/>
              <w:keepLines/>
              <w:spacing w:before="20"/>
              <w:jc w:val="right"/>
              <w:rPr>
                <w:b/>
                <w:color w:val="000000"/>
                <w:sz w:val="16"/>
                <w:szCs w:val="16"/>
              </w:rPr>
            </w:pPr>
            <w:r>
              <w:rPr>
                <w:b/>
                <w:color w:val="000000"/>
                <w:sz w:val="16"/>
                <w:szCs w:val="16"/>
              </w:rPr>
              <w:t>Odds r</w:t>
            </w:r>
            <w:r w:rsidR="00A023BD" w:rsidRPr="003F15C0">
              <w:rPr>
                <w:b/>
                <w:color w:val="000000"/>
                <w:sz w:val="16"/>
                <w:szCs w:val="16"/>
              </w:rPr>
              <w:t>atio</w:t>
            </w:r>
          </w:p>
        </w:tc>
        <w:tc>
          <w:tcPr>
            <w:tcW w:w="1134" w:type="dxa"/>
            <w:tcBorders>
              <w:top w:val="single" w:sz="4" w:space="0" w:color="auto"/>
              <w:bottom w:val="single" w:sz="4" w:space="0" w:color="auto"/>
            </w:tcBorders>
            <w:vAlign w:val="bottom"/>
          </w:tcPr>
          <w:p w14:paraId="694CA496" w14:textId="77777777" w:rsidR="00A023BD" w:rsidRPr="003F15C0" w:rsidRDefault="00A023BD" w:rsidP="00A023BD">
            <w:pPr>
              <w:keepNext/>
              <w:keepLines/>
              <w:spacing w:before="20"/>
              <w:jc w:val="right"/>
              <w:rPr>
                <w:b/>
                <w:color w:val="000000"/>
                <w:sz w:val="16"/>
                <w:szCs w:val="16"/>
              </w:rPr>
            </w:pPr>
            <w:r w:rsidRPr="003F15C0">
              <w:rPr>
                <w:b/>
                <w:color w:val="000000"/>
                <w:sz w:val="16"/>
                <w:szCs w:val="16"/>
              </w:rPr>
              <w:t>(95% CI)</w:t>
            </w:r>
          </w:p>
        </w:tc>
        <w:tc>
          <w:tcPr>
            <w:tcW w:w="850" w:type="dxa"/>
            <w:tcBorders>
              <w:top w:val="single" w:sz="4" w:space="0" w:color="auto"/>
              <w:bottom w:val="single" w:sz="4" w:space="0" w:color="auto"/>
            </w:tcBorders>
            <w:vAlign w:val="bottom"/>
          </w:tcPr>
          <w:p w14:paraId="3C52FAEA" w14:textId="77777777" w:rsidR="00A023BD" w:rsidRPr="003F15C0" w:rsidRDefault="00A023BD" w:rsidP="00A023BD">
            <w:pPr>
              <w:keepNext/>
              <w:keepLines/>
              <w:spacing w:before="20"/>
              <w:jc w:val="right"/>
              <w:rPr>
                <w:b/>
                <w:color w:val="000000"/>
                <w:sz w:val="16"/>
                <w:szCs w:val="16"/>
              </w:rPr>
            </w:pPr>
            <w:r w:rsidRPr="003F15C0">
              <w:rPr>
                <w:b/>
                <w:color w:val="000000"/>
                <w:sz w:val="16"/>
                <w:szCs w:val="16"/>
              </w:rPr>
              <w:t>p-value</w:t>
            </w:r>
          </w:p>
        </w:tc>
      </w:tr>
      <w:tr w:rsidR="00A023BD" w:rsidRPr="001A61F1" w14:paraId="18F6CEBA" w14:textId="77777777" w:rsidTr="00A023BD">
        <w:tc>
          <w:tcPr>
            <w:tcW w:w="5387" w:type="dxa"/>
            <w:tcBorders>
              <w:top w:val="single" w:sz="4" w:space="0" w:color="auto"/>
            </w:tcBorders>
          </w:tcPr>
          <w:p w14:paraId="3D154D7F" w14:textId="77777777" w:rsidR="00A023BD" w:rsidRPr="006B29E4" w:rsidRDefault="00A023BD" w:rsidP="00A023BD">
            <w:pPr>
              <w:keepNext/>
              <w:keepLines/>
              <w:spacing w:before="20"/>
              <w:jc w:val="both"/>
              <w:rPr>
                <w:b/>
                <w:sz w:val="16"/>
                <w:szCs w:val="16"/>
              </w:rPr>
            </w:pPr>
            <w:r w:rsidRPr="006B29E4">
              <w:rPr>
                <w:b/>
                <w:sz w:val="16"/>
                <w:szCs w:val="16"/>
              </w:rPr>
              <w:t>Highest qualification</w:t>
            </w:r>
          </w:p>
        </w:tc>
        <w:tc>
          <w:tcPr>
            <w:tcW w:w="1134" w:type="dxa"/>
            <w:tcBorders>
              <w:top w:val="single" w:sz="4" w:space="0" w:color="auto"/>
            </w:tcBorders>
            <w:shd w:val="clear" w:color="auto" w:fill="auto"/>
            <w:vAlign w:val="center"/>
          </w:tcPr>
          <w:p w14:paraId="754ADF8B" w14:textId="77777777" w:rsidR="00A023BD" w:rsidRPr="00637CF2" w:rsidRDefault="00A023BD" w:rsidP="00A023BD">
            <w:pPr>
              <w:keepNext/>
              <w:keepLines/>
              <w:jc w:val="right"/>
              <w:rPr>
                <w:color w:val="000000"/>
                <w:sz w:val="16"/>
                <w:szCs w:val="16"/>
                <w:lang w:eastAsia="en-NZ"/>
              </w:rPr>
            </w:pPr>
          </w:p>
        </w:tc>
        <w:tc>
          <w:tcPr>
            <w:tcW w:w="1134" w:type="dxa"/>
            <w:tcBorders>
              <w:top w:val="single" w:sz="4" w:space="0" w:color="auto"/>
            </w:tcBorders>
            <w:shd w:val="clear" w:color="auto" w:fill="auto"/>
            <w:vAlign w:val="center"/>
          </w:tcPr>
          <w:p w14:paraId="546ED29A" w14:textId="77777777" w:rsidR="00A023BD" w:rsidRPr="00637CF2" w:rsidRDefault="00A023BD" w:rsidP="00A023BD">
            <w:pPr>
              <w:keepNext/>
              <w:keepLines/>
              <w:jc w:val="right"/>
              <w:rPr>
                <w:color w:val="000000"/>
                <w:sz w:val="16"/>
                <w:szCs w:val="16"/>
                <w:lang w:eastAsia="en-NZ"/>
              </w:rPr>
            </w:pPr>
          </w:p>
        </w:tc>
        <w:tc>
          <w:tcPr>
            <w:tcW w:w="850" w:type="dxa"/>
            <w:tcBorders>
              <w:top w:val="single" w:sz="4" w:space="0" w:color="auto"/>
            </w:tcBorders>
            <w:shd w:val="clear" w:color="auto" w:fill="auto"/>
            <w:vAlign w:val="center"/>
          </w:tcPr>
          <w:p w14:paraId="3A924892" w14:textId="77777777" w:rsidR="00A023BD" w:rsidRPr="00637CF2" w:rsidRDefault="00A023BD" w:rsidP="00A023BD">
            <w:pPr>
              <w:keepNext/>
              <w:keepLines/>
              <w:jc w:val="right"/>
              <w:rPr>
                <w:color w:val="000000"/>
                <w:sz w:val="16"/>
                <w:szCs w:val="16"/>
                <w:lang w:eastAsia="en-NZ"/>
              </w:rPr>
            </w:pPr>
          </w:p>
        </w:tc>
      </w:tr>
      <w:tr w:rsidR="00A023BD" w:rsidRPr="001A61F1" w14:paraId="0B02FB1D" w14:textId="77777777" w:rsidTr="00A023BD">
        <w:tc>
          <w:tcPr>
            <w:tcW w:w="5387" w:type="dxa"/>
            <w:vAlign w:val="bottom"/>
          </w:tcPr>
          <w:p w14:paraId="4F656633" w14:textId="77777777" w:rsidR="00A023BD" w:rsidRPr="006B29E4" w:rsidRDefault="00A023BD" w:rsidP="00A023BD">
            <w:pPr>
              <w:keepNext/>
              <w:keepLines/>
              <w:spacing w:before="20"/>
              <w:ind w:left="176"/>
              <w:jc w:val="both"/>
              <w:rPr>
                <w:sz w:val="16"/>
                <w:szCs w:val="16"/>
              </w:rPr>
            </w:pPr>
            <w:r w:rsidRPr="006B29E4">
              <w:rPr>
                <w:sz w:val="16"/>
                <w:szCs w:val="16"/>
              </w:rPr>
              <w:t>No formal qual</w:t>
            </w:r>
            <w:r>
              <w:rPr>
                <w:sz w:val="16"/>
                <w:szCs w:val="16"/>
              </w:rPr>
              <w:t>ification</w:t>
            </w:r>
          </w:p>
        </w:tc>
        <w:tc>
          <w:tcPr>
            <w:tcW w:w="1134" w:type="dxa"/>
            <w:shd w:val="clear" w:color="auto" w:fill="auto"/>
            <w:vAlign w:val="center"/>
          </w:tcPr>
          <w:p w14:paraId="000E87F3" w14:textId="77777777" w:rsidR="00A023BD" w:rsidRPr="00152900" w:rsidRDefault="00A023BD" w:rsidP="00A023BD">
            <w:pPr>
              <w:keepNext/>
              <w:keepLines/>
              <w:jc w:val="right"/>
              <w:rPr>
                <w:color w:val="000000"/>
                <w:sz w:val="16"/>
                <w:szCs w:val="16"/>
                <w:lang w:eastAsia="en-NZ"/>
              </w:rPr>
            </w:pPr>
            <w:r w:rsidRPr="00152900">
              <w:rPr>
                <w:color w:val="000000"/>
                <w:sz w:val="16"/>
                <w:szCs w:val="16"/>
                <w:lang w:eastAsia="en-NZ"/>
              </w:rPr>
              <w:t>1.00</w:t>
            </w:r>
          </w:p>
        </w:tc>
        <w:tc>
          <w:tcPr>
            <w:tcW w:w="1134" w:type="dxa"/>
            <w:shd w:val="clear" w:color="auto" w:fill="auto"/>
            <w:vAlign w:val="center"/>
          </w:tcPr>
          <w:p w14:paraId="48822B73" w14:textId="77777777" w:rsidR="00A023BD" w:rsidRPr="00152900" w:rsidRDefault="00A023BD" w:rsidP="00A023BD">
            <w:pPr>
              <w:keepNext/>
              <w:keepLines/>
              <w:jc w:val="right"/>
              <w:rPr>
                <w:color w:val="000000"/>
                <w:sz w:val="16"/>
                <w:szCs w:val="16"/>
                <w:lang w:eastAsia="en-NZ"/>
              </w:rPr>
            </w:pPr>
          </w:p>
        </w:tc>
        <w:tc>
          <w:tcPr>
            <w:tcW w:w="850" w:type="dxa"/>
            <w:shd w:val="clear" w:color="auto" w:fill="auto"/>
            <w:vAlign w:val="center"/>
          </w:tcPr>
          <w:p w14:paraId="44C9C121" w14:textId="77777777" w:rsidR="00A023BD" w:rsidRPr="00152900" w:rsidRDefault="00A023BD" w:rsidP="00A023BD">
            <w:pPr>
              <w:keepNext/>
              <w:keepLines/>
              <w:jc w:val="right"/>
              <w:rPr>
                <w:color w:val="000000"/>
                <w:sz w:val="16"/>
                <w:szCs w:val="16"/>
                <w:lang w:eastAsia="en-NZ"/>
              </w:rPr>
            </w:pPr>
          </w:p>
        </w:tc>
      </w:tr>
      <w:tr w:rsidR="00A023BD" w:rsidRPr="001A61F1" w14:paraId="4798F671" w14:textId="77777777" w:rsidTr="00A023BD">
        <w:tc>
          <w:tcPr>
            <w:tcW w:w="5387" w:type="dxa"/>
            <w:vAlign w:val="bottom"/>
          </w:tcPr>
          <w:p w14:paraId="0C683F23" w14:textId="77777777" w:rsidR="00A023BD" w:rsidRPr="006B29E4" w:rsidRDefault="00A023BD" w:rsidP="00A023BD">
            <w:pPr>
              <w:keepNext/>
              <w:keepLines/>
              <w:spacing w:before="20"/>
              <w:ind w:left="176"/>
              <w:jc w:val="both"/>
              <w:rPr>
                <w:sz w:val="16"/>
                <w:szCs w:val="16"/>
              </w:rPr>
            </w:pPr>
            <w:r w:rsidRPr="006B29E4">
              <w:rPr>
                <w:sz w:val="16"/>
                <w:szCs w:val="16"/>
              </w:rPr>
              <w:t>Secondary</w:t>
            </w:r>
            <w:r>
              <w:rPr>
                <w:sz w:val="16"/>
                <w:szCs w:val="16"/>
              </w:rPr>
              <w:t xml:space="preserve"> school qualification</w:t>
            </w:r>
          </w:p>
        </w:tc>
        <w:tc>
          <w:tcPr>
            <w:tcW w:w="1134" w:type="dxa"/>
            <w:shd w:val="clear" w:color="auto" w:fill="auto"/>
            <w:vAlign w:val="center"/>
          </w:tcPr>
          <w:p w14:paraId="164ACCA7" w14:textId="77777777" w:rsidR="00A023BD" w:rsidRPr="00152900" w:rsidRDefault="00A023BD" w:rsidP="00A023BD">
            <w:pPr>
              <w:keepNext/>
              <w:keepLines/>
              <w:jc w:val="right"/>
              <w:rPr>
                <w:color w:val="000000"/>
                <w:sz w:val="16"/>
                <w:szCs w:val="16"/>
                <w:lang w:eastAsia="en-NZ"/>
              </w:rPr>
            </w:pPr>
            <w:r w:rsidRPr="00152900">
              <w:rPr>
                <w:color w:val="000000"/>
                <w:sz w:val="16"/>
                <w:szCs w:val="16"/>
                <w:lang w:eastAsia="en-NZ"/>
              </w:rPr>
              <w:t>0.51</w:t>
            </w:r>
          </w:p>
        </w:tc>
        <w:tc>
          <w:tcPr>
            <w:tcW w:w="1134" w:type="dxa"/>
            <w:shd w:val="clear" w:color="auto" w:fill="auto"/>
            <w:vAlign w:val="center"/>
          </w:tcPr>
          <w:p w14:paraId="4E99D937" w14:textId="77777777" w:rsidR="00A023BD" w:rsidRPr="00152900" w:rsidRDefault="00A023BD" w:rsidP="00A023BD">
            <w:pPr>
              <w:keepNext/>
              <w:keepLines/>
              <w:jc w:val="right"/>
              <w:rPr>
                <w:color w:val="000000"/>
                <w:sz w:val="16"/>
                <w:szCs w:val="16"/>
                <w:lang w:eastAsia="en-NZ"/>
              </w:rPr>
            </w:pPr>
            <w:r w:rsidRPr="00152900">
              <w:rPr>
                <w:color w:val="000000"/>
                <w:sz w:val="16"/>
                <w:szCs w:val="16"/>
                <w:lang w:eastAsia="en-NZ"/>
              </w:rPr>
              <w:t>(0.26, 0.98)</w:t>
            </w:r>
          </w:p>
        </w:tc>
        <w:tc>
          <w:tcPr>
            <w:tcW w:w="850" w:type="dxa"/>
            <w:shd w:val="clear" w:color="auto" w:fill="auto"/>
            <w:vAlign w:val="center"/>
          </w:tcPr>
          <w:p w14:paraId="7F2EF5CF" w14:textId="77777777" w:rsidR="00A023BD" w:rsidRPr="00152900" w:rsidRDefault="00A023BD" w:rsidP="00A023BD">
            <w:pPr>
              <w:keepNext/>
              <w:keepLines/>
              <w:jc w:val="right"/>
              <w:rPr>
                <w:color w:val="000000"/>
                <w:sz w:val="16"/>
                <w:szCs w:val="16"/>
                <w:lang w:eastAsia="en-NZ"/>
              </w:rPr>
            </w:pPr>
          </w:p>
        </w:tc>
      </w:tr>
      <w:tr w:rsidR="00A023BD" w:rsidRPr="001A61F1" w14:paraId="57E88A07" w14:textId="77777777" w:rsidTr="00A023BD">
        <w:tc>
          <w:tcPr>
            <w:tcW w:w="5387" w:type="dxa"/>
            <w:vAlign w:val="bottom"/>
          </w:tcPr>
          <w:p w14:paraId="52332AC9" w14:textId="77777777" w:rsidR="00A023BD" w:rsidRPr="006B29E4" w:rsidRDefault="00A023BD" w:rsidP="00A023BD">
            <w:pPr>
              <w:keepNext/>
              <w:keepLines/>
              <w:spacing w:before="20"/>
              <w:ind w:left="176"/>
              <w:jc w:val="both"/>
              <w:rPr>
                <w:sz w:val="16"/>
                <w:szCs w:val="16"/>
              </w:rPr>
            </w:pPr>
            <w:r>
              <w:rPr>
                <w:sz w:val="16"/>
                <w:szCs w:val="16"/>
              </w:rPr>
              <w:t>Voc</w:t>
            </w:r>
            <w:r w:rsidRPr="006B29E4">
              <w:rPr>
                <w:sz w:val="16"/>
                <w:szCs w:val="16"/>
              </w:rPr>
              <w:t>ational or trade</w:t>
            </w:r>
            <w:r>
              <w:rPr>
                <w:sz w:val="16"/>
                <w:szCs w:val="16"/>
              </w:rPr>
              <w:t xml:space="preserve"> qualification</w:t>
            </w:r>
          </w:p>
        </w:tc>
        <w:tc>
          <w:tcPr>
            <w:tcW w:w="1134" w:type="dxa"/>
            <w:shd w:val="clear" w:color="auto" w:fill="auto"/>
            <w:vAlign w:val="center"/>
          </w:tcPr>
          <w:p w14:paraId="0FFD43C7" w14:textId="77777777" w:rsidR="00A023BD" w:rsidRPr="00152900" w:rsidRDefault="00A023BD" w:rsidP="00A023BD">
            <w:pPr>
              <w:keepNext/>
              <w:keepLines/>
              <w:jc w:val="right"/>
              <w:rPr>
                <w:color w:val="000000"/>
                <w:sz w:val="16"/>
                <w:szCs w:val="16"/>
                <w:lang w:eastAsia="en-NZ"/>
              </w:rPr>
            </w:pPr>
            <w:r w:rsidRPr="00152900">
              <w:rPr>
                <w:color w:val="000000"/>
                <w:sz w:val="16"/>
                <w:szCs w:val="16"/>
                <w:lang w:eastAsia="en-NZ"/>
              </w:rPr>
              <w:t>0.59</w:t>
            </w:r>
          </w:p>
        </w:tc>
        <w:tc>
          <w:tcPr>
            <w:tcW w:w="1134" w:type="dxa"/>
            <w:shd w:val="clear" w:color="auto" w:fill="auto"/>
            <w:vAlign w:val="center"/>
          </w:tcPr>
          <w:p w14:paraId="021DEC35" w14:textId="77777777" w:rsidR="00A023BD" w:rsidRPr="00152900" w:rsidRDefault="00A023BD" w:rsidP="00A023BD">
            <w:pPr>
              <w:keepNext/>
              <w:keepLines/>
              <w:jc w:val="right"/>
              <w:rPr>
                <w:color w:val="000000"/>
                <w:sz w:val="16"/>
                <w:szCs w:val="16"/>
                <w:lang w:eastAsia="en-NZ"/>
              </w:rPr>
            </w:pPr>
            <w:r w:rsidRPr="00152900">
              <w:rPr>
                <w:color w:val="000000"/>
                <w:sz w:val="16"/>
                <w:szCs w:val="16"/>
                <w:lang w:eastAsia="en-NZ"/>
              </w:rPr>
              <w:t>(0.29, 1.19)</w:t>
            </w:r>
          </w:p>
        </w:tc>
        <w:tc>
          <w:tcPr>
            <w:tcW w:w="850" w:type="dxa"/>
            <w:shd w:val="clear" w:color="auto" w:fill="auto"/>
            <w:vAlign w:val="center"/>
          </w:tcPr>
          <w:p w14:paraId="50FB6899" w14:textId="77777777" w:rsidR="00A023BD" w:rsidRPr="00152900" w:rsidRDefault="00A023BD" w:rsidP="00A023BD">
            <w:pPr>
              <w:keepNext/>
              <w:keepLines/>
              <w:jc w:val="right"/>
              <w:rPr>
                <w:color w:val="000000"/>
                <w:sz w:val="16"/>
                <w:szCs w:val="16"/>
                <w:lang w:eastAsia="en-NZ"/>
              </w:rPr>
            </w:pPr>
          </w:p>
        </w:tc>
      </w:tr>
      <w:tr w:rsidR="00A023BD" w:rsidRPr="001A61F1" w14:paraId="06838103" w14:textId="77777777" w:rsidTr="00326B55">
        <w:tc>
          <w:tcPr>
            <w:tcW w:w="5387" w:type="dxa"/>
            <w:vAlign w:val="bottom"/>
          </w:tcPr>
          <w:p w14:paraId="0F041439" w14:textId="77777777" w:rsidR="00A023BD" w:rsidRPr="006B29E4" w:rsidRDefault="00A023BD" w:rsidP="00A023BD">
            <w:pPr>
              <w:keepNext/>
              <w:keepLines/>
              <w:spacing w:before="20"/>
              <w:ind w:left="176"/>
              <w:jc w:val="both"/>
              <w:rPr>
                <w:sz w:val="16"/>
                <w:szCs w:val="16"/>
              </w:rPr>
            </w:pPr>
            <w:r w:rsidRPr="006B29E4">
              <w:rPr>
                <w:sz w:val="16"/>
                <w:szCs w:val="16"/>
              </w:rPr>
              <w:t>University</w:t>
            </w:r>
            <w:r>
              <w:rPr>
                <w:sz w:val="16"/>
                <w:szCs w:val="16"/>
              </w:rPr>
              <w:t xml:space="preserve"> degree or higher</w:t>
            </w:r>
          </w:p>
        </w:tc>
        <w:tc>
          <w:tcPr>
            <w:tcW w:w="1134" w:type="dxa"/>
            <w:shd w:val="clear" w:color="auto" w:fill="auto"/>
            <w:vAlign w:val="center"/>
          </w:tcPr>
          <w:p w14:paraId="2A8894D7" w14:textId="77777777" w:rsidR="00A023BD" w:rsidRPr="00152900" w:rsidRDefault="00A023BD" w:rsidP="00A023BD">
            <w:pPr>
              <w:keepNext/>
              <w:keepLines/>
              <w:jc w:val="right"/>
              <w:rPr>
                <w:color w:val="000000"/>
                <w:sz w:val="16"/>
                <w:szCs w:val="16"/>
                <w:lang w:eastAsia="en-NZ"/>
              </w:rPr>
            </w:pPr>
            <w:r w:rsidRPr="00152900">
              <w:rPr>
                <w:color w:val="000000"/>
                <w:sz w:val="16"/>
                <w:szCs w:val="16"/>
                <w:lang w:eastAsia="en-NZ"/>
              </w:rPr>
              <w:t>0.28</w:t>
            </w:r>
          </w:p>
        </w:tc>
        <w:tc>
          <w:tcPr>
            <w:tcW w:w="1134" w:type="dxa"/>
            <w:shd w:val="clear" w:color="auto" w:fill="auto"/>
            <w:vAlign w:val="center"/>
          </w:tcPr>
          <w:p w14:paraId="54C2D68B" w14:textId="77777777" w:rsidR="00A023BD" w:rsidRPr="00152900" w:rsidRDefault="00A023BD" w:rsidP="00A023BD">
            <w:pPr>
              <w:keepNext/>
              <w:keepLines/>
              <w:jc w:val="right"/>
              <w:rPr>
                <w:color w:val="000000"/>
                <w:sz w:val="16"/>
                <w:szCs w:val="16"/>
                <w:lang w:eastAsia="en-NZ"/>
              </w:rPr>
            </w:pPr>
            <w:r w:rsidRPr="00152900">
              <w:rPr>
                <w:color w:val="000000"/>
                <w:sz w:val="16"/>
                <w:szCs w:val="16"/>
                <w:lang w:eastAsia="en-NZ"/>
              </w:rPr>
              <w:t>(0.13, 0.63)</w:t>
            </w:r>
          </w:p>
        </w:tc>
        <w:tc>
          <w:tcPr>
            <w:tcW w:w="850" w:type="dxa"/>
            <w:shd w:val="clear" w:color="auto" w:fill="auto"/>
            <w:vAlign w:val="center"/>
          </w:tcPr>
          <w:p w14:paraId="51AD758D" w14:textId="77777777" w:rsidR="00A023BD" w:rsidRPr="00152900" w:rsidRDefault="00A023BD" w:rsidP="00A023BD">
            <w:pPr>
              <w:keepNext/>
              <w:keepLines/>
              <w:jc w:val="right"/>
              <w:rPr>
                <w:color w:val="000000"/>
                <w:sz w:val="16"/>
                <w:szCs w:val="16"/>
                <w:lang w:eastAsia="en-NZ"/>
              </w:rPr>
            </w:pPr>
            <w:r w:rsidRPr="00152900">
              <w:rPr>
                <w:color w:val="000000"/>
                <w:sz w:val="16"/>
                <w:szCs w:val="16"/>
                <w:lang w:eastAsia="en-NZ"/>
              </w:rPr>
              <w:t>0.02</w:t>
            </w:r>
          </w:p>
        </w:tc>
      </w:tr>
      <w:tr w:rsidR="00A023BD" w:rsidRPr="003F15C0" w14:paraId="6FB53988" w14:textId="77777777" w:rsidTr="00A023BD">
        <w:tc>
          <w:tcPr>
            <w:tcW w:w="5387" w:type="dxa"/>
            <w:shd w:val="clear" w:color="auto" w:fill="auto"/>
          </w:tcPr>
          <w:p w14:paraId="7DF8FAF2" w14:textId="77777777" w:rsidR="00A023BD" w:rsidRPr="007C6C78" w:rsidRDefault="00A023BD" w:rsidP="00A023BD">
            <w:pPr>
              <w:keepNext/>
              <w:keepLines/>
              <w:spacing w:before="20"/>
              <w:jc w:val="both"/>
              <w:rPr>
                <w:b/>
                <w:sz w:val="16"/>
                <w:szCs w:val="16"/>
              </w:rPr>
            </w:pPr>
            <w:r w:rsidRPr="007C6C78">
              <w:rPr>
                <w:b/>
                <w:sz w:val="16"/>
                <w:szCs w:val="16"/>
              </w:rPr>
              <w:t>Psychological distress (Kessler-10)</w:t>
            </w:r>
          </w:p>
        </w:tc>
        <w:tc>
          <w:tcPr>
            <w:tcW w:w="1134" w:type="dxa"/>
            <w:shd w:val="clear" w:color="auto" w:fill="auto"/>
            <w:vAlign w:val="center"/>
          </w:tcPr>
          <w:p w14:paraId="53C01238" w14:textId="77777777" w:rsidR="00A023BD" w:rsidRPr="00DF4034" w:rsidRDefault="00A023BD" w:rsidP="00A023BD">
            <w:pPr>
              <w:keepNext/>
              <w:keepLines/>
              <w:jc w:val="right"/>
              <w:rPr>
                <w:color w:val="000000"/>
                <w:sz w:val="16"/>
                <w:szCs w:val="16"/>
                <w:lang w:eastAsia="en-NZ"/>
              </w:rPr>
            </w:pPr>
          </w:p>
        </w:tc>
        <w:tc>
          <w:tcPr>
            <w:tcW w:w="1134" w:type="dxa"/>
            <w:shd w:val="clear" w:color="auto" w:fill="auto"/>
            <w:vAlign w:val="center"/>
          </w:tcPr>
          <w:p w14:paraId="0A87D560" w14:textId="77777777" w:rsidR="00A023BD" w:rsidRPr="00DF4034" w:rsidRDefault="00A023BD" w:rsidP="00A023BD">
            <w:pPr>
              <w:keepNext/>
              <w:keepLines/>
              <w:jc w:val="right"/>
              <w:rPr>
                <w:color w:val="000000"/>
                <w:sz w:val="16"/>
                <w:szCs w:val="16"/>
                <w:lang w:eastAsia="en-NZ"/>
              </w:rPr>
            </w:pPr>
          </w:p>
        </w:tc>
        <w:tc>
          <w:tcPr>
            <w:tcW w:w="850" w:type="dxa"/>
            <w:shd w:val="clear" w:color="auto" w:fill="auto"/>
            <w:vAlign w:val="center"/>
          </w:tcPr>
          <w:p w14:paraId="18116DFD" w14:textId="77777777" w:rsidR="00A023BD" w:rsidRPr="00DF4034" w:rsidRDefault="00A023BD" w:rsidP="00A023BD">
            <w:pPr>
              <w:keepNext/>
              <w:keepLines/>
              <w:jc w:val="right"/>
              <w:rPr>
                <w:color w:val="000000"/>
                <w:sz w:val="16"/>
                <w:szCs w:val="16"/>
                <w:lang w:eastAsia="en-NZ"/>
              </w:rPr>
            </w:pPr>
          </w:p>
        </w:tc>
      </w:tr>
      <w:tr w:rsidR="00A023BD" w:rsidRPr="003F15C0" w14:paraId="5726BC78" w14:textId="77777777" w:rsidTr="00A023BD">
        <w:tc>
          <w:tcPr>
            <w:tcW w:w="5387" w:type="dxa"/>
            <w:shd w:val="clear" w:color="auto" w:fill="auto"/>
            <w:vAlign w:val="bottom"/>
          </w:tcPr>
          <w:p w14:paraId="166D0035" w14:textId="77777777" w:rsidR="00A023BD" w:rsidRPr="007C6C78" w:rsidRDefault="00A023BD" w:rsidP="00A023BD">
            <w:pPr>
              <w:keepNext/>
              <w:keepLines/>
              <w:spacing w:before="20"/>
              <w:ind w:left="176"/>
              <w:jc w:val="both"/>
              <w:rPr>
                <w:sz w:val="16"/>
                <w:szCs w:val="16"/>
              </w:rPr>
            </w:pPr>
            <w:r>
              <w:rPr>
                <w:sz w:val="16"/>
                <w:szCs w:val="16"/>
              </w:rPr>
              <w:t xml:space="preserve">Low (Score </w:t>
            </w:r>
            <w:r w:rsidRPr="007C6C78">
              <w:rPr>
                <w:sz w:val="16"/>
                <w:szCs w:val="16"/>
              </w:rPr>
              <w:t>0</w:t>
            </w:r>
            <w:r>
              <w:rPr>
                <w:sz w:val="16"/>
                <w:szCs w:val="16"/>
              </w:rPr>
              <w:t xml:space="preserve"> </w:t>
            </w:r>
            <w:r w:rsidRPr="007C6C78">
              <w:rPr>
                <w:sz w:val="16"/>
                <w:szCs w:val="16"/>
              </w:rPr>
              <w:t>-</w:t>
            </w:r>
            <w:r>
              <w:rPr>
                <w:sz w:val="16"/>
                <w:szCs w:val="16"/>
              </w:rPr>
              <w:t xml:space="preserve"> </w:t>
            </w:r>
            <w:r w:rsidRPr="007C6C78">
              <w:rPr>
                <w:sz w:val="16"/>
                <w:szCs w:val="16"/>
              </w:rPr>
              <w:t>5</w:t>
            </w:r>
            <w:r>
              <w:rPr>
                <w:sz w:val="16"/>
                <w:szCs w:val="16"/>
              </w:rPr>
              <w:t>)</w:t>
            </w:r>
          </w:p>
        </w:tc>
        <w:tc>
          <w:tcPr>
            <w:tcW w:w="1134" w:type="dxa"/>
            <w:shd w:val="clear" w:color="auto" w:fill="auto"/>
            <w:vAlign w:val="center"/>
          </w:tcPr>
          <w:p w14:paraId="6EADB702" w14:textId="77777777" w:rsidR="00A023BD" w:rsidRPr="00152900" w:rsidRDefault="00A023BD" w:rsidP="00A023BD">
            <w:pPr>
              <w:keepNext/>
              <w:keepLines/>
              <w:jc w:val="right"/>
              <w:rPr>
                <w:color w:val="000000"/>
                <w:sz w:val="16"/>
                <w:szCs w:val="16"/>
                <w:lang w:eastAsia="en-NZ"/>
              </w:rPr>
            </w:pPr>
            <w:r w:rsidRPr="00152900">
              <w:rPr>
                <w:color w:val="000000"/>
                <w:sz w:val="16"/>
                <w:szCs w:val="16"/>
                <w:lang w:eastAsia="en-NZ"/>
              </w:rPr>
              <w:t>1.00</w:t>
            </w:r>
          </w:p>
        </w:tc>
        <w:tc>
          <w:tcPr>
            <w:tcW w:w="1134" w:type="dxa"/>
            <w:shd w:val="clear" w:color="auto" w:fill="auto"/>
            <w:vAlign w:val="center"/>
          </w:tcPr>
          <w:p w14:paraId="1952CC0D" w14:textId="77777777" w:rsidR="00A023BD" w:rsidRPr="00152900" w:rsidRDefault="00A023BD" w:rsidP="00A023BD">
            <w:pPr>
              <w:keepNext/>
              <w:keepLines/>
              <w:jc w:val="right"/>
              <w:rPr>
                <w:color w:val="000000"/>
                <w:sz w:val="16"/>
                <w:szCs w:val="16"/>
                <w:lang w:eastAsia="en-NZ"/>
              </w:rPr>
            </w:pPr>
          </w:p>
        </w:tc>
        <w:tc>
          <w:tcPr>
            <w:tcW w:w="850" w:type="dxa"/>
            <w:shd w:val="clear" w:color="auto" w:fill="auto"/>
            <w:vAlign w:val="center"/>
          </w:tcPr>
          <w:p w14:paraId="186AE02C" w14:textId="77777777" w:rsidR="00A023BD" w:rsidRPr="00152900" w:rsidRDefault="00A023BD" w:rsidP="00A023BD">
            <w:pPr>
              <w:keepNext/>
              <w:keepLines/>
              <w:jc w:val="right"/>
              <w:rPr>
                <w:color w:val="000000"/>
                <w:sz w:val="16"/>
                <w:szCs w:val="16"/>
                <w:lang w:eastAsia="en-NZ"/>
              </w:rPr>
            </w:pPr>
          </w:p>
        </w:tc>
      </w:tr>
      <w:tr w:rsidR="00A023BD" w:rsidRPr="003F15C0" w14:paraId="24F4AD03" w14:textId="77777777" w:rsidTr="00A023BD">
        <w:tc>
          <w:tcPr>
            <w:tcW w:w="5387" w:type="dxa"/>
            <w:shd w:val="clear" w:color="auto" w:fill="auto"/>
            <w:vAlign w:val="bottom"/>
          </w:tcPr>
          <w:p w14:paraId="04192230" w14:textId="77777777" w:rsidR="00A023BD" w:rsidRPr="007C6C78" w:rsidRDefault="00A023BD" w:rsidP="00A023BD">
            <w:pPr>
              <w:keepNext/>
              <w:keepLines/>
              <w:spacing w:before="20"/>
              <w:ind w:left="176"/>
              <w:jc w:val="both"/>
              <w:rPr>
                <w:sz w:val="16"/>
                <w:szCs w:val="16"/>
              </w:rPr>
            </w:pPr>
            <w:r>
              <w:rPr>
                <w:sz w:val="16"/>
                <w:szCs w:val="16"/>
              </w:rPr>
              <w:t xml:space="preserve">Moderate (Score </w:t>
            </w:r>
            <w:r w:rsidRPr="007C6C78">
              <w:rPr>
                <w:sz w:val="16"/>
                <w:szCs w:val="16"/>
              </w:rPr>
              <w:t>6</w:t>
            </w:r>
            <w:r>
              <w:rPr>
                <w:sz w:val="16"/>
                <w:szCs w:val="16"/>
              </w:rPr>
              <w:t xml:space="preserve"> </w:t>
            </w:r>
            <w:r w:rsidRPr="007C6C78">
              <w:rPr>
                <w:sz w:val="16"/>
                <w:szCs w:val="16"/>
              </w:rPr>
              <w:t>-</w:t>
            </w:r>
            <w:r>
              <w:rPr>
                <w:sz w:val="16"/>
                <w:szCs w:val="16"/>
              </w:rPr>
              <w:t xml:space="preserve"> </w:t>
            </w:r>
            <w:r w:rsidRPr="007C6C78">
              <w:rPr>
                <w:sz w:val="16"/>
                <w:szCs w:val="16"/>
              </w:rPr>
              <w:t>11</w:t>
            </w:r>
            <w:r>
              <w:rPr>
                <w:sz w:val="16"/>
                <w:szCs w:val="16"/>
              </w:rPr>
              <w:t>)</w:t>
            </w:r>
          </w:p>
        </w:tc>
        <w:tc>
          <w:tcPr>
            <w:tcW w:w="1134" w:type="dxa"/>
            <w:shd w:val="clear" w:color="auto" w:fill="auto"/>
            <w:vAlign w:val="center"/>
          </w:tcPr>
          <w:p w14:paraId="53412FB4" w14:textId="77777777" w:rsidR="00A023BD" w:rsidRPr="00152900" w:rsidRDefault="00A023BD" w:rsidP="00A023BD">
            <w:pPr>
              <w:keepNext/>
              <w:keepLines/>
              <w:jc w:val="right"/>
              <w:rPr>
                <w:color w:val="000000"/>
                <w:sz w:val="16"/>
                <w:szCs w:val="16"/>
                <w:lang w:eastAsia="en-NZ"/>
              </w:rPr>
            </w:pPr>
            <w:r w:rsidRPr="00152900">
              <w:rPr>
                <w:color w:val="000000"/>
                <w:sz w:val="16"/>
                <w:szCs w:val="16"/>
                <w:lang w:eastAsia="en-NZ"/>
              </w:rPr>
              <w:t>2.00</w:t>
            </w:r>
          </w:p>
        </w:tc>
        <w:tc>
          <w:tcPr>
            <w:tcW w:w="1134" w:type="dxa"/>
            <w:shd w:val="clear" w:color="auto" w:fill="auto"/>
            <w:vAlign w:val="center"/>
          </w:tcPr>
          <w:p w14:paraId="06CFE2F0" w14:textId="77777777" w:rsidR="00A023BD" w:rsidRPr="00152900" w:rsidRDefault="00A023BD" w:rsidP="00A023BD">
            <w:pPr>
              <w:keepNext/>
              <w:keepLines/>
              <w:jc w:val="right"/>
              <w:rPr>
                <w:color w:val="000000"/>
                <w:sz w:val="16"/>
                <w:szCs w:val="16"/>
                <w:lang w:eastAsia="en-NZ"/>
              </w:rPr>
            </w:pPr>
            <w:r w:rsidRPr="00152900">
              <w:rPr>
                <w:color w:val="000000"/>
                <w:sz w:val="16"/>
                <w:szCs w:val="16"/>
                <w:lang w:eastAsia="en-NZ"/>
              </w:rPr>
              <w:t>(0.93, 4.28)</w:t>
            </w:r>
          </w:p>
        </w:tc>
        <w:tc>
          <w:tcPr>
            <w:tcW w:w="850" w:type="dxa"/>
            <w:shd w:val="clear" w:color="auto" w:fill="auto"/>
            <w:vAlign w:val="center"/>
          </w:tcPr>
          <w:p w14:paraId="7041BCCB" w14:textId="77777777" w:rsidR="00A023BD" w:rsidRPr="00152900" w:rsidRDefault="00A023BD" w:rsidP="00A023BD">
            <w:pPr>
              <w:keepNext/>
              <w:keepLines/>
              <w:jc w:val="right"/>
              <w:rPr>
                <w:color w:val="000000"/>
                <w:sz w:val="16"/>
                <w:szCs w:val="16"/>
                <w:lang w:eastAsia="en-NZ"/>
              </w:rPr>
            </w:pPr>
          </w:p>
        </w:tc>
      </w:tr>
      <w:tr w:rsidR="00A023BD" w:rsidRPr="003F15C0" w14:paraId="41796400" w14:textId="77777777" w:rsidTr="00A023BD">
        <w:tc>
          <w:tcPr>
            <w:tcW w:w="5387" w:type="dxa"/>
            <w:shd w:val="clear" w:color="auto" w:fill="auto"/>
            <w:vAlign w:val="bottom"/>
          </w:tcPr>
          <w:p w14:paraId="599E09E8" w14:textId="77777777" w:rsidR="00A023BD" w:rsidRPr="007C6C78" w:rsidRDefault="00A023BD" w:rsidP="00A023BD">
            <w:pPr>
              <w:keepNext/>
              <w:keepLines/>
              <w:spacing w:before="20"/>
              <w:ind w:left="176"/>
              <w:jc w:val="both"/>
              <w:rPr>
                <w:sz w:val="16"/>
                <w:szCs w:val="16"/>
              </w:rPr>
            </w:pPr>
            <w:r>
              <w:rPr>
                <w:sz w:val="16"/>
                <w:szCs w:val="16"/>
              </w:rPr>
              <w:t xml:space="preserve">High (Score </w:t>
            </w:r>
            <w:r w:rsidRPr="007C6C78">
              <w:rPr>
                <w:sz w:val="16"/>
                <w:szCs w:val="16"/>
              </w:rPr>
              <w:t>12</w:t>
            </w:r>
            <w:r>
              <w:rPr>
                <w:sz w:val="16"/>
                <w:szCs w:val="16"/>
              </w:rPr>
              <w:t xml:space="preserve"> </w:t>
            </w:r>
            <w:r w:rsidRPr="007C6C78">
              <w:rPr>
                <w:sz w:val="16"/>
                <w:szCs w:val="16"/>
              </w:rPr>
              <w:t>-</w:t>
            </w:r>
            <w:r>
              <w:rPr>
                <w:sz w:val="16"/>
                <w:szCs w:val="16"/>
              </w:rPr>
              <w:t xml:space="preserve"> </w:t>
            </w:r>
            <w:r w:rsidRPr="007C6C78">
              <w:rPr>
                <w:sz w:val="16"/>
                <w:szCs w:val="16"/>
              </w:rPr>
              <w:t>19</w:t>
            </w:r>
            <w:r>
              <w:rPr>
                <w:sz w:val="16"/>
                <w:szCs w:val="16"/>
              </w:rPr>
              <w:t>)</w:t>
            </w:r>
          </w:p>
        </w:tc>
        <w:tc>
          <w:tcPr>
            <w:tcW w:w="1134" w:type="dxa"/>
            <w:shd w:val="clear" w:color="auto" w:fill="auto"/>
            <w:vAlign w:val="center"/>
          </w:tcPr>
          <w:p w14:paraId="1EEEDD81" w14:textId="77777777" w:rsidR="00A023BD" w:rsidRPr="00152900" w:rsidRDefault="00A023BD" w:rsidP="00A023BD">
            <w:pPr>
              <w:keepNext/>
              <w:keepLines/>
              <w:jc w:val="right"/>
              <w:rPr>
                <w:color w:val="000000"/>
                <w:sz w:val="16"/>
                <w:szCs w:val="16"/>
                <w:lang w:eastAsia="en-NZ"/>
              </w:rPr>
            </w:pPr>
            <w:r w:rsidRPr="00152900">
              <w:rPr>
                <w:color w:val="000000"/>
                <w:sz w:val="16"/>
                <w:szCs w:val="16"/>
                <w:lang w:eastAsia="en-NZ"/>
              </w:rPr>
              <w:t>6.12</w:t>
            </w:r>
          </w:p>
        </w:tc>
        <w:tc>
          <w:tcPr>
            <w:tcW w:w="1134" w:type="dxa"/>
            <w:shd w:val="clear" w:color="auto" w:fill="auto"/>
            <w:vAlign w:val="center"/>
          </w:tcPr>
          <w:p w14:paraId="4CB457A2" w14:textId="77777777" w:rsidR="00A023BD" w:rsidRPr="00152900" w:rsidRDefault="00A023BD" w:rsidP="00A023BD">
            <w:pPr>
              <w:keepNext/>
              <w:keepLines/>
              <w:jc w:val="right"/>
              <w:rPr>
                <w:color w:val="000000"/>
                <w:sz w:val="16"/>
                <w:szCs w:val="16"/>
                <w:lang w:eastAsia="en-NZ"/>
              </w:rPr>
            </w:pPr>
            <w:r w:rsidRPr="00152900">
              <w:rPr>
                <w:color w:val="000000"/>
                <w:sz w:val="16"/>
                <w:szCs w:val="16"/>
                <w:lang w:eastAsia="en-NZ"/>
              </w:rPr>
              <w:t>(1.82, 20.58)</w:t>
            </w:r>
          </w:p>
        </w:tc>
        <w:tc>
          <w:tcPr>
            <w:tcW w:w="850" w:type="dxa"/>
            <w:shd w:val="clear" w:color="auto" w:fill="auto"/>
            <w:vAlign w:val="center"/>
          </w:tcPr>
          <w:p w14:paraId="3D92BD6A" w14:textId="77777777" w:rsidR="00A023BD" w:rsidRPr="00152900" w:rsidRDefault="00A023BD" w:rsidP="00A023BD">
            <w:pPr>
              <w:keepNext/>
              <w:keepLines/>
              <w:jc w:val="right"/>
              <w:rPr>
                <w:color w:val="000000"/>
                <w:sz w:val="16"/>
                <w:szCs w:val="16"/>
                <w:lang w:eastAsia="en-NZ"/>
              </w:rPr>
            </w:pPr>
          </w:p>
        </w:tc>
      </w:tr>
      <w:tr w:rsidR="00A023BD" w:rsidRPr="003F15C0" w14:paraId="057F2FE7" w14:textId="77777777" w:rsidTr="00326B55">
        <w:tc>
          <w:tcPr>
            <w:tcW w:w="5387" w:type="dxa"/>
            <w:shd w:val="clear" w:color="auto" w:fill="auto"/>
            <w:vAlign w:val="bottom"/>
          </w:tcPr>
          <w:p w14:paraId="68FE1B54" w14:textId="77777777" w:rsidR="00A023BD" w:rsidRPr="007C6C78" w:rsidRDefault="00A023BD" w:rsidP="00A023BD">
            <w:pPr>
              <w:keepNext/>
              <w:keepLines/>
              <w:spacing w:before="20"/>
              <w:ind w:left="176"/>
              <w:jc w:val="both"/>
              <w:rPr>
                <w:sz w:val="16"/>
                <w:szCs w:val="16"/>
              </w:rPr>
            </w:pPr>
            <w:r>
              <w:rPr>
                <w:sz w:val="16"/>
                <w:szCs w:val="16"/>
              </w:rPr>
              <w:t xml:space="preserve">Severe (Score </w:t>
            </w:r>
            <w:r w:rsidRPr="007C6C78">
              <w:rPr>
                <w:sz w:val="16"/>
                <w:szCs w:val="16"/>
              </w:rPr>
              <w:t>20</w:t>
            </w:r>
            <w:r>
              <w:rPr>
                <w:sz w:val="16"/>
                <w:szCs w:val="16"/>
              </w:rPr>
              <w:t xml:space="preserve"> </w:t>
            </w:r>
            <w:r w:rsidRPr="007C6C78">
              <w:rPr>
                <w:sz w:val="16"/>
                <w:szCs w:val="16"/>
              </w:rPr>
              <w:t>-</w:t>
            </w:r>
            <w:r>
              <w:rPr>
                <w:sz w:val="16"/>
                <w:szCs w:val="16"/>
              </w:rPr>
              <w:t xml:space="preserve"> </w:t>
            </w:r>
            <w:r w:rsidRPr="007C6C78">
              <w:rPr>
                <w:sz w:val="16"/>
                <w:szCs w:val="16"/>
              </w:rPr>
              <w:t>40</w:t>
            </w:r>
            <w:r>
              <w:rPr>
                <w:sz w:val="16"/>
                <w:szCs w:val="16"/>
              </w:rPr>
              <w:t>)</w:t>
            </w:r>
          </w:p>
        </w:tc>
        <w:tc>
          <w:tcPr>
            <w:tcW w:w="1134" w:type="dxa"/>
            <w:shd w:val="clear" w:color="auto" w:fill="auto"/>
            <w:vAlign w:val="center"/>
          </w:tcPr>
          <w:p w14:paraId="776B62B8" w14:textId="77777777" w:rsidR="00A023BD" w:rsidRPr="00152900" w:rsidRDefault="00A023BD" w:rsidP="00A023BD">
            <w:pPr>
              <w:keepNext/>
              <w:keepLines/>
              <w:jc w:val="right"/>
              <w:rPr>
                <w:color w:val="000000"/>
                <w:sz w:val="16"/>
                <w:szCs w:val="16"/>
                <w:lang w:eastAsia="en-NZ"/>
              </w:rPr>
            </w:pPr>
            <w:r w:rsidRPr="00152900">
              <w:rPr>
                <w:color w:val="000000"/>
                <w:sz w:val="16"/>
                <w:szCs w:val="16"/>
                <w:lang w:eastAsia="en-NZ"/>
              </w:rPr>
              <w:t>1.54</w:t>
            </w:r>
          </w:p>
        </w:tc>
        <w:tc>
          <w:tcPr>
            <w:tcW w:w="1134" w:type="dxa"/>
            <w:shd w:val="clear" w:color="auto" w:fill="auto"/>
            <w:vAlign w:val="center"/>
          </w:tcPr>
          <w:p w14:paraId="6DB71AB0" w14:textId="77777777" w:rsidR="00A023BD" w:rsidRPr="00152900" w:rsidRDefault="00A023BD" w:rsidP="00A023BD">
            <w:pPr>
              <w:keepNext/>
              <w:keepLines/>
              <w:jc w:val="right"/>
              <w:rPr>
                <w:color w:val="000000"/>
                <w:sz w:val="16"/>
                <w:szCs w:val="16"/>
                <w:lang w:eastAsia="en-NZ"/>
              </w:rPr>
            </w:pPr>
            <w:r w:rsidRPr="00152900">
              <w:rPr>
                <w:color w:val="000000"/>
                <w:sz w:val="16"/>
                <w:szCs w:val="16"/>
                <w:lang w:eastAsia="en-NZ"/>
              </w:rPr>
              <w:t>(0.82, 2.87)</w:t>
            </w:r>
          </w:p>
        </w:tc>
        <w:tc>
          <w:tcPr>
            <w:tcW w:w="850" w:type="dxa"/>
            <w:shd w:val="clear" w:color="auto" w:fill="auto"/>
            <w:vAlign w:val="center"/>
          </w:tcPr>
          <w:p w14:paraId="2487B6DE" w14:textId="77777777" w:rsidR="00A023BD" w:rsidRPr="00152900" w:rsidRDefault="00A023BD" w:rsidP="00A023BD">
            <w:pPr>
              <w:keepNext/>
              <w:keepLines/>
              <w:jc w:val="right"/>
              <w:rPr>
                <w:color w:val="000000"/>
                <w:sz w:val="16"/>
                <w:szCs w:val="16"/>
                <w:lang w:eastAsia="en-NZ"/>
              </w:rPr>
            </w:pPr>
            <w:r w:rsidRPr="00152900">
              <w:rPr>
                <w:color w:val="000000"/>
                <w:sz w:val="16"/>
                <w:szCs w:val="16"/>
                <w:lang w:eastAsia="en-NZ"/>
              </w:rPr>
              <w:t>0.01</w:t>
            </w:r>
          </w:p>
        </w:tc>
      </w:tr>
      <w:tr w:rsidR="00A023BD" w:rsidRPr="001A61F1" w14:paraId="29B34256" w14:textId="77777777" w:rsidTr="00A023BD">
        <w:tc>
          <w:tcPr>
            <w:tcW w:w="5387" w:type="dxa"/>
            <w:vAlign w:val="bottom"/>
          </w:tcPr>
          <w:p w14:paraId="7B5D6ECE" w14:textId="77777777" w:rsidR="00A023BD" w:rsidRPr="003F15C0" w:rsidRDefault="00A023BD" w:rsidP="00A023BD">
            <w:pPr>
              <w:keepNext/>
              <w:keepLines/>
              <w:spacing w:before="20"/>
              <w:jc w:val="both"/>
              <w:rPr>
                <w:b/>
                <w:sz w:val="16"/>
                <w:szCs w:val="16"/>
              </w:rPr>
            </w:pPr>
            <w:r w:rsidRPr="003F15C0">
              <w:rPr>
                <w:rFonts w:eastAsiaTheme="minorEastAsia"/>
                <w:b/>
                <w:sz w:val="16"/>
                <w:szCs w:val="16"/>
                <w:lang w:eastAsia="en-US"/>
              </w:rPr>
              <w:t>Typical monthly gambling expenditure</w:t>
            </w:r>
          </w:p>
        </w:tc>
        <w:tc>
          <w:tcPr>
            <w:tcW w:w="1134" w:type="dxa"/>
            <w:shd w:val="clear" w:color="auto" w:fill="auto"/>
            <w:vAlign w:val="bottom"/>
          </w:tcPr>
          <w:p w14:paraId="4A70D663" w14:textId="77777777" w:rsidR="00A023BD" w:rsidRPr="007B750E" w:rsidRDefault="00A023BD" w:rsidP="00A023BD">
            <w:pPr>
              <w:keepNext/>
              <w:keepLines/>
              <w:jc w:val="right"/>
              <w:rPr>
                <w:color w:val="000000"/>
                <w:sz w:val="16"/>
                <w:szCs w:val="16"/>
                <w:lang w:eastAsia="en-NZ"/>
              </w:rPr>
            </w:pPr>
          </w:p>
        </w:tc>
        <w:tc>
          <w:tcPr>
            <w:tcW w:w="1134" w:type="dxa"/>
            <w:shd w:val="clear" w:color="auto" w:fill="auto"/>
            <w:vAlign w:val="bottom"/>
          </w:tcPr>
          <w:p w14:paraId="65DD700D" w14:textId="77777777" w:rsidR="00A023BD" w:rsidRPr="007B750E" w:rsidRDefault="00A023BD" w:rsidP="00A023BD">
            <w:pPr>
              <w:keepNext/>
              <w:keepLines/>
              <w:jc w:val="right"/>
              <w:rPr>
                <w:color w:val="000000"/>
                <w:sz w:val="16"/>
                <w:szCs w:val="16"/>
                <w:lang w:eastAsia="en-NZ"/>
              </w:rPr>
            </w:pPr>
          </w:p>
        </w:tc>
        <w:tc>
          <w:tcPr>
            <w:tcW w:w="850" w:type="dxa"/>
            <w:shd w:val="clear" w:color="auto" w:fill="auto"/>
            <w:vAlign w:val="bottom"/>
          </w:tcPr>
          <w:p w14:paraId="7B2085A0" w14:textId="77777777" w:rsidR="00A023BD" w:rsidRPr="007B750E" w:rsidRDefault="00A023BD" w:rsidP="00A023BD">
            <w:pPr>
              <w:keepNext/>
              <w:keepLines/>
              <w:jc w:val="right"/>
              <w:rPr>
                <w:color w:val="000000"/>
                <w:sz w:val="16"/>
                <w:szCs w:val="16"/>
                <w:lang w:eastAsia="en-NZ"/>
              </w:rPr>
            </w:pPr>
          </w:p>
        </w:tc>
      </w:tr>
      <w:tr w:rsidR="00A023BD" w:rsidRPr="001A61F1" w14:paraId="4173DC5E" w14:textId="77777777" w:rsidTr="00A023BD">
        <w:tc>
          <w:tcPr>
            <w:tcW w:w="5387" w:type="dxa"/>
          </w:tcPr>
          <w:p w14:paraId="5D04B6C8" w14:textId="77777777" w:rsidR="00A023BD" w:rsidRPr="003F15C0" w:rsidRDefault="00A023BD" w:rsidP="00A023BD">
            <w:pPr>
              <w:keepNext/>
              <w:keepLines/>
              <w:spacing w:before="20"/>
              <w:ind w:left="176"/>
              <w:jc w:val="both"/>
              <w:rPr>
                <w:sz w:val="16"/>
                <w:szCs w:val="16"/>
              </w:rPr>
            </w:pPr>
            <w:r>
              <w:rPr>
                <w:sz w:val="16"/>
                <w:szCs w:val="16"/>
              </w:rPr>
              <w:t>≤</w:t>
            </w:r>
            <w:r w:rsidRPr="003F15C0">
              <w:rPr>
                <w:sz w:val="16"/>
                <w:szCs w:val="16"/>
              </w:rPr>
              <w:t>$</w:t>
            </w:r>
            <w:r>
              <w:rPr>
                <w:sz w:val="16"/>
                <w:szCs w:val="16"/>
              </w:rPr>
              <w:t>20</w:t>
            </w:r>
          </w:p>
        </w:tc>
        <w:tc>
          <w:tcPr>
            <w:tcW w:w="1134" w:type="dxa"/>
            <w:shd w:val="clear" w:color="auto" w:fill="auto"/>
            <w:vAlign w:val="center"/>
          </w:tcPr>
          <w:p w14:paraId="18E4F2D2"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1.00</w:t>
            </w:r>
          </w:p>
        </w:tc>
        <w:tc>
          <w:tcPr>
            <w:tcW w:w="1134" w:type="dxa"/>
            <w:shd w:val="clear" w:color="auto" w:fill="auto"/>
            <w:vAlign w:val="center"/>
          </w:tcPr>
          <w:p w14:paraId="224425CD" w14:textId="77777777" w:rsidR="00A023BD" w:rsidRPr="004E24C3" w:rsidRDefault="00A023BD" w:rsidP="00A023BD">
            <w:pPr>
              <w:keepNext/>
              <w:keepLines/>
              <w:jc w:val="right"/>
              <w:rPr>
                <w:color w:val="000000"/>
                <w:sz w:val="16"/>
                <w:szCs w:val="16"/>
                <w:lang w:eastAsia="en-NZ"/>
              </w:rPr>
            </w:pPr>
          </w:p>
        </w:tc>
        <w:tc>
          <w:tcPr>
            <w:tcW w:w="850" w:type="dxa"/>
            <w:shd w:val="clear" w:color="auto" w:fill="auto"/>
            <w:vAlign w:val="center"/>
          </w:tcPr>
          <w:p w14:paraId="2B6AF633" w14:textId="77777777" w:rsidR="00A023BD" w:rsidRPr="004E24C3" w:rsidRDefault="00A023BD" w:rsidP="00A023BD">
            <w:pPr>
              <w:keepNext/>
              <w:keepLines/>
              <w:jc w:val="right"/>
              <w:rPr>
                <w:color w:val="000000"/>
                <w:sz w:val="16"/>
                <w:szCs w:val="16"/>
                <w:lang w:eastAsia="en-NZ"/>
              </w:rPr>
            </w:pPr>
          </w:p>
        </w:tc>
      </w:tr>
      <w:tr w:rsidR="00A023BD" w:rsidRPr="001A61F1" w14:paraId="31580007" w14:textId="77777777" w:rsidTr="00A023BD">
        <w:tc>
          <w:tcPr>
            <w:tcW w:w="5387" w:type="dxa"/>
          </w:tcPr>
          <w:p w14:paraId="14D9D3D3" w14:textId="77777777" w:rsidR="00A023BD" w:rsidRPr="003F15C0" w:rsidRDefault="00A023BD" w:rsidP="00A023BD">
            <w:pPr>
              <w:keepNext/>
              <w:keepLines/>
              <w:spacing w:before="20"/>
              <w:ind w:left="176"/>
              <w:jc w:val="both"/>
              <w:rPr>
                <w:sz w:val="16"/>
                <w:szCs w:val="16"/>
              </w:rPr>
            </w:pPr>
            <w:r w:rsidRPr="003F15C0">
              <w:rPr>
                <w:sz w:val="16"/>
                <w:szCs w:val="16"/>
              </w:rPr>
              <w:t>$21 - $</w:t>
            </w:r>
            <w:r>
              <w:rPr>
                <w:sz w:val="16"/>
                <w:szCs w:val="16"/>
              </w:rPr>
              <w:t>5</w:t>
            </w:r>
            <w:r w:rsidRPr="003F15C0">
              <w:rPr>
                <w:sz w:val="16"/>
                <w:szCs w:val="16"/>
              </w:rPr>
              <w:t>0</w:t>
            </w:r>
          </w:p>
        </w:tc>
        <w:tc>
          <w:tcPr>
            <w:tcW w:w="1134" w:type="dxa"/>
            <w:shd w:val="clear" w:color="auto" w:fill="auto"/>
            <w:vAlign w:val="center"/>
          </w:tcPr>
          <w:p w14:paraId="039FF8AF"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1.69</w:t>
            </w:r>
          </w:p>
        </w:tc>
        <w:tc>
          <w:tcPr>
            <w:tcW w:w="1134" w:type="dxa"/>
            <w:shd w:val="clear" w:color="auto" w:fill="auto"/>
            <w:vAlign w:val="center"/>
          </w:tcPr>
          <w:p w14:paraId="2B13F970"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(0.82, 3.47)</w:t>
            </w:r>
          </w:p>
        </w:tc>
        <w:tc>
          <w:tcPr>
            <w:tcW w:w="850" w:type="dxa"/>
            <w:shd w:val="clear" w:color="auto" w:fill="auto"/>
            <w:vAlign w:val="center"/>
          </w:tcPr>
          <w:p w14:paraId="38550971" w14:textId="77777777" w:rsidR="00A023BD" w:rsidRPr="004E24C3" w:rsidRDefault="00A023BD" w:rsidP="00A023BD">
            <w:pPr>
              <w:keepNext/>
              <w:keepLines/>
              <w:jc w:val="right"/>
              <w:rPr>
                <w:color w:val="000000"/>
                <w:sz w:val="16"/>
                <w:szCs w:val="16"/>
                <w:lang w:eastAsia="en-NZ"/>
              </w:rPr>
            </w:pPr>
          </w:p>
        </w:tc>
      </w:tr>
      <w:tr w:rsidR="00A023BD" w:rsidRPr="001A61F1" w14:paraId="3925E764" w14:textId="77777777" w:rsidTr="00326B55">
        <w:tc>
          <w:tcPr>
            <w:tcW w:w="5387" w:type="dxa"/>
          </w:tcPr>
          <w:p w14:paraId="1805ED6E" w14:textId="77777777" w:rsidR="00A023BD" w:rsidRPr="003F15C0" w:rsidRDefault="00A023BD" w:rsidP="00A023BD">
            <w:pPr>
              <w:keepNext/>
              <w:keepLines/>
              <w:spacing w:before="20"/>
              <w:ind w:left="176"/>
              <w:jc w:val="both"/>
              <w:rPr>
                <w:sz w:val="16"/>
                <w:szCs w:val="16"/>
              </w:rPr>
            </w:pPr>
            <w:r>
              <w:rPr>
                <w:sz w:val="16"/>
                <w:szCs w:val="16"/>
              </w:rPr>
              <w:t>&gt;$50</w:t>
            </w:r>
          </w:p>
        </w:tc>
        <w:tc>
          <w:tcPr>
            <w:tcW w:w="1134" w:type="dxa"/>
            <w:shd w:val="clear" w:color="auto" w:fill="auto"/>
            <w:vAlign w:val="center"/>
          </w:tcPr>
          <w:p w14:paraId="3672431E"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3.19</w:t>
            </w:r>
          </w:p>
        </w:tc>
        <w:tc>
          <w:tcPr>
            <w:tcW w:w="1134" w:type="dxa"/>
            <w:shd w:val="clear" w:color="auto" w:fill="auto"/>
            <w:vAlign w:val="center"/>
          </w:tcPr>
          <w:p w14:paraId="5885AB8A"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(1.62, 6.28)</w:t>
            </w:r>
          </w:p>
        </w:tc>
        <w:tc>
          <w:tcPr>
            <w:tcW w:w="850" w:type="dxa"/>
            <w:shd w:val="clear" w:color="auto" w:fill="auto"/>
            <w:vAlign w:val="center"/>
          </w:tcPr>
          <w:p w14:paraId="1B12BE94"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0.003</w:t>
            </w:r>
          </w:p>
        </w:tc>
      </w:tr>
      <w:tr w:rsidR="00A023BD" w:rsidRPr="001A61F1" w14:paraId="047B811C" w14:textId="77777777" w:rsidTr="00A023BD">
        <w:tc>
          <w:tcPr>
            <w:tcW w:w="5387" w:type="dxa"/>
            <w:vAlign w:val="bottom"/>
          </w:tcPr>
          <w:p w14:paraId="7E2AC6EF" w14:textId="77777777" w:rsidR="00A023BD" w:rsidRPr="003F15C0" w:rsidRDefault="00A023BD" w:rsidP="00A023BD">
            <w:pPr>
              <w:keepNext/>
              <w:keepLines/>
              <w:spacing w:before="20"/>
              <w:jc w:val="both"/>
              <w:rPr>
                <w:b/>
                <w:sz w:val="16"/>
                <w:szCs w:val="16"/>
              </w:rPr>
            </w:pPr>
            <w:r>
              <w:rPr>
                <w:b/>
                <w:sz w:val="16"/>
                <w:szCs w:val="16"/>
              </w:rPr>
              <w:t>Text game or competition</w:t>
            </w:r>
            <w:r w:rsidRPr="003F15C0">
              <w:rPr>
                <w:b/>
                <w:sz w:val="16"/>
                <w:szCs w:val="16"/>
              </w:rPr>
              <w:t xml:space="preserve"> - annual</w:t>
            </w:r>
          </w:p>
        </w:tc>
        <w:tc>
          <w:tcPr>
            <w:tcW w:w="1134" w:type="dxa"/>
            <w:shd w:val="clear" w:color="auto" w:fill="auto"/>
            <w:vAlign w:val="bottom"/>
          </w:tcPr>
          <w:p w14:paraId="4A1EB656" w14:textId="77777777" w:rsidR="00A023BD" w:rsidRPr="007B750E" w:rsidRDefault="00A023BD" w:rsidP="00A023BD">
            <w:pPr>
              <w:keepNext/>
              <w:keepLines/>
              <w:jc w:val="right"/>
              <w:rPr>
                <w:color w:val="000000"/>
                <w:sz w:val="16"/>
                <w:szCs w:val="16"/>
                <w:lang w:eastAsia="en-NZ"/>
              </w:rPr>
            </w:pPr>
          </w:p>
        </w:tc>
        <w:tc>
          <w:tcPr>
            <w:tcW w:w="1134" w:type="dxa"/>
            <w:shd w:val="clear" w:color="auto" w:fill="auto"/>
            <w:vAlign w:val="bottom"/>
          </w:tcPr>
          <w:p w14:paraId="1745D04B" w14:textId="77777777" w:rsidR="00A023BD" w:rsidRPr="007B750E" w:rsidRDefault="00A023BD" w:rsidP="00A023BD">
            <w:pPr>
              <w:keepNext/>
              <w:keepLines/>
              <w:jc w:val="right"/>
              <w:rPr>
                <w:color w:val="000000"/>
                <w:sz w:val="16"/>
                <w:szCs w:val="16"/>
                <w:lang w:eastAsia="en-NZ"/>
              </w:rPr>
            </w:pPr>
          </w:p>
        </w:tc>
        <w:tc>
          <w:tcPr>
            <w:tcW w:w="850" w:type="dxa"/>
            <w:shd w:val="clear" w:color="auto" w:fill="auto"/>
            <w:vAlign w:val="bottom"/>
          </w:tcPr>
          <w:p w14:paraId="6C5498EC" w14:textId="77777777" w:rsidR="00A023BD" w:rsidRPr="007B750E" w:rsidRDefault="00A023BD" w:rsidP="00A023BD">
            <w:pPr>
              <w:keepNext/>
              <w:keepLines/>
              <w:jc w:val="right"/>
              <w:rPr>
                <w:color w:val="000000"/>
                <w:sz w:val="16"/>
                <w:szCs w:val="16"/>
                <w:lang w:eastAsia="en-NZ"/>
              </w:rPr>
            </w:pPr>
          </w:p>
        </w:tc>
      </w:tr>
      <w:tr w:rsidR="00A023BD" w:rsidRPr="001A61F1" w14:paraId="06963393" w14:textId="77777777" w:rsidTr="00A023BD">
        <w:tc>
          <w:tcPr>
            <w:tcW w:w="5387" w:type="dxa"/>
          </w:tcPr>
          <w:p w14:paraId="1114CDE4" w14:textId="77777777" w:rsidR="00A023BD" w:rsidRPr="003F15C0" w:rsidRDefault="00A023BD" w:rsidP="00A023BD">
            <w:pPr>
              <w:keepNext/>
              <w:keepLines/>
              <w:spacing w:before="20"/>
              <w:ind w:left="176"/>
              <w:jc w:val="both"/>
              <w:rPr>
                <w:sz w:val="16"/>
                <w:szCs w:val="16"/>
              </w:rPr>
            </w:pPr>
            <w:r w:rsidRPr="003F15C0">
              <w:rPr>
                <w:sz w:val="16"/>
                <w:szCs w:val="16"/>
              </w:rPr>
              <w:t>No</w:t>
            </w:r>
          </w:p>
        </w:tc>
        <w:tc>
          <w:tcPr>
            <w:tcW w:w="1134" w:type="dxa"/>
            <w:shd w:val="clear" w:color="auto" w:fill="auto"/>
            <w:vAlign w:val="center"/>
          </w:tcPr>
          <w:p w14:paraId="662B5893"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1.00</w:t>
            </w:r>
          </w:p>
        </w:tc>
        <w:tc>
          <w:tcPr>
            <w:tcW w:w="1134" w:type="dxa"/>
            <w:shd w:val="clear" w:color="auto" w:fill="auto"/>
            <w:vAlign w:val="center"/>
          </w:tcPr>
          <w:p w14:paraId="27F1FAD0" w14:textId="77777777" w:rsidR="00A023BD" w:rsidRPr="004E24C3" w:rsidRDefault="00A023BD" w:rsidP="00A023BD">
            <w:pPr>
              <w:keepNext/>
              <w:keepLines/>
              <w:jc w:val="right"/>
              <w:rPr>
                <w:color w:val="000000"/>
                <w:sz w:val="16"/>
                <w:szCs w:val="16"/>
                <w:lang w:eastAsia="en-NZ"/>
              </w:rPr>
            </w:pPr>
          </w:p>
        </w:tc>
        <w:tc>
          <w:tcPr>
            <w:tcW w:w="850" w:type="dxa"/>
            <w:shd w:val="clear" w:color="auto" w:fill="auto"/>
            <w:vAlign w:val="center"/>
          </w:tcPr>
          <w:p w14:paraId="092FB743" w14:textId="77777777" w:rsidR="00A023BD" w:rsidRPr="004E24C3" w:rsidRDefault="00A023BD" w:rsidP="00A023BD">
            <w:pPr>
              <w:keepNext/>
              <w:keepLines/>
              <w:jc w:val="right"/>
              <w:rPr>
                <w:color w:val="000000"/>
                <w:sz w:val="16"/>
                <w:szCs w:val="16"/>
                <w:lang w:eastAsia="en-NZ"/>
              </w:rPr>
            </w:pPr>
          </w:p>
        </w:tc>
      </w:tr>
      <w:tr w:rsidR="00A023BD" w:rsidRPr="001A61F1" w14:paraId="2B3FBF0B" w14:textId="77777777" w:rsidTr="00326B55">
        <w:tc>
          <w:tcPr>
            <w:tcW w:w="5387" w:type="dxa"/>
          </w:tcPr>
          <w:p w14:paraId="4B4544A6" w14:textId="77777777" w:rsidR="00A023BD" w:rsidRPr="003F15C0" w:rsidRDefault="00A023BD" w:rsidP="00A023BD">
            <w:pPr>
              <w:keepNext/>
              <w:keepLines/>
              <w:spacing w:before="20"/>
              <w:ind w:left="176"/>
              <w:jc w:val="both"/>
              <w:rPr>
                <w:sz w:val="16"/>
                <w:szCs w:val="16"/>
              </w:rPr>
            </w:pPr>
            <w:r w:rsidRPr="003F15C0">
              <w:rPr>
                <w:sz w:val="16"/>
                <w:szCs w:val="16"/>
              </w:rPr>
              <w:t>Yes</w:t>
            </w:r>
          </w:p>
        </w:tc>
        <w:tc>
          <w:tcPr>
            <w:tcW w:w="1134" w:type="dxa"/>
            <w:shd w:val="clear" w:color="auto" w:fill="auto"/>
            <w:vAlign w:val="center"/>
          </w:tcPr>
          <w:p w14:paraId="3B6781A0"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3.87</w:t>
            </w:r>
          </w:p>
        </w:tc>
        <w:tc>
          <w:tcPr>
            <w:tcW w:w="1134" w:type="dxa"/>
            <w:shd w:val="clear" w:color="auto" w:fill="auto"/>
            <w:vAlign w:val="center"/>
          </w:tcPr>
          <w:p w14:paraId="0CE4B17E"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(1.08, 13.80)</w:t>
            </w:r>
          </w:p>
        </w:tc>
        <w:tc>
          <w:tcPr>
            <w:tcW w:w="850" w:type="dxa"/>
            <w:shd w:val="clear" w:color="auto" w:fill="auto"/>
            <w:vAlign w:val="center"/>
          </w:tcPr>
          <w:p w14:paraId="3C79E47F"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0.04</w:t>
            </w:r>
          </w:p>
        </w:tc>
      </w:tr>
      <w:tr w:rsidR="00A023BD" w:rsidRPr="001A61F1" w14:paraId="133CA522" w14:textId="77777777" w:rsidTr="00A023BD">
        <w:tc>
          <w:tcPr>
            <w:tcW w:w="5387" w:type="dxa"/>
            <w:vAlign w:val="bottom"/>
          </w:tcPr>
          <w:p w14:paraId="4790D9D8" w14:textId="77777777" w:rsidR="00A023BD" w:rsidRPr="003F15C0" w:rsidRDefault="00A023BD" w:rsidP="00A023BD">
            <w:pPr>
              <w:keepNext/>
              <w:keepLines/>
              <w:spacing w:before="20"/>
              <w:jc w:val="both"/>
              <w:rPr>
                <w:b/>
                <w:sz w:val="16"/>
                <w:szCs w:val="16"/>
              </w:rPr>
            </w:pPr>
            <w:r>
              <w:rPr>
                <w:b/>
                <w:sz w:val="16"/>
                <w:szCs w:val="16"/>
              </w:rPr>
              <w:t>Housie or bingo</w:t>
            </w:r>
            <w:r w:rsidRPr="003F15C0">
              <w:rPr>
                <w:b/>
                <w:sz w:val="16"/>
                <w:szCs w:val="16"/>
              </w:rPr>
              <w:t xml:space="preserve"> - monthly</w:t>
            </w:r>
          </w:p>
        </w:tc>
        <w:tc>
          <w:tcPr>
            <w:tcW w:w="1134" w:type="dxa"/>
            <w:shd w:val="clear" w:color="auto" w:fill="auto"/>
            <w:vAlign w:val="bottom"/>
          </w:tcPr>
          <w:p w14:paraId="1B020CF0" w14:textId="77777777" w:rsidR="00A023BD" w:rsidRPr="007B750E" w:rsidRDefault="00A023BD" w:rsidP="00A023BD">
            <w:pPr>
              <w:keepNext/>
              <w:keepLines/>
              <w:jc w:val="right"/>
              <w:rPr>
                <w:color w:val="000000"/>
                <w:sz w:val="16"/>
                <w:szCs w:val="16"/>
                <w:lang w:eastAsia="en-NZ"/>
              </w:rPr>
            </w:pPr>
          </w:p>
        </w:tc>
        <w:tc>
          <w:tcPr>
            <w:tcW w:w="1134" w:type="dxa"/>
            <w:shd w:val="clear" w:color="auto" w:fill="auto"/>
            <w:vAlign w:val="bottom"/>
          </w:tcPr>
          <w:p w14:paraId="38B70205" w14:textId="77777777" w:rsidR="00A023BD" w:rsidRPr="007B750E" w:rsidRDefault="00A023BD" w:rsidP="00A023BD">
            <w:pPr>
              <w:keepNext/>
              <w:keepLines/>
              <w:jc w:val="right"/>
              <w:rPr>
                <w:color w:val="000000"/>
                <w:sz w:val="16"/>
                <w:szCs w:val="16"/>
                <w:lang w:eastAsia="en-NZ"/>
              </w:rPr>
            </w:pPr>
          </w:p>
        </w:tc>
        <w:tc>
          <w:tcPr>
            <w:tcW w:w="850" w:type="dxa"/>
            <w:shd w:val="clear" w:color="auto" w:fill="auto"/>
            <w:vAlign w:val="bottom"/>
          </w:tcPr>
          <w:p w14:paraId="5FD54172" w14:textId="77777777" w:rsidR="00A023BD" w:rsidRPr="007B750E" w:rsidRDefault="00A023BD" w:rsidP="00A023BD">
            <w:pPr>
              <w:keepNext/>
              <w:keepLines/>
              <w:jc w:val="right"/>
              <w:rPr>
                <w:color w:val="000000"/>
                <w:sz w:val="16"/>
                <w:szCs w:val="16"/>
                <w:lang w:eastAsia="en-NZ"/>
              </w:rPr>
            </w:pPr>
          </w:p>
        </w:tc>
      </w:tr>
      <w:tr w:rsidR="00A023BD" w:rsidRPr="001A61F1" w14:paraId="5D364E31" w14:textId="77777777" w:rsidTr="00A023BD">
        <w:tc>
          <w:tcPr>
            <w:tcW w:w="5387" w:type="dxa"/>
          </w:tcPr>
          <w:p w14:paraId="1897C05A"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center"/>
          </w:tcPr>
          <w:p w14:paraId="10BAFC9D"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1.00</w:t>
            </w:r>
          </w:p>
        </w:tc>
        <w:tc>
          <w:tcPr>
            <w:tcW w:w="1134" w:type="dxa"/>
            <w:shd w:val="clear" w:color="auto" w:fill="auto"/>
            <w:vAlign w:val="center"/>
          </w:tcPr>
          <w:p w14:paraId="7079C42F" w14:textId="77777777" w:rsidR="00A023BD" w:rsidRPr="004E24C3" w:rsidRDefault="00A023BD" w:rsidP="00A023BD">
            <w:pPr>
              <w:keepNext/>
              <w:keepLines/>
              <w:jc w:val="right"/>
              <w:rPr>
                <w:color w:val="000000"/>
                <w:sz w:val="16"/>
                <w:szCs w:val="16"/>
                <w:lang w:eastAsia="en-NZ"/>
              </w:rPr>
            </w:pPr>
          </w:p>
        </w:tc>
        <w:tc>
          <w:tcPr>
            <w:tcW w:w="850" w:type="dxa"/>
            <w:shd w:val="clear" w:color="auto" w:fill="auto"/>
            <w:vAlign w:val="center"/>
          </w:tcPr>
          <w:p w14:paraId="0A684546" w14:textId="77777777" w:rsidR="00A023BD" w:rsidRPr="004E24C3" w:rsidRDefault="00A023BD" w:rsidP="00A023BD">
            <w:pPr>
              <w:keepNext/>
              <w:keepLines/>
              <w:jc w:val="right"/>
              <w:rPr>
                <w:color w:val="000000"/>
                <w:sz w:val="16"/>
                <w:szCs w:val="16"/>
                <w:lang w:eastAsia="en-NZ"/>
              </w:rPr>
            </w:pPr>
          </w:p>
        </w:tc>
      </w:tr>
      <w:tr w:rsidR="00A023BD" w:rsidRPr="001A61F1" w14:paraId="16303572" w14:textId="77777777" w:rsidTr="00326B55">
        <w:tc>
          <w:tcPr>
            <w:tcW w:w="5387" w:type="dxa"/>
          </w:tcPr>
          <w:p w14:paraId="07629DBF"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center"/>
          </w:tcPr>
          <w:p w14:paraId="6D4A6A19"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3.71</w:t>
            </w:r>
          </w:p>
        </w:tc>
        <w:tc>
          <w:tcPr>
            <w:tcW w:w="1134" w:type="dxa"/>
            <w:shd w:val="clear" w:color="auto" w:fill="auto"/>
            <w:vAlign w:val="center"/>
          </w:tcPr>
          <w:p w14:paraId="5AD52662"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(1.44, 9.59)</w:t>
            </w:r>
          </w:p>
        </w:tc>
        <w:tc>
          <w:tcPr>
            <w:tcW w:w="850" w:type="dxa"/>
            <w:shd w:val="clear" w:color="auto" w:fill="auto"/>
            <w:vAlign w:val="center"/>
          </w:tcPr>
          <w:p w14:paraId="3E2E6D9F"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0.007</w:t>
            </w:r>
          </w:p>
        </w:tc>
      </w:tr>
      <w:tr w:rsidR="00A023BD" w:rsidRPr="001A61F1" w14:paraId="2F1B6FF2" w14:textId="77777777" w:rsidTr="00A023BD">
        <w:tc>
          <w:tcPr>
            <w:tcW w:w="5387" w:type="dxa"/>
            <w:vAlign w:val="bottom"/>
          </w:tcPr>
          <w:p w14:paraId="527F113B" w14:textId="77777777" w:rsidR="00A023BD" w:rsidRPr="003F15C0" w:rsidRDefault="00A023BD" w:rsidP="00A023BD">
            <w:pPr>
              <w:spacing w:before="20"/>
              <w:jc w:val="both"/>
              <w:rPr>
                <w:b/>
                <w:sz w:val="16"/>
                <w:szCs w:val="16"/>
              </w:rPr>
            </w:pPr>
            <w:r>
              <w:rPr>
                <w:b/>
                <w:sz w:val="16"/>
                <w:szCs w:val="16"/>
              </w:rPr>
              <w:t>Horse/dog race</w:t>
            </w:r>
            <w:r w:rsidRPr="003F15C0">
              <w:rPr>
                <w:b/>
                <w:sz w:val="16"/>
                <w:szCs w:val="16"/>
              </w:rPr>
              <w:t xml:space="preserve"> betting - monthly</w:t>
            </w:r>
          </w:p>
        </w:tc>
        <w:tc>
          <w:tcPr>
            <w:tcW w:w="1134" w:type="dxa"/>
            <w:shd w:val="clear" w:color="auto" w:fill="auto"/>
            <w:vAlign w:val="bottom"/>
          </w:tcPr>
          <w:p w14:paraId="6FC4F4D3" w14:textId="77777777" w:rsidR="00A023BD" w:rsidRPr="007B750E" w:rsidRDefault="00A023BD" w:rsidP="00A023BD">
            <w:pPr>
              <w:keepNext/>
              <w:keepLines/>
              <w:jc w:val="right"/>
              <w:rPr>
                <w:color w:val="000000"/>
                <w:sz w:val="16"/>
                <w:szCs w:val="16"/>
                <w:lang w:eastAsia="en-NZ"/>
              </w:rPr>
            </w:pPr>
          </w:p>
        </w:tc>
        <w:tc>
          <w:tcPr>
            <w:tcW w:w="1134" w:type="dxa"/>
            <w:shd w:val="clear" w:color="auto" w:fill="auto"/>
            <w:vAlign w:val="bottom"/>
          </w:tcPr>
          <w:p w14:paraId="71F12E2C" w14:textId="77777777" w:rsidR="00A023BD" w:rsidRPr="007B750E" w:rsidRDefault="00A023BD" w:rsidP="00A023BD">
            <w:pPr>
              <w:keepNext/>
              <w:keepLines/>
              <w:jc w:val="right"/>
              <w:rPr>
                <w:color w:val="000000"/>
                <w:sz w:val="16"/>
                <w:szCs w:val="16"/>
                <w:lang w:eastAsia="en-NZ"/>
              </w:rPr>
            </w:pPr>
          </w:p>
        </w:tc>
        <w:tc>
          <w:tcPr>
            <w:tcW w:w="850" w:type="dxa"/>
            <w:shd w:val="clear" w:color="auto" w:fill="auto"/>
            <w:vAlign w:val="bottom"/>
          </w:tcPr>
          <w:p w14:paraId="4C854100" w14:textId="77777777" w:rsidR="00A023BD" w:rsidRPr="007B750E" w:rsidRDefault="00A023BD" w:rsidP="00A023BD">
            <w:pPr>
              <w:keepNext/>
              <w:keepLines/>
              <w:jc w:val="right"/>
              <w:rPr>
                <w:color w:val="000000"/>
                <w:sz w:val="16"/>
                <w:szCs w:val="16"/>
                <w:lang w:eastAsia="en-NZ"/>
              </w:rPr>
            </w:pPr>
          </w:p>
        </w:tc>
      </w:tr>
      <w:tr w:rsidR="00A023BD" w:rsidRPr="001A61F1" w14:paraId="7D70D2A7" w14:textId="77777777" w:rsidTr="00A023BD">
        <w:tc>
          <w:tcPr>
            <w:tcW w:w="5387" w:type="dxa"/>
          </w:tcPr>
          <w:p w14:paraId="4AA273AD"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center"/>
          </w:tcPr>
          <w:p w14:paraId="553C88BE"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1.00</w:t>
            </w:r>
          </w:p>
        </w:tc>
        <w:tc>
          <w:tcPr>
            <w:tcW w:w="1134" w:type="dxa"/>
            <w:shd w:val="clear" w:color="auto" w:fill="auto"/>
            <w:vAlign w:val="center"/>
          </w:tcPr>
          <w:p w14:paraId="0E56B326" w14:textId="77777777" w:rsidR="00A023BD" w:rsidRPr="004E24C3" w:rsidRDefault="00A023BD" w:rsidP="00A023BD">
            <w:pPr>
              <w:keepNext/>
              <w:keepLines/>
              <w:jc w:val="right"/>
              <w:rPr>
                <w:color w:val="000000"/>
                <w:sz w:val="16"/>
                <w:szCs w:val="16"/>
                <w:lang w:eastAsia="en-NZ"/>
              </w:rPr>
            </w:pPr>
          </w:p>
        </w:tc>
        <w:tc>
          <w:tcPr>
            <w:tcW w:w="850" w:type="dxa"/>
            <w:shd w:val="clear" w:color="auto" w:fill="auto"/>
            <w:vAlign w:val="center"/>
          </w:tcPr>
          <w:p w14:paraId="2F236F47" w14:textId="77777777" w:rsidR="00A023BD" w:rsidRPr="004E24C3" w:rsidRDefault="00A023BD" w:rsidP="00A023BD">
            <w:pPr>
              <w:keepNext/>
              <w:keepLines/>
              <w:jc w:val="right"/>
              <w:rPr>
                <w:color w:val="000000"/>
                <w:sz w:val="16"/>
                <w:szCs w:val="16"/>
                <w:lang w:eastAsia="en-NZ"/>
              </w:rPr>
            </w:pPr>
          </w:p>
        </w:tc>
      </w:tr>
      <w:tr w:rsidR="00A023BD" w:rsidRPr="001A61F1" w14:paraId="5C7BDB8C" w14:textId="77777777" w:rsidTr="00326B55">
        <w:tc>
          <w:tcPr>
            <w:tcW w:w="5387" w:type="dxa"/>
          </w:tcPr>
          <w:p w14:paraId="6C4E4507"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center"/>
          </w:tcPr>
          <w:p w14:paraId="11BB2132"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4.27</w:t>
            </w:r>
          </w:p>
        </w:tc>
        <w:tc>
          <w:tcPr>
            <w:tcW w:w="1134" w:type="dxa"/>
            <w:shd w:val="clear" w:color="auto" w:fill="auto"/>
            <w:vAlign w:val="center"/>
          </w:tcPr>
          <w:p w14:paraId="52F5342F"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(1.25, 14.65)</w:t>
            </w:r>
          </w:p>
        </w:tc>
        <w:tc>
          <w:tcPr>
            <w:tcW w:w="850" w:type="dxa"/>
            <w:shd w:val="clear" w:color="auto" w:fill="auto"/>
            <w:vAlign w:val="center"/>
          </w:tcPr>
          <w:p w14:paraId="23DFD1AF"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0.02</w:t>
            </w:r>
          </w:p>
        </w:tc>
      </w:tr>
      <w:tr w:rsidR="00A023BD" w:rsidRPr="001A61F1" w14:paraId="19F9993F" w14:textId="77777777" w:rsidTr="00A023BD">
        <w:tc>
          <w:tcPr>
            <w:tcW w:w="5387" w:type="dxa"/>
          </w:tcPr>
          <w:p w14:paraId="16A273D0" w14:textId="77777777" w:rsidR="00A023BD" w:rsidRPr="003F15C0" w:rsidRDefault="00A023BD" w:rsidP="00A023BD">
            <w:pPr>
              <w:spacing w:before="20"/>
              <w:rPr>
                <w:b/>
                <w:bCs/>
                <w:color w:val="000000"/>
                <w:sz w:val="16"/>
                <w:szCs w:val="16"/>
              </w:rPr>
            </w:pPr>
            <w:r w:rsidRPr="003F15C0">
              <w:rPr>
                <w:b/>
                <w:bCs/>
                <w:color w:val="000000"/>
                <w:sz w:val="16"/>
                <w:szCs w:val="16"/>
              </w:rPr>
              <w:t>Time spent playing EGMs in an average day (</w:t>
            </w:r>
            <w:r>
              <w:rPr>
                <w:b/>
                <w:bCs/>
                <w:color w:val="000000"/>
                <w:sz w:val="16"/>
                <w:szCs w:val="16"/>
              </w:rPr>
              <w:t>casino</w:t>
            </w:r>
            <w:r w:rsidRPr="003F15C0">
              <w:rPr>
                <w:b/>
                <w:bCs/>
                <w:color w:val="000000"/>
                <w:sz w:val="16"/>
                <w:szCs w:val="16"/>
              </w:rPr>
              <w:t>)</w:t>
            </w:r>
          </w:p>
        </w:tc>
        <w:tc>
          <w:tcPr>
            <w:tcW w:w="1134" w:type="dxa"/>
            <w:shd w:val="clear" w:color="auto" w:fill="auto"/>
            <w:vAlign w:val="bottom"/>
          </w:tcPr>
          <w:p w14:paraId="71419FE4" w14:textId="77777777" w:rsidR="00A023BD" w:rsidRPr="007B750E" w:rsidRDefault="00A023BD" w:rsidP="00A023BD">
            <w:pPr>
              <w:keepNext/>
              <w:keepLines/>
              <w:jc w:val="right"/>
              <w:rPr>
                <w:color w:val="000000"/>
                <w:sz w:val="16"/>
                <w:szCs w:val="16"/>
                <w:lang w:eastAsia="en-NZ"/>
              </w:rPr>
            </w:pPr>
          </w:p>
        </w:tc>
        <w:tc>
          <w:tcPr>
            <w:tcW w:w="1134" w:type="dxa"/>
            <w:shd w:val="clear" w:color="auto" w:fill="auto"/>
            <w:vAlign w:val="bottom"/>
          </w:tcPr>
          <w:p w14:paraId="7D9FE9E8" w14:textId="77777777" w:rsidR="00A023BD" w:rsidRPr="007B750E" w:rsidRDefault="00A023BD" w:rsidP="00A023BD">
            <w:pPr>
              <w:keepNext/>
              <w:keepLines/>
              <w:jc w:val="right"/>
              <w:rPr>
                <w:color w:val="000000"/>
                <w:sz w:val="16"/>
                <w:szCs w:val="16"/>
                <w:lang w:eastAsia="en-NZ"/>
              </w:rPr>
            </w:pPr>
          </w:p>
        </w:tc>
        <w:tc>
          <w:tcPr>
            <w:tcW w:w="850" w:type="dxa"/>
            <w:shd w:val="clear" w:color="auto" w:fill="auto"/>
            <w:vAlign w:val="bottom"/>
          </w:tcPr>
          <w:p w14:paraId="7ADD61B0" w14:textId="77777777" w:rsidR="00A023BD" w:rsidRPr="007B750E" w:rsidRDefault="00A023BD" w:rsidP="00A023BD">
            <w:pPr>
              <w:keepNext/>
              <w:keepLines/>
              <w:jc w:val="right"/>
              <w:rPr>
                <w:color w:val="000000"/>
                <w:sz w:val="16"/>
                <w:szCs w:val="16"/>
                <w:lang w:eastAsia="en-NZ"/>
              </w:rPr>
            </w:pPr>
          </w:p>
        </w:tc>
      </w:tr>
      <w:tr w:rsidR="00A023BD" w:rsidRPr="001A61F1" w14:paraId="7D2C1F90" w14:textId="77777777" w:rsidTr="00A023BD">
        <w:tc>
          <w:tcPr>
            <w:tcW w:w="5387" w:type="dxa"/>
          </w:tcPr>
          <w:p w14:paraId="1778C68D" w14:textId="77777777" w:rsidR="00A023BD" w:rsidRPr="003F15C0" w:rsidRDefault="00A023BD" w:rsidP="00A023BD">
            <w:pPr>
              <w:spacing w:before="20"/>
              <w:ind w:left="176"/>
              <w:jc w:val="both"/>
              <w:rPr>
                <w:sz w:val="16"/>
                <w:szCs w:val="16"/>
              </w:rPr>
            </w:pPr>
            <w:r w:rsidRPr="003F15C0">
              <w:rPr>
                <w:sz w:val="16"/>
                <w:szCs w:val="16"/>
              </w:rPr>
              <w:t>No time</w:t>
            </w:r>
          </w:p>
        </w:tc>
        <w:tc>
          <w:tcPr>
            <w:tcW w:w="1134" w:type="dxa"/>
            <w:shd w:val="clear" w:color="auto" w:fill="auto"/>
            <w:vAlign w:val="center"/>
          </w:tcPr>
          <w:p w14:paraId="0F65DFB3"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1.00</w:t>
            </w:r>
          </w:p>
        </w:tc>
        <w:tc>
          <w:tcPr>
            <w:tcW w:w="1134" w:type="dxa"/>
            <w:shd w:val="clear" w:color="auto" w:fill="auto"/>
            <w:vAlign w:val="center"/>
          </w:tcPr>
          <w:p w14:paraId="52438CA6" w14:textId="77777777" w:rsidR="00A023BD" w:rsidRPr="004E24C3" w:rsidRDefault="00A023BD" w:rsidP="00A023BD">
            <w:pPr>
              <w:keepNext/>
              <w:keepLines/>
              <w:jc w:val="right"/>
              <w:rPr>
                <w:color w:val="000000"/>
                <w:sz w:val="16"/>
                <w:szCs w:val="16"/>
                <w:lang w:eastAsia="en-NZ"/>
              </w:rPr>
            </w:pPr>
          </w:p>
        </w:tc>
        <w:tc>
          <w:tcPr>
            <w:tcW w:w="850" w:type="dxa"/>
            <w:shd w:val="clear" w:color="auto" w:fill="auto"/>
            <w:vAlign w:val="center"/>
          </w:tcPr>
          <w:p w14:paraId="0477A61B" w14:textId="77777777" w:rsidR="00A023BD" w:rsidRPr="004E24C3" w:rsidRDefault="00A023BD" w:rsidP="00A023BD">
            <w:pPr>
              <w:keepNext/>
              <w:keepLines/>
              <w:jc w:val="right"/>
              <w:rPr>
                <w:color w:val="000000"/>
                <w:sz w:val="16"/>
                <w:szCs w:val="16"/>
                <w:lang w:eastAsia="en-NZ"/>
              </w:rPr>
            </w:pPr>
          </w:p>
        </w:tc>
      </w:tr>
      <w:tr w:rsidR="00A023BD" w:rsidRPr="001A61F1" w14:paraId="3194432A" w14:textId="77777777" w:rsidTr="00A023BD">
        <w:tc>
          <w:tcPr>
            <w:tcW w:w="5387" w:type="dxa"/>
          </w:tcPr>
          <w:p w14:paraId="20C3DBA3" w14:textId="77777777" w:rsidR="00A023BD" w:rsidRPr="003F15C0" w:rsidRDefault="00A023BD" w:rsidP="00A023BD">
            <w:pPr>
              <w:spacing w:before="20"/>
              <w:ind w:left="176"/>
              <w:jc w:val="both"/>
              <w:rPr>
                <w:sz w:val="16"/>
                <w:szCs w:val="16"/>
              </w:rPr>
            </w:pPr>
            <w:r w:rsidRPr="003F15C0">
              <w:rPr>
                <w:sz w:val="16"/>
                <w:szCs w:val="16"/>
              </w:rPr>
              <w:t>Up to 15 minutes</w:t>
            </w:r>
          </w:p>
        </w:tc>
        <w:tc>
          <w:tcPr>
            <w:tcW w:w="1134" w:type="dxa"/>
            <w:shd w:val="clear" w:color="auto" w:fill="auto"/>
            <w:vAlign w:val="center"/>
          </w:tcPr>
          <w:p w14:paraId="14CDCDAA"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0.47</w:t>
            </w:r>
          </w:p>
        </w:tc>
        <w:tc>
          <w:tcPr>
            <w:tcW w:w="1134" w:type="dxa"/>
            <w:shd w:val="clear" w:color="auto" w:fill="auto"/>
            <w:vAlign w:val="center"/>
          </w:tcPr>
          <w:p w14:paraId="3657B73E"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(0.05, 4.92)</w:t>
            </w:r>
          </w:p>
        </w:tc>
        <w:tc>
          <w:tcPr>
            <w:tcW w:w="850" w:type="dxa"/>
            <w:shd w:val="clear" w:color="auto" w:fill="auto"/>
            <w:vAlign w:val="center"/>
          </w:tcPr>
          <w:p w14:paraId="5E1DA01C" w14:textId="77777777" w:rsidR="00A023BD" w:rsidRPr="004E24C3" w:rsidRDefault="00A023BD" w:rsidP="00A023BD">
            <w:pPr>
              <w:keepNext/>
              <w:keepLines/>
              <w:jc w:val="right"/>
              <w:rPr>
                <w:color w:val="000000"/>
                <w:sz w:val="16"/>
                <w:szCs w:val="16"/>
                <w:lang w:eastAsia="en-NZ"/>
              </w:rPr>
            </w:pPr>
          </w:p>
        </w:tc>
      </w:tr>
      <w:tr w:rsidR="00A023BD" w:rsidRPr="001A61F1" w14:paraId="2453A9E0" w14:textId="77777777" w:rsidTr="00A023BD">
        <w:tc>
          <w:tcPr>
            <w:tcW w:w="5387" w:type="dxa"/>
          </w:tcPr>
          <w:p w14:paraId="1FE178CD" w14:textId="77777777" w:rsidR="00A023BD" w:rsidRPr="003F15C0" w:rsidRDefault="00A023BD" w:rsidP="00A023BD">
            <w:pPr>
              <w:spacing w:before="20"/>
              <w:ind w:left="176"/>
              <w:jc w:val="both"/>
              <w:rPr>
                <w:sz w:val="16"/>
                <w:szCs w:val="16"/>
              </w:rPr>
            </w:pPr>
            <w:r w:rsidRPr="003F15C0">
              <w:rPr>
                <w:sz w:val="16"/>
                <w:szCs w:val="16"/>
              </w:rPr>
              <w:t>16 to 30 minutes</w:t>
            </w:r>
          </w:p>
        </w:tc>
        <w:tc>
          <w:tcPr>
            <w:tcW w:w="1134" w:type="dxa"/>
            <w:shd w:val="clear" w:color="auto" w:fill="auto"/>
            <w:vAlign w:val="center"/>
          </w:tcPr>
          <w:p w14:paraId="27E42272"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1.41</w:t>
            </w:r>
          </w:p>
        </w:tc>
        <w:tc>
          <w:tcPr>
            <w:tcW w:w="1134" w:type="dxa"/>
            <w:shd w:val="clear" w:color="auto" w:fill="auto"/>
            <w:vAlign w:val="center"/>
          </w:tcPr>
          <w:p w14:paraId="760A3E50"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(0.39, 5.15)</w:t>
            </w:r>
          </w:p>
        </w:tc>
        <w:tc>
          <w:tcPr>
            <w:tcW w:w="850" w:type="dxa"/>
            <w:shd w:val="clear" w:color="auto" w:fill="auto"/>
            <w:vAlign w:val="center"/>
          </w:tcPr>
          <w:p w14:paraId="0205672C" w14:textId="77777777" w:rsidR="00A023BD" w:rsidRPr="004E24C3" w:rsidRDefault="00A023BD" w:rsidP="00A023BD">
            <w:pPr>
              <w:keepNext/>
              <w:keepLines/>
              <w:jc w:val="right"/>
              <w:rPr>
                <w:color w:val="000000"/>
                <w:sz w:val="16"/>
                <w:szCs w:val="16"/>
                <w:lang w:eastAsia="en-NZ"/>
              </w:rPr>
            </w:pPr>
          </w:p>
        </w:tc>
      </w:tr>
      <w:tr w:rsidR="00A023BD" w:rsidRPr="001A61F1" w14:paraId="6476CE36" w14:textId="77777777" w:rsidTr="00A023BD">
        <w:tc>
          <w:tcPr>
            <w:tcW w:w="5387" w:type="dxa"/>
          </w:tcPr>
          <w:p w14:paraId="38A8B445" w14:textId="77777777" w:rsidR="00A023BD" w:rsidRPr="003F15C0" w:rsidRDefault="00A023BD" w:rsidP="00A023BD">
            <w:pPr>
              <w:spacing w:before="20"/>
              <w:ind w:left="176"/>
              <w:jc w:val="both"/>
              <w:rPr>
                <w:sz w:val="16"/>
                <w:szCs w:val="16"/>
              </w:rPr>
            </w:pPr>
            <w:r w:rsidRPr="003F15C0">
              <w:rPr>
                <w:sz w:val="16"/>
                <w:szCs w:val="16"/>
              </w:rPr>
              <w:t>31 to 60 minutes</w:t>
            </w:r>
          </w:p>
        </w:tc>
        <w:tc>
          <w:tcPr>
            <w:tcW w:w="1134" w:type="dxa"/>
            <w:shd w:val="clear" w:color="auto" w:fill="auto"/>
            <w:vAlign w:val="center"/>
          </w:tcPr>
          <w:p w14:paraId="3B1886E5"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1.73</w:t>
            </w:r>
          </w:p>
        </w:tc>
        <w:tc>
          <w:tcPr>
            <w:tcW w:w="1134" w:type="dxa"/>
            <w:shd w:val="clear" w:color="auto" w:fill="auto"/>
            <w:vAlign w:val="center"/>
          </w:tcPr>
          <w:p w14:paraId="36FBD223"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(0.45, 6.61)</w:t>
            </w:r>
          </w:p>
        </w:tc>
        <w:tc>
          <w:tcPr>
            <w:tcW w:w="850" w:type="dxa"/>
            <w:shd w:val="clear" w:color="auto" w:fill="auto"/>
            <w:vAlign w:val="center"/>
          </w:tcPr>
          <w:p w14:paraId="75B96579" w14:textId="77777777" w:rsidR="00A023BD" w:rsidRPr="004E24C3" w:rsidRDefault="00A023BD" w:rsidP="00A023BD">
            <w:pPr>
              <w:keepNext/>
              <w:keepLines/>
              <w:jc w:val="right"/>
              <w:rPr>
                <w:color w:val="000000"/>
                <w:sz w:val="16"/>
                <w:szCs w:val="16"/>
                <w:lang w:eastAsia="en-NZ"/>
              </w:rPr>
            </w:pPr>
          </w:p>
        </w:tc>
      </w:tr>
      <w:tr w:rsidR="00A023BD" w:rsidRPr="001A61F1" w14:paraId="6D912581" w14:textId="77777777" w:rsidTr="00326B55">
        <w:tc>
          <w:tcPr>
            <w:tcW w:w="5387" w:type="dxa"/>
          </w:tcPr>
          <w:p w14:paraId="3CD1E62D" w14:textId="77777777" w:rsidR="00A023BD" w:rsidRPr="003F15C0" w:rsidRDefault="00A023BD" w:rsidP="00A023BD">
            <w:pPr>
              <w:spacing w:before="20"/>
              <w:ind w:left="176"/>
              <w:jc w:val="both"/>
              <w:rPr>
                <w:sz w:val="16"/>
                <w:szCs w:val="16"/>
              </w:rPr>
            </w:pPr>
            <w:r w:rsidRPr="003F15C0">
              <w:rPr>
                <w:sz w:val="16"/>
                <w:szCs w:val="16"/>
              </w:rPr>
              <w:t>&gt;60 minutes</w:t>
            </w:r>
          </w:p>
        </w:tc>
        <w:tc>
          <w:tcPr>
            <w:tcW w:w="1134" w:type="dxa"/>
            <w:shd w:val="clear" w:color="auto" w:fill="auto"/>
            <w:vAlign w:val="center"/>
          </w:tcPr>
          <w:p w14:paraId="5B783027"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4.19</w:t>
            </w:r>
          </w:p>
        </w:tc>
        <w:tc>
          <w:tcPr>
            <w:tcW w:w="1134" w:type="dxa"/>
            <w:shd w:val="clear" w:color="auto" w:fill="auto"/>
            <w:vAlign w:val="center"/>
          </w:tcPr>
          <w:p w14:paraId="2CDC1FE9"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(1.72, 10.16)</w:t>
            </w:r>
          </w:p>
        </w:tc>
        <w:tc>
          <w:tcPr>
            <w:tcW w:w="850" w:type="dxa"/>
            <w:shd w:val="clear" w:color="auto" w:fill="auto"/>
            <w:vAlign w:val="center"/>
          </w:tcPr>
          <w:p w14:paraId="13C0FC06"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0.03</w:t>
            </w:r>
          </w:p>
        </w:tc>
      </w:tr>
      <w:tr w:rsidR="00A023BD" w:rsidRPr="001A61F1" w14:paraId="020D159E" w14:textId="77777777" w:rsidTr="00A023BD">
        <w:tc>
          <w:tcPr>
            <w:tcW w:w="5387" w:type="dxa"/>
          </w:tcPr>
          <w:p w14:paraId="7458AFF5" w14:textId="77777777" w:rsidR="00A023BD" w:rsidRPr="003F15C0" w:rsidRDefault="00A023BD" w:rsidP="00A023BD">
            <w:pPr>
              <w:spacing w:before="20"/>
              <w:rPr>
                <w:b/>
                <w:bCs/>
                <w:color w:val="000000"/>
                <w:sz w:val="16"/>
                <w:szCs w:val="16"/>
              </w:rPr>
            </w:pPr>
            <w:r w:rsidRPr="003F15C0">
              <w:rPr>
                <w:b/>
                <w:bCs/>
                <w:color w:val="000000"/>
                <w:sz w:val="16"/>
                <w:szCs w:val="16"/>
              </w:rPr>
              <w:t>Time spent playing EGMs in an average day (</w:t>
            </w:r>
            <w:r>
              <w:rPr>
                <w:b/>
                <w:bCs/>
                <w:color w:val="000000"/>
                <w:sz w:val="16"/>
                <w:szCs w:val="16"/>
              </w:rPr>
              <w:t>pub</w:t>
            </w:r>
            <w:r w:rsidRPr="003F15C0">
              <w:rPr>
                <w:b/>
                <w:bCs/>
                <w:color w:val="000000"/>
                <w:sz w:val="16"/>
                <w:szCs w:val="16"/>
              </w:rPr>
              <w:t>)</w:t>
            </w:r>
          </w:p>
        </w:tc>
        <w:tc>
          <w:tcPr>
            <w:tcW w:w="1134" w:type="dxa"/>
            <w:shd w:val="clear" w:color="auto" w:fill="auto"/>
            <w:vAlign w:val="bottom"/>
          </w:tcPr>
          <w:p w14:paraId="09635201" w14:textId="77777777" w:rsidR="00A023BD" w:rsidRPr="007B750E" w:rsidRDefault="00A023BD" w:rsidP="00A023BD">
            <w:pPr>
              <w:keepNext/>
              <w:keepLines/>
              <w:jc w:val="right"/>
              <w:rPr>
                <w:color w:val="000000"/>
                <w:sz w:val="16"/>
                <w:szCs w:val="16"/>
                <w:lang w:eastAsia="en-NZ"/>
              </w:rPr>
            </w:pPr>
          </w:p>
        </w:tc>
        <w:tc>
          <w:tcPr>
            <w:tcW w:w="1134" w:type="dxa"/>
            <w:shd w:val="clear" w:color="auto" w:fill="auto"/>
            <w:vAlign w:val="bottom"/>
          </w:tcPr>
          <w:p w14:paraId="424D978D" w14:textId="77777777" w:rsidR="00A023BD" w:rsidRPr="007B750E" w:rsidRDefault="00A023BD" w:rsidP="00A023BD">
            <w:pPr>
              <w:keepNext/>
              <w:keepLines/>
              <w:jc w:val="right"/>
              <w:rPr>
                <w:color w:val="000000"/>
                <w:sz w:val="16"/>
                <w:szCs w:val="16"/>
                <w:lang w:eastAsia="en-NZ"/>
              </w:rPr>
            </w:pPr>
          </w:p>
        </w:tc>
        <w:tc>
          <w:tcPr>
            <w:tcW w:w="850" w:type="dxa"/>
            <w:shd w:val="clear" w:color="auto" w:fill="auto"/>
            <w:vAlign w:val="bottom"/>
          </w:tcPr>
          <w:p w14:paraId="35BBD5FD" w14:textId="77777777" w:rsidR="00A023BD" w:rsidRPr="007B750E" w:rsidRDefault="00A023BD" w:rsidP="00A023BD">
            <w:pPr>
              <w:keepNext/>
              <w:keepLines/>
              <w:jc w:val="right"/>
              <w:rPr>
                <w:color w:val="000000"/>
                <w:sz w:val="16"/>
                <w:szCs w:val="16"/>
                <w:lang w:eastAsia="en-NZ"/>
              </w:rPr>
            </w:pPr>
          </w:p>
        </w:tc>
      </w:tr>
      <w:tr w:rsidR="00A023BD" w:rsidRPr="001A61F1" w14:paraId="42C42C16" w14:textId="77777777" w:rsidTr="00A023BD">
        <w:tc>
          <w:tcPr>
            <w:tcW w:w="5387" w:type="dxa"/>
          </w:tcPr>
          <w:p w14:paraId="4B03058C" w14:textId="77777777" w:rsidR="00A023BD" w:rsidRPr="003F15C0" w:rsidRDefault="00A023BD" w:rsidP="00A023BD">
            <w:pPr>
              <w:spacing w:before="20"/>
              <w:ind w:left="176"/>
              <w:jc w:val="both"/>
              <w:rPr>
                <w:sz w:val="16"/>
                <w:szCs w:val="16"/>
              </w:rPr>
            </w:pPr>
            <w:r w:rsidRPr="003F15C0">
              <w:rPr>
                <w:sz w:val="16"/>
                <w:szCs w:val="16"/>
              </w:rPr>
              <w:t>No time</w:t>
            </w:r>
          </w:p>
        </w:tc>
        <w:tc>
          <w:tcPr>
            <w:tcW w:w="1134" w:type="dxa"/>
            <w:shd w:val="clear" w:color="auto" w:fill="auto"/>
            <w:vAlign w:val="center"/>
          </w:tcPr>
          <w:p w14:paraId="4DF899B6"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1.00</w:t>
            </w:r>
          </w:p>
        </w:tc>
        <w:tc>
          <w:tcPr>
            <w:tcW w:w="1134" w:type="dxa"/>
            <w:shd w:val="clear" w:color="auto" w:fill="auto"/>
            <w:vAlign w:val="center"/>
          </w:tcPr>
          <w:p w14:paraId="552DC165" w14:textId="77777777" w:rsidR="00A023BD" w:rsidRPr="004E24C3" w:rsidRDefault="00A023BD" w:rsidP="00A023BD">
            <w:pPr>
              <w:keepNext/>
              <w:keepLines/>
              <w:jc w:val="right"/>
              <w:rPr>
                <w:color w:val="000000"/>
                <w:sz w:val="16"/>
                <w:szCs w:val="16"/>
                <w:lang w:eastAsia="en-NZ"/>
              </w:rPr>
            </w:pPr>
          </w:p>
        </w:tc>
        <w:tc>
          <w:tcPr>
            <w:tcW w:w="850" w:type="dxa"/>
            <w:shd w:val="clear" w:color="auto" w:fill="auto"/>
            <w:vAlign w:val="center"/>
          </w:tcPr>
          <w:p w14:paraId="57611735" w14:textId="77777777" w:rsidR="00A023BD" w:rsidRPr="004E24C3" w:rsidRDefault="00A023BD" w:rsidP="00A023BD">
            <w:pPr>
              <w:keepNext/>
              <w:keepLines/>
              <w:jc w:val="right"/>
              <w:rPr>
                <w:color w:val="000000"/>
                <w:sz w:val="16"/>
                <w:szCs w:val="16"/>
                <w:lang w:eastAsia="en-NZ"/>
              </w:rPr>
            </w:pPr>
          </w:p>
        </w:tc>
      </w:tr>
      <w:tr w:rsidR="00A023BD" w:rsidRPr="001A61F1" w14:paraId="437B0B93" w14:textId="77777777" w:rsidTr="00A023BD">
        <w:tc>
          <w:tcPr>
            <w:tcW w:w="5387" w:type="dxa"/>
          </w:tcPr>
          <w:p w14:paraId="7ADC2E0B" w14:textId="77777777" w:rsidR="00A023BD" w:rsidRPr="003F15C0" w:rsidRDefault="00A023BD" w:rsidP="00A023BD">
            <w:pPr>
              <w:spacing w:before="20"/>
              <w:ind w:left="176"/>
              <w:jc w:val="both"/>
              <w:rPr>
                <w:sz w:val="16"/>
                <w:szCs w:val="16"/>
              </w:rPr>
            </w:pPr>
            <w:r w:rsidRPr="003F15C0">
              <w:rPr>
                <w:sz w:val="16"/>
                <w:szCs w:val="16"/>
              </w:rPr>
              <w:t>Up to 15 minutes</w:t>
            </w:r>
          </w:p>
        </w:tc>
        <w:tc>
          <w:tcPr>
            <w:tcW w:w="1134" w:type="dxa"/>
            <w:shd w:val="clear" w:color="auto" w:fill="auto"/>
            <w:vAlign w:val="center"/>
          </w:tcPr>
          <w:p w14:paraId="6BDF44F8"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1.74</w:t>
            </w:r>
          </w:p>
        </w:tc>
        <w:tc>
          <w:tcPr>
            <w:tcW w:w="1134" w:type="dxa"/>
            <w:shd w:val="clear" w:color="auto" w:fill="auto"/>
            <w:vAlign w:val="center"/>
          </w:tcPr>
          <w:p w14:paraId="6F65CA5D"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(0.49, 6.25)</w:t>
            </w:r>
          </w:p>
        </w:tc>
        <w:tc>
          <w:tcPr>
            <w:tcW w:w="850" w:type="dxa"/>
            <w:shd w:val="clear" w:color="auto" w:fill="auto"/>
            <w:vAlign w:val="center"/>
          </w:tcPr>
          <w:p w14:paraId="2F113DC2" w14:textId="77777777" w:rsidR="00A023BD" w:rsidRPr="004E24C3" w:rsidRDefault="00A023BD" w:rsidP="00A023BD">
            <w:pPr>
              <w:keepNext/>
              <w:keepLines/>
              <w:jc w:val="right"/>
              <w:rPr>
                <w:color w:val="000000"/>
                <w:sz w:val="16"/>
                <w:szCs w:val="16"/>
                <w:lang w:eastAsia="en-NZ"/>
              </w:rPr>
            </w:pPr>
          </w:p>
        </w:tc>
      </w:tr>
      <w:tr w:rsidR="00A023BD" w:rsidRPr="001A61F1" w14:paraId="04163329" w14:textId="77777777" w:rsidTr="00A023BD">
        <w:tc>
          <w:tcPr>
            <w:tcW w:w="5387" w:type="dxa"/>
          </w:tcPr>
          <w:p w14:paraId="6277E6E9" w14:textId="77777777" w:rsidR="00A023BD" w:rsidRPr="003F15C0" w:rsidRDefault="00A023BD" w:rsidP="00A023BD">
            <w:pPr>
              <w:spacing w:before="20"/>
              <w:ind w:left="176"/>
              <w:jc w:val="both"/>
              <w:rPr>
                <w:sz w:val="16"/>
                <w:szCs w:val="16"/>
              </w:rPr>
            </w:pPr>
            <w:r w:rsidRPr="003F15C0">
              <w:rPr>
                <w:sz w:val="16"/>
                <w:szCs w:val="16"/>
              </w:rPr>
              <w:t>16 to 30 minutes</w:t>
            </w:r>
          </w:p>
        </w:tc>
        <w:tc>
          <w:tcPr>
            <w:tcW w:w="1134" w:type="dxa"/>
            <w:shd w:val="clear" w:color="auto" w:fill="auto"/>
            <w:vAlign w:val="center"/>
          </w:tcPr>
          <w:p w14:paraId="2CE250B0"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1.21</w:t>
            </w:r>
          </w:p>
        </w:tc>
        <w:tc>
          <w:tcPr>
            <w:tcW w:w="1134" w:type="dxa"/>
            <w:shd w:val="clear" w:color="auto" w:fill="auto"/>
            <w:vAlign w:val="center"/>
          </w:tcPr>
          <w:p w14:paraId="013E33D4"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(0.47, 3.07)</w:t>
            </w:r>
          </w:p>
        </w:tc>
        <w:tc>
          <w:tcPr>
            <w:tcW w:w="850" w:type="dxa"/>
            <w:shd w:val="clear" w:color="auto" w:fill="auto"/>
            <w:vAlign w:val="center"/>
          </w:tcPr>
          <w:p w14:paraId="4A56EEDB" w14:textId="77777777" w:rsidR="00A023BD" w:rsidRPr="004E24C3" w:rsidRDefault="00A023BD" w:rsidP="00A023BD">
            <w:pPr>
              <w:keepNext/>
              <w:keepLines/>
              <w:jc w:val="right"/>
              <w:rPr>
                <w:color w:val="000000"/>
                <w:sz w:val="16"/>
                <w:szCs w:val="16"/>
                <w:lang w:eastAsia="en-NZ"/>
              </w:rPr>
            </w:pPr>
          </w:p>
        </w:tc>
      </w:tr>
      <w:tr w:rsidR="00A023BD" w:rsidRPr="001A61F1" w14:paraId="7C8070CA" w14:textId="77777777" w:rsidTr="00A023BD">
        <w:tc>
          <w:tcPr>
            <w:tcW w:w="5387" w:type="dxa"/>
          </w:tcPr>
          <w:p w14:paraId="62B5648A" w14:textId="77777777" w:rsidR="00A023BD" w:rsidRPr="003F15C0" w:rsidRDefault="00A023BD" w:rsidP="00A023BD">
            <w:pPr>
              <w:spacing w:before="20"/>
              <w:ind w:left="176"/>
              <w:jc w:val="both"/>
              <w:rPr>
                <w:sz w:val="16"/>
                <w:szCs w:val="16"/>
              </w:rPr>
            </w:pPr>
            <w:r w:rsidRPr="003F15C0">
              <w:rPr>
                <w:sz w:val="16"/>
                <w:szCs w:val="16"/>
              </w:rPr>
              <w:t>31 to 60 minutes</w:t>
            </w:r>
          </w:p>
        </w:tc>
        <w:tc>
          <w:tcPr>
            <w:tcW w:w="1134" w:type="dxa"/>
            <w:shd w:val="clear" w:color="auto" w:fill="auto"/>
            <w:vAlign w:val="center"/>
          </w:tcPr>
          <w:p w14:paraId="63DEE842"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6.81</w:t>
            </w:r>
          </w:p>
        </w:tc>
        <w:tc>
          <w:tcPr>
            <w:tcW w:w="1134" w:type="dxa"/>
            <w:shd w:val="clear" w:color="auto" w:fill="auto"/>
            <w:vAlign w:val="center"/>
          </w:tcPr>
          <w:p w14:paraId="79811BEB"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(1.71, 27.20)</w:t>
            </w:r>
          </w:p>
        </w:tc>
        <w:tc>
          <w:tcPr>
            <w:tcW w:w="850" w:type="dxa"/>
            <w:shd w:val="clear" w:color="auto" w:fill="auto"/>
            <w:vAlign w:val="center"/>
          </w:tcPr>
          <w:p w14:paraId="6918EE72" w14:textId="77777777" w:rsidR="00A023BD" w:rsidRPr="004E24C3" w:rsidRDefault="00A023BD" w:rsidP="00A023BD">
            <w:pPr>
              <w:keepNext/>
              <w:keepLines/>
              <w:jc w:val="right"/>
              <w:rPr>
                <w:color w:val="000000"/>
                <w:sz w:val="16"/>
                <w:szCs w:val="16"/>
                <w:lang w:eastAsia="en-NZ"/>
              </w:rPr>
            </w:pPr>
          </w:p>
        </w:tc>
      </w:tr>
      <w:tr w:rsidR="00A023BD" w:rsidRPr="001A61F1" w14:paraId="4B47ADC6" w14:textId="77777777" w:rsidTr="00326B55">
        <w:tc>
          <w:tcPr>
            <w:tcW w:w="5387" w:type="dxa"/>
          </w:tcPr>
          <w:p w14:paraId="6673EC5E" w14:textId="77777777" w:rsidR="00A023BD" w:rsidRPr="003F15C0" w:rsidRDefault="00A023BD" w:rsidP="00A023BD">
            <w:pPr>
              <w:spacing w:before="20"/>
              <w:ind w:left="176"/>
              <w:jc w:val="both"/>
              <w:rPr>
                <w:sz w:val="16"/>
                <w:szCs w:val="16"/>
              </w:rPr>
            </w:pPr>
            <w:r w:rsidRPr="003F15C0">
              <w:rPr>
                <w:sz w:val="16"/>
                <w:szCs w:val="16"/>
              </w:rPr>
              <w:t>&gt;60 minutes</w:t>
            </w:r>
          </w:p>
        </w:tc>
        <w:tc>
          <w:tcPr>
            <w:tcW w:w="1134" w:type="dxa"/>
            <w:shd w:val="clear" w:color="auto" w:fill="auto"/>
            <w:vAlign w:val="center"/>
          </w:tcPr>
          <w:p w14:paraId="083FBD13"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4.48</w:t>
            </w:r>
          </w:p>
        </w:tc>
        <w:tc>
          <w:tcPr>
            <w:tcW w:w="1134" w:type="dxa"/>
            <w:shd w:val="clear" w:color="auto" w:fill="auto"/>
            <w:vAlign w:val="center"/>
          </w:tcPr>
          <w:p w14:paraId="10453D19"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(1.08, 18.55)</w:t>
            </w:r>
          </w:p>
        </w:tc>
        <w:tc>
          <w:tcPr>
            <w:tcW w:w="850" w:type="dxa"/>
            <w:shd w:val="clear" w:color="auto" w:fill="auto"/>
            <w:vAlign w:val="center"/>
          </w:tcPr>
          <w:p w14:paraId="4B45AE97"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0.02</w:t>
            </w:r>
          </w:p>
        </w:tc>
      </w:tr>
      <w:tr w:rsidR="00A023BD" w:rsidRPr="001A61F1" w14:paraId="77E51070" w14:textId="77777777" w:rsidTr="00A023BD">
        <w:tc>
          <w:tcPr>
            <w:tcW w:w="5387" w:type="dxa"/>
          </w:tcPr>
          <w:p w14:paraId="17E25362" w14:textId="77777777" w:rsidR="00A023BD" w:rsidRPr="003F15C0" w:rsidRDefault="00A023BD" w:rsidP="00A023BD">
            <w:pPr>
              <w:spacing w:before="20"/>
              <w:rPr>
                <w:color w:val="000000"/>
                <w:sz w:val="16"/>
                <w:szCs w:val="16"/>
              </w:rPr>
            </w:pPr>
            <w:r w:rsidRPr="003F15C0">
              <w:rPr>
                <w:b/>
                <w:bCs/>
                <w:color w:val="000000"/>
                <w:sz w:val="16"/>
                <w:szCs w:val="16"/>
              </w:rPr>
              <w:t xml:space="preserve">Methods - </w:t>
            </w:r>
            <w:r>
              <w:rPr>
                <w:b/>
                <w:bCs/>
                <w:color w:val="000000"/>
                <w:sz w:val="16"/>
                <w:szCs w:val="16"/>
              </w:rPr>
              <w:t>Getting someone you trust to manage the money</w:t>
            </w:r>
          </w:p>
        </w:tc>
        <w:tc>
          <w:tcPr>
            <w:tcW w:w="1134" w:type="dxa"/>
            <w:shd w:val="clear" w:color="auto" w:fill="auto"/>
            <w:vAlign w:val="bottom"/>
          </w:tcPr>
          <w:p w14:paraId="60A590E5" w14:textId="77777777" w:rsidR="00A023BD" w:rsidRPr="007B750E" w:rsidRDefault="00A023BD" w:rsidP="00A023BD">
            <w:pPr>
              <w:keepNext/>
              <w:keepLines/>
              <w:jc w:val="right"/>
              <w:rPr>
                <w:color w:val="000000"/>
                <w:sz w:val="16"/>
                <w:szCs w:val="16"/>
                <w:lang w:eastAsia="en-NZ"/>
              </w:rPr>
            </w:pPr>
          </w:p>
        </w:tc>
        <w:tc>
          <w:tcPr>
            <w:tcW w:w="1134" w:type="dxa"/>
            <w:shd w:val="clear" w:color="auto" w:fill="auto"/>
            <w:vAlign w:val="bottom"/>
          </w:tcPr>
          <w:p w14:paraId="4AB4872B" w14:textId="77777777" w:rsidR="00A023BD" w:rsidRPr="007B750E" w:rsidRDefault="00A023BD" w:rsidP="00A023BD">
            <w:pPr>
              <w:keepNext/>
              <w:keepLines/>
              <w:jc w:val="right"/>
              <w:rPr>
                <w:color w:val="000000"/>
                <w:sz w:val="16"/>
                <w:szCs w:val="16"/>
                <w:lang w:eastAsia="en-NZ"/>
              </w:rPr>
            </w:pPr>
          </w:p>
        </w:tc>
        <w:tc>
          <w:tcPr>
            <w:tcW w:w="850" w:type="dxa"/>
            <w:shd w:val="clear" w:color="auto" w:fill="auto"/>
            <w:vAlign w:val="bottom"/>
          </w:tcPr>
          <w:p w14:paraId="0AB25EA2" w14:textId="77777777" w:rsidR="00A023BD" w:rsidRPr="007B750E" w:rsidRDefault="00A023BD" w:rsidP="00A023BD">
            <w:pPr>
              <w:keepNext/>
              <w:keepLines/>
              <w:jc w:val="right"/>
              <w:rPr>
                <w:color w:val="000000"/>
                <w:sz w:val="16"/>
                <w:szCs w:val="16"/>
                <w:lang w:eastAsia="en-NZ"/>
              </w:rPr>
            </w:pPr>
          </w:p>
        </w:tc>
      </w:tr>
      <w:tr w:rsidR="00A023BD" w:rsidRPr="001A61F1" w14:paraId="7F39CB02" w14:textId="77777777" w:rsidTr="00A023BD">
        <w:tc>
          <w:tcPr>
            <w:tcW w:w="5387" w:type="dxa"/>
          </w:tcPr>
          <w:p w14:paraId="29B4A39B"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center"/>
          </w:tcPr>
          <w:p w14:paraId="11F54229"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1.00</w:t>
            </w:r>
          </w:p>
        </w:tc>
        <w:tc>
          <w:tcPr>
            <w:tcW w:w="1134" w:type="dxa"/>
            <w:shd w:val="clear" w:color="auto" w:fill="auto"/>
            <w:vAlign w:val="center"/>
          </w:tcPr>
          <w:p w14:paraId="08F7D200" w14:textId="77777777" w:rsidR="00A023BD" w:rsidRPr="004E24C3" w:rsidRDefault="00A023BD" w:rsidP="00A023BD">
            <w:pPr>
              <w:keepNext/>
              <w:keepLines/>
              <w:jc w:val="right"/>
              <w:rPr>
                <w:color w:val="000000"/>
                <w:sz w:val="16"/>
                <w:szCs w:val="16"/>
                <w:lang w:eastAsia="en-NZ"/>
              </w:rPr>
            </w:pPr>
          </w:p>
        </w:tc>
        <w:tc>
          <w:tcPr>
            <w:tcW w:w="850" w:type="dxa"/>
            <w:shd w:val="clear" w:color="auto" w:fill="auto"/>
            <w:vAlign w:val="center"/>
          </w:tcPr>
          <w:p w14:paraId="263FF8D5" w14:textId="77777777" w:rsidR="00A023BD" w:rsidRPr="004E24C3" w:rsidRDefault="00A023BD" w:rsidP="00A023BD">
            <w:pPr>
              <w:keepNext/>
              <w:keepLines/>
              <w:jc w:val="right"/>
              <w:rPr>
                <w:color w:val="000000"/>
                <w:sz w:val="16"/>
                <w:szCs w:val="16"/>
                <w:lang w:eastAsia="en-NZ"/>
              </w:rPr>
            </w:pPr>
          </w:p>
        </w:tc>
      </w:tr>
      <w:tr w:rsidR="00A023BD" w:rsidRPr="001A61F1" w14:paraId="02ADAFCA" w14:textId="77777777" w:rsidTr="00326B55">
        <w:tc>
          <w:tcPr>
            <w:tcW w:w="5387" w:type="dxa"/>
          </w:tcPr>
          <w:p w14:paraId="672DFE71"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center"/>
          </w:tcPr>
          <w:p w14:paraId="6A87127C"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4.67</w:t>
            </w:r>
          </w:p>
        </w:tc>
        <w:tc>
          <w:tcPr>
            <w:tcW w:w="1134" w:type="dxa"/>
            <w:shd w:val="clear" w:color="auto" w:fill="auto"/>
            <w:vAlign w:val="center"/>
          </w:tcPr>
          <w:p w14:paraId="5ADD0C4A"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(1.05, 20.73)</w:t>
            </w:r>
          </w:p>
        </w:tc>
        <w:tc>
          <w:tcPr>
            <w:tcW w:w="850" w:type="dxa"/>
            <w:shd w:val="clear" w:color="auto" w:fill="auto"/>
            <w:vAlign w:val="center"/>
          </w:tcPr>
          <w:p w14:paraId="6D2D6CA4"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0.04</w:t>
            </w:r>
          </w:p>
        </w:tc>
      </w:tr>
      <w:tr w:rsidR="00A023BD" w:rsidRPr="001A61F1" w14:paraId="7AAB948B" w14:textId="77777777" w:rsidTr="00A023BD">
        <w:tc>
          <w:tcPr>
            <w:tcW w:w="5387" w:type="dxa"/>
            <w:vAlign w:val="center"/>
          </w:tcPr>
          <w:p w14:paraId="5C3D948D" w14:textId="77777777" w:rsidR="00A023BD" w:rsidRPr="003F15C0" w:rsidRDefault="00A023BD" w:rsidP="00A023BD">
            <w:pPr>
              <w:spacing w:before="20"/>
              <w:rPr>
                <w:b/>
                <w:bCs/>
                <w:color w:val="000000"/>
                <w:sz w:val="16"/>
                <w:szCs w:val="16"/>
              </w:rPr>
            </w:pPr>
            <w:r w:rsidRPr="003F15C0">
              <w:rPr>
                <w:b/>
                <w:bCs/>
                <w:color w:val="000000"/>
                <w:sz w:val="16"/>
                <w:szCs w:val="16"/>
              </w:rPr>
              <w:t xml:space="preserve">Methods - </w:t>
            </w:r>
            <w:r>
              <w:rPr>
                <w:b/>
                <w:bCs/>
                <w:color w:val="000000"/>
                <w:sz w:val="16"/>
                <w:szCs w:val="16"/>
              </w:rPr>
              <w:t>Avoiding places that have betting or gambling</w:t>
            </w:r>
          </w:p>
        </w:tc>
        <w:tc>
          <w:tcPr>
            <w:tcW w:w="1134" w:type="dxa"/>
            <w:shd w:val="clear" w:color="auto" w:fill="auto"/>
            <w:vAlign w:val="bottom"/>
          </w:tcPr>
          <w:p w14:paraId="4178B998" w14:textId="77777777" w:rsidR="00A023BD" w:rsidRPr="007B750E" w:rsidRDefault="00A023BD" w:rsidP="00A023BD">
            <w:pPr>
              <w:keepNext/>
              <w:keepLines/>
              <w:jc w:val="right"/>
              <w:rPr>
                <w:color w:val="000000"/>
                <w:sz w:val="16"/>
                <w:szCs w:val="16"/>
                <w:lang w:eastAsia="en-NZ"/>
              </w:rPr>
            </w:pPr>
          </w:p>
        </w:tc>
        <w:tc>
          <w:tcPr>
            <w:tcW w:w="1134" w:type="dxa"/>
            <w:shd w:val="clear" w:color="auto" w:fill="auto"/>
            <w:vAlign w:val="bottom"/>
          </w:tcPr>
          <w:p w14:paraId="4F74DAED" w14:textId="77777777" w:rsidR="00A023BD" w:rsidRPr="007B750E" w:rsidRDefault="00A023BD" w:rsidP="00A023BD">
            <w:pPr>
              <w:keepNext/>
              <w:keepLines/>
              <w:jc w:val="right"/>
              <w:rPr>
                <w:color w:val="000000"/>
                <w:sz w:val="16"/>
                <w:szCs w:val="16"/>
                <w:lang w:eastAsia="en-NZ"/>
              </w:rPr>
            </w:pPr>
          </w:p>
        </w:tc>
        <w:tc>
          <w:tcPr>
            <w:tcW w:w="850" w:type="dxa"/>
            <w:shd w:val="clear" w:color="auto" w:fill="auto"/>
            <w:vAlign w:val="bottom"/>
          </w:tcPr>
          <w:p w14:paraId="50FFA6B7" w14:textId="77777777" w:rsidR="00A023BD" w:rsidRPr="007B750E" w:rsidRDefault="00A023BD" w:rsidP="00A023BD">
            <w:pPr>
              <w:keepNext/>
              <w:keepLines/>
              <w:jc w:val="right"/>
              <w:rPr>
                <w:color w:val="000000"/>
                <w:sz w:val="16"/>
                <w:szCs w:val="16"/>
                <w:lang w:eastAsia="en-NZ"/>
              </w:rPr>
            </w:pPr>
          </w:p>
        </w:tc>
      </w:tr>
      <w:tr w:rsidR="00A023BD" w:rsidRPr="001A61F1" w14:paraId="6D5B95D7" w14:textId="77777777" w:rsidTr="00A023BD">
        <w:tc>
          <w:tcPr>
            <w:tcW w:w="5387" w:type="dxa"/>
          </w:tcPr>
          <w:p w14:paraId="236E7F13"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center"/>
          </w:tcPr>
          <w:p w14:paraId="610DC900"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1.00</w:t>
            </w:r>
          </w:p>
        </w:tc>
        <w:tc>
          <w:tcPr>
            <w:tcW w:w="1134" w:type="dxa"/>
            <w:shd w:val="clear" w:color="auto" w:fill="auto"/>
            <w:vAlign w:val="center"/>
          </w:tcPr>
          <w:p w14:paraId="68E501AE" w14:textId="77777777" w:rsidR="00A023BD" w:rsidRPr="004E24C3" w:rsidRDefault="00A023BD" w:rsidP="00A023BD">
            <w:pPr>
              <w:keepNext/>
              <w:keepLines/>
              <w:jc w:val="right"/>
              <w:rPr>
                <w:color w:val="000000"/>
                <w:sz w:val="16"/>
                <w:szCs w:val="16"/>
                <w:lang w:eastAsia="en-NZ"/>
              </w:rPr>
            </w:pPr>
          </w:p>
        </w:tc>
        <w:tc>
          <w:tcPr>
            <w:tcW w:w="850" w:type="dxa"/>
            <w:shd w:val="clear" w:color="auto" w:fill="auto"/>
            <w:vAlign w:val="center"/>
          </w:tcPr>
          <w:p w14:paraId="347E53A4" w14:textId="77777777" w:rsidR="00A023BD" w:rsidRPr="004E24C3" w:rsidRDefault="00A023BD" w:rsidP="00A023BD">
            <w:pPr>
              <w:keepNext/>
              <w:keepLines/>
              <w:jc w:val="right"/>
              <w:rPr>
                <w:color w:val="000000"/>
                <w:sz w:val="16"/>
                <w:szCs w:val="16"/>
                <w:lang w:eastAsia="en-NZ"/>
              </w:rPr>
            </w:pPr>
          </w:p>
        </w:tc>
      </w:tr>
      <w:tr w:rsidR="00A023BD" w:rsidRPr="001A61F1" w14:paraId="3906A161" w14:textId="77777777" w:rsidTr="00326B55">
        <w:tc>
          <w:tcPr>
            <w:tcW w:w="5387" w:type="dxa"/>
            <w:tcBorders>
              <w:bottom w:val="single" w:sz="4" w:space="0" w:color="auto"/>
            </w:tcBorders>
          </w:tcPr>
          <w:p w14:paraId="6D903C15"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tcBorders>
              <w:bottom w:val="single" w:sz="4" w:space="0" w:color="auto"/>
            </w:tcBorders>
            <w:shd w:val="clear" w:color="auto" w:fill="auto"/>
            <w:vAlign w:val="center"/>
          </w:tcPr>
          <w:p w14:paraId="515DEFE2"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3.22</w:t>
            </w:r>
          </w:p>
        </w:tc>
        <w:tc>
          <w:tcPr>
            <w:tcW w:w="1134" w:type="dxa"/>
            <w:tcBorders>
              <w:bottom w:val="single" w:sz="4" w:space="0" w:color="auto"/>
            </w:tcBorders>
            <w:shd w:val="clear" w:color="auto" w:fill="auto"/>
            <w:vAlign w:val="center"/>
          </w:tcPr>
          <w:p w14:paraId="1BC88D7E"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(1.35, 7.71)</w:t>
            </w:r>
          </w:p>
        </w:tc>
        <w:tc>
          <w:tcPr>
            <w:tcW w:w="850" w:type="dxa"/>
            <w:tcBorders>
              <w:bottom w:val="single" w:sz="4" w:space="0" w:color="auto"/>
            </w:tcBorders>
            <w:shd w:val="clear" w:color="auto" w:fill="auto"/>
            <w:vAlign w:val="center"/>
          </w:tcPr>
          <w:p w14:paraId="77E8CCD3" w14:textId="77777777" w:rsidR="00A023BD" w:rsidRPr="004E24C3" w:rsidRDefault="00A023BD" w:rsidP="00A023BD">
            <w:pPr>
              <w:keepNext/>
              <w:keepLines/>
              <w:jc w:val="right"/>
              <w:rPr>
                <w:color w:val="000000"/>
                <w:sz w:val="16"/>
                <w:szCs w:val="16"/>
                <w:lang w:eastAsia="en-NZ"/>
              </w:rPr>
            </w:pPr>
            <w:r w:rsidRPr="004E24C3">
              <w:rPr>
                <w:color w:val="000000"/>
                <w:sz w:val="16"/>
                <w:szCs w:val="16"/>
                <w:lang w:eastAsia="en-NZ"/>
              </w:rPr>
              <w:t>0.009</w:t>
            </w:r>
          </w:p>
        </w:tc>
      </w:tr>
    </w:tbl>
    <w:p w14:paraId="4E69E147" w14:textId="77777777" w:rsidR="00A023BD" w:rsidRPr="00230801" w:rsidRDefault="00A023BD" w:rsidP="00A023BD">
      <w:pPr>
        <w:rPr>
          <w:rFonts w:eastAsiaTheme="majorEastAsia"/>
          <w:sz w:val="16"/>
          <w:lang w:eastAsia="en-US"/>
        </w:rPr>
      </w:pPr>
      <w:r>
        <w:rPr>
          <w:rFonts w:eastAsiaTheme="majorEastAsia"/>
          <w:sz w:val="16"/>
          <w:lang w:eastAsia="en-US"/>
        </w:rPr>
        <w:t>Data weighted for 2013 Census data (all Waves) and attrition (Waves 2, 3 and 4)</w:t>
      </w:r>
    </w:p>
    <w:p w14:paraId="4EF42EDE" w14:textId="77777777" w:rsidR="00A023BD" w:rsidRDefault="00A023BD" w:rsidP="00A023BD">
      <w:pPr>
        <w:pStyle w:val="RepNormal"/>
      </w:pPr>
    </w:p>
    <w:p w14:paraId="08B6DED5" w14:textId="77777777" w:rsidR="00A023BD" w:rsidRDefault="00A023BD" w:rsidP="00A023BD">
      <w:pPr>
        <w:pStyle w:val="RepNormal"/>
      </w:pPr>
    </w:p>
    <w:p w14:paraId="6A8F3F3C" w14:textId="77777777" w:rsidR="00A023BD" w:rsidRPr="008D70BF" w:rsidRDefault="00A023BD" w:rsidP="00A023BD">
      <w:pPr>
        <w:pStyle w:val="RepNormal"/>
        <w:rPr>
          <w:u w:val="single"/>
        </w:rPr>
      </w:pPr>
      <w:r w:rsidRPr="00C21EA4">
        <w:rPr>
          <w:u w:val="single"/>
        </w:rPr>
        <w:t xml:space="preserve">Variables associated with </w:t>
      </w:r>
      <w:r>
        <w:rPr>
          <w:u w:val="single"/>
        </w:rPr>
        <w:t xml:space="preserve">a higher chance of being a past year </w:t>
      </w:r>
      <w:r w:rsidRPr="008D70BF">
        <w:rPr>
          <w:u w:val="single"/>
        </w:rPr>
        <w:t>low-risk/moderate-risk/problem gambler</w:t>
      </w:r>
    </w:p>
    <w:p w14:paraId="1479C0EF" w14:textId="77777777" w:rsidR="00A023BD" w:rsidRPr="00CC0DD0" w:rsidRDefault="00A023BD" w:rsidP="00A023BD">
      <w:pPr>
        <w:pStyle w:val="RepNormal"/>
        <w:keepNext/>
        <w:rPr>
          <w:highlight w:val="lightGray"/>
        </w:rPr>
      </w:pPr>
    </w:p>
    <w:p w14:paraId="1DEB4607" w14:textId="77777777" w:rsidR="00A023BD" w:rsidRPr="006E51C3" w:rsidRDefault="00A023BD" w:rsidP="00A023BD">
      <w:pPr>
        <w:pStyle w:val="RepNormal"/>
        <w:keepNext/>
      </w:pPr>
      <w:r>
        <w:t>Pacific people</w:t>
      </w:r>
      <w:r w:rsidRPr="006E51C3">
        <w:t xml:space="preserve"> experiencing high levels of psychological distress had </w:t>
      </w:r>
      <w:r>
        <w:t xml:space="preserve">6.12 times </w:t>
      </w:r>
      <w:r w:rsidRPr="006E51C3">
        <w:t xml:space="preserve">higher odds </w:t>
      </w:r>
      <w:r>
        <w:t>of being a past year low-risk/moderate-risk/problem gambler</w:t>
      </w:r>
      <w:r w:rsidRPr="00A55E1D">
        <w:t xml:space="preserve"> versus </w:t>
      </w:r>
      <w:r>
        <w:t>being a non-problem gambler/non-g</w:t>
      </w:r>
      <w:r w:rsidRPr="00A55E1D">
        <w:t>ambl</w:t>
      </w:r>
      <w:r>
        <w:t>er</w:t>
      </w:r>
      <w:r w:rsidRPr="006E51C3">
        <w:t xml:space="preserve">, compared with </w:t>
      </w:r>
      <w:r>
        <w:t>Pacific people</w:t>
      </w:r>
      <w:r w:rsidRPr="006E51C3">
        <w:t xml:space="preserve"> who experienced a low level of psychological distress.  </w:t>
      </w:r>
      <w:r>
        <w:t>This finding was similar to that noted for the total population; however, for the total population, increased odds for were also noted for participants experiencing mild and severe levels of psychological distress.</w:t>
      </w:r>
    </w:p>
    <w:p w14:paraId="65EA2CAB" w14:textId="77777777" w:rsidR="00A023BD" w:rsidRPr="00320388" w:rsidRDefault="00A023BD" w:rsidP="00A023BD">
      <w:pPr>
        <w:pStyle w:val="RepNormal"/>
      </w:pPr>
    </w:p>
    <w:p w14:paraId="63C089D0" w14:textId="77777777" w:rsidR="00A023BD" w:rsidRDefault="00A023BD" w:rsidP="00A023BD">
      <w:pPr>
        <w:pStyle w:val="RepNormal"/>
      </w:pPr>
      <w:r w:rsidRPr="00144644">
        <w:t xml:space="preserve">Various gambling participation behaviours were associated with </w:t>
      </w:r>
      <w:r>
        <w:t>Pacific people being past year low-risk/moderate-risk/problem gamblers</w:t>
      </w:r>
      <w:r w:rsidRPr="00A55E1D">
        <w:t xml:space="preserve"> versus </w:t>
      </w:r>
      <w:r>
        <w:t>being non-problem gamblers/non-g</w:t>
      </w:r>
      <w:r w:rsidRPr="00A55E1D">
        <w:t>ambl</w:t>
      </w:r>
      <w:r>
        <w:t>ers</w:t>
      </w:r>
      <w:r w:rsidRPr="00144644">
        <w:t>.  These included gambling annual</w:t>
      </w:r>
      <w:r>
        <w:t>ly or more often</w:t>
      </w:r>
      <w:r w:rsidRPr="00144644">
        <w:t xml:space="preserve"> </w:t>
      </w:r>
      <w:r>
        <w:t xml:space="preserve">on text games or competitions </w:t>
      </w:r>
      <w:r w:rsidRPr="00144644">
        <w:t>(</w:t>
      </w:r>
      <w:r>
        <w:t>3.87 </w:t>
      </w:r>
      <w:r w:rsidRPr="00144644">
        <w:t>times higher); and gambling monthly</w:t>
      </w:r>
      <w:r>
        <w:t xml:space="preserve"> or more often</w:t>
      </w:r>
      <w:r w:rsidRPr="00144644">
        <w:t xml:space="preserve"> on </w:t>
      </w:r>
      <w:r>
        <w:t>housie/bingo and horse/dog race betting</w:t>
      </w:r>
      <w:r w:rsidRPr="00144644">
        <w:t xml:space="preserve"> (</w:t>
      </w:r>
      <w:r>
        <w:t>both approximately four</w:t>
      </w:r>
      <w:r w:rsidRPr="00144644">
        <w:t> times higher), compar</w:t>
      </w:r>
      <w:r>
        <w:t>ed with not participating in tho</w:t>
      </w:r>
      <w:r w:rsidRPr="00144644">
        <w:t xml:space="preserve">se activities at least annually or monthly.  </w:t>
      </w:r>
      <w:r>
        <w:t>Gambling on these activities was not associated with being a past year low-risk/moderate-risk/problem gambler</w:t>
      </w:r>
      <w:r w:rsidRPr="00A55E1D">
        <w:t xml:space="preserve"> </w:t>
      </w:r>
      <w:r>
        <w:t>for the total population or for Māori.</w:t>
      </w:r>
    </w:p>
    <w:p w14:paraId="6C73EDC4" w14:textId="77777777" w:rsidR="00A023BD" w:rsidRDefault="00A023BD" w:rsidP="00A023BD">
      <w:pPr>
        <w:pStyle w:val="RepNormal"/>
      </w:pPr>
    </w:p>
    <w:p w14:paraId="3675660D" w14:textId="77777777" w:rsidR="00A023BD" w:rsidRPr="00144644" w:rsidRDefault="00A023BD" w:rsidP="00A023BD">
      <w:pPr>
        <w:pStyle w:val="RepNormal"/>
      </w:pPr>
      <w:r>
        <w:t>Pacific people</w:t>
      </w:r>
      <w:r w:rsidRPr="00144644">
        <w:t xml:space="preserve"> who had a typical monthly gambling expenditure of more than $50 were 3.</w:t>
      </w:r>
      <w:r>
        <w:t>19</w:t>
      </w:r>
      <w:r w:rsidRPr="00144644">
        <w:t xml:space="preserve"> times more likely to </w:t>
      </w:r>
      <w:r>
        <w:t>be a past year low-risk/moderate-risk/problem gambler</w:t>
      </w:r>
      <w:r w:rsidRPr="00A55E1D">
        <w:t xml:space="preserve"> versus </w:t>
      </w:r>
      <w:r>
        <w:t>being a non-problem gambler/non-g</w:t>
      </w:r>
      <w:r w:rsidRPr="00A55E1D">
        <w:t>ambl</w:t>
      </w:r>
      <w:r>
        <w:t>er,</w:t>
      </w:r>
      <w:r w:rsidRPr="00320388">
        <w:t xml:space="preserve"> </w:t>
      </w:r>
      <w:r w:rsidRPr="00144644">
        <w:t xml:space="preserve">than </w:t>
      </w:r>
      <w:r>
        <w:t>Pacific people</w:t>
      </w:r>
      <w:r w:rsidRPr="00144644">
        <w:t xml:space="preserve"> who had a monthly expenditure of $20 or less.  This finding was similar to that noted for </w:t>
      </w:r>
      <w:r>
        <w:t>the total population and for Māori</w:t>
      </w:r>
      <w:r w:rsidRPr="00144644">
        <w:t xml:space="preserve">.  </w:t>
      </w:r>
      <w:r>
        <w:t>Pacific people</w:t>
      </w:r>
      <w:r w:rsidRPr="00144644">
        <w:t xml:space="preserve"> who gambled on pub EGMs for more than 30 minutes in an average day</w:t>
      </w:r>
      <w:r>
        <w:t>, or on casino EGMs for more than 60 minutes,</w:t>
      </w:r>
      <w:r w:rsidRPr="00144644">
        <w:t xml:space="preserve"> had higher odds </w:t>
      </w:r>
      <w:r>
        <w:t>of being a past year low-risk/moderate-risk/problem gambler</w:t>
      </w:r>
      <w:r w:rsidRPr="00A55E1D">
        <w:t xml:space="preserve"> versus </w:t>
      </w:r>
      <w:r>
        <w:t>being a non-problem gambler/non-g</w:t>
      </w:r>
      <w:r w:rsidRPr="00A55E1D">
        <w:t>ambl</w:t>
      </w:r>
      <w:r>
        <w:t>er,</w:t>
      </w:r>
      <w:r w:rsidRPr="00320388">
        <w:t xml:space="preserve"> </w:t>
      </w:r>
      <w:r w:rsidRPr="00144644">
        <w:t xml:space="preserve">than </w:t>
      </w:r>
      <w:r>
        <w:t>Pacific people</w:t>
      </w:r>
      <w:r w:rsidRPr="00144644">
        <w:t xml:space="preserve"> who did not gamble on pub </w:t>
      </w:r>
      <w:r>
        <w:t xml:space="preserve">or casino </w:t>
      </w:r>
      <w:r w:rsidRPr="00144644">
        <w:t>EGMs</w:t>
      </w:r>
      <w:r>
        <w:t xml:space="preserve"> (four to seven times higher</w:t>
      </w:r>
      <w:r w:rsidRPr="00144644">
        <w:t xml:space="preserve">).  This finding </w:t>
      </w:r>
      <w:r w:rsidR="00D06B71">
        <w:t>was</w:t>
      </w:r>
      <w:r w:rsidRPr="00144644">
        <w:t xml:space="preserve"> not noted for </w:t>
      </w:r>
      <w:r>
        <w:t>the total population</w:t>
      </w:r>
      <w:r w:rsidRPr="00144644">
        <w:t xml:space="preserve"> for whom length of time gambling on club EGMs was a risk factor</w:t>
      </w:r>
      <w:r>
        <w:t>, but was similar to Māori for the risk of gambling on pub EGMs</w:t>
      </w:r>
      <w:r w:rsidRPr="00144644">
        <w:t>.</w:t>
      </w:r>
    </w:p>
    <w:p w14:paraId="50D8BF49" w14:textId="77777777" w:rsidR="00A023BD" w:rsidRPr="00144644" w:rsidRDefault="00A023BD" w:rsidP="00A023BD">
      <w:pPr>
        <w:pStyle w:val="RepNormal"/>
      </w:pPr>
    </w:p>
    <w:p w14:paraId="262F4710" w14:textId="77777777" w:rsidR="00A023BD" w:rsidRDefault="00A023BD" w:rsidP="00A023BD">
      <w:pPr>
        <w:pStyle w:val="RepNormal"/>
      </w:pPr>
      <w:r w:rsidRPr="004942DB">
        <w:t xml:space="preserve">Two methods for moderating gambling behaviour were associated with </w:t>
      </w:r>
      <w:r>
        <w:t>Pacific people being past year low-risk/moderate-risk/problem gamblers</w:t>
      </w:r>
      <w:r w:rsidRPr="00A55E1D">
        <w:t xml:space="preserve"> versus </w:t>
      </w:r>
      <w:r>
        <w:t>being non-problem gamblers/non-g</w:t>
      </w:r>
      <w:r w:rsidRPr="00A55E1D">
        <w:t>ambl</w:t>
      </w:r>
      <w:r>
        <w:t>ers</w:t>
      </w:r>
      <w:r w:rsidRPr="004942DB">
        <w:t xml:space="preserve">.  These were </w:t>
      </w:r>
      <w:r>
        <w:t>getting a trusted person to manage the money</w:t>
      </w:r>
      <w:r w:rsidRPr="004942DB">
        <w:t xml:space="preserve">, and </w:t>
      </w:r>
      <w:r>
        <w:t>avoiding places that have betting or gambling</w:t>
      </w:r>
      <w:r w:rsidRPr="004942DB">
        <w:t xml:space="preserve"> (</w:t>
      </w:r>
      <w:r>
        <w:t>4.67</w:t>
      </w:r>
      <w:r w:rsidRPr="004942DB">
        <w:t xml:space="preserve"> and </w:t>
      </w:r>
      <w:r>
        <w:t>3.22</w:t>
      </w:r>
      <w:r w:rsidRPr="004942DB">
        <w:t xml:space="preserve"> times higher, respectively).  These findings were similar to those noted for </w:t>
      </w:r>
      <w:r>
        <w:t>the total population</w:t>
      </w:r>
      <w:r w:rsidRPr="004942DB">
        <w:t xml:space="preserve">; however, more moderating methods were associated </w:t>
      </w:r>
      <w:r w:rsidR="00D06B71">
        <w:t>for</w:t>
      </w:r>
      <w:r w:rsidRPr="004942DB">
        <w:t xml:space="preserve"> </w:t>
      </w:r>
      <w:r>
        <w:t>the total population</w:t>
      </w:r>
      <w:r w:rsidRPr="004942DB">
        <w:t xml:space="preserve">. </w:t>
      </w:r>
    </w:p>
    <w:p w14:paraId="7EC5E7BB" w14:textId="77777777" w:rsidR="00A023BD" w:rsidRPr="004942DB" w:rsidRDefault="00A023BD" w:rsidP="00A023BD">
      <w:pPr>
        <w:pStyle w:val="RepNormal"/>
      </w:pPr>
    </w:p>
    <w:p w14:paraId="0957F69C" w14:textId="77777777" w:rsidR="00A023BD" w:rsidRPr="004942DB" w:rsidRDefault="00A023BD" w:rsidP="00A023BD">
      <w:pPr>
        <w:pStyle w:val="RepNormal"/>
      </w:pPr>
    </w:p>
    <w:p w14:paraId="0E9C73F3" w14:textId="77777777" w:rsidR="00A023BD" w:rsidRPr="008D70BF" w:rsidRDefault="00A023BD" w:rsidP="00A023BD">
      <w:pPr>
        <w:pStyle w:val="RepNormal"/>
        <w:rPr>
          <w:u w:val="single"/>
        </w:rPr>
      </w:pPr>
      <w:r w:rsidRPr="00C21EA4">
        <w:rPr>
          <w:u w:val="single"/>
        </w:rPr>
        <w:t xml:space="preserve">Variables associated with </w:t>
      </w:r>
      <w:r>
        <w:rPr>
          <w:u w:val="single"/>
        </w:rPr>
        <w:t xml:space="preserve">a lower chance of being a past year </w:t>
      </w:r>
      <w:r w:rsidRPr="008D70BF">
        <w:rPr>
          <w:u w:val="single"/>
        </w:rPr>
        <w:t>low-risk/moderate-risk/problem gambler</w:t>
      </w:r>
    </w:p>
    <w:p w14:paraId="2318EA60" w14:textId="77777777" w:rsidR="00A023BD" w:rsidRDefault="00A023BD" w:rsidP="00A023BD">
      <w:pPr>
        <w:pStyle w:val="RepNormal"/>
        <w:rPr>
          <w:highlight w:val="lightGray"/>
        </w:rPr>
      </w:pPr>
    </w:p>
    <w:p w14:paraId="0DE42817" w14:textId="38C3C9DB" w:rsidR="00A023BD" w:rsidRPr="00320388" w:rsidRDefault="00A023BD" w:rsidP="00A023BD">
      <w:pPr>
        <w:pStyle w:val="RepNormal"/>
      </w:pPr>
      <w:r>
        <w:t>Pacific people whose highest educational achievement was at secondary school or tertiary level had lower odds of being a past year low-risk/moderate-risk/problem gambler</w:t>
      </w:r>
      <w:r w:rsidRPr="00A55E1D">
        <w:t xml:space="preserve"> versus </w:t>
      </w:r>
      <w:r>
        <w:t>being a non-problem gambler/non-g</w:t>
      </w:r>
      <w:r w:rsidRPr="00A55E1D">
        <w:t>ambl</w:t>
      </w:r>
      <w:r>
        <w:t>er (</w:t>
      </w:r>
      <w:r w:rsidR="004D1358">
        <w:t xml:space="preserve">odds ratio </w:t>
      </w:r>
      <w:r>
        <w:t xml:space="preserve">0.51 and 0.28, respectively), than Pacific people without any formal qualifications.  </w:t>
      </w:r>
      <w:r w:rsidRPr="00144644">
        <w:t xml:space="preserve">This finding had not been noted for </w:t>
      </w:r>
      <w:r>
        <w:t>the total population nor for Māori.</w:t>
      </w:r>
    </w:p>
    <w:p w14:paraId="04E2AB36" w14:textId="77777777" w:rsidR="00A023BD" w:rsidRDefault="00A023BD" w:rsidP="00A023BD">
      <w:pPr>
        <w:pStyle w:val="RepNormal"/>
      </w:pPr>
    </w:p>
    <w:p w14:paraId="06CEFA95" w14:textId="77777777" w:rsidR="00A023BD" w:rsidRPr="00236FAA" w:rsidRDefault="00A023BD" w:rsidP="006703D6">
      <w:pPr>
        <w:pStyle w:val="RepHead2"/>
        <w:ind w:left="709" w:hanging="709"/>
      </w:pPr>
      <w:bookmarkStart w:id="152" w:name="_Ref483378926"/>
      <w:bookmarkStart w:id="153" w:name="_Toc504488381"/>
      <w:r w:rsidRPr="00236FAA">
        <w:t xml:space="preserve">Associations with </w:t>
      </w:r>
      <w:r w:rsidR="00681AF3">
        <w:t xml:space="preserve">the </w:t>
      </w:r>
      <w:r w:rsidR="006703D6">
        <w:t xml:space="preserve">chance of </w:t>
      </w:r>
      <w:r>
        <w:t xml:space="preserve">being a past year </w:t>
      </w:r>
      <w:r w:rsidRPr="00236FAA">
        <w:t>moderate-risk/problem gambl</w:t>
      </w:r>
      <w:r>
        <w:t>er</w:t>
      </w:r>
      <w:bookmarkEnd w:id="152"/>
      <w:r>
        <w:t xml:space="preserve"> vs. being a low-risk/non-problem/non-gambler across Waves 1 to 4</w:t>
      </w:r>
      <w:bookmarkEnd w:id="153"/>
      <w:r w:rsidRPr="00236FAA">
        <w:t xml:space="preserve"> </w:t>
      </w:r>
    </w:p>
    <w:p w14:paraId="4D6FCFF0" w14:textId="77777777" w:rsidR="00A023BD" w:rsidRDefault="00A023BD" w:rsidP="00A023BD">
      <w:pPr>
        <w:pStyle w:val="RepNormal"/>
        <w:keepNext/>
        <w:keepLines/>
      </w:pPr>
    </w:p>
    <w:p w14:paraId="558911AA" w14:textId="77777777" w:rsidR="00A023BD" w:rsidRDefault="00A023BD" w:rsidP="00A023BD">
      <w:pPr>
        <w:pStyle w:val="RepNormal"/>
      </w:pPr>
      <w:r w:rsidRPr="00A55E1D">
        <w:t xml:space="preserve">This section details </w:t>
      </w:r>
      <w:r>
        <w:t xml:space="preserve">variables </w:t>
      </w:r>
      <w:r w:rsidRPr="00A55E1D">
        <w:t>associat</w:t>
      </w:r>
      <w:r>
        <w:t>ed</w:t>
      </w:r>
      <w:r w:rsidRPr="00A55E1D">
        <w:t xml:space="preserve"> with </w:t>
      </w:r>
      <w:r>
        <w:t>the chance of being a past year moderate-risk/ problem gambler</w:t>
      </w:r>
      <w:r w:rsidRPr="00A55E1D">
        <w:t xml:space="preserve"> versus </w:t>
      </w:r>
      <w:r>
        <w:t>being a low-risk/non-problem/non-g</w:t>
      </w:r>
      <w:r w:rsidRPr="00A55E1D">
        <w:t>ambl</w:t>
      </w:r>
      <w:r>
        <w:t>er, taking the four waves into account.</w:t>
      </w:r>
      <w:r w:rsidR="00626C08">
        <w:t xml:space="preserve">  </w:t>
      </w:r>
      <w:r w:rsidR="00626C08" w:rsidRPr="00626C08">
        <w:t xml:space="preserve">Bivariate associations (section </w:t>
      </w:r>
      <w:r w:rsidR="00626C08">
        <w:fldChar w:fldCharType="begin"/>
      </w:r>
      <w:r w:rsidR="00626C08">
        <w:instrText xml:space="preserve"> REF _Ref495670813 \r \h </w:instrText>
      </w:r>
      <w:r w:rsidR="00626C08">
        <w:fldChar w:fldCharType="separate"/>
      </w:r>
      <w:r w:rsidR="00D5752E">
        <w:t>4.10.1</w:t>
      </w:r>
      <w:r w:rsidR="00626C08">
        <w:fldChar w:fldCharType="end"/>
      </w:r>
      <w:r w:rsidR="00626C08" w:rsidRPr="00626C08">
        <w:t xml:space="preserve">) are presented, as are multiple logistic regression analyses (section </w:t>
      </w:r>
      <w:r w:rsidR="00626C08">
        <w:fldChar w:fldCharType="begin"/>
      </w:r>
      <w:r w:rsidR="00626C08">
        <w:instrText xml:space="preserve"> REF _Ref495670827 \r \h </w:instrText>
      </w:r>
      <w:r w:rsidR="00626C08">
        <w:fldChar w:fldCharType="separate"/>
      </w:r>
      <w:r w:rsidR="00D5752E">
        <w:t>4.10.2</w:t>
      </w:r>
      <w:r w:rsidR="00626C08">
        <w:fldChar w:fldCharType="end"/>
      </w:r>
      <w:r w:rsidR="00626C08" w:rsidRPr="00626C08">
        <w:t xml:space="preserve">) including for Māori (section </w:t>
      </w:r>
      <w:r w:rsidR="00626C08">
        <w:fldChar w:fldCharType="begin"/>
      </w:r>
      <w:r w:rsidR="00626C08">
        <w:instrText xml:space="preserve"> REF _Ref495670837 \r \h </w:instrText>
      </w:r>
      <w:r w:rsidR="00626C08">
        <w:fldChar w:fldCharType="separate"/>
      </w:r>
      <w:r w:rsidR="00D5752E">
        <w:t>4.10.3</w:t>
      </w:r>
      <w:r w:rsidR="00626C08">
        <w:fldChar w:fldCharType="end"/>
      </w:r>
      <w:r w:rsidR="00626C08" w:rsidRPr="00626C08">
        <w:t xml:space="preserve">) and Pacific people (section </w:t>
      </w:r>
      <w:r w:rsidR="00626C08">
        <w:fldChar w:fldCharType="begin"/>
      </w:r>
      <w:r w:rsidR="00626C08">
        <w:instrText xml:space="preserve"> REF _Ref495670846 \r \h </w:instrText>
      </w:r>
      <w:r w:rsidR="00626C08">
        <w:fldChar w:fldCharType="separate"/>
      </w:r>
      <w:r w:rsidR="00D5752E">
        <w:t>4.10.4</w:t>
      </w:r>
      <w:r w:rsidR="00626C08">
        <w:fldChar w:fldCharType="end"/>
      </w:r>
      <w:r w:rsidR="00626C08" w:rsidRPr="00626C08">
        <w:t xml:space="preserve">).  </w:t>
      </w:r>
    </w:p>
    <w:p w14:paraId="06777AAE" w14:textId="77777777" w:rsidR="00A023BD" w:rsidRDefault="00A023BD" w:rsidP="00A023BD">
      <w:pPr>
        <w:pStyle w:val="RepNormal"/>
        <w:keepNext/>
        <w:keepLines/>
      </w:pPr>
    </w:p>
    <w:p w14:paraId="30AA2979" w14:textId="77777777" w:rsidR="00A023BD" w:rsidRDefault="00A023BD" w:rsidP="00A023BD">
      <w:pPr>
        <w:pStyle w:val="RepNormal"/>
        <w:keepNext/>
        <w:keepLines/>
      </w:pPr>
    </w:p>
    <w:p w14:paraId="0B05CCA5" w14:textId="77777777" w:rsidR="00A023BD" w:rsidRDefault="00A023BD" w:rsidP="00A023BD">
      <w:pPr>
        <w:pStyle w:val="RepHead3"/>
      </w:pPr>
      <w:bookmarkStart w:id="154" w:name="_Ref495670813"/>
      <w:bookmarkStart w:id="155" w:name="_Toc504488382"/>
      <w:r>
        <w:t>Bivariate associations</w:t>
      </w:r>
      <w:bookmarkEnd w:id="154"/>
      <w:bookmarkEnd w:id="155"/>
    </w:p>
    <w:p w14:paraId="78888691" w14:textId="77777777" w:rsidR="00A023BD" w:rsidRDefault="00A023BD" w:rsidP="00A023BD">
      <w:pPr>
        <w:pStyle w:val="RepNormal"/>
        <w:keepNext/>
      </w:pPr>
    </w:p>
    <w:p w14:paraId="289F6476" w14:textId="77777777" w:rsidR="00A023BD" w:rsidRDefault="00A023BD" w:rsidP="00A023BD">
      <w:pPr>
        <w:pStyle w:val="RepNormal"/>
        <w:keepNext/>
      </w:pPr>
      <w:r>
        <w:t xml:space="preserve">Statistically significant bivariate associations are presented </w:t>
      </w:r>
      <w:r w:rsidRPr="00B116A3">
        <w:t xml:space="preserve">in </w:t>
      </w:r>
      <w:r>
        <w:t xml:space="preserve">Appendix </w:t>
      </w:r>
      <w:r w:rsidR="003D7BB5">
        <w:t>30</w:t>
      </w:r>
      <w:r w:rsidRPr="00126434">
        <w:t>.</w:t>
      </w:r>
    </w:p>
    <w:p w14:paraId="05DDB90B" w14:textId="77777777" w:rsidR="00A023BD" w:rsidRDefault="00A023BD" w:rsidP="00A023BD">
      <w:pPr>
        <w:pStyle w:val="RepNormal"/>
        <w:keepNext/>
      </w:pPr>
    </w:p>
    <w:p w14:paraId="26109AFD" w14:textId="77777777" w:rsidR="00A023BD" w:rsidRDefault="00A023BD" w:rsidP="00A023BD">
      <w:pPr>
        <w:pStyle w:val="RepNormal"/>
        <w:keepNext/>
      </w:pPr>
      <w:r>
        <w:t xml:space="preserve">Bivariate associations examined using logistic regression indicated that time (i.e. the year of participation) was not associated with the chance of being a moderate-risk/problem gambler.  </w:t>
      </w:r>
    </w:p>
    <w:p w14:paraId="66169408" w14:textId="77777777" w:rsidR="00A023BD" w:rsidRDefault="00A023BD" w:rsidP="00A023BD">
      <w:pPr>
        <w:pStyle w:val="RepNormal"/>
      </w:pPr>
    </w:p>
    <w:p w14:paraId="0B39D29F" w14:textId="77777777" w:rsidR="00A023BD" w:rsidRDefault="00A023BD" w:rsidP="00A023BD">
      <w:pPr>
        <w:pStyle w:val="RepNormal"/>
      </w:pPr>
    </w:p>
    <w:p w14:paraId="4451DDD3" w14:textId="77777777" w:rsidR="00A023BD" w:rsidRPr="00C21EA4" w:rsidRDefault="00A023BD" w:rsidP="00626C08">
      <w:pPr>
        <w:pStyle w:val="RepNormal"/>
        <w:keepNext/>
        <w:rPr>
          <w:u w:val="single"/>
        </w:rPr>
      </w:pPr>
      <w:r w:rsidRPr="00C21EA4">
        <w:rPr>
          <w:u w:val="single"/>
        </w:rPr>
        <w:t xml:space="preserve">Variables associated with </w:t>
      </w:r>
      <w:r>
        <w:rPr>
          <w:u w:val="single"/>
        </w:rPr>
        <w:t>a higher chance of being a past year moderate-risk/problem gambler</w:t>
      </w:r>
      <w:r w:rsidRPr="00C21EA4">
        <w:rPr>
          <w:u w:val="single"/>
        </w:rPr>
        <w:t xml:space="preserve"> </w:t>
      </w:r>
    </w:p>
    <w:p w14:paraId="13B7CD1C" w14:textId="77777777" w:rsidR="00A023BD" w:rsidRDefault="00A023BD" w:rsidP="00626C08">
      <w:pPr>
        <w:pStyle w:val="RepNormal"/>
        <w:keepNext/>
      </w:pPr>
    </w:p>
    <w:p w14:paraId="0D445C67" w14:textId="77777777" w:rsidR="00A023BD" w:rsidRPr="00764B92" w:rsidRDefault="00A023BD" w:rsidP="00626C08">
      <w:pPr>
        <w:pStyle w:val="RepNormal"/>
        <w:keepNext/>
      </w:pPr>
      <w:r w:rsidRPr="005258C9">
        <w:t>Being of Māori, Pacific or Asian ethnicity (</w:t>
      </w:r>
      <w:r>
        <w:t>vs.</w:t>
      </w:r>
      <w:r w:rsidRPr="005258C9">
        <w:t xml:space="preserve"> European/Other ethnicity), </w:t>
      </w:r>
      <w:r>
        <w:t>being unemployed (vs. being employed), and experiencing one or more levels of individual deprivation</w:t>
      </w:r>
      <w:r w:rsidRPr="00E51136">
        <w:t xml:space="preserve"> </w:t>
      </w:r>
      <w:r>
        <w:t xml:space="preserve">(vs. no deprivation) </w:t>
      </w:r>
      <w:r w:rsidRPr="00764B92">
        <w:t xml:space="preserve">were significantly associated with </w:t>
      </w:r>
      <w:r>
        <w:t>a higher</w:t>
      </w:r>
      <w:r w:rsidRPr="00764B92">
        <w:t xml:space="preserve"> </w:t>
      </w:r>
      <w:r>
        <w:t xml:space="preserve">chance </w:t>
      </w:r>
      <w:r w:rsidRPr="00764B92">
        <w:t xml:space="preserve">of </w:t>
      </w:r>
      <w:r>
        <w:t>being a moderate-risk/ problem</w:t>
      </w:r>
      <w:r w:rsidRPr="00764B92">
        <w:t xml:space="preserve"> gambl</w:t>
      </w:r>
      <w:r>
        <w:t>er versus being a low-risk/non-problem/non-g</w:t>
      </w:r>
      <w:r w:rsidRPr="00A55E1D">
        <w:t>ambl</w:t>
      </w:r>
      <w:r>
        <w:t>er.</w:t>
      </w:r>
    </w:p>
    <w:p w14:paraId="12999BDC" w14:textId="77777777" w:rsidR="00A023BD" w:rsidRPr="005B23A2" w:rsidRDefault="00A023BD" w:rsidP="00A023BD">
      <w:pPr>
        <w:pStyle w:val="RepNormal"/>
      </w:pPr>
    </w:p>
    <w:p w14:paraId="29FD027E" w14:textId="77777777" w:rsidR="00A023BD" w:rsidRPr="005B23A2" w:rsidRDefault="00A023BD" w:rsidP="00A023BD">
      <w:pPr>
        <w:pStyle w:val="RepNormal"/>
      </w:pPr>
      <w:r w:rsidRPr="005B23A2">
        <w:t xml:space="preserve">Experiencing moderate, high or severe levels of psychological distress (vs. a low level of psychological distress); using cannabis (vs. not using); and smoking, or ever having smoked more than 100 cigarettes in lifetime (vs. not smoking in this manner) were also significantly associated with </w:t>
      </w:r>
      <w:r>
        <w:t>higher</w:t>
      </w:r>
      <w:r w:rsidRPr="005B23A2">
        <w:t xml:space="preserve"> likelihood of moderate-risk/problem gambling.</w:t>
      </w:r>
    </w:p>
    <w:p w14:paraId="6A555EC2" w14:textId="77777777" w:rsidR="00A023BD" w:rsidRPr="005B23A2" w:rsidRDefault="00A023BD" w:rsidP="00A023BD">
      <w:pPr>
        <w:pStyle w:val="RepNormal"/>
      </w:pPr>
    </w:p>
    <w:p w14:paraId="68212126" w14:textId="688766D6" w:rsidR="00A023BD" w:rsidRPr="005B23A2" w:rsidRDefault="00A023BD" w:rsidP="00A023BD">
      <w:pPr>
        <w:pStyle w:val="RepNormal"/>
      </w:pPr>
      <w:r w:rsidRPr="005B23A2">
        <w:t>Additionally, gambling annually</w:t>
      </w:r>
      <w:r>
        <w:t xml:space="preserve"> or more often,</w:t>
      </w:r>
      <w:r w:rsidRPr="005B23A2">
        <w:t xml:space="preserve"> or monthly </w:t>
      </w:r>
      <w:r>
        <w:t xml:space="preserve">or more often </w:t>
      </w:r>
      <w:r w:rsidRPr="005B23A2">
        <w:t xml:space="preserve">on most gambling </w:t>
      </w:r>
      <w:r w:rsidRPr="0038107A">
        <w:t xml:space="preserve">activities (vs. not gambling on the activities at these frequencies) and various other gambling behaviours </w:t>
      </w:r>
      <w:r w:rsidR="008B226A" w:rsidRPr="0038107A">
        <w:t xml:space="preserve">(e.g. Typical monthly expenditure of $50 or more, and gambling on EGMs for longer than an hour in an average day), </w:t>
      </w:r>
      <w:r w:rsidRPr="0038107A">
        <w:t>were associated with a higher chance of being a moderate-risk/problem gambler versus being a low-risk/non-problem/non-gambler.</w:t>
      </w:r>
    </w:p>
    <w:p w14:paraId="5A01A57D" w14:textId="77777777" w:rsidR="00A023BD" w:rsidRPr="005B23A2" w:rsidRDefault="00A023BD" w:rsidP="00A023BD">
      <w:pPr>
        <w:pStyle w:val="RepNormal"/>
      </w:pPr>
    </w:p>
    <w:p w14:paraId="0C36A1D4" w14:textId="77777777" w:rsidR="00A023BD" w:rsidRPr="005B23A2" w:rsidRDefault="00A023BD" w:rsidP="00A023BD">
      <w:pPr>
        <w:pStyle w:val="RepNormal"/>
      </w:pPr>
    </w:p>
    <w:p w14:paraId="26EAE755" w14:textId="77777777" w:rsidR="00A023BD" w:rsidRPr="005B23A2" w:rsidRDefault="00A023BD" w:rsidP="00A023BD">
      <w:pPr>
        <w:pStyle w:val="RepNormal"/>
        <w:rPr>
          <w:u w:val="single"/>
        </w:rPr>
      </w:pPr>
      <w:r w:rsidRPr="005B23A2">
        <w:rPr>
          <w:u w:val="single"/>
        </w:rPr>
        <w:t xml:space="preserve">Variables associated with </w:t>
      </w:r>
      <w:r>
        <w:rPr>
          <w:u w:val="single"/>
        </w:rPr>
        <w:t>a lower</w:t>
      </w:r>
      <w:r w:rsidRPr="005B23A2">
        <w:rPr>
          <w:u w:val="single"/>
        </w:rPr>
        <w:t xml:space="preserve"> </w:t>
      </w:r>
      <w:r>
        <w:rPr>
          <w:u w:val="single"/>
        </w:rPr>
        <w:t>chance of being a</w:t>
      </w:r>
      <w:r w:rsidRPr="005B23A2">
        <w:rPr>
          <w:u w:val="single"/>
        </w:rPr>
        <w:t xml:space="preserve"> </w:t>
      </w:r>
      <w:r>
        <w:rPr>
          <w:u w:val="single"/>
        </w:rPr>
        <w:t>past year moderate-risk/problem</w:t>
      </w:r>
      <w:r w:rsidRPr="005B23A2">
        <w:rPr>
          <w:u w:val="single"/>
        </w:rPr>
        <w:t xml:space="preserve"> gambl</w:t>
      </w:r>
      <w:r>
        <w:rPr>
          <w:u w:val="single"/>
        </w:rPr>
        <w:t>er</w:t>
      </w:r>
      <w:r w:rsidRPr="005B23A2">
        <w:rPr>
          <w:u w:val="single"/>
        </w:rPr>
        <w:t xml:space="preserve"> </w:t>
      </w:r>
    </w:p>
    <w:p w14:paraId="1CB96CE4" w14:textId="77777777" w:rsidR="00A023BD" w:rsidRPr="005B23A2" w:rsidRDefault="00A023BD" w:rsidP="00A023BD">
      <w:pPr>
        <w:pStyle w:val="RepNormal"/>
      </w:pPr>
    </w:p>
    <w:p w14:paraId="10932579" w14:textId="77777777" w:rsidR="00A023BD" w:rsidRPr="005B23A2" w:rsidRDefault="00A023BD" w:rsidP="00A023BD">
      <w:pPr>
        <w:pStyle w:val="RepNormal"/>
      </w:pPr>
      <w:r w:rsidRPr="005B23A2">
        <w:t xml:space="preserve">Being aged 40 years or older (vs. 18 to 39 </w:t>
      </w:r>
      <w:r w:rsidRPr="006E19E4">
        <w:t>years), having a quality of life at or above the median level (vs. be</w:t>
      </w:r>
      <w:r>
        <w:t>low</w:t>
      </w:r>
      <w:r w:rsidRPr="005B23A2">
        <w:t xml:space="preserve"> median);</w:t>
      </w:r>
      <w:r>
        <w:t xml:space="preserve"> </w:t>
      </w:r>
      <w:r w:rsidRPr="005B23A2">
        <w:t xml:space="preserve">and not using illegal drugs (vs. using drugs) were significantly associated with </w:t>
      </w:r>
      <w:r>
        <w:t>a lower</w:t>
      </w:r>
      <w:r w:rsidRPr="00764B92">
        <w:t xml:space="preserve"> </w:t>
      </w:r>
      <w:r>
        <w:t xml:space="preserve">chance </w:t>
      </w:r>
      <w:r w:rsidRPr="00764B92">
        <w:t xml:space="preserve">of </w:t>
      </w:r>
      <w:r>
        <w:t>being a moderate-risk/problem</w:t>
      </w:r>
      <w:r w:rsidRPr="00764B92">
        <w:t xml:space="preserve"> gambl</w:t>
      </w:r>
      <w:r>
        <w:t>er versus being a low-risk/non-problem/non-g</w:t>
      </w:r>
      <w:r w:rsidRPr="00A55E1D">
        <w:t>ambl</w:t>
      </w:r>
      <w:r>
        <w:t>er</w:t>
      </w:r>
      <w:r w:rsidRPr="005B23A2">
        <w:t>.</w:t>
      </w:r>
      <w:r>
        <w:t xml:space="preserve">  </w:t>
      </w:r>
    </w:p>
    <w:p w14:paraId="781140BC" w14:textId="77777777" w:rsidR="00A023BD" w:rsidRPr="005B23A2" w:rsidRDefault="00A023BD" w:rsidP="00A023BD">
      <w:pPr>
        <w:pStyle w:val="RepNormal"/>
      </w:pPr>
    </w:p>
    <w:p w14:paraId="48ED6BD3" w14:textId="77777777" w:rsidR="00A023BD" w:rsidRDefault="00A023BD" w:rsidP="00A023BD">
      <w:pPr>
        <w:pStyle w:val="RepNormal"/>
      </w:pPr>
      <w:r w:rsidRPr="005B23A2">
        <w:t>Additionally, gambling less frequently than weekly (vs. weekly</w:t>
      </w:r>
      <w:r>
        <w:t xml:space="preserve"> or more often</w:t>
      </w:r>
      <w:r w:rsidRPr="005B23A2">
        <w:t xml:space="preserve">) was associated with </w:t>
      </w:r>
      <w:r>
        <w:t>a lower</w:t>
      </w:r>
      <w:r w:rsidRPr="00764B92">
        <w:t xml:space="preserve"> </w:t>
      </w:r>
      <w:r>
        <w:t xml:space="preserve">chance </w:t>
      </w:r>
      <w:r w:rsidRPr="00764B92">
        <w:t xml:space="preserve">of </w:t>
      </w:r>
      <w:r>
        <w:t>being a moderate-risk/problem</w:t>
      </w:r>
      <w:r w:rsidRPr="00764B92">
        <w:t xml:space="preserve"> gambl</w:t>
      </w:r>
      <w:r>
        <w:t>er versus being a low-risk/non-problem/non-g</w:t>
      </w:r>
      <w:r w:rsidRPr="00A55E1D">
        <w:t>ambl</w:t>
      </w:r>
      <w:r>
        <w:t>er</w:t>
      </w:r>
      <w:r w:rsidRPr="005B23A2">
        <w:t>.</w:t>
      </w:r>
    </w:p>
    <w:p w14:paraId="574E5D7C" w14:textId="77777777" w:rsidR="00A023BD" w:rsidRPr="00152900" w:rsidRDefault="00A023BD" w:rsidP="00A023BD">
      <w:pPr>
        <w:pStyle w:val="RepNormal"/>
      </w:pPr>
    </w:p>
    <w:p w14:paraId="74654419" w14:textId="77777777" w:rsidR="00A023BD" w:rsidRDefault="00A023BD" w:rsidP="00A023BD">
      <w:pPr>
        <w:pStyle w:val="RepNormal"/>
      </w:pPr>
    </w:p>
    <w:p w14:paraId="6BF25C0E" w14:textId="77777777" w:rsidR="00A023BD" w:rsidRDefault="00A023BD" w:rsidP="00A023BD">
      <w:pPr>
        <w:pStyle w:val="RepHead3"/>
      </w:pPr>
      <w:bookmarkStart w:id="156" w:name="_Ref495670827"/>
      <w:bookmarkStart w:id="157" w:name="_Toc504488383"/>
      <w:r>
        <w:t>Multiple logistic regression</w:t>
      </w:r>
      <w:bookmarkEnd w:id="156"/>
      <w:bookmarkEnd w:id="157"/>
    </w:p>
    <w:p w14:paraId="4BC2715B" w14:textId="77777777" w:rsidR="00A023BD" w:rsidRDefault="00A023BD" w:rsidP="00A023BD">
      <w:pPr>
        <w:pStyle w:val="RepNormal"/>
      </w:pPr>
    </w:p>
    <w:p w14:paraId="7D839C07" w14:textId="77777777" w:rsidR="00A023BD" w:rsidRPr="005C7F89" w:rsidRDefault="00A023BD" w:rsidP="00A023BD">
      <w:pPr>
        <w:pStyle w:val="RepNormal"/>
      </w:pPr>
      <w:r>
        <w:t xml:space="preserve">Data are presented in </w:t>
      </w:r>
      <w:r>
        <w:fldChar w:fldCharType="begin"/>
      </w:r>
      <w:r>
        <w:instrText xml:space="preserve"> REF _Ref483314243 \h </w:instrText>
      </w:r>
      <w:r>
        <w:fldChar w:fldCharType="separate"/>
      </w:r>
      <w:r w:rsidR="00D5752E">
        <w:t xml:space="preserve">Table </w:t>
      </w:r>
      <w:r w:rsidR="00D5752E">
        <w:rPr>
          <w:noProof/>
        </w:rPr>
        <w:t>18</w:t>
      </w:r>
      <w:r>
        <w:fldChar w:fldCharType="end"/>
      </w:r>
      <w:r w:rsidRPr="00BF3771">
        <w:t>.</w:t>
      </w:r>
    </w:p>
    <w:p w14:paraId="3D05AEEE" w14:textId="77777777" w:rsidR="00A023BD" w:rsidRDefault="00A023BD" w:rsidP="00A023BD">
      <w:pPr>
        <w:pStyle w:val="RepNormal"/>
      </w:pPr>
    </w:p>
    <w:p w14:paraId="1E14BA01" w14:textId="77777777" w:rsidR="00A023BD" w:rsidRDefault="00A023BD" w:rsidP="00A023BD">
      <w:pPr>
        <w:pStyle w:val="RepNormal"/>
      </w:pPr>
      <w:r w:rsidRPr="00C461FD">
        <w:t>Multiple logistic regression analyses showed that</w:t>
      </w:r>
      <w:r>
        <w:t xml:space="preserve"> ethnicity, level of individual deprivation, quality of life, psychological distress, and various gambling participation </w:t>
      </w:r>
      <w:r w:rsidRPr="00680444">
        <w:t xml:space="preserve">behaviours remained significantly associated with </w:t>
      </w:r>
      <w:r>
        <w:t xml:space="preserve">the chance </w:t>
      </w:r>
      <w:r w:rsidRPr="00764B92">
        <w:t xml:space="preserve">of </w:t>
      </w:r>
      <w:r>
        <w:t>being a past year moderate-risk/problem</w:t>
      </w:r>
      <w:r w:rsidRPr="00764B92">
        <w:t xml:space="preserve"> gambl</w:t>
      </w:r>
      <w:r>
        <w:t>er versus being a low-risk/non-problem/non-g</w:t>
      </w:r>
      <w:r w:rsidRPr="00A55E1D">
        <w:t>ambl</w:t>
      </w:r>
      <w:r>
        <w:t>er</w:t>
      </w:r>
      <w:r w:rsidRPr="00680444">
        <w:t>.</w:t>
      </w:r>
    </w:p>
    <w:p w14:paraId="1C306E2A" w14:textId="77777777" w:rsidR="00A023BD" w:rsidRDefault="00A023BD" w:rsidP="00A023BD">
      <w:pPr>
        <w:pStyle w:val="RepNormal"/>
      </w:pPr>
    </w:p>
    <w:p w14:paraId="08FF04C6" w14:textId="77777777" w:rsidR="00A023BD" w:rsidRPr="00680444" w:rsidRDefault="00A023BD" w:rsidP="00A023BD">
      <w:pPr>
        <w:pStyle w:val="RepNormal"/>
      </w:pPr>
    </w:p>
    <w:p w14:paraId="3A66C64B" w14:textId="77777777" w:rsidR="00A023BD" w:rsidRPr="00B01A26" w:rsidRDefault="00A023BD" w:rsidP="00A023BD">
      <w:pPr>
        <w:pStyle w:val="Caption"/>
        <w:keepNext/>
        <w:jc w:val="both"/>
        <w:rPr>
          <w:sz w:val="22"/>
          <w:szCs w:val="22"/>
        </w:rPr>
      </w:pPr>
      <w:bookmarkStart w:id="158" w:name="_Ref483314243"/>
      <w:bookmarkStart w:id="159" w:name="_Toc504488443"/>
      <w:r>
        <w:t xml:space="preserve">Table </w:t>
      </w:r>
      <w:r w:rsidR="00D5752E">
        <w:fldChar w:fldCharType="begin"/>
      </w:r>
      <w:r w:rsidR="00D5752E">
        <w:instrText xml:space="preserve"> SEQ Table \* ARABIC </w:instrText>
      </w:r>
      <w:r w:rsidR="00D5752E">
        <w:fldChar w:fldCharType="separate"/>
      </w:r>
      <w:r w:rsidR="00D5752E">
        <w:rPr>
          <w:noProof/>
        </w:rPr>
        <w:t>18</w:t>
      </w:r>
      <w:r w:rsidR="00D5752E">
        <w:rPr>
          <w:noProof/>
        </w:rPr>
        <w:fldChar w:fldCharType="end"/>
      </w:r>
      <w:bookmarkEnd w:id="158"/>
      <w:r>
        <w:t xml:space="preserve">: Multiple logistic regression for </w:t>
      </w:r>
      <w:r w:rsidR="00681AF3">
        <w:t xml:space="preserve">the chance of </w:t>
      </w:r>
      <w:r>
        <w:t>being a past year moderate-risk/problem gambler vs. being a low-risk/non-problem/non gambler across Waves 1 to 4</w:t>
      </w:r>
      <w:bookmarkEnd w:id="159"/>
      <w:r>
        <w:t xml:space="preserve"> </w:t>
      </w: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1134"/>
        <w:gridCol w:w="1134"/>
        <w:gridCol w:w="850"/>
      </w:tblGrid>
      <w:tr w:rsidR="00A023BD" w:rsidRPr="003F15C0" w14:paraId="0C992F88" w14:textId="77777777" w:rsidTr="00A023BD">
        <w:trPr>
          <w:tblHeader/>
        </w:trPr>
        <w:tc>
          <w:tcPr>
            <w:tcW w:w="5387" w:type="dxa"/>
            <w:tcBorders>
              <w:top w:val="single" w:sz="4" w:space="0" w:color="auto"/>
              <w:bottom w:val="single" w:sz="4" w:space="0" w:color="auto"/>
            </w:tcBorders>
            <w:vAlign w:val="bottom"/>
          </w:tcPr>
          <w:p w14:paraId="13D20517" w14:textId="77777777" w:rsidR="00A023BD" w:rsidRPr="003F15C0" w:rsidRDefault="00A023BD" w:rsidP="00A023BD">
            <w:pPr>
              <w:keepNext/>
              <w:spacing w:before="20"/>
              <w:jc w:val="both"/>
              <w:rPr>
                <w:b/>
                <w:sz w:val="16"/>
                <w:szCs w:val="16"/>
              </w:rPr>
            </w:pPr>
            <w:r>
              <w:rPr>
                <w:b/>
                <w:sz w:val="16"/>
                <w:szCs w:val="16"/>
              </w:rPr>
              <w:t>Wave 1 v</w:t>
            </w:r>
            <w:r w:rsidRPr="003F15C0">
              <w:rPr>
                <w:b/>
                <w:sz w:val="16"/>
                <w:szCs w:val="16"/>
              </w:rPr>
              <w:t>ariable</w:t>
            </w:r>
          </w:p>
        </w:tc>
        <w:tc>
          <w:tcPr>
            <w:tcW w:w="1134" w:type="dxa"/>
            <w:tcBorders>
              <w:top w:val="single" w:sz="4" w:space="0" w:color="auto"/>
              <w:bottom w:val="single" w:sz="4" w:space="0" w:color="auto"/>
            </w:tcBorders>
            <w:vAlign w:val="bottom"/>
          </w:tcPr>
          <w:p w14:paraId="7B19EEA9" w14:textId="267B2BCF" w:rsidR="00A023BD" w:rsidRPr="003F15C0" w:rsidRDefault="004B0286" w:rsidP="00A023BD">
            <w:pPr>
              <w:keepNext/>
              <w:spacing w:before="20"/>
              <w:jc w:val="right"/>
              <w:rPr>
                <w:b/>
                <w:color w:val="000000"/>
                <w:sz w:val="16"/>
                <w:szCs w:val="16"/>
              </w:rPr>
            </w:pPr>
            <w:r>
              <w:rPr>
                <w:b/>
                <w:color w:val="000000"/>
                <w:sz w:val="16"/>
                <w:szCs w:val="16"/>
              </w:rPr>
              <w:t>Odds r</w:t>
            </w:r>
            <w:r w:rsidR="00A023BD" w:rsidRPr="003F15C0">
              <w:rPr>
                <w:b/>
                <w:color w:val="000000"/>
                <w:sz w:val="16"/>
                <w:szCs w:val="16"/>
              </w:rPr>
              <w:t>atio</w:t>
            </w:r>
          </w:p>
        </w:tc>
        <w:tc>
          <w:tcPr>
            <w:tcW w:w="1134" w:type="dxa"/>
            <w:tcBorders>
              <w:top w:val="single" w:sz="4" w:space="0" w:color="auto"/>
              <w:bottom w:val="single" w:sz="4" w:space="0" w:color="auto"/>
            </w:tcBorders>
            <w:vAlign w:val="bottom"/>
          </w:tcPr>
          <w:p w14:paraId="2CE5C926" w14:textId="77777777" w:rsidR="00A023BD" w:rsidRPr="003F15C0" w:rsidRDefault="00A023BD" w:rsidP="00A023BD">
            <w:pPr>
              <w:keepNext/>
              <w:spacing w:before="20"/>
              <w:jc w:val="right"/>
              <w:rPr>
                <w:b/>
                <w:color w:val="000000"/>
                <w:sz w:val="16"/>
                <w:szCs w:val="16"/>
              </w:rPr>
            </w:pPr>
            <w:r w:rsidRPr="003F15C0">
              <w:rPr>
                <w:b/>
                <w:color w:val="000000"/>
                <w:sz w:val="16"/>
                <w:szCs w:val="16"/>
              </w:rPr>
              <w:t>(95% CI)</w:t>
            </w:r>
          </w:p>
        </w:tc>
        <w:tc>
          <w:tcPr>
            <w:tcW w:w="850" w:type="dxa"/>
            <w:tcBorders>
              <w:top w:val="single" w:sz="4" w:space="0" w:color="auto"/>
              <w:bottom w:val="single" w:sz="4" w:space="0" w:color="auto"/>
            </w:tcBorders>
            <w:vAlign w:val="bottom"/>
          </w:tcPr>
          <w:p w14:paraId="0662851C" w14:textId="77777777" w:rsidR="00A023BD" w:rsidRPr="003F15C0" w:rsidRDefault="00A023BD" w:rsidP="00A023BD">
            <w:pPr>
              <w:keepNext/>
              <w:spacing w:before="20"/>
              <w:jc w:val="right"/>
              <w:rPr>
                <w:b/>
                <w:color w:val="000000"/>
                <w:sz w:val="16"/>
                <w:szCs w:val="16"/>
              </w:rPr>
            </w:pPr>
            <w:r w:rsidRPr="003F15C0">
              <w:rPr>
                <w:b/>
                <w:color w:val="000000"/>
                <w:sz w:val="16"/>
                <w:szCs w:val="16"/>
              </w:rPr>
              <w:t>p-value</w:t>
            </w:r>
          </w:p>
        </w:tc>
      </w:tr>
      <w:tr w:rsidR="00A023BD" w:rsidRPr="003F15C0" w14:paraId="54C65439" w14:textId="77777777" w:rsidTr="00A023BD">
        <w:tc>
          <w:tcPr>
            <w:tcW w:w="5387" w:type="dxa"/>
          </w:tcPr>
          <w:p w14:paraId="6BC13C43" w14:textId="77777777" w:rsidR="00A023BD" w:rsidRPr="009A1B9E" w:rsidRDefault="00A023BD" w:rsidP="00A023BD">
            <w:pPr>
              <w:keepNext/>
              <w:spacing w:before="20"/>
              <w:jc w:val="both"/>
              <w:rPr>
                <w:b/>
                <w:sz w:val="16"/>
                <w:szCs w:val="16"/>
              </w:rPr>
            </w:pPr>
            <w:r w:rsidRPr="009A1B9E">
              <w:rPr>
                <w:b/>
                <w:sz w:val="16"/>
                <w:szCs w:val="16"/>
              </w:rPr>
              <w:t>Ethnic group (prioritised)</w:t>
            </w:r>
          </w:p>
        </w:tc>
        <w:tc>
          <w:tcPr>
            <w:tcW w:w="1134" w:type="dxa"/>
            <w:shd w:val="clear" w:color="auto" w:fill="auto"/>
            <w:vAlign w:val="center"/>
          </w:tcPr>
          <w:p w14:paraId="6F31B798" w14:textId="77777777" w:rsidR="00A023BD" w:rsidRPr="00230801" w:rsidRDefault="00A023BD" w:rsidP="00A023BD">
            <w:pPr>
              <w:keepNext/>
              <w:jc w:val="right"/>
              <w:rPr>
                <w:color w:val="000000"/>
                <w:sz w:val="16"/>
                <w:szCs w:val="16"/>
                <w:lang w:eastAsia="en-NZ"/>
              </w:rPr>
            </w:pPr>
          </w:p>
        </w:tc>
        <w:tc>
          <w:tcPr>
            <w:tcW w:w="1134" w:type="dxa"/>
            <w:shd w:val="clear" w:color="auto" w:fill="auto"/>
            <w:vAlign w:val="center"/>
          </w:tcPr>
          <w:p w14:paraId="615D39BA" w14:textId="77777777" w:rsidR="00A023BD" w:rsidRPr="00230801" w:rsidRDefault="00A023BD" w:rsidP="00A023BD">
            <w:pPr>
              <w:keepNext/>
              <w:jc w:val="right"/>
              <w:rPr>
                <w:color w:val="000000"/>
                <w:sz w:val="16"/>
                <w:szCs w:val="16"/>
                <w:lang w:eastAsia="en-NZ"/>
              </w:rPr>
            </w:pPr>
          </w:p>
        </w:tc>
        <w:tc>
          <w:tcPr>
            <w:tcW w:w="850" w:type="dxa"/>
            <w:shd w:val="clear" w:color="auto" w:fill="auto"/>
            <w:vAlign w:val="center"/>
          </w:tcPr>
          <w:p w14:paraId="507C89FB" w14:textId="77777777" w:rsidR="00A023BD" w:rsidRPr="00230801" w:rsidRDefault="00A023BD" w:rsidP="00A023BD">
            <w:pPr>
              <w:keepNext/>
              <w:jc w:val="right"/>
              <w:rPr>
                <w:color w:val="000000"/>
                <w:sz w:val="16"/>
                <w:szCs w:val="16"/>
                <w:lang w:eastAsia="en-NZ"/>
              </w:rPr>
            </w:pPr>
          </w:p>
        </w:tc>
      </w:tr>
      <w:tr w:rsidR="00A023BD" w:rsidRPr="003F15C0" w14:paraId="18105958" w14:textId="77777777" w:rsidTr="00A023BD">
        <w:tc>
          <w:tcPr>
            <w:tcW w:w="5387" w:type="dxa"/>
            <w:vAlign w:val="bottom"/>
          </w:tcPr>
          <w:p w14:paraId="5799FA14" w14:textId="77777777" w:rsidR="00A023BD" w:rsidRPr="009A1B9E" w:rsidRDefault="00A023BD" w:rsidP="00A023BD">
            <w:pPr>
              <w:keepNext/>
              <w:spacing w:before="20"/>
              <w:ind w:left="176"/>
              <w:jc w:val="both"/>
              <w:rPr>
                <w:sz w:val="16"/>
                <w:szCs w:val="16"/>
              </w:rPr>
            </w:pPr>
            <w:r>
              <w:rPr>
                <w:sz w:val="16"/>
                <w:szCs w:val="16"/>
              </w:rPr>
              <w:t>Māori</w:t>
            </w:r>
          </w:p>
        </w:tc>
        <w:tc>
          <w:tcPr>
            <w:tcW w:w="1134" w:type="dxa"/>
            <w:shd w:val="clear" w:color="auto" w:fill="auto"/>
            <w:vAlign w:val="bottom"/>
          </w:tcPr>
          <w:p w14:paraId="491BB645" w14:textId="77777777" w:rsidR="00A023BD" w:rsidRPr="001A66A4" w:rsidRDefault="00A023BD" w:rsidP="00A023BD">
            <w:pPr>
              <w:keepNext/>
              <w:keepLines/>
              <w:jc w:val="right"/>
              <w:rPr>
                <w:color w:val="000000"/>
                <w:sz w:val="16"/>
                <w:szCs w:val="16"/>
                <w:lang w:eastAsia="en-NZ"/>
              </w:rPr>
            </w:pPr>
            <w:r w:rsidRPr="001A66A4">
              <w:rPr>
                <w:color w:val="000000"/>
                <w:sz w:val="16"/>
                <w:szCs w:val="16"/>
                <w:lang w:eastAsia="en-NZ"/>
              </w:rPr>
              <w:t>2.41</w:t>
            </w:r>
          </w:p>
        </w:tc>
        <w:tc>
          <w:tcPr>
            <w:tcW w:w="1134" w:type="dxa"/>
            <w:shd w:val="clear" w:color="auto" w:fill="auto"/>
            <w:vAlign w:val="bottom"/>
          </w:tcPr>
          <w:p w14:paraId="472C4936" w14:textId="77777777" w:rsidR="00A023BD" w:rsidRPr="001A66A4" w:rsidRDefault="00A023BD" w:rsidP="00A023BD">
            <w:pPr>
              <w:keepNext/>
              <w:keepLines/>
              <w:jc w:val="right"/>
              <w:rPr>
                <w:color w:val="000000"/>
                <w:sz w:val="16"/>
                <w:szCs w:val="16"/>
                <w:lang w:eastAsia="en-NZ"/>
              </w:rPr>
            </w:pPr>
            <w:r w:rsidRPr="001A66A4">
              <w:rPr>
                <w:color w:val="000000"/>
                <w:sz w:val="16"/>
                <w:szCs w:val="16"/>
                <w:lang w:eastAsia="en-NZ"/>
              </w:rPr>
              <w:t>(1.05, 5.55)</w:t>
            </w:r>
          </w:p>
        </w:tc>
        <w:tc>
          <w:tcPr>
            <w:tcW w:w="850" w:type="dxa"/>
            <w:shd w:val="clear" w:color="auto" w:fill="auto"/>
            <w:vAlign w:val="bottom"/>
          </w:tcPr>
          <w:p w14:paraId="090175C9" w14:textId="77777777" w:rsidR="00A023BD" w:rsidRPr="001A66A4" w:rsidRDefault="00A023BD" w:rsidP="00A023BD">
            <w:pPr>
              <w:keepNext/>
              <w:keepLines/>
              <w:jc w:val="right"/>
              <w:rPr>
                <w:color w:val="000000"/>
                <w:sz w:val="16"/>
                <w:szCs w:val="16"/>
                <w:lang w:eastAsia="en-NZ"/>
              </w:rPr>
            </w:pPr>
          </w:p>
        </w:tc>
      </w:tr>
      <w:tr w:rsidR="00A023BD" w:rsidRPr="003F15C0" w14:paraId="3044E848" w14:textId="77777777" w:rsidTr="00A023BD">
        <w:tc>
          <w:tcPr>
            <w:tcW w:w="5387" w:type="dxa"/>
            <w:vAlign w:val="bottom"/>
          </w:tcPr>
          <w:p w14:paraId="464036B9" w14:textId="77777777" w:rsidR="00A023BD" w:rsidRPr="009A1B9E" w:rsidRDefault="00A023BD" w:rsidP="00A023BD">
            <w:pPr>
              <w:keepNext/>
              <w:spacing w:before="20"/>
              <w:ind w:left="176"/>
              <w:jc w:val="both"/>
              <w:rPr>
                <w:sz w:val="16"/>
                <w:szCs w:val="16"/>
              </w:rPr>
            </w:pPr>
            <w:r w:rsidRPr="009A1B9E">
              <w:rPr>
                <w:sz w:val="16"/>
                <w:szCs w:val="16"/>
              </w:rPr>
              <w:t>Pacific</w:t>
            </w:r>
          </w:p>
        </w:tc>
        <w:tc>
          <w:tcPr>
            <w:tcW w:w="1134" w:type="dxa"/>
            <w:shd w:val="clear" w:color="auto" w:fill="auto"/>
            <w:vAlign w:val="bottom"/>
          </w:tcPr>
          <w:p w14:paraId="28802210" w14:textId="77777777" w:rsidR="00A023BD" w:rsidRPr="001A66A4" w:rsidRDefault="00A023BD" w:rsidP="00A023BD">
            <w:pPr>
              <w:keepNext/>
              <w:keepLines/>
              <w:jc w:val="right"/>
              <w:rPr>
                <w:color w:val="000000"/>
                <w:sz w:val="16"/>
                <w:szCs w:val="16"/>
                <w:lang w:eastAsia="en-NZ"/>
              </w:rPr>
            </w:pPr>
            <w:r w:rsidRPr="001A66A4">
              <w:rPr>
                <w:color w:val="000000"/>
                <w:sz w:val="16"/>
                <w:szCs w:val="16"/>
                <w:lang w:eastAsia="en-NZ"/>
              </w:rPr>
              <w:t>1.78</w:t>
            </w:r>
          </w:p>
        </w:tc>
        <w:tc>
          <w:tcPr>
            <w:tcW w:w="1134" w:type="dxa"/>
            <w:shd w:val="clear" w:color="auto" w:fill="auto"/>
            <w:vAlign w:val="bottom"/>
          </w:tcPr>
          <w:p w14:paraId="56A784E5" w14:textId="77777777" w:rsidR="00A023BD" w:rsidRPr="001A66A4" w:rsidRDefault="00A023BD" w:rsidP="00A023BD">
            <w:pPr>
              <w:keepNext/>
              <w:keepLines/>
              <w:jc w:val="right"/>
              <w:rPr>
                <w:color w:val="000000"/>
                <w:sz w:val="16"/>
                <w:szCs w:val="16"/>
                <w:lang w:eastAsia="en-NZ"/>
              </w:rPr>
            </w:pPr>
            <w:r w:rsidRPr="001A66A4">
              <w:rPr>
                <w:color w:val="000000"/>
                <w:sz w:val="16"/>
                <w:szCs w:val="16"/>
                <w:lang w:eastAsia="en-NZ"/>
              </w:rPr>
              <w:t>(0.68, 4.65)</w:t>
            </w:r>
          </w:p>
        </w:tc>
        <w:tc>
          <w:tcPr>
            <w:tcW w:w="850" w:type="dxa"/>
            <w:shd w:val="clear" w:color="auto" w:fill="auto"/>
            <w:vAlign w:val="bottom"/>
          </w:tcPr>
          <w:p w14:paraId="73A23129" w14:textId="77777777" w:rsidR="00A023BD" w:rsidRPr="001A66A4" w:rsidRDefault="00A023BD" w:rsidP="00A023BD">
            <w:pPr>
              <w:keepNext/>
              <w:keepLines/>
              <w:jc w:val="right"/>
              <w:rPr>
                <w:color w:val="000000"/>
                <w:sz w:val="16"/>
                <w:szCs w:val="16"/>
                <w:lang w:eastAsia="en-NZ"/>
              </w:rPr>
            </w:pPr>
          </w:p>
        </w:tc>
      </w:tr>
      <w:tr w:rsidR="00A023BD" w:rsidRPr="003F15C0" w14:paraId="08A43569" w14:textId="77777777" w:rsidTr="00A023BD">
        <w:tc>
          <w:tcPr>
            <w:tcW w:w="5387" w:type="dxa"/>
            <w:vAlign w:val="bottom"/>
          </w:tcPr>
          <w:p w14:paraId="5E8FEBB2" w14:textId="77777777" w:rsidR="00A023BD" w:rsidRPr="009A1B9E" w:rsidRDefault="00A023BD" w:rsidP="00A023BD">
            <w:pPr>
              <w:keepNext/>
              <w:spacing w:before="20"/>
              <w:ind w:left="176"/>
              <w:jc w:val="both"/>
              <w:rPr>
                <w:sz w:val="16"/>
                <w:szCs w:val="16"/>
              </w:rPr>
            </w:pPr>
            <w:r w:rsidRPr="009A1B9E">
              <w:rPr>
                <w:sz w:val="16"/>
                <w:szCs w:val="16"/>
              </w:rPr>
              <w:t>Asian</w:t>
            </w:r>
          </w:p>
        </w:tc>
        <w:tc>
          <w:tcPr>
            <w:tcW w:w="1134" w:type="dxa"/>
            <w:shd w:val="clear" w:color="auto" w:fill="auto"/>
            <w:vAlign w:val="bottom"/>
          </w:tcPr>
          <w:p w14:paraId="5251E7D3" w14:textId="77777777" w:rsidR="00A023BD" w:rsidRPr="001A66A4" w:rsidRDefault="00A023BD" w:rsidP="00A023BD">
            <w:pPr>
              <w:keepNext/>
              <w:keepLines/>
              <w:jc w:val="right"/>
              <w:rPr>
                <w:color w:val="000000"/>
                <w:sz w:val="16"/>
                <w:szCs w:val="16"/>
                <w:lang w:eastAsia="en-NZ"/>
              </w:rPr>
            </w:pPr>
            <w:r w:rsidRPr="001A66A4">
              <w:rPr>
                <w:color w:val="000000"/>
                <w:sz w:val="16"/>
                <w:szCs w:val="16"/>
                <w:lang w:eastAsia="en-NZ"/>
              </w:rPr>
              <w:t>0.28</w:t>
            </w:r>
          </w:p>
        </w:tc>
        <w:tc>
          <w:tcPr>
            <w:tcW w:w="1134" w:type="dxa"/>
            <w:shd w:val="clear" w:color="auto" w:fill="auto"/>
            <w:vAlign w:val="bottom"/>
          </w:tcPr>
          <w:p w14:paraId="2B377387" w14:textId="77777777" w:rsidR="00A023BD" w:rsidRPr="001A66A4" w:rsidRDefault="00A023BD" w:rsidP="00A023BD">
            <w:pPr>
              <w:keepNext/>
              <w:keepLines/>
              <w:jc w:val="right"/>
              <w:rPr>
                <w:color w:val="000000"/>
                <w:sz w:val="16"/>
                <w:szCs w:val="16"/>
                <w:lang w:eastAsia="en-NZ"/>
              </w:rPr>
            </w:pPr>
            <w:r w:rsidRPr="001A66A4">
              <w:rPr>
                <w:color w:val="000000"/>
                <w:sz w:val="16"/>
                <w:szCs w:val="16"/>
                <w:lang w:eastAsia="en-NZ"/>
              </w:rPr>
              <w:t>(0.14, 0.55)</w:t>
            </w:r>
          </w:p>
        </w:tc>
        <w:tc>
          <w:tcPr>
            <w:tcW w:w="850" w:type="dxa"/>
            <w:shd w:val="clear" w:color="auto" w:fill="auto"/>
            <w:vAlign w:val="bottom"/>
          </w:tcPr>
          <w:p w14:paraId="0957CEC6" w14:textId="77777777" w:rsidR="00A023BD" w:rsidRPr="001A66A4" w:rsidRDefault="00A023BD" w:rsidP="00A023BD">
            <w:pPr>
              <w:keepNext/>
              <w:keepLines/>
              <w:jc w:val="right"/>
              <w:rPr>
                <w:color w:val="000000"/>
                <w:sz w:val="16"/>
                <w:szCs w:val="16"/>
                <w:lang w:eastAsia="en-NZ"/>
              </w:rPr>
            </w:pPr>
          </w:p>
        </w:tc>
      </w:tr>
      <w:tr w:rsidR="00A023BD" w:rsidRPr="003F15C0" w14:paraId="2949C64A" w14:textId="77777777" w:rsidTr="00326B55">
        <w:tc>
          <w:tcPr>
            <w:tcW w:w="5387" w:type="dxa"/>
            <w:vAlign w:val="bottom"/>
          </w:tcPr>
          <w:p w14:paraId="1EA1A875" w14:textId="77777777" w:rsidR="00A023BD" w:rsidRPr="009A1B9E" w:rsidRDefault="00A023BD" w:rsidP="00A023BD">
            <w:pPr>
              <w:keepNext/>
              <w:spacing w:before="20"/>
              <w:ind w:left="176"/>
              <w:jc w:val="both"/>
              <w:rPr>
                <w:sz w:val="16"/>
                <w:szCs w:val="16"/>
              </w:rPr>
            </w:pPr>
            <w:r w:rsidRPr="009A1B9E">
              <w:rPr>
                <w:sz w:val="16"/>
                <w:szCs w:val="16"/>
              </w:rPr>
              <w:t>European/Other</w:t>
            </w:r>
          </w:p>
        </w:tc>
        <w:tc>
          <w:tcPr>
            <w:tcW w:w="1134" w:type="dxa"/>
            <w:shd w:val="clear" w:color="auto" w:fill="auto"/>
            <w:vAlign w:val="bottom"/>
          </w:tcPr>
          <w:p w14:paraId="3AC84388" w14:textId="77777777" w:rsidR="00A023BD" w:rsidRPr="001A66A4" w:rsidRDefault="00A023BD" w:rsidP="00A023BD">
            <w:pPr>
              <w:keepNext/>
              <w:keepLines/>
              <w:jc w:val="right"/>
              <w:rPr>
                <w:color w:val="000000"/>
                <w:sz w:val="16"/>
                <w:szCs w:val="16"/>
                <w:lang w:eastAsia="en-NZ"/>
              </w:rPr>
            </w:pPr>
            <w:r w:rsidRPr="001A66A4">
              <w:rPr>
                <w:color w:val="000000"/>
                <w:sz w:val="16"/>
                <w:szCs w:val="16"/>
                <w:lang w:eastAsia="en-NZ"/>
              </w:rPr>
              <w:t>1.00</w:t>
            </w:r>
          </w:p>
        </w:tc>
        <w:tc>
          <w:tcPr>
            <w:tcW w:w="1134" w:type="dxa"/>
            <w:shd w:val="clear" w:color="auto" w:fill="auto"/>
            <w:vAlign w:val="bottom"/>
          </w:tcPr>
          <w:p w14:paraId="2FD386A2" w14:textId="77777777" w:rsidR="00A023BD" w:rsidRPr="001A66A4" w:rsidRDefault="00A023BD" w:rsidP="00A023BD">
            <w:pPr>
              <w:keepNext/>
              <w:keepLines/>
              <w:jc w:val="right"/>
              <w:rPr>
                <w:color w:val="000000"/>
                <w:sz w:val="16"/>
                <w:szCs w:val="16"/>
                <w:lang w:eastAsia="en-NZ"/>
              </w:rPr>
            </w:pPr>
          </w:p>
        </w:tc>
        <w:tc>
          <w:tcPr>
            <w:tcW w:w="850" w:type="dxa"/>
            <w:shd w:val="clear" w:color="auto" w:fill="auto"/>
            <w:vAlign w:val="bottom"/>
          </w:tcPr>
          <w:p w14:paraId="60E0C09A" w14:textId="77777777" w:rsidR="00A023BD" w:rsidRPr="001A66A4" w:rsidRDefault="00A023BD" w:rsidP="00A023BD">
            <w:pPr>
              <w:keepNext/>
              <w:keepLines/>
              <w:jc w:val="right"/>
              <w:rPr>
                <w:color w:val="000000"/>
                <w:sz w:val="16"/>
                <w:szCs w:val="16"/>
                <w:lang w:eastAsia="en-NZ"/>
              </w:rPr>
            </w:pPr>
            <w:r w:rsidRPr="001A66A4">
              <w:rPr>
                <w:color w:val="000000"/>
                <w:sz w:val="16"/>
                <w:szCs w:val="16"/>
                <w:lang w:eastAsia="en-NZ"/>
              </w:rPr>
              <w:t>&lt;</w:t>
            </w:r>
            <w:r>
              <w:rPr>
                <w:color w:val="000000"/>
                <w:sz w:val="16"/>
                <w:szCs w:val="16"/>
                <w:lang w:eastAsia="en-NZ"/>
              </w:rPr>
              <w:t>0</w:t>
            </w:r>
            <w:r w:rsidRPr="001A66A4">
              <w:rPr>
                <w:color w:val="000000"/>
                <w:sz w:val="16"/>
                <w:szCs w:val="16"/>
                <w:lang w:eastAsia="en-NZ"/>
              </w:rPr>
              <w:t>.0001</w:t>
            </w:r>
          </w:p>
        </w:tc>
      </w:tr>
      <w:tr w:rsidR="00A023BD" w:rsidRPr="003F15C0" w14:paraId="546EEA7E" w14:textId="77777777" w:rsidTr="00A023BD">
        <w:tc>
          <w:tcPr>
            <w:tcW w:w="5387" w:type="dxa"/>
          </w:tcPr>
          <w:p w14:paraId="0E48BF68" w14:textId="77777777" w:rsidR="00A023BD" w:rsidRPr="007C6C78" w:rsidRDefault="00A023BD" w:rsidP="00A023BD">
            <w:pPr>
              <w:keepNext/>
              <w:spacing w:before="20"/>
              <w:jc w:val="both"/>
              <w:rPr>
                <w:b/>
                <w:sz w:val="16"/>
                <w:szCs w:val="16"/>
              </w:rPr>
            </w:pPr>
            <w:r>
              <w:rPr>
                <w:b/>
                <w:sz w:val="16"/>
                <w:szCs w:val="16"/>
              </w:rPr>
              <w:t>New Zealand Individual deprivation Index</w:t>
            </w:r>
          </w:p>
        </w:tc>
        <w:tc>
          <w:tcPr>
            <w:tcW w:w="1134" w:type="dxa"/>
            <w:shd w:val="clear" w:color="auto" w:fill="auto"/>
            <w:vAlign w:val="center"/>
          </w:tcPr>
          <w:p w14:paraId="17E3A6F1" w14:textId="77777777" w:rsidR="00A023BD" w:rsidRPr="00230801" w:rsidRDefault="00A023BD" w:rsidP="00A023BD">
            <w:pPr>
              <w:keepNext/>
              <w:jc w:val="right"/>
              <w:rPr>
                <w:color w:val="000000"/>
                <w:sz w:val="16"/>
                <w:szCs w:val="16"/>
                <w:lang w:eastAsia="en-NZ"/>
              </w:rPr>
            </w:pPr>
          </w:p>
        </w:tc>
        <w:tc>
          <w:tcPr>
            <w:tcW w:w="1134" w:type="dxa"/>
            <w:shd w:val="clear" w:color="auto" w:fill="auto"/>
            <w:vAlign w:val="center"/>
          </w:tcPr>
          <w:p w14:paraId="13881AD5" w14:textId="77777777" w:rsidR="00A023BD" w:rsidRPr="00230801" w:rsidRDefault="00A023BD" w:rsidP="00A023BD">
            <w:pPr>
              <w:keepNext/>
              <w:jc w:val="right"/>
              <w:rPr>
                <w:color w:val="000000"/>
                <w:sz w:val="16"/>
                <w:szCs w:val="16"/>
                <w:lang w:eastAsia="en-NZ"/>
              </w:rPr>
            </w:pPr>
          </w:p>
        </w:tc>
        <w:tc>
          <w:tcPr>
            <w:tcW w:w="850" w:type="dxa"/>
            <w:shd w:val="clear" w:color="auto" w:fill="auto"/>
            <w:vAlign w:val="center"/>
          </w:tcPr>
          <w:p w14:paraId="677A2874" w14:textId="77777777" w:rsidR="00A023BD" w:rsidRPr="00230801" w:rsidRDefault="00A023BD" w:rsidP="00A023BD">
            <w:pPr>
              <w:keepNext/>
              <w:jc w:val="right"/>
              <w:rPr>
                <w:color w:val="000000"/>
                <w:sz w:val="16"/>
                <w:szCs w:val="16"/>
                <w:lang w:eastAsia="en-NZ"/>
              </w:rPr>
            </w:pPr>
          </w:p>
        </w:tc>
      </w:tr>
      <w:tr w:rsidR="00A023BD" w:rsidRPr="003F15C0" w14:paraId="2CC5CE1B" w14:textId="77777777" w:rsidTr="00A023BD">
        <w:tc>
          <w:tcPr>
            <w:tcW w:w="5387" w:type="dxa"/>
            <w:shd w:val="clear" w:color="auto" w:fill="auto"/>
            <w:vAlign w:val="bottom"/>
          </w:tcPr>
          <w:p w14:paraId="3E26C362" w14:textId="77777777" w:rsidR="00A023BD" w:rsidRPr="007C6C78" w:rsidRDefault="00A023BD" w:rsidP="00A023BD">
            <w:pPr>
              <w:keepNext/>
              <w:spacing w:before="20"/>
              <w:ind w:left="176"/>
              <w:jc w:val="both"/>
              <w:rPr>
                <w:sz w:val="16"/>
                <w:szCs w:val="16"/>
              </w:rPr>
            </w:pPr>
            <w:r w:rsidRPr="007C6C78">
              <w:rPr>
                <w:sz w:val="16"/>
                <w:szCs w:val="16"/>
              </w:rPr>
              <w:t>0</w:t>
            </w:r>
          </w:p>
        </w:tc>
        <w:tc>
          <w:tcPr>
            <w:tcW w:w="1134" w:type="dxa"/>
            <w:shd w:val="clear" w:color="auto" w:fill="auto"/>
            <w:vAlign w:val="bottom"/>
          </w:tcPr>
          <w:p w14:paraId="702257BF" w14:textId="77777777" w:rsidR="00A023BD" w:rsidRPr="001A66A4" w:rsidRDefault="00A023BD" w:rsidP="00A023BD">
            <w:pPr>
              <w:keepNext/>
              <w:keepLines/>
              <w:jc w:val="right"/>
              <w:rPr>
                <w:color w:val="000000"/>
                <w:sz w:val="16"/>
                <w:szCs w:val="16"/>
                <w:lang w:eastAsia="en-NZ"/>
              </w:rPr>
            </w:pPr>
            <w:r w:rsidRPr="001A66A4">
              <w:rPr>
                <w:color w:val="000000"/>
                <w:sz w:val="16"/>
                <w:szCs w:val="16"/>
                <w:lang w:eastAsia="en-NZ"/>
              </w:rPr>
              <w:t>1.00</w:t>
            </w:r>
          </w:p>
        </w:tc>
        <w:tc>
          <w:tcPr>
            <w:tcW w:w="1134" w:type="dxa"/>
            <w:shd w:val="clear" w:color="auto" w:fill="auto"/>
            <w:vAlign w:val="bottom"/>
          </w:tcPr>
          <w:p w14:paraId="708D2FB9" w14:textId="77777777" w:rsidR="00A023BD" w:rsidRPr="001A66A4" w:rsidRDefault="00A023BD" w:rsidP="00A023BD">
            <w:pPr>
              <w:keepNext/>
              <w:keepLines/>
              <w:jc w:val="right"/>
              <w:rPr>
                <w:color w:val="000000"/>
                <w:sz w:val="16"/>
                <w:szCs w:val="16"/>
                <w:lang w:eastAsia="en-NZ"/>
              </w:rPr>
            </w:pPr>
          </w:p>
        </w:tc>
        <w:tc>
          <w:tcPr>
            <w:tcW w:w="850" w:type="dxa"/>
            <w:shd w:val="clear" w:color="auto" w:fill="auto"/>
            <w:vAlign w:val="bottom"/>
          </w:tcPr>
          <w:p w14:paraId="736CB76D" w14:textId="77777777" w:rsidR="00A023BD" w:rsidRPr="001A66A4" w:rsidRDefault="00A023BD" w:rsidP="00A023BD">
            <w:pPr>
              <w:keepNext/>
              <w:keepLines/>
              <w:jc w:val="right"/>
              <w:rPr>
                <w:color w:val="000000"/>
                <w:sz w:val="16"/>
                <w:szCs w:val="16"/>
                <w:lang w:eastAsia="en-NZ"/>
              </w:rPr>
            </w:pPr>
          </w:p>
        </w:tc>
      </w:tr>
      <w:tr w:rsidR="00A023BD" w:rsidRPr="003F15C0" w14:paraId="666A3D86" w14:textId="77777777" w:rsidTr="00A023BD">
        <w:tc>
          <w:tcPr>
            <w:tcW w:w="5387" w:type="dxa"/>
            <w:shd w:val="clear" w:color="auto" w:fill="auto"/>
            <w:vAlign w:val="bottom"/>
          </w:tcPr>
          <w:p w14:paraId="3B809EE0" w14:textId="77777777" w:rsidR="00A023BD" w:rsidRPr="007C6C78" w:rsidRDefault="00A023BD" w:rsidP="00A023BD">
            <w:pPr>
              <w:keepNext/>
              <w:spacing w:before="20"/>
              <w:ind w:left="176"/>
              <w:jc w:val="both"/>
              <w:rPr>
                <w:sz w:val="16"/>
                <w:szCs w:val="16"/>
              </w:rPr>
            </w:pPr>
            <w:r w:rsidRPr="007C6C78">
              <w:rPr>
                <w:sz w:val="16"/>
                <w:szCs w:val="16"/>
              </w:rPr>
              <w:t>1</w:t>
            </w:r>
          </w:p>
        </w:tc>
        <w:tc>
          <w:tcPr>
            <w:tcW w:w="1134" w:type="dxa"/>
            <w:shd w:val="clear" w:color="auto" w:fill="auto"/>
            <w:vAlign w:val="bottom"/>
          </w:tcPr>
          <w:p w14:paraId="505BD2A3" w14:textId="77777777" w:rsidR="00A023BD" w:rsidRPr="001A66A4" w:rsidRDefault="00A023BD" w:rsidP="00A023BD">
            <w:pPr>
              <w:keepNext/>
              <w:keepLines/>
              <w:jc w:val="right"/>
              <w:rPr>
                <w:color w:val="000000"/>
                <w:sz w:val="16"/>
                <w:szCs w:val="16"/>
                <w:lang w:eastAsia="en-NZ"/>
              </w:rPr>
            </w:pPr>
            <w:r w:rsidRPr="001A66A4">
              <w:rPr>
                <w:color w:val="000000"/>
                <w:sz w:val="16"/>
                <w:szCs w:val="16"/>
                <w:lang w:eastAsia="en-NZ"/>
              </w:rPr>
              <w:t>2.60</w:t>
            </w:r>
          </w:p>
        </w:tc>
        <w:tc>
          <w:tcPr>
            <w:tcW w:w="1134" w:type="dxa"/>
            <w:shd w:val="clear" w:color="auto" w:fill="auto"/>
            <w:vAlign w:val="bottom"/>
          </w:tcPr>
          <w:p w14:paraId="6DAC9A31" w14:textId="77777777" w:rsidR="00A023BD" w:rsidRPr="001A66A4" w:rsidRDefault="00A023BD" w:rsidP="00A023BD">
            <w:pPr>
              <w:keepNext/>
              <w:keepLines/>
              <w:jc w:val="right"/>
              <w:rPr>
                <w:color w:val="000000"/>
                <w:sz w:val="16"/>
                <w:szCs w:val="16"/>
                <w:lang w:eastAsia="en-NZ"/>
              </w:rPr>
            </w:pPr>
            <w:r w:rsidRPr="001A66A4">
              <w:rPr>
                <w:color w:val="000000"/>
                <w:sz w:val="16"/>
                <w:szCs w:val="16"/>
                <w:lang w:eastAsia="en-NZ"/>
              </w:rPr>
              <w:t>(1.46, 4.62)</w:t>
            </w:r>
          </w:p>
        </w:tc>
        <w:tc>
          <w:tcPr>
            <w:tcW w:w="850" w:type="dxa"/>
            <w:shd w:val="clear" w:color="auto" w:fill="auto"/>
            <w:vAlign w:val="bottom"/>
          </w:tcPr>
          <w:p w14:paraId="11A447FC" w14:textId="77777777" w:rsidR="00A023BD" w:rsidRPr="001A66A4" w:rsidRDefault="00A023BD" w:rsidP="00A023BD">
            <w:pPr>
              <w:keepNext/>
              <w:keepLines/>
              <w:jc w:val="right"/>
              <w:rPr>
                <w:color w:val="000000"/>
                <w:sz w:val="16"/>
                <w:szCs w:val="16"/>
                <w:lang w:eastAsia="en-NZ"/>
              </w:rPr>
            </w:pPr>
          </w:p>
        </w:tc>
      </w:tr>
      <w:tr w:rsidR="00A023BD" w:rsidRPr="003F15C0" w14:paraId="2453CE2D" w14:textId="77777777" w:rsidTr="00A023BD">
        <w:tc>
          <w:tcPr>
            <w:tcW w:w="5387" w:type="dxa"/>
            <w:shd w:val="clear" w:color="auto" w:fill="auto"/>
            <w:vAlign w:val="bottom"/>
          </w:tcPr>
          <w:p w14:paraId="14C7399D" w14:textId="77777777" w:rsidR="00A023BD" w:rsidRPr="007C6C78" w:rsidRDefault="00A023BD" w:rsidP="00A023BD">
            <w:pPr>
              <w:keepNext/>
              <w:spacing w:before="20"/>
              <w:ind w:left="176"/>
              <w:jc w:val="both"/>
              <w:rPr>
                <w:sz w:val="16"/>
                <w:szCs w:val="16"/>
              </w:rPr>
            </w:pPr>
            <w:r w:rsidRPr="007C6C78">
              <w:rPr>
                <w:sz w:val="16"/>
                <w:szCs w:val="16"/>
              </w:rPr>
              <w:t>2</w:t>
            </w:r>
          </w:p>
        </w:tc>
        <w:tc>
          <w:tcPr>
            <w:tcW w:w="1134" w:type="dxa"/>
            <w:shd w:val="clear" w:color="auto" w:fill="auto"/>
            <w:vAlign w:val="bottom"/>
          </w:tcPr>
          <w:p w14:paraId="39FA0025" w14:textId="77777777" w:rsidR="00A023BD" w:rsidRPr="001A66A4" w:rsidRDefault="00A023BD" w:rsidP="00A023BD">
            <w:pPr>
              <w:keepNext/>
              <w:keepLines/>
              <w:jc w:val="right"/>
              <w:rPr>
                <w:color w:val="000000"/>
                <w:sz w:val="16"/>
                <w:szCs w:val="16"/>
                <w:lang w:eastAsia="en-NZ"/>
              </w:rPr>
            </w:pPr>
            <w:r w:rsidRPr="001A66A4">
              <w:rPr>
                <w:color w:val="000000"/>
                <w:sz w:val="16"/>
                <w:szCs w:val="16"/>
                <w:lang w:eastAsia="en-NZ"/>
              </w:rPr>
              <w:t>1.66</w:t>
            </w:r>
          </w:p>
        </w:tc>
        <w:tc>
          <w:tcPr>
            <w:tcW w:w="1134" w:type="dxa"/>
            <w:shd w:val="clear" w:color="auto" w:fill="auto"/>
            <w:vAlign w:val="bottom"/>
          </w:tcPr>
          <w:p w14:paraId="46E4698D" w14:textId="77777777" w:rsidR="00A023BD" w:rsidRPr="001A66A4" w:rsidRDefault="00A023BD" w:rsidP="00A023BD">
            <w:pPr>
              <w:keepNext/>
              <w:keepLines/>
              <w:jc w:val="right"/>
              <w:rPr>
                <w:color w:val="000000"/>
                <w:sz w:val="16"/>
                <w:szCs w:val="16"/>
                <w:lang w:eastAsia="en-NZ"/>
              </w:rPr>
            </w:pPr>
            <w:r w:rsidRPr="001A66A4">
              <w:rPr>
                <w:color w:val="000000"/>
                <w:sz w:val="16"/>
                <w:szCs w:val="16"/>
                <w:lang w:eastAsia="en-NZ"/>
              </w:rPr>
              <w:t>(0.78, 3.52)</w:t>
            </w:r>
          </w:p>
        </w:tc>
        <w:tc>
          <w:tcPr>
            <w:tcW w:w="850" w:type="dxa"/>
            <w:shd w:val="clear" w:color="auto" w:fill="auto"/>
            <w:vAlign w:val="bottom"/>
          </w:tcPr>
          <w:p w14:paraId="43B22575" w14:textId="77777777" w:rsidR="00A023BD" w:rsidRPr="001A66A4" w:rsidRDefault="00A023BD" w:rsidP="00A023BD">
            <w:pPr>
              <w:keepNext/>
              <w:keepLines/>
              <w:jc w:val="right"/>
              <w:rPr>
                <w:color w:val="000000"/>
                <w:sz w:val="16"/>
                <w:szCs w:val="16"/>
                <w:lang w:eastAsia="en-NZ"/>
              </w:rPr>
            </w:pPr>
          </w:p>
        </w:tc>
      </w:tr>
      <w:tr w:rsidR="00A023BD" w:rsidRPr="003F15C0" w14:paraId="086E14E1" w14:textId="77777777" w:rsidTr="00A023BD">
        <w:tc>
          <w:tcPr>
            <w:tcW w:w="5387" w:type="dxa"/>
            <w:shd w:val="clear" w:color="auto" w:fill="auto"/>
            <w:vAlign w:val="bottom"/>
          </w:tcPr>
          <w:p w14:paraId="3E195191" w14:textId="77777777" w:rsidR="00A023BD" w:rsidRPr="007C6C78" w:rsidRDefault="00A023BD" w:rsidP="00A023BD">
            <w:pPr>
              <w:keepNext/>
              <w:spacing w:before="20"/>
              <w:ind w:left="176"/>
              <w:jc w:val="both"/>
              <w:rPr>
                <w:sz w:val="16"/>
                <w:szCs w:val="16"/>
              </w:rPr>
            </w:pPr>
            <w:r w:rsidRPr="007C6C78">
              <w:rPr>
                <w:sz w:val="16"/>
                <w:szCs w:val="16"/>
              </w:rPr>
              <w:t>3</w:t>
            </w:r>
          </w:p>
        </w:tc>
        <w:tc>
          <w:tcPr>
            <w:tcW w:w="1134" w:type="dxa"/>
            <w:shd w:val="clear" w:color="auto" w:fill="auto"/>
            <w:vAlign w:val="bottom"/>
          </w:tcPr>
          <w:p w14:paraId="6C5AEA82" w14:textId="77777777" w:rsidR="00A023BD" w:rsidRPr="001A66A4" w:rsidRDefault="00A023BD" w:rsidP="00A023BD">
            <w:pPr>
              <w:keepNext/>
              <w:keepLines/>
              <w:jc w:val="right"/>
              <w:rPr>
                <w:color w:val="000000"/>
                <w:sz w:val="16"/>
                <w:szCs w:val="16"/>
                <w:lang w:eastAsia="en-NZ"/>
              </w:rPr>
            </w:pPr>
            <w:r w:rsidRPr="001A66A4">
              <w:rPr>
                <w:color w:val="000000"/>
                <w:sz w:val="16"/>
                <w:szCs w:val="16"/>
                <w:lang w:eastAsia="en-NZ"/>
              </w:rPr>
              <w:t>2.96</w:t>
            </w:r>
          </w:p>
        </w:tc>
        <w:tc>
          <w:tcPr>
            <w:tcW w:w="1134" w:type="dxa"/>
            <w:shd w:val="clear" w:color="auto" w:fill="auto"/>
            <w:vAlign w:val="bottom"/>
          </w:tcPr>
          <w:p w14:paraId="76E37E53" w14:textId="77777777" w:rsidR="00A023BD" w:rsidRPr="001A66A4" w:rsidRDefault="00A023BD" w:rsidP="00A023BD">
            <w:pPr>
              <w:keepNext/>
              <w:keepLines/>
              <w:jc w:val="right"/>
              <w:rPr>
                <w:color w:val="000000"/>
                <w:sz w:val="16"/>
                <w:szCs w:val="16"/>
                <w:lang w:eastAsia="en-NZ"/>
              </w:rPr>
            </w:pPr>
            <w:r w:rsidRPr="001A66A4">
              <w:rPr>
                <w:color w:val="000000"/>
                <w:sz w:val="16"/>
                <w:szCs w:val="16"/>
                <w:lang w:eastAsia="en-NZ"/>
              </w:rPr>
              <w:t>(1.28, 6.82)</w:t>
            </w:r>
          </w:p>
        </w:tc>
        <w:tc>
          <w:tcPr>
            <w:tcW w:w="850" w:type="dxa"/>
            <w:shd w:val="clear" w:color="auto" w:fill="auto"/>
            <w:vAlign w:val="bottom"/>
          </w:tcPr>
          <w:p w14:paraId="10723529" w14:textId="77777777" w:rsidR="00A023BD" w:rsidRPr="001A66A4" w:rsidRDefault="00A023BD" w:rsidP="00A023BD">
            <w:pPr>
              <w:keepNext/>
              <w:keepLines/>
              <w:jc w:val="right"/>
              <w:rPr>
                <w:color w:val="000000"/>
                <w:sz w:val="16"/>
                <w:szCs w:val="16"/>
                <w:lang w:eastAsia="en-NZ"/>
              </w:rPr>
            </w:pPr>
          </w:p>
        </w:tc>
      </w:tr>
      <w:tr w:rsidR="00A023BD" w:rsidRPr="003F15C0" w14:paraId="6EF7FFDD" w14:textId="77777777" w:rsidTr="00326B55">
        <w:tc>
          <w:tcPr>
            <w:tcW w:w="5387" w:type="dxa"/>
            <w:shd w:val="clear" w:color="auto" w:fill="auto"/>
            <w:vAlign w:val="bottom"/>
          </w:tcPr>
          <w:p w14:paraId="0223AAF2" w14:textId="77777777" w:rsidR="00A023BD" w:rsidRPr="007C6C78" w:rsidRDefault="00A023BD" w:rsidP="00A023BD">
            <w:pPr>
              <w:keepNext/>
              <w:spacing w:before="20"/>
              <w:ind w:left="176"/>
              <w:jc w:val="both"/>
              <w:rPr>
                <w:sz w:val="16"/>
                <w:szCs w:val="16"/>
              </w:rPr>
            </w:pPr>
            <w:r w:rsidRPr="007C6C78">
              <w:rPr>
                <w:sz w:val="16"/>
                <w:szCs w:val="16"/>
              </w:rPr>
              <w:t>4+</w:t>
            </w:r>
          </w:p>
        </w:tc>
        <w:tc>
          <w:tcPr>
            <w:tcW w:w="1134" w:type="dxa"/>
            <w:shd w:val="clear" w:color="auto" w:fill="auto"/>
            <w:vAlign w:val="bottom"/>
          </w:tcPr>
          <w:p w14:paraId="2D61CA06" w14:textId="77777777" w:rsidR="00A023BD" w:rsidRPr="001A66A4" w:rsidRDefault="00A023BD" w:rsidP="00A023BD">
            <w:pPr>
              <w:keepNext/>
              <w:keepLines/>
              <w:jc w:val="right"/>
              <w:rPr>
                <w:color w:val="000000"/>
                <w:sz w:val="16"/>
                <w:szCs w:val="16"/>
                <w:lang w:eastAsia="en-NZ"/>
              </w:rPr>
            </w:pPr>
            <w:r w:rsidRPr="001A66A4">
              <w:rPr>
                <w:color w:val="000000"/>
                <w:sz w:val="16"/>
                <w:szCs w:val="16"/>
                <w:lang w:eastAsia="en-NZ"/>
              </w:rPr>
              <w:t>5.67</w:t>
            </w:r>
          </w:p>
        </w:tc>
        <w:tc>
          <w:tcPr>
            <w:tcW w:w="1134" w:type="dxa"/>
            <w:shd w:val="clear" w:color="auto" w:fill="auto"/>
            <w:vAlign w:val="bottom"/>
          </w:tcPr>
          <w:p w14:paraId="1B90264B" w14:textId="77777777" w:rsidR="00A023BD" w:rsidRPr="001A66A4" w:rsidRDefault="00A023BD" w:rsidP="00A023BD">
            <w:pPr>
              <w:keepNext/>
              <w:keepLines/>
              <w:jc w:val="right"/>
              <w:rPr>
                <w:color w:val="000000"/>
                <w:sz w:val="16"/>
                <w:szCs w:val="16"/>
                <w:lang w:eastAsia="en-NZ"/>
              </w:rPr>
            </w:pPr>
            <w:r w:rsidRPr="001A66A4">
              <w:rPr>
                <w:color w:val="000000"/>
                <w:sz w:val="16"/>
                <w:szCs w:val="16"/>
                <w:lang w:eastAsia="en-NZ"/>
              </w:rPr>
              <w:t>(2.59, 12.39)</w:t>
            </w:r>
          </w:p>
        </w:tc>
        <w:tc>
          <w:tcPr>
            <w:tcW w:w="850" w:type="dxa"/>
            <w:shd w:val="clear" w:color="auto" w:fill="auto"/>
            <w:vAlign w:val="bottom"/>
          </w:tcPr>
          <w:p w14:paraId="0419DB20" w14:textId="77777777" w:rsidR="00A023BD" w:rsidRPr="001A66A4" w:rsidRDefault="00A023BD" w:rsidP="00A023BD">
            <w:pPr>
              <w:keepNext/>
              <w:keepLines/>
              <w:jc w:val="right"/>
              <w:rPr>
                <w:color w:val="000000"/>
                <w:sz w:val="16"/>
                <w:szCs w:val="16"/>
                <w:lang w:eastAsia="en-NZ"/>
              </w:rPr>
            </w:pPr>
            <w:r w:rsidRPr="001A66A4">
              <w:rPr>
                <w:color w:val="000000"/>
                <w:sz w:val="16"/>
                <w:szCs w:val="16"/>
                <w:lang w:eastAsia="en-NZ"/>
              </w:rPr>
              <w:t>0.0001</w:t>
            </w:r>
          </w:p>
        </w:tc>
      </w:tr>
      <w:tr w:rsidR="00A023BD" w:rsidRPr="003F15C0" w14:paraId="372272DA" w14:textId="77777777" w:rsidTr="00A023BD">
        <w:tc>
          <w:tcPr>
            <w:tcW w:w="5387" w:type="dxa"/>
          </w:tcPr>
          <w:p w14:paraId="3B1FA5B1" w14:textId="77777777" w:rsidR="00A023BD" w:rsidRPr="007C6C78" w:rsidRDefault="00A023BD" w:rsidP="00A023BD">
            <w:pPr>
              <w:keepNext/>
              <w:spacing w:before="20"/>
              <w:jc w:val="both"/>
              <w:rPr>
                <w:b/>
                <w:sz w:val="16"/>
                <w:szCs w:val="16"/>
              </w:rPr>
            </w:pPr>
            <w:r>
              <w:rPr>
                <w:b/>
                <w:sz w:val="16"/>
                <w:szCs w:val="16"/>
              </w:rPr>
              <w:t>Quality of life (WHOQoL-8)</w:t>
            </w:r>
          </w:p>
        </w:tc>
        <w:tc>
          <w:tcPr>
            <w:tcW w:w="1134" w:type="dxa"/>
            <w:shd w:val="clear" w:color="auto" w:fill="auto"/>
            <w:vAlign w:val="center"/>
          </w:tcPr>
          <w:p w14:paraId="48243A10" w14:textId="77777777" w:rsidR="00A023BD" w:rsidRPr="00230801" w:rsidRDefault="00A023BD" w:rsidP="00A023BD">
            <w:pPr>
              <w:keepNext/>
              <w:jc w:val="right"/>
              <w:rPr>
                <w:color w:val="000000"/>
                <w:sz w:val="16"/>
                <w:szCs w:val="16"/>
                <w:lang w:eastAsia="en-NZ"/>
              </w:rPr>
            </w:pPr>
          </w:p>
        </w:tc>
        <w:tc>
          <w:tcPr>
            <w:tcW w:w="1134" w:type="dxa"/>
            <w:shd w:val="clear" w:color="auto" w:fill="auto"/>
            <w:vAlign w:val="center"/>
          </w:tcPr>
          <w:p w14:paraId="30D44B95" w14:textId="77777777" w:rsidR="00A023BD" w:rsidRPr="00230801" w:rsidRDefault="00A023BD" w:rsidP="00A023BD">
            <w:pPr>
              <w:keepNext/>
              <w:jc w:val="right"/>
              <w:rPr>
                <w:color w:val="000000"/>
                <w:sz w:val="16"/>
                <w:szCs w:val="16"/>
                <w:lang w:eastAsia="en-NZ"/>
              </w:rPr>
            </w:pPr>
          </w:p>
        </w:tc>
        <w:tc>
          <w:tcPr>
            <w:tcW w:w="850" w:type="dxa"/>
            <w:shd w:val="clear" w:color="auto" w:fill="auto"/>
            <w:vAlign w:val="center"/>
          </w:tcPr>
          <w:p w14:paraId="5B646FD0" w14:textId="77777777" w:rsidR="00A023BD" w:rsidRPr="00230801" w:rsidRDefault="00A023BD" w:rsidP="00A023BD">
            <w:pPr>
              <w:keepNext/>
              <w:jc w:val="right"/>
              <w:rPr>
                <w:color w:val="000000"/>
                <w:sz w:val="16"/>
                <w:szCs w:val="16"/>
                <w:lang w:eastAsia="en-NZ"/>
              </w:rPr>
            </w:pPr>
          </w:p>
        </w:tc>
      </w:tr>
      <w:tr w:rsidR="00A023BD" w:rsidRPr="003F15C0" w14:paraId="3317C96A" w14:textId="77777777" w:rsidTr="00A023BD">
        <w:tc>
          <w:tcPr>
            <w:tcW w:w="5387" w:type="dxa"/>
            <w:shd w:val="clear" w:color="auto" w:fill="auto"/>
            <w:vAlign w:val="bottom"/>
          </w:tcPr>
          <w:p w14:paraId="3F9CEB70" w14:textId="77777777" w:rsidR="00A023BD" w:rsidRPr="007C6C78" w:rsidRDefault="00A023BD" w:rsidP="00A023BD">
            <w:pPr>
              <w:keepNext/>
              <w:spacing w:before="20"/>
              <w:ind w:left="176"/>
              <w:jc w:val="both"/>
              <w:rPr>
                <w:sz w:val="16"/>
                <w:szCs w:val="16"/>
              </w:rPr>
            </w:pPr>
            <w:r>
              <w:rPr>
                <w:sz w:val="16"/>
                <w:szCs w:val="16"/>
              </w:rPr>
              <w:t xml:space="preserve">Below median (Score </w:t>
            </w:r>
            <w:r w:rsidRPr="007C6C78">
              <w:rPr>
                <w:sz w:val="16"/>
                <w:szCs w:val="16"/>
              </w:rPr>
              <w:t>0</w:t>
            </w:r>
            <w:r>
              <w:rPr>
                <w:sz w:val="16"/>
                <w:szCs w:val="16"/>
              </w:rPr>
              <w:t xml:space="preserve"> </w:t>
            </w:r>
            <w:r w:rsidRPr="007C6C78">
              <w:rPr>
                <w:sz w:val="16"/>
                <w:szCs w:val="16"/>
              </w:rPr>
              <w:t>-</w:t>
            </w:r>
            <w:r>
              <w:rPr>
                <w:sz w:val="16"/>
                <w:szCs w:val="16"/>
              </w:rPr>
              <w:t xml:space="preserve"> 24)</w:t>
            </w:r>
          </w:p>
        </w:tc>
        <w:tc>
          <w:tcPr>
            <w:tcW w:w="1134" w:type="dxa"/>
            <w:shd w:val="clear" w:color="auto" w:fill="auto"/>
            <w:vAlign w:val="bottom"/>
          </w:tcPr>
          <w:p w14:paraId="02010427" w14:textId="77777777" w:rsidR="00A023BD" w:rsidRPr="00491C93" w:rsidRDefault="00A023BD" w:rsidP="00A023BD">
            <w:pPr>
              <w:keepNext/>
              <w:jc w:val="right"/>
              <w:rPr>
                <w:color w:val="000000"/>
                <w:sz w:val="16"/>
                <w:szCs w:val="16"/>
                <w:lang w:eastAsia="en-NZ"/>
              </w:rPr>
            </w:pPr>
            <w:r>
              <w:rPr>
                <w:color w:val="000000"/>
                <w:sz w:val="16"/>
                <w:szCs w:val="16"/>
                <w:lang w:eastAsia="en-NZ"/>
              </w:rPr>
              <w:t>1.00</w:t>
            </w:r>
          </w:p>
        </w:tc>
        <w:tc>
          <w:tcPr>
            <w:tcW w:w="1134" w:type="dxa"/>
            <w:shd w:val="clear" w:color="auto" w:fill="auto"/>
            <w:vAlign w:val="bottom"/>
          </w:tcPr>
          <w:p w14:paraId="7C09052F" w14:textId="77777777" w:rsidR="00A023BD" w:rsidRPr="00491C93" w:rsidRDefault="00A023BD" w:rsidP="00A023BD">
            <w:pPr>
              <w:keepNext/>
              <w:jc w:val="right"/>
              <w:rPr>
                <w:color w:val="000000"/>
                <w:sz w:val="16"/>
                <w:szCs w:val="16"/>
                <w:lang w:eastAsia="en-NZ"/>
              </w:rPr>
            </w:pPr>
          </w:p>
        </w:tc>
        <w:tc>
          <w:tcPr>
            <w:tcW w:w="850" w:type="dxa"/>
            <w:shd w:val="clear" w:color="auto" w:fill="auto"/>
            <w:vAlign w:val="bottom"/>
          </w:tcPr>
          <w:p w14:paraId="0118E50D" w14:textId="77777777" w:rsidR="00A023BD" w:rsidRPr="00DF4034" w:rsidRDefault="00A023BD" w:rsidP="00A023BD">
            <w:pPr>
              <w:keepNext/>
              <w:jc w:val="right"/>
              <w:rPr>
                <w:color w:val="000000"/>
                <w:sz w:val="16"/>
                <w:szCs w:val="16"/>
                <w:lang w:eastAsia="en-NZ"/>
              </w:rPr>
            </w:pPr>
          </w:p>
        </w:tc>
      </w:tr>
      <w:tr w:rsidR="00A023BD" w:rsidRPr="003F15C0" w14:paraId="14E233A0" w14:textId="77777777" w:rsidTr="00A023BD">
        <w:tc>
          <w:tcPr>
            <w:tcW w:w="5387" w:type="dxa"/>
            <w:shd w:val="clear" w:color="auto" w:fill="auto"/>
            <w:vAlign w:val="bottom"/>
          </w:tcPr>
          <w:p w14:paraId="3296A8FF" w14:textId="77777777" w:rsidR="00A023BD" w:rsidRPr="007C6C78" w:rsidRDefault="00A023BD" w:rsidP="00A023BD">
            <w:pPr>
              <w:keepNext/>
              <w:spacing w:before="20"/>
              <w:ind w:left="176"/>
              <w:jc w:val="both"/>
              <w:rPr>
                <w:sz w:val="16"/>
                <w:szCs w:val="16"/>
              </w:rPr>
            </w:pPr>
            <w:r>
              <w:rPr>
                <w:sz w:val="16"/>
                <w:szCs w:val="16"/>
              </w:rPr>
              <w:t>Median score (Score 25)</w:t>
            </w:r>
          </w:p>
        </w:tc>
        <w:tc>
          <w:tcPr>
            <w:tcW w:w="1134" w:type="dxa"/>
            <w:shd w:val="clear" w:color="auto" w:fill="auto"/>
            <w:vAlign w:val="bottom"/>
          </w:tcPr>
          <w:p w14:paraId="58DE1A89"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0.75</w:t>
            </w:r>
          </w:p>
        </w:tc>
        <w:tc>
          <w:tcPr>
            <w:tcW w:w="1134" w:type="dxa"/>
            <w:shd w:val="clear" w:color="auto" w:fill="auto"/>
            <w:vAlign w:val="bottom"/>
          </w:tcPr>
          <w:p w14:paraId="5BACDE6F"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(0.35, 1.63)</w:t>
            </w:r>
          </w:p>
        </w:tc>
        <w:tc>
          <w:tcPr>
            <w:tcW w:w="850" w:type="dxa"/>
            <w:shd w:val="clear" w:color="auto" w:fill="auto"/>
            <w:vAlign w:val="bottom"/>
          </w:tcPr>
          <w:p w14:paraId="11DE369F" w14:textId="77777777" w:rsidR="00A023BD" w:rsidRPr="00DF4034" w:rsidRDefault="00A023BD" w:rsidP="00A023BD">
            <w:pPr>
              <w:keepNext/>
              <w:jc w:val="right"/>
              <w:rPr>
                <w:color w:val="000000"/>
                <w:sz w:val="16"/>
                <w:szCs w:val="16"/>
                <w:lang w:eastAsia="en-NZ"/>
              </w:rPr>
            </w:pPr>
          </w:p>
        </w:tc>
      </w:tr>
      <w:tr w:rsidR="00A023BD" w:rsidRPr="003F15C0" w14:paraId="5F396896" w14:textId="77777777" w:rsidTr="00326B55">
        <w:tc>
          <w:tcPr>
            <w:tcW w:w="5387" w:type="dxa"/>
            <w:shd w:val="clear" w:color="auto" w:fill="auto"/>
            <w:vAlign w:val="bottom"/>
          </w:tcPr>
          <w:p w14:paraId="44E34E00" w14:textId="77777777" w:rsidR="00A023BD" w:rsidRPr="007C6C78" w:rsidRDefault="00A023BD" w:rsidP="00A023BD">
            <w:pPr>
              <w:keepNext/>
              <w:spacing w:before="20"/>
              <w:ind w:left="176"/>
              <w:jc w:val="both"/>
              <w:rPr>
                <w:sz w:val="16"/>
                <w:szCs w:val="16"/>
              </w:rPr>
            </w:pPr>
            <w:r>
              <w:rPr>
                <w:sz w:val="16"/>
                <w:szCs w:val="16"/>
              </w:rPr>
              <w:t xml:space="preserve">Above median (Score 26 </w:t>
            </w:r>
            <w:r w:rsidRPr="007C6C78">
              <w:rPr>
                <w:sz w:val="16"/>
                <w:szCs w:val="16"/>
              </w:rPr>
              <w:t>-</w:t>
            </w:r>
            <w:r>
              <w:rPr>
                <w:sz w:val="16"/>
                <w:szCs w:val="16"/>
              </w:rPr>
              <w:t xml:space="preserve"> 32)</w:t>
            </w:r>
          </w:p>
        </w:tc>
        <w:tc>
          <w:tcPr>
            <w:tcW w:w="1134" w:type="dxa"/>
            <w:shd w:val="clear" w:color="auto" w:fill="auto"/>
            <w:vAlign w:val="bottom"/>
          </w:tcPr>
          <w:p w14:paraId="5F343DC6" w14:textId="77777777" w:rsidR="00A023BD" w:rsidRPr="00DF4034" w:rsidRDefault="00A023BD" w:rsidP="00A023BD">
            <w:pPr>
              <w:keepNext/>
              <w:jc w:val="right"/>
              <w:rPr>
                <w:color w:val="000000"/>
                <w:sz w:val="16"/>
                <w:szCs w:val="16"/>
                <w:lang w:eastAsia="en-NZ"/>
              </w:rPr>
            </w:pPr>
            <w:r>
              <w:rPr>
                <w:color w:val="000000"/>
                <w:sz w:val="16"/>
                <w:szCs w:val="16"/>
                <w:lang w:eastAsia="en-NZ"/>
              </w:rPr>
              <w:t>0.35</w:t>
            </w:r>
          </w:p>
        </w:tc>
        <w:tc>
          <w:tcPr>
            <w:tcW w:w="1134" w:type="dxa"/>
            <w:shd w:val="clear" w:color="auto" w:fill="auto"/>
            <w:vAlign w:val="bottom"/>
          </w:tcPr>
          <w:p w14:paraId="7232C4B8" w14:textId="77777777" w:rsidR="00A023BD" w:rsidRPr="00DF4034" w:rsidRDefault="00A023BD" w:rsidP="00A023BD">
            <w:pPr>
              <w:keepNext/>
              <w:jc w:val="right"/>
              <w:rPr>
                <w:color w:val="000000"/>
                <w:sz w:val="16"/>
                <w:szCs w:val="16"/>
                <w:lang w:eastAsia="en-NZ"/>
              </w:rPr>
            </w:pPr>
            <w:r w:rsidRPr="00491C93">
              <w:rPr>
                <w:color w:val="000000"/>
                <w:sz w:val="16"/>
                <w:szCs w:val="16"/>
                <w:lang w:eastAsia="en-NZ"/>
              </w:rPr>
              <w:t>(0.20, 0.62)</w:t>
            </w:r>
          </w:p>
        </w:tc>
        <w:tc>
          <w:tcPr>
            <w:tcW w:w="850" w:type="dxa"/>
            <w:shd w:val="clear" w:color="auto" w:fill="auto"/>
            <w:vAlign w:val="bottom"/>
          </w:tcPr>
          <w:p w14:paraId="20B1C759" w14:textId="77777777" w:rsidR="00A023BD" w:rsidRPr="00DF4034" w:rsidRDefault="00A023BD" w:rsidP="00A023BD">
            <w:pPr>
              <w:keepNext/>
              <w:jc w:val="right"/>
              <w:rPr>
                <w:color w:val="000000"/>
                <w:sz w:val="16"/>
                <w:szCs w:val="16"/>
                <w:lang w:eastAsia="en-NZ"/>
              </w:rPr>
            </w:pPr>
            <w:r>
              <w:rPr>
                <w:color w:val="000000"/>
                <w:sz w:val="16"/>
                <w:szCs w:val="16"/>
                <w:lang w:eastAsia="en-NZ"/>
              </w:rPr>
              <w:t>0.002</w:t>
            </w:r>
          </w:p>
        </w:tc>
      </w:tr>
      <w:tr w:rsidR="00A023BD" w:rsidRPr="003F15C0" w14:paraId="7CDE7C03" w14:textId="77777777" w:rsidTr="00A023BD">
        <w:tc>
          <w:tcPr>
            <w:tcW w:w="5387" w:type="dxa"/>
            <w:shd w:val="clear" w:color="auto" w:fill="auto"/>
          </w:tcPr>
          <w:p w14:paraId="386E38BB" w14:textId="77777777" w:rsidR="00A023BD" w:rsidRPr="007C6C78" w:rsidRDefault="00A023BD" w:rsidP="00A023BD">
            <w:pPr>
              <w:keepNext/>
              <w:spacing w:before="20"/>
              <w:jc w:val="both"/>
              <w:rPr>
                <w:b/>
                <w:sz w:val="16"/>
                <w:szCs w:val="16"/>
              </w:rPr>
            </w:pPr>
            <w:r w:rsidRPr="007C6C78">
              <w:rPr>
                <w:b/>
                <w:sz w:val="16"/>
                <w:szCs w:val="16"/>
              </w:rPr>
              <w:t>Psychological distress (Kessler-10)</w:t>
            </w:r>
          </w:p>
        </w:tc>
        <w:tc>
          <w:tcPr>
            <w:tcW w:w="1134" w:type="dxa"/>
            <w:shd w:val="clear" w:color="auto" w:fill="auto"/>
            <w:vAlign w:val="center"/>
          </w:tcPr>
          <w:p w14:paraId="77832988" w14:textId="77777777" w:rsidR="00A023BD" w:rsidRPr="00DF4034" w:rsidRDefault="00A023BD" w:rsidP="00A023BD">
            <w:pPr>
              <w:keepNext/>
              <w:jc w:val="right"/>
              <w:rPr>
                <w:color w:val="000000"/>
                <w:sz w:val="16"/>
                <w:szCs w:val="16"/>
                <w:lang w:eastAsia="en-NZ"/>
              </w:rPr>
            </w:pPr>
          </w:p>
        </w:tc>
        <w:tc>
          <w:tcPr>
            <w:tcW w:w="1134" w:type="dxa"/>
            <w:shd w:val="clear" w:color="auto" w:fill="auto"/>
            <w:vAlign w:val="center"/>
          </w:tcPr>
          <w:p w14:paraId="7DDD512C" w14:textId="77777777" w:rsidR="00A023BD" w:rsidRPr="00DF4034" w:rsidRDefault="00A023BD" w:rsidP="00A023BD">
            <w:pPr>
              <w:keepNext/>
              <w:jc w:val="right"/>
              <w:rPr>
                <w:color w:val="000000"/>
                <w:sz w:val="16"/>
                <w:szCs w:val="16"/>
                <w:lang w:eastAsia="en-NZ"/>
              </w:rPr>
            </w:pPr>
          </w:p>
        </w:tc>
        <w:tc>
          <w:tcPr>
            <w:tcW w:w="850" w:type="dxa"/>
            <w:shd w:val="clear" w:color="auto" w:fill="auto"/>
            <w:vAlign w:val="center"/>
          </w:tcPr>
          <w:p w14:paraId="2E7FEE1C" w14:textId="77777777" w:rsidR="00A023BD" w:rsidRPr="00DF4034" w:rsidRDefault="00A023BD" w:rsidP="00A023BD">
            <w:pPr>
              <w:keepNext/>
              <w:jc w:val="right"/>
              <w:rPr>
                <w:color w:val="000000"/>
                <w:sz w:val="16"/>
                <w:szCs w:val="16"/>
                <w:lang w:eastAsia="en-NZ"/>
              </w:rPr>
            </w:pPr>
          </w:p>
        </w:tc>
      </w:tr>
      <w:tr w:rsidR="00A023BD" w:rsidRPr="003F15C0" w14:paraId="54C8A790" w14:textId="77777777" w:rsidTr="00A023BD">
        <w:tc>
          <w:tcPr>
            <w:tcW w:w="5387" w:type="dxa"/>
            <w:shd w:val="clear" w:color="auto" w:fill="auto"/>
            <w:vAlign w:val="bottom"/>
          </w:tcPr>
          <w:p w14:paraId="7E48891B" w14:textId="77777777" w:rsidR="00A023BD" w:rsidRPr="007C6C78" w:rsidRDefault="00A023BD" w:rsidP="00A023BD">
            <w:pPr>
              <w:keepNext/>
              <w:spacing w:before="20"/>
              <w:ind w:left="176"/>
              <w:jc w:val="both"/>
              <w:rPr>
                <w:sz w:val="16"/>
                <w:szCs w:val="16"/>
              </w:rPr>
            </w:pPr>
            <w:r>
              <w:rPr>
                <w:sz w:val="16"/>
                <w:szCs w:val="16"/>
              </w:rPr>
              <w:t xml:space="preserve">Low (Score </w:t>
            </w:r>
            <w:r w:rsidRPr="007C6C78">
              <w:rPr>
                <w:sz w:val="16"/>
                <w:szCs w:val="16"/>
              </w:rPr>
              <w:t>0</w:t>
            </w:r>
            <w:r>
              <w:rPr>
                <w:sz w:val="16"/>
                <w:szCs w:val="16"/>
              </w:rPr>
              <w:t xml:space="preserve"> </w:t>
            </w:r>
            <w:r w:rsidRPr="007C6C78">
              <w:rPr>
                <w:sz w:val="16"/>
                <w:szCs w:val="16"/>
              </w:rPr>
              <w:t>-</w:t>
            </w:r>
            <w:r>
              <w:rPr>
                <w:sz w:val="16"/>
                <w:szCs w:val="16"/>
              </w:rPr>
              <w:t xml:space="preserve"> </w:t>
            </w:r>
            <w:r w:rsidRPr="007C6C78">
              <w:rPr>
                <w:sz w:val="16"/>
                <w:szCs w:val="16"/>
              </w:rPr>
              <w:t>5</w:t>
            </w:r>
            <w:r>
              <w:rPr>
                <w:sz w:val="16"/>
                <w:szCs w:val="16"/>
              </w:rPr>
              <w:t>)</w:t>
            </w:r>
          </w:p>
        </w:tc>
        <w:tc>
          <w:tcPr>
            <w:tcW w:w="1134" w:type="dxa"/>
            <w:shd w:val="clear" w:color="auto" w:fill="auto"/>
            <w:vAlign w:val="bottom"/>
          </w:tcPr>
          <w:p w14:paraId="3FC0C120"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1.00</w:t>
            </w:r>
          </w:p>
        </w:tc>
        <w:tc>
          <w:tcPr>
            <w:tcW w:w="1134" w:type="dxa"/>
            <w:shd w:val="clear" w:color="auto" w:fill="auto"/>
            <w:vAlign w:val="bottom"/>
          </w:tcPr>
          <w:p w14:paraId="60BDCD41" w14:textId="77777777" w:rsidR="00A023BD" w:rsidRPr="00491C93" w:rsidRDefault="00A023BD" w:rsidP="00A023BD">
            <w:pPr>
              <w:keepNext/>
              <w:jc w:val="right"/>
              <w:rPr>
                <w:color w:val="000000"/>
                <w:sz w:val="16"/>
                <w:szCs w:val="16"/>
                <w:lang w:eastAsia="en-NZ"/>
              </w:rPr>
            </w:pPr>
          </w:p>
        </w:tc>
        <w:tc>
          <w:tcPr>
            <w:tcW w:w="850" w:type="dxa"/>
            <w:shd w:val="clear" w:color="auto" w:fill="auto"/>
            <w:vAlign w:val="bottom"/>
          </w:tcPr>
          <w:p w14:paraId="6C780E47" w14:textId="77777777" w:rsidR="00A023BD" w:rsidRPr="00491C93" w:rsidRDefault="00A023BD" w:rsidP="00A023BD">
            <w:pPr>
              <w:keepNext/>
              <w:jc w:val="right"/>
              <w:rPr>
                <w:color w:val="000000"/>
                <w:sz w:val="16"/>
                <w:szCs w:val="16"/>
                <w:lang w:eastAsia="en-NZ"/>
              </w:rPr>
            </w:pPr>
          </w:p>
        </w:tc>
      </w:tr>
      <w:tr w:rsidR="00A023BD" w:rsidRPr="003F15C0" w14:paraId="6275F676" w14:textId="77777777" w:rsidTr="00A023BD">
        <w:tc>
          <w:tcPr>
            <w:tcW w:w="5387" w:type="dxa"/>
            <w:shd w:val="clear" w:color="auto" w:fill="auto"/>
            <w:vAlign w:val="bottom"/>
          </w:tcPr>
          <w:p w14:paraId="30D11D33" w14:textId="77777777" w:rsidR="00A023BD" w:rsidRPr="007C6C78" w:rsidRDefault="00A023BD" w:rsidP="00A023BD">
            <w:pPr>
              <w:keepNext/>
              <w:spacing w:before="20"/>
              <w:ind w:left="176"/>
              <w:jc w:val="both"/>
              <w:rPr>
                <w:sz w:val="16"/>
                <w:szCs w:val="16"/>
              </w:rPr>
            </w:pPr>
            <w:r>
              <w:rPr>
                <w:sz w:val="16"/>
                <w:szCs w:val="16"/>
              </w:rPr>
              <w:t xml:space="preserve">Moderate (Score </w:t>
            </w:r>
            <w:r w:rsidRPr="007C6C78">
              <w:rPr>
                <w:sz w:val="16"/>
                <w:szCs w:val="16"/>
              </w:rPr>
              <w:t>6</w:t>
            </w:r>
            <w:r>
              <w:rPr>
                <w:sz w:val="16"/>
                <w:szCs w:val="16"/>
              </w:rPr>
              <w:t xml:space="preserve"> </w:t>
            </w:r>
            <w:r w:rsidRPr="007C6C78">
              <w:rPr>
                <w:sz w:val="16"/>
                <w:szCs w:val="16"/>
              </w:rPr>
              <w:t>-</w:t>
            </w:r>
            <w:r>
              <w:rPr>
                <w:sz w:val="16"/>
                <w:szCs w:val="16"/>
              </w:rPr>
              <w:t xml:space="preserve"> </w:t>
            </w:r>
            <w:r w:rsidRPr="007C6C78">
              <w:rPr>
                <w:sz w:val="16"/>
                <w:szCs w:val="16"/>
              </w:rPr>
              <w:t>11</w:t>
            </w:r>
            <w:r>
              <w:rPr>
                <w:sz w:val="16"/>
                <w:szCs w:val="16"/>
              </w:rPr>
              <w:t>)</w:t>
            </w:r>
          </w:p>
        </w:tc>
        <w:tc>
          <w:tcPr>
            <w:tcW w:w="1134" w:type="dxa"/>
            <w:shd w:val="clear" w:color="auto" w:fill="auto"/>
            <w:vAlign w:val="bottom"/>
          </w:tcPr>
          <w:p w14:paraId="6159F7DB"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3.41</w:t>
            </w:r>
          </w:p>
        </w:tc>
        <w:tc>
          <w:tcPr>
            <w:tcW w:w="1134" w:type="dxa"/>
            <w:shd w:val="clear" w:color="auto" w:fill="auto"/>
            <w:vAlign w:val="bottom"/>
          </w:tcPr>
          <w:p w14:paraId="53866D97"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(1.71, 6.79)</w:t>
            </w:r>
          </w:p>
        </w:tc>
        <w:tc>
          <w:tcPr>
            <w:tcW w:w="850" w:type="dxa"/>
            <w:shd w:val="clear" w:color="auto" w:fill="auto"/>
            <w:vAlign w:val="bottom"/>
          </w:tcPr>
          <w:p w14:paraId="67271C4F" w14:textId="77777777" w:rsidR="00A023BD" w:rsidRPr="00491C93" w:rsidRDefault="00A023BD" w:rsidP="00A023BD">
            <w:pPr>
              <w:keepNext/>
              <w:jc w:val="right"/>
              <w:rPr>
                <w:color w:val="000000"/>
                <w:sz w:val="16"/>
                <w:szCs w:val="16"/>
                <w:lang w:eastAsia="en-NZ"/>
              </w:rPr>
            </w:pPr>
          </w:p>
        </w:tc>
      </w:tr>
      <w:tr w:rsidR="00A023BD" w:rsidRPr="003F15C0" w14:paraId="5C76A622" w14:textId="77777777" w:rsidTr="00A023BD">
        <w:tc>
          <w:tcPr>
            <w:tcW w:w="5387" w:type="dxa"/>
            <w:shd w:val="clear" w:color="auto" w:fill="auto"/>
            <w:vAlign w:val="bottom"/>
          </w:tcPr>
          <w:p w14:paraId="627CFF0E" w14:textId="77777777" w:rsidR="00A023BD" w:rsidRPr="007C6C78" w:rsidRDefault="00A023BD" w:rsidP="00A023BD">
            <w:pPr>
              <w:keepNext/>
              <w:spacing w:before="20"/>
              <w:ind w:left="176"/>
              <w:jc w:val="both"/>
              <w:rPr>
                <w:sz w:val="16"/>
                <w:szCs w:val="16"/>
              </w:rPr>
            </w:pPr>
            <w:r>
              <w:rPr>
                <w:sz w:val="16"/>
                <w:szCs w:val="16"/>
              </w:rPr>
              <w:t xml:space="preserve">High (Score </w:t>
            </w:r>
            <w:r w:rsidRPr="007C6C78">
              <w:rPr>
                <w:sz w:val="16"/>
                <w:szCs w:val="16"/>
              </w:rPr>
              <w:t>12</w:t>
            </w:r>
            <w:r>
              <w:rPr>
                <w:sz w:val="16"/>
                <w:szCs w:val="16"/>
              </w:rPr>
              <w:t xml:space="preserve"> </w:t>
            </w:r>
            <w:r w:rsidRPr="007C6C78">
              <w:rPr>
                <w:sz w:val="16"/>
                <w:szCs w:val="16"/>
              </w:rPr>
              <w:t>-</w:t>
            </w:r>
            <w:r>
              <w:rPr>
                <w:sz w:val="16"/>
                <w:szCs w:val="16"/>
              </w:rPr>
              <w:t xml:space="preserve"> </w:t>
            </w:r>
            <w:r w:rsidRPr="007C6C78">
              <w:rPr>
                <w:sz w:val="16"/>
                <w:szCs w:val="16"/>
              </w:rPr>
              <w:t>19</w:t>
            </w:r>
            <w:r>
              <w:rPr>
                <w:sz w:val="16"/>
                <w:szCs w:val="16"/>
              </w:rPr>
              <w:t>)</w:t>
            </w:r>
          </w:p>
        </w:tc>
        <w:tc>
          <w:tcPr>
            <w:tcW w:w="1134" w:type="dxa"/>
            <w:shd w:val="clear" w:color="auto" w:fill="auto"/>
            <w:vAlign w:val="bottom"/>
          </w:tcPr>
          <w:p w14:paraId="7051B564"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18.08</w:t>
            </w:r>
          </w:p>
        </w:tc>
        <w:tc>
          <w:tcPr>
            <w:tcW w:w="1134" w:type="dxa"/>
            <w:shd w:val="clear" w:color="auto" w:fill="auto"/>
            <w:vAlign w:val="bottom"/>
          </w:tcPr>
          <w:p w14:paraId="09A8C075"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(6.81, 48.02)</w:t>
            </w:r>
          </w:p>
        </w:tc>
        <w:tc>
          <w:tcPr>
            <w:tcW w:w="850" w:type="dxa"/>
            <w:shd w:val="clear" w:color="auto" w:fill="auto"/>
            <w:vAlign w:val="bottom"/>
          </w:tcPr>
          <w:p w14:paraId="29EBF730" w14:textId="77777777" w:rsidR="00A023BD" w:rsidRPr="00491C93" w:rsidRDefault="00A023BD" w:rsidP="00A023BD">
            <w:pPr>
              <w:keepNext/>
              <w:jc w:val="right"/>
              <w:rPr>
                <w:color w:val="000000"/>
                <w:sz w:val="16"/>
                <w:szCs w:val="16"/>
                <w:lang w:eastAsia="en-NZ"/>
              </w:rPr>
            </w:pPr>
          </w:p>
        </w:tc>
      </w:tr>
      <w:tr w:rsidR="00A023BD" w:rsidRPr="003F15C0" w14:paraId="28D189E0" w14:textId="77777777" w:rsidTr="00326B55">
        <w:tc>
          <w:tcPr>
            <w:tcW w:w="5387" w:type="dxa"/>
            <w:shd w:val="clear" w:color="auto" w:fill="auto"/>
            <w:vAlign w:val="bottom"/>
          </w:tcPr>
          <w:p w14:paraId="4ED03AF2" w14:textId="77777777" w:rsidR="00A023BD" w:rsidRPr="007C6C78" w:rsidRDefault="00A023BD" w:rsidP="00A023BD">
            <w:pPr>
              <w:spacing w:before="20"/>
              <w:ind w:left="176"/>
              <w:jc w:val="both"/>
              <w:rPr>
                <w:sz w:val="16"/>
                <w:szCs w:val="16"/>
              </w:rPr>
            </w:pPr>
            <w:r>
              <w:rPr>
                <w:sz w:val="16"/>
                <w:szCs w:val="16"/>
              </w:rPr>
              <w:t xml:space="preserve">Severe (Score </w:t>
            </w:r>
            <w:r w:rsidRPr="007C6C78">
              <w:rPr>
                <w:sz w:val="16"/>
                <w:szCs w:val="16"/>
              </w:rPr>
              <w:t>20</w:t>
            </w:r>
            <w:r>
              <w:rPr>
                <w:sz w:val="16"/>
                <w:szCs w:val="16"/>
              </w:rPr>
              <w:t xml:space="preserve"> </w:t>
            </w:r>
            <w:r w:rsidRPr="007C6C78">
              <w:rPr>
                <w:sz w:val="16"/>
                <w:szCs w:val="16"/>
              </w:rPr>
              <w:t>-</w:t>
            </w:r>
            <w:r>
              <w:rPr>
                <w:sz w:val="16"/>
                <w:szCs w:val="16"/>
              </w:rPr>
              <w:t xml:space="preserve"> </w:t>
            </w:r>
            <w:r w:rsidRPr="007C6C78">
              <w:rPr>
                <w:sz w:val="16"/>
                <w:szCs w:val="16"/>
              </w:rPr>
              <w:t>40</w:t>
            </w:r>
            <w:r>
              <w:rPr>
                <w:sz w:val="16"/>
                <w:szCs w:val="16"/>
              </w:rPr>
              <w:t>)</w:t>
            </w:r>
          </w:p>
        </w:tc>
        <w:tc>
          <w:tcPr>
            <w:tcW w:w="1134" w:type="dxa"/>
            <w:shd w:val="clear" w:color="auto" w:fill="auto"/>
            <w:vAlign w:val="bottom"/>
          </w:tcPr>
          <w:p w14:paraId="25723287"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2.27</w:t>
            </w:r>
          </w:p>
        </w:tc>
        <w:tc>
          <w:tcPr>
            <w:tcW w:w="1134" w:type="dxa"/>
            <w:shd w:val="clear" w:color="auto" w:fill="auto"/>
            <w:vAlign w:val="bottom"/>
          </w:tcPr>
          <w:p w14:paraId="29092C00"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(1.34, 3.82)</w:t>
            </w:r>
          </w:p>
        </w:tc>
        <w:tc>
          <w:tcPr>
            <w:tcW w:w="850" w:type="dxa"/>
            <w:shd w:val="clear" w:color="auto" w:fill="auto"/>
            <w:vAlign w:val="bottom"/>
          </w:tcPr>
          <w:p w14:paraId="5FE9D65D"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&lt;0.0001</w:t>
            </w:r>
          </w:p>
        </w:tc>
      </w:tr>
      <w:tr w:rsidR="00A023BD" w:rsidRPr="001A61F1" w14:paraId="51ABDB53" w14:textId="77777777" w:rsidTr="00A023BD">
        <w:tc>
          <w:tcPr>
            <w:tcW w:w="5387" w:type="dxa"/>
            <w:vAlign w:val="bottom"/>
          </w:tcPr>
          <w:p w14:paraId="09A312EC" w14:textId="77777777" w:rsidR="00A023BD" w:rsidRPr="003F15C0" w:rsidRDefault="00A023BD" w:rsidP="00A023BD">
            <w:pPr>
              <w:spacing w:before="20"/>
              <w:jc w:val="both"/>
              <w:rPr>
                <w:b/>
                <w:sz w:val="16"/>
                <w:szCs w:val="16"/>
              </w:rPr>
            </w:pPr>
            <w:r w:rsidRPr="003F15C0">
              <w:rPr>
                <w:b/>
                <w:sz w:val="16"/>
                <w:szCs w:val="16"/>
              </w:rPr>
              <w:t>Pattern of participation</w:t>
            </w:r>
          </w:p>
        </w:tc>
        <w:tc>
          <w:tcPr>
            <w:tcW w:w="1134" w:type="dxa"/>
            <w:shd w:val="clear" w:color="auto" w:fill="auto"/>
            <w:vAlign w:val="bottom"/>
          </w:tcPr>
          <w:p w14:paraId="50199238" w14:textId="77777777" w:rsidR="00A023BD" w:rsidRPr="007B750E" w:rsidRDefault="00A023BD" w:rsidP="00A023BD">
            <w:pPr>
              <w:jc w:val="right"/>
              <w:rPr>
                <w:color w:val="000000"/>
                <w:sz w:val="16"/>
                <w:szCs w:val="16"/>
                <w:lang w:eastAsia="en-NZ"/>
              </w:rPr>
            </w:pPr>
          </w:p>
        </w:tc>
        <w:tc>
          <w:tcPr>
            <w:tcW w:w="1134" w:type="dxa"/>
            <w:shd w:val="clear" w:color="auto" w:fill="auto"/>
            <w:vAlign w:val="bottom"/>
          </w:tcPr>
          <w:p w14:paraId="000B47D0" w14:textId="77777777" w:rsidR="00A023BD" w:rsidRPr="007B750E" w:rsidRDefault="00A023BD" w:rsidP="00A023BD">
            <w:pPr>
              <w:jc w:val="right"/>
              <w:rPr>
                <w:color w:val="000000"/>
                <w:sz w:val="16"/>
                <w:szCs w:val="16"/>
                <w:lang w:eastAsia="en-NZ"/>
              </w:rPr>
            </w:pPr>
          </w:p>
        </w:tc>
        <w:tc>
          <w:tcPr>
            <w:tcW w:w="850" w:type="dxa"/>
            <w:shd w:val="clear" w:color="auto" w:fill="auto"/>
            <w:vAlign w:val="bottom"/>
          </w:tcPr>
          <w:p w14:paraId="4BCEA564" w14:textId="77777777" w:rsidR="00A023BD" w:rsidRPr="007B750E" w:rsidRDefault="00A023BD" w:rsidP="00A023BD">
            <w:pPr>
              <w:jc w:val="right"/>
              <w:rPr>
                <w:color w:val="000000"/>
                <w:sz w:val="16"/>
                <w:szCs w:val="16"/>
                <w:lang w:eastAsia="en-NZ"/>
              </w:rPr>
            </w:pPr>
          </w:p>
        </w:tc>
      </w:tr>
      <w:tr w:rsidR="00A023BD" w:rsidRPr="001A61F1" w14:paraId="33AE56CE" w14:textId="77777777" w:rsidTr="00A023BD">
        <w:tc>
          <w:tcPr>
            <w:tcW w:w="5387" w:type="dxa"/>
          </w:tcPr>
          <w:p w14:paraId="4909D924" w14:textId="77777777" w:rsidR="00A023BD" w:rsidRPr="003F15C0" w:rsidRDefault="00A023BD" w:rsidP="00A023BD">
            <w:pPr>
              <w:spacing w:before="20"/>
              <w:ind w:left="176"/>
              <w:jc w:val="both"/>
              <w:rPr>
                <w:sz w:val="16"/>
                <w:szCs w:val="16"/>
              </w:rPr>
            </w:pPr>
            <w:r w:rsidRPr="003F15C0">
              <w:rPr>
                <w:sz w:val="16"/>
                <w:szCs w:val="16"/>
              </w:rPr>
              <w:t>Infrequent gambler</w:t>
            </w:r>
          </w:p>
        </w:tc>
        <w:tc>
          <w:tcPr>
            <w:tcW w:w="1134" w:type="dxa"/>
            <w:shd w:val="clear" w:color="auto" w:fill="auto"/>
            <w:vAlign w:val="bottom"/>
          </w:tcPr>
          <w:p w14:paraId="19DC19B0" w14:textId="77777777" w:rsidR="00A023BD" w:rsidRPr="00D36119" w:rsidRDefault="00A023BD" w:rsidP="00A023BD">
            <w:pPr>
              <w:keepNext/>
              <w:jc w:val="right"/>
              <w:rPr>
                <w:color w:val="000000"/>
                <w:sz w:val="16"/>
                <w:szCs w:val="16"/>
                <w:lang w:eastAsia="en-NZ"/>
              </w:rPr>
            </w:pPr>
            <w:r>
              <w:rPr>
                <w:color w:val="000000"/>
                <w:sz w:val="16"/>
                <w:szCs w:val="16"/>
                <w:lang w:eastAsia="en-NZ"/>
              </w:rPr>
              <w:t>1.00</w:t>
            </w:r>
          </w:p>
        </w:tc>
        <w:tc>
          <w:tcPr>
            <w:tcW w:w="1134" w:type="dxa"/>
            <w:shd w:val="clear" w:color="auto" w:fill="auto"/>
            <w:vAlign w:val="bottom"/>
          </w:tcPr>
          <w:p w14:paraId="2BD24616" w14:textId="77777777" w:rsidR="00A023BD" w:rsidRPr="00D36119" w:rsidRDefault="00A023BD" w:rsidP="00A023BD">
            <w:pPr>
              <w:keepNext/>
              <w:jc w:val="right"/>
              <w:rPr>
                <w:color w:val="000000"/>
                <w:sz w:val="16"/>
                <w:szCs w:val="16"/>
                <w:lang w:eastAsia="en-NZ"/>
              </w:rPr>
            </w:pPr>
          </w:p>
        </w:tc>
        <w:tc>
          <w:tcPr>
            <w:tcW w:w="850" w:type="dxa"/>
            <w:shd w:val="clear" w:color="auto" w:fill="auto"/>
            <w:vAlign w:val="bottom"/>
          </w:tcPr>
          <w:p w14:paraId="3CD788F8" w14:textId="77777777" w:rsidR="00A023BD" w:rsidRPr="00D36119" w:rsidRDefault="00A023BD" w:rsidP="00A023BD">
            <w:pPr>
              <w:keepNext/>
              <w:jc w:val="right"/>
              <w:rPr>
                <w:color w:val="000000"/>
                <w:sz w:val="16"/>
                <w:szCs w:val="16"/>
                <w:lang w:eastAsia="en-NZ"/>
              </w:rPr>
            </w:pPr>
          </w:p>
        </w:tc>
      </w:tr>
      <w:tr w:rsidR="00A023BD" w:rsidRPr="001A61F1" w14:paraId="17E5B1A7" w14:textId="77777777" w:rsidTr="00A023BD">
        <w:tc>
          <w:tcPr>
            <w:tcW w:w="5387" w:type="dxa"/>
          </w:tcPr>
          <w:p w14:paraId="4244E5F7" w14:textId="77777777" w:rsidR="00A023BD" w:rsidRPr="003F15C0" w:rsidRDefault="00A023BD" w:rsidP="00A023BD">
            <w:pPr>
              <w:spacing w:before="20"/>
              <w:ind w:left="176"/>
              <w:jc w:val="both"/>
              <w:rPr>
                <w:sz w:val="16"/>
                <w:szCs w:val="16"/>
              </w:rPr>
            </w:pPr>
            <w:r w:rsidRPr="003F15C0">
              <w:rPr>
                <w:sz w:val="16"/>
                <w:szCs w:val="16"/>
              </w:rPr>
              <w:t>Regular non-continuous gambler</w:t>
            </w:r>
          </w:p>
        </w:tc>
        <w:tc>
          <w:tcPr>
            <w:tcW w:w="1134" w:type="dxa"/>
            <w:shd w:val="clear" w:color="auto" w:fill="auto"/>
            <w:vAlign w:val="bottom"/>
          </w:tcPr>
          <w:p w14:paraId="6837195B"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1.12</w:t>
            </w:r>
          </w:p>
        </w:tc>
        <w:tc>
          <w:tcPr>
            <w:tcW w:w="1134" w:type="dxa"/>
            <w:shd w:val="clear" w:color="auto" w:fill="auto"/>
            <w:vAlign w:val="bottom"/>
          </w:tcPr>
          <w:p w14:paraId="24D4B617"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(0.60, 2.09)</w:t>
            </w:r>
          </w:p>
        </w:tc>
        <w:tc>
          <w:tcPr>
            <w:tcW w:w="850" w:type="dxa"/>
            <w:shd w:val="clear" w:color="auto" w:fill="auto"/>
            <w:vAlign w:val="bottom"/>
          </w:tcPr>
          <w:p w14:paraId="0F5A57C4" w14:textId="77777777" w:rsidR="00A023BD" w:rsidRPr="007B750E" w:rsidRDefault="00A023BD" w:rsidP="00A023BD">
            <w:pPr>
              <w:keepNext/>
              <w:jc w:val="right"/>
              <w:rPr>
                <w:color w:val="000000"/>
                <w:sz w:val="16"/>
                <w:szCs w:val="16"/>
                <w:lang w:eastAsia="en-NZ"/>
              </w:rPr>
            </w:pPr>
          </w:p>
        </w:tc>
      </w:tr>
      <w:tr w:rsidR="00A023BD" w:rsidRPr="001A61F1" w14:paraId="5FFC4100" w14:textId="77777777" w:rsidTr="00326B55">
        <w:tc>
          <w:tcPr>
            <w:tcW w:w="5387" w:type="dxa"/>
          </w:tcPr>
          <w:p w14:paraId="61DD1707" w14:textId="77777777" w:rsidR="00A023BD" w:rsidRPr="003F15C0" w:rsidRDefault="00A023BD" w:rsidP="00A023BD">
            <w:pPr>
              <w:spacing w:before="20"/>
              <w:ind w:left="176"/>
              <w:jc w:val="both"/>
              <w:rPr>
                <w:sz w:val="16"/>
                <w:szCs w:val="16"/>
              </w:rPr>
            </w:pPr>
            <w:r w:rsidRPr="003F15C0">
              <w:rPr>
                <w:sz w:val="16"/>
                <w:szCs w:val="16"/>
              </w:rPr>
              <w:t>Regular continuous gambler</w:t>
            </w:r>
          </w:p>
        </w:tc>
        <w:tc>
          <w:tcPr>
            <w:tcW w:w="1134" w:type="dxa"/>
            <w:shd w:val="clear" w:color="auto" w:fill="auto"/>
            <w:vAlign w:val="bottom"/>
          </w:tcPr>
          <w:p w14:paraId="79C94CB1"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3.16</w:t>
            </w:r>
          </w:p>
        </w:tc>
        <w:tc>
          <w:tcPr>
            <w:tcW w:w="1134" w:type="dxa"/>
            <w:shd w:val="clear" w:color="auto" w:fill="auto"/>
            <w:vAlign w:val="bottom"/>
          </w:tcPr>
          <w:p w14:paraId="3A902ABF"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(1.68, 5.93)</w:t>
            </w:r>
          </w:p>
        </w:tc>
        <w:tc>
          <w:tcPr>
            <w:tcW w:w="850" w:type="dxa"/>
            <w:shd w:val="clear" w:color="auto" w:fill="auto"/>
            <w:vAlign w:val="bottom"/>
          </w:tcPr>
          <w:p w14:paraId="47C4B262" w14:textId="77777777" w:rsidR="00A023BD" w:rsidRPr="007B750E" w:rsidRDefault="00A023BD" w:rsidP="00A023BD">
            <w:pPr>
              <w:keepNext/>
              <w:jc w:val="right"/>
              <w:rPr>
                <w:color w:val="000000"/>
                <w:sz w:val="16"/>
                <w:szCs w:val="16"/>
                <w:lang w:eastAsia="en-NZ"/>
              </w:rPr>
            </w:pPr>
            <w:r>
              <w:rPr>
                <w:color w:val="000000"/>
                <w:sz w:val="16"/>
                <w:szCs w:val="16"/>
                <w:lang w:eastAsia="en-NZ"/>
              </w:rPr>
              <w:t>0.003</w:t>
            </w:r>
          </w:p>
        </w:tc>
      </w:tr>
      <w:tr w:rsidR="00A023BD" w:rsidRPr="001A61F1" w14:paraId="24499256" w14:textId="77777777" w:rsidTr="00A023BD">
        <w:tc>
          <w:tcPr>
            <w:tcW w:w="5387" w:type="dxa"/>
            <w:vAlign w:val="bottom"/>
          </w:tcPr>
          <w:p w14:paraId="6B569050" w14:textId="77777777" w:rsidR="00A023BD" w:rsidRPr="003F15C0" w:rsidRDefault="00A023BD" w:rsidP="00A023BD">
            <w:pPr>
              <w:keepNext/>
              <w:keepLines/>
              <w:spacing w:before="20"/>
              <w:jc w:val="both"/>
              <w:rPr>
                <w:b/>
                <w:sz w:val="16"/>
                <w:szCs w:val="16"/>
              </w:rPr>
            </w:pPr>
            <w:r w:rsidRPr="003F15C0">
              <w:rPr>
                <w:rFonts w:eastAsiaTheme="minorEastAsia"/>
                <w:b/>
                <w:sz w:val="16"/>
                <w:szCs w:val="16"/>
                <w:lang w:eastAsia="en-US"/>
              </w:rPr>
              <w:t>Typical monthly gambling expenditure</w:t>
            </w:r>
          </w:p>
        </w:tc>
        <w:tc>
          <w:tcPr>
            <w:tcW w:w="1134" w:type="dxa"/>
            <w:shd w:val="clear" w:color="auto" w:fill="auto"/>
            <w:vAlign w:val="bottom"/>
          </w:tcPr>
          <w:p w14:paraId="72EB3BCE" w14:textId="77777777" w:rsidR="00A023BD" w:rsidRPr="007B750E" w:rsidRDefault="00A023BD" w:rsidP="00A023BD">
            <w:pPr>
              <w:keepNext/>
              <w:jc w:val="right"/>
              <w:rPr>
                <w:color w:val="000000"/>
                <w:sz w:val="16"/>
                <w:szCs w:val="16"/>
                <w:lang w:eastAsia="en-NZ"/>
              </w:rPr>
            </w:pPr>
          </w:p>
        </w:tc>
        <w:tc>
          <w:tcPr>
            <w:tcW w:w="1134" w:type="dxa"/>
            <w:shd w:val="clear" w:color="auto" w:fill="auto"/>
            <w:vAlign w:val="bottom"/>
          </w:tcPr>
          <w:p w14:paraId="456239A8" w14:textId="77777777" w:rsidR="00A023BD" w:rsidRPr="007B750E" w:rsidRDefault="00A023BD" w:rsidP="00A023BD">
            <w:pPr>
              <w:keepNext/>
              <w:jc w:val="right"/>
              <w:rPr>
                <w:color w:val="000000"/>
                <w:sz w:val="16"/>
                <w:szCs w:val="16"/>
                <w:lang w:eastAsia="en-NZ"/>
              </w:rPr>
            </w:pPr>
          </w:p>
        </w:tc>
        <w:tc>
          <w:tcPr>
            <w:tcW w:w="850" w:type="dxa"/>
            <w:shd w:val="clear" w:color="auto" w:fill="auto"/>
            <w:vAlign w:val="bottom"/>
          </w:tcPr>
          <w:p w14:paraId="644ACA8E" w14:textId="77777777" w:rsidR="00A023BD" w:rsidRPr="007B750E" w:rsidRDefault="00A023BD" w:rsidP="00A023BD">
            <w:pPr>
              <w:keepNext/>
              <w:jc w:val="right"/>
              <w:rPr>
                <w:color w:val="000000"/>
                <w:sz w:val="16"/>
                <w:szCs w:val="16"/>
                <w:lang w:eastAsia="en-NZ"/>
              </w:rPr>
            </w:pPr>
          </w:p>
        </w:tc>
      </w:tr>
      <w:tr w:rsidR="00A023BD" w:rsidRPr="001A61F1" w14:paraId="3A82BAD6" w14:textId="77777777" w:rsidTr="00A023BD">
        <w:tc>
          <w:tcPr>
            <w:tcW w:w="5387" w:type="dxa"/>
          </w:tcPr>
          <w:p w14:paraId="357FC489" w14:textId="77777777" w:rsidR="00A023BD" w:rsidRPr="003F15C0" w:rsidRDefault="00A023BD" w:rsidP="00A023BD">
            <w:pPr>
              <w:spacing w:before="20"/>
              <w:ind w:left="176"/>
              <w:jc w:val="both"/>
              <w:rPr>
                <w:sz w:val="16"/>
                <w:szCs w:val="16"/>
              </w:rPr>
            </w:pPr>
            <w:r>
              <w:rPr>
                <w:sz w:val="16"/>
                <w:szCs w:val="16"/>
              </w:rPr>
              <w:t>&lt;</w:t>
            </w:r>
            <w:r w:rsidRPr="003F15C0">
              <w:rPr>
                <w:sz w:val="16"/>
                <w:szCs w:val="16"/>
              </w:rPr>
              <w:t>$</w:t>
            </w:r>
            <w:r>
              <w:rPr>
                <w:sz w:val="16"/>
                <w:szCs w:val="16"/>
              </w:rPr>
              <w:t>20</w:t>
            </w:r>
          </w:p>
        </w:tc>
        <w:tc>
          <w:tcPr>
            <w:tcW w:w="1134" w:type="dxa"/>
            <w:shd w:val="clear" w:color="auto" w:fill="auto"/>
            <w:vAlign w:val="bottom"/>
          </w:tcPr>
          <w:p w14:paraId="01A386B4"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1.00</w:t>
            </w:r>
          </w:p>
        </w:tc>
        <w:tc>
          <w:tcPr>
            <w:tcW w:w="1134" w:type="dxa"/>
            <w:shd w:val="clear" w:color="auto" w:fill="auto"/>
            <w:vAlign w:val="bottom"/>
          </w:tcPr>
          <w:p w14:paraId="79734D14" w14:textId="77777777" w:rsidR="00A023BD" w:rsidRPr="00491C93" w:rsidRDefault="00A023BD" w:rsidP="00A023BD">
            <w:pPr>
              <w:keepNext/>
              <w:jc w:val="right"/>
              <w:rPr>
                <w:color w:val="000000"/>
                <w:sz w:val="16"/>
                <w:szCs w:val="16"/>
                <w:lang w:eastAsia="en-NZ"/>
              </w:rPr>
            </w:pPr>
          </w:p>
        </w:tc>
        <w:tc>
          <w:tcPr>
            <w:tcW w:w="850" w:type="dxa"/>
            <w:shd w:val="clear" w:color="auto" w:fill="auto"/>
            <w:vAlign w:val="bottom"/>
          </w:tcPr>
          <w:p w14:paraId="5760E01E" w14:textId="77777777" w:rsidR="00A023BD" w:rsidRPr="00491C93" w:rsidRDefault="00A023BD" w:rsidP="00A023BD">
            <w:pPr>
              <w:keepNext/>
              <w:jc w:val="right"/>
              <w:rPr>
                <w:color w:val="000000"/>
                <w:sz w:val="16"/>
                <w:szCs w:val="16"/>
                <w:lang w:eastAsia="en-NZ"/>
              </w:rPr>
            </w:pPr>
          </w:p>
        </w:tc>
      </w:tr>
      <w:tr w:rsidR="00A023BD" w:rsidRPr="001A61F1" w14:paraId="00B1195D" w14:textId="77777777" w:rsidTr="00A023BD">
        <w:tc>
          <w:tcPr>
            <w:tcW w:w="5387" w:type="dxa"/>
          </w:tcPr>
          <w:p w14:paraId="444678B6" w14:textId="77777777" w:rsidR="00A023BD" w:rsidRPr="003F15C0" w:rsidRDefault="00A023BD" w:rsidP="00A023BD">
            <w:pPr>
              <w:spacing w:before="20"/>
              <w:ind w:left="176"/>
              <w:jc w:val="both"/>
              <w:rPr>
                <w:sz w:val="16"/>
                <w:szCs w:val="16"/>
              </w:rPr>
            </w:pPr>
            <w:r w:rsidRPr="003F15C0">
              <w:rPr>
                <w:sz w:val="16"/>
                <w:szCs w:val="16"/>
              </w:rPr>
              <w:t>$21 - $</w:t>
            </w:r>
            <w:r>
              <w:rPr>
                <w:sz w:val="16"/>
                <w:szCs w:val="16"/>
              </w:rPr>
              <w:t>5</w:t>
            </w:r>
            <w:r w:rsidRPr="003F15C0">
              <w:rPr>
                <w:sz w:val="16"/>
                <w:szCs w:val="16"/>
              </w:rPr>
              <w:t>0</w:t>
            </w:r>
          </w:p>
        </w:tc>
        <w:tc>
          <w:tcPr>
            <w:tcW w:w="1134" w:type="dxa"/>
            <w:shd w:val="clear" w:color="auto" w:fill="auto"/>
            <w:vAlign w:val="bottom"/>
          </w:tcPr>
          <w:p w14:paraId="5E91B735"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1.24</w:t>
            </w:r>
          </w:p>
        </w:tc>
        <w:tc>
          <w:tcPr>
            <w:tcW w:w="1134" w:type="dxa"/>
            <w:shd w:val="clear" w:color="auto" w:fill="auto"/>
            <w:vAlign w:val="bottom"/>
          </w:tcPr>
          <w:p w14:paraId="172E44F9"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(0.57, 2.74)</w:t>
            </w:r>
          </w:p>
        </w:tc>
        <w:tc>
          <w:tcPr>
            <w:tcW w:w="850" w:type="dxa"/>
            <w:shd w:val="clear" w:color="auto" w:fill="auto"/>
            <w:vAlign w:val="bottom"/>
          </w:tcPr>
          <w:p w14:paraId="6518BA54" w14:textId="77777777" w:rsidR="00A023BD" w:rsidRPr="00491C93" w:rsidRDefault="00A023BD" w:rsidP="00A023BD">
            <w:pPr>
              <w:keepNext/>
              <w:jc w:val="right"/>
              <w:rPr>
                <w:color w:val="000000"/>
                <w:sz w:val="16"/>
                <w:szCs w:val="16"/>
                <w:lang w:eastAsia="en-NZ"/>
              </w:rPr>
            </w:pPr>
          </w:p>
        </w:tc>
      </w:tr>
      <w:tr w:rsidR="00A023BD" w:rsidRPr="001A61F1" w14:paraId="25AC21AF" w14:textId="77777777" w:rsidTr="00326B55">
        <w:tc>
          <w:tcPr>
            <w:tcW w:w="5387" w:type="dxa"/>
          </w:tcPr>
          <w:p w14:paraId="2526A708" w14:textId="77777777" w:rsidR="00A023BD" w:rsidRPr="003F15C0" w:rsidRDefault="00A023BD" w:rsidP="00A023BD">
            <w:pPr>
              <w:spacing w:before="20"/>
              <w:ind w:left="176"/>
              <w:jc w:val="both"/>
              <w:rPr>
                <w:sz w:val="16"/>
                <w:szCs w:val="16"/>
              </w:rPr>
            </w:pPr>
            <w:r>
              <w:rPr>
                <w:sz w:val="16"/>
                <w:szCs w:val="16"/>
              </w:rPr>
              <w:t>&gt;$50</w:t>
            </w:r>
          </w:p>
        </w:tc>
        <w:tc>
          <w:tcPr>
            <w:tcW w:w="1134" w:type="dxa"/>
            <w:shd w:val="clear" w:color="auto" w:fill="auto"/>
            <w:vAlign w:val="bottom"/>
          </w:tcPr>
          <w:p w14:paraId="56E291C2"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4.51</w:t>
            </w:r>
          </w:p>
        </w:tc>
        <w:tc>
          <w:tcPr>
            <w:tcW w:w="1134" w:type="dxa"/>
            <w:shd w:val="clear" w:color="auto" w:fill="auto"/>
            <w:vAlign w:val="bottom"/>
          </w:tcPr>
          <w:p w14:paraId="4CFE9921"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(2.16, 9.43)</w:t>
            </w:r>
          </w:p>
        </w:tc>
        <w:tc>
          <w:tcPr>
            <w:tcW w:w="850" w:type="dxa"/>
            <w:shd w:val="clear" w:color="auto" w:fill="auto"/>
            <w:vAlign w:val="bottom"/>
          </w:tcPr>
          <w:p w14:paraId="5E455A75"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&lt;0.0001</w:t>
            </w:r>
          </w:p>
        </w:tc>
      </w:tr>
      <w:tr w:rsidR="00A023BD" w:rsidRPr="001A61F1" w14:paraId="1F85EFD2" w14:textId="77777777" w:rsidTr="00A023BD">
        <w:tc>
          <w:tcPr>
            <w:tcW w:w="5387" w:type="dxa"/>
            <w:vAlign w:val="bottom"/>
          </w:tcPr>
          <w:p w14:paraId="5794EE9F" w14:textId="77777777" w:rsidR="00A023BD" w:rsidRPr="003F15C0" w:rsidRDefault="00A023BD" w:rsidP="00A023BD">
            <w:pPr>
              <w:spacing w:before="20"/>
              <w:jc w:val="both"/>
              <w:rPr>
                <w:b/>
                <w:sz w:val="16"/>
                <w:szCs w:val="16"/>
              </w:rPr>
            </w:pPr>
            <w:r w:rsidRPr="003F15C0">
              <w:rPr>
                <w:b/>
                <w:sz w:val="16"/>
                <w:szCs w:val="16"/>
              </w:rPr>
              <w:t>Card games - monthly</w:t>
            </w:r>
          </w:p>
        </w:tc>
        <w:tc>
          <w:tcPr>
            <w:tcW w:w="1134" w:type="dxa"/>
            <w:shd w:val="clear" w:color="auto" w:fill="auto"/>
            <w:vAlign w:val="bottom"/>
          </w:tcPr>
          <w:p w14:paraId="07931E82" w14:textId="77777777" w:rsidR="00A023BD" w:rsidRPr="007B750E" w:rsidRDefault="00A023BD" w:rsidP="00A023BD">
            <w:pPr>
              <w:keepNext/>
              <w:jc w:val="right"/>
              <w:rPr>
                <w:color w:val="000000"/>
                <w:sz w:val="16"/>
                <w:szCs w:val="16"/>
                <w:lang w:eastAsia="en-NZ"/>
              </w:rPr>
            </w:pPr>
          </w:p>
        </w:tc>
        <w:tc>
          <w:tcPr>
            <w:tcW w:w="1134" w:type="dxa"/>
            <w:shd w:val="clear" w:color="auto" w:fill="auto"/>
            <w:vAlign w:val="bottom"/>
          </w:tcPr>
          <w:p w14:paraId="3206256A" w14:textId="77777777" w:rsidR="00A023BD" w:rsidRPr="007B750E" w:rsidRDefault="00A023BD" w:rsidP="00A023BD">
            <w:pPr>
              <w:keepNext/>
              <w:jc w:val="right"/>
              <w:rPr>
                <w:color w:val="000000"/>
                <w:sz w:val="16"/>
                <w:szCs w:val="16"/>
                <w:lang w:eastAsia="en-NZ"/>
              </w:rPr>
            </w:pPr>
          </w:p>
        </w:tc>
        <w:tc>
          <w:tcPr>
            <w:tcW w:w="850" w:type="dxa"/>
            <w:shd w:val="clear" w:color="auto" w:fill="auto"/>
            <w:vAlign w:val="bottom"/>
          </w:tcPr>
          <w:p w14:paraId="30D61239" w14:textId="77777777" w:rsidR="00A023BD" w:rsidRPr="007B750E" w:rsidRDefault="00A023BD" w:rsidP="00A023BD">
            <w:pPr>
              <w:keepNext/>
              <w:jc w:val="right"/>
              <w:rPr>
                <w:color w:val="000000"/>
                <w:sz w:val="16"/>
                <w:szCs w:val="16"/>
                <w:lang w:eastAsia="en-NZ"/>
              </w:rPr>
            </w:pPr>
          </w:p>
        </w:tc>
      </w:tr>
      <w:tr w:rsidR="00A023BD" w:rsidRPr="001A61F1" w14:paraId="4207F031" w14:textId="77777777" w:rsidTr="00A023BD">
        <w:tc>
          <w:tcPr>
            <w:tcW w:w="5387" w:type="dxa"/>
          </w:tcPr>
          <w:p w14:paraId="704E2054"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bottom"/>
          </w:tcPr>
          <w:p w14:paraId="003B3CF1"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1.00</w:t>
            </w:r>
          </w:p>
        </w:tc>
        <w:tc>
          <w:tcPr>
            <w:tcW w:w="1134" w:type="dxa"/>
            <w:shd w:val="clear" w:color="auto" w:fill="auto"/>
            <w:vAlign w:val="bottom"/>
          </w:tcPr>
          <w:p w14:paraId="7B9D97EE" w14:textId="77777777" w:rsidR="00A023BD" w:rsidRPr="00491C93" w:rsidRDefault="00A023BD" w:rsidP="00A023BD">
            <w:pPr>
              <w:keepNext/>
              <w:jc w:val="right"/>
              <w:rPr>
                <w:color w:val="000000"/>
                <w:sz w:val="16"/>
                <w:szCs w:val="16"/>
                <w:lang w:eastAsia="en-NZ"/>
              </w:rPr>
            </w:pPr>
          </w:p>
        </w:tc>
        <w:tc>
          <w:tcPr>
            <w:tcW w:w="850" w:type="dxa"/>
            <w:shd w:val="clear" w:color="auto" w:fill="auto"/>
            <w:vAlign w:val="bottom"/>
          </w:tcPr>
          <w:p w14:paraId="67DA7002" w14:textId="77777777" w:rsidR="00A023BD" w:rsidRPr="00491C93" w:rsidRDefault="00A023BD" w:rsidP="00A023BD">
            <w:pPr>
              <w:keepNext/>
              <w:jc w:val="right"/>
              <w:rPr>
                <w:color w:val="000000"/>
                <w:sz w:val="16"/>
                <w:szCs w:val="16"/>
                <w:lang w:eastAsia="en-NZ"/>
              </w:rPr>
            </w:pPr>
          </w:p>
        </w:tc>
      </w:tr>
      <w:tr w:rsidR="00A023BD" w:rsidRPr="001A61F1" w14:paraId="205B773F" w14:textId="77777777" w:rsidTr="00326B55">
        <w:tc>
          <w:tcPr>
            <w:tcW w:w="5387" w:type="dxa"/>
          </w:tcPr>
          <w:p w14:paraId="45965E1E"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bottom"/>
          </w:tcPr>
          <w:p w14:paraId="34A58854"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4.16</w:t>
            </w:r>
          </w:p>
        </w:tc>
        <w:tc>
          <w:tcPr>
            <w:tcW w:w="1134" w:type="dxa"/>
            <w:shd w:val="clear" w:color="auto" w:fill="auto"/>
            <w:vAlign w:val="bottom"/>
          </w:tcPr>
          <w:p w14:paraId="4D6BD9C7"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(1.47, 11.77)</w:t>
            </w:r>
          </w:p>
        </w:tc>
        <w:tc>
          <w:tcPr>
            <w:tcW w:w="850" w:type="dxa"/>
            <w:shd w:val="clear" w:color="auto" w:fill="auto"/>
            <w:vAlign w:val="bottom"/>
          </w:tcPr>
          <w:p w14:paraId="3D8E8A46"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0.007</w:t>
            </w:r>
          </w:p>
        </w:tc>
      </w:tr>
      <w:tr w:rsidR="00A023BD" w:rsidRPr="001A61F1" w14:paraId="2AC68B10" w14:textId="77777777" w:rsidTr="00A023BD">
        <w:tc>
          <w:tcPr>
            <w:tcW w:w="5387" w:type="dxa"/>
            <w:vAlign w:val="bottom"/>
          </w:tcPr>
          <w:p w14:paraId="6FFA813A" w14:textId="77777777" w:rsidR="00A023BD" w:rsidRPr="003F15C0" w:rsidRDefault="00A023BD" w:rsidP="00A023BD">
            <w:pPr>
              <w:spacing w:before="20"/>
              <w:jc w:val="both"/>
              <w:rPr>
                <w:b/>
                <w:sz w:val="16"/>
                <w:szCs w:val="16"/>
              </w:rPr>
            </w:pPr>
            <w:r w:rsidRPr="003F15C0">
              <w:rPr>
                <w:b/>
                <w:sz w:val="16"/>
                <w:szCs w:val="16"/>
              </w:rPr>
              <w:t>Sports betting - monthly</w:t>
            </w:r>
          </w:p>
        </w:tc>
        <w:tc>
          <w:tcPr>
            <w:tcW w:w="1134" w:type="dxa"/>
            <w:shd w:val="clear" w:color="auto" w:fill="auto"/>
            <w:vAlign w:val="bottom"/>
          </w:tcPr>
          <w:p w14:paraId="783C8A00" w14:textId="77777777" w:rsidR="00A023BD" w:rsidRPr="007B750E" w:rsidRDefault="00A023BD" w:rsidP="00A023BD">
            <w:pPr>
              <w:keepNext/>
              <w:jc w:val="right"/>
              <w:rPr>
                <w:color w:val="000000"/>
                <w:sz w:val="16"/>
                <w:szCs w:val="16"/>
                <w:lang w:eastAsia="en-NZ"/>
              </w:rPr>
            </w:pPr>
          </w:p>
        </w:tc>
        <w:tc>
          <w:tcPr>
            <w:tcW w:w="1134" w:type="dxa"/>
            <w:shd w:val="clear" w:color="auto" w:fill="auto"/>
            <w:vAlign w:val="bottom"/>
          </w:tcPr>
          <w:p w14:paraId="45870C9F" w14:textId="77777777" w:rsidR="00A023BD" w:rsidRPr="007B750E" w:rsidRDefault="00A023BD" w:rsidP="00A023BD">
            <w:pPr>
              <w:keepNext/>
              <w:jc w:val="right"/>
              <w:rPr>
                <w:color w:val="000000"/>
                <w:sz w:val="16"/>
                <w:szCs w:val="16"/>
                <w:lang w:eastAsia="en-NZ"/>
              </w:rPr>
            </w:pPr>
          </w:p>
        </w:tc>
        <w:tc>
          <w:tcPr>
            <w:tcW w:w="850" w:type="dxa"/>
            <w:shd w:val="clear" w:color="auto" w:fill="auto"/>
            <w:vAlign w:val="bottom"/>
          </w:tcPr>
          <w:p w14:paraId="68FC1BE2" w14:textId="77777777" w:rsidR="00A023BD" w:rsidRPr="007B750E" w:rsidRDefault="00A023BD" w:rsidP="00A023BD">
            <w:pPr>
              <w:keepNext/>
              <w:jc w:val="right"/>
              <w:rPr>
                <w:color w:val="000000"/>
                <w:sz w:val="16"/>
                <w:szCs w:val="16"/>
                <w:lang w:eastAsia="en-NZ"/>
              </w:rPr>
            </w:pPr>
          </w:p>
        </w:tc>
      </w:tr>
      <w:tr w:rsidR="00A023BD" w:rsidRPr="001A61F1" w14:paraId="39063E1F" w14:textId="77777777" w:rsidTr="00A023BD">
        <w:tc>
          <w:tcPr>
            <w:tcW w:w="5387" w:type="dxa"/>
          </w:tcPr>
          <w:p w14:paraId="1DD1B61D"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bottom"/>
          </w:tcPr>
          <w:p w14:paraId="11442D16"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1.00</w:t>
            </w:r>
          </w:p>
        </w:tc>
        <w:tc>
          <w:tcPr>
            <w:tcW w:w="1134" w:type="dxa"/>
            <w:shd w:val="clear" w:color="auto" w:fill="auto"/>
            <w:vAlign w:val="bottom"/>
          </w:tcPr>
          <w:p w14:paraId="7F826175" w14:textId="77777777" w:rsidR="00A023BD" w:rsidRPr="00491C93" w:rsidRDefault="00A023BD" w:rsidP="00A023BD">
            <w:pPr>
              <w:keepNext/>
              <w:jc w:val="right"/>
              <w:rPr>
                <w:color w:val="000000"/>
                <w:sz w:val="16"/>
                <w:szCs w:val="16"/>
                <w:lang w:eastAsia="en-NZ"/>
              </w:rPr>
            </w:pPr>
          </w:p>
        </w:tc>
        <w:tc>
          <w:tcPr>
            <w:tcW w:w="850" w:type="dxa"/>
            <w:shd w:val="clear" w:color="auto" w:fill="auto"/>
            <w:vAlign w:val="bottom"/>
          </w:tcPr>
          <w:p w14:paraId="47E1B5BF" w14:textId="77777777" w:rsidR="00A023BD" w:rsidRPr="00491C93" w:rsidRDefault="00A023BD" w:rsidP="00A023BD">
            <w:pPr>
              <w:keepNext/>
              <w:jc w:val="right"/>
              <w:rPr>
                <w:color w:val="000000"/>
                <w:sz w:val="16"/>
                <w:szCs w:val="16"/>
                <w:lang w:eastAsia="en-NZ"/>
              </w:rPr>
            </w:pPr>
          </w:p>
        </w:tc>
      </w:tr>
      <w:tr w:rsidR="00A023BD" w:rsidRPr="001A61F1" w14:paraId="3D140BD6" w14:textId="77777777" w:rsidTr="00326B55">
        <w:tc>
          <w:tcPr>
            <w:tcW w:w="5387" w:type="dxa"/>
          </w:tcPr>
          <w:p w14:paraId="3F8A0E04"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bottom"/>
          </w:tcPr>
          <w:p w14:paraId="2E4898BB"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7.60</w:t>
            </w:r>
          </w:p>
        </w:tc>
        <w:tc>
          <w:tcPr>
            <w:tcW w:w="1134" w:type="dxa"/>
            <w:shd w:val="clear" w:color="auto" w:fill="auto"/>
            <w:vAlign w:val="bottom"/>
          </w:tcPr>
          <w:p w14:paraId="3217F947"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(2.40, 24.02)</w:t>
            </w:r>
          </w:p>
        </w:tc>
        <w:tc>
          <w:tcPr>
            <w:tcW w:w="850" w:type="dxa"/>
            <w:shd w:val="clear" w:color="auto" w:fill="auto"/>
            <w:vAlign w:val="bottom"/>
          </w:tcPr>
          <w:p w14:paraId="5CC2ED3C"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0.0006</w:t>
            </w:r>
          </w:p>
        </w:tc>
      </w:tr>
      <w:tr w:rsidR="00A023BD" w:rsidRPr="001A61F1" w14:paraId="28544EF2" w14:textId="77777777" w:rsidTr="00A023BD">
        <w:tc>
          <w:tcPr>
            <w:tcW w:w="5387" w:type="dxa"/>
            <w:vAlign w:val="bottom"/>
          </w:tcPr>
          <w:p w14:paraId="4516DFF1" w14:textId="77777777" w:rsidR="00A023BD" w:rsidRPr="003F15C0" w:rsidRDefault="00A023BD" w:rsidP="00A023BD">
            <w:pPr>
              <w:keepNext/>
              <w:spacing w:before="20"/>
              <w:jc w:val="both"/>
              <w:rPr>
                <w:b/>
                <w:sz w:val="16"/>
                <w:szCs w:val="16"/>
              </w:rPr>
            </w:pPr>
            <w:r w:rsidRPr="003F15C0">
              <w:rPr>
                <w:b/>
                <w:sz w:val="16"/>
                <w:szCs w:val="16"/>
              </w:rPr>
              <w:t>EGMs</w:t>
            </w:r>
            <w:r>
              <w:rPr>
                <w:b/>
                <w:sz w:val="16"/>
                <w:szCs w:val="16"/>
              </w:rPr>
              <w:t xml:space="preserve"> overall</w:t>
            </w:r>
            <w:r w:rsidRPr="003F15C0">
              <w:rPr>
                <w:b/>
                <w:sz w:val="16"/>
                <w:szCs w:val="16"/>
              </w:rPr>
              <w:t xml:space="preserve"> - monthly</w:t>
            </w:r>
          </w:p>
        </w:tc>
        <w:tc>
          <w:tcPr>
            <w:tcW w:w="1134" w:type="dxa"/>
            <w:shd w:val="clear" w:color="auto" w:fill="auto"/>
            <w:vAlign w:val="bottom"/>
          </w:tcPr>
          <w:p w14:paraId="1999FA2B" w14:textId="77777777" w:rsidR="00A023BD" w:rsidRPr="007B750E" w:rsidRDefault="00A023BD" w:rsidP="00A023BD">
            <w:pPr>
              <w:keepNext/>
              <w:jc w:val="right"/>
              <w:rPr>
                <w:color w:val="000000"/>
                <w:sz w:val="16"/>
                <w:szCs w:val="16"/>
                <w:lang w:eastAsia="en-NZ"/>
              </w:rPr>
            </w:pPr>
          </w:p>
        </w:tc>
        <w:tc>
          <w:tcPr>
            <w:tcW w:w="1134" w:type="dxa"/>
            <w:shd w:val="clear" w:color="auto" w:fill="auto"/>
            <w:vAlign w:val="bottom"/>
          </w:tcPr>
          <w:p w14:paraId="431F0063" w14:textId="77777777" w:rsidR="00A023BD" w:rsidRPr="007B750E" w:rsidRDefault="00A023BD" w:rsidP="00A023BD">
            <w:pPr>
              <w:keepNext/>
              <w:jc w:val="right"/>
              <w:rPr>
                <w:color w:val="000000"/>
                <w:sz w:val="16"/>
                <w:szCs w:val="16"/>
                <w:lang w:eastAsia="en-NZ"/>
              </w:rPr>
            </w:pPr>
          </w:p>
        </w:tc>
        <w:tc>
          <w:tcPr>
            <w:tcW w:w="850" w:type="dxa"/>
            <w:shd w:val="clear" w:color="auto" w:fill="auto"/>
            <w:vAlign w:val="bottom"/>
          </w:tcPr>
          <w:p w14:paraId="175EBBB8" w14:textId="77777777" w:rsidR="00A023BD" w:rsidRPr="007B750E" w:rsidRDefault="00A023BD" w:rsidP="00A023BD">
            <w:pPr>
              <w:keepNext/>
              <w:jc w:val="right"/>
              <w:rPr>
                <w:color w:val="000000"/>
                <w:sz w:val="16"/>
                <w:szCs w:val="16"/>
                <w:lang w:eastAsia="en-NZ"/>
              </w:rPr>
            </w:pPr>
          </w:p>
        </w:tc>
      </w:tr>
      <w:tr w:rsidR="00A023BD" w:rsidRPr="001A61F1" w14:paraId="52D2EBEC" w14:textId="77777777" w:rsidTr="00A023BD">
        <w:tc>
          <w:tcPr>
            <w:tcW w:w="5387" w:type="dxa"/>
          </w:tcPr>
          <w:p w14:paraId="4565703B" w14:textId="77777777" w:rsidR="00A023BD" w:rsidRPr="003F15C0" w:rsidRDefault="00A023BD" w:rsidP="00A023BD">
            <w:pPr>
              <w:keepNext/>
              <w:spacing w:before="20"/>
              <w:ind w:left="176"/>
              <w:jc w:val="both"/>
              <w:rPr>
                <w:sz w:val="16"/>
                <w:szCs w:val="16"/>
              </w:rPr>
            </w:pPr>
            <w:r w:rsidRPr="003F15C0">
              <w:rPr>
                <w:sz w:val="16"/>
                <w:szCs w:val="16"/>
              </w:rPr>
              <w:t>No</w:t>
            </w:r>
          </w:p>
        </w:tc>
        <w:tc>
          <w:tcPr>
            <w:tcW w:w="1134" w:type="dxa"/>
            <w:shd w:val="clear" w:color="auto" w:fill="auto"/>
            <w:vAlign w:val="bottom"/>
          </w:tcPr>
          <w:p w14:paraId="5F8F6ADD"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1.00</w:t>
            </w:r>
          </w:p>
        </w:tc>
        <w:tc>
          <w:tcPr>
            <w:tcW w:w="1134" w:type="dxa"/>
            <w:shd w:val="clear" w:color="auto" w:fill="auto"/>
            <w:vAlign w:val="bottom"/>
          </w:tcPr>
          <w:p w14:paraId="1C037B8D" w14:textId="77777777" w:rsidR="00A023BD" w:rsidRPr="00491C93" w:rsidRDefault="00A023BD" w:rsidP="00A023BD">
            <w:pPr>
              <w:keepNext/>
              <w:jc w:val="right"/>
              <w:rPr>
                <w:color w:val="000000"/>
                <w:sz w:val="16"/>
                <w:szCs w:val="16"/>
                <w:lang w:eastAsia="en-NZ"/>
              </w:rPr>
            </w:pPr>
          </w:p>
        </w:tc>
        <w:tc>
          <w:tcPr>
            <w:tcW w:w="850" w:type="dxa"/>
            <w:shd w:val="clear" w:color="auto" w:fill="auto"/>
            <w:vAlign w:val="bottom"/>
          </w:tcPr>
          <w:p w14:paraId="4CA78CD7" w14:textId="77777777" w:rsidR="00A023BD" w:rsidRPr="00491C93" w:rsidRDefault="00A023BD" w:rsidP="00A023BD">
            <w:pPr>
              <w:keepNext/>
              <w:jc w:val="right"/>
              <w:rPr>
                <w:color w:val="000000"/>
                <w:sz w:val="16"/>
                <w:szCs w:val="16"/>
                <w:lang w:eastAsia="en-NZ"/>
              </w:rPr>
            </w:pPr>
          </w:p>
        </w:tc>
      </w:tr>
      <w:tr w:rsidR="00A023BD" w:rsidRPr="001A61F1" w14:paraId="7CCAB3C8" w14:textId="77777777" w:rsidTr="00326B55">
        <w:tc>
          <w:tcPr>
            <w:tcW w:w="5387" w:type="dxa"/>
          </w:tcPr>
          <w:p w14:paraId="00B19215"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bottom"/>
          </w:tcPr>
          <w:p w14:paraId="373DDED6"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6.20</w:t>
            </w:r>
          </w:p>
        </w:tc>
        <w:tc>
          <w:tcPr>
            <w:tcW w:w="1134" w:type="dxa"/>
            <w:shd w:val="clear" w:color="auto" w:fill="auto"/>
            <w:vAlign w:val="bottom"/>
          </w:tcPr>
          <w:p w14:paraId="5B9A7BDA"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(3.07, 12.50)</w:t>
            </w:r>
          </w:p>
        </w:tc>
        <w:tc>
          <w:tcPr>
            <w:tcW w:w="850" w:type="dxa"/>
            <w:shd w:val="clear" w:color="auto" w:fill="auto"/>
            <w:vAlign w:val="bottom"/>
          </w:tcPr>
          <w:p w14:paraId="508E43C5"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&lt;0.0001</w:t>
            </w:r>
          </w:p>
        </w:tc>
      </w:tr>
      <w:tr w:rsidR="00A023BD" w:rsidRPr="001A61F1" w14:paraId="42FC5DC3" w14:textId="77777777" w:rsidTr="00A023BD">
        <w:tc>
          <w:tcPr>
            <w:tcW w:w="5387" w:type="dxa"/>
            <w:vAlign w:val="bottom"/>
          </w:tcPr>
          <w:p w14:paraId="075FE9FC" w14:textId="77777777" w:rsidR="00A023BD" w:rsidRPr="003F15C0" w:rsidRDefault="00A023BD" w:rsidP="00A023BD">
            <w:pPr>
              <w:spacing w:before="20"/>
              <w:jc w:val="both"/>
              <w:rPr>
                <w:b/>
                <w:sz w:val="16"/>
                <w:szCs w:val="16"/>
              </w:rPr>
            </w:pPr>
            <w:r>
              <w:rPr>
                <w:b/>
                <w:sz w:val="16"/>
                <w:szCs w:val="16"/>
              </w:rPr>
              <w:t>Gambling-type games not for money</w:t>
            </w:r>
            <w:r w:rsidRPr="003F15C0">
              <w:rPr>
                <w:b/>
                <w:sz w:val="16"/>
                <w:szCs w:val="16"/>
              </w:rPr>
              <w:t xml:space="preserve"> - monthly</w:t>
            </w:r>
          </w:p>
        </w:tc>
        <w:tc>
          <w:tcPr>
            <w:tcW w:w="1134" w:type="dxa"/>
            <w:shd w:val="clear" w:color="auto" w:fill="auto"/>
            <w:vAlign w:val="bottom"/>
          </w:tcPr>
          <w:p w14:paraId="05A01270" w14:textId="77777777" w:rsidR="00A023BD" w:rsidRPr="007B750E" w:rsidRDefault="00A023BD" w:rsidP="00A023BD">
            <w:pPr>
              <w:keepNext/>
              <w:jc w:val="right"/>
              <w:rPr>
                <w:color w:val="000000"/>
                <w:sz w:val="16"/>
                <w:szCs w:val="16"/>
                <w:lang w:eastAsia="en-NZ"/>
              </w:rPr>
            </w:pPr>
          </w:p>
        </w:tc>
        <w:tc>
          <w:tcPr>
            <w:tcW w:w="1134" w:type="dxa"/>
            <w:shd w:val="clear" w:color="auto" w:fill="auto"/>
            <w:vAlign w:val="bottom"/>
          </w:tcPr>
          <w:p w14:paraId="68EFF467" w14:textId="77777777" w:rsidR="00A023BD" w:rsidRPr="007B750E" w:rsidRDefault="00A023BD" w:rsidP="00A023BD">
            <w:pPr>
              <w:keepNext/>
              <w:jc w:val="right"/>
              <w:rPr>
                <w:color w:val="000000"/>
                <w:sz w:val="16"/>
                <w:szCs w:val="16"/>
                <w:lang w:eastAsia="en-NZ"/>
              </w:rPr>
            </w:pPr>
          </w:p>
        </w:tc>
        <w:tc>
          <w:tcPr>
            <w:tcW w:w="850" w:type="dxa"/>
            <w:shd w:val="clear" w:color="auto" w:fill="auto"/>
            <w:vAlign w:val="bottom"/>
          </w:tcPr>
          <w:p w14:paraId="58800994" w14:textId="77777777" w:rsidR="00A023BD" w:rsidRPr="007B750E" w:rsidRDefault="00A023BD" w:rsidP="00A023BD">
            <w:pPr>
              <w:keepNext/>
              <w:jc w:val="right"/>
              <w:rPr>
                <w:color w:val="000000"/>
                <w:sz w:val="16"/>
                <w:szCs w:val="16"/>
                <w:lang w:eastAsia="en-NZ"/>
              </w:rPr>
            </w:pPr>
          </w:p>
        </w:tc>
      </w:tr>
      <w:tr w:rsidR="00A023BD" w:rsidRPr="001A61F1" w14:paraId="59048E13" w14:textId="77777777" w:rsidTr="00A023BD">
        <w:tc>
          <w:tcPr>
            <w:tcW w:w="5387" w:type="dxa"/>
          </w:tcPr>
          <w:p w14:paraId="66A5EA5D"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bottom"/>
          </w:tcPr>
          <w:p w14:paraId="061CDA8A"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1.00</w:t>
            </w:r>
          </w:p>
        </w:tc>
        <w:tc>
          <w:tcPr>
            <w:tcW w:w="1134" w:type="dxa"/>
            <w:shd w:val="clear" w:color="auto" w:fill="auto"/>
            <w:vAlign w:val="bottom"/>
          </w:tcPr>
          <w:p w14:paraId="1BF89110" w14:textId="77777777" w:rsidR="00A023BD" w:rsidRPr="00491C93" w:rsidRDefault="00A023BD" w:rsidP="00A023BD">
            <w:pPr>
              <w:keepNext/>
              <w:jc w:val="right"/>
              <w:rPr>
                <w:color w:val="000000"/>
                <w:sz w:val="16"/>
                <w:szCs w:val="16"/>
                <w:lang w:eastAsia="en-NZ"/>
              </w:rPr>
            </w:pPr>
          </w:p>
        </w:tc>
        <w:tc>
          <w:tcPr>
            <w:tcW w:w="850" w:type="dxa"/>
            <w:shd w:val="clear" w:color="auto" w:fill="auto"/>
            <w:vAlign w:val="bottom"/>
          </w:tcPr>
          <w:p w14:paraId="29E1DDBE" w14:textId="77777777" w:rsidR="00A023BD" w:rsidRPr="00491C93" w:rsidRDefault="00A023BD" w:rsidP="00A023BD">
            <w:pPr>
              <w:keepNext/>
              <w:jc w:val="right"/>
              <w:rPr>
                <w:color w:val="000000"/>
                <w:sz w:val="16"/>
                <w:szCs w:val="16"/>
                <w:lang w:eastAsia="en-NZ"/>
              </w:rPr>
            </w:pPr>
          </w:p>
        </w:tc>
      </w:tr>
      <w:tr w:rsidR="00A023BD" w:rsidRPr="001A61F1" w14:paraId="2CCC75D2" w14:textId="77777777" w:rsidTr="00326B55">
        <w:tc>
          <w:tcPr>
            <w:tcW w:w="5387" w:type="dxa"/>
          </w:tcPr>
          <w:p w14:paraId="1ECB56C1"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bottom"/>
          </w:tcPr>
          <w:p w14:paraId="79CBFA82"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2.25</w:t>
            </w:r>
          </w:p>
        </w:tc>
        <w:tc>
          <w:tcPr>
            <w:tcW w:w="1134" w:type="dxa"/>
            <w:shd w:val="clear" w:color="auto" w:fill="auto"/>
            <w:vAlign w:val="bottom"/>
          </w:tcPr>
          <w:p w14:paraId="2156499C"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(1.35, 3.75)</w:t>
            </w:r>
          </w:p>
        </w:tc>
        <w:tc>
          <w:tcPr>
            <w:tcW w:w="850" w:type="dxa"/>
            <w:shd w:val="clear" w:color="auto" w:fill="auto"/>
            <w:vAlign w:val="bottom"/>
          </w:tcPr>
          <w:p w14:paraId="0652AD3B"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0.002</w:t>
            </w:r>
          </w:p>
        </w:tc>
      </w:tr>
      <w:tr w:rsidR="00A023BD" w:rsidRPr="001A61F1" w14:paraId="18CCE639" w14:textId="77777777" w:rsidTr="00A023BD">
        <w:tc>
          <w:tcPr>
            <w:tcW w:w="5387" w:type="dxa"/>
          </w:tcPr>
          <w:p w14:paraId="3AD0B468" w14:textId="77777777" w:rsidR="00A023BD" w:rsidRPr="003F15C0" w:rsidRDefault="00A023BD" w:rsidP="00A023BD">
            <w:pPr>
              <w:spacing w:before="20"/>
              <w:rPr>
                <w:b/>
                <w:bCs/>
                <w:color w:val="000000"/>
                <w:sz w:val="16"/>
                <w:szCs w:val="16"/>
              </w:rPr>
            </w:pPr>
            <w:r w:rsidRPr="003F15C0">
              <w:rPr>
                <w:b/>
                <w:bCs/>
                <w:color w:val="000000"/>
                <w:sz w:val="16"/>
                <w:szCs w:val="16"/>
              </w:rPr>
              <w:t>Time spent playing EGMs in an average day (casino)</w:t>
            </w:r>
          </w:p>
        </w:tc>
        <w:tc>
          <w:tcPr>
            <w:tcW w:w="1134" w:type="dxa"/>
            <w:shd w:val="clear" w:color="auto" w:fill="auto"/>
            <w:vAlign w:val="bottom"/>
          </w:tcPr>
          <w:p w14:paraId="73A5DFAE" w14:textId="77777777" w:rsidR="00A023BD" w:rsidRPr="007B750E" w:rsidRDefault="00A023BD" w:rsidP="00A023BD">
            <w:pPr>
              <w:keepNext/>
              <w:jc w:val="right"/>
              <w:rPr>
                <w:color w:val="000000"/>
                <w:sz w:val="16"/>
                <w:szCs w:val="16"/>
                <w:lang w:eastAsia="en-NZ"/>
              </w:rPr>
            </w:pPr>
          </w:p>
        </w:tc>
        <w:tc>
          <w:tcPr>
            <w:tcW w:w="1134" w:type="dxa"/>
            <w:shd w:val="clear" w:color="auto" w:fill="auto"/>
            <w:vAlign w:val="bottom"/>
          </w:tcPr>
          <w:p w14:paraId="3D83179D" w14:textId="77777777" w:rsidR="00A023BD" w:rsidRPr="007B750E" w:rsidRDefault="00A023BD" w:rsidP="00A023BD">
            <w:pPr>
              <w:keepNext/>
              <w:jc w:val="right"/>
              <w:rPr>
                <w:color w:val="000000"/>
                <w:sz w:val="16"/>
                <w:szCs w:val="16"/>
                <w:lang w:eastAsia="en-NZ"/>
              </w:rPr>
            </w:pPr>
          </w:p>
        </w:tc>
        <w:tc>
          <w:tcPr>
            <w:tcW w:w="850" w:type="dxa"/>
            <w:shd w:val="clear" w:color="auto" w:fill="auto"/>
            <w:vAlign w:val="bottom"/>
          </w:tcPr>
          <w:p w14:paraId="692DB02F" w14:textId="77777777" w:rsidR="00A023BD" w:rsidRPr="007B750E" w:rsidRDefault="00A023BD" w:rsidP="00A023BD">
            <w:pPr>
              <w:keepNext/>
              <w:jc w:val="right"/>
              <w:rPr>
                <w:color w:val="000000"/>
                <w:sz w:val="16"/>
                <w:szCs w:val="16"/>
                <w:lang w:eastAsia="en-NZ"/>
              </w:rPr>
            </w:pPr>
          </w:p>
        </w:tc>
      </w:tr>
      <w:tr w:rsidR="00A023BD" w:rsidRPr="001A61F1" w14:paraId="34AE28E6" w14:textId="77777777" w:rsidTr="00A023BD">
        <w:tc>
          <w:tcPr>
            <w:tcW w:w="5387" w:type="dxa"/>
          </w:tcPr>
          <w:p w14:paraId="07A8E8CF" w14:textId="77777777" w:rsidR="00A023BD" w:rsidRPr="003F15C0" w:rsidRDefault="00A023BD" w:rsidP="00A023BD">
            <w:pPr>
              <w:spacing w:before="20"/>
              <w:ind w:left="176"/>
              <w:jc w:val="both"/>
              <w:rPr>
                <w:sz w:val="16"/>
                <w:szCs w:val="16"/>
              </w:rPr>
            </w:pPr>
            <w:r w:rsidRPr="003F15C0">
              <w:rPr>
                <w:sz w:val="16"/>
                <w:szCs w:val="16"/>
              </w:rPr>
              <w:t>No time</w:t>
            </w:r>
          </w:p>
        </w:tc>
        <w:tc>
          <w:tcPr>
            <w:tcW w:w="1134" w:type="dxa"/>
            <w:shd w:val="clear" w:color="auto" w:fill="auto"/>
            <w:vAlign w:val="bottom"/>
          </w:tcPr>
          <w:p w14:paraId="75F80757"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1.00</w:t>
            </w:r>
          </w:p>
        </w:tc>
        <w:tc>
          <w:tcPr>
            <w:tcW w:w="1134" w:type="dxa"/>
            <w:shd w:val="clear" w:color="auto" w:fill="auto"/>
            <w:vAlign w:val="bottom"/>
          </w:tcPr>
          <w:p w14:paraId="473E9302" w14:textId="77777777" w:rsidR="00A023BD" w:rsidRPr="00491C93" w:rsidRDefault="00A023BD" w:rsidP="00A023BD">
            <w:pPr>
              <w:keepNext/>
              <w:jc w:val="right"/>
              <w:rPr>
                <w:color w:val="000000"/>
                <w:sz w:val="16"/>
                <w:szCs w:val="16"/>
                <w:lang w:eastAsia="en-NZ"/>
              </w:rPr>
            </w:pPr>
          </w:p>
        </w:tc>
        <w:tc>
          <w:tcPr>
            <w:tcW w:w="850" w:type="dxa"/>
            <w:shd w:val="clear" w:color="auto" w:fill="auto"/>
            <w:vAlign w:val="bottom"/>
          </w:tcPr>
          <w:p w14:paraId="469A9E0D" w14:textId="77777777" w:rsidR="00A023BD" w:rsidRPr="00491C93" w:rsidRDefault="00A023BD" w:rsidP="00A023BD">
            <w:pPr>
              <w:keepNext/>
              <w:jc w:val="right"/>
              <w:rPr>
                <w:color w:val="000000"/>
                <w:sz w:val="16"/>
                <w:szCs w:val="16"/>
                <w:lang w:eastAsia="en-NZ"/>
              </w:rPr>
            </w:pPr>
          </w:p>
        </w:tc>
      </w:tr>
      <w:tr w:rsidR="00A023BD" w:rsidRPr="001A61F1" w14:paraId="021ACD64" w14:textId="77777777" w:rsidTr="00A023BD">
        <w:tc>
          <w:tcPr>
            <w:tcW w:w="5387" w:type="dxa"/>
          </w:tcPr>
          <w:p w14:paraId="1863C0AC" w14:textId="77777777" w:rsidR="00A023BD" w:rsidRPr="003F15C0" w:rsidRDefault="00A023BD" w:rsidP="00A023BD">
            <w:pPr>
              <w:spacing w:before="20"/>
              <w:ind w:left="176"/>
              <w:jc w:val="both"/>
              <w:rPr>
                <w:sz w:val="16"/>
                <w:szCs w:val="16"/>
              </w:rPr>
            </w:pPr>
            <w:r w:rsidRPr="003F15C0">
              <w:rPr>
                <w:sz w:val="16"/>
                <w:szCs w:val="16"/>
              </w:rPr>
              <w:t>Up to 15 minutes</w:t>
            </w:r>
          </w:p>
        </w:tc>
        <w:tc>
          <w:tcPr>
            <w:tcW w:w="1134" w:type="dxa"/>
            <w:shd w:val="clear" w:color="auto" w:fill="auto"/>
            <w:vAlign w:val="bottom"/>
          </w:tcPr>
          <w:p w14:paraId="45E3340A"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2.57</w:t>
            </w:r>
          </w:p>
        </w:tc>
        <w:tc>
          <w:tcPr>
            <w:tcW w:w="1134" w:type="dxa"/>
            <w:shd w:val="clear" w:color="auto" w:fill="auto"/>
            <w:vAlign w:val="bottom"/>
          </w:tcPr>
          <w:p w14:paraId="38504E42"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(0.85, 7.73)</w:t>
            </w:r>
          </w:p>
        </w:tc>
        <w:tc>
          <w:tcPr>
            <w:tcW w:w="850" w:type="dxa"/>
            <w:shd w:val="clear" w:color="auto" w:fill="auto"/>
            <w:vAlign w:val="bottom"/>
          </w:tcPr>
          <w:p w14:paraId="7BD6FFA8" w14:textId="77777777" w:rsidR="00A023BD" w:rsidRPr="00491C93" w:rsidRDefault="00A023BD" w:rsidP="00A023BD">
            <w:pPr>
              <w:keepNext/>
              <w:jc w:val="right"/>
              <w:rPr>
                <w:color w:val="000000"/>
                <w:sz w:val="16"/>
                <w:szCs w:val="16"/>
                <w:lang w:eastAsia="en-NZ"/>
              </w:rPr>
            </w:pPr>
          </w:p>
        </w:tc>
      </w:tr>
      <w:tr w:rsidR="00A023BD" w:rsidRPr="001A61F1" w14:paraId="4BCC71A6" w14:textId="77777777" w:rsidTr="00A023BD">
        <w:tc>
          <w:tcPr>
            <w:tcW w:w="5387" w:type="dxa"/>
          </w:tcPr>
          <w:p w14:paraId="59462475" w14:textId="77777777" w:rsidR="00A023BD" w:rsidRPr="003F15C0" w:rsidRDefault="00A023BD" w:rsidP="00A023BD">
            <w:pPr>
              <w:spacing w:before="20"/>
              <w:ind w:left="176"/>
              <w:jc w:val="both"/>
              <w:rPr>
                <w:sz w:val="16"/>
                <w:szCs w:val="16"/>
              </w:rPr>
            </w:pPr>
            <w:r w:rsidRPr="003F15C0">
              <w:rPr>
                <w:sz w:val="16"/>
                <w:szCs w:val="16"/>
              </w:rPr>
              <w:t>16 to 30 minutes</w:t>
            </w:r>
          </w:p>
        </w:tc>
        <w:tc>
          <w:tcPr>
            <w:tcW w:w="1134" w:type="dxa"/>
            <w:shd w:val="clear" w:color="auto" w:fill="auto"/>
            <w:vAlign w:val="bottom"/>
          </w:tcPr>
          <w:p w14:paraId="72F18002"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0.62</w:t>
            </w:r>
          </w:p>
        </w:tc>
        <w:tc>
          <w:tcPr>
            <w:tcW w:w="1134" w:type="dxa"/>
            <w:shd w:val="clear" w:color="auto" w:fill="auto"/>
            <w:vAlign w:val="bottom"/>
          </w:tcPr>
          <w:p w14:paraId="35C8C5F6"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(0.20, 1.99)</w:t>
            </w:r>
          </w:p>
        </w:tc>
        <w:tc>
          <w:tcPr>
            <w:tcW w:w="850" w:type="dxa"/>
            <w:shd w:val="clear" w:color="auto" w:fill="auto"/>
            <w:vAlign w:val="bottom"/>
          </w:tcPr>
          <w:p w14:paraId="725F444F" w14:textId="77777777" w:rsidR="00A023BD" w:rsidRPr="00491C93" w:rsidRDefault="00A023BD" w:rsidP="00A023BD">
            <w:pPr>
              <w:keepNext/>
              <w:jc w:val="right"/>
              <w:rPr>
                <w:color w:val="000000"/>
                <w:sz w:val="16"/>
                <w:szCs w:val="16"/>
                <w:lang w:eastAsia="en-NZ"/>
              </w:rPr>
            </w:pPr>
          </w:p>
        </w:tc>
      </w:tr>
      <w:tr w:rsidR="00A023BD" w:rsidRPr="001A61F1" w14:paraId="6AECA00E" w14:textId="77777777" w:rsidTr="00A023BD">
        <w:tc>
          <w:tcPr>
            <w:tcW w:w="5387" w:type="dxa"/>
          </w:tcPr>
          <w:p w14:paraId="7D30DD52" w14:textId="77777777" w:rsidR="00A023BD" w:rsidRPr="003F15C0" w:rsidRDefault="00A023BD" w:rsidP="00A023BD">
            <w:pPr>
              <w:spacing w:before="20"/>
              <w:ind w:left="176"/>
              <w:jc w:val="both"/>
              <w:rPr>
                <w:sz w:val="16"/>
                <w:szCs w:val="16"/>
              </w:rPr>
            </w:pPr>
            <w:r w:rsidRPr="003F15C0">
              <w:rPr>
                <w:sz w:val="16"/>
                <w:szCs w:val="16"/>
              </w:rPr>
              <w:t>31 to 60 minutes</w:t>
            </w:r>
          </w:p>
        </w:tc>
        <w:tc>
          <w:tcPr>
            <w:tcW w:w="1134" w:type="dxa"/>
            <w:shd w:val="clear" w:color="auto" w:fill="auto"/>
            <w:vAlign w:val="bottom"/>
          </w:tcPr>
          <w:p w14:paraId="56A781D5"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0.30</w:t>
            </w:r>
          </w:p>
        </w:tc>
        <w:tc>
          <w:tcPr>
            <w:tcW w:w="1134" w:type="dxa"/>
            <w:shd w:val="clear" w:color="auto" w:fill="auto"/>
            <w:vAlign w:val="bottom"/>
          </w:tcPr>
          <w:p w14:paraId="732CA9B5"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(0.09, 1.01)</w:t>
            </w:r>
          </w:p>
        </w:tc>
        <w:tc>
          <w:tcPr>
            <w:tcW w:w="850" w:type="dxa"/>
            <w:shd w:val="clear" w:color="auto" w:fill="auto"/>
            <w:vAlign w:val="bottom"/>
          </w:tcPr>
          <w:p w14:paraId="13778316" w14:textId="77777777" w:rsidR="00A023BD" w:rsidRPr="00491C93" w:rsidRDefault="00A023BD" w:rsidP="00A023BD">
            <w:pPr>
              <w:keepNext/>
              <w:jc w:val="right"/>
              <w:rPr>
                <w:color w:val="000000"/>
                <w:sz w:val="16"/>
                <w:szCs w:val="16"/>
                <w:lang w:eastAsia="en-NZ"/>
              </w:rPr>
            </w:pPr>
          </w:p>
        </w:tc>
      </w:tr>
      <w:tr w:rsidR="00A023BD" w:rsidRPr="001A61F1" w14:paraId="102D7688" w14:textId="77777777" w:rsidTr="00326B55">
        <w:tc>
          <w:tcPr>
            <w:tcW w:w="5387" w:type="dxa"/>
          </w:tcPr>
          <w:p w14:paraId="12C53AB7" w14:textId="77777777" w:rsidR="00A023BD" w:rsidRPr="003F15C0" w:rsidRDefault="00A023BD" w:rsidP="00A023BD">
            <w:pPr>
              <w:spacing w:before="20"/>
              <w:ind w:left="176"/>
              <w:jc w:val="both"/>
              <w:rPr>
                <w:sz w:val="16"/>
                <w:szCs w:val="16"/>
              </w:rPr>
            </w:pPr>
            <w:r w:rsidRPr="003F15C0">
              <w:rPr>
                <w:sz w:val="16"/>
                <w:szCs w:val="16"/>
              </w:rPr>
              <w:t>&gt;60 minutes</w:t>
            </w:r>
          </w:p>
        </w:tc>
        <w:tc>
          <w:tcPr>
            <w:tcW w:w="1134" w:type="dxa"/>
            <w:shd w:val="clear" w:color="auto" w:fill="auto"/>
            <w:vAlign w:val="bottom"/>
          </w:tcPr>
          <w:p w14:paraId="336A3B40"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3.27</w:t>
            </w:r>
          </w:p>
        </w:tc>
        <w:tc>
          <w:tcPr>
            <w:tcW w:w="1134" w:type="dxa"/>
            <w:shd w:val="clear" w:color="auto" w:fill="auto"/>
            <w:vAlign w:val="bottom"/>
          </w:tcPr>
          <w:p w14:paraId="0D6FC5A5"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(1.54, 6.97)</w:t>
            </w:r>
          </w:p>
        </w:tc>
        <w:tc>
          <w:tcPr>
            <w:tcW w:w="850" w:type="dxa"/>
            <w:shd w:val="clear" w:color="auto" w:fill="auto"/>
            <w:vAlign w:val="bottom"/>
          </w:tcPr>
          <w:p w14:paraId="13FDF1AF"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0.0008</w:t>
            </w:r>
          </w:p>
        </w:tc>
      </w:tr>
      <w:tr w:rsidR="00A023BD" w:rsidRPr="001A61F1" w14:paraId="34273670" w14:textId="77777777" w:rsidTr="00A023BD">
        <w:tc>
          <w:tcPr>
            <w:tcW w:w="5387" w:type="dxa"/>
            <w:vAlign w:val="center"/>
          </w:tcPr>
          <w:p w14:paraId="3B28FC79" w14:textId="77777777" w:rsidR="00A023BD" w:rsidRPr="003F15C0" w:rsidRDefault="00A023BD" w:rsidP="00A023BD">
            <w:pPr>
              <w:spacing w:before="20"/>
              <w:rPr>
                <w:b/>
                <w:bCs/>
                <w:color w:val="000000"/>
                <w:sz w:val="16"/>
                <w:szCs w:val="16"/>
              </w:rPr>
            </w:pPr>
            <w:r w:rsidRPr="003F15C0">
              <w:rPr>
                <w:b/>
                <w:bCs/>
                <w:color w:val="000000"/>
                <w:sz w:val="16"/>
                <w:szCs w:val="16"/>
              </w:rPr>
              <w:t>Time spent playing EGMs in an average day (</w:t>
            </w:r>
            <w:r>
              <w:rPr>
                <w:b/>
                <w:bCs/>
                <w:color w:val="000000"/>
                <w:sz w:val="16"/>
                <w:szCs w:val="16"/>
              </w:rPr>
              <w:t>pub</w:t>
            </w:r>
            <w:r w:rsidRPr="003F15C0">
              <w:rPr>
                <w:b/>
                <w:bCs/>
                <w:color w:val="000000"/>
                <w:sz w:val="16"/>
                <w:szCs w:val="16"/>
              </w:rPr>
              <w:t>)</w:t>
            </w:r>
          </w:p>
        </w:tc>
        <w:tc>
          <w:tcPr>
            <w:tcW w:w="1134" w:type="dxa"/>
            <w:shd w:val="clear" w:color="auto" w:fill="auto"/>
            <w:vAlign w:val="bottom"/>
          </w:tcPr>
          <w:p w14:paraId="2E6A8939" w14:textId="77777777" w:rsidR="00A023BD" w:rsidRPr="007B750E" w:rsidRDefault="00A023BD" w:rsidP="00A023BD">
            <w:pPr>
              <w:keepNext/>
              <w:jc w:val="right"/>
              <w:rPr>
                <w:color w:val="000000"/>
                <w:sz w:val="16"/>
                <w:szCs w:val="16"/>
                <w:lang w:eastAsia="en-NZ"/>
              </w:rPr>
            </w:pPr>
          </w:p>
        </w:tc>
        <w:tc>
          <w:tcPr>
            <w:tcW w:w="1134" w:type="dxa"/>
            <w:shd w:val="clear" w:color="auto" w:fill="auto"/>
            <w:vAlign w:val="bottom"/>
          </w:tcPr>
          <w:p w14:paraId="481F0C53" w14:textId="77777777" w:rsidR="00A023BD" w:rsidRPr="007B750E" w:rsidRDefault="00A023BD" w:rsidP="00A023BD">
            <w:pPr>
              <w:keepNext/>
              <w:jc w:val="right"/>
              <w:rPr>
                <w:color w:val="000000"/>
                <w:sz w:val="16"/>
                <w:szCs w:val="16"/>
                <w:lang w:eastAsia="en-NZ"/>
              </w:rPr>
            </w:pPr>
          </w:p>
        </w:tc>
        <w:tc>
          <w:tcPr>
            <w:tcW w:w="850" w:type="dxa"/>
            <w:shd w:val="clear" w:color="auto" w:fill="auto"/>
            <w:vAlign w:val="bottom"/>
          </w:tcPr>
          <w:p w14:paraId="6A28A3F7" w14:textId="77777777" w:rsidR="00A023BD" w:rsidRPr="007B750E" w:rsidRDefault="00A023BD" w:rsidP="00A023BD">
            <w:pPr>
              <w:keepNext/>
              <w:jc w:val="right"/>
              <w:rPr>
                <w:color w:val="000000"/>
                <w:sz w:val="16"/>
                <w:szCs w:val="16"/>
                <w:lang w:eastAsia="en-NZ"/>
              </w:rPr>
            </w:pPr>
          </w:p>
        </w:tc>
      </w:tr>
      <w:tr w:rsidR="00A023BD" w:rsidRPr="001A61F1" w14:paraId="3A6F59E2" w14:textId="77777777" w:rsidTr="00A023BD">
        <w:tc>
          <w:tcPr>
            <w:tcW w:w="5387" w:type="dxa"/>
          </w:tcPr>
          <w:p w14:paraId="5F603C41" w14:textId="77777777" w:rsidR="00A023BD" w:rsidRPr="003F15C0" w:rsidRDefault="00A023BD" w:rsidP="00A023BD">
            <w:pPr>
              <w:spacing w:before="20"/>
              <w:ind w:left="176"/>
              <w:jc w:val="both"/>
              <w:rPr>
                <w:sz w:val="16"/>
                <w:szCs w:val="16"/>
              </w:rPr>
            </w:pPr>
            <w:r w:rsidRPr="003F15C0">
              <w:rPr>
                <w:sz w:val="16"/>
                <w:szCs w:val="16"/>
              </w:rPr>
              <w:t>No time</w:t>
            </w:r>
          </w:p>
        </w:tc>
        <w:tc>
          <w:tcPr>
            <w:tcW w:w="1134" w:type="dxa"/>
            <w:shd w:val="clear" w:color="auto" w:fill="auto"/>
            <w:vAlign w:val="bottom"/>
          </w:tcPr>
          <w:p w14:paraId="09F47417"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1.00</w:t>
            </w:r>
          </w:p>
        </w:tc>
        <w:tc>
          <w:tcPr>
            <w:tcW w:w="1134" w:type="dxa"/>
            <w:shd w:val="clear" w:color="auto" w:fill="auto"/>
            <w:vAlign w:val="bottom"/>
          </w:tcPr>
          <w:p w14:paraId="02164E1B" w14:textId="77777777" w:rsidR="00A023BD" w:rsidRPr="00491C93" w:rsidRDefault="00A023BD" w:rsidP="00A023BD">
            <w:pPr>
              <w:keepNext/>
              <w:jc w:val="right"/>
              <w:rPr>
                <w:color w:val="000000"/>
                <w:sz w:val="16"/>
                <w:szCs w:val="16"/>
                <w:lang w:eastAsia="en-NZ"/>
              </w:rPr>
            </w:pPr>
          </w:p>
        </w:tc>
        <w:tc>
          <w:tcPr>
            <w:tcW w:w="850" w:type="dxa"/>
            <w:shd w:val="clear" w:color="auto" w:fill="auto"/>
            <w:vAlign w:val="bottom"/>
          </w:tcPr>
          <w:p w14:paraId="2CBF1AAE" w14:textId="77777777" w:rsidR="00A023BD" w:rsidRPr="00491C93" w:rsidRDefault="00A023BD" w:rsidP="00A023BD">
            <w:pPr>
              <w:keepNext/>
              <w:jc w:val="right"/>
              <w:rPr>
                <w:color w:val="000000"/>
                <w:sz w:val="16"/>
                <w:szCs w:val="16"/>
                <w:lang w:eastAsia="en-NZ"/>
              </w:rPr>
            </w:pPr>
          </w:p>
        </w:tc>
      </w:tr>
      <w:tr w:rsidR="00A023BD" w:rsidRPr="001A61F1" w14:paraId="176CBDC8" w14:textId="77777777" w:rsidTr="00A023BD">
        <w:tc>
          <w:tcPr>
            <w:tcW w:w="5387" w:type="dxa"/>
          </w:tcPr>
          <w:p w14:paraId="5CD80752" w14:textId="77777777" w:rsidR="00A023BD" w:rsidRPr="003F15C0" w:rsidRDefault="00A023BD" w:rsidP="00A023BD">
            <w:pPr>
              <w:spacing w:before="20"/>
              <w:ind w:left="176"/>
              <w:jc w:val="both"/>
              <w:rPr>
                <w:sz w:val="16"/>
                <w:szCs w:val="16"/>
              </w:rPr>
            </w:pPr>
            <w:r w:rsidRPr="003F15C0">
              <w:rPr>
                <w:sz w:val="16"/>
                <w:szCs w:val="16"/>
              </w:rPr>
              <w:t>Up to 15 minutes</w:t>
            </w:r>
          </w:p>
        </w:tc>
        <w:tc>
          <w:tcPr>
            <w:tcW w:w="1134" w:type="dxa"/>
            <w:shd w:val="clear" w:color="auto" w:fill="auto"/>
            <w:vAlign w:val="bottom"/>
          </w:tcPr>
          <w:p w14:paraId="669DB4EC"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1.45</w:t>
            </w:r>
          </w:p>
        </w:tc>
        <w:tc>
          <w:tcPr>
            <w:tcW w:w="1134" w:type="dxa"/>
            <w:shd w:val="clear" w:color="auto" w:fill="auto"/>
            <w:vAlign w:val="bottom"/>
          </w:tcPr>
          <w:p w14:paraId="4B329D4C"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(0.58, 3.64)</w:t>
            </w:r>
          </w:p>
        </w:tc>
        <w:tc>
          <w:tcPr>
            <w:tcW w:w="850" w:type="dxa"/>
            <w:shd w:val="clear" w:color="auto" w:fill="auto"/>
            <w:vAlign w:val="bottom"/>
          </w:tcPr>
          <w:p w14:paraId="6FC94519" w14:textId="77777777" w:rsidR="00A023BD" w:rsidRPr="00491C93" w:rsidRDefault="00A023BD" w:rsidP="00A023BD">
            <w:pPr>
              <w:keepNext/>
              <w:jc w:val="right"/>
              <w:rPr>
                <w:color w:val="000000"/>
                <w:sz w:val="16"/>
                <w:szCs w:val="16"/>
                <w:lang w:eastAsia="en-NZ"/>
              </w:rPr>
            </w:pPr>
          </w:p>
        </w:tc>
      </w:tr>
      <w:tr w:rsidR="00A023BD" w:rsidRPr="001A61F1" w14:paraId="3604B691" w14:textId="77777777" w:rsidTr="00A023BD">
        <w:tc>
          <w:tcPr>
            <w:tcW w:w="5387" w:type="dxa"/>
          </w:tcPr>
          <w:p w14:paraId="41B95223" w14:textId="77777777" w:rsidR="00A023BD" w:rsidRPr="003F15C0" w:rsidRDefault="00A023BD" w:rsidP="00A023BD">
            <w:pPr>
              <w:spacing w:before="20"/>
              <w:ind w:left="176"/>
              <w:jc w:val="both"/>
              <w:rPr>
                <w:sz w:val="16"/>
                <w:szCs w:val="16"/>
              </w:rPr>
            </w:pPr>
            <w:r w:rsidRPr="003F15C0">
              <w:rPr>
                <w:sz w:val="16"/>
                <w:szCs w:val="16"/>
              </w:rPr>
              <w:t>16 to 30 minutes</w:t>
            </w:r>
          </w:p>
        </w:tc>
        <w:tc>
          <w:tcPr>
            <w:tcW w:w="1134" w:type="dxa"/>
            <w:shd w:val="clear" w:color="auto" w:fill="auto"/>
            <w:vAlign w:val="bottom"/>
          </w:tcPr>
          <w:p w14:paraId="7D90D031"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1.60</w:t>
            </w:r>
          </w:p>
        </w:tc>
        <w:tc>
          <w:tcPr>
            <w:tcW w:w="1134" w:type="dxa"/>
            <w:shd w:val="clear" w:color="auto" w:fill="auto"/>
            <w:vAlign w:val="bottom"/>
          </w:tcPr>
          <w:p w14:paraId="378FF2F2"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(0.71, 3.65)</w:t>
            </w:r>
          </w:p>
        </w:tc>
        <w:tc>
          <w:tcPr>
            <w:tcW w:w="850" w:type="dxa"/>
            <w:shd w:val="clear" w:color="auto" w:fill="auto"/>
            <w:vAlign w:val="bottom"/>
          </w:tcPr>
          <w:p w14:paraId="2867ED3B" w14:textId="77777777" w:rsidR="00A023BD" w:rsidRPr="00491C93" w:rsidRDefault="00A023BD" w:rsidP="00A023BD">
            <w:pPr>
              <w:keepNext/>
              <w:jc w:val="right"/>
              <w:rPr>
                <w:color w:val="000000"/>
                <w:sz w:val="16"/>
                <w:szCs w:val="16"/>
                <w:lang w:eastAsia="en-NZ"/>
              </w:rPr>
            </w:pPr>
          </w:p>
        </w:tc>
      </w:tr>
      <w:tr w:rsidR="00A023BD" w:rsidRPr="001A61F1" w14:paraId="2168B733" w14:textId="77777777" w:rsidTr="00A023BD">
        <w:tc>
          <w:tcPr>
            <w:tcW w:w="5387" w:type="dxa"/>
          </w:tcPr>
          <w:p w14:paraId="6DDCB31D" w14:textId="77777777" w:rsidR="00A023BD" w:rsidRPr="003F15C0" w:rsidRDefault="00A023BD" w:rsidP="00A023BD">
            <w:pPr>
              <w:spacing w:before="20"/>
              <w:ind w:left="176"/>
              <w:jc w:val="both"/>
              <w:rPr>
                <w:sz w:val="16"/>
                <w:szCs w:val="16"/>
              </w:rPr>
            </w:pPr>
            <w:r w:rsidRPr="003F15C0">
              <w:rPr>
                <w:sz w:val="16"/>
                <w:szCs w:val="16"/>
              </w:rPr>
              <w:t>31 to 60 minutes</w:t>
            </w:r>
          </w:p>
        </w:tc>
        <w:tc>
          <w:tcPr>
            <w:tcW w:w="1134" w:type="dxa"/>
            <w:shd w:val="clear" w:color="auto" w:fill="auto"/>
            <w:vAlign w:val="bottom"/>
          </w:tcPr>
          <w:p w14:paraId="46D04297"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1.98</w:t>
            </w:r>
          </w:p>
        </w:tc>
        <w:tc>
          <w:tcPr>
            <w:tcW w:w="1134" w:type="dxa"/>
            <w:shd w:val="clear" w:color="auto" w:fill="auto"/>
            <w:vAlign w:val="bottom"/>
          </w:tcPr>
          <w:p w14:paraId="3E9779CA"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(0.83, 4.76)</w:t>
            </w:r>
          </w:p>
        </w:tc>
        <w:tc>
          <w:tcPr>
            <w:tcW w:w="850" w:type="dxa"/>
            <w:shd w:val="clear" w:color="auto" w:fill="auto"/>
            <w:vAlign w:val="bottom"/>
          </w:tcPr>
          <w:p w14:paraId="5428198A" w14:textId="77777777" w:rsidR="00A023BD" w:rsidRPr="00491C93" w:rsidRDefault="00A023BD" w:rsidP="00A023BD">
            <w:pPr>
              <w:keepNext/>
              <w:jc w:val="right"/>
              <w:rPr>
                <w:color w:val="000000"/>
                <w:sz w:val="16"/>
                <w:szCs w:val="16"/>
                <w:lang w:eastAsia="en-NZ"/>
              </w:rPr>
            </w:pPr>
          </w:p>
        </w:tc>
      </w:tr>
      <w:tr w:rsidR="00A023BD" w:rsidRPr="001A61F1" w14:paraId="04899CC8" w14:textId="77777777" w:rsidTr="00326B55">
        <w:tc>
          <w:tcPr>
            <w:tcW w:w="5387" w:type="dxa"/>
          </w:tcPr>
          <w:p w14:paraId="4948E0DD" w14:textId="77777777" w:rsidR="00A023BD" w:rsidRPr="003F15C0" w:rsidRDefault="00A023BD" w:rsidP="00A023BD">
            <w:pPr>
              <w:spacing w:before="20"/>
              <w:ind w:left="176"/>
              <w:jc w:val="both"/>
              <w:rPr>
                <w:sz w:val="16"/>
                <w:szCs w:val="16"/>
              </w:rPr>
            </w:pPr>
            <w:r w:rsidRPr="003F15C0">
              <w:rPr>
                <w:sz w:val="16"/>
                <w:szCs w:val="16"/>
              </w:rPr>
              <w:t>&gt;60 minutes</w:t>
            </w:r>
          </w:p>
        </w:tc>
        <w:tc>
          <w:tcPr>
            <w:tcW w:w="1134" w:type="dxa"/>
            <w:shd w:val="clear" w:color="auto" w:fill="auto"/>
            <w:vAlign w:val="bottom"/>
          </w:tcPr>
          <w:p w14:paraId="0BE7671D"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11.48</w:t>
            </w:r>
          </w:p>
        </w:tc>
        <w:tc>
          <w:tcPr>
            <w:tcW w:w="1134" w:type="dxa"/>
            <w:shd w:val="clear" w:color="auto" w:fill="auto"/>
            <w:vAlign w:val="bottom"/>
          </w:tcPr>
          <w:p w14:paraId="476B7B6E"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(4.49, 29.34)</w:t>
            </w:r>
          </w:p>
        </w:tc>
        <w:tc>
          <w:tcPr>
            <w:tcW w:w="850" w:type="dxa"/>
            <w:shd w:val="clear" w:color="auto" w:fill="auto"/>
            <w:vAlign w:val="bottom"/>
          </w:tcPr>
          <w:p w14:paraId="016B1823"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&lt;</w:t>
            </w:r>
            <w:r>
              <w:rPr>
                <w:color w:val="000000"/>
                <w:sz w:val="16"/>
                <w:szCs w:val="16"/>
                <w:lang w:eastAsia="en-NZ"/>
              </w:rPr>
              <w:t>0</w:t>
            </w:r>
            <w:r w:rsidRPr="00491C93">
              <w:rPr>
                <w:color w:val="000000"/>
                <w:sz w:val="16"/>
                <w:szCs w:val="16"/>
                <w:lang w:eastAsia="en-NZ"/>
              </w:rPr>
              <w:t>.0001</w:t>
            </w:r>
          </w:p>
        </w:tc>
      </w:tr>
      <w:tr w:rsidR="00A023BD" w:rsidRPr="001A61F1" w14:paraId="65F9464E" w14:textId="77777777" w:rsidTr="00A023BD">
        <w:tc>
          <w:tcPr>
            <w:tcW w:w="5387" w:type="dxa"/>
            <w:vAlign w:val="center"/>
          </w:tcPr>
          <w:p w14:paraId="2E5062A0" w14:textId="77777777" w:rsidR="00A023BD" w:rsidRPr="003F15C0" w:rsidRDefault="00A023BD" w:rsidP="00A023BD">
            <w:pPr>
              <w:spacing w:before="20"/>
              <w:rPr>
                <w:b/>
                <w:bCs/>
                <w:color w:val="000000"/>
                <w:sz w:val="16"/>
                <w:szCs w:val="16"/>
              </w:rPr>
            </w:pPr>
            <w:r w:rsidRPr="003F15C0">
              <w:rPr>
                <w:b/>
                <w:bCs/>
                <w:color w:val="000000"/>
                <w:sz w:val="16"/>
                <w:szCs w:val="16"/>
              </w:rPr>
              <w:t>Methods - Leaving ATM and credit cards at home</w:t>
            </w:r>
          </w:p>
        </w:tc>
        <w:tc>
          <w:tcPr>
            <w:tcW w:w="1134" w:type="dxa"/>
            <w:shd w:val="clear" w:color="auto" w:fill="auto"/>
            <w:vAlign w:val="bottom"/>
          </w:tcPr>
          <w:p w14:paraId="5CE45B6A" w14:textId="77777777" w:rsidR="00A023BD" w:rsidRPr="007B750E" w:rsidRDefault="00A023BD" w:rsidP="00A023BD">
            <w:pPr>
              <w:keepNext/>
              <w:jc w:val="right"/>
              <w:rPr>
                <w:color w:val="000000"/>
                <w:sz w:val="16"/>
                <w:szCs w:val="16"/>
                <w:lang w:eastAsia="en-NZ"/>
              </w:rPr>
            </w:pPr>
          </w:p>
        </w:tc>
        <w:tc>
          <w:tcPr>
            <w:tcW w:w="1134" w:type="dxa"/>
            <w:shd w:val="clear" w:color="auto" w:fill="auto"/>
            <w:vAlign w:val="bottom"/>
          </w:tcPr>
          <w:p w14:paraId="3F93D068" w14:textId="77777777" w:rsidR="00A023BD" w:rsidRPr="007B750E" w:rsidRDefault="00A023BD" w:rsidP="00A023BD">
            <w:pPr>
              <w:keepNext/>
              <w:jc w:val="right"/>
              <w:rPr>
                <w:color w:val="000000"/>
                <w:sz w:val="16"/>
                <w:szCs w:val="16"/>
                <w:lang w:eastAsia="en-NZ"/>
              </w:rPr>
            </w:pPr>
          </w:p>
        </w:tc>
        <w:tc>
          <w:tcPr>
            <w:tcW w:w="850" w:type="dxa"/>
            <w:shd w:val="clear" w:color="auto" w:fill="auto"/>
            <w:vAlign w:val="bottom"/>
          </w:tcPr>
          <w:p w14:paraId="24AEEE50" w14:textId="77777777" w:rsidR="00A023BD" w:rsidRPr="007B750E" w:rsidRDefault="00A023BD" w:rsidP="00A023BD">
            <w:pPr>
              <w:keepNext/>
              <w:jc w:val="right"/>
              <w:rPr>
                <w:color w:val="000000"/>
                <w:sz w:val="16"/>
                <w:szCs w:val="16"/>
                <w:lang w:eastAsia="en-NZ"/>
              </w:rPr>
            </w:pPr>
          </w:p>
        </w:tc>
      </w:tr>
      <w:tr w:rsidR="00A023BD" w:rsidRPr="001A61F1" w14:paraId="627CCB17" w14:textId="77777777" w:rsidTr="00A023BD">
        <w:tc>
          <w:tcPr>
            <w:tcW w:w="5387" w:type="dxa"/>
          </w:tcPr>
          <w:p w14:paraId="270B16F9"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bottom"/>
          </w:tcPr>
          <w:p w14:paraId="6F7D12DD"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1.00</w:t>
            </w:r>
          </w:p>
        </w:tc>
        <w:tc>
          <w:tcPr>
            <w:tcW w:w="1134" w:type="dxa"/>
            <w:shd w:val="clear" w:color="auto" w:fill="auto"/>
            <w:vAlign w:val="bottom"/>
          </w:tcPr>
          <w:p w14:paraId="2C49A245" w14:textId="77777777" w:rsidR="00A023BD" w:rsidRPr="00491C93" w:rsidRDefault="00A023BD" w:rsidP="00A023BD">
            <w:pPr>
              <w:keepNext/>
              <w:jc w:val="right"/>
              <w:rPr>
                <w:color w:val="000000"/>
                <w:sz w:val="16"/>
                <w:szCs w:val="16"/>
                <w:lang w:eastAsia="en-NZ"/>
              </w:rPr>
            </w:pPr>
          </w:p>
        </w:tc>
        <w:tc>
          <w:tcPr>
            <w:tcW w:w="850" w:type="dxa"/>
            <w:shd w:val="clear" w:color="auto" w:fill="auto"/>
            <w:vAlign w:val="bottom"/>
          </w:tcPr>
          <w:p w14:paraId="1FE2FFD1" w14:textId="77777777" w:rsidR="00A023BD" w:rsidRPr="00491C93" w:rsidRDefault="00A023BD" w:rsidP="00A023BD">
            <w:pPr>
              <w:keepNext/>
              <w:jc w:val="right"/>
              <w:rPr>
                <w:color w:val="000000"/>
                <w:sz w:val="16"/>
                <w:szCs w:val="16"/>
                <w:lang w:eastAsia="en-NZ"/>
              </w:rPr>
            </w:pPr>
          </w:p>
        </w:tc>
      </w:tr>
      <w:tr w:rsidR="00A023BD" w:rsidRPr="001A61F1" w14:paraId="2464820B" w14:textId="77777777" w:rsidTr="00326B55">
        <w:tc>
          <w:tcPr>
            <w:tcW w:w="5387" w:type="dxa"/>
          </w:tcPr>
          <w:p w14:paraId="68882D36"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bottom"/>
          </w:tcPr>
          <w:p w14:paraId="4B3B541F"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4.26</w:t>
            </w:r>
          </w:p>
        </w:tc>
        <w:tc>
          <w:tcPr>
            <w:tcW w:w="1134" w:type="dxa"/>
            <w:shd w:val="clear" w:color="auto" w:fill="auto"/>
            <w:vAlign w:val="bottom"/>
          </w:tcPr>
          <w:p w14:paraId="3E170B7E"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(1.71, 10.64)</w:t>
            </w:r>
          </w:p>
        </w:tc>
        <w:tc>
          <w:tcPr>
            <w:tcW w:w="850" w:type="dxa"/>
            <w:shd w:val="clear" w:color="auto" w:fill="auto"/>
            <w:vAlign w:val="bottom"/>
          </w:tcPr>
          <w:p w14:paraId="1520BFA3"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0.002</w:t>
            </w:r>
          </w:p>
        </w:tc>
      </w:tr>
      <w:tr w:rsidR="00A023BD" w:rsidRPr="001A61F1" w14:paraId="19A41BEE" w14:textId="77777777" w:rsidTr="00A023BD">
        <w:tc>
          <w:tcPr>
            <w:tcW w:w="5387" w:type="dxa"/>
          </w:tcPr>
          <w:p w14:paraId="3EDDB1D1" w14:textId="77777777" w:rsidR="00A023BD" w:rsidRPr="003F15C0" w:rsidRDefault="00A023BD" w:rsidP="00A023BD">
            <w:pPr>
              <w:spacing w:before="20"/>
              <w:rPr>
                <w:b/>
                <w:bCs/>
                <w:color w:val="000000"/>
                <w:sz w:val="16"/>
                <w:szCs w:val="16"/>
              </w:rPr>
            </w:pPr>
            <w:r w:rsidRPr="003F15C0">
              <w:rPr>
                <w:b/>
                <w:bCs/>
                <w:color w:val="000000"/>
                <w:sz w:val="16"/>
                <w:szCs w:val="16"/>
              </w:rPr>
              <w:t>Methods - Avoiding places that have betting or gambling</w:t>
            </w:r>
          </w:p>
        </w:tc>
        <w:tc>
          <w:tcPr>
            <w:tcW w:w="1134" w:type="dxa"/>
            <w:shd w:val="clear" w:color="auto" w:fill="auto"/>
            <w:vAlign w:val="bottom"/>
          </w:tcPr>
          <w:p w14:paraId="59FB8640" w14:textId="77777777" w:rsidR="00A023BD" w:rsidRPr="007B750E" w:rsidRDefault="00A023BD" w:rsidP="00A023BD">
            <w:pPr>
              <w:keepNext/>
              <w:jc w:val="right"/>
              <w:rPr>
                <w:color w:val="000000"/>
                <w:sz w:val="16"/>
                <w:szCs w:val="16"/>
                <w:lang w:eastAsia="en-NZ"/>
              </w:rPr>
            </w:pPr>
          </w:p>
        </w:tc>
        <w:tc>
          <w:tcPr>
            <w:tcW w:w="1134" w:type="dxa"/>
            <w:shd w:val="clear" w:color="auto" w:fill="auto"/>
            <w:vAlign w:val="bottom"/>
          </w:tcPr>
          <w:p w14:paraId="215A3199" w14:textId="77777777" w:rsidR="00A023BD" w:rsidRPr="007B750E" w:rsidRDefault="00A023BD" w:rsidP="00A023BD">
            <w:pPr>
              <w:keepNext/>
              <w:jc w:val="right"/>
              <w:rPr>
                <w:color w:val="000000"/>
                <w:sz w:val="16"/>
                <w:szCs w:val="16"/>
                <w:lang w:eastAsia="en-NZ"/>
              </w:rPr>
            </w:pPr>
          </w:p>
        </w:tc>
        <w:tc>
          <w:tcPr>
            <w:tcW w:w="850" w:type="dxa"/>
            <w:shd w:val="clear" w:color="auto" w:fill="auto"/>
            <w:vAlign w:val="bottom"/>
          </w:tcPr>
          <w:p w14:paraId="1C2D8716" w14:textId="77777777" w:rsidR="00A023BD" w:rsidRPr="007B750E" w:rsidRDefault="00A023BD" w:rsidP="00A023BD">
            <w:pPr>
              <w:keepNext/>
              <w:jc w:val="right"/>
              <w:rPr>
                <w:color w:val="000000"/>
                <w:sz w:val="16"/>
                <w:szCs w:val="16"/>
                <w:lang w:eastAsia="en-NZ"/>
              </w:rPr>
            </w:pPr>
          </w:p>
        </w:tc>
      </w:tr>
      <w:tr w:rsidR="00A023BD" w:rsidRPr="001A61F1" w14:paraId="0C8CAB4D" w14:textId="77777777" w:rsidTr="00A023BD">
        <w:tc>
          <w:tcPr>
            <w:tcW w:w="5387" w:type="dxa"/>
          </w:tcPr>
          <w:p w14:paraId="47D03122"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bottom"/>
          </w:tcPr>
          <w:p w14:paraId="18F9BD9F"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1.00</w:t>
            </w:r>
          </w:p>
        </w:tc>
        <w:tc>
          <w:tcPr>
            <w:tcW w:w="1134" w:type="dxa"/>
            <w:shd w:val="clear" w:color="auto" w:fill="auto"/>
            <w:vAlign w:val="bottom"/>
          </w:tcPr>
          <w:p w14:paraId="3FEC2F30" w14:textId="77777777" w:rsidR="00A023BD" w:rsidRPr="00491C93" w:rsidRDefault="00A023BD" w:rsidP="00A023BD">
            <w:pPr>
              <w:keepNext/>
              <w:jc w:val="right"/>
              <w:rPr>
                <w:color w:val="000000"/>
                <w:sz w:val="16"/>
                <w:szCs w:val="16"/>
                <w:lang w:eastAsia="en-NZ"/>
              </w:rPr>
            </w:pPr>
          </w:p>
        </w:tc>
        <w:tc>
          <w:tcPr>
            <w:tcW w:w="850" w:type="dxa"/>
            <w:shd w:val="clear" w:color="auto" w:fill="auto"/>
            <w:vAlign w:val="bottom"/>
          </w:tcPr>
          <w:p w14:paraId="62DB27A4" w14:textId="77777777" w:rsidR="00A023BD" w:rsidRPr="00491C93" w:rsidRDefault="00A023BD" w:rsidP="00A023BD">
            <w:pPr>
              <w:keepNext/>
              <w:jc w:val="right"/>
              <w:rPr>
                <w:color w:val="000000"/>
                <w:sz w:val="16"/>
                <w:szCs w:val="16"/>
                <w:lang w:eastAsia="en-NZ"/>
              </w:rPr>
            </w:pPr>
          </w:p>
        </w:tc>
      </w:tr>
      <w:tr w:rsidR="00A023BD" w:rsidRPr="001A61F1" w14:paraId="43D7807D" w14:textId="77777777" w:rsidTr="00326B55">
        <w:tc>
          <w:tcPr>
            <w:tcW w:w="5387" w:type="dxa"/>
            <w:tcBorders>
              <w:bottom w:val="single" w:sz="4" w:space="0" w:color="auto"/>
            </w:tcBorders>
          </w:tcPr>
          <w:p w14:paraId="0B9471F5"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tcBorders>
              <w:bottom w:val="single" w:sz="4" w:space="0" w:color="auto"/>
            </w:tcBorders>
            <w:shd w:val="clear" w:color="auto" w:fill="auto"/>
            <w:vAlign w:val="bottom"/>
          </w:tcPr>
          <w:p w14:paraId="58E47455"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4.78</w:t>
            </w:r>
          </w:p>
        </w:tc>
        <w:tc>
          <w:tcPr>
            <w:tcW w:w="1134" w:type="dxa"/>
            <w:tcBorders>
              <w:bottom w:val="single" w:sz="4" w:space="0" w:color="auto"/>
            </w:tcBorders>
            <w:shd w:val="clear" w:color="auto" w:fill="auto"/>
            <w:vAlign w:val="bottom"/>
          </w:tcPr>
          <w:p w14:paraId="4F4FC0C9"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(2.19, 10.41)</w:t>
            </w:r>
          </w:p>
        </w:tc>
        <w:tc>
          <w:tcPr>
            <w:tcW w:w="850" w:type="dxa"/>
            <w:tcBorders>
              <w:bottom w:val="single" w:sz="4" w:space="0" w:color="auto"/>
            </w:tcBorders>
            <w:shd w:val="clear" w:color="auto" w:fill="auto"/>
            <w:vAlign w:val="bottom"/>
          </w:tcPr>
          <w:p w14:paraId="41A3CC0A" w14:textId="77777777" w:rsidR="00A023BD" w:rsidRPr="00491C93" w:rsidRDefault="00A023BD" w:rsidP="00A023BD">
            <w:pPr>
              <w:keepNext/>
              <w:jc w:val="right"/>
              <w:rPr>
                <w:color w:val="000000"/>
                <w:sz w:val="16"/>
                <w:szCs w:val="16"/>
                <w:lang w:eastAsia="en-NZ"/>
              </w:rPr>
            </w:pPr>
            <w:r w:rsidRPr="00491C93">
              <w:rPr>
                <w:color w:val="000000"/>
                <w:sz w:val="16"/>
                <w:szCs w:val="16"/>
                <w:lang w:eastAsia="en-NZ"/>
              </w:rPr>
              <w:t>&lt;0.0001</w:t>
            </w:r>
          </w:p>
        </w:tc>
      </w:tr>
    </w:tbl>
    <w:p w14:paraId="3D69019E" w14:textId="77777777" w:rsidR="00A023BD" w:rsidRPr="00230801" w:rsidRDefault="00A023BD" w:rsidP="00A023BD">
      <w:pPr>
        <w:rPr>
          <w:rFonts w:eastAsiaTheme="majorEastAsia"/>
          <w:sz w:val="16"/>
          <w:lang w:eastAsia="en-US"/>
        </w:rPr>
      </w:pPr>
      <w:r>
        <w:rPr>
          <w:rFonts w:eastAsiaTheme="majorEastAsia"/>
          <w:sz w:val="16"/>
          <w:lang w:eastAsia="en-US"/>
        </w:rPr>
        <w:t>Data weighted for 2013 Census data (all Waves) and attrition (Waves 2, 3 and 4)</w:t>
      </w:r>
    </w:p>
    <w:p w14:paraId="006FEBCF" w14:textId="77777777" w:rsidR="00A023BD" w:rsidRDefault="00A023BD" w:rsidP="00A023BD">
      <w:pPr>
        <w:pStyle w:val="RepNormal"/>
      </w:pPr>
    </w:p>
    <w:p w14:paraId="60B61CC5" w14:textId="77777777" w:rsidR="00A023BD" w:rsidRPr="00FD6093" w:rsidRDefault="00A023BD" w:rsidP="00A023BD">
      <w:pPr>
        <w:pStyle w:val="RepNormal"/>
      </w:pPr>
    </w:p>
    <w:p w14:paraId="457A90BA" w14:textId="77777777" w:rsidR="00A023BD" w:rsidRPr="00C21EA4" w:rsidRDefault="00A023BD" w:rsidP="00A023BD">
      <w:pPr>
        <w:pStyle w:val="RepNormal"/>
        <w:keepNext/>
        <w:rPr>
          <w:u w:val="single"/>
        </w:rPr>
      </w:pPr>
      <w:r w:rsidRPr="00C21EA4">
        <w:rPr>
          <w:u w:val="single"/>
        </w:rPr>
        <w:t xml:space="preserve">Variables associated with </w:t>
      </w:r>
      <w:r>
        <w:rPr>
          <w:u w:val="single"/>
        </w:rPr>
        <w:t>a higher chance of</w:t>
      </w:r>
      <w:r w:rsidRPr="00C21EA4">
        <w:rPr>
          <w:u w:val="single"/>
        </w:rPr>
        <w:t xml:space="preserve"> </w:t>
      </w:r>
      <w:r>
        <w:rPr>
          <w:u w:val="single"/>
        </w:rPr>
        <w:t xml:space="preserve">being a past year moderate-risk/problem </w:t>
      </w:r>
      <w:r w:rsidRPr="00C21EA4">
        <w:rPr>
          <w:u w:val="single"/>
        </w:rPr>
        <w:t>gambl</w:t>
      </w:r>
      <w:r>
        <w:rPr>
          <w:u w:val="single"/>
        </w:rPr>
        <w:t>er</w:t>
      </w:r>
      <w:r w:rsidRPr="00C21EA4">
        <w:rPr>
          <w:u w:val="single"/>
        </w:rPr>
        <w:t xml:space="preserve"> </w:t>
      </w:r>
    </w:p>
    <w:p w14:paraId="0A0F08BD" w14:textId="77777777" w:rsidR="00A023BD" w:rsidRDefault="00A023BD" w:rsidP="00A023BD">
      <w:pPr>
        <w:pStyle w:val="RepNormal"/>
        <w:keepNext/>
      </w:pPr>
    </w:p>
    <w:p w14:paraId="7DCEF3FA" w14:textId="77777777" w:rsidR="00A023BD" w:rsidRPr="00FD6093" w:rsidRDefault="00A023BD" w:rsidP="00A023BD">
      <w:pPr>
        <w:pStyle w:val="RepNormal"/>
        <w:keepNext/>
      </w:pPr>
      <w:r w:rsidRPr="00FD6093">
        <w:t xml:space="preserve">Māori participants had more than twice the odds </w:t>
      </w:r>
      <w:r w:rsidRPr="00764B92">
        <w:t xml:space="preserve">of </w:t>
      </w:r>
      <w:r>
        <w:t>being a past year moderate-risk/problem</w:t>
      </w:r>
      <w:r w:rsidRPr="00764B92">
        <w:t xml:space="preserve"> gambl</w:t>
      </w:r>
      <w:r>
        <w:t>er versus being a low-risk/non-problem/non-g</w:t>
      </w:r>
      <w:r w:rsidRPr="00A55E1D">
        <w:t>ambl</w:t>
      </w:r>
      <w:r>
        <w:t>er</w:t>
      </w:r>
      <w:r w:rsidRPr="00FD6093">
        <w:t xml:space="preserve"> (2.41</w:t>
      </w:r>
      <w:r>
        <w:t> </w:t>
      </w:r>
      <w:r w:rsidRPr="00FD6093">
        <w:t>times higher)</w:t>
      </w:r>
      <w:r>
        <w:t>,</w:t>
      </w:r>
      <w:r w:rsidRPr="00FD6093">
        <w:t xml:space="preserve"> than European/</w:t>
      </w:r>
      <w:r>
        <w:t xml:space="preserve"> </w:t>
      </w:r>
      <w:r w:rsidRPr="00FD6093">
        <w:t xml:space="preserve">Other participants.  </w:t>
      </w:r>
    </w:p>
    <w:p w14:paraId="0772BC4E" w14:textId="77777777" w:rsidR="00A023BD" w:rsidRPr="00FD6093" w:rsidRDefault="00A023BD" w:rsidP="00A023BD">
      <w:pPr>
        <w:pStyle w:val="RepNormal"/>
      </w:pPr>
    </w:p>
    <w:p w14:paraId="57AEA0D3" w14:textId="77777777" w:rsidR="00A023BD" w:rsidRPr="00FD6093" w:rsidRDefault="00A023BD" w:rsidP="00A023BD">
      <w:pPr>
        <w:pStyle w:val="RepNormal"/>
      </w:pPr>
      <w:r w:rsidRPr="00FD6093">
        <w:t xml:space="preserve">Participants with one, or three or more individual levels of deprivation had higher odds </w:t>
      </w:r>
      <w:r w:rsidRPr="00764B92">
        <w:t xml:space="preserve">of </w:t>
      </w:r>
      <w:r>
        <w:t>being a past year moderate-risk/problem</w:t>
      </w:r>
      <w:r w:rsidRPr="00764B92">
        <w:t xml:space="preserve"> gambl</w:t>
      </w:r>
      <w:r>
        <w:t>er versus being a low-risk/non-problem/non-g</w:t>
      </w:r>
      <w:r w:rsidRPr="00A55E1D">
        <w:t>ambl</w:t>
      </w:r>
      <w:r>
        <w:t>er</w:t>
      </w:r>
      <w:r w:rsidRPr="00FD6093">
        <w:t xml:space="preserve">, compared with participants who did not experience any deprivation.  The odds increased with increasing deprivation from 2.60 times higher (for one deprivation level) to 5.67 times higher (for four or more deprivation levels).  </w:t>
      </w:r>
    </w:p>
    <w:p w14:paraId="615CAA19" w14:textId="77777777" w:rsidR="00A023BD" w:rsidRPr="00FD6093" w:rsidRDefault="00A023BD" w:rsidP="00A023BD">
      <w:pPr>
        <w:pStyle w:val="RepNormal"/>
      </w:pPr>
    </w:p>
    <w:p w14:paraId="3AF66D0E" w14:textId="77777777" w:rsidR="00A023BD" w:rsidRPr="00A05779" w:rsidRDefault="00A023BD" w:rsidP="00A023BD">
      <w:pPr>
        <w:pStyle w:val="RepNormal"/>
      </w:pPr>
      <w:r w:rsidRPr="00A05779">
        <w:t xml:space="preserve">Experiencing moderate, high or severe levels of psychological distress remained associated with higher odds </w:t>
      </w:r>
      <w:r w:rsidRPr="00764B92">
        <w:t xml:space="preserve">of </w:t>
      </w:r>
      <w:r>
        <w:t>being a past year moderate-risk/problem</w:t>
      </w:r>
      <w:r w:rsidRPr="00764B92">
        <w:t xml:space="preserve"> gambl</w:t>
      </w:r>
      <w:r>
        <w:t>er versus being a low-risk/ non-problem/non-g</w:t>
      </w:r>
      <w:r w:rsidRPr="00A55E1D">
        <w:t>ambl</w:t>
      </w:r>
      <w:r>
        <w:t>er</w:t>
      </w:r>
      <w:r w:rsidRPr="00A05779">
        <w:t>, compared with experiencing a low level of psychological distress.  However, the increased risk was not linear at 3.41, 18.08 and 2.27 times for moderate, high and severe levels, respectively.</w:t>
      </w:r>
    </w:p>
    <w:p w14:paraId="1AC2821D" w14:textId="77777777" w:rsidR="00A023BD" w:rsidRDefault="00A023BD" w:rsidP="00A023BD">
      <w:pPr>
        <w:pStyle w:val="RepNormal"/>
      </w:pPr>
    </w:p>
    <w:p w14:paraId="330645B6" w14:textId="77777777" w:rsidR="00A023BD" w:rsidRDefault="00A023BD" w:rsidP="00A023BD">
      <w:pPr>
        <w:pStyle w:val="RepNormal"/>
      </w:pPr>
      <w:r w:rsidRPr="00A05779">
        <w:t xml:space="preserve">Various gambling participation behaviours also remained associated with </w:t>
      </w:r>
      <w:r>
        <w:t>being a past year moderate-risk/problem</w:t>
      </w:r>
      <w:r w:rsidRPr="00764B92">
        <w:t xml:space="preserve"> gambl</w:t>
      </w:r>
      <w:r>
        <w:t>er versus being a low-risk/non-problem/non-g</w:t>
      </w:r>
      <w:r w:rsidRPr="00A55E1D">
        <w:t>ambl</w:t>
      </w:r>
      <w:r>
        <w:t>er</w:t>
      </w:r>
      <w:r w:rsidRPr="00A05779">
        <w:t xml:space="preserve">.  These included gambling monthly </w:t>
      </w:r>
      <w:r>
        <w:t xml:space="preserve">or more often </w:t>
      </w:r>
      <w:r w:rsidRPr="00A05779">
        <w:t>on card games, sports betting, EGMs overall, and playing on gambling-type games not for money (varied from 2.25</w:t>
      </w:r>
      <w:r>
        <w:t> </w:t>
      </w:r>
      <w:r w:rsidRPr="00A05779">
        <w:t>to 7.60 times higher), compared with not participating in these activities at least monthly.</w:t>
      </w:r>
    </w:p>
    <w:p w14:paraId="12AD3348" w14:textId="77777777" w:rsidR="00A023BD" w:rsidRDefault="00A023BD" w:rsidP="00A023BD">
      <w:pPr>
        <w:pStyle w:val="RepNormal"/>
      </w:pPr>
    </w:p>
    <w:p w14:paraId="199514AB" w14:textId="77777777" w:rsidR="00A023BD" w:rsidRPr="004426E1" w:rsidRDefault="00A023BD" w:rsidP="00A023BD">
      <w:pPr>
        <w:pStyle w:val="RepNormal"/>
      </w:pPr>
      <w:r>
        <w:t xml:space="preserve">Regular continuous gamblers had 3.16 times higher odds </w:t>
      </w:r>
      <w:r w:rsidRPr="00764B92">
        <w:t xml:space="preserve">of </w:t>
      </w:r>
      <w:r>
        <w:t>being a past year moderate-risk/</w:t>
      </w:r>
      <w:r w:rsidR="002C2F51">
        <w:t xml:space="preserve"> </w:t>
      </w:r>
      <w:r>
        <w:t>problem</w:t>
      </w:r>
      <w:r w:rsidRPr="00764B92">
        <w:t xml:space="preserve"> gambl</w:t>
      </w:r>
      <w:r>
        <w:t>er versus being a low-risk/non-problem/non-g</w:t>
      </w:r>
      <w:r w:rsidRPr="00A55E1D">
        <w:t>ambl</w:t>
      </w:r>
      <w:r>
        <w:t xml:space="preserve">er, compared with infrequent gamblers.  </w:t>
      </w:r>
      <w:r w:rsidRPr="004426E1">
        <w:t xml:space="preserve">Having a typical monthly gambling expenditure of more than $50 remained associated with 4.51 times higher odds </w:t>
      </w:r>
      <w:r w:rsidRPr="00764B92">
        <w:t xml:space="preserve">of </w:t>
      </w:r>
      <w:r>
        <w:t>being a past year moderate-risk/problem</w:t>
      </w:r>
      <w:r w:rsidRPr="00764B92">
        <w:t xml:space="preserve"> gambl</w:t>
      </w:r>
      <w:r>
        <w:t xml:space="preserve">er, </w:t>
      </w:r>
      <w:r w:rsidRPr="004426E1">
        <w:t xml:space="preserve">than having a monthly expenditure of $20 or less.  Participants who gambled on casino or pub EGMs for more than 60 minutes in an average day had higher odds </w:t>
      </w:r>
      <w:r w:rsidRPr="00764B92">
        <w:t xml:space="preserve">of </w:t>
      </w:r>
      <w:r>
        <w:t>being a past year moderate-risk/problem</w:t>
      </w:r>
      <w:r w:rsidRPr="00764B92">
        <w:t xml:space="preserve"> gambl</w:t>
      </w:r>
      <w:r>
        <w:t xml:space="preserve">er </w:t>
      </w:r>
      <w:r w:rsidRPr="004426E1">
        <w:t>(3.27 and 11.48 times higher, respectively)</w:t>
      </w:r>
      <w:r>
        <w:t>,</w:t>
      </w:r>
      <w:r w:rsidRPr="004426E1">
        <w:t xml:space="preserve"> than participants who did not gamble on casino or pub EGMs.</w:t>
      </w:r>
    </w:p>
    <w:p w14:paraId="0746B0DA" w14:textId="77777777" w:rsidR="00A023BD" w:rsidRPr="004E24C3" w:rsidRDefault="00A023BD" w:rsidP="00A023BD">
      <w:pPr>
        <w:pStyle w:val="RepNormal"/>
      </w:pPr>
    </w:p>
    <w:p w14:paraId="3DFB4EAC" w14:textId="77777777" w:rsidR="00A023BD" w:rsidRPr="004E24C3" w:rsidRDefault="00A023BD" w:rsidP="00A023BD">
      <w:pPr>
        <w:pStyle w:val="RepNormal"/>
      </w:pPr>
      <w:r w:rsidRPr="004E24C3">
        <w:t xml:space="preserve">Two methods for moderating gambling behaviour also remained associated with </w:t>
      </w:r>
      <w:r>
        <w:t>being a past year moderate-risk/problem</w:t>
      </w:r>
      <w:r w:rsidRPr="00764B92">
        <w:t xml:space="preserve"> gambl</w:t>
      </w:r>
      <w:r>
        <w:t>er versus being a low-risk/non-problem/non-g</w:t>
      </w:r>
      <w:r w:rsidRPr="00A55E1D">
        <w:t>ambl</w:t>
      </w:r>
      <w:r>
        <w:t>er</w:t>
      </w:r>
      <w:r w:rsidRPr="004E24C3">
        <w:t xml:space="preserve">.  These were leaving ATM and credit cards at home, and avoiding places that have betting or gambling.  The odds for increased risk were 4.26 and 4.78 times higher, respectively. </w:t>
      </w:r>
    </w:p>
    <w:p w14:paraId="6D05EE27" w14:textId="77777777" w:rsidR="00A023BD" w:rsidRPr="004E24C3" w:rsidRDefault="00A023BD" w:rsidP="00A023BD">
      <w:pPr>
        <w:pStyle w:val="RepNormal"/>
      </w:pPr>
    </w:p>
    <w:p w14:paraId="178E4DEC" w14:textId="77777777" w:rsidR="00A023BD" w:rsidRDefault="00A023BD" w:rsidP="00A023BD">
      <w:pPr>
        <w:pStyle w:val="RepNormal"/>
      </w:pPr>
    </w:p>
    <w:p w14:paraId="49502509" w14:textId="77777777" w:rsidR="00A023BD" w:rsidRPr="00C21EA4" w:rsidRDefault="00A023BD" w:rsidP="00A023BD">
      <w:pPr>
        <w:pStyle w:val="RepNormal"/>
        <w:rPr>
          <w:u w:val="single"/>
        </w:rPr>
      </w:pPr>
      <w:r w:rsidRPr="00C21EA4">
        <w:rPr>
          <w:u w:val="single"/>
        </w:rPr>
        <w:t xml:space="preserve">Variables associated with </w:t>
      </w:r>
      <w:r>
        <w:rPr>
          <w:u w:val="single"/>
        </w:rPr>
        <w:t>a lower chance of</w:t>
      </w:r>
      <w:r w:rsidRPr="00C21EA4">
        <w:rPr>
          <w:u w:val="single"/>
        </w:rPr>
        <w:t xml:space="preserve"> </w:t>
      </w:r>
      <w:r>
        <w:rPr>
          <w:u w:val="single"/>
        </w:rPr>
        <w:t xml:space="preserve">being a past year moderate-risk/problem </w:t>
      </w:r>
      <w:r w:rsidRPr="00C21EA4">
        <w:rPr>
          <w:u w:val="single"/>
        </w:rPr>
        <w:t>gambl</w:t>
      </w:r>
      <w:r>
        <w:rPr>
          <w:u w:val="single"/>
        </w:rPr>
        <w:t>er</w:t>
      </w:r>
      <w:r w:rsidRPr="00C21EA4">
        <w:rPr>
          <w:u w:val="single"/>
        </w:rPr>
        <w:t xml:space="preserve"> </w:t>
      </w:r>
    </w:p>
    <w:p w14:paraId="22A99CFE" w14:textId="77777777" w:rsidR="00A023BD" w:rsidRDefault="00A023BD" w:rsidP="00A023BD">
      <w:pPr>
        <w:pStyle w:val="RepNormal"/>
      </w:pPr>
    </w:p>
    <w:p w14:paraId="5FF88421" w14:textId="0E327923" w:rsidR="00A023BD" w:rsidRPr="00FD6093" w:rsidRDefault="00A023BD" w:rsidP="00A023BD">
      <w:pPr>
        <w:pStyle w:val="RepNormal"/>
      </w:pPr>
      <w:r w:rsidRPr="00FD6093">
        <w:t xml:space="preserve">Asian participants had lower odds </w:t>
      </w:r>
      <w:r w:rsidR="004D1358">
        <w:t xml:space="preserve">(odds ratio 0.28) </w:t>
      </w:r>
      <w:r w:rsidRPr="00764B92">
        <w:t xml:space="preserve">of </w:t>
      </w:r>
      <w:r>
        <w:t>being a past year moderate-risk/problem</w:t>
      </w:r>
      <w:r w:rsidRPr="00764B92">
        <w:t xml:space="preserve"> gambl</w:t>
      </w:r>
      <w:r>
        <w:t>er versus being a low-risk/non-problem/non-g</w:t>
      </w:r>
      <w:r w:rsidRPr="00A55E1D">
        <w:t>ambl</w:t>
      </w:r>
      <w:r>
        <w:t>er</w:t>
      </w:r>
      <w:r w:rsidRPr="00FD6093">
        <w:t>, compared with European/Other participants.</w:t>
      </w:r>
    </w:p>
    <w:p w14:paraId="5BF1C73E" w14:textId="77777777" w:rsidR="00A023BD" w:rsidRPr="00FD6093" w:rsidRDefault="00A023BD" w:rsidP="00A023BD">
      <w:pPr>
        <w:pStyle w:val="RepNormal"/>
      </w:pPr>
    </w:p>
    <w:p w14:paraId="65758CE2" w14:textId="1FEEC35A" w:rsidR="00A023BD" w:rsidRPr="00FD6093" w:rsidRDefault="00A023BD" w:rsidP="00A023BD">
      <w:pPr>
        <w:pStyle w:val="RepNormal"/>
      </w:pPr>
      <w:r w:rsidRPr="006E19E4">
        <w:t xml:space="preserve">Participants with a quality of life above the median level had lower odds </w:t>
      </w:r>
      <w:r w:rsidRPr="00764B92">
        <w:t xml:space="preserve">of </w:t>
      </w:r>
      <w:r>
        <w:t>being a past year moderate-risk/problem</w:t>
      </w:r>
      <w:r w:rsidRPr="00764B92">
        <w:t xml:space="preserve"> gambl</w:t>
      </w:r>
      <w:r>
        <w:t>er versus being a low-risk/non-problem/non-g</w:t>
      </w:r>
      <w:r w:rsidRPr="00A55E1D">
        <w:t>ambl</w:t>
      </w:r>
      <w:r>
        <w:t>er</w:t>
      </w:r>
      <w:r w:rsidRPr="006E19E4">
        <w:t xml:space="preserve"> (</w:t>
      </w:r>
      <w:r w:rsidR="004D1358">
        <w:t>odds ratio </w:t>
      </w:r>
      <w:r w:rsidRPr="006E19E4">
        <w:t>0.35)</w:t>
      </w:r>
      <w:r>
        <w:t>,</w:t>
      </w:r>
      <w:r w:rsidRPr="006E19E4">
        <w:t xml:space="preserve"> compared with participants with </w:t>
      </w:r>
      <w:r>
        <w:t xml:space="preserve">a </w:t>
      </w:r>
      <w:r w:rsidRPr="006E19E4">
        <w:t>quality of life below the median level.</w:t>
      </w:r>
      <w:r w:rsidRPr="00FD6093">
        <w:t xml:space="preserve">  </w:t>
      </w:r>
    </w:p>
    <w:p w14:paraId="69AAA180" w14:textId="77777777" w:rsidR="00A023BD" w:rsidRPr="00FD6093" w:rsidRDefault="00A023BD" w:rsidP="00A023BD">
      <w:pPr>
        <w:pStyle w:val="RepNormal"/>
      </w:pPr>
    </w:p>
    <w:p w14:paraId="52029ED0" w14:textId="77777777" w:rsidR="00A023BD" w:rsidRDefault="00A023BD" w:rsidP="00A023BD">
      <w:pPr>
        <w:pStyle w:val="RepNormal"/>
      </w:pPr>
    </w:p>
    <w:p w14:paraId="4993804E" w14:textId="77777777" w:rsidR="00A023BD" w:rsidRDefault="00A023BD" w:rsidP="00A023BD">
      <w:pPr>
        <w:pStyle w:val="RepHead3"/>
      </w:pPr>
      <w:bookmarkStart w:id="160" w:name="_Ref495670837"/>
      <w:bookmarkStart w:id="161" w:name="_Toc504488384"/>
      <w:r>
        <w:t>Multiple logistic regression - Māori</w:t>
      </w:r>
      <w:bookmarkEnd w:id="160"/>
      <w:bookmarkEnd w:id="161"/>
    </w:p>
    <w:p w14:paraId="3AAE1C02" w14:textId="77777777" w:rsidR="00A023BD" w:rsidRDefault="00A023BD" w:rsidP="00A023BD">
      <w:pPr>
        <w:pStyle w:val="RepNormal"/>
        <w:keepNext/>
      </w:pPr>
    </w:p>
    <w:p w14:paraId="4475533D" w14:textId="77777777" w:rsidR="00A023BD" w:rsidRPr="005C7F89" w:rsidRDefault="00A023BD" w:rsidP="00A023BD">
      <w:pPr>
        <w:pStyle w:val="RepNormal"/>
        <w:keepNext/>
      </w:pPr>
      <w:r>
        <w:t xml:space="preserve">Data are presented in </w:t>
      </w:r>
      <w:r>
        <w:fldChar w:fldCharType="begin"/>
      </w:r>
      <w:r>
        <w:instrText xml:space="preserve"> REF _Ref483317362 \h </w:instrText>
      </w:r>
      <w:r>
        <w:fldChar w:fldCharType="separate"/>
      </w:r>
      <w:r w:rsidR="00D5752E">
        <w:t xml:space="preserve">Table </w:t>
      </w:r>
      <w:r w:rsidR="00D5752E">
        <w:rPr>
          <w:noProof/>
        </w:rPr>
        <w:t>19</w:t>
      </w:r>
      <w:r>
        <w:fldChar w:fldCharType="end"/>
      </w:r>
      <w:r w:rsidRPr="00BF3771">
        <w:t>.</w:t>
      </w:r>
    </w:p>
    <w:p w14:paraId="6407352F" w14:textId="77777777" w:rsidR="00A023BD" w:rsidRDefault="00A023BD" w:rsidP="00A023BD">
      <w:pPr>
        <w:pStyle w:val="RepNormal"/>
        <w:keepNext/>
      </w:pPr>
    </w:p>
    <w:p w14:paraId="039026BE" w14:textId="77777777" w:rsidR="00A023BD" w:rsidRDefault="00A023BD" w:rsidP="00A023BD">
      <w:pPr>
        <w:pStyle w:val="RepNormal"/>
        <w:keepNext/>
      </w:pPr>
      <w:r w:rsidRPr="00CC0DD0">
        <w:t xml:space="preserve">Multiple logistic regression analyses for Māori showed that </w:t>
      </w:r>
      <w:r>
        <w:t>there were some similarities, and some differences, from the total population in regard to associations with being a past year moderate-risk/problem</w:t>
      </w:r>
      <w:r w:rsidRPr="00764B92">
        <w:t xml:space="preserve"> gambl</w:t>
      </w:r>
      <w:r>
        <w:t>er versus being a low-risk/non-problem/non-g</w:t>
      </w:r>
      <w:r w:rsidRPr="00A55E1D">
        <w:t>ambl</w:t>
      </w:r>
      <w:r>
        <w:t>er.  Psychological distress</w:t>
      </w:r>
      <w:r w:rsidRPr="00735871">
        <w:t xml:space="preserve"> and various gambling participation behaviours were significantly associated with </w:t>
      </w:r>
      <w:r>
        <w:t>being a past year moderate-risk/problem</w:t>
      </w:r>
      <w:r w:rsidRPr="00764B92">
        <w:t xml:space="preserve"> gambl</w:t>
      </w:r>
      <w:r>
        <w:t>er</w:t>
      </w:r>
      <w:r w:rsidRPr="00735871">
        <w:t>.</w:t>
      </w:r>
    </w:p>
    <w:p w14:paraId="4C2AF242" w14:textId="77777777" w:rsidR="00A023BD" w:rsidRPr="00735871" w:rsidRDefault="00A023BD" w:rsidP="00A023BD">
      <w:pPr>
        <w:pStyle w:val="RepNormal"/>
      </w:pPr>
    </w:p>
    <w:p w14:paraId="269CA066" w14:textId="77777777" w:rsidR="00A023BD" w:rsidRPr="00B01A26" w:rsidRDefault="00A023BD" w:rsidP="00A023BD">
      <w:pPr>
        <w:pStyle w:val="Caption"/>
        <w:keepNext/>
        <w:keepLines/>
        <w:jc w:val="both"/>
        <w:rPr>
          <w:sz w:val="22"/>
          <w:szCs w:val="22"/>
        </w:rPr>
      </w:pPr>
      <w:bookmarkStart w:id="162" w:name="_Ref483317362"/>
      <w:bookmarkStart w:id="163" w:name="_Toc504488444"/>
      <w:r>
        <w:t xml:space="preserve">Table </w:t>
      </w:r>
      <w:r w:rsidR="00D5752E">
        <w:fldChar w:fldCharType="begin"/>
      </w:r>
      <w:r w:rsidR="00D5752E">
        <w:instrText xml:space="preserve"> SEQ Table \* ARABIC </w:instrText>
      </w:r>
      <w:r w:rsidR="00D5752E">
        <w:fldChar w:fldCharType="separate"/>
      </w:r>
      <w:r w:rsidR="00D5752E">
        <w:rPr>
          <w:noProof/>
        </w:rPr>
        <w:t>19</w:t>
      </w:r>
      <w:r w:rsidR="00D5752E">
        <w:rPr>
          <w:noProof/>
        </w:rPr>
        <w:fldChar w:fldCharType="end"/>
      </w:r>
      <w:bookmarkEnd w:id="162"/>
      <w:r>
        <w:t xml:space="preserve">: Multiple logistic regression for </w:t>
      </w:r>
      <w:r w:rsidR="002C2F51">
        <w:t xml:space="preserve">the chance of </w:t>
      </w:r>
      <w:r>
        <w:t>being a past year moderate-risk/problem gambler vs. being a low-risk/non-problem/non-gambler across Waves 1 to 4 - Māori</w:t>
      </w:r>
      <w:bookmarkEnd w:id="163"/>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1134"/>
        <w:gridCol w:w="1134"/>
        <w:gridCol w:w="850"/>
      </w:tblGrid>
      <w:tr w:rsidR="00A023BD" w:rsidRPr="003F15C0" w14:paraId="4925CDA0" w14:textId="77777777" w:rsidTr="00A023BD">
        <w:trPr>
          <w:tblHeader/>
        </w:trPr>
        <w:tc>
          <w:tcPr>
            <w:tcW w:w="5387" w:type="dxa"/>
            <w:tcBorders>
              <w:top w:val="single" w:sz="4" w:space="0" w:color="auto"/>
              <w:bottom w:val="single" w:sz="4" w:space="0" w:color="auto"/>
            </w:tcBorders>
            <w:vAlign w:val="bottom"/>
          </w:tcPr>
          <w:p w14:paraId="61C23B66" w14:textId="77777777" w:rsidR="00A023BD" w:rsidRPr="003F15C0" w:rsidRDefault="00A023BD" w:rsidP="00A023BD">
            <w:pPr>
              <w:keepNext/>
              <w:keepLines/>
              <w:spacing w:before="20"/>
              <w:jc w:val="both"/>
              <w:rPr>
                <w:b/>
                <w:sz w:val="16"/>
                <w:szCs w:val="16"/>
              </w:rPr>
            </w:pPr>
            <w:r>
              <w:rPr>
                <w:b/>
                <w:sz w:val="16"/>
                <w:szCs w:val="16"/>
              </w:rPr>
              <w:t>Wave 1 v</w:t>
            </w:r>
            <w:r w:rsidRPr="003F15C0">
              <w:rPr>
                <w:b/>
                <w:sz w:val="16"/>
                <w:szCs w:val="16"/>
              </w:rPr>
              <w:t>ariable</w:t>
            </w:r>
          </w:p>
        </w:tc>
        <w:tc>
          <w:tcPr>
            <w:tcW w:w="1134" w:type="dxa"/>
            <w:tcBorders>
              <w:top w:val="single" w:sz="4" w:space="0" w:color="auto"/>
              <w:bottom w:val="single" w:sz="4" w:space="0" w:color="auto"/>
            </w:tcBorders>
            <w:vAlign w:val="bottom"/>
          </w:tcPr>
          <w:p w14:paraId="736DA9CB" w14:textId="34BD77A3" w:rsidR="00A023BD" w:rsidRPr="003F15C0" w:rsidRDefault="00A023BD" w:rsidP="004B0286">
            <w:pPr>
              <w:keepNext/>
              <w:keepLines/>
              <w:spacing w:before="20"/>
              <w:jc w:val="right"/>
              <w:rPr>
                <w:b/>
                <w:color w:val="000000"/>
                <w:sz w:val="16"/>
                <w:szCs w:val="16"/>
              </w:rPr>
            </w:pPr>
            <w:r w:rsidRPr="003F15C0">
              <w:rPr>
                <w:b/>
                <w:color w:val="000000"/>
                <w:sz w:val="16"/>
                <w:szCs w:val="16"/>
              </w:rPr>
              <w:t xml:space="preserve">Odds </w:t>
            </w:r>
            <w:r w:rsidR="004B0286">
              <w:rPr>
                <w:b/>
                <w:color w:val="000000"/>
                <w:sz w:val="16"/>
                <w:szCs w:val="16"/>
              </w:rPr>
              <w:t>r</w:t>
            </w:r>
            <w:r w:rsidRPr="003F15C0">
              <w:rPr>
                <w:b/>
                <w:color w:val="000000"/>
                <w:sz w:val="16"/>
                <w:szCs w:val="16"/>
              </w:rPr>
              <w:t>atio</w:t>
            </w:r>
          </w:p>
        </w:tc>
        <w:tc>
          <w:tcPr>
            <w:tcW w:w="1134" w:type="dxa"/>
            <w:tcBorders>
              <w:top w:val="single" w:sz="4" w:space="0" w:color="auto"/>
              <w:bottom w:val="single" w:sz="4" w:space="0" w:color="auto"/>
            </w:tcBorders>
            <w:vAlign w:val="bottom"/>
          </w:tcPr>
          <w:p w14:paraId="5117C69C" w14:textId="77777777" w:rsidR="00A023BD" w:rsidRPr="003F15C0" w:rsidRDefault="00A023BD" w:rsidP="00A023BD">
            <w:pPr>
              <w:keepNext/>
              <w:keepLines/>
              <w:spacing w:before="20"/>
              <w:jc w:val="right"/>
              <w:rPr>
                <w:b/>
                <w:color w:val="000000"/>
                <w:sz w:val="16"/>
                <w:szCs w:val="16"/>
              </w:rPr>
            </w:pPr>
            <w:r w:rsidRPr="003F15C0">
              <w:rPr>
                <w:b/>
                <w:color w:val="000000"/>
                <w:sz w:val="16"/>
                <w:szCs w:val="16"/>
              </w:rPr>
              <w:t>(95% CI)</w:t>
            </w:r>
          </w:p>
        </w:tc>
        <w:tc>
          <w:tcPr>
            <w:tcW w:w="850" w:type="dxa"/>
            <w:tcBorders>
              <w:top w:val="single" w:sz="4" w:space="0" w:color="auto"/>
              <w:bottom w:val="single" w:sz="4" w:space="0" w:color="auto"/>
            </w:tcBorders>
            <w:vAlign w:val="bottom"/>
          </w:tcPr>
          <w:p w14:paraId="182B1DE0" w14:textId="77777777" w:rsidR="00A023BD" w:rsidRPr="003F15C0" w:rsidRDefault="00A023BD" w:rsidP="00A023BD">
            <w:pPr>
              <w:keepNext/>
              <w:keepLines/>
              <w:spacing w:before="20"/>
              <w:jc w:val="right"/>
              <w:rPr>
                <w:b/>
                <w:color w:val="000000"/>
                <w:sz w:val="16"/>
                <w:szCs w:val="16"/>
              </w:rPr>
            </w:pPr>
            <w:r w:rsidRPr="003F15C0">
              <w:rPr>
                <w:b/>
                <w:color w:val="000000"/>
                <w:sz w:val="16"/>
                <w:szCs w:val="16"/>
              </w:rPr>
              <w:t>p-value</w:t>
            </w:r>
          </w:p>
        </w:tc>
      </w:tr>
      <w:tr w:rsidR="00A023BD" w:rsidRPr="003F15C0" w14:paraId="4380D71B" w14:textId="77777777" w:rsidTr="00A023BD">
        <w:tc>
          <w:tcPr>
            <w:tcW w:w="5387" w:type="dxa"/>
            <w:shd w:val="clear" w:color="auto" w:fill="auto"/>
          </w:tcPr>
          <w:p w14:paraId="4A4E5641" w14:textId="77777777" w:rsidR="00A023BD" w:rsidRPr="007C6C78" w:rsidRDefault="00A023BD" w:rsidP="00A023BD">
            <w:pPr>
              <w:keepNext/>
              <w:keepLines/>
              <w:spacing w:before="20"/>
              <w:jc w:val="both"/>
              <w:rPr>
                <w:b/>
                <w:sz w:val="16"/>
                <w:szCs w:val="16"/>
              </w:rPr>
            </w:pPr>
            <w:r w:rsidRPr="007C6C78">
              <w:rPr>
                <w:b/>
                <w:sz w:val="16"/>
                <w:szCs w:val="16"/>
              </w:rPr>
              <w:t>Psychological distress (Kessler-10)</w:t>
            </w:r>
          </w:p>
        </w:tc>
        <w:tc>
          <w:tcPr>
            <w:tcW w:w="1134" w:type="dxa"/>
            <w:shd w:val="clear" w:color="auto" w:fill="auto"/>
            <w:vAlign w:val="center"/>
          </w:tcPr>
          <w:p w14:paraId="3A4FE15E" w14:textId="77777777" w:rsidR="00A023BD" w:rsidRPr="00DF4034" w:rsidRDefault="00A023BD" w:rsidP="00A023BD">
            <w:pPr>
              <w:keepNext/>
              <w:keepLines/>
              <w:jc w:val="right"/>
              <w:rPr>
                <w:color w:val="000000"/>
                <w:sz w:val="16"/>
                <w:szCs w:val="16"/>
                <w:lang w:eastAsia="en-NZ"/>
              </w:rPr>
            </w:pPr>
          </w:p>
        </w:tc>
        <w:tc>
          <w:tcPr>
            <w:tcW w:w="1134" w:type="dxa"/>
            <w:shd w:val="clear" w:color="auto" w:fill="auto"/>
            <w:vAlign w:val="center"/>
          </w:tcPr>
          <w:p w14:paraId="2585A040" w14:textId="77777777" w:rsidR="00A023BD" w:rsidRPr="00DF4034" w:rsidRDefault="00A023BD" w:rsidP="00A023BD">
            <w:pPr>
              <w:keepNext/>
              <w:keepLines/>
              <w:jc w:val="right"/>
              <w:rPr>
                <w:color w:val="000000"/>
                <w:sz w:val="16"/>
                <w:szCs w:val="16"/>
                <w:lang w:eastAsia="en-NZ"/>
              </w:rPr>
            </w:pPr>
          </w:p>
        </w:tc>
        <w:tc>
          <w:tcPr>
            <w:tcW w:w="850" w:type="dxa"/>
            <w:shd w:val="clear" w:color="auto" w:fill="auto"/>
            <w:vAlign w:val="center"/>
          </w:tcPr>
          <w:p w14:paraId="12618D92" w14:textId="77777777" w:rsidR="00A023BD" w:rsidRPr="00DF4034" w:rsidRDefault="00A023BD" w:rsidP="00A023BD">
            <w:pPr>
              <w:keepNext/>
              <w:keepLines/>
              <w:jc w:val="right"/>
              <w:rPr>
                <w:color w:val="000000"/>
                <w:sz w:val="16"/>
                <w:szCs w:val="16"/>
                <w:lang w:eastAsia="en-NZ"/>
              </w:rPr>
            </w:pPr>
          </w:p>
        </w:tc>
      </w:tr>
      <w:tr w:rsidR="00A023BD" w:rsidRPr="003F15C0" w14:paraId="59609C3C" w14:textId="77777777" w:rsidTr="00A023BD">
        <w:tc>
          <w:tcPr>
            <w:tcW w:w="5387" w:type="dxa"/>
            <w:shd w:val="clear" w:color="auto" w:fill="auto"/>
            <w:vAlign w:val="bottom"/>
          </w:tcPr>
          <w:p w14:paraId="40C90212" w14:textId="77777777" w:rsidR="00A023BD" w:rsidRPr="007C6C78" w:rsidRDefault="00A023BD" w:rsidP="00A023BD">
            <w:pPr>
              <w:keepNext/>
              <w:keepLines/>
              <w:spacing w:before="20"/>
              <w:ind w:left="176"/>
              <w:jc w:val="both"/>
              <w:rPr>
                <w:sz w:val="16"/>
                <w:szCs w:val="16"/>
              </w:rPr>
            </w:pPr>
            <w:r>
              <w:rPr>
                <w:sz w:val="16"/>
                <w:szCs w:val="16"/>
              </w:rPr>
              <w:t xml:space="preserve">Low (Score </w:t>
            </w:r>
            <w:r w:rsidRPr="007C6C78">
              <w:rPr>
                <w:sz w:val="16"/>
                <w:szCs w:val="16"/>
              </w:rPr>
              <w:t>0</w:t>
            </w:r>
            <w:r>
              <w:rPr>
                <w:sz w:val="16"/>
                <w:szCs w:val="16"/>
              </w:rPr>
              <w:t xml:space="preserve"> </w:t>
            </w:r>
            <w:r w:rsidRPr="007C6C78">
              <w:rPr>
                <w:sz w:val="16"/>
                <w:szCs w:val="16"/>
              </w:rPr>
              <w:t>-</w:t>
            </w:r>
            <w:r>
              <w:rPr>
                <w:sz w:val="16"/>
                <w:szCs w:val="16"/>
              </w:rPr>
              <w:t xml:space="preserve"> </w:t>
            </w:r>
            <w:r w:rsidRPr="007C6C78">
              <w:rPr>
                <w:sz w:val="16"/>
                <w:szCs w:val="16"/>
              </w:rPr>
              <w:t>5</w:t>
            </w:r>
            <w:r>
              <w:rPr>
                <w:sz w:val="16"/>
                <w:szCs w:val="16"/>
              </w:rPr>
              <w:t>)</w:t>
            </w:r>
          </w:p>
        </w:tc>
        <w:tc>
          <w:tcPr>
            <w:tcW w:w="1134" w:type="dxa"/>
            <w:shd w:val="clear" w:color="auto" w:fill="auto"/>
            <w:vAlign w:val="bottom"/>
          </w:tcPr>
          <w:p w14:paraId="7A614F84" w14:textId="77777777" w:rsidR="00A023BD" w:rsidRPr="00B97C53" w:rsidRDefault="00A023BD" w:rsidP="00A023BD">
            <w:pPr>
              <w:keepNext/>
              <w:jc w:val="right"/>
              <w:rPr>
                <w:color w:val="000000"/>
                <w:sz w:val="16"/>
                <w:szCs w:val="16"/>
                <w:lang w:eastAsia="en-NZ"/>
              </w:rPr>
            </w:pPr>
            <w:r w:rsidRPr="00B97C53">
              <w:rPr>
                <w:color w:val="000000"/>
                <w:sz w:val="16"/>
                <w:szCs w:val="16"/>
                <w:lang w:eastAsia="en-NZ"/>
              </w:rPr>
              <w:t>1.00</w:t>
            </w:r>
          </w:p>
        </w:tc>
        <w:tc>
          <w:tcPr>
            <w:tcW w:w="1134" w:type="dxa"/>
            <w:shd w:val="clear" w:color="auto" w:fill="auto"/>
            <w:vAlign w:val="bottom"/>
          </w:tcPr>
          <w:p w14:paraId="02347923" w14:textId="77777777" w:rsidR="00A023BD" w:rsidRPr="00B97C53" w:rsidRDefault="00A023BD" w:rsidP="00A023BD">
            <w:pPr>
              <w:keepNext/>
              <w:jc w:val="right"/>
              <w:rPr>
                <w:color w:val="000000"/>
                <w:sz w:val="16"/>
                <w:szCs w:val="16"/>
                <w:lang w:eastAsia="en-NZ"/>
              </w:rPr>
            </w:pPr>
          </w:p>
        </w:tc>
        <w:tc>
          <w:tcPr>
            <w:tcW w:w="850" w:type="dxa"/>
            <w:shd w:val="clear" w:color="auto" w:fill="auto"/>
            <w:vAlign w:val="bottom"/>
          </w:tcPr>
          <w:p w14:paraId="3217E2B2" w14:textId="77777777" w:rsidR="00A023BD" w:rsidRPr="00B97C53" w:rsidRDefault="00A023BD" w:rsidP="00A023BD">
            <w:pPr>
              <w:keepNext/>
              <w:jc w:val="right"/>
              <w:rPr>
                <w:color w:val="000000"/>
                <w:sz w:val="16"/>
                <w:szCs w:val="16"/>
                <w:lang w:eastAsia="en-NZ"/>
              </w:rPr>
            </w:pPr>
          </w:p>
        </w:tc>
      </w:tr>
      <w:tr w:rsidR="00A023BD" w:rsidRPr="003F15C0" w14:paraId="3E7AA91F" w14:textId="77777777" w:rsidTr="00A023BD">
        <w:tc>
          <w:tcPr>
            <w:tcW w:w="5387" w:type="dxa"/>
            <w:shd w:val="clear" w:color="auto" w:fill="auto"/>
            <w:vAlign w:val="bottom"/>
          </w:tcPr>
          <w:p w14:paraId="6A5684E8" w14:textId="77777777" w:rsidR="00A023BD" w:rsidRPr="007C6C78" w:rsidRDefault="00A023BD" w:rsidP="00A023BD">
            <w:pPr>
              <w:keepNext/>
              <w:keepLines/>
              <w:spacing w:before="20"/>
              <w:ind w:left="176"/>
              <w:jc w:val="both"/>
              <w:rPr>
                <w:sz w:val="16"/>
                <w:szCs w:val="16"/>
              </w:rPr>
            </w:pPr>
            <w:r>
              <w:rPr>
                <w:sz w:val="16"/>
                <w:szCs w:val="16"/>
              </w:rPr>
              <w:t xml:space="preserve">Moderate (Score </w:t>
            </w:r>
            <w:r w:rsidRPr="007C6C78">
              <w:rPr>
                <w:sz w:val="16"/>
                <w:szCs w:val="16"/>
              </w:rPr>
              <w:t>6</w:t>
            </w:r>
            <w:r>
              <w:rPr>
                <w:sz w:val="16"/>
                <w:szCs w:val="16"/>
              </w:rPr>
              <w:t xml:space="preserve"> </w:t>
            </w:r>
            <w:r w:rsidRPr="007C6C78">
              <w:rPr>
                <w:sz w:val="16"/>
                <w:szCs w:val="16"/>
              </w:rPr>
              <w:t>-</w:t>
            </w:r>
            <w:r>
              <w:rPr>
                <w:sz w:val="16"/>
                <w:szCs w:val="16"/>
              </w:rPr>
              <w:t xml:space="preserve"> </w:t>
            </w:r>
            <w:r w:rsidRPr="007C6C78">
              <w:rPr>
                <w:sz w:val="16"/>
                <w:szCs w:val="16"/>
              </w:rPr>
              <w:t>11</w:t>
            </w:r>
            <w:r>
              <w:rPr>
                <w:sz w:val="16"/>
                <w:szCs w:val="16"/>
              </w:rPr>
              <w:t>)</w:t>
            </w:r>
          </w:p>
        </w:tc>
        <w:tc>
          <w:tcPr>
            <w:tcW w:w="1134" w:type="dxa"/>
            <w:shd w:val="clear" w:color="auto" w:fill="auto"/>
            <w:vAlign w:val="bottom"/>
          </w:tcPr>
          <w:p w14:paraId="1435B3B1" w14:textId="77777777" w:rsidR="00A023BD" w:rsidRPr="00B97C53" w:rsidRDefault="00A023BD" w:rsidP="00A023BD">
            <w:pPr>
              <w:keepNext/>
              <w:jc w:val="right"/>
              <w:rPr>
                <w:color w:val="000000"/>
                <w:sz w:val="16"/>
                <w:szCs w:val="16"/>
                <w:lang w:eastAsia="en-NZ"/>
              </w:rPr>
            </w:pPr>
            <w:r w:rsidRPr="00B97C53">
              <w:rPr>
                <w:color w:val="000000"/>
                <w:sz w:val="16"/>
                <w:szCs w:val="16"/>
                <w:lang w:eastAsia="en-NZ"/>
              </w:rPr>
              <w:t>9.21</w:t>
            </w:r>
          </w:p>
        </w:tc>
        <w:tc>
          <w:tcPr>
            <w:tcW w:w="1134" w:type="dxa"/>
            <w:shd w:val="clear" w:color="auto" w:fill="auto"/>
            <w:vAlign w:val="bottom"/>
          </w:tcPr>
          <w:p w14:paraId="6B3B46FE" w14:textId="77777777" w:rsidR="00A023BD" w:rsidRPr="00B97C53" w:rsidRDefault="00A023BD" w:rsidP="00A023BD">
            <w:pPr>
              <w:keepNext/>
              <w:jc w:val="right"/>
              <w:rPr>
                <w:color w:val="000000"/>
                <w:sz w:val="16"/>
                <w:szCs w:val="16"/>
                <w:lang w:eastAsia="en-NZ"/>
              </w:rPr>
            </w:pPr>
            <w:r w:rsidRPr="00B97C53">
              <w:rPr>
                <w:color w:val="000000"/>
                <w:sz w:val="16"/>
                <w:szCs w:val="16"/>
                <w:lang w:eastAsia="en-NZ"/>
              </w:rPr>
              <w:t>(4.08, 20.77)</w:t>
            </w:r>
          </w:p>
        </w:tc>
        <w:tc>
          <w:tcPr>
            <w:tcW w:w="850" w:type="dxa"/>
            <w:shd w:val="clear" w:color="auto" w:fill="auto"/>
            <w:vAlign w:val="bottom"/>
          </w:tcPr>
          <w:p w14:paraId="5C1F793B" w14:textId="77777777" w:rsidR="00A023BD" w:rsidRPr="00B97C53" w:rsidRDefault="00A023BD" w:rsidP="00A023BD">
            <w:pPr>
              <w:keepNext/>
              <w:jc w:val="right"/>
              <w:rPr>
                <w:color w:val="000000"/>
                <w:sz w:val="16"/>
                <w:szCs w:val="16"/>
                <w:lang w:eastAsia="en-NZ"/>
              </w:rPr>
            </w:pPr>
          </w:p>
        </w:tc>
      </w:tr>
      <w:tr w:rsidR="00A023BD" w:rsidRPr="003F15C0" w14:paraId="5337B28D" w14:textId="77777777" w:rsidTr="00A023BD">
        <w:tc>
          <w:tcPr>
            <w:tcW w:w="5387" w:type="dxa"/>
            <w:shd w:val="clear" w:color="auto" w:fill="auto"/>
            <w:vAlign w:val="bottom"/>
          </w:tcPr>
          <w:p w14:paraId="02B6D831" w14:textId="77777777" w:rsidR="00A023BD" w:rsidRPr="007C6C78" w:rsidRDefault="00A023BD" w:rsidP="00A023BD">
            <w:pPr>
              <w:keepNext/>
              <w:keepLines/>
              <w:spacing w:before="20"/>
              <w:ind w:left="176"/>
              <w:jc w:val="both"/>
              <w:rPr>
                <w:sz w:val="16"/>
                <w:szCs w:val="16"/>
              </w:rPr>
            </w:pPr>
            <w:r>
              <w:rPr>
                <w:sz w:val="16"/>
                <w:szCs w:val="16"/>
              </w:rPr>
              <w:t xml:space="preserve">High (Score </w:t>
            </w:r>
            <w:r w:rsidRPr="007C6C78">
              <w:rPr>
                <w:sz w:val="16"/>
                <w:szCs w:val="16"/>
              </w:rPr>
              <w:t>12</w:t>
            </w:r>
            <w:r>
              <w:rPr>
                <w:sz w:val="16"/>
                <w:szCs w:val="16"/>
              </w:rPr>
              <w:t xml:space="preserve"> </w:t>
            </w:r>
            <w:r w:rsidRPr="007C6C78">
              <w:rPr>
                <w:sz w:val="16"/>
                <w:szCs w:val="16"/>
              </w:rPr>
              <w:t>-</w:t>
            </w:r>
            <w:r>
              <w:rPr>
                <w:sz w:val="16"/>
                <w:szCs w:val="16"/>
              </w:rPr>
              <w:t xml:space="preserve"> </w:t>
            </w:r>
            <w:r w:rsidRPr="007C6C78">
              <w:rPr>
                <w:sz w:val="16"/>
                <w:szCs w:val="16"/>
              </w:rPr>
              <w:t>19</w:t>
            </w:r>
            <w:r>
              <w:rPr>
                <w:sz w:val="16"/>
                <w:szCs w:val="16"/>
              </w:rPr>
              <w:t>)</w:t>
            </w:r>
          </w:p>
        </w:tc>
        <w:tc>
          <w:tcPr>
            <w:tcW w:w="1134" w:type="dxa"/>
            <w:shd w:val="clear" w:color="auto" w:fill="auto"/>
            <w:vAlign w:val="bottom"/>
          </w:tcPr>
          <w:p w14:paraId="3B907FAE" w14:textId="77777777" w:rsidR="00A023BD" w:rsidRPr="00B97C53" w:rsidRDefault="00A023BD" w:rsidP="00A023BD">
            <w:pPr>
              <w:keepNext/>
              <w:jc w:val="right"/>
              <w:rPr>
                <w:color w:val="000000"/>
                <w:sz w:val="16"/>
                <w:szCs w:val="16"/>
                <w:lang w:eastAsia="en-NZ"/>
              </w:rPr>
            </w:pPr>
            <w:r w:rsidRPr="00B97C53">
              <w:rPr>
                <w:color w:val="000000"/>
                <w:sz w:val="16"/>
                <w:szCs w:val="16"/>
                <w:lang w:eastAsia="en-NZ"/>
              </w:rPr>
              <w:t>27.21</w:t>
            </w:r>
          </w:p>
        </w:tc>
        <w:tc>
          <w:tcPr>
            <w:tcW w:w="1134" w:type="dxa"/>
            <w:shd w:val="clear" w:color="auto" w:fill="auto"/>
            <w:vAlign w:val="bottom"/>
          </w:tcPr>
          <w:p w14:paraId="317F12AD" w14:textId="77777777" w:rsidR="00A023BD" w:rsidRPr="00B97C53" w:rsidRDefault="00A023BD" w:rsidP="00A023BD">
            <w:pPr>
              <w:keepNext/>
              <w:jc w:val="right"/>
              <w:rPr>
                <w:color w:val="000000"/>
                <w:sz w:val="16"/>
                <w:szCs w:val="16"/>
                <w:lang w:eastAsia="en-NZ"/>
              </w:rPr>
            </w:pPr>
            <w:r w:rsidRPr="00B97C53">
              <w:rPr>
                <w:color w:val="000000"/>
                <w:sz w:val="16"/>
                <w:szCs w:val="16"/>
                <w:lang w:eastAsia="en-NZ"/>
              </w:rPr>
              <w:t>(9.60, 77.11)</w:t>
            </w:r>
          </w:p>
        </w:tc>
        <w:tc>
          <w:tcPr>
            <w:tcW w:w="850" w:type="dxa"/>
            <w:shd w:val="clear" w:color="auto" w:fill="auto"/>
            <w:vAlign w:val="bottom"/>
          </w:tcPr>
          <w:p w14:paraId="72FC46DE" w14:textId="77777777" w:rsidR="00A023BD" w:rsidRPr="00B97C53" w:rsidRDefault="00A023BD" w:rsidP="00A023BD">
            <w:pPr>
              <w:keepNext/>
              <w:jc w:val="right"/>
              <w:rPr>
                <w:color w:val="000000"/>
                <w:sz w:val="16"/>
                <w:szCs w:val="16"/>
                <w:lang w:eastAsia="en-NZ"/>
              </w:rPr>
            </w:pPr>
          </w:p>
        </w:tc>
      </w:tr>
      <w:tr w:rsidR="00A023BD" w:rsidRPr="003F15C0" w14:paraId="1E786C92" w14:textId="77777777" w:rsidTr="00326B55">
        <w:tc>
          <w:tcPr>
            <w:tcW w:w="5387" w:type="dxa"/>
            <w:shd w:val="clear" w:color="auto" w:fill="auto"/>
            <w:vAlign w:val="bottom"/>
          </w:tcPr>
          <w:p w14:paraId="1AC9A776" w14:textId="77777777" w:rsidR="00A023BD" w:rsidRPr="007C6C78" w:rsidRDefault="00A023BD" w:rsidP="00A023BD">
            <w:pPr>
              <w:keepNext/>
              <w:keepLines/>
              <w:spacing w:before="20"/>
              <w:ind w:left="176"/>
              <w:jc w:val="both"/>
              <w:rPr>
                <w:sz w:val="16"/>
                <w:szCs w:val="16"/>
              </w:rPr>
            </w:pPr>
            <w:r>
              <w:rPr>
                <w:sz w:val="16"/>
                <w:szCs w:val="16"/>
              </w:rPr>
              <w:t xml:space="preserve">Severe (Score </w:t>
            </w:r>
            <w:r w:rsidRPr="007C6C78">
              <w:rPr>
                <w:sz w:val="16"/>
                <w:szCs w:val="16"/>
              </w:rPr>
              <w:t>20</w:t>
            </w:r>
            <w:r>
              <w:rPr>
                <w:sz w:val="16"/>
                <w:szCs w:val="16"/>
              </w:rPr>
              <w:t xml:space="preserve"> </w:t>
            </w:r>
            <w:r w:rsidRPr="007C6C78">
              <w:rPr>
                <w:sz w:val="16"/>
                <w:szCs w:val="16"/>
              </w:rPr>
              <w:t>-</w:t>
            </w:r>
            <w:r>
              <w:rPr>
                <w:sz w:val="16"/>
                <w:szCs w:val="16"/>
              </w:rPr>
              <w:t xml:space="preserve"> </w:t>
            </w:r>
            <w:r w:rsidRPr="007C6C78">
              <w:rPr>
                <w:sz w:val="16"/>
                <w:szCs w:val="16"/>
              </w:rPr>
              <w:t>40</w:t>
            </w:r>
            <w:r>
              <w:rPr>
                <w:sz w:val="16"/>
                <w:szCs w:val="16"/>
              </w:rPr>
              <w:t>)</w:t>
            </w:r>
          </w:p>
        </w:tc>
        <w:tc>
          <w:tcPr>
            <w:tcW w:w="1134" w:type="dxa"/>
            <w:shd w:val="clear" w:color="auto" w:fill="auto"/>
            <w:vAlign w:val="bottom"/>
          </w:tcPr>
          <w:p w14:paraId="452A2459" w14:textId="77777777" w:rsidR="00A023BD" w:rsidRPr="00B97C53" w:rsidRDefault="00A023BD" w:rsidP="00A023BD">
            <w:pPr>
              <w:keepNext/>
              <w:jc w:val="right"/>
              <w:rPr>
                <w:color w:val="000000"/>
                <w:sz w:val="16"/>
                <w:szCs w:val="16"/>
                <w:lang w:eastAsia="en-NZ"/>
              </w:rPr>
            </w:pPr>
            <w:r w:rsidRPr="00B97C53">
              <w:rPr>
                <w:color w:val="000000"/>
                <w:sz w:val="16"/>
                <w:szCs w:val="16"/>
                <w:lang w:eastAsia="en-NZ"/>
              </w:rPr>
              <w:t>6.56</w:t>
            </w:r>
          </w:p>
        </w:tc>
        <w:tc>
          <w:tcPr>
            <w:tcW w:w="1134" w:type="dxa"/>
            <w:shd w:val="clear" w:color="auto" w:fill="auto"/>
            <w:vAlign w:val="bottom"/>
          </w:tcPr>
          <w:p w14:paraId="7CC132EF" w14:textId="77777777" w:rsidR="00A023BD" w:rsidRPr="00B97C53" w:rsidRDefault="00A023BD" w:rsidP="00A023BD">
            <w:pPr>
              <w:keepNext/>
              <w:jc w:val="right"/>
              <w:rPr>
                <w:color w:val="000000"/>
                <w:sz w:val="16"/>
                <w:szCs w:val="16"/>
                <w:lang w:eastAsia="en-NZ"/>
              </w:rPr>
            </w:pPr>
            <w:r w:rsidRPr="00B97C53">
              <w:rPr>
                <w:color w:val="000000"/>
                <w:sz w:val="16"/>
                <w:szCs w:val="16"/>
                <w:lang w:eastAsia="en-NZ"/>
              </w:rPr>
              <w:t>(3.34, 12.90)</w:t>
            </w:r>
          </w:p>
        </w:tc>
        <w:tc>
          <w:tcPr>
            <w:tcW w:w="850" w:type="dxa"/>
            <w:shd w:val="clear" w:color="auto" w:fill="auto"/>
            <w:vAlign w:val="bottom"/>
          </w:tcPr>
          <w:p w14:paraId="1ACBFB67" w14:textId="77777777" w:rsidR="00A023BD" w:rsidRPr="00B97C53" w:rsidRDefault="00A023BD" w:rsidP="00A023BD">
            <w:pPr>
              <w:keepNext/>
              <w:jc w:val="right"/>
              <w:rPr>
                <w:color w:val="000000"/>
                <w:sz w:val="16"/>
                <w:szCs w:val="16"/>
                <w:lang w:eastAsia="en-NZ"/>
              </w:rPr>
            </w:pPr>
            <w:r w:rsidRPr="00B97C53">
              <w:rPr>
                <w:color w:val="000000"/>
                <w:sz w:val="16"/>
                <w:szCs w:val="16"/>
                <w:lang w:eastAsia="en-NZ"/>
              </w:rPr>
              <w:t>&lt;</w:t>
            </w:r>
            <w:r>
              <w:rPr>
                <w:color w:val="000000"/>
                <w:sz w:val="16"/>
                <w:szCs w:val="16"/>
                <w:lang w:eastAsia="en-NZ"/>
              </w:rPr>
              <w:t>0</w:t>
            </w:r>
            <w:r w:rsidRPr="00B97C53">
              <w:rPr>
                <w:color w:val="000000"/>
                <w:sz w:val="16"/>
                <w:szCs w:val="16"/>
                <w:lang w:eastAsia="en-NZ"/>
              </w:rPr>
              <w:t>.0001</w:t>
            </w:r>
          </w:p>
        </w:tc>
      </w:tr>
      <w:tr w:rsidR="00A023BD" w:rsidRPr="001A61F1" w14:paraId="6BBEFCB3" w14:textId="77777777" w:rsidTr="00A023BD">
        <w:tc>
          <w:tcPr>
            <w:tcW w:w="5387" w:type="dxa"/>
            <w:vAlign w:val="bottom"/>
          </w:tcPr>
          <w:p w14:paraId="0CE9E1D4" w14:textId="77777777" w:rsidR="00A023BD" w:rsidRPr="003F15C0" w:rsidRDefault="00A023BD" w:rsidP="00A023BD">
            <w:pPr>
              <w:keepNext/>
              <w:keepLines/>
              <w:spacing w:before="20"/>
              <w:jc w:val="both"/>
              <w:rPr>
                <w:b/>
                <w:sz w:val="16"/>
                <w:szCs w:val="16"/>
              </w:rPr>
            </w:pPr>
            <w:r w:rsidRPr="003F15C0">
              <w:rPr>
                <w:b/>
                <w:sz w:val="16"/>
                <w:szCs w:val="16"/>
              </w:rPr>
              <w:t>Pattern of participation</w:t>
            </w:r>
          </w:p>
        </w:tc>
        <w:tc>
          <w:tcPr>
            <w:tcW w:w="1134" w:type="dxa"/>
            <w:shd w:val="clear" w:color="auto" w:fill="auto"/>
            <w:vAlign w:val="bottom"/>
          </w:tcPr>
          <w:p w14:paraId="03892BC1" w14:textId="77777777" w:rsidR="00A023BD" w:rsidRPr="007B750E" w:rsidRDefault="00A023BD" w:rsidP="00A023BD">
            <w:pPr>
              <w:keepNext/>
              <w:keepLines/>
              <w:jc w:val="right"/>
              <w:rPr>
                <w:color w:val="000000"/>
                <w:sz w:val="16"/>
                <w:szCs w:val="16"/>
                <w:lang w:eastAsia="en-NZ"/>
              </w:rPr>
            </w:pPr>
          </w:p>
        </w:tc>
        <w:tc>
          <w:tcPr>
            <w:tcW w:w="1134" w:type="dxa"/>
            <w:shd w:val="clear" w:color="auto" w:fill="auto"/>
            <w:vAlign w:val="bottom"/>
          </w:tcPr>
          <w:p w14:paraId="40604542" w14:textId="77777777" w:rsidR="00A023BD" w:rsidRPr="007B750E" w:rsidRDefault="00A023BD" w:rsidP="00A023BD">
            <w:pPr>
              <w:keepNext/>
              <w:keepLines/>
              <w:jc w:val="right"/>
              <w:rPr>
                <w:color w:val="000000"/>
                <w:sz w:val="16"/>
                <w:szCs w:val="16"/>
                <w:lang w:eastAsia="en-NZ"/>
              </w:rPr>
            </w:pPr>
          </w:p>
        </w:tc>
        <w:tc>
          <w:tcPr>
            <w:tcW w:w="850" w:type="dxa"/>
            <w:shd w:val="clear" w:color="auto" w:fill="auto"/>
            <w:vAlign w:val="bottom"/>
          </w:tcPr>
          <w:p w14:paraId="484DCD04" w14:textId="77777777" w:rsidR="00A023BD" w:rsidRPr="007B750E" w:rsidRDefault="00A023BD" w:rsidP="00A023BD">
            <w:pPr>
              <w:keepNext/>
              <w:keepLines/>
              <w:jc w:val="right"/>
              <w:rPr>
                <w:color w:val="000000"/>
                <w:sz w:val="16"/>
                <w:szCs w:val="16"/>
                <w:lang w:eastAsia="en-NZ"/>
              </w:rPr>
            </w:pPr>
          </w:p>
        </w:tc>
      </w:tr>
      <w:tr w:rsidR="00A023BD" w:rsidRPr="001A61F1" w14:paraId="6B655726" w14:textId="77777777" w:rsidTr="00A023BD">
        <w:tc>
          <w:tcPr>
            <w:tcW w:w="5387" w:type="dxa"/>
          </w:tcPr>
          <w:p w14:paraId="18F14E99" w14:textId="77777777" w:rsidR="00A023BD" w:rsidRPr="003F15C0" w:rsidRDefault="00A023BD" w:rsidP="00A023BD">
            <w:pPr>
              <w:keepNext/>
              <w:keepLines/>
              <w:spacing w:before="20"/>
              <w:ind w:left="176"/>
              <w:jc w:val="both"/>
              <w:rPr>
                <w:sz w:val="16"/>
                <w:szCs w:val="16"/>
              </w:rPr>
            </w:pPr>
            <w:r w:rsidRPr="003F15C0">
              <w:rPr>
                <w:sz w:val="16"/>
                <w:szCs w:val="16"/>
              </w:rPr>
              <w:t>Infrequent gambler</w:t>
            </w:r>
          </w:p>
        </w:tc>
        <w:tc>
          <w:tcPr>
            <w:tcW w:w="1134" w:type="dxa"/>
            <w:shd w:val="clear" w:color="auto" w:fill="auto"/>
            <w:vAlign w:val="bottom"/>
          </w:tcPr>
          <w:p w14:paraId="7C6108E3" w14:textId="77777777" w:rsidR="00A023BD" w:rsidRPr="00D36119" w:rsidRDefault="00A023BD" w:rsidP="00A023BD">
            <w:pPr>
              <w:keepNext/>
              <w:keepLines/>
              <w:jc w:val="right"/>
              <w:rPr>
                <w:color w:val="000000"/>
                <w:sz w:val="16"/>
                <w:szCs w:val="16"/>
                <w:lang w:eastAsia="en-NZ"/>
              </w:rPr>
            </w:pPr>
            <w:r>
              <w:rPr>
                <w:color w:val="000000"/>
                <w:sz w:val="16"/>
                <w:szCs w:val="16"/>
                <w:lang w:eastAsia="en-NZ"/>
              </w:rPr>
              <w:t>1.00</w:t>
            </w:r>
          </w:p>
        </w:tc>
        <w:tc>
          <w:tcPr>
            <w:tcW w:w="1134" w:type="dxa"/>
            <w:shd w:val="clear" w:color="auto" w:fill="auto"/>
            <w:vAlign w:val="bottom"/>
          </w:tcPr>
          <w:p w14:paraId="319EED58" w14:textId="77777777" w:rsidR="00A023BD" w:rsidRPr="00D36119" w:rsidRDefault="00A023BD" w:rsidP="00A023BD">
            <w:pPr>
              <w:keepNext/>
              <w:keepLines/>
              <w:jc w:val="right"/>
              <w:rPr>
                <w:color w:val="000000"/>
                <w:sz w:val="16"/>
                <w:szCs w:val="16"/>
                <w:lang w:eastAsia="en-NZ"/>
              </w:rPr>
            </w:pPr>
          </w:p>
        </w:tc>
        <w:tc>
          <w:tcPr>
            <w:tcW w:w="850" w:type="dxa"/>
            <w:shd w:val="clear" w:color="auto" w:fill="auto"/>
            <w:vAlign w:val="bottom"/>
          </w:tcPr>
          <w:p w14:paraId="39040CA1" w14:textId="77777777" w:rsidR="00A023BD" w:rsidRPr="00D36119" w:rsidRDefault="00A023BD" w:rsidP="00A023BD">
            <w:pPr>
              <w:keepNext/>
              <w:keepLines/>
              <w:jc w:val="right"/>
              <w:rPr>
                <w:color w:val="000000"/>
                <w:sz w:val="16"/>
                <w:szCs w:val="16"/>
                <w:lang w:eastAsia="en-NZ"/>
              </w:rPr>
            </w:pPr>
          </w:p>
        </w:tc>
      </w:tr>
      <w:tr w:rsidR="00A023BD" w:rsidRPr="001A61F1" w14:paraId="565BC0F1" w14:textId="77777777" w:rsidTr="00A023BD">
        <w:tc>
          <w:tcPr>
            <w:tcW w:w="5387" w:type="dxa"/>
          </w:tcPr>
          <w:p w14:paraId="29CD44C4" w14:textId="77777777" w:rsidR="00A023BD" w:rsidRPr="003F15C0" w:rsidRDefault="00A023BD" w:rsidP="00A023BD">
            <w:pPr>
              <w:spacing w:before="20"/>
              <w:ind w:left="176"/>
              <w:jc w:val="both"/>
              <w:rPr>
                <w:sz w:val="16"/>
                <w:szCs w:val="16"/>
              </w:rPr>
            </w:pPr>
            <w:r w:rsidRPr="003F15C0">
              <w:rPr>
                <w:sz w:val="16"/>
                <w:szCs w:val="16"/>
              </w:rPr>
              <w:t>Regular non-continuous gambler</w:t>
            </w:r>
          </w:p>
        </w:tc>
        <w:tc>
          <w:tcPr>
            <w:tcW w:w="1134" w:type="dxa"/>
            <w:shd w:val="clear" w:color="auto" w:fill="auto"/>
            <w:vAlign w:val="bottom"/>
          </w:tcPr>
          <w:p w14:paraId="42D3E5B3"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1.06</w:t>
            </w:r>
          </w:p>
        </w:tc>
        <w:tc>
          <w:tcPr>
            <w:tcW w:w="1134" w:type="dxa"/>
            <w:shd w:val="clear" w:color="auto" w:fill="auto"/>
            <w:vAlign w:val="bottom"/>
          </w:tcPr>
          <w:p w14:paraId="561FDD57"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(0.51, 2.22)</w:t>
            </w:r>
          </w:p>
        </w:tc>
        <w:tc>
          <w:tcPr>
            <w:tcW w:w="850" w:type="dxa"/>
            <w:shd w:val="clear" w:color="auto" w:fill="auto"/>
            <w:vAlign w:val="bottom"/>
          </w:tcPr>
          <w:p w14:paraId="1F7B403A" w14:textId="77777777" w:rsidR="00A023BD" w:rsidRPr="007B750E" w:rsidRDefault="00A023BD" w:rsidP="00A023BD">
            <w:pPr>
              <w:keepNext/>
              <w:keepLines/>
              <w:jc w:val="right"/>
              <w:rPr>
                <w:color w:val="000000"/>
                <w:sz w:val="16"/>
                <w:szCs w:val="16"/>
                <w:lang w:eastAsia="en-NZ"/>
              </w:rPr>
            </w:pPr>
          </w:p>
        </w:tc>
      </w:tr>
      <w:tr w:rsidR="00A023BD" w:rsidRPr="001A61F1" w14:paraId="2F972828" w14:textId="77777777" w:rsidTr="00326B55">
        <w:tc>
          <w:tcPr>
            <w:tcW w:w="5387" w:type="dxa"/>
          </w:tcPr>
          <w:p w14:paraId="1905CF85" w14:textId="77777777" w:rsidR="00A023BD" w:rsidRPr="003F15C0" w:rsidRDefault="00A023BD" w:rsidP="00A023BD">
            <w:pPr>
              <w:spacing w:before="20"/>
              <w:ind w:left="176"/>
              <w:jc w:val="both"/>
              <w:rPr>
                <w:sz w:val="16"/>
                <w:szCs w:val="16"/>
              </w:rPr>
            </w:pPr>
            <w:r w:rsidRPr="003F15C0">
              <w:rPr>
                <w:sz w:val="16"/>
                <w:szCs w:val="16"/>
              </w:rPr>
              <w:t>Regular continuous gambler</w:t>
            </w:r>
          </w:p>
        </w:tc>
        <w:tc>
          <w:tcPr>
            <w:tcW w:w="1134" w:type="dxa"/>
            <w:shd w:val="clear" w:color="auto" w:fill="auto"/>
            <w:vAlign w:val="bottom"/>
          </w:tcPr>
          <w:p w14:paraId="0EF6DF5C"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3.48</w:t>
            </w:r>
          </w:p>
        </w:tc>
        <w:tc>
          <w:tcPr>
            <w:tcW w:w="1134" w:type="dxa"/>
            <w:shd w:val="clear" w:color="auto" w:fill="auto"/>
            <w:vAlign w:val="bottom"/>
          </w:tcPr>
          <w:p w14:paraId="2FE38F2F"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(1.59, 7.59)</w:t>
            </w:r>
          </w:p>
        </w:tc>
        <w:tc>
          <w:tcPr>
            <w:tcW w:w="850" w:type="dxa"/>
            <w:shd w:val="clear" w:color="auto" w:fill="auto"/>
            <w:vAlign w:val="bottom"/>
          </w:tcPr>
          <w:p w14:paraId="47F8D1D8" w14:textId="77777777" w:rsidR="00A023BD" w:rsidRPr="007B750E" w:rsidRDefault="00A023BD" w:rsidP="00A023BD">
            <w:pPr>
              <w:keepNext/>
              <w:keepLines/>
              <w:jc w:val="right"/>
              <w:rPr>
                <w:color w:val="000000"/>
                <w:sz w:val="16"/>
                <w:szCs w:val="16"/>
                <w:lang w:eastAsia="en-NZ"/>
              </w:rPr>
            </w:pPr>
            <w:r>
              <w:rPr>
                <w:color w:val="000000"/>
                <w:sz w:val="16"/>
                <w:szCs w:val="16"/>
                <w:lang w:eastAsia="en-NZ"/>
              </w:rPr>
              <w:t>0.01</w:t>
            </w:r>
          </w:p>
        </w:tc>
      </w:tr>
      <w:tr w:rsidR="00A023BD" w:rsidRPr="001A61F1" w14:paraId="158F7197" w14:textId="77777777" w:rsidTr="00A023BD">
        <w:tc>
          <w:tcPr>
            <w:tcW w:w="5387" w:type="dxa"/>
            <w:vAlign w:val="bottom"/>
          </w:tcPr>
          <w:p w14:paraId="54EC5475" w14:textId="77777777" w:rsidR="00A023BD" w:rsidRPr="003F15C0" w:rsidRDefault="00A023BD" w:rsidP="00A023BD">
            <w:pPr>
              <w:keepNext/>
              <w:keepLines/>
              <w:spacing w:before="20"/>
              <w:jc w:val="both"/>
              <w:rPr>
                <w:b/>
                <w:sz w:val="16"/>
                <w:szCs w:val="16"/>
              </w:rPr>
            </w:pPr>
            <w:r w:rsidRPr="003F15C0">
              <w:rPr>
                <w:rFonts w:eastAsiaTheme="minorEastAsia"/>
                <w:b/>
                <w:sz w:val="16"/>
                <w:szCs w:val="16"/>
                <w:lang w:eastAsia="en-US"/>
              </w:rPr>
              <w:t>Typical monthly gambling expenditure</w:t>
            </w:r>
          </w:p>
        </w:tc>
        <w:tc>
          <w:tcPr>
            <w:tcW w:w="1134" w:type="dxa"/>
            <w:shd w:val="clear" w:color="auto" w:fill="auto"/>
            <w:vAlign w:val="bottom"/>
          </w:tcPr>
          <w:p w14:paraId="0970E2C0" w14:textId="77777777" w:rsidR="00A023BD" w:rsidRPr="007B750E" w:rsidRDefault="00A023BD" w:rsidP="00A023BD">
            <w:pPr>
              <w:keepNext/>
              <w:keepLines/>
              <w:jc w:val="right"/>
              <w:rPr>
                <w:color w:val="000000"/>
                <w:sz w:val="16"/>
                <w:szCs w:val="16"/>
                <w:lang w:eastAsia="en-NZ"/>
              </w:rPr>
            </w:pPr>
          </w:p>
        </w:tc>
        <w:tc>
          <w:tcPr>
            <w:tcW w:w="1134" w:type="dxa"/>
            <w:shd w:val="clear" w:color="auto" w:fill="auto"/>
            <w:vAlign w:val="bottom"/>
          </w:tcPr>
          <w:p w14:paraId="4AB795D9" w14:textId="77777777" w:rsidR="00A023BD" w:rsidRPr="007B750E" w:rsidRDefault="00A023BD" w:rsidP="00A023BD">
            <w:pPr>
              <w:keepNext/>
              <w:keepLines/>
              <w:jc w:val="right"/>
              <w:rPr>
                <w:color w:val="000000"/>
                <w:sz w:val="16"/>
                <w:szCs w:val="16"/>
                <w:lang w:eastAsia="en-NZ"/>
              </w:rPr>
            </w:pPr>
          </w:p>
        </w:tc>
        <w:tc>
          <w:tcPr>
            <w:tcW w:w="850" w:type="dxa"/>
            <w:shd w:val="clear" w:color="auto" w:fill="auto"/>
            <w:vAlign w:val="bottom"/>
          </w:tcPr>
          <w:p w14:paraId="7FFC8536" w14:textId="77777777" w:rsidR="00A023BD" w:rsidRPr="007B750E" w:rsidRDefault="00A023BD" w:rsidP="00A023BD">
            <w:pPr>
              <w:keepNext/>
              <w:keepLines/>
              <w:jc w:val="right"/>
              <w:rPr>
                <w:color w:val="000000"/>
                <w:sz w:val="16"/>
                <w:szCs w:val="16"/>
                <w:lang w:eastAsia="en-NZ"/>
              </w:rPr>
            </w:pPr>
          </w:p>
        </w:tc>
      </w:tr>
      <w:tr w:rsidR="00A023BD" w:rsidRPr="001A61F1" w14:paraId="4B92CB79" w14:textId="77777777" w:rsidTr="00A023BD">
        <w:tc>
          <w:tcPr>
            <w:tcW w:w="5387" w:type="dxa"/>
          </w:tcPr>
          <w:p w14:paraId="3B0562D5" w14:textId="77777777" w:rsidR="00A023BD" w:rsidRPr="003F15C0" w:rsidRDefault="00A023BD" w:rsidP="00A023BD">
            <w:pPr>
              <w:spacing w:before="20"/>
              <w:ind w:left="176"/>
              <w:jc w:val="both"/>
              <w:rPr>
                <w:sz w:val="16"/>
                <w:szCs w:val="16"/>
              </w:rPr>
            </w:pPr>
            <w:r>
              <w:rPr>
                <w:sz w:val="16"/>
                <w:szCs w:val="16"/>
              </w:rPr>
              <w:t>≤</w:t>
            </w:r>
            <w:r w:rsidRPr="003F15C0">
              <w:rPr>
                <w:sz w:val="16"/>
                <w:szCs w:val="16"/>
              </w:rPr>
              <w:t>$</w:t>
            </w:r>
            <w:r>
              <w:rPr>
                <w:sz w:val="16"/>
                <w:szCs w:val="16"/>
              </w:rPr>
              <w:t>20</w:t>
            </w:r>
          </w:p>
        </w:tc>
        <w:tc>
          <w:tcPr>
            <w:tcW w:w="1134" w:type="dxa"/>
            <w:shd w:val="clear" w:color="auto" w:fill="auto"/>
            <w:vAlign w:val="bottom"/>
          </w:tcPr>
          <w:p w14:paraId="58AD48F7"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1.00</w:t>
            </w:r>
          </w:p>
        </w:tc>
        <w:tc>
          <w:tcPr>
            <w:tcW w:w="1134" w:type="dxa"/>
            <w:shd w:val="clear" w:color="auto" w:fill="auto"/>
            <w:vAlign w:val="bottom"/>
          </w:tcPr>
          <w:p w14:paraId="0AD4FF6E" w14:textId="77777777" w:rsidR="00A023BD" w:rsidRPr="00B97C53" w:rsidRDefault="00A023BD" w:rsidP="00A023BD">
            <w:pPr>
              <w:keepNext/>
              <w:keepLines/>
              <w:jc w:val="right"/>
              <w:rPr>
                <w:color w:val="000000"/>
                <w:sz w:val="16"/>
                <w:szCs w:val="16"/>
                <w:lang w:eastAsia="en-NZ"/>
              </w:rPr>
            </w:pPr>
          </w:p>
        </w:tc>
        <w:tc>
          <w:tcPr>
            <w:tcW w:w="850" w:type="dxa"/>
            <w:shd w:val="clear" w:color="auto" w:fill="auto"/>
            <w:vAlign w:val="bottom"/>
          </w:tcPr>
          <w:p w14:paraId="2857CE51" w14:textId="77777777" w:rsidR="00A023BD" w:rsidRPr="00B97C53" w:rsidRDefault="00A023BD" w:rsidP="00A023BD">
            <w:pPr>
              <w:keepNext/>
              <w:keepLines/>
              <w:jc w:val="right"/>
              <w:rPr>
                <w:color w:val="000000"/>
                <w:sz w:val="16"/>
                <w:szCs w:val="16"/>
                <w:lang w:eastAsia="en-NZ"/>
              </w:rPr>
            </w:pPr>
          </w:p>
        </w:tc>
      </w:tr>
      <w:tr w:rsidR="00A023BD" w:rsidRPr="001A61F1" w14:paraId="1A1C4CC4" w14:textId="77777777" w:rsidTr="00A023BD">
        <w:tc>
          <w:tcPr>
            <w:tcW w:w="5387" w:type="dxa"/>
          </w:tcPr>
          <w:p w14:paraId="5994B6D3" w14:textId="77777777" w:rsidR="00A023BD" w:rsidRPr="003F15C0" w:rsidRDefault="00A023BD" w:rsidP="00A023BD">
            <w:pPr>
              <w:spacing w:before="20"/>
              <w:ind w:left="176"/>
              <w:jc w:val="both"/>
              <w:rPr>
                <w:sz w:val="16"/>
                <w:szCs w:val="16"/>
              </w:rPr>
            </w:pPr>
            <w:r w:rsidRPr="003F15C0">
              <w:rPr>
                <w:sz w:val="16"/>
                <w:szCs w:val="16"/>
              </w:rPr>
              <w:t>$21 - $</w:t>
            </w:r>
            <w:r>
              <w:rPr>
                <w:sz w:val="16"/>
                <w:szCs w:val="16"/>
              </w:rPr>
              <w:t>5</w:t>
            </w:r>
            <w:r w:rsidRPr="003F15C0">
              <w:rPr>
                <w:sz w:val="16"/>
                <w:szCs w:val="16"/>
              </w:rPr>
              <w:t>0</w:t>
            </w:r>
          </w:p>
        </w:tc>
        <w:tc>
          <w:tcPr>
            <w:tcW w:w="1134" w:type="dxa"/>
            <w:shd w:val="clear" w:color="auto" w:fill="auto"/>
            <w:vAlign w:val="bottom"/>
          </w:tcPr>
          <w:p w14:paraId="39369CA3"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0.73</w:t>
            </w:r>
          </w:p>
        </w:tc>
        <w:tc>
          <w:tcPr>
            <w:tcW w:w="1134" w:type="dxa"/>
            <w:shd w:val="clear" w:color="auto" w:fill="auto"/>
            <w:vAlign w:val="bottom"/>
          </w:tcPr>
          <w:p w14:paraId="7F23E6D6"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(0.22, 2.39)</w:t>
            </w:r>
          </w:p>
        </w:tc>
        <w:tc>
          <w:tcPr>
            <w:tcW w:w="850" w:type="dxa"/>
            <w:shd w:val="clear" w:color="auto" w:fill="auto"/>
            <w:vAlign w:val="bottom"/>
          </w:tcPr>
          <w:p w14:paraId="1F5BA6D7" w14:textId="77777777" w:rsidR="00A023BD" w:rsidRPr="00B97C53" w:rsidRDefault="00A023BD" w:rsidP="00A023BD">
            <w:pPr>
              <w:keepNext/>
              <w:keepLines/>
              <w:jc w:val="right"/>
              <w:rPr>
                <w:color w:val="000000"/>
                <w:sz w:val="16"/>
                <w:szCs w:val="16"/>
                <w:lang w:eastAsia="en-NZ"/>
              </w:rPr>
            </w:pPr>
          </w:p>
        </w:tc>
      </w:tr>
      <w:tr w:rsidR="00A023BD" w:rsidRPr="001A61F1" w14:paraId="224F97FF" w14:textId="77777777" w:rsidTr="00326B55">
        <w:tc>
          <w:tcPr>
            <w:tcW w:w="5387" w:type="dxa"/>
          </w:tcPr>
          <w:p w14:paraId="4AB9B9B1" w14:textId="77777777" w:rsidR="00A023BD" w:rsidRPr="003F15C0" w:rsidRDefault="00A023BD" w:rsidP="00A023BD">
            <w:pPr>
              <w:spacing w:before="20"/>
              <w:ind w:left="176"/>
              <w:jc w:val="both"/>
              <w:rPr>
                <w:sz w:val="16"/>
                <w:szCs w:val="16"/>
              </w:rPr>
            </w:pPr>
            <w:r>
              <w:rPr>
                <w:sz w:val="16"/>
                <w:szCs w:val="16"/>
              </w:rPr>
              <w:t>&gt;$50</w:t>
            </w:r>
          </w:p>
        </w:tc>
        <w:tc>
          <w:tcPr>
            <w:tcW w:w="1134" w:type="dxa"/>
            <w:shd w:val="clear" w:color="auto" w:fill="auto"/>
            <w:vAlign w:val="bottom"/>
          </w:tcPr>
          <w:p w14:paraId="5215A7DF"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3.45</w:t>
            </w:r>
          </w:p>
        </w:tc>
        <w:tc>
          <w:tcPr>
            <w:tcW w:w="1134" w:type="dxa"/>
            <w:shd w:val="clear" w:color="auto" w:fill="auto"/>
            <w:vAlign w:val="bottom"/>
          </w:tcPr>
          <w:p w14:paraId="23D5F76C"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(1.34, 8.92)</w:t>
            </w:r>
          </w:p>
        </w:tc>
        <w:tc>
          <w:tcPr>
            <w:tcW w:w="850" w:type="dxa"/>
            <w:shd w:val="clear" w:color="auto" w:fill="auto"/>
            <w:vAlign w:val="bottom"/>
          </w:tcPr>
          <w:p w14:paraId="6281A2CE"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0.002</w:t>
            </w:r>
          </w:p>
        </w:tc>
      </w:tr>
      <w:tr w:rsidR="00A023BD" w:rsidRPr="001A61F1" w14:paraId="43B33965" w14:textId="77777777" w:rsidTr="00A023BD">
        <w:tc>
          <w:tcPr>
            <w:tcW w:w="5387" w:type="dxa"/>
            <w:vAlign w:val="bottom"/>
          </w:tcPr>
          <w:p w14:paraId="6286DF56" w14:textId="77777777" w:rsidR="00A023BD" w:rsidRPr="003F15C0" w:rsidRDefault="00A023BD" w:rsidP="00A023BD">
            <w:pPr>
              <w:spacing w:before="20"/>
              <w:jc w:val="both"/>
              <w:rPr>
                <w:b/>
                <w:sz w:val="16"/>
                <w:szCs w:val="16"/>
              </w:rPr>
            </w:pPr>
            <w:r>
              <w:rPr>
                <w:b/>
                <w:sz w:val="16"/>
                <w:szCs w:val="16"/>
              </w:rPr>
              <w:t>Horse/dog race</w:t>
            </w:r>
            <w:r w:rsidRPr="003F15C0">
              <w:rPr>
                <w:b/>
                <w:sz w:val="16"/>
                <w:szCs w:val="16"/>
              </w:rPr>
              <w:t xml:space="preserve"> betting - monthly</w:t>
            </w:r>
          </w:p>
        </w:tc>
        <w:tc>
          <w:tcPr>
            <w:tcW w:w="1134" w:type="dxa"/>
            <w:shd w:val="clear" w:color="auto" w:fill="auto"/>
            <w:vAlign w:val="bottom"/>
          </w:tcPr>
          <w:p w14:paraId="6B32CDF1" w14:textId="77777777" w:rsidR="00A023BD" w:rsidRPr="007B750E" w:rsidRDefault="00A023BD" w:rsidP="00A023BD">
            <w:pPr>
              <w:keepNext/>
              <w:keepLines/>
              <w:jc w:val="right"/>
              <w:rPr>
                <w:color w:val="000000"/>
                <w:sz w:val="16"/>
                <w:szCs w:val="16"/>
                <w:lang w:eastAsia="en-NZ"/>
              </w:rPr>
            </w:pPr>
          </w:p>
        </w:tc>
        <w:tc>
          <w:tcPr>
            <w:tcW w:w="1134" w:type="dxa"/>
            <w:shd w:val="clear" w:color="auto" w:fill="auto"/>
            <w:vAlign w:val="bottom"/>
          </w:tcPr>
          <w:p w14:paraId="17137F61" w14:textId="77777777" w:rsidR="00A023BD" w:rsidRPr="007B750E" w:rsidRDefault="00A023BD" w:rsidP="00A023BD">
            <w:pPr>
              <w:keepNext/>
              <w:keepLines/>
              <w:jc w:val="right"/>
              <w:rPr>
                <w:color w:val="000000"/>
                <w:sz w:val="16"/>
                <w:szCs w:val="16"/>
                <w:lang w:eastAsia="en-NZ"/>
              </w:rPr>
            </w:pPr>
          </w:p>
        </w:tc>
        <w:tc>
          <w:tcPr>
            <w:tcW w:w="850" w:type="dxa"/>
            <w:shd w:val="clear" w:color="auto" w:fill="auto"/>
            <w:vAlign w:val="bottom"/>
          </w:tcPr>
          <w:p w14:paraId="620A6435" w14:textId="77777777" w:rsidR="00A023BD" w:rsidRPr="007B750E" w:rsidRDefault="00A023BD" w:rsidP="00A023BD">
            <w:pPr>
              <w:keepNext/>
              <w:keepLines/>
              <w:jc w:val="right"/>
              <w:rPr>
                <w:color w:val="000000"/>
                <w:sz w:val="16"/>
                <w:szCs w:val="16"/>
                <w:lang w:eastAsia="en-NZ"/>
              </w:rPr>
            </w:pPr>
          </w:p>
        </w:tc>
      </w:tr>
      <w:tr w:rsidR="00A023BD" w:rsidRPr="001A61F1" w14:paraId="138B1A63" w14:textId="77777777" w:rsidTr="00A023BD">
        <w:tc>
          <w:tcPr>
            <w:tcW w:w="5387" w:type="dxa"/>
          </w:tcPr>
          <w:p w14:paraId="4DAD9FFF"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bottom"/>
          </w:tcPr>
          <w:p w14:paraId="18DFDE58"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1.00</w:t>
            </w:r>
          </w:p>
        </w:tc>
        <w:tc>
          <w:tcPr>
            <w:tcW w:w="1134" w:type="dxa"/>
            <w:shd w:val="clear" w:color="auto" w:fill="auto"/>
            <w:vAlign w:val="bottom"/>
          </w:tcPr>
          <w:p w14:paraId="5F618E3D" w14:textId="77777777" w:rsidR="00A023BD" w:rsidRPr="00B97C53" w:rsidRDefault="00A023BD" w:rsidP="00A023BD">
            <w:pPr>
              <w:keepNext/>
              <w:keepLines/>
              <w:jc w:val="right"/>
              <w:rPr>
                <w:color w:val="000000"/>
                <w:sz w:val="16"/>
                <w:szCs w:val="16"/>
                <w:lang w:eastAsia="en-NZ"/>
              </w:rPr>
            </w:pPr>
          </w:p>
        </w:tc>
        <w:tc>
          <w:tcPr>
            <w:tcW w:w="850" w:type="dxa"/>
            <w:shd w:val="clear" w:color="auto" w:fill="auto"/>
            <w:vAlign w:val="bottom"/>
          </w:tcPr>
          <w:p w14:paraId="3C9AA3CF" w14:textId="77777777" w:rsidR="00A023BD" w:rsidRPr="00B97C53" w:rsidRDefault="00A023BD" w:rsidP="00A023BD">
            <w:pPr>
              <w:keepNext/>
              <w:keepLines/>
              <w:jc w:val="right"/>
              <w:rPr>
                <w:color w:val="000000"/>
                <w:sz w:val="16"/>
                <w:szCs w:val="16"/>
                <w:lang w:eastAsia="en-NZ"/>
              </w:rPr>
            </w:pPr>
          </w:p>
        </w:tc>
      </w:tr>
      <w:tr w:rsidR="00A023BD" w:rsidRPr="001A61F1" w14:paraId="054B9C95" w14:textId="77777777" w:rsidTr="00326B55">
        <w:tc>
          <w:tcPr>
            <w:tcW w:w="5387" w:type="dxa"/>
          </w:tcPr>
          <w:p w14:paraId="5A8007CD"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bottom"/>
          </w:tcPr>
          <w:p w14:paraId="7CB83A61"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3.04</w:t>
            </w:r>
          </w:p>
        </w:tc>
        <w:tc>
          <w:tcPr>
            <w:tcW w:w="1134" w:type="dxa"/>
            <w:shd w:val="clear" w:color="auto" w:fill="auto"/>
            <w:vAlign w:val="bottom"/>
          </w:tcPr>
          <w:p w14:paraId="42A4A58E"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(1.27, 7.30)</w:t>
            </w:r>
          </w:p>
        </w:tc>
        <w:tc>
          <w:tcPr>
            <w:tcW w:w="850" w:type="dxa"/>
            <w:shd w:val="clear" w:color="auto" w:fill="auto"/>
            <w:vAlign w:val="bottom"/>
          </w:tcPr>
          <w:p w14:paraId="41701E6A"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0.01</w:t>
            </w:r>
          </w:p>
        </w:tc>
      </w:tr>
      <w:tr w:rsidR="00A023BD" w:rsidRPr="001A61F1" w14:paraId="7A567D9A" w14:textId="77777777" w:rsidTr="00A023BD">
        <w:tc>
          <w:tcPr>
            <w:tcW w:w="5387" w:type="dxa"/>
            <w:vAlign w:val="bottom"/>
          </w:tcPr>
          <w:p w14:paraId="40C2ABF6" w14:textId="77777777" w:rsidR="00A023BD" w:rsidRPr="003F15C0" w:rsidRDefault="00A023BD" w:rsidP="00A023BD">
            <w:pPr>
              <w:keepNext/>
              <w:spacing w:before="20"/>
              <w:jc w:val="both"/>
              <w:rPr>
                <w:b/>
                <w:sz w:val="16"/>
                <w:szCs w:val="16"/>
              </w:rPr>
            </w:pPr>
            <w:r w:rsidRPr="003F15C0">
              <w:rPr>
                <w:b/>
                <w:sz w:val="16"/>
                <w:szCs w:val="16"/>
              </w:rPr>
              <w:t>Pub EGMs - monthly</w:t>
            </w:r>
          </w:p>
        </w:tc>
        <w:tc>
          <w:tcPr>
            <w:tcW w:w="1134" w:type="dxa"/>
            <w:shd w:val="clear" w:color="auto" w:fill="auto"/>
            <w:vAlign w:val="bottom"/>
          </w:tcPr>
          <w:p w14:paraId="074BE02D" w14:textId="77777777" w:rsidR="00A023BD" w:rsidRPr="007B750E" w:rsidRDefault="00A023BD" w:rsidP="00A023BD">
            <w:pPr>
              <w:keepNext/>
              <w:keepLines/>
              <w:jc w:val="right"/>
              <w:rPr>
                <w:color w:val="000000"/>
                <w:sz w:val="16"/>
                <w:szCs w:val="16"/>
                <w:lang w:eastAsia="en-NZ"/>
              </w:rPr>
            </w:pPr>
          </w:p>
        </w:tc>
        <w:tc>
          <w:tcPr>
            <w:tcW w:w="1134" w:type="dxa"/>
            <w:shd w:val="clear" w:color="auto" w:fill="auto"/>
            <w:vAlign w:val="bottom"/>
          </w:tcPr>
          <w:p w14:paraId="04E3CFBB" w14:textId="77777777" w:rsidR="00A023BD" w:rsidRPr="007B750E" w:rsidRDefault="00A023BD" w:rsidP="00A023BD">
            <w:pPr>
              <w:keepNext/>
              <w:keepLines/>
              <w:jc w:val="right"/>
              <w:rPr>
                <w:color w:val="000000"/>
                <w:sz w:val="16"/>
                <w:szCs w:val="16"/>
                <w:lang w:eastAsia="en-NZ"/>
              </w:rPr>
            </w:pPr>
          </w:p>
        </w:tc>
        <w:tc>
          <w:tcPr>
            <w:tcW w:w="850" w:type="dxa"/>
            <w:shd w:val="clear" w:color="auto" w:fill="auto"/>
            <w:vAlign w:val="bottom"/>
          </w:tcPr>
          <w:p w14:paraId="32A4E0F2" w14:textId="77777777" w:rsidR="00A023BD" w:rsidRPr="007B750E" w:rsidRDefault="00A023BD" w:rsidP="00A023BD">
            <w:pPr>
              <w:keepNext/>
              <w:keepLines/>
              <w:jc w:val="right"/>
              <w:rPr>
                <w:color w:val="000000"/>
                <w:sz w:val="16"/>
                <w:szCs w:val="16"/>
                <w:lang w:eastAsia="en-NZ"/>
              </w:rPr>
            </w:pPr>
          </w:p>
        </w:tc>
      </w:tr>
      <w:tr w:rsidR="00A023BD" w:rsidRPr="001A61F1" w14:paraId="0D2F56B0" w14:textId="77777777" w:rsidTr="00A023BD">
        <w:tc>
          <w:tcPr>
            <w:tcW w:w="5387" w:type="dxa"/>
          </w:tcPr>
          <w:p w14:paraId="631D670B" w14:textId="77777777" w:rsidR="00A023BD" w:rsidRPr="003F15C0" w:rsidRDefault="00A023BD" w:rsidP="00A023BD">
            <w:pPr>
              <w:keepNext/>
              <w:spacing w:before="20"/>
              <w:ind w:left="176"/>
              <w:jc w:val="both"/>
              <w:rPr>
                <w:sz w:val="16"/>
                <w:szCs w:val="16"/>
              </w:rPr>
            </w:pPr>
            <w:r w:rsidRPr="003F15C0">
              <w:rPr>
                <w:sz w:val="16"/>
                <w:szCs w:val="16"/>
              </w:rPr>
              <w:t>No</w:t>
            </w:r>
          </w:p>
        </w:tc>
        <w:tc>
          <w:tcPr>
            <w:tcW w:w="1134" w:type="dxa"/>
            <w:shd w:val="clear" w:color="auto" w:fill="auto"/>
            <w:vAlign w:val="bottom"/>
          </w:tcPr>
          <w:p w14:paraId="7A06F2A0"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1.00</w:t>
            </w:r>
          </w:p>
        </w:tc>
        <w:tc>
          <w:tcPr>
            <w:tcW w:w="1134" w:type="dxa"/>
            <w:shd w:val="clear" w:color="auto" w:fill="auto"/>
            <w:vAlign w:val="bottom"/>
          </w:tcPr>
          <w:p w14:paraId="7796D7F6" w14:textId="77777777" w:rsidR="00A023BD" w:rsidRPr="00B97C53" w:rsidRDefault="00A023BD" w:rsidP="00A023BD">
            <w:pPr>
              <w:keepNext/>
              <w:keepLines/>
              <w:jc w:val="right"/>
              <w:rPr>
                <w:color w:val="000000"/>
                <w:sz w:val="16"/>
                <w:szCs w:val="16"/>
                <w:lang w:eastAsia="en-NZ"/>
              </w:rPr>
            </w:pPr>
          </w:p>
        </w:tc>
        <w:tc>
          <w:tcPr>
            <w:tcW w:w="850" w:type="dxa"/>
            <w:shd w:val="clear" w:color="auto" w:fill="auto"/>
            <w:vAlign w:val="bottom"/>
          </w:tcPr>
          <w:p w14:paraId="70E7F1AC" w14:textId="77777777" w:rsidR="00A023BD" w:rsidRPr="00B97C53" w:rsidRDefault="00A023BD" w:rsidP="00A023BD">
            <w:pPr>
              <w:keepNext/>
              <w:keepLines/>
              <w:jc w:val="right"/>
              <w:rPr>
                <w:color w:val="000000"/>
                <w:sz w:val="16"/>
                <w:szCs w:val="16"/>
                <w:lang w:eastAsia="en-NZ"/>
              </w:rPr>
            </w:pPr>
          </w:p>
        </w:tc>
      </w:tr>
      <w:tr w:rsidR="00A023BD" w:rsidRPr="001A61F1" w14:paraId="1869CE5A" w14:textId="77777777" w:rsidTr="00326B55">
        <w:tc>
          <w:tcPr>
            <w:tcW w:w="5387" w:type="dxa"/>
          </w:tcPr>
          <w:p w14:paraId="6C1D5382"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bottom"/>
          </w:tcPr>
          <w:p w14:paraId="3C199D8F"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2.77</w:t>
            </w:r>
          </w:p>
        </w:tc>
        <w:tc>
          <w:tcPr>
            <w:tcW w:w="1134" w:type="dxa"/>
            <w:shd w:val="clear" w:color="auto" w:fill="auto"/>
            <w:vAlign w:val="bottom"/>
          </w:tcPr>
          <w:p w14:paraId="3DBE5030"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(1.10, 6.94)</w:t>
            </w:r>
          </w:p>
        </w:tc>
        <w:tc>
          <w:tcPr>
            <w:tcW w:w="850" w:type="dxa"/>
            <w:shd w:val="clear" w:color="auto" w:fill="auto"/>
            <w:vAlign w:val="bottom"/>
          </w:tcPr>
          <w:p w14:paraId="49172817"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0.03</w:t>
            </w:r>
          </w:p>
        </w:tc>
      </w:tr>
      <w:tr w:rsidR="00A023BD" w:rsidRPr="001A61F1" w14:paraId="0BFDBC98" w14:textId="77777777" w:rsidTr="00A023BD">
        <w:tc>
          <w:tcPr>
            <w:tcW w:w="5387" w:type="dxa"/>
          </w:tcPr>
          <w:p w14:paraId="2E1E1DED" w14:textId="77777777" w:rsidR="00A023BD" w:rsidRPr="003F15C0" w:rsidRDefault="00A023BD" w:rsidP="00A023BD">
            <w:pPr>
              <w:spacing w:before="20"/>
              <w:rPr>
                <w:b/>
                <w:bCs/>
                <w:color w:val="000000"/>
                <w:sz w:val="16"/>
                <w:szCs w:val="16"/>
              </w:rPr>
            </w:pPr>
            <w:r w:rsidRPr="003F15C0">
              <w:rPr>
                <w:b/>
                <w:bCs/>
                <w:color w:val="000000"/>
                <w:sz w:val="16"/>
                <w:szCs w:val="16"/>
              </w:rPr>
              <w:t>Time spent playing EGMs in an average day (</w:t>
            </w:r>
            <w:r>
              <w:rPr>
                <w:b/>
                <w:bCs/>
                <w:color w:val="000000"/>
                <w:sz w:val="16"/>
                <w:szCs w:val="16"/>
              </w:rPr>
              <w:t>pub</w:t>
            </w:r>
            <w:r w:rsidRPr="003F15C0">
              <w:rPr>
                <w:b/>
                <w:bCs/>
                <w:color w:val="000000"/>
                <w:sz w:val="16"/>
                <w:szCs w:val="16"/>
              </w:rPr>
              <w:t>)</w:t>
            </w:r>
          </w:p>
        </w:tc>
        <w:tc>
          <w:tcPr>
            <w:tcW w:w="1134" w:type="dxa"/>
            <w:shd w:val="clear" w:color="auto" w:fill="auto"/>
            <w:vAlign w:val="bottom"/>
          </w:tcPr>
          <w:p w14:paraId="546ECEA9" w14:textId="77777777" w:rsidR="00A023BD" w:rsidRPr="007B750E" w:rsidRDefault="00A023BD" w:rsidP="00A023BD">
            <w:pPr>
              <w:keepNext/>
              <w:keepLines/>
              <w:jc w:val="right"/>
              <w:rPr>
                <w:color w:val="000000"/>
                <w:sz w:val="16"/>
                <w:szCs w:val="16"/>
                <w:lang w:eastAsia="en-NZ"/>
              </w:rPr>
            </w:pPr>
          </w:p>
        </w:tc>
        <w:tc>
          <w:tcPr>
            <w:tcW w:w="1134" w:type="dxa"/>
            <w:shd w:val="clear" w:color="auto" w:fill="auto"/>
            <w:vAlign w:val="bottom"/>
          </w:tcPr>
          <w:p w14:paraId="39FB00C3" w14:textId="77777777" w:rsidR="00A023BD" w:rsidRPr="007B750E" w:rsidRDefault="00A023BD" w:rsidP="00A023BD">
            <w:pPr>
              <w:keepNext/>
              <w:keepLines/>
              <w:jc w:val="right"/>
              <w:rPr>
                <w:color w:val="000000"/>
                <w:sz w:val="16"/>
                <w:szCs w:val="16"/>
                <w:lang w:eastAsia="en-NZ"/>
              </w:rPr>
            </w:pPr>
          </w:p>
        </w:tc>
        <w:tc>
          <w:tcPr>
            <w:tcW w:w="850" w:type="dxa"/>
            <w:shd w:val="clear" w:color="auto" w:fill="auto"/>
            <w:vAlign w:val="bottom"/>
          </w:tcPr>
          <w:p w14:paraId="6D590ABC" w14:textId="77777777" w:rsidR="00A023BD" w:rsidRPr="007B750E" w:rsidRDefault="00A023BD" w:rsidP="00A023BD">
            <w:pPr>
              <w:keepNext/>
              <w:keepLines/>
              <w:jc w:val="right"/>
              <w:rPr>
                <w:color w:val="000000"/>
                <w:sz w:val="16"/>
                <w:szCs w:val="16"/>
                <w:lang w:eastAsia="en-NZ"/>
              </w:rPr>
            </w:pPr>
          </w:p>
        </w:tc>
      </w:tr>
      <w:tr w:rsidR="00A023BD" w:rsidRPr="001A61F1" w14:paraId="1E81AADE" w14:textId="77777777" w:rsidTr="00A023BD">
        <w:tc>
          <w:tcPr>
            <w:tcW w:w="5387" w:type="dxa"/>
          </w:tcPr>
          <w:p w14:paraId="2038D515" w14:textId="77777777" w:rsidR="00A023BD" w:rsidRPr="003F15C0" w:rsidRDefault="00A023BD" w:rsidP="00A023BD">
            <w:pPr>
              <w:spacing w:before="20"/>
              <w:ind w:left="176"/>
              <w:jc w:val="both"/>
              <w:rPr>
                <w:sz w:val="16"/>
                <w:szCs w:val="16"/>
              </w:rPr>
            </w:pPr>
            <w:r w:rsidRPr="003F15C0">
              <w:rPr>
                <w:sz w:val="16"/>
                <w:szCs w:val="16"/>
              </w:rPr>
              <w:t>No time</w:t>
            </w:r>
          </w:p>
        </w:tc>
        <w:tc>
          <w:tcPr>
            <w:tcW w:w="1134" w:type="dxa"/>
            <w:shd w:val="clear" w:color="auto" w:fill="auto"/>
            <w:vAlign w:val="bottom"/>
          </w:tcPr>
          <w:p w14:paraId="3F535381"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1.00</w:t>
            </w:r>
          </w:p>
        </w:tc>
        <w:tc>
          <w:tcPr>
            <w:tcW w:w="1134" w:type="dxa"/>
            <w:shd w:val="clear" w:color="auto" w:fill="auto"/>
            <w:vAlign w:val="bottom"/>
          </w:tcPr>
          <w:p w14:paraId="7AB763A3" w14:textId="77777777" w:rsidR="00A023BD" w:rsidRPr="00B97C53" w:rsidRDefault="00A023BD" w:rsidP="00A023BD">
            <w:pPr>
              <w:keepNext/>
              <w:keepLines/>
              <w:jc w:val="right"/>
              <w:rPr>
                <w:color w:val="000000"/>
                <w:sz w:val="16"/>
                <w:szCs w:val="16"/>
                <w:lang w:eastAsia="en-NZ"/>
              </w:rPr>
            </w:pPr>
          </w:p>
        </w:tc>
        <w:tc>
          <w:tcPr>
            <w:tcW w:w="850" w:type="dxa"/>
            <w:shd w:val="clear" w:color="auto" w:fill="auto"/>
            <w:vAlign w:val="bottom"/>
          </w:tcPr>
          <w:p w14:paraId="68765401" w14:textId="77777777" w:rsidR="00A023BD" w:rsidRPr="00B97C53" w:rsidRDefault="00A023BD" w:rsidP="00A023BD">
            <w:pPr>
              <w:keepNext/>
              <w:keepLines/>
              <w:jc w:val="right"/>
              <w:rPr>
                <w:color w:val="000000"/>
                <w:sz w:val="16"/>
                <w:szCs w:val="16"/>
                <w:lang w:eastAsia="en-NZ"/>
              </w:rPr>
            </w:pPr>
          </w:p>
        </w:tc>
      </w:tr>
      <w:tr w:rsidR="00A023BD" w:rsidRPr="001A61F1" w14:paraId="2416CEC3" w14:textId="77777777" w:rsidTr="00A023BD">
        <w:tc>
          <w:tcPr>
            <w:tcW w:w="5387" w:type="dxa"/>
          </w:tcPr>
          <w:p w14:paraId="6F84CDD4" w14:textId="77777777" w:rsidR="00A023BD" w:rsidRPr="003F15C0" w:rsidRDefault="00A023BD" w:rsidP="00A023BD">
            <w:pPr>
              <w:spacing w:before="20"/>
              <w:ind w:left="176"/>
              <w:jc w:val="both"/>
              <w:rPr>
                <w:sz w:val="16"/>
                <w:szCs w:val="16"/>
              </w:rPr>
            </w:pPr>
            <w:r w:rsidRPr="003F15C0">
              <w:rPr>
                <w:sz w:val="16"/>
                <w:szCs w:val="16"/>
              </w:rPr>
              <w:t>Up to 15 minutes</w:t>
            </w:r>
          </w:p>
        </w:tc>
        <w:tc>
          <w:tcPr>
            <w:tcW w:w="1134" w:type="dxa"/>
            <w:shd w:val="clear" w:color="auto" w:fill="auto"/>
            <w:vAlign w:val="bottom"/>
          </w:tcPr>
          <w:p w14:paraId="54D92D48"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0.31</w:t>
            </w:r>
          </w:p>
        </w:tc>
        <w:tc>
          <w:tcPr>
            <w:tcW w:w="1134" w:type="dxa"/>
            <w:shd w:val="clear" w:color="auto" w:fill="auto"/>
            <w:vAlign w:val="bottom"/>
          </w:tcPr>
          <w:p w14:paraId="2AAB1952"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(0.08, 1.21)</w:t>
            </w:r>
          </w:p>
        </w:tc>
        <w:tc>
          <w:tcPr>
            <w:tcW w:w="850" w:type="dxa"/>
            <w:shd w:val="clear" w:color="auto" w:fill="auto"/>
            <w:vAlign w:val="bottom"/>
          </w:tcPr>
          <w:p w14:paraId="00F7236D" w14:textId="77777777" w:rsidR="00A023BD" w:rsidRPr="00B97C53" w:rsidRDefault="00A023BD" w:rsidP="00A023BD">
            <w:pPr>
              <w:keepNext/>
              <w:keepLines/>
              <w:jc w:val="right"/>
              <w:rPr>
                <w:color w:val="000000"/>
                <w:sz w:val="16"/>
                <w:szCs w:val="16"/>
                <w:lang w:eastAsia="en-NZ"/>
              </w:rPr>
            </w:pPr>
          </w:p>
        </w:tc>
      </w:tr>
      <w:tr w:rsidR="00A023BD" w:rsidRPr="001A61F1" w14:paraId="03F10B63" w14:textId="77777777" w:rsidTr="00A023BD">
        <w:tc>
          <w:tcPr>
            <w:tcW w:w="5387" w:type="dxa"/>
          </w:tcPr>
          <w:p w14:paraId="1A06D13B" w14:textId="77777777" w:rsidR="00A023BD" w:rsidRPr="003F15C0" w:rsidRDefault="00A023BD" w:rsidP="00A023BD">
            <w:pPr>
              <w:spacing w:before="20"/>
              <w:ind w:left="176"/>
              <w:jc w:val="both"/>
              <w:rPr>
                <w:sz w:val="16"/>
                <w:szCs w:val="16"/>
              </w:rPr>
            </w:pPr>
            <w:r w:rsidRPr="003F15C0">
              <w:rPr>
                <w:sz w:val="16"/>
                <w:szCs w:val="16"/>
              </w:rPr>
              <w:t>16 to 30 minutes</w:t>
            </w:r>
          </w:p>
        </w:tc>
        <w:tc>
          <w:tcPr>
            <w:tcW w:w="1134" w:type="dxa"/>
            <w:shd w:val="clear" w:color="auto" w:fill="auto"/>
            <w:vAlign w:val="bottom"/>
          </w:tcPr>
          <w:p w14:paraId="129580DE"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0.74</w:t>
            </w:r>
          </w:p>
        </w:tc>
        <w:tc>
          <w:tcPr>
            <w:tcW w:w="1134" w:type="dxa"/>
            <w:shd w:val="clear" w:color="auto" w:fill="auto"/>
            <w:vAlign w:val="bottom"/>
          </w:tcPr>
          <w:p w14:paraId="0C7D77DE"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(0.23, 2.37)</w:t>
            </w:r>
          </w:p>
        </w:tc>
        <w:tc>
          <w:tcPr>
            <w:tcW w:w="850" w:type="dxa"/>
            <w:shd w:val="clear" w:color="auto" w:fill="auto"/>
            <w:vAlign w:val="bottom"/>
          </w:tcPr>
          <w:p w14:paraId="446C25C0" w14:textId="77777777" w:rsidR="00A023BD" w:rsidRPr="00B97C53" w:rsidRDefault="00A023BD" w:rsidP="00A023BD">
            <w:pPr>
              <w:keepNext/>
              <w:keepLines/>
              <w:jc w:val="right"/>
              <w:rPr>
                <w:color w:val="000000"/>
                <w:sz w:val="16"/>
                <w:szCs w:val="16"/>
                <w:lang w:eastAsia="en-NZ"/>
              </w:rPr>
            </w:pPr>
          </w:p>
        </w:tc>
      </w:tr>
      <w:tr w:rsidR="00A023BD" w:rsidRPr="001A61F1" w14:paraId="7E459F1D" w14:textId="77777777" w:rsidTr="00A023BD">
        <w:tc>
          <w:tcPr>
            <w:tcW w:w="5387" w:type="dxa"/>
          </w:tcPr>
          <w:p w14:paraId="514E7B7A" w14:textId="77777777" w:rsidR="00A023BD" w:rsidRPr="003F15C0" w:rsidRDefault="00A023BD" w:rsidP="00A023BD">
            <w:pPr>
              <w:spacing w:before="20"/>
              <w:ind w:left="176"/>
              <w:jc w:val="both"/>
              <w:rPr>
                <w:sz w:val="16"/>
                <w:szCs w:val="16"/>
              </w:rPr>
            </w:pPr>
            <w:r w:rsidRPr="003F15C0">
              <w:rPr>
                <w:sz w:val="16"/>
                <w:szCs w:val="16"/>
              </w:rPr>
              <w:t>31 to 60 minutes</w:t>
            </w:r>
          </w:p>
        </w:tc>
        <w:tc>
          <w:tcPr>
            <w:tcW w:w="1134" w:type="dxa"/>
            <w:shd w:val="clear" w:color="auto" w:fill="auto"/>
            <w:vAlign w:val="bottom"/>
          </w:tcPr>
          <w:p w14:paraId="4AE3DF18"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1.64</w:t>
            </w:r>
          </w:p>
        </w:tc>
        <w:tc>
          <w:tcPr>
            <w:tcW w:w="1134" w:type="dxa"/>
            <w:shd w:val="clear" w:color="auto" w:fill="auto"/>
            <w:vAlign w:val="bottom"/>
          </w:tcPr>
          <w:p w14:paraId="22F28B84"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(0.60, 4.49)</w:t>
            </w:r>
          </w:p>
        </w:tc>
        <w:tc>
          <w:tcPr>
            <w:tcW w:w="850" w:type="dxa"/>
            <w:shd w:val="clear" w:color="auto" w:fill="auto"/>
            <w:vAlign w:val="bottom"/>
          </w:tcPr>
          <w:p w14:paraId="4DDEFABA" w14:textId="77777777" w:rsidR="00A023BD" w:rsidRPr="00B97C53" w:rsidRDefault="00A023BD" w:rsidP="00A023BD">
            <w:pPr>
              <w:keepNext/>
              <w:keepLines/>
              <w:jc w:val="right"/>
              <w:rPr>
                <w:color w:val="000000"/>
                <w:sz w:val="16"/>
                <w:szCs w:val="16"/>
                <w:lang w:eastAsia="en-NZ"/>
              </w:rPr>
            </w:pPr>
          </w:p>
        </w:tc>
      </w:tr>
      <w:tr w:rsidR="00A023BD" w:rsidRPr="001A61F1" w14:paraId="24D82DCF" w14:textId="77777777" w:rsidTr="00326B55">
        <w:tc>
          <w:tcPr>
            <w:tcW w:w="5387" w:type="dxa"/>
          </w:tcPr>
          <w:p w14:paraId="4FF60ACE" w14:textId="77777777" w:rsidR="00A023BD" w:rsidRPr="003F15C0" w:rsidRDefault="00A023BD" w:rsidP="00A023BD">
            <w:pPr>
              <w:spacing w:before="20"/>
              <w:ind w:left="176"/>
              <w:jc w:val="both"/>
              <w:rPr>
                <w:sz w:val="16"/>
                <w:szCs w:val="16"/>
              </w:rPr>
            </w:pPr>
            <w:r w:rsidRPr="003F15C0">
              <w:rPr>
                <w:sz w:val="16"/>
                <w:szCs w:val="16"/>
              </w:rPr>
              <w:t>&gt;60 minutes</w:t>
            </w:r>
          </w:p>
        </w:tc>
        <w:tc>
          <w:tcPr>
            <w:tcW w:w="1134" w:type="dxa"/>
            <w:shd w:val="clear" w:color="auto" w:fill="auto"/>
            <w:vAlign w:val="bottom"/>
          </w:tcPr>
          <w:p w14:paraId="2D0950A3"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4.79</w:t>
            </w:r>
          </w:p>
        </w:tc>
        <w:tc>
          <w:tcPr>
            <w:tcW w:w="1134" w:type="dxa"/>
            <w:shd w:val="clear" w:color="auto" w:fill="auto"/>
            <w:vAlign w:val="bottom"/>
          </w:tcPr>
          <w:p w14:paraId="596741D9"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(1.60, 14.36)</w:t>
            </w:r>
          </w:p>
        </w:tc>
        <w:tc>
          <w:tcPr>
            <w:tcW w:w="850" w:type="dxa"/>
            <w:shd w:val="clear" w:color="auto" w:fill="auto"/>
            <w:vAlign w:val="bottom"/>
          </w:tcPr>
          <w:p w14:paraId="69560A5B"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0.002</w:t>
            </w:r>
          </w:p>
        </w:tc>
      </w:tr>
      <w:tr w:rsidR="00A023BD" w:rsidRPr="001A61F1" w14:paraId="5DF37A51" w14:textId="77777777" w:rsidTr="00A023BD">
        <w:tc>
          <w:tcPr>
            <w:tcW w:w="5387" w:type="dxa"/>
          </w:tcPr>
          <w:p w14:paraId="1462357E" w14:textId="77777777" w:rsidR="00A023BD" w:rsidRPr="003F15C0" w:rsidRDefault="00A023BD" w:rsidP="00A023BD">
            <w:pPr>
              <w:spacing w:before="20"/>
              <w:rPr>
                <w:color w:val="000000"/>
                <w:sz w:val="16"/>
                <w:szCs w:val="16"/>
              </w:rPr>
            </w:pPr>
            <w:r w:rsidRPr="003F15C0">
              <w:rPr>
                <w:b/>
                <w:bCs/>
                <w:color w:val="000000"/>
                <w:sz w:val="16"/>
                <w:szCs w:val="16"/>
              </w:rPr>
              <w:t>Methods - Separating money for betting from other money and stopping</w:t>
            </w:r>
          </w:p>
        </w:tc>
        <w:tc>
          <w:tcPr>
            <w:tcW w:w="1134" w:type="dxa"/>
            <w:shd w:val="clear" w:color="auto" w:fill="auto"/>
            <w:vAlign w:val="bottom"/>
          </w:tcPr>
          <w:p w14:paraId="16AAEDB4" w14:textId="77777777" w:rsidR="00A023BD" w:rsidRPr="007B750E" w:rsidRDefault="00A023BD" w:rsidP="00A023BD">
            <w:pPr>
              <w:keepNext/>
              <w:keepLines/>
              <w:jc w:val="right"/>
              <w:rPr>
                <w:color w:val="000000"/>
                <w:sz w:val="16"/>
                <w:szCs w:val="16"/>
                <w:lang w:eastAsia="en-NZ"/>
              </w:rPr>
            </w:pPr>
          </w:p>
        </w:tc>
        <w:tc>
          <w:tcPr>
            <w:tcW w:w="1134" w:type="dxa"/>
            <w:shd w:val="clear" w:color="auto" w:fill="auto"/>
            <w:vAlign w:val="bottom"/>
          </w:tcPr>
          <w:p w14:paraId="366DDE72" w14:textId="77777777" w:rsidR="00A023BD" w:rsidRPr="007B750E" w:rsidRDefault="00A023BD" w:rsidP="00A023BD">
            <w:pPr>
              <w:keepNext/>
              <w:keepLines/>
              <w:jc w:val="right"/>
              <w:rPr>
                <w:color w:val="000000"/>
                <w:sz w:val="16"/>
                <w:szCs w:val="16"/>
                <w:lang w:eastAsia="en-NZ"/>
              </w:rPr>
            </w:pPr>
          </w:p>
        </w:tc>
        <w:tc>
          <w:tcPr>
            <w:tcW w:w="850" w:type="dxa"/>
            <w:shd w:val="clear" w:color="auto" w:fill="auto"/>
            <w:vAlign w:val="bottom"/>
          </w:tcPr>
          <w:p w14:paraId="2FFB7CE7" w14:textId="77777777" w:rsidR="00A023BD" w:rsidRPr="007B750E" w:rsidRDefault="00A023BD" w:rsidP="00A023BD">
            <w:pPr>
              <w:keepNext/>
              <w:keepLines/>
              <w:jc w:val="right"/>
              <w:rPr>
                <w:color w:val="000000"/>
                <w:sz w:val="16"/>
                <w:szCs w:val="16"/>
                <w:lang w:eastAsia="en-NZ"/>
              </w:rPr>
            </w:pPr>
          </w:p>
        </w:tc>
      </w:tr>
      <w:tr w:rsidR="00A023BD" w:rsidRPr="001A61F1" w14:paraId="5A167978" w14:textId="77777777" w:rsidTr="00A023BD">
        <w:tc>
          <w:tcPr>
            <w:tcW w:w="5387" w:type="dxa"/>
          </w:tcPr>
          <w:p w14:paraId="60A84B71"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bottom"/>
          </w:tcPr>
          <w:p w14:paraId="33631BF9"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1.00</w:t>
            </w:r>
          </w:p>
        </w:tc>
        <w:tc>
          <w:tcPr>
            <w:tcW w:w="1134" w:type="dxa"/>
            <w:shd w:val="clear" w:color="auto" w:fill="auto"/>
            <w:vAlign w:val="bottom"/>
          </w:tcPr>
          <w:p w14:paraId="7C34E4D6" w14:textId="77777777" w:rsidR="00A023BD" w:rsidRPr="00B97C53" w:rsidRDefault="00A023BD" w:rsidP="00A023BD">
            <w:pPr>
              <w:keepNext/>
              <w:keepLines/>
              <w:jc w:val="right"/>
              <w:rPr>
                <w:color w:val="000000"/>
                <w:sz w:val="16"/>
                <w:szCs w:val="16"/>
                <w:lang w:eastAsia="en-NZ"/>
              </w:rPr>
            </w:pPr>
          </w:p>
        </w:tc>
        <w:tc>
          <w:tcPr>
            <w:tcW w:w="850" w:type="dxa"/>
            <w:shd w:val="clear" w:color="auto" w:fill="auto"/>
            <w:vAlign w:val="bottom"/>
          </w:tcPr>
          <w:p w14:paraId="143BED97" w14:textId="77777777" w:rsidR="00A023BD" w:rsidRPr="00B97C53" w:rsidRDefault="00A023BD" w:rsidP="00A023BD">
            <w:pPr>
              <w:keepNext/>
              <w:keepLines/>
              <w:jc w:val="right"/>
              <w:rPr>
                <w:color w:val="000000"/>
                <w:sz w:val="16"/>
                <w:szCs w:val="16"/>
                <w:lang w:eastAsia="en-NZ"/>
              </w:rPr>
            </w:pPr>
          </w:p>
        </w:tc>
      </w:tr>
      <w:tr w:rsidR="00A023BD" w:rsidRPr="001A61F1" w14:paraId="71E5EF89" w14:textId="77777777" w:rsidTr="00326B55">
        <w:tc>
          <w:tcPr>
            <w:tcW w:w="5387" w:type="dxa"/>
          </w:tcPr>
          <w:p w14:paraId="2B3ED29A"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shd w:val="clear" w:color="auto" w:fill="auto"/>
            <w:vAlign w:val="bottom"/>
          </w:tcPr>
          <w:p w14:paraId="242227E7"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3.75</w:t>
            </w:r>
          </w:p>
        </w:tc>
        <w:tc>
          <w:tcPr>
            <w:tcW w:w="1134" w:type="dxa"/>
            <w:shd w:val="clear" w:color="auto" w:fill="auto"/>
            <w:vAlign w:val="bottom"/>
          </w:tcPr>
          <w:p w14:paraId="4D61871C"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(1.67, 8.41)</w:t>
            </w:r>
          </w:p>
        </w:tc>
        <w:tc>
          <w:tcPr>
            <w:tcW w:w="850" w:type="dxa"/>
            <w:shd w:val="clear" w:color="auto" w:fill="auto"/>
            <w:vAlign w:val="bottom"/>
          </w:tcPr>
          <w:p w14:paraId="31890DDF"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0.001</w:t>
            </w:r>
          </w:p>
        </w:tc>
      </w:tr>
      <w:tr w:rsidR="00A023BD" w:rsidRPr="001A61F1" w14:paraId="18E634A4" w14:textId="77777777" w:rsidTr="00A023BD">
        <w:tc>
          <w:tcPr>
            <w:tcW w:w="5387" w:type="dxa"/>
            <w:vAlign w:val="center"/>
          </w:tcPr>
          <w:p w14:paraId="1D235E92" w14:textId="77777777" w:rsidR="00A023BD" w:rsidRPr="003F15C0" w:rsidRDefault="00A023BD" w:rsidP="00A023BD">
            <w:pPr>
              <w:spacing w:before="20"/>
              <w:rPr>
                <w:b/>
                <w:bCs/>
                <w:color w:val="000000"/>
                <w:sz w:val="16"/>
                <w:szCs w:val="16"/>
              </w:rPr>
            </w:pPr>
            <w:r w:rsidRPr="003F15C0">
              <w:rPr>
                <w:b/>
                <w:bCs/>
                <w:color w:val="000000"/>
                <w:sz w:val="16"/>
                <w:szCs w:val="16"/>
              </w:rPr>
              <w:t>Methods - Leaving ATM and credit cards at home</w:t>
            </w:r>
          </w:p>
        </w:tc>
        <w:tc>
          <w:tcPr>
            <w:tcW w:w="1134" w:type="dxa"/>
            <w:shd w:val="clear" w:color="auto" w:fill="auto"/>
            <w:vAlign w:val="bottom"/>
          </w:tcPr>
          <w:p w14:paraId="70EFCDFE" w14:textId="77777777" w:rsidR="00A023BD" w:rsidRPr="007B750E" w:rsidRDefault="00A023BD" w:rsidP="00A023BD">
            <w:pPr>
              <w:keepNext/>
              <w:keepLines/>
              <w:jc w:val="right"/>
              <w:rPr>
                <w:color w:val="000000"/>
                <w:sz w:val="16"/>
                <w:szCs w:val="16"/>
                <w:lang w:eastAsia="en-NZ"/>
              </w:rPr>
            </w:pPr>
          </w:p>
        </w:tc>
        <w:tc>
          <w:tcPr>
            <w:tcW w:w="1134" w:type="dxa"/>
            <w:shd w:val="clear" w:color="auto" w:fill="auto"/>
            <w:vAlign w:val="bottom"/>
          </w:tcPr>
          <w:p w14:paraId="3ABE8A00" w14:textId="77777777" w:rsidR="00A023BD" w:rsidRPr="007B750E" w:rsidRDefault="00A023BD" w:rsidP="00A023BD">
            <w:pPr>
              <w:keepNext/>
              <w:keepLines/>
              <w:jc w:val="right"/>
              <w:rPr>
                <w:color w:val="000000"/>
                <w:sz w:val="16"/>
                <w:szCs w:val="16"/>
                <w:lang w:eastAsia="en-NZ"/>
              </w:rPr>
            </w:pPr>
          </w:p>
        </w:tc>
        <w:tc>
          <w:tcPr>
            <w:tcW w:w="850" w:type="dxa"/>
            <w:shd w:val="clear" w:color="auto" w:fill="auto"/>
            <w:vAlign w:val="bottom"/>
          </w:tcPr>
          <w:p w14:paraId="3AC0FE3D" w14:textId="77777777" w:rsidR="00A023BD" w:rsidRPr="007B750E" w:rsidRDefault="00A023BD" w:rsidP="00A023BD">
            <w:pPr>
              <w:keepNext/>
              <w:keepLines/>
              <w:jc w:val="right"/>
              <w:rPr>
                <w:color w:val="000000"/>
                <w:sz w:val="16"/>
                <w:szCs w:val="16"/>
                <w:lang w:eastAsia="en-NZ"/>
              </w:rPr>
            </w:pPr>
          </w:p>
        </w:tc>
      </w:tr>
      <w:tr w:rsidR="00A023BD" w:rsidRPr="001A61F1" w14:paraId="4295552F" w14:textId="77777777" w:rsidTr="00A023BD">
        <w:tc>
          <w:tcPr>
            <w:tcW w:w="5387" w:type="dxa"/>
          </w:tcPr>
          <w:p w14:paraId="527E402F" w14:textId="77777777" w:rsidR="00A023BD" w:rsidRPr="003F15C0" w:rsidRDefault="00A023BD" w:rsidP="00A023BD">
            <w:pPr>
              <w:spacing w:before="20"/>
              <w:ind w:left="176"/>
              <w:jc w:val="both"/>
              <w:rPr>
                <w:sz w:val="16"/>
                <w:szCs w:val="16"/>
              </w:rPr>
            </w:pPr>
            <w:r w:rsidRPr="003F15C0">
              <w:rPr>
                <w:sz w:val="16"/>
                <w:szCs w:val="16"/>
              </w:rPr>
              <w:t>No</w:t>
            </w:r>
          </w:p>
        </w:tc>
        <w:tc>
          <w:tcPr>
            <w:tcW w:w="1134" w:type="dxa"/>
            <w:shd w:val="clear" w:color="auto" w:fill="auto"/>
            <w:vAlign w:val="bottom"/>
          </w:tcPr>
          <w:p w14:paraId="5071254A"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1.00</w:t>
            </w:r>
          </w:p>
        </w:tc>
        <w:tc>
          <w:tcPr>
            <w:tcW w:w="1134" w:type="dxa"/>
            <w:shd w:val="clear" w:color="auto" w:fill="auto"/>
            <w:vAlign w:val="bottom"/>
          </w:tcPr>
          <w:p w14:paraId="1FB05609" w14:textId="77777777" w:rsidR="00A023BD" w:rsidRPr="00B97C53" w:rsidRDefault="00A023BD" w:rsidP="00A023BD">
            <w:pPr>
              <w:keepNext/>
              <w:keepLines/>
              <w:jc w:val="right"/>
              <w:rPr>
                <w:color w:val="000000"/>
                <w:sz w:val="16"/>
                <w:szCs w:val="16"/>
                <w:lang w:eastAsia="en-NZ"/>
              </w:rPr>
            </w:pPr>
          </w:p>
        </w:tc>
        <w:tc>
          <w:tcPr>
            <w:tcW w:w="850" w:type="dxa"/>
            <w:shd w:val="clear" w:color="auto" w:fill="auto"/>
            <w:vAlign w:val="bottom"/>
          </w:tcPr>
          <w:p w14:paraId="4AE15C0E" w14:textId="77777777" w:rsidR="00A023BD" w:rsidRPr="00B97C53" w:rsidRDefault="00A023BD" w:rsidP="00A023BD">
            <w:pPr>
              <w:keepNext/>
              <w:keepLines/>
              <w:jc w:val="right"/>
              <w:rPr>
                <w:color w:val="000000"/>
                <w:sz w:val="16"/>
                <w:szCs w:val="16"/>
                <w:lang w:eastAsia="en-NZ"/>
              </w:rPr>
            </w:pPr>
          </w:p>
        </w:tc>
      </w:tr>
      <w:tr w:rsidR="00A023BD" w:rsidRPr="001A61F1" w14:paraId="0FC95279" w14:textId="77777777" w:rsidTr="00326B55">
        <w:tc>
          <w:tcPr>
            <w:tcW w:w="5387" w:type="dxa"/>
            <w:tcBorders>
              <w:bottom w:val="single" w:sz="4" w:space="0" w:color="auto"/>
            </w:tcBorders>
          </w:tcPr>
          <w:p w14:paraId="75F1CC94" w14:textId="77777777" w:rsidR="00A023BD" w:rsidRPr="003F15C0" w:rsidRDefault="00A023BD" w:rsidP="00A023BD">
            <w:pPr>
              <w:spacing w:before="20"/>
              <w:ind w:left="176"/>
              <w:jc w:val="both"/>
              <w:rPr>
                <w:sz w:val="16"/>
                <w:szCs w:val="16"/>
              </w:rPr>
            </w:pPr>
            <w:r w:rsidRPr="003F15C0">
              <w:rPr>
                <w:sz w:val="16"/>
                <w:szCs w:val="16"/>
              </w:rPr>
              <w:t>Yes</w:t>
            </w:r>
          </w:p>
        </w:tc>
        <w:tc>
          <w:tcPr>
            <w:tcW w:w="1134" w:type="dxa"/>
            <w:tcBorders>
              <w:bottom w:val="single" w:sz="4" w:space="0" w:color="auto"/>
            </w:tcBorders>
            <w:shd w:val="clear" w:color="auto" w:fill="auto"/>
            <w:vAlign w:val="bottom"/>
          </w:tcPr>
          <w:p w14:paraId="5842482B"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3.13</w:t>
            </w:r>
          </w:p>
        </w:tc>
        <w:tc>
          <w:tcPr>
            <w:tcW w:w="1134" w:type="dxa"/>
            <w:tcBorders>
              <w:bottom w:val="single" w:sz="4" w:space="0" w:color="auto"/>
            </w:tcBorders>
            <w:shd w:val="clear" w:color="auto" w:fill="auto"/>
            <w:vAlign w:val="bottom"/>
          </w:tcPr>
          <w:p w14:paraId="01D783F3"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(1.14, 8.62)</w:t>
            </w:r>
          </w:p>
        </w:tc>
        <w:tc>
          <w:tcPr>
            <w:tcW w:w="850" w:type="dxa"/>
            <w:tcBorders>
              <w:bottom w:val="single" w:sz="4" w:space="0" w:color="auto"/>
            </w:tcBorders>
            <w:shd w:val="clear" w:color="auto" w:fill="auto"/>
            <w:vAlign w:val="bottom"/>
          </w:tcPr>
          <w:p w14:paraId="43EDAB16" w14:textId="77777777" w:rsidR="00A023BD" w:rsidRPr="00B97C53" w:rsidRDefault="00A023BD" w:rsidP="00A023BD">
            <w:pPr>
              <w:keepNext/>
              <w:keepLines/>
              <w:jc w:val="right"/>
              <w:rPr>
                <w:color w:val="000000"/>
                <w:sz w:val="16"/>
                <w:szCs w:val="16"/>
                <w:lang w:eastAsia="en-NZ"/>
              </w:rPr>
            </w:pPr>
            <w:r w:rsidRPr="00B97C53">
              <w:rPr>
                <w:color w:val="000000"/>
                <w:sz w:val="16"/>
                <w:szCs w:val="16"/>
                <w:lang w:eastAsia="en-NZ"/>
              </w:rPr>
              <w:t>0.03</w:t>
            </w:r>
          </w:p>
        </w:tc>
      </w:tr>
    </w:tbl>
    <w:p w14:paraId="396DB084" w14:textId="77777777" w:rsidR="00A023BD" w:rsidRPr="00230801" w:rsidRDefault="00A023BD" w:rsidP="00A023BD">
      <w:pPr>
        <w:rPr>
          <w:rFonts w:eastAsiaTheme="majorEastAsia"/>
          <w:sz w:val="16"/>
          <w:lang w:eastAsia="en-US"/>
        </w:rPr>
      </w:pPr>
      <w:r>
        <w:rPr>
          <w:rFonts w:eastAsiaTheme="majorEastAsia"/>
          <w:sz w:val="16"/>
          <w:lang w:eastAsia="en-US"/>
        </w:rPr>
        <w:t>Data weighted for 2013 Census data (all Waves) and attrition (Waves 2, 3 and 4)</w:t>
      </w:r>
    </w:p>
    <w:p w14:paraId="40199983" w14:textId="77777777" w:rsidR="00A023BD" w:rsidRDefault="00A023BD" w:rsidP="00A023BD">
      <w:pPr>
        <w:pStyle w:val="RepNormal"/>
      </w:pPr>
    </w:p>
    <w:p w14:paraId="3122FD19" w14:textId="77777777" w:rsidR="00A023BD" w:rsidRDefault="00A023BD" w:rsidP="00A023BD">
      <w:pPr>
        <w:pStyle w:val="RepNormal"/>
      </w:pPr>
    </w:p>
    <w:p w14:paraId="26547F00" w14:textId="77777777" w:rsidR="00A023BD" w:rsidRPr="00735871" w:rsidRDefault="00A023BD" w:rsidP="00A023BD">
      <w:pPr>
        <w:pStyle w:val="RepNormal"/>
        <w:rPr>
          <w:u w:val="single"/>
        </w:rPr>
      </w:pPr>
      <w:r w:rsidRPr="00735871">
        <w:rPr>
          <w:u w:val="single"/>
        </w:rPr>
        <w:t xml:space="preserve">Variables associated with </w:t>
      </w:r>
      <w:r>
        <w:rPr>
          <w:u w:val="single"/>
        </w:rPr>
        <w:t>a higher</w:t>
      </w:r>
      <w:r w:rsidRPr="00735871">
        <w:rPr>
          <w:u w:val="single"/>
        </w:rPr>
        <w:t xml:space="preserve"> </w:t>
      </w:r>
      <w:r>
        <w:rPr>
          <w:u w:val="single"/>
        </w:rPr>
        <w:t xml:space="preserve">chance of being a past year moderate-risk/problem </w:t>
      </w:r>
      <w:r w:rsidRPr="00735871">
        <w:rPr>
          <w:u w:val="single"/>
        </w:rPr>
        <w:t>gambl</w:t>
      </w:r>
      <w:r>
        <w:rPr>
          <w:u w:val="single"/>
        </w:rPr>
        <w:t>er</w:t>
      </w:r>
      <w:r w:rsidRPr="00735871">
        <w:rPr>
          <w:u w:val="single"/>
        </w:rPr>
        <w:t xml:space="preserve"> </w:t>
      </w:r>
    </w:p>
    <w:p w14:paraId="1298F174" w14:textId="77777777" w:rsidR="00A023BD" w:rsidRPr="00CC0DD0" w:rsidRDefault="00A023BD" w:rsidP="00A023BD">
      <w:pPr>
        <w:pStyle w:val="RepNormal"/>
        <w:rPr>
          <w:highlight w:val="lightGray"/>
        </w:rPr>
      </w:pPr>
    </w:p>
    <w:p w14:paraId="1073A970" w14:textId="77777777" w:rsidR="00A023BD" w:rsidRPr="006E51C3" w:rsidRDefault="00A023BD" w:rsidP="00A023BD">
      <w:pPr>
        <w:pStyle w:val="RepNormal"/>
      </w:pPr>
      <w:r w:rsidRPr="006E51C3">
        <w:t xml:space="preserve">Māori experiencing moderate, high or severe levels of psychological distress had higher odds </w:t>
      </w:r>
      <w:r w:rsidRPr="00764B92">
        <w:t xml:space="preserve">of </w:t>
      </w:r>
      <w:r>
        <w:t>being a past year moderate-risk/problem</w:t>
      </w:r>
      <w:r w:rsidRPr="00764B92">
        <w:t xml:space="preserve"> gambl</w:t>
      </w:r>
      <w:r>
        <w:t>er versus being a low-risk/non-problem/non-g</w:t>
      </w:r>
      <w:r w:rsidRPr="00A55E1D">
        <w:t>ambl</w:t>
      </w:r>
      <w:r>
        <w:t>er</w:t>
      </w:r>
      <w:r w:rsidRPr="006E51C3">
        <w:t xml:space="preserve">, compared with Māori who experienced a low level of psychological distress.  However, the increased risk was not linear at </w:t>
      </w:r>
      <w:r>
        <w:t>9.21</w:t>
      </w:r>
      <w:r w:rsidRPr="006E51C3">
        <w:t xml:space="preserve">, </w:t>
      </w:r>
      <w:r>
        <w:t>27.21</w:t>
      </w:r>
      <w:r w:rsidRPr="006E51C3">
        <w:t xml:space="preserve"> and </w:t>
      </w:r>
      <w:r>
        <w:t>6.56</w:t>
      </w:r>
      <w:r w:rsidRPr="006E51C3">
        <w:t xml:space="preserve"> times for moderate, high and severe levels, respectively.</w:t>
      </w:r>
      <w:r>
        <w:t xml:space="preserve">  This finding was similar to that noted for the total population; however, the level of risk (odds ratios) were higher for Māori.</w:t>
      </w:r>
    </w:p>
    <w:p w14:paraId="4037ED4D" w14:textId="77777777" w:rsidR="00A023BD" w:rsidRPr="00CC0DD0" w:rsidRDefault="00A023BD" w:rsidP="00A023BD">
      <w:pPr>
        <w:pStyle w:val="RepNormal"/>
        <w:rPr>
          <w:highlight w:val="lightGray"/>
        </w:rPr>
      </w:pPr>
    </w:p>
    <w:p w14:paraId="3C9784FB" w14:textId="77777777" w:rsidR="00A023BD" w:rsidRDefault="00A023BD" w:rsidP="00A023BD">
      <w:pPr>
        <w:pStyle w:val="RepNormal"/>
      </w:pPr>
      <w:r w:rsidRPr="00144644">
        <w:t>Various gambling participation behaviours were associated with Māori</w:t>
      </w:r>
      <w:r>
        <w:t xml:space="preserve"> being past year moderate-risk/problem</w:t>
      </w:r>
      <w:r w:rsidRPr="00764B92">
        <w:t xml:space="preserve"> gambl</w:t>
      </w:r>
      <w:r>
        <w:t>ers versus being low-risk/non-problem/non-g</w:t>
      </w:r>
      <w:r w:rsidRPr="00A55E1D">
        <w:t>ambl</w:t>
      </w:r>
      <w:r>
        <w:t>ers</w:t>
      </w:r>
      <w:r w:rsidRPr="00144644">
        <w:t xml:space="preserve">.  These included gambling monthly </w:t>
      </w:r>
      <w:r>
        <w:t>or mo</w:t>
      </w:r>
      <w:r w:rsidR="002C2F51">
        <w:t>re often on pub EGMs and horse/</w:t>
      </w:r>
      <w:r>
        <w:t xml:space="preserve">dog race betting </w:t>
      </w:r>
      <w:r w:rsidRPr="00144644">
        <w:t>(</w:t>
      </w:r>
      <w:r>
        <w:t>2.77 and 3.04</w:t>
      </w:r>
      <w:r w:rsidRPr="00144644">
        <w:t> times higher</w:t>
      </w:r>
      <w:r>
        <w:t>, respectively</w:t>
      </w:r>
      <w:r w:rsidRPr="00144644">
        <w:t xml:space="preserve">), compared with not participating in these activities at least annually or monthly.  </w:t>
      </w:r>
      <w:r>
        <w:t>These findings were not noted for the total population.</w:t>
      </w:r>
    </w:p>
    <w:p w14:paraId="1BD55B24" w14:textId="77777777" w:rsidR="00A023BD" w:rsidRDefault="00A023BD" w:rsidP="00A023BD">
      <w:pPr>
        <w:pStyle w:val="RepNormal"/>
      </w:pPr>
    </w:p>
    <w:p w14:paraId="63163244" w14:textId="77777777" w:rsidR="00A023BD" w:rsidRPr="00CC0DD0" w:rsidRDefault="00A023BD" w:rsidP="00A023BD">
      <w:pPr>
        <w:pStyle w:val="RepNormal"/>
        <w:rPr>
          <w:highlight w:val="lightGray"/>
        </w:rPr>
      </w:pPr>
      <w:r>
        <w:t xml:space="preserve">Māori who regularly gambled on continuous activities had 3.48 times higher odds </w:t>
      </w:r>
      <w:r w:rsidRPr="00764B92">
        <w:t xml:space="preserve">of </w:t>
      </w:r>
      <w:r>
        <w:t>being a past year moderate-risk/problem</w:t>
      </w:r>
      <w:r w:rsidRPr="00764B92">
        <w:t xml:space="preserve"> gambl</w:t>
      </w:r>
      <w:r>
        <w:t>er versus being a low-risk/non-problem/non-g</w:t>
      </w:r>
      <w:r w:rsidRPr="00A55E1D">
        <w:t>ambl</w:t>
      </w:r>
      <w:r>
        <w:t>er, than Māori who were infrequent gamblers.  This finding was similar to that noted for the total population.</w:t>
      </w:r>
    </w:p>
    <w:p w14:paraId="659351C3" w14:textId="77777777" w:rsidR="00A023BD" w:rsidRPr="00CC0DD0" w:rsidRDefault="00A023BD" w:rsidP="00A023BD">
      <w:pPr>
        <w:pStyle w:val="RepNormal"/>
        <w:rPr>
          <w:highlight w:val="lightGray"/>
        </w:rPr>
      </w:pPr>
    </w:p>
    <w:p w14:paraId="5FB497BB" w14:textId="77777777" w:rsidR="00A023BD" w:rsidRPr="00144644" w:rsidRDefault="00A023BD" w:rsidP="00A023BD">
      <w:pPr>
        <w:pStyle w:val="RepNormal"/>
      </w:pPr>
      <w:r w:rsidRPr="00144644">
        <w:t xml:space="preserve">Māori who had a typical monthly gambling expenditure of more than $50 were </w:t>
      </w:r>
      <w:r>
        <w:t>3.45</w:t>
      </w:r>
      <w:r w:rsidRPr="00144644">
        <w:t xml:space="preserve"> times more likely to </w:t>
      </w:r>
      <w:r>
        <w:t>be past year moderate-risk/problem</w:t>
      </w:r>
      <w:r w:rsidRPr="00764B92">
        <w:t xml:space="preserve"> gambl</w:t>
      </w:r>
      <w:r>
        <w:t>ers versus being low-risk/non-problem/non-g</w:t>
      </w:r>
      <w:r w:rsidRPr="00A55E1D">
        <w:t>ambl</w:t>
      </w:r>
      <w:r>
        <w:t>ers,</w:t>
      </w:r>
      <w:r w:rsidRPr="00144644">
        <w:t xml:space="preserve"> than Māori who h</w:t>
      </w:r>
      <w:r>
        <w:t>ad a monthly expenditure of $20 </w:t>
      </w:r>
      <w:r w:rsidRPr="00144644">
        <w:t xml:space="preserve">or less.  This finding was similar to that noted for </w:t>
      </w:r>
      <w:r>
        <w:t>the total population</w:t>
      </w:r>
      <w:r w:rsidRPr="00144644">
        <w:t xml:space="preserve">.  Māori who gambled on pub EGMs for more than </w:t>
      </w:r>
      <w:r>
        <w:t>60 </w:t>
      </w:r>
      <w:r w:rsidRPr="00144644">
        <w:t xml:space="preserve">minutes in an average day had higher odds </w:t>
      </w:r>
      <w:r>
        <w:t xml:space="preserve">(4.79 times higher) </w:t>
      </w:r>
      <w:r w:rsidRPr="00764B92">
        <w:t xml:space="preserve">of </w:t>
      </w:r>
      <w:r>
        <w:t>being a past year moderate-risk/problem</w:t>
      </w:r>
      <w:r w:rsidRPr="00764B92">
        <w:t xml:space="preserve"> gambl</w:t>
      </w:r>
      <w:r>
        <w:t xml:space="preserve">er, </w:t>
      </w:r>
      <w:r w:rsidRPr="00144644">
        <w:t xml:space="preserve">than Māori who did not gamble on pub EGMs.  This finding </w:t>
      </w:r>
      <w:r>
        <w:t>was also</w:t>
      </w:r>
      <w:r w:rsidRPr="00144644">
        <w:t xml:space="preserve"> noted for </w:t>
      </w:r>
      <w:r>
        <w:t xml:space="preserve">the total population though the risk (odds ratio) was </w:t>
      </w:r>
      <w:r w:rsidR="002C2F51">
        <w:t>higher for Māori</w:t>
      </w:r>
      <w:r>
        <w:t>.</w:t>
      </w:r>
    </w:p>
    <w:p w14:paraId="2E2DBE5F" w14:textId="77777777" w:rsidR="00A023BD" w:rsidRPr="00144644" w:rsidRDefault="00A023BD" w:rsidP="00A023BD">
      <w:pPr>
        <w:pStyle w:val="RepNormal"/>
      </w:pPr>
    </w:p>
    <w:p w14:paraId="2BED0965" w14:textId="77777777" w:rsidR="00A023BD" w:rsidRDefault="00A023BD" w:rsidP="00A023BD">
      <w:pPr>
        <w:pStyle w:val="RepNormal"/>
      </w:pPr>
      <w:r w:rsidRPr="004942DB">
        <w:t>Two methods for moderating gambling behaviour were associated with Māori</w:t>
      </w:r>
      <w:r>
        <w:t xml:space="preserve"> being past year moderate-risk/problem</w:t>
      </w:r>
      <w:r w:rsidRPr="00764B92">
        <w:t xml:space="preserve"> gambl</w:t>
      </w:r>
      <w:r>
        <w:t>ers versus being low-risk/non-problem/non-g</w:t>
      </w:r>
      <w:r w:rsidRPr="00A55E1D">
        <w:t>ambl</w:t>
      </w:r>
      <w:r>
        <w:t>ers</w:t>
      </w:r>
      <w:r w:rsidRPr="004942DB">
        <w:t>.  These were separating money for betting from other money and stopping when it is used, and leaving ATM and credit cards at home (</w:t>
      </w:r>
      <w:r>
        <w:t>3.75</w:t>
      </w:r>
      <w:r w:rsidRPr="004942DB">
        <w:t xml:space="preserve"> and </w:t>
      </w:r>
      <w:r>
        <w:t>3.13</w:t>
      </w:r>
      <w:r w:rsidRPr="004942DB">
        <w:t xml:space="preserve"> times higher, respectively).  </w:t>
      </w:r>
      <w:r>
        <w:t>F</w:t>
      </w:r>
      <w:r w:rsidRPr="004942DB">
        <w:t xml:space="preserve">or </w:t>
      </w:r>
      <w:r>
        <w:t>the total population, two methods for moderating gambling behaviour were also associated with being past year moderate-risk/problem</w:t>
      </w:r>
      <w:r w:rsidRPr="00764B92">
        <w:t xml:space="preserve"> gambl</w:t>
      </w:r>
      <w:r>
        <w:t>ers; however, leaving ATM/credit cards at home was the only associated moderating method for the total population and for Māori participants.</w:t>
      </w:r>
    </w:p>
    <w:p w14:paraId="3F8E3B16" w14:textId="77777777" w:rsidR="00A023BD" w:rsidRPr="004942DB" w:rsidRDefault="00A023BD" w:rsidP="00A023BD">
      <w:pPr>
        <w:pStyle w:val="RepNormal"/>
      </w:pPr>
    </w:p>
    <w:p w14:paraId="4E7D9B33" w14:textId="77777777" w:rsidR="00A023BD" w:rsidRPr="004942DB" w:rsidRDefault="00A023BD" w:rsidP="00A023BD">
      <w:pPr>
        <w:pStyle w:val="RepNormal"/>
      </w:pPr>
    </w:p>
    <w:p w14:paraId="43B7D60F" w14:textId="77777777" w:rsidR="00A023BD" w:rsidRPr="00FA2691" w:rsidRDefault="00A023BD" w:rsidP="00A023BD">
      <w:pPr>
        <w:pStyle w:val="RepNormal"/>
        <w:rPr>
          <w:u w:val="single"/>
        </w:rPr>
      </w:pPr>
      <w:r w:rsidRPr="00FA2691">
        <w:rPr>
          <w:u w:val="single"/>
        </w:rPr>
        <w:t xml:space="preserve">Variables associated with </w:t>
      </w:r>
      <w:r>
        <w:rPr>
          <w:u w:val="single"/>
        </w:rPr>
        <w:t>a lower</w:t>
      </w:r>
      <w:r w:rsidRPr="00FA2691">
        <w:rPr>
          <w:u w:val="single"/>
        </w:rPr>
        <w:t xml:space="preserve"> </w:t>
      </w:r>
      <w:r>
        <w:rPr>
          <w:u w:val="single"/>
        </w:rPr>
        <w:t>chance</w:t>
      </w:r>
      <w:r w:rsidRPr="00FA2691">
        <w:rPr>
          <w:u w:val="single"/>
        </w:rPr>
        <w:t xml:space="preserve"> of </w:t>
      </w:r>
      <w:r>
        <w:rPr>
          <w:u w:val="single"/>
        </w:rPr>
        <w:t>being a past year moderate-risk/problem</w:t>
      </w:r>
      <w:r w:rsidRPr="00FA2691">
        <w:rPr>
          <w:u w:val="single"/>
        </w:rPr>
        <w:t xml:space="preserve"> gambl</w:t>
      </w:r>
      <w:r>
        <w:rPr>
          <w:u w:val="single"/>
        </w:rPr>
        <w:t>er</w:t>
      </w:r>
      <w:r w:rsidRPr="00FA2691">
        <w:rPr>
          <w:u w:val="single"/>
        </w:rPr>
        <w:t xml:space="preserve"> </w:t>
      </w:r>
    </w:p>
    <w:p w14:paraId="7E9BD1D1" w14:textId="77777777" w:rsidR="00A023BD" w:rsidRDefault="00A023BD" w:rsidP="00A023BD">
      <w:pPr>
        <w:pStyle w:val="RepNormal"/>
        <w:rPr>
          <w:highlight w:val="lightGray"/>
        </w:rPr>
      </w:pPr>
    </w:p>
    <w:p w14:paraId="3ACD2CFF" w14:textId="77777777" w:rsidR="00A023BD" w:rsidRPr="00320388" w:rsidRDefault="00A023BD" w:rsidP="00A023BD">
      <w:pPr>
        <w:pStyle w:val="RepNormal"/>
      </w:pPr>
      <w:r>
        <w:t>There were no variables associated with lower likelihood of Māori being past year moderate-risk/problem</w:t>
      </w:r>
      <w:r w:rsidRPr="00764B92">
        <w:t xml:space="preserve"> gambl</w:t>
      </w:r>
      <w:r>
        <w:t>ers versus being low-risk/non-problem/non-g</w:t>
      </w:r>
      <w:r w:rsidRPr="00A55E1D">
        <w:t>ambl</w:t>
      </w:r>
      <w:r>
        <w:t>ers.</w:t>
      </w:r>
    </w:p>
    <w:p w14:paraId="6C440608" w14:textId="77777777" w:rsidR="00A023BD" w:rsidRPr="00320388" w:rsidRDefault="00A023BD" w:rsidP="00A023BD">
      <w:pPr>
        <w:pStyle w:val="RepNormal"/>
      </w:pPr>
    </w:p>
    <w:p w14:paraId="08A8411E" w14:textId="77777777" w:rsidR="00A023BD" w:rsidRDefault="00A023BD" w:rsidP="00A023BD">
      <w:pPr>
        <w:pStyle w:val="RepNormal"/>
      </w:pPr>
    </w:p>
    <w:p w14:paraId="39D6D811" w14:textId="77777777" w:rsidR="00A023BD" w:rsidRPr="006F0F2D" w:rsidRDefault="00A023BD" w:rsidP="00A023BD">
      <w:pPr>
        <w:pStyle w:val="RepHead3"/>
      </w:pPr>
      <w:bookmarkStart w:id="164" w:name="_Ref495670846"/>
      <w:bookmarkStart w:id="165" w:name="_Toc504488385"/>
      <w:r w:rsidRPr="006F0F2D">
        <w:t>Multiple logistic regression - Pacific people</w:t>
      </w:r>
      <w:bookmarkEnd w:id="164"/>
      <w:bookmarkEnd w:id="165"/>
    </w:p>
    <w:p w14:paraId="022BD88D" w14:textId="77777777" w:rsidR="00A023BD" w:rsidRPr="00A204FC" w:rsidRDefault="00A023BD" w:rsidP="00A023BD">
      <w:pPr>
        <w:pStyle w:val="RepNormal"/>
      </w:pPr>
    </w:p>
    <w:p w14:paraId="671F3A90" w14:textId="77777777" w:rsidR="00A023BD" w:rsidRPr="005C7F89" w:rsidRDefault="00A023BD" w:rsidP="00A023BD">
      <w:pPr>
        <w:pStyle w:val="RepNormal"/>
        <w:keepNext/>
      </w:pPr>
      <w:r>
        <w:t xml:space="preserve">Data are presented in </w:t>
      </w:r>
      <w:r>
        <w:fldChar w:fldCharType="begin"/>
      </w:r>
      <w:r>
        <w:instrText xml:space="preserve"> REF _Ref483392807 \h </w:instrText>
      </w:r>
      <w:r>
        <w:fldChar w:fldCharType="separate"/>
      </w:r>
      <w:r w:rsidR="00D5752E">
        <w:t xml:space="preserve">Table </w:t>
      </w:r>
      <w:r w:rsidR="00D5752E">
        <w:rPr>
          <w:noProof/>
        </w:rPr>
        <w:t>20</w:t>
      </w:r>
      <w:r>
        <w:fldChar w:fldCharType="end"/>
      </w:r>
      <w:r w:rsidRPr="00BF3771">
        <w:t>.</w:t>
      </w:r>
    </w:p>
    <w:p w14:paraId="3416A000" w14:textId="77777777" w:rsidR="00A023BD" w:rsidRDefault="00A023BD" w:rsidP="00A023BD">
      <w:pPr>
        <w:pStyle w:val="RepNormal"/>
      </w:pPr>
    </w:p>
    <w:p w14:paraId="6304E9E1" w14:textId="77777777" w:rsidR="00A023BD" w:rsidRDefault="00A023BD" w:rsidP="00A023BD">
      <w:pPr>
        <w:pStyle w:val="RepNormal"/>
      </w:pPr>
      <w:r w:rsidRPr="00CC0DD0">
        <w:t xml:space="preserve">Multiple logistic regression analyses for </w:t>
      </w:r>
      <w:r>
        <w:t>Pacific people</w:t>
      </w:r>
      <w:r w:rsidRPr="00CC0DD0">
        <w:t xml:space="preserve"> showed that </w:t>
      </w:r>
      <w:r>
        <w:t>there were some similarities, and some differences, from the total population in regard to associations with being a past year moderate-risk/problem</w:t>
      </w:r>
      <w:r w:rsidRPr="00764B92">
        <w:t xml:space="preserve"> gambl</w:t>
      </w:r>
      <w:r>
        <w:t>er versus being a low-risk/non-problem/non-g</w:t>
      </w:r>
      <w:r w:rsidRPr="00A55E1D">
        <w:t>ambl</w:t>
      </w:r>
      <w:r>
        <w:t>er.  As for Māori, psychological distress</w:t>
      </w:r>
      <w:r w:rsidRPr="00735871">
        <w:t xml:space="preserve"> and various gambling participation behaviours were significantly associated with </w:t>
      </w:r>
      <w:r>
        <w:t>Pacific people being past year moderate-risk/problem</w:t>
      </w:r>
      <w:r w:rsidRPr="00764B92">
        <w:t xml:space="preserve"> gambl</w:t>
      </w:r>
      <w:r>
        <w:t>ers</w:t>
      </w:r>
      <w:r w:rsidRPr="00735871">
        <w:t>.</w:t>
      </w:r>
    </w:p>
    <w:p w14:paraId="4E8D3A53" w14:textId="77777777" w:rsidR="00A023BD" w:rsidRPr="00320388" w:rsidRDefault="00A023BD" w:rsidP="00A023BD">
      <w:pPr>
        <w:pStyle w:val="RepNormal"/>
      </w:pPr>
    </w:p>
    <w:p w14:paraId="1B0356F9" w14:textId="77777777" w:rsidR="00A023BD" w:rsidRPr="00B01A26" w:rsidRDefault="00A023BD" w:rsidP="00A023BD">
      <w:pPr>
        <w:pStyle w:val="Caption"/>
        <w:keepNext/>
        <w:keepLines/>
        <w:jc w:val="both"/>
        <w:rPr>
          <w:sz w:val="22"/>
          <w:szCs w:val="22"/>
        </w:rPr>
      </w:pPr>
      <w:bookmarkStart w:id="166" w:name="_Ref483392807"/>
      <w:bookmarkStart w:id="167" w:name="_Toc504488445"/>
      <w:r>
        <w:t xml:space="preserve">Table </w:t>
      </w:r>
      <w:r w:rsidR="00D5752E">
        <w:fldChar w:fldCharType="begin"/>
      </w:r>
      <w:r w:rsidR="00D5752E">
        <w:instrText xml:space="preserve"> SEQ Table \* ARABIC </w:instrText>
      </w:r>
      <w:r w:rsidR="00D5752E">
        <w:fldChar w:fldCharType="separate"/>
      </w:r>
      <w:r w:rsidR="00D5752E">
        <w:rPr>
          <w:noProof/>
        </w:rPr>
        <w:t>20</w:t>
      </w:r>
      <w:r w:rsidR="00D5752E">
        <w:rPr>
          <w:noProof/>
        </w:rPr>
        <w:fldChar w:fldCharType="end"/>
      </w:r>
      <w:bookmarkEnd w:id="166"/>
      <w:r>
        <w:t xml:space="preserve">: Multiple logistic regression for </w:t>
      </w:r>
      <w:r w:rsidR="006F0F2D">
        <w:t xml:space="preserve">the chance of </w:t>
      </w:r>
      <w:r>
        <w:t>being a past year moderate-risk/problem gambler vs. being a low-risk/non-problem/non-gambler across Waves 1 to 4 - Pacific people</w:t>
      </w:r>
      <w:bookmarkEnd w:id="167"/>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992"/>
        <w:gridCol w:w="1276"/>
        <w:gridCol w:w="850"/>
      </w:tblGrid>
      <w:tr w:rsidR="00A023BD" w:rsidRPr="003F15C0" w14:paraId="68E7246B" w14:textId="77777777" w:rsidTr="00A023BD">
        <w:trPr>
          <w:tblHeader/>
        </w:trPr>
        <w:tc>
          <w:tcPr>
            <w:tcW w:w="5387" w:type="dxa"/>
            <w:tcBorders>
              <w:top w:val="single" w:sz="4" w:space="0" w:color="auto"/>
              <w:bottom w:val="single" w:sz="4" w:space="0" w:color="auto"/>
            </w:tcBorders>
            <w:vAlign w:val="bottom"/>
          </w:tcPr>
          <w:p w14:paraId="6A2C599C" w14:textId="77777777" w:rsidR="00A023BD" w:rsidRPr="003F15C0" w:rsidRDefault="00A023BD" w:rsidP="00A023BD">
            <w:pPr>
              <w:keepNext/>
              <w:keepLines/>
              <w:spacing w:before="20"/>
              <w:jc w:val="both"/>
              <w:rPr>
                <w:b/>
                <w:sz w:val="16"/>
                <w:szCs w:val="16"/>
              </w:rPr>
            </w:pPr>
            <w:r>
              <w:rPr>
                <w:b/>
                <w:sz w:val="16"/>
                <w:szCs w:val="16"/>
              </w:rPr>
              <w:t>Wave 1 v</w:t>
            </w:r>
            <w:r w:rsidRPr="003F15C0">
              <w:rPr>
                <w:b/>
                <w:sz w:val="16"/>
                <w:szCs w:val="16"/>
              </w:rPr>
              <w:t>ariable</w:t>
            </w:r>
          </w:p>
        </w:tc>
        <w:tc>
          <w:tcPr>
            <w:tcW w:w="992" w:type="dxa"/>
            <w:tcBorders>
              <w:top w:val="single" w:sz="4" w:space="0" w:color="auto"/>
              <w:bottom w:val="single" w:sz="4" w:space="0" w:color="auto"/>
            </w:tcBorders>
            <w:vAlign w:val="bottom"/>
          </w:tcPr>
          <w:p w14:paraId="427696A1" w14:textId="11DB2F1B" w:rsidR="00A023BD" w:rsidRPr="003F15C0" w:rsidRDefault="004B0286" w:rsidP="00A023BD">
            <w:pPr>
              <w:keepNext/>
              <w:keepLines/>
              <w:spacing w:before="20"/>
              <w:jc w:val="right"/>
              <w:rPr>
                <w:b/>
                <w:color w:val="000000"/>
                <w:sz w:val="16"/>
                <w:szCs w:val="16"/>
              </w:rPr>
            </w:pPr>
            <w:r>
              <w:rPr>
                <w:b/>
                <w:color w:val="000000"/>
                <w:sz w:val="16"/>
                <w:szCs w:val="16"/>
              </w:rPr>
              <w:t>Odds r</w:t>
            </w:r>
            <w:r w:rsidR="00A023BD" w:rsidRPr="003F15C0">
              <w:rPr>
                <w:b/>
                <w:color w:val="000000"/>
                <w:sz w:val="16"/>
                <w:szCs w:val="16"/>
              </w:rPr>
              <w:t>atio</w:t>
            </w:r>
          </w:p>
        </w:tc>
        <w:tc>
          <w:tcPr>
            <w:tcW w:w="1276" w:type="dxa"/>
            <w:tcBorders>
              <w:top w:val="single" w:sz="4" w:space="0" w:color="auto"/>
              <w:bottom w:val="single" w:sz="4" w:space="0" w:color="auto"/>
            </w:tcBorders>
            <w:vAlign w:val="bottom"/>
          </w:tcPr>
          <w:p w14:paraId="5A7D79F9" w14:textId="77777777" w:rsidR="00A023BD" w:rsidRPr="003F15C0" w:rsidRDefault="00A023BD" w:rsidP="00A023BD">
            <w:pPr>
              <w:keepNext/>
              <w:keepLines/>
              <w:spacing w:before="20"/>
              <w:jc w:val="right"/>
              <w:rPr>
                <w:b/>
                <w:color w:val="000000"/>
                <w:sz w:val="16"/>
                <w:szCs w:val="16"/>
              </w:rPr>
            </w:pPr>
            <w:r w:rsidRPr="003F15C0">
              <w:rPr>
                <w:b/>
                <w:color w:val="000000"/>
                <w:sz w:val="16"/>
                <w:szCs w:val="16"/>
              </w:rPr>
              <w:t>(95% CI)</w:t>
            </w:r>
          </w:p>
        </w:tc>
        <w:tc>
          <w:tcPr>
            <w:tcW w:w="850" w:type="dxa"/>
            <w:tcBorders>
              <w:top w:val="single" w:sz="4" w:space="0" w:color="auto"/>
              <w:bottom w:val="single" w:sz="4" w:space="0" w:color="auto"/>
            </w:tcBorders>
            <w:vAlign w:val="bottom"/>
          </w:tcPr>
          <w:p w14:paraId="1ABD3D58" w14:textId="77777777" w:rsidR="00A023BD" w:rsidRPr="003F15C0" w:rsidRDefault="00A023BD" w:rsidP="00A023BD">
            <w:pPr>
              <w:keepNext/>
              <w:keepLines/>
              <w:spacing w:before="20"/>
              <w:jc w:val="right"/>
              <w:rPr>
                <w:b/>
                <w:color w:val="000000"/>
                <w:sz w:val="16"/>
                <w:szCs w:val="16"/>
              </w:rPr>
            </w:pPr>
            <w:r w:rsidRPr="003F15C0">
              <w:rPr>
                <w:b/>
                <w:color w:val="000000"/>
                <w:sz w:val="16"/>
                <w:szCs w:val="16"/>
              </w:rPr>
              <w:t>p-value</w:t>
            </w:r>
          </w:p>
        </w:tc>
      </w:tr>
      <w:tr w:rsidR="00A023BD" w:rsidRPr="003F15C0" w14:paraId="0FB5D49C" w14:textId="77777777" w:rsidTr="00A023BD">
        <w:tc>
          <w:tcPr>
            <w:tcW w:w="5387" w:type="dxa"/>
            <w:shd w:val="clear" w:color="auto" w:fill="auto"/>
          </w:tcPr>
          <w:p w14:paraId="066D19B5" w14:textId="77777777" w:rsidR="00A023BD" w:rsidRPr="007C6C78" w:rsidRDefault="00A023BD" w:rsidP="00A023BD">
            <w:pPr>
              <w:keepNext/>
              <w:keepLines/>
              <w:spacing w:before="20"/>
              <w:jc w:val="both"/>
              <w:rPr>
                <w:b/>
                <w:sz w:val="16"/>
                <w:szCs w:val="16"/>
              </w:rPr>
            </w:pPr>
            <w:r w:rsidRPr="007C6C78">
              <w:rPr>
                <w:b/>
                <w:sz w:val="16"/>
                <w:szCs w:val="16"/>
              </w:rPr>
              <w:t>Psychological distress (Kessler-10)</w:t>
            </w:r>
          </w:p>
        </w:tc>
        <w:tc>
          <w:tcPr>
            <w:tcW w:w="992" w:type="dxa"/>
            <w:shd w:val="clear" w:color="auto" w:fill="auto"/>
            <w:vAlign w:val="center"/>
          </w:tcPr>
          <w:p w14:paraId="227FD965" w14:textId="77777777" w:rsidR="00A023BD" w:rsidRPr="00DF4034" w:rsidRDefault="00A023BD" w:rsidP="00A023BD">
            <w:pPr>
              <w:keepNext/>
              <w:keepLines/>
              <w:jc w:val="right"/>
              <w:rPr>
                <w:color w:val="000000"/>
                <w:sz w:val="16"/>
                <w:szCs w:val="16"/>
                <w:lang w:eastAsia="en-NZ"/>
              </w:rPr>
            </w:pPr>
          </w:p>
        </w:tc>
        <w:tc>
          <w:tcPr>
            <w:tcW w:w="1276" w:type="dxa"/>
            <w:shd w:val="clear" w:color="auto" w:fill="auto"/>
            <w:vAlign w:val="center"/>
          </w:tcPr>
          <w:p w14:paraId="1DC3CAB7" w14:textId="77777777" w:rsidR="00A023BD" w:rsidRPr="00DF4034" w:rsidRDefault="00A023BD" w:rsidP="00A023BD">
            <w:pPr>
              <w:keepNext/>
              <w:keepLines/>
              <w:jc w:val="right"/>
              <w:rPr>
                <w:color w:val="000000"/>
                <w:sz w:val="16"/>
                <w:szCs w:val="16"/>
                <w:lang w:eastAsia="en-NZ"/>
              </w:rPr>
            </w:pPr>
          </w:p>
        </w:tc>
        <w:tc>
          <w:tcPr>
            <w:tcW w:w="850" w:type="dxa"/>
            <w:shd w:val="clear" w:color="auto" w:fill="auto"/>
            <w:vAlign w:val="center"/>
          </w:tcPr>
          <w:p w14:paraId="7B448BD8" w14:textId="77777777" w:rsidR="00A023BD" w:rsidRPr="00DF4034" w:rsidRDefault="00A023BD" w:rsidP="00A023BD">
            <w:pPr>
              <w:keepNext/>
              <w:keepLines/>
              <w:jc w:val="right"/>
              <w:rPr>
                <w:color w:val="000000"/>
                <w:sz w:val="16"/>
                <w:szCs w:val="16"/>
                <w:lang w:eastAsia="en-NZ"/>
              </w:rPr>
            </w:pPr>
          </w:p>
        </w:tc>
      </w:tr>
      <w:tr w:rsidR="00A023BD" w:rsidRPr="003F15C0" w14:paraId="23588C4D" w14:textId="77777777" w:rsidTr="00A023BD">
        <w:tc>
          <w:tcPr>
            <w:tcW w:w="5387" w:type="dxa"/>
            <w:shd w:val="clear" w:color="auto" w:fill="auto"/>
            <w:vAlign w:val="bottom"/>
          </w:tcPr>
          <w:p w14:paraId="4DAA10F4" w14:textId="77777777" w:rsidR="00A023BD" w:rsidRPr="007C6C78" w:rsidRDefault="00A023BD" w:rsidP="00A023BD">
            <w:pPr>
              <w:keepNext/>
              <w:keepLines/>
              <w:spacing w:before="20"/>
              <w:ind w:left="176"/>
              <w:jc w:val="both"/>
              <w:rPr>
                <w:sz w:val="16"/>
                <w:szCs w:val="16"/>
              </w:rPr>
            </w:pPr>
            <w:r>
              <w:rPr>
                <w:sz w:val="16"/>
                <w:szCs w:val="16"/>
              </w:rPr>
              <w:t xml:space="preserve">Low (Score </w:t>
            </w:r>
            <w:r w:rsidRPr="007C6C78">
              <w:rPr>
                <w:sz w:val="16"/>
                <w:szCs w:val="16"/>
              </w:rPr>
              <w:t>0</w:t>
            </w:r>
            <w:r>
              <w:rPr>
                <w:sz w:val="16"/>
                <w:szCs w:val="16"/>
              </w:rPr>
              <w:t xml:space="preserve"> </w:t>
            </w:r>
            <w:r w:rsidRPr="007C6C78">
              <w:rPr>
                <w:sz w:val="16"/>
                <w:szCs w:val="16"/>
              </w:rPr>
              <w:t>-</w:t>
            </w:r>
            <w:r>
              <w:rPr>
                <w:sz w:val="16"/>
                <w:szCs w:val="16"/>
              </w:rPr>
              <w:t xml:space="preserve"> </w:t>
            </w:r>
            <w:r w:rsidRPr="007C6C78">
              <w:rPr>
                <w:sz w:val="16"/>
                <w:szCs w:val="16"/>
              </w:rPr>
              <w:t>5</w:t>
            </w:r>
            <w:r>
              <w:rPr>
                <w:sz w:val="16"/>
                <w:szCs w:val="16"/>
              </w:rPr>
              <w:t>)</w:t>
            </w:r>
          </w:p>
        </w:tc>
        <w:tc>
          <w:tcPr>
            <w:tcW w:w="992" w:type="dxa"/>
            <w:shd w:val="clear" w:color="auto" w:fill="auto"/>
            <w:vAlign w:val="bottom"/>
          </w:tcPr>
          <w:p w14:paraId="105947E5"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1.00</w:t>
            </w:r>
          </w:p>
        </w:tc>
        <w:tc>
          <w:tcPr>
            <w:tcW w:w="1276" w:type="dxa"/>
            <w:shd w:val="clear" w:color="auto" w:fill="auto"/>
            <w:vAlign w:val="bottom"/>
          </w:tcPr>
          <w:p w14:paraId="4C27DB35" w14:textId="77777777" w:rsidR="00A023BD" w:rsidRPr="001E0372" w:rsidRDefault="00A023BD" w:rsidP="00A023BD">
            <w:pPr>
              <w:keepNext/>
              <w:keepLines/>
              <w:jc w:val="right"/>
              <w:rPr>
                <w:color w:val="000000"/>
                <w:sz w:val="16"/>
                <w:szCs w:val="16"/>
                <w:lang w:eastAsia="en-NZ"/>
              </w:rPr>
            </w:pPr>
          </w:p>
        </w:tc>
        <w:tc>
          <w:tcPr>
            <w:tcW w:w="850" w:type="dxa"/>
            <w:shd w:val="clear" w:color="auto" w:fill="auto"/>
            <w:vAlign w:val="bottom"/>
          </w:tcPr>
          <w:p w14:paraId="301150E1" w14:textId="77777777" w:rsidR="00A023BD" w:rsidRPr="001E0372" w:rsidRDefault="00A023BD" w:rsidP="00A023BD">
            <w:pPr>
              <w:keepNext/>
              <w:keepLines/>
              <w:jc w:val="right"/>
              <w:rPr>
                <w:color w:val="000000"/>
                <w:sz w:val="16"/>
                <w:szCs w:val="16"/>
                <w:lang w:eastAsia="en-NZ"/>
              </w:rPr>
            </w:pPr>
          </w:p>
        </w:tc>
      </w:tr>
      <w:tr w:rsidR="00A023BD" w:rsidRPr="003F15C0" w14:paraId="42380197" w14:textId="77777777" w:rsidTr="00A023BD">
        <w:tc>
          <w:tcPr>
            <w:tcW w:w="5387" w:type="dxa"/>
            <w:shd w:val="clear" w:color="auto" w:fill="auto"/>
            <w:vAlign w:val="bottom"/>
          </w:tcPr>
          <w:p w14:paraId="170B212B" w14:textId="77777777" w:rsidR="00A023BD" w:rsidRPr="007C6C78" w:rsidRDefault="00A023BD" w:rsidP="00A023BD">
            <w:pPr>
              <w:keepNext/>
              <w:keepLines/>
              <w:spacing w:before="20"/>
              <w:ind w:left="176"/>
              <w:jc w:val="both"/>
              <w:rPr>
                <w:sz w:val="16"/>
                <w:szCs w:val="16"/>
              </w:rPr>
            </w:pPr>
            <w:r>
              <w:rPr>
                <w:sz w:val="16"/>
                <w:szCs w:val="16"/>
              </w:rPr>
              <w:t xml:space="preserve">Moderate (Score </w:t>
            </w:r>
            <w:r w:rsidRPr="007C6C78">
              <w:rPr>
                <w:sz w:val="16"/>
                <w:szCs w:val="16"/>
              </w:rPr>
              <w:t>6</w:t>
            </w:r>
            <w:r>
              <w:rPr>
                <w:sz w:val="16"/>
                <w:szCs w:val="16"/>
              </w:rPr>
              <w:t xml:space="preserve"> </w:t>
            </w:r>
            <w:r w:rsidRPr="007C6C78">
              <w:rPr>
                <w:sz w:val="16"/>
                <w:szCs w:val="16"/>
              </w:rPr>
              <w:t>-</w:t>
            </w:r>
            <w:r>
              <w:rPr>
                <w:sz w:val="16"/>
                <w:szCs w:val="16"/>
              </w:rPr>
              <w:t xml:space="preserve"> </w:t>
            </w:r>
            <w:r w:rsidRPr="007C6C78">
              <w:rPr>
                <w:sz w:val="16"/>
                <w:szCs w:val="16"/>
              </w:rPr>
              <w:t>11</w:t>
            </w:r>
            <w:r>
              <w:rPr>
                <w:sz w:val="16"/>
                <w:szCs w:val="16"/>
              </w:rPr>
              <w:t>)</w:t>
            </w:r>
          </w:p>
        </w:tc>
        <w:tc>
          <w:tcPr>
            <w:tcW w:w="992" w:type="dxa"/>
            <w:shd w:val="clear" w:color="auto" w:fill="auto"/>
            <w:vAlign w:val="bottom"/>
          </w:tcPr>
          <w:p w14:paraId="21043521"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1.87</w:t>
            </w:r>
          </w:p>
        </w:tc>
        <w:tc>
          <w:tcPr>
            <w:tcW w:w="1276" w:type="dxa"/>
            <w:shd w:val="clear" w:color="auto" w:fill="auto"/>
            <w:vAlign w:val="bottom"/>
          </w:tcPr>
          <w:p w14:paraId="397709E8"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(0.69, 5.05)</w:t>
            </w:r>
          </w:p>
        </w:tc>
        <w:tc>
          <w:tcPr>
            <w:tcW w:w="850" w:type="dxa"/>
            <w:shd w:val="clear" w:color="auto" w:fill="auto"/>
            <w:vAlign w:val="bottom"/>
          </w:tcPr>
          <w:p w14:paraId="26C3D7BC" w14:textId="77777777" w:rsidR="00A023BD" w:rsidRPr="001E0372" w:rsidRDefault="00A023BD" w:rsidP="00A023BD">
            <w:pPr>
              <w:keepNext/>
              <w:keepLines/>
              <w:jc w:val="right"/>
              <w:rPr>
                <w:color w:val="000000"/>
                <w:sz w:val="16"/>
                <w:szCs w:val="16"/>
                <w:lang w:eastAsia="en-NZ"/>
              </w:rPr>
            </w:pPr>
          </w:p>
        </w:tc>
      </w:tr>
      <w:tr w:rsidR="00A023BD" w:rsidRPr="003F15C0" w14:paraId="3C464ECC" w14:textId="77777777" w:rsidTr="00A023BD">
        <w:tc>
          <w:tcPr>
            <w:tcW w:w="5387" w:type="dxa"/>
            <w:shd w:val="clear" w:color="auto" w:fill="auto"/>
            <w:vAlign w:val="bottom"/>
          </w:tcPr>
          <w:p w14:paraId="79A1E3D4" w14:textId="77777777" w:rsidR="00A023BD" w:rsidRPr="007C6C78" w:rsidRDefault="00A023BD" w:rsidP="00A023BD">
            <w:pPr>
              <w:keepNext/>
              <w:keepLines/>
              <w:spacing w:before="20"/>
              <w:ind w:left="176"/>
              <w:jc w:val="both"/>
              <w:rPr>
                <w:sz w:val="16"/>
                <w:szCs w:val="16"/>
              </w:rPr>
            </w:pPr>
            <w:r>
              <w:rPr>
                <w:sz w:val="16"/>
                <w:szCs w:val="16"/>
              </w:rPr>
              <w:t xml:space="preserve">High (Score </w:t>
            </w:r>
            <w:r w:rsidRPr="007C6C78">
              <w:rPr>
                <w:sz w:val="16"/>
                <w:szCs w:val="16"/>
              </w:rPr>
              <w:t>12</w:t>
            </w:r>
            <w:r>
              <w:rPr>
                <w:sz w:val="16"/>
                <w:szCs w:val="16"/>
              </w:rPr>
              <w:t xml:space="preserve"> </w:t>
            </w:r>
            <w:r w:rsidRPr="007C6C78">
              <w:rPr>
                <w:sz w:val="16"/>
                <w:szCs w:val="16"/>
              </w:rPr>
              <w:t>-</w:t>
            </w:r>
            <w:r>
              <w:rPr>
                <w:sz w:val="16"/>
                <w:szCs w:val="16"/>
              </w:rPr>
              <w:t xml:space="preserve"> </w:t>
            </w:r>
            <w:r w:rsidRPr="007C6C78">
              <w:rPr>
                <w:sz w:val="16"/>
                <w:szCs w:val="16"/>
              </w:rPr>
              <w:t>19</w:t>
            </w:r>
            <w:r>
              <w:rPr>
                <w:sz w:val="16"/>
                <w:szCs w:val="16"/>
              </w:rPr>
              <w:t>)</w:t>
            </w:r>
          </w:p>
        </w:tc>
        <w:tc>
          <w:tcPr>
            <w:tcW w:w="992" w:type="dxa"/>
            <w:shd w:val="clear" w:color="auto" w:fill="auto"/>
            <w:vAlign w:val="bottom"/>
          </w:tcPr>
          <w:p w14:paraId="52AE4462"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9.46</w:t>
            </w:r>
          </w:p>
        </w:tc>
        <w:tc>
          <w:tcPr>
            <w:tcW w:w="1276" w:type="dxa"/>
            <w:shd w:val="clear" w:color="auto" w:fill="auto"/>
            <w:vAlign w:val="bottom"/>
          </w:tcPr>
          <w:p w14:paraId="028253EC"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(2.71, 33.05)</w:t>
            </w:r>
          </w:p>
        </w:tc>
        <w:tc>
          <w:tcPr>
            <w:tcW w:w="850" w:type="dxa"/>
            <w:shd w:val="clear" w:color="auto" w:fill="auto"/>
            <w:vAlign w:val="bottom"/>
          </w:tcPr>
          <w:p w14:paraId="5CDA42EC" w14:textId="77777777" w:rsidR="00A023BD" w:rsidRPr="001E0372" w:rsidRDefault="00A023BD" w:rsidP="00A023BD">
            <w:pPr>
              <w:keepNext/>
              <w:keepLines/>
              <w:jc w:val="right"/>
              <w:rPr>
                <w:color w:val="000000"/>
                <w:sz w:val="16"/>
                <w:szCs w:val="16"/>
                <w:lang w:eastAsia="en-NZ"/>
              </w:rPr>
            </w:pPr>
          </w:p>
        </w:tc>
      </w:tr>
      <w:tr w:rsidR="00A023BD" w:rsidRPr="003F15C0" w14:paraId="56E2D5AB" w14:textId="77777777" w:rsidTr="00326B55">
        <w:tc>
          <w:tcPr>
            <w:tcW w:w="5387" w:type="dxa"/>
            <w:shd w:val="clear" w:color="auto" w:fill="auto"/>
            <w:vAlign w:val="bottom"/>
          </w:tcPr>
          <w:p w14:paraId="7049CAA3" w14:textId="77777777" w:rsidR="00A023BD" w:rsidRPr="007C6C78" w:rsidRDefault="00A023BD" w:rsidP="00A023BD">
            <w:pPr>
              <w:keepNext/>
              <w:keepLines/>
              <w:spacing w:before="20"/>
              <w:ind w:left="176"/>
              <w:jc w:val="both"/>
              <w:rPr>
                <w:sz w:val="16"/>
                <w:szCs w:val="16"/>
              </w:rPr>
            </w:pPr>
            <w:r>
              <w:rPr>
                <w:sz w:val="16"/>
                <w:szCs w:val="16"/>
              </w:rPr>
              <w:t xml:space="preserve">Severe (Score </w:t>
            </w:r>
            <w:r w:rsidRPr="007C6C78">
              <w:rPr>
                <w:sz w:val="16"/>
                <w:szCs w:val="16"/>
              </w:rPr>
              <w:t>20</w:t>
            </w:r>
            <w:r>
              <w:rPr>
                <w:sz w:val="16"/>
                <w:szCs w:val="16"/>
              </w:rPr>
              <w:t xml:space="preserve"> </w:t>
            </w:r>
            <w:r w:rsidRPr="007C6C78">
              <w:rPr>
                <w:sz w:val="16"/>
                <w:szCs w:val="16"/>
              </w:rPr>
              <w:t>-</w:t>
            </w:r>
            <w:r>
              <w:rPr>
                <w:sz w:val="16"/>
                <w:szCs w:val="16"/>
              </w:rPr>
              <w:t xml:space="preserve"> </w:t>
            </w:r>
            <w:r w:rsidRPr="007C6C78">
              <w:rPr>
                <w:sz w:val="16"/>
                <w:szCs w:val="16"/>
              </w:rPr>
              <w:t>40</w:t>
            </w:r>
            <w:r>
              <w:rPr>
                <w:sz w:val="16"/>
                <w:szCs w:val="16"/>
              </w:rPr>
              <w:t>)</w:t>
            </w:r>
          </w:p>
        </w:tc>
        <w:tc>
          <w:tcPr>
            <w:tcW w:w="992" w:type="dxa"/>
            <w:shd w:val="clear" w:color="auto" w:fill="auto"/>
            <w:vAlign w:val="bottom"/>
          </w:tcPr>
          <w:p w14:paraId="59EFC9F2"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1.17</w:t>
            </w:r>
          </w:p>
        </w:tc>
        <w:tc>
          <w:tcPr>
            <w:tcW w:w="1276" w:type="dxa"/>
            <w:shd w:val="clear" w:color="auto" w:fill="auto"/>
            <w:vAlign w:val="bottom"/>
          </w:tcPr>
          <w:p w14:paraId="5F233722"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(0.49, 2.77)</w:t>
            </w:r>
          </w:p>
        </w:tc>
        <w:tc>
          <w:tcPr>
            <w:tcW w:w="850" w:type="dxa"/>
            <w:shd w:val="clear" w:color="auto" w:fill="auto"/>
            <w:vAlign w:val="bottom"/>
          </w:tcPr>
          <w:p w14:paraId="6506F49B"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0.005</w:t>
            </w:r>
          </w:p>
        </w:tc>
      </w:tr>
      <w:tr w:rsidR="00A023BD" w:rsidRPr="001A61F1" w14:paraId="09B35153" w14:textId="77777777" w:rsidTr="00A023BD">
        <w:tc>
          <w:tcPr>
            <w:tcW w:w="5387" w:type="dxa"/>
            <w:vAlign w:val="bottom"/>
          </w:tcPr>
          <w:p w14:paraId="572BE885" w14:textId="77777777" w:rsidR="00A023BD" w:rsidRPr="003F15C0" w:rsidRDefault="00A023BD" w:rsidP="00A023BD">
            <w:pPr>
              <w:keepNext/>
              <w:spacing w:before="20"/>
              <w:jc w:val="both"/>
              <w:rPr>
                <w:b/>
                <w:sz w:val="16"/>
                <w:szCs w:val="16"/>
              </w:rPr>
            </w:pPr>
            <w:r w:rsidRPr="003F15C0">
              <w:rPr>
                <w:b/>
                <w:sz w:val="16"/>
                <w:szCs w:val="16"/>
              </w:rPr>
              <w:t>Gambling frequency</w:t>
            </w:r>
          </w:p>
        </w:tc>
        <w:tc>
          <w:tcPr>
            <w:tcW w:w="992" w:type="dxa"/>
            <w:shd w:val="clear" w:color="auto" w:fill="auto"/>
            <w:vAlign w:val="bottom"/>
          </w:tcPr>
          <w:p w14:paraId="4A8429A1" w14:textId="77777777" w:rsidR="00A023BD" w:rsidRPr="007B750E" w:rsidRDefault="00A023BD" w:rsidP="00A023BD">
            <w:pPr>
              <w:keepNext/>
              <w:keepLines/>
              <w:jc w:val="right"/>
              <w:rPr>
                <w:color w:val="000000"/>
                <w:sz w:val="16"/>
                <w:szCs w:val="16"/>
                <w:lang w:eastAsia="en-NZ"/>
              </w:rPr>
            </w:pPr>
          </w:p>
        </w:tc>
        <w:tc>
          <w:tcPr>
            <w:tcW w:w="1276" w:type="dxa"/>
            <w:shd w:val="clear" w:color="auto" w:fill="auto"/>
            <w:vAlign w:val="bottom"/>
          </w:tcPr>
          <w:p w14:paraId="4B3DF43B" w14:textId="77777777" w:rsidR="00A023BD" w:rsidRPr="007B750E" w:rsidRDefault="00A023BD" w:rsidP="00A023BD">
            <w:pPr>
              <w:keepNext/>
              <w:keepLines/>
              <w:jc w:val="right"/>
              <w:rPr>
                <w:color w:val="000000"/>
                <w:sz w:val="16"/>
                <w:szCs w:val="16"/>
                <w:lang w:eastAsia="en-NZ"/>
              </w:rPr>
            </w:pPr>
          </w:p>
        </w:tc>
        <w:tc>
          <w:tcPr>
            <w:tcW w:w="850" w:type="dxa"/>
            <w:shd w:val="clear" w:color="auto" w:fill="auto"/>
            <w:vAlign w:val="bottom"/>
          </w:tcPr>
          <w:p w14:paraId="22CF671C" w14:textId="77777777" w:rsidR="00A023BD" w:rsidRPr="007B750E" w:rsidRDefault="00A023BD" w:rsidP="00A023BD">
            <w:pPr>
              <w:keepNext/>
              <w:keepLines/>
              <w:jc w:val="right"/>
              <w:rPr>
                <w:color w:val="000000"/>
                <w:sz w:val="16"/>
                <w:szCs w:val="16"/>
                <w:lang w:eastAsia="en-NZ"/>
              </w:rPr>
            </w:pPr>
          </w:p>
        </w:tc>
      </w:tr>
      <w:tr w:rsidR="00A023BD" w:rsidRPr="001A61F1" w14:paraId="0A03E0D9" w14:textId="77777777" w:rsidTr="00A023BD">
        <w:tc>
          <w:tcPr>
            <w:tcW w:w="5387" w:type="dxa"/>
          </w:tcPr>
          <w:p w14:paraId="3F43A0D0" w14:textId="77777777" w:rsidR="00A023BD" w:rsidRPr="003F15C0" w:rsidRDefault="00A023BD" w:rsidP="00A023BD">
            <w:pPr>
              <w:keepNext/>
              <w:spacing w:before="20"/>
              <w:ind w:left="176"/>
              <w:jc w:val="both"/>
              <w:rPr>
                <w:sz w:val="16"/>
                <w:szCs w:val="16"/>
              </w:rPr>
            </w:pPr>
            <w:r w:rsidRPr="003F15C0">
              <w:rPr>
                <w:sz w:val="16"/>
                <w:szCs w:val="16"/>
              </w:rPr>
              <w:t xml:space="preserve">At least once in past year </w:t>
            </w:r>
          </w:p>
        </w:tc>
        <w:tc>
          <w:tcPr>
            <w:tcW w:w="992" w:type="dxa"/>
            <w:shd w:val="clear" w:color="auto" w:fill="auto"/>
            <w:vAlign w:val="bottom"/>
          </w:tcPr>
          <w:p w14:paraId="207D263A"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1.00</w:t>
            </w:r>
          </w:p>
        </w:tc>
        <w:tc>
          <w:tcPr>
            <w:tcW w:w="1276" w:type="dxa"/>
            <w:shd w:val="clear" w:color="auto" w:fill="auto"/>
            <w:vAlign w:val="bottom"/>
          </w:tcPr>
          <w:p w14:paraId="7C3050AA" w14:textId="77777777" w:rsidR="00A023BD" w:rsidRPr="001E0372" w:rsidRDefault="00A023BD" w:rsidP="00A023BD">
            <w:pPr>
              <w:keepNext/>
              <w:keepLines/>
              <w:jc w:val="right"/>
              <w:rPr>
                <w:color w:val="000000"/>
                <w:sz w:val="16"/>
                <w:szCs w:val="16"/>
                <w:lang w:eastAsia="en-NZ"/>
              </w:rPr>
            </w:pPr>
          </w:p>
        </w:tc>
        <w:tc>
          <w:tcPr>
            <w:tcW w:w="850" w:type="dxa"/>
            <w:shd w:val="clear" w:color="auto" w:fill="auto"/>
            <w:vAlign w:val="bottom"/>
          </w:tcPr>
          <w:p w14:paraId="6493828A" w14:textId="77777777" w:rsidR="00A023BD" w:rsidRPr="001E0372" w:rsidRDefault="00A023BD" w:rsidP="00A023BD">
            <w:pPr>
              <w:keepNext/>
              <w:keepLines/>
              <w:jc w:val="right"/>
              <w:rPr>
                <w:color w:val="000000"/>
                <w:sz w:val="16"/>
                <w:szCs w:val="16"/>
                <w:lang w:eastAsia="en-NZ"/>
              </w:rPr>
            </w:pPr>
          </w:p>
        </w:tc>
      </w:tr>
      <w:tr w:rsidR="00A023BD" w:rsidRPr="001A61F1" w14:paraId="7A1B11F9" w14:textId="77777777" w:rsidTr="00A023BD">
        <w:tc>
          <w:tcPr>
            <w:tcW w:w="5387" w:type="dxa"/>
          </w:tcPr>
          <w:p w14:paraId="51D589D9" w14:textId="77777777" w:rsidR="00A023BD" w:rsidRPr="003F15C0" w:rsidRDefault="00A023BD" w:rsidP="00A023BD">
            <w:pPr>
              <w:keepNext/>
              <w:spacing w:before="20"/>
              <w:ind w:left="176"/>
              <w:jc w:val="both"/>
              <w:rPr>
                <w:sz w:val="16"/>
                <w:szCs w:val="16"/>
              </w:rPr>
            </w:pPr>
            <w:r w:rsidRPr="003F15C0">
              <w:rPr>
                <w:sz w:val="16"/>
                <w:szCs w:val="16"/>
              </w:rPr>
              <w:t>At least monthly</w:t>
            </w:r>
          </w:p>
        </w:tc>
        <w:tc>
          <w:tcPr>
            <w:tcW w:w="992" w:type="dxa"/>
            <w:shd w:val="clear" w:color="auto" w:fill="auto"/>
            <w:vAlign w:val="bottom"/>
          </w:tcPr>
          <w:p w14:paraId="08161956"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1.38</w:t>
            </w:r>
          </w:p>
        </w:tc>
        <w:tc>
          <w:tcPr>
            <w:tcW w:w="1276" w:type="dxa"/>
            <w:shd w:val="clear" w:color="auto" w:fill="auto"/>
            <w:vAlign w:val="bottom"/>
          </w:tcPr>
          <w:p w14:paraId="52D6A101"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(0.52, 3.65)</w:t>
            </w:r>
          </w:p>
        </w:tc>
        <w:tc>
          <w:tcPr>
            <w:tcW w:w="850" w:type="dxa"/>
            <w:shd w:val="clear" w:color="auto" w:fill="auto"/>
            <w:vAlign w:val="bottom"/>
          </w:tcPr>
          <w:p w14:paraId="0EEB7603" w14:textId="77777777" w:rsidR="00A023BD" w:rsidRPr="001E0372" w:rsidRDefault="00A023BD" w:rsidP="00A023BD">
            <w:pPr>
              <w:keepNext/>
              <w:keepLines/>
              <w:jc w:val="right"/>
              <w:rPr>
                <w:color w:val="000000"/>
                <w:sz w:val="16"/>
                <w:szCs w:val="16"/>
                <w:lang w:eastAsia="en-NZ"/>
              </w:rPr>
            </w:pPr>
          </w:p>
        </w:tc>
      </w:tr>
      <w:tr w:rsidR="00A023BD" w:rsidRPr="001A61F1" w14:paraId="3C5E0D76" w14:textId="77777777" w:rsidTr="00326B55">
        <w:tc>
          <w:tcPr>
            <w:tcW w:w="5387" w:type="dxa"/>
          </w:tcPr>
          <w:p w14:paraId="7B8D8932" w14:textId="77777777" w:rsidR="00A023BD" w:rsidRPr="003F15C0" w:rsidRDefault="00A023BD" w:rsidP="00A023BD">
            <w:pPr>
              <w:keepNext/>
              <w:spacing w:before="20"/>
              <w:ind w:left="176"/>
              <w:jc w:val="both"/>
              <w:rPr>
                <w:sz w:val="16"/>
                <w:szCs w:val="16"/>
              </w:rPr>
            </w:pPr>
            <w:r w:rsidRPr="003F15C0">
              <w:rPr>
                <w:sz w:val="16"/>
                <w:szCs w:val="16"/>
              </w:rPr>
              <w:t>At least weekly</w:t>
            </w:r>
          </w:p>
        </w:tc>
        <w:tc>
          <w:tcPr>
            <w:tcW w:w="992" w:type="dxa"/>
            <w:shd w:val="clear" w:color="auto" w:fill="auto"/>
            <w:vAlign w:val="bottom"/>
          </w:tcPr>
          <w:p w14:paraId="7FD53A39"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3.43</w:t>
            </w:r>
          </w:p>
        </w:tc>
        <w:tc>
          <w:tcPr>
            <w:tcW w:w="1276" w:type="dxa"/>
            <w:shd w:val="clear" w:color="auto" w:fill="auto"/>
            <w:vAlign w:val="bottom"/>
          </w:tcPr>
          <w:p w14:paraId="32278EAD"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(1.42, 8.30)</w:t>
            </w:r>
          </w:p>
        </w:tc>
        <w:tc>
          <w:tcPr>
            <w:tcW w:w="850" w:type="dxa"/>
            <w:shd w:val="clear" w:color="auto" w:fill="auto"/>
            <w:vAlign w:val="bottom"/>
          </w:tcPr>
          <w:p w14:paraId="329940F7"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0.007</w:t>
            </w:r>
          </w:p>
        </w:tc>
      </w:tr>
      <w:tr w:rsidR="00A023BD" w:rsidRPr="001A61F1" w14:paraId="181B3038" w14:textId="77777777" w:rsidTr="00A023BD">
        <w:tc>
          <w:tcPr>
            <w:tcW w:w="5387" w:type="dxa"/>
            <w:vAlign w:val="bottom"/>
          </w:tcPr>
          <w:p w14:paraId="7F373783" w14:textId="77777777" w:rsidR="00A023BD" w:rsidRPr="003F15C0" w:rsidRDefault="00A023BD" w:rsidP="00A023BD">
            <w:pPr>
              <w:keepNext/>
              <w:spacing w:before="20"/>
              <w:jc w:val="both"/>
              <w:rPr>
                <w:b/>
                <w:sz w:val="16"/>
                <w:szCs w:val="16"/>
              </w:rPr>
            </w:pPr>
            <w:r>
              <w:rPr>
                <w:b/>
                <w:sz w:val="16"/>
                <w:szCs w:val="16"/>
              </w:rPr>
              <w:t>EGMs overall</w:t>
            </w:r>
            <w:r w:rsidRPr="003F15C0">
              <w:rPr>
                <w:b/>
                <w:sz w:val="16"/>
                <w:szCs w:val="16"/>
              </w:rPr>
              <w:t xml:space="preserve"> - </w:t>
            </w:r>
            <w:r>
              <w:rPr>
                <w:b/>
                <w:sz w:val="16"/>
                <w:szCs w:val="16"/>
              </w:rPr>
              <w:t>annuall</w:t>
            </w:r>
            <w:r w:rsidRPr="003F15C0">
              <w:rPr>
                <w:b/>
                <w:sz w:val="16"/>
                <w:szCs w:val="16"/>
              </w:rPr>
              <w:t>y</w:t>
            </w:r>
          </w:p>
        </w:tc>
        <w:tc>
          <w:tcPr>
            <w:tcW w:w="992" w:type="dxa"/>
            <w:shd w:val="clear" w:color="auto" w:fill="auto"/>
            <w:vAlign w:val="bottom"/>
          </w:tcPr>
          <w:p w14:paraId="0459A005" w14:textId="77777777" w:rsidR="00A023BD" w:rsidRPr="007B750E" w:rsidRDefault="00A023BD" w:rsidP="00A023BD">
            <w:pPr>
              <w:keepNext/>
              <w:keepLines/>
              <w:jc w:val="right"/>
              <w:rPr>
                <w:color w:val="000000"/>
                <w:sz w:val="16"/>
                <w:szCs w:val="16"/>
                <w:lang w:eastAsia="en-NZ"/>
              </w:rPr>
            </w:pPr>
          </w:p>
        </w:tc>
        <w:tc>
          <w:tcPr>
            <w:tcW w:w="1276" w:type="dxa"/>
            <w:shd w:val="clear" w:color="auto" w:fill="auto"/>
            <w:vAlign w:val="bottom"/>
          </w:tcPr>
          <w:p w14:paraId="7D5C8401" w14:textId="77777777" w:rsidR="00A023BD" w:rsidRPr="007B750E" w:rsidRDefault="00A023BD" w:rsidP="00A023BD">
            <w:pPr>
              <w:keepNext/>
              <w:keepLines/>
              <w:jc w:val="right"/>
              <w:rPr>
                <w:color w:val="000000"/>
                <w:sz w:val="16"/>
                <w:szCs w:val="16"/>
                <w:lang w:eastAsia="en-NZ"/>
              </w:rPr>
            </w:pPr>
          </w:p>
        </w:tc>
        <w:tc>
          <w:tcPr>
            <w:tcW w:w="850" w:type="dxa"/>
            <w:shd w:val="clear" w:color="auto" w:fill="auto"/>
            <w:vAlign w:val="bottom"/>
          </w:tcPr>
          <w:p w14:paraId="6141104C" w14:textId="77777777" w:rsidR="00A023BD" w:rsidRPr="007B750E" w:rsidRDefault="00A023BD" w:rsidP="00A023BD">
            <w:pPr>
              <w:keepNext/>
              <w:keepLines/>
              <w:jc w:val="right"/>
              <w:rPr>
                <w:color w:val="000000"/>
                <w:sz w:val="16"/>
                <w:szCs w:val="16"/>
                <w:lang w:eastAsia="en-NZ"/>
              </w:rPr>
            </w:pPr>
          </w:p>
        </w:tc>
      </w:tr>
      <w:tr w:rsidR="00A023BD" w:rsidRPr="001A61F1" w14:paraId="1CCB210F" w14:textId="77777777" w:rsidTr="004B0286">
        <w:tc>
          <w:tcPr>
            <w:tcW w:w="5387" w:type="dxa"/>
          </w:tcPr>
          <w:p w14:paraId="66158A71" w14:textId="77777777" w:rsidR="00A023BD" w:rsidRPr="003F15C0" w:rsidRDefault="00A023BD" w:rsidP="00A023BD">
            <w:pPr>
              <w:keepNext/>
              <w:spacing w:before="20"/>
              <w:ind w:left="176"/>
              <w:jc w:val="both"/>
              <w:rPr>
                <w:sz w:val="16"/>
                <w:szCs w:val="16"/>
              </w:rPr>
            </w:pPr>
            <w:r w:rsidRPr="003F15C0">
              <w:rPr>
                <w:sz w:val="16"/>
                <w:szCs w:val="16"/>
              </w:rPr>
              <w:t>No</w:t>
            </w:r>
          </w:p>
        </w:tc>
        <w:tc>
          <w:tcPr>
            <w:tcW w:w="992" w:type="dxa"/>
            <w:shd w:val="clear" w:color="auto" w:fill="auto"/>
          </w:tcPr>
          <w:p w14:paraId="636CF06F"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1.00</w:t>
            </w:r>
          </w:p>
        </w:tc>
        <w:tc>
          <w:tcPr>
            <w:tcW w:w="1276" w:type="dxa"/>
            <w:shd w:val="clear" w:color="auto" w:fill="auto"/>
          </w:tcPr>
          <w:p w14:paraId="6550B4EE" w14:textId="77777777" w:rsidR="00A023BD" w:rsidRPr="001E0372" w:rsidRDefault="00A023BD" w:rsidP="00A023BD">
            <w:pPr>
              <w:keepNext/>
              <w:keepLines/>
              <w:jc w:val="right"/>
              <w:rPr>
                <w:color w:val="000000"/>
                <w:sz w:val="16"/>
                <w:szCs w:val="16"/>
                <w:lang w:eastAsia="en-NZ"/>
              </w:rPr>
            </w:pPr>
          </w:p>
        </w:tc>
        <w:tc>
          <w:tcPr>
            <w:tcW w:w="850" w:type="dxa"/>
            <w:shd w:val="clear" w:color="auto" w:fill="auto"/>
          </w:tcPr>
          <w:p w14:paraId="6439E9CC" w14:textId="77777777" w:rsidR="00A023BD" w:rsidRPr="001E0372" w:rsidRDefault="00A023BD" w:rsidP="00A023BD">
            <w:pPr>
              <w:keepNext/>
              <w:keepLines/>
              <w:jc w:val="right"/>
              <w:rPr>
                <w:color w:val="000000"/>
                <w:sz w:val="16"/>
                <w:szCs w:val="16"/>
                <w:lang w:eastAsia="en-NZ"/>
              </w:rPr>
            </w:pPr>
          </w:p>
        </w:tc>
      </w:tr>
      <w:tr w:rsidR="00A023BD" w:rsidRPr="001A61F1" w14:paraId="2BD94ADB" w14:textId="77777777" w:rsidTr="004B0286">
        <w:tc>
          <w:tcPr>
            <w:tcW w:w="5387" w:type="dxa"/>
            <w:tcBorders>
              <w:bottom w:val="single" w:sz="4" w:space="0" w:color="auto"/>
            </w:tcBorders>
          </w:tcPr>
          <w:p w14:paraId="37C01025" w14:textId="77777777" w:rsidR="00A023BD" w:rsidRPr="003F15C0" w:rsidRDefault="00A023BD" w:rsidP="00A023BD">
            <w:pPr>
              <w:spacing w:before="20"/>
              <w:ind w:left="176"/>
              <w:jc w:val="both"/>
              <w:rPr>
                <w:sz w:val="16"/>
                <w:szCs w:val="16"/>
              </w:rPr>
            </w:pPr>
            <w:r w:rsidRPr="003F15C0">
              <w:rPr>
                <w:sz w:val="16"/>
                <w:szCs w:val="16"/>
              </w:rPr>
              <w:t>Yes</w:t>
            </w:r>
          </w:p>
        </w:tc>
        <w:tc>
          <w:tcPr>
            <w:tcW w:w="992" w:type="dxa"/>
            <w:tcBorders>
              <w:bottom w:val="single" w:sz="4" w:space="0" w:color="auto"/>
            </w:tcBorders>
            <w:shd w:val="clear" w:color="auto" w:fill="auto"/>
          </w:tcPr>
          <w:p w14:paraId="5E383128"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4.93</w:t>
            </w:r>
          </w:p>
        </w:tc>
        <w:tc>
          <w:tcPr>
            <w:tcW w:w="1276" w:type="dxa"/>
            <w:tcBorders>
              <w:bottom w:val="single" w:sz="4" w:space="0" w:color="auto"/>
            </w:tcBorders>
            <w:shd w:val="clear" w:color="auto" w:fill="auto"/>
          </w:tcPr>
          <w:p w14:paraId="2CC2C3F1"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(1.94, 12.52)</w:t>
            </w:r>
          </w:p>
        </w:tc>
        <w:tc>
          <w:tcPr>
            <w:tcW w:w="850" w:type="dxa"/>
            <w:tcBorders>
              <w:bottom w:val="single" w:sz="4" w:space="0" w:color="auto"/>
            </w:tcBorders>
            <w:shd w:val="clear" w:color="auto" w:fill="auto"/>
          </w:tcPr>
          <w:p w14:paraId="46E3CA6B"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0.001</w:t>
            </w:r>
          </w:p>
        </w:tc>
      </w:tr>
      <w:tr w:rsidR="00A023BD" w:rsidRPr="001A61F1" w14:paraId="1E6BA7D4" w14:textId="77777777" w:rsidTr="004B0286">
        <w:tc>
          <w:tcPr>
            <w:tcW w:w="5387" w:type="dxa"/>
            <w:tcBorders>
              <w:top w:val="single" w:sz="4" w:space="0" w:color="auto"/>
            </w:tcBorders>
          </w:tcPr>
          <w:p w14:paraId="4A19812F" w14:textId="77777777" w:rsidR="00A023BD" w:rsidRPr="003F15C0" w:rsidRDefault="00A023BD" w:rsidP="00A023BD">
            <w:pPr>
              <w:spacing w:before="20"/>
              <w:rPr>
                <w:b/>
                <w:bCs/>
                <w:color w:val="000000"/>
                <w:sz w:val="16"/>
                <w:szCs w:val="16"/>
              </w:rPr>
            </w:pPr>
            <w:r w:rsidRPr="003F15C0">
              <w:rPr>
                <w:b/>
                <w:bCs/>
                <w:color w:val="000000"/>
                <w:sz w:val="16"/>
                <w:szCs w:val="16"/>
              </w:rPr>
              <w:t>Time spent playing EGMs in an average day (</w:t>
            </w:r>
            <w:r>
              <w:rPr>
                <w:b/>
                <w:bCs/>
                <w:color w:val="000000"/>
                <w:sz w:val="16"/>
                <w:szCs w:val="16"/>
              </w:rPr>
              <w:t>pub</w:t>
            </w:r>
            <w:r w:rsidRPr="003F15C0">
              <w:rPr>
                <w:b/>
                <w:bCs/>
                <w:color w:val="000000"/>
                <w:sz w:val="16"/>
                <w:szCs w:val="16"/>
              </w:rPr>
              <w:t>)</w:t>
            </w:r>
          </w:p>
        </w:tc>
        <w:tc>
          <w:tcPr>
            <w:tcW w:w="992" w:type="dxa"/>
            <w:tcBorders>
              <w:top w:val="single" w:sz="4" w:space="0" w:color="auto"/>
            </w:tcBorders>
            <w:shd w:val="clear" w:color="auto" w:fill="auto"/>
            <w:vAlign w:val="bottom"/>
          </w:tcPr>
          <w:p w14:paraId="4F7DC8CE" w14:textId="77777777" w:rsidR="00A023BD" w:rsidRPr="007B750E" w:rsidRDefault="00A023BD" w:rsidP="00A023BD">
            <w:pPr>
              <w:keepNext/>
              <w:keepLines/>
              <w:jc w:val="right"/>
              <w:rPr>
                <w:color w:val="000000"/>
                <w:sz w:val="16"/>
                <w:szCs w:val="16"/>
                <w:lang w:eastAsia="en-NZ"/>
              </w:rPr>
            </w:pPr>
          </w:p>
        </w:tc>
        <w:tc>
          <w:tcPr>
            <w:tcW w:w="1276" w:type="dxa"/>
            <w:tcBorders>
              <w:top w:val="single" w:sz="4" w:space="0" w:color="auto"/>
            </w:tcBorders>
            <w:shd w:val="clear" w:color="auto" w:fill="auto"/>
            <w:vAlign w:val="bottom"/>
          </w:tcPr>
          <w:p w14:paraId="278D73C9" w14:textId="77777777" w:rsidR="00A023BD" w:rsidRPr="007B750E" w:rsidRDefault="00A023BD" w:rsidP="00A023BD">
            <w:pPr>
              <w:keepNext/>
              <w:keepLines/>
              <w:jc w:val="right"/>
              <w:rPr>
                <w:color w:val="000000"/>
                <w:sz w:val="16"/>
                <w:szCs w:val="16"/>
                <w:lang w:eastAsia="en-NZ"/>
              </w:rPr>
            </w:pPr>
          </w:p>
        </w:tc>
        <w:tc>
          <w:tcPr>
            <w:tcW w:w="850" w:type="dxa"/>
            <w:tcBorders>
              <w:top w:val="single" w:sz="4" w:space="0" w:color="auto"/>
            </w:tcBorders>
            <w:shd w:val="clear" w:color="auto" w:fill="auto"/>
            <w:vAlign w:val="bottom"/>
          </w:tcPr>
          <w:p w14:paraId="789F9D8A" w14:textId="77777777" w:rsidR="00A023BD" w:rsidRPr="007B750E" w:rsidRDefault="00A023BD" w:rsidP="00A023BD">
            <w:pPr>
              <w:keepNext/>
              <w:keepLines/>
              <w:jc w:val="right"/>
              <w:rPr>
                <w:color w:val="000000"/>
                <w:sz w:val="16"/>
                <w:szCs w:val="16"/>
                <w:lang w:eastAsia="en-NZ"/>
              </w:rPr>
            </w:pPr>
          </w:p>
        </w:tc>
      </w:tr>
      <w:tr w:rsidR="00A023BD" w:rsidRPr="001A61F1" w14:paraId="097BBDFE" w14:textId="77777777" w:rsidTr="00A023BD">
        <w:tc>
          <w:tcPr>
            <w:tcW w:w="5387" w:type="dxa"/>
          </w:tcPr>
          <w:p w14:paraId="23122AB0" w14:textId="77777777" w:rsidR="00A023BD" w:rsidRPr="003F15C0" w:rsidRDefault="00A023BD" w:rsidP="00A023BD">
            <w:pPr>
              <w:spacing w:before="20"/>
              <w:ind w:left="176"/>
              <w:jc w:val="both"/>
              <w:rPr>
                <w:sz w:val="16"/>
                <w:szCs w:val="16"/>
              </w:rPr>
            </w:pPr>
            <w:r w:rsidRPr="003F15C0">
              <w:rPr>
                <w:sz w:val="16"/>
                <w:szCs w:val="16"/>
              </w:rPr>
              <w:t>No time</w:t>
            </w:r>
          </w:p>
        </w:tc>
        <w:tc>
          <w:tcPr>
            <w:tcW w:w="992" w:type="dxa"/>
            <w:shd w:val="clear" w:color="auto" w:fill="auto"/>
            <w:vAlign w:val="bottom"/>
          </w:tcPr>
          <w:p w14:paraId="0AFC5E09"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1.00</w:t>
            </w:r>
          </w:p>
        </w:tc>
        <w:tc>
          <w:tcPr>
            <w:tcW w:w="1276" w:type="dxa"/>
            <w:shd w:val="clear" w:color="auto" w:fill="auto"/>
            <w:vAlign w:val="bottom"/>
          </w:tcPr>
          <w:p w14:paraId="0EB0264F" w14:textId="77777777" w:rsidR="00A023BD" w:rsidRPr="001E0372" w:rsidRDefault="00A023BD" w:rsidP="00A023BD">
            <w:pPr>
              <w:keepNext/>
              <w:keepLines/>
              <w:jc w:val="right"/>
              <w:rPr>
                <w:color w:val="000000"/>
                <w:sz w:val="16"/>
                <w:szCs w:val="16"/>
                <w:lang w:eastAsia="en-NZ"/>
              </w:rPr>
            </w:pPr>
          </w:p>
        </w:tc>
        <w:tc>
          <w:tcPr>
            <w:tcW w:w="850" w:type="dxa"/>
            <w:shd w:val="clear" w:color="auto" w:fill="auto"/>
            <w:vAlign w:val="bottom"/>
          </w:tcPr>
          <w:p w14:paraId="16BA7088" w14:textId="77777777" w:rsidR="00A023BD" w:rsidRPr="001E0372" w:rsidRDefault="00A023BD" w:rsidP="00A023BD">
            <w:pPr>
              <w:keepNext/>
              <w:keepLines/>
              <w:jc w:val="right"/>
              <w:rPr>
                <w:color w:val="000000"/>
                <w:sz w:val="16"/>
                <w:szCs w:val="16"/>
                <w:lang w:eastAsia="en-NZ"/>
              </w:rPr>
            </w:pPr>
          </w:p>
        </w:tc>
      </w:tr>
      <w:tr w:rsidR="00A023BD" w:rsidRPr="001A61F1" w14:paraId="26A990BB" w14:textId="77777777" w:rsidTr="00A023BD">
        <w:tc>
          <w:tcPr>
            <w:tcW w:w="5387" w:type="dxa"/>
          </w:tcPr>
          <w:p w14:paraId="6B346FAB" w14:textId="77777777" w:rsidR="00A023BD" w:rsidRPr="003F15C0" w:rsidRDefault="00A023BD" w:rsidP="00A023BD">
            <w:pPr>
              <w:spacing w:before="20"/>
              <w:ind w:left="176"/>
              <w:jc w:val="both"/>
              <w:rPr>
                <w:sz w:val="16"/>
                <w:szCs w:val="16"/>
              </w:rPr>
            </w:pPr>
            <w:r w:rsidRPr="003F15C0">
              <w:rPr>
                <w:sz w:val="16"/>
                <w:szCs w:val="16"/>
              </w:rPr>
              <w:t>Up to 15 minutes</w:t>
            </w:r>
          </w:p>
        </w:tc>
        <w:tc>
          <w:tcPr>
            <w:tcW w:w="992" w:type="dxa"/>
            <w:shd w:val="clear" w:color="auto" w:fill="auto"/>
            <w:vAlign w:val="bottom"/>
          </w:tcPr>
          <w:p w14:paraId="55ACEE61"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0.85</w:t>
            </w:r>
          </w:p>
        </w:tc>
        <w:tc>
          <w:tcPr>
            <w:tcW w:w="1276" w:type="dxa"/>
            <w:shd w:val="clear" w:color="auto" w:fill="auto"/>
            <w:vAlign w:val="bottom"/>
          </w:tcPr>
          <w:p w14:paraId="6641D16F"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(0.18, 3.92)</w:t>
            </w:r>
          </w:p>
        </w:tc>
        <w:tc>
          <w:tcPr>
            <w:tcW w:w="850" w:type="dxa"/>
            <w:shd w:val="clear" w:color="auto" w:fill="auto"/>
            <w:vAlign w:val="bottom"/>
          </w:tcPr>
          <w:p w14:paraId="060C7322" w14:textId="77777777" w:rsidR="00A023BD" w:rsidRPr="001E0372" w:rsidRDefault="00A023BD" w:rsidP="00A023BD">
            <w:pPr>
              <w:keepNext/>
              <w:keepLines/>
              <w:jc w:val="right"/>
              <w:rPr>
                <w:color w:val="000000"/>
                <w:sz w:val="16"/>
                <w:szCs w:val="16"/>
                <w:lang w:eastAsia="en-NZ"/>
              </w:rPr>
            </w:pPr>
          </w:p>
        </w:tc>
      </w:tr>
      <w:tr w:rsidR="00A023BD" w:rsidRPr="001A61F1" w14:paraId="651558E4" w14:textId="77777777" w:rsidTr="00A023BD">
        <w:tc>
          <w:tcPr>
            <w:tcW w:w="5387" w:type="dxa"/>
          </w:tcPr>
          <w:p w14:paraId="5222244F" w14:textId="77777777" w:rsidR="00A023BD" w:rsidRPr="003F15C0" w:rsidRDefault="00A023BD" w:rsidP="00A023BD">
            <w:pPr>
              <w:spacing w:before="20"/>
              <w:ind w:left="176"/>
              <w:jc w:val="both"/>
              <w:rPr>
                <w:sz w:val="16"/>
                <w:szCs w:val="16"/>
              </w:rPr>
            </w:pPr>
            <w:r w:rsidRPr="003F15C0">
              <w:rPr>
                <w:sz w:val="16"/>
                <w:szCs w:val="16"/>
              </w:rPr>
              <w:t>16 to 30 minutes</w:t>
            </w:r>
          </w:p>
        </w:tc>
        <w:tc>
          <w:tcPr>
            <w:tcW w:w="992" w:type="dxa"/>
            <w:shd w:val="clear" w:color="auto" w:fill="auto"/>
            <w:vAlign w:val="bottom"/>
          </w:tcPr>
          <w:p w14:paraId="02D7C464"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0.93</w:t>
            </w:r>
          </w:p>
        </w:tc>
        <w:tc>
          <w:tcPr>
            <w:tcW w:w="1276" w:type="dxa"/>
            <w:shd w:val="clear" w:color="auto" w:fill="auto"/>
            <w:vAlign w:val="bottom"/>
          </w:tcPr>
          <w:p w14:paraId="2A95F411"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(0.28, 3.11)</w:t>
            </w:r>
          </w:p>
        </w:tc>
        <w:tc>
          <w:tcPr>
            <w:tcW w:w="850" w:type="dxa"/>
            <w:shd w:val="clear" w:color="auto" w:fill="auto"/>
            <w:vAlign w:val="bottom"/>
          </w:tcPr>
          <w:p w14:paraId="55C0EB72" w14:textId="77777777" w:rsidR="00A023BD" w:rsidRPr="001E0372" w:rsidRDefault="00A023BD" w:rsidP="00A023BD">
            <w:pPr>
              <w:keepNext/>
              <w:keepLines/>
              <w:jc w:val="right"/>
              <w:rPr>
                <w:color w:val="000000"/>
                <w:sz w:val="16"/>
                <w:szCs w:val="16"/>
                <w:lang w:eastAsia="en-NZ"/>
              </w:rPr>
            </w:pPr>
          </w:p>
        </w:tc>
      </w:tr>
      <w:tr w:rsidR="00A023BD" w:rsidRPr="001A61F1" w14:paraId="5FBAA9C9" w14:textId="77777777" w:rsidTr="00A023BD">
        <w:tc>
          <w:tcPr>
            <w:tcW w:w="5387" w:type="dxa"/>
          </w:tcPr>
          <w:p w14:paraId="7F0012EB" w14:textId="77777777" w:rsidR="00A023BD" w:rsidRPr="003F15C0" w:rsidRDefault="00A023BD" w:rsidP="00A023BD">
            <w:pPr>
              <w:spacing w:before="20"/>
              <w:ind w:left="176"/>
              <w:jc w:val="both"/>
              <w:rPr>
                <w:sz w:val="16"/>
                <w:szCs w:val="16"/>
              </w:rPr>
            </w:pPr>
            <w:r w:rsidRPr="003F15C0">
              <w:rPr>
                <w:sz w:val="16"/>
                <w:szCs w:val="16"/>
              </w:rPr>
              <w:t>31 to 60 minutes</w:t>
            </w:r>
          </w:p>
        </w:tc>
        <w:tc>
          <w:tcPr>
            <w:tcW w:w="992" w:type="dxa"/>
            <w:shd w:val="clear" w:color="auto" w:fill="auto"/>
            <w:vAlign w:val="bottom"/>
          </w:tcPr>
          <w:p w14:paraId="40E2B762"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2.70</w:t>
            </w:r>
          </w:p>
        </w:tc>
        <w:tc>
          <w:tcPr>
            <w:tcW w:w="1276" w:type="dxa"/>
            <w:shd w:val="clear" w:color="auto" w:fill="auto"/>
            <w:vAlign w:val="bottom"/>
          </w:tcPr>
          <w:p w14:paraId="54A207BD"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(0.74, 9.87)</w:t>
            </w:r>
          </w:p>
        </w:tc>
        <w:tc>
          <w:tcPr>
            <w:tcW w:w="850" w:type="dxa"/>
            <w:shd w:val="clear" w:color="auto" w:fill="auto"/>
            <w:vAlign w:val="bottom"/>
          </w:tcPr>
          <w:p w14:paraId="670FAF08" w14:textId="77777777" w:rsidR="00A023BD" w:rsidRPr="001E0372" w:rsidRDefault="00A023BD" w:rsidP="00A023BD">
            <w:pPr>
              <w:keepNext/>
              <w:keepLines/>
              <w:jc w:val="right"/>
              <w:rPr>
                <w:color w:val="000000"/>
                <w:sz w:val="16"/>
                <w:szCs w:val="16"/>
                <w:lang w:eastAsia="en-NZ"/>
              </w:rPr>
            </w:pPr>
          </w:p>
        </w:tc>
      </w:tr>
      <w:tr w:rsidR="00A023BD" w:rsidRPr="001A61F1" w14:paraId="02CB224C" w14:textId="77777777" w:rsidTr="00326B55">
        <w:tc>
          <w:tcPr>
            <w:tcW w:w="5387" w:type="dxa"/>
          </w:tcPr>
          <w:p w14:paraId="171062BB" w14:textId="77777777" w:rsidR="00A023BD" w:rsidRPr="003F15C0" w:rsidRDefault="00A023BD" w:rsidP="00A023BD">
            <w:pPr>
              <w:spacing w:before="20"/>
              <w:ind w:left="176"/>
              <w:jc w:val="both"/>
              <w:rPr>
                <w:sz w:val="16"/>
                <w:szCs w:val="16"/>
              </w:rPr>
            </w:pPr>
            <w:r w:rsidRPr="003F15C0">
              <w:rPr>
                <w:sz w:val="16"/>
                <w:szCs w:val="16"/>
              </w:rPr>
              <w:t>&gt;60 minutes</w:t>
            </w:r>
          </w:p>
        </w:tc>
        <w:tc>
          <w:tcPr>
            <w:tcW w:w="992" w:type="dxa"/>
            <w:shd w:val="clear" w:color="auto" w:fill="auto"/>
            <w:vAlign w:val="bottom"/>
          </w:tcPr>
          <w:p w14:paraId="6AA86A2F"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6.54</w:t>
            </w:r>
          </w:p>
        </w:tc>
        <w:tc>
          <w:tcPr>
            <w:tcW w:w="1276" w:type="dxa"/>
            <w:shd w:val="clear" w:color="auto" w:fill="auto"/>
            <w:vAlign w:val="bottom"/>
          </w:tcPr>
          <w:p w14:paraId="59FE8D80"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(1.66, 25.74)</w:t>
            </w:r>
          </w:p>
        </w:tc>
        <w:tc>
          <w:tcPr>
            <w:tcW w:w="850" w:type="dxa"/>
            <w:shd w:val="clear" w:color="auto" w:fill="auto"/>
            <w:vAlign w:val="bottom"/>
          </w:tcPr>
          <w:p w14:paraId="15874E14"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0.032</w:t>
            </w:r>
          </w:p>
        </w:tc>
      </w:tr>
      <w:tr w:rsidR="00A023BD" w:rsidRPr="001A61F1" w14:paraId="6B8AB06E" w14:textId="77777777" w:rsidTr="00A023BD">
        <w:tc>
          <w:tcPr>
            <w:tcW w:w="5387" w:type="dxa"/>
            <w:vAlign w:val="center"/>
          </w:tcPr>
          <w:p w14:paraId="45EF6698" w14:textId="77777777" w:rsidR="00A023BD" w:rsidRPr="003F15C0" w:rsidRDefault="00A023BD" w:rsidP="00A023BD">
            <w:pPr>
              <w:spacing w:before="20"/>
              <w:rPr>
                <w:b/>
                <w:bCs/>
                <w:color w:val="000000"/>
                <w:sz w:val="16"/>
                <w:szCs w:val="16"/>
              </w:rPr>
            </w:pPr>
            <w:r w:rsidRPr="003F15C0">
              <w:rPr>
                <w:b/>
                <w:bCs/>
                <w:color w:val="000000"/>
                <w:sz w:val="16"/>
                <w:szCs w:val="16"/>
              </w:rPr>
              <w:t xml:space="preserve">Methods - </w:t>
            </w:r>
            <w:r>
              <w:rPr>
                <w:b/>
                <w:bCs/>
                <w:color w:val="000000"/>
                <w:sz w:val="16"/>
                <w:szCs w:val="16"/>
              </w:rPr>
              <w:t>Avoiding places that have betting or gambling</w:t>
            </w:r>
          </w:p>
        </w:tc>
        <w:tc>
          <w:tcPr>
            <w:tcW w:w="992" w:type="dxa"/>
            <w:shd w:val="clear" w:color="auto" w:fill="auto"/>
            <w:vAlign w:val="bottom"/>
          </w:tcPr>
          <w:p w14:paraId="0C3FBCC7" w14:textId="77777777" w:rsidR="00A023BD" w:rsidRPr="007B750E" w:rsidRDefault="00A023BD" w:rsidP="00A023BD">
            <w:pPr>
              <w:keepNext/>
              <w:keepLines/>
              <w:jc w:val="right"/>
              <w:rPr>
                <w:color w:val="000000"/>
                <w:sz w:val="16"/>
                <w:szCs w:val="16"/>
                <w:lang w:eastAsia="en-NZ"/>
              </w:rPr>
            </w:pPr>
          </w:p>
        </w:tc>
        <w:tc>
          <w:tcPr>
            <w:tcW w:w="1276" w:type="dxa"/>
            <w:shd w:val="clear" w:color="auto" w:fill="auto"/>
            <w:vAlign w:val="bottom"/>
          </w:tcPr>
          <w:p w14:paraId="0439C376" w14:textId="77777777" w:rsidR="00A023BD" w:rsidRPr="007B750E" w:rsidRDefault="00A023BD" w:rsidP="00A023BD">
            <w:pPr>
              <w:keepNext/>
              <w:keepLines/>
              <w:jc w:val="right"/>
              <w:rPr>
                <w:color w:val="000000"/>
                <w:sz w:val="16"/>
                <w:szCs w:val="16"/>
                <w:lang w:eastAsia="en-NZ"/>
              </w:rPr>
            </w:pPr>
          </w:p>
        </w:tc>
        <w:tc>
          <w:tcPr>
            <w:tcW w:w="850" w:type="dxa"/>
            <w:shd w:val="clear" w:color="auto" w:fill="auto"/>
            <w:vAlign w:val="bottom"/>
          </w:tcPr>
          <w:p w14:paraId="370C3CF1" w14:textId="77777777" w:rsidR="00A023BD" w:rsidRPr="007B750E" w:rsidRDefault="00A023BD" w:rsidP="00A023BD">
            <w:pPr>
              <w:keepNext/>
              <w:keepLines/>
              <w:jc w:val="right"/>
              <w:rPr>
                <w:color w:val="000000"/>
                <w:sz w:val="16"/>
                <w:szCs w:val="16"/>
                <w:lang w:eastAsia="en-NZ"/>
              </w:rPr>
            </w:pPr>
          </w:p>
        </w:tc>
      </w:tr>
      <w:tr w:rsidR="00A023BD" w:rsidRPr="001A61F1" w14:paraId="7C847974" w14:textId="77777777" w:rsidTr="00A023BD">
        <w:tc>
          <w:tcPr>
            <w:tcW w:w="5387" w:type="dxa"/>
          </w:tcPr>
          <w:p w14:paraId="429F65B8" w14:textId="77777777" w:rsidR="00A023BD" w:rsidRPr="003F15C0" w:rsidRDefault="00A023BD" w:rsidP="00A023BD">
            <w:pPr>
              <w:spacing w:before="20"/>
              <w:ind w:left="176"/>
              <w:jc w:val="both"/>
              <w:rPr>
                <w:sz w:val="16"/>
                <w:szCs w:val="16"/>
              </w:rPr>
            </w:pPr>
            <w:r w:rsidRPr="003F15C0">
              <w:rPr>
                <w:sz w:val="16"/>
                <w:szCs w:val="16"/>
              </w:rPr>
              <w:t>No</w:t>
            </w:r>
          </w:p>
        </w:tc>
        <w:tc>
          <w:tcPr>
            <w:tcW w:w="992" w:type="dxa"/>
            <w:shd w:val="clear" w:color="auto" w:fill="auto"/>
            <w:vAlign w:val="bottom"/>
          </w:tcPr>
          <w:p w14:paraId="780E2420"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1.00</w:t>
            </w:r>
          </w:p>
        </w:tc>
        <w:tc>
          <w:tcPr>
            <w:tcW w:w="1276" w:type="dxa"/>
            <w:shd w:val="clear" w:color="auto" w:fill="auto"/>
            <w:vAlign w:val="bottom"/>
          </w:tcPr>
          <w:p w14:paraId="518CC920" w14:textId="77777777" w:rsidR="00A023BD" w:rsidRPr="001E0372" w:rsidRDefault="00A023BD" w:rsidP="00A023BD">
            <w:pPr>
              <w:keepNext/>
              <w:keepLines/>
              <w:jc w:val="right"/>
              <w:rPr>
                <w:color w:val="000000"/>
                <w:sz w:val="16"/>
                <w:szCs w:val="16"/>
                <w:lang w:eastAsia="en-NZ"/>
              </w:rPr>
            </w:pPr>
          </w:p>
        </w:tc>
        <w:tc>
          <w:tcPr>
            <w:tcW w:w="850" w:type="dxa"/>
            <w:shd w:val="clear" w:color="auto" w:fill="auto"/>
            <w:vAlign w:val="bottom"/>
          </w:tcPr>
          <w:p w14:paraId="210CA0E0" w14:textId="77777777" w:rsidR="00A023BD" w:rsidRPr="001E0372" w:rsidRDefault="00A023BD" w:rsidP="00A023BD">
            <w:pPr>
              <w:keepNext/>
              <w:keepLines/>
              <w:jc w:val="right"/>
              <w:rPr>
                <w:color w:val="000000"/>
                <w:sz w:val="16"/>
                <w:szCs w:val="16"/>
                <w:lang w:eastAsia="en-NZ"/>
              </w:rPr>
            </w:pPr>
          </w:p>
        </w:tc>
      </w:tr>
      <w:tr w:rsidR="00A023BD" w:rsidRPr="001A61F1" w14:paraId="0F076684" w14:textId="77777777" w:rsidTr="00326B55">
        <w:tc>
          <w:tcPr>
            <w:tcW w:w="5387" w:type="dxa"/>
            <w:tcBorders>
              <w:bottom w:val="single" w:sz="4" w:space="0" w:color="auto"/>
            </w:tcBorders>
          </w:tcPr>
          <w:p w14:paraId="01344D4F" w14:textId="77777777" w:rsidR="00A023BD" w:rsidRPr="003F15C0" w:rsidRDefault="00A023BD" w:rsidP="00A023BD">
            <w:pPr>
              <w:spacing w:before="20"/>
              <w:ind w:left="176"/>
              <w:jc w:val="both"/>
              <w:rPr>
                <w:sz w:val="16"/>
                <w:szCs w:val="16"/>
              </w:rPr>
            </w:pPr>
            <w:r w:rsidRPr="003F15C0">
              <w:rPr>
                <w:sz w:val="16"/>
                <w:szCs w:val="16"/>
              </w:rPr>
              <w:t>Yes</w:t>
            </w:r>
          </w:p>
        </w:tc>
        <w:tc>
          <w:tcPr>
            <w:tcW w:w="992" w:type="dxa"/>
            <w:tcBorders>
              <w:bottom w:val="single" w:sz="4" w:space="0" w:color="auto"/>
            </w:tcBorders>
            <w:shd w:val="clear" w:color="auto" w:fill="auto"/>
            <w:vAlign w:val="bottom"/>
          </w:tcPr>
          <w:p w14:paraId="4E866E0B"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4.47</w:t>
            </w:r>
          </w:p>
        </w:tc>
        <w:tc>
          <w:tcPr>
            <w:tcW w:w="1276" w:type="dxa"/>
            <w:tcBorders>
              <w:bottom w:val="single" w:sz="4" w:space="0" w:color="auto"/>
            </w:tcBorders>
            <w:shd w:val="clear" w:color="auto" w:fill="auto"/>
            <w:vAlign w:val="bottom"/>
          </w:tcPr>
          <w:p w14:paraId="16388B7E"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(1.74, 11.47)</w:t>
            </w:r>
          </w:p>
        </w:tc>
        <w:tc>
          <w:tcPr>
            <w:tcW w:w="850" w:type="dxa"/>
            <w:tcBorders>
              <w:bottom w:val="single" w:sz="4" w:space="0" w:color="auto"/>
            </w:tcBorders>
            <w:shd w:val="clear" w:color="auto" w:fill="auto"/>
            <w:vAlign w:val="bottom"/>
          </w:tcPr>
          <w:p w14:paraId="124C2A82" w14:textId="77777777" w:rsidR="00A023BD" w:rsidRPr="001E0372" w:rsidRDefault="00A023BD" w:rsidP="00A023BD">
            <w:pPr>
              <w:keepNext/>
              <w:keepLines/>
              <w:jc w:val="right"/>
              <w:rPr>
                <w:color w:val="000000"/>
                <w:sz w:val="16"/>
                <w:szCs w:val="16"/>
                <w:lang w:eastAsia="en-NZ"/>
              </w:rPr>
            </w:pPr>
            <w:r w:rsidRPr="001E0372">
              <w:rPr>
                <w:color w:val="000000"/>
                <w:sz w:val="16"/>
                <w:szCs w:val="16"/>
                <w:lang w:eastAsia="en-NZ"/>
              </w:rPr>
              <w:t>0.002</w:t>
            </w:r>
          </w:p>
        </w:tc>
      </w:tr>
    </w:tbl>
    <w:p w14:paraId="29F48CA7" w14:textId="77777777" w:rsidR="00A023BD" w:rsidRPr="00230801" w:rsidRDefault="00A023BD" w:rsidP="00A023BD">
      <w:pPr>
        <w:rPr>
          <w:rFonts w:eastAsiaTheme="majorEastAsia"/>
          <w:sz w:val="16"/>
          <w:lang w:eastAsia="en-US"/>
        </w:rPr>
      </w:pPr>
      <w:r>
        <w:rPr>
          <w:rFonts w:eastAsiaTheme="majorEastAsia"/>
          <w:sz w:val="16"/>
          <w:lang w:eastAsia="en-US"/>
        </w:rPr>
        <w:t>Data weighted for 2013 Census data (all Waves) and attrition (Waves 2, 3 and 4)</w:t>
      </w:r>
    </w:p>
    <w:p w14:paraId="25C4AD13" w14:textId="77777777" w:rsidR="00A023BD" w:rsidRDefault="00A023BD" w:rsidP="00A023BD">
      <w:pPr>
        <w:pStyle w:val="RepNormal"/>
      </w:pPr>
    </w:p>
    <w:p w14:paraId="0530738B" w14:textId="77777777" w:rsidR="00A023BD" w:rsidRDefault="00A023BD" w:rsidP="00A023BD">
      <w:pPr>
        <w:pStyle w:val="RepNormal"/>
        <w:rPr>
          <w:u w:val="single"/>
        </w:rPr>
      </w:pPr>
    </w:p>
    <w:p w14:paraId="2ECD5378" w14:textId="77777777" w:rsidR="00A023BD" w:rsidRPr="00735871" w:rsidRDefault="00A023BD" w:rsidP="00A023BD">
      <w:pPr>
        <w:pStyle w:val="RepNormal"/>
        <w:rPr>
          <w:u w:val="single"/>
        </w:rPr>
      </w:pPr>
      <w:r w:rsidRPr="00735871">
        <w:rPr>
          <w:u w:val="single"/>
        </w:rPr>
        <w:t xml:space="preserve">Variables associated with </w:t>
      </w:r>
      <w:r>
        <w:rPr>
          <w:u w:val="single"/>
        </w:rPr>
        <w:t>a higher</w:t>
      </w:r>
      <w:r w:rsidRPr="00735871">
        <w:rPr>
          <w:u w:val="single"/>
        </w:rPr>
        <w:t xml:space="preserve"> </w:t>
      </w:r>
      <w:r>
        <w:rPr>
          <w:u w:val="single"/>
        </w:rPr>
        <w:t>chance of being a</w:t>
      </w:r>
      <w:r w:rsidRPr="00735871">
        <w:rPr>
          <w:u w:val="single"/>
        </w:rPr>
        <w:t xml:space="preserve"> </w:t>
      </w:r>
      <w:r>
        <w:rPr>
          <w:u w:val="single"/>
        </w:rPr>
        <w:t xml:space="preserve">past year moderate-risk/problem </w:t>
      </w:r>
      <w:r w:rsidRPr="00735871">
        <w:rPr>
          <w:u w:val="single"/>
        </w:rPr>
        <w:t>gambl</w:t>
      </w:r>
      <w:r>
        <w:rPr>
          <w:u w:val="single"/>
        </w:rPr>
        <w:t>er</w:t>
      </w:r>
      <w:r w:rsidRPr="00735871">
        <w:rPr>
          <w:u w:val="single"/>
        </w:rPr>
        <w:t xml:space="preserve"> </w:t>
      </w:r>
    </w:p>
    <w:p w14:paraId="1607F05F" w14:textId="77777777" w:rsidR="00A023BD" w:rsidRPr="00CC0DD0" w:rsidRDefault="00A023BD" w:rsidP="00A023BD">
      <w:pPr>
        <w:pStyle w:val="RepNormal"/>
        <w:rPr>
          <w:highlight w:val="lightGray"/>
        </w:rPr>
      </w:pPr>
    </w:p>
    <w:p w14:paraId="499D34D1" w14:textId="77777777" w:rsidR="00A023BD" w:rsidRPr="006E51C3" w:rsidRDefault="00A023BD" w:rsidP="00A023BD">
      <w:pPr>
        <w:pStyle w:val="RepNormal"/>
      </w:pPr>
      <w:r>
        <w:t>Pacific people</w:t>
      </w:r>
      <w:r w:rsidRPr="006E51C3">
        <w:t xml:space="preserve"> experiencing high levels of psychological distress had </w:t>
      </w:r>
      <w:r>
        <w:t xml:space="preserve">9.46 times </w:t>
      </w:r>
      <w:r w:rsidRPr="006E51C3">
        <w:t xml:space="preserve">higher odds </w:t>
      </w:r>
      <w:r w:rsidRPr="00764B92">
        <w:t xml:space="preserve">of </w:t>
      </w:r>
      <w:r>
        <w:t>being a past year moderate-risk/problem</w:t>
      </w:r>
      <w:r w:rsidRPr="00764B92">
        <w:t xml:space="preserve"> gambl</w:t>
      </w:r>
      <w:r>
        <w:t>er versus being a low-risk/non-problem/non-g</w:t>
      </w:r>
      <w:r w:rsidRPr="00A55E1D">
        <w:t>ambl</w:t>
      </w:r>
      <w:r>
        <w:t>er</w:t>
      </w:r>
      <w:r w:rsidRPr="006E51C3">
        <w:t xml:space="preserve">, compared with </w:t>
      </w:r>
      <w:r>
        <w:t>Pacific people</w:t>
      </w:r>
      <w:r w:rsidRPr="006E51C3">
        <w:t xml:space="preserve"> who experienced a low level of psychological distress.  However, </w:t>
      </w:r>
      <w:r>
        <w:t>moderate and severe</w:t>
      </w:r>
      <w:r w:rsidRPr="006E51C3">
        <w:t xml:space="preserve"> level</w:t>
      </w:r>
      <w:r>
        <w:t>s of psychological distress were not associated with moderate-risk/problem gambling unlike for the total population and for Māori.</w:t>
      </w:r>
    </w:p>
    <w:p w14:paraId="2F001AA1" w14:textId="77777777" w:rsidR="00A023BD" w:rsidRPr="00CC0DD0" w:rsidRDefault="00A023BD" w:rsidP="00A023BD">
      <w:pPr>
        <w:pStyle w:val="RepNormal"/>
        <w:rPr>
          <w:highlight w:val="lightGray"/>
        </w:rPr>
      </w:pPr>
    </w:p>
    <w:p w14:paraId="320A7120" w14:textId="77777777" w:rsidR="00A023BD" w:rsidRPr="00366A92" w:rsidRDefault="00A023BD" w:rsidP="00A023BD">
      <w:pPr>
        <w:pStyle w:val="RepNormal"/>
      </w:pPr>
      <w:r w:rsidRPr="00366A92">
        <w:t>Pacific people who gambled annual</w:t>
      </w:r>
      <w:r>
        <w:t>ly</w:t>
      </w:r>
      <w:r w:rsidRPr="00366A92">
        <w:t xml:space="preserve"> </w:t>
      </w:r>
      <w:r>
        <w:t>or more often</w:t>
      </w:r>
      <w:r w:rsidRPr="00366A92">
        <w:t xml:space="preserve"> on EGMs overall had </w:t>
      </w:r>
      <w:r>
        <w:t>4.93</w:t>
      </w:r>
      <w:r w:rsidRPr="00366A92">
        <w:t xml:space="preserve"> times higher odds </w:t>
      </w:r>
      <w:r w:rsidRPr="00764B92">
        <w:t xml:space="preserve">of </w:t>
      </w:r>
      <w:r>
        <w:t>being a past year moderate-risk/problem</w:t>
      </w:r>
      <w:r w:rsidRPr="00764B92">
        <w:t xml:space="preserve"> gambl</w:t>
      </w:r>
      <w:r>
        <w:t>er versus being a low-risk/non-problem/ non-g</w:t>
      </w:r>
      <w:r w:rsidRPr="00A55E1D">
        <w:t>ambl</w:t>
      </w:r>
      <w:r>
        <w:t>er</w:t>
      </w:r>
      <w:r w:rsidRPr="00366A92">
        <w:t xml:space="preserve">, compared with Pacific people who did not gamble on EGMs at least annually.  This finding was also noted for </w:t>
      </w:r>
      <w:r>
        <w:t>the total population</w:t>
      </w:r>
      <w:r w:rsidRPr="00366A92">
        <w:t>.</w:t>
      </w:r>
      <w:r>
        <w:t xml:space="preserve">  Pacific people who gambled at least weekly also had higher odds (3.43 times higher) </w:t>
      </w:r>
      <w:r w:rsidRPr="00764B92">
        <w:t xml:space="preserve">of </w:t>
      </w:r>
      <w:r>
        <w:t>being a past year moderate-risk/problem</w:t>
      </w:r>
      <w:r w:rsidRPr="00764B92">
        <w:t xml:space="preserve"> gambl</w:t>
      </w:r>
      <w:r>
        <w:t>er, than those who gambled at least once in the past year.  This finding was not noted for the total population nor for Māori.</w:t>
      </w:r>
    </w:p>
    <w:p w14:paraId="55A29BE9" w14:textId="77777777" w:rsidR="00A023BD" w:rsidRPr="00E1788B" w:rsidRDefault="00A023BD" w:rsidP="00A023BD">
      <w:pPr>
        <w:pStyle w:val="RepNormal"/>
      </w:pPr>
    </w:p>
    <w:p w14:paraId="5A4417D4" w14:textId="780989C4" w:rsidR="00A023BD" w:rsidRPr="00E1788B" w:rsidRDefault="00A023BD" w:rsidP="00A023BD">
      <w:pPr>
        <w:pStyle w:val="RepNormal"/>
      </w:pPr>
      <w:r w:rsidRPr="00E1788B">
        <w:t>Pacific people who gambled on pub EGMs for more than 60 minutes in an average day had higher odds (</w:t>
      </w:r>
      <w:r>
        <w:t>6.54</w:t>
      </w:r>
      <w:r w:rsidRPr="00E1788B">
        <w:t xml:space="preserve"> times higher) </w:t>
      </w:r>
      <w:r w:rsidRPr="00764B92">
        <w:t xml:space="preserve">of </w:t>
      </w:r>
      <w:r>
        <w:t>being a past year moderate-risk/problem</w:t>
      </w:r>
      <w:r w:rsidRPr="00764B92">
        <w:t xml:space="preserve"> gambl</w:t>
      </w:r>
      <w:r>
        <w:t>er versus being a low-risk/non-problem/non-g</w:t>
      </w:r>
      <w:r w:rsidRPr="00A55E1D">
        <w:t>ambl</w:t>
      </w:r>
      <w:r>
        <w:t>er,</w:t>
      </w:r>
      <w:r w:rsidRPr="00E1788B">
        <w:t xml:space="preserve"> than Pacific people who did not gamble on pub EGMs.  This finding was also noted for </w:t>
      </w:r>
      <w:r>
        <w:t>the total population</w:t>
      </w:r>
      <w:r w:rsidRPr="00E1788B">
        <w:t xml:space="preserve"> though the risk (</w:t>
      </w:r>
      <w:r w:rsidR="004B0286">
        <w:t>odds r</w:t>
      </w:r>
      <w:r w:rsidR="002400BF" w:rsidRPr="00E1788B">
        <w:t>atio</w:t>
      </w:r>
      <w:r w:rsidRPr="00E1788B">
        <w:t>) was greater</w:t>
      </w:r>
      <w:r w:rsidR="006F0F2D">
        <w:t xml:space="preserve"> than for Pacific people</w:t>
      </w:r>
      <w:r w:rsidRPr="00E1788B">
        <w:t>.</w:t>
      </w:r>
    </w:p>
    <w:p w14:paraId="01530639" w14:textId="77777777" w:rsidR="00A023BD" w:rsidRPr="00E1788B" w:rsidRDefault="00A023BD" w:rsidP="00A023BD">
      <w:pPr>
        <w:pStyle w:val="RepNormal"/>
      </w:pPr>
    </w:p>
    <w:p w14:paraId="692262E4" w14:textId="77777777" w:rsidR="00A023BD" w:rsidRPr="00E1788B" w:rsidRDefault="00A023BD" w:rsidP="00A023BD">
      <w:pPr>
        <w:pStyle w:val="RepNormal"/>
      </w:pPr>
      <w:r w:rsidRPr="00E1788B">
        <w:t>One method for moderating gambling behaviour was associated with Pacific people</w:t>
      </w:r>
      <w:r>
        <w:t xml:space="preserve"> being past year moderate-risk/problem</w:t>
      </w:r>
      <w:r w:rsidRPr="00764B92">
        <w:t xml:space="preserve"> gambl</w:t>
      </w:r>
      <w:r>
        <w:t>ers versus being low-risk/non-problem/non-g</w:t>
      </w:r>
      <w:r w:rsidRPr="00A55E1D">
        <w:t>ambl</w:t>
      </w:r>
      <w:r>
        <w:t>ers</w:t>
      </w:r>
      <w:r w:rsidRPr="00E1788B">
        <w:t xml:space="preserve"> - avoiding places that have betting or gambling (4.</w:t>
      </w:r>
      <w:r>
        <w:t>47</w:t>
      </w:r>
      <w:r w:rsidRPr="00E1788B">
        <w:t xml:space="preserve"> times higher).  This finding was also noted for </w:t>
      </w:r>
      <w:r>
        <w:t>the total population</w:t>
      </w:r>
      <w:r w:rsidRPr="00E1788B">
        <w:t xml:space="preserve"> though </w:t>
      </w:r>
      <w:r>
        <w:t xml:space="preserve">was </w:t>
      </w:r>
      <w:r w:rsidRPr="00E1788B">
        <w:t xml:space="preserve">not </w:t>
      </w:r>
      <w:r>
        <w:t xml:space="preserve">noted </w:t>
      </w:r>
      <w:r w:rsidRPr="00E1788B">
        <w:t>for Māori.</w:t>
      </w:r>
    </w:p>
    <w:p w14:paraId="6738A8C8" w14:textId="77777777" w:rsidR="00A023BD" w:rsidRPr="00E1788B" w:rsidRDefault="00A023BD" w:rsidP="00A023BD">
      <w:pPr>
        <w:pStyle w:val="RepNormal"/>
      </w:pPr>
    </w:p>
    <w:p w14:paraId="03AFF1CD" w14:textId="77777777" w:rsidR="00A023BD" w:rsidRPr="00E1788B" w:rsidRDefault="00A023BD" w:rsidP="00A023BD">
      <w:pPr>
        <w:pStyle w:val="RepNormal"/>
      </w:pPr>
    </w:p>
    <w:p w14:paraId="0FDC0397" w14:textId="77777777" w:rsidR="00A023BD" w:rsidRPr="00E1788B" w:rsidRDefault="00A023BD" w:rsidP="00A023BD">
      <w:pPr>
        <w:pStyle w:val="RepNormal"/>
        <w:keepNext/>
        <w:rPr>
          <w:u w:val="single"/>
        </w:rPr>
      </w:pPr>
      <w:r w:rsidRPr="00E1788B">
        <w:rPr>
          <w:u w:val="single"/>
        </w:rPr>
        <w:t xml:space="preserve">Variables associated with </w:t>
      </w:r>
      <w:r>
        <w:rPr>
          <w:u w:val="single"/>
        </w:rPr>
        <w:t>a lower</w:t>
      </w:r>
      <w:r w:rsidRPr="00E1788B">
        <w:rPr>
          <w:u w:val="single"/>
        </w:rPr>
        <w:t xml:space="preserve"> </w:t>
      </w:r>
      <w:r>
        <w:rPr>
          <w:u w:val="single"/>
        </w:rPr>
        <w:t>chance</w:t>
      </w:r>
      <w:r w:rsidRPr="00E1788B">
        <w:rPr>
          <w:u w:val="single"/>
        </w:rPr>
        <w:t xml:space="preserve"> of </w:t>
      </w:r>
      <w:r>
        <w:rPr>
          <w:u w:val="single"/>
        </w:rPr>
        <w:t xml:space="preserve">being a past year </w:t>
      </w:r>
      <w:r w:rsidRPr="00E1788B">
        <w:rPr>
          <w:u w:val="single"/>
        </w:rPr>
        <w:t>moderate-risk/problem gambl</w:t>
      </w:r>
      <w:r>
        <w:rPr>
          <w:u w:val="single"/>
        </w:rPr>
        <w:t>er</w:t>
      </w:r>
      <w:r w:rsidRPr="00E1788B">
        <w:rPr>
          <w:u w:val="single"/>
        </w:rPr>
        <w:t xml:space="preserve"> </w:t>
      </w:r>
    </w:p>
    <w:p w14:paraId="06828197" w14:textId="77777777" w:rsidR="00A023BD" w:rsidRPr="00E1788B" w:rsidRDefault="00A023BD" w:rsidP="00A023BD">
      <w:pPr>
        <w:pStyle w:val="RepNormal"/>
        <w:keepNext/>
      </w:pPr>
    </w:p>
    <w:p w14:paraId="57B22724" w14:textId="77777777" w:rsidR="00A023BD" w:rsidRDefault="00A023BD" w:rsidP="00A023BD">
      <w:pPr>
        <w:pStyle w:val="RepNormal"/>
        <w:keepNext/>
      </w:pPr>
      <w:r w:rsidRPr="00E1788B">
        <w:t xml:space="preserve">There were no variables associated with </w:t>
      </w:r>
      <w:r>
        <w:t>lower</w:t>
      </w:r>
      <w:r w:rsidRPr="00E1788B">
        <w:t xml:space="preserve"> likelihood of Pacific </w:t>
      </w:r>
      <w:r>
        <w:t>people being past year moderate-risk/problem</w:t>
      </w:r>
      <w:r w:rsidRPr="00764B92">
        <w:t xml:space="preserve"> gambl</w:t>
      </w:r>
      <w:r>
        <w:t>ers versus being low-risk/non-problem/non-g</w:t>
      </w:r>
      <w:r w:rsidRPr="00A55E1D">
        <w:t>ambl</w:t>
      </w:r>
      <w:r>
        <w:t>ers</w:t>
      </w:r>
      <w:r w:rsidRPr="00E1788B">
        <w:t>.</w:t>
      </w:r>
    </w:p>
    <w:p w14:paraId="68946D23" w14:textId="77777777" w:rsidR="00A023BD" w:rsidRPr="00320388" w:rsidRDefault="00A023BD" w:rsidP="00A023BD">
      <w:pPr>
        <w:pStyle w:val="RepNormal"/>
      </w:pPr>
    </w:p>
    <w:p w14:paraId="212BC87C" w14:textId="77777777" w:rsidR="00350870" w:rsidRDefault="00350870" w:rsidP="002D3CBA">
      <w:pPr>
        <w:pStyle w:val="RepHead2"/>
      </w:pPr>
      <w:bookmarkStart w:id="168" w:name="_Ref483378574"/>
      <w:bookmarkStart w:id="169" w:name="_Toc504488386"/>
      <w:r>
        <w:t>Recovery from</w:t>
      </w:r>
      <w:r w:rsidR="001945A1">
        <w:t xml:space="preserve"> </w:t>
      </w:r>
      <w:r>
        <w:t>moderate-risk/problem gambling</w:t>
      </w:r>
      <w:bookmarkEnd w:id="168"/>
      <w:bookmarkEnd w:id="169"/>
      <w:r>
        <w:t xml:space="preserve"> </w:t>
      </w:r>
    </w:p>
    <w:p w14:paraId="27B6FEB0" w14:textId="77777777" w:rsidR="00350870" w:rsidRDefault="00350870" w:rsidP="002D3CBA">
      <w:pPr>
        <w:pStyle w:val="RepNormal"/>
        <w:keepNext/>
      </w:pPr>
    </w:p>
    <w:p w14:paraId="32555DE9" w14:textId="77777777" w:rsidR="00350870" w:rsidRDefault="00350870" w:rsidP="001945A1">
      <w:pPr>
        <w:pStyle w:val="RepNormal"/>
        <w:keepNext/>
      </w:pPr>
      <w:r w:rsidRPr="00350870">
        <w:t xml:space="preserve">This section details associations with </w:t>
      </w:r>
      <w:r>
        <w:t>recovery from</w:t>
      </w:r>
      <w:r w:rsidR="001945A1">
        <w:t xml:space="preserve"> </w:t>
      </w:r>
      <w:r w:rsidRPr="00350870">
        <w:t>moderate-risk/problem gambling.</w:t>
      </w:r>
      <w:r>
        <w:t xml:space="preserve">  Participants who were moderate-risk/problem gamblers in Wave 1, who then transitioned out of these risk levels to lower levels </w:t>
      </w:r>
      <w:r w:rsidR="00B97E07">
        <w:t xml:space="preserve">(or stopped gambling) </w:t>
      </w:r>
      <w:r>
        <w:t>and remained at the lower levels in Waves 2</w:t>
      </w:r>
      <w:r w:rsidR="00583365">
        <w:t>, 3 and</w:t>
      </w:r>
      <w:r>
        <w:t xml:space="preserve"> 4 were deemed to have </w:t>
      </w:r>
      <w:r w:rsidRPr="00583365">
        <w:rPr>
          <w:i/>
        </w:rPr>
        <w:t>recovered</w:t>
      </w:r>
      <w:r>
        <w:t xml:space="preserve"> from moderate-risk/problem gambling.</w:t>
      </w:r>
      <w:r w:rsidR="00626C08">
        <w:t xml:space="preserve">  </w:t>
      </w:r>
      <w:r w:rsidR="00626C08" w:rsidRPr="00626C08">
        <w:t xml:space="preserve">Bivariate associations (section </w:t>
      </w:r>
      <w:r w:rsidR="00626C08">
        <w:fldChar w:fldCharType="begin"/>
      </w:r>
      <w:r w:rsidR="00626C08">
        <w:instrText xml:space="preserve"> REF _Ref495670908 \r \h </w:instrText>
      </w:r>
      <w:r w:rsidR="00626C08">
        <w:fldChar w:fldCharType="separate"/>
      </w:r>
      <w:r w:rsidR="00D5752E">
        <w:t>4.11.1</w:t>
      </w:r>
      <w:r w:rsidR="00626C08">
        <w:fldChar w:fldCharType="end"/>
      </w:r>
      <w:r w:rsidR="00626C08" w:rsidRPr="00626C08">
        <w:t xml:space="preserve">) are presented, as are multiple logistic regression analyses (section </w:t>
      </w:r>
      <w:r w:rsidR="00626C08">
        <w:fldChar w:fldCharType="begin"/>
      </w:r>
      <w:r w:rsidR="00626C08">
        <w:instrText xml:space="preserve"> REF _Ref495670918 \r \h </w:instrText>
      </w:r>
      <w:r w:rsidR="00626C08">
        <w:fldChar w:fldCharType="separate"/>
      </w:r>
      <w:r w:rsidR="00D5752E">
        <w:t>4.11.2</w:t>
      </w:r>
      <w:r w:rsidR="00626C08">
        <w:fldChar w:fldCharType="end"/>
      </w:r>
      <w:r w:rsidR="00626C08" w:rsidRPr="00626C08">
        <w:t>)</w:t>
      </w:r>
      <w:r w:rsidR="00B91F56">
        <w:t>.  Subgroup analyses by ethnicity were not possible due to very small sample sizes.</w:t>
      </w:r>
      <w:r w:rsidR="00626C08" w:rsidRPr="00626C08">
        <w:t xml:space="preserve">  </w:t>
      </w:r>
    </w:p>
    <w:p w14:paraId="1000816C" w14:textId="77777777" w:rsidR="00B97E07" w:rsidRDefault="00B97E07" w:rsidP="00B97E07">
      <w:pPr>
        <w:pStyle w:val="RepNormal"/>
      </w:pPr>
    </w:p>
    <w:p w14:paraId="7E71D489" w14:textId="77777777" w:rsidR="009A3229" w:rsidRDefault="009A3229" w:rsidP="009A3229">
      <w:pPr>
        <w:pStyle w:val="RepNormal"/>
      </w:pPr>
      <w:r>
        <w:t xml:space="preserve">Eight participants (adjusted n) were moderate-risk/problem gamblers in Wave 1 and remained so in Waves 2, 3 and 4.  Twenty-six participants (adjusted n) were moderate-risk/problem gamblers in Wave 1 and transitioned to a lower risk level </w:t>
      </w:r>
      <w:r w:rsidR="00583365">
        <w:t xml:space="preserve">(or stopped gambling) </w:t>
      </w:r>
      <w:r>
        <w:t xml:space="preserve">in Wave 2, remaining at </w:t>
      </w:r>
      <w:r w:rsidR="00583365">
        <w:t>the</w:t>
      </w:r>
      <w:r>
        <w:t xml:space="preserve"> lower level in Waves 3 and 4; these people </w:t>
      </w:r>
      <w:r w:rsidRPr="00B97E07">
        <w:rPr>
          <w:i/>
        </w:rPr>
        <w:t>recovered</w:t>
      </w:r>
      <w:r>
        <w:t xml:space="preserve"> from moderate-risk/</w:t>
      </w:r>
      <w:r w:rsidR="00583365">
        <w:t xml:space="preserve"> </w:t>
      </w:r>
      <w:r>
        <w:t>problem gambling.</w:t>
      </w:r>
    </w:p>
    <w:p w14:paraId="6FF396D5" w14:textId="77777777" w:rsidR="009A3229" w:rsidRDefault="009A3229" w:rsidP="009A3229">
      <w:pPr>
        <w:pStyle w:val="RepNormal"/>
      </w:pPr>
    </w:p>
    <w:p w14:paraId="6EEE6E60" w14:textId="6C7C81A1" w:rsidR="009A3229" w:rsidRDefault="009A3229" w:rsidP="009A3229">
      <w:pPr>
        <w:pStyle w:val="RepNormal"/>
      </w:pPr>
      <w:r>
        <w:rPr>
          <w:i/>
        </w:rPr>
        <w:t>Note that due to the very small sample size</w:t>
      </w:r>
      <w:r w:rsidR="00947B01">
        <w:rPr>
          <w:i/>
        </w:rPr>
        <w:t>s</w:t>
      </w:r>
      <w:r w:rsidR="004B0286">
        <w:rPr>
          <w:i/>
        </w:rPr>
        <w:t>, the associations (and odds r</w:t>
      </w:r>
      <w:r>
        <w:rPr>
          <w:i/>
        </w:rPr>
        <w:t>atios) detailed below must be considered indicative only.</w:t>
      </w:r>
      <w:r w:rsidR="004B0286">
        <w:rPr>
          <w:i/>
        </w:rPr>
        <w:t xml:space="preserve">  In several cases, odds r</w:t>
      </w:r>
      <w:r w:rsidR="00FD4722">
        <w:rPr>
          <w:i/>
        </w:rPr>
        <w:t>atios were not calculable.</w:t>
      </w:r>
    </w:p>
    <w:p w14:paraId="4C0D4299" w14:textId="77777777" w:rsidR="009A3229" w:rsidRDefault="009A3229" w:rsidP="009A3229">
      <w:pPr>
        <w:pStyle w:val="RepNormal"/>
      </w:pPr>
    </w:p>
    <w:p w14:paraId="33C0CCD0" w14:textId="77777777" w:rsidR="001945A1" w:rsidRDefault="001945A1" w:rsidP="009A3229">
      <w:pPr>
        <w:pStyle w:val="RepNormal"/>
      </w:pPr>
    </w:p>
    <w:p w14:paraId="067E0A41" w14:textId="77777777" w:rsidR="001945A1" w:rsidRDefault="001945A1" w:rsidP="001945A1">
      <w:pPr>
        <w:pStyle w:val="RepHead3"/>
      </w:pPr>
      <w:bookmarkStart w:id="170" w:name="_Ref495670908"/>
      <w:bookmarkStart w:id="171" w:name="_Toc504488387"/>
      <w:r>
        <w:t>Bivariate associations</w:t>
      </w:r>
      <w:bookmarkEnd w:id="170"/>
      <w:bookmarkEnd w:id="171"/>
    </w:p>
    <w:p w14:paraId="2C5C060E" w14:textId="77777777" w:rsidR="009A3229" w:rsidRDefault="009A3229" w:rsidP="009A3229">
      <w:pPr>
        <w:pStyle w:val="RepNormal"/>
      </w:pPr>
    </w:p>
    <w:p w14:paraId="61610187" w14:textId="77777777" w:rsidR="009A3229" w:rsidRDefault="00BE0454" w:rsidP="009A3229">
      <w:pPr>
        <w:pStyle w:val="RepNormal"/>
      </w:pPr>
      <w:r>
        <w:t>Statistically significant bivariate associations</w:t>
      </w:r>
      <w:r w:rsidR="009A3229">
        <w:t xml:space="preserve"> are presented in Appendix </w:t>
      </w:r>
      <w:r w:rsidR="003D7BB5">
        <w:t>31</w:t>
      </w:r>
      <w:r w:rsidR="009A3229">
        <w:t>.</w:t>
      </w:r>
    </w:p>
    <w:p w14:paraId="61848BF5" w14:textId="77777777" w:rsidR="009A3229" w:rsidRDefault="009A3229" w:rsidP="009A3229">
      <w:pPr>
        <w:pStyle w:val="RepNormal"/>
      </w:pPr>
    </w:p>
    <w:p w14:paraId="34FA0FC5" w14:textId="77777777" w:rsidR="00FD4722" w:rsidRDefault="00FD4722" w:rsidP="009A3229">
      <w:pPr>
        <w:pStyle w:val="RepNormal"/>
      </w:pPr>
      <w:r>
        <w:t xml:space="preserve">Bivariate associations examined using logistic regression indicated that </w:t>
      </w:r>
      <w:r w:rsidR="005C7F89">
        <w:t xml:space="preserve">Wave 1 </w:t>
      </w:r>
      <w:r>
        <w:t xml:space="preserve">household size </w:t>
      </w:r>
      <w:r w:rsidR="005E3FD2">
        <w:t xml:space="preserve">(three to four people) </w:t>
      </w:r>
      <w:r>
        <w:t>and annual person</w:t>
      </w:r>
      <w:r w:rsidR="005E3FD2">
        <w:t>al</w:t>
      </w:r>
      <w:r>
        <w:t xml:space="preserve"> income </w:t>
      </w:r>
      <w:r w:rsidR="005E3FD2">
        <w:t>($40,001 to $60,000</w:t>
      </w:r>
      <w:r w:rsidR="00947B01">
        <w:t>)</w:t>
      </w:r>
      <w:r w:rsidR="005E3FD2">
        <w:t xml:space="preserve"> </w:t>
      </w:r>
      <w:r>
        <w:t>were both significantly associated with increased likelihood of recovery from moderate-risk/problem gambling</w:t>
      </w:r>
      <w:r w:rsidR="00F724D0">
        <w:t xml:space="preserve"> compared with people in households of one to two people, or on the lowest income ($20,000 or less).</w:t>
      </w:r>
      <w:r>
        <w:t xml:space="preserve"> </w:t>
      </w:r>
      <w:r w:rsidR="00F724D0">
        <w:t xml:space="preserve"> </w:t>
      </w:r>
      <w:r w:rsidR="005C7F89">
        <w:t>Wave 1 a</w:t>
      </w:r>
      <w:r>
        <w:t xml:space="preserve">ge </w:t>
      </w:r>
      <w:r w:rsidR="005E3FD2">
        <w:t xml:space="preserve">(60 years or older) </w:t>
      </w:r>
      <w:r>
        <w:t>was associated with a reduced likelihood</w:t>
      </w:r>
      <w:r w:rsidR="00F724D0">
        <w:t xml:space="preserve"> </w:t>
      </w:r>
      <w:r w:rsidR="00947B01">
        <w:t xml:space="preserve">of recovery </w:t>
      </w:r>
      <w:r w:rsidR="00F724D0">
        <w:t>compared with people aged 18 to 39 years.</w:t>
      </w:r>
    </w:p>
    <w:p w14:paraId="783BC344" w14:textId="77777777" w:rsidR="00FD4722" w:rsidRDefault="00FD4722" w:rsidP="009A3229">
      <w:pPr>
        <w:pStyle w:val="RepNormal"/>
      </w:pPr>
    </w:p>
    <w:p w14:paraId="27BF0B94" w14:textId="77777777" w:rsidR="005E3FD2" w:rsidRDefault="005E3FD2" w:rsidP="009A3229">
      <w:pPr>
        <w:pStyle w:val="RepNormal"/>
      </w:pPr>
      <w:r>
        <w:t xml:space="preserve">Additionally, people who </w:t>
      </w:r>
      <w:r w:rsidR="00947B01">
        <w:t xml:space="preserve">had </w:t>
      </w:r>
      <w:r>
        <w:t>gambled on a higher number of activities</w:t>
      </w:r>
      <w:r w:rsidR="00F724D0">
        <w:t xml:space="preserve"> (four or more) in the past year</w:t>
      </w:r>
      <w:r w:rsidR="005C7F89">
        <w:t xml:space="preserve"> in Wave 1</w:t>
      </w:r>
      <w:r>
        <w:t>, who gambled annually</w:t>
      </w:r>
      <w:r w:rsidR="00947B01">
        <w:t xml:space="preserve"> or more often</w:t>
      </w:r>
      <w:r>
        <w:t xml:space="preserve"> </w:t>
      </w:r>
      <w:r w:rsidR="00947B01">
        <w:t>on bets with friends/workmates,</w:t>
      </w:r>
      <w:r w:rsidR="00F724D0">
        <w:t xml:space="preserve"> club EGMs, or New Z</w:t>
      </w:r>
      <w:r w:rsidR="00947B01">
        <w:t>ealand online gambling,</w:t>
      </w:r>
      <w:r w:rsidR="00F724D0">
        <w:t xml:space="preserve"> </w:t>
      </w:r>
      <w:r>
        <w:t xml:space="preserve">or </w:t>
      </w:r>
      <w:r w:rsidR="00947B01">
        <w:t xml:space="preserve">who gambled </w:t>
      </w:r>
      <w:r>
        <w:t>monthly</w:t>
      </w:r>
      <w:r w:rsidR="00947B01">
        <w:t xml:space="preserve"> or more often</w:t>
      </w:r>
      <w:r>
        <w:t xml:space="preserve"> on </w:t>
      </w:r>
      <w:r w:rsidR="00F724D0">
        <w:t xml:space="preserve">text games or competitions, Instant Kiwi or other scratch tickets, horse and dog race betting, EGMs overall, or New Zealand online gambling </w:t>
      </w:r>
      <w:r>
        <w:t>were less l</w:t>
      </w:r>
      <w:r w:rsidR="00F724D0">
        <w:t xml:space="preserve">ikely to recover </w:t>
      </w:r>
      <w:r w:rsidR="00947B01">
        <w:t xml:space="preserve">from moderate-risk/problem gambling </w:t>
      </w:r>
      <w:r w:rsidR="00F724D0">
        <w:t xml:space="preserve">than people who did not gamble annually or monthly on those activities or who gambled on only one to three activities. </w:t>
      </w:r>
    </w:p>
    <w:p w14:paraId="672BFA9D" w14:textId="77777777" w:rsidR="005C7F89" w:rsidRDefault="005C7F89" w:rsidP="009A3229">
      <w:pPr>
        <w:pStyle w:val="RepNormal"/>
      </w:pPr>
    </w:p>
    <w:p w14:paraId="1D3A4EAD" w14:textId="77777777" w:rsidR="005C7F89" w:rsidRDefault="005C7F89" w:rsidP="009A3229">
      <w:pPr>
        <w:pStyle w:val="RepNormal"/>
      </w:pPr>
    </w:p>
    <w:p w14:paraId="60E8FD11" w14:textId="77777777" w:rsidR="001945A1" w:rsidRDefault="001945A1" w:rsidP="001945A1">
      <w:pPr>
        <w:pStyle w:val="RepHead3"/>
      </w:pPr>
      <w:bookmarkStart w:id="172" w:name="_Ref495670918"/>
      <w:bookmarkStart w:id="173" w:name="_Toc504488388"/>
      <w:r>
        <w:t>Multiple logistic regression</w:t>
      </w:r>
      <w:bookmarkEnd w:id="172"/>
      <w:bookmarkEnd w:id="173"/>
    </w:p>
    <w:p w14:paraId="6541542F" w14:textId="77777777" w:rsidR="001945A1" w:rsidRDefault="001945A1" w:rsidP="005C7F89">
      <w:pPr>
        <w:pStyle w:val="RepNormal"/>
      </w:pPr>
    </w:p>
    <w:p w14:paraId="16477534" w14:textId="77777777" w:rsidR="005C7F89" w:rsidRPr="005C7F89" w:rsidRDefault="005C7F89" w:rsidP="005C7F89">
      <w:pPr>
        <w:pStyle w:val="RepNormal"/>
      </w:pPr>
      <w:r>
        <w:t xml:space="preserve">Data are presented in </w:t>
      </w:r>
      <w:r w:rsidR="00330169">
        <w:fldChar w:fldCharType="begin"/>
      </w:r>
      <w:r w:rsidR="00330169">
        <w:instrText xml:space="preserve"> REF _Ref435181201 \h </w:instrText>
      </w:r>
      <w:r w:rsidR="00330169">
        <w:fldChar w:fldCharType="separate"/>
      </w:r>
      <w:r w:rsidR="00D5752E">
        <w:t xml:space="preserve">Table </w:t>
      </w:r>
      <w:r w:rsidR="00D5752E">
        <w:rPr>
          <w:noProof/>
        </w:rPr>
        <w:t>21</w:t>
      </w:r>
      <w:r w:rsidR="00330169">
        <w:fldChar w:fldCharType="end"/>
      </w:r>
      <w:r w:rsidR="00330169">
        <w:t>.</w:t>
      </w:r>
    </w:p>
    <w:p w14:paraId="4E681578" w14:textId="77777777" w:rsidR="005C7F89" w:rsidRDefault="005C7F89" w:rsidP="009A3229">
      <w:pPr>
        <w:pStyle w:val="RepNormal"/>
      </w:pPr>
    </w:p>
    <w:p w14:paraId="0A0C84AC" w14:textId="06351CF9" w:rsidR="005C7F89" w:rsidRDefault="005C7F89" w:rsidP="009A3229">
      <w:pPr>
        <w:pStyle w:val="RepNormal"/>
      </w:pPr>
      <w:r w:rsidRPr="00F1161D">
        <w:t xml:space="preserve">Multiple logistic regression analyses showed that the only variables that remained </w:t>
      </w:r>
      <w:r>
        <w:t xml:space="preserve">significantly associated with recovery from moderate-risk/problem gambling were Wave 1 </w:t>
      </w:r>
      <w:r w:rsidR="00BD4CD5">
        <w:t xml:space="preserve">gambling </w:t>
      </w:r>
      <w:r>
        <w:t xml:space="preserve">monthly </w:t>
      </w:r>
      <w:r w:rsidR="00F1161D">
        <w:t xml:space="preserve">or more often </w:t>
      </w:r>
      <w:r>
        <w:t xml:space="preserve">on Instant Kiwi or other scratch tickets, </w:t>
      </w:r>
      <w:r w:rsidR="007A6D62">
        <w:t xml:space="preserve">and </w:t>
      </w:r>
      <w:r w:rsidR="00F1161D">
        <w:t>on</w:t>
      </w:r>
      <w:r>
        <w:t xml:space="preserve"> horse and dog race betting</w:t>
      </w:r>
      <w:r w:rsidR="007A6D62">
        <w:t xml:space="preserve">.  </w:t>
      </w:r>
      <w:r w:rsidR="00BD4CD5">
        <w:t>Gambling m</w:t>
      </w:r>
      <w:r>
        <w:t xml:space="preserve">onthly </w:t>
      </w:r>
      <w:r w:rsidR="00F1161D">
        <w:t xml:space="preserve">or more often </w:t>
      </w:r>
      <w:r>
        <w:t>on club EGMs</w:t>
      </w:r>
      <w:r w:rsidR="007A6D62">
        <w:t xml:space="preserve"> was also associated</w:t>
      </w:r>
      <w:r w:rsidR="00016AB6">
        <w:t xml:space="preserve"> with recovery</w:t>
      </w:r>
      <w:r w:rsidR="007A6D62">
        <w:t xml:space="preserve">; this just failed to attain a level of statistical significance in the bivariate analyses (p=0.07) although </w:t>
      </w:r>
      <w:r w:rsidR="00BD4CD5">
        <w:t xml:space="preserve">gambling </w:t>
      </w:r>
      <w:r w:rsidR="007A6D62">
        <w:t>annual</w:t>
      </w:r>
      <w:r w:rsidR="00BD4CD5">
        <w:t>ly</w:t>
      </w:r>
      <w:r w:rsidR="007A6D62">
        <w:t xml:space="preserve"> </w:t>
      </w:r>
      <w:r w:rsidR="00F1161D">
        <w:t xml:space="preserve">or more often </w:t>
      </w:r>
      <w:r w:rsidR="007A6D62">
        <w:t>on club EGMs was significantly associated in the bivariate analyses.</w:t>
      </w:r>
      <w:r>
        <w:t xml:space="preserve">  For each of these gambling activities, </w:t>
      </w:r>
      <w:r w:rsidR="00F1161D">
        <w:t>participants</w:t>
      </w:r>
      <w:r>
        <w:t xml:space="preserve"> had substantially </w:t>
      </w:r>
      <w:r w:rsidRPr="003520D4">
        <w:rPr>
          <w:u w:val="single"/>
        </w:rPr>
        <w:t>lower</w:t>
      </w:r>
      <w:r>
        <w:t xml:space="preserve"> odds for recovery </w:t>
      </w:r>
      <w:r w:rsidR="002400BF">
        <w:t xml:space="preserve">(i.e. were less likely to recover), </w:t>
      </w:r>
      <w:r>
        <w:t xml:space="preserve">compared with people who did not gamble </w:t>
      </w:r>
      <w:r w:rsidR="00F1161D">
        <w:t xml:space="preserve">at least </w:t>
      </w:r>
      <w:r>
        <w:t xml:space="preserve">monthly on these activities.  The odds </w:t>
      </w:r>
      <w:r w:rsidR="004D1358">
        <w:t xml:space="preserve">ratios </w:t>
      </w:r>
      <w:r>
        <w:t>were 0.06 for Instant Kiwi</w:t>
      </w:r>
      <w:r w:rsidR="00F1161D">
        <w:t>/other scratch tickets</w:t>
      </w:r>
      <w:r>
        <w:t>, 0.04 for horse/dog race betting, and 0.05 for club EGM gambling.</w:t>
      </w:r>
    </w:p>
    <w:p w14:paraId="1D4A796D" w14:textId="77777777" w:rsidR="00350870" w:rsidRDefault="00350870" w:rsidP="00350870">
      <w:pPr>
        <w:pStyle w:val="RepNormal"/>
      </w:pPr>
    </w:p>
    <w:p w14:paraId="4D211440" w14:textId="77777777" w:rsidR="007A6D62" w:rsidRPr="00B01A26" w:rsidRDefault="007A6D62" w:rsidP="00855BF7">
      <w:pPr>
        <w:pStyle w:val="Caption"/>
        <w:keepNext/>
        <w:jc w:val="both"/>
        <w:rPr>
          <w:sz w:val="22"/>
          <w:szCs w:val="22"/>
        </w:rPr>
      </w:pPr>
      <w:bookmarkStart w:id="174" w:name="_Ref435181201"/>
      <w:bookmarkStart w:id="175" w:name="_Toc444864319"/>
      <w:bookmarkStart w:id="176" w:name="_Toc504488446"/>
      <w:r>
        <w:t xml:space="preserve">Table </w:t>
      </w:r>
      <w:r w:rsidR="00D5752E">
        <w:fldChar w:fldCharType="begin"/>
      </w:r>
      <w:r w:rsidR="00D5752E">
        <w:instrText xml:space="preserve"> SEQ Table \* ARABIC </w:instrText>
      </w:r>
      <w:r w:rsidR="00D5752E">
        <w:fldChar w:fldCharType="separate"/>
      </w:r>
      <w:r w:rsidR="00D5752E">
        <w:rPr>
          <w:noProof/>
        </w:rPr>
        <w:t>21</w:t>
      </w:r>
      <w:r w:rsidR="00D5752E">
        <w:rPr>
          <w:noProof/>
        </w:rPr>
        <w:fldChar w:fldCharType="end"/>
      </w:r>
      <w:bookmarkEnd w:id="174"/>
      <w:r>
        <w:t>: Multiple logistic regression for recovery from moderate-risk/problem gambling</w:t>
      </w:r>
      <w:bookmarkEnd w:id="175"/>
      <w:bookmarkEnd w:id="176"/>
    </w:p>
    <w:tbl>
      <w:tblPr>
        <w:tblStyle w:val="TableGrid"/>
        <w:tblW w:w="8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048"/>
        <w:gridCol w:w="995"/>
        <w:gridCol w:w="1055"/>
        <w:gridCol w:w="1275"/>
        <w:gridCol w:w="1020"/>
      </w:tblGrid>
      <w:tr w:rsidR="007A6D62" w:rsidRPr="003F15C0" w14:paraId="3AACD334" w14:textId="77777777" w:rsidTr="002D3CBA">
        <w:trPr>
          <w:tblHeader/>
        </w:trPr>
        <w:tc>
          <w:tcPr>
            <w:tcW w:w="3119" w:type="dxa"/>
            <w:tcBorders>
              <w:top w:val="single" w:sz="4" w:space="0" w:color="auto"/>
              <w:bottom w:val="single" w:sz="4" w:space="0" w:color="auto"/>
            </w:tcBorders>
            <w:vAlign w:val="bottom"/>
          </w:tcPr>
          <w:p w14:paraId="0912CA4C" w14:textId="77777777" w:rsidR="007A6D62" w:rsidRPr="003F15C0" w:rsidRDefault="007A6D62" w:rsidP="00855BF7">
            <w:pPr>
              <w:keepNext/>
              <w:spacing w:before="20"/>
              <w:jc w:val="both"/>
              <w:rPr>
                <w:b/>
                <w:sz w:val="16"/>
                <w:szCs w:val="16"/>
              </w:rPr>
            </w:pPr>
            <w:r>
              <w:rPr>
                <w:b/>
                <w:sz w:val="16"/>
                <w:szCs w:val="16"/>
              </w:rPr>
              <w:t>Wave 1 v</w:t>
            </w:r>
            <w:r w:rsidRPr="003F15C0">
              <w:rPr>
                <w:b/>
                <w:sz w:val="16"/>
                <w:szCs w:val="16"/>
              </w:rPr>
              <w:t>ariable</w:t>
            </w:r>
          </w:p>
        </w:tc>
        <w:tc>
          <w:tcPr>
            <w:tcW w:w="1048" w:type="dxa"/>
            <w:tcBorders>
              <w:top w:val="single" w:sz="4" w:space="0" w:color="auto"/>
              <w:bottom w:val="single" w:sz="4" w:space="0" w:color="auto"/>
            </w:tcBorders>
            <w:vAlign w:val="bottom"/>
          </w:tcPr>
          <w:p w14:paraId="30E7806E" w14:textId="77777777" w:rsidR="007A6D62" w:rsidRPr="003F15C0" w:rsidRDefault="007A6D62" w:rsidP="00855BF7">
            <w:pPr>
              <w:keepNext/>
              <w:spacing w:before="20"/>
              <w:jc w:val="right"/>
              <w:rPr>
                <w:b/>
                <w:bCs/>
                <w:color w:val="000000"/>
                <w:sz w:val="16"/>
                <w:szCs w:val="16"/>
              </w:rPr>
            </w:pPr>
            <w:r>
              <w:rPr>
                <w:b/>
                <w:bCs/>
                <w:color w:val="000000"/>
                <w:sz w:val="16"/>
                <w:szCs w:val="16"/>
              </w:rPr>
              <w:t>Adjusted n</w:t>
            </w:r>
          </w:p>
        </w:tc>
        <w:tc>
          <w:tcPr>
            <w:tcW w:w="995" w:type="dxa"/>
            <w:tcBorders>
              <w:top w:val="single" w:sz="4" w:space="0" w:color="auto"/>
              <w:bottom w:val="single" w:sz="4" w:space="0" w:color="auto"/>
            </w:tcBorders>
            <w:vAlign w:val="bottom"/>
          </w:tcPr>
          <w:p w14:paraId="3C36C5FE" w14:textId="77777777" w:rsidR="007A6D62" w:rsidRPr="003F15C0" w:rsidRDefault="007A6D62" w:rsidP="00855BF7">
            <w:pPr>
              <w:keepNext/>
              <w:spacing w:before="20"/>
              <w:jc w:val="right"/>
              <w:rPr>
                <w:b/>
                <w:bCs/>
                <w:color w:val="000000"/>
                <w:sz w:val="16"/>
                <w:szCs w:val="16"/>
              </w:rPr>
            </w:pPr>
            <w:r w:rsidRPr="003F15C0">
              <w:rPr>
                <w:b/>
                <w:bCs/>
                <w:color w:val="000000"/>
                <w:sz w:val="16"/>
                <w:szCs w:val="16"/>
              </w:rPr>
              <w:t>%</w:t>
            </w:r>
            <w:r>
              <w:rPr>
                <w:b/>
                <w:bCs/>
                <w:color w:val="000000"/>
                <w:sz w:val="16"/>
                <w:szCs w:val="16"/>
              </w:rPr>
              <w:t xml:space="preserve"> Recovery</w:t>
            </w:r>
          </w:p>
        </w:tc>
        <w:tc>
          <w:tcPr>
            <w:tcW w:w="1055" w:type="dxa"/>
            <w:tcBorders>
              <w:top w:val="single" w:sz="4" w:space="0" w:color="auto"/>
              <w:bottom w:val="single" w:sz="4" w:space="0" w:color="auto"/>
            </w:tcBorders>
            <w:vAlign w:val="bottom"/>
          </w:tcPr>
          <w:p w14:paraId="1C56666F" w14:textId="50F53165" w:rsidR="007A6D62" w:rsidRPr="003F15C0" w:rsidRDefault="004B0286" w:rsidP="00855BF7">
            <w:pPr>
              <w:keepNext/>
              <w:spacing w:before="20"/>
              <w:jc w:val="right"/>
              <w:rPr>
                <w:b/>
                <w:color w:val="000000"/>
                <w:sz w:val="16"/>
                <w:szCs w:val="16"/>
              </w:rPr>
            </w:pPr>
            <w:r>
              <w:rPr>
                <w:b/>
                <w:color w:val="000000"/>
                <w:sz w:val="16"/>
                <w:szCs w:val="16"/>
              </w:rPr>
              <w:t>Odds r</w:t>
            </w:r>
            <w:r w:rsidR="007A6D62" w:rsidRPr="003F15C0">
              <w:rPr>
                <w:b/>
                <w:color w:val="000000"/>
                <w:sz w:val="16"/>
                <w:szCs w:val="16"/>
              </w:rPr>
              <w:t>atio</w:t>
            </w:r>
          </w:p>
        </w:tc>
        <w:tc>
          <w:tcPr>
            <w:tcW w:w="1275" w:type="dxa"/>
            <w:tcBorders>
              <w:top w:val="single" w:sz="4" w:space="0" w:color="auto"/>
              <w:bottom w:val="single" w:sz="4" w:space="0" w:color="auto"/>
            </w:tcBorders>
            <w:vAlign w:val="bottom"/>
          </w:tcPr>
          <w:p w14:paraId="39A47CE7" w14:textId="77777777" w:rsidR="007A6D62" w:rsidRPr="003F15C0" w:rsidRDefault="007A6D62" w:rsidP="00855BF7">
            <w:pPr>
              <w:keepNext/>
              <w:spacing w:before="20"/>
              <w:jc w:val="right"/>
              <w:rPr>
                <w:b/>
                <w:color w:val="000000"/>
                <w:sz w:val="16"/>
                <w:szCs w:val="16"/>
              </w:rPr>
            </w:pPr>
            <w:r w:rsidRPr="003F15C0">
              <w:rPr>
                <w:b/>
                <w:color w:val="000000"/>
                <w:sz w:val="16"/>
                <w:szCs w:val="16"/>
              </w:rPr>
              <w:t>(95% CI)</w:t>
            </w:r>
          </w:p>
        </w:tc>
        <w:tc>
          <w:tcPr>
            <w:tcW w:w="1020" w:type="dxa"/>
            <w:tcBorders>
              <w:top w:val="single" w:sz="4" w:space="0" w:color="auto"/>
              <w:bottom w:val="single" w:sz="4" w:space="0" w:color="auto"/>
            </w:tcBorders>
            <w:vAlign w:val="bottom"/>
          </w:tcPr>
          <w:p w14:paraId="765875D1" w14:textId="77777777" w:rsidR="007A6D62" w:rsidRPr="003F15C0" w:rsidRDefault="007A6D62" w:rsidP="00855BF7">
            <w:pPr>
              <w:keepNext/>
              <w:spacing w:before="20"/>
              <w:jc w:val="right"/>
              <w:rPr>
                <w:b/>
                <w:color w:val="000000"/>
                <w:sz w:val="16"/>
                <w:szCs w:val="16"/>
              </w:rPr>
            </w:pPr>
            <w:r w:rsidRPr="003F15C0">
              <w:rPr>
                <w:b/>
                <w:color w:val="000000"/>
                <w:sz w:val="16"/>
                <w:szCs w:val="16"/>
              </w:rPr>
              <w:t>p-value</w:t>
            </w:r>
          </w:p>
        </w:tc>
      </w:tr>
      <w:tr w:rsidR="007A6D62" w:rsidRPr="003F15C0" w14:paraId="4978369F" w14:textId="77777777" w:rsidTr="002D3CBA">
        <w:tc>
          <w:tcPr>
            <w:tcW w:w="4167" w:type="dxa"/>
            <w:gridSpan w:val="2"/>
            <w:shd w:val="clear" w:color="auto" w:fill="auto"/>
            <w:vAlign w:val="center"/>
          </w:tcPr>
          <w:p w14:paraId="132F4A89" w14:textId="77777777" w:rsidR="007A6D62" w:rsidRPr="003F15C0" w:rsidRDefault="007A6D62" w:rsidP="00855BF7">
            <w:pPr>
              <w:keepNext/>
              <w:spacing w:before="20"/>
              <w:rPr>
                <w:b/>
                <w:bCs/>
                <w:color w:val="000000"/>
                <w:sz w:val="16"/>
                <w:szCs w:val="16"/>
              </w:rPr>
            </w:pPr>
            <w:r w:rsidRPr="003F15C0">
              <w:rPr>
                <w:b/>
                <w:sz w:val="16"/>
                <w:szCs w:val="16"/>
              </w:rPr>
              <w:t>Instant Kiwi/other scratch tickets - monthly</w:t>
            </w:r>
          </w:p>
        </w:tc>
        <w:tc>
          <w:tcPr>
            <w:tcW w:w="995" w:type="dxa"/>
            <w:shd w:val="clear" w:color="auto" w:fill="auto"/>
            <w:vAlign w:val="center"/>
          </w:tcPr>
          <w:p w14:paraId="184B18AD" w14:textId="77777777" w:rsidR="007A6D62" w:rsidRPr="003F15C0" w:rsidRDefault="007A6D62" w:rsidP="00855BF7">
            <w:pPr>
              <w:keepNext/>
              <w:spacing w:before="20"/>
              <w:jc w:val="right"/>
              <w:rPr>
                <w:b/>
                <w:bCs/>
                <w:color w:val="000000"/>
                <w:sz w:val="16"/>
                <w:szCs w:val="16"/>
              </w:rPr>
            </w:pPr>
          </w:p>
        </w:tc>
        <w:tc>
          <w:tcPr>
            <w:tcW w:w="1055" w:type="dxa"/>
            <w:shd w:val="clear" w:color="auto" w:fill="auto"/>
            <w:vAlign w:val="center"/>
          </w:tcPr>
          <w:p w14:paraId="13FE7373" w14:textId="77777777" w:rsidR="007A6D62" w:rsidRPr="003F15C0" w:rsidRDefault="007A6D62" w:rsidP="00855BF7">
            <w:pPr>
              <w:keepNext/>
              <w:spacing w:before="20"/>
              <w:jc w:val="right"/>
              <w:rPr>
                <w:color w:val="000000"/>
                <w:sz w:val="16"/>
                <w:szCs w:val="16"/>
              </w:rPr>
            </w:pPr>
          </w:p>
        </w:tc>
        <w:tc>
          <w:tcPr>
            <w:tcW w:w="1275" w:type="dxa"/>
            <w:shd w:val="clear" w:color="auto" w:fill="auto"/>
            <w:vAlign w:val="center"/>
          </w:tcPr>
          <w:p w14:paraId="239FCB03" w14:textId="77777777" w:rsidR="007A6D62" w:rsidRPr="003F15C0" w:rsidRDefault="007A6D62" w:rsidP="00855BF7">
            <w:pPr>
              <w:keepNext/>
              <w:spacing w:before="20"/>
              <w:jc w:val="right"/>
              <w:rPr>
                <w:color w:val="000000"/>
                <w:sz w:val="16"/>
                <w:szCs w:val="16"/>
              </w:rPr>
            </w:pPr>
          </w:p>
        </w:tc>
        <w:tc>
          <w:tcPr>
            <w:tcW w:w="1020" w:type="dxa"/>
            <w:vAlign w:val="center"/>
          </w:tcPr>
          <w:p w14:paraId="443BE976" w14:textId="77777777" w:rsidR="007A6D62" w:rsidRPr="003F15C0" w:rsidRDefault="007A6D62" w:rsidP="00855BF7">
            <w:pPr>
              <w:keepNext/>
              <w:spacing w:before="20"/>
              <w:jc w:val="right"/>
              <w:rPr>
                <w:color w:val="000000"/>
                <w:sz w:val="16"/>
                <w:szCs w:val="16"/>
              </w:rPr>
            </w:pPr>
          </w:p>
        </w:tc>
      </w:tr>
      <w:tr w:rsidR="007A6D62" w:rsidRPr="003F15C0" w14:paraId="32B02A1B" w14:textId="77777777" w:rsidTr="00330169">
        <w:tc>
          <w:tcPr>
            <w:tcW w:w="3119" w:type="dxa"/>
          </w:tcPr>
          <w:p w14:paraId="23D45B0A" w14:textId="77777777" w:rsidR="007A6D62" w:rsidRPr="003F15C0" w:rsidRDefault="007A6D62" w:rsidP="00855BF7">
            <w:pPr>
              <w:keepNext/>
              <w:spacing w:before="20"/>
              <w:ind w:left="176"/>
              <w:jc w:val="both"/>
              <w:rPr>
                <w:sz w:val="16"/>
                <w:szCs w:val="16"/>
              </w:rPr>
            </w:pPr>
            <w:r w:rsidRPr="003F15C0">
              <w:rPr>
                <w:sz w:val="16"/>
                <w:szCs w:val="16"/>
              </w:rPr>
              <w:t>No</w:t>
            </w:r>
          </w:p>
        </w:tc>
        <w:tc>
          <w:tcPr>
            <w:tcW w:w="1048" w:type="dxa"/>
            <w:shd w:val="clear" w:color="auto" w:fill="auto"/>
            <w:vAlign w:val="center"/>
          </w:tcPr>
          <w:p w14:paraId="24B549FA" w14:textId="77777777" w:rsidR="007A6D62" w:rsidRPr="00330169" w:rsidRDefault="007A6D62" w:rsidP="00855BF7">
            <w:pPr>
              <w:keepNext/>
              <w:jc w:val="right"/>
              <w:rPr>
                <w:color w:val="000000"/>
                <w:sz w:val="16"/>
                <w:szCs w:val="20"/>
                <w:lang w:eastAsia="en-NZ"/>
              </w:rPr>
            </w:pPr>
            <w:r w:rsidRPr="00330169">
              <w:rPr>
                <w:color w:val="000000"/>
                <w:sz w:val="16"/>
                <w:szCs w:val="20"/>
                <w:lang w:eastAsia="en-NZ"/>
              </w:rPr>
              <w:t>27</w:t>
            </w:r>
          </w:p>
        </w:tc>
        <w:tc>
          <w:tcPr>
            <w:tcW w:w="995" w:type="dxa"/>
            <w:shd w:val="clear" w:color="auto" w:fill="auto"/>
            <w:vAlign w:val="center"/>
          </w:tcPr>
          <w:p w14:paraId="59E3D043" w14:textId="77777777" w:rsidR="007A6D62" w:rsidRPr="00330169" w:rsidRDefault="007A6D62" w:rsidP="00855BF7">
            <w:pPr>
              <w:keepNext/>
              <w:jc w:val="right"/>
              <w:rPr>
                <w:color w:val="000000"/>
                <w:sz w:val="16"/>
                <w:szCs w:val="20"/>
                <w:lang w:eastAsia="en-NZ"/>
              </w:rPr>
            </w:pPr>
            <w:r w:rsidRPr="00330169">
              <w:rPr>
                <w:color w:val="000000"/>
                <w:sz w:val="16"/>
                <w:szCs w:val="20"/>
                <w:lang w:eastAsia="en-NZ"/>
              </w:rPr>
              <w:t>86.2</w:t>
            </w:r>
          </w:p>
        </w:tc>
        <w:tc>
          <w:tcPr>
            <w:tcW w:w="1055" w:type="dxa"/>
            <w:shd w:val="clear" w:color="auto" w:fill="auto"/>
            <w:vAlign w:val="center"/>
          </w:tcPr>
          <w:p w14:paraId="13B98F62" w14:textId="77777777" w:rsidR="007A6D62" w:rsidRPr="00330169" w:rsidRDefault="007A6D62" w:rsidP="00855BF7">
            <w:pPr>
              <w:keepNext/>
              <w:jc w:val="right"/>
              <w:rPr>
                <w:color w:val="000000"/>
                <w:sz w:val="16"/>
                <w:szCs w:val="20"/>
                <w:lang w:eastAsia="en-NZ"/>
              </w:rPr>
            </w:pPr>
            <w:r w:rsidRPr="00330169">
              <w:rPr>
                <w:color w:val="000000"/>
                <w:sz w:val="16"/>
                <w:szCs w:val="20"/>
                <w:lang w:eastAsia="en-NZ"/>
              </w:rPr>
              <w:t>1.00</w:t>
            </w:r>
          </w:p>
        </w:tc>
        <w:tc>
          <w:tcPr>
            <w:tcW w:w="1275" w:type="dxa"/>
            <w:shd w:val="clear" w:color="auto" w:fill="auto"/>
            <w:vAlign w:val="center"/>
          </w:tcPr>
          <w:p w14:paraId="50BE4B70" w14:textId="77777777" w:rsidR="007A6D62" w:rsidRPr="00330169" w:rsidRDefault="007A6D62" w:rsidP="00855BF7">
            <w:pPr>
              <w:keepNext/>
              <w:jc w:val="right"/>
              <w:rPr>
                <w:sz w:val="16"/>
                <w:szCs w:val="20"/>
                <w:lang w:eastAsia="en-NZ"/>
              </w:rPr>
            </w:pPr>
          </w:p>
        </w:tc>
        <w:tc>
          <w:tcPr>
            <w:tcW w:w="1020" w:type="dxa"/>
            <w:shd w:val="clear" w:color="auto" w:fill="auto"/>
            <w:vAlign w:val="center"/>
          </w:tcPr>
          <w:p w14:paraId="2F60E14E" w14:textId="77777777" w:rsidR="007A6D62" w:rsidRPr="00330169" w:rsidRDefault="007A6D62" w:rsidP="00855BF7">
            <w:pPr>
              <w:keepNext/>
              <w:jc w:val="right"/>
              <w:rPr>
                <w:sz w:val="16"/>
                <w:szCs w:val="20"/>
                <w:lang w:eastAsia="en-NZ"/>
              </w:rPr>
            </w:pPr>
          </w:p>
        </w:tc>
      </w:tr>
      <w:tr w:rsidR="007A6D62" w:rsidRPr="003F15C0" w14:paraId="701AD0EE" w14:textId="77777777" w:rsidTr="00326B55">
        <w:tc>
          <w:tcPr>
            <w:tcW w:w="3119" w:type="dxa"/>
          </w:tcPr>
          <w:p w14:paraId="2B4C0D33" w14:textId="77777777" w:rsidR="007A6D62" w:rsidRPr="003F15C0" w:rsidRDefault="007A6D62" w:rsidP="00855BF7">
            <w:pPr>
              <w:keepNext/>
              <w:spacing w:before="20"/>
              <w:ind w:left="176"/>
              <w:jc w:val="both"/>
              <w:rPr>
                <w:sz w:val="16"/>
                <w:szCs w:val="16"/>
              </w:rPr>
            </w:pPr>
            <w:r w:rsidRPr="003F15C0">
              <w:rPr>
                <w:sz w:val="16"/>
                <w:szCs w:val="16"/>
              </w:rPr>
              <w:t>Yes</w:t>
            </w:r>
          </w:p>
        </w:tc>
        <w:tc>
          <w:tcPr>
            <w:tcW w:w="1048" w:type="dxa"/>
            <w:shd w:val="clear" w:color="auto" w:fill="auto"/>
            <w:vAlign w:val="center"/>
          </w:tcPr>
          <w:p w14:paraId="1FA32AA1" w14:textId="77777777" w:rsidR="007A6D62" w:rsidRPr="00330169" w:rsidRDefault="007A6D62" w:rsidP="00855BF7">
            <w:pPr>
              <w:keepNext/>
              <w:jc w:val="right"/>
              <w:rPr>
                <w:color w:val="000000"/>
                <w:sz w:val="16"/>
                <w:szCs w:val="20"/>
                <w:lang w:eastAsia="en-NZ"/>
              </w:rPr>
            </w:pPr>
            <w:r w:rsidRPr="00330169">
              <w:rPr>
                <w:color w:val="000000"/>
                <w:sz w:val="16"/>
                <w:szCs w:val="20"/>
                <w:lang w:eastAsia="en-NZ"/>
              </w:rPr>
              <w:t>6</w:t>
            </w:r>
          </w:p>
        </w:tc>
        <w:tc>
          <w:tcPr>
            <w:tcW w:w="995" w:type="dxa"/>
            <w:shd w:val="clear" w:color="auto" w:fill="auto"/>
            <w:vAlign w:val="center"/>
          </w:tcPr>
          <w:p w14:paraId="51A738CE" w14:textId="77777777" w:rsidR="007A6D62" w:rsidRPr="00330169" w:rsidRDefault="007A6D62" w:rsidP="00855BF7">
            <w:pPr>
              <w:keepNext/>
              <w:jc w:val="right"/>
              <w:rPr>
                <w:color w:val="000000"/>
                <w:sz w:val="16"/>
                <w:szCs w:val="20"/>
                <w:lang w:eastAsia="en-NZ"/>
              </w:rPr>
            </w:pPr>
            <w:r w:rsidRPr="00330169">
              <w:rPr>
                <w:color w:val="000000"/>
                <w:sz w:val="16"/>
                <w:szCs w:val="20"/>
                <w:lang w:eastAsia="en-NZ"/>
              </w:rPr>
              <w:t>36.9</w:t>
            </w:r>
          </w:p>
        </w:tc>
        <w:tc>
          <w:tcPr>
            <w:tcW w:w="1055" w:type="dxa"/>
            <w:shd w:val="clear" w:color="auto" w:fill="auto"/>
            <w:vAlign w:val="center"/>
          </w:tcPr>
          <w:p w14:paraId="173B1A45" w14:textId="77777777" w:rsidR="007A6D62" w:rsidRPr="00330169" w:rsidRDefault="007A6D62" w:rsidP="00855BF7">
            <w:pPr>
              <w:keepNext/>
              <w:jc w:val="right"/>
              <w:rPr>
                <w:color w:val="000000"/>
                <w:sz w:val="16"/>
                <w:szCs w:val="20"/>
                <w:lang w:eastAsia="en-NZ"/>
              </w:rPr>
            </w:pPr>
            <w:r w:rsidRPr="00330169">
              <w:rPr>
                <w:color w:val="000000"/>
                <w:sz w:val="16"/>
                <w:szCs w:val="20"/>
                <w:lang w:eastAsia="en-NZ"/>
              </w:rPr>
              <w:t>0.06</w:t>
            </w:r>
          </w:p>
        </w:tc>
        <w:tc>
          <w:tcPr>
            <w:tcW w:w="1275" w:type="dxa"/>
            <w:shd w:val="clear" w:color="auto" w:fill="auto"/>
            <w:vAlign w:val="center"/>
          </w:tcPr>
          <w:p w14:paraId="516B7DF7" w14:textId="77777777" w:rsidR="007A6D62" w:rsidRPr="00330169" w:rsidRDefault="007A6D62" w:rsidP="00855BF7">
            <w:pPr>
              <w:keepNext/>
              <w:jc w:val="right"/>
              <w:rPr>
                <w:color w:val="000000"/>
                <w:sz w:val="16"/>
                <w:szCs w:val="20"/>
                <w:lang w:eastAsia="en-NZ"/>
              </w:rPr>
            </w:pPr>
            <w:r w:rsidRPr="00330169">
              <w:rPr>
                <w:color w:val="000000"/>
                <w:sz w:val="16"/>
                <w:szCs w:val="20"/>
                <w:lang w:eastAsia="en-NZ"/>
              </w:rPr>
              <w:t>(0.01, 0.54)</w:t>
            </w:r>
          </w:p>
        </w:tc>
        <w:tc>
          <w:tcPr>
            <w:tcW w:w="1020" w:type="dxa"/>
            <w:shd w:val="clear" w:color="auto" w:fill="auto"/>
            <w:vAlign w:val="center"/>
          </w:tcPr>
          <w:p w14:paraId="23CC4FB6" w14:textId="77777777" w:rsidR="007A6D62" w:rsidRPr="00330169" w:rsidRDefault="007A6D62" w:rsidP="00855BF7">
            <w:pPr>
              <w:keepNext/>
              <w:jc w:val="right"/>
              <w:rPr>
                <w:color w:val="000000"/>
                <w:sz w:val="16"/>
                <w:szCs w:val="20"/>
                <w:lang w:eastAsia="en-NZ"/>
              </w:rPr>
            </w:pPr>
            <w:r w:rsidRPr="00330169">
              <w:rPr>
                <w:color w:val="000000"/>
                <w:sz w:val="16"/>
                <w:szCs w:val="20"/>
                <w:lang w:eastAsia="en-NZ"/>
              </w:rPr>
              <w:t>0.01</w:t>
            </w:r>
          </w:p>
        </w:tc>
      </w:tr>
      <w:tr w:rsidR="007A6D62" w:rsidRPr="003F15C0" w14:paraId="56C5663F" w14:textId="77777777" w:rsidTr="00326B55">
        <w:tc>
          <w:tcPr>
            <w:tcW w:w="3119" w:type="dxa"/>
            <w:vAlign w:val="bottom"/>
          </w:tcPr>
          <w:p w14:paraId="4FCE362B" w14:textId="77777777" w:rsidR="007A6D62" w:rsidRPr="003F15C0" w:rsidRDefault="007A6D62" w:rsidP="00855BF7">
            <w:pPr>
              <w:keepNext/>
              <w:spacing w:before="20"/>
              <w:jc w:val="both"/>
              <w:rPr>
                <w:b/>
                <w:sz w:val="16"/>
                <w:szCs w:val="16"/>
              </w:rPr>
            </w:pPr>
            <w:r w:rsidRPr="003F15C0">
              <w:rPr>
                <w:b/>
                <w:sz w:val="16"/>
                <w:szCs w:val="16"/>
              </w:rPr>
              <w:t>Horse/dog race betting - monthly</w:t>
            </w:r>
          </w:p>
        </w:tc>
        <w:tc>
          <w:tcPr>
            <w:tcW w:w="1048" w:type="dxa"/>
            <w:shd w:val="clear" w:color="auto" w:fill="auto"/>
            <w:vAlign w:val="center"/>
          </w:tcPr>
          <w:p w14:paraId="3500E544" w14:textId="77777777" w:rsidR="007A6D62" w:rsidRPr="00330169" w:rsidRDefault="007A6D62" w:rsidP="00855BF7">
            <w:pPr>
              <w:keepNext/>
              <w:spacing w:before="20"/>
              <w:jc w:val="right"/>
              <w:rPr>
                <w:b/>
                <w:bCs/>
                <w:color w:val="000000"/>
                <w:sz w:val="16"/>
                <w:szCs w:val="16"/>
              </w:rPr>
            </w:pPr>
          </w:p>
        </w:tc>
        <w:tc>
          <w:tcPr>
            <w:tcW w:w="995" w:type="dxa"/>
            <w:shd w:val="clear" w:color="auto" w:fill="auto"/>
            <w:vAlign w:val="center"/>
          </w:tcPr>
          <w:p w14:paraId="7E682CC7" w14:textId="77777777" w:rsidR="007A6D62" w:rsidRPr="00330169" w:rsidRDefault="007A6D62" w:rsidP="00855BF7">
            <w:pPr>
              <w:keepNext/>
              <w:spacing w:before="20"/>
              <w:jc w:val="right"/>
              <w:rPr>
                <w:b/>
                <w:bCs/>
                <w:color w:val="000000"/>
                <w:sz w:val="16"/>
                <w:szCs w:val="16"/>
              </w:rPr>
            </w:pPr>
          </w:p>
        </w:tc>
        <w:tc>
          <w:tcPr>
            <w:tcW w:w="1055" w:type="dxa"/>
            <w:shd w:val="clear" w:color="auto" w:fill="auto"/>
            <w:vAlign w:val="center"/>
          </w:tcPr>
          <w:p w14:paraId="7D8ACEA4" w14:textId="77777777" w:rsidR="007A6D62" w:rsidRPr="00330169" w:rsidRDefault="007A6D62" w:rsidP="00855BF7">
            <w:pPr>
              <w:keepNext/>
              <w:spacing w:before="20"/>
              <w:jc w:val="right"/>
              <w:rPr>
                <w:color w:val="000000"/>
                <w:sz w:val="16"/>
                <w:szCs w:val="16"/>
              </w:rPr>
            </w:pPr>
          </w:p>
        </w:tc>
        <w:tc>
          <w:tcPr>
            <w:tcW w:w="1275" w:type="dxa"/>
            <w:shd w:val="clear" w:color="auto" w:fill="auto"/>
            <w:vAlign w:val="center"/>
          </w:tcPr>
          <w:p w14:paraId="51266FA0" w14:textId="77777777" w:rsidR="007A6D62" w:rsidRPr="00330169" w:rsidRDefault="007A6D62" w:rsidP="00855BF7">
            <w:pPr>
              <w:keepNext/>
              <w:spacing w:before="20"/>
              <w:jc w:val="right"/>
              <w:rPr>
                <w:color w:val="000000"/>
                <w:sz w:val="16"/>
                <w:szCs w:val="16"/>
              </w:rPr>
            </w:pPr>
          </w:p>
        </w:tc>
        <w:tc>
          <w:tcPr>
            <w:tcW w:w="1020" w:type="dxa"/>
            <w:shd w:val="clear" w:color="auto" w:fill="auto"/>
            <w:vAlign w:val="center"/>
          </w:tcPr>
          <w:p w14:paraId="4A952551" w14:textId="77777777" w:rsidR="007A6D62" w:rsidRPr="00330169" w:rsidRDefault="007A6D62" w:rsidP="00855BF7">
            <w:pPr>
              <w:keepNext/>
              <w:spacing w:before="20"/>
              <w:jc w:val="right"/>
              <w:rPr>
                <w:color w:val="000000"/>
                <w:sz w:val="16"/>
                <w:szCs w:val="16"/>
              </w:rPr>
            </w:pPr>
          </w:p>
        </w:tc>
      </w:tr>
      <w:tr w:rsidR="00330169" w:rsidRPr="003F15C0" w14:paraId="756D50AD" w14:textId="77777777" w:rsidTr="00330169">
        <w:tc>
          <w:tcPr>
            <w:tcW w:w="3119" w:type="dxa"/>
          </w:tcPr>
          <w:p w14:paraId="6DF06636" w14:textId="77777777" w:rsidR="00330169" w:rsidRPr="003F15C0" w:rsidRDefault="00330169" w:rsidP="00330169">
            <w:pPr>
              <w:keepNext/>
              <w:spacing w:before="20"/>
              <w:ind w:left="176"/>
              <w:jc w:val="both"/>
              <w:rPr>
                <w:sz w:val="16"/>
                <w:szCs w:val="16"/>
              </w:rPr>
            </w:pPr>
            <w:r w:rsidRPr="003F15C0">
              <w:rPr>
                <w:sz w:val="16"/>
                <w:szCs w:val="16"/>
              </w:rPr>
              <w:t>No</w:t>
            </w:r>
          </w:p>
        </w:tc>
        <w:tc>
          <w:tcPr>
            <w:tcW w:w="1048" w:type="dxa"/>
            <w:shd w:val="clear" w:color="auto" w:fill="auto"/>
            <w:vAlign w:val="center"/>
          </w:tcPr>
          <w:p w14:paraId="3A8E11F7" w14:textId="77777777" w:rsidR="00330169" w:rsidRPr="00330169" w:rsidRDefault="00330169" w:rsidP="00330169">
            <w:pPr>
              <w:jc w:val="right"/>
              <w:rPr>
                <w:color w:val="000000"/>
                <w:sz w:val="16"/>
                <w:szCs w:val="20"/>
                <w:lang w:eastAsia="en-NZ"/>
              </w:rPr>
            </w:pPr>
            <w:r w:rsidRPr="00330169">
              <w:rPr>
                <w:color w:val="000000"/>
                <w:sz w:val="16"/>
                <w:szCs w:val="20"/>
                <w:lang w:eastAsia="en-NZ"/>
              </w:rPr>
              <w:t>29</w:t>
            </w:r>
          </w:p>
        </w:tc>
        <w:tc>
          <w:tcPr>
            <w:tcW w:w="995" w:type="dxa"/>
            <w:shd w:val="clear" w:color="auto" w:fill="auto"/>
            <w:vAlign w:val="center"/>
          </w:tcPr>
          <w:p w14:paraId="7753FD61" w14:textId="77777777" w:rsidR="00330169" w:rsidRPr="00330169" w:rsidRDefault="00330169" w:rsidP="00330169">
            <w:pPr>
              <w:jc w:val="right"/>
              <w:rPr>
                <w:color w:val="000000"/>
                <w:sz w:val="16"/>
                <w:szCs w:val="20"/>
                <w:lang w:eastAsia="en-NZ"/>
              </w:rPr>
            </w:pPr>
            <w:r w:rsidRPr="00330169">
              <w:rPr>
                <w:color w:val="000000"/>
                <w:sz w:val="16"/>
                <w:szCs w:val="20"/>
                <w:lang w:eastAsia="en-NZ"/>
              </w:rPr>
              <w:t>84.4</w:t>
            </w:r>
          </w:p>
        </w:tc>
        <w:tc>
          <w:tcPr>
            <w:tcW w:w="1055" w:type="dxa"/>
            <w:shd w:val="clear" w:color="auto" w:fill="auto"/>
            <w:vAlign w:val="center"/>
          </w:tcPr>
          <w:p w14:paraId="6C2C6B78" w14:textId="77777777" w:rsidR="00330169" w:rsidRPr="00330169" w:rsidRDefault="00330169" w:rsidP="00330169">
            <w:pPr>
              <w:jc w:val="right"/>
              <w:rPr>
                <w:color w:val="000000"/>
                <w:sz w:val="16"/>
                <w:szCs w:val="20"/>
                <w:lang w:eastAsia="en-NZ"/>
              </w:rPr>
            </w:pPr>
            <w:r w:rsidRPr="00330169">
              <w:rPr>
                <w:color w:val="000000"/>
                <w:sz w:val="16"/>
                <w:szCs w:val="20"/>
                <w:lang w:eastAsia="en-NZ"/>
              </w:rPr>
              <w:t>1.00</w:t>
            </w:r>
          </w:p>
        </w:tc>
        <w:tc>
          <w:tcPr>
            <w:tcW w:w="1275" w:type="dxa"/>
            <w:shd w:val="clear" w:color="auto" w:fill="auto"/>
            <w:vAlign w:val="center"/>
          </w:tcPr>
          <w:p w14:paraId="7F23D6E5" w14:textId="77777777" w:rsidR="00330169" w:rsidRPr="00330169" w:rsidRDefault="00330169" w:rsidP="00330169">
            <w:pPr>
              <w:jc w:val="right"/>
              <w:rPr>
                <w:sz w:val="16"/>
                <w:szCs w:val="20"/>
                <w:lang w:eastAsia="en-NZ"/>
              </w:rPr>
            </w:pPr>
          </w:p>
        </w:tc>
        <w:tc>
          <w:tcPr>
            <w:tcW w:w="1020" w:type="dxa"/>
            <w:shd w:val="clear" w:color="auto" w:fill="auto"/>
            <w:vAlign w:val="center"/>
          </w:tcPr>
          <w:p w14:paraId="1CF81C95" w14:textId="77777777" w:rsidR="00330169" w:rsidRPr="00330169" w:rsidRDefault="00330169" w:rsidP="00330169">
            <w:pPr>
              <w:jc w:val="right"/>
              <w:rPr>
                <w:sz w:val="16"/>
                <w:szCs w:val="20"/>
                <w:lang w:eastAsia="en-NZ"/>
              </w:rPr>
            </w:pPr>
          </w:p>
        </w:tc>
      </w:tr>
      <w:tr w:rsidR="00330169" w:rsidRPr="003F15C0" w14:paraId="2A81B178" w14:textId="77777777" w:rsidTr="00326B55">
        <w:tc>
          <w:tcPr>
            <w:tcW w:w="3119" w:type="dxa"/>
          </w:tcPr>
          <w:p w14:paraId="7DBCE0CC" w14:textId="77777777" w:rsidR="00330169" w:rsidRPr="003F15C0" w:rsidRDefault="00330169" w:rsidP="00330169">
            <w:pPr>
              <w:keepNext/>
              <w:spacing w:before="20"/>
              <w:ind w:left="176"/>
              <w:jc w:val="both"/>
              <w:rPr>
                <w:sz w:val="16"/>
                <w:szCs w:val="16"/>
              </w:rPr>
            </w:pPr>
            <w:r w:rsidRPr="003F15C0">
              <w:rPr>
                <w:sz w:val="16"/>
                <w:szCs w:val="16"/>
              </w:rPr>
              <w:t>Yes</w:t>
            </w:r>
          </w:p>
        </w:tc>
        <w:tc>
          <w:tcPr>
            <w:tcW w:w="1048" w:type="dxa"/>
            <w:shd w:val="clear" w:color="auto" w:fill="auto"/>
            <w:vAlign w:val="center"/>
          </w:tcPr>
          <w:p w14:paraId="5208FE4D" w14:textId="77777777" w:rsidR="00330169" w:rsidRPr="00330169" w:rsidRDefault="00330169" w:rsidP="00330169">
            <w:pPr>
              <w:jc w:val="right"/>
              <w:rPr>
                <w:color w:val="000000"/>
                <w:sz w:val="16"/>
                <w:szCs w:val="20"/>
                <w:lang w:eastAsia="en-NZ"/>
              </w:rPr>
            </w:pPr>
            <w:r w:rsidRPr="00330169">
              <w:rPr>
                <w:color w:val="000000"/>
                <w:sz w:val="16"/>
                <w:szCs w:val="20"/>
                <w:lang w:eastAsia="en-NZ"/>
              </w:rPr>
              <w:t>5</w:t>
            </w:r>
          </w:p>
        </w:tc>
        <w:tc>
          <w:tcPr>
            <w:tcW w:w="995" w:type="dxa"/>
            <w:shd w:val="clear" w:color="auto" w:fill="auto"/>
            <w:vAlign w:val="center"/>
          </w:tcPr>
          <w:p w14:paraId="3E10A41E" w14:textId="77777777" w:rsidR="00330169" w:rsidRPr="00330169" w:rsidRDefault="00330169" w:rsidP="00330169">
            <w:pPr>
              <w:jc w:val="right"/>
              <w:rPr>
                <w:color w:val="000000"/>
                <w:sz w:val="16"/>
                <w:szCs w:val="20"/>
                <w:lang w:eastAsia="en-NZ"/>
              </w:rPr>
            </w:pPr>
            <w:r w:rsidRPr="00330169">
              <w:rPr>
                <w:color w:val="000000"/>
                <w:sz w:val="16"/>
                <w:szCs w:val="20"/>
                <w:lang w:eastAsia="en-NZ"/>
              </w:rPr>
              <w:t>30.3</w:t>
            </w:r>
          </w:p>
        </w:tc>
        <w:tc>
          <w:tcPr>
            <w:tcW w:w="1055" w:type="dxa"/>
            <w:shd w:val="clear" w:color="auto" w:fill="auto"/>
            <w:vAlign w:val="center"/>
          </w:tcPr>
          <w:p w14:paraId="1F74EC11" w14:textId="77777777" w:rsidR="00330169" w:rsidRPr="00330169" w:rsidRDefault="00330169" w:rsidP="00330169">
            <w:pPr>
              <w:jc w:val="right"/>
              <w:rPr>
                <w:color w:val="000000"/>
                <w:sz w:val="16"/>
                <w:szCs w:val="20"/>
                <w:lang w:eastAsia="en-NZ"/>
              </w:rPr>
            </w:pPr>
            <w:r w:rsidRPr="00330169">
              <w:rPr>
                <w:color w:val="000000"/>
                <w:sz w:val="16"/>
                <w:szCs w:val="20"/>
                <w:lang w:eastAsia="en-NZ"/>
              </w:rPr>
              <w:t>0.04</w:t>
            </w:r>
          </w:p>
        </w:tc>
        <w:tc>
          <w:tcPr>
            <w:tcW w:w="1275" w:type="dxa"/>
            <w:shd w:val="clear" w:color="auto" w:fill="auto"/>
            <w:vAlign w:val="center"/>
          </w:tcPr>
          <w:p w14:paraId="6391017E" w14:textId="77777777" w:rsidR="00330169" w:rsidRPr="00330169" w:rsidRDefault="00330169" w:rsidP="00330169">
            <w:pPr>
              <w:jc w:val="right"/>
              <w:rPr>
                <w:color w:val="000000"/>
                <w:sz w:val="16"/>
                <w:szCs w:val="20"/>
                <w:lang w:eastAsia="en-NZ"/>
              </w:rPr>
            </w:pPr>
            <w:r w:rsidRPr="00330169">
              <w:rPr>
                <w:color w:val="000000"/>
                <w:sz w:val="16"/>
                <w:szCs w:val="20"/>
                <w:lang w:eastAsia="en-NZ"/>
              </w:rPr>
              <w:t>(0.01, 0.34)</w:t>
            </w:r>
          </w:p>
        </w:tc>
        <w:tc>
          <w:tcPr>
            <w:tcW w:w="1020" w:type="dxa"/>
            <w:shd w:val="clear" w:color="auto" w:fill="auto"/>
            <w:vAlign w:val="center"/>
          </w:tcPr>
          <w:p w14:paraId="4CF33D40" w14:textId="77777777" w:rsidR="00330169" w:rsidRPr="00330169" w:rsidRDefault="00330169" w:rsidP="00330169">
            <w:pPr>
              <w:jc w:val="right"/>
              <w:rPr>
                <w:color w:val="000000"/>
                <w:sz w:val="16"/>
                <w:szCs w:val="20"/>
                <w:lang w:eastAsia="en-NZ"/>
              </w:rPr>
            </w:pPr>
            <w:r w:rsidRPr="00330169">
              <w:rPr>
                <w:color w:val="000000"/>
                <w:sz w:val="16"/>
                <w:szCs w:val="20"/>
                <w:lang w:eastAsia="en-NZ"/>
              </w:rPr>
              <w:t>0.003</w:t>
            </w:r>
          </w:p>
        </w:tc>
      </w:tr>
      <w:tr w:rsidR="007A6D62" w:rsidRPr="003F15C0" w14:paraId="0AB9AA4E" w14:textId="77777777" w:rsidTr="00330169">
        <w:tc>
          <w:tcPr>
            <w:tcW w:w="3119" w:type="dxa"/>
            <w:shd w:val="clear" w:color="auto" w:fill="auto"/>
            <w:vAlign w:val="bottom"/>
          </w:tcPr>
          <w:p w14:paraId="4C820DAD" w14:textId="77777777" w:rsidR="007A6D62" w:rsidRPr="003F15C0" w:rsidRDefault="007A6D62" w:rsidP="007A6D62">
            <w:pPr>
              <w:spacing w:before="20"/>
              <w:jc w:val="both"/>
              <w:rPr>
                <w:b/>
                <w:sz w:val="16"/>
                <w:szCs w:val="16"/>
              </w:rPr>
            </w:pPr>
            <w:r>
              <w:rPr>
                <w:b/>
                <w:sz w:val="16"/>
                <w:szCs w:val="16"/>
              </w:rPr>
              <w:t xml:space="preserve">Club </w:t>
            </w:r>
            <w:r w:rsidRPr="003F15C0">
              <w:rPr>
                <w:b/>
                <w:sz w:val="16"/>
                <w:szCs w:val="16"/>
              </w:rPr>
              <w:t>EGMs - monthly</w:t>
            </w:r>
          </w:p>
        </w:tc>
        <w:tc>
          <w:tcPr>
            <w:tcW w:w="1048" w:type="dxa"/>
            <w:shd w:val="clear" w:color="auto" w:fill="auto"/>
            <w:vAlign w:val="center"/>
          </w:tcPr>
          <w:p w14:paraId="345391D2" w14:textId="77777777" w:rsidR="007A6D62" w:rsidRPr="00330169" w:rsidRDefault="007A6D62" w:rsidP="00330169">
            <w:pPr>
              <w:jc w:val="right"/>
              <w:rPr>
                <w:color w:val="000000"/>
                <w:sz w:val="16"/>
                <w:szCs w:val="16"/>
                <w:lang w:eastAsia="en-NZ"/>
              </w:rPr>
            </w:pPr>
          </w:p>
        </w:tc>
        <w:tc>
          <w:tcPr>
            <w:tcW w:w="995" w:type="dxa"/>
            <w:shd w:val="clear" w:color="auto" w:fill="auto"/>
            <w:vAlign w:val="center"/>
          </w:tcPr>
          <w:p w14:paraId="050DF551" w14:textId="77777777" w:rsidR="007A6D62" w:rsidRPr="00330169" w:rsidRDefault="007A6D62" w:rsidP="00330169">
            <w:pPr>
              <w:jc w:val="right"/>
              <w:rPr>
                <w:color w:val="000000"/>
                <w:sz w:val="16"/>
                <w:szCs w:val="16"/>
                <w:lang w:eastAsia="en-NZ"/>
              </w:rPr>
            </w:pPr>
          </w:p>
        </w:tc>
        <w:tc>
          <w:tcPr>
            <w:tcW w:w="1055" w:type="dxa"/>
            <w:shd w:val="clear" w:color="auto" w:fill="auto"/>
            <w:vAlign w:val="center"/>
          </w:tcPr>
          <w:p w14:paraId="0388D79B" w14:textId="77777777" w:rsidR="007A6D62" w:rsidRPr="00330169" w:rsidRDefault="007A6D62" w:rsidP="00330169">
            <w:pPr>
              <w:jc w:val="right"/>
              <w:rPr>
                <w:color w:val="000000"/>
                <w:sz w:val="16"/>
                <w:szCs w:val="16"/>
                <w:lang w:eastAsia="en-NZ"/>
              </w:rPr>
            </w:pPr>
          </w:p>
        </w:tc>
        <w:tc>
          <w:tcPr>
            <w:tcW w:w="1275" w:type="dxa"/>
            <w:shd w:val="clear" w:color="auto" w:fill="auto"/>
            <w:vAlign w:val="center"/>
          </w:tcPr>
          <w:p w14:paraId="33C40B1C" w14:textId="77777777" w:rsidR="007A6D62" w:rsidRPr="00330169" w:rsidRDefault="007A6D62" w:rsidP="00330169">
            <w:pPr>
              <w:jc w:val="right"/>
              <w:rPr>
                <w:color w:val="000000"/>
                <w:sz w:val="16"/>
                <w:szCs w:val="16"/>
                <w:lang w:eastAsia="en-NZ"/>
              </w:rPr>
            </w:pPr>
          </w:p>
        </w:tc>
        <w:tc>
          <w:tcPr>
            <w:tcW w:w="1020" w:type="dxa"/>
            <w:shd w:val="clear" w:color="auto" w:fill="auto"/>
            <w:vAlign w:val="center"/>
          </w:tcPr>
          <w:p w14:paraId="02EAF4B0" w14:textId="77777777" w:rsidR="007A6D62" w:rsidRPr="00330169" w:rsidRDefault="007A6D62" w:rsidP="00330169">
            <w:pPr>
              <w:jc w:val="right"/>
              <w:rPr>
                <w:color w:val="000000"/>
                <w:sz w:val="16"/>
                <w:szCs w:val="16"/>
                <w:lang w:eastAsia="en-NZ"/>
              </w:rPr>
            </w:pPr>
          </w:p>
        </w:tc>
      </w:tr>
      <w:tr w:rsidR="00330169" w:rsidRPr="003F15C0" w14:paraId="361E707F" w14:textId="77777777" w:rsidTr="00330169">
        <w:tc>
          <w:tcPr>
            <w:tcW w:w="3119" w:type="dxa"/>
            <w:shd w:val="clear" w:color="auto" w:fill="auto"/>
          </w:tcPr>
          <w:p w14:paraId="0FC725D1" w14:textId="77777777" w:rsidR="00330169" w:rsidRPr="003F15C0" w:rsidRDefault="00330169" w:rsidP="00330169">
            <w:pPr>
              <w:spacing w:before="20"/>
              <w:ind w:left="176"/>
              <w:jc w:val="both"/>
              <w:rPr>
                <w:sz w:val="16"/>
                <w:szCs w:val="16"/>
              </w:rPr>
            </w:pPr>
            <w:r w:rsidRPr="003F15C0">
              <w:rPr>
                <w:sz w:val="16"/>
                <w:szCs w:val="16"/>
              </w:rPr>
              <w:t>No</w:t>
            </w:r>
          </w:p>
        </w:tc>
        <w:tc>
          <w:tcPr>
            <w:tcW w:w="1048" w:type="dxa"/>
            <w:shd w:val="clear" w:color="auto" w:fill="auto"/>
            <w:vAlign w:val="center"/>
          </w:tcPr>
          <w:p w14:paraId="6602853A" w14:textId="77777777" w:rsidR="00330169" w:rsidRPr="00330169" w:rsidRDefault="00330169" w:rsidP="00330169">
            <w:pPr>
              <w:jc w:val="right"/>
              <w:rPr>
                <w:color w:val="000000"/>
                <w:sz w:val="16"/>
                <w:szCs w:val="20"/>
                <w:lang w:eastAsia="en-NZ"/>
              </w:rPr>
            </w:pPr>
            <w:r w:rsidRPr="00330169">
              <w:rPr>
                <w:color w:val="000000"/>
                <w:sz w:val="16"/>
                <w:szCs w:val="20"/>
                <w:lang w:eastAsia="en-NZ"/>
              </w:rPr>
              <w:t>31</w:t>
            </w:r>
          </w:p>
        </w:tc>
        <w:tc>
          <w:tcPr>
            <w:tcW w:w="995" w:type="dxa"/>
            <w:shd w:val="clear" w:color="auto" w:fill="auto"/>
            <w:vAlign w:val="center"/>
          </w:tcPr>
          <w:p w14:paraId="09BDE983" w14:textId="77777777" w:rsidR="00330169" w:rsidRPr="00330169" w:rsidRDefault="00330169" w:rsidP="00330169">
            <w:pPr>
              <w:jc w:val="right"/>
              <w:rPr>
                <w:color w:val="000000"/>
                <w:sz w:val="16"/>
                <w:szCs w:val="20"/>
                <w:lang w:eastAsia="en-NZ"/>
              </w:rPr>
            </w:pPr>
            <w:r w:rsidRPr="00330169">
              <w:rPr>
                <w:color w:val="000000"/>
                <w:sz w:val="16"/>
                <w:szCs w:val="20"/>
                <w:lang w:eastAsia="en-NZ"/>
              </w:rPr>
              <w:t>80.4</w:t>
            </w:r>
          </w:p>
        </w:tc>
        <w:tc>
          <w:tcPr>
            <w:tcW w:w="1055" w:type="dxa"/>
            <w:shd w:val="clear" w:color="auto" w:fill="auto"/>
            <w:vAlign w:val="center"/>
          </w:tcPr>
          <w:p w14:paraId="55B403E1" w14:textId="77777777" w:rsidR="00330169" w:rsidRPr="00330169" w:rsidRDefault="00330169" w:rsidP="00330169">
            <w:pPr>
              <w:jc w:val="right"/>
              <w:rPr>
                <w:color w:val="000000"/>
                <w:sz w:val="16"/>
                <w:szCs w:val="20"/>
                <w:lang w:eastAsia="en-NZ"/>
              </w:rPr>
            </w:pPr>
            <w:r w:rsidRPr="00330169">
              <w:rPr>
                <w:color w:val="000000"/>
                <w:sz w:val="16"/>
                <w:szCs w:val="20"/>
                <w:lang w:eastAsia="en-NZ"/>
              </w:rPr>
              <w:t>1.00</w:t>
            </w:r>
          </w:p>
        </w:tc>
        <w:tc>
          <w:tcPr>
            <w:tcW w:w="1275" w:type="dxa"/>
            <w:shd w:val="clear" w:color="auto" w:fill="auto"/>
            <w:vAlign w:val="center"/>
          </w:tcPr>
          <w:p w14:paraId="7605BEE7" w14:textId="77777777" w:rsidR="00330169" w:rsidRPr="00330169" w:rsidRDefault="00330169" w:rsidP="00330169">
            <w:pPr>
              <w:jc w:val="right"/>
              <w:rPr>
                <w:sz w:val="16"/>
                <w:szCs w:val="20"/>
                <w:lang w:eastAsia="en-NZ"/>
              </w:rPr>
            </w:pPr>
          </w:p>
        </w:tc>
        <w:tc>
          <w:tcPr>
            <w:tcW w:w="1020" w:type="dxa"/>
            <w:shd w:val="clear" w:color="auto" w:fill="auto"/>
            <w:vAlign w:val="center"/>
          </w:tcPr>
          <w:p w14:paraId="5579A0E6" w14:textId="77777777" w:rsidR="00330169" w:rsidRPr="00330169" w:rsidRDefault="00330169" w:rsidP="00330169">
            <w:pPr>
              <w:jc w:val="right"/>
              <w:rPr>
                <w:sz w:val="16"/>
                <w:szCs w:val="20"/>
                <w:lang w:eastAsia="en-NZ"/>
              </w:rPr>
            </w:pPr>
          </w:p>
        </w:tc>
      </w:tr>
      <w:tr w:rsidR="00330169" w:rsidRPr="003F15C0" w14:paraId="0A318A9E" w14:textId="77777777" w:rsidTr="00326B55">
        <w:tc>
          <w:tcPr>
            <w:tcW w:w="3119" w:type="dxa"/>
            <w:tcBorders>
              <w:bottom w:val="single" w:sz="4" w:space="0" w:color="auto"/>
            </w:tcBorders>
            <w:shd w:val="clear" w:color="auto" w:fill="auto"/>
          </w:tcPr>
          <w:p w14:paraId="48CE82EA" w14:textId="77777777" w:rsidR="00330169" w:rsidRPr="003F15C0" w:rsidRDefault="00330169" w:rsidP="00330169">
            <w:pPr>
              <w:spacing w:before="20"/>
              <w:ind w:left="176"/>
              <w:jc w:val="both"/>
              <w:rPr>
                <w:sz w:val="16"/>
                <w:szCs w:val="16"/>
              </w:rPr>
            </w:pPr>
            <w:r w:rsidRPr="003F15C0">
              <w:rPr>
                <w:sz w:val="16"/>
                <w:szCs w:val="16"/>
              </w:rPr>
              <w:t>Yes</w:t>
            </w:r>
          </w:p>
        </w:tc>
        <w:tc>
          <w:tcPr>
            <w:tcW w:w="1048" w:type="dxa"/>
            <w:tcBorders>
              <w:bottom w:val="single" w:sz="4" w:space="0" w:color="auto"/>
            </w:tcBorders>
            <w:shd w:val="clear" w:color="auto" w:fill="auto"/>
            <w:vAlign w:val="center"/>
          </w:tcPr>
          <w:p w14:paraId="35812F7D" w14:textId="77777777" w:rsidR="00330169" w:rsidRPr="00330169" w:rsidRDefault="00330169" w:rsidP="00330169">
            <w:pPr>
              <w:jc w:val="right"/>
              <w:rPr>
                <w:color w:val="000000"/>
                <w:sz w:val="16"/>
                <w:szCs w:val="20"/>
                <w:lang w:eastAsia="en-NZ"/>
              </w:rPr>
            </w:pPr>
            <w:r w:rsidRPr="00330169">
              <w:rPr>
                <w:color w:val="000000"/>
                <w:sz w:val="16"/>
                <w:szCs w:val="20"/>
                <w:lang w:eastAsia="en-NZ"/>
              </w:rPr>
              <w:t>2</w:t>
            </w:r>
          </w:p>
        </w:tc>
        <w:tc>
          <w:tcPr>
            <w:tcW w:w="995" w:type="dxa"/>
            <w:tcBorders>
              <w:bottom w:val="single" w:sz="4" w:space="0" w:color="auto"/>
            </w:tcBorders>
            <w:shd w:val="clear" w:color="auto" w:fill="auto"/>
            <w:vAlign w:val="center"/>
          </w:tcPr>
          <w:p w14:paraId="38079824" w14:textId="77777777" w:rsidR="00330169" w:rsidRPr="00330169" w:rsidRDefault="00330169" w:rsidP="00330169">
            <w:pPr>
              <w:jc w:val="right"/>
              <w:rPr>
                <w:color w:val="000000"/>
                <w:sz w:val="16"/>
                <w:szCs w:val="20"/>
                <w:lang w:eastAsia="en-NZ"/>
              </w:rPr>
            </w:pPr>
            <w:r w:rsidRPr="00330169">
              <w:rPr>
                <w:color w:val="000000"/>
                <w:sz w:val="16"/>
                <w:szCs w:val="20"/>
                <w:lang w:eastAsia="en-NZ"/>
              </w:rPr>
              <w:t>32.0</w:t>
            </w:r>
          </w:p>
        </w:tc>
        <w:tc>
          <w:tcPr>
            <w:tcW w:w="1055" w:type="dxa"/>
            <w:tcBorders>
              <w:bottom w:val="single" w:sz="4" w:space="0" w:color="auto"/>
            </w:tcBorders>
            <w:shd w:val="clear" w:color="auto" w:fill="auto"/>
            <w:vAlign w:val="center"/>
          </w:tcPr>
          <w:p w14:paraId="16646CBB" w14:textId="77777777" w:rsidR="00330169" w:rsidRPr="00330169" w:rsidRDefault="00330169" w:rsidP="00330169">
            <w:pPr>
              <w:jc w:val="right"/>
              <w:rPr>
                <w:color w:val="000000"/>
                <w:sz w:val="16"/>
                <w:szCs w:val="20"/>
                <w:lang w:eastAsia="en-NZ"/>
              </w:rPr>
            </w:pPr>
            <w:r w:rsidRPr="00330169">
              <w:rPr>
                <w:color w:val="000000"/>
                <w:sz w:val="16"/>
                <w:szCs w:val="20"/>
                <w:lang w:eastAsia="en-NZ"/>
              </w:rPr>
              <w:t>0.05</w:t>
            </w:r>
          </w:p>
        </w:tc>
        <w:tc>
          <w:tcPr>
            <w:tcW w:w="1275" w:type="dxa"/>
            <w:tcBorders>
              <w:bottom w:val="single" w:sz="4" w:space="0" w:color="auto"/>
            </w:tcBorders>
            <w:shd w:val="clear" w:color="auto" w:fill="auto"/>
            <w:vAlign w:val="center"/>
          </w:tcPr>
          <w:p w14:paraId="25ABF8A2" w14:textId="77777777" w:rsidR="00330169" w:rsidRPr="00330169" w:rsidRDefault="00326B55" w:rsidP="00330169">
            <w:pPr>
              <w:jc w:val="right"/>
              <w:rPr>
                <w:color w:val="000000"/>
                <w:sz w:val="16"/>
                <w:szCs w:val="20"/>
                <w:lang w:eastAsia="en-NZ"/>
              </w:rPr>
            </w:pPr>
            <w:r>
              <w:rPr>
                <w:color w:val="000000"/>
                <w:sz w:val="16"/>
                <w:szCs w:val="20"/>
                <w:lang w:eastAsia="en-NZ"/>
              </w:rPr>
              <w:t>!</w:t>
            </w:r>
          </w:p>
        </w:tc>
        <w:tc>
          <w:tcPr>
            <w:tcW w:w="1020" w:type="dxa"/>
            <w:tcBorders>
              <w:bottom w:val="single" w:sz="4" w:space="0" w:color="auto"/>
            </w:tcBorders>
            <w:shd w:val="clear" w:color="auto" w:fill="auto"/>
            <w:vAlign w:val="center"/>
          </w:tcPr>
          <w:p w14:paraId="516E2941" w14:textId="77777777" w:rsidR="00330169" w:rsidRPr="00330169" w:rsidRDefault="00330169" w:rsidP="00330169">
            <w:pPr>
              <w:jc w:val="right"/>
              <w:rPr>
                <w:color w:val="000000"/>
                <w:sz w:val="16"/>
                <w:szCs w:val="20"/>
                <w:lang w:eastAsia="en-NZ"/>
              </w:rPr>
            </w:pPr>
            <w:r w:rsidRPr="00330169">
              <w:rPr>
                <w:color w:val="000000"/>
                <w:sz w:val="16"/>
                <w:szCs w:val="20"/>
                <w:lang w:eastAsia="en-NZ"/>
              </w:rPr>
              <w:t>0.04</w:t>
            </w:r>
          </w:p>
        </w:tc>
      </w:tr>
    </w:tbl>
    <w:p w14:paraId="299F875F" w14:textId="77777777" w:rsidR="00330169" w:rsidRPr="00230801" w:rsidRDefault="00330169" w:rsidP="00330169">
      <w:pPr>
        <w:rPr>
          <w:rFonts w:eastAsiaTheme="majorEastAsia"/>
          <w:sz w:val="16"/>
          <w:lang w:eastAsia="en-US"/>
        </w:rPr>
      </w:pPr>
      <w:r>
        <w:rPr>
          <w:rFonts w:eastAsiaTheme="majorEastAsia"/>
          <w:sz w:val="16"/>
          <w:lang w:eastAsia="en-US"/>
        </w:rPr>
        <w:t>Data weighted for 2013 Census data (all Waves) and attrition (Waves 2, 3 and 4)</w:t>
      </w:r>
    </w:p>
    <w:p w14:paraId="68191549" w14:textId="77777777" w:rsidR="00326B55" w:rsidRPr="009E769D" w:rsidRDefault="00326B55" w:rsidP="00326B55">
      <w:pPr>
        <w:spacing w:after="200" w:line="276" w:lineRule="auto"/>
        <w:rPr>
          <w:sz w:val="16"/>
        </w:rPr>
      </w:pPr>
      <w:r w:rsidRPr="009E769D">
        <w:rPr>
          <w:sz w:val="16"/>
        </w:rPr>
        <w:t>! Meaningful confidence intervals not calculable due to small sample size</w:t>
      </w:r>
    </w:p>
    <w:p w14:paraId="25528031" w14:textId="77777777" w:rsidR="0071429D" w:rsidRDefault="0071429D" w:rsidP="00350870">
      <w:pPr>
        <w:pStyle w:val="RepNormal"/>
      </w:pPr>
    </w:p>
    <w:p w14:paraId="690C9624" w14:textId="77777777" w:rsidR="001945A1" w:rsidRDefault="00CC0DD0" w:rsidP="001945A1">
      <w:pPr>
        <w:pStyle w:val="RepHead2"/>
      </w:pPr>
      <w:bookmarkStart w:id="177" w:name="_Ref483378636"/>
      <w:bookmarkStart w:id="178" w:name="_Toc504488389"/>
      <w:r>
        <w:t>R</w:t>
      </w:r>
      <w:r w:rsidR="001945A1">
        <w:t>elapse into moderate-risk/problem gambling</w:t>
      </w:r>
      <w:bookmarkEnd w:id="177"/>
      <w:bookmarkEnd w:id="178"/>
      <w:r w:rsidR="001945A1">
        <w:t xml:space="preserve"> </w:t>
      </w:r>
    </w:p>
    <w:p w14:paraId="22E8C1B7" w14:textId="77777777" w:rsidR="001945A1" w:rsidRDefault="001945A1" w:rsidP="001945A1">
      <w:pPr>
        <w:pStyle w:val="RepNormal"/>
        <w:keepNext/>
      </w:pPr>
    </w:p>
    <w:p w14:paraId="565C4CC4" w14:textId="77777777" w:rsidR="001945A1" w:rsidRDefault="001945A1" w:rsidP="00B91F56">
      <w:pPr>
        <w:pStyle w:val="RepNormal"/>
        <w:keepNext/>
      </w:pPr>
      <w:r w:rsidRPr="00350870">
        <w:t xml:space="preserve">This section details associations with relapse </w:t>
      </w:r>
      <w:r>
        <w:t xml:space="preserve">into </w:t>
      </w:r>
      <w:r w:rsidRPr="00350870">
        <w:t>moderate-risk/problem gambling.</w:t>
      </w:r>
      <w:r w:rsidR="00CC0DD0">
        <w:t xml:space="preserve">  </w:t>
      </w:r>
      <w:r>
        <w:t xml:space="preserve">Participants who were moderate-risk/problem gamblers in Wave 1, were not at these risk levels in Wave 2, but who then became moderate-risk/problem gamblers again in Wave 3 and/or Wave 4 are deemed to have </w:t>
      </w:r>
      <w:r w:rsidRPr="00583365">
        <w:rPr>
          <w:i/>
        </w:rPr>
        <w:t>relapsed</w:t>
      </w:r>
      <w:r>
        <w:t xml:space="preserve">.  </w:t>
      </w:r>
      <w:r w:rsidR="00626C08" w:rsidRPr="00626C08">
        <w:t xml:space="preserve">Bivariate associations (section </w:t>
      </w:r>
      <w:r w:rsidR="00626C08">
        <w:fldChar w:fldCharType="begin"/>
      </w:r>
      <w:r w:rsidR="00626C08">
        <w:instrText xml:space="preserve"> REF _Ref495670963 \r \h </w:instrText>
      </w:r>
      <w:r w:rsidR="00626C08">
        <w:fldChar w:fldCharType="separate"/>
      </w:r>
      <w:r w:rsidR="00D5752E">
        <w:t>4.12.1</w:t>
      </w:r>
      <w:r w:rsidR="00626C08">
        <w:fldChar w:fldCharType="end"/>
      </w:r>
      <w:r w:rsidR="00626C08" w:rsidRPr="00626C08">
        <w:t xml:space="preserve">) are presented, as are multiple logistic regression analyses (section </w:t>
      </w:r>
      <w:r w:rsidR="00626C08">
        <w:fldChar w:fldCharType="begin"/>
      </w:r>
      <w:r w:rsidR="00626C08">
        <w:instrText xml:space="preserve"> REF _Ref495670972 \r \h </w:instrText>
      </w:r>
      <w:r w:rsidR="00626C08">
        <w:fldChar w:fldCharType="separate"/>
      </w:r>
      <w:r w:rsidR="00D5752E">
        <w:t>4.12.2</w:t>
      </w:r>
      <w:r w:rsidR="00626C08">
        <w:fldChar w:fldCharType="end"/>
      </w:r>
      <w:r w:rsidR="00626C08" w:rsidRPr="00626C08">
        <w:t>)</w:t>
      </w:r>
      <w:r w:rsidR="00B91F56">
        <w:t>.</w:t>
      </w:r>
      <w:r w:rsidR="00626C08" w:rsidRPr="00626C08">
        <w:t xml:space="preserve"> </w:t>
      </w:r>
      <w:r w:rsidR="00B91F56">
        <w:t xml:space="preserve"> Subgroup analyses by ethnicity were not possible due to very small sample sizes.</w:t>
      </w:r>
    </w:p>
    <w:p w14:paraId="2DF9D964" w14:textId="77777777" w:rsidR="00B91F56" w:rsidRDefault="00B91F56" w:rsidP="00B91F56">
      <w:pPr>
        <w:pStyle w:val="RepNormal"/>
        <w:keepNext/>
      </w:pPr>
    </w:p>
    <w:p w14:paraId="6515912A" w14:textId="77777777" w:rsidR="00CC0DD0" w:rsidRDefault="00CC0DD0" w:rsidP="00CC0DD0">
      <w:pPr>
        <w:pStyle w:val="RepNormal"/>
      </w:pPr>
      <w:r>
        <w:t xml:space="preserve">Twenty-six participants (adjusted n) were moderate-risk/problem gamblers in Wave 1, </w:t>
      </w:r>
      <w:r w:rsidR="00B91F56">
        <w:t xml:space="preserve">transitioned to a lower risk level (or stopped gambling) in Wave 2, </w:t>
      </w:r>
      <w:r>
        <w:t xml:space="preserve">and remained at a lower risk level in Wave 3 and Wave 4.  Five participants (adjusted n) were moderate-risk/problem gamblers in Wave 1, transitioned to a lower risk level (or stopped gambling) in Wave 2, then became moderate-risk/problem gamblers again in Wave 3 and/or Wave 4; these people had </w:t>
      </w:r>
      <w:r w:rsidRPr="00B97E07">
        <w:rPr>
          <w:i/>
        </w:rPr>
        <w:t>relapsed</w:t>
      </w:r>
      <w:r>
        <w:t xml:space="preserve"> into moderate-risk/problem gambling.</w:t>
      </w:r>
    </w:p>
    <w:p w14:paraId="076EEF2C" w14:textId="77777777" w:rsidR="00CC0DD0" w:rsidRDefault="00CC0DD0" w:rsidP="00CC0DD0">
      <w:pPr>
        <w:pStyle w:val="RepNormal"/>
      </w:pPr>
    </w:p>
    <w:p w14:paraId="45DA2893" w14:textId="168C88A7" w:rsidR="00CC0DD0" w:rsidRDefault="00CC0DD0" w:rsidP="00CC0DD0">
      <w:pPr>
        <w:pStyle w:val="RepNormal"/>
      </w:pPr>
      <w:r>
        <w:rPr>
          <w:i/>
        </w:rPr>
        <w:t>Note that due to the very small samp</w:t>
      </w:r>
      <w:r w:rsidR="004B0286">
        <w:rPr>
          <w:i/>
        </w:rPr>
        <w:t>le size, the associations (and odds r</w:t>
      </w:r>
      <w:r>
        <w:rPr>
          <w:i/>
        </w:rPr>
        <w:t>atios) detailed below must be considered indic</w:t>
      </w:r>
      <w:r w:rsidR="004B0286">
        <w:rPr>
          <w:i/>
        </w:rPr>
        <w:t>ative only.  In several cases, odds r</w:t>
      </w:r>
      <w:r>
        <w:rPr>
          <w:i/>
        </w:rPr>
        <w:t>atios were not calculable.</w:t>
      </w:r>
    </w:p>
    <w:p w14:paraId="5D537514" w14:textId="77777777" w:rsidR="001945A1" w:rsidRDefault="001945A1" w:rsidP="001945A1">
      <w:pPr>
        <w:pStyle w:val="RepNormal"/>
      </w:pPr>
    </w:p>
    <w:p w14:paraId="65BF6CC3" w14:textId="77777777" w:rsidR="001945A1" w:rsidRDefault="001945A1" w:rsidP="001945A1">
      <w:pPr>
        <w:pStyle w:val="RepNormal"/>
      </w:pPr>
    </w:p>
    <w:p w14:paraId="7BBC4F46" w14:textId="77777777" w:rsidR="001945A1" w:rsidRDefault="001945A1" w:rsidP="00B91F56">
      <w:pPr>
        <w:pStyle w:val="RepHead3"/>
      </w:pPr>
      <w:bookmarkStart w:id="179" w:name="_Ref495670963"/>
      <w:bookmarkStart w:id="180" w:name="_Toc504488390"/>
      <w:r>
        <w:t>Bivariate associations</w:t>
      </w:r>
      <w:bookmarkEnd w:id="179"/>
      <w:bookmarkEnd w:id="180"/>
    </w:p>
    <w:p w14:paraId="023A39DA" w14:textId="77777777" w:rsidR="001945A1" w:rsidRDefault="001945A1" w:rsidP="00B91F56">
      <w:pPr>
        <w:pStyle w:val="RepNormal"/>
        <w:keepNext/>
      </w:pPr>
    </w:p>
    <w:p w14:paraId="0ECA18C5" w14:textId="77777777" w:rsidR="001945A1" w:rsidRDefault="001945A1" w:rsidP="00B91F56">
      <w:pPr>
        <w:pStyle w:val="RepNormal"/>
        <w:keepNext/>
      </w:pPr>
      <w:r>
        <w:t xml:space="preserve">Statistically significant bivariate associations are presented </w:t>
      </w:r>
      <w:r w:rsidRPr="00B116A3">
        <w:t xml:space="preserve">in Appendix </w:t>
      </w:r>
      <w:r w:rsidR="003D7BB5">
        <w:t>32</w:t>
      </w:r>
      <w:r w:rsidRPr="00B116A3">
        <w:t>.</w:t>
      </w:r>
    </w:p>
    <w:p w14:paraId="7A24F65C" w14:textId="77777777" w:rsidR="001945A1" w:rsidRDefault="001945A1" w:rsidP="00B91F56">
      <w:pPr>
        <w:pStyle w:val="RepNormal"/>
        <w:keepNext/>
      </w:pPr>
    </w:p>
    <w:p w14:paraId="770C327C" w14:textId="77777777" w:rsidR="001945A1" w:rsidRDefault="001945A1" w:rsidP="00B91F56">
      <w:pPr>
        <w:pStyle w:val="RepNormal"/>
        <w:keepNext/>
      </w:pPr>
      <w:r>
        <w:t>Bivariate associations examined using logistic regression indicated that Asian ethnicity was significantly associated with increased likelihood of relapse into mo</w:t>
      </w:r>
      <w:r w:rsidR="00FF1315">
        <w:t>derate-risk/</w:t>
      </w:r>
      <w:r>
        <w:t>problem gambling compared with people of European/Other ethnicity.</w:t>
      </w:r>
    </w:p>
    <w:p w14:paraId="29F9C40C" w14:textId="77777777" w:rsidR="001945A1" w:rsidRDefault="001945A1" w:rsidP="001945A1">
      <w:pPr>
        <w:pStyle w:val="RepNormal"/>
      </w:pPr>
    </w:p>
    <w:p w14:paraId="6DE2C3B8" w14:textId="77777777" w:rsidR="001945A1" w:rsidRDefault="001945A1" w:rsidP="001945A1">
      <w:pPr>
        <w:pStyle w:val="RepNormal"/>
      </w:pPr>
      <w:r>
        <w:t>People who in Wave 1 gambled annually</w:t>
      </w:r>
      <w:r w:rsidR="00FF1315">
        <w:t xml:space="preserve"> or more often</w:t>
      </w:r>
      <w:r>
        <w:t xml:space="preserve"> on housie/bingo</w:t>
      </w:r>
      <w:r w:rsidR="00FF1315">
        <w:t>,</w:t>
      </w:r>
      <w:r>
        <w:t xml:space="preserve"> overseas internet gambling</w:t>
      </w:r>
      <w:r>
        <w:rPr>
          <w:rStyle w:val="FootnoteReference"/>
        </w:rPr>
        <w:footnoteReference w:id="7"/>
      </w:r>
      <w:r>
        <w:t>, any offshore/online gambling</w:t>
      </w:r>
      <w:r w:rsidR="00FF1315">
        <w:t xml:space="preserve"> or other offshore gambling</w:t>
      </w:r>
      <w:r w:rsidR="00FF1315">
        <w:rPr>
          <w:rStyle w:val="FootnoteReference"/>
        </w:rPr>
        <w:footnoteReference w:id="8"/>
      </w:r>
      <w:r w:rsidR="00FF1315">
        <w:t>,</w:t>
      </w:r>
      <w:r>
        <w:t xml:space="preserve"> or </w:t>
      </w:r>
      <w:r w:rsidR="00FF1315">
        <w:t xml:space="preserve">who gambled </w:t>
      </w:r>
      <w:r>
        <w:t>monthly</w:t>
      </w:r>
      <w:r w:rsidR="00FF1315">
        <w:t xml:space="preserve"> or more often</w:t>
      </w:r>
      <w:r>
        <w:t xml:space="preserve"> on Instant Kiwi or other scratch tickets</w:t>
      </w:r>
      <w:r w:rsidR="00FF1315">
        <w:t>,</w:t>
      </w:r>
      <w:r>
        <w:t xml:space="preserve"> were more likely to relapse than people who did not gamble at least annually or monthly on those activities. </w:t>
      </w:r>
    </w:p>
    <w:p w14:paraId="2F7B4F00" w14:textId="77777777" w:rsidR="001945A1" w:rsidRDefault="001945A1" w:rsidP="001945A1">
      <w:pPr>
        <w:pStyle w:val="RepNormal"/>
      </w:pPr>
    </w:p>
    <w:p w14:paraId="28926EDF" w14:textId="77777777" w:rsidR="001945A1" w:rsidRDefault="001945A1" w:rsidP="001945A1">
      <w:pPr>
        <w:pStyle w:val="RepNormal"/>
      </w:pPr>
      <w:r>
        <w:t xml:space="preserve">Additionally, people who gambled </w:t>
      </w:r>
      <w:r w:rsidR="00145642">
        <w:t xml:space="preserve">in Wave 1 </w:t>
      </w:r>
      <w:r>
        <w:t xml:space="preserve">with several </w:t>
      </w:r>
      <w:r w:rsidR="00145642">
        <w:t xml:space="preserve">other </w:t>
      </w:r>
      <w:r>
        <w:t>people or in a group</w:t>
      </w:r>
      <w:r w:rsidR="00145642">
        <w:t>,</w:t>
      </w:r>
      <w:r>
        <w:t xml:space="preserve"> had increased likelihood of relapsing into moderate-risk/problem gambling, compared with people who gambled alone.</w:t>
      </w:r>
    </w:p>
    <w:p w14:paraId="14B41983" w14:textId="77777777" w:rsidR="001945A1" w:rsidRPr="00330169" w:rsidRDefault="001945A1" w:rsidP="001945A1">
      <w:pPr>
        <w:pStyle w:val="RepNormal"/>
      </w:pPr>
    </w:p>
    <w:p w14:paraId="5C43686A" w14:textId="77777777" w:rsidR="001945A1" w:rsidRDefault="001945A1" w:rsidP="001945A1">
      <w:pPr>
        <w:pStyle w:val="RepNormal"/>
      </w:pPr>
    </w:p>
    <w:p w14:paraId="2109A2B2" w14:textId="77777777" w:rsidR="001945A1" w:rsidRDefault="001945A1" w:rsidP="00CC0DD0">
      <w:pPr>
        <w:pStyle w:val="RepHead3"/>
      </w:pPr>
      <w:bookmarkStart w:id="181" w:name="_Ref495670972"/>
      <w:bookmarkStart w:id="182" w:name="_Toc504488391"/>
      <w:r w:rsidRPr="00B116A3">
        <w:t>Multiple logistic regression</w:t>
      </w:r>
      <w:bookmarkEnd w:id="181"/>
      <w:bookmarkEnd w:id="182"/>
    </w:p>
    <w:p w14:paraId="09B347A1" w14:textId="77777777" w:rsidR="001945A1" w:rsidRDefault="001945A1" w:rsidP="001945A1">
      <w:pPr>
        <w:pStyle w:val="RepNormal"/>
      </w:pPr>
    </w:p>
    <w:p w14:paraId="3DCFB179" w14:textId="77777777" w:rsidR="001945A1" w:rsidRPr="005C7F89" w:rsidRDefault="001945A1" w:rsidP="001945A1">
      <w:pPr>
        <w:pStyle w:val="RepNormal"/>
      </w:pPr>
      <w:r>
        <w:t xml:space="preserve">Data are presented in </w:t>
      </w:r>
      <w:r w:rsidR="00236FAA">
        <w:fldChar w:fldCharType="begin"/>
      </w:r>
      <w:r w:rsidR="00236FAA">
        <w:instrText xml:space="preserve"> REF _Ref495659227 \h </w:instrText>
      </w:r>
      <w:r w:rsidR="00236FAA">
        <w:fldChar w:fldCharType="separate"/>
      </w:r>
      <w:r w:rsidR="00D5752E">
        <w:t xml:space="preserve">Table </w:t>
      </w:r>
      <w:r w:rsidR="00D5752E">
        <w:rPr>
          <w:noProof/>
        </w:rPr>
        <w:t>22</w:t>
      </w:r>
      <w:r w:rsidR="00236FAA">
        <w:fldChar w:fldCharType="end"/>
      </w:r>
      <w:r>
        <w:t>.</w:t>
      </w:r>
    </w:p>
    <w:p w14:paraId="63D83B75" w14:textId="77777777" w:rsidR="001945A1" w:rsidRDefault="001945A1" w:rsidP="001945A1">
      <w:pPr>
        <w:pStyle w:val="RepNormal"/>
      </w:pPr>
    </w:p>
    <w:p w14:paraId="796DE2CC" w14:textId="77777777" w:rsidR="001945A1" w:rsidRDefault="001945A1" w:rsidP="001945A1">
      <w:pPr>
        <w:pStyle w:val="RepNormal"/>
      </w:pPr>
      <w:r>
        <w:t>Multiple logistic regression analyses showed that the variables remaining significantly associated with relapse into moderate-risk/problem gambling were Wave 1 gambling annually</w:t>
      </w:r>
      <w:r w:rsidR="00016AB6">
        <w:t xml:space="preserve"> or more often</w:t>
      </w:r>
      <w:r>
        <w:t xml:space="preserve"> on housie/bingo or overseas internet gambling, and gambling monthly </w:t>
      </w:r>
      <w:r w:rsidR="00016AB6">
        <w:t xml:space="preserve">or more often </w:t>
      </w:r>
      <w:r>
        <w:t xml:space="preserve">on Instant Kiwi or other scratch tickets. </w:t>
      </w:r>
      <w:r w:rsidRPr="00BD4CD5">
        <w:t xml:space="preserve"> </w:t>
      </w:r>
      <w:r>
        <w:t xml:space="preserve">Gambling </w:t>
      </w:r>
      <w:r w:rsidR="00016AB6">
        <w:t>m</w:t>
      </w:r>
      <w:r>
        <w:t>onthly</w:t>
      </w:r>
      <w:r w:rsidR="00016AB6">
        <w:t xml:space="preserve"> or more often </w:t>
      </w:r>
      <w:r>
        <w:t>on casino EGMs was also associated</w:t>
      </w:r>
      <w:r w:rsidR="00016AB6">
        <w:t xml:space="preserve"> with relapse</w:t>
      </w:r>
      <w:r>
        <w:t xml:space="preserve">; this failed to attain a level of statistical significance in the bivariate analyses (p=0.16), probably as only </w:t>
      </w:r>
      <w:r w:rsidR="00016AB6">
        <w:t>one</w:t>
      </w:r>
      <w:r>
        <w:t xml:space="preserve"> person in this category (adjusted n) had relapsed.  For each of these gambling activities, </w:t>
      </w:r>
      <w:r w:rsidR="00016AB6">
        <w:t>participants</w:t>
      </w:r>
      <w:r>
        <w:t xml:space="preserve"> had substantially higher odds for relapse compared with people who did not gamble </w:t>
      </w:r>
      <w:r w:rsidR="00016AB6">
        <w:t xml:space="preserve">at least annually or </w:t>
      </w:r>
      <w:r>
        <w:t>monthly on these activities.  The odds were 21.90 times higher for housie/bingo, 23.74 times higher for overseas internet gambling, 11.38 times higher for Instant Kiwi</w:t>
      </w:r>
      <w:r w:rsidR="00016AB6">
        <w:t>/other scratch tickets</w:t>
      </w:r>
      <w:r>
        <w:t>, and 16.08 times higher for casino EGM gambling.</w:t>
      </w:r>
    </w:p>
    <w:p w14:paraId="07A2B083" w14:textId="77777777" w:rsidR="001945A1" w:rsidRDefault="001945A1" w:rsidP="001945A1">
      <w:pPr>
        <w:pStyle w:val="RepNormal"/>
      </w:pPr>
    </w:p>
    <w:p w14:paraId="075A4392" w14:textId="77777777" w:rsidR="001945A1" w:rsidRDefault="001945A1" w:rsidP="001945A1">
      <w:pPr>
        <w:pStyle w:val="RepNormal"/>
      </w:pPr>
      <w:r>
        <w:t xml:space="preserve">Additionally, </w:t>
      </w:r>
      <w:r w:rsidR="00016AB6">
        <w:t>participants</w:t>
      </w:r>
      <w:r>
        <w:t xml:space="preserve"> who</w:t>
      </w:r>
      <w:r w:rsidR="00016AB6">
        <w:t>,</w:t>
      </w:r>
      <w:r>
        <w:t xml:space="preserve"> in Wave 1, separated betting money from other money and stopped gambling when it was used up had higher odds (12.41 times higher) for relapsing into moderate-risk/problem gambling than people who did not use this strategy.  This finding just failed to attain a level of statistical significance in the bivariate analyses (p=0.06).</w:t>
      </w:r>
    </w:p>
    <w:p w14:paraId="2CDEF170" w14:textId="77777777" w:rsidR="001945A1" w:rsidRDefault="001945A1" w:rsidP="001945A1">
      <w:pPr>
        <w:pStyle w:val="RepNormal"/>
      </w:pPr>
    </w:p>
    <w:p w14:paraId="7FE10E68" w14:textId="77777777" w:rsidR="001945A1" w:rsidRPr="00B01A26" w:rsidRDefault="001945A1" w:rsidP="00B91F56">
      <w:pPr>
        <w:pStyle w:val="Caption"/>
        <w:keepNext/>
        <w:jc w:val="both"/>
        <w:rPr>
          <w:sz w:val="22"/>
          <w:szCs w:val="22"/>
        </w:rPr>
      </w:pPr>
      <w:bookmarkStart w:id="183" w:name="_Ref495659227"/>
      <w:bookmarkStart w:id="184" w:name="_Toc504488447"/>
      <w:r>
        <w:t xml:space="preserve">Table </w:t>
      </w:r>
      <w:r w:rsidR="00D5752E">
        <w:fldChar w:fldCharType="begin"/>
      </w:r>
      <w:r w:rsidR="00D5752E">
        <w:instrText xml:space="preserve"> SEQ Table \* ARABIC </w:instrText>
      </w:r>
      <w:r w:rsidR="00D5752E">
        <w:fldChar w:fldCharType="separate"/>
      </w:r>
      <w:r w:rsidR="00D5752E">
        <w:rPr>
          <w:noProof/>
        </w:rPr>
        <w:t>22</w:t>
      </w:r>
      <w:r w:rsidR="00D5752E">
        <w:rPr>
          <w:noProof/>
        </w:rPr>
        <w:fldChar w:fldCharType="end"/>
      </w:r>
      <w:bookmarkEnd w:id="183"/>
      <w:r>
        <w:t>: Multiple logistic regression for relapsing into moderate-risk/problem gambling</w:t>
      </w:r>
      <w:bookmarkEnd w:id="184"/>
    </w:p>
    <w:tbl>
      <w:tblPr>
        <w:tblStyle w:val="TableGrid"/>
        <w:tblW w:w="8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048"/>
        <w:gridCol w:w="995"/>
        <w:gridCol w:w="1055"/>
        <w:gridCol w:w="1275"/>
        <w:gridCol w:w="1020"/>
      </w:tblGrid>
      <w:tr w:rsidR="001945A1" w:rsidRPr="003F15C0" w14:paraId="252403D7" w14:textId="77777777" w:rsidTr="001945A1">
        <w:trPr>
          <w:tblHeader/>
        </w:trPr>
        <w:tc>
          <w:tcPr>
            <w:tcW w:w="3119" w:type="dxa"/>
            <w:tcBorders>
              <w:top w:val="single" w:sz="4" w:space="0" w:color="auto"/>
              <w:bottom w:val="single" w:sz="4" w:space="0" w:color="auto"/>
            </w:tcBorders>
            <w:vAlign w:val="bottom"/>
          </w:tcPr>
          <w:p w14:paraId="77F298E0" w14:textId="77777777" w:rsidR="001945A1" w:rsidRPr="003F15C0" w:rsidRDefault="001945A1" w:rsidP="00B91F56">
            <w:pPr>
              <w:keepNext/>
              <w:spacing w:before="20"/>
              <w:jc w:val="both"/>
              <w:rPr>
                <w:b/>
                <w:sz w:val="16"/>
                <w:szCs w:val="16"/>
              </w:rPr>
            </w:pPr>
            <w:r>
              <w:rPr>
                <w:b/>
                <w:sz w:val="16"/>
                <w:szCs w:val="16"/>
              </w:rPr>
              <w:t>Wave 1 v</w:t>
            </w:r>
            <w:r w:rsidRPr="003F15C0">
              <w:rPr>
                <w:b/>
                <w:sz w:val="16"/>
                <w:szCs w:val="16"/>
              </w:rPr>
              <w:t>ariable</w:t>
            </w:r>
          </w:p>
        </w:tc>
        <w:tc>
          <w:tcPr>
            <w:tcW w:w="1048" w:type="dxa"/>
            <w:tcBorders>
              <w:top w:val="single" w:sz="4" w:space="0" w:color="auto"/>
              <w:bottom w:val="single" w:sz="4" w:space="0" w:color="auto"/>
            </w:tcBorders>
            <w:vAlign w:val="bottom"/>
          </w:tcPr>
          <w:p w14:paraId="30DFB533" w14:textId="77777777" w:rsidR="001945A1" w:rsidRPr="003F15C0" w:rsidRDefault="001945A1" w:rsidP="00B91F56">
            <w:pPr>
              <w:keepNext/>
              <w:spacing w:before="20"/>
              <w:jc w:val="right"/>
              <w:rPr>
                <w:b/>
                <w:bCs/>
                <w:color w:val="000000"/>
                <w:sz w:val="16"/>
                <w:szCs w:val="16"/>
              </w:rPr>
            </w:pPr>
            <w:r>
              <w:rPr>
                <w:b/>
                <w:bCs/>
                <w:color w:val="000000"/>
                <w:sz w:val="16"/>
                <w:szCs w:val="16"/>
              </w:rPr>
              <w:t>Adjusted n</w:t>
            </w:r>
          </w:p>
        </w:tc>
        <w:tc>
          <w:tcPr>
            <w:tcW w:w="995" w:type="dxa"/>
            <w:tcBorders>
              <w:top w:val="single" w:sz="4" w:space="0" w:color="auto"/>
              <w:bottom w:val="single" w:sz="4" w:space="0" w:color="auto"/>
            </w:tcBorders>
            <w:vAlign w:val="bottom"/>
          </w:tcPr>
          <w:p w14:paraId="113727B1" w14:textId="77777777" w:rsidR="001945A1" w:rsidRPr="003F15C0" w:rsidRDefault="001945A1" w:rsidP="00B91F56">
            <w:pPr>
              <w:keepNext/>
              <w:spacing w:before="20"/>
              <w:jc w:val="right"/>
              <w:rPr>
                <w:b/>
                <w:bCs/>
                <w:color w:val="000000"/>
                <w:sz w:val="16"/>
                <w:szCs w:val="16"/>
              </w:rPr>
            </w:pPr>
            <w:r w:rsidRPr="003F15C0">
              <w:rPr>
                <w:b/>
                <w:bCs/>
                <w:color w:val="000000"/>
                <w:sz w:val="16"/>
                <w:szCs w:val="16"/>
              </w:rPr>
              <w:t>%</w:t>
            </w:r>
            <w:r>
              <w:rPr>
                <w:b/>
                <w:bCs/>
                <w:color w:val="000000"/>
                <w:sz w:val="16"/>
                <w:szCs w:val="16"/>
              </w:rPr>
              <w:t xml:space="preserve"> Relapse</w:t>
            </w:r>
          </w:p>
        </w:tc>
        <w:tc>
          <w:tcPr>
            <w:tcW w:w="1055" w:type="dxa"/>
            <w:tcBorders>
              <w:top w:val="single" w:sz="4" w:space="0" w:color="auto"/>
              <w:bottom w:val="single" w:sz="4" w:space="0" w:color="auto"/>
            </w:tcBorders>
            <w:vAlign w:val="bottom"/>
          </w:tcPr>
          <w:p w14:paraId="0BFA73B1" w14:textId="7CD4461D" w:rsidR="001945A1" w:rsidRPr="003F15C0" w:rsidRDefault="004B0286" w:rsidP="00B91F56">
            <w:pPr>
              <w:keepNext/>
              <w:spacing w:before="20"/>
              <w:jc w:val="right"/>
              <w:rPr>
                <w:b/>
                <w:color w:val="000000"/>
                <w:sz w:val="16"/>
                <w:szCs w:val="16"/>
              </w:rPr>
            </w:pPr>
            <w:r>
              <w:rPr>
                <w:b/>
                <w:color w:val="000000"/>
                <w:sz w:val="16"/>
                <w:szCs w:val="16"/>
              </w:rPr>
              <w:t>Odds r</w:t>
            </w:r>
            <w:r w:rsidR="001945A1" w:rsidRPr="003F15C0">
              <w:rPr>
                <w:b/>
                <w:color w:val="000000"/>
                <w:sz w:val="16"/>
                <w:szCs w:val="16"/>
              </w:rPr>
              <w:t>atio</w:t>
            </w:r>
          </w:p>
        </w:tc>
        <w:tc>
          <w:tcPr>
            <w:tcW w:w="1275" w:type="dxa"/>
            <w:tcBorders>
              <w:top w:val="single" w:sz="4" w:space="0" w:color="auto"/>
              <w:bottom w:val="single" w:sz="4" w:space="0" w:color="auto"/>
            </w:tcBorders>
            <w:vAlign w:val="bottom"/>
          </w:tcPr>
          <w:p w14:paraId="2234FE3B" w14:textId="77777777" w:rsidR="001945A1" w:rsidRPr="003F15C0" w:rsidRDefault="001945A1" w:rsidP="00B91F56">
            <w:pPr>
              <w:keepNext/>
              <w:spacing w:before="20"/>
              <w:jc w:val="right"/>
              <w:rPr>
                <w:b/>
                <w:color w:val="000000"/>
                <w:sz w:val="16"/>
                <w:szCs w:val="16"/>
              </w:rPr>
            </w:pPr>
            <w:r w:rsidRPr="003F15C0">
              <w:rPr>
                <w:b/>
                <w:color w:val="000000"/>
                <w:sz w:val="16"/>
                <w:szCs w:val="16"/>
              </w:rPr>
              <w:t>(95% CI)</w:t>
            </w:r>
          </w:p>
        </w:tc>
        <w:tc>
          <w:tcPr>
            <w:tcW w:w="1020" w:type="dxa"/>
            <w:tcBorders>
              <w:top w:val="single" w:sz="4" w:space="0" w:color="auto"/>
              <w:bottom w:val="single" w:sz="4" w:space="0" w:color="auto"/>
            </w:tcBorders>
            <w:vAlign w:val="bottom"/>
          </w:tcPr>
          <w:p w14:paraId="6609E85C" w14:textId="77777777" w:rsidR="001945A1" w:rsidRPr="003F15C0" w:rsidRDefault="001945A1" w:rsidP="00B91F56">
            <w:pPr>
              <w:keepNext/>
              <w:spacing w:before="20"/>
              <w:jc w:val="right"/>
              <w:rPr>
                <w:b/>
                <w:color w:val="000000"/>
                <w:sz w:val="16"/>
                <w:szCs w:val="16"/>
              </w:rPr>
            </w:pPr>
            <w:r w:rsidRPr="003F15C0">
              <w:rPr>
                <w:b/>
                <w:color w:val="000000"/>
                <w:sz w:val="16"/>
                <w:szCs w:val="16"/>
              </w:rPr>
              <w:t>p-value</w:t>
            </w:r>
          </w:p>
        </w:tc>
      </w:tr>
      <w:tr w:rsidR="001945A1" w:rsidRPr="003F15C0" w14:paraId="4F2CF4A7" w14:textId="77777777" w:rsidTr="001945A1">
        <w:tc>
          <w:tcPr>
            <w:tcW w:w="4167" w:type="dxa"/>
            <w:gridSpan w:val="2"/>
            <w:shd w:val="clear" w:color="auto" w:fill="auto"/>
            <w:vAlign w:val="center"/>
          </w:tcPr>
          <w:p w14:paraId="71B41097" w14:textId="77777777" w:rsidR="001945A1" w:rsidRPr="003F15C0" w:rsidRDefault="001945A1" w:rsidP="00B91F56">
            <w:pPr>
              <w:keepNext/>
              <w:spacing w:before="20"/>
              <w:rPr>
                <w:b/>
                <w:bCs/>
                <w:color w:val="000000"/>
                <w:sz w:val="16"/>
                <w:szCs w:val="16"/>
              </w:rPr>
            </w:pPr>
            <w:r>
              <w:rPr>
                <w:b/>
                <w:sz w:val="16"/>
                <w:szCs w:val="16"/>
              </w:rPr>
              <w:t>Housie/bingo</w:t>
            </w:r>
            <w:r w:rsidRPr="003F15C0">
              <w:rPr>
                <w:b/>
                <w:sz w:val="16"/>
                <w:szCs w:val="16"/>
              </w:rPr>
              <w:t xml:space="preserve"> - </w:t>
            </w:r>
            <w:r>
              <w:rPr>
                <w:b/>
                <w:sz w:val="16"/>
                <w:szCs w:val="16"/>
              </w:rPr>
              <w:t>annual</w:t>
            </w:r>
          </w:p>
        </w:tc>
        <w:tc>
          <w:tcPr>
            <w:tcW w:w="995" w:type="dxa"/>
            <w:shd w:val="clear" w:color="auto" w:fill="auto"/>
            <w:vAlign w:val="center"/>
          </w:tcPr>
          <w:p w14:paraId="23ED679E" w14:textId="77777777" w:rsidR="001945A1" w:rsidRPr="003F15C0" w:rsidRDefault="001945A1" w:rsidP="00B91F56">
            <w:pPr>
              <w:keepNext/>
              <w:spacing w:before="20"/>
              <w:jc w:val="right"/>
              <w:rPr>
                <w:b/>
                <w:bCs/>
                <w:color w:val="000000"/>
                <w:sz w:val="16"/>
                <w:szCs w:val="16"/>
              </w:rPr>
            </w:pPr>
          </w:p>
        </w:tc>
        <w:tc>
          <w:tcPr>
            <w:tcW w:w="1055" w:type="dxa"/>
            <w:shd w:val="clear" w:color="auto" w:fill="auto"/>
            <w:vAlign w:val="center"/>
          </w:tcPr>
          <w:p w14:paraId="65ACEE7D" w14:textId="77777777" w:rsidR="001945A1" w:rsidRPr="003F15C0" w:rsidRDefault="001945A1" w:rsidP="00B91F56">
            <w:pPr>
              <w:keepNext/>
              <w:spacing w:before="20"/>
              <w:jc w:val="right"/>
              <w:rPr>
                <w:color w:val="000000"/>
                <w:sz w:val="16"/>
                <w:szCs w:val="16"/>
              </w:rPr>
            </w:pPr>
          </w:p>
        </w:tc>
        <w:tc>
          <w:tcPr>
            <w:tcW w:w="1275" w:type="dxa"/>
            <w:shd w:val="clear" w:color="auto" w:fill="auto"/>
            <w:vAlign w:val="center"/>
          </w:tcPr>
          <w:p w14:paraId="3646264D" w14:textId="77777777" w:rsidR="001945A1" w:rsidRPr="003F15C0" w:rsidRDefault="001945A1" w:rsidP="00B91F56">
            <w:pPr>
              <w:keepNext/>
              <w:spacing w:before="20"/>
              <w:jc w:val="right"/>
              <w:rPr>
                <w:color w:val="000000"/>
                <w:sz w:val="16"/>
                <w:szCs w:val="16"/>
              </w:rPr>
            </w:pPr>
          </w:p>
        </w:tc>
        <w:tc>
          <w:tcPr>
            <w:tcW w:w="1020" w:type="dxa"/>
            <w:vAlign w:val="center"/>
          </w:tcPr>
          <w:p w14:paraId="3C38193C" w14:textId="77777777" w:rsidR="001945A1" w:rsidRPr="003F15C0" w:rsidRDefault="001945A1" w:rsidP="00B91F56">
            <w:pPr>
              <w:keepNext/>
              <w:spacing w:before="20"/>
              <w:jc w:val="right"/>
              <w:rPr>
                <w:color w:val="000000"/>
                <w:sz w:val="16"/>
                <w:szCs w:val="16"/>
              </w:rPr>
            </w:pPr>
          </w:p>
        </w:tc>
      </w:tr>
      <w:tr w:rsidR="001945A1" w:rsidRPr="003F15C0" w14:paraId="04FF7AC1" w14:textId="77777777" w:rsidTr="001945A1">
        <w:tc>
          <w:tcPr>
            <w:tcW w:w="3119" w:type="dxa"/>
          </w:tcPr>
          <w:p w14:paraId="0AB28D0D" w14:textId="77777777" w:rsidR="001945A1" w:rsidRPr="003F15C0" w:rsidRDefault="001945A1" w:rsidP="00B91F56">
            <w:pPr>
              <w:keepNext/>
              <w:spacing w:before="20"/>
              <w:ind w:left="176"/>
              <w:jc w:val="both"/>
              <w:rPr>
                <w:sz w:val="16"/>
                <w:szCs w:val="16"/>
              </w:rPr>
            </w:pPr>
            <w:r w:rsidRPr="003F15C0">
              <w:rPr>
                <w:sz w:val="16"/>
                <w:szCs w:val="16"/>
              </w:rPr>
              <w:t>No</w:t>
            </w:r>
          </w:p>
        </w:tc>
        <w:tc>
          <w:tcPr>
            <w:tcW w:w="1048" w:type="dxa"/>
            <w:shd w:val="clear" w:color="auto" w:fill="auto"/>
            <w:vAlign w:val="center"/>
          </w:tcPr>
          <w:p w14:paraId="7ED9F227"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28</w:t>
            </w:r>
          </w:p>
        </w:tc>
        <w:tc>
          <w:tcPr>
            <w:tcW w:w="995" w:type="dxa"/>
            <w:shd w:val="clear" w:color="auto" w:fill="auto"/>
            <w:vAlign w:val="center"/>
          </w:tcPr>
          <w:p w14:paraId="0A2BB87C"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12.1</w:t>
            </w:r>
          </w:p>
        </w:tc>
        <w:tc>
          <w:tcPr>
            <w:tcW w:w="1055" w:type="dxa"/>
            <w:shd w:val="clear" w:color="auto" w:fill="auto"/>
            <w:vAlign w:val="center"/>
          </w:tcPr>
          <w:p w14:paraId="4A511954"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1.00</w:t>
            </w:r>
          </w:p>
        </w:tc>
        <w:tc>
          <w:tcPr>
            <w:tcW w:w="1275" w:type="dxa"/>
            <w:shd w:val="clear" w:color="auto" w:fill="auto"/>
            <w:vAlign w:val="center"/>
          </w:tcPr>
          <w:p w14:paraId="244592C5" w14:textId="77777777" w:rsidR="001945A1" w:rsidRPr="002A4053" w:rsidRDefault="001945A1" w:rsidP="00B91F56">
            <w:pPr>
              <w:keepNext/>
              <w:jc w:val="right"/>
              <w:rPr>
                <w:color w:val="000000"/>
                <w:sz w:val="16"/>
                <w:szCs w:val="20"/>
                <w:lang w:eastAsia="en-NZ"/>
              </w:rPr>
            </w:pPr>
          </w:p>
        </w:tc>
        <w:tc>
          <w:tcPr>
            <w:tcW w:w="1020" w:type="dxa"/>
            <w:shd w:val="clear" w:color="auto" w:fill="auto"/>
            <w:vAlign w:val="center"/>
          </w:tcPr>
          <w:p w14:paraId="1C1C4E95" w14:textId="77777777" w:rsidR="001945A1" w:rsidRPr="002A4053" w:rsidRDefault="001945A1" w:rsidP="00B91F56">
            <w:pPr>
              <w:keepNext/>
              <w:jc w:val="right"/>
              <w:rPr>
                <w:color w:val="000000"/>
                <w:sz w:val="16"/>
                <w:szCs w:val="20"/>
                <w:lang w:eastAsia="en-NZ"/>
              </w:rPr>
            </w:pPr>
          </w:p>
        </w:tc>
      </w:tr>
      <w:tr w:rsidR="001945A1" w:rsidRPr="003F15C0" w14:paraId="40177335" w14:textId="77777777" w:rsidTr="00326B55">
        <w:tc>
          <w:tcPr>
            <w:tcW w:w="3119" w:type="dxa"/>
          </w:tcPr>
          <w:p w14:paraId="581502AC" w14:textId="77777777" w:rsidR="001945A1" w:rsidRPr="003F15C0" w:rsidRDefault="001945A1" w:rsidP="00B91F56">
            <w:pPr>
              <w:keepNext/>
              <w:spacing w:before="20"/>
              <w:ind w:left="176"/>
              <w:jc w:val="both"/>
              <w:rPr>
                <w:sz w:val="16"/>
                <w:szCs w:val="16"/>
              </w:rPr>
            </w:pPr>
            <w:r w:rsidRPr="003F15C0">
              <w:rPr>
                <w:sz w:val="16"/>
                <w:szCs w:val="16"/>
              </w:rPr>
              <w:t>Yes</w:t>
            </w:r>
          </w:p>
        </w:tc>
        <w:tc>
          <w:tcPr>
            <w:tcW w:w="1048" w:type="dxa"/>
            <w:shd w:val="clear" w:color="auto" w:fill="auto"/>
            <w:vAlign w:val="center"/>
          </w:tcPr>
          <w:p w14:paraId="3914620B"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2</w:t>
            </w:r>
          </w:p>
        </w:tc>
        <w:tc>
          <w:tcPr>
            <w:tcW w:w="995" w:type="dxa"/>
            <w:shd w:val="clear" w:color="auto" w:fill="auto"/>
            <w:vAlign w:val="center"/>
          </w:tcPr>
          <w:p w14:paraId="5E020681"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69.6</w:t>
            </w:r>
          </w:p>
        </w:tc>
        <w:tc>
          <w:tcPr>
            <w:tcW w:w="1055" w:type="dxa"/>
            <w:shd w:val="clear" w:color="auto" w:fill="auto"/>
            <w:vAlign w:val="center"/>
          </w:tcPr>
          <w:p w14:paraId="0EC059C9"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21.90</w:t>
            </w:r>
          </w:p>
        </w:tc>
        <w:tc>
          <w:tcPr>
            <w:tcW w:w="1275" w:type="dxa"/>
            <w:shd w:val="clear" w:color="auto" w:fill="auto"/>
            <w:vAlign w:val="center"/>
          </w:tcPr>
          <w:p w14:paraId="04411C1C" w14:textId="77777777" w:rsidR="001945A1" w:rsidRPr="002A4053" w:rsidRDefault="00326B55" w:rsidP="00B91F56">
            <w:pPr>
              <w:keepNext/>
              <w:jc w:val="right"/>
              <w:rPr>
                <w:color w:val="000000"/>
                <w:sz w:val="16"/>
                <w:szCs w:val="20"/>
                <w:lang w:eastAsia="en-NZ"/>
              </w:rPr>
            </w:pPr>
            <w:r>
              <w:rPr>
                <w:color w:val="000000"/>
                <w:sz w:val="16"/>
                <w:szCs w:val="20"/>
                <w:lang w:eastAsia="en-NZ"/>
              </w:rPr>
              <w:t>!</w:t>
            </w:r>
          </w:p>
        </w:tc>
        <w:tc>
          <w:tcPr>
            <w:tcW w:w="1020" w:type="dxa"/>
            <w:shd w:val="clear" w:color="auto" w:fill="auto"/>
            <w:vAlign w:val="center"/>
          </w:tcPr>
          <w:p w14:paraId="50E01877"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0.01</w:t>
            </w:r>
          </w:p>
        </w:tc>
      </w:tr>
      <w:tr w:rsidR="001945A1" w:rsidRPr="003F15C0" w14:paraId="462E3DD5" w14:textId="77777777" w:rsidTr="00326B55">
        <w:tc>
          <w:tcPr>
            <w:tcW w:w="3119" w:type="dxa"/>
            <w:vAlign w:val="bottom"/>
          </w:tcPr>
          <w:p w14:paraId="5EAB9A42" w14:textId="77777777" w:rsidR="001945A1" w:rsidRPr="003F15C0" w:rsidRDefault="001945A1" w:rsidP="00B91F56">
            <w:pPr>
              <w:keepNext/>
              <w:spacing w:before="20"/>
              <w:jc w:val="both"/>
              <w:rPr>
                <w:b/>
                <w:sz w:val="16"/>
                <w:szCs w:val="16"/>
              </w:rPr>
            </w:pPr>
            <w:r w:rsidRPr="00465146">
              <w:rPr>
                <w:b/>
                <w:sz w:val="16"/>
                <w:szCs w:val="16"/>
              </w:rPr>
              <w:t>Overseas internet gambling†</w:t>
            </w:r>
            <w:r>
              <w:rPr>
                <w:b/>
                <w:sz w:val="16"/>
                <w:szCs w:val="16"/>
              </w:rPr>
              <w:t xml:space="preserve"> - annual</w:t>
            </w:r>
          </w:p>
        </w:tc>
        <w:tc>
          <w:tcPr>
            <w:tcW w:w="1048" w:type="dxa"/>
            <w:shd w:val="clear" w:color="auto" w:fill="auto"/>
            <w:vAlign w:val="center"/>
          </w:tcPr>
          <w:p w14:paraId="7849C64A" w14:textId="77777777" w:rsidR="001945A1" w:rsidRPr="00330169" w:rsidRDefault="001945A1" w:rsidP="00B91F56">
            <w:pPr>
              <w:keepNext/>
              <w:spacing w:before="20"/>
              <w:jc w:val="right"/>
              <w:rPr>
                <w:b/>
                <w:bCs/>
                <w:color w:val="000000"/>
                <w:sz w:val="16"/>
                <w:szCs w:val="16"/>
              </w:rPr>
            </w:pPr>
          </w:p>
        </w:tc>
        <w:tc>
          <w:tcPr>
            <w:tcW w:w="995" w:type="dxa"/>
            <w:shd w:val="clear" w:color="auto" w:fill="auto"/>
            <w:vAlign w:val="center"/>
          </w:tcPr>
          <w:p w14:paraId="41490FCD" w14:textId="77777777" w:rsidR="001945A1" w:rsidRPr="00330169" w:rsidRDefault="001945A1" w:rsidP="00B91F56">
            <w:pPr>
              <w:keepNext/>
              <w:spacing w:before="20"/>
              <w:jc w:val="right"/>
              <w:rPr>
                <w:b/>
                <w:bCs/>
                <w:color w:val="000000"/>
                <w:sz w:val="16"/>
                <w:szCs w:val="16"/>
              </w:rPr>
            </w:pPr>
          </w:p>
        </w:tc>
        <w:tc>
          <w:tcPr>
            <w:tcW w:w="1055" w:type="dxa"/>
            <w:shd w:val="clear" w:color="auto" w:fill="auto"/>
            <w:vAlign w:val="center"/>
          </w:tcPr>
          <w:p w14:paraId="2AEFFC52" w14:textId="77777777" w:rsidR="001945A1" w:rsidRPr="00330169" w:rsidRDefault="001945A1" w:rsidP="00B91F56">
            <w:pPr>
              <w:keepNext/>
              <w:spacing w:before="20"/>
              <w:jc w:val="right"/>
              <w:rPr>
                <w:color w:val="000000"/>
                <w:sz w:val="16"/>
                <w:szCs w:val="16"/>
              </w:rPr>
            </w:pPr>
          </w:p>
        </w:tc>
        <w:tc>
          <w:tcPr>
            <w:tcW w:w="1275" w:type="dxa"/>
            <w:shd w:val="clear" w:color="auto" w:fill="auto"/>
            <w:vAlign w:val="center"/>
          </w:tcPr>
          <w:p w14:paraId="53AFAF41" w14:textId="77777777" w:rsidR="001945A1" w:rsidRPr="00330169" w:rsidRDefault="001945A1" w:rsidP="00B91F56">
            <w:pPr>
              <w:keepNext/>
              <w:spacing w:before="20"/>
              <w:jc w:val="right"/>
              <w:rPr>
                <w:color w:val="000000"/>
                <w:sz w:val="16"/>
                <w:szCs w:val="16"/>
              </w:rPr>
            </w:pPr>
          </w:p>
        </w:tc>
        <w:tc>
          <w:tcPr>
            <w:tcW w:w="1020" w:type="dxa"/>
            <w:shd w:val="clear" w:color="auto" w:fill="auto"/>
            <w:vAlign w:val="center"/>
          </w:tcPr>
          <w:p w14:paraId="15E325CF" w14:textId="77777777" w:rsidR="001945A1" w:rsidRPr="00330169" w:rsidRDefault="001945A1" w:rsidP="00B91F56">
            <w:pPr>
              <w:keepNext/>
              <w:spacing w:before="20"/>
              <w:jc w:val="right"/>
              <w:rPr>
                <w:color w:val="000000"/>
                <w:sz w:val="16"/>
                <w:szCs w:val="16"/>
              </w:rPr>
            </w:pPr>
          </w:p>
        </w:tc>
      </w:tr>
      <w:tr w:rsidR="001945A1" w:rsidRPr="003F15C0" w14:paraId="52D05EA6" w14:textId="77777777" w:rsidTr="001945A1">
        <w:tc>
          <w:tcPr>
            <w:tcW w:w="3119" w:type="dxa"/>
          </w:tcPr>
          <w:p w14:paraId="7706E0BA" w14:textId="77777777" w:rsidR="001945A1" w:rsidRPr="003F15C0" w:rsidRDefault="001945A1" w:rsidP="00B91F56">
            <w:pPr>
              <w:keepNext/>
              <w:spacing w:before="20"/>
              <w:ind w:left="176"/>
              <w:jc w:val="both"/>
              <w:rPr>
                <w:sz w:val="16"/>
                <w:szCs w:val="16"/>
              </w:rPr>
            </w:pPr>
            <w:r w:rsidRPr="003F15C0">
              <w:rPr>
                <w:sz w:val="16"/>
                <w:szCs w:val="16"/>
              </w:rPr>
              <w:t>No</w:t>
            </w:r>
          </w:p>
        </w:tc>
        <w:tc>
          <w:tcPr>
            <w:tcW w:w="1048" w:type="dxa"/>
            <w:shd w:val="clear" w:color="auto" w:fill="auto"/>
            <w:vAlign w:val="center"/>
          </w:tcPr>
          <w:p w14:paraId="5DE8434B"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28</w:t>
            </w:r>
          </w:p>
        </w:tc>
        <w:tc>
          <w:tcPr>
            <w:tcW w:w="995" w:type="dxa"/>
            <w:shd w:val="clear" w:color="auto" w:fill="auto"/>
            <w:vAlign w:val="center"/>
          </w:tcPr>
          <w:p w14:paraId="326A7AAD"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11.6</w:t>
            </w:r>
          </w:p>
        </w:tc>
        <w:tc>
          <w:tcPr>
            <w:tcW w:w="1055" w:type="dxa"/>
            <w:shd w:val="clear" w:color="auto" w:fill="auto"/>
            <w:vAlign w:val="center"/>
          </w:tcPr>
          <w:p w14:paraId="39F0FDF0"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1.00</w:t>
            </w:r>
          </w:p>
        </w:tc>
        <w:tc>
          <w:tcPr>
            <w:tcW w:w="1275" w:type="dxa"/>
            <w:shd w:val="clear" w:color="auto" w:fill="auto"/>
            <w:vAlign w:val="center"/>
          </w:tcPr>
          <w:p w14:paraId="6D4AB7C7" w14:textId="77777777" w:rsidR="001945A1" w:rsidRPr="002A4053" w:rsidRDefault="001945A1" w:rsidP="00B91F56">
            <w:pPr>
              <w:keepNext/>
              <w:jc w:val="right"/>
              <w:rPr>
                <w:color w:val="000000"/>
                <w:sz w:val="16"/>
                <w:szCs w:val="20"/>
                <w:lang w:eastAsia="en-NZ"/>
              </w:rPr>
            </w:pPr>
          </w:p>
        </w:tc>
        <w:tc>
          <w:tcPr>
            <w:tcW w:w="1020" w:type="dxa"/>
            <w:shd w:val="clear" w:color="auto" w:fill="auto"/>
            <w:vAlign w:val="center"/>
          </w:tcPr>
          <w:p w14:paraId="66793418" w14:textId="77777777" w:rsidR="001945A1" w:rsidRPr="002A4053" w:rsidRDefault="001945A1" w:rsidP="00B91F56">
            <w:pPr>
              <w:keepNext/>
              <w:jc w:val="right"/>
              <w:rPr>
                <w:color w:val="000000"/>
                <w:sz w:val="16"/>
                <w:szCs w:val="20"/>
                <w:lang w:eastAsia="en-NZ"/>
              </w:rPr>
            </w:pPr>
          </w:p>
        </w:tc>
      </w:tr>
      <w:tr w:rsidR="001945A1" w:rsidRPr="003F15C0" w14:paraId="48DA5BD5" w14:textId="77777777" w:rsidTr="00326B55">
        <w:tc>
          <w:tcPr>
            <w:tcW w:w="3119" w:type="dxa"/>
          </w:tcPr>
          <w:p w14:paraId="1ECBEFA8" w14:textId="77777777" w:rsidR="001945A1" w:rsidRPr="003F15C0" w:rsidRDefault="001945A1" w:rsidP="00B91F56">
            <w:pPr>
              <w:keepNext/>
              <w:spacing w:before="20"/>
              <w:ind w:left="176"/>
              <w:jc w:val="both"/>
              <w:rPr>
                <w:sz w:val="16"/>
                <w:szCs w:val="16"/>
              </w:rPr>
            </w:pPr>
            <w:r w:rsidRPr="003F15C0">
              <w:rPr>
                <w:sz w:val="16"/>
                <w:szCs w:val="16"/>
              </w:rPr>
              <w:t>Yes</w:t>
            </w:r>
          </w:p>
        </w:tc>
        <w:tc>
          <w:tcPr>
            <w:tcW w:w="1048" w:type="dxa"/>
            <w:shd w:val="clear" w:color="auto" w:fill="auto"/>
            <w:vAlign w:val="center"/>
          </w:tcPr>
          <w:p w14:paraId="10B5C259"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2</w:t>
            </w:r>
          </w:p>
        </w:tc>
        <w:tc>
          <w:tcPr>
            <w:tcW w:w="995" w:type="dxa"/>
            <w:shd w:val="clear" w:color="auto" w:fill="auto"/>
            <w:vAlign w:val="center"/>
          </w:tcPr>
          <w:p w14:paraId="27ED7A4B"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72.8</w:t>
            </w:r>
          </w:p>
        </w:tc>
        <w:tc>
          <w:tcPr>
            <w:tcW w:w="1055" w:type="dxa"/>
            <w:shd w:val="clear" w:color="auto" w:fill="auto"/>
            <w:vAlign w:val="center"/>
          </w:tcPr>
          <w:p w14:paraId="5C795E4B"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23.74</w:t>
            </w:r>
          </w:p>
        </w:tc>
        <w:tc>
          <w:tcPr>
            <w:tcW w:w="1275" w:type="dxa"/>
            <w:shd w:val="clear" w:color="auto" w:fill="auto"/>
            <w:vAlign w:val="center"/>
          </w:tcPr>
          <w:p w14:paraId="3723554A" w14:textId="77777777" w:rsidR="001945A1" w:rsidRPr="002A4053" w:rsidRDefault="00326B55" w:rsidP="00B91F56">
            <w:pPr>
              <w:keepNext/>
              <w:jc w:val="right"/>
              <w:rPr>
                <w:color w:val="000000"/>
                <w:sz w:val="16"/>
                <w:szCs w:val="20"/>
                <w:lang w:eastAsia="en-NZ"/>
              </w:rPr>
            </w:pPr>
            <w:r>
              <w:rPr>
                <w:color w:val="000000"/>
                <w:sz w:val="16"/>
                <w:szCs w:val="20"/>
                <w:lang w:eastAsia="en-NZ"/>
              </w:rPr>
              <w:t>!</w:t>
            </w:r>
          </w:p>
        </w:tc>
        <w:tc>
          <w:tcPr>
            <w:tcW w:w="1020" w:type="dxa"/>
            <w:shd w:val="clear" w:color="auto" w:fill="auto"/>
            <w:vAlign w:val="center"/>
          </w:tcPr>
          <w:p w14:paraId="618BBCE4"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0.02</w:t>
            </w:r>
          </w:p>
        </w:tc>
      </w:tr>
      <w:tr w:rsidR="001945A1" w:rsidRPr="003F15C0" w14:paraId="6F79BA41" w14:textId="77777777" w:rsidTr="001945A1">
        <w:tc>
          <w:tcPr>
            <w:tcW w:w="4167" w:type="dxa"/>
            <w:gridSpan w:val="2"/>
            <w:shd w:val="clear" w:color="auto" w:fill="auto"/>
            <w:vAlign w:val="center"/>
          </w:tcPr>
          <w:p w14:paraId="7C01CE85" w14:textId="77777777" w:rsidR="001945A1" w:rsidRPr="00330169" w:rsidRDefault="001945A1" w:rsidP="00B91F56">
            <w:pPr>
              <w:keepNext/>
              <w:rPr>
                <w:color w:val="000000"/>
                <w:sz w:val="16"/>
                <w:szCs w:val="16"/>
                <w:lang w:eastAsia="en-NZ"/>
              </w:rPr>
            </w:pPr>
            <w:r w:rsidRPr="003F15C0">
              <w:rPr>
                <w:b/>
                <w:sz w:val="16"/>
                <w:szCs w:val="16"/>
              </w:rPr>
              <w:t>Instant Kiwi/other scratch tickets - monthly</w:t>
            </w:r>
          </w:p>
        </w:tc>
        <w:tc>
          <w:tcPr>
            <w:tcW w:w="995" w:type="dxa"/>
            <w:shd w:val="clear" w:color="auto" w:fill="auto"/>
            <w:vAlign w:val="center"/>
          </w:tcPr>
          <w:p w14:paraId="6C5CC3D8" w14:textId="77777777" w:rsidR="001945A1" w:rsidRPr="00330169" w:rsidRDefault="001945A1" w:rsidP="00B91F56">
            <w:pPr>
              <w:keepNext/>
              <w:jc w:val="right"/>
              <w:rPr>
                <w:color w:val="000000"/>
                <w:sz w:val="16"/>
                <w:szCs w:val="16"/>
                <w:lang w:eastAsia="en-NZ"/>
              </w:rPr>
            </w:pPr>
          </w:p>
        </w:tc>
        <w:tc>
          <w:tcPr>
            <w:tcW w:w="1055" w:type="dxa"/>
            <w:shd w:val="clear" w:color="auto" w:fill="auto"/>
            <w:vAlign w:val="center"/>
          </w:tcPr>
          <w:p w14:paraId="3DD2154D" w14:textId="77777777" w:rsidR="001945A1" w:rsidRPr="00330169" w:rsidRDefault="001945A1" w:rsidP="00B91F56">
            <w:pPr>
              <w:keepNext/>
              <w:jc w:val="right"/>
              <w:rPr>
                <w:color w:val="000000"/>
                <w:sz w:val="16"/>
                <w:szCs w:val="16"/>
                <w:lang w:eastAsia="en-NZ"/>
              </w:rPr>
            </w:pPr>
          </w:p>
        </w:tc>
        <w:tc>
          <w:tcPr>
            <w:tcW w:w="1275" w:type="dxa"/>
            <w:shd w:val="clear" w:color="auto" w:fill="auto"/>
            <w:vAlign w:val="center"/>
          </w:tcPr>
          <w:p w14:paraId="3F88111A" w14:textId="77777777" w:rsidR="001945A1" w:rsidRPr="00330169" w:rsidRDefault="001945A1" w:rsidP="00B91F56">
            <w:pPr>
              <w:keepNext/>
              <w:jc w:val="right"/>
              <w:rPr>
                <w:color w:val="000000"/>
                <w:sz w:val="16"/>
                <w:szCs w:val="16"/>
                <w:lang w:eastAsia="en-NZ"/>
              </w:rPr>
            </w:pPr>
          </w:p>
        </w:tc>
        <w:tc>
          <w:tcPr>
            <w:tcW w:w="1020" w:type="dxa"/>
            <w:shd w:val="clear" w:color="auto" w:fill="auto"/>
            <w:vAlign w:val="center"/>
          </w:tcPr>
          <w:p w14:paraId="6204DC06" w14:textId="77777777" w:rsidR="001945A1" w:rsidRPr="00330169" w:rsidRDefault="001945A1" w:rsidP="00B91F56">
            <w:pPr>
              <w:keepNext/>
              <w:jc w:val="right"/>
              <w:rPr>
                <w:color w:val="000000"/>
                <w:sz w:val="16"/>
                <w:szCs w:val="16"/>
                <w:lang w:eastAsia="en-NZ"/>
              </w:rPr>
            </w:pPr>
          </w:p>
        </w:tc>
      </w:tr>
      <w:tr w:rsidR="001945A1" w:rsidRPr="003F15C0" w14:paraId="16C18C5B" w14:textId="77777777" w:rsidTr="001945A1">
        <w:tc>
          <w:tcPr>
            <w:tcW w:w="3119" w:type="dxa"/>
            <w:shd w:val="clear" w:color="auto" w:fill="auto"/>
          </w:tcPr>
          <w:p w14:paraId="2BEB34EB" w14:textId="77777777" w:rsidR="001945A1" w:rsidRPr="003F15C0" w:rsidRDefault="001945A1" w:rsidP="00B91F56">
            <w:pPr>
              <w:keepNext/>
              <w:spacing w:before="20"/>
              <w:ind w:left="176"/>
              <w:jc w:val="both"/>
              <w:rPr>
                <w:sz w:val="16"/>
                <w:szCs w:val="16"/>
              </w:rPr>
            </w:pPr>
            <w:r w:rsidRPr="003F15C0">
              <w:rPr>
                <w:sz w:val="16"/>
                <w:szCs w:val="16"/>
              </w:rPr>
              <w:t>No</w:t>
            </w:r>
          </w:p>
        </w:tc>
        <w:tc>
          <w:tcPr>
            <w:tcW w:w="1048" w:type="dxa"/>
            <w:shd w:val="clear" w:color="auto" w:fill="auto"/>
            <w:vAlign w:val="center"/>
          </w:tcPr>
          <w:p w14:paraId="7959E506"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26</w:t>
            </w:r>
          </w:p>
        </w:tc>
        <w:tc>
          <w:tcPr>
            <w:tcW w:w="995" w:type="dxa"/>
            <w:shd w:val="clear" w:color="auto" w:fill="auto"/>
            <w:vAlign w:val="center"/>
          </w:tcPr>
          <w:p w14:paraId="08B4063A"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9.6</w:t>
            </w:r>
          </w:p>
        </w:tc>
        <w:tc>
          <w:tcPr>
            <w:tcW w:w="1055" w:type="dxa"/>
            <w:shd w:val="clear" w:color="auto" w:fill="auto"/>
            <w:vAlign w:val="center"/>
          </w:tcPr>
          <w:p w14:paraId="7D5F9A09"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1.00</w:t>
            </w:r>
          </w:p>
        </w:tc>
        <w:tc>
          <w:tcPr>
            <w:tcW w:w="1275" w:type="dxa"/>
            <w:shd w:val="clear" w:color="auto" w:fill="auto"/>
            <w:vAlign w:val="center"/>
          </w:tcPr>
          <w:p w14:paraId="57A54999" w14:textId="77777777" w:rsidR="001945A1" w:rsidRPr="002A4053" w:rsidRDefault="001945A1" w:rsidP="00B91F56">
            <w:pPr>
              <w:keepNext/>
              <w:jc w:val="right"/>
              <w:rPr>
                <w:color w:val="000000"/>
                <w:sz w:val="16"/>
                <w:szCs w:val="20"/>
                <w:lang w:eastAsia="en-NZ"/>
              </w:rPr>
            </w:pPr>
          </w:p>
        </w:tc>
        <w:tc>
          <w:tcPr>
            <w:tcW w:w="1020" w:type="dxa"/>
            <w:shd w:val="clear" w:color="auto" w:fill="auto"/>
            <w:vAlign w:val="center"/>
          </w:tcPr>
          <w:p w14:paraId="7B055602" w14:textId="77777777" w:rsidR="001945A1" w:rsidRPr="002A4053" w:rsidRDefault="001945A1" w:rsidP="00B91F56">
            <w:pPr>
              <w:keepNext/>
              <w:jc w:val="right"/>
              <w:rPr>
                <w:color w:val="000000"/>
                <w:sz w:val="16"/>
                <w:szCs w:val="20"/>
                <w:lang w:eastAsia="en-NZ"/>
              </w:rPr>
            </w:pPr>
          </w:p>
        </w:tc>
      </w:tr>
      <w:tr w:rsidR="001945A1" w:rsidRPr="003F15C0" w14:paraId="0F035AC8" w14:textId="77777777" w:rsidTr="00326B55">
        <w:tc>
          <w:tcPr>
            <w:tcW w:w="3119" w:type="dxa"/>
            <w:shd w:val="clear" w:color="auto" w:fill="auto"/>
          </w:tcPr>
          <w:p w14:paraId="1A323BD4" w14:textId="77777777" w:rsidR="001945A1" w:rsidRPr="003F15C0" w:rsidRDefault="001945A1" w:rsidP="00B91F56">
            <w:pPr>
              <w:keepNext/>
              <w:spacing w:before="20"/>
              <w:ind w:left="176"/>
              <w:jc w:val="both"/>
              <w:rPr>
                <w:sz w:val="16"/>
                <w:szCs w:val="16"/>
              </w:rPr>
            </w:pPr>
            <w:r w:rsidRPr="003F15C0">
              <w:rPr>
                <w:sz w:val="16"/>
                <w:szCs w:val="16"/>
              </w:rPr>
              <w:t>Yes</w:t>
            </w:r>
          </w:p>
        </w:tc>
        <w:tc>
          <w:tcPr>
            <w:tcW w:w="1048" w:type="dxa"/>
            <w:shd w:val="clear" w:color="auto" w:fill="auto"/>
            <w:vAlign w:val="center"/>
          </w:tcPr>
          <w:p w14:paraId="142DF368"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5</w:t>
            </w:r>
          </w:p>
        </w:tc>
        <w:tc>
          <w:tcPr>
            <w:tcW w:w="995" w:type="dxa"/>
            <w:shd w:val="clear" w:color="auto" w:fill="auto"/>
            <w:vAlign w:val="center"/>
          </w:tcPr>
          <w:p w14:paraId="41DFA9E2"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48.9</w:t>
            </w:r>
          </w:p>
        </w:tc>
        <w:tc>
          <w:tcPr>
            <w:tcW w:w="1055" w:type="dxa"/>
            <w:shd w:val="clear" w:color="auto" w:fill="auto"/>
            <w:vAlign w:val="center"/>
          </w:tcPr>
          <w:p w14:paraId="3C85196B"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11.38</w:t>
            </w:r>
          </w:p>
        </w:tc>
        <w:tc>
          <w:tcPr>
            <w:tcW w:w="1275" w:type="dxa"/>
            <w:shd w:val="clear" w:color="auto" w:fill="auto"/>
            <w:vAlign w:val="center"/>
          </w:tcPr>
          <w:p w14:paraId="592D014D"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(1.58, 81.75)</w:t>
            </w:r>
          </w:p>
        </w:tc>
        <w:tc>
          <w:tcPr>
            <w:tcW w:w="1020" w:type="dxa"/>
            <w:shd w:val="clear" w:color="auto" w:fill="auto"/>
            <w:vAlign w:val="center"/>
          </w:tcPr>
          <w:p w14:paraId="2E97C23D"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0.02</w:t>
            </w:r>
          </w:p>
        </w:tc>
      </w:tr>
      <w:tr w:rsidR="001945A1" w:rsidRPr="003F15C0" w14:paraId="4D5F9565" w14:textId="77777777" w:rsidTr="001945A1">
        <w:tc>
          <w:tcPr>
            <w:tcW w:w="3119" w:type="dxa"/>
            <w:shd w:val="clear" w:color="auto" w:fill="auto"/>
            <w:vAlign w:val="center"/>
          </w:tcPr>
          <w:p w14:paraId="0EBE5C1D" w14:textId="77777777" w:rsidR="001945A1" w:rsidRPr="00330169" w:rsidRDefault="001945A1" w:rsidP="00B91F56">
            <w:pPr>
              <w:keepNext/>
              <w:rPr>
                <w:color w:val="000000"/>
                <w:sz w:val="16"/>
                <w:szCs w:val="16"/>
                <w:lang w:eastAsia="en-NZ"/>
              </w:rPr>
            </w:pPr>
            <w:r>
              <w:rPr>
                <w:b/>
                <w:sz w:val="16"/>
                <w:szCs w:val="16"/>
              </w:rPr>
              <w:t>Casino EGMs</w:t>
            </w:r>
            <w:r w:rsidRPr="003F15C0">
              <w:rPr>
                <w:b/>
                <w:sz w:val="16"/>
                <w:szCs w:val="16"/>
              </w:rPr>
              <w:t xml:space="preserve"> - monthly</w:t>
            </w:r>
          </w:p>
        </w:tc>
        <w:tc>
          <w:tcPr>
            <w:tcW w:w="1048" w:type="dxa"/>
            <w:shd w:val="clear" w:color="auto" w:fill="auto"/>
            <w:vAlign w:val="center"/>
          </w:tcPr>
          <w:p w14:paraId="37E07384" w14:textId="77777777" w:rsidR="001945A1" w:rsidRPr="00330169" w:rsidRDefault="001945A1" w:rsidP="00B91F56">
            <w:pPr>
              <w:keepNext/>
              <w:jc w:val="right"/>
              <w:rPr>
                <w:color w:val="000000"/>
                <w:sz w:val="16"/>
                <w:szCs w:val="20"/>
                <w:lang w:eastAsia="en-NZ"/>
              </w:rPr>
            </w:pPr>
          </w:p>
        </w:tc>
        <w:tc>
          <w:tcPr>
            <w:tcW w:w="995" w:type="dxa"/>
            <w:shd w:val="clear" w:color="auto" w:fill="auto"/>
            <w:vAlign w:val="center"/>
          </w:tcPr>
          <w:p w14:paraId="38BC6486" w14:textId="77777777" w:rsidR="001945A1" w:rsidRPr="00330169" w:rsidRDefault="001945A1" w:rsidP="00B91F56">
            <w:pPr>
              <w:keepNext/>
              <w:jc w:val="right"/>
              <w:rPr>
                <w:color w:val="000000"/>
                <w:sz w:val="16"/>
                <w:szCs w:val="20"/>
                <w:lang w:eastAsia="en-NZ"/>
              </w:rPr>
            </w:pPr>
          </w:p>
        </w:tc>
        <w:tc>
          <w:tcPr>
            <w:tcW w:w="1055" w:type="dxa"/>
            <w:shd w:val="clear" w:color="auto" w:fill="auto"/>
            <w:vAlign w:val="center"/>
          </w:tcPr>
          <w:p w14:paraId="2E692CCA" w14:textId="77777777" w:rsidR="001945A1" w:rsidRPr="00330169" w:rsidRDefault="001945A1" w:rsidP="00B91F56">
            <w:pPr>
              <w:keepNext/>
              <w:jc w:val="right"/>
              <w:rPr>
                <w:color w:val="000000"/>
                <w:sz w:val="16"/>
                <w:szCs w:val="20"/>
                <w:lang w:eastAsia="en-NZ"/>
              </w:rPr>
            </w:pPr>
          </w:p>
        </w:tc>
        <w:tc>
          <w:tcPr>
            <w:tcW w:w="1275" w:type="dxa"/>
            <w:shd w:val="clear" w:color="auto" w:fill="auto"/>
            <w:vAlign w:val="center"/>
          </w:tcPr>
          <w:p w14:paraId="13E81F7F" w14:textId="77777777" w:rsidR="001945A1" w:rsidRPr="00330169" w:rsidRDefault="001945A1" w:rsidP="00B91F56">
            <w:pPr>
              <w:keepNext/>
              <w:jc w:val="right"/>
              <w:rPr>
                <w:color w:val="000000"/>
                <w:sz w:val="16"/>
                <w:szCs w:val="20"/>
                <w:lang w:eastAsia="en-NZ"/>
              </w:rPr>
            </w:pPr>
          </w:p>
        </w:tc>
        <w:tc>
          <w:tcPr>
            <w:tcW w:w="1020" w:type="dxa"/>
            <w:shd w:val="clear" w:color="auto" w:fill="auto"/>
            <w:vAlign w:val="center"/>
          </w:tcPr>
          <w:p w14:paraId="4B0D0402" w14:textId="77777777" w:rsidR="001945A1" w:rsidRPr="00330169" w:rsidRDefault="001945A1" w:rsidP="00B91F56">
            <w:pPr>
              <w:keepNext/>
              <w:jc w:val="right"/>
              <w:rPr>
                <w:color w:val="000000"/>
                <w:sz w:val="16"/>
                <w:szCs w:val="20"/>
                <w:lang w:eastAsia="en-NZ"/>
              </w:rPr>
            </w:pPr>
          </w:p>
        </w:tc>
      </w:tr>
      <w:tr w:rsidR="001945A1" w:rsidRPr="003F15C0" w14:paraId="79C0FE9A" w14:textId="77777777" w:rsidTr="001945A1">
        <w:tc>
          <w:tcPr>
            <w:tcW w:w="3119" w:type="dxa"/>
            <w:shd w:val="clear" w:color="auto" w:fill="auto"/>
          </w:tcPr>
          <w:p w14:paraId="66F32745" w14:textId="77777777" w:rsidR="001945A1" w:rsidRPr="003F15C0" w:rsidRDefault="001945A1" w:rsidP="00B91F56">
            <w:pPr>
              <w:keepNext/>
              <w:spacing w:before="20"/>
              <w:ind w:left="176"/>
              <w:jc w:val="both"/>
              <w:rPr>
                <w:sz w:val="16"/>
                <w:szCs w:val="16"/>
              </w:rPr>
            </w:pPr>
            <w:r w:rsidRPr="003F15C0">
              <w:rPr>
                <w:sz w:val="16"/>
                <w:szCs w:val="16"/>
              </w:rPr>
              <w:t>No</w:t>
            </w:r>
          </w:p>
        </w:tc>
        <w:tc>
          <w:tcPr>
            <w:tcW w:w="1048" w:type="dxa"/>
            <w:shd w:val="clear" w:color="auto" w:fill="auto"/>
            <w:vAlign w:val="center"/>
          </w:tcPr>
          <w:p w14:paraId="19366B45"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29</w:t>
            </w:r>
          </w:p>
        </w:tc>
        <w:tc>
          <w:tcPr>
            <w:tcW w:w="995" w:type="dxa"/>
            <w:shd w:val="clear" w:color="auto" w:fill="auto"/>
            <w:vAlign w:val="center"/>
          </w:tcPr>
          <w:p w14:paraId="57BDEA71"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14.1</w:t>
            </w:r>
          </w:p>
        </w:tc>
        <w:tc>
          <w:tcPr>
            <w:tcW w:w="1055" w:type="dxa"/>
            <w:shd w:val="clear" w:color="auto" w:fill="auto"/>
            <w:vAlign w:val="center"/>
          </w:tcPr>
          <w:p w14:paraId="2BD7C99E"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1.00</w:t>
            </w:r>
          </w:p>
        </w:tc>
        <w:tc>
          <w:tcPr>
            <w:tcW w:w="1275" w:type="dxa"/>
            <w:shd w:val="clear" w:color="auto" w:fill="auto"/>
            <w:vAlign w:val="center"/>
          </w:tcPr>
          <w:p w14:paraId="105E80B4" w14:textId="77777777" w:rsidR="001945A1" w:rsidRPr="002A4053" w:rsidRDefault="001945A1" w:rsidP="00B91F56">
            <w:pPr>
              <w:keepNext/>
              <w:jc w:val="right"/>
              <w:rPr>
                <w:color w:val="000000"/>
                <w:sz w:val="16"/>
                <w:szCs w:val="20"/>
                <w:lang w:eastAsia="en-NZ"/>
              </w:rPr>
            </w:pPr>
          </w:p>
        </w:tc>
        <w:tc>
          <w:tcPr>
            <w:tcW w:w="1020" w:type="dxa"/>
            <w:shd w:val="clear" w:color="auto" w:fill="auto"/>
            <w:vAlign w:val="center"/>
          </w:tcPr>
          <w:p w14:paraId="147C25C0" w14:textId="77777777" w:rsidR="001945A1" w:rsidRPr="002A4053" w:rsidRDefault="001945A1" w:rsidP="00B91F56">
            <w:pPr>
              <w:keepNext/>
              <w:jc w:val="right"/>
              <w:rPr>
                <w:color w:val="000000"/>
                <w:sz w:val="16"/>
                <w:szCs w:val="20"/>
                <w:lang w:eastAsia="en-NZ"/>
              </w:rPr>
            </w:pPr>
          </w:p>
        </w:tc>
      </w:tr>
      <w:tr w:rsidR="001945A1" w:rsidRPr="003F15C0" w14:paraId="1E20626F" w14:textId="77777777" w:rsidTr="00326B55">
        <w:tc>
          <w:tcPr>
            <w:tcW w:w="3119" w:type="dxa"/>
            <w:shd w:val="clear" w:color="auto" w:fill="auto"/>
          </w:tcPr>
          <w:p w14:paraId="7BF46190" w14:textId="77777777" w:rsidR="001945A1" w:rsidRPr="003F15C0" w:rsidRDefault="001945A1" w:rsidP="00B91F56">
            <w:pPr>
              <w:keepNext/>
              <w:spacing w:before="20"/>
              <w:ind w:left="176"/>
              <w:jc w:val="both"/>
              <w:rPr>
                <w:sz w:val="16"/>
                <w:szCs w:val="16"/>
              </w:rPr>
            </w:pPr>
            <w:r w:rsidRPr="003F15C0">
              <w:rPr>
                <w:sz w:val="16"/>
                <w:szCs w:val="16"/>
              </w:rPr>
              <w:t>Yes</w:t>
            </w:r>
          </w:p>
        </w:tc>
        <w:tc>
          <w:tcPr>
            <w:tcW w:w="1048" w:type="dxa"/>
            <w:shd w:val="clear" w:color="auto" w:fill="auto"/>
            <w:vAlign w:val="center"/>
          </w:tcPr>
          <w:p w14:paraId="694FC8D2"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1</w:t>
            </w:r>
          </w:p>
        </w:tc>
        <w:tc>
          <w:tcPr>
            <w:tcW w:w="995" w:type="dxa"/>
            <w:shd w:val="clear" w:color="auto" w:fill="auto"/>
            <w:vAlign w:val="center"/>
          </w:tcPr>
          <w:p w14:paraId="34D815B4"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55.2</w:t>
            </w:r>
          </w:p>
        </w:tc>
        <w:tc>
          <w:tcPr>
            <w:tcW w:w="1055" w:type="dxa"/>
            <w:shd w:val="clear" w:color="auto" w:fill="auto"/>
            <w:vAlign w:val="center"/>
          </w:tcPr>
          <w:p w14:paraId="60C56611"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16.08</w:t>
            </w:r>
          </w:p>
        </w:tc>
        <w:tc>
          <w:tcPr>
            <w:tcW w:w="1275" w:type="dxa"/>
            <w:shd w:val="clear" w:color="auto" w:fill="auto"/>
            <w:vAlign w:val="center"/>
          </w:tcPr>
          <w:p w14:paraId="0FE9858D" w14:textId="77777777" w:rsidR="001945A1" w:rsidRPr="002A4053" w:rsidRDefault="00326B55" w:rsidP="00B91F56">
            <w:pPr>
              <w:keepNext/>
              <w:jc w:val="right"/>
              <w:rPr>
                <w:color w:val="000000"/>
                <w:sz w:val="16"/>
                <w:szCs w:val="20"/>
                <w:lang w:eastAsia="en-NZ"/>
              </w:rPr>
            </w:pPr>
            <w:r>
              <w:rPr>
                <w:color w:val="000000"/>
                <w:sz w:val="16"/>
                <w:szCs w:val="20"/>
                <w:lang w:eastAsia="en-NZ"/>
              </w:rPr>
              <w:t>!</w:t>
            </w:r>
          </w:p>
        </w:tc>
        <w:tc>
          <w:tcPr>
            <w:tcW w:w="1020" w:type="dxa"/>
            <w:shd w:val="clear" w:color="auto" w:fill="auto"/>
            <w:vAlign w:val="center"/>
          </w:tcPr>
          <w:p w14:paraId="0CB530DE" w14:textId="77777777" w:rsidR="001945A1" w:rsidRPr="002A4053" w:rsidRDefault="001945A1" w:rsidP="00B91F56">
            <w:pPr>
              <w:keepNext/>
              <w:jc w:val="right"/>
              <w:rPr>
                <w:color w:val="000000"/>
                <w:sz w:val="16"/>
                <w:szCs w:val="20"/>
                <w:lang w:eastAsia="en-NZ"/>
              </w:rPr>
            </w:pPr>
            <w:r w:rsidRPr="002A4053">
              <w:rPr>
                <w:color w:val="000000"/>
                <w:sz w:val="16"/>
                <w:szCs w:val="20"/>
                <w:lang w:eastAsia="en-NZ"/>
              </w:rPr>
              <w:t>0.03</w:t>
            </w:r>
          </w:p>
        </w:tc>
      </w:tr>
      <w:tr w:rsidR="001945A1" w:rsidRPr="003F15C0" w14:paraId="000E27A3" w14:textId="77777777" w:rsidTr="001945A1">
        <w:tc>
          <w:tcPr>
            <w:tcW w:w="4167" w:type="dxa"/>
            <w:gridSpan w:val="2"/>
            <w:shd w:val="clear" w:color="auto" w:fill="auto"/>
          </w:tcPr>
          <w:p w14:paraId="5B6CEF20" w14:textId="77777777" w:rsidR="001945A1" w:rsidRPr="00330169" w:rsidRDefault="001945A1" w:rsidP="001945A1">
            <w:pPr>
              <w:rPr>
                <w:color w:val="000000"/>
                <w:sz w:val="16"/>
                <w:szCs w:val="20"/>
                <w:lang w:eastAsia="en-NZ"/>
              </w:rPr>
            </w:pPr>
            <w:r w:rsidRPr="00D05AB1">
              <w:rPr>
                <w:rFonts w:eastAsiaTheme="minorEastAsia"/>
                <w:b/>
                <w:sz w:val="16"/>
                <w:szCs w:val="16"/>
                <w:lang w:eastAsia="en-US"/>
              </w:rPr>
              <w:t>Separate betting money and stopping when used</w:t>
            </w:r>
          </w:p>
        </w:tc>
        <w:tc>
          <w:tcPr>
            <w:tcW w:w="995" w:type="dxa"/>
            <w:shd w:val="clear" w:color="auto" w:fill="auto"/>
            <w:vAlign w:val="center"/>
          </w:tcPr>
          <w:p w14:paraId="7D1E7E4E" w14:textId="77777777" w:rsidR="001945A1" w:rsidRPr="00330169" w:rsidRDefault="001945A1" w:rsidP="001945A1">
            <w:pPr>
              <w:jc w:val="right"/>
              <w:rPr>
                <w:color w:val="000000"/>
                <w:sz w:val="16"/>
                <w:szCs w:val="20"/>
                <w:lang w:eastAsia="en-NZ"/>
              </w:rPr>
            </w:pPr>
          </w:p>
        </w:tc>
        <w:tc>
          <w:tcPr>
            <w:tcW w:w="1055" w:type="dxa"/>
            <w:shd w:val="clear" w:color="auto" w:fill="auto"/>
            <w:vAlign w:val="center"/>
          </w:tcPr>
          <w:p w14:paraId="15E074D1" w14:textId="77777777" w:rsidR="001945A1" w:rsidRPr="00330169" w:rsidRDefault="001945A1" w:rsidP="001945A1">
            <w:pPr>
              <w:jc w:val="right"/>
              <w:rPr>
                <w:color w:val="000000"/>
                <w:sz w:val="16"/>
                <w:szCs w:val="20"/>
                <w:lang w:eastAsia="en-NZ"/>
              </w:rPr>
            </w:pPr>
          </w:p>
        </w:tc>
        <w:tc>
          <w:tcPr>
            <w:tcW w:w="1275" w:type="dxa"/>
            <w:shd w:val="clear" w:color="auto" w:fill="auto"/>
            <w:vAlign w:val="center"/>
          </w:tcPr>
          <w:p w14:paraId="5EEE40C7" w14:textId="77777777" w:rsidR="001945A1" w:rsidRPr="00330169" w:rsidRDefault="001945A1" w:rsidP="001945A1">
            <w:pPr>
              <w:jc w:val="right"/>
              <w:rPr>
                <w:color w:val="000000"/>
                <w:sz w:val="16"/>
                <w:szCs w:val="20"/>
                <w:lang w:eastAsia="en-NZ"/>
              </w:rPr>
            </w:pPr>
          </w:p>
        </w:tc>
        <w:tc>
          <w:tcPr>
            <w:tcW w:w="1020" w:type="dxa"/>
            <w:shd w:val="clear" w:color="auto" w:fill="auto"/>
            <w:vAlign w:val="center"/>
          </w:tcPr>
          <w:p w14:paraId="7537FDBD" w14:textId="77777777" w:rsidR="001945A1" w:rsidRPr="00330169" w:rsidRDefault="001945A1" w:rsidP="001945A1">
            <w:pPr>
              <w:jc w:val="right"/>
              <w:rPr>
                <w:color w:val="000000"/>
                <w:sz w:val="16"/>
                <w:szCs w:val="20"/>
                <w:lang w:eastAsia="en-NZ"/>
              </w:rPr>
            </w:pPr>
          </w:p>
        </w:tc>
      </w:tr>
      <w:tr w:rsidR="001945A1" w:rsidRPr="003F15C0" w14:paraId="19F9C59C" w14:textId="77777777" w:rsidTr="001945A1">
        <w:tc>
          <w:tcPr>
            <w:tcW w:w="3119" w:type="dxa"/>
            <w:shd w:val="clear" w:color="auto" w:fill="auto"/>
          </w:tcPr>
          <w:p w14:paraId="3A1341F3" w14:textId="77777777" w:rsidR="001945A1" w:rsidRPr="003F15C0" w:rsidRDefault="001945A1" w:rsidP="001945A1">
            <w:pPr>
              <w:spacing w:before="20"/>
              <w:ind w:left="176"/>
              <w:jc w:val="both"/>
              <w:rPr>
                <w:sz w:val="16"/>
                <w:szCs w:val="16"/>
              </w:rPr>
            </w:pPr>
            <w:r w:rsidRPr="003F15C0">
              <w:rPr>
                <w:sz w:val="16"/>
                <w:szCs w:val="16"/>
              </w:rPr>
              <w:t>No</w:t>
            </w:r>
          </w:p>
        </w:tc>
        <w:tc>
          <w:tcPr>
            <w:tcW w:w="1048" w:type="dxa"/>
            <w:shd w:val="clear" w:color="auto" w:fill="auto"/>
            <w:vAlign w:val="center"/>
          </w:tcPr>
          <w:p w14:paraId="0FD5E7CA" w14:textId="77777777" w:rsidR="001945A1" w:rsidRPr="002A4053" w:rsidRDefault="001945A1" w:rsidP="001945A1">
            <w:pPr>
              <w:jc w:val="right"/>
              <w:rPr>
                <w:color w:val="000000"/>
                <w:sz w:val="16"/>
                <w:szCs w:val="20"/>
                <w:lang w:eastAsia="en-NZ"/>
              </w:rPr>
            </w:pPr>
            <w:r w:rsidRPr="002A4053">
              <w:rPr>
                <w:color w:val="000000"/>
                <w:sz w:val="16"/>
                <w:szCs w:val="20"/>
                <w:lang w:eastAsia="en-NZ"/>
              </w:rPr>
              <w:t>27</w:t>
            </w:r>
          </w:p>
        </w:tc>
        <w:tc>
          <w:tcPr>
            <w:tcW w:w="995" w:type="dxa"/>
            <w:shd w:val="clear" w:color="auto" w:fill="auto"/>
            <w:vAlign w:val="center"/>
          </w:tcPr>
          <w:p w14:paraId="1C29EFB3" w14:textId="77777777" w:rsidR="001945A1" w:rsidRPr="002A4053" w:rsidRDefault="001945A1" w:rsidP="001945A1">
            <w:pPr>
              <w:jc w:val="right"/>
              <w:rPr>
                <w:color w:val="000000"/>
                <w:sz w:val="16"/>
                <w:szCs w:val="20"/>
                <w:lang w:eastAsia="en-NZ"/>
              </w:rPr>
            </w:pPr>
            <w:r w:rsidRPr="002A4053">
              <w:rPr>
                <w:color w:val="000000"/>
                <w:sz w:val="16"/>
                <w:szCs w:val="20"/>
                <w:lang w:eastAsia="en-NZ"/>
              </w:rPr>
              <w:t>10.7</w:t>
            </w:r>
          </w:p>
        </w:tc>
        <w:tc>
          <w:tcPr>
            <w:tcW w:w="1055" w:type="dxa"/>
            <w:shd w:val="clear" w:color="auto" w:fill="auto"/>
            <w:vAlign w:val="center"/>
          </w:tcPr>
          <w:p w14:paraId="0FDD6C2A" w14:textId="77777777" w:rsidR="001945A1" w:rsidRPr="002A4053" w:rsidRDefault="001945A1" w:rsidP="001945A1">
            <w:pPr>
              <w:jc w:val="right"/>
              <w:rPr>
                <w:color w:val="000000"/>
                <w:sz w:val="16"/>
                <w:szCs w:val="20"/>
                <w:lang w:eastAsia="en-NZ"/>
              </w:rPr>
            </w:pPr>
            <w:r w:rsidRPr="002A4053">
              <w:rPr>
                <w:color w:val="000000"/>
                <w:sz w:val="16"/>
                <w:szCs w:val="20"/>
                <w:lang w:eastAsia="en-NZ"/>
              </w:rPr>
              <w:t>1.00</w:t>
            </w:r>
          </w:p>
        </w:tc>
        <w:tc>
          <w:tcPr>
            <w:tcW w:w="1275" w:type="dxa"/>
            <w:shd w:val="clear" w:color="auto" w:fill="auto"/>
            <w:vAlign w:val="center"/>
          </w:tcPr>
          <w:p w14:paraId="3C8B3B55" w14:textId="77777777" w:rsidR="001945A1" w:rsidRPr="002A4053" w:rsidRDefault="001945A1" w:rsidP="001945A1">
            <w:pPr>
              <w:jc w:val="right"/>
              <w:rPr>
                <w:color w:val="000000"/>
                <w:sz w:val="16"/>
                <w:szCs w:val="20"/>
                <w:lang w:eastAsia="en-NZ"/>
              </w:rPr>
            </w:pPr>
          </w:p>
        </w:tc>
        <w:tc>
          <w:tcPr>
            <w:tcW w:w="1020" w:type="dxa"/>
            <w:shd w:val="clear" w:color="auto" w:fill="auto"/>
            <w:vAlign w:val="center"/>
          </w:tcPr>
          <w:p w14:paraId="44700EEF" w14:textId="77777777" w:rsidR="001945A1" w:rsidRPr="002A4053" w:rsidRDefault="001945A1" w:rsidP="001945A1">
            <w:pPr>
              <w:jc w:val="right"/>
              <w:rPr>
                <w:color w:val="000000"/>
                <w:sz w:val="16"/>
                <w:szCs w:val="20"/>
                <w:lang w:eastAsia="en-NZ"/>
              </w:rPr>
            </w:pPr>
          </w:p>
        </w:tc>
      </w:tr>
      <w:tr w:rsidR="001945A1" w:rsidRPr="003F15C0" w14:paraId="76EC0646" w14:textId="77777777" w:rsidTr="00326B55">
        <w:tc>
          <w:tcPr>
            <w:tcW w:w="3119" w:type="dxa"/>
            <w:tcBorders>
              <w:bottom w:val="single" w:sz="4" w:space="0" w:color="auto"/>
            </w:tcBorders>
            <w:shd w:val="clear" w:color="auto" w:fill="auto"/>
          </w:tcPr>
          <w:p w14:paraId="1E1EC2E6" w14:textId="77777777" w:rsidR="001945A1" w:rsidRPr="003F15C0" w:rsidRDefault="001945A1" w:rsidP="001945A1">
            <w:pPr>
              <w:spacing w:before="20"/>
              <w:ind w:left="176"/>
              <w:jc w:val="both"/>
              <w:rPr>
                <w:sz w:val="16"/>
                <w:szCs w:val="16"/>
              </w:rPr>
            </w:pPr>
            <w:r w:rsidRPr="003F15C0">
              <w:rPr>
                <w:sz w:val="16"/>
                <w:szCs w:val="16"/>
              </w:rPr>
              <w:t>Yes</w:t>
            </w:r>
          </w:p>
        </w:tc>
        <w:tc>
          <w:tcPr>
            <w:tcW w:w="1048" w:type="dxa"/>
            <w:tcBorders>
              <w:bottom w:val="single" w:sz="4" w:space="0" w:color="auto"/>
            </w:tcBorders>
            <w:shd w:val="clear" w:color="auto" w:fill="auto"/>
            <w:vAlign w:val="center"/>
          </w:tcPr>
          <w:p w14:paraId="1D27A123" w14:textId="77777777" w:rsidR="001945A1" w:rsidRPr="002A4053" w:rsidRDefault="001945A1" w:rsidP="001945A1">
            <w:pPr>
              <w:jc w:val="right"/>
              <w:rPr>
                <w:color w:val="000000"/>
                <w:sz w:val="16"/>
                <w:szCs w:val="20"/>
                <w:lang w:eastAsia="en-NZ"/>
              </w:rPr>
            </w:pPr>
            <w:r w:rsidRPr="002A4053">
              <w:rPr>
                <w:color w:val="000000"/>
                <w:sz w:val="16"/>
                <w:szCs w:val="20"/>
                <w:lang w:eastAsia="en-NZ"/>
              </w:rPr>
              <w:t>3</w:t>
            </w:r>
          </w:p>
        </w:tc>
        <w:tc>
          <w:tcPr>
            <w:tcW w:w="995" w:type="dxa"/>
            <w:tcBorders>
              <w:bottom w:val="single" w:sz="4" w:space="0" w:color="auto"/>
            </w:tcBorders>
            <w:shd w:val="clear" w:color="auto" w:fill="auto"/>
            <w:vAlign w:val="center"/>
          </w:tcPr>
          <w:p w14:paraId="145D7C4E" w14:textId="77777777" w:rsidR="001945A1" w:rsidRPr="002A4053" w:rsidRDefault="001945A1" w:rsidP="001945A1">
            <w:pPr>
              <w:jc w:val="right"/>
              <w:rPr>
                <w:color w:val="000000"/>
                <w:sz w:val="16"/>
                <w:szCs w:val="20"/>
                <w:lang w:eastAsia="en-NZ"/>
              </w:rPr>
            </w:pPr>
            <w:r w:rsidRPr="002A4053">
              <w:rPr>
                <w:color w:val="000000"/>
                <w:sz w:val="16"/>
                <w:szCs w:val="20"/>
                <w:lang w:eastAsia="en-NZ"/>
              </w:rPr>
              <w:t>52.9</w:t>
            </w:r>
          </w:p>
        </w:tc>
        <w:tc>
          <w:tcPr>
            <w:tcW w:w="1055" w:type="dxa"/>
            <w:tcBorders>
              <w:bottom w:val="single" w:sz="4" w:space="0" w:color="auto"/>
            </w:tcBorders>
            <w:shd w:val="clear" w:color="auto" w:fill="auto"/>
            <w:vAlign w:val="center"/>
          </w:tcPr>
          <w:p w14:paraId="617685D7" w14:textId="77777777" w:rsidR="001945A1" w:rsidRPr="002A4053" w:rsidRDefault="001945A1" w:rsidP="001945A1">
            <w:pPr>
              <w:jc w:val="right"/>
              <w:rPr>
                <w:color w:val="000000"/>
                <w:sz w:val="16"/>
                <w:szCs w:val="20"/>
                <w:lang w:eastAsia="en-NZ"/>
              </w:rPr>
            </w:pPr>
            <w:r w:rsidRPr="002A4053">
              <w:rPr>
                <w:color w:val="000000"/>
                <w:sz w:val="16"/>
                <w:szCs w:val="20"/>
                <w:lang w:eastAsia="en-NZ"/>
              </w:rPr>
              <w:t>12.41</w:t>
            </w:r>
          </w:p>
        </w:tc>
        <w:tc>
          <w:tcPr>
            <w:tcW w:w="1275" w:type="dxa"/>
            <w:tcBorders>
              <w:bottom w:val="single" w:sz="4" w:space="0" w:color="auto"/>
            </w:tcBorders>
            <w:shd w:val="clear" w:color="auto" w:fill="auto"/>
            <w:vAlign w:val="center"/>
          </w:tcPr>
          <w:p w14:paraId="1AF96A37" w14:textId="77777777" w:rsidR="001945A1" w:rsidRPr="002A4053" w:rsidRDefault="001945A1" w:rsidP="001945A1">
            <w:pPr>
              <w:jc w:val="right"/>
              <w:rPr>
                <w:color w:val="000000"/>
                <w:sz w:val="16"/>
                <w:szCs w:val="20"/>
                <w:lang w:eastAsia="en-NZ"/>
              </w:rPr>
            </w:pPr>
            <w:r w:rsidRPr="002A4053">
              <w:rPr>
                <w:color w:val="000000"/>
                <w:sz w:val="16"/>
                <w:szCs w:val="20"/>
                <w:lang w:eastAsia="en-NZ"/>
              </w:rPr>
              <w:t>(1.39, 110.60)</w:t>
            </w:r>
          </w:p>
        </w:tc>
        <w:tc>
          <w:tcPr>
            <w:tcW w:w="1020" w:type="dxa"/>
            <w:tcBorders>
              <w:bottom w:val="single" w:sz="4" w:space="0" w:color="auto"/>
            </w:tcBorders>
            <w:shd w:val="clear" w:color="auto" w:fill="auto"/>
            <w:vAlign w:val="center"/>
          </w:tcPr>
          <w:p w14:paraId="6D6C830A" w14:textId="77777777" w:rsidR="001945A1" w:rsidRPr="002A4053" w:rsidRDefault="001945A1" w:rsidP="001945A1">
            <w:pPr>
              <w:jc w:val="right"/>
              <w:rPr>
                <w:color w:val="000000"/>
                <w:sz w:val="16"/>
                <w:szCs w:val="20"/>
                <w:lang w:eastAsia="en-NZ"/>
              </w:rPr>
            </w:pPr>
            <w:r w:rsidRPr="002A4053">
              <w:rPr>
                <w:color w:val="000000"/>
                <w:sz w:val="16"/>
                <w:szCs w:val="20"/>
                <w:lang w:eastAsia="en-NZ"/>
              </w:rPr>
              <w:t>0.02</w:t>
            </w:r>
          </w:p>
        </w:tc>
      </w:tr>
    </w:tbl>
    <w:p w14:paraId="57B99E25" w14:textId="77777777" w:rsidR="001945A1" w:rsidRPr="00230801" w:rsidRDefault="001945A1" w:rsidP="001945A1">
      <w:pPr>
        <w:rPr>
          <w:rFonts w:eastAsiaTheme="majorEastAsia"/>
          <w:sz w:val="16"/>
          <w:lang w:eastAsia="en-US"/>
        </w:rPr>
      </w:pPr>
      <w:r>
        <w:rPr>
          <w:rFonts w:eastAsiaTheme="majorEastAsia"/>
          <w:sz w:val="16"/>
          <w:lang w:eastAsia="en-US"/>
        </w:rPr>
        <w:t>Data weighted for 2013 Census data (all Waves) and attrition (Waves 2, 3 and 4)</w:t>
      </w:r>
    </w:p>
    <w:p w14:paraId="06F4CEE1" w14:textId="77777777" w:rsidR="001945A1" w:rsidRPr="000646C3" w:rsidRDefault="001945A1" w:rsidP="001945A1">
      <w:pPr>
        <w:rPr>
          <w:rFonts w:eastAsiaTheme="majorEastAsia"/>
          <w:sz w:val="10"/>
          <w:lang w:eastAsia="en-US"/>
        </w:rPr>
      </w:pPr>
      <w:r w:rsidRPr="00465146">
        <w:rPr>
          <w:b/>
          <w:sz w:val="16"/>
          <w:szCs w:val="16"/>
        </w:rPr>
        <w:t>†</w:t>
      </w:r>
      <w:r>
        <w:rPr>
          <w:b/>
          <w:sz w:val="16"/>
          <w:szCs w:val="16"/>
        </w:rPr>
        <w:t xml:space="preserve"> </w:t>
      </w:r>
      <w:r w:rsidRPr="000646C3">
        <w:rPr>
          <w:sz w:val="16"/>
        </w:rPr>
        <w:t>Overseas online poker, raffles/lottery, sports betting and horse/dog race betting.</w:t>
      </w:r>
    </w:p>
    <w:p w14:paraId="78B1549E" w14:textId="77777777" w:rsidR="00326B55" w:rsidRPr="009E769D" w:rsidRDefault="00326B55" w:rsidP="00326B55">
      <w:pPr>
        <w:spacing w:after="200" w:line="276" w:lineRule="auto"/>
        <w:rPr>
          <w:sz w:val="16"/>
        </w:rPr>
      </w:pPr>
      <w:r w:rsidRPr="009E769D">
        <w:rPr>
          <w:sz w:val="16"/>
        </w:rPr>
        <w:t>! Meaningful confidence intervals not calculable due to small sample size</w:t>
      </w:r>
    </w:p>
    <w:p w14:paraId="46082B28" w14:textId="77777777" w:rsidR="003B6534" w:rsidRPr="00656378" w:rsidRDefault="003B6534" w:rsidP="000D1CF7">
      <w:pPr>
        <w:pStyle w:val="RepNormal"/>
      </w:pPr>
    </w:p>
    <w:p w14:paraId="426C7DD0" w14:textId="77777777" w:rsidR="0046000D" w:rsidRPr="000C265D" w:rsidRDefault="0046000D" w:rsidP="000D1CF7">
      <w:pPr>
        <w:pStyle w:val="RepHead1"/>
        <w:rPr>
          <w:lang w:val="en-AU"/>
        </w:rPr>
      </w:pPr>
      <w:r w:rsidRPr="005A46E1">
        <w:rPr>
          <w:lang w:val="en-AU"/>
        </w:rPr>
        <w:br w:type="page"/>
      </w:r>
      <w:bookmarkStart w:id="185" w:name="_Toc504488392"/>
      <w:r w:rsidR="00284EE7">
        <w:rPr>
          <w:lang w:val="en-AU"/>
        </w:rPr>
        <w:t xml:space="preserve">SUMMARY, </w:t>
      </w:r>
      <w:r>
        <w:rPr>
          <w:lang w:val="en-AU"/>
        </w:rPr>
        <w:t>DISCUSSION</w:t>
      </w:r>
      <w:r w:rsidR="000C5E9A">
        <w:rPr>
          <w:lang w:val="en-AU"/>
        </w:rPr>
        <w:t xml:space="preserve"> </w:t>
      </w:r>
      <w:r w:rsidR="00284EE7">
        <w:rPr>
          <w:caps w:val="0"/>
          <w:lang w:val="en-AU"/>
        </w:rPr>
        <w:t>AND CONCLUSIONS</w:t>
      </w:r>
      <w:bookmarkEnd w:id="185"/>
    </w:p>
    <w:p w14:paraId="57237E0F" w14:textId="77777777" w:rsidR="0046000D" w:rsidRDefault="0046000D" w:rsidP="000D1CF7">
      <w:pPr>
        <w:pStyle w:val="RepNormal"/>
      </w:pPr>
    </w:p>
    <w:p w14:paraId="07A7FC11" w14:textId="77777777" w:rsidR="00116F79" w:rsidRPr="00116F79" w:rsidRDefault="00116F79" w:rsidP="00116F79">
      <w:pPr>
        <w:pStyle w:val="RepNormal"/>
        <w:rPr>
          <w:b/>
        </w:rPr>
      </w:pPr>
      <w:r w:rsidRPr="00116F79">
        <w:rPr>
          <w:b/>
        </w:rPr>
        <w:t>Introduction</w:t>
      </w:r>
    </w:p>
    <w:p w14:paraId="527DB9E5" w14:textId="77777777" w:rsidR="00116F79" w:rsidRDefault="00116F79" w:rsidP="00116F79">
      <w:pPr>
        <w:pStyle w:val="RepNormal"/>
      </w:pPr>
    </w:p>
    <w:p w14:paraId="3C5155FE" w14:textId="77777777" w:rsidR="00116F79" w:rsidRDefault="00116F79" w:rsidP="00116F79">
      <w:pPr>
        <w:pStyle w:val="RepNormal"/>
      </w:pPr>
      <w:r>
        <w:t>The NGS was designed as a prospective investigation to enable assessment of the incidence (rate of onset) of problem and risk</w:t>
      </w:r>
      <w:r w:rsidR="004300E2">
        <w:t>y</w:t>
      </w:r>
      <w:r>
        <w:t xml:space="preserve"> gambling in the New Zealand adult population, and other changes in gambling participation and gambling-related harm.  These other changes included increased and decreased gambling participation, decreased risk</w:t>
      </w:r>
      <w:r w:rsidR="004300E2">
        <w:t>y</w:t>
      </w:r>
      <w:r>
        <w:t xml:space="preserve"> and problem gambling, and relapse to at-risk and problem gambling.  Factors that predicted some of these transitions are also considered.  Some transitions, for example, into the problem gambling category, are made by a small number of people in any given year.  For this reason, in some analyses, groups are combined (e.g. moderate-risk and problem gamblers).  Also for this reason, some analyses combine data from across the four study waves.  This increases statistical power.</w:t>
      </w:r>
    </w:p>
    <w:p w14:paraId="175CB5E9" w14:textId="77777777" w:rsidR="00116F79" w:rsidRDefault="00116F79" w:rsidP="00116F79">
      <w:pPr>
        <w:pStyle w:val="RepNormal"/>
      </w:pPr>
    </w:p>
    <w:p w14:paraId="5ABB6DCE" w14:textId="0CDE6A39" w:rsidR="00116F79" w:rsidRDefault="004300E2" w:rsidP="00116F79">
      <w:pPr>
        <w:pStyle w:val="RepNormal"/>
      </w:pPr>
      <w:r w:rsidRPr="0038107A">
        <w:t>As</w:t>
      </w:r>
      <w:r w:rsidR="00116F79" w:rsidRPr="0038107A">
        <w:t xml:space="preserve"> the number of transitions that occurred</w:t>
      </w:r>
      <w:r w:rsidR="006A2574" w:rsidRPr="0038107A">
        <w:t xml:space="preserve"> increased over the four waves</w:t>
      </w:r>
      <w:r w:rsidR="00116F79" w:rsidRPr="0038107A">
        <w:t>, it was possible to</w:t>
      </w:r>
      <w:r w:rsidR="00116F79">
        <w:t xml:space="preserve"> examine some ethnic groups separately.  This is important because previous New Zealand studies found that </w:t>
      </w:r>
      <w:r>
        <w:t>Māori</w:t>
      </w:r>
      <w:r w:rsidR="00116F79">
        <w:t xml:space="preserve"> and Pacific adults have particularly high prevalence rates of risk</w:t>
      </w:r>
      <w:r>
        <w:t>y</w:t>
      </w:r>
      <w:r w:rsidR="00116F79">
        <w:t xml:space="preserve"> and problem gambling (Abbott, 2014</w:t>
      </w:r>
      <w:r>
        <w:t>b</w:t>
      </w:r>
      <w:r w:rsidR="00116F79">
        <w:t>; Rossen, 2015).  This was also evident in earlier waves of the NGS.  In the second and third waves</w:t>
      </w:r>
      <w:r>
        <w:t>,</w:t>
      </w:r>
      <w:r w:rsidR="00116F79">
        <w:t xml:space="preserve"> </w:t>
      </w:r>
      <w:r>
        <w:t>Māori</w:t>
      </w:r>
      <w:r w:rsidR="00116F79">
        <w:t xml:space="preserve"> and Pacific people also had high incidence rates relative </w:t>
      </w:r>
      <w:r>
        <w:t xml:space="preserve">to </w:t>
      </w:r>
      <w:r w:rsidR="00116F79">
        <w:t xml:space="preserve">European/Other </w:t>
      </w:r>
      <w:r>
        <w:t xml:space="preserve">people </w:t>
      </w:r>
      <w:r w:rsidR="00116F79">
        <w:t>(Abbott et al</w:t>
      </w:r>
      <w:r>
        <w:t>.</w:t>
      </w:r>
      <w:r w:rsidR="00116F79">
        <w:t>, 2014</w:t>
      </w:r>
      <w:r>
        <w:t>b</w:t>
      </w:r>
      <w:r w:rsidR="00116F79">
        <w:t>, 2015</w:t>
      </w:r>
      <w:r>
        <w:t>b</w:t>
      </w:r>
      <w:r w:rsidR="00116F79">
        <w:t>, 2016</w:t>
      </w:r>
      <w:r>
        <w:t>a</w:t>
      </w:r>
      <w:r w:rsidR="00116F79">
        <w:t>).  Additionally, Asian incidence rates were higher.  These findings suggest that unless effective measures are taken to reduce the incidence of problem and risk</w:t>
      </w:r>
      <w:r>
        <w:t>y</w:t>
      </w:r>
      <w:r w:rsidR="00116F79">
        <w:t xml:space="preserve"> gambling among </w:t>
      </w:r>
      <w:r>
        <w:t>Māori</w:t>
      </w:r>
      <w:r w:rsidR="00116F79">
        <w:t xml:space="preserve"> and Pacific people, current prevalence differences between these groups and European/</w:t>
      </w:r>
      <w:r>
        <w:t>Other people</w:t>
      </w:r>
      <w:r w:rsidR="00116F79">
        <w:t xml:space="preserve"> will persist or increase.  While Asian and European</w:t>
      </w:r>
      <w:r>
        <w:t>/Other</w:t>
      </w:r>
      <w:r w:rsidR="00116F79">
        <w:t xml:space="preserve"> prevalence rates do not currently differ, the higher Asian incidence rate suggests that in future the Asian prevalence rate may well be higher.   </w:t>
      </w:r>
    </w:p>
    <w:p w14:paraId="63706095" w14:textId="77777777" w:rsidR="00116F79" w:rsidRDefault="00116F79" w:rsidP="00116F79">
      <w:pPr>
        <w:pStyle w:val="RepNormal"/>
      </w:pPr>
    </w:p>
    <w:p w14:paraId="693631C8" w14:textId="42616970" w:rsidR="00116F79" w:rsidRDefault="00116F79" w:rsidP="00116F79">
      <w:pPr>
        <w:pStyle w:val="RepNormal"/>
      </w:pPr>
      <w:r>
        <w:t xml:space="preserve">Although the main interest is in examining individual level changes over time, the NGS can also be regarded as a series of cross-sectional annual surveys of the adult population from 2012 to 2015.  </w:t>
      </w:r>
      <w:r w:rsidRPr="001030E2">
        <w:t xml:space="preserve">Considered </w:t>
      </w:r>
      <w:r w:rsidR="00324FD7" w:rsidRPr="001030E2">
        <w:t>t</w:t>
      </w:r>
      <w:r w:rsidRPr="001030E2">
        <w:t>his way</w:t>
      </w:r>
      <w:r>
        <w:t>, the NGS provides information on the national prevalence of participation in various forms of gambling, risk</w:t>
      </w:r>
      <w:r w:rsidR="004300E2">
        <w:t>y</w:t>
      </w:r>
      <w:r>
        <w:t xml:space="preserve"> gambling and problem gambling.  It also provides prevalence estimates for a number of other health and social characteristics.  This aspect of the study is important because some gambling and gambling-related prevalence estimates are based on small numbers and, as a consequence, have wide confidence intervals.  Along with methodological variation across studies, this means that the accuracy of individual survey results are often uncertain.  Consequently, as discussed in Abbott et al</w:t>
      </w:r>
      <w:r w:rsidR="004300E2">
        <w:t>.</w:t>
      </w:r>
      <w:r>
        <w:t xml:space="preserve"> (2016</w:t>
      </w:r>
      <w:r w:rsidR="004300E2">
        <w:t>a</w:t>
      </w:r>
      <w:r>
        <w:t>), it is unclear whether apparent differences, or similarities, between survey findings are real or artefacts of methodological variation and/or measurement error (Calado &amp; Griffiths, 2016; Stone et al</w:t>
      </w:r>
      <w:r w:rsidR="004300E2">
        <w:t>.</w:t>
      </w:r>
      <w:r>
        <w:t>, 2015; Williams et al</w:t>
      </w:r>
      <w:r w:rsidR="004300E2">
        <w:t>.</w:t>
      </w:r>
      <w:r>
        <w:t>, 2012</w:t>
      </w:r>
      <w:r w:rsidR="004300E2">
        <w:t>a</w:t>
      </w:r>
      <w:r>
        <w:t>).</w:t>
      </w:r>
    </w:p>
    <w:p w14:paraId="5F20B6F2" w14:textId="77777777" w:rsidR="00116F79" w:rsidRDefault="00116F79" w:rsidP="00116F79">
      <w:pPr>
        <w:pStyle w:val="RepNormal"/>
      </w:pPr>
    </w:p>
    <w:p w14:paraId="05175455" w14:textId="7CCBC94A" w:rsidR="00116F79" w:rsidRPr="00AC6804" w:rsidRDefault="004300E2" w:rsidP="00116F79">
      <w:pPr>
        <w:pStyle w:val="RepNormal"/>
        <w:rPr>
          <w:i/>
        </w:rPr>
      </w:pPr>
      <w:r w:rsidRPr="001030E2">
        <w:rPr>
          <w:i/>
        </w:rPr>
        <w:t>As</w:t>
      </w:r>
      <w:r w:rsidR="00116F79" w:rsidRPr="001030E2">
        <w:rPr>
          <w:i/>
        </w:rPr>
        <w:t xml:space="preserve"> the NGS waves use the same methodology, each wave can be regarded as a replication survey.  This information is helpful in assessing the reliability of the study prevalence estimates.  However, while the methodology is consistent, the sample is not identical in that participants aged.  In </w:t>
      </w:r>
      <w:r w:rsidRPr="001030E2">
        <w:rPr>
          <w:i/>
        </w:rPr>
        <w:t>Wave 1 (</w:t>
      </w:r>
      <w:r w:rsidR="00116F79" w:rsidRPr="001030E2">
        <w:rPr>
          <w:i/>
        </w:rPr>
        <w:t>2012</w:t>
      </w:r>
      <w:r w:rsidRPr="001030E2">
        <w:rPr>
          <w:i/>
        </w:rPr>
        <w:t>),</w:t>
      </w:r>
      <w:r w:rsidR="00116F79" w:rsidRPr="001030E2">
        <w:rPr>
          <w:i/>
        </w:rPr>
        <w:t xml:space="preserve"> 18, 19 and 20 year olds were included.  By </w:t>
      </w:r>
      <w:r w:rsidRPr="001030E2">
        <w:rPr>
          <w:i/>
        </w:rPr>
        <w:t>Wave 4 (</w:t>
      </w:r>
      <w:r w:rsidR="00116F79" w:rsidRPr="001030E2">
        <w:rPr>
          <w:i/>
        </w:rPr>
        <w:t>2015</w:t>
      </w:r>
      <w:r w:rsidRPr="001030E2">
        <w:rPr>
          <w:i/>
        </w:rPr>
        <w:t>)</w:t>
      </w:r>
      <w:r w:rsidR="00116F79" w:rsidRPr="001030E2">
        <w:rPr>
          <w:i/>
        </w:rPr>
        <w:t xml:space="preserve"> participants were aged 21 years and older.  As reported, in addition to aging, there was differential attrition.  Sample weighting probably largely corrected for this non-random attrition.  </w:t>
      </w:r>
      <w:r w:rsidR="00116F79" w:rsidRPr="001030E2">
        <w:rPr>
          <w:b/>
          <w:i/>
        </w:rPr>
        <w:t>This means that while some caution is required, the survey findings provide a</w:t>
      </w:r>
      <w:r w:rsidR="006A2574" w:rsidRPr="001030E2">
        <w:rPr>
          <w:b/>
          <w:i/>
        </w:rPr>
        <w:t xml:space="preserve"> good</w:t>
      </w:r>
      <w:r w:rsidR="00116F79" w:rsidRPr="001030E2">
        <w:rPr>
          <w:b/>
          <w:i/>
        </w:rPr>
        <w:t xml:space="preserve"> indication of prevalence change</w:t>
      </w:r>
      <w:r w:rsidR="0020443B" w:rsidRPr="001030E2">
        <w:rPr>
          <w:b/>
          <w:i/>
        </w:rPr>
        <w:t>s</w:t>
      </w:r>
      <w:r w:rsidR="00116F79" w:rsidRPr="001030E2">
        <w:rPr>
          <w:b/>
          <w:i/>
        </w:rPr>
        <w:t xml:space="preserve"> and stability over the three years of the study.</w:t>
      </w:r>
      <w:r w:rsidR="00116F79" w:rsidRPr="00AC6804">
        <w:rPr>
          <w:i/>
        </w:rPr>
        <w:t xml:space="preserve"> </w:t>
      </w:r>
    </w:p>
    <w:p w14:paraId="6B0B025D" w14:textId="77777777" w:rsidR="00382C8B" w:rsidRDefault="00382C8B" w:rsidP="00116F79">
      <w:pPr>
        <w:pStyle w:val="RepNormal"/>
      </w:pPr>
    </w:p>
    <w:p w14:paraId="2066A08C" w14:textId="77777777" w:rsidR="00116F79" w:rsidRDefault="00116F79" w:rsidP="00116F79">
      <w:pPr>
        <w:pStyle w:val="RepNormal"/>
      </w:pPr>
    </w:p>
    <w:p w14:paraId="1C29F0F4" w14:textId="77777777" w:rsidR="00116F79" w:rsidRPr="00382C8B" w:rsidRDefault="00116F79" w:rsidP="00116F79">
      <w:pPr>
        <w:pStyle w:val="RepNormal"/>
        <w:rPr>
          <w:b/>
        </w:rPr>
      </w:pPr>
      <w:r w:rsidRPr="00382C8B">
        <w:rPr>
          <w:b/>
        </w:rPr>
        <w:t xml:space="preserve">Gambling and gambling-type participation: 2015 and changes from 2012 to 2015 </w:t>
      </w:r>
    </w:p>
    <w:p w14:paraId="100D8F2B" w14:textId="77777777" w:rsidR="00116F79" w:rsidRDefault="00116F79" w:rsidP="00116F79">
      <w:pPr>
        <w:pStyle w:val="RepNormal"/>
      </w:pPr>
    </w:p>
    <w:p w14:paraId="733A25E1" w14:textId="77777777" w:rsidR="00116F79" w:rsidRDefault="00116F79" w:rsidP="00116F79">
      <w:pPr>
        <w:pStyle w:val="RepNormal"/>
      </w:pPr>
      <w:r>
        <w:t xml:space="preserve">Gambling participation reduced from 2012 to 2015.  The proportion of adults who reported taking part in one or more gambling </w:t>
      </w:r>
      <w:r w:rsidR="00FB757D">
        <w:t xml:space="preserve">activities </w:t>
      </w:r>
      <w:r>
        <w:t xml:space="preserve">during the past year </w:t>
      </w:r>
      <w:r w:rsidR="00382C8B">
        <w:t>decreased</w:t>
      </w:r>
      <w:r>
        <w:t xml:space="preserve"> from 80% to 75%.  Reductions were most apparent for </w:t>
      </w:r>
      <w:r w:rsidR="00382C8B">
        <w:t>females</w:t>
      </w:r>
      <w:r>
        <w:t>, adults aged 18</w:t>
      </w:r>
      <w:r w:rsidR="00382C8B">
        <w:t xml:space="preserve"> to </w:t>
      </w:r>
      <w:r>
        <w:t>39</w:t>
      </w:r>
      <w:r w:rsidR="00382C8B">
        <w:t xml:space="preserve"> years</w:t>
      </w:r>
      <w:r>
        <w:t>, European/</w:t>
      </w:r>
      <w:r w:rsidR="00382C8B">
        <w:t xml:space="preserve">Other </w:t>
      </w:r>
      <w:r>
        <w:t>and New Zealand born</w:t>
      </w:r>
      <w:r w:rsidR="00382C8B">
        <w:t xml:space="preserve"> people</w:t>
      </w:r>
      <w:r>
        <w:t xml:space="preserve">.  Weekly and monthly </w:t>
      </w:r>
      <w:r w:rsidR="00382C8B">
        <w:t xml:space="preserve">gambling </w:t>
      </w:r>
      <w:r>
        <w:t xml:space="preserve">participation also </w:t>
      </w:r>
      <w:r w:rsidR="00382C8B">
        <w:t>decreased</w:t>
      </w:r>
      <w:r>
        <w:t>.  Past year reductions were evident for most gambling activities and</w:t>
      </w:r>
      <w:r w:rsidR="00382C8B">
        <w:t>,</w:t>
      </w:r>
      <w:r>
        <w:t xml:space="preserve"> in some cases</w:t>
      </w:r>
      <w:r w:rsidR="00382C8B">
        <w:t>,</w:t>
      </w:r>
      <w:r>
        <w:t xml:space="preserve"> this was a trend across the four waves.  This trend was evident for activities that are strongly associated with gambling harm including EGM participation (in all settings), overseas internet gambling and betting on horse and dog races.  Monthly or more frequent participation also </w:t>
      </w:r>
      <w:r w:rsidR="00382C8B">
        <w:t>reduced</w:t>
      </w:r>
      <w:r>
        <w:t xml:space="preserve"> for a number of activities including EGMs in pubs and casinos.  </w:t>
      </w:r>
      <w:r w:rsidR="00382C8B">
        <w:t>Additionally, p</w:t>
      </w:r>
      <w:r>
        <w:t>articipation in multiple (</w:t>
      </w:r>
      <w:r w:rsidR="00382C8B">
        <w:t>four</w:t>
      </w:r>
      <w:r>
        <w:t xml:space="preserve"> or more) gambling activities reduced from 2012 to 2015.  Past year and monthly increases were not found for any gambling activity.  Although gambling participation </w:t>
      </w:r>
      <w:r w:rsidR="00382C8B">
        <w:t>decreased</w:t>
      </w:r>
      <w:r>
        <w:t xml:space="preserve"> across the three years of the study</w:t>
      </w:r>
      <w:r w:rsidR="00382C8B">
        <w:t>,</w:t>
      </w:r>
      <w:r>
        <w:t xml:space="preserve"> there was no change in reported typical monthly gambling expenditure.  Time spent playing EGMs on a typical day, for those who took part in this activity, also did not change over time.  Neither did persons gambled with.  </w:t>
      </w:r>
    </w:p>
    <w:p w14:paraId="18CC30F6" w14:textId="77777777" w:rsidR="00116F79" w:rsidRDefault="00116F79" w:rsidP="00116F79">
      <w:pPr>
        <w:pStyle w:val="RepNormal"/>
      </w:pPr>
    </w:p>
    <w:p w14:paraId="6C7F0988" w14:textId="77777777" w:rsidR="00116F79" w:rsidRDefault="00116F79" w:rsidP="00116F79">
      <w:pPr>
        <w:pStyle w:val="RepNormal"/>
      </w:pPr>
      <w:r>
        <w:t>In 2015</w:t>
      </w:r>
      <w:r w:rsidR="00382C8B">
        <w:t>,</w:t>
      </w:r>
      <w:r>
        <w:t xml:space="preserve"> a quarter of adults were non-gamblers, over half </w:t>
      </w:r>
      <w:r w:rsidR="00382C8B">
        <w:t>were infrequent gamblers, 13.5% </w:t>
      </w:r>
      <w:r>
        <w:t>were regular non-continuous gamblers and five percent were regular continuous gamblers.  As in previous waves</w:t>
      </w:r>
      <w:r w:rsidR="00382C8B">
        <w:t>,</w:t>
      </w:r>
      <w:r>
        <w:t xml:space="preserve"> Lotto, raffles and lotteries, Instant Kiwi </w:t>
      </w:r>
      <w:r w:rsidR="003163E4">
        <w:t xml:space="preserve">and </w:t>
      </w:r>
      <w:r>
        <w:t>other scratch tickets, bets with friends and workmates</w:t>
      </w:r>
      <w:r w:rsidR="00382C8B">
        <w:t>,</w:t>
      </w:r>
      <w:r>
        <w:t xml:space="preserve"> and EGMs (across all settings) were the most popular activities.  Past year participation in any other single activity did not exceed ten percent.</w:t>
      </w:r>
    </w:p>
    <w:p w14:paraId="609DA123" w14:textId="77777777" w:rsidR="00116F79" w:rsidRDefault="00116F79" w:rsidP="00116F79">
      <w:pPr>
        <w:pStyle w:val="RepNormal"/>
      </w:pPr>
    </w:p>
    <w:p w14:paraId="1A3BA9F0" w14:textId="3DBB3217" w:rsidR="00116F79" w:rsidRPr="001030E2" w:rsidRDefault="00116F79" w:rsidP="00116F79">
      <w:pPr>
        <w:pStyle w:val="RepNormal"/>
      </w:pPr>
      <w:r>
        <w:t>Self-reported EGM expenditure was assessed in all NGS waves.  In 2015</w:t>
      </w:r>
      <w:r w:rsidR="00382C8B">
        <w:t>,</w:t>
      </w:r>
      <w:r>
        <w:t xml:space="preserve"> average monthly EGM expenditure was $57 per month and did not vary appreciably across pub, club and casino settings.  Neither did it change much across study waves.  There were, however, some </w:t>
      </w:r>
      <w:r w:rsidRPr="0038107A">
        <w:t xml:space="preserve">differences and changes with </w:t>
      </w:r>
      <w:r w:rsidR="00382C8B" w:rsidRPr="0038107A">
        <w:t>regard</w:t>
      </w:r>
      <w:r w:rsidRPr="0038107A">
        <w:t xml:space="preserve"> to estimated </w:t>
      </w:r>
      <w:r w:rsidR="006A2574" w:rsidRPr="0038107A">
        <w:t xml:space="preserve">population </w:t>
      </w:r>
      <w:r w:rsidRPr="0038107A">
        <w:t>annual EGM expenditure.  In 2015</w:t>
      </w:r>
      <w:r w:rsidR="00382C8B" w:rsidRPr="0038107A">
        <w:t>,</w:t>
      </w:r>
      <w:r w:rsidRPr="0038107A">
        <w:t xml:space="preserve"> total EGM expenditure was estimated to </w:t>
      </w:r>
      <w:r w:rsidRPr="001030E2">
        <w:t>total $286 million.  This is similar to the 2013 and 2014 estimates but less than the 2012 estimate</w:t>
      </w:r>
      <w:r w:rsidR="00382C8B" w:rsidRPr="001030E2">
        <w:t xml:space="preserve"> of $453 million</w:t>
      </w:r>
      <w:r w:rsidRPr="001030E2">
        <w:t xml:space="preserve">. </w:t>
      </w:r>
      <w:r w:rsidR="002031BF" w:rsidRPr="001030E2">
        <w:t xml:space="preserve"> </w:t>
      </w:r>
      <w:r w:rsidR="00C27BBF" w:rsidRPr="001030E2">
        <w:t xml:space="preserve">The corresponding actual expenditure on pub and club EGMS only (i.e. excluding casino EGMs) was $843 million in 2015/16 and $827 million in 2012/13 (Department of Internal Affairs, </w:t>
      </w:r>
      <w:r w:rsidR="00622B35" w:rsidRPr="001030E2">
        <w:t>2017b</w:t>
      </w:r>
      <w:r w:rsidR="00C27BBF" w:rsidRPr="001030E2">
        <w:t xml:space="preserve">).  </w:t>
      </w:r>
      <w:r w:rsidR="002031BF" w:rsidRPr="001030E2">
        <w:t>The</w:t>
      </w:r>
      <w:r w:rsidR="00C27BBF" w:rsidRPr="001030E2">
        <w:t xml:space="preserve"> NGS</w:t>
      </w:r>
      <w:r w:rsidR="002031BF" w:rsidRPr="001030E2">
        <w:t xml:space="preserve"> estimates of total annual EGM expenditure</w:t>
      </w:r>
      <w:r w:rsidRPr="001030E2">
        <w:t xml:space="preserve"> </w:t>
      </w:r>
      <w:r w:rsidR="002031BF" w:rsidRPr="001030E2">
        <w:t xml:space="preserve">when compared to actual expenditure obtained from official sources, indicate that capturing self-reported expenditure data are unreliable </w:t>
      </w:r>
      <w:r w:rsidR="00C27BBF" w:rsidRPr="001030E2">
        <w:t xml:space="preserve">for a number of reasons.  These include </w:t>
      </w:r>
      <w:r w:rsidR="00DF7F37" w:rsidRPr="001030E2">
        <w:t xml:space="preserve">not including </w:t>
      </w:r>
      <w:r w:rsidR="00C27BBF" w:rsidRPr="001030E2">
        <w:t xml:space="preserve">expenditure from tourists who gamble in New Zealand, failure to count winnings in expenditure recall, </w:t>
      </w:r>
      <w:r w:rsidR="00DF7F37" w:rsidRPr="001030E2">
        <w:t xml:space="preserve">and </w:t>
      </w:r>
      <w:r w:rsidR="00C27BBF" w:rsidRPr="001030E2">
        <w:t xml:space="preserve">unconscious or deliberate misreporting of net expenditure (e.g. believing it to be is lower than it actually is, or under-reporting high expenditure to avoid stigma) (Abbott &amp; Volberg, 2000; Abbott et al., 2014a).  Abbott and Volberg (2000) noted that self-reported casino gambling and non-casino EGM gambling expenditure was much lower than the official expenditure.  </w:t>
      </w:r>
    </w:p>
    <w:p w14:paraId="7DF31714" w14:textId="77777777" w:rsidR="00116F79" w:rsidRPr="001030E2" w:rsidRDefault="00116F79" w:rsidP="00116F79">
      <w:pPr>
        <w:pStyle w:val="RepNormal"/>
      </w:pPr>
    </w:p>
    <w:p w14:paraId="71C951A0" w14:textId="27C0831F" w:rsidR="00116F79" w:rsidRDefault="00116F79" w:rsidP="00116F79">
      <w:pPr>
        <w:pStyle w:val="RepNormal"/>
      </w:pPr>
      <w:r w:rsidRPr="001030E2">
        <w:t xml:space="preserve">The 2015 findings are </w:t>
      </w:r>
      <w:r w:rsidR="006A2574" w:rsidRPr="001030E2">
        <w:t>somewhat unexpected</w:t>
      </w:r>
      <w:r w:rsidRPr="001030E2">
        <w:t xml:space="preserve">.  At the outset of the study </w:t>
      </w:r>
      <w:r w:rsidR="008B5781" w:rsidRPr="001030E2">
        <w:t>(2012</w:t>
      </w:r>
      <w:r w:rsidR="008B5781" w:rsidRPr="0038107A">
        <w:t xml:space="preserve">) </w:t>
      </w:r>
      <w:r w:rsidRPr="0038107A">
        <w:t>it was expected that there would be minimal changes in gambling participation over the course of one or two</w:t>
      </w:r>
      <w:r>
        <w:t xml:space="preserve"> years.  From 2012 to 2014, while there were reductions on some gambling participation measures, most</w:t>
      </w:r>
      <w:r w:rsidR="00382C8B">
        <w:t>ly</w:t>
      </w:r>
      <w:r>
        <w:t xml:space="preserve"> there was little or no change.  </w:t>
      </w:r>
      <w:r w:rsidR="00382C8B">
        <w:t>However, i</w:t>
      </w:r>
      <w:r>
        <w:t>n the 2015 wave</w:t>
      </w:r>
      <w:r w:rsidR="00382C8B">
        <w:t>,</w:t>
      </w:r>
      <w:r>
        <w:t xml:space="preserve"> as indicated, reductions were more evident and found across a wider range of measures.  These changes are consistent with longer term participation trends.  As mentioned earlier</w:t>
      </w:r>
      <w:r w:rsidR="00382C8B">
        <w:t>,</w:t>
      </w:r>
      <w:r>
        <w:t xml:space="preserve"> overall past year gambling participation was 90% in the early to mid-1990s.  In the NGS it was 80% in 2012 and reduced in subsequent waves to 75% in 2015.  More substantial reductions took place in regular gambling participation.  In 1990</w:t>
      </w:r>
      <w:r w:rsidR="00382C8B">
        <w:t>,</w:t>
      </w:r>
      <w:r>
        <w:t xml:space="preserve"> 48% of adults participated weekly or more often.  This</w:t>
      </w:r>
      <w:r w:rsidR="00382C8B">
        <w:t xml:space="preserve"> reduced to 40% in 1999 and 23% </w:t>
      </w:r>
      <w:r>
        <w:t>in 2012.  Three years later it reduced to 19%.  A similar trend is evident for past year participation in four or more gambling activities.  After reaching a high point of 41% in 1995, it reduced to 37% in 2000, 28% in in 2005 and 22% in 2012.  In the third NGS wave in 2015 it was 17%.  As mentioned and discussed further in Abbott (2017</w:t>
      </w:r>
      <w:r w:rsidR="00382C8B">
        <w:t>b</w:t>
      </w:r>
      <w:r>
        <w:t>) and Abbott et al</w:t>
      </w:r>
      <w:r w:rsidR="00382C8B">
        <w:t>.</w:t>
      </w:r>
      <w:r>
        <w:t xml:space="preserve"> (2016</w:t>
      </w:r>
      <w:r w:rsidR="00382C8B">
        <w:t>a</w:t>
      </w:r>
      <w:r>
        <w:t xml:space="preserve">) these findings are contrary to availability hypothesis predictions.  This hypothesis predicts that gambling participation (and problem gambling) increases if new gambling </w:t>
      </w:r>
      <w:r w:rsidR="00382C8B">
        <w:t xml:space="preserve">activities </w:t>
      </w:r>
      <w:r>
        <w:t>are introduced and gambling availability and exposure increase.  During the past 20 years</w:t>
      </w:r>
      <w:r w:rsidR="00382C8B">
        <w:t>,</w:t>
      </w:r>
      <w:r>
        <w:t xml:space="preserve"> new gambling </w:t>
      </w:r>
      <w:r w:rsidR="00382C8B">
        <w:t xml:space="preserve">activities </w:t>
      </w:r>
      <w:r>
        <w:t xml:space="preserve">and ways of accessing them have increased in New Zealand.  Rather than increasing, participation in almost all gambling </w:t>
      </w:r>
      <w:r w:rsidR="00382C8B">
        <w:t xml:space="preserve">activities </w:t>
      </w:r>
      <w:r>
        <w:t xml:space="preserve">decreased and in many cases further </w:t>
      </w:r>
      <w:r w:rsidR="00382C8B">
        <w:t>reductions</w:t>
      </w:r>
      <w:r>
        <w:t xml:space="preserve"> occurred from 2012 to 2015.  These findings are in keeping with the adaptation hypothesis.  Given the strong associations between problem gambling and both regular participation in continuous forms of gambling and participation in multiple gambling activities, it could be expected that reductions from 2012 to 2015 would be accompanied by lower problem gambling prevalence rates.</w:t>
      </w:r>
    </w:p>
    <w:p w14:paraId="37C6CF9C" w14:textId="77777777" w:rsidR="001030E2" w:rsidRDefault="001030E2" w:rsidP="00116F79">
      <w:pPr>
        <w:pStyle w:val="RepNormal"/>
      </w:pPr>
    </w:p>
    <w:p w14:paraId="61176617" w14:textId="6CB02375" w:rsidR="001030E2" w:rsidRDefault="001030E2" w:rsidP="00116F79">
      <w:pPr>
        <w:pStyle w:val="RepNormal"/>
      </w:pPr>
      <w:r>
        <w:t>As noted in the introduction, the Health and Lifestyles Survey series conducted since 2006/07 also found a significant reduction in gambling participation over time.  However, in contrast to the present study, past year participation remained constant (70%) from 2012 to 2016 (Thimasarn-Anwar et al., 2017).  Thus, some uncertainty remains regarding changes in participation in recent years.</w:t>
      </w:r>
    </w:p>
    <w:p w14:paraId="534D4E9A" w14:textId="77777777" w:rsidR="00116F79" w:rsidRDefault="00116F79" w:rsidP="00116F79">
      <w:pPr>
        <w:pStyle w:val="RepNormal"/>
      </w:pPr>
    </w:p>
    <w:p w14:paraId="57CD3DF0" w14:textId="3A4E2A50" w:rsidR="00116F79" w:rsidRDefault="00382C8B" w:rsidP="00116F79">
      <w:pPr>
        <w:pStyle w:val="RepNormal"/>
      </w:pPr>
      <w:r>
        <w:t>Offshore and local on</w:t>
      </w:r>
      <w:r w:rsidR="00116F79">
        <w:t xml:space="preserve">line (internet, telephone and interactive television) gambling participation research is reviewed </w:t>
      </w:r>
      <w:r w:rsidR="003163E4">
        <w:t>by</w:t>
      </w:r>
      <w:r w:rsidR="00116F79">
        <w:t xml:space="preserve"> Bellringer</w:t>
      </w:r>
      <w:r w:rsidR="003163E4">
        <w:t>, Garrett, Kolandai-Matchett and Abbott</w:t>
      </w:r>
      <w:r w:rsidR="00116F79">
        <w:t xml:space="preserve"> </w:t>
      </w:r>
      <w:r w:rsidR="003163E4">
        <w:t>(</w:t>
      </w:r>
      <w:r w:rsidR="00116F79">
        <w:t>2015).  As mentioned</w:t>
      </w:r>
      <w:r>
        <w:t>,</w:t>
      </w:r>
      <w:r w:rsidR="00116F79">
        <w:t xml:space="preserve"> Lotto and track and s</w:t>
      </w:r>
      <w:r>
        <w:t>port betting can be accessed on</w:t>
      </w:r>
      <w:r w:rsidR="00116F79">
        <w:t>line in New Zealand.  Locals are also permitted to use online gambling services offered from outside New Zealand.  In 2015</w:t>
      </w:r>
      <w:r>
        <w:t>,</w:t>
      </w:r>
      <w:r w:rsidR="00116F79">
        <w:t xml:space="preserve"> less than one percent of adults took part in offshore gambling online, a reduction from 1.7% in 2012.  Overall domestic online gambling</w:t>
      </w:r>
      <w:r w:rsidR="00DE09C6">
        <w:t xml:space="preserve"> participation</w:t>
      </w:r>
      <w:r w:rsidR="00116F79">
        <w:t xml:space="preserve"> was substantially higher than offshor</w:t>
      </w:r>
      <w:r>
        <w:t xml:space="preserve">e gambling in 2015 (9%) and </w:t>
      </w:r>
      <w:r w:rsidR="00116F79">
        <w:t xml:space="preserve">did not change across the four waves.  These findings indicate that gambling participation in New Zealand is predominantly land-based and that </w:t>
      </w:r>
      <w:r>
        <w:t xml:space="preserve">offshore </w:t>
      </w:r>
      <w:r w:rsidR="00116F79">
        <w:t xml:space="preserve">online gambling has not increased in recent </w:t>
      </w:r>
      <w:r w:rsidR="00116F79" w:rsidRPr="00D6210D">
        <w:t>years.</w:t>
      </w:r>
      <w:r w:rsidR="00753DB8" w:rsidRPr="00D6210D">
        <w:t xml:space="preserve">  The effect on online gambling participation with the recent (2017) introduction of online scratch</w:t>
      </w:r>
      <w:r w:rsidR="00524AE7" w:rsidRPr="00D6210D">
        <w:t xml:space="preserve"> </w:t>
      </w:r>
      <w:r w:rsidR="00753DB8" w:rsidRPr="00D6210D">
        <w:t>cards in New Zealand is yet to be determined.</w:t>
      </w:r>
      <w:r w:rsidR="00753DB8">
        <w:t xml:space="preserve"> </w:t>
      </w:r>
    </w:p>
    <w:p w14:paraId="77CE11C7" w14:textId="77777777" w:rsidR="00116F79" w:rsidRDefault="00116F79" w:rsidP="00116F79">
      <w:pPr>
        <w:pStyle w:val="RepNormal"/>
      </w:pPr>
    </w:p>
    <w:p w14:paraId="378CE738" w14:textId="77777777" w:rsidR="00116F79" w:rsidRDefault="00116F79" w:rsidP="00116F79">
      <w:pPr>
        <w:pStyle w:val="RepNormal"/>
      </w:pPr>
      <w:r>
        <w:t>As in previous NGS waves</w:t>
      </w:r>
      <w:r w:rsidR="00382C8B">
        <w:t>,</w:t>
      </w:r>
      <w:r>
        <w:t xml:space="preserve"> people who took part in a gambling activity were asked about methods they use to prevent themselves from gambling too much.  All participants were also asked if they had personally sought help for gambling in the past year.  Setting a money limit was the only method reported by more than one-in-ten gamblers.  Separating betting money and stopping when it was spent was the next most often mentioned</w:t>
      </w:r>
      <w:r w:rsidR="00715CAB">
        <w:t xml:space="preserve"> method</w:t>
      </w:r>
      <w:r>
        <w:t xml:space="preserve">.  Use of both of these methods </w:t>
      </w:r>
      <w:r w:rsidR="00715CAB">
        <w:t>decreased</w:t>
      </w:r>
      <w:r>
        <w:t xml:space="preserve"> from 2012 to 2015. </w:t>
      </w:r>
      <w:r w:rsidR="00715CAB">
        <w:t xml:space="preserve"> </w:t>
      </w:r>
      <w:r>
        <w:t xml:space="preserve">Relatively few participants mentioned using other methods or seeking help from professional or informal sources.                            </w:t>
      </w:r>
    </w:p>
    <w:p w14:paraId="338F26C9" w14:textId="77777777" w:rsidR="00116F79" w:rsidRDefault="00116F79" w:rsidP="00116F79">
      <w:pPr>
        <w:pStyle w:val="RepNormal"/>
      </w:pPr>
    </w:p>
    <w:p w14:paraId="15CFC5E3" w14:textId="77777777" w:rsidR="00116F79" w:rsidRDefault="00116F79" w:rsidP="00116F79">
      <w:pPr>
        <w:pStyle w:val="RepNormal"/>
      </w:pPr>
      <w:r>
        <w:t xml:space="preserve">Some gambling measures were considered by ethnicity.  In </w:t>
      </w:r>
      <w:r w:rsidR="00715CAB">
        <w:t>Wave 4,</w:t>
      </w:r>
      <w:r>
        <w:t xml:space="preserve"> </w:t>
      </w:r>
      <w:r w:rsidR="00715CAB">
        <w:t>Māori</w:t>
      </w:r>
      <w:r>
        <w:t xml:space="preserve"> and Pacific gambling participation was generally similar to that of the overall population.  However, in the baseline 2012 survey and 2013 follow-up wave</w:t>
      </w:r>
      <w:r w:rsidR="00715CAB">
        <w:t>,</w:t>
      </w:r>
      <w:r>
        <w:t xml:space="preserve"> </w:t>
      </w:r>
      <w:r w:rsidR="00715CAB">
        <w:t>Māori</w:t>
      </w:r>
      <w:r>
        <w:t xml:space="preserve"> had somewhat higher past year, weekly and regular continuous gambling participation rates than the population as a whole.  They also more often took part in four or more gambling activities during the past 12 months.  The length of time spent playing EGMs on a typical day, however, was similar to the population as a whole.  While Pacific adults did not differ from the overall population they had a lower past year participation rate than </w:t>
      </w:r>
      <w:r w:rsidR="00715CAB">
        <w:t>Māori</w:t>
      </w:r>
      <w:r>
        <w:t xml:space="preserve">.  Asian adults had substantially lower past year participation than the population as a whole and </w:t>
      </w:r>
      <w:r w:rsidR="00715CAB">
        <w:t>Māori</w:t>
      </w:r>
      <w:r>
        <w:t xml:space="preserve">.  It was also lower </w:t>
      </w:r>
      <w:r w:rsidR="00CB2705">
        <w:t>than</w:t>
      </w:r>
      <w:r>
        <w:t xml:space="preserve"> Pacific participation.  These differences were apparent across all NGS waves.  Relative to the population as a whole and in some cases to </w:t>
      </w:r>
      <w:r w:rsidR="00715CAB">
        <w:t>Māori</w:t>
      </w:r>
      <w:r>
        <w:t xml:space="preserve"> and Pacific adults, Asian</w:t>
      </w:r>
      <w:r w:rsidR="00715CAB">
        <w:t xml:space="preserve"> people</w:t>
      </w:r>
      <w:r>
        <w:t xml:space="preserve"> had lower weekly and regular non-continuous participation rates.  They also less often took part in four or more activities.  Additionally</w:t>
      </w:r>
      <w:r w:rsidR="00715CAB">
        <w:t>,</w:t>
      </w:r>
      <w:r>
        <w:t xml:space="preserve"> Asian</w:t>
      </w:r>
      <w:r w:rsidR="00715CAB">
        <w:t xml:space="preserve"> people</w:t>
      </w:r>
      <w:r>
        <w:t xml:space="preserve"> more often had a preferred gambling activity and less often preferred to bet with friends and workmates, purchase overseas raffles or lotteries, bet on horse or dog races</w:t>
      </w:r>
      <w:r w:rsidR="00AB3C3B">
        <w:t>,</w:t>
      </w:r>
      <w:r>
        <w:t xml:space="preserve"> </w:t>
      </w:r>
      <w:r w:rsidR="00715CAB">
        <w:t>or</w:t>
      </w:r>
      <w:r>
        <w:t xml:space="preserve"> </w:t>
      </w:r>
      <w:r w:rsidR="00715CAB">
        <w:t>gamble on</w:t>
      </w:r>
      <w:r>
        <w:t xml:space="preserve"> non-casino EGMs.</w:t>
      </w:r>
    </w:p>
    <w:p w14:paraId="5EE75946" w14:textId="77777777" w:rsidR="00116F79" w:rsidRDefault="00116F79" w:rsidP="00116F79">
      <w:pPr>
        <w:pStyle w:val="RepNormal"/>
      </w:pPr>
    </w:p>
    <w:p w14:paraId="6C58BB07" w14:textId="77777777" w:rsidR="00116F79" w:rsidRDefault="00116F79" w:rsidP="00116F79">
      <w:pPr>
        <w:pStyle w:val="RepNormal"/>
      </w:pPr>
      <w:r>
        <w:t>Pub and club EGM expenditure was also considered by ethnicity and some other demographic characteristics.  These analyses applied only to people who reported pub and club EGM participation, not to all adults in these groups.  In 2015</w:t>
      </w:r>
      <w:r w:rsidR="0042340D">
        <w:t>,</w:t>
      </w:r>
      <w:r>
        <w:t xml:space="preserve"> Pacific adults had the highest average expenditure, followed by </w:t>
      </w:r>
      <w:r w:rsidR="0042340D">
        <w:t>Māori</w:t>
      </w:r>
      <w:r>
        <w:t>, European/</w:t>
      </w:r>
      <w:r w:rsidR="0042340D">
        <w:t xml:space="preserve">Other adults </w:t>
      </w:r>
      <w:r>
        <w:t>and Asian</w:t>
      </w:r>
      <w:r w:rsidR="0042340D">
        <w:t xml:space="preserve"> adults.</w:t>
      </w:r>
      <w:r>
        <w:t xml:space="preserve">  The first three ethnic groups, however, had similar median expenditure.  Asian median expenditure was lower.  While this suggests lower typical Asian expenditure and higher Pacific and </w:t>
      </w:r>
      <w:r w:rsidR="0042340D">
        <w:t>Māori</w:t>
      </w:r>
      <w:r>
        <w:t xml:space="preserve"> expenditure, there was some variation across the four study waves.  Generally</w:t>
      </w:r>
      <w:r w:rsidR="0042340D">
        <w:t>,</w:t>
      </w:r>
      <w:r>
        <w:t xml:space="preserve"> </w:t>
      </w:r>
      <w:r w:rsidR="0042340D">
        <w:t xml:space="preserve">Māori </w:t>
      </w:r>
      <w:r>
        <w:t>and Pacific mean and median expenditure were higher than European/</w:t>
      </w:r>
      <w:r w:rsidR="0042340D">
        <w:t xml:space="preserve">Other </w:t>
      </w:r>
      <w:r>
        <w:t>expenditure.  However, in two waves, Asian mean and median expenditure was high relative to other groups.  This fluctuation may be due to the small number of Asian respondents who took part in these gambling</w:t>
      </w:r>
      <w:r w:rsidR="0042340D">
        <w:t xml:space="preserve"> activities</w:t>
      </w:r>
      <w:r>
        <w:t xml:space="preserve">.  Within all ethnic groups there was a very wide range </w:t>
      </w:r>
      <w:r w:rsidR="0042340D">
        <w:t xml:space="preserve">of </w:t>
      </w:r>
      <w:r>
        <w:t xml:space="preserve">expenditure reported.  For these reasons, while it appears likely that </w:t>
      </w:r>
      <w:r w:rsidR="0042340D">
        <w:t>Māori</w:t>
      </w:r>
      <w:r>
        <w:t xml:space="preserve"> and Pacific pub and club EGM participants typically spend more than Europeans/</w:t>
      </w:r>
      <w:r w:rsidR="0042340D">
        <w:t>Other participants</w:t>
      </w:r>
      <w:r>
        <w:t xml:space="preserve">, these findings need to </w:t>
      </w:r>
      <w:r w:rsidR="0042340D">
        <w:t xml:space="preserve">be </w:t>
      </w:r>
      <w:r>
        <w:t>treated with some caution.  It remains unclear how Asian</w:t>
      </w:r>
      <w:r w:rsidR="0042340D">
        <w:t xml:space="preserve"> adult</w:t>
      </w:r>
      <w:r>
        <w:t>s compare with these ethnic groups.</w:t>
      </w:r>
    </w:p>
    <w:p w14:paraId="230BEB43" w14:textId="77777777" w:rsidR="00116F79" w:rsidRDefault="00116F79" w:rsidP="00116F79">
      <w:pPr>
        <w:pStyle w:val="RepNormal"/>
      </w:pPr>
    </w:p>
    <w:p w14:paraId="1B4D3C96" w14:textId="77777777" w:rsidR="00116F79" w:rsidRDefault="00116F79" w:rsidP="00116F79">
      <w:pPr>
        <w:pStyle w:val="RepNormal"/>
      </w:pPr>
      <w:r>
        <w:t>No gender differences were apparent in typical pub and club EGM expenditure in 2015 or across the four study waves.  In 2015</w:t>
      </w:r>
      <w:r w:rsidR="0042340D">
        <w:t xml:space="preserve">, the youngest (18 to </w:t>
      </w:r>
      <w:r>
        <w:t>24</w:t>
      </w:r>
      <w:r w:rsidR="0042340D">
        <w:t xml:space="preserve"> years</w:t>
      </w:r>
      <w:r>
        <w:t>) and third youngest (35</w:t>
      </w:r>
      <w:r w:rsidR="0042340D">
        <w:t xml:space="preserve"> to </w:t>
      </w:r>
      <w:r>
        <w:t>44</w:t>
      </w:r>
      <w:r w:rsidR="0042340D">
        <w:t xml:space="preserve"> years</w:t>
      </w:r>
      <w:r>
        <w:t xml:space="preserve">) age groups had the lowest mean and median expenditure.  Other groups spent much the same.  However, there was some variation across </w:t>
      </w:r>
      <w:r w:rsidR="0042340D">
        <w:t>NGS</w:t>
      </w:r>
      <w:r>
        <w:t xml:space="preserve"> waves.  Generally the youngest group reported the lowest mean expenditure and the 45</w:t>
      </w:r>
      <w:r w:rsidR="0042340D">
        <w:t xml:space="preserve"> to </w:t>
      </w:r>
      <w:r>
        <w:t xml:space="preserve">54 </w:t>
      </w:r>
      <w:r w:rsidR="0042340D">
        <w:t xml:space="preserve">year and 55 to </w:t>
      </w:r>
      <w:r>
        <w:t xml:space="preserve">64 </w:t>
      </w:r>
      <w:r w:rsidR="0042340D">
        <w:t xml:space="preserve">year </w:t>
      </w:r>
      <w:r>
        <w:t>age groups the highest.  There was generally less variation acros</w:t>
      </w:r>
      <w:r w:rsidR="0042340D">
        <w:t>s groups in median expenditure.  New Zealand born and longer-</w:t>
      </w:r>
      <w:r>
        <w:t xml:space="preserve">term migrants had similar expenditure in 2015 and in other waves.  There were too few recent migrants to calculate robust estimates.  There did not appear to </w:t>
      </w:r>
      <w:r w:rsidR="0042340D">
        <w:t xml:space="preserve">be </w:t>
      </w:r>
      <w:r>
        <w:t>differences across the three major metropolitan regions and the rest of New Zealand.</w:t>
      </w:r>
    </w:p>
    <w:p w14:paraId="7D1A18C3" w14:textId="77777777" w:rsidR="00116F79" w:rsidRDefault="00116F79" w:rsidP="00116F79">
      <w:pPr>
        <w:pStyle w:val="RepNormal"/>
      </w:pPr>
    </w:p>
    <w:p w14:paraId="6D34DB9C" w14:textId="77777777" w:rsidR="00116F79" w:rsidRDefault="00116F79" w:rsidP="00116F79">
      <w:pPr>
        <w:pStyle w:val="RepNormal"/>
      </w:pPr>
      <w:r>
        <w:t>As mentioned</w:t>
      </w:r>
      <w:r w:rsidR="0042340D">
        <w:t>,</w:t>
      </w:r>
      <w:r>
        <w:t xml:space="preserve"> </w:t>
      </w:r>
      <w:r w:rsidR="0042340D">
        <w:t xml:space="preserve">internationally </w:t>
      </w:r>
      <w:r>
        <w:t>there ha</w:t>
      </w:r>
      <w:r w:rsidR="0042340D">
        <w:t>s been marked growth in both on</w:t>
      </w:r>
      <w:r>
        <w:t>line gambling and gaming activities and a convergence of the two (King et al</w:t>
      </w:r>
      <w:r w:rsidR="0042340D">
        <w:t>.</w:t>
      </w:r>
      <w:r>
        <w:t>, 2015).  This convergence</w:t>
      </w:r>
      <w:r w:rsidR="0042340D">
        <w:t xml:space="preserve"> includes the development of on</w:t>
      </w:r>
      <w:r>
        <w:t xml:space="preserve">line ‘gambling’ that simulates gambling activities that use money.  These activities provide an experience of gambling without using money.  They include demonstration games on internet gambling sites and casino games on social networking sites (Griffiths, 2015; King </w:t>
      </w:r>
      <w:r w:rsidR="0042340D">
        <w:t>&amp;</w:t>
      </w:r>
      <w:r>
        <w:t xml:space="preserve"> Delfabbro, 2016).  Demonstration games often provide better odds and more wins than when they are participated in for monetary outcomes.  They may include encouragement to switch to participation for money.  Gambling and gambling-type games not played for money were included in the NGS because relatively little is known about them and because there are good reasons to believe they play a role in people taking up gambling and, over time, developing gambling-related problems</w:t>
      </w:r>
      <w:r w:rsidR="00CB2705">
        <w:t xml:space="preserve"> (Dussault et al., 2017)</w:t>
      </w:r>
      <w:r>
        <w:t xml:space="preserve">. </w:t>
      </w:r>
    </w:p>
    <w:p w14:paraId="1FD9E9BB" w14:textId="77777777" w:rsidR="00116F79" w:rsidRDefault="00116F79" w:rsidP="00116F79">
      <w:pPr>
        <w:pStyle w:val="RepNormal"/>
      </w:pPr>
    </w:p>
    <w:p w14:paraId="05E880BB" w14:textId="77777777" w:rsidR="00116F79" w:rsidRDefault="00116F79" w:rsidP="00116F79">
      <w:pPr>
        <w:pStyle w:val="RepNormal"/>
      </w:pPr>
      <w:r>
        <w:t>In 2015</w:t>
      </w:r>
      <w:r w:rsidR="0042340D">
        <w:t>,</w:t>
      </w:r>
      <w:r>
        <w:t xml:space="preserve"> 13</w:t>
      </w:r>
      <w:r w:rsidR="0042340D">
        <w:t>%</w:t>
      </w:r>
      <w:r>
        <w:t xml:space="preserve"> of adults reported taking part in one</w:t>
      </w:r>
      <w:r w:rsidR="006B04D2">
        <w:t xml:space="preserve"> or more gambling-</w:t>
      </w:r>
      <w:r>
        <w:t>type games not for money during the past year; somewhat more than the percentage taking part in one or mo</w:t>
      </w:r>
      <w:r w:rsidR="0042340D">
        <w:t>re forms of on</w:t>
      </w:r>
      <w:r>
        <w:t>line gambling and substantially more than those who gambled using an offshore internet site.  Skill games were the most frequently participated in, followed by fanta</w:t>
      </w:r>
      <w:r w:rsidR="0042340D">
        <w:t>sy football, internet poker, on</w:t>
      </w:r>
      <w:r>
        <w:t xml:space="preserve">line casino games, internet bingo and other </w:t>
      </w:r>
      <w:r w:rsidR="0042340D">
        <w:t>on</w:t>
      </w:r>
      <w:r>
        <w:t xml:space="preserve">line activities.  As found for gambling participation, participation in gambling-type games </w:t>
      </w:r>
      <w:r w:rsidR="0042340D">
        <w:t>reduced</w:t>
      </w:r>
      <w:r>
        <w:t xml:space="preserve"> somewhat from the first to the fourth study wave.  </w:t>
      </w:r>
    </w:p>
    <w:p w14:paraId="439F3896" w14:textId="77777777" w:rsidR="00116F79" w:rsidRDefault="00116F79" w:rsidP="00116F79">
      <w:pPr>
        <w:pStyle w:val="RepNormal"/>
      </w:pPr>
      <w:r>
        <w:t xml:space="preserve"> </w:t>
      </w:r>
    </w:p>
    <w:p w14:paraId="4E4AA43D" w14:textId="77777777" w:rsidR="0042340D" w:rsidRDefault="0042340D" w:rsidP="00116F79">
      <w:pPr>
        <w:pStyle w:val="RepNormal"/>
      </w:pPr>
      <w:r>
        <w:t>Māori</w:t>
      </w:r>
      <w:r w:rsidR="00116F79">
        <w:t xml:space="preserve"> past year participation in gambling-type games was 21% in 2015, approximately double that of the other three major ethnic groups.  </w:t>
      </w:r>
      <w:r>
        <w:t>Māori</w:t>
      </w:r>
      <w:r w:rsidR="00116F79">
        <w:t xml:space="preserve"> had higher participation rates across all waves.  The Pacific, Asian and European/</w:t>
      </w:r>
      <w:r>
        <w:t xml:space="preserve">Other </w:t>
      </w:r>
      <w:r w:rsidR="00116F79">
        <w:t xml:space="preserve">groups had similar participation rates in 2015 as well as in earlier waves.     </w:t>
      </w:r>
    </w:p>
    <w:p w14:paraId="208B9885" w14:textId="77777777" w:rsidR="00116F79" w:rsidRDefault="00116F79" w:rsidP="00116F79">
      <w:pPr>
        <w:pStyle w:val="RepNormal"/>
      </w:pPr>
      <w:r>
        <w:t xml:space="preserve">  </w:t>
      </w:r>
    </w:p>
    <w:p w14:paraId="2666F06C" w14:textId="77777777" w:rsidR="00116F79" w:rsidRDefault="00116F79" w:rsidP="00116F79">
      <w:pPr>
        <w:pStyle w:val="RepNormal"/>
      </w:pPr>
    </w:p>
    <w:p w14:paraId="56222B5C" w14:textId="77777777" w:rsidR="00116F79" w:rsidRPr="0042340D" w:rsidRDefault="00116F79" w:rsidP="00116F79">
      <w:pPr>
        <w:pStyle w:val="RepNormal"/>
        <w:rPr>
          <w:b/>
        </w:rPr>
      </w:pPr>
      <w:r w:rsidRPr="0042340D">
        <w:rPr>
          <w:b/>
        </w:rPr>
        <w:t>Problem and at-risk gambling prevalence: 2012-2015</w:t>
      </w:r>
    </w:p>
    <w:p w14:paraId="77E6573D" w14:textId="77777777" w:rsidR="00116F79" w:rsidRDefault="00116F79" w:rsidP="00116F79">
      <w:pPr>
        <w:pStyle w:val="RepNormal"/>
      </w:pPr>
    </w:p>
    <w:p w14:paraId="5AADB1CD" w14:textId="06C2CC05" w:rsidR="00116F79" w:rsidRDefault="00116F79" w:rsidP="00116F79">
      <w:pPr>
        <w:pStyle w:val="RepNormal"/>
      </w:pPr>
      <w:r>
        <w:t>In 2015</w:t>
      </w:r>
      <w:r w:rsidR="00295B91">
        <w:t>,</w:t>
      </w:r>
      <w:r>
        <w:t xml:space="preserve"> the PGSI problem gambling prevalence rate was 0.2% (</w:t>
      </w:r>
      <w:r w:rsidR="00AB215B">
        <w:t xml:space="preserve">95 % </w:t>
      </w:r>
      <w:r>
        <w:t>CI 0.1</w:t>
      </w:r>
      <w:r w:rsidR="00AB215B">
        <w:t xml:space="preserve"> </w:t>
      </w:r>
      <w:r>
        <w:t>-</w:t>
      </w:r>
      <w:r w:rsidR="00AB215B">
        <w:t xml:space="preserve"> </w:t>
      </w:r>
      <w:r>
        <w:t>0.4).  In 2012</w:t>
      </w:r>
      <w:r w:rsidR="00295B91">
        <w:t>,</w:t>
      </w:r>
      <w:r>
        <w:t xml:space="preserve"> the corresponding estimate was 0.6% (</w:t>
      </w:r>
      <w:r w:rsidR="00AB215B">
        <w:t xml:space="preserve">95% </w:t>
      </w:r>
      <w:r>
        <w:t>CI 0.4</w:t>
      </w:r>
      <w:r w:rsidR="00AB215B">
        <w:t xml:space="preserve"> </w:t>
      </w:r>
      <w:r>
        <w:t>-</w:t>
      </w:r>
      <w:r w:rsidR="00AB215B">
        <w:t xml:space="preserve"> </w:t>
      </w:r>
      <w:r>
        <w:t xml:space="preserve">0.9).  The </w:t>
      </w:r>
      <w:r w:rsidR="00295B91">
        <w:t xml:space="preserve">Wave </w:t>
      </w:r>
      <w:r>
        <w:t>2 and 3 estimates were 0.5% and 0.3%.  While this suggests a reduction in problem gambling prevalence over the course of the NGS</w:t>
      </w:r>
      <w:r w:rsidR="00295B91">
        <w:t>,</w:t>
      </w:r>
      <w:r>
        <w:t xml:space="preserve"> the confidence intervals for these estimates overlap.  Consequently</w:t>
      </w:r>
      <w:r w:rsidR="00295B91">
        <w:t>,</w:t>
      </w:r>
      <w:r>
        <w:t xml:space="preserve"> it cannot be concluded that the prevalence of problem gambling has decreased. </w:t>
      </w:r>
      <w:r w:rsidR="00295B91">
        <w:t xml:space="preserve"> </w:t>
      </w:r>
      <w:r>
        <w:t>The 2015 moderate-risk and low-risk gambling estimates are respectively 1.8% (</w:t>
      </w:r>
      <w:r w:rsidR="00AB215B">
        <w:t xml:space="preserve">95% CI </w:t>
      </w:r>
      <w:r>
        <w:t>1.2</w:t>
      </w:r>
      <w:r w:rsidR="00AB215B">
        <w:t xml:space="preserve"> </w:t>
      </w:r>
      <w:r>
        <w:t>-</w:t>
      </w:r>
      <w:r w:rsidR="00AB215B">
        <w:t xml:space="preserve"> </w:t>
      </w:r>
      <w:r>
        <w:t>2.5) and 4.6% (</w:t>
      </w:r>
      <w:r w:rsidR="00AB215B">
        <w:t xml:space="preserve">95% CI </w:t>
      </w:r>
      <w:r>
        <w:t>3.7</w:t>
      </w:r>
      <w:r w:rsidR="00AB215B">
        <w:t xml:space="preserve"> </w:t>
      </w:r>
      <w:r>
        <w:t>-</w:t>
      </w:r>
      <w:r w:rsidR="00AB215B">
        <w:t xml:space="preserve"> </w:t>
      </w:r>
      <w:r>
        <w:t xml:space="preserve">5.5), almost identical to the corresponding 2012, 2013 and 2014 estimates.  Replication of these results on four occasions greatly increases confidence in their accuracy.  </w:t>
      </w:r>
      <w:r w:rsidR="00C1438F">
        <w:t>T</w:t>
      </w:r>
      <w:r>
        <w:t>hese estimates are similar to those obtained from the 2010</w:t>
      </w:r>
      <w:r w:rsidR="00AE1A1A">
        <w:t>, 2012</w:t>
      </w:r>
      <w:r>
        <w:t xml:space="preserve"> and 201</w:t>
      </w:r>
      <w:r w:rsidR="00AE1A1A">
        <w:t>6</w:t>
      </w:r>
      <w:r>
        <w:t xml:space="preserve"> Health </w:t>
      </w:r>
      <w:r w:rsidR="00295B91">
        <w:t>and Lifestyle</w:t>
      </w:r>
      <w:r>
        <w:t xml:space="preserve"> </w:t>
      </w:r>
      <w:r w:rsidR="00295B91">
        <w:t>Surveys (Devli</w:t>
      </w:r>
      <w:r>
        <w:t>n &amp; Walton, 2012</w:t>
      </w:r>
      <w:r w:rsidR="00295B91">
        <w:t xml:space="preserve">; </w:t>
      </w:r>
      <w:r w:rsidR="00AE1A1A" w:rsidRPr="00AE1A1A">
        <w:t>Thimasarn-Anwar</w:t>
      </w:r>
      <w:r w:rsidR="00AE1A1A">
        <w:t xml:space="preserve"> et al.</w:t>
      </w:r>
      <w:r w:rsidR="00AE1A1A" w:rsidRPr="00AE1A1A">
        <w:t>, 2017</w:t>
      </w:r>
      <w:r w:rsidR="00AE1A1A">
        <w:t xml:space="preserve">; </w:t>
      </w:r>
      <w:r>
        <w:t>Tu, 2013) and, when adjusted for methodological differences, the 2006/7 and 2011/12 NZHS estimates (Abbott et al</w:t>
      </w:r>
      <w:r w:rsidR="00295B91">
        <w:t>.</w:t>
      </w:r>
      <w:r>
        <w:t>, 2016</w:t>
      </w:r>
      <w:r w:rsidR="00295B91">
        <w:t>a</w:t>
      </w:r>
      <w:r>
        <w:t>; Rossen, 2015).  Consequently, it appears that rates of problem and subclinical problem gambling continued to plateau from 2012</w:t>
      </w:r>
      <w:r w:rsidR="00AB215B">
        <w:t xml:space="preserve"> to </w:t>
      </w:r>
      <w:r>
        <w:t>2015.  While rates have apparently not changed during the past 15 years</w:t>
      </w:r>
      <w:r w:rsidR="00295B91">
        <w:t>,</w:t>
      </w:r>
      <w:r>
        <w:t xml:space="preserve"> the adult population has grown considerably.  This means that the number of people with gambling problems and experiencing gambling-related harm </w:t>
      </w:r>
      <w:r w:rsidR="00CB2705">
        <w:t>has</w:t>
      </w:r>
      <w:r>
        <w:t xml:space="preserve"> increased over this period (Armstrong, Thomas &amp; Abbott, 2017).</w:t>
      </w:r>
    </w:p>
    <w:p w14:paraId="548ADC04" w14:textId="77777777" w:rsidR="00116F79" w:rsidRDefault="00116F79" w:rsidP="00116F79">
      <w:pPr>
        <w:pStyle w:val="RepNormal"/>
      </w:pPr>
    </w:p>
    <w:p w14:paraId="6E27576C" w14:textId="77777777" w:rsidR="00116F79" w:rsidRDefault="00BA5ED1" w:rsidP="00116F79">
      <w:pPr>
        <w:pStyle w:val="RepNormal"/>
      </w:pPr>
      <w:r>
        <w:t>Due to</w:t>
      </w:r>
      <w:r w:rsidR="00116F79">
        <w:t xml:space="preserve"> the low number of problem gamblers, the problem and moderate-risk categories were combined</w:t>
      </w:r>
      <w:r>
        <w:t xml:space="preserve"> for purposes of analysis</w:t>
      </w:r>
      <w:r w:rsidR="00116F79">
        <w:t>.  This enabled assessment of differences betwe</w:t>
      </w:r>
      <w:r>
        <w:t>en socio</w:t>
      </w:r>
      <w:r w:rsidR="00116F79">
        <w:t xml:space="preserve">demographic groups and examination of relationships with gambling participation and other factors.  </w:t>
      </w:r>
      <w:r>
        <w:t xml:space="preserve">In </w:t>
      </w:r>
      <w:r w:rsidR="00116F79">
        <w:t>2015</w:t>
      </w:r>
      <w:r>
        <w:t>,</w:t>
      </w:r>
      <w:r w:rsidR="00116F79">
        <w:t xml:space="preserve"> </w:t>
      </w:r>
      <w:r>
        <w:t>Māori</w:t>
      </w:r>
      <w:r w:rsidR="00116F79">
        <w:t xml:space="preserve"> and Pacific adults had higher problem and moderate-risk prevalence rates than European/other and Asian</w:t>
      </w:r>
      <w:r>
        <w:t xml:space="preserve"> adult</w:t>
      </w:r>
      <w:r w:rsidR="00116F79">
        <w:t>s.  So too did adults who had high deprivation scores.  Rates did not differ by gender, age</w:t>
      </w:r>
      <w:r>
        <w:t>,</w:t>
      </w:r>
      <w:r w:rsidR="00116F79">
        <w:t xml:space="preserve"> migrant </w:t>
      </w:r>
      <w:r>
        <w:t xml:space="preserve">status </w:t>
      </w:r>
      <w:r w:rsidR="00116F79">
        <w:t>or labour force status.  Low-risk gambling rates did not differ by gender or migrant status</w:t>
      </w:r>
      <w:r>
        <w:t xml:space="preserve"> either</w:t>
      </w:r>
      <w:r w:rsidR="00116F79">
        <w:t>.  Younger adults (18</w:t>
      </w:r>
      <w:r w:rsidR="0046514A">
        <w:t> </w:t>
      </w:r>
      <w:r>
        <w:t xml:space="preserve">to </w:t>
      </w:r>
      <w:r w:rsidR="00116F79">
        <w:t>39</w:t>
      </w:r>
      <w:r>
        <w:t xml:space="preserve"> years</w:t>
      </w:r>
      <w:r w:rsidR="00116F79">
        <w:t>) did, however, have a higher rate of low-risk gambling than older (60+</w:t>
      </w:r>
      <w:r>
        <w:t xml:space="preserve"> years</w:t>
      </w:r>
      <w:r w:rsidR="00116F79">
        <w:t>) adults</w:t>
      </w:r>
      <w:r>
        <w:t>,</w:t>
      </w:r>
      <w:r w:rsidR="00116F79">
        <w:t xml:space="preserve"> and unemployed people had a higher rate than other groups outside the paid workforce.  Pacific adults had a higher rate of low-risk gambling than European/</w:t>
      </w:r>
      <w:r>
        <w:t xml:space="preserve">Other adults, </w:t>
      </w:r>
      <w:r w:rsidR="00116F79">
        <w:t xml:space="preserve">and higher deprivation was also associated with low-risk gambling.  Problem/moderate-risk and low-risk prevalence rates for the sociodemographic groups considered stayed much the same over the four study waves.        </w:t>
      </w:r>
    </w:p>
    <w:p w14:paraId="7651BF7F" w14:textId="77777777" w:rsidR="00116F79" w:rsidRDefault="00116F79" w:rsidP="00116F79">
      <w:pPr>
        <w:pStyle w:val="RepNormal"/>
      </w:pPr>
    </w:p>
    <w:p w14:paraId="392C4F51" w14:textId="77777777" w:rsidR="00116F79" w:rsidRDefault="00116F79" w:rsidP="00116F79">
      <w:pPr>
        <w:pStyle w:val="RepNormal"/>
      </w:pPr>
      <w:r>
        <w:t xml:space="preserve">As mentioned, in the 2012 survey, unemployed status was associated with problem gambling, along with male gender and </w:t>
      </w:r>
      <w:r w:rsidR="00BA5ED1">
        <w:t>Māori</w:t>
      </w:r>
      <w:r>
        <w:t xml:space="preserve"> and Pacific ethnicity.  A wider range of sociodemographic factors </w:t>
      </w:r>
      <w:r w:rsidR="00BA5ED1">
        <w:t>was</w:t>
      </w:r>
      <w:r>
        <w:t xml:space="preserve"> considered in the report on the 2012 survey (Abbott et al</w:t>
      </w:r>
      <w:r w:rsidR="00BA5ED1">
        <w:t>.</w:t>
      </w:r>
      <w:r>
        <w:t>, 2014</w:t>
      </w:r>
      <w:r w:rsidR="00BA5ED1">
        <w:t>b</w:t>
      </w:r>
      <w:r>
        <w:t xml:space="preserve">).  Some of these </w:t>
      </w:r>
      <w:r w:rsidR="00BA5ED1">
        <w:t xml:space="preserve">factors </w:t>
      </w:r>
      <w:r>
        <w:t xml:space="preserve">were also associated with problem gambling, namely low income, lack of formal educational qualifications, residence in high deprivation neighbourhoods and membership of non-Christian and non-traditional Christian churches.  </w:t>
      </w:r>
    </w:p>
    <w:p w14:paraId="73EBAAB8" w14:textId="77777777" w:rsidR="00116F79" w:rsidRDefault="00116F79" w:rsidP="00116F79">
      <w:pPr>
        <w:pStyle w:val="RepNormal"/>
      </w:pPr>
    </w:p>
    <w:p w14:paraId="33013BF2" w14:textId="77777777" w:rsidR="00116F79" w:rsidRDefault="00116F79" w:rsidP="00116F79">
      <w:pPr>
        <w:pStyle w:val="RepNormal"/>
      </w:pPr>
      <w:r>
        <w:t>In the 2015 wave</w:t>
      </w:r>
      <w:r w:rsidR="00BA5ED1">
        <w:t>,</w:t>
      </w:r>
      <w:r>
        <w:t xml:space="preserve"> problem/moderate risk rates were higher among adults who participated in multiple gambling </w:t>
      </w:r>
      <w:r w:rsidR="00AA7C33">
        <w:t>activities</w:t>
      </w:r>
      <w:r>
        <w:t xml:space="preserve">, gambled weekly, were regular continuous gamblers, </w:t>
      </w:r>
      <w:r w:rsidR="00AA7C33">
        <w:t xml:space="preserve">or </w:t>
      </w:r>
      <w:r>
        <w:t xml:space="preserve">spent </w:t>
      </w:r>
      <w:r w:rsidR="00B812D0">
        <w:t>more than</w:t>
      </w:r>
      <w:r>
        <w:t xml:space="preserve"> $100 </w:t>
      </w:r>
      <w:r w:rsidR="00B812D0">
        <w:t>per</w:t>
      </w:r>
      <w:r>
        <w:t xml:space="preserve"> month </w:t>
      </w:r>
      <w:r w:rsidR="00B812D0">
        <w:t xml:space="preserve">on </w:t>
      </w:r>
      <w:r>
        <w:t>gambling.  Low-risk rates were higher in some of these participation groups</w:t>
      </w:r>
      <w:r w:rsidR="00AA7C33">
        <w:t xml:space="preserve"> too</w:t>
      </w:r>
      <w:r>
        <w:t>.  This was also the case in the 2012</w:t>
      </w:r>
      <w:r w:rsidR="00B812D0">
        <w:t xml:space="preserve"> to </w:t>
      </w:r>
      <w:r>
        <w:t xml:space="preserve">2014 waves.  Around a third of adults who </w:t>
      </w:r>
      <w:r w:rsidR="00AA7C33">
        <w:t>gambled on</w:t>
      </w:r>
      <w:r>
        <w:t xml:space="preserve"> pub EGMs for 60 minutes or more on an average gambling day were problem/</w:t>
      </w:r>
      <w:r w:rsidR="00B812D0">
        <w:t xml:space="preserve"> </w:t>
      </w:r>
      <w:r>
        <w:t xml:space="preserve">moderate risk gamblers, substantially more than those who </w:t>
      </w:r>
      <w:r w:rsidR="00AA7C33">
        <w:t>gambled</w:t>
      </w:r>
      <w:r>
        <w:t xml:space="preserve"> for 30 minutes or less.  Sample size was not sufficient to detect differences with </w:t>
      </w:r>
      <w:r w:rsidR="00AA7C33">
        <w:t>regard</w:t>
      </w:r>
      <w:r>
        <w:t xml:space="preserve"> to time engaged </w:t>
      </w:r>
      <w:r w:rsidR="00AA7C33">
        <w:t>in</w:t>
      </w:r>
      <w:r>
        <w:t xml:space="preserve"> casino or club EGM</w:t>
      </w:r>
      <w:r w:rsidR="00AA7C33">
        <w:t xml:space="preserve"> gambling</w:t>
      </w:r>
      <w:r>
        <w:t xml:space="preserve">.  However, in </w:t>
      </w:r>
      <w:r w:rsidR="00AA7C33">
        <w:t>2012</w:t>
      </w:r>
      <w:r>
        <w:t xml:space="preserve">, with a larger sample, similar results were obtained </w:t>
      </w:r>
      <w:r w:rsidR="00AA7C33">
        <w:t xml:space="preserve">both </w:t>
      </w:r>
      <w:r>
        <w:t xml:space="preserve">for casino and club EGMs. </w:t>
      </w:r>
    </w:p>
    <w:p w14:paraId="51658A5B" w14:textId="77777777" w:rsidR="00116F79" w:rsidRDefault="00116F79" w:rsidP="00116F79">
      <w:pPr>
        <w:pStyle w:val="RepNormal"/>
      </w:pPr>
      <w:r>
        <w:t xml:space="preserve"> </w:t>
      </w:r>
    </w:p>
    <w:p w14:paraId="3F799DED" w14:textId="77777777" w:rsidR="00116F79" w:rsidRDefault="00116F79" w:rsidP="00116F79">
      <w:pPr>
        <w:pStyle w:val="RepNormal"/>
      </w:pPr>
      <w:r>
        <w:t>As mentioned earlier</w:t>
      </w:r>
      <w:r w:rsidR="00AA7C33">
        <w:t>,</w:t>
      </w:r>
      <w:r>
        <w:t xml:space="preserve"> participants’ typical monthly EGM expenditure remained much the same from 2012 to 2015</w:t>
      </w:r>
      <w:r w:rsidR="009A26B5">
        <w:t>,</w:t>
      </w:r>
      <w:r>
        <w:t xml:space="preserve"> and this applied across all three settings.  In 2015</w:t>
      </w:r>
      <w:r w:rsidR="009A26B5">
        <w:t>,</w:t>
      </w:r>
      <w:r>
        <w:t xml:space="preserve"> typical expenditure was $151 for moderate-risk and problem gamblers, $93 for low-risk gamblers and $36 for non-problem gamblers.  Across the four study waves</w:t>
      </w:r>
      <w:r w:rsidR="009A26B5">
        <w:t>,</w:t>
      </w:r>
      <w:r>
        <w:t xml:space="preserve"> confidence intervals overlapped and it is unlikely typical EGM expenditure changed in these groups, both overall and for participation in casino, pub and club settings.</w:t>
      </w:r>
    </w:p>
    <w:p w14:paraId="37AC50E9" w14:textId="77777777" w:rsidR="00116F79" w:rsidRDefault="00116F79" w:rsidP="00116F79">
      <w:pPr>
        <w:pStyle w:val="RepNormal"/>
      </w:pPr>
    </w:p>
    <w:p w14:paraId="68A8BCE1" w14:textId="77777777" w:rsidR="00116F79" w:rsidRDefault="00116F79" w:rsidP="00FB13FA">
      <w:pPr>
        <w:jc w:val="both"/>
      </w:pPr>
      <w:r>
        <w:t>Estimated annual total 2015 EGM expenditure</w:t>
      </w:r>
      <w:r w:rsidR="00002904">
        <w:rPr>
          <w:rStyle w:val="FootnoteReference"/>
        </w:rPr>
        <w:footnoteReference w:id="9"/>
      </w:r>
      <w:r>
        <w:t xml:space="preserve"> was $286 million, similar to the 2013 and 2014 estimates but lower than the 2012 estimate of $453 million.  At-risk and problem gamblers accounted for over half of total EGM expenditure in 2015 (moderate-risk and problem gamblers 28%; low-risk gamblers 24%).   </w:t>
      </w:r>
    </w:p>
    <w:p w14:paraId="2C62F375" w14:textId="77777777" w:rsidR="00CB2705" w:rsidRDefault="00CB2705" w:rsidP="00116F79">
      <w:pPr>
        <w:pStyle w:val="RepNormal"/>
      </w:pPr>
    </w:p>
    <w:p w14:paraId="6B22A2AC" w14:textId="77777777" w:rsidR="00CB2705" w:rsidRDefault="00022F5A" w:rsidP="00116F79">
      <w:pPr>
        <w:pStyle w:val="RepNormal"/>
      </w:pPr>
      <w:r w:rsidRPr="00022F5A">
        <w:t>In 2015</w:t>
      </w:r>
      <w:r>
        <w:t>,</w:t>
      </w:r>
      <w:r w:rsidRPr="00022F5A">
        <w:t xml:space="preserve"> around a fifth of moderate-risk and problem gamblers and just over a quarter of low-risk gamblers reported having participated in gambling type games not for money in the </w:t>
      </w:r>
      <w:r>
        <w:t xml:space="preserve">prior </w:t>
      </w:r>
      <w:r w:rsidRPr="00022F5A">
        <w:t xml:space="preserve">year.  Participation rates were lower for non-problem </w:t>
      </w:r>
      <w:r>
        <w:t xml:space="preserve">gamblers </w:t>
      </w:r>
      <w:r w:rsidRPr="00022F5A">
        <w:t>and non-gamblers.  These are similar to findings from the previous three waves.  They are consistent with previous research showing associations between participation in these types of activities and problem gambling (King &amp; Delfabbro, 2016).  The reasons for these associations remain uncer</w:t>
      </w:r>
      <w:r>
        <w:t>tain as they are based on cross-</w:t>
      </w:r>
      <w:r w:rsidRPr="00022F5A">
        <w:t>sectional and retrospective studies.  Gainsbury</w:t>
      </w:r>
      <w:r w:rsidR="00C66690">
        <w:t>, Russell, King, Delfabbro and Hing</w:t>
      </w:r>
      <w:r w:rsidRPr="00022F5A">
        <w:t xml:space="preserve"> (2016) found that problem</w:t>
      </w:r>
      <w:r>
        <w:t xml:space="preserve"> gamblers</w:t>
      </w:r>
      <w:r w:rsidRPr="00022F5A">
        <w:t xml:space="preserve"> and moderate-risk gamblers more often reported that they believed their gambling had increased </w:t>
      </w:r>
      <w:r>
        <w:t>because</w:t>
      </w:r>
      <w:r w:rsidRPr="00022F5A">
        <w:t xml:space="preserve"> of their involvement in online social casino games.  While this may have been the case and could have contributed to problematic gambling</w:t>
      </w:r>
      <w:r>
        <w:t>,</w:t>
      </w:r>
      <w:r w:rsidRPr="00022F5A">
        <w:t xml:space="preserve"> Gainsbury</w:t>
      </w:r>
      <w:r w:rsidR="00C66690">
        <w:t>, Hing, Delfabbro, Dewar and King</w:t>
      </w:r>
      <w:r w:rsidRPr="00022F5A">
        <w:t xml:space="preserve"> (2015) reported elsewhere that their problems were unlikely to have been initially caused by social casino game involvement.  It is also possible that some problem and at-risk gamblers engage in online gambling-like games as a distraction from gambling and/or a way of reducing gambling expenditure (Gainsbury et al</w:t>
      </w:r>
      <w:r>
        <w:t>.,</w:t>
      </w:r>
      <w:r w:rsidRPr="00022F5A">
        <w:t xml:space="preserve"> 2015).  Prospective studies are required to clarify the nature of relationships between gambling-like games, gambling activities and problem gambling.</w:t>
      </w:r>
    </w:p>
    <w:p w14:paraId="2AC79227" w14:textId="77777777" w:rsidR="00C66690" w:rsidRDefault="00C66690" w:rsidP="00116F79">
      <w:pPr>
        <w:pStyle w:val="RepNormal"/>
        <w:rPr>
          <w:highlight w:val="green"/>
        </w:rPr>
      </w:pPr>
    </w:p>
    <w:p w14:paraId="453EAAC6" w14:textId="77777777" w:rsidR="00116F79" w:rsidRDefault="00E85CEB" w:rsidP="00116F79">
      <w:pPr>
        <w:pStyle w:val="RepNormal"/>
      </w:pPr>
      <w:r>
        <w:t>In some waves, moderate-risk/problem and low-risk groups reported experiencing more major life events than non-problem groups.  However, this was inconsistent across waves.</w:t>
      </w:r>
    </w:p>
    <w:p w14:paraId="102A4826" w14:textId="77777777" w:rsidR="00116F79" w:rsidRDefault="00116F79" w:rsidP="00116F79">
      <w:pPr>
        <w:pStyle w:val="RepNormal"/>
      </w:pPr>
    </w:p>
    <w:p w14:paraId="6F15DFD8" w14:textId="3EA878FE" w:rsidR="00AE1A1A" w:rsidRDefault="00116F79" w:rsidP="00AE1A1A">
      <w:pPr>
        <w:pStyle w:val="RepNormal"/>
      </w:pPr>
      <w:r>
        <w:t>In 2015</w:t>
      </w:r>
      <w:r w:rsidR="00095B8A">
        <w:t>,</w:t>
      </w:r>
      <w:r>
        <w:t xml:space="preserve"> people who experienced high or severe psychological distress had substantially higher rates of problem/moderate-risk gambling than those who had reported low distress levels.  Similar results were obtained in earlier NGS waves.  In 2015</w:t>
      </w:r>
      <w:r w:rsidR="00095B8A">
        <w:t>,</w:t>
      </w:r>
      <w:r>
        <w:t xml:space="preserve"> the moderate and high distress groups had elevated low-risk gambling prevalence relative to the low distress group.  This was also the case in 2012 and 2013, but not 2014.  As mentioned in the </w:t>
      </w:r>
      <w:r w:rsidRPr="00E85CEB">
        <w:t>introduction</w:t>
      </w:r>
      <w:r w:rsidR="00095B8A" w:rsidRPr="00E85CEB">
        <w:t>,</w:t>
      </w:r>
      <w:r w:rsidRPr="00E85CEB">
        <w:t xml:space="preserve"> experience of </w:t>
      </w:r>
      <w:r w:rsidR="005B7477" w:rsidRPr="00E85CEB">
        <w:t>major</w:t>
      </w:r>
      <w:r w:rsidRPr="00E85CEB">
        <w:t xml:space="preserve"> life events and psychological distress are among the most consistently found correlates of </w:t>
      </w:r>
      <w:r w:rsidR="00E85CEB" w:rsidRPr="00E85CEB">
        <w:t xml:space="preserve">at-risk and </w:t>
      </w:r>
      <w:r w:rsidRPr="00E85CEB">
        <w:t>problem gambling.  The NGS and other recent prospective studies</w:t>
      </w:r>
      <w:r>
        <w:t xml:space="preserve"> have found that they are also predictors of the onset of problem and moderate-risk gambling.  </w:t>
      </w:r>
      <w:r w:rsidR="00AE1A1A">
        <w:t>Thus, t</w:t>
      </w:r>
      <w:r w:rsidR="00AE1A1A" w:rsidRPr="00C04746">
        <w:t>o reduce gambling-related</w:t>
      </w:r>
      <w:r w:rsidR="00AE1A1A">
        <w:t xml:space="preserve"> harm, it is important that attention is given to modifiable risk and protective factors such as economic and social disparities, employment and educational attainment, as well as mental health and addiction disorders generally.  </w:t>
      </w:r>
    </w:p>
    <w:p w14:paraId="4A5E6901" w14:textId="77777777" w:rsidR="00702C95" w:rsidRDefault="00702C95" w:rsidP="00116F79">
      <w:pPr>
        <w:pStyle w:val="RepNormal"/>
      </w:pPr>
    </w:p>
    <w:p w14:paraId="22EF1B77" w14:textId="77777777" w:rsidR="00702C95" w:rsidRDefault="00702C95" w:rsidP="00116F79">
      <w:pPr>
        <w:pStyle w:val="RepNormal"/>
      </w:pPr>
    </w:p>
    <w:p w14:paraId="49FD5E60" w14:textId="77777777" w:rsidR="00DF404E" w:rsidRPr="00DF404E" w:rsidRDefault="00DF404E" w:rsidP="00DF404E">
      <w:pPr>
        <w:pStyle w:val="RepNormal"/>
        <w:rPr>
          <w:b/>
        </w:rPr>
      </w:pPr>
      <w:r w:rsidRPr="00DF404E">
        <w:rPr>
          <w:b/>
        </w:rPr>
        <w:t xml:space="preserve">Methods to </w:t>
      </w:r>
      <w:r w:rsidR="00702C95">
        <w:rPr>
          <w:b/>
        </w:rPr>
        <w:t>stop gambling too much and help-</w:t>
      </w:r>
      <w:r w:rsidRPr="00DF404E">
        <w:rPr>
          <w:b/>
        </w:rPr>
        <w:t>seeking</w:t>
      </w:r>
    </w:p>
    <w:p w14:paraId="181A60EB" w14:textId="77777777" w:rsidR="00DF404E" w:rsidRDefault="00DF404E" w:rsidP="00DF404E">
      <w:pPr>
        <w:pStyle w:val="RepNormal"/>
      </w:pPr>
    </w:p>
    <w:p w14:paraId="4704DB42" w14:textId="4C144AF3" w:rsidR="00DF404E" w:rsidRPr="0038107A" w:rsidRDefault="00DF404E" w:rsidP="00DF404E">
      <w:pPr>
        <w:pStyle w:val="RepNormal"/>
      </w:pPr>
      <w:r w:rsidRPr="0038107A">
        <w:t xml:space="preserve">Past year gamblers reported </w:t>
      </w:r>
      <w:r w:rsidR="008B5781" w:rsidRPr="0038107A">
        <w:t xml:space="preserve">using </w:t>
      </w:r>
      <w:r w:rsidRPr="0038107A">
        <w:t xml:space="preserve">a variety of methods </w:t>
      </w:r>
      <w:r w:rsidR="00423C50" w:rsidRPr="0038107A">
        <w:t>to attempt</w:t>
      </w:r>
      <w:r w:rsidRPr="0038107A">
        <w:t xml:space="preserve"> to moderate their gambling.  Only one, setting money limits on gambling before leaving home, was used by more than ten percent of participants.  The proportion doing so was lower in </w:t>
      </w:r>
      <w:r w:rsidR="00702C95" w:rsidRPr="0038107A">
        <w:t xml:space="preserve">Wave </w:t>
      </w:r>
      <w:r w:rsidRPr="0038107A">
        <w:t>4 than it was</w:t>
      </w:r>
      <w:r w:rsidR="00702C95" w:rsidRPr="0038107A">
        <w:t xml:space="preserve"> in Waves</w:t>
      </w:r>
      <w:r w:rsidRPr="0038107A">
        <w:t xml:space="preserve"> 1 and 3.  The next most often used method, separating betting money from other money and stopping when it was used, was reported by around two percent of participants in </w:t>
      </w:r>
      <w:r w:rsidR="00702C95" w:rsidRPr="0038107A">
        <w:t xml:space="preserve">Waves </w:t>
      </w:r>
      <w:r w:rsidRPr="0038107A">
        <w:t xml:space="preserve">2 </w:t>
      </w:r>
      <w:r w:rsidR="00702C95" w:rsidRPr="0038107A">
        <w:t>and</w:t>
      </w:r>
      <w:r w:rsidRPr="0038107A">
        <w:t xml:space="preserve"> 3, slightly less often than reported in </w:t>
      </w:r>
      <w:r w:rsidR="00702C95" w:rsidRPr="0038107A">
        <w:t xml:space="preserve">Wave </w:t>
      </w:r>
      <w:r w:rsidRPr="0038107A">
        <w:t xml:space="preserve">1.  Other methods were reported less frequently and did not change across the four survey waves.  It is not known why there was a slight reduction in use over time for two of the methods.  The </w:t>
      </w:r>
      <w:r w:rsidR="00702C95" w:rsidRPr="0038107A">
        <w:t>Māori</w:t>
      </w:r>
      <w:r w:rsidRPr="0038107A">
        <w:t xml:space="preserve"> findings were fairly similar to those for the population as a whole.  While most gambling participants do not apparently use deliberate strategies to control time and/or money spen</w:t>
      </w:r>
      <w:r w:rsidR="00702C95" w:rsidRPr="0038107A">
        <w:t xml:space="preserve">t </w:t>
      </w:r>
      <w:r w:rsidR="000A4FDF" w:rsidRPr="0038107A">
        <w:t>to</w:t>
      </w:r>
      <w:r w:rsidR="00702C95" w:rsidRPr="0038107A">
        <w:t xml:space="preserve"> control gambling, in Wave 4</w:t>
      </w:r>
      <w:r w:rsidRPr="0038107A">
        <w:t>, as in earlier phases of the study, at-risk and problem gamblers did so much more frequently than non-problem gamblers (Abbott et al</w:t>
      </w:r>
      <w:r w:rsidR="00702C95" w:rsidRPr="0038107A">
        <w:t>.</w:t>
      </w:r>
      <w:r w:rsidRPr="0038107A">
        <w:t>, 2014</w:t>
      </w:r>
      <w:r w:rsidR="00702C95" w:rsidRPr="0038107A">
        <w:t>b</w:t>
      </w:r>
      <w:r w:rsidRPr="0038107A">
        <w:t>, 2015</w:t>
      </w:r>
      <w:r w:rsidR="00702C95" w:rsidRPr="0038107A">
        <w:t>b</w:t>
      </w:r>
      <w:r w:rsidRPr="0038107A">
        <w:t>, 2016</w:t>
      </w:r>
      <w:r w:rsidR="00702C95" w:rsidRPr="0038107A">
        <w:t>a</w:t>
      </w:r>
      <w:r w:rsidRPr="0038107A">
        <w:t xml:space="preserve">). </w:t>
      </w:r>
      <w:r w:rsidR="00702C95" w:rsidRPr="0038107A">
        <w:t xml:space="preserve"> </w:t>
      </w:r>
      <w:r w:rsidRPr="0038107A">
        <w:t>This is not surprising</w:t>
      </w:r>
      <w:r w:rsidR="00702C95" w:rsidRPr="0038107A">
        <w:t xml:space="preserve"> as</w:t>
      </w:r>
      <w:r w:rsidRPr="0038107A">
        <w:t xml:space="preserve"> they had greater reason to do so.  In earlier </w:t>
      </w:r>
      <w:r w:rsidR="00702C95" w:rsidRPr="0038107A">
        <w:t>waves</w:t>
      </w:r>
      <w:r w:rsidRPr="0038107A">
        <w:t xml:space="preserve"> it was found that while the large majority of people who reported using these methods found them to be helpful, problem gamblers less often reported that they were effective.</w:t>
      </w:r>
    </w:p>
    <w:p w14:paraId="205C3C2F" w14:textId="77777777" w:rsidR="00DF404E" w:rsidRPr="0038107A" w:rsidRDefault="00DF404E" w:rsidP="00DF404E">
      <w:pPr>
        <w:pStyle w:val="RepNormal"/>
      </w:pPr>
    </w:p>
    <w:p w14:paraId="0D7D9C50" w14:textId="438AD5F6" w:rsidR="00DF404E" w:rsidRDefault="00DF404E" w:rsidP="00DF404E">
      <w:pPr>
        <w:pStyle w:val="RepNormal"/>
      </w:pPr>
      <w:r w:rsidRPr="0038107A">
        <w:t>In each of the four waves</w:t>
      </w:r>
      <w:r w:rsidR="00BA049D" w:rsidRPr="0038107A">
        <w:t>,</w:t>
      </w:r>
      <w:r w:rsidRPr="0038107A">
        <w:t xml:space="preserve"> between 0.2% </w:t>
      </w:r>
      <w:r w:rsidR="00702C95" w:rsidRPr="0038107A">
        <w:t>and</w:t>
      </w:r>
      <w:r w:rsidRPr="0038107A">
        <w:t xml:space="preserve"> 0.4% of adults reported having sought help</w:t>
      </w:r>
      <w:r w:rsidR="00BA049D" w:rsidRPr="0038107A">
        <w:t xml:space="preserve"> for a gambling problem, either formal or informal, </w:t>
      </w:r>
      <w:r w:rsidRPr="0038107A">
        <w:t xml:space="preserve">during the past 12 months.  Help-seeking proportions, in </w:t>
      </w:r>
      <w:r w:rsidR="00BA049D" w:rsidRPr="0038107A">
        <w:t xml:space="preserve">Waves </w:t>
      </w:r>
      <w:r w:rsidRPr="0038107A">
        <w:t xml:space="preserve">2 to 4, are similar to problem gambling past 12 months prevalence rates.  Smaller </w:t>
      </w:r>
      <w:r w:rsidR="000A4FDF" w:rsidRPr="0038107A">
        <w:t>proportions</w:t>
      </w:r>
      <w:r w:rsidRPr="0038107A">
        <w:t xml:space="preserve">, around 0.1%, reported seeking help </w:t>
      </w:r>
      <w:r w:rsidR="00423C50" w:rsidRPr="0038107A">
        <w:t xml:space="preserve">specifically </w:t>
      </w:r>
      <w:r w:rsidRPr="0038107A">
        <w:t xml:space="preserve">from gambling treatment services.  </w:t>
      </w:r>
      <w:r w:rsidR="00BA049D" w:rsidRPr="0038107A">
        <w:t>Māori</w:t>
      </w:r>
      <w:r w:rsidRPr="0038107A">
        <w:t xml:space="preserve"> help-seeking rates were somewhat higher although</w:t>
      </w:r>
      <w:r w:rsidR="00BA049D" w:rsidRPr="0038107A">
        <w:t>,</w:t>
      </w:r>
      <w:r w:rsidRPr="0038107A">
        <w:t xml:space="preserve"> given the small numbers involved</w:t>
      </w:r>
      <w:r w:rsidR="00BA049D" w:rsidRPr="0038107A">
        <w:t>,</w:t>
      </w:r>
      <w:r w:rsidRPr="0038107A">
        <w:t xml:space="preserve"> caution is required in their interpretation.  Small sample size precluded consid</w:t>
      </w:r>
      <w:r w:rsidR="00BA049D" w:rsidRPr="0038107A">
        <w:t>eration of other ethnic groups.</w:t>
      </w:r>
      <w:r w:rsidRPr="0038107A">
        <w:t xml:space="preserve">  The great majority of people who seek formal help for problem gambling have scores within the PGSI problem gambling range, generally at the high end.  This topic is covered in detail in the second NGS report (Abbott</w:t>
      </w:r>
      <w:r w:rsidR="00BA049D" w:rsidRPr="0038107A">
        <w:t xml:space="preserve"> et al.</w:t>
      </w:r>
      <w:r w:rsidRPr="0038107A">
        <w:t>, 2014</w:t>
      </w:r>
      <w:r w:rsidR="00BA049D" w:rsidRPr="0038107A">
        <w:t>b</w:t>
      </w:r>
      <w:r w:rsidRPr="0038107A">
        <w:t xml:space="preserve">).  In </w:t>
      </w:r>
      <w:r w:rsidR="00BA049D" w:rsidRPr="0038107A">
        <w:t xml:space="preserve">Wave 1 </w:t>
      </w:r>
      <w:r w:rsidRPr="0038107A">
        <w:t xml:space="preserve">around a third of problem gamblers and a fifth of moderate-risk gamblers reported having sought help to reduce or stop gambling.  Proportionately more </w:t>
      </w:r>
      <w:r w:rsidR="00BA049D" w:rsidRPr="0038107A">
        <w:t>Māori</w:t>
      </w:r>
      <w:r w:rsidRPr="0038107A">
        <w:t xml:space="preserve"> sought help.  Informal help, </w:t>
      </w:r>
      <w:r w:rsidR="00BA049D" w:rsidRPr="0038107A">
        <w:t>for example,</w:t>
      </w:r>
      <w:r w:rsidRPr="0038107A">
        <w:t xml:space="preserve"> from friends and family, was mentioned most often, followed by a helpline, community support groups, counsellors and doctors.  Most people who received help believe </w:t>
      </w:r>
      <w:r w:rsidR="00423C50" w:rsidRPr="0038107A">
        <w:t xml:space="preserve">that </w:t>
      </w:r>
      <w:r w:rsidRPr="0038107A">
        <w:t>it assisted.  Support, encouragement and assurance was mentioned most often in this regard, followed by counselling and having their money limited or controlled in some way.  These findings suggest</w:t>
      </w:r>
      <w:r>
        <w:t xml:space="preserve"> that informal assistance plays an important role in assisting people to moderate their gambling and reduce problems.  It no doubt helps explain why many people overcome their problems without formal treatment.  Gambling helpline services in New Zealand have also been shown to be effective in assisting people with serious gambling problems, with effects persisting for at least three years post-treatment (Abbott  </w:t>
      </w:r>
      <w:r w:rsidR="00BA049D">
        <w:t>et al., 2015c</w:t>
      </w:r>
      <w:r>
        <w:t xml:space="preserve">).     </w:t>
      </w:r>
    </w:p>
    <w:p w14:paraId="26E2563F" w14:textId="77777777" w:rsidR="00DF404E" w:rsidRDefault="00DF404E" w:rsidP="00DF404E">
      <w:pPr>
        <w:pStyle w:val="RepNormal"/>
      </w:pPr>
    </w:p>
    <w:p w14:paraId="541376AB" w14:textId="77777777" w:rsidR="00DF404E" w:rsidRDefault="00DF404E" w:rsidP="00DF404E">
      <w:pPr>
        <w:pStyle w:val="RepNormal"/>
      </w:pPr>
      <w:r>
        <w:t xml:space="preserve">While most problem </w:t>
      </w:r>
      <w:r w:rsidR="00E37516">
        <w:t xml:space="preserve">gamblers </w:t>
      </w:r>
      <w:r>
        <w:t xml:space="preserve">and moderate-risk gamblers who seek help consider it to be helpful, the NGS and similar studies in Sweden, Victoria and Canada show that high proportions of past problem gamblers relapse.  Additionally, many moderate-risk and problem gamblers do not report seeking help of any kind.  In each of the NGS </w:t>
      </w:r>
      <w:r w:rsidR="00E37516">
        <w:t>waves</w:t>
      </w:r>
      <w:r>
        <w:t xml:space="preserve"> only 1.6% </w:t>
      </w:r>
      <w:r w:rsidR="00E37516">
        <w:t xml:space="preserve">to </w:t>
      </w:r>
      <w:r>
        <w:t>4.2% of moderate-risk and problem gamblers reported having sought professional treatment for a gambling problem during the preceding 12 months.  Barriers to help-seeking have been examined in New Zealand and elsewhere (Bellringer</w:t>
      </w:r>
      <w:r w:rsidR="00C66690">
        <w:t>, Pulford, Abbott, DeSouza &amp; Clarke</w:t>
      </w:r>
      <w:r>
        <w:t>, 2008; Clarke</w:t>
      </w:r>
      <w:r w:rsidR="00C66690">
        <w:t>, Abbott, DeSouza &amp; Bellringer</w:t>
      </w:r>
      <w:r>
        <w:t>, 2007; Pulford et al</w:t>
      </w:r>
      <w:r w:rsidR="00E37516">
        <w:t>.</w:t>
      </w:r>
      <w:r>
        <w:t>, 2009a, 2009b).  Pride, shame and denial are most often mentioned as reasons for not seeking help.  Financial problems, relationship strain and breakdown</w:t>
      </w:r>
      <w:r w:rsidR="000A4FDF">
        <w:t>,</w:t>
      </w:r>
      <w:r>
        <w:t xml:space="preserve"> and psychological and physical health problems are most often mentioned as reasons for seeking help.  The foregoing findings suggest there is potential through public awareness and other programmes to promote and increase the use of self-monitoring and control of gambling participation to prevent or reduce problematic gambling and to encourage help-seeking when problems start to arise.  This could </w:t>
      </w:r>
      <w:r w:rsidR="00E37516">
        <w:t>involve</w:t>
      </w:r>
      <w:r>
        <w:t xml:space="preserve"> public education about ways to support people experiencing gambling-related difficulties and harm, including mental health first aid and ways </w:t>
      </w:r>
      <w:r w:rsidR="00E37516">
        <w:t xml:space="preserve">to </w:t>
      </w:r>
      <w:r>
        <w:t>assist people to receive appropriate professional assistance.  There is potential to significantly increase the provision and use of online education, treatment and support.  Given the psychological barriers including pride and shame, online services may be more acceptable to man</w:t>
      </w:r>
      <w:r w:rsidR="00E37516">
        <w:t>y at-risk and problem gamblers.</w:t>
      </w:r>
      <w:r>
        <w:t xml:space="preserve">  Further research is required to examine potential cultural and other differences </w:t>
      </w:r>
      <w:r w:rsidR="00E37516">
        <w:t>in regard</w:t>
      </w:r>
      <w:r>
        <w:t xml:space="preserve"> to the use of strategies to self-moderate gambling, informal support and treatment seeking</w:t>
      </w:r>
      <w:r w:rsidR="000A4FDF">
        <w:t xml:space="preserve"> behaviours</w:t>
      </w:r>
      <w:r>
        <w:t xml:space="preserve">.    </w:t>
      </w:r>
    </w:p>
    <w:p w14:paraId="09BC586A" w14:textId="77777777" w:rsidR="00116F79" w:rsidRDefault="00116F79" w:rsidP="00116F79">
      <w:pPr>
        <w:pStyle w:val="RepNormal"/>
      </w:pPr>
    </w:p>
    <w:p w14:paraId="19988944" w14:textId="77777777" w:rsidR="00116F79" w:rsidRDefault="00116F79" w:rsidP="00116F79">
      <w:pPr>
        <w:pStyle w:val="RepNormal"/>
      </w:pPr>
    </w:p>
    <w:p w14:paraId="0BD6B65F" w14:textId="77777777" w:rsidR="00116F79" w:rsidRPr="00095B8A" w:rsidRDefault="00116F79" w:rsidP="00AE1A1A">
      <w:pPr>
        <w:pStyle w:val="RepNormal"/>
        <w:keepNext/>
        <w:rPr>
          <w:b/>
        </w:rPr>
      </w:pPr>
      <w:r w:rsidRPr="00E22426">
        <w:rPr>
          <w:b/>
        </w:rPr>
        <w:t>Sociodemographic</w:t>
      </w:r>
      <w:r w:rsidR="004F031C" w:rsidRPr="00E22426">
        <w:rPr>
          <w:b/>
        </w:rPr>
        <w:t>s</w:t>
      </w:r>
      <w:r w:rsidRPr="00E22426">
        <w:rPr>
          <w:b/>
        </w:rPr>
        <w:t>, health and wellbeing</w:t>
      </w:r>
    </w:p>
    <w:p w14:paraId="471F049F" w14:textId="77777777" w:rsidR="00116F79" w:rsidRDefault="00116F79" w:rsidP="00AE1A1A">
      <w:pPr>
        <w:pStyle w:val="RepNormal"/>
        <w:keepNext/>
      </w:pPr>
    </w:p>
    <w:p w14:paraId="0C0124C0" w14:textId="77777777" w:rsidR="00116F79" w:rsidRDefault="00116F79" w:rsidP="00AE1A1A">
      <w:pPr>
        <w:pStyle w:val="RepNormal"/>
        <w:keepNext/>
      </w:pPr>
      <w:r>
        <w:t>While not a direct focus of the NGS, a number of factors additional to gambling were examined.  As mentioned in the results section, over the course of the study</w:t>
      </w:r>
      <w:r w:rsidR="004F031C">
        <w:t>,</w:t>
      </w:r>
      <w:r>
        <w:t xml:space="preserve"> employment rates and household size remained the same.  So too did quality of life and psychological distress.  On other measures</w:t>
      </w:r>
      <w:r w:rsidR="004F031C">
        <w:t>,</w:t>
      </w:r>
      <w:r>
        <w:t xml:space="preserve"> changes were apparent.  By </w:t>
      </w:r>
      <w:r w:rsidR="004F031C">
        <w:t>W</w:t>
      </w:r>
      <w:r>
        <w:t>ave</w:t>
      </w:r>
      <w:r w:rsidR="004F031C">
        <w:t xml:space="preserve"> 4</w:t>
      </w:r>
      <w:r>
        <w:t xml:space="preserve"> there was a reduction in the proportions of adults reporting low annual income, higher levels of deprivation and four or more </w:t>
      </w:r>
      <w:r w:rsidR="00CA4170">
        <w:t>major</w:t>
      </w:r>
      <w:r>
        <w:t xml:space="preserve"> life events.  There were also decreases in hazardous alcohol consumption, cannabis use, other drug use and daily tobacco smoking.  </w:t>
      </w:r>
    </w:p>
    <w:p w14:paraId="22EB9D30" w14:textId="77777777" w:rsidR="00116F79" w:rsidRDefault="00116F79" w:rsidP="00116F79">
      <w:pPr>
        <w:pStyle w:val="RepNormal"/>
      </w:pPr>
    </w:p>
    <w:p w14:paraId="43FA0032" w14:textId="77777777" w:rsidR="00116F79" w:rsidRDefault="00116F79" w:rsidP="00116F79">
      <w:pPr>
        <w:pStyle w:val="RepNormal"/>
      </w:pPr>
      <w:r>
        <w:t xml:space="preserve">In 2015, relative to adults generally, </w:t>
      </w:r>
      <w:r w:rsidR="00CA4170">
        <w:t>Māori</w:t>
      </w:r>
      <w:r>
        <w:t xml:space="preserve"> had higher rates of cannabis use, other drug use and lifetime and current daily tobacco smoking.  On other health and wellbeing measures they did not differ from the general population.  From 2012 to 2015, as for the adult population as a whole, there were reductions in hazardous alcohol consumption, cannabis use and other drug use.  Changes were not found for the other measures including daily smoking.  In 2015</w:t>
      </w:r>
      <w:r w:rsidR="00CA4170">
        <w:t>,</w:t>
      </w:r>
      <w:r>
        <w:t xml:space="preserve"> Pacific adults </w:t>
      </w:r>
      <w:r w:rsidR="00CA4170">
        <w:t xml:space="preserve">generally </w:t>
      </w:r>
      <w:r>
        <w:t>only differed from other adults in that they had less often ever smoked tobacco and were less likely to have since stopped smoking.  No change was evident from 2012 to 2015 on the health and wellbeing measures</w:t>
      </w:r>
      <w:r w:rsidR="00E22426">
        <w:t>,</w:t>
      </w:r>
      <w:r>
        <w:t xml:space="preserve"> apart from a slight reduction in the proportion </w:t>
      </w:r>
      <w:r w:rsidR="00CA4170">
        <w:t>who</w:t>
      </w:r>
      <w:r>
        <w:t xml:space="preserve"> experienced </w:t>
      </w:r>
      <w:r w:rsidR="00CA4170">
        <w:t>five</w:t>
      </w:r>
      <w:r>
        <w:t xml:space="preserve"> or more life events in the past year.  In 2015</w:t>
      </w:r>
      <w:r w:rsidR="00CA4170">
        <w:t>,</w:t>
      </w:r>
      <w:r>
        <w:t xml:space="preserve"> Asian adults compared to adults generally</w:t>
      </w:r>
      <w:r w:rsidR="00CA4170">
        <w:t>,</w:t>
      </w:r>
      <w:r>
        <w:t xml:space="preserve"> more often reported experiencing no </w:t>
      </w:r>
      <w:r w:rsidR="00CA4170">
        <w:t>major</w:t>
      </w:r>
      <w:r>
        <w:t xml:space="preserve"> life events.  They also had substantially lower rates of hazardous alcohol consumption, cannabis use, other drug use and lifetime and current tobacco smoking.  There was no change on any of these measures across the four NGS waves.</w:t>
      </w:r>
    </w:p>
    <w:p w14:paraId="68E65C1F" w14:textId="77777777" w:rsidR="00116F79" w:rsidRDefault="00116F79" w:rsidP="00116F79">
      <w:pPr>
        <w:pStyle w:val="RepNormal"/>
      </w:pPr>
    </w:p>
    <w:p w14:paraId="686908EC" w14:textId="77777777" w:rsidR="00CA4170" w:rsidRDefault="00CA4170" w:rsidP="00116F79">
      <w:pPr>
        <w:pStyle w:val="RepNormal"/>
      </w:pPr>
    </w:p>
    <w:p w14:paraId="208822A6" w14:textId="77777777" w:rsidR="00116F79" w:rsidRPr="00CA4170" w:rsidRDefault="00C66690" w:rsidP="00FE4C81">
      <w:pPr>
        <w:pStyle w:val="RepNormal"/>
        <w:keepNext/>
        <w:rPr>
          <w:b/>
        </w:rPr>
      </w:pPr>
      <w:r>
        <w:rPr>
          <w:b/>
        </w:rPr>
        <w:t>Incidence and t</w:t>
      </w:r>
      <w:r w:rsidR="00116F79" w:rsidRPr="00CA4170">
        <w:rPr>
          <w:b/>
        </w:rPr>
        <w:t xml:space="preserve">ransitions </w:t>
      </w:r>
    </w:p>
    <w:p w14:paraId="21A5F6C6" w14:textId="77777777" w:rsidR="00116F79" w:rsidRDefault="00116F79" w:rsidP="00FE4C81">
      <w:pPr>
        <w:pStyle w:val="RepNormal"/>
        <w:keepNext/>
      </w:pPr>
    </w:p>
    <w:p w14:paraId="76F8D3CE" w14:textId="77777777" w:rsidR="00116F79" w:rsidRDefault="00116F79" w:rsidP="00FE4C81">
      <w:pPr>
        <w:pStyle w:val="RepNormal"/>
        <w:keepNext/>
      </w:pPr>
      <w:r>
        <w:t xml:space="preserve">As for the NGS </w:t>
      </w:r>
      <w:r w:rsidR="00A94FEB">
        <w:t xml:space="preserve">Wave </w:t>
      </w:r>
      <w:r>
        <w:t xml:space="preserve">2 and </w:t>
      </w:r>
      <w:r w:rsidR="00A94FEB">
        <w:t xml:space="preserve">Wave </w:t>
      </w:r>
      <w:r>
        <w:t xml:space="preserve">3 reports, the main focus </w:t>
      </w:r>
      <w:r w:rsidR="00A94FEB">
        <w:t xml:space="preserve">in Wave 4 </w:t>
      </w:r>
      <w:r>
        <w:t>is the onset of risk</w:t>
      </w:r>
      <w:r w:rsidR="00A94FEB">
        <w:t>y</w:t>
      </w:r>
      <w:r>
        <w:t xml:space="preserve"> and problem gambling (incidence), risk and problem remission and factors that precede and predict these and other transitions of interest.  </w:t>
      </w:r>
    </w:p>
    <w:p w14:paraId="42E289C9" w14:textId="77777777" w:rsidR="00116F79" w:rsidRDefault="00116F79" w:rsidP="00116F79">
      <w:pPr>
        <w:pStyle w:val="RepNormal"/>
      </w:pPr>
    </w:p>
    <w:p w14:paraId="07CCB8EB" w14:textId="77777777" w:rsidR="00116F79" w:rsidRDefault="007239FD" w:rsidP="00116F79">
      <w:pPr>
        <w:pStyle w:val="RepNormal"/>
      </w:pPr>
      <w:r w:rsidRPr="00FE4C81">
        <w:t>In 2015, the problem gambling incidence rate was 0.10 (</w:t>
      </w:r>
      <w:r w:rsidR="000870FF">
        <w:t xml:space="preserve">95% </w:t>
      </w:r>
      <w:r w:rsidRPr="00FE4C81">
        <w:t>CI 0.00</w:t>
      </w:r>
      <w:r w:rsidR="000870FF">
        <w:t xml:space="preserve"> -</w:t>
      </w:r>
      <w:r w:rsidRPr="00FE4C81">
        <w:t xml:space="preserve"> 0.19).  Incidence rates for moderate-risk and low-risk gambling were respectively 1.15 (</w:t>
      </w:r>
      <w:r w:rsidR="000870FF">
        <w:t xml:space="preserve">95% </w:t>
      </w:r>
      <w:r w:rsidRPr="00FE4C81">
        <w:t>CI 0.55</w:t>
      </w:r>
      <w:r w:rsidR="000870FF">
        <w:t xml:space="preserve"> - 1.76) and 3.25 </w:t>
      </w:r>
      <w:r w:rsidRPr="00FE4C81">
        <w:t>(</w:t>
      </w:r>
      <w:r w:rsidR="000870FF">
        <w:t xml:space="preserve">95% </w:t>
      </w:r>
      <w:r w:rsidRPr="00FE4C81">
        <w:t>CI 2.42</w:t>
      </w:r>
      <w:r w:rsidR="000870FF">
        <w:t xml:space="preserve"> -</w:t>
      </w:r>
      <w:r w:rsidRPr="00FE4C81">
        <w:t xml:space="preserve"> 4.09).  It was estimated that 33.3% (</w:t>
      </w:r>
      <w:r w:rsidR="000870FF">
        <w:t xml:space="preserve">95% </w:t>
      </w:r>
      <w:r w:rsidRPr="00FE4C81">
        <w:t>CI 13.3</w:t>
      </w:r>
      <w:r w:rsidR="000870FF">
        <w:t xml:space="preserve"> -</w:t>
      </w:r>
      <w:r w:rsidRPr="00FE4C81">
        <w:t xml:space="preserve"> 53.3) of the problem gambling incident cases were first time problem gamblers.  The corresponding estimate for moderate-risk gamblers was 71.2% (</w:t>
      </w:r>
      <w:r w:rsidR="000870FF">
        <w:t xml:space="preserve">95% </w:t>
      </w:r>
      <w:r w:rsidRPr="00FE4C81">
        <w:t>CI 54.1</w:t>
      </w:r>
      <w:r w:rsidR="000870FF">
        <w:t xml:space="preserve"> -</w:t>
      </w:r>
      <w:r w:rsidRPr="00FE4C81">
        <w:t xml:space="preserve"> 88.3).  The estimate for the combined moderate-risk and problem incident cases was 70.0% (</w:t>
      </w:r>
      <w:r w:rsidR="000870FF">
        <w:t xml:space="preserve">95% </w:t>
      </w:r>
      <w:r w:rsidRPr="00FE4C81">
        <w:t>CI 52.5</w:t>
      </w:r>
      <w:r w:rsidR="000870FF">
        <w:t xml:space="preserve"> -</w:t>
      </w:r>
      <w:r w:rsidRPr="00FE4C81">
        <w:t xml:space="preserve"> 87.5).</w:t>
      </w:r>
    </w:p>
    <w:p w14:paraId="53DEBB21" w14:textId="77777777" w:rsidR="007239FD" w:rsidRDefault="007239FD" w:rsidP="00116F79">
      <w:pPr>
        <w:pStyle w:val="RepNormal"/>
      </w:pPr>
    </w:p>
    <w:p w14:paraId="22BDBDD4" w14:textId="77777777" w:rsidR="00A859E9" w:rsidRDefault="00A859E9" w:rsidP="00A859E9">
      <w:pPr>
        <w:pStyle w:val="RepNormal"/>
      </w:pPr>
      <w:r>
        <w:t xml:space="preserve">Although the 2015 incidence rates appear to be lower than corresponding estimates from previous waves, their confidence intervals overlap and it is unlikely that they have changed over three years of the study.  They are similar to incidence estimates from the recent Swedish (Public Health Agency of Sweden, 2016) and Victorian (Billi et al., 2014) prospective studies.  </w:t>
      </w:r>
      <w:r w:rsidRPr="00FE4C81">
        <w:t>The 2014 and 2015 NGS combined incidence estimates are 1.2% and 1.25% respectively.  The</w:t>
      </w:r>
      <w:r>
        <w:t xml:space="preserve"> corresponding Swedish estimate was 1.4%.  It appears that the ‘inflow’ rates of ‘new’ problem gamblers are similar across these jurisdictions.</w:t>
      </w:r>
    </w:p>
    <w:p w14:paraId="64282383" w14:textId="77777777" w:rsidR="00A859E9" w:rsidRDefault="00A859E9" w:rsidP="00A859E9">
      <w:pPr>
        <w:pStyle w:val="RepNormal"/>
      </w:pPr>
    </w:p>
    <w:p w14:paraId="72E74CF3" w14:textId="77777777" w:rsidR="00FE4C81" w:rsidRDefault="00A859E9" w:rsidP="00A859E9">
      <w:pPr>
        <w:pStyle w:val="RepNormal"/>
      </w:pPr>
      <w:r>
        <w:t>While most incident cases appear to be first time problem or moderate-risk gamblers, substantial proportions are past problem or moderate-risk gamblers who are relapsing.  In 2015, the problem and moderate-risk prevalence rates were 0.2% and 1.8% respectively.  The incidence rates were 0.1% and 1.15</w:t>
      </w:r>
      <w:r w:rsidRPr="00FE4C81">
        <w:t>%.  This suggests that in 2015 around half of the problem gamblers and two-thirds of moderate</w:t>
      </w:r>
      <w:r>
        <w:t xml:space="preserve">-risk gamblers were ‘new’ incident cases.  They were people who had not scored as problem or moderate-risk gamblers during the previous 12 months.  They may, however, have experienced problems prior to that.  The first wave of the NGS included the SOGS-R to provide an estimate of lifetime pathological and problem gambling.  The SOGS-R lifetime measure was used to separate people who had experienced a gambling problem at some time in the past from those who had not.  Using this method it was concluded that around half of ‘new’ problem gamblers and somewhat more than a quarter of moderate-risk gamblers were people who had previously been a pathological or problem gambler (Abbott et al., 2015b).  </w:t>
      </w:r>
    </w:p>
    <w:p w14:paraId="2E8009DA" w14:textId="77777777" w:rsidR="00FE4C81" w:rsidRDefault="00FE4C81" w:rsidP="00A859E9">
      <w:pPr>
        <w:pStyle w:val="RepNormal"/>
      </w:pPr>
    </w:p>
    <w:p w14:paraId="0106C88A" w14:textId="77777777" w:rsidR="00C66690" w:rsidRDefault="00A859E9" w:rsidP="00A859E9">
      <w:pPr>
        <w:pStyle w:val="RepNormal"/>
      </w:pPr>
      <w:r>
        <w:t xml:space="preserve">As discussed in the introduction, the SOGS-R lifetime measure is a conservative indicator of past problems.  This means that in New Zealand, as well as in Sweden and Victoria, as many as two-thirds of ‘new’ problem gamblers are likely to be past problem gamblers who are relapsing.  Consequently, it is important that policy, public education and prevention initiatives place greater emphasis than they have to date on relapse prevention.  This emphasis could usefully extend to treatment programmes and treatment follow-up.  Primary prevention measures directed towards people who have not previously experienced gambling-related problems continue to have an important role to play, especially for recently exposed and high-risk populations, for example, youth and some recent migrant groups that do not have high proportions of previous problem gamblers who are prone to relapse.  In practice, many measures taken with regard to primary prevention will also have relevance to relapse prevention.      </w:t>
      </w:r>
    </w:p>
    <w:p w14:paraId="7C480F86" w14:textId="77777777" w:rsidR="00A859E9" w:rsidRDefault="00A859E9" w:rsidP="00116F79">
      <w:pPr>
        <w:pStyle w:val="RepNormal"/>
      </w:pPr>
    </w:p>
    <w:p w14:paraId="73888D20" w14:textId="77777777" w:rsidR="00D8002D" w:rsidRDefault="00116F79" w:rsidP="00D8002D">
      <w:pPr>
        <w:pStyle w:val="RepNormal"/>
      </w:pPr>
      <w:r w:rsidRPr="00D8002D">
        <w:t xml:space="preserve">From </w:t>
      </w:r>
      <w:r w:rsidR="00D8002D" w:rsidRPr="00D8002D">
        <w:t xml:space="preserve">Wave </w:t>
      </w:r>
      <w:r w:rsidRPr="00D8002D">
        <w:t xml:space="preserve">3 to </w:t>
      </w:r>
      <w:r w:rsidR="00D8002D">
        <w:t xml:space="preserve">Wave </w:t>
      </w:r>
      <w:r w:rsidRPr="00D8002D">
        <w:t>4</w:t>
      </w:r>
      <w:r w:rsidR="00C44087">
        <w:t>,</w:t>
      </w:r>
      <w:r w:rsidRPr="00D8002D">
        <w:t xml:space="preserve"> non-problem gamblers and non-gamblers </w:t>
      </w:r>
      <w:r w:rsidR="00C44087">
        <w:t>remained the most stable groups</w:t>
      </w:r>
      <w:r>
        <w:t xml:space="preserve"> with large majorities remaining in these categories.  Problem gamblers were the next most stable, with 44% remaining in that category.  Moderate-risk and low-risk groups were the least stable, with substantial majorities moving into other categories, predominantly to lower risk and non-problem categories.  These findings are consistent with transitions from </w:t>
      </w:r>
      <w:r w:rsidR="00D8002D">
        <w:t>Wave </w:t>
      </w:r>
      <w:r>
        <w:t xml:space="preserve">1 to </w:t>
      </w:r>
      <w:r w:rsidR="00D8002D">
        <w:t xml:space="preserve">Wave </w:t>
      </w:r>
      <w:r>
        <w:t xml:space="preserve">2 and </w:t>
      </w:r>
      <w:r w:rsidR="00D8002D">
        <w:t xml:space="preserve">Wave </w:t>
      </w:r>
      <w:r>
        <w:t xml:space="preserve">2 to </w:t>
      </w:r>
      <w:r w:rsidR="00D8002D">
        <w:t xml:space="preserve">Wave </w:t>
      </w:r>
      <w:r>
        <w:t>3.</w:t>
      </w:r>
    </w:p>
    <w:p w14:paraId="589AFD55" w14:textId="77777777" w:rsidR="00A859E9" w:rsidRDefault="00A859E9" w:rsidP="00D8002D">
      <w:pPr>
        <w:pStyle w:val="RepNormal"/>
      </w:pPr>
    </w:p>
    <w:p w14:paraId="4CF597B2" w14:textId="77777777" w:rsidR="00FE4C81" w:rsidRDefault="00A859E9" w:rsidP="00A859E9">
      <w:pPr>
        <w:pStyle w:val="RepNormal"/>
      </w:pPr>
      <w:r>
        <w:t>The foregoing findings, in addition to being similar to findings from earlier NGS waves, are consistent with those from other general population prospective gambling studies.  These studies found that the large majority (generally 80%</w:t>
      </w:r>
      <w:r w:rsidR="007B0B09">
        <w:t xml:space="preserve"> to </w:t>
      </w:r>
      <w:r>
        <w:t>90%) of non-problem gamblers remain non-problem gamblers at follow-up (see Abbott et al., 2015</w:t>
      </w:r>
      <w:r w:rsidR="007B0B09">
        <w:t>b</w:t>
      </w:r>
      <w:r w:rsidR="007D1A2E">
        <w:t>,</w:t>
      </w:r>
      <w:r>
        <w:t xml:space="preserve"> and Luce, Nadeau &amp; Kairouz, 2016 for reviews).  Not as many studies </w:t>
      </w:r>
      <w:r w:rsidR="00FE4C81">
        <w:t xml:space="preserve">have </w:t>
      </w:r>
      <w:r>
        <w:t>considered non-gamblers from baseline.  Those that did obtained similar results to the NGS where, in each of the three waves, around two-thirds remained non-gamblers.  Low-risk and moderate-risk gamblers were the least stable categories with around only 10% to 30% retaining membership over a 12 month period.  Problem gamblers were somewhat more stable than the at-risk groups</w:t>
      </w:r>
      <w:r w:rsidR="007B0B09">
        <w:t>;</w:t>
      </w:r>
      <w:r>
        <w:t xml:space="preserve"> however, relative to other groups, study findings are more variable.  </w:t>
      </w:r>
      <w:r w:rsidR="007B0B09">
        <w:t>T</w:t>
      </w:r>
      <w:r>
        <w:t xml:space="preserve">his variability </w:t>
      </w:r>
      <w:r w:rsidR="007B0B09">
        <w:t xml:space="preserve">partly </w:t>
      </w:r>
      <w:r>
        <w:t xml:space="preserve">relates to the duration of the follow-up period and number of assessment points.  </w:t>
      </w:r>
    </w:p>
    <w:p w14:paraId="04C95E23" w14:textId="77777777" w:rsidR="00FE4C81" w:rsidRDefault="00FE4C81" w:rsidP="00A859E9">
      <w:pPr>
        <w:pStyle w:val="RepNormal"/>
      </w:pPr>
    </w:p>
    <w:p w14:paraId="3C2D095B" w14:textId="076C7109" w:rsidR="00A859E9" w:rsidRPr="0038107A" w:rsidRDefault="00A859E9" w:rsidP="00A859E9">
      <w:pPr>
        <w:pStyle w:val="RepNormal"/>
      </w:pPr>
      <w:r>
        <w:t>The NGS and other studies that demonstrated fluidity in problem gambling over relatively short time periods challenged traditional conceptualisation of pathological gambling as a chronic disorder.  This research contributed to changes in the latest version of the DSM where gambling disorder is redefined to include provision for transient episodes and in-remission diagnoses (</w:t>
      </w:r>
      <w:r w:rsidR="007B0B09">
        <w:t>American Psychiatric Association, 2013</w:t>
      </w:r>
      <w:r w:rsidR="003B5869">
        <w:t>; Mitzner, Whelan, &amp; Meyers, 2011</w:t>
      </w:r>
      <w:r w:rsidR="008F761F">
        <w:t>; Petry et al., 2014</w:t>
      </w:r>
      <w:r>
        <w:t>).  While reflecting research findings</w:t>
      </w:r>
      <w:r w:rsidR="007B0B09">
        <w:t>,</w:t>
      </w:r>
      <w:r>
        <w:t xml:space="preserve"> it is important to note that most prospective studies had short follow-up periods, rarely extending beyond a few years.  Furthermore</w:t>
      </w:r>
      <w:r w:rsidR="007B0B09">
        <w:t>,</w:t>
      </w:r>
      <w:r>
        <w:t xml:space="preserve"> most included low numbers of serious problem gamblers and the problem and moderate-risk groups were often combined.  Given the high relapse proportions identified in the NGS and recent Swedish and Victorian studies</w:t>
      </w:r>
      <w:r w:rsidR="007B0B09">
        <w:t>,</w:t>
      </w:r>
      <w:r>
        <w:t xml:space="preserve"> it could be that problem gambling, perhaps especially in its more serious </w:t>
      </w:r>
      <w:r w:rsidRPr="0038107A">
        <w:t>forms, is more typically a chronically relapsing disorder than has been portrayed during the past decade.  Longer duration studies are required to assess this</w:t>
      </w:r>
      <w:r w:rsidR="00423C50" w:rsidRPr="0038107A">
        <w:t xml:space="preserve"> possibility</w:t>
      </w:r>
      <w:r w:rsidRPr="0038107A">
        <w:t>.  Partly for this reason</w:t>
      </w:r>
      <w:r w:rsidR="007B0B09" w:rsidRPr="0038107A">
        <w:t>,</w:t>
      </w:r>
      <w:r w:rsidRPr="0038107A">
        <w:t xml:space="preserve"> a further follow-up phase is planned for the NGS, seven years after the baseline survey.  This follow-up will also enable comparison of the findings with those of Abbott et al</w:t>
      </w:r>
      <w:r w:rsidR="007B0B09" w:rsidRPr="0038107A">
        <w:t>.’</w:t>
      </w:r>
      <w:r w:rsidRPr="0038107A">
        <w:t>s (1999, 2004</w:t>
      </w:r>
      <w:r w:rsidR="007B0B09" w:rsidRPr="0038107A">
        <w:t>b</w:t>
      </w:r>
      <w:r w:rsidRPr="0038107A">
        <w:t>) earlier New Zealand prospective study</w:t>
      </w:r>
      <w:r w:rsidR="00423C50" w:rsidRPr="0038107A">
        <w:t>, which also</w:t>
      </w:r>
      <w:r w:rsidRPr="0038107A">
        <w:t xml:space="preserve"> had a seven year follow-up</w:t>
      </w:r>
      <w:r w:rsidR="00423C50" w:rsidRPr="0038107A">
        <w:t xml:space="preserve"> (however, without intervening follow-ups)</w:t>
      </w:r>
      <w:r w:rsidRPr="0038107A">
        <w:t>.  A qualitative study is also planned to examine participant experience and understanding of changes in their gambling behaviour and its consequences over time</w:t>
      </w:r>
      <w:r w:rsidR="0048349F" w:rsidRPr="0038107A">
        <w:t xml:space="preserve"> (see Mutti-Packer et al., 2017)</w:t>
      </w:r>
      <w:r w:rsidRPr="0038107A">
        <w:t xml:space="preserve">.  </w:t>
      </w:r>
    </w:p>
    <w:p w14:paraId="26CCBB15" w14:textId="77777777" w:rsidR="00A859E9" w:rsidRPr="0038107A" w:rsidRDefault="00A859E9" w:rsidP="00A859E9">
      <w:pPr>
        <w:pStyle w:val="RepNormal"/>
      </w:pPr>
    </w:p>
    <w:p w14:paraId="1731D1FF" w14:textId="77777777" w:rsidR="00FE4C81" w:rsidRDefault="00A859E9" w:rsidP="00A859E9">
      <w:pPr>
        <w:pStyle w:val="RepNormal"/>
      </w:pPr>
      <w:r w:rsidRPr="0038107A">
        <w:t>In the NGS</w:t>
      </w:r>
      <w:r w:rsidR="007B0B09" w:rsidRPr="0038107A">
        <w:t>,</w:t>
      </w:r>
      <w:r w:rsidRPr="0038107A">
        <w:t xml:space="preserve"> around a third of non-gamblers commenced or recommenced gambling during the following 12 months.  The large majority became non-problem gamblers and a minority, around</w:t>
      </w:r>
      <w:r>
        <w:t xml:space="preserve"> 1% to 2%, moved into the at-risk and problem gambling categories.  </w:t>
      </w:r>
      <w:r w:rsidR="005A4EC2">
        <w:t>For</w:t>
      </w:r>
      <w:r>
        <w:t xml:space="preserve"> non-problem gamblers, typically around 1</w:t>
      </w:r>
      <w:r w:rsidR="005A4EC2">
        <w:t>0% to 15% beca</w:t>
      </w:r>
      <w:r>
        <w:t>me</w:t>
      </w:r>
      <w:r w:rsidR="005A4EC2">
        <w:t xml:space="preserve"> non-gamblers and around 5% beca</w:t>
      </w:r>
      <w:r>
        <w:t>me at-risk or problem gamblers.  In the low-risk category</w:t>
      </w:r>
      <w:r w:rsidR="005A4EC2">
        <w:t>,</w:t>
      </w:r>
      <w:r>
        <w:t xml:space="preserve"> the majority, generally between half and a third, became non-problem gamblers and a smaller </w:t>
      </w:r>
      <w:r w:rsidR="005A4EC2">
        <w:t>proportion</w:t>
      </w:r>
      <w:r>
        <w:t>, less than 10%, stop</w:t>
      </w:r>
      <w:r w:rsidR="005A4EC2">
        <w:t>ped</w:t>
      </w:r>
      <w:r>
        <w:t xml:space="preserve"> gambling.  Somewhat more (8.2% to 12.5%) moved into the moderate-risk or problem gambler categories.  NGS moderate-risk gamblers evidenced a somewhat similar pattern with the majority moving into the low risk, non-problem and non-gambling categories.  Between 5% </w:t>
      </w:r>
      <w:r w:rsidR="005A4EC2">
        <w:t>and</w:t>
      </w:r>
      <w:r>
        <w:t xml:space="preserve"> 10% became problem gamblers.  These findings are also generally consistent with those of other studies.  As mentioned</w:t>
      </w:r>
      <w:r w:rsidR="005A4EC2">
        <w:t>,</w:t>
      </w:r>
      <w:r>
        <w:t xml:space="preserve"> problem gamblers are more stable than the at-risk groups.  </w:t>
      </w:r>
    </w:p>
    <w:p w14:paraId="6D51F468" w14:textId="77777777" w:rsidR="00FE4C81" w:rsidRDefault="00FE4C81" w:rsidP="00A859E9">
      <w:pPr>
        <w:pStyle w:val="RepNormal"/>
      </w:pPr>
    </w:p>
    <w:p w14:paraId="7C1A32A3" w14:textId="77777777" w:rsidR="00A859E9" w:rsidRDefault="00A859E9" w:rsidP="00A859E9">
      <w:pPr>
        <w:pStyle w:val="RepNormal"/>
      </w:pPr>
      <w:r>
        <w:t>The NGS findings are typical of studies that assess change over a 12 month period or periods.  These studies generally find that only a third to half remain problem gamblers from one year to the next.  While no longer in the problem gambling category</w:t>
      </w:r>
      <w:r w:rsidR="005A4EC2">
        <w:t>,</w:t>
      </w:r>
      <w:r>
        <w:t xml:space="preserve"> a substantial </w:t>
      </w:r>
      <w:r w:rsidR="005A4EC2">
        <w:t>proportion</w:t>
      </w:r>
      <w:r>
        <w:t xml:space="preserve"> are in the low-risk and moderate-risk categories, indicating that they are still experiencing some gambling-related harms and remain at risk of relapse.  Over time-spans of seven (Abbott et al</w:t>
      </w:r>
      <w:r w:rsidR="005A4EC2">
        <w:t>.</w:t>
      </w:r>
      <w:r>
        <w:t>, 1999, 2004</w:t>
      </w:r>
      <w:r w:rsidR="005A4EC2">
        <w:t>b</w:t>
      </w:r>
      <w:r>
        <w:t>) and 11 years (Slutske</w:t>
      </w:r>
      <w:r w:rsidR="007D1A2E">
        <w:t>, Jackson &amp; Sher</w:t>
      </w:r>
      <w:r>
        <w:t>, 2003)</w:t>
      </w:r>
      <w:r w:rsidR="005A4EC2">
        <w:t>,</w:t>
      </w:r>
      <w:r>
        <w:t xml:space="preserve"> it appears that most problem gamblers no longer experience problems.  However, other studies have found that substantial numbers experience cyclic patterns of relapse and remission and others have more stable, chronic problems (el-Guebaly et al</w:t>
      </w:r>
      <w:r w:rsidR="005A4EC2">
        <w:t>.</w:t>
      </w:r>
      <w:r>
        <w:t>, 2015; Williams et al</w:t>
      </w:r>
      <w:r w:rsidR="005A4EC2">
        <w:t>.</w:t>
      </w:r>
      <w:r>
        <w:t xml:space="preserve">, 2015).  </w:t>
      </w:r>
      <w:r w:rsidR="005A4EC2">
        <w:t>To some extent, t</w:t>
      </w:r>
      <w:r>
        <w:t>his type of pattern also applies to moderate-risk gamblers.  While the large majority improve over time</w:t>
      </w:r>
      <w:r w:rsidR="005A4EC2">
        <w:t>,</w:t>
      </w:r>
      <w:r>
        <w:t xml:space="preserve"> moderate-risk gamblers’ trajectories are highly variable.  A recent Canadian study involving three assessments over two years found one-third of moder</w:t>
      </w:r>
      <w:r w:rsidR="005A4EC2">
        <w:t>ate-risk gamblers improved, one-</w:t>
      </w:r>
      <w:r>
        <w:t>third remained stable and one-third became problem gamblers (Luce</w:t>
      </w:r>
      <w:r w:rsidR="00D83829">
        <w:t xml:space="preserve"> at al.</w:t>
      </w:r>
      <w:r>
        <w:t>, 2016).  These findings, among other</w:t>
      </w:r>
      <w:r w:rsidR="005A4EC2">
        <w:t>s</w:t>
      </w:r>
      <w:r>
        <w:t>, extend the construct and predictive validation of the PGSI, particularly with regard to the low-risk and moderate-risk classifications.  Longer duration studies are required to more fully understand the natural history of problem gambling and obtain more accurate estimates of the proportions fo</w:t>
      </w:r>
      <w:r w:rsidR="005A4EC2">
        <w:t>llowing different trajectories.</w:t>
      </w:r>
    </w:p>
    <w:p w14:paraId="141596F8" w14:textId="77777777" w:rsidR="00A859E9" w:rsidRDefault="00A859E9" w:rsidP="00A859E9">
      <w:pPr>
        <w:pStyle w:val="RepNormal"/>
      </w:pPr>
    </w:p>
    <w:p w14:paraId="1B4D7665" w14:textId="1464AFF1" w:rsidR="00A859E9" w:rsidRDefault="00A859E9" w:rsidP="00A859E9">
      <w:pPr>
        <w:pStyle w:val="RepNormal"/>
      </w:pPr>
      <w:r>
        <w:t>Another New Zealand general population study has recently looked at gambling and gambling risk transitions over time (Kruse</w:t>
      </w:r>
      <w:r w:rsidR="00E74119">
        <w:t>, White, Walton &amp; Tu</w:t>
      </w:r>
      <w:r>
        <w:t>, 2016).  It involved a nationally representative sample and included follow-up and reassessment two years after a baseline survey.  The baseline surveys for the NGS and this study were conducted in 2012.  Both studies used the PGSI and interviewed participants in residential dwellings.  The Kruse et al</w:t>
      </w:r>
      <w:r w:rsidR="005A4EC2">
        <w:t>.</w:t>
      </w:r>
      <w:r>
        <w:t xml:space="preserve"> (2016) study differed from the NGS in that follow-up interviews were conducted by telephone and it had much lower retention (31%).  It also </w:t>
      </w:r>
      <w:r w:rsidR="005A4EC2">
        <w:t xml:space="preserve">only </w:t>
      </w:r>
      <w:r>
        <w:t xml:space="preserve">had one follow-up assessment and, as </w:t>
      </w:r>
      <w:r w:rsidR="0038107A">
        <w:t xml:space="preserve">mentioned, that was two </w:t>
      </w:r>
      <w:r>
        <w:t>years post baseline rather than one</w:t>
      </w:r>
      <w:r w:rsidR="005A4EC2">
        <w:t xml:space="preserve"> year</w:t>
      </w:r>
      <w:r>
        <w:t>.  These features could all be expected to influence the study results.  Interestingly, despite these differences, the past year gambling participation rates obtained by the two New Zealand studies are identical at baseline (80%).  In the NGS</w:t>
      </w:r>
      <w:r w:rsidR="005A4EC2">
        <w:t>,</w:t>
      </w:r>
      <w:r>
        <w:t xml:space="preserve"> the participation rate </w:t>
      </w:r>
      <w:r w:rsidR="005A4EC2">
        <w:t>decreased</w:t>
      </w:r>
      <w:r>
        <w:t xml:space="preserve"> to 77% in </w:t>
      </w:r>
      <w:r w:rsidR="005A4EC2">
        <w:t>Wave</w:t>
      </w:r>
      <w:r>
        <w:t xml:space="preserve"> 3 and 75% in </w:t>
      </w:r>
      <w:r w:rsidR="005A4EC2">
        <w:t xml:space="preserve">Wave </w:t>
      </w:r>
      <w:r>
        <w:t>4.  The Kruse et al</w:t>
      </w:r>
      <w:r w:rsidR="005A4EC2">
        <w:t>.</w:t>
      </w:r>
      <w:r>
        <w:t xml:space="preserve"> (2016) rate was 76% at follow-up.  These findings further increase confidence in the accuracy of the NGS gambling participation estimates for the New Zealand adult population.  In contrast to the NGS</w:t>
      </w:r>
      <w:r w:rsidR="005A4EC2">
        <w:t>,</w:t>
      </w:r>
      <w:r>
        <w:t xml:space="preserve"> the proportion of adults in the combined at-risk and problem categories </w:t>
      </w:r>
      <w:r w:rsidR="005A4EC2">
        <w:t xml:space="preserve">in the Kruse et al. study </w:t>
      </w:r>
      <w:r>
        <w:t xml:space="preserve">increased somewhat over time.  This is apparently another instance where there is an increase in gambling-related harm despite reduced participation.  </w:t>
      </w:r>
      <w:r w:rsidR="0038107A">
        <w:t xml:space="preserve">The Kruse et al. (2016) findings should be treated with some caution, however, given the methodology used and high, differential attrition.  </w:t>
      </w:r>
    </w:p>
    <w:p w14:paraId="4492515D" w14:textId="3AD2DA0C" w:rsidR="00A859E9" w:rsidRDefault="00A859E9" w:rsidP="00A859E9">
      <w:pPr>
        <w:pStyle w:val="RepNormal"/>
      </w:pPr>
      <w:r>
        <w:t>While Kruse et al</w:t>
      </w:r>
      <w:r w:rsidR="005A4EC2">
        <w:t>.</w:t>
      </w:r>
      <w:r>
        <w:t xml:space="preserve"> (2016) did not calculate incidence rates, they did look at similar transitions to those considered in the NGS, albeit over two y</w:t>
      </w:r>
      <w:r w:rsidR="005A4EC2">
        <w:t>ears rather than over three one-</w:t>
      </w:r>
      <w:r>
        <w:t>year intervals.  Over two years</w:t>
      </w:r>
      <w:r w:rsidR="005A4EC2">
        <w:t>,</w:t>
      </w:r>
      <w:r>
        <w:t xml:space="preserve"> around half of </w:t>
      </w:r>
      <w:r w:rsidR="005A4EC2">
        <w:t xml:space="preserve">the </w:t>
      </w:r>
      <w:r>
        <w:t>people in the combined low-risk, moderate-risk and problem gambling categories moved into lower risk or non-problem categories.  This is in keeping with findings from the NGS and other prospective studies that indicate that problem and at-risk gambling are transitory states over relatively short time periods.  Interestingly</w:t>
      </w:r>
      <w:r w:rsidR="005A4EC2">
        <w:t>,</w:t>
      </w:r>
      <w:r>
        <w:t xml:space="preserve"> none of those who reduced their risk category stopped gambling.  Kruse et al</w:t>
      </w:r>
      <w:r w:rsidR="005A4EC2">
        <w:t>.</w:t>
      </w:r>
      <w:r>
        <w:t xml:space="preserve"> (2016) also found that proportionately more people moved into the problem and at-risk categories than moved out of them.  This is why, as mentioned in the previous paragraph, the prevalence of problem and at-risk gambling increased from baseline to follow-up.  These findings are at variance with the findings of the NGS and other general population prospective studies (Abbott et al</w:t>
      </w:r>
      <w:r w:rsidR="005A4EC2">
        <w:t>.</w:t>
      </w:r>
      <w:r>
        <w:t>, 2016</w:t>
      </w:r>
      <w:r w:rsidR="005A4EC2">
        <w:t>a</w:t>
      </w:r>
      <w:r>
        <w:t>; Williams et al</w:t>
      </w:r>
      <w:r w:rsidR="005A4EC2">
        <w:t>.</w:t>
      </w:r>
      <w:r>
        <w:t>, 2015).  These studies found people moving into the problem and at-risk categories were balanced or exceeded somewhat by those moving out of them.  In these studies</w:t>
      </w:r>
      <w:r w:rsidR="005A4EC2">
        <w:t>,</w:t>
      </w:r>
      <w:r>
        <w:t xml:space="preserve"> prevalence either did not change across assessment waves, or decreased slightly.  The reason </w:t>
      </w:r>
      <w:r w:rsidRPr="0038107A">
        <w:t>for the discrepant Kruse et al</w:t>
      </w:r>
      <w:r w:rsidR="005A4EC2" w:rsidRPr="0038107A">
        <w:t>.</w:t>
      </w:r>
      <w:r w:rsidRPr="0038107A">
        <w:t xml:space="preserve"> (2016) finding is unclear</w:t>
      </w:r>
      <w:r w:rsidR="000D45FA" w:rsidRPr="0038107A">
        <w:t xml:space="preserve"> and may be related to their high attrition rate</w:t>
      </w:r>
      <w:r w:rsidRPr="0038107A">
        <w:t>.  The authors note</w:t>
      </w:r>
      <w:r w:rsidR="00CE57B6" w:rsidRPr="0038107A">
        <w:t>d</w:t>
      </w:r>
      <w:r w:rsidRPr="0038107A">
        <w:t>, however, that the increase in risk prevalence was predominantly a consequence of the relatively large number of people who moved from the non-</w:t>
      </w:r>
      <w:r w:rsidR="00FE4C81" w:rsidRPr="0038107A">
        <w:t>problem</w:t>
      </w:r>
      <w:r w:rsidRPr="0038107A">
        <w:t xml:space="preserve"> to low-risk category.</w:t>
      </w:r>
    </w:p>
    <w:p w14:paraId="3C483E0B" w14:textId="77777777" w:rsidR="00A859E9" w:rsidRDefault="00A859E9" w:rsidP="00A859E9">
      <w:pPr>
        <w:pStyle w:val="RepNormal"/>
      </w:pPr>
    </w:p>
    <w:p w14:paraId="3A80FCFF" w14:textId="77777777" w:rsidR="00A859E9" w:rsidRDefault="00A859E9" w:rsidP="00A859E9">
      <w:pPr>
        <w:pStyle w:val="RepNormal"/>
      </w:pPr>
      <w:r>
        <w:t>Moderate-risk gamblers are much more likely to develop serious gambling problems than non-gamblers, non-problem gamblers and low-risk gamblers.  For this reason</w:t>
      </w:r>
      <w:r w:rsidR="005A4EC2">
        <w:t>,</w:t>
      </w:r>
      <w:r>
        <w:t xml:space="preserve"> the moderate-risk group provides a potential focus for programmes designed to prevent progression to more serious problem gambling.  However, while very low proportions of people in the other groups develop major gambling problems, as many as a third to half of problem gambling incident cases come directly from these groups.  This is because the great majority of adults are in the non-problem, non-gambling and low-risk groups.  Similarly, around half of moderate-risk gamblers are people who progressed from the low-risk g</w:t>
      </w:r>
      <w:r w:rsidR="005A4EC2">
        <w:t>roup and a similar proportion co</w:t>
      </w:r>
      <w:r>
        <w:t>me from the non-problem and non-gambler groups.  This means that while a focus on moderate-risk gambling</w:t>
      </w:r>
      <w:r w:rsidR="005A4EC2">
        <w:t>,</w:t>
      </w:r>
      <w:r>
        <w:t xml:space="preserve"> in the case of problem gambling</w:t>
      </w:r>
      <w:r w:rsidR="005A4EC2">
        <w:t>,</w:t>
      </w:r>
      <w:r>
        <w:t xml:space="preserve"> and low-risk gambling</w:t>
      </w:r>
      <w:r w:rsidR="005A4EC2">
        <w:t>,</w:t>
      </w:r>
      <w:r>
        <w:t xml:space="preserve"> in the case of moderate-risk gambling</w:t>
      </w:r>
      <w:r w:rsidR="005A4EC2">
        <w:t>,</w:t>
      </w:r>
      <w:r>
        <w:t xml:space="preserve"> has relevance to prevention</w:t>
      </w:r>
      <w:r w:rsidR="00366599">
        <w:t>;</w:t>
      </w:r>
      <w:r>
        <w:t xml:space="preserve"> it excludes a substantial number of people who go on </w:t>
      </w:r>
      <w:r w:rsidR="00366599">
        <w:t>to</w:t>
      </w:r>
      <w:r>
        <w:t xml:space="preserve"> develop gambling problems.  Some of these people will be past problem gamblers who are relapsing.  To have a substantial impact</w:t>
      </w:r>
      <w:r w:rsidR="00366599">
        <w:t>,</w:t>
      </w:r>
      <w:r>
        <w:t xml:space="preserve"> prevention policies and programmes </w:t>
      </w:r>
      <w:r w:rsidR="00366599">
        <w:t>should</w:t>
      </w:r>
      <w:r>
        <w:t xml:space="preserve"> include at-risk gamblers, past problem gamblers and the population as a whole.</w:t>
      </w:r>
    </w:p>
    <w:p w14:paraId="017683AE" w14:textId="77777777" w:rsidR="00A859E9" w:rsidRDefault="00A859E9" w:rsidP="00A859E9">
      <w:pPr>
        <w:pStyle w:val="RepNormal"/>
      </w:pPr>
    </w:p>
    <w:p w14:paraId="3AA650CD" w14:textId="1AACC3AB" w:rsidR="00A859E9" w:rsidRPr="0038107A" w:rsidRDefault="00A859E9" w:rsidP="00A859E9">
      <w:pPr>
        <w:pStyle w:val="RepNormal"/>
      </w:pPr>
      <w:r>
        <w:t>For many years</w:t>
      </w:r>
      <w:r w:rsidR="00366599">
        <w:t>,</w:t>
      </w:r>
      <w:r>
        <w:t xml:space="preserve"> major attention in research, policy and practice has been accorded to problem gambling and its assessment, development, treatment and prevention.  More recently</w:t>
      </w:r>
      <w:r w:rsidR="00366599">
        <w:t>,</w:t>
      </w:r>
      <w:r>
        <w:t xml:space="preserve"> wider gambling-related harm and costs to individuals, communities and society has been considered.  While the PGSI was developed for use in general population surveys and intended to assess a broad concept of problem gambling and negative gambling consequences (Ferris &amp; Wynne, 2001)</w:t>
      </w:r>
      <w:r w:rsidR="00366599">
        <w:t>,</w:t>
      </w:r>
      <w:r>
        <w:t xml:space="preserve"> it covers only three of the seven harm domains that have been identified (Browne et al</w:t>
      </w:r>
      <w:r w:rsidR="00366599">
        <w:t>.</w:t>
      </w:r>
      <w:r>
        <w:t>, 2016).  Nevertheless</w:t>
      </w:r>
      <w:r w:rsidR="00366599">
        <w:t>,</w:t>
      </w:r>
      <w:r>
        <w:t xml:space="preserve"> overall PGSI scores have been found to correlate highly with more comprehensive measures and it can be used as a proxy for wider gambling-related harms.  Browne et al</w:t>
      </w:r>
      <w:r w:rsidR="00366599">
        <w:t>.</w:t>
      </w:r>
      <w:r>
        <w:t xml:space="preserve"> (2016, 2017) included the PGSI and wider harm measures in Australian and New </w:t>
      </w:r>
      <w:r w:rsidRPr="0038107A">
        <w:t xml:space="preserve">Zealand studies.  The latter study drew on NGS data.  Both studies found that only around 15% of </w:t>
      </w:r>
      <w:r w:rsidR="000D45FA" w:rsidRPr="0038107A">
        <w:t xml:space="preserve">gambling-related </w:t>
      </w:r>
      <w:r w:rsidRPr="0038107A">
        <w:t xml:space="preserve">harm was attributable to problem gamblers.  The majority was associated with moderate-risk and low-risk gambling.  Indeed, almost half of total </w:t>
      </w:r>
      <w:r w:rsidR="000D45FA" w:rsidRPr="0038107A">
        <w:t xml:space="preserve">gambling-related </w:t>
      </w:r>
      <w:r w:rsidRPr="0038107A">
        <w:t xml:space="preserve">harm was attributable to low-risk gamblers.  </w:t>
      </w:r>
      <w:r w:rsidR="009555FF" w:rsidRPr="0038107A">
        <w:t>From a public health perspective, t</w:t>
      </w:r>
      <w:r w:rsidRPr="0038107A">
        <w:t>hese findings underline the importance of the at-risk groups.  If the interest is in reducing or preventing gambling-related harm in the population</w:t>
      </w:r>
      <w:r w:rsidR="00366599" w:rsidRPr="0038107A">
        <w:t>,</w:t>
      </w:r>
      <w:r w:rsidRPr="0038107A">
        <w:t xml:space="preserve"> at-risk gamblers are of major significance in their own right.</w:t>
      </w:r>
    </w:p>
    <w:p w14:paraId="197690DB" w14:textId="77777777" w:rsidR="00A859E9" w:rsidRPr="0038107A" w:rsidRDefault="00A859E9" w:rsidP="00A859E9">
      <w:pPr>
        <w:pStyle w:val="RepNormal"/>
      </w:pPr>
    </w:p>
    <w:p w14:paraId="749FF254" w14:textId="7510ED7D" w:rsidR="00A859E9" w:rsidRDefault="00A859E9" w:rsidP="00A859E9">
      <w:pPr>
        <w:pStyle w:val="RepNormal"/>
      </w:pPr>
      <w:r w:rsidRPr="0038107A">
        <w:t xml:space="preserve">It is important to note that the assessment of problem and at-risk gambling is based on participant self-report and that </w:t>
      </w:r>
      <w:r w:rsidR="00C941EA" w:rsidRPr="0038107A">
        <w:t>recall</w:t>
      </w:r>
      <w:r w:rsidRPr="0038107A">
        <w:t xml:space="preserve"> deficiencies and other factors compromise the reliability of these reports.  As previously discussed</w:t>
      </w:r>
      <w:r w:rsidR="00366599" w:rsidRPr="0038107A">
        <w:t>,</w:t>
      </w:r>
      <w:r w:rsidRPr="0038107A">
        <w:t xml:space="preserve"> this </w:t>
      </w:r>
      <w:r w:rsidR="000D45FA" w:rsidRPr="0038107A">
        <w:t xml:space="preserve">limitation </w:t>
      </w:r>
      <w:r w:rsidRPr="0038107A">
        <w:t xml:space="preserve">is particularly evident </w:t>
      </w:r>
      <w:r w:rsidR="00366599" w:rsidRPr="0038107A">
        <w:t>in regard</w:t>
      </w:r>
      <w:r w:rsidRPr="0038107A">
        <w:t xml:space="preserve"> to ‘lifetime’ problem gambling measures such as the SOGS</w:t>
      </w:r>
      <w:r w:rsidR="00366599" w:rsidRPr="0038107A">
        <w:t>-R</w:t>
      </w:r>
      <w:r w:rsidRPr="0038107A">
        <w:t xml:space="preserve">.  However, it is also apparent over shorter periods of time.  </w:t>
      </w:r>
      <w:r w:rsidR="00366599" w:rsidRPr="0038107A">
        <w:t>For</w:t>
      </w:r>
      <w:r w:rsidRPr="0038107A">
        <w:t xml:space="preserve"> the PGSI, one month test-retest reliabilities have been found to be in the mid to high 0.70s (</w:t>
      </w:r>
      <w:r w:rsidR="007B0F81" w:rsidRPr="0038107A">
        <w:t xml:space="preserve">Currie, Hodgins &amp; Casey, 2013; </w:t>
      </w:r>
      <w:r w:rsidRPr="0038107A">
        <w:t xml:space="preserve">Ferris &amp; Wynne, 2001).  This means that PGSI past 12 months scores </w:t>
      </w:r>
      <w:r w:rsidR="00C941EA" w:rsidRPr="0038107A">
        <w:t>on</w:t>
      </w:r>
      <w:r w:rsidRPr="0038107A">
        <w:t xml:space="preserve"> the NGS and other studies will </w:t>
      </w:r>
      <w:r w:rsidR="00366599" w:rsidRPr="0038107A">
        <w:t>partly</w:t>
      </w:r>
      <w:r w:rsidRPr="0038107A">
        <w:t xml:space="preserve"> reflect measurement error and there will, as a consequence, be some misclassification of changes between PGSI categories.  Williams et al</w:t>
      </w:r>
      <w:r w:rsidR="00366599" w:rsidRPr="0038107A">
        <w:t>.</w:t>
      </w:r>
      <w:r w:rsidRPr="0038107A">
        <w:t xml:space="preserve"> (2015) corrected for PGSI measurement error and re-examined changes between categories in the two Canadian prospective gambling studies.  They found that between five </w:t>
      </w:r>
      <w:r w:rsidR="00366599" w:rsidRPr="0038107A">
        <w:t xml:space="preserve">percent </w:t>
      </w:r>
      <w:r w:rsidRPr="0038107A">
        <w:t xml:space="preserve">and seven percent of the PGSI problem gamblers changed categories when measurement error was taken into account.  Given the very small number of </w:t>
      </w:r>
      <w:r w:rsidR="000D45FA" w:rsidRPr="0038107A">
        <w:t>people changing categories</w:t>
      </w:r>
      <w:r w:rsidR="00366599" w:rsidRPr="0038107A">
        <w:t>,</w:t>
      </w:r>
      <w:r w:rsidRPr="0038107A">
        <w:t xml:space="preserve"> similar adjustments have not been made to the NGS data.  However, on completion of the study, with the inclusion of the seven year assessment, this could be done</w:t>
      </w:r>
      <w:r>
        <w:t xml:space="preserve"> across all study waves.  While unlikely to be a major influence on the findings, failure to take measurement error into account in this and other studies may somewhat exaggerate the amount of change between PGSI categories over time.         </w:t>
      </w:r>
    </w:p>
    <w:p w14:paraId="37207960" w14:textId="77777777" w:rsidR="00A859E9" w:rsidRDefault="00A859E9" w:rsidP="00A859E9">
      <w:pPr>
        <w:pStyle w:val="RepNormal"/>
      </w:pPr>
    </w:p>
    <w:p w14:paraId="73DD3143" w14:textId="77777777" w:rsidR="00366599" w:rsidRDefault="00366599" w:rsidP="00A859E9">
      <w:pPr>
        <w:pStyle w:val="RepNormal"/>
      </w:pPr>
    </w:p>
    <w:p w14:paraId="07B7CBEF" w14:textId="77777777" w:rsidR="00A859E9" w:rsidRPr="00366599" w:rsidRDefault="00A859E9" w:rsidP="00A859E9">
      <w:pPr>
        <w:pStyle w:val="RepNormal"/>
        <w:rPr>
          <w:b/>
        </w:rPr>
      </w:pPr>
      <w:r w:rsidRPr="00366599">
        <w:rPr>
          <w:b/>
        </w:rPr>
        <w:t xml:space="preserve">Predictors of gambling participation and at-risk and problem gambling </w:t>
      </w:r>
    </w:p>
    <w:p w14:paraId="31173537" w14:textId="77777777" w:rsidR="00A859E9" w:rsidRDefault="00A859E9" w:rsidP="00A859E9">
      <w:pPr>
        <w:pStyle w:val="RepNormal"/>
      </w:pPr>
    </w:p>
    <w:p w14:paraId="62614AF5" w14:textId="77777777" w:rsidR="00A859E9" w:rsidRDefault="00A859E9" w:rsidP="00A859E9">
      <w:pPr>
        <w:pStyle w:val="RepNormal"/>
      </w:pPr>
      <w:r>
        <w:t>Combined data from transitions across the four NGS study waves were undertaken.  Some categories were combined to increase statistical power to examine predictors of transitions and, in some instances, allow comparison with findings from other studies.  Given that the factors examined in relation to transitions are inter-related, multiple logistic regression analyses were conducted where feasible.</w:t>
      </w:r>
    </w:p>
    <w:p w14:paraId="2573CF85" w14:textId="77777777" w:rsidR="000D45FA" w:rsidRDefault="000D45FA" w:rsidP="00A859E9">
      <w:pPr>
        <w:pStyle w:val="RepNormal"/>
      </w:pPr>
    </w:p>
    <w:p w14:paraId="66ECE593" w14:textId="77777777" w:rsidR="000D45FA" w:rsidRDefault="000D45FA" w:rsidP="00A859E9">
      <w:pPr>
        <w:pStyle w:val="RepNormal"/>
      </w:pPr>
    </w:p>
    <w:p w14:paraId="498579E3" w14:textId="77777777" w:rsidR="00A859E9" w:rsidRPr="001A19E6" w:rsidRDefault="00A859E9" w:rsidP="00596D80">
      <w:pPr>
        <w:pStyle w:val="RepNormal"/>
        <w:keepNext/>
        <w:rPr>
          <w:u w:val="single"/>
        </w:rPr>
      </w:pPr>
      <w:r w:rsidRPr="001A19E6">
        <w:rPr>
          <w:u w:val="single"/>
        </w:rPr>
        <w:t>Gambling participation</w:t>
      </w:r>
    </w:p>
    <w:p w14:paraId="20A1CDFC" w14:textId="77777777" w:rsidR="00A859E9" w:rsidRDefault="00A859E9" w:rsidP="00596D80">
      <w:pPr>
        <w:pStyle w:val="RepNormal"/>
        <w:keepNext/>
      </w:pPr>
    </w:p>
    <w:p w14:paraId="7A681230" w14:textId="77777777" w:rsidR="00A859E9" w:rsidRDefault="00A859E9" w:rsidP="00596D80">
      <w:pPr>
        <w:pStyle w:val="RepNormal"/>
        <w:keepNext/>
      </w:pPr>
      <w:r>
        <w:t xml:space="preserve">Across the four </w:t>
      </w:r>
      <w:r w:rsidR="001A19E6">
        <w:t>NGS</w:t>
      </w:r>
      <w:r>
        <w:t xml:space="preserve"> waves</w:t>
      </w:r>
      <w:r w:rsidR="001A19E6">
        <w:t xml:space="preserve">, about one-third (29% to 36%) </w:t>
      </w:r>
      <w:r>
        <w:t>of transitions were individuals who started gambling from not having gambled in the preceding wave.  Many of these people gambled in earlier waves.  Consistent with the lower gambling participation rate over time the likelihood of commencing and re-commencing gambling decreased during the course of the study.  From the multiple logistic regression analysis it was found that being aged 40 to 64</w:t>
      </w:r>
      <w:r w:rsidR="001A19E6">
        <w:t> years</w:t>
      </w:r>
      <w:r>
        <w:t xml:space="preserve">, having a higher annual </w:t>
      </w:r>
      <w:r w:rsidR="00335952">
        <w:t xml:space="preserve">personal </w:t>
      </w:r>
      <w:r>
        <w:t>income, experienc</w:t>
      </w:r>
      <w:r w:rsidR="00335952">
        <w:t>ing</w:t>
      </w:r>
      <w:r>
        <w:t xml:space="preserve"> three or more </w:t>
      </w:r>
      <w:r w:rsidR="00C05583">
        <w:t xml:space="preserve">recent </w:t>
      </w:r>
      <w:r>
        <w:t>major life events, hazardous alcohol consumption and having smoked cigarettes predicted gambling participation.  Migrants, especially recent migrants, Asians and people with a religious affiliation were less likely to participate.  In the bivariate analysis</w:t>
      </w:r>
      <w:r w:rsidR="00335952">
        <w:t>,</w:t>
      </w:r>
      <w:r>
        <w:t xml:space="preserve"> Pacific people also had lower participation than European/</w:t>
      </w:r>
      <w:r w:rsidR="00335952">
        <w:t xml:space="preserve">Other people </w:t>
      </w:r>
      <w:r>
        <w:t>but this relationship was no longer significant when other factors were taken into account in the multivariate analysis.  In this report</w:t>
      </w:r>
      <w:r w:rsidR="00335952">
        <w:t>,</w:t>
      </w:r>
      <w:r>
        <w:t xml:space="preserve"> people who commenced gambling for the first time and people who are re-commencing are considered together.  In previous NGS reports (Abbott et al</w:t>
      </w:r>
      <w:r w:rsidR="00335952">
        <w:t>.</w:t>
      </w:r>
      <w:r>
        <w:t>, 2015</w:t>
      </w:r>
      <w:r w:rsidR="00335952">
        <w:t>b</w:t>
      </w:r>
      <w:r>
        <w:t>; 2016</w:t>
      </w:r>
      <w:r w:rsidR="00335952">
        <w:t>a</w:t>
      </w:r>
      <w:r>
        <w:t xml:space="preserve">) they were considered separately.  Many of the risk factors, especially alcohol use and misuse, tobacco use and drug use, were found to be associated with both the initiation of gambling and re-commencing after </w:t>
      </w:r>
      <w:r w:rsidR="00C05583">
        <w:t xml:space="preserve">a period of non-participation. </w:t>
      </w:r>
    </w:p>
    <w:p w14:paraId="058EACE2" w14:textId="77777777" w:rsidR="00335952" w:rsidRDefault="00335952" w:rsidP="00A859E9">
      <w:pPr>
        <w:pStyle w:val="RepNormal"/>
      </w:pPr>
    </w:p>
    <w:p w14:paraId="4D8B0DE0" w14:textId="77777777" w:rsidR="00A859E9" w:rsidRDefault="00A859E9" w:rsidP="00A859E9">
      <w:pPr>
        <w:pStyle w:val="RepNormal"/>
      </w:pPr>
    </w:p>
    <w:p w14:paraId="6AA037EB" w14:textId="77777777" w:rsidR="00A859E9" w:rsidRPr="00335952" w:rsidRDefault="00A859E9" w:rsidP="00A859E9">
      <w:pPr>
        <w:pStyle w:val="RepNormal"/>
        <w:rPr>
          <w:u w:val="single"/>
        </w:rPr>
      </w:pPr>
      <w:r w:rsidRPr="00335952">
        <w:rPr>
          <w:u w:val="single"/>
        </w:rPr>
        <w:t>Low-risk, moderate-risk and problem gambling</w:t>
      </w:r>
    </w:p>
    <w:p w14:paraId="1F8E21A4" w14:textId="77777777" w:rsidR="00A859E9" w:rsidRDefault="00A859E9" w:rsidP="00A859E9">
      <w:pPr>
        <w:pStyle w:val="RepNormal"/>
      </w:pPr>
    </w:p>
    <w:p w14:paraId="2AAD604E" w14:textId="77777777" w:rsidR="00A859E9" w:rsidRDefault="004A262F" w:rsidP="00A859E9">
      <w:pPr>
        <w:pStyle w:val="RepNormal"/>
      </w:pPr>
      <w:r>
        <w:t>Less than 10</w:t>
      </w:r>
      <w:r w:rsidR="00A859E9">
        <w:t xml:space="preserve">% </w:t>
      </w:r>
      <w:r>
        <w:t xml:space="preserve">(6.1% to 7.9%) </w:t>
      </w:r>
      <w:r w:rsidR="00A859E9">
        <w:t xml:space="preserve">of transitions across the </w:t>
      </w:r>
      <w:r>
        <w:t>NGS</w:t>
      </w:r>
      <w:r w:rsidR="00A859E9">
        <w:t xml:space="preserve"> were into the combined low-risk, moderate-risk and problem gambling category from the non-gambling or n</w:t>
      </w:r>
      <w:r>
        <w:t>on-problem gambling categories.</w:t>
      </w:r>
      <w:r w:rsidR="00A859E9">
        <w:t xml:space="preserve">  A large number of gambling participation measures were strongly predictive of increased gambling risk.  Of the many predictors, the strongest general gambling predictors </w:t>
      </w:r>
      <w:r>
        <w:t xml:space="preserve">in the bivariate analyses </w:t>
      </w:r>
      <w:r w:rsidR="00A859E9">
        <w:t xml:space="preserve">included regular participation in continuous gambling </w:t>
      </w:r>
      <w:r w:rsidR="00D47F72">
        <w:t>activities</w:t>
      </w:r>
      <w:r w:rsidR="00A859E9">
        <w:t xml:space="preserve"> (OR 11.3), participation in seven or more different gambling activities (OR 19.3), </w:t>
      </w:r>
      <w:r>
        <w:t xml:space="preserve">and </w:t>
      </w:r>
      <w:r w:rsidR="00A859E9">
        <w:t xml:space="preserve">typical gambling expenditure </w:t>
      </w:r>
      <w:r w:rsidR="00C941EA">
        <w:t xml:space="preserve">of </w:t>
      </w:r>
      <w:r>
        <w:t>more than</w:t>
      </w:r>
      <w:r w:rsidR="00A859E9">
        <w:t xml:space="preserve"> $50 per month (OR 8.2).  While participation in virtually all individual gambling activities was associated with increased gambling risk, participation in some activities </w:t>
      </w:r>
      <w:r w:rsidR="00C941EA">
        <w:t>was</w:t>
      </w:r>
      <w:r w:rsidR="00A859E9">
        <w:t xml:space="preserve"> very strongly predictive.  The strongest were monthly or more frequent participation in pub EGMs (OR 36.4), EGMs ov</w:t>
      </w:r>
      <w:r w:rsidR="00D47F72">
        <w:t>erall (OR 20.1), card games (OR </w:t>
      </w:r>
      <w:r w:rsidR="00A859E9">
        <w:t xml:space="preserve">24.3), housie or bingo (OR 21.8), sports betting (OR 16.6), overseas offshore gambling (OR 13.8) and </w:t>
      </w:r>
      <w:r w:rsidR="00213F9A">
        <w:t>overseas internet gambling (11.1</w:t>
      </w:r>
      <w:r w:rsidR="00A859E9">
        <w:t xml:space="preserve">).  This frequency of participation was also significant for short-term speculative investments (OR 15.8) and gambling-type </w:t>
      </w:r>
      <w:r w:rsidR="00213F9A">
        <w:t>games not for money (OR </w:t>
      </w:r>
      <w:r w:rsidR="00A859E9">
        <w:t>2.7).  Longer typical EGM sessions were also very strongly predictive.  Even people who reported sessions of less than 16 minutes had significantly increased risk</w:t>
      </w:r>
      <w:r w:rsidR="00D47F72">
        <w:t>,</w:t>
      </w:r>
      <w:r w:rsidR="00A859E9">
        <w:t xml:space="preserve"> relative to non-participants.  This applied across the three different EGM settings.  </w:t>
      </w:r>
      <w:r w:rsidR="00213F9A">
        <w:t>For</w:t>
      </w:r>
      <w:r w:rsidR="00A859E9">
        <w:t xml:space="preserve"> pub EGMs</w:t>
      </w:r>
      <w:r w:rsidR="00213F9A">
        <w:t>,</w:t>
      </w:r>
      <w:r w:rsidR="00A859E9">
        <w:t xml:space="preserve"> there was a pronounced linear dose-response relationship between session length and increased risk.  The odds ratio for 31 to 60 minute sessions was 15.7, rising to </w:t>
      </w:r>
      <w:r w:rsidR="00D47F72">
        <w:t>71.8 for typical sessions of 60 </w:t>
      </w:r>
      <w:r w:rsidR="00A859E9">
        <w:t>minutes or more.  The odds ratios for sessions of 60 minutes or more was 14.8 for casino EGMs and 17.7 for club EGMs.  Odds ratios were also very high for the use of methods used to moderate or reduce gambling participation, particularly getting someone to manage gambling m</w:t>
      </w:r>
      <w:r w:rsidR="00213F9A">
        <w:t>oney (OR </w:t>
      </w:r>
      <w:r w:rsidR="00A859E9">
        <w:t>30.0) a</w:t>
      </w:r>
      <w:r w:rsidR="00213F9A">
        <w:t>nd setting a time limit (OR 20.7</w:t>
      </w:r>
      <w:r w:rsidR="00A859E9">
        <w:t>).</w:t>
      </w:r>
    </w:p>
    <w:p w14:paraId="58544E00" w14:textId="77777777" w:rsidR="00A859E9" w:rsidRDefault="00A859E9" w:rsidP="00A859E9">
      <w:pPr>
        <w:pStyle w:val="RepNormal"/>
      </w:pPr>
    </w:p>
    <w:p w14:paraId="354142A6" w14:textId="77777777" w:rsidR="00A859E9" w:rsidRDefault="00A859E9" w:rsidP="00A859E9">
      <w:pPr>
        <w:pStyle w:val="RepNormal"/>
      </w:pPr>
      <w:r>
        <w:t>As in a number of previous New Zealand prevalence studies and the earlier NGS waves</w:t>
      </w:r>
      <w:r w:rsidR="002D0990">
        <w:t>,</w:t>
      </w:r>
      <w:r>
        <w:t xml:space="preserve"> a range of sociodemographic variables were predictive of at-risk and problem gambling, namely younger age, ethnicity, migrant status, low educational attainment, being unemployed, low personal and household income, large household size and high deprivation.  Odds ratios were very high for Pacific and </w:t>
      </w:r>
      <w:r w:rsidR="00213F9A">
        <w:t>Māori</w:t>
      </w:r>
      <w:r>
        <w:t xml:space="preserve"> ethnicities (OR 13.8 and 6.6</w:t>
      </w:r>
      <w:r w:rsidR="00213F9A">
        <w:t>, respectively</w:t>
      </w:r>
      <w:r>
        <w:t>) and high for Asian ethnicity (OR 3.8)</w:t>
      </w:r>
      <w:r w:rsidR="002D0990">
        <w:t>,</w:t>
      </w:r>
      <w:r>
        <w:t xml:space="preserve"> relative to European/Other</w:t>
      </w:r>
      <w:r w:rsidR="00213F9A">
        <w:t xml:space="preserve"> ethnicity</w:t>
      </w:r>
      <w:r>
        <w:t xml:space="preserve">.  There was a linear association with deprivation.  People scoring four or more on the NZ deprivation index had an odds ratio of 9.2.  High psychological distress (OR 14.9) relative to low distress was also strongly predictive.  Significant but weaker predictors included tobacco use (past and present) measures, hazardous alcohol consumption, cannabis use and other drug use.  </w:t>
      </w:r>
    </w:p>
    <w:p w14:paraId="23A69C52" w14:textId="77777777" w:rsidR="00A859E9" w:rsidRDefault="00A859E9" w:rsidP="00A859E9">
      <w:pPr>
        <w:pStyle w:val="RepNormal"/>
      </w:pPr>
    </w:p>
    <w:p w14:paraId="49C7AA3D" w14:textId="292328FD" w:rsidR="00A859E9" w:rsidRDefault="00A859E9" w:rsidP="00A859E9">
      <w:pPr>
        <w:pStyle w:val="RepNormal"/>
      </w:pPr>
      <w:r w:rsidRPr="00F17C33">
        <w:t>The foregoing predictors of increased gambling risk and problems are inter-related, in some</w:t>
      </w:r>
      <w:r>
        <w:t xml:space="preserve"> cases strongly so.  A number of the gambling measures were retained in the multiple logistic regression analysis, notably frequent participation in continuous gambling </w:t>
      </w:r>
      <w:r w:rsidR="00F17C33">
        <w:t>activities</w:t>
      </w:r>
      <w:r>
        <w:t xml:space="preserve"> including EGMs, sports betting and card games.  Longer typical EGM sessions and high overall gambling expenditure were also retained, as were making short-term speculative investments and </w:t>
      </w:r>
      <w:r w:rsidRPr="0038107A">
        <w:t xml:space="preserve">participating in gambling-type games not for money.  The retention of these </w:t>
      </w:r>
      <w:r w:rsidR="000D45FA" w:rsidRPr="0038107A">
        <w:t>variables</w:t>
      </w:r>
      <w:r w:rsidRPr="0038107A">
        <w:t xml:space="preserve"> indicates</w:t>
      </w:r>
      <w:r>
        <w:t xml:space="preserve"> that they each made significant, independent contributions to prediction.  The use of methods to moderate gambling participation and losses were additional independent predictors.  While the odds ratios for </w:t>
      </w:r>
      <w:r w:rsidR="00F17C33">
        <w:t>Māori</w:t>
      </w:r>
      <w:r>
        <w:t xml:space="preserve"> and Pacific adults were lower in the multivariate analysis they remained high relative to European/Other</w:t>
      </w:r>
      <w:r w:rsidR="00F17C33">
        <w:t xml:space="preserve"> adults</w:t>
      </w:r>
      <w:r>
        <w:t>, indicating that other factors such as lower income and higher deprivation only partially explained the ethnic differences.  In the multivariate analysis</w:t>
      </w:r>
      <w:r w:rsidR="00CA6361">
        <w:t>,</w:t>
      </w:r>
      <w:r>
        <w:t xml:space="preserve"> Asian</w:t>
      </w:r>
      <w:r w:rsidR="00F17C33">
        <w:t xml:space="preserve"> adult</w:t>
      </w:r>
      <w:r>
        <w:t>s</w:t>
      </w:r>
      <w:r w:rsidR="00F17C33">
        <w:t xml:space="preserve"> had a lower rate than European</w:t>
      </w:r>
      <w:r>
        <w:t xml:space="preserve">/Other </w:t>
      </w:r>
      <w:r w:rsidR="00F17C33">
        <w:t xml:space="preserve">adults </w:t>
      </w:r>
      <w:r>
        <w:t xml:space="preserve">suggesting that other factors retained in the analysis accounted for the difference.  Lower household income, greater deprivation, increased number of recent </w:t>
      </w:r>
      <w:r w:rsidR="00F17C33">
        <w:t>major lif</w:t>
      </w:r>
      <w:r>
        <w:t>e events, moderate to high psychological distress and cannabis use were also retained in the multivariate analysis.</w:t>
      </w:r>
    </w:p>
    <w:p w14:paraId="0BDAC5B2" w14:textId="77777777" w:rsidR="00A859E9" w:rsidRDefault="00A859E9" w:rsidP="00A859E9">
      <w:pPr>
        <w:pStyle w:val="RepNormal"/>
      </w:pPr>
    </w:p>
    <w:p w14:paraId="62DF07D7" w14:textId="77777777" w:rsidR="00A859E9" w:rsidRDefault="00A859E9" w:rsidP="00A859E9">
      <w:pPr>
        <w:pStyle w:val="RepNormal"/>
      </w:pPr>
      <w:r w:rsidRPr="005E4847">
        <w:t xml:space="preserve">Predictors of the </w:t>
      </w:r>
      <w:r w:rsidR="005E4847">
        <w:t xml:space="preserve">risk of being in the combined moderate-risk and problem gambling category in the bivariate analysis </w:t>
      </w:r>
      <w:r>
        <w:t xml:space="preserve">were similar to those for </w:t>
      </w:r>
      <w:r w:rsidR="005E4847">
        <w:t xml:space="preserve">the </w:t>
      </w:r>
      <w:r>
        <w:t xml:space="preserve">wider at-risk and problem category discussed above.  The gambling participation risk factors were very similar with particularly high odds ratios for frequent participation in continuous gambling </w:t>
      </w:r>
      <w:r w:rsidR="005E4847">
        <w:t>activities</w:t>
      </w:r>
      <w:r>
        <w:t xml:space="preserve">, participation in seven or more activities, monthly expenditure of </w:t>
      </w:r>
      <w:r w:rsidR="005E4847">
        <w:t>greater than</w:t>
      </w:r>
      <w:r>
        <w:t xml:space="preserve"> $50</w:t>
      </w:r>
      <w:r w:rsidR="009564A1">
        <w:t>,</w:t>
      </w:r>
      <w:r>
        <w:t xml:space="preserve"> and monthly or more frequent participation in pub EGMs, casino EGMs and EGMs overall, overseas internet gambling, offshore gambling, </w:t>
      </w:r>
      <w:r w:rsidR="005E4847">
        <w:t xml:space="preserve">track betting, </w:t>
      </w:r>
      <w:r>
        <w:t>sports betting, playing hous</w:t>
      </w:r>
      <w:r w:rsidR="005E4847">
        <w:t>i</w:t>
      </w:r>
      <w:r>
        <w:t>e or bingo</w:t>
      </w:r>
      <w:r w:rsidR="005E4847">
        <w:t>,</w:t>
      </w:r>
      <w:r>
        <w:t xml:space="preserve"> and card games.  Longer EGM sessions were again strongly predictive, especially pub EGMs.  Methods used to moderate gambling were </w:t>
      </w:r>
      <w:r w:rsidR="00C61A18">
        <w:t>also</w:t>
      </w:r>
      <w:r>
        <w:t xml:space="preserve"> similarly evident.  Many of these risk factors were retained in the multivariate analysis including the very high odds ratio for longer pub EGM sessions.  The sociodemographic risk factors were similar especially with regard to ethnicity, labour force status, education and deprivation.  Migrant status, education, income and household size, however, were not.  Low quality of life, high </w:t>
      </w:r>
      <w:r w:rsidR="009564A1">
        <w:t xml:space="preserve">psychological </w:t>
      </w:r>
      <w:r>
        <w:t>distress</w:t>
      </w:r>
      <w:r w:rsidR="009564A1">
        <w:t>,</w:t>
      </w:r>
      <w:r>
        <w:t xml:space="preserve"> and tobacco and cannabis use were again implicated although alcohol use was</w:t>
      </w:r>
      <w:r w:rsidR="00C61A18">
        <w:t xml:space="preserve"> no</w:t>
      </w:r>
      <w:r>
        <w:t>t.  In the multivariate analysis</w:t>
      </w:r>
      <w:r w:rsidR="00C61A18">
        <w:t>,</w:t>
      </w:r>
      <w:r>
        <w:t xml:space="preserve"> ethnicity and deprivation were retained, along with quality of life and psychological distress.  </w:t>
      </w:r>
    </w:p>
    <w:p w14:paraId="213CBC91" w14:textId="77777777" w:rsidR="00A859E9" w:rsidRDefault="00A859E9" w:rsidP="00A859E9">
      <w:pPr>
        <w:pStyle w:val="RepNormal"/>
      </w:pPr>
    </w:p>
    <w:p w14:paraId="321ACB03" w14:textId="44E82815" w:rsidR="00A859E9" w:rsidRDefault="00A859E9" w:rsidP="00A859E9">
      <w:pPr>
        <w:pStyle w:val="RepNormal"/>
      </w:pPr>
      <w:r>
        <w:t>The only other New Zealand prospective study that examined associations between a range of gambling participation and sociodemographic variables and increased PGSI gambling risk found, as did the present study, that participation in continuous gambling activities and EGM participation were strong predictors (Kruse et al</w:t>
      </w:r>
      <w:r w:rsidR="00C61A18">
        <w:t>.</w:t>
      </w:r>
      <w:r>
        <w:t>, 2016).  Far fewe</w:t>
      </w:r>
      <w:r w:rsidR="00C61A18">
        <w:t xml:space="preserve">r measures were included </w:t>
      </w:r>
      <w:r>
        <w:t xml:space="preserve">than in the NGS and </w:t>
      </w:r>
      <w:r w:rsidR="00C941EA">
        <w:t>the study</w:t>
      </w:r>
      <w:r>
        <w:t xml:space="preserve"> also had a smaller sample and much higher attrition.  Baseline measures, additional to gambling participation, included gender, age, ethnicity, employment status, stress, social connectedness and neighbourhood deprivation.  Apart from the two gambling participation measures mentioned, only baseline no-risk (non-problem) PGSI status, Pacific ethnicity and high neighbourhood deprivation status were retained in multivariate analyses.  The gambling participati</w:t>
      </w:r>
      <w:r w:rsidR="00C61A18">
        <w:t>on predictors identified in the</w:t>
      </w:r>
      <w:r>
        <w:t xml:space="preserve"> study were also major predictors in the NGS.  Pacific ethnicity and deprivation have also been found to be consistently and strongly linked to future at-risk and problem gambling development in the NGS.    </w:t>
      </w:r>
    </w:p>
    <w:p w14:paraId="48EAFEBE" w14:textId="77777777" w:rsidR="00A859E9" w:rsidRDefault="00A859E9" w:rsidP="00A859E9">
      <w:pPr>
        <w:pStyle w:val="RepNormal"/>
      </w:pPr>
    </w:p>
    <w:p w14:paraId="7A3B91E4" w14:textId="2D7F86A7" w:rsidR="00A859E9" w:rsidRDefault="00A859E9" w:rsidP="00A859E9">
      <w:pPr>
        <w:pStyle w:val="RepNormal"/>
      </w:pPr>
      <w:r>
        <w:t>Given the large at-risk and problem gambling prevalence and incidence ethnic differences evident in the NGS</w:t>
      </w:r>
      <w:r w:rsidR="00C61A18">
        <w:t>,</w:t>
      </w:r>
      <w:r>
        <w:t xml:space="preserve"> there was interest in examining major ethnic groups separately.  The same </w:t>
      </w:r>
      <w:r w:rsidRPr="0038107A">
        <w:t xml:space="preserve">analyses were </w:t>
      </w:r>
      <w:r w:rsidR="000D45FA" w:rsidRPr="0038107A">
        <w:t>conducted</w:t>
      </w:r>
      <w:r w:rsidRPr="0038107A">
        <w:t xml:space="preserve"> for </w:t>
      </w:r>
      <w:r w:rsidR="00C61A18" w:rsidRPr="0038107A">
        <w:t>Māori</w:t>
      </w:r>
      <w:r w:rsidRPr="0038107A">
        <w:t xml:space="preserve"> and Pacific adults as for the adult population as a whole.  </w:t>
      </w:r>
      <w:r w:rsidR="008C00B2" w:rsidRPr="0038107A">
        <w:t>M</w:t>
      </w:r>
      <w:r w:rsidRPr="0038107A">
        <w:t>ost</w:t>
      </w:r>
      <w:r w:rsidR="008C00B2" w:rsidRPr="0038107A">
        <w:t>ly,</w:t>
      </w:r>
      <w:r w:rsidRPr="0038107A">
        <w:t xml:space="preserve"> the risk factors for these two ethnic groups are very similar to those for adults generally.  This means that prevention policies and practices directed at these risk factors are likely to have relevance across these different ethnic groups.  While this is the case</w:t>
      </w:r>
      <w:r w:rsidR="00291D5C" w:rsidRPr="0038107A">
        <w:t>,</w:t>
      </w:r>
      <w:r w:rsidRPr="0038107A">
        <w:t xml:space="preserve"> it will be recalled that </w:t>
      </w:r>
      <w:r w:rsidR="00291D5C" w:rsidRPr="0038107A">
        <w:t>Māori</w:t>
      </w:r>
      <w:r w:rsidRPr="0038107A">
        <w:t xml:space="preserve"> and Pacific ethnicity, in contrast to Asian ethnicity, remained a significant predictor of at-risk and problem gambling when examined alongside other factors in multivariate analyses.  </w:t>
      </w:r>
      <w:r w:rsidR="000D45FA" w:rsidRPr="0038107A">
        <w:t>Therefore,</w:t>
      </w:r>
      <w:r w:rsidR="00291D5C" w:rsidRPr="0038107A">
        <w:t xml:space="preserve"> there are </w:t>
      </w:r>
      <w:r w:rsidR="000D45FA" w:rsidRPr="0038107A">
        <w:t xml:space="preserve">likely to be </w:t>
      </w:r>
      <w:r w:rsidR="00291D5C" w:rsidRPr="0038107A">
        <w:t>additional factors</w:t>
      </w:r>
      <w:r w:rsidRPr="0038107A">
        <w:t xml:space="preserve"> as</w:t>
      </w:r>
      <w:r w:rsidR="00291D5C" w:rsidRPr="0038107A">
        <w:t>sociated with these ethnicities</w:t>
      </w:r>
      <w:r w:rsidRPr="0038107A">
        <w:t xml:space="preserve"> that are not accounted for by factors such as higher deprivation and psychological distress.  Further investigation is required </w:t>
      </w:r>
      <w:r w:rsidR="00291D5C" w:rsidRPr="0038107A">
        <w:t xml:space="preserve">to </w:t>
      </w:r>
      <w:r w:rsidRPr="0038107A">
        <w:t>identify what these factors are</w:t>
      </w:r>
      <w:r w:rsidR="00766359" w:rsidRPr="0038107A">
        <w:t>,</w:t>
      </w:r>
      <w:r w:rsidRPr="0038107A">
        <w:t xml:space="preserve"> and consider what role they might</w:t>
      </w:r>
      <w:r>
        <w:t xml:space="preserve"> play in problem gambling development, treatment and prevention.</w:t>
      </w:r>
    </w:p>
    <w:p w14:paraId="5A58D3FC" w14:textId="77777777" w:rsidR="00A859E9" w:rsidRDefault="00A859E9" w:rsidP="00A859E9">
      <w:pPr>
        <w:pStyle w:val="RepNormal"/>
      </w:pPr>
    </w:p>
    <w:p w14:paraId="1CC943A4" w14:textId="77777777" w:rsidR="00A859E9" w:rsidRDefault="00A859E9" w:rsidP="00A859E9">
      <w:pPr>
        <w:pStyle w:val="RepNormal"/>
      </w:pPr>
      <w:r>
        <w:t>In recent years</w:t>
      </w:r>
      <w:r w:rsidR="004D6685">
        <w:t>,</w:t>
      </w:r>
      <w:r>
        <w:t xml:space="preserve"> there has been growing interest in developing low-risk or safe gambling limits as a means of preventing the development of problem gambling and gambling-related harm.  The foregoing findings are relevant to this topic.  The low-risk gambling concept derives from the alcohol field where ‘safe’ intake levels, defined as a certain number of standard drinks consumed over specified times, have been developed and widely promulgated as part of public health programmes.  In the gambling field</w:t>
      </w:r>
      <w:r w:rsidR="004D6685">
        <w:t>,</w:t>
      </w:r>
      <w:r>
        <w:t xml:space="preserve"> the focus has been on identifying a small number of gambling participation measures that are strong predictors of problem gambling development.  </w:t>
      </w:r>
      <w:r w:rsidRPr="002813BD">
        <w:t>Currie et al</w:t>
      </w:r>
      <w:r w:rsidR="004D6685" w:rsidRPr="002813BD">
        <w:t>.</w:t>
      </w:r>
      <w:r w:rsidRPr="002813BD">
        <w:t xml:space="preserve"> (2006, 2008, 2017), leading researchers in this field, have examined three general participation measures (times </w:t>
      </w:r>
      <w:r w:rsidR="004D6685" w:rsidRPr="002813BD">
        <w:t>gambling</w:t>
      </w:r>
      <w:r w:rsidRPr="002813BD">
        <w:t xml:space="preserve"> per month, monthly gambling expenditure </w:t>
      </w:r>
      <w:r w:rsidR="004D6685" w:rsidRPr="002813BD">
        <w:t xml:space="preserve">and </w:t>
      </w:r>
      <w:r w:rsidRPr="002813BD">
        <w:t>percentage of income spent on gambling) in relation to gambling-related harm.  Their initial studies w</w:t>
      </w:r>
      <w:r w:rsidR="004D6685" w:rsidRPr="002813BD">
        <w:t>ere limited by the use of cross-</w:t>
      </w:r>
      <w:r w:rsidRPr="002813BD">
        <w:t>sectional data (Currie et al</w:t>
      </w:r>
      <w:r w:rsidR="004D6685" w:rsidRPr="002813BD">
        <w:t>., 2006,</w:t>
      </w:r>
      <w:r w:rsidRPr="002813BD">
        <w:t xml:space="preserve"> 2008).  Nevertheless</w:t>
      </w:r>
      <w:r w:rsidR="004D6685" w:rsidRPr="002813BD">
        <w:t>,</w:t>
      </w:r>
      <w:r>
        <w:t xml:space="preserve"> the findings of these studies were promising and this year they extended their research by drawing on data from two general population prospective studies, namely the Williams et al</w:t>
      </w:r>
      <w:r w:rsidR="004D6685">
        <w:t>.</w:t>
      </w:r>
      <w:r>
        <w:t xml:space="preserve"> (2015) and el-Guebaly et al</w:t>
      </w:r>
      <w:r w:rsidR="004D6685">
        <w:t>.</w:t>
      </w:r>
      <w:r>
        <w:t xml:space="preserve"> (2015) Canadian studies mentioned previously in this report.  The recent Currie et al</w:t>
      </w:r>
      <w:r w:rsidR="004D6685">
        <w:t>.</w:t>
      </w:r>
      <w:r>
        <w:t xml:space="preserve"> </w:t>
      </w:r>
      <w:r w:rsidR="004D6685">
        <w:t xml:space="preserve">(2017) </w:t>
      </w:r>
      <w:r>
        <w:t>research used the seven PGSI ‘harm’ items, administered 12 months after the baseline assessment, as the outcome measure.  Optimal cut-points were identified for the three measures that predicted future harm.</w:t>
      </w:r>
    </w:p>
    <w:p w14:paraId="70349CED" w14:textId="77777777" w:rsidR="00A859E9" w:rsidRDefault="00A859E9" w:rsidP="00A859E9">
      <w:pPr>
        <w:pStyle w:val="RepNormal"/>
      </w:pPr>
    </w:p>
    <w:p w14:paraId="2D7532B3" w14:textId="255DA337" w:rsidR="00A859E9" w:rsidRDefault="00A859E9" w:rsidP="00A859E9">
      <w:pPr>
        <w:pStyle w:val="RepNormal"/>
      </w:pPr>
      <w:r>
        <w:t>Although statistically significant, Currie et al</w:t>
      </w:r>
      <w:r w:rsidR="004D6685">
        <w:t>.’s</w:t>
      </w:r>
      <w:r>
        <w:t xml:space="preserve"> (2017) risk factors accounted for less than 20% of the variation in harm, with odds ratios ranging from 1.4 to 3.1.  Independently and in combination these measures are only moderately strong predictors of problem development and Currie et al</w:t>
      </w:r>
      <w:r w:rsidR="004D6685">
        <w:t>.</w:t>
      </w:r>
      <w:r>
        <w:t xml:space="preserve"> (2017), for this reason among others, caution against their premature application.  Can more robust limits be developed?  Abbott (2017</w:t>
      </w:r>
      <w:r w:rsidR="001F71B4">
        <w:t>d</w:t>
      </w:r>
      <w:r>
        <w:t>) discusses a number of challenges</w:t>
      </w:r>
      <w:r w:rsidR="00C941EA">
        <w:t xml:space="preserve"> to the development of low-risk limits</w:t>
      </w:r>
      <w:r>
        <w:t>, including the diversity of gambling forms and settings, wide variation in the ‘toxicity’ of different activities and, in contrast to the situation with alcohol, lack of a standard gambling unit.  This is evident in the present study where people who participated monthly or more often in pub EGMs were over 36 times more likely to become at-risk or problem gamblers over a 12 m</w:t>
      </w:r>
      <w:r w:rsidR="004D6685">
        <w:t>onth period than those who did no</w:t>
      </w:r>
      <w:r>
        <w:t>t.  This frequency of participation in some other activities also had particularly strong associations.  As mentioned</w:t>
      </w:r>
      <w:r w:rsidR="00AF4377">
        <w:t>,</w:t>
      </w:r>
      <w:r>
        <w:t xml:space="preserve"> card playing</w:t>
      </w:r>
      <w:r w:rsidR="00AF4377">
        <w:t>,</w:t>
      </w:r>
      <w:r>
        <w:t xml:space="preserve"> housie and bingo</w:t>
      </w:r>
      <w:r w:rsidR="00636FA4">
        <w:t>,</w:t>
      </w:r>
      <w:r>
        <w:t xml:space="preserve"> and sports betting all had odds ratios of 15 or higher.  In contrast</w:t>
      </w:r>
      <w:r w:rsidR="00636FA4">
        <w:t>,</w:t>
      </w:r>
      <w:r>
        <w:t xml:space="preserve"> the odds ratio for Lotto was 2.0.  It seems likely that enhanced prediction will require inclusion of particular gambling </w:t>
      </w:r>
      <w:r w:rsidR="00636FA4">
        <w:t>activities</w:t>
      </w:r>
      <w:r>
        <w:t xml:space="preserve">, especially those such as EGMs that are strongly predictive across a variety of settings and jurisdictions.  Inter-relationships between participation in different forms of gambling are typically strong and sometimes complex.  Multivariate analyses, as is evident in the present study and elsewhere, indicate that both type-specific and more generic participation measures uniquely predict gambling-related </w:t>
      </w:r>
      <w:r w:rsidRPr="005719A8">
        <w:t>harm (Quilty</w:t>
      </w:r>
      <w:r w:rsidR="005719A8">
        <w:t>, Avila Murati, &amp; Bagby</w:t>
      </w:r>
      <w:r w:rsidRPr="005719A8">
        <w:t>, 2014).</w:t>
      </w:r>
      <w:r>
        <w:t xml:space="preserve">             </w:t>
      </w:r>
    </w:p>
    <w:p w14:paraId="0426C796" w14:textId="77777777" w:rsidR="00E70A66" w:rsidRDefault="00E70A66" w:rsidP="00E70A66">
      <w:pPr>
        <w:pStyle w:val="RepNormal"/>
      </w:pPr>
    </w:p>
    <w:p w14:paraId="5EC36EB4" w14:textId="3AFC3D96" w:rsidR="00E70A66" w:rsidRDefault="00E70A66" w:rsidP="00E70A66">
      <w:pPr>
        <w:pStyle w:val="RepNormal"/>
      </w:pPr>
      <w:r>
        <w:t>Two of the three generic measures used by Currie et al. (2017) (frequency of gambling participation and monthly gambling expenditure) were included in the NGS.  Both were moderately predictive of movement into the combined at-risk and problem gambling category.  This replicates the Currie et al. findings.  However, frequent participation in continuous gambling activities was more strongly predictive than was frequent participation in non-continuous activities or in gambling activities overall.  Additionally, as mentioned, frequent participation in EGMs and some other specific forms of gambling were much stronger predictors.  Typical EGM session length was a very strong predictor.  Another generic measure, number of different gambling activities participated in, was an additional predictor, stronger than overall participation and monthly expenditure.  Number of activities participated in has been found to be a strong correlate of problem gambling in previous studies, and the NGS results indicate that it is also predictive of future gambling risk and harm.  A recent prospective study found two further gambling-related factors (gambling reinforcement value and gambling fallacies) predicted increased risk and problem onset (Jonsson</w:t>
      </w:r>
      <w:r w:rsidR="00D554D9">
        <w:t>, Abbott, Sj</w:t>
      </w:r>
      <w:r w:rsidR="00D554D9">
        <w:rPr>
          <w:rFonts w:cs="Times New Roman"/>
        </w:rPr>
        <w:t>ö</w:t>
      </w:r>
      <w:r w:rsidR="00D554D9">
        <w:t>berg &amp; Carlbring</w:t>
      </w:r>
      <w:r>
        <w:t xml:space="preserve">, 2017).  The inclusion of the number of gambling activities engaged in, time spent gambling and </w:t>
      </w:r>
      <w:r w:rsidR="0038107A">
        <w:t xml:space="preserve">some </w:t>
      </w:r>
      <w:r>
        <w:t xml:space="preserve">other gambling-related measures </w:t>
      </w:r>
      <w:r w:rsidR="0038107A">
        <w:t>may</w:t>
      </w:r>
      <w:r>
        <w:t xml:space="preserve"> strengthen prediction of generic risk limits or guidelines.</w:t>
      </w:r>
    </w:p>
    <w:p w14:paraId="0A7AC57D" w14:textId="77777777" w:rsidR="00E70A66" w:rsidRDefault="00E70A66" w:rsidP="00E70A66">
      <w:pPr>
        <w:pStyle w:val="RepNormal"/>
      </w:pPr>
    </w:p>
    <w:p w14:paraId="22F6F493" w14:textId="2555F1D8" w:rsidR="00E70A66" w:rsidRDefault="00E70A66" w:rsidP="00E70A66">
      <w:pPr>
        <w:pStyle w:val="RepNormal"/>
      </w:pPr>
      <w:r>
        <w:t>Although gambling participation measures, including past gambling problems, are generally the strongest predictors of future at-risk and problematic gambling, the NGS and other recent prospective studies have shown that many additional factors play a part.  In the NGS, non-gambling factors with odds ratios similar to or higher than overall gambling frequency include Māori and Pacific ethnicity, high deprivation, high psychological distress and the use of some methods to reduce or control gambling.  Additional predictive factors of somewhat lower strength were mentioned earlier.  The NGS findings are broadly consistent with those of other studies and reviews that consider a wider range of factors (Abbott et al., 2015d; Williams et al., 2015).  It seems likely that different participation ‘thresholds’ may apply to different groups, for example, indigenous and some recent migrant groups, people living in high deprivation settings and experiencing high levels of psychological distress.  Currie et al. (2017) considered this and noted “additional guidelines and cautionary statements for more vulnerable populations” may be required.  As mentioned, past problem gamblers come into this category</w:t>
      </w:r>
      <w:r w:rsidR="0038107A">
        <w:t>.  I</w:t>
      </w:r>
      <w:r>
        <w:t>n some jurisdictions</w:t>
      </w:r>
      <w:r w:rsidR="0038107A">
        <w:t>,</w:t>
      </w:r>
      <w:r>
        <w:t xml:space="preserve"> including New Zealand, possibly as many as two-thirds of incident cases </w:t>
      </w:r>
      <w:r w:rsidR="0038107A">
        <w:t>are</w:t>
      </w:r>
      <w:r>
        <w:t xml:space="preserve"> relapsing problem gamblers.  Further research is required to increase understanding of relapse and find ways to prevent it.</w:t>
      </w:r>
    </w:p>
    <w:p w14:paraId="77116CA9" w14:textId="77777777" w:rsidR="00E70A66" w:rsidRDefault="00E70A66" w:rsidP="00E70A66">
      <w:pPr>
        <w:pStyle w:val="RepNormal"/>
      </w:pPr>
    </w:p>
    <w:p w14:paraId="7282979D" w14:textId="77777777" w:rsidR="00E70A66" w:rsidRDefault="00E70A66" w:rsidP="00E70A66">
      <w:pPr>
        <w:pStyle w:val="RepNormal"/>
      </w:pPr>
      <w:r>
        <w:t>Relative to the alcohol field, where there are substantial bodies of research examining consumption patterns in relation to a wide variety of morbidities over long time periods, research on linkages between gambling participation and harm is in its infancy.  As mentioned, until recently</w:t>
      </w:r>
      <w:r w:rsidR="00A168F8">
        <w:t>,</w:t>
      </w:r>
      <w:r>
        <w:t xml:space="preserve"> relevant research has been predominantly cross-sectional.  It has yet to consider the wider spectrum of gambling-related morbidities and harm.  The PGSI items included in Currie et al.’s (2017) paper cover three gambling harm domains.  Brown et al. (2016, 2</w:t>
      </w:r>
      <w:r w:rsidR="00A168F8">
        <w:t>017) have</w:t>
      </w:r>
      <w:r>
        <w:t xml:space="preserve"> identified seven domains.  To date, prospective exploration of participation and other gambling-related measures has been limited to one or a few years.  This is a very weak foundation on which to base guidelines or limits to reduce future harm.</w:t>
      </w:r>
    </w:p>
    <w:p w14:paraId="16FF4492" w14:textId="77777777" w:rsidR="00E70A66" w:rsidRDefault="00E70A66" w:rsidP="00E70A66">
      <w:pPr>
        <w:pStyle w:val="RepNormal"/>
      </w:pPr>
    </w:p>
    <w:p w14:paraId="59F6431E" w14:textId="3BDF7F26" w:rsidR="00E70A66" w:rsidRDefault="00E70A66" w:rsidP="00E70A66">
      <w:pPr>
        <w:pStyle w:val="RepNormal"/>
      </w:pPr>
      <w:r>
        <w:t>Currie et al. (2017) found that the risk curves for their three generic consumption measures were j-shaped.  In other words, there was a threshold beyond which increased consumption was associated with a substantial increase in harm.  Below the threshold, at the lowest participation level, there was no association with harm.  Moderate participation below the threshold was apparently protective.  Markham</w:t>
      </w:r>
      <w:r w:rsidR="00A02DD9">
        <w:t>, Young and Doran (2016</w:t>
      </w:r>
      <w:r>
        <w:t>) also examined risk curves for one of the Currie et al. general measures, total gambling expenditure, as well as for a number of separate gambling forms in different countries.  They found that curves were mainly linear and r-shaped and varied somewhat across different gambling activities and countries.  Linear relationships refer to increasing harm with increasing expenditure.  R-shaped curves refer to risk increasing more at low to moderat</w:t>
      </w:r>
      <w:r w:rsidR="00ED773C">
        <w:t>e levels and then attenuating.</w:t>
      </w:r>
    </w:p>
    <w:p w14:paraId="648B094A" w14:textId="77777777" w:rsidR="007F4C35" w:rsidRDefault="007F4C35" w:rsidP="00E70A66">
      <w:pPr>
        <w:pStyle w:val="RepNormal"/>
      </w:pPr>
    </w:p>
    <w:p w14:paraId="5779CAEF" w14:textId="77777777" w:rsidR="00A859E9" w:rsidRDefault="00E70A66" w:rsidP="00E70A66">
      <w:pPr>
        <w:pStyle w:val="RepNormal"/>
      </w:pPr>
      <w:r>
        <w:t>In the NGS, increased time spent playing EGMs in pubs has a strong linear relationship with increased risk of becoming an at-risk or problem gambler.  Even low average session duration (up to 15 minutes) in all three settings (pubs, casinos and clubs) was associated with significantly higher risk</w:t>
      </w:r>
      <w:r w:rsidR="004A2803">
        <w:t>, compared with</w:t>
      </w:r>
      <w:r>
        <w:t xml:space="preserve"> not participating.  However, in contrast to the strong linear relationship for pub EGMs, in casinos and clubs the relationship plateaued until session length increased to 60 minutes or more.  At that point risk increased sharply.  These findings suggest that relationships between gambling participation and harm are complex and may vary by setting as well as gambling type.  The challenge in developing a small number of safe or low-risk gambling participation guidelines is considerable and may be insurmountable (Abbott, 2017</w:t>
      </w:r>
      <w:r w:rsidR="001F71B4">
        <w:t>d</w:t>
      </w:r>
      <w:r>
        <w:t xml:space="preserve">).  </w:t>
      </w:r>
      <w:r w:rsidR="00980A3B">
        <w:t>However</w:t>
      </w:r>
      <w:r>
        <w:t xml:space="preserve">, there is value in increasing understanding of harm, both short and long term, linked to participation in different gambling activities and settings, and the individual and other factors that influence the risk of harm arising from participation.  This is relevant to the development of harm reduction and prevention policies and programmes.  Irrespective of whether or not generic or hybrid low-risk gambling limits can be derived, to be effective in reducing problem gambling development and harm they will undoubtedly need to be augmented by prevention policies and programmes that address the wide variety of modifiable risk and protective factors at multiple levels </w:t>
      </w:r>
      <w:r w:rsidR="00980A3B">
        <w:t>(</w:t>
      </w:r>
      <w:r>
        <w:t>individual, community and society-wide</w:t>
      </w:r>
      <w:r w:rsidR="00980A3B">
        <w:t>)</w:t>
      </w:r>
      <w:r>
        <w:t xml:space="preserve"> and include both supply and demand reduction strategies.</w:t>
      </w:r>
    </w:p>
    <w:p w14:paraId="766B2862" w14:textId="77777777" w:rsidR="00E70A66" w:rsidRDefault="00E70A66" w:rsidP="00A859E9">
      <w:pPr>
        <w:pStyle w:val="RepNormal"/>
      </w:pPr>
    </w:p>
    <w:p w14:paraId="07F93795" w14:textId="77777777" w:rsidR="00A859E9" w:rsidRDefault="00636FA4" w:rsidP="00A859E9">
      <w:pPr>
        <w:pStyle w:val="RepNormal"/>
      </w:pPr>
      <w:r>
        <w:t>A</w:t>
      </w:r>
      <w:r w:rsidR="00A859E9">
        <w:t>ddition</w:t>
      </w:r>
      <w:r>
        <w:t>al</w:t>
      </w:r>
      <w:r w:rsidR="00A859E9">
        <w:t xml:space="preserve"> to the development of increased risk and problem gambling</w:t>
      </w:r>
      <w:r>
        <w:t>,</w:t>
      </w:r>
      <w:r w:rsidR="00A859E9">
        <w:t xml:space="preserve"> this study was also interested in recovery and relapse.  Recovery was defined as problem and moderate-risk gamblers at baseline who transitioned out of these categories and remained at lower-risk or in the non-problem or non-gambling categories in </w:t>
      </w:r>
      <w:r>
        <w:t xml:space="preserve">Waves </w:t>
      </w:r>
      <w:r w:rsidR="00A859E9">
        <w:t xml:space="preserve">2, 3 and 4.  Relapse was defined as problem and moderate-risk gamblers at baseline who were not in this category in </w:t>
      </w:r>
      <w:r>
        <w:t xml:space="preserve">Wave </w:t>
      </w:r>
      <w:r w:rsidR="00A859E9">
        <w:t xml:space="preserve">2 but who became problem and moderate-risk gamblers again in </w:t>
      </w:r>
      <w:r>
        <w:t xml:space="preserve">Wave </w:t>
      </w:r>
      <w:r w:rsidR="00A859E9">
        <w:t xml:space="preserve">3 and/or </w:t>
      </w:r>
      <w:r>
        <w:t xml:space="preserve">Wave </w:t>
      </w:r>
      <w:r w:rsidR="00A859E9">
        <w:t>4.  The small numbers of people involved and resulting low statistical power limited the factors that could be considered</w:t>
      </w:r>
      <w:r>
        <w:t>,</w:t>
      </w:r>
      <w:r w:rsidR="00A859E9">
        <w:t xml:space="preserve"> including the possibility of identifying potential different predictors for major ethnic groups.</w:t>
      </w:r>
    </w:p>
    <w:p w14:paraId="7ED60BE4" w14:textId="77777777" w:rsidR="00CF3365" w:rsidRDefault="00CF3365" w:rsidP="00CF3365">
      <w:pPr>
        <w:pStyle w:val="RepNormal"/>
      </w:pPr>
    </w:p>
    <w:p w14:paraId="749335F1" w14:textId="77777777" w:rsidR="00CF3365" w:rsidRDefault="00CF3365" w:rsidP="00CF3365">
      <w:pPr>
        <w:pStyle w:val="RepNormal"/>
      </w:pPr>
      <w:r>
        <w:t xml:space="preserve">Over three-quarters of moderate-risk and problem gamblers ‘recovered’, as defined in the previous paragraph, and just less than a quarter remained moderate-risk or problem gamblers throughout the course of the study.  A number of gambling participation measures were associated with recovery.  People who participated in three or fewer gambling activities were more likely to recover than those who took part in multiple activities.  Participation in a number of particular gambling activities </w:t>
      </w:r>
      <w:r w:rsidR="003B5E77">
        <w:t>was</w:t>
      </w:r>
      <w:r>
        <w:t xml:space="preserve"> associated with lower recovery rates in the bivariate analyses.  Younger age, middle personal income, and living in a household of three to four people relative to a household of one or two</w:t>
      </w:r>
      <w:r w:rsidR="003B5E77">
        <w:t>,</w:t>
      </w:r>
      <w:r>
        <w:t xml:space="preserve"> were associated with higher recovery rates.  These sociodemographic factors were not, however, retained in the multivariate analysis.  When the various predictors were considered together in the multivariate analysis, only betting on horse and dog races</w:t>
      </w:r>
      <w:r w:rsidR="003B5E77">
        <w:t>,</w:t>
      </w:r>
      <w:r>
        <w:t xml:space="preserve"> and </w:t>
      </w:r>
      <w:r w:rsidR="003B5E77">
        <w:t xml:space="preserve">on </w:t>
      </w:r>
      <w:r>
        <w:t>Instant Kiwi and other scratch tickets</w:t>
      </w:r>
      <w:r w:rsidR="003B5E77">
        <w:t>,</w:t>
      </w:r>
      <w:r>
        <w:t xml:space="preserve"> remained as robust predictors.  Interestingly, for the adult population as a whole, these forms of gambling were only moderately strongly associated with the development of moderate-risk and problem gambling and were not retained in the multivariate analysis.  For Māori, however, betting on horse and dog races was retained.  It is unclear why instant lottery participation is associated with low recovery rates.  The association with track betting, however, has been found previously.  The first general population prospective study of gambling and problem gambling included re-assessment of a subsample of 77 problem gamblers seven years after their baseline assessment (Abbott et al., 1999, 2004</w:t>
      </w:r>
      <w:r w:rsidR="003B5E77">
        <w:t>b</w:t>
      </w:r>
      <w:r>
        <w:t>).  In a multiple logistic regression analysis, three baseline measures were retained as independent predictors of chronicity (problem persistence seven years later).  The strongest predictor was a preference for betting on horse and dog races relative to a preference for Lotto or another gambling activity, or no preference.  The other predictors were higher baseline problem gambling severity and hazardous alcohol consumption.</w:t>
      </w:r>
    </w:p>
    <w:p w14:paraId="5A4F97A3" w14:textId="77777777" w:rsidR="00622B35" w:rsidRDefault="00622B35" w:rsidP="00CF3365">
      <w:pPr>
        <w:pStyle w:val="RepNormal"/>
      </w:pPr>
    </w:p>
    <w:p w14:paraId="0521F997" w14:textId="77777777" w:rsidR="00CF3365" w:rsidRDefault="00CF3365" w:rsidP="00CF3365">
      <w:pPr>
        <w:pStyle w:val="RepNormal"/>
      </w:pPr>
      <w:r w:rsidRPr="00F37C5A">
        <w:t>The Abbott et al</w:t>
      </w:r>
      <w:r w:rsidR="00F37C5A">
        <w:t>.</w:t>
      </w:r>
      <w:r w:rsidRPr="00F37C5A">
        <w:t xml:space="preserve"> (1999</w:t>
      </w:r>
      <w:r w:rsidR="00F37C5A">
        <w:t>,</w:t>
      </w:r>
      <w:r w:rsidRPr="00F37C5A">
        <w:t xml:space="preserve"> 2004</w:t>
      </w:r>
      <w:r w:rsidR="00C40677">
        <w:t>b</w:t>
      </w:r>
      <w:r w:rsidRPr="00F37C5A">
        <w:t>) study participants were recruited from the 1991 New Zealand</w:t>
      </w:r>
      <w:r>
        <w:t xml:space="preserve"> national survey (Abbott &amp; Volberg, 1991</w:t>
      </w:r>
      <w:r w:rsidR="00F37C5A">
        <w:t>,</w:t>
      </w:r>
      <w:r>
        <w:t xml:space="preserve"> 1992</w:t>
      </w:r>
      <w:r w:rsidR="00F37C5A">
        <w:t>,</w:t>
      </w:r>
      <w:r>
        <w:t xml:space="preserve"> 1996).  In that study problem gamblers, relative to non-problem gamblers, had strong preferences for betting on horse or dog races and EGM participation.  Preferences for these activities and frequent participation in them were both strong predictors of concurrent problem gambling status.  However, whereas problem gamblers </w:t>
      </w:r>
      <w:r w:rsidR="00552936">
        <w:t xml:space="preserve">in 1991 </w:t>
      </w:r>
      <w:r>
        <w:t xml:space="preserve">markedly reduced their EGM participation over the course of seven years, there was no change in track betting involvement.  It appears that track betting is more ‘embedded’ in the lives of problem gamblers who prefer this gambling </w:t>
      </w:r>
      <w:r w:rsidR="007B0E55">
        <w:t xml:space="preserve">activity </w:t>
      </w:r>
      <w:r>
        <w:t>and more likely to persist over time than EGM involvement.  Abbott et al</w:t>
      </w:r>
      <w:r w:rsidR="00F37C5A">
        <w:t>.</w:t>
      </w:r>
      <w:r>
        <w:t xml:space="preserve"> (1999) suggested that this could large</w:t>
      </w:r>
      <w:r w:rsidR="00F37C5A">
        <w:t>ly</w:t>
      </w:r>
      <w:r>
        <w:t xml:space="preserve"> account for the worse prognosis for problem gamblers with a preference for track betting.  To our knowledge the NGS is the first study to replicate the association of track betting with problem chronicity.</w:t>
      </w:r>
    </w:p>
    <w:p w14:paraId="0370D1A7" w14:textId="77777777" w:rsidR="00CF3365" w:rsidRDefault="00CF3365" w:rsidP="00CF3365">
      <w:pPr>
        <w:pStyle w:val="RepNormal"/>
      </w:pPr>
    </w:p>
    <w:p w14:paraId="1A27A533" w14:textId="77777777" w:rsidR="007239FD" w:rsidRDefault="00CF3365" w:rsidP="00CF3365">
      <w:pPr>
        <w:pStyle w:val="RepNormal"/>
      </w:pPr>
      <w:r w:rsidRPr="002813BD">
        <w:t>As indicated</w:t>
      </w:r>
      <w:r w:rsidR="00F37C5A" w:rsidRPr="002813BD">
        <w:t>,</w:t>
      </w:r>
      <w:r w:rsidRPr="002813BD">
        <w:t xml:space="preserve"> the large majority of moderate-risk and problem gamblers recovered.  Only 16%</w:t>
      </w:r>
      <w:r>
        <w:t xml:space="preserve"> of moderate-risk and problem gamblers who moved into the non-problem or non-gambling categories </w:t>
      </w:r>
      <w:r w:rsidR="00F37C5A">
        <w:t>in</w:t>
      </w:r>
      <w:r>
        <w:t xml:space="preserve"> </w:t>
      </w:r>
      <w:r w:rsidR="00F37C5A">
        <w:t xml:space="preserve">Wave </w:t>
      </w:r>
      <w:r>
        <w:t xml:space="preserve">2 subsequently relapsed during </w:t>
      </w:r>
      <w:r w:rsidR="00F37C5A">
        <w:t xml:space="preserve">Waves </w:t>
      </w:r>
      <w:r>
        <w:t>3 or 4.  While Asian</w:t>
      </w:r>
      <w:r w:rsidR="00F37C5A">
        <w:t xml:space="preserve"> adult</w:t>
      </w:r>
      <w:r>
        <w:t>s appeared to be highly prone to relapse</w:t>
      </w:r>
      <w:r w:rsidR="007D1BC7">
        <w:t>,</w:t>
      </w:r>
      <w:r>
        <w:t xml:space="preserve"> relative to people of other major ethnicities</w:t>
      </w:r>
      <w:r w:rsidR="007D1BC7">
        <w:t>,</w:t>
      </w:r>
      <w:r>
        <w:t xml:space="preserve"> the very small sample size means that this finding must be treated with extreme caution.  Instant Kiwi/other scratch tickets participation was found to be associated with relapse</w:t>
      </w:r>
      <w:r w:rsidR="007D1BC7">
        <w:t xml:space="preserve"> too</w:t>
      </w:r>
      <w:r>
        <w:t xml:space="preserve">.  House/bingo, overseas internet gambling and casino EGM gambling also appeared to be associated with relapse although the confidence intervals are very wide.  These findings, while worth exploring further in future studies, require replication before being considered to be reliable.  However, they raise the possibility that the gambling </w:t>
      </w:r>
      <w:r w:rsidR="002813BD">
        <w:t>activities</w:t>
      </w:r>
      <w:r>
        <w:t xml:space="preserve"> most strongly associated with recovery and relapse are not necessarily those most strongly implicated in problem development.   </w:t>
      </w:r>
    </w:p>
    <w:p w14:paraId="7DF94B79" w14:textId="77777777" w:rsidR="00CF3365" w:rsidRDefault="00CF3365" w:rsidP="00D8002D">
      <w:pPr>
        <w:pStyle w:val="RepNormal"/>
      </w:pPr>
    </w:p>
    <w:p w14:paraId="5FD158C4" w14:textId="77777777" w:rsidR="007B0B09" w:rsidRDefault="007B0B09" w:rsidP="00D8002D">
      <w:pPr>
        <w:pStyle w:val="RepNormal"/>
      </w:pPr>
    </w:p>
    <w:p w14:paraId="7D47421F" w14:textId="77777777" w:rsidR="00D8002D" w:rsidRDefault="00D8002D" w:rsidP="00AE1A1A">
      <w:pPr>
        <w:pStyle w:val="RepNormal"/>
        <w:keepNext/>
        <w:rPr>
          <w:b/>
        </w:rPr>
      </w:pPr>
      <w:r>
        <w:rPr>
          <w:b/>
        </w:rPr>
        <w:t>Conclusion</w:t>
      </w:r>
      <w:r w:rsidR="002562FB">
        <w:rPr>
          <w:b/>
        </w:rPr>
        <w:t>s</w:t>
      </w:r>
    </w:p>
    <w:p w14:paraId="31C0A72F" w14:textId="77777777" w:rsidR="00D8002D" w:rsidRDefault="00D8002D" w:rsidP="00AE1A1A">
      <w:pPr>
        <w:pStyle w:val="RepNormal"/>
        <w:keepNext/>
        <w:rPr>
          <w:b/>
        </w:rPr>
      </w:pPr>
    </w:p>
    <w:p w14:paraId="46DA7CBB" w14:textId="77777777" w:rsidR="002562FB" w:rsidRDefault="002562FB" w:rsidP="00AE1A1A">
      <w:pPr>
        <w:pStyle w:val="RepNormal"/>
        <w:keepNext/>
      </w:pPr>
      <w:r>
        <w:t xml:space="preserve">Findings across the four NGS study waves indicate that while there has been little or no change on some gambling participation measures, on others, participation has declined.  Relatively more adults do not gamble at all and participation in a number of specific activities, including EGMs, has declined.  While already very low, it appears that this includes a reduction in participation in offshore internet gambling.  The extent of these changes was not expected over the three year study period.  However, they are consistent with longer term trends that have been evident in New Zealand for the past two decades (Abbott, 2017b).  As found in earlier New Zealand studies as well as in recent studies in various other jurisdictions, rates of problem and at-risk gambling did not decline.  When population growth is taken into account this means that over time the number of people adversely </w:t>
      </w:r>
      <w:r w:rsidR="00A6252F">
        <w:t>affected</w:t>
      </w:r>
      <w:r>
        <w:t xml:space="preserve"> has increased.  Plateauing harm rates are not consistent with either the availability or adaptation hypotheses.  The challenge, from a public health perspective, is to identify what factors explain the persistence of harm in the face of declining gambling participation.</w:t>
      </w:r>
    </w:p>
    <w:p w14:paraId="46EFF6C9" w14:textId="77777777" w:rsidR="002562FB" w:rsidRDefault="002562FB" w:rsidP="002562FB">
      <w:pPr>
        <w:pStyle w:val="RepNormal"/>
      </w:pPr>
    </w:p>
    <w:p w14:paraId="7EDB6996" w14:textId="77777777" w:rsidR="002562FB" w:rsidRDefault="002562FB" w:rsidP="002562FB">
      <w:pPr>
        <w:pStyle w:val="RepNormal"/>
      </w:pPr>
      <w:r>
        <w:t xml:space="preserve">Although EGM participation reduced there was no reduction in reported typical monthly expenditure across the three settings (casinos, pubs and clubs).  Problem and moderate-risk gamblers accounted for around a quarter of total expenditure and adults experiencing lower levels of gambling-related harm accounted for a further quarter.  </w:t>
      </w:r>
    </w:p>
    <w:p w14:paraId="426EA743" w14:textId="77777777" w:rsidR="002562FB" w:rsidRDefault="002562FB" w:rsidP="002562FB">
      <w:pPr>
        <w:pStyle w:val="RepNormal"/>
      </w:pPr>
    </w:p>
    <w:p w14:paraId="2A139447" w14:textId="77777777" w:rsidR="002562FB" w:rsidRDefault="002562FB" w:rsidP="002562FB">
      <w:pPr>
        <w:pStyle w:val="RepNormal"/>
      </w:pPr>
      <w:r>
        <w:t>As in previous NGS waves</w:t>
      </w:r>
      <w:r w:rsidR="00A6252F">
        <w:t>,</w:t>
      </w:r>
      <w:r>
        <w:t xml:space="preserve"> problem and moderate-risk gambling rates were higher for adults who took part in multiple gambling activities, participated weekly or more in continuous gambling activities and spent larger amounts of money on gambling.  Longer typical pub EGM session lengths had a particularly strong association.  Approximately a third of pub EGM participants who typically had sessions of 60 minutes or more were problem or moderate-risk gamblers.  Problem and at-risk gamblers also participated in gambling-type games not for money more often than non-problem gamblers.  They also experienced higher levels of psychological distress.  As in earlier NGS waves and other New Zealand studies</w:t>
      </w:r>
      <w:r w:rsidR="00A6252F">
        <w:t>,</w:t>
      </w:r>
      <w:r>
        <w:t xml:space="preserve"> </w:t>
      </w:r>
      <w:r w:rsidR="00A6252F">
        <w:t>Māori</w:t>
      </w:r>
      <w:r>
        <w:t xml:space="preserve"> and Pacific adults as well as people with high deprivation scores had high prevalence rates.  There was no difference by gender, age, migrant and labour force status.  A wider range of sociodemographic factors was considered in </w:t>
      </w:r>
      <w:r w:rsidR="00A6252F">
        <w:t xml:space="preserve">Wave </w:t>
      </w:r>
      <w:r>
        <w:t>1.  The sample was also larger, providing greater statistical power.  In that wave male gender, younger age, low income, low educational attainment, larger household size, residence in high deprivation neighbourhoods and membership of non-Christian and non-traditional Christian churches were additional risk factors.</w:t>
      </w:r>
    </w:p>
    <w:p w14:paraId="4C2C2097" w14:textId="77777777" w:rsidR="002562FB" w:rsidRDefault="002562FB" w:rsidP="002562FB">
      <w:pPr>
        <w:pStyle w:val="RepNormal"/>
      </w:pPr>
    </w:p>
    <w:p w14:paraId="53EB0E8E" w14:textId="77777777" w:rsidR="002562FB" w:rsidRDefault="002562FB" w:rsidP="002562FB">
      <w:pPr>
        <w:pStyle w:val="RepNormal"/>
      </w:pPr>
      <w:r>
        <w:t xml:space="preserve">The major focus of </w:t>
      </w:r>
      <w:r w:rsidR="00A6252F">
        <w:t xml:space="preserve">Wave </w:t>
      </w:r>
      <w:r>
        <w:t xml:space="preserve">4 and the present report is on the incidence of problem and at-risk gambling and other transitions.  Sweden is the only other country to have national-level information of this type (Abbott, Romild &amp; Volberg, 2017; Public Health Agency of Sweden, 2016).  As in earlier NGS waves, the Swedish study and most other large-scale prospective studies, it was found that while there is consistency in problem and at-risk prevalence rates over time, at the individual level there is substantial change.  The non-gambling and non-problem groups were most stable.  The at-risk groups were least stable and problem gamblers were in-between.  The present study confirmed earlier indications that </w:t>
      </w:r>
      <w:r w:rsidR="00E913E4">
        <w:t xml:space="preserve">in New Zealand the majority of </w:t>
      </w:r>
      <w:r>
        <w:t>‘new’ problem gamblers are people who experienced problems in the past and are relapsing.  It appears likely that this high relapse rate may be one reason why problem gambling rates have stabilised in a number of jurisdictions with</w:t>
      </w:r>
      <w:r w:rsidR="00E913E4">
        <w:t xml:space="preserve"> declining participation rates.</w:t>
      </w:r>
      <w:r>
        <w:t xml:space="preserve">  If so</w:t>
      </w:r>
      <w:r w:rsidR="00E913E4">
        <w:t>,</w:t>
      </w:r>
      <w:r>
        <w:t xml:space="preserve"> greater attention will need to be given to relapse prevention in public health and treatment programmes.</w:t>
      </w:r>
    </w:p>
    <w:p w14:paraId="7B9A4549" w14:textId="77777777" w:rsidR="002562FB" w:rsidRDefault="002562FB" w:rsidP="002562FB">
      <w:pPr>
        <w:pStyle w:val="RepNormal"/>
      </w:pPr>
    </w:p>
    <w:p w14:paraId="6860EA58" w14:textId="77777777" w:rsidR="002562FB" w:rsidRDefault="002562FB" w:rsidP="002562FB">
      <w:pPr>
        <w:pStyle w:val="RepNormal"/>
      </w:pPr>
      <w:r>
        <w:t xml:space="preserve">By combining data across all study waves it was possible to identify predictors of incidence and some other transitions.  However, small sample size limited examination in some cases, particularly with regard to recovery and relapse.  Consideration of potential ethnic differences was also constrained by sample size.  </w:t>
      </w:r>
      <w:r w:rsidR="00E913E4">
        <w:t>Wave</w:t>
      </w:r>
      <w:r>
        <w:t xml:space="preserve"> 4 of the NGS extended our knowledge of factors that predict starting and recommencing gambling, the onset of at-risk and problem gambling, relapse and recovery.  Some of the risk factors for these various transitions are the same.  However, some groups that were less likely to take up gambling had high at-risk and problem gambling incidence and prevalence rates.  The strongest gambling participation predictors of at-risk and problem gambling onset included those found to be associated with the prevalence of these conditions in the NGS</w:t>
      </w:r>
      <w:r w:rsidR="00E913E4">
        <w:t xml:space="preserve"> cross-</w:t>
      </w:r>
      <w:r>
        <w:t>sectional analyses, namely frequent participation in continuous forms of gambling, participation in multiple forms and high overall monthly gambling expenditure.  While participation in almost all individual forms of gambling was associated with progression to at-risk or problem gambling, in some instances</w:t>
      </w:r>
      <w:r w:rsidR="00E913E4">
        <w:t>,</w:t>
      </w:r>
      <w:r>
        <w:t xml:space="preserve"> relationships were very strong</w:t>
      </w:r>
      <w:r w:rsidR="00E913E4">
        <w:t>.  For example,</w:t>
      </w:r>
      <w:r>
        <w:t xml:space="preserve"> long typical EGM sessions (particularly in pub settings) and monthly or more frequent participation in EGMS overall, card games, housie or bingo, sports betting, short-term speculative investments, </w:t>
      </w:r>
      <w:r w:rsidR="00E913E4">
        <w:t xml:space="preserve">and </w:t>
      </w:r>
      <w:r>
        <w:t xml:space="preserve">overseas internet and off-shore gambling. </w:t>
      </w:r>
      <w:r w:rsidR="00E913E4">
        <w:t xml:space="preserve"> </w:t>
      </w:r>
      <w:r>
        <w:t xml:space="preserve">Most of these factors </w:t>
      </w:r>
      <w:r w:rsidR="00E913E4">
        <w:t>remained</w:t>
      </w:r>
      <w:r>
        <w:t xml:space="preserve"> in the multivariate analyses, as did participation in gambling-type games not for money, indicating that they all make independent contributions to prediction.</w:t>
      </w:r>
    </w:p>
    <w:p w14:paraId="687D4E1C" w14:textId="77777777" w:rsidR="002562FB" w:rsidRDefault="00E913E4" w:rsidP="002562FB">
      <w:pPr>
        <w:pStyle w:val="RepNormal"/>
      </w:pPr>
      <w:r>
        <w:t>As found in NGS cross-</w:t>
      </w:r>
      <w:r w:rsidR="002562FB">
        <w:t xml:space="preserve">sectional analyses with </w:t>
      </w:r>
      <w:r>
        <w:t>regard</w:t>
      </w:r>
      <w:r w:rsidR="002562FB">
        <w:t xml:space="preserve"> to prevalence, </w:t>
      </w:r>
      <w:r>
        <w:t>Māori</w:t>
      </w:r>
      <w:r w:rsidR="002562FB">
        <w:t xml:space="preserve"> and Pacific ethnicity and a number of other sociodemographic factors were also associated with the development of at-risk and problem gambling.  The Asian incidence rate was also higher than the European/</w:t>
      </w:r>
      <w:r>
        <w:t xml:space="preserve">Other </w:t>
      </w:r>
      <w:r w:rsidR="002562FB">
        <w:t>rate, suggesting that in future</w:t>
      </w:r>
      <w:r>
        <w:t>,</w:t>
      </w:r>
      <w:r w:rsidR="002562FB">
        <w:t xml:space="preserve"> gambling-related problems may increase relatively for Asian</w:t>
      </w:r>
      <w:r>
        <w:t xml:space="preserve"> people</w:t>
      </w:r>
      <w:r w:rsidR="002562FB">
        <w:t>.  Increased number of major life events, high deprivation, psychological distress</w:t>
      </w:r>
      <w:r>
        <w:t>,</w:t>
      </w:r>
      <w:r w:rsidR="002562FB">
        <w:t xml:space="preserve"> and substance use and misuse were additional predictors.  A variety of methods used to stop gambling too much also predicted at-risk and problem gambling.  Given that many participants report that these methods assist in controlling gambling this does not mean that they contribute to the development of gambling problems.  It is likely that the association arises because these methods are more often used by people who are gambling heavily, losing control and seeking to moderate their gambling.  While apparently of assistance in this regard, problem gamblers less often report that they help.  Although many problem gamblers cease having problems without receiving professional help, for others problems are persistent and most appear to be prone to relapse in the longer term.  </w:t>
      </w:r>
    </w:p>
    <w:p w14:paraId="2A2A76D8" w14:textId="77777777" w:rsidR="002562FB" w:rsidRDefault="002562FB" w:rsidP="002562FB">
      <w:pPr>
        <w:pStyle w:val="RepNormal"/>
      </w:pPr>
    </w:p>
    <w:p w14:paraId="3A1DFACF" w14:textId="32454AEB" w:rsidR="002562FB" w:rsidRPr="00C04746" w:rsidRDefault="002562FB" w:rsidP="002562FB">
      <w:pPr>
        <w:pStyle w:val="RepNormal"/>
      </w:pPr>
      <w:r>
        <w:t xml:space="preserve">The incidence findings indicate that non-gamblers and non-problem gamblers have a low probability of developing at-risk and problem gambling.  However, the large majority of the population is in these categories and, as a consequence, a substantial number of moderate-risk and problem gambler incident cases come from these sectors.  The majority of low-risk </w:t>
      </w:r>
      <w:r w:rsidRPr="00C04746">
        <w:t xml:space="preserve">gamblers also come from these sectors and low-risk and moderate-risk gamblers account for substantially more gambling-related harm than problem gamblers.  </w:t>
      </w:r>
      <w:r w:rsidR="006D56A6" w:rsidRPr="00C04746">
        <w:t>Therefore,</w:t>
      </w:r>
      <w:r w:rsidRPr="00C04746">
        <w:t xml:space="preserve"> while there is merit in focusing problem gambling prevention programmes on at-risk gamblers, if the object is to reduce gambling-related harm more widely, both whole-of-population and indicated (targeted) prevention approaches will be required.  To be effective these interventions will need to take account of long-standing and perhaps widening ethnic disparities.  </w:t>
      </w:r>
      <w:r w:rsidR="00E913E4" w:rsidRPr="00C04746">
        <w:t>Māori</w:t>
      </w:r>
      <w:r w:rsidRPr="00C04746">
        <w:t xml:space="preserve"> and Pacific people continue to have very high problem gambling prevalence rates.  The finding of similar</w:t>
      </w:r>
      <w:r w:rsidR="00E913E4" w:rsidRPr="00C04746">
        <w:t>,</w:t>
      </w:r>
      <w:r w:rsidRPr="00C04746">
        <w:t xml:space="preserve"> if not greater</w:t>
      </w:r>
      <w:r w:rsidR="00E913E4" w:rsidRPr="00C04746">
        <w:t>,</w:t>
      </w:r>
      <w:r w:rsidRPr="00C04746">
        <w:t xml:space="preserve"> disparities in incidence rates means that unless more is done to address these disparities </w:t>
      </w:r>
      <w:r w:rsidR="00E913E4" w:rsidRPr="00C04746">
        <w:t>Māori</w:t>
      </w:r>
      <w:r w:rsidRPr="00C04746">
        <w:t xml:space="preserve"> and Pacific communities will continue to be disproportionately </w:t>
      </w:r>
      <w:r w:rsidR="00E913E4" w:rsidRPr="00C04746">
        <w:t>affected</w:t>
      </w:r>
      <w:r w:rsidRPr="00C04746">
        <w:t xml:space="preserve"> by gambling-related morbidities and harm.  The present findings suggest that in future Asian and some migrant groups may also experience elevated harm.  While not clear in the current study </w:t>
      </w:r>
      <w:r w:rsidR="00E913E4" w:rsidRPr="00C04746">
        <w:t>wave</w:t>
      </w:r>
      <w:r w:rsidRPr="00C04746">
        <w:t xml:space="preserve">, in the previous </w:t>
      </w:r>
      <w:r w:rsidR="00E913E4" w:rsidRPr="00C04746">
        <w:t>wave</w:t>
      </w:r>
      <w:r w:rsidRPr="00C04746">
        <w:t xml:space="preserve"> there were indications that </w:t>
      </w:r>
      <w:r w:rsidR="00E913E4" w:rsidRPr="00C04746">
        <w:t>Māori</w:t>
      </w:r>
      <w:r w:rsidRPr="00C04746">
        <w:t xml:space="preserve"> and Pacific problem gamblers may experience more persistent and relapsing problems.  This may also be the case for Asian</w:t>
      </w:r>
      <w:r w:rsidR="00E913E4" w:rsidRPr="00C04746">
        <w:t xml:space="preserve"> people</w:t>
      </w:r>
      <w:r w:rsidRPr="00C04746">
        <w:t>.  If these groups are more prone to having chronic problems</w:t>
      </w:r>
      <w:r w:rsidR="00E913E4" w:rsidRPr="00C04746">
        <w:t>,</w:t>
      </w:r>
      <w:r w:rsidRPr="00C04746">
        <w:t xml:space="preserve"> current ethnic differences can be expected </w:t>
      </w:r>
      <w:r w:rsidR="00E913E4" w:rsidRPr="00C04746">
        <w:t>to</w:t>
      </w:r>
      <w:r w:rsidRPr="00C04746">
        <w:t xml:space="preserve"> increase even further</w:t>
      </w:r>
      <w:r w:rsidR="006D56A6" w:rsidRPr="00C04746">
        <w:t xml:space="preserve"> in the future</w:t>
      </w:r>
      <w:r w:rsidRPr="00C04746">
        <w:t xml:space="preserve">. </w:t>
      </w:r>
    </w:p>
    <w:p w14:paraId="2B2BB5D6" w14:textId="77777777" w:rsidR="002562FB" w:rsidRPr="00C04746" w:rsidRDefault="002562FB" w:rsidP="002562FB">
      <w:pPr>
        <w:pStyle w:val="RepNormal"/>
      </w:pPr>
    </w:p>
    <w:p w14:paraId="46EB9607" w14:textId="77777777" w:rsidR="002562FB" w:rsidRDefault="002562FB" w:rsidP="002562FB">
      <w:pPr>
        <w:pStyle w:val="RepNormal"/>
      </w:pPr>
      <w:r w:rsidRPr="00C04746">
        <w:t>Gambling availability and participation are necessary conditions for the development of problem gambling and gambling-related harm more widely.  Participation, particularly frequent</w:t>
      </w:r>
      <w:r>
        <w:t xml:space="preserve"> participation in EGMs and some other continuous forms, is very strongly implicated in at-risk and problem gambling onset, persistence and relapse.  Consequently, policies directed at reducing the availability of these gambling </w:t>
      </w:r>
      <w:r w:rsidR="00E913E4">
        <w:t xml:space="preserve">activities </w:t>
      </w:r>
      <w:r>
        <w:t xml:space="preserve">and programmes directed towards the promotion of moderation have a significant role in reducing gambling-related harm.  Consideration also needs to be given to gambling-type games not for money as participation in these activities is both moderately high and implicated </w:t>
      </w:r>
      <w:r w:rsidR="00E913E4">
        <w:t xml:space="preserve">in </w:t>
      </w:r>
      <w:r>
        <w:t xml:space="preserve">the development of at-risk and problem gambling.  Given their particularly strong association with harm and their widespread availability, a continued focus on EGMs is warranted.  While the number of venues and machines have reduced substantially during the past decade they remain readily accessible, especially in geographical areas where there are substantial numbers of residents with attributes that increase their vulnerability to the development of gambling and related problems.  These attributes include low prior involvement in high-risk gambling forms (e.g. Pacific </w:t>
      </w:r>
      <w:r w:rsidR="00E913E4">
        <w:t xml:space="preserve">and Asian </w:t>
      </w:r>
      <w:r>
        <w:t xml:space="preserve">people, some recent migrant groups and people with non-Christian religions), </w:t>
      </w:r>
      <w:r w:rsidR="00E913E4">
        <w:t>Māori</w:t>
      </w:r>
      <w:r>
        <w:t>, low income and socio</w:t>
      </w:r>
      <w:r w:rsidR="00E913E4">
        <w:t>-</w:t>
      </w:r>
      <w:r>
        <w:t>economic status, unemployment, high exposure to major life events and ongoing stressors, low social capital and high rates of mental health and addictive disorders.</w:t>
      </w:r>
    </w:p>
    <w:p w14:paraId="56E768BA" w14:textId="77777777" w:rsidR="002562FB" w:rsidRDefault="002562FB" w:rsidP="002562FB">
      <w:pPr>
        <w:pStyle w:val="RepNormal"/>
      </w:pPr>
    </w:p>
    <w:p w14:paraId="0FC0C117" w14:textId="60368E2D" w:rsidR="00C04746" w:rsidRDefault="002562FB" w:rsidP="002562FB">
      <w:pPr>
        <w:pStyle w:val="RepNormal"/>
      </w:pPr>
      <w:r>
        <w:t xml:space="preserve">While reducing gambling exposure and participation through supply and demand reduction are important, they are unlikely to be sufficient on their own.  Participation has </w:t>
      </w:r>
      <w:r w:rsidR="00E913E4">
        <w:t>decreased</w:t>
      </w:r>
      <w:r>
        <w:t xml:space="preserve"> markedly </w:t>
      </w:r>
      <w:r w:rsidR="006D56A6" w:rsidRPr="00C04746">
        <w:t xml:space="preserve">over the past </w:t>
      </w:r>
      <w:r w:rsidR="00C04746">
        <w:t>15 or so</w:t>
      </w:r>
      <w:r w:rsidR="006D56A6" w:rsidRPr="00C04746">
        <w:t xml:space="preserve"> years </w:t>
      </w:r>
      <w:r w:rsidRPr="00C04746">
        <w:t>yet harm has plateaued.  To further reduce gambling-related</w:t>
      </w:r>
      <w:r>
        <w:t xml:space="preserve"> harm</w:t>
      </w:r>
      <w:r w:rsidR="00E913E4">
        <w:t>,</w:t>
      </w:r>
      <w:r>
        <w:t xml:space="preserve"> increased attention will need to be given to other modifiable risk and protective factors.  Programme</w:t>
      </w:r>
      <w:r w:rsidR="00A43264">
        <w:t>s</w:t>
      </w:r>
      <w:r>
        <w:t xml:space="preserve"> and policies that address some of these risk factors</w:t>
      </w:r>
      <w:r w:rsidR="00E913E4">
        <w:t xml:space="preserve"> (</w:t>
      </w:r>
      <w:r>
        <w:t>e.g. economic and social disparities, employment</w:t>
      </w:r>
      <w:r w:rsidR="00E913E4">
        <w:t xml:space="preserve"> and</w:t>
      </w:r>
      <w:r>
        <w:t xml:space="preserve"> educational attainment</w:t>
      </w:r>
      <w:r w:rsidR="00E913E4">
        <w:t>)</w:t>
      </w:r>
      <w:r>
        <w:t>, have relevance to numerous morbidities and harms additional to those more directly stemming from gambling.  These morbidities include mental health and addi</w:t>
      </w:r>
      <w:r w:rsidR="00AE1A1A">
        <w:t>c</w:t>
      </w:r>
      <w:r>
        <w:t xml:space="preserve">tion disorders generally.  </w:t>
      </w:r>
    </w:p>
    <w:p w14:paraId="31B0B57B" w14:textId="77777777" w:rsidR="00D8002D" w:rsidRDefault="00D8002D" w:rsidP="00D8002D">
      <w:pPr>
        <w:pStyle w:val="RepNormal"/>
      </w:pPr>
    </w:p>
    <w:p w14:paraId="6139202F" w14:textId="77777777" w:rsidR="006A09BA" w:rsidRDefault="006A09BA" w:rsidP="00D8002D">
      <w:pPr>
        <w:pStyle w:val="RepNormal"/>
      </w:pPr>
    </w:p>
    <w:p w14:paraId="632EED46" w14:textId="77777777" w:rsidR="000C5E9A" w:rsidRPr="000C265D" w:rsidRDefault="0046000D" w:rsidP="00D8002D">
      <w:pPr>
        <w:pStyle w:val="RepNormal"/>
        <w:shd w:val="clear" w:color="auto" w:fill="BFBFBF" w:themeFill="background1" w:themeFillShade="BF"/>
      </w:pPr>
      <w:r>
        <w:rPr>
          <w:lang w:val="en-AU"/>
        </w:rPr>
        <w:br w:type="page"/>
      </w:r>
      <w:bookmarkStart w:id="186" w:name="_Toc109453397"/>
    </w:p>
    <w:p w14:paraId="1A517C1C" w14:textId="77777777" w:rsidR="0046000D" w:rsidRPr="00A93B4F" w:rsidRDefault="0046000D" w:rsidP="000D1CF7">
      <w:pPr>
        <w:pStyle w:val="RepHead1"/>
      </w:pPr>
      <w:r w:rsidRPr="000C265D">
        <w:t xml:space="preserve"> </w:t>
      </w:r>
      <w:bookmarkStart w:id="187" w:name="_Toc504488393"/>
      <w:r w:rsidRPr="00A93B4F">
        <w:t>REFERENCES</w:t>
      </w:r>
      <w:bookmarkEnd w:id="186"/>
      <w:bookmarkEnd w:id="187"/>
    </w:p>
    <w:p w14:paraId="4313044E" w14:textId="77777777" w:rsidR="0046000D" w:rsidRDefault="0046000D" w:rsidP="00F25301">
      <w:pPr>
        <w:pStyle w:val="BodyText"/>
        <w:jc w:val="both"/>
        <w:rPr>
          <w:rFonts w:ascii="Times New Roman" w:hAnsi="Times New Roman" w:cs="Times New Roman"/>
          <w:szCs w:val="22"/>
        </w:rPr>
      </w:pPr>
    </w:p>
    <w:p w14:paraId="4B98FEC6" w14:textId="77777777" w:rsidR="00F85BD0" w:rsidRPr="001F6126" w:rsidRDefault="00DD0F28" w:rsidP="00F85BD0">
      <w:pPr>
        <w:jc w:val="both"/>
      </w:pPr>
      <w:r>
        <w:t>Abbott, M.</w:t>
      </w:r>
      <w:r w:rsidR="00F85BD0" w:rsidRPr="001F6126">
        <w:t xml:space="preserve">W. (2001). </w:t>
      </w:r>
      <w:r w:rsidR="00F85BD0" w:rsidRPr="004A0CAB">
        <w:rPr>
          <w:i/>
        </w:rPr>
        <w:t>Problem and non-problem gamblers in New Zealand: A report on phase two of the 1999 national prevalence survey</w:t>
      </w:r>
      <w:r w:rsidR="00F85BD0" w:rsidRPr="001F6126">
        <w:t>. Wellington: Department of Internal Affairs</w:t>
      </w:r>
      <w:r w:rsidR="00F85BD0">
        <w:t>.</w:t>
      </w:r>
      <w:r w:rsidR="00F85BD0" w:rsidRPr="001F6126">
        <w:t xml:space="preserve"> </w:t>
      </w:r>
    </w:p>
    <w:p w14:paraId="4772D4FC" w14:textId="77777777" w:rsidR="00F85BD0" w:rsidRDefault="00F85BD0" w:rsidP="00F85BD0">
      <w:pPr>
        <w:jc w:val="both"/>
      </w:pPr>
    </w:p>
    <w:p w14:paraId="1B61A655" w14:textId="77777777" w:rsidR="00F85BD0" w:rsidRDefault="00F85BD0" w:rsidP="00F85BD0">
      <w:pPr>
        <w:jc w:val="both"/>
      </w:pPr>
      <w:r w:rsidRPr="001F6126">
        <w:t xml:space="preserve">Abbott, M. (2006). Do EGMs and problem gambling go together like a horse and carriage? </w:t>
      </w:r>
      <w:r w:rsidRPr="001F6126">
        <w:rPr>
          <w:i/>
        </w:rPr>
        <w:t>Gambling Research: Journal of the National Association for Gambling Studies (Australia), 18</w:t>
      </w:r>
      <w:r w:rsidRPr="001F6126">
        <w:t>(1), 7-38.</w:t>
      </w:r>
    </w:p>
    <w:p w14:paraId="0C36DC1B" w14:textId="77777777" w:rsidR="00F85BD0" w:rsidRDefault="00F85BD0" w:rsidP="00F85BD0">
      <w:pPr>
        <w:jc w:val="both"/>
      </w:pPr>
    </w:p>
    <w:p w14:paraId="2FA6A764" w14:textId="77777777" w:rsidR="00F85BD0" w:rsidRPr="001F6126" w:rsidRDefault="00F85BD0" w:rsidP="00F85BD0">
      <w:pPr>
        <w:jc w:val="both"/>
      </w:pPr>
      <w:r>
        <w:t>Abbott, M.</w:t>
      </w:r>
      <w:r w:rsidRPr="001F6126">
        <w:t>W. (2007). Situational factors that affect gam</w:t>
      </w:r>
      <w:r>
        <w:t>bling behavior. In G. Smith, D.C. Hodgins, &amp; R.</w:t>
      </w:r>
      <w:r w:rsidRPr="001F6126">
        <w:t xml:space="preserve">J. Williams (Eds.), </w:t>
      </w:r>
      <w:r w:rsidRPr="001F6126">
        <w:rPr>
          <w:i/>
        </w:rPr>
        <w:t>Research and measurement issues in gambling studies</w:t>
      </w:r>
      <w:r>
        <w:t xml:space="preserve"> (pp. </w:t>
      </w:r>
      <w:r w:rsidRPr="001F6126">
        <w:t>251-278). Boston: Academic Press.</w:t>
      </w:r>
    </w:p>
    <w:p w14:paraId="277067EB" w14:textId="77777777" w:rsidR="00F85BD0" w:rsidRDefault="00F85BD0" w:rsidP="00F85BD0">
      <w:pPr>
        <w:jc w:val="both"/>
      </w:pPr>
    </w:p>
    <w:p w14:paraId="1E4F6BE1" w14:textId="77777777" w:rsidR="00F85BD0" w:rsidRPr="001F6126" w:rsidRDefault="00F85BD0" w:rsidP="00F85BD0">
      <w:pPr>
        <w:jc w:val="both"/>
      </w:pPr>
      <w:r w:rsidRPr="001F6126">
        <w:t xml:space="preserve">Abbott, M. (2017a). Beyond Reno: A critical commentary on Hancock and Smith [Advance online publication]. </w:t>
      </w:r>
      <w:r w:rsidRPr="001F6126">
        <w:rPr>
          <w:i/>
        </w:rPr>
        <w:t>International Journal of Mental Health and Addiction</w:t>
      </w:r>
      <w:r w:rsidRPr="001F6126">
        <w:t>. doi:10.1007/s11469-017-9794-3</w:t>
      </w:r>
    </w:p>
    <w:p w14:paraId="67EA517B" w14:textId="77777777" w:rsidR="00F85BD0" w:rsidRDefault="00F85BD0" w:rsidP="00F85BD0">
      <w:pPr>
        <w:jc w:val="both"/>
      </w:pPr>
    </w:p>
    <w:p w14:paraId="2344C51C" w14:textId="77777777" w:rsidR="00F85BD0" w:rsidRPr="001F6126" w:rsidRDefault="00F85BD0" w:rsidP="00F85BD0">
      <w:pPr>
        <w:jc w:val="both"/>
      </w:pPr>
      <w:r w:rsidRPr="001F6126">
        <w:t xml:space="preserve">Abbott, M. (2017b). Gambling and gambling harm in New Zealand: A 28-year case study [Advance online publication]. </w:t>
      </w:r>
      <w:r w:rsidRPr="001F6126">
        <w:rPr>
          <w:i/>
        </w:rPr>
        <w:t>International Journal of Mental Health and Addiction</w:t>
      </w:r>
      <w:r w:rsidRPr="001F6126">
        <w:t>. doi:10.1007/s11469-017-9767-6</w:t>
      </w:r>
    </w:p>
    <w:p w14:paraId="204A8C74" w14:textId="77777777" w:rsidR="00F85BD0" w:rsidRDefault="00F85BD0" w:rsidP="00F85BD0">
      <w:pPr>
        <w:jc w:val="both"/>
      </w:pPr>
    </w:p>
    <w:p w14:paraId="66FB0A57" w14:textId="77777777" w:rsidR="00F85BD0" w:rsidRPr="001F6126" w:rsidRDefault="00F85BD0" w:rsidP="00F85BD0">
      <w:pPr>
        <w:jc w:val="both"/>
      </w:pPr>
      <w:r w:rsidRPr="001F6126">
        <w:t>Abbott, M. (2017c). Public health and diagnostic considerations of gambling disorder. Invited paper presented at the WHO Forum on alcohol, drugs and addictive behaviours, 26-28 June 2017. Geneva, Switzerland. (Available from the WHO Headquarters)</w:t>
      </w:r>
    </w:p>
    <w:p w14:paraId="47C8A165" w14:textId="77777777" w:rsidR="00F85BD0" w:rsidRDefault="00F85BD0" w:rsidP="00E85E36">
      <w:pPr>
        <w:pStyle w:val="RepNormal"/>
      </w:pPr>
    </w:p>
    <w:p w14:paraId="76E467D8" w14:textId="77777777" w:rsidR="001F71B4" w:rsidRDefault="001F71B4" w:rsidP="00E85E36">
      <w:pPr>
        <w:pStyle w:val="RepNormal"/>
      </w:pPr>
      <w:r>
        <w:t>Abbott, M.</w:t>
      </w:r>
      <w:r w:rsidRPr="001F71B4">
        <w:t>W. (2017</w:t>
      </w:r>
      <w:r>
        <w:t>d</w:t>
      </w:r>
      <w:r w:rsidRPr="001F71B4">
        <w:t>). Commentary on Currie et al.</w:t>
      </w:r>
      <w:r>
        <w:t xml:space="preserve"> </w:t>
      </w:r>
      <w:r w:rsidRPr="001F71B4">
        <w:t>(2017): Low</w:t>
      </w:r>
      <w:r w:rsidRPr="001F71B4">
        <w:rPr>
          <w:rFonts w:ascii="Cambria Math" w:hAnsi="Cambria Math" w:cs="Cambria Math"/>
        </w:rPr>
        <w:t>‐</w:t>
      </w:r>
      <w:r w:rsidRPr="001F71B4">
        <w:t>risk gambling limits</w:t>
      </w:r>
      <w:r>
        <w:rPr>
          <w:rFonts w:cs="Times New Roman"/>
        </w:rPr>
        <w:t xml:space="preserve"> - </w:t>
      </w:r>
      <w:r w:rsidRPr="001F71B4">
        <w:t xml:space="preserve">a bridge too far? </w:t>
      </w:r>
      <w:r w:rsidRPr="001F71B4">
        <w:rPr>
          <w:i/>
        </w:rPr>
        <w:t>Addiction, 112</w:t>
      </w:r>
      <w:r w:rsidRPr="001F71B4">
        <w:t>(11), 2021-2022.</w:t>
      </w:r>
    </w:p>
    <w:p w14:paraId="3370C69A" w14:textId="77777777" w:rsidR="001F71B4" w:rsidRDefault="001F71B4" w:rsidP="00E85E36">
      <w:pPr>
        <w:pStyle w:val="RepNormal"/>
      </w:pPr>
    </w:p>
    <w:p w14:paraId="087FC29D" w14:textId="77777777" w:rsidR="00E85E36" w:rsidRPr="00C634F1" w:rsidRDefault="00E85E36" w:rsidP="00E85E36">
      <w:pPr>
        <w:pStyle w:val="RepNormal"/>
      </w:pPr>
      <w:r w:rsidRPr="00C634F1">
        <w:t xml:space="preserve">Abbott, M., Bellringer, M., Garrett, N., Mundy-McPherson, S. (2014a). </w:t>
      </w:r>
      <w:r w:rsidRPr="00C634F1">
        <w:rPr>
          <w:i/>
        </w:rPr>
        <w:t>New Zealand 2012 National Gambling Study: Overview and gambling participation. Report number 1</w:t>
      </w:r>
      <w:r w:rsidRPr="00C634F1">
        <w:t>. Auckland: Auckland University of Technology, Gambling and Addictions Research Centre.</w:t>
      </w:r>
    </w:p>
    <w:p w14:paraId="2859AB26" w14:textId="77777777" w:rsidR="00E85E36" w:rsidRPr="00C634F1" w:rsidRDefault="00E85E36" w:rsidP="00E85E36">
      <w:pPr>
        <w:pStyle w:val="RepNormal"/>
      </w:pPr>
    </w:p>
    <w:p w14:paraId="1307876E" w14:textId="77777777" w:rsidR="00E85E36" w:rsidRPr="00C634F1" w:rsidRDefault="00E85E36" w:rsidP="00E85E36">
      <w:pPr>
        <w:pStyle w:val="RepNormal"/>
      </w:pPr>
      <w:r w:rsidRPr="00C634F1">
        <w:t xml:space="preserve">Abbott, M., Bellringer, M., Garrett, N., Mundy-McPherson, S. (2014b). </w:t>
      </w:r>
      <w:r w:rsidRPr="00C634F1">
        <w:rPr>
          <w:i/>
        </w:rPr>
        <w:t>New Zealand 2012 National Gambling Study: Gambling harm and problem gambling. Report number 2</w:t>
      </w:r>
      <w:r w:rsidRPr="00C634F1">
        <w:t>. Auckland: Auckland University of Technology, Gambling and Addictions Research Centre.</w:t>
      </w:r>
    </w:p>
    <w:p w14:paraId="22E34A66" w14:textId="77777777" w:rsidR="007D6904" w:rsidRPr="00C634F1" w:rsidRDefault="007D6904" w:rsidP="00E85E36">
      <w:pPr>
        <w:pStyle w:val="RepNormal"/>
      </w:pPr>
    </w:p>
    <w:p w14:paraId="04A9F0D1" w14:textId="77777777" w:rsidR="00E85E36" w:rsidRPr="00C634F1" w:rsidRDefault="00E85E36" w:rsidP="00E85E36">
      <w:pPr>
        <w:pStyle w:val="RepNormal"/>
      </w:pPr>
      <w:r w:rsidRPr="00C634F1">
        <w:t>Abbott, M., Bellringer, M., Garrett, N., &amp; Mundy-McPherson, S. (2015</w:t>
      </w:r>
      <w:r w:rsidR="008947CA" w:rsidRPr="00C634F1">
        <w:t>a</w:t>
      </w:r>
      <w:r w:rsidRPr="00C634F1">
        <w:t xml:space="preserve">). </w:t>
      </w:r>
      <w:r w:rsidRPr="00C634F1">
        <w:rPr>
          <w:i/>
        </w:rPr>
        <w:t>New Zealand 2012 National Gambling Study: Attitudes towards gambling. Report Number 3</w:t>
      </w:r>
      <w:r w:rsidRPr="00C634F1">
        <w:t>. Auckland: Gambling and Addictions Research Centre, Auckland University of Technology.</w:t>
      </w:r>
    </w:p>
    <w:p w14:paraId="06883987" w14:textId="77777777" w:rsidR="0046000D" w:rsidRPr="00C634F1" w:rsidRDefault="0046000D" w:rsidP="0056276D">
      <w:pPr>
        <w:pStyle w:val="RepNormal"/>
      </w:pPr>
    </w:p>
    <w:p w14:paraId="33139AFA" w14:textId="77777777" w:rsidR="00E85E36" w:rsidRDefault="00E85E36" w:rsidP="00E85E36">
      <w:pPr>
        <w:pStyle w:val="RepNormal"/>
      </w:pPr>
      <w:r w:rsidRPr="00C634F1">
        <w:t>Abbott, M., Bellringer, M., Garrett, N., &amp; Mundy-McPherson, S. (</w:t>
      </w:r>
      <w:r w:rsidR="008947CA" w:rsidRPr="00C634F1">
        <w:t>2015b</w:t>
      </w:r>
      <w:r w:rsidRPr="00C634F1">
        <w:t xml:space="preserve">). </w:t>
      </w:r>
      <w:r w:rsidRPr="00C634F1">
        <w:rPr>
          <w:i/>
        </w:rPr>
        <w:t>New Zealand National Gambling Study: Wave 2</w:t>
      </w:r>
      <w:r w:rsidR="00C634F1">
        <w:rPr>
          <w:i/>
        </w:rPr>
        <w:t xml:space="preserve"> (2013</w:t>
      </w:r>
      <w:r w:rsidRPr="00C634F1">
        <w:rPr>
          <w:i/>
        </w:rPr>
        <w:t>). Report Number 4</w:t>
      </w:r>
      <w:r w:rsidRPr="00C634F1">
        <w:t>. Auckland: Gambling and Addictions Research Centre, Auckland University of Technology.</w:t>
      </w:r>
    </w:p>
    <w:p w14:paraId="122D45BC" w14:textId="77777777" w:rsidR="00C634F1" w:rsidRPr="00C634F1" w:rsidRDefault="00C634F1" w:rsidP="00E85E36">
      <w:pPr>
        <w:pStyle w:val="RepNormal"/>
      </w:pPr>
    </w:p>
    <w:p w14:paraId="6DD8F9C3" w14:textId="77777777" w:rsidR="006D2D11" w:rsidRDefault="006D2D11" w:rsidP="008E64D7">
      <w:pPr>
        <w:pStyle w:val="RepNormal"/>
      </w:pPr>
      <w:r w:rsidRPr="006D2D11">
        <w:t>Abbott, M., Bellringer, M., Palmer du Preez, K., Pearson, J., Vandal, A., Garrett, N., &amp; Hodgins, D. (2015</w:t>
      </w:r>
      <w:r>
        <w:t>c</w:t>
      </w:r>
      <w:r w:rsidRPr="006D2D11">
        <w:t xml:space="preserve">). </w:t>
      </w:r>
      <w:r w:rsidRPr="006D2D11">
        <w:rPr>
          <w:i/>
        </w:rPr>
        <w:t>Randomised controlled trial of problem gambling brief telephone interventions: Three years later</w:t>
      </w:r>
      <w:r w:rsidRPr="006D2D11">
        <w:t>. Auckland: Auckland University of Technology, Gambling and Addictions Research Centre.</w:t>
      </w:r>
    </w:p>
    <w:p w14:paraId="37F29E15" w14:textId="77777777" w:rsidR="006D2D11" w:rsidRDefault="006D2D11" w:rsidP="008E64D7">
      <w:pPr>
        <w:pStyle w:val="RepNormal"/>
      </w:pPr>
    </w:p>
    <w:p w14:paraId="71A7695D" w14:textId="77777777" w:rsidR="006D2D11" w:rsidRDefault="006D2D11" w:rsidP="006D2D11">
      <w:pPr>
        <w:pStyle w:val="RepNormal"/>
      </w:pPr>
      <w:r w:rsidRPr="00C634F1">
        <w:t>Abbott, M., Bellringer, M., Garrett, N., &amp; Mundy-McPherson, S. (201</w:t>
      </w:r>
      <w:r>
        <w:t>6a</w:t>
      </w:r>
      <w:r w:rsidRPr="00C634F1">
        <w:t xml:space="preserve">). </w:t>
      </w:r>
      <w:r w:rsidRPr="00C634F1">
        <w:rPr>
          <w:i/>
        </w:rPr>
        <w:t xml:space="preserve">New Zealand National Gambling Study: Wave </w:t>
      </w:r>
      <w:r>
        <w:rPr>
          <w:i/>
        </w:rPr>
        <w:t>3 (2014</w:t>
      </w:r>
      <w:r w:rsidRPr="00C634F1">
        <w:rPr>
          <w:i/>
        </w:rPr>
        <w:t xml:space="preserve">). Report Number </w:t>
      </w:r>
      <w:r>
        <w:rPr>
          <w:i/>
        </w:rPr>
        <w:t>5</w:t>
      </w:r>
      <w:r w:rsidRPr="00C634F1">
        <w:t>. Auckland: Gambling and Addictions Research Centre, Auckland University of Technology.</w:t>
      </w:r>
    </w:p>
    <w:p w14:paraId="3E81F78B" w14:textId="77777777" w:rsidR="006D2D11" w:rsidRDefault="006D2D11" w:rsidP="006D2D11">
      <w:pPr>
        <w:pStyle w:val="RepNormal"/>
      </w:pPr>
    </w:p>
    <w:p w14:paraId="1B02528F" w14:textId="77777777" w:rsidR="00F85BD0" w:rsidRDefault="00F85BD0" w:rsidP="007A534F">
      <w:pPr>
        <w:pStyle w:val="RepNormal"/>
        <w:keepNext/>
        <w:keepLines/>
      </w:pPr>
      <w:r w:rsidRPr="00F85BD0">
        <w:t>Abbott, M., Binde, P., Clark, L., Hodgins, D., Korn, D., Pere</w:t>
      </w:r>
      <w:r w:rsidR="006D2D11">
        <w:t>ira, A., . . . Walker, D. (2015d</w:t>
      </w:r>
      <w:r w:rsidRPr="00F85BD0">
        <w:t xml:space="preserve">). </w:t>
      </w:r>
      <w:r w:rsidRPr="00F85BD0">
        <w:rPr>
          <w:i/>
        </w:rPr>
        <w:t>Conceptual framework of harmful gambling: An international collaboration revised edition</w:t>
      </w:r>
      <w:r w:rsidRPr="00F85BD0">
        <w:t>. Ontario, Canada: Gambling Research Exchange Ontario (GREO). Retrieved from https://dspace.ucalgary.ca/bitstream/1880/51023/1/Conceptual_Framework_Oct_26_2015.pdf</w:t>
      </w:r>
    </w:p>
    <w:p w14:paraId="4326013B" w14:textId="77777777" w:rsidR="00F85BD0" w:rsidRDefault="00F85BD0" w:rsidP="008E64D7">
      <w:pPr>
        <w:pStyle w:val="RepNormal"/>
      </w:pPr>
    </w:p>
    <w:p w14:paraId="240A00A3" w14:textId="77777777" w:rsidR="00F85BD0" w:rsidRPr="001F6126" w:rsidRDefault="00DD0F28" w:rsidP="00F85BD0">
      <w:pPr>
        <w:jc w:val="both"/>
      </w:pPr>
      <w:r>
        <w:t>Abbott, M.</w:t>
      </w:r>
      <w:r w:rsidR="00F85BD0" w:rsidRPr="001F6126">
        <w:t xml:space="preserve">W., &amp; Clarke, D. (2007). Prospective problem gambling research: Contribution and potential. </w:t>
      </w:r>
      <w:r w:rsidR="00F85BD0" w:rsidRPr="001F6126">
        <w:rPr>
          <w:i/>
        </w:rPr>
        <w:t>International Gambling Studies, 7</w:t>
      </w:r>
      <w:r w:rsidR="00F85BD0" w:rsidRPr="001F6126">
        <w:t>(1), 123-144.</w:t>
      </w:r>
    </w:p>
    <w:p w14:paraId="2EC73CA4" w14:textId="77777777" w:rsidR="00F85BD0" w:rsidRDefault="00F85BD0" w:rsidP="008E64D7">
      <w:pPr>
        <w:pStyle w:val="RepNormal"/>
      </w:pPr>
    </w:p>
    <w:p w14:paraId="2C6E27BC" w14:textId="77777777" w:rsidR="00F85BD0" w:rsidRDefault="00DD0F28" w:rsidP="008E64D7">
      <w:pPr>
        <w:pStyle w:val="RepNormal"/>
      </w:pPr>
      <w:r>
        <w:t>Abbott, M.</w:t>
      </w:r>
      <w:r w:rsidR="00F85BD0" w:rsidRPr="00F85BD0">
        <w:t>W</w:t>
      </w:r>
      <w:r>
        <w:t>., Romild, U., &amp; Volberg, R.</w:t>
      </w:r>
      <w:r w:rsidR="00F85BD0" w:rsidRPr="00F85BD0">
        <w:t xml:space="preserve">A. (2014c). Gambling and problem gambling in Sweden: Changes between 1998 and 2009. </w:t>
      </w:r>
      <w:r w:rsidR="00F85BD0" w:rsidRPr="00F85BD0">
        <w:rPr>
          <w:i/>
        </w:rPr>
        <w:t>Journal of Gambling Studies, 30</w:t>
      </w:r>
      <w:r w:rsidR="00F85BD0" w:rsidRPr="00F85BD0">
        <w:t>(4), 985-999.</w:t>
      </w:r>
    </w:p>
    <w:p w14:paraId="18F72E11" w14:textId="77777777" w:rsidR="00A6252F" w:rsidRDefault="00A6252F" w:rsidP="008E64D7">
      <w:pPr>
        <w:pStyle w:val="RepNormal"/>
      </w:pPr>
    </w:p>
    <w:p w14:paraId="5DAF02B0" w14:textId="77777777" w:rsidR="00F85BD0" w:rsidRPr="00A6252F" w:rsidRDefault="00A6252F" w:rsidP="008E64D7">
      <w:pPr>
        <w:pStyle w:val="RepNormal"/>
      </w:pPr>
      <w:r>
        <w:t>Abbott, M.</w:t>
      </w:r>
      <w:r w:rsidRPr="00F85BD0">
        <w:t>W</w:t>
      </w:r>
      <w:r>
        <w:t xml:space="preserve">., Romild, U., &amp; Volberg, R. (2017). The prevalence, incidence, and gender and age-specific incidence of problem gambling: Results of the Swedish longitudinal gambling Study (Swelogs). </w:t>
      </w:r>
      <w:r>
        <w:rPr>
          <w:i/>
        </w:rPr>
        <w:t>Addiction</w:t>
      </w:r>
      <w:r>
        <w:t xml:space="preserve">. DOI </w:t>
      </w:r>
      <w:r w:rsidRPr="00A6252F">
        <w:t>10.1111/add.14083</w:t>
      </w:r>
    </w:p>
    <w:p w14:paraId="1E0702D7" w14:textId="77777777" w:rsidR="00A6252F" w:rsidRDefault="00A6252F" w:rsidP="008E64D7">
      <w:pPr>
        <w:pStyle w:val="RepNormal"/>
      </w:pPr>
    </w:p>
    <w:p w14:paraId="0E04B0F9" w14:textId="77777777" w:rsidR="00F85BD0" w:rsidRDefault="00DD0F28" w:rsidP="008E64D7">
      <w:pPr>
        <w:pStyle w:val="RepNormal"/>
      </w:pPr>
      <w:r>
        <w:t>Abbott, M., Stone, C.</w:t>
      </w:r>
      <w:r w:rsidR="00F85BD0" w:rsidRPr="00F85BD0">
        <w:t xml:space="preserve">A., Billi, R., &amp; Yeung, K. (2016b). Gambling and problem gambling in Victoria, Australia: Changes over 5 years. </w:t>
      </w:r>
      <w:r w:rsidR="00F85BD0" w:rsidRPr="00F85BD0">
        <w:rPr>
          <w:i/>
        </w:rPr>
        <w:t>Journal of Gambling Studies, 32</w:t>
      </w:r>
      <w:r w:rsidR="00F85BD0" w:rsidRPr="00F85BD0">
        <w:t>(1), 47-78.</w:t>
      </w:r>
    </w:p>
    <w:p w14:paraId="65060324" w14:textId="77777777" w:rsidR="00F85BD0" w:rsidRDefault="00F85BD0" w:rsidP="008E64D7">
      <w:pPr>
        <w:pStyle w:val="RepNormal"/>
      </w:pPr>
    </w:p>
    <w:p w14:paraId="32B36F3E" w14:textId="77777777" w:rsidR="00F85BD0" w:rsidRDefault="00F85BD0" w:rsidP="00F85BD0">
      <w:pPr>
        <w:pStyle w:val="RepNormal"/>
      </w:pPr>
      <w:r>
        <w:t xml:space="preserve">Abbott, M.W., &amp; Volberg, R. (1991). </w:t>
      </w:r>
      <w:r w:rsidRPr="00F85BD0">
        <w:rPr>
          <w:i/>
        </w:rPr>
        <w:t>Gambling and problem gambling in New Zealand: Report on phase one of the national survey</w:t>
      </w:r>
      <w:r>
        <w:t>. Wellington: Department of Internal Affairs.</w:t>
      </w:r>
    </w:p>
    <w:p w14:paraId="28BF7E55" w14:textId="77777777" w:rsidR="00C72848" w:rsidRDefault="00C72848" w:rsidP="00F85BD0">
      <w:pPr>
        <w:pStyle w:val="RepNormal"/>
      </w:pPr>
    </w:p>
    <w:p w14:paraId="555E506E" w14:textId="77777777" w:rsidR="00F85BD0" w:rsidRDefault="00C72848" w:rsidP="00F85BD0">
      <w:pPr>
        <w:pStyle w:val="RepNormal"/>
      </w:pPr>
      <w:r>
        <w:t>Abbott, M.W., &amp; Volberg, R.</w:t>
      </w:r>
      <w:r w:rsidR="00F85BD0">
        <w:t xml:space="preserve">A. (1992). </w:t>
      </w:r>
      <w:r w:rsidR="00F85BD0" w:rsidRPr="00C72848">
        <w:rPr>
          <w:i/>
        </w:rPr>
        <w:t>Frequent and problem gambling in New Zealand.</w:t>
      </w:r>
      <w:r w:rsidR="00F85BD0">
        <w:t xml:space="preserve"> Wellington: Department of Internal Affairs.</w:t>
      </w:r>
    </w:p>
    <w:p w14:paraId="1E4065BA" w14:textId="77777777" w:rsidR="00C72848" w:rsidRDefault="00C72848" w:rsidP="00F85BD0">
      <w:pPr>
        <w:pStyle w:val="RepNormal"/>
      </w:pPr>
    </w:p>
    <w:p w14:paraId="278B5B47" w14:textId="77777777" w:rsidR="00F85BD0" w:rsidRDefault="00C72848" w:rsidP="00F85BD0">
      <w:pPr>
        <w:pStyle w:val="RepNormal"/>
      </w:pPr>
      <w:r>
        <w:t>Abbott, M.W., &amp; Volberg, R.</w:t>
      </w:r>
      <w:r w:rsidR="00F85BD0">
        <w:t xml:space="preserve">A. (1996). The New Zealand national survey of problem and pathological gambling. </w:t>
      </w:r>
      <w:r w:rsidR="00F85BD0" w:rsidRPr="00C72848">
        <w:rPr>
          <w:i/>
        </w:rPr>
        <w:t>Journal of Gambling Studies, 12</w:t>
      </w:r>
      <w:r w:rsidR="00F85BD0">
        <w:t>(2), 143-160.</w:t>
      </w:r>
    </w:p>
    <w:p w14:paraId="283969F1" w14:textId="77777777" w:rsidR="00C72848" w:rsidRDefault="00C72848" w:rsidP="00F85BD0">
      <w:pPr>
        <w:pStyle w:val="RepNormal"/>
      </w:pPr>
    </w:p>
    <w:p w14:paraId="3DA21067" w14:textId="77777777" w:rsidR="00F85BD0" w:rsidRDefault="00C72848" w:rsidP="00F85BD0">
      <w:pPr>
        <w:pStyle w:val="RepNormal"/>
      </w:pPr>
      <w:r>
        <w:t>Abbott, M.W., &amp; Volberg, R.</w:t>
      </w:r>
      <w:r w:rsidR="00F85BD0">
        <w:t xml:space="preserve">A. (1999). </w:t>
      </w:r>
      <w:r w:rsidR="00F85BD0" w:rsidRPr="00C72848">
        <w:rPr>
          <w:i/>
        </w:rPr>
        <w:t>Gambling and problem gambling in the community: An international overview and critique</w:t>
      </w:r>
      <w:r w:rsidR="00F85BD0">
        <w:t>. Wellington: Department of Internal Affairs</w:t>
      </w:r>
      <w:r>
        <w:t>.</w:t>
      </w:r>
      <w:r w:rsidR="00F85BD0">
        <w:t xml:space="preserve"> </w:t>
      </w:r>
    </w:p>
    <w:p w14:paraId="0D5C0EB2" w14:textId="77777777" w:rsidR="00C72848" w:rsidRDefault="00C72848" w:rsidP="00F85BD0">
      <w:pPr>
        <w:pStyle w:val="RepNormal"/>
      </w:pPr>
    </w:p>
    <w:p w14:paraId="1FAC7CE3" w14:textId="77777777" w:rsidR="00F85BD0" w:rsidRDefault="00C72848" w:rsidP="00F85BD0">
      <w:pPr>
        <w:pStyle w:val="RepNormal"/>
      </w:pPr>
      <w:r>
        <w:t>Abbott, M.W., &amp; Volberg, R.</w:t>
      </w:r>
      <w:r w:rsidR="00F85BD0">
        <w:t xml:space="preserve">A. (2000). </w:t>
      </w:r>
      <w:r w:rsidR="00F85BD0" w:rsidRPr="00C72848">
        <w:rPr>
          <w:i/>
        </w:rPr>
        <w:t>Taking the pulse on gambling and problem gambling in New Zealand: A report on phase one of the 1999 national prevalence survey</w:t>
      </w:r>
      <w:r>
        <w:t>. Wellington</w:t>
      </w:r>
      <w:r w:rsidR="00F85BD0">
        <w:t>:</w:t>
      </w:r>
      <w:r>
        <w:t xml:space="preserve"> Department of Internal Affairs.</w:t>
      </w:r>
    </w:p>
    <w:p w14:paraId="373FC91D" w14:textId="77777777" w:rsidR="00C72848" w:rsidRDefault="00C72848" w:rsidP="00F85BD0">
      <w:pPr>
        <w:pStyle w:val="RepNormal"/>
      </w:pPr>
    </w:p>
    <w:p w14:paraId="25131D4D" w14:textId="77777777" w:rsidR="00F85BD0" w:rsidRDefault="00DD0F28" w:rsidP="00F85BD0">
      <w:pPr>
        <w:pStyle w:val="RepNormal"/>
      </w:pPr>
      <w:r>
        <w:t>Abbott, M.W., &amp; Volberg, R.</w:t>
      </w:r>
      <w:r w:rsidR="00F85BD0">
        <w:t>A. (2006). The measurement of adult problem and pathological gambling. International Gambling Studies, 6(2), 175-200.</w:t>
      </w:r>
    </w:p>
    <w:p w14:paraId="6957DC8D" w14:textId="77777777" w:rsidR="00F85BD0" w:rsidRDefault="00F85BD0" w:rsidP="008E64D7">
      <w:pPr>
        <w:pStyle w:val="RepNormal"/>
      </w:pPr>
    </w:p>
    <w:p w14:paraId="6AB4F54C" w14:textId="77777777" w:rsidR="00F85BD0" w:rsidRDefault="00F85BD0" w:rsidP="008E64D7">
      <w:pPr>
        <w:pStyle w:val="RepNormal"/>
      </w:pPr>
      <w:r w:rsidRPr="00F85BD0">
        <w:t xml:space="preserve">Abbott, M., Volberg, R., Bellringer, M., &amp; Reith, G. (2004a). </w:t>
      </w:r>
      <w:r w:rsidRPr="00F85BD0">
        <w:rPr>
          <w:i/>
        </w:rPr>
        <w:t xml:space="preserve">A review of research </w:t>
      </w:r>
      <w:r>
        <w:rPr>
          <w:i/>
        </w:rPr>
        <w:t>on aspects of problem gambling.</w:t>
      </w:r>
      <w:r w:rsidRPr="00F85BD0">
        <w:rPr>
          <w:i/>
        </w:rPr>
        <w:t>Report to the Responsibility in Gambling Trust, United Kingdom</w:t>
      </w:r>
      <w:r w:rsidRPr="00F85BD0">
        <w:t>. Auckland: Auckland University of Technology</w:t>
      </w:r>
      <w:r>
        <w:t>,</w:t>
      </w:r>
      <w:r w:rsidRPr="00F85BD0">
        <w:t xml:space="preserve"> </w:t>
      </w:r>
      <w:r w:rsidR="00A373B0">
        <w:t>Gambling Research Centre</w:t>
      </w:r>
      <w:r w:rsidRPr="00F85BD0">
        <w:t xml:space="preserve">. Retrieved from </w:t>
      </w:r>
      <w:r w:rsidR="00A373B0" w:rsidRPr="00A373B0">
        <w:t>http://www.gla.ac.uk/media/media_34551_en.pdf</w:t>
      </w:r>
    </w:p>
    <w:p w14:paraId="3B3349EA" w14:textId="77777777" w:rsidR="00A373B0" w:rsidRDefault="00A373B0" w:rsidP="008E64D7">
      <w:pPr>
        <w:pStyle w:val="RepNormal"/>
      </w:pPr>
    </w:p>
    <w:p w14:paraId="39A75FAA" w14:textId="77777777" w:rsidR="00584CED" w:rsidRDefault="00584CED" w:rsidP="008E64D7">
      <w:pPr>
        <w:pStyle w:val="RepNormal"/>
      </w:pPr>
      <w:r>
        <w:t>Abbott, M.W., Volberg, R.A., &amp; Williams, M.</w:t>
      </w:r>
      <w:r w:rsidRPr="00584CED">
        <w:t xml:space="preserve">M. (1999). </w:t>
      </w:r>
      <w:r w:rsidRPr="00584CED">
        <w:rPr>
          <w:i/>
        </w:rPr>
        <w:t>Seven years on: A follow-up study of frequent and problem gamblers living in the community</w:t>
      </w:r>
      <w:r w:rsidRPr="00584CED">
        <w:t>. Wellington: Department of Internal Affairs.</w:t>
      </w:r>
    </w:p>
    <w:p w14:paraId="650DC570" w14:textId="77777777" w:rsidR="00584CED" w:rsidRDefault="00584CED" w:rsidP="008E64D7">
      <w:pPr>
        <w:pStyle w:val="RepNormal"/>
      </w:pPr>
    </w:p>
    <w:p w14:paraId="5C5C3ADE" w14:textId="77777777" w:rsidR="00A373B0" w:rsidRDefault="00A373B0" w:rsidP="008E64D7">
      <w:pPr>
        <w:pStyle w:val="RepNormal"/>
      </w:pPr>
      <w:r>
        <w:t>Abbott, M.W., Williams, M.M., &amp; Volberg, R.</w:t>
      </w:r>
      <w:r w:rsidRPr="00A373B0">
        <w:t>A. (2004b). A prospective study of problem and regular non</w:t>
      </w:r>
      <w:r>
        <w:t>-</w:t>
      </w:r>
      <w:r w:rsidRPr="00A373B0">
        <w:t xml:space="preserve">problem gamblers living in the community. </w:t>
      </w:r>
      <w:r w:rsidRPr="00A373B0">
        <w:rPr>
          <w:i/>
        </w:rPr>
        <w:t>Substance Use &amp; Misuse, 39</w:t>
      </w:r>
      <w:r w:rsidRPr="00A373B0">
        <w:t>(6), 855-884.</w:t>
      </w:r>
    </w:p>
    <w:p w14:paraId="594B470A" w14:textId="77777777" w:rsidR="001501BE" w:rsidRDefault="001501BE" w:rsidP="008E64D7">
      <w:pPr>
        <w:pStyle w:val="RepNormal"/>
      </w:pPr>
    </w:p>
    <w:p w14:paraId="37F13628" w14:textId="77777777" w:rsidR="003D4684" w:rsidRPr="001F6126" w:rsidRDefault="003D4684" w:rsidP="003D4684">
      <w:pPr>
        <w:jc w:val="both"/>
      </w:pPr>
      <w:r>
        <w:t>Afifi, T.O., Nicholson, R., Martins, S.</w:t>
      </w:r>
      <w:r w:rsidRPr="001F6126">
        <w:t xml:space="preserve">S., &amp; Sareen, J. (2016). A longitudinal study of the temporal relation between problem gambling and mental and substance use disorders among young adults. </w:t>
      </w:r>
      <w:r w:rsidRPr="001F6126">
        <w:rPr>
          <w:i/>
        </w:rPr>
        <w:t>The Canadian Journal of Psychiatry, 61</w:t>
      </w:r>
      <w:r w:rsidRPr="001F6126">
        <w:t>(2), 102-111.</w:t>
      </w:r>
    </w:p>
    <w:p w14:paraId="3BB7691C" w14:textId="77777777" w:rsidR="003D4684" w:rsidRDefault="003D4684" w:rsidP="00584CED">
      <w:pPr>
        <w:keepNext/>
        <w:jc w:val="both"/>
      </w:pPr>
      <w:r w:rsidRPr="001F6126">
        <w:t xml:space="preserve">Allen+Clarke. (2015). </w:t>
      </w:r>
      <w:r w:rsidRPr="001F6126">
        <w:rPr>
          <w:i/>
        </w:rPr>
        <w:t>Informing the 2015 gambling harm needs assessment. Final Report for the Ministry of Health</w:t>
      </w:r>
      <w:r w:rsidRPr="001F6126">
        <w:t>. Retrieved from</w:t>
      </w:r>
    </w:p>
    <w:p w14:paraId="06482314" w14:textId="77777777" w:rsidR="003D4684" w:rsidRPr="001F6126" w:rsidRDefault="003D4684" w:rsidP="00584CED">
      <w:pPr>
        <w:keepNext/>
        <w:jc w:val="both"/>
      </w:pPr>
      <w:r w:rsidRPr="00DE0DF7">
        <w:t>https://www.health.govt.nz/system/files/documents/publications/informing-2015-gambling-harm-needs-assessmnt-jul15.pdf</w:t>
      </w:r>
    </w:p>
    <w:p w14:paraId="187669D2" w14:textId="77777777" w:rsidR="003D4684" w:rsidRDefault="003D4684" w:rsidP="003D4684">
      <w:pPr>
        <w:jc w:val="both"/>
      </w:pPr>
    </w:p>
    <w:p w14:paraId="11C64F92" w14:textId="77777777" w:rsidR="007B0B09" w:rsidRPr="007B0B09" w:rsidRDefault="007B0B09" w:rsidP="003D4684">
      <w:pPr>
        <w:jc w:val="both"/>
      </w:pPr>
      <w:r>
        <w:t xml:space="preserve">American Psychiatric Association. (2013). </w:t>
      </w:r>
      <w:r>
        <w:rPr>
          <w:i/>
        </w:rPr>
        <w:t>Diagnostic and statistical manual of mental Disorders, 5</w:t>
      </w:r>
      <w:r w:rsidRPr="007B0B09">
        <w:rPr>
          <w:i/>
          <w:vertAlign w:val="superscript"/>
        </w:rPr>
        <w:t>th</w:t>
      </w:r>
      <w:r>
        <w:rPr>
          <w:i/>
        </w:rPr>
        <w:t xml:space="preserve"> ed</w:t>
      </w:r>
      <w:r>
        <w:t>. Washington DC: American Psychiatric Association.</w:t>
      </w:r>
    </w:p>
    <w:p w14:paraId="7FE742F1" w14:textId="77777777" w:rsidR="00A6252F" w:rsidRDefault="00A6252F" w:rsidP="002B684E">
      <w:pPr>
        <w:jc w:val="both"/>
      </w:pPr>
    </w:p>
    <w:p w14:paraId="66000C83" w14:textId="77777777" w:rsidR="002B684E" w:rsidRDefault="002B684E" w:rsidP="002B684E">
      <w:pPr>
        <w:jc w:val="both"/>
      </w:pPr>
      <w:r>
        <w:t>Amey, B. (2005</w:t>
      </w:r>
      <w:r w:rsidRPr="001F6126">
        <w:t xml:space="preserve">). </w:t>
      </w:r>
      <w:r w:rsidRPr="001F6126">
        <w:rPr>
          <w:i/>
        </w:rPr>
        <w:t>People’s participation in a</w:t>
      </w:r>
      <w:r>
        <w:rPr>
          <w:i/>
        </w:rPr>
        <w:t>nd attitudes to gaming 1985-2005</w:t>
      </w:r>
      <w:r w:rsidRPr="001F6126">
        <w:rPr>
          <w:i/>
        </w:rPr>
        <w:t xml:space="preserve">: </w:t>
      </w:r>
      <w:r>
        <w:rPr>
          <w:i/>
        </w:rPr>
        <w:t>Results of the 2005</w:t>
      </w:r>
      <w:r w:rsidRPr="001F6126">
        <w:rPr>
          <w:i/>
        </w:rPr>
        <w:t xml:space="preserve"> survey</w:t>
      </w:r>
      <w:r w:rsidRPr="001F6126">
        <w:t>. Wellington: Department of Internal Affairs.</w:t>
      </w:r>
    </w:p>
    <w:p w14:paraId="2AECEC43" w14:textId="77777777" w:rsidR="007B0B09" w:rsidRDefault="007B0B09" w:rsidP="003D4684">
      <w:pPr>
        <w:jc w:val="both"/>
      </w:pPr>
    </w:p>
    <w:p w14:paraId="5E3084AE" w14:textId="77777777" w:rsidR="003D4684" w:rsidRDefault="003D4684" w:rsidP="003D4684">
      <w:pPr>
        <w:jc w:val="both"/>
      </w:pPr>
      <w:r>
        <w:t>Armstrong, A.</w:t>
      </w:r>
      <w:r w:rsidRPr="001F6126">
        <w:t>R., Thomas, A., &amp; Abbott, M. (2017). Gambling participation, expenditure and risk of harm in Australia, 1997</w:t>
      </w:r>
      <w:r>
        <w:t>-</w:t>
      </w:r>
      <w:r w:rsidRPr="001F6126">
        <w:t>1998 and 2010</w:t>
      </w:r>
      <w:r>
        <w:t>-</w:t>
      </w:r>
      <w:r w:rsidRPr="001F6126">
        <w:t xml:space="preserve">2011 [Advance online publication]. </w:t>
      </w:r>
      <w:r w:rsidRPr="001F6126">
        <w:rPr>
          <w:i/>
        </w:rPr>
        <w:t>Journal of Gambling Studies</w:t>
      </w:r>
      <w:r w:rsidRPr="001F6126">
        <w:t>. doi:10.1007/s10899-017-9708-0</w:t>
      </w:r>
    </w:p>
    <w:p w14:paraId="065EE5D9" w14:textId="77777777" w:rsidR="005D702A" w:rsidRDefault="005D702A" w:rsidP="003D4684">
      <w:pPr>
        <w:jc w:val="both"/>
      </w:pPr>
    </w:p>
    <w:p w14:paraId="01A4791F" w14:textId="77777777" w:rsidR="005D702A" w:rsidRDefault="005D702A" w:rsidP="003D4684">
      <w:pPr>
        <w:jc w:val="both"/>
      </w:pPr>
      <w:r w:rsidRPr="005D702A">
        <w:t xml:space="preserve">Bellringer, M., Garrett, N., Kolandai-Matchett, K., &amp; Abbott, M. (2015). </w:t>
      </w:r>
      <w:r w:rsidRPr="005D702A">
        <w:rPr>
          <w:i/>
        </w:rPr>
        <w:t>Offshore gambling by New Zealanders study</w:t>
      </w:r>
      <w:r w:rsidRPr="005D702A">
        <w:t>. Auckland: Auckland University of Technology, Gambling and Addictions Research Centre.</w:t>
      </w:r>
    </w:p>
    <w:p w14:paraId="1DC75216" w14:textId="77777777" w:rsidR="00C66690" w:rsidRDefault="00C66690" w:rsidP="003D4684">
      <w:pPr>
        <w:jc w:val="both"/>
      </w:pPr>
    </w:p>
    <w:p w14:paraId="02A4D5D6" w14:textId="77777777" w:rsidR="00C66690" w:rsidRPr="001F6126" w:rsidRDefault="00C66690" w:rsidP="003D4684">
      <w:pPr>
        <w:jc w:val="both"/>
      </w:pPr>
      <w:r w:rsidRPr="00C66690">
        <w:t xml:space="preserve">Bellringer, M., Pulford, J., Abbott, M., DeSouza, R., &amp; Clarke, D. (2008). </w:t>
      </w:r>
      <w:r w:rsidRPr="00C66690">
        <w:rPr>
          <w:i/>
        </w:rPr>
        <w:t>Problem gambling-barriers to help-seeking behaviours</w:t>
      </w:r>
      <w:r w:rsidRPr="00C66690">
        <w:t>. Auckland: Auckland University of Technology</w:t>
      </w:r>
      <w:r>
        <w:t>, Gambling and Addictions Research Centre</w:t>
      </w:r>
      <w:r w:rsidRPr="00C66690">
        <w:t>.</w:t>
      </w:r>
    </w:p>
    <w:p w14:paraId="08AC286F" w14:textId="77777777" w:rsidR="007A534F" w:rsidRDefault="007A534F" w:rsidP="003D4684">
      <w:pPr>
        <w:jc w:val="both"/>
      </w:pPr>
    </w:p>
    <w:p w14:paraId="4F97D034" w14:textId="77777777" w:rsidR="003D4684" w:rsidRDefault="003D4684" w:rsidP="003D4684">
      <w:pPr>
        <w:jc w:val="both"/>
      </w:pPr>
      <w:r>
        <w:t>Billi, R., Stone, C.</w:t>
      </w:r>
      <w:r w:rsidRPr="001F6126">
        <w:t xml:space="preserve">A., Abbott, M., &amp; Yeung, K. (2015). The Victorian Gambling Study </w:t>
      </w:r>
      <w:r>
        <w:t>(VGS) A</w:t>
      </w:r>
      <w:r w:rsidRPr="001F6126">
        <w:t xml:space="preserve"> longitudinal study of gambling and health in Victoria 2008</w:t>
      </w:r>
      <w:r>
        <w:t>-</w:t>
      </w:r>
      <w:r w:rsidRPr="001F6126">
        <w:t xml:space="preserve">2012: Design and methods. </w:t>
      </w:r>
      <w:r w:rsidRPr="001F6126">
        <w:rPr>
          <w:i/>
        </w:rPr>
        <w:t>International Journal of Mental Health and Addiction, 13</w:t>
      </w:r>
      <w:r w:rsidRPr="001F6126">
        <w:t>(2), 274-296.</w:t>
      </w:r>
    </w:p>
    <w:p w14:paraId="0E1B319D" w14:textId="77777777" w:rsidR="005D702A" w:rsidRDefault="005D702A" w:rsidP="003D4684">
      <w:pPr>
        <w:jc w:val="both"/>
      </w:pPr>
    </w:p>
    <w:p w14:paraId="444B1500" w14:textId="77777777" w:rsidR="003D4684" w:rsidRPr="001F6126" w:rsidRDefault="003D4684" w:rsidP="003D4684">
      <w:pPr>
        <w:jc w:val="both"/>
      </w:pPr>
      <w:r>
        <w:t>Billi, R., Stone, C.</w:t>
      </w:r>
      <w:r w:rsidRPr="001F6126">
        <w:t xml:space="preserve">A., Marden, P., &amp; Yeung, K. (2014). </w:t>
      </w:r>
      <w:r w:rsidRPr="001F6126">
        <w:rPr>
          <w:i/>
        </w:rPr>
        <w:t>The Victorian Gambling Study: A longitudinal study of gambling and health in Victoria, 2008</w:t>
      </w:r>
      <w:r>
        <w:rPr>
          <w:i/>
        </w:rPr>
        <w:t>-</w:t>
      </w:r>
      <w:r w:rsidRPr="001F6126">
        <w:rPr>
          <w:i/>
        </w:rPr>
        <w:t>2012</w:t>
      </w:r>
      <w:r w:rsidRPr="001F6126">
        <w:t xml:space="preserve">. </w:t>
      </w:r>
      <w:r>
        <w:t>Melbourne</w:t>
      </w:r>
      <w:r w:rsidRPr="001F6126">
        <w:t>: Victorian Responsible Gambling Foundation.</w:t>
      </w:r>
    </w:p>
    <w:p w14:paraId="0F7166FC" w14:textId="77777777" w:rsidR="003D4684" w:rsidRDefault="003D4684" w:rsidP="003D4684">
      <w:pPr>
        <w:jc w:val="both"/>
      </w:pPr>
    </w:p>
    <w:p w14:paraId="0C889E0D" w14:textId="77777777" w:rsidR="003D4684" w:rsidRPr="001F6126" w:rsidRDefault="003D4684" w:rsidP="003D4684">
      <w:pPr>
        <w:jc w:val="both"/>
      </w:pPr>
      <w:r w:rsidRPr="001F6126">
        <w:t xml:space="preserve">Binde, P. (2011). </w:t>
      </w:r>
      <w:r w:rsidRPr="001F6126">
        <w:rPr>
          <w:i/>
        </w:rPr>
        <w:t>What are the most harmful forms of gambling? Analyzing problem gambling prevalence surveys. Center for Public Sector Research (CEFOS) working papers 12</w:t>
      </w:r>
      <w:r w:rsidRPr="001F6126">
        <w:t xml:space="preserve"> (1653-3895). Gothenburg, Sweden: University of Gothenburg.</w:t>
      </w:r>
    </w:p>
    <w:p w14:paraId="70241DA7" w14:textId="77777777" w:rsidR="003D4684" w:rsidRDefault="003D4684" w:rsidP="003D4684">
      <w:pPr>
        <w:jc w:val="both"/>
      </w:pPr>
    </w:p>
    <w:p w14:paraId="34929411" w14:textId="77777777" w:rsidR="00CB2705" w:rsidRDefault="00CB2705" w:rsidP="003D4684">
      <w:pPr>
        <w:jc w:val="both"/>
      </w:pPr>
      <w:r w:rsidRPr="00CB2705">
        <w:t>Binde</w:t>
      </w:r>
      <w:r>
        <w:t>, P., Romild, U., &amp; Volberg, R.</w:t>
      </w:r>
      <w:r w:rsidRPr="00CB2705">
        <w:t xml:space="preserve">A. (2017). Forms of gambling, gambling involvement and problem gambling: Evidence from a Swedish population survey. </w:t>
      </w:r>
      <w:r w:rsidRPr="00CB2705">
        <w:rPr>
          <w:i/>
        </w:rPr>
        <w:t>International Gambling Studies, 17</w:t>
      </w:r>
      <w:r w:rsidRPr="00CB2705">
        <w:t>(3), 490-507.</w:t>
      </w:r>
    </w:p>
    <w:p w14:paraId="76472883" w14:textId="77777777" w:rsidR="00CB2705" w:rsidRDefault="00CB2705" w:rsidP="003D4684">
      <w:pPr>
        <w:jc w:val="both"/>
      </w:pPr>
    </w:p>
    <w:p w14:paraId="22EA2FB7" w14:textId="77777777" w:rsidR="00843D40" w:rsidRDefault="00843D40" w:rsidP="00843D40">
      <w:pPr>
        <w:jc w:val="both"/>
        <w:rPr>
          <w:szCs w:val="22"/>
        </w:rPr>
      </w:pPr>
      <w:r w:rsidRPr="00997301">
        <w:rPr>
          <w:szCs w:val="22"/>
        </w:rPr>
        <w:t xml:space="preserve">Blaszczynski, A., Dumlao, V., &amp; Lange, M. (1997). "How much do you spend gambling?" Ambiguities in survey questionnaire items. </w:t>
      </w:r>
      <w:r w:rsidRPr="00997301">
        <w:rPr>
          <w:i/>
          <w:iCs/>
          <w:szCs w:val="22"/>
        </w:rPr>
        <w:t>Journal of Gambling Studies, 13</w:t>
      </w:r>
      <w:r w:rsidRPr="00997301">
        <w:rPr>
          <w:szCs w:val="22"/>
        </w:rPr>
        <w:t>(3), 237-252.</w:t>
      </w:r>
    </w:p>
    <w:p w14:paraId="0D35385B" w14:textId="77777777" w:rsidR="00843D40" w:rsidRDefault="00843D40" w:rsidP="003D4684">
      <w:pPr>
        <w:jc w:val="both"/>
      </w:pPr>
    </w:p>
    <w:p w14:paraId="4DBFA95D" w14:textId="77777777" w:rsidR="003D4684" w:rsidRPr="001F6126" w:rsidRDefault="003D4684" w:rsidP="003D4684">
      <w:pPr>
        <w:jc w:val="both"/>
      </w:pPr>
      <w:r w:rsidRPr="001F6126">
        <w:t>Boga</w:t>
      </w:r>
      <w:r>
        <w:t>rt, W.</w:t>
      </w:r>
      <w:r w:rsidRPr="001F6126">
        <w:t xml:space="preserve">A. (2011). </w:t>
      </w:r>
      <w:r w:rsidRPr="001F6126">
        <w:rPr>
          <w:i/>
        </w:rPr>
        <w:t>Permit but discourage: Regulating excessive consumption</w:t>
      </w:r>
      <w:r w:rsidRPr="001F6126">
        <w:t>. New York: Oxford University Press.</w:t>
      </w:r>
    </w:p>
    <w:p w14:paraId="4CD1385D" w14:textId="77777777" w:rsidR="003D4684" w:rsidRDefault="003D4684" w:rsidP="003D4684">
      <w:pPr>
        <w:jc w:val="both"/>
      </w:pPr>
    </w:p>
    <w:p w14:paraId="116C30FD" w14:textId="77777777" w:rsidR="003D4684" w:rsidRPr="001F6126" w:rsidRDefault="003D4684" w:rsidP="003D4684">
      <w:pPr>
        <w:jc w:val="both"/>
      </w:pPr>
      <w:r w:rsidRPr="001F6126">
        <w:t xml:space="preserve">Browne, M., Bellringer, M., Greer, N., Kolandai-Matchett, K., Rawat, V., Langham, E., . . . Abbott, M. (2017). </w:t>
      </w:r>
      <w:r w:rsidRPr="001F6126">
        <w:rPr>
          <w:i/>
        </w:rPr>
        <w:t>Measuring the burden of gambling harm in New Zealand</w:t>
      </w:r>
      <w:r w:rsidRPr="001F6126">
        <w:t>. Wellington: Ministry of Health.</w:t>
      </w:r>
    </w:p>
    <w:p w14:paraId="7EA00E48" w14:textId="77777777" w:rsidR="003D4684" w:rsidRDefault="003D4684" w:rsidP="003D4684">
      <w:pPr>
        <w:jc w:val="both"/>
      </w:pPr>
    </w:p>
    <w:p w14:paraId="5D50DF15" w14:textId="77777777" w:rsidR="003D4684" w:rsidRPr="001F6126" w:rsidRDefault="003D4684" w:rsidP="003D4684">
      <w:pPr>
        <w:jc w:val="both"/>
      </w:pPr>
      <w:r w:rsidRPr="001F6126">
        <w:t xml:space="preserve">Browne, M., Langham, E., Rawat, V., Greer, N., Li, E., Rose, J., . . . Goodwin, B. (2016). </w:t>
      </w:r>
      <w:r w:rsidRPr="001F6126">
        <w:rPr>
          <w:i/>
        </w:rPr>
        <w:t>Assessing gambling-related harm in Victoria: A public health perspective</w:t>
      </w:r>
      <w:r>
        <w:t>. Melbourne</w:t>
      </w:r>
      <w:r w:rsidRPr="001F6126">
        <w:t>: Victorian Responsible Gambling Foundation.</w:t>
      </w:r>
    </w:p>
    <w:p w14:paraId="028B1D72" w14:textId="77777777" w:rsidR="003D4684" w:rsidRDefault="003D4684" w:rsidP="003D4684">
      <w:pPr>
        <w:jc w:val="both"/>
      </w:pPr>
    </w:p>
    <w:p w14:paraId="2DF558B6" w14:textId="77777777" w:rsidR="003D4684" w:rsidRPr="001F6126" w:rsidRDefault="003D4684" w:rsidP="003D4684">
      <w:pPr>
        <w:jc w:val="both"/>
      </w:pPr>
      <w:r w:rsidRPr="001F6126">
        <w:t xml:space="preserve">Bruneau, M., Grall-Bronnec, M., Vénisse, J.-L., Romo, L., Valleur, M., Magalon, D., . . . Challet-Bouju, G. (2016). Gambling transitions among adult gamblers: A multi-state model using a Markovian approach applied to the JEU cohort. </w:t>
      </w:r>
      <w:r>
        <w:rPr>
          <w:i/>
        </w:rPr>
        <w:t>Addictive B</w:t>
      </w:r>
      <w:r w:rsidRPr="001F6126">
        <w:rPr>
          <w:i/>
        </w:rPr>
        <w:t>ehaviors, 57</w:t>
      </w:r>
      <w:r w:rsidRPr="001F6126">
        <w:t>, 13-20.</w:t>
      </w:r>
    </w:p>
    <w:p w14:paraId="3858FDBC" w14:textId="77777777" w:rsidR="003D4684" w:rsidRDefault="003D4684" w:rsidP="003D4684">
      <w:pPr>
        <w:jc w:val="both"/>
      </w:pPr>
    </w:p>
    <w:p w14:paraId="490AE7F1" w14:textId="77777777" w:rsidR="003D4684" w:rsidRPr="001F6126" w:rsidRDefault="003D4684" w:rsidP="003D4684">
      <w:pPr>
        <w:jc w:val="both"/>
      </w:pPr>
      <w:r w:rsidRPr="001F6126">
        <w:t>Calado, F., &amp; Griffiths, M. D. (2016). Problem gambling worldwide: An update and systematic review of empirical research (2000</w:t>
      </w:r>
      <w:r>
        <w:t>-</w:t>
      </w:r>
      <w:r w:rsidRPr="001F6126">
        <w:t xml:space="preserve">2015). </w:t>
      </w:r>
      <w:r>
        <w:rPr>
          <w:i/>
        </w:rPr>
        <w:t>Journal of B</w:t>
      </w:r>
      <w:r w:rsidRPr="001F6126">
        <w:rPr>
          <w:i/>
        </w:rPr>
        <w:t xml:space="preserve">ehavioral </w:t>
      </w:r>
      <w:r>
        <w:rPr>
          <w:i/>
        </w:rPr>
        <w:t>A</w:t>
      </w:r>
      <w:r w:rsidRPr="001F6126">
        <w:rPr>
          <w:i/>
        </w:rPr>
        <w:t>ddictions, 5</w:t>
      </w:r>
      <w:r w:rsidRPr="001F6126">
        <w:t>(4), 592-613.</w:t>
      </w:r>
    </w:p>
    <w:p w14:paraId="4270EFCD" w14:textId="77777777" w:rsidR="003D4684" w:rsidRDefault="003D4684" w:rsidP="003D4684">
      <w:pPr>
        <w:jc w:val="both"/>
      </w:pPr>
    </w:p>
    <w:p w14:paraId="01AC70DB" w14:textId="77777777" w:rsidR="003D4684" w:rsidRDefault="003D4684" w:rsidP="003D4684">
      <w:pPr>
        <w:jc w:val="both"/>
      </w:pPr>
      <w:r w:rsidRPr="001F6126">
        <w:t xml:space="preserve">Centre for Social and Health Outcomes Research and Evaluation &amp; Te Ropu Whariki. (2008). </w:t>
      </w:r>
      <w:r w:rsidRPr="001F6126">
        <w:rPr>
          <w:i/>
        </w:rPr>
        <w:t>Assessment of the social impacts of gambling in New Zealand. Report to Ministry of Health</w:t>
      </w:r>
      <w:r w:rsidRPr="001F6126">
        <w:t>. Auckland,: Massey University. Retrieved from</w:t>
      </w:r>
    </w:p>
    <w:p w14:paraId="4F722BD1" w14:textId="77777777" w:rsidR="003D4684" w:rsidRPr="001F6126" w:rsidRDefault="003D4684" w:rsidP="003D4684">
      <w:pPr>
        <w:jc w:val="both"/>
      </w:pPr>
      <w:r w:rsidRPr="00DE0DF7">
        <w:t>http://www.health.govt.nz/system/files/documents/pages/social-impacts-gambling-nz08.pdf</w:t>
      </w:r>
    </w:p>
    <w:p w14:paraId="6A07DBD9" w14:textId="77777777" w:rsidR="00584CED" w:rsidRDefault="00584CED" w:rsidP="003D4684">
      <w:pPr>
        <w:jc w:val="both"/>
      </w:pPr>
    </w:p>
    <w:p w14:paraId="4A8A0C64" w14:textId="77777777" w:rsidR="003D4684" w:rsidRPr="001F6126" w:rsidRDefault="003D4684" w:rsidP="003D4684">
      <w:pPr>
        <w:jc w:val="both"/>
      </w:pPr>
      <w:r w:rsidRPr="001F6126">
        <w:t xml:space="preserve">Chetwynd, J. </w:t>
      </w:r>
      <w:r>
        <w:t>(1997). Problem gambling. In P.M. Ellis &amp; S.C.</w:t>
      </w:r>
      <w:r w:rsidRPr="001F6126">
        <w:t xml:space="preserve">D. Collings (Eds.), </w:t>
      </w:r>
      <w:r w:rsidRPr="001F6126">
        <w:rPr>
          <w:i/>
        </w:rPr>
        <w:t>Mental health in New Zealand from a public health perspective</w:t>
      </w:r>
      <w:r w:rsidRPr="001F6126">
        <w:t xml:space="preserve"> (pp. 405</w:t>
      </w:r>
      <w:r>
        <w:t>-</w:t>
      </w:r>
      <w:r w:rsidRPr="001F6126">
        <w:t>411). Wellington: Ministry of Health.</w:t>
      </w:r>
    </w:p>
    <w:p w14:paraId="2D0A3C22" w14:textId="77777777" w:rsidR="003D4684" w:rsidRDefault="003D4684" w:rsidP="003D4684">
      <w:pPr>
        <w:jc w:val="both"/>
      </w:pPr>
    </w:p>
    <w:p w14:paraId="7CB1BC17" w14:textId="77777777" w:rsidR="003D4684" w:rsidRDefault="003D4684" w:rsidP="003D4684">
      <w:pPr>
        <w:jc w:val="both"/>
      </w:pPr>
      <w:r w:rsidRPr="001F6126">
        <w:t xml:space="preserve">Christoffel, P. (1992). </w:t>
      </w:r>
      <w:r w:rsidRPr="001F6126">
        <w:rPr>
          <w:i/>
        </w:rPr>
        <w:t>People's participation in and attitudes towards gambling</w:t>
      </w:r>
      <w:r>
        <w:t>. Wellington</w:t>
      </w:r>
      <w:r w:rsidRPr="001F6126">
        <w:t>: Department of Internal Affairs.</w:t>
      </w:r>
    </w:p>
    <w:p w14:paraId="4989B318" w14:textId="77777777" w:rsidR="00C66690" w:rsidRDefault="00C66690" w:rsidP="003D4684">
      <w:pPr>
        <w:jc w:val="both"/>
      </w:pPr>
    </w:p>
    <w:p w14:paraId="42A8798F" w14:textId="77777777" w:rsidR="00C66690" w:rsidRPr="001F6126" w:rsidRDefault="00C66690" w:rsidP="003D4684">
      <w:pPr>
        <w:jc w:val="both"/>
      </w:pPr>
      <w:r w:rsidRPr="00C66690">
        <w:t xml:space="preserve">Clarke, D., Abbott, M., DeSouza, R., &amp; Bellringer, M. (2007). An overview of help seeking by problem gamblers and their families including barriers to and relevance of services. </w:t>
      </w:r>
      <w:r w:rsidRPr="00C66690">
        <w:rPr>
          <w:i/>
        </w:rPr>
        <w:t>International Journal of Mental Health and Addiction, 5</w:t>
      </w:r>
      <w:r w:rsidRPr="00C66690">
        <w:t>(4), 292-306.</w:t>
      </w:r>
    </w:p>
    <w:p w14:paraId="544C349F" w14:textId="77777777" w:rsidR="003D4684" w:rsidRDefault="003D4684" w:rsidP="003D4684">
      <w:pPr>
        <w:jc w:val="both"/>
      </w:pPr>
    </w:p>
    <w:p w14:paraId="0A8B9128" w14:textId="77777777" w:rsidR="00331C08" w:rsidRDefault="00331C08" w:rsidP="003D4684">
      <w:pPr>
        <w:jc w:val="both"/>
      </w:pPr>
      <w:r>
        <w:t>Conolly, A., Fuller, E., Jones, H., Maplethorpe, N., Sondaal, A., &amp; Wardle, H. (2017). Gambling behaviour in Great Britain in 2015: Evidence from England, Scotland and Wales. London: NatCen Social Research.</w:t>
      </w:r>
    </w:p>
    <w:p w14:paraId="274C5365" w14:textId="77777777" w:rsidR="00331C08" w:rsidRDefault="00331C08" w:rsidP="003D4684">
      <w:pPr>
        <w:jc w:val="both"/>
      </w:pPr>
    </w:p>
    <w:p w14:paraId="36281572" w14:textId="77777777" w:rsidR="003D4684" w:rsidRPr="001F6126" w:rsidRDefault="008F433B" w:rsidP="003D4684">
      <w:pPr>
        <w:jc w:val="both"/>
      </w:pPr>
      <w:r>
        <w:t>Cornish, D.</w:t>
      </w:r>
      <w:r w:rsidR="003D4684" w:rsidRPr="001F6126">
        <w:t xml:space="preserve">B. (1978). </w:t>
      </w:r>
      <w:r w:rsidR="003D4684" w:rsidRPr="001F6126">
        <w:rPr>
          <w:i/>
        </w:rPr>
        <w:t>Gambling: A review of the literature and its implications for policy and research</w:t>
      </w:r>
      <w:r w:rsidR="003D4684" w:rsidRPr="001F6126">
        <w:t>. London: HMSO.</w:t>
      </w:r>
    </w:p>
    <w:p w14:paraId="3ACB8264" w14:textId="77777777" w:rsidR="008F433B" w:rsidRDefault="008F433B" w:rsidP="003D4684">
      <w:pPr>
        <w:jc w:val="both"/>
      </w:pPr>
    </w:p>
    <w:p w14:paraId="2C561736" w14:textId="77777777" w:rsidR="0033518C" w:rsidRDefault="0033518C" w:rsidP="003D4684">
      <w:pPr>
        <w:jc w:val="both"/>
      </w:pPr>
      <w:r>
        <w:t>Currie, S.R., Hodgins, D.C., &amp; Casey, D.</w:t>
      </w:r>
      <w:r w:rsidRPr="0033518C">
        <w:t xml:space="preserve">M. (2013). Validity of the problem gambling severity index interpretive categories. </w:t>
      </w:r>
      <w:r w:rsidRPr="0033518C">
        <w:rPr>
          <w:i/>
        </w:rPr>
        <w:t>Journal of Gambling Studies, 29</w:t>
      </w:r>
      <w:r w:rsidRPr="0033518C">
        <w:t>(2), 311-327.</w:t>
      </w:r>
    </w:p>
    <w:p w14:paraId="7DC54722" w14:textId="77777777" w:rsidR="0033518C" w:rsidRDefault="0033518C" w:rsidP="003D4684">
      <w:pPr>
        <w:jc w:val="both"/>
      </w:pPr>
    </w:p>
    <w:p w14:paraId="1446DF5C" w14:textId="77777777" w:rsidR="001F71B4" w:rsidRDefault="001F71B4" w:rsidP="003D4684">
      <w:pPr>
        <w:jc w:val="both"/>
      </w:pPr>
      <w:r>
        <w:t>Currie, S.</w:t>
      </w:r>
      <w:r w:rsidRPr="001F71B4">
        <w:t xml:space="preserve">R., </w:t>
      </w:r>
      <w:r>
        <w:t>Hodgins, D.C., Casey, D.</w:t>
      </w:r>
      <w:r w:rsidRPr="001F71B4">
        <w:t>M., el</w:t>
      </w:r>
      <w:r w:rsidRPr="001F71B4">
        <w:rPr>
          <w:rFonts w:ascii="Cambria Math" w:hAnsi="Cambria Math" w:cs="Cambria Math"/>
        </w:rPr>
        <w:t>‐</w:t>
      </w:r>
      <w:r>
        <w:t>Guebaly, N., Smith, G.J., Williams, R.J., &amp; Schopflocher, D.</w:t>
      </w:r>
      <w:r w:rsidRPr="001F71B4">
        <w:t>P. (2017). Deriving low</w:t>
      </w:r>
      <w:r w:rsidRPr="001F71B4">
        <w:rPr>
          <w:rFonts w:ascii="Cambria Math" w:hAnsi="Cambria Math" w:cs="Cambria Math"/>
        </w:rPr>
        <w:t>‐</w:t>
      </w:r>
      <w:r w:rsidRPr="001F71B4">
        <w:t xml:space="preserve">risk gambling limits from longitudinal data collected in two independent Canadian studies [Advance online publication]. </w:t>
      </w:r>
      <w:r w:rsidRPr="001F71B4">
        <w:rPr>
          <w:i/>
        </w:rPr>
        <w:t>Addiction</w:t>
      </w:r>
      <w:r w:rsidRPr="001F71B4">
        <w:t>. doi:10.1111/add.13909</w:t>
      </w:r>
    </w:p>
    <w:p w14:paraId="7DF39792" w14:textId="77777777" w:rsidR="001F71B4" w:rsidRDefault="001F71B4" w:rsidP="003D4684">
      <w:pPr>
        <w:jc w:val="both"/>
      </w:pPr>
    </w:p>
    <w:p w14:paraId="050AC35D" w14:textId="77777777" w:rsidR="006F2F65" w:rsidRDefault="006F2F65" w:rsidP="003D4684">
      <w:pPr>
        <w:jc w:val="both"/>
      </w:pPr>
      <w:r>
        <w:t>Currie, S.R., Hodgins, D.</w:t>
      </w:r>
      <w:r w:rsidRPr="006F2F65">
        <w:t>C., Wang, J., El</w:t>
      </w:r>
      <w:r w:rsidRPr="006F2F65">
        <w:rPr>
          <w:rFonts w:ascii="Cambria Math" w:hAnsi="Cambria Math" w:cs="Cambria Math"/>
        </w:rPr>
        <w:t>‐</w:t>
      </w:r>
      <w:r w:rsidRPr="006F2F65">
        <w:t xml:space="preserve">Guebaly, N., Wynne, H., &amp; Chen, S. (2006). Risk of harm among gamblers in the general population as a function of level of participation in gambling activities. </w:t>
      </w:r>
      <w:r w:rsidRPr="006F2F65">
        <w:rPr>
          <w:i/>
        </w:rPr>
        <w:t>Addiction, 101</w:t>
      </w:r>
      <w:r w:rsidRPr="006F2F65">
        <w:t>(4), 570-580.</w:t>
      </w:r>
    </w:p>
    <w:p w14:paraId="08F57C10" w14:textId="77777777" w:rsidR="006F2F65" w:rsidRDefault="006F2F65" w:rsidP="003D4684">
      <w:pPr>
        <w:jc w:val="both"/>
      </w:pPr>
    </w:p>
    <w:p w14:paraId="4CA52AE8" w14:textId="77777777" w:rsidR="006F2F65" w:rsidRDefault="006F2F65" w:rsidP="003D4684">
      <w:pPr>
        <w:jc w:val="both"/>
      </w:pPr>
      <w:r>
        <w:t>Currie, S.</w:t>
      </w:r>
      <w:r w:rsidRPr="006F2F65">
        <w:t xml:space="preserve">R., Hodgins, </w:t>
      </w:r>
      <w:r>
        <w:t>D.</w:t>
      </w:r>
      <w:r w:rsidRPr="006F2F65">
        <w:t>C., Wang, J., el-Gueba</w:t>
      </w:r>
      <w:r>
        <w:t>ly, N., Wynne, H., &amp; Miller, N.</w:t>
      </w:r>
      <w:r w:rsidRPr="006F2F65">
        <w:t xml:space="preserve">V. (2008). Replication of low-risk gambling limits using Canadian provincial gambling prevalence data. </w:t>
      </w:r>
      <w:r w:rsidRPr="006F2F65">
        <w:rPr>
          <w:i/>
        </w:rPr>
        <w:t>Journal of Gambling Studies, 24</w:t>
      </w:r>
      <w:r w:rsidRPr="006F2F65">
        <w:t>(3), 321-335.</w:t>
      </w:r>
    </w:p>
    <w:p w14:paraId="776BEFDA" w14:textId="77777777" w:rsidR="006F2F65" w:rsidRDefault="006F2F65" w:rsidP="003D4684">
      <w:pPr>
        <w:jc w:val="both"/>
      </w:pPr>
    </w:p>
    <w:p w14:paraId="02DD7BC7" w14:textId="77777777" w:rsidR="003D4684" w:rsidRPr="001F6126" w:rsidRDefault="003D4684" w:rsidP="003D4684">
      <w:pPr>
        <w:jc w:val="both"/>
      </w:pPr>
      <w:r w:rsidRPr="001F6126">
        <w:t xml:space="preserve">Davidson, T., Rodgers, B., Taylor-Rodgers, E., Suomi, A., &amp; Lucas, M. (2015). </w:t>
      </w:r>
      <w:r w:rsidRPr="001F6126">
        <w:rPr>
          <w:i/>
        </w:rPr>
        <w:t>2014 survey on gambling, health and wellbeing in the ACT</w:t>
      </w:r>
      <w:r w:rsidRPr="001F6126">
        <w:t xml:space="preserve">. </w:t>
      </w:r>
      <w:r w:rsidR="008F433B">
        <w:t>Canberra</w:t>
      </w:r>
      <w:r w:rsidRPr="001F6126">
        <w:t>: Australian National University, Centre for Gambling Research.</w:t>
      </w:r>
    </w:p>
    <w:p w14:paraId="05E24542" w14:textId="77777777" w:rsidR="00F85BD0" w:rsidRDefault="00F85BD0" w:rsidP="008E64D7">
      <w:pPr>
        <w:pStyle w:val="RepNormal"/>
      </w:pPr>
    </w:p>
    <w:p w14:paraId="54879ECA" w14:textId="77777777" w:rsidR="008E64D7" w:rsidRPr="00E45844" w:rsidRDefault="008E64D7" w:rsidP="008E64D7">
      <w:pPr>
        <w:pStyle w:val="RepNormal"/>
      </w:pPr>
      <w:r w:rsidRPr="00E45844">
        <w:t xml:space="preserve">Deming, W.E., &amp; Stephan, F.F. (1940). On a least squares adjustment of a sample frequency table when the expected marginal totals are known. </w:t>
      </w:r>
      <w:r w:rsidRPr="00E45844">
        <w:rPr>
          <w:i/>
        </w:rPr>
        <w:t xml:space="preserve">Annals of Mathematical Statistics, 11, </w:t>
      </w:r>
      <w:r w:rsidRPr="00E45844">
        <w:t>427-444.</w:t>
      </w:r>
    </w:p>
    <w:p w14:paraId="71E3837D" w14:textId="77777777" w:rsidR="00C410C6" w:rsidRPr="008E05BA" w:rsidRDefault="00C410C6" w:rsidP="00E85E36">
      <w:pPr>
        <w:pStyle w:val="RepNormal"/>
        <w:rPr>
          <w:sz w:val="20"/>
        </w:rPr>
      </w:pPr>
    </w:p>
    <w:p w14:paraId="40383457" w14:textId="77777777" w:rsidR="006A7BF9" w:rsidRDefault="006A7BF9" w:rsidP="006A7BF9">
      <w:pPr>
        <w:jc w:val="both"/>
      </w:pPr>
      <w:r w:rsidRPr="001F6126">
        <w:t xml:space="preserve">Department of Internal Affairs. (2007). </w:t>
      </w:r>
      <w:r w:rsidRPr="001F6126">
        <w:rPr>
          <w:i/>
        </w:rPr>
        <w:t>People's participation in, and attitudes to, gambling 1985-2005: Results of the 2005 survey</w:t>
      </w:r>
      <w:r w:rsidRPr="001F6126">
        <w:t xml:space="preserve">. Wellington: Department of Internal Affairs. Retrieved from </w:t>
      </w:r>
    </w:p>
    <w:p w14:paraId="473CD708" w14:textId="77777777" w:rsidR="006A7BF9" w:rsidRPr="001F6126" w:rsidRDefault="006A7BF9" w:rsidP="006A7BF9">
      <w:pPr>
        <w:jc w:val="both"/>
      </w:pPr>
      <w:r w:rsidRPr="00DE0DF7">
        <w:t>http://www.dia.govt.nz/Pubforms.nsf/URL/GamblingParticipationSurvey1985-2005.pdf/$file/GamblingParticipationSurvey1985-2005.pdf</w:t>
      </w:r>
    </w:p>
    <w:p w14:paraId="04121731" w14:textId="77777777" w:rsidR="005D702A" w:rsidRDefault="005D702A" w:rsidP="006A7BF9">
      <w:pPr>
        <w:jc w:val="both"/>
      </w:pPr>
    </w:p>
    <w:p w14:paraId="451058A4" w14:textId="517D7E49" w:rsidR="006A7BF9" w:rsidRDefault="006A7BF9" w:rsidP="00843D40">
      <w:pPr>
        <w:keepNext/>
        <w:jc w:val="both"/>
      </w:pPr>
      <w:r w:rsidRPr="001F6126">
        <w:t>Department of Internal Affairs. (2017</w:t>
      </w:r>
      <w:r w:rsidR="00622B35">
        <w:t>a</w:t>
      </w:r>
      <w:r w:rsidRPr="001F6126">
        <w:t xml:space="preserve">). </w:t>
      </w:r>
      <w:r w:rsidRPr="001F6126">
        <w:rPr>
          <w:i/>
        </w:rPr>
        <w:t>Gaming machine numbers: June 1994 to March 2017 at 3-monthly intervals.</w:t>
      </w:r>
      <w:r w:rsidRPr="001F6126">
        <w:t xml:space="preserve"> Retrieved from</w:t>
      </w:r>
    </w:p>
    <w:p w14:paraId="1F255B01" w14:textId="77777777" w:rsidR="006A7BF9" w:rsidRPr="001F6126" w:rsidRDefault="006A7BF9" w:rsidP="00843D40">
      <w:pPr>
        <w:keepNext/>
        <w:jc w:val="both"/>
      </w:pPr>
      <w:r w:rsidRPr="00DE0DF7">
        <w:t>https://www.dia.govt.nz/diawebsite.nsf/wpg_URL/Resource-material-Information-We-Provide-Timeline-of-Gaming-Machine-Numbers-from-June-1994</w:t>
      </w:r>
    </w:p>
    <w:p w14:paraId="7720FD84" w14:textId="77777777" w:rsidR="006A7BF9" w:rsidRDefault="006A7BF9" w:rsidP="006A7BF9">
      <w:pPr>
        <w:jc w:val="both"/>
      </w:pPr>
    </w:p>
    <w:p w14:paraId="56629FDE" w14:textId="785509F8" w:rsidR="00622B35" w:rsidRPr="00622B35" w:rsidRDefault="00622B35" w:rsidP="006A7BF9">
      <w:pPr>
        <w:jc w:val="both"/>
      </w:pPr>
      <w:r>
        <w:t xml:space="preserve">Department of Internal Affairs. (2017b). </w:t>
      </w:r>
      <w:r>
        <w:rPr>
          <w:i/>
        </w:rPr>
        <w:t>Gambling expenditure statistics</w:t>
      </w:r>
      <w:r>
        <w:t xml:space="preserve">. Retrieved from </w:t>
      </w:r>
      <w:r w:rsidRPr="00622B35">
        <w:t>https://www.dia.govt.nz/diawebsite.nsf/wpg_URL/Resource-material-Information-We-Provide-Gambling-Expenditure-Statistics</w:t>
      </w:r>
    </w:p>
    <w:p w14:paraId="209BF053" w14:textId="77777777" w:rsidR="00622B35" w:rsidRDefault="00622B35" w:rsidP="006A7BF9">
      <w:pPr>
        <w:jc w:val="both"/>
      </w:pPr>
    </w:p>
    <w:p w14:paraId="47AAAE15" w14:textId="77777777" w:rsidR="005D702A" w:rsidRDefault="005D702A" w:rsidP="006A7BF9">
      <w:pPr>
        <w:jc w:val="both"/>
      </w:pPr>
      <w:r>
        <w:t>Devlin, M.</w:t>
      </w:r>
      <w:r w:rsidRPr="005D702A">
        <w:t xml:space="preserve">E., &amp; Walton, D. (2012). The prevalence of problem gambling in New Zealand as measured by the PGSI: Adjusting prevalence estimates using meta-analysis. </w:t>
      </w:r>
      <w:r w:rsidRPr="005D702A">
        <w:rPr>
          <w:i/>
        </w:rPr>
        <w:t>International Gambling Studies, 12</w:t>
      </w:r>
      <w:r w:rsidRPr="005D702A">
        <w:t>(2), 177-197.</w:t>
      </w:r>
    </w:p>
    <w:p w14:paraId="79E542A7" w14:textId="77777777" w:rsidR="005D702A" w:rsidRDefault="005D702A" w:rsidP="006A7BF9">
      <w:pPr>
        <w:jc w:val="both"/>
      </w:pPr>
    </w:p>
    <w:p w14:paraId="6B3AF780" w14:textId="77777777" w:rsidR="00CB2705" w:rsidRDefault="00CB2705" w:rsidP="006A7BF9">
      <w:pPr>
        <w:jc w:val="both"/>
      </w:pPr>
      <w:r w:rsidRPr="00CB2705">
        <w:t xml:space="preserve">Dussault, F., Brunelle, N., Kairouz, S., Rousseau, M., Leclerc, D., Tremblay, J., . . . Dufour, M. (2017). Transition from playing with simulated gambling games to gambling with real money: A longitudinal study in adolescence. </w:t>
      </w:r>
      <w:r w:rsidRPr="00CB2705">
        <w:rPr>
          <w:i/>
        </w:rPr>
        <w:t>International Gambling Studies, 17</w:t>
      </w:r>
      <w:r w:rsidRPr="00CB2705">
        <w:t>(3), 386-400.</w:t>
      </w:r>
    </w:p>
    <w:p w14:paraId="5035ED00" w14:textId="77777777" w:rsidR="00CB2705" w:rsidRDefault="00CB2705" w:rsidP="006A7BF9">
      <w:pPr>
        <w:jc w:val="both"/>
      </w:pPr>
    </w:p>
    <w:p w14:paraId="3FD1EA73" w14:textId="77777777" w:rsidR="006A7BF9" w:rsidRPr="001F6126" w:rsidRDefault="006A7BF9" w:rsidP="006A7BF9">
      <w:pPr>
        <w:jc w:val="both"/>
      </w:pPr>
      <w:r>
        <w:t>el-Guebaly, N., Casey, D.M., Currie, S.R., Hodgins, D.C., Schopflocher, D.P., Smith, G.J., &amp; Williams, R.</w:t>
      </w:r>
      <w:r w:rsidRPr="001F6126">
        <w:t xml:space="preserve">J. (2015). </w:t>
      </w:r>
      <w:r w:rsidRPr="001F6126">
        <w:rPr>
          <w:i/>
        </w:rPr>
        <w:t>The Leisure, Lifestyle &amp; Lifecycle Project (LLLP): A longitudinal study of gambling in Alberta. Final report for the Alberta Gambling Research Institute</w:t>
      </w:r>
      <w:r w:rsidRPr="001F6126">
        <w:t>. Canada: Alberta Gambling Research Institute.</w:t>
      </w:r>
    </w:p>
    <w:p w14:paraId="731C0242" w14:textId="77777777" w:rsidR="006A7BF9" w:rsidRDefault="006A7BF9" w:rsidP="00CD5D3D">
      <w:pPr>
        <w:jc w:val="both"/>
        <w:rPr>
          <w:szCs w:val="22"/>
        </w:rPr>
      </w:pPr>
    </w:p>
    <w:p w14:paraId="148F9EEE" w14:textId="77777777" w:rsidR="00CD5D3D" w:rsidRDefault="00CD5D3D" w:rsidP="00CD5D3D">
      <w:pPr>
        <w:jc w:val="both"/>
        <w:rPr>
          <w:szCs w:val="22"/>
        </w:rPr>
      </w:pPr>
      <w:r w:rsidRPr="008E05BA">
        <w:rPr>
          <w:szCs w:val="22"/>
        </w:rPr>
        <w:t xml:space="preserve">Ferris, J., &amp; Wynne, H. (2001). </w:t>
      </w:r>
      <w:r w:rsidRPr="008E05BA">
        <w:rPr>
          <w:i/>
          <w:szCs w:val="22"/>
        </w:rPr>
        <w:t>The Canadian Problem Gambling Index: Final report</w:t>
      </w:r>
      <w:r w:rsidRPr="008E05BA">
        <w:rPr>
          <w:szCs w:val="22"/>
        </w:rPr>
        <w:t>. Ottawa: Canadian Centre on Substance Abuse.</w:t>
      </w:r>
    </w:p>
    <w:p w14:paraId="64D0DB2A" w14:textId="77777777" w:rsidR="006A7BF9" w:rsidRDefault="006A7BF9" w:rsidP="00CD5D3D">
      <w:pPr>
        <w:jc w:val="both"/>
        <w:rPr>
          <w:szCs w:val="22"/>
        </w:rPr>
      </w:pPr>
    </w:p>
    <w:p w14:paraId="3B74B7C5" w14:textId="77777777" w:rsidR="00CE0094" w:rsidRDefault="00CE0094" w:rsidP="00CE0094">
      <w:pPr>
        <w:jc w:val="both"/>
      </w:pPr>
      <w:r>
        <w:t xml:space="preserve">Gainsbury, S. (2012). </w:t>
      </w:r>
      <w:r>
        <w:rPr>
          <w:i/>
          <w:iCs/>
        </w:rPr>
        <w:t>Internet gambling: Current research findings and implications</w:t>
      </w:r>
      <w:r>
        <w:t>. New York: Springer.</w:t>
      </w:r>
    </w:p>
    <w:p w14:paraId="07BACE6C" w14:textId="77777777" w:rsidR="00C66690" w:rsidRDefault="00C66690" w:rsidP="00CE0094">
      <w:pPr>
        <w:jc w:val="both"/>
      </w:pPr>
    </w:p>
    <w:p w14:paraId="248DAE26" w14:textId="77777777" w:rsidR="00C66690" w:rsidRPr="00C66690" w:rsidRDefault="00C66690" w:rsidP="00C66690">
      <w:pPr>
        <w:jc w:val="both"/>
        <w:rPr>
          <w:szCs w:val="22"/>
          <w:lang w:eastAsia="en-US"/>
        </w:rPr>
      </w:pPr>
      <w:r>
        <w:rPr>
          <w:szCs w:val="22"/>
          <w:lang w:eastAsia="en-US"/>
        </w:rPr>
        <w:t>Gainsbury, S.</w:t>
      </w:r>
      <w:r w:rsidRPr="00C66690">
        <w:rPr>
          <w:szCs w:val="22"/>
          <w:lang w:eastAsia="en-US"/>
        </w:rPr>
        <w:t>M., Hing, N., Delfa</w:t>
      </w:r>
      <w:r>
        <w:rPr>
          <w:szCs w:val="22"/>
          <w:lang w:eastAsia="en-US"/>
        </w:rPr>
        <w:t>bbro, P., Dewar, G., &amp; King, D.</w:t>
      </w:r>
      <w:r w:rsidRPr="00C66690">
        <w:rPr>
          <w:szCs w:val="22"/>
          <w:lang w:eastAsia="en-US"/>
        </w:rPr>
        <w:t xml:space="preserve">L. (2015). An exploratory study of interrelationships between social casino gaming, gambling, and problem gambling. </w:t>
      </w:r>
      <w:r w:rsidRPr="00C66690">
        <w:rPr>
          <w:i/>
          <w:szCs w:val="22"/>
          <w:lang w:eastAsia="en-US"/>
        </w:rPr>
        <w:t>International Journal of Mental Health and Addiction, 13</w:t>
      </w:r>
      <w:r w:rsidRPr="00C66690">
        <w:rPr>
          <w:szCs w:val="22"/>
          <w:lang w:eastAsia="en-US"/>
        </w:rPr>
        <w:t>(1), 136-153.</w:t>
      </w:r>
    </w:p>
    <w:p w14:paraId="6A5EA206" w14:textId="77777777" w:rsidR="00C66690" w:rsidRDefault="00C66690" w:rsidP="00C66690">
      <w:pPr>
        <w:jc w:val="both"/>
        <w:rPr>
          <w:szCs w:val="22"/>
          <w:lang w:eastAsia="en-US"/>
        </w:rPr>
      </w:pPr>
    </w:p>
    <w:p w14:paraId="4B7A9F30" w14:textId="77777777" w:rsidR="00C66690" w:rsidRDefault="00C66690" w:rsidP="00C66690">
      <w:pPr>
        <w:jc w:val="both"/>
        <w:rPr>
          <w:szCs w:val="22"/>
          <w:lang w:eastAsia="en-US"/>
        </w:rPr>
      </w:pPr>
      <w:r>
        <w:rPr>
          <w:szCs w:val="22"/>
          <w:lang w:eastAsia="en-US"/>
        </w:rPr>
        <w:t>Gainsbury, S.M., Russell, A.M., King, D.</w:t>
      </w:r>
      <w:r w:rsidRPr="00C66690">
        <w:rPr>
          <w:szCs w:val="22"/>
          <w:lang w:eastAsia="en-US"/>
        </w:rPr>
        <w:t xml:space="preserve">L., Delfabbro, P., &amp; Hing, N. (2016). Migration from social casino games to gambling: Motivations and characteristics of gamers who gamble. </w:t>
      </w:r>
      <w:r w:rsidRPr="00C66690">
        <w:rPr>
          <w:i/>
          <w:szCs w:val="22"/>
          <w:lang w:eastAsia="en-US"/>
        </w:rPr>
        <w:t>Computers in Human Behavior, 63</w:t>
      </w:r>
      <w:r w:rsidRPr="00C66690">
        <w:rPr>
          <w:szCs w:val="22"/>
          <w:lang w:eastAsia="en-US"/>
        </w:rPr>
        <w:t>, 59-67.</w:t>
      </w:r>
    </w:p>
    <w:p w14:paraId="3A39DA91" w14:textId="77777777" w:rsidR="00CE0094" w:rsidRDefault="00CE0094" w:rsidP="00CD5D3D">
      <w:pPr>
        <w:jc w:val="both"/>
        <w:rPr>
          <w:szCs w:val="22"/>
        </w:rPr>
      </w:pPr>
    </w:p>
    <w:p w14:paraId="5882B641" w14:textId="77777777" w:rsidR="006A7BF9" w:rsidRPr="001F6126" w:rsidRDefault="006A7BF9" w:rsidP="006A7BF9">
      <w:pPr>
        <w:jc w:val="both"/>
      </w:pPr>
      <w:r w:rsidRPr="001F6126">
        <w:t xml:space="preserve">Gambling Act 2003. </w:t>
      </w:r>
      <w:r w:rsidRPr="001F6126">
        <w:rPr>
          <w:i/>
        </w:rPr>
        <w:t>Gambling Act 2003 (Public Act 2003 No 51), New Zealand Statutes</w:t>
      </w:r>
      <w:r w:rsidRPr="001F6126">
        <w:t xml:space="preserve">. Retrieved from </w:t>
      </w:r>
      <w:r w:rsidRPr="00DE0DF7">
        <w:t>http://www.legislation.govt.nz/act/public/2003/0051/latest/whole.html</w:t>
      </w:r>
    </w:p>
    <w:p w14:paraId="2996C3B1" w14:textId="77777777" w:rsidR="006A7BF9" w:rsidRDefault="006A7BF9" w:rsidP="006A7BF9">
      <w:pPr>
        <w:jc w:val="both"/>
      </w:pPr>
    </w:p>
    <w:p w14:paraId="17DE1C3E" w14:textId="77777777" w:rsidR="006A7BF9" w:rsidRPr="001F6126" w:rsidRDefault="006A7BF9" w:rsidP="006A7BF9">
      <w:pPr>
        <w:jc w:val="both"/>
      </w:pPr>
      <w:r w:rsidRPr="001F6126">
        <w:t xml:space="preserve">Gambling Review Body. (2001). </w:t>
      </w:r>
      <w:r w:rsidRPr="001F6126">
        <w:rPr>
          <w:i/>
        </w:rPr>
        <w:t>Gambling review report</w:t>
      </w:r>
      <w:r w:rsidRPr="001F6126">
        <w:t>. Norwich: HMSO.</w:t>
      </w:r>
    </w:p>
    <w:p w14:paraId="3EEE402E" w14:textId="77777777" w:rsidR="006A7BF9" w:rsidRDefault="006A7BF9" w:rsidP="006A7BF9">
      <w:pPr>
        <w:jc w:val="both"/>
      </w:pPr>
    </w:p>
    <w:p w14:paraId="5520ED64" w14:textId="77777777" w:rsidR="006A7BF9" w:rsidRDefault="006A7BF9" w:rsidP="006A7BF9">
      <w:pPr>
        <w:jc w:val="both"/>
      </w:pPr>
      <w:r w:rsidRPr="001F6126">
        <w:t xml:space="preserve">Grant, D. (1994). </w:t>
      </w:r>
      <w:r w:rsidRPr="001F6126">
        <w:rPr>
          <w:i/>
        </w:rPr>
        <w:t>On a roll: A history of gambling and lotteries in New Zealand</w:t>
      </w:r>
      <w:r w:rsidRPr="001F6126">
        <w:t>. Wellington: Victoria University Press.</w:t>
      </w:r>
    </w:p>
    <w:p w14:paraId="6B3FF682" w14:textId="77777777" w:rsidR="00CE0094" w:rsidRDefault="00CE0094" w:rsidP="006A7BF9">
      <w:pPr>
        <w:jc w:val="both"/>
      </w:pPr>
    </w:p>
    <w:p w14:paraId="0FE0C99F" w14:textId="77777777" w:rsidR="00CE0094" w:rsidRDefault="00CE0094" w:rsidP="00CE0094">
      <w:pPr>
        <w:jc w:val="both"/>
        <w:rPr>
          <w:szCs w:val="22"/>
          <w:lang w:eastAsia="en-US"/>
        </w:rPr>
      </w:pPr>
      <w:r>
        <w:t xml:space="preserve">Griffiths, M.D. (2015). Adolescent gambling and gambling-type games on social networking sites: Issues, concerns, and recommendations. </w:t>
      </w:r>
      <w:r>
        <w:rPr>
          <w:i/>
          <w:iCs/>
        </w:rPr>
        <w:t>Aloma: Revista de Psicologia, 33</w:t>
      </w:r>
      <w:r>
        <w:t>(2), 31-37.</w:t>
      </w:r>
    </w:p>
    <w:p w14:paraId="3DA39DEC" w14:textId="77777777" w:rsidR="006A7BF9" w:rsidRDefault="006A7BF9" w:rsidP="006A7BF9">
      <w:pPr>
        <w:jc w:val="both"/>
      </w:pPr>
    </w:p>
    <w:p w14:paraId="48EE3350" w14:textId="77777777" w:rsidR="006A7BF9" w:rsidRPr="001F6126" w:rsidRDefault="006A7BF9" w:rsidP="006A7BF9">
      <w:pPr>
        <w:jc w:val="both"/>
      </w:pPr>
      <w:r w:rsidRPr="001F6126">
        <w:t xml:space="preserve">Hancock, L., &amp; Smith, G. (2017). Critiquing the Reno model I-IV international influence on regulators and governments (2004–2015): The distorted reality of “responsible gambling” [Advance online publication]. </w:t>
      </w:r>
      <w:r w:rsidRPr="001F6126">
        <w:rPr>
          <w:i/>
        </w:rPr>
        <w:t>International Journal of Mental Health and Addiction</w:t>
      </w:r>
      <w:r w:rsidRPr="001F6126">
        <w:t>. doi:10.1007/s11469-017-9746-y</w:t>
      </w:r>
    </w:p>
    <w:p w14:paraId="220DDF49" w14:textId="77777777" w:rsidR="00D67963" w:rsidRDefault="00D67963" w:rsidP="00AE7EF7">
      <w:pPr>
        <w:jc w:val="both"/>
        <w:rPr>
          <w:szCs w:val="22"/>
        </w:rPr>
      </w:pPr>
    </w:p>
    <w:p w14:paraId="75334FF6" w14:textId="77777777" w:rsidR="00AE7EF7" w:rsidRDefault="00AE7EF7" w:rsidP="00AE7EF7">
      <w:pPr>
        <w:jc w:val="both"/>
        <w:rPr>
          <w:szCs w:val="22"/>
        </w:rPr>
      </w:pPr>
      <w:r w:rsidRPr="00AE7EF7">
        <w:rPr>
          <w:szCs w:val="22"/>
        </w:rPr>
        <w:t xml:space="preserve">Health Sponsorship Council. </w:t>
      </w:r>
      <w:r>
        <w:rPr>
          <w:szCs w:val="22"/>
        </w:rPr>
        <w:t xml:space="preserve">(2012). </w:t>
      </w:r>
      <w:r w:rsidRPr="006A7BF9">
        <w:rPr>
          <w:i/>
          <w:szCs w:val="22"/>
        </w:rPr>
        <w:t>New Zealanders’ knowledge, views and experience of gambling and gambling harm: Results from the 2010 Health and Lifestyles Survey</w:t>
      </w:r>
      <w:r w:rsidRPr="00AE7EF7">
        <w:rPr>
          <w:szCs w:val="22"/>
        </w:rPr>
        <w:t>. Retrieved from http://www.hsc.org.nz/researchpublications.html.</w:t>
      </w:r>
    </w:p>
    <w:p w14:paraId="4C8F90A5" w14:textId="77777777" w:rsidR="00AE7EF7" w:rsidRDefault="00AE7EF7" w:rsidP="00584AE0">
      <w:pPr>
        <w:jc w:val="both"/>
        <w:rPr>
          <w:szCs w:val="22"/>
        </w:rPr>
      </w:pPr>
    </w:p>
    <w:p w14:paraId="3AACE295" w14:textId="77777777" w:rsidR="006A7BF9" w:rsidRPr="001F6126" w:rsidRDefault="006A7BF9" w:rsidP="006A7BF9">
      <w:pPr>
        <w:jc w:val="both"/>
      </w:pPr>
      <w:r>
        <w:t>Hodgins, D.C., Stea, J.N., &amp; Grant, J.</w:t>
      </w:r>
      <w:r w:rsidRPr="001F6126">
        <w:t xml:space="preserve">E. (2011). Gambling disorders. </w:t>
      </w:r>
      <w:r w:rsidRPr="001F6126">
        <w:rPr>
          <w:i/>
        </w:rPr>
        <w:t>The Lancet, 378</w:t>
      </w:r>
      <w:r w:rsidRPr="001F6126">
        <w:t>(9806), 1874-1884.</w:t>
      </w:r>
    </w:p>
    <w:p w14:paraId="157D4366" w14:textId="77777777" w:rsidR="006A7BF9" w:rsidRDefault="006A7BF9" w:rsidP="006A7BF9">
      <w:pPr>
        <w:jc w:val="both"/>
      </w:pPr>
    </w:p>
    <w:p w14:paraId="018F6EA9" w14:textId="77777777" w:rsidR="001F71B4" w:rsidRDefault="001F71B4" w:rsidP="00152E83">
      <w:pPr>
        <w:keepNext/>
        <w:keepLines/>
        <w:jc w:val="both"/>
      </w:pPr>
      <w:r>
        <w:t>Jonsson, J., Abbott, M.</w:t>
      </w:r>
      <w:r w:rsidRPr="001F71B4">
        <w:t xml:space="preserve">W., Sjöberg, A., &amp; Carlbring, P. (2017). Measuring gambling reinforcers, over consumption and fallacies: The psychometric properties and predictive validity of the Jonsson-Abbott Scale. </w:t>
      </w:r>
      <w:r w:rsidRPr="001F71B4">
        <w:rPr>
          <w:i/>
        </w:rPr>
        <w:t>Frontiers in Psychology, 8</w:t>
      </w:r>
      <w:r w:rsidRPr="001F71B4">
        <w:t xml:space="preserve">(1807). </w:t>
      </w:r>
      <w:r>
        <w:t xml:space="preserve">Retrieved from </w:t>
      </w:r>
      <w:r w:rsidRPr="001F71B4">
        <w:t>https://doi.org/10.3389/fpsyg.2017.01807</w:t>
      </w:r>
    </w:p>
    <w:p w14:paraId="7694EB42" w14:textId="77777777" w:rsidR="001F71B4" w:rsidRDefault="001F71B4" w:rsidP="006A7BF9">
      <w:pPr>
        <w:jc w:val="both"/>
      </w:pPr>
    </w:p>
    <w:p w14:paraId="4A124713" w14:textId="77777777" w:rsidR="006A7BF9" w:rsidRPr="001F6126" w:rsidRDefault="006A7BF9" w:rsidP="006A7BF9">
      <w:pPr>
        <w:jc w:val="both"/>
      </w:pPr>
      <w:r w:rsidRPr="001F6126">
        <w:t xml:space="preserve">Kairouz, S., Paradis, C., &amp; Monson, E. (2016). Gender, gambling settings and gambling behaviours among undergraduate poker players. </w:t>
      </w:r>
      <w:r w:rsidRPr="001F6126">
        <w:rPr>
          <w:i/>
        </w:rPr>
        <w:t>International Gambling Studies, 16</w:t>
      </w:r>
      <w:r w:rsidRPr="001F6126">
        <w:t>(1), 85-97.</w:t>
      </w:r>
    </w:p>
    <w:p w14:paraId="3A3D9246" w14:textId="77777777" w:rsidR="006A7BF9" w:rsidRDefault="006A7BF9" w:rsidP="006A7BF9">
      <w:pPr>
        <w:jc w:val="both"/>
        <w:rPr>
          <w:szCs w:val="22"/>
        </w:rPr>
      </w:pPr>
    </w:p>
    <w:p w14:paraId="67215042" w14:textId="77777777" w:rsidR="00584AE0" w:rsidRPr="008E05BA" w:rsidRDefault="00584AE0" w:rsidP="00584AE0">
      <w:pPr>
        <w:jc w:val="both"/>
        <w:rPr>
          <w:szCs w:val="22"/>
        </w:rPr>
      </w:pPr>
      <w:r w:rsidRPr="008E05BA">
        <w:rPr>
          <w:szCs w:val="22"/>
        </w:rPr>
        <w:t xml:space="preserve">Kessler, R., &amp; Mroczek, D. (1994). </w:t>
      </w:r>
      <w:r w:rsidRPr="008E05BA">
        <w:rPr>
          <w:i/>
          <w:szCs w:val="22"/>
        </w:rPr>
        <w:t>Final versions of our Non-Specific Psychological Distress Scale.</w:t>
      </w:r>
      <w:r w:rsidRPr="008E05BA">
        <w:rPr>
          <w:szCs w:val="22"/>
        </w:rPr>
        <w:t xml:space="preserve"> Written communication-memo dated 10/3/94. Ann Arbour (MI), Surrey Research Center of the Institute for Social Research, University of Michigan.</w:t>
      </w:r>
    </w:p>
    <w:p w14:paraId="0410E319" w14:textId="77777777" w:rsidR="001F0A6B" w:rsidRDefault="001F0A6B" w:rsidP="00CE0094">
      <w:pPr>
        <w:jc w:val="both"/>
        <w:rPr>
          <w:szCs w:val="22"/>
        </w:rPr>
      </w:pPr>
    </w:p>
    <w:p w14:paraId="16E4F7DF" w14:textId="77777777" w:rsidR="00CE0094" w:rsidRDefault="00CE0094" w:rsidP="00CE0094">
      <w:pPr>
        <w:jc w:val="both"/>
        <w:rPr>
          <w:szCs w:val="22"/>
          <w:lang w:eastAsia="en-US"/>
        </w:rPr>
      </w:pPr>
      <w:r>
        <w:t xml:space="preserve">King, D.L., &amp; Delfabbro, P.H. (2016). Early exposure to digital simulated gambling: A review and conceptual model. </w:t>
      </w:r>
      <w:r>
        <w:rPr>
          <w:i/>
          <w:iCs/>
        </w:rPr>
        <w:t>Computers in Human Behavior, 55</w:t>
      </w:r>
      <w:r>
        <w:t>, 198-206.</w:t>
      </w:r>
    </w:p>
    <w:p w14:paraId="6905EBEB" w14:textId="77777777" w:rsidR="00CE0094" w:rsidRDefault="00CE0094" w:rsidP="00CE0094">
      <w:pPr>
        <w:jc w:val="both"/>
      </w:pPr>
    </w:p>
    <w:p w14:paraId="23388245" w14:textId="77777777" w:rsidR="00CE0094" w:rsidRDefault="00CE0094" w:rsidP="00CE0094">
      <w:pPr>
        <w:jc w:val="both"/>
      </w:pPr>
      <w:r>
        <w:t xml:space="preserve">King, D.L., Gainsbury, S.M., Delfabbro, P.H., Hing, N., &amp; Abarbanel, B. (2015). Distinguishing between gaming and gambling activities in addiction research. </w:t>
      </w:r>
      <w:r>
        <w:rPr>
          <w:i/>
          <w:iCs/>
        </w:rPr>
        <w:t>Journal of Behavioral Addictions, 4</w:t>
      </w:r>
      <w:r>
        <w:t>(4), 215-220.</w:t>
      </w:r>
    </w:p>
    <w:p w14:paraId="49EA5A1F" w14:textId="77777777" w:rsidR="00CE0094" w:rsidRDefault="00CE0094" w:rsidP="00CE0094">
      <w:pPr>
        <w:jc w:val="both"/>
      </w:pPr>
    </w:p>
    <w:p w14:paraId="3E9034EC" w14:textId="77777777" w:rsidR="006A7BF9" w:rsidRPr="001F6126" w:rsidRDefault="006A7BF9" w:rsidP="006A7BF9">
      <w:pPr>
        <w:jc w:val="both"/>
      </w:pPr>
      <w:r w:rsidRPr="001F6126">
        <w:t xml:space="preserve">Kolandai-Matchett, K., Bellringer, M., Landon, J., &amp; Abbott, M. (2015). </w:t>
      </w:r>
      <w:r w:rsidRPr="001F6126">
        <w:rPr>
          <w:i/>
        </w:rPr>
        <w:t>Evaluation of problem gambling public health services: An analysis of provider progress reports.</w:t>
      </w:r>
      <w:r>
        <w:t xml:space="preserve"> Auckland</w:t>
      </w:r>
      <w:r w:rsidRPr="001F6126">
        <w:t>: Auckland University of Technology, Gambling and Addictions Research Centre.</w:t>
      </w:r>
    </w:p>
    <w:p w14:paraId="3D4B1D86" w14:textId="77777777" w:rsidR="006A7BF9" w:rsidRDefault="006A7BF9" w:rsidP="006A7BF9">
      <w:pPr>
        <w:jc w:val="both"/>
      </w:pPr>
    </w:p>
    <w:p w14:paraId="05B864B7" w14:textId="77777777" w:rsidR="006A7BF9" w:rsidRPr="001F6126" w:rsidRDefault="006A7BF9" w:rsidP="006A7BF9">
      <w:pPr>
        <w:jc w:val="both"/>
      </w:pPr>
      <w:r w:rsidRPr="001F6126">
        <w:t>Kolandai-Matchett, K., Bellringer, M., Landon, J., &amp; Abbott, M. (2017). A process evaluation of the ‘Aware’</w:t>
      </w:r>
      <w:r>
        <w:t xml:space="preserve"> </w:t>
      </w:r>
      <w:r w:rsidRPr="001F6126">
        <w:t xml:space="preserve">and ‘Supportive Communities’ gambling harm-minimisation programmes in New Zealand [Advance online publication]. </w:t>
      </w:r>
      <w:r w:rsidRPr="001F6126">
        <w:rPr>
          <w:i/>
        </w:rPr>
        <w:t>The European Journal of Public Health</w:t>
      </w:r>
      <w:r w:rsidRPr="001F6126">
        <w:t>. doi:</w:t>
      </w:r>
      <w:r w:rsidRPr="00DE0DF7">
        <w:t>https://doi-org.ezproxy.aut.ac.nz/10.1093/eurpub/ckx120</w:t>
      </w:r>
      <w:r w:rsidRPr="001F6126">
        <w:t xml:space="preserve"> </w:t>
      </w:r>
    </w:p>
    <w:p w14:paraId="0DFC7B74" w14:textId="77777777" w:rsidR="007B0B09" w:rsidRDefault="007B0B09" w:rsidP="006A7BF9">
      <w:pPr>
        <w:jc w:val="both"/>
      </w:pPr>
    </w:p>
    <w:p w14:paraId="2A18C2BF" w14:textId="77777777" w:rsidR="0033518C" w:rsidRDefault="0033518C" w:rsidP="006A7BF9">
      <w:pPr>
        <w:jc w:val="both"/>
      </w:pPr>
      <w:r w:rsidRPr="0033518C">
        <w:t>K</w:t>
      </w:r>
      <w:r>
        <w:t>ruse, K., White, J., Walton, D.</w:t>
      </w:r>
      <w:r w:rsidRPr="0033518C">
        <w:t xml:space="preserve">K., &amp; Tu, D. (2016). Changes in risky gambling prevalence among a New Zealand population cohort. </w:t>
      </w:r>
      <w:r w:rsidRPr="0033518C">
        <w:rPr>
          <w:i/>
        </w:rPr>
        <w:t>International Gambling Studies, 16</w:t>
      </w:r>
      <w:r w:rsidRPr="0033518C">
        <w:t>(2), 328-346.</w:t>
      </w:r>
    </w:p>
    <w:p w14:paraId="12F3D64E" w14:textId="77777777" w:rsidR="0033518C" w:rsidRDefault="0033518C" w:rsidP="006A7BF9">
      <w:pPr>
        <w:jc w:val="both"/>
      </w:pPr>
    </w:p>
    <w:p w14:paraId="2F713BAA" w14:textId="77777777" w:rsidR="006A7BF9" w:rsidRPr="001F6126" w:rsidRDefault="006A7BF9" w:rsidP="006A7BF9">
      <w:pPr>
        <w:jc w:val="both"/>
      </w:pPr>
      <w:r w:rsidRPr="001F6126">
        <w:t xml:space="preserve">Langham, E., Thorne, H., Browne, M., Donaldson, P., Rose, J., &amp; Rockloff, M. (2016). Understanding gambling related harm: A proposed definition, conceptual framework, and taxonomy of harms. </w:t>
      </w:r>
      <w:r w:rsidRPr="001F6126">
        <w:rPr>
          <w:i/>
        </w:rPr>
        <w:t>BMC Public Health, 16</w:t>
      </w:r>
      <w:r w:rsidRPr="001F6126">
        <w:t>(1). doi:10.1186/s12889-016-2747-0</w:t>
      </w:r>
    </w:p>
    <w:p w14:paraId="260AAD9E" w14:textId="77777777" w:rsidR="00234D2A" w:rsidRDefault="00234D2A" w:rsidP="006A7BF9">
      <w:pPr>
        <w:jc w:val="both"/>
      </w:pPr>
    </w:p>
    <w:p w14:paraId="02B35D78" w14:textId="77777777" w:rsidR="006A7BF9" w:rsidRPr="001F6126" w:rsidRDefault="006A7BF9" w:rsidP="006A7BF9">
      <w:pPr>
        <w:jc w:val="both"/>
      </w:pPr>
      <w:r>
        <w:t>Leonard, C.A., &amp; Williams, R.</w:t>
      </w:r>
      <w:r w:rsidRPr="001F6126">
        <w:t xml:space="preserve">J. (2016). The relationship between gambling fallacies and problem gambling. </w:t>
      </w:r>
      <w:r w:rsidRPr="001F6126">
        <w:rPr>
          <w:i/>
        </w:rPr>
        <w:t>Psychology of Addictive Behaviors, 30</w:t>
      </w:r>
      <w:r w:rsidRPr="001F6126">
        <w:t>(6), 694-704.</w:t>
      </w:r>
    </w:p>
    <w:p w14:paraId="36157A9E" w14:textId="77777777" w:rsidR="006A7BF9" w:rsidRDefault="006A7BF9" w:rsidP="006A7BF9">
      <w:pPr>
        <w:jc w:val="both"/>
      </w:pPr>
    </w:p>
    <w:p w14:paraId="710DD7D0" w14:textId="77777777" w:rsidR="006A7BF9" w:rsidRPr="001F6126" w:rsidRDefault="006A7BF9" w:rsidP="006A7BF9">
      <w:pPr>
        <w:jc w:val="both"/>
      </w:pPr>
      <w:r>
        <w:t>Lesieur, H.R., &amp; Blume, S.</w:t>
      </w:r>
      <w:r w:rsidRPr="001F6126">
        <w:t xml:space="preserve">B. (1987). The South Oaks Gambling Screen (SOGS): A new instrument for the identification of pathological gamblers. </w:t>
      </w:r>
      <w:r>
        <w:rPr>
          <w:i/>
        </w:rPr>
        <w:t>American J</w:t>
      </w:r>
      <w:r w:rsidRPr="001F6126">
        <w:rPr>
          <w:i/>
        </w:rPr>
        <w:t>ournal of Psychiatry, 144</w:t>
      </w:r>
      <w:r w:rsidRPr="001F6126">
        <w:t>(9), 1184-1188. doi:10.1176/ajp.144.9.1184</w:t>
      </w:r>
    </w:p>
    <w:p w14:paraId="6CD1C34A" w14:textId="77777777" w:rsidR="0033518C" w:rsidRDefault="0033518C" w:rsidP="001F71B4">
      <w:pPr>
        <w:jc w:val="both"/>
      </w:pPr>
      <w:r w:rsidRPr="0033518C">
        <w:t xml:space="preserve">Luce, C., Nadeau, L., &amp; Kairouz, S. (2016). Pathways and transitions of gamblers over two years. </w:t>
      </w:r>
      <w:r w:rsidRPr="0033518C">
        <w:rPr>
          <w:i/>
        </w:rPr>
        <w:t>International Gambling Studies, 16</w:t>
      </w:r>
      <w:r w:rsidRPr="0033518C">
        <w:t>(3), 357-372.</w:t>
      </w:r>
    </w:p>
    <w:p w14:paraId="463DEA1D" w14:textId="77777777" w:rsidR="0033518C" w:rsidRDefault="0033518C" w:rsidP="001F71B4">
      <w:pPr>
        <w:jc w:val="both"/>
      </w:pPr>
    </w:p>
    <w:p w14:paraId="504B3AAB" w14:textId="77777777" w:rsidR="001F71B4" w:rsidRDefault="001F71B4" w:rsidP="001F71B4">
      <w:pPr>
        <w:jc w:val="both"/>
      </w:pPr>
      <w:r w:rsidRPr="001F71B4">
        <w:t>Markham, F., Young, M., &amp; Doran, B. (2016). The relationship between player losses and gambling</w:t>
      </w:r>
      <w:r w:rsidRPr="001F71B4">
        <w:rPr>
          <w:rFonts w:ascii="Cambria Math" w:hAnsi="Cambria Math" w:cs="Cambria Math"/>
        </w:rPr>
        <w:t>‐</w:t>
      </w:r>
      <w:r w:rsidRPr="001F71B4">
        <w:t>related harm: Evidence from nationally representative cross</w:t>
      </w:r>
      <w:r w:rsidRPr="001F71B4">
        <w:rPr>
          <w:rFonts w:ascii="Cambria Math" w:hAnsi="Cambria Math" w:cs="Cambria Math"/>
        </w:rPr>
        <w:t>‐</w:t>
      </w:r>
      <w:r w:rsidRPr="001F71B4">
        <w:t xml:space="preserve">sectional surveys in four countries. </w:t>
      </w:r>
      <w:r w:rsidRPr="001F71B4">
        <w:rPr>
          <w:i/>
        </w:rPr>
        <w:t>Addiction, 111</w:t>
      </w:r>
      <w:r w:rsidRPr="001F71B4">
        <w:t>(2), 320-330.</w:t>
      </w:r>
    </w:p>
    <w:p w14:paraId="71168DAE" w14:textId="77777777" w:rsidR="001F71B4" w:rsidRDefault="001F71B4" w:rsidP="001F71B4">
      <w:pPr>
        <w:jc w:val="both"/>
      </w:pPr>
    </w:p>
    <w:p w14:paraId="09464B11" w14:textId="77777777" w:rsidR="006A7BF9" w:rsidRDefault="006A7BF9" w:rsidP="001F71B4">
      <w:pPr>
        <w:keepNext/>
        <w:jc w:val="both"/>
      </w:pPr>
      <w:r w:rsidRPr="001F6126">
        <w:t xml:space="preserve">Ministry of Health. (2004). </w:t>
      </w:r>
      <w:r w:rsidRPr="001F6126">
        <w:rPr>
          <w:i/>
        </w:rPr>
        <w:t xml:space="preserve">Preventing and minimising gambling harm: Strategic plan 2004-2010, needs assessment, proposed three-year funding plan, proposed problem gambling levy rates. </w:t>
      </w:r>
      <w:r w:rsidRPr="001F6126">
        <w:t xml:space="preserve">Wellington: Ministry of Health. Retrieved from </w:t>
      </w:r>
    </w:p>
    <w:p w14:paraId="68BA9295" w14:textId="77777777" w:rsidR="006A7BF9" w:rsidRPr="001F6126" w:rsidRDefault="006A7BF9" w:rsidP="001F71B4">
      <w:pPr>
        <w:keepNext/>
        <w:jc w:val="both"/>
      </w:pPr>
      <w:r w:rsidRPr="00DE0DF7">
        <w:t>http://www.moh.govt.nz/NoteBook/nbbooks.nsf/0/C614453204ECCF41CC256E680078134B/$file/ProblemGamblingConsultation.pdf</w:t>
      </w:r>
    </w:p>
    <w:p w14:paraId="58963BF0" w14:textId="77777777" w:rsidR="006A7BF9" w:rsidRDefault="006A7BF9" w:rsidP="006A7BF9">
      <w:pPr>
        <w:jc w:val="both"/>
      </w:pPr>
    </w:p>
    <w:p w14:paraId="16864FEA" w14:textId="77777777" w:rsidR="006A7BF9" w:rsidRDefault="006A7BF9" w:rsidP="006A7BF9">
      <w:pPr>
        <w:jc w:val="both"/>
      </w:pPr>
      <w:r w:rsidRPr="001F6126">
        <w:t xml:space="preserve">Ministry of Health. (2005). </w:t>
      </w:r>
      <w:r w:rsidRPr="001F6126">
        <w:rPr>
          <w:i/>
        </w:rPr>
        <w:t>Preventing and minimising gambling harm: Three-year funding plan 2004-2007</w:t>
      </w:r>
      <w:r w:rsidRPr="001F6126">
        <w:t xml:space="preserve">. Wellington: Ministry of Health. Retrieved from </w:t>
      </w:r>
    </w:p>
    <w:p w14:paraId="39B482CC" w14:textId="77777777" w:rsidR="006A7BF9" w:rsidRPr="001F6126" w:rsidRDefault="006A7BF9" w:rsidP="006A7BF9">
      <w:pPr>
        <w:jc w:val="both"/>
      </w:pPr>
      <w:r w:rsidRPr="00DE0DF7">
        <w:t>http://www.moh.govt.nz/notebook/nbbooks.nsf/0/dd9d4088046c3880cc256fc30071223f/$FILE/problemgambling-threeyearfundingplan-2004-2007.pdf</w:t>
      </w:r>
    </w:p>
    <w:p w14:paraId="5D0AAE30" w14:textId="77777777" w:rsidR="006A7BF9" w:rsidRDefault="006A7BF9" w:rsidP="006A7BF9">
      <w:pPr>
        <w:jc w:val="both"/>
      </w:pPr>
    </w:p>
    <w:p w14:paraId="7DC95EB8" w14:textId="77777777" w:rsidR="006A7BF9" w:rsidRDefault="006A7BF9" w:rsidP="006A7BF9">
      <w:pPr>
        <w:jc w:val="both"/>
      </w:pPr>
      <w:r w:rsidRPr="001F6126">
        <w:t xml:space="preserve">Ministry of Health. (2007). </w:t>
      </w:r>
      <w:r w:rsidRPr="001F6126">
        <w:rPr>
          <w:i/>
        </w:rPr>
        <w:t>Preventing and minimising gambling harm: Three-year service plan 2007</w:t>
      </w:r>
      <w:r>
        <w:rPr>
          <w:i/>
        </w:rPr>
        <w:t>-</w:t>
      </w:r>
      <w:r w:rsidRPr="001F6126">
        <w:rPr>
          <w:i/>
        </w:rPr>
        <w:t>2010.</w:t>
      </w:r>
      <w:r w:rsidRPr="001F6126">
        <w:t xml:space="preserve"> Wellington: Ministry of Health. Retrieved from </w:t>
      </w:r>
    </w:p>
    <w:p w14:paraId="3143BFA4" w14:textId="77777777" w:rsidR="006A7BF9" w:rsidRPr="001F6126" w:rsidRDefault="006A7BF9" w:rsidP="006A7BF9">
      <w:pPr>
        <w:jc w:val="both"/>
      </w:pPr>
      <w:r w:rsidRPr="00DE0DF7">
        <w:t>http://www.health.govt.nz/publication/preventing-and-minimising-gambling-harm-three-year-service-plan-2007-2010</w:t>
      </w:r>
    </w:p>
    <w:p w14:paraId="0F1BC7BB" w14:textId="77777777" w:rsidR="006A7BF9" w:rsidRDefault="006A7BF9" w:rsidP="006A7BF9">
      <w:pPr>
        <w:jc w:val="both"/>
      </w:pPr>
    </w:p>
    <w:p w14:paraId="37C9F98C" w14:textId="77777777" w:rsidR="006A7BF9" w:rsidRPr="001F6126" w:rsidRDefault="006A7BF9" w:rsidP="006A7BF9">
      <w:pPr>
        <w:jc w:val="both"/>
      </w:pPr>
      <w:r w:rsidRPr="001F6126">
        <w:t xml:space="preserve">Ministry of Health. (2008). </w:t>
      </w:r>
      <w:r w:rsidRPr="001F6126">
        <w:rPr>
          <w:i/>
        </w:rPr>
        <w:t>Raising the Odds? Gambling behaviour and neighbourhood access to gambling venues in New Zealand</w:t>
      </w:r>
      <w:r w:rsidRPr="001F6126">
        <w:t>. Wellington: Ministry of Health.</w:t>
      </w:r>
    </w:p>
    <w:p w14:paraId="5A773491" w14:textId="77777777" w:rsidR="006A7BF9" w:rsidRDefault="006A7BF9" w:rsidP="00584AE0">
      <w:pPr>
        <w:jc w:val="both"/>
        <w:rPr>
          <w:szCs w:val="22"/>
        </w:rPr>
      </w:pPr>
    </w:p>
    <w:p w14:paraId="2A288E2C" w14:textId="77777777" w:rsidR="00C748A0" w:rsidRDefault="00C748A0" w:rsidP="00584AE0">
      <w:pPr>
        <w:jc w:val="both"/>
        <w:rPr>
          <w:szCs w:val="22"/>
        </w:rPr>
      </w:pPr>
      <w:r w:rsidRPr="004D3E94">
        <w:rPr>
          <w:szCs w:val="22"/>
        </w:rPr>
        <w:t xml:space="preserve">Ministry of Health. (2009). </w:t>
      </w:r>
      <w:r w:rsidRPr="004D3E94">
        <w:rPr>
          <w:i/>
          <w:szCs w:val="22"/>
        </w:rPr>
        <w:t>A focus on problem gambling: Results of the 2006/07 New Zealand Health Survey</w:t>
      </w:r>
      <w:r w:rsidRPr="004D3E94">
        <w:rPr>
          <w:szCs w:val="22"/>
        </w:rPr>
        <w:t>.  Wellington: Ministry of Health</w:t>
      </w:r>
      <w:r>
        <w:rPr>
          <w:szCs w:val="22"/>
        </w:rPr>
        <w:t>.</w:t>
      </w:r>
    </w:p>
    <w:p w14:paraId="70E2EC3F" w14:textId="77777777" w:rsidR="00C748A0" w:rsidRDefault="00C748A0" w:rsidP="00584AE0">
      <w:pPr>
        <w:jc w:val="both"/>
        <w:rPr>
          <w:szCs w:val="22"/>
        </w:rPr>
      </w:pPr>
    </w:p>
    <w:p w14:paraId="4C8E2AEA" w14:textId="77777777" w:rsidR="006A7BF9" w:rsidRDefault="006A7BF9" w:rsidP="006A7BF9">
      <w:pPr>
        <w:jc w:val="both"/>
      </w:pPr>
      <w:r w:rsidRPr="001F6126">
        <w:t xml:space="preserve">Ministry of Health. (2010). </w:t>
      </w:r>
      <w:r w:rsidRPr="001F6126">
        <w:rPr>
          <w:i/>
        </w:rPr>
        <w:t>Preventing and minimising gambling harm: Three-year service plan 2010/11–2012/13</w:t>
      </w:r>
      <w:r w:rsidRPr="001F6126">
        <w:t xml:space="preserve">. Wellington: Ministry of Health. Retrieved from </w:t>
      </w:r>
    </w:p>
    <w:p w14:paraId="051140EE" w14:textId="77777777" w:rsidR="006A7BF9" w:rsidRPr="001F6126" w:rsidRDefault="006A7BF9" w:rsidP="006A7BF9">
      <w:pPr>
        <w:jc w:val="both"/>
      </w:pPr>
      <w:r w:rsidRPr="00DE0DF7">
        <w:t>http://www.health.govt.nz/publication/preventing-and-minimising-gambling-harm-three-year-service-plan-2010-11-2012-13</w:t>
      </w:r>
    </w:p>
    <w:p w14:paraId="01F4AFD9" w14:textId="77777777" w:rsidR="006A7BF9" w:rsidRDefault="006A7BF9" w:rsidP="006A7BF9">
      <w:pPr>
        <w:jc w:val="both"/>
      </w:pPr>
    </w:p>
    <w:p w14:paraId="230AD2F4" w14:textId="77777777" w:rsidR="006A7BF9" w:rsidRPr="001F6126" w:rsidRDefault="006A7BF9" w:rsidP="006A7BF9">
      <w:pPr>
        <w:jc w:val="both"/>
      </w:pPr>
      <w:r w:rsidRPr="001F6126">
        <w:t xml:space="preserve">Ministry of Health. (2013). </w:t>
      </w:r>
      <w:r w:rsidRPr="001F6126">
        <w:rPr>
          <w:i/>
        </w:rPr>
        <w:t>Preventing and minimising gambling harm: Three year service plan and levy rates for 2013/14 to 2015/16</w:t>
      </w:r>
      <w:r w:rsidRPr="001F6126">
        <w:t xml:space="preserve">. Wellington: Ministry of Health. Retrieved from </w:t>
      </w:r>
      <w:r w:rsidRPr="00DE0DF7">
        <w:t>http://www.health.govt.nz/publication/preventing-and-minimising-gambling-harm-three-year-service-plan-and-levy-rates-2013-14-2015-16</w:t>
      </w:r>
    </w:p>
    <w:p w14:paraId="714B9A2E" w14:textId="77777777" w:rsidR="006A7BF9" w:rsidRDefault="006A7BF9" w:rsidP="006A7BF9">
      <w:pPr>
        <w:jc w:val="both"/>
      </w:pPr>
    </w:p>
    <w:p w14:paraId="7C66C8C0" w14:textId="77777777" w:rsidR="006A7BF9" w:rsidRDefault="006A7BF9" w:rsidP="00AA01F0">
      <w:pPr>
        <w:keepNext/>
        <w:jc w:val="both"/>
      </w:pPr>
      <w:r w:rsidRPr="001F6126">
        <w:t xml:space="preserve">Ministry of Health. (2016). </w:t>
      </w:r>
      <w:r w:rsidRPr="001F6126">
        <w:rPr>
          <w:i/>
        </w:rPr>
        <w:t>Strategy to prevent and minimise gambling harm 2016/17 to 2018/19</w:t>
      </w:r>
      <w:r w:rsidRPr="001F6126">
        <w:t xml:space="preserve">. Wellington: Ministry of Health. Retrieved from </w:t>
      </w:r>
    </w:p>
    <w:p w14:paraId="0E305947" w14:textId="77777777" w:rsidR="006A7BF9" w:rsidRPr="001F6126" w:rsidRDefault="006A7BF9" w:rsidP="00AA01F0">
      <w:pPr>
        <w:keepNext/>
        <w:jc w:val="both"/>
      </w:pPr>
      <w:r w:rsidRPr="00DE0DF7">
        <w:t>http://www.health.govt.nz/publication/strategy-prevent-and-minimise-gambling-harm-2016-17-2018-19</w:t>
      </w:r>
    </w:p>
    <w:p w14:paraId="6FDD9F14" w14:textId="77777777" w:rsidR="006A7BF9" w:rsidRDefault="006A7BF9" w:rsidP="006A7BF9">
      <w:pPr>
        <w:jc w:val="both"/>
      </w:pPr>
    </w:p>
    <w:p w14:paraId="242CBB80" w14:textId="77777777" w:rsidR="0033518C" w:rsidRDefault="0033518C" w:rsidP="006A7BF9">
      <w:pPr>
        <w:jc w:val="both"/>
      </w:pPr>
      <w:r>
        <w:t>Mitzner, G.B., Whelan, J.P., &amp; Meyers, A.</w:t>
      </w:r>
      <w:r w:rsidRPr="0033518C">
        <w:t xml:space="preserve">W. (2011). Comments from the trenches: Proposed changes to the DSM-V classification of pathological gambling. </w:t>
      </w:r>
      <w:r w:rsidRPr="0033518C">
        <w:rPr>
          <w:i/>
        </w:rPr>
        <w:t>Journal of Gambling Studies, 27</w:t>
      </w:r>
      <w:r w:rsidRPr="0033518C">
        <w:t>(3), 517-521.</w:t>
      </w:r>
    </w:p>
    <w:p w14:paraId="66391866" w14:textId="77777777" w:rsidR="0048349F" w:rsidRDefault="0048349F" w:rsidP="006A7BF9">
      <w:pPr>
        <w:jc w:val="both"/>
      </w:pPr>
    </w:p>
    <w:p w14:paraId="3769DF62" w14:textId="51954104" w:rsidR="0048349F" w:rsidRDefault="0048349F" w:rsidP="006A7BF9">
      <w:pPr>
        <w:jc w:val="both"/>
      </w:pPr>
      <w:r w:rsidRPr="0048349F">
        <w:t>Mutti-Packer, S., Kowatch, K., Steadman, R., Hodgins, D.C., el-Guebaly, N., Casey, D.M., Currie, S.R., Williams, R</w:t>
      </w:r>
      <w:r>
        <w:t>,</w:t>
      </w:r>
      <w:r w:rsidRPr="0048349F">
        <w:t xml:space="preserve">. &amp; Smith, G. (2017).  A qualitative examination of factors underlying transitions in problem gambling severity: Findings from the Leisure, Lifestyle, &amp; Lifecycle Project, </w:t>
      </w:r>
      <w:r w:rsidRPr="0048349F">
        <w:rPr>
          <w:i/>
        </w:rPr>
        <w:t>Addiction Research and Theory</w:t>
      </w:r>
      <w:r w:rsidRPr="0048349F">
        <w:t>.  doi: 10.1080/16066359.2017.1307967</w:t>
      </w:r>
    </w:p>
    <w:p w14:paraId="6321F371" w14:textId="77777777" w:rsidR="0033518C" w:rsidRDefault="0033518C" w:rsidP="006A7BF9">
      <w:pPr>
        <w:jc w:val="both"/>
      </w:pPr>
    </w:p>
    <w:p w14:paraId="28851D01" w14:textId="77777777" w:rsidR="006A7BF9" w:rsidRPr="001F6126" w:rsidRDefault="006A7BF9" w:rsidP="006A7BF9">
      <w:pPr>
        <w:jc w:val="both"/>
      </w:pPr>
      <w:r w:rsidRPr="001F6126">
        <w:t xml:space="preserve">National Research Council. (1999). </w:t>
      </w:r>
      <w:r w:rsidRPr="001F6126">
        <w:rPr>
          <w:i/>
        </w:rPr>
        <w:t>Pathological gambling: A critical review</w:t>
      </w:r>
      <w:r w:rsidRPr="001F6126">
        <w:t>. Washington D.C.: National Academies Press.</w:t>
      </w:r>
    </w:p>
    <w:p w14:paraId="15B678DF" w14:textId="77777777" w:rsidR="006A7BF9" w:rsidRDefault="006A7BF9" w:rsidP="006A7BF9">
      <w:pPr>
        <w:jc w:val="both"/>
      </w:pPr>
    </w:p>
    <w:p w14:paraId="1447BDC2" w14:textId="77777777" w:rsidR="006A7BF9" w:rsidRPr="001F6126" w:rsidRDefault="006A7BF9" w:rsidP="006A7BF9">
      <w:pPr>
        <w:jc w:val="both"/>
      </w:pPr>
      <w:r>
        <w:t>Olason, D.</w:t>
      </w:r>
      <w:r w:rsidRPr="001F6126">
        <w:t xml:space="preserve">T., Hayer, T., Brosowski, T., &amp; Meyer, G. (2015). Gambling in the mist of economic crisis: Results from three national prevalence studies from Iceland. </w:t>
      </w:r>
      <w:r w:rsidRPr="001F6126">
        <w:rPr>
          <w:i/>
        </w:rPr>
        <w:t>Journal of Gambling Studies, 31</w:t>
      </w:r>
      <w:r w:rsidRPr="001F6126">
        <w:t>(3), 759-774.</w:t>
      </w:r>
    </w:p>
    <w:p w14:paraId="1F477E8A" w14:textId="77777777" w:rsidR="006A7BF9" w:rsidRDefault="006A7BF9" w:rsidP="006A7BF9">
      <w:pPr>
        <w:jc w:val="both"/>
      </w:pPr>
    </w:p>
    <w:p w14:paraId="14CE3D6A" w14:textId="77777777" w:rsidR="006A7BF9" w:rsidRPr="001F6126" w:rsidRDefault="006A7BF9" w:rsidP="006A7BF9">
      <w:pPr>
        <w:jc w:val="both"/>
      </w:pPr>
      <w:r w:rsidRPr="001F6126">
        <w:t xml:space="preserve">Orford, J. (2005). Disabling the public interest: Gambling strategies and policies for Britain. </w:t>
      </w:r>
      <w:r w:rsidRPr="001F6126">
        <w:rPr>
          <w:i/>
        </w:rPr>
        <w:t>Addiction, 100</w:t>
      </w:r>
      <w:r w:rsidRPr="001F6126">
        <w:t>(9), 1219-1225.</w:t>
      </w:r>
    </w:p>
    <w:p w14:paraId="4716D7B6" w14:textId="77777777" w:rsidR="00AA01F0" w:rsidRDefault="00AA01F0" w:rsidP="006A7BF9">
      <w:pPr>
        <w:jc w:val="both"/>
      </w:pPr>
    </w:p>
    <w:p w14:paraId="525E308A" w14:textId="77777777" w:rsidR="006A7BF9" w:rsidRPr="001F6126" w:rsidRDefault="006A7BF9" w:rsidP="006A7BF9">
      <w:pPr>
        <w:jc w:val="both"/>
      </w:pPr>
      <w:r w:rsidRPr="001F6126">
        <w:t xml:space="preserve">Parhami, </w:t>
      </w:r>
      <w:r w:rsidR="00D05B26">
        <w:t>I., Mojtabai, R., Rosenthal, R.J., Afifi, T.O., &amp; Fong, T.</w:t>
      </w:r>
      <w:r w:rsidRPr="001F6126">
        <w:t xml:space="preserve">W. (2014). Gambling and the onset of comorbid mental disorders: A longitudinal study evaluating severity and specific symptoms. </w:t>
      </w:r>
      <w:r w:rsidRPr="001F6126">
        <w:rPr>
          <w:i/>
        </w:rPr>
        <w:t>Journal of Psychiatric Practice, 20</w:t>
      </w:r>
      <w:r w:rsidRPr="001F6126">
        <w:t>(3), 207-219.</w:t>
      </w:r>
    </w:p>
    <w:p w14:paraId="02790CA8" w14:textId="77777777" w:rsidR="006A7BF9" w:rsidRDefault="006A7BF9" w:rsidP="006A7BF9">
      <w:pPr>
        <w:jc w:val="both"/>
      </w:pPr>
    </w:p>
    <w:p w14:paraId="78E7396F" w14:textId="77777777" w:rsidR="006A7BF9" w:rsidRPr="001F6126" w:rsidRDefault="006A7BF9" w:rsidP="006A7BF9">
      <w:pPr>
        <w:jc w:val="both"/>
      </w:pPr>
      <w:r>
        <w:t>Petry, N.</w:t>
      </w:r>
      <w:r w:rsidRPr="001F6126">
        <w:t xml:space="preserve">M. (2005). </w:t>
      </w:r>
      <w:r w:rsidRPr="001F6126">
        <w:rPr>
          <w:i/>
        </w:rPr>
        <w:t>Pathological gambling: Etiology, comorbidity, and treatment</w:t>
      </w:r>
      <w:r w:rsidRPr="001F6126">
        <w:t>. Washington, DC: American Psychological Association.</w:t>
      </w:r>
    </w:p>
    <w:p w14:paraId="59933E34" w14:textId="77777777" w:rsidR="00047035" w:rsidRDefault="00047035" w:rsidP="006A7BF9">
      <w:pPr>
        <w:jc w:val="both"/>
      </w:pPr>
    </w:p>
    <w:p w14:paraId="00C62A6F" w14:textId="77777777" w:rsidR="006A7BF9" w:rsidRPr="001F6126" w:rsidRDefault="006A7BF9" w:rsidP="006A7BF9">
      <w:pPr>
        <w:jc w:val="both"/>
      </w:pPr>
      <w:r w:rsidRPr="001F6126">
        <w:t xml:space="preserve">Productivity Commission. (1999). </w:t>
      </w:r>
      <w:r w:rsidRPr="001F6126">
        <w:rPr>
          <w:i/>
        </w:rPr>
        <w:t>Australia’s gambling industries. Report number 10</w:t>
      </w:r>
      <w:r w:rsidRPr="001F6126">
        <w:t>. Canberra: AusInfo.</w:t>
      </w:r>
    </w:p>
    <w:p w14:paraId="4D569A1F" w14:textId="77777777" w:rsidR="006A7BF9" w:rsidRDefault="006A7BF9" w:rsidP="006A7BF9">
      <w:pPr>
        <w:jc w:val="both"/>
      </w:pPr>
    </w:p>
    <w:p w14:paraId="0E638124" w14:textId="77777777" w:rsidR="0033518C" w:rsidRDefault="0033518C" w:rsidP="006A7BF9">
      <w:pPr>
        <w:jc w:val="both"/>
      </w:pPr>
      <w:r w:rsidRPr="0033518C">
        <w:t>Petry, N.M., Blanco, C., Auriacombe, M., Borge</w:t>
      </w:r>
      <w:r>
        <w:t>s, G., Bucholz, K., Crowley, T.</w:t>
      </w:r>
      <w:r w:rsidRPr="0033518C">
        <w:t xml:space="preserve">J., . . . O’Brien, C. (2014). An overview of and rationale for changes proposed for pathological gambling in DSM-5. </w:t>
      </w:r>
      <w:r w:rsidRPr="0033518C">
        <w:rPr>
          <w:i/>
        </w:rPr>
        <w:t>Journal of Gambling Studies, 30</w:t>
      </w:r>
      <w:r w:rsidRPr="0033518C">
        <w:t>(2), 493-502.</w:t>
      </w:r>
    </w:p>
    <w:p w14:paraId="1A5DF3E8" w14:textId="77777777" w:rsidR="0033518C" w:rsidRDefault="0033518C" w:rsidP="006A7BF9">
      <w:pPr>
        <w:jc w:val="both"/>
      </w:pPr>
    </w:p>
    <w:p w14:paraId="2162DD1B" w14:textId="77777777" w:rsidR="006A7BF9" w:rsidRDefault="006A7BF9" w:rsidP="006A7BF9">
      <w:pPr>
        <w:jc w:val="both"/>
      </w:pPr>
      <w:r w:rsidRPr="001F6126">
        <w:t xml:space="preserve">Public Health Agency of Sweden. (2016). </w:t>
      </w:r>
      <w:r w:rsidRPr="001F6126">
        <w:rPr>
          <w:i/>
        </w:rPr>
        <w:t>Gambling and gambling problems in Sweden 2008</w:t>
      </w:r>
      <w:r>
        <w:rPr>
          <w:i/>
        </w:rPr>
        <w:t>-</w:t>
      </w:r>
      <w:r w:rsidRPr="001F6126">
        <w:rPr>
          <w:i/>
        </w:rPr>
        <w:t>2010. Swedish longitudinal gambling study, SWELOGS: Findings from wave one and wave two</w:t>
      </w:r>
      <w:r w:rsidRPr="001F6126">
        <w:t>. Sweden: Public Health Agency of Sweden.</w:t>
      </w:r>
    </w:p>
    <w:p w14:paraId="68C915C5" w14:textId="77777777" w:rsidR="00C66690" w:rsidRDefault="00C66690" w:rsidP="006A7BF9">
      <w:pPr>
        <w:jc w:val="both"/>
      </w:pPr>
    </w:p>
    <w:p w14:paraId="055512EB" w14:textId="77777777" w:rsidR="00C66690" w:rsidRDefault="00C66690" w:rsidP="00C66690">
      <w:pPr>
        <w:jc w:val="both"/>
      </w:pPr>
      <w:r>
        <w:t xml:space="preserve">Pulford, J., Bellringer, M., Abbott, M., Clarke, D., Hodgins, D., &amp; Williams, J. (2009a). Barriers to help-seeking for a gambling problem: The experiences of gamblers who have sought specialist assistance and the perceptions of those who have not. </w:t>
      </w:r>
      <w:r w:rsidRPr="00C66690">
        <w:rPr>
          <w:i/>
        </w:rPr>
        <w:t>Journal of Gambling Studies, 25</w:t>
      </w:r>
      <w:r>
        <w:t>(1), 33-48.</w:t>
      </w:r>
    </w:p>
    <w:p w14:paraId="2BC36783" w14:textId="77777777" w:rsidR="001F71B4" w:rsidRDefault="001F71B4" w:rsidP="00C66690">
      <w:pPr>
        <w:jc w:val="both"/>
      </w:pPr>
    </w:p>
    <w:p w14:paraId="0266D187" w14:textId="77777777" w:rsidR="00C66690" w:rsidRPr="001F6126" w:rsidRDefault="00C66690" w:rsidP="00C66690">
      <w:pPr>
        <w:jc w:val="both"/>
      </w:pPr>
      <w:r>
        <w:t xml:space="preserve">Pulford, J., Bellringer, M., Abbott, M., Clarke, D., Hodgins, D., &amp; Williams, J. (2009b). Reasons for seeking help for a gambling problem: The experiences of gamblers who have sought specialist assistance and the perceptions of those who have not. </w:t>
      </w:r>
      <w:r w:rsidRPr="00C66690">
        <w:rPr>
          <w:i/>
        </w:rPr>
        <w:t>Journal of Gambling Studies, 25</w:t>
      </w:r>
      <w:r>
        <w:t>(1), 19-32.</w:t>
      </w:r>
    </w:p>
    <w:p w14:paraId="3D80DFB7" w14:textId="77777777" w:rsidR="006A7BF9" w:rsidRDefault="006A7BF9" w:rsidP="006A7BF9">
      <w:pPr>
        <w:jc w:val="both"/>
      </w:pPr>
    </w:p>
    <w:p w14:paraId="141347C0" w14:textId="77777777" w:rsidR="005719A8" w:rsidRDefault="005719A8" w:rsidP="006A7BF9">
      <w:pPr>
        <w:jc w:val="both"/>
      </w:pPr>
      <w:r>
        <w:t>Quilty, L.</w:t>
      </w:r>
      <w:r w:rsidRPr="005719A8">
        <w:t>C.</w:t>
      </w:r>
      <w:r>
        <w:t>, Avila Murati, D., &amp; Bagby, R.</w:t>
      </w:r>
      <w:r w:rsidRPr="005719A8">
        <w:t xml:space="preserve">M. (2014). Identifying indicators of harmful and problem gambling in a Canadian sample through receiver operating characteristic analysis. </w:t>
      </w:r>
      <w:r w:rsidRPr="005719A8">
        <w:rPr>
          <w:i/>
        </w:rPr>
        <w:t>Psychology of Addictive Behaviors, 28</w:t>
      </w:r>
      <w:r w:rsidRPr="005719A8">
        <w:t>(1), 229-237.</w:t>
      </w:r>
    </w:p>
    <w:p w14:paraId="42B45A2E" w14:textId="77777777" w:rsidR="005719A8" w:rsidRDefault="005719A8" w:rsidP="006A7BF9">
      <w:pPr>
        <w:jc w:val="both"/>
      </w:pPr>
    </w:p>
    <w:p w14:paraId="1BF470DA" w14:textId="77777777" w:rsidR="006A7BF9" w:rsidRPr="001F6126" w:rsidRDefault="006A7BF9" w:rsidP="006A7BF9">
      <w:pPr>
        <w:jc w:val="both"/>
      </w:pPr>
      <w:r>
        <w:t>Rash, C.</w:t>
      </w:r>
      <w:r w:rsidR="00D05B26">
        <w:t>J., Weinstock, J., &amp; v</w:t>
      </w:r>
      <w:r w:rsidRPr="001F6126">
        <w:t xml:space="preserve">an Patten, R. (2016). A review of gambling disorder and substance use disorders. </w:t>
      </w:r>
      <w:r w:rsidRPr="001F6126">
        <w:rPr>
          <w:i/>
        </w:rPr>
        <w:t>Substance Abuse &amp; Rehabilitation, 7</w:t>
      </w:r>
      <w:r w:rsidRPr="001F6126">
        <w:t>, 3-13.</w:t>
      </w:r>
    </w:p>
    <w:p w14:paraId="0B9A2261" w14:textId="77777777" w:rsidR="006A7BF9" w:rsidRDefault="006A7BF9" w:rsidP="006A7BF9">
      <w:pPr>
        <w:jc w:val="both"/>
      </w:pPr>
    </w:p>
    <w:p w14:paraId="3325AC25" w14:textId="77777777" w:rsidR="006A7BF9" w:rsidRPr="001F6126" w:rsidRDefault="006A7BF9" w:rsidP="006A7BF9">
      <w:pPr>
        <w:jc w:val="both"/>
      </w:pPr>
      <w:r w:rsidRPr="001F6126">
        <w:t xml:space="preserve">Reid, K., &amp; Searle, W. (1996). </w:t>
      </w:r>
      <w:r w:rsidRPr="001F6126">
        <w:rPr>
          <w:i/>
        </w:rPr>
        <w:t>People's participation in and attitudes towards gambling: Final results of the 1995 survey</w:t>
      </w:r>
      <w:r w:rsidRPr="001F6126">
        <w:t xml:space="preserve">. Wellington: Department of Internal Affairs. Retrieved from </w:t>
      </w:r>
      <w:r w:rsidRPr="00DE0DF7">
        <w:t>http://citeseerx.ist.psu.edu.ezproxy.aut.ac.nz/viewdoc/download?doi=10.1.1.515.3413&amp;rep=rep1&amp;type=pdf</w:t>
      </w:r>
    </w:p>
    <w:p w14:paraId="4749D72A" w14:textId="77777777" w:rsidR="006A7BF9" w:rsidRDefault="006A7BF9" w:rsidP="006A7BF9">
      <w:pPr>
        <w:jc w:val="both"/>
      </w:pPr>
    </w:p>
    <w:p w14:paraId="76D04A49" w14:textId="77777777" w:rsidR="006A7BF9" w:rsidRPr="001F6126" w:rsidRDefault="006A7BF9" w:rsidP="006A7BF9">
      <w:pPr>
        <w:jc w:val="both"/>
      </w:pPr>
      <w:r w:rsidRPr="001F6126">
        <w:t>Romild, U., Volberg, R., &amp; Abbott, M. (2014). The Swedish Longitudinal Gambling Study (Swelogs): Design and met</w:t>
      </w:r>
      <w:r>
        <w:t>hods of the epidemiological (EP-</w:t>
      </w:r>
      <w:r w:rsidRPr="001F6126">
        <w:t xml:space="preserve">) track. </w:t>
      </w:r>
      <w:r w:rsidRPr="001F6126">
        <w:rPr>
          <w:i/>
        </w:rPr>
        <w:t>International journal of methods in psychiatric research, 23</w:t>
      </w:r>
      <w:r w:rsidRPr="001F6126">
        <w:t>(3), 372-386.</w:t>
      </w:r>
    </w:p>
    <w:p w14:paraId="2FBEBF2B" w14:textId="77777777" w:rsidR="00CB2705" w:rsidRDefault="00CB2705" w:rsidP="006A7BF9">
      <w:pPr>
        <w:jc w:val="both"/>
      </w:pPr>
    </w:p>
    <w:p w14:paraId="43B896C8" w14:textId="77777777" w:rsidR="006A7BF9" w:rsidRPr="001F6126" w:rsidRDefault="006A7BF9" w:rsidP="006A7BF9">
      <w:pPr>
        <w:jc w:val="both"/>
      </w:pPr>
      <w:r w:rsidRPr="001F6126">
        <w:t xml:space="preserve">Rose, G., &amp; Day, S. (1990). The population mean predicts the number of deviant individuals. </w:t>
      </w:r>
      <w:r w:rsidRPr="001F6126">
        <w:rPr>
          <w:i/>
        </w:rPr>
        <w:t>British Medical Journal, 301</w:t>
      </w:r>
      <w:r w:rsidRPr="001F6126">
        <w:t>(6759), 1031-1034.</w:t>
      </w:r>
    </w:p>
    <w:p w14:paraId="093BC92B" w14:textId="77777777" w:rsidR="00D67963" w:rsidRDefault="00D67963" w:rsidP="006A7BF9">
      <w:pPr>
        <w:jc w:val="both"/>
      </w:pPr>
    </w:p>
    <w:p w14:paraId="33C1F013" w14:textId="77777777" w:rsidR="006A7BF9" w:rsidRPr="001F6126" w:rsidRDefault="006A7BF9" w:rsidP="006A7BF9">
      <w:pPr>
        <w:jc w:val="both"/>
      </w:pPr>
      <w:r w:rsidRPr="001F6126">
        <w:t xml:space="preserve">Rossen, F. (2015). </w:t>
      </w:r>
      <w:r w:rsidRPr="001F6126">
        <w:rPr>
          <w:i/>
        </w:rPr>
        <w:t xml:space="preserve">Gambling and problem gambling: Results of the 2011/12 New Zealand health survey. </w:t>
      </w:r>
      <w:r w:rsidRPr="001F6126">
        <w:t>Auckland: The University of Auckland, Centre for Addiction Research.</w:t>
      </w:r>
    </w:p>
    <w:p w14:paraId="3223D3D5" w14:textId="77777777" w:rsidR="006A7BF9" w:rsidRDefault="006A7BF9" w:rsidP="00584AE0">
      <w:pPr>
        <w:jc w:val="both"/>
        <w:rPr>
          <w:szCs w:val="22"/>
        </w:rPr>
      </w:pPr>
    </w:p>
    <w:p w14:paraId="23825E6F" w14:textId="77777777" w:rsidR="00584AE0" w:rsidRPr="008E05BA" w:rsidRDefault="00584AE0" w:rsidP="00584AE0">
      <w:pPr>
        <w:jc w:val="both"/>
        <w:rPr>
          <w:szCs w:val="22"/>
        </w:rPr>
      </w:pPr>
      <w:r w:rsidRPr="008E05BA">
        <w:rPr>
          <w:szCs w:val="22"/>
        </w:rPr>
        <w:t xml:space="preserve">Salmond, C., Crampton, P., King, P., &amp; Waldegrave, C. (2006). NZiDep: A New Zealand index of socioeconomic deprivation for individuals. </w:t>
      </w:r>
      <w:r w:rsidRPr="008E05BA">
        <w:rPr>
          <w:i/>
          <w:szCs w:val="22"/>
        </w:rPr>
        <w:t>Social Science and Medicine, 62</w:t>
      </w:r>
      <w:r w:rsidRPr="008E05BA">
        <w:rPr>
          <w:szCs w:val="22"/>
        </w:rPr>
        <w:t>, 1474-1485.</w:t>
      </w:r>
    </w:p>
    <w:p w14:paraId="5B6D89CF" w14:textId="77777777" w:rsidR="00047035" w:rsidRDefault="00047035" w:rsidP="00047035">
      <w:pPr>
        <w:jc w:val="both"/>
        <w:rPr>
          <w:szCs w:val="22"/>
        </w:rPr>
      </w:pPr>
    </w:p>
    <w:p w14:paraId="144CC0F7" w14:textId="77777777" w:rsidR="00584AE0" w:rsidRPr="008E05BA" w:rsidRDefault="00584AE0" w:rsidP="00047035">
      <w:pPr>
        <w:jc w:val="both"/>
        <w:rPr>
          <w:szCs w:val="22"/>
        </w:rPr>
      </w:pPr>
      <w:r w:rsidRPr="008E05BA">
        <w:rPr>
          <w:szCs w:val="22"/>
        </w:rPr>
        <w:t xml:space="preserve">Saunders, J.B., Aasland, O.G., Babor, T.F., De La Fuente, J.R., &amp; Grant, M. (1993). Development of the Alcohol Use Disorders Identification Test (AUDIT): WHO collaborative project on early detection of persons with harmful alcohol consumption-II. </w:t>
      </w:r>
      <w:r w:rsidRPr="008E05BA">
        <w:rPr>
          <w:i/>
          <w:iCs/>
          <w:szCs w:val="22"/>
        </w:rPr>
        <w:t>Addiction</w:t>
      </w:r>
      <w:r w:rsidRPr="008E05BA">
        <w:rPr>
          <w:szCs w:val="22"/>
        </w:rPr>
        <w:t xml:space="preserve"> </w:t>
      </w:r>
      <w:r w:rsidRPr="008E05BA">
        <w:rPr>
          <w:i/>
          <w:szCs w:val="22"/>
        </w:rPr>
        <w:t xml:space="preserve">88, </w:t>
      </w:r>
      <w:r w:rsidRPr="008E05BA">
        <w:rPr>
          <w:szCs w:val="22"/>
        </w:rPr>
        <w:t>791-804.</w:t>
      </w:r>
    </w:p>
    <w:p w14:paraId="5F937362" w14:textId="77777777" w:rsidR="006F2F65" w:rsidRDefault="006F2F65" w:rsidP="00584AE0">
      <w:pPr>
        <w:jc w:val="both"/>
        <w:rPr>
          <w:szCs w:val="22"/>
        </w:rPr>
      </w:pPr>
    </w:p>
    <w:p w14:paraId="36BE6486" w14:textId="77777777" w:rsidR="00584AE0" w:rsidRPr="008E05BA" w:rsidRDefault="00584AE0" w:rsidP="00584AE0">
      <w:pPr>
        <w:jc w:val="both"/>
        <w:rPr>
          <w:szCs w:val="22"/>
        </w:rPr>
      </w:pPr>
      <w:r w:rsidRPr="008E05BA">
        <w:rPr>
          <w:szCs w:val="22"/>
        </w:rPr>
        <w:t xml:space="preserve">Schmidt, S., Muhlan, H., &amp; Power, M. (2005). The EUROHIS-QOL 8-item index: Psychometric results of a cross-cultural field study. </w:t>
      </w:r>
      <w:r w:rsidRPr="008E05BA">
        <w:rPr>
          <w:i/>
          <w:szCs w:val="22"/>
        </w:rPr>
        <w:t>European Journal of Public Health, 16</w:t>
      </w:r>
      <w:r w:rsidRPr="008E05BA">
        <w:rPr>
          <w:szCs w:val="22"/>
        </w:rPr>
        <w:t>(4), 420-428.</w:t>
      </w:r>
    </w:p>
    <w:p w14:paraId="41232E10" w14:textId="77777777" w:rsidR="008E64D7" w:rsidRDefault="008E64D7" w:rsidP="00E85E36">
      <w:pPr>
        <w:pStyle w:val="RepNormal"/>
      </w:pPr>
    </w:p>
    <w:p w14:paraId="7DAAFD4A" w14:textId="77777777" w:rsidR="00C11F13" w:rsidRPr="001F6126" w:rsidRDefault="00C11F13" w:rsidP="00C11F13">
      <w:pPr>
        <w:jc w:val="both"/>
      </w:pPr>
      <w:r>
        <w:t>Shaffer, H.J., Hall, M.</w:t>
      </w:r>
      <w:r w:rsidRPr="001F6126">
        <w:t xml:space="preserve">N., &amp; Vander Bilt, J. (1997). </w:t>
      </w:r>
      <w:r w:rsidRPr="001F6126">
        <w:rPr>
          <w:i/>
        </w:rPr>
        <w:t>Estimating the prevalence of disordered gambling behavior in the United States and Canada: A meta-analysis</w:t>
      </w:r>
      <w:r w:rsidRPr="001F6126">
        <w:t>. Boston, MA: Harvard Medical School, Division of Addictions.</w:t>
      </w:r>
    </w:p>
    <w:p w14:paraId="23C40C27" w14:textId="77777777" w:rsidR="00C11F13" w:rsidRDefault="00C11F13" w:rsidP="00C11F13">
      <w:pPr>
        <w:jc w:val="both"/>
      </w:pPr>
    </w:p>
    <w:p w14:paraId="3312E8D8" w14:textId="77777777" w:rsidR="00C11F13" w:rsidRPr="001F6126" w:rsidRDefault="00C11F13" w:rsidP="00C11F13">
      <w:pPr>
        <w:jc w:val="both"/>
      </w:pPr>
      <w:r>
        <w:t>Shaffer, H.J., &amp; Korn, D.</w:t>
      </w:r>
      <w:r w:rsidRPr="001F6126">
        <w:t xml:space="preserve">A. (2002). Gambling and related mental disorders: A public health analysis. </w:t>
      </w:r>
      <w:r w:rsidRPr="001F6126">
        <w:rPr>
          <w:i/>
        </w:rPr>
        <w:t>Annual review of public health, 23</w:t>
      </w:r>
      <w:r w:rsidRPr="001F6126">
        <w:t>(1), 171-212.</w:t>
      </w:r>
    </w:p>
    <w:p w14:paraId="777B748A" w14:textId="77777777" w:rsidR="00C11F13" w:rsidRDefault="00C11F13" w:rsidP="00C11F13">
      <w:pPr>
        <w:jc w:val="both"/>
      </w:pPr>
    </w:p>
    <w:p w14:paraId="5632DCAD" w14:textId="77777777" w:rsidR="00C11F13" w:rsidRPr="001F6126" w:rsidRDefault="00C11F13" w:rsidP="00C11F13">
      <w:pPr>
        <w:jc w:val="both"/>
      </w:pPr>
      <w:r>
        <w:t>Slutske, W.</w:t>
      </w:r>
      <w:r w:rsidRPr="001F6126">
        <w:t>S. (2007). Longitudinal studies of gambling behavior</w:t>
      </w:r>
      <w:r>
        <w:t>. In G. Smith, D. Hodgins, &amp; R.</w:t>
      </w:r>
      <w:r w:rsidRPr="001F6126">
        <w:t xml:space="preserve">J. Williams (Eds.), </w:t>
      </w:r>
      <w:r w:rsidRPr="001F6126">
        <w:rPr>
          <w:i/>
        </w:rPr>
        <w:t>Research and measurement issues in gambling studies</w:t>
      </w:r>
      <w:r w:rsidRPr="001F6126">
        <w:t xml:space="preserve"> (pp. 127-154). Elsevier: Academic Press.</w:t>
      </w:r>
    </w:p>
    <w:p w14:paraId="7848AD24" w14:textId="77777777" w:rsidR="00C11F13" w:rsidRDefault="00C11F13" w:rsidP="00C11F13">
      <w:pPr>
        <w:jc w:val="both"/>
      </w:pPr>
    </w:p>
    <w:p w14:paraId="1727252F" w14:textId="77777777" w:rsidR="0033518C" w:rsidRDefault="0033518C" w:rsidP="00C11F13">
      <w:pPr>
        <w:jc w:val="both"/>
      </w:pPr>
      <w:r>
        <w:t>Slutske, W.</w:t>
      </w:r>
      <w:r w:rsidRPr="0033518C">
        <w:t>S., Jackson, K</w:t>
      </w:r>
      <w:r>
        <w:t>.M., &amp; Sher, K.</w:t>
      </w:r>
      <w:r w:rsidRPr="0033518C">
        <w:t xml:space="preserve">J. (2003). The natural history of problem gambling from age 18 to 29. </w:t>
      </w:r>
      <w:r w:rsidRPr="0033518C">
        <w:rPr>
          <w:i/>
        </w:rPr>
        <w:t>Journal of Abnormal Psychology, 112</w:t>
      </w:r>
      <w:r w:rsidRPr="0033518C">
        <w:t>(2), 263-274.</w:t>
      </w:r>
    </w:p>
    <w:p w14:paraId="53CA2D27" w14:textId="77777777" w:rsidR="0033518C" w:rsidRDefault="0033518C" w:rsidP="00C11F13">
      <w:pPr>
        <w:jc w:val="both"/>
      </w:pPr>
    </w:p>
    <w:p w14:paraId="0E330A09" w14:textId="77777777" w:rsidR="00C11F13" w:rsidRDefault="00C11F13" w:rsidP="00C11F13">
      <w:pPr>
        <w:jc w:val="both"/>
      </w:pPr>
      <w:r w:rsidRPr="001F6126">
        <w:t xml:space="preserve">Stevens, M., &amp; Young, M. (2010). Who plays what? Participation profiles in chance versus skill-based gambling. </w:t>
      </w:r>
      <w:r w:rsidRPr="001F6126">
        <w:rPr>
          <w:i/>
        </w:rPr>
        <w:t>Journal of Gambling Studies, 26</w:t>
      </w:r>
      <w:r w:rsidRPr="001F6126">
        <w:t>(1), 89-103.</w:t>
      </w:r>
    </w:p>
    <w:p w14:paraId="5714BF14" w14:textId="77777777" w:rsidR="005D702A" w:rsidRDefault="005D702A" w:rsidP="00C11F13">
      <w:pPr>
        <w:jc w:val="both"/>
      </w:pPr>
    </w:p>
    <w:p w14:paraId="51F34ADD" w14:textId="77777777" w:rsidR="005D702A" w:rsidRPr="001F6126" w:rsidRDefault="005D702A" w:rsidP="00C11F13">
      <w:pPr>
        <w:jc w:val="both"/>
      </w:pPr>
      <w:r>
        <w:t>Stone, C.</w:t>
      </w:r>
      <w:r w:rsidRPr="005D702A">
        <w:t xml:space="preserve">A., Romild, U., Abbott, M., Yeung, K., Billi, R., &amp; Volberg, R. (2015). Effects of different screening and scoring thresholds on PGSI gambling risk segments. </w:t>
      </w:r>
      <w:r w:rsidRPr="005D702A">
        <w:rPr>
          <w:i/>
        </w:rPr>
        <w:t>International Journal of Mental Health and Addiction, 13</w:t>
      </w:r>
      <w:r w:rsidRPr="005D702A">
        <w:t>(1), 82-102.</w:t>
      </w:r>
    </w:p>
    <w:p w14:paraId="7D8BF000" w14:textId="77777777" w:rsidR="00C11F13" w:rsidRDefault="00C11F13" w:rsidP="00C11F13">
      <w:pPr>
        <w:jc w:val="both"/>
      </w:pPr>
    </w:p>
    <w:p w14:paraId="7C832988" w14:textId="77777777" w:rsidR="00C11F13" w:rsidRPr="001F6126" w:rsidRDefault="00C11F13" w:rsidP="00C11F13">
      <w:pPr>
        <w:jc w:val="both"/>
      </w:pPr>
      <w:r w:rsidRPr="001F6126">
        <w:t xml:space="preserve">Storer, J., Abbott, M., &amp; Stubbs, J. (2009). Access or adaptation? A meta-analysis of surveys of problem gambling prevalence in Australia and New Zealand with respect to concentration of electronic gaming machines. </w:t>
      </w:r>
      <w:r w:rsidRPr="001F6126">
        <w:rPr>
          <w:i/>
        </w:rPr>
        <w:t>International Gambling Studies, 9</w:t>
      </w:r>
      <w:r w:rsidRPr="001F6126">
        <w:t>(3), 225-244.</w:t>
      </w:r>
    </w:p>
    <w:p w14:paraId="4EDD3839" w14:textId="77777777" w:rsidR="00C11F13" w:rsidRDefault="00C11F13" w:rsidP="00C11F13">
      <w:pPr>
        <w:jc w:val="both"/>
      </w:pPr>
    </w:p>
    <w:p w14:paraId="17C2B941" w14:textId="77777777" w:rsidR="00C11F13" w:rsidRDefault="00C11F13" w:rsidP="00C11F13">
      <w:pPr>
        <w:jc w:val="both"/>
      </w:pPr>
      <w:r w:rsidRPr="001F6126">
        <w:t xml:space="preserve">The Data Team. (2017). </w:t>
      </w:r>
      <w:r w:rsidRPr="001F6126">
        <w:rPr>
          <w:i/>
        </w:rPr>
        <w:t>The world’s biggest gamblers</w:t>
      </w:r>
      <w:r w:rsidRPr="001F6126">
        <w:t xml:space="preserve">. Retrieved from </w:t>
      </w:r>
    </w:p>
    <w:p w14:paraId="24499E39" w14:textId="77777777" w:rsidR="00C11F13" w:rsidRPr="001F6126" w:rsidRDefault="00C11F13" w:rsidP="00C11F13">
      <w:pPr>
        <w:jc w:val="both"/>
      </w:pPr>
      <w:r w:rsidRPr="00DE0DF7">
        <w:t>http://www.economist.com/blogs/graphicdetail/2017/02/daily-chart-4</w:t>
      </w:r>
    </w:p>
    <w:p w14:paraId="3747BF9B" w14:textId="77777777" w:rsidR="00C11F13" w:rsidRDefault="00C11F13" w:rsidP="00C11F13">
      <w:pPr>
        <w:jc w:val="both"/>
      </w:pPr>
    </w:p>
    <w:p w14:paraId="172DBBF2" w14:textId="78BCAE10" w:rsidR="00692244" w:rsidRDefault="00692244" w:rsidP="00C11F13">
      <w:pPr>
        <w:jc w:val="both"/>
      </w:pPr>
      <w:r w:rsidRPr="00692244">
        <w:t>Thimasarn-Anwar, T., Squire, H., Trowland, H.</w:t>
      </w:r>
      <w:r>
        <w:t>,</w:t>
      </w:r>
      <w:r w:rsidRPr="00692244">
        <w:t xml:space="preserve"> &amp; Martin, G. (2017). </w:t>
      </w:r>
      <w:r w:rsidRPr="00692244">
        <w:rPr>
          <w:i/>
        </w:rPr>
        <w:t>Gambling report: Results from the 2016 Health and Lifestyles Survey</w:t>
      </w:r>
      <w:r w:rsidRPr="00692244">
        <w:t>. Wellington: Health Promotion Agency Research and Evaluation Unit.</w:t>
      </w:r>
    </w:p>
    <w:p w14:paraId="508FE62A" w14:textId="77777777" w:rsidR="00692244" w:rsidRDefault="00692244" w:rsidP="00C11F13">
      <w:pPr>
        <w:jc w:val="both"/>
      </w:pPr>
    </w:p>
    <w:p w14:paraId="568E8169" w14:textId="77777777" w:rsidR="005D702A" w:rsidRDefault="005D702A" w:rsidP="00C11F13">
      <w:pPr>
        <w:jc w:val="both"/>
      </w:pPr>
      <w:r w:rsidRPr="005D702A">
        <w:t xml:space="preserve">Tu, D. (2013). </w:t>
      </w:r>
      <w:r w:rsidRPr="005D702A">
        <w:rPr>
          <w:i/>
        </w:rPr>
        <w:t>New Zealanders’ participation in gambling: Results from the 2012 Health and Lifestyles Survey</w:t>
      </w:r>
      <w:r w:rsidRPr="005D702A">
        <w:t>. Wellington: Health Promotion Agency.</w:t>
      </w:r>
    </w:p>
    <w:p w14:paraId="20AFD2BC" w14:textId="77777777" w:rsidR="0033518C" w:rsidRDefault="0033518C" w:rsidP="00C11F13">
      <w:pPr>
        <w:jc w:val="both"/>
      </w:pPr>
      <w:r>
        <w:t>Tu, D., Gray, R.J., &amp; Walton, D.</w:t>
      </w:r>
      <w:r w:rsidRPr="0033518C">
        <w:t xml:space="preserve">K. (2014). Household experience of gambling-related harm by socio-economic deprivation in New Zealand: Increases in inequality between 2008 and 2012. </w:t>
      </w:r>
      <w:r w:rsidRPr="0033518C">
        <w:rPr>
          <w:i/>
        </w:rPr>
        <w:t>International Gambling Studies, 14</w:t>
      </w:r>
      <w:r w:rsidRPr="0033518C">
        <w:t>(2), 330-344.</w:t>
      </w:r>
    </w:p>
    <w:p w14:paraId="14342B20" w14:textId="77777777" w:rsidR="0033518C" w:rsidRDefault="0033518C" w:rsidP="00C11F13">
      <w:pPr>
        <w:jc w:val="both"/>
      </w:pPr>
    </w:p>
    <w:p w14:paraId="30672046" w14:textId="77777777" w:rsidR="00C11F13" w:rsidRPr="001F6126" w:rsidRDefault="00C11F13" w:rsidP="00C11F13">
      <w:pPr>
        <w:jc w:val="both"/>
      </w:pPr>
      <w:r>
        <w:t>Vasiliadis, S.D., Jackson, A.</w:t>
      </w:r>
      <w:r w:rsidRPr="001F6126">
        <w:t xml:space="preserve">C., Christensen, D., &amp; Francis, K. (2013). Physical accessibility of gaming opportunity and its relationship to gaming involvement and problem gambling: A systematic review. </w:t>
      </w:r>
      <w:r w:rsidRPr="001F6126">
        <w:rPr>
          <w:i/>
        </w:rPr>
        <w:t>Journal of Gambling Issues, 28</w:t>
      </w:r>
      <w:r w:rsidRPr="001F6126">
        <w:t>, 1-46. doi:10.4309/jgi.2013.28.2</w:t>
      </w:r>
    </w:p>
    <w:p w14:paraId="796E9DA9" w14:textId="77777777" w:rsidR="00692244" w:rsidRDefault="00692244" w:rsidP="00AA1041">
      <w:pPr>
        <w:jc w:val="both"/>
        <w:rPr>
          <w:szCs w:val="22"/>
        </w:rPr>
      </w:pPr>
    </w:p>
    <w:p w14:paraId="6D64601D" w14:textId="77777777" w:rsidR="00AA1041" w:rsidRPr="008E05BA" w:rsidRDefault="00AA1041" w:rsidP="00AA1041">
      <w:pPr>
        <w:jc w:val="both"/>
        <w:rPr>
          <w:szCs w:val="22"/>
        </w:rPr>
      </w:pPr>
      <w:r w:rsidRPr="008E05BA">
        <w:rPr>
          <w:szCs w:val="22"/>
        </w:rPr>
        <w:t xml:space="preserve">Victorian Responsible Gambling Foundation. (2011). </w:t>
      </w:r>
      <w:r w:rsidRPr="008E05BA">
        <w:rPr>
          <w:i/>
          <w:szCs w:val="22"/>
        </w:rPr>
        <w:t>The Victorian Gambling Study: A longitudinal study of gambling and public health - Wave Two findings</w:t>
      </w:r>
      <w:r w:rsidRPr="008E05BA">
        <w:rPr>
          <w:szCs w:val="22"/>
        </w:rPr>
        <w:t>.  Melbourne: Victorian Responsible Gambling Foundation.</w:t>
      </w:r>
    </w:p>
    <w:p w14:paraId="3EC83823" w14:textId="77777777" w:rsidR="00CB2705" w:rsidRDefault="00CB2705" w:rsidP="00AA1041">
      <w:pPr>
        <w:jc w:val="both"/>
        <w:rPr>
          <w:szCs w:val="22"/>
        </w:rPr>
      </w:pPr>
    </w:p>
    <w:p w14:paraId="221E7D72" w14:textId="77777777" w:rsidR="009533A1" w:rsidRDefault="00AA1041" w:rsidP="00AA1041">
      <w:pPr>
        <w:jc w:val="both"/>
        <w:rPr>
          <w:szCs w:val="22"/>
        </w:rPr>
      </w:pPr>
      <w:r w:rsidRPr="008E05BA">
        <w:rPr>
          <w:szCs w:val="22"/>
        </w:rPr>
        <w:t xml:space="preserve">Victorian Responsible Gambling Foundation. (2012). </w:t>
      </w:r>
      <w:r w:rsidRPr="008E05BA">
        <w:rPr>
          <w:i/>
          <w:szCs w:val="22"/>
        </w:rPr>
        <w:t>The Victorian Gambling Study: A longitudinal study of gambling and public health - Wave Three findings</w:t>
      </w:r>
      <w:r w:rsidRPr="008E05BA">
        <w:rPr>
          <w:szCs w:val="22"/>
        </w:rPr>
        <w:t>.  Melbourne: Victorian Responsible Gambling Foundation.</w:t>
      </w:r>
    </w:p>
    <w:p w14:paraId="06BF3304" w14:textId="77777777" w:rsidR="0024064F" w:rsidRDefault="0024064F" w:rsidP="00AA1041">
      <w:pPr>
        <w:jc w:val="both"/>
        <w:rPr>
          <w:szCs w:val="22"/>
        </w:rPr>
      </w:pPr>
    </w:p>
    <w:p w14:paraId="7014E78F" w14:textId="77777777" w:rsidR="0024064F" w:rsidRPr="001F6126" w:rsidRDefault="0024064F" w:rsidP="0024064F">
      <w:pPr>
        <w:jc w:val="both"/>
      </w:pPr>
      <w:r>
        <w:t>Volberg, R.A., &amp; Abbott, M.</w:t>
      </w:r>
      <w:r w:rsidRPr="001F6126">
        <w:t xml:space="preserve">W. (1994). Lifetime prevalence estimates of pathological gambling in New Zealand. </w:t>
      </w:r>
      <w:r>
        <w:rPr>
          <w:i/>
        </w:rPr>
        <w:t>International J</w:t>
      </w:r>
      <w:r w:rsidRPr="001F6126">
        <w:rPr>
          <w:i/>
        </w:rPr>
        <w:t xml:space="preserve">ournal of </w:t>
      </w:r>
      <w:r>
        <w:rPr>
          <w:i/>
        </w:rPr>
        <w:t>E</w:t>
      </w:r>
      <w:r w:rsidRPr="001F6126">
        <w:rPr>
          <w:i/>
        </w:rPr>
        <w:t>pidemiology, 23</w:t>
      </w:r>
      <w:r w:rsidRPr="001F6126">
        <w:t>(5), 976-983.</w:t>
      </w:r>
    </w:p>
    <w:p w14:paraId="6D04413F" w14:textId="77777777" w:rsidR="006F2F65" w:rsidRDefault="006F2F65" w:rsidP="0024064F">
      <w:pPr>
        <w:jc w:val="both"/>
      </w:pPr>
    </w:p>
    <w:p w14:paraId="57480818" w14:textId="77777777" w:rsidR="0024064F" w:rsidRPr="001F6126" w:rsidRDefault="0024064F" w:rsidP="0024064F">
      <w:pPr>
        <w:jc w:val="both"/>
      </w:pPr>
      <w:r>
        <w:t>Volberg, R.A., Dickerson, M.G., Ladouceur, R., &amp; Abbott, M.</w:t>
      </w:r>
      <w:r w:rsidRPr="001F6126">
        <w:t xml:space="preserve">W. (1996). Prevalence studies and the development of services for problem gamblers and their families. </w:t>
      </w:r>
      <w:r w:rsidRPr="001F6126">
        <w:rPr>
          <w:i/>
        </w:rPr>
        <w:t>Journal of Gambling Studies, 12</w:t>
      </w:r>
      <w:r w:rsidRPr="001F6126">
        <w:t>(2), 215-231.</w:t>
      </w:r>
    </w:p>
    <w:p w14:paraId="016B6474" w14:textId="77777777" w:rsidR="0024064F" w:rsidRDefault="0024064F" w:rsidP="0024064F">
      <w:pPr>
        <w:jc w:val="both"/>
      </w:pPr>
    </w:p>
    <w:p w14:paraId="0FF9608E" w14:textId="77777777" w:rsidR="0024064F" w:rsidRPr="001F6126" w:rsidRDefault="0024064F" w:rsidP="0024064F">
      <w:pPr>
        <w:jc w:val="both"/>
      </w:pPr>
      <w:r>
        <w:t>Walker, S.</w:t>
      </w:r>
      <w:r w:rsidRPr="001F6126">
        <w:t>E., Abbott, M.</w:t>
      </w:r>
      <w:r>
        <w:t>W., &amp; Gray, R.</w:t>
      </w:r>
      <w:r w:rsidRPr="001F6126">
        <w:t>J. (2012). Knowledge, views and exper</w:t>
      </w:r>
      <w:r>
        <w:t>iences of gambling and gambling-</w:t>
      </w:r>
      <w:r w:rsidRPr="001F6126">
        <w:t>related harm</w:t>
      </w:r>
      <w:r>
        <w:t>s in different ethnic and socio-</w:t>
      </w:r>
      <w:r w:rsidRPr="001F6126">
        <w:t xml:space="preserve">economic groups in New Zealand. </w:t>
      </w:r>
      <w:r>
        <w:rPr>
          <w:i/>
        </w:rPr>
        <w:t>Australian and New Zealand Journal of Public H</w:t>
      </w:r>
      <w:r w:rsidRPr="001F6126">
        <w:rPr>
          <w:i/>
        </w:rPr>
        <w:t>ealth, 36</w:t>
      </w:r>
      <w:r w:rsidRPr="001F6126">
        <w:t>(2), 153-159.</w:t>
      </w:r>
    </w:p>
    <w:p w14:paraId="6CF9D3B8" w14:textId="77777777" w:rsidR="0024064F" w:rsidRDefault="0024064F" w:rsidP="0024064F">
      <w:pPr>
        <w:jc w:val="both"/>
      </w:pPr>
    </w:p>
    <w:p w14:paraId="473C1EA9" w14:textId="77777777" w:rsidR="0024064F" w:rsidRPr="001F6126" w:rsidRDefault="0024064F" w:rsidP="0024064F">
      <w:pPr>
        <w:jc w:val="both"/>
      </w:pPr>
      <w:r>
        <w:t>Welte, J.W., Barnes, G.</w:t>
      </w:r>
      <w:r w:rsidRPr="001F6126">
        <w:t>M</w:t>
      </w:r>
      <w:r>
        <w:t>., Tidwell, M.C.O., Hoffman, J.H., &amp; Wieczorek, W.</w:t>
      </w:r>
      <w:r w:rsidRPr="001F6126">
        <w:t xml:space="preserve">F. (2015). Gambling and problem gambling in the United States: Changes between 1999 and 2013. </w:t>
      </w:r>
      <w:r w:rsidRPr="001F6126">
        <w:rPr>
          <w:i/>
        </w:rPr>
        <w:t>Journal of Gambling Studies, 31</w:t>
      </w:r>
      <w:r w:rsidRPr="001F6126">
        <w:t>(3), 695-715.</w:t>
      </w:r>
    </w:p>
    <w:p w14:paraId="68710F56" w14:textId="77777777" w:rsidR="0024064F" w:rsidRDefault="0024064F" w:rsidP="0024064F">
      <w:pPr>
        <w:jc w:val="both"/>
      </w:pPr>
    </w:p>
    <w:p w14:paraId="54663D31" w14:textId="77777777" w:rsidR="0024064F" w:rsidRPr="001F6126" w:rsidRDefault="0024064F" w:rsidP="0024064F">
      <w:pPr>
        <w:jc w:val="both"/>
      </w:pPr>
      <w:r>
        <w:t>Wildman, R.</w:t>
      </w:r>
      <w:r w:rsidRPr="001F6126">
        <w:t xml:space="preserve">W. (1998). </w:t>
      </w:r>
      <w:r w:rsidRPr="001F6126">
        <w:rPr>
          <w:i/>
        </w:rPr>
        <w:t>Gambling: An attempt at an integration</w:t>
      </w:r>
      <w:r w:rsidRPr="001F6126">
        <w:t>. Alberta: Wynne Resources.</w:t>
      </w:r>
    </w:p>
    <w:p w14:paraId="714670AB" w14:textId="77777777" w:rsidR="0024064F" w:rsidRDefault="0024064F" w:rsidP="0024064F">
      <w:pPr>
        <w:jc w:val="both"/>
      </w:pPr>
    </w:p>
    <w:p w14:paraId="365D313B" w14:textId="77777777" w:rsidR="0024064F" w:rsidRPr="001F6126" w:rsidRDefault="0024064F" w:rsidP="0024064F">
      <w:pPr>
        <w:jc w:val="both"/>
      </w:pPr>
      <w:r>
        <w:t>Williams, R.J., Hann, R.G., Schopflocher, D.P., West, B.</w:t>
      </w:r>
      <w:r w:rsidRPr="001F6126">
        <w:t xml:space="preserve">L., McLaughlin, P., White, N., . . . Flexhaug, T. (2015). </w:t>
      </w:r>
      <w:r w:rsidRPr="001F6126">
        <w:rPr>
          <w:i/>
        </w:rPr>
        <w:t>Quinte longitudinal study of gambling and problem gambling.</w:t>
      </w:r>
      <w:r w:rsidRPr="001F6126">
        <w:t xml:space="preserve"> Ontario: Ontario Problem Gambling Research Centre.</w:t>
      </w:r>
    </w:p>
    <w:p w14:paraId="3036677F" w14:textId="77777777" w:rsidR="0024064F" w:rsidRDefault="0024064F" w:rsidP="0024064F">
      <w:pPr>
        <w:jc w:val="both"/>
        <w:rPr>
          <w:highlight w:val="darkCyan"/>
        </w:rPr>
      </w:pPr>
    </w:p>
    <w:p w14:paraId="322D3C6B" w14:textId="77777777" w:rsidR="0024064F" w:rsidRDefault="0024064F" w:rsidP="0024064F">
      <w:pPr>
        <w:jc w:val="both"/>
      </w:pPr>
      <w:r>
        <w:t>Williams, R.J., Volberg, R.</w:t>
      </w:r>
      <w:r w:rsidRPr="0024064F">
        <w:t>A., &amp; Stevens, R.</w:t>
      </w:r>
      <w:r>
        <w:t>M.</w:t>
      </w:r>
      <w:r w:rsidRPr="0024064F">
        <w:t xml:space="preserve">G. (2012a). The population prevalence of problem gambling: Methodological influences, standardized rates, jurisdictional differences, and worldwide trends. Report prepared for the Ontario Problem Gambling Research Centre and the Ontario Ministry of Health and Long Term Care. Retrieved from </w:t>
      </w:r>
    </w:p>
    <w:p w14:paraId="0C73A114" w14:textId="77777777" w:rsidR="0024064F" w:rsidRPr="0024064F" w:rsidRDefault="0024064F" w:rsidP="0024064F">
      <w:pPr>
        <w:jc w:val="both"/>
      </w:pPr>
      <w:r w:rsidRPr="0024064F">
        <w:t>http://hdl.handle.net/10133/3068</w:t>
      </w:r>
    </w:p>
    <w:p w14:paraId="4AF72553" w14:textId="77777777" w:rsidR="00035AFD" w:rsidRDefault="00035AFD" w:rsidP="0024064F">
      <w:pPr>
        <w:jc w:val="both"/>
      </w:pPr>
    </w:p>
    <w:p w14:paraId="065FCFAD" w14:textId="77777777" w:rsidR="0024064F" w:rsidRPr="001F6126" w:rsidRDefault="0024064F" w:rsidP="0024064F">
      <w:pPr>
        <w:jc w:val="both"/>
      </w:pPr>
      <w:r>
        <w:t>Williams, R.J., West, B.L., &amp; Simpson, R.</w:t>
      </w:r>
      <w:r w:rsidRPr="0024064F">
        <w:t xml:space="preserve">I. (2012b). </w:t>
      </w:r>
      <w:r w:rsidRPr="0024064F">
        <w:rPr>
          <w:i/>
        </w:rPr>
        <w:t>Prevention of problem gambling: A comprehensive review of the evidence and identified best practices</w:t>
      </w:r>
      <w:r w:rsidRPr="0024064F">
        <w:t>. Report prepared for the Ontario Problem Gambling Research Centre and The Ontario Ministry of Health and Long Term Care. Retrieved from https://www.uleth.ca/dspace/handle/10133/3121</w:t>
      </w:r>
    </w:p>
    <w:p w14:paraId="24AED041" w14:textId="77777777" w:rsidR="0024064F" w:rsidRDefault="0024064F" w:rsidP="0024064F">
      <w:pPr>
        <w:jc w:val="both"/>
      </w:pPr>
    </w:p>
    <w:p w14:paraId="61780E20" w14:textId="77777777" w:rsidR="0024064F" w:rsidRPr="00641FB9" w:rsidRDefault="0024064F" w:rsidP="0024064F">
      <w:pPr>
        <w:jc w:val="both"/>
      </w:pPr>
      <w:r w:rsidRPr="001F6126">
        <w:t xml:space="preserve">Wither, A. (1988). </w:t>
      </w:r>
      <w:r w:rsidRPr="001F6126">
        <w:rPr>
          <w:i/>
        </w:rPr>
        <w:t>Taking a gamble: A survey of public attitudes towards gambling in New Zealand</w:t>
      </w:r>
      <w:r w:rsidRPr="001F6126">
        <w:t>. Wellington: Department of Internal Affairs.</w:t>
      </w:r>
    </w:p>
    <w:p w14:paraId="55C2CA86" w14:textId="77777777" w:rsidR="0024064F" w:rsidRPr="008E05BA" w:rsidRDefault="0024064F" w:rsidP="00AA1041">
      <w:pPr>
        <w:jc w:val="both"/>
        <w:rPr>
          <w:szCs w:val="22"/>
        </w:rPr>
      </w:pPr>
    </w:p>
    <w:p w14:paraId="2CE05BE9" w14:textId="77777777" w:rsidR="00E85E36" w:rsidRPr="00CD5D3D" w:rsidRDefault="00E85E36" w:rsidP="00CB290A">
      <w:pPr>
        <w:pStyle w:val="RepNormal"/>
      </w:pPr>
    </w:p>
    <w:p w14:paraId="3632BC55" w14:textId="77777777" w:rsidR="0046000D" w:rsidRDefault="0046000D" w:rsidP="00B01A26">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pPr>
      <w:r w:rsidRPr="00CD5D3D">
        <w:br w:type="page"/>
      </w:r>
      <w:bookmarkStart w:id="188" w:name="_Toc504488394"/>
      <w:r w:rsidRPr="00107C82">
        <w:t>APPENDIX 1</w:t>
      </w:r>
      <w:r>
        <w:t>:</w:t>
      </w:r>
      <w:r>
        <w:br/>
      </w:r>
      <w:r w:rsidR="009F372D">
        <w:rPr>
          <w:caps w:val="0"/>
        </w:rPr>
        <w:t>C</w:t>
      </w:r>
      <w:r w:rsidR="00B01A26">
        <w:rPr>
          <w:caps w:val="0"/>
        </w:rPr>
        <w:t xml:space="preserve">ategorical values </w:t>
      </w:r>
      <w:r w:rsidR="00A35C59">
        <w:rPr>
          <w:caps w:val="0"/>
        </w:rPr>
        <w:t>covered by attrition analyses</w:t>
      </w:r>
      <w:bookmarkEnd w:id="188"/>
    </w:p>
    <w:p w14:paraId="536FD5AE" w14:textId="77777777" w:rsidR="00CB290A" w:rsidRDefault="00CB290A" w:rsidP="00CB290A"/>
    <w:p w14:paraId="04655506" w14:textId="77777777" w:rsidR="00CB290A" w:rsidRPr="00CB290A" w:rsidRDefault="00A35C59" w:rsidP="00DD2ADA">
      <w:pPr>
        <w:pStyle w:val="ListParagraph"/>
        <w:numPr>
          <w:ilvl w:val="0"/>
          <w:numId w:val="40"/>
        </w:numPr>
      </w:pPr>
      <w:r>
        <w:t>D</w:t>
      </w:r>
      <w:r w:rsidR="00CB290A" w:rsidRPr="00CB290A">
        <w:t xml:space="preserve">emographic </w:t>
      </w:r>
    </w:p>
    <w:p w14:paraId="3E7B6E5E" w14:textId="77777777" w:rsidR="00CB290A" w:rsidRPr="00CB290A" w:rsidRDefault="00CB290A" w:rsidP="00DD2ADA">
      <w:pPr>
        <w:pStyle w:val="ListParagraph"/>
        <w:numPr>
          <w:ilvl w:val="0"/>
          <w:numId w:val="41"/>
        </w:numPr>
      </w:pPr>
      <w:r w:rsidRPr="00CB290A">
        <w:t>Age group</w:t>
      </w:r>
    </w:p>
    <w:p w14:paraId="2045E5EA" w14:textId="77777777" w:rsidR="00CB290A" w:rsidRPr="00CB290A" w:rsidRDefault="00CB290A" w:rsidP="00DD2ADA">
      <w:pPr>
        <w:pStyle w:val="ListParagraph"/>
        <w:numPr>
          <w:ilvl w:val="0"/>
          <w:numId w:val="41"/>
        </w:numPr>
      </w:pPr>
      <w:r w:rsidRPr="00CB290A">
        <w:t>Gender</w:t>
      </w:r>
    </w:p>
    <w:p w14:paraId="34920CB6" w14:textId="77777777" w:rsidR="00CB290A" w:rsidRPr="00CB290A" w:rsidRDefault="00CB290A" w:rsidP="00DD2ADA">
      <w:pPr>
        <w:pStyle w:val="ListParagraph"/>
        <w:numPr>
          <w:ilvl w:val="0"/>
          <w:numId w:val="41"/>
        </w:numPr>
      </w:pPr>
      <w:r w:rsidRPr="00CB290A">
        <w:t>Ethnicity</w:t>
      </w:r>
    </w:p>
    <w:p w14:paraId="61FE7FA0" w14:textId="77777777" w:rsidR="00CB290A" w:rsidRPr="00CB290A" w:rsidRDefault="00CB290A" w:rsidP="00DD2ADA">
      <w:pPr>
        <w:pStyle w:val="ListParagraph"/>
        <w:numPr>
          <w:ilvl w:val="0"/>
          <w:numId w:val="41"/>
        </w:numPr>
      </w:pPr>
      <w:r w:rsidRPr="00CB290A">
        <w:t>Region (Auckland, Wellington, Christchurch, rest of New Zealand)</w:t>
      </w:r>
    </w:p>
    <w:p w14:paraId="7B731156" w14:textId="77777777" w:rsidR="00CB290A" w:rsidRPr="00CB290A" w:rsidRDefault="00CB290A" w:rsidP="00DD2ADA">
      <w:pPr>
        <w:pStyle w:val="ListParagraph"/>
        <w:numPr>
          <w:ilvl w:val="0"/>
          <w:numId w:val="40"/>
        </w:numPr>
      </w:pPr>
      <w:r w:rsidRPr="00CB290A">
        <w:t>Problem gambling</w:t>
      </w:r>
    </w:p>
    <w:p w14:paraId="086D05E2" w14:textId="77777777" w:rsidR="00CB290A" w:rsidRPr="00CB290A" w:rsidRDefault="00CB290A" w:rsidP="00DD2ADA">
      <w:pPr>
        <w:pStyle w:val="ListParagraph"/>
        <w:numPr>
          <w:ilvl w:val="0"/>
          <w:numId w:val="42"/>
        </w:numPr>
      </w:pPr>
      <w:r w:rsidRPr="00CB290A">
        <w:t xml:space="preserve">PGSI risk </w:t>
      </w:r>
      <w:r w:rsidR="00A35C59">
        <w:t>level</w:t>
      </w:r>
    </w:p>
    <w:p w14:paraId="59876978" w14:textId="77777777" w:rsidR="00CB290A" w:rsidRPr="00CB290A" w:rsidRDefault="00CB290A" w:rsidP="00DD2ADA">
      <w:pPr>
        <w:pStyle w:val="ListParagraph"/>
        <w:numPr>
          <w:ilvl w:val="0"/>
          <w:numId w:val="40"/>
        </w:numPr>
      </w:pPr>
      <w:r w:rsidRPr="00CB290A">
        <w:t>Gambling participation</w:t>
      </w:r>
    </w:p>
    <w:p w14:paraId="3AE60D8A" w14:textId="77777777" w:rsidR="00CB290A" w:rsidRPr="00CB290A" w:rsidRDefault="00CB290A" w:rsidP="00DD2ADA">
      <w:pPr>
        <w:pStyle w:val="ListParagraph"/>
        <w:numPr>
          <w:ilvl w:val="0"/>
          <w:numId w:val="42"/>
        </w:numPr>
      </w:pPr>
      <w:r w:rsidRPr="00CB290A">
        <w:t>Number of activities</w:t>
      </w:r>
    </w:p>
    <w:p w14:paraId="26A24505" w14:textId="77777777" w:rsidR="00CB290A" w:rsidRPr="00CB290A" w:rsidRDefault="00CB290A" w:rsidP="00DD2ADA">
      <w:pPr>
        <w:pStyle w:val="ListParagraph"/>
        <w:numPr>
          <w:ilvl w:val="0"/>
          <w:numId w:val="42"/>
        </w:numPr>
      </w:pPr>
      <w:r w:rsidRPr="00CB290A">
        <w:t>Frequency of gambling</w:t>
      </w:r>
    </w:p>
    <w:p w14:paraId="3A3E9B25" w14:textId="77777777" w:rsidR="00CB290A" w:rsidRPr="00CB290A" w:rsidRDefault="00CB290A" w:rsidP="00DD2ADA">
      <w:pPr>
        <w:pStyle w:val="ListParagraph"/>
        <w:numPr>
          <w:ilvl w:val="0"/>
          <w:numId w:val="42"/>
        </w:numPr>
        <w:jc w:val="both"/>
      </w:pPr>
      <w:r w:rsidRPr="00CB290A">
        <w:t>Pattern of participation (regular continuous, regular non-continuous, infrequent gambling, non-gamblers)</w:t>
      </w:r>
    </w:p>
    <w:p w14:paraId="0ED2BB7A" w14:textId="77777777" w:rsidR="00CB290A" w:rsidRPr="00CB290A" w:rsidRDefault="00A35C59" w:rsidP="00DD2ADA">
      <w:pPr>
        <w:pStyle w:val="ListParagraph"/>
        <w:numPr>
          <w:ilvl w:val="0"/>
          <w:numId w:val="40"/>
        </w:numPr>
      </w:pPr>
      <w:r>
        <w:t>H</w:t>
      </w:r>
      <w:r w:rsidR="00CB290A" w:rsidRPr="00CB290A">
        <w:t>elp seeking behaviour</w:t>
      </w:r>
    </w:p>
    <w:p w14:paraId="456EF36A" w14:textId="77777777" w:rsidR="00CB290A" w:rsidRPr="00CB290A" w:rsidRDefault="00CB290A" w:rsidP="00DD2ADA">
      <w:pPr>
        <w:pStyle w:val="ListParagraph"/>
        <w:numPr>
          <w:ilvl w:val="0"/>
          <w:numId w:val="43"/>
        </w:numPr>
      </w:pPr>
      <w:r w:rsidRPr="00CB290A">
        <w:t>Sought formal help in last 12 months</w:t>
      </w:r>
    </w:p>
    <w:p w14:paraId="4C7CF6E9" w14:textId="77777777" w:rsidR="00CB290A" w:rsidRPr="00CB290A" w:rsidRDefault="00CB290A" w:rsidP="00DD2ADA">
      <w:pPr>
        <w:pStyle w:val="ListParagraph"/>
        <w:numPr>
          <w:ilvl w:val="0"/>
          <w:numId w:val="40"/>
        </w:numPr>
      </w:pPr>
      <w:r w:rsidRPr="00CB290A">
        <w:t>Others</w:t>
      </w:r>
    </w:p>
    <w:p w14:paraId="71191478" w14:textId="77777777" w:rsidR="00CB290A" w:rsidRPr="00CB290A" w:rsidRDefault="00CB290A" w:rsidP="00DD2ADA">
      <w:pPr>
        <w:pStyle w:val="ListParagraph"/>
        <w:numPr>
          <w:ilvl w:val="0"/>
          <w:numId w:val="43"/>
        </w:numPr>
      </w:pPr>
      <w:r w:rsidRPr="00CB290A">
        <w:t>Number of life events (None, 1, 2, 3 or more)</w:t>
      </w:r>
    </w:p>
    <w:p w14:paraId="6A3338E7" w14:textId="77777777" w:rsidR="00CB290A" w:rsidRPr="00CB290A" w:rsidRDefault="00CB290A" w:rsidP="00DD2ADA">
      <w:pPr>
        <w:pStyle w:val="ListParagraph"/>
        <w:numPr>
          <w:ilvl w:val="0"/>
          <w:numId w:val="43"/>
        </w:numPr>
      </w:pPr>
      <w:r w:rsidRPr="00CB290A">
        <w:t>Psychological distress (K-10).</w:t>
      </w:r>
    </w:p>
    <w:p w14:paraId="4A1AD2C1" w14:textId="77777777" w:rsidR="00CB290A" w:rsidRDefault="00CB290A" w:rsidP="0056276D">
      <w:pPr>
        <w:pStyle w:val="RepOther"/>
      </w:pPr>
    </w:p>
    <w:p w14:paraId="021411FB" w14:textId="77777777" w:rsidR="00CB290A" w:rsidRDefault="00CB290A" w:rsidP="0056276D">
      <w:pPr>
        <w:pStyle w:val="RepOther"/>
      </w:pPr>
    </w:p>
    <w:p w14:paraId="570271D2" w14:textId="77777777" w:rsidR="00CB290A" w:rsidRDefault="00CB290A" w:rsidP="0056276D">
      <w:pPr>
        <w:pStyle w:val="RepOther"/>
      </w:pPr>
    </w:p>
    <w:p w14:paraId="13D56281" w14:textId="77777777" w:rsidR="00CB290A" w:rsidRDefault="00CB290A" w:rsidP="0056276D">
      <w:pPr>
        <w:pStyle w:val="RepOther"/>
      </w:pPr>
    </w:p>
    <w:p w14:paraId="7C30B7D7" w14:textId="77777777" w:rsidR="00CB290A" w:rsidRDefault="00CB290A" w:rsidP="0056276D">
      <w:pPr>
        <w:pStyle w:val="RepOther"/>
      </w:pPr>
    </w:p>
    <w:p w14:paraId="7409B028" w14:textId="77777777" w:rsidR="00CB290A" w:rsidRDefault="00CB290A" w:rsidP="0056276D">
      <w:pPr>
        <w:pStyle w:val="RepOther"/>
      </w:pPr>
    </w:p>
    <w:p w14:paraId="32B7F4E1" w14:textId="77777777" w:rsidR="00CB290A" w:rsidRDefault="00CB290A" w:rsidP="0056276D">
      <w:pPr>
        <w:pStyle w:val="RepOther"/>
      </w:pPr>
    </w:p>
    <w:p w14:paraId="563A2970" w14:textId="77777777" w:rsidR="00CB290A" w:rsidRDefault="00CB290A" w:rsidP="0056276D">
      <w:pPr>
        <w:pStyle w:val="RepOther"/>
      </w:pPr>
    </w:p>
    <w:p w14:paraId="10549564" w14:textId="77777777" w:rsidR="0046000D" w:rsidRDefault="0046000D" w:rsidP="00B01A26">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pPr>
      <w:r w:rsidRPr="0056276D">
        <w:br w:type="page"/>
      </w:r>
      <w:bookmarkStart w:id="189" w:name="_Toc504488395"/>
      <w:r>
        <w:t>APPENDIX 2:</w:t>
      </w:r>
      <w:r>
        <w:br/>
      </w:r>
      <w:r w:rsidR="00B01A26" w:rsidRPr="00B01A26">
        <w:rPr>
          <w:caps w:val="0"/>
        </w:rPr>
        <w:t xml:space="preserve">Covariates for descriptive </w:t>
      </w:r>
      <w:r w:rsidR="00A35C59">
        <w:rPr>
          <w:caps w:val="0"/>
        </w:rPr>
        <w:t>analysi</w:t>
      </w:r>
      <w:r w:rsidR="00B01A26" w:rsidRPr="00B01A26">
        <w:rPr>
          <w:caps w:val="0"/>
        </w:rPr>
        <w:t>s</w:t>
      </w:r>
      <w:bookmarkEnd w:id="189"/>
    </w:p>
    <w:p w14:paraId="17F3DFCB" w14:textId="77777777" w:rsidR="0046000D" w:rsidRDefault="0046000D" w:rsidP="0056276D">
      <w:pPr>
        <w:pStyle w:val="RepNormal"/>
        <w:rPr>
          <w:rFonts w:cs="Times New Roman"/>
        </w:rPr>
      </w:pPr>
    </w:p>
    <w:p w14:paraId="01DD26A6" w14:textId="77777777" w:rsidR="00DA4655" w:rsidRPr="00DA4655" w:rsidRDefault="00CD1F83" w:rsidP="00DD2ADA">
      <w:pPr>
        <w:pStyle w:val="RepNormal"/>
        <w:numPr>
          <w:ilvl w:val="0"/>
          <w:numId w:val="44"/>
        </w:numPr>
      </w:pPr>
      <w:r>
        <w:t>Socio</w:t>
      </w:r>
      <w:r w:rsidR="00DA4655" w:rsidRPr="00DA4655">
        <w:t>demographic variables</w:t>
      </w:r>
    </w:p>
    <w:p w14:paraId="1C204EC0" w14:textId="77777777" w:rsidR="00DA4655" w:rsidRPr="00DA4655" w:rsidRDefault="00DA4655" w:rsidP="00DD2ADA">
      <w:pPr>
        <w:pStyle w:val="RepNormal"/>
        <w:numPr>
          <w:ilvl w:val="0"/>
          <w:numId w:val="45"/>
        </w:numPr>
      </w:pPr>
      <w:r w:rsidRPr="00DA4655">
        <w:t>Age group</w:t>
      </w:r>
    </w:p>
    <w:p w14:paraId="1E79E82E" w14:textId="77777777" w:rsidR="00DA4655" w:rsidRPr="00DA4655" w:rsidRDefault="00DA4655" w:rsidP="00DD2ADA">
      <w:pPr>
        <w:pStyle w:val="RepNormal"/>
        <w:numPr>
          <w:ilvl w:val="0"/>
          <w:numId w:val="45"/>
        </w:numPr>
      </w:pPr>
      <w:r w:rsidRPr="00DA4655">
        <w:t>Gender</w:t>
      </w:r>
    </w:p>
    <w:p w14:paraId="45CD01AE" w14:textId="77777777" w:rsidR="00DA4655" w:rsidRPr="00DA4655" w:rsidRDefault="00DA4655" w:rsidP="00DD2ADA">
      <w:pPr>
        <w:pStyle w:val="RepNormal"/>
        <w:numPr>
          <w:ilvl w:val="0"/>
          <w:numId w:val="45"/>
        </w:numPr>
      </w:pPr>
      <w:r w:rsidRPr="00DA4655">
        <w:t>Ethnicity</w:t>
      </w:r>
    </w:p>
    <w:p w14:paraId="64C6494C" w14:textId="77777777" w:rsidR="00DA4655" w:rsidRPr="00DA4655" w:rsidRDefault="00DA4655" w:rsidP="00DD2ADA">
      <w:pPr>
        <w:pStyle w:val="RepNormal"/>
        <w:numPr>
          <w:ilvl w:val="0"/>
          <w:numId w:val="45"/>
        </w:numPr>
      </w:pPr>
      <w:r w:rsidRPr="00DA4655">
        <w:t>Country of birth</w:t>
      </w:r>
      <w:r w:rsidR="00A35C59">
        <w:t xml:space="preserve"> (New Zealand, other)</w:t>
      </w:r>
    </w:p>
    <w:p w14:paraId="25F6E7B1" w14:textId="77777777" w:rsidR="00DA4655" w:rsidRPr="00DA4655" w:rsidRDefault="00DA4655" w:rsidP="00DD2ADA">
      <w:pPr>
        <w:pStyle w:val="RepNormal"/>
        <w:numPr>
          <w:ilvl w:val="0"/>
          <w:numId w:val="45"/>
        </w:numPr>
      </w:pPr>
      <w:r w:rsidRPr="00DA4655">
        <w:t>Arrival in New Zealand</w:t>
      </w:r>
    </w:p>
    <w:p w14:paraId="0C23272D" w14:textId="77777777" w:rsidR="00DA4655" w:rsidRPr="00DA4655" w:rsidRDefault="00DA4655" w:rsidP="00DD2ADA">
      <w:pPr>
        <w:pStyle w:val="RepNormal"/>
        <w:numPr>
          <w:ilvl w:val="0"/>
          <w:numId w:val="45"/>
        </w:numPr>
      </w:pPr>
      <w:r w:rsidRPr="00DA4655">
        <w:t>Educational level (highest qualification)</w:t>
      </w:r>
    </w:p>
    <w:p w14:paraId="3BA2B3D4" w14:textId="77777777" w:rsidR="00DA4655" w:rsidRPr="00DA4655" w:rsidRDefault="00DA4655" w:rsidP="00DD2ADA">
      <w:pPr>
        <w:pStyle w:val="RepNormal"/>
        <w:numPr>
          <w:ilvl w:val="0"/>
          <w:numId w:val="45"/>
        </w:numPr>
      </w:pPr>
      <w:r w:rsidRPr="00DA4655">
        <w:t>Religion</w:t>
      </w:r>
    </w:p>
    <w:p w14:paraId="6BD9949E" w14:textId="77777777" w:rsidR="00DA4655" w:rsidRPr="00DA4655" w:rsidRDefault="00DA4655" w:rsidP="00DD2ADA">
      <w:pPr>
        <w:pStyle w:val="RepNormal"/>
        <w:numPr>
          <w:ilvl w:val="0"/>
          <w:numId w:val="45"/>
        </w:numPr>
      </w:pPr>
      <w:r w:rsidRPr="00DA4655">
        <w:t>Household size</w:t>
      </w:r>
    </w:p>
    <w:p w14:paraId="152771FA" w14:textId="77777777" w:rsidR="00A35C59" w:rsidRPr="00DA4655" w:rsidRDefault="00A35C59" w:rsidP="00DD2ADA">
      <w:pPr>
        <w:pStyle w:val="RepNormal"/>
        <w:numPr>
          <w:ilvl w:val="0"/>
          <w:numId w:val="45"/>
        </w:numPr>
      </w:pPr>
      <w:r w:rsidRPr="00DA4655">
        <w:t>Region (Auckland, Wellington, Christchurch, rest of New Zealand)</w:t>
      </w:r>
    </w:p>
    <w:p w14:paraId="254C51F9" w14:textId="77777777" w:rsidR="00A35C59" w:rsidRPr="00DA4655" w:rsidRDefault="00A35C59" w:rsidP="00DD2ADA">
      <w:pPr>
        <w:pStyle w:val="RepNormal"/>
        <w:numPr>
          <w:ilvl w:val="0"/>
          <w:numId w:val="45"/>
        </w:numPr>
      </w:pPr>
      <w:r w:rsidRPr="00DA4655">
        <w:t>Employment/labour force status</w:t>
      </w:r>
    </w:p>
    <w:p w14:paraId="7BF1823D" w14:textId="77777777" w:rsidR="00DA4655" w:rsidRPr="00DA4655" w:rsidRDefault="00DA4655" w:rsidP="00DD2ADA">
      <w:pPr>
        <w:pStyle w:val="RepNormal"/>
        <w:numPr>
          <w:ilvl w:val="0"/>
          <w:numId w:val="45"/>
        </w:numPr>
      </w:pPr>
      <w:r w:rsidRPr="00DA4655">
        <w:t>Annual personal income</w:t>
      </w:r>
    </w:p>
    <w:p w14:paraId="7B1E549E" w14:textId="77777777" w:rsidR="00DA4655" w:rsidRPr="00DA4655" w:rsidRDefault="00DA4655" w:rsidP="00DD2ADA">
      <w:pPr>
        <w:pStyle w:val="RepNormal"/>
        <w:numPr>
          <w:ilvl w:val="0"/>
          <w:numId w:val="45"/>
        </w:numPr>
      </w:pPr>
      <w:r w:rsidRPr="00DA4655">
        <w:t>Annual household income</w:t>
      </w:r>
    </w:p>
    <w:p w14:paraId="55A13858" w14:textId="77777777" w:rsidR="00DA4655" w:rsidRPr="00DA4655" w:rsidRDefault="00DA4655" w:rsidP="00DD2ADA">
      <w:pPr>
        <w:pStyle w:val="RepNormal"/>
        <w:numPr>
          <w:ilvl w:val="0"/>
          <w:numId w:val="45"/>
        </w:numPr>
      </w:pPr>
      <w:r w:rsidRPr="00DA4655">
        <w:t>NZ Individual Deprivation Index</w:t>
      </w:r>
    </w:p>
    <w:p w14:paraId="24FB670E" w14:textId="77777777" w:rsidR="00DA4655" w:rsidRPr="00DA4655" w:rsidRDefault="00DA4655" w:rsidP="00DD2ADA">
      <w:pPr>
        <w:pStyle w:val="RepNormal"/>
        <w:numPr>
          <w:ilvl w:val="0"/>
          <w:numId w:val="44"/>
        </w:numPr>
      </w:pPr>
      <w:r w:rsidRPr="00DA4655">
        <w:t>Gambling participation</w:t>
      </w:r>
    </w:p>
    <w:p w14:paraId="5BAD4AD1" w14:textId="77777777" w:rsidR="00DA4655" w:rsidRPr="00DA4655" w:rsidRDefault="00DA4655" w:rsidP="00DD2ADA">
      <w:pPr>
        <w:pStyle w:val="RepNormal"/>
        <w:numPr>
          <w:ilvl w:val="0"/>
          <w:numId w:val="46"/>
        </w:numPr>
      </w:pPr>
      <w:r w:rsidRPr="00DA4655">
        <w:t>Number of activities</w:t>
      </w:r>
    </w:p>
    <w:p w14:paraId="221C1FC0" w14:textId="77777777" w:rsidR="00A35C59" w:rsidRPr="00CB290A" w:rsidRDefault="00A35C59" w:rsidP="00DD2ADA">
      <w:pPr>
        <w:pStyle w:val="ListParagraph"/>
        <w:numPr>
          <w:ilvl w:val="0"/>
          <w:numId w:val="46"/>
        </w:numPr>
        <w:jc w:val="both"/>
      </w:pPr>
      <w:r w:rsidRPr="00CB290A">
        <w:t>Pattern of participation (regular continuous, regular non-continuous, infrequent gambling, non-gamblers)</w:t>
      </w:r>
    </w:p>
    <w:p w14:paraId="2BFACAD7" w14:textId="77777777" w:rsidR="00DA4655" w:rsidRPr="00DA4655" w:rsidRDefault="00DA4655" w:rsidP="00DD2ADA">
      <w:pPr>
        <w:pStyle w:val="RepNormal"/>
        <w:numPr>
          <w:ilvl w:val="0"/>
          <w:numId w:val="46"/>
        </w:numPr>
      </w:pPr>
      <w:r w:rsidRPr="00DA4655">
        <w:t>Frequency of gambling</w:t>
      </w:r>
      <w:r w:rsidR="00A35C59">
        <w:t xml:space="preserve"> by gambling activity (listed in Appendix 5)</w:t>
      </w:r>
    </w:p>
    <w:p w14:paraId="4F445586" w14:textId="77777777" w:rsidR="00DA4655" w:rsidRPr="00DA4655" w:rsidRDefault="00A35C59" w:rsidP="00DD2ADA">
      <w:pPr>
        <w:pStyle w:val="RepNormal"/>
        <w:numPr>
          <w:ilvl w:val="0"/>
          <w:numId w:val="46"/>
        </w:numPr>
      </w:pPr>
      <w:r>
        <w:t>G</w:t>
      </w:r>
      <w:r w:rsidR="00DA4655" w:rsidRPr="00DA4655">
        <w:t>ambling</w:t>
      </w:r>
      <w:r>
        <w:t xml:space="preserve"> expenditure by gambling activity (listed in Appendix 5)</w:t>
      </w:r>
    </w:p>
    <w:p w14:paraId="0B91D119" w14:textId="77777777" w:rsidR="00DA4655" w:rsidRPr="00DA4655" w:rsidRDefault="00DA4655" w:rsidP="00DD2ADA">
      <w:pPr>
        <w:pStyle w:val="RepNormal"/>
        <w:numPr>
          <w:ilvl w:val="0"/>
          <w:numId w:val="46"/>
        </w:numPr>
      </w:pPr>
      <w:r w:rsidRPr="00DA4655">
        <w:t>Most preferred activity</w:t>
      </w:r>
    </w:p>
    <w:p w14:paraId="740F5045" w14:textId="77777777" w:rsidR="00A35C59" w:rsidRPr="00DA4655" w:rsidRDefault="00A35C59" w:rsidP="00DD2ADA">
      <w:pPr>
        <w:pStyle w:val="RepNormal"/>
        <w:numPr>
          <w:ilvl w:val="0"/>
          <w:numId w:val="46"/>
        </w:numPr>
      </w:pPr>
      <w:r w:rsidRPr="00DA4655">
        <w:t>Length of time spent gambling on gaming machines in a casino</w:t>
      </w:r>
    </w:p>
    <w:p w14:paraId="0A875D02" w14:textId="77777777" w:rsidR="00A35C59" w:rsidRPr="00DA4655" w:rsidRDefault="00A35C59" w:rsidP="00DD2ADA">
      <w:pPr>
        <w:pStyle w:val="RepNormal"/>
        <w:numPr>
          <w:ilvl w:val="0"/>
          <w:numId w:val="46"/>
        </w:numPr>
      </w:pPr>
      <w:r w:rsidRPr="00DA4655">
        <w:t>Length of time spent gambling on gaming machines in a pub</w:t>
      </w:r>
    </w:p>
    <w:p w14:paraId="0607C59C" w14:textId="77777777" w:rsidR="00A35C59" w:rsidRPr="00DA4655" w:rsidRDefault="00A35C59" w:rsidP="00DD2ADA">
      <w:pPr>
        <w:pStyle w:val="RepNormal"/>
        <w:numPr>
          <w:ilvl w:val="0"/>
          <w:numId w:val="46"/>
        </w:numPr>
      </w:pPr>
      <w:r w:rsidRPr="00DA4655">
        <w:t>Length of time spent gam</w:t>
      </w:r>
      <w:r>
        <w:t xml:space="preserve">bling on gaming machines in a </w:t>
      </w:r>
      <w:r w:rsidRPr="00DA4655">
        <w:t>club</w:t>
      </w:r>
    </w:p>
    <w:p w14:paraId="7334A7C4" w14:textId="77777777" w:rsidR="00A35C59" w:rsidRPr="00DA4655" w:rsidRDefault="00A35C59" w:rsidP="00DD2ADA">
      <w:pPr>
        <w:pStyle w:val="RepNormal"/>
        <w:numPr>
          <w:ilvl w:val="0"/>
          <w:numId w:val="46"/>
        </w:numPr>
      </w:pPr>
      <w:r w:rsidRPr="00DA4655">
        <w:t>Who they are with when gambling</w:t>
      </w:r>
    </w:p>
    <w:p w14:paraId="46150FF3" w14:textId="77777777" w:rsidR="00A35C59" w:rsidRPr="00DA4655" w:rsidRDefault="00A35C59" w:rsidP="00DD2ADA">
      <w:pPr>
        <w:pStyle w:val="RepNormal"/>
        <w:numPr>
          <w:ilvl w:val="0"/>
          <w:numId w:val="46"/>
        </w:numPr>
      </w:pPr>
      <w:r>
        <w:t xml:space="preserve">Gambling not for money </w:t>
      </w:r>
    </w:p>
    <w:p w14:paraId="3111BFF6" w14:textId="77777777" w:rsidR="00DA4655" w:rsidRPr="00DA4655" w:rsidRDefault="00DA4655" w:rsidP="00DD2ADA">
      <w:pPr>
        <w:pStyle w:val="RepNormal"/>
        <w:numPr>
          <w:ilvl w:val="0"/>
          <w:numId w:val="44"/>
        </w:numPr>
      </w:pPr>
      <w:r w:rsidRPr="00DA4655">
        <w:t>Management of gambling/help-seeking behaviour</w:t>
      </w:r>
    </w:p>
    <w:p w14:paraId="10FDFC50" w14:textId="77777777" w:rsidR="00DA4655" w:rsidRPr="00DA4655" w:rsidRDefault="00DA4655" w:rsidP="00DD2ADA">
      <w:pPr>
        <w:pStyle w:val="RepNormal"/>
        <w:numPr>
          <w:ilvl w:val="0"/>
          <w:numId w:val="47"/>
        </w:numPr>
      </w:pPr>
      <w:r w:rsidRPr="00DA4655">
        <w:t>Methods used to stop gambling too much</w:t>
      </w:r>
    </w:p>
    <w:p w14:paraId="7AC54886" w14:textId="77777777" w:rsidR="00DA4655" w:rsidRPr="00DA4655" w:rsidRDefault="00DA4655" w:rsidP="00DD2ADA">
      <w:pPr>
        <w:pStyle w:val="RepNormal"/>
        <w:numPr>
          <w:ilvl w:val="0"/>
          <w:numId w:val="47"/>
        </w:numPr>
      </w:pPr>
      <w:r w:rsidRPr="00DA4655">
        <w:t xml:space="preserve">Sought </w:t>
      </w:r>
      <w:r w:rsidR="00A35C59">
        <w:t xml:space="preserve">formal </w:t>
      </w:r>
      <w:r w:rsidRPr="00DA4655">
        <w:t xml:space="preserve">help </w:t>
      </w:r>
      <w:r w:rsidR="00A35C59">
        <w:t xml:space="preserve">from problem gambling services </w:t>
      </w:r>
      <w:r w:rsidRPr="00DA4655">
        <w:t>in last 12 months</w:t>
      </w:r>
    </w:p>
    <w:p w14:paraId="7D7C371C" w14:textId="77777777" w:rsidR="00DA4655" w:rsidRPr="00DA4655" w:rsidRDefault="00DA4655" w:rsidP="00DD2ADA">
      <w:pPr>
        <w:pStyle w:val="RepNormal"/>
        <w:numPr>
          <w:ilvl w:val="0"/>
          <w:numId w:val="44"/>
        </w:numPr>
      </w:pPr>
      <w:r w:rsidRPr="00DA4655">
        <w:t>Other outcomes</w:t>
      </w:r>
    </w:p>
    <w:p w14:paraId="215B25E2" w14:textId="77777777" w:rsidR="00DA4655" w:rsidRPr="00DA4655" w:rsidRDefault="00DA4655" w:rsidP="00DD2ADA">
      <w:pPr>
        <w:pStyle w:val="RepNormal"/>
        <w:numPr>
          <w:ilvl w:val="0"/>
          <w:numId w:val="48"/>
        </w:numPr>
      </w:pPr>
      <w:r w:rsidRPr="00DA4655">
        <w:t>Number of life events (None, 1, 2, 3 or more)</w:t>
      </w:r>
    </w:p>
    <w:p w14:paraId="40C91A8E" w14:textId="77777777" w:rsidR="00DA4655" w:rsidRPr="00DA4655" w:rsidRDefault="00DA4655" w:rsidP="00DD2ADA">
      <w:pPr>
        <w:pStyle w:val="RepNormal"/>
        <w:numPr>
          <w:ilvl w:val="0"/>
          <w:numId w:val="48"/>
        </w:numPr>
      </w:pPr>
      <w:r w:rsidRPr="00DA4655">
        <w:t>Quality of life (WHOQol-8)</w:t>
      </w:r>
    </w:p>
    <w:p w14:paraId="7E0C900D" w14:textId="77777777" w:rsidR="00DA4655" w:rsidRPr="00DA4655" w:rsidRDefault="00DA4655" w:rsidP="00DD2ADA">
      <w:pPr>
        <w:pStyle w:val="RepNormal"/>
        <w:numPr>
          <w:ilvl w:val="0"/>
          <w:numId w:val="48"/>
        </w:numPr>
      </w:pPr>
      <w:r w:rsidRPr="00DA4655">
        <w:t>Psychological distress (K-10)</w:t>
      </w:r>
    </w:p>
    <w:p w14:paraId="42FF3417" w14:textId="77777777" w:rsidR="00A35C59" w:rsidRDefault="00DA4655" w:rsidP="00DD2ADA">
      <w:pPr>
        <w:pStyle w:val="RepNormal"/>
        <w:numPr>
          <w:ilvl w:val="0"/>
          <w:numId w:val="48"/>
        </w:numPr>
      </w:pPr>
      <w:r w:rsidRPr="00DA4655">
        <w:t>Alcohol (AUDIT-C)</w:t>
      </w:r>
    </w:p>
    <w:p w14:paraId="537E2973" w14:textId="77777777" w:rsidR="00DA4655" w:rsidRPr="00DA4655" w:rsidRDefault="00A35C59" w:rsidP="00DD2ADA">
      <w:pPr>
        <w:pStyle w:val="RepNormal"/>
        <w:numPr>
          <w:ilvl w:val="0"/>
          <w:numId w:val="48"/>
        </w:numPr>
      </w:pPr>
      <w:r>
        <w:t>D</w:t>
      </w:r>
      <w:r w:rsidR="00DA4655" w:rsidRPr="00DA4655">
        <w:t>rug use</w:t>
      </w:r>
    </w:p>
    <w:p w14:paraId="2A090B7A" w14:textId="77777777" w:rsidR="00DA4655" w:rsidRPr="00DA4655" w:rsidRDefault="00DA4655" w:rsidP="00DD2ADA">
      <w:pPr>
        <w:pStyle w:val="RepNormal"/>
        <w:numPr>
          <w:ilvl w:val="0"/>
          <w:numId w:val="48"/>
        </w:numPr>
      </w:pPr>
      <w:r w:rsidRPr="00DA4655">
        <w:t>Self-reported tobacco use.</w:t>
      </w:r>
    </w:p>
    <w:p w14:paraId="380A13F9" w14:textId="77777777" w:rsidR="0046000D" w:rsidRDefault="0046000D" w:rsidP="0056276D">
      <w:pPr>
        <w:pStyle w:val="RepNormal"/>
        <w:rPr>
          <w:rFonts w:cs="Times New Roman"/>
        </w:rPr>
      </w:pPr>
    </w:p>
    <w:p w14:paraId="75AD0A53" w14:textId="77777777" w:rsidR="00BA05A5" w:rsidRDefault="00BA05A5">
      <w:pPr>
        <w:spacing w:after="200" w:line="276" w:lineRule="auto"/>
        <w:rPr>
          <w:rFonts w:eastAsiaTheme="majorEastAsia" w:cstheme="majorBidi"/>
          <w:b/>
          <w:bCs/>
          <w:caps/>
          <w:szCs w:val="28"/>
          <w:lang w:eastAsia="en-US"/>
        </w:rPr>
      </w:pPr>
      <w:r>
        <w:br w:type="page"/>
      </w:r>
    </w:p>
    <w:p w14:paraId="0A720E50" w14:textId="77777777" w:rsidR="00BA05A5" w:rsidRDefault="00BA05A5" w:rsidP="00BA05A5">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pPr>
      <w:bookmarkStart w:id="190" w:name="_Toc504488396"/>
      <w:r>
        <w:t>APPENDIX 3:</w:t>
      </w:r>
      <w:r>
        <w:br/>
      </w:r>
      <w:r w:rsidR="00184C42">
        <w:rPr>
          <w:caps w:val="0"/>
        </w:rPr>
        <w:t>Covariate for gambling risk level descriptive analysis</w:t>
      </w:r>
      <w:bookmarkEnd w:id="190"/>
    </w:p>
    <w:p w14:paraId="549BC5CA" w14:textId="77777777" w:rsidR="00BA05A5" w:rsidRPr="00BA05A5" w:rsidRDefault="00BA05A5" w:rsidP="00BA05A5"/>
    <w:p w14:paraId="76FFAF18" w14:textId="77777777" w:rsidR="00184C42" w:rsidRPr="00DA4655" w:rsidRDefault="00CD1F83" w:rsidP="00DD2ADA">
      <w:pPr>
        <w:pStyle w:val="RepNormal"/>
        <w:numPr>
          <w:ilvl w:val="0"/>
          <w:numId w:val="38"/>
        </w:numPr>
      </w:pPr>
      <w:r>
        <w:t>Socio</w:t>
      </w:r>
      <w:r w:rsidR="00184C42" w:rsidRPr="00DA4655">
        <w:t>demographic variables</w:t>
      </w:r>
    </w:p>
    <w:p w14:paraId="49ED2E52" w14:textId="77777777" w:rsidR="00184C42" w:rsidRPr="00DA4655" w:rsidRDefault="00184C42" w:rsidP="00DD2ADA">
      <w:pPr>
        <w:pStyle w:val="RepNormal"/>
        <w:numPr>
          <w:ilvl w:val="0"/>
          <w:numId w:val="39"/>
        </w:numPr>
      </w:pPr>
      <w:r w:rsidRPr="00DA4655">
        <w:t>Age group</w:t>
      </w:r>
    </w:p>
    <w:p w14:paraId="2B16CA58" w14:textId="77777777" w:rsidR="00184C42" w:rsidRPr="00DA4655" w:rsidRDefault="00184C42" w:rsidP="00DD2ADA">
      <w:pPr>
        <w:pStyle w:val="RepNormal"/>
        <w:numPr>
          <w:ilvl w:val="0"/>
          <w:numId w:val="39"/>
        </w:numPr>
      </w:pPr>
      <w:r w:rsidRPr="00DA4655">
        <w:t>Gender</w:t>
      </w:r>
    </w:p>
    <w:p w14:paraId="245D618B" w14:textId="77777777" w:rsidR="00184C42" w:rsidRPr="00DA4655" w:rsidRDefault="00184C42" w:rsidP="00DD2ADA">
      <w:pPr>
        <w:pStyle w:val="RepNormal"/>
        <w:numPr>
          <w:ilvl w:val="0"/>
          <w:numId w:val="39"/>
        </w:numPr>
      </w:pPr>
      <w:r w:rsidRPr="00DA4655">
        <w:t>Ethnicity</w:t>
      </w:r>
    </w:p>
    <w:p w14:paraId="2D73E797" w14:textId="77777777" w:rsidR="00184C42" w:rsidRPr="00DA4655" w:rsidRDefault="00184C42" w:rsidP="00DD2ADA">
      <w:pPr>
        <w:pStyle w:val="RepNormal"/>
        <w:numPr>
          <w:ilvl w:val="0"/>
          <w:numId w:val="39"/>
        </w:numPr>
      </w:pPr>
      <w:r w:rsidRPr="00DA4655">
        <w:t>Country of birth</w:t>
      </w:r>
      <w:r>
        <w:t xml:space="preserve"> (New Zealand, other)</w:t>
      </w:r>
    </w:p>
    <w:p w14:paraId="52885A61" w14:textId="77777777" w:rsidR="00184C42" w:rsidRPr="00DA4655" w:rsidRDefault="00184C42" w:rsidP="00DD2ADA">
      <w:pPr>
        <w:pStyle w:val="RepNormal"/>
        <w:numPr>
          <w:ilvl w:val="0"/>
          <w:numId w:val="39"/>
        </w:numPr>
      </w:pPr>
      <w:r w:rsidRPr="00DA4655">
        <w:t>Arrival in New Zealand</w:t>
      </w:r>
    </w:p>
    <w:p w14:paraId="540022DD" w14:textId="77777777" w:rsidR="00184C42" w:rsidRPr="00DA4655" w:rsidRDefault="00184C42" w:rsidP="00DD2ADA">
      <w:pPr>
        <w:pStyle w:val="RepNormal"/>
        <w:numPr>
          <w:ilvl w:val="0"/>
          <w:numId w:val="39"/>
        </w:numPr>
      </w:pPr>
      <w:r w:rsidRPr="00DA4655">
        <w:t>Employment/labour force status</w:t>
      </w:r>
    </w:p>
    <w:p w14:paraId="24465A25" w14:textId="77777777" w:rsidR="00184C42" w:rsidRPr="00DA4655" w:rsidRDefault="00184C42" w:rsidP="00DD2ADA">
      <w:pPr>
        <w:pStyle w:val="RepNormal"/>
        <w:numPr>
          <w:ilvl w:val="0"/>
          <w:numId w:val="39"/>
        </w:numPr>
      </w:pPr>
      <w:r w:rsidRPr="00DA4655">
        <w:t>NZ Individual Deprivation Index</w:t>
      </w:r>
    </w:p>
    <w:p w14:paraId="39FCF976" w14:textId="77777777" w:rsidR="00184C42" w:rsidRPr="00DA4655" w:rsidRDefault="00184C42" w:rsidP="00DD2ADA">
      <w:pPr>
        <w:pStyle w:val="RepNormal"/>
        <w:numPr>
          <w:ilvl w:val="0"/>
          <w:numId w:val="38"/>
        </w:numPr>
      </w:pPr>
      <w:r w:rsidRPr="00DA4655">
        <w:t>Gambling participation</w:t>
      </w:r>
    </w:p>
    <w:p w14:paraId="38FAEA4D" w14:textId="77777777" w:rsidR="00184C42" w:rsidRPr="00DA4655" w:rsidRDefault="00184C42" w:rsidP="00DD2ADA">
      <w:pPr>
        <w:pStyle w:val="RepNormal"/>
        <w:numPr>
          <w:ilvl w:val="0"/>
          <w:numId w:val="49"/>
        </w:numPr>
      </w:pPr>
      <w:r w:rsidRPr="00DA4655">
        <w:t>Number of activities</w:t>
      </w:r>
    </w:p>
    <w:p w14:paraId="0CFB5BED" w14:textId="77777777" w:rsidR="00184C42" w:rsidRPr="00CB290A" w:rsidRDefault="00184C42" w:rsidP="00DD2ADA">
      <w:pPr>
        <w:pStyle w:val="ListParagraph"/>
        <w:numPr>
          <w:ilvl w:val="0"/>
          <w:numId w:val="49"/>
        </w:numPr>
        <w:jc w:val="both"/>
      </w:pPr>
      <w:r w:rsidRPr="00CB290A">
        <w:t>Pattern of participation (regular continuous, regular non-continuous, infrequent gambling, non-gamblers)</w:t>
      </w:r>
    </w:p>
    <w:p w14:paraId="22023F4F" w14:textId="77777777" w:rsidR="00184C42" w:rsidRDefault="00184C42" w:rsidP="00DD2ADA">
      <w:pPr>
        <w:pStyle w:val="RepNormal"/>
        <w:numPr>
          <w:ilvl w:val="0"/>
          <w:numId w:val="49"/>
        </w:numPr>
      </w:pPr>
      <w:r w:rsidRPr="00DA4655">
        <w:t>Frequency of gambling</w:t>
      </w:r>
      <w:r>
        <w:t xml:space="preserve"> </w:t>
      </w:r>
    </w:p>
    <w:p w14:paraId="4B43739E" w14:textId="77777777" w:rsidR="00184C42" w:rsidRPr="00DA4655" w:rsidRDefault="00184C42" w:rsidP="00DD2ADA">
      <w:pPr>
        <w:pStyle w:val="RepNormal"/>
        <w:numPr>
          <w:ilvl w:val="0"/>
          <w:numId w:val="49"/>
        </w:numPr>
      </w:pPr>
      <w:r>
        <w:t>G</w:t>
      </w:r>
      <w:r w:rsidRPr="00DA4655">
        <w:t>ambling</w:t>
      </w:r>
      <w:r>
        <w:t xml:space="preserve"> expenditure </w:t>
      </w:r>
    </w:p>
    <w:p w14:paraId="75B75DE5" w14:textId="77777777" w:rsidR="00184C42" w:rsidRPr="00DA4655" w:rsidRDefault="00184C42" w:rsidP="00DD2ADA">
      <w:pPr>
        <w:pStyle w:val="RepNormal"/>
        <w:numPr>
          <w:ilvl w:val="0"/>
          <w:numId w:val="49"/>
        </w:numPr>
      </w:pPr>
      <w:r w:rsidRPr="00DA4655">
        <w:t>Length of time spent gambling on gaming machines in a casino</w:t>
      </w:r>
    </w:p>
    <w:p w14:paraId="169A10CE" w14:textId="77777777" w:rsidR="00184C42" w:rsidRPr="00DA4655" w:rsidRDefault="00184C42" w:rsidP="00DD2ADA">
      <w:pPr>
        <w:pStyle w:val="RepNormal"/>
        <w:numPr>
          <w:ilvl w:val="0"/>
          <w:numId w:val="49"/>
        </w:numPr>
      </w:pPr>
      <w:r w:rsidRPr="00DA4655">
        <w:t>Length of time spent gambling on gaming machines in a pub</w:t>
      </w:r>
    </w:p>
    <w:p w14:paraId="2F8376FE" w14:textId="77777777" w:rsidR="00184C42" w:rsidRPr="00DA4655" w:rsidRDefault="00184C42" w:rsidP="00DD2ADA">
      <w:pPr>
        <w:pStyle w:val="RepNormal"/>
        <w:numPr>
          <w:ilvl w:val="0"/>
          <w:numId w:val="49"/>
        </w:numPr>
      </w:pPr>
      <w:r w:rsidRPr="00DA4655">
        <w:t>Length of time spent gam</w:t>
      </w:r>
      <w:r>
        <w:t xml:space="preserve">bling on gaming machines in a </w:t>
      </w:r>
      <w:r w:rsidRPr="00DA4655">
        <w:t>club</w:t>
      </w:r>
    </w:p>
    <w:p w14:paraId="6178C50A" w14:textId="77777777" w:rsidR="00184C42" w:rsidRPr="00DA4655" w:rsidRDefault="00184C42" w:rsidP="00DD2ADA">
      <w:pPr>
        <w:pStyle w:val="RepNormal"/>
        <w:numPr>
          <w:ilvl w:val="0"/>
          <w:numId w:val="49"/>
        </w:numPr>
      </w:pPr>
      <w:r w:rsidRPr="00DA4655">
        <w:t>Who they are with when gambling</w:t>
      </w:r>
    </w:p>
    <w:p w14:paraId="712BF782" w14:textId="77777777" w:rsidR="00184C42" w:rsidRDefault="00184C42" w:rsidP="00DD2ADA">
      <w:pPr>
        <w:pStyle w:val="RepNormal"/>
        <w:numPr>
          <w:ilvl w:val="0"/>
          <w:numId w:val="49"/>
        </w:numPr>
      </w:pPr>
      <w:r>
        <w:t xml:space="preserve">Gambling not for money </w:t>
      </w:r>
    </w:p>
    <w:p w14:paraId="3EC31F20" w14:textId="77777777" w:rsidR="00184C42" w:rsidRPr="00DA4655" w:rsidRDefault="00184C42" w:rsidP="00DD2ADA">
      <w:pPr>
        <w:pStyle w:val="RepNormal"/>
        <w:numPr>
          <w:ilvl w:val="0"/>
          <w:numId w:val="38"/>
        </w:numPr>
      </w:pPr>
      <w:r w:rsidRPr="00DA4655">
        <w:t>Management of gambling/help-seeking behaviour</w:t>
      </w:r>
    </w:p>
    <w:p w14:paraId="5E8DF3DA" w14:textId="77777777" w:rsidR="00184C42" w:rsidRPr="00DA4655" w:rsidRDefault="00184C42" w:rsidP="00DD2ADA">
      <w:pPr>
        <w:pStyle w:val="RepNormal"/>
        <w:numPr>
          <w:ilvl w:val="0"/>
          <w:numId w:val="50"/>
        </w:numPr>
      </w:pPr>
      <w:r w:rsidRPr="00DA4655">
        <w:t>Methods used to stop gambling too much</w:t>
      </w:r>
    </w:p>
    <w:p w14:paraId="06D0DB40" w14:textId="77777777" w:rsidR="00184C42" w:rsidRPr="00DA4655" w:rsidRDefault="00184C42" w:rsidP="00DD2ADA">
      <w:pPr>
        <w:pStyle w:val="RepNormal"/>
        <w:numPr>
          <w:ilvl w:val="0"/>
          <w:numId w:val="50"/>
        </w:numPr>
      </w:pPr>
      <w:r w:rsidRPr="00DA4655">
        <w:t xml:space="preserve">Sought </w:t>
      </w:r>
      <w:r>
        <w:t xml:space="preserve">formal </w:t>
      </w:r>
      <w:r w:rsidRPr="00DA4655">
        <w:t xml:space="preserve">help </w:t>
      </w:r>
      <w:r>
        <w:t xml:space="preserve">from problem gambling services </w:t>
      </w:r>
      <w:r w:rsidRPr="00DA4655">
        <w:t>in last 12 months</w:t>
      </w:r>
    </w:p>
    <w:p w14:paraId="1577CCB1" w14:textId="77777777" w:rsidR="00184C42" w:rsidRPr="00DA4655" w:rsidRDefault="00184C42" w:rsidP="00DD2ADA">
      <w:pPr>
        <w:pStyle w:val="RepNormal"/>
        <w:numPr>
          <w:ilvl w:val="0"/>
          <w:numId w:val="38"/>
        </w:numPr>
      </w:pPr>
      <w:r w:rsidRPr="00DA4655">
        <w:t>Other outcomes</w:t>
      </w:r>
    </w:p>
    <w:p w14:paraId="2FF45CBF" w14:textId="77777777" w:rsidR="00184C42" w:rsidRPr="00DA4655" w:rsidRDefault="00184C42" w:rsidP="00DD2ADA">
      <w:pPr>
        <w:pStyle w:val="RepNormal"/>
        <w:numPr>
          <w:ilvl w:val="0"/>
          <w:numId w:val="51"/>
        </w:numPr>
      </w:pPr>
      <w:r w:rsidRPr="00DA4655">
        <w:t>Number of life events (None, 1, 2, 3 or more)</w:t>
      </w:r>
    </w:p>
    <w:p w14:paraId="4C96D8F0" w14:textId="77777777" w:rsidR="00184C42" w:rsidRPr="00DA4655" w:rsidRDefault="00184C42" w:rsidP="00DD2ADA">
      <w:pPr>
        <w:pStyle w:val="RepNormal"/>
        <w:numPr>
          <w:ilvl w:val="0"/>
          <w:numId w:val="51"/>
        </w:numPr>
      </w:pPr>
      <w:r w:rsidRPr="00DA4655">
        <w:t>Psychological distress (K-10)</w:t>
      </w:r>
      <w:r>
        <w:t>.</w:t>
      </w:r>
    </w:p>
    <w:p w14:paraId="520D48F3" w14:textId="77777777" w:rsidR="00BA05A5" w:rsidRPr="00BA05A5" w:rsidRDefault="00BA05A5" w:rsidP="00BA05A5"/>
    <w:p w14:paraId="62B48358" w14:textId="77777777" w:rsidR="009B4633" w:rsidRDefault="009B4633">
      <w:pPr>
        <w:spacing w:after="200" w:line="276" w:lineRule="auto"/>
      </w:pPr>
      <w:r>
        <w:br w:type="page"/>
      </w:r>
    </w:p>
    <w:p w14:paraId="421FA47B" w14:textId="77777777" w:rsidR="009B4633" w:rsidRDefault="009B4633" w:rsidP="009B4633">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pPr>
      <w:bookmarkStart w:id="191" w:name="_Toc504488397"/>
      <w:r>
        <w:t>APPENDIX 4:</w:t>
      </w:r>
      <w:r>
        <w:br/>
      </w:r>
      <w:r w:rsidR="00F9783F">
        <w:rPr>
          <w:rFonts w:cs="Times New Roman"/>
          <w:caps w:val="0"/>
        </w:rPr>
        <w:t>Covariates for consideration in the inferential analyses</w:t>
      </w:r>
      <w:bookmarkEnd w:id="191"/>
    </w:p>
    <w:p w14:paraId="52F5D089" w14:textId="77777777" w:rsidR="00BA05A5" w:rsidRPr="00BA05A5" w:rsidRDefault="00BA05A5" w:rsidP="00BA05A5"/>
    <w:p w14:paraId="3B4DE70B" w14:textId="77777777" w:rsidR="00F9783F" w:rsidRPr="00DA4655" w:rsidRDefault="00CD1F83" w:rsidP="00DD2ADA">
      <w:pPr>
        <w:pStyle w:val="RepNormal"/>
        <w:numPr>
          <w:ilvl w:val="0"/>
          <w:numId w:val="52"/>
        </w:numPr>
      </w:pPr>
      <w:r>
        <w:t>Socio</w:t>
      </w:r>
      <w:r w:rsidR="00F9783F" w:rsidRPr="00DA4655">
        <w:t>demographic variables</w:t>
      </w:r>
      <w:r w:rsidR="00F9783F">
        <w:t xml:space="preserve"> (non-time varying)</w:t>
      </w:r>
    </w:p>
    <w:p w14:paraId="36A57194" w14:textId="77777777" w:rsidR="00F9783F" w:rsidRPr="00DA4655" w:rsidRDefault="00F9783F" w:rsidP="00DD2ADA">
      <w:pPr>
        <w:pStyle w:val="RepNormal"/>
        <w:numPr>
          <w:ilvl w:val="0"/>
          <w:numId w:val="53"/>
        </w:numPr>
      </w:pPr>
      <w:r w:rsidRPr="00DA4655">
        <w:t>Age group</w:t>
      </w:r>
      <w:r>
        <w:t xml:space="preserve"> in Wave 1</w:t>
      </w:r>
    </w:p>
    <w:p w14:paraId="040319C7" w14:textId="77777777" w:rsidR="00F9783F" w:rsidRPr="00DA4655" w:rsidRDefault="00F9783F" w:rsidP="00DD2ADA">
      <w:pPr>
        <w:pStyle w:val="RepNormal"/>
        <w:numPr>
          <w:ilvl w:val="0"/>
          <w:numId w:val="53"/>
        </w:numPr>
      </w:pPr>
      <w:r w:rsidRPr="00DA4655">
        <w:t>Gender</w:t>
      </w:r>
    </w:p>
    <w:p w14:paraId="0600A710" w14:textId="77777777" w:rsidR="00F9783F" w:rsidRPr="00DA4655" w:rsidRDefault="00F9783F" w:rsidP="00DD2ADA">
      <w:pPr>
        <w:pStyle w:val="RepNormal"/>
        <w:numPr>
          <w:ilvl w:val="0"/>
          <w:numId w:val="53"/>
        </w:numPr>
      </w:pPr>
      <w:r w:rsidRPr="00DA4655">
        <w:t>Ethnicity</w:t>
      </w:r>
    </w:p>
    <w:p w14:paraId="6215B407" w14:textId="77777777" w:rsidR="00F9783F" w:rsidRPr="00DA4655" w:rsidRDefault="00F9783F" w:rsidP="00DD2ADA">
      <w:pPr>
        <w:pStyle w:val="RepNormal"/>
        <w:numPr>
          <w:ilvl w:val="0"/>
          <w:numId w:val="53"/>
        </w:numPr>
      </w:pPr>
      <w:r w:rsidRPr="00DA4655">
        <w:t>Country of birth</w:t>
      </w:r>
      <w:r>
        <w:t xml:space="preserve"> (New Zealand, other)</w:t>
      </w:r>
    </w:p>
    <w:p w14:paraId="75A8589E" w14:textId="77777777" w:rsidR="00F9783F" w:rsidRDefault="00F9783F" w:rsidP="00DD2ADA">
      <w:pPr>
        <w:pStyle w:val="RepNormal"/>
        <w:numPr>
          <w:ilvl w:val="0"/>
          <w:numId w:val="53"/>
        </w:numPr>
      </w:pPr>
      <w:r w:rsidRPr="00DA4655">
        <w:t>Arrival in New Zealand</w:t>
      </w:r>
    </w:p>
    <w:p w14:paraId="565C8AB3" w14:textId="77777777" w:rsidR="00F9783F" w:rsidRPr="00DA4655" w:rsidRDefault="00CD1F83" w:rsidP="00DD2ADA">
      <w:pPr>
        <w:pStyle w:val="RepNormal"/>
        <w:numPr>
          <w:ilvl w:val="0"/>
          <w:numId w:val="52"/>
        </w:numPr>
      </w:pPr>
      <w:r>
        <w:t>Socio</w:t>
      </w:r>
      <w:r w:rsidR="00BC6B5C" w:rsidRPr="00DA4655">
        <w:t>demographic variables</w:t>
      </w:r>
      <w:r w:rsidR="00BC6B5C">
        <w:t xml:space="preserve"> ( potentiallytime varying)</w:t>
      </w:r>
    </w:p>
    <w:p w14:paraId="3741E50C" w14:textId="77777777" w:rsidR="00F9783F" w:rsidRPr="00DA4655" w:rsidRDefault="00F9783F" w:rsidP="00DD2ADA">
      <w:pPr>
        <w:pStyle w:val="RepNormal"/>
        <w:numPr>
          <w:ilvl w:val="0"/>
          <w:numId w:val="54"/>
        </w:numPr>
      </w:pPr>
      <w:r w:rsidRPr="00DA4655">
        <w:t>Educational level (highest qualification)</w:t>
      </w:r>
    </w:p>
    <w:p w14:paraId="75FCC609" w14:textId="77777777" w:rsidR="00F9783F" w:rsidRPr="00DA4655" w:rsidRDefault="00F9783F" w:rsidP="00DD2ADA">
      <w:pPr>
        <w:pStyle w:val="RepNormal"/>
        <w:numPr>
          <w:ilvl w:val="0"/>
          <w:numId w:val="54"/>
        </w:numPr>
      </w:pPr>
      <w:r w:rsidRPr="00DA4655">
        <w:t>Religion</w:t>
      </w:r>
    </w:p>
    <w:p w14:paraId="7D464ED0" w14:textId="77777777" w:rsidR="00F9783F" w:rsidRPr="00DA4655" w:rsidRDefault="00F9783F" w:rsidP="00DD2ADA">
      <w:pPr>
        <w:pStyle w:val="RepNormal"/>
        <w:numPr>
          <w:ilvl w:val="0"/>
          <w:numId w:val="54"/>
        </w:numPr>
      </w:pPr>
      <w:r w:rsidRPr="00DA4655">
        <w:t>Household size</w:t>
      </w:r>
    </w:p>
    <w:p w14:paraId="0D4A7209" w14:textId="77777777" w:rsidR="00F9783F" w:rsidRPr="00DA4655" w:rsidRDefault="00F9783F" w:rsidP="00DD2ADA">
      <w:pPr>
        <w:pStyle w:val="RepNormal"/>
        <w:numPr>
          <w:ilvl w:val="0"/>
          <w:numId w:val="54"/>
        </w:numPr>
      </w:pPr>
      <w:r w:rsidRPr="00DA4655">
        <w:t>Region (Auckland, Wellington, Christchurch, rest of New Zealand)</w:t>
      </w:r>
    </w:p>
    <w:p w14:paraId="7C05691B" w14:textId="77777777" w:rsidR="00F9783F" w:rsidRPr="00DA4655" w:rsidRDefault="00F9783F" w:rsidP="00DD2ADA">
      <w:pPr>
        <w:pStyle w:val="RepNormal"/>
        <w:numPr>
          <w:ilvl w:val="0"/>
          <w:numId w:val="54"/>
        </w:numPr>
      </w:pPr>
      <w:r w:rsidRPr="00DA4655">
        <w:t>Employment/labour force status</w:t>
      </w:r>
    </w:p>
    <w:p w14:paraId="769E2698" w14:textId="77777777" w:rsidR="00F9783F" w:rsidRPr="00DA4655" w:rsidRDefault="00F9783F" w:rsidP="00DD2ADA">
      <w:pPr>
        <w:pStyle w:val="RepNormal"/>
        <w:numPr>
          <w:ilvl w:val="0"/>
          <w:numId w:val="54"/>
        </w:numPr>
      </w:pPr>
      <w:r w:rsidRPr="00DA4655">
        <w:t>Annual personal income</w:t>
      </w:r>
    </w:p>
    <w:p w14:paraId="2C3B83BD" w14:textId="77777777" w:rsidR="00F9783F" w:rsidRPr="00DA4655" w:rsidRDefault="00F9783F" w:rsidP="00DD2ADA">
      <w:pPr>
        <w:pStyle w:val="RepNormal"/>
        <w:numPr>
          <w:ilvl w:val="0"/>
          <w:numId w:val="54"/>
        </w:numPr>
      </w:pPr>
      <w:r w:rsidRPr="00DA4655">
        <w:t>Annual household income</w:t>
      </w:r>
    </w:p>
    <w:p w14:paraId="0239C082" w14:textId="77777777" w:rsidR="00F9783F" w:rsidRPr="00DA4655" w:rsidRDefault="00F9783F" w:rsidP="00DD2ADA">
      <w:pPr>
        <w:pStyle w:val="RepNormal"/>
        <w:numPr>
          <w:ilvl w:val="0"/>
          <w:numId w:val="54"/>
        </w:numPr>
      </w:pPr>
      <w:r w:rsidRPr="00DA4655">
        <w:t>NZ Individual Deprivation Index</w:t>
      </w:r>
    </w:p>
    <w:p w14:paraId="7C9ADC57" w14:textId="77777777" w:rsidR="00F9783F" w:rsidRPr="00DA4655" w:rsidRDefault="00F9783F" w:rsidP="00DD2ADA">
      <w:pPr>
        <w:pStyle w:val="RepNormal"/>
        <w:numPr>
          <w:ilvl w:val="0"/>
          <w:numId w:val="52"/>
        </w:numPr>
      </w:pPr>
      <w:r w:rsidRPr="00DA4655">
        <w:t>Gambling participation</w:t>
      </w:r>
    </w:p>
    <w:p w14:paraId="5C0400C0" w14:textId="77777777" w:rsidR="00F9783F" w:rsidRPr="00DA4655" w:rsidRDefault="00F9783F" w:rsidP="00DD2ADA">
      <w:pPr>
        <w:pStyle w:val="RepNormal"/>
        <w:numPr>
          <w:ilvl w:val="0"/>
          <w:numId w:val="55"/>
        </w:numPr>
      </w:pPr>
      <w:r w:rsidRPr="00DA4655">
        <w:t>Number of activities</w:t>
      </w:r>
    </w:p>
    <w:p w14:paraId="209D9BFF" w14:textId="77777777" w:rsidR="00F9783F" w:rsidRPr="00CB290A" w:rsidRDefault="00F9783F" w:rsidP="00DD2ADA">
      <w:pPr>
        <w:pStyle w:val="ListParagraph"/>
        <w:numPr>
          <w:ilvl w:val="0"/>
          <w:numId w:val="55"/>
        </w:numPr>
        <w:jc w:val="both"/>
      </w:pPr>
      <w:r w:rsidRPr="00CB290A">
        <w:t>Pattern of participation (regular continuous, regular non-continuous, infrequent gambling, non-gamblers)</w:t>
      </w:r>
    </w:p>
    <w:p w14:paraId="59763BBC" w14:textId="77777777" w:rsidR="00BC6B5C" w:rsidRPr="00DA4655" w:rsidRDefault="00BC6B5C" w:rsidP="00DD2ADA">
      <w:pPr>
        <w:pStyle w:val="RepNormal"/>
        <w:numPr>
          <w:ilvl w:val="0"/>
          <w:numId w:val="55"/>
        </w:numPr>
      </w:pPr>
      <w:r w:rsidRPr="00DA4655">
        <w:t>Most preferred activity</w:t>
      </w:r>
    </w:p>
    <w:p w14:paraId="27DE7AAF" w14:textId="77777777" w:rsidR="00BC6B5C" w:rsidRDefault="00BC6B5C" w:rsidP="00DD2ADA">
      <w:pPr>
        <w:pStyle w:val="RepNormal"/>
        <w:numPr>
          <w:ilvl w:val="0"/>
          <w:numId w:val="55"/>
        </w:numPr>
      </w:pPr>
      <w:r>
        <w:t>Overall f</w:t>
      </w:r>
      <w:r w:rsidR="00F9783F" w:rsidRPr="00DA4655">
        <w:t>requency of gambling</w:t>
      </w:r>
      <w:r w:rsidR="00F9783F">
        <w:t xml:space="preserve"> </w:t>
      </w:r>
    </w:p>
    <w:p w14:paraId="1D1547D2" w14:textId="77777777" w:rsidR="00F9783F" w:rsidRPr="00DA4655" w:rsidRDefault="00BC6B5C" w:rsidP="00DD2ADA">
      <w:pPr>
        <w:pStyle w:val="RepNormal"/>
        <w:numPr>
          <w:ilvl w:val="0"/>
          <w:numId w:val="55"/>
        </w:numPr>
      </w:pPr>
      <w:r>
        <w:t>Overall g</w:t>
      </w:r>
      <w:r w:rsidR="00F9783F" w:rsidRPr="00DA4655">
        <w:t>ambling</w:t>
      </w:r>
      <w:r w:rsidR="00F9783F">
        <w:t xml:space="preserve"> expenditure </w:t>
      </w:r>
    </w:p>
    <w:p w14:paraId="5470F843" w14:textId="77777777" w:rsidR="00BC6B5C" w:rsidRDefault="00BC6B5C" w:rsidP="00DD2ADA">
      <w:pPr>
        <w:pStyle w:val="RepNormal"/>
        <w:numPr>
          <w:ilvl w:val="0"/>
          <w:numId w:val="55"/>
        </w:numPr>
      </w:pPr>
      <w:r>
        <w:t>Annual participation by gambling activity (list in Appendix 5)</w:t>
      </w:r>
    </w:p>
    <w:p w14:paraId="0CF10C4B" w14:textId="77777777" w:rsidR="00BC6B5C" w:rsidRDefault="00BC6B5C" w:rsidP="00DD2ADA">
      <w:pPr>
        <w:pStyle w:val="RepNormal"/>
        <w:numPr>
          <w:ilvl w:val="0"/>
          <w:numId w:val="55"/>
        </w:numPr>
      </w:pPr>
      <w:r>
        <w:t>Monthly participation by gambling activity (list in Appendix 5)</w:t>
      </w:r>
    </w:p>
    <w:p w14:paraId="16714695" w14:textId="77777777" w:rsidR="00F9783F" w:rsidRPr="00DA4655" w:rsidRDefault="00F9783F" w:rsidP="00DD2ADA">
      <w:pPr>
        <w:pStyle w:val="RepNormal"/>
        <w:numPr>
          <w:ilvl w:val="0"/>
          <w:numId w:val="55"/>
        </w:numPr>
      </w:pPr>
      <w:r w:rsidRPr="00DA4655">
        <w:t>Length of time spent gambling on gaming machines in a casino</w:t>
      </w:r>
    </w:p>
    <w:p w14:paraId="12AD717D" w14:textId="77777777" w:rsidR="00F9783F" w:rsidRPr="00DA4655" w:rsidRDefault="00F9783F" w:rsidP="00DD2ADA">
      <w:pPr>
        <w:pStyle w:val="RepNormal"/>
        <w:numPr>
          <w:ilvl w:val="0"/>
          <w:numId w:val="55"/>
        </w:numPr>
      </w:pPr>
      <w:r w:rsidRPr="00DA4655">
        <w:t>Length of time spent gambling on gaming machines in a pub</w:t>
      </w:r>
    </w:p>
    <w:p w14:paraId="22E77418" w14:textId="77777777" w:rsidR="00F9783F" w:rsidRPr="00DA4655" w:rsidRDefault="00F9783F" w:rsidP="00DD2ADA">
      <w:pPr>
        <w:pStyle w:val="RepNormal"/>
        <w:numPr>
          <w:ilvl w:val="0"/>
          <w:numId w:val="55"/>
        </w:numPr>
      </w:pPr>
      <w:r w:rsidRPr="00DA4655">
        <w:t>Length of time spent gam</w:t>
      </w:r>
      <w:r>
        <w:t xml:space="preserve">bling on gaming machines in a </w:t>
      </w:r>
      <w:r w:rsidRPr="00DA4655">
        <w:t>club</w:t>
      </w:r>
    </w:p>
    <w:p w14:paraId="245D9297" w14:textId="77777777" w:rsidR="00F9783F" w:rsidRPr="00DA4655" w:rsidRDefault="00F9783F" w:rsidP="00DD2ADA">
      <w:pPr>
        <w:pStyle w:val="RepNormal"/>
        <w:numPr>
          <w:ilvl w:val="0"/>
          <w:numId w:val="55"/>
        </w:numPr>
      </w:pPr>
      <w:r w:rsidRPr="00DA4655">
        <w:t>Who they are with when gambling</w:t>
      </w:r>
    </w:p>
    <w:p w14:paraId="34CD647A" w14:textId="77777777" w:rsidR="00F9783F" w:rsidRPr="00DA4655" w:rsidRDefault="00F9783F" w:rsidP="00DD2ADA">
      <w:pPr>
        <w:pStyle w:val="RepNormal"/>
        <w:numPr>
          <w:ilvl w:val="0"/>
          <w:numId w:val="55"/>
        </w:numPr>
      </w:pPr>
      <w:r>
        <w:t xml:space="preserve">Gambling not for money </w:t>
      </w:r>
    </w:p>
    <w:p w14:paraId="469469F2" w14:textId="77777777" w:rsidR="00F9783F" w:rsidRPr="00DA4655" w:rsidRDefault="00F9783F" w:rsidP="00DD2ADA">
      <w:pPr>
        <w:pStyle w:val="RepNormal"/>
        <w:numPr>
          <w:ilvl w:val="0"/>
          <w:numId w:val="52"/>
        </w:numPr>
      </w:pPr>
      <w:r w:rsidRPr="00DA4655">
        <w:t>Management of gambling/help-seeking behaviour</w:t>
      </w:r>
    </w:p>
    <w:p w14:paraId="46B149A5" w14:textId="77777777" w:rsidR="00F9783F" w:rsidRPr="00DA4655" w:rsidRDefault="00F9783F" w:rsidP="00DD2ADA">
      <w:pPr>
        <w:pStyle w:val="RepNormal"/>
        <w:numPr>
          <w:ilvl w:val="0"/>
          <w:numId w:val="56"/>
        </w:numPr>
      </w:pPr>
      <w:r w:rsidRPr="00DA4655">
        <w:t>Methods used to stop gambling too much</w:t>
      </w:r>
    </w:p>
    <w:p w14:paraId="1A632BE4" w14:textId="77777777" w:rsidR="00F9783F" w:rsidRPr="00DA4655" w:rsidRDefault="00F9783F" w:rsidP="00DD2ADA">
      <w:pPr>
        <w:pStyle w:val="RepNormal"/>
        <w:numPr>
          <w:ilvl w:val="0"/>
          <w:numId w:val="56"/>
        </w:numPr>
      </w:pPr>
      <w:r w:rsidRPr="00DA4655">
        <w:t xml:space="preserve">Sought </w:t>
      </w:r>
      <w:r>
        <w:t xml:space="preserve">formal </w:t>
      </w:r>
      <w:r w:rsidRPr="00DA4655">
        <w:t xml:space="preserve">help </w:t>
      </w:r>
      <w:r>
        <w:t xml:space="preserve">from problem gambling services </w:t>
      </w:r>
      <w:r w:rsidRPr="00DA4655">
        <w:t>in last 12 months</w:t>
      </w:r>
    </w:p>
    <w:p w14:paraId="69978159" w14:textId="77777777" w:rsidR="00F9783F" w:rsidRPr="00DA4655" w:rsidRDefault="00F9783F" w:rsidP="00DD2ADA">
      <w:pPr>
        <w:pStyle w:val="RepNormal"/>
        <w:numPr>
          <w:ilvl w:val="0"/>
          <w:numId w:val="52"/>
        </w:numPr>
      </w:pPr>
      <w:r w:rsidRPr="00DA4655">
        <w:t>Other outcomes</w:t>
      </w:r>
    </w:p>
    <w:p w14:paraId="744A2405" w14:textId="77777777" w:rsidR="00F9783F" w:rsidRPr="00DA4655" w:rsidRDefault="00F9783F" w:rsidP="00DD2ADA">
      <w:pPr>
        <w:pStyle w:val="RepNormal"/>
        <w:numPr>
          <w:ilvl w:val="0"/>
          <w:numId w:val="57"/>
        </w:numPr>
      </w:pPr>
      <w:r w:rsidRPr="00DA4655">
        <w:t>Number of life events (None, 1, 2, 3 or more)</w:t>
      </w:r>
    </w:p>
    <w:p w14:paraId="5B54DB36" w14:textId="77777777" w:rsidR="00F9783F" w:rsidRPr="00DA4655" w:rsidRDefault="00F9783F" w:rsidP="00DD2ADA">
      <w:pPr>
        <w:pStyle w:val="RepNormal"/>
        <w:numPr>
          <w:ilvl w:val="0"/>
          <w:numId w:val="57"/>
        </w:numPr>
      </w:pPr>
      <w:r w:rsidRPr="00DA4655">
        <w:t>Quality of life (WHOQol-8)</w:t>
      </w:r>
    </w:p>
    <w:p w14:paraId="616A8925" w14:textId="77777777" w:rsidR="00F9783F" w:rsidRPr="00DA4655" w:rsidRDefault="00F9783F" w:rsidP="00DD2ADA">
      <w:pPr>
        <w:pStyle w:val="RepNormal"/>
        <w:numPr>
          <w:ilvl w:val="0"/>
          <w:numId w:val="57"/>
        </w:numPr>
      </w:pPr>
      <w:r w:rsidRPr="00DA4655">
        <w:t>Psychological distress (K-10)</w:t>
      </w:r>
    </w:p>
    <w:p w14:paraId="4F1C4B2C" w14:textId="77777777" w:rsidR="00F9783F" w:rsidRDefault="00F9783F" w:rsidP="00DD2ADA">
      <w:pPr>
        <w:pStyle w:val="RepNormal"/>
        <w:numPr>
          <w:ilvl w:val="0"/>
          <w:numId w:val="57"/>
        </w:numPr>
      </w:pPr>
      <w:r w:rsidRPr="00DA4655">
        <w:t>Alcohol (AUDIT-C)</w:t>
      </w:r>
    </w:p>
    <w:p w14:paraId="0B7CC50F" w14:textId="77777777" w:rsidR="00F9783F" w:rsidRPr="00DA4655" w:rsidRDefault="00F9783F" w:rsidP="00DD2ADA">
      <w:pPr>
        <w:pStyle w:val="RepNormal"/>
        <w:numPr>
          <w:ilvl w:val="0"/>
          <w:numId w:val="57"/>
        </w:numPr>
      </w:pPr>
      <w:r>
        <w:t>D</w:t>
      </w:r>
      <w:r w:rsidRPr="00DA4655">
        <w:t>rug use</w:t>
      </w:r>
    </w:p>
    <w:p w14:paraId="4CA07D68" w14:textId="77777777" w:rsidR="00F9783F" w:rsidRPr="00DA4655" w:rsidRDefault="00F9783F" w:rsidP="00DD2ADA">
      <w:pPr>
        <w:pStyle w:val="RepNormal"/>
        <w:numPr>
          <w:ilvl w:val="0"/>
          <w:numId w:val="57"/>
        </w:numPr>
      </w:pPr>
      <w:r w:rsidRPr="00DA4655">
        <w:t>Self-reported tobacco use.</w:t>
      </w:r>
    </w:p>
    <w:p w14:paraId="43F7D805" w14:textId="77777777" w:rsidR="00BA05A5" w:rsidRPr="00BA05A5" w:rsidRDefault="00BA05A5" w:rsidP="00BA05A5"/>
    <w:p w14:paraId="16271E79" w14:textId="77777777" w:rsidR="00BA05A5" w:rsidRPr="00BA05A5" w:rsidRDefault="00BA05A5" w:rsidP="00BA05A5"/>
    <w:p w14:paraId="75C8B596" w14:textId="77777777" w:rsidR="007943C8" w:rsidRDefault="007943C8">
      <w:pPr>
        <w:spacing w:after="200" w:line="276" w:lineRule="auto"/>
      </w:pPr>
      <w:r>
        <w:br w:type="page"/>
      </w:r>
    </w:p>
    <w:p w14:paraId="2FEB2D16" w14:textId="77777777" w:rsidR="007943C8" w:rsidRDefault="007943C8" w:rsidP="007943C8">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pPr>
      <w:bookmarkStart w:id="192" w:name="_Toc504488398"/>
      <w:r>
        <w:t>APPENDIX 5:</w:t>
      </w:r>
      <w:r>
        <w:br/>
      </w:r>
      <w:r w:rsidR="009F372D">
        <w:rPr>
          <w:rFonts w:cs="Times New Roman"/>
          <w:caps w:val="0"/>
        </w:rPr>
        <w:t>G</w:t>
      </w:r>
      <w:r w:rsidR="001E722E">
        <w:rPr>
          <w:rFonts w:cs="Times New Roman"/>
          <w:caps w:val="0"/>
        </w:rPr>
        <w:t>ambling activities for analysis</w:t>
      </w:r>
      <w:bookmarkEnd w:id="192"/>
    </w:p>
    <w:p w14:paraId="6C2D668D" w14:textId="77777777" w:rsidR="007943C8" w:rsidRPr="00BA05A5" w:rsidRDefault="007943C8" w:rsidP="007943C8"/>
    <w:p w14:paraId="24C42CF4" w14:textId="77777777" w:rsidR="001E722E" w:rsidRDefault="001E722E" w:rsidP="00DD2ADA">
      <w:pPr>
        <w:pStyle w:val="ListParagraph"/>
        <w:numPr>
          <w:ilvl w:val="0"/>
          <w:numId w:val="58"/>
        </w:numPr>
      </w:pPr>
      <w:r>
        <w:t>Card games</w:t>
      </w:r>
    </w:p>
    <w:p w14:paraId="14FD5EB1" w14:textId="77777777" w:rsidR="001E722E" w:rsidRDefault="001E722E" w:rsidP="00DD2ADA">
      <w:pPr>
        <w:pStyle w:val="ListParagraph"/>
        <w:numPr>
          <w:ilvl w:val="0"/>
          <w:numId w:val="58"/>
        </w:numPr>
      </w:pPr>
      <w:r>
        <w:t>Bets with friends/workmates</w:t>
      </w:r>
    </w:p>
    <w:p w14:paraId="57265BCE" w14:textId="77777777" w:rsidR="001E722E" w:rsidRDefault="001E722E" w:rsidP="00DD2ADA">
      <w:pPr>
        <w:pStyle w:val="ListParagraph"/>
        <w:numPr>
          <w:ilvl w:val="0"/>
          <w:numId w:val="58"/>
        </w:numPr>
      </w:pPr>
      <w:r>
        <w:t>Text game or competition</w:t>
      </w:r>
    </w:p>
    <w:p w14:paraId="759CCDD1" w14:textId="77777777" w:rsidR="001E722E" w:rsidRDefault="001E722E" w:rsidP="00DD2ADA">
      <w:pPr>
        <w:pStyle w:val="ListParagraph"/>
        <w:numPr>
          <w:ilvl w:val="0"/>
          <w:numId w:val="58"/>
        </w:numPr>
      </w:pPr>
      <w:r>
        <w:t>Raffle/lottery (New Zealand or overseas)</w:t>
      </w:r>
    </w:p>
    <w:p w14:paraId="1B90BEEB" w14:textId="77777777" w:rsidR="001E722E" w:rsidRDefault="001E722E" w:rsidP="00DD2ADA">
      <w:pPr>
        <w:pStyle w:val="ListParagraph"/>
        <w:numPr>
          <w:ilvl w:val="0"/>
          <w:numId w:val="58"/>
        </w:numPr>
      </w:pPr>
      <w:r>
        <w:t>Lotto</w:t>
      </w:r>
    </w:p>
    <w:p w14:paraId="1AF8F7BE" w14:textId="77777777" w:rsidR="001E722E" w:rsidRDefault="001E722E" w:rsidP="00DD2ADA">
      <w:pPr>
        <w:pStyle w:val="ListParagraph"/>
        <w:numPr>
          <w:ilvl w:val="0"/>
          <w:numId w:val="58"/>
        </w:numPr>
      </w:pPr>
      <w:r>
        <w:t>Keno</w:t>
      </w:r>
    </w:p>
    <w:p w14:paraId="5C44FA9B" w14:textId="77777777" w:rsidR="001E722E" w:rsidRDefault="001E722E" w:rsidP="00DD2ADA">
      <w:pPr>
        <w:pStyle w:val="ListParagraph"/>
        <w:numPr>
          <w:ilvl w:val="0"/>
          <w:numId w:val="58"/>
        </w:numPr>
      </w:pPr>
      <w:r>
        <w:t>Instant Kiwi/other scratch tickets</w:t>
      </w:r>
    </w:p>
    <w:p w14:paraId="5D4EEA31" w14:textId="77777777" w:rsidR="001E722E" w:rsidRDefault="001E722E" w:rsidP="00DD2ADA">
      <w:pPr>
        <w:pStyle w:val="ListParagraph"/>
        <w:numPr>
          <w:ilvl w:val="0"/>
          <w:numId w:val="58"/>
        </w:numPr>
      </w:pPr>
      <w:r>
        <w:t>Housie or bingo</w:t>
      </w:r>
    </w:p>
    <w:p w14:paraId="377B4A7E" w14:textId="77777777" w:rsidR="001E722E" w:rsidRDefault="001E722E" w:rsidP="00DD2ADA">
      <w:pPr>
        <w:pStyle w:val="ListParagraph"/>
        <w:numPr>
          <w:ilvl w:val="0"/>
          <w:numId w:val="58"/>
        </w:numPr>
      </w:pPr>
      <w:r>
        <w:t>Horse/dog race betting</w:t>
      </w:r>
    </w:p>
    <w:p w14:paraId="0FE5A4CF" w14:textId="77777777" w:rsidR="001E722E" w:rsidRDefault="001E722E" w:rsidP="00DD2ADA">
      <w:pPr>
        <w:pStyle w:val="ListParagraph"/>
        <w:numPr>
          <w:ilvl w:val="0"/>
          <w:numId w:val="58"/>
        </w:numPr>
      </w:pPr>
      <w:r>
        <w:t>Sports betting</w:t>
      </w:r>
    </w:p>
    <w:p w14:paraId="77F0554A" w14:textId="77777777" w:rsidR="001E722E" w:rsidRDefault="001E722E" w:rsidP="00DD2ADA">
      <w:pPr>
        <w:pStyle w:val="ListParagraph"/>
        <w:numPr>
          <w:ilvl w:val="0"/>
          <w:numId w:val="58"/>
        </w:numPr>
      </w:pPr>
      <w:r>
        <w:t>Casino table games or EGMS (overseas)</w:t>
      </w:r>
    </w:p>
    <w:p w14:paraId="5A04EBA5" w14:textId="77777777" w:rsidR="001E722E" w:rsidRDefault="001E722E" w:rsidP="00DD2ADA">
      <w:pPr>
        <w:pStyle w:val="ListParagraph"/>
        <w:numPr>
          <w:ilvl w:val="0"/>
          <w:numId w:val="58"/>
        </w:numPr>
      </w:pPr>
      <w:r>
        <w:t>Casino table games (New Zealand)</w:t>
      </w:r>
    </w:p>
    <w:p w14:paraId="09D10B36" w14:textId="77777777" w:rsidR="001E722E" w:rsidRDefault="001E722E" w:rsidP="00DD2ADA">
      <w:pPr>
        <w:pStyle w:val="ListParagraph"/>
        <w:numPr>
          <w:ilvl w:val="0"/>
          <w:numId w:val="58"/>
        </w:numPr>
      </w:pPr>
      <w:r>
        <w:t>Casino EGMs (New Zealand)</w:t>
      </w:r>
    </w:p>
    <w:p w14:paraId="33A7CA2B" w14:textId="77777777" w:rsidR="001E722E" w:rsidRDefault="001E722E" w:rsidP="00DD2ADA">
      <w:pPr>
        <w:pStyle w:val="ListParagraph"/>
        <w:numPr>
          <w:ilvl w:val="0"/>
          <w:numId w:val="58"/>
        </w:numPr>
      </w:pPr>
      <w:r>
        <w:t>Pub EGMs</w:t>
      </w:r>
    </w:p>
    <w:p w14:paraId="4703AC43" w14:textId="77777777" w:rsidR="001E722E" w:rsidRDefault="001E722E" w:rsidP="00DD2ADA">
      <w:pPr>
        <w:pStyle w:val="ListParagraph"/>
        <w:numPr>
          <w:ilvl w:val="0"/>
          <w:numId w:val="58"/>
        </w:numPr>
      </w:pPr>
      <w:r>
        <w:t>Club EGMs</w:t>
      </w:r>
    </w:p>
    <w:p w14:paraId="72F45B9B" w14:textId="77777777" w:rsidR="001E722E" w:rsidRDefault="001E722E" w:rsidP="00DD2ADA">
      <w:pPr>
        <w:pStyle w:val="ListParagraph"/>
        <w:numPr>
          <w:ilvl w:val="0"/>
          <w:numId w:val="58"/>
        </w:numPr>
      </w:pPr>
      <w:r>
        <w:t xml:space="preserve">Short-term speculative investments </w:t>
      </w:r>
    </w:p>
    <w:p w14:paraId="236B3E46" w14:textId="77777777" w:rsidR="001E722E" w:rsidRDefault="001E722E" w:rsidP="001E722E"/>
    <w:p w14:paraId="6440CBBC" w14:textId="77777777" w:rsidR="001E722E" w:rsidRDefault="001E722E" w:rsidP="001E722E">
      <w:r>
        <w:t>Including the following subtotals:</w:t>
      </w:r>
    </w:p>
    <w:p w14:paraId="24D4D001" w14:textId="77777777" w:rsidR="001E722E" w:rsidRDefault="001E722E" w:rsidP="00DD2ADA">
      <w:pPr>
        <w:pStyle w:val="ListParagraph"/>
        <w:numPr>
          <w:ilvl w:val="0"/>
          <w:numId w:val="59"/>
        </w:numPr>
      </w:pPr>
      <w:r>
        <w:t>Casino table games or EGMS (New Zealand)</w:t>
      </w:r>
    </w:p>
    <w:p w14:paraId="133C6EA3" w14:textId="77777777" w:rsidR="001E722E" w:rsidRDefault="001E722E" w:rsidP="00DD2ADA">
      <w:pPr>
        <w:pStyle w:val="ListParagraph"/>
        <w:numPr>
          <w:ilvl w:val="0"/>
          <w:numId w:val="59"/>
        </w:numPr>
      </w:pPr>
      <w:r>
        <w:t>EGM (club + pub)</w:t>
      </w:r>
    </w:p>
    <w:p w14:paraId="106D2681" w14:textId="77777777" w:rsidR="001E722E" w:rsidRDefault="001E722E" w:rsidP="00DD2ADA">
      <w:pPr>
        <w:pStyle w:val="ListParagraph"/>
        <w:numPr>
          <w:ilvl w:val="0"/>
          <w:numId w:val="59"/>
        </w:numPr>
      </w:pPr>
      <w:r>
        <w:t>EGMs overall (New Zealand)</w:t>
      </w:r>
    </w:p>
    <w:p w14:paraId="466ADAAF" w14:textId="77777777" w:rsidR="001E722E" w:rsidRDefault="001E722E" w:rsidP="00DD2ADA">
      <w:pPr>
        <w:pStyle w:val="ListParagraph"/>
        <w:numPr>
          <w:ilvl w:val="0"/>
          <w:numId w:val="59"/>
        </w:numPr>
      </w:pPr>
      <w:r>
        <w:t>New Zealand internet gambling overall</w:t>
      </w:r>
    </w:p>
    <w:p w14:paraId="0C5451C8" w14:textId="77777777" w:rsidR="00E1375F" w:rsidRPr="002F5089" w:rsidRDefault="001E722E" w:rsidP="00DD2ADA">
      <w:pPr>
        <w:pStyle w:val="ListParagraph"/>
        <w:numPr>
          <w:ilvl w:val="0"/>
          <w:numId w:val="59"/>
        </w:numPr>
        <w:rPr>
          <w:rFonts w:eastAsiaTheme="majorEastAsia" w:cstheme="majorBidi"/>
          <w:b/>
          <w:bCs/>
          <w:caps/>
          <w:szCs w:val="28"/>
          <w:lang w:eastAsia="en-US"/>
        </w:rPr>
      </w:pPr>
      <w:r>
        <w:t>Overseas internet gambling overall</w:t>
      </w:r>
    </w:p>
    <w:p w14:paraId="19D20FD8" w14:textId="77777777" w:rsidR="002F5089" w:rsidRDefault="002F5089" w:rsidP="002F5089">
      <w:pPr>
        <w:rPr>
          <w:rFonts w:eastAsiaTheme="majorEastAsia" w:cstheme="majorBidi"/>
          <w:b/>
          <w:bCs/>
          <w:caps/>
          <w:szCs w:val="28"/>
          <w:lang w:eastAsia="en-US"/>
        </w:rPr>
      </w:pPr>
    </w:p>
    <w:p w14:paraId="2AB68F10" w14:textId="77777777" w:rsidR="002F5089" w:rsidRDefault="002F5089">
      <w:pPr>
        <w:spacing w:after="200" w:line="276" w:lineRule="auto"/>
        <w:rPr>
          <w:rFonts w:eastAsiaTheme="majorEastAsia" w:cstheme="majorBidi"/>
          <w:b/>
          <w:bCs/>
          <w:caps/>
          <w:szCs w:val="28"/>
          <w:lang w:eastAsia="en-US"/>
        </w:rPr>
      </w:pPr>
      <w:r>
        <w:rPr>
          <w:rFonts w:eastAsiaTheme="majorEastAsia" w:cstheme="majorBidi"/>
          <w:b/>
          <w:bCs/>
          <w:caps/>
          <w:szCs w:val="28"/>
          <w:lang w:eastAsia="en-US"/>
        </w:rPr>
        <w:br w:type="page"/>
      </w:r>
    </w:p>
    <w:p w14:paraId="389B1821" w14:textId="77777777" w:rsidR="002F5089" w:rsidRDefault="002F5089" w:rsidP="002F5089">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pPr>
      <w:bookmarkStart w:id="193" w:name="_Toc446324569"/>
      <w:bookmarkStart w:id="194" w:name="_Toc504488399"/>
      <w:r>
        <w:t>APPENDIX 6:</w:t>
      </w:r>
      <w:r>
        <w:br/>
      </w:r>
      <w:r w:rsidRPr="002F5089">
        <w:rPr>
          <w:caps w:val="0"/>
        </w:rPr>
        <w:t>Wave 4 attrition from Wave 1 (unweighted numbers)</w:t>
      </w:r>
      <w:bookmarkEnd w:id="193"/>
      <w:bookmarkEnd w:id="194"/>
    </w:p>
    <w:p w14:paraId="30F9701F" w14:textId="77777777" w:rsidR="002F5089" w:rsidRPr="00BA05A5" w:rsidRDefault="002F5089" w:rsidP="002F5089"/>
    <w:tbl>
      <w:tblPr>
        <w:tblW w:w="8931" w:type="dxa"/>
        <w:tblLook w:val="04A0" w:firstRow="1" w:lastRow="0" w:firstColumn="1" w:lastColumn="0" w:noHBand="0" w:noVBand="1"/>
      </w:tblPr>
      <w:tblGrid>
        <w:gridCol w:w="1619"/>
        <w:gridCol w:w="2015"/>
        <w:gridCol w:w="52"/>
        <w:gridCol w:w="625"/>
        <w:gridCol w:w="850"/>
        <w:gridCol w:w="827"/>
        <w:gridCol w:w="827"/>
        <w:gridCol w:w="1131"/>
        <w:gridCol w:w="985"/>
      </w:tblGrid>
      <w:tr w:rsidR="002F5089" w:rsidRPr="00BA05A5" w14:paraId="09C7F905" w14:textId="77777777" w:rsidTr="008D2B52">
        <w:trPr>
          <w:tblHeader/>
        </w:trPr>
        <w:tc>
          <w:tcPr>
            <w:tcW w:w="1619" w:type="dxa"/>
            <w:tcBorders>
              <w:top w:val="single" w:sz="4" w:space="0" w:color="auto"/>
              <w:bottom w:val="single" w:sz="4" w:space="0" w:color="auto"/>
            </w:tcBorders>
            <w:shd w:val="clear" w:color="auto" w:fill="auto"/>
            <w:noWrap/>
            <w:vAlign w:val="bottom"/>
            <w:hideMark/>
          </w:tcPr>
          <w:p w14:paraId="6C4F2FB3" w14:textId="77777777" w:rsidR="002F5089" w:rsidRPr="00BA05A5" w:rsidRDefault="002F5089" w:rsidP="0063775F">
            <w:pPr>
              <w:spacing w:before="20" w:after="20"/>
              <w:rPr>
                <w:b/>
                <w:sz w:val="18"/>
                <w:szCs w:val="18"/>
                <w:lang w:eastAsia="en-NZ"/>
              </w:rPr>
            </w:pPr>
            <w:r w:rsidRPr="00BA05A5">
              <w:rPr>
                <w:b/>
                <w:sz w:val="18"/>
                <w:szCs w:val="18"/>
                <w:lang w:eastAsia="en-NZ"/>
              </w:rPr>
              <w:t>Baseline</w:t>
            </w:r>
            <w:r>
              <w:rPr>
                <w:b/>
                <w:sz w:val="18"/>
                <w:szCs w:val="18"/>
                <w:lang w:eastAsia="en-NZ"/>
              </w:rPr>
              <w:t xml:space="preserve"> v</w:t>
            </w:r>
            <w:r w:rsidRPr="00BA05A5">
              <w:rPr>
                <w:b/>
                <w:sz w:val="18"/>
                <w:szCs w:val="18"/>
                <w:lang w:eastAsia="en-NZ"/>
              </w:rPr>
              <w:t>ariables</w:t>
            </w:r>
          </w:p>
        </w:tc>
        <w:tc>
          <w:tcPr>
            <w:tcW w:w="2015" w:type="dxa"/>
            <w:tcBorders>
              <w:top w:val="single" w:sz="4" w:space="0" w:color="auto"/>
              <w:bottom w:val="single" w:sz="4" w:space="0" w:color="auto"/>
            </w:tcBorders>
            <w:shd w:val="clear" w:color="auto" w:fill="auto"/>
            <w:noWrap/>
            <w:vAlign w:val="bottom"/>
            <w:hideMark/>
          </w:tcPr>
          <w:p w14:paraId="34E5C915" w14:textId="77777777" w:rsidR="002F5089" w:rsidRPr="00BA05A5" w:rsidRDefault="002F5089" w:rsidP="0063775F">
            <w:pPr>
              <w:spacing w:before="20" w:after="20"/>
              <w:rPr>
                <w:b/>
                <w:sz w:val="18"/>
                <w:szCs w:val="18"/>
                <w:lang w:eastAsia="en-NZ"/>
              </w:rPr>
            </w:pPr>
            <w:r w:rsidRPr="00BA05A5">
              <w:rPr>
                <w:b/>
                <w:sz w:val="18"/>
                <w:szCs w:val="18"/>
                <w:lang w:eastAsia="en-NZ"/>
              </w:rPr>
              <w:t>Description</w:t>
            </w:r>
          </w:p>
        </w:tc>
        <w:tc>
          <w:tcPr>
            <w:tcW w:w="0" w:type="auto"/>
            <w:gridSpan w:val="2"/>
            <w:tcBorders>
              <w:top w:val="single" w:sz="4" w:space="0" w:color="auto"/>
              <w:bottom w:val="single" w:sz="4" w:space="0" w:color="auto"/>
            </w:tcBorders>
            <w:shd w:val="clear" w:color="auto" w:fill="auto"/>
            <w:noWrap/>
            <w:vAlign w:val="bottom"/>
            <w:hideMark/>
          </w:tcPr>
          <w:p w14:paraId="6E60098F" w14:textId="77777777" w:rsidR="002F5089" w:rsidRDefault="002F5089" w:rsidP="002F5089">
            <w:pPr>
              <w:spacing w:before="20" w:after="20"/>
              <w:jc w:val="right"/>
              <w:rPr>
                <w:b/>
                <w:color w:val="000000"/>
                <w:sz w:val="18"/>
                <w:szCs w:val="18"/>
                <w:lang w:eastAsia="en-NZ"/>
              </w:rPr>
            </w:pPr>
            <w:r w:rsidRPr="00BA05A5">
              <w:rPr>
                <w:b/>
                <w:color w:val="000000"/>
                <w:sz w:val="18"/>
                <w:szCs w:val="18"/>
                <w:lang w:eastAsia="en-NZ"/>
              </w:rPr>
              <w:t>Wave</w:t>
            </w:r>
          </w:p>
          <w:p w14:paraId="755BB878" w14:textId="77777777" w:rsidR="002F5089" w:rsidRPr="00BA05A5" w:rsidRDefault="002F5089" w:rsidP="002F5089">
            <w:pPr>
              <w:spacing w:before="20" w:after="20"/>
              <w:jc w:val="right"/>
              <w:rPr>
                <w:b/>
                <w:color w:val="000000"/>
                <w:sz w:val="18"/>
                <w:szCs w:val="18"/>
                <w:lang w:eastAsia="en-NZ"/>
              </w:rPr>
            </w:pPr>
            <w:r w:rsidRPr="00BA05A5">
              <w:rPr>
                <w:b/>
                <w:color w:val="000000"/>
                <w:sz w:val="18"/>
                <w:szCs w:val="18"/>
                <w:lang w:eastAsia="en-NZ"/>
              </w:rPr>
              <w:t>1</w:t>
            </w:r>
          </w:p>
        </w:tc>
        <w:tc>
          <w:tcPr>
            <w:tcW w:w="0" w:type="auto"/>
            <w:tcBorders>
              <w:top w:val="single" w:sz="4" w:space="0" w:color="auto"/>
              <w:bottom w:val="single" w:sz="4" w:space="0" w:color="auto"/>
            </w:tcBorders>
            <w:shd w:val="clear" w:color="auto" w:fill="auto"/>
            <w:noWrap/>
            <w:vAlign w:val="bottom"/>
            <w:hideMark/>
          </w:tcPr>
          <w:p w14:paraId="5AC0C7CE" w14:textId="77777777" w:rsidR="002F5089" w:rsidRDefault="002F5089" w:rsidP="002F5089">
            <w:pPr>
              <w:spacing w:before="20" w:after="20"/>
              <w:jc w:val="right"/>
              <w:rPr>
                <w:b/>
                <w:color w:val="000000"/>
                <w:sz w:val="18"/>
                <w:szCs w:val="18"/>
                <w:lang w:eastAsia="en-NZ"/>
              </w:rPr>
            </w:pPr>
            <w:r w:rsidRPr="00BA05A5">
              <w:rPr>
                <w:b/>
                <w:color w:val="000000"/>
                <w:sz w:val="18"/>
                <w:szCs w:val="18"/>
                <w:lang w:eastAsia="en-NZ"/>
              </w:rPr>
              <w:t>Wave</w:t>
            </w:r>
          </w:p>
          <w:p w14:paraId="30BE1F8D" w14:textId="77777777" w:rsidR="002F5089" w:rsidRPr="00BA05A5" w:rsidRDefault="002F5089" w:rsidP="002F5089">
            <w:pPr>
              <w:spacing w:before="20" w:after="20"/>
              <w:jc w:val="right"/>
              <w:rPr>
                <w:b/>
                <w:color w:val="000000"/>
                <w:sz w:val="18"/>
                <w:szCs w:val="18"/>
                <w:lang w:eastAsia="en-NZ"/>
              </w:rPr>
            </w:pPr>
            <w:r w:rsidRPr="00BA05A5">
              <w:rPr>
                <w:b/>
                <w:color w:val="000000"/>
                <w:sz w:val="18"/>
                <w:szCs w:val="18"/>
                <w:lang w:eastAsia="en-NZ"/>
              </w:rPr>
              <w:t>2</w:t>
            </w:r>
          </w:p>
        </w:tc>
        <w:tc>
          <w:tcPr>
            <w:tcW w:w="827" w:type="dxa"/>
            <w:tcBorders>
              <w:top w:val="single" w:sz="4" w:space="0" w:color="auto"/>
              <w:bottom w:val="single" w:sz="4" w:space="0" w:color="auto"/>
            </w:tcBorders>
            <w:vAlign w:val="bottom"/>
          </w:tcPr>
          <w:p w14:paraId="08CD256A" w14:textId="77777777" w:rsidR="002F5089" w:rsidRDefault="002F5089" w:rsidP="002F5089">
            <w:pPr>
              <w:spacing w:before="20" w:after="20"/>
              <w:jc w:val="right"/>
              <w:rPr>
                <w:b/>
                <w:color w:val="000000"/>
                <w:sz w:val="18"/>
                <w:szCs w:val="18"/>
                <w:lang w:eastAsia="en-NZ"/>
              </w:rPr>
            </w:pPr>
            <w:r w:rsidRPr="00BA05A5">
              <w:rPr>
                <w:b/>
                <w:color w:val="000000"/>
                <w:sz w:val="18"/>
                <w:szCs w:val="18"/>
                <w:lang w:eastAsia="en-NZ"/>
              </w:rPr>
              <w:t>Wave</w:t>
            </w:r>
          </w:p>
          <w:p w14:paraId="41210808" w14:textId="77777777" w:rsidR="002F5089" w:rsidRPr="00BA05A5" w:rsidRDefault="002F5089" w:rsidP="002F5089">
            <w:pPr>
              <w:spacing w:before="20" w:after="20"/>
              <w:jc w:val="right"/>
              <w:rPr>
                <w:b/>
                <w:color w:val="000000"/>
                <w:sz w:val="18"/>
                <w:szCs w:val="18"/>
                <w:lang w:eastAsia="en-NZ"/>
              </w:rPr>
            </w:pPr>
            <w:r w:rsidRPr="00BA05A5">
              <w:rPr>
                <w:b/>
                <w:color w:val="000000"/>
                <w:sz w:val="18"/>
                <w:szCs w:val="18"/>
                <w:lang w:eastAsia="en-NZ"/>
              </w:rPr>
              <w:t>3</w:t>
            </w:r>
          </w:p>
        </w:tc>
        <w:tc>
          <w:tcPr>
            <w:tcW w:w="827" w:type="dxa"/>
            <w:tcBorders>
              <w:top w:val="single" w:sz="4" w:space="0" w:color="auto"/>
              <w:bottom w:val="single" w:sz="4" w:space="0" w:color="auto"/>
            </w:tcBorders>
            <w:vAlign w:val="bottom"/>
          </w:tcPr>
          <w:p w14:paraId="2B3E0169" w14:textId="77777777" w:rsidR="002F5089" w:rsidRDefault="002F5089" w:rsidP="002F5089">
            <w:pPr>
              <w:spacing w:before="20" w:after="20"/>
              <w:jc w:val="right"/>
              <w:rPr>
                <w:b/>
                <w:color w:val="000000"/>
                <w:sz w:val="18"/>
                <w:szCs w:val="18"/>
                <w:lang w:eastAsia="en-NZ"/>
              </w:rPr>
            </w:pPr>
            <w:r>
              <w:rPr>
                <w:b/>
                <w:color w:val="000000"/>
                <w:sz w:val="18"/>
                <w:szCs w:val="18"/>
                <w:lang w:eastAsia="en-NZ"/>
              </w:rPr>
              <w:t>Wave</w:t>
            </w:r>
          </w:p>
          <w:p w14:paraId="04C8DF35" w14:textId="77777777" w:rsidR="002F5089" w:rsidRPr="00BA05A5" w:rsidRDefault="002F5089" w:rsidP="002F5089">
            <w:pPr>
              <w:spacing w:before="20" w:after="20"/>
              <w:jc w:val="right"/>
              <w:rPr>
                <w:b/>
                <w:color w:val="000000"/>
                <w:sz w:val="18"/>
                <w:szCs w:val="18"/>
                <w:lang w:eastAsia="en-NZ"/>
              </w:rPr>
            </w:pPr>
            <w:r>
              <w:rPr>
                <w:b/>
                <w:color w:val="000000"/>
                <w:sz w:val="18"/>
                <w:szCs w:val="18"/>
                <w:lang w:eastAsia="en-NZ"/>
              </w:rPr>
              <w:t>4</w:t>
            </w:r>
          </w:p>
        </w:tc>
        <w:tc>
          <w:tcPr>
            <w:tcW w:w="1131" w:type="dxa"/>
            <w:tcBorders>
              <w:top w:val="single" w:sz="4" w:space="0" w:color="auto"/>
              <w:bottom w:val="single" w:sz="4" w:space="0" w:color="auto"/>
            </w:tcBorders>
            <w:shd w:val="clear" w:color="auto" w:fill="auto"/>
            <w:noWrap/>
            <w:vAlign w:val="bottom"/>
            <w:hideMark/>
          </w:tcPr>
          <w:p w14:paraId="2927A15D" w14:textId="77777777" w:rsidR="002F5089" w:rsidRPr="00BA05A5" w:rsidRDefault="002F5089" w:rsidP="0063775F">
            <w:pPr>
              <w:spacing w:before="20" w:after="20"/>
              <w:jc w:val="right"/>
              <w:rPr>
                <w:b/>
                <w:color w:val="000000"/>
                <w:sz w:val="18"/>
                <w:szCs w:val="18"/>
                <w:lang w:eastAsia="en-NZ"/>
              </w:rPr>
            </w:pPr>
            <w:r w:rsidRPr="00BA05A5">
              <w:rPr>
                <w:b/>
                <w:color w:val="000000"/>
                <w:sz w:val="18"/>
                <w:szCs w:val="18"/>
                <w:lang w:eastAsia="en-NZ"/>
              </w:rPr>
              <w:t>% Retained</w:t>
            </w:r>
          </w:p>
          <w:p w14:paraId="70662D98" w14:textId="77777777" w:rsidR="002F5089" w:rsidRPr="00BA05A5" w:rsidRDefault="002F5089" w:rsidP="0063775F">
            <w:pPr>
              <w:spacing w:before="20" w:after="20"/>
              <w:jc w:val="right"/>
              <w:rPr>
                <w:b/>
                <w:color w:val="000000"/>
                <w:sz w:val="18"/>
                <w:szCs w:val="18"/>
                <w:lang w:eastAsia="en-NZ"/>
              </w:rPr>
            </w:pPr>
            <w:r w:rsidRPr="00BA05A5">
              <w:rPr>
                <w:b/>
                <w:color w:val="000000"/>
                <w:sz w:val="18"/>
                <w:szCs w:val="18"/>
                <w:lang w:eastAsia="en-NZ"/>
              </w:rPr>
              <w:t>(Wave 1-</w:t>
            </w:r>
            <w:r>
              <w:rPr>
                <w:b/>
                <w:color w:val="000000"/>
                <w:sz w:val="18"/>
                <w:szCs w:val="18"/>
                <w:lang w:eastAsia="en-NZ"/>
              </w:rPr>
              <w:t>4</w:t>
            </w:r>
            <w:r w:rsidRPr="00BA05A5">
              <w:rPr>
                <w:b/>
                <w:color w:val="000000"/>
                <w:sz w:val="18"/>
                <w:szCs w:val="18"/>
                <w:lang w:eastAsia="en-NZ"/>
              </w:rPr>
              <w:t>)</w:t>
            </w:r>
          </w:p>
        </w:tc>
        <w:tc>
          <w:tcPr>
            <w:tcW w:w="985" w:type="dxa"/>
            <w:tcBorders>
              <w:top w:val="single" w:sz="4" w:space="0" w:color="auto"/>
              <w:bottom w:val="single" w:sz="4" w:space="0" w:color="auto"/>
            </w:tcBorders>
            <w:shd w:val="clear" w:color="auto" w:fill="auto"/>
            <w:noWrap/>
            <w:vAlign w:val="bottom"/>
            <w:hideMark/>
          </w:tcPr>
          <w:p w14:paraId="1AF024FF" w14:textId="77777777" w:rsidR="002F5089" w:rsidRPr="00BA05A5" w:rsidRDefault="002F5089" w:rsidP="0063775F">
            <w:pPr>
              <w:spacing w:before="20" w:after="20"/>
              <w:jc w:val="right"/>
              <w:rPr>
                <w:b/>
                <w:color w:val="000000"/>
                <w:sz w:val="18"/>
                <w:szCs w:val="18"/>
                <w:lang w:eastAsia="en-NZ"/>
              </w:rPr>
            </w:pPr>
            <w:r w:rsidRPr="00BA05A5">
              <w:rPr>
                <w:b/>
                <w:color w:val="000000"/>
                <w:sz w:val="18"/>
                <w:szCs w:val="18"/>
                <w:lang w:eastAsia="en-NZ"/>
              </w:rPr>
              <w:t>p-value</w:t>
            </w:r>
            <w:r w:rsidRPr="00BA05A5">
              <w:rPr>
                <w:b/>
                <w:color w:val="000000"/>
                <w:sz w:val="18"/>
                <w:szCs w:val="18"/>
                <w:vertAlign w:val="superscript"/>
                <w:lang w:eastAsia="en-NZ"/>
              </w:rPr>
              <w:t>#</w:t>
            </w:r>
          </w:p>
        </w:tc>
      </w:tr>
      <w:tr w:rsidR="002F5089" w:rsidRPr="00BA05A5" w14:paraId="23435083" w14:textId="77777777" w:rsidTr="008D2B52">
        <w:tc>
          <w:tcPr>
            <w:tcW w:w="1619" w:type="dxa"/>
            <w:tcBorders>
              <w:top w:val="single" w:sz="4" w:space="0" w:color="auto"/>
            </w:tcBorders>
            <w:shd w:val="clear" w:color="auto" w:fill="auto"/>
            <w:noWrap/>
            <w:vAlign w:val="center"/>
            <w:hideMark/>
          </w:tcPr>
          <w:p w14:paraId="57A8F900"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Gender</w:t>
            </w:r>
          </w:p>
        </w:tc>
        <w:tc>
          <w:tcPr>
            <w:tcW w:w="2015" w:type="dxa"/>
            <w:tcBorders>
              <w:top w:val="single" w:sz="4" w:space="0" w:color="auto"/>
            </w:tcBorders>
            <w:shd w:val="clear" w:color="auto" w:fill="auto"/>
            <w:noWrap/>
            <w:vAlign w:val="center"/>
            <w:hideMark/>
          </w:tcPr>
          <w:p w14:paraId="08655A15"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Male</w:t>
            </w:r>
          </w:p>
        </w:tc>
        <w:tc>
          <w:tcPr>
            <w:tcW w:w="0" w:type="auto"/>
            <w:gridSpan w:val="2"/>
            <w:tcBorders>
              <w:top w:val="single" w:sz="4" w:space="0" w:color="auto"/>
            </w:tcBorders>
            <w:shd w:val="clear" w:color="auto" w:fill="auto"/>
            <w:noWrap/>
            <w:vAlign w:val="center"/>
            <w:hideMark/>
          </w:tcPr>
          <w:p w14:paraId="333D8C61" w14:textId="77777777" w:rsidR="002F5089" w:rsidRPr="00BA05A5" w:rsidRDefault="002F5089" w:rsidP="002F5089">
            <w:pPr>
              <w:keepNext/>
              <w:adjustRightInd w:val="0"/>
              <w:jc w:val="right"/>
              <w:rPr>
                <w:color w:val="000000"/>
                <w:sz w:val="18"/>
                <w:szCs w:val="18"/>
              </w:rPr>
            </w:pPr>
            <w:r w:rsidRPr="00BA05A5">
              <w:rPr>
                <w:color w:val="000000"/>
                <w:sz w:val="18"/>
                <w:szCs w:val="18"/>
              </w:rPr>
              <w:t>2642</w:t>
            </w:r>
          </w:p>
        </w:tc>
        <w:tc>
          <w:tcPr>
            <w:tcW w:w="0" w:type="auto"/>
            <w:tcBorders>
              <w:top w:val="single" w:sz="4" w:space="0" w:color="auto"/>
            </w:tcBorders>
            <w:shd w:val="clear" w:color="auto" w:fill="auto"/>
            <w:noWrap/>
            <w:vAlign w:val="center"/>
            <w:hideMark/>
          </w:tcPr>
          <w:p w14:paraId="5B3F3A48" w14:textId="77777777" w:rsidR="002F5089" w:rsidRPr="00BA05A5" w:rsidRDefault="002F5089" w:rsidP="002F5089">
            <w:pPr>
              <w:keepNext/>
              <w:adjustRightInd w:val="0"/>
              <w:jc w:val="right"/>
              <w:rPr>
                <w:color w:val="000000"/>
                <w:sz w:val="18"/>
                <w:szCs w:val="18"/>
              </w:rPr>
            </w:pPr>
            <w:r w:rsidRPr="00BA05A5">
              <w:rPr>
                <w:color w:val="000000"/>
                <w:sz w:val="18"/>
                <w:szCs w:val="18"/>
              </w:rPr>
              <w:t>1603</w:t>
            </w:r>
          </w:p>
        </w:tc>
        <w:tc>
          <w:tcPr>
            <w:tcW w:w="827" w:type="dxa"/>
            <w:tcBorders>
              <w:top w:val="single" w:sz="4" w:space="0" w:color="auto"/>
            </w:tcBorders>
            <w:vAlign w:val="center"/>
          </w:tcPr>
          <w:p w14:paraId="23ABBC37" w14:textId="77777777" w:rsidR="002F5089" w:rsidRPr="00BA05A5" w:rsidRDefault="002F5089" w:rsidP="002F5089">
            <w:pPr>
              <w:keepNext/>
              <w:adjustRightInd w:val="0"/>
              <w:jc w:val="right"/>
              <w:rPr>
                <w:color w:val="000000"/>
                <w:sz w:val="18"/>
                <w:szCs w:val="18"/>
              </w:rPr>
            </w:pPr>
            <w:r w:rsidRPr="00BA05A5">
              <w:rPr>
                <w:color w:val="000000"/>
                <w:sz w:val="18"/>
                <w:szCs w:val="18"/>
              </w:rPr>
              <w:t>1316</w:t>
            </w:r>
          </w:p>
        </w:tc>
        <w:tc>
          <w:tcPr>
            <w:tcW w:w="827" w:type="dxa"/>
            <w:tcBorders>
              <w:top w:val="single" w:sz="4" w:space="0" w:color="auto"/>
            </w:tcBorders>
            <w:vAlign w:val="center"/>
          </w:tcPr>
          <w:p w14:paraId="0E605E94" w14:textId="77777777" w:rsidR="002F5089" w:rsidRPr="00AF0BB2" w:rsidRDefault="002F5089" w:rsidP="002F5089">
            <w:pPr>
              <w:jc w:val="right"/>
              <w:rPr>
                <w:color w:val="000000"/>
                <w:sz w:val="18"/>
                <w:szCs w:val="18"/>
                <w:lang w:eastAsia="en-NZ"/>
              </w:rPr>
            </w:pPr>
            <w:r w:rsidRPr="00AF0BB2">
              <w:rPr>
                <w:color w:val="000000"/>
                <w:sz w:val="18"/>
                <w:szCs w:val="18"/>
              </w:rPr>
              <w:t>1170</w:t>
            </w:r>
          </w:p>
        </w:tc>
        <w:tc>
          <w:tcPr>
            <w:tcW w:w="1131" w:type="dxa"/>
            <w:tcBorders>
              <w:top w:val="single" w:sz="4" w:space="0" w:color="auto"/>
            </w:tcBorders>
            <w:shd w:val="clear" w:color="auto" w:fill="auto"/>
            <w:noWrap/>
            <w:vAlign w:val="center"/>
          </w:tcPr>
          <w:p w14:paraId="22190A04" w14:textId="77777777" w:rsidR="002F5089" w:rsidRPr="00AF0BB2" w:rsidRDefault="002F5089" w:rsidP="002F5089">
            <w:pPr>
              <w:jc w:val="right"/>
              <w:rPr>
                <w:color w:val="000000"/>
                <w:sz w:val="18"/>
                <w:szCs w:val="18"/>
                <w:lang w:eastAsia="en-NZ"/>
              </w:rPr>
            </w:pPr>
            <w:r>
              <w:rPr>
                <w:color w:val="000000"/>
                <w:sz w:val="18"/>
                <w:szCs w:val="18"/>
              </w:rPr>
              <w:t>44</w:t>
            </w:r>
          </w:p>
        </w:tc>
        <w:tc>
          <w:tcPr>
            <w:tcW w:w="985" w:type="dxa"/>
            <w:tcBorders>
              <w:top w:val="single" w:sz="4" w:space="0" w:color="auto"/>
            </w:tcBorders>
            <w:shd w:val="clear" w:color="auto" w:fill="auto"/>
            <w:noWrap/>
            <w:vAlign w:val="center"/>
            <w:hideMark/>
          </w:tcPr>
          <w:p w14:paraId="35A20269" w14:textId="77777777" w:rsidR="002F5089" w:rsidRPr="00AF0BB2" w:rsidRDefault="002F5089" w:rsidP="002F5089">
            <w:pPr>
              <w:jc w:val="right"/>
              <w:rPr>
                <w:color w:val="000000"/>
                <w:sz w:val="18"/>
                <w:szCs w:val="18"/>
                <w:lang w:eastAsia="en-NZ"/>
              </w:rPr>
            </w:pPr>
          </w:p>
        </w:tc>
      </w:tr>
      <w:tr w:rsidR="002F5089" w:rsidRPr="00BA05A5" w14:paraId="6E9248C9" w14:textId="77777777" w:rsidTr="008D2B52">
        <w:tc>
          <w:tcPr>
            <w:tcW w:w="1619" w:type="dxa"/>
            <w:shd w:val="clear" w:color="auto" w:fill="auto"/>
            <w:noWrap/>
            <w:vAlign w:val="center"/>
            <w:hideMark/>
          </w:tcPr>
          <w:p w14:paraId="68746750"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54AC4AF8" w14:textId="77777777" w:rsidR="002F5089" w:rsidRPr="00BA05A5" w:rsidRDefault="002F5089" w:rsidP="0063775F">
            <w:pPr>
              <w:spacing w:before="20" w:after="60"/>
              <w:rPr>
                <w:color w:val="000000"/>
                <w:sz w:val="18"/>
                <w:szCs w:val="18"/>
                <w:lang w:eastAsia="en-NZ"/>
              </w:rPr>
            </w:pPr>
            <w:r w:rsidRPr="00BA05A5">
              <w:rPr>
                <w:color w:val="000000"/>
                <w:sz w:val="18"/>
                <w:szCs w:val="18"/>
                <w:lang w:eastAsia="en-NZ"/>
              </w:rPr>
              <w:t>Female</w:t>
            </w:r>
          </w:p>
        </w:tc>
        <w:tc>
          <w:tcPr>
            <w:tcW w:w="0" w:type="auto"/>
            <w:gridSpan w:val="2"/>
            <w:shd w:val="clear" w:color="auto" w:fill="auto"/>
            <w:noWrap/>
            <w:vAlign w:val="center"/>
            <w:hideMark/>
          </w:tcPr>
          <w:p w14:paraId="70C4DCF0" w14:textId="77777777" w:rsidR="002F5089" w:rsidRPr="00BA05A5" w:rsidRDefault="002F5089" w:rsidP="002F5089">
            <w:pPr>
              <w:adjustRightInd w:val="0"/>
              <w:jc w:val="right"/>
              <w:rPr>
                <w:color w:val="000000"/>
                <w:sz w:val="18"/>
                <w:szCs w:val="18"/>
              </w:rPr>
            </w:pPr>
            <w:r w:rsidRPr="00BA05A5">
              <w:rPr>
                <w:color w:val="000000"/>
                <w:sz w:val="18"/>
                <w:szCs w:val="18"/>
              </w:rPr>
              <w:t>3609</w:t>
            </w:r>
          </w:p>
        </w:tc>
        <w:tc>
          <w:tcPr>
            <w:tcW w:w="0" w:type="auto"/>
            <w:shd w:val="clear" w:color="auto" w:fill="auto"/>
            <w:noWrap/>
            <w:vAlign w:val="center"/>
            <w:hideMark/>
          </w:tcPr>
          <w:p w14:paraId="4B5CE304" w14:textId="77777777" w:rsidR="002F5089" w:rsidRPr="00BA05A5" w:rsidRDefault="002F5089" w:rsidP="002F5089">
            <w:pPr>
              <w:adjustRightInd w:val="0"/>
              <w:jc w:val="right"/>
              <w:rPr>
                <w:color w:val="000000"/>
                <w:sz w:val="18"/>
                <w:szCs w:val="18"/>
              </w:rPr>
            </w:pPr>
            <w:r w:rsidRPr="00BA05A5">
              <w:rPr>
                <w:color w:val="000000"/>
                <w:sz w:val="18"/>
                <w:szCs w:val="18"/>
              </w:rPr>
              <w:t>2142</w:t>
            </w:r>
          </w:p>
        </w:tc>
        <w:tc>
          <w:tcPr>
            <w:tcW w:w="827" w:type="dxa"/>
            <w:vAlign w:val="center"/>
          </w:tcPr>
          <w:p w14:paraId="457DE5CC" w14:textId="77777777" w:rsidR="002F5089" w:rsidRPr="00BA05A5" w:rsidRDefault="002F5089" w:rsidP="002F5089">
            <w:pPr>
              <w:adjustRightInd w:val="0"/>
              <w:jc w:val="right"/>
              <w:rPr>
                <w:color w:val="000000"/>
                <w:sz w:val="18"/>
                <w:szCs w:val="18"/>
              </w:rPr>
            </w:pPr>
            <w:r w:rsidRPr="00BA05A5">
              <w:rPr>
                <w:color w:val="000000"/>
                <w:sz w:val="18"/>
                <w:szCs w:val="18"/>
              </w:rPr>
              <w:t>1799</w:t>
            </w:r>
          </w:p>
        </w:tc>
        <w:tc>
          <w:tcPr>
            <w:tcW w:w="827" w:type="dxa"/>
            <w:vAlign w:val="center"/>
          </w:tcPr>
          <w:p w14:paraId="09E598AE" w14:textId="77777777" w:rsidR="002F5089" w:rsidRPr="00AF0BB2" w:rsidRDefault="002F5089" w:rsidP="002F5089">
            <w:pPr>
              <w:jc w:val="right"/>
              <w:rPr>
                <w:color w:val="000000"/>
                <w:sz w:val="18"/>
                <w:szCs w:val="18"/>
              </w:rPr>
            </w:pPr>
            <w:r w:rsidRPr="00AF0BB2">
              <w:rPr>
                <w:color w:val="000000"/>
                <w:sz w:val="18"/>
                <w:szCs w:val="18"/>
              </w:rPr>
              <w:t>1600</w:t>
            </w:r>
          </w:p>
        </w:tc>
        <w:tc>
          <w:tcPr>
            <w:tcW w:w="1131" w:type="dxa"/>
            <w:shd w:val="clear" w:color="auto" w:fill="auto"/>
            <w:noWrap/>
            <w:vAlign w:val="center"/>
          </w:tcPr>
          <w:p w14:paraId="481F0F52" w14:textId="77777777" w:rsidR="002F5089" w:rsidRPr="00AF0BB2" w:rsidRDefault="002F5089" w:rsidP="002F5089">
            <w:pPr>
              <w:jc w:val="right"/>
              <w:rPr>
                <w:color w:val="000000"/>
                <w:sz w:val="18"/>
                <w:szCs w:val="18"/>
              </w:rPr>
            </w:pPr>
            <w:r>
              <w:rPr>
                <w:color w:val="000000"/>
                <w:sz w:val="18"/>
                <w:szCs w:val="18"/>
              </w:rPr>
              <w:t>44</w:t>
            </w:r>
          </w:p>
        </w:tc>
        <w:tc>
          <w:tcPr>
            <w:tcW w:w="985" w:type="dxa"/>
            <w:shd w:val="clear" w:color="auto" w:fill="auto"/>
            <w:noWrap/>
            <w:vAlign w:val="center"/>
          </w:tcPr>
          <w:p w14:paraId="6A9B9AE6" w14:textId="77777777" w:rsidR="002F5089" w:rsidRPr="00AF0BB2" w:rsidRDefault="002F5089" w:rsidP="002F5089">
            <w:pPr>
              <w:jc w:val="right"/>
              <w:rPr>
                <w:color w:val="000000"/>
                <w:sz w:val="18"/>
                <w:szCs w:val="18"/>
                <w:lang w:eastAsia="en-NZ"/>
              </w:rPr>
            </w:pPr>
            <w:r w:rsidRPr="00AF0BB2">
              <w:rPr>
                <w:color w:val="000000"/>
                <w:sz w:val="18"/>
                <w:szCs w:val="18"/>
                <w:lang w:eastAsia="en-NZ"/>
              </w:rPr>
              <w:t>0.97</w:t>
            </w:r>
          </w:p>
        </w:tc>
      </w:tr>
      <w:tr w:rsidR="002F5089" w:rsidRPr="00BA05A5" w14:paraId="25EE5FE8" w14:textId="77777777" w:rsidTr="008D2B52">
        <w:tc>
          <w:tcPr>
            <w:tcW w:w="1619" w:type="dxa"/>
            <w:shd w:val="clear" w:color="auto" w:fill="auto"/>
            <w:noWrap/>
            <w:vAlign w:val="center"/>
            <w:hideMark/>
          </w:tcPr>
          <w:p w14:paraId="7CFF420C"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Age group (years)</w:t>
            </w:r>
          </w:p>
        </w:tc>
        <w:tc>
          <w:tcPr>
            <w:tcW w:w="2015" w:type="dxa"/>
            <w:shd w:val="clear" w:color="auto" w:fill="auto"/>
            <w:noWrap/>
            <w:vAlign w:val="center"/>
            <w:hideMark/>
          </w:tcPr>
          <w:p w14:paraId="6795D073"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18 - 24</w:t>
            </w:r>
          </w:p>
        </w:tc>
        <w:tc>
          <w:tcPr>
            <w:tcW w:w="0" w:type="auto"/>
            <w:gridSpan w:val="2"/>
            <w:shd w:val="clear" w:color="auto" w:fill="auto"/>
            <w:noWrap/>
            <w:vAlign w:val="center"/>
            <w:hideMark/>
          </w:tcPr>
          <w:p w14:paraId="796AC2FC" w14:textId="77777777" w:rsidR="002F5089" w:rsidRPr="00BA05A5" w:rsidRDefault="002F5089" w:rsidP="002F5089">
            <w:pPr>
              <w:adjustRightInd w:val="0"/>
              <w:jc w:val="right"/>
              <w:rPr>
                <w:color w:val="000000"/>
                <w:sz w:val="18"/>
                <w:szCs w:val="18"/>
              </w:rPr>
            </w:pPr>
            <w:r w:rsidRPr="00BA05A5">
              <w:rPr>
                <w:color w:val="000000"/>
                <w:sz w:val="18"/>
                <w:szCs w:val="18"/>
              </w:rPr>
              <w:t>571</w:t>
            </w:r>
          </w:p>
        </w:tc>
        <w:tc>
          <w:tcPr>
            <w:tcW w:w="0" w:type="auto"/>
            <w:shd w:val="clear" w:color="auto" w:fill="auto"/>
            <w:noWrap/>
            <w:vAlign w:val="center"/>
            <w:hideMark/>
          </w:tcPr>
          <w:p w14:paraId="0FC73D61" w14:textId="77777777" w:rsidR="002F5089" w:rsidRPr="00BA05A5" w:rsidRDefault="002F5089" w:rsidP="002F5089">
            <w:pPr>
              <w:adjustRightInd w:val="0"/>
              <w:jc w:val="right"/>
              <w:rPr>
                <w:color w:val="000000"/>
                <w:sz w:val="18"/>
                <w:szCs w:val="18"/>
              </w:rPr>
            </w:pPr>
            <w:r w:rsidRPr="00BA05A5">
              <w:rPr>
                <w:color w:val="000000"/>
                <w:sz w:val="18"/>
                <w:szCs w:val="18"/>
              </w:rPr>
              <w:t>259</w:t>
            </w:r>
          </w:p>
        </w:tc>
        <w:tc>
          <w:tcPr>
            <w:tcW w:w="827" w:type="dxa"/>
            <w:vAlign w:val="center"/>
          </w:tcPr>
          <w:p w14:paraId="698A6137" w14:textId="77777777" w:rsidR="002F5089" w:rsidRPr="00BA05A5" w:rsidRDefault="002F5089" w:rsidP="002F5089">
            <w:pPr>
              <w:adjustRightInd w:val="0"/>
              <w:jc w:val="right"/>
              <w:rPr>
                <w:color w:val="000000"/>
                <w:sz w:val="18"/>
                <w:szCs w:val="18"/>
              </w:rPr>
            </w:pPr>
            <w:r w:rsidRPr="00BA05A5">
              <w:rPr>
                <w:color w:val="000000"/>
                <w:sz w:val="18"/>
                <w:szCs w:val="18"/>
              </w:rPr>
              <w:t>188</w:t>
            </w:r>
          </w:p>
        </w:tc>
        <w:tc>
          <w:tcPr>
            <w:tcW w:w="827" w:type="dxa"/>
            <w:vAlign w:val="center"/>
          </w:tcPr>
          <w:p w14:paraId="7CC076E9" w14:textId="77777777" w:rsidR="002F5089" w:rsidRPr="00AF0BB2" w:rsidRDefault="002F5089" w:rsidP="002F5089">
            <w:pPr>
              <w:jc w:val="right"/>
              <w:rPr>
                <w:color w:val="000000"/>
                <w:sz w:val="18"/>
                <w:szCs w:val="18"/>
              </w:rPr>
            </w:pPr>
            <w:r w:rsidRPr="00AF0BB2">
              <w:rPr>
                <w:color w:val="000000"/>
                <w:sz w:val="18"/>
                <w:szCs w:val="18"/>
              </w:rPr>
              <w:t>158</w:t>
            </w:r>
          </w:p>
        </w:tc>
        <w:tc>
          <w:tcPr>
            <w:tcW w:w="1131" w:type="dxa"/>
            <w:shd w:val="clear" w:color="auto" w:fill="auto"/>
            <w:noWrap/>
            <w:vAlign w:val="center"/>
          </w:tcPr>
          <w:p w14:paraId="7E9EB31D" w14:textId="77777777" w:rsidR="002F5089" w:rsidRPr="00AF0BB2" w:rsidRDefault="002F5089" w:rsidP="002F5089">
            <w:pPr>
              <w:jc w:val="right"/>
              <w:rPr>
                <w:color w:val="000000"/>
                <w:sz w:val="18"/>
                <w:szCs w:val="18"/>
              </w:rPr>
            </w:pPr>
            <w:r>
              <w:rPr>
                <w:color w:val="000000"/>
                <w:sz w:val="18"/>
                <w:szCs w:val="18"/>
              </w:rPr>
              <w:t>28</w:t>
            </w:r>
          </w:p>
        </w:tc>
        <w:tc>
          <w:tcPr>
            <w:tcW w:w="985" w:type="dxa"/>
            <w:shd w:val="clear" w:color="auto" w:fill="auto"/>
            <w:noWrap/>
            <w:vAlign w:val="center"/>
          </w:tcPr>
          <w:p w14:paraId="294A6416" w14:textId="77777777" w:rsidR="002F5089" w:rsidRPr="00AF0BB2" w:rsidRDefault="002F5089" w:rsidP="002F5089">
            <w:pPr>
              <w:jc w:val="right"/>
              <w:rPr>
                <w:color w:val="000000"/>
                <w:sz w:val="18"/>
                <w:szCs w:val="18"/>
                <w:lang w:eastAsia="en-NZ"/>
              </w:rPr>
            </w:pPr>
          </w:p>
        </w:tc>
      </w:tr>
      <w:tr w:rsidR="002F5089" w:rsidRPr="00BA05A5" w14:paraId="5DBAED30" w14:textId="77777777" w:rsidTr="008D2B52">
        <w:tc>
          <w:tcPr>
            <w:tcW w:w="1619" w:type="dxa"/>
            <w:shd w:val="clear" w:color="auto" w:fill="auto"/>
            <w:noWrap/>
            <w:vAlign w:val="center"/>
            <w:hideMark/>
          </w:tcPr>
          <w:p w14:paraId="44E21ECC"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31C457F2"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25 - 34</w:t>
            </w:r>
          </w:p>
        </w:tc>
        <w:tc>
          <w:tcPr>
            <w:tcW w:w="0" w:type="auto"/>
            <w:gridSpan w:val="2"/>
            <w:shd w:val="clear" w:color="auto" w:fill="auto"/>
            <w:noWrap/>
            <w:vAlign w:val="center"/>
            <w:hideMark/>
          </w:tcPr>
          <w:p w14:paraId="546E9E9A" w14:textId="77777777" w:rsidR="002F5089" w:rsidRPr="00BA05A5" w:rsidRDefault="002F5089" w:rsidP="002F5089">
            <w:pPr>
              <w:adjustRightInd w:val="0"/>
              <w:jc w:val="right"/>
              <w:rPr>
                <w:color w:val="000000"/>
                <w:sz w:val="18"/>
                <w:szCs w:val="18"/>
              </w:rPr>
            </w:pPr>
            <w:r w:rsidRPr="00BA05A5">
              <w:rPr>
                <w:color w:val="000000"/>
                <w:sz w:val="18"/>
                <w:szCs w:val="18"/>
              </w:rPr>
              <w:t>1069</w:t>
            </w:r>
          </w:p>
        </w:tc>
        <w:tc>
          <w:tcPr>
            <w:tcW w:w="0" w:type="auto"/>
            <w:shd w:val="clear" w:color="auto" w:fill="auto"/>
            <w:noWrap/>
            <w:vAlign w:val="center"/>
            <w:hideMark/>
          </w:tcPr>
          <w:p w14:paraId="32C762EC" w14:textId="77777777" w:rsidR="002F5089" w:rsidRPr="00BA05A5" w:rsidRDefault="002F5089" w:rsidP="002F5089">
            <w:pPr>
              <w:adjustRightInd w:val="0"/>
              <w:jc w:val="right"/>
              <w:rPr>
                <w:color w:val="000000"/>
                <w:sz w:val="18"/>
                <w:szCs w:val="18"/>
              </w:rPr>
            </w:pPr>
            <w:r w:rsidRPr="00BA05A5">
              <w:rPr>
                <w:color w:val="000000"/>
                <w:sz w:val="18"/>
                <w:szCs w:val="18"/>
              </w:rPr>
              <w:t>574</w:t>
            </w:r>
          </w:p>
        </w:tc>
        <w:tc>
          <w:tcPr>
            <w:tcW w:w="827" w:type="dxa"/>
            <w:vAlign w:val="center"/>
          </w:tcPr>
          <w:p w14:paraId="262ABD92" w14:textId="77777777" w:rsidR="002F5089" w:rsidRPr="00BA05A5" w:rsidRDefault="002F5089" w:rsidP="002F5089">
            <w:pPr>
              <w:adjustRightInd w:val="0"/>
              <w:jc w:val="right"/>
              <w:rPr>
                <w:color w:val="000000"/>
                <w:sz w:val="18"/>
                <w:szCs w:val="18"/>
              </w:rPr>
            </w:pPr>
            <w:r w:rsidRPr="00BA05A5">
              <w:rPr>
                <w:color w:val="000000"/>
                <w:sz w:val="18"/>
                <w:szCs w:val="18"/>
              </w:rPr>
              <w:t>453</w:t>
            </w:r>
          </w:p>
        </w:tc>
        <w:tc>
          <w:tcPr>
            <w:tcW w:w="827" w:type="dxa"/>
            <w:vAlign w:val="center"/>
          </w:tcPr>
          <w:p w14:paraId="50B7489A" w14:textId="77777777" w:rsidR="002F5089" w:rsidRPr="00AF0BB2" w:rsidRDefault="002F5089" w:rsidP="002F5089">
            <w:pPr>
              <w:jc w:val="right"/>
              <w:rPr>
                <w:color w:val="000000"/>
                <w:sz w:val="18"/>
                <w:szCs w:val="18"/>
              </w:rPr>
            </w:pPr>
            <w:r w:rsidRPr="00AF0BB2">
              <w:rPr>
                <w:color w:val="000000"/>
                <w:sz w:val="18"/>
                <w:szCs w:val="18"/>
              </w:rPr>
              <w:t>390</w:t>
            </w:r>
          </w:p>
        </w:tc>
        <w:tc>
          <w:tcPr>
            <w:tcW w:w="1131" w:type="dxa"/>
            <w:shd w:val="clear" w:color="auto" w:fill="auto"/>
            <w:noWrap/>
            <w:vAlign w:val="center"/>
          </w:tcPr>
          <w:p w14:paraId="22692F7D" w14:textId="77777777" w:rsidR="002F5089" w:rsidRPr="00AF0BB2" w:rsidRDefault="002F5089" w:rsidP="002F5089">
            <w:pPr>
              <w:jc w:val="right"/>
              <w:rPr>
                <w:color w:val="000000"/>
                <w:sz w:val="18"/>
                <w:szCs w:val="18"/>
              </w:rPr>
            </w:pPr>
            <w:r>
              <w:rPr>
                <w:color w:val="000000"/>
                <w:sz w:val="18"/>
                <w:szCs w:val="18"/>
              </w:rPr>
              <w:t>36</w:t>
            </w:r>
          </w:p>
        </w:tc>
        <w:tc>
          <w:tcPr>
            <w:tcW w:w="985" w:type="dxa"/>
            <w:shd w:val="clear" w:color="auto" w:fill="auto"/>
            <w:noWrap/>
            <w:vAlign w:val="center"/>
          </w:tcPr>
          <w:p w14:paraId="384F8555" w14:textId="77777777" w:rsidR="002F5089" w:rsidRPr="00AF0BB2" w:rsidRDefault="002F5089" w:rsidP="002F5089">
            <w:pPr>
              <w:jc w:val="right"/>
              <w:rPr>
                <w:color w:val="000000"/>
                <w:sz w:val="18"/>
                <w:szCs w:val="18"/>
                <w:lang w:eastAsia="en-NZ"/>
              </w:rPr>
            </w:pPr>
          </w:p>
        </w:tc>
      </w:tr>
      <w:tr w:rsidR="002F5089" w:rsidRPr="00BA05A5" w14:paraId="5C8C0839" w14:textId="77777777" w:rsidTr="008D2B52">
        <w:tc>
          <w:tcPr>
            <w:tcW w:w="1619" w:type="dxa"/>
            <w:shd w:val="clear" w:color="auto" w:fill="auto"/>
            <w:noWrap/>
            <w:vAlign w:val="center"/>
            <w:hideMark/>
          </w:tcPr>
          <w:p w14:paraId="672A2613"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5703865C"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35 - 44</w:t>
            </w:r>
          </w:p>
        </w:tc>
        <w:tc>
          <w:tcPr>
            <w:tcW w:w="0" w:type="auto"/>
            <w:gridSpan w:val="2"/>
            <w:shd w:val="clear" w:color="auto" w:fill="auto"/>
            <w:noWrap/>
            <w:vAlign w:val="center"/>
            <w:hideMark/>
          </w:tcPr>
          <w:p w14:paraId="3D4660FF" w14:textId="77777777" w:rsidR="002F5089" w:rsidRPr="00BA05A5" w:rsidRDefault="002F5089" w:rsidP="002F5089">
            <w:pPr>
              <w:adjustRightInd w:val="0"/>
              <w:jc w:val="right"/>
              <w:rPr>
                <w:color w:val="000000"/>
                <w:sz w:val="18"/>
                <w:szCs w:val="18"/>
              </w:rPr>
            </w:pPr>
            <w:r w:rsidRPr="00BA05A5">
              <w:rPr>
                <w:color w:val="000000"/>
                <w:sz w:val="18"/>
                <w:szCs w:val="18"/>
              </w:rPr>
              <w:t>1261</w:t>
            </w:r>
          </w:p>
        </w:tc>
        <w:tc>
          <w:tcPr>
            <w:tcW w:w="0" w:type="auto"/>
            <w:shd w:val="clear" w:color="auto" w:fill="auto"/>
            <w:noWrap/>
            <w:vAlign w:val="center"/>
            <w:hideMark/>
          </w:tcPr>
          <w:p w14:paraId="5003EDDA" w14:textId="77777777" w:rsidR="002F5089" w:rsidRPr="00BA05A5" w:rsidRDefault="002F5089" w:rsidP="002F5089">
            <w:pPr>
              <w:adjustRightInd w:val="0"/>
              <w:jc w:val="right"/>
              <w:rPr>
                <w:color w:val="000000"/>
                <w:sz w:val="18"/>
                <w:szCs w:val="18"/>
              </w:rPr>
            </w:pPr>
            <w:r w:rsidRPr="00BA05A5">
              <w:rPr>
                <w:color w:val="000000"/>
                <w:sz w:val="18"/>
                <w:szCs w:val="18"/>
              </w:rPr>
              <w:t>783</w:t>
            </w:r>
          </w:p>
        </w:tc>
        <w:tc>
          <w:tcPr>
            <w:tcW w:w="827" w:type="dxa"/>
            <w:vAlign w:val="center"/>
          </w:tcPr>
          <w:p w14:paraId="41C8AE85" w14:textId="77777777" w:rsidR="002F5089" w:rsidRPr="00BA05A5" w:rsidRDefault="002F5089" w:rsidP="002F5089">
            <w:pPr>
              <w:adjustRightInd w:val="0"/>
              <w:jc w:val="right"/>
              <w:rPr>
                <w:color w:val="000000"/>
                <w:sz w:val="18"/>
                <w:szCs w:val="18"/>
              </w:rPr>
            </w:pPr>
            <w:r w:rsidRPr="00BA05A5">
              <w:rPr>
                <w:color w:val="000000"/>
                <w:sz w:val="18"/>
                <w:szCs w:val="18"/>
              </w:rPr>
              <w:t>650</w:t>
            </w:r>
          </w:p>
        </w:tc>
        <w:tc>
          <w:tcPr>
            <w:tcW w:w="827" w:type="dxa"/>
            <w:vAlign w:val="center"/>
          </w:tcPr>
          <w:p w14:paraId="4ADBF47D" w14:textId="77777777" w:rsidR="002F5089" w:rsidRPr="00AF0BB2" w:rsidRDefault="002F5089" w:rsidP="002F5089">
            <w:pPr>
              <w:jc w:val="right"/>
              <w:rPr>
                <w:color w:val="000000"/>
                <w:sz w:val="18"/>
                <w:szCs w:val="18"/>
              </w:rPr>
            </w:pPr>
            <w:r w:rsidRPr="00AF0BB2">
              <w:rPr>
                <w:color w:val="000000"/>
                <w:sz w:val="18"/>
                <w:szCs w:val="18"/>
              </w:rPr>
              <w:t>577</w:t>
            </w:r>
          </w:p>
        </w:tc>
        <w:tc>
          <w:tcPr>
            <w:tcW w:w="1131" w:type="dxa"/>
            <w:shd w:val="clear" w:color="auto" w:fill="auto"/>
            <w:noWrap/>
            <w:vAlign w:val="center"/>
          </w:tcPr>
          <w:p w14:paraId="733F46E2" w14:textId="77777777" w:rsidR="002F5089" w:rsidRPr="00AF0BB2" w:rsidRDefault="002F5089" w:rsidP="002F5089">
            <w:pPr>
              <w:jc w:val="right"/>
              <w:rPr>
                <w:color w:val="000000"/>
                <w:sz w:val="18"/>
                <w:szCs w:val="18"/>
              </w:rPr>
            </w:pPr>
            <w:r>
              <w:rPr>
                <w:color w:val="000000"/>
                <w:sz w:val="18"/>
                <w:szCs w:val="18"/>
              </w:rPr>
              <w:t>46</w:t>
            </w:r>
          </w:p>
        </w:tc>
        <w:tc>
          <w:tcPr>
            <w:tcW w:w="985" w:type="dxa"/>
            <w:shd w:val="clear" w:color="auto" w:fill="auto"/>
            <w:noWrap/>
            <w:vAlign w:val="center"/>
          </w:tcPr>
          <w:p w14:paraId="5D8F4662" w14:textId="77777777" w:rsidR="002F5089" w:rsidRPr="00AF0BB2" w:rsidRDefault="002F5089" w:rsidP="002F5089">
            <w:pPr>
              <w:jc w:val="right"/>
              <w:rPr>
                <w:color w:val="000000"/>
                <w:sz w:val="18"/>
                <w:szCs w:val="18"/>
                <w:lang w:eastAsia="en-NZ"/>
              </w:rPr>
            </w:pPr>
          </w:p>
        </w:tc>
      </w:tr>
      <w:tr w:rsidR="002F5089" w:rsidRPr="00BA05A5" w14:paraId="0BF4457F" w14:textId="77777777" w:rsidTr="008D2B52">
        <w:tc>
          <w:tcPr>
            <w:tcW w:w="1619" w:type="dxa"/>
            <w:shd w:val="clear" w:color="auto" w:fill="auto"/>
            <w:noWrap/>
            <w:vAlign w:val="center"/>
            <w:hideMark/>
          </w:tcPr>
          <w:p w14:paraId="03245EC2"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2553E91B"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45 - 54</w:t>
            </w:r>
          </w:p>
        </w:tc>
        <w:tc>
          <w:tcPr>
            <w:tcW w:w="0" w:type="auto"/>
            <w:gridSpan w:val="2"/>
            <w:shd w:val="clear" w:color="auto" w:fill="auto"/>
            <w:noWrap/>
            <w:vAlign w:val="center"/>
            <w:hideMark/>
          </w:tcPr>
          <w:p w14:paraId="1F22863B" w14:textId="77777777" w:rsidR="002F5089" w:rsidRPr="00BA05A5" w:rsidRDefault="002F5089" w:rsidP="002F5089">
            <w:pPr>
              <w:adjustRightInd w:val="0"/>
              <w:jc w:val="right"/>
              <w:rPr>
                <w:color w:val="000000"/>
                <w:sz w:val="18"/>
                <w:szCs w:val="18"/>
              </w:rPr>
            </w:pPr>
            <w:r w:rsidRPr="00BA05A5">
              <w:rPr>
                <w:color w:val="000000"/>
                <w:sz w:val="18"/>
                <w:szCs w:val="18"/>
              </w:rPr>
              <w:t>1195</w:t>
            </w:r>
          </w:p>
        </w:tc>
        <w:tc>
          <w:tcPr>
            <w:tcW w:w="0" w:type="auto"/>
            <w:shd w:val="clear" w:color="auto" w:fill="auto"/>
            <w:noWrap/>
            <w:vAlign w:val="center"/>
            <w:hideMark/>
          </w:tcPr>
          <w:p w14:paraId="0A84529D" w14:textId="77777777" w:rsidR="002F5089" w:rsidRPr="00BA05A5" w:rsidRDefault="002F5089" w:rsidP="002F5089">
            <w:pPr>
              <w:adjustRightInd w:val="0"/>
              <w:jc w:val="right"/>
              <w:rPr>
                <w:color w:val="000000"/>
                <w:sz w:val="18"/>
                <w:szCs w:val="18"/>
              </w:rPr>
            </w:pPr>
            <w:r w:rsidRPr="00BA05A5">
              <w:rPr>
                <w:color w:val="000000"/>
                <w:sz w:val="18"/>
                <w:szCs w:val="18"/>
              </w:rPr>
              <w:t>758</w:t>
            </w:r>
          </w:p>
        </w:tc>
        <w:tc>
          <w:tcPr>
            <w:tcW w:w="827" w:type="dxa"/>
            <w:vAlign w:val="center"/>
          </w:tcPr>
          <w:p w14:paraId="116207F6" w14:textId="77777777" w:rsidR="002F5089" w:rsidRPr="00BA05A5" w:rsidRDefault="002F5089" w:rsidP="002F5089">
            <w:pPr>
              <w:adjustRightInd w:val="0"/>
              <w:jc w:val="right"/>
              <w:rPr>
                <w:color w:val="000000"/>
                <w:sz w:val="18"/>
                <w:szCs w:val="18"/>
              </w:rPr>
            </w:pPr>
            <w:r w:rsidRPr="00BA05A5">
              <w:rPr>
                <w:color w:val="000000"/>
                <w:sz w:val="18"/>
                <w:szCs w:val="18"/>
              </w:rPr>
              <w:t>650</w:t>
            </w:r>
          </w:p>
        </w:tc>
        <w:tc>
          <w:tcPr>
            <w:tcW w:w="827" w:type="dxa"/>
            <w:vAlign w:val="center"/>
          </w:tcPr>
          <w:p w14:paraId="78D8214F" w14:textId="77777777" w:rsidR="002F5089" w:rsidRPr="00AF0BB2" w:rsidRDefault="002F5089" w:rsidP="002F5089">
            <w:pPr>
              <w:jc w:val="right"/>
              <w:rPr>
                <w:color w:val="000000"/>
                <w:sz w:val="18"/>
                <w:szCs w:val="18"/>
              </w:rPr>
            </w:pPr>
            <w:r w:rsidRPr="00AF0BB2">
              <w:rPr>
                <w:color w:val="000000"/>
                <w:sz w:val="18"/>
                <w:szCs w:val="18"/>
              </w:rPr>
              <w:t>587</w:t>
            </w:r>
          </w:p>
        </w:tc>
        <w:tc>
          <w:tcPr>
            <w:tcW w:w="1131" w:type="dxa"/>
            <w:shd w:val="clear" w:color="auto" w:fill="auto"/>
            <w:noWrap/>
            <w:vAlign w:val="center"/>
          </w:tcPr>
          <w:p w14:paraId="1682D5B4" w14:textId="77777777" w:rsidR="002F5089" w:rsidRPr="00AF0BB2" w:rsidRDefault="002F5089" w:rsidP="002F5089">
            <w:pPr>
              <w:jc w:val="right"/>
              <w:rPr>
                <w:color w:val="000000"/>
                <w:sz w:val="18"/>
                <w:szCs w:val="18"/>
              </w:rPr>
            </w:pPr>
            <w:r>
              <w:rPr>
                <w:color w:val="000000"/>
                <w:sz w:val="18"/>
                <w:szCs w:val="18"/>
              </w:rPr>
              <w:t>49</w:t>
            </w:r>
          </w:p>
        </w:tc>
        <w:tc>
          <w:tcPr>
            <w:tcW w:w="985" w:type="dxa"/>
            <w:shd w:val="clear" w:color="auto" w:fill="auto"/>
            <w:noWrap/>
            <w:vAlign w:val="center"/>
          </w:tcPr>
          <w:p w14:paraId="344D1390" w14:textId="77777777" w:rsidR="002F5089" w:rsidRPr="00AF0BB2" w:rsidRDefault="002F5089" w:rsidP="002F5089">
            <w:pPr>
              <w:jc w:val="right"/>
              <w:rPr>
                <w:color w:val="000000"/>
                <w:sz w:val="18"/>
                <w:szCs w:val="18"/>
                <w:lang w:eastAsia="en-NZ"/>
              </w:rPr>
            </w:pPr>
          </w:p>
        </w:tc>
      </w:tr>
      <w:tr w:rsidR="002F5089" w:rsidRPr="00BA05A5" w14:paraId="0576215D" w14:textId="77777777" w:rsidTr="008D2B52">
        <w:tc>
          <w:tcPr>
            <w:tcW w:w="1619" w:type="dxa"/>
            <w:shd w:val="clear" w:color="auto" w:fill="auto"/>
            <w:noWrap/>
            <w:vAlign w:val="center"/>
            <w:hideMark/>
          </w:tcPr>
          <w:p w14:paraId="351AC5DF"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5F25C058"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55 - 64</w:t>
            </w:r>
          </w:p>
        </w:tc>
        <w:tc>
          <w:tcPr>
            <w:tcW w:w="0" w:type="auto"/>
            <w:gridSpan w:val="2"/>
            <w:shd w:val="clear" w:color="auto" w:fill="auto"/>
            <w:noWrap/>
            <w:vAlign w:val="center"/>
            <w:hideMark/>
          </w:tcPr>
          <w:p w14:paraId="4650E2FC" w14:textId="77777777" w:rsidR="002F5089" w:rsidRPr="00BA05A5" w:rsidRDefault="002F5089" w:rsidP="002F5089">
            <w:pPr>
              <w:keepNext/>
              <w:adjustRightInd w:val="0"/>
              <w:jc w:val="right"/>
              <w:rPr>
                <w:color w:val="000000"/>
                <w:sz w:val="18"/>
                <w:szCs w:val="18"/>
              </w:rPr>
            </w:pPr>
            <w:r w:rsidRPr="00BA05A5">
              <w:rPr>
                <w:color w:val="000000"/>
                <w:sz w:val="18"/>
                <w:szCs w:val="18"/>
              </w:rPr>
              <w:t>922</w:t>
            </w:r>
          </w:p>
        </w:tc>
        <w:tc>
          <w:tcPr>
            <w:tcW w:w="0" w:type="auto"/>
            <w:shd w:val="clear" w:color="auto" w:fill="auto"/>
            <w:noWrap/>
            <w:vAlign w:val="center"/>
            <w:hideMark/>
          </w:tcPr>
          <w:p w14:paraId="2820B06B" w14:textId="77777777" w:rsidR="002F5089" w:rsidRPr="00BA05A5" w:rsidRDefault="002F5089" w:rsidP="002F5089">
            <w:pPr>
              <w:keepNext/>
              <w:adjustRightInd w:val="0"/>
              <w:jc w:val="right"/>
              <w:rPr>
                <w:color w:val="000000"/>
                <w:sz w:val="18"/>
                <w:szCs w:val="18"/>
              </w:rPr>
            </w:pPr>
            <w:r w:rsidRPr="00BA05A5">
              <w:rPr>
                <w:color w:val="000000"/>
                <w:sz w:val="18"/>
                <w:szCs w:val="18"/>
              </w:rPr>
              <w:t>591</w:t>
            </w:r>
          </w:p>
        </w:tc>
        <w:tc>
          <w:tcPr>
            <w:tcW w:w="827" w:type="dxa"/>
            <w:vAlign w:val="center"/>
          </w:tcPr>
          <w:p w14:paraId="091CCEAB" w14:textId="77777777" w:rsidR="002F5089" w:rsidRPr="00BA05A5" w:rsidRDefault="002F5089" w:rsidP="002F5089">
            <w:pPr>
              <w:keepNext/>
              <w:adjustRightInd w:val="0"/>
              <w:jc w:val="right"/>
              <w:rPr>
                <w:color w:val="000000"/>
                <w:sz w:val="18"/>
                <w:szCs w:val="18"/>
              </w:rPr>
            </w:pPr>
            <w:r w:rsidRPr="00BA05A5">
              <w:rPr>
                <w:color w:val="000000"/>
                <w:sz w:val="18"/>
                <w:szCs w:val="18"/>
              </w:rPr>
              <w:t>517</w:t>
            </w:r>
          </w:p>
        </w:tc>
        <w:tc>
          <w:tcPr>
            <w:tcW w:w="827" w:type="dxa"/>
            <w:vAlign w:val="center"/>
          </w:tcPr>
          <w:p w14:paraId="313128C6" w14:textId="77777777" w:rsidR="002F5089" w:rsidRPr="00AF0BB2" w:rsidRDefault="002F5089" w:rsidP="002F5089">
            <w:pPr>
              <w:jc w:val="right"/>
              <w:rPr>
                <w:color w:val="000000"/>
                <w:sz w:val="18"/>
                <w:szCs w:val="18"/>
              </w:rPr>
            </w:pPr>
            <w:r w:rsidRPr="00AF0BB2">
              <w:rPr>
                <w:color w:val="000000"/>
                <w:sz w:val="18"/>
                <w:szCs w:val="18"/>
              </w:rPr>
              <w:t>460</w:t>
            </w:r>
          </w:p>
        </w:tc>
        <w:tc>
          <w:tcPr>
            <w:tcW w:w="1131" w:type="dxa"/>
            <w:shd w:val="clear" w:color="auto" w:fill="auto"/>
            <w:noWrap/>
            <w:vAlign w:val="center"/>
          </w:tcPr>
          <w:p w14:paraId="45F605AD" w14:textId="77777777" w:rsidR="002F5089" w:rsidRPr="00AF0BB2" w:rsidRDefault="002F5089" w:rsidP="002F5089">
            <w:pPr>
              <w:jc w:val="right"/>
              <w:rPr>
                <w:color w:val="000000"/>
                <w:sz w:val="18"/>
                <w:szCs w:val="18"/>
              </w:rPr>
            </w:pPr>
            <w:r>
              <w:rPr>
                <w:color w:val="000000"/>
                <w:sz w:val="18"/>
                <w:szCs w:val="18"/>
              </w:rPr>
              <w:t>50</w:t>
            </w:r>
          </w:p>
        </w:tc>
        <w:tc>
          <w:tcPr>
            <w:tcW w:w="985" w:type="dxa"/>
            <w:shd w:val="clear" w:color="auto" w:fill="auto"/>
            <w:noWrap/>
            <w:vAlign w:val="center"/>
          </w:tcPr>
          <w:p w14:paraId="0A449E36" w14:textId="77777777" w:rsidR="002F5089" w:rsidRPr="00AF0BB2" w:rsidRDefault="002F5089" w:rsidP="002F5089">
            <w:pPr>
              <w:jc w:val="right"/>
              <w:rPr>
                <w:color w:val="000000"/>
                <w:sz w:val="18"/>
                <w:szCs w:val="18"/>
                <w:lang w:eastAsia="en-NZ"/>
              </w:rPr>
            </w:pPr>
          </w:p>
        </w:tc>
      </w:tr>
      <w:tr w:rsidR="002F5089" w:rsidRPr="00BA05A5" w14:paraId="61B4D18E" w14:textId="77777777" w:rsidTr="002E64B9">
        <w:tc>
          <w:tcPr>
            <w:tcW w:w="1619" w:type="dxa"/>
            <w:shd w:val="clear" w:color="auto" w:fill="auto"/>
            <w:noWrap/>
            <w:vAlign w:val="center"/>
            <w:hideMark/>
          </w:tcPr>
          <w:p w14:paraId="1FEA928D"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0504F3AF"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65+</w:t>
            </w:r>
          </w:p>
        </w:tc>
        <w:tc>
          <w:tcPr>
            <w:tcW w:w="0" w:type="auto"/>
            <w:gridSpan w:val="2"/>
            <w:shd w:val="clear" w:color="auto" w:fill="auto"/>
            <w:noWrap/>
            <w:vAlign w:val="center"/>
            <w:hideMark/>
          </w:tcPr>
          <w:p w14:paraId="2A05267D" w14:textId="77777777" w:rsidR="002F5089" w:rsidRPr="00BA05A5" w:rsidRDefault="002F5089" w:rsidP="002F5089">
            <w:pPr>
              <w:adjustRightInd w:val="0"/>
              <w:jc w:val="right"/>
              <w:rPr>
                <w:color w:val="000000"/>
                <w:sz w:val="18"/>
                <w:szCs w:val="18"/>
              </w:rPr>
            </w:pPr>
            <w:r w:rsidRPr="00BA05A5">
              <w:rPr>
                <w:color w:val="000000"/>
                <w:sz w:val="18"/>
                <w:szCs w:val="18"/>
              </w:rPr>
              <w:t>1226</w:t>
            </w:r>
          </w:p>
        </w:tc>
        <w:tc>
          <w:tcPr>
            <w:tcW w:w="0" w:type="auto"/>
            <w:shd w:val="clear" w:color="auto" w:fill="auto"/>
            <w:noWrap/>
            <w:vAlign w:val="center"/>
            <w:hideMark/>
          </w:tcPr>
          <w:p w14:paraId="22A25FCE" w14:textId="77777777" w:rsidR="002F5089" w:rsidRPr="00BA05A5" w:rsidRDefault="002F5089" w:rsidP="002F5089">
            <w:pPr>
              <w:adjustRightInd w:val="0"/>
              <w:jc w:val="right"/>
              <w:rPr>
                <w:color w:val="000000"/>
                <w:sz w:val="18"/>
                <w:szCs w:val="18"/>
              </w:rPr>
            </w:pPr>
            <w:r w:rsidRPr="00BA05A5">
              <w:rPr>
                <w:color w:val="000000"/>
                <w:sz w:val="18"/>
                <w:szCs w:val="18"/>
              </w:rPr>
              <w:t>779</w:t>
            </w:r>
          </w:p>
        </w:tc>
        <w:tc>
          <w:tcPr>
            <w:tcW w:w="827" w:type="dxa"/>
            <w:vAlign w:val="center"/>
          </w:tcPr>
          <w:p w14:paraId="4A4225DF" w14:textId="77777777" w:rsidR="002F5089" w:rsidRPr="00BA05A5" w:rsidRDefault="002F5089" w:rsidP="002F5089">
            <w:pPr>
              <w:adjustRightInd w:val="0"/>
              <w:jc w:val="right"/>
              <w:rPr>
                <w:color w:val="000000"/>
                <w:sz w:val="18"/>
                <w:szCs w:val="18"/>
              </w:rPr>
            </w:pPr>
            <w:r w:rsidRPr="00BA05A5">
              <w:rPr>
                <w:color w:val="000000"/>
                <w:sz w:val="18"/>
                <w:szCs w:val="18"/>
              </w:rPr>
              <w:t>656</w:t>
            </w:r>
          </w:p>
        </w:tc>
        <w:tc>
          <w:tcPr>
            <w:tcW w:w="827" w:type="dxa"/>
            <w:vAlign w:val="center"/>
          </w:tcPr>
          <w:p w14:paraId="66B3B327" w14:textId="77777777" w:rsidR="002F5089" w:rsidRPr="00AF0BB2" w:rsidRDefault="002F5089" w:rsidP="002F5089">
            <w:pPr>
              <w:jc w:val="right"/>
              <w:rPr>
                <w:color w:val="000000"/>
                <w:sz w:val="18"/>
                <w:szCs w:val="18"/>
              </w:rPr>
            </w:pPr>
            <w:r w:rsidRPr="00AF0BB2">
              <w:rPr>
                <w:color w:val="000000"/>
                <w:sz w:val="18"/>
                <w:szCs w:val="18"/>
              </w:rPr>
              <w:t>597</w:t>
            </w:r>
          </w:p>
        </w:tc>
        <w:tc>
          <w:tcPr>
            <w:tcW w:w="1131" w:type="dxa"/>
            <w:shd w:val="clear" w:color="auto" w:fill="auto"/>
            <w:noWrap/>
            <w:vAlign w:val="center"/>
          </w:tcPr>
          <w:p w14:paraId="16ECC287" w14:textId="77777777" w:rsidR="002F5089" w:rsidRPr="00AF0BB2" w:rsidRDefault="002F5089" w:rsidP="002F5089">
            <w:pPr>
              <w:jc w:val="right"/>
              <w:rPr>
                <w:color w:val="000000"/>
                <w:sz w:val="18"/>
                <w:szCs w:val="18"/>
              </w:rPr>
            </w:pPr>
            <w:r>
              <w:rPr>
                <w:color w:val="000000"/>
                <w:sz w:val="18"/>
                <w:szCs w:val="18"/>
              </w:rPr>
              <w:t>49</w:t>
            </w:r>
          </w:p>
        </w:tc>
        <w:tc>
          <w:tcPr>
            <w:tcW w:w="985" w:type="dxa"/>
            <w:shd w:val="clear" w:color="auto" w:fill="auto"/>
            <w:noWrap/>
            <w:vAlign w:val="center"/>
          </w:tcPr>
          <w:p w14:paraId="13EF62FA" w14:textId="77777777" w:rsidR="002F5089" w:rsidRPr="00AF0BB2" w:rsidRDefault="002F5089" w:rsidP="002F5089">
            <w:pPr>
              <w:jc w:val="right"/>
              <w:rPr>
                <w:color w:val="000000"/>
                <w:sz w:val="18"/>
                <w:szCs w:val="18"/>
                <w:lang w:eastAsia="en-NZ"/>
              </w:rPr>
            </w:pPr>
            <w:r w:rsidRPr="00AF0BB2">
              <w:rPr>
                <w:color w:val="000000"/>
                <w:sz w:val="18"/>
                <w:szCs w:val="18"/>
                <w:lang w:eastAsia="en-NZ"/>
              </w:rPr>
              <w:t>&lt;0.0001</w:t>
            </w:r>
          </w:p>
        </w:tc>
      </w:tr>
      <w:tr w:rsidR="002F5089" w:rsidRPr="00BA05A5" w14:paraId="0D552E65" w14:textId="77777777" w:rsidTr="008D2B52">
        <w:tc>
          <w:tcPr>
            <w:tcW w:w="1619" w:type="dxa"/>
            <w:shd w:val="clear" w:color="auto" w:fill="auto"/>
            <w:noWrap/>
            <w:vAlign w:val="center"/>
            <w:hideMark/>
          </w:tcPr>
          <w:p w14:paraId="70D83263" w14:textId="77777777" w:rsidR="002F5089" w:rsidRPr="00BA05A5" w:rsidRDefault="002F5089" w:rsidP="0063775F">
            <w:pPr>
              <w:spacing w:before="20" w:after="20"/>
              <w:rPr>
                <w:color w:val="000000"/>
                <w:sz w:val="18"/>
                <w:szCs w:val="18"/>
                <w:lang w:eastAsia="en-NZ"/>
              </w:rPr>
            </w:pPr>
          </w:p>
        </w:tc>
        <w:tc>
          <w:tcPr>
            <w:tcW w:w="2015" w:type="dxa"/>
            <w:shd w:val="clear" w:color="auto" w:fill="auto"/>
            <w:noWrap/>
            <w:vAlign w:val="center"/>
            <w:hideMark/>
          </w:tcPr>
          <w:p w14:paraId="3111FF32" w14:textId="77777777" w:rsidR="002F5089" w:rsidRPr="00BA05A5" w:rsidRDefault="002F5089" w:rsidP="0063775F">
            <w:pPr>
              <w:spacing w:before="20" w:after="60"/>
              <w:rPr>
                <w:color w:val="000000"/>
                <w:sz w:val="18"/>
                <w:szCs w:val="18"/>
                <w:lang w:eastAsia="en-NZ"/>
              </w:rPr>
            </w:pPr>
            <w:r w:rsidRPr="00BA05A5">
              <w:rPr>
                <w:color w:val="000000"/>
                <w:sz w:val="18"/>
                <w:szCs w:val="18"/>
                <w:lang w:eastAsia="en-NZ"/>
              </w:rPr>
              <w:t>Not reported</w:t>
            </w:r>
          </w:p>
        </w:tc>
        <w:tc>
          <w:tcPr>
            <w:tcW w:w="0" w:type="auto"/>
            <w:gridSpan w:val="2"/>
            <w:shd w:val="clear" w:color="auto" w:fill="auto"/>
            <w:noWrap/>
            <w:vAlign w:val="center"/>
            <w:hideMark/>
          </w:tcPr>
          <w:p w14:paraId="1A77E520" w14:textId="77777777" w:rsidR="002F5089" w:rsidRPr="00BA05A5" w:rsidRDefault="002F5089" w:rsidP="002F5089">
            <w:pPr>
              <w:spacing w:before="20" w:after="60"/>
              <w:jc w:val="right"/>
              <w:rPr>
                <w:color w:val="000000"/>
                <w:sz w:val="18"/>
                <w:szCs w:val="18"/>
                <w:lang w:eastAsia="en-NZ"/>
              </w:rPr>
            </w:pPr>
            <w:r w:rsidRPr="00BA05A5">
              <w:rPr>
                <w:color w:val="000000"/>
                <w:sz w:val="18"/>
                <w:szCs w:val="18"/>
                <w:lang w:eastAsia="en-NZ"/>
              </w:rPr>
              <w:t>7</w:t>
            </w:r>
          </w:p>
        </w:tc>
        <w:tc>
          <w:tcPr>
            <w:tcW w:w="0" w:type="auto"/>
            <w:shd w:val="clear" w:color="auto" w:fill="auto"/>
            <w:noWrap/>
            <w:vAlign w:val="center"/>
            <w:hideMark/>
          </w:tcPr>
          <w:p w14:paraId="049DCCCD" w14:textId="77777777" w:rsidR="002F5089" w:rsidRPr="00BA05A5" w:rsidRDefault="002F5089" w:rsidP="002F5089">
            <w:pPr>
              <w:spacing w:before="20" w:after="60"/>
              <w:jc w:val="right"/>
              <w:rPr>
                <w:color w:val="000000"/>
                <w:sz w:val="18"/>
                <w:szCs w:val="18"/>
                <w:lang w:eastAsia="en-NZ"/>
              </w:rPr>
            </w:pPr>
            <w:r w:rsidRPr="00BA05A5">
              <w:rPr>
                <w:color w:val="000000"/>
                <w:sz w:val="18"/>
                <w:szCs w:val="18"/>
                <w:lang w:eastAsia="en-NZ"/>
              </w:rPr>
              <w:t>1</w:t>
            </w:r>
          </w:p>
        </w:tc>
        <w:tc>
          <w:tcPr>
            <w:tcW w:w="827" w:type="dxa"/>
            <w:vAlign w:val="center"/>
          </w:tcPr>
          <w:p w14:paraId="34C69596" w14:textId="77777777" w:rsidR="002F5089" w:rsidRPr="00BA05A5" w:rsidRDefault="002F5089" w:rsidP="002F5089">
            <w:pPr>
              <w:spacing w:before="20" w:after="60"/>
              <w:jc w:val="right"/>
              <w:rPr>
                <w:color w:val="000000"/>
                <w:sz w:val="18"/>
                <w:szCs w:val="18"/>
                <w:lang w:eastAsia="en-NZ"/>
              </w:rPr>
            </w:pPr>
            <w:r w:rsidRPr="00BA05A5">
              <w:rPr>
                <w:color w:val="000000"/>
                <w:sz w:val="18"/>
                <w:szCs w:val="18"/>
                <w:lang w:eastAsia="en-NZ"/>
              </w:rPr>
              <w:t>1</w:t>
            </w:r>
          </w:p>
        </w:tc>
        <w:tc>
          <w:tcPr>
            <w:tcW w:w="827" w:type="dxa"/>
            <w:vAlign w:val="center"/>
          </w:tcPr>
          <w:p w14:paraId="41656F6A" w14:textId="77777777" w:rsidR="002F5089" w:rsidRPr="00AF0BB2" w:rsidRDefault="002F5089" w:rsidP="002F5089">
            <w:pPr>
              <w:spacing w:before="20" w:after="60"/>
              <w:jc w:val="right"/>
              <w:rPr>
                <w:color w:val="000000"/>
                <w:sz w:val="18"/>
                <w:szCs w:val="18"/>
                <w:lang w:eastAsia="en-NZ"/>
              </w:rPr>
            </w:pPr>
            <w:r w:rsidRPr="00AF0BB2">
              <w:rPr>
                <w:color w:val="000000"/>
                <w:sz w:val="18"/>
                <w:szCs w:val="18"/>
                <w:lang w:eastAsia="en-NZ"/>
              </w:rPr>
              <w:t>1</w:t>
            </w:r>
          </w:p>
        </w:tc>
        <w:tc>
          <w:tcPr>
            <w:tcW w:w="1131" w:type="dxa"/>
            <w:shd w:val="clear" w:color="auto" w:fill="auto"/>
            <w:noWrap/>
            <w:vAlign w:val="center"/>
          </w:tcPr>
          <w:p w14:paraId="6B6FF9C4" w14:textId="77777777" w:rsidR="002F5089" w:rsidRPr="00AF0BB2" w:rsidRDefault="002F5089" w:rsidP="002F5089">
            <w:pPr>
              <w:spacing w:before="20" w:after="60"/>
              <w:jc w:val="right"/>
              <w:rPr>
                <w:color w:val="000000"/>
                <w:sz w:val="18"/>
                <w:szCs w:val="18"/>
                <w:lang w:eastAsia="en-NZ"/>
              </w:rPr>
            </w:pPr>
            <w:r w:rsidRPr="00AF0BB2">
              <w:rPr>
                <w:color w:val="000000"/>
                <w:sz w:val="18"/>
                <w:szCs w:val="18"/>
                <w:lang w:eastAsia="en-NZ"/>
              </w:rPr>
              <w:t>-</w:t>
            </w:r>
          </w:p>
        </w:tc>
        <w:tc>
          <w:tcPr>
            <w:tcW w:w="985" w:type="dxa"/>
            <w:shd w:val="clear" w:color="auto" w:fill="auto"/>
            <w:noWrap/>
            <w:vAlign w:val="center"/>
          </w:tcPr>
          <w:p w14:paraId="41CDC040" w14:textId="77777777" w:rsidR="002F5089" w:rsidRPr="00AF0BB2" w:rsidRDefault="002F5089" w:rsidP="002F5089">
            <w:pPr>
              <w:jc w:val="right"/>
              <w:rPr>
                <w:color w:val="000000"/>
                <w:sz w:val="18"/>
                <w:szCs w:val="18"/>
                <w:lang w:eastAsia="en-NZ"/>
              </w:rPr>
            </w:pPr>
          </w:p>
        </w:tc>
      </w:tr>
      <w:tr w:rsidR="002F5089" w:rsidRPr="00BA05A5" w14:paraId="459CBE0D" w14:textId="77777777" w:rsidTr="008D2B52">
        <w:tc>
          <w:tcPr>
            <w:tcW w:w="1619" w:type="dxa"/>
            <w:vMerge w:val="restart"/>
            <w:shd w:val="clear" w:color="auto" w:fill="auto"/>
            <w:noWrap/>
            <w:vAlign w:val="center"/>
            <w:hideMark/>
          </w:tcPr>
          <w:p w14:paraId="17E195B0" w14:textId="77777777" w:rsidR="002F5089" w:rsidRDefault="002F5089" w:rsidP="0063775F">
            <w:pPr>
              <w:spacing w:before="20" w:after="20"/>
              <w:rPr>
                <w:color w:val="000000"/>
                <w:sz w:val="18"/>
                <w:szCs w:val="18"/>
                <w:lang w:eastAsia="en-NZ"/>
              </w:rPr>
            </w:pPr>
            <w:r w:rsidRPr="00BA05A5">
              <w:rPr>
                <w:color w:val="000000"/>
                <w:sz w:val="18"/>
                <w:szCs w:val="18"/>
                <w:lang w:eastAsia="en-NZ"/>
              </w:rPr>
              <w:t xml:space="preserve">Ethnic group </w:t>
            </w:r>
          </w:p>
          <w:p w14:paraId="44382EDE"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(prioritised)</w:t>
            </w:r>
          </w:p>
        </w:tc>
        <w:tc>
          <w:tcPr>
            <w:tcW w:w="2015" w:type="dxa"/>
            <w:shd w:val="clear" w:color="auto" w:fill="auto"/>
            <w:noWrap/>
            <w:vAlign w:val="center"/>
            <w:hideMark/>
          </w:tcPr>
          <w:p w14:paraId="3A6AE1C0"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Māori</w:t>
            </w:r>
          </w:p>
        </w:tc>
        <w:tc>
          <w:tcPr>
            <w:tcW w:w="0" w:type="auto"/>
            <w:gridSpan w:val="2"/>
            <w:shd w:val="clear" w:color="auto" w:fill="auto"/>
            <w:noWrap/>
            <w:vAlign w:val="center"/>
            <w:hideMark/>
          </w:tcPr>
          <w:p w14:paraId="31635A31" w14:textId="77777777" w:rsidR="002F5089" w:rsidRPr="00BA05A5" w:rsidRDefault="002F5089" w:rsidP="002F5089">
            <w:pPr>
              <w:adjustRightInd w:val="0"/>
              <w:jc w:val="right"/>
              <w:rPr>
                <w:color w:val="000000"/>
                <w:sz w:val="18"/>
                <w:szCs w:val="18"/>
              </w:rPr>
            </w:pPr>
            <w:r w:rsidRPr="00BA05A5">
              <w:rPr>
                <w:color w:val="000000"/>
                <w:sz w:val="18"/>
                <w:szCs w:val="18"/>
              </w:rPr>
              <w:t>1164</w:t>
            </w:r>
          </w:p>
        </w:tc>
        <w:tc>
          <w:tcPr>
            <w:tcW w:w="0" w:type="auto"/>
            <w:shd w:val="clear" w:color="auto" w:fill="auto"/>
            <w:noWrap/>
            <w:vAlign w:val="center"/>
            <w:hideMark/>
          </w:tcPr>
          <w:p w14:paraId="4B87E2AA" w14:textId="77777777" w:rsidR="002F5089" w:rsidRPr="00BA05A5" w:rsidRDefault="002F5089" w:rsidP="002F5089">
            <w:pPr>
              <w:adjustRightInd w:val="0"/>
              <w:jc w:val="right"/>
              <w:rPr>
                <w:color w:val="000000"/>
                <w:sz w:val="18"/>
                <w:szCs w:val="18"/>
              </w:rPr>
            </w:pPr>
            <w:r w:rsidRPr="00BA05A5">
              <w:rPr>
                <w:color w:val="000000"/>
                <w:sz w:val="18"/>
                <w:szCs w:val="18"/>
              </w:rPr>
              <w:t>656</w:t>
            </w:r>
          </w:p>
        </w:tc>
        <w:tc>
          <w:tcPr>
            <w:tcW w:w="827" w:type="dxa"/>
            <w:vAlign w:val="center"/>
          </w:tcPr>
          <w:p w14:paraId="370F7DEF" w14:textId="77777777" w:rsidR="002F5089" w:rsidRPr="00BA05A5" w:rsidRDefault="002F5089" w:rsidP="002F5089">
            <w:pPr>
              <w:adjustRightInd w:val="0"/>
              <w:jc w:val="right"/>
              <w:rPr>
                <w:color w:val="000000"/>
                <w:sz w:val="18"/>
                <w:szCs w:val="18"/>
              </w:rPr>
            </w:pPr>
            <w:r w:rsidRPr="00BA05A5">
              <w:rPr>
                <w:color w:val="000000"/>
                <w:sz w:val="18"/>
                <w:szCs w:val="18"/>
              </w:rPr>
              <w:t>520</w:t>
            </w:r>
          </w:p>
        </w:tc>
        <w:tc>
          <w:tcPr>
            <w:tcW w:w="827" w:type="dxa"/>
            <w:vAlign w:val="center"/>
          </w:tcPr>
          <w:p w14:paraId="685EFC0F" w14:textId="77777777" w:rsidR="002F5089" w:rsidRPr="00AF0BB2" w:rsidRDefault="002F5089" w:rsidP="002F5089">
            <w:pPr>
              <w:jc w:val="right"/>
              <w:rPr>
                <w:color w:val="000000"/>
                <w:sz w:val="18"/>
                <w:szCs w:val="18"/>
                <w:lang w:eastAsia="en-NZ"/>
              </w:rPr>
            </w:pPr>
            <w:r w:rsidRPr="00AF0BB2">
              <w:rPr>
                <w:color w:val="000000"/>
                <w:sz w:val="18"/>
                <w:szCs w:val="18"/>
              </w:rPr>
              <w:t>473</w:t>
            </w:r>
          </w:p>
        </w:tc>
        <w:tc>
          <w:tcPr>
            <w:tcW w:w="1131" w:type="dxa"/>
            <w:shd w:val="clear" w:color="auto" w:fill="auto"/>
            <w:noWrap/>
            <w:vAlign w:val="center"/>
          </w:tcPr>
          <w:p w14:paraId="1EF8BB2B" w14:textId="77777777" w:rsidR="002F5089" w:rsidRPr="00AF0BB2" w:rsidRDefault="002F5089" w:rsidP="002F5089">
            <w:pPr>
              <w:jc w:val="right"/>
              <w:rPr>
                <w:color w:val="000000"/>
                <w:sz w:val="18"/>
                <w:szCs w:val="18"/>
                <w:lang w:eastAsia="en-NZ"/>
              </w:rPr>
            </w:pPr>
            <w:r>
              <w:rPr>
                <w:color w:val="000000"/>
                <w:sz w:val="18"/>
                <w:szCs w:val="18"/>
              </w:rPr>
              <w:t>41</w:t>
            </w:r>
          </w:p>
        </w:tc>
        <w:tc>
          <w:tcPr>
            <w:tcW w:w="985" w:type="dxa"/>
            <w:shd w:val="clear" w:color="auto" w:fill="auto"/>
            <w:noWrap/>
            <w:vAlign w:val="center"/>
          </w:tcPr>
          <w:p w14:paraId="473133CB" w14:textId="77777777" w:rsidR="002F5089" w:rsidRPr="00AF0BB2" w:rsidRDefault="002F5089" w:rsidP="002F5089">
            <w:pPr>
              <w:jc w:val="right"/>
              <w:rPr>
                <w:color w:val="000000"/>
                <w:sz w:val="18"/>
                <w:szCs w:val="18"/>
                <w:lang w:eastAsia="en-NZ"/>
              </w:rPr>
            </w:pPr>
          </w:p>
        </w:tc>
      </w:tr>
      <w:tr w:rsidR="002F5089" w:rsidRPr="00BA05A5" w14:paraId="398855B0" w14:textId="77777777" w:rsidTr="008D2B52">
        <w:tc>
          <w:tcPr>
            <w:tcW w:w="1619" w:type="dxa"/>
            <w:vMerge/>
            <w:shd w:val="clear" w:color="auto" w:fill="auto"/>
            <w:noWrap/>
            <w:vAlign w:val="center"/>
            <w:hideMark/>
          </w:tcPr>
          <w:p w14:paraId="2933C141"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4189ADDC"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Pacific</w:t>
            </w:r>
          </w:p>
        </w:tc>
        <w:tc>
          <w:tcPr>
            <w:tcW w:w="0" w:type="auto"/>
            <w:gridSpan w:val="2"/>
            <w:shd w:val="clear" w:color="auto" w:fill="auto"/>
            <w:noWrap/>
            <w:vAlign w:val="center"/>
            <w:hideMark/>
          </w:tcPr>
          <w:p w14:paraId="59DFA331" w14:textId="77777777" w:rsidR="002F5089" w:rsidRPr="00BA05A5" w:rsidRDefault="002F5089" w:rsidP="002F5089">
            <w:pPr>
              <w:adjustRightInd w:val="0"/>
              <w:jc w:val="right"/>
              <w:rPr>
                <w:color w:val="000000"/>
                <w:sz w:val="18"/>
                <w:szCs w:val="18"/>
              </w:rPr>
            </w:pPr>
            <w:r w:rsidRPr="00BA05A5">
              <w:rPr>
                <w:color w:val="000000"/>
                <w:sz w:val="18"/>
                <w:szCs w:val="18"/>
              </w:rPr>
              <w:t>778</w:t>
            </w:r>
          </w:p>
        </w:tc>
        <w:tc>
          <w:tcPr>
            <w:tcW w:w="0" w:type="auto"/>
            <w:shd w:val="clear" w:color="auto" w:fill="auto"/>
            <w:noWrap/>
            <w:vAlign w:val="center"/>
            <w:hideMark/>
          </w:tcPr>
          <w:p w14:paraId="73847992" w14:textId="77777777" w:rsidR="002F5089" w:rsidRPr="00BA05A5" w:rsidRDefault="002F5089" w:rsidP="002F5089">
            <w:pPr>
              <w:adjustRightInd w:val="0"/>
              <w:jc w:val="right"/>
              <w:rPr>
                <w:color w:val="000000"/>
                <w:sz w:val="18"/>
                <w:szCs w:val="18"/>
              </w:rPr>
            </w:pPr>
            <w:r w:rsidRPr="00BA05A5">
              <w:rPr>
                <w:color w:val="000000"/>
                <w:sz w:val="18"/>
                <w:szCs w:val="18"/>
              </w:rPr>
              <w:t>439</w:t>
            </w:r>
          </w:p>
        </w:tc>
        <w:tc>
          <w:tcPr>
            <w:tcW w:w="827" w:type="dxa"/>
            <w:vAlign w:val="center"/>
          </w:tcPr>
          <w:p w14:paraId="3C38D006" w14:textId="77777777" w:rsidR="002F5089" w:rsidRPr="00BA05A5" w:rsidRDefault="002F5089" w:rsidP="002F5089">
            <w:pPr>
              <w:adjustRightInd w:val="0"/>
              <w:jc w:val="right"/>
              <w:rPr>
                <w:color w:val="000000"/>
                <w:sz w:val="18"/>
                <w:szCs w:val="18"/>
              </w:rPr>
            </w:pPr>
            <w:r w:rsidRPr="00BA05A5">
              <w:rPr>
                <w:color w:val="000000"/>
                <w:sz w:val="18"/>
                <w:szCs w:val="18"/>
              </w:rPr>
              <w:t>350</w:t>
            </w:r>
          </w:p>
        </w:tc>
        <w:tc>
          <w:tcPr>
            <w:tcW w:w="827" w:type="dxa"/>
            <w:vAlign w:val="center"/>
          </w:tcPr>
          <w:p w14:paraId="6A9144ED" w14:textId="77777777" w:rsidR="002F5089" w:rsidRPr="00AF0BB2" w:rsidRDefault="002F5089" w:rsidP="002F5089">
            <w:pPr>
              <w:jc w:val="right"/>
              <w:rPr>
                <w:color w:val="000000"/>
                <w:sz w:val="18"/>
                <w:szCs w:val="18"/>
              </w:rPr>
            </w:pPr>
            <w:r w:rsidRPr="00AF0BB2">
              <w:rPr>
                <w:color w:val="000000"/>
                <w:sz w:val="18"/>
                <w:szCs w:val="18"/>
              </w:rPr>
              <w:t>287</w:t>
            </w:r>
          </w:p>
        </w:tc>
        <w:tc>
          <w:tcPr>
            <w:tcW w:w="1131" w:type="dxa"/>
            <w:shd w:val="clear" w:color="auto" w:fill="auto"/>
            <w:noWrap/>
            <w:vAlign w:val="center"/>
          </w:tcPr>
          <w:p w14:paraId="620E34A0" w14:textId="77777777" w:rsidR="002F5089" w:rsidRPr="00AF0BB2" w:rsidRDefault="002F5089" w:rsidP="002F5089">
            <w:pPr>
              <w:jc w:val="right"/>
              <w:rPr>
                <w:color w:val="000000"/>
                <w:sz w:val="18"/>
                <w:szCs w:val="18"/>
              </w:rPr>
            </w:pPr>
            <w:r>
              <w:rPr>
                <w:color w:val="000000"/>
                <w:sz w:val="18"/>
                <w:szCs w:val="18"/>
              </w:rPr>
              <w:t>37</w:t>
            </w:r>
          </w:p>
        </w:tc>
        <w:tc>
          <w:tcPr>
            <w:tcW w:w="985" w:type="dxa"/>
            <w:shd w:val="clear" w:color="auto" w:fill="auto"/>
            <w:noWrap/>
            <w:vAlign w:val="center"/>
          </w:tcPr>
          <w:p w14:paraId="5605D9FB" w14:textId="77777777" w:rsidR="002F5089" w:rsidRPr="00AF0BB2" w:rsidRDefault="002F5089" w:rsidP="002F5089">
            <w:pPr>
              <w:jc w:val="right"/>
              <w:rPr>
                <w:color w:val="000000"/>
                <w:sz w:val="18"/>
                <w:szCs w:val="18"/>
                <w:lang w:eastAsia="en-NZ"/>
              </w:rPr>
            </w:pPr>
          </w:p>
        </w:tc>
      </w:tr>
      <w:tr w:rsidR="002F5089" w:rsidRPr="00BA05A5" w14:paraId="63530CEE" w14:textId="77777777" w:rsidTr="008D2B52">
        <w:tc>
          <w:tcPr>
            <w:tcW w:w="1619" w:type="dxa"/>
            <w:shd w:val="clear" w:color="auto" w:fill="auto"/>
            <w:noWrap/>
            <w:vAlign w:val="center"/>
            <w:hideMark/>
          </w:tcPr>
          <w:p w14:paraId="3E4C232B"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09EE077C"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Asian</w:t>
            </w:r>
          </w:p>
        </w:tc>
        <w:tc>
          <w:tcPr>
            <w:tcW w:w="0" w:type="auto"/>
            <w:gridSpan w:val="2"/>
            <w:shd w:val="clear" w:color="auto" w:fill="auto"/>
            <w:noWrap/>
            <w:vAlign w:val="center"/>
            <w:hideMark/>
          </w:tcPr>
          <w:p w14:paraId="0BA1D1E1" w14:textId="77777777" w:rsidR="002F5089" w:rsidRPr="00BA05A5" w:rsidRDefault="002F5089" w:rsidP="002F5089">
            <w:pPr>
              <w:keepNext/>
              <w:adjustRightInd w:val="0"/>
              <w:jc w:val="right"/>
              <w:rPr>
                <w:color w:val="000000"/>
                <w:sz w:val="18"/>
                <w:szCs w:val="18"/>
              </w:rPr>
            </w:pPr>
            <w:r w:rsidRPr="00BA05A5">
              <w:rPr>
                <w:color w:val="000000"/>
                <w:sz w:val="18"/>
                <w:szCs w:val="18"/>
              </w:rPr>
              <w:t>798</w:t>
            </w:r>
          </w:p>
        </w:tc>
        <w:tc>
          <w:tcPr>
            <w:tcW w:w="0" w:type="auto"/>
            <w:shd w:val="clear" w:color="auto" w:fill="auto"/>
            <w:noWrap/>
            <w:vAlign w:val="center"/>
            <w:hideMark/>
          </w:tcPr>
          <w:p w14:paraId="59FD5032" w14:textId="77777777" w:rsidR="002F5089" w:rsidRPr="00BA05A5" w:rsidRDefault="002F5089" w:rsidP="002F5089">
            <w:pPr>
              <w:keepNext/>
              <w:adjustRightInd w:val="0"/>
              <w:jc w:val="right"/>
              <w:rPr>
                <w:color w:val="000000"/>
                <w:sz w:val="18"/>
                <w:szCs w:val="18"/>
              </w:rPr>
            </w:pPr>
            <w:r w:rsidRPr="00BA05A5">
              <w:rPr>
                <w:color w:val="000000"/>
                <w:sz w:val="18"/>
                <w:szCs w:val="18"/>
              </w:rPr>
              <w:t>403</w:t>
            </w:r>
          </w:p>
        </w:tc>
        <w:tc>
          <w:tcPr>
            <w:tcW w:w="827" w:type="dxa"/>
            <w:vAlign w:val="center"/>
          </w:tcPr>
          <w:p w14:paraId="65FA757D" w14:textId="77777777" w:rsidR="002F5089" w:rsidRPr="00BA05A5" w:rsidRDefault="002F5089" w:rsidP="002F5089">
            <w:pPr>
              <w:keepNext/>
              <w:adjustRightInd w:val="0"/>
              <w:jc w:val="right"/>
              <w:rPr>
                <w:color w:val="000000"/>
                <w:sz w:val="18"/>
                <w:szCs w:val="18"/>
              </w:rPr>
            </w:pPr>
            <w:r w:rsidRPr="00BA05A5">
              <w:rPr>
                <w:color w:val="000000"/>
                <w:sz w:val="18"/>
                <w:szCs w:val="18"/>
              </w:rPr>
              <w:t>322</w:t>
            </w:r>
          </w:p>
        </w:tc>
        <w:tc>
          <w:tcPr>
            <w:tcW w:w="827" w:type="dxa"/>
            <w:vAlign w:val="center"/>
          </w:tcPr>
          <w:p w14:paraId="547A28C1" w14:textId="77777777" w:rsidR="002F5089" w:rsidRPr="00AF0BB2" w:rsidRDefault="002F5089" w:rsidP="002F5089">
            <w:pPr>
              <w:jc w:val="right"/>
              <w:rPr>
                <w:color w:val="000000"/>
                <w:sz w:val="18"/>
                <w:szCs w:val="18"/>
              </w:rPr>
            </w:pPr>
            <w:r w:rsidRPr="00AF0BB2">
              <w:rPr>
                <w:color w:val="000000"/>
                <w:sz w:val="18"/>
                <w:szCs w:val="18"/>
              </w:rPr>
              <w:t>282</w:t>
            </w:r>
          </w:p>
        </w:tc>
        <w:tc>
          <w:tcPr>
            <w:tcW w:w="1131" w:type="dxa"/>
            <w:shd w:val="clear" w:color="auto" w:fill="auto"/>
            <w:noWrap/>
            <w:vAlign w:val="center"/>
          </w:tcPr>
          <w:p w14:paraId="6D7A66FA" w14:textId="77777777" w:rsidR="002F5089" w:rsidRPr="00AF0BB2" w:rsidRDefault="002F5089" w:rsidP="002F5089">
            <w:pPr>
              <w:jc w:val="right"/>
              <w:rPr>
                <w:color w:val="000000"/>
                <w:sz w:val="18"/>
                <w:szCs w:val="18"/>
              </w:rPr>
            </w:pPr>
            <w:r>
              <w:rPr>
                <w:color w:val="000000"/>
                <w:sz w:val="18"/>
                <w:szCs w:val="18"/>
              </w:rPr>
              <w:t>35</w:t>
            </w:r>
          </w:p>
        </w:tc>
        <w:tc>
          <w:tcPr>
            <w:tcW w:w="985" w:type="dxa"/>
            <w:shd w:val="clear" w:color="auto" w:fill="auto"/>
            <w:noWrap/>
            <w:vAlign w:val="center"/>
          </w:tcPr>
          <w:p w14:paraId="0BCD701F" w14:textId="77777777" w:rsidR="002F5089" w:rsidRPr="00AF0BB2" w:rsidRDefault="002F5089" w:rsidP="002F5089">
            <w:pPr>
              <w:jc w:val="right"/>
              <w:rPr>
                <w:color w:val="000000"/>
                <w:sz w:val="18"/>
                <w:szCs w:val="18"/>
                <w:lang w:eastAsia="en-NZ"/>
              </w:rPr>
            </w:pPr>
          </w:p>
        </w:tc>
      </w:tr>
      <w:tr w:rsidR="002F5089" w:rsidRPr="00BA05A5" w14:paraId="5C6E62F4" w14:textId="77777777" w:rsidTr="002E64B9">
        <w:tc>
          <w:tcPr>
            <w:tcW w:w="1619" w:type="dxa"/>
            <w:shd w:val="clear" w:color="auto" w:fill="auto"/>
            <w:noWrap/>
            <w:vAlign w:val="center"/>
            <w:hideMark/>
          </w:tcPr>
          <w:p w14:paraId="04240518"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74E41C25"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European/Other</w:t>
            </w:r>
          </w:p>
        </w:tc>
        <w:tc>
          <w:tcPr>
            <w:tcW w:w="0" w:type="auto"/>
            <w:gridSpan w:val="2"/>
            <w:shd w:val="clear" w:color="auto" w:fill="auto"/>
            <w:noWrap/>
            <w:vAlign w:val="center"/>
            <w:hideMark/>
          </w:tcPr>
          <w:p w14:paraId="6E189AA5" w14:textId="77777777" w:rsidR="002F5089" w:rsidRPr="00BA05A5" w:rsidRDefault="002F5089" w:rsidP="002F5089">
            <w:pPr>
              <w:adjustRightInd w:val="0"/>
              <w:jc w:val="right"/>
              <w:rPr>
                <w:color w:val="000000"/>
                <w:sz w:val="18"/>
                <w:szCs w:val="18"/>
              </w:rPr>
            </w:pPr>
            <w:r w:rsidRPr="00BA05A5">
              <w:rPr>
                <w:color w:val="000000"/>
                <w:sz w:val="18"/>
                <w:szCs w:val="18"/>
              </w:rPr>
              <w:t>3448</w:t>
            </w:r>
          </w:p>
        </w:tc>
        <w:tc>
          <w:tcPr>
            <w:tcW w:w="0" w:type="auto"/>
            <w:shd w:val="clear" w:color="auto" w:fill="auto"/>
            <w:noWrap/>
            <w:vAlign w:val="center"/>
            <w:hideMark/>
          </w:tcPr>
          <w:p w14:paraId="40F198AA" w14:textId="77777777" w:rsidR="002F5089" w:rsidRPr="00BA05A5" w:rsidRDefault="002F5089" w:rsidP="002F5089">
            <w:pPr>
              <w:adjustRightInd w:val="0"/>
              <w:jc w:val="right"/>
              <w:rPr>
                <w:color w:val="000000"/>
                <w:sz w:val="18"/>
                <w:szCs w:val="18"/>
              </w:rPr>
            </w:pPr>
            <w:r w:rsidRPr="00BA05A5">
              <w:rPr>
                <w:color w:val="000000"/>
                <w:sz w:val="18"/>
                <w:szCs w:val="18"/>
              </w:rPr>
              <w:t>2209</w:t>
            </w:r>
          </w:p>
        </w:tc>
        <w:tc>
          <w:tcPr>
            <w:tcW w:w="827" w:type="dxa"/>
            <w:vAlign w:val="center"/>
          </w:tcPr>
          <w:p w14:paraId="0F7A7AD1" w14:textId="77777777" w:rsidR="002F5089" w:rsidRPr="00BA05A5" w:rsidRDefault="002F5089" w:rsidP="002F5089">
            <w:pPr>
              <w:adjustRightInd w:val="0"/>
              <w:jc w:val="right"/>
              <w:rPr>
                <w:color w:val="000000"/>
                <w:sz w:val="18"/>
                <w:szCs w:val="18"/>
              </w:rPr>
            </w:pPr>
            <w:r w:rsidRPr="00BA05A5">
              <w:rPr>
                <w:color w:val="000000"/>
                <w:sz w:val="18"/>
                <w:szCs w:val="18"/>
              </w:rPr>
              <w:t>1892</w:t>
            </w:r>
          </w:p>
        </w:tc>
        <w:tc>
          <w:tcPr>
            <w:tcW w:w="827" w:type="dxa"/>
            <w:vAlign w:val="center"/>
          </w:tcPr>
          <w:p w14:paraId="68C65B38" w14:textId="77777777" w:rsidR="002F5089" w:rsidRPr="00AF0BB2" w:rsidRDefault="002F5089" w:rsidP="002F5089">
            <w:pPr>
              <w:jc w:val="right"/>
              <w:rPr>
                <w:color w:val="000000"/>
                <w:sz w:val="18"/>
                <w:szCs w:val="18"/>
              </w:rPr>
            </w:pPr>
            <w:r w:rsidRPr="00AF0BB2">
              <w:rPr>
                <w:color w:val="000000"/>
                <w:sz w:val="18"/>
                <w:szCs w:val="18"/>
              </w:rPr>
              <w:t>1702</w:t>
            </w:r>
          </w:p>
        </w:tc>
        <w:tc>
          <w:tcPr>
            <w:tcW w:w="1131" w:type="dxa"/>
            <w:shd w:val="clear" w:color="auto" w:fill="auto"/>
            <w:noWrap/>
            <w:vAlign w:val="center"/>
          </w:tcPr>
          <w:p w14:paraId="1CA6757F" w14:textId="77777777" w:rsidR="002F5089" w:rsidRPr="00AF0BB2" w:rsidRDefault="002F5089" w:rsidP="002F5089">
            <w:pPr>
              <w:jc w:val="right"/>
              <w:rPr>
                <w:color w:val="000000"/>
                <w:sz w:val="18"/>
                <w:szCs w:val="18"/>
              </w:rPr>
            </w:pPr>
            <w:r>
              <w:rPr>
                <w:color w:val="000000"/>
                <w:sz w:val="18"/>
                <w:szCs w:val="18"/>
              </w:rPr>
              <w:t>49</w:t>
            </w:r>
          </w:p>
        </w:tc>
        <w:tc>
          <w:tcPr>
            <w:tcW w:w="985" w:type="dxa"/>
            <w:shd w:val="clear" w:color="auto" w:fill="auto"/>
            <w:noWrap/>
            <w:vAlign w:val="center"/>
          </w:tcPr>
          <w:p w14:paraId="38F6502B" w14:textId="77777777" w:rsidR="002F5089" w:rsidRPr="00AF0BB2" w:rsidRDefault="002F5089" w:rsidP="002F5089">
            <w:pPr>
              <w:jc w:val="right"/>
              <w:rPr>
                <w:color w:val="000000"/>
                <w:sz w:val="18"/>
                <w:szCs w:val="18"/>
                <w:lang w:eastAsia="en-NZ"/>
              </w:rPr>
            </w:pPr>
            <w:r w:rsidRPr="00AF0BB2">
              <w:rPr>
                <w:color w:val="000000"/>
                <w:sz w:val="18"/>
                <w:szCs w:val="18"/>
                <w:lang w:eastAsia="en-NZ"/>
              </w:rPr>
              <w:t>&lt;0.0001</w:t>
            </w:r>
          </w:p>
        </w:tc>
      </w:tr>
      <w:tr w:rsidR="002F5089" w:rsidRPr="00BA05A5" w14:paraId="5C8AC7BE" w14:textId="77777777" w:rsidTr="008D2B52">
        <w:tc>
          <w:tcPr>
            <w:tcW w:w="1619" w:type="dxa"/>
            <w:shd w:val="clear" w:color="auto" w:fill="auto"/>
            <w:noWrap/>
            <w:vAlign w:val="center"/>
            <w:hideMark/>
          </w:tcPr>
          <w:p w14:paraId="11D7029C" w14:textId="77777777" w:rsidR="002F5089" w:rsidRPr="00BA05A5" w:rsidRDefault="002F5089" w:rsidP="0063775F">
            <w:pPr>
              <w:spacing w:before="20" w:after="20"/>
              <w:rPr>
                <w:color w:val="000000"/>
                <w:sz w:val="18"/>
                <w:szCs w:val="18"/>
                <w:lang w:eastAsia="en-NZ"/>
              </w:rPr>
            </w:pPr>
          </w:p>
        </w:tc>
        <w:tc>
          <w:tcPr>
            <w:tcW w:w="2015" w:type="dxa"/>
            <w:shd w:val="clear" w:color="auto" w:fill="auto"/>
            <w:noWrap/>
            <w:vAlign w:val="center"/>
            <w:hideMark/>
          </w:tcPr>
          <w:p w14:paraId="008BD798" w14:textId="77777777" w:rsidR="002F5089" w:rsidRPr="00BA05A5" w:rsidRDefault="002F5089" w:rsidP="0063775F">
            <w:pPr>
              <w:spacing w:before="20" w:after="60"/>
              <w:rPr>
                <w:color w:val="000000"/>
                <w:sz w:val="18"/>
                <w:szCs w:val="18"/>
                <w:lang w:eastAsia="en-NZ"/>
              </w:rPr>
            </w:pPr>
            <w:r w:rsidRPr="00BA05A5">
              <w:rPr>
                <w:color w:val="000000"/>
                <w:sz w:val="18"/>
                <w:szCs w:val="18"/>
                <w:lang w:eastAsia="en-NZ"/>
              </w:rPr>
              <w:t>Not reported</w:t>
            </w:r>
          </w:p>
        </w:tc>
        <w:tc>
          <w:tcPr>
            <w:tcW w:w="0" w:type="auto"/>
            <w:gridSpan w:val="2"/>
            <w:shd w:val="clear" w:color="auto" w:fill="auto"/>
            <w:noWrap/>
            <w:vAlign w:val="center"/>
            <w:hideMark/>
          </w:tcPr>
          <w:p w14:paraId="0FDA892F" w14:textId="77777777" w:rsidR="002F5089" w:rsidRPr="00BA05A5" w:rsidRDefault="002F5089" w:rsidP="002F5089">
            <w:pPr>
              <w:spacing w:before="20" w:after="60"/>
              <w:jc w:val="right"/>
              <w:rPr>
                <w:color w:val="000000"/>
                <w:sz w:val="18"/>
                <w:szCs w:val="18"/>
                <w:lang w:eastAsia="en-NZ"/>
              </w:rPr>
            </w:pPr>
            <w:r w:rsidRPr="00BA05A5">
              <w:rPr>
                <w:color w:val="000000"/>
                <w:sz w:val="18"/>
                <w:szCs w:val="18"/>
                <w:lang w:eastAsia="en-NZ"/>
              </w:rPr>
              <w:t>63</w:t>
            </w:r>
          </w:p>
        </w:tc>
        <w:tc>
          <w:tcPr>
            <w:tcW w:w="0" w:type="auto"/>
            <w:shd w:val="clear" w:color="auto" w:fill="auto"/>
            <w:noWrap/>
            <w:vAlign w:val="center"/>
            <w:hideMark/>
          </w:tcPr>
          <w:p w14:paraId="4DCD94EF" w14:textId="77777777" w:rsidR="002F5089" w:rsidRPr="00BA05A5" w:rsidRDefault="002F5089" w:rsidP="002F5089">
            <w:pPr>
              <w:spacing w:before="20" w:after="60"/>
              <w:jc w:val="right"/>
              <w:rPr>
                <w:color w:val="000000"/>
                <w:sz w:val="18"/>
                <w:szCs w:val="18"/>
                <w:lang w:eastAsia="en-NZ"/>
              </w:rPr>
            </w:pPr>
            <w:r w:rsidRPr="00BA05A5">
              <w:rPr>
                <w:color w:val="000000"/>
                <w:sz w:val="18"/>
                <w:szCs w:val="18"/>
                <w:lang w:eastAsia="en-NZ"/>
              </w:rPr>
              <w:t>38</w:t>
            </w:r>
          </w:p>
        </w:tc>
        <w:tc>
          <w:tcPr>
            <w:tcW w:w="827" w:type="dxa"/>
            <w:vAlign w:val="center"/>
          </w:tcPr>
          <w:p w14:paraId="62D77764" w14:textId="77777777" w:rsidR="002F5089" w:rsidRPr="00BA05A5" w:rsidRDefault="002F5089" w:rsidP="002F5089">
            <w:pPr>
              <w:spacing w:before="20" w:after="60"/>
              <w:jc w:val="right"/>
              <w:rPr>
                <w:color w:val="000000"/>
                <w:sz w:val="18"/>
                <w:szCs w:val="18"/>
                <w:lang w:eastAsia="en-NZ"/>
              </w:rPr>
            </w:pPr>
            <w:r w:rsidRPr="00BA05A5">
              <w:rPr>
                <w:color w:val="000000"/>
                <w:sz w:val="18"/>
                <w:szCs w:val="18"/>
                <w:lang w:eastAsia="en-NZ"/>
              </w:rPr>
              <w:t>31</w:t>
            </w:r>
          </w:p>
        </w:tc>
        <w:tc>
          <w:tcPr>
            <w:tcW w:w="827" w:type="dxa"/>
            <w:vAlign w:val="center"/>
          </w:tcPr>
          <w:p w14:paraId="7F0C2252" w14:textId="77777777" w:rsidR="002F5089" w:rsidRPr="00AF0BB2" w:rsidRDefault="002F5089" w:rsidP="002F5089">
            <w:pPr>
              <w:spacing w:before="20" w:after="60"/>
              <w:jc w:val="right"/>
              <w:rPr>
                <w:color w:val="000000"/>
                <w:sz w:val="18"/>
                <w:szCs w:val="18"/>
                <w:lang w:eastAsia="en-NZ"/>
              </w:rPr>
            </w:pPr>
            <w:r w:rsidRPr="00AF0BB2">
              <w:rPr>
                <w:color w:val="000000"/>
                <w:sz w:val="18"/>
                <w:szCs w:val="18"/>
                <w:lang w:eastAsia="en-NZ"/>
              </w:rPr>
              <w:t>26</w:t>
            </w:r>
          </w:p>
        </w:tc>
        <w:tc>
          <w:tcPr>
            <w:tcW w:w="1131" w:type="dxa"/>
            <w:shd w:val="clear" w:color="auto" w:fill="auto"/>
            <w:noWrap/>
            <w:vAlign w:val="center"/>
          </w:tcPr>
          <w:p w14:paraId="0F8DB2AE" w14:textId="77777777" w:rsidR="002F5089" w:rsidRPr="00AF0BB2" w:rsidRDefault="002F5089" w:rsidP="002F5089">
            <w:pPr>
              <w:spacing w:before="20" w:after="60"/>
              <w:jc w:val="right"/>
              <w:rPr>
                <w:color w:val="000000"/>
                <w:sz w:val="18"/>
                <w:szCs w:val="18"/>
                <w:lang w:eastAsia="en-NZ"/>
              </w:rPr>
            </w:pPr>
            <w:r w:rsidRPr="00AF0BB2">
              <w:rPr>
                <w:color w:val="000000"/>
                <w:sz w:val="18"/>
                <w:szCs w:val="18"/>
                <w:lang w:eastAsia="en-NZ"/>
              </w:rPr>
              <w:t>-</w:t>
            </w:r>
          </w:p>
        </w:tc>
        <w:tc>
          <w:tcPr>
            <w:tcW w:w="985" w:type="dxa"/>
            <w:shd w:val="clear" w:color="auto" w:fill="auto"/>
            <w:noWrap/>
            <w:vAlign w:val="center"/>
          </w:tcPr>
          <w:p w14:paraId="4A0C7FAC" w14:textId="77777777" w:rsidR="002F5089" w:rsidRPr="00AF0BB2" w:rsidRDefault="002F5089" w:rsidP="002F5089">
            <w:pPr>
              <w:jc w:val="right"/>
              <w:rPr>
                <w:color w:val="000000"/>
                <w:sz w:val="18"/>
                <w:szCs w:val="18"/>
                <w:lang w:eastAsia="en-NZ"/>
              </w:rPr>
            </w:pPr>
          </w:p>
        </w:tc>
      </w:tr>
      <w:tr w:rsidR="002F5089" w:rsidRPr="00BA05A5" w14:paraId="6354FC1F" w14:textId="77777777" w:rsidTr="008D2B52">
        <w:tc>
          <w:tcPr>
            <w:tcW w:w="1619" w:type="dxa"/>
            <w:shd w:val="clear" w:color="auto" w:fill="auto"/>
            <w:noWrap/>
            <w:vAlign w:val="center"/>
            <w:hideMark/>
          </w:tcPr>
          <w:p w14:paraId="531DB131" w14:textId="77777777" w:rsidR="002F5089" w:rsidRPr="00BA05A5" w:rsidRDefault="002F5089" w:rsidP="0063775F">
            <w:pPr>
              <w:spacing w:before="20" w:after="20"/>
              <w:rPr>
                <w:color w:val="000000"/>
                <w:sz w:val="18"/>
                <w:szCs w:val="18"/>
                <w:lang w:eastAsia="en-NZ"/>
              </w:rPr>
            </w:pPr>
            <w:r>
              <w:rPr>
                <w:color w:val="000000"/>
                <w:sz w:val="18"/>
                <w:szCs w:val="18"/>
                <w:lang w:eastAsia="en-NZ"/>
              </w:rPr>
              <w:t>Area of residence</w:t>
            </w:r>
          </w:p>
        </w:tc>
        <w:tc>
          <w:tcPr>
            <w:tcW w:w="2015" w:type="dxa"/>
            <w:shd w:val="clear" w:color="auto" w:fill="auto"/>
            <w:noWrap/>
            <w:vAlign w:val="center"/>
            <w:hideMark/>
          </w:tcPr>
          <w:p w14:paraId="35239798"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Auckland</w:t>
            </w:r>
          </w:p>
        </w:tc>
        <w:tc>
          <w:tcPr>
            <w:tcW w:w="0" w:type="auto"/>
            <w:gridSpan w:val="2"/>
            <w:shd w:val="clear" w:color="auto" w:fill="auto"/>
            <w:noWrap/>
            <w:vAlign w:val="center"/>
            <w:hideMark/>
          </w:tcPr>
          <w:p w14:paraId="317B6030" w14:textId="77777777" w:rsidR="002F5089" w:rsidRPr="00BA05A5" w:rsidRDefault="002F5089" w:rsidP="002F5089">
            <w:pPr>
              <w:adjustRightInd w:val="0"/>
              <w:jc w:val="right"/>
              <w:rPr>
                <w:color w:val="000000"/>
                <w:sz w:val="18"/>
                <w:szCs w:val="18"/>
              </w:rPr>
            </w:pPr>
            <w:r w:rsidRPr="00BA05A5">
              <w:rPr>
                <w:color w:val="000000"/>
                <w:sz w:val="18"/>
                <w:szCs w:val="18"/>
              </w:rPr>
              <w:t>2101</w:t>
            </w:r>
          </w:p>
        </w:tc>
        <w:tc>
          <w:tcPr>
            <w:tcW w:w="0" w:type="auto"/>
            <w:shd w:val="clear" w:color="auto" w:fill="auto"/>
            <w:noWrap/>
            <w:vAlign w:val="center"/>
            <w:hideMark/>
          </w:tcPr>
          <w:p w14:paraId="6525CD3A" w14:textId="77777777" w:rsidR="002F5089" w:rsidRPr="00BA05A5" w:rsidRDefault="002F5089" w:rsidP="002F5089">
            <w:pPr>
              <w:adjustRightInd w:val="0"/>
              <w:jc w:val="right"/>
              <w:rPr>
                <w:color w:val="000000"/>
                <w:sz w:val="18"/>
                <w:szCs w:val="18"/>
              </w:rPr>
            </w:pPr>
            <w:r w:rsidRPr="00BA05A5">
              <w:rPr>
                <w:color w:val="000000"/>
                <w:sz w:val="18"/>
                <w:szCs w:val="18"/>
              </w:rPr>
              <w:t>1225</w:t>
            </w:r>
          </w:p>
        </w:tc>
        <w:tc>
          <w:tcPr>
            <w:tcW w:w="827" w:type="dxa"/>
            <w:vAlign w:val="center"/>
          </w:tcPr>
          <w:p w14:paraId="763F2852" w14:textId="77777777" w:rsidR="002F5089" w:rsidRPr="00BA05A5" w:rsidRDefault="002F5089" w:rsidP="002F5089">
            <w:pPr>
              <w:adjustRightInd w:val="0"/>
              <w:jc w:val="right"/>
              <w:rPr>
                <w:color w:val="000000"/>
                <w:sz w:val="18"/>
                <w:szCs w:val="18"/>
              </w:rPr>
            </w:pPr>
            <w:r w:rsidRPr="00BA05A5">
              <w:rPr>
                <w:color w:val="000000"/>
                <w:sz w:val="18"/>
                <w:szCs w:val="18"/>
              </w:rPr>
              <w:t>1012</w:t>
            </w:r>
          </w:p>
        </w:tc>
        <w:tc>
          <w:tcPr>
            <w:tcW w:w="827" w:type="dxa"/>
            <w:vAlign w:val="center"/>
          </w:tcPr>
          <w:p w14:paraId="6FFAD476" w14:textId="77777777" w:rsidR="002F5089" w:rsidRPr="00AF0BB2" w:rsidRDefault="002F5089" w:rsidP="002F5089">
            <w:pPr>
              <w:jc w:val="right"/>
              <w:rPr>
                <w:color w:val="000000"/>
                <w:sz w:val="18"/>
                <w:szCs w:val="18"/>
                <w:lang w:eastAsia="en-NZ"/>
              </w:rPr>
            </w:pPr>
            <w:r w:rsidRPr="00AF0BB2">
              <w:rPr>
                <w:color w:val="000000"/>
                <w:sz w:val="18"/>
                <w:szCs w:val="18"/>
              </w:rPr>
              <w:t>880</w:t>
            </w:r>
          </w:p>
        </w:tc>
        <w:tc>
          <w:tcPr>
            <w:tcW w:w="1131" w:type="dxa"/>
            <w:shd w:val="clear" w:color="auto" w:fill="auto"/>
            <w:noWrap/>
            <w:vAlign w:val="center"/>
          </w:tcPr>
          <w:p w14:paraId="04B5AAAE" w14:textId="77777777" w:rsidR="002F5089" w:rsidRPr="00AF0BB2" w:rsidRDefault="002F5089" w:rsidP="002F5089">
            <w:pPr>
              <w:jc w:val="right"/>
              <w:rPr>
                <w:color w:val="000000"/>
                <w:sz w:val="18"/>
                <w:szCs w:val="18"/>
                <w:lang w:eastAsia="en-NZ"/>
              </w:rPr>
            </w:pPr>
            <w:r>
              <w:rPr>
                <w:color w:val="000000"/>
                <w:sz w:val="18"/>
                <w:szCs w:val="18"/>
              </w:rPr>
              <w:t>42</w:t>
            </w:r>
          </w:p>
        </w:tc>
        <w:tc>
          <w:tcPr>
            <w:tcW w:w="985" w:type="dxa"/>
            <w:shd w:val="clear" w:color="auto" w:fill="auto"/>
            <w:noWrap/>
            <w:vAlign w:val="center"/>
          </w:tcPr>
          <w:p w14:paraId="486199C5" w14:textId="77777777" w:rsidR="002F5089" w:rsidRPr="00AF0BB2" w:rsidRDefault="002F5089" w:rsidP="002F5089">
            <w:pPr>
              <w:jc w:val="right"/>
              <w:rPr>
                <w:color w:val="000000"/>
                <w:sz w:val="18"/>
                <w:szCs w:val="18"/>
                <w:lang w:eastAsia="en-NZ"/>
              </w:rPr>
            </w:pPr>
          </w:p>
        </w:tc>
      </w:tr>
      <w:tr w:rsidR="002F5089" w:rsidRPr="00BA05A5" w14:paraId="039EB06E" w14:textId="77777777" w:rsidTr="008D2B52">
        <w:tc>
          <w:tcPr>
            <w:tcW w:w="1619" w:type="dxa"/>
            <w:shd w:val="clear" w:color="auto" w:fill="auto"/>
            <w:noWrap/>
            <w:vAlign w:val="center"/>
            <w:hideMark/>
          </w:tcPr>
          <w:p w14:paraId="4E591E22"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4BE5D545"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Wellington</w:t>
            </w:r>
          </w:p>
        </w:tc>
        <w:tc>
          <w:tcPr>
            <w:tcW w:w="0" w:type="auto"/>
            <w:gridSpan w:val="2"/>
            <w:shd w:val="clear" w:color="auto" w:fill="auto"/>
            <w:noWrap/>
            <w:vAlign w:val="center"/>
            <w:hideMark/>
          </w:tcPr>
          <w:p w14:paraId="4B338684" w14:textId="77777777" w:rsidR="002F5089" w:rsidRPr="00BA05A5" w:rsidRDefault="002F5089" w:rsidP="002F5089">
            <w:pPr>
              <w:adjustRightInd w:val="0"/>
              <w:jc w:val="right"/>
              <w:rPr>
                <w:color w:val="000000"/>
                <w:sz w:val="18"/>
                <w:szCs w:val="18"/>
              </w:rPr>
            </w:pPr>
            <w:r w:rsidRPr="00BA05A5">
              <w:rPr>
                <w:color w:val="000000"/>
                <w:sz w:val="18"/>
                <w:szCs w:val="18"/>
              </w:rPr>
              <w:t>632</w:t>
            </w:r>
          </w:p>
        </w:tc>
        <w:tc>
          <w:tcPr>
            <w:tcW w:w="0" w:type="auto"/>
            <w:shd w:val="clear" w:color="auto" w:fill="auto"/>
            <w:noWrap/>
            <w:vAlign w:val="center"/>
            <w:hideMark/>
          </w:tcPr>
          <w:p w14:paraId="12BC569D" w14:textId="77777777" w:rsidR="002F5089" w:rsidRPr="00BA05A5" w:rsidRDefault="002F5089" w:rsidP="002F5089">
            <w:pPr>
              <w:adjustRightInd w:val="0"/>
              <w:jc w:val="right"/>
              <w:rPr>
                <w:color w:val="000000"/>
                <w:sz w:val="18"/>
                <w:szCs w:val="18"/>
              </w:rPr>
            </w:pPr>
            <w:r w:rsidRPr="00BA05A5">
              <w:rPr>
                <w:color w:val="000000"/>
                <w:sz w:val="18"/>
                <w:szCs w:val="18"/>
              </w:rPr>
              <w:t>420</w:t>
            </w:r>
          </w:p>
        </w:tc>
        <w:tc>
          <w:tcPr>
            <w:tcW w:w="827" w:type="dxa"/>
            <w:vAlign w:val="center"/>
          </w:tcPr>
          <w:p w14:paraId="5E5384A6" w14:textId="77777777" w:rsidR="002F5089" w:rsidRPr="00BA05A5" w:rsidRDefault="002F5089" w:rsidP="002F5089">
            <w:pPr>
              <w:adjustRightInd w:val="0"/>
              <w:jc w:val="right"/>
              <w:rPr>
                <w:color w:val="000000"/>
                <w:sz w:val="18"/>
                <w:szCs w:val="18"/>
              </w:rPr>
            </w:pPr>
            <w:r w:rsidRPr="00BA05A5">
              <w:rPr>
                <w:color w:val="000000"/>
                <w:sz w:val="18"/>
                <w:szCs w:val="18"/>
              </w:rPr>
              <w:t>338</w:t>
            </w:r>
          </w:p>
        </w:tc>
        <w:tc>
          <w:tcPr>
            <w:tcW w:w="827" w:type="dxa"/>
            <w:vAlign w:val="center"/>
          </w:tcPr>
          <w:p w14:paraId="4514B650" w14:textId="77777777" w:rsidR="002F5089" w:rsidRPr="00AF0BB2" w:rsidRDefault="002F5089" w:rsidP="002F5089">
            <w:pPr>
              <w:jc w:val="right"/>
              <w:rPr>
                <w:color w:val="000000"/>
                <w:sz w:val="18"/>
                <w:szCs w:val="18"/>
              </w:rPr>
            </w:pPr>
            <w:r w:rsidRPr="00AF0BB2">
              <w:rPr>
                <w:color w:val="000000"/>
                <w:sz w:val="18"/>
                <w:szCs w:val="18"/>
              </w:rPr>
              <w:t>308</w:t>
            </w:r>
          </w:p>
        </w:tc>
        <w:tc>
          <w:tcPr>
            <w:tcW w:w="1131" w:type="dxa"/>
            <w:shd w:val="clear" w:color="auto" w:fill="auto"/>
            <w:noWrap/>
            <w:vAlign w:val="center"/>
          </w:tcPr>
          <w:p w14:paraId="46A2E504" w14:textId="77777777" w:rsidR="002F5089" w:rsidRPr="00AF0BB2" w:rsidRDefault="002F5089" w:rsidP="002F5089">
            <w:pPr>
              <w:jc w:val="right"/>
              <w:rPr>
                <w:color w:val="000000"/>
                <w:sz w:val="18"/>
                <w:szCs w:val="18"/>
              </w:rPr>
            </w:pPr>
            <w:r>
              <w:rPr>
                <w:color w:val="000000"/>
                <w:sz w:val="18"/>
                <w:szCs w:val="18"/>
              </w:rPr>
              <w:t>49</w:t>
            </w:r>
          </w:p>
        </w:tc>
        <w:tc>
          <w:tcPr>
            <w:tcW w:w="985" w:type="dxa"/>
            <w:shd w:val="clear" w:color="auto" w:fill="auto"/>
            <w:noWrap/>
            <w:vAlign w:val="center"/>
          </w:tcPr>
          <w:p w14:paraId="7238AF01" w14:textId="77777777" w:rsidR="002F5089" w:rsidRPr="00AF0BB2" w:rsidRDefault="002F5089" w:rsidP="002F5089">
            <w:pPr>
              <w:jc w:val="right"/>
              <w:rPr>
                <w:color w:val="000000"/>
                <w:sz w:val="18"/>
                <w:szCs w:val="18"/>
                <w:lang w:eastAsia="en-NZ"/>
              </w:rPr>
            </w:pPr>
          </w:p>
        </w:tc>
      </w:tr>
      <w:tr w:rsidR="002F5089" w:rsidRPr="00BA05A5" w14:paraId="21657C47" w14:textId="77777777" w:rsidTr="008D2B52">
        <w:tc>
          <w:tcPr>
            <w:tcW w:w="1619" w:type="dxa"/>
            <w:shd w:val="clear" w:color="auto" w:fill="auto"/>
            <w:noWrap/>
            <w:vAlign w:val="center"/>
            <w:hideMark/>
          </w:tcPr>
          <w:p w14:paraId="79E31132"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1717B5EF"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Christchurch</w:t>
            </w:r>
          </w:p>
        </w:tc>
        <w:tc>
          <w:tcPr>
            <w:tcW w:w="0" w:type="auto"/>
            <w:gridSpan w:val="2"/>
            <w:shd w:val="clear" w:color="auto" w:fill="auto"/>
            <w:noWrap/>
            <w:vAlign w:val="center"/>
            <w:hideMark/>
          </w:tcPr>
          <w:p w14:paraId="03AB5497" w14:textId="77777777" w:rsidR="002F5089" w:rsidRPr="00BA05A5" w:rsidRDefault="002F5089" w:rsidP="002F5089">
            <w:pPr>
              <w:keepNext/>
              <w:adjustRightInd w:val="0"/>
              <w:jc w:val="right"/>
              <w:rPr>
                <w:color w:val="000000"/>
                <w:sz w:val="18"/>
                <w:szCs w:val="18"/>
              </w:rPr>
            </w:pPr>
            <w:r w:rsidRPr="00BA05A5">
              <w:rPr>
                <w:color w:val="000000"/>
                <w:sz w:val="18"/>
                <w:szCs w:val="18"/>
              </w:rPr>
              <w:t>342</w:t>
            </w:r>
          </w:p>
        </w:tc>
        <w:tc>
          <w:tcPr>
            <w:tcW w:w="0" w:type="auto"/>
            <w:shd w:val="clear" w:color="auto" w:fill="auto"/>
            <w:noWrap/>
            <w:vAlign w:val="center"/>
            <w:hideMark/>
          </w:tcPr>
          <w:p w14:paraId="5ED8D243" w14:textId="77777777" w:rsidR="002F5089" w:rsidRPr="00BA05A5" w:rsidRDefault="002F5089" w:rsidP="002F5089">
            <w:pPr>
              <w:keepNext/>
              <w:adjustRightInd w:val="0"/>
              <w:jc w:val="right"/>
              <w:rPr>
                <w:color w:val="000000"/>
                <w:sz w:val="18"/>
                <w:szCs w:val="18"/>
              </w:rPr>
            </w:pPr>
            <w:r w:rsidRPr="00BA05A5">
              <w:rPr>
                <w:color w:val="000000"/>
                <w:sz w:val="18"/>
                <w:szCs w:val="18"/>
              </w:rPr>
              <w:t>230</w:t>
            </w:r>
          </w:p>
        </w:tc>
        <w:tc>
          <w:tcPr>
            <w:tcW w:w="827" w:type="dxa"/>
            <w:vAlign w:val="center"/>
          </w:tcPr>
          <w:p w14:paraId="3F073107" w14:textId="77777777" w:rsidR="002F5089" w:rsidRPr="00BA05A5" w:rsidRDefault="002F5089" w:rsidP="002F5089">
            <w:pPr>
              <w:keepNext/>
              <w:adjustRightInd w:val="0"/>
              <w:jc w:val="right"/>
              <w:rPr>
                <w:color w:val="000000"/>
                <w:sz w:val="18"/>
                <w:szCs w:val="18"/>
              </w:rPr>
            </w:pPr>
            <w:r w:rsidRPr="00BA05A5">
              <w:rPr>
                <w:color w:val="000000"/>
                <w:sz w:val="18"/>
                <w:szCs w:val="18"/>
              </w:rPr>
              <w:t>193</w:t>
            </w:r>
          </w:p>
        </w:tc>
        <w:tc>
          <w:tcPr>
            <w:tcW w:w="827" w:type="dxa"/>
            <w:vAlign w:val="center"/>
          </w:tcPr>
          <w:p w14:paraId="11F0A779" w14:textId="77777777" w:rsidR="002F5089" w:rsidRPr="00AF0BB2" w:rsidRDefault="002F5089" w:rsidP="002F5089">
            <w:pPr>
              <w:jc w:val="right"/>
              <w:rPr>
                <w:color w:val="000000"/>
                <w:sz w:val="18"/>
                <w:szCs w:val="18"/>
              </w:rPr>
            </w:pPr>
            <w:r w:rsidRPr="00AF0BB2">
              <w:rPr>
                <w:color w:val="000000"/>
                <w:sz w:val="18"/>
                <w:szCs w:val="18"/>
              </w:rPr>
              <w:t>179</w:t>
            </w:r>
          </w:p>
        </w:tc>
        <w:tc>
          <w:tcPr>
            <w:tcW w:w="1131" w:type="dxa"/>
            <w:shd w:val="clear" w:color="auto" w:fill="auto"/>
            <w:noWrap/>
            <w:vAlign w:val="center"/>
          </w:tcPr>
          <w:p w14:paraId="58557CD6" w14:textId="77777777" w:rsidR="002F5089" w:rsidRPr="00AF0BB2" w:rsidRDefault="002F5089" w:rsidP="002F5089">
            <w:pPr>
              <w:jc w:val="right"/>
              <w:rPr>
                <w:color w:val="000000"/>
                <w:sz w:val="18"/>
                <w:szCs w:val="18"/>
              </w:rPr>
            </w:pPr>
            <w:r>
              <w:rPr>
                <w:color w:val="000000"/>
                <w:sz w:val="18"/>
                <w:szCs w:val="18"/>
              </w:rPr>
              <w:t>52</w:t>
            </w:r>
          </w:p>
        </w:tc>
        <w:tc>
          <w:tcPr>
            <w:tcW w:w="985" w:type="dxa"/>
            <w:shd w:val="clear" w:color="auto" w:fill="auto"/>
            <w:noWrap/>
            <w:vAlign w:val="center"/>
          </w:tcPr>
          <w:p w14:paraId="62A2FA34" w14:textId="77777777" w:rsidR="002F5089" w:rsidRPr="00AF0BB2" w:rsidRDefault="002F5089" w:rsidP="002F5089">
            <w:pPr>
              <w:jc w:val="right"/>
              <w:rPr>
                <w:color w:val="000000"/>
                <w:sz w:val="18"/>
                <w:szCs w:val="18"/>
                <w:lang w:eastAsia="en-NZ"/>
              </w:rPr>
            </w:pPr>
          </w:p>
        </w:tc>
      </w:tr>
      <w:tr w:rsidR="002F5089" w:rsidRPr="00BA05A5" w14:paraId="61FA712A" w14:textId="77777777" w:rsidTr="002E64B9">
        <w:tc>
          <w:tcPr>
            <w:tcW w:w="1619" w:type="dxa"/>
            <w:shd w:val="clear" w:color="auto" w:fill="auto"/>
            <w:noWrap/>
            <w:vAlign w:val="center"/>
            <w:hideMark/>
          </w:tcPr>
          <w:p w14:paraId="4D5D6C09"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1406709C" w14:textId="77777777" w:rsidR="002F5089" w:rsidRPr="00BA05A5" w:rsidRDefault="002F5089" w:rsidP="0063775F">
            <w:pPr>
              <w:spacing w:before="20" w:after="60"/>
              <w:rPr>
                <w:color w:val="000000"/>
                <w:sz w:val="18"/>
                <w:szCs w:val="18"/>
                <w:lang w:eastAsia="en-NZ"/>
              </w:rPr>
            </w:pPr>
            <w:r w:rsidRPr="00BA05A5">
              <w:rPr>
                <w:color w:val="000000"/>
                <w:sz w:val="18"/>
                <w:szCs w:val="18"/>
                <w:lang w:eastAsia="en-NZ"/>
              </w:rPr>
              <w:t>Rest of NZ</w:t>
            </w:r>
          </w:p>
        </w:tc>
        <w:tc>
          <w:tcPr>
            <w:tcW w:w="0" w:type="auto"/>
            <w:gridSpan w:val="2"/>
            <w:shd w:val="clear" w:color="auto" w:fill="auto"/>
            <w:noWrap/>
            <w:vAlign w:val="center"/>
            <w:hideMark/>
          </w:tcPr>
          <w:p w14:paraId="561AD442" w14:textId="77777777" w:rsidR="002F5089" w:rsidRPr="00BA05A5" w:rsidRDefault="002F5089" w:rsidP="002F5089">
            <w:pPr>
              <w:spacing w:before="20" w:after="60"/>
              <w:jc w:val="right"/>
              <w:rPr>
                <w:color w:val="000000"/>
                <w:sz w:val="18"/>
                <w:szCs w:val="18"/>
                <w:lang w:eastAsia="en-NZ"/>
              </w:rPr>
            </w:pPr>
            <w:r w:rsidRPr="00BA05A5">
              <w:rPr>
                <w:color w:val="000000"/>
                <w:sz w:val="18"/>
                <w:szCs w:val="18"/>
                <w:lang w:eastAsia="en-NZ"/>
              </w:rPr>
              <w:t>3176</w:t>
            </w:r>
          </w:p>
        </w:tc>
        <w:tc>
          <w:tcPr>
            <w:tcW w:w="0" w:type="auto"/>
            <w:shd w:val="clear" w:color="auto" w:fill="auto"/>
            <w:noWrap/>
            <w:vAlign w:val="center"/>
            <w:hideMark/>
          </w:tcPr>
          <w:p w14:paraId="5E4DBBAC" w14:textId="77777777" w:rsidR="002F5089" w:rsidRPr="00BA05A5" w:rsidRDefault="002F5089" w:rsidP="002F5089">
            <w:pPr>
              <w:spacing w:before="20" w:after="60"/>
              <w:jc w:val="right"/>
              <w:rPr>
                <w:color w:val="000000"/>
                <w:sz w:val="18"/>
                <w:szCs w:val="18"/>
                <w:lang w:eastAsia="en-NZ"/>
              </w:rPr>
            </w:pPr>
            <w:r w:rsidRPr="00BA05A5">
              <w:rPr>
                <w:color w:val="000000"/>
                <w:sz w:val="18"/>
                <w:szCs w:val="18"/>
                <w:lang w:eastAsia="en-NZ"/>
              </w:rPr>
              <w:t>1870</w:t>
            </w:r>
          </w:p>
        </w:tc>
        <w:tc>
          <w:tcPr>
            <w:tcW w:w="827" w:type="dxa"/>
            <w:vAlign w:val="center"/>
          </w:tcPr>
          <w:p w14:paraId="67258B33" w14:textId="77777777" w:rsidR="002F5089" w:rsidRPr="00BA05A5" w:rsidRDefault="002F5089" w:rsidP="002F5089">
            <w:pPr>
              <w:spacing w:before="20" w:after="60"/>
              <w:jc w:val="right"/>
              <w:rPr>
                <w:color w:val="000000"/>
                <w:sz w:val="18"/>
                <w:szCs w:val="18"/>
                <w:lang w:eastAsia="en-NZ"/>
              </w:rPr>
            </w:pPr>
            <w:r w:rsidRPr="00BA05A5">
              <w:rPr>
                <w:color w:val="000000"/>
                <w:sz w:val="18"/>
                <w:szCs w:val="18"/>
                <w:lang w:eastAsia="en-NZ"/>
              </w:rPr>
              <w:t>1572</w:t>
            </w:r>
          </w:p>
        </w:tc>
        <w:tc>
          <w:tcPr>
            <w:tcW w:w="827" w:type="dxa"/>
            <w:vAlign w:val="center"/>
          </w:tcPr>
          <w:p w14:paraId="265A1BF0" w14:textId="77777777" w:rsidR="002F5089" w:rsidRPr="00AF0BB2" w:rsidRDefault="002F5089" w:rsidP="002F5089">
            <w:pPr>
              <w:spacing w:before="20" w:after="60"/>
              <w:jc w:val="right"/>
              <w:rPr>
                <w:color w:val="000000"/>
                <w:sz w:val="18"/>
                <w:szCs w:val="18"/>
                <w:lang w:eastAsia="en-NZ"/>
              </w:rPr>
            </w:pPr>
            <w:r w:rsidRPr="00AF0BB2">
              <w:rPr>
                <w:color w:val="000000"/>
                <w:sz w:val="18"/>
                <w:szCs w:val="18"/>
                <w:lang w:eastAsia="en-NZ"/>
              </w:rPr>
              <w:t>1403</w:t>
            </w:r>
          </w:p>
        </w:tc>
        <w:tc>
          <w:tcPr>
            <w:tcW w:w="1131" w:type="dxa"/>
            <w:shd w:val="clear" w:color="auto" w:fill="auto"/>
            <w:noWrap/>
            <w:vAlign w:val="center"/>
          </w:tcPr>
          <w:p w14:paraId="69EE9C0E" w14:textId="77777777" w:rsidR="002F5089" w:rsidRPr="00AF0BB2" w:rsidRDefault="002F5089" w:rsidP="002F5089">
            <w:pPr>
              <w:spacing w:before="20" w:after="60"/>
              <w:jc w:val="right"/>
              <w:rPr>
                <w:color w:val="000000"/>
                <w:sz w:val="18"/>
                <w:szCs w:val="18"/>
                <w:lang w:eastAsia="en-NZ"/>
              </w:rPr>
            </w:pPr>
            <w:r>
              <w:rPr>
                <w:color w:val="000000"/>
                <w:sz w:val="18"/>
                <w:szCs w:val="18"/>
                <w:lang w:eastAsia="en-NZ"/>
              </w:rPr>
              <w:t>44</w:t>
            </w:r>
          </w:p>
        </w:tc>
        <w:tc>
          <w:tcPr>
            <w:tcW w:w="985" w:type="dxa"/>
            <w:shd w:val="clear" w:color="auto" w:fill="auto"/>
            <w:noWrap/>
            <w:vAlign w:val="center"/>
          </w:tcPr>
          <w:p w14:paraId="01E5A513" w14:textId="77777777" w:rsidR="002F5089" w:rsidRPr="00AF0BB2" w:rsidRDefault="002F5089" w:rsidP="002F5089">
            <w:pPr>
              <w:spacing w:before="20" w:after="60"/>
              <w:jc w:val="right"/>
              <w:rPr>
                <w:color w:val="000000"/>
                <w:sz w:val="18"/>
                <w:szCs w:val="18"/>
                <w:lang w:eastAsia="en-NZ"/>
              </w:rPr>
            </w:pPr>
            <w:r w:rsidRPr="00AF0BB2">
              <w:rPr>
                <w:color w:val="000000"/>
                <w:sz w:val="18"/>
                <w:szCs w:val="18"/>
                <w:lang w:eastAsia="en-NZ"/>
              </w:rPr>
              <w:t>0.0003</w:t>
            </w:r>
          </w:p>
        </w:tc>
      </w:tr>
      <w:tr w:rsidR="002F5089" w:rsidRPr="00BA05A5" w14:paraId="73A35303" w14:textId="77777777" w:rsidTr="008D2B52">
        <w:tc>
          <w:tcPr>
            <w:tcW w:w="1619" w:type="dxa"/>
            <w:vMerge w:val="restart"/>
            <w:shd w:val="clear" w:color="auto" w:fill="auto"/>
            <w:noWrap/>
            <w:vAlign w:val="center"/>
            <w:hideMark/>
          </w:tcPr>
          <w:p w14:paraId="5FD438FE"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Problem Gambling Severity Index score (PGSI)</w:t>
            </w:r>
          </w:p>
        </w:tc>
        <w:tc>
          <w:tcPr>
            <w:tcW w:w="2015" w:type="dxa"/>
            <w:shd w:val="clear" w:color="auto" w:fill="auto"/>
            <w:noWrap/>
            <w:vAlign w:val="center"/>
            <w:hideMark/>
          </w:tcPr>
          <w:p w14:paraId="6B9B45DB"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No gambling in last year</w:t>
            </w:r>
          </w:p>
        </w:tc>
        <w:tc>
          <w:tcPr>
            <w:tcW w:w="0" w:type="auto"/>
            <w:gridSpan w:val="2"/>
            <w:shd w:val="clear" w:color="auto" w:fill="auto"/>
            <w:noWrap/>
            <w:vAlign w:val="center"/>
            <w:hideMark/>
          </w:tcPr>
          <w:p w14:paraId="3ED3DDBE" w14:textId="77777777" w:rsidR="002F5089" w:rsidRPr="00BA05A5" w:rsidRDefault="002F5089" w:rsidP="002F5089">
            <w:pPr>
              <w:adjustRightInd w:val="0"/>
              <w:jc w:val="right"/>
              <w:rPr>
                <w:color w:val="000000"/>
                <w:sz w:val="18"/>
                <w:szCs w:val="18"/>
              </w:rPr>
            </w:pPr>
            <w:r w:rsidRPr="00BA05A5">
              <w:rPr>
                <w:color w:val="000000"/>
                <w:sz w:val="18"/>
                <w:szCs w:val="18"/>
              </w:rPr>
              <w:t>1301</w:t>
            </w:r>
          </w:p>
        </w:tc>
        <w:tc>
          <w:tcPr>
            <w:tcW w:w="0" w:type="auto"/>
            <w:shd w:val="clear" w:color="auto" w:fill="auto"/>
            <w:noWrap/>
            <w:vAlign w:val="center"/>
            <w:hideMark/>
          </w:tcPr>
          <w:p w14:paraId="60EE8D2D" w14:textId="77777777" w:rsidR="002F5089" w:rsidRPr="00BA05A5" w:rsidRDefault="002F5089" w:rsidP="002F5089">
            <w:pPr>
              <w:adjustRightInd w:val="0"/>
              <w:jc w:val="right"/>
              <w:rPr>
                <w:color w:val="000000"/>
                <w:sz w:val="18"/>
                <w:szCs w:val="18"/>
              </w:rPr>
            </w:pPr>
            <w:r w:rsidRPr="00BA05A5">
              <w:rPr>
                <w:color w:val="000000"/>
                <w:sz w:val="18"/>
                <w:szCs w:val="18"/>
              </w:rPr>
              <w:t>705</w:t>
            </w:r>
          </w:p>
        </w:tc>
        <w:tc>
          <w:tcPr>
            <w:tcW w:w="827" w:type="dxa"/>
            <w:vAlign w:val="center"/>
          </w:tcPr>
          <w:p w14:paraId="3AAAD84E" w14:textId="77777777" w:rsidR="002F5089" w:rsidRPr="00BA05A5" w:rsidRDefault="002F5089" w:rsidP="002F5089">
            <w:pPr>
              <w:adjustRightInd w:val="0"/>
              <w:jc w:val="right"/>
              <w:rPr>
                <w:color w:val="000000"/>
                <w:sz w:val="18"/>
                <w:szCs w:val="18"/>
              </w:rPr>
            </w:pPr>
            <w:r w:rsidRPr="00BA05A5">
              <w:rPr>
                <w:color w:val="000000"/>
                <w:sz w:val="18"/>
                <w:szCs w:val="18"/>
              </w:rPr>
              <w:t>576</w:t>
            </w:r>
          </w:p>
        </w:tc>
        <w:tc>
          <w:tcPr>
            <w:tcW w:w="827" w:type="dxa"/>
            <w:vAlign w:val="center"/>
          </w:tcPr>
          <w:p w14:paraId="473903D3" w14:textId="77777777" w:rsidR="002F5089" w:rsidRPr="007E57CF" w:rsidRDefault="002E64B9" w:rsidP="002F5089">
            <w:pPr>
              <w:jc w:val="right"/>
              <w:rPr>
                <w:color w:val="000000"/>
                <w:sz w:val="18"/>
                <w:szCs w:val="18"/>
              </w:rPr>
            </w:pPr>
            <w:r w:rsidRPr="007E57CF">
              <w:rPr>
                <w:color w:val="000000"/>
                <w:sz w:val="18"/>
                <w:szCs w:val="18"/>
              </w:rPr>
              <w:t>516</w:t>
            </w:r>
          </w:p>
        </w:tc>
        <w:tc>
          <w:tcPr>
            <w:tcW w:w="1131" w:type="dxa"/>
            <w:shd w:val="clear" w:color="auto" w:fill="auto"/>
            <w:noWrap/>
            <w:vAlign w:val="center"/>
          </w:tcPr>
          <w:p w14:paraId="7154872C" w14:textId="4D8BC478" w:rsidR="002F5089" w:rsidRPr="007E57CF" w:rsidRDefault="007E57CF" w:rsidP="002F5089">
            <w:pPr>
              <w:jc w:val="right"/>
              <w:rPr>
                <w:color w:val="000000"/>
                <w:sz w:val="18"/>
                <w:szCs w:val="18"/>
              </w:rPr>
            </w:pPr>
            <w:r w:rsidRPr="007E57CF">
              <w:rPr>
                <w:color w:val="000000"/>
                <w:sz w:val="18"/>
                <w:szCs w:val="18"/>
              </w:rPr>
              <w:t>40</w:t>
            </w:r>
          </w:p>
        </w:tc>
        <w:tc>
          <w:tcPr>
            <w:tcW w:w="985" w:type="dxa"/>
            <w:shd w:val="clear" w:color="auto" w:fill="auto"/>
            <w:noWrap/>
            <w:vAlign w:val="center"/>
          </w:tcPr>
          <w:p w14:paraId="52D294CD" w14:textId="77777777" w:rsidR="002F5089" w:rsidRPr="00AF0BB2" w:rsidRDefault="002F5089" w:rsidP="002F5089">
            <w:pPr>
              <w:jc w:val="right"/>
              <w:rPr>
                <w:color w:val="000000"/>
                <w:sz w:val="18"/>
                <w:szCs w:val="18"/>
                <w:lang w:eastAsia="en-NZ"/>
              </w:rPr>
            </w:pPr>
          </w:p>
        </w:tc>
      </w:tr>
      <w:tr w:rsidR="002F5089" w:rsidRPr="00BA05A5" w14:paraId="3C2D988F" w14:textId="77777777" w:rsidTr="008D2B52">
        <w:tc>
          <w:tcPr>
            <w:tcW w:w="1619" w:type="dxa"/>
            <w:vMerge/>
            <w:shd w:val="clear" w:color="auto" w:fill="auto"/>
            <w:noWrap/>
            <w:vAlign w:val="center"/>
            <w:hideMark/>
          </w:tcPr>
          <w:p w14:paraId="5BB4926C"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39622EA6"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Non-problem</w:t>
            </w:r>
          </w:p>
        </w:tc>
        <w:tc>
          <w:tcPr>
            <w:tcW w:w="0" w:type="auto"/>
            <w:gridSpan w:val="2"/>
            <w:shd w:val="clear" w:color="auto" w:fill="auto"/>
            <w:noWrap/>
            <w:vAlign w:val="center"/>
            <w:hideMark/>
          </w:tcPr>
          <w:p w14:paraId="06A461FC" w14:textId="77777777" w:rsidR="002F5089" w:rsidRPr="00BA05A5" w:rsidRDefault="002F5089" w:rsidP="002F5089">
            <w:pPr>
              <w:adjustRightInd w:val="0"/>
              <w:jc w:val="right"/>
              <w:rPr>
                <w:color w:val="000000"/>
                <w:sz w:val="18"/>
                <w:szCs w:val="18"/>
              </w:rPr>
            </w:pPr>
            <w:r w:rsidRPr="00BA05A5">
              <w:rPr>
                <w:color w:val="000000"/>
                <w:sz w:val="18"/>
                <w:szCs w:val="18"/>
              </w:rPr>
              <w:t>4434</w:t>
            </w:r>
          </w:p>
        </w:tc>
        <w:tc>
          <w:tcPr>
            <w:tcW w:w="0" w:type="auto"/>
            <w:shd w:val="clear" w:color="auto" w:fill="auto"/>
            <w:noWrap/>
            <w:vAlign w:val="center"/>
            <w:hideMark/>
          </w:tcPr>
          <w:p w14:paraId="6B4FC58E" w14:textId="77777777" w:rsidR="002F5089" w:rsidRPr="00BA05A5" w:rsidRDefault="002F5089" w:rsidP="002F5089">
            <w:pPr>
              <w:adjustRightInd w:val="0"/>
              <w:jc w:val="right"/>
              <w:rPr>
                <w:color w:val="000000"/>
                <w:sz w:val="18"/>
                <w:szCs w:val="18"/>
              </w:rPr>
            </w:pPr>
            <w:r w:rsidRPr="00BA05A5">
              <w:rPr>
                <w:color w:val="000000"/>
                <w:sz w:val="18"/>
                <w:szCs w:val="18"/>
              </w:rPr>
              <w:t>2759</w:t>
            </w:r>
          </w:p>
        </w:tc>
        <w:tc>
          <w:tcPr>
            <w:tcW w:w="827" w:type="dxa"/>
            <w:vAlign w:val="center"/>
          </w:tcPr>
          <w:p w14:paraId="6E5ABD96" w14:textId="77777777" w:rsidR="002F5089" w:rsidRPr="00BA05A5" w:rsidRDefault="002F5089" w:rsidP="002F5089">
            <w:pPr>
              <w:adjustRightInd w:val="0"/>
              <w:jc w:val="right"/>
              <w:rPr>
                <w:color w:val="000000"/>
                <w:sz w:val="18"/>
                <w:szCs w:val="18"/>
              </w:rPr>
            </w:pPr>
            <w:r w:rsidRPr="00BA05A5">
              <w:rPr>
                <w:color w:val="000000"/>
                <w:sz w:val="18"/>
                <w:szCs w:val="18"/>
              </w:rPr>
              <w:t>2310</w:t>
            </w:r>
          </w:p>
        </w:tc>
        <w:tc>
          <w:tcPr>
            <w:tcW w:w="827" w:type="dxa"/>
            <w:vAlign w:val="center"/>
          </w:tcPr>
          <w:p w14:paraId="2A281E00" w14:textId="10E48339" w:rsidR="002F5089" w:rsidRPr="007E57CF" w:rsidRDefault="007E57CF" w:rsidP="002F5089">
            <w:pPr>
              <w:jc w:val="right"/>
              <w:rPr>
                <w:color w:val="000000"/>
                <w:sz w:val="18"/>
                <w:szCs w:val="18"/>
              </w:rPr>
            </w:pPr>
            <w:r w:rsidRPr="007E57CF">
              <w:rPr>
                <w:color w:val="000000"/>
                <w:sz w:val="18"/>
                <w:szCs w:val="18"/>
              </w:rPr>
              <w:t>2</w:t>
            </w:r>
            <w:r w:rsidR="002E64B9" w:rsidRPr="007E57CF">
              <w:rPr>
                <w:color w:val="000000"/>
                <w:sz w:val="18"/>
                <w:szCs w:val="18"/>
              </w:rPr>
              <w:t>053</w:t>
            </w:r>
          </w:p>
        </w:tc>
        <w:tc>
          <w:tcPr>
            <w:tcW w:w="1131" w:type="dxa"/>
            <w:shd w:val="clear" w:color="auto" w:fill="auto"/>
            <w:noWrap/>
            <w:vAlign w:val="center"/>
          </w:tcPr>
          <w:p w14:paraId="6013BF3D" w14:textId="332683E2" w:rsidR="002F5089" w:rsidRPr="007E57CF" w:rsidRDefault="007E57CF" w:rsidP="002F5089">
            <w:pPr>
              <w:jc w:val="right"/>
              <w:rPr>
                <w:color w:val="000000"/>
                <w:sz w:val="18"/>
                <w:szCs w:val="18"/>
              </w:rPr>
            </w:pPr>
            <w:r w:rsidRPr="007E57CF">
              <w:rPr>
                <w:color w:val="000000"/>
                <w:sz w:val="18"/>
                <w:szCs w:val="18"/>
              </w:rPr>
              <w:t>46</w:t>
            </w:r>
          </w:p>
        </w:tc>
        <w:tc>
          <w:tcPr>
            <w:tcW w:w="985" w:type="dxa"/>
            <w:shd w:val="clear" w:color="auto" w:fill="auto"/>
            <w:noWrap/>
            <w:vAlign w:val="center"/>
          </w:tcPr>
          <w:p w14:paraId="709C6DCF" w14:textId="77777777" w:rsidR="002F5089" w:rsidRPr="00AF0BB2" w:rsidRDefault="002F5089" w:rsidP="002F5089">
            <w:pPr>
              <w:jc w:val="right"/>
              <w:rPr>
                <w:color w:val="000000"/>
                <w:sz w:val="18"/>
                <w:szCs w:val="18"/>
                <w:lang w:eastAsia="en-NZ"/>
              </w:rPr>
            </w:pPr>
          </w:p>
        </w:tc>
      </w:tr>
      <w:tr w:rsidR="002F5089" w:rsidRPr="00BA05A5" w14:paraId="69C51C6C" w14:textId="77777777" w:rsidTr="008D2B52">
        <w:tc>
          <w:tcPr>
            <w:tcW w:w="1619" w:type="dxa"/>
            <w:vMerge/>
            <w:shd w:val="clear" w:color="auto" w:fill="auto"/>
            <w:noWrap/>
            <w:vAlign w:val="center"/>
            <w:hideMark/>
          </w:tcPr>
          <w:p w14:paraId="3C427141"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5BFF9324"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Low-risk</w:t>
            </w:r>
          </w:p>
        </w:tc>
        <w:tc>
          <w:tcPr>
            <w:tcW w:w="0" w:type="auto"/>
            <w:gridSpan w:val="2"/>
            <w:shd w:val="clear" w:color="auto" w:fill="auto"/>
            <w:noWrap/>
            <w:vAlign w:val="center"/>
            <w:hideMark/>
          </w:tcPr>
          <w:p w14:paraId="76BCC5AF" w14:textId="77777777" w:rsidR="002F5089" w:rsidRPr="00BA05A5" w:rsidRDefault="002F5089" w:rsidP="002F5089">
            <w:pPr>
              <w:adjustRightInd w:val="0"/>
              <w:jc w:val="right"/>
              <w:rPr>
                <w:color w:val="000000"/>
                <w:sz w:val="18"/>
                <w:szCs w:val="18"/>
              </w:rPr>
            </w:pPr>
            <w:r w:rsidRPr="00BA05A5">
              <w:rPr>
                <w:color w:val="000000"/>
                <w:sz w:val="18"/>
                <w:szCs w:val="18"/>
              </w:rPr>
              <w:t>325</w:t>
            </w:r>
          </w:p>
        </w:tc>
        <w:tc>
          <w:tcPr>
            <w:tcW w:w="0" w:type="auto"/>
            <w:shd w:val="clear" w:color="auto" w:fill="auto"/>
            <w:noWrap/>
            <w:vAlign w:val="center"/>
            <w:hideMark/>
          </w:tcPr>
          <w:p w14:paraId="42F8C335" w14:textId="77777777" w:rsidR="002F5089" w:rsidRPr="00BA05A5" w:rsidRDefault="002F5089" w:rsidP="002F5089">
            <w:pPr>
              <w:adjustRightInd w:val="0"/>
              <w:jc w:val="right"/>
              <w:rPr>
                <w:color w:val="000000"/>
                <w:sz w:val="18"/>
                <w:szCs w:val="18"/>
              </w:rPr>
            </w:pPr>
            <w:r w:rsidRPr="00BA05A5">
              <w:rPr>
                <w:color w:val="000000"/>
                <w:sz w:val="18"/>
                <w:szCs w:val="18"/>
              </w:rPr>
              <w:t>181</w:t>
            </w:r>
          </w:p>
        </w:tc>
        <w:tc>
          <w:tcPr>
            <w:tcW w:w="827" w:type="dxa"/>
            <w:vAlign w:val="center"/>
          </w:tcPr>
          <w:p w14:paraId="5C65B32D" w14:textId="77777777" w:rsidR="002F5089" w:rsidRPr="00BA05A5" w:rsidRDefault="002F5089" w:rsidP="002F5089">
            <w:pPr>
              <w:adjustRightInd w:val="0"/>
              <w:jc w:val="right"/>
              <w:rPr>
                <w:color w:val="000000"/>
                <w:sz w:val="18"/>
                <w:szCs w:val="18"/>
              </w:rPr>
            </w:pPr>
            <w:r w:rsidRPr="00BA05A5">
              <w:rPr>
                <w:color w:val="000000"/>
                <w:sz w:val="18"/>
                <w:szCs w:val="18"/>
              </w:rPr>
              <w:t>143</w:t>
            </w:r>
          </w:p>
        </w:tc>
        <w:tc>
          <w:tcPr>
            <w:tcW w:w="827" w:type="dxa"/>
            <w:vAlign w:val="center"/>
          </w:tcPr>
          <w:p w14:paraId="4497A6E8" w14:textId="77777777" w:rsidR="002F5089" w:rsidRPr="007E57CF" w:rsidRDefault="002E64B9" w:rsidP="002F5089">
            <w:pPr>
              <w:jc w:val="right"/>
              <w:rPr>
                <w:color w:val="000000"/>
                <w:sz w:val="18"/>
                <w:szCs w:val="18"/>
              </w:rPr>
            </w:pPr>
            <w:r w:rsidRPr="007E57CF">
              <w:rPr>
                <w:color w:val="000000"/>
                <w:sz w:val="18"/>
                <w:szCs w:val="18"/>
              </w:rPr>
              <w:t>124</w:t>
            </w:r>
          </w:p>
        </w:tc>
        <w:tc>
          <w:tcPr>
            <w:tcW w:w="1131" w:type="dxa"/>
            <w:shd w:val="clear" w:color="auto" w:fill="auto"/>
            <w:noWrap/>
            <w:vAlign w:val="center"/>
          </w:tcPr>
          <w:p w14:paraId="08EAD8CB" w14:textId="77777777" w:rsidR="002F5089" w:rsidRPr="007E57CF" w:rsidRDefault="002F5089" w:rsidP="002F5089">
            <w:pPr>
              <w:jc w:val="right"/>
              <w:rPr>
                <w:color w:val="000000"/>
                <w:sz w:val="18"/>
                <w:szCs w:val="18"/>
              </w:rPr>
            </w:pPr>
            <w:r w:rsidRPr="007E57CF">
              <w:rPr>
                <w:color w:val="000000"/>
                <w:sz w:val="18"/>
                <w:szCs w:val="18"/>
              </w:rPr>
              <w:t>38</w:t>
            </w:r>
          </w:p>
        </w:tc>
        <w:tc>
          <w:tcPr>
            <w:tcW w:w="985" w:type="dxa"/>
            <w:shd w:val="clear" w:color="auto" w:fill="auto"/>
            <w:noWrap/>
            <w:vAlign w:val="center"/>
          </w:tcPr>
          <w:p w14:paraId="348B944D" w14:textId="77777777" w:rsidR="002F5089" w:rsidRPr="00AF0BB2" w:rsidRDefault="002F5089" w:rsidP="002F5089">
            <w:pPr>
              <w:jc w:val="right"/>
              <w:rPr>
                <w:color w:val="000000"/>
                <w:sz w:val="18"/>
                <w:szCs w:val="18"/>
                <w:lang w:eastAsia="en-NZ"/>
              </w:rPr>
            </w:pPr>
          </w:p>
        </w:tc>
      </w:tr>
      <w:tr w:rsidR="002F5089" w:rsidRPr="00BA05A5" w14:paraId="68BB46DD" w14:textId="77777777" w:rsidTr="008D2B52">
        <w:tc>
          <w:tcPr>
            <w:tcW w:w="1619" w:type="dxa"/>
            <w:shd w:val="clear" w:color="auto" w:fill="auto"/>
            <w:noWrap/>
            <w:vAlign w:val="center"/>
            <w:hideMark/>
          </w:tcPr>
          <w:p w14:paraId="49E03BE4"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3A667FCE"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Moderate-risk</w:t>
            </w:r>
          </w:p>
        </w:tc>
        <w:tc>
          <w:tcPr>
            <w:tcW w:w="0" w:type="auto"/>
            <w:gridSpan w:val="2"/>
            <w:shd w:val="clear" w:color="auto" w:fill="auto"/>
            <w:noWrap/>
            <w:vAlign w:val="center"/>
            <w:hideMark/>
          </w:tcPr>
          <w:p w14:paraId="0941E3D9" w14:textId="77777777" w:rsidR="002F5089" w:rsidRPr="00BA05A5" w:rsidRDefault="002F5089" w:rsidP="002F5089">
            <w:pPr>
              <w:adjustRightInd w:val="0"/>
              <w:jc w:val="right"/>
              <w:rPr>
                <w:color w:val="000000"/>
                <w:sz w:val="18"/>
                <w:szCs w:val="18"/>
              </w:rPr>
            </w:pPr>
            <w:r w:rsidRPr="00BA05A5">
              <w:rPr>
                <w:color w:val="000000"/>
                <w:sz w:val="18"/>
                <w:szCs w:val="18"/>
              </w:rPr>
              <w:t>133</w:t>
            </w:r>
          </w:p>
        </w:tc>
        <w:tc>
          <w:tcPr>
            <w:tcW w:w="0" w:type="auto"/>
            <w:shd w:val="clear" w:color="auto" w:fill="auto"/>
            <w:noWrap/>
            <w:vAlign w:val="center"/>
            <w:hideMark/>
          </w:tcPr>
          <w:p w14:paraId="3FCE9F6C" w14:textId="77777777" w:rsidR="002F5089" w:rsidRPr="00BA05A5" w:rsidRDefault="002F5089" w:rsidP="002F5089">
            <w:pPr>
              <w:adjustRightInd w:val="0"/>
              <w:jc w:val="right"/>
              <w:rPr>
                <w:color w:val="000000"/>
                <w:sz w:val="18"/>
                <w:szCs w:val="18"/>
              </w:rPr>
            </w:pPr>
            <w:r w:rsidRPr="00BA05A5">
              <w:rPr>
                <w:color w:val="000000"/>
                <w:sz w:val="18"/>
                <w:szCs w:val="18"/>
              </w:rPr>
              <w:t>67</w:t>
            </w:r>
          </w:p>
        </w:tc>
        <w:tc>
          <w:tcPr>
            <w:tcW w:w="827" w:type="dxa"/>
            <w:vAlign w:val="center"/>
          </w:tcPr>
          <w:p w14:paraId="74C6D6C9" w14:textId="77777777" w:rsidR="002F5089" w:rsidRPr="00BA05A5" w:rsidRDefault="002F5089" w:rsidP="002F5089">
            <w:pPr>
              <w:adjustRightInd w:val="0"/>
              <w:jc w:val="right"/>
              <w:rPr>
                <w:color w:val="000000"/>
                <w:sz w:val="18"/>
                <w:szCs w:val="18"/>
              </w:rPr>
            </w:pPr>
            <w:r w:rsidRPr="00BA05A5">
              <w:rPr>
                <w:color w:val="000000"/>
                <w:sz w:val="18"/>
                <w:szCs w:val="18"/>
              </w:rPr>
              <w:t>56</w:t>
            </w:r>
          </w:p>
        </w:tc>
        <w:tc>
          <w:tcPr>
            <w:tcW w:w="827" w:type="dxa"/>
            <w:vAlign w:val="center"/>
          </w:tcPr>
          <w:p w14:paraId="0B2AD416" w14:textId="77777777" w:rsidR="002F5089" w:rsidRPr="007E57CF" w:rsidRDefault="002E64B9" w:rsidP="002F5089">
            <w:pPr>
              <w:jc w:val="right"/>
              <w:rPr>
                <w:color w:val="000000"/>
                <w:sz w:val="18"/>
                <w:szCs w:val="18"/>
              </w:rPr>
            </w:pPr>
            <w:r w:rsidRPr="007E57CF">
              <w:rPr>
                <w:color w:val="000000"/>
                <w:sz w:val="18"/>
                <w:szCs w:val="18"/>
              </w:rPr>
              <w:t>51</w:t>
            </w:r>
          </w:p>
        </w:tc>
        <w:tc>
          <w:tcPr>
            <w:tcW w:w="1131" w:type="dxa"/>
            <w:shd w:val="clear" w:color="auto" w:fill="auto"/>
            <w:noWrap/>
            <w:vAlign w:val="center"/>
          </w:tcPr>
          <w:p w14:paraId="0516F53C" w14:textId="796E0B42" w:rsidR="002F5089" w:rsidRPr="007E57CF" w:rsidRDefault="007E57CF" w:rsidP="002F5089">
            <w:pPr>
              <w:jc w:val="right"/>
              <w:rPr>
                <w:color w:val="000000"/>
                <w:sz w:val="18"/>
                <w:szCs w:val="18"/>
              </w:rPr>
            </w:pPr>
            <w:r w:rsidRPr="007E57CF">
              <w:rPr>
                <w:color w:val="000000"/>
                <w:sz w:val="18"/>
                <w:szCs w:val="18"/>
              </w:rPr>
              <w:t>38</w:t>
            </w:r>
          </w:p>
        </w:tc>
        <w:tc>
          <w:tcPr>
            <w:tcW w:w="985" w:type="dxa"/>
            <w:shd w:val="clear" w:color="auto" w:fill="auto"/>
            <w:noWrap/>
            <w:vAlign w:val="center"/>
          </w:tcPr>
          <w:p w14:paraId="5CCABCD6" w14:textId="77777777" w:rsidR="002F5089" w:rsidRPr="00AF0BB2" w:rsidRDefault="002F5089" w:rsidP="002F5089">
            <w:pPr>
              <w:jc w:val="right"/>
              <w:rPr>
                <w:color w:val="000000"/>
                <w:sz w:val="18"/>
                <w:szCs w:val="18"/>
                <w:lang w:eastAsia="en-NZ"/>
              </w:rPr>
            </w:pPr>
          </w:p>
        </w:tc>
      </w:tr>
      <w:tr w:rsidR="002F5089" w:rsidRPr="00BA05A5" w14:paraId="4C37F1C5" w14:textId="77777777" w:rsidTr="002E64B9">
        <w:tc>
          <w:tcPr>
            <w:tcW w:w="1619" w:type="dxa"/>
            <w:shd w:val="clear" w:color="auto" w:fill="auto"/>
            <w:noWrap/>
            <w:vAlign w:val="center"/>
            <w:hideMark/>
          </w:tcPr>
          <w:p w14:paraId="739A866A"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0A239390" w14:textId="77777777" w:rsidR="002F5089" w:rsidRPr="00BA05A5" w:rsidRDefault="002F5089" w:rsidP="0063775F">
            <w:pPr>
              <w:spacing w:before="20" w:after="60"/>
              <w:rPr>
                <w:color w:val="000000"/>
                <w:sz w:val="18"/>
                <w:szCs w:val="18"/>
                <w:lang w:eastAsia="en-NZ"/>
              </w:rPr>
            </w:pPr>
            <w:r w:rsidRPr="00BA05A5">
              <w:rPr>
                <w:color w:val="000000"/>
                <w:sz w:val="18"/>
                <w:szCs w:val="18"/>
                <w:lang w:eastAsia="en-NZ"/>
              </w:rPr>
              <w:t>Problem gambler</w:t>
            </w:r>
          </w:p>
        </w:tc>
        <w:tc>
          <w:tcPr>
            <w:tcW w:w="0" w:type="auto"/>
            <w:gridSpan w:val="2"/>
            <w:shd w:val="clear" w:color="auto" w:fill="auto"/>
            <w:noWrap/>
            <w:vAlign w:val="center"/>
            <w:hideMark/>
          </w:tcPr>
          <w:p w14:paraId="11E0A2F4" w14:textId="77777777" w:rsidR="002F5089" w:rsidRPr="00BA05A5" w:rsidRDefault="002F5089" w:rsidP="002F5089">
            <w:pPr>
              <w:spacing w:before="20" w:after="60"/>
              <w:jc w:val="right"/>
              <w:rPr>
                <w:color w:val="000000"/>
                <w:sz w:val="18"/>
                <w:szCs w:val="18"/>
                <w:lang w:eastAsia="en-NZ"/>
              </w:rPr>
            </w:pPr>
            <w:r w:rsidRPr="00BA05A5">
              <w:rPr>
                <w:color w:val="000000"/>
                <w:sz w:val="18"/>
                <w:szCs w:val="18"/>
                <w:lang w:eastAsia="en-NZ"/>
              </w:rPr>
              <w:t>58</w:t>
            </w:r>
          </w:p>
        </w:tc>
        <w:tc>
          <w:tcPr>
            <w:tcW w:w="0" w:type="auto"/>
            <w:shd w:val="clear" w:color="auto" w:fill="auto"/>
            <w:noWrap/>
            <w:vAlign w:val="center"/>
            <w:hideMark/>
          </w:tcPr>
          <w:p w14:paraId="71D8217C" w14:textId="77777777" w:rsidR="002F5089" w:rsidRPr="00BA05A5" w:rsidRDefault="002F5089" w:rsidP="002F5089">
            <w:pPr>
              <w:spacing w:before="20" w:after="60"/>
              <w:jc w:val="right"/>
              <w:rPr>
                <w:color w:val="000000"/>
                <w:sz w:val="18"/>
                <w:szCs w:val="18"/>
                <w:lang w:eastAsia="en-NZ"/>
              </w:rPr>
            </w:pPr>
            <w:r w:rsidRPr="00BA05A5">
              <w:rPr>
                <w:color w:val="000000"/>
                <w:sz w:val="18"/>
                <w:szCs w:val="18"/>
                <w:lang w:eastAsia="en-NZ"/>
              </w:rPr>
              <w:t>33</w:t>
            </w:r>
          </w:p>
        </w:tc>
        <w:tc>
          <w:tcPr>
            <w:tcW w:w="827" w:type="dxa"/>
            <w:vAlign w:val="center"/>
          </w:tcPr>
          <w:p w14:paraId="0B8990C1" w14:textId="77777777" w:rsidR="002F5089" w:rsidRPr="00BA05A5" w:rsidRDefault="002F5089" w:rsidP="002F5089">
            <w:pPr>
              <w:spacing w:before="20" w:after="60"/>
              <w:jc w:val="right"/>
              <w:rPr>
                <w:color w:val="000000"/>
                <w:sz w:val="18"/>
                <w:szCs w:val="18"/>
                <w:lang w:eastAsia="en-NZ"/>
              </w:rPr>
            </w:pPr>
            <w:r w:rsidRPr="00BA05A5">
              <w:rPr>
                <w:color w:val="000000"/>
                <w:sz w:val="18"/>
                <w:szCs w:val="18"/>
                <w:lang w:eastAsia="en-NZ"/>
              </w:rPr>
              <w:t>30</w:t>
            </w:r>
          </w:p>
        </w:tc>
        <w:tc>
          <w:tcPr>
            <w:tcW w:w="827" w:type="dxa"/>
            <w:vAlign w:val="center"/>
          </w:tcPr>
          <w:p w14:paraId="3782F596" w14:textId="77777777" w:rsidR="002F5089" w:rsidRPr="007E57CF" w:rsidRDefault="002E64B9" w:rsidP="002F5089">
            <w:pPr>
              <w:spacing w:before="20" w:after="60"/>
              <w:jc w:val="right"/>
              <w:rPr>
                <w:color w:val="000000"/>
                <w:sz w:val="18"/>
                <w:szCs w:val="18"/>
                <w:lang w:eastAsia="en-NZ"/>
              </w:rPr>
            </w:pPr>
            <w:r w:rsidRPr="007E57CF">
              <w:rPr>
                <w:color w:val="000000"/>
                <w:sz w:val="18"/>
                <w:szCs w:val="18"/>
                <w:lang w:eastAsia="en-NZ"/>
              </w:rPr>
              <w:t>26</w:t>
            </w:r>
          </w:p>
        </w:tc>
        <w:tc>
          <w:tcPr>
            <w:tcW w:w="1131" w:type="dxa"/>
            <w:shd w:val="clear" w:color="auto" w:fill="auto"/>
            <w:noWrap/>
            <w:vAlign w:val="center"/>
          </w:tcPr>
          <w:p w14:paraId="36143B2F" w14:textId="656D23AA" w:rsidR="002F5089" w:rsidRPr="007E57CF" w:rsidRDefault="007E57CF" w:rsidP="002F5089">
            <w:pPr>
              <w:spacing w:before="20" w:after="60"/>
              <w:jc w:val="right"/>
              <w:rPr>
                <w:color w:val="000000"/>
                <w:sz w:val="18"/>
                <w:szCs w:val="18"/>
                <w:lang w:eastAsia="en-NZ"/>
              </w:rPr>
            </w:pPr>
            <w:r w:rsidRPr="007E57CF">
              <w:rPr>
                <w:color w:val="000000"/>
                <w:sz w:val="18"/>
                <w:szCs w:val="18"/>
                <w:lang w:eastAsia="en-NZ"/>
              </w:rPr>
              <w:t>45</w:t>
            </w:r>
          </w:p>
        </w:tc>
        <w:tc>
          <w:tcPr>
            <w:tcW w:w="985" w:type="dxa"/>
            <w:shd w:val="clear" w:color="auto" w:fill="auto"/>
            <w:noWrap/>
            <w:vAlign w:val="center"/>
          </w:tcPr>
          <w:p w14:paraId="412F3CB0" w14:textId="77777777" w:rsidR="002F5089" w:rsidRPr="00AF0BB2" w:rsidRDefault="002F5089" w:rsidP="002F5089">
            <w:pPr>
              <w:spacing w:before="20" w:after="60"/>
              <w:jc w:val="right"/>
              <w:rPr>
                <w:color w:val="000000"/>
                <w:sz w:val="18"/>
                <w:szCs w:val="18"/>
                <w:lang w:eastAsia="en-NZ"/>
              </w:rPr>
            </w:pPr>
            <w:r w:rsidRPr="00AF0BB2">
              <w:rPr>
                <w:color w:val="000000"/>
                <w:sz w:val="18"/>
                <w:szCs w:val="18"/>
                <w:lang w:eastAsia="en-NZ"/>
              </w:rPr>
              <w:t>&lt;0.0001</w:t>
            </w:r>
          </w:p>
        </w:tc>
      </w:tr>
      <w:tr w:rsidR="002F5089" w:rsidRPr="00BA05A5" w14:paraId="29E88435" w14:textId="77777777" w:rsidTr="008D2B52">
        <w:tc>
          <w:tcPr>
            <w:tcW w:w="1619" w:type="dxa"/>
            <w:vMerge w:val="restart"/>
            <w:shd w:val="clear" w:color="auto" w:fill="auto"/>
            <w:noWrap/>
            <w:vAlign w:val="center"/>
            <w:hideMark/>
          </w:tcPr>
          <w:p w14:paraId="1942F77F"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Number of gambling activities participated in</w:t>
            </w:r>
          </w:p>
        </w:tc>
        <w:tc>
          <w:tcPr>
            <w:tcW w:w="2015" w:type="dxa"/>
            <w:shd w:val="clear" w:color="auto" w:fill="auto"/>
            <w:noWrap/>
            <w:vAlign w:val="center"/>
            <w:hideMark/>
          </w:tcPr>
          <w:p w14:paraId="391D9050"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0</w:t>
            </w:r>
          </w:p>
        </w:tc>
        <w:tc>
          <w:tcPr>
            <w:tcW w:w="0" w:type="auto"/>
            <w:gridSpan w:val="2"/>
            <w:shd w:val="clear" w:color="auto" w:fill="auto"/>
            <w:noWrap/>
            <w:vAlign w:val="center"/>
            <w:hideMark/>
          </w:tcPr>
          <w:p w14:paraId="3E362A59" w14:textId="77777777" w:rsidR="002F5089" w:rsidRPr="00BA05A5" w:rsidRDefault="002F5089" w:rsidP="002F5089">
            <w:pPr>
              <w:adjustRightInd w:val="0"/>
              <w:jc w:val="right"/>
              <w:rPr>
                <w:color w:val="000000"/>
                <w:sz w:val="18"/>
                <w:szCs w:val="18"/>
              </w:rPr>
            </w:pPr>
            <w:r w:rsidRPr="00BA05A5">
              <w:rPr>
                <w:color w:val="000000"/>
                <w:sz w:val="18"/>
                <w:szCs w:val="18"/>
              </w:rPr>
              <w:t>1301</w:t>
            </w:r>
          </w:p>
        </w:tc>
        <w:tc>
          <w:tcPr>
            <w:tcW w:w="0" w:type="auto"/>
            <w:shd w:val="clear" w:color="auto" w:fill="auto"/>
            <w:noWrap/>
            <w:vAlign w:val="center"/>
            <w:hideMark/>
          </w:tcPr>
          <w:p w14:paraId="3F0377A4" w14:textId="77777777" w:rsidR="002F5089" w:rsidRPr="00BA05A5" w:rsidRDefault="002F5089" w:rsidP="002F5089">
            <w:pPr>
              <w:adjustRightInd w:val="0"/>
              <w:jc w:val="right"/>
              <w:rPr>
                <w:color w:val="000000"/>
                <w:sz w:val="18"/>
                <w:szCs w:val="18"/>
              </w:rPr>
            </w:pPr>
            <w:r w:rsidRPr="00BA05A5">
              <w:rPr>
                <w:color w:val="000000"/>
                <w:sz w:val="18"/>
                <w:szCs w:val="18"/>
              </w:rPr>
              <w:t>705</w:t>
            </w:r>
          </w:p>
        </w:tc>
        <w:tc>
          <w:tcPr>
            <w:tcW w:w="827" w:type="dxa"/>
            <w:vAlign w:val="center"/>
          </w:tcPr>
          <w:p w14:paraId="0311AA38" w14:textId="77777777" w:rsidR="002F5089" w:rsidRPr="00BA05A5" w:rsidRDefault="002F5089" w:rsidP="002F5089">
            <w:pPr>
              <w:adjustRightInd w:val="0"/>
              <w:jc w:val="right"/>
              <w:rPr>
                <w:color w:val="000000"/>
                <w:sz w:val="18"/>
                <w:szCs w:val="18"/>
              </w:rPr>
            </w:pPr>
            <w:r w:rsidRPr="00BA05A5">
              <w:rPr>
                <w:color w:val="000000"/>
                <w:sz w:val="18"/>
                <w:szCs w:val="18"/>
              </w:rPr>
              <w:t>576</w:t>
            </w:r>
          </w:p>
        </w:tc>
        <w:tc>
          <w:tcPr>
            <w:tcW w:w="827" w:type="dxa"/>
            <w:vAlign w:val="center"/>
          </w:tcPr>
          <w:p w14:paraId="57BBDF70" w14:textId="77777777" w:rsidR="002F5089" w:rsidRPr="00AF0BB2" w:rsidRDefault="002F5089" w:rsidP="002F5089">
            <w:pPr>
              <w:jc w:val="right"/>
              <w:rPr>
                <w:color w:val="000000"/>
                <w:sz w:val="18"/>
                <w:szCs w:val="18"/>
              </w:rPr>
            </w:pPr>
            <w:r w:rsidRPr="00AF0BB2">
              <w:rPr>
                <w:color w:val="000000"/>
                <w:sz w:val="18"/>
                <w:szCs w:val="18"/>
              </w:rPr>
              <w:t>516</w:t>
            </w:r>
          </w:p>
        </w:tc>
        <w:tc>
          <w:tcPr>
            <w:tcW w:w="1131" w:type="dxa"/>
            <w:shd w:val="clear" w:color="auto" w:fill="auto"/>
            <w:noWrap/>
            <w:vAlign w:val="center"/>
          </w:tcPr>
          <w:p w14:paraId="5D77B543" w14:textId="77777777" w:rsidR="002F5089" w:rsidRPr="00AF0BB2" w:rsidRDefault="002F5089" w:rsidP="002F5089">
            <w:pPr>
              <w:jc w:val="right"/>
              <w:rPr>
                <w:color w:val="000000"/>
                <w:sz w:val="18"/>
                <w:szCs w:val="18"/>
              </w:rPr>
            </w:pPr>
            <w:r>
              <w:rPr>
                <w:color w:val="000000"/>
                <w:sz w:val="18"/>
                <w:szCs w:val="18"/>
              </w:rPr>
              <w:t>40</w:t>
            </w:r>
          </w:p>
        </w:tc>
        <w:tc>
          <w:tcPr>
            <w:tcW w:w="985" w:type="dxa"/>
            <w:shd w:val="clear" w:color="auto" w:fill="auto"/>
            <w:noWrap/>
            <w:vAlign w:val="center"/>
          </w:tcPr>
          <w:p w14:paraId="5471B98F" w14:textId="77777777" w:rsidR="002F5089" w:rsidRPr="00AF0BB2" w:rsidRDefault="002F5089" w:rsidP="002F5089">
            <w:pPr>
              <w:jc w:val="right"/>
              <w:rPr>
                <w:color w:val="000000"/>
                <w:sz w:val="18"/>
                <w:szCs w:val="18"/>
                <w:lang w:eastAsia="en-NZ"/>
              </w:rPr>
            </w:pPr>
          </w:p>
        </w:tc>
      </w:tr>
      <w:tr w:rsidR="002F5089" w:rsidRPr="00BA05A5" w14:paraId="7CF526C8" w14:textId="77777777" w:rsidTr="008D2B52">
        <w:tc>
          <w:tcPr>
            <w:tcW w:w="1619" w:type="dxa"/>
            <w:vMerge/>
            <w:shd w:val="clear" w:color="auto" w:fill="auto"/>
            <w:noWrap/>
            <w:vAlign w:val="center"/>
            <w:hideMark/>
          </w:tcPr>
          <w:p w14:paraId="5824B640"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13709CA7"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1</w:t>
            </w:r>
          </w:p>
        </w:tc>
        <w:tc>
          <w:tcPr>
            <w:tcW w:w="0" w:type="auto"/>
            <w:gridSpan w:val="2"/>
            <w:shd w:val="clear" w:color="auto" w:fill="auto"/>
            <w:noWrap/>
            <w:vAlign w:val="center"/>
            <w:hideMark/>
          </w:tcPr>
          <w:p w14:paraId="62367F9E" w14:textId="77777777" w:rsidR="002F5089" w:rsidRPr="00BA05A5" w:rsidRDefault="002F5089" w:rsidP="002F5089">
            <w:pPr>
              <w:adjustRightInd w:val="0"/>
              <w:jc w:val="right"/>
              <w:rPr>
                <w:color w:val="000000"/>
                <w:sz w:val="18"/>
                <w:szCs w:val="18"/>
              </w:rPr>
            </w:pPr>
            <w:r w:rsidRPr="00BA05A5">
              <w:rPr>
                <w:color w:val="000000"/>
                <w:sz w:val="18"/>
                <w:szCs w:val="18"/>
              </w:rPr>
              <w:t>1353</w:t>
            </w:r>
          </w:p>
        </w:tc>
        <w:tc>
          <w:tcPr>
            <w:tcW w:w="0" w:type="auto"/>
            <w:shd w:val="clear" w:color="auto" w:fill="auto"/>
            <w:noWrap/>
            <w:vAlign w:val="center"/>
            <w:hideMark/>
          </w:tcPr>
          <w:p w14:paraId="5FCABF24" w14:textId="77777777" w:rsidR="002F5089" w:rsidRPr="00BA05A5" w:rsidRDefault="002F5089" w:rsidP="002F5089">
            <w:pPr>
              <w:adjustRightInd w:val="0"/>
              <w:jc w:val="right"/>
              <w:rPr>
                <w:color w:val="000000"/>
                <w:sz w:val="18"/>
                <w:szCs w:val="18"/>
              </w:rPr>
            </w:pPr>
            <w:r w:rsidRPr="00BA05A5">
              <w:rPr>
                <w:color w:val="000000"/>
                <w:sz w:val="18"/>
                <w:szCs w:val="18"/>
              </w:rPr>
              <w:t>789</w:t>
            </w:r>
          </w:p>
        </w:tc>
        <w:tc>
          <w:tcPr>
            <w:tcW w:w="827" w:type="dxa"/>
            <w:vAlign w:val="center"/>
          </w:tcPr>
          <w:p w14:paraId="0013B3C1" w14:textId="77777777" w:rsidR="002F5089" w:rsidRPr="00BA05A5" w:rsidRDefault="002F5089" w:rsidP="002F5089">
            <w:pPr>
              <w:adjustRightInd w:val="0"/>
              <w:jc w:val="right"/>
              <w:rPr>
                <w:color w:val="000000"/>
                <w:sz w:val="18"/>
                <w:szCs w:val="18"/>
              </w:rPr>
            </w:pPr>
            <w:r w:rsidRPr="00BA05A5">
              <w:rPr>
                <w:color w:val="000000"/>
                <w:sz w:val="18"/>
                <w:szCs w:val="18"/>
              </w:rPr>
              <w:t>668</w:t>
            </w:r>
          </w:p>
        </w:tc>
        <w:tc>
          <w:tcPr>
            <w:tcW w:w="827" w:type="dxa"/>
            <w:vAlign w:val="center"/>
          </w:tcPr>
          <w:p w14:paraId="0EE3A744" w14:textId="77777777" w:rsidR="002F5089" w:rsidRPr="00AF0BB2" w:rsidRDefault="002F5089" w:rsidP="002F5089">
            <w:pPr>
              <w:jc w:val="right"/>
              <w:rPr>
                <w:color w:val="000000"/>
                <w:sz w:val="18"/>
                <w:szCs w:val="18"/>
              </w:rPr>
            </w:pPr>
            <w:r w:rsidRPr="00AF0BB2">
              <w:rPr>
                <w:color w:val="000000"/>
                <w:sz w:val="18"/>
                <w:szCs w:val="18"/>
              </w:rPr>
              <w:t>584</w:t>
            </w:r>
          </w:p>
        </w:tc>
        <w:tc>
          <w:tcPr>
            <w:tcW w:w="1131" w:type="dxa"/>
            <w:shd w:val="clear" w:color="auto" w:fill="auto"/>
            <w:noWrap/>
            <w:vAlign w:val="center"/>
          </w:tcPr>
          <w:p w14:paraId="4E949F5D" w14:textId="77777777" w:rsidR="002F5089" w:rsidRPr="00AF0BB2" w:rsidRDefault="002F5089" w:rsidP="002F5089">
            <w:pPr>
              <w:jc w:val="right"/>
              <w:rPr>
                <w:color w:val="000000"/>
                <w:sz w:val="18"/>
                <w:szCs w:val="18"/>
              </w:rPr>
            </w:pPr>
            <w:r>
              <w:rPr>
                <w:color w:val="000000"/>
                <w:sz w:val="18"/>
                <w:szCs w:val="18"/>
              </w:rPr>
              <w:t>43</w:t>
            </w:r>
          </w:p>
        </w:tc>
        <w:tc>
          <w:tcPr>
            <w:tcW w:w="985" w:type="dxa"/>
            <w:shd w:val="clear" w:color="auto" w:fill="auto"/>
            <w:noWrap/>
            <w:vAlign w:val="center"/>
          </w:tcPr>
          <w:p w14:paraId="36B29B1B" w14:textId="77777777" w:rsidR="002F5089" w:rsidRPr="00AF0BB2" w:rsidRDefault="002F5089" w:rsidP="002F5089">
            <w:pPr>
              <w:jc w:val="right"/>
              <w:rPr>
                <w:color w:val="000000"/>
                <w:sz w:val="18"/>
                <w:szCs w:val="18"/>
                <w:lang w:eastAsia="en-NZ"/>
              </w:rPr>
            </w:pPr>
          </w:p>
        </w:tc>
      </w:tr>
      <w:tr w:rsidR="002F5089" w:rsidRPr="00BA05A5" w14:paraId="5FF682B3" w14:textId="77777777" w:rsidTr="008D2B52">
        <w:tc>
          <w:tcPr>
            <w:tcW w:w="1619" w:type="dxa"/>
            <w:vMerge/>
            <w:shd w:val="clear" w:color="auto" w:fill="auto"/>
            <w:noWrap/>
            <w:vAlign w:val="center"/>
            <w:hideMark/>
          </w:tcPr>
          <w:p w14:paraId="63DDCDE6"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4F30EB83"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2</w:t>
            </w:r>
          </w:p>
        </w:tc>
        <w:tc>
          <w:tcPr>
            <w:tcW w:w="0" w:type="auto"/>
            <w:gridSpan w:val="2"/>
            <w:shd w:val="clear" w:color="auto" w:fill="auto"/>
            <w:noWrap/>
            <w:vAlign w:val="center"/>
            <w:hideMark/>
          </w:tcPr>
          <w:p w14:paraId="22C7DD34" w14:textId="77777777" w:rsidR="002F5089" w:rsidRPr="00BA05A5" w:rsidRDefault="002F5089" w:rsidP="002F5089">
            <w:pPr>
              <w:adjustRightInd w:val="0"/>
              <w:jc w:val="right"/>
              <w:rPr>
                <w:color w:val="000000"/>
                <w:sz w:val="18"/>
                <w:szCs w:val="18"/>
              </w:rPr>
            </w:pPr>
            <w:r w:rsidRPr="00BA05A5">
              <w:rPr>
                <w:color w:val="000000"/>
                <w:sz w:val="18"/>
                <w:szCs w:val="18"/>
              </w:rPr>
              <w:t>1342</w:t>
            </w:r>
          </w:p>
        </w:tc>
        <w:tc>
          <w:tcPr>
            <w:tcW w:w="0" w:type="auto"/>
            <w:shd w:val="clear" w:color="auto" w:fill="auto"/>
            <w:noWrap/>
            <w:vAlign w:val="center"/>
            <w:hideMark/>
          </w:tcPr>
          <w:p w14:paraId="687DDAD8" w14:textId="77777777" w:rsidR="002F5089" w:rsidRPr="00BA05A5" w:rsidRDefault="002F5089" w:rsidP="002F5089">
            <w:pPr>
              <w:adjustRightInd w:val="0"/>
              <w:jc w:val="right"/>
              <w:rPr>
                <w:color w:val="000000"/>
                <w:sz w:val="18"/>
                <w:szCs w:val="18"/>
              </w:rPr>
            </w:pPr>
            <w:r w:rsidRPr="00BA05A5">
              <w:rPr>
                <w:color w:val="000000"/>
                <w:sz w:val="18"/>
                <w:szCs w:val="18"/>
              </w:rPr>
              <w:t>828</w:t>
            </w:r>
          </w:p>
        </w:tc>
        <w:tc>
          <w:tcPr>
            <w:tcW w:w="827" w:type="dxa"/>
            <w:vAlign w:val="center"/>
          </w:tcPr>
          <w:p w14:paraId="3F419132" w14:textId="77777777" w:rsidR="002F5089" w:rsidRPr="00BA05A5" w:rsidRDefault="002F5089" w:rsidP="002F5089">
            <w:pPr>
              <w:adjustRightInd w:val="0"/>
              <w:jc w:val="right"/>
              <w:rPr>
                <w:color w:val="000000"/>
                <w:sz w:val="18"/>
                <w:szCs w:val="18"/>
              </w:rPr>
            </w:pPr>
            <w:r w:rsidRPr="00BA05A5">
              <w:rPr>
                <w:color w:val="000000"/>
                <w:sz w:val="18"/>
                <w:szCs w:val="18"/>
              </w:rPr>
              <w:t>695</w:t>
            </w:r>
          </w:p>
        </w:tc>
        <w:tc>
          <w:tcPr>
            <w:tcW w:w="827" w:type="dxa"/>
            <w:vAlign w:val="center"/>
          </w:tcPr>
          <w:p w14:paraId="516C0740" w14:textId="77777777" w:rsidR="002F5089" w:rsidRPr="00AF0BB2" w:rsidRDefault="002F5089" w:rsidP="002F5089">
            <w:pPr>
              <w:jc w:val="right"/>
              <w:rPr>
                <w:color w:val="000000"/>
                <w:sz w:val="18"/>
                <w:szCs w:val="18"/>
              </w:rPr>
            </w:pPr>
            <w:r w:rsidRPr="00AF0BB2">
              <w:rPr>
                <w:color w:val="000000"/>
                <w:sz w:val="18"/>
                <w:szCs w:val="18"/>
              </w:rPr>
              <w:t>619</w:t>
            </w:r>
          </w:p>
        </w:tc>
        <w:tc>
          <w:tcPr>
            <w:tcW w:w="1131" w:type="dxa"/>
            <w:shd w:val="clear" w:color="auto" w:fill="auto"/>
            <w:noWrap/>
            <w:vAlign w:val="center"/>
          </w:tcPr>
          <w:p w14:paraId="385F0528" w14:textId="77777777" w:rsidR="002F5089" w:rsidRPr="00AF0BB2" w:rsidRDefault="002F5089" w:rsidP="002F5089">
            <w:pPr>
              <w:jc w:val="right"/>
              <w:rPr>
                <w:color w:val="000000"/>
                <w:sz w:val="18"/>
                <w:szCs w:val="18"/>
              </w:rPr>
            </w:pPr>
            <w:r>
              <w:rPr>
                <w:color w:val="000000"/>
                <w:sz w:val="18"/>
                <w:szCs w:val="18"/>
              </w:rPr>
              <w:t>46</w:t>
            </w:r>
          </w:p>
        </w:tc>
        <w:tc>
          <w:tcPr>
            <w:tcW w:w="985" w:type="dxa"/>
            <w:shd w:val="clear" w:color="auto" w:fill="auto"/>
            <w:noWrap/>
            <w:vAlign w:val="center"/>
          </w:tcPr>
          <w:p w14:paraId="3055A061" w14:textId="77777777" w:rsidR="002F5089" w:rsidRPr="00AF0BB2" w:rsidRDefault="002F5089" w:rsidP="002F5089">
            <w:pPr>
              <w:jc w:val="right"/>
              <w:rPr>
                <w:color w:val="000000"/>
                <w:sz w:val="18"/>
                <w:szCs w:val="18"/>
                <w:lang w:eastAsia="en-NZ"/>
              </w:rPr>
            </w:pPr>
          </w:p>
        </w:tc>
      </w:tr>
      <w:tr w:rsidR="002F5089" w:rsidRPr="00BA05A5" w14:paraId="18E416F0" w14:textId="77777777" w:rsidTr="008D2B52">
        <w:tc>
          <w:tcPr>
            <w:tcW w:w="1619" w:type="dxa"/>
            <w:shd w:val="clear" w:color="auto" w:fill="auto"/>
            <w:noWrap/>
            <w:vAlign w:val="center"/>
            <w:hideMark/>
          </w:tcPr>
          <w:p w14:paraId="0F010896"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35B32A20"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3</w:t>
            </w:r>
          </w:p>
        </w:tc>
        <w:tc>
          <w:tcPr>
            <w:tcW w:w="0" w:type="auto"/>
            <w:gridSpan w:val="2"/>
            <w:shd w:val="clear" w:color="auto" w:fill="auto"/>
            <w:noWrap/>
            <w:vAlign w:val="center"/>
            <w:hideMark/>
          </w:tcPr>
          <w:p w14:paraId="3563D9FA" w14:textId="77777777" w:rsidR="002F5089" w:rsidRPr="00BA05A5" w:rsidRDefault="002F5089" w:rsidP="002F5089">
            <w:pPr>
              <w:adjustRightInd w:val="0"/>
              <w:jc w:val="right"/>
              <w:rPr>
                <w:color w:val="000000"/>
                <w:sz w:val="18"/>
                <w:szCs w:val="18"/>
              </w:rPr>
            </w:pPr>
            <w:r w:rsidRPr="00BA05A5">
              <w:rPr>
                <w:color w:val="000000"/>
                <w:sz w:val="18"/>
                <w:szCs w:val="18"/>
              </w:rPr>
              <w:t>954</w:t>
            </w:r>
          </w:p>
        </w:tc>
        <w:tc>
          <w:tcPr>
            <w:tcW w:w="0" w:type="auto"/>
            <w:shd w:val="clear" w:color="auto" w:fill="auto"/>
            <w:noWrap/>
            <w:vAlign w:val="center"/>
            <w:hideMark/>
          </w:tcPr>
          <w:p w14:paraId="52AE292E" w14:textId="77777777" w:rsidR="002F5089" w:rsidRPr="00BA05A5" w:rsidRDefault="002F5089" w:rsidP="002F5089">
            <w:pPr>
              <w:adjustRightInd w:val="0"/>
              <w:jc w:val="right"/>
              <w:rPr>
                <w:color w:val="000000"/>
                <w:sz w:val="18"/>
                <w:szCs w:val="18"/>
              </w:rPr>
            </w:pPr>
            <w:r w:rsidRPr="00BA05A5">
              <w:rPr>
                <w:color w:val="000000"/>
                <w:sz w:val="18"/>
                <w:szCs w:val="18"/>
              </w:rPr>
              <w:t>602</w:t>
            </w:r>
          </w:p>
        </w:tc>
        <w:tc>
          <w:tcPr>
            <w:tcW w:w="827" w:type="dxa"/>
            <w:vAlign w:val="center"/>
          </w:tcPr>
          <w:p w14:paraId="7E6EAFFC" w14:textId="77777777" w:rsidR="002F5089" w:rsidRPr="00BA05A5" w:rsidRDefault="002F5089" w:rsidP="002F5089">
            <w:pPr>
              <w:adjustRightInd w:val="0"/>
              <w:jc w:val="right"/>
              <w:rPr>
                <w:color w:val="000000"/>
                <w:sz w:val="18"/>
                <w:szCs w:val="18"/>
              </w:rPr>
            </w:pPr>
            <w:r w:rsidRPr="00BA05A5">
              <w:rPr>
                <w:color w:val="000000"/>
                <w:sz w:val="18"/>
                <w:szCs w:val="18"/>
              </w:rPr>
              <w:t>507</w:t>
            </w:r>
          </w:p>
        </w:tc>
        <w:tc>
          <w:tcPr>
            <w:tcW w:w="827" w:type="dxa"/>
            <w:vAlign w:val="center"/>
          </w:tcPr>
          <w:p w14:paraId="7762546C" w14:textId="77777777" w:rsidR="002F5089" w:rsidRPr="00AF0BB2" w:rsidRDefault="002F5089" w:rsidP="002F5089">
            <w:pPr>
              <w:jc w:val="right"/>
              <w:rPr>
                <w:color w:val="000000"/>
                <w:sz w:val="18"/>
                <w:szCs w:val="18"/>
              </w:rPr>
            </w:pPr>
            <w:r w:rsidRPr="00AF0BB2">
              <w:rPr>
                <w:color w:val="000000"/>
                <w:sz w:val="18"/>
                <w:szCs w:val="18"/>
              </w:rPr>
              <w:t>462</w:t>
            </w:r>
          </w:p>
        </w:tc>
        <w:tc>
          <w:tcPr>
            <w:tcW w:w="1131" w:type="dxa"/>
            <w:shd w:val="clear" w:color="auto" w:fill="auto"/>
            <w:noWrap/>
            <w:vAlign w:val="center"/>
          </w:tcPr>
          <w:p w14:paraId="124DB96F" w14:textId="77777777" w:rsidR="002F5089" w:rsidRPr="00AF0BB2" w:rsidRDefault="002F5089" w:rsidP="002F5089">
            <w:pPr>
              <w:jc w:val="right"/>
              <w:rPr>
                <w:color w:val="000000"/>
                <w:sz w:val="18"/>
                <w:szCs w:val="18"/>
              </w:rPr>
            </w:pPr>
            <w:r>
              <w:rPr>
                <w:color w:val="000000"/>
                <w:sz w:val="18"/>
                <w:szCs w:val="18"/>
              </w:rPr>
              <w:t>48</w:t>
            </w:r>
          </w:p>
        </w:tc>
        <w:tc>
          <w:tcPr>
            <w:tcW w:w="985" w:type="dxa"/>
            <w:shd w:val="clear" w:color="auto" w:fill="auto"/>
            <w:noWrap/>
            <w:vAlign w:val="center"/>
          </w:tcPr>
          <w:p w14:paraId="4ACF9716" w14:textId="77777777" w:rsidR="002F5089" w:rsidRPr="00AF0BB2" w:rsidRDefault="002F5089" w:rsidP="002F5089">
            <w:pPr>
              <w:jc w:val="right"/>
              <w:rPr>
                <w:color w:val="000000"/>
                <w:sz w:val="18"/>
                <w:szCs w:val="18"/>
                <w:lang w:eastAsia="en-NZ"/>
              </w:rPr>
            </w:pPr>
          </w:p>
        </w:tc>
      </w:tr>
      <w:tr w:rsidR="002F5089" w:rsidRPr="00BA05A5" w14:paraId="0AC53EA0" w14:textId="77777777" w:rsidTr="008D2B52">
        <w:tc>
          <w:tcPr>
            <w:tcW w:w="1619" w:type="dxa"/>
            <w:shd w:val="clear" w:color="auto" w:fill="auto"/>
            <w:noWrap/>
            <w:vAlign w:val="center"/>
            <w:hideMark/>
          </w:tcPr>
          <w:p w14:paraId="0150B6E7"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10857ADC"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4-6</w:t>
            </w:r>
          </w:p>
        </w:tc>
        <w:tc>
          <w:tcPr>
            <w:tcW w:w="0" w:type="auto"/>
            <w:gridSpan w:val="2"/>
            <w:shd w:val="clear" w:color="auto" w:fill="auto"/>
            <w:noWrap/>
            <w:vAlign w:val="center"/>
            <w:hideMark/>
          </w:tcPr>
          <w:p w14:paraId="6BC71393" w14:textId="77777777" w:rsidR="002F5089" w:rsidRPr="00BA05A5" w:rsidRDefault="002F5089" w:rsidP="002F5089">
            <w:pPr>
              <w:adjustRightInd w:val="0"/>
              <w:jc w:val="right"/>
              <w:rPr>
                <w:color w:val="000000"/>
                <w:sz w:val="18"/>
                <w:szCs w:val="18"/>
              </w:rPr>
            </w:pPr>
            <w:r w:rsidRPr="00BA05A5">
              <w:rPr>
                <w:color w:val="000000"/>
                <w:sz w:val="18"/>
                <w:szCs w:val="18"/>
              </w:rPr>
              <w:t>1069</w:t>
            </w:r>
          </w:p>
        </w:tc>
        <w:tc>
          <w:tcPr>
            <w:tcW w:w="0" w:type="auto"/>
            <w:shd w:val="clear" w:color="auto" w:fill="auto"/>
            <w:noWrap/>
            <w:vAlign w:val="center"/>
            <w:hideMark/>
          </w:tcPr>
          <w:p w14:paraId="4F46E8F2" w14:textId="77777777" w:rsidR="002F5089" w:rsidRPr="00BA05A5" w:rsidRDefault="002F5089" w:rsidP="002F5089">
            <w:pPr>
              <w:adjustRightInd w:val="0"/>
              <w:jc w:val="right"/>
              <w:rPr>
                <w:color w:val="000000"/>
                <w:sz w:val="18"/>
                <w:szCs w:val="18"/>
              </w:rPr>
            </w:pPr>
            <w:r w:rsidRPr="00BA05A5">
              <w:rPr>
                <w:color w:val="000000"/>
                <w:sz w:val="18"/>
                <w:szCs w:val="18"/>
              </w:rPr>
              <w:t>689</w:t>
            </w:r>
          </w:p>
        </w:tc>
        <w:tc>
          <w:tcPr>
            <w:tcW w:w="827" w:type="dxa"/>
            <w:vAlign w:val="center"/>
          </w:tcPr>
          <w:p w14:paraId="6E637BC8" w14:textId="77777777" w:rsidR="002F5089" w:rsidRPr="00BA05A5" w:rsidRDefault="002F5089" w:rsidP="002F5089">
            <w:pPr>
              <w:adjustRightInd w:val="0"/>
              <w:jc w:val="right"/>
              <w:rPr>
                <w:color w:val="000000"/>
                <w:sz w:val="18"/>
                <w:szCs w:val="18"/>
              </w:rPr>
            </w:pPr>
            <w:r w:rsidRPr="00BA05A5">
              <w:rPr>
                <w:color w:val="000000"/>
                <w:sz w:val="18"/>
                <w:szCs w:val="18"/>
              </w:rPr>
              <w:t>560</w:t>
            </w:r>
          </w:p>
        </w:tc>
        <w:tc>
          <w:tcPr>
            <w:tcW w:w="827" w:type="dxa"/>
            <w:vAlign w:val="center"/>
          </w:tcPr>
          <w:p w14:paraId="799088C3" w14:textId="77777777" w:rsidR="002F5089" w:rsidRPr="00AF0BB2" w:rsidRDefault="002F5089" w:rsidP="002F5089">
            <w:pPr>
              <w:jc w:val="right"/>
              <w:rPr>
                <w:color w:val="000000"/>
                <w:sz w:val="18"/>
                <w:szCs w:val="18"/>
              </w:rPr>
            </w:pPr>
            <w:r w:rsidRPr="00AF0BB2">
              <w:rPr>
                <w:color w:val="000000"/>
                <w:sz w:val="18"/>
                <w:szCs w:val="18"/>
              </w:rPr>
              <w:t>496</w:t>
            </w:r>
          </w:p>
        </w:tc>
        <w:tc>
          <w:tcPr>
            <w:tcW w:w="1131" w:type="dxa"/>
            <w:shd w:val="clear" w:color="auto" w:fill="auto"/>
            <w:noWrap/>
            <w:vAlign w:val="center"/>
          </w:tcPr>
          <w:p w14:paraId="38DB8A44" w14:textId="77777777" w:rsidR="002F5089" w:rsidRPr="00AF0BB2" w:rsidRDefault="002F5089" w:rsidP="002F5089">
            <w:pPr>
              <w:jc w:val="right"/>
              <w:rPr>
                <w:color w:val="000000"/>
                <w:sz w:val="18"/>
                <w:szCs w:val="18"/>
              </w:rPr>
            </w:pPr>
            <w:r>
              <w:rPr>
                <w:color w:val="000000"/>
                <w:sz w:val="18"/>
                <w:szCs w:val="18"/>
              </w:rPr>
              <w:t>46</w:t>
            </w:r>
          </w:p>
        </w:tc>
        <w:tc>
          <w:tcPr>
            <w:tcW w:w="985" w:type="dxa"/>
            <w:shd w:val="clear" w:color="auto" w:fill="auto"/>
            <w:noWrap/>
            <w:vAlign w:val="center"/>
          </w:tcPr>
          <w:p w14:paraId="59541C0F" w14:textId="77777777" w:rsidR="002F5089" w:rsidRPr="00AF0BB2" w:rsidRDefault="002F5089" w:rsidP="002F5089">
            <w:pPr>
              <w:jc w:val="right"/>
              <w:rPr>
                <w:color w:val="000000"/>
                <w:sz w:val="18"/>
                <w:szCs w:val="18"/>
                <w:lang w:eastAsia="en-NZ"/>
              </w:rPr>
            </w:pPr>
          </w:p>
        </w:tc>
      </w:tr>
      <w:tr w:rsidR="002F5089" w:rsidRPr="00BA05A5" w14:paraId="05D90381" w14:textId="77777777" w:rsidTr="008D2B52">
        <w:tc>
          <w:tcPr>
            <w:tcW w:w="1619" w:type="dxa"/>
            <w:shd w:val="clear" w:color="auto" w:fill="auto"/>
            <w:noWrap/>
            <w:vAlign w:val="center"/>
            <w:hideMark/>
          </w:tcPr>
          <w:p w14:paraId="4C002510"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3C9AC5B5"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7-9</w:t>
            </w:r>
          </w:p>
        </w:tc>
        <w:tc>
          <w:tcPr>
            <w:tcW w:w="0" w:type="auto"/>
            <w:gridSpan w:val="2"/>
            <w:shd w:val="clear" w:color="auto" w:fill="auto"/>
            <w:noWrap/>
            <w:vAlign w:val="center"/>
            <w:hideMark/>
          </w:tcPr>
          <w:p w14:paraId="189F8401" w14:textId="77777777" w:rsidR="002F5089" w:rsidRPr="00BA05A5" w:rsidRDefault="002F5089" w:rsidP="002F5089">
            <w:pPr>
              <w:keepNext/>
              <w:adjustRightInd w:val="0"/>
              <w:jc w:val="right"/>
              <w:rPr>
                <w:color w:val="000000"/>
                <w:sz w:val="18"/>
                <w:szCs w:val="18"/>
              </w:rPr>
            </w:pPr>
            <w:r w:rsidRPr="00BA05A5">
              <w:rPr>
                <w:color w:val="000000"/>
                <w:sz w:val="18"/>
                <w:szCs w:val="18"/>
              </w:rPr>
              <w:t>204</w:t>
            </w:r>
          </w:p>
        </w:tc>
        <w:tc>
          <w:tcPr>
            <w:tcW w:w="0" w:type="auto"/>
            <w:shd w:val="clear" w:color="auto" w:fill="auto"/>
            <w:noWrap/>
            <w:vAlign w:val="center"/>
            <w:hideMark/>
          </w:tcPr>
          <w:p w14:paraId="3A97C646" w14:textId="77777777" w:rsidR="002F5089" w:rsidRPr="00BA05A5" w:rsidRDefault="002F5089" w:rsidP="002F5089">
            <w:pPr>
              <w:keepNext/>
              <w:adjustRightInd w:val="0"/>
              <w:jc w:val="right"/>
              <w:rPr>
                <w:color w:val="000000"/>
                <w:sz w:val="18"/>
                <w:szCs w:val="18"/>
              </w:rPr>
            </w:pPr>
            <w:r w:rsidRPr="00BA05A5">
              <w:rPr>
                <w:color w:val="000000"/>
                <w:sz w:val="18"/>
                <w:szCs w:val="18"/>
              </w:rPr>
              <w:t>116</w:t>
            </w:r>
          </w:p>
        </w:tc>
        <w:tc>
          <w:tcPr>
            <w:tcW w:w="827" w:type="dxa"/>
            <w:vAlign w:val="center"/>
          </w:tcPr>
          <w:p w14:paraId="6B9E2FD6" w14:textId="77777777" w:rsidR="002F5089" w:rsidRPr="00BA05A5" w:rsidRDefault="002F5089" w:rsidP="002F5089">
            <w:pPr>
              <w:keepNext/>
              <w:adjustRightInd w:val="0"/>
              <w:jc w:val="right"/>
              <w:rPr>
                <w:color w:val="000000"/>
                <w:sz w:val="18"/>
                <w:szCs w:val="18"/>
              </w:rPr>
            </w:pPr>
            <w:r w:rsidRPr="00BA05A5">
              <w:rPr>
                <w:color w:val="000000"/>
                <w:sz w:val="18"/>
                <w:szCs w:val="18"/>
              </w:rPr>
              <w:t>98</w:t>
            </w:r>
          </w:p>
        </w:tc>
        <w:tc>
          <w:tcPr>
            <w:tcW w:w="827" w:type="dxa"/>
            <w:vAlign w:val="center"/>
          </w:tcPr>
          <w:p w14:paraId="2E9E1EBA" w14:textId="77777777" w:rsidR="002F5089" w:rsidRPr="00AF0BB2" w:rsidRDefault="002F5089" w:rsidP="002F5089">
            <w:pPr>
              <w:jc w:val="right"/>
              <w:rPr>
                <w:color w:val="000000"/>
                <w:sz w:val="18"/>
                <w:szCs w:val="18"/>
              </w:rPr>
            </w:pPr>
            <w:r w:rsidRPr="00AF0BB2">
              <w:rPr>
                <w:color w:val="000000"/>
                <w:sz w:val="18"/>
                <w:szCs w:val="18"/>
              </w:rPr>
              <w:t>83</w:t>
            </w:r>
          </w:p>
        </w:tc>
        <w:tc>
          <w:tcPr>
            <w:tcW w:w="1131" w:type="dxa"/>
            <w:shd w:val="clear" w:color="auto" w:fill="auto"/>
            <w:noWrap/>
            <w:vAlign w:val="center"/>
          </w:tcPr>
          <w:p w14:paraId="030D9453" w14:textId="77777777" w:rsidR="002F5089" w:rsidRPr="00AF0BB2" w:rsidRDefault="002F5089" w:rsidP="002F5089">
            <w:pPr>
              <w:jc w:val="right"/>
              <w:rPr>
                <w:color w:val="000000"/>
                <w:sz w:val="18"/>
                <w:szCs w:val="18"/>
              </w:rPr>
            </w:pPr>
            <w:r>
              <w:rPr>
                <w:color w:val="000000"/>
                <w:sz w:val="18"/>
                <w:szCs w:val="18"/>
              </w:rPr>
              <w:t>41</w:t>
            </w:r>
          </w:p>
        </w:tc>
        <w:tc>
          <w:tcPr>
            <w:tcW w:w="985" w:type="dxa"/>
            <w:shd w:val="clear" w:color="auto" w:fill="auto"/>
            <w:noWrap/>
            <w:vAlign w:val="center"/>
          </w:tcPr>
          <w:p w14:paraId="3AFFE3F5" w14:textId="77777777" w:rsidR="002F5089" w:rsidRPr="00AF0BB2" w:rsidRDefault="002F5089" w:rsidP="002F5089">
            <w:pPr>
              <w:jc w:val="right"/>
              <w:rPr>
                <w:color w:val="000000"/>
                <w:sz w:val="18"/>
                <w:szCs w:val="18"/>
                <w:lang w:eastAsia="en-NZ"/>
              </w:rPr>
            </w:pPr>
          </w:p>
        </w:tc>
      </w:tr>
      <w:tr w:rsidR="002F5089" w:rsidRPr="00BA05A5" w14:paraId="43CC29F7" w14:textId="77777777" w:rsidTr="002E64B9">
        <w:tc>
          <w:tcPr>
            <w:tcW w:w="1619" w:type="dxa"/>
            <w:shd w:val="clear" w:color="auto" w:fill="auto"/>
            <w:noWrap/>
            <w:vAlign w:val="center"/>
            <w:hideMark/>
          </w:tcPr>
          <w:p w14:paraId="716819A4"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41ACA81B" w14:textId="77777777" w:rsidR="002F5089" w:rsidRPr="00BA05A5" w:rsidRDefault="002F5089" w:rsidP="0063775F">
            <w:pPr>
              <w:spacing w:before="20" w:after="60"/>
              <w:rPr>
                <w:color w:val="000000"/>
                <w:sz w:val="18"/>
                <w:szCs w:val="18"/>
                <w:lang w:eastAsia="en-NZ"/>
              </w:rPr>
            </w:pPr>
            <w:r w:rsidRPr="00BA05A5">
              <w:rPr>
                <w:color w:val="000000"/>
                <w:sz w:val="18"/>
                <w:szCs w:val="18"/>
                <w:lang w:eastAsia="en-NZ"/>
              </w:rPr>
              <w:t>10+</w:t>
            </w:r>
          </w:p>
        </w:tc>
        <w:tc>
          <w:tcPr>
            <w:tcW w:w="0" w:type="auto"/>
            <w:gridSpan w:val="2"/>
            <w:shd w:val="clear" w:color="auto" w:fill="auto"/>
            <w:noWrap/>
            <w:vAlign w:val="center"/>
            <w:hideMark/>
          </w:tcPr>
          <w:p w14:paraId="17B9F3A5" w14:textId="77777777" w:rsidR="002F5089" w:rsidRPr="00BA05A5" w:rsidRDefault="002F5089" w:rsidP="002F5089">
            <w:pPr>
              <w:spacing w:before="20" w:after="60"/>
              <w:jc w:val="right"/>
              <w:rPr>
                <w:color w:val="000000"/>
                <w:sz w:val="18"/>
                <w:szCs w:val="18"/>
                <w:lang w:eastAsia="en-NZ"/>
              </w:rPr>
            </w:pPr>
            <w:r w:rsidRPr="00BA05A5">
              <w:rPr>
                <w:color w:val="000000"/>
                <w:sz w:val="18"/>
                <w:szCs w:val="18"/>
                <w:lang w:eastAsia="en-NZ"/>
              </w:rPr>
              <w:t>28</w:t>
            </w:r>
          </w:p>
        </w:tc>
        <w:tc>
          <w:tcPr>
            <w:tcW w:w="0" w:type="auto"/>
            <w:shd w:val="clear" w:color="auto" w:fill="auto"/>
            <w:noWrap/>
            <w:vAlign w:val="center"/>
            <w:hideMark/>
          </w:tcPr>
          <w:p w14:paraId="53C4C0A1" w14:textId="77777777" w:rsidR="002F5089" w:rsidRPr="00BA05A5" w:rsidRDefault="002F5089" w:rsidP="002F5089">
            <w:pPr>
              <w:spacing w:before="20" w:after="60"/>
              <w:jc w:val="right"/>
              <w:rPr>
                <w:color w:val="000000"/>
                <w:sz w:val="18"/>
                <w:szCs w:val="18"/>
                <w:lang w:eastAsia="en-NZ"/>
              </w:rPr>
            </w:pPr>
            <w:r w:rsidRPr="00BA05A5">
              <w:rPr>
                <w:color w:val="000000"/>
                <w:sz w:val="18"/>
                <w:szCs w:val="18"/>
                <w:lang w:eastAsia="en-NZ"/>
              </w:rPr>
              <w:t>16</w:t>
            </w:r>
          </w:p>
        </w:tc>
        <w:tc>
          <w:tcPr>
            <w:tcW w:w="827" w:type="dxa"/>
            <w:vAlign w:val="center"/>
          </w:tcPr>
          <w:p w14:paraId="3E1EC977" w14:textId="77777777" w:rsidR="002F5089" w:rsidRPr="00BA05A5" w:rsidRDefault="002F5089" w:rsidP="002F5089">
            <w:pPr>
              <w:spacing w:before="20" w:after="60"/>
              <w:jc w:val="right"/>
              <w:rPr>
                <w:color w:val="000000"/>
                <w:sz w:val="18"/>
                <w:szCs w:val="18"/>
                <w:lang w:eastAsia="en-NZ"/>
              </w:rPr>
            </w:pPr>
            <w:r w:rsidRPr="00BA05A5">
              <w:rPr>
                <w:color w:val="000000"/>
                <w:sz w:val="18"/>
                <w:szCs w:val="18"/>
                <w:lang w:eastAsia="en-NZ"/>
              </w:rPr>
              <w:t>11</w:t>
            </w:r>
          </w:p>
        </w:tc>
        <w:tc>
          <w:tcPr>
            <w:tcW w:w="827" w:type="dxa"/>
            <w:vAlign w:val="center"/>
          </w:tcPr>
          <w:p w14:paraId="3E23A010" w14:textId="77777777" w:rsidR="002F5089" w:rsidRPr="00AF0BB2" w:rsidRDefault="002F5089" w:rsidP="002F5089">
            <w:pPr>
              <w:spacing w:before="20" w:after="60"/>
              <w:jc w:val="right"/>
              <w:rPr>
                <w:color w:val="000000"/>
                <w:sz w:val="18"/>
                <w:szCs w:val="18"/>
                <w:lang w:eastAsia="en-NZ"/>
              </w:rPr>
            </w:pPr>
            <w:r w:rsidRPr="00AF0BB2">
              <w:rPr>
                <w:color w:val="000000"/>
                <w:sz w:val="18"/>
                <w:szCs w:val="18"/>
                <w:lang w:eastAsia="en-NZ"/>
              </w:rPr>
              <w:t>10</w:t>
            </w:r>
          </w:p>
        </w:tc>
        <w:tc>
          <w:tcPr>
            <w:tcW w:w="1131" w:type="dxa"/>
            <w:shd w:val="clear" w:color="auto" w:fill="auto"/>
            <w:noWrap/>
            <w:vAlign w:val="center"/>
          </w:tcPr>
          <w:p w14:paraId="77C06ABD" w14:textId="77777777" w:rsidR="002F5089" w:rsidRPr="00AF0BB2" w:rsidRDefault="002F5089" w:rsidP="002F5089">
            <w:pPr>
              <w:spacing w:before="20" w:after="60"/>
              <w:jc w:val="right"/>
              <w:rPr>
                <w:color w:val="000000"/>
                <w:sz w:val="18"/>
                <w:szCs w:val="18"/>
                <w:lang w:eastAsia="en-NZ"/>
              </w:rPr>
            </w:pPr>
            <w:r>
              <w:rPr>
                <w:color w:val="000000"/>
                <w:sz w:val="18"/>
                <w:szCs w:val="18"/>
                <w:lang w:eastAsia="en-NZ"/>
              </w:rPr>
              <w:t>36</w:t>
            </w:r>
          </w:p>
        </w:tc>
        <w:tc>
          <w:tcPr>
            <w:tcW w:w="985" w:type="dxa"/>
            <w:shd w:val="clear" w:color="auto" w:fill="auto"/>
            <w:noWrap/>
            <w:vAlign w:val="center"/>
          </w:tcPr>
          <w:p w14:paraId="2BCBC833" w14:textId="77777777" w:rsidR="002F5089" w:rsidRPr="00AF0BB2" w:rsidRDefault="002F5089" w:rsidP="002F5089">
            <w:pPr>
              <w:spacing w:before="20" w:after="60"/>
              <w:jc w:val="right"/>
              <w:rPr>
                <w:color w:val="000000"/>
                <w:sz w:val="18"/>
                <w:szCs w:val="18"/>
                <w:lang w:eastAsia="en-NZ"/>
              </w:rPr>
            </w:pPr>
            <w:r w:rsidRPr="00AF0BB2">
              <w:rPr>
                <w:color w:val="000000"/>
                <w:sz w:val="18"/>
                <w:szCs w:val="18"/>
                <w:lang w:eastAsia="en-NZ"/>
              </w:rPr>
              <w:t>0.0005</w:t>
            </w:r>
          </w:p>
        </w:tc>
      </w:tr>
      <w:tr w:rsidR="002F5089" w:rsidRPr="00BA05A5" w14:paraId="13553766" w14:textId="77777777" w:rsidTr="008D2B52">
        <w:tc>
          <w:tcPr>
            <w:tcW w:w="1619" w:type="dxa"/>
            <w:vMerge w:val="restart"/>
            <w:shd w:val="clear" w:color="auto" w:fill="auto"/>
            <w:noWrap/>
            <w:vAlign w:val="center"/>
            <w:hideMark/>
          </w:tcPr>
          <w:p w14:paraId="0A72AF9E"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Gambling frequency</w:t>
            </w:r>
          </w:p>
        </w:tc>
        <w:tc>
          <w:tcPr>
            <w:tcW w:w="2015" w:type="dxa"/>
            <w:shd w:val="clear" w:color="auto" w:fill="auto"/>
            <w:noWrap/>
            <w:vAlign w:val="center"/>
            <w:hideMark/>
          </w:tcPr>
          <w:p w14:paraId="6CC7ED6E"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At least weekly</w:t>
            </w:r>
          </w:p>
        </w:tc>
        <w:tc>
          <w:tcPr>
            <w:tcW w:w="0" w:type="auto"/>
            <w:gridSpan w:val="2"/>
            <w:shd w:val="clear" w:color="auto" w:fill="auto"/>
            <w:noWrap/>
            <w:vAlign w:val="center"/>
            <w:hideMark/>
          </w:tcPr>
          <w:p w14:paraId="4CEC752B" w14:textId="77777777" w:rsidR="002F5089" w:rsidRPr="00BA05A5" w:rsidRDefault="002F5089" w:rsidP="002F5089">
            <w:pPr>
              <w:adjustRightInd w:val="0"/>
              <w:jc w:val="right"/>
              <w:rPr>
                <w:color w:val="000000"/>
                <w:sz w:val="18"/>
                <w:szCs w:val="18"/>
              </w:rPr>
            </w:pPr>
            <w:r w:rsidRPr="00BA05A5">
              <w:rPr>
                <w:color w:val="000000"/>
                <w:sz w:val="18"/>
                <w:szCs w:val="18"/>
              </w:rPr>
              <w:t>1487</w:t>
            </w:r>
          </w:p>
        </w:tc>
        <w:tc>
          <w:tcPr>
            <w:tcW w:w="0" w:type="auto"/>
            <w:shd w:val="clear" w:color="auto" w:fill="auto"/>
            <w:noWrap/>
            <w:vAlign w:val="center"/>
            <w:hideMark/>
          </w:tcPr>
          <w:p w14:paraId="2657D527" w14:textId="77777777" w:rsidR="002F5089" w:rsidRPr="00BA05A5" w:rsidRDefault="002F5089" w:rsidP="002F5089">
            <w:pPr>
              <w:adjustRightInd w:val="0"/>
              <w:jc w:val="right"/>
              <w:rPr>
                <w:color w:val="000000"/>
                <w:sz w:val="18"/>
                <w:szCs w:val="18"/>
              </w:rPr>
            </w:pPr>
            <w:r w:rsidRPr="00BA05A5">
              <w:rPr>
                <w:color w:val="000000"/>
                <w:sz w:val="18"/>
                <w:szCs w:val="18"/>
              </w:rPr>
              <w:t>935</w:t>
            </w:r>
          </w:p>
        </w:tc>
        <w:tc>
          <w:tcPr>
            <w:tcW w:w="827" w:type="dxa"/>
            <w:vAlign w:val="center"/>
          </w:tcPr>
          <w:p w14:paraId="12990D8A" w14:textId="77777777" w:rsidR="002F5089" w:rsidRPr="00BA05A5" w:rsidRDefault="002F5089" w:rsidP="002F5089">
            <w:pPr>
              <w:adjustRightInd w:val="0"/>
              <w:jc w:val="right"/>
              <w:rPr>
                <w:color w:val="000000"/>
                <w:sz w:val="18"/>
                <w:szCs w:val="18"/>
              </w:rPr>
            </w:pPr>
            <w:r w:rsidRPr="00BA05A5">
              <w:rPr>
                <w:color w:val="000000"/>
                <w:sz w:val="18"/>
                <w:szCs w:val="18"/>
              </w:rPr>
              <w:t>788</w:t>
            </w:r>
          </w:p>
        </w:tc>
        <w:tc>
          <w:tcPr>
            <w:tcW w:w="827" w:type="dxa"/>
            <w:vAlign w:val="center"/>
          </w:tcPr>
          <w:p w14:paraId="14A92ED8" w14:textId="77777777" w:rsidR="002F5089" w:rsidRPr="00AF0BB2" w:rsidRDefault="002F5089" w:rsidP="002F5089">
            <w:pPr>
              <w:jc w:val="right"/>
              <w:rPr>
                <w:color w:val="000000"/>
                <w:sz w:val="18"/>
                <w:szCs w:val="18"/>
                <w:lang w:eastAsia="en-NZ"/>
              </w:rPr>
            </w:pPr>
            <w:r w:rsidRPr="00AF0BB2">
              <w:rPr>
                <w:color w:val="000000"/>
                <w:sz w:val="18"/>
                <w:szCs w:val="18"/>
              </w:rPr>
              <w:t>699</w:t>
            </w:r>
          </w:p>
        </w:tc>
        <w:tc>
          <w:tcPr>
            <w:tcW w:w="1131" w:type="dxa"/>
            <w:shd w:val="clear" w:color="auto" w:fill="auto"/>
            <w:noWrap/>
            <w:vAlign w:val="center"/>
          </w:tcPr>
          <w:p w14:paraId="3976C16D" w14:textId="77777777" w:rsidR="002F5089" w:rsidRPr="00AF0BB2" w:rsidRDefault="002F5089" w:rsidP="002F5089">
            <w:pPr>
              <w:jc w:val="right"/>
              <w:rPr>
                <w:color w:val="000000"/>
                <w:sz w:val="18"/>
                <w:szCs w:val="18"/>
                <w:lang w:eastAsia="en-NZ"/>
              </w:rPr>
            </w:pPr>
            <w:r>
              <w:rPr>
                <w:color w:val="000000"/>
                <w:sz w:val="18"/>
                <w:szCs w:val="18"/>
              </w:rPr>
              <w:t>47</w:t>
            </w:r>
          </w:p>
        </w:tc>
        <w:tc>
          <w:tcPr>
            <w:tcW w:w="985" w:type="dxa"/>
            <w:shd w:val="clear" w:color="auto" w:fill="auto"/>
            <w:noWrap/>
            <w:vAlign w:val="center"/>
          </w:tcPr>
          <w:p w14:paraId="1BE74BD7" w14:textId="77777777" w:rsidR="002F5089" w:rsidRPr="00AF0BB2" w:rsidRDefault="002F5089" w:rsidP="002F5089">
            <w:pPr>
              <w:jc w:val="right"/>
              <w:rPr>
                <w:color w:val="000000"/>
                <w:sz w:val="18"/>
                <w:szCs w:val="18"/>
                <w:highlight w:val="yellow"/>
                <w:lang w:eastAsia="en-NZ"/>
              </w:rPr>
            </w:pPr>
          </w:p>
        </w:tc>
      </w:tr>
      <w:tr w:rsidR="002F5089" w:rsidRPr="00BA05A5" w14:paraId="14F52CBB" w14:textId="77777777" w:rsidTr="008D2B52">
        <w:tc>
          <w:tcPr>
            <w:tcW w:w="1619" w:type="dxa"/>
            <w:vMerge/>
            <w:shd w:val="clear" w:color="auto" w:fill="auto"/>
            <w:noWrap/>
            <w:vAlign w:val="center"/>
            <w:hideMark/>
          </w:tcPr>
          <w:p w14:paraId="473AF1B0"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3B56B82B"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At least monthly</w:t>
            </w:r>
          </w:p>
        </w:tc>
        <w:tc>
          <w:tcPr>
            <w:tcW w:w="0" w:type="auto"/>
            <w:gridSpan w:val="2"/>
            <w:shd w:val="clear" w:color="auto" w:fill="auto"/>
            <w:noWrap/>
            <w:vAlign w:val="center"/>
            <w:hideMark/>
          </w:tcPr>
          <w:p w14:paraId="08E40B30" w14:textId="77777777" w:rsidR="002F5089" w:rsidRPr="00BA05A5" w:rsidRDefault="002F5089" w:rsidP="002F5089">
            <w:pPr>
              <w:keepNext/>
              <w:adjustRightInd w:val="0"/>
              <w:jc w:val="right"/>
              <w:rPr>
                <w:color w:val="000000"/>
                <w:sz w:val="18"/>
                <w:szCs w:val="18"/>
              </w:rPr>
            </w:pPr>
            <w:r w:rsidRPr="00BA05A5">
              <w:rPr>
                <w:color w:val="000000"/>
                <w:sz w:val="18"/>
                <w:szCs w:val="18"/>
              </w:rPr>
              <w:t>1411</w:t>
            </w:r>
          </w:p>
        </w:tc>
        <w:tc>
          <w:tcPr>
            <w:tcW w:w="0" w:type="auto"/>
            <w:shd w:val="clear" w:color="auto" w:fill="auto"/>
            <w:noWrap/>
            <w:vAlign w:val="center"/>
            <w:hideMark/>
          </w:tcPr>
          <w:p w14:paraId="2F8DE171" w14:textId="77777777" w:rsidR="002F5089" w:rsidRPr="00BA05A5" w:rsidRDefault="002F5089" w:rsidP="002F5089">
            <w:pPr>
              <w:keepNext/>
              <w:adjustRightInd w:val="0"/>
              <w:jc w:val="right"/>
              <w:rPr>
                <w:color w:val="000000"/>
                <w:sz w:val="18"/>
                <w:szCs w:val="18"/>
              </w:rPr>
            </w:pPr>
            <w:r w:rsidRPr="00BA05A5">
              <w:rPr>
                <w:color w:val="000000"/>
                <w:sz w:val="18"/>
                <w:szCs w:val="18"/>
              </w:rPr>
              <w:t>842</w:t>
            </w:r>
          </w:p>
        </w:tc>
        <w:tc>
          <w:tcPr>
            <w:tcW w:w="827" w:type="dxa"/>
            <w:vAlign w:val="center"/>
          </w:tcPr>
          <w:p w14:paraId="710E7DF2" w14:textId="77777777" w:rsidR="002F5089" w:rsidRPr="00BA05A5" w:rsidRDefault="002F5089" w:rsidP="002F5089">
            <w:pPr>
              <w:keepNext/>
              <w:adjustRightInd w:val="0"/>
              <w:jc w:val="right"/>
              <w:rPr>
                <w:color w:val="000000"/>
                <w:sz w:val="18"/>
                <w:szCs w:val="18"/>
              </w:rPr>
            </w:pPr>
            <w:r w:rsidRPr="00BA05A5">
              <w:rPr>
                <w:color w:val="000000"/>
                <w:sz w:val="18"/>
                <w:szCs w:val="18"/>
              </w:rPr>
              <w:t>689</w:t>
            </w:r>
          </w:p>
        </w:tc>
        <w:tc>
          <w:tcPr>
            <w:tcW w:w="827" w:type="dxa"/>
            <w:vAlign w:val="center"/>
          </w:tcPr>
          <w:p w14:paraId="54029B35" w14:textId="77777777" w:rsidR="002F5089" w:rsidRPr="00AF0BB2" w:rsidRDefault="002F5089" w:rsidP="002F5089">
            <w:pPr>
              <w:jc w:val="right"/>
              <w:rPr>
                <w:color w:val="000000"/>
                <w:sz w:val="18"/>
                <w:szCs w:val="18"/>
              </w:rPr>
            </w:pPr>
            <w:r w:rsidRPr="00AF0BB2">
              <w:rPr>
                <w:color w:val="000000"/>
                <w:sz w:val="18"/>
                <w:szCs w:val="18"/>
              </w:rPr>
              <w:t>610</w:t>
            </w:r>
          </w:p>
        </w:tc>
        <w:tc>
          <w:tcPr>
            <w:tcW w:w="1131" w:type="dxa"/>
            <w:shd w:val="clear" w:color="auto" w:fill="auto"/>
            <w:noWrap/>
            <w:vAlign w:val="center"/>
          </w:tcPr>
          <w:p w14:paraId="0309287C" w14:textId="77777777" w:rsidR="002F5089" w:rsidRPr="00AF0BB2" w:rsidRDefault="002F5089" w:rsidP="002F5089">
            <w:pPr>
              <w:jc w:val="right"/>
              <w:rPr>
                <w:color w:val="000000"/>
                <w:sz w:val="18"/>
                <w:szCs w:val="18"/>
              </w:rPr>
            </w:pPr>
            <w:r>
              <w:rPr>
                <w:color w:val="000000"/>
                <w:sz w:val="18"/>
                <w:szCs w:val="18"/>
              </w:rPr>
              <w:t>43</w:t>
            </w:r>
          </w:p>
        </w:tc>
        <w:tc>
          <w:tcPr>
            <w:tcW w:w="985" w:type="dxa"/>
            <w:shd w:val="clear" w:color="auto" w:fill="auto"/>
            <w:noWrap/>
            <w:vAlign w:val="center"/>
          </w:tcPr>
          <w:p w14:paraId="1162C390" w14:textId="77777777" w:rsidR="002F5089" w:rsidRPr="00AF0BB2" w:rsidRDefault="002F5089" w:rsidP="002F5089">
            <w:pPr>
              <w:jc w:val="right"/>
              <w:rPr>
                <w:color w:val="000000"/>
                <w:sz w:val="18"/>
                <w:szCs w:val="18"/>
                <w:highlight w:val="yellow"/>
                <w:lang w:eastAsia="en-NZ"/>
              </w:rPr>
            </w:pPr>
          </w:p>
        </w:tc>
      </w:tr>
      <w:tr w:rsidR="002F5089" w:rsidRPr="00BA05A5" w14:paraId="1D5E71AC" w14:textId="77777777" w:rsidTr="008D2B52">
        <w:tc>
          <w:tcPr>
            <w:tcW w:w="1619" w:type="dxa"/>
            <w:shd w:val="clear" w:color="auto" w:fill="auto"/>
            <w:noWrap/>
            <w:vAlign w:val="center"/>
            <w:hideMark/>
          </w:tcPr>
          <w:p w14:paraId="1CC1BC01"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4F56436F"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At least 6 monthly</w:t>
            </w:r>
          </w:p>
        </w:tc>
        <w:tc>
          <w:tcPr>
            <w:tcW w:w="0" w:type="auto"/>
            <w:gridSpan w:val="2"/>
            <w:shd w:val="clear" w:color="auto" w:fill="auto"/>
            <w:noWrap/>
            <w:vAlign w:val="center"/>
          </w:tcPr>
          <w:p w14:paraId="3B65E7B2" w14:textId="77777777" w:rsidR="002F5089" w:rsidRPr="00BA05A5" w:rsidRDefault="002F5089" w:rsidP="002F5089">
            <w:pPr>
              <w:jc w:val="right"/>
              <w:rPr>
                <w:color w:val="000000"/>
                <w:sz w:val="18"/>
                <w:szCs w:val="18"/>
                <w:lang w:eastAsia="en-NZ"/>
              </w:rPr>
            </w:pPr>
            <w:r w:rsidRPr="00BA05A5">
              <w:rPr>
                <w:color w:val="000000"/>
                <w:sz w:val="18"/>
                <w:szCs w:val="18"/>
                <w:lang w:eastAsia="en-NZ"/>
              </w:rPr>
              <w:t>1601</w:t>
            </w:r>
          </w:p>
        </w:tc>
        <w:tc>
          <w:tcPr>
            <w:tcW w:w="0" w:type="auto"/>
            <w:shd w:val="clear" w:color="auto" w:fill="auto"/>
            <w:noWrap/>
            <w:vAlign w:val="center"/>
          </w:tcPr>
          <w:p w14:paraId="4F76607E" w14:textId="77777777" w:rsidR="002F5089" w:rsidRPr="00BA05A5" w:rsidRDefault="002F5089" w:rsidP="002F5089">
            <w:pPr>
              <w:jc w:val="right"/>
              <w:rPr>
                <w:color w:val="000000"/>
                <w:sz w:val="18"/>
                <w:szCs w:val="18"/>
                <w:lang w:eastAsia="en-NZ"/>
              </w:rPr>
            </w:pPr>
            <w:r w:rsidRPr="00BA05A5">
              <w:rPr>
                <w:color w:val="000000"/>
                <w:sz w:val="18"/>
                <w:szCs w:val="18"/>
                <w:lang w:eastAsia="en-NZ"/>
              </w:rPr>
              <w:t>1007</w:t>
            </w:r>
          </w:p>
        </w:tc>
        <w:tc>
          <w:tcPr>
            <w:tcW w:w="827" w:type="dxa"/>
            <w:vAlign w:val="center"/>
          </w:tcPr>
          <w:p w14:paraId="0B60B0E5" w14:textId="77777777" w:rsidR="002F5089" w:rsidRPr="00BA05A5" w:rsidRDefault="002F5089" w:rsidP="002F5089">
            <w:pPr>
              <w:jc w:val="right"/>
              <w:rPr>
                <w:color w:val="000000"/>
                <w:sz w:val="18"/>
                <w:szCs w:val="18"/>
                <w:lang w:eastAsia="en-NZ"/>
              </w:rPr>
            </w:pPr>
            <w:r w:rsidRPr="00BA05A5">
              <w:rPr>
                <w:color w:val="000000"/>
                <w:sz w:val="18"/>
                <w:szCs w:val="18"/>
                <w:lang w:eastAsia="en-NZ"/>
              </w:rPr>
              <w:t>841</w:t>
            </w:r>
          </w:p>
        </w:tc>
        <w:tc>
          <w:tcPr>
            <w:tcW w:w="827" w:type="dxa"/>
            <w:vAlign w:val="center"/>
          </w:tcPr>
          <w:p w14:paraId="176F02FB" w14:textId="77777777" w:rsidR="002F5089" w:rsidRPr="00AF0BB2" w:rsidRDefault="002F5089" w:rsidP="002F5089">
            <w:pPr>
              <w:jc w:val="right"/>
              <w:rPr>
                <w:color w:val="000000"/>
                <w:sz w:val="18"/>
                <w:szCs w:val="18"/>
              </w:rPr>
            </w:pPr>
            <w:r w:rsidRPr="00AF0BB2">
              <w:rPr>
                <w:color w:val="000000"/>
                <w:sz w:val="18"/>
                <w:szCs w:val="18"/>
              </w:rPr>
              <w:t>754</w:t>
            </w:r>
          </w:p>
        </w:tc>
        <w:tc>
          <w:tcPr>
            <w:tcW w:w="1131" w:type="dxa"/>
            <w:shd w:val="clear" w:color="auto" w:fill="auto"/>
            <w:noWrap/>
            <w:vAlign w:val="center"/>
          </w:tcPr>
          <w:p w14:paraId="18D21D18" w14:textId="77777777" w:rsidR="002F5089" w:rsidRPr="00AF0BB2" w:rsidRDefault="002F5089" w:rsidP="002F5089">
            <w:pPr>
              <w:jc w:val="right"/>
              <w:rPr>
                <w:color w:val="000000"/>
                <w:sz w:val="18"/>
                <w:szCs w:val="18"/>
              </w:rPr>
            </w:pPr>
            <w:r>
              <w:rPr>
                <w:color w:val="000000"/>
                <w:sz w:val="18"/>
                <w:szCs w:val="18"/>
              </w:rPr>
              <w:t>47</w:t>
            </w:r>
          </w:p>
        </w:tc>
        <w:tc>
          <w:tcPr>
            <w:tcW w:w="985" w:type="dxa"/>
            <w:shd w:val="clear" w:color="auto" w:fill="auto"/>
            <w:noWrap/>
            <w:vAlign w:val="center"/>
          </w:tcPr>
          <w:p w14:paraId="4FB2E740" w14:textId="77777777" w:rsidR="002F5089" w:rsidRPr="00AF0BB2" w:rsidRDefault="002F5089" w:rsidP="002F5089">
            <w:pPr>
              <w:jc w:val="right"/>
              <w:rPr>
                <w:color w:val="000000"/>
                <w:sz w:val="18"/>
                <w:szCs w:val="18"/>
                <w:highlight w:val="yellow"/>
                <w:lang w:eastAsia="en-NZ"/>
              </w:rPr>
            </w:pPr>
          </w:p>
        </w:tc>
      </w:tr>
      <w:tr w:rsidR="002F5089" w:rsidRPr="00BA05A5" w14:paraId="0861FCD4" w14:textId="77777777" w:rsidTr="008D2B52">
        <w:tc>
          <w:tcPr>
            <w:tcW w:w="1619" w:type="dxa"/>
            <w:shd w:val="clear" w:color="auto" w:fill="auto"/>
            <w:noWrap/>
            <w:vAlign w:val="center"/>
            <w:hideMark/>
          </w:tcPr>
          <w:p w14:paraId="4B3B8AC8"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4647F671"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At least once in past year</w:t>
            </w:r>
          </w:p>
        </w:tc>
        <w:tc>
          <w:tcPr>
            <w:tcW w:w="0" w:type="auto"/>
            <w:gridSpan w:val="2"/>
            <w:shd w:val="clear" w:color="auto" w:fill="auto"/>
            <w:noWrap/>
            <w:vAlign w:val="center"/>
          </w:tcPr>
          <w:p w14:paraId="51C63A72" w14:textId="77777777" w:rsidR="002F5089" w:rsidRPr="00BA05A5" w:rsidRDefault="002F5089" w:rsidP="002F5089">
            <w:pPr>
              <w:jc w:val="right"/>
              <w:rPr>
                <w:color w:val="000000"/>
                <w:sz w:val="18"/>
                <w:szCs w:val="18"/>
                <w:lang w:eastAsia="en-NZ"/>
              </w:rPr>
            </w:pPr>
            <w:r w:rsidRPr="00BA05A5">
              <w:rPr>
                <w:color w:val="000000"/>
                <w:sz w:val="18"/>
                <w:szCs w:val="18"/>
                <w:lang w:eastAsia="en-NZ"/>
              </w:rPr>
              <w:t>441</w:t>
            </w:r>
          </w:p>
        </w:tc>
        <w:tc>
          <w:tcPr>
            <w:tcW w:w="0" w:type="auto"/>
            <w:shd w:val="clear" w:color="auto" w:fill="auto"/>
            <w:noWrap/>
            <w:vAlign w:val="center"/>
          </w:tcPr>
          <w:p w14:paraId="3CBD08BF" w14:textId="77777777" w:rsidR="002F5089" w:rsidRPr="00BA05A5" w:rsidRDefault="002F5089" w:rsidP="002F5089">
            <w:pPr>
              <w:jc w:val="right"/>
              <w:rPr>
                <w:color w:val="000000"/>
                <w:sz w:val="18"/>
                <w:szCs w:val="18"/>
                <w:lang w:eastAsia="en-NZ"/>
              </w:rPr>
            </w:pPr>
            <w:r w:rsidRPr="00BA05A5">
              <w:rPr>
                <w:color w:val="000000"/>
                <w:sz w:val="18"/>
                <w:szCs w:val="18"/>
                <w:lang w:eastAsia="en-NZ"/>
              </w:rPr>
              <w:t>249</w:t>
            </w:r>
          </w:p>
        </w:tc>
        <w:tc>
          <w:tcPr>
            <w:tcW w:w="827" w:type="dxa"/>
            <w:vAlign w:val="center"/>
          </w:tcPr>
          <w:p w14:paraId="3B055F5A" w14:textId="77777777" w:rsidR="002F5089" w:rsidRPr="00BA05A5" w:rsidRDefault="002F5089" w:rsidP="002F5089">
            <w:pPr>
              <w:jc w:val="right"/>
              <w:rPr>
                <w:color w:val="000000"/>
                <w:sz w:val="18"/>
                <w:szCs w:val="18"/>
                <w:lang w:eastAsia="en-NZ"/>
              </w:rPr>
            </w:pPr>
            <w:r w:rsidRPr="00BA05A5">
              <w:rPr>
                <w:color w:val="000000"/>
                <w:sz w:val="18"/>
                <w:szCs w:val="18"/>
                <w:lang w:eastAsia="en-NZ"/>
              </w:rPr>
              <w:t>214</w:t>
            </w:r>
          </w:p>
        </w:tc>
        <w:tc>
          <w:tcPr>
            <w:tcW w:w="827" w:type="dxa"/>
            <w:vAlign w:val="center"/>
          </w:tcPr>
          <w:p w14:paraId="5827E2F9" w14:textId="77777777" w:rsidR="002F5089" w:rsidRPr="00AF0BB2" w:rsidRDefault="002F5089" w:rsidP="002F5089">
            <w:pPr>
              <w:jc w:val="right"/>
              <w:rPr>
                <w:color w:val="000000"/>
                <w:sz w:val="18"/>
                <w:szCs w:val="18"/>
              </w:rPr>
            </w:pPr>
            <w:r w:rsidRPr="00AF0BB2">
              <w:rPr>
                <w:color w:val="000000"/>
                <w:sz w:val="18"/>
                <w:szCs w:val="18"/>
              </w:rPr>
              <w:t>185</w:t>
            </w:r>
          </w:p>
        </w:tc>
        <w:tc>
          <w:tcPr>
            <w:tcW w:w="1131" w:type="dxa"/>
            <w:shd w:val="clear" w:color="auto" w:fill="auto"/>
            <w:noWrap/>
            <w:vAlign w:val="center"/>
          </w:tcPr>
          <w:p w14:paraId="0D3B5E26" w14:textId="77777777" w:rsidR="002F5089" w:rsidRPr="00AF0BB2" w:rsidRDefault="002F5089" w:rsidP="002F5089">
            <w:pPr>
              <w:jc w:val="right"/>
              <w:rPr>
                <w:color w:val="000000"/>
                <w:sz w:val="18"/>
                <w:szCs w:val="18"/>
              </w:rPr>
            </w:pPr>
            <w:r>
              <w:rPr>
                <w:color w:val="000000"/>
                <w:sz w:val="18"/>
                <w:szCs w:val="18"/>
              </w:rPr>
              <w:t>42</w:t>
            </w:r>
          </w:p>
        </w:tc>
        <w:tc>
          <w:tcPr>
            <w:tcW w:w="985" w:type="dxa"/>
            <w:shd w:val="clear" w:color="auto" w:fill="auto"/>
            <w:noWrap/>
            <w:vAlign w:val="center"/>
          </w:tcPr>
          <w:p w14:paraId="39979CAA" w14:textId="77777777" w:rsidR="002F5089" w:rsidRPr="00AF0BB2" w:rsidRDefault="002F5089" w:rsidP="002F5089">
            <w:pPr>
              <w:jc w:val="right"/>
              <w:rPr>
                <w:color w:val="000000"/>
                <w:sz w:val="18"/>
                <w:szCs w:val="18"/>
                <w:highlight w:val="yellow"/>
                <w:lang w:eastAsia="en-NZ"/>
              </w:rPr>
            </w:pPr>
          </w:p>
        </w:tc>
      </w:tr>
      <w:tr w:rsidR="002F5089" w:rsidRPr="00BA05A5" w14:paraId="138B1B89" w14:textId="77777777" w:rsidTr="002E64B9">
        <w:tc>
          <w:tcPr>
            <w:tcW w:w="1619" w:type="dxa"/>
            <w:shd w:val="clear" w:color="auto" w:fill="auto"/>
            <w:noWrap/>
            <w:vAlign w:val="center"/>
            <w:hideMark/>
          </w:tcPr>
          <w:p w14:paraId="322D070A"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0473E30D"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No gambling in last year</w:t>
            </w:r>
          </w:p>
        </w:tc>
        <w:tc>
          <w:tcPr>
            <w:tcW w:w="0" w:type="auto"/>
            <w:gridSpan w:val="2"/>
            <w:shd w:val="clear" w:color="auto" w:fill="auto"/>
            <w:noWrap/>
            <w:vAlign w:val="center"/>
            <w:hideMark/>
          </w:tcPr>
          <w:p w14:paraId="6CDA2A15" w14:textId="77777777" w:rsidR="002F5089" w:rsidRPr="00BA05A5" w:rsidRDefault="002F5089" w:rsidP="002F5089">
            <w:pPr>
              <w:adjustRightInd w:val="0"/>
              <w:jc w:val="right"/>
              <w:rPr>
                <w:color w:val="000000"/>
                <w:sz w:val="18"/>
                <w:szCs w:val="18"/>
              </w:rPr>
            </w:pPr>
            <w:r w:rsidRPr="00BA05A5">
              <w:rPr>
                <w:color w:val="000000"/>
                <w:sz w:val="18"/>
                <w:szCs w:val="18"/>
              </w:rPr>
              <w:t>1301</w:t>
            </w:r>
          </w:p>
        </w:tc>
        <w:tc>
          <w:tcPr>
            <w:tcW w:w="0" w:type="auto"/>
            <w:shd w:val="clear" w:color="auto" w:fill="auto"/>
            <w:noWrap/>
            <w:vAlign w:val="center"/>
            <w:hideMark/>
          </w:tcPr>
          <w:p w14:paraId="088D68F5" w14:textId="77777777" w:rsidR="002F5089" w:rsidRPr="00BA05A5" w:rsidRDefault="002F5089" w:rsidP="002F5089">
            <w:pPr>
              <w:adjustRightInd w:val="0"/>
              <w:jc w:val="right"/>
              <w:rPr>
                <w:color w:val="000000"/>
                <w:sz w:val="18"/>
                <w:szCs w:val="18"/>
              </w:rPr>
            </w:pPr>
            <w:r w:rsidRPr="00BA05A5">
              <w:rPr>
                <w:color w:val="000000"/>
                <w:sz w:val="18"/>
                <w:szCs w:val="18"/>
              </w:rPr>
              <w:t>705</w:t>
            </w:r>
          </w:p>
        </w:tc>
        <w:tc>
          <w:tcPr>
            <w:tcW w:w="827" w:type="dxa"/>
            <w:vAlign w:val="center"/>
          </w:tcPr>
          <w:p w14:paraId="34004643" w14:textId="77777777" w:rsidR="002F5089" w:rsidRPr="00BA05A5" w:rsidRDefault="002F5089" w:rsidP="002F5089">
            <w:pPr>
              <w:adjustRightInd w:val="0"/>
              <w:jc w:val="right"/>
              <w:rPr>
                <w:color w:val="000000"/>
                <w:sz w:val="18"/>
                <w:szCs w:val="18"/>
              </w:rPr>
            </w:pPr>
            <w:r w:rsidRPr="00BA05A5">
              <w:rPr>
                <w:color w:val="000000"/>
                <w:sz w:val="18"/>
                <w:szCs w:val="18"/>
              </w:rPr>
              <w:t>576</w:t>
            </w:r>
          </w:p>
        </w:tc>
        <w:tc>
          <w:tcPr>
            <w:tcW w:w="827" w:type="dxa"/>
            <w:vAlign w:val="center"/>
          </w:tcPr>
          <w:p w14:paraId="09944838" w14:textId="77777777" w:rsidR="002F5089" w:rsidRPr="00AF0BB2" w:rsidRDefault="002F5089" w:rsidP="002F5089">
            <w:pPr>
              <w:jc w:val="right"/>
              <w:rPr>
                <w:color w:val="000000"/>
                <w:sz w:val="18"/>
                <w:szCs w:val="18"/>
              </w:rPr>
            </w:pPr>
            <w:r w:rsidRPr="00AF0BB2">
              <w:rPr>
                <w:color w:val="000000"/>
                <w:sz w:val="18"/>
                <w:szCs w:val="18"/>
              </w:rPr>
              <w:t>516</w:t>
            </w:r>
          </w:p>
        </w:tc>
        <w:tc>
          <w:tcPr>
            <w:tcW w:w="1131" w:type="dxa"/>
            <w:shd w:val="clear" w:color="auto" w:fill="auto"/>
            <w:noWrap/>
            <w:vAlign w:val="center"/>
          </w:tcPr>
          <w:p w14:paraId="18A33196" w14:textId="77777777" w:rsidR="002F5089" w:rsidRPr="00AF0BB2" w:rsidRDefault="002F5089" w:rsidP="002F5089">
            <w:pPr>
              <w:jc w:val="right"/>
              <w:rPr>
                <w:color w:val="000000"/>
                <w:sz w:val="18"/>
                <w:szCs w:val="18"/>
              </w:rPr>
            </w:pPr>
            <w:r w:rsidRPr="00AF0BB2">
              <w:rPr>
                <w:color w:val="000000"/>
                <w:sz w:val="18"/>
                <w:szCs w:val="18"/>
              </w:rPr>
              <w:t>40</w:t>
            </w:r>
          </w:p>
        </w:tc>
        <w:tc>
          <w:tcPr>
            <w:tcW w:w="985" w:type="dxa"/>
            <w:shd w:val="clear" w:color="auto" w:fill="auto"/>
            <w:noWrap/>
            <w:vAlign w:val="center"/>
          </w:tcPr>
          <w:p w14:paraId="47B20588" w14:textId="77777777" w:rsidR="002F5089" w:rsidRPr="00AF0BB2" w:rsidRDefault="002F5089" w:rsidP="002F5089">
            <w:pPr>
              <w:jc w:val="right"/>
              <w:rPr>
                <w:color w:val="000000"/>
                <w:sz w:val="18"/>
                <w:szCs w:val="18"/>
                <w:lang w:eastAsia="en-NZ"/>
              </w:rPr>
            </w:pPr>
            <w:r w:rsidRPr="00AF0BB2">
              <w:rPr>
                <w:color w:val="000000"/>
                <w:sz w:val="18"/>
                <w:szCs w:val="18"/>
                <w:lang w:eastAsia="en-NZ"/>
              </w:rPr>
              <w:t>0.0002</w:t>
            </w:r>
          </w:p>
        </w:tc>
      </w:tr>
      <w:tr w:rsidR="002F5089" w:rsidRPr="00BA05A5" w14:paraId="1864A86D" w14:textId="77777777" w:rsidTr="008D2B52">
        <w:tc>
          <w:tcPr>
            <w:tcW w:w="1619" w:type="dxa"/>
            <w:shd w:val="clear" w:color="auto" w:fill="auto"/>
            <w:noWrap/>
            <w:vAlign w:val="center"/>
            <w:hideMark/>
          </w:tcPr>
          <w:p w14:paraId="5AAC042D" w14:textId="77777777" w:rsidR="002F5089" w:rsidRPr="00BA05A5" w:rsidRDefault="002F5089" w:rsidP="0063775F">
            <w:pPr>
              <w:spacing w:before="20" w:after="20"/>
              <w:rPr>
                <w:color w:val="000000"/>
                <w:sz w:val="18"/>
                <w:szCs w:val="18"/>
                <w:highlight w:val="yellow"/>
                <w:lang w:eastAsia="en-NZ"/>
              </w:rPr>
            </w:pPr>
          </w:p>
        </w:tc>
        <w:tc>
          <w:tcPr>
            <w:tcW w:w="2015" w:type="dxa"/>
            <w:shd w:val="clear" w:color="auto" w:fill="auto"/>
            <w:noWrap/>
            <w:vAlign w:val="center"/>
            <w:hideMark/>
          </w:tcPr>
          <w:p w14:paraId="14290F09" w14:textId="77777777" w:rsidR="002F5089" w:rsidRPr="00BA05A5" w:rsidRDefault="002F5089" w:rsidP="0063775F">
            <w:pPr>
              <w:spacing w:before="20" w:after="60"/>
              <w:rPr>
                <w:color w:val="000000"/>
                <w:sz w:val="18"/>
                <w:szCs w:val="18"/>
                <w:lang w:eastAsia="en-NZ"/>
              </w:rPr>
            </w:pPr>
            <w:r w:rsidRPr="00BA05A5">
              <w:rPr>
                <w:color w:val="000000"/>
                <w:sz w:val="18"/>
                <w:szCs w:val="18"/>
                <w:lang w:eastAsia="en-NZ"/>
              </w:rPr>
              <w:t>Not reported</w:t>
            </w:r>
          </w:p>
        </w:tc>
        <w:tc>
          <w:tcPr>
            <w:tcW w:w="0" w:type="auto"/>
            <w:gridSpan w:val="2"/>
            <w:shd w:val="clear" w:color="auto" w:fill="auto"/>
            <w:noWrap/>
            <w:vAlign w:val="center"/>
            <w:hideMark/>
          </w:tcPr>
          <w:p w14:paraId="06329A33" w14:textId="77777777" w:rsidR="002F5089" w:rsidRPr="00BA05A5" w:rsidRDefault="002F5089" w:rsidP="002F5089">
            <w:pPr>
              <w:spacing w:before="20" w:after="60"/>
              <w:jc w:val="right"/>
              <w:rPr>
                <w:color w:val="000000"/>
                <w:sz w:val="18"/>
                <w:szCs w:val="18"/>
                <w:lang w:eastAsia="en-NZ"/>
              </w:rPr>
            </w:pPr>
            <w:r w:rsidRPr="00BA05A5">
              <w:rPr>
                <w:color w:val="000000"/>
                <w:sz w:val="18"/>
                <w:szCs w:val="18"/>
                <w:lang w:eastAsia="en-NZ"/>
              </w:rPr>
              <w:t>10</w:t>
            </w:r>
          </w:p>
        </w:tc>
        <w:tc>
          <w:tcPr>
            <w:tcW w:w="0" w:type="auto"/>
            <w:shd w:val="clear" w:color="auto" w:fill="auto"/>
            <w:noWrap/>
            <w:vAlign w:val="center"/>
            <w:hideMark/>
          </w:tcPr>
          <w:p w14:paraId="5E524668" w14:textId="77777777" w:rsidR="002F5089" w:rsidRPr="00BA05A5" w:rsidRDefault="002F5089" w:rsidP="002F5089">
            <w:pPr>
              <w:spacing w:before="20" w:after="60"/>
              <w:jc w:val="right"/>
              <w:rPr>
                <w:color w:val="000000"/>
                <w:sz w:val="18"/>
                <w:szCs w:val="18"/>
                <w:lang w:eastAsia="en-NZ"/>
              </w:rPr>
            </w:pPr>
            <w:r w:rsidRPr="00BA05A5">
              <w:rPr>
                <w:color w:val="000000"/>
                <w:sz w:val="18"/>
                <w:szCs w:val="18"/>
                <w:lang w:eastAsia="en-NZ"/>
              </w:rPr>
              <w:t>7</w:t>
            </w:r>
          </w:p>
        </w:tc>
        <w:tc>
          <w:tcPr>
            <w:tcW w:w="827" w:type="dxa"/>
            <w:vAlign w:val="center"/>
          </w:tcPr>
          <w:p w14:paraId="1563E03F" w14:textId="77777777" w:rsidR="002F5089" w:rsidRPr="00BA05A5" w:rsidRDefault="002F5089" w:rsidP="002F5089">
            <w:pPr>
              <w:spacing w:before="20" w:after="60"/>
              <w:jc w:val="right"/>
              <w:rPr>
                <w:color w:val="000000"/>
                <w:sz w:val="18"/>
                <w:szCs w:val="18"/>
                <w:lang w:eastAsia="en-NZ"/>
              </w:rPr>
            </w:pPr>
            <w:r w:rsidRPr="00BA05A5">
              <w:rPr>
                <w:color w:val="000000"/>
                <w:sz w:val="18"/>
                <w:szCs w:val="18"/>
                <w:lang w:eastAsia="en-NZ"/>
              </w:rPr>
              <w:t>7</w:t>
            </w:r>
          </w:p>
        </w:tc>
        <w:tc>
          <w:tcPr>
            <w:tcW w:w="827" w:type="dxa"/>
            <w:vAlign w:val="center"/>
          </w:tcPr>
          <w:p w14:paraId="339E89E9" w14:textId="77777777" w:rsidR="002F5089" w:rsidRPr="00AF0BB2" w:rsidRDefault="002F5089" w:rsidP="002F5089">
            <w:pPr>
              <w:spacing w:before="20" w:after="60"/>
              <w:jc w:val="right"/>
              <w:rPr>
                <w:color w:val="000000"/>
                <w:sz w:val="18"/>
                <w:szCs w:val="18"/>
                <w:lang w:eastAsia="en-NZ"/>
              </w:rPr>
            </w:pPr>
            <w:r w:rsidRPr="00AF0BB2">
              <w:rPr>
                <w:color w:val="000000"/>
                <w:sz w:val="18"/>
                <w:szCs w:val="18"/>
                <w:lang w:eastAsia="en-NZ"/>
              </w:rPr>
              <w:t>6</w:t>
            </w:r>
          </w:p>
        </w:tc>
        <w:tc>
          <w:tcPr>
            <w:tcW w:w="1131" w:type="dxa"/>
            <w:shd w:val="clear" w:color="auto" w:fill="auto"/>
            <w:noWrap/>
            <w:vAlign w:val="center"/>
          </w:tcPr>
          <w:p w14:paraId="641D6BE3" w14:textId="77777777" w:rsidR="002F5089" w:rsidRPr="00AF0BB2" w:rsidRDefault="002F5089" w:rsidP="002F5089">
            <w:pPr>
              <w:spacing w:before="20" w:after="60"/>
              <w:jc w:val="right"/>
              <w:rPr>
                <w:color w:val="000000"/>
                <w:sz w:val="18"/>
                <w:szCs w:val="18"/>
                <w:lang w:eastAsia="en-NZ"/>
              </w:rPr>
            </w:pPr>
            <w:r w:rsidRPr="00AF0BB2">
              <w:rPr>
                <w:color w:val="000000"/>
                <w:sz w:val="18"/>
                <w:szCs w:val="18"/>
                <w:lang w:eastAsia="en-NZ"/>
              </w:rPr>
              <w:t>-</w:t>
            </w:r>
          </w:p>
        </w:tc>
        <w:tc>
          <w:tcPr>
            <w:tcW w:w="985" w:type="dxa"/>
            <w:shd w:val="clear" w:color="auto" w:fill="auto"/>
            <w:noWrap/>
            <w:vAlign w:val="center"/>
          </w:tcPr>
          <w:p w14:paraId="57C0BECD" w14:textId="77777777" w:rsidR="002F5089" w:rsidRPr="00AF0BB2" w:rsidRDefault="002F5089" w:rsidP="002F5089">
            <w:pPr>
              <w:jc w:val="right"/>
              <w:rPr>
                <w:color w:val="000000"/>
                <w:sz w:val="18"/>
                <w:szCs w:val="18"/>
                <w:highlight w:val="yellow"/>
                <w:lang w:eastAsia="en-NZ"/>
              </w:rPr>
            </w:pPr>
          </w:p>
        </w:tc>
      </w:tr>
      <w:tr w:rsidR="002F5089" w:rsidRPr="00BA05A5" w14:paraId="70837078" w14:textId="77777777" w:rsidTr="008D2B52">
        <w:tc>
          <w:tcPr>
            <w:tcW w:w="1619" w:type="dxa"/>
            <w:vMerge w:val="restart"/>
            <w:shd w:val="clear" w:color="auto" w:fill="auto"/>
            <w:noWrap/>
            <w:vAlign w:val="center"/>
            <w:hideMark/>
          </w:tcPr>
          <w:p w14:paraId="689E0AED"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Pattern of participation</w:t>
            </w:r>
          </w:p>
        </w:tc>
        <w:tc>
          <w:tcPr>
            <w:tcW w:w="2015" w:type="dxa"/>
            <w:shd w:val="clear" w:color="auto" w:fill="auto"/>
            <w:noWrap/>
            <w:vAlign w:val="center"/>
            <w:hideMark/>
          </w:tcPr>
          <w:p w14:paraId="1216222F"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Not in last year</w:t>
            </w:r>
          </w:p>
        </w:tc>
        <w:tc>
          <w:tcPr>
            <w:tcW w:w="0" w:type="auto"/>
            <w:gridSpan w:val="2"/>
            <w:shd w:val="clear" w:color="auto" w:fill="auto"/>
            <w:noWrap/>
            <w:vAlign w:val="center"/>
            <w:hideMark/>
          </w:tcPr>
          <w:p w14:paraId="762A10C1" w14:textId="77777777" w:rsidR="002F5089" w:rsidRPr="00BA05A5" w:rsidRDefault="002F5089" w:rsidP="002F5089">
            <w:pPr>
              <w:adjustRightInd w:val="0"/>
              <w:jc w:val="right"/>
              <w:rPr>
                <w:color w:val="000000"/>
                <w:sz w:val="18"/>
                <w:szCs w:val="18"/>
              </w:rPr>
            </w:pPr>
            <w:r w:rsidRPr="00BA05A5">
              <w:rPr>
                <w:color w:val="000000"/>
                <w:sz w:val="18"/>
                <w:szCs w:val="18"/>
              </w:rPr>
              <w:t>1301</w:t>
            </w:r>
          </w:p>
        </w:tc>
        <w:tc>
          <w:tcPr>
            <w:tcW w:w="0" w:type="auto"/>
            <w:shd w:val="clear" w:color="auto" w:fill="auto"/>
            <w:noWrap/>
            <w:vAlign w:val="center"/>
            <w:hideMark/>
          </w:tcPr>
          <w:p w14:paraId="46D1B858" w14:textId="77777777" w:rsidR="002F5089" w:rsidRPr="00BA05A5" w:rsidRDefault="002F5089" w:rsidP="002F5089">
            <w:pPr>
              <w:adjustRightInd w:val="0"/>
              <w:jc w:val="right"/>
              <w:rPr>
                <w:color w:val="000000"/>
                <w:sz w:val="18"/>
                <w:szCs w:val="18"/>
              </w:rPr>
            </w:pPr>
            <w:r w:rsidRPr="00BA05A5">
              <w:rPr>
                <w:color w:val="000000"/>
                <w:sz w:val="18"/>
                <w:szCs w:val="18"/>
              </w:rPr>
              <w:t>705</w:t>
            </w:r>
          </w:p>
        </w:tc>
        <w:tc>
          <w:tcPr>
            <w:tcW w:w="827" w:type="dxa"/>
            <w:vAlign w:val="center"/>
          </w:tcPr>
          <w:p w14:paraId="7699E819" w14:textId="77777777" w:rsidR="002F5089" w:rsidRPr="00BA05A5" w:rsidRDefault="002F5089" w:rsidP="002F5089">
            <w:pPr>
              <w:adjustRightInd w:val="0"/>
              <w:jc w:val="right"/>
              <w:rPr>
                <w:color w:val="000000"/>
                <w:sz w:val="18"/>
                <w:szCs w:val="18"/>
              </w:rPr>
            </w:pPr>
            <w:r w:rsidRPr="00BA05A5">
              <w:rPr>
                <w:color w:val="000000"/>
                <w:sz w:val="18"/>
                <w:szCs w:val="18"/>
              </w:rPr>
              <w:t>576</w:t>
            </w:r>
          </w:p>
        </w:tc>
        <w:tc>
          <w:tcPr>
            <w:tcW w:w="827" w:type="dxa"/>
            <w:vAlign w:val="center"/>
          </w:tcPr>
          <w:p w14:paraId="096A0903" w14:textId="77777777" w:rsidR="002F5089" w:rsidRPr="00AF0BB2" w:rsidRDefault="002F5089" w:rsidP="002F5089">
            <w:pPr>
              <w:jc w:val="right"/>
              <w:rPr>
                <w:color w:val="000000"/>
                <w:sz w:val="18"/>
                <w:szCs w:val="18"/>
                <w:lang w:eastAsia="en-NZ"/>
              </w:rPr>
            </w:pPr>
            <w:r w:rsidRPr="00AF0BB2">
              <w:rPr>
                <w:color w:val="000000"/>
                <w:sz w:val="18"/>
                <w:szCs w:val="18"/>
              </w:rPr>
              <w:t>516</w:t>
            </w:r>
          </w:p>
        </w:tc>
        <w:tc>
          <w:tcPr>
            <w:tcW w:w="1131" w:type="dxa"/>
            <w:shd w:val="clear" w:color="auto" w:fill="auto"/>
            <w:noWrap/>
            <w:vAlign w:val="center"/>
          </w:tcPr>
          <w:p w14:paraId="43E86A5E" w14:textId="77777777" w:rsidR="002F5089" w:rsidRPr="00AF0BB2" w:rsidRDefault="002F5089" w:rsidP="002F5089">
            <w:pPr>
              <w:jc w:val="right"/>
              <w:rPr>
                <w:color w:val="000000"/>
                <w:sz w:val="18"/>
                <w:szCs w:val="18"/>
                <w:lang w:eastAsia="en-NZ"/>
              </w:rPr>
            </w:pPr>
            <w:r>
              <w:rPr>
                <w:color w:val="000000"/>
                <w:sz w:val="18"/>
                <w:szCs w:val="18"/>
              </w:rPr>
              <w:t>40</w:t>
            </w:r>
          </w:p>
        </w:tc>
        <w:tc>
          <w:tcPr>
            <w:tcW w:w="985" w:type="dxa"/>
            <w:shd w:val="clear" w:color="auto" w:fill="auto"/>
            <w:noWrap/>
            <w:vAlign w:val="center"/>
          </w:tcPr>
          <w:p w14:paraId="46456D6B" w14:textId="77777777" w:rsidR="002F5089" w:rsidRPr="00AF0BB2" w:rsidRDefault="002F5089" w:rsidP="002F5089">
            <w:pPr>
              <w:jc w:val="right"/>
              <w:rPr>
                <w:color w:val="000000"/>
                <w:sz w:val="18"/>
                <w:szCs w:val="18"/>
                <w:lang w:eastAsia="en-NZ"/>
              </w:rPr>
            </w:pPr>
          </w:p>
        </w:tc>
      </w:tr>
      <w:tr w:rsidR="002F5089" w:rsidRPr="00BA05A5" w14:paraId="0FC9004C" w14:textId="77777777" w:rsidTr="008D2B52">
        <w:tc>
          <w:tcPr>
            <w:tcW w:w="1619" w:type="dxa"/>
            <w:vMerge/>
            <w:shd w:val="clear" w:color="auto" w:fill="auto"/>
            <w:noWrap/>
            <w:vAlign w:val="center"/>
            <w:hideMark/>
          </w:tcPr>
          <w:p w14:paraId="7D7E9A2F"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7CEE012B"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Infrequent gambler</w:t>
            </w:r>
          </w:p>
        </w:tc>
        <w:tc>
          <w:tcPr>
            <w:tcW w:w="0" w:type="auto"/>
            <w:gridSpan w:val="2"/>
            <w:shd w:val="clear" w:color="auto" w:fill="auto"/>
            <w:noWrap/>
            <w:vAlign w:val="center"/>
            <w:hideMark/>
          </w:tcPr>
          <w:p w14:paraId="51AFD7D0" w14:textId="77777777" w:rsidR="002F5089" w:rsidRPr="00BA05A5" w:rsidRDefault="002F5089" w:rsidP="002F5089">
            <w:pPr>
              <w:adjustRightInd w:val="0"/>
              <w:jc w:val="right"/>
              <w:rPr>
                <w:color w:val="000000"/>
                <w:sz w:val="18"/>
                <w:szCs w:val="18"/>
              </w:rPr>
            </w:pPr>
            <w:r w:rsidRPr="00BA05A5">
              <w:rPr>
                <w:color w:val="000000"/>
                <w:sz w:val="18"/>
                <w:szCs w:val="18"/>
              </w:rPr>
              <w:t>3482</w:t>
            </w:r>
          </w:p>
        </w:tc>
        <w:tc>
          <w:tcPr>
            <w:tcW w:w="0" w:type="auto"/>
            <w:shd w:val="clear" w:color="auto" w:fill="auto"/>
            <w:noWrap/>
            <w:vAlign w:val="center"/>
            <w:hideMark/>
          </w:tcPr>
          <w:p w14:paraId="61F736E1" w14:textId="77777777" w:rsidR="002F5089" w:rsidRPr="00BA05A5" w:rsidRDefault="002F5089" w:rsidP="002F5089">
            <w:pPr>
              <w:adjustRightInd w:val="0"/>
              <w:jc w:val="right"/>
              <w:rPr>
                <w:color w:val="000000"/>
                <w:sz w:val="18"/>
                <w:szCs w:val="18"/>
              </w:rPr>
            </w:pPr>
            <w:r w:rsidRPr="00BA05A5">
              <w:rPr>
                <w:color w:val="000000"/>
                <w:sz w:val="18"/>
                <w:szCs w:val="18"/>
              </w:rPr>
              <w:t>2118</w:t>
            </w:r>
          </w:p>
        </w:tc>
        <w:tc>
          <w:tcPr>
            <w:tcW w:w="827" w:type="dxa"/>
            <w:vAlign w:val="center"/>
          </w:tcPr>
          <w:p w14:paraId="64013A4A" w14:textId="77777777" w:rsidR="002F5089" w:rsidRPr="00BA05A5" w:rsidRDefault="002F5089" w:rsidP="002F5089">
            <w:pPr>
              <w:adjustRightInd w:val="0"/>
              <w:jc w:val="right"/>
              <w:rPr>
                <w:color w:val="000000"/>
                <w:sz w:val="18"/>
                <w:szCs w:val="18"/>
              </w:rPr>
            </w:pPr>
            <w:r w:rsidRPr="00BA05A5">
              <w:rPr>
                <w:color w:val="000000"/>
                <w:sz w:val="18"/>
                <w:szCs w:val="18"/>
              </w:rPr>
              <w:t>1761</w:t>
            </w:r>
          </w:p>
        </w:tc>
        <w:tc>
          <w:tcPr>
            <w:tcW w:w="827" w:type="dxa"/>
            <w:vAlign w:val="center"/>
          </w:tcPr>
          <w:p w14:paraId="1E261FF2" w14:textId="77777777" w:rsidR="002F5089" w:rsidRPr="00AF0BB2" w:rsidRDefault="002F5089" w:rsidP="002F5089">
            <w:pPr>
              <w:jc w:val="right"/>
              <w:rPr>
                <w:color w:val="000000"/>
                <w:sz w:val="18"/>
                <w:szCs w:val="18"/>
              </w:rPr>
            </w:pPr>
            <w:r w:rsidRPr="00AF0BB2">
              <w:rPr>
                <w:color w:val="000000"/>
                <w:sz w:val="18"/>
                <w:szCs w:val="18"/>
              </w:rPr>
              <w:t>1564</w:t>
            </w:r>
          </w:p>
        </w:tc>
        <w:tc>
          <w:tcPr>
            <w:tcW w:w="1131" w:type="dxa"/>
            <w:shd w:val="clear" w:color="auto" w:fill="auto"/>
            <w:noWrap/>
            <w:vAlign w:val="center"/>
          </w:tcPr>
          <w:p w14:paraId="37A45271" w14:textId="77777777" w:rsidR="002F5089" w:rsidRPr="00AF0BB2" w:rsidRDefault="002F5089" w:rsidP="002F5089">
            <w:pPr>
              <w:jc w:val="right"/>
              <w:rPr>
                <w:color w:val="000000"/>
                <w:sz w:val="18"/>
                <w:szCs w:val="18"/>
              </w:rPr>
            </w:pPr>
            <w:r>
              <w:rPr>
                <w:color w:val="000000"/>
                <w:sz w:val="18"/>
                <w:szCs w:val="18"/>
              </w:rPr>
              <w:t>45</w:t>
            </w:r>
          </w:p>
        </w:tc>
        <w:tc>
          <w:tcPr>
            <w:tcW w:w="985" w:type="dxa"/>
            <w:shd w:val="clear" w:color="auto" w:fill="auto"/>
            <w:noWrap/>
            <w:vAlign w:val="center"/>
          </w:tcPr>
          <w:p w14:paraId="35FB967D" w14:textId="77777777" w:rsidR="002F5089" w:rsidRPr="00AF0BB2" w:rsidRDefault="002F5089" w:rsidP="002F5089">
            <w:pPr>
              <w:jc w:val="right"/>
              <w:rPr>
                <w:color w:val="000000"/>
                <w:sz w:val="18"/>
                <w:szCs w:val="18"/>
                <w:lang w:eastAsia="en-NZ"/>
              </w:rPr>
            </w:pPr>
          </w:p>
        </w:tc>
      </w:tr>
      <w:tr w:rsidR="002F5089" w:rsidRPr="00BA05A5" w14:paraId="5A448684" w14:textId="77777777" w:rsidTr="008D2B52">
        <w:tc>
          <w:tcPr>
            <w:tcW w:w="1619" w:type="dxa"/>
            <w:shd w:val="clear" w:color="auto" w:fill="auto"/>
            <w:noWrap/>
            <w:vAlign w:val="center"/>
            <w:hideMark/>
          </w:tcPr>
          <w:p w14:paraId="2D1D10A5"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4F1443C9"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Regular non-continuous</w:t>
            </w:r>
          </w:p>
        </w:tc>
        <w:tc>
          <w:tcPr>
            <w:tcW w:w="0" w:type="auto"/>
            <w:gridSpan w:val="2"/>
            <w:shd w:val="clear" w:color="auto" w:fill="auto"/>
            <w:noWrap/>
            <w:vAlign w:val="center"/>
            <w:hideMark/>
          </w:tcPr>
          <w:p w14:paraId="5779588D" w14:textId="77777777" w:rsidR="002F5089" w:rsidRPr="00BA05A5" w:rsidRDefault="002F5089" w:rsidP="002F5089">
            <w:pPr>
              <w:keepNext/>
              <w:adjustRightInd w:val="0"/>
              <w:jc w:val="right"/>
              <w:rPr>
                <w:color w:val="000000"/>
                <w:sz w:val="18"/>
                <w:szCs w:val="18"/>
              </w:rPr>
            </w:pPr>
            <w:r w:rsidRPr="00BA05A5">
              <w:rPr>
                <w:color w:val="000000"/>
                <w:sz w:val="18"/>
                <w:szCs w:val="18"/>
              </w:rPr>
              <w:t>1059</w:t>
            </w:r>
          </w:p>
        </w:tc>
        <w:tc>
          <w:tcPr>
            <w:tcW w:w="0" w:type="auto"/>
            <w:shd w:val="clear" w:color="auto" w:fill="auto"/>
            <w:noWrap/>
            <w:vAlign w:val="center"/>
            <w:hideMark/>
          </w:tcPr>
          <w:p w14:paraId="6546ED97" w14:textId="77777777" w:rsidR="002F5089" w:rsidRPr="00BA05A5" w:rsidRDefault="002F5089" w:rsidP="002F5089">
            <w:pPr>
              <w:keepNext/>
              <w:adjustRightInd w:val="0"/>
              <w:jc w:val="right"/>
              <w:rPr>
                <w:color w:val="000000"/>
                <w:sz w:val="18"/>
                <w:szCs w:val="18"/>
              </w:rPr>
            </w:pPr>
            <w:r w:rsidRPr="00BA05A5">
              <w:rPr>
                <w:color w:val="000000"/>
                <w:sz w:val="18"/>
                <w:szCs w:val="18"/>
              </w:rPr>
              <w:t>675</w:t>
            </w:r>
          </w:p>
        </w:tc>
        <w:tc>
          <w:tcPr>
            <w:tcW w:w="827" w:type="dxa"/>
            <w:vAlign w:val="center"/>
          </w:tcPr>
          <w:p w14:paraId="6D15A7EC" w14:textId="77777777" w:rsidR="002F5089" w:rsidRPr="00BA05A5" w:rsidRDefault="002F5089" w:rsidP="002F5089">
            <w:pPr>
              <w:keepNext/>
              <w:adjustRightInd w:val="0"/>
              <w:jc w:val="right"/>
              <w:rPr>
                <w:color w:val="000000"/>
                <w:sz w:val="18"/>
                <w:szCs w:val="18"/>
              </w:rPr>
            </w:pPr>
            <w:r w:rsidRPr="00BA05A5">
              <w:rPr>
                <w:color w:val="000000"/>
                <w:sz w:val="18"/>
                <w:szCs w:val="18"/>
              </w:rPr>
              <w:t>577</w:t>
            </w:r>
          </w:p>
        </w:tc>
        <w:tc>
          <w:tcPr>
            <w:tcW w:w="827" w:type="dxa"/>
            <w:vAlign w:val="center"/>
          </w:tcPr>
          <w:p w14:paraId="72D8026A" w14:textId="77777777" w:rsidR="002F5089" w:rsidRPr="00AF0BB2" w:rsidRDefault="002F5089" w:rsidP="002F5089">
            <w:pPr>
              <w:jc w:val="right"/>
              <w:rPr>
                <w:color w:val="000000"/>
                <w:sz w:val="18"/>
                <w:szCs w:val="18"/>
              </w:rPr>
            </w:pPr>
            <w:r w:rsidRPr="00AF0BB2">
              <w:rPr>
                <w:color w:val="000000"/>
                <w:sz w:val="18"/>
                <w:szCs w:val="18"/>
              </w:rPr>
              <w:t>524</w:t>
            </w:r>
          </w:p>
        </w:tc>
        <w:tc>
          <w:tcPr>
            <w:tcW w:w="1131" w:type="dxa"/>
            <w:shd w:val="clear" w:color="auto" w:fill="auto"/>
            <w:noWrap/>
            <w:vAlign w:val="center"/>
          </w:tcPr>
          <w:p w14:paraId="63E19C1C" w14:textId="77777777" w:rsidR="002F5089" w:rsidRPr="00AF0BB2" w:rsidRDefault="002F5089" w:rsidP="002F5089">
            <w:pPr>
              <w:jc w:val="right"/>
              <w:rPr>
                <w:color w:val="000000"/>
                <w:sz w:val="18"/>
                <w:szCs w:val="18"/>
              </w:rPr>
            </w:pPr>
            <w:r>
              <w:rPr>
                <w:color w:val="000000"/>
                <w:sz w:val="18"/>
                <w:szCs w:val="18"/>
              </w:rPr>
              <w:t>49</w:t>
            </w:r>
          </w:p>
        </w:tc>
        <w:tc>
          <w:tcPr>
            <w:tcW w:w="985" w:type="dxa"/>
            <w:shd w:val="clear" w:color="auto" w:fill="auto"/>
            <w:noWrap/>
            <w:vAlign w:val="center"/>
          </w:tcPr>
          <w:p w14:paraId="612EC4E6" w14:textId="77777777" w:rsidR="002F5089" w:rsidRPr="00AF0BB2" w:rsidRDefault="002F5089" w:rsidP="002F5089">
            <w:pPr>
              <w:jc w:val="right"/>
              <w:rPr>
                <w:color w:val="000000"/>
                <w:sz w:val="18"/>
                <w:szCs w:val="18"/>
                <w:lang w:eastAsia="en-NZ"/>
              </w:rPr>
            </w:pPr>
          </w:p>
        </w:tc>
      </w:tr>
      <w:tr w:rsidR="002F5089" w:rsidRPr="00BA05A5" w14:paraId="51DE4C4D" w14:textId="77777777" w:rsidTr="002E64B9">
        <w:tc>
          <w:tcPr>
            <w:tcW w:w="1619" w:type="dxa"/>
            <w:shd w:val="clear" w:color="auto" w:fill="auto"/>
            <w:noWrap/>
            <w:vAlign w:val="center"/>
            <w:hideMark/>
          </w:tcPr>
          <w:p w14:paraId="11E9636D"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41980E89" w14:textId="77777777" w:rsidR="002F5089" w:rsidRPr="00BA05A5" w:rsidRDefault="002F5089" w:rsidP="0063775F">
            <w:pPr>
              <w:spacing w:before="20" w:after="60"/>
              <w:rPr>
                <w:color w:val="000000"/>
                <w:sz w:val="18"/>
                <w:szCs w:val="18"/>
                <w:lang w:eastAsia="en-NZ"/>
              </w:rPr>
            </w:pPr>
            <w:r w:rsidRPr="00BA05A5">
              <w:rPr>
                <w:color w:val="000000"/>
                <w:sz w:val="18"/>
                <w:szCs w:val="18"/>
                <w:lang w:eastAsia="en-NZ"/>
              </w:rPr>
              <w:t>Regular continuous</w:t>
            </w:r>
          </w:p>
        </w:tc>
        <w:tc>
          <w:tcPr>
            <w:tcW w:w="0" w:type="auto"/>
            <w:gridSpan w:val="2"/>
            <w:shd w:val="clear" w:color="auto" w:fill="auto"/>
            <w:noWrap/>
            <w:vAlign w:val="center"/>
            <w:hideMark/>
          </w:tcPr>
          <w:p w14:paraId="0172719E" w14:textId="77777777" w:rsidR="002F5089" w:rsidRPr="00BA05A5" w:rsidRDefault="002F5089" w:rsidP="002F5089">
            <w:pPr>
              <w:spacing w:before="20" w:after="60"/>
              <w:jc w:val="right"/>
              <w:rPr>
                <w:color w:val="000000"/>
                <w:sz w:val="18"/>
                <w:szCs w:val="18"/>
                <w:lang w:eastAsia="en-NZ"/>
              </w:rPr>
            </w:pPr>
            <w:r w:rsidRPr="00BA05A5">
              <w:rPr>
                <w:color w:val="000000"/>
                <w:sz w:val="18"/>
                <w:szCs w:val="18"/>
                <w:lang w:eastAsia="en-NZ"/>
              </w:rPr>
              <w:t>409</w:t>
            </w:r>
          </w:p>
        </w:tc>
        <w:tc>
          <w:tcPr>
            <w:tcW w:w="0" w:type="auto"/>
            <w:shd w:val="clear" w:color="auto" w:fill="auto"/>
            <w:noWrap/>
            <w:vAlign w:val="center"/>
            <w:hideMark/>
          </w:tcPr>
          <w:p w14:paraId="1E7D77B1" w14:textId="77777777" w:rsidR="002F5089" w:rsidRPr="00BA05A5" w:rsidRDefault="002F5089" w:rsidP="002F5089">
            <w:pPr>
              <w:spacing w:before="20" w:after="60"/>
              <w:jc w:val="right"/>
              <w:rPr>
                <w:color w:val="000000"/>
                <w:sz w:val="18"/>
                <w:szCs w:val="18"/>
                <w:lang w:eastAsia="en-NZ"/>
              </w:rPr>
            </w:pPr>
            <w:r w:rsidRPr="00BA05A5">
              <w:rPr>
                <w:color w:val="000000"/>
                <w:sz w:val="18"/>
                <w:szCs w:val="18"/>
                <w:lang w:eastAsia="en-NZ"/>
              </w:rPr>
              <w:t>247</w:t>
            </w:r>
          </w:p>
        </w:tc>
        <w:tc>
          <w:tcPr>
            <w:tcW w:w="827" w:type="dxa"/>
            <w:vAlign w:val="center"/>
          </w:tcPr>
          <w:p w14:paraId="4E658B1B" w14:textId="77777777" w:rsidR="002F5089" w:rsidRPr="00BA05A5" w:rsidRDefault="002F5089" w:rsidP="002F5089">
            <w:pPr>
              <w:spacing w:before="20" w:after="60"/>
              <w:jc w:val="right"/>
              <w:rPr>
                <w:color w:val="000000"/>
                <w:sz w:val="18"/>
                <w:szCs w:val="18"/>
                <w:lang w:eastAsia="en-NZ"/>
              </w:rPr>
            </w:pPr>
            <w:r w:rsidRPr="00BA05A5">
              <w:rPr>
                <w:color w:val="000000"/>
                <w:sz w:val="18"/>
                <w:szCs w:val="18"/>
                <w:lang w:eastAsia="en-NZ"/>
              </w:rPr>
              <w:t>201</w:t>
            </w:r>
          </w:p>
        </w:tc>
        <w:tc>
          <w:tcPr>
            <w:tcW w:w="827" w:type="dxa"/>
            <w:vAlign w:val="center"/>
          </w:tcPr>
          <w:p w14:paraId="28966CEE" w14:textId="77777777" w:rsidR="002F5089" w:rsidRPr="00AF0BB2" w:rsidRDefault="002F5089" w:rsidP="002F5089">
            <w:pPr>
              <w:spacing w:before="20" w:after="60"/>
              <w:jc w:val="right"/>
              <w:rPr>
                <w:color w:val="000000"/>
                <w:sz w:val="18"/>
                <w:szCs w:val="18"/>
                <w:lang w:eastAsia="en-NZ"/>
              </w:rPr>
            </w:pPr>
            <w:r w:rsidRPr="00AF0BB2">
              <w:rPr>
                <w:color w:val="000000"/>
                <w:sz w:val="18"/>
                <w:szCs w:val="18"/>
                <w:lang w:eastAsia="en-NZ"/>
              </w:rPr>
              <w:t>166</w:t>
            </w:r>
          </w:p>
        </w:tc>
        <w:tc>
          <w:tcPr>
            <w:tcW w:w="1131" w:type="dxa"/>
            <w:shd w:val="clear" w:color="auto" w:fill="auto"/>
            <w:noWrap/>
            <w:vAlign w:val="center"/>
          </w:tcPr>
          <w:p w14:paraId="2DDDA7A6" w14:textId="77777777" w:rsidR="002F5089" w:rsidRPr="00AF0BB2" w:rsidRDefault="002F5089" w:rsidP="002F5089">
            <w:pPr>
              <w:spacing w:before="20" w:after="60"/>
              <w:jc w:val="right"/>
              <w:rPr>
                <w:color w:val="000000"/>
                <w:sz w:val="18"/>
                <w:szCs w:val="18"/>
                <w:lang w:eastAsia="en-NZ"/>
              </w:rPr>
            </w:pPr>
            <w:r>
              <w:rPr>
                <w:color w:val="000000"/>
                <w:sz w:val="18"/>
                <w:szCs w:val="18"/>
                <w:lang w:eastAsia="en-NZ"/>
              </w:rPr>
              <w:t>41</w:t>
            </w:r>
          </w:p>
        </w:tc>
        <w:tc>
          <w:tcPr>
            <w:tcW w:w="985" w:type="dxa"/>
            <w:shd w:val="clear" w:color="auto" w:fill="auto"/>
            <w:noWrap/>
            <w:vAlign w:val="center"/>
          </w:tcPr>
          <w:p w14:paraId="2B756632" w14:textId="77777777" w:rsidR="002F5089" w:rsidRPr="00AF0BB2" w:rsidRDefault="002F5089" w:rsidP="002F5089">
            <w:pPr>
              <w:spacing w:before="20" w:after="60"/>
              <w:jc w:val="right"/>
              <w:rPr>
                <w:color w:val="000000"/>
                <w:sz w:val="18"/>
                <w:szCs w:val="18"/>
                <w:lang w:eastAsia="en-NZ"/>
              </w:rPr>
            </w:pPr>
            <w:r w:rsidRPr="00AF0BB2">
              <w:rPr>
                <w:color w:val="000000"/>
                <w:sz w:val="18"/>
                <w:szCs w:val="18"/>
                <w:lang w:eastAsia="en-NZ"/>
              </w:rPr>
              <w:t>&lt;0.0001</w:t>
            </w:r>
          </w:p>
        </w:tc>
      </w:tr>
      <w:tr w:rsidR="002F5089" w:rsidRPr="00BA05A5" w14:paraId="4492C419" w14:textId="77777777" w:rsidTr="008D2B52">
        <w:tc>
          <w:tcPr>
            <w:tcW w:w="1619" w:type="dxa"/>
            <w:vMerge w:val="restart"/>
            <w:shd w:val="clear" w:color="auto" w:fill="auto"/>
            <w:noWrap/>
            <w:vAlign w:val="center"/>
            <w:hideMark/>
          </w:tcPr>
          <w:p w14:paraId="58221265" w14:textId="77777777" w:rsidR="002F5089" w:rsidRPr="00BA05A5" w:rsidRDefault="002F5089" w:rsidP="005B7477">
            <w:pPr>
              <w:keepNext/>
              <w:spacing w:before="20" w:after="20"/>
              <w:rPr>
                <w:color w:val="000000"/>
                <w:sz w:val="18"/>
                <w:szCs w:val="18"/>
                <w:lang w:eastAsia="en-NZ"/>
              </w:rPr>
            </w:pPr>
            <w:r w:rsidRPr="00BA05A5">
              <w:rPr>
                <w:color w:val="000000"/>
                <w:sz w:val="18"/>
                <w:szCs w:val="18"/>
                <w:lang w:eastAsia="en-NZ"/>
              </w:rPr>
              <w:t xml:space="preserve">Number of </w:t>
            </w:r>
            <w:r w:rsidR="005B7477">
              <w:rPr>
                <w:color w:val="000000"/>
                <w:sz w:val="18"/>
                <w:szCs w:val="18"/>
                <w:lang w:eastAsia="en-NZ"/>
              </w:rPr>
              <w:t>major</w:t>
            </w:r>
            <w:r w:rsidRPr="00BA05A5">
              <w:rPr>
                <w:color w:val="000000"/>
                <w:sz w:val="18"/>
                <w:szCs w:val="18"/>
                <w:lang w:eastAsia="en-NZ"/>
              </w:rPr>
              <w:t xml:space="preserve"> life events</w:t>
            </w:r>
          </w:p>
        </w:tc>
        <w:tc>
          <w:tcPr>
            <w:tcW w:w="2015" w:type="dxa"/>
            <w:shd w:val="clear" w:color="auto" w:fill="auto"/>
            <w:noWrap/>
            <w:vAlign w:val="center"/>
            <w:hideMark/>
          </w:tcPr>
          <w:p w14:paraId="2E28802A" w14:textId="77777777" w:rsidR="002F5089" w:rsidRPr="00BA05A5" w:rsidRDefault="002F5089" w:rsidP="0063775F">
            <w:pPr>
              <w:keepNext/>
              <w:spacing w:before="20" w:after="20"/>
              <w:rPr>
                <w:color w:val="000000"/>
                <w:sz w:val="18"/>
                <w:szCs w:val="18"/>
                <w:lang w:eastAsia="en-NZ"/>
              </w:rPr>
            </w:pPr>
            <w:r w:rsidRPr="00BA05A5">
              <w:rPr>
                <w:color w:val="000000"/>
                <w:sz w:val="18"/>
                <w:szCs w:val="18"/>
                <w:lang w:eastAsia="en-NZ"/>
              </w:rPr>
              <w:t>0</w:t>
            </w:r>
          </w:p>
        </w:tc>
        <w:tc>
          <w:tcPr>
            <w:tcW w:w="0" w:type="auto"/>
            <w:gridSpan w:val="2"/>
            <w:shd w:val="clear" w:color="auto" w:fill="auto"/>
            <w:noWrap/>
            <w:vAlign w:val="center"/>
            <w:hideMark/>
          </w:tcPr>
          <w:p w14:paraId="62C98C12" w14:textId="77777777" w:rsidR="002F5089" w:rsidRPr="00BA05A5" w:rsidRDefault="002F5089" w:rsidP="002F5089">
            <w:pPr>
              <w:adjustRightInd w:val="0"/>
              <w:jc w:val="right"/>
              <w:rPr>
                <w:color w:val="000000"/>
                <w:sz w:val="18"/>
                <w:szCs w:val="18"/>
              </w:rPr>
            </w:pPr>
            <w:r w:rsidRPr="00BA05A5">
              <w:rPr>
                <w:color w:val="000000"/>
                <w:sz w:val="18"/>
                <w:szCs w:val="18"/>
              </w:rPr>
              <w:t>1774</w:t>
            </w:r>
          </w:p>
        </w:tc>
        <w:tc>
          <w:tcPr>
            <w:tcW w:w="0" w:type="auto"/>
            <w:shd w:val="clear" w:color="auto" w:fill="auto"/>
            <w:noWrap/>
            <w:vAlign w:val="center"/>
            <w:hideMark/>
          </w:tcPr>
          <w:p w14:paraId="690F6CF2" w14:textId="77777777" w:rsidR="002F5089" w:rsidRPr="00BA05A5" w:rsidRDefault="002F5089" w:rsidP="002F5089">
            <w:pPr>
              <w:adjustRightInd w:val="0"/>
              <w:jc w:val="right"/>
              <w:rPr>
                <w:color w:val="000000"/>
                <w:sz w:val="18"/>
                <w:szCs w:val="18"/>
              </w:rPr>
            </w:pPr>
            <w:r w:rsidRPr="00BA05A5">
              <w:rPr>
                <w:color w:val="000000"/>
                <w:sz w:val="18"/>
                <w:szCs w:val="18"/>
              </w:rPr>
              <w:t>1040</w:t>
            </w:r>
          </w:p>
        </w:tc>
        <w:tc>
          <w:tcPr>
            <w:tcW w:w="827" w:type="dxa"/>
            <w:vAlign w:val="center"/>
          </w:tcPr>
          <w:p w14:paraId="0FD37B06" w14:textId="77777777" w:rsidR="002F5089" w:rsidRPr="00BA05A5" w:rsidRDefault="002F5089" w:rsidP="002F5089">
            <w:pPr>
              <w:adjustRightInd w:val="0"/>
              <w:jc w:val="right"/>
              <w:rPr>
                <w:color w:val="000000"/>
                <w:sz w:val="18"/>
                <w:szCs w:val="18"/>
              </w:rPr>
            </w:pPr>
            <w:r w:rsidRPr="00BA05A5">
              <w:rPr>
                <w:color w:val="000000"/>
                <w:sz w:val="18"/>
                <w:szCs w:val="18"/>
              </w:rPr>
              <w:t>859</w:t>
            </w:r>
          </w:p>
        </w:tc>
        <w:tc>
          <w:tcPr>
            <w:tcW w:w="827" w:type="dxa"/>
            <w:vAlign w:val="center"/>
          </w:tcPr>
          <w:p w14:paraId="3F23595D" w14:textId="77777777" w:rsidR="002F5089" w:rsidRPr="00AF0BB2" w:rsidRDefault="002F5089" w:rsidP="002F5089">
            <w:pPr>
              <w:jc w:val="right"/>
              <w:rPr>
                <w:color w:val="000000"/>
                <w:sz w:val="18"/>
                <w:szCs w:val="18"/>
                <w:lang w:eastAsia="en-NZ"/>
              </w:rPr>
            </w:pPr>
            <w:r w:rsidRPr="00AF0BB2">
              <w:rPr>
                <w:color w:val="000000"/>
                <w:sz w:val="18"/>
                <w:szCs w:val="18"/>
              </w:rPr>
              <w:t>757</w:t>
            </w:r>
          </w:p>
        </w:tc>
        <w:tc>
          <w:tcPr>
            <w:tcW w:w="1131" w:type="dxa"/>
            <w:shd w:val="clear" w:color="auto" w:fill="auto"/>
            <w:noWrap/>
            <w:vAlign w:val="center"/>
          </w:tcPr>
          <w:p w14:paraId="4A2829DD" w14:textId="77777777" w:rsidR="002F5089" w:rsidRPr="00AF0BB2" w:rsidRDefault="002F5089" w:rsidP="002F5089">
            <w:pPr>
              <w:jc w:val="right"/>
              <w:rPr>
                <w:color w:val="000000"/>
                <w:sz w:val="18"/>
                <w:szCs w:val="18"/>
                <w:lang w:eastAsia="en-NZ"/>
              </w:rPr>
            </w:pPr>
            <w:r>
              <w:rPr>
                <w:color w:val="000000"/>
                <w:sz w:val="18"/>
                <w:szCs w:val="18"/>
              </w:rPr>
              <w:t>43</w:t>
            </w:r>
          </w:p>
        </w:tc>
        <w:tc>
          <w:tcPr>
            <w:tcW w:w="985" w:type="dxa"/>
            <w:shd w:val="clear" w:color="auto" w:fill="auto"/>
            <w:noWrap/>
            <w:vAlign w:val="center"/>
          </w:tcPr>
          <w:p w14:paraId="01DADE67" w14:textId="77777777" w:rsidR="002F5089" w:rsidRPr="00AF0BB2" w:rsidRDefault="002F5089" w:rsidP="002F5089">
            <w:pPr>
              <w:keepNext/>
              <w:jc w:val="right"/>
              <w:rPr>
                <w:color w:val="000000"/>
                <w:sz w:val="18"/>
                <w:szCs w:val="18"/>
                <w:lang w:eastAsia="en-NZ"/>
              </w:rPr>
            </w:pPr>
          </w:p>
        </w:tc>
      </w:tr>
      <w:tr w:rsidR="002F5089" w:rsidRPr="00BA05A5" w14:paraId="2882A59C" w14:textId="77777777" w:rsidTr="008D2B52">
        <w:tc>
          <w:tcPr>
            <w:tcW w:w="1619" w:type="dxa"/>
            <w:vMerge/>
            <w:shd w:val="clear" w:color="auto" w:fill="auto"/>
            <w:noWrap/>
            <w:vAlign w:val="center"/>
            <w:hideMark/>
          </w:tcPr>
          <w:p w14:paraId="4D79D324" w14:textId="77777777" w:rsidR="002F5089" w:rsidRPr="00BA05A5" w:rsidRDefault="002F5089" w:rsidP="00D71243">
            <w:pPr>
              <w:keepNext/>
              <w:spacing w:before="20" w:after="20"/>
              <w:rPr>
                <w:sz w:val="18"/>
                <w:szCs w:val="18"/>
                <w:lang w:eastAsia="en-NZ"/>
              </w:rPr>
            </w:pPr>
          </w:p>
        </w:tc>
        <w:tc>
          <w:tcPr>
            <w:tcW w:w="2015" w:type="dxa"/>
            <w:shd w:val="clear" w:color="auto" w:fill="auto"/>
            <w:noWrap/>
            <w:vAlign w:val="center"/>
            <w:hideMark/>
          </w:tcPr>
          <w:p w14:paraId="55A5F7AD" w14:textId="77777777" w:rsidR="002F5089" w:rsidRPr="00BA05A5" w:rsidRDefault="002F5089" w:rsidP="0063775F">
            <w:pPr>
              <w:keepNext/>
              <w:spacing w:before="20" w:after="20"/>
              <w:rPr>
                <w:color w:val="000000"/>
                <w:sz w:val="18"/>
                <w:szCs w:val="18"/>
                <w:lang w:eastAsia="en-NZ"/>
              </w:rPr>
            </w:pPr>
            <w:r w:rsidRPr="00BA05A5">
              <w:rPr>
                <w:color w:val="000000"/>
                <w:sz w:val="18"/>
                <w:szCs w:val="18"/>
                <w:lang w:eastAsia="en-NZ"/>
              </w:rPr>
              <w:t>1</w:t>
            </w:r>
          </w:p>
        </w:tc>
        <w:tc>
          <w:tcPr>
            <w:tcW w:w="0" w:type="auto"/>
            <w:gridSpan w:val="2"/>
            <w:shd w:val="clear" w:color="auto" w:fill="auto"/>
            <w:noWrap/>
            <w:vAlign w:val="center"/>
            <w:hideMark/>
          </w:tcPr>
          <w:p w14:paraId="5B1B7B64" w14:textId="77777777" w:rsidR="002F5089" w:rsidRPr="00BA05A5" w:rsidRDefault="002F5089" w:rsidP="002F5089">
            <w:pPr>
              <w:adjustRightInd w:val="0"/>
              <w:jc w:val="right"/>
              <w:rPr>
                <w:color w:val="000000"/>
                <w:sz w:val="18"/>
                <w:szCs w:val="18"/>
              </w:rPr>
            </w:pPr>
            <w:r w:rsidRPr="00BA05A5">
              <w:rPr>
                <w:color w:val="000000"/>
                <w:sz w:val="18"/>
                <w:szCs w:val="18"/>
              </w:rPr>
              <w:t>1620</w:t>
            </w:r>
          </w:p>
        </w:tc>
        <w:tc>
          <w:tcPr>
            <w:tcW w:w="0" w:type="auto"/>
            <w:shd w:val="clear" w:color="auto" w:fill="auto"/>
            <w:noWrap/>
            <w:vAlign w:val="center"/>
            <w:hideMark/>
          </w:tcPr>
          <w:p w14:paraId="48599979" w14:textId="77777777" w:rsidR="002F5089" w:rsidRPr="00BA05A5" w:rsidRDefault="002F5089" w:rsidP="002F5089">
            <w:pPr>
              <w:adjustRightInd w:val="0"/>
              <w:jc w:val="right"/>
              <w:rPr>
                <w:color w:val="000000"/>
                <w:sz w:val="18"/>
                <w:szCs w:val="18"/>
              </w:rPr>
            </w:pPr>
            <w:r w:rsidRPr="00BA05A5">
              <w:rPr>
                <w:color w:val="000000"/>
                <w:sz w:val="18"/>
                <w:szCs w:val="18"/>
              </w:rPr>
              <w:t>982</w:t>
            </w:r>
          </w:p>
        </w:tc>
        <w:tc>
          <w:tcPr>
            <w:tcW w:w="827" w:type="dxa"/>
            <w:vAlign w:val="center"/>
          </w:tcPr>
          <w:p w14:paraId="3061913F" w14:textId="77777777" w:rsidR="002F5089" w:rsidRPr="00BA05A5" w:rsidRDefault="002F5089" w:rsidP="002F5089">
            <w:pPr>
              <w:adjustRightInd w:val="0"/>
              <w:jc w:val="right"/>
              <w:rPr>
                <w:color w:val="000000"/>
                <w:sz w:val="18"/>
                <w:szCs w:val="18"/>
              </w:rPr>
            </w:pPr>
            <w:r w:rsidRPr="00BA05A5">
              <w:rPr>
                <w:color w:val="000000"/>
                <w:sz w:val="18"/>
                <w:szCs w:val="18"/>
              </w:rPr>
              <w:t>824</w:t>
            </w:r>
          </w:p>
        </w:tc>
        <w:tc>
          <w:tcPr>
            <w:tcW w:w="827" w:type="dxa"/>
            <w:vAlign w:val="center"/>
          </w:tcPr>
          <w:p w14:paraId="2A0DF302" w14:textId="77777777" w:rsidR="002F5089" w:rsidRPr="00AF0BB2" w:rsidRDefault="002F5089" w:rsidP="002F5089">
            <w:pPr>
              <w:jc w:val="right"/>
              <w:rPr>
                <w:color w:val="000000"/>
                <w:sz w:val="18"/>
                <w:szCs w:val="18"/>
              </w:rPr>
            </w:pPr>
            <w:r w:rsidRPr="00AF0BB2">
              <w:rPr>
                <w:color w:val="000000"/>
                <w:sz w:val="18"/>
                <w:szCs w:val="18"/>
              </w:rPr>
              <w:t>741</w:t>
            </w:r>
          </w:p>
        </w:tc>
        <w:tc>
          <w:tcPr>
            <w:tcW w:w="1131" w:type="dxa"/>
            <w:shd w:val="clear" w:color="auto" w:fill="auto"/>
            <w:noWrap/>
            <w:vAlign w:val="center"/>
          </w:tcPr>
          <w:p w14:paraId="74305463" w14:textId="77777777" w:rsidR="002F5089" w:rsidRPr="00AF0BB2" w:rsidRDefault="002F5089" w:rsidP="002F5089">
            <w:pPr>
              <w:jc w:val="right"/>
              <w:rPr>
                <w:color w:val="000000"/>
                <w:sz w:val="18"/>
                <w:szCs w:val="18"/>
              </w:rPr>
            </w:pPr>
            <w:r>
              <w:rPr>
                <w:color w:val="000000"/>
                <w:sz w:val="18"/>
                <w:szCs w:val="18"/>
              </w:rPr>
              <w:t>46</w:t>
            </w:r>
          </w:p>
        </w:tc>
        <w:tc>
          <w:tcPr>
            <w:tcW w:w="985" w:type="dxa"/>
            <w:shd w:val="clear" w:color="auto" w:fill="auto"/>
            <w:noWrap/>
            <w:vAlign w:val="center"/>
          </w:tcPr>
          <w:p w14:paraId="7D2250CC" w14:textId="77777777" w:rsidR="002F5089" w:rsidRPr="00AF0BB2" w:rsidRDefault="002F5089" w:rsidP="002F5089">
            <w:pPr>
              <w:keepNext/>
              <w:jc w:val="right"/>
              <w:rPr>
                <w:color w:val="000000"/>
                <w:sz w:val="18"/>
                <w:szCs w:val="18"/>
                <w:lang w:eastAsia="en-NZ"/>
              </w:rPr>
            </w:pPr>
          </w:p>
        </w:tc>
      </w:tr>
      <w:tr w:rsidR="002F5089" w:rsidRPr="00BA05A5" w14:paraId="4DDB2074" w14:textId="77777777" w:rsidTr="008D2B52">
        <w:tc>
          <w:tcPr>
            <w:tcW w:w="1619" w:type="dxa"/>
            <w:vMerge/>
            <w:shd w:val="clear" w:color="auto" w:fill="auto"/>
            <w:noWrap/>
            <w:vAlign w:val="center"/>
            <w:hideMark/>
          </w:tcPr>
          <w:p w14:paraId="3718231F" w14:textId="77777777" w:rsidR="002F5089" w:rsidRPr="00BA05A5" w:rsidRDefault="002F5089" w:rsidP="00D71243">
            <w:pPr>
              <w:keepNext/>
              <w:spacing w:before="20" w:after="20"/>
              <w:rPr>
                <w:sz w:val="18"/>
                <w:szCs w:val="18"/>
                <w:lang w:eastAsia="en-NZ"/>
              </w:rPr>
            </w:pPr>
          </w:p>
        </w:tc>
        <w:tc>
          <w:tcPr>
            <w:tcW w:w="2015" w:type="dxa"/>
            <w:shd w:val="clear" w:color="auto" w:fill="auto"/>
            <w:noWrap/>
            <w:vAlign w:val="center"/>
            <w:hideMark/>
          </w:tcPr>
          <w:p w14:paraId="340820BF" w14:textId="77777777" w:rsidR="002F5089" w:rsidRPr="00BA05A5" w:rsidRDefault="002F5089" w:rsidP="0063775F">
            <w:pPr>
              <w:keepNext/>
              <w:spacing w:before="20" w:after="20"/>
              <w:rPr>
                <w:color w:val="000000"/>
                <w:sz w:val="18"/>
                <w:szCs w:val="18"/>
                <w:lang w:eastAsia="en-NZ"/>
              </w:rPr>
            </w:pPr>
            <w:r w:rsidRPr="00BA05A5">
              <w:rPr>
                <w:color w:val="000000"/>
                <w:sz w:val="18"/>
                <w:szCs w:val="18"/>
                <w:lang w:eastAsia="en-NZ"/>
              </w:rPr>
              <w:t>2</w:t>
            </w:r>
          </w:p>
        </w:tc>
        <w:tc>
          <w:tcPr>
            <w:tcW w:w="0" w:type="auto"/>
            <w:gridSpan w:val="2"/>
            <w:shd w:val="clear" w:color="auto" w:fill="auto"/>
            <w:noWrap/>
            <w:vAlign w:val="center"/>
            <w:hideMark/>
          </w:tcPr>
          <w:p w14:paraId="36DD19FA" w14:textId="77777777" w:rsidR="002F5089" w:rsidRPr="00BA05A5" w:rsidRDefault="002F5089" w:rsidP="002F5089">
            <w:pPr>
              <w:adjustRightInd w:val="0"/>
              <w:jc w:val="right"/>
              <w:rPr>
                <w:color w:val="000000"/>
                <w:sz w:val="18"/>
                <w:szCs w:val="18"/>
              </w:rPr>
            </w:pPr>
            <w:r w:rsidRPr="00BA05A5">
              <w:rPr>
                <w:color w:val="000000"/>
                <w:sz w:val="18"/>
                <w:szCs w:val="18"/>
              </w:rPr>
              <w:t>1139</w:t>
            </w:r>
          </w:p>
        </w:tc>
        <w:tc>
          <w:tcPr>
            <w:tcW w:w="0" w:type="auto"/>
            <w:shd w:val="clear" w:color="auto" w:fill="auto"/>
            <w:noWrap/>
            <w:vAlign w:val="center"/>
            <w:hideMark/>
          </w:tcPr>
          <w:p w14:paraId="5B3A5673" w14:textId="77777777" w:rsidR="002F5089" w:rsidRPr="00BA05A5" w:rsidRDefault="002F5089" w:rsidP="002F5089">
            <w:pPr>
              <w:adjustRightInd w:val="0"/>
              <w:jc w:val="right"/>
              <w:rPr>
                <w:color w:val="000000"/>
                <w:sz w:val="18"/>
                <w:szCs w:val="18"/>
              </w:rPr>
            </w:pPr>
            <w:r w:rsidRPr="00BA05A5">
              <w:rPr>
                <w:color w:val="000000"/>
                <w:sz w:val="18"/>
                <w:szCs w:val="18"/>
              </w:rPr>
              <w:t>705</w:t>
            </w:r>
          </w:p>
        </w:tc>
        <w:tc>
          <w:tcPr>
            <w:tcW w:w="827" w:type="dxa"/>
            <w:vAlign w:val="center"/>
          </w:tcPr>
          <w:p w14:paraId="68135051" w14:textId="77777777" w:rsidR="002F5089" w:rsidRPr="00BA05A5" w:rsidRDefault="002F5089" w:rsidP="002F5089">
            <w:pPr>
              <w:adjustRightInd w:val="0"/>
              <w:jc w:val="right"/>
              <w:rPr>
                <w:color w:val="000000"/>
                <w:sz w:val="18"/>
                <w:szCs w:val="18"/>
              </w:rPr>
            </w:pPr>
            <w:r w:rsidRPr="00BA05A5">
              <w:rPr>
                <w:color w:val="000000"/>
                <w:sz w:val="18"/>
                <w:szCs w:val="18"/>
              </w:rPr>
              <w:t>590</w:t>
            </w:r>
          </w:p>
        </w:tc>
        <w:tc>
          <w:tcPr>
            <w:tcW w:w="827" w:type="dxa"/>
            <w:vAlign w:val="center"/>
          </w:tcPr>
          <w:p w14:paraId="47FD2BC3" w14:textId="77777777" w:rsidR="002F5089" w:rsidRPr="00AF0BB2" w:rsidRDefault="002F5089" w:rsidP="002F5089">
            <w:pPr>
              <w:jc w:val="right"/>
              <w:rPr>
                <w:color w:val="000000"/>
                <w:sz w:val="18"/>
                <w:szCs w:val="18"/>
              </w:rPr>
            </w:pPr>
            <w:r w:rsidRPr="00AF0BB2">
              <w:rPr>
                <w:color w:val="000000"/>
                <w:sz w:val="18"/>
                <w:szCs w:val="18"/>
              </w:rPr>
              <w:t>526</w:t>
            </w:r>
          </w:p>
        </w:tc>
        <w:tc>
          <w:tcPr>
            <w:tcW w:w="1131" w:type="dxa"/>
            <w:shd w:val="clear" w:color="auto" w:fill="auto"/>
            <w:noWrap/>
            <w:vAlign w:val="center"/>
          </w:tcPr>
          <w:p w14:paraId="5684A6BD" w14:textId="77777777" w:rsidR="002F5089" w:rsidRPr="00AF0BB2" w:rsidRDefault="002F5089" w:rsidP="002F5089">
            <w:pPr>
              <w:jc w:val="right"/>
              <w:rPr>
                <w:color w:val="000000"/>
                <w:sz w:val="18"/>
                <w:szCs w:val="18"/>
              </w:rPr>
            </w:pPr>
            <w:r>
              <w:rPr>
                <w:color w:val="000000"/>
                <w:sz w:val="18"/>
                <w:szCs w:val="18"/>
              </w:rPr>
              <w:t>46</w:t>
            </w:r>
          </w:p>
        </w:tc>
        <w:tc>
          <w:tcPr>
            <w:tcW w:w="985" w:type="dxa"/>
            <w:shd w:val="clear" w:color="auto" w:fill="auto"/>
            <w:noWrap/>
            <w:vAlign w:val="center"/>
          </w:tcPr>
          <w:p w14:paraId="39FD84C4" w14:textId="77777777" w:rsidR="002F5089" w:rsidRPr="00AF0BB2" w:rsidRDefault="002F5089" w:rsidP="002F5089">
            <w:pPr>
              <w:keepNext/>
              <w:jc w:val="right"/>
              <w:rPr>
                <w:color w:val="000000"/>
                <w:sz w:val="18"/>
                <w:szCs w:val="18"/>
                <w:lang w:eastAsia="en-NZ"/>
              </w:rPr>
            </w:pPr>
          </w:p>
        </w:tc>
      </w:tr>
      <w:tr w:rsidR="002F5089" w:rsidRPr="00BA05A5" w14:paraId="775CAB2D" w14:textId="77777777" w:rsidTr="008D2B52">
        <w:tc>
          <w:tcPr>
            <w:tcW w:w="1619" w:type="dxa"/>
            <w:shd w:val="clear" w:color="auto" w:fill="auto"/>
            <w:noWrap/>
            <w:vAlign w:val="center"/>
            <w:hideMark/>
          </w:tcPr>
          <w:p w14:paraId="6A78E664" w14:textId="77777777" w:rsidR="002F5089" w:rsidRPr="00BA05A5" w:rsidRDefault="002F5089" w:rsidP="00D71243">
            <w:pPr>
              <w:keepNext/>
              <w:spacing w:before="20" w:after="20"/>
              <w:rPr>
                <w:sz w:val="18"/>
                <w:szCs w:val="18"/>
                <w:lang w:eastAsia="en-NZ"/>
              </w:rPr>
            </w:pPr>
          </w:p>
        </w:tc>
        <w:tc>
          <w:tcPr>
            <w:tcW w:w="2015" w:type="dxa"/>
            <w:shd w:val="clear" w:color="auto" w:fill="auto"/>
            <w:noWrap/>
            <w:vAlign w:val="center"/>
            <w:hideMark/>
          </w:tcPr>
          <w:p w14:paraId="3B2B8BE1"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3</w:t>
            </w:r>
          </w:p>
        </w:tc>
        <w:tc>
          <w:tcPr>
            <w:tcW w:w="0" w:type="auto"/>
            <w:gridSpan w:val="2"/>
            <w:shd w:val="clear" w:color="auto" w:fill="auto"/>
            <w:noWrap/>
            <w:vAlign w:val="center"/>
            <w:hideMark/>
          </w:tcPr>
          <w:p w14:paraId="10A212C1" w14:textId="77777777" w:rsidR="002F5089" w:rsidRPr="00BA05A5" w:rsidRDefault="002F5089" w:rsidP="002F5089">
            <w:pPr>
              <w:adjustRightInd w:val="0"/>
              <w:jc w:val="right"/>
              <w:rPr>
                <w:color w:val="000000"/>
                <w:sz w:val="18"/>
                <w:szCs w:val="18"/>
              </w:rPr>
            </w:pPr>
            <w:r w:rsidRPr="00BA05A5">
              <w:rPr>
                <w:color w:val="000000"/>
                <w:sz w:val="18"/>
                <w:szCs w:val="18"/>
              </w:rPr>
              <w:t>706</w:t>
            </w:r>
          </w:p>
        </w:tc>
        <w:tc>
          <w:tcPr>
            <w:tcW w:w="0" w:type="auto"/>
            <w:shd w:val="clear" w:color="auto" w:fill="auto"/>
            <w:noWrap/>
            <w:vAlign w:val="center"/>
            <w:hideMark/>
          </w:tcPr>
          <w:p w14:paraId="34B62BB0" w14:textId="77777777" w:rsidR="002F5089" w:rsidRPr="00BA05A5" w:rsidRDefault="002F5089" w:rsidP="002F5089">
            <w:pPr>
              <w:adjustRightInd w:val="0"/>
              <w:jc w:val="right"/>
              <w:rPr>
                <w:color w:val="000000"/>
                <w:sz w:val="18"/>
                <w:szCs w:val="18"/>
              </w:rPr>
            </w:pPr>
            <w:r w:rsidRPr="00BA05A5">
              <w:rPr>
                <w:color w:val="000000"/>
                <w:sz w:val="18"/>
                <w:szCs w:val="18"/>
              </w:rPr>
              <w:t>449</w:t>
            </w:r>
          </w:p>
        </w:tc>
        <w:tc>
          <w:tcPr>
            <w:tcW w:w="827" w:type="dxa"/>
            <w:vAlign w:val="center"/>
          </w:tcPr>
          <w:p w14:paraId="4BB6D3E8" w14:textId="77777777" w:rsidR="002F5089" w:rsidRPr="00BA05A5" w:rsidRDefault="002F5089" w:rsidP="002F5089">
            <w:pPr>
              <w:adjustRightInd w:val="0"/>
              <w:jc w:val="right"/>
              <w:rPr>
                <w:color w:val="000000"/>
                <w:sz w:val="18"/>
                <w:szCs w:val="18"/>
              </w:rPr>
            </w:pPr>
            <w:r w:rsidRPr="00BA05A5">
              <w:rPr>
                <w:color w:val="000000"/>
                <w:sz w:val="18"/>
                <w:szCs w:val="18"/>
              </w:rPr>
              <w:t>376</w:t>
            </w:r>
          </w:p>
        </w:tc>
        <w:tc>
          <w:tcPr>
            <w:tcW w:w="827" w:type="dxa"/>
            <w:vAlign w:val="center"/>
          </w:tcPr>
          <w:p w14:paraId="3FEC445F" w14:textId="77777777" w:rsidR="002F5089" w:rsidRPr="00AF0BB2" w:rsidRDefault="002F5089" w:rsidP="002F5089">
            <w:pPr>
              <w:jc w:val="right"/>
              <w:rPr>
                <w:color w:val="000000"/>
                <w:sz w:val="18"/>
                <w:szCs w:val="18"/>
              </w:rPr>
            </w:pPr>
            <w:r w:rsidRPr="00AF0BB2">
              <w:rPr>
                <w:color w:val="000000"/>
                <w:sz w:val="18"/>
                <w:szCs w:val="18"/>
              </w:rPr>
              <w:t>341</w:t>
            </w:r>
          </w:p>
        </w:tc>
        <w:tc>
          <w:tcPr>
            <w:tcW w:w="1131" w:type="dxa"/>
            <w:shd w:val="clear" w:color="auto" w:fill="auto"/>
            <w:noWrap/>
            <w:vAlign w:val="center"/>
          </w:tcPr>
          <w:p w14:paraId="6607C93A" w14:textId="77777777" w:rsidR="002F5089" w:rsidRPr="00AF0BB2" w:rsidRDefault="002F5089" w:rsidP="002F5089">
            <w:pPr>
              <w:jc w:val="right"/>
              <w:rPr>
                <w:color w:val="000000"/>
                <w:sz w:val="18"/>
                <w:szCs w:val="18"/>
              </w:rPr>
            </w:pPr>
            <w:r>
              <w:rPr>
                <w:color w:val="000000"/>
                <w:sz w:val="18"/>
                <w:szCs w:val="18"/>
              </w:rPr>
              <w:t>48</w:t>
            </w:r>
          </w:p>
        </w:tc>
        <w:tc>
          <w:tcPr>
            <w:tcW w:w="985" w:type="dxa"/>
            <w:shd w:val="clear" w:color="auto" w:fill="auto"/>
            <w:noWrap/>
            <w:vAlign w:val="center"/>
          </w:tcPr>
          <w:p w14:paraId="53BF924E" w14:textId="77777777" w:rsidR="002F5089" w:rsidRPr="00AF0BB2" w:rsidRDefault="002F5089" w:rsidP="002F5089">
            <w:pPr>
              <w:jc w:val="right"/>
              <w:rPr>
                <w:color w:val="000000"/>
                <w:sz w:val="18"/>
                <w:szCs w:val="18"/>
                <w:lang w:eastAsia="en-NZ"/>
              </w:rPr>
            </w:pPr>
          </w:p>
        </w:tc>
      </w:tr>
      <w:tr w:rsidR="002F5089" w:rsidRPr="00BA05A5" w14:paraId="3EA24986" w14:textId="77777777" w:rsidTr="008D2B52">
        <w:tc>
          <w:tcPr>
            <w:tcW w:w="1619" w:type="dxa"/>
            <w:shd w:val="clear" w:color="auto" w:fill="auto"/>
            <w:noWrap/>
            <w:vAlign w:val="center"/>
            <w:hideMark/>
          </w:tcPr>
          <w:p w14:paraId="391FCC51" w14:textId="77777777" w:rsidR="002F5089" w:rsidRPr="00BA05A5" w:rsidRDefault="002F5089" w:rsidP="00D71243">
            <w:pPr>
              <w:keepNext/>
              <w:spacing w:before="20" w:after="20"/>
              <w:rPr>
                <w:sz w:val="18"/>
                <w:szCs w:val="18"/>
                <w:lang w:eastAsia="en-NZ"/>
              </w:rPr>
            </w:pPr>
          </w:p>
        </w:tc>
        <w:tc>
          <w:tcPr>
            <w:tcW w:w="2015" w:type="dxa"/>
            <w:shd w:val="clear" w:color="auto" w:fill="auto"/>
            <w:noWrap/>
            <w:vAlign w:val="center"/>
            <w:hideMark/>
          </w:tcPr>
          <w:p w14:paraId="13EE19B8"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4</w:t>
            </w:r>
          </w:p>
        </w:tc>
        <w:tc>
          <w:tcPr>
            <w:tcW w:w="0" w:type="auto"/>
            <w:gridSpan w:val="2"/>
            <w:shd w:val="clear" w:color="auto" w:fill="auto"/>
            <w:noWrap/>
            <w:vAlign w:val="center"/>
            <w:hideMark/>
          </w:tcPr>
          <w:p w14:paraId="305D569A" w14:textId="77777777" w:rsidR="002F5089" w:rsidRPr="00BA05A5" w:rsidRDefault="002F5089" w:rsidP="002F5089">
            <w:pPr>
              <w:keepNext/>
              <w:adjustRightInd w:val="0"/>
              <w:jc w:val="right"/>
              <w:rPr>
                <w:color w:val="000000"/>
                <w:sz w:val="18"/>
                <w:szCs w:val="18"/>
              </w:rPr>
            </w:pPr>
            <w:r w:rsidRPr="00BA05A5">
              <w:rPr>
                <w:color w:val="000000"/>
                <w:sz w:val="18"/>
                <w:szCs w:val="18"/>
              </w:rPr>
              <w:t>456</w:t>
            </w:r>
          </w:p>
        </w:tc>
        <w:tc>
          <w:tcPr>
            <w:tcW w:w="0" w:type="auto"/>
            <w:shd w:val="clear" w:color="auto" w:fill="auto"/>
            <w:noWrap/>
            <w:vAlign w:val="center"/>
            <w:hideMark/>
          </w:tcPr>
          <w:p w14:paraId="07D0129D" w14:textId="77777777" w:rsidR="002F5089" w:rsidRPr="00BA05A5" w:rsidRDefault="002F5089" w:rsidP="002F5089">
            <w:pPr>
              <w:keepNext/>
              <w:adjustRightInd w:val="0"/>
              <w:jc w:val="right"/>
              <w:rPr>
                <w:color w:val="000000"/>
                <w:sz w:val="18"/>
                <w:szCs w:val="18"/>
              </w:rPr>
            </w:pPr>
            <w:r w:rsidRPr="00BA05A5">
              <w:rPr>
                <w:color w:val="000000"/>
                <w:sz w:val="18"/>
                <w:szCs w:val="18"/>
              </w:rPr>
              <w:t>274</w:t>
            </w:r>
          </w:p>
        </w:tc>
        <w:tc>
          <w:tcPr>
            <w:tcW w:w="827" w:type="dxa"/>
            <w:vAlign w:val="center"/>
          </w:tcPr>
          <w:p w14:paraId="5466BB25" w14:textId="77777777" w:rsidR="002F5089" w:rsidRPr="00BA05A5" w:rsidRDefault="002F5089" w:rsidP="002F5089">
            <w:pPr>
              <w:keepNext/>
              <w:adjustRightInd w:val="0"/>
              <w:jc w:val="right"/>
              <w:rPr>
                <w:color w:val="000000"/>
                <w:sz w:val="18"/>
                <w:szCs w:val="18"/>
              </w:rPr>
            </w:pPr>
            <w:r w:rsidRPr="00BA05A5">
              <w:rPr>
                <w:color w:val="000000"/>
                <w:sz w:val="18"/>
                <w:szCs w:val="18"/>
              </w:rPr>
              <w:t>227</w:t>
            </w:r>
          </w:p>
        </w:tc>
        <w:tc>
          <w:tcPr>
            <w:tcW w:w="827" w:type="dxa"/>
            <w:vAlign w:val="center"/>
          </w:tcPr>
          <w:p w14:paraId="0426576E" w14:textId="77777777" w:rsidR="002F5089" w:rsidRPr="00AF0BB2" w:rsidRDefault="002F5089" w:rsidP="002F5089">
            <w:pPr>
              <w:jc w:val="right"/>
              <w:rPr>
                <w:color w:val="000000"/>
                <w:sz w:val="18"/>
                <w:szCs w:val="18"/>
              </w:rPr>
            </w:pPr>
            <w:r w:rsidRPr="00AF0BB2">
              <w:rPr>
                <w:color w:val="000000"/>
                <w:sz w:val="18"/>
                <w:szCs w:val="18"/>
              </w:rPr>
              <w:t>211</w:t>
            </w:r>
          </w:p>
        </w:tc>
        <w:tc>
          <w:tcPr>
            <w:tcW w:w="1131" w:type="dxa"/>
            <w:shd w:val="clear" w:color="auto" w:fill="auto"/>
            <w:noWrap/>
            <w:vAlign w:val="center"/>
          </w:tcPr>
          <w:p w14:paraId="4DF4DA65" w14:textId="77777777" w:rsidR="002F5089" w:rsidRPr="00AF0BB2" w:rsidRDefault="002F5089" w:rsidP="002F5089">
            <w:pPr>
              <w:jc w:val="right"/>
              <w:rPr>
                <w:color w:val="000000"/>
                <w:sz w:val="18"/>
                <w:szCs w:val="18"/>
              </w:rPr>
            </w:pPr>
            <w:r>
              <w:rPr>
                <w:color w:val="000000"/>
                <w:sz w:val="18"/>
                <w:szCs w:val="18"/>
              </w:rPr>
              <w:t>46</w:t>
            </w:r>
          </w:p>
        </w:tc>
        <w:tc>
          <w:tcPr>
            <w:tcW w:w="985" w:type="dxa"/>
            <w:shd w:val="clear" w:color="auto" w:fill="auto"/>
            <w:noWrap/>
            <w:vAlign w:val="center"/>
          </w:tcPr>
          <w:p w14:paraId="456B40D0" w14:textId="77777777" w:rsidR="002F5089" w:rsidRPr="00AF0BB2" w:rsidRDefault="002F5089" w:rsidP="002F5089">
            <w:pPr>
              <w:jc w:val="right"/>
              <w:rPr>
                <w:color w:val="000000"/>
                <w:sz w:val="18"/>
                <w:szCs w:val="18"/>
                <w:lang w:eastAsia="en-NZ"/>
              </w:rPr>
            </w:pPr>
          </w:p>
        </w:tc>
      </w:tr>
      <w:tr w:rsidR="002F5089" w:rsidRPr="00BA05A5" w14:paraId="308A9764" w14:textId="77777777" w:rsidTr="002E64B9">
        <w:tc>
          <w:tcPr>
            <w:tcW w:w="1619" w:type="dxa"/>
            <w:shd w:val="clear" w:color="auto" w:fill="auto"/>
            <w:noWrap/>
            <w:vAlign w:val="center"/>
            <w:hideMark/>
          </w:tcPr>
          <w:p w14:paraId="72EB6AF9" w14:textId="77777777" w:rsidR="002F5089" w:rsidRPr="00BA05A5" w:rsidRDefault="002F5089" w:rsidP="0063775F">
            <w:pPr>
              <w:spacing w:before="20" w:after="20"/>
              <w:rPr>
                <w:sz w:val="18"/>
                <w:szCs w:val="18"/>
                <w:lang w:eastAsia="en-NZ"/>
              </w:rPr>
            </w:pPr>
          </w:p>
        </w:tc>
        <w:tc>
          <w:tcPr>
            <w:tcW w:w="2015" w:type="dxa"/>
            <w:shd w:val="clear" w:color="auto" w:fill="auto"/>
            <w:noWrap/>
            <w:vAlign w:val="center"/>
            <w:hideMark/>
          </w:tcPr>
          <w:p w14:paraId="4C73D5BB"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5+</w:t>
            </w:r>
          </w:p>
        </w:tc>
        <w:tc>
          <w:tcPr>
            <w:tcW w:w="0" w:type="auto"/>
            <w:gridSpan w:val="2"/>
            <w:shd w:val="clear" w:color="auto" w:fill="auto"/>
            <w:noWrap/>
            <w:vAlign w:val="center"/>
            <w:hideMark/>
          </w:tcPr>
          <w:p w14:paraId="12DB49C4" w14:textId="77777777" w:rsidR="002F5089" w:rsidRPr="00BA05A5" w:rsidRDefault="002F5089" w:rsidP="002F5089">
            <w:pPr>
              <w:adjustRightInd w:val="0"/>
              <w:jc w:val="right"/>
              <w:rPr>
                <w:color w:val="000000"/>
                <w:sz w:val="18"/>
                <w:szCs w:val="18"/>
              </w:rPr>
            </w:pPr>
            <w:r w:rsidRPr="00BA05A5">
              <w:rPr>
                <w:color w:val="000000"/>
                <w:sz w:val="18"/>
                <w:szCs w:val="18"/>
              </w:rPr>
              <w:t>554</w:t>
            </w:r>
          </w:p>
        </w:tc>
        <w:tc>
          <w:tcPr>
            <w:tcW w:w="0" w:type="auto"/>
            <w:shd w:val="clear" w:color="auto" w:fill="auto"/>
            <w:noWrap/>
            <w:vAlign w:val="center"/>
            <w:hideMark/>
          </w:tcPr>
          <w:p w14:paraId="01A9AE16" w14:textId="77777777" w:rsidR="002F5089" w:rsidRPr="00BA05A5" w:rsidRDefault="002F5089" w:rsidP="002F5089">
            <w:pPr>
              <w:adjustRightInd w:val="0"/>
              <w:jc w:val="right"/>
              <w:rPr>
                <w:color w:val="000000"/>
                <w:sz w:val="18"/>
                <w:szCs w:val="18"/>
              </w:rPr>
            </w:pPr>
            <w:r w:rsidRPr="00BA05A5">
              <w:rPr>
                <w:color w:val="000000"/>
                <w:sz w:val="18"/>
                <w:szCs w:val="18"/>
              </w:rPr>
              <w:t>294</w:t>
            </w:r>
          </w:p>
        </w:tc>
        <w:tc>
          <w:tcPr>
            <w:tcW w:w="827" w:type="dxa"/>
            <w:vAlign w:val="center"/>
          </w:tcPr>
          <w:p w14:paraId="65883936" w14:textId="77777777" w:rsidR="002F5089" w:rsidRPr="00BA05A5" w:rsidRDefault="002F5089" w:rsidP="002F5089">
            <w:pPr>
              <w:adjustRightInd w:val="0"/>
              <w:jc w:val="right"/>
              <w:rPr>
                <w:color w:val="000000"/>
                <w:sz w:val="18"/>
                <w:szCs w:val="18"/>
              </w:rPr>
            </w:pPr>
            <w:r w:rsidRPr="00BA05A5">
              <w:rPr>
                <w:color w:val="000000"/>
                <w:sz w:val="18"/>
                <w:szCs w:val="18"/>
              </w:rPr>
              <w:t>238</w:t>
            </w:r>
          </w:p>
        </w:tc>
        <w:tc>
          <w:tcPr>
            <w:tcW w:w="827" w:type="dxa"/>
            <w:vAlign w:val="center"/>
          </w:tcPr>
          <w:p w14:paraId="3607C7CD" w14:textId="77777777" w:rsidR="002F5089" w:rsidRPr="00AF0BB2" w:rsidRDefault="002F5089" w:rsidP="002F5089">
            <w:pPr>
              <w:jc w:val="right"/>
              <w:rPr>
                <w:color w:val="000000"/>
                <w:sz w:val="18"/>
                <w:szCs w:val="18"/>
              </w:rPr>
            </w:pPr>
            <w:r w:rsidRPr="00AF0BB2">
              <w:rPr>
                <w:color w:val="000000"/>
                <w:sz w:val="18"/>
                <w:szCs w:val="18"/>
              </w:rPr>
              <w:t>193</w:t>
            </w:r>
          </w:p>
        </w:tc>
        <w:tc>
          <w:tcPr>
            <w:tcW w:w="1131" w:type="dxa"/>
            <w:shd w:val="clear" w:color="auto" w:fill="auto"/>
            <w:noWrap/>
            <w:vAlign w:val="center"/>
          </w:tcPr>
          <w:p w14:paraId="6388DA17" w14:textId="77777777" w:rsidR="002F5089" w:rsidRPr="00AF0BB2" w:rsidRDefault="001F2269" w:rsidP="002F5089">
            <w:pPr>
              <w:jc w:val="right"/>
              <w:rPr>
                <w:color w:val="000000"/>
                <w:sz w:val="18"/>
                <w:szCs w:val="18"/>
              </w:rPr>
            </w:pPr>
            <w:r>
              <w:rPr>
                <w:color w:val="000000"/>
                <w:sz w:val="18"/>
                <w:szCs w:val="18"/>
              </w:rPr>
              <w:t>35</w:t>
            </w:r>
          </w:p>
        </w:tc>
        <w:tc>
          <w:tcPr>
            <w:tcW w:w="985" w:type="dxa"/>
            <w:shd w:val="clear" w:color="auto" w:fill="auto"/>
            <w:noWrap/>
            <w:vAlign w:val="center"/>
          </w:tcPr>
          <w:p w14:paraId="14237D4C" w14:textId="77777777" w:rsidR="002F5089" w:rsidRPr="00AF0BB2" w:rsidRDefault="002F5089" w:rsidP="002F5089">
            <w:pPr>
              <w:jc w:val="right"/>
              <w:rPr>
                <w:color w:val="000000"/>
                <w:sz w:val="18"/>
                <w:szCs w:val="18"/>
                <w:lang w:eastAsia="en-NZ"/>
              </w:rPr>
            </w:pPr>
            <w:r w:rsidRPr="00AF0BB2">
              <w:rPr>
                <w:color w:val="000000"/>
                <w:sz w:val="18"/>
                <w:szCs w:val="18"/>
                <w:lang w:eastAsia="en-NZ"/>
              </w:rPr>
              <w:t>&lt;0.0001</w:t>
            </w:r>
          </w:p>
        </w:tc>
      </w:tr>
      <w:tr w:rsidR="002F5089" w:rsidRPr="00BA05A5" w14:paraId="25435746" w14:textId="77777777" w:rsidTr="008D2B52">
        <w:tc>
          <w:tcPr>
            <w:tcW w:w="1619" w:type="dxa"/>
            <w:tcBorders>
              <w:bottom w:val="single" w:sz="4" w:space="0" w:color="auto"/>
            </w:tcBorders>
            <w:shd w:val="clear" w:color="auto" w:fill="auto"/>
            <w:noWrap/>
            <w:vAlign w:val="center"/>
            <w:hideMark/>
          </w:tcPr>
          <w:p w14:paraId="4FDE9571" w14:textId="77777777" w:rsidR="002F5089" w:rsidRPr="00BA05A5" w:rsidRDefault="002F5089" w:rsidP="0063775F">
            <w:pPr>
              <w:spacing w:before="20" w:after="20"/>
              <w:rPr>
                <w:color w:val="000000"/>
                <w:sz w:val="18"/>
                <w:szCs w:val="18"/>
                <w:lang w:eastAsia="en-NZ"/>
              </w:rPr>
            </w:pPr>
          </w:p>
        </w:tc>
        <w:tc>
          <w:tcPr>
            <w:tcW w:w="2015" w:type="dxa"/>
            <w:tcBorders>
              <w:bottom w:val="single" w:sz="4" w:space="0" w:color="auto"/>
            </w:tcBorders>
            <w:shd w:val="clear" w:color="auto" w:fill="auto"/>
            <w:noWrap/>
            <w:vAlign w:val="center"/>
            <w:hideMark/>
          </w:tcPr>
          <w:p w14:paraId="29180025" w14:textId="77777777" w:rsidR="002F5089" w:rsidRPr="00BA05A5" w:rsidRDefault="002F5089" w:rsidP="0063775F">
            <w:pPr>
              <w:spacing w:before="20" w:after="60"/>
              <w:rPr>
                <w:color w:val="000000"/>
                <w:sz w:val="18"/>
                <w:szCs w:val="18"/>
                <w:lang w:eastAsia="en-NZ"/>
              </w:rPr>
            </w:pPr>
            <w:r w:rsidRPr="00BA05A5">
              <w:rPr>
                <w:color w:val="000000"/>
                <w:sz w:val="18"/>
                <w:szCs w:val="18"/>
                <w:lang w:eastAsia="en-NZ"/>
              </w:rPr>
              <w:t>Not reported</w:t>
            </w:r>
          </w:p>
        </w:tc>
        <w:tc>
          <w:tcPr>
            <w:tcW w:w="0" w:type="auto"/>
            <w:gridSpan w:val="2"/>
            <w:tcBorders>
              <w:bottom w:val="single" w:sz="4" w:space="0" w:color="auto"/>
            </w:tcBorders>
            <w:shd w:val="clear" w:color="auto" w:fill="auto"/>
            <w:noWrap/>
            <w:vAlign w:val="center"/>
            <w:hideMark/>
          </w:tcPr>
          <w:p w14:paraId="18CA5B18" w14:textId="77777777" w:rsidR="002F5089" w:rsidRPr="00BA05A5" w:rsidRDefault="002F5089" w:rsidP="001F2269">
            <w:pPr>
              <w:spacing w:before="20" w:after="60"/>
              <w:jc w:val="right"/>
              <w:rPr>
                <w:color w:val="000000"/>
                <w:sz w:val="18"/>
                <w:szCs w:val="18"/>
                <w:lang w:eastAsia="en-NZ"/>
              </w:rPr>
            </w:pPr>
            <w:r w:rsidRPr="00BA05A5">
              <w:rPr>
                <w:color w:val="000000"/>
                <w:sz w:val="18"/>
                <w:szCs w:val="18"/>
                <w:lang w:eastAsia="en-NZ"/>
              </w:rPr>
              <w:t>2</w:t>
            </w:r>
          </w:p>
        </w:tc>
        <w:tc>
          <w:tcPr>
            <w:tcW w:w="0" w:type="auto"/>
            <w:tcBorders>
              <w:bottom w:val="single" w:sz="4" w:space="0" w:color="auto"/>
            </w:tcBorders>
            <w:shd w:val="clear" w:color="auto" w:fill="auto"/>
            <w:noWrap/>
            <w:vAlign w:val="center"/>
            <w:hideMark/>
          </w:tcPr>
          <w:p w14:paraId="26155E6B" w14:textId="77777777" w:rsidR="002F5089" w:rsidRPr="00BA05A5" w:rsidRDefault="002F5089" w:rsidP="001F2269">
            <w:pPr>
              <w:spacing w:before="20" w:after="60"/>
              <w:jc w:val="right"/>
              <w:rPr>
                <w:color w:val="000000"/>
                <w:sz w:val="18"/>
                <w:szCs w:val="18"/>
                <w:lang w:eastAsia="en-NZ"/>
              </w:rPr>
            </w:pPr>
            <w:r w:rsidRPr="00BA05A5">
              <w:rPr>
                <w:color w:val="000000"/>
                <w:sz w:val="18"/>
                <w:szCs w:val="18"/>
                <w:lang w:eastAsia="en-NZ"/>
              </w:rPr>
              <w:t>1</w:t>
            </w:r>
          </w:p>
        </w:tc>
        <w:tc>
          <w:tcPr>
            <w:tcW w:w="827" w:type="dxa"/>
            <w:tcBorders>
              <w:bottom w:val="single" w:sz="4" w:space="0" w:color="auto"/>
            </w:tcBorders>
            <w:vAlign w:val="center"/>
          </w:tcPr>
          <w:p w14:paraId="1CD3F947" w14:textId="77777777" w:rsidR="002F5089" w:rsidRPr="00BA05A5" w:rsidRDefault="002F5089" w:rsidP="001F2269">
            <w:pPr>
              <w:spacing w:before="20" w:after="60"/>
              <w:jc w:val="right"/>
              <w:rPr>
                <w:color w:val="000000"/>
                <w:sz w:val="18"/>
                <w:szCs w:val="18"/>
                <w:lang w:eastAsia="en-NZ"/>
              </w:rPr>
            </w:pPr>
            <w:r w:rsidRPr="00BA05A5">
              <w:rPr>
                <w:color w:val="000000"/>
                <w:sz w:val="18"/>
                <w:szCs w:val="18"/>
                <w:lang w:eastAsia="en-NZ"/>
              </w:rPr>
              <w:t>1</w:t>
            </w:r>
          </w:p>
        </w:tc>
        <w:tc>
          <w:tcPr>
            <w:tcW w:w="827" w:type="dxa"/>
            <w:tcBorders>
              <w:bottom w:val="single" w:sz="4" w:space="0" w:color="auto"/>
            </w:tcBorders>
            <w:vAlign w:val="center"/>
          </w:tcPr>
          <w:p w14:paraId="0B0EDA6F" w14:textId="77777777" w:rsidR="002F5089" w:rsidRPr="00AF0BB2" w:rsidRDefault="002F5089" w:rsidP="001F2269">
            <w:pPr>
              <w:spacing w:before="20" w:after="60"/>
              <w:jc w:val="right"/>
              <w:rPr>
                <w:color w:val="000000"/>
                <w:sz w:val="18"/>
                <w:szCs w:val="18"/>
                <w:lang w:eastAsia="en-NZ"/>
              </w:rPr>
            </w:pPr>
            <w:r w:rsidRPr="00AF0BB2">
              <w:rPr>
                <w:color w:val="000000"/>
                <w:sz w:val="18"/>
                <w:szCs w:val="18"/>
                <w:lang w:eastAsia="en-NZ"/>
              </w:rPr>
              <w:t>1</w:t>
            </w:r>
          </w:p>
        </w:tc>
        <w:tc>
          <w:tcPr>
            <w:tcW w:w="1131" w:type="dxa"/>
            <w:tcBorders>
              <w:bottom w:val="single" w:sz="4" w:space="0" w:color="auto"/>
            </w:tcBorders>
            <w:shd w:val="clear" w:color="auto" w:fill="auto"/>
            <w:noWrap/>
            <w:vAlign w:val="center"/>
          </w:tcPr>
          <w:p w14:paraId="53DE8C4B" w14:textId="77777777" w:rsidR="002F5089" w:rsidRPr="00AF0BB2" w:rsidRDefault="002F5089" w:rsidP="001F2269">
            <w:pPr>
              <w:spacing w:before="20" w:after="60"/>
              <w:jc w:val="right"/>
              <w:rPr>
                <w:color w:val="000000"/>
                <w:sz w:val="18"/>
                <w:szCs w:val="18"/>
                <w:lang w:eastAsia="en-NZ"/>
              </w:rPr>
            </w:pPr>
            <w:r w:rsidRPr="00AF0BB2">
              <w:rPr>
                <w:color w:val="000000"/>
                <w:sz w:val="18"/>
                <w:szCs w:val="18"/>
                <w:lang w:eastAsia="en-NZ"/>
              </w:rPr>
              <w:t>-</w:t>
            </w:r>
          </w:p>
        </w:tc>
        <w:tc>
          <w:tcPr>
            <w:tcW w:w="985" w:type="dxa"/>
            <w:tcBorders>
              <w:bottom w:val="single" w:sz="4" w:space="0" w:color="auto"/>
            </w:tcBorders>
            <w:shd w:val="clear" w:color="auto" w:fill="auto"/>
            <w:noWrap/>
            <w:vAlign w:val="center"/>
          </w:tcPr>
          <w:p w14:paraId="1BB90D63" w14:textId="77777777" w:rsidR="002F5089" w:rsidRPr="00AF0BB2" w:rsidRDefault="002F5089" w:rsidP="002F5089">
            <w:pPr>
              <w:jc w:val="right"/>
              <w:rPr>
                <w:color w:val="000000"/>
                <w:sz w:val="18"/>
                <w:szCs w:val="18"/>
                <w:lang w:eastAsia="en-NZ"/>
              </w:rPr>
            </w:pPr>
          </w:p>
        </w:tc>
      </w:tr>
      <w:tr w:rsidR="0063775F" w:rsidRPr="00BA05A5" w14:paraId="492855C3" w14:textId="77777777" w:rsidTr="008D2B52">
        <w:tc>
          <w:tcPr>
            <w:tcW w:w="1619" w:type="dxa"/>
            <w:vMerge w:val="restart"/>
            <w:tcBorders>
              <w:top w:val="single" w:sz="4" w:space="0" w:color="auto"/>
            </w:tcBorders>
            <w:shd w:val="clear" w:color="auto" w:fill="auto"/>
            <w:noWrap/>
            <w:vAlign w:val="center"/>
            <w:hideMark/>
          </w:tcPr>
          <w:p w14:paraId="2377D6C6"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 xml:space="preserve">Psychological distress </w:t>
            </w:r>
          </w:p>
          <w:p w14:paraId="47772233" w14:textId="77777777" w:rsidR="002F5089" w:rsidRPr="00BA05A5" w:rsidRDefault="002F5089" w:rsidP="0063775F">
            <w:pPr>
              <w:spacing w:before="20" w:after="20"/>
              <w:rPr>
                <w:color w:val="000000"/>
                <w:sz w:val="18"/>
                <w:szCs w:val="18"/>
                <w:lang w:eastAsia="en-NZ"/>
              </w:rPr>
            </w:pPr>
            <w:r w:rsidRPr="00BA05A5">
              <w:rPr>
                <w:color w:val="000000"/>
                <w:sz w:val="18"/>
                <w:szCs w:val="18"/>
                <w:lang w:eastAsia="en-NZ"/>
              </w:rPr>
              <w:t>(Kessler-10)</w:t>
            </w:r>
          </w:p>
        </w:tc>
        <w:tc>
          <w:tcPr>
            <w:tcW w:w="2067" w:type="dxa"/>
            <w:gridSpan w:val="2"/>
            <w:tcBorders>
              <w:top w:val="single" w:sz="4" w:space="0" w:color="auto"/>
            </w:tcBorders>
            <w:shd w:val="clear" w:color="auto" w:fill="auto"/>
            <w:noWrap/>
            <w:vAlign w:val="center"/>
            <w:hideMark/>
          </w:tcPr>
          <w:p w14:paraId="4067E82D" w14:textId="77777777" w:rsidR="002F5089" w:rsidRPr="00BA05A5" w:rsidRDefault="00FD2460" w:rsidP="0063775F">
            <w:pPr>
              <w:spacing w:before="20" w:after="20"/>
              <w:rPr>
                <w:color w:val="000000"/>
                <w:sz w:val="18"/>
                <w:szCs w:val="18"/>
                <w:lang w:eastAsia="en-NZ"/>
              </w:rPr>
            </w:pPr>
            <w:r>
              <w:rPr>
                <w:color w:val="000000"/>
                <w:sz w:val="18"/>
                <w:szCs w:val="18"/>
                <w:lang w:eastAsia="en-NZ"/>
              </w:rPr>
              <w:t>Low</w:t>
            </w:r>
          </w:p>
        </w:tc>
        <w:tc>
          <w:tcPr>
            <w:tcW w:w="625" w:type="dxa"/>
            <w:tcBorders>
              <w:top w:val="single" w:sz="4" w:space="0" w:color="auto"/>
            </w:tcBorders>
            <w:shd w:val="clear" w:color="auto" w:fill="auto"/>
            <w:noWrap/>
            <w:vAlign w:val="center"/>
            <w:hideMark/>
          </w:tcPr>
          <w:p w14:paraId="6D42E488" w14:textId="77777777" w:rsidR="002F5089" w:rsidRPr="00BA05A5" w:rsidRDefault="002F5089" w:rsidP="001F2269">
            <w:pPr>
              <w:adjustRightInd w:val="0"/>
              <w:jc w:val="right"/>
              <w:rPr>
                <w:color w:val="000000"/>
                <w:sz w:val="18"/>
                <w:szCs w:val="18"/>
              </w:rPr>
            </w:pPr>
            <w:r w:rsidRPr="00BA05A5">
              <w:rPr>
                <w:color w:val="000000"/>
                <w:sz w:val="18"/>
                <w:szCs w:val="18"/>
              </w:rPr>
              <w:t>4494</w:t>
            </w:r>
          </w:p>
        </w:tc>
        <w:tc>
          <w:tcPr>
            <w:tcW w:w="850" w:type="dxa"/>
            <w:tcBorders>
              <w:top w:val="single" w:sz="4" w:space="0" w:color="auto"/>
            </w:tcBorders>
            <w:shd w:val="clear" w:color="auto" w:fill="auto"/>
            <w:noWrap/>
            <w:vAlign w:val="center"/>
            <w:hideMark/>
          </w:tcPr>
          <w:p w14:paraId="3A461B9C" w14:textId="77777777" w:rsidR="002F5089" w:rsidRPr="00BA05A5" w:rsidRDefault="002F5089" w:rsidP="001F2269">
            <w:pPr>
              <w:adjustRightInd w:val="0"/>
              <w:jc w:val="right"/>
              <w:rPr>
                <w:color w:val="000000"/>
                <w:sz w:val="18"/>
                <w:szCs w:val="18"/>
              </w:rPr>
            </w:pPr>
            <w:r w:rsidRPr="00BA05A5">
              <w:rPr>
                <w:color w:val="000000"/>
                <w:sz w:val="18"/>
                <w:szCs w:val="18"/>
              </w:rPr>
              <w:t>2712</w:t>
            </w:r>
          </w:p>
        </w:tc>
        <w:tc>
          <w:tcPr>
            <w:tcW w:w="827" w:type="dxa"/>
            <w:tcBorders>
              <w:top w:val="single" w:sz="4" w:space="0" w:color="auto"/>
            </w:tcBorders>
            <w:vAlign w:val="center"/>
          </w:tcPr>
          <w:p w14:paraId="2E9E0039" w14:textId="77777777" w:rsidR="002F5089" w:rsidRPr="00BA05A5" w:rsidRDefault="002F5089" w:rsidP="001F2269">
            <w:pPr>
              <w:adjustRightInd w:val="0"/>
              <w:jc w:val="right"/>
              <w:rPr>
                <w:color w:val="000000"/>
                <w:sz w:val="18"/>
                <w:szCs w:val="18"/>
              </w:rPr>
            </w:pPr>
            <w:r w:rsidRPr="00BA05A5">
              <w:rPr>
                <w:color w:val="000000"/>
                <w:sz w:val="18"/>
                <w:szCs w:val="18"/>
              </w:rPr>
              <w:t>2251</w:t>
            </w:r>
          </w:p>
        </w:tc>
        <w:tc>
          <w:tcPr>
            <w:tcW w:w="827" w:type="dxa"/>
            <w:tcBorders>
              <w:top w:val="single" w:sz="4" w:space="0" w:color="auto"/>
            </w:tcBorders>
            <w:vAlign w:val="center"/>
          </w:tcPr>
          <w:p w14:paraId="7E7B484B" w14:textId="77777777" w:rsidR="002F5089" w:rsidRPr="00AF0BB2" w:rsidRDefault="002F5089" w:rsidP="001F2269">
            <w:pPr>
              <w:jc w:val="right"/>
              <w:rPr>
                <w:color w:val="000000"/>
                <w:sz w:val="18"/>
                <w:szCs w:val="18"/>
                <w:lang w:eastAsia="en-NZ"/>
              </w:rPr>
            </w:pPr>
            <w:r w:rsidRPr="00AF0BB2">
              <w:rPr>
                <w:color w:val="000000"/>
                <w:sz w:val="18"/>
                <w:szCs w:val="18"/>
              </w:rPr>
              <w:t>2005</w:t>
            </w:r>
          </w:p>
        </w:tc>
        <w:tc>
          <w:tcPr>
            <w:tcW w:w="1131" w:type="dxa"/>
            <w:tcBorders>
              <w:top w:val="single" w:sz="4" w:space="0" w:color="auto"/>
            </w:tcBorders>
            <w:shd w:val="clear" w:color="auto" w:fill="auto"/>
            <w:noWrap/>
            <w:vAlign w:val="center"/>
          </w:tcPr>
          <w:p w14:paraId="5A917149" w14:textId="77777777" w:rsidR="002F5089" w:rsidRPr="00AF0BB2" w:rsidRDefault="001F2269" w:rsidP="001F2269">
            <w:pPr>
              <w:jc w:val="right"/>
              <w:rPr>
                <w:color w:val="000000"/>
                <w:sz w:val="18"/>
                <w:szCs w:val="18"/>
                <w:lang w:eastAsia="en-NZ"/>
              </w:rPr>
            </w:pPr>
            <w:r>
              <w:rPr>
                <w:color w:val="000000"/>
                <w:sz w:val="18"/>
                <w:szCs w:val="18"/>
              </w:rPr>
              <w:t>45</w:t>
            </w:r>
          </w:p>
        </w:tc>
        <w:tc>
          <w:tcPr>
            <w:tcW w:w="985" w:type="dxa"/>
            <w:tcBorders>
              <w:top w:val="single" w:sz="4" w:space="0" w:color="auto"/>
            </w:tcBorders>
            <w:shd w:val="clear" w:color="auto" w:fill="auto"/>
            <w:noWrap/>
            <w:vAlign w:val="center"/>
          </w:tcPr>
          <w:p w14:paraId="18B3EA18" w14:textId="77777777" w:rsidR="002F5089" w:rsidRPr="00AF0BB2" w:rsidRDefault="002F5089" w:rsidP="001F2269">
            <w:pPr>
              <w:jc w:val="right"/>
              <w:rPr>
                <w:color w:val="000000"/>
                <w:sz w:val="18"/>
                <w:szCs w:val="18"/>
                <w:lang w:eastAsia="en-NZ"/>
              </w:rPr>
            </w:pPr>
          </w:p>
        </w:tc>
      </w:tr>
      <w:tr w:rsidR="0063775F" w:rsidRPr="00BA05A5" w14:paraId="1E97DF1C" w14:textId="77777777" w:rsidTr="008D2B52">
        <w:tc>
          <w:tcPr>
            <w:tcW w:w="1619" w:type="dxa"/>
            <w:vMerge/>
            <w:shd w:val="clear" w:color="auto" w:fill="auto"/>
            <w:noWrap/>
            <w:vAlign w:val="center"/>
            <w:hideMark/>
          </w:tcPr>
          <w:p w14:paraId="2B6EF8C7" w14:textId="77777777" w:rsidR="002F5089" w:rsidRPr="00BA05A5" w:rsidRDefault="002F5089" w:rsidP="0063775F">
            <w:pPr>
              <w:spacing w:before="20" w:after="20"/>
              <w:rPr>
                <w:sz w:val="18"/>
                <w:szCs w:val="18"/>
                <w:lang w:eastAsia="en-NZ"/>
              </w:rPr>
            </w:pPr>
          </w:p>
        </w:tc>
        <w:tc>
          <w:tcPr>
            <w:tcW w:w="2067" w:type="dxa"/>
            <w:gridSpan w:val="2"/>
            <w:shd w:val="clear" w:color="auto" w:fill="auto"/>
            <w:noWrap/>
            <w:vAlign w:val="center"/>
            <w:hideMark/>
          </w:tcPr>
          <w:p w14:paraId="5B4AA316" w14:textId="77777777" w:rsidR="002F5089" w:rsidRPr="00BA05A5" w:rsidRDefault="007E4E39" w:rsidP="0063775F">
            <w:pPr>
              <w:spacing w:before="20" w:after="20"/>
              <w:rPr>
                <w:color w:val="000000"/>
                <w:sz w:val="18"/>
                <w:szCs w:val="18"/>
                <w:lang w:eastAsia="en-NZ"/>
              </w:rPr>
            </w:pPr>
            <w:r>
              <w:rPr>
                <w:color w:val="000000"/>
                <w:sz w:val="18"/>
                <w:szCs w:val="18"/>
                <w:lang w:eastAsia="en-NZ"/>
              </w:rPr>
              <w:t>Moderate</w:t>
            </w:r>
          </w:p>
        </w:tc>
        <w:tc>
          <w:tcPr>
            <w:tcW w:w="625" w:type="dxa"/>
            <w:shd w:val="clear" w:color="auto" w:fill="auto"/>
            <w:noWrap/>
            <w:vAlign w:val="center"/>
            <w:hideMark/>
          </w:tcPr>
          <w:p w14:paraId="595F770E" w14:textId="77777777" w:rsidR="002F5089" w:rsidRPr="00BA05A5" w:rsidRDefault="002F5089" w:rsidP="001F2269">
            <w:pPr>
              <w:adjustRightInd w:val="0"/>
              <w:jc w:val="right"/>
              <w:rPr>
                <w:color w:val="000000"/>
                <w:sz w:val="18"/>
                <w:szCs w:val="18"/>
              </w:rPr>
            </w:pPr>
            <w:r w:rsidRPr="00BA05A5">
              <w:rPr>
                <w:color w:val="000000"/>
                <w:sz w:val="18"/>
                <w:szCs w:val="18"/>
              </w:rPr>
              <w:t>1196</w:t>
            </w:r>
          </w:p>
        </w:tc>
        <w:tc>
          <w:tcPr>
            <w:tcW w:w="850" w:type="dxa"/>
            <w:shd w:val="clear" w:color="auto" w:fill="auto"/>
            <w:noWrap/>
            <w:vAlign w:val="center"/>
            <w:hideMark/>
          </w:tcPr>
          <w:p w14:paraId="3E673BCA" w14:textId="77777777" w:rsidR="002F5089" w:rsidRPr="00BA05A5" w:rsidRDefault="002F5089" w:rsidP="001F2269">
            <w:pPr>
              <w:adjustRightInd w:val="0"/>
              <w:jc w:val="right"/>
              <w:rPr>
                <w:color w:val="000000"/>
                <w:sz w:val="18"/>
                <w:szCs w:val="18"/>
              </w:rPr>
            </w:pPr>
            <w:r w:rsidRPr="00BA05A5">
              <w:rPr>
                <w:color w:val="000000"/>
                <w:sz w:val="18"/>
                <w:szCs w:val="18"/>
              </w:rPr>
              <w:t>736</w:t>
            </w:r>
          </w:p>
        </w:tc>
        <w:tc>
          <w:tcPr>
            <w:tcW w:w="827" w:type="dxa"/>
            <w:vAlign w:val="center"/>
          </w:tcPr>
          <w:p w14:paraId="196D76D9" w14:textId="77777777" w:rsidR="002F5089" w:rsidRPr="00BA05A5" w:rsidRDefault="002F5089" w:rsidP="001F2269">
            <w:pPr>
              <w:adjustRightInd w:val="0"/>
              <w:jc w:val="right"/>
              <w:rPr>
                <w:color w:val="000000"/>
                <w:sz w:val="18"/>
                <w:szCs w:val="18"/>
              </w:rPr>
            </w:pPr>
            <w:r w:rsidRPr="00BA05A5">
              <w:rPr>
                <w:color w:val="000000"/>
                <w:sz w:val="18"/>
                <w:szCs w:val="18"/>
              </w:rPr>
              <w:t>610</w:t>
            </w:r>
          </w:p>
        </w:tc>
        <w:tc>
          <w:tcPr>
            <w:tcW w:w="827" w:type="dxa"/>
            <w:vAlign w:val="center"/>
          </w:tcPr>
          <w:p w14:paraId="17751ABB" w14:textId="77777777" w:rsidR="002F5089" w:rsidRPr="00AF0BB2" w:rsidRDefault="002F5089" w:rsidP="001F2269">
            <w:pPr>
              <w:jc w:val="right"/>
              <w:rPr>
                <w:color w:val="000000"/>
                <w:sz w:val="18"/>
                <w:szCs w:val="18"/>
              </w:rPr>
            </w:pPr>
            <w:r w:rsidRPr="00AF0BB2">
              <w:rPr>
                <w:color w:val="000000"/>
                <w:sz w:val="18"/>
                <w:szCs w:val="18"/>
              </w:rPr>
              <w:t>544</w:t>
            </w:r>
          </w:p>
        </w:tc>
        <w:tc>
          <w:tcPr>
            <w:tcW w:w="1131" w:type="dxa"/>
            <w:shd w:val="clear" w:color="auto" w:fill="auto"/>
            <w:noWrap/>
            <w:vAlign w:val="center"/>
          </w:tcPr>
          <w:p w14:paraId="028F3EBF" w14:textId="77777777" w:rsidR="002F5089" w:rsidRPr="00AF0BB2" w:rsidRDefault="001F2269" w:rsidP="001F2269">
            <w:pPr>
              <w:jc w:val="right"/>
              <w:rPr>
                <w:color w:val="000000"/>
                <w:sz w:val="18"/>
                <w:szCs w:val="18"/>
              </w:rPr>
            </w:pPr>
            <w:r>
              <w:rPr>
                <w:color w:val="000000"/>
                <w:sz w:val="18"/>
                <w:szCs w:val="18"/>
              </w:rPr>
              <w:t>45</w:t>
            </w:r>
          </w:p>
        </w:tc>
        <w:tc>
          <w:tcPr>
            <w:tcW w:w="985" w:type="dxa"/>
            <w:shd w:val="clear" w:color="auto" w:fill="auto"/>
            <w:noWrap/>
            <w:vAlign w:val="center"/>
          </w:tcPr>
          <w:p w14:paraId="4C66CB73" w14:textId="77777777" w:rsidR="002F5089" w:rsidRPr="00AF0BB2" w:rsidRDefault="002F5089" w:rsidP="001F2269">
            <w:pPr>
              <w:jc w:val="right"/>
              <w:rPr>
                <w:color w:val="000000"/>
                <w:sz w:val="18"/>
                <w:szCs w:val="18"/>
                <w:lang w:eastAsia="en-NZ"/>
              </w:rPr>
            </w:pPr>
          </w:p>
        </w:tc>
      </w:tr>
      <w:tr w:rsidR="0063775F" w:rsidRPr="00BA05A5" w14:paraId="2E68FF72" w14:textId="77777777" w:rsidTr="008D2B52">
        <w:tc>
          <w:tcPr>
            <w:tcW w:w="1619" w:type="dxa"/>
            <w:vMerge/>
            <w:shd w:val="clear" w:color="auto" w:fill="auto"/>
            <w:noWrap/>
            <w:vAlign w:val="center"/>
            <w:hideMark/>
          </w:tcPr>
          <w:p w14:paraId="435707F8" w14:textId="77777777" w:rsidR="002F5089" w:rsidRPr="00BA05A5" w:rsidRDefault="002F5089" w:rsidP="0063775F">
            <w:pPr>
              <w:spacing w:before="20" w:after="20"/>
              <w:rPr>
                <w:sz w:val="18"/>
                <w:szCs w:val="18"/>
                <w:lang w:eastAsia="en-NZ"/>
              </w:rPr>
            </w:pPr>
          </w:p>
        </w:tc>
        <w:tc>
          <w:tcPr>
            <w:tcW w:w="2067" w:type="dxa"/>
            <w:gridSpan w:val="2"/>
            <w:shd w:val="clear" w:color="auto" w:fill="auto"/>
            <w:noWrap/>
            <w:vAlign w:val="center"/>
            <w:hideMark/>
          </w:tcPr>
          <w:p w14:paraId="7CD983EA" w14:textId="77777777" w:rsidR="002F5089" w:rsidRPr="00BA05A5" w:rsidRDefault="007E4E39" w:rsidP="0063775F">
            <w:pPr>
              <w:spacing w:before="20" w:after="20"/>
              <w:rPr>
                <w:color w:val="000000"/>
                <w:sz w:val="18"/>
                <w:szCs w:val="18"/>
                <w:lang w:eastAsia="en-NZ"/>
              </w:rPr>
            </w:pPr>
            <w:r>
              <w:rPr>
                <w:color w:val="000000"/>
                <w:sz w:val="18"/>
                <w:szCs w:val="18"/>
                <w:lang w:eastAsia="en-NZ"/>
              </w:rPr>
              <w:t>H</w:t>
            </w:r>
            <w:r w:rsidR="00FD2460">
              <w:rPr>
                <w:color w:val="000000"/>
                <w:sz w:val="18"/>
                <w:szCs w:val="18"/>
                <w:lang w:eastAsia="en-NZ"/>
              </w:rPr>
              <w:t>igh</w:t>
            </w:r>
          </w:p>
        </w:tc>
        <w:tc>
          <w:tcPr>
            <w:tcW w:w="625" w:type="dxa"/>
            <w:shd w:val="clear" w:color="auto" w:fill="auto"/>
            <w:noWrap/>
            <w:vAlign w:val="center"/>
            <w:hideMark/>
          </w:tcPr>
          <w:p w14:paraId="3FA6AB82" w14:textId="77777777" w:rsidR="002F5089" w:rsidRPr="00BA05A5" w:rsidRDefault="002F5089" w:rsidP="001F2269">
            <w:pPr>
              <w:keepNext/>
              <w:adjustRightInd w:val="0"/>
              <w:jc w:val="right"/>
              <w:rPr>
                <w:color w:val="000000"/>
                <w:sz w:val="18"/>
                <w:szCs w:val="18"/>
              </w:rPr>
            </w:pPr>
            <w:r w:rsidRPr="00BA05A5">
              <w:rPr>
                <w:color w:val="000000"/>
                <w:sz w:val="18"/>
                <w:szCs w:val="18"/>
              </w:rPr>
              <w:t>414</w:t>
            </w:r>
          </w:p>
        </w:tc>
        <w:tc>
          <w:tcPr>
            <w:tcW w:w="850" w:type="dxa"/>
            <w:shd w:val="clear" w:color="auto" w:fill="auto"/>
            <w:noWrap/>
            <w:vAlign w:val="center"/>
            <w:hideMark/>
          </w:tcPr>
          <w:p w14:paraId="780E6BAC" w14:textId="77777777" w:rsidR="002F5089" w:rsidRPr="00BA05A5" w:rsidRDefault="002F5089" w:rsidP="001F2269">
            <w:pPr>
              <w:keepNext/>
              <w:adjustRightInd w:val="0"/>
              <w:jc w:val="right"/>
              <w:rPr>
                <w:color w:val="000000"/>
                <w:sz w:val="18"/>
                <w:szCs w:val="18"/>
              </w:rPr>
            </w:pPr>
            <w:r w:rsidRPr="00BA05A5">
              <w:rPr>
                <w:color w:val="000000"/>
                <w:sz w:val="18"/>
                <w:szCs w:val="18"/>
              </w:rPr>
              <w:t>221</w:t>
            </w:r>
          </w:p>
        </w:tc>
        <w:tc>
          <w:tcPr>
            <w:tcW w:w="827" w:type="dxa"/>
            <w:vAlign w:val="center"/>
          </w:tcPr>
          <w:p w14:paraId="5C459055" w14:textId="77777777" w:rsidR="002F5089" w:rsidRPr="00BA05A5" w:rsidRDefault="002F5089" w:rsidP="001F2269">
            <w:pPr>
              <w:keepNext/>
              <w:adjustRightInd w:val="0"/>
              <w:jc w:val="right"/>
              <w:rPr>
                <w:color w:val="000000"/>
                <w:sz w:val="18"/>
                <w:szCs w:val="18"/>
              </w:rPr>
            </w:pPr>
            <w:r w:rsidRPr="00BA05A5">
              <w:rPr>
                <w:color w:val="000000"/>
                <w:sz w:val="18"/>
                <w:szCs w:val="18"/>
              </w:rPr>
              <w:t>188</w:t>
            </w:r>
          </w:p>
        </w:tc>
        <w:tc>
          <w:tcPr>
            <w:tcW w:w="827" w:type="dxa"/>
            <w:vAlign w:val="center"/>
          </w:tcPr>
          <w:p w14:paraId="73BEE79D" w14:textId="77777777" w:rsidR="002F5089" w:rsidRPr="00AF0BB2" w:rsidRDefault="002F5089" w:rsidP="001F2269">
            <w:pPr>
              <w:jc w:val="right"/>
              <w:rPr>
                <w:color w:val="000000"/>
                <w:sz w:val="18"/>
                <w:szCs w:val="18"/>
              </w:rPr>
            </w:pPr>
            <w:r w:rsidRPr="00AF0BB2">
              <w:rPr>
                <w:color w:val="000000"/>
                <w:sz w:val="18"/>
                <w:szCs w:val="18"/>
              </w:rPr>
              <w:t>163</w:t>
            </w:r>
          </w:p>
        </w:tc>
        <w:tc>
          <w:tcPr>
            <w:tcW w:w="1131" w:type="dxa"/>
            <w:shd w:val="clear" w:color="auto" w:fill="auto"/>
            <w:noWrap/>
            <w:vAlign w:val="center"/>
          </w:tcPr>
          <w:p w14:paraId="7DC870F6" w14:textId="77777777" w:rsidR="002F5089" w:rsidRPr="00AF0BB2" w:rsidRDefault="001F2269" w:rsidP="001F2269">
            <w:pPr>
              <w:jc w:val="right"/>
              <w:rPr>
                <w:color w:val="000000"/>
                <w:sz w:val="18"/>
                <w:szCs w:val="18"/>
              </w:rPr>
            </w:pPr>
            <w:r>
              <w:rPr>
                <w:color w:val="000000"/>
                <w:sz w:val="18"/>
                <w:szCs w:val="18"/>
              </w:rPr>
              <w:t>39</w:t>
            </w:r>
          </w:p>
        </w:tc>
        <w:tc>
          <w:tcPr>
            <w:tcW w:w="985" w:type="dxa"/>
            <w:shd w:val="clear" w:color="auto" w:fill="auto"/>
            <w:noWrap/>
            <w:vAlign w:val="center"/>
          </w:tcPr>
          <w:p w14:paraId="0DA2822F" w14:textId="77777777" w:rsidR="002F5089" w:rsidRPr="00AF0BB2" w:rsidRDefault="002F5089" w:rsidP="001F2269">
            <w:pPr>
              <w:jc w:val="right"/>
              <w:rPr>
                <w:color w:val="000000"/>
                <w:sz w:val="18"/>
                <w:szCs w:val="18"/>
                <w:lang w:eastAsia="en-NZ"/>
              </w:rPr>
            </w:pPr>
          </w:p>
        </w:tc>
      </w:tr>
      <w:tr w:rsidR="0063775F" w:rsidRPr="00BA05A5" w14:paraId="0ABFE544" w14:textId="77777777" w:rsidTr="008D2B52">
        <w:tc>
          <w:tcPr>
            <w:tcW w:w="1619" w:type="dxa"/>
            <w:shd w:val="clear" w:color="auto" w:fill="auto"/>
            <w:noWrap/>
            <w:vAlign w:val="center"/>
            <w:hideMark/>
          </w:tcPr>
          <w:p w14:paraId="0D1C7F00" w14:textId="77777777" w:rsidR="002F5089" w:rsidRPr="00BA05A5" w:rsidRDefault="002F5089" w:rsidP="0063775F">
            <w:pPr>
              <w:spacing w:before="20" w:after="20"/>
              <w:rPr>
                <w:sz w:val="18"/>
                <w:szCs w:val="18"/>
                <w:lang w:eastAsia="en-NZ"/>
              </w:rPr>
            </w:pPr>
          </w:p>
        </w:tc>
        <w:tc>
          <w:tcPr>
            <w:tcW w:w="2067" w:type="dxa"/>
            <w:gridSpan w:val="2"/>
            <w:shd w:val="clear" w:color="auto" w:fill="auto"/>
            <w:noWrap/>
            <w:vAlign w:val="center"/>
            <w:hideMark/>
          </w:tcPr>
          <w:p w14:paraId="1940DA86" w14:textId="77777777" w:rsidR="002F5089" w:rsidRPr="00BA05A5" w:rsidRDefault="007E4E39" w:rsidP="0063775F">
            <w:pPr>
              <w:spacing w:before="20" w:after="20"/>
              <w:rPr>
                <w:color w:val="000000"/>
                <w:sz w:val="18"/>
                <w:szCs w:val="18"/>
                <w:lang w:eastAsia="en-NZ"/>
              </w:rPr>
            </w:pPr>
            <w:r>
              <w:rPr>
                <w:color w:val="000000"/>
                <w:sz w:val="18"/>
                <w:szCs w:val="18"/>
                <w:lang w:eastAsia="en-NZ"/>
              </w:rPr>
              <w:t>Severe</w:t>
            </w:r>
          </w:p>
        </w:tc>
        <w:tc>
          <w:tcPr>
            <w:tcW w:w="625" w:type="dxa"/>
            <w:shd w:val="clear" w:color="auto" w:fill="auto"/>
            <w:noWrap/>
            <w:vAlign w:val="center"/>
            <w:hideMark/>
          </w:tcPr>
          <w:p w14:paraId="680C1102" w14:textId="77777777" w:rsidR="002F5089" w:rsidRPr="00BA05A5" w:rsidRDefault="002F5089" w:rsidP="001F2269">
            <w:pPr>
              <w:adjustRightInd w:val="0"/>
              <w:jc w:val="right"/>
              <w:rPr>
                <w:color w:val="000000"/>
                <w:sz w:val="18"/>
                <w:szCs w:val="18"/>
              </w:rPr>
            </w:pPr>
            <w:r w:rsidRPr="00BA05A5">
              <w:rPr>
                <w:color w:val="000000"/>
                <w:sz w:val="18"/>
                <w:szCs w:val="18"/>
              </w:rPr>
              <w:t>142</w:t>
            </w:r>
          </w:p>
        </w:tc>
        <w:tc>
          <w:tcPr>
            <w:tcW w:w="850" w:type="dxa"/>
            <w:shd w:val="clear" w:color="auto" w:fill="auto"/>
            <w:noWrap/>
            <w:vAlign w:val="center"/>
            <w:hideMark/>
          </w:tcPr>
          <w:p w14:paraId="31F55AC3" w14:textId="77777777" w:rsidR="002F5089" w:rsidRPr="00BA05A5" w:rsidRDefault="002F5089" w:rsidP="001F2269">
            <w:pPr>
              <w:adjustRightInd w:val="0"/>
              <w:jc w:val="right"/>
              <w:rPr>
                <w:color w:val="000000"/>
                <w:sz w:val="18"/>
                <w:szCs w:val="18"/>
              </w:rPr>
            </w:pPr>
            <w:r w:rsidRPr="00BA05A5">
              <w:rPr>
                <w:color w:val="000000"/>
                <w:sz w:val="18"/>
                <w:szCs w:val="18"/>
              </w:rPr>
              <w:t>75</w:t>
            </w:r>
          </w:p>
        </w:tc>
        <w:tc>
          <w:tcPr>
            <w:tcW w:w="827" w:type="dxa"/>
            <w:vAlign w:val="center"/>
          </w:tcPr>
          <w:p w14:paraId="2CA7A6EF" w14:textId="77777777" w:rsidR="002F5089" w:rsidRPr="00BA05A5" w:rsidRDefault="002F5089" w:rsidP="001F2269">
            <w:pPr>
              <w:adjustRightInd w:val="0"/>
              <w:jc w:val="right"/>
              <w:rPr>
                <w:color w:val="000000"/>
                <w:sz w:val="18"/>
                <w:szCs w:val="18"/>
              </w:rPr>
            </w:pPr>
            <w:r w:rsidRPr="00BA05A5">
              <w:rPr>
                <w:color w:val="000000"/>
                <w:sz w:val="18"/>
                <w:szCs w:val="18"/>
              </w:rPr>
              <w:t>65</w:t>
            </w:r>
          </w:p>
        </w:tc>
        <w:tc>
          <w:tcPr>
            <w:tcW w:w="827" w:type="dxa"/>
            <w:vAlign w:val="center"/>
          </w:tcPr>
          <w:p w14:paraId="36BBEC3A" w14:textId="77777777" w:rsidR="002F5089" w:rsidRPr="00AF0BB2" w:rsidRDefault="002F5089" w:rsidP="001F2269">
            <w:pPr>
              <w:jc w:val="right"/>
              <w:rPr>
                <w:color w:val="000000"/>
                <w:sz w:val="18"/>
                <w:szCs w:val="18"/>
              </w:rPr>
            </w:pPr>
            <w:r w:rsidRPr="00AF0BB2">
              <w:rPr>
                <w:color w:val="000000"/>
                <w:sz w:val="18"/>
                <w:szCs w:val="18"/>
              </w:rPr>
              <w:t>57</w:t>
            </w:r>
          </w:p>
        </w:tc>
        <w:tc>
          <w:tcPr>
            <w:tcW w:w="1131" w:type="dxa"/>
            <w:shd w:val="clear" w:color="auto" w:fill="auto"/>
            <w:noWrap/>
            <w:vAlign w:val="center"/>
          </w:tcPr>
          <w:p w14:paraId="626238E5" w14:textId="77777777" w:rsidR="002F5089" w:rsidRPr="00AF0BB2" w:rsidRDefault="001F2269" w:rsidP="001F2269">
            <w:pPr>
              <w:jc w:val="right"/>
              <w:rPr>
                <w:color w:val="000000"/>
                <w:sz w:val="18"/>
                <w:szCs w:val="18"/>
              </w:rPr>
            </w:pPr>
            <w:r>
              <w:rPr>
                <w:color w:val="000000"/>
                <w:sz w:val="18"/>
                <w:szCs w:val="18"/>
              </w:rPr>
              <w:t>40</w:t>
            </w:r>
          </w:p>
        </w:tc>
        <w:tc>
          <w:tcPr>
            <w:tcW w:w="985" w:type="dxa"/>
            <w:shd w:val="clear" w:color="auto" w:fill="auto"/>
            <w:noWrap/>
            <w:vAlign w:val="center"/>
          </w:tcPr>
          <w:p w14:paraId="6D2DA27F" w14:textId="77777777" w:rsidR="002F5089" w:rsidRPr="00AF0BB2" w:rsidRDefault="002F5089" w:rsidP="001F2269">
            <w:pPr>
              <w:jc w:val="right"/>
              <w:rPr>
                <w:color w:val="000000"/>
                <w:sz w:val="18"/>
                <w:szCs w:val="18"/>
                <w:lang w:eastAsia="en-NZ"/>
              </w:rPr>
            </w:pPr>
            <w:r w:rsidRPr="00AF0BB2">
              <w:rPr>
                <w:color w:val="000000"/>
                <w:sz w:val="18"/>
                <w:szCs w:val="18"/>
                <w:lang w:eastAsia="en-NZ"/>
              </w:rPr>
              <w:t>0.12</w:t>
            </w:r>
          </w:p>
        </w:tc>
      </w:tr>
      <w:tr w:rsidR="0063775F" w:rsidRPr="00BA05A5" w14:paraId="60D1A257" w14:textId="77777777" w:rsidTr="008D2B52">
        <w:tc>
          <w:tcPr>
            <w:tcW w:w="1619" w:type="dxa"/>
            <w:shd w:val="clear" w:color="auto" w:fill="auto"/>
            <w:noWrap/>
            <w:vAlign w:val="center"/>
            <w:hideMark/>
          </w:tcPr>
          <w:p w14:paraId="7ECB1061" w14:textId="77777777" w:rsidR="002F5089" w:rsidRPr="00BA05A5" w:rsidRDefault="002F5089" w:rsidP="0063775F">
            <w:pPr>
              <w:spacing w:before="20" w:after="20"/>
              <w:rPr>
                <w:color w:val="000000"/>
                <w:sz w:val="18"/>
                <w:szCs w:val="18"/>
                <w:lang w:eastAsia="en-NZ"/>
              </w:rPr>
            </w:pPr>
          </w:p>
        </w:tc>
        <w:tc>
          <w:tcPr>
            <w:tcW w:w="2067" w:type="dxa"/>
            <w:gridSpan w:val="2"/>
            <w:shd w:val="clear" w:color="auto" w:fill="auto"/>
            <w:noWrap/>
            <w:vAlign w:val="center"/>
            <w:hideMark/>
          </w:tcPr>
          <w:p w14:paraId="4F405FA9" w14:textId="77777777" w:rsidR="002F5089" w:rsidRPr="00BA05A5" w:rsidRDefault="002F5089" w:rsidP="0063775F">
            <w:pPr>
              <w:spacing w:before="20" w:after="60"/>
              <w:rPr>
                <w:color w:val="000000"/>
                <w:sz w:val="18"/>
                <w:szCs w:val="18"/>
                <w:lang w:eastAsia="en-NZ"/>
              </w:rPr>
            </w:pPr>
            <w:r w:rsidRPr="00BA05A5">
              <w:rPr>
                <w:color w:val="000000"/>
                <w:sz w:val="18"/>
                <w:szCs w:val="18"/>
                <w:lang w:eastAsia="en-NZ"/>
              </w:rPr>
              <w:t>Not reported</w:t>
            </w:r>
          </w:p>
        </w:tc>
        <w:tc>
          <w:tcPr>
            <w:tcW w:w="625" w:type="dxa"/>
            <w:shd w:val="clear" w:color="auto" w:fill="auto"/>
            <w:noWrap/>
            <w:vAlign w:val="center"/>
            <w:hideMark/>
          </w:tcPr>
          <w:p w14:paraId="73A2AB23" w14:textId="77777777" w:rsidR="002F5089" w:rsidRPr="00BA05A5" w:rsidRDefault="002F5089" w:rsidP="001F2269">
            <w:pPr>
              <w:spacing w:before="20" w:after="60"/>
              <w:jc w:val="right"/>
              <w:rPr>
                <w:color w:val="000000"/>
                <w:sz w:val="18"/>
                <w:szCs w:val="18"/>
                <w:lang w:eastAsia="en-NZ"/>
              </w:rPr>
            </w:pPr>
            <w:r w:rsidRPr="00BA05A5">
              <w:rPr>
                <w:color w:val="000000"/>
                <w:sz w:val="18"/>
                <w:szCs w:val="18"/>
                <w:lang w:eastAsia="en-NZ"/>
              </w:rPr>
              <w:t>5</w:t>
            </w:r>
          </w:p>
        </w:tc>
        <w:tc>
          <w:tcPr>
            <w:tcW w:w="850" w:type="dxa"/>
            <w:shd w:val="clear" w:color="auto" w:fill="auto"/>
            <w:noWrap/>
            <w:vAlign w:val="center"/>
            <w:hideMark/>
          </w:tcPr>
          <w:p w14:paraId="428C4843" w14:textId="77777777" w:rsidR="002F5089" w:rsidRPr="00BA05A5" w:rsidRDefault="002F5089" w:rsidP="001F2269">
            <w:pPr>
              <w:spacing w:before="20" w:after="60"/>
              <w:jc w:val="right"/>
              <w:rPr>
                <w:color w:val="000000"/>
                <w:sz w:val="18"/>
                <w:szCs w:val="18"/>
                <w:lang w:eastAsia="en-NZ"/>
              </w:rPr>
            </w:pPr>
            <w:r w:rsidRPr="00BA05A5">
              <w:rPr>
                <w:color w:val="000000"/>
                <w:sz w:val="18"/>
                <w:szCs w:val="18"/>
                <w:lang w:eastAsia="en-NZ"/>
              </w:rPr>
              <w:t>1</w:t>
            </w:r>
          </w:p>
        </w:tc>
        <w:tc>
          <w:tcPr>
            <w:tcW w:w="827" w:type="dxa"/>
            <w:vAlign w:val="center"/>
          </w:tcPr>
          <w:p w14:paraId="1ABD1792" w14:textId="77777777" w:rsidR="002F5089" w:rsidRPr="00BA05A5" w:rsidRDefault="002F5089" w:rsidP="001F2269">
            <w:pPr>
              <w:spacing w:before="20" w:after="60"/>
              <w:jc w:val="right"/>
              <w:rPr>
                <w:color w:val="000000"/>
                <w:sz w:val="18"/>
                <w:szCs w:val="18"/>
                <w:lang w:eastAsia="en-NZ"/>
              </w:rPr>
            </w:pPr>
            <w:r w:rsidRPr="00BA05A5">
              <w:rPr>
                <w:color w:val="000000"/>
                <w:sz w:val="18"/>
                <w:szCs w:val="18"/>
                <w:lang w:eastAsia="en-NZ"/>
              </w:rPr>
              <w:t>1</w:t>
            </w:r>
          </w:p>
        </w:tc>
        <w:tc>
          <w:tcPr>
            <w:tcW w:w="827" w:type="dxa"/>
            <w:vAlign w:val="center"/>
          </w:tcPr>
          <w:p w14:paraId="633DFEB9" w14:textId="77777777" w:rsidR="002F5089" w:rsidRPr="00AF0BB2" w:rsidRDefault="002F5089" w:rsidP="001F2269">
            <w:pPr>
              <w:spacing w:before="20" w:after="60"/>
              <w:jc w:val="right"/>
              <w:rPr>
                <w:color w:val="000000"/>
                <w:sz w:val="18"/>
                <w:szCs w:val="18"/>
                <w:lang w:eastAsia="en-NZ"/>
              </w:rPr>
            </w:pPr>
            <w:r w:rsidRPr="00AF0BB2">
              <w:rPr>
                <w:color w:val="000000"/>
                <w:sz w:val="18"/>
                <w:szCs w:val="18"/>
                <w:lang w:eastAsia="en-NZ"/>
              </w:rPr>
              <w:t>1</w:t>
            </w:r>
          </w:p>
        </w:tc>
        <w:tc>
          <w:tcPr>
            <w:tcW w:w="1131" w:type="dxa"/>
            <w:shd w:val="clear" w:color="auto" w:fill="auto"/>
            <w:noWrap/>
            <w:vAlign w:val="center"/>
          </w:tcPr>
          <w:p w14:paraId="5C61F25F" w14:textId="77777777" w:rsidR="002F5089" w:rsidRPr="00AF0BB2" w:rsidRDefault="002F5089" w:rsidP="001F2269">
            <w:pPr>
              <w:spacing w:before="20" w:after="60"/>
              <w:jc w:val="right"/>
              <w:rPr>
                <w:color w:val="000000"/>
                <w:sz w:val="18"/>
                <w:szCs w:val="18"/>
                <w:lang w:eastAsia="en-NZ"/>
              </w:rPr>
            </w:pPr>
            <w:r w:rsidRPr="00AF0BB2">
              <w:rPr>
                <w:color w:val="000000"/>
                <w:sz w:val="18"/>
                <w:szCs w:val="18"/>
                <w:lang w:eastAsia="en-NZ"/>
              </w:rPr>
              <w:t>-</w:t>
            </w:r>
          </w:p>
        </w:tc>
        <w:tc>
          <w:tcPr>
            <w:tcW w:w="985" w:type="dxa"/>
            <w:shd w:val="clear" w:color="auto" w:fill="auto"/>
            <w:noWrap/>
            <w:vAlign w:val="center"/>
          </w:tcPr>
          <w:p w14:paraId="349C0752" w14:textId="77777777" w:rsidR="002F5089" w:rsidRPr="00AF0BB2" w:rsidRDefault="002F5089" w:rsidP="001F2269">
            <w:pPr>
              <w:jc w:val="right"/>
              <w:rPr>
                <w:color w:val="000000"/>
                <w:sz w:val="18"/>
                <w:szCs w:val="18"/>
                <w:lang w:eastAsia="en-NZ"/>
              </w:rPr>
            </w:pPr>
          </w:p>
        </w:tc>
      </w:tr>
      <w:tr w:rsidR="0063775F" w:rsidRPr="00BA05A5" w14:paraId="4E0C3352" w14:textId="77777777" w:rsidTr="008D2B52">
        <w:tc>
          <w:tcPr>
            <w:tcW w:w="1619" w:type="dxa"/>
            <w:shd w:val="clear" w:color="auto" w:fill="auto"/>
            <w:noWrap/>
            <w:vAlign w:val="center"/>
          </w:tcPr>
          <w:p w14:paraId="654DBD5E" w14:textId="77777777" w:rsidR="002F5089" w:rsidRPr="00BA05A5" w:rsidRDefault="002F5089" w:rsidP="00381E9F">
            <w:pPr>
              <w:spacing w:before="20" w:after="20"/>
              <w:rPr>
                <w:color w:val="000000"/>
                <w:sz w:val="18"/>
                <w:szCs w:val="18"/>
                <w:lang w:eastAsia="en-NZ"/>
              </w:rPr>
            </w:pPr>
            <w:r>
              <w:rPr>
                <w:color w:val="000000"/>
                <w:sz w:val="18"/>
                <w:szCs w:val="18"/>
                <w:lang w:eastAsia="en-NZ"/>
              </w:rPr>
              <w:t xml:space="preserve">Sought </w:t>
            </w:r>
            <w:r w:rsidR="00381E9F">
              <w:rPr>
                <w:color w:val="000000"/>
                <w:sz w:val="18"/>
                <w:szCs w:val="18"/>
                <w:lang w:eastAsia="en-NZ"/>
              </w:rPr>
              <w:t>h</w:t>
            </w:r>
            <w:r>
              <w:rPr>
                <w:color w:val="000000"/>
                <w:sz w:val="18"/>
                <w:szCs w:val="18"/>
                <w:lang w:eastAsia="en-NZ"/>
              </w:rPr>
              <w:t>elp</w:t>
            </w:r>
            <w:r w:rsidR="00381E9F">
              <w:rPr>
                <w:color w:val="000000"/>
                <w:sz w:val="18"/>
                <w:szCs w:val="18"/>
                <w:lang w:eastAsia="en-NZ"/>
              </w:rPr>
              <w:t xml:space="preserve"> from gambling treatment services</w:t>
            </w:r>
          </w:p>
        </w:tc>
        <w:tc>
          <w:tcPr>
            <w:tcW w:w="2067" w:type="dxa"/>
            <w:gridSpan w:val="2"/>
            <w:shd w:val="clear" w:color="auto" w:fill="auto"/>
            <w:noWrap/>
            <w:vAlign w:val="center"/>
          </w:tcPr>
          <w:p w14:paraId="7266B036" w14:textId="77777777" w:rsidR="002F5089" w:rsidRPr="00BA05A5" w:rsidRDefault="002F5089" w:rsidP="0063775F">
            <w:pPr>
              <w:spacing w:before="20" w:after="60"/>
              <w:rPr>
                <w:color w:val="000000"/>
                <w:sz w:val="18"/>
                <w:szCs w:val="18"/>
                <w:lang w:eastAsia="en-NZ"/>
              </w:rPr>
            </w:pPr>
            <w:r>
              <w:rPr>
                <w:color w:val="000000"/>
                <w:sz w:val="18"/>
                <w:szCs w:val="18"/>
                <w:lang w:eastAsia="en-NZ"/>
              </w:rPr>
              <w:t>Yes</w:t>
            </w:r>
          </w:p>
        </w:tc>
        <w:tc>
          <w:tcPr>
            <w:tcW w:w="625" w:type="dxa"/>
            <w:shd w:val="clear" w:color="auto" w:fill="auto"/>
            <w:noWrap/>
            <w:vAlign w:val="center"/>
          </w:tcPr>
          <w:p w14:paraId="68830B7D" w14:textId="77777777" w:rsidR="002F5089" w:rsidRPr="00BA05A5" w:rsidRDefault="002F5089" w:rsidP="001F2269">
            <w:pPr>
              <w:adjustRightInd w:val="0"/>
              <w:jc w:val="right"/>
              <w:rPr>
                <w:color w:val="000000"/>
                <w:sz w:val="18"/>
                <w:szCs w:val="18"/>
              </w:rPr>
            </w:pPr>
            <w:r>
              <w:rPr>
                <w:color w:val="000000"/>
                <w:sz w:val="18"/>
                <w:szCs w:val="18"/>
              </w:rPr>
              <w:t>5</w:t>
            </w:r>
          </w:p>
        </w:tc>
        <w:tc>
          <w:tcPr>
            <w:tcW w:w="850" w:type="dxa"/>
            <w:shd w:val="clear" w:color="auto" w:fill="auto"/>
            <w:noWrap/>
            <w:vAlign w:val="center"/>
          </w:tcPr>
          <w:p w14:paraId="065CAEA1" w14:textId="77777777" w:rsidR="002F5089" w:rsidRPr="00BA05A5" w:rsidRDefault="002F5089" w:rsidP="001F2269">
            <w:pPr>
              <w:adjustRightInd w:val="0"/>
              <w:jc w:val="right"/>
              <w:rPr>
                <w:color w:val="000000"/>
                <w:sz w:val="18"/>
                <w:szCs w:val="18"/>
              </w:rPr>
            </w:pPr>
            <w:r>
              <w:rPr>
                <w:color w:val="000000"/>
                <w:sz w:val="18"/>
                <w:szCs w:val="18"/>
              </w:rPr>
              <w:t>3</w:t>
            </w:r>
          </w:p>
        </w:tc>
        <w:tc>
          <w:tcPr>
            <w:tcW w:w="827" w:type="dxa"/>
            <w:vAlign w:val="center"/>
          </w:tcPr>
          <w:p w14:paraId="2CA3FF67" w14:textId="77777777" w:rsidR="002F5089" w:rsidRPr="00BA05A5" w:rsidRDefault="002F5089" w:rsidP="001F2269">
            <w:pPr>
              <w:adjustRightInd w:val="0"/>
              <w:jc w:val="right"/>
              <w:rPr>
                <w:color w:val="000000"/>
                <w:sz w:val="18"/>
                <w:szCs w:val="18"/>
              </w:rPr>
            </w:pPr>
            <w:r>
              <w:rPr>
                <w:color w:val="000000"/>
                <w:sz w:val="18"/>
                <w:szCs w:val="18"/>
              </w:rPr>
              <w:t>3</w:t>
            </w:r>
          </w:p>
        </w:tc>
        <w:tc>
          <w:tcPr>
            <w:tcW w:w="827" w:type="dxa"/>
            <w:vAlign w:val="center"/>
          </w:tcPr>
          <w:p w14:paraId="2A89CCA4" w14:textId="77777777" w:rsidR="002F5089" w:rsidRPr="00AF0BB2" w:rsidRDefault="002F5089" w:rsidP="001F2269">
            <w:pPr>
              <w:adjustRightInd w:val="0"/>
              <w:jc w:val="right"/>
              <w:rPr>
                <w:color w:val="000000"/>
                <w:sz w:val="18"/>
                <w:szCs w:val="18"/>
              </w:rPr>
            </w:pPr>
            <w:r w:rsidRPr="00AF0BB2">
              <w:rPr>
                <w:color w:val="000000"/>
                <w:sz w:val="18"/>
                <w:szCs w:val="18"/>
              </w:rPr>
              <w:t>3</w:t>
            </w:r>
          </w:p>
        </w:tc>
        <w:tc>
          <w:tcPr>
            <w:tcW w:w="1131" w:type="dxa"/>
            <w:shd w:val="clear" w:color="auto" w:fill="auto"/>
            <w:noWrap/>
            <w:vAlign w:val="center"/>
          </w:tcPr>
          <w:p w14:paraId="037C683A" w14:textId="77777777" w:rsidR="002F5089" w:rsidRPr="00AF0BB2" w:rsidRDefault="001F2269" w:rsidP="001F2269">
            <w:pPr>
              <w:adjustRightInd w:val="0"/>
              <w:jc w:val="right"/>
              <w:rPr>
                <w:color w:val="000000"/>
                <w:sz w:val="18"/>
                <w:szCs w:val="18"/>
              </w:rPr>
            </w:pPr>
            <w:r>
              <w:rPr>
                <w:color w:val="000000"/>
                <w:sz w:val="18"/>
                <w:szCs w:val="18"/>
              </w:rPr>
              <w:t>60</w:t>
            </w:r>
          </w:p>
        </w:tc>
        <w:tc>
          <w:tcPr>
            <w:tcW w:w="985" w:type="dxa"/>
            <w:shd w:val="clear" w:color="auto" w:fill="auto"/>
            <w:noWrap/>
            <w:vAlign w:val="center"/>
          </w:tcPr>
          <w:p w14:paraId="56B738D5" w14:textId="77777777" w:rsidR="002F5089" w:rsidRPr="00AF0BB2" w:rsidRDefault="002F5089" w:rsidP="001F2269">
            <w:pPr>
              <w:jc w:val="right"/>
              <w:rPr>
                <w:color w:val="000000"/>
                <w:sz w:val="18"/>
                <w:szCs w:val="18"/>
                <w:lang w:eastAsia="en-NZ"/>
              </w:rPr>
            </w:pPr>
          </w:p>
        </w:tc>
      </w:tr>
      <w:tr w:rsidR="0063775F" w:rsidRPr="00BA05A5" w14:paraId="71127943" w14:textId="77777777" w:rsidTr="008D2B52">
        <w:tc>
          <w:tcPr>
            <w:tcW w:w="1619" w:type="dxa"/>
            <w:shd w:val="clear" w:color="auto" w:fill="auto"/>
            <w:noWrap/>
            <w:vAlign w:val="center"/>
          </w:tcPr>
          <w:p w14:paraId="4519B8DD" w14:textId="77777777" w:rsidR="002F5089" w:rsidRPr="00BA05A5" w:rsidRDefault="002F5089" w:rsidP="0063775F">
            <w:pPr>
              <w:spacing w:before="20" w:after="20"/>
              <w:rPr>
                <w:color w:val="000000"/>
                <w:sz w:val="18"/>
                <w:szCs w:val="18"/>
                <w:lang w:eastAsia="en-NZ"/>
              </w:rPr>
            </w:pPr>
            <w:r>
              <w:rPr>
                <w:color w:val="000000"/>
                <w:sz w:val="18"/>
                <w:szCs w:val="18"/>
                <w:lang w:eastAsia="en-NZ"/>
              </w:rPr>
              <w:t>In last 12 months</w:t>
            </w:r>
          </w:p>
        </w:tc>
        <w:tc>
          <w:tcPr>
            <w:tcW w:w="2067" w:type="dxa"/>
            <w:gridSpan w:val="2"/>
            <w:shd w:val="clear" w:color="auto" w:fill="auto"/>
            <w:noWrap/>
            <w:vAlign w:val="center"/>
          </w:tcPr>
          <w:p w14:paraId="06D5DB98" w14:textId="77777777" w:rsidR="002F5089" w:rsidRPr="00BA05A5" w:rsidRDefault="002F5089" w:rsidP="0063775F">
            <w:pPr>
              <w:spacing w:before="20" w:after="60"/>
              <w:rPr>
                <w:color w:val="000000"/>
                <w:sz w:val="18"/>
                <w:szCs w:val="18"/>
                <w:lang w:eastAsia="en-NZ"/>
              </w:rPr>
            </w:pPr>
            <w:r>
              <w:rPr>
                <w:color w:val="000000"/>
                <w:sz w:val="18"/>
                <w:szCs w:val="18"/>
                <w:lang w:eastAsia="en-NZ"/>
              </w:rPr>
              <w:t>No</w:t>
            </w:r>
          </w:p>
        </w:tc>
        <w:tc>
          <w:tcPr>
            <w:tcW w:w="625" w:type="dxa"/>
            <w:shd w:val="clear" w:color="auto" w:fill="auto"/>
            <w:noWrap/>
            <w:vAlign w:val="center"/>
          </w:tcPr>
          <w:p w14:paraId="5555F982" w14:textId="77777777" w:rsidR="002F5089" w:rsidRPr="00BA05A5" w:rsidRDefault="002F5089" w:rsidP="001F2269">
            <w:pPr>
              <w:adjustRightInd w:val="0"/>
              <w:jc w:val="right"/>
              <w:rPr>
                <w:color w:val="000000"/>
                <w:sz w:val="18"/>
                <w:szCs w:val="18"/>
              </w:rPr>
            </w:pPr>
            <w:r>
              <w:rPr>
                <w:color w:val="000000"/>
                <w:sz w:val="18"/>
                <w:szCs w:val="18"/>
              </w:rPr>
              <w:t>6251</w:t>
            </w:r>
          </w:p>
        </w:tc>
        <w:tc>
          <w:tcPr>
            <w:tcW w:w="850" w:type="dxa"/>
            <w:shd w:val="clear" w:color="auto" w:fill="auto"/>
            <w:noWrap/>
            <w:vAlign w:val="center"/>
          </w:tcPr>
          <w:p w14:paraId="5E51DF45" w14:textId="77777777" w:rsidR="002F5089" w:rsidRPr="00BA05A5" w:rsidRDefault="002F5089" w:rsidP="001F2269">
            <w:pPr>
              <w:adjustRightInd w:val="0"/>
              <w:jc w:val="right"/>
              <w:rPr>
                <w:color w:val="000000"/>
                <w:sz w:val="18"/>
                <w:szCs w:val="18"/>
              </w:rPr>
            </w:pPr>
            <w:r>
              <w:rPr>
                <w:color w:val="000000"/>
                <w:sz w:val="18"/>
                <w:szCs w:val="18"/>
              </w:rPr>
              <w:t>3742</w:t>
            </w:r>
          </w:p>
        </w:tc>
        <w:tc>
          <w:tcPr>
            <w:tcW w:w="827" w:type="dxa"/>
            <w:vAlign w:val="center"/>
          </w:tcPr>
          <w:p w14:paraId="05EF3B41" w14:textId="77777777" w:rsidR="002F5089" w:rsidRPr="00BA05A5" w:rsidRDefault="002F5089" w:rsidP="001F2269">
            <w:pPr>
              <w:adjustRightInd w:val="0"/>
              <w:jc w:val="right"/>
              <w:rPr>
                <w:color w:val="000000"/>
                <w:sz w:val="18"/>
                <w:szCs w:val="18"/>
              </w:rPr>
            </w:pPr>
            <w:r>
              <w:rPr>
                <w:color w:val="000000"/>
                <w:sz w:val="18"/>
                <w:szCs w:val="18"/>
              </w:rPr>
              <w:t>3112</w:t>
            </w:r>
          </w:p>
        </w:tc>
        <w:tc>
          <w:tcPr>
            <w:tcW w:w="827" w:type="dxa"/>
            <w:vAlign w:val="center"/>
          </w:tcPr>
          <w:p w14:paraId="45C0D047" w14:textId="77777777" w:rsidR="002F5089" w:rsidRPr="00AF0BB2" w:rsidRDefault="002F5089" w:rsidP="001F2269">
            <w:pPr>
              <w:adjustRightInd w:val="0"/>
              <w:jc w:val="right"/>
              <w:rPr>
                <w:color w:val="000000"/>
                <w:sz w:val="18"/>
                <w:szCs w:val="18"/>
              </w:rPr>
            </w:pPr>
            <w:r w:rsidRPr="00AF0BB2">
              <w:rPr>
                <w:color w:val="000000"/>
                <w:sz w:val="18"/>
                <w:szCs w:val="18"/>
              </w:rPr>
              <w:t>2767</w:t>
            </w:r>
          </w:p>
        </w:tc>
        <w:tc>
          <w:tcPr>
            <w:tcW w:w="1131" w:type="dxa"/>
            <w:shd w:val="clear" w:color="auto" w:fill="auto"/>
            <w:noWrap/>
            <w:vAlign w:val="center"/>
          </w:tcPr>
          <w:p w14:paraId="11031F51" w14:textId="77777777" w:rsidR="002F5089" w:rsidRPr="00AF0BB2" w:rsidRDefault="001F2269" w:rsidP="001F2269">
            <w:pPr>
              <w:adjustRightInd w:val="0"/>
              <w:jc w:val="right"/>
              <w:rPr>
                <w:color w:val="000000"/>
                <w:sz w:val="18"/>
                <w:szCs w:val="18"/>
              </w:rPr>
            </w:pPr>
            <w:r>
              <w:rPr>
                <w:color w:val="000000"/>
                <w:sz w:val="18"/>
                <w:szCs w:val="18"/>
              </w:rPr>
              <w:t>44</w:t>
            </w:r>
          </w:p>
        </w:tc>
        <w:tc>
          <w:tcPr>
            <w:tcW w:w="985" w:type="dxa"/>
            <w:shd w:val="clear" w:color="auto" w:fill="auto"/>
            <w:noWrap/>
            <w:vAlign w:val="center"/>
          </w:tcPr>
          <w:p w14:paraId="3FD53301" w14:textId="77777777" w:rsidR="002F5089" w:rsidRPr="00AF0BB2" w:rsidRDefault="002F5089" w:rsidP="001F2269">
            <w:pPr>
              <w:jc w:val="right"/>
              <w:rPr>
                <w:color w:val="000000"/>
                <w:sz w:val="18"/>
                <w:szCs w:val="18"/>
                <w:lang w:eastAsia="en-NZ"/>
              </w:rPr>
            </w:pPr>
            <w:r w:rsidRPr="00AF0BB2">
              <w:rPr>
                <w:color w:val="000000"/>
                <w:sz w:val="18"/>
                <w:szCs w:val="18"/>
                <w:lang w:eastAsia="en-NZ"/>
              </w:rPr>
              <w:t>0.48</w:t>
            </w:r>
          </w:p>
        </w:tc>
      </w:tr>
      <w:tr w:rsidR="0063775F" w:rsidRPr="00BA05A5" w14:paraId="2C9D67BD" w14:textId="77777777" w:rsidTr="008D2B52">
        <w:tc>
          <w:tcPr>
            <w:tcW w:w="1619" w:type="dxa"/>
            <w:tcBorders>
              <w:bottom w:val="single" w:sz="4" w:space="0" w:color="auto"/>
            </w:tcBorders>
            <w:shd w:val="clear" w:color="auto" w:fill="auto"/>
            <w:noWrap/>
            <w:vAlign w:val="center"/>
            <w:hideMark/>
          </w:tcPr>
          <w:p w14:paraId="6CC2FF9D" w14:textId="77777777" w:rsidR="002F5089" w:rsidRPr="00BA05A5" w:rsidRDefault="002F5089" w:rsidP="0063775F">
            <w:pPr>
              <w:spacing w:before="20" w:after="20"/>
              <w:rPr>
                <w:i/>
                <w:color w:val="000000"/>
                <w:sz w:val="18"/>
                <w:szCs w:val="18"/>
                <w:lang w:eastAsia="en-NZ"/>
              </w:rPr>
            </w:pPr>
            <w:r w:rsidRPr="00BA05A5">
              <w:rPr>
                <w:i/>
                <w:color w:val="000000"/>
                <w:sz w:val="18"/>
                <w:szCs w:val="18"/>
                <w:lang w:eastAsia="en-NZ"/>
              </w:rPr>
              <w:t>Total</w:t>
            </w:r>
          </w:p>
        </w:tc>
        <w:tc>
          <w:tcPr>
            <w:tcW w:w="2067" w:type="dxa"/>
            <w:gridSpan w:val="2"/>
            <w:tcBorders>
              <w:bottom w:val="single" w:sz="4" w:space="0" w:color="auto"/>
            </w:tcBorders>
            <w:shd w:val="clear" w:color="auto" w:fill="auto"/>
            <w:noWrap/>
            <w:vAlign w:val="center"/>
            <w:hideMark/>
          </w:tcPr>
          <w:p w14:paraId="0FD5290B" w14:textId="77777777" w:rsidR="002F5089" w:rsidRPr="00BA05A5" w:rsidRDefault="002F5089" w:rsidP="0063775F">
            <w:pPr>
              <w:spacing w:before="20" w:after="20"/>
              <w:rPr>
                <w:i/>
                <w:color w:val="000000"/>
                <w:sz w:val="18"/>
                <w:szCs w:val="18"/>
                <w:lang w:eastAsia="en-NZ"/>
              </w:rPr>
            </w:pPr>
          </w:p>
        </w:tc>
        <w:tc>
          <w:tcPr>
            <w:tcW w:w="625" w:type="dxa"/>
            <w:tcBorders>
              <w:bottom w:val="single" w:sz="4" w:space="0" w:color="auto"/>
            </w:tcBorders>
            <w:shd w:val="clear" w:color="auto" w:fill="auto"/>
            <w:noWrap/>
            <w:vAlign w:val="center"/>
            <w:hideMark/>
          </w:tcPr>
          <w:p w14:paraId="7F9439F9" w14:textId="77777777" w:rsidR="002F5089" w:rsidRPr="00BA05A5" w:rsidRDefault="002F5089" w:rsidP="001F2269">
            <w:pPr>
              <w:jc w:val="right"/>
              <w:rPr>
                <w:i/>
                <w:color w:val="000000"/>
                <w:sz w:val="18"/>
                <w:szCs w:val="18"/>
                <w:lang w:eastAsia="en-NZ"/>
              </w:rPr>
            </w:pPr>
            <w:r>
              <w:rPr>
                <w:i/>
                <w:color w:val="000000"/>
                <w:sz w:val="18"/>
                <w:szCs w:val="18"/>
                <w:lang w:eastAsia="en-NZ"/>
              </w:rPr>
              <w:t>6251</w:t>
            </w:r>
          </w:p>
        </w:tc>
        <w:tc>
          <w:tcPr>
            <w:tcW w:w="850" w:type="dxa"/>
            <w:tcBorders>
              <w:bottom w:val="single" w:sz="4" w:space="0" w:color="auto"/>
            </w:tcBorders>
            <w:shd w:val="clear" w:color="auto" w:fill="auto"/>
            <w:noWrap/>
            <w:vAlign w:val="center"/>
            <w:hideMark/>
          </w:tcPr>
          <w:p w14:paraId="74810163" w14:textId="77777777" w:rsidR="002F5089" w:rsidRPr="00BA05A5" w:rsidRDefault="002F5089" w:rsidP="001F2269">
            <w:pPr>
              <w:jc w:val="right"/>
              <w:rPr>
                <w:i/>
                <w:color w:val="000000"/>
                <w:sz w:val="18"/>
                <w:szCs w:val="18"/>
                <w:lang w:eastAsia="en-NZ"/>
              </w:rPr>
            </w:pPr>
            <w:r w:rsidRPr="00BA05A5">
              <w:rPr>
                <w:i/>
                <w:color w:val="000000"/>
                <w:sz w:val="18"/>
                <w:szCs w:val="18"/>
                <w:lang w:eastAsia="en-NZ"/>
              </w:rPr>
              <w:t>3745</w:t>
            </w:r>
          </w:p>
        </w:tc>
        <w:tc>
          <w:tcPr>
            <w:tcW w:w="827" w:type="dxa"/>
            <w:tcBorders>
              <w:bottom w:val="single" w:sz="4" w:space="0" w:color="auto"/>
            </w:tcBorders>
            <w:vAlign w:val="center"/>
          </w:tcPr>
          <w:p w14:paraId="141F1D97" w14:textId="77777777" w:rsidR="002F5089" w:rsidRPr="00BA05A5" w:rsidRDefault="002F5089" w:rsidP="001F2269">
            <w:pPr>
              <w:jc w:val="right"/>
              <w:rPr>
                <w:i/>
                <w:color w:val="000000"/>
                <w:sz w:val="18"/>
                <w:szCs w:val="18"/>
                <w:lang w:eastAsia="en-NZ"/>
              </w:rPr>
            </w:pPr>
            <w:r>
              <w:rPr>
                <w:i/>
                <w:color w:val="000000"/>
                <w:sz w:val="18"/>
                <w:szCs w:val="18"/>
                <w:lang w:eastAsia="en-NZ"/>
              </w:rPr>
              <w:t>3115</w:t>
            </w:r>
          </w:p>
        </w:tc>
        <w:tc>
          <w:tcPr>
            <w:tcW w:w="827" w:type="dxa"/>
            <w:tcBorders>
              <w:bottom w:val="single" w:sz="4" w:space="0" w:color="auto"/>
            </w:tcBorders>
            <w:vAlign w:val="center"/>
          </w:tcPr>
          <w:p w14:paraId="08BEEF9E" w14:textId="77777777" w:rsidR="002F5089" w:rsidRPr="00AF0BB2" w:rsidRDefault="002F5089" w:rsidP="001F2269">
            <w:pPr>
              <w:jc w:val="right"/>
              <w:rPr>
                <w:i/>
                <w:color w:val="000000"/>
                <w:sz w:val="18"/>
                <w:szCs w:val="18"/>
                <w:lang w:eastAsia="en-NZ"/>
              </w:rPr>
            </w:pPr>
            <w:r w:rsidRPr="00AF0BB2">
              <w:rPr>
                <w:i/>
                <w:color w:val="000000"/>
                <w:sz w:val="18"/>
                <w:szCs w:val="18"/>
                <w:lang w:eastAsia="en-NZ"/>
              </w:rPr>
              <w:t>2770</w:t>
            </w:r>
          </w:p>
        </w:tc>
        <w:tc>
          <w:tcPr>
            <w:tcW w:w="1131" w:type="dxa"/>
            <w:tcBorders>
              <w:bottom w:val="single" w:sz="4" w:space="0" w:color="auto"/>
            </w:tcBorders>
            <w:shd w:val="clear" w:color="auto" w:fill="auto"/>
            <w:noWrap/>
            <w:vAlign w:val="center"/>
          </w:tcPr>
          <w:p w14:paraId="1FFB37FF" w14:textId="77777777" w:rsidR="002F5089" w:rsidRPr="00AF0BB2" w:rsidRDefault="001F2269" w:rsidP="001F2269">
            <w:pPr>
              <w:jc w:val="right"/>
              <w:rPr>
                <w:i/>
                <w:color w:val="000000"/>
                <w:sz w:val="18"/>
                <w:szCs w:val="18"/>
                <w:lang w:eastAsia="en-NZ"/>
              </w:rPr>
            </w:pPr>
            <w:r>
              <w:rPr>
                <w:i/>
                <w:color w:val="000000"/>
                <w:sz w:val="18"/>
                <w:szCs w:val="18"/>
                <w:lang w:eastAsia="en-NZ"/>
              </w:rPr>
              <w:t>44</w:t>
            </w:r>
          </w:p>
        </w:tc>
        <w:tc>
          <w:tcPr>
            <w:tcW w:w="985" w:type="dxa"/>
            <w:tcBorders>
              <w:bottom w:val="single" w:sz="4" w:space="0" w:color="auto"/>
            </w:tcBorders>
            <w:shd w:val="clear" w:color="auto" w:fill="auto"/>
            <w:noWrap/>
            <w:vAlign w:val="center"/>
          </w:tcPr>
          <w:p w14:paraId="03A002F0" w14:textId="77777777" w:rsidR="002F5089" w:rsidRPr="00AF0BB2" w:rsidRDefault="002F5089" w:rsidP="001F2269">
            <w:pPr>
              <w:jc w:val="right"/>
              <w:rPr>
                <w:i/>
                <w:color w:val="000000"/>
                <w:sz w:val="18"/>
                <w:szCs w:val="18"/>
                <w:lang w:eastAsia="en-NZ"/>
              </w:rPr>
            </w:pPr>
          </w:p>
        </w:tc>
      </w:tr>
    </w:tbl>
    <w:p w14:paraId="2DA17A21" w14:textId="77777777" w:rsidR="002F5089" w:rsidRDefault="002F5089" w:rsidP="002F5089">
      <w:pPr>
        <w:keepNext/>
        <w:jc w:val="both"/>
        <w:rPr>
          <w:sz w:val="18"/>
        </w:rPr>
      </w:pPr>
      <w:r w:rsidRPr="00BA05A5">
        <w:rPr>
          <w:b/>
          <w:color w:val="000000"/>
          <w:sz w:val="18"/>
          <w:szCs w:val="18"/>
          <w:vertAlign w:val="superscript"/>
          <w:lang w:eastAsia="en-NZ"/>
        </w:rPr>
        <w:t>#</w:t>
      </w:r>
      <w:r w:rsidRPr="00BA05A5">
        <w:rPr>
          <w:b/>
          <w:color w:val="000000"/>
          <w:sz w:val="16"/>
          <w:szCs w:val="18"/>
          <w:vertAlign w:val="superscript"/>
          <w:lang w:eastAsia="en-NZ"/>
        </w:rPr>
        <w:t xml:space="preserve"> </w:t>
      </w:r>
      <w:r w:rsidRPr="00BA05A5">
        <w:rPr>
          <w:sz w:val="18"/>
        </w:rPr>
        <w:t>p-values are chi-squares tests for association, excluding ‘Not reported’ and ‘missing’ categories</w:t>
      </w:r>
    </w:p>
    <w:p w14:paraId="26D70DDF" w14:textId="77777777" w:rsidR="002F5089" w:rsidRDefault="002F5089" w:rsidP="002F5089">
      <w:pPr>
        <w:rPr>
          <w:sz w:val="18"/>
        </w:rPr>
      </w:pPr>
      <w:r>
        <w:rPr>
          <w:sz w:val="18"/>
        </w:rPr>
        <w:t>** Note all measures relate to the 2012 baseline measures</w:t>
      </w:r>
    </w:p>
    <w:p w14:paraId="233BDB3C" w14:textId="77777777" w:rsidR="009C7031" w:rsidRDefault="009C7031" w:rsidP="002F5089">
      <w:pPr>
        <w:rPr>
          <w:sz w:val="18"/>
        </w:rPr>
      </w:pPr>
    </w:p>
    <w:p w14:paraId="4A56619E" w14:textId="77777777" w:rsidR="009C7031" w:rsidRDefault="009C7031" w:rsidP="002F5089">
      <w:pPr>
        <w:rPr>
          <w:rFonts w:eastAsiaTheme="majorEastAsia" w:cstheme="majorBidi"/>
          <w:b/>
          <w:bCs/>
          <w:caps/>
          <w:szCs w:val="28"/>
          <w:lang w:eastAsia="en-US"/>
        </w:rPr>
        <w:sectPr w:rsidR="009C7031" w:rsidSect="00E96749">
          <w:headerReference w:type="default" r:id="rId19"/>
          <w:footerReference w:type="default" r:id="rId20"/>
          <w:pgSz w:w="11906" w:h="16838"/>
          <w:pgMar w:top="1440" w:right="1800" w:bottom="1440" w:left="1800" w:header="708" w:footer="708" w:gutter="0"/>
          <w:pgNumType w:start="1"/>
          <w:cols w:space="708"/>
          <w:docGrid w:linePitch="360"/>
        </w:sectPr>
      </w:pPr>
    </w:p>
    <w:p w14:paraId="6EEBB58D" w14:textId="77777777" w:rsidR="00DC5D7B" w:rsidRDefault="002F12D7" w:rsidP="00DC5D7B">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pPr>
      <w:bookmarkStart w:id="195" w:name="_Toc446324570"/>
      <w:bookmarkStart w:id="196" w:name="_Toc504488400"/>
      <w:r>
        <w:t>APPENDIX 7</w:t>
      </w:r>
      <w:r w:rsidR="00DC5D7B">
        <w:t>:</w:t>
      </w:r>
      <w:r w:rsidR="00DC5D7B">
        <w:br/>
      </w:r>
      <w:r w:rsidR="00315163">
        <w:rPr>
          <w:rFonts w:cs="Times New Roman"/>
          <w:caps w:val="0"/>
        </w:rPr>
        <w:t>S</w:t>
      </w:r>
      <w:r w:rsidR="00CD1F83">
        <w:rPr>
          <w:rFonts w:cs="Times New Roman"/>
          <w:caps w:val="0"/>
        </w:rPr>
        <w:t>ocio</w:t>
      </w:r>
      <w:r w:rsidR="00DC5D7B">
        <w:rPr>
          <w:rFonts w:cs="Times New Roman"/>
          <w:caps w:val="0"/>
        </w:rPr>
        <w:t xml:space="preserve">demographic variables </w:t>
      </w:r>
      <w:r w:rsidR="00CD1F83">
        <w:rPr>
          <w:rFonts w:cs="Times New Roman"/>
          <w:caps w:val="0"/>
        </w:rPr>
        <w:t>that could have changed over time</w:t>
      </w:r>
      <w:bookmarkEnd w:id="195"/>
      <w:bookmarkEnd w:id="196"/>
    </w:p>
    <w:p w14:paraId="63A0C32E" w14:textId="77777777" w:rsidR="00DC5D7B" w:rsidRPr="00BA05A5" w:rsidRDefault="00DC5D7B" w:rsidP="00DC5D7B"/>
    <w:tbl>
      <w:tblPr>
        <w:tblStyle w:val="LightShading4"/>
        <w:tblW w:w="11660" w:type="dxa"/>
        <w:jc w:val="center"/>
        <w:tblLook w:val="06A0" w:firstRow="1" w:lastRow="0" w:firstColumn="1" w:lastColumn="0" w:noHBand="1" w:noVBand="1"/>
      </w:tblPr>
      <w:tblGrid>
        <w:gridCol w:w="2428"/>
        <w:gridCol w:w="616"/>
        <w:gridCol w:w="576"/>
        <w:gridCol w:w="1146"/>
        <w:gridCol w:w="616"/>
        <w:gridCol w:w="576"/>
        <w:gridCol w:w="1146"/>
        <w:gridCol w:w="599"/>
        <w:gridCol w:w="558"/>
        <w:gridCol w:w="1146"/>
        <w:gridCol w:w="576"/>
        <w:gridCol w:w="531"/>
        <w:gridCol w:w="1146"/>
      </w:tblGrid>
      <w:tr w:rsidR="007B7BB5" w:rsidRPr="008A7800" w14:paraId="31223A4C" w14:textId="77777777" w:rsidTr="008A780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428" w:type="dxa"/>
            <w:vMerge w:val="restart"/>
            <w:tcBorders>
              <w:bottom w:val="single" w:sz="4" w:space="0" w:color="auto"/>
            </w:tcBorders>
            <w:vAlign w:val="bottom"/>
            <w:hideMark/>
          </w:tcPr>
          <w:p w14:paraId="296C975A" w14:textId="77777777" w:rsidR="007B7BB5" w:rsidRPr="008A7800" w:rsidRDefault="007B7BB5" w:rsidP="003B4065">
            <w:pPr>
              <w:spacing w:before="20" w:after="20"/>
              <w:rPr>
                <w:rFonts w:eastAsiaTheme="minorEastAsia"/>
                <w:sz w:val="18"/>
                <w:szCs w:val="18"/>
                <w:lang w:eastAsia="en-US"/>
              </w:rPr>
            </w:pPr>
            <w:r w:rsidRPr="008A7800">
              <w:rPr>
                <w:rFonts w:eastAsiaTheme="minorEastAsia"/>
                <w:sz w:val="18"/>
                <w:szCs w:val="18"/>
              </w:rPr>
              <w:t>Demographic variables</w:t>
            </w:r>
          </w:p>
        </w:tc>
        <w:tc>
          <w:tcPr>
            <w:tcW w:w="2338" w:type="dxa"/>
            <w:gridSpan w:val="3"/>
            <w:tcBorders>
              <w:bottom w:val="single" w:sz="4" w:space="0" w:color="auto"/>
              <w:right w:val="single" w:sz="4" w:space="0" w:color="auto"/>
            </w:tcBorders>
            <w:noWrap/>
            <w:vAlign w:val="center"/>
            <w:hideMark/>
          </w:tcPr>
          <w:p w14:paraId="45F710CA" w14:textId="77777777" w:rsidR="007B7BB5" w:rsidRPr="008A7800" w:rsidRDefault="007B7BB5" w:rsidP="003B4065">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8"/>
                <w:szCs w:val="18"/>
                <w:lang w:eastAsia="en-US"/>
              </w:rPr>
            </w:pPr>
            <w:r w:rsidRPr="008A7800">
              <w:rPr>
                <w:rFonts w:eastAsiaTheme="minorEastAsia"/>
                <w:sz w:val="18"/>
                <w:szCs w:val="18"/>
              </w:rPr>
              <w:t>Wave 1</w:t>
            </w:r>
          </w:p>
        </w:tc>
        <w:tc>
          <w:tcPr>
            <w:tcW w:w="2338" w:type="dxa"/>
            <w:gridSpan w:val="3"/>
            <w:tcBorders>
              <w:left w:val="single" w:sz="4" w:space="0" w:color="auto"/>
              <w:bottom w:val="single" w:sz="4" w:space="0" w:color="auto"/>
            </w:tcBorders>
            <w:vAlign w:val="center"/>
          </w:tcPr>
          <w:p w14:paraId="324BFEF5" w14:textId="77777777" w:rsidR="007B7BB5" w:rsidRPr="008A7800" w:rsidRDefault="007B7BB5" w:rsidP="003B4065">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Wave 2</w:t>
            </w:r>
          </w:p>
        </w:tc>
        <w:tc>
          <w:tcPr>
            <w:tcW w:w="2303" w:type="dxa"/>
            <w:gridSpan w:val="3"/>
            <w:tcBorders>
              <w:left w:val="single" w:sz="4" w:space="0" w:color="auto"/>
              <w:bottom w:val="single" w:sz="4" w:space="0" w:color="auto"/>
            </w:tcBorders>
            <w:vAlign w:val="center"/>
          </w:tcPr>
          <w:p w14:paraId="2880D439" w14:textId="77777777" w:rsidR="007B7BB5" w:rsidRPr="008A7800" w:rsidRDefault="007B7BB5" w:rsidP="003B4065">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Wave 3</w:t>
            </w:r>
          </w:p>
        </w:tc>
        <w:tc>
          <w:tcPr>
            <w:tcW w:w="2253" w:type="dxa"/>
            <w:gridSpan w:val="3"/>
            <w:tcBorders>
              <w:left w:val="single" w:sz="4" w:space="0" w:color="auto"/>
              <w:bottom w:val="single" w:sz="4" w:space="0" w:color="auto"/>
            </w:tcBorders>
          </w:tcPr>
          <w:p w14:paraId="715A52AA" w14:textId="77777777" w:rsidR="007B7BB5" w:rsidRPr="008A7800" w:rsidRDefault="007B7BB5" w:rsidP="003B4065">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Wave 4</w:t>
            </w:r>
          </w:p>
        </w:tc>
      </w:tr>
      <w:tr w:rsidR="003B4065" w:rsidRPr="008A7800" w14:paraId="2F6D89F5" w14:textId="77777777" w:rsidTr="008A780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428" w:type="dxa"/>
            <w:vMerge/>
            <w:tcBorders>
              <w:bottom w:val="single" w:sz="4" w:space="0" w:color="auto"/>
            </w:tcBorders>
            <w:vAlign w:val="center"/>
            <w:hideMark/>
          </w:tcPr>
          <w:p w14:paraId="092336E0" w14:textId="77777777" w:rsidR="007B7BB5" w:rsidRPr="008A7800" w:rsidRDefault="007B7BB5" w:rsidP="003B4065">
            <w:pPr>
              <w:spacing w:before="20" w:after="20"/>
              <w:rPr>
                <w:rFonts w:eastAsiaTheme="minorEastAsia"/>
                <w:sz w:val="18"/>
                <w:szCs w:val="18"/>
                <w:lang w:eastAsia="en-US"/>
              </w:rPr>
            </w:pPr>
          </w:p>
        </w:tc>
        <w:tc>
          <w:tcPr>
            <w:tcW w:w="616" w:type="dxa"/>
            <w:tcBorders>
              <w:top w:val="single" w:sz="4" w:space="0" w:color="auto"/>
              <w:bottom w:val="single" w:sz="4" w:space="0" w:color="auto"/>
            </w:tcBorders>
            <w:noWrap/>
            <w:vAlign w:val="center"/>
            <w:hideMark/>
          </w:tcPr>
          <w:p w14:paraId="26FCEADF" w14:textId="77777777" w:rsidR="007B7BB5" w:rsidRPr="008A7800" w:rsidRDefault="007B7BB5"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rPr>
              <w:t>n</w:t>
            </w:r>
          </w:p>
        </w:tc>
        <w:tc>
          <w:tcPr>
            <w:tcW w:w="576" w:type="dxa"/>
            <w:tcBorders>
              <w:top w:val="single" w:sz="4" w:space="0" w:color="auto"/>
              <w:bottom w:val="single" w:sz="4" w:space="0" w:color="auto"/>
            </w:tcBorders>
            <w:noWrap/>
            <w:vAlign w:val="center"/>
            <w:hideMark/>
          </w:tcPr>
          <w:p w14:paraId="4FCB2907" w14:textId="77777777" w:rsidR="007B7BB5" w:rsidRPr="008A7800" w:rsidRDefault="007B7BB5"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rPr>
              <w:t>%</w:t>
            </w:r>
          </w:p>
        </w:tc>
        <w:tc>
          <w:tcPr>
            <w:tcW w:w="1146" w:type="dxa"/>
            <w:tcBorders>
              <w:top w:val="single" w:sz="4" w:space="0" w:color="auto"/>
              <w:bottom w:val="single" w:sz="4" w:space="0" w:color="auto"/>
              <w:right w:val="single" w:sz="4" w:space="0" w:color="auto"/>
            </w:tcBorders>
            <w:noWrap/>
            <w:vAlign w:val="center"/>
          </w:tcPr>
          <w:p w14:paraId="3FF1DE57" w14:textId="77777777" w:rsidR="007B7BB5" w:rsidRPr="008A7800" w:rsidRDefault="007B7BB5"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(95% CI)</w:t>
            </w:r>
          </w:p>
        </w:tc>
        <w:tc>
          <w:tcPr>
            <w:tcW w:w="616" w:type="dxa"/>
            <w:tcBorders>
              <w:top w:val="single" w:sz="4" w:space="0" w:color="auto"/>
              <w:left w:val="single" w:sz="4" w:space="0" w:color="auto"/>
              <w:bottom w:val="single" w:sz="4" w:space="0" w:color="auto"/>
            </w:tcBorders>
            <w:noWrap/>
            <w:vAlign w:val="center"/>
          </w:tcPr>
          <w:p w14:paraId="3CEB7F8E" w14:textId="77777777" w:rsidR="007B7BB5" w:rsidRPr="008A7800" w:rsidRDefault="007B7BB5"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n</w:t>
            </w:r>
          </w:p>
        </w:tc>
        <w:tc>
          <w:tcPr>
            <w:tcW w:w="576" w:type="dxa"/>
            <w:tcBorders>
              <w:top w:val="single" w:sz="4" w:space="0" w:color="auto"/>
              <w:bottom w:val="single" w:sz="4" w:space="0" w:color="auto"/>
            </w:tcBorders>
            <w:noWrap/>
            <w:vAlign w:val="center"/>
          </w:tcPr>
          <w:p w14:paraId="31893D28" w14:textId="77777777" w:rsidR="007B7BB5" w:rsidRPr="008A7800" w:rsidRDefault="007B7BB5"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w:t>
            </w:r>
          </w:p>
        </w:tc>
        <w:tc>
          <w:tcPr>
            <w:tcW w:w="1146" w:type="dxa"/>
            <w:tcBorders>
              <w:top w:val="single" w:sz="4" w:space="0" w:color="auto"/>
              <w:bottom w:val="single" w:sz="4" w:space="0" w:color="auto"/>
              <w:right w:val="single" w:sz="4" w:space="0" w:color="000000"/>
            </w:tcBorders>
            <w:shd w:val="clear" w:color="auto" w:fill="FFFFFF" w:themeFill="background1"/>
            <w:noWrap/>
            <w:vAlign w:val="center"/>
          </w:tcPr>
          <w:p w14:paraId="78FC07D0" w14:textId="77777777" w:rsidR="007B7BB5" w:rsidRPr="008A7800" w:rsidRDefault="007B7BB5"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8A7800">
              <w:rPr>
                <w:rFonts w:eastAsiaTheme="minorEastAsia"/>
                <w:sz w:val="18"/>
                <w:szCs w:val="18"/>
                <w:lang w:eastAsia="en-US"/>
              </w:rPr>
              <w:t>(95% CI)</w:t>
            </w:r>
          </w:p>
        </w:tc>
        <w:tc>
          <w:tcPr>
            <w:tcW w:w="599" w:type="dxa"/>
            <w:tcBorders>
              <w:top w:val="single" w:sz="4" w:space="0" w:color="auto"/>
              <w:left w:val="single" w:sz="4" w:space="0" w:color="000000"/>
              <w:bottom w:val="single" w:sz="4" w:space="0" w:color="auto"/>
            </w:tcBorders>
            <w:shd w:val="clear" w:color="auto" w:fill="FFFFFF" w:themeFill="background1"/>
            <w:vAlign w:val="center"/>
          </w:tcPr>
          <w:p w14:paraId="77C4A00F" w14:textId="77777777" w:rsidR="007B7BB5" w:rsidRPr="008A7800" w:rsidRDefault="007B7BB5"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n</w:t>
            </w:r>
          </w:p>
        </w:tc>
        <w:tc>
          <w:tcPr>
            <w:tcW w:w="558" w:type="dxa"/>
            <w:tcBorders>
              <w:top w:val="single" w:sz="4" w:space="0" w:color="auto"/>
              <w:bottom w:val="single" w:sz="4" w:space="0" w:color="auto"/>
            </w:tcBorders>
            <w:shd w:val="clear" w:color="auto" w:fill="FFFFFF" w:themeFill="background1"/>
            <w:vAlign w:val="center"/>
          </w:tcPr>
          <w:p w14:paraId="4D3D560F" w14:textId="77777777" w:rsidR="007B7BB5" w:rsidRPr="008A7800" w:rsidRDefault="007B7BB5"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w:t>
            </w:r>
          </w:p>
        </w:tc>
        <w:tc>
          <w:tcPr>
            <w:tcW w:w="1146" w:type="dxa"/>
            <w:tcBorders>
              <w:top w:val="single" w:sz="4" w:space="0" w:color="auto"/>
              <w:bottom w:val="single" w:sz="4" w:space="0" w:color="auto"/>
              <w:right w:val="single" w:sz="4" w:space="0" w:color="auto"/>
            </w:tcBorders>
            <w:shd w:val="clear" w:color="auto" w:fill="FFFFFF" w:themeFill="background1"/>
            <w:vAlign w:val="center"/>
          </w:tcPr>
          <w:p w14:paraId="451B6BF8" w14:textId="77777777" w:rsidR="007B7BB5" w:rsidRPr="008A7800" w:rsidRDefault="007B7BB5"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8A7800">
              <w:rPr>
                <w:rFonts w:eastAsiaTheme="minorEastAsia"/>
                <w:sz w:val="18"/>
                <w:szCs w:val="18"/>
                <w:lang w:eastAsia="en-US"/>
              </w:rPr>
              <w:t>(95% CI)</w:t>
            </w:r>
          </w:p>
        </w:tc>
        <w:tc>
          <w:tcPr>
            <w:tcW w:w="576" w:type="dxa"/>
            <w:tcBorders>
              <w:top w:val="single" w:sz="4" w:space="0" w:color="auto"/>
              <w:left w:val="single" w:sz="4" w:space="0" w:color="auto"/>
            </w:tcBorders>
            <w:vAlign w:val="center"/>
          </w:tcPr>
          <w:p w14:paraId="4809DFDC" w14:textId="77777777" w:rsidR="007B7BB5" w:rsidRPr="008A7800" w:rsidRDefault="007B7BB5"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Cs w:val="0"/>
                <w:sz w:val="18"/>
                <w:szCs w:val="18"/>
                <w:lang w:eastAsia="en-US"/>
              </w:rPr>
            </w:pPr>
            <w:r w:rsidRPr="008A7800">
              <w:rPr>
                <w:rFonts w:eastAsiaTheme="minorEastAsia"/>
                <w:bCs w:val="0"/>
                <w:sz w:val="18"/>
                <w:szCs w:val="18"/>
                <w:lang w:eastAsia="en-US"/>
              </w:rPr>
              <w:t>n</w:t>
            </w:r>
          </w:p>
        </w:tc>
        <w:tc>
          <w:tcPr>
            <w:tcW w:w="531" w:type="dxa"/>
            <w:tcBorders>
              <w:top w:val="single" w:sz="4" w:space="0" w:color="auto"/>
            </w:tcBorders>
            <w:vAlign w:val="center"/>
          </w:tcPr>
          <w:p w14:paraId="3DDDE1CD" w14:textId="77777777" w:rsidR="007B7BB5" w:rsidRPr="008A7800" w:rsidRDefault="007B7BB5"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t>
            </w:r>
          </w:p>
        </w:tc>
        <w:tc>
          <w:tcPr>
            <w:tcW w:w="1146" w:type="dxa"/>
            <w:tcBorders>
              <w:top w:val="single" w:sz="4" w:space="0" w:color="auto"/>
              <w:bottom w:val="single" w:sz="4" w:space="0" w:color="auto"/>
            </w:tcBorders>
            <w:shd w:val="clear" w:color="auto" w:fill="FFFFFF" w:themeFill="background1"/>
            <w:vAlign w:val="center"/>
          </w:tcPr>
          <w:p w14:paraId="042C3803" w14:textId="77777777" w:rsidR="007B7BB5" w:rsidRPr="008A7800" w:rsidRDefault="007B7BB5"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(95% CI)</w:t>
            </w:r>
          </w:p>
        </w:tc>
      </w:tr>
      <w:tr w:rsidR="003B4065" w:rsidRPr="008A7800" w14:paraId="1A036DD5"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428" w:type="dxa"/>
            <w:tcBorders>
              <w:top w:val="nil"/>
              <w:left w:val="nil"/>
              <w:bottom w:val="nil"/>
              <w:right w:val="nil"/>
            </w:tcBorders>
            <w:vAlign w:val="center"/>
            <w:hideMark/>
          </w:tcPr>
          <w:p w14:paraId="18523EB1" w14:textId="77777777" w:rsidR="007B7BB5" w:rsidRPr="008A7800" w:rsidRDefault="007B7BB5" w:rsidP="003B4065">
            <w:pPr>
              <w:spacing w:before="20" w:after="20"/>
              <w:rPr>
                <w:rFonts w:eastAsiaTheme="minorEastAsia"/>
                <w:sz w:val="18"/>
                <w:szCs w:val="18"/>
                <w:lang w:eastAsia="en-US"/>
              </w:rPr>
            </w:pPr>
            <w:r w:rsidRPr="008A7800">
              <w:rPr>
                <w:rFonts w:eastAsiaTheme="minorEastAsia"/>
                <w:sz w:val="18"/>
                <w:szCs w:val="18"/>
              </w:rPr>
              <w:t>Labour force status</w:t>
            </w:r>
          </w:p>
        </w:tc>
        <w:tc>
          <w:tcPr>
            <w:tcW w:w="616" w:type="dxa"/>
            <w:tcBorders>
              <w:top w:val="nil"/>
              <w:left w:val="nil"/>
              <w:bottom w:val="nil"/>
              <w:right w:val="nil"/>
            </w:tcBorders>
            <w:noWrap/>
            <w:vAlign w:val="center"/>
          </w:tcPr>
          <w:p w14:paraId="263BD91B" w14:textId="77777777" w:rsidR="007B7BB5" w:rsidRPr="008A7800" w:rsidRDefault="007B7BB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76" w:type="dxa"/>
            <w:tcBorders>
              <w:top w:val="nil"/>
              <w:left w:val="nil"/>
              <w:bottom w:val="nil"/>
              <w:right w:val="nil"/>
            </w:tcBorders>
            <w:noWrap/>
            <w:vAlign w:val="center"/>
          </w:tcPr>
          <w:p w14:paraId="61049B40" w14:textId="77777777" w:rsidR="007B7BB5" w:rsidRPr="008A7800" w:rsidRDefault="007B7BB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auto"/>
            </w:tcBorders>
            <w:noWrap/>
            <w:vAlign w:val="center"/>
          </w:tcPr>
          <w:p w14:paraId="08C4DA2B" w14:textId="77777777" w:rsidR="007B7BB5" w:rsidRPr="008A7800" w:rsidRDefault="007B7BB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16" w:type="dxa"/>
            <w:tcBorders>
              <w:top w:val="nil"/>
              <w:left w:val="single" w:sz="4" w:space="0" w:color="auto"/>
              <w:bottom w:val="nil"/>
              <w:right w:val="nil"/>
            </w:tcBorders>
            <w:noWrap/>
            <w:vAlign w:val="center"/>
          </w:tcPr>
          <w:p w14:paraId="02F25707" w14:textId="77777777" w:rsidR="007B7BB5" w:rsidRPr="008A7800" w:rsidRDefault="007B7BB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76" w:type="dxa"/>
            <w:tcBorders>
              <w:top w:val="nil"/>
              <w:left w:val="nil"/>
              <w:bottom w:val="nil"/>
              <w:right w:val="nil"/>
            </w:tcBorders>
            <w:noWrap/>
            <w:vAlign w:val="center"/>
          </w:tcPr>
          <w:p w14:paraId="26014BE3" w14:textId="77777777" w:rsidR="007B7BB5" w:rsidRPr="008A7800" w:rsidRDefault="007B7BB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FFFFFF" w:themeFill="background1"/>
            <w:noWrap/>
            <w:vAlign w:val="center"/>
          </w:tcPr>
          <w:p w14:paraId="1AC8FA9E" w14:textId="77777777" w:rsidR="007B7BB5" w:rsidRPr="008A7800" w:rsidRDefault="007B7BB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99" w:type="dxa"/>
            <w:tcBorders>
              <w:top w:val="nil"/>
              <w:left w:val="single" w:sz="4" w:space="0" w:color="000000"/>
              <w:bottom w:val="nil"/>
              <w:right w:val="nil"/>
            </w:tcBorders>
          </w:tcPr>
          <w:p w14:paraId="2B433DE4" w14:textId="77777777" w:rsidR="007B7BB5" w:rsidRPr="008A7800" w:rsidRDefault="007B7BB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58" w:type="dxa"/>
            <w:tcBorders>
              <w:top w:val="nil"/>
              <w:left w:val="nil"/>
              <w:bottom w:val="nil"/>
              <w:right w:val="nil"/>
            </w:tcBorders>
          </w:tcPr>
          <w:p w14:paraId="4DAA1A09" w14:textId="77777777" w:rsidR="007B7BB5" w:rsidRPr="008A7800" w:rsidRDefault="007B7BB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single" w:sz="4" w:space="0" w:color="auto"/>
            </w:tcBorders>
          </w:tcPr>
          <w:p w14:paraId="11B5ACAE" w14:textId="77777777" w:rsidR="007B7BB5" w:rsidRPr="008A7800" w:rsidRDefault="007B7BB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76" w:type="dxa"/>
            <w:tcBorders>
              <w:left w:val="single" w:sz="4" w:space="0" w:color="auto"/>
              <w:right w:val="nil"/>
            </w:tcBorders>
          </w:tcPr>
          <w:p w14:paraId="01AE47C9"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31" w:type="dxa"/>
            <w:tcBorders>
              <w:left w:val="nil"/>
              <w:right w:val="nil"/>
            </w:tcBorders>
          </w:tcPr>
          <w:p w14:paraId="1604A2D1"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nil"/>
            </w:tcBorders>
          </w:tcPr>
          <w:p w14:paraId="4AE6F9A1"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r>
      <w:tr w:rsidR="009118DA" w:rsidRPr="008A7800" w14:paraId="757EDEC2"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428" w:type="dxa"/>
            <w:tcBorders>
              <w:top w:val="nil"/>
              <w:left w:val="nil"/>
              <w:bottom w:val="nil"/>
              <w:right w:val="nil"/>
            </w:tcBorders>
            <w:vAlign w:val="center"/>
            <w:hideMark/>
          </w:tcPr>
          <w:p w14:paraId="10993DC7" w14:textId="77777777" w:rsidR="007B7BB5" w:rsidRPr="008A7800" w:rsidRDefault="007B7BB5" w:rsidP="007B7BB5">
            <w:pPr>
              <w:spacing w:before="20" w:after="20"/>
              <w:rPr>
                <w:rFonts w:eastAsiaTheme="minorEastAsia"/>
                <w:b w:val="0"/>
                <w:sz w:val="18"/>
                <w:szCs w:val="18"/>
                <w:lang w:eastAsia="en-US"/>
              </w:rPr>
            </w:pPr>
            <w:r w:rsidRPr="008A7800">
              <w:rPr>
                <w:rFonts w:eastAsiaTheme="minorEastAsia"/>
                <w:b w:val="0"/>
                <w:sz w:val="18"/>
                <w:szCs w:val="18"/>
              </w:rPr>
              <w:t xml:space="preserve">   Employed</w:t>
            </w:r>
          </w:p>
        </w:tc>
        <w:tc>
          <w:tcPr>
            <w:tcW w:w="616" w:type="dxa"/>
            <w:tcBorders>
              <w:top w:val="nil"/>
              <w:left w:val="nil"/>
              <w:bottom w:val="nil"/>
              <w:right w:val="nil"/>
            </w:tcBorders>
            <w:noWrap/>
            <w:vAlign w:val="center"/>
          </w:tcPr>
          <w:p w14:paraId="61E3B403"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4004</w:t>
            </w:r>
          </w:p>
        </w:tc>
        <w:tc>
          <w:tcPr>
            <w:tcW w:w="576" w:type="dxa"/>
            <w:tcBorders>
              <w:top w:val="nil"/>
              <w:left w:val="nil"/>
              <w:bottom w:val="nil"/>
              <w:right w:val="nil"/>
            </w:tcBorders>
            <w:noWrap/>
            <w:vAlign w:val="center"/>
          </w:tcPr>
          <w:p w14:paraId="777DC42F"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64.1</w:t>
            </w:r>
          </w:p>
        </w:tc>
        <w:tc>
          <w:tcPr>
            <w:tcW w:w="1146" w:type="dxa"/>
            <w:tcBorders>
              <w:top w:val="nil"/>
              <w:left w:val="nil"/>
              <w:bottom w:val="nil"/>
              <w:right w:val="single" w:sz="4" w:space="0" w:color="auto"/>
            </w:tcBorders>
            <w:noWrap/>
            <w:vAlign w:val="center"/>
          </w:tcPr>
          <w:p w14:paraId="2EDC2AE6"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(62.7, 65.5)</w:t>
            </w:r>
          </w:p>
        </w:tc>
        <w:tc>
          <w:tcPr>
            <w:tcW w:w="616" w:type="dxa"/>
            <w:tcBorders>
              <w:top w:val="nil"/>
              <w:left w:val="single" w:sz="4" w:space="0" w:color="auto"/>
              <w:bottom w:val="nil"/>
              <w:right w:val="nil"/>
            </w:tcBorders>
            <w:shd w:val="clear" w:color="auto" w:fill="auto"/>
            <w:noWrap/>
            <w:vAlign w:val="center"/>
          </w:tcPr>
          <w:p w14:paraId="4F667BB7"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2472</w:t>
            </w:r>
          </w:p>
        </w:tc>
        <w:tc>
          <w:tcPr>
            <w:tcW w:w="576" w:type="dxa"/>
            <w:tcBorders>
              <w:top w:val="nil"/>
              <w:left w:val="nil"/>
              <w:bottom w:val="nil"/>
              <w:right w:val="nil"/>
            </w:tcBorders>
            <w:shd w:val="clear" w:color="auto" w:fill="auto"/>
            <w:noWrap/>
            <w:vAlign w:val="center"/>
          </w:tcPr>
          <w:p w14:paraId="29A5043B"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66.0</w:t>
            </w:r>
          </w:p>
        </w:tc>
        <w:tc>
          <w:tcPr>
            <w:tcW w:w="1146" w:type="dxa"/>
            <w:tcBorders>
              <w:top w:val="nil"/>
              <w:left w:val="nil"/>
              <w:bottom w:val="nil"/>
              <w:right w:val="single" w:sz="4" w:space="0" w:color="000000"/>
            </w:tcBorders>
            <w:shd w:val="clear" w:color="auto" w:fill="auto"/>
            <w:noWrap/>
            <w:vAlign w:val="center"/>
          </w:tcPr>
          <w:p w14:paraId="3AA022BA"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(64.2, 67.8)</w:t>
            </w:r>
          </w:p>
        </w:tc>
        <w:tc>
          <w:tcPr>
            <w:tcW w:w="599" w:type="dxa"/>
            <w:tcBorders>
              <w:top w:val="nil"/>
              <w:left w:val="single" w:sz="4" w:space="0" w:color="000000"/>
              <w:bottom w:val="nil"/>
              <w:right w:val="nil"/>
            </w:tcBorders>
            <w:shd w:val="clear" w:color="auto" w:fill="FFFFFF" w:themeFill="background1"/>
            <w:vAlign w:val="center"/>
          </w:tcPr>
          <w:p w14:paraId="2C610480"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2079</w:t>
            </w:r>
          </w:p>
        </w:tc>
        <w:tc>
          <w:tcPr>
            <w:tcW w:w="558" w:type="dxa"/>
            <w:tcBorders>
              <w:top w:val="nil"/>
              <w:left w:val="nil"/>
              <w:bottom w:val="nil"/>
              <w:right w:val="nil"/>
            </w:tcBorders>
            <w:shd w:val="clear" w:color="auto" w:fill="FFFFFF" w:themeFill="background1"/>
            <w:vAlign w:val="center"/>
          </w:tcPr>
          <w:p w14:paraId="20F66E8E"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66.6</w:t>
            </w:r>
          </w:p>
        </w:tc>
        <w:tc>
          <w:tcPr>
            <w:tcW w:w="1146" w:type="dxa"/>
            <w:tcBorders>
              <w:top w:val="nil"/>
              <w:left w:val="nil"/>
              <w:bottom w:val="nil"/>
              <w:right w:val="single" w:sz="4" w:space="0" w:color="auto"/>
            </w:tcBorders>
            <w:shd w:val="clear" w:color="auto" w:fill="FFFFFF" w:themeFill="background1"/>
            <w:vAlign w:val="center"/>
          </w:tcPr>
          <w:p w14:paraId="28FBFF13"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(64.6, 68.5)</w:t>
            </w:r>
          </w:p>
        </w:tc>
        <w:tc>
          <w:tcPr>
            <w:tcW w:w="576" w:type="dxa"/>
            <w:tcBorders>
              <w:left w:val="single" w:sz="4" w:space="0" w:color="auto"/>
              <w:right w:val="nil"/>
            </w:tcBorders>
            <w:vAlign w:val="center"/>
          </w:tcPr>
          <w:p w14:paraId="66754C4C"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1844</w:t>
            </w:r>
          </w:p>
        </w:tc>
        <w:tc>
          <w:tcPr>
            <w:tcW w:w="531" w:type="dxa"/>
            <w:tcBorders>
              <w:left w:val="nil"/>
              <w:right w:val="nil"/>
            </w:tcBorders>
            <w:vAlign w:val="center"/>
          </w:tcPr>
          <w:p w14:paraId="3CFCFBFE"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66.6</w:t>
            </w:r>
          </w:p>
        </w:tc>
        <w:tc>
          <w:tcPr>
            <w:tcW w:w="1146" w:type="dxa"/>
            <w:tcBorders>
              <w:top w:val="nil"/>
              <w:left w:val="nil"/>
              <w:bottom w:val="nil"/>
              <w:right w:val="nil"/>
            </w:tcBorders>
            <w:shd w:val="clear" w:color="auto" w:fill="FFFFFF" w:themeFill="background1"/>
            <w:vAlign w:val="center"/>
          </w:tcPr>
          <w:p w14:paraId="505C06D4"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(64.5, 68.7)</w:t>
            </w:r>
          </w:p>
        </w:tc>
      </w:tr>
      <w:tr w:rsidR="009118DA" w:rsidRPr="008A7800" w14:paraId="2DECD46E"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428" w:type="dxa"/>
            <w:tcBorders>
              <w:top w:val="nil"/>
              <w:left w:val="nil"/>
              <w:bottom w:val="nil"/>
              <w:right w:val="nil"/>
            </w:tcBorders>
            <w:vAlign w:val="center"/>
            <w:hideMark/>
          </w:tcPr>
          <w:p w14:paraId="1F34C053" w14:textId="77777777" w:rsidR="007B7BB5" w:rsidRPr="008A7800" w:rsidRDefault="007B7BB5" w:rsidP="007B7BB5">
            <w:pPr>
              <w:spacing w:before="20" w:after="20"/>
              <w:rPr>
                <w:rFonts w:eastAsiaTheme="minorEastAsia"/>
                <w:b w:val="0"/>
                <w:sz w:val="18"/>
                <w:szCs w:val="18"/>
                <w:lang w:eastAsia="en-US"/>
              </w:rPr>
            </w:pPr>
            <w:r w:rsidRPr="008A7800">
              <w:rPr>
                <w:rFonts w:eastAsiaTheme="minorEastAsia"/>
                <w:b w:val="0"/>
                <w:sz w:val="18"/>
                <w:szCs w:val="18"/>
              </w:rPr>
              <w:t xml:space="preserve">   Unemployed</w:t>
            </w:r>
          </w:p>
        </w:tc>
        <w:tc>
          <w:tcPr>
            <w:tcW w:w="616" w:type="dxa"/>
            <w:tcBorders>
              <w:top w:val="nil"/>
              <w:left w:val="nil"/>
              <w:bottom w:val="nil"/>
              <w:right w:val="nil"/>
            </w:tcBorders>
            <w:noWrap/>
            <w:vAlign w:val="center"/>
          </w:tcPr>
          <w:p w14:paraId="45C2EFC4"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504</w:t>
            </w:r>
          </w:p>
        </w:tc>
        <w:tc>
          <w:tcPr>
            <w:tcW w:w="576" w:type="dxa"/>
            <w:tcBorders>
              <w:top w:val="nil"/>
              <w:left w:val="nil"/>
              <w:bottom w:val="nil"/>
              <w:right w:val="nil"/>
            </w:tcBorders>
            <w:noWrap/>
            <w:vAlign w:val="center"/>
          </w:tcPr>
          <w:p w14:paraId="62751435"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8.1</w:t>
            </w:r>
          </w:p>
        </w:tc>
        <w:tc>
          <w:tcPr>
            <w:tcW w:w="1146" w:type="dxa"/>
            <w:tcBorders>
              <w:top w:val="nil"/>
              <w:left w:val="nil"/>
              <w:bottom w:val="nil"/>
              <w:right w:val="single" w:sz="4" w:space="0" w:color="auto"/>
            </w:tcBorders>
            <w:noWrap/>
            <w:vAlign w:val="center"/>
          </w:tcPr>
          <w:p w14:paraId="40952592"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(7.3, 8.8)</w:t>
            </w:r>
          </w:p>
        </w:tc>
        <w:tc>
          <w:tcPr>
            <w:tcW w:w="616" w:type="dxa"/>
            <w:tcBorders>
              <w:top w:val="nil"/>
              <w:left w:val="single" w:sz="4" w:space="0" w:color="auto"/>
              <w:bottom w:val="nil"/>
              <w:right w:val="nil"/>
            </w:tcBorders>
            <w:shd w:val="clear" w:color="auto" w:fill="auto"/>
            <w:noWrap/>
            <w:vAlign w:val="center"/>
          </w:tcPr>
          <w:p w14:paraId="34CF3698"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274</w:t>
            </w:r>
          </w:p>
        </w:tc>
        <w:tc>
          <w:tcPr>
            <w:tcW w:w="576" w:type="dxa"/>
            <w:tcBorders>
              <w:top w:val="nil"/>
              <w:left w:val="nil"/>
              <w:bottom w:val="nil"/>
              <w:right w:val="nil"/>
            </w:tcBorders>
            <w:shd w:val="clear" w:color="auto" w:fill="auto"/>
            <w:noWrap/>
            <w:vAlign w:val="center"/>
          </w:tcPr>
          <w:p w14:paraId="0C6E35EC"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7.3</w:t>
            </w:r>
          </w:p>
        </w:tc>
        <w:tc>
          <w:tcPr>
            <w:tcW w:w="1146" w:type="dxa"/>
            <w:tcBorders>
              <w:top w:val="nil"/>
              <w:left w:val="nil"/>
              <w:bottom w:val="nil"/>
              <w:right w:val="single" w:sz="4" w:space="0" w:color="000000"/>
            </w:tcBorders>
            <w:shd w:val="clear" w:color="auto" w:fill="auto"/>
            <w:noWrap/>
            <w:vAlign w:val="center"/>
          </w:tcPr>
          <w:p w14:paraId="7B1743E5"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(6.3, 8.4)</w:t>
            </w:r>
          </w:p>
        </w:tc>
        <w:tc>
          <w:tcPr>
            <w:tcW w:w="599" w:type="dxa"/>
            <w:tcBorders>
              <w:top w:val="nil"/>
              <w:left w:val="single" w:sz="4" w:space="0" w:color="000000"/>
              <w:bottom w:val="nil"/>
              <w:right w:val="nil"/>
            </w:tcBorders>
            <w:shd w:val="clear" w:color="auto" w:fill="FFFFFF" w:themeFill="background1"/>
            <w:vAlign w:val="center"/>
          </w:tcPr>
          <w:p w14:paraId="4694ABFD"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191</w:t>
            </w:r>
          </w:p>
        </w:tc>
        <w:tc>
          <w:tcPr>
            <w:tcW w:w="558" w:type="dxa"/>
            <w:tcBorders>
              <w:top w:val="nil"/>
              <w:left w:val="nil"/>
              <w:bottom w:val="nil"/>
              <w:right w:val="nil"/>
            </w:tcBorders>
            <w:shd w:val="clear" w:color="auto" w:fill="FFFFFF" w:themeFill="background1"/>
            <w:vAlign w:val="center"/>
          </w:tcPr>
          <w:p w14:paraId="5096F63B"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6.1</w:t>
            </w:r>
          </w:p>
        </w:tc>
        <w:tc>
          <w:tcPr>
            <w:tcW w:w="1146" w:type="dxa"/>
            <w:tcBorders>
              <w:top w:val="nil"/>
              <w:left w:val="nil"/>
              <w:bottom w:val="nil"/>
              <w:right w:val="single" w:sz="4" w:space="0" w:color="auto"/>
            </w:tcBorders>
            <w:shd w:val="clear" w:color="auto" w:fill="FFFFFF" w:themeFill="background1"/>
            <w:vAlign w:val="center"/>
          </w:tcPr>
          <w:p w14:paraId="4A710FCC"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(5.2, 7.0)</w:t>
            </w:r>
          </w:p>
        </w:tc>
        <w:tc>
          <w:tcPr>
            <w:tcW w:w="576" w:type="dxa"/>
            <w:tcBorders>
              <w:left w:val="single" w:sz="4" w:space="0" w:color="auto"/>
              <w:right w:val="nil"/>
            </w:tcBorders>
            <w:vAlign w:val="center"/>
          </w:tcPr>
          <w:p w14:paraId="6E77E132"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190</w:t>
            </w:r>
          </w:p>
        </w:tc>
        <w:tc>
          <w:tcPr>
            <w:tcW w:w="531" w:type="dxa"/>
            <w:tcBorders>
              <w:left w:val="nil"/>
              <w:right w:val="nil"/>
            </w:tcBorders>
            <w:vAlign w:val="center"/>
          </w:tcPr>
          <w:p w14:paraId="08071E13"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6.9</w:t>
            </w:r>
          </w:p>
        </w:tc>
        <w:tc>
          <w:tcPr>
            <w:tcW w:w="1146" w:type="dxa"/>
            <w:tcBorders>
              <w:top w:val="nil"/>
              <w:left w:val="nil"/>
              <w:bottom w:val="nil"/>
              <w:right w:val="nil"/>
            </w:tcBorders>
            <w:shd w:val="clear" w:color="auto" w:fill="FFFFFF" w:themeFill="background1"/>
            <w:vAlign w:val="center"/>
          </w:tcPr>
          <w:p w14:paraId="14196964"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(5.7, 8.0)</w:t>
            </w:r>
          </w:p>
        </w:tc>
      </w:tr>
      <w:tr w:rsidR="009118DA" w:rsidRPr="008A7800" w14:paraId="13A304DC"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428" w:type="dxa"/>
            <w:tcBorders>
              <w:top w:val="nil"/>
              <w:left w:val="nil"/>
              <w:bottom w:val="nil"/>
              <w:right w:val="nil"/>
            </w:tcBorders>
            <w:vAlign w:val="center"/>
            <w:hideMark/>
          </w:tcPr>
          <w:p w14:paraId="719E5527" w14:textId="77777777" w:rsidR="007B7BB5" w:rsidRPr="008A7800" w:rsidRDefault="007B7BB5" w:rsidP="007B7BB5">
            <w:pPr>
              <w:spacing w:before="20" w:after="20"/>
              <w:rPr>
                <w:rFonts w:eastAsiaTheme="minorEastAsia"/>
                <w:b w:val="0"/>
                <w:sz w:val="18"/>
                <w:szCs w:val="18"/>
                <w:lang w:eastAsia="en-US"/>
              </w:rPr>
            </w:pPr>
            <w:r w:rsidRPr="008A7800">
              <w:rPr>
                <w:rFonts w:eastAsiaTheme="minorEastAsia"/>
                <w:b w:val="0"/>
                <w:sz w:val="18"/>
                <w:szCs w:val="18"/>
              </w:rPr>
              <w:t xml:space="preserve">   Student/Homemaker/Retired</w:t>
            </w:r>
          </w:p>
        </w:tc>
        <w:tc>
          <w:tcPr>
            <w:tcW w:w="616" w:type="dxa"/>
            <w:tcBorders>
              <w:top w:val="nil"/>
              <w:left w:val="nil"/>
              <w:bottom w:val="nil"/>
              <w:right w:val="nil"/>
            </w:tcBorders>
            <w:noWrap/>
            <w:vAlign w:val="center"/>
          </w:tcPr>
          <w:p w14:paraId="6235A729"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1705</w:t>
            </w:r>
          </w:p>
        </w:tc>
        <w:tc>
          <w:tcPr>
            <w:tcW w:w="576" w:type="dxa"/>
            <w:tcBorders>
              <w:top w:val="nil"/>
              <w:left w:val="nil"/>
              <w:bottom w:val="nil"/>
              <w:right w:val="nil"/>
            </w:tcBorders>
            <w:noWrap/>
            <w:vAlign w:val="center"/>
          </w:tcPr>
          <w:p w14:paraId="3F5AC29C"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27.3</w:t>
            </w:r>
          </w:p>
        </w:tc>
        <w:tc>
          <w:tcPr>
            <w:tcW w:w="1146" w:type="dxa"/>
            <w:tcBorders>
              <w:top w:val="nil"/>
              <w:left w:val="nil"/>
              <w:bottom w:val="nil"/>
              <w:right w:val="single" w:sz="4" w:space="0" w:color="auto"/>
            </w:tcBorders>
            <w:noWrap/>
            <w:vAlign w:val="center"/>
          </w:tcPr>
          <w:p w14:paraId="17E8B809"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(26.0, 28.6)</w:t>
            </w:r>
          </w:p>
        </w:tc>
        <w:tc>
          <w:tcPr>
            <w:tcW w:w="616" w:type="dxa"/>
            <w:tcBorders>
              <w:top w:val="nil"/>
              <w:left w:val="single" w:sz="4" w:space="0" w:color="auto"/>
              <w:bottom w:val="nil"/>
              <w:right w:val="nil"/>
            </w:tcBorders>
            <w:shd w:val="clear" w:color="auto" w:fill="auto"/>
            <w:noWrap/>
            <w:vAlign w:val="center"/>
          </w:tcPr>
          <w:p w14:paraId="55E8F12F"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987</w:t>
            </w:r>
          </w:p>
        </w:tc>
        <w:tc>
          <w:tcPr>
            <w:tcW w:w="576" w:type="dxa"/>
            <w:tcBorders>
              <w:top w:val="nil"/>
              <w:left w:val="nil"/>
              <w:bottom w:val="nil"/>
              <w:right w:val="nil"/>
            </w:tcBorders>
            <w:shd w:val="clear" w:color="auto" w:fill="auto"/>
            <w:noWrap/>
            <w:vAlign w:val="center"/>
          </w:tcPr>
          <w:p w14:paraId="64796F97"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26.4</w:t>
            </w:r>
          </w:p>
        </w:tc>
        <w:tc>
          <w:tcPr>
            <w:tcW w:w="1146" w:type="dxa"/>
            <w:tcBorders>
              <w:top w:val="nil"/>
              <w:left w:val="nil"/>
              <w:bottom w:val="nil"/>
              <w:right w:val="single" w:sz="4" w:space="0" w:color="000000"/>
            </w:tcBorders>
            <w:shd w:val="clear" w:color="auto" w:fill="auto"/>
            <w:noWrap/>
            <w:vAlign w:val="center"/>
          </w:tcPr>
          <w:p w14:paraId="21BAD3B1"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(24.7, 28.0)</w:t>
            </w:r>
          </w:p>
        </w:tc>
        <w:tc>
          <w:tcPr>
            <w:tcW w:w="599" w:type="dxa"/>
            <w:tcBorders>
              <w:top w:val="nil"/>
              <w:left w:val="single" w:sz="4" w:space="0" w:color="000000"/>
              <w:bottom w:val="nil"/>
              <w:right w:val="nil"/>
            </w:tcBorders>
            <w:shd w:val="clear" w:color="auto" w:fill="FFFFFF" w:themeFill="background1"/>
            <w:vAlign w:val="center"/>
          </w:tcPr>
          <w:p w14:paraId="1757ECFE"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842</w:t>
            </w:r>
          </w:p>
        </w:tc>
        <w:tc>
          <w:tcPr>
            <w:tcW w:w="558" w:type="dxa"/>
            <w:tcBorders>
              <w:top w:val="nil"/>
              <w:left w:val="nil"/>
              <w:bottom w:val="nil"/>
              <w:right w:val="nil"/>
            </w:tcBorders>
            <w:shd w:val="clear" w:color="auto" w:fill="FFFFFF" w:themeFill="background1"/>
            <w:vAlign w:val="center"/>
          </w:tcPr>
          <w:p w14:paraId="232B8EE3"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27.0</w:t>
            </w:r>
          </w:p>
        </w:tc>
        <w:tc>
          <w:tcPr>
            <w:tcW w:w="1146" w:type="dxa"/>
            <w:tcBorders>
              <w:top w:val="nil"/>
              <w:left w:val="nil"/>
              <w:bottom w:val="nil"/>
              <w:right w:val="single" w:sz="4" w:space="0" w:color="auto"/>
            </w:tcBorders>
            <w:shd w:val="clear" w:color="auto" w:fill="FFFFFF" w:themeFill="background1"/>
            <w:vAlign w:val="center"/>
          </w:tcPr>
          <w:p w14:paraId="5915604C"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(25.2, 28.8)</w:t>
            </w:r>
          </w:p>
        </w:tc>
        <w:tc>
          <w:tcPr>
            <w:tcW w:w="576" w:type="dxa"/>
            <w:tcBorders>
              <w:left w:val="single" w:sz="4" w:space="0" w:color="auto"/>
              <w:right w:val="nil"/>
            </w:tcBorders>
            <w:vAlign w:val="center"/>
          </w:tcPr>
          <w:p w14:paraId="241C288A"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736</w:t>
            </w:r>
          </w:p>
        </w:tc>
        <w:tc>
          <w:tcPr>
            <w:tcW w:w="531" w:type="dxa"/>
            <w:tcBorders>
              <w:left w:val="nil"/>
              <w:right w:val="nil"/>
            </w:tcBorders>
            <w:vAlign w:val="center"/>
          </w:tcPr>
          <w:p w14:paraId="674C034F"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26.6</w:t>
            </w:r>
          </w:p>
        </w:tc>
        <w:tc>
          <w:tcPr>
            <w:tcW w:w="1146" w:type="dxa"/>
            <w:tcBorders>
              <w:top w:val="nil"/>
              <w:left w:val="nil"/>
              <w:bottom w:val="nil"/>
              <w:right w:val="nil"/>
            </w:tcBorders>
            <w:shd w:val="clear" w:color="auto" w:fill="FFFFFF" w:themeFill="background1"/>
            <w:vAlign w:val="center"/>
          </w:tcPr>
          <w:p w14:paraId="6A27CAFC"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(24.7, 28.5)</w:t>
            </w:r>
          </w:p>
        </w:tc>
      </w:tr>
      <w:tr w:rsidR="003B4065" w:rsidRPr="008A7800" w14:paraId="3A266221"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428" w:type="dxa"/>
            <w:tcBorders>
              <w:top w:val="nil"/>
              <w:left w:val="nil"/>
              <w:bottom w:val="nil"/>
              <w:right w:val="nil"/>
            </w:tcBorders>
            <w:vAlign w:val="center"/>
          </w:tcPr>
          <w:p w14:paraId="6FFE2131" w14:textId="77777777" w:rsidR="007B7BB5" w:rsidRPr="008A7800" w:rsidRDefault="007B7BB5" w:rsidP="007B7BB5">
            <w:pPr>
              <w:spacing w:before="20" w:after="20"/>
              <w:rPr>
                <w:rFonts w:eastAsiaTheme="minorEastAsia"/>
                <w:b w:val="0"/>
                <w:sz w:val="18"/>
                <w:szCs w:val="18"/>
              </w:rPr>
            </w:pPr>
            <w:r w:rsidRPr="008A7800">
              <w:rPr>
                <w:rFonts w:eastAsiaTheme="minorEastAsia"/>
                <w:b w:val="0"/>
                <w:sz w:val="18"/>
                <w:szCs w:val="18"/>
              </w:rPr>
              <w:t xml:space="preserve">   Other</w:t>
            </w:r>
          </w:p>
        </w:tc>
        <w:tc>
          <w:tcPr>
            <w:tcW w:w="616" w:type="dxa"/>
            <w:tcBorders>
              <w:top w:val="nil"/>
              <w:left w:val="nil"/>
              <w:bottom w:val="nil"/>
              <w:right w:val="nil"/>
            </w:tcBorders>
            <w:noWrap/>
            <w:vAlign w:val="center"/>
          </w:tcPr>
          <w:p w14:paraId="034C5AA0"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36</w:t>
            </w:r>
          </w:p>
        </w:tc>
        <w:tc>
          <w:tcPr>
            <w:tcW w:w="576" w:type="dxa"/>
            <w:tcBorders>
              <w:top w:val="nil"/>
              <w:left w:val="nil"/>
              <w:bottom w:val="nil"/>
              <w:right w:val="nil"/>
            </w:tcBorders>
            <w:noWrap/>
            <w:vAlign w:val="center"/>
          </w:tcPr>
          <w:p w14:paraId="233D6F7D"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0.6</w:t>
            </w:r>
          </w:p>
        </w:tc>
        <w:tc>
          <w:tcPr>
            <w:tcW w:w="1146" w:type="dxa"/>
            <w:tcBorders>
              <w:top w:val="nil"/>
              <w:left w:val="nil"/>
              <w:bottom w:val="nil"/>
              <w:right w:val="single" w:sz="4" w:space="0" w:color="auto"/>
            </w:tcBorders>
            <w:noWrap/>
            <w:vAlign w:val="center"/>
          </w:tcPr>
          <w:p w14:paraId="06EACD35"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(0.3, 0.8)</w:t>
            </w:r>
          </w:p>
        </w:tc>
        <w:tc>
          <w:tcPr>
            <w:tcW w:w="616" w:type="dxa"/>
            <w:tcBorders>
              <w:top w:val="nil"/>
              <w:left w:val="single" w:sz="4" w:space="0" w:color="auto"/>
              <w:bottom w:val="nil"/>
              <w:right w:val="nil"/>
            </w:tcBorders>
            <w:shd w:val="clear" w:color="auto" w:fill="auto"/>
            <w:noWrap/>
            <w:vAlign w:val="center"/>
          </w:tcPr>
          <w:p w14:paraId="78CF169C"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w:t>
            </w:r>
          </w:p>
        </w:tc>
        <w:tc>
          <w:tcPr>
            <w:tcW w:w="576" w:type="dxa"/>
            <w:tcBorders>
              <w:top w:val="nil"/>
              <w:left w:val="nil"/>
              <w:bottom w:val="nil"/>
              <w:right w:val="nil"/>
            </w:tcBorders>
            <w:shd w:val="clear" w:color="auto" w:fill="auto"/>
            <w:noWrap/>
            <w:vAlign w:val="center"/>
          </w:tcPr>
          <w:p w14:paraId="3BA34CE4"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0.3</w:t>
            </w:r>
          </w:p>
        </w:tc>
        <w:tc>
          <w:tcPr>
            <w:tcW w:w="1146" w:type="dxa"/>
            <w:tcBorders>
              <w:top w:val="nil"/>
              <w:left w:val="nil"/>
              <w:bottom w:val="nil"/>
              <w:right w:val="single" w:sz="4" w:space="0" w:color="000000"/>
            </w:tcBorders>
            <w:shd w:val="clear" w:color="auto" w:fill="auto"/>
            <w:noWrap/>
            <w:vAlign w:val="center"/>
          </w:tcPr>
          <w:p w14:paraId="02C9A82A"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(0.2, 0.5)</w:t>
            </w:r>
          </w:p>
        </w:tc>
        <w:tc>
          <w:tcPr>
            <w:tcW w:w="599" w:type="dxa"/>
            <w:tcBorders>
              <w:top w:val="nil"/>
              <w:left w:val="single" w:sz="4" w:space="0" w:color="000000"/>
              <w:bottom w:val="nil"/>
              <w:right w:val="nil"/>
            </w:tcBorders>
            <w:vAlign w:val="center"/>
          </w:tcPr>
          <w:p w14:paraId="0D4504DD"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w:t>
            </w:r>
          </w:p>
        </w:tc>
        <w:tc>
          <w:tcPr>
            <w:tcW w:w="558" w:type="dxa"/>
            <w:tcBorders>
              <w:top w:val="nil"/>
              <w:left w:val="nil"/>
              <w:bottom w:val="nil"/>
              <w:right w:val="nil"/>
            </w:tcBorders>
            <w:vAlign w:val="center"/>
          </w:tcPr>
          <w:p w14:paraId="2BD84F35"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0.4</w:t>
            </w:r>
          </w:p>
        </w:tc>
        <w:tc>
          <w:tcPr>
            <w:tcW w:w="1146" w:type="dxa"/>
            <w:tcBorders>
              <w:top w:val="nil"/>
              <w:left w:val="nil"/>
              <w:bottom w:val="nil"/>
              <w:right w:val="single" w:sz="4" w:space="0" w:color="auto"/>
            </w:tcBorders>
            <w:vAlign w:val="center"/>
          </w:tcPr>
          <w:p w14:paraId="24636236"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(0.1, 0.6)</w:t>
            </w:r>
          </w:p>
        </w:tc>
        <w:tc>
          <w:tcPr>
            <w:tcW w:w="576" w:type="dxa"/>
            <w:tcBorders>
              <w:left w:val="single" w:sz="4" w:space="0" w:color="auto"/>
              <w:right w:val="nil"/>
            </w:tcBorders>
            <w:vAlign w:val="center"/>
          </w:tcPr>
          <w:p w14:paraId="13BB8487"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0</w:t>
            </w:r>
          </w:p>
        </w:tc>
        <w:tc>
          <w:tcPr>
            <w:tcW w:w="531" w:type="dxa"/>
            <w:tcBorders>
              <w:left w:val="nil"/>
              <w:right w:val="nil"/>
            </w:tcBorders>
            <w:vAlign w:val="center"/>
          </w:tcPr>
          <w:p w14:paraId="1BD7F524"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w:t>
            </w:r>
          </w:p>
        </w:tc>
        <w:tc>
          <w:tcPr>
            <w:tcW w:w="1146" w:type="dxa"/>
            <w:tcBorders>
              <w:top w:val="nil"/>
              <w:left w:val="nil"/>
              <w:bottom w:val="nil"/>
              <w:right w:val="nil"/>
            </w:tcBorders>
            <w:vAlign w:val="center"/>
          </w:tcPr>
          <w:p w14:paraId="46E429DA"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3B4065" w:rsidRPr="008A7800" w14:paraId="1D1BCAAA"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428" w:type="dxa"/>
            <w:tcBorders>
              <w:top w:val="nil"/>
              <w:left w:val="nil"/>
              <w:bottom w:val="nil"/>
              <w:right w:val="nil"/>
            </w:tcBorders>
            <w:vAlign w:val="center"/>
          </w:tcPr>
          <w:p w14:paraId="6D8F6A8C" w14:textId="77777777" w:rsidR="007B7BB5" w:rsidRPr="008A7800" w:rsidRDefault="007B7BB5" w:rsidP="007B7BB5">
            <w:pPr>
              <w:spacing w:before="20" w:after="60"/>
              <w:rPr>
                <w:rFonts w:eastAsiaTheme="minorEastAsia"/>
                <w:b w:val="0"/>
                <w:sz w:val="18"/>
                <w:szCs w:val="18"/>
              </w:rPr>
            </w:pPr>
            <w:r w:rsidRPr="008A7800">
              <w:rPr>
                <w:rFonts w:eastAsiaTheme="minorEastAsia"/>
                <w:b w:val="0"/>
                <w:sz w:val="18"/>
                <w:szCs w:val="18"/>
              </w:rPr>
              <w:t xml:space="preserve">   Not reported</w:t>
            </w:r>
          </w:p>
        </w:tc>
        <w:tc>
          <w:tcPr>
            <w:tcW w:w="616" w:type="dxa"/>
            <w:tcBorders>
              <w:top w:val="nil"/>
              <w:left w:val="nil"/>
              <w:bottom w:val="nil"/>
              <w:right w:val="nil"/>
            </w:tcBorders>
            <w:noWrap/>
            <w:vAlign w:val="center"/>
          </w:tcPr>
          <w:p w14:paraId="31F75F8B"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w:t>
            </w:r>
          </w:p>
        </w:tc>
        <w:tc>
          <w:tcPr>
            <w:tcW w:w="576" w:type="dxa"/>
            <w:tcBorders>
              <w:top w:val="nil"/>
              <w:left w:val="nil"/>
              <w:bottom w:val="nil"/>
              <w:right w:val="nil"/>
            </w:tcBorders>
            <w:noWrap/>
            <w:vAlign w:val="center"/>
          </w:tcPr>
          <w:p w14:paraId="7A191383"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t>
            </w:r>
          </w:p>
        </w:tc>
        <w:tc>
          <w:tcPr>
            <w:tcW w:w="1146" w:type="dxa"/>
            <w:tcBorders>
              <w:top w:val="nil"/>
              <w:left w:val="nil"/>
              <w:bottom w:val="nil"/>
              <w:right w:val="single" w:sz="4" w:space="0" w:color="auto"/>
            </w:tcBorders>
            <w:noWrap/>
            <w:vAlign w:val="center"/>
          </w:tcPr>
          <w:p w14:paraId="2F0E7563"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16" w:type="dxa"/>
            <w:tcBorders>
              <w:top w:val="nil"/>
              <w:left w:val="single" w:sz="4" w:space="0" w:color="auto"/>
              <w:bottom w:val="nil"/>
              <w:right w:val="nil"/>
            </w:tcBorders>
            <w:shd w:val="clear" w:color="auto" w:fill="auto"/>
            <w:noWrap/>
            <w:vAlign w:val="center"/>
          </w:tcPr>
          <w:p w14:paraId="58BA26EA"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w:t>
            </w:r>
          </w:p>
        </w:tc>
        <w:tc>
          <w:tcPr>
            <w:tcW w:w="576" w:type="dxa"/>
            <w:tcBorders>
              <w:top w:val="nil"/>
              <w:left w:val="nil"/>
              <w:bottom w:val="nil"/>
              <w:right w:val="nil"/>
            </w:tcBorders>
            <w:shd w:val="clear" w:color="auto" w:fill="auto"/>
            <w:noWrap/>
            <w:vAlign w:val="center"/>
          </w:tcPr>
          <w:p w14:paraId="7873B193"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t>
            </w:r>
          </w:p>
        </w:tc>
        <w:tc>
          <w:tcPr>
            <w:tcW w:w="1146" w:type="dxa"/>
            <w:tcBorders>
              <w:top w:val="nil"/>
              <w:left w:val="nil"/>
              <w:bottom w:val="nil"/>
              <w:right w:val="single" w:sz="4" w:space="0" w:color="000000"/>
            </w:tcBorders>
            <w:shd w:val="clear" w:color="auto" w:fill="auto"/>
            <w:noWrap/>
            <w:vAlign w:val="center"/>
          </w:tcPr>
          <w:p w14:paraId="09705B0D"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99" w:type="dxa"/>
            <w:tcBorders>
              <w:top w:val="nil"/>
              <w:left w:val="single" w:sz="4" w:space="0" w:color="000000"/>
              <w:bottom w:val="nil"/>
              <w:right w:val="nil"/>
            </w:tcBorders>
            <w:vAlign w:val="center"/>
          </w:tcPr>
          <w:p w14:paraId="3661C4EF"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w:t>
            </w:r>
          </w:p>
        </w:tc>
        <w:tc>
          <w:tcPr>
            <w:tcW w:w="558" w:type="dxa"/>
            <w:tcBorders>
              <w:top w:val="nil"/>
              <w:left w:val="nil"/>
              <w:bottom w:val="nil"/>
              <w:right w:val="nil"/>
            </w:tcBorders>
            <w:vAlign w:val="center"/>
          </w:tcPr>
          <w:p w14:paraId="5FCCDC0A"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t>
            </w:r>
          </w:p>
        </w:tc>
        <w:tc>
          <w:tcPr>
            <w:tcW w:w="1146" w:type="dxa"/>
            <w:tcBorders>
              <w:top w:val="nil"/>
              <w:left w:val="nil"/>
              <w:bottom w:val="nil"/>
              <w:right w:val="single" w:sz="4" w:space="0" w:color="auto"/>
            </w:tcBorders>
            <w:vAlign w:val="center"/>
          </w:tcPr>
          <w:p w14:paraId="512255F5"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76" w:type="dxa"/>
            <w:tcBorders>
              <w:left w:val="single" w:sz="4" w:space="0" w:color="auto"/>
              <w:right w:val="nil"/>
            </w:tcBorders>
            <w:vAlign w:val="center"/>
          </w:tcPr>
          <w:p w14:paraId="2D48682E"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0</w:t>
            </w:r>
          </w:p>
        </w:tc>
        <w:tc>
          <w:tcPr>
            <w:tcW w:w="531" w:type="dxa"/>
            <w:tcBorders>
              <w:left w:val="nil"/>
              <w:right w:val="nil"/>
            </w:tcBorders>
            <w:vAlign w:val="center"/>
          </w:tcPr>
          <w:p w14:paraId="4DD16DD3"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w:t>
            </w:r>
          </w:p>
        </w:tc>
        <w:tc>
          <w:tcPr>
            <w:tcW w:w="1146" w:type="dxa"/>
            <w:tcBorders>
              <w:top w:val="nil"/>
              <w:left w:val="nil"/>
              <w:bottom w:val="nil"/>
              <w:right w:val="nil"/>
            </w:tcBorders>
            <w:vAlign w:val="center"/>
          </w:tcPr>
          <w:p w14:paraId="766F0B92"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3B4065" w:rsidRPr="008A7800" w14:paraId="41959B8C"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428" w:type="dxa"/>
            <w:tcBorders>
              <w:top w:val="nil"/>
              <w:left w:val="nil"/>
              <w:bottom w:val="nil"/>
              <w:right w:val="nil"/>
            </w:tcBorders>
            <w:vAlign w:val="center"/>
            <w:hideMark/>
          </w:tcPr>
          <w:p w14:paraId="4E3AA184" w14:textId="77777777" w:rsidR="007B7BB5" w:rsidRPr="008A7800" w:rsidRDefault="007B7BB5" w:rsidP="003B4065">
            <w:pPr>
              <w:keepNext/>
              <w:spacing w:before="20" w:after="20"/>
              <w:rPr>
                <w:rFonts w:eastAsiaTheme="minorEastAsia"/>
                <w:sz w:val="18"/>
                <w:szCs w:val="18"/>
                <w:lang w:eastAsia="en-US"/>
              </w:rPr>
            </w:pPr>
            <w:r w:rsidRPr="008A7800">
              <w:rPr>
                <w:rFonts w:eastAsiaTheme="minorEastAsia"/>
                <w:sz w:val="18"/>
                <w:szCs w:val="18"/>
              </w:rPr>
              <w:t>Household size</w:t>
            </w:r>
          </w:p>
        </w:tc>
        <w:tc>
          <w:tcPr>
            <w:tcW w:w="616" w:type="dxa"/>
            <w:tcBorders>
              <w:top w:val="nil"/>
              <w:left w:val="nil"/>
              <w:bottom w:val="nil"/>
              <w:right w:val="nil"/>
            </w:tcBorders>
            <w:noWrap/>
            <w:vAlign w:val="center"/>
          </w:tcPr>
          <w:p w14:paraId="3A5322EA"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76" w:type="dxa"/>
            <w:tcBorders>
              <w:top w:val="nil"/>
              <w:left w:val="nil"/>
              <w:bottom w:val="nil"/>
              <w:right w:val="nil"/>
            </w:tcBorders>
            <w:noWrap/>
            <w:vAlign w:val="center"/>
          </w:tcPr>
          <w:p w14:paraId="226F3C4F"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auto"/>
            </w:tcBorders>
            <w:noWrap/>
            <w:vAlign w:val="center"/>
          </w:tcPr>
          <w:p w14:paraId="20695940"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16" w:type="dxa"/>
            <w:tcBorders>
              <w:top w:val="nil"/>
              <w:left w:val="single" w:sz="4" w:space="0" w:color="auto"/>
              <w:bottom w:val="nil"/>
              <w:right w:val="nil"/>
            </w:tcBorders>
            <w:noWrap/>
            <w:vAlign w:val="center"/>
          </w:tcPr>
          <w:p w14:paraId="0491A8B9"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76" w:type="dxa"/>
            <w:tcBorders>
              <w:top w:val="nil"/>
              <w:left w:val="nil"/>
              <w:bottom w:val="nil"/>
              <w:right w:val="nil"/>
            </w:tcBorders>
            <w:noWrap/>
            <w:vAlign w:val="center"/>
          </w:tcPr>
          <w:p w14:paraId="630264B9"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FFFFFF" w:themeFill="background1"/>
            <w:noWrap/>
            <w:vAlign w:val="center"/>
          </w:tcPr>
          <w:p w14:paraId="6DDEEACA"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99" w:type="dxa"/>
            <w:tcBorders>
              <w:top w:val="nil"/>
              <w:left w:val="single" w:sz="4" w:space="0" w:color="000000"/>
              <w:bottom w:val="nil"/>
              <w:right w:val="nil"/>
            </w:tcBorders>
            <w:vAlign w:val="center"/>
          </w:tcPr>
          <w:p w14:paraId="1BE24291"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58" w:type="dxa"/>
            <w:tcBorders>
              <w:top w:val="nil"/>
              <w:left w:val="nil"/>
              <w:bottom w:val="nil"/>
              <w:right w:val="nil"/>
            </w:tcBorders>
            <w:vAlign w:val="center"/>
          </w:tcPr>
          <w:p w14:paraId="52207FD4"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single" w:sz="4" w:space="0" w:color="auto"/>
            </w:tcBorders>
            <w:vAlign w:val="center"/>
          </w:tcPr>
          <w:p w14:paraId="43D4C8F9"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76" w:type="dxa"/>
            <w:tcBorders>
              <w:left w:val="single" w:sz="4" w:space="0" w:color="auto"/>
              <w:right w:val="nil"/>
            </w:tcBorders>
            <w:vAlign w:val="center"/>
          </w:tcPr>
          <w:p w14:paraId="552ED3F2" w14:textId="77777777" w:rsidR="007B7BB5" w:rsidRPr="008A7800" w:rsidRDefault="007B7BB5" w:rsidP="007B7BB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31" w:type="dxa"/>
            <w:tcBorders>
              <w:left w:val="nil"/>
              <w:right w:val="nil"/>
            </w:tcBorders>
            <w:vAlign w:val="center"/>
          </w:tcPr>
          <w:p w14:paraId="0085BC71" w14:textId="77777777" w:rsidR="007B7BB5" w:rsidRPr="008A7800" w:rsidRDefault="007B7BB5" w:rsidP="007B7BB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nil"/>
            </w:tcBorders>
            <w:vAlign w:val="center"/>
          </w:tcPr>
          <w:p w14:paraId="259AE024" w14:textId="77777777" w:rsidR="007B7BB5" w:rsidRPr="008A7800" w:rsidRDefault="007B7BB5" w:rsidP="007B7BB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r>
      <w:tr w:rsidR="009118DA" w:rsidRPr="008A7800" w14:paraId="7766C3DC"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428" w:type="dxa"/>
            <w:tcBorders>
              <w:top w:val="nil"/>
              <w:left w:val="nil"/>
              <w:bottom w:val="nil"/>
              <w:right w:val="nil"/>
            </w:tcBorders>
            <w:vAlign w:val="center"/>
            <w:hideMark/>
          </w:tcPr>
          <w:p w14:paraId="237D205E" w14:textId="77777777" w:rsidR="007B7BB5" w:rsidRPr="008A7800" w:rsidRDefault="007B7BB5" w:rsidP="007B7BB5">
            <w:pPr>
              <w:keepNext/>
              <w:spacing w:before="20" w:after="20"/>
              <w:ind w:left="176"/>
              <w:rPr>
                <w:rFonts w:eastAsiaTheme="minorEastAsia"/>
                <w:b w:val="0"/>
                <w:sz w:val="18"/>
                <w:szCs w:val="18"/>
                <w:lang w:eastAsia="en-US"/>
              </w:rPr>
            </w:pPr>
            <w:r w:rsidRPr="008A7800">
              <w:rPr>
                <w:rFonts w:eastAsiaTheme="minorEastAsia"/>
                <w:b w:val="0"/>
                <w:sz w:val="18"/>
                <w:szCs w:val="18"/>
              </w:rPr>
              <w:t>1</w:t>
            </w:r>
          </w:p>
        </w:tc>
        <w:tc>
          <w:tcPr>
            <w:tcW w:w="616" w:type="dxa"/>
            <w:tcBorders>
              <w:top w:val="nil"/>
              <w:left w:val="nil"/>
              <w:bottom w:val="nil"/>
              <w:right w:val="nil"/>
            </w:tcBorders>
            <w:noWrap/>
            <w:vAlign w:val="center"/>
          </w:tcPr>
          <w:p w14:paraId="124F717F"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606</w:t>
            </w:r>
          </w:p>
        </w:tc>
        <w:tc>
          <w:tcPr>
            <w:tcW w:w="576" w:type="dxa"/>
            <w:tcBorders>
              <w:top w:val="nil"/>
              <w:left w:val="nil"/>
              <w:bottom w:val="nil"/>
              <w:right w:val="nil"/>
            </w:tcBorders>
            <w:noWrap/>
            <w:vAlign w:val="center"/>
          </w:tcPr>
          <w:p w14:paraId="0CC1C339"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9.7</w:t>
            </w:r>
          </w:p>
        </w:tc>
        <w:tc>
          <w:tcPr>
            <w:tcW w:w="1146" w:type="dxa"/>
            <w:tcBorders>
              <w:top w:val="nil"/>
              <w:left w:val="nil"/>
              <w:bottom w:val="nil"/>
              <w:right w:val="single" w:sz="4" w:space="0" w:color="auto"/>
            </w:tcBorders>
            <w:noWrap/>
            <w:vAlign w:val="center"/>
          </w:tcPr>
          <w:p w14:paraId="006B0A06"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(9.1, 10.3)</w:t>
            </w:r>
          </w:p>
        </w:tc>
        <w:tc>
          <w:tcPr>
            <w:tcW w:w="616" w:type="dxa"/>
            <w:tcBorders>
              <w:top w:val="nil"/>
              <w:left w:val="single" w:sz="4" w:space="0" w:color="auto"/>
              <w:bottom w:val="nil"/>
              <w:right w:val="nil"/>
            </w:tcBorders>
            <w:noWrap/>
            <w:vAlign w:val="center"/>
          </w:tcPr>
          <w:p w14:paraId="256C3104"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361</w:t>
            </w:r>
          </w:p>
        </w:tc>
        <w:tc>
          <w:tcPr>
            <w:tcW w:w="576" w:type="dxa"/>
            <w:tcBorders>
              <w:top w:val="nil"/>
              <w:left w:val="nil"/>
              <w:bottom w:val="nil"/>
              <w:right w:val="nil"/>
            </w:tcBorders>
            <w:noWrap/>
            <w:vAlign w:val="center"/>
          </w:tcPr>
          <w:p w14:paraId="42A14012"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9.6</w:t>
            </w:r>
          </w:p>
        </w:tc>
        <w:tc>
          <w:tcPr>
            <w:tcW w:w="1146" w:type="dxa"/>
            <w:tcBorders>
              <w:top w:val="nil"/>
              <w:left w:val="nil"/>
              <w:bottom w:val="nil"/>
              <w:right w:val="single" w:sz="4" w:space="0" w:color="000000"/>
            </w:tcBorders>
            <w:shd w:val="clear" w:color="auto" w:fill="FFFFFF" w:themeFill="background1"/>
            <w:noWrap/>
            <w:vAlign w:val="center"/>
          </w:tcPr>
          <w:p w14:paraId="3F23BACF"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(8. 8, 10.5)</w:t>
            </w:r>
          </w:p>
        </w:tc>
        <w:tc>
          <w:tcPr>
            <w:tcW w:w="599" w:type="dxa"/>
            <w:tcBorders>
              <w:top w:val="nil"/>
              <w:left w:val="single" w:sz="4" w:space="0" w:color="000000"/>
              <w:bottom w:val="nil"/>
              <w:right w:val="nil"/>
            </w:tcBorders>
            <w:shd w:val="clear" w:color="auto" w:fill="FFFFFF" w:themeFill="background1"/>
            <w:vAlign w:val="center"/>
          </w:tcPr>
          <w:p w14:paraId="58C26546"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326</w:t>
            </w:r>
          </w:p>
        </w:tc>
        <w:tc>
          <w:tcPr>
            <w:tcW w:w="558" w:type="dxa"/>
            <w:tcBorders>
              <w:top w:val="nil"/>
              <w:left w:val="nil"/>
              <w:bottom w:val="nil"/>
              <w:right w:val="nil"/>
            </w:tcBorders>
            <w:shd w:val="clear" w:color="auto" w:fill="FFFFFF" w:themeFill="background1"/>
            <w:vAlign w:val="center"/>
          </w:tcPr>
          <w:p w14:paraId="34B4129C"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10.4</w:t>
            </w:r>
          </w:p>
        </w:tc>
        <w:tc>
          <w:tcPr>
            <w:tcW w:w="1146" w:type="dxa"/>
            <w:tcBorders>
              <w:top w:val="nil"/>
              <w:left w:val="nil"/>
              <w:bottom w:val="nil"/>
              <w:right w:val="single" w:sz="4" w:space="0" w:color="auto"/>
            </w:tcBorders>
            <w:shd w:val="clear" w:color="auto" w:fill="FFFFFF" w:themeFill="background1"/>
            <w:vAlign w:val="center"/>
          </w:tcPr>
          <w:p w14:paraId="7B3ABEE3"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(9.4, 11.4)</w:t>
            </w:r>
          </w:p>
        </w:tc>
        <w:tc>
          <w:tcPr>
            <w:tcW w:w="576" w:type="dxa"/>
            <w:tcBorders>
              <w:left w:val="single" w:sz="4" w:space="0" w:color="auto"/>
              <w:right w:val="nil"/>
            </w:tcBorders>
            <w:vAlign w:val="center"/>
          </w:tcPr>
          <w:p w14:paraId="17BA10F7"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294</w:t>
            </w:r>
          </w:p>
        </w:tc>
        <w:tc>
          <w:tcPr>
            <w:tcW w:w="531" w:type="dxa"/>
            <w:tcBorders>
              <w:left w:val="nil"/>
              <w:right w:val="nil"/>
            </w:tcBorders>
            <w:vAlign w:val="center"/>
          </w:tcPr>
          <w:p w14:paraId="58298901"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10.6</w:t>
            </w:r>
          </w:p>
        </w:tc>
        <w:tc>
          <w:tcPr>
            <w:tcW w:w="1146" w:type="dxa"/>
            <w:tcBorders>
              <w:top w:val="nil"/>
              <w:left w:val="nil"/>
              <w:bottom w:val="nil"/>
              <w:right w:val="nil"/>
            </w:tcBorders>
            <w:shd w:val="clear" w:color="auto" w:fill="FFFFFF" w:themeFill="background1"/>
            <w:vAlign w:val="center"/>
          </w:tcPr>
          <w:p w14:paraId="4C79CAD2"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(9.5, 11.7)</w:t>
            </w:r>
          </w:p>
        </w:tc>
      </w:tr>
      <w:tr w:rsidR="009118DA" w:rsidRPr="008A7800" w14:paraId="6CBC71A2"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428" w:type="dxa"/>
            <w:tcBorders>
              <w:top w:val="nil"/>
              <w:left w:val="nil"/>
              <w:bottom w:val="nil"/>
              <w:right w:val="nil"/>
            </w:tcBorders>
            <w:vAlign w:val="center"/>
            <w:hideMark/>
          </w:tcPr>
          <w:p w14:paraId="3C74CC81" w14:textId="77777777" w:rsidR="007B7BB5" w:rsidRPr="008A7800" w:rsidRDefault="007B7BB5" w:rsidP="007B7BB5">
            <w:pPr>
              <w:keepNext/>
              <w:spacing w:before="20" w:after="20"/>
              <w:ind w:left="176"/>
              <w:rPr>
                <w:rFonts w:eastAsiaTheme="minorEastAsia"/>
                <w:b w:val="0"/>
                <w:sz w:val="18"/>
                <w:szCs w:val="18"/>
                <w:lang w:eastAsia="en-US"/>
              </w:rPr>
            </w:pPr>
            <w:r w:rsidRPr="008A7800">
              <w:rPr>
                <w:rFonts w:eastAsiaTheme="minorEastAsia"/>
                <w:b w:val="0"/>
                <w:sz w:val="18"/>
                <w:szCs w:val="18"/>
              </w:rPr>
              <w:t>2</w:t>
            </w:r>
          </w:p>
        </w:tc>
        <w:tc>
          <w:tcPr>
            <w:tcW w:w="616" w:type="dxa"/>
            <w:tcBorders>
              <w:top w:val="nil"/>
              <w:left w:val="nil"/>
              <w:bottom w:val="nil"/>
              <w:right w:val="nil"/>
            </w:tcBorders>
            <w:noWrap/>
            <w:vAlign w:val="center"/>
          </w:tcPr>
          <w:p w14:paraId="67D634D2"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2168</w:t>
            </w:r>
          </w:p>
        </w:tc>
        <w:tc>
          <w:tcPr>
            <w:tcW w:w="576" w:type="dxa"/>
            <w:tcBorders>
              <w:top w:val="nil"/>
              <w:left w:val="nil"/>
              <w:bottom w:val="nil"/>
              <w:right w:val="nil"/>
            </w:tcBorders>
            <w:noWrap/>
            <w:vAlign w:val="center"/>
          </w:tcPr>
          <w:p w14:paraId="1FB552D4"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34.7</w:t>
            </w:r>
          </w:p>
        </w:tc>
        <w:tc>
          <w:tcPr>
            <w:tcW w:w="1146" w:type="dxa"/>
            <w:tcBorders>
              <w:top w:val="nil"/>
              <w:left w:val="nil"/>
              <w:bottom w:val="nil"/>
              <w:right w:val="single" w:sz="4" w:space="0" w:color="auto"/>
            </w:tcBorders>
            <w:noWrap/>
            <w:vAlign w:val="center"/>
          </w:tcPr>
          <w:p w14:paraId="0A375022"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(33.3, 36.1)</w:t>
            </w:r>
          </w:p>
        </w:tc>
        <w:tc>
          <w:tcPr>
            <w:tcW w:w="616" w:type="dxa"/>
            <w:tcBorders>
              <w:top w:val="nil"/>
              <w:left w:val="single" w:sz="4" w:space="0" w:color="auto"/>
              <w:bottom w:val="nil"/>
              <w:right w:val="nil"/>
            </w:tcBorders>
            <w:noWrap/>
            <w:vAlign w:val="center"/>
          </w:tcPr>
          <w:p w14:paraId="0709D5E9"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1310</w:t>
            </w:r>
          </w:p>
        </w:tc>
        <w:tc>
          <w:tcPr>
            <w:tcW w:w="576" w:type="dxa"/>
            <w:tcBorders>
              <w:top w:val="nil"/>
              <w:left w:val="nil"/>
              <w:bottom w:val="nil"/>
              <w:right w:val="nil"/>
            </w:tcBorders>
            <w:noWrap/>
            <w:vAlign w:val="center"/>
          </w:tcPr>
          <w:p w14:paraId="1F600FE8"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35.0</w:t>
            </w:r>
          </w:p>
        </w:tc>
        <w:tc>
          <w:tcPr>
            <w:tcW w:w="1146" w:type="dxa"/>
            <w:tcBorders>
              <w:top w:val="nil"/>
              <w:left w:val="nil"/>
              <w:bottom w:val="nil"/>
              <w:right w:val="single" w:sz="4" w:space="0" w:color="000000"/>
            </w:tcBorders>
            <w:shd w:val="clear" w:color="auto" w:fill="FFFFFF" w:themeFill="background1"/>
            <w:noWrap/>
            <w:vAlign w:val="center"/>
          </w:tcPr>
          <w:p w14:paraId="434EFCF7"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(33.2, 36.8)</w:t>
            </w:r>
          </w:p>
        </w:tc>
        <w:tc>
          <w:tcPr>
            <w:tcW w:w="599" w:type="dxa"/>
            <w:tcBorders>
              <w:top w:val="nil"/>
              <w:left w:val="single" w:sz="4" w:space="0" w:color="000000"/>
              <w:bottom w:val="nil"/>
              <w:right w:val="nil"/>
            </w:tcBorders>
            <w:shd w:val="clear" w:color="auto" w:fill="FFFFFF" w:themeFill="background1"/>
            <w:vAlign w:val="center"/>
          </w:tcPr>
          <w:p w14:paraId="484B66B9"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1063</w:t>
            </w:r>
          </w:p>
        </w:tc>
        <w:tc>
          <w:tcPr>
            <w:tcW w:w="558" w:type="dxa"/>
            <w:tcBorders>
              <w:top w:val="nil"/>
              <w:left w:val="nil"/>
              <w:bottom w:val="nil"/>
              <w:right w:val="nil"/>
            </w:tcBorders>
            <w:shd w:val="clear" w:color="auto" w:fill="FFFFFF" w:themeFill="background1"/>
            <w:vAlign w:val="center"/>
          </w:tcPr>
          <w:p w14:paraId="0FB09CA1"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34.1</w:t>
            </w:r>
          </w:p>
        </w:tc>
        <w:tc>
          <w:tcPr>
            <w:tcW w:w="1146" w:type="dxa"/>
            <w:tcBorders>
              <w:top w:val="nil"/>
              <w:left w:val="nil"/>
              <w:bottom w:val="nil"/>
              <w:right w:val="single" w:sz="4" w:space="0" w:color="auto"/>
            </w:tcBorders>
            <w:shd w:val="clear" w:color="auto" w:fill="FFFFFF" w:themeFill="background1"/>
            <w:vAlign w:val="center"/>
          </w:tcPr>
          <w:p w14:paraId="057582AA"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(32.1, 36.0)</w:t>
            </w:r>
          </w:p>
        </w:tc>
        <w:tc>
          <w:tcPr>
            <w:tcW w:w="576" w:type="dxa"/>
            <w:tcBorders>
              <w:left w:val="single" w:sz="4" w:space="0" w:color="auto"/>
              <w:right w:val="nil"/>
            </w:tcBorders>
            <w:vAlign w:val="center"/>
          </w:tcPr>
          <w:p w14:paraId="082273C0"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983</w:t>
            </w:r>
          </w:p>
        </w:tc>
        <w:tc>
          <w:tcPr>
            <w:tcW w:w="531" w:type="dxa"/>
            <w:tcBorders>
              <w:left w:val="nil"/>
              <w:right w:val="nil"/>
            </w:tcBorders>
            <w:vAlign w:val="center"/>
          </w:tcPr>
          <w:p w14:paraId="2CBF44DF"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35.5</w:t>
            </w:r>
          </w:p>
        </w:tc>
        <w:tc>
          <w:tcPr>
            <w:tcW w:w="1146" w:type="dxa"/>
            <w:tcBorders>
              <w:top w:val="nil"/>
              <w:left w:val="nil"/>
              <w:bottom w:val="nil"/>
              <w:right w:val="nil"/>
            </w:tcBorders>
            <w:shd w:val="clear" w:color="auto" w:fill="FFFFFF" w:themeFill="background1"/>
            <w:vAlign w:val="center"/>
          </w:tcPr>
          <w:p w14:paraId="40C1FAB9"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(33.3, 37.7)</w:t>
            </w:r>
          </w:p>
        </w:tc>
      </w:tr>
      <w:tr w:rsidR="009118DA" w:rsidRPr="008A7800" w14:paraId="593298B6"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428" w:type="dxa"/>
            <w:tcBorders>
              <w:top w:val="nil"/>
              <w:left w:val="nil"/>
              <w:bottom w:val="nil"/>
              <w:right w:val="nil"/>
            </w:tcBorders>
            <w:vAlign w:val="center"/>
            <w:hideMark/>
          </w:tcPr>
          <w:p w14:paraId="1460394F" w14:textId="77777777" w:rsidR="007B7BB5" w:rsidRPr="008A7800" w:rsidRDefault="007B7BB5" w:rsidP="007B7BB5">
            <w:pPr>
              <w:keepNext/>
              <w:spacing w:before="20" w:after="20"/>
              <w:ind w:left="176"/>
              <w:rPr>
                <w:rFonts w:eastAsiaTheme="minorEastAsia"/>
                <w:b w:val="0"/>
                <w:sz w:val="18"/>
                <w:szCs w:val="18"/>
                <w:lang w:eastAsia="en-US"/>
              </w:rPr>
            </w:pPr>
            <w:r w:rsidRPr="008A7800">
              <w:rPr>
                <w:rFonts w:eastAsiaTheme="minorEastAsia"/>
                <w:b w:val="0"/>
                <w:sz w:val="18"/>
                <w:szCs w:val="18"/>
              </w:rPr>
              <w:t>3</w:t>
            </w:r>
          </w:p>
        </w:tc>
        <w:tc>
          <w:tcPr>
            <w:tcW w:w="616" w:type="dxa"/>
            <w:tcBorders>
              <w:top w:val="nil"/>
              <w:left w:val="nil"/>
              <w:bottom w:val="nil"/>
              <w:right w:val="nil"/>
            </w:tcBorders>
            <w:noWrap/>
            <w:vAlign w:val="center"/>
          </w:tcPr>
          <w:p w14:paraId="4A833D14"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1087</w:t>
            </w:r>
          </w:p>
        </w:tc>
        <w:tc>
          <w:tcPr>
            <w:tcW w:w="576" w:type="dxa"/>
            <w:tcBorders>
              <w:top w:val="nil"/>
              <w:left w:val="nil"/>
              <w:bottom w:val="nil"/>
              <w:right w:val="nil"/>
            </w:tcBorders>
            <w:noWrap/>
            <w:vAlign w:val="center"/>
          </w:tcPr>
          <w:p w14:paraId="27CAF6A4"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17.4</w:t>
            </w:r>
          </w:p>
        </w:tc>
        <w:tc>
          <w:tcPr>
            <w:tcW w:w="1146" w:type="dxa"/>
            <w:tcBorders>
              <w:top w:val="nil"/>
              <w:left w:val="nil"/>
              <w:bottom w:val="nil"/>
              <w:right w:val="single" w:sz="4" w:space="0" w:color="auto"/>
            </w:tcBorders>
            <w:noWrap/>
            <w:vAlign w:val="center"/>
          </w:tcPr>
          <w:p w14:paraId="3064CB45"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(16.3, 18.5)</w:t>
            </w:r>
          </w:p>
        </w:tc>
        <w:tc>
          <w:tcPr>
            <w:tcW w:w="616" w:type="dxa"/>
            <w:tcBorders>
              <w:top w:val="nil"/>
              <w:left w:val="single" w:sz="4" w:space="0" w:color="auto"/>
              <w:bottom w:val="nil"/>
              <w:right w:val="nil"/>
            </w:tcBorders>
            <w:noWrap/>
            <w:vAlign w:val="center"/>
          </w:tcPr>
          <w:p w14:paraId="25D6D9CE"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712</w:t>
            </w:r>
          </w:p>
        </w:tc>
        <w:tc>
          <w:tcPr>
            <w:tcW w:w="576" w:type="dxa"/>
            <w:tcBorders>
              <w:top w:val="nil"/>
              <w:left w:val="nil"/>
              <w:bottom w:val="nil"/>
              <w:right w:val="nil"/>
            </w:tcBorders>
            <w:noWrap/>
            <w:vAlign w:val="center"/>
          </w:tcPr>
          <w:p w14:paraId="3E6E6F1B"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19.0</w:t>
            </w:r>
          </w:p>
        </w:tc>
        <w:tc>
          <w:tcPr>
            <w:tcW w:w="1146" w:type="dxa"/>
            <w:tcBorders>
              <w:top w:val="nil"/>
              <w:left w:val="nil"/>
              <w:bottom w:val="nil"/>
              <w:right w:val="single" w:sz="4" w:space="0" w:color="000000"/>
            </w:tcBorders>
            <w:shd w:val="clear" w:color="auto" w:fill="FFFFFF" w:themeFill="background1"/>
            <w:noWrap/>
            <w:vAlign w:val="center"/>
          </w:tcPr>
          <w:p w14:paraId="2DA92C49"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(17.5, 20.6)</w:t>
            </w:r>
          </w:p>
        </w:tc>
        <w:tc>
          <w:tcPr>
            <w:tcW w:w="599" w:type="dxa"/>
            <w:tcBorders>
              <w:top w:val="nil"/>
              <w:left w:val="single" w:sz="4" w:space="0" w:color="000000"/>
              <w:bottom w:val="nil"/>
              <w:right w:val="nil"/>
            </w:tcBorders>
            <w:shd w:val="clear" w:color="auto" w:fill="FFFFFF" w:themeFill="background1"/>
            <w:vAlign w:val="center"/>
          </w:tcPr>
          <w:p w14:paraId="4E14BF51"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559</w:t>
            </w:r>
          </w:p>
        </w:tc>
        <w:tc>
          <w:tcPr>
            <w:tcW w:w="558" w:type="dxa"/>
            <w:tcBorders>
              <w:top w:val="nil"/>
              <w:left w:val="nil"/>
              <w:bottom w:val="nil"/>
              <w:right w:val="nil"/>
            </w:tcBorders>
            <w:shd w:val="clear" w:color="auto" w:fill="FFFFFF" w:themeFill="background1"/>
            <w:vAlign w:val="center"/>
          </w:tcPr>
          <w:p w14:paraId="0CFC5541"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17.9</w:t>
            </w:r>
          </w:p>
        </w:tc>
        <w:tc>
          <w:tcPr>
            <w:tcW w:w="1146" w:type="dxa"/>
            <w:tcBorders>
              <w:top w:val="nil"/>
              <w:left w:val="nil"/>
              <w:bottom w:val="nil"/>
              <w:right w:val="single" w:sz="4" w:space="0" w:color="auto"/>
            </w:tcBorders>
            <w:shd w:val="clear" w:color="auto" w:fill="FFFFFF" w:themeFill="background1"/>
            <w:vAlign w:val="center"/>
          </w:tcPr>
          <w:p w14:paraId="475F5563"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(16.2, 19.6)</w:t>
            </w:r>
          </w:p>
        </w:tc>
        <w:tc>
          <w:tcPr>
            <w:tcW w:w="576" w:type="dxa"/>
            <w:tcBorders>
              <w:left w:val="single" w:sz="4" w:space="0" w:color="auto"/>
              <w:right w:val="nil"/>
            </w:tcBorders>
            <w:vAlign w:val="center"/>
          </w:tcPr>
          <w:p w14:paraId="2F5B8857"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482</w:t>
            </w:r>
          </w:p>
        </w:tc>
        <w:tc>
          <w:tcPr>
            <w:tcW w:w="531" w:type="dxa"/>
            <w:tcBorders>
              <w:left w:val="nil"/>
              <w:right w:val="nil"/>
            </w:tcBorders>
            <w:vAlign w:val="center"/>
          </w:tcPr>
          <w:p w14:paraId="658A2F1F"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17.4</w:t>
            </w:r>
          </w:p>
        </w:tc>
        <w:tc>
          <w:tcPr>
            <w:tcW w:w="1146" w:type="dxa"/>
            <w:tcBorders>
              <w:top w:val="nil"/>
              <w:left w:val="nil"/>
              <w:bottom w:val="nil"/>
              <w:right w:val="nil"/>
            </w:tcBorders>
            <w:shd w:val="clear" w:color="auto" w:fill="FFFFFF" w:themeFill="background1"/>
            <w:vAlign w:val="center"/>
          </w:tcPr>
          <w:p w14:paraId="013E96FA"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(15.6, 19.3)</w:t>
            </w:r>
          </w:p>
        </w:tc>
      </w:tr>
      <w:tr w:rsidR="009118DA" w:rsidRPr="008A7800" w14:paraId="6BA5856A"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428" w:type="dxa"/>
            <w:tcBorders>
              <w:top w:val="nil"/>
              <w:left w:val="nil"/>
              <w:bottom w:val="nil"/>
              <w:right w:val="nil"/>
            </w:tcBorders>
            <w:vAlign w:val="center"/>
            <w:hideMark/>
          </w:tcPr>
          <w:p w14:paraId="05195830" w14:textId="77777777" w:rsidR="007B7BB5" w:rsidRPr="008A7800" w:rsidRDefault="007B7BB5" w:rsidP="007B7BB5">
            <w:pPr>
              <w:keepNext/>
              <w:spacing w:before="20" w:after="20"/>
              <w:ind w:left="176"/>
              <w:rPr>
                <w:rFonts w:eastAsiaTheme="minorEastAsia"/>
                <w:b w:val="0"/>
                <w:sz w:val="18"/>
                <w:szCs w:val="18"/>
                <w:lang w:eastAsia="en-US"/>
              </w:rPr>
            </w:pPr>
            <w:r w:rsidRPr="008A7800">
              <w:rPr>
                <w:rFonts w:eastAsiaTheme="minorEastAsia"/>
                <w:b w:val="0"/>
                <w:sz w:val="18"/>
                <w:szCs w:val="18"/>
              </w:rPr>
              <w:t>4</w:t>
            </w:r>
          </w:p>
        </w:tc>
        <w:tc>
          <w:tcPr>
            <w:tcW w:w="616" w:type="dxa"/>
            <w:tcBorders>
              <w:top w:val="nil"/>
              <w:left w:val="nil"/>
              <w:bottom w:val="nil"/>
              <w:right w:val="nil"/>
            </w:tcBorders>
            <w:noWrap/>
            <w:vAlign w:val="center"/>
          </w:tcPr>
          <w:p w14:paraId="3858CEC1"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1286</w:t>
            </w:r>
          </w:p>
        </w:tc>
        <w:tc>
          <w:tcPr>
            <w:tcW w:w="576" w:type="dxa"/>
            <w:tcBorders>
              <w:top w:val="nil"/>
              <w:left w:val="nil"/>
              <w:bottom w:val="nil"/>
              <w:right w:val="nil"/>
            </w:tcBorders>
            <w:noWrap/>
            <w:vAlign w:val="center"/>
          </w:tcPr>
          <w:p w14:paraId="4200871F"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20.6</w:t>
            </w:r>
          </w:p>
        </w:tc>
        <w:tc>
          <w:tcPr>
            <w:tcW w:w="1146" w:type="dxa"/>
            <w:tcBorders>
              <w:top w:val="nil"/>
              <w:left w:val="nil"/>
              <w:bottom w:val="nil"/>
              <w:right w:val="single" w:sz="4" w:space="0" w:color="auto"/>
            </w:tcBorders>
            <w:noWrap/>
            <w:vAlign w:val="center"/>
          </w:tcPr>
          <w:p w14:paraId="294C9544"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(19.3, 21.8)</w:t>
            </w:r>
          </w:p>
        </w:tc>
        <w:tc>
          <w:tcPr>
            <w:tcW w:w="616" w:type="dxa"/>
            <w:tcBorders>
              <w:top w:val="nil"/>
              <w:left w:val="single" w:sz="4" w:space="0" w:color="auto"/>
              <w:bottom w:val="nil"/>
              <w:right w:val="nil"/>
            </w:tcBorders>
            <w:noWrap/>
            <w:vAlign w:val="center"/>
          </w:tcPr>
          <w:p w14:paraId="7A0725D8"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699</w:t>
            </w:r>
          </w:p>
        </w:tc>
        <w:tc>
          <w:tcPr>
            <w:tcW w:w="576" w:type="dxa"/>
            <w:tcBorders>
              <w:top w:val="nil"/>
              <w:left w:val="nil"/>
              <w:bottom w:val="nil"/>
              <w:right w:val="nil"/>
            </w:tcBorders>
            <w:noWrap/>
            <w:vAlign w:val="center"/>
          </w:tcPr>
          <w:p w14:paraId="7F43CEFE"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18.7</w:t>
            </w:r>
          </w:p>
        </w:tc>
        <w:tc>
          <w:tcPr>
            <w:tcW w:w="1146" w:type="dxa"/>
            <w:tcBorders>
              <w:top w:val="nil"/>
              <w:left w:val="nil"/>
              <w:bottom w:val="nil"/>
              <w:right w:val="single" w:sz="4" w:space="0" w:color="000000"/>
            </w:tcBorders>
            <w:shd w:val="clear" w:color="auto" w:fill="FFFFFF" w:themeFill="background1"/>
            <w:noWrap/>
            <w:vAlign w:val="center"/>
          </w:tcPr>
          <w:p w14:paraId="6768EC78"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(17.1, 20.2)</w:t>
            </w:r>
          </w:p>
        </w:tc>
        <w:tc>
          <w:tcPr>
            <w:tcW w:w="599" w:type="dxa"/>
            <w:tcBorders>
              <w:top w:val="nil"/>
              <w:left w:val="single" w:sz="4" w:space="0" w:color="000000"/>
              <w:bottom w:val="nil"/>
              <w:right w:val="nil"/>
            </w:tcBorders>
            <w:shd w:val="clear" w:color="auto" w:fill="FFFFFF" w:themeFill="background1"/>
            <w:vAlign w:val="center"/>
          </w:tcPr>
          <w:p w14:paraId="3F449DB9"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614</w:t>
            </w:r>
          </w:p>
        </w:tc>
        <w:tc>
          <w:tcPr>
            <w:tcW w:w="558" w:type="dxa"/>
            <w:tcBorders>
              <w:top w:val="nil"/>
              <w:left w:val="nil"/>
              <w:bottom w:val="nil"/>
              <w:right w:val="nil"/>
            </w:tcBorders>
            <w:shd w:val="clear" w:color="auto" w:fill="FFFFFF" w:themeFill="background1"/>
            <w:vAlign w:val="center"/>
          </w:tcPr>
          <w:p w14:paraId="46638BC9"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19.7</w:t>
            </w:r>
          </w:p>
        </w:tc>
        <w:tc>
          <w:tcPr>
            <w:tcW w:w="1146" w:type="dxa"/>
            <w:tcBorders>
              <w:top w:val="nil"/>
              <w:left w:val="nil"/>
              <w:bottom w:val="nil"/>
              <w:right w:val="single" w:sz="4" w:space="0" w:color="auto"/>
            </w:tcBorders>
            <w:shd w:val="clear" w:color="auto" w:fill="FFFFFF" w:themeFill="background1"/>
            <w:vAlign w:val="center"/>
          </w:tcPr>
          <w:p w14:paraId="73F68618"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(17.9, 21.4)</w:t>
            </w:r>
          </w:p>
        </w:tc>
        <w:tc>
          <w:tcPr>
            <w:tcW w:w="576" w:type="dxa"/>
            <w:tcBorders>
              <w:left w:val="single" w:sz="4" w:space="0" w:color="auto"/>
              <w:right w:val="nil"/>
            </w:tcBorders>
            <w:vAlign w:val="center"/>
          </w:tcPr>
          <w:p w14:paraId="53832C05"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520</w:t>
            </w:r>
          </w:p>
        </w:tc>
        <w:tc>
          <w:tcPr>
            <w:tcW w:w="531" w:type="dxa"/>
            <w:tcBorders>
              <w:left w:val="nil"/>
              <w:right w:val="nil"/>
            </w:tcBorders>
            <w:vAlign w:val="center"/>
          </w:tcPr>
          <w:p w14:paraId="6A3CABD5"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18.8</w:t>
            </w:r>
          </w:p>
        </w:tc>
        <w:tc>
          <w:tcPr>
            <w:tcW w:w="1146" w:type="dxa"/>
            <w:tcBorders>
              <w:top w:val="nil"/>
              <w:left w:val="nil"/>
              <w:bottom w:val="nil"/>
              <w:right w:val="nil"/>
            </w:tcBorders>
            <w:shd w:val="clear" w:color="auto" w:fill="FFFFFF" w:themeFill="background1"/>
            <w:vAlign w:val="center"/>
          </w:tcPr>
          <w:p w14:paraId="3498F96C"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(16.8, 20.7)</w:t>
            </w:r>
          </w:p>
        </w:tc>
      </w:tr>
      <w:tr w:rsidR="009118DA" w:rsidRPr="008A7800" w14:paraId="120AD64D"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428" w:type="dxa"/>
            <w:tcBorders>
              <w:top w:val="nil"/>
              <w:left w:val="nil"/>
              <w:bottom w:val="nil"/>
              <w:right w:val="nil"/>
            </w:tcBorders>
            <w:vAlign w:val="center"/>
            <w:hideMark/>
          </w:tcPr>
          <w:p w14:paraId="47FC23E6" w14:textId="77777777" w:rsidR="007B7BB5" w:rsidRPr="008A7800" w:rsidRDefault="007B7BB5" w:rsidP="007B7BB5">
            <w:pPr>
              <w:keepNext/>
              <w:spacing w:before="20" w:after="20"/>
              <w:ind w:left="176"/>
              <w:rPr>
                <w:rFonts w:eastAsiaTheme="minorEastAsia"/>
                <w:b w:val="0"/>
                <w:sz w:val="18"/>
                <w:szCs w:val="18"/>
                <w:lang w:eastAsia="en-US"/>
              </w:rPr>
            </w:pPr>
            <w:r w:rsidRPr="008A7800">
              <w:rPr>
                <w:rFonts w:eastAsiaTheme="minorEastAsia"/>
                <w:b w:val="0"/>
                <w:sz w:val="18"/>
                <w:szCs w:val="18"/>
              </w:rPr>
              <w:t>5+</w:t>
            </w:r>
          </w:p>
        </w:tc>
        <w:tc>
          <w:tcPr>
            <w:tcW w:w="616" w:type="dxa"/>
            <w:tcBorders>
              <w:top w:val="nil"/>
              <w:left w:val="nil"/>
              <w:bottom w:val="nil"/>
              <w:right w:val="nil"/>
            </w:tcBorders>
            <w:noWrap/>
            <w:vAlign w:val="center"/>
          </w:tcPr>
          <w:p w14:paraId="2EFA1A14"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1097</w:t>
            </w:r>
          </w:p>
        </w:tc>
        <w:tc>
          <w:tcPr>
            <w:tcW w:w="576" w:type="dxa"/>
            <w:tcBorders>
              <w:top w:val="nil"/>
              <w:left w:val="nil"/>
              <w:bottom w:val="nil"/>
              <w:right w:val="nil"/>
            </w:tcBorders>
            <w:noWrap/>
            <w:vAlign w:val="center"/>
          </w:tcPr>
          <w:p w14:paraId="4BC73DD8"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17.6</w:t>
            </w:r>
          </w:p>
        </w:tc>
        <w:tc>
          <w:tcPr>
            <w:tcW w:w="1146" w:type="dxa"/>
            <w:tcBorders>
              <w:top w:val="nil"/>
              <w:left w:val="nil"/>
              <w:bottom w:val="nil"/>
              <w:right w:val="single" w:sz="4" w:space="0" w:color="auto"/>
            </w:tcBorders>
            <w:noWrap/>
            <w:vAlign w:val="center"/>
          </w:tcPr>
          <w:p w14:paraId="359C535F"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(16.3, 18.8)</w:t>
            </w:r>
          </w:p>
        </w:tc>
        <w:tc>
          <w:tcPr>
            <w:tcW w:w="616" w:type="dxa"/>
            <w:tcBorders>
              <w:top w:val="nil"/>
              <w:left w:val="single" w:sz="4" w:space="0" w:color="auto"/>
              <w:bottom w:val="nil"/>
              <w:right w:val="nil"/>
            </w:tcBorders>
            <w:noWrap/>
            <w:vAlign w:val="center"/>
          </w:tcPr>
          <w:p w14:paraId="49373D6D"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664</w:t>
            </w:r>
          </w:p>
        </w:tc>
        <w:tc>
          <w:tcPr>
            <w:tcW w:w="576" w:type="dxa"/>
            <w:tcBorders>
              <w:top w:val="nil"/>
              <w:left w:val="nil"/>
              <w:bottom w:val="nil"/>
              <w:right w:val="nil"/>
            </w:tcBorders>
            <w:noWrap/>
            <w:vAlign w:val="center"/>
          </w:tcPr>
          <w:p w14:paraId="673C573C"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17.7</w:t>
            </w:r>
          </w:p>
        </w:tc>
        <w:tc>
          <w:tcPr>
            <w:tcW w:w="1146" w:type="dxa"/>
            <w:tcBorders>
              <w:top w:val="nil"/>
              <w:left w:val="nil"/>
              <w:bottom w:val="nil"/>
              <w:right w:val="single" w:sz="4" w:space="0" w:color="000000"/>
            </w:tcBorders>
            <w:shd w:val="clear" w:color="auto" w:fill="FFFFFF" w:themeFill="background1"/>
            <w:noWrap/>
            <w:vAlign w:val="center"/>
          </w:tcPr>
          <w:p w14:paraId="10EB946F"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(16.1, 19.3)</w:t>
            </w:r>
          </w:p>
        </w:tc>
        <w:tc>
          <w:tcPr>
            <w:tcW w:w="599" w:type="dxa"/>
            <w:tcBorders>
              <w:top w:val="nil"/>
              <w:left w:val="single" w:sz="4" w:space="0" w:color="000000"/>
              <w:bottom w:val="nil"/>
              <w:right w:val="nil"/>
            </w:tcBorders>
            <w:shd w:val="clear" w:color="auto" w:fill="FFFFFF" w:themeFill="background1"/>
            <w:vAlign w:val="center"/>
          </w:tcPr>
          <w:p w14:paraId="38AA0E90"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561</w:t>
            </w:r>
          </w:p>
        </w:tc>
        <w:tc>
          <w:tcPr>
            <w:tcW w:w="558" w:type="dxa"/>
            <w:tcBorders>
              <w:top w:val="nil"/>
              <w:left w:val="nil"/>
              <w:bottom w:val="nil"/>
              <w:right w:val="nil"/>
            </w:tcBorders>
            <w:shd w:val="clear" w:color="auto" w:fill="FFFFFF" w:themeFill="background1"/>
            <w:vAlign w:val="center"/>
          </w:tcPr>
          <w:p w14:paraId="6EFD728A"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18.0</w:t>
            </w:r>
          </w:p>
        </w:tc>
        <w:tc>
          <w:tcPr>
            <w:tcW w:w="1146" w:type="dxa"/>
            <w:tcBorders>
              <w:top w:val="nil"/>
              <w:left w:val="nil"/>
              <w:bottom w:val="nil"/>
              <w:right w:val="single" w:sz="4" w:space="0" w:color="auto"/>
            </w:tcBorders>
            <w:shd w:val="clear" w:color="auto" w:fill="FFFFFF" w:themeFill="background1"/>
            <w:vAlign w:val="center"/>
          </w:tcPr>
          <w:p w14:paraId="0C201C3C"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(16.1, 19.8)</w:t>
            </w:r>
          </w:p>
        </w:tc>
        <w:tc>
          <w:tcPr>
            <w:tcW w:w="576" w:type="dxa"/>
            <w:tcBorders>
              <w:left w:val="single" w:sz="4" w:space="0" w:color="auto"/>
              <w:right w:val="nil"/>
            </w:tcBorders>
            <w:vAlign w:val="center"/>
          </w:tcPr>
          <w:p w14:paraId="46E7E644"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491</w:t>
            </w:r>
          </w:p>
        </w:tc>
        <w:tc>
          <w:tcPr>
            <w:tcW w:w="531" w:type="dxa"/>
            <w:tcBorders>
              <w:left w:val="nil"/>
              <w:right w:val="nil"/>
            </w:tcBorders>
            <w:vAlign w:val="center"/>
          </w:tcPr>
          <w:p w14:paraId="49798895"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17.7</w:t>
            </w:r>
          </w:p>
        </w:tc>
        <w:tc>
          <w:tcPr>
            <w:tcW w:w="1146" w:type="dxa"/>
            <w:tcBorders>
              <w:top w:val="nil"/>
              <w:left w:val="nil"/>
              <w:bottom w:val="nil"/>
              <w:right w:val="nil"/>
            </w:tcBorders>
            <w:shd w:val="clear" w:color="auto" w:fill="FFFFFF" w:themeFill="background1"/>
            <w:vAlign w:val="center"/>
          </w:tcPr>
          <w:p w14:paraId="567999B7"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(15.7, 19.7)</w:t>
            </w:r>
          </w:p>
        </w:tc>
      </w:tr>
      <w:tr w:rsidR="003B4065" w:rsidRPr="008A7800" w14:paraId="02A11A06"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428" w:type="dxa"/>
            <w:tcBorders>
              <w:top w:val="nil"/>
              <w:left w:val="nil"/>
              <w:bottom w:val="nil"/>
              <w:right w:val="nil"/>
            </w:tcBorders>
            <w:vAlign w:val="center"/>
          </w:tcPr>
          <w:p w14:paraId="44CC1320" w14:textId="77777777" w:rsidR="007B7BB5" w:rsidRPr="008A7800" w:rsidRDefault="007B7BB5" w:rsidP="007B7BB5">
            <w:pPr>
              <w:spacing w:before="20" w:after="60"/>
              <w:rPr>
                <w:rFonts w:eastAsiaTheme="minorEastAsia"/>
                <w:b w:val="0"/>
                <w:sz w:val="18"/>
                <w:szCs w:val="18"/>
              </w:rPr>
            </w:pPr>
            <w:r w:rsidRPr="008A7800">
              <w:rPr>
                <w:rFonts w:eastAsiaTheme="minorEastAsia"/>
                <w:b w:val="0"/>
                <w:sz w:val="18"/>
                <w:szCs w:val="18"/>
              </w:rPr>
              <w:t>Not reported</w:t>
            </w:r>
          </w:p>
        </w:tc>
        <w:tc>
          <w:tcPr>
            <w:tcW w:w="616" w:type="dxa"/>
            <w:tcBorders>
              <w:top w:val="nil"/>
              <w:left w:val="nil"/>
              <w:bottom w:val="nil"/>
              <w:right w:val="nil"/>
            </w:tcBorders>
            <w:noWrap/>
            <w:vAlign w:val="center"/>
          </w:tcPr>
          <w:p w14:paraId="64069395"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w:t>
            </w:r>
          </w:p>
        </w:tc>
        <w:tc>
          <w:tcPr>
            <w:tcW w:w="576" w:type="dxa"/>
            <w:tcBorders>
              <w:top w:val="nil"/>
              <w:left w:val="nil"/>
              <w:bottom w:val="nil"/>
              <w:right w:val="nil"/>
            </w:tcBorders>
            <w:noWrap/>
            <w:vAlign w:val="center"/>
          </w:tcPr>
          <w:p w14:paraId="6B58969D"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0.1</w:t>
            </w:r>
          </w:p>
        </w:tc>
        <w:tc>
          <w:tcPr>
            <w:tcW w:w="1146" w:type="dxa"/>
            <w:tcBorders>
              <w:top w:val="nil"/>
              <w:left w:val="nil"/>
              <w:bottom w:val="nil"/>
              <w:right w:val="single" w:sz="4" w:space="0" w:color="auto"/>
            </w:tcBorders>
            <w:noWrap/>
            <w:vAlign w:val="center"/>
          </w:tcPr>
          <w:p w14:paraId="4096FCEC"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(0.00, 0.20)</w:t>
            </w:r>
          </w:p>
        </w:tc>
        <w:tc>
          <w:tcPr>
            <w:tcW w:w="616" w:type="dxa"/>
            <w:tcBorders>
              <w:top w:val="nil"/>
              <w:left w:val="single" w:sz="4" w:space="0" w:color="auto"/>
              <w:bottom w:val="nil"/>
              <w:right w:val="nil"/>
            </w:tcBorders>
            <w:noWrap/>
            <w:vAlign w:val="center"/>
          </w:tcPr>
          <w:p w14:paraId="7B71B52F" w14:textId="77777777" w:rsidR="007B7BB5" w:rsidRPr="008A7800" w:rsidRDefault="007B7BB5" w:rsidP="007B7BB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w:t>
            </w:r>
          </w:p>
        </w:tc>
        <w:tc>
          <w:tcPr>
            <w:tcW w:w="576" w:type="dxa"/>
            <w:tcBorders>
              <w:top w:val="nil"/>
              <w:left w:val="nil"/>
              <w:bottom w:val="nil"/>
              <w:right w:val="nil"/>
            </w:tcBorders>
            <w:noWrap/>
            <w:vAlign w:val="center"/>
          </w:tcPr>
          <w:p w14:paraId="5440C8E7" w14:textId="77777777" w:rsidR="007B7BB5" w:rsidRPr="008A7800" w:rsidRDefault="007B7BB5" w:rsidP="007B7BB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t>
            </w:r>
          </w:p>
        </w:tc>
        <w:tc>
          <w:tcPr>
            <w:tcW w:w="1146" w:type="dxa"/>
            <w:tcBorders>
              <w:top w:val="nil"/>
              <w:left w:val="nil"/>
              <w:bottom w:val="nil"/>
              <w:right w:val="single" w:sz="4" w:space="0" w:color="000000"/>
            </w:tcBorders>
            <w:shd w:val="clear" w:color="auto" w:fill="FFFFFF" w:themeFill="background1"/>
            <w:noWrap/>
            <w:vAlign w:val="center"/>
          </w:tcPr>
          <w:p w14:paraId="5468376F" w14:textId="77777777" w:rsidR="007B7BB5" w:rsidRPr="008A7800" w:rsidRDefault="007B7BB5" w:rsidP="007B7BB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99" w:type="dxa"/>
            <w:tcBorders>
              <w:top w:val="nil"/>
              <w:left w:val="single" w:sz="4" w:space="0" w:color="000000"/>
              <w:bottom w:val="nil"/>
              <w:right w:val="nil"/>
            </w:tcBorders>
            <w:vAlign w:val="center"/>
          </w:tcPr>
          <w:p w14:paraId="3D237E48" w14:textId="77777777" w:rsidR="007B7BB5" w:rsidRPr="008A7800" w:rsidRDefault="007B7BB5" w:rsidP="007B7BB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w:t>
            </w:r>
          </w:p>
        </w:tc>
        <w:tc>
          <w:tcPr>
            <w:tcW w:w="558" w:type="dxa"/>
            <w:tcBorders>
              <w:top w:val="nil"/>
              <w:left w:val="nil"/>
              <w:bottom w:val="nil"/>
              <w:right w:val="nil"/>
            </w:tcBorders>
            <w:vAlign w:val="center"/>
          </w:tcPr>
          <w:p w14:paraId="15B06BA6" w14:textId="77777777" w:rsidR="007B7BB5" w:rsidRPr="008A7800" w:rsidRDefault="007B7BB5" w:rsidP="007B7BB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r w:rsidRPr="008A7800">
              <w:rPr>
                <w:rFonts w:eastAsiaTheme="minorEastAsia"/>
                <w:i/>
                <w:sz w:val="18"/>
                <w:szCs w:val="18"/>
                <w:lang w:eastAsia="en-US"/>
              </w:rPr>
              <w:t>-</w:t>
            </w:r>
          </w:p>
        </w:tc>
        <w:tc>
          <w:tcPr>
            <w:tcW w:w="1146" w:type="dxa"/>
            <w:tcBorders>
              <w:top w:val="nil"/>
              <w:left w:val="nil"/>
              <w:bottom w:val="nil"/>
              <w:right w:val="single" w:sz="4" w:space="0" w:color="auto"/>
            </w:tcBorders>
            <w:vAlign w:val="center"/>
          </w:tcPr>
          <w:p w14:paraId="2C1E6A77" w14:textId="77777777" w:rsidR="007B7BB5" w:rsidRPr="008A7800" w:rsidRDefault="007B7BB5" w:rsidP="007B7BB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76" w:type="dxa"/>
            <w:tcBorders>
              <w:left w:val="single" w:sz="4" w:space="0" w:color="auto"/>
              <w:right w:val="nil"/>
            </w:tcBorders>
            <w:vAlign w:val="center"/>
          </w:tcPr>
          <w:p w14:paraId="25E722AF"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0</w:t>
            </w:r>
          </w:p>
        </w:tc>
        <w:tc>
          <w:tcPr>
            <w:tcW w:w="531" w:type="dxa"/>
            <w:tcBorders>
              <w:left w:val="nil"/>
              <w:right w:val="nil"/>
            </w:tcBorders>
            <w:vAlign w:val="center"/>
          </w:tcPr>
          <w:p w14:paraId="2F2A6A0B"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w:t>
            </w:r>
          </w:p>
        </w:tc>
        <w:tc>
          <w:tcPr>
            <w:tcW w:w="1146" w:type="dxa"/>
            <w:tcBorders>
              <w:top w:val="nil"/>
              <w:left w:val="nil"/>
              <w:bottom w:val="nil"/>
              <w:right w:val="nil"/>
            </w:tcBorders>
            <w:vAlign w:val="center"/>
          </w:tcPr>
          <w:p w14:paraId="0932F301" w14:textId="77777777" w:rsidR="007B7BB5" w:rsidRPr="008A7800" w:rsidRDefault="007B7BB5" w:rsidP="007B7BB5">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3B4065" w:rsidRPr="008A7800" w14:paraId="61CA803B"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428" w:type="dxa"/>
            <w:tcBorders>
              <w:top w:val="nil"/>
              <w:left w:val="nil"/>
              <w:bottom w:val="nil"/>
              <w:right w:val="nil"/>
            </w:tcBorders>
            <w:vAlign w:val="center"/>
            <w:hideMark/>
          </w:tcPr>
          <w:p w14:paraId="7970158B" w14:textId="77777777" w:rsidR="007B7BB5" w:rsidRPr="008A7800" w:rsidRDefault="007B7BB5" w:rsidP="003B4065">
            <w:pPr>
              <w:keepNext/>
              <w:spacing w:before="20" w:after="20"/>
              <w:rPr>
                <w:rFonts w:eastAsiaTheme="minorEastAsia"/>
                <w:sz w:val="18"/>
                <w:szCs w:val="18"/>
                <w:lang w:eastAsia="en-US"/>
              </w:rPr>
            </w:pPr>
            <w:r w:rsidRPr="008A7800">
              <w:rPr>
                <w:rFonts w:eastAsiaTheme="minorEastAsia"/>
                <w:sz w:val="18"/>
                <w:szCs w:val="18"/>
              </w:rPr>
              <w:t>Personal Income ($)</w:t>
            </w:r>
          </w:p>
        </w:tc>
        <w:tc>
          <w:tcPr>
            <w:tcW w:w="616" w:type="dxa"/>
            <w:tcBorders>
              <w:top w:val="nil"/>
              <w:left w:val="nil"/>
              <w:bottom w:val="nil"/>
              <w:right w:val="nil"/>
            </w:tcBorders>
            <w:noWrap/>
            <w:vAlign w:val="center"/>
          </w:tcPr>
          <w:p w14:paraId="5BF76CA2"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76" w:type="dxa"/>
            <w:tcBorders>
              <w:top w:val="nil"/>
              <w:left w:val="nil"/>
              <w:bottom w:val="nil"/>
              <w:right w:val="nil"/>
            </w:tcBorders>
            <w:noWrap/>
            <w:vAlign w:val="center"/>
          </w:tcPr>
          <w:p w14:paraId="3E0F6C6D"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auto"/>
            </w:tcBorders>
            <w:noWrap/>
            <w:vAlign w:val="center"/>
          </w:tcPr>
          <w:p w14:paraId="70BF68D0"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16" w:type="dxa"/>
            <w:tcBorders>
              <w:top w:val="nil"/>
              <w:left w:val="single" w:sz="4" w:space="0" w:color="auto"/>
              <w:bottom w:val="nil"/>
              <w:right w:val="nil"/>
            </w:tcBorders>
            <w:noWrap/>
            <w:vAlign w:val="center"/>
          </w:tcPr>
          <w:p w14:paraId="7A24DDE2"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76" w:type="dxa"/>
            <w:tcBorders>
              <w:top w:val="nil"/>
              <w:left w:val="nil"/>
              <w:bottom w:val="nil"/>
              <w:right w:val="nil"/>
            </w:tcBorders>
            <w:noWrap/>
            <w:vAlign w:val="center"/>
          </w:tcPr>
          <w:p w14:paraId="73611DB6"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FFFFFF" w:themeFill="background1"/>
            <w:noWrap/>
            <w:vAlign w:val="center"/>
          </w:tcPr>
          <w:p w14:paraId="6FBDBDA2"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99" w:type="dxa"/>
            <w:tcBorders>
              <w:top w:val="nil"/>
              <w:left w:val="single" w:sz="4" w:space="0" w:color="000000"/>
              <w:bottom w:val="nil"/>
              <w:right w:val="nil"/>
            </w:tcBorders>
            <w:vAlign w:val="center"/>
          </w:tcPr>
          <w:p w14:paraId="5D20ED0E"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58" w:type="dxa"/>
            <w:tcBorders>
              <w:top w:val="nil"/>
              <w:left w:val="nil"/>
              <w:bottom w:val="nil"/>
              <w:right w:val="nil"/>
            </w:tcBorders>
            <w:vAlign w:val="center"/>
          </w:tcPr>
          <w:p w14:paraId="53332001"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single" w:sz="4" w:space="0" w:color="auto"/>
            </w:tcBorders>
            <w:vAlign w:val="center"/>
          </w:tcPr>
          <w:p w14:paraId="6B5FB21C"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76" w:type="dxa"/>
            <w:tcBorders>
              <w:left w:val="single" w:sz="4" w:space="0" w:color="auto"/>
              <w:right w:val="nil"/>
            </w:tcBorders>
          </w:tcPr>
          <w:p w14:paraId="5140BDA7" w14:textId="77777777" w:rsidR="007B7BB5" w:rsidRPr="008A7800" w:rsidRDefault="007B7BB5" w:rsidP="007B7BB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31" w:type="dxa"/>
            <w:tcBorders>
              <w:left w:val="nil"/>
              <w:right w:val="nil"/>
            </w:tcBorders>
          </w:tcPr>
          <w:p w14:paraId="3BB895A5" w14:textId="77777777" w:rsidR="007B7BB5" w:rsidRPr="008A7800" w:rsidRDefault="007B7BB5" w:rsidP="007B7BB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nil"/>
            </w:tcBorders>
          </w:tcPr>
          <w:p w14:paraId="3351BCF3" w14:textId="77777777" w:rsidR="007B7BB5" w:rsidRPr="008A7800" w:rsidRDefault="007B7BB5" w:rsidP="007B7BB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r>
      <w:tr w:rsidR="009118DA" w:rsidRPr="008A7800" w14:paraId="34D272BC"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2428" w:type="dxa"/>
            <w:tcBorders>
              <w:top w:val="nil"/>
              <w:left w:val="nil"/>
              <w:bottom w:val="nil"/>
              <w:right w:val="nil"/>
            </w:tcBorders>
            <w:shd w:val="clear" w:color="auto" w:fill="auto"/>
            <w:vAlign w:val="center"/>
            <w:hideMark/>
          </w:tcPr>
          <w:p w14:paraId="30A63BFD" w14:textId="77777777" w:rsidR="003B4065" w:rsidRPr="008A7800" w:rsidRDefault="003B4065" w:rsidP="003B4065">
            <w:pPr>
              <w:keepNext/>
              <w:spacing w:before="20" w:after="20"/>
              <w:rPr>
                <w:rFonts w:eastAsiaTheme="minorEastAsia"/>
                <w:b w:val="0"/>
                <w:sz w:val="18"/>
                <w:szCs w:val="18"/>
                <w:lang w:eastAsia="en-US"/>
              </w:rPr>
            </w:pPr>
            <w:r w:rsidRPr="008A7800">
              <w:rPr>
                <w:rFonts w:eastAsiaTheme="minorEastAsia"/>
                <w:b w:val="0"/>
                <w:sz w:val="18"/>
                <w:szCs w:val="18"/>
              </w:rPr>
              <w:t xml:space="preserve">   Up to 20,000</w:t>
            </w:r>
          </w:p>
        </w:tc>
        <w:tc>
          <w:tcPr>
            <w:tcW w:w="616" w:type="dxa"/>
            <w:tcBorders>
              <w:top w:val="nil"/>
              <w:left w:val="nil"/>
              <w:bottom w:val="nil"/>
              <w:right w:val="nil"/>
            </w:tcBorders>
            <w:shd w:val="clear" w:color="auto" w:fill="auto"/>
            <w:noWrap/>
            <w:vAlign w:val="center"/>
          </w:tcPr>
          <w:p w14:paraId="7458299B"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1954</w:t>
            </w:r>
          </w:p>
        </w:tc>
        <w:tc>
          <w:tcPr>
            <w:tcW w:w="576" w:type="dxa"/>
            <w:tcBorders>
              <w:top w:val="nil"/>
              <w:left w:val="nil"/>
              <w:bottom w:val="nil"/>
              <w:right w:val="nil"/>
            </w:tcBorders>
            <w:shd w:val="clear" w:color="auto" w:fill="auto"/>
            <w:noWrap/>
            <w:vAlign w:val="center"/>
          </w:tcPr>
          <w:p w14:paraId="75411132"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33.2</w:t>
            </w:r>
          </w:p>
        </w:tc>
        <w:tc>
          <w:tcPr>
            <w:tcW w:w="1146" w:type="dxa"/>
            <w:tcBorders>
              <w:top w:val="nil"/>
              <w:left w:val="nil"/>
              <w:bottom w:val="nil"/>
              <w:right w:val="single" w:sz="4" w:space="0" w:color="auto"/>
            </w:tcBorders>
            <w:shd w:val="clear" w:color="auto" w:fill="auto"/>
            <w:noWrap/>
            <w:vAlign w:val="center"/>
          </w:tcPr>
          <w:p w14:paraId="5C3DAEF6"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(31.8, 34.7)</w:t>
            </w:r>
          </w:p>
        </w:tc>
        <w:tc>
          <w:tcPr>
            <w:tcW w:w="616" w:type="dxa"/>
            <w:tcBorders>
              <w:top w:val="nil"/>
              <w:left w:val="single" w:sz="4" w:space="0" w:color="auto"/>
              <w:bottom w:val="nil"/>
              <w:right w:val="nil"/>
            </w:tcBorders>
            <w:shd w:val="clear" w:color="auto" w:fill="auto"/>
            <w:noWrap/>
            <w:vAlign w:val="center"/>
          </w:tcPr>
          <w:p w14:paraId="456E00B0"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1112</w:t>
            </w:r>
          </w:p>
        </w:tc>
        <w:tc>
          <w:tcPr>
            <w:tcW w:w="576" w:type="dxa"/>
            <w:tcBorders>
              <w:top w:val="nil"/>
              <w:left w:val="nil"/>
              <w:bottom w:val="nil"/>
              <w:right w:val="nil"/>
            </w:tcBorders>
            <w:shd w:val="clear" w:color="auto" w:fill="auto"/>
            <w:noWrap/>
            <w:vAlign w:val="center"/>
          </w:tcPr>
          <w:p w14:paraId="281D3A4E"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30.8</w:t>
            </w:r>
          </w:p>
        </w:tc>
        <w:tc>
          <w:tcPr>
            <w:tcW w:w="1146" w:type="dxa"/>
            <w:tcBorders>
              <w:top w:val="nil"/>
              <w:left w:val="nil"/>
              <w:bottom w:val="nil"/>
              <w:right w:val="single" w:sz="4" w:space="0" w:color="000000"/>
            </w:tcBorders>
            <w:shd w:val="clear" w:color="auto" w:fill="auto"/>
            <w:noWrap/>
            <w:vAlign w:val="center"/>
          </w:tcPr>
          <w:p w14:paraId="04527810"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(29.0, 32.6)</w:t>
            </w:r>
          </w:p>
        </w:tc>
        <w:tc>
          <w:tcPr>
            <w:tcW w:w="599" w:type="dxa"/>
            <w:tcBorders>
              <w:top w:val="nil"/>
              <w:left w:val="single" w:sz="4" w:space="0" w:color="000000"/>
              <w:bottom w:val="nil"/>
              <w:right w:val="nil"/>
            </w:tcBorders>
            <w:shd w:val="clear" w:color="auto" w:fill="auto"/>
            <w:vAlign w:val="center"/>
          </w:tcPr>
          <w:p w14:paraId="6AD4BA5A"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798</w:t>
            </w:r>
          </w:p>
        </w:tc>
        <w:tc>
          <w:tcPr>
            <w:tcW w:w="558" w:type="dxa"/>
            <w:tcBorders>
              <w:top w:val="nil"/>
              <w:left w:val="nil"/>
              <w:bottom w:val="nil"/>
              <w:right w:val="nil"/>
            </w:tcBorders>
            <w:shd w:val="clear" w:color="auto" w:fill="auto"/>
            <w:vAlign w:val="center"/>
          </w:tcPr>
          <w:p w14:paraId="7DFE05E7"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26.9</w:t>
            </w:r>
          </w:p>
        </w:tc>
        <w:tc>
          <w:tcPr>
            <w:tcW w:w="1146" w:type="dxa"/>
            <w:tcBorders>
              <w:top w:val="nil"/>
              <w:left w:val="nil"/>
              <w:bottom w:val="nil"/>
              <w:right w:val="single" w:sz="4" w:space="0" w:color="auto"/>
            </w:tcBorders>
            <w:shd w:val="clear" w:color="auto" w:fill="auto"/>
            <w:vAlign w:val="center"/>
          </w:tcPr>
          <w:p w14:paraId="15356ED3"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(25.0, 28.9)</w:t>
            </w:r>
          </w:p>
        </w:tc>
        <w:tc>
          <w:tcPr>
            <w:tcW w:w="576" w:type="dxa"/>
            <w:tcBorders>
              <w:left w:val="single" w:sz="4" w:space="0" w:color="auto"/>
              <w:right w:val="nil"/>
            </w:tcBorders>
            <w:shd w:val="clear" w:color="auto" w:fill="auto"/>
            <w:vAlign w:val="center"/>
          </w:tcPr>
          <w:p w14:paraId="3DE94A87"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701</w:t>
            </w:r>
          </w:p>
        </w:tc>
        <w:tc>
          <w:tcPr>
            <w:tcW w:w="531" w:type="dxa"/>
            <w:tcBorders>
              <w:left w:val="nil"/>
              <w:right w:val="nil"/>
            </w:tcBorders>
            <w:shd w:val="clear" w:color="auto" w:fill="auto"/>
            <w:vAlign w:val="center"/>
          </w:tcPr>
          <w:p w14:paraId="39DCE786"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26.0</w:t>
            </w:r>
          </w:p>
        </w:tc>
        <w:tc>
          <w:tcPr>
            <w:tcW w:w="1146" w:type="dxa"/>
            <w:tcBorders>
              <w:top w:val="nil"/>
              <w:left w:val="nil"/>
              <w:bottom w:val="nil"/>
              <w:right w:val="nil"/>
            </w:tcBorders>
            <w:shd w:val="clear" w:color="auto" w:fill="auto"/>
            <w:vAlign w:val="center"/>
          </w:tcPr>
          <w:p w14:paraId="6AAAC848"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(23.8, 28.1)</w:t>
            </w:r>
          </w:p>
        </w:tc>
      </w:tr>
      <w:tr w:rsidR="009118DA" w:rsidRPr="008A7800" w14:paraId="103BD5C0"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2428" w:type="dxa"/>
            <w:tcBorders>
              <w:top w:val="nil"/>
              <w:left w:val="nil"/>
              <w:bottom w:val="nil"/>
              <w:right w:val="nil"/>
            </w:tcBorders>
            <w:shd w:val="clear" w:color="auto" w:fill="auto"/>
            <w:vAlign w:val="center"/>
            <w:hideMark/>
          </w:tcPr>
          <w:p w14:paraId="08886473" w14:textId="77777777" w:rsidR="003B4065" w:rsidRPr="008A7800" w:rsidRDefault="003B4065" w:rsidP="003B4065">
            <w:pPr>
              <w:keepNext/>
              <w:spacing w:before="20" w:after="20"/>
              <w:rPr>
                <w:rFonts w:eastAsiaTheme="minorEastAsia"/>
                <w:b w:val="0"/>
                <w:sz w:val="18"/>
                <w:szCs w:val="18"/>
                <w:lang w:eastAsia="en-US"/>
              </w:rPr>
            </w:pPr>
            <w:r w:rsidRPr="008A7800">
              <w:rPr>
                <w:rFonts w:eastAsiaTheme="minorEastAsia"/>
                <w:b w:val="0"/>
                <w:sz w:val="18"/>
                <w:szCs w:val="18"/>
              </w:rPr>
              <w:t xml:space="preserve">   20,001 - 40,000</w:t>
            </w:r>
          </w:p>
        </w:tc>
        <w:tc>
          <w:tcPr>
            <w:tcW w:w="616" w:type="dxa"/>
            <w:tcBorders>
              <w:top w:val="nil"/>
              <w:left w:val="nil"/>
              <w:bottom w:val="nil"/>
              <w:right w:val="nil"/>
            </w:tcBorders>
            <w:shd w:val="clear" w:color="auto" w:fill="auto"/>
            <w:noWrap/>
            <w:vAlign w:val="center"/>
          </w:tcPr>
          <w:p w14:paraId="7382548F"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1601</w:t>
            </w:r>
          </w:p>
        </w:tc>
        <w:tc>
          <w:tcPr>
            <w:tcW w:w="576" w:type="dxa"/>
            <w:tcBorders>
              <w:top w:val="nil"/>
              <w:left w:val="nil"/>
              <w:bottom w:val="nil"/>
              <w:right w:val="nil"/>
            </w:tcBorders>
            <w:shd w:val="clear" w:color="auto" w:fill="auto"/>
            <w:noWrap/>
            <w:vAlign w:val="center"/>
          </w:tcPr>
          <w:p w14:paraId="69F2E869"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27.2</w:t>
            </w:r>
          </w:p>
        </w:tc>
        <w:tc>
          <w:tcPr>
            <w:tcW w:w="1146" w:type="dxa"/>
            <w:tcBorders>
              <w:top w:val="nil"/>
              <w:left w:val="nil"/>
              <w:bottom w:val="nil"/>
              <w:right w:val="single" w:sz="4" w:space="0" w:color="auto"/>
            </w:tcBorders>
            <w:shd w:val="clear" w:color="auto" w:fill="auto"/>
            <w:noWrap/>
            <w:vAlign w:val="center"/>
          </w:tcPr>
          <w:p w14:paraId="26CAE4BB"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(25.9, 28.6)</w:t>
            </w:r>
          </w:p>
        </w:tc>
        <w:tc>
          <w:tcPr>
            <w:tcW w:w="616" w:type="dxa"/>
            <w:tcBorders>
              <w:top w:val="nil"/>
              <w:left w:val="single" w:sz="4" w:space="0" w:color="auto"/>
              <w:bottom w:val="nil"/>
              <w:right w:val="nil"/>
            </w:tcBorders>
            <w:shd w:val="clear" w:color="auto" w:fill="auto"/>
            <w:noWrap/>
            <w:vAlign w:val="center"/>
          </w:tcPr>
          <w:p w14:paraId="50B59294"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949</w:t>
            </w:r>
          </w:p>
        </w:tc>
        <w:tc>
          <w:tcPr>
            <w:tcW w:w="576" w:type="dxa"/>
            <w:tcBorders>
              <w:top w:val="nil"/>
              <w:left w:val="nil"/>
              <w:bottom w:val="nil"/>
              <w:right w:val="nil"/>
            </w:tcBorders>
            <w:shd w:val="clear" w:color="auto" w:fill="auto"/>
            <w:noWrap/>
            <w:vAlign w:val="center"/>
          </w:tcPr>
          <w:p w14:paraId="60C51DE4"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26.3</w:t>
            </w:r>
          </w:p>
        </w:tc>
        <w:tc>
          <w:tcPr>
            <w:tcW w:w="1146" w:type="dxa"/>
            <w:tcBorders>
              <w:top w:val="nil"/>
              <w:left w:val="nil"/>
              <w:bottom w:val="nil"/>
              <w:right w:val="single" w:sz="4" w:space="0" w:color="000000"/>
            </w:tcBorders>
            <w:shd w:val="clear" w:color="auto" w:fill="auto"/>
            <w:noWrap/>
            <w:vAlign w:val="center"/>
          </w:tcPr>
          <w:p w14:paraId="0518A3C6"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(24.6, 28.0)</w:t>
            </w:r>
          </w:p>
        </w:tc>
        <w:tc>
          <w:tcPr>
            <w:tcW w:w="599" w:type="dxa"/>
            <w:tcBorders>
              <w:top w:val="nil"/>
              <w:left w:val="single" w:sz="4" w:space="0" w:color="000000"/>
              <w:bottom w:val="nil"/>
              <w:right w:val="nil"/>
            </w:tcBorders>
            <w:shd w:val="clear" w:color="auto" w:fill="auto"/>
            <w:vAlign w:val="center"/>
          </w:tcPr>
          <w:p w14:paraId="1D4FA4A5"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808</w:t>
            </w:r>
          </w:p>
        </w:tc>
        <w:tc>
          <w:tcPr>
            <w:tcW w:w="558" w:type="dxa"/>
            <w:tcBorders>
              <w:top w:val="nil"/>
              <w:left w:val="nil"/>
              <w:bottom w:val="nil"/>
              <w:right w:val="nil"/>
            </w:tcBorders>
            <w:shd w:val="clear" w:color="auto" w:fill="auto"/>
            <w:vAlign w:val="center"/>
          </w:tcPr>
          <w:p w14:paraId="136C0CE2"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27.3</w:t>
            </w:r>
          </w:p>
        </w:tc>
        <w:tc>
          <w:tcPr>
            <w:tcW w:w="1146" w:type="dxa"/>
            <w:tcBorders>
              <w:top w:val="nil"/>
              <w:left w:val="nil"/>
              <w:bottom w:val="nil"/>
              <w:right w:val="single" w:sz="4" w:space="0" w:color="auto"/>
            </w:tcBorders>
            <w:shd w:val="clear" w:color="auto" w:fill="auto"/>
            <w:vAlign w:val="center"/>
          </w:tcPr>
          <w:p w14:paraId="333703C2"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(25.3, 29.2)</w:t>
            </w:r>
          </w:p>
        </w:tc>
        <w:tc>
          <w:tcPr>
            <w:tcW w:w="576" w:type="dxa"/>
            <w:tcBorders>
              <w:left w:val="single" w:sz="4" w:space="0" w:color="auto"/>
              <w:right w:val="nil"/>
            </w:tcBorders>
            <w:shd w:val="clear" w:color="auto" w:fill="auto"/>
            <w:vAlign w:val="center"/>
          </w:tcPr>
          <w:p w14:paraId="6097F228"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764</w:t>
            </w:r>
          </w:p>
        </w:tc>
        <w:tc>
          <w:tcPr>
            <w:tcW w:w="531" w:type="dxa"/>
            <w:tcBorders>
              <w:left w:val="nil"/>
              <w:right w:val="nil"/>
            </w:tcBorders>
            <w:shd w:val="clear" w:color="auto" w:fill="auto"/>
            <w:vAlign w:val="center"/>
          </w:tcPr>
          <w:p w14:paraId="4031C9B7"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28.3</w:t>
            </w:r>
          </w:p>
        </w:tc>
        <w:tc>
          <w:tcPr>
            <w:tcW w:w="1146" w:type="dxa"/>
            <w:tcBorders>
              <w:top w:val="nil"/>
              <w:left w:val="nil"/>
              <w:bottom w:val="nil"/>
              <w:right w:val="nil"/>
            </w:tcBorders>
            <w:shd w:val="clear" w:color="auto" w:fill="auto"/>
            <w:vAlign w:val="center"/>
          </w:tcPr>
          <w:p w14:paraId="51143B82"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(26.1, 30.4)</w:t>
            </w:r>
          </w:p>
        </w:tc>
      </w:tr>
      <w:tr w:rsidR="009118DA" w:rsidRPr="008A7800" w14:paraId="6C6FE3F8"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2428" w:type="dxa"/>
            <w:tcBorders>
              <w:top w:val="nil"/>
              <w:left w:val="nil"/>
              <w:bottom w:val="nil"/>
              <w:right w:val="nil"/>
            </w:tcBorders>
            <w:shd w:val="clear" w:color="auto" w:fill="auto"/>
            <w:vAlign w:val="center"/>
            <w:hideMark/>
          </w:tcPr>
          <w:p w14:paraId="6283F353" w14:textId="77777777" w:rsidR="003B4065" w:rsidRPr="008A7800" w:rsidRDefault="003B4065" w:rsidP="003B4065">
            <w:pPr>
              <w:keepNext/>
              <w:spacing w:before="20" w:after="20"/>
              <w:rPr>
                <w:rFonts w:eastAsiaTheme="minorEastAsia"/>
                <w:b w:val="0"/>
                <w:sz w:val="18"/>
                <w:szCs w:val="18"/>
                <w:lang w:eastAsia="en-US"/>
              </w:rPr>
            </w:pPr>
            <w:r w:rsidRPr="008A7800">
              <w:rPr>
                <w:rFonts w:eastAsiaTheme="minorEastAsia"/>
                <w:b w:val="0"/>
                <w:sz w:val="18"/>
                <w:szCs w:val="18"/>
              </w:rPr>
              <w:t xml:space="preserve">   40,001 - 60,000</w:t>
            </w:r>
          </w:p>
        </w:tc>
        <w:tc>
          <w:tcPr>
            <w:tcW w:w="616" w:type="dxa"/>
            <w:tcBorders>
              <w:top w:val="nil"/>
              <w:left w:val="nil"/>
              <w:bottom w:val="nil"/>
              <w:right w:val="nil"/>
            </w:tcBorders>
            <w:shd w:val="clear" w:color="auto" w:fill="auto"/>
            <w:noWrap/>
            <w:vAlign w:val="center"/>
          </w:tcPr>
          <w:p w14:paraId="7B1AA96A"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1032</w:t>
            </w:r>
          </w:p>
        </w:tc>
        <w:tc>
          <w:tcPr>
            <w:tcW w:w="576" w:type="dxa"/>
            <w:tcBorders>
              <w:top w:val="nil"/>
              <w:left w:val="nil"/>
              <w:bottom w:val="nil"/>
              <w:right w:val="nil"/>
            </w:tcBorders>
            <w:shd w:val="clear" w:color="auto" w:fill="auto"/>
            <w:noWrap/>
            <w:vAlign w:val="center"/>
          </w:tcPr>
          <w:p w14:paraId="48E247C9"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17.5</w:t>
            </w:r>
          </w:p>
        </w:tc>
        <w:tc>
          <w:tcPr>
            <w:tcW w:w="1146" w:type="dxa"/>
            <w:tcBorders>
              <w:top w:val="nil"/>
              <w:left w:val="nil"/>
              <w:bottom w:val="nil"/>
              <w:right w:val="single" w:sz="4" w:space="0" w:color="auto"/>
            </w:tcBorders>
            <w:shd w:val="clear" w:color="auto" w:fill="auto"/>
            <w:noWrap/>
            <w:vAlign w:val="center"/>
          </w:tcPr>
          <w:p w14:paraId="2BE8C2A9"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(16.4, 18.7)</w:t>
            </w:r>
          </w:p>
        </w:tc>
        <w:tc>
          <w:tcPr>
            <w:tcW w:w="616" w:type="dxa"/>
            <w:tcBorders>
              <w:top w:val="nil"/>
              <w:left w:val="single" w:sz="4" w:space="0" w:color="auto"/>
              <w:bottom w:val="nil"/>
              <w:right w:val="nil"/>
            </w:tcBorders>
            <w:shd w:val="clear" w:color="auto" w:fill="auto"/>
            <w:noWrap/>
            <w:vAlign w:val="center"/>
          </w:tcPr>
          <w:p w14:paraId="1B80A2AA"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719</w:t>
            </w:r>
          </w:p>
        </w:tc>
        <w:tc>
          <w:tcPr>
            <w:tcW w:w="576" w:type="dxa"/>
            <w:tcBorders>
              <w:top w:val="nil"/>
              <w:left w:val="nil"/>
              <w:bottom w:val="nil"/>
              <w:right w:val="nil"/>
            </w:tcBorders>
            <w:shd w:val="clear" w:color="auto" w:fill="auto"/>
            <w:noWrap/>
            <w:vAlign w:val="center"/>
          </w:tcPr>
          <w:p w14:paraId="30ED225C"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19.9</w:t>
            </w:r>
          </w:p>
        </w:tc>
        <w:tc>
          <w:tcPr>
            <w:tcW w:w="1146" w:type="dxa"/>
            <w:tcBorders>
              <w:top w:val="nil"/>
              <w:left w:val="nil"/>
              <w:bottom w:val="nil"/>
              <w:right w:val="single" w:sz="4" w:space="0" w:color="000000"/>
            </w:tcBorders>
            <w:shd w:val="clear" w:color="auto" w:fill="auto"/>
            <w:noWrap/>
            <w:vAlign w:val="center"/>
          </w:tcPr>
          <w:p w14:paraId="144BEBA8"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(18.3, 21.5)</w:t>
            </w:r>
          </w:p>
        </w:tc>
        <w:tc>
          <w:tcPr>
            <w:tcW w:w="599" w:type="dxa"/>
            <w:tcBorders>
              <w:top w:val="nil"/>
              <w:left w:val="single" w:sz="4" w:space="0" w:color="000000"/>
              <w:bottom w:val="nil"/>
              <w:right w:val="nil"/>
            </w:tcBorders>
            <w:shd w:val="clear" w:color="auto" w:fill="auto"/>
            <w:vAlign w:val="center"/>
          </w:tcPr>
          <w:p w14:paraId="3F9C4367"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583</w:t>
            </w:r>
          </w:p>
        </w:tc>
        <w:tc>
          <w:tcPr>
            <w:tcW w:w="558" w:type="dxa"/>
            <w:tcBorders>
              <w:top w:val="nil"/>
              <w:left w:val="nil"/>
              <w:bottom w:val="nil"/>
              <w:right w:val="nil"/>
            </w:tcBorders>
            <w:shd w:val="clear" w:color="auto" w:fill="auto"/>
            <w:vAlign w:val="center"/>
          </w:tcPr>
          <w:p w14:paraId="68D2A92C"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19.7</w:t>
            </w:r>
          </w:p>
        </w:tc>
        <w:tc>
          <w:tcPr>
            <w:tcW w:w="1146" w:type="dxa"/>
            <w:tcBorders>
              <w:top w:val="nil"/>
              <w:left w:val="nil"/>
              <w:bottom w:val="nil"/>
              <w:right w:val="single" w:sz="4" w:space="0" w:color="auto"/>
            </w:tcBorders>
            <w:shd w:val="clear" w:color="auto" w:fill="auto"/>
            <w:vAlign w:val="center"/>
          </w:tcPr>
          <w:p w14:paraId="74B0E641"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(17.9, 21.4)</w:t>
            </w:r>
          </w:p>
        </w:tc>
        <w:tc>
          <w:tcPr>
            <w:tcW w:w="576" w:type="dxa"/>
            <w:tcBorders>
              <w:left w:val="single" w:sz="4" w:space="0" w:color="auto"/>
              <w:right w:val="nil"/>
            </w:tcBorders>
            <w:shd w:val="clear" w:color="auto" w:fill="auto"/>
            <w:vAlign w:val="center"/>
          </w:tcPr>
          <w:p w14:paraId="417E53AF"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497</w:t>
            </w:r>
          </w:p>
        </w:tc>
        <w:tc>
          <w:tcPr>
            <w:tcW w:w="531" w:type="dxa"/>
            <w:tcBorders>
              <w:left w:val="nil"/>
              <w:right w:val="nil"/>
            </w:tcBorders>
            <w:shd w:val="clear" w:color="auto" w:fill="auto"/>
            <w:vAlign w:val="center"/>
          </w:tcPr>
          <w:p w14:paraId="265D3505"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18.4</w:t>
            </w:r>
          </w:p>
        </w:tc>
        <w:tc>
          <w:tcPr>
            <w:tcW w:w="1146" w:type="dxa"/>
            <w:tcBorders>
              <w:top w:val="nil"/>
              <w:left w:val="nil"/>
              <w:bottom w:val="nil"/>
              <w:right w:val="nil"/>
            </w:tcBorders>
            <w:shd w:val="clear" w:color="auto" w:fill="auto"/>
            <w:vAlign w:val="center"/>
          </w:tcPr>
          <w:p w14:paraId="60C7CF7D"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(16.6, 20.2)</w:t>
            </w:r>
          </w:p>
        </w:tc>
      </w:tr>
      <w:tr w:rsidR="009118DA" w:rsidRPr="008A7800" w14:paraId="0F54C5A2"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2428" w:type="dxa"/>
            <w:tcBorders>
              <w:top w:val="nil"/>
              <w:left w:val="nil"/>
              <w:bottom w:val="nil"/>
              <w:right w:val="nil"/>
            </w:tcBorders>
            <w:shd w:val="clear" w:color="auto" w:fill="auto"/>
            <w:vAlign w:val="center"/>
            <w:hideMark/>
          </w:tcPr>
          <w:p w14:paraId="1B89A113" w14:textId="77777777" w:rsidR="003B4065" w:rsidRPr="008A7800" w:rsidRDefault="003B4065" w:rsidP="003B4065">
            <w:pPr>
              <w:keepNext/>
              <w:spacing w:before="20" w:after="20"/>
              <w:rPr>
                <w:rFonts w:eastAsiaTheme="minorEastAsia"/>
                <w:b w:val="0"/>
                <w:sz w:val="18"/>
                <w:szCs w:val="18"/>
                <w:lang w:eastAsia="en-US"/>
              </w:rPr>
            </w:pPr>
            <w:r w:rsidRPr="008A7800">
              <w:rPr>
                <w:rFonts w:eastAsiaTheme="minorEastAsia"/>
                <w:b w:val="0"/>
                <w:sz w:val="18"/>
                <w:szCs w:val="18"/>
              </w:rPr>
              <w:t xml:space="preserve">   60,001 - 80,000</w:t>
            </w:r>
          </w:p>
        </w:tc>
        <w:tc>
          <w:tcPr>
            <w:tcW w:w="616" w:type="dxa"/>
            <w:tcBorders>
              <w:top w:val="nil"/>
              <w:left w:val="nil"/>
              <w:bottom w:val="nil"/>
              <w:right w:val="nil"/>
            </w:tcBorders>
            <w:shd w:val="clear" w:color="auto" w:fill="auto"/>
            <w:noWrap/>
            <w:vAlign w:val="center"/>
          </w:tcPr>
          <w:p w14:paraId="09F512AC"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620</w:t>
            </w:r>
          </w:p>
        </w:tc>
        <w:tc>
          <w:tcPr>
            <w:tcW w:w="576" w:type="dxa"/>
            <w:tcBorders>
              <w:top w:val="nil"/>
              <w:left w:val="nil"/>
              <w:bottom w:val="nil"/>
              <w:right w:val="nil"/>
            </w:tcBorders>
            <w:shd w:val="clear" w:color="auto" w:fill="auto"/>
            <w:noWrap/>
            <w:vAlign w:val="center"/>
          </w:tcPr>
          <w:p w14:paraId="19DA0FE0"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10.5</w:t>
            </w:r>
          </w:p>
        </w:tc>
        <w:tc>
          <w:tcPr>
            <w:tcW w:w="1146" w:type="dxa"/>
            <w:tcBorders>
              <w:top w:val="nil"/>
              <w:left w:val="nil"/>
              <w:bottom w:val="nil"/>
              <w:right w:val="single" w:sz="4" w:space="0" w:color="auto"/>
            </w:tcBorders>
            <w:shd w:val="clear" w:color="auto" w:fill="auto"/>
            <w:noWrap/>
            <w:vAlign w:val="center"/>
          </w:tcPr>
          <w:p w14:paraId="5D9FD17A"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(9.6, 11.5)</w:t>
            </w:r>
          </w:p>
        </w:tc>
        <w:tc>
          <w:tcPr>
            <w:tcW w:w="616" w:type="dxa"/>
            <w:tcBorders>
              <w:top w:val="nil"/>
              <w:left w:val="single" w:sz="4" w:space="0" w:color="auto"/>
              <w:bottom w:val="nil"/>
              <w:right w:val="nil"/>
            </w:tcBorders>
            <w:shd w:val="clear" w:color="auto" w:fill="auto"/>
            <w:noWrap/>
            <w:vAlign w:val="center"/>
          </w:tcPr>
          <w:p w14:paraId="57340BA3"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378</w:t>
            </w:r>
          </w:p>
        </w:tc>
        <w:tc>
          <w:tcPr>
            <w:tcW w:w="576" w:type="dxa"/>
            <w:tcBorders>
              <w:top w:val="nil"/>
              <w:left w:val="nil"/>
              <w:bottom w:val="nil"/>
              <w:right w:val="nil"/>
            </w:tcBorders>
            <w:shd w:val="clear" w:color="auto" w:fill="auto"/>
            <w:noWrap/>
            <w:vAlign w:val="center"/>
          </w:tcPr>
          <w:p w14:paraId="02AF4FA6"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10.5</w:t>
            </w:r>
          </w:p>
        </w:tc>
        <w:tc>
          <w:tcPr>
            <w:tcW w:w="1146" w:type="dxa"/>
            <w:tcBorders>
              <w:top w:val="nil"/>
              <w:left w:val="nil"/>
              <w:bottom w:val="nil"/>
              <w:right w:val="single" w:sz="4" w:space="0" w:color="000000"/>
            </w:tcBorders>
            <w:shd w:val="clear" w:color="auto" w:fill="auto"/>
            <w:noWrap/>
            <w:vAlign w:val="center"/>
          </w:tcPr>
          <w:p w14:paraId="1A8F4835"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(9.3, 11.6)</w:t>
            </w:r>
          </w:p>
        </w:tc>
        <w:tc>
          <w:tcPr>
            <w:tcW w:w="599" w:type="dxa"/>
            <w:tcBorders>
              <w:top w:val="nil"/>
              <w:left w:val="single" w:sz="4" w:space="0" w:color="000000"/>
              <w:bottom w:val="nil"/>
              <w:right w:val="nil"/>
            </w:tcBorders>
            <w:shd w:val="clear" w:color="auto" w:fill="auto"/>
            <w:vAlign w:val="center"/>
          </w:tcPr>
          <w:p w14:paraId="05D1D5E1"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381</w:t>
            </w:r>
          </w:p>
        </w:tc>
        <w:tc>
          <w:tcPr>
            <w:tcW w:w="558" w:type="dxa"/>
            <w:tcBorders>
              <w:top w:val="nil"/>
              <w:left w:val="nil"/>
              <w:bottom w:val="nil"/>
              <w:right w:val="nil"/>
            </w:tcBorders>
            <w:shd w:val="clear" w:color="auto" w:fill="auto"/>
            <w:vAlign w:val="center"/>
          </w:tcPr>
          <w:p w14:paraId="5E06BAD4"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12.9</w:t>
            </w:r>
          </w:p>
        </w:tc>
        <w:tc>
          <w:tcPr>
            <w:tcW w:w="1146" w:type="dxa"/>
            <w:tcBorders>
              <w:top w:val="nil"/>
              <w:left w:val="nil"/>
              <w:bottom w:val="nil"/>
              <w:right w:val="single" w:sz="4" w:space="0" w:color="auto"/>
            </w:tcBorders>
            <w:shd w:val="clear" w:color="auto" w:fill="auto"/>
            <w:vAlign w:val="center"/>
          </w:tcPr>
          <w:p w14:paraId="433A49A8"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(11.4, 14.3)</w:t>
            </w:r>
          </w:p>
        </w:tc>
        <w:tc>
          <w:tcPr>
            <w:tcW w:w="576" w:type="dxa"/>
            <w:tcBorders>
              <w:left w:val="single" w:sz="4" w:space="0" w:color="auto"/>
              <w:right w:val="nil"/>
            </w:tcBorders>
            <w:shd w:val="clear" w:color="auto" w:fill="auto"/>
            <w:vAlign w:val="center"/>
          </w:tcPr>
          <w:p w14:paraId="2E28886D"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362</w:t>
            </w:r>
          </w:p>
        </w:tc>
        <w:tc>
          <w:tcPr>
            <w:tcW w:w="531" w:type="dxa"/>
            <w:tcBorders>
              <w:left w:val="nil"/>
              <w:right w:val="nil"/>
            </w:tcBorders>
            <w:shd w:val="clear" w:color="auto" w:fill="auto"/>
            <w:vAlign w:val="center"/>
          </w:tcPr>
          <w:p w14:paraId="640681A1"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13.4</w:t>
            </w:r>
          </w:p>
        </w:tc>
        <w:tc>
          <w:tcPr>
            <w:tcW w:w="1146" w:type="dxa"/>
            <w:tcBorders>
              <w:top w:val="nil"/>
              <w:left w:val="nil"/>
              <w:bottom w:val="nil"/>
              <w:right w:val="nil"/>
            </w:tcBorders>
            <w:shd w:val="clear" w:color="auto" w:fill="auto"/>
            <w:vAlign w:val="center"/>
          </w:tcPr>
          <w:p w14:paraId="68A7FAFE"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(11.8, 15</w:t>
            </w:r>
            <w:r w:rsidR="0013026A" w:rsidRPr="008A7800">
              <w:rPr>
                <w:sz w:val="18"/>
                <w:szCs w:val="18"/>
              </w:rPr>
              <w:t>.0</w:t>
            </w:r>
            <w:r w:rsidRPr="008A7800">
              <w:rPr>
                <w:sz w:val="18"/>
                <w:szCs w:val="18"/>
              </w:rPr>
              <w:t>)</w:t>
            </w:r>
          </w:p>
        </w:tc>
      </w:tr>
      <w:tr w:rsidR="009118DA" w:rsidRPr="008A7800" w14:paraId="68095DCB"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428" w:type="dxa"/>
            <w:tcBorders>
              <w:top w:val="nil"/>
              <w:left w:val="nil"/>
              <w:bottom w:val="nil"/>
              <w:right w:val="nil"/>
            </w:tcBorders>
            <w:vAlign w:val="center"/>
            <w:hideMark/>
          </w:tcPr>
          <w:p w14:paraId="422E85C8" w14:textId="77777777" w:rsidR="003B4065" w:rsidRPr="008A7800" w:rsidRDefault="003B4065" w:rsidP="003B4065">
            <w:pPr>
              <w:spacing w:before="20" w:after="20"/>
              <w:rPr>
                <w:rFonts w:eastAsiaTheme="minorEastAsia"/>
                <w:b w:val="0"/>
                <w:sz w:val="18"/>
                <w:szCs w:val="18"/>
                <w:lang w:eastAsia="en-US"/>
              </w:rPr>
            </w:pPr>
            <w:r w:rsidRPr="008A7800">
              <w:rPr>
                <w:rFonts w:eastAsiaTheme="minorEastAsia"/>
                <w:b w:val="0"/>
                <w:sz w:val="18"/>
                <w:szCs w:val="18"/>
              </w:rPr>
              <w:t xml:space="preserve">   80,001 - 100,000</w:t>
            </w:r>
          </w:p>
        </w:tc>
        <w:tc>
          <w:tcPr>
            <w:tcW w:w="616" w:type="dxa"/>
            <w:tcBorders>
              <w:top w:val="nil"/>
              <w:left w:val="nil"/>
              <w:bottom w:val="nil"/>
              <w:right w:val="nil"/>
            </w:tcBorders>
            <w:noWrap/>
            <w:vAlign w:val="center"/>
          </w:tcPr>
          <w:p w14:paraId="0DCF30C3"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293</w:t>
            </w:r>
          </w:p>
        </w:tc>
        <w:tc>
          <w:tcPr>
            <w:tcW w:w="576" w:type="dxa"/>
            <w:tcBorders>
              <w:top w:val="nil"/>
              <w:left w:val="nil"/>
              <w:bottom w:val="nil"/>
              <w:right w:val="nil"/>
            </w:tcBorders>
            <w:noWrap/>
            <w:vAlign w:val="center"/>
          </w:tcPr>
          <w:p w14:paraId="608E59EB"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5.0</w:t>
            </w:r>
          </w:p>
        </w:tc>
        <w:tc>
          <w:tcPr>
            <w:tcW w:w="1146" w:type="dxa"/>
            <w:tcBorders>
              <w:top w:val="nil"/>
              <w:left w:val="nil"/>
              <w:bottom w:val="nil"/>
              <w:right w:val="single" w:sz="4" w:space="0" w:color="auto"/>
            </w:tcBorders>
            <w:noWrap/>
            <w:vAlign w:val="center"/>
          </w:tcPr>
          <w:p w14:paraId="501C653C"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(4.3, 5.6)</w:t>
            </w:r>
          </w:p>
        </w:tc>
        <w:tc>
          <w:tcPr>
            <w:tcW w:w="616" w:type="dxa"/>
            <w:tcBorders>
              <w:top w:val="nil"/>
              <w:left w:val="single" w:sz="4" w:space="0" w:color="auto"/>
              <w:bottom w:val="nil"/>
              <w:right w:val="nil"/>
            </w:tcBorders>
            <w:noWrap/>
            <w:vAlign w:val="center"/>
          </w:tcPr>
          <w:p w14:paraId="6C6498F8"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196</w:t>
            </w:r>
          </w:p>
        </w:tc>
        <w:tc>
          <w:tcPr>
            <w:tcW w:w="576" w:type="dxa"/>
            <w:tcBorders>
              <w:top w:val="nil"/>
              <w:left w:val="nil"/>
              <w:bottom w:val="nil"/>
              <w:right w:val="nil"/>
            </w:tcBorders>
            <w:noWrap/>
            <w:vAlign w:val="center"/>
          </w:tcPr>
          <w:p w14:paraId="6A4D4AB1"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5.4</w:t>
            </w:r>
          </w:p>
        </w:tc>
        <w:tc>
          <w:tcPr>
            <w:tcW w:w="1146" w:type="dxa"/>
            <w:tcBorders>
              <w:top w:val="nil"/>
              <w:left w:val="nil"/>
              <w:bottom w:val="nil"/>
              <w:right w:val="single" w:sz="4" w:space="0" w:color="000000"/>
            </w:tcBorders>
            <w:shd w:val="clear" w:color="auto" w:fill="FFFFFF" w:themeFill="background1"/>
            <w:noWrap/>
            <w:vAlign w:val="center"/>
          </w:tcPr>
          <w:p w14:paraId="32375805"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94.6, 6.3)</w:t>
            </w:r>
          </w:p>
        </w:tc>
        <w:tc>
          <w:tcPr>
            <w:tcW w:w="599" w:type="dxa"/>
            <w:tcBorders>
              <w:top w:val="nil"/>
              <w:left w:val="single" w:sz="4" w:space="0" w:color="000000"/>
              <w:bottom w:val="nil"/>
              <w:right w:val="nil"/>
            </w:tcBorders>
            <w:shd w:val="clear" w:color="auto" w:fill="FFFFFF" w:themeFill="background1"/>
            <w:vAlign w:val="center"/>
          </w:tcPr>
          <w:p w14:paraId="10388AFD"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171</w:t>
            </w:r>
          </w:p>
        </w:tc>
        <w:tc>
          <w:tcPr>
            <w:tcW w:w="558" w:type="dxa"/>
            <w:tcBorders>
              <w:top w:val="nil"/>
              <w:left w:val="nil"/>
              <w:bottom w:val="nil"/>
              <w:right w:val="nil"/>
            </w:tcBorders>
            <w:shd w:val="clear" w:color="auto" w:fill="FFFFFF" w:themeFill="background1"/>
            <w:vAlign w:val="center"/>
          </w:tcPr>
          <w:p w14:paraId="6438D736"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5.8</w:t>
            </w:r>
          </w:p>
        </w:tc>
        <w:tc>
          <w:tcPr>
            <w:tcW w:w="1146" w:type="dxa"/>
            <w:tcBorders>
              <w:top w:val="nil"/>
              <w:left w:val="nil"/>
              <w:bottom w:val="nil"/>
              <w:right w:val="single" w:sz="4" w:space="0" w:color="auto"/>
            </w:tcBorders>
            <w:shd w:val="clear" w:color="auto" w:fill="FFFFFF" w:themeFill="background1"/>
            <w:vAlign w:val="center"/>
          </w:tcPr>
          <w:p w14:paraId="73A52182"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(4.7, 6.8)</w:t>
            </w:r>
          </w:p>
        </w:tc>
        <w:tc>
          <w:tcPr>
            <w:tcW w:w="576" w:type="dxa"/>
            <w:tcBorders>
              <w:left w:val="single" w:sz="4" w:space="0" w:color="auto"/>
              <w:right w:val="nil"/>
            </w:tcBorders>
            <w:vAlign w:val="center"/>
          </w:tcPr>
          <w:p w14:paraId="210371D6"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172</w:t>
            </w:r>
          </w:p>
        </w:tc>
        <w:tc>
          <w:tcPr>
            <w:tcW w:w="531" w:type="dxa"/>
            <w:tcBorders>
              <w:left w:val="nil"/>
              <w:right w:val="nil"/>
            </w:tcBorders>
            <w:vAlign w:val="center"/>
          </w:tcPr>
          <w:p w14:paraId="1C32F117"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6.4</w:t>
            </w:r>
          </w:p>
        </w:tc>
        <w:tc>
          <w:tcPr>
            <w:tcW w:w="1146" w:type="dxa"/>
            <w:tcBorders>
              <w:top w:val="nil"/>
              <w:left w:val="nil"/>
              <w:bottom w:val="nil"/>
              <w:right w:val="nil"/>
            </w:tcBorders>
            <w:shd w:val="clear" w:color="auto" w:fill="FFFFFF" w:themeFill="background1"/>
            <w:vAlign w:val="center"/>
          </w:tcPr>
          <w:p w14:paraId="6957CABB"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(5.3, 7.5)</w:t>
            </w:r>
          </w:p>
        </w:tc>
      </w:tr>
      <w:tr w:rsidR="009118DA" w:rsidRPr="008A7800" w14:paraId="361B5901"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428" w:type="dxa"/>
            <w:tcBorders>
              <w:top w:val="nil"/>
              <w:left w:val="nil"/>
              <w:bottom w:val="nil"/>
              <w:right w:val="nil"/>
            </w:tcBorders>
            <w:vAlign w:val="center"/>
            <w:hideMark/>
          </w:tcPr>
          <w:p w14:paraId="4A602A3C" w14:textId="77777777" w:rsidR="003B4065" w:rsidRPr="008A7800" w:rsidRDefault="003B4065" w:rsidP="003B4065">
            <w:pPr>
              <w:spacing w:before="20" w:after="20"/>
              <w:rPr>
                <w:rFonts w:eastAsiaTheme="minorEastAsia"/>
                <w:b w:val="0"/>
                <w:sz w:val="18"/>
                <w:szCs w:val="18"/>
                <w:lang w:eastAsia="en-US"/>
              </w:rPr>
            </w:pPr>
            <w:r w:rsidRPr="008A7800">
              <w:rPr>
                <w:rFonts w:eastAsiaTheme="minorEastAsia"/>
                <w:b w:val="0"/>
                <w:sz w:val="18"/>
                <w:szCs w:val="18"/>
              </w:rPr>
              <w:t xml:space="preserve">   Over 100,000</w:t>
            </w:r>
          </w:p>
        </w:tc>
        <w:tc>
          <w:tcPr>
            <w:tcW w:w="616" w:type="dxa"/>
            <w:tcBorders>
              <w:top w:val="nil"/>
              <w:left w:val="nil"/>
              <w:bottom w:val="nil"/>
              <w:right w:val="nil"/>
            </w:tcBorders>
            <w:noWrap/>
            <w:vAlign w:val="center"/>
          </w:tcPr>
          <w:p w14:paraId="66411271"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383</w:t>
            </w:r>
          </w:p>
        </w:tc>
        <w:tc>
          <w:tcPr>
            <w:tcW w:w="576" w:type="dxa"/>
            <w:tcBorders>
              <w:top w:val="nil"/>
              <w:left w:val="nil"/>
              <w:bottom w:val="nil"/>
              <w:right w:val="nil"/>
            </w:tcBorders>
            <w:noWrap/>
            <w:vAlign w:val="center"/>
          </w:tcPr>
          <w:p w14:paraId="696D604D"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6.5</w:t>
            </w:r>
          </w:p>
        </w:tc>
        <w:tc>
          <w:tcPr>
            <w:tcW w:w="1146" w:type="dxa"/>
            <w:tcBorders>
              <w:top w:val="nil"/>
              <w:left w:val="nil"/>
              <w:bottom w:val="nil"/>
              <w:right w:val="single" w:sz="4" w:space="0" w:color="auto"/>
            </w:tcBorders>
            <w:noWrap/>
            <w:vAlign w:val="center"/>
          </w:tcPr>
          <w:p w14:paraId="24144F5A"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(5.7, 7.3)</w:t>
            </w:r>
          </w:p>
        </w:tc>
        <w:tc>
          <w:tcPr>
            <w:tcW w:w="616" w:type="dxa"/>
            <w:tcBorders>
              <w:top w:val="nil"/>
              <w:left w:val="single" w:sz="4" w:space="0" w:color="auto"/>
              <w:bottom w:val="nil"/>
              <w:right w:val="nil"/>
            </w:tcBorders>
            <w:noWrap/>
            <w:vAlign w:val="center"/>
          </w:tcPr>
          <w:p w14:paraId="3A350052"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255</w:t>
            </w:r>
          </w:p>
        </w:tc>
        <w:tc>
          <w:tcPr>
            <w:tcW w:w="576" w:type="dxa"/>
            <w:tcBorders>
              <w:top w:val="nil"/>
              <w:left w:val="nil"/>
              <w:bottom w:val="nil"/>
              <w:right w:val="nil"/>
            </w:tcBorders>
            <w:noWrap/>
            <w:vAlign w:val="center"/>
          </w:tcPr>
          <w:p w14:paraId="1E5A0E5A"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7.1</w:t>
            </w:r>
          </w:p>
        </w:tc>
        <w:tc>
          <w:tcPr>
            <w:tcW w:w="1146" w:type="dxa"/>
            <w:tcBorders>
              <w:top w:val="nil"/>
              <w:left w:val="nil"/>
              <w:bottom w:val="nil"/>
              <w:right w:val="single" w:sz="4" w:space="0" w:color="000000"/>
            </w:tcBorders>
            <w:shd w:val="clear" w:color="auto" w:fill="FFFFFF" w:themeFill="background1"/>
            <w:noWrap/>
            <w:vAlign w:val="center"/>
          </w:tcPr>
          <w:p w14:paraId="7FE54DE3"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(6.0, 8.1)</w:t>
            </w:r>
          </w:p>
        </w:tc>
        <w:tc>
          <w:tcPr>
            <w:tcW w:w="599" w:type="dxa"/>
            <w:tcBorders>
              <w:top w:val="nil"/>
              <w:left w:val="single" w:sz="4" w:space="0" w:color="000000"/>
              <w:bottom w:val="nil"/>
              <w:right w:val="nil"/>
            </w:tcBorders>
            <w:shd w:val="clear" w:color="auto" w:fill="FFFFFF" w:themeFill="background1"/>
            <w:vAlign w:val="center"/>
          </w:tcPr>
          <w:p w14:paraId="1AE9EA57"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224</w:t>
            </w:r>
          </w:p>
        </w:tc>
        <w:tc>
          <w:tcPr>
            <w:tcW w:w="558" w:type="dxa"/>
            <w:tcBorders>
              <w:top w:val="nil"/>
              <w:left w:val="nil"/>
              <w:bottom w:val="nil"/>
              <w:right w:val="nil"/>
            </w:tcBorders>
            <w:shd w:val="clear" w:color="auto" w:fill="FFFFFF" w:themeFill="background1"/>
            <w:vAlign w:val="center"/>
          </w:tcPr>
          <w:p w14:paraId="1ACFBC3D"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7.5</w:t>
            </w:r>
          </w:p>
        </w:tc>
        <w:tc>
          <w:tcPr>
            <w:tcW w:w="1146" w:type="dxa"/>
            <w:tcBorders>
              <w:top w:val="nil"/>
              <w:left w:val="nil"/>
              <w:bottom w:val="nil"/>
              <w:right w:val="single" w:sz="4" w:space="0" w:color="auto"/>
            </w:tcBorders>
            <w:shd w:val="clear" w:color="auto" w:fill="FFFFFF" w:themeFill="background1"/>
            <w:vAlign w:val="center"/>
          </w:tcPr>
          <w:p w14:paraId="2E751F37"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(6.4, 8.7)</w:t>
            </w:r>
          </w:p>
        </w:tc>
        <w:tc>
          <w:tcPr>
            <w:tcW w:w="576" w:type="dxa"/>
            <w:tcBorders>
              <w:left w:val="single" w:sz="4" w:space="0" w:color="auto"/>
              <w:bottom w:val="nil"/>
              <w:right w:val="nil"/>
            </w:tcBorders>
            <w:vAlign w:val="center"/>
          </w:tcPr>
          <w:p w14:paraId="5E3B5D84"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205</w:t>
            </w:r>
          </w:p>
        </w:tc>
        <w:tc>
          <w:tcPr>
            <w:tcW w:w="531" w:type="dxa"/>
            <w:tcBorders>
              <w:left w:val="nil"/>
              <w:bottom w:val="nil"/>
              <w:right w:val="nil"/>
            </w:tcBorders>
            <w:vAlign w:val="center"/>
          </w:tcPr>
          <w:p w14:paraId="267F774F"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7.6</w:t>
            </w:r>
          </w:p>
        </w:tc>
        <w:tc>
          <w:tcPr>
            <w:tcW w:w="1146" w:type="dxa"/>
            <w:tcBorders>
              <w:top w:val="nil"/>
              <w:left w:val="nil"/>
              <w:bottom w:val="nil"/>
              <w:right w:val="nil"/>
            </w:tcBorders>
            <w:shd w:val="clear" w:color="auto" w:fill="FFFFFF" w:themeFill="background1"/>
            <w:vAlign w:val="center"/>
          </w:tcPr>
          <w:p w14:paraId="0310C9D3"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(6.4, 8.8)</w:t>
            </w:r>
          </w:p>
        </w:tc>
      </w:tr>
      <w:tr w:rsidR="009118DA" w:rsidRPr="008A7800" w14:paraId="1B26FD40"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428" w:type="dxa"/>
            <w:tcBorders>
              <w:top w:val="nil"/>
              <w:left w:val="nil"/>
              <w:bottom w:val="single" w:sz="4" w:space="0" w:color="auto"/>
              <w:right w:val="nil"/>
            </w:tcBorders>
            <w:vAlign w:val="center"/>
          </w:tcPr>
          <w:p w14:paraId="52323B6E" w14:textId="77777777" w:rsidR="003B4065" w:rsidRPr="008A7800" w:rsidRDefault="003B4065" w:rsidP="003B4065">
            <w:pPr>
              <w:spacing w:before="20" w:after="60"/>
              <w:rPr>
                <w:rFonts w:eastAsiaTheme="minorEastAsia"/>
                <w:b w:val="0"/>
                <w:sz w:val="18"/>
                <w:szCs w:val="18"/>
              </w:rPr>
            </w:pPr>
            <w:r w:rsidRPr="008A7800">
              <w:rPr>
                <w:rFonts w:eastAsiaTheme="minorEastAsia"/>
                <w:b w:val="0"/>
                <w:sz w:val="18"/>
                <w:szCs w:val="18"/>
              </w:rPr>
              <w:t xml:space="preserve">   Missing</w:t>
            </w:r>
          </w:p>
        </w:tc>
        <w:tc>
          <w:tcPr>
            <w:tcW w:w="616" w:type="dxa"/>
            <w:tcBorders>
              <w:top w:val="nil"/>
              <w:left w:val="nil"/>
              <w:bottom w:val="single" w:sz="4" w:space="0" w:color="auto"/>
              <w:right w:val="nil"/>
            </w:tcBorders>
            <w:noWrap/>
            <w:vAlign w:val="center"/>
          </w:tcPr>
          <w:p w14:paraId="6C1EC10D"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379</w:t>
            </w:r>
          </w:p>
        </w:tc>
        <w:tc>
          <w:tcPr>
            <w:tcW w:w="576" w:type="dxa"/>
            <w:tcBorders>
              <w:top w:val="nil"/>
              <w:left w:val="nil"/>
              <w:bottom w:val="single" w:sz="4" w:space="0" w:color="auto"/>
              <w:right w:val="nil"/>
            </w:tcBorders>
            <w:noWrap/>
            <w:vAlign w:val="center"/>
          </w:tcPr>
          <w:p w14:paraId="72E1049C"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t>
            </w:r>
          </w:p>
        </w:tc>
        <w:tc>
          <w:tcPr>
            <w:tcW w:w="1146" w:type="dxa"/>
            <w:tcBorders>
              <w:top w:val="nil"/>
              <w:left w:val="nil"/>
              <w:bottom w:val="single" w:sz="4" w:space="0" w:color="auto"/>
              <w:right w:val="single" w:sz="4" w:space="0" w:color="auto"/>
            </w:tcBorders>
            <w:noWrap/>
            <w:vAlign w:val="center"/>
          </w:tcPr>
          <w:p w14:paraId="3D7ABC4C"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16" w:type="dxa"/>
            <w:tcBorders>
              <w:top w:val="nil"/>
              <w:left w:val="single" w:sz="4" w:space="0" w:color="auto"/>
              <w:bottom w:val="single" w:sz="4" w:space="0" w:color="auto"/>
              <w:right w:val="nil"/>
            </w:tcBorders>
            <w:noWrap/>
            <w:vAlign w:val="center"/>
          </w:tcPr>
          <w:p w14:paraId="2896918B"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137</w:t>
            </w:r>
          </w:p>
        </w:tc>
        <w:tc>
          <w:tcPr>
            <w:tcW w:w="576" w:type="dxa"/>
            <w:tcBorders>
              <w:top w:val="nil"/>
              <w:left w:val="nil"/>
              <w:bottom w:val="single" w:sz="4" w:space="0" w:color="auto"/>
              <w:right w:val="nil"/>
            </w:tcBorders>
            <w:noWrap/>
            <w:vAlign w:val="center"/>
          </w:tcPr>
          <w:p w14:paraId="335A447C"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t>
            </w:r>
          </w:p>
        </w:tc>
        <w:tc>
          <w:tcPr>
            <w:tcW w:w="1146" w:type="dxa"/>
            <w:tcBorders>
              <w:top w:val="nil"/>
              <w:left w:val="nil"/>
              <w:bottom w:val="single" w:sz="4" w:space="0" w:color="auto"/>
              <w:right w:val="single" w:sz="4" w:space="0" w:color="000000"/>
            </w:tcBorders>
            <w:shd w:val="clear" w:color="auto" w:fill="FFFFFF" w:themeFill="background1"/>
            <w:noWrap/>
            <w:vAlign w:val="center"/>
          </w:tcPr>
          <w:p w14:paraId="29020B5C"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99" w:type="dxa"/>
            <w:tcBorders>
              <w:top w:val="nil"/>
              <w:left w:val="single" w:sz="4" w:space="0" w:color="000000"/>
              <w:bottom w:val="single" w:sz="4" w:space="0" w:color="auto"/>
              <w:right w:val="nil"/>
            </w:tcBorders>
            <w:shd w:val="clear" w:color="auto" w:fill="FFFFFF" w:themeFill="background1"/>
            <w:vAlign w:val="center"/>
          </w:tcPr>
          <w:p w14:paraId="4E7A98BF"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159</w:t>
            </w:r>
          </w:p>
        </w:tc>
        <w:tc>
          <w:tcPr>
            <w:tcW w:w="558" w:type="dxa"/>
            <w:tcBorders>
              <w:top w:val="nil"/>
              <w:left w:val="nil"/>
              <w:bottom w:val="single" w:sz="4" w:space="0" w:color="auto"/>
              <w:right w:val="nil"/>
            </w:tcBorders>
            <w:shd w:val="clear" w:color="auto" w:fill="FFFFFF" w:themeFill="background1"/>
            <w:vAlign w:val="center"/>
          </w:tcPr>
          <w:p w14:paraId="5042A66F"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w:t>
            </w:r>
          </w:p>
        </w:tc>
        <w:tc>
          <w:tcPr>
            <w:tcW w:w="1146" w:type="dxa"/>
            <w:tcBorders>
              <w:top w:val="nil"/>
              <w:left w:val="nil"/>
              <w:bottom w:val="single" w:sz="4" w:space="0" w:color="auto"/>
              <w:right w:val="single" w:sz="4" w:space="0" w:color="auto"/>
            </w:tcBorders>
            <w:shd w:val="clear" w:color="auto" w:fill="FFFFFF" w:themeFill="background1"/>
            <w:vAlign w:val="center"/>
          </w:tcPr>
          <w:p w14:paraId="27F7E25E"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 </w:t>
            </w:r>
          </w:p>
        </w:tc>
        <w:tc>
          <w:tcPr>
            <w:tcW w:w="576" w:type="dxa"/>
            <w:tcBorders>
              <w:top w:val="nil"/>
              <w:left w:val="single" w:sz="4" w:space="0" w:color="auto"/>
              <w:bottom w:val="single" w:sz="4" w:space="0" w:color="auto"/>
              <w:right w:val="nil"/>
            </w:tcBorders>
            <w:vAlign w:val="center"/>
          </w:tcPr>
          <w:p w14:paraId="6BB3F528"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68</w:t>
            </w:r>
          </w:p>
        </w:tc>
        <w:tc>
          <w:tcPr>
            <w:tcW w:w="531" w:type="dxa"/>
            <w:tcBorders>
              <w:top w:val="nil"/>
              <w:left w:val="nil"/>
              <w:bottom w:val="single" w:sz="4" w:space="0" w:color="auto"/>
              <w:right w:val="nil"/>
            </w:tcBorders>
            <w:vAlign w:val="center"/>
          </w:tcPr>
          <w:p w14:paraId="71D0E488"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w:t>
            </w:r>
          </w:p>
        </w:tc>
        <w:tc>
          <w:tcPr>
            <w:tcW w:w="1146" w:type="dxa"/>
            <w:tcBorders>
              <w:top w:val="nil"/>
              <w:left w:val="nil"/>
              <w:bottom w:val="single" w:sz="4" w:space="0" w:color="auto"/>
              <w:right w:val="nil"/>
            </w:tcBorders>
            <w:shd w:val="clear" w:color="auto" w:fill="FFFFFF" w:themeFill="background1"/>
            <w:vAlign w:val="center"/>
          </w:tcPr>
          <w:p w14:paraId="75DC2FE9"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p>
        </w:tc>
      </w:tr>
    </w:tbl>
    <w:p w14:paraId="41CE409D" w14:textId="77777777" w:rsidR="003B4065" w:rsidRDefault="003B4065"/>
    <w:tbl>
      <w:tblPr>
        <w:tblStyle w:val="LightShading4"/>
        <w:tblW w:w="11431" w:type="dxa"/>
        <w:jc w:val="center"/>
        <w:tblLook w:val="06A0" w:firstRow="1" w:lastRow="0" w:firstColumn="1" w:lastColumn="0" w:noHBand="1" w:noVBand="1"/>
      </w:tblPr>
      <w:tblGrid>
        <w:gridCol w:w="2192"/>
        <w:gridCol w:w="616"/>
        <w:gridCol w:w="576"/>
        <w:gridCol w:w="1146"/>
        <w:gridCol w:w="616"/>
        <w:gridCol w:w="576"/>
        <w:gridCol w:w="1146"/>
        <w:gridCol w:w="602"/>
        <w:gridCol w:w="562"/>
        <w:gridCol w:w="1146"/>
        <w:gridCol w:w="576"/>
        <w:gridCol w:w="531"/>
        <w:gridCol w:w="1146"/>
      </w:tblGrid>
      <w:tr w:rsidR="003B4065" w:rsidRPr="008A7800" w14:paraId="6C904FF9" w14:textId="77777777" w:rsidTr="008A780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192" w:type="dxa"/>
            <w:vMerge w:val="restart"/>
            <w:tcBorders>
              <w:bottom w:val="single" w:sz="4" w:space="0" w:color="auto"/>
            </w:tcBorders>
            <w:vAlign w:val="bottom"/>
            <w:hideMark/>
          </w:tcPr>
          <w:p w14:paraId="2091A200" w14:textId="77777777" w:rsidR="003B4065" w:rsidRPr="008A7800" w:rsidRDefault="003B4065" w:rsidP="003B4065">
            <w:pPr>
              <w:keepNext/>
              <w:spacing w:before="20" w:after="20"/>
              <w:rPr>
                <w:rFonts w:eastAsiaTheme="minorEastAsia"/>
                <w:sz w:val="18"/>
                <w:szCs w:val="18"/>
                <w:lang w:eastAsia="en-US"/>
              </w:rPr>
            </w:pPr>
            <w:r w:rsidRPr="008A7800">
              <w:rPr>
                <w:rFonts w:eastAsiaTheme="minorEastAsia"/>
                <w:sz w:val="18"/>
                <w:szCs w:val="18"/>
              </w:rPr>
              <w:t>Demographic variables</w:t>
            </w:r>
          </w:p>
        </w:tc>
        <w:tc>
          <w:tcPr>
            <w:tcW w:w="2338" w:type="dxa"/>
            <w:gridSpan w:val="3"/>
            <w:tcBorders>
              <w:bottom w:val="single" w:sz="4" w:space="0" w:color="auto"/>
              <w:right w:val="single" w:sz="4" w:space="0" w:color="auto"/>
            </w:tcBorders>
            <w:noWrap/>
            <w:vAlign w:val="center"/>
            <w:hideMark/>
          </w:tcPr>
          <w:p w14:paraId="0E00A11C" w14:textId="77777777" w:rsidR="003B4065" w:rsidRPr="008A7800" w:rsidRDefault="003B4065" w:rsidP="003B4065">
            <w:pPr>
              <w:keepNext/>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8"/>
                <w:szCs w:val="18"/>
                <w:lang w:eastAsia="en-US"/>
              </w:rPr>
            </w:pPr>
            <w:r w:rsidRPr="008A7800">
              <w:rPr>
                <w:rFonts w:eastAsiaTheme="minorEastAsia"/>
                <w:sz w:val="18"/>
                <w:szCs w:val="18"/>
              </w:rPr>
              <w:t>Wave 1</w:t>
            </w:r>
          </w:p>
        </w:tc>
        <w:tc>
          <w:tcPr>
            <w:tcW w:w="2338" w:type="dxa"/>
            <w:gridSpan w:val="3"/>
            <w:tcBorders>
              <w:left w:val="single" w:sz="4" w:space="0" w:color="auto"/>
              <w:bottom w:val="single" w:sz="4" w:space="0" w:color="auto"/>
            </w:tcBorders>
            <w:vAlign w:val="center"/>
          </w:tcPr>
          <w:p w14:paraId="4931711C" w14:textId="77777777" w:rsidR="003B4065" w:rsidRPr="008A7800" w:rsidRDefault="003B4065" w:rsidP="003B4065">
            <w:pPr>
              <w:keepNext/>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Wave 2</w:t>
            </w:r>
          </w:p>
        </w:tc>
        <w:tc>
          <w:tcPr>
            <w:tcW w:w="2310" w:type="dxa"/>
            <w:gridSpan w:val="3"/>
            <w:tcBorders>
              <w:left w:val="single" w:sz="4" w:space="0" w:color="auto"/>
              <w:bottom w:val="single" w:sz="4" w:space="0" w:color="auto"/>
            </w:tcBorders>
            <w:vAlign w:val="center"/>
          </w:tcPr>
          <w:p w14:paraId="08CD1305" w14:textId="77777777" w:rsidR="003B4065" w:rsidRPr="008A7800" w:rsidRDefault="003B4065" w:rsidP="003B4065">
            <w:pPr>
              <w:keepNext/>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Wave 3</w:t>
            </w:r>
          </w:p>
        </w:tc>
        <w:tc>
          <w:tcPr>
            <w:tcW w:w="2253" w:type="dxa"/>
            <w:gridSpan w:val="3"/>
            <w:tcBorders>
              <w:left w:val="single" w:sz="4" w:space="0" w:color="auto"/>
              <w:bottom w:val="single" w:sz="4" w:space="0" w:color="auto"/>
            </w:tcBorders>
          </w:tcPr>
          <w:p w14:paraId="3E5F641C" w14:textId="77777777" w:rsidR="003B4065" w:rsidRPr="008A7800" w:rsidRDefault="003B4065" w:rsidP="003B4065">
            <w:pPr>
              <w:keepNext/>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Wave 4</w:t>
            </w:r>
          </w:p>
        </w:tc>
      </w:tr>
      <w:tr w:rsidR="003B4065" w:rsidRPr="008A7800" w14:paraId="59A04731" w14:textId="77777777" w:rsidTr="008A780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192" w:type="dxa"/>
            <w:vMerge/>
            <w:tcBorders>
              <w:bottom w:val="single" w:sz="4" w:space="0" w:color="auto"/>
            </w:tcBorders>
            <w:vAlign w:val="center"/>
            <w:hideMark/>
          </w:tcPr>
          <w:p w14:paraId="7759006F" w14:textId="77777777" w:rsidR="003B4065" w:rsidRPr="008A7800" w:rsidRDefault="003B4065" w:rsidP="003B4065">
            <w:pPr>
              <w:keepNext/>
              <w:spacing w:before="20" w:after="20"/>
              <w:rPr>
                <w:rFonts w:eastAsiaTheme="minorEastAsia"/>
                <w:sz w:val="18"/>
                <w:szCs w:val="18"/>
                <w:lang w:eastAsia="en-US"/>
              </w:rPr>
            </w:pPr>
          </w:p>
        </w:tc>
        <w:tc>
          <w:tcPr>
            <w:tcW w:w="616" w:type="dxa"/>
            <w:tcBorders>
              <w:top w:val="single" w:sz="4" w:space="0" w:color="auto"/>
              <w:bottom w:val="single" w:sz="4" w:space="0" w:color="auto"/>
            </w:tcBorders>
            <w:noWrap/>
            <w:vAlign w:val="bottom"/>
            <w:hideMark/>
          </w:tcPr>
          <w:p w14:paraId="2C72A1A1" w14:textId="77777777" w:rsidR="003B4065" w:rsidRPr="008A7800" w:rsidRDefault="003B4065" w:rsidP="003B4065">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rPr>
              <w:t>n</w:t>
            </w:r>
          </w:p>
        </w:tc>
        <w:tc>
          <w:tcPr>
            <w:tcW w:w="576" w:type="dxa"/>
            <w:tcBorders>
              <w:top w:val="single" w:sz="4" w:space="0" w:color="auto"/>
              <w:bottom w:val="single" w:sz="4" w:space="0" w:color="auto"/>
            </w:tcBorders>
            <w:noWrap/>
            <w:vAlign w:val="bottom"/>
            <w:hideMark/>
          </w:tcPr>
          <w:p w14:paraId="44AF6857" w14:textId="77777777" w:rsidR="003B4065" w:rsidRPr="008A7800" w:rsidRDefault="003B4065" w:rsidP="003B4065">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rPr>
              <w:t>%</w:t>
            </w:r>
          </w:p>
        </w:tc>
        <w:tc>
          <w:tcPr>
            <w:tcW w:w="1146" w:type="dxa"/>
            <w:tcBorders>
              <w:top w:val="single" w:sz="4" w:space="0" w:color="auto"/>
              <w:bottom w:val="single" w:sz="4" w:space="0" w:color="auto"/>
              <w:right w:val="single" w:sz="4" w:space="0" w:color="auto"/>
            </w:tcBorders>
            <w:noWrap/>
            <w:vAlign w:val="bottom"/>
          </w:tcPr>
          <w:p w14:paraId="1842BD0E" w14:textId="77777777" w:rsidR="003B4065" w:rsidRPr="008A7800" w:rsidRDefault="003B4065" w:rsidP="003B4065">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(95% CI)</w:t>
            </w:r>
          </w:p>
        </w:tc>
        <w:tc>
          <w:tcPr>
            <w:tcW w:w="616" w:type="dxa"/>
            <w:tcBorders>
              <w:top w:val="single" w:sz="4" w:space="0" w:color="auto"/>
              <w:left w:val="single" w:sz="4" w:space="0" w:color="auto"/>
              <w:bottom w:val="single" w:sz="4" w:space="0" w:color="auto"/>
            </w:tcBorders>
            <w:noWrap/>
            <w:vAlign w:val="bottom"/>
          </w:tcPr>
          <w:p w14:paraId="535B87B2" w14:textId="77777777" w:rsidR="003B4065" w:rsidRPr="008A7800" w:rsidRDefault="003B4065" w:rsidP="003B4065">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n</w:t>
            </w:r>
          </w:p>
        </w:tc>
        <w:tc>
          <w:tcPr>
            <w:tcW w:w="576" w:type="dxa"/>
            <w:tcBorders>
              <w:top w:val="single" w:sz="4" w:space="0" w:color="auto"/>
              <w:bottom w:val="single" w:sz="4" w:space="0" w:color="auto"/>
            </w:tcBorders>
            <w:noWrap/>
            <w:vAlign w:val="bottom"/>
          </w:tcPr>
          <w:p w14:paraId="797187AF" w14:textId="77777777" w:rsidR="003B4065" w:rsidRPr="008A7800" w:rsidRDefault="003B4065" w:rsidP="003B4065">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w:t>
            </w:r>
          </w:p>
        </w:tc>
        <w:tc>
          <w:tcPr>
            <w:tcW w:w="1146" w:type="dxa"/>
            <w:tcBorders>
              <w:top w:val="single" w:sz="4" w:space="0" w:color="auto"/>
              <w:bottom w:val="single" w:sz="4" w:space="0" w:color="auto"/>
              <w:right w:val="single" w:sz="4" w:space="0" w:color="000000"/>
            </w:tcBorders>
            <w:shd w:val="clear" w:color="auto" w:fill="FFFFFF" w:themeFill="background1"/>
            <w:noWrap/>
            <w:vAlign w:val="bottom"/>
          </w:tcPr>
          <w:p w14:paraId="136F447B" w14:textId="77777777" w:rsidR="003B4065" w:rsidRPr="008A7800" w:rsidRDefault="003B4065" w:rsidP="003B4065">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8A7800">
              <w:rPr>
                <w:rFonts w:eastAsiaTheme="minorEastAsia"/>
                <w:sz w:val="18"/>
                <w:szCs w:val="18"/>
                <w:lang w:eastAsia="en-US"/>
              </w:rPr>
              <w:t>(95% CI)</w:t>
            </w:r>
          </w:p>
        </w:tc>
        <w:tc>
          <w:tcPr>
            <w:tcW w:w="602" w:type="dxa"/>
            <w:tcBorders>
              <w:top w:val="single" w:sz="4" w:space="0" w:color="auto"/>
              <w:left w:val="single" w:sz="4" w:space="0" w:color="000000"/>
              <w:bottom w:val="single" w:sz="4" w:space="0" w:color="auto"/>
            </w:tcBorders>
            <w:shd w:val="clear" w:color="auto" w:fill="FFFFFF" w:themeFill="background1"/>
            <w:vAlign w:val="bottom"/>
          </w:tcPr>
          <w:p w14:paraId="2EA2D88F" w14:textId="77777777" w:rsidR="003B4065" w:rsidRPr="008A7800" w:rsidRDefault="003B4065" w:rsidP="003B4065">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n</w:t>
            </w:r>
          </w:p>
        </w:tc>
        <w:tc>
          <w:tcPr>
            <w:tcW w:w="562" w:type="dxa"/>
            <w:tcBorders>
              <w:top w:val="single" w:sz="4" w:space="0" w:color="auto"/>
              <w:bottom w:val="single" w:sz="4" w:space="0" w:color="auto"/>
            </w:tcBorders>
            <w:shd w:val="clear" w:color="auto" w:fill="FFFFFF" w:themeFill="background1"/>
            <w:vAlign w:val="bottom"/>
          </w:tcPr>
          <w:p w14:paraId="385AB06E" w14:textId="77777777" w:rsidR="003B4065" w:rsidRPr="008A7800" w:rsidRDefault="003B4065" w:rsidP="003B4065">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w:t>
            </w:r>
          </w:p>
        </w:tc>
        <w:tc>
          <w:tcPr>
            <w:tcW w:w="1146" w:type="dxa"/>
            <w:tcBorders>
              <w:top w:val="single" w:sz="4" w:space="0" w:color="auto"/>
              <w:bottom w:val="single" w:sz="4" w:space="0" w:color="auto"/>
              <w:right w:val="single" w:sz="4" w:space="0" w:color="auto"/>
            </w:tcBorders>
            <w:shd w:val="clear" w:color="auto" w:fill="FFFFFF" w:themeFill="background1"/>
            <w:vAlign w:val="bottom"/>
          </w:tcPr>
          <w:p w14:paraId="0A2F3492" w14:textId="77777777" w:rsidR="003B4065" w:rsidRPr="008A7800" w:rsidRDefault="003B4065" w:rsidP="003B4065">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8A7800">
              <w:rPr>
                <w:rFonts w:eastAsiaTheme="minorEastAsia"/>
                <w:sz w:val="18"/>
                <w:szCs w:val="18"/>
                <w:lang w:eastAsia="en-US"/>
              </w:rPr>
              <w:t>(95% CI)</w:t>
            </w:r>
          </w:p>
        </w:tc>
        <w:tc>
          <w:tcPr>
            <w:tcW w:w="576" w:type="dxa"/>
            <w:tcBorders>
              <w:top w:val="single" w:sz="4" w:space="0" w:color="auto"/>
              <w:left w:val="single" w:sz="4" w:space="0" w:color="auto"/>
            </w:tcBorders>
          </w:tcPr>
          <w:p w14:paraId="500078E4" w14:textId="77777777" w:rsidR="003B4065" w:rsidRPr="008A7800" w:rsidRDefault="003B4065" w:rsidP="003B4065">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Cs w:val="0"/>
                <w:sz w:val="18"/>
                <w:szCs w:val="18"/>
                <w:lang w:eastAsia="en-US"/>
              </w:rPr>
            </w:pPr>
            <w:r w:rsidRPr="008A7800">
              <w:rPr>
                <w:rFonts w:eastAsiaTheme="minorEastAsia"/>
                <w:bCs w:val="0"/>
                <w:sz w:val="18"/>
                <w:szCs w:val="18"/>
                <w:lang w:eastAsia="en-US"/>
              </w:rPr>
              <w:t>n</w:t>
            </w:r>
          </w:p>
        </w:tc>
        <w:tc>
          <w:tcPr>
            <w:tcW w:w="531" w:type="dxa"/>
            <w:tcBorders>
              <w:top w:val="single" w:sz="4" w:space="0" w:color="auto"/>
            </w:tcBorders>
          </w:tcPr>
          <w:p w14:paraId="3D2A90FB" w14:textId="77777777" w:rsidR="003B4065" w:rsidRPr="008A7800" w:rsidRDefault="003B4065" w:rsidP="003B4065">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t>
            </w:r>
          </w:p>
        </w:tc>
        <w:tc>
          <w:tcPr>
            <w:tcW w:w="1146" w:type="dxa"/>
            <w:tcBorders>
              <w:top w:val="single" w:sz="4" w:space="0" w:color="auto"/>
              <w:bottom w:val="single" w:sz="4" w:space="0" w:color="auto"/>
            </w:tcBorders>
            <w:shd w:val="clear" w:color="auto" w:fill="FFFFFF" w:themeFill="background1"/>
          </w:tcPr>
          <w:p w14:paraId="2508B1F8" w14:textId="77777777" w:rsidR="003B4065" w:rsidRPr="008A7800" w:rsidRDefault="003B4065" w:rsidP="003B4065">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(95% CI)</w:t>
            </w:r>
          </w:p>
        </w:tc>
      </w:tr>
      <w:tr w:rsidR="003B4065" w:rsidRPr="008A7800" w14:paraId="5DBE02BD"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192" w:type="dxa"/>
            <w:tcBorders>
              <w:top w:val="nil"/>
              <w:left w:val="nil"/>
              <w:bottom w:val="nil"/>
              <w:right w:val="nil"/>
            </w:tcBorders>
            <w:vAlign w:val="center"/>
            <w:hideMark/>
          </w:tcPr>
          <w:p w14:paraId="74D8034E" w14:textId="77777777" w:rsidR="007B7BB5" w:rsidRPr="008A7800" w:rsidRDefault="007B7BB5" w:rsidP="003B4065">
            <w:pPr>
              <w:keepNext/>
              <w:spacing w:before="20" w:after="20"/>
              <w:rPr>
                <w:rFonts w:eastAsiaTheme="minorEastAsia"/>
                <w:sz w:val="18"/>
                <w:szCs w:val="18"/>
                <w:lang w:eastAsia="en-US"/>
              </w:rPr>
            </w:pPr>
            <w:r w:rsidRPr="008A7800">
              <w:rPr>
                <w:rFonts w:eastAsiaTheme="minorEastAsia"/>
                <w:sz w:val="18"/>
                <w:szCs w:val="18"/>
              </w:rPr>
              <w:t>Household Income ($)</w:t>
            </w:r>
          </w:p>
        </w:tc>
        <w:tc>
          <w:tcPr>
            <w:tcW w:w="616" w:type="dxa"/>
            <w:tcBorders>
              <w:top w:val="nil"/>
              <w:left w:val="nil"/>
              <w:bottom w:val="nil"/>
              <w:right w:val="nil"/>
            </w:tcBorders>
            <w:noWrap/>
            <w:vAlign w:val="center"/>
          </w:tcPr>
          <w:p w14:paraId="1E03C5BE"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76" w:type="dxa"/>
            <w:tcBorders>
              <w:top w:val="nil"/>
              <w:left w:val="nil"/>
              <w:bottom w:val="nil"/>
              <w:right w:val="nil"/>
            </w:tcBorders>
            <w:noWrap/>
            <w:vAlign w:val="center"/>
          </w:tcPr>
          <w:p w14:paraId="11C5CDFD"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auto"/>
            </w:tcBorders>
            <w:noWrap/>
            <w:vAlign w:val="center"/>
          </w:tcPr>
          <w:p w14:paraId="6C7C0CB8"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16" w:type="dxa"/>
            <w:tcBorders>
              <w:top w:val="nil"/>
              <w:left w:val="single" w:sz="4" w:space="0" w:color="auto"/>
              <w:bottom w:val="nil"/>
              <w:right w:val="nil"/>
            </w:tcBorders>
            <w:noWrap/>
            <w:vAlign w:val="center"/>
          </w:tcPr>
          <w:p w14:paraId="6E00D651"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76" w:type="dxa"/>
            <w:tcBorders>
              <w:top w:val="nil"/>
              <w:left w:val="nil"/>
              <w:bottom w:val="nil"/>
              <w:right w:val="nil"/>
            </w:tcBorders>
            <w:noWrap/>
            <w:vAlign w:val="center"/>
          </w:tcPr>
          <w:p w14:paraId="312ADBC9"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FFFFFF" w:themeFill="background1"/>
            <w:noWrap/>
            <w:vAlign w:val="center"/>
          </w:tcPr>
          <w:p w14:paraId="543E7952"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602" w:type="dxa"/>
            <w:tcBorders>
              <w:top w:val="nil"/>
              <w:left w:val="single" w:sz="4" w:space="0" w:color="000000"/>
              <w:bottom w:val="nil"/>
              <w:right w:val="nil"/>
            </w:tcBorders>
            <w:vAlign w:val="center"/>
          </w:tcPr>
          <w:p w14:paraId="7BC12DAE"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62" w:type="dxa"/>
            <w:tcBorders>
              <w:top w:val="nil"/>
              <w:left w:val="nil"/>
              <w:bottom w:val="nil"/>
              <w:right w:val="nil"/>
            </w:tcBorders>
            <w:vAlign w:val="center"/>
          </w:tcPr>
          <w:p w14:paraId="3D0265D2"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single" w:sz="4" w:space="0" w:color="auto"/>
            </w:tcBorders>
            <w:vAlign w:val="center"/>
          </w:tcPr>
          <w:p w14:paraId="2008FBA3"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76" w:type="dxa"/>
            <w:tcBorders>
              <w:left w:val="single" w:sz="4" w:space="0" w:color="auto"/>
              <w:right w:val="nil"/>
            </w:tcBorders>
          </w:tcPr>
          <w:p w14:paraId="13AA6799"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31" w:type="dxa"/>
            <w:tcBorders>
              <w:left w:val="nil"/>
              <w:right w:val="nil"/>
            </w:tcBorders>
          </w:tcPr>
          <w:p w14:paraId="0B5501B9"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nil"/>
            </w:tcBorders>
          </w:tcPr>
          <w:p w14:paraId="572FBEF8" w14:textId="77777777" w:rsidR="007B7BB5" w:rsidRPr="008A7800" w:rsidRDefault="007B7BB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r>
      <w:tr w:rsidR="009118DA" w:rsidRPr="008A7800" w14:paraId="3C3E7C58"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192" w:type="dxa"/>
            <w:tcBorders>
              <w:top w:val="nil"/>
              <w:left w:val="nil"/>
              <w:bottom w:val="nil"/>
              <w:right w:val="nil"/>
            </w:tcBorders>
            <w:vAlign w:val="center"/>
            <w:hideMark/>
          </w:tcPr>
          <w:p w14:paraId="5D7BF3E9" w14:textId="77777777" w:rsidR="003B4065" w:rsidRPr="008A7800" w:rsidRDefault="003B4065" w:rsidP="003B4065">
            <w:pPr>
              <w:keepNext/>
              <w:spacing w:before="20" w:after="20"/>
              <w:rPr>
                <w:rFonts w:eastAsiaTheme="minorEastAsia"/>
                <w:b w:val="0"/>
                <w:sz w:val="18"/>
                <w:szCs w:val="18"/>
                <w:lang w:eastAsia="en-US"/>
              </w:rPr>
            </w:pPr>
            <w:r w:rsidRPr="008A7800">
              <w:rPr>
                <w:rFonts w:eastAsiaTheme="minorEastAsia"/>
                <w:b w:val="0"/>
                <w:sz w:val="18"/>
                <w:szCs w:val="18"/>
              </w:rPr>
              <w:t xml:space="preserve">   Up to 20,000</w:t>
            </w:r>
          </w:p>
        </w:tc>
        <w:tc>
          <w:tcPr>
            <w:tcW w:w="616" w:type="dxa"/>
            <w:tcBorders>
              <w:top w:val="nil"/>
              <w:left w:val="nil"/>
              <w:bottom w:val="nil"/>
              <w:right w:val="nil"/>
            </w:tcBorders>
            <w:noWrap/>
            <w:vAlign w:val="center"/>
          </w:tcPr>
          <w:p w14:paraId="77491705"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861</w:t>
            </w:r>
          </w:p>
        </w:tc>
        <w:tc>
          <w:tcPr>
            <w:tcW w:w="576" w:type="dxa"/>
            <w:tcBorders>
              <w:top w:val="nil"/>
              <w:left w:val="nil"/>
              <w:bottom w:val="nil"/>
              <w:right w:val="nil"/>
            </w:tcBorders>
            <w:noWrap/>
            <w:vAlign w:val="center"/>
          </w:tcPr>
          <w:p w14:paraId="4A0511CD"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15.5</w:t>
            </w:r>
          </w:p>
        </w:tc>
        <w:tc>
          <w:tcPr>
            <w:tcW w:w="1146" w:type="dxa"/>
            <w:tcBorders>
              <w:top w:val="nil"/>
              <w:left w:val="nil"/>
              <w:bottom w:val="nil"/>
              <w:right w:val="single" w:sz="4" w:space="0" w:color="auto"/>
            </w:tcBorders>
            <w:noWrap/>
            <w:vAlign w:val="center"/>
          </w:tcPr>
          <w:p w14:paraId="3F88D065"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(14.5, 16.4)</w:t>
            </w:r>
          </w:p>
        </w:tc>
        <w:tc>
          <w:tcPr>
            <w:tcW w:w="616" w:type="dxa"/>
            <w:tcBorders>
              <w:top w:val="nil"/>
              <w:left w:val="single" w:sz="4" w:space="0" w:color="auto"/>
              <w:bottom w:val="nil"/>
              <w:right w:val="nil"/>
            </w:tcBorders>
            <w:noWrap/>
            <w:vAlign w:val="center"/>
          </w:tcPr>
          <w:p w14:paraId="7EAF943F"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497</w:t>
            </w:r>
          </w:p>
        </w:tc>
        <w:tc>
          <w:tcPr>
            <w:tcW w:w="576" w:type="dxa"/>
            <w:tcBorders>
              <w:top w:val="nil"/>
              <w:left w:val="nil"/>
              <w:bottom w:val="nil"/>
              <w:right w:val="nil"/>
            </w:tcBorders>
            <w:noWrap/>
            <w:vAlign w:val="center"/>
          </w:tcPr>
          <w:p w14:paraId="30D721C2"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14.1</w:t>
            </w:r>
          </w:p>
        </w:tc>
        <w:tc>
          <w:tcPr>
            <w:tcW w:w="1146" w:type="dxa"/>
            <w:tcBorders>
              <w:top w:val="nil"/>
              <w:left w:val="nil"/>
              <w:bottom w:val="nil"/>
              <w:right w:val="single" w:sz="4" w:space="0" w:color="000000"/>
            </w:tcBorders>
            <w:shd w:val="clear" w:color="auto" w:fill="FFFFFF" w:themeFill="background1"/>
            <w:noWrap/>
            <w:vAlign w:val="center"/>
          </w:tcPr>
          <w:p w14:paraId="4836E678"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(13.0, 15.2)</w:t>
            </w:r>
          </w:p>
        </w:tc>
        <w:tc>
          <w:tcPr>
            <w:tcW w:w="602" w:type="dxa"/>
            <w:tcBorders>
              <w:top w:val="nil"/>
              <w:left w:val="single" w:sz="4" w:space="0" w:color="000000"/>
              <w:bottom w:val="nil"/>
              <w:right w:val="nil"/>
            </w:tcBorders>
            <w:shd w:val="clear" w:color="auto" w:fill="FFFFFF" w:themeFill="background1"/>
            <w:vAlign w:val="center"/>
          </w:tcPr>
          <w:p w14:paraId="7D345F02"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390</w:t>
            </w:r>
          </w:p>
        </w:tc>
        <w:tc>
          <w:tcPr>
            <w:tcW w:w="562" w:type="dxa"/>
            <w:tcBorders>
              <w:top w:val="nil"/>
              <w:left w:val="nil"/>
              <w:bottom w:val="nil"/>
              <w:right w:val="nil"/>
            </w:tcBorders>
            <w:shd w:val="clear" w:color="auto" w:fill="FFFFFF" w:themeFill="background1"/>
            <w:vAlign w:val="center"/>
          </w:tcPr>
          <w:p w14:paraId="5D2DD2A0"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13.8</w:t>
            </w:r>
          </w:p>
        </w:tc>
        <w:tc>
          <w:tcPr>
            <w:tcW w:w="1146" w:type="dxa"/>
            <w:tcBorders>
              <w:top w:val="nil"/>
              <w:left w:val="nil"/>
              <w:bottom w:val="nil"/>
              <w:right w:val="single" w:sz="4" w:space="0" w:color="auto"/>
            </w:tcBorders>
            <w:shd w:val="clear" w:color="auto" w:fill="FFFFFF" w:themeFill="background1"/>
            <w:vAlign w:val="center"/>
          </w:tcPr>
          <w:p w14:paraId="41F62A8D"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(12.5, 15.0)</w:t>
            </w:r>
          </w:p>
        </w:tc>
        <w:tc>
          <w:tcPr>
            <w:tcW w:w="576" w:type="dxa"/>
            <w:tcBorders>
              <w:left w:val="single" w:sz="4" w:space="0" w:color="auto"/>
              <w:right w:val="nil"/>
            </w:tcBorders>
            <w:vAlign w:val="center"/>
          </w:tcPr>
          <w:p w14:paraId="1BCB48AE"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360</w:t>
            </w:r>
          </w:p>
        </w:tc>
        <w:tc>
          <w:tcPr>
            <w:tcW w:w="531" w:type="dxa"/>
            <w:tcBorders>
              <w:left w:val="nil"/>
              <w:right w:val="nil"/>
            </w:tcBorders>
            <w:vAlign w:val="center"/>
          </w:tcPr>
          <w:p w14:paraId="60AFEC70"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13.7</w:t>
            </w:r>
          </w:p>
        </w:tc>
        <w:tc>
          <w:tcPr>
            <w:tcW w:w="1146" w:type="dxa"/>
            <w:tcBorders>
              <w:top w:val="nil"/>
              <w:left w:val="nil"/>
              <w:bottom w:val="nil"/>
              <w:right w:val="nil"/>
            </w:tcBorders>
            <w:shd w:val="clear" w:color="auto" w:fill="FFFFFF" w:themeFill="background1"/>
            <w:vAlign w:val="center"/>
          </w:tcPr>
          <w:p w14:paraId="580E6B7D"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(12.2, 15.2)</w:t>
            </w:r>
          </w:p>
        </w:tc>
      </w:tr>
      <w:tr w:rsidR="009118DA" w:rsidRPr="008A7800" w14:paraId="1D5B05D2"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192" w:type="dxa"/>
            <w:tcBorders>
              <w:top w:val="nil"/>
              <w:left w:val="nil"/>
              <w:bottom w:val="nil"/>
              <w:right w:val="nil"/>
            </w:tcBorders>
            <w:vAlign w:val="center"/>
            <w:hideMark/>
          </w:tcPr>
          <w:p w14:paraId="4434FEF4" w14:textId="77777777" w:rsidR="003B4065" w:rsidRPr="008A7800" w:rsidRDefault="003B4065" w:rsidP="003B4065">
            <w:pPr>
              <w:keepNext/>
              <w:spacing w:before="20" w:after="20"/>
              <w:rPr>
                <w:rFonts w:eastAsiaTheme="minorEastAsia"/>
                <w:b w:val="0"/>
                <w:sz w:val="18"/>
                <w:szCs w:val="18"/>
                <w:lang w:eastAsia="en-US"/>
              </w:rPr>
            </w:pPr>
            <w:r w:rsidRPr="008A7800">
              <w:rPr>
                <w:rFonts w:eastAsiaTheme="minorEastAsia"/>
                <w:b w:val="0"/>
                <w:sz w:val="18"/>
                <w:szCs w:val="18"/>
              </w:rPr>
              <w:t xml:space="preserve">   20,001 - 40,000</w:t>
            </w:r>
          </w:p>
        </w:tc>
        <w:tc>
          <w:tcPr>
            <w:tcW w:w="616" w:type="dxa"/>
            <w:tcBorders>
              <w:top w:val="nil"/>
              <w:left w:val="nil"/>
              <w:bottom w:val="nil"/>
              <w:right w:val="nil"/>
            </w:tcBorders>
            <w:noWrap/>
            <w:vAlign w:val="center"/>
          </w:tcPr>
          <w:p w14:paraId="4025BF51"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899</w:t>
            </w:r>
          </w:p>
        </w:tc>
        <w:tc>
          <w:tcPr>
            <w:tcW w:w="576" w:type="dxa"/>
            <w:tcBorders>
              <w:top w:val="nil"/>
              <w:left w:val="nil"/>
              <w:bottom w:val="nil"/>
              <w:right w:val="nil"/>
            </w:tcBorders>
            <w:noWrap/>
            <w:vAlign w:val="center"/>
          </w:tcPr>
          <w:p w14:paraId="032956C1"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16.1</w:t>
            </w:r>
          </w:p>
        </w:tc>
        <w:tc>
          <w:tcPr>
            <w:tcW w:w="1146" w:type="dxa"/>
            <w:tcBorders>
              <w:top w:val="nil"/>
              <w:left w:val="nil"/>
              <w:bottom w:val="nil"/>
              <w:right w:val="single" w:sz="4" w:space="0" w:color="auto"/>
            </w:tcBorders>
            <w:noWrap/>
            <w:vAlign w:val="center"/>
          </w:tcPr>
          <w:p w14:paraId="63F1D2CC"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(15.0, 17.2)</w:t>
            </w:r>
          </w:p>
        </w:tc>
        <w:tc>
          <w:tcPr>
            <w:tcW w:w="616" w:type="dxa"/>
            <w:tcBorders>
              <w:top w:val="nil"/>
              <w:left w:val="single" w:sz="4" w:space="0" w:color="auto"/>
              <w:bottom w:val="nil"/>
              <w:right w:val="nil"/>
            </w:tcBorders>
            <w:noWrap/>
            <w:vAlign w:val="center"/>
          </w:tcPr>
          <w:p w14:paraId="4F30CE27"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552</w:t>
            </w:r>
          </w:p>
        </w:tc>
        <w:tc>
          <w:tcPr>
            <w:tcW w:w="576" w:type="dxa"/>
            <w:tcBorders>
              <w:top w:val="nil"/>
              <w:left w:val="nil"/>
              <w:bottom w:val="nil"/>
              <w:right w:val="nil"/>
            </w:tcBorders>
            <w:noWrap/>
            <w:vAlign w:val="center"/>
          </w:tcPr>
          <w:p w14:paraId="1E618A2F"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15.7</w:t>
            </w:r>
          </w:p>
        </w:tc>
        <w:tc>
          <w:tcPr>
            <w:tcW w:w="1146" w:type="dxa"/>
            <w:tcBorders>
              <w:top w:val="nil"/>
              <w:left w:val="nil"/>
              <w:bottom w:val="nil"/>
              <w:right w:val="single" w:sz="4" w:space="0" w:color="000000"/>
            </w:tcBorders>
            <w:shd w:val="clear" w:color="auto" w:fill="FFFFFF" w:themeFill="background1"/>
            <w:noWrap/>
            <w:vAlign w:val="center"/>
          </w:tcPr>
          <w:p w14:paraId="1EFEE2A6"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(14.2, 17.1)</w:t>
            </w:r>
          </w:p>
        </w:tc>
        <w:tc>
          <w:tcPr>
            <w:tcW w:w="602" w:type="dxa"/>
            <w:tcBorders>
              <w:top w:val="nil"/>
              <w:left w:val="single" w:sz="4" w:space="0" w:color="000000"/>
              <w:bottom w:val="nil"/>
              <w:right w:val="nil"/>
            </w:tcBorders>
            <w:shd w:val="clear" w:color="auto" w:fill="FFFFFF" w:themeFill="background1"/>
            <w:vAlign w:val="center"/>
          </w:tcPr>
          <w:p w14:paraId="3349CF46"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413</w:t>
            </w:r>
          </w:p>
        </w:tc>
        <w:tc>
          <w:tcPr>
            <w:tcW w:w="562" w:type="dxa"/>
            <w:tcBorders>
              <w:top w:val="nil"/>
              <w:left w:val="nil"/>
              <w:bottom w:val="nil"/>
              <w:right w:val="nil"/>
            </w:tcBorders>
            <w:shd w:val="clear" w:color="auto" w:fill="FFFFFF" w:themeFill="background1"/>
            <w:vAlign w:val="center"/>
          </w:tcPr>
          <w:p w14:paraId="31A18985"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14.6</w:t>
            </w:r>
          </w:p>
        </w:tc>
        <w:tc>
          <w:tcPr>
            <w:tcW w:w="1146" w:type="dxa"/>
            <w:tcBorders>
              <w:top w:val="nil"/>
              <w:left w:val="nil"/>
              <w:bottom w:val="nil"/>
              <w:right w:val="single" w:sz="4" w:space="0" w:color="auto"/>
            </w:tcBorders>
            <w:shd w:val="clear" w:color="auto" w:fill="FFFFFF" w:themeFill="background1"/>
            <w:vAlign w:val="center"/>
          </w:tcPr>
          <w:p w14:paraId="1D258C09"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(12.9, 16.2)</w:t>
            </w:r>
          </w:p>
        </w:tc>
        <w:tc>
          <w:tcPr>
            <w:tcW w:w="576" w:type="dxa"/>
            <w:tcBorders>
              <w:left w:val="single" w:sz="4" w:space="0" w:color="auto"/>
              <w:right w:val="nil"/>
            </w:tcBorders>
            <w:vAlign w:val="center"/>
          </w:tcPr>
          <w:p w14:paraId="4479EB25"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353</w:t>
            </w:r>
          </w:p>
        </w:tc>
        <w:tc>
          <w:tcPr>
            <w:tcW w:w="531" w:type="dxa"/>
            <w:tcBorders>
              <w:left w:val="nil"/>
              <w:right w:val="nil"/>
            </w:tcBorders>
            <w:vAlign w:val="center"/>
          </w:tcPr>
          <w:p w14:paraId="143EB4EC"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13.4</w:t>
            </w:r>
          </w:p>
        </w:tc>
        <w:tc>
          <w:tcPr>
            <w:tcW w:w="1146" w:type="dxa"/>
            <w:tcBorders>
              <w:top w:val="nil"/>
              <w:left w:val="nil"/>
              <w:bottom w:val="nil"/>
              <w:right w:val="nil"/>
            </w:tcBorders>
            <w:shd w:val="clear" w:color="auto" w:fill="FFFFFF" w:themeFill="background1"/>
            <w:vAlign w:val="center"/>
          </w:tcPr>
          <w:p w14:paraId="44AF8A57"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(11.9, 15.0)</w:t>
            </w:r>
          </w:p>
        </w:tc>
      </w:tr>
      <w:tr w:rsidR="009118DA" w:rsidRPr="008A7800" w14:paraId="176F945D"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192" w:type="dxa"/>
            <w:tcBorders>
              <w:top w:val="nil"/>
              <w:left w:val="nil"/>
              <w:bottom w:val="nil"/>
              <w:right w:val="nil"/>
            </w:tcBorders>
            <w:vAlign w:val="center"/>
            <w:hideMark/>
          </w:tcPr>
          <w:p w14:paraId="47FB1770" w14:textId="77777777" w:rsidR="003B4065" w:rsidRPr="008A7800" w:rsidRDefault="003B4065" w:rsidP="003B4065">
            <w:pPr>
              <w:keepNext/>
              <w:spacing w:before="20" w:after="20"/>
              <w:rPr>
                <w:rFonts w:eastAsiaTheme="minorEastAsia"/>
                <w:b w:val="0"/>
                <w:sz w:val="18"/>
                <w:szCs w:val="18"/>
                <w:lang w:eastAsia="en-US"/>
              </w:rPr>
            </w:pPr>
            <w:r w:rsidRPr="008A7800">
              <w:rPr>
                <w:rFonts w:eastAsiaTheme="minorEastAsia"/>
                <w:b w:val="0"/>
                <w:sz w:val="18"/>
                <w:szCs w:val="18"/>
              </w:rPr>
              <w:t xml:space="preserve">   40,001 - 60,000</w:t>
            </w:r>
          </w:p>
        </w:tc>
        <w:tc>
          <w:tcPr>
            <w:tcW w:w="616" w:type="dxa"/>
            <w:tcBorders>
              <w:top w:val="nil"/>
              <w:left w:val="nil"/>
              <w:bottom w:val="nil"/>
              <w:right w:val="nil"/>
            </w:tcBorders>
            <w:noWrap/>
            <w:vAlign w:val="center"/>
          </w:tcPr>
          <w:p w14:paraId="06BF0ED7"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761</w:t>
            </w:r>
          </w:p>
        </w:tc>
        <w:tc>
          <w:tcPr>
            <w:tcW w:w="576" w:type="dxa"/>
            <w:tcBorders>
              <w:top w:val="nil"/>
              <w:left w:val="nil"/>
              <w:bottom w:val="nil"/>
              <w:right w:val="nil"/>
            </w:tcBorders>
            <w:noWrap/>
            <w:vAlign w:val="center"/>
          </w:tcPr>
          <w:p w14:paraId="6AA8F7D7"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13.7</w:t>
            </w:r>
          </w:p>
        </w:tc>
        <w:tc>
          <w:tcPr>
            <w:tcW w:w="1146" w:type="dxa"/>
            <w:tcBorders>
              <w:top w:val="nil"/>
              <w:left w:val="nil"/>
              <w:bottom w:val="nil"/>
              <w:right w:val="single" w:sz="4" w:space="0" w:color="auto"/>
            </w:tcBorders>
            <w:noWrap/>
            <w:vAlign w:val="center"/>
          </w:tcPr>
          <w:p w14:paraId="6F38D39C"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(12.6, 14.7)</w:t>
            </w:r>
          </w:p>
        </w:tc>
        <w:tc>
          <w:tcPr>
            <w:tcW w:w="616" w:type="dxa"/>
            <w:tcBorders>
              <w:top w:val="nil"/>
              <w:left w:val="single" w:sz="4" w:space="0" w:color="auto"/>
              <w:bottom w:val="nil"/>
              <w:right w:val="nil"/>
            </w:tcBorders>
            <w:noWrap/>
            <w:vAlign w:val="center"/>
          </w:tcPr>
          <w:p w14:paraId="721B0613"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482</w:t>
            </w:r>
          </w:p>
        </w:tc>
        <w:tc>
          <w:tcPr>
            <w:tcW w:w="576" w:type="dxa"/>
            <w:tcBorders>
              <w:top w:val="nil"/>
              <w:left w:val="nil"/>
              <w:bottom w:val="nil"/>
              <w:right w:val="nil"/>
            </w:tcBorders>
            <w:noWrap/>
            <w:vAlign w:val="center"/>
          </w:tcPr>
          <w:p w14:paraId="11C4F13B"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13.7</w:t>
            </w:r>
          </w:p>
        </w:tc>
        <w:tc>
          <w:tcPr>
            <w:tcW w:w="1146" w:type="dxa"/>
            <w:tcBorders>
              <w:top w:val="nil"/>
              <w:left w:val="nil"/>
              <w:bottom w:val="nil"/>
              <w:right w:val="single" w:sz="4" w:space="0" w:color="000000"/>
            </w:tcBorders>
            <w:shd w:val="clear" w:color="auto" w:fill="FFFFFF" w:themeFill="background1"/>
            <w:noWrap/>
            <w:vAlign w:val="center"/>
          </w:tcPr>
          <w:p w14:paraId="4B670E51"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(12.3, 15.0)</w:t>
            </w:r>
          </w:p>
        </w:tc>
        <w:tc>
          <w:tcPr>
            <w:tcW w:w="602" w:type="dxa"/>
            <w:tcBorders>
              <w:top w:val="nil"/>
              <w:left w:val="single" w:sz="4" w:space="0" w:color="000000"/>
              <w:bottom w:val="nil"/>
              <w:right w:val="nil"/>
            </w:tcBorders>
            <w:shd w:val="clear" w:color="auto" w:fill="FFFFFF" w:themeFill="background1"/>
            <w:vAlign w:val="center"/>
          </w:tcPr>
          <w:p w14:paraId="4B9D27DF"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356</w:t>
            </w:r>
          </w:p>
        </w:tc>
        <w:tc>
          <w:tcPr>
            <w:tcW w:w="562" w:type="dxa"/>
            <w:tcBorders>
              <w:top w:val="nil"/>
              <w:left w:val="nil"/>
              <w:bottom w:val="nil"/>
              <w:right w:val="nil"/>
            </w:tcBorders>
            <w:shd w:val="clear" w:color="auto" w:fill="FFFFFF" w:themeFill="background1"/>
            <w:vAlign w:val="center"/>
          </w:tcPr>
          <w:p w14:paraId="670F65CF"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12.6</w:t>
            </w:r>
          </w:p>
        </w:tc>
        <w:tc>
          <w:tcPr>
            <w:tcW w:w="1146" w:type="dxa"/>
            <w:tcBorders>
              <w:top w:val="nil"/>
              <w:left w:val="nil"/>
              <w:bottom w:val="nil"/>
              <w:right w:val="single" w:sz="4" w:space="0" w:color="auto"/>
            </w:tcBorders>
            <w:shd w:val="clear" w:color="auto" w:fill="FFFFFF" w:themeFill="background1"/>
            <w:vAlign w:val="center"/>
          </w:tcPr>
          <w:p w14:paraId="54C1A132" w14:textId="77777777" w:rsidR="003B4065" w:rsidRPr="008A7800" w:rsidRDefault="003B4065" w:rsidP="003B4065">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(11.1, 14.0)</w:t>
            </w:r>
          </w:p>
        </w:tc>
        <w:tc>
          <w:tcPr>
            <w:tcW w:w="576" w:type="dxa"/>
            <w:tcBorders>
              <w:left w:val="single" w:sz="4" w:space="0" w:color="auto"/>
              <w:right w:val="nil"/>
            </w:tcBorders>
            <w:vAlign w:val="center"/>
          </w:tcPr>
          <w:p w14:paraId="2351E3B1"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339</w:t>
            </w:r>
          </w:p>
        </w:tc>
        <w:tc>
          <w:tcPr>
            <w:tcW w:w="531" w:type="dxa"/>
            <w:tcBorders>
              <w:left w:val="nil"/>
              <w:right w:val="nil"/>
            </w:tcBorders>
            <w:vAlign w:val="center"/>
          </w:tcPr>
          <w:p w14:paraId="1798BFB1"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12.9</w:t>
            </w:r>
          </w:p>
        </w:tc>
        <w:tc>
          <w:tcPr>
            <w:tcW w:w="1146" w:type="dxa"/>
            <w:tcBorders>
              <w:top w:val="nil"/>
              <w:left w:val="nil"/>
              <w:bottom w:val="nil"/>
              <w:right w:val="nil"/>
            </w:tcBorders>
            <w:shd w:val="clear" w:color="auto" w:fill="FFFFFF" w:themeFill="background1"/>
            <w:vAlign w:val="center"/>
          </w:tcPr>
          <w:p w14:paraId="59FE9A3A"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(11.2, 14.6)</w:t>
            </w:r>
          </w:p>
        </w:tc>
      </w:tr>
      <w:tr w:rsidR="009118DA" w:rsidRPr="008A7800" w14:paraId="5036674E"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192" w:type="dxa"/>
            <w:tcBorders>
              <w:top w:val="nil"/>
              <w:left w:val="nil"/>
              <w:bottom w:val="nil"/>
              <w:right w:val="nil"/>
            </w:tcBorders>
            <w:vAlign w:val="center"/>
            <w:hideMark/>
          </w:tcPr>
          <w:p w14:paraId="2E9B7FD7" w14:textId="77777777" w:rsidR="003B4065" w:rsidRPr="008A7800" w:rsidRDefault="003B4065" w:rsidP="003B4065">
            <w:pPr>
              <w:spacing w:before="20" w:after="20"/>
              <w:rPr>
                <w:rFonts w:eastAsiaTheme="minorEastAsia"/>
                <w:b w:val="0"/>
                <w:sz w:val="18"/>
                <w:szCs w:val="18"/>
                <w:lang w:eastAsia="en-US"/>
              </w:rPr>
            </w:pPr>
            <w:r w:rsidRPr="008A7800">
              <w:rPr>
                <w:rFonts w:eastAsiaTheme="minorEastAsia"/>
                <w:b w:val="0"/>
                <w:sz w:val="18"/>
                <w:szCs w:val="18"/>
              </w:rPr>
              <w:t xml:space="preserve">   60,001 - 80,000</w:t>
            </w:r>
          </w:p>
        </w:tc>
        <w:tc>
          <w:tcPr>
            <w:tcW w:w="616" w:type="dxa"/>
            <w:tcBorders>
              <w:top w:val="nil"/>
              <w:left w:val="nil"/>
              <w:bottom w:val="nil"/>
              <w:right w:val="nil"/>
            </w:tcBorders>
            <w:noWrap/>
            <w:vAlign w:val="center"/>
          </w:tcPr>
          <w:p w14:paraId="1E841C98"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764</w:t>
            </w:r>
          </w:p>
        </w:tc>
        <w:tc>
          <w:tcPr>
            <w:tcW w:w="576" w:type="dxa"/>
            <w:tcBorders>
              <w:top w:val="nil"/>
              <w:left w:val="nil"/>
              <w:bottom w:val="nil"/>
              <w:right w:val="nil"/>
            </w:tcBorders>
            <w:noWrap/>
            <w:vAlign w:val="center"/>
          </w:tcPr>
          <w:p w14:paraId="4D49C39E"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13.7</w:t>
            </w:r>
          </w:p>
        </w:tc>
        <w:tc>
          <w:tcPr>
            <w:tcW w:w="1146" w:type="dxa"/>
            <w:tcBorders>
              <w:top w:val="nil"/>
              <w:left w:val="nil"/>
              <w:bottom w:val="nil"/>
              <w:right w:val="single" w:sz="4" w:space="0" w:color="auto"/>
            </w:tcBorders>
            <w:noWrap/>
            <w:vAlign w:val="center"/>
          </w:tcPr>
          <w:p w14:paraId="21E25A6B"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(12.6, 14.8)</w:t>
            </w:r>
          </w:p>
        </w:tc>
        <w:tc>
          <w:tcPr>
            <w:tcW w:w="616" w:type="dxa"/>
            <w:tcBorders>
              <w:top w:val="nil"/>
              <w:left w:val="single" w:sz="4" w:space="0" w:color="auto"/>
              <w:bottom w:val="nil"/>
              <w:right w:val="nil"/>
            </w:tcBorders>
            <w:noWrap/>
            <w:vAlign w:val="center"/>
          </w:tcPr>
          <w:p w14:paraId="03B3826E"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446</w:t>
            </w:r>
          </w:p>
        </w:tc>
        <w:tc>
          <w:tcPr>
            <w:tcW w:w="576" w:type="dxa"/>
            <w:tcBorders>
              <w:top w:val="nil"/>
              <w:left w:val="nil"/>
              <w:bottom w:val="nil"/>
              <w:right w:val="nil"/>
            </w:tcBorders>
            <w:noWrap/>
            <w:vAlign w:val="center"/>
          </w:tcPr>
          <w:p w14:paraId="189F7B59"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12.7</w:t>
            </w:r>
          </w:p>
        </w:tc>
        <w:tc>
          <w:tcPr>
            <w:tcW w:w="1146" w:type="dxa"/>
            <w:tcBorders>
              <w:top w:val="nil"/>
              <w:left w:val="nil"/>
              <w:bottom w:val="nil"/>
              <w:right w:val="single" w:sz="4" w:space="0" w:color="000000"/>
            </w:tcBorders>
            <w:shd w:val="clear" w:color="auto" w:fill="FFFFFF" w:themeFill="background1"/>
            <w:noWrap/>
            <w:vAlign w:val="center"/>
          </w:tcPr>
          <w:p w14:paraId="394BC074"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(11.3, 14.0)</w:t>
            </w:r>
          </w:p>
        </w:tc>
        <w:tc>
          <w:tcPr>
            <w:tcW w:w="602" w:type="dxa"/>
            <w:tcBorders>
              <w:top w:val="nil"/>
              <w:left w:val="single" w:sz="4" w:space="0" w:color="000000"/>
              <w:bottom w:val="nil"/>
              <w:right w:val="nil"/>
            </w:tcBorders>
            <w:shd w:val="clear" w:color="auto" w:fill="FFFFFF" w:themeFill="background1"/>
            <w:vAlign w:val="center"/>
          </w:tcPr>
          <w:p w14:paraId="2A22E1AE"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375</w:t>
            </w:r>
          </w:p>
        </w:tc>
        <w:tc>
          <w:tcPr>
            <w:tcW w:w="562" w:type="dxa"/>
            <w:tcBorders>
              <w:top w:val="nil"/>
              <w:left w:val="nil"/>
              <w:bottom w:val="nil"/>
              <w:right w:val="nil"/>
            </w:tcBorders>
            <w:shd w:val="clear" w:color="auto" w:fill="FFFFFF" w:themeFill="background1"/>
            <w:vAlign w:val="center"/>
          </w:tcPr>
          <w:p w14:paraId="1738AB40"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13.2</w:t>
            </w:r>
          </w:p>
        </w:tc>
        <w:tc>
          <w:tcPr>
            <w:tcW w:w="1146" w:type="dxa"/>
            <w:tcBorders>
              <w:top w:val="nil"/>
              <w:left w:val="nil"/>
              <w:bottom w:val="nil"/>
              <w:right w:val="single" w:sz="4" w:space="0" w:color="auto"/>
            </w:tcBorders>
            <w:shd w:val="clear" w:color="auto" w:fill="FFFFFF" w:themeFill="background1"/>
            <w:vAlign w:val="center"/>
          </w:tcPr>
          <w:p w14:paraId="740E8453"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(11.7, 14.8)</w:t>
            </w:r>
          </w:p>
        </w:tc>
        <w:tc>
          <w:tcPr>
            <w:tcW w:w="576" w:type="dxa"/>
            <w:tcBorders>
              <w:left w:val="single" w:sz="4" w:space="0" w:color="auto"/>
              <w:bottom w:val="nil"/>
              <w:right w:val="nil"/>
            </w:tcBorders>
            <w:vAlign w:val="center"/>
          </w:tcPr>
          <w:p w14:paraId="6BF74854"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336</w:t>
            </w:r>
          </w:p>
        </w:tc>
        <w:tc>
          <w:tcPr>
            <w:tcW w:w="531" w:type="dxa"/>
            <w:tcBorders>
              <w:left w:val="nil"/>
              <w:bottom w:val="nil"/>
              <w:right w:val="nil"/>
            </w:tcBorders>
            <w:vAlign w:val="center"/>
          </w:tcPr>
          <w:p w14:paraId="089EB92D"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12.8</w:t>
            </w:r>
          </w:p>
        </w:tc>
        <w:tc>
          <w:tcPr>
            <w:tcW w:w="1146" w:type="dxa"/>
            <w:tcBorders>
              <w:top w:val="nil"/>
              <w:left w:val="nil"/>
              <w:bottom w:val="nil"/>
              <w:right w:val="nil"/>
            </w:tcBorders>
            <w:shd w:val="clear" w:color="auto" w:fill="FFFFFF" w:themeFill="background1"/>
            <w:vAlign w:val="center"/>
          </w:tcPr>
          <w:p w14:paraId="4C32B429"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(11.3, 14.3)</w:t>
            </w:r>
          </w:p>
        </w:tc>
      </w:tr>
      <w:tr w:rsidR="009118DA" w:rsidRPr="008A7800" w14:paraId="012DFED5"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192" w:type="dxa"/>
            <w:tcBorders>
              <w:top w:val="nil"/>
              <w:left w:val="nil"/>
              <w:bottom w:val="nil"/>
              <w:right w:val="nil"/>
            </w:tcBorders>
            <w:vAlign w:val="center"/>
            <w:hideMark/>
          </w:tcPr>
          <w:p w14:paraId="5225F014" w14:textId="77777777" w:rsidR="003B4065" w:rsidRPr="008A7800" w:rsidRDefault="003B4065" w:rsidP="003B4065">
            <w:pPr>
              <w:spacing w:before="20" w:after="20"/>
              <w:rPr>
                <w:rFonts w:eastAsiaTheme="minorEastAsia"/>
                <w:b w:val="0"/>
                <w:sz w:val="18"/>
                <w:szCs w:val="18"/>
                <w:lang w:eastAsia="en-US"/>
              </w:rPr>
            </w:pPr>
            <w:r w:rsidRPr="008A7800">
              <w:rPr>
                <w:rFonts w:eastAsiaTheme="minorEastAsia"/>
                <w:b w:val="0"/>
                <w:sz w:val="18"/>
                <w:szCs w:val="18"/>
              </w:rPr>
              <w:t xml:space="preserve">   80,001 - 100,000</w:t>
            </w:r>
          </w:p>
        </w:tc>
        <w:tc>
          <w:tcPr>
            <w:tcW w:w="616" w:type="dxa"/>
            <w:tcBorders>
              <w:top w:val="nil"/>
              <w:left w:val="nil"/>
              <w:bottom w:val="nil"/>
              <w:right w:val="nil"/>
            </w:tcBorders>
            <w:noWrap/>
            <w:vAlign w:val="center"/>
          </w:tcPr>
          <w:p w14:paraId="147819D1"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746</w:t>
            </w:r>
          </w:p>
        </w:tc>
        <w:tc>
          <w:tcPr>
            <w:tcW w:w="576" w:type="dxa"/>
            <w:tcBorders>
              <w:top w:val="nil"/>
              <w:left w:val="nil"/>
              <w:bottom w:val="nil"/>
              <w:right w:val="nil"/>
            </w:tcBorders>
            <w:noWrap/>
            <w:vAlign w:val="center"/>
          </w:tcPr>
          <w:p w14:paraId="5E8325A4"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13.4</w:t>
            </w:r>
          </w:p>
        </w:tc>
        <w:tc>
          <w:tcPr>
            <w:tcW w:w="1146" w:type="dxa"/>
            <w:tcBorders>
              <w:top w:val="nil"/>
              <w:left w:val="nil"/>
              <w:bottom w:val="nil"/>
              <w:right w:val="single" w:sz="4" w:space="0" w:color="auto"/>
            </w:tcBorders>
            <w:noWrap/>
            <w:vAlign w:val="center"/>
          </w:tcPr>
          <w:p w14:paraId="6847DFB0"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(12.3, 14.5)</w:t>
            </w:r>
          </w:p>
        </w:tc>
        <w:tc>
          <w:tcPr>
            <w:tcW w:w="616" w:type="dxa"/>
            <w:tcBorders>
              <w:top w:val="nil"/>
              <w:left w:val="single" w:sz="4" w:space="0" w:color="auto"/>
              <w:bottom w:val="nil"/>
              <w:right w:val="nil"/>
            </w:tcBorders>
            <w:noWrap/>
            <w:vAlign w:val="center"/>
          </w:tcPr>
          <w:p w14:paraId="285D5E59"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493</w:t>
            </w:r>
          </w:p>
        </w:tc>
        <w:tc>
          <w:tcPr>
            <w:tcW w:w="576" w:type="dxa"/>
            <w:tcBorders>
              <w:top w:val="nil"/>
              <w:left w:val="nil"/>
              <w:bottom w:val="nil"/>
              <w:right w:val="nil"/>
            </w:tcBorders>
            <w:noWrap/>
            <w:vAlign w:val="center"/>
          </w:tcPr>
          <w:p w14:paraId="20F93607"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14.0</w:t>
            </w:r>
          </w:p>
        </w:tc>
        <w:tc>
          <w:tcPr>
            <w:tcW w:w="1146" w:type="dxa"/>
            <w:tcBorders>
              <w:top w:val="nil"/>
              <w:left w:val="nil"/>
              <w:bottom w:val="nil"/>
              <w:right w:val="single" w:sz="4" w:space="0" w:color="000000"/>
            </w:tcBorders>
            <w:shd w:val="clear" w:color="auto" w:fill="FFFFFF" w:themeFill="background1"/>
            <w:noWrap/>
            <w:vAlign w:val="center"/>
          </w:tcPr>
          <w:p w14:paraId="139A7F24"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(12.6, 15.4)</w:t>
            </w:r>
          </w:p>
        </w:tc>
        <w:tc>
          <w:tcPr>
            <w:tcW w:w="602" w:type="dxa"/>
            <w:tcBorders>
              <w:top w:val="nil"/>
              <w:left w:val="single" w:sz="4" w:space="0" w:color="000000"/>
              <w:bottom w:val="nil"/>
              <w:right w:val="nil"/>
            </w:tcBorders>
            <w:shd w:val="clear" w:color="auto" w:fill="FFFFFF" w:themeFill="background1"/>
            <w:vAlign w:val="center"/>
          </w:tcPr>
          <w:p w14:paraId="290C3E54"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387</w:t>
            </w:r>
          </w:p>
        </w:tc>
        <w:tc>
          <w:tcPr>
            <w:tcW w:w="562" w:type="dxa"/>
            <w:tcBorders>
              <w:top w:val="nil"/>
              <w:left w:val="nil"/>
              <w:bottom w:val="nil"/>
              <w:right w:val="nil"/>
            </w:tcBorders>
            <w:shd w:val="clear" w:color="auto" w:fill="FFFFFF" w:themeFill="background1"/>
            <w:vAlign w:val="center"/>
          </w:tcPr>
          <w:p w14:paraId="55BFE379"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13.7</w:t>
            </w:r>
          </w:p>
        </w:tc>
        <w:tc>
          <w:tcPr>
            <w:tcW w:w="1146" w:type="dxa"/>
            <w:tcBorders>
              <w:top w:val="nil"/>
              <w:left w:val="nil"/>
              <w:bottom w:val="nil"/>
              <w:right w:val="single" w:sz="4" w:space="0" w:color="auto"/>
            </w:tcBorders>
            <w:shd w:val="clear" w:color="auto" w:fill="FFFFFF" w:themeFill="background1"/>
            <w:vAlign w:val="center"/>
          </w:tcPr>
          <w:p w14:paraId="3D867352"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(12.1, 15.2)</w:t>
            </w:r>
          </w:p>
        </w:tc>
        <w:tc>
          <w:tcPr>
            <w:tcW w:w="576" w:type="dxa"/>
            <w:tcBorders>
              <w:top w:val="nil"/>
              <w:left w:val="single" w:sz="4" w:space="0" w:color="auto"/>
              <w:bottom w:val="nil"/>
              <w:right w:val="nil"/>
            </w:tcBorders>
            <w:vAlign w:val="center"/>
          </w:tcPr>
          <w:p w14:paraId="6A02ECE0"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339</w:t>
            </w:r>
          </w:p>
        </w:tc>
        <w:tc>
          <w:tcPr>
            <w:tcW w:w="531" w:type="dxa"/>
            <w:tcBorders>
              <w:top w:val="nil"/>
              <w:left w:val="nil"/>
              <w:bottom w:val="nil"/>
              <w:right w:val="nil"/>
            </w:tcBorders>
            <w:vAlign w:val="center"/>
          </w:tcPr>
          <w:p w14:paraId="0D463049"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12.9</w:t>
            </w:r>
          </w:p>
        </w:tc>
        <w:tc>
          <w:tcPr>
            <w:tcW w:w="1146" w:type="dxa"/>
            <w:tcBorders>
              <w:top w:val="nil"/>
              <w:left w:val="nil"/>
              <w:bottom w:val="nil"/>
              <w:right w:val="nil"/>
            </w:tcBorders>
            <w:shd w:val="clear" w:color="auto" w:fill="FFFFFF" w:themeFill="background1"/>
            <w:vAlign w:val="center"/>
          </w:tcPr>
          <w:p w14:paraId="58B70B01"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(11.2, 14.6)</w:t>
            </w:r>
          </w:p>
        </w:tc>
      </w:tr>
      <w:tr w:rsidR="009118DA" w:rsidRPr="008A7800" w14:paraId="6CEA3FC8"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2192" w:type="dxa"/>
            <w:tcBorders>
              <w:top w:val="nil"/>
              <w:left w:val="nil"/>
              <w:bottom w:val="nil"/>
              <w:right w:val="nil"/>
            </w:tcBorders>
            <w:shd w:val="clear" w:color="auto" w:fill="auto"/>
            <w:vAlign w:val="center"/>
          </w:tcPr>
          <w:p w14:paraId="5C95E035" w14:textId="77777777" w:rsidR="003B4065" w:rsidRPr="008A7800" w:rsidRDefault="003B4065" w:rsidP="003B4065">
            <w:pPr>
              <w:spacing w:before="20" w:after="20"/>
              <w:rPr>
                <w:rFonts w:eastAsiaTheme="minorEastAsia"/>
                <w:b w:val="0"/>
                <w:sz w:val="18"/>
                <w:szCs w:val="18"/>
              </w:rPr>
            </w:pPr>
            <w:r w:rsidRPr="008A7800">
              <w:rPr>
                <w:rFonts w:eastAsiaTheme="minorEastAsia"/>
                <w:b w:val="0"/>
                <w:sz w:val="18"/>
                <w:szCs w:val="18"/>
              </w:rPr>
              <w:t xml:space="preserve">   Over 100,000</w:t>
            </w:r>
          </w:p>
        </w:tc>
        <w:tc>
          <w:tcPr>
            <w:tcW w:w="616" w:type="dxa"/>
            <w:tcBorders>
              <w:top w:val="nil"/>
              <w:left w:val="nil"/>
              <w:bottom w:val="nil"/>
              <w:right w:val="nil"/>
            </w:tcBorders>
            <w:shd w:val="clear" w:color="auto" w:fill="auto"/>
            <w:noWrap/>
            <w:vAlign w:val="center"/>
          </w:tcPr>
          <w:p w14:paraId="7CC73F3F"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1538</w:t>
            </w:r>
          </w:p>
        </w:tc>
        <w:tc>
          <w:tcPr>
            <w:tcW w:w="576" w:type="dxa"/>
            <w:tcBorders>
              <w:top w:val="nil"/>
              <w:left w:val="nil"/>
              <w:bottom w:val="nil"/>
              <w:right w:val="nil"/>
            </w:tcBorders>
            <w:shd w:val="clear" w:color="auto" w:fill="auto"/>
            <w:noWrap/>
            <w:vAlign w:val="center"/>
          </w:tcPr>
          <w:p w14:paraId="02D25212"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27.6</w:t>
            </w:r>
          </w:p>
        </w:tc>
        <w:tc>
          <w:tcPr>
            <w:tcW w:w="1146" w:type="dxa"/>
            <w:tcBorders>
              <w:top w:val="nil"/>
              <w:left w:val="nil"/>
              <w:bottom w:val="nil"/>
              <w:right w:val="single" w:sz="4" w:space="0" w:color="000000"/>
            </w:tcBorders>
            <w:shd w:val="clear" w:color="auto" w:fill="auto"/>
            <w:noWrap/>
            <w:vAlign w:val="center"/>
          </w:tcPr>
          <w:p w14:paraId="59A32B85"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(26.2, 29.1)</w:t>
            </w:r>
          </w:p>
        </w:tc>
        <w:tc>
          <w:tcPr>
            <w:tcW w:w="616" w:type="dxa"/>
            <w:tcBorders>
              <w:top w:val="nil"/>
              <w:left w:val="single" w:sz="4" w:space="0" w:color="000000"/>
              <w:bottom w:val="nil"/>
              <w:right w:val="nil"/>
            </w:tcBorders>
            <w:shd w:val="clear" w:color="auto" w:fill="auto"/>
            <w:noWrap/>
            <w:vAlign w:val="center"/>
          </w:tcPr>
          <w:p w14:paraId="63C962E3"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1053</w:t>
            </w:r>
          </w:p>
        </w:tc>
        <w:tc>
          <w:tcPr>
            <w:tcW w:w="576" w:type="dxa"/>
            <w:tcBorders>
              <w:top w:val="nil"/>
              <w:left w:val="nil"/>
              <w:bottom w:val="nil"/>
              <w:right w:val="nil"/>
            </w:tcBorders>
            <w:shd w:val="clear" w:color="auto" w:fill="auto"/>
            <w:noWrap/>
            <w:vAlign w:val="center"/>
          </w:tcPr>
          <w:p w14:paraId="3FE37994"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29.9</w:t>
            </w:r>
          </w:p>
        </w:tc>
        <w:tc>
          <w:tcPr>
            <w:tcW w:w="1146" w:type="dxa"/>
            <w:tcBorders>
              <w:top w:val="nil"/>
              <w:left w:val="nil"/>
              <w:bottom w:val="nil"/>
              <w:right w:val="single" w:sz="4" w:space="0" w:color="000000"/>
            </w:tcBorders>
            <w:shd w:val="clear" w:color="auto" w:fill="auto"/>
            <w:noWrap/>
            <w:vAlign w:val="center"/>
          </w:tcPr>
          <w:p w14:paraId="14BBF7D0"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(28.0, 31.7)</w:t>
            </w:r>
          </w:p>
        </w:tc>
        <w:tc>
          <w:tcPr>
            <w:tcW w:w="602" w:type="dxa"/>
            <w:tcBorders>
              <w:top w:val="nil"/>
              <w:left w:val="single" w:sz="4" w:space="0" w:color="000000"/>
              <w:bottom w:val="nil"/>
              <w:right w:val="nil"/>
            </w:tcBorders>
            <w:shd w:val="clear" w:color="auto" w:fill="auto"/>
            <w:vAlign w:val="center"/>
          </w:tcPr>
          <w:p w14:paraId="0A1EA043"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913</w:t>
            </w:r>
          </w:p>
        </w:tc>
        <w:tc>
          <w:tcPr>
            <w:tcW w:w="562" w:type="dxa"/>
            <w:tcBorders>
              <w:top w:val="nil"/>
              <w:left w:val="nil"/>
              <w:bottom w:val="nil"/>
              <w:right w:val="nil"/>
            </w:tcBorders>
            <w:shd w:val="clear" w:color="auto" w:fill="auto"/>
            <w:vAlign w:val="center"/>
          </w:tcPr>
          <w:p w14:paraId="53F6D892"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32.2</w:t>
            </w:r>
          </w:p>
        </w:tc>
        <w:tc>
          <w:tcPr>
            <w:tcW w:w="1146" w:type="dxa"/>
            <w:tcBorders>
              <w:top w:val="nil"/>
              <w:left w:val="nil"/>
              <w:bottom w:val="nil"/>
              <w:right w:val="single" w:sz="4" w:space="0" w:color="auto"/>
            </w:tcBorders>
            <w:shd w:val="clear" w:color="auto" w:fill="auto"/>
            <w:vAlign w:val="center"/>
          </w:tcPr>
          <w:p w14:paraId="3FDF35A7"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(30.1, 34.3)</w:t>
            </w:r>
          </w:p>
        </w:tc>
        <w:tc>
          <w:tcPr>
            <w:tcW w:w="576" w:type="dxa"/>
            <w:tcBorders>
              <w:top w:val="nil"/>
              <w:left w:val="single" w:sz="4" w:space="0" w:color="auto"/>
              <w:right w:val="nil"/>
            </w:tcBorders>
            <w:shd w:val="clear" w:color="auto" w:fill="auto"/>
            <w:vAlign w:val="center"/>
          </w:tcPr>
          <w:p w14:paraId="711A0E9F"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897</w:t>
            </w:r>
          </w:p>
        </w:tc>
        <w:tc>
          <w:tcPr>
            <w:tcW w:w="531" w:type="dxa"/>
            <w:tcBorders>
              <w:top w:val="nil"/>
              <w:left w:val="nil"/>
              <w:right w:val="nil"/>
            </w:tcBorders>
            <w:shd w:val="clear" w:color="auto" w:fill="auto"/>
            <w:vAlign w:val="center"/>
          </w:tcPr>
          <w:p w14:paraId="0FAFEA7E"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34.2</w:t>
            </w:r>
          </w:p>
        </w:tc>
        <w:tc>
          <w:tcPr>
            <w:tcW w:w="1146" w:type="dxa"/>
            <w:tcBorders>
              <w:top w:val="nil"/>
              <w:left w:val="nil"/>
              <w:bottom w:val="nil"/>
              <w:right w:val="nil"/>
            </w:tcBorders>
            <w:shd w:val="clear" w:color="auto" w:fill="auto"/>
            <w:vAlign w:val="center"/>
          </w:tcPr>
          <w:p w14:paraId="6AC399A5"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(31.9, 36.6)</w:t>
            </w:r>
          </w:p>
        </w:tc>
      </w:tr>
      <w:tr w:rsidR="009118DA" w:rsidRPr="008A7800" w14:paraId="09361565"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2192" w:type="dxa"/>
            <w:tcBorders>
              <w:top w:val="nil"/>
              <w:left w:val="nil"/>
              <w:bottom w:val="nil"/>
              <w:right w:val="nil"/>
            </w:tcBorders>
            <w:shd w:val="clear" w:color="auto" w:fill="auto"/>
            <w:vAlign w:val="center"/>
            <w:hideMark/>
          </w:tcPr>
          <w:p w14:paraId="719DCA9F" w14:textId="77777777" w:rsidR="003B4065" w:rsidRPr="008A7800" w:rsidRDefault="003B4065" w:rsidP="003B4065">
            <w:pPr>
              <w:spacing w:before="20" w:after="60"/>
              <w:rPr>
                <w:rFonts w:eastAsiaTheme="minorEastAsia"/>
                <w:b w:val="0"/>
                <w:sz w:val="18"/>
                <w:szCs w:val="18"/>
              </w:rPr>
            </w:pPr>
            <w:r w:rsidRPr="008A7800">
              <w:rPr>
                <w:rFonts w:eastAsiaTheme="minorEastAsia"/>
                <w:b w:val="0"/>
                <w:sz w:val="18"/>
                <w:szCs w:val="18"/>
              </w:rPr>
              <w:t xml:space="preserve">   Missing</w:t>
            </w:r>
          </w:p>
        </w:tc>
        <w:tc>
          <w:tcPr>
            <w:tcW w:w="616" w:type="dxa"/>
            <w:tcBorders>
              <w:top w:val="nil"/>
              <w:left w:val="nil"/>
              <w:bottom w:val="nil"/>
              <w:right w:val="nil"/>
            </w:tcBorders>
            <w:shd w:val="clear" w:color="auto" w:fill="auto"/>
            <w:noWrap/>
            <w:vAlign w:val="center"/>
          </w:tcPr>
          <w:p w14:paraId="4D73366A"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681</w:t>
            </w:r>
          </w:p>
        </w:tc>
        <w:tc>
          <w:tcPr>
            <w:tcW w:w="576" w:type="dxa"/>
            <w:tcBorders>
              <w:top w:val="nil"/>
              <w:left w:val="nil"/>
              <w:bottom w:val="nil"/>
              <w:right w:val="nil"/>
            </w:tcBorders>
            <w:shd w:val="clear" w:color="auto" w:fill="auto"/>
            <w:noWrap/>
            <w:vAlign w:val="center"/>
          </w:tcPr>
          <w:p w14:paraId="57FB55B3"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t>
            </w:r>
          </w:p>
        </w:tc>
        <w:tc>
          <w:tcPr>
            <w:tcW w:w="1146" w:type="dxa"/>
            <w:tcBorders>
              <w:top w:val="nil"/>
              <w:left w:val="nil"/>
              <w:bottom w:val="nil"/>
              <w:right w:val="single" w:sz="4" w:space="0" w:color="000000"/>
            </w:tcBorders>
            <w:shd w:val="clear" w:color="auto" w:fill="auto"/>
            <w:noWrap/>
            <w:vAlign w:val="center"/>
          </w:tcPr>
          <w:p w14:paraId="6013A205"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16" w:type="dxa"/>
            <w:tcBorders>
              <w:top w:val="nil"/>
              <w:left w:val="single" w:sz="4" w:space="0" w:color="000000"/>
              <w:bottom w:val="nil"/>
              <w:right w:val="nil"/>
            </w:tcBorders>
            <w:shd w:val="clear" w:color="auto" w:fill="auto"/>
            <w:noWrap/>
            <w:vAlign w:val="center"/>
          </w:tcPr>
          <w:p w14:paraId="6C3B8C87"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222</w:t>
            </w:r>
          </w:p>
        </w:tc>
        <w:tc>
          <w:tcPr>
            <w:tcW w:w="576" w:type="dxa"/>
            <w:tcBorders>
              <w:top w:val="nil"/>
              <w:left w:val="nil"/>
              <w:bottom w:val="nil"/>
              <w:right w:val="nil"/>
            </w:tcBorders>
            <w:shd w:val="clear" w:color="auto" w:fill="auto"/>
            <w:noWrap/>
            <w:vAlign w:val="center"/>
          </w:tcPr>
          <w:p w14:paraId="438B1AC4"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t>
            </w:r>
          </w:p>
        </w:tc>
        <w:tc>
          <w:tcPr>
            <w:tcW w:w="1146" w:type="dxa"/>
            <w:tcBorders>
              <w:top w:val="nil"/>
              <w:left w:val="nil"/>
              <w:bottom w:val="nil"/>
              <w:right w:val="single" w:sz="4" w:space="0" w:color="000000"/>
            </w:tcBorders>
            <w:shd w:val="clear" w:color="auto" w:fill="auto"/>
            <w:noWrap/>
            <w:vAlign w:val="center"/>
          </w:tcPr>
          <w:p w14:paraId="4A8EB7A1"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02" w:type="dxa"/>
            <w:tcBorders>
              <w:top w:val="nil"/>
              <w:left w:val="single" w:sz="4" w:space="0" w:color="000000"/>
              <w:bottom w:val="nil"/>
              <w:right w:val="nil"/>
            </w:tcBorders>
            <w:shd w:val="clear" w:color="auto" w:fill="auto"/>
            <w:vAlign w:val="center"/>
          </w:tcPr>
          <w:p w14:paraId="602780F1"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290</w:t>
            </w:r>
          </w:p>
        </w:tc>
        <w:tc>
          <w:tcPr>
            <w:tcW w:w="562" w:type="dxa"/>
            <w:tcBorders>
              <w:top w:val="nil"/>
              <w:left w:val="nil"/>
              <w:bottom w:val="nil"/>
              <w:right w:val="nil"/>
            </w:tcBorders>
            <w:shd w:val="clear" w:color="auto" w:fill="auto"/>
            <w:vAlign w:val="center"/>
          </w:tcPr>
          <w:p w14:paraId="668A7524"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w:t>
            </w:r>
          </w:p>
        </w:tc>
        <w:tc>
          <w:tcPr>
            <w:tcW w:w="1146" w:type="dxa"/>
            <w:tcBorders>
              <w:top w:val="nil"/>
              <w:left w:val="nil"/>
              <w:bottom w:val="nil"/>
              <w:right w:val="single" w:sz="4" w:space="0" w:color="auto"/>
            </w:tcBorders>
            <w:shd w:val="clear" w:color="auto" w:fill="auto"/>
            <w:vAlign w:val="center"/>
          </w:tcPr>
          <w:p w14:paraId="68BCCCE1"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 </w:t>
            </w:r>
          </w:p>
        </w:tc>
        <w:tc>
          <w:tcPr>
            <w:tcW w:w="576" w:type="dxa"/>
            <w:tcBorders>
              <w:left w:val="single" w:sz="4" w:space="0" w:color="auto"/>
              <w:right w:val="nil"/>
            </w:tcBorders>
            <w:shd w:val="clear" w:color="auto" w:fill="auto"/>
            <w:vAlign w:val="center"/>
          </w:tcPr>
          <w:p w14:paraId="2E0CB5AC"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146</w:t>
            </w:r>
          </w:p>
        </w:tc>
        <w:tc>
          <w:tcPr>
            <w:tcW w:w="531" w:type="dxa"/>
            <w:tcBorders>
              <w:left w:val="nil"/>
              <w:right w:val="nil"/>
            </w:tcBorders>
            <w:shd w:val="clear" w:color="auto" w:fill="auto"/>
            <w:vAlign w:val="center"/>
          </w:tcPr>
          <w:p w14:paraId="38A24A79"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w:t>
            </w:r>
          </w:p>
        </w:tc>
        <w:tc>
          <w:tcPr>
            <w:tcW w:w="1146" w:type="dxa"/>
            <w:tcBorders>
              <w:top w:val="nil"/>
              <w:left w:val="nil"/>
              <w:bottom w:val="nil"/>
              <w:right w:val="nil"/>
            </w:tcBorders>
            <w:shd w:val="clear" w:color="auto" w:fill="auto"/>
            <w:vAlign w:val="center"/>
          </w:tcPr>
          <w:p w14:paraId="450FC645"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3B4065" w:rsidRPr="008A7800" w14:paraId="1C2A7927"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2808" w:type="dxa"/>
            <w:gridSpan w:val="2"/>
            <w:tcBorders>
              <w:top w:val="nil"/>
              <w:left w:val="nil"/>
              <w:bottom w:val="nil"/>
              <w:right w:val="nil"/>
            </w:tcBorders>
            <w:shd w:val="clear" w:color="auto" w:fill="auto"/>
            <w:vAlign w:val="center"/>
          </w:tcPr>
          <w:p w14:paraId="7ADF6C60" w14:textId="77777777" w:rsidR="007B7BB5" w:rsidRPr="008A7800" w:rsidRDefault="007B7BB5" w:rsidP="003B4065">
            <w:pPr>
              <w:spacing w:before="20" w:after="20"/>
              <w:rPr>
                <w:rFonts w:eastAsiaTheme="minorEastAsia"/>
                <w:sz w:val="18"/>
                <w:szCs w:val="18"/>
                <w:lang w:eastAsia="en-US"/>
              </w:rPr>
            </w:pPr>
            <w:r w:rsidRPr="008A7800">
              <w:rPr>
                <w:sz w:val="18"/>
                <w:szCs w:val="18"/>
              </w:rPr>
              <w:t>NZ Individual Deprivation Index</w:t>
            </w:r>
          </w:p>
        </w:tc>
        <w:tc>
          <w:tcPr>
            <w:tcW w:w="576" w:type="dxa"/>
            <w:tcBorders>
              <w:top w:val="nil"/>
              <w:left w:val="nil"/>
              <w:bottom w:val="nil"/>
              <w:right w:val="nil"/>
            </w:tcBorders>
            <w:shd w:val="clear" w:color="auto" w:fill="auto"/>
            <w:noWrap/>
            <w:vAlign w:val="center"/>
          </w:tcPr>
          <w:p w14:paraId="684D90EA" w14:textId="77777777" w:rsidR="007B7BB5" w:rsidRPr="008A7800" w:rsidRDefault="007B7BB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auto"/>
            <w:noWrap/>
            <w:vAlign w:val="center"/>
          </w:tcPr>
          <w:p w14:paraId="02BD4C89" w14:textId="77777777" w:rsidR="007B7BB5" w:rsidRPr="008A7800" w:rsidRDefault="007B7BB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16" w:type="dxa"/>
            <w:tcBorders>
              <w:top w:val="nil"/>
              <w:left w:val="single" w:sz="4" w:space="0" w:color="000000"/>
              <w:bottom w:val="nil"/>
              <w:right w:val="nil"/>
            </w:tcBorders>
            <w:shd w:val="clear" w:color="auto" w:fill="auto"/>
            <w:noWrap/>
            <w:vAlign w:val="center"/>
          </w:tcPr>
          <w:p w14:paraId="332DC9FC" w14:textId="77777777" w:rsidR="007B7BB5" w:rsidRPr="008A7800" w:rsidRDefault="007B7BB5" w:rsidP="003B4065">
            <w:pPr>
              <w:spacing w:before="20" w:after="20"/>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76" w:type="dxa"/>
            <w:tcBorders>
              <w:top w:val="nil"/>
              <w:left w:val="nil"/>
              <w:bottom w:val="nil"/>
              <w:right w:val="nil"/>
            </w:tcBorders>
            <w:shd w:val="clear" w:color="auto" w:fill="auto"/>
            <w:noWrap/>
            <w:vAlign w:val="center"/>
          </w:tcPr>
          <w:p w14:paraId="7EAA9473" w14:textId="77777777" w:rsidR="007B7BB5" w:rsidRPr="008A7800" w:rsidRDefault="007B7BB5" w:rsidP="003B4065">
            <w:pPr>
              <w:spacing w:before="20" w:after="20"/>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auto"/>
            <w:noWrap/>
            <w:vAlign w:val="center"/>
          </w:tcPr>
          <w:p w14:paraId="710DF0B1" w14:textId="77777777" w:rsidR="007B7BB5" w:rsidRPr="008A7800" w:rsidRDefault="007B7BB5" w:rsidP="003B4065">
            <w:pPr>
              <w:spacing w:before="20" w:after="20"/>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602" w:type="dxa"/>
            <w:tcBorders>
              <w:top w:val="nil"/>
              <w:left w:val="single" w:sz="4" w:space="0" w:color="000000"/>
              <w:bottom w:val="nil"/>
              <w:right w:val="nil"/>
            </w:tcBorders>
            <w:shd w:val="clear" w:color="auto" w:fill="auto"/>
            <w:vAlign w:val="center"/>
          </w:tcPr>
          <w:p w14:paraId="3ED7AC50" w14:textId="77777777" w:rsidR="007B7BB5" w:rsidRPr="008A7800" w:rsidRDefault="007B7BB5" w:rsidP="003B4065">
            <w:pPr>
              <w:spacing w:before="20" w:after="20"/>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62" w:type="dxa"/>
            <w:tcBorders>
              <w:top w:val="nil"/>
              <w:left w:val="nil"/>
              <w:bottom w:val="nil"/>
              <w:right w:val="nil"/>
            </w:tcBorders>
            <w:shd w:val="clear" w:color="auto" w:fill="auto"/>
            <w:vAlign w:val="center"/>
          </w:tcPr>
          <w:p w14:paraId="72FA5632" w14:textId="77777777" w:rsidR="007B7BB5" w:rsidRPr="008A7800" w:rsidRDefault="007B7BB5" w:rsidP="003B4065">
            <w:pPr>
              <w:spacing w:before="20" w:after="20"/>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auto"/>
            </w:tcBorders>
            <w:shd w:val="clear" w:color="auto" w:fill="auto"/>
            <w:vAlign w:val="center"/>
          </w:tcPr>
          <w:p w14:paraId="08C9B3E7" w14:textId="77777777" w:rsidR="007B7BB5" w:rsidRPr="008A7800" w:rsidRDefault="007B7BB5" w:rsidP="003B4065">
            <w:pPr>
              <w:spacing w:before="20" w:after="20"/>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76" w:type="dxa"/>
            <w:tcBorders>
              <w:left w:val="single" w:sz="4" w:space="0" w:color="auto"/>
              <w:right w:val="nil"/>
            </w:tcBorders>
            <w:shd w:val="clear" w:color="auto" w:fill="auto"/>
          </w:tcPr>
          <w:p w14:paraId="3D076296"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1" w:type="dxa"/>
            <w:tcBorders>
              <w:left w:val="nil"/>
              <w:right w:val="nil"/>
            </w:tcBorders>
            <w:shd w:val="clear" w:color="auto" w:fill="auto"/>
          </w:tcPr>
          <w:p w14:paraId="5F5DDAC6"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shd w:val="clear" w:color="auto" w:fill="auto"/>
          </w:tcPr>
          <w:p w14:paraId="2E9EC64E" w14:textId="77777777" w:rsidR="007B7BB5" w:rsidRPr="008A7800" w:rsidRDefault="007B7BB5" w:rsidP="007B7BB5">
            <w:pPr>
              <w:spacing w:before="20" w:after="20"/>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8A7800" w14:paraId="0308929B"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2192" w:type="dxa"/>
            <w:tcBorders>
              <w:top w:val="nil"/>
              <w:left w:val="nil"/>
              <w:bottom w:val="nil"/>
              <w:right w:val="nil"/>
            </w:tcBorders>
            <w:shd w:val="clear" w:color="auto" w:fill="auto"/>
            <w:vAlign w:val="center"/>
          </w:tcPr>
          <w:p w14:paraId="24768657" w14:textId="77777777" w:rsidR="003B4065" w:rsidRPr="008A7800" w:rsidRDefault="003B4065" w:rsidP="003B4065">
            <w:pPr>
              <w:spacing w:before="20" w:after="20"/>
              <w:rPr>
                <w:b w:val="0"/>
                <w:sz w:val="18"/>
                <w:szCs w:val="18"/>
              </w:rPr>
            </w:pPr>
            <w:r w:rsidRPr="008A7800">
              <w:rPr>
                <w:b w:val="0"/>
                <w:sz w:val="18"/>
                <w:szCs w:val="18"/>
              </w:rPr>
              <w:t xml:space="preserve">   0</w:t>
            </w:r>
          </w:p>
        </w:tc>
        <w:tc>
          <w:tcPr>
            <w:tcW w:w="616" w:type="dxa"/>
            <w:tcBorders>
              <w:top w:val="nil"/>
              <w:left w:val="nil"/>
              <w:bottom w:val="nil"/>
              <w:right w:val="nil"/>
            </w:tcBorders>
            <w:shd w:val="clear" w:color="auto" w:fill="auto"/>
            <w:noWrap/>
            <w:vAlign w:val="center"/>
          </w:tcPr>
          <w:p w14:paraId="720C81C8"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3540</w:t>
            </w:r>
          </w:p>
        </w:tc>
        <w:tc>
          <w:tcPr>
            <w:tcW w:w="576" w:type="dxa"/>
            <w:tcBorders>
              <w:top w:val="nil"/>
              <w:left w:val="nil"/>
              <w:bottom w:val="nil"/>
              <w:right w:val="nil"/>
            </w:tcBorders>
            <w:shd w:val="clear" w:color="auto" w:fill="auto"/>
            <w:noWrap/>
            <w:vAlign w:val="center"/>
          </w:tcPr>
          <w:p w14:paraId="64DBCF1D"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56.6</w:t>
            </w:r>
          </w:p>
        </w:tc>
        <w:tc>
          <w:tcPr>
            <w:tcW w:w="1146" w:type="dxa"/>
            <w:tcBorders>
              <w:top w:val="nil"/>
              <w:left w:val="nil"/>
              <w:bottom w:val="nil"/>
              <w:right w:val="single" w:sz="4" w:space="0" w:color="000000"/>
            </w:tcBorders>
            <w:shd w:val="clear" w:color="auto" w:fill="auto"/>
            <w:noWrap/>
            <w:vAlign w:val="center"/>
          </w:tcPr>
          <w:p w14:paraId="5FA5764E"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(55.2, 58.1)</w:t>
            </w:r>
          </w:p>
        </w:tc>
        <w:tc>
          <w:tcPr>
            <w:tcW w:w="616" w:type="dxa"/>
            <w:tcBorders>
              <w:top w:val="nil"/>
              <w:left w:val="single" w:sz="4" w:space="0" w:color="000000"/>
              <w:bottom w:val="nil"/>
              <w:right w:val="nil"/>
            </w:tcBorders>
            <w:shd w:val="clear" w:color="auto" w:fill="auto"/>
            <w:noWrap/>
            <w:vAlign w:val="center"/>
          </w:tcPr>
          <w:p w14:paraId="69B88851"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2275</w:t>
            </w:r>
          </w:p>
        </w:tc>
        <w:tc>
          <w:tcPr>
            <w:tcW w:w="576" w:type="dxa"/>
            <w:tcBorders>
              <w:top w:val="nil"/>
              <w:left w:val="nil"/>
              <w:bottom w:val="nil"/>
              <w:right w:val="nil"/>
            </w:tcBorders>
            <w:shd w:val="clear" w:color="auto" w:fill="auto"/>
            <w:noWrap/>
            <w:vAlign w:val="center"/>
          </w:tcPr>
          <w:p w14:paraId="67528089"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60.8</w:t>
            </w:r>
          </w:p>
        </w:tc>
        <w:tc>
          <w:tcPr>
            <w:tcW w:w="1146" w:type="dxa"/>
            <w:tcBorders>
              <w:top w:val="nil"/>
              <w:left w:val="nil"/>
              <w:bottom w:val="nil"/>
              <w:right w:val="single" w:sz="4" w:space="0" w:color="000000"/>
            </w:tcBorders>
            <w:shd w:val="clear" w:color="auto" w:fill="auto"/>
            <w:noWrap/>
            <w:vAlign w:val="center"/>
          </w:tcPr>
          <w:p w14:paraId="631A044C"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(58.9, 62.6)</w:t>
            </w:r>
          </w:p>
        </w:tc>
        <w:tc>
          <w:tcPr>
            <w:tcW w:w="602" w:type="dxa"/>
            <w:tcBorders>
              <w:top w:val="nil"/>
              <w:left w:val="single" w:sz="4" w:space="0" w:color="000000"/>
              <w:bottom w:val="nil"/>
              <w:right w:val="nil"/>
            </w:tcBorders>
            <w:shd w:val="clear" w:color="auto" w:fill="auto"/>
            <w:vAlign w:val="center"/>
          </w:tcPr>
          <w:p w14:paraId="7823D376"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1998</w:t>
            </w:r>
          </w:p>
        </w:tc>
        <w:tc>
          <w:tcPr>
            <w:tcW w:w="562" w:type="dxa"/>
            <w:tcBorders>
              <w:top w:val="nil"/>
              <w:left w:val="nil"/>
              <w:bottom w:val="nil"/>
              <w:right w:val="nil"/>
            </w:tcBorders>
            <w:shd w:val="clear" w:color="auto" w:fill="auto"/>
            <w:vAlign w:val="center"/>
          </w:tcPr>
          <w:p w14:paraId="11745FBD"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64.0</w:t>
            </w:r>
          </w:p>
        </w:tc>
        <w:tc>
          <w:tcPr>
            <w:tcW w:w="1146" w:type="dxa"/>
            <w:tcBorders>
              <w:top w:val="nil"/>
              <w:left w:val="nil"/>
              <w:bottom w:val="nil"/>
              <w:right w:val="single" w:sz="4" w:space="0" w:color="auto"/>
            </w:tcBorders>
            <w:shd w:val="clear" w:color="auto" w:fill="auto"/>
            <w:vAlign w:val="center"/>
          </w:tcPr>
          <w:p w14:paraId="38899187"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(61.8, 66.1)</w:t>
            </w:r>
          </w:p>
        </w:tc>
        <w:tc>
          <w:tcPr>
            <w:tcW w:w="576" w:type="dxa"/>
            <w:tcBorders>
              <w:left w:val="single" w:sz="4" w:space="0" w:color="auto"/>
              <w:right w:val="nil"/>
            </w:tcBorders>
            <w:shd w:val="clear" w:color="auto" w:fill="auto"/>
            <w:vAlign w:val="center"/>
          </w:tcPr>
          <w:p w14:paraId="10A0C6E8"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1866</w:t>
            </w:r>
          </w:p>
        </w:tc>
        <w:tc>
          <w:tcPr>
            <w:tcW w:w="531" w:type="dxa"/>
            <w:tcBorders>
              <w:left w:val="nil"/>
              <w:right w:val="nil"/>
            </w:tcBorders>
            <w:shd w:val="clear" w:color="auto" w:fill="auto"/>
            <w:vAlign w:val="center"/>
          </w:tcPr>
          <w:p w14:paraId="02FB641D"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67.4</w:t>
            </w:r>
          </w:p>
        </w:tc>
        <w:tc>
          <w:tcPr>
            <w:tcW w:w="1146" w:type="dxa"/>
            <w:tcBorders>
              <w:top w:val="nil"/>
              <w:left w:val="nil"/>
              <w:bottom w:val="nil"/>
              <w:right w:val="nil"/>
            </w:tcBorders>
            <w:shd w:val="clear" w:color="auto" w:fill="auto"/>
            <w:vAlign w:val="center"/>
          </w:tcPr>
          <w:p w14:paraId="013C57FF"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(65.1, 69.7)</w:t>
            </w:r>
          </w:p>
        </w:tc>
      </w:tr>
      <w:tr w:rsidR="009118DA" w:rsidRPr="008A7800" w14:paraId="38929C6E"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2192" w:type="dxa"/>
            <w:tcBorders>
              <w:top w:val="nil"/>
              <w:left w:val="nil"/>
              <w:bottom w:val="nil"/>
              <w:right w:val="nil"/>
            </w:tcBorders>
            <w:shd w:val="clear" w:color="auto" w:fill="auto"/>
            <w:vAlign w:val="center"/>
          </w:tcPr>
          <w:p w14:paraId="7AECFAEC" w14:textId="77777777" w:rsidR="003B4065" w:rsidRPr="008A7800" w:rsidRDefault="003B4065" w:rsidP="003B4065">
            <w:pPr>
              <w:spacing w:before="20" w:after="20"/>
              <w:rPr>
                <w:b w:val="0"/>
                <w:sz w:val="18"/>
                <w:szCs w:val="18"/>
              </w:rPr>
            </w:pPr>
            <w:r w:rsidRPr="008A7800">
              <w:rPr>
                <w:b w:val="0"/>
                <w:sz w:val="18"/>
                <w:szCs w:val="18"/>
              </w:rPr>
              <w:t xml:space="preserve">   1</w:t>
            </w:r>
          </w:p>
        </w:tc>
        <w:tc>
          <w:tcPr>
            <w:tcW w:w="616" w:type="dxa"/>
            <w:tcBorders>
              <w:top w:val="nil"/>
              <w:left w:val="nil"/>
              <w:bottom w:val="nil"/>
              <w:right w:val="nil"/>
            </w:tcBorders>
            <w:shd w:val="clear" w:color="auto" w:fill="auto"/>
            <w:noWrap/>
            <w:vAlign w:val="center"/>
          </w:tcPr>
          <w:p w14:paraId="70632CC5"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1348</w:t>
            </w:r>
          </w:p>
        </w:tc>
        <w:tc>
          <w:tcPr>
            <w:tcW w:w="576" w:type="dxa"/>
            <w:tcBorders>
              <w:top w:val="nil"/>
              <w:left w:val="nil"/>
              <w:bottom w:val="nil"/>
              <w:right w:val="nil"/>
            </w:tcBorders>
            <w:shd w:val="clear" w:color="auto" w:fill="auto"/>
            <w:noWrap/>
            <w:vAlign w:val="center"/>
          </w:tcPr>
          <w:p w14:paraId="27B9806C"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21.6</w:t>
            </w:r>
          </w:p>
        </w:tc>
        <w:tc>
          <w:tcPr>
            <w:tcW w:w="1146" w:type="dxa"/>
            <w:tcBorders>
              <w:top w:val="nil"/>
              <w:left w:val="nil"/>
              <w:bottom w:val="nil"/>
              <w:right w:val="single" w:sz="4" w:space="0" w:color="auto"/>
            </w:tcBorders>
            <w:shd w:val="clear" w:color="auto" w:fill="auto"/>
            <w:noWrap/>
            <w:vAlign w:val="center"/>
          </w:tcPr>
          <w:p w14:paraId="128076A5"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(20.3, 22.8)</w:t>
            </w:r>
          </w:p>
        </w:tc>
        <w:tc>
          <w:tcPr>
            <w:tcW w:w="616" w:type="dxa"/>
            <w:tcBorders>
              <w:top w:val="nil"/>
              <w:left w:val="single" w:sz="4" w:space="0" w:color="auto"/>
              <w:bottom w:val="nil"/>
              <w:right w:val="nil"/>
            </w:tcBorders>
            <w:shd w:val="clear" w:color="auto" w:fill="auto"/>
            <w:noWrap/>
            <w:vAlign w:val="center"/>
          </w:tcPr>
          <w:p w14:paraId="65544F63"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752</w:t>
            </w:r>
          </w:p>
        </w:tc>
        <w:tc>
          <w:tcPr>
            <w:tcW w:w="576" w:type="dxa"/>
            <w:tcBorders>
              <w:top w:val="nil"/>
              <w:left w:val="nil"/>
              <w:bottom w:val="nil"/>
              <w:right w:val="nil"/>
            </w:tcBorders>
            <w:shd w:val="clear" w:color="auto" w:fill="auto"/>
            <w:noWrap/>
            <w:vAlign w:val="center"/>
          </w:tcPr>
          <w:p w14:paraId="6E7672B0"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20.1</w:t>
            </w:r>
          </w:p>
        </w:tc>
        <w:tc>
          <w:tcPr>
            <w:tcW w:w="1146" w:type="dxa"/>
            <w:tcBorders>
              <w:top w:val="nil"/>
              <w:left w:val="nil"/>
              <w:bottom w:val="nil"/>
              <w:right w:val="single" w:sz="4" w:space="0" w:color="000000"/>
            </w:tcBorders>
            <w:shd w:val="clear" w:color="auto" w:fill="auto"/>
            <w:noWrap/>
            <w:vAlign w:val="center"/>
          </w:tcPr>
          <w:p w14:paraId="511AAF17"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(18.5, 21.7)</w:t>
            </w:r>
          </w:p>
        </w:tc>
        <w:tc>
          <w:tcPr>
            <w:tcW w:w="602" w:type="dxa"/>
            <w:tcBorders>
              <w:top w:val="nil"/>
              <w:left w:val="single" w:sz="4" w:space="0" w:color="000000"/>
              <w:bottom w:val="nil"/>
              <w:right w:val="nil"/>
            </w:tcBorders>
            <w:shd w:val="clear" w:color="auto" w:fill="auto"/>
            <w:vAlign w:val="center"/>
          </w:tcPr>
          <w:p w14:paraId="07BBE797"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560</w:t>
            </w:r>
          </w:p>
        </w:tc>
        <w:tc>
          <w:tcPr>
            <w:tcW w:w="562" w:type="dxa"/>
            <w:tcBorders>
              <w:top w:val="nil"/>
              <w:left w:val="nil"/>
              <w:bottom w:val="nil"/>
              <w:right w:val="nil"/>
            </w:tcBorders>
            <w:shd w:val="clear" w:color="auto" w:fill="auto"/>
            <w:vAlign w:val="center"/>
          </w:tcPr>
          <w:p w14:paraId="4EB0445A"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17.9</w:t>
            </w:r>
          </w:p>
        </w:tc>
        <w:tc>
          <w:tcPr>
            <w:tcW w:w="1146" w:type="dxa"/>
            <w:tcBorders>
              <w:top w:val="nil"/>
              <w:left w:val="nil"/>
              <w:bottom w:val="nil"/>
              <w:right w:val="single" w:sz="4" w:space="0" w:color="auto"/>
            </w:tcBorders>
            <w:shd w:val="clear" w:color="auto" w:fill="auto"/>
            <w:vAlign w:val="center"/>
          </w:tcPr>
          <w:p w14:paraId="5B3B08E2"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(16.2, 19.7)</w:t>
            </w:r>
          </w:p>
        </w:tc>
        <w:tc>
          <w:tcPr>
            <w:tcW w:w="576" w:type="dxa"/>
            <w:tcBorders>
              <w:left w:val="single" w:sz="4" w:space="0" w:color="auto"/>
              <w:right w:val="nil"/>
            </w:tcBorders>
            <w:shd w:val="clear" w:color="auto" w:fill="auto"/>
            <w:vAlign w:val="center"/>
          </w:tcPr>
          <w:p w14:paraId="02D0BE4A"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485</w:t>
            </w:r>
          </w:p>
        </w:tc>
        <w:tc>
          <w:tcPr>
            <w:tcW w:w="531" w:type="dxa"/>
            <w:tcBorders>
              <w:left w:val="nil"/>
              <w:right w:val="nil"/>
            </w:tcBorders>
            <w:shd w:val="clear" w:color="auto" w:fill="auto"/>
            <w:vAlign w:val="center"/>
          </w:tcPr>
          <w:p w14:paraId="1D20DDD9"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17.5</w:t>
            </w:r>
          </w:p>
        </w:tc>
        <w:tc>
          <w:tcPr>
            <w:tcW w:w="1146" w:type="dxa"/>
            <w:tcBorders>
              <w:top w:val="nil"/>
              <w:left w:val="nil"/>
              <w:bottom w:val="nil"/>
              <w:right w:val="nil"/>
            </w:tcBorders>
            <w:shd w:val="clear" w:color="auto" w:fill="auto"/>
            <w:vAlign w:val="center"/>
          </w:tcPr>
          <w:p w14:paraId="10EB93D2"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(15.5, 19.5)</w:t>
            </w:r>
          </w:p>
        </w:tc>
      </w:tr>
      <w:tr w:rsidR="009118DA" w:rsidRPr="008A7800" w14:paraId="12CA0EC1"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2192" w:type="dxa"/>
            <w:tcBorders>
              <w:top w:val="nil"/>
              <w:left w:val="nil"/>
              <w:bottom w:val="nil"/>
              <w:right w:val="nil"/>
            </w:tcBorders>
            <w:shd w:val="clear" w:color="auto" w:fill="auto"/>
            <w:vAlign w:val="center"/>
          </w:tcPr>
          <w:p w14:paraId="6B880A31" w14:textId="77777777" w:rsidR="003B4065" w:rsidRPr="008A7800" w:rsidRDefault="003B4065" w:rsidP="003B4065">
            <w:pPr>
              <w:spacing w:before="20" w:after="20"/>
              <w:rPr>
                <w:b w:val="0"/>
                <w:sz w:val="18"/>
                <w:szCs w:val="18"/>
              </w:rPr>
            </w:pPr>
            <w:r w:rsidRPr="008A7800">
              <w:rPr>
                <w:b w:val="0"/>
                <w:sz w:val="18"/>
                <w:szCs w:val="18"/>
              </w:rPr>
              <w:t xml:space="preserve">   2</w:t>
            </w:r>
          </w:p>
        </w:tc>
        <w:tc>
          <w:tcPr>
            <w:tcW w:w="616" w:type="dxa"/>
            <w:tcBorders>
              <w:top w:val="nil"/>
              <w:left w:val="nil"/>
              <w:bottom w:val="nil"/>
              <w:right w:val="nil"/>
            </w:tcBorders>
            <w:shd w:val="clear" w:color="auto" w:fill="auto"/>
            <w:noWrap/>
            <w:vAlign w:val="center"/>
          </w:tcPr>
          <w:p w14:paraId="5CFBD8A9"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683</w:t>
            </w:r>
          </w:p>
        </w:tc>
        <w:tc>
          <w:tcPr>
            <w:tcW w:w="576" w:type="dxa"/>
            <w:tcBorders>
              <w:top w:val="nil"/>
              <w:left w:val="nil"/>
              <w:bottom w:val="nil"/>
              <w:right w:val="nil"/>
            </w:tcBorders>
            <w:shd w:val="clear" w:color="auto" w:fill="auto"/>
            <w:noWrap/>
            <w:vAlign w:val="center"/>
          </w:tcPr>
          <w:p w14:paraId="44B3A3BC"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10.9</w:t>
            </w:r>
          </w:p>
        </w:tc>
        <w:tc>
          <w:tcPr>
            <w:tcW w:w="1146" w:type="dxa"/>
            <w:tcBorders>
              <w:top w:val="nil"/>
              <w:left w:val="nil"/>
              <w:bottom w:val="nil"/>
              <w:right w:val="single" w:sz="4" w:space="0" w:color="auto"/>
            </w:tcBorders>
            <w:shd w:val="clear" w:color="auto" w:fill="auto"/>
            <w:noWrap/>
            <w:vAlign w:val="center"/>
          </w:tcPr>
          <w:p w14:paraId="3A9D430E"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(10.0, 11.9)</w:t>
            </w:r>
          </w:p>
        </w:tc>
        <w:tc>
          <w:tcPr>
            <w:tcW w:w="616" w:type="dxa"/>
            <w:tcBorders>
              <w:top w:val="nil"/>
              <w:left w:val="single" w:sz="4" w:space="0" w:color="auto"/>
              <w:bottom w:val="nil"/>
              <w:right w:val="nil"/>
            </w:tcBorders>
            <w:shd w:val="clear" w:color="auto" w:fill="auto"/>
            <w:noWrap/>
            <w:vAlign w:val="center"/>
          </w:tcPr>
          <w:p w14:paraId="3E224F2C"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336</w:t>
            </w:r>
          </w:p>
        </w:tc>
        <w:tc>
          <w:tcPr>
            <w:tcW w:w="576" w:type="dxa"/>
            <w:tcBorders>
              <w:top w:val="nil"/>
              <w:left w:val="nil"/>
              <w:bottom w:val="nil"/>
              <w:right w:val="nil"/>
            </w:tcBorders>
            <w:shd w:val="clear" w:color="auto" w:fill="auto"/>
            <w:noWrap/>
            <w:vAlign w:val="center"/>
          </w:tcPr>
          <w:p w14:paraId="454411B7"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9.0</w:t>
            </w:r>
          </w:p>
        </w:tc>
        <w:tc>
          <w:tcPr>
            <w:tcW w:w="1146" w:type="dxa"/>
            <w:tcBorders>
              <w:top w:val="nil"/>
              <w:left w:val="nil"/>
              <w:bottom w:val="nil"/>
              <w:right w:val="single" w:sz="4" w:space="0" w:color="000000"/>
            </w:tcBorders>
            <w:shd w:val="clear" w:color="auto" w:fill="auto"/>
            <w:noWrap/>
            <w:vAlign w:val="center"/>
          </w:tcPr>
          <w:p w14:paraId="5F68854D"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(7.9, 10.1)</w:t>
            </w:r>
          </w:p>
        </w:tc>
        <w:tc>
          <w:tcPr>
            <w:tcW w:w="602" w:type="dxa"/>
            <w:tcBorders>
              <w:top w:val="nil"/>
              <w:left w:val="single" w:sz="4" w:space="0" w:color="000000"/>
              <w:bottom w:val="nil"/>
              <w:right w:val="nil"/>
            </w:tcBorders>
            <w:shd w:val="clear" w:color="auto" w:fill="auto"/>
            <w:vAlign w:val="center"/>
          </w:tcPr>
          <w:p w14:paraId="47CEC36C"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262</w:t>
            </w:r>
          </w:p>
        </w:tc>
        <w:tc>
          <w:tcPr>
            <w:tcW w:w="562" w:type="dxa"/>
            <w:tcBorders>
              <w:top w:val="nil"/>
              <w:left w:val="nil"/>
              <w:bottom w:val="nil"/>
              <w:right w:val="nil"/>
            </w:tcBorders>
            <w:shd w:val="clear" w:color="auto" w:fill="auto"/>
            <w:vAlign w:val="center"/>
          </w:tcPr>
          <w:p w14:paraId="622BE804"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8.4</w:t>
            </w:r>
          </w:p>
        </w:tc>
        <w:tc>
          <w:tcPr>
            <w:tcW w:w="1146" w:type="dxa"/>
            <w:tcBorders>
              <w:top w:val="nil"/>
              <w:left w:val="nil"/>
              <w:bottom w:val="nil"/>
              <w:right w:val="single" w:sz="4" w:space="0" w:color="auto"/>
            </w:tcBorders>
            <w:shd w:val="clear" w:color="auto" w:fill="auto"/>
            <w:vAlign w:val="center"/>
          </w:tcPr>
          <w:p w14:paraId="4970BCDE"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(7.1, 9.7)</w:t>
            </w:r>
          </w:p>
        </w:tc>
        <w:tc>
          <w:tcPr>
            <w:tcW w:w="576" w:type="dxa"/>
            <w:tcBorders>
              <w:left w:val="single" w:sz="4" w:space="0" w:color="auto"/>
              <w:right w:val="nil"/>
            </w:tcBorders>
            <w:shd w:val="clear" w:color="auto" w:fill="auto"/>
            <w:vAlign w:val="center"/>
          </w:tcPr>
          <w:p w14:paraId="050A5B35"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198</w:t>
            </w:r>
          </w:p>
        </w:tc>
        <w:tc>
          <w:tcPr>
            <w:tcW w:w="531" w:type="dxa"/>
            <w:tcBorders>
              <w:left w:val="nil"/>
              <w:right w:val="nil"/>
            </w:tcBorders>
            <w:shd w:val="clear" w:color="auto" w:fill="auto"/>
            <w:vAlign w:val="center"/>
          </w:tcPr>
          <w:p w14:paraId="7959A976"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7.1</w:t>
            </w:r>
          </w:p>
        </w:tc>
        <w:tc>
          <w:tcPr>
            <w:tcW w:w="1146" w:type="dxa"/>
            <w:tcBorders>
              <w:top w:val="nil"/>
              <w:left w:val="nil"/>
              <w:bottom w:val="nil"/>
              <w:right w:val="nil"/>
            </w:tcBorders>
            <w:shd w:val="clear" w:color="auto" w:fill="auto"/>
            <w:vAlign w:val="center"/>
          </w:tcPr>
          <w:p w14:paraId="7FC71052"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(6.0, 8.3)</w:t>
            </w:r>
          </w:p>
        </w:tc>
      </w:tr>
      <w:tr w:rsidR="009118DA" w:rsidRPr="008A7800" w14:paraId="58847A4A"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2192" w:type="dxa"/>
            <w:tcBorders>
              <w:top w:val="nil"/>
              <w:left w:val="nil"/>
              <w:bottom w:val="nil"/>
              <w:right w:val="nil"/>
            </w:tcBorders>
            <w:shd w:val="clear" w:color="auto" w:fill="auto"/>
            <w:vAlign w:val="center"/>
          </w:tcPr>
          <w:p w14:paraId="6CA4CA6B" w14:textId="77777777" w:rsidR="003B4065" w:rsidRPr="008A7800" w:rsidRDefault="003B4065" w:rsidP="003B4065">
            <w:pPr>
              <w:spacing w:before="20" w:after="20"/>
              <w:rPr>
                <w:b w:val="0"/>
                <w:sz w:val="18"/>
                <w:szCs w:val="18"/>
              </w:rPr>
            </w:pPr>
            <w:r w:rsidRPr="008A7800">
              <w:rPr>
                <w:b w:val="0"/>
                <w:sz w:val="18"/>
                <w:szCs w:val="18"/>
              </w:rPr>
              <w:t xml:space="preserve">   3</w:t>
            </w:r>
          </w:p>
        </w:tc>
        <w:tc>
          <w:tcPr>
            <w:tcW w:w="616" w:type="dxa"/>
            <w:tcBorders>
              <w:top w:val="nil"/>
              <w:left w:val="nil"/>
              <w:bottom w:val="nil"/>
              <w:right w:val="nil"/>
            </w:tcBorders>
            <w:shd w:val="clear" w:color="auto" w:fill="auto"/>
            <w:noWrap/>
            <w:vAlign w:val="center"/>
          </w:tcPr>
          <w:p w14:paraId="08F64F94"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271</w:t>
            </w:r>
          </w:p>
        </w:tc>
        <w:tc>
          <w:tcPr>
            <w:tcW w:w="576" w:type="dxa"/>
            <w:tcBorders>
              <w:top w:val="nil"/>
              <w:left w:val="nil"/>
              <w:bottom w:val="nil"/>
              <w:right w:val="nil"/>
            </w:tcBorders>
            <w:shd w:val="clear" w:color="auto" w:fill="auto"/>
            <w:noWrap/>
            <w:vAlign w:val="center"/>
          </w:tcPr>
          <w:p w14:paraId="6C579909"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4.3</w:t>
            </w:r>
          </w:p>
        </w:tc>
        <w:tc>
          <w:tcPr>
            <w:tcW w:w="1146" w:type="dxa"/>
            <w:tcBorders>
              <w:top w:val="nil"/>
              <w:left w:val="nil"/>
              <w:bottom w:val="nil"/>
              <w:right w:val="single" w:sz="4" w:space="0" w:color="auto"/>
            </w:tcBorders>
            <w:shd w:val="clear" w:color="auto" w:fill="auto"/>
            <w:noWrap/>
            <w:vAlign w:val="center"/>
          </w:tcPr>
          <w:p w14:paraId="7796D7EA"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(3.8, 4.9)</w:t>
            </w:r>
          </w:p>
        </w:tc>
        <w:tc>
          <w:tcPr>
            <w:tcW w:w="616" w:type="dxa"/>
            <w:tcBorders>
              <w:top w:val="nil"/>
              <w:left w:val="single" w:sz="4" w:space="0" w:color="auto"/>
              <w:bottom w:val="nil"/>
              <w:right w:val="nil"/>
            </w:tcBorders>
            <w:shd w:val="clear" w:color="auto" w:fill="auto"/>
            <w:noWrap/>
            <w:vAlign w:val="center"/>
          </w:tcPr>
          <w:p w14:paraId="70E630B4"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184</w:t>
            </w:r>
          </w:p>
        </w:tc>
        <w:tc>
          <w:tcPr>
            <w:tcW w:w="576" w:type="dxa"/>
            <w:tcBorders>
              <w:top w:val="nil"/>
              <w:left w:val="nil"/>
              <w:bottom w:val="nil"/>
              <w:right w:val="nil"/>
            </w:tcBorders>
            <w:shd w:val="clear" w:color="auto" w:fill="auto"/>
            <w:noWrap/>
            <w:vAlign w:val="center"/>
          </w:tcPr>
          <w:p w14:paraId="49E75D9B"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4.9</w:t>
            </w:r>
          </w:p>
        </w:tc>
        <w:tc>
          <w:tcPr>
            <w:tcW w:w="1146" w:type="dxa"/>
            <w:tcBorders>
              <w:top w:val="nil"/>
              <w:left w:val="nil"/>
              <w:bottom w:val="nil"/>
              <w:right w:val="single" w:sz="4" w:space="0" w:color="000000"/>
            </w:tcBorders>
            <w:shd w:val="clear" w:color="auto" w:fill="auto"/>
            <w:noWrap/>
            <w:vAlign w:val="center"/>
          </w:tcPr>
          <w:p w14:paraId="4BFED2A8"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(4.1, 5.8)</w:t>
            </w:r>
          </w:p>
        </w:tc>
        <w:tc>
          <w:tcPr>
            <w:tcW w:w="602" w:type="dxa"/>
            <w:tcBorders>
              <w:top w:val="nil"/>
              <w:left w:val="single" w:sz="4" w:space="0" w:color="000000"/>
              <w:bottom w:val="nil"/>
              <w:right w:val="nil"/>
            </w:tcBorders>
            <w:shd w:val="clear" w:color="auto" w:fill="auto"/>
            <w:vAlign w:val="center"/>
          </w:tcPr>
          <w:p w14:paraId="09E45E96"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153</w:t>
            </w:r>
          </w:p>
        </w:tc>
        <w:tc>
          <w:tcPr>
            <w:tcW w:w="562" w:type="dxa"/>
            <w:tcBorders>
              <w:top w:val="nil"/>
              <w:left w:val="nil"/>
              <w:bottom w:val="nil"/>
              <w:right w:val="nil"/>
            </w:tcBorders>
            <w:shd w:val="clear" w:color="auto" w:fill="auto"/>
            <w:vAlign w:val="center"/>
          </w:tcPr>
          <w:p w14:paraId="190D5505"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4.9</w:t>
            </w:r>
          </w:p>
        </w:tc>
        <w:tc>
          <w:tcPr>
            <w:tcW w:w="1146" w:type="dxa"/>
            <w:tcBorders>
              <w:top w:val="nil"/>
              <w:left w:val="nil"/>
              <w:bottom w:val="nil"/>
              <w:right w:val="single" w:sz="4" w:space="0" w:color="auto"/>
            </w:tcBorders>
            <w:shd w:val="clear" w:color="auto" w:fill="auto"/>
            <w:vAlign w:val="center"/>
          </w:tcPr>
          <w:p w14:paraId="2F8360F5"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(3.9, 5.9)</w:t>
            </w:r>
          </w:p>
        </w:tc>
        <w:tc>
          <w:tcPr>
            <w:tcW w:w="576" w:type="dxa"/>
            <w:tcBorders>
              <w:left w:val="single" w:sz="4" w:space="0" w:color="auto"/>
              <w:right w:val="nil"/>
            </w:tcBorders>
            <w:shd w:val="clear" w:color="auto" w:fill="auto"/>
            <w:vAlign w:val="center"/>
          </w:tcPr>
          <w:p w14:paraId="5E2B5D0F"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105</w:t>
            </w:r>
          </w:p>
        </w:tc>
        <w:tc>
          <w:tcPr>
            <w:tcW w:w="531" w:type="dxa"/>
            <w:tcBorders>
              <w:left w:val="nil"/>
              <w:right w:val="nil"/>
            </w:tcBorders>
            <w:shd w:val="clear" w:color="auto" w:fill="auto"/>
            <w:vAlign w:val="center"/>
          </w:tcPr>
          <w:p w14:paraId="409E0248"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3.8</w:t>
            </w:r>
          </w:p>
        </w:tc>
        <w:tc>
          <w:tcPr>
            <w:tcW w:w="1146" w:type="dxa"/>
            <w:tcBorders>
              <w:top w:val="nil"/>
              <w:left w:val="nil"/>
              <w:bottom w:val="nil"/>
              <w:right w:val="nil"/>
            </w:tcBorders>
            <w:shd w:val="clear" w:color="auto" w:fill="auto"/>
            <w:vAlign w:val="center"/>
          </w:tcPr>
          <w:p w14:paraId="08CA6B56"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(2.7, 4.9)</w:t>
            </w:r>
          </w:p>
        </w:tc>
      </w:tr>
      <w:tr w:rsidR="009118DA" w:rsidRPr="008A7800" w14:paraId="6D69C7BC"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2192" w:type="dxa"/>
            <w:tcBorders>
              <w:top w:val="nil"/>
              <w:left w:val="nil"/>
              <w:bottom w:val="nil"/>
              <w:right w:val="nil"/>
            </w:tcBorders>
            <w:shd w:val="clear" w:color="auto" w:fill="auto"/>
            <w:vAlign w:val="center"/>
          </w:tcPr>
          <w:p w14:paraId="6D543DA0" w14:textId="77777777" w:rsidR="003B4065" w:rsidRPr="008A7800" w:rsidRDefault="003B4065" w:rsidP="003B4065">
            <w:pPr>
              <w:spacing w:before="20" w:after="20"/>
              <w:rPr>
                <w:b w:val="0"/>
                <w:sz w:val="18"/>
                <w:szCs w:val="18"/>
              </w:rPr>
            </w:pPr>
            <w:r w:rsidRPr="008A7800">
              <w:rPr>
                <w:b w:val="0"/>
                <w:sz w:val="18"/>
                <w:szCs w:val="18"/>
              </w:rPr>
              <w:t xml:space="preserve">   4</w:t>
            </w:r>
          </w:p>
        </w:tc>
        <w:tc>
          <w:tcPr>
            <w:tcW w:w="616" w:type="dxa"/>
            <w:tcBorders>
              <w:top w:val="nil"/>
              <w:left w:val="nil"/>
              <w:bottom w:val="nil"/>
              <w:right w:val="nil"/>
            </w:tcBorders>
            <w:shd w:val="clear" w:color="auto" w:fill="auto"/>
            <w:noWrap/>
            <w:vAlign w:val="center"/>
          </w:tcPr>
          <w:p w14:paraId="53CD0DAC"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201</w:t>
            </w:r>
          </w:p>
        </w:tc>
        <w:tc>
          <w:tcPr>
            <w:tcW w:w="576" w:type="dxa"/>
            <w:tcBorders>
              <w:top w:val="nil"/>
              <w:left w:val="nil"/>
              <w:bottom w:val="nil"/>
              <w:right w:val="nil"/>
            </w:tcBorders>
            <w:shd w:val="clear" w:color="auto" w:fill="auto"/>
            <w:noWrap/>
            <w:vAlign w:val="center"/>
          </w:tcPr>
          <w:p w14:paraId="7C9264B6"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3.2</w:t>
            </w:r>
          </w:p>
        </w:tc>
        <w:tc>
          <w:tcPr>
            <w:tcW w:w="1146" w:type="dxa"/>
            <w:tcBorders>
              <w:top w:val="nil"/>
              <w:left w:val="nil"/>
              <w:bottom w:val="nil"/>
              <w:right w:val="single" w:sz="4" w:space="0" w:color="auto"/>
            </w:tcBorders>
            <w:shd w:val="clear" w:color="auto" w:fill="auto"/>
            <w:noWrap/>
            <w:vAlign w:val="center"/>
          </w:tcPr>
          <w:p w14:paraId="172E832B"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(2.7, 3.7)</w:t>
            </w:r>
          </w:p>
        </w:tc>
        <w:tc>
          <w:tcPr>
            <w:tcW w:w="616" w:type="dxa"/>
            <w:tcBorders>
              <w:top w:val="nil"/>
              <w:left w:val="single" w:sz="4" w:space="0" w:color="auto"/>
              <w:bottom w:val="nil"/>
              <w:right w:val="nil"/>
            </w:tcBorders>
            <w:shd w:val="clear" w:color="auto" w:fill="auto"/>
            <w:noWrap/>
            <w:vAlign w:val="center"/>
          </w:tcPr>
          <w:p w14:paraId="6E6AD592"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74</w:t>
            </w:r>
          </w:p>
        </w:tc>
        <w:tc>
          <w:tcPr>
            <w:tcW w:w="576" w:type="dxa"/>
            <w:tcBorders>
              <w:top w:val="nil"/>
              <w:left w:val="nil"/>
              <w:bottom w:val="nil"/>
              <w:right w:val="nil"/>
            </w:tcBorders>
            <w:shd w:val="clear" w:color="auto" w:fill="auto"/>
            <w:noWrap/>
            <w:vAlign w:val="center"/>
          </w:tcPr>
          <w:p w14:paraId="139030C9"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w:t>
            </w:r>
          </w:p>
        </w:tc>
        <w:tc>
          <w:tcPr>
            <w:tcW w:w="1146" w:type="dxa"/>
            <w:tcBorders>
              <w:top w:val="nil"/>
              <w:left w:val="nil"/>
              <w:bottom w:val="nil"/>
              <w:right w:val="single" w:sz="4" w:space="0" w:color="000000"/>
            </w:tcBorders>
            <w:shd w:val="clear" w:color="auto" w:fill="auto"/>
            <w:noWrap/>
            <w:vAlign w:val="center"/>
          </w:tcPr>
          <w:p w14:paraId="1DAC547B"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(1.5, 2.4)</w:t>
            </w:r>
          </w:p>
        </w:tc>
        <w:tc>
          <w:tcPr>
            <w:tcW w:w="602" w:type="dxa"/>
            <w:tcBorders>
              <w:top w:val="nil"/>
              <w:left w:val="single" w:sz="4" w:space="0" w:color="000000"/>
              <w:bottom w:val="nil"/>
              <w:right w:val="nil"/>
            </w:tcBorders>
            <w:shd w:val="clear" w:color="auto" w:fill="auto"/>
            <w:vAlign w:val="center"/>
          </w:tcPr>
          <w:p w14:paraId="7731B4C4"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72</w:t>
            </w:r>
          </w:p>
        </w:tc>
        <w:tc>
          <w:tcPr>
            <w:tcW w:w="562" w:type="dxa"/>
            <w:tcBorders>
              <w:top w:val="nil"/>
              <w:left w:val="nil"/>
              <w:bottom w:val="nil"/>
              <w:right w:val="nil"/>
            </w:tcBorders>
            <w:shd w:val="clear" w:color="auto" w:fill="auto"/>
            <w:vAlign w:val="center"/>
          </w:tcPr>
          <w:p w14:paraId="48F0CB59"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2.3</w:t>
            </w:r>
          </w:p>
        </w:tc>
        <w:tc>
          <w:tcPr>
            <w:tcW w:w="1146" w:type="dxa"/>
            <w:tcBorders>
              <w:top w:val="nil"/>
              <w:left w:val="nil"/>
              <w:bottom w:val="nil"/>
              <w:right w:val="single" w:sz="4" w:space="0" w:color="auto"/>
            </w:tcBorders>
            <w:shd w:val="clear" w:color="auto" w:fill="auto"/>
            <w:vAlign w:val="center"/>
          </w:tcPr>
          <w:p w14:paraId="58B5F0D1"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(1.5, 3.1)</w:t>
            </w:r>
          </w:p>
        </w:tc>
        <w:tc>
          <w:tcPr>
            <w:tcW w:w="576" w:type="dxa"/>
            <w:tcBorders>
              <w:left w:val="single" w:sz="4" w:space="0" w:color="auto"/>
              <w:right w:val="nil"/>
            </w:tcBorders>
            <w:shd w:val="clear" w:color="auto" w:fill="auto"/>
            <w:vAlign w:val="center"/>
          </w:tcPr>
          <w:p w14:paraId="56E479CF"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55</w:t>
            </w:r>
          </w:p>
        </w:tc>
        <w:tc>
          <w:tcPr>
            <w:tcW w:w="531" w:type="dxa"/>
            <w:tcBorders>
              <w:left w:val="nil"/>
              <w:right w:val="nil"/>
            </w:tcBorders>
            <w:shd w:val="clear" w:color="auto" w:fill="auto"/>
            <w:vAlign w:val="center"/>
          </w:tcPr>
          <w:p w14:paraId="1621EC05"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2.0</w:t>
            </w:r>
          </w:p>
        </w:tc>
        <w:tc>
          <w:tcPr>
            <w:tcW w:w="1146" w:type="dxa"/>
            <w:tcBorders>
              <w:top w:val="nil"/>
              <w:left w:val="nil"/>
              <w:bottom w:val="nil"/>
              <w:right w:val="nil"/>
            </w:tcBorders>
            <w:shd w:val="clear" w:color="auto" w:fill="auto"/>
            <w:vAlign w:val="center"/>
          </w:tcPr>
          <w:p w14:paraId="2E682BEC"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(1.4, 2.6)</w:t>
            </w:r>
          </w:p>
        </w:tc>
      </w:tr>
      <w:tr w:rsidR="009118DA" w:rsidRPr="008A7800" w14:paraId="66BA375C"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2192" w:type="dxa"/>
            <w:tcBorders>
              <w:top w:val="nil"/>
              <w:left w:val="nil"/>
              <w:bottom w:val="nil"/>
              <w:right w:val="nil"/>
            </w:tcBorders>
            <w:shd w:val="clear" w:color="auto" w:fill="auto"/>
            <w:vAlign w:val="center"/>
          </w:tcPr>
          <w:p w14:paraId="0E2070AF" w14:textId="77777777" w:rsidR="003B4065" w:rsidRPr="008A7800" w:rsidRDefault="003B4065" w:rsidP="003B4065">
            <w:pPr>
              <w:spacing w:before="20" w:after="20"/>
              <w:rPr>
                <w:b w:val="0"/>
                <w:sz w:val="18"/>
                <w:szCs w:val="18"/>
              </w:rPr>
            </w:pPr>
            <w:r w:rsidRPr="008A7800">
              <w:rPr>
                <w:b w:val="0"/>
                <w:sz w:val="18"/>
                <w:szCs w:val="18"/>
              </w:rPr>
              <w:t xml:space="preserve">   5</w:t>
            </w:r>
          </w:p>
        </w:tc>
        <w:tc>
          <w:tcPr>
            <w:tcW w:w="616" w:type="dxa"/>
            <w:tcBorders>
              <w:top w:val="nil"/>
              <w:left w:val="nil"/>
              <w:bottom w:val="nil"/>
              <w:right w:val="nil"/>
            </w:tcBorders>
            <w:shd w:val="clear" w:color="auto" w:fill="auto"/>
            <w:noWrap/>
            <w:vAlign w:val="center"/>
          </w:tcPr>
          <w:p w14:paraId="0D8FA6F2"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106</w:t>
            </w:r>
          </w:p>
        </w:tc>
        <w:tc>
          <w:tcPr>
            <w:tcW w:w="576" w:type="dxa"/>
            <w:tcBorders>
              <w:top w:val="nil"/>
              <w:left w:val="nil"/>
              <w:bottom w:val="nil"/>
              <w:right w:val="nil"/>
            </w:tcBorders>
            <w:shd w:val="clear" w:color="auto" w:fill="auto"/>
            <w:noWrap/>
            <w:vAlign w:val="center"/>
          </w:tcPr>
          <w:p w14:paraId="5B043C52"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w:t>
            </w:r>
          </w:p>
        </w:tc>
        <w:tc>
          <w:tcPr>
            <w:tcW w:w="1146" w:type="dxa"/>
            <w:tcBorders>
              <w:top w:val="nil"/>
              <w:left w:val="nil"/>
              <w:bottom w:val="nil"/>
              <w:right w:val="single" w:sz="4" w:space="0" w:color="auto"/>
            </w:tcBorders>
            <w:shd w:val="clear" w:color="auto" w:fill="auto"/>
            <w:noWrap/>
            <w:vAlign w:val="center"/>
          </w:tcPr>
          <w:p w14:paraId="4C8B0EA6"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(1.4, 2.0)</w:t>
            </w:r>
          </w:p>
        </w:tc>
        <w:tc>
          <w:tcPr>
            <w:tcW w:w="616" w:type="dxa"/>
            <w:tcBorders>
              <w:top w:val="nil"/>
              <w:left w:val="single" w:sz="4" w:space="0" w:color="auto"/>
              <w:bottom w:val="nil"/>
              <w:right w:val="nil"/>
            </w:tcBorders>
            <w:shd w:val="clear" w:color="auto" w:fill="auto"/>
            <w:noWrap/>
            <w:vAlign w:val="center"/>
          </w:tcPr>
          <w:p w14:paraId="0DBDCF9F"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75</w:t>
            </w:r>
          </w:p>
        </w:tc>
        <w:tc>
          <w:tcPr>
            <w:tcW w:w="576" w:type="dxa"/>
            <w:tcBorders>
              <w:top w:val="nil"/>
              <w:left w:val="nil"/>
              <w:bottom w:val="nil"/>
              <w:right w:val="nil"/>
            </w:tcBorders>
            <w:shd w:val="clear" w:color="auto" w:fill="auto"/>
            <w:noWrap/>
            <w:vAlign w:val="center"/>
          </w:tcPr>
          <w:p w14:paraId="45D2CE05"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w:t>
            </w:r>
          </w:p>
        </w:tc>
        <w:tc>
          <w:tcPr>
            <w:tcW w:w="1146" w:type="dxa"/>
            <w:tcBorders>
              <w:top w:val="nil"/>
              <w:left w:val="nil"/>
              <w:bottom w:val="nil"/>
              <w:right w:val="single" w:sz="4" w:space="0" w:color="000000"/>
            </w:tcBorders>
            <w:shd w:val="clear" w:color="auto" w:fill="auto"/>
            <w:noWrap/>
            <w:vAlign w:val="center"/>
          </w:tcPr>
          <w:p w14:paraId="433665B1"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(1.3, 2.7)</w:t>
            </w:r>
          </w:p>
        </w:tc>
        <w:tc>
          <w:tcPr>
            <w:tcW w:w="602" w:type="dxa"/>
            <w:tcBorders>
              <w:top w:val="nil"/>
              <w:left w:val="single" w:sz="4" w:space="0" w:color="000000"/>
              <w:bottom w:val="nil"/>
              <w:right w:val="nil"/>
            </w:tcBorders>
            <w:shd w:val="clear" w:color="auto" w:fill="auto"/>
            <w:vAlign w:val="center"/>
          </w:tcPr>
          <w:p w14:paraId="18E802E8"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40</w:t>
            </w:r>
          </w:p>
        </w:tc>
        <w:tc>
          <w:tcPr>
            <w:tcW w:w="562" w:type="dxa"/>
            <w:tcBorders>
              <w:top w:val="nil"/>
              <w:left w:val="nil"/>
              <w:bottom w:val="nil"/>
              <w:right w:val="nil"/>
            </w:tcBorders>
            <w:shd w:val="clear" w:color="auto" w:fill="auto"/>
            <w:vAlign w:val="center"/>
          </w:tcPr>
          <w:p w14:paraId="17C43C53"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w:t>
            </w:r>
          </w:p>
        </w:tc>
        <w:tc>
          <w:tcPr>
            <w:tcW w:w="1146" w:type="dxa"/>
            <w:tcBorders>
              <w:top w:val="nil"/>
              <w:left w:val="nil"/>
              <w:bottom w:val="nil"/>
              <w:right w:val="single" w:sz="4" w:space="0" w:color="auto"/>
            </w:tcBorders>
            <w:shd w:val="clear" w:color="auto" w:fill="auto"/>
            <w:vAlign w:val="center"/>
          </w:tcPr>
          <w:p w14:paraId="5E4AFEE9"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(0.9, 1.7)</w:t>
            </w:r>
          </w:p>
        </w:tc>
        <w:tc>
          <w:tcPr>
            <w:tcW w:w="576" w:type="dxa"/>
            <w:tcBorders>
              <w:left w:val="single" w:sz="4" w:space="0" w:color="auto"/>
              <w:right w:val="nil"/>
            </w:tcBorders>
            <w:shd w:val="clear" w:color="auto" w:fill="auto"/>
            <w:vAlign w:val="center"/>
          </w:tcPr>
          <w:p w14:paraId="7E222AC6"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25</w:t>
            </w:r>
          </w:p>
        </w:tc>
        <w:tc>
          <w:tcPr>
            <w:tcW w:w="531" w:type="dxa"/>
            <w:tcBorders>
              <w:left w:val="nil"/>
              <w:right w:val="nil"/>
            </w:tcBorders>
            <w:shd w:val="clear" w:color="auto" w:fill="auto"/>
            <w:vAlign w:val="center"/>
          </w:tcPr>
          <w:p w14:paraId="7FCFF0FA"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0.9</w:t>
            </w:r>
          </w:p>
        </w:tc>
        <w:tc>
          <w:tcPr>
            <w:tcW w:w="1146" w:type="dxa"/>
            <w:tcBorders>
              <w:top w:val="nil"/>
              <w:left w:val="nil"/>
              <w:bottom w:val="nil"/>
              <w:right w:val="nil"/>
            </w:tcBorders>
            <w:shd w:val="clear" w:color="auto" w:fill="auto"/>
            <w:vAlign w:val="center"/>
          </w:tcPr>
          <w:p w14:paraId="675C9B2F"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(0.6, 1.2)</w:t>
            </w:r>
          </w:p>
        </w:tc>
      </w:tr>
      <w:tr w:rsidR="009118DA" w:rsidRPr="008A7800" w14:paraId="706E5096"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2192" w:type="dxa"/>
            <w:tcBorders>
              <w:top w:val="nil"/>
              <w:left w:val="nil"/>
              <w:bottom w:val="nil"/>
              <w:right w:val="nil"/>
            </w:tcBorders>
            <w:shd w:val="clear" w:color="auto" w:fill="auto"/>
            <w:vAlign w:val="center"/>
          </w:tcPr>
          <w:p w14:paraId="10EAA3BC" w14:textId="77777777" w:rsidR="003B4065" w:rsidRPr="008A7800" w:rsidRDefault="003B4065" w:rsidP="003B4065">
            <w:pPr>
              <w:spacing w:before="20" w:after="20"/>
              <w:rPr>
                <w:b w:val="0"/>
                <w:sz w:val="18"/>
                <w:szCs w:val="18"/>
              </w:rPr>
            </w:pPr>
            <w:r w:rsidRPr="008A7800">
              <w:rPr>
                <w:b w:val="0"/>
                <w:sz w:val="18"/>
                <w:szCs w:val="18"/>
              </w:rPr>
              <w:t xml:space="preserve">   6</w:t>
            </w:r>
          </w:p>
        </w:tc>
        <w:tc>
          <w:tcPr>
            <w:tcW w:w="616" w:type="dxa"/>
            <w:tcBorders>
              <w:top w:val="nil"/>
              <w:left w:val="nil"/>
              <w:bottom w:val="nil"/>
              <w:right w:val="nil"/>
            </w:tcBorders>
            <w:shd w:val="clear" w:color="auto" w:fill="auto"/>
            <w:noWrap/>
            <w:vAlign w:val="center"/>
          </w:tcPr>
          <w:p w14:paraId="14981893"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61</w:t>
            </w:r>
          </w:p>
        </w:tc>
        <w:tc>
          <w:tcPr>
            <w:tcW w:w="576" w:type="dxa"/>
            <w:tcBorders>
              <w:top w:val="nil"/>
              <w:left w:val="nil"/>
              <w:bottom w:val="nil"/>
              <w:right w:val="nil"/>
            </w:tcBorders>
            <w:shd w:val="clear" w:color="auto" w:fill="auto"/>
            <w:noWrap/>
            <w:vAlign w:val="center"/>
          </w:tcPr>
          <w:p w14:paraId="29F37880"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w:t>
            </w:r>
          </w:p>
        </w:tc>
        <w:tc>
          <w:tcPr>
            <w:tcW w:w="1146" w:type="dxa"/>
            <w:tcBorders>
              <w:top w:val="nil"/>
              <w:left w:val="nil"/>
              <w:bottom w:val="nil"/>
              <w:right w:val="single" w:sz="4" w:space="0" w:color="auto"/>
            </w:tcBorders>
            <w:shd w:val="clear" w:color="auto" w:fill="auto"/>
            <w:noWrap/>
            <w:vAlign w:val="center"/>
          </w:tcPr>
          <w:p w14:paraId="7C6289B5"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(0.7, 1.2)</w:t>
            </w:r>
          </w:p>
        </w:tc>
        <w:tc>
          <w:tcPr>
            <w:tcW w:w="616" w:type="dxa"/>
            <w:tcBorders>
              <w:top w:val="nil"/>
              <w:left w:val="single" w:sz="4" w:space="0" w:color="auto"/>
              <w:bottom w:val="nil"/>
              <w:right w:val="nil"/>
            </w:tcBorders>
            <w:shd w:val="clear" w:color="auto" w:fill="auto"/>
            <w:noWrap/>
            <w:vAlign w:val="center"/>
          </w:tcPr>
          <w:p w14:paraId="6B49E255"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35</w:t>
            </w:r>
          </w:p>
        </w:tc>
        <w:tc>
          <w:tcPr>
            <w:tcW w:w="576" w:type="dxa"/>
            <w:tcBorders>
              <w:top w:val="nil"/>
              <w:left w:val="nil"/>
              <w:bottom w:val="nil"/>
              <w:right w:val="nil"/>
            </w:tcBorders>
            <w:shd w:val="clear" w:color="auto" w:fill="auto"/>
            <w:noWrap/>
            <w:vAlign w:val="center"/>
          </w:tcPr>
          <w:p w14:paraId="0C7CC135"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0.9</w:t>
            </w:r>
          </w:p>
        </w:tc>
        <w:tc>
          <w:tcPr>
            <w:tcW w:w="1146" w:type="dxa"/>
            <w:tcBorders>
              <w:top w:val="nil"/>
              <w:left w:val="nil"/>
              <w:bottom w:val="nil"/>
              <w:right w:val="single" w:sz="4" w:space="0" w:color="000000"/>
            </w:tcBorders>
            <w:shd w:val="clear" w:color="auto" w:fill="auto"/>
            <w:noWrap/>
            <w:vAlign w:val="center"/>
          </w:tcPr>
          <w:p w14:paraId="290CB824"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(0.6, 1.2)</w:t>
            </w:r>
          </w:p>
        </w:tc>
        <w:tc>
          <w:tcPr>
            <w:tcW w:w="602" w:type="dxa"/>
            <w:tcBorders>
              <w:top w:val="nil"/>
              <w:left w:val="single" w:sz="4" w:space="0" w:color="000000"/>
              <w:bottom w:val="nil"/>
              <w:right w:val="nil"/>
            </w:tcBorders>
            <w:shd w:val="clear" w:color="auto" w:fill="auto"/>
            <w:vAlign w:val="center"/>
          </w:tcPr>
          <w:p w14:paraId="68010528"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20</w:t>
            </w:r>
          </w:p>
        </w:tc>
        <w:tc>
          <w:tcPr>
            <w:tcW w:w="562" w:type="dxa"/>
            <w:tcBorders>
              <w:top w:val="nil"/>
              <w:left w:val="nil"/>
              <w:bottom w:val="nil"/>
              <w:right w:val="nil"/>
            </w:tcBorders>
            <w:shd w:val="clear" w:color="auto" w:fill="auto"/>
            <w:vAlign w:val="center"/>
          </w:tcPr>
          <w:p w14:paraId="0A2FC5B2"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0.6</w:t>
            </w:r>
          </w:p>
        </w:tc>
        <w:tc>
          <w:tcPr>
            <w:tcW w:w="1146" w:type="dxa"/>
            <w:tcBorders>
              <w:top w:val="nil"/>
              <w:left w:val="nil"/>
              <w:bottom w:val="nil"/>
              <w:right w:val="single" w:sz="4" w:space="0" w:color="auto"/>
            </w:tcBorders>
            <w:shd w:val="clear" w:color="auto" w:fill="auto"/>
            <w:vAlign w:val="center"/>
          </w:tcPr>
          <w:p w14:paraId="65C0024C"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(0.4, 0.9)</w:t>
            </w:r>
          </w:p>
        </w:tc>
        <w:tc>
          <w:tcPr>
            <w:tcW w:w="576" w:type="dxa"/>
            <w:tcBorders>
              <w:left w:val="single" w:sz="4" w:space="0" w:color="auto"/>
              <w:right w:val="nil"/>
            </w:tcBorders>
            <w:shd w:val="clear" w:color="auto" w:fill="auto"/>
            <w:vAlign w:val="center"/>
          </w:tcPr>
          <w:p w14:paraId="12250623"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24</w:t>
            </w:r>
          </w:p>
        </w:tc>
        <w:tc>
          <w:tcPr>
            <w:tcW w:w="531" w:type="dxa"/>
            <w:tcBorders>
              <w:left w:val="nil"/>
              <w:right w:val="nil"/>
            </w:tcBorders>
            <w:shd w:val="clear" w:color="auto" w:fill="auto"/>
            <w:vAlign w:val="center"/>
          </w:tcPr>
          <w:p w14:paraId="31692F1A"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0.9</w:t>
            </w:r>
          </w:p>
        </w:tc>
        <w:tc>
          <w:tcPr>
            <w:tcW w:w="1146" w:type="dxa"/>
            <w:tcBorders>
              <w:top w:val="nil"/>
              <w:left w:val="nil"/>
              <w:bottom w:val="nil"/>
              <w:right w:val="nil"/>
            </w:tcBorders>
            <w:shd w:val="clear" w:color="auto" w:fill="auto"/>
            <w:vAlign w:val="center"/>
          </w:tcPr>
          <w:p w14:paraId="2B40CFBD"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(0.4, 1.3)</w:t>
            </w:r>
          </w:p>
        </w:tc>
      </w:tr>
      <w:tr w:rsidR="009118DA" w:rsidRPr="008A7800" w14:paraId="08E5209A"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192" w:type="dxa"/>
            <w:tcBorders>
              <w:top w:val="nil"/>
              <w:left w:val="nil"/>
              <w:bottom w:val="nil"/>
              <w:right w:val="nil"/>
            </w:tcBorders>
            <w:vAlign w:val="center"/>
          </w:tcPr>
          <w:p w14:paraId="53167CE8" w14:textId="77777777" w:rsidR="003B4065" w:rsidRPr="008A7800" w:rsidRDefault="003B4065" w:rsidP="003B4065">
            <w:pPr>
              <w:spacing w:before="20" w:after="20"/>
              <w:rPr>
                <w:b w:val="0"/>
                <w:sz w:val="18"/>
                <w:szCs w:val="18"/>
              </w:rPr>
            </w:pPr>
            <w:r w:rsidRPr="008A7800">
              <w:rPr>
                <w:b w:val="0"/>
                <w:sz w:val="18"/>
                <w:szCs w:val="18"/>
              </w:rPr>
              <w:t xml:space="preserve">   7</w:t>
            </w:r>
          </w:p>
        </w:tc>
        <w:tc>
          <w:tcPr>
            <w:tcW w:w="616" w:type="dxa"/>
            <w:tcBorders>
              <w:top w:val="nil"/>
              <w:left w:val="nil"/>
              <w:bottom w:val="nil"/>
              <w:right w:val="nil"/>
            </w:tcBorders>
            <w:noWrap/>
            <w:vAlign w:val="center"/>
          </w:tcPr>
          <w:p w14:paraId="20C2B836"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30</w:t>
            </w:r>
          </w:p>
        </w:tc>
        <w:tc>
          <w:tcPr>
            <w:tcW w:w="576" w:type="dxa"/>
            <w:tcBorders>
              <w:top w:val="nil"/>
              <w:left w:val="nil"/>
              <w:bottom w:val="nil"/>
              <w:right w:val="nil"/>
            </w:tcBorders>
            <w:noWrap/>
            <w:vAlign w:val="center"/>
          </w:tcPr>
          <w:p w14:paraId="6921A09E"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0.5</w:t>
            </w:r>
          </w:p>
        </w:tc>
        <w:tc>
          <w:tcPr>
            <w:tcW w:w="1146" w:type="dxa"/>
            <w:tcBorders>
              <w:top w:val="nil"/>
              <w:left w:val="nil"/>
              <w:bottom w:val="nil"/>
              <w:right w:val="single" w:sz="4" w:space="0" w:color="auto"/>
            </w:tcBorders>
            <w:noWrap/>
            <w:vAlign w:val="center"/>
          </w:tcPr>
          <w:p w14:paraId="4A1BC5A8"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(0.3, 0.6)</w:t>
            </w:r>
          </w:p>
        </w:tc>
        <w:tc>
          <w:tcPr>
            <w:tcW w:w="616" w:type="dxa"/>
            <w:tcBorders>
              <w:top w:val="nil"/>
              <w:left w:val="single" w:sz="4" w:space="0" w:color="auto"/>
              <w:bottom w:val="nil"/>
              <w:right w:val="nil"/>
            </w:tcBorders>
            <w:noWrap/>
            <w:vAlign w:val="center"/>
          </w:tcPr>
          <w:p w14:paraId="267AAC54"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w:t>
            </w:r>
          </w:p>
        </w:tc>
        <w:tc>
          <w:tcPr>
            <w:tcW w:w="576" w:type="dxa"/>
            <w:tcBorders>
              <w:top w:val="nil"/>
              <w:left w:val="nil"/>
              <w:bottom w:val="nil"/>
              <w:right w:val="nil"/>
            </w:tcBorders>
            <w:noWrap/>
            <w:vAlign w:val="center"/>
          </w:tcPr>
          <w:p w14:paraId="4B31D461"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0.3</w:t>
            </w:r>
          </w:p>
        </w:tc>
        <w:tc>
          <w:tcPr>
            <w:tcW w:w="1146" w:type="dxa"/>
            <w:tcBorders>
              <w:top w:val="nil"/>
              <w:left w:val="nil"/>
              <w:bottom w:val="nil"/>
              <w:right w:val="single" w:sz="4" w:space="0" w:color="000000"/>
            </w:tcBorders>
            <w:shd w:val="clear" w:color="auto" w:fill="FFFFFF" w:themeFill="background1"/>
            <w:noWrap/>
            <w:vAlign w:val="center"/>
          </w:tcPr>
          <w:p w14:paraId="51AD5A1D"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(0.1, 0.4)</w:t>
            </w:r>
          </w:p>
        </w:tc>
        <w:tc>
          <w:tcPr>
            <w:tcW w:w="602" w:type="dxa"/>
            <w:tcBorders>
              <w:top w:val="nil"/>
              <w:left w:val="single" w:sz="4" w:space="0" w:color="000000"/>
              <w:bottom w:val="nil"/>
              <w:right w:val="nil"/>
            </w:tcBorders>
            <w:shd w:val="clear" w:color="auto" w:fill="FFFFFF" w:themeFill="background1"/>
            <w:vAlign w:val="center"/>
          </w:tcPr>
          <w:p w14:paraId="0266F251"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14</w:t>
            </w:r>
          </w:p>
        </w:tc>
        <w:tc>
          <w:tcPr>
            <w:tcW w:w="562" w:type="dxa"/>
            <w:tcBorders>
              <w:top w:val="nil"/>
              <w:left w:val="nil"/>
              <w:bottom w:val="nil"/>
              <w:right w:val="nil"/>
            </w:tcBorders>
            <w:shd w:val="clear" w:color="auto" w:fill="FFFFFF" w:themeFill="background1"/>
            <w:vAlign w:val="center"/>
          </w:tcPr>
          <w:p w14:paraId="426AB07E"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0.4</w:t>
            </w:r>
          </w:p>
        </w:tc>
        <w:tc>
          <w:tcPr>
            <w:tcW w:w="1146" w:type="dxa"/>
            <w:tcBorders>
              <w:top w:val="nil"/>
              <w:left w:val="nil"/>
              <w:bottom w:val="nil"/>
              <w:right w:val="single" w:sz="4" w:space="0" w:color="auto"/>
            </w:tcBorders>
            <w:shd w:val="clear" w:color="auto" w:fill="FFFFFF" w:themeFill="background1"/>
            <w:vAlign w:val="center"/>
          </w:tcPr>
          <w:p w14:paraId="1201ABEB"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(0.2, 0.6)</w:t>
            </w:r>
          </w:p>
        </w:tc>
        <w:tc>
          <w:tcPr>
            <w:tcW w:w="576" w:type="dxa"/>
            <w:tcBorders>
              <w:left w:val="single" w:sz="4" w:space="0" w:color="auto"/>
              <w:right w:val="nil"/>
            </w:tcBorders>
            <w:vAlign w:val="center"/>
          </w:tcPr>
          <w:p w14:paraId="652D0E31"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8</w:t>
            </w:r>
          </w:p>
        </w:tc>
        <w:tc>
          <w:tcPr>
            <w:tcW w:w="531" w:type="dxa"/>
            <w:tcBorders>
              <w:left w:val="nil"/>
              <w:right w:val="nil"/>
            </w:tcBorders>
            <w:vAlign w:val="center"/>
          </w:tcPr>
          <w:p w14:paraId="0C865402"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0.3</w:t>
            </w:r>
          </w:p>
        </w:tc>
        <w:tc>
          <w:tcPr>
            <w:tcW w:w="1146" w:type="dxa"/>
            <w:tcBorders>
              <w:top w:val="nil"/>
              <w:left w:val="nil"/>
              <w:bottom w:val="nil"/>
              <w:right w:val="nil"/>
            </w:tcBorders>
            <w:shd w:val="clear" w:color="auto" w:fill="FFFFFF" w:themeFill="background1"/>
            <w:vAlign w:val="center"/>
          </w:tcPr>
          <w:p w14:paraId="18517AEA"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(0.1, 0.5)</w:t>
            </w:r>
          </w:p>
        </w:tc>
      </w:tr>
      <w:tr w:rsidR="009118DA" w:rsidRPr="008A7800" w14:paraId="2ABD2A8F"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192" w:type="dxa"/>
            <w:tcBorders>
              <w:top w:val="nil"/>
              <w:left w:val="nil"/>
              <w:bottom w:val="nil"/>
              <w:right w:val="nil"/>
            </w:tcBorders>
            <w:vAlign w:val="center"/>
          </w:tcPr>
          <w:p w14:paraId="59207342" w14:textId="77777777" w:rsidR="003B4065" w:rsidRPr="008A7800" w:rsidRDefault="003B4065" w:rsidP="003B4065">
            <w:pPr>
              <w:spacing w:before="20" w:after="20"/>
              <w:rPr>
                <w:b w:val="0"/>
                <w:sz w:val="18"/>
                <w:szCs w:val="18"/>
              </w:rPr>
            </w:pPr>
            <w:r w:rsidRPr="008A7800">
              <w:rPr>
                <w:b w:val="0"/>
                <w:sz w:val="18"/>
                <w:szCs w:val="18"/>
              </w:rPr>
              <w:t xml:space="preserve">   8</w:t>
            </w:r>
          </w:p>
        </w:tc>
        <w:tc>
          <w:tcPr>
            <w:tcW w:w="616" w:type="dxa"/>
            <w:tcBorders>
              <w:top w:val="nil"/>
              <w:left w:val="nil"/>
              <w:bottom w:val="nil"/>
              <w:right w:val="nil"/>
            </w:tcBorders>
            <w:noWrap/>
            <w:vAlign w:val="center"/>
          </w:tcPr>
          <w:p w14:paraId="4CF29779"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w:t>
            </w:r>
          </w:p>
        </w:tc>
        <w:tc>
          <w:tcPr>
            <w:tcW w:w="576" w:type="dxa"/>
            <w:tcBorders>
              <w:top w:val="nil"/>
              <w:left w:val="nil"/>
              <w:bottom w:val="nil"/>
              <w:right w:val="nil"/>
            </w:tcBorders>
            <w:noWrap/>
            <w:vAlign w:val="center"/>
          </w:tcPr>
          <w:p w14:paraId="11A9D766"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0.1</w:t>
            </w:r>
          </w:p>
        </w:tc>
        <w:tc>
          <w:tcPr>
            <w:tcW w:w="1146" w:type="dxa"/>
            <w:tcBorders>
              <w:top w:val="nil"/>
              <w:left w:val="nil"/>
              <w:bottom w:val="nil"/>
              <w:right w:val="single" w:sz="4" w:space="0" w:color="auto"/>
            </w:tcBorders>
            <w:noWrap/>
            <w:vAlign w:val="center"/>
          </w:tcPr>
          <w:p w14:paraId="3BB920BF"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(0.1, 0.2)</w:t>
            </w:r>
          </w:p>
        </w:tc>
        <w:tc>
          <w:tcPr>
            <w:tcW w:w="616" w:type="dxa"/>
            <w:tcBorders>
              <w:top w:val="nil"/>
              <w:left w:val="single" w:sz="4" w:space="0" w:color="auto"/>
              <w:bottom w:val="nil"/>
              <w:right w:val="nil"/>
            </w:tcBorders>
            <w:noWrap/>
            <w:vAlign w:val="center"/>
          </w:tcPr>
          <w:p w14:paraId="482A1E2C"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w:t>
            </w:r>
          </w:p>
        </w:tc>
        <w:tc>
          <w:tcPr>
            <w:tcW w:w="576" w:type="dxa"/>
            <w:tcBorders>
              <w:top w:val="nil"/>
              <w:left w:val="nil"/>
              <w:bottom w:val="nil"/>
              <w:right w:val="nil"/>
            </w:tcBorders>
            <w:noWrap/>
            <w:vAlign w:val="center"/>
          </w:tcPr>
          <w:p w14:paraId="12D44F36"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0.1</w:t>
            </w:r>
          </w:p>
        </w:tc>
        <w:tc>
          <w:tcPr>
            <w:tcW w:w="1146" w:type="dxa"/>
            <w:tcBorders>
              <w:top w:val="nil"/>
              <w:left w:val="nil"/>
              <w:bottom w:val="nil"/>
              <w:right w:val="single" w:sz="4" w:space="0" w:color="000000"/>
            </w:tcBorders>
            <w:shd w:val="clear" w:color="auto" w:fill="FFFFFF" w:themeFill="background1"/>
            <w:noWrap/>
            <w:vAlign w:val="center"/>
          </w:tcPr>
          <w:p w14:paraId="75EF7A32"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(0.0, 0.2)</w:t>
            </w:r>
          </w:p>
        </w:tc>
        <w:tc>
          <w:tcPr>
            <w:tcW w:w="602" w:type="dxa"/>
            <w:tcBorders>
              <w:top w:val="nil"/>
              <w:left w:val="single" w:sz="4" w:space="0" w:color="000000"/>
              <w:bottom w:val="nil"/>
              <w:right w:val="nil"/>
            </w:tcBorders>
            <w:shd w:val="clear" w:color="auto" w:fill="FFFFFF" w:themeFill="background1"/>
            <w:vAlign w:val="center"/>
          </w:tcPr>
          <w:p w14:paraId="7F2FB71D"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w:t>
            </w:r>
          </w:p>
        </w:tc>
        <w:tc>
          <w:tcPr>
            <w:tcW w:w="562" w:type="dxa"/>
            <w:tcBorders>
              <w:top w:val="nil"/>
              <w:left w:val="nil"/>
              <w:bottom w:val="nil"/>
              <w:right w:val="nil"/>
            </w:tcBorders>
            <w:shd w:val="clear" w:color="auto" w:fill="FFFFFF" w:themeFill="background1"/>
            <w:vAlign w:val="center"/>
          </w:tcPr>
          <w:p w14:paraId="6490C38D"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0.1</w:t>
            </w:r>
          </w:p>
        </w:tc>
        <w:tc>
          <w:tcPr>
            <w:tcW w:w="1146" w:type="dxa"/>
            <w:tcBorders>
              <w:top w:val="nil"/>
              <w:left w:val="nil"/>
              <w:bottom w:val="nil"/>
              <w:right w:val="single" w:sz="4" w:space="0" w:color="auto"/>
            </w:tcBorders>
            <w:shd w:val="clear" w:color="auto" w:fill="FFFFFF" w:themeFill="background1"/>
            <w:vAlign w:val="center"/>
          </w:tcPr>
          <w:p w14:paraId="20AAE758"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(0.0, 0.2)</w:t>
            </w:r>
          </w:p>
        </w:tc>
        <w:tc>
          <w:tcPr>
            <w:tcW w:w="576" w:type="dxa"/>
            <w:tcBorders>
              <w:left w:val="single" w:sz="4" w:space="0" w:color="auto"/>
              <w:right w:val="nil"/>
            </w:tcBorders>
            <w:vAlign w:val="center"/>
          </w:tcPr>
          <w:p w14:paraId="5779DCC1"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3</w:t>
            </w:r>
          </w:p>
        </w:tc>
        <w:tc>
          <w:tcPr>
            <w:tcW w:w="531" w:type="dxa"/>
            <w:tcBorders>
              <w:left w:val="nil"/>
              <w:right w:val="nil"/>
            </w:tcBorders>
            <w:vAlign w:val="center"/>
          </w:tcPr>
          <w:p w14:paraId="7916C462"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0.21</w:t>
            </w:r>
          </w:p>
        </w:tc>
        <w:tc>
          <w:tcPr>
            <w:tcW w:w="1146" w:type="dxa"/>
            <w:tcBorders>
              <w:top w:val="nil"/>
              <w:left w:val="nil"/>
              <w:bottom w:val="nil"/>
              <w:right w:val="nil"/>
            </w:tcBorders>
            <w:shd w:val="clear" w:color="auto" w:fill="FFFFFF" w:themeFill="background1"/>
            <w:vAlign w:val="center"/>
          </w:tcPr>
          <w:p w14:paraId="7978CF7F"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(0.0, 0.2)</w:t>
            </w:r>
          </w:p>
        </w:tc>
      </w:tr>
      <w:tr w:rsidR="009118DA" w:rsidRPr="008A7800" w14:paraId="6590F7FB"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2192" w:type="dxa"/>
            <w:tcBorders>
              <w:top w:val="nil"/>
              <w:left w:val="nil"/>
              <w:bottom w:val="single" w:sz="8" w:space="0" w:color="000000" w:themeColor="text1"/>
              <w:right w:val="nil"/>
            </w:tcBorders>
            <w:vAlign w:val="center"/>
          </w:tcPr>
          <w:p w14:paraId="36166752" w14:textId="77777777" w:rsidR="003B4065" w:rsidRPr="008A7800" w:rsidRDefault="003B4065" w:rsidP="003B4065">
            <w:pPr>
              <w:spacing w:before="20" w:after="20"/>
              <w:rPr>
                <w:b w:val="0"/>
                <w:sz w:val="18"/>
                <w:szCs w:val="18"/>
              </w:rPr>
            </w:pPr>
            <w:r w:rsidRPr="008A7800">
              <w:rPr>
                <w:b w:val="0"/>
                <w:sz w:val="18"/>
                <w:szCs w:val="18"/>
              </w:rPr>
              <w:t xml:space="preserve">   Missing</w:t>
            </w:r>
          </w:p>
        </w:tc>
        <w:tc>
          <w:tcPr>
            <w:tcW w:w="616" w:type="dxa"/>
            <w:tcBorders>
              <w:top w:val="nil"/>
              <w:left w:val="nil"/>
              <w:bottom w:val="single" w:sz="8" w:space="0" w:color="000000" w:themeColor="text1"/>
              <w:right w:val="nil"/>
            </w:tcBorders>
            <w:noWrap/>
            <w:vAlign w:val="center"/>
          </w:tcPr>
          <w:p w14:paraId="1486978C"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w:t>
            </w:r>
          </w:p>
        </w:tc>
        <w:tc>
          <w:tcPr>
            <w:tcW w:w="576" w:type="dxa"/>
            <w:tcBorders>
              <w:top w:val="nil"/>
              <w:left w:val="nil"/>
              <w:bottom w:val="single" w:sz="8" w:space="0" w:color="000000" w:themeColor="text1"/>
              <w:right w:val="nil"/>
            </w:tcBorders>
            <w:noWrap/>
            <w:vAlign w:val="center"/>
          </w:tcPr>
          <w:p w14:paraId="0A7098C6" w14:textId="77777777" w:rsidR="003B4065" w:rsidRPr="008A7800" w:rsidRDefault="0013026A"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t>
            </w:r>
          </w:p>
        </w:tc>
        <w:tc>
          <w:tcPr>
            <w:tcW w:w="1146" w:type="dxa"/>
            <w:tcBorders>
              <w:top w:val="nil"/>
              <w:left w:val="nil"/>
              <w:bottom w:val="single" w:sz="8" w:space="0" w:color="000000" w:themeColor="text1"/>
              <w:right w:val="single" w:sz="4" w:space="0" w:color="auto"/>
            </w:tcBorders>
            <w:noWrap/>
            <w:vAlign w:val="center"/>
          </w:tcPr>
          <w:p w14:paraId="1CA19F46"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16" w:type="dxa"/>
            <w:tcBorders>
              <w:top w:val="nil"/>
              <w:left w:val="single" w:sz="4" w:space="0" w:color="auto"/>
              <w:bottom w:val="single" w:sz="8" w:space="0" w:color="000000" w:themeColor="text1"/>
              <w:right w:val="nil"/>
            </w:tcBorders>
            <w:noWrap/>
            <w:vAlign w:val="center"/>
          </w:tcPr>
          <w:p w14:paraId="7F6814DF"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w:t>
            </w:r>
          </w:p>
        </w:tc>
        <w:tc>
          <w:tcPr>
            <w:tcW w:w="576" w:type="dxa"/>
            <w:tcBorders>
              <w:top w:val="nil"/>
              <w:left w:val="nil"/>
              <w:bottom w:val="single" w:sz="8" w:space="0" w:color="000000" w:themeColor="text1"/>
              <w:right w:val="nil"/>
            </w:tcBorders>
            <w:noWrap/>
            <w:vAlign w:val="center"/>
          </w:tcPr>
          <w:p w14:paraId="56F5A40C" w14:textId="77777777" w:rsidR="003B4065" w:rsidRPr="008A7800" w:rsidRDefault="0013026A"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t>
            </w:r>
          </w:p>
        </w:tc>
        <w:tc>
          <w:tcPr>
            <w:tcW w:w="1146" w:type="dxa"/>
            <w:tcBorders>
              <w:top w:val="nil"/>
              <w:left w:val="nil"/>
              <w:bottom w:val="single" w:sz="8" w:space="0" w:color="000000" w:themeColor="text1"/>
              <w:right w:val="single" w:sz="4" w:space="0" w:color="000000"/>
            </w:tcBorders>
            <w:shd w:val="clear" w:color="auto" w:fill="FFFFFF" w:themeFill="background1"/>
            <w:noWrap/>
            <w:vAlign w:val="center"/>
          </w:tcPr>
          <w:p w14:paraId="28A35613"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02" w:type="dxa"/>
            <w:tcBorders>
              <w:top w:val="nil"/>
              <w:left w:val="single" w:sz="4" w:space="0" w:color="000000"/>
              <w:bottom w:val="single" w:sz="8" w:space="0" w:color="000000" w:themeColor="text1"/>
              <w:right w:val="nil"/>
            </w:tcBorders>
            <w:shd w:val="clear" w:color="auto" w:fill="FFFFFF" w:themeFill="background1"/>
            <w:vAlign w:val="center"/>
          </w:tcPr>
          <w:p w14:paraId="1D29D818"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w:t>
            </w:r>
          </w:p>
        </w:tc>
        <w:tc>
          <w:tcPr>
            <w:tcW w:w="562" w:type="dxa"/>
            <w:tcBorders>
              <w:top w:val="nil"/>
              <w:left w:val="nil"/>
              <w:bottom w:val="single" w:sz="8" w:space="0" w:color="000000" w:themeColor="text1"/>
              <w:right w:val="nil"/>
            </w:tcBorders>
            <w:shd w:val="clear" w:color="auto" w:fill="FFFFFF" w:themeFill="background1"/>
            <w:vAlign w:val="center"/>
          </w:tcPr>
          <w:p w14:paraId="6953C53E" w14:textId="77777777" w:rsidR="003B4065" w:rsidRPr="008A7800" w:rsidRDefault="0013026A"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t>
            </w:r>
          </w:p>
        </w:tc>
        <w:tc>
          <w:tcPr>
            <w:tcW w:w="1146" w:type="dxa"/>
            <w:tcBorders>
              <w:top w:val="nil"/>
              <w:left w:val="nil"/>
              <w:bottom w:val="single" w:sz="8" w:space="0" w:color="000000" w:themeColor="text1"/>
              <w:right w:val="single" w:sz="4" w:space="0" w:color="auto"/>
            </w:tcBorders>
            <w:shd w:val="clear" w:color="auto" w:fill="FFFFFF" w:themeFill="background1"/>
            <w:vAlign w:val="center"/>
          </w:tcPr>
          <w:p w14:paraId="4DC2C206" w14:textId="77777777" w:rsidR="003B4065" w:rsidRPr="008A7800" w:rsidRDefault="003B4065" w:rsidP="003B406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76" w:type="dxa"/>
            <w:tcBorders>
              <w:left w:val="single" w:sz="4" w:space="0" w:color="auto"/>
              <w:bottom w:val="single" w:sz="8" w:space="0" w:color="000000" w:themeColor="text1"/>
              <w:right w:val="nil"/>
            </w:tcBorders>
            <w:vAlign w:val="center"/>
          </w:tcPr>
          <w:p w14:paraId="439A4C9A"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0</w:t>
            </w:r>
          </w:p>
        </w:tc>
        <w:tc>
          <w:tcPr>
            <w:tcW w:w="531" w:type="dxa"/>
            <w:tcBorders>
              <w:left w:val="nil"/>
              <w:bottom w:val="single" w:sz="8" w:space="0" w:color="000000" w:themeColor="text1"/>
              <w:right w:val="nil"/>
            </w:tcBorders>
            <w:vAlign w:val="center"/>
          </w:tcPr>
          <w:p w14:paraId="1179836B"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w:t>
            </w:r>
          </w:p>
        </w:tc>
        <w:tc>
          <w:tcPr>
            <w:tcW w:w="1146" w:type="dxa"/>
            <w:tcBorders>
              <w:top w:val="nil"/>
              <w:left w:val="nil"/>
              <w:bottom w:val="single" w:sz="8" w:space="0" w:color="000000" w:themeColor="text1"/>
              <w:right w:val="nil"/>
            </w:tcBorders>
            <w:shd w:val="clear" w:color="auto" w:fill="FFFFFF" w:themeFill="background1"/>
            <w:vAlign w:val="center"/>
          </w:tcPr>
          <w:p w14:paraId="7DB360AE" w14:textId="77777777" w:rsidR="003B4065" w:rsidRPr="008A7800" w:rsidRDefault="003B4065" w:rsidP="003B4065">
            <w:pPr>
              <w:jc w:val="right"/>
              <w:cnfStyle w:val="000000000000" w:firstRow="0" w:lastRow="0" w:firstColumn="0" w:lastColumn="0" w:oddVBand="0" w:evenVBand="0" w:oddHBand="0" w:evenHBand="0" w:firstRowFirstColumn="0" w:firstRowLastColumn="0" w:lastRowFirstColumn="0" w:lastRowLastColumn="0"/>
              <w:rPr>
                <w:sz w:val="18"/>
                <w:szCs w:val="18"/>
              </w:rPr>
            </w:pPr>
          </w:p>
        </w:tc>
      </w:tr>
    </w:tbl>
    <w:p w14:paraId="0586534B" w14:textId="77777777" w:rsidR="00DC5D7B" w:rsidRPr="008A7800" w:rsidRDefault="00DC5D7B" w:rsidP="008A7800">
      <w:pPr>
        <w:ind w:left="1276"/>
        <w:rPr>
          <w:sz w:val="18"/>
        </w:rPr>
      </w:pPr>
      <w:r w:rsidRPr="008A7800">
        <w:rPr>
          <w:sz w:val="18"/>
        </w:rPr>
        <w:t>Data weighted for 2013 Census data (all waves) and attrition (Waves 2</w:t>
      </w:r>
      <w:r w:rsidR="00DA34B9" w:rsidRPr="008A7800">
        <w:rPr>
          <w:sz w:val="18"/>
        </w:rPr>
        <w:t>,</w:t>
      </w:r>
      <w:r w:rsidRPr="008A7800">
        <w:rPr>
          <w:sz w:val="18"/>
        </w:rPr>
        <w:t xml:space="preserve"> 3</w:t>
      </w:r>
      <w:r w:rsidR="00DA34B9" w:rsidRPr="008A7800">
        <w:rPr>
          <w:sz w:val="18"/>
        </w:rPr>
        <w:t xml:space="preserve"> and 4</w:t>
      </w:r>
      <w:r w:rsidRPr="008A7800">
        <w:rPr>
          <w:sz w:val="18"/>
        </w:rPr>
        <w:t>)</w:t>
      </w:r>
    </w:p>
    <w:p w14:paraId="0D36286F" w14:textId="77777777" w:rsidR="009C7031" w:rsidRPr="008A7800" w:rsidRDefault="00DC5D7B" w:rsidP="008A7800">
      <w:pPr>
        <w:ind w:left="1276"/>
        <w:rPr>
          <w:sz w:val="18"/>
        </w:rPr>
      </w:pPr>
      <w:r w:rsidRPr="008A7800">
        <w:rPr>
          <w:sz w:val="18"/>
        </w:rPr>
        <w:t>Wave 1 N=6,251; Wave 2 N=3,745; Wave 3 N=3,115; Wave 4 N=2,770</w:t>
      </w:r>
    </w:p>
    <w:p w14:paraId="71B9E909" w14:textId="77777777" w:rsidR="00B53E24" w:rsidRDefault="00B53E24" w:rsidP="003B4065">
      <w:pPr>
        <w:ind w:left="1560"/>
        <w:rPr>
          <w:sz w:val="16"/>
        </w:rPr>
      </w:pPr>
    </w:p>
    <w:p w14:paraId="042DFFC0" w14:textId="77777777" w:rsidR="00B53E24" w:rsidRDefault="00B53E24">
      <w:pPr>
        <w:spacing w:after="200" w:line="276" w:lineRule="auto"/>
        <w:rPr>
          <w:sz w:val="16"/>
        </w:rPr>
      </w:pPr>
      <w:r>
        <w:rPr>
          <w:sz w:val="16"/>
        </w:rPr>
        <w:br w:type="page"/>
      </w:r>
    </w:p>
    <w:p w14:paraId="73B9176D" w14:textId="77777777" w:rsidR="00B53E24" w:rsidRDefault="00B53E24" w:rsidP="00B53E24">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pPr>
      <w:bookmarkStart w:id="197" w:name="_Toc446324571"/>
      <w:bookmarkStart w:id="198" w:name="_Toc504488401"/>
      <w:r>
        <w:t xml:space="preserve">APPENDIX </w:t>
      </w:r>
      <w:r w:rsidR="00DA34B9">
        <w:t>8</w:t>
      </w:r>
      <w:r>
        <w:t>:</w:t>
      </w:r>
      <w:r>
        <w:br/>
      </w:r>
      <w:r w:rsidR="00315163">
        <w:rPr>
          <w:rFonts w:cs="Times New Roman"/>
          <w:caps w:val="0"/>
        </w:rPr>
        <w:t>P</w:t>
      </w:r>
      <w:r>
        <w:rPr>
          <w:rFonts w:cs="Times New Roman"/>
          <w:caps w:val="0"/>
        </w:rPr>
        <w:t>ast year and past month gambling in Waves 1, 2, 3</w:t>
      </w:r>
      <w:bookmarkEnd w:id="197"/>
      <w:r>
        <w:rPr>
          <w:rFonts w:cs="Times New Roman"/>
          <w:caps w:val="0"/>
        </w:rPr>
        <w:t xml:space="preserve"> and 4</w:t>
      </w:r>
      <w:bookmarkEnd w:id="198"/>
    </w:p>
    <w:p w14:paraId="1EC4B705" w14:textId="77777777" w:rsidR="00B53E24" w:rsidRPr="00BA05A5" w:rsidRDefault="00B53E24" w:rsidP="00B53E24"/>
    <w:tbl>
      <w:tblPr>
        <w:tblStyle w:val="LightShading4"/>
        <w:tblW w:w="12706" w:type="dxa"/>
        <w:jc w:val="center"/>
        <w:tblLayout w:type="fixed"/>
        <w:tblLook w:val="06A0" w:firstRow="1" w:lastRow="0" w:firstColumn="1" w:lastColumn="0" w:noHBand="1" w:noVBand="1"/>
      </w:tblPr>
      <w:tblGrid>
        <w:gridCol w:w="3231"/>
        <w:gridCol w:w="666"/>
        <w:gridCol w:w="567"/>
        <w:gridCol w:w="1146"/>
        <w:gridCol w:w="666"/>
        <w:gridCol w:w="567"/>
        <w:gridCol w:w="1146"/>
        <w:gridCol w:w="666"/>
        <w:gridCol w:w="567"/>
        <w:gridCol w:w="1146"/>
        <w:gridCol w:w="616"/>
        <w:gridCol w:w="576"/>
        <w:gridCol w:w="1146"/>
      </w:tblGrid>
      <w:tr w:rsidR="00B53E24" w:rsidRPr="008A7800" w14:paraId="324F4F4E" w14:textId="77777777" w:rsidTr="00063DE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231" w:type="dxa"/>
            <w:vMerge w:val="restart"/>
            <w:tcBorders>
              <w:bottom w:val="single" w:sz="4" w:space="0" w:color="auto"/>
            </w:tcBorders>
            <w:vAlign w:val="bottom"/>
            <w:hideMark/>
          </w:tcPr>
          <w:p w14:paraId="7BAE0F8F" w14:textId="77777777" w:rsidR="00B53E24" w:rsidRPr="008A7800" w:rsidRDefault="00B53E24" w:rsidP="00B53E24">
            <w:pPr>
              <w:spacing w:before="20" w:after="20"/>
              <w:rPr>
                <w:rFonts w:eastAsiaTheme="minorEastAsia"/>
                <w:sz w:val="18"/>
                <w:szCs w:val="18"/>
                <w:lang w:eastAsia="en-US"/>
              </w:rPr>
            </w:pPr>
            <w:r w:rsidRPr="008A7800">
              <w:rPr>
                <w:rFonts w:eastAsiaTheme="minorEastAsia"/>
                <w:sz w:val="18"/>
                <w:szCs w:val="18"/>
              </w:rPr>
              <w:t>Gambling activity</w:t>
            </w:r>
          </w:p>
        </w:tc>
        <w:tc>
          <w:tcPr>
            <w:tcW w:w="2379" w:type="dxa"/>
            <w:gridSpan w:val="3"/>
            <w:tcBorders>
              <w:bottom w:val="single" w:sz="4" w:space="0" w:color="auto"/>
              <w:right w:val="single" w:sz="4" w:space="0" w:color="auto"/>
            </w:tcBorders>
            <w:noWrap/>
            <w:vAlign w:val="center"/>
            <w:hideMark/>
          </w:tcPr>
          <w:p w14:paraId="5F97CB7F" w14:textId="77777777" w:rsidR="00B53E24" w:rsidRPr="008A7800" w:rsidRDefault="00B53E24" w:rsidP="00B53E24">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8"/>
                <w:szCs w:val="18"/>
                <w:lang w:eastAsia="en-US"/>
              </w:rPr>
            </w:pPr>
            <w:r w:rsidRPr="008A7800">
              <w:rPr>
                <w:rFonts w:eastAsiaTheme="minorEastAsia"/>
                <w:sz w:val="18"/>
                <w:szCs w:val="18"/>
              </w:rPr>
              <w:t>Wave 1</w:t>
            </w:r>
          </w:p>
        </w:tc>
        <w:tc>
          <w:tcPr>
            <w:tcW w:w="2379" w:type="dxa"/>
            <w:gridSpan w:val="3"/>
            <w:tcBorders>
              <w:left w:val="single" w:sz="4" w:space="0" w:color="auto"/>
              <w:bottom w:val="single" w:sz="4" w:space="0" w:color="auto"/>
            </w:tcBorders>
            <w:vAlign w:val="center"/>
          </w:tcPr>
          <w:p w14:paraId="5D66AC5D" w14:textId="77777777" w:rsidR="00B53E24" w:rsidRPr="008A7800" w:rsidRDefault="00B53E24" w:rsidP="00B53E24">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Wave 2</w:t>
            </w:r>
          </w:p>
        </w:tc>
        <w:tc>
          <w:tcPr>
            <w:tcW w:w="2379" w:type="dxa"/>
            <w:gridSpan w:val="3"/>
            <w:tcBorders>
              <w:left w:val="single" w:sz="4" w:space="0" w:color="auto"/>
              <w:bottom w:val="single" w:sz="4" w:space="0" w:color="auto"/>
            </w:tcBorders>
          </w:tcPr>
          <w:p w14:paraId="46EF54D6" w14:textId="77777777" w:rsidR="00B53E24" w:rsidRPr="008A7800" w:rsidRDefault="00B53E24" w:rsidP="00B53E24">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Wave 3</w:t>
            </w:r>
          </w:p>
        </w:tc>
        <w:tc>
          <w:tcPr>
            <w:tcW w:w="2338" w:type="dxa"/>
            <w:gridSpan w:val="3"/>
            <w:tcBorders>
              <w:left w:val="single" w:sz="4" w:space="0" w:color="auto"/>
              <w:bottom w:val="single" w:sz="4" w:space="0" w:color="auto"/>
            </w:tcBorders>
          </w:tcPr>
          <w:p w14:paraId="6696628B" w14:textId="77777777" w:rsidR="00B53E24" w:rsidRPr="008A7800" w:rsidRDefault="00B53E24" w:rsidP="00B53E24">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Wave 4</w:t>
            </w:r>
          </w:p>
        </w:tc>
      </w:tr>
      <w:tr w:rsidR="00B53E24" w:rsidRPr="008A7800" w14:paraId="3E06CC1E" w14:textId="77777777" w:rsidTr="00063DE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231" w:type="dxa"/>
            <w:vMerge/>
            <w:tcBorders>
              <w:bottom w:val="single" w:sz="4" w:space="0" w:color="auto"/>
            </w:tcBorders>
            <w:vAlign w:val="center"/>
            <w:hideMark/>
          </w:tcPr>
          <w:p w14:paraId="27A230E3" w14:textId="77777777" w:rsidR="00B53E24" w:rsidRPr="008A7800" w:rsidRDefault="00B53E24" w:rsidP="00B53E24">
            <w:pPr>
              <w:spacing w:before="20" w:after="20"/>
              <w:rPr>
                <w:rFonts w:eastAsiaTheme="minorEastAsia"/>
                <w:sz w:val="18"/>
                <w:szCs w:val="18"/>
                <w:lang w:eastAsia="en-US"/>
              </w:rPr>
            </w:pPr>
          </w:p>
        </w:tc>
        <w:tc>
          <w:tcPr>
            <w:tcW w:w="666" w:type="dxa"/>
            <w:tcBorders>
              <w:top w:val="single" w:sz="4" w:space="0" w:color="auto"/>
              <w:bottom w:val="single" w:sz="4" w:space="0" w:color="auto"/>
            </w:tcBorders>
            <w:noWrap/>
            <w:vAlign w:val="center"/>
            <w:hideMark/>
          </w:tcPr>
          <w:p w14:paraId="143A4E3B" w14:textId="77777777" w:rsidR="00B53E24" w:rsidRPr="008A7800" w:rsidRDefault="00B53E24"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rPr>
              <w:t>n</w:t>
            </w:r>
          </w:p>
        </w:tc>
        <w:tc>
          <w:tcPr>
            <w:tcW w:w="567" w:type="dxa"/>
            <w:tcBorders>
              <w:top w:val="single" w:sz="4" w:space="0" w:color="auto"/>
              <w:bottom w:val="single" w:sz="4" w:space="0" w:color="auto"/>
            </w:tcBorders>
            <w:noWrap/>
            <w:vAlign w:val="center"/>
            <w:hideMark/>
          </w:tcPr>
          <w:p w14:paraId="1BD7F824" w14:textId="77777777" w:rsidR="00B53E24" w:rsidRPr="008A7800" w:rsidRDefault="00B53E24"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rPr>
              <w:t>%</w:t>
            </w:r>
          </w:p>
        </w:tc>
        <w:tc>
          <w:tcPr>
            <w:tcW w:w="1146" w:type="dxa"/>
            <w:tcBorders>
              <w:top w:val="single" w:sz="4" w:space="0" w:color="auto"/>
              <w:bottom w:val="single" w:sz="4" w:space="0" w:color="auto"/>
              <w:right w:val="single" w:sz="4" w:space="0" w:color="auto"/>
            </w:tcBorders>
            <w:noWrap/>
            <w:vAlign w:val="center"/>
          </w:tcPr>
          <w:p w14:paraId="4757343A" w14:textId="77777777" w:rsidR="00B53E24" w:rsidRPr="008A7800" w:rsidRDefault="00B53E24"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(95% CI)</w:t>
            </w:r>
          </w:p>
        </w:tc>
        <w:tc>
          <w:tcPr>
            <w:tcW w:w="666" w:type="dxa"/>
            <w:tcBorders>
              <w:top w:val="single" w:sz="4" w:space="0" w:color="auto"/>
              <w:left w:val="single" w:sz="4" w:space="0" w:color="auto"/>
              <w:bottom w:val="single" w:sz="4" w:space="0" w:color="auto"/>
            </w:tcBorders>
            <w:noWrap/>
            <w:vAlign w:val="center"/>
          </w:tcPr>
          <w:p w14:paraId="777B62EB" w14:textId="77777777" w:rsidR="00B53E24" w:rsidRPr="008A7800" w:rsidRDefault="00B53E24"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n</w:t>
            </w:r>
          </w:p>
        </w:tc>
        <w:tc>
          <w:tcPr>
            <w:tcW w:w="567" w:type="dxa"/>
            <w:tcBorders>
              <w:top w:val="single" w:sz="4" w:space="0" w:color="auto"/>
              <w:bottom w:val="single" w:sz="4" w:space="0" w:color="auto"/>
            </w:tcBorders>
            <w:noWrap/>
            <w:vAlign w:val="center"/>
          </w:tcPr>
          <w:p w14:paraId="538EC702" w14:textId="77777777" w:rsidR="00B53E24" w:rsidRPr="008A7800" w:rsidRDefault="00B53E24"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w:t>
            </w:r>
          </w:p>
        </w:tc>
        <w:tc>
          <w:tcPr>
            <w:tcW w:w="1146" w:type="dxa"/>
            <w:tcBorders>
              <w:top w:val="single" w:sz="4" w:space="0" w:color="auto"/>
              <w:bottom w:val="single" w:sz="4" w:space="0" w:color="auto"/>
              <w:right w:val="single" w:sz="4" w:space="0" w:color="000000"/>
            </w:tcBorders>
            <w:shd w:val="clear" w:color="auto" w:fill="FFFFFF" w:themeFill="background1"/>
            <w:noWrap/>
            <w:vAlign w:val="center"/>
          </w:tcPr>
          <w:p w14:paraId="27757876" w14:textId="77777777" w:rsidR="00B53E24" w:rsidRPr="008A7800" w:rsidRDefault="00B53E24"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8A7800">
              <w:rPr>
                <w:rFonts w:eastAsiaTheme="minorEastAsia"/>
                <w:sz w:val="18"/>
                <w:szCs w:val="18"/>
                <w:lang w:eastAsia="en-US"/>
              </w:rPr>
              <w:t>(95% CI)</w:t>
            </w:r>
          </w:p>
        </w:tc>
        <w:tc>
          <w:tcPr>
            <w:tcW w:w="666" w:type="dxa"/>
            <w:tcBorders>
              <w:top w:val="single" w:sz="4" w:space="0" w:color="auto"/>
              <w:left w:val="single" w:sz="4" w:space="0" w:color="000000"/>
              <w:bottom w:val="single" w:sz="4" w:space="0" w:color="auto"/>
            </w:tcBorders>
            <w:shd w:val="clear" w:color="auto" w:fill="FFFFFF" w:themeFill="background1"/>
            <w:vAlign w:val="center"/>
          </w:tcPr>
          <w:p w14:paraId="609B0D73" w14:textId="77777777" w:rsidR="00B53E24" w:rsidRPr="008A7800" w:rsidRDefault="00B53E24"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n</w:t>
            </w:r>
          </w:p>
        </w:tc>
        <w:tc>
          <w:tcPr>
            <w:tcW w:w="567" w:type="dxa"/>
            <w:tcBorders>
              <w:top w:val="single" w:sz="4" w:space="0" w:color="auto"/>
              <w:bottom w:val="single" w:sz="4" w:space="0" w:color="auto"/>
            </w:tcBorders>
            <w:shd w:val="clear" w:color="auto" w:fill="FFFFFF" w:themeFill="background1"/>
            <w:vAlign w:val="center"/>
          </w:tcPr>
          <w:p w14:paraId="375FD2AA" w14:textId="77777777" w:rsidR="00B53E24" w:rsidRPr="008A7800" w:rsidRDefault="00B53E24"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w:t>
            </w:r>
          </w:p>
        </w:tc>
        <w:tc>
          <w:tcPr>
            <w:tcW w:w="1146" w:type="dxa"/>
            <w:tcBorders>
              <w:top w:val="single" w:sz="4" w:space="0" w:color="auto"/>
              <w:bottom w:val="single" w:sz="4" w:space="0" w:color="auto"/>
              <w:right w:val="single" w:sz="4" w:space="0" w:color="000000"/>
            </w:tcBorders>
            <w:shd w:val="clear" w:color="auto" w:fill="FFFFFF" w:themeFill="background1"/>
            <w:vAlign w:val="center"/>
          </w:tcPr>
          <w:p w14:paraId="72218E15" w14:textId="77777777" w:rsidR="00B53E24" w:rsidRPr="008A7800" w:rsidRDefault="00B53E24"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8A7800">
              <w:rPr>
                <w:rFonts w:eastAsiaTheme="minorEastAsia"/>
                <w:sz w:val="18"/>
                <w:szCs w:val="18"/>
                <w:lang w:eastAsia="en-US"/>
              </w:rPr>
              <w:t>(95% CI)</w:t>
            </w:r>
          </w:p>
        </w:tc>
        <w:tc>
          <w:tcPr>
            <w:tcW w:w="616" w:type="dxa"/>
            <w:tcBorders>
              <w:top w:val="single" w:sz="4" w:space="0" w:color="auto"/>
              <w:left w:val="single" w:sz="4" w:space="0" w:color="000000"/>
              <w:bottom w:val="single" w:sz="4" w:space="0" w:color="auto"/>
            </w:tcBorders>
            <w:shd w:val="clear" w:color="auto" w:fill="FFFFFF" w:themeFill="background1"/>
            <w:vAlign w:val="center"/>
          </w:tcPr>
          <w:p w14:paraId="0C54C307" w14:textId="77777777" w:rsidR="00B53E24" w:rsidRPr="008A7800" w:rsidRDefault="00B53E24"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n</w:t>
            </w:r>
          </w:p>
        </w:tc>
        <w:tc>
          <w:tcPr>
            <w:tcW w:w="576" w:type="dxa"/>
            <w:tcBorders>
              <w:top w:val="single" w:sz="4" w:space="0" w:color="auto"/>
              <w:bottom w:val="single" w:sz="4" w:space="0" w:color="auto"/>
            </w:tcBorders>
            <w:shd w:val="clear" w:color="auto" w:fill="FFFFFF" w:themeFill="background1"/>
            <w:vAlign w:val="center"/>
          </w:tcPr>
          <w:p w14:paraId="2ACA9FB6" w14:textId="77777777" w:rsidR="00B53E24" w:rsidRPr="008A7800" w:rsidRDefault="00B53E24"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w:t>
            </w:r>
          </w:p>
        </w:tc>
        <w:tc>
          <w:tcPr>
            <w:tcW w:w="1146" w:type="dxa"/>
            <w:tcBorders>
              <w:top w:val="single" w:sz="4" w:space="0" w:color="auto"/>
              <w:bottom w:val="single" w:sz="4" w:space="0" w:color="auto"/>
            </w:tcBorders>
            <w:shd w:val="clear" w:color="auto" w:fill="FFFFFF" w:themeFill="background1"/>
            <w:vAlign w:val="center"/>
          </w:tcPr>
          <w:p w14:paraId="3A5DDD7D" w14:textId="77777777" w:rsidR="00B53E24" w:rsidRPr="008A7800" w:rsidRDefault="00B53E24"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8A7800">
              <w:rPr>
                <w:rFonts w:eastAsiaTheme="minorEastAsia"/>
                <w:sz w:val="18"/>
                <w:szCs w:val="18"/>
                <w:lang w:eastAsia="en-US"/>
              </w:rPr>
              <w:t>(95% CI)</w:t>
            </w:r>
          </w:p>
        </w:tc>
      </w:tr>
      <w:tr w:rsidR="00B53E24" w:rsidRPr="008A7800" w14:paraId="7DC772EE" w14:textId="77777777" w:rsidTr="00063DE7">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vAlign w:val="center"/>
          </w:tcPr>
          <w:p w14:paraId="25D16E38" w14:textId="77777777" w:rsidR="00B53E24" w:rsidRPr="008A7800" w:rsidRDefault="00B53E24" w:rsidP="00B53E24">
            <w:pPr>
              <w:spacing w:before="20" w:after="20"/>
              <w:rPr>
                <w:rFonts w:eastAsiaTheme="minorEastAsia"/>
                <w:sz w:val="18"/>
                <w:szCs w:val="18"/>
                <w:lang w:eastAsia="en-US"/>
              </w:rPr>
            </w:pPr>
            <w:r w:rsidRPr="008A7800">
              <w:rPr>
                <w:rFonts w:eastAsiaTheme="minorEastAsia"/>
                <w:sz w:val="18"/>
                <w:szCs w:val="18"/>
                <w:lang w:eastAsia="en-US"/>
              </w:rPr>
              <w:t>In past 12 months</w:t>
            </w:r>
          </w:p>
        </w:tc>
        <w:tc>
          <w:tcPr>
            <w:tcW w:w="666" w:type="dxa"/>
            <w:tcBorders>
              <w:top w:val="nil"/>
              <w:left w:val="nil"/>
              <w:bottom w:val="nil"/>
              <w:right w:val="nil"/>
            </w:tcBorders>
            <w:noWrap/>
            <w:vAlign w:val="center"/>
          </w:tcPr>
          <w:p w14:paraId="6E7E339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67" w:type="dxa"/>
            <w:tcBorders>
              <w:top w:val="nil"/>
              <w:left w:val="nil"/>
              <w:bottom w:val="nil"/>
              <w:right w:val="nil"/>
            </w:tcBorders>
            <w:noWrap/>
            <w:vAlign w:val="center"/>
          </w:tcPr>
          <w:p w14:paraId="7A8DC1C7"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auto"/>
            </w:tcBorders>
            <w:noWrap/>
            <w:vAlign w:val="center"/>
          </w:tcPr>
          <w:p w14:paraId="2B4FE9CD"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66" w:type="dxa"/>
            <w:tcBorders>
              <w:top w:val="nil"/>
              <w:left w:val="single" w:sz="4" w:space="0" w:color="auto"/>
              <w:bottom w:val="nil"/>
              <w:right w:val="nil"/>
            </w:tcBorders>
            <w:noWrap/>
            <w:vAlign w:val="center"/>
          </w:tcPr>
          <w:p w14:paraId="33C936B7"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67" w:type="dxa"/>
            <w:tcBorders>
              <w:top w:val="nil"/>
              <w:left w:val="nil"/>
              <w:bottom w:val="nil"/>
              <w:right w:val="nil"/>
            </w:tcBorders>
            <w:noWrap/>
            <w:vAlign w:val="center"/>
          </w:tcPr>
          <w:p w14:paraId="4944CAC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FFFFFF" w:themeFill="background1"/>
            <w:noWrap/>
            <w:vAlign w:val="center"/>
          </w:tcPr>
          <w:p w14:paraId="6F23BB8F"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666" w:type="dxa"/>
            <w:tcBorders>
              <w:top w:val="nil"/>
              <w:left w:val="single" w:sz="4" w:space="0" w:color="000000"/>
              <w:bottom w:val="nil"/>
              <w:right w:val="nil"/>
            </w:tcBorders>
            <w:vAlign w:val="center"/>
          </w:tcPr>
          <w:p w14:paraId="48DF4E8A"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67" w:type="dxa"/>
            <w:tcBorders>
              <w:top w:val="nil"/>
              <w:left w:val="nil"/>
              <w:bottom w:val="nil"/>
              <w:right w:val="nil"/>
            </w:tcBorders>
            <w:vAlign w:val="center"/>
          </w:tcPr>
          <w:p w14:paraId="39D4EC0F"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single" w:sz="4" w:space="0" w:color="000000"/>
            </w:tcBorders>
            <w:vAlign w:val="center"/>
          </w:tcPr>
          <w:p w14:paraId="3870D2D1"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616" w:type="dxa"/>
            <w:tcBorders>
              <w:top w:val="nil"/>
              <w:left w:val="single" w:sz="4" w:space="0" w:color="000000"/>
              <w:bottom w:val="nil"/>
              <w:right w:val="nil"/>
            </w:tcBorders>
          </w:tcPr>
          <w:p w14:paraId="5B546DD2"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76" w:type="dxa"/>
            <w:tcBorders>
              <w:top w:val="nil"/>
              <w:left w:val="nil"/>
              <w:bottom w:val="nil"/>
              <w:right w:val="nil"/>
            </w:tcBorders>
          </w:tcPr>
          <w:p w14:paraId="5105FF9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nil"/>
            </w:tcBorders>
          </w:tcPr>
          <w:p w14:paraId="6E2ADF5A"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r>
      <w:tr w:rsidR="009118DA" w:rsidRPr="008A7800" w14:paraId="6ACC84B2"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679122BF" w14:textId="77777777" w:rsidR="00B53E24" w:rsidRPr="008A7800" w:rsidRDefault="00B53E24" w:rsidP="00B53E24">
            <w:pPr>
              <w:spacing w:before="20" w:after="20"/>
              <w:rPr>
                <w:rFonts w:eastAsiaTheme="minorEastAsia"/>
                <w:b w:val="0"/>
                <w:sz w:val="18"/>
                <w:szCs w:val="18"/>
                <w:lang w:eastAsia="en-US"/>
              </w:rPr>
            </w:pPr>
            <w:r w:rsidRPr="008A7800">
              <w:rPr>
                <w:rFonts w:eastAsiaTheme="minorEastAsia"/>
                <w:b w:val="0"/>
                <w:sz w:val="18"/>
                <w:szCs w:val="18"/>
                <w:lang w:eastAsia="en-US"/>
              </w:rPr>
              <w:t>Card games</w:t>
            </w:r>
          </w:p>
        </w:tc>
        <w:tc>
          <w:tcPr>
            <w:tcW w:w="666" w:type="dxa"/>
            <w:tcBorders>
              <w:top w:val="nil"/>
              <w:left w:val="nil"/>
              <w:bottom w:val="nil"/>
              <w:right w:val="nil"/>
            </w:tcBorders>
            <w:shd w:val="clear" w:color="auto" w:fill="auto"/>
            <w:noWrap/>
            <w:vAlign w:val="center"/>
          </w:tcPr>
          <w:p w14:paraId="45EEF731"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265</w:t>
            </w:r>
          </w:p>
        </w:tc>
        <w:tc>
          <w:tcPr>
            <w:tcW w:w="567" w:type="dxa"/>
            <w:tcBorders>
              <w:top w:val="nil"/>
              <w:left w:val="nil"/>
              <w:bottom w:val="nil"/>
              <w:right w:val="nil"/>
            </w:tcBorders>
            <w:shd w:val="clear" w:color="auto" w:fill="auto"/>
            <w:noWrap/>
            <w:vAlign w:val="center"/>
          </w:tcPr>
          <w:p w14:paraId="7B8DEBAA"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4.2</w:t>
            </w:r>
          </w:p>
        </w:tc>
        <w:tc>
          <w:tcPr>
            <w:tcW w:w="1146" w:type="dxa"/>
            <w:tcBorders>
              <w:top w:val="nil"/>
              <w:left w:val="nil"/>
              <w:bottom w:val="nil"/>
              <w:right w:val="single" w:sz="4" w:space="0" w:color="auto"/>
            </w:tcBorders>
            <w:shd w:val="clear" w:color="auto" w:fill="auto"/>
            <w:noWrap/>
            <w:vAlign w:val="center"/>
          </w:tcPr>
          <w:p w14:paraId="0E96C2EF"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(3.6, 4.9)</w:t>
            </w:r>
          </w:p>
        </w:tc>
        <w:tc>
          <w:tcPr>
            <w:tcW w:w="666" w:type="dxa"/>
            <w:tcBorders>
              <w:top w:val="nil"/>
              <w:left w:val="single" w:sz="4" w:space="0" w:color="auto"/>
              <w:bottom w:val="nil"/>
              <w:right w:val="nil"/>
            </w:tcBorders>
            <w:shd w:val="clear" w:color="auto" w:fill="auto"/>
            <w:noWrap/>
            <w:vAlign w:val="center"/>
          </w:tcPr>
          <w:p w14:paraId="48C10D23"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125</w:t>
            </w:r>
          </w:p>
        </w:tc>
        <w:tc>
          <w:tcPr>
            <w:tcW w:w="567" w:type="dxa"/>
            <w:tcBorders>
              <w:top w:val="nil"/>
              <w:left w:val="nil"/>
              <w:bottom w:val="nil"/>
              <w:right w:val="nil"/>
            </w:tcBorders>
            <w:shd w:val="clear" w:color="auto" w:fill="auto"/>
            <w:noWrap/>
            <w:vAlign w:val="center"/>
          </w:tcPr>
          <w:p w14:paraId="3121C80A"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3.3</w:t>
            </w:r>
          </w:p>
        </w:tc>
        <w:tc>
          <w:tcPr>
            <w:tcW w:w="1146" w:type="dxa"/>
            <w:tcBorders>
              <w:top w:val="nil"/>
              <w:left w:val="nil"/>
              <w:bottom w:val="nil"/>
              <w:right w:val="single" w:sz="4" w:space="0" w:color="000000"/>
            </w:tcBorders>
            <w:shd w:val="clear" w:color="auto" w:fill="auto"/>
            <w:noWrap/>
            <w:vAlign w:val="center"/>
          </w:tcPr>
          <w:p w14:paraId="7803F6AE"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(2.6, 4.1)</w:t>
            </w:r>
          </w:p>
        </w:tc>
        <w:tc>
          <w:tcPr>
            <w:tcW w:w="666" w:type="dxa"/>
            <w:tcBorders>
              <w:top w:val="nil"/>
              <w:left w:val="single" w:sz="4" w:space="0" w:color="000000"/>
              <w:bottom w:val="nil"/>
              <w:right w:val="nil"/>
            </w:tcBorders>
            <w:shd w:val="clear" w:color="auto" w:fill="auto"/>
            <w:vAlign w:val="center"/>
          </w:tcPr>
          <w:p w14:paraId="4B1B6340"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100</w:t>
            </w:r>
          </w:p>
        </w:tc>
        <w:tc>
          <w:tcPr>
            <w:tcW w:w="567" w:type="dxa"/>
            <w:tcBorders>
              <w:top w:val="nil"/>
              <w:left w:val="nil"/>
              <w:bottom w:val="nil"/>
              <w:right w:val="nil"/>
            </w:tcBorders>
            <w:shd w:val="clear" w:color="auto" w:fill="auto"/>
            <w:vAlign w:val="center"/>
          </w:tcPr>
          <w:p w14:paraId="74BB79C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3.2</w:t>
            </w:r>
          </w:p>
        </w:tc>
        <w:tc>
          <w:tcPr>
            <w:tcW w:w="1146" w:type="dxa"/>
            <w:tcBorders>
              <w:top w:val="nil"/>
              <w:left w:val="nil"/>
              <w:bottom w:val="nil"/>
              <w:right w:val="single" w:sz="4" w:space="0" w:color="000000"/>
            </w:tcBorders>
            <w:shd w:val="clear" w:color="auto" w:fill="auto"/>
            <w:vAlign w:val="center"/>
          </w:tcPr>
          <w:p w14:paraId="573B6D81"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(2.2, 4.2)</w:t>
            </w:r>
          </w:p>
        </w:tc>
        <w:tc>
          <w:tcPr>
            <w:tcW w:w="616" w:type="dxa"/>
            <w:tcBorders>
              <w:top w:val="nil"/>
              <w:left w:val="single" w:sz="4" w:space="0" w:color="000000"/>
              <w:bottom w:val="nil"/>
              <w:right w:val="nil"/>
            </w:tcBorders>
            <w:shd w:val="clear" w:color="auto" w:fill="auto"/>
            <w:vAlign w:val="center"/>
          </w:tcPr>
          <w:p w14:paraId="1DE4E048"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71</w:t>
            </w:r>
          </w:p>
        </w:tc>
        <w:tc>
          <w:tcPr>
            <w:tcW w:w="576" w:type="dxa"/>
            <w:tcBorders>
              <w:top w:val="nil"/>
              <w:left w:val="nil"/>
              <w:bottom w:val="nil"/>
              <w:right w:val="nil"/>
            </w:tcBorders>
            <w:shd w:val="clear" w:color="auto" w:fill="auto"/>
            <w:vAlign w:val="center"/>
          </w:tcPr>
          <w:p w14:paraId="707CEBA4"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2.6</w:t>
            </w:r>
          </w:p>
        </w:tc>
        <w:tc>
          <w:tcPr>
            <w:tcW w:w="1146" w:type="dxa"/>
            <w:tcBorders>
              <w:top w:val="nil"/>
              <w:left w:val="nil"/>
              <w:bottom w:val="nil"/>
              <w:right w:val="nil"/>
            </w:tcBorders>
            <w:shd w:val="clear" w:color="auto" w:fill="auto"/>
            <w:vAlign w:val="center"/>
          </w:tcPr>
          <w:p w14:paraId="0368E958"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(1.7, 3.5)</w:t>
            </w:r>
          </w:p>
        </w:tc>
      </w:tr>
      <w:tr w:rsidR="009118DA" w:rsidRPr="008A7800" w14:paraId="7F26C93B"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430B958D" w14:textId="77777777" w:rsidR="00B53E24" w:rsidRPr="008A7800" w:rsidRDefault="00B53E24" w:rsidP="00B53E24">
            <w:pPr>
              <w:spacing w:before="20" w:after="20"/>
              <w:rPr>
                <w:rFonts w:eastAsiaTheme="minorEastAsia"/>
                <w:b w:val="0"/>
                <w:sz w:val="18"/>
                <w:szCs w:val="18"/>
              </w:rPr>
            </w:pPr>
            <w:r w:rsidRPr="008A7800">
              <w:rPr>
                <w:rFonts w:eastAsiaTheme="minorEastAsia"/>
                <w:b w:val="0"/>
                <w:sz w:val="18"/>
                <w:szCs w:val="18"/>
              </w:rPr>
              <w:t>Bets with friends/workmates</w:t>
            </w:r>
          </w:p>
        </w:tc>
        <w:tc>
          <w:tcPr>
            <w:tcW w:w="666" w:type="dxa"/>
            <w:tcBorders>
              <w:top w:val="nil"/>
              <w:left w:val="nil"/>
              <w:bottom w:val="nil"/>
              <w:right w:val="nil"/>
            </w:tcBorders>
            <w:shd w:val="clear" w:color="auto" w:fill="auto"/>
            <w:noWrap/>
            <w:vAlign w:val="center"/>
          </w:tcPr>
          <w:p w14:paraId="2E7529DA"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914</w:t>
            </w:r>
          </w:p>
        </w:tc>
        <w:tc>
          <w:tcPr>
            <w:tcW w:w="567" w:type="dxa"/>
            <w:tcBorders>
              <w:top w:val="nil"/>
              <w:left w:val="nil"/>
              <w:bottom w:val="nil"/>
              <w:right w:val="nil"/>
            </w:tcBorders>
            <w:shd w:val="clear" w:color="auto" w:fill="auto"/>
            <w:noWrap/>
            <w:vAlign w:val="center"/>
          </w:tcPr>
          <w:p w14:paraId="5FD34BB0"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14.6</w:t>
            </w:r>
          </w:p>
        </w:tc>
        <w:tc>
          <w:tcPr>
            <w:tcW w:w="1146" w:type="dxa"/>
            <w:tcBorders>
              <w:top w:val="nil"/>
              <w:left w:val="nil"/>
              <w:bottom w:val="nil"/>
              <w:right w:val="single" w:sz="4" w:space="0" w:color="auto"/>
            </w:tcBorders>
            <w:shd w:val="clear" w:color="auto" w:fill="auto"/>
            <w:noWrap/>
            <w:vAlign w:val="center"/>
          </w:tcPr>
          <w:p w14:paraId="480B8151"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(13.6, 15.7)</w:t>
            </w:r>
          </w:p>
        </w:tc>
        <w:tc>
          <w:tcPr>
            <w:tcW w:w="666" w:type="dxa"/>
            <w:tcBorders>
              <w:top w:val="nil"/>
              <w:left w:val="single" w:sz="4" w:space="0" w:color="auto"/>
              <w:bottom w:val="nil"/>
              <w:right w:val="nil"/>
            </w:tcBorders>
            <w:shd w:val="clear" w:color="auto" w:fill="auto"/>
            <w:noWrap/>
            <w:vAlign w:val="center"/>
          </w:tcPr>
          <w:p w14:paraId="7C6CED3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458</w:t>
            </w:r>
          </w:p>
        </w:tc>
        <w:tc>
          <w:tcPr>
            <w:tcW w:w="567" w:type="dxa"/>
            <w:tcBorders>
              <w:top w:val="nil"/>
              <w:left w:val="nil"/>
              <w:bottom w:val="nil"/>
              <w:right w:val="nil"/>
            </w:tcBorders>
            <w:shd w:val="clear" w:color="auto" w:fill="auto"/>
            <w:noWrap/>
            <w:vAlign w:val="center"/>
          </w:tcPr>
          <w:p w14:paraId="79D573A7"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12.2</w:t>
            </w:r>
          </w:p>
        </w:tc>
        <w:tc>
          <w:tcPr>
            <w:tcW w:w="1146" w:type="dxa"/>
            <w:tcBorders>
              <w:top w:val="nil"/>
              <w:left w:val="nil"/>
              <w:bottom w:val="nil"/>
              <w:right w:val="single" w:sz="4" w:space="0" w:color="000000"/>
            </w:tcBorders>
            <w:shd w:val="clear" w:color="auto" w:fill="auto"/>
            <w:noWrap/>
            <w:vAlign w:val="center"/>
          </w:tcPr>
          <w:p w14:paraId="0CC2C6AE"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(11.0, 13.5)</w:t>
            </w:r>
          </w:p>
        </w:tc>
        <w:tc>
          <w:tcPr>
            <w:tcW w:w="666" w:type="dxa"/>
            <w:tcBorders>
              <w:top w:val="nil"/>
              <w:left w:val="single" w:sz="4" w:space="0" w:color="000000"/>
              <w:bottom w:val="nil"/>
              <w:right w:val="nil"/>
            </w:tcBorders>
            <w:shd w:val="clear" w:color="auto" w:fill="auto"/>
            <w:vAlign w:val="center"/>
          </w:tcPr>
          <w:p w14:paraId="274CC22D"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407</w:t>
            </w:r>
          </w:p>
        </w:tc>
        <w:tc>
          <w:tcPr>
            <w:tcW w:w="567" w:type="dxa"/>
            <w:tcBorders>
              <w:top w:val="nil"/>
              <w:left w:val="nil"/>
              <w:bottom w:val="nil"/>
              <w:right w:val="nil"/>
            </w:tcBorders>
            <w:shd w:val="clear" w:color="auto" w:fill="auto"/>
            <w:vAlign w:val="center"/>
          </w:tcPr>
          <w:p w14:paraId="46C1FE5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13.0</w:t>
            </w:r>
          </w:p>
        </w:tc>
        <w:tc>
          <w:tcPr>
            <w:tcW w:w="1146" w:type="dxa"/>
            <w:tcBorders>
              <w:top w:val="nil"/>
              <w:left w:val="nil"/>
              <w:bottom w:val="nil"/>
              <w:right w:val="single" w:sz="4" w:space="0" w:color="000000"/>
            </w:tcBorders>
            <w:shd w:val="clear" w:color="auto" w:fill="auto"/>
            <w:vAlign w:val="center"/>
          </w:tcPr>
          <w:p w14:paraId="1B46CF62"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(11.6, 14.4)</w:t>
            </w:r>
          </w:p>
        </w:tc>
        <w:tc>
          <w:tcPr>
            <w:tcW w:w="616" w:type="dxa"/>
            <w:tcBorders>
              <w:top w:val="nil"/>
              <w:left w:val="single" w:sz="4" w:space="0" w:color="000000"/>
              <w:bottom w:val="nil"/>
              <w:right w:val="nil"/>
            </w:tcBorders>
            <w:shd w:val="clear" w:color="auto" w:fill="auto"/>
            <w:vAlign w:val="center"/>
          </w:tcPr>
          <w:p w14:paraId="068EA78A"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357</w:t>
            </w:r>
          </w:p>
        </w:tc>
        <w:tc>
          <w:tcPr>
            <w:tcW w:w="576" w:type="dxa"/>
            <w:tcBorders>
              <w:top w:val="nil"/>
              <w:left w:val="nil"/>
              <w:bottom w:val="nil"/>
              <w:right w:val="nil"/>
            </w:tcBorders>
            <w:shd w:val="clear" w:color="auto" w:fill="auto"/>
            <w:vAlign w:val="center"/>
          </w:tcPr>
          <w:p w14:paraId="29BE10CE"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12.9</w:t>
            </w:r>
          </w:p>
        </w:tc>
        <w:tc>
          <w:tcPr>
            <w:tcW w:w="1146" w:type="dxa"/>
            <w:tcBorders>
              <w:top w:val="nil"/>
              <w:left w:val="nil"/>
              <w:bottom w:val="nil"/>
              <w:right w:val="nil"/>
            </w:tcBorders>
            <w:shd w:val="clear" w:color="auto" w:fill="auto"/>
            <w:vAlign w:val="center"/>
          </w:tcPr>
          <w:p w14:paraId="7B978719"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(11.3, 14.5)</w:t>
            </w:r>
          </w:p>
        </w:tc>
      </w:tr>
      <w:tr w:rsidR="009118DA" w:rsidRPr="008A7800" w14:paraId="6677E993"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0E02E615" w14:textId="77777777" w:rsidR="00B53E24" w:rsidRPr="008A7800" w:rsidRDefault="00B53E24" w:rsidP="00B53E24">
            <w:pPr>
              <w:spacing w:before="20" w:after="20"/>
              <w:rPr>
                <w:rFonts w:eastAsiaTheme="minorEastAsia"/>
                <w:b w:val="0"/>
                <w:sz w:val="18"/>
                <w:szCs w:val="18"/>
                <w:lang w:eastAsia="en-US"/>
              </w:rPr>
            </w:pPr>
            <w:r w:rsidRPr="008A7800">
              <w:rPr>
                <w:rFonts w:eastAsiaTheme="minorEastAsia"/>
                <w:b w:val="0"/>
                <w:sz w:val="18"/>
                <w:szCs w:val="18"/>
                <w:lang w:eastAsia="en-US"/>
              </w:rPr>
              <w:t>Text game or competition</w:t>
            </w:r>
          </w:p>
        </w:tc>
        <w:tc>
          <w:tcPr>
            <w:tcW w:w="666" w:type="dxa"/>
            <w:tcBorders>
              <w:top w:val="nil"/>
              <w:left w:val="nil"/>
              <w:bottom w:val="nil"/>
              <w:right w:val="nil"/>
            </w:tcBorders>
            <w:shd w:val="clear" w:color="auto" w:fill="auto"/>
            <w:noWrap/>
            <w:vAlign w:val="center"/>
          </w:tcPr>
          <w:p w14:paraId="20415AAB"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169</w:t>
            </w:r>
          </w:p>
        </w:tc>
        <w:tc>
          <w:tcPr>
            <w:tcW w:w="567" w:type="dxa"/>
            <w:tcBorders>
              <w:top w:val="nil"/>
              <w:left w:val="nil"/>
              <w:bottom w:val="nil"/>
              <w:right w:val="nil"/>
            </w:tcBorders>
            <w:shd w:val="clear" w:color="auto" w:fill="auto"/>
            <w:noWrap/>
            <w:vAlign w:val="center"/>
          </w:tcPr>
          <w:p w14:paraId="06401DF4"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2.7</w:t>
            </w:r>
          </w:p>
        </w:tc>
        <w:tc>
          <w:tcPr>
            <w:tcW w:w="1146" w:type="dxa"/>
            <w:tcBorders>
              <w:top w:val="nil"/>
              <w:left w:val="nil"/>
              <w:bottom w:val="nil"/>
              <w:right w:val="single" w:sz="4" w:space="0" w:color="auto"/>
            </w:tcBorders>
            <w:shd w:val="clear" w:color="auto" w:fill="auto"/>
            <w:noWrap/>
            <w:vAlign w:val="center"/>
          </w:tcPr>
          <w:p w14:paraId="64C9C639"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(2.2, 3.2)</w:t>
            </w:r>
          </w:p>
        </w:tc>
        <w:tc>
          <w:tcPr>
            <w:tcW w:w="666" w:type="dxa"/>
            <w:tcBorders>
              <w:top w:val="nil"/>
              <w:left w:val="single" w:sz="4" w:space="0" w:color="auto"/>
              <w:bottom w:val="nil"/>
              <w:right w:val="nil"/>
            </w:tcBorders>
            <w:shd w:val="clear" w:color="auto" w:fill="auto"/>
            <w:noWrap/>
            <w:vAlign w:val="center"/>
          </w:tcPr>
          <w:p w14:paraId="2BC6557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68</w:t>
            </w:r>
          </w:p>
        </w:tc>
        <w:tc>
          <w:tcPr>
            <w:tcW w:w="567" w:type="dxa"/>
            <w:tcBorders>
              <w:top w:val="nil"/>
              <w:left w:val="nil"/>
              <w:bottom w:val="nil"/>
              <w:right w:val="nil"/>
            </w:tcBorders>
            <w:shd w:val="clear" w:color="auto" w:fill="auto"/>
            <w:noWrap/>
            <w:vAlign w:val="center"/>
          </w:tcPr>
          <w:p w14:paraId="72C9B17C"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1.8</w:t>
            </w:r>
          </w:p>
        </w:tc>
        <w:tc>
          <w:tcPr>
            <w:tcW w:w="1146" w:type="dxa"/>
            <w:tcBorders>
              <w:top w:val="nil"/>
              <w:left w:val="nil"/>
              <w:bottom w:val="nil"/>
              <w:right w:val="single" w:sz="4" w:space="0" w:color="000000"/>
            </w:tcBorders>
            <w:shd w:val="clear" w:color="auto" w:fill="auto"/>
            <w:noWrap/>
            <w:vAlign w:val="center"/>
          </w:tcPr>
          <w:p w14:paraId="3EAADA8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(1.2, 2.4)</w:t>
            </w:r>
          </w:p>
        </w:tc>
        <w:tc>
          <w:tcPr>
            <w:tcW w:w="666" w:type="dxa"/>
            <w:tcBorders>
              <w:top w:val="nil"/>
              <w:left w:val="single" w:sz="4" w:space="0" w:color="000000"/>
              <w:bottom w:val="nil"/>
              <w:right w:val="nil"/>
            </w:tcBorders>
            <w:shd w:val="clear" w:color="auto" w:fill="auto"/>
            <w:vAlign w:val="center"/>
          </w:tcPr>
          <w:p w14:paraId="3B8E703E"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57</w:t>
            </w:r>
          </w:p>
        </w:tc>
        <w:tc>
          <w:tcPr>
            <w:tcW w:w="567" w:type="dxa"/>
            <w:tcBorders>
              <w:top w:val="nil"/>
              <w:left w:val="nil"/>
              <w:bottom w:val="nil"/>
              <w:right w:val="nil"/>
            </w:tcBorders>
            <w:shd w:val="clear" w:color="auto" w:fill="auto"/>
            <w:vAlign w:val="center"/>
          </w:tcPr>
          <w:p w14:paraId="6274D662"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1.8</w:t>
            </w:r>
          </w:p>
        </w:tc>
        <w:tc>
          <w:tcPr>
            <w:tcW w:w="1146" w:type="dxa"/>
            <w:tcBorders>
              <w:top w:val="nil"/>
              <w:left w:val="nil"/>
              <w:bottom w:val="nil"/>
              <w:right w:val="single" w:sz="4" w:space="0" w:color="000000"/>
            </w:tcBorders>
            <w:shd w:val="clear" w:color="auto" w:fill="auto"/>
            <w:vAlign w:val="center"/>
          </w:tcPr>
          <w:p w14:paraId="375161F7"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(1.2, 2.4)</w:t>
            </w:r>
          </w:p>
        </w:tc>
        <w:tc>
          <w:tcPr>
            <w:tcW w:w="616" w:type="dxa"/>
            <w:tcBorders>
              <w:top w:val="nil"/>
              <w:left w:val="single" w:sz="4" w:space="0" w:color="000000"/>
              <w:bottom w:val="nil"/>
              <w:right w:val="nil"/>
            </w:tcBorders>
            <w:shd w:val="clear" w:color="auto" w:fill="auto"/>
            <w:vAlign w:val="center"/>
          </w:tcPr>
          <w:p w14:paraId="48281DF1"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36</w:t>
            </w:r>
          </w:p>
        </w:tc>
        <w:tc>
          <w:tcPr>
            <w:tcW w:w="576" w:type="dxa"/>
            <w:tcBorders>
              <w:top w:val="nil"/>
              <w:left w:val="nil"/>
              <w:bottom w:val="nil"/>
              <w:right w:val="nil"/>
            </w:tcBorders>
            <w:shd w:val="clear" w:color="auto" w:fill="auto"/>
            <w:vAlign w:val="center"/>
          </w:tcPr>
          <w:p w14:paraId="46117EE4"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w:t>
            </w:r>
          </w:p>
        </w:tc>
        <w:tc>
          <w:tcPr>
            <w:tcW w:w="1146" w:type="dxa"/>
            <w:tcBorders>
              <w:top w:val="nil"/>
              <w:left w:val="nil"/>
              <w:bottom w:val="nil"/>
              <w:right w:val="nil"/>
            </w:tcBorders>
            <w:shd w:val="clear" w:color="auto" w:fill="auto"/>
            <w:vAlign w:val="center"/>
          </w:tcPr>
          <w:p w14:paraId="283DD097"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(0.8, 1.7)</w:t>
            </w:r>
          </w:p>
        </w:tc>
      </w:tr>
      <w:tr w:rsidR="009118DA" w:rsidRPr="008A7800" w14:paraId="53D3D3F0"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21489980" w14:textId="77777777" w:rsidR="00B53E24" w:rsidRPr="008A7800" w:rsidRDefault="00B53E24" w:rsidP="00B53E24">
            <w:pPr>
              <w:spacing w:before="20" w:after="20"/>
              <w:rPr>
                <w:rFonts w:eastAsiaTheme="minorEastAsia"/>
                <w:b w:val="0"/>
                <w:sz w:val="18"/>
                <w:szCs w:val="18"/>
                <w:lang w:eastAsia="en-US"/>
              </w:rPr>
            </w:pPr>
            <w:r w:rsidRPr="008A7800">
              <w:rPr>
                <w:rFonts w:eastAsiaTheme="minorEastAsia"/>
                <w:b w:val="0"/>
                <w:sz w:val="18"/>
                <w:szCs w:val="18"/>
                <w:lang w:eastAsia="en-US"/>
              </w:rPr>
              <w:t>Raffle/lottery (NZ or overseas)</w:t>
            </w:r>
          </w:p>
        </w:tc>
        <w:tc>
          <w:tcPr>
            <w:tcW w:w="666" w:type="dxa"/>
            <w:tcBorders>
              <w:top w:val="nil"/>
              <w:left w:val="nil"/>
              <w:bottom w:val="nil"/>
              <w:right w:val="nil"/>
            </w:tcBorders>
            <w:shd w:val="clear" w:color="auto" w:fill="auto"/>
            <w:noWrap/>
            <w:vAlign w:val="center"/>
          </w:tcPr>
          <w:p w14:paraId="793588F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2929</w:t>
            </w:r>
          </w:p>
        </w:tc>
        <w:tc>
          <w:tcPr>
            <w:tcW w:w="567" w:type="dxa"/>
            <w:tcBorders>
              <w:top w:val="nil"/>
              <w:left w:val="nil"/>
              <w:bottom w:val="nil"/>
              <w:right w:val="nil"/>
            </w:tcBorders>
            <w:shd w:val="clear" w:color="auto" w:fill="auto"/>
            <w:noWrap/>
            <w:vAlign w:val="center"/>
          </w:tcPr>
          <w:p w14:paraId="15D4077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46.9</w:t>
            </w:r>
          </w:p>
        </w:tc>
        <w:tc>
          <w:tcPr>
            <w:tcW w:w="1146" w:type="dxa"/>
            <w:tcBorders>
              <w:top w:val="nil"/>
              <w:left w:val="nil"/>
              <w:bottom w:val="nil"/>
              <w:right w:val="single" w:sz="4" w:space="0" w:color="auto"/>
            </w:tcBorders>
            <w:shd w:val="clear" w:color="auto" w:fill="auto"/>
            <w:noWrap/>
            <w:vAlign w:val="center"/>
          </w:tcPr>
          <w:p w14:paraId="022ECF13"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(45.4, 48.3)</w:t>
            </w:r>
          </w:p>
        </w:tc>
        <w:tc>
          <w:tcPr>
            <w:tcW w:w="666" w:type="dxa"/>
            <w:tcBorders>
              <w:top w:val="nil"/>
              <w:left w:val="single" w:sz="4" w:space="0" w:color="auto"/>
              <w:bottom w:val="nil"/>
              <w:right w:val="nil"/>
            </w:tcBorders>
            <w:shd w:val="clear" w:color="auto" w:fill="auto"/>
            <w:noWrap/>
            <w:vAlign w:val="center"/>
          </w:tcPr>
          <w:p w14:paraId="58CACEE3"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1784</w:t>
            </w:r>
          </w:p>
        </w:tc>
        <w:tc>
          <w:tcPr>
            <w:tcW w:w="567" w:type="dxa"/>
            <w:tcBorders>
              <w:top w:val="nil"/>
              <w:left w:val="nil"/>
              <w:bottom w:val="nil"/>
              <w:right w:val="nil"/>
            </w:tcBorders>
            <w:shd w:val="clear" w:color="auto" w:fill="auto"/>
            <w:noWrap/>
            <w:vAlign w:val="center"/>
          </w:tcPr>
          <w:p w14:paraId="776FC324"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47.6</w:t>
            </w:r>
          </w:p>
        </w:tc>
        <w:tc>
          <w:tcPr>
            <w:tcW w:w="1146" w:type="dxa"/>
            <w:tcBorders>
              <w:top w:val="nil"/>
              <w:left w:val="nil"/>
              <w:bottom w:val="nil"/>
              <w:right w:val="single" w:sz="4" w:space="0" w:color="000000"/>
            </w:tcBorders>
            <w:shd w:val="clear" w:color="auto" w:fill="auto"/>
            <w:noWrap/>
            <w:vAlign w:val="center"/>
          </w:tcPr>
          <w:p w14:paraId="159E236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(45.7, 49.5)</w:t>
            </w:r>
          </w:p>
        </w:tc>
        <w:tc>
          <w:tcPr>
            <w:tcW w:w="666" w:type="dxa"/>
            <w:tcBorders>
              <w:top w:val="nil"/>
              <w:left w:val="single" w:sz="4" w:space="0" w:color="000000"/>
              <w:bottom w:val="nil"/>
              <w:right w:val="nil"/>
            </w:tcBorders>
            <w:shd w:val="clear" w:color="auto" w:fill="auto"/>
            <w:vAlign w:val="center"/>
          </w:tcPr>
          <w:p w14:paraId="6EC112D6"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1429</w:t>
            </w:r>
          </w:p>
        </w:tc>
        <w:tc>
          <w:tcPr>
            <w:tcW w:w="567" w:type="dxa"/>
            <w:tcBorders>
              <w:top w:val="nil"/>
              <w:left w:val="nil"/>
              <w:bottom w:val="nil"/>
              <w:right w:val="nil"/>
            </w:tcBorders>
            <w:shd w:val="clear" w:color="auto" w:fill="auto"/>
            <w:vAlign w:val="center"/>
          </w:tcPr>
          <w:p w14:paraId="7FFC9592"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45.7</w:t>
            </w:r>
          </w:p>
        </w:tc>
        <w:tc>
          <w:tcPr>
            <w:tcW w:w="1146" w:type="dxa"/>
            <w:tcBorders>
              <w:top w:val="nil"/>
              <w:left w:val="nil"/>
              <w:bottom w:val="nil"/>
              <w:right w:val="single" w:sz="4" w:space="0" w:color="000000"/>
            </w:tcBorders>
            <w:shd w:val="clear" w:color="auto" w:fill="auto"/>
            <w:vAlign w:val="center"/>
          </w:tcPr>
          <w:p w14:paraId="18030FBB"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(43.6, 47.9)</w:t>
            </w:r>
          </w:p>
        </w:tc>
        <w:tc>
          <w:tcPr>
            <w:tcW w:w="616" w:type="dxa"/>
            <w:tcBorders>
              <w:top w:val="nil"/>
              <w:left w:val="single" w:sz="4" w:space="0" w:color="000000"/>
              <w:bottom w:val="nil"/>
              <w:right w:val="nil"/>
            </w:tcBorders>
            <w:shd w:val="clear" w:color="auto" w:fill="auto"/>
            <w:vAlign w:val="center"/>
          </w:tcPr>
          <w:p w14:paraId="487F3EFE"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1233</w:t>
            </w:r>
          </w:p>
        </w:tc>
        <w:tc>
          <w:tcPr>
            <w:tcW w:w="576" w:type="dxa"/>
            <w:tcBorders>
              <w:top w:val="nil"/>
              <w:left w:val="nil"/>
              <w:bottom w:val="nil"/>
              <w:right w:val="nil"/>
            </w:tcBorders>
            <w:shd w:val="clear" w:color="auto" w:fill="auto"/>
            <w:vAlign w:val="center"/>
          </w:tcPr>
          <w:p w14:paraId="54A069BE"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44.5</w:t>
            </w:r>
          </w:p>
        </w:tc>
        <w:tc>
          <w:tcPr>
            <w:tcW w:w="1146" w:type="dxa"/>
            <w:tcBorders>
              <w:top w:val="nil"/>
              <w:left w:val="nil"/>
              <w:bottom w:val="nil"/>
              <w:right w:val="nil"/>
            </w:tcBorders>
            <w:shd w:val="clear" w:color="auto" w:fill="auto"/>
            <w:vAlign w:val="center"/>
          </w:tcPr>
          <w:p w14:paraId="29058534"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(42.2, 46.8)</w:t>
            </w:r>
          </w:p>
        </w:tc>
      </w:tr>
      <w:tr w:rsidR="009118DA" w:rsidRPr="008A7800" w14:paraId="5E6BFFD6"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007672F0" w14:textId="77777777" w:rsidR="00B53E24" w:rsidRPr="008A7800" w:rsidRDefault="00B53E24" w:rsidP="00B53E24">
            <w:pPr>
              <w:spacing w:before="20" w:after="20"/>
              <w:rPr>
                <w:rFonts w:eastAsiaTheme="minorEastAsia"/>
                <w:b w:val="0"/>
                <w:sz w:val="18"/>
                <w:szCs w:val="18"/>
                <w:lang w:eastAsia="en-US"/>
              </w:rPr>
            </w:pPr>
            <w:r w:rsidRPr="008A7800">
              <w:rPr>
                <w:rFonts w:eastAsiaTheme="minorEastAsia"/>
                <w:b w:val="0"/>
                <w:sz w:val="18"/>
                <w:szCs w:val="18"/>
                <w:lang w:eastAsia="en-US"/>
              </w:rPr>
              <w:t xml:space="preserve">Lotto </w:t>
            </w:r>
          </w:p>
        </w:tc>
        <w:tc>
          <w:tcPr>
            <w:tcW w:w="666" w:type="dxa"/>
            <w:tcBorders>
              <w:top w:val="nil"/>
              <w:left w:val="nil"/>
              <w:bottom w:val="nil"/>
              <w:right w:val="nil"/>
            </w:tcBorders>
            <w:shd w:val="clear" w:color="auto" w:fill="auto"/>
            <w:noWrap/>
            <w:vAlign w:val="center"/>
          </w:tcPr>
          <w:p w14:paraId="5B23FF02"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3893</w:t>
            </w:r>
          </w:p>
        </w:tc>
        <w:tc>
          <w:tcPr>
            <w:tcW w:w="567" w:type="dxa"/>
            <w:tcBorders>
              <w:top w:val="nil"/>
              <w:left w:val="nil"/>
              <w:bottom w:val="nil"/>
              <w:right w:val="nil"/>
            </w:tcBorders>
            <w:shd w:val="clear" w:color="auto" w:fill="auto"/>
            <w:noWrap/>
            <w:vAlign w:val="center"/>
          </w:tcPr>
          <w:p w14:paraId="0EFAD4CF"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62.3</w:t>
            </w:r>
          </w:p>
        </w:tc>
        <w:tc>
          <w:tcPr>
            <w:tcW w:w="1146" w:type="dxa"/>
            <w:tcBorders>
              <w:top w:val="nil"/>
              <w:left w:val="nil"/>
              <w:bottom w:val="nil"/>
              <w:right w:val="single" w:sz="4" w:space="0" w:color="auto"/>
            </w:tcBorders>
            <w:shd w:val="clear" w:color="auto" w:fill="auto"/>
            <w:noWrap/>
            <w:vAlign w:val="center"/>
          </w:tcPr>
          <w:p w14:paraId="47C2C96A"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(60.8, 63.7)</w:t>
            </w:r>
          </w:p>
        </w:tc>
        <w:tc>
          <w:tcPr>
            <w:tcW w:w="666" w:type="dxa"/>
            <w:tcBorders>
              <w:top w:val="nil"/>
              <w:left w:val="single" w:sz="4" w:space="0" w:color="auto"/>
              <w:bottom w:val="nil"/>
              <w:right w:val="nil"/>
            </w:tcBorders>
            <w:shd w:val="clear" w:color="auto" w:fill="auto"/>
            <w:noWrap/>
            <w:vAlign w:val="center"/>
          </w:tcPr>
          <w:p w14:paraId="16B5B489"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2237</w:t>
            </w:r>
          </w:p>
        </w:tc>
        <w:tc>
          <w:tcPr>
            <w:tcW w:w="567" w:type="dxa"/>
            <w:tcBorders>
              <w:top w:val="nil"/>
              <w:left w:val="nil"/>
              <w:bottom w:val="nil"/>
              <w:right w:val="nil"/>
            </w:tcBorders>
            <w:shd w:val="clear" w:color="auto" w:fill="auto"/>
            <w:noWrap/>
            <w:vAlign w:val="center"/>
          </w:tcPr>
          <w:p w14:paraId="53DBBB1E"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59.7</w:t>
            </w:r>
          </w:p>
        </w:tc>
        <w:tc>
          <w:tcPr>
            <w:tcW w:w="1146" w:type="dxa"/>
            <w:tcBorders>
              <w:top w:val="nil"/>
              <w:left w:val="nil"/>
              <w:bottom w:val="nil"/>
              <w:right w:val="single" w:sz="4" w:space="0" w:color="000000"/>
            </w:tcBorders>
            <w:shd w:val="clear" w:color="auto" w:fill="auto"/>
            <w:noWrap/>
            <w:vAlign w:val="center"/>
          </w:tcPr>
          <w:p w14:paraId="2FA65573"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(57.8, 61.6)</w:t>
            </w:r>
          </w:p>
        </w:tc>
        <w:tc>
          <w:tcPr>
            <w:tcW w:w="666" w:type="dxa"/>
            <w:tcBorders>
              <w:top w:val="nil"/>
              <w:left w:val="single" w:sz="4" w:space="0" w:color="000000"/>
              <w:bottom w:val="nil"/>
              <w:right w:val="nil"/>
            </w:tcBorders>
            <w:shd w:val="clear" w:color="auto" w:fill="auto"/>
            <w:vAlign w:val="center"/>
          </w:tcPr>
          <w:p w14:paraId="1B28F7AB"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1861</w:t>
            </w:r>
          </w:p>
        </w:tc>
        <w:tc>
          <w:tcPr>
            <w:tcW w:w="567" w:type="dxa"/>
            <w:tcBorders>
              <w:top w:val="nil"/>
              <w:left w:val="nil"/>
              <w:bottom w:val="nil"/>
              <w:right w:val="nil"/>
            </w:tcBorders>
            <w:shd w:val="clear" w:color="auto" w:fill="auto"/>
            <w:vAlign w:val="center"/>
          </w:tcPr>
          <w:p w14:paraId="0DB21B43"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59.6</w:t>
            </w:r>
          </w:p>
        </w:tc>
        <w:tc>
          <w:tcPr>
            <w:tcW w:w="1146" w:type="dxa"/>
            <w:tcBorders>
              <w:top w:val="nil"/>
              <w:left w:val="nil"/>
              <w:bottom w:val="nil"/>
              <w:right w:val="single" w:sz="4" w:space="0" w:color="000000"/>
            </w:tcBorders>
            <w:shd w:val="clear" w:color="auto" w:fill="auto"/>
            <w:vAlign w:val="center"/>
          </w:tcPr>
          <w:p w14:paraId="04CC9F67"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(57.4, 61.7)</w:t>
            </w:r>
          </w:p>
        </w:tc>
        <w:tc>
          <w:tcPr>
            <w:tcW w:w="616" w:type="dxa"/>
            <w:tcBorders>
              <w:top w:val="nil"/>
              <w:left w:val="single" w:sz="4" w:space="0" w:color="000000"/>
              <w:bottom w:val="nil"/>
              <w:right w:val="nil"/>
            </w:tcBorders>
            <w:shd w:val="clear" w:color="auto" w:fill="auto"/>
            <w:vAlign w:val="center"/>
          </w:tcPr>
          <w:p w14:paraId="390BDF87"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1544</w:t>
            </w:r>
          </w:p>
        </w:tc>
        <w:tc>
          <w:tcPr>
            <w:tcW w:w="576" w:type="dxa"/>
            <w:tcBorders>
              <w:top w:val="nil"/>
              <w:left w:val="nil"/>
              <w:bottom w:val="nil"/>
              <w:right w:val="nil"/>
            </w:tcBorders>
            <w:shd w:val="clear" w:color="auto" w:fill="auto"/>
            <w:vAlign w:val="center"/>
          </w:tcPr>
          <w:p w14:paraId="178AFEDC"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55.7</w:t>
            </w:r>
          </w:p>
        </w:tc>
        <w:tc>
          <w:tcPr>
            <w:tcW w:w="1146" w:type="dxa"/>
            <w:tcBorders>
              <w:top w:val="nil"/>
              <w:left w:val="nil"/>
              <w:bottom w:val="nil"/>
              <w:right w:val="nil"/>
            </w:tcBorders>
            <w:shd w:val="clear" w:color="auto" w:fill="auto"/>
            <w:vAlign w:val="center"/>
          </w:tcPr>
          <w:p w14:paraId="4A5FF5F8"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(53.4, 58.1)</w:t>
            </w:r>
          </w:p>
        </w:tc>
      </w:tr>
      <w:tr w:rsidR="009118DA" w:rsidRPr="008A7800" w14:paraId="580D2326"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70429F4A" w14:textId="77777777" w:rsidR="00B53E24" w:rsidRPr="008A7800" w:rsidRDefault="00B53E24" w:rsidP="00B53E24">
            <w:pPr>
              <w:spacing w:before="20" w:after="20"/>
              <w:rPr>
                <w:rFonts w:eastAsiaTheme="minorEastAsia"/>
                <w:b w:val="0"/>
                <w:sz w:val="18"/>
                <w:szCs w:val="18"/>
                <w:lang w:eastAsia="en-US"/>
              </w:rPr>
            </w:pPr>
            <w:r w:rsidRPr="008A7800">
              <w:rPr>
                <w:rFonts w:eastAsiaTheme="minorEastAsia"/>
                <w:b w:val="0"/>
                <w:sz w:val="18"/>
                <w:szCs w:val="18"/>
                <w:lang w:eastAsia="en-US"/>
              </w:rPr>
              <w:t>Keno</w:t>
            </w:r>
          </w:p>
        </w:tc>
        <w:tc>
          <w:tcPr>
            <w:tcW w:w="666" w:type="dxa"/>
            <w:tcBorders>
              <w:top w:val="nil"/>
              <w:left w:val="nil"/>
              <w:bottom w:val="nil"/>
              <w:right w:val="nil"/>
            </w:tcBorders>
            <w:shd w:val="clear" w:color="auto" w:fill="auto"/>
            <w:noWrap/>
            <w:vAlign w:val="center"/>
          </w:tcPr>
          <w:p w14:paraId="46E5BEF6"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178</w:t>
            </w:r>
          </w:p>
        </w:tc>
        <w:tc>
          <w:tcPr>
            <w:tcW w:w="567" w:type="dxa"/>
            <w:tcBorders>
              <w:top w:val="nil"/>
              <w:left w:val="nil"/>
              <w:bottom w:val="nil"/>
              <w:right w:val="nil"/>
            </w:tcBorders>
            <w:shd w:val="clear" w:color="auto" w:fill="auto"/>
            <w:noWrap/>
            <w:vAlign w:val="center"/>
          </w:tcPr>
          <w:p w14:paraId="76DBBE8D"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2.8</w:t>
            </w:r>
          </w:p>
        </w:tc>
        <w:tc>
          <w:tcPr>
            <w:tcW w:w="1146" w:type="dxa"/>
            <w:tcBorders>
              <w:top w:val="nil"/>
              <w:left w:val="nil"/>
              <w:bottom w:val="nil"/>
              <w:right w:val="single" w:sz="4" w:space="0" w:color="auto"/>
            </w:tcBorders>
            <w:shd w:val="clear" w:color="auto" w:fill="auto"/>
            <w:noWrap/>
            <w:vAlign w:val="center"/>
          </w:tcPr>
          <w:p w14:paraId="672A2999"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(2.4, 3.3)</w:t>
            </w:r>
          </w:p>
        </w:tc>
        <w:tc>
          <w:tcPr>
            <w:tcW w:w="666" w:type="dxa"/>
            <w:tcBorders>
              <w:top w:val="nil"/>
              <w:left w:val="single" w:sz="4" w:space="0" w:color="auto"/>
              <w:bottom w:val="nil"/>
              <w:right w:val="nil"/>
            </w:tcBorders>
            <w:shd w:val="clear" w:color="auto" w:fill="auto"/>
            <w:noWrap/>
            <w:vAlign w:val="center"/>
          </w:tcPr>
          <w:p w14:paraId="578AAE8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95</w:t>
            </w:r>
          </w:p>
        </w:tc>
        <w:tc>
          <w:tcPr>
            <w:tcW w:w="567" w:type="dxa"/>
            <w:tcBorders>
              <w:top w:val="nil"/>
              <w:left w:val="nil"/>
              <w:bottom w:val="nil"/>
              <w:right w:val="nil"/>
            </w:tcBorders>
            <w:shd w:val="clear" w:color="auto" w:fill="auto"/>
            <w:noWrap/>
            <w:vAlign w:val="center"/>
          </w:tcPr>
          <w:p w14:paraId="7E55F94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2.5</w:t>
            </w:r>
          </w:p>
        </w:tc>
        <w:tc>
          <w:tcPr>
            <w:tcW w:w="1146" w:type="dxa"/>
            <w:tcBorders>
              <w:top w:val="nil"/>
              <w:left w:val="nil"/>
              <w:bottom w:val="nil"/>
              <w:right w:val="single" w:sz="4" w:space="0" w:color="000000"/>
            </w:tcBorders>
            <w:shd w:val="clear" w:color="auto" w:fill="auto"/>
            <w:noWrap/>
            <w:vAlign w:val="center"/>
          </w:tcPr>
          <w:p w14:paraId="43493E9C"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(2.0, 3.0)</w:t>
            </w:r>
          </w:p>
        </w:tc>
        <w:tc>
          <w:tcPr>
            <w:tcW w:w="666" w:type="dxa"/>
            <w:tcBorders>
              <w:top w:val="nil"/>
              <w:left w:val="single" w:sz="4" w:space="0" w:color="000000"/>
              <w:bottom w:val="nil"/>
              <w:right w:val="nil"/>
            </w:tcBorders>
            <w:shd w:val="clear" w:color="auto" w:fill="auto"/>
            <w:vAlign w:val="center"/>
          </w:tcPr>
          <w:p w14:paraId="6BF3BF76"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75</w:t>
            </w:r>
          </w:p>
        </w:tc>
        <w:tc>
          <w:tcPr>
            <w:tcW w:w="567" w:type="dxa"/>
            <w:tcBorders>
              <w:top w:val="nil"/>
              <w:left w:val="nil"/>
              <w:bottom w:val="nil"/>
              <w:right w:val="nil"/>
            </w:tcBorders>
            <w:shd w:val="clear" w:color="auto" w:fill="auto"/>
            <w:vAlign w:val="center"/>
          </w:tcPr>
          <w:p w14:paraId="0104F514"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2.4</w:t>
            </w:r>
          </w:p>
        </w:tc>
        <w:tc>
          <w:tcPr>
            <w:tcW w:w="1146" w:type="dxa"/>
            <w:tcBorders>
              <w:top w:val="nil"/>
              <w:left w:val="nil"/>
              <w:bottom w:val="nil"/>
              <w:right w:val="single" w:sz="4" w:space="0" w:color="000000"/>
            </w:tcBorders>
            <w:shd w:val="clear" w:color="auto" w:fill="auto"/>
            <w:vAlign w:val="center"/>
          </w:tcPr>
          <w:p w14:paraId="363AA043"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(1.8, 3.0)</w:t>
            </w:r>
          </w:p>
        </w:tc>
        <w:tc>
          <w:tcPr>
            <w:tcW w:w="616" w:type="dxa"/>
            <w:tcBorders>
              <w:top w:val="nil"/>
              <w:left w:val="single" w:sz="4" w:space="0" w:color="000000"/>
              <w:bottom w:val="nil"/>
              <w:right w:val="nil"/>
            </w:tcBorders>
            <w:shd w:val="clear" w:color="auto" w:fill="auto"/>
            <w:vAlign w:val="center"/>
          </w:tcPr>
          <w:p w14:paraId="0222F353"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49</w:t>
            </w:r>
          </w:p>
        </w:tc>
        <w:tc>
          <w:tcPr>
            <w:tcW w:w="576" w:type="dxa"/>
            <w:tcBorders>
              <w:top w:val="nil"/>
              <w:left w:val="nil"/>
              <w:bottom w:val="nil"/>
              <w:right w:val="nil"/>
            </w:tcBorders>
            <w:shd w:val="clear" w:color="auto" w:fill="auto"/>
            <w:vAlign w:val="center"/>
          </w:tcPr>
          <w:p w14:paraId="11DD72F3"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1.8</w:t>
            </w:r>
          </w:p>
        </w:tc>
        <w:tc>
          <w:tcPr>
            <w:tcW w:w="1146" w:type="dxa"/>
            <w:tcBorders>
              <w:top w:val="nil"/>
              <w:left w:val="nil"/>
              <w:bottom w:val="nil"/>
              <w:right w:val="nil"/>
            </w:tcBorders>
            <w:shd w:val="clear" w:color="auto" w:fill="auto"/>
            <w:vAlign w:val="center"/>
          </w:tcPr>
          <w:p w14:paraId="778F85CE"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(1.2, 2.3)</w:t>
            </w:r>
          </w:p>
        </w:tc>
      </w:tr>
      <w:tr w:rsidR="009118DA" w:rsidRPr="008A7800" w14:paraId="27F2A474"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0B0A57A1" w14:textId="77777777" w:rsidR="00B53E24" w:rsidRPr="008A7800" w:rsidRDefault="00B53E24" w:rsidP="00B53E24">
            <w:pPr>
              <w:spacing w:before="20" w:after="20"/>
              <w:rPr>
                <w:rFonts w:eastAsiaTheme="minorEastAsia"/>
                <w:b w:val="0"/>
                <w:sz w:val="18"/>
                <w:szCs w:val="18"/>
              </w:rPr>
            </w:pPr>
            <w:r w:rsidRPr="008A7800">
              <w:rPr>
                <w:rFonts w:eastAsiaTheme="minorEastAsia"/>
                <w:b w:val="0"/>
                <w:sz w:val="18"/>
                <w:szCs w:val="18"/>
              </w:rPr>
              <w:t>Instant Kiwi/other scratch tickets</w:t>
            </w:r>
          </w:p>
        </w:tc>
        <w:tc>
          <w:tcPr>
            <w:tcW w:w="666" w:type="dxa"/>
            <w:tcBorders>
              <w:top w:val="nil"/>
              <w:left w:val="nil"/>
              <w:bottom w:val="nil"/>
              <w:right w:val="nil"/>
            </w:tcBorders>
            <w:shd w:val="clear" w:color="auto" w:fill="auto"/>
            <w:noWrap/>
            <w:vAlign w:val="center"/>
          </w:tcPr>
          <w:p w14:paraId="26D06167"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2026</w:t>
            </w:r>
          </w:p>
        </w:tc>
        <w:tc>
          <w:tcPr>
            <w:tcW w:w="567" w:type="dxa"/>
            <w:tcBorders>
              <w:top w:val="nil"/>
              <w:left w:val="nil"/>
              <w:bottom w:val="nil"/>
              <w:right w:val="nil"/>
            </w:tcBorders>
            <w:shd w:val="clear" w:color="auto" w:fill="auto"/>
            <w:noWrap/>
            <w:vAlign w:val="center"/>
          </w:tcPr>
          <w:p w14:paraId="233582D0"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32.4</w:t>
            </w:r>
          </w:p>
        </w:tc>
        <w:tc>
          <w:tcPr>
            <w:tcW w:w="1146" w:type="dxa"/>
            <w:tcBorders>
              <w:top w:val="nil"/>
              <w:left w:val="nil"/>
              <w:bottom w:val="nil"/>
              <w:right w:val="single" w:sz="4" w:space="0" w:color="auto"/>
            </w:tcBorders>
            <w:shd w:val="clear" w:color="auto" w:fill="auto"/>
            <w:noWrap/>
            <w:vAlign w:val="center"/>
          </w:tcPr>
          <w:p w14:paraId="56E82999"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(31.0, 33.8)</w:t>
            </w:r>
          </w:p>
        </w:tc>
        <w:tc>
          <w:tcPr>
            <w:tcW w:w="666" w:type="dxa"/>
            <w:tcBorders>
              <w:top w:val="nil"/>
              <w:left w:val="single" w:sz="4" w:space="0" w:color="auto"/>
              <w:bottom w:val="nil"/>
              <w:right w:val="nil"/>
            </w:tcBorders>
            <w:shd w:val="clear" w:color="auto" w:fill="auto"/>
            <w:noWrap/>
            <w:vAlign w:val="center"/>
          </w:tcPr>
          <w:p w14:paraId="2390A9BA"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1118</w:t>
            </w:r>
          </w:p>
        </w:tc>
        <w:tc>
          <w:tcPr>
            <w:tcW w:w="567" w:type="dxa"/>
            <w:tcBorders>
              <w:top w:val="nil"/>
              <w:left w:val="nil"/>
              <w:bottom w:val="nil"/>
              <w:right w:val="nil"/>
            </w:tcBorders>
            <w:shd w:val="clear" w:color="auto" w:fill="auto"/>
            <w:noWrap/>
            <w:vAlign w:val="center"/>
          </w:tcPr>
          <w:p w14:paraId="7FCC018F"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29.8</w:t>
            </w:r>
          </w:p>
        </w:tc>
        <w:tc>
          <w:tcPr>
            <w:tcW w:w="1146" w:type="dxa"/>
            <w:tcBorders>
              <w:top w:val="nil"/>
              <w:left w:val="nil"/>
              <w:bottom w:val="nil"/>
              <w:right w:val="single" w:sz="4" w:space="0" w:color="000000"/>
            </w:tcBorders>
            <w:shd w:val="clear" w:color="auto" w:fill="auto"/>
            <w:noWrap/>
            <w:vAlign w:val="center"/>
          </w:tcPr>
          <w:p w14:paraId="5064C59B"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(28.1, 31.6)</w:t>
            </w:r>
          </w:p>
        </w:tc>
        <w:tc>
          <w:tcPr>
            <w:tcW w:w="666" w:type="dxa"/>
            <w:tcBorders>
              <w:top w:val="nil"/>
              <w:left w:val="single" w:sz="4" w:space="0" w:color="000000"/>
              <w:bottom w:val="nil"/>
              <w:right w:val="nil"/>
            </w:tcBorders>
            <w:shd w:val="clear" w:color="auto" w:fill="auto"/>
            <w:vAlign w:val="center"/>
          </w:tcPr>
          <w:p w14:paraId="44FDB27C"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910</w:t>
            </w:r>
          </w:p>
        </w:tc>
        <w:tc>
          <w:tcPr>
            <w:tcW w:w="567" w:type="dxa"/>
            <w:tcBorders>
              <w:top w:val="nil"/>
              <w:left w:val="nil"/>
              <w:bottom w:val="nil"/>
              <w:right w:val="nil"/>
            </w:tcBorders>
            <w:shd w:val="clear" w:color="auto" w:fill="auto"/>
            <w:vAlign w:val="center"/>
          </w:tcPr>
          <w:p w14:paraId="53B51D7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29.1</w:t>
            </w:r>
          </w:p>
        </w:tc>
        <w:tc>
          <w:tcPr>
            <w:tcW w:w="1146" w:type="dxa"/>
            <w:tcBorders>
              <w:top w:val="nil"/>
              <w:left w:val="nil"/>
              <w:bottom w:val="nil"/>
              <w:right w:val="single" w:sz="4" w:space="0" w:color="000000"/>
            </w:tcBorders>
            <w:shd w:val="clear" w:color="auto" w:fill="auto"/>
            <w:vAlign w:val="center"/>
          </w:tcPr>
          <w:p w14:paraId="6637E63F"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(27.2, 31.1)</w:t>
            </w:r>
          </w:p>
        </w:tc>
        <w:tc>
          <w:tcPr>
            <w:tcW w:w="616" w:type="dxa"/>
            <w:tcBorders>
              <w:top w:val="nil"/>
              <w:left w:val="single" w:sz="4" w:space="0" w:color="000000"/>
              <w:bottom w:val="nil"/>
              <w:right w:val="nil"/>
            </w:tcBorders>
            <w:shd w:val="clear" w:color="auto" w:fill="auto"/>
            <w:vAlign w:val="center"/>
          </w:tcPr>
          <w:p w14:paraId="0988E970"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820</w:t>
            </w:r>
          </w:p>
        </w:tc>
        <w:tc>
          <w:tcPr>
            <w:tcW w:w="576" w:type="dxa"/>
            <w:tcBorders>
              <w:top w:val="nil"/>
              <w:left w:val="nil"/>
              <w:bottom w:val="nil"/>
              <w:right w:val="nil"/>
            </w:tcBorders>
            <w:shd w:val="clear" w:color="auto" w:fill="auto"/>
            <w:vAlign w:val="center"/>
          </w:tcPr>
          <w:p w14:paraId="64702C67"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29.6</w:t>
            </w:r>
          </w:p>
        </w:tc>
        <w:tc>
          <w:tcPr>
            <w:tcW w:w="1146" w:type="dxa"/>
            <w:tcBorders>
              <w:top w:val="nil"/>
              <w:left w:val="nil"/>
              <w:bottom w:val="nil"/>
              <w:right w:val="nil"/>
            </w:tcBorders>
            <w:shd w:val="clear" w:color="auto" w:fill="auto"/>
            <w:vAlign w:val="center"/>
          </w:tcPr>
          <w:p w14:paraId="3E644688"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(27.4, 31.8)</w:t>
            </w:r>
          </w:p>
        </w:tc>
      </w:tr>
      <w:tr w:rsidR="009118DA" w:rsidRPr="008A7800" w14:paraId="3D5F1D74"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229BAFD6" w14:textId="77777777" w:rsidR="00B53E24" w:rsidRPr="008A7800" w:rsidRDefault="00B53E24" w:rsidP="00B53E24">
            <w:pPr>
              <w:spacing w:before="20" w:after="20"/>
              <w:rPr>
                <w:rFonts w:eastAsiaTheme="minorEastAsia"/>
                <w:b w:val="0"/>
                <w:sz w:val="18"/>
                <w:szCs w:val="18"/>
                <w:lang w:eastAsia="en-US"/>
              </w:rPr>
            </w:pPr>
            <w:r w:rsidRPr="008A7800">
              <w:rPr>
                <w:rFonts w:eastAsiaTheme="minorEastAsia"/>
                <w:b w:val="0"/>
                <w:sz w:val="18"/>
                <w:szCs w:val="18"/>
                <w:lang w:eastAsia="en-US"/>
              </w:rPr>
              <w:t>Housie or bingo</w:t>
            </w:r>
          </w:p>
        </w:tc>
        <w:tc>
          <w:tcPr>
            <w:tcW w:w="666" w:type="dxa"/>
            <w:tcBorders>
              <w:top w:val="nil"/>
              <w:left w:val="nil"/>
              <w:bottom w:val="nil"/>
              <w:right w:val="nil"/>
            </w:tcBorders>
            <w:shd w:val="clear" w:color="auto" w:fill="auto"/>
            <w:noWrap/>
            <w:vAlign w:val="center"/>
          </w:tcPr>
          <w:p w14:paraId="49B57956"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104</w:t>
            </w:r>
          </w:p>
        </w:tc>
        <w:tc>
          <w:tcPr>
            <w:tcW w:w="567" w:type="dxa"/>
            <w:tcBorders>
              <w:top w:val="nil"/>
              <w:left w:val="nil"/>
              <w:bottom w:val="nil"/>
              <w:right w:val="nil"/>
            </w:tcBorders>
            <w:shd w:val="clear" w:color="auto" w:fill="auto"/>
            <w:noWrap/>
            <w:vAlign w:val="center"/>
          </w:tcPr>
          <w:p w14:paraId="51FCB4DA"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w:t>
            </w:r>
          </w:p>
        </w:tc>
        <w:tc>
          <w:tcPr>
            <w:tcW w:w="1146" w:type="dxa"/>
            <w:tcBorders>
              <w:top w:val="nil"/>
              <w:left w:val="nil"/>
              <w:bottom w:val="nil"/>
              <w:right w:val="single" w:sz="4" w:space="0" w:color="auto"/>
            </w:tcBorders>
            <w:shd w:val="clear" w:color="auto" w:fill="auto"/>
            <w:noWrap/>
            <w:vAlign w:val="center"/>
          </w:tcPr>
          <w:p w14:paraId="66B2FC83"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(1.3, 2.0)</w:t>
            </w:r>
          </w:p>
        </w:tc>
        <w:tc>
          <w:tcPr>
            <w:tcW w:w="666" w:type="dxa"/>
            <w:tcBorders>
              <w:top w:val="nil"/>
              <w:left w:val="single" w:sz="4" w:space="0" w:color="auto"/>
              <w:bottom w:val="nil"/>
              <w:right w:val="nil"/>
            </w:tcBorders>
            <w:shd w:val="clear" w:color="auto" w:fill="auto"/>
            <w:noWrap/>
            <w:vAlign w:val="center"/>
          </w:tcPr>
          <w:p w14:paraId="7B8E2E50"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49</w:t>
            </w:r>
          </w:p>
        </w:tc>
        <w:tc>
          <w:tcPr>
            <w:tcW w:w="567" w:type="dxa"/>
            <w:tcBorders>
              <w:top w:val="nil"/>
              <w:left w:val="nil"/>
              <w:bottom w:val="nil"/>
              <w:right w:val="nil"/>
            </w:tcBorders>
            <w:shd w:val="clear" w:color="auto" w:fill="auto"/>
            <w:noWrap/>
            <w:vAlign w:val="center"/>
          </w:tcPr>
          <w:p w14:paraId="1893B584"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1.3</w:t>
            </w:r>
          </w:p>
        </w:tc>
        <w:tc>
          <w:tcPr>
            <w:tcW w:w="1146" w:type="dxa"/>
            <w:tcBorders>
              <w:top w:val="nil"/>
              <w:left w:val="nil"/>
              <w:bottom w:val="nil"/>
              <w:right w:val="single" w:sz="4" w:space="0" w:color="000000"/>
            </w:tcBorders>
            <w:shd w:val="clear" w:color="auto" w:fill="auto"/>
            <w:noWrap/>
            <w:vAlign w:val="center"/>
          </w:tcPr>
          <w:p w14:paraId="75A74591"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(1.0, 1.7)</w:t>
            </w:r>
          </w:p>
        </w:tc>
        <w:tc>
          <w:tcPr>
            <w:tcW w:w="666" w:type="dxa"/>
            <w:tcBorders>
              <w:top w:val="nil"/>
              <w:left w:val="single" w:sz="4" w:space="0" w:color="000000"/>
              <w:bottom w:val="nil"/>
              <w:right w:val="nil"/>
            </w:tcBorders>
            <w:shd w:val="clear" w:color="auto" w:fill="auto"/>
            <w:vAlign w:val="center"/>
          </w:tcPr>
          <w:p w14:paraId="2D24C9DB"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37</w:t>
            </w:r>
          </w:p>
        </w:tc>
        <w:tc>
          <w:tcPr>
            <w:tcW w:w="567" w:type="dxa"/>
            <w:tcBorders>
              <w:top w:val="nil"/>
              <w:left w:val="nil"/>
              <w:bottom w:val="nil"/>
              <w:right w:val="nil"/>
            </w:tcBorders>
            <w:shd w:val="clear" w:color="auto" w:fill="auto"/>
            <w:vAlign w:val="center"/>
          </w:tcPr>
          <w:p w14:paraId="7760ABE6"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w:t>
            </w:r>
          </w:p>
        </w:tc>
        <w:tc>
          <w:tcPr>
            <w:tcW w:w="1146" w:type="dxa"/>
            <w:tcBorders>
              <w:top w:val="nil"/>
              <w:left w:val="nil"/>
              <w:bottom w:val="nil"/>
              <w:right w:val="single" w:sz="4" w:space="0" w:color="000000"/>
            </w:tcBorders>
            <w:shd w:val="clear" w:color="auto" w:fill="auto"/>
            <w:vAlign w:val="center"/>
          </w:tcPr>
          <w:p w14:paraId="52AF927C"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(0.8, 1.6)</w:t>
            </w:r>
          </w:p>
        </w:tc>
        <w:tc>
          <w:tcPr>
            <w:tcW w:w="616" w:type="dxa"/>
            <w:tcBorders>
              <w:top w:val="nil"/>
              <w:left w:val="single" w:sz="4" w:space="0" w:color="000000"/>
              <w:bottom w:val="nil"/>
              <w:right w:val="nil"/>
            </w:tcBorders>
            <w:shd w:val="clear" w:color="auto" w:fill="auto"/>
            <w:vAlign w:val="center"/>
          </w:tcPr>
          <w:p w14:paraId="349389AC"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36</w:t>
            </w:r>
          </w:p>
        </w:tc>
        <w:tc>
          <w:tcPr>
            <w:tcW w:w="576" w:type="dxa"/>
            <w:tcBorders>
              <w:top w:val="nil"/>
              <w:left w:val="nil"/>
              <w:bottom w:val="nil"/>
              <w:right w:val="nil"/>
            </w:tcBorders>
            <w:shd w:val="clear" w:color="auto" w:fill="auto"/>
            <w:vAlign w:val="center"/>
          </w:tcPr>
          <w:p w14:paraId="1B15512C"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w:t>
            </w:r>
          </w:p>
        </w:tc>
        <w:tc>
          <w:tcPr>
            <w:tcW w:w="1146" w:type="dxa"/>
            <w:tcBorders>
              <w:top w:val="nil"/>
              <w:left w:val="nil"/>
              <w:bottom w:val="nil"/>
              <w:right w:val="nil"/>
            </w:tcBorders>
            <w:shd w:val="clear" w:color="auto" w:fill="auto"/>
            <w:vAlign w:val="center"/>
          </w:tcPr>
          <w:p w14:paraId="1BD7B59E"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(0.9, 1.7)</w:t>
            </w:r>
          </w:p>
        </w:tc>
      </w:tr>
      <w:tr w:rsidR="009118DA" w:rsidRPr="008A7800" w14:paraId="25BBF99E"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04F9C7AE" w14:textId="77777777" w:rsidR="00B53E24" w:rsidRPr="008A7800" w:rsidRDefault="00B53E24" w:rsidP="00B53E24">
            <w:pPr>
              <w:spacing w:before="20" w:after="20"/>
              <w:rPr>
                <w:rFonts w:eastAsiaTheme="minorEastAsia"/>
                <w:b w:val="0"/>
                <w:sz w:val="18"/>
                <w:szCs w:val="18"/>
                <w:lang w:eastAsia="en-US"/>
              </w:rPr>
            </w:pPr>
            <w:r w:rsidRPr="008A7800">
              <w:rPr>
                <w:rFonts w:eastAsiaTheme="minorEastAsia"/>
                <w:b w:val="0"/>
                <w:sz w:val="18"/>
                <w:szCs w:val="18"/>
                <w:lang w:eastAsia="en-US"/>
              </w:rPr>
              <w:t>Horse/dog race betting</w:t>
            </w:r>
          </w:p>
        </w:tc>
        <w:tc>
          <w:tcPr>
            <w:tcW w:w="666" w:type="dxa"/>
            <w:tcBorders>
              <w:top w:val="nil"/>
              <w:left w:val="nil"/>
              <w:bottom w:val="nil"/>
              <w:right w:val="nil"/>
            </w:tcBorders>
            <w:shd w:val="clear" w:color="auto" w:fill="auto"/>
            <w:noWrap/>
            <w:vAlign w:val="center"/>
          </w:tcPr>
          <w:p w14:paraId="7D6E1E32"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732</w:t>
            </w:r>
          </w:p>
        </w:tc>
        <w:tc>
          <w:tcPr>
            <w:tcW w:w="567" w:type="dxa"/>
            <w:tcBorders>
              <w:top w:val="nil"/>
              <w:left w:val="nil"/>
              <w:bottom w:val="nil"/>
              <w:right w:val="nil"/>
            </w:tcBorders>
            <w:shd w:val="clear" w:color="auto" w:fill="auto"/>
            <w:noWrap/>
            <w:vAlign w:val="center"/>
          </w:tcPr>
          <w:p w14:paraId="04896904"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11.7</w:t>
            </w:r>
          </w:p>
        </w:tc>
        <w:tc>
          <w:tcPr>
            <w:tcW w:w="1146" w:type="dxa"/>
            <w:tcBorders>
              <w:top w:val="nil"/>
              <w:left w:val="nil"/>
              <w:bottom w:val="nil"/>
              <w:right w:val="single" w:sz="4" w:space="0" w:color="auto"/>
            </w:tcBorders>
            <w:shd w:val="clear" w:color="auto" w:fill="auto"/>
            <w:noWrap/>
            <w:vAlign w:val="center"/>
          </w:tcPr>
          <w:p w14:paraId="268E73E1"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(10.7, 12.7)</w:t>
            </w:r>
          </w:p>
        </w:tc>
        <w:tc>
          <w:tcPr>
            <w:tcW w:w="666" w:type="dxa"/>
            <w:tcBorders>
              <w:top w:val="nil"/>
              <w:left w:val="single" w:sz="4" w:space="0" w:color="auto"/>
              <w:bottom w:val="nil"/>
              <w:right w:val="nil"/>
            </w:tcBorders>
            <w:shd w:val="clear" w:color="auto" w:fill="auto"/>
            <w:noWrap/>
            <w:vAlign w:val="center"/>
          </w:tcPr>
          <w:p w14:paraId="420045C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394</w:t>
            </w:r>
          </w:p>
        </w:tc>
        <w:tc>
          <w:tcPr>
            <w:tcW w:w="567" w:type="dxa"/>
            <w:tcBorders>
              <w:top w:val="nil"/>
              <w:left w:val="nil"/>
              <w:bottom w:val="nil"/>
              <w:right w:val="nil"/>
            </w:tcBorders>
            <w:shd w:val="clear" w:color="auto" w:fill="auto"/>
            <w:noWrap/>
            <w:vAlign w:val="center"/>
          </w:tcPr>
          <w:p w14:paraId="1F8177E7"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10.5</w:t>
            </w:r>
          </w:p>
        </w:tc>
        <w:tc>
          <w:tcPr>
            <w:tcW w:w="1146" w:type="dxa"/>
            <w:tcBorders>
              <w:top w:val="nil"/>
              <w:left w:val="nil"/>
              <w:bottom w:val="nil"/>
              <w:right w:val="single" w:sz="4" w:space="0" w:color="000000"/>
            </w:tcBorders>
            <w:shd w:val="clear" w:color="auto" w:fill="auto"/>
            <w:noWrap/>
            <w:vAlign w:val="center"/>
          </w:tcPr>
          <w:p w14:paraId="44E18A8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(9.3, 11.7)</w:t>
            </w:r>
          </w:p>
        </w:tc>
        <w:tc>
          <w:tcPr>
            <w:tcW w:w="666" w:type="dxa"/>
            <w:tcBorders>
              <w:top w:val="nil"/>
              <w:left w:val="single" w:sz="4" w:space="0" w:color="000000"/>
              <w:bottom w:val="nil"/>
              <w:right w:val="nil"/>
            </w:tcBorders>
            <w:shd w:val="clear" w:color="auto" w:fill="auto"/>
            <w:vAlign w:val="center"/>
          </w:tcPr>
          <w:p w14:paraId="1B8BF399"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294</w:t>
            </w:r>
          </w:p>
        </w:tc>
        <w:tc>
          <w:tcPr>
            <w:tcW w:w="567" w:type="dxa"/>
            <w:tcBorders>
              <w:top w:val="nil"/>
              <w:left w:val="nil"/>
              <w:bottom w:val="nil"/>
              <w:right w:val="nil"/>
            </w:tcBorders>
            <w:shd w:val="clear" w:color="auto" w:fill="auto"/>
            <w:vAlign w:val="center"/>
          </w:tcPr>
          <w:p w14:paraId="630D01E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9.4</w:t>
            </w:r>
          </w:p>
        </w:tc>
        <w:tc>
          <w:tcPr>
            <w:tcW w:w="1146" w:type="dxa"/>
            <w:tcBorders>
              <w:top w:val="nil"/>
              <w:left w:val="nil"/>
              <w:bottom w:val="nil"/>
              <w:right w:val="single" w:sz="4" w:space="0" w:color="000000"/>
            </w:tcBorders>
            <w:shd w:val="clear" w:color="auto" w:fill="auto"/>
            <w:vAlign w:val="center"/>
          </w:tcPr>
          <w:p w14:paraId="050F0C82"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(8.2, 10.6)</w:t>
            </w:r>
          </w:p>
        </w:tc>
        <w:tc>
          <w:tcPr>
            <w:tcW w:w="616" w:type="dxa"/>
            <w:tcBorders>
              <w:top w:val="nil"/>
              <w:left w:val="single" w:sz="4" w:space="0" w:color="000000"/>
              <w:bottom w:val="nil"/>
              <w:right w:val="nil"/>
            </w:tcBorders>
            <w:shd w:val="clear" w:color="auto" w:fill="auto"/>
            <w:vAlign w:val="center"/>
          </w:tcPr>
          <w:p w14:paraId="2D5F87EE"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255</w:t>
            </w:r>
          </w:p>
        </w:tc>
        <w:tc>
          <w:tcPr>
            <w:tcW w:w="576" w:type="dxa"/>
            <w:tcBorders>
              <w:top w:val="nil"/>
              <w:left w:val="nil"/>
              <w:bottom w:val="nil"/>
              <w:right w:val="nil"/>
            </w:tcBorders>
            <w:shd w:val="clear" w:color="auto" w:fill="auto"/>
            <w:vAlign w:val="center"/>
          </w:tcPr>
          <w:p w14:paraId="44EE91D9"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9.2</w:t>
            </w:r>
          </w:p>
        </w:tc>
        <w:tc>
          <w:tcPr>
            <w:tcW w:w="1146" w:type="dxa"/>
            <w:tcBorders>
              <w:top w:val="nil"/>
              <w:left w:val="nil"/>
              <w:bottom w:val="nil"/>
              <w:right w:val="nil"/>
            </w:tcBorders>
            <w:shd w:val="clear" w:color="auto" w:fill="auto"/>
            <w:vAlign w:val="center"/>
          </w:tcPr>
          <w:p w14:paraId="0F5E0A40"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(7.9, 10.5)</w:t>
            </w:r>
          </w:p>
        </w:tc>
      </w:tr>
      <w:tr w:rsidR="009118DA" w:rsidRPr="008A7800" w14:paraId="30CA3DAF"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3763D700" w14:textId="77777777" w:rsidR="00B53E24" w:rsidRPr="008A7800" w:rsidRDefault="00B53E24" w:rsidP="00B53E24">
            <w:pPr>
              <w:spacing w:before="20" w:after="20"/>
              <w:rPr>
                <w:rFonts w:eastAsiaTheme="minorEastAsia"/>
                <w:b w:val="0"/>
                <w:sz w:val="18"/>
                <w:szCs w:val="18"/>
                <w:lang w:eastAsia="en-US"/>
              </w:rPr>
            </w:pPr>
            <w:r w:rsidRPr="008A7800">
              <w:rPr>
                <w:rFonts w:eastAsiaTheme="minorEastAsia"/>
                <w:b w:val="0"/>
                <w:sz w:val="18"/>
                <w:szCs w:val="18"/>
                <w:lang w:eastAsia="en-US"/>
              </w:rPr>
              <w:t>Sports betting</w:t>
            </w:r>
          </w:p>
        </w:tc>
        <w:tc>
          <w:tcPr>
            <w:tcW w:w="666" w:type="dxa"/>
            <w:tcBorders>
              <w:top w:val="nil"/>
              <w:left w:val="nil"/>
              <w:bottom w:val="nil"/>
              <w:right w:val="nil"/>
            </w:tcBorders>
            <w:shd w:val="clear" w:color="auto" w:fill="auto"/>
            <w:noWrap/>
            <w:vAlign w:val="center"/>
          </w:tcPr>
          <w:p w14:paraId="0C3BE21C"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287</w:t>
            </w:r>
          </w:p>
        </w:tc>
        <w:tc>
          <w:tcPr>
            <w:tcW w:w="567" w:type="dxa"/>
            <w:tcBorders>
              <w:top w:val="nil"/>
              <w:left w:val="nil"/>
              <w:bottom w:val="nil"/>
              <w:right w:val="nil"/>
            </w:tcBorders>
            <w:shd w:val="clear" w:color="auto" w:fill="auto"/>
            <w:noWrap/>
            <w:vAlign w:val="center"/>
          </w:tcPr>
          <w:p w14:paraId="705E0E1B"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4.6</w:t>
            </w:r>
          </w:p>
        </w:tc>
        <w:tc>
          <w:tcPr>
            <w:tcW w:w="1146" w:type="dxa"/>
            <w:tcBorders>
              <w:top w:val="nil"/>
              <w:left w:val="nil"/>
              <w:bottom w:val="nil"/>
              <w:right w:val="single" w:sz="4" w:space="0" w:color="auto"/>
            </w:tcBorders>
            <w:shd w:val="clear" w:color="auto" w:fill="auto"/>
            <w:noWrap/>
            <w:vAlign w:val="center"/>
          </w:tcPr>
          <w:p w14:paraId="63501C04"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(3.9, 5.3)</w:t>
            </w:r>
          </w:p>
        </w:tc>
        <w:tc>
          <w:tcPr>
            <w:tcW w:w="666" w:type="dxa"/>
            <w:tcBorders>
              <w:top w:val="nil"/>
              <w:left w:val="single" w:sz="4" w:space="0" w:color="auto"/>
              <w:bottom w:val="nil"/>
              <w:right w:val="nil"/>
            </w:tcBorders>
            <w:shd w:val="clear" w:color="auto" w:fill="auto"/>
            <w:noWrap/>
            <w:vAlign w:val="center"/>
          </w:tcPr>
          <w:p w14:paraId="134FA930"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103</w:t>
            </w:r>
          </w:p>
        </w:tc>
        <w:tc>
          <w:tcPr>
            <w:tcW w:w="567" w:type="dxa"/>
            <w:tcBorders>
              <w:top w:val="nil"/>
              <w:left w:val="nil"/>
              <w:bottom w:val="nil"/>
              <w:right w:val="nil"/>
            </w:tcBorders>
            <w:shd w:val="clear" w:color="auto" w:fill="auto"/>
            <w:noWrap/>
            <w:vAlign w:val="center"/>
          </w:tcPr>
          <w:p w14:paraId="721A40D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2.7</w:t>
            </w:r>
          </w:p>
        </w:tc>
        <w:tc>
          <w:tcPr>
            <w:tcW w:w="1146" w:type="dxa"/>
            <w:tcBorders>
              <w:top w:val="nil"/>
              <w:left w:val="nil"/>
              <w:bottom w:val="nil"/>
              <w:right w:val="single" w:sz="4" w:space="0" w:color="000000"/>
            </w:tcBorders>
            <w:shd w:val="clear" w:color="auto" w:fill="auto"/>
            <w:noWrap/>
            <w:vAlign w:val="center"/>
          </w:tcPr>
          <w:p w14:paraId="74369753"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(2.1, 3.4)</w:t>
            </w:r>
          </w:p>
        </w:tc>
        <w:tc>
          <w:tcPr>
            <w:tcW w:w="666" w:type="dxa"/>
            <w:tcBorders>
              <w:top w:val="nil"/>
              <w:left w:val="single" w:sz="4" w:space="0" w:color="000000"/>
              <w:bottom w:val="nil"/>
              <w:right w:val="nil"/>
            </w:tcBorders>
            <w:shd w:val="clear" w:color="auto" w:fill="auto"/>
            <w:vAlign w:val="center"/>
          </w:tcPr>
          <w:p w14:paraId="6D584AE7"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91</w:t>
            </w:r>
          </w:p>
        </w:tc>
        <w:tc>
          <w:tcPr>
            <w:tcW w:w="567" w:type="dxa"/>
            <w:tcBorders>
              <w:top w:val="nil"/>
              <w:left w:val="nil"/>
              <w:bottom w:val="nil"/>
              <w:right w:val="nil"/>
            </w:tcBorders>
            <w:shd w:val="clear" w:color="auto" w:fill="auto"/>
            <w:vAlign w:val="center"/>
          </w:tcPr>
          <w:p w14:paraId="6F3E7494"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2.9</w:t>
            </w:r>
          </w:p>
        </w:tc>
        <w:tc>
          <w:tcPr>
            <w:tcW w:w="1146" w:type="dxa"/>
            <w:tcBorders>
              <w:top w:val="nil"/>
              <w:left w:val="nil"/>
              <w:bottom w:val="nil"/>
              <w:right w:val="single" w:sz="4" w:space="0" w:color="000000"/>
            </w:tcBorders>
            <w:shd w:val="clear" w:color="auto" w:fill="auto"/>
            <w:vAlign w:val="center"/>
          </w:tcPr>
          <w:p w14:paraId="4A0B4AED"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(2.2, 3.7)</w:t>
            </w:r>
          </w:p>
        </w:tc>
        <w:tc>
          <w:tcPr>
            <w:tcW w:w="616" w:type="dxa"/>
            <w:tcBorders>
              <w:top w:val="nil"/>
              <w:left w:val="single" w:sz="4" w:space="0" w:color="000000"/>
              <w:bottom w:val="nil"/>
              <w:right w:val="nil"/>
            </w:tcBorders>
            <w:shd w:val="clear" w:color="auto" w:fill="auto"/>
            <w:vAlign w:val="center"/>
          </w:tcPr>
          <w:p w14:paraId="2E463500"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85</w:t>
            </w:r>
          </w:p>
        </w:tc>
        <w:tc>
          <w:tcPr>
            <w:tcW w:w="576" w:type="dxa"/>
            <w:tcBorders>
              <w:top w:val="nil"/>
              <w:left w:val="nil"/>
              <w:bottom w:val="nil"/>
              <w:right w:val="nil"/>
            </w:tcBorders>
            <w:shd w:val="clear" w:color="auto" w:fill="auto"/>
            <w:vAlign w:val="center"/>
          </w:tcPr>
          <w:p w14:paraId="566BFEBD"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3.1</w:t>
            </w:r>
          </w:p>
        </w:tc>
        <w:tc>
          <w:tcPr>
            <w:tcW w:w="1146" w:type="dxa"/>
            <w:tcBorders>
              <w:top w:val="nil"/>
              <w:left w:val="nil"/>
              <w:bottom w:val="nil"/>
              <w:right w:val="nil"/>
            </w:tcBorders>
            <w:shd w:val="clear" w:color="auto" w:fill="auto"/>
            <w:vAlign w:val="center"/>
          </w:tcPr>
          <w:p w14:paraId="08188C47"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(2.3, 3.9)</w:t>
            </w:r>
          </w:p>
        </w:tc>
      </w:tr>
      <w:tr w:rsidR="009118DA" w:rsidRPr="008A7800" w14:paraId="5264E055"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59AD3DC3" w14:textId="77777777" w:rsidR="00B53E24" w:rsidRPr="008A7800" w:rsidRDefault="00B53E24" w:rsidP="00B53E24">
            <w:pPr>
              <w:spacing w:before="20" w:after="20"/>
              <w:rPr>
                <w:rFonts w:eastAsiaTheme="minorEastAsia"/>
                <w:b w:val="0"/>
                <w:sz w:val="18"/>
                <w:szCs w:val="18"/>
                <w:lang w:eastAsia="en-US"/>
              </w:rPr>
            </w:pPr>
            <w:r w:rsidRPr="008A7800">
              <w:rPr>
                <w:rFonts w:eastAsiaTheme="minorEastAsia"/>
                <w:b w:val="0"/>
                <w:sz w:val="18"/>
                <w:szCs w:val="18"/>
                <w:lang w:eastAsia="en-US"/>
              </w:rPr>
              <w:t>Casino table games or EGMS (overseas)</w:t>
            </w:r>
          </w:p>
        </w:tc>
        <w:tc>
          <w:tcPr>
            <w:tcW w:w="666" w:type="dxa"/>
            <w:tcBorders>
              <w:top w:val="nil"/>
              <w:left w:val="nil"/>
              <w:bottom w:val="nil"/>
              <w:right w:val="nil"/>
            </w:tcBorders>
            <w:shd w:val="clear" w:color="auto" w:fill="auto"/>
            <w:noWrap/>
            <w:vAlign w:val="center"/>
          </w:tcPr>
          <w:p w14:paraId="66273DDA"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228</w:t>
            </w:r>
          </w:p>
        </w:tc>
        <w:tc>
          <w:tcPr>
            <w:tcW w:w="567" w:type="dxa"/>
            <w:tcBorders>
              <w:top w:val="nil"/>
              <w:left w:val="nil"/>
              <w:bottom w:val="nil"/>
              <w:right w:val="nil"/>
            </w:tcBorders>
            <w:shd w:val="clear" w:color="auto" w:fill="auto"/>
            <w:noWrap/>
            <w:vAlign w:val="center"/>
          </w:tcPr>
          <w:p w14:paraId="0A7CB023"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3.6</w:t>
            </w:r>
          </w:p>
        </w:tc>
        <w:tc>
          <w:tcPr>
            <w:tcW w:w="1146" w:type="dxa"/>
            <w:tcBorders>
              <w:top w:val="nil"/>
              <w:left w:val="nil"/>
              <w:bottom w:val="nil"/>
              <w:right w:val="single" w:sz="4" w:space="0" w:color="auto"/>
            </w:tcBorders>
            <w:shd w:val="clear" w:color="auto" w:fill="auto"/>
            <w:noWrap/>
            <w:vAlign w:val="center"/>
          </w:tcPr>
          <w:p w14:paraId="6C7DDD51"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(3.1, 4.2)</w:t>
            </w:r>
          </w:p>
        </w:tc>
        <w:tc>
          <w:tcPr>
            <w:tcW w:w="666" w:type="dxa"/>
            <w:tcBorders>
              <w:top w:val="nil"/>
              <w:left w:val="single" w:sz="4" w:space="0" w:color="auto"/>
              <w:bottom w:val="nil"/>
              <w:right w:val="nil"/>
            </w:tcBorders>
            <w:shd w:val="clear" w:color="auto" w:fill="auto"/>
            <w:noWrap/>
            <w:vAlign w:val="center"/>
          </w:tcPr>
          <w:p w14:paraId="33A06BE1"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94</w:t>
            </w:r>
          </w:p>
        </w:tc>
        <w:tc>
          <w:tcPr>
            <w:tcW w:w="567" w:type="dxa"/>
            <w:tcBorders>
              <w:top w:val="nil"/>
              <w:left w:val="nil"/>
              <w:bottom w:val="nil"/>
              <w:right w:val="nil"/>
            </w:tcBorders>
            <w:shd w:val="clear" w:color="auto" w:fill="auto"/>
            <w:noWrap/>
            <w:vAlign w:val="center"/>
          </w:tcPr>
          <w:p w14:paraId="2C576F8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2.5</w:t>
            </w:r>
          </w:p>
        </w:tc>
        <w:tc>
          <w:tcPr>
            <w:tcW w:w="1146" w:type="dxa"/>
            <w:tcBorders>
              <w:top w:val="nil"/>
              <w:left w:val="nil"/>
              <w:bottom w:val="nil"/>
              <w:right w:val="single" w:sz="4" w:space="0" w:color="000000"/>
            </w:tcBorders>
            <w:shd w:val="clear" w:color="auto" w:fill="auto"/>
            <w:noWrap/>
            <w:vAlign w:val="center"/>
          </w:tcPr>
          <w:p w14:paraId="315E7140"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(1.9, 3.1)</w:t>
            </w:r>
          </w:p>
        </w:tc>
        <w:tc>
          <w:tcPr>
            <w:tcW w:w="666" w:type="dxa"/>
            <w:tcBorders>
              <w:top w:val="nil"/>
              <w:left w:val="single" w:sz="4" w:space="0" w:color="000000"/>
              <w:bottom w:val="nil"/>
              <w:right w:val="nil"/>
            </w:tcBorders>
            <w:shd w:val="clear" w:color="auto" w:fill="auto"/>
            <w:vAlign w:val="center"/>
          </w:tcPr>
          <w:p w14:paraId="0F2B6A9C"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83</w:t>
            </w:r>
          </w:p>
        </w:tc>
        <w:tc>
          <w:tcPr>
            <w:tcW w:w="567" w:type="dxa"/>
            <w:tcBorders>
              <w:top w:val="nil"/>
              <w:left w:val="nil"/>
              <w:bottom w:val="nil"/>
              <w:right w:val="nil"/>
            </w:tcBorders>
            <w:shd w:val="clear" w:color="auto" w:fill="auto"/>
            <w:vAlign w:val="center"/>
          </w:tcPr>
          <w:p w14:paraId="0FA5ABA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2.7</w:t>
            </w:r>
          </w:p>
        </w:tc>
        <w:tc>
          <w:tcPr>
            <w:tcW w:w="1146" w:type="dxa"/>
            <w:tcBorders>
              <w:top w:val="nil"/>
              <w:left w:val="nil"/>
              <w:bottom w:val="nil"/>
              <w:right w:val="single" w:sz="4" w:space="0" w:color="000000"/>
            </w:tcBorders>
            <w:shd w:val="clear" w:color="auto" w:fill="auto"/>
            <w:vAlign w:val="center"/>
          </w:tcPr>
          <w:p w14:paraId="61B6FC5C"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(1.9, 3.4)</w:t>
            </w:r>
          </w:p>
        </w:tc>
        <w:tc>
          <w:tcPr>
            <w:tcW w:w="616" w:type="dxa"/>
            <w:tcBorders>
              <w:top w:val="nil"/>
              <w:left w:val="single" w:sz="4" w:space="0" w:color="000000"/>
              <w:bottom w:val="nil"/>
              <w:right w:val="nil"/>
            </w:tcBorders>
            <w:shd w:val="clear" w:color="auto" w:fill="auto"/>
            <w:vAlign w:val="center"/>
          </w:tcPr>
          <w:p w14:paraId="43FC3555"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60</w:t>
            </w:r>
          </w:p>
        </w:tc>
        <w:tc>
          <w:tcPr>
            <w:tcW w:w="576" w:type="dxa"/>
            <w:tcBorders>
              <w:top w:val="nil"/>
              <w:left w:val="nil"/>
              <w:bottom w:val="nil"/>
              <w:right w:val="nil"/>
            </w:tcBorders>
            <w:shd w:val="clear" w:color="auto" w:fill="auto"/>
            <w:vAlign w:val="center"/>
          </w:tcPr>
          <w:p w14:paraId="3D96C489"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2.2</w:t>
            </w:r>
          </w:p>
        </w:tc>
        <w:tc>
          <w:tcPr>
            <w:tcW w:w="1146" w:type="dxa"/>
            <w:tcBorders>
              <w:top w:val="nil"/>
              <w:left w:val="nil"/>
              <w:bottom w:val="nil"/>
              <w:right w:val="nil"/>
            </w:tcBorders>
            <w:shd w:val="clear" w:color="auto" w:fill="auto"/>
            <w:vAlign w:val="center"/>
          </w:tcPr>
          <w:p w14:paraId="5BFEA09F"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(1.5, 2.9)</w:t>
            </w:r>
          </w:p>
        </w:tc>
      </w:tr>
      <w:tr w:rsidR="009118DA" w:rsidRPr="008A7800" w14:paraId="02625A94"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02FEFE4A" w14:textId="77777777" w:rsidR="00B53E24" w:rsidRPr="008A7800" w:rsidRDefault="00B53E24" w:rsidP="00B53E24">
            <w:pPr>
              <w:spacing w:before="20" w:after="20"/>
              <w:rPr>
                <w:rFonts w:eastAsiaTheme="minorEastAsia"/>
                <w:b w:val="0"/>
                <w:sz w:val="18"/>
                <w:szCs w:val="18"/>
                <w:lang w:eastAsia="en-US"/>
              </w:rPr>
            </w:pPr>
            <w:r w:rsidRPr="008A7800">
              <w:rPr>
                <w:rFonts w:eastAsiaTheme="minorEastAsia"/>
                <w:b w:val="0"/>
                <w:sz w:val="18"/>
                <w:szCs w:val="18"/>
                <w:lang w:eastAsia="en-US"/>
              </w:rPr>
              <w:t>Casino table games or EGMS (NZ)</w:t>
            </w:r>
          </w:p>
        </w:tc>
        <w:tc>
          <w:tcPr>
            <w:tcW w:w="666" w:type="dxa"/>
            <w:tcBorders>
              <w:top w:val="nil"/>
              <w:left w:val="nil"/>
              <w:bottom w:val="nil"/>
              <w:right w:val="nil"/>
            </w:tcBorders>
            <w:shd w:val="clear" w:color="auto" w:fill="auto"/>
            <w:noWrap/>
            <w:vAlign w:val="center"/>
          </w:tcPr>
          <w:p w14:paraId="0B6E157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590</w:t>
            </w:r>
          </w:p>
        </w:tc>
        <w:tc>
          <w:tcPr>
            <w:tcW w:w="567" w:type="dxa"/>
            <w:tcBorders>
              <w:top w:val="nil"/>
              <w:left w:val="nil"/>
              <w:bottom w:val="nil"/>
              <w:right w:val="nil"/>
            </w:tcBorders>
            <w:shd w:val="clear" w:color="auto" w:fill="auto"/>
            <w:noWrap/>
            <w:vAlign w:val="center"/>
          </w:tcPr>
          <w:p w14:paraId="1939E24E"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9.4</w:t>
            </w:r>
          </w:p>
        </w:tc>
        <w:tc>
          <w:tcPr>
            <w:tcW w:w="1146" w:type="dxa"/>
            <w:tcBorders>
              <w:top w:val="nil"/>
              <w:left w:val="nil"/>
              <w:bottom w:val="nil"/>
              <w:right w:val="single" w:sz="4" w:space="0" w:color="auto"/>
            </w:tcBorders>
            <w:shd w:val="clear" w:color="auto" w:fill="auto"/>
            <w:noWrap/>
            <w:vAlign w:val="center"/>
          </w:tcPr>
          <w:p w14:paraId="5CAB88AA"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(8.5, 10.4)</w:t>
            </w:r>
          </w:p>
        </w:tc>
        <w:tc>
          <w:tcPr>
            <w:tcW w:w="666" w:type="dxa"/>
            <w:tcBorders>
              <w:top w:val="nil"/>
              <w:left w:val="single" w:sz="4" w:space="0" w:color="auto"/>
              <w:bottom w:val="nil"/>
              <w:right w:val="nil"/>
            </w:tcBorders>
            <w:shd w:val="clear" w:color="auto" w:fill="auto"/>
            <w:noWrap/>
            <w:vAlign w:val="center"/>
          </w:tcPr>
          <w:p w14:paraId="3BA6D782"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270</w:t>
            </w:r>
          </w:p>
        </w:tc>
        <w:tc>
          <w:tcPr>
            <w:tcW w:w="567" w:type="dxa"/>
            <w:tcBorders>
              <w:top w:val="nil"/>
              <w:left w:val="nil"/>
              <w:bottom w:val="nil"/>
              <w:right w:val="nil"/>
            </w:tcBorders>
            <w:shd w:val="clear" w:color="auto" w:fill="auto"/>
            <w:noWrap/>
            <w:vAlign w:val="center"/>
          </w:tcPr>
          <w:p w14:paraId="0AA66E0C"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7.2</w:t>
            </w:r>
          </w:p>
        </w:tc>
        <w:tc>
          <w:tcPr>
            <w:tcW w:w="1146" w:type="dxa"/>
            <w:tcBorders>
              <w:top w:val="nil"/>
              <w:left w:val="nil"/>
              <w:bottom w:val="nil"/>
              <w:right w:val="single" w:sz="4" w:space="0" w:color="000000"/>
            </w:tcBorders>
            <w:shd w:val="clear" w:color="auto" w:fill="auto"/>
            <w:noWrap/>
            <w:vAlign w:val="center"/>
          </w:tcPr>
          <w:p w14:paraId="2DD87157"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(6.1, 8.3)</w:t>
            </w:r>
          </w:p>
        </w:tc>
        <w:tc>
          <w:tcPr>
            <w:tcW w:w="666" w:type="dxa"/>
            <w:tcBorders>
              <w:top w:val="nil"/>
              <w:left w:val="single" w:sz="4" w:space="0" w:color="000000"/>
              <w:bottom w:val="nil"/>
              <w:right w:val="nil"/>
            </w:tcBorders>
            <w:shd w:val="clear" w:color="auto" w:fill="auto"/>
            <w:vAlign w:val="center"/>
          </w:tcPr>
          <w:p w14:paraId="6380EC2C"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227</w:t>
            </w:r>
          </w:p>
        </w:tc>
        <w:tc>
          <w:tcPr>
            <w:tcW w:w="567" w:type="dxa"/>
            <w:tcBorders>
              <w:top w:val="nil"/>
              <w:left w:val="nil"/>
              <w:bottom w:val="nil"/>
              <w:right w:val="nil"/>
            </w:tcBorders>
            <w:shd w:val="clear" w:color="auto" w:fill="auto"/>
            <w:vAlign w:val="center"/>
          </w:tcPr>
          <w:p w14:paraId="63F13E7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7.3</w:t>
            </w:r>
          </w:p>
        </w:tc>
        <w:tc>
          <w:tcPr>
            <w:tcW w:w="1146" w:type="dxa"/>
            <w:tcBorders>
              <w:top w:val="nil"/>
              <w:left w:val="nil"/>
              <w:bottom w:val="nil"/>
              <w:right w:val="single" w:sz="4" w:space="0" w:color="000000"/>
            </w:tcBorders>
            <w:shd w:val="clear" w:color="auto" w:fill="auto"/>
            <w:vAlign w:val="center"/>
          </w:tcPr>
          <w:p w14:paraId="38F5EC9D"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(6.1, 8.5)</w:t>
            </w:r>
          </w:p>
        </w:tc>
        <w:tc>
          <w:tcPr>
            <w:tcW w:w="616" w:type="dxa"/>
            <w:tcBorders>
              <w:top w:val="nil"/>
              <w:left w:val="single" w:sz="4" w:space="0" w:color="000000"/>
              <w:bottom w:val="nil"/>
              <w:right w:val="nil"/>
            </w:tcBorders>
            <w:shd w:val="clear" w:color="auto" w:fill="auto"/>
            <w:vAlign w:val="center"/>
          </w:tcPr>
          <w:p w14:paraId="4D832245"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182</w:t>
            </w:r>
          </w:p>
        </w:tc>
        <w:tc>
          <w:tcPr>
            <w:tcW w:w="576" w:type="dxa"/>
            <w:tcBorders>
              <w:top w:val="nil"/>
              <w:left w:val="nil"/>
              <w:bottom w:val="nil"/>
              <w:right w:val="nil"/>
            </w:tcBorders>
            <w:shd w:val="clear" w:color="auto" w:fill="auto"/>
            <w:vAlign w:val="center"/>
          </w:tcPr>
          <w:p w14:paraId="3AC685BC"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6.6</w:t>
            </w:r>
          </w:p>
        </w:tc>
        <w:tc>
          <w:tcPr>
            <w:tcW w:w="1146" w:type="dxa"/>
            <w:tcBorders>
              <w:top w:val="nil"/>
              <w:left w:val="nil"/>
              <w:bottom w:val="nil"/>
              <w:right w:val="nil"/>
            </w:tcBorders>
            <w:shd w:val="clear" w:color="auto" w:fill="auto"/>
            <w:vAlign w:val="center"/>
          </w:tcPr>
          <w:p w14:paraId="6D0560E0"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(5.3, 7.8)</w:t>
            </w:r>
          </w:p>
        </w:tc>
      </w:tr>
      <w:tr w:rsidR="009118DA" w:rsidRPr="008A7800" w14:paraId="5483C0D2"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12399425" w14:textId="77777777" w:rsidR="00B53E24" w:rsidRPr="008A7800" w:rsidRDefault="00B53E24" w:rsidP="00B53E24">
            <w:pPr>
              <w:spacing w:before="20" w:after="20"/>
              <w:rPr>
                <w:rFonts w:eastAsiaTheme="minorEastAsia"/>
                <w:b w:val="0"/>
                <w:sz w:val="18"/>
                <w:szCs w:val="18"/>
                <w:lang w:eastAsia="en-US"/>
              </w:rPr>
            </w:pPr>
            <w:r w:rsidRPr="008A7800">
              <w:rPr>
                <w:rFonts w:eastAsiaTheme="minorEastAsia"/>
                <w:b w:val="0"/>
                <w:sz w:val="18"/>
                <w:szCs w:val="18"/>
                <w:lang w:eastAsia="en-US"/>
              </w:rPr>
              <w:t>Casino table games (NZ)</w:t>
            </w:r>
          </w:p>
        </w:tc>
        <w:tc>
          <w:tcPr>
            <w:tcW w:w="666" w:type="dxa"/>
            <w:tcBorders>
              <w:top w:val="nil"/>
              <w:left w:val="nil"/>
              <w:bottom w:val="nil"/>
              <w:right w:val="nil"/>
            </w:tcBorders>
            <w:shd w:val="clear" w:color="auto" w:fill="auto"/>
            <w:noWrap/>
            <w:vAlign w:val="center"/>
          </w:tcPr>
          <w:p w14:paraId="45F501A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232</w:t>
            </w:r>
          </w:p>
        </w:tc>
        <w:tc>
          <w:tcPr>
            <w:tcW w:w="567" w:type="dxa"/>
            <w:tcBorders>
              <w:top w:val="nil"/>
              <w:left w:val="nil"/>
              <w:bottom w:val="nil"/>
              <w:right w:val="nil"/>
            </w:tcBorders>
            <w:shd w:val="clear" w:color="auto" w:fill="auto"/>
            <w:noWrap/>
            <w:vAlign w:val="center"/>
          </w:tcPr>
          <w:p w14:paraId="634CFC3E"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3.7</w:t>
            </w:r>
          </w:p>
        </w:tc>
        <w:tc>
          <w:tcPr>
            <w:tcW w:w="1146" w:type="dxa"/>
            <w:tcBorders>
              <w:top w:val="nil"/>
              <w:left w:val="nil"/>
              <w:bottom w:val="nil"/>
              <w:right w:val="single" w:sz="4" w:space="0" w:color="auto"/>
            </w:tcBorders>
            <w:shd w:val="clear" w:color="auto" w:fill="auto"/>
            <w:noWrap/>
            <w:vAlign w:val="center"/>
          </w:tcPr>
          <w:p w14:paraId="1B75C68B"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(3.1, 4.3)</w:t>
            </w:r>
          </w:p>
        </w:tc>
        <w:tc>
          <w:tcPr>
            <w:tcW w:w="666" w:type="dxa"/>
            <w:tcBorders>
              <w:top w:val="nil"/>
              <w:left w:val="single" w:sz="4" w:space="0" w:color="auto"/>
              <w:bottom w:val="nil"/>
              <w:right w:val="nil"/>
            </w:tcBorders>
            <w:shd w:val="clear" w:color="auto" w:fill="auto"/>
            <w:noWrap/>
            <w:vAlign w:val="center"/>
          </w:tcPr>
          <w:p w14:paraId="104E8B2E"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113</w:t>
            </w:r>
          </w:p>
        </w:tc>
        <w:tc>
          <w:tcPr>
            <w:tcW w:w="567" w:type="dxa"/>
            <w:tcBorders>
              <w:top w:val="nil"/>
              <w:left w:val="nil"/>
              <w:bottom w:val="nil"/>
              <w:right w:val="nil"/>
            </w:tcBorders>
            <w:shd w:val="clear" w:color="auto" w:fill="auto"/>
            <w:noWrap/>
            <w:vAlign w:val="center"/>
          </w:tcPr>
          <w:p w14:paraId="303E1E8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3.0</w:t>
            </w:r>
          </w:p>
        </w:tc>
        <w:tc>
          <w:tcPr>
            <w:tcW w:w="1146" w:type="dxa"/>
            <w:tcBorders>
              <w:top w:val="nil"/>
              <w:left w:val="nil"/>
              <w:bottom w:val="nil"/>
              <w:right w:val="single" w:sz="4" w:space="0" w:color="000000"/>
            </w:tcBorders>
            <w:shd w:val="clear" w:color="auto" w:fill="auto"/>
            <w:noWrap/>
            <w:vAlign w:val="center"/>
          </w:tcPr>
          <w:p w14:paraId="5A26116F"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(2.2, 3.8)</w:t>
            </w:r>
          </w:p>
        </w:tc>
        <w:tc>
          <w:tcPr>
            <w:tcW w:w="666" w:type="dxa"/>
            <w:tcBorders>
              <w:top w:val="nil"/>
              <w:left w:val="single" w:sz="4" w:space="0" w:color="000000"/>
              <w:bottom w:val="nil"/>
              <w:right w:val="nil"/>
            </w:tcBorders>
            <w:shd w:val="clear" w:color="auto" w:fill="auto"/>
            <w:vAlign w:val="center"/>
          </w:tcPr>
          <w:p w14:paraId="0177BADA"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91</w:t>
            </w:r>
          </w:p>
        </w:tc>
        <w:tc>
          <w:tcPr>
            <w:tcW w:w="567" w:type="dxa"/>
            <w:tcBorders>
              <w:top w:val="nil"/>
              <w:left w:val="nil"/>
              <w:bottom w:val="nil"/>
              <w:right w:val="nil"/>
            </w:tcBorders>
            <w:shd w:val="clear" w:color="auto" w:fill="auto"/>
            <w:vAlign w:val="center"/>
          </w:tcPr>
          <w:p w14:paraId="6947E36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2.9</w:t>
            </w:r>
          </w:p>
        </w:tc>
        <w:tc>
          <w:tcPr>
            <w:tcW w:w="1146" w:type="dxa"/>
            <w:tcBorders>
              <w:top w:val="nil"/>
              <w:left w:val="nil"/>
              <w:bottom w:val="nil"/>
              <w:right w:val="single" w:sz="4" w:space="0" w:color="000000"/>
            </w:tcBorders>
            <w:shd w:val="clear" w:color="auto" w:fill="auto"/>
            <w:vAlign w:val="center"/>
          </w:tcPr>
          <w:p w14:paraId="05EBFF0D"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(2.1, 3.8)</w:t>
            </w:r>
          </w:p>
        </w:tc>
        <w:tc>
          <w:tcPr>
            <w:tcW w:w="616" w:type="dxa"/>
            <w:tcBorders>
              <w:top w:val="nil"/>
              <w:left w:val="single" w:sz="4" w:space="0" w:color="000000"/>
              <w:bottom w:val="nil"/>
              <w:right w:val="nil"/>
            </w:tcBorders>
            <w:shd w:val="clear" w:color="auto" w:fill="auto"/>
            <w:vAlign w:val="center"/>
          </w:tcPr>
          <w:p w14:paraId="49A454BD"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68</w:t>
            </w:r>
          </w:p>
        </w:tc>
        <w:tc>
          <w:tcPr>
            <w:tcW w:w="576" w:type="dxa"/>
            <w:tcBorders>
              <w:top w:val="nil"/>
              <w:left w:val="nil"/>
              <w:bottom w:val="nil"/>
              <w:right w:val="nil"/>
            </w:tcBorders>
            <w:shd w:val="clear" w:color="auto" w:fill="auto"/>
            <w:vAlign w:val="center"/>
          </w:tcPr>
          <w:p w14:paraId="4053A749"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2.5</w:t>
            </w:r>
          </w:p>
        </w:tc>
        <w:tc>
          <w:tcPr>
            <w:tcW w:w="1146" w:type="dxa"/>
            <w:tcBorders>
              <w:top w:val="nil"/>
              <w:left w:val="nil"/>
              <w:bottom w:val="nil"/>
              <w:right w:val="nil"/>
            </w:tcBorders>
            <w:shd w:val="clear" w:color="auto" w:fill="auto"/>
            <w:vAlign w:val="center"/>
          </w:tcPr>
          <w:p w14:paraId="64456014"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(1.7, 3.2)</w:t>
            </w:r>
          </w:p>
        </w:tc>
      </w:tr>
      <w:tr w:rsidR="009118DA" w:rsidRPr="008A7800" w14:paraId="01785675"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5D892529" w14:textId="77777777" w:rsidR="00B53E24" w:rsidRPr="008A7800" w:rsidRDefault="00B53E24" w:rsidP="00B53E24">
            <w:pPr>
              <w:spacing w:before="20" w:after="20"/>
              <w:rPr>
                <w:rFonts w:eastAsiaTheme="minorEastAsia"/>
                <w:b w:val="0"/>
                <w:sz w:val="18"/>
                <w:szCs w:val="18"/>
                <w:lang w:eastAsia="en-US"/>
              </w:rPr>
            </w:pPr>
            <w:r w:rsidRPr="008A7800">
              <w:rPr>
                <w:rFonts w:eastAsiaTheme="minorEastAsia"/>
                <w:b w:val="0"/>
                <w:sz w:val="18"/>
                <w:szCs w:val="18"/>
                <w:lang w:eastAsia="en-US"/>
              </w:rPr>
              <w:t>Casino EGMs (NZ)</w:t>
            </w:r>
          </w:p>
        </w:tc>
        <w:tc>
          <w:tcPr>
            <w:tcW w:w="666" w:type="dxa"/>
            <w:tcBorders>
              <w:top w:val="nil"/>
              <w:left w:val="nil"/>
              <w:bottom w:val="nil"/>
              <w:right w:val="nil"/>
            </w:tcBorders>
            <w:shd w:val="clear" w:color="auto" w:fill="auto"/>
            <w:noWrap/>
            <w:vAlign w:val="center"/>
          </w:tcPr>
          <w:p w14:paraId="71636CCF"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517</w:t>
            </w:r>
          </w:p>
        </w:tc>
        <w:tc>
          <w:tcPr>
            <w:tcW w:w="567" w:type="dxa"/>
            <w:tcBorders>
              <w:top w:val="nil"/>
              <w:left w:val="nil"/>
              <w:bottom w:val="nil"/>
              <w:right w:val="nil"/>
            </w:tcBorders>
            <w:shd w:val="clear" w:color="auto" w:fill="auto"/>
            <w:noWrap/>
            <w:vAlign w:val="center"/>
          </w:tcPr>
          <w:p w14:paraId="0E523604"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8.3</w:t>
            </w:r>
          </w:p>
        </w:tc>
        <w:tc>
          <w:tcPr>
            <w:tcW w:w="1146" w:type="dxa"/>
            <w:tcBorders>
              <w:top w:val="nil"/>
              <w:left w:val="nil"/>
              <w:bottom w:val="nil"/>
              <w:right w:val="single" w:sz="4" w:space="0" w:color="auto"/>
            </w:tcBorders>
            <w:shd w:val="clear" w:color="auto" w:fill="auto"/>
            <w:noWrap/>
            <w:vAlign w:val="center"/>
          </w:tcPr>
          <w:p w14:paraId="02EEF1D4"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(7.4, 9.1)</w:t>
            </w:r>
          </w:p>
        </w:tc>
        <w:tc>
          <w:tcPr>
            <w:tcW w:w="666" w:type="dxa"/>
            <w:tcBorders>
              <w:top w:val="nil"/>
              <w:left w:val="single" w:sz="4" w:space="0" w:color="auto"/>
              <w:bottom w:val="nil"/>
              <w:right w:val="nil"/>
            </w:tcBorders>
            <w:shd w:val="clear" w:color="auto" w:fill="auto"/>
            <w:noWrap/>
            <w:vAlign w:val="center"/>
          </w:tcPr>
          <w:p w14:paraId="23BFF23D"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227</w:t>
            </w:r>
          </w:p>
        </w:tc>
        <w:tc>
          <w:tcPr>
            <w:tcW w:w="567" w:type="dxa"/>
            <w:tcBorders>
              <w:top w:val="nil"/>
              <w:left w:val="nil"/>
              <w:bottom w:val="nil"/>
              <w:right w:val="nil"/>
            </w:tcBorders>
            <w:shd w:val="clear" w:color="auto" w:fill="auto"/>
            <w:noWrap/>
            <w:vAlign w:val="center"/>
          </w:tcPr>
          <w:p w14:paraId="15BCC5B0"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6.1</w:t>
            </w:r>
          </w:p>
        </w:tc>
        <w:tc>
          <w:tcPr>
            <w:tcW w:w="1146" w:type="dxa"/>
            <w:tcBorders>
              <w:top w:val="nil"/>
              <w:left w:val="nil"/>
              <w:bottom w:val="nil"/>
              <w:right w:val="single" w:sz="4" w:space="0" w:color="000000"/>
            </w:tcBorders>
            <w:shd w:val="clear" w:color="auto" w:fill="auto"/>
            <w:noWrap/>
            <w:vAlign w:val="center"/>
          </w:tcPr>
          <w:p w14:paraId="05F8ABE9"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(5.1, 7.0)</w:t>
            </w:r>
          </w:p>
        </w:tc>
        <w:tc>
          <w:tcPr>
            <w:tcW w:w="666" w:type="dxa"/>
            <w:tcBorders>
              <w:top w:val="nil"/>
              <w:left w:val="single" w:sz="4" w:space="0" w:color="000000"/>
              <w:bottom w:val="nil"/>
              <w:right w:val="nil"/>
            </w:tcBorders>
            <w:shd w:val="clear" w:color="auto" w:fill="auto"/>
            <w:vAlign w:val="center"/>
          </w:tcPr>
          <w:p w14:paraId="2FE7BB40"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198</w:t>
            </w:r>
          </w:p>
        </w:tc>
        <w:tc>
          <w:tcPr>
            <w:tcW w:w="567" w:type="dxa"/>
            <w:tcBorders>
              <w:top w:val="nil"/>
              <w:left w:val="nil"/>
              <w:bottom w:val="nil"/>
              <w:right w:val="nil"/>
            </w:tcBorders>
            <w:shd w:val="clear" w:color="auto" w:fill="auto"/>
            <w:vAlign w:val="center"/>
          </w:tcPr>
          <w:p w14:paraId="6807432A"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6.3</w:t>
            </w:r>
          </w:p>
        </w:tc>
        <w:tc>
          <w:tcPr>
            <w:tcW w:w="1146" w:type="dxa"/>
            <w:tcBorders>
              <w:top w:val="nil"/>
              <w:left w:val="nil"/>
              <w:bottom w:val="nil"/>
              <w:right w:val="single" w:sz="4" w:space="0" w:color="000000"/>
            </w:tcBorders>
            <w:shd w:val="clear" w:color="auto" w:fill="auto"/>
            <w:vAlign w:val="center"/>
          </w:tcPr>
          <w:p w14:paraId="79A895F2"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(5.3, 7.4)</w:t>
            </w:r>
          </w:p>
        </w:tc>
        <w:tc>
          <w:tcPr>
            <w:tcW w:w="616" w:type="dxa"/>
            <w:tcBorders>
              <w:top w:val="nil"/>
              <w:left w:val="single" w:sz="4" w:space="0" w:color="000000"/>
              <w:bottom w:val="nil"/>
              <w:right w:val="nil"/>
            </w:tcBorders>
            <w:shd w:val="clear" w:color="auto" w:fill="auto"/>
            <w:vAlign w:val="center"/>
          </w:tcPr>
          <w:p w14:paraId="538D5023"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163</w:t>
            </w:r>
          </w:p>
        </w:tc>
        <w:tc>
          <w:tcPr>
            <w:tcW w:w="576" w:type="dxa"/>
            <w:tcBorders>
              <w:top w:val="nil"/>
              <w:left w:val="nil"/>
              <w:bottom w:val="nil"/>
              <w:right w:val="nil"/>
            </w:tcBorders>
            <w:shd w:val="clear" w:color="auto" w:fill="auto"/>
            <w:vAlign w:val="center"/>
          </w:tcPr>
          <w:p w14:paraId="6F4825DB"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5.9</w:t>
            </w:r>
          </w:p>
        </w:tc>
        <w:tc>
          <w:tcPr>
            <w:tcW w:w="1146" w:type="dxa"/>
            <w:tcBorders>
              <w:top w:val="nil"/>
              <w:left w:val="nil"/>
              <w:bottom w:val="nil"/>
              <w:right w:val="nil"/>
            </w:tcBorders>
            <w:shd w:val="clear" w:color="auto" w:fill="auto"/>
            <w:vAlign w:val="center"/>
          </w:tcPr>
          <w:p w14:paraId="3DE125EA"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(4.7, 7.1)</w:t>
            </w:r>
          </w:p>
        </w:tc>
      </w:tr>
      <w:tr w:rsidR="009118DA" w:rsidRPr="008A7800" w14:paraId="4202AEF4"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00996ED2" w14:textId="77777777" w:rsidR="00B53E24" w:rsidRPr="008A7800" w:rsidRDefault="00B53E24" w:rsidP="00B53E24">
            <w:pPr>
              <w:spacing w:before="20" w:after="20"/>
              <w:rPr>
                <w:rFonts w:eastAsiaTheme="minorEastAsia"/>
                <w:b w:val="0"/>
                <w:sz w:val="18"/>
                <w:szCs w:val="18"/>
              </w:rPr>
            </w:pPr>
            <w:r w:rsidRPr="008A7800">
              <w:rPr>
                <w:rFonts w:eastAsiaTheme="minorEastAsia"/>
                <w:b w:val="0"/>
                <w:sz w:val="18"/>
                <w:szCs w:val="18"/>
              </w:rPr>
              <w:t>Pub EGMs</w:t>
            </w:r>
          </w:p>
        </w:tc>
        <w:tc>
          <w:tcPr>
            <w:tcW w:w="666" w:type="dxa"/>
            <w:tcBorders>
              <w:top w:val="nil"/>
              <w:left w:val="nil"/>
              <w:bottom w:val="nil"/>
              <w:right w:val="nil"/>
            </w:tcBorders>
            <w:shd w:val="clear" w:color="auto" w:fill="auto"/>
            <w:noWrap/>
            <w:vAlign w:val="center"/>
          </w:tcPr>
          <w:p w14:paraId="193D1721"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717</w:t>
            </w:r>
          </w:p>
        </w:tc>
        <w:tc>
          <w:tcPr>
            <w:tcW w:w="567" w:type="dxa"/>
            <w:tcBorders>
              <w:top w:val="nil"/>
              <w:left w:val="nil"/>
              <w:bottom w:val="nil"/>
              <w:right w:val="nil"/>
            </w:tcBorders>
            <w:shd w:val="clear" w:color="auto" w:fill="auto"/>
            <w:noWrap/>
            <w:vAlign w:val="center"/>
          </w:tcPr>
          <w:p w14:paraId="57AD0BBD"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11.5</w:t>
            </w:r>
          </w:p>
        </w:tc>
        <w:tc>
          <w:tcPr>
            <w:tcW w:w="1146" w:type="dxa"/>
            <w:tcBorders>
              <w:top w:val="nil"/>
              <w:left w:val="nil"/>
              <w:bottom w:val="nil"/>
              <w:right w:val="single" w:sz="4" w:space="0" w:color="auto"/>
            </w:tcBorders>
            <w:shd w:val="clear" w:color="auto" w:fill="auto"/>
            <w:noWrap/>
            <w:vAlign w:val="center"/>
          </w:tcPr>
          <w:p w14:paraId="24A82C70"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(10.5, 12.5)</w:t>
            </w:r>
          </w:p>
        </w:tc>
        <w:tc>
          <w:tcPr>
            <w:tcW w:w="666" w:type="dxa"/>
            <w:tcBorders>
              <w:top w:val="nil"/>
              <w:left w:val="single" w:sz="4" w:space="0" w:color="auto"/>
              <w:bottom w:val="nil"/>
              <w:right w:val="nil"/>
            </w:tcBorders>
            <w:shd w:val="clear" w:color="auto" w:fill="auto"/>
            <w:noWrap/>
            <w:vAlign w:val="center"/>
          </w:tcPr>
          <w:p w14:paraId="62BD8D84"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332</w:t>
            </w:r>
          </w:p>
        </w:tc>
        <w:tc>
          <w:tcPr>
            <w:tcW w:w="567" w:type="dxa"/>
            <w:tcBorders>
              <w:top w:val="nil"/>
              <w:left w:val="nil"/>
              <w:bottom w:val="nil"/>
              <w:right w:val="nil"/>
            </w:tcBorders>
            <w:shd w:val="clear" w:color="auto" w:fill="auto"/>
            <w:noWrap/>
            <w:vAlign w:val="center"/>
          </w:tcPr>
          <w:p w14:paraId="1CEAF013"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8.9</w:t>
            </w:r>
          </w:p>
        </w:tc>
        <w:tc>
          <w:tcPr>
            <w:tcW w:w="1146" w:type="dxa"/>
            <w:tcBorders>
              <w:top w:val="nil"/>
              <w:left w:val="nil"/>
              <w:bottom w:val="nil"/>
              <w:right w:val="single" w:sz="4" w:space="0" w:color="000000"/>
            </w:tcBorders>
            <w:shd w:val="clear" w:color="auto" w:fill="auto"/>
            <w:noWrap/>
            <w:vAlign w:val="center"/>
          </w:tcPr>
          <w:p w14:paraId="7C08CAB0"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(7.7, 10.0)</w:t>
            </w:r>
          </w:p>
        </w:tc>
        <w:tc>
          <w:tcPr>
            <w:tcW w:w="666" w:type="dxa"/>
            <w:tcBorders>
              <w:top w:val="nil"/>
              <w:left w:val="single" w:sz="4" w:space="0" w:color="000000"/>
              <w:bottom w:val="nil"/>
              <w:right w:val="nil"/>
            </w:tcBorders>
            <w:shd w:val="clear" w:color="auto" w:fill="auto"/>
            <w:vAlign w:val="center"/>
          </w:tcPr>
          <w:p w14:paraId="7854AE3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259</w:t>
            </w:r>
          </w:p>
        </w:tc>
        <w:tc>
          <w:tcPr>
            <w:tcW w:w="567" w:type="dxa"/>
            <w:tcBorders>
              <w:top w:val="nil"/>
              <w:left w:val="nil"/>
              <w:bottom w:val="nil"/>
              <w:right w:val="nil"/>
            </w:tcBorders>
            <w:shd w:val="clear" w:color="auto" w:fill="auto"/>
            <w:vAlign w:val="center"/>
          </w:tcPr>
          <w:p w14:paraId="63AC1339"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8.3</w:t>
            </w:r>
          </w:p>
        </w:tc>
        <w:tc>
          <w:tcPr>
            <w:tcW w:w="1146" w:type="dxa"/>
            <w:tcBorders>
              <w:top w:val="nil"/>
              <w:left w:val="nil"/>
              <w:bottom w:val="nil"/>
              <w:right w:val="single" w:sz="4" w:space="0" w:color="000000"/>
            </w:tcBorders>
            <w:shd w:val="clear" w:color="auto" w:fill="auto"/>
            <w:vAlign w:val="center"/>
          </w:tcPr>
          <w:p w14:paraId="5B6A682B"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(7.1, 9.5)</w:t>
            </w:r>
          </w:p>
        </w:tc>
        <w:tc>
          <w:tcPr>
            <w:tcW w:w="616" w:type="dxa"/>
            <w:tcBorders>
              <w:top w:val="nil"/>
              <w:left w:val="single" w:sz="4" w:space="0" w:color="000000"/>
              <w:bottom w:val="nil"/>
              <w:right w:val="nil"/>
            </w:tcBorders>
            <w:shd w:val="clear" w:color="auto" w:fill="auto"/>
            <w:vAlign w:val="center"/>
          </w:tcPr>
          <w:p w14:paraId="1C2B1A22"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227</w:t>
            </w:r>
          </w:p>
        </w:tc>
        <w:tc>
          <w:tcPr>
            <w:tcW w:w="576" w:type="dxa"/>
            <w:tcBorders>
              <w:top w:val="nil"/>
              <w:left w:val="nil"/>
              <w:bottom w:val="nil"/>
              <w:right w:val="nil"/>
            </w:tcBorders>
            <w:shd w:val="clear" w:color="auto" w:fill="auto"/>
            <w:vAlign w:val="center"/>
          </w:tcPr>
          <w:p w14:paraId="3C963C08"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8.2</w:t>
            </w:r>
          </w:p>
        </w:tc>
        <w:tc>
          <w:tcPr>
            <w:tcW w:w="1146" w:type="dxa"/>
            <w:tcBorders>
              <w:top w:val="nil"/>
              <w:left w:val="nil"/>
              <w:bottom w:val="nil"/>
              <w:right w:val="nil"/>
            </w:tcBorders>
            <w:shd w:val="clear" w:color="auto" w:fill="auto"/>
            <w:vAlign w:val="center"/>
          </w:tcPr>
          <w:p w14:paraId="6A89C2CA"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(6.9, 9.5)</w:t>
            </w:r>
          </w:p>
        </w:tc>
      </w:tr>
      <w:tr w:rsidR="009118DA" w:rsidRPr="008A7800" w14:paraId="024AF188"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7BFE8BDF" w14:textId="77777777" w:rsidR="00B53E24" w:rsidRPr="008A7800" w:rsidRDefault="00B53E24" w:rsidP="00B53E24">
            <w:pPr>
              <w:spacing w:before="20" w:after="20"/>
              <w:rPr>
                <w:rFonts w:eastAsiaTheme="minorEastAsia"/>
                <w:b w:val="0"/>
                <w:sz w:val="18"/>
                <w:szCs w:val="18"/>
              </w:rPr>
            </w:pPr>
            <w:r w:rsidRPr="008A7800">
              <w:rPr>
                <w:rFonts w:eastAsiaTheme="minorEastAsia"/>
                <w:b w:val="0"/>
                <w:sz w:val="18"/>
                <w:szCs w:val="18"/>
              </w:rPr>
              <w:t>Club EGMs</w:t>
            </w:r>
          </w:p>
        </w:tc>
        <w:tc>
          <w:tcPr>
            <w:tcW w:w="666" w:type="dxa"/>
            <w:tcBorders>
              <w:top w:val="nil"/>
              <w:left w:val="nil"/>
              <w:bottom w:val="nil"/>
              <w:right w:val="nil"/>
            </w:tcBorders>
            <w:shd w:val="clear" w:color="auto" w:fill="auto"/>
            <w:noWrap/>
            <w:vAlign w:val="center"/>
          </w:tcPr>
          <w:p w14:paraId="6F48E3EB"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349</w:t>
            </w:r>
          </w:p>
        </w:tc>
        <w:tc>
          <w:tcPr>
            <w:tcW w:w="567" w:type="dxa"/>
            <w:tcBorders>
              <w:top w:val="nil"/>
              <w:left w:val="nil"/>
              <w:bottom w:val="nil"/>
              <w:right w:val="nil"/>
            </w:tcBorders>
            <w:shd w:val="clear" w:color="auto" w:fill="auto"/>
            <w:noWrap/>
            <w:vAlign w:val="center"/>
          </w:tcPr>
          <w:p w14:paraId="5A5C9C97"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5.6</w:t>
            </w:r>
          </w:p>
        </w:tc>
        <w:tc>
          <w:tcPr>
            <w:tcW w:w="1146" w:type="dxa"/>
            <w:tcBorders>
              <w:top w:val="nil"/>
              <w:left w:val="nil"/>
              <w:bottom w:val="nil"/>
              <w:right w:val="single" w:sz="4" w:space="0" w:color="auto"/>
            </w:tcBorders>
            <w:shd w:val="clear" w:color="auto" w:fill="auto"/>
            <w:noWrap/>
            <w:vAlign w:val="center"/>
          </w:tcPr>
          <w:p w14:paraId="2DF02E30"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(4.9, 6.3)</w:t>
            </w:r>
          </w:p>
        </w:tc>
        <w:tc>
          <w:tcPr>
            <w:tcW w:w="666" w:type="dxa"/>
            <w:tcBorders>
              <w:top w:val="nil"/>
              <w:left w:val="single" w:sz="4" w:space="0" w:color="auto"/>
              <w:bottom w:val="nil"/>
              <w:right w:val="nil"/>
            </w:tcBorders>
            <w:shd w:val="clear" w:color="auto" w:fill="auto"/>
            <w:noWrap/>
            <w:vAlign w:val="center"/>
          </w:tcPr>
          <w:p w14:paraId="7228BF67"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154</w:t>
            </w:r>
          </w:p>
        </w:tc>
        <w:tc>
          <w:tcPr>
            <w:tcW w:w="567" w:type="dxa"/>
            <w:tcBorders>
              <w:top w:val="nil"/>
              <w:left w:val="nil"/>
              <w:bottom w:val="nil"/>
              <w:right w:val="nil"/>
            </w:tcBorders>
            <w:shd w:val="clear" w:color="auto" w:fill="auto"/>
            <w:noWrap/>
            <w:vAlign w:val="center"/>
          </w:tcPr>
          <w:p w14:paraId="2043B5B3"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4.1</w:t>
            </w:r>
          </w:p>
        </w:tc>
        <w:tc>
          <w:tcPr>
            <w:tcW w:w="1146" w:type="dxa"/>
            <w:tcBorders>
              <w:top w:val="nil"/>
              <w:left w:val="nil"/>
              <w:bottom w:val="nil"/>
              <w:right w:val="single" w:sz="4" w:space="0" w:color="000000"/>
            </w:tcBorders>
            <w:shd w:val="clear" w:color="auto" w:fill="auto"/>
            <w:noWrap/>
            <w:vAlign w:val="center"/>
          </w:tcPr>
          <w:p w14:paraId="609E616D"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(3.4, 4.9)</w:t>
            </w:r>
          </w:p>
        </w:tc>
        <w:tc>
          <w:tcPr>
            <w:tcW w:w="666" w:type="dxa"/>
            <w:tcBorders>
              <w:top w:val="nil"/>
              <w:left w:val="single" w:sz="4" w:space="0" w:color="000000"/>
              <w:bottom w:val="nil"/>
              <w:right w:val="nil"/>
            </w:tcBorders>
            <w:shd w:val="clear" w:color="auto" w:fill="auto"/>
            <w:vAlign w:val="center"/>
          </w:tcPr>
          <w:p w14:paraId="370C84CA"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129</w:t>
            </w:r>
          </w:p>
        </w:tc>
        <w:tc>
          <w:tcPr>
            <w:tcW w:w="567" w:type="dxa"/>
            <w:tcBorders>
              <w:top w:val="nil"/>
              <w:left w:val="nil"/>
              <w:bottom w:val="nil"/>
              <w:right w:val="nil"/>
            </w:tcBorders>
            <w:shd w:val="clear" w:color="auto" w:fill="auto"/>
            <w:vAlign w:val="center"/>
          </w:tcPr>
          <w:p w14:paraId="764F0C53"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4.1</w:t>
            </w:r>
          </w:p>
        </w:tc>
        <w:tc>
          <w:tcPr>
            <w:tcW w:w="1146" w:type="dxa"/>
            <w:tcBorders>
              <w:top w:val="nil"/>
              <w:left w:val="nil"/>
              <w:bottom w:val="nil"/>
              <w:right w:val="single" w:sz="4" w:space="0" w:color="000000"/>
            </w:tcBorders>
            <w:shd w:val="clear" w:color="auto" w:fill="auto"/>
            <w:vAlign w:val="center"/>
          </w:tcPr>
          <w:p w14:paraId="5198CF47"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(3.3, 5.0)</w:t>
            </w:r>
          </w:p>
        </w:tc>
        <w:tc>
          <w:tcPr>
            <w:tcW w:w="616" w:type="dxa"/>
            <w:tcBorders>
              <w:top w:val="nil"/>
              <w:left w:val="single" w:sz="4" w:space="0" w:color="000000"/>
              <w:bottom w:val="nil"/>
              <w:right w:val="nil"/>
            </w:tcBorders>
            <w:shd w:val="clear" w:color="auto" w:fill="auto"/>
            <w:vAlign w:val="center"/>
          </w:tcPr>
          <w:p w14:paraId="6E54ABD6"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103</w:t>
            </w:r>
          </w:p>
        </w:tc>
        <w:tc>
          <w:tcPr>
            <w:tcW w:w="576" w:type="dxa"/>
            <w:tcBorders>
              <w:top w:val="nil"/>
              <w:left w:val="nil"/>
              <w:bottom w:val="nil"/>
              <w:right w:val="nil"/>
            </w:tcBorders>
            <w:shd w:val="clear" w:color="auto" w:fill="auto"/>
            <w:vAlign w:val="center"/>
          </w:tcPr>
          <w:p w14:paraId="415110CD"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3.7</w:t>
            </w:r>
          </w:p>
        </w:tc>
        <w:tc>
          <w:tcPr>
            <w:tcW w:w="1146" w:type="dxa"/>
            <w:tcBorders>
              <w:top w:val="nil"/>
              <w:left w:val="nil"/>
              <w:bottom w:val="nil"/>
              <w:right w:val="nil"/>
            </w:tcBorders>
            <w:shd w:val="clear" w:color="auto" w:fill="auto"/>
            <w:vAlign w:val="center"/>
          </w:tcPr>
          <w:p w14:paraId="5DFE5D37"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(2.9, 4.5)</w:t>
            </w:r>
          </w:p>
        </w:tc>
      </w:tr>
      <w:tr w:rsidR="009118DA" w:rsidRPr="008A7800" w14:paraId="1FE6F7E6"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1020AD20" w14:textId="77777777" w:rsidR="00B53E24" w:rsidRPr="008A7800" w:rsidRDefault="00B53E24" w:rsidP="00B53E24">
            <w:pPr>
              <w:spacing w:before="20" w:after="20"/>
              <w:rPr>
                <w:rFonts w:eastAsiaTheme="minorEastAsia"/>
                <w:b w:val="0"/>
                <w:sz w:val="18"/>
                <w:szCs w:val="18"/>
              </w:rPr>
            </w:pPr>
            <w:r w:rsidRPr="008A7800">
              <w:rPr>
                <w:rFonts w:eastAsiaTheme="minorEastAsia"/>
                <w:b w:val="0"/>
                <w:sz w:val="18"/>
                <w:szCs w:val="18"/>
              </w:rPr>
              <w:t>EGMs overall</w:t>
            </w:r>
          </w:p>
        </w:tc>
        <w:tc>
          <w:tcPr>
            <w:tcW w:w="666" w:type="dxa"/>
            <w:tcBorders>
              <w:top w:val="nil"/>
              <w:left w:val="nil"/>
              <w:bottom w:val="nil"/>
              <w:right w:val="nil"/>
            </w:tcBorders>
            <w:shd w:val="clear" w:color="auto" w:fill="auto"/>
            <w:noWrap/>
            <w:vAlign w:val="center"/>
          </w:tcPr>
          <w:p w14:paraId="509E5960"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1100</w:t>
            </w:r>
          </w:p>
        </w:tc>
        <w:tc>
          <w:tcPr>
            <w:tcW w:w="567" w:type="dxa"/>
            <w:tcBorders>
              <w:top w:val="nil"/>
              <w:left w:val="nil"/>
              <w:bottom w:val="nil"/>
              <w:right w:val="nil"/>
            </w:tcBorders>
            <w:shd w:val="clear" w:color="auto" w:fill="auto"/>
            <w:noWrap/>
            <w:vAlign w:val="center"/>
          </w:tcPr>
          <w:p w14:paraId="65D7A3EB"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17.6</w:t>
            </w:r>
          </w:p>
        </w:tc>
        <w:tc>
          <w:tcPr>
            <w:tcW w:w="1146" w:type="dxa"/>
            <w:tcBorders>
              <w:top w:val="nil"/>
              <w:left w:val="nil"/>
              <w:bottom w:val="nil"/>
              <w:right w:val="single" w:sz="4" w:space="0" w:color="auto"/>
            </w:tcBorders>
            <w:shd w:val="clear" w:color="auto" w:fill="auto"/>
            <w:noWrap/>
            <w:vAlign w:val="center"/>
          </w:tcPr>
          <w:p w14:paraId="1CB86BBB"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(16.4, 18.8)</w:t>
            </w:r>
          </w:p>
        </w:tc>
        <w:tc>
          <w:tcPr>
            <w:tcW w:w="666" w:type="dxa"/>
            <w:tcBorders>
              <w:top w:val="nil"/>
              <w:left w:val="single" w:sz="4" w:space="0" w:color="auto"/>
              <w:bottom w:val="nil"/>
              <w:right w:val="nil"/>
            </w:tcBorders>
            <w:shd w:val="clear" w:color="auto" w:fill="auto"/>
            <w:noWrap/>
            <w:vAlign w:val="center"/>
          </w:tcPr>
          <w:p w14:paraId="6A0993FC"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528</w:t>
            </w:r>
          </w:p>
        </w:tc>
        <w:tc>
          <w:tcPr>
            <w:tcW w:w="567" w:type="dxa"/>
            <w:tcBorders>
              <w:top w:val="nil"/>
              <w:left w:val="nil"/>
              <w:bottom w:val="nil"/>
              <w:right w:val="nil"/>
            </w:tcBorders>
            <w:shd w:val="clear" w:color="auto" w:fill="auto"/>
            <w:noWrap/>
            <w:vAlign w:val="center"/>
          </w:tcPr>
          <w:p w14:paraId="0C7F2D73"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14.1</w:t>
            </w:r>
          </w:p>
        </w:tc>
        <w:tc>
          <w:tcPr>
            <w:tcW w:w="1146" w:type="dxa"/>
            <w:tcBorders>
              <w:top w:val="nil"/>
              <w:left w:val="nil"/>
              <w:bottom w:val="nil"/>
              <w:right w:val="single" w:sz="4" w:space="0" w:color="000000"/>
            </w:tcBorders>
            <w:shd w:val="clear" w:color="auto" w:fill="auto"/>
            <w:noWrap/>
            <w:vAlign w:val="center"/>
          </w:tcPr>
          <w:p w14:paraId="05FF54C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(12.7, 15.5)</w:t>
            </w:r>
          </w:p>
        </w:tc>
        <w:tc>
          <w:tcPr>
            <w:tcW w:w="666" w:type="dxa"/>
            <w:tcBorders>
              <w:top w:val="nil"/>
              <w:left w:val="single" w:sz="4" w:space="0" w:color="000000"/>
              <w:bottom w:val="nil"/>
              <w:right w:val="nil"/>
            </w:tcBorders>
            <w:shd w:val="clear" w:color="auto" w:fill="auto"/>
            <w:vAlign w:val="center"/>
          </w:tcPr>
          <w:p w14:paraId="2F63C1B0"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424</w:t>
            </w:r>
          </w:p>
        </w:tc>
        <w:tc>
          <w:tcPr>
            <w:tcW w:w="567" w:type="dxa"/>
            <w:tcBorders>
              <w:top w:val="nil"/>
              <w:left w:val="nil"/>
              <w:bottom w:val="nil"/>
              <w:right w:val="nil"/>
            </w:tcBorders>
            <w:shd w:val="clear" w:color="auto" w:fill="auto"/>
            <w:vAlign w:val="center"/>
          </w:tcPr>
          <w:p w14:paraId="210A58A7"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13.6</w:t>
            </w:r>
          </w:p>
        </w:tc>
        <w:tc>
          <w:tcPr>
            <w:tcW w:w="1146" w:type="dxa"/>
            <w:tcBorders>
              <w:top w:val="nil"/>
              <w:left w:val="nil"/>
              <w:bottom w:val="nil"/>
              <w:right w:val="single" w:sz="4" w:space="0" w:color="000000"/>
            </w:tcBorders>
            <w:shd w:val="clear" w:color="auto" w:fill="auto"/>
            <w:vAlign w:val="center"/>
          </w:tcPr>
          <w:p w14:paraId="24F7BEBC"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(12.1, 15.0)</w:t>
            </w:r>
          </w:p>
        </w:tc>
        <w:tc>
          <w:tcPr>
            <w:tcW w:w="616" w:type="dxa"/>
            <w:tcBorders>
              <w:top w:val="nil"/>
              <w:left w:val="single" w:sz="4" w:space="0" w:color="000000"/>
              <w:bottom w:val="nil"/>
              <w:right w:val="nil"/>
            </w:tcBorders>
            <w:shd w:val="clear" w:color="auto" w:fill="auto"/>
            <w:vAlign w:val="center"/>
          </w:tcPr>
          <w:p w14:paraId="4F5CF163"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353</w:t>
            </w:r>
          </w:p>
        </w:tc>
        <w:tc>
          <w:tcPr>
            <w:tcW w:w="576" w:type="dxa"/>
            <w:tcBorders>
              <w:top w:val="nil"/>
              <w:left w:val="nil"/>
              <w:bottom w:val="nil"/>
              <w:right w:val="nil"/>
            </w:tcBorders>
            <w:shd w:val="clear" w:color="auto" w:fill="auto"/>
            <w:vAlign w:val="center"/>
          </w:tcPr>
          <w:p w14:paraId="3BA53A8E"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12.8</w:t>
            </w:r>
          </w:p>
        </w:tc>
        <w:tc>
          <w:tcPr>
            <w:tcW w:w="1146" w:type="dxa"/>
            <w:tcBorders>
              <w:top w:val="nil"/>
              <w:left w:val="nil"/>
              <w:bottom w:val="nil"/>
              <w:right w:val="nil"/>
            </w:tcBorders>
            <w:shd w:val="clear" w:color="auto" w:fill="auto"/>
            <w:vAlign w:val="center"/>
          </w:tcPr>
          <w:p w14:paraId="4CC44063"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(11.2, 14.4)</w:t>
            </w:r>
          </w:p>
        </w:tc>
      </w:tr>
      <w:tr w:rsidR="009118DA" w:rsidRPr="008A7800" w14:paraId="52AF4B41"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7AC0F58A" w14:textId="77777777" w:rsidR="00B53E24" w:rsidRPr="008A7800" w:rsidRDefault="00713CF4" w:rsidP="00B53E24">
            <w:pPr>
              <w:spacing w:before="20" w:after="20"/>
              <w:rPr>
                <w:rFonts w:eastAsiaTheme="minorEastAsia"/>
                <w:b w:val="0"/>
                <w:sz w:val="18"/>
                <w:szCs w:val="18"/>
              </w:rPr>
            </w:pPr>
            <w:r>
              <w:rPr>
                <w:rFonts w:eastAsiaTheme="minorEastAsia"/>
                <w:b w:val="0"/>
                <w:sz w:val="18"/>
                <w:szCs w:val="18"/>
              </w:rPr>
              <w:t>Short-term speculative</w:t>
            </w:r>
            <w:r w:rsidR="00B53E24" w:rsidRPr="008A7800">
              <w:rPr>
                <w:rFonts w:eastAsiaTheme="minorEastAsia"/>
                <w:b w:val="0"/>
                <w:sz w:val="18"/>
                <w:szCs w:val="18"/>
              </w:rPr>
              <w:t xml:space="preserve"> investments </w:t>
            </w:r>
          </w:p>
        </w:tc>
        <w:tc>
          <w:tcPr>
            <w:tcW w:w="666" w:type="dxa"/>
            <w:tcBorders>
              <w:top w:val="nil"/>
              <w:left w:val="nil"/>
              <w:bottom w:val="nil"/>
              <w:right w:val="nil"/>
            </w:tcBorders>
            <w:shd w:val="clear" w:color="auto" w:fill="auto"/>
            <w:noWrap/>
            <w:vAlign w:val="center"/>
          </w:tcPr>
          <w:p w14:paraId="579897CE"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59</w:t>
            </w:r>
          </w:p>
        </w:tc>
        <w:tc>
          <w:tcPr>
            <w:tcW w:w="567" w:type="dxa"/>
            <w:tcBorders>
              <w:top w:val="nil"/>
              <w:left w:val="nil"/>
              <w:bottom w:val="nil"/>
              <w:right w:val="nil"/>
            </w:tcBorders>
            <w:shd w:val="clear" w:color="auto" w:fill="auto"/>
            <w:noWrap/>
            <w:vAlign w:val="center"/>
          </w:tcPr>
          <w:p w14:paraId="1404B09A"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0.9</w:t>
            </w:r>
          </w:p>
        </w:tc>
        <w:tc>
          <w:tcPr>
            <w:tcW w:w="1146" w:type="dxa"/>
            <w:tcBorders>
              <w:top w:val="nil"/>
              <w:left w:val="nil"/>
              <w:bottom w:val="nil"/>
              <w:right w:val="single" w:sz="4" w:space="0" w:color="auto"/>
            </w:tcBorders>
            <w:shd w:val="clear" w:color="auto" w:fill="auto"/>
            <w:noWrap/>
            <w:vAlign w:val="center"/>
          </w:tcPr>
          <w:p w14:paraId="12F7B39A"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(0.7, 1.2)</w:t>
            </w:r>
          </w:p>
        </w:tc>
        <w:tc>
          <w:tcPr>
            <w:tcW w:w="666" w:type="dxa"/>
            <w:tcBorders>
              <w:top w:val="nil"/>
              <w:left w:val="single" w:sz="4" w:space="0" w:color="auto"/>
              <w:bottom w:val="nil"/>
              <w:right w:val="nil"/>
            </w:tcBorders>
            <w:shd w:val="clear" w:color="auto" w:fill="auto"/>
            <w:noWrap/>
            <w:vAlign w:val="center"/>
          </w:tcPr>
          <w:p w14:paraId="43B1E280"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55</w:t>
            </w:r>
          </w:p>
        </w:tc>
        <w:tc>
          <w:tcPr>
            <w:tcW w:w="567" w:type="dxa"/>
            <w:tcBorders>
              <w:top w:val="nil"/>
              <w:left w:val="nil"/>
              <w:bottom w:val="nil"/>
              <w:right w:val="nil"/>
            </w:tcBorders>
            <w:shd w:val="clear" w:color="auto" w:fill="auto"/>
            <w:noWrap/>
            <w:vAlign w:val="center"/>
          </w:tcPr>
          <w:p w14:paraId="1A4B3440"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1.5</w:t>
            </w:r>
          </w:p>
        </w:tc>
        <w:tc>
          <w:tcPr>
            <w:tcW w:w="1146" w:type="dxa"/>
            <w:tcBorders>
              <w:top w:val="nil"/>
              <w:left w:val="nil"/>
              <w:bottom w:val="nil"/>
              <w:right w:val="single" w:sz="4" w:space="0" w:color="000000"/>
            </w:tcBorders>
            <w:shd w:val="clear" w:color="auto" w:fill="auto"/>
            <w:noWrap/>
            <w:vAlign w:val="center"/>
          </w:tcPr>
          <w:p w14:paraId="5220365E"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(0.9, 2.0)</w:t>
            </w:r>
          </w:p>
        </w:tc>
        <w:tc>
          <w:tcPr>
            <w:tcW w:w="666" w:type="dxa"/>
            <w:tcBorders>
              <w:top w:val="nil"/>
              <w:left w:val="single" w:sz="4" w:space="0" w:color="000000"/>
              <w:bottom w:val="nil"/>
              <w:right w:val="nil"/>
            </w:tcBorders>
            <w:shd w:val="clear" w:color="auto" w:fill="auto"/>
            <w:vAlign w:val="center"/>
          </w:tcPr>
          <w:p w14:paraId="38D29A0D"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41</w:t>
            </w:r>
          </w:p>
        </w:tc>
        <w:tc>
          <w:tcPr>
            <w:tcW w:w="567" w:type="dxa"/>
            <w:tcBorders>
              <w:top w:val="nil"/>
              <w:left w:val="nil"/>
              <w:bottom w:val="nil"/>
              <w:right w:val="nil"/>
            </w:tcBorders>
            <w:shd w:val="clear" w:color="auto" w:fill="auto"/>
            <w:vAlign w:val="center"/>
          </w:tcPr>
          <w:p w14:paraId="026CBFC4"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w:t>
            </w:r>
          </w:p>
        </w:tc>
        <w:tc>
          <w:tcPr>
            <w:tcW w:w="1146" w:type="dxa"/>
            <w:tcBorders>
              <w:top w:val="nil"/>
              <w:left w:val="nil"/>
              <w:bottom w:val="nil"/>
              <w:right w:val="single" w:sz="4" w:space="0" w:color="000000"/>
            </w:tcBorders>
            <w:shd w:val="clear" w:color="auto" w:fill="auto"/>
            <w:vAlign w:val="center"/>
          </w:tcPr>
          <w:p w14:paraId="210569EB"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(0.8, 1.8)</w:t>
            </w:r>
          </w:p>
        </w:tc>
        <w:tc>
          <w:tcPr>
            <w:tcW w:w="616" w:type="dxa"/>
            <w:tcBorders>
              <w:top w:val="nil"/>
              <w:left w:val="single" w:sz="4" w:space="0" w:color="000000"/>
              <w:bottom w:val="nil"/>
              <w:right w:val="nil"/>
            </w:tcBorders>
            <w:shd w:val="clear" w:color="auto" w:fill="auto"/>
            <w:vAlign w:val="center"/>
          </w:tcPr>
          <w:p w14:paraId="67BD1A30"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29</w:t>
            </w:r>
          </w:p>
        </w:tc>
        <w:tc>
          <w:tcPr>
            <w:tcW w:w="576" w:type="dxa"/>
            <w:tcBorders>
              <w:top w:val="nil"/>
              <w:left w:val="nil"/>
              <w:bottom w:val="nil"/>
              <w:right w:val="nil"/>
            </w:tcBorders>
            <w:shd w:val="clear" w:color="auto" w:fill="auto"/>
            <w:vAlign w:val="center"/>
          </w:tcPr>
          <w:p w14:paraId="5CA28EA9"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1.0</w:t>
            </w:r>
          </w:p>
        </w:tc>
        <w:tc>
          <w:tcPr>
            <w:tcW w:w="1146" w:type="dxa"/>
            <w:tcBorders>
              <w:top w:val="nil"/>
              <w:left w:val="nil"/>
              <w:bottom w:val="nil"/>
              <w:right w:val="nil"/>
            </w:tcBorders>
            <w:shd w:val="clear" w:color="auto" w:fill="auto"/>
            <w:vAlign w:val="center"/>
          </w:tcPr>
          <w:p w14:paraId="6347C076"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(0.6, 1.5)</w:t>
            </w:r>
          </w:p>
        </w:tc>
      </w:tr>
      <w:tr w:rsidR="009118DA" w:rsidRPr="008A7800" w14:paraId="1C241F6E"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29E6D508" w14:textId="77777777" w:rsidR="00B53E24" w:rsidRPr="008A7800" w:rsidRDefault="00B4241C" w:rsidP="00B4241C">
            <w:pPr>
              <w:spacing w:before="20" w:after="20"/>
              <w:rPr>
                <w:rFonts w:eastAsiaTheme="minorEastAsia"/>
                <w:b w:val="0"/>
                <w:sz w:val="18"/>
                <w:szCs w:val="18"/>
                <w:lang w:eastAsia="en-US"/>
              </w:rPr>
            </w:pPr>
            <w:r>
              <w:rPr>
                <w:rFonts w:eastAsiaTheme="minorEastAsia"/>
                <w:b w:val="0"/>
                <w:sz w:val="18"/>
                <w:szCs w:val="18"/>
                <w:lang w:eastAsia="en-US"/>
              </w:rPr>
              <w:t>Other o</w:t>
            </w:r>
            <w:r w:rsidR="00B53E24" w:rsidRPr="008A7800">
              <w:rPr>
                <w:rFonts w:eastAsiaTheme="minorEastAsia"/>
                <w:b w:val="0"/>
                <w:sz w:val="18"/>
                <w:szCs w:val="18"/>
                <w:lang w:eastAsia="en-US"/>
              </w:rPr>
              <w:t>verseas internet gambling</w:t>
            </w:r>
            <w:r w:rsidR="00B53E24" w:rsidRPr="008A7800">
              <w:rPr>
                <w:rFonts w:eastAsiaTheme="minorEastAsia"/>
                <w:b w:val="0"/>
                <w:sz w:val="18"/>
                <w:szCs w:val="18"/>
                <w:vertAlign w:val="superscript"/>
                <w:lang w:eastAsia="en-US"/>
              </w:rPr>
              <w:t>†</w:t>
            </w:r>
            <w:r w:rsidR="00B53E24" w:rsidRPr="008A7800">
              <w:rPr>
                <w:rFonts w:eastAsiaTheme="minorEastAsia"/>
                <w:b w:val="0"/>
                <w:sz w:val="18"/>
                <w:szCs w:val="18"/>
                <w:lang w:eastAsia="en-US"/>
              </w:rPr>
              <w:t xml:space="preserve"> </w:t>
            </w:r>
          </w:p>
        </w:tc>
        <w:tc>
          <w:tcPr>
            <w:tcW w:w="666" w:type="dxa"/>
            <w:tcBorders>
              <w:top w:val="nil"/>
              <w:left w:val="nil"/>
              <w:bottom w:val="nil"/>
              <w:right w:val="nil"/>
            </w:tcBorders>
            <w:shd w:val="clear" w:color="auto" w:fill="auto"/>
            <w:noWrap/>
            <w:vAlign w:val="center"/>
          </w:tcPr>
          <w:p w14:paraId="17875446"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39</w:t>
            </w:r>
          </w:p>
        </w:tc>
        <w:tc>
          <w:tcPr>
            <w:tcW w:w="567" w:type="dxa"/>
            <w:tcBorders>
              <w:top w:val="nil"/>
              <w:left w:val="nil"/>
              <w:bottom w:val="nil"/>
              <w:right w:val="nil"/>
            </w:tcBorders>
            <w:shd w:val="clear" w:color="auto" w:fill="auto"/>
            <w:noWrap/>
            <w:vAlign w:val="center"/>
          </w:tcPr>
          <w:p w14:paraId="3DB8B60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0.6</w:t>
            </w:r>
          </w:p>
        </w:tc>
        <w:tc>
          <w:tcPr>
            <w:tcW w:w="1146" w:type="dxa"/>
            <w:tcBorders>
              <w:top w:val="nil"/>
              <w:left w:val="nil"/>
              <w:bottom w:val="nil"/>
              <w:right w:val="single" w:sz="4" w:space="0" w:color="auto"/>
            </w:tcBorders>
            <w:shd w:val="clear" w:color="auto" w:fill="auto"/>
            <w:noWrap/>
            <w:vAlign w:val="center"/>
          </w:tcPr>
          <w:p w14:paraId="722C1803"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(0.4, 0.9)</w:t>
            </w:r>
          </w:p>
        </w:tc>
        <w:tc>
          <w:tcPr>
            <w:tcW w:w="666" w:type="dxa"/>
            <w:tcBorders>
              <w:top w:val="nil"/>
              <w:left w:val="single" w:sz="4" w:space="0" w:color="auto"/>
              <w:bottom w:val="nil"/>
              <w:right w:val="nil"/>
            </w:tcBorders>
            <w:shd w:val="clear" w:color="auto" w:fill="auto"/>
            <w:noWrap/>
            <w:vAlign w:val="center"/>
          </w:tcPr>
          <w:p w14:paraId="20A21364"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16</w:t>
            </w:r>
          </w:p>
        </w:tc>
        <w:tc>
          <w:tcPr>
            <w:tcW w:w="567" w:type="dxa"/>
            <w:tcBorders>
              <w:top w:val="nil"/>
              <w:left w:val="nil"/>
              <w:bottom w:val="nil"/>
              <w:right w:val="nil"/>
            </w:tcBorders>
            <w:shd w:val="clear" w:color="auto" w:fill="auto"/>
            <w:noWrap/>
            <w:vAlign w:val="center"/>
          </w:tcPr>
          <w:p w14:paraId="04CEB72D"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0.4</w:t>
            </w:r>
          </w:p>
        </w:tc>
        <w:tc>
          <w:tcPr>
            <w:tcW w:w="1146" w:type="dxa"/>
            <w:tcBorders>
              <w:top w:val="nil"/>
              <w:left w:val="nil"/>
              <w:bottom w:val="nil"/>
              <w:right w:val="single" w:sz="4" w:space="0" w:color="000000"/>
            </w:tcBorders>
            <w:shd w:val="clear" w:color="auto" w:fill="auto"/>
            <w:noWrap/>
            <w:vAlign w:val="center"/>
          </w:tcPr>
          <w:p w14:paraId="0955F6A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(0.2, 0.6)</w:t>
            </w:r>
          </w:p>
        </w:tc>
        <w:tc>
          <w:tcPr>
            <w:tcW w:w="666" w:type="dxa"/>
            <w:tcBorders>
              <w:top w:val="nil"/>
              <w:left w:val="single" w:sz="4" w:space="0" w:color="000000"/>
              <w:bottom w:val="nil"/>
              <w:right w:val="nil"/>
            </w:tcBorders>
            <w:shd w:val="clear" w:color="auto" w:fill="auto"/>
            <w:vAlign w:val="center"/>
          </w:tcPr>
          <w:p w14:paraId="41E3BB62"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10</w:t>
            </w:r>
          </w:p>
        </w:tc>
        <w:tc>
          <w:tcPr>
            <w:tcW w:w="567" w:type="dxa"/>
            <w:tcBorders>
              <w:top w:val="nil"/>
              <w:left w:val="nil"/>
              <w:bottom w:val="nil"/>
              <w:right w:val="nil"/>
            </w:tcBorders>
            <w:shd w:val="clear" w:color="auto" w:fill="auto"/>
            <w:vAlign w:val="center"/>
          </w:tcPr>
          <w:p w14:paraId="5898753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0.3</w:t>
            </w:r>
          </w:p>
        </w:tc>
        <w:tc>
          <w:tcPr>
            <w:tcW w:w="1146" w:type="dxa"/>
            <w:tcBorders>
              <w:top w:val="nil"/>
              <w:left w:val="nil"/>
              <w:bottom w:val="nil"/>
              <w:right w:val="single" w:sz="4" w:space="0" w:color="000000"/>
            </w:tcBorders>
            <w:shd w:val="clear" w:color="auto" w:fill="auto"/>
            <w:vAlign w:val="center"/>
          </w:tcPr>
          <w:p w14:paraId="6BD5BE4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(0.1, 0.5)</w:t>
            </w:r>
          </w:p>
        </w:tc>
        <w:tc>
          <w:tcPr>
            <w:tcW w:w="616" w:type="dxa"/>
            <w:tcBorders>
              <w:top w:val="nil"/>
              <w:left w:val="single" w:sz="4" w:space="0" w:color="000000"/>
              <w:bottom w:val="nil"/>
              <w:right w:val="nil"/>
            </w:tcBorders>
            <w:shd w:val="clear" w:color="auto" w:fill="auto"/>
            <w:vAlign w:val="center"/>
          </w:tcPr>
          <w:p w14:paraId="01F1C14D"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9</w:t>
            </w:r>
          </w:p>
        </w:tc>
        <w:tc>
          <w:tcPr>
            <w:tcW w:w="576" w:type="dxa"/>
            <w:tcBorders>
              <w:top w:val="nil"/>
              <w:left w:val="nil"/>
              <w:bottom w:val="nil"/>
              <w:right w:val="nil"/>
            </w:tcBorders>
            <w:shd w:val="clear" w:color="auto" w:fill="auto"/>
            <w:vAlign w:val="center"/>
          </w:tcPr>
          <w:p w14:paraId="3291653D"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0.3</w:t>
            </w:r>
          </w:p>
        </w:tc>
        <w:tc>
          <w:tcPr>
            <w:tcW w:w="1146" w:type="dxa"/>
            <w:tcBorders>
              <w:top w:val="nil"/>
              <w:left w:val="nil"/>
              <w:bottom w:val="nil"/>
              <w:right w:val="nil"/>
            </w:tcBorders>
            <w:shd w:val="clear" w:color="auto" w:fill="auto"/>
            <w:vAlign w:val="center"/>
          </w:tcPr>
          <w:p w14:paraId="0EE5ACD5"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(0.1, 0.6)</w:t>
            </w:r>
          </w:p>
        </w:tc>
      </w:tr>
      <w:tr w:rsidR="009118DA" w:rsidRPr="008A7800" w14:paraId="24DBB2F6"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30D66D58" w14:textId="77777777" w:rsidR="00B53E24" w:rsidRPr="008A7800" w:rsidRDefault="00B53E24" w:rsidP="00B53E24">
            <w:pPr>
              <w:spacing w:before="20" w:after="20"/>
              <w:rPr>
                <w:rFonts w:eastAsiaTheme="minorEastAsia"/>
                <w:b w:val="0"/>
                <w:sz w:val="18"/>
                <w:szCs w:val="18"/>
                <w:lang w:eastAsia="en-US"/>
              </w:rPr>
            </w:pPr>
            <w:r w:rsidRPr="008A7800">
              <w:rPr>
                <w:rFonts w:eastAsiaTheme="minorEastAsia"/>
                <w:b w:val="0"/>
                <w:sz w:val="18"/>
                <w:szCs w:val="18"/>
                <w:lang w:eastAsia="en-US"/>
              </w:rPr>
              <w:t>Overseas internet gambling overall</w:t>
            </w:r>
            <w:r w:rsidRPr="008A7800">
              <w:rPr>
                <w:rFonts w:eastAsiaTheme="minorEastAsia"/>
                <w:b w:val="0"/>
                <w:sz w:val="18"/>
                <w:szCs w:val="18"/>
                <w:vertAlign w:val="superscript"/>
                <w:lang w:eastAsia="en-US"/>
              </w:rPr>
              <w:t>‡</w:t>
            </w:r>
          </w:p>
        </w:tc>
        <w:tc>
          <w:tcPr>
            <w:tcW w:w="666" w:type="dxa"/>
            <w:tcBorders>
              <w:top w:val="nil"/>
              <w:left w:val="nil"/>
              <w:bottom w:val="nil"/>
              <w:right w:val="nil"/>
            </w:tcBorders>
            <w:shd w:val="clear" w:color="auto" w:fill="auto"/>
            <w:noWrap/>
            <w:vAlign w:val="center"/>
          </w:tcPr>
          <w:p w14:paraId="2D2D8D2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104</w:t>
            </w:r>
          </w:p>
        </w:tc>
        <w:tc>
          <w:tcPr>
            <w:tcW w:w="567" w:type="dxa"/>
            <w:tcBorders>
              <w:top w:val="nil"/>
              <w:left w:val="nil"/>
              <w:bottom w:val="nil"/>
              <w:right w:val="nil"/>
            </w:tcBorders>
            <w:shd w:val="clear" w:color="auto" w:fill="auto"/>
            <w:noWrap/>
            <w:vAlign w:val="center"/>
          </w:tcPr>
          <w:p w14:paraId="478CF63F"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w:t>
            </w:r>
          </w:p>
        </w:tc>
        <w:tc>
          <w:tcPr>
            <w:tcW w:w="1146" w:type="dxa"/>
            <w:tcBorders>
              <w:top w:val="nil"/>
              <w:left w:val="nil"/>
              <w:bottom w:val="nil"/>
              <w:right w:val="single" w:sz="4" w:space="0" w:color="auto"/>
            </w:tcBorders>
            <w:shd w:val="clear" w:color="auto" w:fill="auto"/>
            <w:noWrap/>
            <w:vAlign w:val="center"/>
          </w:tcPr>
          <w:p w14:paraId="05CFAA01"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(1.2, 2.1)</w:t>
            </w:r>
          </w:p>
        </w:tc>
        <w:tc>
          <w:tcPr>
            <w:tcW w:w="666" w:type="dxa"/>
            <w:tcBorders>
              <w:top w:val="nil"/>
              <w:left w:val="single" w:sz="4" w:space="0" w:color="auto"/>
              <w:bottom w:val="nil"/>
              <w:right w:val="nil"/>
            </w:tcBorders>
            <w:shd w:val="clear" w:color="auto" w:fill="auto"/>
            <w:noWrap/>
            <w:vAlign w:val="center"/>
          </w:tcPr>
          <w:p w14:paraId="0AB9970C"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42</w:t>
            </w:r>
          </w:p>
        </w:tc>
        <w:tc>
          <w:tcPr>
            <w:tcW w:w="567" w:type="dxa"/>
            <w:tcBorders>
              <w:top w:val="nil"/>
              <w:left w:val="nil"/>
              <w:bottom w:val="nil"/>
              <w:right w:val="nil"/>
            </w:tcBorders>
            <w:shd w:val="clear" w:color="auto" w:fill="auto"/>
            <w:noWrap/>
            <w:vAlign w:val="center"/>
          </w:tcPr>
          <w:p w14:paraId="0CE4610F"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w:t>
            </w:r>
          </w:p>
        </w:tc>
        <w:tc>
          <w:tcPr>
            <w:tcW w:w="1146" w:type="dxa"/>
            <w:tcBorders>
              <w:top w:val="nil"/>
              <w:left w:val="nil"/>
              <w:bottom w:val="nil"/>
              <w:right w:val="single" w:sz="4" w:space="0" w:color="000000"/>
            </w:tcBorders>
            <w:shd w:val="clear" w:color="auto" w:fill="auto"/>
            <w:noWrap/>
            <w:vAlign w:val="center"/>
          </w:tcPr>
          <w:p w14:paraId="306C2AAE"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(0.8, 1.7)</w:t>
            </w:r>
          </w:p>
        </w:tc>
        <w:tc>
          <w:tcPr>
            <w:tcW w:w="666" w:type="dxa"/>
            <w:tcBorders>
              <w:top w:val="nil"/>
              <w:left w:val="single" w:sz="4" w:space="0" w:color="000000"/>
              <w:bottom w:val="nil"/>
              <w:right w:val="nil"/>
            </w:tcBorders>
            <w:shd w:val="clear" w:color="auto" w:fill="auto"/>
            <w:vAlign w:val="center"/>
          </w:tcPr>
          <w:p w14:paraId="40AE31D3"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28</w:t>
            </w:r>
          </w:p>
        </w:tc>
        <w:tc>
          <w:tcPr>
            <w:tcW w:w="567" w:type="dxa"/>
            <w:tcBorders>
              <w:top w:val="nil"/>
              <w:left w:val="nil"/>
              <w:bottom w:val="nil"/>
              <w:right w:val="nil"/>
            </w:tcBorders>
            <w:shd w:val="clear" w:color="auto" w:fill="auto"/>
            <w:vAlign w:val="center"/>
          </w:tcPr>
          <w:p w14:paraId="75BA329B"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0.9</w:t>
            </w:r>
          </w:p>
        </w:tc>
        <w:tc>
          <w:tcPr>
            <w:tcW w:w="1146" w:type="dxa"/>
            <w:tcBorders>
              <w:top w:val="nil"/>
              <w:left w:val="nil"/>
              <w:bottom w:val="nil"/>
              <w:right w:val="single" w:sz="4" w:space="0" w:color="000000"/>
            </w:tcBorders>
            <w:shd w:val="clear" w:color="auto" w:fill="auto"/>
            <w:vAlign w:val="center"/>
          </w:tcPr>
          <w:p w14:paraId="0334650A"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(0.5, 1.3)</w:t>
            </w:r>
          </w:p>
        </w:tc>
        <w:tc>
          <w:tcPr>
            <w:tcW w:w="616" w:type="dxa"/>
            <w:tcBorders>
              <w:top w:val="nil"/>
              <w:left w:val="single" w:sz="4" w:space="0" w:color="000000"/>
              <w:bottom w:val="nil"/>
              <w:right w:val="nil"/>
            </w:tcBorders>
            <w:shd w:val="clear" w:color="auto" w:fill="auto"/>
            <w:vAlign w:val="center"/>
          </w:tcPr>
          <w:p w14:paraId="0C14E682"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20</w:t>
            </w:r>
          </w:p>
        </w:tc>
        <w:tc>
          <w:tcPr>
            <w:tcW w:w="576" w:type="dxa"/>
            <w:tcBorders>
              <w:top w:val="nil"/>
              <w:left w:val="nil"/>
              <w:bottom w:val="nil"/>
              <w:right w:val="nil"/>
            </w:tcBorders>
            <w:shd w:val="clear" w:color="auto" w:fill="auto"/>
            <w:vAlign w:val="center"/>
          </w:tcPr>
          <w:p w14:paraId="18DBD3B6"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0.7</w:t>
            </w:r>
          </w:p>
        </w:tc>
        <w:tc>
          <w:tcPr>
            <w:tcW w:w="1146" w:type="dxa"/>
            <w:tcBorders>
              <w:top w:val="nil"/>
              <w:left w:val="nil"/>
              <w:bottom w:val="nil"/>
              <w:right w:val="nil"/>
            </w:tcBorders>
            <w:shd w:val="clear" w:color="auto" w:fill="auto"/>
            <w:vAlign w:val="center"/>
          </w:tcPr>
          <w:p w14:paraId="4455A65A"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(0.3, 1.1)</w:t>
            </w:r>
          </w:p>
        </w:tc>
      </w:tr>
      <w:tr w:rsidR="009118DA" w:rsidRPr="008A7800" w14:paraId="06469B55"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1B6D4483" w14:textId="77777777" w:rsidR="00B53E24" w:rsidRPr="008A7800" w:rsidRDefault="00B53E24" w:rsidP="00562826">
            <w:pPr>
              <w:keepNext/>
              <w:spacing w:before="20" w:after="20"/>
              <w:rPr>
                <w:rFonts w:eastAsiaTheme="minorEastAsia"/>
                <w:sz w:val="18"/>
                <w:szCs w:val="18"/>
                <w:lang w:eastAsia="en-US"/>
              </w:rPr>
            </w:pPr>
            <w:r w:rsidRPr="008A7800">
              <w:rPr>
                <w:rFonts w:eastAsiaTheme="minorEastAsia"/>
                <w:sz w:val="18"/>
                <w:szCs w:val="18"/>
                <w:lang w:eastAsia="en-US"/>
              </w:rPr>
              <w:t>In past month</w:t>
            </w:r>
          </w:p>
        </w:tc>
        <w:tc>
          <w:tcPr>
            <w:tcW w:w="666" w:type="dxa"/>
            <w:tcBorders>
              <w:top w:val="nil"/>
              <w:left w:val="nil"/>
              <w:bottom w:val="nil"/>
              <w:right w:val="nil"/>
            </w:tcBorders>
            <w:shd w:val="clear" w:color="auto" w:fill="auto"/>
            <w:noWrap/>
            <w:vAlign w:val="center"/>
          </w:tcPr>
          <w:p w14:paraId="49EA1175"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67" w:type="dxa"/>
            <w:tcBorders>
              <w:top w:val="nil"/>
              <w:left w:val="nil"/>
              <w:bottom w:val="nil"/>
              <w:right w:val="nil"/>
            </w:tcBorders>
            <w:shd w:val="clear" w:color="auto" w:fill="auto"/>
            <w:noWrap/>
            <w:vAlign w:val="center"/>
          </w:tcPr>
          <w:p w14:paraId="33AC945D"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auto"/>
            </w:tcBorders>
            <w:shd w:val="clear" w:color="auto" w:fill="auto"/>
            <w:noWrap/>
            <w:vAlign w:val="center"/>
          </w:tcPr>
          <w:p w14:paraId="7EC48BF9"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66" w:type="dxa"/>
            <w:tcBorders>
              <w:top w:val="nil"/>
              <w:left w:val="single" w:sz="4" w:space="0" w:color="auto"/>
              <w:bottom w:val="nil"/>
              <w:right w:val="nil"/>
            </w:tcBorders>
            <w:shd w:val="clear" w:color="auto" w:fill="auto"/>
            <w:noWrap/>
            <w:vAlign w:val="center"/>
          </w:tcPr>
          <w:p w14:paraId="553AC7A4"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67" w:type="dxa"/>
            <w:tcBorders>
              <w:top w:val="nil"/>
              <w:left w:val="nil"/>
              <w:bottom w:val="nil"/>
              <w:right w:val="nil"/>
            </w:tcBorders>
            <w:shd w:val="clear" w:color="auto" w:fill="auto"/>
            <w:noWrap/>
            <w:vAlign w:val="center"/>
          </w:tcPr>
          <w:p w14:paraId="4B09C5E7"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auto"/>
            <w:noWrap/>
            <w:vAlign w:val="center"/>
          </w:tcPr>
          <w:p w14:paraId="50FA1B43"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66" w:type="dxa"/>
            <w:tcBorders>
              <w:top w:val="nil"/>
              <w:left w:val="single" w:sz="4" w:space="0" w:color="000000"/>
              <w:bottom w:val="nil"/>
              <w:right w:val="nil"/>
            </w:tcBorders>
            <w:shd w:val="clear" w:color="auto" w:fill="auto"/>
            <w:vAlign w:val="center"/>
          </w:tcPr>
          <w:p w14:paraId="25F4CC35"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67" w:type="dxa"/>
            <w:tcBorders>
              <w:top w:val="nil"/>
              <w:left w:val="nil"/>
              <w:bottom w:val="nil"/>
              <w:right w:val="nil"/>
            </w:tcBorders>
            <w:shd w:val="clear" w:color="auto" w:fill="auto"/>
            <w:vAlign w:val="center"/>
          </w:tcPr>
          <w:p w14:paraId="3B4AD230"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auto"/>
            <w:vAlign w:val="center"/>
          </w:tcPr>
          <w:p w14:paraId="406E5979"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16" w:type="dxa"/>
            <w:tcBorders>
              <w:top w:val="nil"/>
              <w:left w:val="single" w:sz="4" w:space="0" w:color="000000"/>
              <w:bottom w:val="nil"/>
              <w:right w:val="nil"/>
            </w:tcBorders>
            <w:shd w:val="clear" w:color="auto" w:fill="auto"/>
            <w:vAlign w:val="center"/>
          </w:tcPr>
          <w:p w14:paraId="646B4F38"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76" w:type="dxa"/>
            <w:tcBorders>
              <w:top w:val="nil"/>
              <w:left w:val="nil"/>
              <w:bottom w:val="nil"/>
              <w:right w:val="nil"/>
            </w:tcBorders>
            <w:shd w:val="clear" w:color="auto" w:fill="auto"/>
            <w:vAlign w:val="center"/>
          </w:tcPr>
          <w:p w14:paraId="03CB1680"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nil"/>
            </w:tcBorders>
            <w:shd w:val="clear" w:color="auto" w:fill="auto"/>
            <w:vAlign w:val="center"/>
          </w:tcPr>
          <w:p w14:paraId="212AE958"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r>
      <w:tr w:rsidR="009118DA" w:rsidRPr="008A7800" w14:paraId="7D87B696"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5DC1AE7F" w14:textId="77777777" w:rsidR="00B53E24" w:rsidRPr="008A7800" w:rsidRDefault="00B53E24" w:rsidP="00562826">
            <w:pPr>
              <w:keepNext/>
              <w:spacing w:before="20" w:after="20"/>
              <w:rPr>
                <w:rFonts w:eastAsiaTheme="minorEastAsia"/>
                <w:b w:val="0"/>
                <w:sz w:val="18"/>
                <w:szCs w:val="18"/>
                <w:lang w:eastAsia="en-US"/>
              </w:rPr>
            </w:pPr>
            <w:r w:rsidRPr="008A7800">
              <w:rPr>
                <w:rFonts w:eastAsiaTheme="minorEastAsia"/>
                <w:b w:val="0"/>
                <w:sz w:val="18"/>
                <w:szCs w:val="18"/>
                <w:lang w:eastAsia="en-US"/>
              </w:rPr>
              <w:t>Card games</w:t>
            </w:r>
          </w:p>
        </w:tc>
        <w:tc>
          <w:tcPr>
            <w:tcW w:w="666" w:type="dxa"/>
            <w:tcBorders>
              <w:top w:val="nil"/>
              <w:left w:val="nil"/>
              <w:bottom w:val="nil"/>
              <w:right w:val="nil"/>
            </w:tcBorders>
            <w:shd w:val="clear" w:color="auto" w:fill="auto"/>
            <w:noWrap/>
            <w:vAlign w:val="center"/>
          </w:tcPr>
          <w:p w14:paraId="6A5014D4"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82</w:t>
            </w:r>
          </w:p>
        </w:tc>
        <w:tc>
          <w:tcPr>
            <w:tcW w:w="567" w:type="dxa"/>
            <w:tcBorders>
              <w:top w:val="nil"/>
              <w:left w:val="nil"/>
              <w:bottom w:val="nil"/>
              <w:right w:val="nil"/>
            </w:tcBorders>
            <w:shd w:val="clear" w:color="auto" w:fill="auto"/>
            <w:noWrap/>
            <w:vAlign w:val="center"/>
          </w:tcPr>
          <w:p w14:paraId="1D3BE8ED"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1.3</w:t>
            </w:r>
          </w:p>
        </w:tc>
        <w:tc>
          <w:tcPr>
            <w:tcW w:w="1146" w:type="dxa"/>
            <w:tcBorders>
              <w:top w:val="nil"/>
              <w:left w:val="nil"/>
              <w:bottom w:val="nil"/>
              <w:right w:val="single" w:sz="4" w:space="0" w:color="auto"/>
            </w:tcBorders>
            <w:shd w:val="clear" w:color="auto" w:fill="auto"/>
            <w:noWrap/>
            <w:vAlign w:val="center"/>
          </w:tcPr>
          <w:p w14:paraId="1E6392C2"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(1.0, 1.7)</w:t>
            </w:r>
          </w:p>
        </w:tc>
        <w:tc>
          <w:tcPr>
            <w:tcW w:w="666" w:type="dxa"/>
            <w:tcBorders>
              <w:top w:val="nil"/>
              <w:left w:val="single" w:sz="4" w:space="0" w:color="auto"/>
              <w:bottom w:val="nil"/>
              <w:right w:val="nil"/>
            </w:tcBorders>
            <w:shd w:val="clear" w:color="auto" w:fill="auto"/>
            <w:noWrap/>
            <w:vAlign w:val="center"/>
          </w:tcPr>
          <w:p w14:paraId="6D01DAF7"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36</w:t>
            </w:r>
          </w:p>
        </w:tc>
        <w:tc>
          <w:tcPr>
            <w:tcW w:w="567" w:type="dxa"/>
            <w:tcBorders>
              <w:top w:val="nil"/>
              <w:left w:val="nil"/>
              <w:bottom w:val="nil"/>
              <w:right w:val="nil"/>
            </w:tcBorders>
            <w:shd w:val="clear" w:color="auto" w:fill="auto"/>
            <w:noWrap/>
            <w:vAlign w:val="center"/>
          </w:tcPr>
          <w:p w14:paraId="7B3A224C"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w:t>
            </w:r>
          </w:p>
        </w:tc>
        <w:tc>
          <w:tcPr>
            <w:tcW w:w="1146" w:type="dxa"/>
            <w:tcBorders>
              <w:top w:val="nil"/>
              <w:left w:val="nil"/>
              <w:bottom w:val="nil"/>
              <w:right w:val="single" w:sz="4" w:space="0" w:color="000000"/>
            </w:tcBorders>
            <w:shd w:val="clear" w:color="auto" w:fill="auto"/>
            <w:noWrap/>
            <w:vAlign w:val="center"/>
          </w:tcPr>
          <w:p w14:paraId="0042C575"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(0.6, 1.3)</w:t>
            </w:r>
          </w:p>
        </w:tc>
        <w:tc>
          <w:tcPr>
            <w:tcW w:w="666" w:type="dxa"/>
            <w:tcBorders>
              <w:top w:val="nil"/>
              <w:left w:val="single" w:sz="4" w:space="0" w:color="000000"/>
              <w:bottom w:val="nil"/>
              <w:right w:val="nil"/>
            </w:tcBorders>
            <w:shd w:val="clear" w:color="auto" w:fill="auto"/>
            <w:vAlign w:val="center"/>
          </w:tcPr>
          <w:p w14:paraId="1C9DD91F"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25</w:t>
            </w:r>
          </w:p>
        </w:tc>
        <w:tc>
          <w:tcPr>
            <w:tcW w:w="567" w:type="dxa"/>
            <w:tcBorders>
              <w:top w:val="nil"/>
              <w:left w:val="nil"/>
              <w:bottom w:val="nil"/>
              <w:right w:val="nil"/>
            </w:tcBorders>
            <w:shd w:val="clear" w:color="auto" w:fill="auto"/>
            <w:vAlign w:val="center"/>
          </w:tcPr>
          <w:p w14:paraId="6E9F35E7"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0.8</w:t>
            </w:r>
          </w:p>
        </w:tc>
        <w:tc>
          <w:tcPr>
            <w:tcW w:w="1146" w:type="dxa"/>
            <w:tcBorders>
              <w:top w:val="nil"/>
              <w:left w:val="nil"/>
              <w:bottom w:val="nil"/>
              <w:right w:val="single" w:sz="4" w:space="0" w:color="000000"/>
            </w:tcBorders>
            <w:shd w:val="clear" w:color="auto" w:fill="auto"/>
            <w:vAlign w:val="center"/>
          </w:tcPr>
          <w:p w14:paraId="6CE3DD9F"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(0.4, 1.2)</w:t>
            </w:r>
          </w:p>
        </w:tc>
        <w:tc>
          <w:tcPr>
            <w:tcW w:w="616" w:type="dxa"/>
            <w:tcBorders>
              <w:top w:val="nil"/>
              <w:left w:val="single" w:sz="4" w:space="0" w:color="000000"/>
              <w:bottom w:val="nil"/>
              <w:right w:val="nil"/>
            </w:tcBorders>
            <w:shd w:val="clear" w:color="auto" w:fill="auto"/>
            <w:vAlign w:val="center"/>
          </w:tcPr>
          <w:p w14:paraId="7CB9FC97" w14:textId="77777777" w:rsidR="00B53E24" w:rsidRPr="008A7800" w:rsidRDefault="00B53E24" w:rsidP="0056282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22</w:t>
            </w:r>
          </w:p>
        </w:tc>
        <w:tc>
          <w:tcPr>
            <w:tcW w:w="576" w:type="dxa"/>
            <w:tcBorders>
              <w:top w:val="nil"/>
              <w:left w:val="nil"/>
              <w:bottom w:val="nil"/>
              <w:right w:val="nil"/>
            </w:tcBorders>
            <w:shd w:val="clear" w:color="auto" w:fill="auto"/>
            <w:vAlign w:val="center"/>
          </w:tcPr>
          <w:p w14:paraId="061C395A" w14:textId="77777777" w:rsidR="00B53E24" w:rsidRPr="008A7800" w:rsidRDefault="00B53E24" w:rsidP="0056282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0.8</w:t>
            </w:r>
          </w:p>
        </w:tc>
        <w:tc>
          <w:tcPr>
            <w:tcW w:w="1146" w:type="dxa"/>
            <w:tcBorders>
              <w:top w:val="nil"/>
              <w:left w:val="nil"/>
              <w:bottom w:val="nil"/>
              <w:right w:val="nil"/>
            </w:tcBorders>
            <w:shd w:val="clear" w:color="auto" w:fill="auto"/>
            <w:vAlign w:val="center"/>
          </w:tcPr>
          <w:p w14:paraId="03D0D4FE" w14:textId="77777777" w:rsidR="00B53E24" w:rsidRPr="008A7800" w:rsidRDefault="00B53E24" w:rsidP="0056282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(0.4, 1.2)</w:t>
            </w:r>
          </w:p>
        </w:tc>
      </w:tr>
      <w:tr w:rsidR="009118DA" w:rsidRPr="008A7800" w14:paraId="70E989FE"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5A74A009" w14:textId="77777777" w:rsidR="00B53E24" w:rsidRPr="008A7800" w:rsidRDefault="00B53E24" w:rsidP="00562826">
            <w:pPr>
              <w:keepNext/>
              <w:spacing w:before="20" w:after="20"/>
              <w:rPr>
                <w:rFonts w:eastAsiaTheme="minorEastAsia"/>
                <w:b w:val="0"/>
                <w:sz w:val="18"/>
                <w:szCs w:val="18"/>
              </w:rPr>
            </w:pPr>
            <w:r w:rsidRPr="008A7800">
              <w:rPr>
                <w:rFonts w:eastAsiaTheme="minorEastAsia"/>
                <w:b w:val="0"/>
                <w:sz w:val="18"/>
                <w:szCs w:val="18"/>
              </w:rPr>
              <w:t>Bets with friends/workmates</w:t>
            </w:r>
          </w:p>
        </w:tc>
        <w:tc>
          <w:tcPr>
            <w:tcW w:w="666" w:type="dxa"/>
            <w:tcBorders>
              <w:top w:val="nil"/>
              <w:left w:val="nil"/>
              <w:bottom w:val="nil"/>
              <w:right w:val="nil"/>
            </w:tcBorders>
            <w:shd w:val="clear" w:color="auto" w:fill="auto"/>
            <w:noWrap/>
            <w:vAlign w:val="center"/>
          </w:tcPr>
          <w:p w14:paraId="472C69BD"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97</w:t>
            </w:r>
          </w:p>
        </w:tc>
        <w:tc>
          <w:tcPr>
            <w:tcW w:w="567" w:type="dxa"/>
            <w:tcBorders>
              <w:top w:val="nil"/>
              <w:left w:val="nil"/>
              <w:bottom w:val="nil"/>
              <w:right w:val="nil"/>
            </w:tcBorders>
            <w:shd w:val="clear" w:color="auto" w:fill="auto"/>
            <w:noWrap/>
            <w:vAlign w:val="center"/>
          </w:tcPr>
          <w:p w14:paraId="0DE143CA"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1.5</w:t>
            </w:r>
          </w:p>
        </w:tc>
        <w:tc>
          <w:tcPr>
            <w:tcW w:w="1146" w:type="dxa"/>
            <w:tcBorders>
              <w:top w:val="nil"/>
              <w:left w:val="nil"/>
              <w:bottom w:val="nil"/>
              <w:right w:val="single" w:sz="4" w:space="0" w:color="auto"/>
            </w:tcBorders>
            <w:shd w:val="clear" w:color="auto" w:fill="auto"/>
            <w:noWrap/>
            <w:vAlign w:val="center"/>
          </w:tcPr>
          <w:p w14:paraId="15F264D7"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(1.2, 1.9)</w:t>
            </w:r>
          </w:p>
        </w:tc>
        <w:tc>
          <w:tcPr>
            <w:tcW w:w="666" w:type="dxa"/>
            <w:tcBorders>
              <w:top w:val="nil"/>
              <w:left w:val="single" w:sz="4" w:space="0" w:color="auto"/>
              <w:bottom w:val="nil"/>
              <w:right w:val="nil"/>
            </w:tcBorders>
            <w:shd w:val="clear" w:color="auto" w:fill="auto"/>
            <w:noWrap/>
            <w:vAlign w:val="center"/>
          </w:tcPr>
          <w:p w14:paraId="0F135863"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62</w:t>
            </w:r>
          </w:p>
        </w:tc>
        <w:tc>
          <w:tcPr>
            <w:tcW w:w="567" w:type="dxa"/>
            <w:tcBorders>
              <w:top w:val="nil"/>
              <w:left w:val="nil"/>
              <w:bottom w:val="nil"/>
              <w:right w:val="nil"/>
            </w:tcBorders>
            <w:shd w:val="clear" w:color="auto" w:fill="auto"/>
            <w:noWrap/>
            <w:vAlign w:val="center"/>
          </w:tcPr>
          <w:p w14:paraId="74327DFE"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w:t>
            </w:r>
          </w:p>
        </w:tc>
        <w:tc>
          <w:tcPr>
            <w:tcW w:w="1146" w:type="dxa"/>
            <w:tcBorders>
              <w:top w:val="nil"/>
              <w:left w:val="nil"/>
              <w:bottom w:val="nil"/>
              <w:right w:val="single" w:sz="4" w:space="0" w:color="000000"/>
            </w:tcBorders>
            <w:shd w:val="clear" w:color="auto" w:fill="auto"/>
            <w:noWrap/>
            <w:vAlign w:val="center"/>
          </w:tcPr>
          <w:p w14:paraId="501863AC"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(1.1, 2.2)</w:t>
            </w:r>
          </w:p>
        </w:tc>
        <w:tc>
          <w:tcPr>
            <w:tcW w:w="666" w:type="dxa"/>
            <w:tcBorders>
              <w:top w:val="nil"/>
              <w:left w:val="single" w:sz="4" w:space="0" w:color="000000"/>
              <w:bottom w:val="nil"/>
              <w:right w:val="nil"/>
            </w:tcBorders>
            <w:shd w:val="clear" w:color="auto" w:fill="auto"/>
            <w:vAlign w:val="center"/>
          </w:tcPr>
          <w:p w14:paraId="52B494A0"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38</w:t>
            </w:r>
          </w:p>
        </w:tc>
        <w:tc>
          <w:tcPr>
            <w:tcW w:w="567" w:type="dxa"/>
            <w:tcBorders>
              <w:top w:val="nil"/>
              <w:left w:val="nil"/>
              <w:bottom w:val="nil"/>
              <w:right w:val="nil"/>
            </w:tcBorders>
            <w:shd w:val="clear" w:color="auto" w:fill="auto"/>
            <w:vAlign w:val="center"/>
          </w:tcPr>
          <w:p w14:paraId="74B6A17A"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w:t>
            </w:r>
          </w:p>
        </w:tc>
        <w:tc>
          <w:tcPr>
            <w:tcW w:w="1146" w:type="dxa"/>
            <w:tcBorders>
              <w:top w:val="nil"/>
              <w:left w:val="nil"/>
              <w:bottom w:val="nil"/>
              <w:right w:val="single" w:sz="4" w:space="0" w:color="000000"/>
            </w:tcBorders>
            <w:shd w:val="clear" w:color="auto" w:fill="auto"/>
            <w:vAlign w:val="center"/>
          </w:tcPr>
          <w:p w14:paraId="1D5DBFFB"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(0.8, 1.6)</w:t>
            </w:r>
          </w:p>
        </w:tc>
        <w:tc>
          <w:tcPr>
            <w:tcW w:w="616" w:type="dxa"/>
            <w:tcBorders>
              <w:top w:val="nil"/>
              <w:left w:val="single" w:sz="4" w:space="0" w:color="000000"/>
              <w:bottom w:val="nil"/>
              <w:right w:val="nil"/>
            </w:tcBorders>
            <w:shd w:val="clear" w:color="auto" w:fill="auto"/>
            <w:vAlign w:val="center"/>
          </w:tcPr>
          <w:p w14:paraId="309AC0FF" w14:textId="77777777" w:rsidR="00B53E24" w:rsidRPr="008A7800" w:rsidRDefault="00B53E24" w:rsidP="0056282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27</w:t>
            </w:r>
          </w:p>
        </w:tc>
        <w:tc>
          <w:tcPr>
            <w:tcW w:w="576" w:type="dxa"/>
            <w:tcBorders>
              <w:top w:val="nil"/>
              <w:left w:val="nil"/>
              <w:bottom w:val="nil"/>
              <w:right w:val="nil"/>
            </w:tcBorders>
            <w:shd w:val="clear" w:color="auto" w:fill="auto"/>
            <w:vAlign w:val="center"/>
          </w:tcPr>
          <w:p w14:paraId="3BEAD50C" w14:textId="77777777" w:rsidR="00B53E24" w:rsidRPr="008A7800" w:rsidRDefault="00B53E24" w:rsidP="0056282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1.0</w:t>
            </w:r>
          </w:p>
        </w:tc>
        <w:tc>
          <w:tcPr>
            <w:tcW w:w="1146" w:type="dxa"/>
            <w:tcBorders>
              <w:top w:val="nil"/>
              <w:left w:val="nil"/>
              <w:bottom w:val="nil"/>
              <w:right w:val="nil"/>
            </w:tcBorders>
            <w:shd w:val="clear" w:color="auto" w:fill="auto"/>
            <w:vAlign w:val="center"/>
          </w:tcPr>
          <w:p w14:paraId="3AFC021B" w14:textId="77777777" w:rsidR="00B53E24" w:rsidRPr="008A7800" w:rsidRDefault="00B53E24" w:rsidP="0056282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(0.6, 1.4)</w:t>
            </w:r>
          </w:p>
        </w:tc>
      </w:tr>
      <w:tr w:rsidR="009118DA" w:rsidRPr="008A7800" w14:paraId="23A396D9"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4A5FBA5A" w14:textId="77777777" w:rsidR="00B53E24" w:rsidRPr="008A7800" w:rsidRDefault="00B53E24" w:rsidP="00562826">
            <w:pPr>
              <w:keepNext/>
              <w:spacing w:before="20" w:after="20"/>
              <w:rPr>
                <w:rFonts w:eastAsiaTheme="minorEastAsia"/>
                <w:b w:val="0"/>
                <w:sz w:val="18"/>
                <w:szCs w:val="18"/>
                <w:lang w:eastAsia="en-US"/>
              </w:rPr>
            </w:pPr>
            <w:r w:rsidRPr="008A7800">
              <w:rPr>
                <w:rFonts w:eastAsiaTheme="minorEastAsia"/>
                <w:b w:val="0"/>
                <w:sz w:val="18"/>
                <w:szCs w:val="18"/>
                <w:lang w:eastAsia="en-US"/>
              </w:rPr>
              <w:t>Text game or competition</w:t>
            </w:r>
          </w:p>
        </w:tc>
        <w:tc>
          <w:tcPr>
            <w:tcW w:w="666" w:type="dxa"/>
            <w:tcBorders>
              <w:top w:val="nil"/>
              <w:left w:val="nil"/>
              <w:bottom w:val="nil"/>
              <w:right w:val="nil"/>
            </w:tcBorders>
            <w:shd w:val="clear" w:color="auto" w:fill="auto"/>
            <w:noWrap/>
            <w:vAlign w:val="center"/>
          </w:tcPr>
          <w:p w14:paraId="557CE9E2"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39</w:t>
            </w:r>
          </w:p>
        </w:tc>
        <w:tc>
          <w:tcPr>
            <w:tcW w:w="567" w:type="dxa"/>
            <w:tcBorders>
              <w:top w:val="nil"/>
              <w:left w:val="nil"/>
              <w:bottom w:val="nil"/>
              <w:right w:val="nil"/>
            </w:tcBorders>
            <w:shd w:val="clear" w:color="auto" w:fill="auto"/>
            <w:noWrap/>
            <w:vAlign w:val="center"/>
          </w:tcPr>
          <w:p w14:paraId="34255F1D"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0.6</w:t>
            </w:r>
          </w:p>
        </w:tc>
        <w:tc>
          <w:tcPr>
            <w:tcW w:w="1146" w:type="dxa"/>
            <w:tcBorders>
              <w:top w:val="nil"/>
              <w:left w:val="nil"/>
              <w:bottom w:val="nil"/>
              <w:right w:val="single" w:sz="4" w:space="0" w:color="auto"/>
            </w:tcBorders>
            <w:shd w:val="clear" w:color="auto" w:fill="auto"/>
            <w:noWrap/>
            <w:vAlign w:val="center"/>
          </w:tcPr>
          <w:p w14:paraId="18BEB77A"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(0.4, 0.9)</w:t>
            </w:r>
          </w:p>
        </w:tc>
        <w:tc>
          <w:tcPr>
            <w:tcW w:w="666" w:type="dxa"/>
            <w:tcBorders>
              <w:top w:val="nil"/>
              <w:left w:val="single" w:sz="4" w:space="0" w:color="auto"/>
              <w:bottom w:val="nil"/>
              <w:right w:val="nil"/>
            </w:tcBorders>
            <w:shd w:val="clear" w:color="auto" w:fill="auto"/>
            <w:noWrap/>
            <w:vAlign w:val="center"/>
          </w:tcPr>
          <w:p w14:paraId="679171EC"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14</w:t>
            </w:r>
          </w:p>
        </w:tc>
        <w:tc>
          <w:tcPr>
            <w:tcW w:w="567" w:type="dxa"/>
            <w:tcBorders>
              <w:top w:val="nil"/>
              <w:left w:val="nil"/>
              <w:bottom w:val="nil"/>
              <w:right w:val="nil"/>
            </w:tcBorders>
            <w:shd w:val="clear" w:color="auto" w:fill="auto"/>
            <w:noWrap/>
            <w:vAlign w:val="center"/>
          </w:tcPr>
          <w:p w14:paraId="51CC6A30"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0.4</w:t>
            </w:r>
          </w:p>
        </w:tc>
        <w:tc>
          <w:tcPr>
            <w:tcW w:w="1146" w:type="dxa"/>
            <w:tcBorders>
              <w:top w:val="nil"/>
              <w:left w:val="nil"/>
              <w:bottom w:val="nil"/>
              <w:right w:val="single" w:sz="4" w:space="0" w:color="000000"/>
            </w:tcBorders>
            <w:shd w:val="clear" w:color="auto" w:fill="auto"/>
            <w:noWrap/>
            <w:vAlign w:val="center"/>
          </w:tcPr>
          <w:p w14:paraId="2A128C27"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(0.1, 0.7)</w:t>
            </w:r>
          </w:p>
        </w:tc>
        <w:tc>
          <w:tcPr>
            <w:tcW w:w="666" w:type="dxa"/>
            <w:tcBorders>
              <w:top w:val="nil"/>
              <w:left w:val="single" w:sz="4" w:space="0" w:color="000000"/>
              <w:bottom w:val="nil"/>
              <w:right w:val="nil"/>
            </w:tcBorders>
            <w:shd w:val="clear" w:color="auto" w:fill="auto"/>
            <w:vAlign w:val="center"/>
          </w:tcPr>
          <w:p w14:paraId="24979068"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10</w:t>
            </w:r>
          </w:p>
        </w:tc>
        <w:tc>
          <w:tcPr>
            <w:tcW w:w="567" w:type="dxa"/>
            <w:tcBorders>
              <w:top w:val="nil"/>
              <w:left w:val="nil"/>
              <w:bottom w:val="nil"/>
              <w:right w:val="nil"/>
            </w:tcBorders>
            <w:shd w:val="clear" w:color="auto" w:fill="auto"/>
            <w:vAlign w:val="center"/>
          </w:tcPr>
          <w:p w14:paraId="658BB042"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0.3</w:t>
            </w:r>
          </w:p>
        </w:tc>
        <w:tc>
          <w:tcPr>
            <w:tcW w:w="1146" w:type="dxa"/>
            <w:tcBorders>
              <w:top w:val="nil"/>
              <w:left w:val="nil"/>
              <w:bottom w:val="nil"/>
              <w:right w:val="single" w:sz="4" w:space="0" w:color="000000"/>
            </w:tcBorders>
            <w:shd w:val="clear" w:color="auto" w:fill="auto"/>
            <w:vAlign w:val="center"/>
          </w:tcPr>
          <w:p w14:paraId="3AF5C2F2"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(0.1, 0.5)</w:t>
            </w:r>
          </w:p>
        </w:tc>
        <w:tc>
          <w:tcPr>
            <w:tcW w:w="616" w:type="dxa"/>
            <w:tcBorders>
              <w:top w:val="nil"/>
              <w:left w:val="single" w:sz="4" w:space="0" w:color="000000"/>
              <w:bottom w:val="nil"/>
              <w:right w:val="nil"/>
            </w:tcBorders>
            <w:shd w:val="clear" w:color="auto" w:fill="auto"/>
            <w:vAlign w:val="center"/>
          </w:tcPr>
          <w:p w14:paraId="01449822" w14:textId="77777777" w:rsidR="00B53E24" w:rsidRPr="008A7800" w:rsidRDefault="00B53E24" w:rsidP="0056282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w:t>
            </w:r>
          </w:p>
        </w:tc>
        <w:tc>
          <w:tcPr>
            <w:tcW w:w="576" w:type="dxa"/>
            <w:tcBorders>
              <w:top w:val="nil"/>
              <w:left w:val="nil"/>
              <w:bottom w:val="nil"/>
              <w:right w:val="nil"/>
            </w:tcBorders>
            <w:shd w:val="clear" w:color="auto" w:fill="auto"/>
            <w:vAlign w:val="center"/>
          </w:tcPr>
          <w:p w14:paraId="3F8CF824" w14:textId="77777777" w:rsidR="00B53E24" w:rsidRPr="008A7800" w:rsidRDefault="00B53E24" w:rsidP="0056282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0.3</w:t>
            </w:r>
          </w:p>
        </w:tc>
        <w:tc>
          <w:tcPr>
            <w:tcW w:w="1146" w:type="dxa"/>
            <w:tcBorders>
              <w:top w:val="nil"/>
              <w:left w:val="nil"/>
              <w:bottom w:val="nil"/>
              <w:right w:val="nil"/>
            </w:tcBorders>
            <w:shd w:val="clear" w:color="auto" w:fill="auto"/>
            <w:vAlign w:val="center"/>
          </w:tcPr>
          <w:p w14:paraId="1E1841DE" w14:textId="77777777" w:rsidR="00B53E24" w:rsidRPr="008A7800" w:rsidRDefault="00B53E24" w:rsidP="0056282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(0.1, 0.5)</w:t>
            </w:r>
          </w:p>
        </w:tc>
      </w:tr>
      <w:tr w:rsidR="009118DA" w:rsidRPr="008A7800" w14:paraId="4CBD348B"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55DEDB52" w14:textId="77777777" w:rsidR="00B53E24" w:rsidRPr="008A7800" w:rsidRDefault="00B53E24" w:rsidP="00562826">
            <w:pPr>
              <w:keepNext/>
              <w:spacing w:before="20" w:after="20"/>
              <w:rPr>
                <w:rFonts w:eastAsiaTheme="minorEastAsia"/>
                <w:b w:val="0"/>
                <w:sz w:val="18"/>
                <w:szCs w:val="18"/>
                <w:lang w:eastAsia="en-US"/>
              </w:rPr>
            </w:pPr>
            <w:r w:rsidRPr="008A7800">
              <w:rPr>
                <w:rFonts w:eastAsiaTheme="minorEastAsia"/>
                <w:b w:val="0"/>
                <w:sz w:val="18"/>
                <w:szCs w:val="18"/>
                <w:lang w:eastAsia="en-US"/>
              </w:rPr>
              <w:t>Raffle/lottery (NZ or overseas)</w:t>
            </w:r>
          </w:p>
        </w:tc>
        <w:tc>
          <w:tcPr>
            <w:tcW w:w="666" w:type="dxa"/>
            <w:tcBorders>
              <w:top w:val="nil"/>
              <w:left w:val="nil"/>
              <w:bottom w:val="nil"/>
              <w:right w:val="nil"/>
            </w:tcBorders>
            <w:shd w:val="clear" w:color="auto" w:fill="auto"/>
            <w:noWrap/>
            <w:vAlign w:val="center"/>
          </w:tcPr>
          <w:p w14:paraId="6190C67B"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684</w:t>
            </w:r>
          </w:p>
        </w:tc>
        <w:tc>
          <w:tcPr>
            <w:tcW w:w="567" w:type="dxa"/>
            <w:tcBorders>
              <w:top w:val="nil"/>
              <w:left w:val="nil"/>
              <w:bottom w:val="nil"/>
              <w:right w:val="nil"/>
            </w:tcBorders>
            <w:shd w:val="clear" w:color="auto" w:fill="auto"/>
            <w:noWrap/>
            <w:vAlign w:val="center"/>
          </w:tcPr>
          <w:p w14:paraId="0A1B59E4"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10.9</w:t>
            </w:r>
          </w:p>
        </w:tc>
        <w:tc>
          <w:tcPr>
            <w:tcW w:w="1146" w:type="dxa"/>
            <w:tcBorders>
              <w:top w:val="nil"/>
              <w:left w:val="nil"/>
              <w:bottom w:val="nil"/>
              <w:right w:val="single" w:sz="4" w:space="0" w:color="auto"/>
            </w:tcBorders>
            <w:shd w:val="clear" w:color="auto" w:fill="auto"/>
            <w:noWrap/>
            <w:vAlign w:val="center"/>
          </w:tcPr>
          <w:p w14:paraId="5654474F"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(10.1, 11.8)</w:t>
            </w:r>
          </w:p>
        </w:tc>
        <w:tc>
          <w:tcPr>
            <w:tcW w:w="666" w:type="dxa"/>
            <w:tcBorders>
              <w:top w:val="nil"/>
              <w:left w:val="single" w:sz="4" w:space="0" w:color="auto"/>
              <w:bottom w:val="nil"/>
              <w:right w:val="nil"/>
            </w:tcBorders>
            <w:shd w:val="clear" w:color="auto" w:fill="auto"/>
            <w:noWrap/>
            <w:vAlign w:val="center"/>
          </w:tcPr>
          <w:p w14:paraId="7A408679"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4.4</w:t>
            </w:r>
          </w:p>
        </w:tc>
        <w:tc>
          <w:tcPr>
            <w:tcW w:w="567" w:type="dxa"/>
            <w:tcBorders>
              <w:top w:val="nil"/>
              <w:left w:val="nil"/>
              <w:bottom w:val="nil"/>
              <w:right w:val="nil"/>
            </w:tcBorders>
            <w:shd w:val="clear" w:color="auto" w:fill="auto"/>
            <w:noWrap/>
            <w:vAlign w:val="center"/>
          </w:tcPr>
          <w:p w14:paraId="1873DBED"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10.8</w:t>
            </w:r>
          </w:p>
        </w:tc>
        <w:tc>
          <w:tcPr>
            <w:tcW w:w="1146" w:type="dxa"/>
            <w:tcBorders>
              <w:top w:val="nil"/>
              <w:left w:val="nil"/>
              <w:bottom w:val="nil"/>
              <w:right w:val="single" w:sz="4" w:space="0" w:color="000000"/>
            </w:tcBorders>
            <w:shd w:val="clear" w:color="auto" w:fill="auto"/>
            <w:noWrap/>
            <w:vAlign w:val="center"/>
          </w:tcPr>
          <w:p w14:paraId="2FC8D243"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(9.7, 11.9)</w:t>
            </w:r>
          </w:p>
        </w:tc>
        <w:tc>
          <w:tcPr>
            <w:tcW w:w="666" w:type="dxa"/>
            <w:tcBorders>
              <w:top w:val="nil"/>
              <w:left w:val="single" w:sz="4" w:space="0" w:color="000000"/>
              <w:bottom w:val="nil"/>
              <w:right w:val="nil"/>
            </w:tcBorders>
            <w:shd w:val="clear" w:color="auto" w:fill="auto"/>
            <w:vAlign w:val="center"/>
          </w:tcPr>
          <w:p w14:paraId="463732E6"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271</w:t>
            </w:r>
          </w:p>
        </w:tc>
        <w:tc>
          <w:tcPr>
            <w:tcW w:w="567" w:type="dxa"/>
            <w:tcBorders>
              <w:top w:val="nil"/>
              <w:left w:val="nil"/>
              <w:bottom w:val="nil"/>
              <w:right w:val="nil"/>
            </w:tcBorders>
            <w:shd w:val="clear" w:color="auto" w:fill="auto"/>
            <w:vAlign w:val="center"/>
          </w:tcPr>
          <w:p w14:paraId="4EA8843C"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8.7</w:t>
            </w:r>
          </w:p>
        </w:tc>
        <w:tc>
          <w:tcPr>
            <w:tcW w:w="1146" w:type="dxa"/>
            <w:tcBorders>
              <w:top w:val="nil"/>
              <w:left w:val="nil"/>
              <w:bottom w:val="nil"/>
              <w:right w:val="single" w:sz="4" w:space="0" w:color="000000"/>
            </w:tcBorders>
            <w:shd w:val="clear" w:color="auto" w:fill="auto"/>
            <w:vAlign w:val="center"/>
          </w:tcPr>
          <w:p w14:paraId="31E5D41B"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(7.6, 9.8)</w:t>
            </w:r>
          </w:p>
        </w:tc>
        <w:tc>
          <w:tcPr>
            <w:tcW w:w="616" w:type="dxa"/>
            <w:tcBorders>
              <w:top w:val="nil"/>
              <w:left w:val="single" w:sz="4" w:space="0" w:color="000000"/>
              <w:bottom w:val="nil"/>
              <w:right w:val="nil"/>
            </w:tcBorders>
            <w:shd w:val="clear" w:color="auto" w:fill="auto"/>
            <w:vAlign w:val="center"/>
          </w:tcPr>
          <w:p w14:paraId="5906CF46" w14:textId="77777777" w:rsidR="00B53E24" w:rsidRPr="008A7800" w:rsidRDefault="00B53E24" w:rsidP="0056282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215</w:t>
            </w:r>
          </w:p>
        </w:tc>
        <w:tc>
          <w:tcPr>
            <w:tcW w:w="576" w:type="dxa"/>
            <w:tcBorders>
              <w:top w:val="nil"/>
              <w:left w:val="nil"/>
              <w:bottom w:val="nil"/>
              <w:right w:val="nil"/>
            </w:tcBorders>
            <w:shd w:val="clear" w:color="auto" w:fill="auto"/>
            <w:vAlign w:val="center"/>
          </w:tcPr>
          <w:p w14:paraId="754A847F" w14:textId="77777777" w:rsidR="00B53E24" w:rsidRPr="008A7800" w:rsidRDefault="00B53E24" w:rsidP="0056282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7.8</w:t>
            </w:r>
          </w:p>
        </w:tc>
        <w:tc>
          <w:tcPr>
            <w:tcW w:w="1146" w:type="dxa"/>
            <w:tcBorders>
              <w:top w:val="nil"/>
              <w:left w:val="nil"/>
              <w:bottom w:val="nil"/>
              <w:right w:val="nil"/>
            </w:tcBorders>
            <w:shd w:val="clear" w:color="auto" w:fill="auto"/>
            <w:vAlign w:val="center"/>
          </w:tcPr>
          <w:p w14:paraId="46C9F4B2" w14:textId="77777777" w:rsidR="00B53E24" w:rsidRPr="008A7800" w:rsidRDefault="00B53E24" w:rsidP="0056282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(6.7, 8.8)</w:t>
            </w:r>
          </w:p>
        </w:tc>
      </w:tr>
      <w:tr w:rsidR="009118DA" w:rsidRPr="008A7800" w14:paraId="20B1DF9B"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11959735" w14:textId="77777777" w:rsidR="00B53E24" w:rsidRPr="008A7800" w:rsidRDefault="00B53E24" w:rsidP="00562826">
            <w:pPr>
              <w:keepNext/>
              <w:spacing w:before="20" w:after="20"/>
              <w:rPr>
                <w:rFonts w:eastAsiaTheme="minorEastAsia"/>
                <w:b w:val="0"/>
                <w:sz w:val="18"/>
                <w:szCs w:val="18"/>
                <w:lang w:eastAsia="en-US"/>
              </w:rPr>
            </w:pPr>
            <w:r w:rsidRPr="008A7800">
              <w:rPr>
                <w:rFonts w:eastAsiaTheme="minorEastAsia"/>
                <w:b w:val="0"/>
                <w:sz w:val="18"/>
                <w:szCs w:val="18"/>
                <w:lang w:eastAsia="en-US"/>
              </w:rPr>
              <w:t xml:space="preserve">Lotto </w:t>
            </w:r>
          </w:p>
        </w:tc>
        <w:tc>
          <w:tcPr>
            <w:tcW w:w="666" w:type="dxa"/>
            <w:tcBorders>
              <w:top w:val="nil"/>
              <w:left w:val="nil"/>
              <w:bottom w:val="nil"/>
              <w:right w:val="nil"/>
            </w:tcBorders>
            <w:shd w:val="clear" w:color="auto" w:fill="auto"/>
            <w:noWrap/>
            <w:vAlign w:val="center"/>
          </w:tcPr>
          <w:p w14:paraId="32D69682"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2200</w:t>
            </w:r>
          </w:p>
        </w:tc>
        <w:tc>
          <w:tcPr>
            <w:tcW w:w="567" w:type="dxa"/>
            <w:tcBorders>
              <w:top w:val="nil"/>
              <w:left w:val="nil"/>
              <w:bottom w:val="nil"/>
              <w:right w:val="nil"/>
            </w:tcBorders>
            <w:shd w:val="clear" w:color="auto" w:fill="auto"/>
            <w:noWrap/>
            <w:vAlign w:val="center"/>
          </w:tcPr>
          <w:p w14:paraId="6D58D34A"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35.2</w:t>
            </w:r>
          </w:p>
        </w:tc>
        <w:tc>
          <w:tcPr>
            <w:tcW w:w="1146" w:type="dxa"/>
            <w:tcBorders>
              <w:top w:val="nil"/>
              <w:left w:val="nil"/>
              <w:bottom w:val="nil"/>
              <w:right w:val="single" w:sz="4" w:space="0" w:color="auto"/>
            </w:tcBorders>
            <w:shd w:val="clear" w:color="auto" w:fill="auto"/>
            <w:noWrap/>
            <w:vAlign w:val="center"/>
          </w:tcPr>
          <w:p w14:paraId="03AEA477"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(33.8, 36.6)</w:t>
            </w:r>
          </w:p>
        </w:tc>
        <w:tc>
          <w:tcPr>
            <w:tcW w:w="666" w:type="dxa"/>
            <w:tcBorders>
              <w:top w:val="nil"/>
              <w:left w:val="single" w:sz="4" w:space="0" w:color="auto"/>
              <w:bottom w:val="nil"/>
              <w:right w:val="nil"/>
            </w:tcBorders>
            <w:shd w:val="clear" w:color="auto" w:fill="auto"/>
            <w:noWrap/>
            <w:vAlign w:val="center"/>
          </w:tcPr>
          <w:p w14:paraId="5DE80FF8"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1224</w:t>
            </w:r>
          </w:p>
        </w:tc>
        <w:tc>
          <w:tcPr>
            <w:tcW w:w="567" w:type="dxa"/>
            <w:tcBorders>
              <w:top w:val="nil"/>
              <w:left w:val="nil"/>
              <w:bottom w:val="nil"/>
              <w:right w:val="nil"/>
            </w:tcBorders>
            <w:shd w:val="clear" w:color="auto" w:fill="auto"/>
            <w:noWrap/>
            <w:vAlign w:val="center"/>
          </w:tcPr>
          <w:p w14:paraId="2AB9736A"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32.7</w:t>
            </w:r>
          </w:p>
        </w:tc>
        <w:tc>
          <w:tcPr>
            <w:tcW w:w="1146" w:type="dxa"/>
            <w:tcBorders>
              <w:top w:val="nil"/>
              <w:left w:val="nil"/>
              <w:bottom w:val="nil"/>
              <w:right w:val="single" w:sz="4" w:space="0" w:color="000000"/>
            </w:tcBorders>
            <w:shd w:val="clear" w:color="auto" w:fill="auto"/>
            <w:noWrap/>
            <w:vAlign w:val="center"/>
          </w:tcPr>
          <w:p w14:paraId="278D6694"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(30.9, 34.4)</w:t>
            </w:r>
          </w:p>
        </w:tc>
        <w:tc>
          <w:tcPr>
            <w:tcW w:w="666" w:type="dxa"/>
            <w:tcBorders>
              <w:top w:val="nil"/>
              <w:left w:val="single" w:sz="4" w:space="0" w:color="000000"/>
              <w:bottom w:val="nil"/>
              <w:right w:val="nil"/>
            </w:tcBorders>
            <w:shd w:val="clear" w:color="auto" w:fill="auto"/>
            <w:vAlign w:val="center"/>
          </w:tcPr>
          <w:p w14:paraId="76A4F0A9"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1013</w:t>
            </w:r>
          </w:p>
        </w:tc>
        <w:tc>
          <w:tcPr>
            <w:tcW w:w="567" w:type="dxa"/>
            <w:tcBorders>
              <w:top w:val="nil"/>
              <w:left w:val="nil"/>
              <w:bottom w:val="nil"/>
              <w:right w:val="nil"/>
            </w:tcBorders>
            <w:shd w:val="clear" w:color="auto" w:fill="auto"/>
            <w:vAlign w:val="center"/>
          </w:tcPr>
          <w:p w14:paraId="30B18CBD"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32.4</w:t>
            </w:r>
          </w:p>
        </w:tc>
        <w:tc>
          <w:tcPr>
            <w:tcW w:w="1146" w:type="dxa"/>
            <w:tcBorders>
              <w:top w:val="nil"/>
              <w:left w:val="nil"/>
              <w:bottom w:val="nil"/>
              <w:right w:val="single" w:sz="4" w:space="0" w:color="000000"/>
            </w:tcBorders>
            <w:shd w:val="clear" w:color="auto" w:fill="auto"/>
            <w:vAlign w:val="center"/>
          </w:tcPr>
          <w:p w14:paraId="2671068E" w14:textId="77777777" w:rsidR="00B53E24" w:rsidRPr="008A7800" w:rsidRDefault="00B53E24" w:rsidP="00562826">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(30.5, 34.4)</w:t>
            </w:r>
          </w:p>
        </w:tc>
        <w:tc>
          <w:tcPr>
            <w:tcW w:w="616" w:type="dxa"/>
            <w:tcBorders>
              <w:top w:val="nil"/>
              <w:left w:val="single" w:sz="4" w:space="0" w:color="000000"/>
              <w:bottom w:val="nil"/>
              <w:right w:val="nil"/>
            </w:tcBorders>
            <w:shd w:val="clear" w:color="auto" w:fill="auto"/>
            <w:vAlign w:val="center"/>
          </w:tcPr>
          <w:p w14:paraId="59152B88" w14:textId="77777777" w:rsidR="00B53E24" w:rsidRPr="008A7800" w:rsidRDefault="00B53E24" w:rsidP="0056282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827</w:t>
            </w:r>
          </w:p>
        </w:tc>
        <w:tc>
          <w:tcPr>
            <w:tcW w:w="576" w:type="dxa"/>
            <w:tcBorders>
              <w:top w:val="nil"/>
              <w:left w:val="nil"/>
              <w:bottom w:val="nil"/>
              <w:right w:val="nil"/>
            </w:tcBorders>
            <w:shd w:val="clear" w:color="auto" w:fill="auto"/>
            <w:vAlign w:val="center"/>
          </w:tcPr>
          <w:p w14:paraId="1C33F838" w14:textId="77777777" w:rsidR="00B53E24" w:rsidRPr="008A7800" w:rsidRDefault="00B53E24" w:rsidP="0056282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29.8</w:t>
            </w:r>
          </w:p>
        </w:tc>
        <w:tc>
          <w:tcPr>
            <w:tcW w:w="1146" w:type="dxa"/>
            <w:tcBorders>
              <w:top w:val="nil"/>
              <w:left w:val="nil"/>
              <w:bottom w:val="nil"/>
              <w:right w:val="nil"/>
            </w:tcBorders>
            <w:shd w:val="clear" w:color="auto" w:fill="auto"/>
            <w:vAlign w:val="center"/>
          </w:tcPr>
          <w:p w14:paraId="10C640D5" w14:textId="77777777" w:rsidR="00B53E24" w:rsidRPr="008A7800" w:rsidRDefault="00B53E24" w:rsidP="0056282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(27.8, 31.9)</w:t>
            </w:r>
          </w:p>
        </w:tc>
      </w:tr>
      <w:tr w:rsidR="00FD4722" w:rsidRPr="008A7800" w14:paraId="4BABB4B2"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single" w:sz="4" w:space="0" w:color="auto"/>
              <w:right w:val="nil"/>
            </w:tcBorders>
            <w:shd w:val="clear" w:color="auto" w:fill="auto"/>
            <w:vAlign w:val="center"/>
          </w:tcPr>
          <w:p w14:paraId="62DC07EF" w14:textId="77777777" w:rsidR="00B53E24" w:rsidRPr="008A7800" w:rsidRDefault="00B53E24" w:rsidP="00B53E24">
            <w:pPr>
              <w:spacing w:before="20" w:after="20"/>
              <w:rPr>
                <w:rFonts w:eastAsiaTheme="minorEastAsia"/>
                <w:b w:val="0"/>
                <w:sz w:val="18"/>
                <w:szCs w:val="18"/>
                <w:lang w:eastAsia="en-US"/>
              </w:rPr>
            </w:pPr>
            <w:r w:rsidRPr="008A7800">
              <w:rPr>
                <w:rFonts w:eastAsiaTheme="minorEastAsia"/>
                <w:b w:val="0"/>
                <w:sz w:val="18"/>
                <w:szCs w:val="18"/>
                <w:lang w:eastAsia="en-US"/>
              </w:rPr>
              <w:t>Keno</w:t>
            </w:r>
          </w:p>
        </w:tc>
        <w:tc>
          <w:tcPr>
            <w:tcW w:w="666" w:type="dxa"/>
            <w:tcBorders>
              <w:top w:val="nil"/>
              <w:left w:val="nil"/>
              <w:bottom w:val="single" w:sz="4" w:space="0" w:color="auto"/>
              <w:right w:val="nil"/>
            </w:tcBorders>
            <w:shd w:val="clear" w:color="auto" w:fill="auto"/>
            <w:noWrap/>
            <w:vAlign w:val="center"/>
          </w:tcPr>
          <w:p w14:paraId="2E2958BB" w14:textId="77777777" w:rsidR="00B53E24" w:rsidRPr="008A7800" w:rsidRDefault="00B53E24" w:rsidP="00B53E24">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86</w:t>
            </w:r>
          </w:p>
        </w:tc>
        <w:tc>
          <w:tcPr>
            <w:tcW w:w="567" w:type="dxa"/>
            <w:tcBorders>
              <w:top w:val="nil"/>
              <w:left w:val="nil"/>
              <w:bottom w:val="single" w:sz="4" w:space="0" w:color="auto"/>
              <w:right w:val="nil"/>
            </w:tcBorders>
            <w:shd w:val="clear" w:color="auto" w:fill="auto"/>
            <w:noWrap/>
            <w:vAlign w:val="center"/>
          </w:tcPr>
          <w:p w14:paraId="033DCFE9" w14:textId="77777777" w:rsidR="00B53E24" w:rsidRPr="008A7800" w:rsidRDefault="00B53E24" w:rsidP="00B53E24">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1.4</w:t>
            </w:r>
          </w:p>
        </w:tc>
        <w:tc>
          <w:tcPr>
            <w:tcW w:w="1146" w:type="dxa"/>
            <w:tcBorders>
              <w:top w:val="nil"/>
              <w:left w:val="nil"/>
              <w:bottom w:val="single" w:sz="4" w:space="0" w:color="auto"/>
              <w:right w:val="single" w:sz="4" w:space="0" w:color="000000"/>
            </w:tcBorders>
            <w:shd w:val="clear" w:color="auto" w:fill="auto"/>
            <w:noWrap/>
            <w:vAlign w:val="center"/>
          </w:tcPr>
          <w:p w14:paraId="755DC62E" w14:textId="77777777" w:rsidR="00B53E24" w:rsidRPr="008A7800" w:rsidRDefault="00B53E24" w:rsidP="00B53E24">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(1.1, 1.7)</w:t>
            </w:r>
          </w:p>
        </w:tc>
        <w:tc>
          <w:tcPr>
            <w:tcW w:w="666" w:type="dxa"/>
            <w:tcBorders>
              <w:top w:val="nil"/>
              <w:left w:val="single" w:sz="4" w:space="0" w:color="000000"/>
              <w:bottom w:val="single" w:sz="4" w:space="0" w:color="auto"/>
              <w:right w:val="nil"/>
            </w:tcBorders>
            <w:shd w:val="clear" w:color="auto" w:fill="auto"/>
            <w:noWrap/>
            <w:vAlign w:val="center"/>
          </w:tcPr>
          <w:p w14:paraId="2988B6D2"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45</w:t>
            </w:r>
          </w:p>
        </w:tc>
        <w:tc>
          <w:tcPr>
            <w:tcW w:w="567" w:type="dxa"/>
            <w:tcBorders>
              <w:top w:val="nil"/>
              <w:left w:val="nil"/>
              <w:bottom w:val="single" w:sz="4" w:space="0" w:color="auto"/>
              <w:right w:val="nil"/>
            </w:tcBorders>
            <w:shd w:val="clear" w:color="auto" w:fill="auto"/>
            <w:noWrap/>
            <w:vAlign w:val="center"/>
          </w:tcPr>
          <w:p w14:paraId="7CDA5440"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w:t>
            </w:r>
          </w:p>
        </w:tc>
        <w:tc>
          <w:tcPr>
            <w:tcW w:w="1146" w:type="dxa"/>
            <w:tcBorders>
              <w:top w:val="nil"/>
              <w:left w:val="nil"/>
              <w:bottom w:val="single" w:sz="4" w:space="0" w:color="auto"/>
              <w:right w:val="single" w:sz="4" w:space="0" w:color="000000"/>
            </w:tcBorders>
            <w:shd w:val="clear" w:color="auto" w:fill="auto"/>
            <w:noWrap/>
            <w:vAlign w:val="center"/>
          </w:tcPr>
          <w:p w14:paraId="5EDF23C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(0.8, 1.6)</w:t>
            </w:r>
          </w:p>
        </w:tc>
        <w:tc>
          <w:tcPr>
            <w:tcW w:w="666" w:type="dxa"/>
            <w:tcBorders>
              <w:top w:val="nil"/>
              <w:left w:val="single" w:sz="4" w:space="0" w:color="000000"/>
              <w:bottom w:val="single" w:sz="4" w:space="0" w:color="auto"/>
              <w:right w:val="nil"/>
            </w:tcBorders>
            <w:shd w:val="clear" w:color="auto" w:fill="auto"/>
            <w:vAlign w:val="center"/>
          </w:tcPr>
          <w:p w14:paraId="316C149C"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24</w:t>
            </w:r>
          </w:p>
        </w:tc>
        <w:tc>
          <w:tcPr>
            <w:tcW w:w="567" w:type="dxa"/>
            <w:tcBorders>
              <w:top w:val="nil"/>
              <w:left w:val="nil"/>
              <w:bottom w:val="single" w:sz="4" w:space="0" w:color="auto"/>
              <w:right w:val="nil"/>
            </w:tcBorders>
            <w:shd w:val="clear" w:color="auto" w:fill="auto"/>
            <w:vAlign w:val="center"/>
          </w:tcPr>
          <w:p w14:paraId="1A5F688F"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0.8</w:t>
            </w:r>
          </w:p>
        </w:tc>
        <w:tc>
          <w:tcPr>
            <w:tcW w:w="1146" w:type="dxa"/>
            <w:tcBorders>
              <w:top w:val="nil"/>
              <w:left w:val="nil"/>
              <w:bottom w:val="single" w:sz="4" w:space="0" w:color="auto"/>
              <w:right w:val="single" w:sz="4" w:space="0" w:color="000000"/>
            </w:tcBorders>
            <w:shd w:val="clear" w:color="auto" w:fill="auto"/>
            <w:vAlign w:val="center"/>
          </w:tcPr>
          <w:p w14:paraId="593AFF27"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(0.5, 1.1)</w:t>
            </w:r>
          </w:p>
        </w:tc>
        <w:tc>
          <w:tcPr>
            <w:tcW w:w="616" w:type="dxa"/>
            <w:tcBorders>
              <w:top w:val="nil"/>
              <w:left w:val="single" w:sz="4" w:space="0" w:color="000000"/>
              <w:bottom w:val="single" w:sz="4" w:space="0" w:color="auto"/>
              <w:right w:val="nil"/>
            </w:tcBorders>
            <w:shd w:val="clear" w:color="auto" w:fill="auto"/>
            <w:vAlign w:val="center"/>
          </w:tcPr>
          <w:p w14:paraId="475B66C4"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24</w:t>
            </w:r>
          </w:p>
        </w:tc>
        <w:tc>
          <w:tcPr>
            <w:tcW w:w="576" w:type="dxa"/>
            <w:tcBorders>
              <w:top w:val="nil"/>
              <w:left w:val="nil"/>
              <w:bottom w:val="single" w:sz="4" w:space="0" w:color="auto"/>
              <w:right w:val="nil"/>
            </w:tcBorders>
            <w:shd w:val="clear" w:color="auto" w:fill="auto"/>
            <w:vAlign w:val="center"/>
          </w:tcPr>
          <w:p w14:paraId="188240C0"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0.9</w:t>
            </w:r>
          </w:p>
        </w:tc>
        <w:tc>
          <w:tcPr>
            <w:tcW w:w="1146" w:type="dxa"/>
            <w:tcBorders>
              <w:top w:val="nil"/>
              <w:left w:val="nil"/>
              <w:bottom w:val="single" w:sz="4" w:space="0" w:color="auto"/>
              <w:right w:val="nil"/>
            </w:tcBorders>
            <w:shd w:val="clear" w:color="auto" w:fill="auto"/>
            <w:vAlign w:val="center"/>
          </w:tcPr>
          <w:p w14:paraId="57FACD88"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(0.5, 1.2)</w:t>
            </w:r>
          </w:p>
        </w:tc>
      </w:tr>
      <w:tr w:rsidR="002E64B9" w:rsidRPr="008A7800" w14:paraId="15F4FB04"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single" w:sz="4" w:space="0" w:color="auto"/>
              <w:left w:val="nil"/>
              <w:bottom w:val="nil"/>
              <w:right w:val="nil"/>
            </w:tcBorders>
            <w:shd w:val="clear" w:color="auto" w:fill="auto"/>
            <w:vAlign w:val="center"/>
          </w:tcPr>
          <w:p w14:paraId="153FE5C9" w14:textId="77777777" w:rsidR="00B53E24" w:rsidRPr="008A7800" w:rsidRDefault="00B53E24" w:rsidP="00B53E24">
            <w:pPr>
              <w:spacing w:before="20" w:after="20"/>
              <w:rPr>
                <w:rFonts w:eastAsiaTheme="minorEastAsia"/>
                <w:b w:val="0"/>
                <w:sz w:val="18"/>
                <w:szCs w:val="18"/>
              </w:rPr>
            </w:pPr>
            <w:r w:rsidRPr="008A7800">
              <w:rPr>
                <w:rFonts w:eastAsiaTheme="minorEastAsia"/>
                <w:b w:val="0"/>
                <w:sz w:val="18"/>
                <w:szCs w:val="18"/>
              </w:rPr>
              <w:t>Instant Kiwi/other scratch tickets</w:t>
            </w:r>
          </w:p>
        </w:tc>
        <w:tc>
          <w:tcPr>
            <w:tcW w:w="666" w:type="dxa"/>
            <w:tcBorders>
              <w:top w:val="single" w:sz="4" w:space="0" w:color="auto"/>
              <w:left w:val="nil"/>
              <w:bottom w:val="nil"/>
              <w:right w:val="nil"/>
            </w:tcBorders>
            <w:shd w:val="clear" w:color="auto" w:fill="auto"/>
            <w:noWrap/>
            <w:vAlign w:val="center"/>
          </w:tcPr>
          <w:p w14:paraId="4F5F10AF"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750</w:t>
            </w:r>
          </w:p>
        </w:tc>
        <w:tc>
          <w:tcPr>
            <w:tcW w:w="567" w:type="dxa"/>
            <w:tcBorders>
              <w:top w:val="single" w:sz="4" w:space="0" w:color="auto"/>
              <w:left w:val="nil"/>
              <w:bottom w:val="nil"/>
              <w:right w:val="nil"/>
            </w:tcBorders>
            <w:shd w:val="clear" w:color="auto" w:fill="auto"/>
            <w:noWrap/>
            <w:vAlign w:val="center"/>
          </w:tcPr>
          <w:p w14:paraId="0D0FDA0D"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12.0</w:t>
            </w:r>
          </w:p>
        </w:tc>
        <w:tc>
          <w:tcPr>
            <w:tcW w:w="1146" w:type="dxa"/>
            <w:tcBorders>
              <w:top w:val="single" w:sz="4" w:space="0" w:color="auto"/>
              <w:left w:val="nil"/>
              <w:bottom w:val="nil"/>
              <w:right w:val="single" w:sz="4" w:space="0" w:color="000000"/>
            </w:tcBorders>
            <w:shd w:val="clear" w:color="auto" w:fill="auto"/>
            <w:noWrap/>
            <w:vAlign w:val="center"/>
          </w:tcPr>
          <w:p w14:paraId="342CDB59"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(11.0, 13.0)</w:t>
            </w:r>
          </w:p>
        </w:tc>
        <w:tc>
          <w:tcPr>
            <w:tcW w:w="666" w:type="dxa"/>
            <w:tcBorders>
              <w:top w:val="single" w:sz="4" w:space="0" w:color="auto"/>
              <w:left w:val="single" w:sz="4" w:space="0" w:color="000000"/>
              <w:bottom w:val="nil"/>
              <w:right w:val="nil"/>
            </w:tcBorders>
            <w:shd w:val="clear" w:color="auto" w:fill="auto"/>
            <w:noWrap/>
            <w:vAlign w:val="center"/>
          </w:tcPr>
          <w:p w14:paraId="37E7A8C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4.2</w:t>
            </w:r>
          </w:p>
        </w:tc>
        <w:tc>
          <w:tcPr>
            <w:tcW w:w="567" w:type="dxa"/>
            <w:tcBorders>
              <w:top w:val="single" w:sz="4" w:space="0" w:color="auto"/>
              <w:left w:val="nil"/>
              <w:bottom w:val="nil"/>
              <w:right w:val="nil"/>
            </w:tcBorders>
            <w:shd w:val="clear" w:color="auto" w:fill="auto"/>
            <w:noWrap/>
            <w:vAlign w:val="center"/>
          </w:tcPr>
          <w:p w14:paraId="4D425353"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10.7</w:t>
            </w:r>
          </w:p>
        </w:tc>
        <w:tc>
          <w:tcPr>
            <w:tcW w:w="1146" w:type="dxa"/>
            <w:tcBorders>
              <w:top w:val="single" w:sz="4" w:space="0" w:color="auto"/>
              <w:left w:val="nil"/>
              <w:bottom w:val="nil"/>
              <w:right w:val="single" w:sz="4" w:space="0" w:color="000000"/>
            </w:tcBorders>
            <w:shd w:val="clear" w:color="auto" w:fill="auto"/>
            <w:noWrap/>
            <w:vAlign w:val="center"/>
          </w:tcPr>
          <w:p w14:paraId="0483751E"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(9.6, 11.9)</w:t>
            </w:r>
          </w:p>
        </w:tc>
        <w:tc>
          <w:tcPr>
            <w:tcW w:w="666" w:type="dxa"/>
            <w:tcBorders>
              <w:top w:val="single" w:sz="4" w:space="0" w:color="auto"/>
              <w:left w:val="single" w:sz="4" w:space="0" w:color="000000"/>
              <w:bottom w:val="nil"/>
              <w:right w:val="nil"/>
            </w:tcBorders>
            <w:shd w:val="clear" w:color="auto" w:fill="auto"/>
            <w:vAlign w:val="center"/>
          </w:tcPr>
          <w:p w14:paraId="4230AAD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296</w:t>
            </w:r>
          </w:p>
        </w:tc>
        <w:tc>
          <w:tcPr>
            <w:tcW w:w="567" w:type="dxa"/>
            <w:tcBorders>
              <w:top w:val="single" w:sz="4" w:space="0" w:color="auto"/>
              <w:left w:val="nil"/>
              <w:bottom w:val="nil"/>
              <w:right w:val="nil"/>
            </w:tcBorders>
            <w:shd w:val="clear" w:color="auto" w:fill="auto"/>
            <w:vAlign w:val="center"/>
          </w:tcPr>
          <w:p w14:paraId="60168A4A"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9.5</w:t>
            </w:r>
          </w:p>
        </w:tc>
        <w:tc>
          <w:tcPr>
            <w:tcW w:w="1146" w:type="dxa"/>
            <w:tcBorders>
              <w:top w:val="single" w:sz="4" w:space="0" w:color="auto"/>
              <w:left w:val="nil"/>
              <w:bottom w:val="nil"/>
              <w:right w:val="single" w:sz="4" w:space="0" w:color="000000"/>
            </w:tcBorders>
            <w:shd w:val="clear" w:color="auto" w:fill="auto"/>
            <w:vAlign w:val="center"/>
          </w:tcPr>
          <w:p w14:paraId="5BC41BB6"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(8.3, 10.7)</w:t>
            </w:r>
          </w:p>
        </w:tc>
        <w:tc>
          <w:tcPr>
            <w:tcW w:w="616" w:type="dxa"/>
            <w:tcBorders>
              <w:top w:val="single" w:sz="4" w:space="0" w:color="auto"/>
              <w:left w:val="single" w:sz="4" w:space="0" w:color="000000"/>
              <w:bottom w:val="nil"/>
              <w:right w:val="nil"/>
            </w:tcBorders>
            <w:shd w:val="clear" w:color="auto" w:fill="auto"/>
            <w:vAlign w:val="center"/>
          </w:tcPr>
          <w:p w14:paraId="0D68055D"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238</w:t>
            </w:r>
          </w:p>
        </w:tc>
        <w:tc>
          <w:tcPr>
            <w:tcW w:w="576" w:type="dxa"/>
            <w:tcBorders>
              <w:top w:val="single" w:sz="4" w:space="0" w:color="auto"/>
              <w:left w:val="nil"/>
              <w:bottom w:val="nil"/>
              <w:right w:val="nil"/>
            </w:tcBorders>
            <w:shd w:val="clear" w:color="auto" w:fill="auto"/>
            <w:vAlign w:val="center"/>
          </w:tcPr>
          <w:p w14:paraId="6AA27801"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8.6</w:t>
            </w:r>
          </w:p>
        </w:tc>
        <w:tc>
          <w:tcPr>
            <w:tcW w:w="1146" w:type="dxa"/>
            <w:tcBorders>
              <w:top w:val="single" w:sz="4" w:space="0" w:color="auto"/>
              <w:left w:val="nil"/>
              <w:bottom w:val="nil"/>
              <w:right w:val="nil"/>
            </w:tcBorders>
            <w:shd w:val="clear" w:color="auto" w:fill="auto"/>
            <w:vAlign w:val="center"/>
          </w:tcPr>
          <w:p w14:paraId="75E2B98B"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(7.3, 9.9)</w:t>
            </w:r>
          </w:p>
        </w:tc>
      </w:tr>
      <w:tr w:rsidR="009118DA" w:rsidRPr="008A7800" w14:paraId="6DF90E24"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724E831F" w14:textId="77777777" w:rsidR="00B53E24" w:rsidRPr="008A7800" w:rsidRDefault="00B53E24" w:rsidP="00B53E24">
            <w:pPr>
              <w:spacing w:before="20" w:after="20"/>
              <w:rPr>
                <w:rFonts w:eastAsiaTheme="minorEastAsia"/>
                <w:bCs w:val="0"/>
                <w:sz w:val="18"/>
                <w:szCs w:val="18"/>
                <w:lang w:eastAsia="en-US"/>
              </w:rPr>
            </w:pPr>
            <w:r w:rsidRPr="008A7800">
              <w:rPr>
                <w:rFonts w:eastAsiaTheme="minorEastAsia"/>
                <w:b w:val="0"/>
                <w:sz w:val="18"/>
                <w:szCs w:val="18"/>
                <w:lang w:eastAsia="en-US"/>
              </w:rPr>
              <w:t>Housie or bingo</w:t>
            </w:r>
          </w:p>
        </w:tc>
        <w:tc>
          <w:tcPr>
            <w:tcW w:w="666" w:type="dxa"/>
            <w:tcBorders>
              <w:top w:val="nil"/>
              <w:left w:val="nil"/>
              <w:bottom w:val="nil"/>
              <w:right w:val="nil"/>
            </w:tcBorders>
            <w:shd w:val="clear" w:color="auto" w:fill="auto"/>
            <w:vAlign w:val="center"/>
          </w:tcPr>
          <w:p w14:paraId="49091EB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34</w:t>
            </w:r>
          </w:p>
        </w:tc>
        <w:tc>
          <w:tcPr>
            <w:tcW w:w="567" w:type="dxa"/>
            <w:tcBorders>
              <w:top w:val="nil"/>
              <w:left w:val="nil"/>
              <w:bottom w:val="nil"/>
              <w:right w:val="nil"/>
            </w:tcBorders>
            <w:shd w:val="clear" w:color="auto" w:fill="auto"/>
            <w:noWrap/>
            <w:vAlign w:val="center"/>
          </w:tcPr>
          <w:p w14:paraId="7DEC4664"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0.5</w:t>
            </w:r>
          </w:p>
        </w:tc>
        <w:tc>
          <w:tcPr>
            <w:tcW w:w="1146" w:type="dxa"/>
            <w:tcBorders>
              <w:top w:val="nil"/>
              <w:left w:val="nil"/>
              <w:bottom w:val="nil"/>
              <w:right w:val="single" w:sz="4" w:space="0" w:color="000000"/>
            </w:tcBorders>
            <w:shd w:val="clear" w:color="auto" w:fill="auto"/>
            <w:noWrap/>
            <w:vAlign w:val="center"/>
          </w:tcPr>
          <w:p w14:paraId="6C556A74"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(0.4, 0.7)</w:t>
            </w:r>
          </w:p>
        </w:tc>
        <w:tc>
          <w:tcPr>
            <w:tcW w:w="666" w:type="dxa"/>
            <w:tcBorders>
              <w:top w:val="nil"/>
              <w:left w:val="single" w:sz="4" w:space="0" w:color="000000"/>
              <w:bottom w:val="nil"/>
              <w:right w:val="nil"/>
            </w:tcBorders>
            <w:shd w:val="clear" w:color="auto" w:fill="auto"/>
            <w:noWrap/>
            <w:vAlign w:val="center"/>
          </w:tcPr>
          <w:p w14:paraId="23E1D55C"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w:t>
            </w:r>
          </w:p>
        </w:tc>
        <w:tc>
          <w:tcPr>
            <w:tcW w:w="567" w:type="dxa"/>
            <w:tcBorders>
              <w:top w:val="nil"/>
              <w:left w:val="nil"/>
              <w:bottom w:val="nil"/>
              <w:right w:val="nil"/>
            </w:tcBorders>
            <w:shd w:val="clear" w:color="auto" w:fill="auto"/>
            <w:noWrap/>
            <w:vAlign w:val="center"/>
          </w:tcPr>
          <w:p w14:paraId="29C2EF9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0.5</w:t>
            </w:r>
          </w:p>
        </w:tc>
        <w:tc>
          <w:tcPr>
            <w:tcW w:w="1146" w:type="dxa"/>
            <w:tcBorders>
              <w:top w:val="nil"/>
              <w:left w:val="nil"/>
              <w:bottom w:val="nil"/>
              <w:right w:val="single" w:sz="4" w:space="0" w:color="000000"/>
            </w:tcBorders>
            <w:shd w:val="clear" w:color="auto" w:fill="auto"/>
            <w:noWrap/>
            <w:vAlign w:val="center"/>
          </w:tcPr>
          <w:p w14:paraId="366DF3B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(0.3, 0.6)</w:t>
            </w:r>
          </w:p>
        </w:tc>
        <w:tc>
          <w:tcPr>
            <w:tcW w:w="666" w:type="dxa"/>
            <w:tcBorders>
              <w:top w:val="nil"/>
              <w:left w:val="single" w:sz="4" w:space="0" w:color="000000"/>
              <w:bottom w:val="nil"/>
              <w:right w:val="nil"/>
            </w:tcBorders>
            <w:shd w:val="clear" w:color="auto" w:fill="auto"/>
            <w:vAlign w:val="center"/>
          </w:tcPr>
          <w:p w14:paraId="332B32A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16</w:t>
            </w:r>
          </w:p>
        </w:tc>
        <w:tc>
          <w:tcPr>
            <w:tcW w:w="567" w:type="dxa"/>
            <w:tcBorders>
              <w:top w:val="nil"/>
              <w:left w:val="nil"/>
              <w:bottom w:val="nil"/>
              <w:right w:val="nil"/>
            </w:tcBorders>
            <w:shd w:val="clear" w:color="auto" w:fill="auto"/>
            <w:vAlign w:val="center"/>
          </w:tcPr>
          <w:p w14:paraId="1B4330F3"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0.5</w:t>
            </w:r>
          </w:p>
        </w:tc>
        <w:tc>
          <w:tcPr>
            <w:tcW w:w="1146" w:type="dxa"/>
            <w:tcBorders>
              <w:top w:val="nil"/>
              <w:left w:val="nil"/>
              <w:bottom w:val="nil"/>
              <w:right w:val="single" w:sz="4" w:space="0" w:color="000000"/>
            </w:tcBorders>
            <w:shd w:val="clear" w:color="auto" w:fill="auto"/>
            <w:vAlign w:val="center"/>
          </w:tcPr>
          <w:p w14:paraId="7BB98C8D"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(0.3, 0.7)</w:t>
            </w:r>
          </w:p>
        </w:tc>
        <w:tc>
          <w:tcPr>
            <w:tcW w:w="616" w:type="dxa"/>
            <w:tcBorders>
              <w:top w:val="nil"/>
              <w:left w:val="single" w:sz="4" w:space="0" w:color="000000"/>
              <w:bottom w:val="nil"/>
              <w:right w:val="nil"/>
            </w:tcBorders>
            <w:shd w:val="clear" w:color="auto" w:fill="auto"/>
            <w:vAlign w:val="center"/>
          </w:tcPr>
          <w:p w14:paraId="1851F8DB"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w:t>
            </w:r>
          </w:p>
        </w:tc>
        <w:tc>
          <w:tcPr>
            <w:tcW w:w="576" w:type="dxa"/>
            <w:tcBorders>
              <w:top w:val="nil"/>
              <w:left w:val="nil"/>
              <w:bottom w:val="nil"/>
              <w:right w:val="nil"/>
            </w:tcBorders>
            <w:shd w:val="clear" w:color="auto" w:fill="auto"/>
            <w:vAlign w:val="center"/>
          </w:tcPr>
          <w:p w14:paraId="1BC4B850"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0.4</w:t>
            </w:r>
          </w:p>
        </w:tc>
        <w:tc>
          <w:tcPr>
            <w:tcW w:w="1146" w:type="dxa"/>
            <w:tcBorders>
              <w:top w:val="nil"/>
              <w:left w:val="nil"/>
              <w:bottom w:val="nil"/>
              <w:right w:val="nil"/>
            </w:tcBorders>
            <w:shd w:val="clear" w:color="auto" w:fill="auto"/>
            <w:vAlign w:val="center"/>
          </w:tcPr>
          <w:p w14:paraId="64DF84DD"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(0.2, 0.6)</w:t>
            </w:r>
          </w:p>
        </w:tc>
      </w:tr>
      <w:tr w:rsidR="009118DA" w:rsidRPr="008A7800" w14:paraId="20232B95"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06A05E96" w14:textId="77777777" w:rsidR="00B53E24" w:rsidRPr="008A7800" w:rsidRDefault="00B53E24" w:rsidP="00B53E24">
            <w:pPr>
              <w:spacing w:before="20" w:after="20"/>
              <w:rPr>
                <w:rFonts w:eastAsiaTheme="minorEastAsia"/>
                <w:b w:val="0"/>
                <w:sz w:val="18"/>
                <w:szCs w:val="18"/>
                <w:lang w:eastAsia="en-US"/>
              </w:rPr>
            </w:pPr>
            <w:r w:rsidRPr="008A7800">
              <w:rPr>
                <w:rFonts w:eastAsiaTheme="minorEastAsia"/>
                <w:b w:val="0"/>
                <w:sz w:val="18"/>
                <w:szCs w:val="18"/>
                <w:lang w:eastAsia="en-US"/>
              </w:rPr>
              <w:t>Horse/dog race betting</w:t>
            </w:r>
          </w:p>
        </w:tc>
        <w:tc>
          <w:tcPr>
            <w:tcW w:w="666" w:type="dxa"/>
            <w:tcBorders>
              <w:top w:val="nil"/>
              <w:left w:val="nil"/>
              <w:bottom w:val="nil"/>
              <w:right w:val="nil"/>
            </w:tcBorders>
            <w:shd w:val="clear" w:color="auto" w:fill="auto"/>
            <w:noWrap/>
            <w:vAlign w:val="center"/>
          </w:tcPr>
          <w:p w14:paraId="51595C5C"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176</w:t>
            </w:r>
          </w:p>
        </w:tc>
        <w:tc>
          <w:tcPr>
            <w:tcW w:w="567" w:type="dxa"/>
            <w:tcBorders>
              <w:top w:val="nil"/>
              <w:left w:val="nil"/>
              <w:bottom w:val="nil"/>
              <w:right w:val="nil"/>
            </w:tcBorders>
            <w:shd w:val="clear" w:color="auto" w:fill="auto"/>
            <w:noWrap/>
            <w:vAlign w:val="center"/>
          </w:tcPr>
          <w:p w14:paraId="6C391447"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2.8</w:t>
            </w:r>
          </w:p>
        </w:tc>
        <w:tc>
          <w:tcPr>
            <w:tcW w:w="1146" w:type="dxa"/>
            <w:tcBorders>
              <w:top w:val="nil"/>
              <w:left w:val="nil"/>
              <w:bottom w:val="nil"/>
              <w:right w:val="single" w:sz="4" w:space="0" w:color="000000"/>
            </w:tcBorders>
            <w:shd w:val="clear" w:color="auto" w:fill="auto"/>
            <w:noWrap/>
            <w:vAlign w:val="center"/>
          </w:tcPr>
          <w:p w14:paraId="64CBE65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(2.3, 3.3)</w:t>
            </w:r>
          </w:p>
        </w:tc>
        <w:tc>
          <w:tcPr>
            <w:tcW w:w="666" w:type="dxa"/>
            <w:tcBorders>
              <w:top w:val="nil"/>
              <w:left w:val="single" w:sz="4" w:space="0" w:color="000000"/>
              <w:bottom w:val="nil"/>
              <w:right w:val="nil"/>
            </w:tcBorders>
            <w:shd w:val="clear" w:color="auto" w:fill="auto"/>
            <w:noWrap/>
            <w:vAlign w:val="center"/>
          </w:tcPr>
          <w:p w14:paraId="7D50B63A" w14:textId="77777777" w:rsidR="00B53E24" w:rsidRPr="008A7800" w:rsidRDefault="00B53E24" w:rsidP="00B53E24">
            <w:pPr>
              <w:tabs>
                <w:tab w:val="left" w:pos="438"/>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88</w:t>
            </w:r>
          </w:p>
        </w:tc>
        <w:tc>
          <w:tcPr>
            <w:tcW w:w="567" w:type="dxa"/>
            <w:tcBorders>
              <w:top w:val="nil"/>
              <w:left w:val="nil"/>
              <w:bottom w:val="nil"/>
              <w:right w:val="nil"/>
            </w:tcBorders>
            <w:shd w:val="clear" w:color="auto" w:fill="auto"/>
            <w:noWrap/>
            <w:vAlign w:val="center"/>
          </w:tcPr>
          <w:p w14:paraId="1C6BBD5E"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2.3</w:t>
            </w:r>
          </w:p>
        </w:tc>
        <w:tc>
          <w:tcPr>
            <w:tcW w:w="1146" w:type="dxa"/>
            <w:tcBorders>
              <w:top w:val="nil"/>
              <w:left w:val="nil"/>
              <w:bottom w:val="nil"/>
              <w:right w:val="single" w:sz="4" w:space="0" w:color="000000"/>
            </w:tcBorders>
            <w:shd w:val="clear" w:color="auto" w:fill="auto"/>
            <w:noWrap/>
            <w:vAlign w:val="center"/>
          </w:tcPr>
          <w:p w14:paraId="6C4C8102"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(1.8, 2.9)</w:t>
            </w:r>
          </w:p>
        </w:tc>
        <w:tc>
          <w:tcPr>
            <w:tcW w:w="666" w:type="dxa"/>
            <w:tcBorders>
              <w:top w:val="nil"/>
              <w:left w:val="single" w:sz="4" w:space="0" w:color="000000"/>
              <w:bottom w:val="nil"/>
              <w:right w:val="nil"/>
            </w:tcBorders>
            <w:shd w:val="clear" w:color="auto" w:fill="auto"/>
            <w:vAlign w:val="center"/>
          </w:tcPr>
          <w:p w14:paraId="4DFE1CF7"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70</w:t>
            </w:r>
          </w:p>
        </w:tc>
        <w:tc>
          <w:tcPr>
            <w:tcW w:w="567" w:type="dxa"/>
            <w:tcBorders>
              <w:top w:val="nil"/>
              <w:left w:val="nil"/>
              <w:bottom w:val="nil"/>
              <w:right w:val="nil"/>
            </w:tcBorders>
            <w:shd w:val="clear" w:color="auto" w:fill="auto"/>
            <w:vAlign w:val="center"/>
          </w:tcPr>
          <w:p w14:paraId="28AA17A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2.3</w:t>
            </w:r>
          </w:p>
        </w:tc>
        <w:tc>
          <w:tcPr>
            <w:tcW w:w="1146" w:type="dxa"/>
            <w:tcBorders>
              <w:top w:val="nil"/>
              <w:left w:val="nil"/>
              <w:bottom w:val="nil"/>
              <w:right w:val="single" w:sz="4" w:space="0" w:color="000000"/>
            </w:tcBorders>
            <w:shd w:val="clear" w:color="auto" w:fill="auto"/>
            <w:vAlign w:val="center"/>
          </w:tcPr>
          <w:p w14:paraId="205A5F66"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(1.7, 2.8)</w:t>
            </w:r>
          </w:p>
        </w:tc>
        <w:tc>
          <w:tcPr>
            <w:tcW w:w="616" w:type="dxa"/>
            <w:tcBorders>
              <w:top w:val="nil"/>
              <w:left w:val="single" w:sz="4" w:space="0" w:color="000000"/>
              <w:bottom w:val="nil"/>
              <w:right w:val="nil"/>
            </w:tcBorders>
            <w:shd w:val="clear" w:color="auto" w:fill="auto"/>
            <w:vAlign w:val="center"/>
          </w:tcPr>
          <w:p w14:paraId="460A9DF4"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59</w:t>
            </w:r>
          </w:p>
        </w:tc>
        <w:tc>
          <w:tcPr>
            <w:tcW w:w="576" w:type="dxa"/>
            <w:tcBorders>
              <w:top w:val="nil"/>
              <w:left w:val="nil"/>
              <w:bottom w:val="nil"/>
              <w:right w:val="nil"/>
            </w:tcBorders>
            <w:shd w:val="clear" w:color="auto" w:fill="auto"/>
            <w:vAlign w:val="center"/>
          </w:tcPr>
          <w:p w14:paraId="205A6193"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2.1</w:t>
            </w:r>
          </w:p>
        </w:tc>
        <w:tc>
          <w:tcPr>
            <w:tcW w:w="1146" w:type="dxa"/>
            <w:tcBorders>
              <w:top w:val="nil"/>
              <w:left w:val="nil"/>
              <w:bottom w:val="nil"/>
              <w:right w:val="nil"/>
            </w:tcBorders>
            <w:shd w:val="clear" w:color="auto" w:fill="auto"/>
            <w:vAlign w:val="center"/>
          </w:tcPr>
          <w:p w14:paraId="465E0644"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(1.5, 2.7)</w:t>
            </w:r>
          </w:p>
        </w:tc>
      </w:tr>
      <w:tr w:rsidR="009118DA" w:rsidRPr="008A7800" w14:paraId="2601234B"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004BB48C" w14:textId="77777777" w:rsidR="00B53E24" w:rsidRPr="008A7800" w:rsidRDefault="00B53E24" w:rsidP="00B53E24">
            <w:pPr>
              <w:spacing w:before="20" w:after="20"/>
              <w:rPr>
                <w:rFonts w:eastAsiaTheme="minorEastAsia"/>
                <w:b w:val="0"/>
                <w:sz w:val="18"/>
                <w:szCs w:val="18"/>
                <w:lang w:eastAsia="en-US"/>
              </w:rPr>
            </w:pPr>
            <w:r w:rsidRPr="008A7800">
              <w:rPr>
                <w:rFonts w:eastAsiaTheme="minorEastAsia"/>
                <w:b w:val="0"/>
                <w:sz w:val="18"/>
                <w:szCs w:val="18"/>
                <w:lang w:eastAsia="en-US"/>
              </w:rPr>
              <w:t>Sports betting</w:t>
            </w:r>
          </w:p>
        </w:tc>
        <w:tc>
          <w:tcPr>
            <w:tcW w:w="666" w:type="dxa"/>
            <w:tcBorders>
              <w:top w:val="nil"/>
              <w:left w:val="nil"/>
              <w:bottom w:val="nil"/>
              <w:right w:val="nil"/>
            </w:tcBorders>
            <w:shd w:val="clear" w:color="auto" w:fill="auto"/>
            <w:noWrap/>
            <w:vAlign w:val="center"/>
          </w:tcPr>
          <w:p w14:paraId="735A01EC"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83</w:t>
            </w:r>
          </w:p>
        </w:tc>
        <w:tc>
          <w:tcPr>
            <w:tcW w:w="567" w:type="dxa"/>
            <w:tcBorders>
              <w:top w:val="nil"/>
              <w:left w:val="nil"/>
              <w:bottom w:val="nil"/>
              <w:right w:val="nil"/>
            </w:tcBorders>
            <w:shd w:val="clear" w:color="auto" w:fill="auto"/>
            <w:noWrap/>
            <w:vAlign w:val="center"/>
          </w:tcPr>
          <w:p w14:paraId="5F08BB3C"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1.3</w:t>
            </w:r>
          </w:p>
        </w:tc>
        <w:tc>
          <w:tcPr>
            <w:tcW w:w="1146" w:type="dxa"/>
            <w:tcBorders>
              <w:top w:val="nil"/>
              <w:left w:val="nil"/>
              <w:bottom w:val="nil"/>
              <w:right w:val="single" w:sz="4" w:space="0" w:color="auto"/>
            </w:tcBorders>
            <w:shd w:val="clear" w:color="auto" w:fill="auto"/>
            <w:noWrap/>
            <w:vAlign w:val="center"/>
          </w:tcPr>
          <w:p w14:paraId="6D03E8CD"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(1.0, 1.7)</w:t>
            </w:r>
          </w:p>
        </w:tc>
        <w:tc>
          <w:tcPr>
            <w:tcW w:w="666" w:type="dxa"/>
            <w:tcBorders>
              <w:top w:val="nil"/>
              <w:left w:val="single" w:sz="4" w:space="0" w:color="auto"/>
              <w:bottom w:val="nil"/>
              <w:right w:val="nil"/>
            </w:tcBorders>
            <w:shd w:val="clear" w:color="auto" w:fill="auto"/>
            <w:noWrap/>
            <w:vAlign w:val="center"/>
          </w:tcPr>
          <w:p w14:paraId="4A06F1EA"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35</w:t>
            </w:r>
          </w:p>
        </w:tc>
        <w:tc>
          <w:tcPr>
            <w:tcW w:w="567" w:type="dxa"/>
            <w:tcBorders>
              <w:top w:val="nil"/>
              <w:left w:val="nil"/>
              <w:bottom w:val="nil"/>
              <w:right w:val="nil"/>
            </w:tcBorders>
            <w:shd w:val="clear" w:color="auto" w:fill="auto"/>
            <w:noWrap/>
            <w:vAlign w:val="center"/>
          </w:tcPr>
          <w:p w14:paraId="077B7826"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0.9</w:t>
            </w:r>
          </w:p>
        </w:tc>
        <w:tc>
          <w:tcPr>
            <w:tcW w:w="1146" w:type="dxa"/>
            <w:tcBorders>
              <w:top w:val="nil"/>
              <w:left w:val="nil"/>
              <w:bottom w:val="nil"/>
              <w:right w:val="single" w:sz="4" w:space="0" w:color="000000"/>
            </w:tcBorders>
            <w:shd w:val="clear" w:color="auto" w:fill="auto"/>
            <w:noWrap/>
            <w:vAlign w:val="center"/>
          </w:tcPr>
          <w:p w14:paraId="26BD10FD"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(0.6, 1.3)</w:t>
            </w:r>
          </w:p>
        </w:tc>
        <w:tc>
          <w:tcPr>
            <w:tcW w:w="666" w:type="dxa"/>
            <w:tcBorders>
              <w:top w:val="nil"/>
              <w:left w:val="single" w:sz="4" w:space="0" w:color="000000"/>
              <w:bottom w:val="nil"/>
              <w:right w:val="nil"/>
            </w:tcBorders>
            <w:shd w:val="clear" w:color="auto" w:fill="auto"/>
            <w:vAlign w:val="center"/>
          </w:tcPr>
          <w:p w14:paraId="3E4182D1"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28</w:t>
            </w:r>
          </w:p>
        </w:tc>
        <w:tc>
          <w:tcPr>
            <w:tcW w:w="567" w:type="dxa"/>
            <w:tcBorders>
              <w:top w:val="nil"/>
              <w:left w:val="nil"/>
              <w:bottom w:val="nil"/>
              <w:right w:val="nil"/>
            </w:tcBorders>
            <w:shd w:val="clear" w:color="auto" w:fill="auto"/>
            <w:vAlign w:val="center"/>
          </w:tcPr>
          <w:p w14:paraId="72445BA6"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0.9</w:t>
            </w:r>
          </w:p>
        </w:tc>
        <w:tc>
          <w:tcPr>
            <w:tcW w:w="1146" w:type="dxa"/>
            <w:tcBorders>
              <w:top w:val="nil"/>
              <w:left w:val="nil"/>
              <w:bottom w:val="nil"/>
              <w:right w:val="single" w:sz="4" w:space="0" w:color="000000"/>
            </w:tcBorders>
            <w:shd w:val="clear" w:color="auto" w:fill="auto"/>
            <w:vAlign w:val="center"/>
          </w:tcPr>
          <w:p w14:paraId="437CD356"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(0.5, 1.3)</w:t>
            </w:r>
          </w:p>
        </w:tc>
        <w:tc>
          <w:tcPr>
            <w:tcW w:w="616" w:type="dxa"/>
            <w:tcBorders>
              <w:top w:val="nil"/>
              <w:left w:val="single" w:sz="4" w:space="0" w:color="000000"/>
              <w:bottom w:val="nil"/>
              <w:right w:val="nil"/>
            </w:tcBorders>
            <w:shd w:val="clear" w:color="auto" w:fill="auto"/>
            <w:vAlign w:val="center"/>
          </w:tcPr>
          <w:p w14:paraId="26C4509A"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22</w:t>
            </w:r>
          </w:p>
        </w:tc>
        <w:tc>
          <w:tcPr>
            <w:tcW w:w="576" w:type="dxa"/>
            <w:tcBorders>
              <w:top w:val="nil"/>
              <w:left w:val="nil"/>
              <w:bottom w:val="nil"/>
              <w:right w:val="nil"/>
            </w:tcBorders>
            <w:shd w:val="clear" w:color="auto" w:fill="auto"/>
            <w:vAlign w:val="center"/>
          </w:tcPr>
          <w:p w14:paraId="5454ECED"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0.8</w:t>
            </w:r>
          </w:p>
        </w:tc>
        <w:tc>
          <w:tcPr>
            <w:tcW w:w="1146" w:type="dxa"/>
            <w:tcBorders>
              <w:top w:val="nil"/>
              <w:left w:val="nil"/>
              <w:bottom w:val="nil"/>
              <w:right w:val="nil"/>
            </w:tcBorders>
            <w:shd w:val="clear" w:color="auto" w:fill="auto"/>
            <w:vAlign w:val="center"/>
          </w:tcPr>
          <w:p w14:paraId="591216CA"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(0.4, 1.2)</w:t>
            </w:r>
          </w:p>
        </w:tc>
      </w:tr>
      <w:tr w:rsidR="009118DA" w:rsidRPr="008A7800" w14:paraId="7E420AFE"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14B3BAE8" w14:textId="77777777" w:rsidR="00B53E24" w:rsidRPr="008A7800" w:rsidRDefault="00B53E24" w:rsidP="00B53E24">
            <w:pPr>
              <w:spacing w:before="20" w:after="20"/>
              <w:rPr>
                <w:rFonts w:eastAsiaTheme="minorEastAsia"/>
                <w:b w:val="0"/>
                <w:sz w:val="18"/>
                <w:szCs w:val="18"/>
                <w:lang w:eastAsia="en-US"/>
              </w:rPr>
            </w:pPr>
            <w:r w:rsidRPr="008A7800">
              <w:rPr>
                <w:rFonts w:eastAsiaTheme="minorEastAsia"/>
                <w:b w:val="0"/>
                <w:sz w:val="18"/>
                <w:szCs w:val="18"/>
                <w:lang w:eastAsia="en-US"/>
              </w:rPr>
              <w:t>Casino table games or EGMS (overseas)</w:t>
            </w:r>
          </w:p>
        </w:tc>
        <w:tc>
          <w:tcPr>
            <w:tcW w:w="666" w:type="dxa"/>
            <w:tcBorders>
              <w:top w:val="nil"/>
              <w:left w:val="nil"/>
              <w:bottom w:val="nil"/>
              <w:right w:val="nil"/>
            </w:tcBorders>
            <w:shd w:val="clear" w:color="auto" w:fill="auto"/>
            <w:noWrap/>
            <w:vAlign w:val="center"/>
          </w:tcPr>
          <w:p w14:paraId="4E1614C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w:t>
            </w:r>
          </w:p>
        </w:tc>
        <w:tc>
          <w:tcPr>
            <w:tcW w:w="567" w:type="dxa"/>
            <w:tcBorders>
              <w:top w:val="nil"/>
              <w:left w:val="nil"/>
              <w:bottom w:val="nil"/>
              <w:right w:val="nil"/>
            </w:tcBorders>
            <w:shd w:val="clear" w:color="auto" w:fill="auto"/>
            <w:noWrap/>
            <w:vAlign w:val="center"/>
          </w:tcPr>
          <w:p w14:paraId="4027B623"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0.1</w:t>
            </w:r>
          </w:p>
        </w:tc>
        <w:tc>
          <w:tcPr>
            <w:tcW w:w="1146" w:type="dxa"/>
            <w:tcBorders>
              <w:top w:val="nil"/>
              <w:left w:val="nil"/>
              <w:bottom w:val="nil"/>
              <w:right w:val="single" w:sz="4" w:space="0" w:color="auto"/>
            </w:tcBorders>
            <w:shd w:val="clear" w:color="auto" w:fill="auto"/>
            <w:noWrap/>
            <w:vAlign w:val="center"/>
          </w:tcPr>
          <w:p w14:paraId="4E833E1F"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(0.0, 0.1)</w:t>
            </w:r>
          </w:p>
        </w:tc>
        <w:tc>
          <w:tcPr>
            <w:tcW w:w="666" w:type="dxa"/>
            <w:tcBorders>
              <w:top w:val="nil"/>
              <w:left w:val="single" w:sz="4" w:space="0" w:color="auto"/>
              <w:bottom w:val="nil"/>
              <w:right w:val="nil"/>
            </w:tcBorders>
            <w:shd w:val="clear" w:color="auto" w:fill="auto"/>
            <w:noWrap/>
            <w:vAlign w:val="center"/>
          </w:tcPr>
          <w:p w14:paraId="1BF30A33"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w:t>
            </w:r>
          </w:p>
        </w:tc>
        <w:tc>
          <w:tcPr>
            <w:tcW w:w="567" w:type="dxa"/>
            <w:tcBorders>
              <w:top w:val="nil"/>
              <w:left w:val="nil"/>
              <w:bottom w:val="nil"/>
              <w:right w:val="nil"/>
            </w:tcBorders>
            <w:shd w:val="clear" w:color="auto" w:fill="auto"/>
            <w:noWrap/>
            <w:vAlign w:val="center"/>
          </w:tcPr>
          <w:p w14:paraId="55DAFF52"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0.0</w:t>
            </w:r>
          </w:p>
        </w:tc>
        <w:tc>
          <w:tcPr>
            <w:tcW w:w="1146" w:type="dxa"/>
            <w:tcBorders>
              <w:top w:val="nil"/>
              <w:left w:val="nil"/>
              <w:bottom w:val="nil"/>
              <w:right w:val="single" w:sz="4" w:space="0" w:color="000000"/>
            </w:tcBorders>
            <w:shd w:val="clear" w:color="auto" w:fill="auto"/>
            <w:noWrap/>
            <w:vAlign w:val="center"/>
          </w:tcPr>
          <w:p w14:paraId="4D81E0DA" w14:textId="77777777" w:rsidR="00B53E24" w:rsidRPr="008A7800" w:rsidRDefault="00ED1E40"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Pr>
                <w:rFonts w:eastAsiaTheme="minorEastAsia"/>
                <w:sz w:val="18"/>
                <w:szCs w:val="18"/>
                <w:lang w:eastAsia="en-US"/>
              </w:rPr>
              <w:t>!</w:t>
            </w:r>
          </w:p>
        </w:tc>
        <w:tc>
          <w:tcPr>
            <w:tcW w:w="666" w:type="dxa"/>
            <w:tcBorders>
              <w:top w:val="nil"/>
              <w:left w:val="single" w:sz="4" w:space="0" w:color="000000"/>
              <w:bottom w:val="nil"/>
              <w:right w:val="nil"/>
            </w:tcBorders>
            <w:shd w:val="clear" w:color="auto" w:fill="auto"/>
            <w:vAlign w:val="center"/>
          </w:tcPr>
          <w:p w14:paraId="0A9BF2E6"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w:t>
            </w:r>
          </w:p>
        </w:tc>
        <w:tc>
          <w:tcPr>
            <w:tcW w:w="567" w:type="dxa"/>
            <w:tcBorders>
              <w:top w:val="nil"/>
              <w:left w:val="nil"/>
              <w:bottom w:val="nil"/>
              <w:right w:val="nil"/>
            </w:tcBorders>
            <w:shd w:val="clear" w:color="auto" w:fill="auto"/>
            <w:vAlign w:val="center"/>
          </w:tcPr>
          <w:p w14:paraId="1BC2240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w:t>
            </w:r>
          </w:p>
        </w:tc>
        <w:tc>
          <w:tcPr>
            <w:tcW w:w="1146" w:type="dxa"/>
            <w:tcBorders>
              <w:top w:val="nil"/>
              <w:left w:val="nil"/>
              <w:bottom w:val="nil"/>
              <w:right w:val="single" w:sz="4" w:space="0" w:color="000000"/>
            </w:tcBorders>
            <w:shd w:val="clear" w:color="auto" w:fill="auto"/>
            <w:vAlign w:val="center"/>
          </w:tcPr>
          <w:p w14:paraId="01EC8BB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w:t>
            </w:r>
          </w:p>
        </w:tc>
        <w:tc>
          <w:tcPr>
            <w:tcW w:w="616" w:type="dxa"/>
            <w:tcBorders>
              <w:top w:val="nil"/>
              <w:left w:val="single" w:sz="4" w:space="0" w:color="000000"/>
              <w:bottom w:val="nil"/>
              <w:right w:val="nil"/>
            </w:tcBorders>
            <w:shd w:val="clear" w:color="auto" w:fill="auto"/>
            <w:vAlign w:val="center"/>
          </w:tcPr>
          <w:p w14:paraId="6AB8B249"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w:t>
            </w:r>
          </w:p>
        </w:tc>
        <w:tc>
          <w:tcPr>
            <w:tcW w:w="576" w:type="dxa"/>
            <w:tcBorders>
              <w:top w:val="nil"/>
              <w:left w:val="nil"/>
              <w:bottom w:val="nil"/>
              <w:right w:val="nil"/>
            </w:tcBorders>
            <w:shd w:val="clear" w:color="auto" w:fill="auto"/>
            <w:vAlign w:val="center"/>
          </w:tcPr>
          <w:p w14:paraId="4A9C8D50"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0.0</w:t>
            </w:r>
          </w:p>
        </w:tc>
        <w:tc>
          <w:tcPr>
            <w:tcW w:w="1146" w:type="dxa"/>
            <w:tcBorders>
              <w:top w:val="nil"/>
              <w:left w:val="nil"/>
              <w:bottom w:val="nil"/>
              <w:right w:val="nil"/>
            </w:tcBorders>
            <w:shd w:val="clear" w:color="auto" w:fill="auto"/>
            <w:vAlign w:val="center"/>
          </w:tcPr>
          <w:p w14:paraId="72E60B07" w14:textId="77777777" w:rsidR="00B53E24" w:rsidRPr="008A7800" w:rsidRDefault="00ED1E40"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8A7800" w14:paraId="2C10A37D"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46ACB16D" w14:textId="77777777" w:rsidR="00B53E24" w:rsidRPr="008A7800" w:rsidRDefault="00B53E24" w:rsidP="00B53E24">
            <w:pPr>
              <w:spacing w:before="20" w:after="20"/>
              <w:rPr>
                <w:rFonts w:eastAsiaTheme="minorEastAsia"/>
                <w:b w:val="0"/>
                <w:sz w:val="18"/>
                <w:szCs w:val="18"/>
                <w:lang w:eastAsia="en-US"/>
              </w:rPr>
            </w:pPr>
            <w:r w:rsidRPr="008A7800">
              <w:rPr>
                <w:rFonts w:eastAsiaTheme="minorEastAsia"/>
                <w:b w:val="0"/>
                <w:sz w:val="18"/>
                <w:szCs w:val="18"/>
                <w:lang w:eastAsia="en-US"/>
              </w:rPr>
              <w:t>Casino table games or EGMS (NZ)</w:t>
            </w:r>
          </w:p>
        </w:tc>
        <w:tc>
          <w:tcPr>
            <w:tcW w:w="666" w:type="dxa"/>
            <w:tcBorders>
              <w:top w:val="nil"/>
              <w:left w:val="nil"/>
              <w:bottom w:val="nil"/>
              <w:right w:val="nil"/>
            </w:tcBorders>
            <w:shd w:val="clear" w:color="auto" w:fill="auto"/>
            <w:noWrap/>
            <w:vAlign w:val="center"/>
          </w:tcPr>
          <w:p w14:paraId="6A1F85E0"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59</w:t>
            </w:r>
          </w:p>
        </w:tc>
        <w:tc>
          <w:tcPr>
            <w:tcW w:w="567" w:type="dxa"/>
            <w:tcBorders>
              <w:top w:val="nil"/>
              <w:left w:val="nil"/>
              <w:bottom w:val="nil"/>
              <w:right w:val="nil"/>
            </w:tcBorders>
            <w:shd w:val="clear" w:color="auto" w:fill="auto"/>
            <w:noWrap/>
            <w:vAlign w:val="center"/>
          </w:tcPr>
          <w:p w14:paraId="565FD610"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0.9</w:t>
            </w:r>
          </w:p>
        </w:tc>
        <w:tc>
          <w:tcPr>
            <w:tcW w:w="1146" w:type="dxa"/>
            <w:tcBorders>
              <w:top w:val="nil"/>
              <w:left w:val="nil"/>
              <w:bottom w:val="nil"/>
              <w:right w:val="single" w:sz="4" w:space="0" w:color="auto"/>
            </w:tcBorders>
            <w:shd w:val="clear" w:color="auto" w:fill="auto"/>
            <w:noWrap/>
            <w:vAlign w:val="center"/>
          </w:tcPr>
          <w:p w14:paraId="35A40F09"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(0.6, 1.2)</w:t>
            </w:r>
          </w:p>
        </w:tc>
        <w:tc>
          <w:tcPr>
            <w:tcW w:w="666" w:type="dxa"/>
            <w:tcBorders>
              <w:top w:val="nil"/>
              <w:left w:val="single" w:sz="4" w:space="0" w:color="auto"/>
              <w:bottom w:val="nil"/>
              <w:right w:val="nil"/>
            </w:tcBorders>
            <w:shd w:val="clear" w:color="auto" w:fill="auto"/>
            <w:noWrap/>
            <w:vAlign w:val="center"/>
          </w:tcPr>
          <w:p w14:paraId="71E1A35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26</w:t>
            </w:r>
          </w:p>
        </w:tc>
        <w:tc>
          <w:tcPr>
            <w:tcW w:w="567" w:type="dxa"/>
            <w:tcBorders>
              <w:top w:val="nil"/>
              <w:left w:val="nil"/>
              <w:bottom w:val="nil"/>
              <w:right w:val="nil"/>
            </w:tcBorders>
            <w:shd w:val="clear" w:color="auto" w:fill="auto"/>
            <w:noWrap/>
            <w:vAlign w:val="center"/>
          </w:tcPr>
          <w:p w14:paraId="7843F6A0"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0.7</w:t>
            </w:r>
          </w:p>
        </w:tc>
        <w:tc>
          <w:tcPr>
            <w:tcW w:w="1146" w:type="dxa"/>
            <w:tcBorders>
              <w:top w:val="nil"/>
              <w:left w:val="nil"/>
              <w:bottom w:val="nil"/>
              <w:right w:val="single" w:sz="4" w:space="0" w:color="000000"/>
            </w:tcBorders>
            <w:shd w:val="clear" w:color="auto" w:fill="auto"/>
            <w:noWrap/>
            <w:vAlign w:val="center"/>
          </w:tcPr>
          <w:p w14:paraId="625956FA"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(0.2, 1.2)</w:t>
            </w:r>
          </w:p>
        </w:tc>
        <w:tc>
          <w:tcPr>
            <w:tcW w:w="666" w:type="dxa"/>
            <w:tcBorders>
              <w:top w:val="nil"/>
              <w:left w:val="single" w:sz="4" w:space="0" w:color="000000"/>
              <w:bottom w:val="nil"/>
              <w:right w:val="nil"/>
            </w:tcBorders>
            <w:shd w:val="clear" w:color="auto" w:fill="auto"/>
            <w:vAlign w:val="center"/>
          </w:tcPr>
          <w:p w14:paraId="186AA29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19</w:t>
            </w:r>
          </w:p>
        </w:tc>
        <w:tc>
          <w:tcPr>
            <w:tcW w:w="567" w:type="dxa"/>
            <w:tcBorders>
              <w:top w:val="nil"/>
              <w:left w:val="nil"/>
              <w:bottom w:val="nil"/>
              <w:right w:val="nil"/>
            </w:tcBorders>
            <w:shd w:val="clear" w:color="auto" w:fill="auto"/>
            <w:vAlign w:val="center"/>
          </w:tcPr>
          <w:p w14:paraId="4DEC58AA"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0.6</w:t>
            </w:r>
          </w:p>
        </w:tc>
        <w:tc>
          <w:tcPr>
            <w:tcW w:w="1146" w:type="dxa"/>
            <w:tcBorders>
              <w:top w:val="nil"/>
              <w:left w:val="nil"/>
              <w:bottom w:val="nil"/>
              <w:right w:val="single" w:sz="4" w:space="0" w:color="000000"/>
            </w:tcBorders>
            <w:shd w:val="clear" w:color="auto" w:fill="auto"/>
            <w:vAlign w:val="center"/>
          </w:tcPr>
          <w:p w14:paraId="7F125B7A"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(0.2, 1.0)</w:t>
            </w:r>
          </w:p>
        </w:tc>
        <w:tc>
          <w:tcPr>
            <w:tcW w:w="616" w:type="dxa"/>
            <w:tcBorders>
              <w:top w:val="nil"/>
              <w:left w:val="single" w:sz="4" w:space="0" w:color="000000"/>
              <w:bottom w:val="nil"/>
              <w:right w:val="nil"/>
            </w:tcBorders>
            <w:shd w:val="clear" w:color="auto" w:fill="auto"/>
            <w:vAlign w:val="center"/>
          </w:tcPr>
          <w:p w14:paraId="7E4C62D5"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w:t>
            </w:r>
          </w:p>
        </w:tc>
        <w:tc>
          <w:tcPr>
            <w:tcW w:w="576" w:type="dxa"/>
            <w:tcBorders>
              <w:top w:val="nil"/>
              <w:left w:val="nil"/>
              <w:bottom w:val="nil"/>
              <w:right w:val="nil"/>
            </w:tcBorders>
            <w:shd w:val="clear" w:color="auto" w:fill="auto"/>
            <w:vAlign w:val="center"/>
          </w:tcPr>
          <w:p w14:paraId="53788DF9"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0.3</w:t>
            </w:r>
          </w:p>
        </w:tc>
        <w:tc>
          <w:tcPr>
            <w:tcW w:w="1146" w:type="dxa"/>
            <w:tcBorders>
              <w:top w:val="nil"/>
              <w:left w:val="nil"/>
              <w:bottom w:val="nil"/>
              <w:right w:val="nil"/>
            </w:tcBorders>
            <w:shd w:val="clear" w:color="auto" w:fill="auto"/>
            <w:vAlign w:val="center"/>
          </w:tcPr>
          <w:p w14:paraId="52EB6864"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(0.1, 0.5)</w:t>
            </w:r>
          </w:p>
        </w:tc>
      </w:tr>
      <w:tr w:rsidR="009118DA" w:rsidRPr="008A7800" w14:paraId="4AFE9DA8"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155CC01D" w14:textId="77777777" w:rsidR="00B53E24" w:rsidRPr="008A7800" w:rsidRDefault="00B53E24" w:rsidP="00B53E24">
            <w:pPr>
              <w:spacing w:before="20" w:after="20"/>
              <w:rPr>
                <w:rFonts w:eastAsiaTheme="minorEastAsia"/>
                <w:b w:val="0"/>
                <w:sz w:val="18"/>
                <w:szCs w:val="18"/>
                <w:lang w:eastAsia="en-US"/>
              </w:rPr>
            </w:pPr>
            <w:r w:rsidRPr="008A7800">
              <w:rPr>
                <w:rFonts w:eastAsiaTheme="minorEastAsia"/>
                <w:b w:val="0"/>
                <w:sz w:val="18"/>
                <w:szCs w:val="18"/>
                <w:lang w:eastAsia="en-US"/>
              </w:rPr>
              <w:t>Casino table games (NZ)</w:t>
            </w:r>
          </w:p>
        </w:tc>
        <w:tc>
          <w:tcPr>
            <w:tcW w:w="666" w:type="dxa"/>
            <w:tcBorders>
              <w:top w:val="nil"/>
              <w:left w:val="nil"/>
              <w:bottom w:val="nil"/>
              <w:right w:val="nil"/>
            </w:tcBorders>
            <w:shd w:val="clear" w:color="auto" w:fill="auto"/>
            <w:noWrap/>
            <w:vAlign w:val="center"/>
          </w:tcPr>
          <w:p w14:paraId="2242D9E0" w14:textId="77777777" w:rsidR="00B53E24" w:rsidRPr="008A7800" w:rsidRDefault="00B53E24" w:rsidP="00B53E24">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13</w:t>
            </w:r>
          </w:p>
        </w:tc>
        <w:tc>
          <w:tcPr>
            <w:tcW w:w="567" w:type="dxa"/>
            <w:tcBorders>
              <w:top w:val="nil"/>
              <w:left w:val="nil"/>
              <w:bottom w:val="nil"/>
              <w:right w:val="nil"/>
            </w:tcBorders>
            <w:shd w:val="clear" w:color="auto" w:fill="auto"/>
            <w:noWrap/>
            <w:vAlign w:val="center"/>
          </w:tcPr>
          <w:p w14:paraId="79AD28D5" w14:textId="77777777" w:rsidR="00B53E24" w:rsidRPr="008A7800" w:rsidRDefault="00B53E24" w:rsidP="00B53E24">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0.2</w:t>
            </w:r>
          </w:p>
        </w:tc>
        <w:tc>
          <w:tcPr>
            <w:tcW w:w="1146" w:type="dxa"/>
            <w:tcBorders>
              <w:top w:val="nil"/>
              <w:left w:val="nil"/>
              <w:bottom w:val="nil"/>
              <w:right w:val="single" w:sz="4" w:space="0" w:color="auto"/>
            </w:tcBorders>
            <w:shd w:val="clear" w:color="auto" w:fill="auto"/>
            <w:noWrap/>
            <w:vAlign w:val="center"/>
          </w:tcPr>
          <w:p w14:paraId="03047802" w14:textId="77777777" w:rsidR="00B53E24" w:rsidRPr="008A7800" w:rsidRDefault="00B53E24" w:rsidP="00B53E24">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(0.0, 0.4)</w:t>
            </w:r>
          </w:p>
        </w:tc>
        <w:tc>
          <w:tcPr>
            <w:tcW w:w="666" w:type="dxa"/>
            <w:tcBorders>
              <w:top w:val="nil"/>
              <w:left w:val="single" w:sz="4" w:space="0" w:color="auto"/>
              <w:bottom w:val="nil"/>
              <w:right w:val="nil"/>
            </w:tcBorders>
            <w:shd w:val="clear" w:color="auto" w:fill="auto"/>
            <w:noWrap/>
            <w:vAlign w:val="center"/>
          </w:tcPr>
          <w:p w14:paraId="5D7C8552"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15</w:t>
            </w:r>
          </w:p>
        </w:tc>
        <w:tc>
          <w:tcPr>
            <w:tcW w:w="567" w:type="dxa"/>
            <w:tcBorders>
              <w:top w:val="nil"/>
              <w:left w:val="nil"/>
              <w:bottom w:val="nil"/>
              <w:right w:val="nil"/>
            </w:tcBorders>
            <w:shd w:val="clear" w:color="auto" w:fill="auto"/>
            <w:noWrap/>
            <w:vAlign w:val="center"/>
          </w:tcPr>
          <w:p w14:paraId="0D137529"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0.4</w:t>
            </w:r>
          </w:p>
        </w:tc>
        <w:tc>
          <w:tcPr>
            <w:tcW w:w="1146" w:type="dxa"/>
            <w:tcBorders>
              <w:top w:val="nil"/>
              <w:left w:val="nil"/>
              <w:bottom w:val="nil"/>
              <w:right w:val="single" w:sz="4" w:space="0" w:color="000000"/>
            </w:tcBorders>
            <w:shd w:val="clear" w:color="auto" w:fill="auto"/>
            <w:noWrap/>
            <w:vAlign w:val="center"/>
          </w:tcPr>
          <w:p w14:paraId="3E824C42"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(0.0, 0.9)</w:t>
            </w:r>
          </w:p>
        </w:tc>
        <w:tc>
          <w:tcPr>
            <w:tcW w:w="666" w:type="dxa"/>
            <w:tcBorders>
              <w:top w:val="nil"/>
              <w:left w:val="single" w:sz="4" w:space="0" w:color="000000"/>
              <w:bottom w:val="nil"/>
              <w:right w:val="nil"/>
            </w:tcBorders>
            <w:shd w:val="clear" w:color="auto" w:fill="auto"/>
            <w:vAlign w:val="center"/>
          </w:tcPr>
          <w:p w14:paraId="27B459D1"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w:t>
            </w:r>
          </w:p>
        </w:tc>
        <w:tc>
          <w:tcPr>
            <w:tcW w:w="567" w:type="dxa"/>
            <w:tcBorders>
              <w:top w:val="nil"/>
              <w:left w:val="nil"/>
              <w:bottom w:val="nil"/>
              <w:right w:val="nil"/>
            </w:tcBorders>
            <w:shd w:val="clear" w:color="auto" w:fill="auto"/>
            <w:vAlign w:val="center"/>
          </w:tcPr>
          <w:p w14:paraId="4CE67899"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0.2</w:t>
            </w:r>
          </w:p>
        </w:tc>
        <w:tc>
          <w:tcPr>
            <w:tcW w:w="1146" w:type="dxa"/>
            <w:tcBorders>
              <w:top w:val="nil"/>
              <w:left w:val="nil"/>
              <w:bottom w:val="nil"/>
              <w:right w:val="single" w:sz="4" w:space="0" w:color="000000"/>
            </w:tcBorders>
            <w:shd w:val="clear" w:color="auto" w:fill="auto"/>
            <w:vAlign w:val="center"/>
          </w:tcPr>
          <w:p w14:paraId="40AD5EF9"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(0.0, 0.5)</w:t>
            </w:r>
          </w:p>
        </w:tc>
        <w:tc>
          <w:tcPr>
            <w:tcW w:w="616" w:type="dxa"/>
            <w:tcBorders>
              <w:top w:val="nil"/>
              <w:left w:val="single" w:sz="4" w:space="0" w:color="000000"/>
              <w:bottom w:val="nil"/>
              <w:right w:val="nil"/>
            </w:tcBorders>
            <w:shd w:val="clear" w:color="auto" w:fill="auto"/>
            <w:vAlign w:val="center"/>
          </w:tcPr>
          <w:p w14:paraId="562144AE"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w:t>
            </w:r>
          </w:p>
        </w:tc>
        <w:tc>
          <w:tcPr>
            <w:tcW w:w="576" w:type="dxa"/>
            <w:tcBorders>
              <w:top w:val="nil"/>
              <w:left w:val="nil"/>
              <w:bottom w:val="nil"/>
              <w:right w:val="nil"/>
            </w:tcBorders>
            <w:shd w:val="clear" w:color="auto" w:fill="auto"/>
            <w:vAlign w:val="center"/>
          </w:tcPr>
          <w:p w14:paraId="5554B953"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w:t>
            </w:r>
          </w:p>
        </w:tc>
        <w:tc>
          <w:tcPr>
            <w:tcW w:w="1146" w:type="dxa"/>
            <w:tcBorders>
              <w:top w:val="nil"/>
              <w:left w:val="nil"/>
              <w:bottom w:val="nil"/>
              <w:right w:val="nil"/>
            </w:tcBorders>
            <w:shd w:val="clear" w:color="auto" w:fill="auto"/>
            <w:vAlign w:val="center"/>
          </w:tcPr>
          <w:p w14:paraId="2E56977F"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w:t>
            </w:r>
          </w:p>
        </w:tc>
      </w:tr>
      <w:tr w:rsidR="009118DA" w:rsidRPr="008A7800" w14:paraId="42C4F6EA"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24F30A8D" w14:textId="77777777" w:rsidR="00B53E24" w:rsidRPr="008A7800" w:rsidRDefault="00B53E24" w:rsidP="00B53E24">
            <w:pPr>
              <w:spacing w:before="20" w:after="20"/>
              <w:rPr>
                <w:rFonts w:eastAsiaTheme="minorEastAsia"/>
                <w:b w:val="0"/>
                <w:sz w:val="18"/>
                <w:szCs w:val="18"/>
                <w:lang w:eastAsia="en-US"/>
              </w:rPr>
            </w:pPr>
            <w:r w:rsidRPr="008A7800">
              <w:rPr>
                <w:rFonts w:eastAsiaTheme="minorEastAsia"/>
                <w:b w:val="0"/>
                <w:sz w:val="18"/>
                <w:szCs w:val="18"/>
                <w:lang w:eastAsia="en-US"/>
              </w:rPr>
              <w:t>Casino EGMs (NZ)</w:t>
            </w:r>
          </w:p>
        </w:tc>
        <w:tc>
          <w:tcPr>
            <w:tcW w:w="666" w:type="dxa"/>
            <w:tcBorders>
              <w:top w:val="nil"/>
              <w:left w:val="nil"/>
              <w:bottom w:val="nil"/>
              <w:right w:val="nil"/>
            </w:tcBorders>
            <w:shd w:val="clear" w:color="auto" w:fill="auto"/>
            <w:noWrap/>
            <w:vAlign w:val="center"/>
          </w:tcPr>
          <w:p w14:paraId="1AE898DE"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55</w:t>
            </w:r>
          </w:p>
        </w:tc>
        <w:tc>
          <w:tcPr>
            <w:tcW w:w="567" w:type="dxa"/>
            <w:tcBorders>
              <w:top w:val="nil"/>
              <w:left w:val="nil"/>
              <w:bottom w:val="nil"/>
              <w:right w:val="nil"/>
            </w:tcBorders>
            <w:shd w:val="clear" w:color="auto" w:fill="auto"/>
            <w:noWrap/>
            <w:vAlign w:val="center"/>
          </w:tcPr>
          <w:p w14:paraId="683D47B9"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0.9</w:t>
            </w:r>
          </w:p>
        </w:tc>
        <w:tc>
          <w:tcPr>
            <w:tcW w:w="1146" w:type="dxa"/>
            <w:tcBorders>
              <w:top w:val="nil"/>
              <w:left w:val="nil"/>
              <w:bottom w:val="nil"/>
              <w:right w:val="single" w:sz="4" w:space="0" w:color="auto"/>
            </w:tcBorders>
            <w:shd w:val="clear" w:color="auto" w:fill="auto"/>
            <w:noWrap/>
            <w:vAlign w:val="center"/>
          </w:tcPr>
          <w:p w14:paraId="11F58490"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(0.6, 1.2)</w:t>
            </w:r>
          </w:p>
        </w:tc>
        <w:tc>
          <w:tcPr>
            <w:tcW w:w="666" w:type="dxa"/>
            <w:tcBorders>
              <w:top w:val="nil"/>
              <w:left w:val="single" w:sz="4" w:space="0" w:color="auto"/>
              <w:bottom w:val="nil"/>
              <w:right w:val="nil"/>
            </w:tcBorders>
            <w:shd w:val="clear" w:color="auto" w:fill="auto"/>
            <w:noWrap/>
            <w:vAlign w:val="center"/>
          </w:tcPr>
          <w:p w14:paraId="12EB4190"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16</w:t>
            </w:r>
          </w:p>
        </w:tc>
        <w:tc>
          <w:tcPr>
            <w:tcW w:w="567" w:type="dxa"/>
            <w:tcBorders>
              <w:top w:val="nil"/>
              <w:left w:val="nil"/>
              <w:bottom w:val="nil"/>
              <w:right w:val="nil"/>
            </w:tcBorders>
            <w:shd w:val="clear" w:color="auto" w:fill="auto"/>
            <w:noWrap/>
            <w:vAlign w:val="center"/>
          </w:tcPr>
          <w:p w14:paraId="663EDC1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0.4</w:t>
            </w:r>
          </w:p>
        </w:tc>
        <w:tc>
          <w:tcPr>
            <w:tcW w:w="1146" w:type="dxa"/>
            <w:tcBorders>
              <w:top w:val="nil"/>
              <w:left w:val="nil"/>
              <w:bottom w:val="nil"/>
              <w:right w:val="single" w:sz="4" w:space="0" w:color="000000"/>
            </w:tcBorders>
            <w:shd w:val="clear" w:color="auto" w:fill="auto"/>
            <w:noWrap/>
            <w:vAlign w:val="center"/>
          </w:tcPr>
          <w:p w14:paraId="148E7A0F"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(0.2, 0.6)</w:t>
            </w:r>
          </w:p>
        </w:tc>
        <w:tc>
          <w:tcPr>
            <w:tcW w:w="666" w:type="dxa"/>
            <w:tcBorders>
              <w:top w:val="nil"/>
              <w:left w:val="single" w:sz="4" w:space="0" w:color="000000"/>
              <w:bottom w:val="nil"/>
              <w:right w:val="nil"/>
            </w:tcBorders>
            <w:shd w:val="clear" w:color="auto" w:fill="auto"/>
            <w:vAlign w:val="center"/>
          </w:tcPr>
          <w:p w14:paraId="38ED5629"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w:t>
            </w:r>
          </w:p>
        </w:tc>
        <w:tc>
          <w:tcPr>
            <w:tcW w:w="567" w:type="dxa"/>
            <w:tcBorders>
              <w:top w:val="nil"/>
              <w:left w:val="nil"/>
              <w:bottom w:val="nil"/>
              <w:right w:val="nil"/>
            </w:tcBorders>
            <w:shd w:val="clear" w:color="auto" w:fill="auto"/>
            <w:vAlign w:val="center"/>
          </w:tcPr>
          <w:p w14:paraId="040F2C07"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0.4</w:t>
            </w:r>
          </w:p>
        </w:tc>
        <w:tc>
          <w:tcPr>
            <w:tcW w:w="1146" w:type="dxa"/>
            <w:tcBorders>
              <w:top w:val="nil"/>
              <w:left w:val="nil"/>
              <w:bottom w:val="nil"/>
              <w:right w:val="single" w:sz="4" w:space="0" w:color="000000"/>
            </w:tcBorders>
            <w:shd w:val="clear" w:color="auto" w:fill="auto"/>
            <w:vAlign w:val="center"/>
          </w:tcPr>
          <w:p w14:paraId="5518C6CF"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(0.1, 0.6)</w:t>
            </w:r>
          </w:p>
        </w:tc>
        <w:tc>
          <w:tcPr>
            <w:tcW w:w="616" w:type="dxa"/>
            <w:tcBorders>
              <w:top w:val="nil"/>
              <w:left w:val="single" w:sz="4" w:space="0" w:color="000000"/>
              <w:bottom w:val="nil"/>
              <w:right w:val="nil"/>
            </w:tcBorders>
            <w:shd w:val="clear" w:color="auto" w:fill="auto"/>
            <w:vAlign w:val="center"/>
          </w:tcPr>
          <w:p w14:paraId="328FCADE"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w:t>
            </w:r>
          </w:p>
        </w:tc>
        <w:tc>
          <w:tcPr>
            <w:tcW w:w="576" w:type="dxa"/>
            <w:tcBorders>
              <w:top w:val="nil"/>
              <w:left w:val="nil"/>
              <w:bottom w:val="nil"/>
              <w:right w:val="nil"/>
            </w:tcBorders>
            <w:shd w:val="clear" w:color="auto" w:fill="auto"/>
            <w:vAlign w:val="center"/>
          </w:tcPr>
          <w:p w14:paraId="51666E0E"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0.3</w:t>
            </w:r>
          </w:p>
        </w:tc>
        <w:tc>
          <w:tcPr>
            <w:tcW w:w="1146" w:type="dxa"/>
            <w:tcBorders>
              <w:top w:val="nil"/>
              <w:left w:val="nil"/>
              <w:bottom w:val="nil"/>
              <w:right w:val="nil"/>
            </w:tcBorders>
            <w:shd w:val="clear" w:color="auto" w:fill="auto"/>
            <w:vAlign w:val="center"/>
          </w:tcPr>
          <w:p w14:paraId="6198ECE5"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(0.1, 0.5)</w:t>
            </w:r>
          </w:p>
        </w:tc>
      </w:tr>
      <w:tr w:rsidR="009118DA" w:rsidRPr="008A7800" w14:paraId="4E70E02A"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1941542A" w14:textId="77777777" w:rsidR="00B53E24" w:rsidRPr="008A7800" w:rsidRDefault="00B53E24" w:rsidP="00B53E24">
            <w:pPr>
              <w:spacing w:before="20" w:after="20"/>
              <w:rPr>
                <w:rFonts w:eastAsiaTheme="minorEastAsia"/>
                <w:b w:val="0"/>
                <w:sz w:val="18"/>
                <w:szCs w:val="18"/>
              </w:rPr>
            </w:pPr>
            <w:r w:rsidRPr="008A7800">
              <w:rPr>
                <w:rFonts w:eastAsiaTheme="minorEastAsia"/>
                <w:b w:val="0"/>
                <w:sz w:val="18"/>
                <w:szCs w:val="18"/>
              </w:rPr>
              <w:t>Pub EGMs</w:t>
            </w:r>
          </w:p>
        </w:tc>
        <w:tc>
          <w:tcPr>
            <w:tcW w:w="666" w:type="dxa"/>
            <w:tcBorders>
              <w:top w:val="nil"/>
              <w:left w:val="nil"/>
              <w:bottom w:val="nil"/>
              <w:right w:val="nil"/>
            </w:tcBorders>
            <w:shd w:val="clear" w:color="auto" w:fill="auto"/>
            <w:noWrap/>
            <w:vAlign w:val="center"/>
          </w:tcPr>
          <w:p w14:paraId="7A468AF9"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213</w:t>
            </w:r>
          </w:p>
        </w:tc>
        <w:tc>
          <w:tcPr>
            <w:tcW w:w="567" w:type="dxa"/>
            <w:tcBorders>
              <w:top w:val="nil"/>
              <w:left w:val="nil"/>
              <w:bottom w:val="nil"/>
              <w:right w:val="nil"/>
            </w:tcBorders>
            <w:shd w:val="clear" w:color="auto" w:fill="auto"/>
            <w:noWrap/>
            <w:vAlign w:val="center"/>
          </w:tcPr>
          <w:p w14:paraId="7F4E69BD"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3.4</w:t>
            </w:r>
          </w:p>
        </w:tc>
        <w:tc>
          <w:tcPr>
            <w:tcW w:w="1146" w:type="dxa"/>
            <w:tcBorders>
              <w:top w:val="nil"/>
              <w:left w:val="nil"/>
              <w:bottom w:val="nil"/>
              <w:right w:val="single" w:sz="4" w:space="0" w:color="auto"/>
            </w:tcBorders>
            <w:shd w:val="clear" w:color="auto" w:fill="auto"/>
            <w:noWrap/>
            <w:vAlign w:val="center"/>
          </w:tcPr>
          <w:p w14:paraId="7E3B7E74"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(2.9, 3.9)</w:t>
            </w:r>
          </w:p>
        </w:tc>
        <w:tc>
          <w:tcPr>
            <w:tcW w:w="666" w:type="dxa"/>
            <w:tcBorders>
              <w:top w:val="nil"/>
              <w:left w:val="single" w:sz="4" w:space="0" w:color="auto"/>
              <w:bottom w:val="nil"/>
              <w:right w:val="nil"/>
            </w:tcBorders>
            <w:shd w:val="clear" w:color="auto" w:fill="auto"/>
            <w:noWrap/>
            <w:vAlign w:val="center"/>
          </w:tcPr>
          <w:p w14:paraId="4B6F1FA7"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91</w:t>
            </w:r>
          </w:p>
        </w:tc>
        <w:tc>
          <w:tcPr>
            <w:tcW w:w="567" w:type="dxa"/>
            <w:tcBorders>
              <w:top w:val="nil"/>
              <w:left w:val="nil"/>
              <w:bottom w:val="nil"/>
              <w:right w:val="nil"/>
            </w:tcBorders>
            <w:shd w:val="clear" w:color="auto" w:fill="auto"/>
            <w:noWrap/>
            <w:vAlign w:val="center"/>
          </w:tcPr>
          <w:p w14:paraId="011E18B9"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2.4</w:t>
            </w:r>
          </w:p>
        </w:tc>
        <w:tc>
          <w:tcPr>
            <w:tcW w:w="1146" w:type="dxa"/>
            <w:tcBorders>
              <w:top w:val="nil"/>
              <w:left w:val="nil"/>
              <w:bottom w:val="nil"/>
              <w:right w:val="single" w:sz="4" w:space="0" w:color="000000"/>
            </w:tcBorders>
            <w:shd w:val="clear" w:color="auto" w:fill="auto"/>
            <w:noWrap/>
            <w:vAlign w:val="center"/>
          </w:tcPr>
          <w:p w14:paraId="7AA7168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(1.9, 3.0)</w:t>
            </w:r>
          </w:p>
        </w:tc>
        <w:tc>
          <w:tcPr>
            <w:tcW w:w="666" w:type="dxa"/>
            <w:tcBorders>
              <w:top w:val="nil"/>
              <w:left w:val="single" w:sz="4" w:space="0" w:color="000000"/>
              <w:bottom w:val="nil"/>
              <w:right w:val="nil"/>
            </w:tcBorders>
            <w:shd w:val="clear" w:color="auto" w:fill="auto"/>
            <w:vAlign w:val="center"/>
          </w:tcPr>
          <w:p w14:paraId="7717D7B0"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74</w:t>
            </w:r>
          </w:p>
        </w:tc>
        <w:tc>
          <w:tcPr>
            <w:tcW w:w="567" w:type="dxa"/>
            <w:tcBorders>
              <w:top w:val="nil"/>
              <w:left w:val="nil"/>
              <w:bottom w:val="nil"/>
              <w:right w:val="nil"/>
            </w:tcBorders>
            <w:shd w:val="clear" w:color="auto" w:fill="auto"/>
            <w:vAlign w:val="center"/>
          </w:tcPr>
          <w:p w14:paraId="68BA6B8D"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2.4</w:t>
            </w:r>
          </w:p>
        </w:tc>
        <w:tc>
          <w:tcPr>
            <w:tcW w:w="1146" w:type="dxa"/>
            <w:tcBorders>
              <w:top w:val="nil"/>
              <w:left w:val="nil"/>
              <w:bottom w:val="nil"/>
              <w:right w:val="single" w:sz="4" w:space="0" w:color="000000"/>
            </w:tcBorders>
            <w:shd w:val="clear" w:color="auto" w:fill="auto"/>
            <w:vAlign w:val="center"/>
          </w:tcPr>
          <w:p w14:paraId="52BD00B9"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(1.8, 3.0)</w:t>
            </w:r>
          </w:p>
        </w:tc>
        <w:tc>
          <w:tcPr>
            <w:tcW w:w="616" w:type="dxa"/>
            <w:tcBorders>
              <w:top w:val="nil"/>
              <w:left w:val="single" w:sz="4" w:space="0" w:color="000000"/>
              <w:bottom w:val="nil"/>
              <w:right w:val="nil"/>
            </w:tcBorders>
            <w:shd w:val="clear" w:color="auto" w:fill="auto"/>
            <w:vAlign w:val="center"/>
          </w:tcPr>
          <w:p w14:paraId="37D1A6C1"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61</w:t>
            </w:r>
          </w:p>
        </w:tc>
        <w:tc>
          <w:tcPr>
            <w:tcW w:w="576" w:type="dxa"/>
            <w:tcBorders>
              <w:top w:val="nil"/>
              <w:left w:val="nil"/>
              <w:bottom w:val="nil"/>
              <w:right w:val="nil"/>
            </w:tcBorders>
            <w:shd w:val="clear" w:color="auto" w:fill="auto"/>
            <w:vAlign w:val="center"/>
          </w:tcPr>
          <w:p w14:paraId="00F70306"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2.2</w:t>
            </w:r>
          </w:p>
        </w:tc>
        <w:tc>
          <w:tcPr>
            <w:tcW w:w="1146" w:type="dxa"/>
            <w:tcBorders>
              <w:top w:val="nil"/>
              <w:left w:val="nil"/>
              <w:bottom w:val="nil"/>
              <w:right w:val="nil"/>
            </w:tcBorders>
            <w:shd w:val="clear" w:color="auto" w:fill="auto"/>
            <w:vAlign w:val="center"/>
          </w:tcPr>
          <w:p w14:paraId="1F3BA68B"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(1.6, 2.8)</w:t>
            </w:r>
          </w:p>
        </w:tc>
      </w:tr>
      <w:tr w:rsidR="009118DA" w:rsidRPr="008A7800" w14:paraId="5DED61D3"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5B547D0A" w14:textId="77777777" w:rsidR="00B53E24" w:rsidRPr="008A7800" w:rsidRDefault="00B53E24" w:rsidP="00B53E24">
            <w:pPr>
              <w:spacing w:before="20" w:after="20"/>
              <w:rPr>
                <w:rFonts w:eastAsiaTheme="minorEastAsia"/>
                <w:b w:val="0"/>
                <w:sz w:val="18"/>
                <w:szCs w:val="18"/>
              </w:rPr>
            </w:pPr>
            <w:r w:rsidRPr="008A7800">
              <w:rPr>
                <w:rFonts w:eastAsiaTheme="minorEastAsia"/>
                <w:b w:val="0"/>
                <w:sz w:val="18"/>
                <w:szCs w:val="18"/>
              </w:rPr>
              <w:t>Club EGMs</w:t>
            </w:r>
          </w:p>
        </w:tc>
        <w:tc>
          <w:tcPr>
            <w:tcW w:w="666" w:type="dxa"/>
            <w:tcBorders>
              <w:top w:val="nil"/>
              <w:left w:val="nil"/>
              <w:bottom w:val="nil"/>
              <w:right w:val="nil"/>
            </w:tcBorders>
            <w:shd w:val="clear" w:color="auto" w:fill="auto"/>
            <w:noWrap/>
            <w:vAlign w:val="center"/>
          </w:tcPr>
          <w:p w14:paraId="534DDF9E"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94</w:t>
            </w:r>
          </w:p>
        </w:tc>
        <w:tc>
          <w:tcPr>
            <w:tcW w:w="567" w:type="dxa"/>
            <w:tcBorders>
              <w:top w:val="nil"/>
              <w:left w:val="nil"/>
              <w:bottom w:val="nil"/>
              <w:right w:val="nil"/>
            </w:tcBorders>
            <w:shd w:val="clear" w:color="auto" w:fill="auto"/>
            <w:noWrap/>
            <w:vAlign w:val="center"/>
          </w:tcPr>
          <w:p w14:paraId="6D889B52"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1.5</w:t>
            </w:r>
          </w:p>
        </w:tc>
        <w:tc>
          <w:tcPr>
            <w:tcW w:w="1146" w:type="dxa"/>
            <w:tcBorders>
              <w:top w:val="nil"/>
              <w:left w:val="nil"/>
              <w:bottom w:val="nil"/>
              <w:right w:val="single" w:sz="4" w:space="0" w:color="auto"/>
            </w:tcBorders>
            <w:shd w:val="clear" w:color="auto" w:fill="auto"/>
            <w:noWrap/>
            <w:vAlign w:val="center"/>
          </w:tcPr>
          <w:p w14:paraId="2CBB7A59"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(1.2, 1.9)</w:t>
            </w:r>
          </w:p>
        </w:tc>
        <w:tc>
          <w:tcPr>
            <w:tcW w:w="666" w:type="dxa"/>
            <w:tcBorders>
              <w:top w:val="nil"/>
              <w:left w:val="single" w:sz="4" w:space="0" w:color="auto"/>
              <w:bottom w:val="nil"/>
              <w:right w:val="nil"/>
            </w:tcBorders>
            <w:shd w:val="clear" w:color="auto" w:fill="auto"/>
            <w:noWrap/>
            <w:vAlign w:val="center"/>
          </w:tcPr>
          <w:p w14:paraId="2F516EFE"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42</w:t>
            </w:r>
          </w:p>
        </w:tc>
        <w:tc>
          <w:tcPr>
            <w:tcW w:w="567" w:type="dxa"/>
            <w:tcBorders>
              <w:top w:val="nil"/>
              <w:left w:val="nil"/>
              <w:bottom w:val="nil"/>
              <w:right w:val="nil"/>
            </w:tcBorders>
            <w:shd w:val="clear" w:color="auto" w:fill="auto"/>
            <w:noWrap/>
            <w:vAlign w:val="center"/>
          </w:tcPr>
          <w:p w14:paraId="621BC4C3"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w:t>
            </w:r>
          </w:p>
        </w:tc>
        <w:tc>
          <w:tcPr>
            <w:tcW w:w="1146" w:type="dxa"/>
            <w:tcBorders>
              <w:top w:val="nil"/>
              <w:left w:val="nil"/>
              <w:bottom w:val="nil"/>
              <w:right w:val="single" w:sz="4" w:space="0" w:color="000000"/>
            </w:tcBorders>
            <w:shd w:val="clear" w:color="auto" w:fill="auto"/>
            <w:noWrap/>
            <w:vAlign w:val="center"/>
          </w:tcPr>
          <w:p w14:paraId="5E585969"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(0.7, 1.5)</w:t>
            </w:r>
          </w:p>
        </w:tc>
        <w:tc>
          <w:tcPr>
            <w:tcW w:w="666" w:type="dxa"/>
            <w:tcBorders>
              <w:top w:val="nil"/>
              <w:left w:val="single" w:sz="4" w:space="0" w:color="000000"/>
              <w:bottom w:val="nil"/>
              <w:right w:val="nil"/>
            </w:tcBorders>
            <w:shd w:val="clear" w:color="auto" w:fill="auto"/>
            <w:vAlign w:val="center"/>
          </w:tcPr>
          <w:p w14:paraId="7E6AF28C"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30</w:t>
            </w:r>
          </w:p>
        </w:tc>
        <w:tc>
          <w:tcPr>
            <w:tcW w:w="567" w:type="dxa"/>
            <w:tcBorders>
              <w:top w:val="nil"/>
              <w:left w:val="nil"/>
              <w:bottom w:val="nil"/>
              <w:right w:val="nil"/>
            </w:tcBorders>
            <w:shd w:val="clear" w:color="auto" w:fill="auto"/>
            <w:vAlign w:val="center"/>
          </w:tcPr>
          <w:p w14:paraId="67E7EA2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0.9</w:t>
            </w:r>
          </w:p>
        </w:tc>
        <w:tc>
          <w:tcPr>
            <w:tcW w:w="1146" w:type="dxa"/>
            <w:tcBorders>
              <w:top w:val="nil"/>
              <w:left w:val="nil"/>
              <w:bottom w:val="nil"/>
              <w:right w:val="single" w:sz="4" w:space="0" w:color="000000"/>
            </w:tcBorders>
            <w:shd w:val="clear" w:color="auto" w:fill="auto"/>
            <w:vAlign w:val="center"/>
          </w:tcPr>
          <w:p w14:paraId="470EDFC4"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(0.6, 1.3)</w:t>
            </w:r>
          </w:p>
        </w:tc>
        <w:tc>
          <w:tcPr>
            <w:tcW w:w="616" w:type="dxa"/>
            <w:tcBorders>
              <w:top w:val="nil"/>
              <w:left w:val="single" w:sz="4" w:space="0" w:color="000000"/>
              <w:bottom w:val="nil"/>
              <w:right w:val="nil"/>
            </w:tcBorders>
            <w:shd w:val="clear" w:color="auto" w:fill="auto"/>
            <w:vAlign w:val="center"/>
          </w:tcPr>
          <w:p w14:paraId="20AB36E0"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32</w:t>
            </w:r>
          </w:p>
        </w:tc>
        <w:tc>
          <w:tcPr>
            <w:tcW w:w="576" w:type="dxa"/>
            <w:tcBorders>
              <w:top w:val="nil"/>
              <w:left w:val="nil"/>
              <w:bottom w:val="nil"/>
              <w:right w:val="nil"/>
            </w:tcBorders>
            <w:shd w:val="clear" w:color="auto" w:fill="auto"/>
            <w:vAlign w:val="center"/>
          </w:tcPr>
          <w:p w14:paraId="6364EC97"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w:t>
            </w:r>
          </w:p>
        </w:tc>
        <w:tc>
          <w:tcPr>
            <w:tcW w:w="1146" w:type="dxa"/>
            <w:tcBorders>
              <w:top w:val="nil"/>
              <w:left w:val="nil"/>
              <w:bottom w:val="nil"/>
              <w:right w:val="nil"/>
            </w:tcBorders>
            <w:shd w:val="clear" w:color="auto" w:fill="auto"/>
            <w:vAlign w:val="center"/>
          </w:tcPr>
          <w:p w14:paraId="31D5460E"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(0.7, 1.6)</w:t>
            </w:r>
          </w:p>
        </w:tc>
      </w:tr>
      <w:tr w:rsidR="009118DA" w:rsidRPr="008A7800" w14:paraId="25619A50"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76CEB437" w14:textId="77777777" w:rsidR="00B53E24" w:rsidRPr="008A7800" w:rsidRDefault="00B53E24" w:rsidP="00B53E24">
            <w:pPr>
              <w:spacing w:before="20" w:after="20"/>
              <w:rPr>
                <w:rFonts w:eastAsiaTheme="minorEastAsia"/>
                <w:b w:val="0"/>
                <w:sz w:val="18"/>
                <w:szCs w:val="18"/>
              </w:rPr>
            </w:pPr>
            <w:r w:rsidRPr="008A7800">
              <w:rPr>
                <w:rFonts w:eastAsiaTheme="minorEastAsia"/>
                <w:b w:val="0"/>
                <w:sz w:val="18"/>
                <w:szCs w:val="18"/>
              </w:rPr>
              <w:t>EGMs overall</w:t>
            </w:r>
          </w:p>
        </w:tc>
        <w:tc>
          <w:tcPr>
            <w:tcW w:w="666" w:type="dxa"/>
            <w:tcBorders>
              <w:top w:val="nil"/>
              <w:left w:val="nil"/>
              <w:bottom w:val="nil"/>
              <w:right w:val="nil"/>
            </w:tcBorders>
            <w:shd w:val="clear" w:color="auto" w:fill="auto"/>
            <w:noWrap/>
            <w:vAlign w:val="center"/>
          </w:tcPr>
          <w:p w14:paraId="72E496A4"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309</w:t>
            </w:r>
          </w:p>
        </w:tc>
        <w:tc>
          <w:tcPr>
            <w:tcW w:w="567" w:type="dxa"/>
            <w:tcBorders>
              <w:top w:val="nil"/>
              <w:left w:val="nil"/>
              <w:bottom w:val="nil"/>
              <w:right w:val="nil"/>
            </w:tcBorders>
            <w:shd w:val="clear" w:color="auto" w:fill="auto"/>
            <w:noWrap/>
            <w:vAlign w:val="center"/>
          </w:tcPr>
          <w:p w14:paraId="46740ABD"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4.9</w:t>
            </w:r>
          </w:p>
        </w:tc>
        <w:tc>
          <w:tcPr>
            <w:tcW w:w="1146" w:type="dxa"/>
            <w:tcBorders>
              <w:top w:val="nil"/>
              <w:left w:val="nil"/>
              <w:bottom w:val="nil"/>
              <w:right w:val="single" w:sz="4" w:space="0" w:color="auto"/>
            </w:tcBorders>
            <w:shd w:val="clear" w:color="auto" w:fill="auto"/>
            <w:noWrap/>
            <w:vAlign w:val="center"/>
          </w:tcPr>
          <w:p w14:paraId="6CCCC38F"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(4.3, 5.6)</w:t>
            </w:r>
          </w:p>
        </w:tc>
        <w:tc>
          <w:tcPr>
            <w:tcW w:w="666" w:type="dxa"/>
            <w:tcBorders>
              <w:top w:val="nil"/>
              <w:left w:val="single" w:sz="4" w:space="0" w:color="auto"/>
              <w:bottom w:val="nil"/>
              <w:right w:val="nil"/>
            </w:tcBorders>
            <w:shd w:val="clear" w:color="auto" w:fill="auto"/>
            <w:noWrap/>
            <w:vAlign w:val="center"/>
          </w:tcPr>
          <w:p w14:paraId="0677290F"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127</w:t>
            </w:r>
          </w:p>
        </w:tc>
        <w:tc>
          <w:tcPr>
            <w:tcW w:w="567" w:type="dxa"/>
            <w:tcBorders>
              <w:top w:val="nil"/>
              <w:left w:val="nil"/>
              <w:bottom w:val="nil"/>
              <w:right w:val="nil"/>
            </w:tcBorders>
            <w:shd w:val="clear" w:color="auto" w:fill="auto"/>
            <w:noWrap/>
            <w:vAlign w:val="center"/>
          </w:tcPr>
          <w:p w14:paraId="246ECB57"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3.4</w:t>
            </w:r>
          </w:p>
        </w:tc>
        <w:tc>
          <w:tcPr>
            <w:tcW w:w="1146" w:type="dxa"/>
            <w:tcBorders>
              <w:top w:val="nil"/>
              <w:left w:val="nil"/>
              <w:bottom w:val="nil"/>
              <w:right w:val="single" w:sz="4" w:space="0" w:color="000000"/>
            </w:tcBorders>
            <w:shd w:val="clear" w:color="auto" w:fill="auto"/>
            <w:noWrap/>
            <w:vAlign w:val="center"/>
          </w:tcPr>
          <w:p w14:paraId="497B867F"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(2.8, 4.0)</w:t>
            </w:r>
          </w:p>
        </w:tc>
        <w:tc>
          <w:tcPr>
            <w:tcW w:w="666" w:type="dxa"/>
            <w:tcBorders>
              <w:top w:val="nil"/>
              <w:left w:val="single" w:sz="4" w:space="0" w:color="000000"/>
              <w:bottom w:val="nil"/>
              <w:right w:val="nil"/>
            </w:tcBorders>
            <w:shd w:val="clear" w:color="auto" w:fill="auto"/>
            <w:vAlign w:val="center"/>
          </w:tcPr>
          <w:p w14:paraId="22E39154"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110</w:t>
            </w:r>
          </w:p>
        </w:tc>
        <w:tc>
          <w:tcPr>
            <w:tcW w:w="567" w:type="dxa"/>
            <w:tcBorders>
              <w:top w:val="nil"/>
              <w:left w:val="nil"/>
              <w:bottom w:val="nil"/>
              <w:right w:val="nil"/>
            </w:tcBorders>
            <w:shd w:val="clear" w:color="auto" w:fill="auto"/>
            <w:vAlign w:val="center"/>
          </w:tcPr>
          <w:p w14:paraId="0F4AF92B"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3.5</w:t>
            </w:r>
          </w:p>
        </w:tc>
        <w:tc>
          <w:tcPr>
            <w:tcW w:w="1146" w:type="dxa"/>
            <w:tcBorders>
              <w:top w:val="nil"/>
              <w:left w:val="nil"/>
              <w:bottom w:val="nil"/>
              <w:right w:val="single" w:sz="4" w:space="0" w:color="000000"/>
            </w:tcBorders>
            <w:shd w:val="clear" w:color="auto" w:fill="auto"/>
            <w:vAlign w:val="center"/>
          </w:tcPr>
          <w:p w14:paraId="4A459C32"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(2.8, 4.2)</w:t>
            </w:r>
          </w:p>
        </w:tc>
        <w:tc>
          <w:tcPr>
            <w:tcW w:w="616" w:type="dxa"/>
            <w:tcBorders>
              <w:top w:val="nil"/>
              <w:left w:val="single" w:sz="4" w:space="0" w:color="000000"/>
              <w:bottom w:val="nil"/>
              <w:right w:val="nil"/>
            </w:tcBorders>
            <w:shd w:val="clear" w:color="auto" w:fill="auto"/>
            <w:vAlign w:val="center"/>
          </w:tcPr>
          <w:p w14:paraId="6B85FF21"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86</w:t>
            </w:r>
          </w:p>
        </w:tc>
        <w:tc>
          <w:tcPr>
            <w:tcW w:w="576" w:type="dxa"/>
            <w:tcBorders>
              <w:top w:val="nil"/>
              <w:left w:val="nil"/>
              <w:bottom w:val="nil"/>
              <w:right w:val="nil"/>
            </w:tcBorders>
            <w:shd w:val="clear" w:color="auto" w:fill="auto"/>
            <w:vAlign w:val="center"/>
          </w:tcPr>
          <w:p w14:paraId="0E999472"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3.1</w:t>
            </w:r>
          </w:p>
        </w:tc>
        <w:tc>
          <w:tcPr>
            <w:tcW w:w="1146" w:type="dxa"/>
            <w:tcBorders>
              <w:top w:val="nil"/>
              <w:left w:val="nil"/>
              <w:bottom w:val="nil"/>
              <w:right w:val="nil"/>
            </w:tcBorders>
            <w:shd w:val="clear" w:color="auto" w:fill="auto"/>
            <w:vAlign w:val="center"/>
          </w:tcPr>
          <w:p w14:paraId="34E08BD8"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(2.4, 3.8)</w:t>
            </w:r>
          </w:p>
        </w:tc>
      </w:tr>
      <w:tr w:rsidR="009118DA" w:rsidRPr="008A7800" w14:paraId="3C038203"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shd w:val="clear" w:color="auto" w:fill="auto"/>
            <w:vAlign w:val="center"/>
          </w:tcPr>
          <w:p w14:paraId="2C69B56C" w14:textId="77777777" w:rsidR="00B53E24" w:rsidRPr="008A7800" w:rsidRDefault="00445280" w:rsidP="00B53E24">
            <w:pPr>
              <w:spacing w:before="20" w:after="20"/>
              <w:rPr>
                <w:rFonts w:eastAsiaTheme="minorEastAsia"/>
                <w:b w:val="0"/>
                <w:sz w:val="18"/>
                <w:szCs w:val="18"/>
              </w:rPr>
            </w:pPr>
            <w:r>
              <w:rPr>
                <w:rFonts w:eastAsiaTheme="minorEastAsia"/>
                <w:b w:val="0"/>
                <w:sz w:val="18"/>
                <w:szCs w:val="18"/>
              </w:rPr>
              <w:t>Short-term speculative</w:t>
            </w:r>
            <w:r w:rsidR="00B53E24" w:rsidRPr="008A7800">
              <w:rPr>
                <w:rFonts w:eastAsiaTheme="minorEastAsia"/>
                <w:b w:val="0"/>
                <w:sz w:val="18"/>
                <w:szCs w:val="18"/>
              </w:rPr>
              <w:t xml:space="preserve"> investments </w:t>
            </w:r>
          </w:p>
        </w:tc>
        <w:tc>
          <w:tcPr>
            <w:tcW w:w="666" w:type="dxa"/>
            <w:tcBorders>
              <w:top w:val="nil"/>
              <w:left w:val="nil"/>
              <w:bottom w:val="nil"/>
              <w:right w:val="nil"/>
            </w:tcBorders>
            <w:shd w:val="clear" w:color="auto" w:fill="auto"/>
            <w:noWrap/>
            <w:vAlign w:val="center"/>
          </w:tcPr>
          <w:p w14:paraId="6E61B936"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19</w:t>
            </w:r>
          </w:p>
        </w:tc>
        <w:tc>
          <w:tcPr>
            <w:tcW w:w="567" w:type="dxa"/>
            <w:tcBorders>
              <w:top w:val="nil"/>
              <w:left w:val="nil"/>
              <w:bottom w:val="nil"/>
              <w:right w:val="nil"/>
            </w:tcBorders>
            <w:shd w:val="clear" w:color="auto" w:fill="auto"/>
            <w:noWrap/>
            <w:vAlign w:val="center"/>
          </w:tcPr>
          <w:p w14:paraId="360B49AC"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0.3</w:t>
            </w:r>
          </w:p>
        </w:tc>
        <w:tc>
          <w:tcPr>
            <w:tcW w:w="1146" w:type="dxa"/>
            <w:tcBorders>
              <w:top w:val="nil"/>
              <w:left w:val="nil"/>
              <w:bottom w:val="nil"/>
              <w:right w:val="single" w:sz="4" w:space="0" w:color="auto"/>
            </w:tcBorders>
            <w:shd w:val="clear" w:color="auto" w:fill="auto"/>
            <w:noWrap/>
            <w:vAlign w:val="center"/>
          </w:tcPr>
          <w:p w14:paraId="6A162B77"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(0.1, 0.5)</w:t>
            </w:r>
          </w:p>
        </w:tc>
        <w:tc>
          <w:tcPr>
            <w:tcW w:w="666" w:type="dxa"/>
            <w:tcBorders>
              <w:top w:val="nil"/>
              <w:left w:val="single" w:sz="4" w:space="0" w:color="auto"/>
              <w:bottom w:val="nil"/>
              <w:right w:val="nil"/>
            </w:tcBorders>
            <w:shd w:val="clear" w:color="auto" w:fill="auto"/>
            <w:noWrap/>
            <w:vAlign w:val="center"/>
          </w:tcPr>
          <w:p w14:paraId="6F8E6838" w14:textId="77777777" w:rsidR="00B53E24" w:rsidRPr="008A7800" w:rsidRDefault="00B53E24" w:rsidP="00B53E24">
            <w:pPr>
              <w:tabs>
                <w:tab w:val="left" w:pos="338"/>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14</w:t>
            </w:r>
          </w:p>
        </w:tc>
        <w:tc>
          <w:tcPr>
            <w:tcW w:w="567" w:type="dxa"/>
            <w:tcBorders>
              <w:top w:val="nil"/>
              <w:left w:val="nil"/>
              <w:bottom w:val="nil"/>
              <w:right w:val="nil"/>
            </w:tcBorders>
            <w:shd w:val="clear" w:color="auto" w:fill="auto"/>
            <w:noWrap/>
            <w:vAlign w:val="center"/>
          </w:tcPr>
          <w:p w14:paraId="45410D14"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0.4</w:t>
            </w:r>
          </w:p>
        </w:tc>
        <w:tc>
          <w:tcPr>
            <w:tcW w:w="1146" w:type="dxa"/>
            <w:tcBorders>
              <w:top w:val="nil"/>
              <w:left w:val="nil"/>
              <w:bottom w:val="nil"/>
              <w:right w:val="single" w:sz="4" w:space="0" w:color="000000"/>
            </w:tcBorders>
            <w:shd w:val="clear" w:color="auto" w:fill="auto"/>
            <w:noWrap/>
            <w:vAlign w:val="center"/>
          </w:tcPr>
          <w:p w14:paraId="6B9F7EEC"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(0.1, 0.6)</w:t>
            </w:r>
          </w:p>
        </w:tc>
        <w:tc>
          <w:tcPr>
            <w:tcW w:w="666" w:type="dxa"/>
            <w:tcBorders>
              <w:top w:val="nil"/>
              <w:left w:val="single" w:sz="4" w:space="0" w:color="000000"/>
              <w:bottom w:val="nil"/>
              <w:right w:val="nil"/>
            </w:tcBorders>
            <w:shd w:val="clear" w:color="auto" w:fill="auto"/>
            <w:vAlign w:val="center"/>
          </w:tcPr>
          <w:p w14:paraId="60D50896"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10</w:t>
            </w:r>
          </w:p>
        </w:tc>
        <w:tc>
          <w:tcPr>
            <w:tcW w:w="567" w:type="dxa"/>
            <w:tcBorders>
              <w:top w:val="nil"/>
              <w:left w:val="nil"/>
              <w:bottom w:val="nil"/>
              <w:right w:val="nil"/>
            </w:tcBorders>
            <w:shd w:val="clear" w:color="auto" w:fill="auto"/>
            <w:vAlign w:val="center"/>
          </w:tcPr>
          <w:p w14:paraId="67B74F36"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0.3</w:t>
            </w:r>
          </w:p>
        </w:tc>
        <w:tc>
          <w:tcPr>
            <w:tcW w:w="1146" w:type="dxa"/>
            <w:tcBorders>
              <w:top w:val="nil"/>
              <w:left w:val="nil"/>
              <w:bottom w:val="nil"/>
              <w:right w:val="single" w:sz="4" w:space="0" w:color="000000"/>
            </w:tcBorders>
            <w:shd w:val="clear" w:color="auto" w:fill="auto"/>
            <w:vAlign w:val="center"/>
          </w:tcPr>
          <w:p w14:paraId="7E66B9F5"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(0.1, 0.6)</w:t>
            </w:r>
          </w:p>
        </w:tc>
        <w:tc>
          <w:tcPr>
            <w:tcW w:w="616" w:type="dxa"/>
            <w:tcBorders>
              <w:top w:val="nil"/>
              <w:left w:val="single" w:sz="4" w:space="0" w:color="000000"/>
              <w:bottom w:val="nil"/>
              <w:right w:val="nil"/>
            </w:tcBorders>
            <w:shd w:val="clear" w:color="auto" w:fill="auto"/>
            <w:vAlign w:val="center"/>
          </w:tcPr>
          <w:p w14:paraId="45F8E90F"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w:t>
            </w:r>
          </w:p>
        </w:tc>
        <w:tc>
          <w:tcPr>
            <w:tcW w:w="576" w:type="dxa"/>
            <w:tcBorders>
              <w:top w:val="nil"/>
              <w:left w:val="nil"/>
              <w:bottom w:val="nil"/>
              <w:right w:val="nil"/>
            </w:tcBorders>
            <w:shd w:val="clear" w:color="auto" w:fill="auto"/>
            <w:vAlign w:val="center"/>
          </w:tcPr>
          <w:p w14:paraId="7911C46E"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0.4</w:t>
            </w:r>
          </w:p>
        </w:tc>
        <w:tc>
          <w:tcPr>
            <w:tcW w:w="1146" w:type="dxa"/>
            <w:tcBorders>
              <w:top w:val="nil"/>
              <w:left w:val="nil"/>
              <w:bottom w:val="nil"/>
              <w:right w:val="nil"/>
            </w:tcBorders>
            <w:shd w:val="clear" w:color="auto" w:fill="auto"/>
            <w:vAlign w:val="center"/>
          </w:tcPr>
          <w:p w14:paraId="39A9A3F3"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(0.1, 0.7)</w:t>
            </w:r>
          </w:p>
        </w:tc>
      </w:tr>
      <w:tr w:rsidR="009118DA" w:rsidRPr="008A7800" w14:paraId="60402827" w14:textId="77777777" w:rsidTr="00063DE7">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nil"/>
              <w:right w:val="nil"/>
            </w:tcBorders>
            <w:vAlign w:val="center"/>
          </w:tcPr>
          <w:p w14:paraId="6D9F73AB" w14:textId="77777777" w:rsidR="00B53E24" w:rsidRPr="008A7800" w:rsidRDefault="00B4241C" w:rsidP="00B4241C">
            <w:pPr>
              <w:spacing w:before="20" w:after="20"/>
              <w:rPr>
                <w:rFonts w:eastAsiaTheme="minorEastAsia"/>
                <w:b w:val="0"/>
                <w:sz w:val="18"/>
                <w:szCs w:val="18"/>
              </w:rPr>
            </w:pPr>
            <w:r>
              <w:rPr>
                <w:rFonts w:eastAsiaTheme="minorEastAsia"/>
                <w:b w:val="0"/>
                <w:sz w:val="18"/>
                <w:szCs w:val="18"/>
              </w:rPr>
              <w:t>Other o</w:t>
            </w:r>
            <w:r w:rsidR="00B53E24" w:rsidRPr="008A7800">
              <w:rPr>
                <w:rFonts w:eastAsiaTheme="minorEastAsia"/>
                <w:b w:val="0"/>
                <w:sz w:val="18"/>
                <w:szCs w:val="18"/>
              </w:rPr>
              <w:t>verseas internet gambling†</w:t>
            </w:r>
          </w:p>
        </w:tc>
        <w:tc>
          <w:tcPr>
            <w:tcW w:w="666" w:type="dxa"/>
            <w:tcBorders>
              <w:top w:val="nil"/>
              <w:left w:val="nil"/>
              <w:bottom w:val="nil"/>
              <w:right w:val="nil"/>
            </w:tcBorders>
            <w:noWrap/>
            <w:vAlign w:val="center"/>
          </w:tcPr>
          <w:p w14:paraId="19256B5F"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16</w:t>
            </w:r>
          </w:p>
        </w:tc>
        <w:tc>
          <w:tcPr>
            <w:tcW w:w="567" w:type="dxa"/>
            <w:tcBorders>
              <w:top w:val="nil"/>
              <w:left w:val="nil"/>
              <w:bottom w:val="nil"/>
              <w:right w:val="nil"/>
            </w:tcBorders>
            <w:noWrap/>
            <w:vAlign w:val="center"/>
          </w:tcPr>
          <w:p w14:paraId="4B94E5EA"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0.2</w:t>
            </w:r>
          </w:p>
        </w:tc>
        <w:tc>
          <w:tcPr>
            <w:tcW w:w="1146" w:type="dxa"/>
            <w:tcBorders>
              <w:top w:val="nil"/>
              <w:left w:val="nil"/>
              <w:bottom w:val="nil"/>
              <w:right w:val="single" w:sz="4" w:space="0" w:color="auto"/>
            </w:tcBorders>
            <w:noWrap/>
            <w:vAlign w:val="center"/>
          </w:tcPr>
          <w:p w14:paraId="2A452A03"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(0.1, 0.4)</w:t>
            </w:r>
          </w:p>
        </w:tc>
        <w:tc>
          <w:tcPr>
            <w:tcW w:w="666" w:type="dxa"/>
            <w:tcBorders>
              <w:top w:val="nil"/>
              <w:left w:val="single" w:sz="4" w:space="0" w:color="auto"/>
              <w:bottom w:val="nil"/>
              <w:right w:val="nil"/>
            </w:tcBorders>
            <w:noWrap/>
            <w:vAlign w:val="center"/>
          </w:tcPr>
          <w:p w14:paraId="3A696D10" w14:textId="77777777" w:rsidR="00B53E24" w:rsidRPr="008A7800" w:rsidRDefault="00B53E24" w:rsidP="00B53E24">
            <w:pPr>
              <w:tabs>
                <w:tab w:val="left" w:pos="488"/>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8</w:t>
            </w:r>
          </w:p>
        </w:tc>
        <w:tc>
          <w:tcPr>
            <w:tcW w:w="567" w:type="dxa"/>
            <w:tcBorders>
              <w:top w:val="nil"/>
              <w:left w:val="nil"/>
              <w:bottom w:val="nil"/>
              <w:right w:val="nil"/>
            </w:tcBorders>
            <w:noWrap/>
            <w:vAlign w:val="center"/>
          </w:tcPr>
          <w:p w14:paraId="7989CC96"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0.2</w:t>
            </w:r>
          </w:p>
        </w:tc>
        <w:tc>
          <w:tcPr>
            <w:tcW w:w="1146" w:type="dxa"/>
            <w:tcBorders>
              <w:top w:val="nil"/>
              <w:left w:val="nil"/>
              <w:bottom w:val="nil"/>
              <w:right w:val="single" w:sz="4" w:space="0" w:color="000000"/>
            </w:tcBorders>
            <w:shd w:val="clear" w:color="auto" w:fill="FFFFFF" w:themeFill="background1"/>
            <w:noWrap/>
            <w:vAlign w:val="center"/>
          </w:tcPr>
          <w:p w14:paraId="367A852A"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(0.0, 0.4)</w:t>
            </w:r>
          </w:p>
        </w:tc>
        <w:tc>
          <w:tcPr>
            <w:tcW w:w="666" w:type="dxa"/>
            <w:tcBorders>
              <w:top w:val="nil"/>
              <w:left w:val="single" w:sz="4" w:space="0" w:color="000000"/>
              <w:bottom w:val="nil"/>
              <w:right w:val="nil"/>
            </w:tcBorders>
            <w:shd w:val="clear" w:color="auto" w:fill="FFFFFF" w:themeFill="background1"/>
            <w:vAlign w:val="center"/>
          </w:tcPr>
          <w:p w14:paraId="15535AAD"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6</w:t>
            </w:r>
          </w:p>
        </w:tc>
        <w:tc>
          <w:tcPr>
            <w:tcW w:w="567" w:type="dxa"/>
            <w:tcBorders>
              <w:top w:val="nil"/>
              <w:left w:val="nil"/>
              <w:bottom w:val="nil"/>
              <w:right w:val="nil"/>
            </w:tcBorders>
            <w:shd w:val="clear" w:color="auto" w:fill="FFFFFF" w:themeFill="background1"/>
            <w:vAlign w:val="center"/>
          </w:tcPr>
          <w:p w14:paraId="39CA5E16"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0.2</w:t>
            </w:r>
          </w:p>
        </w:tc>
        <w:tc>
          <w:tcPr>
            <w:tcW w:w="1146" w:type="dxa"/>
            <w:tcBorders>
              <w:top w:val="nil"/>
              <w:left w:val="nil"/>
              <w:bottom w:val="nil"/>
              <w:right w:val="single" w:sz="4" w:space="0" w:color="000000"/>
            </w:tcBorders>
            <w:shd w:val="clear" w:color="auto" w:fill="FFFFFF" w:themeFill="background1"/>
            <w:vAlign w:val="center"/>
          </w:tcPr>
          <w:p w14:paraId="23885786"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(0.1, 0.4)</w:t>
            </w:r>
          </w:p>
        </w:tc>
        <w:tc>
          <w:tcPr>
            <w:tcW w:w="616" w:type="dxa"/>
            <w:tcBorders>
              <w:top w:val="nil"/>
              <w:left w:val="single" w:sz="4" w:space="0" w:color="000000"/>
              <w:bottom w:val="nil"/>
              <w:right w:val="nil"/>
            </w:tcBorders>
            <w:shd w:val="clear" w:color="auto" w:fill="FFFFFF" w:themeFill="background1"/>
            <w:vAlign w:val="center"/>
          </w:tcPr>
          <w:p w14:paraId="409267E0"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w:t>
            </w:r>
          </w:p>
        </w:tc>
        <w:tc>
          <w:tcPr>
            <w:tcW w:w="576" w:type="dxa"/>
            <w:tcBorders>
              <w:top w:val="nil"/>
              <w:left w:val="nil"/>
              <w:bottom w:val="nil"/>
              <w:right w:val="nil"/>
            </w:tcBorders>
            <w:shd w:val="clear" w:color="auto" w:fill="FFFFFF" w:themeFill="background1"/>
            <w:vAlign w:val="center"/>
          </w:tcPr>
          <w:p w14:paraId="4BA7DF0E"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0.2</w:t>
            </w:r>
          </w:p>
        </w:tc>
        <w:tc>
          <w:tcPr>
            <w:tcW w:w="1146" w:type="dxa"/>
            <w:tcBorders>
              <w:top w:val="nil"/>
              <w:left w:val="nil"/>
              <w:bottom w:val="nil"/>
              <w:right w:val="nil"/>
            </w:tcBorders>
            <w:shd w:val="clear" w:color="auto" w:fill="FFFFFF" w:themeFill="background1"/>
            <w:vAlign w:val="center"/>
          </w:tcPr>
          <w:p w14:paraId="0224FE65"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w:t>
            </w:r>
            <w:r w:rsidR="00DA34B9" w:rsidRPr="008A7800">
              <w:rPr>
                <w:color w:val="000000"/>
                <w:sz w:val="18"/>
                <w:szCs w:val="18"/>
              </w:rPr>
              <w:t>.0</w:t>
            </w:r>
            <w:r w:rsidRPr="008A7800">
              <w:rPr>
                <w:color w:val="000000"/>
                <w:sz w:val="18"/>
                <w:szCs w:val="18"/>
              </w:rPr>
              <w:t>, 0.5)</w:t>
            </w:r>
          </w:p>
        </w:tc>
      </w:tr>
      <w:tr w:rsidR="009118DA" w:rsidRPr="008A7800" w14:paraId="42A5FDAA" w14:textId="77777777" w:rsidTr="00063DE7">
        <w:trPr>
          <w:jc w:val="center"/>
        </w:trPr>
        <w:tc>
          <w:tcPr>
            <w:cnfStyle w:val="001000000000" w:firstRow="0" w:lastRow="0" w:firstColumn="1" w:lastColumn="0" w:oddVBand="0" w:evenVBand="0" w:oddHBand="0" w:evenHBand="0" w:firstRowFirstColumn="0" w:firstRowLastColumn="0" w:lastRowFirstColumn="0" w:lastRowLastColumn="0"/>
            <w:tcW w:w="3231" w:type="dxa"/>
            <w:tcBorders>
              <w:top w:val="nil"/>
              <w:left w:val="nil"/>
              <w:bottom w:val="single" w:sz="8" w:space="0" w:color="000000" w:themeColor="text1"/>
              <w:right w:val="nil"/>
            </w:tcBorders>
            <w:vAlign w:val="center"/>
          </w:tcPr>
          <w:p w14:paraId="18515A9B" w14:textId="77777777" w:rsidR="00B53E24" w:rsidRPr="008A7800" w:rsidRDefault="00B53E24" w:rsidP="00B53E24">
            <w:pPr>
              <w:spacing w:before="20" w:after="20"/>
              <w:rPr>
                <w:rFonts w:eastAsiaTheme="minorEastAsia"/>
                <w:b w:val="0"/>
                <w:sz w:val="18"/>
                <w:szCs w:val="18"/>
              </w:rPr>
            </w:pPr>
            <w:r w:rsidRPr="008A7800">
              <w:rPr>
                <w:rFonts w:eastAsiaTheme="minorEastAsia"/>
                <w:b w:val="0"/>
                <w:sz w:val="18"/>
                <w:szCs w:val="18"/>
              </w:rPr>
              <w:t>Overseas internet gambling overall‡</w:t>
            </w:r>
          </w:p>
        </w:tc>
        <w:tc>
          <w:tcPr>
            <w:tcW w:w="666" w:type="dxa"/>
            <w:tcBorders>
              <w:top w:val="nil"/>
              <w:left w:val="nil"/>
              <w:bottom w:val="single" w:sz="8" w:space="0" w:color="000000" w:themeColor="text1"/>
              <w:right w:val="nil"/>
            </w:tcBorders>
            <w:noWrap/>
            <w:vAlign w:val="center"/>
          </w:tcPr>
          <w:p w14:paraId="040DAF26"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41</w:t>
            </w:r>
          </w:p>
        </w:tc>
        <w:tc>
          <w:tcPr>
            <w:tcW w:w="567" w:type="dxa"/>
            <w:tcBorders>
              <w:top w:val="nil"/>
              <w:left w:val="nil"/>
              <w:bottom w:val="single" w:sz="8" w:space="0" w:color="000000" w:themeColor="text1"/>
              <w:right w:val="nil"/>
            </w:tcBorders>
            <w:noWrap/>
            <w:vAlign w:val="center"/>
          </w:tcPr>
          <w:p w14:paraId="1C04F92F"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0.6</w:t>
            </w:r>
          </w:p>
        </w:tc>
        <w:tc>
          <w:tcPr>
            <w:tcW w:w="1146" w:type="dxa"/>
            <w:tcBorders>
              <w:top w:val="nil"/>
              <w:left w:val="nil"/>
              <w:bottom w:val="single" w:sz="8" w:space="0" w:color="000000" w:themeColor="text1"/>
              <w:right w:val="single" w:sz="4" w:space="0" w:color="auto"/>
            </w:tcBorders>
            <w:noWrap/>
            <w:vAlign w:val="center"/>
          </w:tcPr>
          <w:p w14:paraId="05D8324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(0.4, 0.9)</w:t>
            </w:r>
          </w:p>
        </w:tc>
        <w:tc>
          <w:tcPr>
            <w:tcW w:w="666" w:type="dxa"/>
            <w:tcBorders>
              <w:top w:val="nil"/>
              <w:left w:val="single" w:sz="4" w:space="0" w:color="auto"/>
              <w:bottom w:val="single" w:sz="8" w:space="0" w:color="000000" w:themeColor="text1"/>
              <w:right w:val="nil"/>
            </w:tcBorders>
            <w:noWrap/>
            <w:vAlign w:val="center"/>
          </w:tcPr>
          <w:p w14:paraId="520D9C18" w14:textId="77777777" w:rsidR="00B53E24" w:rsidRPr="008A7800" w:rsidRDefault="00B53E24" w:rsidP="00B53E24">
            <w:pPr>
              <w:tabs>
                <w:tab w:val="left" w:pos="488"/>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20</w:t>
            </w:r>
          </w:p>
        </w:tc>
        <w:tc>
          <w:tcPr>
            <w:tcW w:w="567" w:type="dxa"/>
            <w:tcBorders>
              <w:top w:val="nil"/>
              <w:left w:val="nil"/>
              <w:bottom w:val="single" w:sz="8" w:space="0" w:color="000000" w:themeColor="text1"/>
              <w:right w:val="nil"/>
            </w:tcBorders>
            <w:noWrap/>
            <w:vAlign w:val="center"/>
          </w:tcPr>
          <w:p w14:paraId="6F2A1770"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0.5</w:t>
            </w:r>
          </w:p>
        </w:tc>
        <w:tc>
          <w:tcPr>
            <w:tcW w:w="1146" w:type="dxa"/>
            <w:tcBorders>
              <w:top w:val="nil"/>
              <w:left w:val="nil"/>
              <w:bottom w:val="single" w:sz="8" w:space="0" w:color="000000" w:themeColor="text1"/>
              <w:right w:val="single" w:sz="4" w:space="0" w:color="000000"/>
            </w:tcBorders>
            <w:shd w:val="clear" w:color="auto" w:fill="FFFFFF" w:themeFill="background1"/>
            <w:noWrap/>
            <w:vAlign w:val="center"/>
          </w:tcPr>
          <w:p w14:paraId="3CD211E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(0.2, 0.8)</w:t>
            </w:r>
          </w:p>
        </w:tc>
        <w:tc>
          <w:tcPr>
            <w:tcW w:w="666" w:type="dxa"/>
            <w:tcBorders>
              <w:top w:val="nil"/>
              <w:left w:val="single" w:sz="4" w:space="0" w:color="000000"/>
              <w:bottom w:val="single" w:sz="8" w:space="0" w:color="000000" w:themeColor="text1"/>
              <w:right w:val="nil"/>
            </w:tcBorders>
            <w:shd w:val="clear" w:color="auto" w:fill="FFFFFF" w:themeFill="background1"/>
            <w:vAlign w:val="center"/>
          </w:tcPr>
          <w:p w14:paraId="6205D29D"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9</w:t>
            </w:r>
          </w:p>
        </w:tc>
        <w:tc>
          <w:tcPr>
            <w:tcW w:w="567" w:type="dxa"/>
            <w:tcBorders>
              <w:top w:val="nil"/>
              <w:left w:val="nil"/>
              <w:bottom w:val="single" w:sz="8" w:space="0" w:color="000000" w:themeColor="text1"/>
              <w:right w:val="nil"/>
            </w:tcBorders>
            <w:shd w:val="clear" w:color="auto" w:fill="FFFFFF" w:themeFill="background1"/>
            <w:vAlign w:val="center"/>
          </w:tcPr>
          <w:p w14:paraId="146DA901"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0.3</w:t>
            </w:r>
          </w:p>
        </w:tc>
        <w:tc>
          <w:tcPr>
            <w:tcW w:w="1146" w:type="dxa"/>
            <w:tcBorders>
              <w:top w:val="nil"/>
              <w:left w:val="nil"/>
              <w:bottom w:val="single" w:sz="8" w:space="0" w:color="000000" w:themeColor="text1"/>
              <w:right w:val="single" w:sz="4" w:space="0" w:color="000000"/>
            </w:tcBorders>
            <w:shd w:val="clear" w:color="auto" w:fill="FFFFFF" w:themeFill="background1"/>
            <w:vAlign w:val="center"/>
          </w:tcPr>
          <w:p w14:paraId="4DF94848" w14:textId="77777777" w:rsidR="00B53E24" w:rsidRPr="008A7800" w:rsidRDefault="00B53E24" w:rsidP="00B53E2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rPr>
            </w:pPr>
            <w:r w:rsidRPr="008A7800">
              <w:rPr>
                <w:rFonts w:eastAsiaTheme="minorEastAsia"/>
                <w:bCs/>
                <w:sz w:val="18"/>
                <w:szCs w:val="18"/>
              </w:rPr>
              <w:t>(0.1, 0.5)</w:t>
            </w:r>
          </w:p>
        </w:tc>
        <w:tc>
          <w:tcPr>
            <w:tcW w:w="616" w:type="dxa"/>
            <w:tcBorders>
              <w:top w:val="nil"/>
              <w:left w:val="single" w:sz="4" w:space="0" w:color="000000"/>
              <w:bottom w:val="single" w:sz="8" w:space="0" w:color="000000" w:themeColor="text1"/>
              <w:right w:val="nil"/>
            </w:tcBorders>
            <w:shd w:val="clear" w:color="auto" w:fill="FFFFFF" w:themeFill="background1"/>
            <w:vAlign w:val="center"/>
          </w:tcPr>
          <w:p w14:paraId="6F56BF7B"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9</w:t>
            </w:r>
          </w:p>
        </w:tc>
        <w:tc>
          <w:tcPr>
            <w:tcW w:w="576" w:type="dxa"/>
            <w:tcBorders>
              <w:top w:val="nil"/>
              <w:left w:val="nil"/>
              <w:bottom w:val="single" w:sz="8" w:space="0" w:color="000000" w:themeColor="text1"/>
              <w:right w:val="nil"/>
            </w:tcBorders>
            <w:shd w:val="clear" w:color="auto" w:fill="FFFFFF" w:themeFill="background1"/>
            <w:vAlign w:val="center"/>
          </w:tcPr>
          <w:p w14:paraId="6DFCBCE7"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0.3</w:t>
            </w:r>
          </w:p>
        </w:tc>
        <w:tc>
          <w:tcPr>
            <w:tcW w:w="1146" w:type="dxa"/>
            <w:tcBorders>
              <w:top w:val="nil"/>
              <w:left w:val="nil"/>
              <w:bottom w:val="single" w:sz="8" w:space="0" w:color="000000" w:themeColor="text1"/>
              <w:right w:val="nil"/>
            </w:tcBorders>
            <w:shd w:val="clear" w:color="auto" w:fill="FFFFFF" w:themeFill="background1"/>
            <w:vAlign w:val="center"/>
          </w:tcPr>
          <w:p w14:paraId="13E7E76D" w14:textId="77777777" w:rsidR="00B53E24" w:rsidRPr="008A7800" w:rsidRDefault="00B53E24" w:rsidP="00B53E2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(0.1, 0.6)</w:t>
            </w:r>
          </w:p>
        </w:tc>
      </w:tr>
    </w:tbl>
    <w:p w14:paraId="75013E04" w14:textId="77777777" w:rsidR="00B53E24" w:rsidRPr="008A7800" w:rsidRDefault="00B53E24" w:rsidP="00063DE7">
      <w:pPr>
        <w:ind w:left="709"/>
        <w:rPr>
          <w:sz w:val="18"/>
        </w:rPr>
      </w:pPr>
      <w:r w:rsidRPr="008A7800">
        <w:rPr>
          <w:sz w:val="18"/>
        </w:rPr>
        <w:t>Data weighted for 2013 Census data (all waves) and attrition (Waves 2</w:t>
      </w:r>
      <w:r w:rsidR="00DA34B9" w:rsidRPr="008A7800">
        <w:rPr>
          <w:sz w:val="18"/>
        </w:rPr>
        <w:t>,</w:t>
      </w:r>
      <w:r w:rsidRPr="008A7800">
        <w:rPr>
          <w:sz w:val="18"/>
        </w:rPr>
        <w:t xml:space="preserve"> 3</w:t>
      </w:r>
      <w:r w:rsidR="00DA34B9" w:rsidRPr="008A7800">
        <w:rPr>
          <w:sz w:val="18"/>
        </w:rPr>
        <w:t xml:space="preserve"> and 4</w:t>
      </w:r>
      <w:r w:rsidRPr="008A7800">
        <w:rPr>
          <w:sz w:val="18"/>
        </w:rPr>
        <w:t>)</w:t>
      </w:r>
    </w:p>
    <w:p w14:paraId="4BB528CC" w14:textId="77777777" w:rsidR="00B53E24" w:rsidRPr="008A7800" w:rsidRDefault="00B53E24" w:rsidP="00063DE7">
      <w:pPr>
        <w:pStyle w:val="RepNormal"/>
        <w:ind w:left="709"/>
        <w:rPr>
          <w:sz w:val="18"/>
        </w:rPr>
      </w:pPr>
      <w:r w:rsidRPr="008A7800">
        <w:rPr>
          <w:sz w:val="18"/>
        </w:rPr>
        <w:t>Wave 1 N=6,251; Wave 2 N=3,745; Wave 3 N=3,115</w:t>
      </w:r>
      <w:r w:rsidR="00DA34B9" w:rsidRPr="008A7800">
        <w:rPr>
          <w:sz w:val="18"/>
        </w:rPr>
        <w:t>; Wave 4 N=2,770</w:t>
      </w:r>
    </w:p>
    <w:p w14:paraId="7FEAF1FF" w14:textId="77777777" w:rsidR="00B53E24" w:rsidRPr="008A7800" w:rsidRDefault="00B53E24" w:rsidP="00063DE7">
      <w:pPr>
        <w:ind w:left="709"/>
        <w:rPr>
          <w:rFonts w:eastAsiaTheme="minorEastAsia"/>
          <w:sz w:val="18"/>
          <w:szCs w:val="18"/>
          <w:lang w:eastAsia="en-US"/>
        </w:rPr>
      </w:pPr>
      <w:r w:rsidRPr="008A7800">
        <w:rPr>
          <w:rFonts w:eastAsiaTheme="minorEastAsia"/>
          <w:b/>
          <w:sz w:val="18"/>
          <w:szCs w:val="18"/>
          <w:vertAlign w:val="superscript"/>
          <w:lang w:eastAsia="en-US"/>
        </w:rPr>
        <w:t>†</w:t>
      </w:r>
      <w:r w:rsidRPr="008A7800">
        <w:rPr>
          <w:rFonts w:eastAsiaTheme="minorEastAsia"/>
          <w:b/>
          <w:sz w:val="18"/>
          <w:szCs w:val="18"/>
          <w:lang w:eastAsia="en-US"/>
        </w:rPr>
        <w:t xml:space="preserve"> </w:t>
      </w:r>
      <w:r w:rsidRPr="008A7800">
        <w:rPr>
          <w:rFonts w:eastAsiaTheme="minorEastAsia"/>
          <w:sz w:val="18"/>
          <w:szCs w:val="18"/>
          <w:lang w:eastAsia="en-US"/>
        </w:rPr>
        <w:t>Not included in other overseas categories</w:t>
      </w:r>
      <w:r w:rsidRPr="008A7800">
        <w:rPr>
          <w:rFonts w:eastAsiaTheme="minorEastAsia"/>
          <w:sz w:val="18"/>
          <w:szCs w:val="18"/>
          <w:lang w:eastAsia="en-US"/>
        </w:rPr>
        <w:tab/>
      </w:r>
    </w:p>
    <w:p w14:paraId="7352C64F" w14:textId="77777777" w:rsidR="00B53E24" w:rsidRDefault="00B53E24" w:rsidP="00063DE7">
      <w:pPr>
        <w:ind w:left="709"/>
        <w:rPr>
          <w:rFonts w:eastAsiaTheme="minorEastAsia"/>
          <w:sz w:val="18"/>
          <w:szCs w:val="18"/>
          <w:lang w:eastAsia="en-US"/>
        </w:rPr>
      </w:pPr>
      <w:r w:rsidRPr="008A7800">
        <w:rPr>
          <w:rFonts w:eastAsiaTheme="minorEastAsia"/>
          <w:sz w:val="18"/>
          <w:szCs w:val="18"/>
          <w:vertAlign w:val="superscript"/>
          <w:lang w:eastAsia="en-US"/>
        </w:rPr>
        <w:t>‡</w:t>
      </w:r>
      <w:r w:rsidRPr="008A7800">
        <w:rPr>
          <w:rFonts w:eastAsiaTheme="minorEastAsia"/>
          <w:sz w:val="18"/>
          <w:szCs w:val="18"/>
          <w:lang w:eastAsia="en-US"/>
        </w:rPr>
        <w:t xml:space="preserve"> Excludes overseas raffles/lotteries</w:t>
      </w:r>
    </w:p>
    <w:p w14:paraId="498EBC82" w14:textId="77777777" w:rsidR="00ED1E40" w:rsidRPr="00B45469" w:rsidRDefault="00ED1E40" w:rsidP="00ED1E40">
      <w:pPr>
        <w:spacing w:after="200" w:line="276" w:lineRule="auto"/>
        <w:ind w:left="709"/>
        <w:rPr>
          <w:sz w:val="18"/>
        </w:rPr>
      </w:pPr>
      <w:r w:rsidRPr="00B45469">
        <w:rPr>
          <w:sz w:val="18"/>
        </w:rPr>
        <w:t>! Meaningful confidence intervals not calculable due to small sample size</w:t>
      </w:r>
    </w:p>
    <w:p w14:paraId="03E2B227" w14:textId="77777777" w:rsidR="00ED1E40" w:rsidRPr="008A7800" w:rsidRDefault="00ED1E40" w:rsidP="00063DE7">
      <w:pPr>
        <w:ind w:left="709"/>
        <w:rPr>
          <w:sz w:val="24"/>
        </w:rPr>
      </w:pPr>
    </w:p>
    <w:p w14:paraId="2AD93D5D" w14:textId="77777777" w:rsidR="008A068A" w:rsidRDefault="008A068A">
      <w:pPr>
        <w:spacing w:after="200" w:line="276" w:lineRule="auto"/>
        <w:rPr>
          <w:rFonts w:eastAsiaTheme="majorEastAsia" w:cstheme="majorBidi"/>
          <w:b/>
          <w:bCs/>
          <w:caps/>
          <w:szCs w:val="28"/>
          <w:lang w:eastAsia="en-US"/>
        </w:rPr>
      </w:pPr>
      <w:r>
        <w:rPr>
          <w:rFonts w:eastAsiaTheme="majorEastAsia" w:cstheme="majorBidi"/>
          <w:b/>
          <w:bCs/>
          <w:caps/>
          <w:szCs w:val="28"/>
          <w:lang w:eastAsia="en-US"/>
        </w:rPr>
        <w:br w:type="page"/>
      </w:r>
    </w:p>
    <w:p w14:paraId="6B13DF4A" w14:textId="77777777" w:rsidR="008A068A" w:rsidRDefault="008A068A" w:rsidP="008A068A">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pPr>
      <w:bookmarkStart w:id="199" w:name="_Toc446324572"/>
      <w:bookmarkStart w:id="200" w:name="_Toc504488402"/>
      <w:r>
        <w:t>APPENDIX 9:</w:t>
      </w:r>
      <w:r>
        <w:br/>
      </w:r>
      <w:r w:rsidR="00315163">
        <w:rPr>
          <w:rFonts w:cs="Times New Roman"/>
          <w:caps w:val="0"/>
        </w:rPr>
        <w:t>G</w:t>
      </w:r>
      <w:r>
        <w:rPr>
          <w:rFonts w:cs="Times New Roman"/>
          <w:caps w:val="0"/>
        </w:rPr>
        <w:t>ambling behaviour in Waves 1, 2, 3</w:t>
      </w:r>
      <w:bookmarkEnd w:id="199"/>
      <w:r>
        <w:rPr>
          <w:rFonts w:cs="Times New Roman"/>
          <w:caps w:val="0"/>
        </w:rPr>
        <w:t xml:space="preserve"> and 4</w:t>
      </w:r>
      <w:bookmarkEnd w:id="200"/>
    </w:p>
    <w:p w14:paraId="746A1729" w14:textId="77777777" w:rsidR="008A068A" w:rsidRPr="00BA05A5" w:rsidRDefault="008A068A" w:rsidP="008A068A"/>
    <w:tbl>
      <w:tblPr>
        <w:tblStyle w:val="LightShading4"/>
        <w:tblW w:w="13476" w:type="dxa"/>
        <w:jc w:val="center"/>
        <w:tblLayout w:type="fixed"/>
        <w:tblLook w:val="06A0" w:firstRow="1" w:lastRow="0" w:firstColumn="1" w:lastColumn="0" w:noHBand="1" w:noVBand="1"/>
      </w:tblPr>
      <w:tblGrid>
        <w:gridCol w:w="3997"/>
        <w:gridCol w:w="666"/>
        <w:gridCol w:w="567"/>
        <w:gridCol w:w="1146"/>
        <w:gridCol w:w="666"/>
        <w:gridCol w:w="621"/>
        <w:gridCol w:w="1146"/>
        <w:gridCol w:w="616"/>
        <w:gridCol w:w="567"/>
        <w:gridCol w:w="1146"/>
        <w:gridCol w:w="616"/>
        <w:gridCol w:w="576"/>
        <w:gridCol w:w="1146"/>
      </w:tblGrid>
      <w:tr w:rsidR="008A068A" w:rsidRPr="008A7800" w14:paraId="1B4705BE" w14:textId="77777777" w:rsidTr="00063DE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997" w:type="dxa"/>
            <w:vMerge w:val="restart"/>
            <w:tcBorders>
              <w:bottom w:val="single" w:sz="4" w:space="0" w:color="auto"/>
            </w:tcBorders>
            <w:vAlign w:val="bottom"/>
            <w:hideMark/>
          </w:tcPr>
          <w:p w14:paraId="250774B6" w14:textId="77777777" w:rsidR="008A068A" w:rsidRPr="008A7800" w:rsidRDefault="008A068A" w:rsidP="008A068A">
            <w:pPr>
              <w:spacing w:before="20" w:after="20"/>
              <w:rPr>
                <w:rFonts w:eastAsiaTheme="minorEastAsia"/>
                <w:sz w:val="18"/>
                <w:szCs w:val="18"/>
                <w:lang w:eastAsia="en-US"/>
              </w:rPr>
            </w:pPr>
            <w:r w:rsidRPr="008A7800">
              <w:rPr>
                <w:rFonts w:eastAsiaTheme="minorEastAsia"/>
                <w:sz w:val="18"/>
                <w:szCs w:val="18"/>
              </w:rPr>
              <w:t>Gambling participation-related variables</w:t>
            </w:r>
          </w:p>
        </w:tc>
        <w:tc>
          <w:tcPr>
            <w:tcW w:w="2379" w:type="dxa"/>
            <w:gridSpan w:val="3"/>
            <w:tcBorders>
              <w:bottom w:val="single" w:sz="4" w:space="0" w:color="auto"/>
              <w:right w:val="single" w:sz="4" w:space="0" w:color="auto"/>
            </w:tcBorders>
            <w:noWrap/>
            <w:vAlign w:val="center"/>
            <w:hideMark/>
          </w:tcPr>
          <w:p w14:paraId="2A15247D" w14:textId="77777777" w:rsidR="008A068A" w:rsidRPr="008A7800" w:rsidRDefault="008A068A" w:rsidP="008A068A">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8"/>
                <w:szCs w:val="18"/>
                <w:lang w:eastAsia="en-US"/>
              </w:rPr>
            </w:pPr>
            <w:r w:rsidRPr="008A7800">
              <w:rPr>
                <w:rFonts w:eastAsiaTheme="minorEastAsia"/>
                <w:sz w:val="18"/>
                <w:szCs w:val="18"/>
              </w:rPr>
              <w:t>Wave 1</w:t>
            </w:r>
          </w:p>
        </w:tc>
        <w:tc>
          <w:tcPr>
            <w:tcW w:w="2433" w:type="dxa"/>
            <w:gridSpan w:val="3"/>
            <w:tcBorders>
              <w:left w:val="single" w:sz="4" w:space="0" w:color="auto"/>
              <w:bottom w:val="single" w:sz="4" w:space="0" w:color="auto"/>
            </w:tcBorders>
            <w:vAlign w:val="center"/>
          </w:tcPr>
          <w:p w14:paraId="082595FF" w14:textId="77777777" w:rsidR="008A068A" w:rsidRPr="008A7800" w:rsidRDefault="008A068A" w:rsidP="008A068A">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Wave 2</w:t>
            </w:r>
          </w:p>
        </w:tc>
        <w:tc>
          <w:tcPr>
            <w:tcW w:w="2329" w:type="dxa"/>
            <w:gridSpan w:val="3"/>
            <w:tcBorders>
              <w:left w:val="single" w:sz="4" w:space="0" w:color="auto"/>
              <w:bottom w:val="single" w:sz="4" w:space="0" w:color="auto"/>
            </w:tcBorders>
          </w:tcPr>
          <w:p w14:paraId="24F80F29" w14:textId="77777777" w:rsidR="008A068A" w:rsidRPr="008A7800" w:rsidRDefault="008A068A" w:rsidP="008A068A">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Wave 3</w:t>
            </w:r>
          </w:p>
        </w:tc>
        <w:tc>
          <w:tcPr>
            <w:tcW w:w="2338" w:type="dxa"/>
            <w:gridSpan w:val="3"/>
            <w:tcBorders>
              <w:left w:val="single" w:sz="4" w:space="0" w:color="auto"/>
              <w:bottom w:val="single" w:sz="4" w:space="0" w:color="auto"/>
            </w:tcBorders>
          </w:tcPr>
          <w:p w14:paraId="5B6A6239" w14:textId="77777777" w:rsidR="008A068A" w:rsidRPr="008A7800" w:rsidRDefault="008A068A" w:rsidP="008A068A">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Wave 4</w:t>
            </w:r>
          </w:p>
        </w:tc>
      </w:tr>
      <w:tr w:rsidR="008A068A" w:rsidRPr="008A7800" w14:paraId="32D238B7" w14:textId="77777777" w:rsidTr="00063DE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997" w:type="dxa"/>
            <w:vMerge/>
            <w:tcBorders>
              <w:bottom w:val="single" w:sz="4" w:space="0" w:color="auto"/>
            </w:tcBorders>
            <w:vAlign w:val="center"/>
            <w:hideMark/>
          </w:tcPr>
          <w:p w14:paraId="0EB4061F" w14:textId="77777777" w:rsidR="008A068A" w:rsidRPr="008A7800" w:rsidRDefault="008A068A" w:rsidP="008A068A">
            <w:pPr>
              <w:spacing w:before="20" w:after="20"/>
              <w:rPr>
                <w:rFonts w:eastAsiaTheme="minorEastAsia"/>
                <w:sz w:val="18"/>
                <w:szCs w:val="18"/>
                <w:lang w:eastAsia="en-US"/>
              </w:rPr>
            </w:pPr>
          </w:p>
        </w:tc>
        <w:tc>
          <w:tcPr>
            <w:tcW w:w="666" w:type="dxa"/>
            <w:tcBorders>
              <w:top w:val="single" w:sz="4" w:space="0" w:color="auto"/>
              <w:bottom w:val="single" w:sz="4" w:space="0" w:color="auto"/>
            </w:tcBorders>
            <w:noWrap/>
            <w:vAlign w:val="center"/>
            <w:hideMark/>
          </w:tcPr>
          <w:p w14:paraId="2B5B7A4D" w14:textId="77777777" w:rsidR="008A068A" w:rsidRPr="008A7800" w:rsidRDefault="008A068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rPr>
              <w:t>n</w:t>
            </w:r>
          </w:p>
        </w:tc>
        <w:tc>
          <w:tcPr>
            <w:tcW w:w="567" w:type="dxa"/>
            <w:tcBorders>
              <w:top w:val="single" w:sz="4" w:space="0" w:color="auto"/>
              <w:bottom w:val="single" w:sz="4" w:space="0" w:color="auto"/>
            </w:tcBorders>
            <w:noWrap/>
            <w:vAlign w:val="center"/>
            <w:hideMark/>
          </w:tcPr>
          <w:p w14:paraId="6F6FA7CC" w14:textId="77777777" w:rsidR="008A068A" w:rsidRPr="008A7800" w:rsidRDefault="008A068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rPr>
              <w:t>%</w:t>
            </w:r>
          </w:p>
        </w:tc>
        <w:tc>
          <w:tcPr>
            <w:tcW w:w="1146" w:type="dxa"/>
            <w:tcBorders>
              <w:top w:val="single" w:sz="4" w:space="0" w:color="auto"/>
              <w:bottom w:val="single" w:sz="4" w:space="0" w:color="auto"/>
              <w:right w:val="single" w:sz="4" w:space="0" w:color="auto"/>
            </w:tcBorders>
            <w:noWrap/>
            <w:vAlign w:val="center"/>
          </w:tcPr>
          <w:p w14:paraId="2985366C" w14:textId="77777777" w:rsidR="008A068A" w:rsidRPr="008A7800" w:rsidRDefault="008A068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(95% CI)</w:t>
            </w:r>
          </w:p>
        </w:tc>
        <w:tc>
          <w:tcPr>
            <w:tcW w:w="666" w:type="dxa"/>
            <w:tcBorders>
              <w:top w:val="single" w:sz="4" w:space="0" w:color="auto"/>
              <w:left w:val="single" w:sz="4" w:space="0" w:color="auto"/>
              <w:bottom w:val="single" w:sz="4" w:space="0" w:color="auto"/>
            </w:tcBorders>
            <w:noWrap/>
            <w:vAlign w:val="center"/>
          </w:tcPr>
          <w:p w14:paraId="768583B4" w14:textId="77777777" w:rsidR="008A068A" w:rsidRPr="008A7800" w:rsidRDefault="008A068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n</w:t>
            </w:r>
          </w:p>
        </w:tc>
        <w:tc>
          <w:tcPr>
            <w:tcW w:w="621" w:type="dxa"/>
            <w:tcBorders>
              <w:top w:val="single" w:sz="4" w:space="0" w:color="auto"/>
              <w:bottom w:val="single" w:sz="4" w:space="0" w:color="auto"/>
            </w:tcBorders>
            <w:noWrap/>
            <w:vAlign w:val="center"/>
          </w:tcPr>
          <w:p w14:paraId="7B1A929D" w14:textId="77777777" w:rsidR="008A068A" w:rsidRPr="008A7800" w:rsidRDefault="008A068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w:t>
            </w:r>
          </w:p>
        </w:tc>
        <w:tc>
          <w:tcPr>
            <w:tcW w:w="1146" w:type="dxa"/>
            <w:tcBorders>
              <w:top w:val="single" w:sz="4" w:space="0" w:color="auto"/>
              <w:bottom w:val="single" w:sz="4" w:space="0" w:color="auto"/>
              <w:right w:val="single" w:sz="4" w:space="0" w:color="000000"/>
            </w:tcBorders>
            <w:shd w:val="clear" w:color="auto" w:fill="FFFFFF" w:themeFill="background1"/>
            <w:noWrap/>
            <w:vAlign w:val="center"/>
          </w:tcPr>
          <w:p w14:paraId="4577858C" w14:textId="77777777" w:rsidR="008A068A" w:rsidRPr="008A7800" w:rsidRDefault="008A068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8A7800">
              <w:rPr>
                <w:rFonts w:eastAsiaTheme="minorEastAsia"/>
                <w:sz w:val="18"/>
                <w:szCs w:val="18"/>
                <w:lang w:eastAsia="en-US"/>
              </w:rPr>
              <w:t>(95% CI)</w:t>
            </w:r>
          </w:p>
        </w:tc>
        <w:tc>
          <w:tcPr>
            <w:tcW w:w="616" w:type="dxa"/>
            <w:tcBorders>
              <w:top w:val="single" w:sz="4" w:space="0" w:color="auto"/>
              <w:left w:val="single" w:sz="4" w:space="0" w:color="000000"/>
              <w:bottom w:val="single" w:sz="4" w:space="0" w:color="auto"/>
            </w:tcBorders>
            <w:shd w:val="clear" w:color="auto" w:fill="FFFFFF" w:themeFill="background1"/>
            <w:vAlign w:val="center"/>
          </w:tcPr>
          <w:p w14:paraId="154B3716" w14:textId="77777777" w:rsidR="008A068A" w:rsidRPr="008A7800" w:rsidRDefault="008A068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n</w:t>
            </w:r>
          </w:p>
        </w:tc>
        <w:tc>
          <w:tcPr>
            <w:tcW w:w="567" w:type="dxa"/>
            <w:tcBorders>
              <w:top w:val="single" w:sz="4" w:space="0" w:color="auto"/>
              <w:bottom w:val="single" w:sz="4" w:space="0" w:color="auto"/>
            </w:tcBorders>
            <w:shd w:val="clear" w:color="auto" w:fill="FFFFFF" w:themeFill="background1"/>
            <w:vAlign w:val="center"/>
          </w:tcPr>
          <w:p w14:paraId="018CF7B3" w14:textId="77777777" w:rsidR="008A068A" w:rsidRPr="008A7800" w:rsidRDefault="008A068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w:t>
            </w:r>
          </w:p>
        </w:tc>
        <w:tc>
          <w:tcPr>
            <w:tcW w:w="1146" w:type="dxa"/>
            <w:tcBorders>
              <w:top w:val="single" w:sz="4" w:space="0" w:color="auto"/>
              <w:bottom w:val="single" w:sz="4" w:space="0" w:color="auto"/>
              <w:right w:val="single" w:sz="4" w:space="0" w:color="000000"/>
            </w:tcBorders>
            <w:shd w:val="clear" w:color="auto" w:fill="FFFFFF" w:themeFill="background1"/>
            <w:vAlign w:val="center"/>
          </w:tcPr>
          <w:p w14:paraId="1807440E" w14:textId="77777777" w:rsidR="008A068A" w:rsidRPr="008A7800" w:rsidRDefault="008A068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8A7800">
              <w:rPr>
                <w:rFonts w:eastAsiaTheme="minorEastAsia"/>
                <w:sz w:val="18"/>
                <w:szCs w:val="18"/>
                <w:lang w:eastAsia="en-US"/>
              </w:rPr>
              <w:t>(95% CI)</w:t>
            </w:r>
          </w:p>
        </w:tc>
        <w:tc>
          <w:tcPr>
            <w:tcW w:w="616" w:type="dxa"/>
            <w:tcBorders>
              <w:top w:val="single" w:sz="4" w:space="0" w:color="auto"/>
              <w:left w:val="single" w:sz="4" w:space="0" w:color="000000"/>
              <w:bottom w:val="single" w:sz="4" w:space="0" w:color="auto"/>
            </w:tcBorders>
            <w:shd w:val="clear" w:color="auto" w:fill="FFFFFF" w:themeFill="background1"/>
            <w:vAlign w:val="center"/>
          </w:tcPr>
          <w:p w14:paraId="69CA7F23" w14:textId="77777777" w:rsidR="008A068A" w:rsidRPr="008A7800" w:rsidRDefault="008A068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n</w:t>
            </w:r>
          </w:p>
        </w:tc>
        <w:tc>
          <w:tcPr>
            <w:tcW w:w="576" w:type="dxa"/>
            <w:tcBorders>
              <w:top w:val="single" w:sz="4" w:space="0" w:color="auto"/>
              <w:bottom w:val="single" w:sz="4" w:space="0" w:color="auto"/>
            </w:tcBorders>
            <w:shd w:val="clear" w:color="auto" w:fill="FFFFFF" w:themeFill="background1"/>
            <w:vAlign w:val="center"/>
          </w:tcPr>
          <w:p w14:paraId="187C53F2" w14:textId="77777777" w:rsidR="008A068A" w:rsidRPr="008A7800" w:rsidRDefault="008A068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w:t>
            </w:r>
          </w:p>
        </w:tc>
        <w:tc>
          <w:tcPr>
            <w:tcW w:w="1146" w:type="dxa"/>
            <w:tcBorders>
              <w:top w:val="single" w:sz="4" w:space="0" w:color="auto"/>
              <w:bottom w:val="single" w:sz="4" w:space="0" w:color="auto"/>
            </w:tcBorders>
            <w:shd w:val="clear" w:color="auto" w:fill="FFFFFF" w:themeFill="background1"/>
            <w:vAlign w:val="center"/>
          </w:tcPr>
          <w:p w14:paraId="74AD2E32" w14:textId="77777777" w:rsidR="008A068A" w:rsidRPr="008A7800" w:rsidRDefault="008A068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8A7800">
              <w:rPr>
                <w:rFonts w:eastAsiaTheme="minorEastAsia"/>
                <w:sz w:val="18"/>
                <w:szCs w:val="18"/>
                <w:lang w:eastAsia="en-US"/>
              </w:rPr>
              <w:t>(95% CI)</w:t>
            </w:r>
          </w:p>
        </w:tc>
      </w:tr>
      <w:tr w:rsidR="00063DE7" w:rsidRPr="008A7800" w14:paraId="5D3BC458" w14:textId="77777777" w:rsidTr="00063DE7">
        <w:trPr>
          <w:jc w:val="center"/>
        </w:trPr>
        <w:tc>
          <w:tcPr>
            <w:cnfStyle w:val="001000000000" w:firstRow="0" w:lastRow="0" w:firstColumn="1" w:lastColumn="0" w:oddVBand="0" w:evenVBand="0" w:oddHBand="0" w:evenHBand="0" w:firstRowFirstColumn="0" w:firstRowLastColumn="0" w:lastRowFirstColumn="0" w:lastRowLastColumn="0"/>
            <w:tcW w:w="6376" w:type="dxa"/>
            <w:gridSpan w:val="4"/>
            <w:tcBorders>
              <w:top w:val="nil"/>
              <w:left w:val="nil"/>
              <w:bottom w:val="nil"/>
              <w:right w:val="single" w:sz="4" w:space="0" w:color="auto"/>
            </w:tcBorders>
            <w:vAlign w:val="center"/>
          </w:tcPr>
          <w:p w14:paraId="45D68465" w14:textId="77777777" w:rsidR="00063DE7" w:rsidRPr="008A7800" w:rsidRDefault="00063DE7" w:rsidP="00063DE7">
            <w:pPr>
              <w:spacing w:before="20" w:after="20"/>
              <w:rPr>
                <w:rFonts w:eastAsiaTheme="minorEastAsia"/>
                <w:sz w:val="18"/>
                <w:szCs w:val="18"/>
                <w:lang w:eastAsia="en-US"/>
              </w:rPr>
            </w:pPr>
            <w:r w:rsidRPr="008A7800">
              <w:rPr>
                <w:rFonts w:eastAsiaTheme="minorEastAsia"/>
                <w:sz w:val="18"/>
                <w:szCs w:val="18"/>
                <w:lang w:eastAsia="en-US"/>
              </w:rPr>
              <w:t>Number of gambling activities participated in</w:t>
            </w:r>
          </w:p>
        </w:tc>
        <w:tc>
          <w:tcPr>
            <w:tcW w:w="666" w:type="dxa"/>
            <w:tcBorders>
              <w:top w:val="nil"/>
              <w:left w:val="single" w:sz="4" w:space="0" w:color="auto"/>
              <w:bottom w:val="nil"/>
              <w:right w:val="nil"/>
            </w:tcBorders>
            <w:noWrap/>
            <w:vAlign w:val="center"/>
          </w:tcPr>
          <w:p w14:paraId="51A1EE35" w14:textId="77777777" w:rsidR="00063DE7" w:rsidRPr="008A7800" w:rsidRDefault="00063DE7"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nil"/>
              <w:left w:val="nil"/>
              <w:bottom w:val="nil"/>
              <w:right w:val="nil"/>
            </w:tcBorders>
            <w:noWrap/>
            <w:vAlign w:val="center"/>
          </w:tcPr>
          <w:p w14:paraId="4C3C4716" w14:textId="77777777" w:rsidR="00063DE7" w:rsidRPr="008A7800" w:rsidRDefault="00063DE7"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FFFFFF" w:themeFill="background1"/>
            <w:noWrap/>
            <w:vAlign w:val="center"/>
          </w:tcPr>
          <w:p w14:paraId="3F7FFD0B" w14:textId="77777777" w:rsidR="00063DE7" w:rsidRPr="008A7800" w:rsidRDefault="00063DE7"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616" w:type="dxa"/>
            <w:tcBorders>
              <w:top w:val="nil"/>
              <w:left w:val="single" w:sz="4" w:space="0" w:color="000000"/>
              <w:bottom w:val="nil"/>
              <w:right w:val="nil"/>
            </w:tcBorders>
            <w:vAlign w:val="center"/>
          </w:tcPr>
          <w:p w14:paraId="2C1B77F9" w14:textId="77777777" w:rsidR="00063DE7" w:rsidRPr="008A7800" w:rsidRDefault="00063DE7"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67" w:type="dxa"/>
            <w:tcBorders>
              <w:top w:val="nil"/>
              <w:left w:val="nil"/>
              <w:bottom w:val="nil"/>
              <w:right w:val="nil"/>
            </w:tcBorders>
            <w:vAlign w:val="center"/>
          </w:tcPr>
          <w:p w14:paraId="34D6514B" w14:textId="77777777" w:rsidR="00063DE7" w:rsidRPr="008A7800" w:rsidRDefault="00063DE7"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single" w:sz="4" w:space="0" w:color="000000"/>
            </w:tcBorders>
            <w:vAlign w:val="center"/>
          </w:tcPr>
          <w:p w14:paraId="1CF968D0" w14:textId="77777777" w:rsidR="00063DE7" w:rsidRPr="008A7800" w:rsidRDefault="00063DE7"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616" w:type="dxa"/>
            <w:tcBorders>
              <w:top w:val="nil"/>
              <w:left w:val="single" w:sz="4" w:space="0" w:color="000000"/>
              <w:bottom w:val="nil"/>
              <w:right w:val="nil"/>
            </w:tcBorders>
            <w:vAlign w:val="center"/>
          </w:tcPr>
          <w:p w14:paraId="2736C0BE" w14:textId="77777777" w:rsidR="00063DE7" w:rsidRPr="008A7800" w:rsidRDefault="00063DE7" w:rsidP="008A068A">
            <w:pPr>
              <w:jc w:val="center"/>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76" w:type="dxa"/>
            <w:tcBorders>
              <w:top w:val="nil"/>
              <w:left w:val="nil"/>
              <w:bottom w:val="nil"/>
              <w:right w:val="nil"/>
            </w:tcBorders>
            <w:vAlign w:val="center"/>
          </w:tcPr>
          <w:p w14:paraId="7A8CEFF1" w14:textId="77777777" w:rsidR="00063DE7" w:rsidRPr="008A7800" w:rsidRDefault="00063DE7" w:rsidP="008A068A">
            <w:pPr>
              <w:jc w:val="center"/>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nil"/>
            </w:tcBorders>
            <w:vAlign w:val="center"/>
          </w:tcPr>
          <w:p w14:paraId="0BDDF63A" w14:textId="77777777" w:rsidR="00063DE7" w:rsidRPr="008A7800" w:rsidRDefault="00063DE7" w:rsidP="008A068A">
            <w:pPr>
              <w:jc w:val="center"/>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r>
      <w:tr w:rsidR="009118DA" w:rsidRPr="008A7800" w14:paraId="1938CA33"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58E8436D" w14:textId="77777777" w:rsidR="008A068A" w:rsidRPr="008A7800" w:rsidRDefault="008A068A" w:rsidP="008A068A">
            <w:pPr>
              <w:tabs>
                <w:tab w:val="left" w:pos="176"/>
              </w:tabs>
              <w:spacing w:before="20" w:after="20"/>
              <w:rPr>
                <w:rFonts w:eastAsiaTheme="minorEastAsia"/>
                <w:b w:val="0"/>
                <w:sz w:val="18"/>
                <w:szCs w:val="18"/>
                <w:lang w:eastAsia="en-US"/>
              </w:rPr>
            </w:pPr>
            <w:r w:rsidRPr="008A7800">
              <w:rPr>
                <w:rFonts w:eastAsiaTheme="minorEastAsia"/>
                <w:b w:val="0"/>
                <w:sz w:val="18"/>
                <w:szCs w:val="18"/>
                <w:lang w:eastAsia="en-US"/>
              </w:rPr>
              <w:tab/>
              <w:t>0</w:t>
            </w:r>
          </w:p>
        </w:tc>
        <w:tc>
          <w:tcPr>
            <w:tcW w:w="666" w:type="dxa"/>
            <w:tcBorders>
              <w:top w:val="nil"/>
              <w:left w:val="nil"/>
              <w:bottom w:val="nil"/>
              <w:right w:val="nil"/>
            </w:tcBorders>
            <w:shd w:val="clear" w:color="auto" w:fill="auto"/>
            <w:noWrap/>
            <w:vAlign w:val="center"/>
          </w:tcPr>
          <w:p w14:paraId="616F962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1261</w:t>
            </w:r>
          </w:p>
        </w:tc>
        <w:tc>
          <w:tcPr>
            <w:tcW w:w="567" w:type="dxa"/>
            <w:tcBorders>
              <w:top w:val="nil"/>
              <w:left w:val="nil"/>
              <w:bottom w:val="nil"/>
              <w:right w:val="nil"/>
            </w:tcBorders>
            <w:shd w:val="clear" w:color="auto" w:fill="auto"/>
            <w:noWrap/>
            <w:vAlign w:val="center"/>
          </w:tcPr>
          <w:p w14:paraId="10E0ED34"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20.2</w:t>
            </w:r>
          </w:p>
        </w:tc>
        <w:tc>
          <w:tcPr>
            <w:tcW w:w="1146" w:type="dxa"/>
            <w:tcBorders>
              <w:top w:val="nil"/>
              <w:left w:val="nil"/>
              <w:bottom w:val="nil"/>
              <w:right w:val="single" w:sz="4" w:space="0" w:color="auto"/>
            </w:tcBorders>
            <w:shd w:val="clear" w:color="auto" w:fill="auto"/>
            <w:noWrap/>
            <w:vAlign w:val="center"/>
          </w:tcPr>
          <w:p w14:paraId="1FF8A7D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(19.0, 21.4)</w:t>
            </w:r>
          </w:p>
        </w:tc>
        <w:tc>
          <w:tcPr>
            <w:tcW w:w="666" w:type="dxa"/>
            <w:tcBorders>
              <w:top w:val="nil"/>
              <w:left w:val="single" w:sz="4" w:space="0" w:color="auto"/>
              <w:bottom w:val="nil"/>
              <w:right w:val="nil"/>
            </w:tcBorders>
            <w:shd w:val="clear" w:color="auto" w:fill="auto"/>
            <w:noWrap/>
            <w:vAlign w:val="center"/>
          </w:tcPr>
          <w:p w14:paraId="214C265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828</w:t>
            </w:r>
          </w:p>
        </w:tc>
        <w:tc>
          <w:tcPr>
            <w:tcW w:w="621" w:type="dxa"/>
            <w:tcBorders>
              <w:top w:val="nil"/>
              <w:left w:val="nil"/>
              <w:bottom w:val="nil"/>
              <w:right w:val="nil"/>
            </w:tcBorders>
            <w:shd w:val="clear" w:color="auto" w:fill="auto"/>
            <w:noWrap/>
            <w:vAlign w:val="center"/>
          </w:tcPr>
          <w:p w14:paraId="0168CBA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22.1</w:t>
            </w:r>
          </w:p>
        </w:tc>
        <w:tc>
          <w:tcPr>
            <w:tcW w:w="1146" w:type="dxa"/>
            <w:tcBorders>
              <w:top w:val="nil"/>
              <w:left w:val="nil"/>
              <w:bottom w:val="nil"/>
              <w:right w:val="single" w:sz="4" w:space="0" w:color="000000"/>
            </w:tcBorders>
            <w:shd w:val="clear" w:color="auto" w:fill="auto"/>
            <w:noWrap/>
            <w:vAlign w:val="center"/>
          </w:tcPr>
          <w:p w14:paraId="2C588D0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(20.5, 23.7)</w:t>
            </w:r>
          </w:p>
        </w:tc>
        <w:tc>
          <w:tcPr>
            <w:tcW w:w="616" w:type="dxa"/>
            <w:tcBorders>
              <w:top w:val="nil"/>
              <w:left w:val="single" w:sz="4" w:space="0" w:color="000000"/>
              <w:bottom w:val="nil"/>
              <w:right w:val="nil"/>
            </w:tcBorders>
            <w:shd w:val="clear" w:color="auto" w:fill="auto"/>
            <w:vAlign w:val="center"/>
          </w:tcPr>
          <w:p w14:paraId="5C27C99E"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727</w:t>
            </w:r>
          </w:p>
        </w:tc>
        <w:tc>
          <w:tcPr>
            <w:tcW w:w="567" w:type="dxa"/>
            <w:tcBorders>
              <w:top w:val="nil"/>
              <w:left w:val="nil"/>
              <w:bottom w:val="nil"/>
              <w:right w:val="nil"/>
            </w:tcBorders>
            <w:shd w:val="clear" w:color="auto" w:fill="auto"/>
            <w:vAlign w:val="center"/>
          </w:tcPr>
          <w:p w14:paraId="7D6EA9F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23.3</w:t>
            </w:r>
          </w:p>
        </w:tc>
        <w:tc>
          <w:tcPr>
            <w:tcW w:w="1146" w:type="dxa"/>
            <w:tcBorders>
              <w:top w:val="nil"/>
              <w:left w:val="nil"/>
              <w:bottom w:val="nil"/>
              <w:right w:val="single" w:sz="4" w:space="0" w:color="000000"/>
            </w:tcBorders>
            <w:shd w:val="clear" w:color="auto" w:fill="auto"/>
            <w:vAlign w:val="center"/>
          </w:tcPr>
          <w:p w14:paraId="197A8E8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(21.3, 25.2)</w:t>
            </w:r>
          </w:p>
        </w:tc>
        <w:tc>
          <w:tcPr>
            <w:tcW w:w="616" w:type="dxa"/>
            <w:tcBorders>
              <w:top w:val="nil"/>
              <w:left w:val="single" w:sz="4" w:space="0" w:color="000000"/>
              <w:bottom w:val="nil"/>
              <w:right w:val="nil"/>
            </w:tcBorders>
            <w:shd w:val="clear" w:color="auto" w:fill="auto"/>
            <w:vAlign w:val="center"/>
          </w:tcPr>
          <w:p w14:paraId="0DBA437C"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693</w:t>
            </w:r>
          </w:p>
        </w:tc>
        <w:tc>
          <w:tcPr>
            <w:tcW w:w="576" w:type="dxa"/>
            <w:tcBorders>
              <w:top w:val="nil"/>
              <w:left w:val="nil"/>
              <w:bottom w:val="nil"/>
              <w:right w:val="nil"/>
            </w:tcBorders>
            <w:shd w:val="clear" w:color="auto" w:fill="auto"/>
            <w:vAlign w:val="center"/>
          </w:tcPr>
          <w:p w14:paraId="3DBBA43E"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25.0</w:t>
            </w:r>
          </w:p>
        </w:tc>
        <w:tc>
          <w:tcPr>
            <w:tcW w:w="1146" w:type="dxa"/>
            <w:tcBorders>
              <w:top w:val="nil"/>
              <w:left w:val="nil"/>
              <w:bottom w:val="nil"/>
              <w:right w:val="nil"/>
            </w:tcBorders>
            <w:shd w:val="clear" w:color="auto" w:fill="auto"/>
            <w:vAlign w:val="center"/>
          </w:tcPr>
          <w:p w14:paraId="6298C134"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(22.9, 27.1)</w:t>
            </w:r>
          </w:p>
        </w:tc>
      </w:tr>
      <w:tr w:rsidR="009118DA" w:rsidRPr="008A7800" w14:paraId="049B6803"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32B1C5FE" w14:textId="77777777" w:rsidR="008A068A" w:rsidRPr="008A7800" w:rsidRDefault="008A068A" w:rsidP="008A068A">
            <w:pPr>
              <w:tabs>
                <w:tab w:val="left" w:pos="176"/>
              </w:tabs>
              <w:spacing w:before="20" w:after="20"/>
              <w:rPr>
                <w:rFonts w:eastAsiaTheme="minorEastAsia"/>
                <w:b w:val="0"/>
                <w:sz w:val="18"/>
                <w:szCs w:val="18"/>
                <w:lang w:eastAsia="en-US"/>
              </w:rPr>
            </w:pPr>
            <w:r w:rsidRPr="008A7800">
              <w:rPr>
                <w:rFonts w:eastAsiaTheme="minorEastAsia"/>
                <w:b w:val="0"/>
                <w:sz w:val="18"/>
                <w:szCs w:val="18"/>
                <w:lang w:eastAsia="en-US"/>
              </w:rPr>
              <w:tab/>
              <w:t>1</w:t>
            </w:r>
          </w:p>
        </w:tc>
        <w:tc>
          <w:tcPr>
            <w:tcW w:w="666" w:type="dxa"/>
            <w:tcBorders>
              <w:top w:val="nil"/>
              <w:left w:val="nil"/>
              <w:bottom w:val="nil"/>
              <w:right w:val="nil"/>
            </w:tcBorders>
            <w:shd w:val="clear" w:color="auto" w:fill="auto"/>
            <w:noWrap/>
            <w:vAlign w:val="center"/>
          </w:tcPr>
          <w:p w14:paraId="69057557"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1376</w:t>
            </w:r>
          </w:p>
        </w:tc>
        <w:tc>
          <w:tcPr>
            <w:tcW w:w="567" w:type="dxa"/>
            <w:tcBorders>
              <w:top w:val="nil"/>
              <w:left w:val="nil"/>
              <w:bottom w:val="nil"/>
              <w:right w:val="nil"/>
            </w:tcBorders>
            <w:shd w:val="clear" w:color="auto" w:fill="auto"/>
            <w:noWrap/>
            <w:vAlign w:val="center"/>
          </w:tcPr>
          <w:p w14:paraId="1173832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22.0</w:t>
            </w:r>
          </w:p>
        </w:tc>
        <w:tc>
          <w:tcPr>
            <w:tcW w:w="1146" w:type="dxa"/>
            <w:tcBorders>
              <w:top w:val="nil"/>
              <w:left w:val="nil"/>
              <w:bottom w:val="nil"/>
              <w:right w:val="single" w:sz="4" w:space="0" w:color="auto"/>
            </w:tcBorders>
            <w:shd w:val="clear" w:color="auto" w:fill="auto"/>
            <w:noWrap/>
            <w:vAlign w:val="center"/>
          </w:tcPr>
          <w:p w14:paraId="177BC61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(20.8, 23.2)</w:t>
            </w:r>
          </w:p>
        </w:tc>
        <w:tc>
          <w:tcPr>
            <w:tcW w:w="666" w:type="dxa"/>
            <w:tcBorders>
              <w:top w:val="nil"/>
              <w:left w:val="single" w:sz="4" w:space="0" w:color="auto"/>
              <w:bottom w:val="nil"/>
              <w:right w:val="nil"/>
            </w:tcBorders>
            <w:shd w:val="clear" w:color="auto" w:fill="auto"/>
            <w:noWrap/>
            <w:vAlign w:val="center"/>
          </w:tcPr>
          <w:p w14:paraId="026A2B8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805</w:t>
            </w:r>
          </w:p>
        </w:tc>
        <w:tc>
          <w:tcPr>
            <w:tcW w:w="621" w:type="dxa"/>
            <w:tcBorders>
              <w:top w:val="nil"/>
              <w:left w:val="nil"/>
              <w:bottom w:val="nil"/>
              <w:right w:val="nil"/>
            </w:tcBorders>
            <w:shd w:val="clear" w:color="auto" w:fill="auto"/>
            <w:noWrap/>
            <w:vAlign w:val="center"/>
          </w:tcPr>
          <w:p w14:paraId="3E15B4F6"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21.5</w:t>
            </w:r>
          </w:p>
        </w:tc>
        <w:tc>
          <w:tcPr>
            <w:tcW w:w="1146" w:type="dxa"/>
            <w:tcBorders>
              <w:top w:val="nil"/>
              <w:left w:val="nil"/>
              <w:bottom w:val="nil"/>
              <w:right w:val="single" w:sz="4" w:space="0" w:color="000000"/>
            </w:tcBorders>
            <w:shd w:val="clear" w:color="auto" w:fill="auto"/>
            <w:noWrap/>
            <w:vAlign w:val="center"/>
          </w:tcPr>
          <w:p w14:paraId="61CC1B0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(19.9, 23.0)</w:t>
            </w:r>
          </w:p>
        </w:tc>
        <w:tc>
          <w:tcPr>
            <w:tcW w:w="616" w:type="dxa"/>
            <w:tcBorders>
              <w:top w:val="nil"/>
              <w:left w:val="single" w:sz="4" w:space="0" w:color="000000"/>
              <w:bottom w:val="nil"/>
              <w:right w:val="nil"/>
            </w:tcBorders>
            <w:shd w:val="clear" w:color="auto" w:fill="auto"/>
            <w:vAlign w:val="center"/>
          </w:tcPr>
          <w:p w14:paraId="6E36E92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693</w:t>
            </w:r>
          </w:p>
        </w:tc>
        <w:tc>
          <w:tcPr>
            <w:tcW w:w="567" w:type="dxa"/>
            <w:tcBorders>
              <w:top w:val="nil"/>
              <w:left w:val="nil"/>
              <w:bottom w:val="nil"/>
              <w:right w:val="nil"/>
            </w:tcBorders>
            <w:shd w:val="clear" w:color="auto" w:fill="auto"/>
            <w:vAlign w:val="center"/>
          </w:tcPr>
          <w:p w14:paraId="4B9CAF0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22.2</w:t>
            </w:r>
          </w:p>
        </w:tc>
        <w:tc>
          <w:tcPr>
            <w:tcW w:w="1146" w:type="dxa"/>
            <w:tcBorders>
              <w:top w:val="nil"/>
              <w:left w:val="nil"/>
              <w:bottom w:val="nil"/>
              <w:right w:val="single" w:sz="4" w:space="0" w:color="000000"/>
            </w:tcBorders>
            <w:shd w:val="clear" w:color="auto" w:fill="auto"/>
            <w:vAlign w:val="center"/>
          </w:tcPr>
          <w:p w14:paraId="54F287D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(20.4, 24.0)</w:t>
            </w:r>
          </w:p>
        </w:tc>
        <w:tc>
          <w:tcPr>
            <w:tcW w:w="616" w:type="dxa"/>
            <w:tcBorders>
              <w:top w:val="nil"/>
              <w:left w:val="single" w:sz="4" w:space="0" w:color="000000"/>
              <w:bottom w:val="nil"/>
              <w:right w:val="nil"/>
            </w:tcBorders>
            <w:shd w:val="clear" w:color="auto" w:fill="auto"/>
            <w:vAlign w:val="center"/>
          </w:tcPr>
          <w:p w14:paraId="77511738"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622</w:t>
            </w:r>
          </w:p>
        </w:tc>
        <w:tc>
          <w:tcPr>
            <w:tcW w:w="576" w:type="dxa"/>
            <w:tcBorders>
              <w:top w:val="nil"/>
              <w:left w:val="nil"/>
              <w:bottom w:val="nil"/>
              <w:right w:val="nil"/>
            </w:tcBorders>
            <w:shd w:val="clear" w:color="auto" w:fill="auto"/>
            <w:vAlign w:val="center"/>
          </w:tcPr>
          <w:p w14:paraId="7CF4A551"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22.5</w:t>
            </w:r>
          </w:p>
        </w:tc>
        <w:tc>
          <w:tcPr>
            <w:tcW w:w="1146" w:type="dxa"/>
            <w:tcBorders>
              <w:top w:val="nil"/>
              <w:left w:val="nil"/>
              <w:bottom w:val="nil"/>
              <w:right w:val="nil"/>
            </w:tcBorders>
            <w:shd w:val="clear" w:color="auto" w:fill="auto"/>
            <w:vAlign w:val="center"/>
          </w:tcPr>
          <w:p w14:paraId="50771CDF"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(20.6, 24.4)</w:t>
            </w:r>
          </w:p>
        </w:tc>
      </w:tr>
      <w:tr w:rsidR="009118DA" w:rsidRPr="008A7800" w14:paraId="5A665A9D"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58F1FC20" w14:textId="77777777" w:rsidR="008A068A" w:rsidRPr="008A7800" w:rsidRDefault="008A068A" w:rsidP="008A068A">
            <w:pPr>
              <w:tabs>
                <w:tab w:val="left" w:pos="176"/>
              </w:tabs>
              <w:spacing w:before="20" w:after="20"/>
              <w:rPr>
                <w:rFonts w:eastAsiaTheme="minorEastAsia"/>
                <w:b w:val="0"/>
                <w:sz w:val="18"/>
                <w:szCs w:val="18"/>
                <w:lang w:eastAsia="en-US"/>
              </w:rPr>
            </w:pPr>
            <w:r w:rsidRPr="008A7800">
              <w:rPr>
                <w:rFonts w:eastAsiaTheme="minorEastAsia"/>
                <w:b w:val="0"/>
                <w:sz w:val="18"/>
                <w:szCs w:val="18"/>
                <w:lang w:eastAsia="en-US"/>
              </w:rPr>
              <w:tab/>
              <w:t>2</w:t>
            </w:r>
          </w:p>
        </w:tc>
        <w:tc>
          <w:tcPr>
            <w:tcW w:w="666" w:type="dxa"/>
            <w:tcBorders>
              <w:top w:val="nil"/>
              <w:left w:val="nil"/>
              <w:bottom w:val="nil"/>
              <w:right w:val="nil"/>
            </w:tcBorders>
            <w:shd w:val="clear" w:color="auto" w:fill="auto"/>
            <w:noWrap/>
            <w:vAlign w:val="center"/>
          </w:tcPr>
          <w:p w14:paraId="56624AF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1318</w:t>
            </w:r>
          </w:p>
        </w:tc>
        <w:tc>
          <w:tcPr>
            <w:tcW w:w="567" w:type="dxa"/>
            <w:tcBorders>
              <w:top w:val="nil"/>
              <w:left w:val="nil"/>
              <w:bottom w:val="nil"/>
              <w:right w:val="nil"/>
            </w:tcBorders>
            <w:shd w:val="clear" w:color="auto" w:fill="auto"/>
            <w:noWrap/>
            <w:vAlign w:val="center"/>
          </w:tcPr>
          <w:p w14:paraId="13E1C7E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21.1</w:t>
            </w:r>
          </w:p>
        </w:tc>
        <w:tc>
          <w:tcPr>
            <w:tcW w:w="1146" w:type="dxa"/>
            <w:tcBorders>
              <w:top w:val="nil"/>
              <w:left w:val="nil"/>
              <w:bottom w:val="nil"/>
              <w:right w:val="single" w:sz="4" w:space="0" w:color="auto"/>
            </w:tcBorders>
            <w:shd w:val="clear" w:color="auto" w:fill="auto"/>
            <w:noWrap/>
            <w:vAlign w:val="center"/>
          </w:tcPr>
          <w:p w14:paraId="57BFE122"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(19.9, 22.7)</w:t>
            </w:r>
          </w:p>
        </w:tc>
        <w:tc>
          <w:tcPr>
            <w:tcW w:w="666" w:type="dxa"/>
            <w:tcBorders>
              <w:top w:val="nil"/>
              <w:left w:val="single" w:sz="4" w:space="0" w:color="auto"/>
              <w:bottom w:val="nil"/>
              <w:right w:val="nil"/>
            </w:tcBorders>
            <w:shd w:val="clear" w:color="auto" w:fill="auto"/>
            <w:noWrap/>
            <w:vAlign w:val="center"/>
          </w:tcPr>
          <w:p w14:paraId="772CAFDD"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828</w:t>
            </w:r>
          </w:p>
        </w:tc>
        <w:tc>
          <w:tcPr>
            <w:tcW w:w="621" w:type="dxa"/>
            <w:tcBorders>
              <w:top w:val="nil"/>
              <w:left w:val="nil"/>
              <w:bottom w:val="nil"/>
              <w:right w:val="nil"/>
            </w:tcBorders>
            <w:shd w:val="clear" w:color="auto" w:fill="auto"/>
            <w:noWrap/>
            <w:vAlign w:val="center"/>
          </w:tcPr>
          <w:p w14:paraId="08639B5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22.1</w:t>
            </w:r>
          </w:p>
        </w:tc>
        <w:tc>
          <w:tcPr>
            <w:tcW w:w="1146" w:type="dxa"/>
            <w:tcBorders>
              <w:top w:val="nil"/>
              <w:left w:val="nil"/>
              <w:bottom w:val="nil"/>
              <w:right w:val="single" w:sz="4" w:space="0" w:color="000000"/>
            </w:tcBorders>
            <w:shd w:val="clear" w:color="auto" w:fill="auto"/>
            <w:noWrap/>
            <w:vAlign w:val="center"/>
          </w:tcPr>
          <w:p w14:paraId="704A006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(20.5, 23.7)</w:t>
            </w:r>
          </w:p>
        </w:tc>
        <w:tc>
          <w:tcPr>
            <w:tcW w:w="616" w:type="dxa"/>
            <w:tcBorders>
              <w:top w:val="nil"/>
              <w:left w:val="single" w:sz="4" w:space="0" w:color="000000"/>
              <w:bottom w:val="nil"/>
              <w:right w:val="nil"/>
            </w:tcBorders>
            <w:shd w:val="clear" w:color="auto" w:fill="auto"/>
            <w:vAlign w:val="center"/>
          </w:tcPr>
          <w:p w14:paraId="61FFA14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684</w:t>
            </w:r>
          </w:p>
        </w:tc>
        <w:tc>
          <w:tcPr>
            <w:tcW w:w="567" w:type="dxa"/>
            <w:tcBorders>
              <w:top w:val="nil"/>
              <w:left w:val="nil"/>
              <w:bottom w:val="nil"/>
              <w:right w:val="nil"/>
            </w:tcBorders>
            <w:shd w:val="clear" w:color="auto" w:fill="auto"/>
            <w:vAlign w:val="center"/>
          </w:tcPr>
          <w:p w14:paraId="26DA091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21.9</w:t>
            </w:r>
          </w:p>
        </w:tc>
        <w:tc>
          <w:tcPr>
            <w:tcW w:w="1146" w:type="dxa"/>
            <w:tcBorders>
              <w:top w:val="nil"/>
              <w:left w:val="nil"/>
              <w:bottom w:val="nil"/>
              <w:right w:val="single" w:sz="4" w:space="0" w:color="000000"/>
            </w:tcBorders>
            <w:shd w:val="clear" w:color="auto" w:fill="auto"/>
            <w:vAlign w:val="center"/>
          </w:tcPr>
          <w:p w14:paraId="159A8B79"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(20.1, 23.7)</w:t>
            </w:r>
          </w:p>
        </w:tc>
        <w:tc>
          <w:tcPr>
            <w:tcW w:w="616" w:type="dxa"/>
            <w:tcBorders>
              <w:top w:val="nil"/>
              <w:left w:val="single" w:sz="4" w:space="0" w:color="000000"/>
              <w:bottom w:val="nil"/>
              <w:right w:val="nil"/>
            </w:tcBorders>
            <w:shd w:val="clear" w:color="auto" w:fill="auto"/>
            <w:vAlign w:val="center"/>
          </w:tcPr>
          <w:p w14:paraId="64E56092"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586</w:t>
            </w:r>
          </w:p>
        </w:tc>
        <w:tc>
          <w:tcPr>
            <w:tcW w:w="576" w:type="dxa"/>
            <w:tcBorders>
              <w:top w:val="nil"/>
              <w:left w:val="nil"/>
              <w:bottom w:val="nil"/>
              <w:right w:val="nil"/>
            </w:tcBorders>
            <w:shd w:val="clear" w:color="auto" w:fill="auto"/>
            <w:vAlign w:val="center"/>
          </w:tcPr>
          <w:p w14:paraId="4EB6A30B"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21.2</w:t>
            </w:r>
          </w:p>
        </w:tc>
        <w:tc>
          <w:tcPr>
            <w:tcW w:w="1146" w:type="dxa"/>
            <w:tcBorders>
              <w:top w:val="nil"/>
              <w:left w:val="nil"/>
              <w:bottom w:val="nil"/>
              <w:right w:val="nil"/>
            </w:tcBorders>
            <w:shd w:val="clear" w:color="auto" w:fill="auto"/>
            <w:vAlign w:val="center"/>
          </w:tcPr>
          <w:p w14:paraId="4F99CD50"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(19.2, 23.1)</w:t>
            </w:r>
          </w:p>
        </w:tc>
      </w:tr>
      <w:tr w:rsidR="009118DA" w:rsidRPr="008A7800" w14:paraId="5221AD56"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23AF3019" w14:textId="77777777" w:rsidR="008A068A" w:rsidRPr="008A7800" w:rsidRDefault="008A068A" w:rsidP="008A068A">
            <w:pPr>
              <w:tabs>
                <w:tab w:val="left" w:pos="176"/>
              </w:tabs>
              <w:spacing w:before="20" w:after="20"/>
              <w:rPr>
                <w:rFonts w:eastAsiaTheme="minorEastAsia"/>
                <w:b w:val="0"/>
                <w:sz w:val="18"/>
                <w:szCs w:val="18"/>
                <w:lang w:eastAsia="en-US"/>
              </w:rPr>
            </w:pPr>
            <w:r w:rsidRPr="008A7800">
              <w:rPr>
                <w:rFonts w:eastAsiaTheme="minorEastAsia"/>
                <w:b w:val="0"/>
                <w:sz w:val="18"/>
                <w:szCs w:val="18"/>
                <w:lang w:eastAsia="en-US"/>
              </w:rPr>
              <w:tab/>
              <w:t>3</w:t>
            </w:r>
          </w:p>
        </w:tc>
        <w:tc>
          <w:tcPr>
            <w:tcW w:w="666" w:type="dxa"/>
            <w:tcBorders>
              <w:top w:val="nil"/>
              <w:left w:val="nil"/>
              <w:bottom w:val="nil"/>
              <w:right w:val="nil"/>
            </w:tcBorders>
            <w:shd w:val="clear" w:color="auto" w:fill="auto"/>
            <w:noWrap/>
            <w:vAlign w:val="center"/>
          </w:tcPr>
          <w:p w14:paraId="12D4FA9D"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964</w:t>
            </w:r>
          </w:p>
        </w:tc>
        <w:tc>
          <w:tcPr>
            <w:tcW w:w="567" w:type="dxa"/>
            <w:tcBorders>
              <w:top w:val="nil"/>
              <w:left w:val="nil"/>
              <w:bottom w:val="nil"/>
              <w:right w:val="nil"/>
            </w:tcBorders>
            <w:shd w:val="clear" w:color="auto" w:fill="auto"/>
            <w:noWrap/>
            <w:vAlign w:val="center"/>
          </w:tcPr>
          <w:p w14:paraId="0F9F101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15.4</w:t>
            </w:r>
          </w:p>
        </w:tc>
        <w:tc>
          <w:tcPr>
            <w:tcW w:w="1146" w:type="dxa"/>
            <w:tcBorders>
              <w:top w:val="nil"/>
              <w:left w:val="nil"/>
              <w:bottom w:val="nil"/>
              <w:right w:val="single" w:sz="4" w:space="0" w:color="auto"/>
            </w:tcBorders>
            <w:shd w:val="clear" w:color="auto" w:fill="auto"/>
            <w:noWrap/>
            <w:vAlign w:val="center"/>
          </w:tcPr>
          <w:p w14:paraId="6439C90D"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(14.4, 16.5)</w:t>
            </w:r>
          </w:p>
        </w:tc>
        <w:tc>
          <w:tcPr>
            <w:tcW w:w="666" w:type="dxa"/>
            <w:tcBorders>
              <w:top w:val="nil"/>
              <w:left w:val="single" w:sz="4" w:space="0" w:color="auto"/>
              <w:bottom w:val="nil"/>
              <w:right w:val="nil"/>
            </w:tcBorders>
            <w:shd w:val="clear" w:color="auto" w:fill="auto"/>
            <w:noWrap/>
            <w:vAlign w:val="center"/>
          </w:tcPr>
          <w:p w14:paraId="17E2F17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627</w:t>
            </w:r>
          </w:p>
        </w:tc>
        <w:tc>
          <w:tcPr>
            <w:tcW w:w="621" w:type="dxa"/>
            <w:tcBorders>
              <w:top w:val="nil"/>
              <w:left w:val="nil"/>
              <w:bottom w:val="nil"/>
              <w:right w:val="nil"/>
            </w:tcBorders>
            <w:shd w:val="clear" w:color="auto" w:fill="auto"/>
            <w:noWrap/>
            <w:vAlign w:val="center"/>
          </w:tcPr>
          <w:p w14:paraId="7856DBE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16.7</w:t>
            </w:r>
          </w:p>
        </w:tc>
        <w:tc>
          <w:tcPr>
            <w:tcW w:w="1146" w:type="dxa"/>
            <w:tcBorders>
              <w:top w:val="nil"/>
              <w:left w:val="nil"/>
              <w:bottom w:val="nil"/>
              <w:right w:val="single" w:sz="4" w:space="0" w:color="000000"/>
            </w:tcBorders>
            <w:shd w:val="clear" w:color="auto" w:fill="auto"/>
            <w:noWrap/>
            <w:vAlign w:val="center"/>
          </w:tcPr>
          <w:p w14:paraId="373E9C5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(15.3, 18.2)</w:t>
            </w:r>
          </w:p>
        </w:tc>
        <w:tc>
          <w:tcPr>
            <w:tcW w:w="616" w:type="dxa"/>
            <w:tcBorders>
              <w:top w:val="nil"/>
              <w:left w:val="single" w:sz="4" w:space="0" w:color="000000"/>
              <w:bottom w:val="nil"/>
              <w:right w:val="nil"/>
            </w:tcBorders>
            <w:shd w:val="clear" w:color="auto" w:fill="auto"/>
            <w:vAlign w:val="center"/>
          </w:tcPr>
          <w:p w14:paraId="780149DD"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464</w:t>
            </w:r>
          </w:p>
        </w:tc>
        <w:tc>
          <w:tcPr>
            <w:tcW w:w="567" w:type="dxa"/>
            <w:tcBorders>
              <w:top w:val="nil"/>
              <w:left w:val="nil"/>
              <w:bottom w:val="nil"/>
              <w:right w:val="nil"/>
            </w:tcBorders>
            <w:shd w:val="clear" w:color="auto" w:fill="auto"/>
            <w:vAlign w:val="center"/>
          </w:tcPr>
          <w:p w14:paraId="647B9852"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14.9</w:t>
            </w:r>
          </w:p>
        </w:tc>
        <w:tc>
          <w:tcPr>
            <w:tcW w:w="1146" w:type="dxa"/>
            <w:tcBorders>
              <w:top w:val="nil"/>
              <w:left w:val="nil"/>
              <w:bottom w:val="nil"/>
              <w:right w:val="single" w:sz="4" w:space="0" w:color="000000"/>
            </w:tcBorders>
            <w:shd w:val="clear" w:color="auto" w:fill="auto"/>
            <w:vAlign w:val="center"/>
          </w:tcPr>
          <w:p w14:paraId="748F778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(13.4, 16.3)</w:t>
            </w:r>
          </w:p>
        </w:tc>
        <w:tc>
          <w:tcPr>
            <w:tcW w:w="616" w:type="dxa"/>
            <w:tcBorders>
              <w:top w:val="nil"/>
              <w:left w:val="single" w:sz="4" w:space="0" w:color="000000"/>
              <w:bottom w:val="nil"/>
              <w:right w:val="nil"/>
            </w:tcBorders>
            <w:shd w:val="clear" w:color="auto" w:fill="auto"/>
            <w:vAlign w:val="center"/>
          </w:tcPr>
          <w:p w14:paraId="3EE8510D"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427</w:t>
            </w:r>
          </w:p>
        </w:tc>
        <w:tc>
          <w:tcPr>
            <w:tcW w:w="576" w:type="dxa"/>
            <w:tcBorders>
              <w:top w:val="nil"/>
              <w:left w:val="nil"/>
              <w:bottom w:val="nil"/>
              <w:right w:val="nil"/>
            </w:tcBorders>
            <w:shd w:val="clear" w:color="auto" w:fill="auto"/>
            <w:vAlign w:val="center"/>
          </w:tcPr>
          <w:p w14:paraId="717A3AC2"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15.4</w:t>
            </w:r>
          </w:p>
        </w:tc>
        <w:tc>
          <w:tcPr>
            <w:tcW w:w="1146" w:type="dxa"/>
            <w:tcBorders>
              <w:top w:val="nil"/>
              <w:left w:val="nil"/>
              <w:bottom w:val="nil"/>
              <w:right w:val="nil"/>
            </w:tcBorders>
            <w:shd w:val="clear" w:color="auto" w:fill="auto"/>
            <w:vAlign w:val="center"/>
          </w:tcPr>
          <w:p w14:paraId="792D18E9"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(13.8, 17</w:t>
            </w:r>
            <w:r w:rsidR="00F154D6" w:rsidRPr="008A7800">
              <w:rPr>
                <w:color w:val="000000"/>
                <w:sz w:val="18"/>
                <w:szCs w:val="18"/>
              </w:rPr>
              <w:t>.0</w:t>
            </w:r>
            <w:r w:rsidRPr="008A7800">
              <w:rPr>
                <w:color w:val="000000"/>
                <w:sz w:val="18"/>
                <w:szCs w:val="18"/>
              </w:rPr>
              <w:t>)</w:t>
            </w:r>
          </w:p>
        </w:tc>
      </w:tr>
      <w:tr w:rsidR="009118DA" w:rsidRPr="008A7800" w14:paraId="217086A7"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71039E78" w14:textId="77777777" w:rsidR="008A068A" w:rsidRPr="008A7800" w:rsidRDefault="008A068A" w:rsidP="008A068A">
            <w:pPr>
              <w:tabs>
                <w:tab w:val="left" w:pos="176"/>
              </w:tabs>
              <w:spacing w:before="20" w:after="20"/>
              <w:rPr>
                <w:rFonts w:eastAsiaTheme="minorEastAsia"/>
                <w:b w:val="0"/>
                <w:sz w:val="18"/>
                <w:szCs w:val="18"/>
                <w:lang w:eastAsia="en-US"/>
              </w:rPr>
            </w:pPr>
            <w:r w:rsidRPr="008A7800">
              <w:rPr>
                <w:rFonts w:eastAsiaTheme="minorEastAsia"/>
                <w:b w:val="0"/>
                <w:sz w:val="18"/>
                <w:szCs w:val="18"/>
                <w:lang w:eastAsia="en-US"/>
              </w:rPr>
              <w:tab/>
              <w:t>4 - 6</w:t>
            </w:r>
          </w:p>
        </w:tc>
        <w:tc>
          <w:tcPr>
            <w:tcW w:w="666" w:type="dxa"/>
            <w:tcBorders>
              <w:top w:val="nil"/>
              <w:left w:val="nil"/>
              <w:bottom w:val="nil"/>
              <w:right w:val="nil"/>
            </w:tcBorders>
            <w:shd w:val="clear" w:color="auto" w:fill="auto"/>
            <w:noWrap/>
            <w:vAlign w:val="center"/>
          </w:tcPr>
          <w:p w14:paraId="32E366D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1097</w:t>
            </w:r>
          </w:p>
        </w:tc>
        <w:tc>
          <w:tcPr>
            <w:tcW w:w="567" w:type="dxa"/>
            <w:tcBorders>
              <w:top w:val="nil"/>
              <w:left w:val="nil"/>
              <w:bottom w:val="nil"/>
              <w:right w:val="nil"/>
            </w:tcBorders>
            <w:shd w:val="clear" w:color="auto" w:fill="auto"/>
            <w:noWrap/>
            <w:vAlign w:val="center"/>
          </w:tcPr>
          <w:p w14:paraId="58EC3844"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17.6</w:t>
            </w:r>
          </w:p>
        </w:tc>
        <w:tc>
          <w:tcPr>
            <w:tcW w:w="1146" w:type="dxa"/>
            <w:tcBorders>
              <w:top w:val="nil"/>
              <w:left w:val="nil"/>
              <w:bottom w:val="nil"/>
              <w:right w:val="single" w:sz="4" w:space="0" w:color="auto"/>
            </w:tcBorders>
            <w:shd w:val="clear" w:color="auto" w:fill="auto"/>
            <w:noWrap/>
            <w:vAlign w:val="center"/>
          </w:tcPr>
          <w:p w14:paraId="7937687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(16.4, 18.7)</w:t>
            </w:r>
          </w:p>
        </w:tc>
        <w:tc>
          <w:tcPr>
            <w:tcW w:w="666" w:type="dxa"/>
            <w:tcBorders>
              <w:top w:val="nil"/>
              <w:left w:val="single" w:sz="4" w:space="0" w:color="auto"/>
              <w:bottom w:val="nil"/>
              <w:right w:val="nil"/>
            </w:tcBorders>
            <w:shd w:val="clear" w:color="auto" w:fill="auto"/>
            <w:noWrap/>
            <w:vAlign w:val="center"/>
          </w:tcPr>
          <w:p w14:paraId="5DAF55F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580</w:t>
            </w:r>
          </w:p>
        </w:tc>
        <w:tc>
          <w:tcPr>
            <w:tcW w:w="621" w:type="dxa"/>
            <w:tcBorders>
              <w:top w:val="nil"/>
              <w:left w:val="nil"/>
              <w:bottom w:val="nil"/>
              <w:right w:val="nil"/>
            </w:tcBorders>
            <w:shd w:val="clear" w:color="auto" w:fill="auto"/>
            <w:noWrap/>
            <w:vAlign w:val="center"/>
          </w:tcPr>
          <w:p w14:paraId="2A81387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15.5</w:t>
            </w:r>
          </w:p>
        </w:tc>
        <w:tc>
          <w:tcPr>
            <w:tcW w:w="1146" w:type="dxa"/>
            <w:tcBorders>
              <w:top w:val="nil"/>
              <w:left w:val="nil"/>
              <w:bottom w:val="nil"/>
              <w:right w:val="single" w:sz="4" w:space="0" w:color="000000"/>
            </w:tcBorders>
            <w:shd w:val="clear" w:color="auto" w:fill="auto"/>
            <w:noWrap/>
            <w:vAlign w:val="center"/>
          </w:tcPr>
          <w:p w14:paraId="3A5F6034"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(14.1, 16.9)</w:t>
            </w:r>
          </w:p>
        </w:tc>
        <w:tc>
          <w:tcPr>
            <w:tcW w:w="616" w:type="dxa"/>
            <w:tcBorders>
              <w:top w:val="nil"/>
              <w:left w:val="single" w:sz="4" w:space="0" w:color="000000"/>
              <w:bottom w:val="nil"/>
              <w:right w:val="nil"/>
            </w:tcBorders>
            <w:shd w:val="clear" w:color="auto" w:fill="auto"/>
            <w:vAlign w:val="center"/>
          </w:tcPr>
          <w:p w14:paraId="77FA8F37"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488</w:t>
            </w:r>
          </w:p>
        </w:tc>
        <w:tc>
          <w:tcPr>
            <w:tcW w:w="567" w:type="dxa"/>
            <w:tcBorders>
              <w:top w:val="nil"/>
              <w:left w:val="nil"/>
              <w:bottom w:val="nil"/>
              <w:right w:val="nil"/>
            </w:tcBorders>
            <w:shd w:val="clear" w:color="auto" w:fill="auto"/>
            <w:vAlign w:val="center"/>
          </w:tcPr>
          <w:p w14:paraId="6255398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15.6</w:t>
            </w:r>
          </w:p>
        </w:tc>
        <w:tc>
          <w:tcPr>
            <w:tcW w:w="1146" w:type="dxa"/>
            <w:tcBorders>
              <w:top w:val="nil"/>
              <w:left w:val="nil"/>
              <w:bottom w:val="nil"/>
              <w:right w:val="single" w:sz="4" w:space="0" w:color="000000"/>
            </w:tcBorders>
            <w:shd w:val="clear" w:color="auto" w:fill="auto"/>
            <w:vAlign w:val="center"/>
          </w:tcPr>
          <w:p w14:paraId="7A8BBB8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(14.1, 17.2)</w:t>
            </w:r>
          </w:p>
        </w:tc>
        <w:tc>
          <w:tcPr>
            <w:tcW w:w="616" w:type="dxa"/>
            <w:tcBorders>
              <w:top w:val="nil"/>
              <w:left w:val="single" w:sz="4" w:space="0" w:color="000000"/>
              <w:bottom w:val="nil"/>
              <w:right w:val="nil"/>
            </w:tcBorders>
            <w:shd w:val="clear" w:color="auto" w:fill="auto"/>
            <w:vAlign w:val="center"/>
          </w:tcPr>
          <w:p w14:paraId="5DA68761"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395</w:t>
            </w:r>
          </w:p>
        </w:tc>
        <w:tc>
          <w:tcPr>
            <w:tcW w:w="576" w:type="dxa"/>
            <w:tcBorders>
              <w:top w:val="nil"/>
              <w:left w:val="nil"/>
              <w:bottom w:val="nil"/>
              <w:right w:val="nil"/>
            </w:tcBorders>
            <w:shd w:val="clear" w:color="auto" w:fill="auto"/>
            <w:vAlign w:val="center"/>
          </w:tcPr>
          <w:p w14:paraId="58A483F5"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14.3</w:t>
            </w:r>
          </w:p>
        </w:tc>
        <w:tc>
          <w:tcPr>
            <w:tcW w:w="1146" w:type="dxa"/>
            <w:tcBorders>
              <w:top w:val="nil"/>
              <w:left w:val="nil"/>
              <w:bottom w:val="nil"/>
              <w:right w:val="nil"/>
            </w:tcBorders>
            <w:shd w:val="clear" w:color="auto" w:fill="auto"/>
            <w:vAlign w:val="center"/>
          </w:tcPr>
          <w:p w14:paraId="3A67212D"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(12.6, 15.9)</w:t>
            </w:r>
          </w:p>
        </w:tc>
      </w:tr>
      <w:tr w:rsidR="009118DA" w:rsidRPr="008A7800" w14:paraId="6D5F90E5"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74EA7D32" w14:textId="77777777" w:rsidR="008A068A" w:rsidRPr="008A7800" w:rsidRDefault="008A068A" w:rsidP="008A068A">
            <w:pPr>
              <w:tabs>
                <w:tab w:val="left" w:pos="176"/>
              </w:tabs>
              <w:spacing w:before="20" w:after="20"/>
              <w:rPr>
                <w:rFonts w:eastAsiaTheme="minorEastAsia"/>
                <w:b w:val="0"/>
                <w:sz w:val="18"/>
                <w:szCs w:val="18"/>
                <w:lang w:eastAsia="en-US"/>
              </w:rPr>
            </w:pPr>
            <w:r w:rsidRPr="008A7800">
              <w:rPr>
                <w:rFonts w:eastAsiaTheme="minorEastAsia"/>
                <w:b w:val="0"/>
                <w:sz w:val="18"/>
                <w:szCs w:val="18"/>
                <w:lang w:eastAsia="en-US"/>
              </w:rPr>
              <w:tab/>
              <w:t>7 - 9</w:t>
            </w:r>
          </w:p>
        </w:tc>
        <w:tc>
          <w:tcPr>
            <w:tcW w:w="666" w:type="dxa"/>
            <w:tcBorders>
              <w:top w:val="nil"/>
              <w:left w:val="nil"/>
              <w:bottom w:val="nil"/>
              <w:right w:val="nil"/>
            </w:tcBorders>
            <w:shd w:val="clear" w:color="auto" w:fill="auto"/>
            <w:noWrap/>
            <w:vAlign w:val="center"/>
          </w:tcPr>
          <w:p w14:paraId="62D1E0C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206</w:t>
            </w:r>
          </w:p>
        </w:tc>
        <w:tc>
          <w:tcPr>
            <w:tcW w:w="567" w:type="dxa"/>
            <w:tcBorders>
              <w:top w:val="nil"/>
              <w:left w:val="nil"/>
              <w:bottom w:val="nil"/>
              <w:right w:val="nil"/>
            </w:tcBorders>
            <w:shd w:val="clear" w:color="auto" w:fill="auto"/>
            <w:noWrap/>
            <w:vAlign w:val="center"/>
          </w:tcPr>
          <w:p w14:paraId="28A8DE47"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3.3</w:t>
            </w:r>
          </w:p>
        </w:tc>
        <w:tc>
          <w:tcPr>
            <w:tcW w:w="1146" w:type="dxa"/>
            <w:tcBorders>
              <w:top w:val="nil"/>
              <w:left w:val="nil"/>
              <w:bottom w:val="nil"/>
              <w:right w:val="single" w:sz="4" w:space="0" w:color="auto"/>
            </w:tcBorders>
            <w:shd w:val="clear" w:color="auto" w:fill="auto"/>
            <w:noWrap/>
            <w:vAlign w:val="center"/>
          </w:tcPr>
          <w:p w14:paraId="7164152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(2.8, 3.8)</w:t>
            </w:r>
          </w:p>
        </w:tc>
        <w:tc>
          <w:tcPr>
            <w:tcW w:w="666" w:type="dxa"/>
            <w:tcBorders>
              <w:top w:val="nil"/>
              <w:left w:val="single" w:sz="4" w:space="0" w:color="auto"/>
              <w:bottom w:val="nil"/>
              <w:right w:val="nil"/>
            </w:tcBorders>
            <w:shd w:val="clear" w:color="auto" w:fill="auto"/>
            <w:noWrap/>
            <w:vAlign w:val="center"/>
          </w:tcPr>
          <w:p w14:paraId="278D087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73</w:t>
            </w:r>
          </w:p>
        </w:tc>
        <w:tc>
          <w:tcPr>
            <w:tcW w:w="621" w:type="dxa"/>
            <w:tcBorders>
              <w:top w:val="nil"/>
              <w:left w:val="nil"/>
              <w:bottom w:val="nil"/>
              <w:right w:val="nil"/>
            </w:tcBorders>
            <w:shd w:val="clear" w:color="auto" w:fill="auto"/>
            <w:noWrap/>
            <w:vAlign w:val="center"/>
          </w:tcPr>
          <w:p w14:paraId="688B4C3E"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w:t>
            </w:r>
          </w:p>
        </w:tc>
        <w:tc>
          <w:tcPr>
            <w:tcW w:w="1146" w:type="dxa"/>
            <w:tcBorders>
              <w:top w:val="nil"/>
              <w:left w:val="nil"/>
              <w:bottom w:val="nil"/>
              <w:right w:val="single" w:sz="4" w:space="0" w:color="000000"/>
            </w:tcBorders>
            <w:shd w:val="clear" w:color="auto" w:fill="auto"/>
            <w:noWrap/>
            <w:vAlign w:val="center"/>
          </w:tcPr>
          <w:p w14:paraId="42F8E68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(1.4, 2.5)</w:t>
            </w:r>
          </w:p>
        </w:tc>
        <w:tc>
          <w:tcPr>
            <w:tcW w:w="616" w:type="dxa"/>
            <w:tcBorders>
              <w:top w:val="nil"/>
              <w:left w:val="single" w:sz="4" w:space="0" w:color="000000"/>
              <w:bottom w:val="nil"/>
              <w:right w:val="nil"/>
            </w:tcBorders>
            <w:shd w:val="clear" w:color="auto" w:fill="auto"/>
            <w:vAlign w:val="center"/>
          </w:tcPr>
          <w:p w14:paraId="61AF9FA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65</w:t>
            </w:r>
          </w:p>
        </w:tc>
        <w:tc>
          <w:tcPr>
            <w:tcW w:w="567" w:type="dxa"/>
            <w:tcBorders>
              <w:top w:val="nil"/>
              <w:left w:val="nil"/>
              <w:bottom w:val="nil"/>
              <w:right w:val="nil"/>
            </w:tcBorders>
            <w:shd w:val="clear" w:color="auto" w:fill="auto"/>
            <w:vAlign w:val="center"/>
          </w:tcPr>
          <w:p w14:paraId="298BC93E"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2.1</w:t>
            </w:r>
          </w:p>
        </w:tc>
        <w:tc>
          <w:tcPr>
            <w:tcW w:w="1146" w:type="dxa"/>
            <w:tcBorders>
              <w:top w:val="nil"/>
              <w:left w:val="nil"/>
              <w:bottom w:val="nil"/>
              <w:right w:val="single" w:sz="4" w:space="0" w:color="000000"/>
            </w:tcBorders>
            <w:shd w:val="clear" w:color="auto" w:fill="auto"/>
            <w:vAlign w:val="center"/>
          </w:tcPr>
          <w:p w14:paraId="72B41C9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(1.5, 2.6)</w:t>
            </w:r>
          </w:p>
        </w:tc>
        <w:tc>
          <w:tcPr>
            <w:tcW w:w="616" w:type="dxa"/>
            <w:tcBorders>
              <w:top w:val="nil"/>
              <w:left w:val="single" w:sz="4" w:space="0" w:color="000000"/>
              <w:bottom w:val="nil"/>
              <w:right w:val="nil"/>
            </w:tcBorders>
            <w:shd w:val="clear" w:color="auto" w:fill="auto"/>
            <w:vAlign w:val="center"/>
          </w:tcPr>
          <w:p w14:paraId="02BAFC72"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43</w:t>
            </w:r>
          </w:p>
        </w:tc>
        <w:tc>
          <w:tcPr>
            <w:tcW w:w="576" w:type="dxa"/>
            <w:tcBorders>
              <w:top w:val="nil"/>
              <w:left w:val="nil"/>
              <w:bottom w:val="nil"/>
              <w:right w:val="nil"/>
            </w:tcBorders>
            <w:shd w:val="clear" w:color="auto" w:fill="auto"/>
            <w:vAlign w:val="center"/>
          </w:tcPr>
          <w:p w14:paraId="5A735E7B"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1.5</w:t>
            </w:r>
          </w:p>
        </w:tc>
        <w:tc>
          <w:tcPr>
            <w:tcW w:w="1146" w:type="dxa"/>
            <w:tcBorders>
              <w:top w:val="nil"/>
              <w:left w:val="nil"/>
              <w:bottom w:val="nil"/>
              <w:right w:val="nil"/>
            </w:tcBorders>
            <w:shd w:val="clear" w:color="auto" w:fill="auto"/>
            <w:vAlign w:val="center"/>
          </w:tcPr>
          <w:p w14:paraId="16FC6FF4"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(1.0, 2.1)</w:t>
            </w:r>
          </w:p>
        </w:tc>
      </w:tr>
      <w:tr w:rsidR="009118DA" w:rsidRPr="008A7800" w14:paraId="4CB03FBA"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0646964F" w14:textId="77777777" w:rsidR="008A068A" w:rsidRPr="008A7800" w:rsidRDefault="008A068A" w:rsidP="008A068A">
            <w:pPr>
              <w:tabs>
                <w:tab w:val="left" w:pos="176"/>
              </w:tabs>
              <w:spacing w:before="20" w:after="40"/>
              <w:rPr>
                <w:rFonts w:eastAsiaTheme="minorEastAsia"/>
                <w:b w:val="0"/>
                <w:sz w:val="18"/>
                <w:szCs w:val="18"/>
                <w:lang w:eastAsia="en-US"/>
              </w:rPr>
            </w:pPr>
            <w:r w:rsidRPr="008A7800">
              <w:rPr>
                <w:rFonts w:eastAsiaTheme="minorEastAsia"/>
                <w:b w:val="0"/>
                <w:sz w:val="18"/>
                <w:szCs w:val="18"/>
                <w:lang w:eastAsia="en-US"/>
              </w:rPr>
              <w:tab/>
              <w:t>10+</w:t>
            </w:r>
          </w:p>
        </w:tc>
        <w:tc>
          <w:tcPr>
            <w:tcW w:w="666" w:type="dxa"/>
            <w:tcBorders>
              <w:top w:val="nil"/>
              <w:left w:val="nil"/>
              <w:bottom w:val="nil"/>
              <w:right w:val="nil"/>
            </w:tcBorders>
            <w:shd w:val="clear" w:color="auto" w:fill="auto"/>
            <w:noWrap/>
            <w:vAlign w:val="center"/>
          </w:tcPr>
          <w:p w14:paraId="5D010494"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28</w:t>
            </w:r>
          </w:p>
        </w:tc>
        <w:tc>
          <w:tcPr>
            <w:tcW w:w="567" w:type="dxa"/>
            <w:tcBorders>
              <w:top w:val="nil"/>
              <w:left w:val="nil"/>
              <w:bottom w:val="nil"/>
              <w:right w:val="nil"/>
            </w:tcBorders>
            <w:shd w:val="clear" w:color="auto" w:fill="auto"/>
            <w:noWrap/>
            <w:vAlign w:val="center"/>
          </w:tcPr>
          <w:p w14:paraId="0B197E3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0.4</w:t>
            </w:r>
          </w:p>
        </w:tc>
        <w:tc>
          <w:tcPr>
            <w:tcW w:w="1146" w:type="dxa"/>
            <w:tcBorders>
              <w:top w:val="nil"/>
              <w:left w:val="nil"/>
              <w:bottom w:val="nil"/>
              <w:right w:val="single" w:sz="4" w:space="0" w:color="auto"/>
            </w:tcBorders>
            <w:shd w:val="clear" w:color="auto" w:fill="auto"/>
            <w:noWrap/>
            <w:vAlign w:val="center"/>
          </w:tcPr>
          <w:p w14:paraId="6C0C5674"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(0.2, 0.7)</w:t>
            </w:r>
          </w:p>
        </w:tc>
        <w:tc>
          <w:tcPr>
            <w:tcW w:w="666" w:type="dxa"/>
            <w:tcBorders>
              <w:top w:val="nil"/>
              <w:left w:val="single" w:sz="4" w:space="0" w:color="auto"/>
              <w:bottom w:val="nil"/>
              <w:right w:val="nil"/>
            </w:tcBorders>
            <w:shd w:val="clear" w:color="auto" w:fill="auto"/>
            <w:noWrap/>
            <w:vAlign w:val="center"/>
          </w:tcPr>
          <w:p w14:paraId="305D82B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w:t>
            </w:r>
          </w:p>
        </w:tc>
        <w:tc>
          <w:tcPr>
            <w:tcW w:w="621" w:type="dxa"/>
            <w:tcBorders>
              <w:top w:val="nil"/>
              <w:left w:val="nil"/>
              <w:bottom w:val="nil"/>
              <w:right w:val="nil"/>
            </w:tcBorders>
            <w:shd w:val="clear" w:color="auto" w:fill="auto"/>
            <w:noWrap/>
            <w:vAlign w:val="center"/>
          </w:tcPr>
          <w:p w14:paraId="0E6DB4B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0.1</w:t>
            </w:r>
          </w:p>
        </w:tc>
        <w:tc>
          <w:tcPr>
            <w:tcW w:w="1146" w:type="dxa"/>
            <w:tcBorders>
              <w:top w:val="nil"/>
              <w:left w:val="nil"/>
              <w:bottom w:val="nil"/>
              <w:right w:val="single" w:sz="4" w:space="0" w:color="000000"/>
            </w:tcBorders>
            <w:shd w:val="clear" w:color="auto" w:fill="auto"/>
            <w:noWrap/>
            <w:vAlign w:val="center"/>
          </w:tcPr>
          <w:p w14:paraId="21BB0728"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(0.0, 0.3)</w:t>
            </w:r>
          </w:p>
        </w:tc>
        <w:tc>
          <w:tcPr>
            <w:tcW w:w="616" w:type="dxa"/>
            <w:tcBorders>
              <w:top w:val="nil"/>
              <w:left w:val="single" w:sz="4" w:space="0" w:color="000000"/>
              <w:bottom w:val="nil"/>
              <w:right w:val="nil"/>
            </w:tcBorders>
            <w:shd w:val="clear" w:color="auto" w:fill="auto"/>
            <w:vAlign w:val="center"/>
          </w:tcPr>
          <w:p w14:paraId="1F0E5D3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w:t>
            </w:r>
          </w:p>
        </w:tc>
        <w:tc>
          <w:tcPr>
            <w:tcW w:w="567" w:type="dxa"/>
            <w:tcBorders>
              <w:top w:val="nil"/>
              <w:left w:val="nil"/>
              <w:bottom w:val="nil"/>
              <w:right w:val="nil"/>
            </w:tcBorders>
            <w:shd w:val="clear" w:color="auto" w:fill="auto"/>
            <w:vAlign w:val="center"/>
          </w:tcPr>
          <w:p w14:paraId="051B4FC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0.1</w:t>
            </w:r>
          </w:p>
        </w:tc>
        <w:tc>
          <w:tcPr>
            <w:tcW w:w="1146" w:type="dxa"/>
            <w:tcBorders>
              <w:top w:val="nil"/>
              <w:left w:val="nil"/>
              <w:bottom w:val="nil"/>
              <w:right w:val="single" w:sz="4" w:space="0" w:color="000000"/>
            </w:tcBorders>
            <w:shd w:val="clear" w:color="auto" w:fill="auto"/>
            <w:vAlign w:val="center"/>
          </w:tcPr>
          <w:p w14:paraId="03D0CA6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(0.0, 0.2)</w:t>
            </w:r>
          </w:p>
        </w:tc>
        <w:tc>
          <w:tcPr>
            <w:tcW w:w="616" w:type="dxa"/>
            <w:tcBorders>
              <w:top w:val="nil"/>
              <w:left w:val="single" w:sz="4" w:space="0" w:color="000000"/>
              <w:bottom w:val="nil"/>
              <w:right w:val="nil"/>
            </w:tcBorders>
            <w:shd w:val="clear" w:color="auto" w:fill="auto"/>
            <w:vAlign w:val="center"/>
          </w:tcPr>
          <w:p w14:paraId="7BF2B3D3"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w:t>
            </w:r>
          </w:p>
        </w:tc>
        <w:tc>
          <w:tcPr>
            <w:tcW w:w="576" w:type="dxa"/>
            <w:tcBorders>
              <w:top w:val="nil"/>
              <w:left w:val="nil"/>
              <w:bottom w:val="nil"/>
              <w:right w:val="nil"/>
            </w:tcBorders>
            <w:shd w:val="clear" w:color="auto" w:fill="auto"/>
            <w:vAlign w:val="center"/>
          </w:tcPr>
          <w:p w14:paraId="28E9AC00"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0.2</w:t>
            </w:r>
          </w:p>
        </w:tc>
        <w:tc>
          <w:tcPr>
            <w:tcW w:w="1146" w:type="dxa"/>
            <w:tcBorders>
              <w:top w:val="nil"/>
              <w:left w:val="nil"/>
              <w:bottom w:val="nil"/>
              <w:right w:val="nil"/>
            </w:tcBorders>
            <w:shd w:val="clear" w:color="auto" w:fill="auto"/>
            <w:vAlign w:val="center"/>
          </w:tcPr>
          <w:p w14:paraId="277849B4"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(0.0, 0.3)</w:t>
            </w:r>
          </w:p>
        </w:tc>
      </w:tr>
      <w:tr w:rsidR="009118DA" w:rsidRPr="008A7800" w14:paraId="122B289F"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2089AB66" w14:textId="77777777" w:rsidR="008A068A" w:rsidRPr="008A7800" w:rsidRDefault="008A068A" w:rsidP="008A068A">
            <w:pPr>
              <w:tabs>
                <w:tab w:val="left" w:pos="176"/>
              </w:tabs>
              <w:spacing w:before="20" w:after="20"/>
              <w:rPr>
                <w:rFonts w:eastAsiaTheme="minorEastAsia"/>
                <w:sz w:val="18"/>
                <w:szCs w:val="18"/>
                <w:lang w:eastAsia="en-US"/>
              </w:rPr>
            </w:pPr>
            <w:r w:rsidRPr="008A7800">
              <w:rPr>
                <w:rFonts w:eastAsiaTheme="minorEastAsia"/>
                <w:sz w:val="18"/>
                <w:szCs w:val="18"/>
                <w:lang w:eastAsia="en-US"/>
              </w:rPr>
              <w:t>Pattern of participation</w:t>
            </w:r>
          </w:p>
        </w:tc>
        <w:tc>
          <w:tcPr>
            <w:tcW w:w="666" w:type="dxa"/>
            <w:tcBorders>
              <w:top w:val="nil"/>
              <w:left w:val="nil"/>
              <w:bottom w:val="nil"/>
              <w:right w:val="nil"/>
            </w:tcBorders>
            <w:shd w:val="clear" w:color="auto" w:fill="auto"/>
            <w:noWrap/>
            <w:vAlign w:val="center"/>
          </w:tcPr>
          <w:p w14:paraId="5C811FF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67" w:type="dxa"/>
            <w:tcBorders>
              <w:top w:val="nil"/>
              <w:left w:val="nil"/>
              <w:bottom w:val="nil"/>
              <w:right w:val="nil"/>
            </w:tcBorders>
            <w:shd w:val="clear" w:color="auto" w:fill="auto"/>
            <w:noWrap/>
            <w:vAlign w:val="center"/>
          </w:tcPr>
          <w:p w14:paraId="60B39A72"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auto"/>
            </w:tcBorders>
            <w:shd w:val="clear" w:color="auto" w:fill="auto"/>
            <w:noWrap/>
            <w:vAlign w:val="center"/>
          </w:tcPr>
          <w:p w14:paraId="6538FA34"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666" w:type="dxa"/>
            <w:tcBorders>
              <w:top w:val="nil"/>
              <w:left w:val="single" w:sz="4" w:space="0" w:color="auto"/>
              <w:bottom w:val="nil"/>
              <w:right w:val="nil"/>
            </w:tcBorders>
            <w:shd w:val="clear" w:color="auto" w:fill="auto"/>
            <w:noWrap/>
            <w:vAlign w:val="center"/>
          </w:tcPr>
          <w:p w14:paraId="55E38138"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nil"/>
              <w:left w:val="nil"/>
              <w:bottom w:val="nil"/>
              <w:right w:val="nil"/>
            </w:tcBorders>
            <w:shd w:val="clear" w:color="auto" w:fill="auto"/>
            <w:noWrap/>
            <w:vAlign w:val="center"/>
          </w:tcPr>
          <w:p w14:paraId="13E1238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auto"/>
            <w:noWrap/>
            <w:vAlign w:val="center"/>
          </w:tcPr>
          <w:p w14:paraId="3F1BBD64"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616" w:type="dxa"/>
            <w:tcBorders>
              <w:top w:val="nil"/>
              <w:left w:val="single" w:sz="4" w:space="0" w:color="000000"/>
              <w:bottom w:val="nil"/>
              <w:right w:val="nil"/>
            </w:tcBorders>
            <w:shd w:val="clear" w:color="auto" w:fill="auto"/>
            <w:vAlign w:val="center"/>
          </w:tcPr>
          <w:p w14:paraId="263D81A4"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67" w:type="dxa"/>
            <w:tcBorders>
              <w:top w:val="nil"/>
              <w:left w:val="nil"/>
              <w:bottom w:val="nil"/>
              <w:right w:val="nil"/>
            </w:tcBorders>
            <w:shd w:val="clear" w:color="auto" w:fill="auto"/>
            <w:vAlign w:val="center"/>
          </w:tcPr>
          <w:p w14:paraId="20A34207"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single" w:sz="4" w:space="0" w:color="000000"/>
            </w:tcBorders>
            <w:shd w:val="clear" w:color="auto" w:fill="auto"/>
            <w:vAlign w:val="center"/>
          </w:tcPr>
          <w:p w14:paraId="3228CB07"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616" w:type="dxa"/>
            <w:tcBorders>
              <w:top w:val="nil"/>
              <w:left w:val="single" w:sz="4" w:space="0" w:color="000000"/>
              <w:bottom w:val="nil"/>
              <w:right w:val="nil"/>
            </w:tcBorders>
            <w:shd w:val="clear" w:color="auto" w:fill="auto"/>
            <w:vAlign w:val="center"/>
          </w:tcPr>
          <w:p w14:paraId="6201A621"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6" w:type="dxa"/>
            <w:tcBorders>
              <w:top w:val="nil"/>
              <w:left w:val="nil"/>
              <w:bottom w:val="nil"/>
              <w:right w:val="nil"/>
            </w:tcBorders>
            <w:shd w:val="clear" w:color="auto" w:fill="auto"/>
            <w:vAlign w:val="center"/>
          </w:tcPr>
          <w:p w14:paraId="744F30FA"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shd w:val="clear" w:color="auto" w:fill="auto"/>
            <w:vAlign w:val="center"/>
          </w:tcPr>
          <w:p w14:paraId="1D16E3BA"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8A7800" w14:paraId="5D2B4922"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1CC20B45" w14:textId="77777777" w:rsidR="008A068A" w:rsidRPr="008A7800" w:rsidRDefault="008A068A" w:rsidP="008A068A">
            <w:pPr>
              <w:tabs>
                <w:tab w:val="left" w:pos="176"/>
              </w:tabs>
              <w:spacing w:before="20" w:after="20"/>
              <w:rPr>
                <w:rFonts w:eastAsiaTheme="minorEastAsia"/>
                <w:b w:val="0"/>
                <w:sz w:val="18"/>
                <w:szCs w:val="18"/>
                <w:lang w:eastAsia="en-US"/>
              </w:rPr>
            </w:pPr>
            <w:r w:rsidRPr="008A7800">
              <w:rPr>
                <w:rFonts w:eastAsiaTheme="minorEastAsia"/>
                <w:b w:val="0"/>
                <w:sz w:val="18"/>
                <w:szCs w:val="18"/>
                <w:lang w:eastAsia="en-US"/>
              </w:rPr>
              <w:tab/>
              <w:t>No gambling in past year</w:t>
            </w:r>
          </w:p>
        </w:tc>
        <w:tc>
          <w:tcPr>
            <w:tcW w:w="666" w:type="dxa"/>
            <w:tcBorders>
              <w:top w:val="nil"/>
              <w:left w:val="nil"/>
              <w:bottom w:val="nil"/>
              <w:right w:val="nil"/>
            </w:tcBorders>
            <w:shd w:val="clear" w:color="auto" w:fill="auto"/>
            <w:noWrap/>
            <w:vAlign w:val="center"/>
          </w:tcPr>
          <w:p w14:paraId="5B370FA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1261</w:t>
            </w:r>
          </w:p>
        </w:tc>
        <w:tc>
          <w:tcPr>
            <w:tcW w:w="567" w:type="dxa"/>
            <w:tcBorders>
              <w:top w:val="nil"/>
              <w:left w:val="nil"/>
              <w:bottom w:val="nil"/>
              <w:right w:val="nil"/>
            </w:tcBorders>
            <w:shd w:val="clear" w:color="auto" w:fill="auto"/>
            <w:noWrap/>
            <w:vAlign w:val="center"/>
          </w:tcPr>
          <w:p w14:paraId="6A61A09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20.2</w:t>
            </w:r>
          </w:p>
        </w:tc>
        <w:tc>
          <w:tcPr>
            <w:tcW w:w="1146" w:type="dxa"/>
            <w:tcBorders>
              <w:top w:val="nil"/>
              <w:left w:val="nil"/>
              <w:bottom w:val="nil"/>
              <w:right w:val="single" w:sz="4" w:space="0" w:color="auto"/>
            </w:tcBorders>
            <w:shd w:val="clear" w:color="auto" w:fill="auto"/>
            <w:noWrap/>
            <w:vAlign w:val="center"/>
          </w:tcPr>
          <w:p w14:paraId="3E59950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(19.0, 21.4)</w:t>
            </w:r>
          </w:p>
        </w:tc>
        <w:tc>
          <w:tcPr>
            <w:tcW w:w="666" w:type="dxa"/>
            <w:tcBorders>
              <w:top w:val="nil"/>
              <w:left w:val="single" w:sz="4" w:space="0" w:color="auto"/>
              <w:bottom w:val="nil"/>
              <w:right w:val="nil"/>
            </w:tcBorders>
            <w:shd w:val="clear" w:color="auto" w:fill="auto"/>
            <w:noWrap/>
            <w:vAlign w:val="center"/>
          </w:tcPr>
          <w:p w14:paraId="0DB7B3F2"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828</w:t>
            </w:r>
          </w:p>
        </w:tc>
        <w:tc>
          <w:tcPr>
            <w:tcW w:w="621" w:type="dxa"/>
            <w:tcBorders>
              <w:top w:val="nil"/>
              <w:left w:val="nil"/>
              <w:bottom w:val="nil"/>
              <w:right w:val="nil"/>
            </w:tcBorders>
            <w:shd w:val="clear" w:color="auto" w:fill="auto"/>
            <w:noWrap/>
            <w:vAlign w:val="center"/>
          </w:tcPr>
          <w:p w14:paraId="5B7F026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22.1</w:t>
            </w:r>
          </w:p>
        </w:tc>
        <w:tc>
          <w:tcPr>
            <w:tcW w:w="1146" w:type="dxa"/>
            <w:tcBorders>
              <w:top w:val="nil"/>
              <w:left w:val="nil"/>
              <w:bottom w:val="nil"/>
              <w:right w:val="single" w:sz="4" w:space="0" w:color="000000"/>
            </w:tcBorders>
            <w:shd w:val="clear" w:color="auto" w:fill="auto"/>
            <w:noWrap/>
            <w:vAlign w:val="center"/>
          </w:tcPr>
          <w:p w14:paraId="328D4D04"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(20.5, 23.7)</w:t>
            </w:r>
          </w:p>
        </w:tc>
        <w:tc>
          <w:tcPr>
            <w:tcW w:w="616" w:type="dxa"/>
            <w:tcBorders>
              <w:top w:val="nil"/>
              <w:left w:val="single" w:sz="4" w:space="0" w:color="000000"/>
              <w:bottom w:val="nil"/>
              <w:right w:val="nil"/>
            </w:tcBorders>
            <w:shd w:val="clear" w:color="auto" w:fill="auto"/>
            <w:vAlign w:val="center"/>
          </w:tcPr>
          <w:p w14:paraId="71D0737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728</w:t>
            </w:r>
          </w:p>
        </w:tc>
        <w:tc>
          <w:tcPr>
            <w:tcW w:w="567" w:type="dxa"/>
            <w:tcBorders>
              <w:top w:val="nil"/>
              <w:left w:val="nil"/>
              <w:bottom w:val="nil"/>
              <w:right w:val="nil"/>
            </w:tcBorders>
            <w:shd w:val="clear" w:color="auto" w:fill="auto"/>
            <w:vAlign w:val="center"/>
          </w:tcPr>
          <w:p w14:paraId="64EB3E8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23.3</w:t>
            </w:r>
          </w:p>
        </w:tc>
        <w:tc>
          <w:tcPr>
            <w:tcW w:w="1146" w:type="dxa"/>
            <w:tcBorders>
              <w:top w:val="nil"/>
              <w:left w:val="nil"/>
              <w:bottom w:val="nil"/>
              <w:right w:val="single" w:sz="4" w:space="0" w:color="000000"/>
            </w:tcBorders>
            <w:shd w:val="clear" w:color="auto" w:fill="auto"/>
            <w:vAlign w:val="center"/>
          </w:tcPr>
          <w:p w14:paraId="2FC9A86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(21.4, 25.2)</w:t>
            </w:r>
          </w:p>
        </w:tc>
        <w:tc>
          <w:tcPr>
            <w:tcW w:w="616" w:type="dxa"/>
            <w:tcBorders>
              <w:top w:val="nil"/>
              <w:left w:val="single" w:sz="4" w:space="0" w:color="000000"/>
              <w:bottom w:val="nil"/>
              <w:right w:val="nil"/>
            </w:tcBorders>
            <w:shd w:val="clear" w:color="auto" w:fill="auto"/>
            <w:vAlign w:val="center"/>
          </w:tcPr>
          <w:p w14:paraId="664EC445"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695</w:t>
            </w:r>
          </w:p>
        </w:tc>
        <w:tc>
          <w:tcPr>
            <w:tcW w:w="576" w:type="dxa"/>
            <w:tcBorders>
              <w:top w:val="nil"/>
              <w:left w:val="nil"/>
              <w:bottom w:val="nil"/>
              <w:right w:val="nil"/>
            </w:tcBorders>
            <w:shd w:val="clear" w:color="auto" w:fill="auto"/>
            <w:vAlign w:val="center"/>
          </w:tcPr>
          <w:p w14:paraId="76CC7C21"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25.1</w:t>
            </w:r>
          </w:p>
        </w:tc>
        <w:tc>
          <w:tcPr>
            <w:tcW w:w="1146" w:type="dxa"/>
            <w:tcBorders>
              <w:top w:val="nil"/>
              <w:left w:val="nil"/>
              <w:bottom w:val="nil"/>
              <w:right w:val="nil"/>
            </w:tcBorders>
            <w:shd w:val="clear" w:color="auto" w:fill="auto"/>
            <w:vAlign w:val="center"/>
          </w:tcPr>
          <w:p w14:paraId="1DC301DD"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(23.0, 27.2)</w:t>
            </w:r>
          </w:p>
        </w:tc>
      </w:tr>
      <w:tr w:rsidR="009118DA" w:rsidRPr="008A7800" w14:paraId="023B86F0"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60A192FD" w14:textId="77777777" w:rsidR="008A068A" w:rsidRPr="008A7800" w:rsidRDefault="008A068A" w:rsidP="008A068A">
            <w:pPr>
              <w:tabs>
                <w:tab w:val="left" w:pos="176"/>
              </w:tabs>
              <w:spacing w:before="20" w:after="20"/>
              <w:rPr>
                <w:rFonts w:eastAsiaTheme="minorEastAsia"/>
                <w:b w:val="0"/>
                <w:sz w:val="18"/>
                <w:szCs w:val="18"/>
                <w:lang w:eastAsia="en-US"/>
              </w:rPr>
            </w:pPr>
            <w:r w:rsidRPr="008A7800">
              <w:rPr>
                <w:rFonts w:eastAsiaTheme="minorEastAsia"/>
                <w:b w:val="0"/>
                <w:sz w:val="18"/>
                <w:szCs w:val="18"/>
                <w:lang w:eastAsia="en-US"/>
              </w:rPr>
              <w:tab/>
              <w:t>Infrequent gambler</w:t>
            </w:r>
          </w:p>
        </w:tc>
        <w:tc>
          <w:tcPr>
            <w:tcW w:w="666" w:type="dxa"/>
            <w:tcBorders>
              <w:top w:val="nil"/>
              <w:left w:val="nil"/>
              <w:bottom w:val="nil"/>
              <w:right w:val="nil"/>
            </w:tcBorders>
            <w:shd w:val="clear" w:color="auto" w:fill="auto"/>
            <w:noWrap/>
            <w:vAlign w:val="center"/>
          </w:tcPr>
          <w:p w14:paraId="3190D47E"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3590</w:t>
            </w:r>
          </w:p>
        </w:tc>
        <w:tc>
          <w:tcPr>
            <w:tcW w:w="567" w:type="dxa"/>
            <w:tcBorders>
              <w:top w:val="nil"/>
              <w:left w:val="nil"/>
              <w:bottom w:val="nil"/>
              <w:right w:val="nil"/>
            </w:tcBorders>
            <w:shd w:val="clear" w:color="auto" w:fill="auto"/>
            <w:noWrap/>
            <w:vAlign w:val="center"/>
          </w:tcPr>
          <w:p w14:paraId="1C34C4C9"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57.4</w:t>
            </w:r>
          </w:p>
        </w:tc>
        <w:tc>
          <w:tcPr>
            <w:tcW w:w="1146" w:type="dxa"/>
            <w:tcBorders>
              <w:top w:val="nil"/>
              <w:left w:val="nil"/>
              <w:bottom w:val="nil"/>
              <w:right w:val="single" w:sz="4" w:space="0" w:color="auto"/>
            </w:tcBorders>
            <w:shd w:val="clear" w:color="auto" w:fill="auto"/>
            <w:noWrap/>
            <w:vAlign w:val="center"/>
          </w:tcPr>
          <w:p w14:paraId="2F6E12C9"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(56.0, 58.9)</w:t>
            </w:r>
          </w:p>
        </w:tc>
        <w:tc>
          <w:tcPr>
            <w:tcW w:w="666" w:type="dxa"/>
            <w:tcBorders>
              <w:top w:val="nil"/>
              <w:left w:val="single" w:sz="4" w:space="0" w:color="auto"/>
              <w:bottom w:val="nil"/>
              <w:right w:val="nil"/>
            </w:tcBorders>
            <w:shd w:val="clear" w:color="auto" w:fill="auto"/>
            <w:noWrap/>
            <w:vAlign w:val="center"/>
          </w:tcPr>
          <w:p w14:paraId="2CD3729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2141</w:t>
            </w:r>
          </w:p>
        </w:tc>
        <w:tc>
          <w:tcPr>
            <w:tcW w:w="621" w:type="dxa"/>
            <w:tcBorders>
              <w:top w:val="nil"/>
              <w:left w:val="nil"/>
              <w:bottom w:val="nil"/>
              <w:right w:val="nil"/>
            </w:tcBorders>
            <w:shd w:val="clear" w:color="auto" w:fill="auto"/>
            <w:noWrap/>
            <w:vAlign w:val="center"/>
          </w:tcPr>
          <w:p w14:paraId="46E03FA8"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57.1</w:t>
            </w:r>
          </w:p>
        </w:tc>
        <w:tc>
          <w:tcPr>
            <w:tcW w:w="1146" w:type="dxa"/>
            <w:tcBorders>
              <w:top w:val="nil"/>
              <w:left w:val="nil"/>
              <w:bottom w:val="nil"/>
              <w:right w:val="single" w:sz="4" w:space="0" w:color="000000"/>
            </w:tcBorders>
            <w:shd w:val="clear" w:color="auto" w:fill="auto"/>
            <w:noWrap/>
            <w:vAlign w:val="center"/>
          </w:tcPr>
          <w:p w14:paraId="23F6F556"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(55.3, 59.0)</w:t>
            </w:r>
          </w:p>
        </w:tc>
        <w:tc>
          <w:tcPr>
            <w:tcW w:w="616" w:type="dxa"/>
            <w:tcBorders>
              <w:top w:val="nil"/>
              <w:left w:val="single" w:sz="4" w:space="0" w:color="000000"/>
              <w:bottom w:val="nil"/>
              <w:right w:val="nil"/>
            </w:tcBorders>
            <w:shd w:val="clear" w:color="auto" w:fill="auto"/>
            <w:vAlign w:val="center"/>
          </w:tcPr>
          <w:p w14:paraId="542EADE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1765</w:t>
            </w:r>
          </w:p>
        </w:tc>
        <w:tc>
          <w:tcPr>
            <w:tcW w:w="567" w:type="dxa"/>
            <w:tcBorders>
              <w:top w:val="nil"/>
              <w:left w:val="nil"/>
              <w:bottom w:val="nil"/>
              <w:right w:val="nil"/>
            </w:tcBorders>
            <w:shd w:val="clear" w:color="auto" w:fill="auto"/>
            <w:vAlign w:val="center"/>
          </w:tcPr>
          <w:p w14:paraId="1DD2193D"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56.5</w:t>
            </w:r>
          </w:p>
        </w:tc>
        <w:tc>
          <w:tcPr>
            <w:tcW w:w="1146" w:type="dxa"/>
            <w:tcBorders>
              <w:top w:val="nil"/>
              <w:left w:val="nil"/>
              <w:bottom w:val="nil"/>
              <w:right w:val="single" w:sz="4" w:space="0" w:color="000000"/>
            </w:tcBorders>
            <w:shd w:val="clear" w:color="auto" w:fill="auto"/>
            <w:vAlign w:val="center"/>
          </w:tcPr>
          <w:p w14:paraId="201EF3F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(54.4, 58.7)</w:t>
            </w:r>
          </w:p>
        </w:tc>
        <w:tc>
          <w:tcPr>
            <w:tcW w:w="616" w:type="dxa"/>
            <w:tcBorders>
              <w:top w:val="nil"/>
              <w:left w:val="single" w:sz="4" w:space="0" w:color="000000"/>
              <w:bottom w:val="nil"/>
              <w:right w:val="nil"/>
            </w:tcBorders>
            <w:shd w:val="clear" w:color="auto" w:fill="auto"/>
            <w:vAlign w:val="center"/>
          </w:tcPr>
          <w:p w14:paraId="5E82AE36"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1562</w:t>
            </w:r>
          </w:p>
        </w:tc>
        <w:tc>
          <w:tcPr>
            <w:tcW w:w="576" w:type="dxa"/>
            <w:tcBorders>
              <w:top w:val="nil"/>
              <w:left w:val="nil"/>
              <w:bottom w:val="nil"/>
              <w:right w:val="nil"/>
            </w:tcBorders>
            <w:shd w:val="clear" w:color="auto" w:fill="auto"/>
            <w:vAlign w:val="center"/>
          </w:tcPr>
          <w:p w14:paraId="56623923"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56.4</w:t>
            </w:r>
          </w:p>
        </w:tc>
        <w:tc>
          <w:tcPr>
            <w:tcW w:w="1146" w:type="dxa"/>
            <w:tcBorders>
              <w:top w:val="nil"/>
              <w:left w:val="nil"/>
              <w:bottom w:val="nil"/>
              <w:right w:val="nil"/>
            </w:tcBorders>
            <w:shd w:val="clear" w:color="auto" w:fill="auto"/>
            <w:vAlign w:val="center"/>
          </w:tcPr>
          <w:p w14:paraId="1136E6A8"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(54.1, 58.7)</w:t>
            </w:r>
          </w:p>
        </w:tc>
      </w:tr>
      <w:tr w:rsidR="009118DA" w:rsidRPr="008A7800" w14:paraId="37F99ED5"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40B458BD" w14:textId="77777777" w:rsidR="008A068A" w:rsidRPr="008A7800" w:rsidRDefault="008A068A" w:rsidP="008A068A">
            <w:pPr>
              <w:tabs>
                <w:tab w:val="left" w:pos="318"/>
              </w:tabs>
              <w:spacing w:before="20" w:after="20"/>
              <w:ind w:left="176" w:hanging="176"/>
              <w:rPr>
                <w:rFonts w:eastAsiaTheme="minorEastAsia"/>
                <w:b w:val="0"/>
                <w:sz w:val="18"/>
                <w:szCs w:val="18"/>
                <w:lang w:eastAsia="en-US"/>
              </w:rPr>
            </w:pPr>
            <w:r w:rsidRPr="008A7800">
              <w:rPr>
                <w:rFonts w:eastAsiaTheme="minorEastAsia"/>
                <w:b w:val="0"/>
                <w:sz w:val="18"/>
                <w:szCs w:val="18"/>
                <w:lang w:eastAsia="en-US"/>
              </w:rPr>
              <w:tab/>
              <w:t>Regular non-continuous gambler</w:t>
            </w:r>
          </w:p>
        </w:tc>
        <w:tc>
          <w:tcPr>
            <w:tcW w:w="666" w:type="dxa"/>
            <w:tcBorders>
              <w:top w:val="nil"/>
              <w:left w:val="nil"/>
              <w:bottom w:val="nil"/>
              <w:right w:val="nil"/>
            </w:tcBorders>
            <w:shd w:val="clear" w:color="auto" w:fill="auto"/>
            <w:noWrap/>
            <w:vAlign w:val="center"/>
          </w:tcPr>
          <w:p w14:paraId="61BD234D"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1007</w:t>
            </w:r>
          </w:p>
        </w:tc>
        <w:tc>
          <w:tcPr>
            <w:tcW w:w="567" w:type="dxa"/>
            <w:tcBorders>
              <w:top w:val="nil"/>
              <w:left w:val="nil"/>
              <w:bottom w:val="nil"/>
              <w:right w:val="nil"/>
            </w:tcBorders>
            <w:shd w:val="clear" w:color="auto" w:fill="auto"/>
            <w:noWrap/>
            <w:vAlign w:val="center"/>
          </w:tcPr>
          <w:p w14:paraId="30002D3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16.1</w:t>
            </w:r>
          </w:p>
        </w:tc>
        <w:tc>
          <w:tcPr>
            <w:tcW w:w="1146" w:type="dxa"/>
            <w:tcBorders>
              <w:top w:val="nil"/>
              <w:left w:val="nil"/>
              <w:bottom w:val="nil"/>
              <w:right w:val="single" w:sz="4" w:space="0" w:color="auto"/>
            </w:tcBorders>
            <w:shd w:val="clear" w:color="auto" w:fill="auto"/>
            <w:noWrap/>
            <w:vAlign w:val="center"/>
          </w:tcPr>
          <w:p w14:paraId="11D48F6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(15.1, 17.1)</w:t>
            </w:r>
          </w:p>
        </w:tc>
        <w:tc>
          <w:tcPr>
            <w:tcW w:w="666" w:type="dxa"/>
            <w:tcBorders>
              <w:top w:val="nil"/>
              <w:left w:val="single" w:sz="4" w:space="0" w:color="auto"/>
              <w:bottom w:val="nil"/>
              <w:right w:val="nil"/>
            </w:tcBorders>
            <w:shd w:val="clear" w:color="auto" w:fill="auto"/>
            <w:noWrap/>
            <w:vAlign w:val="center"/>
          </w:tcPr>
          <w:p w14:paraId="228EEB4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548</w:t>
            </w:r>
          </w:p>
        </w:tc>
        <w:tc>
          <w:tcPr>
            <w:tcW w:w="621" w:type="dxa"/>
            <w:tcBorders>
              <w:top w:val="nil"/>
              <w:left w:val="nil"/>
              <w:bottom w:val="nil"/>
              <w:right w:val="nil"/>
            </w:tcBorders>
            <w:shd w:val="clear" w:color="auto" w:fill="auto"/>
            <w:noWrap/>
            <w:vAlign w:val="center"/>
          </w:tcPr>
          <w:p w14:paraId="5FE5538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14.6</w:t>
            </w:r>
          </w:p>
        </w:tc>
        <w:tc>
          <w:tcPr>
            <w:tcW w:w="1146" w:type="dxa"/>
            <w:tcBorders>
              <w:top w:val="nil"/>
              <w:left w:val="nil"/>
              <w:bottom w:val="nil"/>
              <w:right w:val="single" w:sz="4" w:space="0" w:color="000000"/>
            </w:tcBorders>
            <w:shd w:val="clear" w:color="auto" w:fill="auto"/>
            <w:noWrap/>
            <w:vAlign w:val="center"/>
          </w:tcPr>
          <w:p w14:paraId="7BC2D748"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(13.4, 15.9)</w:t>
            </w:r>
          </w:p>
        </w:tc>
        <w:tc>
          <w:tcPr>
            <w:tcW w:w="616" w:type="dxa"/>
            <w:tcBorders>
              <w:top w:val="nil"/>
              <w:left w:val="single" w:sz="4" w:space="0" w:color="000000"/>
              <w:bottom w:val="nil"/>
              <w:right w:val="nil"/>
            </w:tcBorders>
            <w:shd w:val="clear" w:color="auto" w:fill="auto"/>
            <w:vAlign w:val="center"/>
          </w:tcPr>
          <w:p w14:paraId="7CC9D28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477</w:t>
            </w:r>
          </w:p>
        </w:tc>
        <w:tc>
          <w:tcPr>
            <w:tcW w:w="567" w:type="dxa"/>
            <w:tcBorders>
              <w:top w:val="nil"/>
              <w:left w:val="nil"/>
              <w:bottom w:val="nil"/>
              <w:right w:val="nil"/>
            </w:tcBorders>
            <w:shd w:val="clear" w:color="auto" w:fill="auto"/>
            <w:vAlign w:val="center"/>
          </w:tcPr>
          <w:p w14:paraId="659F4C8D"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15.3</w:t>
            </w:r>
          </w:p>
        </w:tc>
        <w:tc>
          <w:tcPr>
            <w:tcW w:w="1146" w:type="dxa"/>
            <w:tcBorders>
              <w:top w:val="nil"/>
              <w:left w:val="nil"/>
              <w:bottom w:val="nil"/>
              <w:right w:val="single" w:sz="4" w:space="0" w:color="000000"/>
            </w:tcBorders>
            <w:shd w:val="clear" w:color="auto" w:fill="auto"/>
            <w:vAlign w:val="center"/>
          </w:tcPr>
          <w:p w14:paraId="2B48BBA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(13.8, 16.7)</w:t>
            </w:r>
          </w:p>
        </w:tc>
        <w:tc>
          <w:tcPr>
            <w:tcW w:w="616" w:type="dxa"/>
            <w:tcBorders>
              <w:top w:val="nil"/>
              <w:left w:val="single" w:sz="4" w:space="0" w:color="000000"/>
              <w:bottom w:val="nil"/>
              <w:right w:val="nil"/>
            </w:tcBorders>
            <w:shd w:val="clear" w:color="auto" w:fill="auto"/>
            <w:vAlign w:val="center"/>
          </w:tcPr>
          <w:p w14:paraId="2052D360"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375</w:t>
            </w:r>
          </w:p>
        </w:tc>
        <w:tc>
          <w:tcPr>
            <w:tcW w:w="576" w:type="dxa"/>
            <w:tcBorders>
              <w:top w:val="nil"/>
              <w:left w:val="nil"/>
              <w:bottom w:val="nil"/>
              <w:right w:val="nil"/>
            </w:tcBorders>
            <w:shd w:val="clear" w:color="auto" w:fill="auto"/>
            <w:vAlign w:val="center"/>
          </w:tcPr>
          <w:p w14:paraId="2483D315"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13.5</w:t>
            </w:r>
          </w:p>
        </w:tc>
        <w:tc>
          <w:tcPr>
            <w:tcW w:w="1146" w:type="dxa"/>
            <w:tcBorders>
              <w:top w:val="nil"/>
              <w:left w:val="nil"/>
              <w:bottom w:val="nil"/>
              <w:right w:val="nil"/>
            </w:tcBorders>
            <w:shd w:val="clear" w:color="auto" w:fill="auto"/>
            <w:vAlign w:val="center"/>
          </w:tcPr>
          <w:p w14:paraId="704591DC"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(12.1, 14.9)</w:t>
            </w:r>
          </w:p>
        </w:tc>
      </w:tr>
      <w:tr w:rsidR="009118DA" w:rsidRPr="008A7800" w14:paraId="292E0139"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7E4F193B" w14:textId="77777777" w:rsidR="008A068A" w:rsidRPr="008A7800" w:rsidRDefault="008A068A" w:rsidP="008A7800">
            <w:pPr>
              <w:spacing w:before="20" w:after="40"/>
              <w:ind w:left="176"/>
              <w:rPr>
                <w:rFonts w:eastAsiaTheme="minorEastAsia"/>
                <w:b w:val="0"/>
                <w:sz w:val="18"/>
                <w:szCs w:val="18"/>
                <w:lang w:eastAsia="en-US"/>
              </w:rPr>
            </w:pPr>
            <w:r w:rsidRPr="008A7800">
              <w:rPr>
                <w:rFonts w:eastAsiaTheme="minorEastAsia"/>
                <w:b w:val="0"/>
                <w:sz w:val="18"/>
                <w:szCs w:val="18"/>
                <w:lang w:eastAsia="en-US"/>
              </w:rPr>
              <w:t xml:space="preserve">Regular continuous </w:t>
            </w:r>
            <w:r w:rsidR="008A7800">
              <w:rPr>
                <w:rFonts w:eastAsiaTheme="minorEastAsia"/>
                <w:b w:val="0"/>
                <w:sz w:val="18"/>
                <w:szCs w:val="18"/>
                <w:lang w:eastAsia="en-US"/>
              </w:rPr>
              <w:t>g</w:t>
            </w:r>
            <w:r w:rsidRPr="008A7800">
              <w:rPr>
                <w:rFonts w:eastAsiaTheme="minorEastAsia"/>
                <w:b w:val="0"/>
                <w:sz w:val="18"/>
                <w:szCs w:val="18"/>
                <w:lang w:eastAsia="en-US"/>
              </w:rPr>
              <w:t>ambler</w:t>
            </w:r>
          </w:p>
        </w:tc>
        <w:tc>
          <w:tcPr>
            <w:tcW w:w="666" w:type="dxa"/>
            <w:tcBorders>
              <w:top w:val="nil"/>
              <w:left w:val="nil"/>
              <w:bottom w:val="nil"/>
              <w:right w:val="nil"/>
            </w:tcBorders>
            <w:shd w:val="clear" w:color="auto" w:fill="auto"/>
            <w:noWrap/>
            <w:vAlign w:val="center"/>
          </w:tcPr>
          <w:p w14:paraId="3B87F40E"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393</w:t>
            </w:r>
          </w:p>
        </w:tc>
        <w:tc>
          <w:tcPr>
            <w:tcW w:w="567" w:type="dxa"/>
            <w:tcBorders>
              <w:top w:val="nil"/>
              <w:left w:val="nil"/>
              <w:bottom w:val="nil"/>
              <w:right w:val="nil"/>
            </w:tcBorders>
            <w:shd w:val="clear" w:color="auto" w:fill="auto"/>
            <w:noWrap/>
            <w:vAlign w:val="center"/>
          </w:tcPr>
          <w:p w14:paraId="69AA8E3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6.3</w:t>
            </w:r>
          </w:p>
        </w:tc>
        <w:tc>
          <w:tcPr>
            <w:tcW w:w="1146" w:type="dxa"/>
            <w:tcBorders>
              <w:top w:val="nil"/>
              <w:left w:val="nil"/>
              <w:bottom w:val="nil"/>
              <w:right w:val="single" w:sz="4" w:space="0" w:color="auto"/>
            </w:tcBorders>
            <w:shd w:val="clear" w:color="auto" w:fill="auto"/>
            <w:noWrap/>
            <w:vAlign w:val="center"/>
          </w:tcPr>
          <w:p w14:paraId="4F1F62C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(5.6, 7.0)</w:t>
            </w:r>
          </w:p>
        </w:tc>
        <w:tc>
          <w:tcPr>
            <w:tcW w:w="666" w:type="dxa"/>
            <w:tcBorders>
              <w:top w:val="nil"/>
              <w:left w:val="single" w:sz="4" w:space="0" w:color="auto"/>
              <w:bottom w:val="nil"/>
              <w:right w:val="nil"/>
            </w:tcBorders>
            <w:shd w:val="clear" w:color="auto" w:fill="auto"/>
            <w:noWrap/>
            <w:vAlign w:val="center"/>
          </w:tcPr>
          <w:p w14:paraId="021D0AA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229</w:t>
            </w:r>
          </w:p>
        </w:tc>
        <w:tc>
          <w:tcPr>
            <w:tcW w:w="621" w:type="dxa"/>
            <w:tcBorders>
              <w:top w:val="nil"/>
              <w:left w:val="nil"/>
              <w:bottom w:val="nil"/>
              <w:right w:val="nil"/>
            </w:tcBorders>
            <w:shd w:val="clear" w:color="auto" w:fill="auto"/>
            <w:noWrap/>
            <w:vAlign w:val="center"/>
          </w:tcPr>
          <w:p w14:paraId="2F2DFEB6"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6.1</w:t>
            </w:r>
          </w:p>
        </w:tc>
        <w:tc>
          <w:tcPr>
            <w:tcW w:w="1146" w:type="dxa"/>
            <w:tcBorders>
              <w:top w:val="nil"/>
              <w:left w:val="nil"/>
              <w:bottom w:val="nil"/>
              <w:right w:val="single" w:sz="4" w:space="0" w:color="000000"/>
            </w:tcBorders>
            <w:shd w:val="clear" w:color="auto" w:fill="auto"/>
            <w:noWrap/>
            <w:vAlign w:val="center"/>
          </w:tcPr>
          <w:p w14:paraId="12914A6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(5.2, 7.0)</w:t>
            </w:r>
          </w:p>
        </w:tc>
        <w:tc>
          <w:tcPr>
            <w:tcW w:w="616" w:type="dxa"/>
            <w:tcBorders>
              <w:top w:val="nil"/>
              <w:left w:val="single" w:sz="4" w:space="0" w:color="000000"/>
              <w:bottom w:val="nil"/>
              <w:right w:val="nil"/>
            </w:tcBorders>
            <w:shd w:val="clear" w:color="auto" w:fill="auto"/>
            <w:vAlign w:val="center"/>
          </w:tcPr>
          <w:p w14:paraId="6ADF804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154</w:t>
            </w:r>
          </w:p>
        </w:tc>
        <w:tc>
          <w:tcPr>
            <w:tcW w:w="567" w:type="dxa"/>
            <w:tcBorders>
              <w:top w:val="nil"/>
              <w:left w:val="nil"/>
              <w:bottom w:val="nil"/>
              <w:right w:val="nil"/>
            </w:tcBorders>
            <w:shd w:val="clear" w:color="auto" w:fill="auto"/>
            <w:vAlign w:val="center"/>
          </w:tcPr>
          <w:p w14:paraId="1B48BBC6"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4.9</w:t>
            </w:r>
          </w:p>
        </w:tc>
        <w:tc>
          <w:tcPr>
            <w:tcW w:w="1146" w:type="dxa"/>
            <w:tcBorders>
              <w:top w:val="nil"/>
              <w:left w:val="nil"/>
              <w:bottom w:val="nil"/>
              <w:right w:val="single" w:sz="4" w:space="0" w:color="000000"/>
            </w:tcBorders>
            <w:shd w:val="clear" w:color="auto" w:fill="auto"/>
            <w:vAlign w:val="center"/>
          </w:tcPr>
          <w:p w14:paraId="5058533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(4.1, 5.8)</w:t>
            </w:r>
          </w:p>
        </w:tc>
        <w:tc>
          <w:tcPr>
            <w:tcW w:w="616" w:type="dxa"/>
            <w:tcBorders>
              <w:top w:val="nil"/>
              <w:left w:val="single" w:sz="4" w:space="0" w:color="000000"/>
              <w:bottom w:val="nil"/>
              <w:right w:val="nil"/>
            </w:tcBorders>
            <w:shd w:val="clear" w:color="auto" w:fill="auto"/>
            <w:vAlign w:val="center"/>
          </w:tcPr>
          <w:p w14:paraId="677CB52D"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137</w:t>
            </w:r>
          </w:p>
        </w:tc>
        <w:tc>
          <w:tcPr>
            <w:tcW w:w="576" w:type="dxa"/>
            <w:tcBorders>
              <w:top w:val="nil"/>
              <w:left w:val="nil"/>
              <w:bottom w:val="nil"/>
              <w:right w:val="nil"/>
            </w:tcBorders>
            <w:shd w:val="clear" w:color="auto" w:fill="auto"/>
            <w:vAlign w:val="center"/>
          </w:tcPr>
          <w:p w14:paraId="363F5D89"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5.0</w:t>
            </w:r>
          </w:p>
        </w:tc>
        <w:tc>
          <w:tcPr>
            <w:tcW w:w="1146" w:type="dxa"/>
            <w:tcBorders>
              <w:top w:val="nil"/>
              <w:left w:val="nil"/>
              <w:bottom w:val="nil"/>
              <w:right w:val="nil"/>
            </w:tcBorders>
            <w:shd w:val="clear" w:color="auto" w:fill="auto"/>
            <w:vAlign w:val="center"/>
          </w:tcPr>
          <w:p w14:paraId="37F4109C"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(4.0, 5.9)</w:t>
            </w:r>
          </w:p>
        </w:tc>
      </w:tr>
      <w:tr w:rsidR="009118DA" w:rsidRPr="008A7800" w14:paraId="56812FA4"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64F1A54C" w14:textId="77777777" w:rsidR="008A068A" w:rsidRPr="008A7800" w:rsidRDefault="008A068A" w:rsidP="008A068A">
            <w:pPr>
              <w:spacing w:before="20" w:after="20"/>
              <w:rPr>
                <w:rFonts w:eastAsiaTheme="minorEastAsia"/>
                <w:sz w:val="18"/>
                <w:szCs w:val="18"/>
                <w:lang w:eastAsia="en-US"/>
              </w:rPr>
            </w:pPr>
            <w:r w:rsidRPr="008A7800">
              <w:rPr>
                <w:rFonts w:eastAsiaTheme="minorEastAsia"/>
                <w:sz w:val="18"/>
                <w:szCs w:val="18"/>
                <w:lang w:eastAsia="en-US"/>
              </w:rPr>
              <w:t>Gambling frequency</w:t>
            </w:r>
          </w:p>
        </w:tc>
        <w:tc>
          <w:tcPr>
            <w:tcW w:w="666" w:type="dxa"/>
            <w:tcBorders>
              <w:top w:val="nil"/>
              <w:left w:val="nil"/>
              <w:bottom w:val="nil"/>
              <w:right w:val="nil"/>
            </w:tcBorders>
            <w:shd w:val="clear" w:color="auto" w:fill="auto"/>
            <w:noWrap/>
            <w:vAlign w:val="center"/>
          </w:tcPr>
          <w:p w14:paraId="255F3A4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67" w:type="dxa"/>
            <w:tcBorders>
              <w:top w:val="nil"/>
              <w:left w:val="nil"/>
              <w:bottom w:val="nil"/>
              <w:right w:val="nil"/>
            </w:tcBorders>
            <w:shd w:val="clear" w:color="auto" w:fill="auto"/>
            <w:noWrap/>
            <w:vAlign w:val="center"/>
          </w:tcPr>
          <w:p w14:paraId="514BEF04"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auto"/>
            </w:tcBorders>
            <w:shd w:val="clear" w:color="auto" w:fill="auto"/>
            <w:noWrap/>
            <w:vAlign w:val="center"/>
          </w:tcPr>
          <w:p w14:paraId="691D46E4"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66" w:type="dxa"/>
            <w:tcBorders>
              <w:top w:val="nil"/>
              <w:left w:val="single" w:sz="4" w:space="0" w:color="auto"/>
              <w:bottom w:val="nil"/>
              <w:right w:val="nil"/>
            </w:tcBorders>
            <w:shd w:val="clear" w:color="auto" w:fill="auto"/>
            <w:noWrap/>
            <w:vAlign w:val="center"/>
          </w:tcPr>
          <w:p w14:paraId="23357BE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nil"/>
              <w:left w:val="nil"/>
              <w:bottom w:val="nil"/>
              <w:right w:val="nil"/>
            </w:tcBorders>
            <w:shd w:val="clear" w:color="auto" w:fill="auto"/>
            <w:noWrap/>
            <w:vAlign w:val="center"/>
          </w:tcPr>
          <w:p w14:paraId="55DE6BE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auto"/>
            <w:noWrap/>
            <w:vAlign w:val="center"/>
          </w:tcPr>
          <w:p w14:paraId="50DDB4B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616" w:type="dxa"/>
            <w:tcBorders>
              <w:top w:val="nil"/>
              <w:left w:val="single" w:sz="4" w:space="0" w:color="000000"/>
              <w:bottom w:val="nil"/>
              <w:right w:val="nil"/>
            </w:tcBorders>
            <w:shd w:val="clear" w:color="auto" w:fill="auto"/>
            <w:vAlign w:val="center"/>
          </w:tcPr>
          <w:p w14:paraId="646999E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67" w:type="dxa"/>
            <w:tcBorders>
              <w:top w:val="nil"/>
              <w:left w:val="nil"/>
              <w:bottom w:val="nil"/>
              <w:right w:val="nil"/>
            </w:tcBorders>
            <w:shd w:val="clear" w:color="auto" w:fill="auto"/>
            <w:vAlign w:val="center"/>
          </w:tcPr>
          <w:p w14:paraId="424133B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single" w:sz="4" w:space="0" w:color="000000"/>
            </w:tcBorders>
            <w:shd w:val="clear" w:color="auto" w:fill="auto"/>
            <w:vAlign w:val="center"/>
          </w:tcPr>
          <w:p w14:paraId="5A68D6CE"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616" w:type="dxa"/>
            <w:tcBorders>
              <w:top w:val="nil"/>
              <w:left w:val="single" w:sz="4" w:space="0" w:color="000000"/>
              <w:bottom w:val="nil"/>
              <w:right w:val="nil"/>
            </w:tcBorders>
            <w:shd w:val="clear" w:color="auto" w:fill="auto"/>
            <w:vAlign w:val="center"/>
          </w:tcPr>
          <w:p w14:paraId="03057DF2"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6" w:type="dxa"/>
            <w:tcBorders>
              <w:top w:val="nil"/>
              <w:left w:val="nil"/>
              <w:bottom w:val="nil"/>
              <w:right w:val="nil"/>
            </w:tcBorders>
            <w:shd w:val="clear" w:color="auto" w:fill="auto"/>
            <w:vAlign w:val="center"/>
          </w:tcPr>
          <w:p w14:paraId="04BD6FFB"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shd w:val="clear" w:color="auto" w:fill="auto"/>
            <w:vAlign w:val="center"/>
          </w:tcPr>
          <w:p w14:paraId="727D931A"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8A7800" w14:paraId="7745BA25"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350D842A" w14:textId="77777777" w:rsidR="008A068A" w:rsidRPr="008A7800" w:rsidRDefault="008A068A" w:rsidP="008A068A">
            <w:pPr>
              <w:tabs>
                <w:tab w:val="left" w:pos="205"/>
              </w:tabs>
              <w:spacing w:before="20" w:after="20"/>
              <w:rPr>
                <w:rFonts w:eastAsiaTheme="minorEastAsia"/>
                <w:b w:val="0"/>
                <w:sz w:val="18"/>
                <w:szCs w:val="18"/>
                <w:lang w:eastAsia="en-US"/>
              </w:rPr>
            </w:pPr>
            <w:r w:rsidRPr="008A7800">
              <w:rPr>
                <w:rFonts w:eastAsiaTheme="minorEastAsia"/>
                <w:b w:val="0"/>
                <w:sz w:val="18"/>
                <w:szCs w:val="18"/>
                <w:lang w:eastAsia="en-US"/>
              </w:rPr>
              <w:tab/>
              <w:t>No gambling in past year</w:t>
            </w:r>
          </w:p>
        </w:tc>
        <w:tc>
          <w:tcPr>
            <w:tcW w:w="666" w:type="dxa"/>
            <w:tcBorders>
              <w:top w:val="nil"/>
              <w:left w:val="nil"/>
              <w:bottom w:val="nil"/>
              <w:right w:val="nil"/>
            </w:tcBorders>
            <w:shd w:val="clear" w:color="auto" w:fill="auto"/>
            <w:noWrap/>
            <w:vAlign w:val="center"/>
          </w:tcPr>
          <w:p w14:paraId="6294141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1261</w:t>
            </w:r>
          </w:p>
        </w:tc>
        <w:tc>
          <w:tcPr>
            <w:tcW w:w="567" w:type="dxa"/>
            <w:tcBorders>
              <w:top w:val="nil"/>
              <w:left w:val="nil"/>
              <w:bottom w:val="nil"/>
              <w:right w:val="nil"/>
            </w:tcBorders>
            <w:shd w:val="clear" w:color="auto" w:fill="auto"/>
            <w:noWrap/>
            <w:vAlign w:val="center"/>
          </w:tcPr>
          <w:p w14:paraId="65D30E6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20.2</w:t>
            </w:r>
          </w:p>
        </w:tc>
        <w:tc>
          <w:tcPr>
            <w:tcW w:w="1146" w:type="dxa"/>
            <w:tcBorders>
              <w:top w:val="nil"/>
              <w:left w:val="nil"/>
              <w:bottom w:val="nil"/>
              <w:right w:val="single" w:sz="4" w:space="0" w:color="auto"/>
            </w:tcBorders>
            <w:shd w:val="clear" w:color="auto" w:fill="auto"/>
            <w:noWrap/>
            <w:vAlign w:val="center"/>
          </w:tcPr>
          <w:p w14:paraId="6CDCFFD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(19.0, 21.4)</w:t>
            </w:r>
          </w:p>
        </w:tc>
        <w:tc>
          <w:tcPr>
            <w:tcW w:w="666" w:type="dxa"/>
            <w:tcBorders>
              <w:top w:val="nil"/>
              <w:left w:val="single" w:sz="4" w:space="0" w:color="auto"/>
              <w:bottom w:val="nil"/>
              <w:right w:val="nil"/>
            </w:tcBorders>
            <w:shd w:val="clear" w:color="auto" w:fill="auto"/>
            <w:noWrap/>
            <w:vAlign w:val="center"/>
          </w:tcPr>
          <w:p w14:paraId="754F438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828</w:t>
            </w:r>
          </w:p>
        </w:tc>
        <w:tc>
          <w:tcPr>
            <w:tcW w:w="621" w:type="dxa"/>
            <w:tcBorders>
              <w:top w:val="nil"/>
              <w:left w:val="nil"/>
              <w:bottom w:val="nil"/>
              <w:right w:val="nil"/>
            </w:tcBorders>
            <w:shd w:val="clear" w:color="auto" w:fill="auto"/>
            <w:noWrap/>
            <w:vAlign w:val="center"/>
          </w:tcPr>
          <w:p w14:paraId="7CDD7D7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22.2</w:t>
            </w:r>
          </w:p>
        </w:tc>
        <w:tc>
          <w:tcPr>
            <w:tcW w:w="1146" w:type="dxa"/>
            <w:tcBorders>
              <w:top w:val="nil"/>
              <w:left w:val="nil"/>
              <w:bottom w:val="nil"/>
              <w:right w:val="single" w:sz="4" w:space="0" w:color="000000"/>
            </w:tcBorders>
            <w:shd w:val="clear" w:color="auto" w:fill="auto"/>
            <w:noWrap/>
            <w:vAlign w:val="center"/>
          </w:tcPr>
          <w:p w14:paraId="5822EA5D"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(20.6, 23.8)</w:t>
            </w:r>
          </w:p>
        </w:tc>
        <w:tc>
          <w:tcPr>
            <w:tcW w:w="616" w:type="dxa"/>
            <w:tcBorders>
              <w:top w:val="nil"/>
              <w:left w:val="single" w:sz="4" w:space="0" w:color="000000"/>
              <w:bottom w:val="nil"/>
              <w:right w:val="nil"/>
            </w:tcBorders>
            <w:shd w:val="clear" w:color="auto" w:fill="auto"/>
            <w:vAlign w:val="center"/>
          </w:tcPr>
          <w:p w14:paraId="4E85CB2D"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728</w:t>
            </w:r>
          </w:p>
        </w:tc>
        <w:tc>
          <w:tcPr>
            <w:tcW w:w="567" w:type="dxa"/>
            <w:tcBorders>
              <w:top w:val="nil"/>
              <w:left w:val="nil"/>
              <w:bottom w:val="nil"/>
              <w:right w:val="nil"/>
            </w:tcBorders>
            <w:shd w:val="clear" w:color="auto" w:fill="auto"/>
            <w:vAlign w:val="center"/>
          </w:tcPr>
          <w:p w14:paraId="7DD04B92"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23.3</w:t>
            </w:r>
          </w:p>
        </w:tc>
        <w:tc>
          <w:tcPr>
            <w:tcW w:w="1146" w:type="dxa"/>
            <w:tcBorders>
              <w:top w:val="nil"/>
              <w:left w:val="nil"/>
              <w:bottom w:val="nil"/>
              <w:right w:val="single" w:sz="4" w:space="0" w:color="000000"/>
            </w:tcBorders>
            <w:shd w:val="clear" w:color="auto" w:fill="auto"/>
            <w:vAlign w:val="center"/>
          </w:tcPr>
          <w:p w14:paraId="3AF01228"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(21.4, 25.2)</w:t>
            </w:r>
          </w:p>
        </w:tc>
        <w:tc>
          <w:tcPr>
            <w:tcW w:w="616" w:type="dxa"/>
            <w:tcBorders>
              <w:top w:val="nil"/>
              <w:left w:val="single" w:sz="4" w:space="0" w:color="000000"/>
              <w:bottom w:val="nil"/>
              <w:right w:val="nil"/>
            </w:tcBorders>
            <w:shd w:val="clear" w:color="auto" w:fill="auto"/>
            <w:vAlign w:val="center"/>
          </w:tcPr>
          <w:p w14:paraId="26F55496"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695</w:t>
            </w:r>
          </w:p>
        </w:tc>
        <w:tc>
          <w:tcPr>
            <w:tcW w:w="576" w:type="dxa"/>
            <w:tcBorders>
              <w:top w:val="nil"/>
              <w:left w:val="nil"/>
              <w:bottom w:val="nil"/>
              <w:right w:val="nil"/>
            </w:tcBorders>
            <w:shd w:val="clear" w:color="auto" w:fill="auto"/>
            <w:vAlign w:val="center"/>
          </w:tcPr>
          <w:p w14:paraId="2CBABFFB"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25.1</w:t>
            </w:r>
          </w:p>
        </w:tc>
        <w:tc>
          <w:tcPr>
            <w:tcW w:w="1146" w:type="dxa"/>
            <w:tcBorders>
              <w:top w:val="nil"/>
              <w:left w:val="nil"/>
              <w:bottom w:val="nil"/>
              <w:right w:val="nil"/>
            </w:tcBorders>
            <w:shd w:val="clear" w:color="auto" w:fill="auto"/>
            <w:vAlign w:val="center"/>
          </w:tcPr>
          <w:p w14:paraId="1363D096"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(23.0, 27.3)</w:t>
            </w:r>
          </w:p>
        </w:tc>
      </w:tr>
      <w:tr w:rsidR="009118DA" w:rsidRPr="008A7800" w14:paraId="5AA950A8"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49030B5C" w14:textId="77777777" w:rsidR="008A068A" w:rsidRPr="008A7800" w:rsidRDefault="008A068A" w:rsidP="008A068A">
            <w:pPr>
              <w:tabs>
                <w:tab w:val="left" w:pos="205"/>
              </w:tabs>
              <w:spacing w:before="20" w:after="20"/>
              <w:rPr>
                <w:rFonts w:eastAsiaTheme="minorEastAsia"/>
                <w:b w:val="0"/>
                <w:sz w:val="18"/>
                <w:szCs w:val="18"/>
                <w:lang w:eastAsia="en-US"/>
              </w:rPr>
            </w:pPr>
            <w:r w:rsidRPr="008A7800">
              <w:rPr>
                <w:rFonts w:eastAsiaTheme="minorEastAsia"/>
                <w:b w:val="0"/>
                <w:sz w:val="18"/>
                <w:szCs w:val="18"/>
                <w:lang w:eastAsia="en-US"/>
              </w:rPr>
              <w:tab/>
              <w:t>At least weekly</w:t>
            </w:r>
          </w:p>
        </w:tc>
        <w:tc>
          <w:tcPr>
            <w:tcW w:w="666" w:type="dxa"/>
            <w:tcBorders>
              <w:top w:val="nil"/>
              <w:left w:val="nil"/>
              <w:bottom w:val="nil"/>
              <w:right w:val="nil"/>
            </w:tcBorders>
            <w:shd w:val="clear" w:color="auto" w:fill="auto"/>
            <w:noWrap/>
            <w:vAlign w:val="center"/>
          </w:tcPr>
          <w:p w14:paraId="14D7B43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1425</w:t>
            </w:r>
          </w:p>
        </w:tc>
        <w:tc>
          <w:tcPr>
            <w:tcW w:w="567" w:type="dxa"/>
            <w:tcBorders>
              <w:top w:val="nil"/>
              <w:left w:val="nil"/>
              <w:bottom w:val="nil"/>
              <w:right w:val="nil"/>
            </w:tcBorders>
            <w:shd w:val="clear" w:color="auto" w:fill="auto"/>
            <w:noWrap/>
            <w:vAlign w:val="center"/>
          </w:tcPr>
          <w:p w14:paraId="322A96F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22.8</w:t>
            </w:r>
          </w:p>
        </w:tc>
        <w:tc>
          <w:tcPr>
            <w:tcW w:w="1146" w:type="dxa"/>
            <w:tcBorders>
              <w:top w:val="nil"/>
              <w:left w:val="nil"/>
              <w:bottom w:val="nil"/>
              <w:right w:val="single" w:sz="4" w:space="0" w:color="auto"/>
            </w:tcBorders>
            <w:shd w:val="clear" w:color="auto" w:fill="auto"/>
            <w:noWrap/>
            <w:vAlign w:val="center"/>
          </w:tcPr>
          <w:p w14:paraId="26EEB03E"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(21.6, 24.0)</w:t>
            </w:r>
          </w:p>
        </w:tc>
        <w:tc>
          <w:tcPr>
            <w:tcW w:w="666" w:type="dxa"/>
            <w:tcBorders>
              <w:top w:val="nil"/>
              <w:left w:val="single" w:sz="4" w:space="0" w:color="auto"/>
              <w:bottom w:val="nil"/>
              <w:right w:val="nil"/>
            </w:tcBorders>
            <w:shd w:val="clear" w:color="auto" w:fill="auto"/>
            <w:noWrap/>
            <w:vAlign w:val="center"/>
          </w:tcPr>
          <w:p w14:paraId="2DEBEF9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787</w:t>
            </w:r>
          </w:p>
        </w:tc>
        <w:tc>
          <w:tcPr>
            <w:tcW w:w="621" w:type="dxa"/>
            <w:tcBorders>
              <w:top w:val="nil"/>
              <w:left w:val="nil"/>
              <w:bottom w:val="nil"/>
              <w:right w:val="nil"/>
            </w:tcBorders>
            <w:shd w:val="clear" w:color="auto" w:fill="auto"/>
            <w:noWrap/>
            <w:vAlign w:val="center"/>
          </w:tcPr>
          <w:p w14:paraId="4F52A4F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21.1</w:t>
            </w:r>
          </w:p>
        </w:tc>
        <w:tc>
          <w:tcPr>
            <w:tcW w:w="1146" w:type="dxa"/>
            <w:tcBorders>
              <w:top w:val="nil"/>
              <w:left w:val="nil"/>
              <w:bottom w:val="nil"/>
              <w:right w:val="single" w:sz="4" w:space="0" w:color="000000"/>
            </w:tcBorders>
            <w:shd w:val="clear" w:color="auto" w:fill="auto"/>
            <w:noWrap/>
            <w:vAlign w:val="center"/>
          </w:tcPr>
          <w:p w14:paraId="308F1A94"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(19.6, 22.6)</w:t>
            </w:r>
          </w:p>
        </w:tc>
        <w:tc>
          <w:tcPr>
            <w:tcW w:w="616" w:type="dxa"/>
            <w:tcBorders>
              <w:top w:val="nil"/>
              <w:left w:val="single" w:sz="4" w:space="0" w:color="000000"/>
              <w:bottom w:val="nil"/>
              <w:right w:val="nil"/>
            </w:tcBorders>
            <w:shd w:val="clear" w:color="auto" w:fill="auto"/>
            <w:vAlign w:val="center"/>
          </w:tcPr>
          <w:p w14:paraId="7CFB75D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635</w:t>
            </w:r>
          </w:p>
        </w:tc>
        <w:tc>
          <w:tcPr>
            <w:tcW w:w="567" w:type="dxa"/>
            <w:tcBorders>
              <w:top w:val="nil"/>
              <w:left w:val="nil"/>
              <w:bottom w:val="nil"/>
              <w:right w:val="nil"/>
            </w:tcBorders>
            <w:shd w:val="clear" w:color="auto" w:fill="auto"/>
            <w:vAlign w:val="center"/>
          </w:tcPr>
          <w:p w14:paraId="55E54772"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20.4</w:t>
            </w:r>
          </w:p>
        </w:tc>
        <w:tc>
          <w:tcPr>
            <w:tcW w:w="1146" w:type="dxa"/>
            <w:tcBorders>
              <w:top w:val="nil"/>
              <w:left w:val="nil"/>
              <w:bottom w:val="nil"/>
              <w:right w:val="single" w:sz="4" w:space="0" w:color="000000"/>
            </w:tcBorders>
            <w:shd w:val="clear" w:color="auto" w:fill="auto"/>
            <w:vAlign w:val="center"/>
          </w:tcPr>
          <w:p w14:paraId="57F2C80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(18.8, 22.0)</w:t>
            </w:r>
          </w:p>
        </w:tc>
        <w:tc>
          <w:tcPr>
            <w:tcW w:w="616" w:type="dxa"/>
            <w:tcBorders>
              <w:top w:val="nil"/>
              <w:left w:val="single" w:sz="4" w:space="0" w:color="000000"/>
              <w:bottom w:val="nil"/>
              <w:right w:val="nil"/>
            </w:tcBorders>
            <w:shd w:val="clear" w:color="auto" w:fill="auto"/>
            <w:vAlign w:val="center"/>
          </w:tcPr>
          <w:p w14:paraId="17F1097E"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515</w:t>
            </w:r>
          </w:p>
        </w:tc>
        <w:tc>
          <w:tcPr>
            <w:tcW w:w="576" w:type="dxa"/>
            <w:tcBorders>
              <w:top w:val="nil"/>
              <w:left w:val="nil"/>
              <w:bottom w:val="nil"/>
              <w:right w:val="nil"/>
            </w:tcBorders>
            <w:shd w:val="clear" w:color="auto" w:fill="auto"/>
            <w:vAlign w:val="center"/>
          </w:tcPr>
          <w:p w14:paraId="1505E2CB"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18.6</w:t>
            </w:r>
          </w:p>
        </w:tc>
        <w:tc>
          <w:tcPr>
            <w:tcW w:w="1146" w:type="dxa"/>
            <w:tcBorders>
              <w:top w:val="nil"/>
              <w:left w:val="nil"/>
              <w:bottom w:val="nil"/>
              <w:right w:val="nil"/>
            </w:tcBorders>
            <w:shd w:val="clear" w:color="auto" w:fill="auto"/>
            <w:vAlign w:val="center"/>
          </w:tcPr>
          <w:p w14:paraId="1DDA4C2E"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(17.0, 20.3)</w:t>
            </w:r>
          </w:p>
        </w:tc>
      </w:tr>
      <w:tr w:rsidR="009118DA" w:rsidRPr="008A7800" w14:paraId="1CAA7174"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2C8835F8" w14:textId="77777777" w:rsidR="008A068A" w:rsidRPr="008A7800" w:rsidRDefault="008A068A" w:rsidP="008A068A">
            <w:pPr>
              <w:tabs>
                <w:tab w:val="left" w:pos="205"/>
              </w:tabs>
              <w:spacing w:before="20" w:after="20"/>
              <w:rPr>
                <w:rFonts w:eastAsiaTheme="minorEastAsia"/>
                <w:b w:val="0"/>
                <w:sz w:val="18"/>
                <w:szCs w:val="18"/>
              </w:rPr>
            </w:pPr>
            <w:r w:rsidRPr="008A7800">
              <w:rPr>
                <w:rFonts w:eastAsiaTheme="minorEastAsia"/>
                <w:b w:val="0"/>
                <w:sz w:val="18"/>
                <w:szCs w:val="18"/>
              </w:rPr>
              <w:tab/>
              <w:t>At least monthly</w:t>
            </w:r>
          </w:p>
        </w:tc>
        <w:tc>
          <w:tcPr>
            <w:tcW w:w="666" w:type="dxa"/>
            <w:tcBorders>
              <w:top w:val="nil"/>
              <w:left w:val="nil"/>
              <w:bottom w:val="nil"/>
              <w:right w:val="nil"/>
            </w:tcBorders>
            <w:shd w:val="clear" w:color="auto" w:fill="auto"/>
            <w:noWrap/>
            <w:vAlign w:val="center"/>
          </w:tcPr>
          <w:p w14:paraId="008B2504"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1368</w:t>
            </w:r>
          </w:p>
        </w:tc>
        <w:tc>
          <w:tcPr>
            <w:tcW w:w="567" w:type="dxa"/>
            <w:tcBorders>
              <w:top w:val="nil"/>
              <w:left w:val="nil"/>
              <w:bottom w:val="nil"/>
              <w:right w:val="nil"/>
            </w:tcBorders>
            <w:shd w:val="clear" w:color="auto" w:fill="auto"/>
            <w:noWrap/>
            <w:vAlign w:val="center"/>
          </w:tcPr>
          <w:p w14:paraId="7517CD96"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21.9</w:t>
            </w:r>
          </w:p>
        </w:tc>
        <w:tc>
          <w:tcPr>
            <w:tcW w:w="1146" w:type="dxa"/>
            <w:tcBorders>
              <w:top w:val="nil"/>
              <w:left w:val="nil"/>
              <w:bottom w:val="nil"/>
              <w:right w:val="single" w:sz="4" w:space="0" w:color="auto"/>
            </w:tcBorders>
            <w:shd w:val="clear" w:color="auto" w:fill="auto"/>
            <w:noWrap/>
            <w:vAlign w:val="center"/>
          </w:tcPr>
          <w:p w14:paraId="2D36EA1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(20.7, 23.1)</w:t>
            </w:r>
          </w:p>
        </w:tc>
        <w:tc>
          <w:tcPr>
            <w:tcW w:w="666" w:type="dxa"/>
            <w:tcBorders>
              <w:top w:val="nil"/>
              <w:left w:val="single" w:sz="4" w:space="0" w:color="auto"/>
              <w:bottom w:val="nil"/>
              <w:right w:val="nil"/>
            </w:tcBorders>
            <w:shd w:val="clear" w:color="auto" w:fill="auto"/>
            <w:noWrap/>
            <w:vAlign w:val="center"/>
          </w:tcPr>
          <w:p w14:paraId="2EBFE18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786</w:t>
            </w:r>
          </w:p>
        </w:tc>
        <w:tc>
          <w:tcPr>
            <w:tcW w:w="621" w:type="dxa"/>
            <w:tcBorders>
              <w:top w:val="nil"/>
              <w:left w:val="nil"/>
              <w:bottom w:val="nil"/>
              <w:right w:val="nil"/>
            </w:tcBorders>
            <w:shd w:val="clear" w:color="auto" w:fill="auto"/>
            <w:noWrap/>
            <w:vAlign w:val="center"/>
          </w:tcPr>
          <w:p w14:paraId="123AE796"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21.0</w:t>
            </w:r>
          </w:p>
        </w:tc>
        <w:tc>
          <w:tcPr>
            <w:tcW w:w="1146" w:type="dxa"/>
            <w:tcBorders>
              <w:top w:val="nil"/>
              <w:left w:val="nil"/>
              <w:bottom w:val="nil"/>
              <w:right w:val="single" w:sz="4" w:space="0" w:color="000000"/>
            </w:tcBorders>
            <w:shd w:val="clear" w:color="auto" w:fill="auto"/>
            <w:noWrap/>
            <w:vAlign w:val="center"/>
          </w:tcPr>
          <w:p w14:paraId="78D3112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(19.5, 22.6)</w:t>
            </w:r>
          </w:p>
        </w:tc>
        <w:tc>
          <w:tcPr>
            <w:tcW w:w="616" w:type="dxa"/>
            <w:tcBorders>
              <w:top w:val="nil"/>
              <w:left w:val="single" w:sz="4" w:space="0" w:color="000000"/>
              <w:bottom w:val="nil"/>
              <w:right w:val="nil"/>
            </w:tcBorders>
            <w:shd w:val="clear" w:color="auto" w:fill="auto"/>
            <w:vAlign w:val="center"/>
          </w:tcPr>
          <w:p w14:paraId="5446C137"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632</w:t>
            </w:r>
          </w:p>
        </w:tc>
        <w:tc>
          <w:tcPr>
            <w:tcW w:w="567" w:type="dxa"/>
            <w:tcBorders>
              <w:top w:val="nil"/>
              <w:left w:val="nil"/>
              <w:bottom w:val="nil"/>
              <w:right w:val="nil"/>
            </w:tcBorders>
            <w:shd w:val="clear" w:color="auto" w:fill="auto"/>
            <w:vAlign w:val="center"/>
          </w:tcPr>
          <w:p w14:paraId="396F3B1D"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20.3</w:t>
            </w:r>
          </w:p>
        </w:tc>
        <w:tc>
          <w:tcPr>
            <w:tcW w:w="1146" w:type="dxa"/>
            <w:tcBorders>
              <w:top w:val="nil"/>
              <w:left w:val="nil"/>
              <w:bottom w:val="nil"/>
              <w:right w:val="single" w:sz="4" w:space="0" w:color="000000"/>
            </w:tcBorders>
            <w:shd w:val="clear" w:color="auto" w:fill="auto"/>
            <w:vAlign w:val="center"/>
          </w:tcPr>
          <w:p w14:paraId="7B3BA318"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(18.5, 22.0)</w:t>
            </w:r>
          </w:p>
        </w:tc>
        <w:tc>
          <w:tcPr>
            <w:tcW w:w="616" w:type="dxa"/>
            <w:tcBorders>
              <w:top w:val="nil"/>
              <w:left w:val="single" w:sz="4" w:space="0" w:color="000000"/>
              <w:bottom w:val="nil"/>
              <w:right w:val="nil"/>
            </w:tcBorders>
            <w:shd w:val="clear" w:color="auto" w:fill="auto"/>
            <w:vAlign w:val="center"/>
          </w:tcPr>
          <w:p w14:paraId="39ECCE93"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516</w:t>
            </w:r>
          </w:p>
        </w:tc>
        <w:tc>
          <w:tcPr>
            <w:tcW w:w="576" w:type="dxa"/>
            <w:tcBorders>
              <w:top w:val="nil"/>
              <w:left w:val="nil"/>
              <w:bottom w:val="nil"/>
              <w:right w:val="nil"/>
            </w:tcBorders>
            <w:shd w:val="clear" w:color="auto" w:fill="auto"/>
            <w:vAlign w:val="center"/>
          </w:tcPr>
          <w:p w14:paraId="4CBDA4CF"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18.7</w:t>
            </w:r>
          </w:p>
        </w:tc>
        <w:tc>
          <w:tcPr>
            <w:tcW w:w="1146" w:type="dxa"/>
            <w:tcBorders>
              <w:top w:val="nil"/>
              <w:left w:val="nil"/>
              <w:bottom w:val="nil"/>
              <w:right w:val="nil"/>
            </w:tcBorders>
            <w:shd w:val="clear" w:color="auto" w:fill="auto"/>
            <w:vAlign w:val="center"/>
          </w:tcPr>
          <w:p w14:paraId="22687703"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(16.9, 20.4)</w:t>
            </w:r>
          </w:p>
        </w:tc>
      </w:tr>
      <w:tr w:rsidR="009118DA" w:rsidRPr="008A7800" w14:paraId="04ED5C81"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51CF2DEE" w14:textId="77777777" w:rsidR="008A068A" w:rsidRPr="008A7800" w:rsidRDefault="008A068A" w:rsidP="008A068A">
            <w:pPr>
              <w:tabs>
                <w:tab w:val="left" w:pos="205"/>
              </w:tabs>
              <w:spacing w:before="20" w:after="20"/>
              <w:rPr>
                <w:rFonts w:eastAsiaTheme="minorEastAsia"/>
                <w:b w:val="0"/>
                <w:sz w:val="18"/>
                <w:szCs w:val="18"/>
                <w:lang w:eastAsia="en-US"/>
              </w:rPr>
            </w:pPr>
            <w:r w:rsidRPr="008A7800">
              <w:rPr>
                <w:rFonts w:eastAsiaTheme="minorEastAsia"/>
                <w:b w:val="0"/>
                <w:sz w:val="18"/>
                <w:szCs w:val="18"/>
                <w:lang w:eastAsia="en-US"/>
              </w:rPr>
              <w:tab/>
              <w:t>At least 6 monthly</w:t>
            </w:r>
          </w:p>
        </w:tc>
        <w:tc>
          <w:tcPr>
            <w:tcW w:w="666" w:type="dxa"/>
            <w:tcBorders>
              <w:top w:val="nil"/>
              <w:left w:val="nil"/>
              <w:bottom w:val="nil"/>
              <w:right w:val="nil"/>
            </w:tcBorders>
            <w:shd w:val="clear" w:color="auto" w:fill="auto"/>
            <w:noWrap/>
            <w:vAlign w:val="center"/>
          </w:tcPr>
          <w:p w14:paraId="1421E58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1704</w:t>
            </w:r>
          </w:p>
        </w:tc>
        <w:tc>
          <w:tcPr>
            <w:tcW w:w="567" w:type="dxa"/>
            <w:tcBorders>
              <w:top w:val="nil"/>
              <w:left w:val="nil"/>
              <w:bottom w:val="nil"/>
              <w:right w:val="nil"/>
            </w:tcBorders>
            <w:shd w:val="clear" w:color="auto" w:fill="auto"/>
            <w:noWrap/>
            <w:vAlign w:val="center"/>
          </w:tcPr>
          <w:p w14:paraId="736FD66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27.3</w:t>
            </w:r>
          </w:p>
        </w:tc>
        <w:tc>
          <w:tcPr>
            <w:tcW w:w="1146" w:type="dxa"/>
            <w:tcBorders>
              <w:top w:val="nil"/>
              <w:left w:val="nil"/>
              <w:bottom w:val="nil"/>
              <w:right w:val="single" w:sz="4" w:space="0" w:color="auto"/>
            </w:tcBorders>
            <w:shd w:val="clear" w:color="auto" w:fill="auto"/>
            <w:noWrap/>
            <w:vAlign w:val="center"/>
          </w:tcPr>
          <w:p w14:paraId="2481A74E"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(26.0, 28.6)</w:t>
            </w:r>
          </w:p>
        </w:tc>
        <w:tc>
          <w:tcPr>
            <w:tcW w:w="666" w:type="dxa"/>
            <w:tcBorders>
              <w:top w:val="nil"/>
              <w:left w:val="single" w:sz="4" w:space="0" w:color="auto"/>
              <w:bottom w:val="nil"/>
              <w:right w:val="nil"/>
            </w:tcBorders>
            <w:shd w:val="clear" w:color="auto" w:fill="auto"/>
            <w:noWrap/>
            <w:vAlign w:val="center"/>
          </w:tcPr>
          <w:p w14:paraId="1CFC2C7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1067</w:t>
            </w:r>
          </w:p>
        </w:tc>
        <w:tc>
          <w:tcPr>
            <w:tcW w:w="621" w:type="dxa"/>
            <w:tcBorders>
              <w:top w:val="nil"/>
              <w:left w:val="nil"/>
              <w:bottom w:val="nil"/>
              <w:right w:val="nil"/>
            </w:tcBorders>
            <w:shd w:val="clear" w:color="auto" w:fill="auto"/>
            <w:noWrap/>
            <w:vAlign w:val="center"/>
          </w:tcPr>
          <w:p w14:paraId="11436006"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28.6</w:t>
            </w:r>
          </w:p>
        </w:tc>
        <w:tc>
          <w:tcPr>
            <w:tcW w:w="1146" w:type="dxa"/>
            <w:tcBorders>
              <w:top w:val="nil"/>
              <w:left w:val="nil"/>
              <w:bottom w:val="nil"/>
              <w:right w:val="single" w:sz="4" w:space="0" w:color="000000"/>
            </w:tcBorders>
            <w:shd w:val="clear" w:color="auto" w:fill="auto"/>
            <w:noWrap/>
            <w:vAlign w:val="center"/>
          </w:tcPr>
          <w:p w14:paraId="60C78AE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(26.8, 30.3)</w:t>
            </w:r>
          </w:p>
        </w:tc>
        <w:tc>
          <w:tcPr>
            <w:tcW w:w="616" w:type="dxa"/>
            <w:tcBorders>
              <w:top w:val="nil"/>
              <w:left w:val="single" w:sz="4" w:space="0" w:color="000000"/>
              <w:bottom w:val="nil"/>
              <w:right w:val="nil"/>
            </w:tcBorders>
            <w:shd w:val="clear" w:color="auto" w:fill="auto"/>
            <w:vAlign w:val="center"/>
          </w:tcPr>
          <w:p w14:paraId="622815F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884</w:t>
            </w:r>
          </w:p>
        </w:tc>
        <w:tc>
          <w:tcPr>
            <w:tcW w:w="567" w:type="dxa"/>
            <w:tcBorders>
              <w:top w:val="nil"/>
              <w:left w:val="nil"/>
              <w:bottom w:val="nil"/>
              <w:right w:val="nil"/>
            </w:tcBorders>
            <w:shd w:val="clear" w:color="auto" w:fill="auto"/>
            <w:vAlign w:val="center"/>
          </w:tcPr>
          <w:p w14:paraId="36DF3CA2"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28.3</w:t>
            </w:r>
          </w:p>
        </w:tc>
        <w:tc>
          <w:tcPr>
            <w:tcW w:w="1146" w:type="dxa"/>
            <w:tcBorders>
              <w:top w:val="nil"/>
              <w:left w:val="nil"/>
              <w:bottom w:val="nil"/>
              <w:right w:val="single" w:sz="4" w:space="0" w:color="000000"/>
            </w:tcBorders>
            <w:shd w:val="clear" w:color="auto" w:fill="auto"/>
            <w:vAlign w:val="center"/>
          </w:tcPr>
          <w:p w14:paraId="2D25EA8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(26.4, 30.2)</w:t>
            </w:r>
          </w:p>
        </w:tc>
        <w:tc>
          <w:tcPr>
            <w:tcW w:w="616" w:type="dxa"/>
            <w:tcBorders>
              <w:top w:val="nil"/>
              <w:left w:val="single" w:sz="4" w:space="0" w:color="000000"/>
              <w:bottom w:val="nil"/>
              <w:right w:val="nil"/>
            </w:tcBorders>
            <w:shd w:val="clear" w:color="auto" w:fill="auto"/>
            <w:vAlign w:val="center"/>
          </w:tcPr>
          <w:p w14:paraId="22A2B7BA"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814</w:t>
            </w:r>
          </w:p>
        </w:tc>
        <w:tc>
          <w:tcPr>
            <w:tcW w:w="576" w:type="dxa"/>
            <w:tcBorders>
              <w:top w:val="nil"/>
              <w:left w:val="nil"/>
              <w:bottom w:val="nil"/>
              <w:right w:val="nil"/>
            </w:tcBorders>
            <w:shd w:val="clear" w:color="auto" w:fill="auto"/>
            <w:vAlign w:val="center"/>
          </w:tcPr>
          <w:p w14:paraId="576F1204"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29.4</w:t>
            </w:r>
          </w:p>
        </w:tc>
        <w:tc>
          <w:tcPr>
            <w:tcW w:w="1146" w:type="dxa"/>
            <w:tcBorders>
              <w:top w:val="nil"/>
              <w:left w:val="nil"/>
              <w:bottom w:val="nil"/>
              <w:right w:val="nil"/>
            </w:tcBorders>
            <w:shd w:val="clear" w:color="auto" w:fill="auto"/>
            <w:vAlign w:val="center"/>
          </w:tcPr>
          <w:p w14:paraId="5B130D2D"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(27.3, 31.6)</w:t>
            </w:r>
          </w:p>
        </w:tc>
      </w:tr>
      <w:tr w:rsidR="009118DA" w:rsidRPr="008A7800" w14:paraId="18883B85"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21027C95" w14:textId="77777777" w:rsidR="008A068A" w:rsidRPr="008A7800" w:rsidRDefault="008A068A" w:rsidP="008A068A">
            <w:pPr>
              <w:tabs>
                <w:tab w:val="left" w:pos="176"/>
              </w:tabs>
              <w:spacing w:before="20" w:after="20"/>
              <w:rPr>
                <w:rFonts w:eastAsiaTheme="minorEastAsia"/>
                <w:b w:val="0"/>
                <w:sz w:val="18"/>
                <w:szCs w:val="18"/>
                <w:lang w:eastAsia="en-US"/>
              </w:rPr>
            </w:pPr>
            <w:r w:rsidRPr="008A7800">
              <w:rPr>
                <w:rFonts w:eastAsiaTheme="minorEastAsia"/>
                <w:b w:val="0"/>
                <w:sz w:val="18"/>
                <w:szCs w:val="18"/>
                <w:lang w:eastAsia="en-US"/>
              </w:rPr>
              <w:tab/>
              <w:t>At least once in past year</w:t>
            </w:r>
          </w:p>
        </w:tc>
        <w:tc>
          <w:tcPr>
            <w:tcW w:w="666" w:type="dxa"/>
            <w:tcBorders>
              <w:top w:val="nil"/>
              <w:left w:val="nil"/>
              <w:bottom w:val="nil"/>
              <w:right w:val="nil"/>
            </w:tcBorders>
            <w:shd w:val="clear" w:color="auto" w:fill="auto"/>
            <w:noWrap/>
            <w:vAlign w:val="center"/>
          </w:tcPr>
          <w:p w14:paraId="7772310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483</w:t>
            </w:r>
          </w:p>
        </w:tc>
        <w:tc>
          <w:tcPr>
            <w:tcW w:w="567" w:type="dxa"/>
            <w:tcBorders>
              <w:top w:val="nil"/>
              <w:left w:val="nil"/>
              <w:bottom w:val="nil"/>
              <w:right w:val="nil"/>
            </w:tcBorders>
            <w:shd w:val="clear" w:color="auto" w:fill="auto"/>
            <w:noWrap/>
            <w:vAlign w:val="center"/>
          </w:tcPr>
          <w:p w14:paraId="72D0A027"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7.7</w:t>
            </w:r>
          </w:p>
        </w:tc>
        <w:tc>
          <w:tcPr>
            <w:tcW w:w="1146" w:type="dxa"/>
            <w:tcBorders>
              <w:top w:val="nil"/>
              <w:left w:val="nil"/>
              <w:bottom w:val="nil"/>
              <w:right w:val="single" w:sz="4" w:space="0" w:color="auto"/>
            </w:tcBorders>
            <w:shd w:val="clear" w:color="auto" w:fill="auto"/>
            <w:noWrap/>
            <w:vAlign w:val="center"/>
          </w:tcPr>
          <w:p w14:paraId="489CEFAE"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(6.9, 8.6)</w:t>
            </w:r>
          </w:p>
        </w:tc>
        <w:tc>
          <w:tcPr>
            <w:tcW w:w="666" w:type="dxa"/>
            <w:tcBorders>
              <w:top w:val="nil"/>
              <w:left w:val="single" w:sz="4" w:space="0" w:color="auto"/>
              <w:bottom w:val="nil"/>
              <w:right w:val="nil"/>
            </w:tcBorders>
            <w:shd w:val="clear" w:color="auto" w:fill="auto"/>
            <w:noWrap/>
            <w:vAlign w:val="center"/>
          </w:tcPr>
          <w:p w14:paraId="47A3B54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268</w:t>
            </w:r>
          </w:p>
        </w:tc>
        <w:tc>
          <w:tcPr>
            <w:tcW w:w="621" w:type="dxa"/>
            <w:tcBorders>
              <w:top w:val="nil"/>
              <w:left w:val="nil"/>
              <w:bottom w:val="nil"/>
              <w:right w:val="nil"/>
            </w:tcBorders>
            <w:shd w:val="clear" w:color="auto" w:fill="auto"/>
            <w:noWrap/>
            <w:vAlign w:val="center"/>
          </w:tcPr>
          <w:p w14:paraId="6E6D9704"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7.2</w:t>
            </w:r>
          </w:p>
        </w:tc>
        <w:tc>
          <w:tcPr>
            <w:tcW w:w="1146" w:type="dxa"/>
            <w:tcBorders>
              <w:top w:val="nil"/>
              <w:left w:val="nil"/>
              <w:bottom w:val="nil"/>
              <w:right w:val="single" w:sz="4" w:space="0" w:color="000000"/>
            </w:tcBorders>
            <w:shd w:val="clear" w:color="auto" w:fill="auto"/>
            <w:noWrap/>
            <w:vAlign w:val="center"/>
          </w:tcPr>
          <w:p w14:paraId="7D475FD2"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(6.2, 8.2)</w:t>
            </w:r>
          </w:p>
        </w:tc>
        <w:tc>
          <w:tcPr>
            <w:tcW w:w="616" w:type="dxa"/>
            <w:tcBorders>
              <w:top w:val="nil"/>
              <w:left w:val="single" w:sz="4" w:space="0" w:color="000000"/>
              <w:bottom w:val="nil"/>
              <w:right w:val="nil"/>
            </w:tcBorders>
            <w:shd w:val="clear" w:color="auto" w:fill="auto"/>
            <w:vAlign w:val="center"/>
          </w:tcPr>
          <w:p w14:paraId="363406B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240</w:t>
            </w:r>
          </w:p>
        </w:tc>
        <w:tc>
          <w:tcPr>
            <w:tcW w:w="567" w:type="dxa"/>
            <w:tcBorders>
              <w:top w:val="nil"/>
              <w:left w:val="nil"/>
              <w:bottom w:val="nil"/>
              <w:right w:val="nil"/>
            </w:tcBorders>
            <w:shd w:val="clear" w:color="auto" w:fill="auto"/>
            <w:vAlign w:val="center"/>
          </w:tcPr>
          <w:p w14:paraId="04F30F2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7.7</w:t>
            </w:r>
          </w:p>
        </w:tc>
        <w:tc>
          <w:tcPr>
            <w:tcW w:w="1146" w:type="dxa"/>
            <w:tcBorders>
              <w:top w:val="nil"/>
              <w:left w:val="nil"/>
              <w:bottom w:val="nil"/>
              <w:right w:val="single" w:sz="4" w:space="0" w:color="000000"/>
            </w:tcBorders>
            <w:shd w:val="clear" w:color="auto" w:fill="auto"/>
            <w:vAlign w:val="center"/>
          </w:tcPr>
          <w:p w14:paraId="7B97F44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(6.4, 9.0)</w:t>
            </w:r>
          </w:p>
        </w:tc>
        <w:tc>
          <w:tcPr>
            <w:tcW w:w="616" w:type="dxa"/>
            <w:tcBorders>
              <w:top w:val="nil"/>
              <w:left w:val="single" w:sz="4" w:space="0" w:color="000000"/>
              <w:bottom w:val="nil"/>
              <w:right w:val="nil"/>
            </w:tcBorders>
            <w:shd w:val="clear" w:color="auto" w:fill="auto"/>
            <w:vAlign w:val="center"/>
          </w:tcPr>
          <w:p w14:paraId="0F82FD5F"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225</w:t>
            </w:r>
          </w:p>
        </w:tc>
        <w:tc>
          <w:tcPr>
            <w:tcW w:w="576" w:type="dxa"/>
            <w:tcBorders>
              <w:top w:val="nil"/>
              <w:left w:val="nil"/>
              <w:bottom w:val="nil"/>
              <w:right w:val="nil"/>
            </w:tcBorders>
            <w:shd w:val="clear" w:color="auto" w:fill="auto"/>
            <w:vAlign w:val="center"/>
          </w:tcPr>
          <w:p w14:paraId="2F3ED432"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8.2</w:t>
            </w:r>
          </w:p>
        </w:tc>
        <w:tc>
          <w:tcPr>
            <w:tcW w:w="1146" w:type="dxa"/>
            <w:tcBorders>
              <w:top w:val="nil"/>
              <w:left w:val="nil"/>
              <w:bottom w:val="nil"/>
              <w:right w:val="nil"/>
            </w:tcBorders>
            <w:shd w:val="clear" w:color="auto" w:fill="auto"/>
            <w:vAlign w:val="center"/>
          </w:tcPr>
          <w:p w14:paraId="185F3BDD"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(6.8, 9.5)</w:t>
            </w:r>
          </w:p>
        </w:tc>
      </w:tr>
      <w:tr w:rsidR="009118DA" w:rsidRPr="008A7800" w14:paraId="106AC423"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single" w:sz="4" w:space="0" w:color="auto"/>
              <w:right w:val="nil"/>
            </w:tcBorders>
            <w:shd w:val="clear" w:color="auto" w:fill="auto"/>
          </w:tcPr>
          <w:p w14:paraId="3D601391" w14:textId="77777777" w:rsidR="008A068A" w:rsidRPr="008A7800" w:rsidRDefault="008A068A" w:rsidP="008A068A">
            <w:pPr>
              <w:tabs>
                <w:tab w:val="left" w:pos="176"/>
              </w:tabs>
              <w:spacing w:before="20" w:after="40"/>
              <w:rPr>
                <w:rFonts w:eastAsiaTheme="minorEastAsia"/>
                <w:b w:val="0"/>
                <w:sz w:val="18"/>
                <w:szCs w:val="18"/>
                <w:lang w:eastAsia="en-US"/>
              </w:rPr>
            </w:pPr>
            <w:r w:rsidRPr="008A7800">
              <w:rPr>
                <w:rFonts w:eastAsiaTheme="minorEastAsia"/>
                <w:b w:val="0"/>
                <w:sz w:val="18"/>
                <w:szCs w:val="18"/>
                <w:lang w:eastAsia="en-US"/>
              </w:rPr>
              <w:tab/>
              <w:t>Missing</w:t>
            </w:r>
          </w:p>
        </w:tc>
        <w:tc>
          <w:tcPr>
            <w:tcW w:w="666" w:type="dxa"/>
            <w:tcBorders>
              <w:top w:val="nil"/>
              <w:left w:val="nil"/>
              <w:bottom w:val="single" w:sz="4" w:space="0" w:color="auto"/>
              <w:right w:val="nil"/>
            </w:tcBorders>
            <w:shd w:val="clear" w:color="auto" w:fill="auto"/>
            <w:noWrap/>
            <w:vAlign w:val="center"/>
          </w:tcPr>
          <w:p w14:paraId="29DB68A2"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w:t>
            </w:r>
          </w:p>
        </w:tc>
        <w:tc>
          <w:tcPr>
            <w:tcW w:w="567" w:type="dxa"/>
            <w:tcBorders>
              <w:top w:val="nil"/>
              <w:left w:val="nil"/>
              <w:bottom w:val="single" w:sz="4" w:space="0" w:color="auto"/>
              <w:right w:val="nil"/>
            </w:tcBorders>
            <w:shd w:val="clear" w:color="auto" w:fill="auto"/>
            <w:noWrap/>
            <w:vAlign w:val="center"/>
          </w:tcPr>
          <w:p w14:paraId="6149E937"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t>
            </w:r>
          </w:p>
        </w:tc>
        <w:tc>
          <w:tcPr>
            <w:tcW w:w="1146" w:type="dxa"/>
            <w:tcBorders>
              <w:top w:val="nil"/>
              <w:left w:val="nil"/>
              <w:bottom w:val="single" w:sz="4" w:space="0" w:color="auto"/>
              <w:right w:val="single" w:sz="4" w:space="0" w:color="auto"/>
            </w:tcBorders>
            <w:shd w:val="clear" w:color="auto" w:fill="auto"/>
            <w:noWrap/>
            <w:vAlign w:val="center"/>
          </w:tcPr>
          <w:p w14:paraId="6B84BF1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66" w:type="dxa"/>
            <w:tcBorders>
              <w:top w:val="nil"/>
              <w:left w:val="single" w:sz="4" w:space="0" w:color="auto"/>
              <w:bottom w:val="single" w:sz="4" w:space="0" w:color="auto"/>
              <w:right w:val="nil"/>
            </w:tcBorders>
            <w:shd w:val="clear" w:color="auto" w:fill="auto"/>
            <w:noWrap/>
            <w:vAlign w:val="center"/>
          </w:tcPr>
          <w:p w14:paraId="5EA2D214"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w:t>
            </w:r>
          </w:p>
        </w:tc>
        <w:tc>
          <w:tcPr>
            <w:tcW w:w="621" w:type="dxa"/>
            <w:tcBorders>
              <w:top w:val="nil"/>
              <w:left w:val="nil"/>
              <w:bottom w:val="single" w:sz="4" w:space="0" w:color="auto"/>
              <w:right w:val="nil"/>
            </w:tcBorders>
            <w:shd w:val="clear" w:color="auto" w:fill="auto"/>
            <w:noWrap/>
            <w:vAlign w:val="center"/>
          </w:tcPr>
          <w:p w14:paraId="2762407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t>
            </w:r>
          </w:p>
        </w:tc>
        <w:tc>
          <w:tcPr>
            <w:tcW w:w="1146" w:type="dxa"/>
            <w:tcBorders>
              <w:top w:val="nil"/>
              <w:left w:val="nil"/>
              <w:bottom w:val="single" w:sz="4" w:space="0" w:color="auto"/>
              <w:right w:val="single" w:sz="4" w:space="0" w:color="000000"/>
            </w:tcBorders>
            <w:shd w:val="clear" w:color="auto" w:fill="auto"/>
            <w:noWrap/>
            <w:vAlign w:val="center"/>
          </w:tcPr>
          <w:p w14:paraId="7F5061C8"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616" w:type="dxa"/>
            <w:tcBorders>
              <w:top w:val="nil"/>
              <w:left w:val="single" w:sz="4" w:space="0" w:color="000000"/>
              <w:bottom w:val="single" w:sz="4" w:space="0" w:color="auto"/>
              <w:right w:val="nil"/>
            </w:tcBorders>
            <w:shd w:val="clear" w:color="auto" w:fill="auto"/>
            <w:vAlign w:val="center"/>
          </w:tcPr>
          <w:p w14:paraId="49C43136"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w:t>
            </w:r>
          </w:p>
        </w:tc>
        <w:tc>
          <w:tcPr>
            <w:tcW w:w="567" w:type="dxa"/>
            <w:tcBorders>
              <w:top w:val="nil"/>
              <w:left w:val="nil"/>
              <w:bottom w:val="single" w:sz="4" w:space="0" w:color="auto"/>
              <w:right w:val="nil"/>
            </w:tcBorders>
            <w:shd w:val="clear" w:color="auto" w:fill="auto"/>
            <w:vAlign w:val="center"/>
          </w:tcPr>
          <w:p w14:paraId="06A0D2B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w:t>
            </w:r>
          </w:p>
        </w:tc>
        <w:tc>
          <w:tcPr>
            <w:tcW w:w="1146" w:type="dxa"/>
            <w:tcBorders>
              <w:top w:val="nil"/>
              <w:left w:val="nil"/>
              <w:bottom w:val="single" w:sz="4" w:space="0" w:color="auto"/>
              <w:right w:val="single" w:sz="4" w:space="0" w:color="000000"/>
            </w:tcBorders>
            <w:shd w:val="clear" w:color="auto" w:fill="auto"/>
            <w:vAlign w:val="center"/>
          </w:tcPr>
          <w:p w14:paraId="62BF7D42"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616" w:type="dxa"/>
            <w:tcBorders>
              <w:top w:val="nil"/>
              <w:left w:val="single" w:sz="4" w:space="0" w:color="000000"/>
              <w:bottom w:val="single" w:sz="4" w:space="0" w:color="auto"/>
              <w:right w:val="nil"/>
            </w:tcBorders>
            <w:shd w:val="clear" w:color="auto" w:fill="auto"/>
            <w:vAlign w:val="center"/>
          </w:tcPr>
          <w:p w14:paraId="67352637"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w:t>
            </w:r>
          </w:p>
        </w:tc>
        <w:tc>
          <w:tcPr>
            <w:tcW w:w="576" w:type="dxa"/>
            <w:tcBorders>
              <w:top w:val="nil"/>
              <w:left w:val="nil"/>
              <w:bottom w:val="single" w:sz="4" w:space="0" w:color="auto"/>
              <w:right w:val="nil"/>
            </w:tcBorders>
            <w:shd w:val="clear" w:color="auto" w:fill="auto"/>
            <w:vAlign w:val="center"/>
          </w:tcPr>
          <w:p w14:paraId="7D07F2A1"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w:t>
            </w:r>
          </w:p>
        </w:tc>
        <w:tc>
          <w:tcPr>
            <w:tcW w:w="1146" w:type="dxa"/>
            <w:tcBorders>
              <w:top w:val="nil"/>
              <w:left w:val="nil"/>
              <w:bottom w:val="single" w:sz="4" w:space="0" w:color="auto"/>
              <w:right w:val="nil"/>
            </w:tcBorders>
            <w:shd w:val="clear" w:color="auto" w:fill="auto"/>
            <w:vAlign w:val="center"/>
          </w:tcPr>
          <w:p w14:paraId="34F404D9"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2E64B9" w:rsidRPr="008A7800" w14:paraId="75343A0F"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5230" w:type="dxa"/>
            <w:gridSpan w:val="3"/>
            <w:tcBorders>
              <w:top w:val="single" w:sz="4" w:space="0" w:color="auto"/>
              <w:left w:val="nil"/>
              <w:bottom w:val="nil"/>
              <w:right w:val="nil"/>
            </w:tcBorders>
            <w:shd w:val="clear" w:color="auto" w:fill="auto"/>
            <w:vAlign w:val="center"/>
          </w:tcPr>
          <w:p w14:paraId="6AF33B3E" w14:textId="77777777" w:rsidR="008A068A" w:rsidRPr="008A7800" w:rsidRDefault="008A068A" w:rsidP="008A068A">
            <w:pPr>
              <w:keepNext/>
              <w:spacing w:before="20" w:after="20"/>
              <w:rPr>
                <w:rFonts w:eastAsiaTheme="minorEastAsia"/>
                <w:sz w:val="18"/>
                <w:szCs w:val="18"/>
                <w:lang w:eastAsia="en-US"/>
              </w:rPr>
            </w:pPr>
            <w:r w:rsidRPr="008A7800">
              <w:rPr>
                <w:rFonts w:eastAsiaTheme="minorEastAsia"/>
                <w:sz w:val="18"/>
                <w:szCs w:val="18"/>
                <w:lang w:eastAsia="en-US"/>
              </w:rPr>
              <w:t>Typical monthly gambling expenditure</w:t>
            </w:r>
          </w:p>
        </w:tc>
        <w:tc>
          <w:tcPr>
            <w:tcW w:w="1146" w:type="dxa"/>
            <w:tcBorders>
              <w:top w:val="single" w:sz="4" w:space="0" w:color="auto"/>
              <w:left w:val="nil"/>
              <w:bottom w:val="nil"/>
              <w:right w:val="single" w:sz="4" w:space="0" w:color="auto"/>
            </w:tcBorders>
            <w:shd w:val="clear" w:color="auto" w:fill="auto"/>
            <w:noWrap/>
            <w:vAlign w:val="center"/>
          </w:tcPr>
          <w:p w14:paraId="1034B323"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66" w:type="dxa"/>
            <w:tcBorders>
              <w:top w:val="single" w:sz="4" w:space="0" w:color="auto"/>
              <w:left w:val="single" w:sz="4" w:space="0" w:color="auto"/>
              <w:bottom w:val="nil"/>
              <w:right w:val="nil"/>
            </w:tcBorders>
            <w:shd w:val="clear" w:color="auto" w:fill="auto"/>
            <w:noWrap/>
            <w:vAlign w:val="center"/>
          </w:tcPr>
          <w:p w14:paraId="50C8F1B2"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single" w:sz="4" w:space="0" w:color="auto"/>
              <w:left w:val="nil"/>
              <w:bottom w:val="nil"/>
              <w:right w:val="nil"/>
            </w:tcBorders>
            <w:shd w:val="clear" w:color="auto" w:fill="auto"/>
            <w:noWrap/>
            <w:vAlign w:val="center"/>
          </w:tcPr>
          <w:p w14:paraId="47ED2B68"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single" w:sz="4" w:space="0" w:color="auto"/>
              <w:left w:val="nil"/>
              <w:bottom w:val="nil"/>
              <w:right w:val="single" w:sz="4" w:space="0" w:color="000000"/>
            </w:tcBorders>
            <w:shd w:val="clear" w:color="auto" w:fill="auto"/>
            <w:noWrap/>
            <w:vAlign w:val="center"/>
          </w:tcPr>
          <w:p w14:paraId="70A70447"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16" w:type="dxa"/>
            <w:tcBorders>
              <w:top w:val="single" w:sz="4" w:space="0" w:color="auto"/>
              <w:left w:val="single" w:sz="4" w:space="0" w:color="000000"/>
              <w:bottom w:val="nil"/>
              <w:right w:val="nil"/>
            </w:tcBorders>
            <w:shd w:val="clear" w:color="auto" w:fill="auto"/>
            <w:vAlign w:val="center"/>
          </w:tcPr>
          <w:p w14:paraId="525C0D48"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p>
        </w:tc>
        <w:tc>
          <w:tcPr>
            <w:tcW w:w="567" w:type="dxa"/>
            <w:tcBorders>
              <w:top w:val="single" w:sz="4" w:space="0" w:color="auto"/>
              <w:left w:val="nil"/>
              <w:bottom w:val="nil"/>
              <w:right w:val="nil"/>
            </w:tcBorders>
            <w:shd w:val="clear" w:color="auto" w:fill="auto"/>
            <w:vAlign w:val="center"/>
          </w:tcPr>
          <w:p w14:paraId="307655CE"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146" w:type="dxa"/>
            <w:tcBorders>
              <w:top w:val="single" w:sz="4" w:space="0" w:color="auto"/>
              <w:left w:val="nil"/>
              <w:bottom w:val="nil"/>
              <w:right w:val="single" w:sz="4" w:space="0" w:color="000000"/>
            </w:tcBorders>
            <w:shd w:val="clear" w:color="auto" w:fill="auto"/>
            <w:vAlign w:val="center"/>
          </w:tcPr>
          <w:p w14:paraId="46C680B9"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p>
        </w:tc>
        <w:tc>
          <w:tcPr>
            <w:tcW w:w="616" w:type="dxa"/>
            <w:tcBorders>
              <w:top w:val="single" w:sz="4" w:space="0" w:color="auto"/>
              <w:left w:val="single" w:sz="4" w:space="0" w:color="000000"/>
              <w:bottom w:val="nil"/>
              <w:right w:val="nil"/>
            </w:tcBorders>
            <w:shd w:val="clear" w:color="auto" w:fill="auto"/>
            <w:vAlign w:val="center"/>
          </w:tcPr>
          <w:p w14:paraId="48451E96"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p>
        </w:tc>
        <w:tc>
          <w:tcPr>
            <w:tcW w:w="576" w:type="dxa"/>
            <w:tcBorders>
              <w:top w:val="single" w:sz="4" w:space="0" w:color="auto"/>
              <w:left w:val="nil"/>
              <w:bottom w:val="nil"/>
              <w:right w:val="nil"/>
            </w:tcBorders>
            <w:shd w:val="clear" w:color="auto" w:fill="auto"/>
            <w:vAlign w:val="center"/>
          </w:tcPr>
          <w:p w14:paraId="1EB3311E"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p>
        </w:tc>
        <w:tc>
          <w:tcPr>
            <w:tcW w:w="1146" w:type="dxa"/>
            <w:tcBorders>
              <w:top w:val="single" w:sz="4" w:space="0" w:color="auto"/>
              <w:left w:val="nil"/>
              <w:bottom w:val="nil"/>
              <w:right w:val="nil"/>
            </w:tcBorders>
            <w:shd w:val="clear" w:color="auto" w:fill="auto"/>
            <w:vAlign w:val="center"/>
          </w:tcPr>
          <w:p w14:paraId="5B701075"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p>
        </w:tc>
      </w:tr>
      <w:tr w:rsidR="009118DA" w:rsidRPr="008A7800" w14:paraId="61E08032"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6FA43E51" w14:textId="77777777" w:rsidR="008A068A" w:rsidRPr="008A7800" w:rsidRDefault="008A068A" w:rsidP="008A068A">
            <w:pPr>
              <w:keepNext/>
              <w:spacing w:before="20" w:after="20"/>
              <w:ind w:left="176"/>
              <w:rPr>
                <w:rFonts w:eastAsiaTheme="minorEastAsia"/>
                <w:b w:val="0"/>
                <w:sz w:val="18"/>
                <w:szCs w:val="18"/>
                <w:lang w:eastAsia="en-US"/>
              </w:rPr>
            </w:pPr>
            <w:r w:rsidRPr="008A7800">
              <w:rPr>
                <w:rFonts w:eastAsiaTheme="minorEastAsia"/>
                <w:b w:val="0"/>
                <w:sz w:val="18"/>
                <w:szCs w:val="18"/>
                <w:lang w:eastAsia="en-US"/>
              </w:rPr>
              <w:t>No gambling in past year</w:t>
            </w:r>
          </w:p>
        </w:tc>
        <w:tc>
          <w:tcPr>
            <w:tcW w:w="666" w:type="dxa"/>
            <w:tcBorders>
              <w:top w:val="nil"/>
              <w:left w:val="nil"/>
              <w:bottom w:val="nil"/>
              <w:right w:val="nil"/>
            </w:tcBorders>
            <w:shd w:val="clear" w:color="auto" w:fill="auto"/>
            <w:noWrap/>
            <w:vAlign w:val="center"/>
          </w:tcPr>
          <w:p w14:paraId="0AF7A6C9"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1278</w:t>
            </w:r>
          </w:p>
        </w:tc>
        <w:tc>
          <w:tcPr>
            <w:tcW w:w="567" w:type="dxa"/>
            <w:tcBorders>
              <w:top w:val="nil"/>
              <w:left w:val="nil"/>
              <w:bottom w:val="nil"/>
              <w:right w:val="nil"/>
            </w:tcBorders>
            <w:shd w:val="clear" w:color="auto" w:fill="auto"/>
            <w:noWrap/>
            <w:vAlign w:val="center"/>
          </w:tcPr>
          <w:p w14:paraId="59C61C26"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20.4</w:t>
            </w:r>
          </w:p>
        </w:tc>
        <w:tc>
          <w:tcPr>
            <w:tcW w:w="1146" w:type="dxa"/>
            <w:tcBorders>
              <w:top w:val="nil"/>
              <w:left w:val="nil"/>
              <w:bottom w:val="nil"/>
              <w:right w:val="single" w:sz="4" w:space="0" w:color="auto"/>
            </w:tcBorders>
            <w:shd w:val="clear" w:color="auto" w:fill="auto"/>
            <w:noWrap/>
            <w:vAlign w:val="center"/>
          </w:tcPr>
          <w:p w14:paraId="2032C150"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(19.3, 21.6)</w:t>
            </w:r>
          </w:p>
        </w:tc>
        <w:tc>
          <w:tcPr>
            <w:tcW w:w="666" w:type="dxa"/>
            <w:tcBorders>
              <w:top w:val="nil"/>
              <w:left w:val="single" w:sz="4" w:space="0" w:color="auto"/>
              <w:bottom w:val="nil"/>
              <w:right w:val="nil"/>
            </w:tcBorders>
            <w:shd w:val="clear" w:color="auto" w:fill="auto"/>
            <w:noWrap/>
            <w:vAlign w:val="center"/>
          </w:tcPr>
          <w:p w14:paraId="562ED5EE"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838</w:t>
            </w:r>
          </w:p>
        </w:tc>
        <w:tc>
          <w:tcPr>
            <w:tcW w:w="621" w:type="dxa"/>
            <w:tcBorders>
              <w:top w:val="nil"/>
              <w:left w:val="nil"/>
              <w:bottom w:val="nil"/>
              <w:right w:val="nil"/>
            </w:tcBorders>
            <w:shd w:val="clear" w:color="auto" w:fill="auto"/>
            <w:noWrap/>
            <w:vAlign w:val="center"/>
          </w:tcPr>
          <w:p w14:paraId="5DD1EA52"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22.4</w:t>
            </w:r>
          </w:p>
        </w:tc>
        <w:tc>
          <w:tcPr>
            <w:tcW w:w="1146" w:type="dxa"/>
            <w:tcBorders>
              <w:top w:val="nil"/>
              <w:left w:val="nil"/>
              <w:bottom w:val="nil"/>
              <w:right w:val="single" w:sz="4" w:space="0" w:color="000000"/>
            </w:tcBorders>
            <w:shd w:val="clear" w:color="auto" w:fill="auto"/>
            <w:noWrap/>
            <w:vAlign w:val="center"/>
          </w:tcPr>
          <w:p w14:paraId="591723FA"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(20.8, 24.0)</w:t>
            </w:r>
          </w:p>
        </w:tc>
        <w:tc>
          <w:tcPr>
            <w:tcW w:w="616" w:type="dxa"/>
            <w:tcBorders>
              <w:top w:val="nil"/>
              <w:left w:val="single" w:sz="4" w:space="0" w:color="000000"/>
              <w:bottom w:val="nil"/>
              <w:right w:val="nil"/>
            </w:tcBorders>
            <w:shd w:val="clear" w:color="auto" w:fill="auto"/>
            <w:vAlign w:val="center"/>
          </w:tcPr>
          <w:p w14:paraId="67CC2601"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735</w:t>
            </w:r>
          </w:p>
        </w:tc>
        <w:tc>
          <w:tcPr>
            <w:tcW w:w="567" w:type="dxa"/>
            <w:tcBorders>
              <w:top w:val="nil"/>
              <w:left w:val="nil"/>
              <w:bottom w:val="nil"/>
              <w:right w:val="nil"/>
            </w:tcBorders>
            <w:shd w:val="clear" w:color="auto" w:fill="auto"/>
            <w:vAlign w:val="center"/>
          </w:tcPr>
          <w:p w14:paraId="1DDADBB1"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23.5</w:t>
            </w:r>
          </w:p>
        </w:tc>
        <w:tc>
          <w:tcPr>
            <w:tcW w:w="1146" w:type="dxa"/>
            <w:tcBorders>
              <w:top w:val="nil"/>
              <w:left w:val="nil"/>
              <w:bottom w:val="nil"/>
              <w:right w:val="single" w:sz="4" w:space="0" w:color="000000"/>
            </w:tcBorders>
            <w:shd w:val="clear" w:color="auto" w:fill="auto"/>
            <w:vAlign w:val="center"/>
          </w:tcPr>
          <w:p w14:paraId="702ADB48"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(21.6, 25.5)</w:t>
            </w:r>
          </w:p>
        </w:tc>
        <w:tc>
          <w:tcPr>
            <w:tcW w:w="616" w:type="dxa"/>
            <w:tcBorders>
              <w:top w:val="nil"/>
              <w:left w:val="single" w:sz="4" w:space="0" w:color="000000"/>
              <w:bottom w:val="nil"/>
              <w:right w:val="nil"/>
            </w:tcBorders>
            <w:shd w:val="clear" w:color="auto" w:fill="auto"/>
            <w:vAlign w:val="center"/>
          </w:tcPr>
          <w:p w14:paraId="372B4C06"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700</w:t>
            </w:r>
          </w:p>
        </w:tc>
        <w:tc>
          <w:tcPr>
            <w:tcW w:w="576" w:type="dxa"/>
            <w:tcBorders>
              <w:top w:val="nil"/>
              <w:left w:val="nil"/>
              <w:bottom w:val="nil"/>
              <w:right w:val="nil"/>
            </w:tcBorders>
            <w:shd w:val="clear" w:color="auto" w:fill="auto"/>
            <w:vAlign w:val="center"/>
          </w:tcPr>
          <w:p w14:paraId="13104731"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25.3</w:t>
            </w:r>
          </w:p>
        </w:tc>
        <w:tc>
          <w:tcPr>
            <w:tcW w:w="1146" w:type="dxa"/>
            <w:tcBorders>
              <w:top w:val="nil"/>
              <w:left w:val="nil"/>
              <w:bottom w:val="nil"/>
              <w:right w:val="nil"/>
            </w:tcBorders>
            <w:shd w:val="clear" w:color="auto" w:fill="auto"/>
            <w:vAlign w:val="center"/>
          </w:tcPr>
          <w:p w14:paraId="7287E170"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(23.1, 27.4)</w:t>
            </w:r>
          </w:p>
        </w:tc>
      </w:tr>
      <w:tr w:rsidR="009118DA" w:rsidRPr="008A7800" w14:paraId="0768E30F"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7CA2D766" w14:textId="77777777" w:rsidR="008A068A" w:rsidRPr="008A7800" w:rsidRDefault="008A068A" w:rsidP="008A068A">
            <w:pPr>
              <w:keepNext/>
              <w:spacing w:before="20" w:after="20"/>
              <w:ind w:left="176"/>
              <w:rPr>
                <w:rFonts w:eastAsiaTheme="minorEastAsia"/>
                <w:b w:val="0"/>
                <w:sz w:val="18"/>
                <w:szCs w:val="18"/>
                <w:lang w:eastAsia="en-US"/>
              </w:rPr>
            </w:pPr>
            <w:r w:rsidRPr="008A7800">
              <w:rPr>
                <w:rFonts w:eastAsiaTheme="minorEastAsia"/>
                <w:b w:val="0"/>
                <w:sz w:val="18"/>
                <w:szCs w:val="18"/>
                <w:lang w:eastAsia="en-US"/>
              </w:rPr>
              <w:t>$1 - $10</w:t>
            </w:r>
          </w:p>
        </w:tc>
        <w:tc>
          <w:tcPr>
            <w:tcW w:w="666" w:type="dxa"/>
            <w:tcBorders>
              <w:top w:val="nil"/>
              <w:left w:val="nil"/>
              <w:bottom w:val="nil"/>
              <w:right w:val="nil"/>
            </w:tcBorders>
            <w:shd w:val="clear" w:color="auto" w:fill="auto"/>
            <w:noWrap/>
            <w:vAlign w:val="center"/>
          </w:tcPr>
          <w:p w14:paraId="0E2E7113"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1019</w:t>
            </w:r>
          </w:p>
        </w:tc>
        <w:tc>
          <w:tcPr>
            <w:tcW w:w="567" w:type="dxa"/>
            <w:tcBorders>
              <w:top w:val="nil"/>
              <w:left w:val="nil"/>
              <w:bottom w:val="nil"/>
              <w:right w:val="nil"/>
            </w:tcBorders>
            <w:shd w:val="clear" w:color="auto" w:fill="auto"/>
            <w:noWrap/>
            <w:vAlign w:val="center"/>
          </w:tcPr>
          <w:p w14:paraId="26B493AF"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16.3</w:t>
            </w:r>
          </w:p>
        </w:tc>
        <w:tc>
          <w:tcPr>
            <w:tcW w:w="1146" w:type="dxa"/>
            <w:tcBorders>
              <w:top w:val="nil"/>
              <w:left w:val="nil"/>
              <w:bottom w:val="nil"/>
              <w:right w:val="single" w:sz="4" w:space="0" w:color="auto"/>
            </w:tcBorders>
            <w:shd w:val="clear" w:color="auto" w:fill="auto"/>
            <w:noWrap/>
            <w:vAlign w:val="center"/>
          </w:tcPr>
          <w:p w14:paraId="789279BC"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(15.2, 17.4)</w:t>
            </w:r>
          </w:p>
        </w:tc>
        <w:tc>
          <w:tcPr>
            <w:tcW w:w="666" w:type="dxa"/>
            <w:tcBorders>
              <w:top w:val="nil"/>
              <w:left w:val="single" w:sz="4" w:space="0" w:color="auto"/>
              <w:bottom w:val="nil"/>
              <w:right w:val="nil"/>
            </w:tcBorders>
            <w:shd w:val="clear" w:color="auto" w:fill="auto"/>
            <w:noWrap/>
            <w:vAlign w:val="center"/>
          </w:tcPr>
          <w:p w14:paraId="26552758"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654</w:t>
            </w:r>
          </w:p>
        </w:tc>
        <w:tc>
          <w:tcPr>
            <w:tcW w:w="621" w:type="dxa"/>
            <w:tcBorders>
              <w:top w:val="nil"/>
              <w:left w:val="nil"/>
              <w:bottom w:val="nil"/>
              <w:right w:val="nil"/>
            </w:tcBorders>
            <w:shd w:val="clear" w:color="auto" w:fill="auto"/>
            <w:noWrap/>
            <w:vAlign w:val="center"/>
          </w:tcPr>
          <w:p w14:paraId="2BD33329"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17.5</w:t>
            </w:r>
          </w:p>
        </w:tc>
        <w:tc>
          <w:tcPr>
            <w:tcW w:w="1146" w:type="dxa"/>
            <w:tcBorders>
              <w:top w:val="nil"/>
              <w:left w:val="nil"/>
              <w:bottom w:val="nil"/>
              <w:right w:val="single" w:sz="4" w:space="0" w:color="000000"/>
            </w:tcBorders>
            <w:shd w:val="clear" w:color="auto" w:fill="auto"/>
            <w:noWrap/>
            <w:vAlign w:val="center"/>
          </w:tcPr>
          <w:p w14:paraId="605E7DB7"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(16.0, 18.9)</w:t>
            </w:r>
          </w:p>
        </w:tc>
        <w:tc>
          <w:tcPr>
            <w:tcW w:w="616" w:type="dxa"/>
            <w:tcBorders>
              <w:top w:val="nil"/>
              <w:left w:val="single" w:sz="4" w:space="0" w:color="000000"/>
              <w:bottom w:val="nil"/>
              <w:right w:val="nil"/>
            </w:tcBorders>
            <w:shd w:val="clear" w:color="auto" w:fill="auto"/>
            <w:vAlign w:val="center"/>
          </w:tcPr>
          <w:p w14:paraId="2409BCCF"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511</w:t>
            </w:r>
          </w:p>
        </w:tc>
        <w:tc>
          <w:tcPr>
            <w:tcW w:w="567" w:type="dxa"/>
            <w:tcBorders>
              <w:top w:val="nil"/>
              <w:left w:val="nil"/>
              <w:bottom w:val="nil"/>
              <w:right w:val="nil"/>
            </w:tcBorders>
            <w:shd w:val="clear" w:color="auto" w:fill="auto"/>
            <w:vAlign w:val="center"/>
          </w:tcPr>
          <w:p w14:paraId="249D172F"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16.4</w:t>
            </w:r>
          </w:p>
        </w:tc>
        <w:tc>
          <w:tcPr>
            <w:tcW w:w="1146" w:type="dxa"/>
            <w:tcBorders>
              <w:top w:val="nil"/>
              <w:left w:val="nil"/>
              <w:bottom w:val="nil"/>
              <w:right w:val="single" w:sz="4" w:space="0" w:color="000000"/>
            </w:tcBorders>
            <w:shd w:val="clear" w:color="auto" w:fill="auto"/>
            <w:vAlign w:val="center"/>
          </w:tcPr>
          <w:p w14:paraId="398F3294"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(14.9, 17.9)</w:t>
            </w:r>
          </w:p>
        </w:tc>
        <w:tc>
          <w:tcPr>
            <w:tcW w:w="616" w:type="dxa"/>
            <w:tcBorders>
              <w:top w:val="nil"/>
              <w:left w:val="single" w:sz="4" w:space="0" w:color="000000"/>
              <w:bottom w:val="nil"/>
              <w:right w:val="nil"/>
            </w:tcBorders>
            <w:shd w:val="clear" w:color="auto" w:fill="auto"/>
            <w:vAlign w:val="center"/>
          </w:tcPr>
          <w:p w14:paraId="45941CB3"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463</w:t>
            </w:r>
          </w:p>
        </w:tc>
        <w:tc>
          <w:tcPr>
            <w:tcW w:w="576" w:type="dxa"/>
            <w:tcBorders>
              <w:top w:val="nil"/>
              <w:left w:val="nil"/>
              <w:bottom w:val="nil"/>
              <w:right w:val="nil"/>
            </w:tcBorders>
            <w:shd w:val="clear" w:color="auto" w:fill="auto"/>
            <w:vAlign w:val="center"/>
          </w:tcPr>
          <w:p w14:paraId="5E1DDD10"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16.7</w:t>
            </w:r>
          </w:p>
        </w:tc>
        <w:tc>
          <w:tcPr>
            <w:tcW w:w="1146" w:type="dxa"/>
            <w:tcBorders>
              <w:top w:val="nil"/>
              <w:left w:val="nil"/>
              <w:bottom w:val="nil"/>
              <w:right w:val="nil"/>
            </w:tcBorders>
            <w:shd w:val="clear" w:color="auto" w:fill="auto"/>
            <w:vAlign w:val="center"/>
          </w:tcPr>
          <w:p w14:paraId="3AB68714"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(15</w:t>
            </w:r>
            <w:r w:rsidR="007C46D2" w:rsidRPr="008A7800">
              <w:rPr>
                <w:color w:val="000000"/>
                <w:sz w:val="18"/>
                <w:szCs w:val="18"/>
              </w:rPr>
              <w:t>.0</w:t>
            </w:r>
            <w:r w:rsidRPr="008A7800">
              <w:rPr>
                <w:color w:val="000000"/>
                <w:sz w:val="18"/>
                <w:szCs w:val="18"/>
              </w:rPr>
              <w:t>, 18.4)</w:t>
            </w:r>
          </w:p>
        </w:tc>
      </w:tr>
      <w:tr w:rsidR="009118DA" w:rsidRPr="008A7800" w14:paraId="3FFD9CE4"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5DDB734A" w14:textId="77777777" w:rsidR="008A068A" w:rsidRPr="008A7800" w:rsidRDefault="008A068A" w:rsidP="008A068A">
            <w:pPr>
              <w:keepNext/>
              <w:spacing w:before="20" w:after="20"/>
              <w:ind w:left="176"/>
              <w:rPr>
                <w:rFonts w:eastAsiaTheme="minorEastAsia"/>
                <w:b w:val="0"/>
                <w:sz w:val="18"/>
                <w:szCs w:val="18"/>
                <w:lang w:eastAsia="en-US"/>
              </w:rPr>
            </w:pPr>
            <w:r w:rsidRPr="008A7800">
              <w:rPr>
                <w:rFonts w:eastAsiaTheme="minorEastAsia"/>
                <w:b w:val="0"/>
                <w:sz w:val="18"/>
                <w:szCs w:val="18"/>
                <w:lang w:eastAsia="en-US"/>
              </w:rPr>
              <w:t>$11 - $20</w:t>
            </w:r>
          </w:p>
        </w:tc>
        <w:tc>
          <w:tcPr>
            <w:tcW w:w="666" w:type="dxa"/>
            <w:tcBorders>
              <w:top w:val="nil"/>
              <w:left w:val="nil"/>
              <w:bottom w:val="nil"/>
              <w:right w:val="nil"/>
            </w:tcBorders>
            <w:shd w:val="clear" w:color="auto" w:fill="auto"/>
            <w:noWrap/>
            <w:vAlign w:val="center"/>
          </w:tcPr>
          <w:p w14:paraId="46E2CA9B"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1003</w:t>
            </w:r>
          </w:p>
        </w:tc>
        <w:tc>
          <w:tcPr>
            <w:tcW w:w="567" w:type="dxa"/>
            <w:tcBorders>
              <w:top w:val="nil"/>
              <w:left w:val="nil"/>
              <w:bottom w:val="nil"/>
              <w:right w:val="nil"/>
            </w:tcBorders>
            <w:shd w:val="clear" w:color="auto" w:fill="auto"/>
            <w:noWrap/>
            <w:vAlign w:val="center"/>
          </w:tcPr>
          <w:p w14:paraId="0583654B"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16.0</w:t>
            </w:r>
          </w:p>
        </w:tc>
        <w:tc>
          <w:tcPr>
            <w:tcW w:w="1146" w:type="dxa"/>
            <w:tcBorders>
              <w:top w:val="nil"/>
              <w:left w:val="nil"/>
              <w:bottom w:val="nil"/>
              <w:right w:val="single" w:sz="4" w:space="0" w:color="auto"/>
            </w:tcBorders>
            <w:shd w:val="clear" w:color="auto" w:fill="auto"/>
            <w:noWrap/>
            <w:vAlign w:val="center"/>
          </w:tcPr>
          <w:p w14:paraId="1CD19E94"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(15.0, 17.1)</w:t>
            </w:r>
          </w:p>
        </w:tc>
        <w:tc>
          <w:tcPr>
            <w:tcW w:w="666" w:type="dxa"/>
            <w:tcBorders>
              <w:top w:val="nil"/>
              <w:left w:val="single" w:sz="4" w:space="0" w:color="auto"/>
              <w:bottom w:val="nil"/>
              <w:right w:val="nil"/>
            </w:tcBorders>
            <w:shd w:val="clear" w:color="auto" w:fill="auto"/>
            <w:noWrap/>
            <w:vAlign w:val="center"/>
          </w:tcPr>
          <w:p w14:paraId="30BD4D50"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592</w:t>
            </w:r>
          </w:p>
        </w:tc>
        <w:tc>
          <w:tcPr>
            <w:tcW w:w="621" w:type="dxa"/>
            <w:tcBorders>
              <w:top w:val="nil"/>
              <w:left w:val="nil"/>
              <w:bottom w:val="nil"/>
              <w:right w:val="nil"/>
            </w:tcBorders>
            <w:shd w:val="clear" w:color="auto" w:fill="auto"/>
            <w:noWrap/>
            <w:vAlign w:val="center"/>
          </w:tcPr>
          <w:p w14:paraId="694BBCB8"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15.8</w:t>
            </w:r>
          </w:p>
        </w:tc>
        <w:tc>
          <w:tcPr>
            <w:tcW w:w="1146" w:type="dxa"/>
            <w:tcBorders>
              <w:top w:val="nil"/>
              <w:left w:val="nil"/>
              <w:bottom w:val="nil"/>
              <w:right w:val="single" w:sz="4" w:space="0" w:color="000000"/>
            </w:tcBorders>
            <w:shd w:val="clear" w:color="auto" w:fill="auto"/>
            <w:noWrap/>
            <w:vAlign w:val="center"/>
          </w:tcPr>
          <w:p w14:paraId="1993C3B3"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(14.4, 17.2)</w:t>
            </w:r>
          </w:p>
        </w:tc>
        <w:tc>
          <w:tcPr>
            <w:tcW w:w="616" w:type="dxa"/>
            <w:tcBorders>
              <w:top w:val="nil"/>
              <w:left w:val="single" w:sz="4" w:space="0" w:color="000000"/>
              <w:bottom w:val="nil"/>
              <w:right w:val="nil"/>
            </w:tcBorders>
            <w:shd w:val="clear" w:color="auto" w:fill="auto"/>
            <w:vAlign w:val="center"/>
          </w:tcPr>
          <w:p w14:paraId="54C7703C"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477</w:t>
            </w:r>
          </w:p>
        </w:tc>
        <w:tc>
          <w:tcPr>
            <w:tcW w:w="567" w:type="dxa"/>
            <w:tcBorders>
              <w:top w:val="nil"/>
              <w:left w:val="nil"/>
              <w:bottom w:val="nil"/>
              <w:right w:val="nil"/>
            </w:tcBorders>
            <w:shd w:val="clear" w:color="auto" w:fill="auto"/>
            <w:vAlign w:val="center"/>
          </w:tcPr>
          <w:p w14:paraId="02298F35"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15.3</w:t>
            </w:r>
          </w:p>
        </w:tc>
        <w:tc>
          <w:tcPr>
            <w:tcW w:w="1146" w:type="dxa"/>
            <w:tcBorders>
              <w:top w:val="nil"/>
              <w:left w:val="nil"/>
              <w:bottom w:val="nil"/>
              <w:right w:val="single" w:sz="4" w:space="0" w:color="000000"/>
            </w:tcBorders>
            <w:shd w:val="clear" w:color="auto" w:fill="auto"/>
            <w:vAlign w:val="center"/>
          </w:tcPr>
          <w:p w14:paraId="0F679CD4"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(13.7, 16.8)</w:t>
            </w:r>
          </w:p>
        </w:tc>
        <w:tc>
          <w:tcPr>
            <w:tcW w:w="616" w:type="dxa"/>
            <w:tcBorders>
              <w:top w:val="nil"/>
              <w:left w:val="single" w:sz="4" w:space="0" w:color="000000"/>
              <w:bottom w:val="nil"/>
              <w:right w:val="nil"/>
            </w:tcBorders>
            <w:shd w:val="clear" w:color="auto" w:fill="auto"/>
            <w:vAlign w:val="center"/>
          </w:tcPr>
          <w:p w14:paraId="14F829D1"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385</w:t>
            </w:r>
          </w:p>
        </w:tc>
        <w:tc>
          <w:tcPr>
            <w:tcW w:w="576" w:type="dxa"/>
            <w:tcBorders>
              <w:top w:val="nil"/>
              <w:left w:val="nil"/>
              <w:bottom w:val="nil"/>
              <w:right w:val="nil"/>
            </w:tcBorders>
            <w:shd w:val="clear" w:color="auto" w:fill="auto"/>
            <w:vAlign w:val="center"/>
          </w:tcPr>
          <w:p w14:paraId="0F68F545"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13.9</w:t>
            </w:r>
          </w:p>
        </w:tc>
        <w:tc>
          <w:tcPr>
            <w:tcW w:w="1146" w:type="dxa"/>
            <w:tcBorders>
              <w:top w:val="nil"/>
              <w:left w:val="nil"/>
              <w:bottom w:val="nil"/>
              <w:right w:val="nil"/>
            </w:tcBorders>
            <w:shd w:val="clear" w:color="auto" w:fill="auto"/>
            <w:vAlign w:val="center"/>
          </w:tcPr>
          <w:p w14:paraId="48961056"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(12.4, 15.4)</w:t>
            </w:r>
          </w:p>
        </w:tc>
      </w:tr>
      <w:tr w:rsidR="009118DA" w:rsidRPr="008A7800" w14:paraId="3A067374"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7F78B502" w14:textId="77777777" w:rsidR="008A068A" w:rsidRPr="008A7800" w:rsidRDefault="008A068A" w:rsidP="008A068A">
            <w:pPr>
              <w:keepNext/>
              <w:spacing w:before="20" w:after="20"/>
              <w:ind w:left="176"/>
              <w:rPr>
                <w:rFonts w:eastAsiaTheme="minorEastAsia"/>
                <w:b w:val="0"/>
                <w:sz w:val="18"/>
                <w:szCs w:val="18"/>
                <w:lang w:eastAsia="en-US"/>
              </w:rPr>
            </w:pPr>
            <w:r w:rsidRPr="008A7800">
              <w:rPr>
                <w:rFonts w:eastAsiaTheme="minorEastAsia"/>
                <w:b w:val="0"/>
                <w:sz w:val="18"/>
                <w:szCs w:val="18"/>
                <w:lang w:eastAsia="en-US"/>
              </w:rPr>
              <w:t>$21 - $30</w:t>
            </w:r>
          </w:p>
        </w:tc>
        <w:tc>
          <w:tcPr>
            <w:tcW w:w="666" w:type="dxa"/>
            <w:tcBorders>
              <w:top w:val="nil"/>
              <w:left w:val="nil"/>
              <w:bottom w:val="nil"/>
              <w:right w:val="nil"/>
            </w:tcBorders>
            <w:shd w:val="clear" w:color="auto" w:fill="auto"/>
            <w:noWrap/>
            <w:vAlign w:val="center"/>
          </w:tcPr>
          <w:p w14:paraId="54C51A4B"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625</w:t>
            </w:r>
          </w:p>
        </w:tc>
        <w:tc>
          <w:tcPr>
            <w:tcW w:w="567" w:type="dxa"/>
            <w:tcBorders>
              <w:top w:val="nil"/>
              <w:left w:val="nil"/>
              <w:bottom w:val="nil"/>
              <w:right w:val="nil"/>
            </w:tcBorders>
            <w:shd w:val="clear" w:color="auto" w:fill="auto"/>
            <w:noWrap/>
            <w:vAlign w:val="center"/>
          </w:tcPr>
          <w:p w14:paraId="288E7FCC"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10.0</w:t>
            </w:r>
          </w:p>
        </w:tc>
        <w:tc>
          <w:tcPr>
            <w:tcW w:w="1146" w:type="dxa"/>
            <w:tcBorders>
              <w:top w:val="nil"/>
              <w:left w:val="nil"/>
              <w:bottom w:val="nil"/>
              <w:right w:val="single" w:sz="4" w:space="0" w:color="auto"/>
            </w:tcBorders>
            <w:shd w:val="clear" w:color="auto" w:fill="auto"/>
            <w:noWrap/>
            <w:vAlign w:val="center"/>
          </w:tcPr>
          <w:p w14:paraId="7DC972B2"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(9.1, 10.9)</w:t>
            </w:r>
          </w:p>
        </w:tc>
        <w:tc>
          <w:tcPr>
            <w:tcW w:w="666" w:type="dxa"/>
            <w:tcBorders>
              <w:top w:val="nil"/>
              <w:left w:val="single" w:sz="4" w:space="0" w:color="auto"/>
              <w:bottom w:val="nil"/>
              <w:right w:val="nil"/>
            </w:tcBorders>
            <w:shd w:val="clear" w:color="auto" w:fill="auto"/>
            <w:noWrap/>
            <w:vAlign w:val="center"/>
          </w:tcPr>
          <w:p w14:paraId="344222B5"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364</w:t>
            </w:r>
          </w:p>
        </w:tc>
        <w:tc>
          <w:tcPr>
            <w:tcW w:w="621" w:type="dxa"/>
            <w:tcBorders>
              <w:top w:val="nil"/>
              <w:left w:val="nil"/>
              <w:bottom w:val="nil"/>
              <w:right w:val="nil"/>
            </w:tcBorders>
            <w:shd w:val="clear" w:color="auto" w:fill="auto"/>
            <w:noWrap/>
            <w:vAlign w:val="center"/>
          </w:tcPr>
          <w:p w14:paraId="683A3FF6"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9.7</w:t>
            </w:r>
          </w:p>
        </w:tc>
        <w:tc>
          <w:tcPr>
            <w:tcW w:w="1146" w:type="dxa"/>
            <w:tcBorders>
              <w:top w:val="nil"/>
              <w:left w:val="nil"/>
              <w:bottom w:val="nil"/>
              <w:right w:val="single" w:sz="4" w:space="0" w:color="000000"/>
            </w:tcBorders>
            <w:shd w:val="clear" w:color="auto" w:fill="auto"/>
            <w:noWrap/>
            <w:vAlign w:val="center"/>
          </w:tcPr>
          <w:p w14:paraId="1DB4A1C7"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(8.6, 10.8)</w:t>
            </w:r>
          </w:p>
        </w:tc>
        <w:tc>
          <w:tcPr>
            <w:tcW w:w="616" w:type="dxa"/>
            <w:tcBorders>
              <w:top w:val="nil"/>
              <w:left w:val="single" w:sz="4" w:space="0" w:color="000000"/>
              <w:bottom w:val="nil"/>
              <w:right w:val="nil"/>
            </w:tcBorders>
            <w:shd w:val="clear" w:color="auto" w:fill="auto"/>
            <w:vAlign w:val="center"/>
          </w:tcPr>
          <w:p w14:paraId="35AF07DD"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337</w:t>
            </w:r>
          </w:p>
        </w:tc>
        <w:tc>
          <w:tcPr>
            <w:tcW w:w="567" w:type="dxa"/>
            <w:tcBorders>
              <w:top w:val="nil"/>
              <w:left w:val="nil"/>
              <w:bottom w:val="nil"/>
              <w:right w:val="nil"/>
            </w:tcBorders>
            <w:shd w:val="clear" w:color="auto" w:fill="auto"/>
            <w:vAlign w:val="center"/>
          </w:tcPr>
          <w:p w14:paraId="16CD8872"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10.8</w:t>
            </w:r>
          </w:p>
        </w:tc>
        <w:tc>
          <w:tcPr>
            <w:tcW w:w="1146" w:type="dxa"/>
            <w:tcBorders>
              <w:top w:val="nil"/>
              <w:left w:val="nil"/>
              <w:bottom w:val="nil"/>
              <w:right w:val="single" w:sz="4" w:space="0" w:color="000000"/>
            </w:tcBorders>
            <w:shd w:val="clear" w:color="auto" w:fill="auto"/>
            <w:vAlign w:val="center"/>
          </w:tcPr>
          <w:p w14:paraId="65F84B1D"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(9.3, 12.2)</w:t>
            </w:r>
          </w:p>
        </w:tc>
        <w:tc>
          <w:tcPr>
            <w:tcW w:w="616" w:type="dxa"/>
            <w:tcBorders>
              <w:top w:val="nil"/>
              <w:left w:val="single" w:sz="4" w:space="0" w:color="000000"/>
              <w:bottom w:val="nil"/>
              <w:right w:val="nil"/>
            </w:tcBorders>
            <w:shd w:val="clear" w:color="auto" w:fill="auto"/>
            <w:vAlign w:val="center"/>
          </w:tcPr>
          <w:p w14:paraId="01667F3D"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297</w:t>
            </w:r>
          </w:p>
        </w:tc>
        <w:tc>
          <w:tcPr>
            <w:tcW w:w="576" w:type="dxa"/>
            <w:tcBorders>
              <w:top w:val="nil"/>
              <w:left w:val="nil"/>
              <w:bottom w:val="nil"/>
              <w:right w:val="nil"/>
            </w:tcBorders>
            <w:shd w:val="clear" w:color="auto" w:fill="auto"/>
            <w:vAlign w:val="center"/>
          </w:tcPr>
          <w:p w14:paraId="542C099F"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10.7</w:t>
            </w:r>
          </w:p>
        </w:tc>
        <w:tc>
          <w:tcPr>
            <w:tcW w:w="1146" w:type="dxa"/>
            <w:tcBorders>
              <w:top w:val="nil"/>
              <w:left w:val="nil"/>
              <w:bottom w:val="nil"/>
              <w:right w:val="nil"/>
            </w:tcBorders>
            <w:shd w:val="clear" w:color="auto" w:fill="auto"/>
            <w:vAlign w:val="center"/>
          </w:tcPr>
          <w:p w14:paraId="3879F706"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(9.3, 12.1)</w:t>
            </w:r>
          </w:p>
        </w:tc>
      </w:tr>
      <w:tr w:rsidR="009118DA" w:rsidRPr="008A7800" w14:paraId="2FF85DF8"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2487ED8D" w14:textId="77777777" w:rsidR="008A068A" w:rsidRPr="008A7800" w:rsidRDefault="008A068A" w:rsidP="008A068A">
            <w:pPr>
              <w:keepNext/>
              <w:spacing w:before="20" w:after="20"/>
              <w:ind w:left="176"/>
              <w:rPr>
                <w:rFonts w:eastAsiaTheme="minorEastAsia"/>
                <w:b w:val="0"/>
                <w:sz w:val="18"/>
                <w:szCs w:val="18"/>
                <w:lang w:eastAsia="en-US"/>
              </w:rPr>
            </w:pPr>
            <w:r w:rsidRPr="008A7800">
              <w:rPr>
                <w:rFonts w:eastAsiaTheme="minorEastAsia"/>
                <w:b w:val="0"/>
                <w:sz w:val="18"/>
                <w:szCs w:val="18"/>
                <w:lang w:eastAsia="en-US"/>
              </w:rPr>
              <w:t>$31 - $50</w:t>
            </w:r>
          </w:p>
        </w:tc>
        <w:tc>
          <w:tcPr>
            <w:tcW w:w="666" w:type="dxa"/>
            <w:tcBorders>
              <w:top w:val="nil"/>
              <w:left w:val="nil"/>
              <w:bottom w:val="nil"/>
              <w:right w:val="nil"/>
            </w:tcBorders>
            <w:shd w:val="clear" w:color="auto" w:fill="auto"/>
            <w:noWrap/>
            <w:vAlign w:val="center"/>
          </w:tcPr>
          <w:p w14:paraId="0DB10DD9"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709</w:t>
            </w:r>
          </w:p>
        </w:tc>
        <w:tc>
          <w:tcPr>
            <w:tcW w:w="567" w:type="dxa"/>
            <w:tcBorders>
              <w:top w:val="nil"/>
              <w:left w:val="nil"/>
              <w:bottom w:val="nil"/>
              <w:right w:val="nil"/>
            </w:tcBorders>
            <w:shd w:val="clear" w:color="auto" w:fill="auto"/>
            <w:noWrap/>
            <w:vAlign w:val="center"/>
          </w:tcPr>
          <w:p w14:paraId="5C6CE638"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11.3</w:t>
            </w:r>
          </w:p>
        </w:tc>
        <w:tc>
          <w:tcPr>
            <w:tcW w:w="1146" w:type="dxa"/>
            <w:tcBorders>
              <w:top w:val="nil"/>
              <w:left w:val="nil"/>
              <w:bottom w:val="nil"/>
              <w:right w:val="single" w:sz="4" w:space="0" w:color="auto"/>
            </w:tcBorders>
            <w:shd w:val="clear" w:color="auto" w:fill="auto"/>
            <w:noWrap/>
            <w:vAlign w:val="center"/>
          </w:tcPr>
          <w:p w14:paraId="58C8C883"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(10.4, 12.3)</w:t>
            </w:r>
          </w:p>
        </w:tc>
        <w:tc>
          <w:tcPr>
            <w:tcW w:w="666" w:type="dxa"/>
            <w:tcBorders>
              <w:top w:val="nil"/>
              <w:left w:val="single" w:sz="4" w:space="0" w:color="auto"/>
              <w:bottom w:val="nil"/>
              <w:right w:val="nil"/>
            </w:tcBorders>
            <w:shd w:val="clear" w:color="auto" w:fill="auto"/>
            <w:noWrap/>
            <w:vAlign w:val="center"/>
          </w:tcPr>
          <w:p w14:paraId="29C11F16"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394</w:t>
            </w:r>
          </w:p>
        </w:tc>
        <w:tc>
          <w:tcPr>
            <w:tcW w:w="621" w:type="dxa"/>
            <w:tcBorders>
              <w:top w:val="nil"/>
              <w:left w:val="nil"/>
              <w:bottom w:val="nil"/>
              <w:right w:val="nil"/>
            </w:tcBorders>
            <w:shd w:val="clear" w:color="auto" w:fill="auto"/>
            <w:noWrap/>
            <w:vAlign w:val="center"/>
          </w:tcPr>
          <w:p w14:paraId="70D24C22"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10.5</w:t>
            </w:r>
          </w:p>
        </w:tc>
        <w:tc>
          <w:tcPr>
            <w:tcW w:w="1146" w:type="dxa"/>
            <w:tcBorders>
              <w:top w:val="nil"/>
              <w:left w:val="nil"/>
              <w:bottom w:val="nil"/>
              <w:right w:val="single" w:sz="4" w:space="0" w:color="000000"/>
            </w:tcBorders>
            <w:shd w:val="clear" w:color="auto" w:fill="auto"/>
            <w:noWrap/>
            <w:vAlign w:val="center"/>
          </w:tcPr>
          <w:p w14:paraId="4EBF9695"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(9.4, 11.7)</w:t>
            </w:r>
          </w:p>
        </w:tc>
        <w:tc>
          <w:tcPr>
            <w:tcW w:w="616" w:type="dxa"/>
            <w:tcBorders>
              <w:top w:val="nil"/>
              <w:left w:val="single" w:sz="4" w:space="0" w:color="000000"/>
              <w:bottom w:val="nil"/>
              <w:right w:val="nil"/>
            </w:tcBorders>
            <w:shd w:val="clear" w:color="auto" w:fill="auto"/>
            <w:vAlign w:val="center"/>
          </w:tcPr>
          <w:p w14:paraId="2700B111"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344</w:t>
            </w:r>
          </w:p>
        </w:tc>
        <w:tc>
          <w:tcPr>
            <w:tcW w:w="567" w:type="dxa"/>
            <w:tcBorders>
              <w:top w:val="nil"/>
              <w:left w:val="nil"/>
              <w:bottom w:val="nil"/>
              <w:right w:val="nil"/>
            </w:tcBorders>
            <w:shd w:val="clear" w:color="auto" w:fill="auto"/>
            <w:vAlign w:val="center"/>
          </w:tcPr>
          <w:p w14:paraId="609591F8"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11.0</w:t>
            </w:r>
          </w:p>
        </w:tc>
        <w:tc>
          <w:tcPr>
            <w:tcW w:w="1146" w:type="dxa"/>
            <w:tcBorders>
              <w:top w:val="nil"/>
              <w:left w:val="nil"/>
              <w:bottom w:val="nil"/>
              <w:right w:val="single" w:sz="4" w:space="0" w:color="000000"/>
            </w:tcBorders>
            <w:shd w:val="clear" w:color="auto" w:fill="auto"/>
            <w:vAlign w:val="center"/>
          </w:tcPr>
          <w:p w14:paraId="650DCB28"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(9.7, 12.3)</w:t>
            </w:r>
          </w:p>
        </w:tc>
        <w:tc>
          <w:tcPr>
            <w:tcW w:w="616" w:type="dxa"/>
            <w:tcBorders>
              <w:top w:val="nil"/>
              <w:left w:val="single" w:sz="4" w:space="0" w:color="000000"/>
              <w:bottom w:val="nil"/>
              <w:right w:val="nil"/>
            </w:tcBorders>
            <w:shd w:val="clear" w:color="auto" w:fill="auto"/>
            <w:vAlign w:val="center"/>
          </w:tcPr>
          <w:p w14:paraId="5D37A53B"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292</w:t>
            </w:r>
          </w:p>
        </w:tc>
        <w:tc>
          <w:tcPr>
            <w:tcW w:w="576" w:type="dxa"/>
            <w:tcBorders>
              <w:top w:val="nil"/>
              <w:left w:val="nil"/>
              <w:bottom w:val="nil"/>
              <w:right w:val="nil"/>
            </w:tcBorders>
            <w:shd w:val="clear" w:color="auto" w:fill="auto"/>
            <w:vAlign w:val="center"/>
          </w:tcPr>
          <w:p w14:paraId="3ACAB142"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10.5</w:t>
            </w:r>
          </w:p>
        </w:tc>
        <w:tc>
          <w:tcPr>
            <w:tcW w:w="1146" w:type="dxa"/>
            <w:tcBorders>
              <w:top w:val="nil"/>
              <w:left w:val="nil"/>
              <w:bottom w:val="nil"/>
              <w:right w:val="nil"/>
            </w:tcBorders>
            <w:shd w:val="clear" w:color="auto" w:fill="auto"/>
            <w:vAlign w:val="center"/>
          </w:tcPr>
          <w:p w14:paraId="0CFF0F3D"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(9.0, 12.1)</w:t>
            </w:r>
          </w:p>
        </w:tc>
      </w:tr>
      <w:tr w:rsidR="009118DA" w:rsidRPr="008A7800" w14:paraId="13733162"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6639BF85" w14:textId="77777777" w:rsidR="008A068A" w:rsidRPr="008A7800" w:rsidRDefault="008A068A" w:rsidP="008A068A">
            <w:pPr>
              <w:keepNext/>
              <w:spacing w:before="20" w:after="20"/>
              <w:ind w:left="176"/>
              <w:rPr>
                <w:rFonts w:eastAsiaTheme="minorEastAsia"/>
                <w:b w:val="0"/>
                <w:sz w:val="18"/>
                <w:szCs w:val="18"/>
                <w:lang w:eastAsia="en-US"/>
              </w:rPr>
            </w:pPr>
            <w:r w:rsidRPr="008A7800">
              <w:rPr>
                <w:rFonts w:eastAsiaTheme="minorEastAsia"/>
                <w:b w:val="0"/>
                <w:sz w:val="18"/>
                <w:szCs w:val="18"/>
                <w:lang w:eastAsia="en-US"/>
              </w:rPr>
              <w:t>$51 - $100</w:t>
            </w:r>
          </w:p>
        </w:tc>
        <w:tc>
          <w:tcPr>
            <w:tcW w:w="666" w:type="dxa"/>
            <w:tcBorders>
              <w:top w:val="nil"/>
              <w:left w:val="nil"/>
              <w:bottom w:val="nil"/>
              <w:right w:val="nil"/>
            </w:tcBorders>
            <w:shd w:val="clear" w:color="auto" w:fill="auto"/>
            <w:noWrap/>
            <w:vAlign w:val="center"/>
          </w:tcPr>
          <w:p w14:paraId="507535A5"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798</w:t>
            </w:r>
          </w:p>
        </w:tc>
        <w:tc>
          <w:tcPr>
            <w:tcW w:w="567" w:type="dxa"/>
            <w:tcBorders>
              <w:top w:val="nil"/>
              <w:left w:val="nil"/>
              <w:bottom w:val="nil"/>
              <w:right w:val="nil"/>
            </w:tcBorders>
            <w:shd w:val="clear" w:color="auto" w:fill="auto"/>
            <w:noWrap/>
            <w:vAlign w:val="center"/>
          </w:tcPr>
          <w:p w14:paraId="3B97DD19"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12.8</w:t>
            </w:r>
          </w:p>
        </w:tc>
        <w:tc>
          <w:tcPr>
            <w:tcW w:w="1146" w:type="dxa"/>
            <w:tcBorders>
              <w:top w:val="nil"/>
              <w:left w:val="nil"/>
              <w:bottom w:val="nil"/>
              <w:right w:val="single" w:sz="4" w:space="0" w:color="auto"/>
            </w:tcBorders>
            <w:shd w:val="clear" w:color="auto" w:fill="auto"/>
            <w:noWrap/>
            <w:vAlign w:val="center"/>
          </w:tcPr>
          <w:p w14:paraId="4C09DFF9"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(11.8, 13.8)</w:t>
            </w:r>
          </w:p>
        </w:tc>
        <w:tc>
          <w:tcPr>
            <w:tcW w:w="666" w:type="dxa"/>
            <w:tcBorders>
              <w:top w:val="nil"/>
              <w:left w:val="single" w:sz="4" w:space="0" w:color="auto"/>
              <w:bottom w:val="nil"/>
              <w:right w:val="nil"/>
            </w:tcBorders>
            <w:shd w:val="clear" w:color="auto" w:fill="auto"/>
            <w:noWrap/>
            <w:vAlign w:val="center"/>
          </w:tcPr>
          <w:p w14:paraId="31E22FC5"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473</w:t>
            </w:r>
          </w:p>
        </w:tc>
        <w:tc>
          <w:tcPr>
            <w:tcW w:w="621" w:type="dxa"/>
            <w:tcBorders>
              <w:top w:val="nil"/>
              <w:left w:val="nil"/>
              <w:bottom w:val="nil"/>
              <w:right w:val="nil"/>
            </w:tcBorders>
            <w:shd w:val="clear" w:color="auto" w:fill="auto"/>
            <w:noWrap/>
            <w:vAlign w:val="center"/>
          </w:tcPr>
          <w:p w14:paraId="4D4F6A03"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12.6</w:t>
            </w:r>
          </w:p>
        </w:tc>
        <w:tc>
          <w:tcPr>
            <w:tcW w:w="1146" w:type="dxa"/>
            <w:tcBorders>
              <w:top w:val="nil"/>
              <w:left w:val="nil"/>
              <w:bottom w:val="nil"/>
              <w:right w:val="single" w:sz="4" w:space="0" w:color="000000"/>
            </w:tcBorders>
            <w:shd w:val="clear" w:color="auto" w:fill="auto"/>
            <w:noWrap/>
            <w:vAlign w:val="center"/>
          </w:tcPr>
          <w:p w14:paraId="7AA2DFEF"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(11.3, 13.9)</w:t>
            </w:r>
          </w:p>
        </w:tc>
        <w:tc>
          <w:tcPr>
            <w:tcW w:w="616" w:type="dxa"/>
            <w:tcBorders>
              <w:top w:val="nil"/>
              <w:left w:val="single" w:sz="4" w:space="0" w:color="000000"/>
              <w:bottom w:val="nil"/>
              <w:right w:val="nil"/>
            </w:tcBorders>
            <w:shd w:val="clear" w:color="auto" w:fill="auto"/>
            <w:vAlign w:val="center"/>
          </w:tcPr>
          <w:p w14:paraId="5575D4C6"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391</w:t>
            </w:r>
          </w:p>
        </w:tc>
        <w:tc>
          <w:tcPr>
            <w:tcW w:w="567" w:type="dxa"/>
            <w:tcBorders>
              <w:top w:val="nil"/>
              <w:left w:val="nil"/>
              <w:bottom w:val="nil"/>
              <w:right w:val="nil"/>
            </w:tcBorders>
            <w:shd w:val="clear" w:color="auto" w:fill="auto"/>
            <w:vAlign w:val="center"/>
          </w:tcPr>
          <w:p w14:paraId="2470A100"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12.5</w:t>
            </w:r>
          </w:p>
        </w:tc>
        <w:tc>
          <w:tcPr>
            <w:tcW w:w="1146" w:type="dxa"/>
            <w:tcBorders>
              <w:top w:val="nil"/>
              <w:left w:val="nil"/>
              <w:bottom w:val="nil"/>
              <w:right w:val="single" w:sz="4" w:space="0" w:color="000000"/>
            </w:tcBorders>
            <w:shd w:val="clear" w:color="auto" w:fill="auto"/>
            <w:vAlign w:val="center"/>
          </w:tcPr>
          <w:p w14:paraId="0FDD3427"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(11.2, 13.9)</w:t>
            </w:r>
          </w:p>
        </w:tc>
        <w:tc>
          <w:tcPr>
            <w:tcW w:w="616" w:type="dxa"/>
            <w:tcBorders>
              <w:top w:val="nil"/>
              <w:left w:val="single" w:sz="4" w:space="0" w:color="000000"/>
              <w:bottom w:val="nil"/>
              <w:right w:val="nil"/>
            </w:tcBorders>
            <w:shd w:val="clear" w:color="auto" w:fill="auto"/>
            <w:vAlign w:val="center"/>
          </w:tcPr>
          <w:p w14:paraId="342663A8"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351</w:t>
            </w:r>
          </w:p>
        </w:tc>
        <w:tc>
          <w:tcPr>
            <w:tcW w:w="576" w:type="dxa"/>
            <w:tcBorders>
              <w:top w:val="nil"/>
              <w:left w:val="nil"/>
              <w:bottom w:val="nil"/>
              <w:right w:val="nil"/>
            </w:tcBorders>
            <w:shd w:val="clear" w:color="auto" w:fill="auto"/>
            <w:vAlign w:val="center"/>
          </w:tcPr>
          <w:p w14:paraId="3FC9F34E"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12.7</w:t>
            </w:r>
          </w:p>
        </w:tc>
        <w:tc>
          <w:tcPr>
            <w:tcW w:w="1146" w:type="dxa"/>
            <w:tcBorders>
              <w:top w:val="nil"/>
              <w:left w:val="nil"/>
              <w:bottom w:val="nil"/>
              <w:right w:val="nil"/>
            </w:tcBorders>
            <w:shd w:val="clear" w:color="auto" w:fill="auto"/>
            <w:vAlign w:val="center"/>
          </w:tcPr>
          <w:p w14:paraId="4187D7EB"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(11.2, 14.1)</w:t>
            </w:r>
          </w:p>
        </w:tc>
      </w:tr>
      <w:tr w:rsidR="009118DA" w:rsidRPr="008A7800" w14:paraId="63092FCE"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453A3C5E" w14:textId="77777777" w:rsidR="008A068A" w:rsidRPr="008A7800" w:rsidRDefault="008A068A" w:rsidP="008A068A">
            <w:pPr>
              <w:keepNext/>
              <w:spacing w:before="20" w:after="20"/>
              <w:ind w:left="176"/>
              <w:rPr>
                <w:rFonts w:eastAsiaTheme="minorEastAsia"/>
                <w:b w:val="0"/>
                <w:sz w:val="18"/>
                <w:szCs w:val="18"/>
                <w:lang w:eastAsia="en-US"/>
              </w:rPr>
            </w:pPr>
            <w:r w:rsidRPr="008A7800">
              <w:rPr>
                <w:rFonts w:eastAsiaTheme="minorEastAsia"/>
                <w:b w:val="0"/>
                <w:sz w:val="18"/>
                <w:szCs w:val="18"/>
                <w:lang w:eastAsia="en-US"/>
              </w:rPr>
              <w:t>$101 - $500</w:t>
            </w:r>
          </w:p>
        </w:tc>
        <w:tc>
          <w:tcPr>
            <w:tcW w:w="666" w:type="dxa"/>
            <w:tcBorders>
              <w:top w:val="nil"/>
              <w:left w:val="nil"/>
              <w:bottom w:val="nil"/>
              <w:right w:val="nil"/>
            </w:tcBorders>
            <w:shd w:val="clear" w:color="auto" w:fill="auto"/>
            <w:noWrap/>
            <w:vAlign w:val="center"/>
          </w:tcPr>
          <w:p w14:paraId="662AABBA"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688</w:t>
            </w:r>
          </w:p>
        </w:tc>
        <w:tc>
          <w:tcPr>
            <w:tcW w:w="567" w:type="dxa"/>
            <w:tcBorders>
              <w:top w:val="nil"/>
              <w:left w:val="nil"/>
              <w:bottom w:val="nil"/>
              <w:right w:val="nil"/>
            </w:tcBorders>
            <w:shd w:val="clear" w:color="auto" w:fill="auto"/>
            <w:noWrap/>
            <w:vAlign w:val="center"/>
          </w:tcPr>
          <w:p w14:paraId="0E0AE6A6"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11.0</w:t>
            </w:r>
          </w:p>
        </w:tc>
        <w:tc>
          <w:tcPr>
            <w:tcW w:w="1146" w:type="dxa"/>
            <w:tcBorders>
              <w:top w:val="nil"/>
              <w:left w:val="nil"/>
              <w:bottom w:val="nil"/>
              <w:right w:val="single" w:sz="4" w:space="0" w:color="000000"/>
            </w:tcBorders>
            <w:shd w:val="clear" w:color="auto" w:fill="auto"/>
            <w:noWrap/>
            <w:vAlign w:val="center"/>
          </w:tcPr>
          <w:p w14:paraId="533F2D3E"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(10.1, 11.9)</w:t>
            </w:r>
          </w:p>
        </w:tc>
        <w:tc>
          <w:tcPr>
            <w:tcW w:w="666" w:type="dxa"/>
            <w:tcBorders>
              <w:top w:val="nil"/>
              <w:left w:val="single" w:sz="4" w:space="0" w:color="000000"/>
              <w:bottom w:val="nil"/>
              <w:right w:val="nil"/>
            </w:tcBorders>
            <w:shd w:val="clear" w:color="auto" w:fill="auto"/>
            <w:noWrap/>
            <w:vAlign w:val="center"/>
          </w:tcPr>
          <w:p w14:paraId="39B7938B"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364</w:t>
            </w:r>
          </w:p>
        </w:tc>
        <w:tc>
          <w:tcPr>
            <w:tcW w:w="621" w:type="dxa"/>
            <w:tcBorders>
              <w:top w:val="nil"/>
              <w:left w:val="nil"/>
              <w:bottom w:val="nil"/>
              <w:right w:val="nil"/>
            </w:tcBorders>
            <w:shd w:val="clear" w:color="auto" w:fill="auto"/>
            <w:noWrap/>
            <w:vAlign w:val="center"/>
          </w:tcPr>
          <w:p w14:paraId="52A4042D"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9.7</w:t>
            </w:r>
          </w:p>
        </w:tc>
        <w:tc>
          <w:tcPr>
            <w:tcW w:w="1146" w:type="dxa"/>
            <w:tcBorders>
              <w:top w:val="nil"/>
              <w:left w:val="nil"/>
              <w:bottom w:val="nil"/>
              <w:right w:val="single" w:sz="4" w:space="0" w:color="000000"/>
            </w:tcBorders>
            <w:shd w:val="clear" w:color="auto" w:fill="auto"/>
            <w:noWrap/>
            <w:vAlign w:val="center"/>
          </w:tcPr>
          <w:p w14:paraId="79411387"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(8.5, 10.9)</w:t>
            </w:r>
          </w:p>
        </w:tc>
        <w:tc>
          <w:tcPr>
            <w:tcW w:w="616" w:type="dxa"/>
            <w:tcBorders>
              <w:top w:val="nil"/>
              <w:left w:val="single" w:sz="4" w:space="0" w:color="000000"/>
              <w:bottom w:val="nil"/>
              <w:right w:val="nil"/>
            </w:tcBorders>
            <w:shd w:val="clear" w:color="auto" w:fill="auto"/>
            <w:vAlign w:val="center"/>
          </w:tcPr>
          <w:p w14:paraId="5097126F"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272</w:t>
            </w:r>
          </w:p>
        </w:tc>
        <w:tc>
          <w:tcPr>
            <w:tcW w:w="567" w:type="dxa"/>
            <w:tcBorders>
              <w:top w:val="nil"/>
              <w:left w:val="nil"/>
              <w:bottom w:val="nil"/>
              <w:right w:val="nil"/>
            </w:tcBorders>
            <w:shd w:val="clear" w:color="auto" w:fill="auto"/>
            <w:vAlign w:val="center"/>
          </w:tcPr>
          <w:p w14:paraId="4EAB17D9"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8.7</w:t>
            </w:r>
          </w:p>
        </w:tc>
        <w:tc>
          <w:tcPr>
            <w:tcW w:w="1146" w:type="dxa"/>
            <w:tcBorders>
              <w:top w:val="nil"/>
              <w:left w:val="nil"/>
              <w:bottom w:val="nil"/>
              <w:right w:val="single" w:sz="4" w:space="0" w:color="000000"/>
            </w:tcBorders>
            <w:shd w:val="clear" w:color="auto" w:fill="auto"/>
            <w:vAlign w:val="center"/>
          </w:tcPr>
          <w:p w14:paraId="14BEAC69"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(7.6, 9.8)</w:t>
            </w:r>
          </w:p>
        </w:tc>
        <w:tc>
          <w:tcPr>
            <w:tcW w:w="616" w:type="dxa"/>
            <w:tcBorders>
              <w:top w:val="nil"/>
              <w:left w:val="single" w:sz="4" w:space="0" w:color="000000"/>
              <w:bottom w:val="nil"/>
              <w:right w:val="nil"/>
            </w:tcBorders>
            <w:shd w:val="clear" w:color="auto" w:fill="auto"/>
            <w:vAlign w:val="center"/>
          </w:tcPr>
          <w:p w14:paraId="71E9040B"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251</w:t>
            </w:r>
          </w:p>
        </w:tc>
        <w:tc>
          <w:tcPr>
            <w:tcW w:w="576" w:type="dxa"/>
            <w:tcBorders>
              <w:top w:val="nil"/>
              <w:left w:val="nil"/>
              <w:bottom w:val="nil"/>
              <w:right w:val="nil"/>
            </w:tcBorders>
            <w:shd w:val="clear" w:color="auto" w:fill="auto"/>
            <w:vAlign w:val="center"/>
          </w:tcPr>
          <w:p w14:paraId="134D1A47"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9.1</w:t>
            </w:r>
          </w:p>
        </w:tc>
        <w:tc>
          <w:tcPr>
            <w:tcW w:w="1146" w:type="dxa"/>
            <w:tcBorders>
              <w:top w:val="nil"/>
              <w:left w:val="nil"/>
              <w:bottom w:val="nil"/>
              <w:right w:val="nil"/>
            </w:tcBorders>
            <w:shd w:val="clear" w:color="auto" w:fill="auto"/>
            <w:vAlign w:val="center"/>
          </w:tcPr>
          <w:p w14:paraId="0FF5C813"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(7.8, 10.3)</w:t>
            </w:r>
          </w:p>
        </w:tc>
      </w:tr>
      <w:tr w:rsidR="009118DA" w:rsidRPr="008A7800" w14:paraId="0F5C8D5F"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727BE6CC" w14:textId="77777777" w:rsidR="008A068A" w:rsidRPr="008A7800" w:rsidRDefault="008A068A" w:rsidP="008A068A">
            <w:pPr>
              <w:keepNext/>
              <w:spacing w:before="20" w:after="20"/>
              <w:ind w:left="176"/>
              <w:rPr>
                <w:rFonts w:eastAsiaTheme="minorEastAsia"/>
                <w:b w:val="0"/>
                <w:sz w:val="18"/>
                <w:szCs w:val="18"/>
                <w:lang w:eastAsia="en-US"/>
              </w:rPr>
            </w:pPr>
            <w:r w:rsidRPr="008A7800">
              <w:rPr>
                <w:rFonts w:eastAsiaTheme="minorEastAsia"/>
                <w:b w:val="0"/>
                <w:sz w:val="18"/>
                <w:szCs w:val="18"/>
                <w:lang w:eastAsia="en-US"/>
              </w:rPr>
              <w:t>&gt;$500</w:t>
            </w:r>
          </w:p>
        </w:tc>
        <w:tc>
          <w:tcPr>
            <w:tcW w:w="666" w:type="dxa"/>
            <w:tcBorders>
              <w:top w:val="nil"/>
              <w:left w:val="nil"/>
              <w:bottom w:val="nil"/>
              <w:right w:val="nil"/>
            </w:tcBorders>
            <w:shd w:val="clear" w:color="auto" w:fill="auto"/>
            <w:noWrap/>
            <w:vAlign w:val="center"/>
          </w:tcPr>
          <w:p w14:paraId="16520EB5"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129</w:t>
            </w:r>
          </w:p>
        </w:tc>
        <w:tc>
          <w:tcPr>
            <w:tcW w:w="567" w:type="dxa"/>
            <w:tcBorders>
              <w:top w:val="nil"/>
              <w:left w:val="nil"/>
              <w:bottom w:val="nil"/>
              <w:right w:val="nil"/>
            </w:tcBorders>
            <w:shd w:val="clear" w:color="auto" w:fill="auto"/>
            <w:noWrap/>
            <w:vAlign w:val="center"/>
          </w:tcPr>
          <w:p w14:paraId="650AED20"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2.1</w:t>
            </w:r>
          </w:p>
        </w:tc>
        <w:tc>
          <w:tcPr>
            <w:tcW w:w="1146" w:type="dxa"/>
            <w:tcBorders>
              <w:top w:val="nil"/>
              <w:left w:val="nil"/>
              <w:bottom w:val="nil"/>
              <w:right w:val="single" w:sz="4" w:space="0" w:color="000000"/>
            </w:tcBorders>
            <w:shd w:val="clear" w:color="auto" w:fill="auto"/>
            <w:noWrap/>
            <w:vAlign w:val="center"/>
          </w:tcPr>
          <w:p w14:paraId="6F37C761"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(1.7, 2.5)</w:t>
            </w:r>
          </w:p>
        </w:tc>
        <w:tc>
          <w:tcPr>
            <w:tcW w:w="666" w:type="dxa"/>
            <w:tcBorders>
              <w:top w:val="nil"/>
              <w:left w:val="single" w:sz="4" w:space="0" w:color="000000"/>
              <w:bottom w:val="nil"/>
              <w:right w:val="nil"/>
            </w:tcBorders>
            <w:shd w:val="clear" w:color="auto" w:fill="auto"/>
            <w:noWrap/>
            <w:vAlign w:val="center"/>
          </w:tcPr>
          <w:p w14:paraId="49E8BD83"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64</w:t>
            </w:r>
          </w:p>
        </w:tc>
        <w:tc>
          <w:tcPr>
            <w:tcW w:w="621" w:type="dxa"/>
            <w:tcBorders>
              <w:top w:val="nil"/>
              <w:left w:val="nil"/>
              <w:bottom w:val="nil"/>
              <w:right w:val="nil"/>
            </w:tcBorders>
            <w:shd w:val="clear" w:color="auto" w:fill="auto"/>
            <w:noWrap/>
            <w:vAlign w:val="center"/>
          </w:tcPr>
          <w:p w14:paraId="00BB2C60"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w:t>
            </w:r>
          </w:p>
        </w:tc>
        <w:tc>
          <w:tcPr>
            <w:tcW w:w="1146" w:type="dxa"/>
            <w:tcBorders>
              <w:top w:val="nil"/>
              <w:left w:val="nil"/>
              <w:bottom w:val="nil"/>
              <w:right w:val="single" w:sz="4" w:space="0" w:color="000000"/>
            </w:tcBorders>
            <w:shd w:val="clear" w:color="auto" w:fill="auto"/>
            <w:noWrap/>
            <w:vAlign w:val="center"/>
          </w:tcPr>
          <w:p w14:paraId="27A213ED"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(1.2, 2.2)</w:t>
            </w:r>
          </w:p>
        </w:tc>
        <w:tc>
          <w:tcPr>
            <w:tcW w:w="616" w:type="dxa"/>
            <w:tcBorders>
              <w:top w:val="nil"/>
              <w:left w:val="single" w:sz="4" w:space="0" w:color="000000"/>
              <w:bottom w:val="nil"/>
              <w:right w:val="nil"/>
            </w:tcBorders>
            <w:shd w:val="clear" w:color="auto" w:fill="auto"/>
            <w:vAlign w:val="center"/>
          </w:tcPr>
          <w:p w14:paraId="0FE335A8"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55</w:t>
            </w:r>
          </w:p>
        </w:tc>
        <w:tc>
          <w:tcPr>
            <w:tcW w:w="567" w:type="dxa"/>
            <w:tcBorders>
              <w:top w:val="nil"/>
              <w:left w:val="nil"/>
              <w:bottom w:val="nil"/>
              <w:right w:val="nil"/>
            </w:tcBorders>
            <w:shd w:val="clear" w:color="auto" w:fill="auto"/>
            <w:vAlign w:val="center"/>
          </w:tcPr>
          <w:p w14:paraId="1A8E22BF"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1.8</w:t>
            </w:r>
          </w:p>
        </w:tc>
        <w:tc>
          <w:tcPr>
            <w:tcW w:w="1146" w:type="dxa"/>
            <w:tcBorders>
              <w:top w:val="nil"/>
              <w:left w:val="nil"/>
              <w:bottom w:val="nil"/>
              <w:right w:val="single" w:sz="4" w:space="0" w:color="000000"/>
            </w:tcBorders>
            <w:shd w:val="clear" w:color="auto" w:fill="auto"/>
            <w:vAlign w:val="center"/>
          </w:tcPr>
          <w:p w14:paraId="59D7B7C3" w14:textId="77777777" w:rsidR="008A068A" w:rsidRPr="008A7800" w:rsidRDefault="008A068A" w:rsidP="008A068A">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(1.2, 2.3)</w:t>
            </w:r>
          </w:p>
        </w:tc>
        <w:tc>
          <w:tcPr>
            <w:tcW w:w="616" w:type="dxa"/>
            <w:tcBorders>
              <w:top w:val="nil"/>
              <w:left w:val="single" w:sz="4" w:space="0" w:color="000000"/>
              <w:bottom w:val="nil"/>
              <w:right w:val="nil"/>
            </w:tcBorders>
            <w:shd w:val="clear" w:color="auto" w:fill="auto"/>
            <w:vAlign w:val="center"/>
          </w:tcPr>
          <w:p w14:paraId="43B1A924"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32</w:t>
            </w:r>
          </w:p>
        </w:tc>
        <w:tc>
          <w:tcPr>
            <w:tcW w:w="576" w:type="dxa"/>
            <w:tcBorders>
              <w:top w:val="nil"/>
              <w:left w:val="nil"/>
              <w:bottom w:val="nil"/>
              <w:right w:val="nil"/>
            </w:tcBorders>
            <w:shd w:val="clear" w:color="auto" w:fill="auto"/>
            <w:vAlign w:val="center"/>
          </w:tcPr>
          <w:p w14:paraId="11B29E73"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w:t>
            </w:r>
          </w:p>
        </w:tc>
        <w:tc>
          <w:tcPr>
            <w:tcW w:w="1146" w:type="dxa"/>
            <w:tcBorders>
              <w:top w:val="nil"/>
              <w:left w:val="nil"/>
              <w:bottom w:val="nil"/>
              <w:right w:val="nil"/>
            </w:tcBorders>
            <w:shd w:val="clear" w:color="auto" w:fill="auto"/>
            <w:vAlign w:val="center"/>
          </w:tcPr>
          <w:p w14:paraId="0C75697D" w14:textId="77777777" w:rsidR="008A068A" w:rsidRPr="008A7800" w:rsidRDefault="008A068A" w:rsidP="008A068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(0.7, 1.6)</w:t>
            </w:r>
          </w:p>
        </w:tc>
      </w:tr>
      <w:tr w:rsidR="009118DA" w:rsidRPr="008A7800" w14:paraId="4E22F60E"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6CA82863" w14:textId="77777777" w:rsidR="008A068A" w:rsidRPr="008A7800" w:rsidRDefault="008A068A" w:rsidP="008A068A">
            <w:pPr>
              <w:tabs>
                <w:tab w:val="left" w:pos="176"/>
              </w:tabs>
              <w:spacing w:before="20" w:after="40"/>
              <w:rPr>
                <w:rFonts w:eastAsiaTheme="minorEastAsia"/>
                <w:b w:val="0"/>
                <w:sz w:val="18"/>
                <w:szCs w:val="18"/>
                <w:lang w:eastAsia="en-US"/>
              </w:rPr>
            </w:pPr>
            <w:r w:rsidRPr="008A7800">
              <w:rPr>
                <w:rFonts w:eastAsiaTheme="minorEastAsia"/>
                <w:b w:val="0"/>
                <w:sz w:val="18"/>
                <w:szCs w:val="18"/>
                <w:lang w:eastAsia="en-US"/>
              </w:rPr>
              <w:tab/>
              <w:t>Not reported</w:t>
            </w:r>
          </w:p>
        </w:tc>
        <w:tc>
          <w:tcPr>
            <w:tcW w:w="666" w:type="dxa"/>
            <w:tcBorders>
              <w:top w:val="nil"/>
              <w:left w:val="nil"/>
              <w:bottom w:val="nil"/>
              <w:right w:val="nil"/>
            </w:tcBorders>
            <w:shd w:val="clear" w:color="auto" w:fill="auto"/>
            <w:vAlign w:val="center"/>
          </w:tcPr>
          <w:p w14:paraId="0A22449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w:t>
            </w:r>
          </w:p>
        </w:tc>
        <w:tc>
          <w:tcPr>
            <w:tcW w:w="567" w:type="dxa"/>
            <w:tcBorders>
              <w:top w:val="nil"/>
              <w:left w:val="nil"/>
              <w:bottom w:val="nil"/>
              <w:right w:val="nil"/>
            </w:tcBorders>
            <w:shd w:val="clear" w:color="auto" w:fill="auto"/>
            <w:noWrap/>
            <w:vAlign w:val="center"/>
          </w:tcPr>
          <w:p w14:paraId="5FAF358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0.0</w:t>
            </w:r>
          </w:p>
        </w:tc>
        <w:tc>
          <w:tcPr>
            <w:tcW w:w="1146" w:type="dxa"/>
            <w:tcBorders>
              <w:top w:val="nil"/>
              <w:left w:val="nil"/>
              <w:bottom w:val="nil"/>
              <w:right w:val="single" w:sz="4" w:space="0" w:color="000000"/>
            </w:tcBorders>
            <w:shd w:val="clear" w:color="auto" w:fill="auto"/>
            <w:noWrap/>
            <w:vAlign w:val="center"/>
          </w:tcPr>
          <w:p w14:paraId="5FA5EEA9" w14:textId="77777777" w:rsidR="008A068A" w:rsidRPr="008A7800" w:rsidRDefault="00ED1E40"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Pr>
                <w:rFonts w:eastAsiaTheme="minorEastAsia"/>
                <w:sz w:val="18"/>
                <w:szCs w:val="18"/>
                <w:lang w:eastAsia="en-US"/>
              </w:rPr>
              <w:t>!</w:t>
            </w:r>
          </w:p>
        </w:tc>
        <w:tc>
          <w:tcPr>
            <w:tcW w:w="666" w:type="dxa"/>
            <w:tcBorders>
              <w:top w:val="nil"/>
              <w:left w:val="single" w:sz="4" w:space="0" w:color="000000"/>
              <w:bottom w:val="nil"/>
              <w:right w:val="nil"/>
            </w:tcBorders>
            <w:shd w:val="clear" w:color="auto" w:fill="auto"/>
            <w:noWrap/>
            <w:vAlign w:val="center"/>
          </w:tcPr>
          <w:p w14:paraId="7BC1A91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w:t>
            </w:r>
          </w:p>
        </w:tc>
        <w:tc>
          <w:tcPr>
            <w:tcW w:w="621" w:type="dxa"/>
            <w:tcBorders>
              <w:top w:val="nil"/>
              <w:left w:val="nil"/>
              <w:bottom w:val="nil"/>
              <w:right w:val="nil"/>
            </w:tcBorders>
            <w:shd w:val="clear" w:color="auto" w:fill="auto"/>
            <w:noWrap/>
            <w:vAlign w:val="center"/>
          </w:tcPr>
          <w:p w14:paraId="4F803C6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0.1</w:t>
            </w:r>
          </w:p>
        </w:tc>
        <w:tc>
          <w:tcPr>
            <w:tcW w:w="1146" w:type="dxa"/>
            <w:tcBorders>
              <w:top w:val="nil"/>
              <w:left w:val="nil"/>
              <w:bottom w:val="nil"/>
              <w:right w:val="single" w:sz="4" w:space="0" w:color="000000"/>
            </w:tcBorders>
            <w:shd w:val="clear" w:color="auto" w:fill="auto"/>
            <w:noWrap/>
            <w:vAlign w:val="center"/>
          </w:tcPr>
          <w:p w14:paraId="05994675" w14:textId="77777777" w:rsidR="008A068A" w:rsidRPr="008A7800" w:rsidRDefault="00ED1E40"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Pr>
                <w:rFonts w:eastAsiaTheme="minorEastAsia"/>
                <w:sz w:val="18"/>
                <w:szCs w:val="18"/>
                <w:lang w:eastAsia="en-US"/>
              </w:rPr>
              <w:t>!</w:t>
            </w:r>
          </w:p>
        </w:tc>
        <w:tc>
          <w:tcPr>
            <w:tcW w:w="616" w:type="dxa"/>
            <w:tcBorders>
              <w:top w:val="nil"/>
              <w:left w:val="single" w:sz="4" w:space="0" w:color="000000"/>
              <w:bottom w:val="nil"/>
              <w:right w:val="nil"/>
            </w:tcBorders>
            <w:shd w:val="clear" w:color="auto" w:fill="auto"/>
            <w:vAlign w:val="center"/>
          </w:tcPr>
          <w:p w14:paraId="6430BB96"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w:t>
            </w:r>
          </w:p>
        </w:tc>
        <w:tc>
          <w:tcPr>
            <w:tcW w:w="567" w:type="dxa"/>
            <w:tcBorders>
              <w:top w:val="nil"/>
              <w:left w:val="nil"/>
              <w:bottom w:val="nil"/>
              <w:right w:val="nil"/>
            </w:tcBorders>
            <w:shd w:val="clear" w:color="auto" w:fill="auto"/>
            <w:vAlign w:val="center"/>
          </w:tcPr>
          <w:p w14:paraId="3C995577"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w:t>
            </w:r>
          </w:p>
        </w:tc>
        <w:tc>
          <w:tcPr>
            <w:tcW w:w="1146" w:type="dxa"/>
            <w:tcBorders>
              <w:top w:val="nil"/>
              <w:left w:val="nil"/>
              <w:bottom w:val="nil"/>
              <w:right w:val="single" w:sz="4" w:space="0" w:color="000000"/>
            </w:tcBorders>
            <w:shd w:val="clear" w:color="auto" w:fill="auto"/>
            <w:vAlign w:val="center"/>
          </w:tcPr>
          <w:p w14:paraId="6170864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616" w:type="dxa"/>
            <w:tcBorders>
              <w:top w:val="nil"/>
              <w:left w:val="single" w:sz="4" w:space="0" w:color="000000"/>
              <w:bottom w:val="nil"/>
              <w:right w:val="nil"/>
            </w:tcBorders>
            <w:shd w:val="clear" w:color="auto" w:fill="auto"/>
            <w:vAlign w:val="center"/>
          </w:tcPr>
          <w:p w14:paraId="34DB4527"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w:t>
            </w:r>
          </w:p>
        </w:tc>
        <w:tc>
          <w:tcPr>
            <w:tcW w:w="576" w:type="dxa"/>
            <w:tcBorders>
              <w:top w:val="nil"/>
              <w:left w:val="nil"/>
              <w:bottom w:val="nil"/>
              <w:right w:val="nil"/>
            </w:tcBorders>
            <w:shd w:val="clear" w:color="auto" w:fill="auto"/>
            <w:vAlign w:val="center"/>
          </w:tcPr>
          <w:p w14:paraId="5AF8C554"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w:t>
            </w:r>
          </w:p>
        </w:tc>
        <w:tc>
          <w:tcPr>
            <w:tcW w:w="1146" w:type="dxa"/>
            <w:tcBorders>
              <w:top w:val="nil"/>
              <w:left w:val="nil"/>
              <w:bottom w:val="nil"/>
              <w:right w:val="nil"/>
            </w:tcBorders>
            <w:shd w:val="clear" w:color="auto" w:fill="auto"/>
            <w:vAlign w:val="center"/>
          </w:tcPr>
          <w:p w14:paraId="14B71164"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118DA" w:rsidRPr="008A7800" w14:paraId="287D6190"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2E4650ED" w14:textId="77777777" w:rsidR="008A068A" w:rsidRPr="008A7800" w:rsidRDefault="008A068A" w:rsidP="008A068A">
            <w:pPr>
              <w:spacing w:before="20" w:after="20"/>
              <w:rPr>
                <w:rFonts w:eastAsiaTheme="minorEastAsia"/>
                <w:sz w:val="18"/>
                <w:szCs w:val="18"/>
                <w:lang w:eastAsia="en-US"/>
              </w:rPr>
            </w:pPr>
            <w:r w:rsidRPr="008A7800">
              <w:rPr>
                <w:rFonts w:eastAsiaTheme="minorEastAsia"/>
                <w:sz w:val="18"/>
                <w:szCs w:val="18"/>
                <w:lang w:eastAsia="en-US"/>
              </w:rPr>
              <w:t>Most preferred activity</w:t>
            </w:r>
          </w:p>
        </w:tc>
        <w:tc>
          <w:tcPr>
            <w:tcW w:w="666" w:type="dxa"/>
            <w:tcBorders>
              <w:top w:val="nil"/>
              <w:left w:val="nil"/>
              <w:bottom w:val="nil"/>
              <w:right w:val="nil"/>
            </w:tcBorders>
            <w:shd w:val="clear" w:color="auto" w:fill="auto"/>
            <w:noWrap/>
            <w:vAlign w:val="center"/>
          </w:tcPr>
          <w:p w14:paraId="5A9B65C5" w14:textId="77777777" w:rsidR="008A068A" w:rsidRPr="008A7800" w:rsidRDefault="008A068A" w:rsidP="008A068A">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67" w:type="dxa"/>
            <w:tcBorders>
              <w:top w:val="nil"/>
              <w:left w:val="nil"/>
              <w:bottom w:val="nil"/>
              <w:right w:val="nil"/>
            </w:tcBorders>
            <w:shd w:val="clear" w:color="auto" w:fill="auto"/>
            <w:noWrap/>
            <w:vAlign w:val="center"/>
          </w:tcPr>
          <w:p w14:paraId="169C0FF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auto"/>
            <w:noWrap/>
            <w:vAlign w:val="center"/>
          </w:tcPr>
          <w:p w14:paraId="7C1CF83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66" w:type="dxa"/>
            <w:tcBorders>
              <w:top w:val="nil"/>
              <w:left w:val="single" w:sz="4" w:space="0" w:color="000000"/>
              <w:bottom w:val="nil"/>
              <w:right w:val="nil"/>
            </w:tcBorders>
            <w:shd w:val="clear" w:color="auto" w:fill="auto"/>
            <w:noWrap/>
            <w:vAlign w:val="center"/>
          </w:tcPr>
          <w:p w14:paraId="7E6BBB2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nil"/>
              <w:left w:val="nil"/>
              <w:bottom w:val="nil"/>
              <w:right w:val="nil"/>
            </w:tcBorders>
            <w:shd w:val="clear" w:color="auto" w:fill="auto"/>
            <w:noWrap/>
            <w:vAlign w:val="center"/>
          </w:tcPr>
          <w:p w14:paraId="05F8EC7E"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auto"/>
            <w:noWrap/>
            <w:vAlign w:val="center"/>
          </w:tcPr>
          <w:p w14:paraId="39955F56"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616" w:type="dxa"/>
            <w:tcBorders>
              <w:top w:val="nil"/>
              <w:left w:val="single" w:sz="4" w:space="0" w:color="000000"/>
              <w:bottom w:val="nil"/>
              <w:right w:val="nil"/>
            </w:tcBorders>
            <w:shd w:val="clear" w:color="auto" w:fill="auto"/>
            <w:vAlign w:val="center"/>
          </w:tcPr>
          <w:p w14:paraId="32773D9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67" w:type="dxa"/>
            <w:tcBorders>
              <w:top w:val="nil"/>
              <w:left w:val="nil"/>
              <w:bottom w:val="nil"/>
              <w:right w:val="nil"/>
            </w:tcBorders>
            <w:shd w:val="clear" w:color="auto" w:fill="auto"/>
            <w:vAlign w:val="center"/>
          </w:tcPr>
          <w:p w14:paraId="23835B92"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single" w:sz="4" w:space="0" w:color="000000"/>
            </w:tcBorders>
            <w:shd w:val="clear" w:color="auto" w:fill="auto"/>
            <w:vAlign w:val="center"/>
          </w:tcPr>
          <w:p w14:paraId="015CB7F9"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616" w:type="dxa"/>
            <w:tcBorders>
              <w:top w:val="nil"/>
              <w:left w:val="single" w:sz="4" w:space="0" w:color="000000"/>
              <w:bottom w:val="nil"/>
              <w:right w:val="nil"/>
            </w:tcBorders>
            <w:shd w:val="clear" w:color="auto" w:fill="auto"/>
            <w:vAlign w:val="center"/>
          </w:tcPr>
          <w:p w14:paraId="5D0A8D51"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76" w:type="dxa"/>
            <w:tcBorders>
              <w:top w:val="nil"/>
              <w:left w:val="nil"/>
              <w:bottom w:val="nil"/>
              <w:right w:val="nil"/>
            </w:tcBorders>
            <w:shd w:val="clear" w:color="auto" w:fill="auto"/>
            <w:vAlign w:val="center"/>
          </w:tcPr>
          <w:p w14:paraId="78DC4FAA"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nil"/>
            </w:tcBorders>
            <w:shd w:val="clear" w:color="auto" w:fill="auto"/>
            <w:vAlign w:val="center"/>
          </w:tcPr>
          <w:p w14:paraId="36E92000"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r>
      <w:tr w:rsidR="009118DA" w:rsidRPr="008A7800" w14:paraId="3A4CDC6E"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6D14A8AD" w14:textId="77777777" w:rsidR="008A068A" w:rsidRPr="008A7800" w:rsidRDefault="008A068A" w:rsidP="008A068A">
            <w:pPr>
              <w:spacing w:before="20" w:after="20"/>
              <w:ind w:left="176"/>
              <w:rPr>
                <w:rFonts w:eastAsiaTheme="minorEastAsia"/>
                <w:b w:val="0"/>
                <w:sz w:val="18"/>
                <w:szCs w:val="18"/>
                <w:lang w:eastAsia="en-US"/>
              </w:rPr>
            </w:pPr>
            <w:r w:rsidRPr="008A7800">
              <w:rPr>
                <w:rFonts w:eastAsiaTheme="minorEastAsia"/>
                <w:b w:val="0"/>
                <w:sz w:val="18"/>
                <w:szCs w:val="18"/>
                <w:lang w:eastAsia="en-US"/>
              </w:rPr>
              <w:t>No gambling in past year</w:t>
            </w:r>
          </w:p>
        </w:tc>
        <w:tc>
          <w:tcPr>
            <w:tcW w:w="666" w:type="dxa"/>
            <w:tcBorders>
              <w:top w:val="nil"/>
              <w:left w:val="nil"/>
              <w:bottom w:val="nil"/>
              <w:right w:val="nil"/>
            </w:tcBorders>
            <w:shd w:val="clear" w:color="auto" w:fill="auto"/>
            <w:noWrap/>
            <w:vAlign w:val="center"/>
          </w:tcPr>
          <w:p w14:paraId="4C97ED1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1261</w:t>
            </w:r>
          </w:p>
        </w:tc>
        <w:tc>
          <w:tcPr>
            <w:tcW w:w="567" w:type="dxa"/>
            <w:tcBorders>
              <w:top w:val="nil"/>
              <w:left w:val="nil"/>
              <w:bottom w:val="nil"/>
              <w:right w:val="nil"/>
            </w:tcBorders>
            <w:shd w:val="clear" w:color="auto" w:fill="auto"/>
            <w:noWrap/>
            <w:vAlign w:val="center"/>
          </w:tcPr>
          <w:p w14:paraId="7B70132D"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20.2</w:t>
            </w:r>
          </w:p>
        </w:tc>
        <w:tc>
          <w:tcPr>
            <w:tcW w:w="1146" w:type="dxa"/>
            <w:tcBorders>
              <w:top w:val="nil"/>
              <w:left w:val="nil"/>
              <w:bottom w:val="nil"/>
              <w:right w:val="single" w:sz="4" w:space="0" w:color="auto"/>
            </w:tcBorders>
            <w:shd w:val="clear" w:color="auto" w:fill="auto"/>
            <w:noWrap/>
            <w:vAlign w:val="center"/>
          </w:tcPr>
          <w:p w14:paraId="159C948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(19.0, 21.4)</w:t>
            </w:r>
          </w:p>
        </w:tc>
        <w:tc>
          <w:tcPr>
            <w:tcW w:w="666" w:type="dxa"/>
            <w:tcBorders>
              <w:top w:val="nil"/>
              <w:left w:val="single" w:sz="4" w:space="0" w:color="auto"/>
              <w:bottom w:val="nil"/>
              <w:right w:val="nil"/>
            </w:tcBorders>
            <w:shd w:val="clear" w:color="auto" w:fill="auto"/>
            <w:noWrap/>
            <w:vAlign w:val="center"/>
          </w:tcPr>
          <w:p w14:paraId="32FB614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828</w:t>
            </w:r>
          </w:p>
        </w:tc>
        <w:tc>
          <w:tcPr>
            <w:tcW w:w="621" w:type="dxa"/>
            <w:tcBorders>
              <w:top w:val="nil"/>
              <w:left w:val="nil"/>
              <w:bottom w:val="nil"/>
              <w:right w:val="nil"/>
            </w:tcBorders>
            <w:shd w:val="clear" w:color="auto" w:fill="auto"/>
            <w:noWrap/>
            <w:vAlign w:val="center"/>
          </w:tcPr>
          <w:p w14:paraId="70CEBC66"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22.1</w:t>
            </w:r>
          </w:p>
        </w:tc>
        <w:tc>
          <w:tcPr>
            <w:tcW w:w="1146" w:type="dxa"/>
            <w:tcBorders>
              <w:top w:val="nil"/>
              <w:left w:val="nil"/>
              <w:bottom w:val="nil"/>
              <w:right w:val="single" w:sz="4" w:space="0" w:color="000000"/>
            </w:tcBorders>
            <w:shd w:val="clear" w:color="auto" w:fill="auto"/>
            <w:noWrap/>
            <w:vAlign w:val="center"/>
          </w:tcPr>
          <w:p w14:paraId="461E815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(20.5, 23.7)</w:t>
            </w:r>
          </w:p>
        </w:tc>
        <w:tc>
          <w:tcPr>
            <w:tcW w:w="616" w:type="dxa"/>
            <w:tcBorders>
              <w:top w:val="nil"/>
              <w:left w:val="single" w:sz="4" w:space="0" w:color="000000"/>
              <w:bottom w:val="nil"/>
              <w:right w:val="nil"/>
            </w:tcBorders>
            <w:shd w:val="clear" w:color="auto" w:fill="auto"/>
            <w:vAlign w:val="center"/>
          </w:tcPr>
          <w:p w14:paraId="1B54392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728</w:t>
            </w:r>
          </w:p>
        </w:tc>
        <w:tc>
          <w:tcPr>
            <w:tcW w:w="567" w:type="dxa"/>
            <w:tcBorders>
              <w:top w:val="nil"/>
              <w:left w:val="nil"/>
              <w:bottom w:val="nil"/>
              <w:right w:val="nil"/>
            </w:tcBorders>
            <w:shd w:val="clear" w:color="auto" w:fill="auto"/>
            <w:vAlign w:val="center"/>
          </w:tcPr>
          <w:p w14:paraId="092050A7"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23.3</w:t>
            </w:r>
          </w:p>
        </w:tc>
        <w:tc>
          <w:tcPr>
            <w:tcW w:w="1146" w:type="dxa"/>
            <w:tcBorders>
              <w:top w:val="nil"/>
              <w:left w:val="nil"/>
              <w:bottom w:val="nil"/>
              <w:right w:val="single" w:sz="4" w:space="0" w:color="000000"/>
            </w:tcBorders>
            <w:shd w:val="clear" w:color="auto" w:fill="auto"/>
            <w:vAlign w:val="center"/>
          </w:tcPr>
          <w:p w14:paraId="37C2C9D8"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(21.4, 25.2)</w:t>
            </w:r>
          </w:p>
        </w:tc>
        <w:tc>
          <w:tcPr>
            <w:tcW w:w="616" w:type="dxa"/>
            <w:tcBorders>
              <w:top w:val="nil"/>
              <w:left w:val="single" w:sz="4" w:space="0" w:color="000000"/>
              <w:bottom w:val="nil"/>
              <w:right w:val="nil"/>
            </w:tcBorders>
            <w:shd w:val="clear" w:color="auto" w:fill="auto"/>
            <w:vAlign w:val="center"/>
          </w:tcPr>
          <w:p w14:paraId="46C63FA1"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695</w:t>
            </w:r>
          </w:p>
        </w:tc>
        <w:tc>
          <w:tcPr>
            <w:tcW w:w="576" w:type="dxa"/>
            <w:tcBorders>
              <w:top w:val="nil"/>
              <w:left w:val="nil"/>
              <w:bottom w:val="nil"/>
              <w:right w:val="nil"/>
            </w:tcBorders>
            <w:shd w:val="clear" w:color="auto" w:fill="auto"/>
            <w:vAlign w:val="center"/>
          </w:tcPr>
          <w:p w14:paraId="3E83ED5D"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25.1</w:t>
            </w:r>
          </w:p>
        </w:tc>
        <w:tc>
          <w:tcPr>
            <w:tcW w:w="1146" w:type="dxa"/>
            <w:tcBorders>
              <w:top w:val="nil"/>
              <w:left w:val="nil"/>
              <w:bottom w:val="nil"/>
              <w:right w:val="nil"/>
            </w:tcBorders>
            <w:shd w:val="clear" w:color="auto" w:fill="auto"/>
            <w:vAlign w:val="center"/>
          </w:tcPr>
          <w:p w14:paraId="6635D582"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(23</w:t>
            </w:r>
            <w:r w:rsidR="007C46D2" w:rsidRPr="008A7800">
              <w:rPr>
                <w:color w:val="000000"/>
                <w:sz w:val="18"/>
                <w:szCs w:val="18"/>
              </w:rPr>
              <w:t>.0</w:t>
            </w:r>
            <w:r w:rsidRPr="008A7800">
              <w:rPr>
                <w:color w:val="000000"/>
                <w:sz w:val="18"/>
                <w:szCs w:val="18"/>
              </w:rPr>
              <w:t>, 27.2)</w:t>
            </w:r>
          </w:p>
        </w:tc>
      </w:tr>
      <w:tr w:rsidR="009118DA" w:rsidRPr="008A7800" w14:paraId="1705147D"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31B139A2" w14:textId="77777777" w:rsidR="008A068A" w:rsidRPr="008A7800" w:rsidRDefault="008A068A" w:rsidP="008A068A">
            <w:pPr>
              <w:spacing w:before="20" w:after="20"/>
              <w:ind w:left="176"/>
              <w:rPr>
                <w:rFonts w:eastAsiaTheme="minorEastAsia"/>
                <w:b w:val="0"/>
                <w:sz w:val="18"/>
                <w:szCs w:val="18"/>
                <w:lang w:eastAsia="en-US"/>
              </w:rPr>
            </w:pPr>
            <w:r w:rsidRPr="008A7800">
              <w:rPr>
                <w:rFonts w:eastAsiaTheme="minorEastAsia"/>
                <w:b w:val="0"/>
                <w:sz w:val="18"/>
                <w:szCs w:val="18"/>
                <w:lang w:eastAsia="en-US"/>
              </w:rPr>
              <w:t>Cards games</w:t>
            </w:r>
          </w:p>
        </w:tc>
        <w:tc>
          <w:tcPr>
            <w:tcW w:w="666" w:type="dxa"/>
            <w:tcBorders>
              <w:top w:val="nil"/>
              <w:left w:val="nil"/>
              <w:bottom w:val="nil"/>
              <w:right w:val="nil"/>
            </w:tcBorders>
            <w:shd w:val="clear" w:color="auto" w:fill="auto"/>
            <w:noWrap/>
            <w:vAlign w:val="center"/>
          </w:tcPr>
          <w:p w14:paraId="76FCD53D"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126</w:t>
            </w:r>
          </w:p>
        </w:tc>
        <w:tc>
          <w:tcPr>
            <w:tcW w:w="567" w:type="dxa"/>
            <w:tcBorders>
              <w:top w:val="nil"/>
              <w:left w:val="nil"/>
              <w:bottom w:val="nil"/>
              <w:right w:val="nil"/>
            </w:tcBorders>
            <w:shd w:val="clear" w:color="auto" w:fill="auto"/>
            <w:noWrap/>
            <w:vAlign w:val="center"/>
          </w:tcPr>
          <w:p w14:paraId="5C8D79B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w:t>
            </w:r>
          </w:p>
        </w:tc>
        <w:tc>
          <w:tcPr>
            <w:tcW w:w="1146" w:type="dxa"/>
            <w:tcBorders>
              <w:top w:val="nil"/>
              <w:left w:val="nil"/>
              <w:bottom w:val="nil"/>
              <w:right w:val="single" w:sz="4" w:space="0" w:color="auto"/>
            </w:tcBorders>
            <w:shd w:val="clear" w:color="auto" w:fill="auto"/>
            <w:noWrap/>
            <w:vAlign w:val="center"/>
          </w:tcPr>
          <w:p w14:paraId="3A84868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(1.6, 2.5)</w:t>
            </w:r>
          </w:p>
        </w:tc>
        <w:tc>
          <w:tcPr>
            <w:tcW w:w="666" w:type="dxa"/>
            <w:tcBorders>
              <w:top w:val="nil"/>
              <w:left w:val="single" w:sz="4" w:space="0" w:color="auto"/>
              <w:bottom w:val="nil"/>
              <w:right w:val="nil"/>
            </w:tcBorders>
            <w:shd w:val="clear" w:color="auto" w:fill="auto"/>
            <w:noWrap/>
            <w:vAlign w:val="center"/>
          </w:tcPr>
          <w:p w14:paraId="0928CED8"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65</w:t>
            </w:r>
          </w:p>
        </w:tc>
        <w:tc>
          <w:tcPr>
            <w:tcW w:w="621" w:type="dxa"/>
            <w:tcBorders>
              <w:top w:val="nil"/>
              <w:left w:val="nil"/>
              <w:bottom w:val="nil"/>
              <w:right w:val="nil"/>
            </w:tcBorders>
            <w:shd w:val="clear" w:color="auto" w:fill="auto"/>
            <w:noWrap/>
            <w:vAlign w:val="center"/>
          </w:tcPr>
          <w:p w14:paraId="7D93EEF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w:t>
            </w:r>
          </w:p>
        </w:tc>
        <w:tc>
          <w:tcPr>
            <w:tcW w:w="1146" w:type="dxa"/>
            <w:tcBorders>
              <w:top w:val="nil"/>
              <w:left w:val="nil"/>
              <w:bottom w:val="nil"/>
              <w:right w:val="single" w:sz="4" w:space="0" w:color="000000"/>
            </w:tcBorders>
            <w:shd w:val="clear" w:color="auto" w:fill="auto"/>
            <w:noWrap/>
            <w:vAlign w:val="center"/>
          </w:tcPr>
          <w:p w14:paraId="2F44346E"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(1.1, 2.4)</w:t>
            </w:r>
          </w:p>
        </w:tc>
        <w:tc>
          <w:tcPr>
            <w:tcW w:w="616" w:type="dxa"/>
            <w:tcBorders>
              <w:top w:val="nil"/>
              <w:left w:val="single" w:sz="4" w:space="0" w:color="000000"/>
              <w:bottom w:val="nil"/>
              <w:right w:val="nil"/>
            </w:tcBorders>
            <w:shd w:val="clear" w:color="auto" w:fill="auto"/>
            <w:vAlign w:val="center"/>
          </w:tcPr>
          <w:p w14:paraId="669C359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56</w:t>
            </w:r>
          </w:p>
        </w:tc>
        <w:tc>
          <w:tcPr>
            <w:tcW w:w="567" w:type="dxa"/>
            <w:tcBorders>
              <w:top w:val="nil"/>
              <w:left w:val="nil"/>
              <w:bottom w:val="nil"/>
              <w:right w:val="nil"/>
            </w:tcBorders>
            <w:shd w:val="clear" w:color="auto" w:fill="auto"/>
            <w:vAlign w:val="center"/>
          </w:tcPr>
          <w:p w14:paraId="11C14664"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1.8</w:t>
            </w:r>
          </w:p>
        </w:tc>
        <w:tc>
          <w:tcPr>
            <w:tcW w:w="1146" w:type="dxa"/>
            <w:tcBorders>
              <w:top w:val="nil"/>
              <w:left w:val="nil"/>
              <w:bottom w:val="nil"/>
              <w:right w:val="single" w:sz="4" w:space="0" w:color="000000"/>
            </w:tcBorders>
            <w:shd w:val="clear" w:color="auto" w:fill="auto"/>
            <w:vAlign w:val="center"/>
          </w:tcPr>
          <w:p w14:paraId="3EB61DF4"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(1.0, 2.5)</w:t>
            </w:r>
          </w:p>
        </w:tc>
        <w:tc>
          <w:tcPr>
            <w:tcW w:w="616" w:type="dxa"/>
            <w:tcBorders>
              <w:top w:val="nil"/>
              <w:left w:val="single" w:sz="4" w:space="0" w:color="000000"/>
              <w:bottom w:val="nil"/>
              <w:right w:val="nil"/>
            </w:tcBorders>
            <w:shd w:val="clear" w:color="auto" w:fill="auto"/>
            <w:vAlign w:val="center"/>
          </w:tcPr>
          <w:p w14:paraId="6BA7F93F"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33</w:t>
            </w:r>
          </w:p>
        </w:tc>
        <w:tc>
          <w:tcPr>
            <w:tcW w:w="576" w:type="dxa"/>
            <w:tcBorders>
              <w:top w:val="nil"/>
              <w:left w:val="nil"/>
              <w:bottom w:val="nil"/>
              <w:right w:val="nil"/>
            </w:tcBorders>
            <w:shd w:val="clear" w:color="auto" w:fill="auto"/>
            <w:vAlign w:val="center"/>
          </w:tcPr>
          <w:p w14:paraId="2611DD66"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w:t>
            </w:r>
          </w:p>
        </w:tc>
        <w:tc>
          <w:tcPr>
            <w:tcW w:w="1146" w:type="dxa"/>
            <w:tcBorders>
              <w:top w:val="nil"/>
              <w:left w:val="nil"/>
              <w:bottom w:val="nil"/>
              <w:right w:val="nil"/>
            </w:tcBorders>
            <w:shd w:val="clear" w:color="auto" w:fill="auto"/>
            <w:vAlign w:val="center"/>
          </w:tcPr>
          <w:p w14:paraId="1667611B"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(0.7, 1.7)</w:t>
            </w:r>
          </w:p>
        </w:tc>
      </w:tr>
      <w:tr w:rsidR="009118DA" w:rsidRPr="008A7800" w14:paraId="7C6BFAD5"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38EFC46B" w14:textId="77777777" w:rsidR="008A068A" w:rsidRPr="008A7800" w:rsidRDefault="008A068A" w:rsidP="008A068A">
            <w:pPr>
              <w:spacing w:before="20" w:after="20"/>
              <w:ind w:left="176"/>
              <w:rPr>
                <w:rFonts w:eastAsiaTheme="minorEastAsia"/>
                <w:b w:val="0"/>
                <w:sz w:val="18"/>
                <w:szCs w:val="18"/>
              </w:rPr>
            </w:pPr>
            <w:r w:rsidRPr="008A7800">
              <w:rPr>
                <w:rFonts w:eastAsiaTheme="minorEastAsia"/>
                <w:b w:val="0"/>
                <w:sz w:val="18"/>
                <w:szCs w:val="18"/>
              </w:rPr>
              <w:t>Bets with friends/workmates</w:t>
            </w:r>
          </w:p>
        </w:tc>
        <w:tc>
          <w:tcPr>
            <w:tcW w:w="666" w:type="dxa"/>
            <w:tcBorders>
              <w:top w:val="nil"/>
              <w:left w:val="nil"/>
              <w:bottom w:val="nil"/>
              <w:right w:val="nil"/>
            </w:tcBorders>
            <w:shd w:val="clear" w:color="auto" w:fill="auto"/>
            <w:noWrap/>
            <w:vAlign w:val="center"/>
          </w:tcPr>
          <w:p w14:paraId="614F21D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288</w:t>
            </w:r>
          </w:p>
        </w:tc>
        <w:tc>
          <w:tcPr>
            <w:tcW w:w="567" w:type="dxa"/>
            <w:tcBorders>
              <w:top w:val="nil"/>
              <w:left w:val="nil"/>
              <w:bottom w:val="nil"/>
              <w:right w:val="nil"/>
            </w:tcBorders>
            <w:shd w:val="clear" w:color="auto" w:fill="auto"/>
            <w:noWrap/>
            <w:vAlign w:val="center"/>
          </w:tcPr>
          <w:p w14:paraId="33D3628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4.6</w:t>
            </w:r>
          </w:p>
        </w:tc>
        <w:tc>
          <w:tcPr>
            <w:tcW w:w="1146" w:type="dxa"/>
            <w:tcBorders>
              <w:top w:val="nil"/>
              <w:left w:val="nil"/>
              <w:bottom w:val="nil"/>
              <w:right w:val="single" w:sz="4" w:space="0" w:color="auto"/>
            </w:tcBorders>
            <w:shd w:val="clear" w:color="auto" w:fill="auto"/>
            <w:noWrap/>
            <w:vAlign w:val="center"/>
          </w:tcPr>
          <w:p w14:paraId="4F77617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(4.0, 5.2)</w:t>
            </w:r>
          </w:p>
        </w:tc>
        <w:tc>
          <w:tcPr>
            <w:tcW w:w="666" w:type="dxa"/>
            <w:tcBorders>
              <w:top w:val="nil"/>
              <w:left w:val="single" w:sz="4" w:space="0" w:color="auto"/>
              <w:bottom w:val="nil"/>
              <w:right w:val="nil"/>
            </w:tcBorders>
            <w:shd w:val="clear" w:color="auto" w:fill="auto"/>
            <w:noWrap/>
            <w:vAlign w:val="center"/>
          </w:tcPr>
          <w:p w14:paraId="31E38B5E"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147</w:t>
            </w:r>
          </w:p>
        </w:tc>
        <w:tc>
          <w:tcPr>
            <w:tcW w:w="621" w:type="dxa"/>
            <w:tcBorders>
              <w:top w:val="nil"/>
              <w:left w:val="nil"/>
              <w:bottom w:val="nil"/>
              <w:right w:val="nil"/>
            </w:tcBorders>
            <w:shd w:val="clear" w:color="auto" w:fill="auto"/>
            <w:noWrap/>
            <w:vAlign w:val="center"/>
          </w:tcPr>
          <w:p w14:paraId="01666D4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3.9</w:t>
            </w:r>
          </w:p>
        </w:tc>
        <w:tc>
          <w:tcPr>
            <w:tcW w:w="1146" w:type="dxa"/>
            <w:tcBorders>
              <w:top w:val="nil"/>
              <w:left w:val="nil"/>
              <w:bottom w:val="nil"/>
              <w:right w:val="single" w:sz="4" w:space="0" w:color="000000"/>
            </w:tcBorders>
            <w:shd w:val="clear" w:color="auto" w:fill="auto"/>
            <w:noWrap/>
            <w:vAlign w:val="center"/>
          </w:tcPr>
          <w:p w14:paraId="517A948E"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(3.2, 4.7)</w:t>
            </w:r>
          </w:p>
        </w:tc>
        <w:tc>
          <w:tcPr>
            <w:tcW w:w="616" w:type="dxa"/>
            <w:tcBorders>
              <w:top w:val="nil"/>
              <w:left w:val="single" w:sz="4" w:space="0" w:color="000000"/>
              <w:bottom w:val="nil"/>
              <w:right w:val="nil"/>
            </w:tcBorders>
            <w:shd w:val="clear" w:color="auto" w:fill="auto"/>
            <w:vAlign w:val="center"/>
          </w:tcPr>
          <w:p w14:paraId="66A1F708"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147</w:t>
            </w:r>
          </w:p>
        </w:tc>
        <w:tc>
          <w:tcPr>
            <w:tcW w:w="567" w:type="dxa"/>
            <w:tcBorders>
              <w:top w:val="nil"/>
              <w:left w:val="nil"/>
              <w:bottom w:val="nil"/>
              <w:right w:val="nil"/>
            </w:tcBorders>
            <w:shd w:val="clear" w:color="auto" w:fill="auto"/>
            <w:vAlign w:val="center"/>
          </w:tcPr>
          <w:p w14:paraId="6E8EE557"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4.7</w:t>
            </w:r>
          </w:p>
        </w:tc>
        <w:tc>
          <w:tcPr>
            <w:tcW w:w="1146" w:type="dxa"/>
            <w:tcBorders>
              <w:top w:val="nil"/>
              <w:left w:val="nil"/>
              <w:bottom w:val="nil"/>
              <w:right w:val="single" w:sz="4" w:space="0" w:color="000000"/>
            </w:tcBorders>
            <w:shd w:val="clear" w:color="auto" w:fill="auto"/>
            <w:vAlign w:val="center"/>
          </w:tcPr>
          <w:p w14:paraId="7B0128F9"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(3.9, 5.5)</w:t>
            </w:r>
          </w:p>
        </w:tc>
        <w:tc>
          <w:tcPr>
            <w:tcW w:w="616" w:type="dxa"/>
            <w:tcBorders>
              <w:top w:val="nil"/>
              <w:left w:val="single" w:sz="4" w:space="0" w:color="000000"/>
              <w:bottom w:val="nil"/>
              <w:right w:val="nil"/>
            </w:tcBorders>
            <w:shd w:val="clear" w:color="auto" w:fill="auto"/>
            <w:vAlign w:val="center"/>
          </w:tcPr>
          <w:p w14:paraId="768DC7B9"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127</w:t>
            </w:r>
          </w:p>
        </w:tc>
        <w:tc>
          <w:tcPr>
            <w:tcW w:w="576" w:type="dxa"/>
            <w:tcBorders>
              <w:top w:val="nil"/>
              <w:left w:val="nil"/>
              <w:bottom w:val="nil"/>
              <w:right w:val="nil"/>
            </w:tcBorders>
            <w:shd w:val="clear" w:color="auto" w:fill="auto"/>
            <w:vAlign w:val="center"/>
          </w:tcPr>
          <w:p w14:paraId="3833FA5F"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4.6</w:t>
            </w:r>
          </w:p>
        </w:tc>
        <w:tc>
          <w:tcPr>
            <w:tcW w:w="1146" w:type="dxa"/>
            <w:tcBorders>
              <w:top w:val="nil"/>
              <w:left w:val="nil"/>
              <w:bottom w:val="nil"/>
              <w:right w:val="nil"/>
            </w:tcBorders>
            <w:shd w:val="clear" w:color="auto" w:fill="auto"/>
            <w:vAlign w:val="center"/>
          </w:tcPr>
          <w:p w14:paraId="3D18D339"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(3.7, 5.5)</w:t>
            </w:r>
          </w:p>
        </w:tc>
      </w:tr>
      <w:tr w:rsidR="009118DA" w:rsidRPr="008A7800" w14:paraId="09319933"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5582C85F" w14:textId="77777777" w:rsidR="008A068A" w:rsidRPr="008A7800" w:rsidRDefault="008A068A" w:rsidP="008A068A">
            <w:pPr>
              <w:spacing w:before="20" w:after="20"/>
              <w:ind w:left="176"/>
              <w:rPr>
                <w:rFonts w:eastAsiaTheme="minorEastAsia"/>
                <w:b w:val="0"/>
                <w:sz w:val="18"/>
                <w:szCs w:val="18"/>
                <w:lang w:eastAsia="en-US"/>
              </w:rPr>
            </w:pPr>
            <w:r w:rsidRPr="008A7800">
              <w:rPr>
                <w:rFonts w:eastAsiaTheme="minorEastAsia"/>
                <w:b w:val="0"/>
                <w:sz w:val="18"/>
                <w:szCs w:val="18"/>
                <w:lang w:eastAsia="en-US"/>
              </w:rPr>
              <w:t>Text game or competition</w:t>
            </w:r>
          </w:p>
        </w:tc>
        <w:tc>
          <w:tcPr>
            <w:tcW w:w="666" w:type="dxa"/>
            <w:tcBorders>
              <w:top w:val="nil"/>
              <w:left w:val="nil"/>
              <w:bottom w:val="nil"/>
              <w:right w:val="nil"/>
            </w:tcBorders>
            <w:shd w:val="clear" w:color="auto" w:fill="auto"/>
            <w:noWrap/>
            <w:vAlign w:val="center"/>
          </w:tcPr>
          <w:p w14:paraId="154DBC4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15</w:t>
            </w:r>
          </w:p>
        </w:tc>
        <w:tc>
          <w:tcPr>
            <w:tcW w:w="567" w:type="dxa"/>
            <w:tcBorders>
              <w:top w:val="nil"/>
              <w:left w:val="nil"/>
              <w:bottom w:val="nil"/>
              <w:right w:val="nil"/>
            </w:tcBorders>
            <w:shd w:val="clear" w:color="auto" w:fill="auto"/>
            <w:noWrap/>
            <w:vAlign w:val="center"/>
          </w:tcPr>
          <w:p w14:paraId="623BD7FD"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0.2</w:t>
            </w:r>
          </w:p>
        </w:tc>
        <w:tc>
          <w:tcPr>
            <w:tcW w:w="1146" w:type="dxa"/>
            <w:tcBorders>
              <w:top w:val="nil"/>
              <w:left w:val="nil"/>
              <w:bottom w:val="nil"/>
              <w:right w:val="single" w:sz="4" w:space="0" w:color="auto"/>
            </w:tcBorders>
            <w:shd w:val="clear" w:color="auto" w:fill="auto"/>
            <w:noWrap/>
            <w:vAlign w:val="center"/>
          </w:tcPr>
          <w:p w14:paraId="2CD9DE9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(0.1, 0.4)</w:t>
            </w:r>
          </w:p>
        </w:tc>
        <w:tc>
          <w:tcPr>
            <w:tcW w:w="666" w:type="dxa"/>
            <w:tcBorders>
              <w:top w:val="nil"/>
              <w:left w:val="single" w:sz="4" w:space="0" w:color="auto"/>
              <w:bottom w:val="nil"/>
              <w:right w:val="nil"/>
            </w:tcBorders>
            <w:shd w:val="clear" w:color="auto" w:fill="auto"/>
            <w:noWrap/>
            <w:vAlign w:val="center"/>
          </w:tcPr>
          <w:p w14:paraId="3D3D7DAE"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w:t>
            </w:r>
          </w:p>
        </w:tc>
        <w:tc>
          <w:tcPr>
            <w:tcW w:w="621" w:type="dxa"/>
            <w:tcBorders>
              <w:top w:val="nil"/>
              <w:left w:val="nil"/>
              <w:bottom w:val="nil"/>
              <w:right w:val="nil"/>
            </w:tcBorders>
            <w:shd w:val="clear" w:color="auto" w:fill="auto"/>
            <w:noWrap/>
            <w:vAlign w:val="center"/>
          </w:tcPr>
          <w:p w14:paraId="7B0B5DD7"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0.2</w:t>
            </w:r>
          </w:p>
        </w:tc>
        <w:tc>
          <w:tcPr>
            <w:tcW w:w="1146" w:type="dxa"/>
            <w:tcBorders>
              <w:top w:val="nil"/>
              <w:left w:val="nil"/>
              <w:bottom w:val="nil"/>
              <w:right w:val="single" w:sz="4" w:space="0" w:color="000000"/>
            </w:tcBorders>
            <w:shd w:val="clear" w:color="auto" w:fill="auto"/>
            <w:noWrap/>
            <w:vAlign w:val="center"/>
          </w:tcPr>
          <w:p w14:paraId="7E1BF4F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(0.0, 0.4)</w:t>
            </w:r>
          </w:p>
        </w:tc>
        <w:tc>
          <w:tcPr>
            <w:tcW w:w="616" w:type="dxa"/>
            <w:tcBorders>
              <w:top w:val="nil"/>
              <w:left w:val="single" w:sz="4" w:space="0" w:color="000000"/>
              <w:bottom w:val="nil"/>
              <w:right w:val="nil"/>
            </w:tcBorders>
            <w:shd w:val="clear" w:color="auto" w:fill="auto"/>
            <w:vAlign w:val="center"/>
          </w:tcPr>
          <w:p w14:paraId="1190BADD"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w:t>
            </w:r>
          </w:p>
        </w:tc>
        <w:tc>
          <w:tcPr>
            <w:tcW w:w="567" w:type="dxa"/>
            <w:tcBorders>
              <w:top w:val="nil"/>
              <w:left w:val="nil"/>
              <w:bottom w:val="nil"/>
              <w:right w:val="nil"/>
            </w:tcBorders>
            <w:shd w:val="clear" w:color="auto" w:fill="auto"/>
            <w:vAlign w:val="center"/>
          </w:tcPr>
          <w:p w14:paraId="785D66C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0.2</w:t>
            </w:r>
          </w:p>
        </w:tc>
        <w:tc>
          <w:tcPr>
            <w:tcW w:w="1146" w:type="dxa"/>
            <w:tcBorders>
              <w:top w:val="nil"/>
              <w:left w:val="nil"/>
              <w:bottom w:val="nil"/>
              <w:right w:val="single" w:sz="4" w:space="0" w:color="000000"/>
            </w:tcBorders>
            <w:shd w:val="clear" w:color="auto" w:fill="auto"/>
            <w:vAlign w:val="center"/>
          </w:tcPr>
          <w:p w14:paraId="323BFC57"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(0.0, 0.3)</w:t>
            </w:r>
          </w:p>
        </w:tc>
        <w:tc>
          <w:tcPr>
            <w:tcW w:w="616" w:type="dxa"/>
            <w:tcBorders>
              <w:top w:val="nil"/>
              <w:left w:val="single" w:sz="4" w:space="0" w:color="000000"/>
              <w:bottom w:val="nil"/>
              <w:right w:val="nil"/>
            </w:tcBorders>
            <w:shd w:val="clear" w:color="auto" w:fill="auto"/>
            <w:vAlign w:val="center"/>
          </w:tcPr>
          <w:p w14:paraId="424C63C2"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w:t>
            </w:r>
          </w:p>
        </w:tc>
        <w:tc>
          <w:tcPr>
            <w:tcW w:w="576" w:type="dxa"/>
            <w:tcBorders>
              <w:top w:val="nil"/>
              <w:left w:val="nil"/>
              <w:bottom w:val="nil"/>
              <w:right w:val="nil"/>
            </w:tcBorders>
            <w:shd w:val="clear" w:color="auto" w:fill="auto"/>
            <w:vAlign w:val="center"/>
          </w:tcPr>
          <w:p w14:paraId="079BCE44"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0.2</w:t>
            </w:r>
          </w:p>
        </w:tc>
        <w:tc>
          <w:tcPr>
            <w:tcW w:w="1146" w:type="dxa"/>
            <w:tcBorders>
              <w:top w:val="nil"/>
              <w:left w:val="nil"/>
              <w:bottom w:val="nil"/>
              <w:right w:val="nil"/>
            </w:tcBorders>
            <w:shd w:val="clear" w:color="auto" w:fill="auto"/>
            <w:vAlign w:val="center"/>
          </w:tcPr>
          <w:p w14:paraId="7F44B06F"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w:t>
            </w:r>
            <w:r w:rsidR="007C46D2" w:rsidRPr="008A7800">
              <w:rPr>
                <w:color w:val="000000"/>
                <w:sz w:val="18"/>
                <w:szCs w:val="18"/>
              </w:rPr>
              <w:t>.0</w:t>
            </w:r>
            <w:r w:rsidRPr="008A7800">
              <w:rPr>
                <w:color w:val="000000"/>
                <w:sz w:val="18"/>
                <w:szCs w:val="18"/>
              </w:rPr>
              <w:t>, 0.3)</w:t>
            </w:r>
          </w:p>
        </w:tc>
      </w:tr>
      <w:tr w:rsidR="009118DA" w:rsidRPr="008A7800" w14:paraId="4EDEA15D"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4ECEEB34" w14:textId="77777777" w:rsidR="008A068A" w:rsidRPr="008A7800" w:rsidRDefault="008A068A" w:rsidP="008A068A">
            <w:pPr>
              <w:spacing w:before="20" w:after="20"/>
              <w:ind w:left="176"/>
              <w:rPr>
                <w:rFonts w:eastAsiaTheme="minorEastAsia"/>
                <w:b w:val="0"/>
                <w:sz w:val="18"/>
                <w:szCs w:val="18"/>
                <w:lang w:eastAsia="en-US"/>
              </w:rPr>
            </w:pPr>
            <w:r w:rsidRPr="008A7800">
              <w:rPr>
                <w:rFonts w:eastAsiaTheme="minorEastAsia"/>
                <w:b w:val="0"/>
                <w:sz w:val="18"/>
                <w:szCs w:val="18"/>
                <w:lang w:eastAsia="en-US"/>
              </w:rPr>
              <w:t>Raffle/lottery (NZ or overseas)</w:t>
            </w:r>
          </w:p>
        </w:tc>
        <w:tc>
          <w:tcPr>
            <w:tcW w:w="666" w:type="dxa"/>
            <w:tcBorders>
              <w:top w:val="nil"/>
              <w:left w:val="nil"/>
              <w:bottom w:val="nil"/>
              <w:right w:val="nil"/>
            </w:tcBorders>
            <w:shd w:val="clear" w:color="auto" w:fill="auto"/>
            <w:noWrap/>
            <w:vAlign w:val="center"/>
          </w:tcPr>
          <w:p w14:paraId="7322142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575</w:t>
            </w:r>
          </w:p>
        </w:tc>
        <w:tc>
          <w:tcPr>
            <w:tcW w:w="567" w:type="dxa"/>
            <w:tcBorders>
              <w:top w:val="nil"/>
              <w:left w:val="nil"/>
              <w:bottom w:val="nil"/>
              <w:right w:val="nil"/>
            </w:tcBorders>
            <w:shd w:val="clear" w:color="auto" w:fill="auto"/>
            <w:noWrap/>
            <w:vAlign w:val="center"/>
          </w:tcPr>
          <w:p w14:paraId="7D6B7248"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9.2</w:t>
            </w:r>
          </w:p>
        </w:tc>
        <w:tc>
          <w:tcPr>
            <w:tcW w:w="1146" w:type="dxa"/>
            <w:tcBorders>
              <w:top w:val="nil"/>
              <w:left w:val="nil"/>
              <w:bottom w:val="nil"/>
              <w:right w:val="single" w:sz="4" w:space="0" w:color="auto"/>
            </w:tcBorders>
            <w:shd w:val="clear" w:color="auto" w:fill="auto"/>
            <w:noWrap/>
            <w:vAlign w:val="center"/>
          </w:tcPr>
          <w:p w14:paraId="1E0C1FD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(8.4, 10.1)</w:t>
            </w:r>
          </w:p>
        </w:tc>
        <w:tc>
          <w:tcPr>
            <w:tcW w:w="666" w:type="dxa"/>
            <w:tcBorders>
              <w:top w:val="nil"/>
              <w:left w:val="single" w:sz="4" w:space="0" w:color="auto"/>
              <w:bottom w:val="nil"/>
              <w:right w:val="nil"/>
            </w:tcBorders>
            <w:shd w:val="clear" w:color="auto" w:fill="auto"/>
            <w:noWrap/>
            <w:vAlign w:val="center"/>
          </w:tcPr>
          <w:p w14:paraId="522DE29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380</w:t>
            </w:r>
          </w:p>
        </w:tc>
        <w:tc>
          <w:tcPr>
            <w:tcW w:w="621" w:type="dxa"/>
            <w:tcBorders>
              <w:top w:val="nil"/>
              <w:left w:val="nil"/>
              <w:bottom w:val="nil"/>
              <w:right w:val="nil"/>
            </w:tcBorders>
            <w:shd w:val="clear" w:color="auto" w:fill="auto"/>
            <w:noWrap/>
            <w:vAlign w:val="center"/>
          </w:tcPr>
          <w:p w14:paraId="455B1EF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10.1</w:t>
            </w:r>
          </w:p>
        </w:tc>
        <w:tc>
          <w:tcPr>
            <w:tcW w:w="1146" w:type="dxa"/>
            <w:tcBorders>
              <w:top w:val="nil"/>
              <w:left w:val="nil"/>
              <w:bottom w:val="nil"/>
              <w:right w:val="single" w:sz="4" w:space="0" w:color="000000"/>
            </w:tcBorders>
            <w:shd w:val="clear" w:color="auto" w:fill="auto"/>
            <w:noWrap/>
            <w:vAlign w:val="center"/>
          </w:tcPr>
          <w:p w14:paraId="53BEB3B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(9.0, 11.2)</w:t>
            </w:r>
          </w:p>
        </w:tc>
        <w:tc>
          <w:tcPr>
            <w:tcW w:w="616" w:type="dxa"/>
            <w:tcBorders>
              <w:top w:val="nil"/>
              <w:left w:val="single" w:sz="4" w:space="0" w:color="000000"/>
              <w:bottom w:val="nil"/>
              <w:right w:val="nil"/>
            </w:tcBorders>
            <w:shd w:val="clear" w:color="auto" w:fill="auto"/>
            <w:vAlign w:val="center"/>
          </w:tcPr>
          <w:p w14:paraId="5601DEE7"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328</w:t>
            </w:r>
          </w:p>
        </w:tc>
        <w:tc>
          <w:tcPr>
            <w:tcW w:w="567" w:type="dxa"/>
            <w:tcBorders>
              <w:top w:val="nil"/>
              <w:left w:val="nil"/>
              <w:bottom w:val="nil"/>
              <w:right w:val="nil"/>
            </w:tcBorders>
            <w:shd w:val="clear" w:color="auto" w:fill="auto"/>
            <w:vAlign w:val="center"/>
          </w:tcPr>
          <w:p w14:paraId="20D1392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10.5</w:t>
            </w:r>
          </w:p>
        </w:tc>
        <w:tc>
          <w:tcPr>
            <w:tcW w:w="1146" w:type="dxa"/>
            <w:tcBorders>
              <w:top w:val="nil"/>
              <w:left w:val="nil"/>
              <w:bottom w:val="nil"/>
              <w:right w:val="single" w:sz="4" w:space="0" w:color="000000"/>
            </w:tcBorders>
            <w:shd w:val="clear" w:color="auto" w:fill="auto"/>
            <w:vAlign w:val="center"/>
          </w:tcPr>
          <w:p w14:paraId="158B7DD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(9.3, 11.7)</w:t>
            </w:r>
          </w:p>
        </w:tc>
        <w:tc>
          <w:tcPr>
            <w:tcW w:w="616" w:type="dxa"/>
            <w:tcBorders>
              <w:top w:val="nil"/>
              <w:left w:val="single" w:sz="4" w:space="0" w:color="000000"/>
              <w:bottom w:val="nil"/>
              <w:right w:val="nil"/>
            </w:tcBorders>
            <w:shd w:val="clear" w:color="auto" w:fill="auto"/>
            <w:vAlign w:val="center"/>
          </w:tcPr>
          <w:p w14:paraId="2366882E"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297</w:t>
            </w:r>
          </w:p>
        </w:tc>
        <w:tc>
          <w:tcPr>
            <w:tcW w:w="576" w:type="dxa"/>
            <w:tcBorders>
              <w:top w:val="nil"/>
              <w:left w:val="nil"/>
              <w:bottom w:val="nil"/>
              <w:right w:val="nil"/>
            </w:tcBorders>
            <w:shd w:val="clear" w:color="auto" w:fill="auto"/>
            <w:vAlign w:val="center"/>
          </w:tcPr>
          <w:p w14:paraId="2F830A9A"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10.7</w:t>
            </w:r>
          </w:p>
        </w:tc>
        <w:tc>
          <w:tcPr>
            <w:tcW w:w="1146" w:type="dxa"/>
            <w:tcBorders>
              <w:top w:val="nil"/>
              <w:left w:val="nil"/>
              <w:bottom w:val="nil"/>
              <w:right w:val="nil"/>
            </w:tcBorders>
            <w:shd w:val="clear" w:color="auto" w:fill="auto"/>
            <w:vAlign w:val="center"/>
          </w:tcPr>
          <w:p w14:paraId="513A9122"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(9.4, 12.1)</w:t>
            </w:r>
          </w:p>
        </w:tc>
      </w:tr>
      <w:tr w:rsidR="009118DA" w:rsidRPr="008A7800" w14:paraId="6C78B434"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4DE148B9" w14:textId="77777777" w:rsidR="008A068A" w:rsidRPr="008A7800" w:rsidRDefault="008A068A" w:rsidP="008A068A">
            <w:pPr>
              <w:spacing w:before="20" w:after="20"/>
              <w:ind w:left="176"/>
              <w:rPr>
                <w:rFonts w:eastAsiaTheme="minorEastAsia"/>
                <w:b w:val="0"/>
                <w:sz w:val="18"/>
                <w:szCs w:val="18"/>
                <w:lang w:eastAsia="en-US"/>
              </w:rPr>
            </w:pPr>
            <w:r w:rsidRPr="008A7800">
              <w:rPr>
                <w:rFonts w:eastAsiaTheme="minorEastAsia"/>
                <w:b w:val="0"/>
                <w:sz w:val="18"/>
                <w:szCs w:val="18"/>
                <w:lang w:eastAsia="en-US"/>
              </w:rPr>
              <w:t>Lotto</w:t>
            </w:r>
          </w:p>
        </w:tc>
        <w:tc>
          <w:tcPr>
            <w:tcW w:w="666" w:type="dxa"/>
            <w:tcBorders>
              <w:top w:val="nil"/>
              <w:left w:val="nil"/>
              <w:bottom w:val="nil"/>
              <w:right w:val="nil"/>
            </w:tcBorders>
            <w:shd w:val="clear" w:color="auto" w:fill="auto"/>
            <w:noWrap/>
            <w:vAlign w:val="center"/>
          </w:tcPr>
          <w:p w14:paraId="56AFB62D"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1105</w:t>
            </w:r>
          </w:p>
        </w:tc>
        <w:tc>
          <w:tcPr>
            <w:tcW w:w="567" w:type="dxa"/>
            <w:tcBorders>
              <w:top w:val="nil"/>
              <w:left w:val="nil"/>
              <w:bottom w:val="nil"/>
              <w:right w:val="nil"/>
            </w:tcBorders>
            <w:shd w:val="clear" w:color="auto" w:fill="auto"/>
            <w:noWrap/>
            <w:vAlign w:val="center"/>
          </w:tcPr>
          <w:p w14:paraId="2DECB57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17.7</w:t>
            </w:r>
          </w:p>
        </w:tc>
        <w:tc>
          <w:tcPr>
            <w:tcW w:w="1146" w:type="dxa"/>
            <w:tcBorders>
              <w:top w:val="nil"/>
              <w:left w:val="nil"/>
              <w:bottom w:val="nil"/>
              <w:right w:val="single" w:sz="4" w:space="0" w:color="auto"/>
            </w:tcBorders>
            <w:shd w:val="clear" w:color="auto" w:fill="auto"/>
            <w:noWrap/>
            <w:vAlign w:val="center"/>
          </w:tcPr>
          <w:p w14:paraId="6CF96266"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(16.6, 18.7)</w:t>
            </w:r>
          </w:p>
        </w:tc>
        <w:tc>
          <w:tcPr>
            <w:tcW w:w="666" w:type="dxa"/>
            <w:tcBorders>
              <w:top w:val="nil"/>
              <w:left w:val="single" w:sz="4" w:space="0" w:color="auto"/>
              <w:bottom w:val="nil"/>
              <w:right w:val="nil"/>
            </w:tcBorders>
            <w:shd w:val="clear" w:color="auto" w:fill="auto"/>
            <w:noWrap/>
            <w:vAlign w:val="center"/>
          </w:tcPr>
          <w:p w14:paraId="3640E5A8"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605</w:t>
            </w:r>
          </w:p>
        </w:tc>
        <w:tc>
          <w:tcPr>
            <w:tcW w:w="621" w:type="dxa"/>
            <w:tcBorders>
              <w:top w:val="nil"/>
              <w:left w:val="nil"/>
              <w:bottom w:val="nil"/>
              <w:right w:val="nil"/>
            </w:tcBorders>
            <w:shd w:val="clear" w:color="auto" w:fill="auto"/>
            <w:noWrap/>
            <w:vAlign w:val="center"/>
          </w:tcPr>
          <w:p w14:paraId="72B7289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16.1</w:t>
            </w:r>
          </w:p>
        </w:tc>
        <w:tc>
          <w:tcPr>
            <w:tcW w:w="1146" w:type="dxa"/>
            <w:tcBorders>
              <w:top w:val="nil"/>
              <w:left w:val="nil"/>
              <w:bottom w:val="nil"/>
              <w:right w:val="single" w:sz="4" w:space="0" w:color="000000"/>
            </w:tcBorders>
            <w:shd w:val="clear" w:color="auto" w:fill="auto"/>
            <w:noWrap/>
            <w:vAlign w:val="center"/>
          </w:tcPr>
          <w:p w14:paraId="779CD21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(14.8, 17.5)</w:t>
            </w:r>
          </w:p>
        </w:tc>
        <w:tc>
          <w:tcPr>
            <w:tcW w:w="616" w:type="dxa"/>
            <w:tcBorders>
              <w:top w:val="nil"/>
              <w:left w:val="single" w:sz="4" w:space="0" w:color="000000"/>
              <w:bottom w:val="nil"/>
              <w:right w:val="nil"/>
            </w:tcBorders>
            <w:shd w:val="clear" w:color="auto" w:fill="auto"/>
            <w:vAlign w:val="center"/>
          </w:tcPr>
          <w:p w14:paraId="5633AC6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516</w:t>
            </w:r>
          </w:p>
        </w:tc>
        <w:tc>
          <w:tcPr>
            <w:tcW w:w="567" w:type="dxa"/>
            <w:tcBorders>
              <w:top w:val="nil"/>
              <w:left w:val="nil"/>
              <w:bottom w:val="nil"/>
              <w:right w:val="nil"/>
            </w:tcBorders>
            <w:shd w:val="clear" w:color="auto" w:fill="auto"/>
            <w:vAlign w:val="center"/>
          </w:tcPr>
          <w:p w14:paraId="176A6169"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16.5</w:t>
            </w:r>
          </w:p>
        </w:tc>
        <w:tc>
          <w:tcPr>
            <w:tcW w:w="1146" w:type="dxa"/>
            <w:tcBorders>
              <w:top w:val="nil"/>
              <w:left w:val="nil"/>
              <w:bottom w:val="nil"/>
              <w:right w:val="single" w:sz="4" w:space="0" w:color="000000"/>
            </w:tcBorders>
            <w:shd w:val="clear" w:color="auto" w:fill="auto"/>
            <w:vAlign w:val="center"/>
          </w:tcPr>
          <w:p w14:paraId="6727B922"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(14.9, 18.1)</w:t>
            </w:r>
          </w:p>
        </w:tc>
        <w:tc>
          <w:tcPr>
            <w:tcW w:w="616" w:type="dxa"/>
            <w:tcBorders>
              <w:top w:val="nil"/>
              <w:left w:val="single" w:sz="4" w:space="0" w:color="000000"/>
              <w:bottom w:val="nil"/>
              <w:right w:val="nil"/>
            </w:tcBorders>
            <w:shd w:val="clear" w:color="auto" w:fill="auto"/>
            <w:vAlign w:val="center"/>
          </w:tcPr>
          <w:p w14:paraId="79F62BD5"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364</w:t>
            </w:r>
          </w:p>
        </w:tc>
        <w:tc>
          <w:tcPr>
            <w:tcW w:w="576" w:type="dxa"/>
            <w:tcBorders>
              <w:top w:val="nil"/>
              <w:left w:val="nil"/>
              <w:bottom w:val="nil"/>
              <w:right w:val="nil"/>
            </w:tcBorders>
            <w:shd w:val="clear" w:color="auto" w:fill="auto"/>
            <w:vAlign w:val="center"/>
          </w:tcPr>
          <w:p w14:paraId="73FC8C74"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13.2</w:t>
            </w:r>
          </w:p>
        </w:tc>
        <w:tc>
          <w:tcPr>
            <w:tcW w:w="1146" w:type="dxa"/>
            <w:tcBorders>
              <w:top w:val="nil"/>
              <w:left w:val="nil"/>
              <w:bottom w:val="nil"/>
              <w:right w:val="nil"/>
            </w:tcBorders>
            <w:shd w:val="clear" w:color="auto" w:fill="auto"/>
            <w:vAlign w:val="center"/>
          </w:tcPr>
          <w:p w14:paraId="3AA52491"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(11.7, 14.6)</w:t>
            </w:r>
          </w:p>
        </w:tc>
      </w:tr>
      <w:tr w:rsidR="009118DA" w:rsidRPr="008A7800" w14:paraId="43EB6106"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6DA60D73" w14:textId="77777777" w:rsidR="008A068A" w:rsidRPr="008A7800" w:rsidRDefault="008A068A" w:rsidP="008A068A">
            <w:pPr>
              <w:spacing w:before="20" w:after="20"/>
              <w:ind w:left="176"/>
              <w:rPr>
                <w:rFonts w:eastAsiaTheme="minorEastAsia"/>
                <w:b w:val="0"/>
                <w:sz w:val="18"/>
                <w:szCs w:val="18"/>
                <w:lang w:eastAsia="en-US"/>
              </w:rPr>
            </w:pPr>
            <w:r w:rsidRPr="008A7800">
              <w:rPr>
                <w:rFonts w:eastAsiaTheme="minorEastAsia"/>
                <w:b w:val="0"/>
                <w:sz w:val="18"/>
                <w:szCs w:val="18"/>
                <w:lang w:eastAsia="en-US"/>
              </w:rPr>
              <w:t>Keno</w:t>
            </w:r>
          </w:p>
        </w:tc>
        <w:tc>
          <w:tcPr>
            <w:tcW w:w="666" w:type="dxa"/>
            <w:tcBorders>
              <w:top w:val="nil"/>
              <w:left w:val="nil"/>
              <w:bottom w:val="nil"/>
              <w:right w:val="nil"/>
            </w:tcBorders>
            <w:shd w:val="clear" w:color="auto" w:fill="auto"/>
            <w:noWrap/>
            <w:vAlign w:val="center"/>
          </w:tcPr>
          <w:p w14:paraId="165ED79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w:t>
            </w:r>
          </w:p>
        </w:tc>
        <w:tc>
          <w:tcPr>
            <w:tcW w:w="567" w:type="dxa"/>
            <w:tcBorders>
              <w:top w:val="nil"/>
              <w:left w:val="nil"/>
              <w:bottom w:val="nil"/>
              <w:right w:val="nil"/>
            </w:tcBorders>
            <w:shd w:val="clear" w:color="auto" w:fill="auto"/>
            <w:noWrap/>
            <w:vAlign w:val="center"/>
          </w:tcPr>
          <w:p w14:paraId="4F8245A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0.3</w:t>
            </w:r>
          </w:p>
        </w:tc>
        <w:tc>
          <w:tcPr>
            <w:tcW w:w="1146" w:type="dxa"/>
            <w:tcBorders>
              <w:top w:val="nil"/>
              <w:left w:val="nil"/>
              <w:bottom w:val="nil"/>
              <w:right w:val="single" w:sz="4" w:space="0" w:color="auto"/>
            </w:tcBorders>
            <w:shd w:val="clear" w:color="auto" w:fill="auto"/>
            <w:noWrap/>
            <w:vAlign w:val="center"/>
          </w:tcPr>
          <w:p w14:paraId="53B5EFAE"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(0.1, 0.4)</w:t>
            </w:r>
          </w:p>
        </w:tc>
        <w:tc>
          <w:tcPr>
            <w:tcW w:w="666" w:type="dxa"/>
            <w:tcBorders>
              <w:top w:val="nil"/>
              <w:left w:val="single" w:sz="4" w:space="0" w:color="auto"/>
              <w:bottom w:val="nil"/>
              <w:right w:val="nil"/>
            </w:tcBorders>
            <w:shd w:val="clear" w:color="auto" w:fill="auto"/>
            <w:noWrap/>
            <w:vAlign w:val="center"/>
          </w:tcPr>
          <w:p w14:paraId="05B8B6E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w:t>
            </w:r>
          </w:p>
        </w:tc>
        <w:tc>
          <w:tcPr>
            <w:tcW w:w="621" w:type="dxa"/>
            <w:tcBorders>
              <w:top w:val="nil"/>
              <w:left w:val="nil"/>
              <w:bottom w:val="nil"/>
              <w:right w:val="nil"/>
            </w:tcBorders>
            <w:shd w:val="clear" w:color="auto" w:fill="auto"/>
            <w:noWrap/>
            <w:vAlign w:val="center"/>
          </w:tcPr>
          <w:p w14:paraId="1A4DD42D"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0.3</w:t>
            </w:r>
          </w:p>
        </w:tc>
        <w:tc>
          <w:tcPr>
            <w:tcW w:w="1146" w:type="dxa"/>
            <w:tcBorders>
              <w:top w:val="nil"/>
              <w:left w:val="nil"/>
              <w:bottom w:val="nil"/>
              <w:right w:val="single" w:sz="4" w:space="0" w:color="000000"/>
            </w:tcBorders>
            <w:shd w:val="clear" w:color="auto" w:fill="auto"/>
            <w:noWrap/>
            <w:vAlign w:val="center"/>
          </w:tcPr>
          <w:p w14:paraId="36D1796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(0.1, 0.5)</w:t>
            </w:r>
          </w:p>
        </w:tc>
        <w:tc>
          <w:tcPr>
            <w:tcW w:w="616" w:type="dxa"/>
            <w:tcBorders>
              <w:top w:val="nil"/>
              <w:left w:val="single" w:sz="4" w:space="0" w:color="000000"/>
              <w:bottom w:val="nil"/>
              <w:right w:val="nil"/>
            </w:tcBorders>
            <w:shd w:val="clear" w:color="auto" w:fill="auto"/>
            <w:vAlign w:val="center"/>
          </w:tcPr>
          <w:p w14:paraId="1D2BEB1E"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w:t>
            </w:r>
          </w:p>
        </w:tc>
        <w:tc>
          <w:tcPr>
            <w:tcW w:w="567" w:type="dxa"/>
            <w:tcBorders>
              <w:top w:val="nil"/>
              <w:left w:val="nil"/>
              <w:bottom w:val="nil"/>
              <w:right w:val="nil"/>
            </w:tcBorders>
            <w:shd w:val="clear" w:color="auto" w:fill="auto"/>
            <w:vAlign w:val="center"/>
          </w:tcPr>
          <w:p w14:paraId="38E7B14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0.1</w:t>
            </w:r>
          </w:p>
        </w:tc>
        <w:tc>
          <w:tcPr>
            <w:tcW w:w="1146" w:type="dxa"/>
            <w:tcBorders>
              <w:top w:val="nil"/>
              <w:left w:val="nil"/>
              <w:bottom w:val="nil"/>
              <w:right w:val="single" w:sz="4" w:space="0" w:color="000000"/>
            </w:tcBorders>
            <w:shd w:val="clear" w:color="auto" w:fill="auto"/>
            <w:vAlign w:val="center"/>
          </w:tcPr>
          <w:p w14:paraId="2B896A7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(0.0, 0.2)</w:t>
            </w:r>
          </w:p>
        </w:tc>
        <w:tc>
          <w:tcPr>
            <w:tcW w:w="616" w:type="dxa"/>
            <w:tcBorders>
              <w:top w:val="nil"/>
              <w:left w:val="single" w:sz="4" w:space="0" w:color="000000"/>
              <w:bottom w:val="nil"/>
              <w:right w:val="nil"/>
            </w:tcBorders>
            <w:shd w:val="clear" w:color="auto" w:fill="auto"/>
            <w:vAlign w:val="center"/>
          </w:tcPr>
          <w:p w14:paraId="51C5C6AC"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w:t>
            </w:r>
          </w:p>
        </w:tc>
        <w:tc>
          <w:tcPr>
            <w:tcW w:w="576" w:type="dxa"/>
            <w:tcBorders>
              <w:top w:val="nil"/>
              <w:left w:val="nil"/>
              <w:bottom w:val="nil"/>
              <w:right w:val="nil"/>
            </w:tcBorders>
            <w:shd w:val="clear" w:color="auto" w:fill="auto"/>
            <w:vAlign w:val="center"/>
          </w:tcPr>
          <w:p w14:paraId="2B6388DB"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0.1</w:t>
            </w:r>
          </w:p>
        </w:tc>
        <w:tc>
          <w:tcPr>
            <w:tcW w:w="1146" w:type="dxa"/>
            <w:tcBorders>
              <w:top w:val="nil"/>
              <w:left w:val="nil"/>
              <w:bottom w:val="nil"/>
              <w:right w:val="nil"/>
            </w:tcBorders>
            <w:shd w:val="clear" w:color="auto" w:fill="auto"/>
            <w:vAlign w:val="center"/>
          </w:tcPr>
          <w:p w14:paraId="24860144"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w:t>
            </w:r>
            <w:r w:rsidR="007C46D2" w:rsidRPr="008A7800">
              <w:rPr>
                <w:color w:val="000000"/>
                <w:sz w:val="18"/>
                <w:szCs w:val="18"/>
              </w:rPr>
              <w:t>.0</w:t>
            </w:r>
            <w:r w:rsidRPr="008A7800">
              <w:rPr>
                <w:color w:val="000000"/>
                <w:sz w:val="18"/>
                <w:szCs w:val="18"/>
              </w:rPr>
              <w:t>, 0.2)</w:t>
            </w:r>
          </w:p>
        </w:tc>
      </w:tr>
      <w:tr w:rsidR="009118DA" w:rsidRPr="008A7800" w14:paraId="3B9138D5"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37F5FC6C" w14:textId="77777777" w:rsidR="008A068A" w:rsidRPr="008A7800" w:rsidRDefault="008A068A" w:rsidP="008A068A">
            <w:pPr>
              <w:spacing w:before="20" w:after="20"/>
              <w:ind w:left="176"/>
              <w:rPr>
                <w:rFonts w:eastAsiaTheme="minorEastAsia"/>
                <w:b w:val="0"/>
                <w:sz w:val="18"/>
                <w:szCs w:val="18"/>
                <w:lang w:eastAsia="en-US"/>
              </w:rPr>
            </w:pPr>
            <w:r w:rsidRPr="008A7800">
              <w:rPr>
                <w:rFonts w:eastAsiaTheme="minorEastAsia"/>
                <w:b w:val="0"/>
                <w:sz w:val="18"/>
                <w:szCs w:val="18"/>
                <w:lang w:eastAsia="en-US"/>
              </w:rPr>
              <w:t>Bullseye</w:t>
            </w:r>
          </w:p>
        </w:tc>
        <w:tc>
          <w:tcPr>
            <w:tcW w:w="666" w:type="dxa"/>
            <w:tcBorders>
              <w:top w:val="nil"/>
              <w:left w:val="nil"/>
              <w:bottom w:val="nil"/>
              <w:right w:val="nil"/>
            </w:tcBorders>
            <w:shd w:val="clear" w:color="auto" w:fill="auto"/>
            <w:noWrap/>
            <w:vAlign w:val="center"/>
          </w:tcPr>
          <w:p w14:paraId="72E17B8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13</w:t>
            </w:r>
          </w:p>
        </w:tc>
        <w:tc>
          <w:tcPr>
            <w:tcW w:w="567" w:type="dxa"/>
            <w:tcBorders>
              <w:top w:val="nil"/>
              <w:left w:val="nil"/>
              <w:bottom w:val="nil"/>
              <w:right w:val="nil"/>
            </w:tcBorders>
            <w:shd w:val="clear" w:color="auto" w:fill="auto"/>
            <w:noWrap/>
            <w:vAlign w:val="center"/>
          </w:tcPr>
          <w:p w14:paraId="4F4C97A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0.2</w:t>
            </w:r>
          </w:p>
        </w:tc>
        <w:tc>
          <w:tcPr>
            <w:tcW w:w="1146" w:type="dxa"/>
            <w:tcBorders>
              <w:top w:val="nil"/>
              <w:left w:val="nil"/>
              <w:bottom w:val="nil"/>
              <w:right w:val="single" w:sz="4" w:space="0" w:color="auto"/>
            </w:tcBorders>
            <w:shd w:val="clear" w:color="auto" w:fill="auto"/>
            <w:noWrap/>
            <w:vAlign w:val="center"/>
          </w:tcPr>
          <w:p w14:paraId="48639327"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(0.1, 0.3)</w:t>
            </w:r>
          </w:p>
        </w:tc>
        <w:tc>
          <w:tcPr>
            <w:tcW w:w="666" w:type="dxa"/>
            <w:tcBorders>
              <w:top w:val="nil"/>
              <w:left w:val="single" w:sz="4" w:space="0" w:color="auto"/>
              <w:bottom w:val="nil"/>
              <w:right w:val="nil"/>
            </w:tcBorders>
            <w:shd w:val="clear" w:color="auto" w:fill="auto"/>
            <w:noWrap/>
            <w:vAlign w:val="center"/>
          </w:tcPr>
          <w:p w14:paraId="2F1107B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w:t>
            </w:r>
          </w:p>
        </w:tc>
        <w:tc>
          <w:tcPr>
            <w:tcW w:w="621" w:type="dxa"/>
            <w:tcBorders>
              <w:top w:val="nil"/>
              <w:left w:val="nil"/>
              <w:bottom w:val="nil"/>
              <w:right w:val="nil"/>
            </w:tcBorders>
            <w:shd w:val="clear" w:color="auto" w:fill="auto"/>
            <w:noWrap/>
            <w:vAlign w:val="center"/>
          </w:tcPr>
          <w:p w14:paraId="3B613146"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0.1</w:t>
            </w:r>
          </w:p>
        </w:tc>
        <w:tc>
          <w:tcPr>
            <w:tcW w:w="1146" w:type="dxa"/>
            <w:tcBorders>
              <w:top w:val="nil"/>
              <w:left w:val="nil"/>
              <w:bottom w:val="nil"/>
              <w:right w:val="single" w:sz="4" w:space="0" w:color="000000"/>
            </w:tcBorders>
            <w:shd w:val="clear" w:color="auto" w:fill="auto"/>
            <w:noWrap/>
            <w:vAlign w:val="center"/>
          </w:tcPr>
          <w:p w14:paraId="1AAC1CB4"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(0.0, 0.2)</w:t>
            </w:r>
          </w:p>
        </w:tc>
        <w:tc>
          <w:tcPr>
            <w:tcW w:w="616" w:type="dxa"/>
            <w:tcBorders>
              <w:top w:val="nil"/>
              <w:left w:val="single" w:sz="4" w:space="0" w:color="000000"/>
              <w:bottom w:val="nil"/>
              <w:right w:val="nil"/>
            </w:tcBorders>
            <w:shd w:val="clear" w:color="auto" w:fill="auto"/>
            <w:vAlign w:val="center"/>
          </w:tcPr>
          <w:p w14:paraId="57D5E9CD"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w:t>
            </w:r>
          </w:p>
        </w:tc>
        <w:tc>
          <w:tcPr>
            <w:tcW w:w="567" w:type="dxa"/>
            <w:tcBorders>
              <w:top w:val="nil"/>
              <w:left w:val="nil"/>
              <w:bottom w:val="nil"/>
              <w:right w:val="nil"/>
            </w:tcBorders>
            <w:shd w:val="clear" w:color="auto" w:fill="auto"/>
            <w:vAlign w:val="center"/>
          </w:tcPr>
          <w:p w14:paraId="44773118"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0.1</w:t>
            </w:r>
          </w:p>
        </w:tc>
        <w:tc>
          <w:tcPr>
            <w:tcW w:w="1146" w:type="dxa"/>
            <w:tcBorders>
              <w:top w:val="nil"/>
              <w:left w:val="nil"/>
              <w:bottom w:val="nil"/>
              <w:right w:val="single" w:sz="4" w:space="0" w:color="000000"/>
            </w:tcBorders>
            <w:shd w:val="clear" w:color="auto" w:fill="auto"/>
            <w:vAlign w:val="center"/>
          </w:tcPr>
          <w:p w14:paraId="2BA33478"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(0.0, 0.2)</w:t>
            </w:r>
          </w:p>
        </w:tc>
        <w:tc>
          <w:tcPr>
            <w:tcW w:w="616" w:type="dxa"/>
            <w:tcBorders>
              <w:top w:val="nil"/>
              <w:left w:val="single" w:sz="4" w:space="0" w:color="000000"/>
              <w:bottom w:val="nil"/>
              <w:right w:val="nil"/>
            </w:tcBorders>
            <w:shd w:val="clear" w:color="auto" w:fill="auto"/>
            <w:vAlign w:val="center"/>
          </w:tcPr>
          <w:p w14:paraId="2F20B5C3"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w:t>
            </w:r>
          </w:p>
        </w:tc>
        <w:tc>
          <w:tcPr>
            <w:tcW w:w="576" w:type="dxa"/>
            <w:tcBorders>
              <w:top w:val="nil"/>
              <w:left w:val="nil"/>
              <w:bottom w:val="nil"/>
              <w:right w:val="nil"/>
            </w:tcBorders>
            <w:shd w:val="clear" w:color="auto" w:fill="auto"/>
            <w:vAlign w:val="center"/>
          </w:tcPr>
          <w:p w14:paraId="14E9CF56"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0.1</w:t>
            </w:r>
          </w:p>
        </w:tc>
        <w:tc>
          <w:tcPr>
            <w:tcW w:w="1146" w:type="dxa"/>
            <w:tcBorders>
              <w:top w:val="nil"/>
              <w:left w:val="nil"/>
              <w:bottom w:val="nil"/>
              <w:right w:val="nil"/>
            </w:tcBorders>
            <w:shd w:val="clear" w:color="auto" w:fill="auto"/>
            <w:vAlign w:val="center"/>
          </w:tcPr>
          <w:p w14:paraId="68C3D362"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w:t>
            </w:r>
            <w:r w:rsidR="007C46D2" w:rsidRPr="008A7800">
              <w:rPr>
                <w:color w:val="000000"/>
                <w:sz w:val="18"/>
                <w:szCs w:val="18"/>
              </w:rPr>
              <w:t>.0</w:t>
            </w:r>
            <w:r w:rsidRPr="008A7800">
              <w:rPr>
                <w:color w:val="000000"/>
                <w:sz w:val="18"/>
                <w:szCs w:val="18"/>
              </w:rPr>
              <w:t>, 0.2)</w:t>
            </w:r>
          </w:p>
        </w:tc>
      </w:tr>
      <w:tr w:rsidR="009118DA" w:rsidRPr="008A7800" w14:paraId="3963793E"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4D3E223D" w14:textId="77777777" w:rsidR="008A068A" w:rsidRPr="008A7800" w:rsidRDefault="008A068A" w:rsidP="008A068A">
            <w:pPr>
              <w:spacing w:before="20" w:after="20"/>
              <w:ind w:left="176"/>
              <w:rPr>
                <w:rFonts w:eastAsiaTheme="minorEastAsia"/>
                <w:b w:val="0"/>
                <w:sz w:val="18"/>
                <w:szCs w:val="18"/>
              </w:rPr>
            </w:pPr>
            <w:r w:rsidRPr="008A7800">
              <w:rPr>
                <w:rFonts w:eastAsiaTheme="minorEastAsia"/>
                <w:b w:val="0"/>
                <w:sz w:val="18"/>
                <w:szCs w:val="18"/>
              </w:rPr>
              <w:t>Instant Kiwi/or other scratch tickets</w:t>
            </w:r>
          </w:p>
        </w:tc>
        <w:tc>
          <w:tcPr>
            <w:tcW w:w="666" w:type="dxa"/>
            <w:tcBorders>
              <w:top w:val="nil"/>
              <w:left w:val="nil"/>
              <w:bottom w:val="nil"/>
              <w:right w:val="nil"/>
            </w:tcBorders>
            <w:shd w:val="clear" w:color="auto" w:fill="auto"/>
            <w:noWrap/>
            <w:vAlign w:val="center"/>
          </w:tcPr>
          <w:p w14:paraId="63B45659"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549</w:t>
            </w:r>
          </w:p>
        </w:tc>
        <w:tc>
          <w:tcPr>
            <w:tcW w:w="567" w:type="dxa"/>
            <w:tcBorders>
              <w:top w:val="nil"/>
              <w:left w:val="nil"/>
              <w:bottom w:val="nil"/>
              <w:right w:val="nil"/>
            </w:tcBorders>
            <w:shd w:val="clear" w:color="auto" w:fill="auto"/>
            <w:noWrap/>
            <w:vAlign w:val="center"/>
          </w:tcPr>
          <w:p w14:paraId="18618C8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8.8</w:t>
            </w:r>
          </w:p>
        </w:tc>
        <w:tc>
          <w:tcPr>
            <w:tcW w:w="1146" w:type="dxa"/>
            <w:tcBorders>
              <w:top w:val="nil"/>
              <w:left w:val="nil"/>
              <w:bottom w:val="nil"/>
              <w:right w:val="single" w:sz="4" w:space="0" w:color="auto"/>
            </w:tcBorders>
            <w:shd w:val="clear" w:color="auto" w:fill="auto"/>
            <w:noWrap/>
            <w:vAlign w:val="center"/>
          </w:tcPr>
          <w:p w14:paraId="71588B47"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(7.9, 9.6)</w:t>
            </w:r>
          </w:p>
        </w:tc>
        <w:tc>
          <w:tcPr>
            <w:tcW w:w="666" w:type="dxa"/>
            <w:tcBorders>
              <w:top w:val="nil"/>
              <w:left w:val="single" w:sz="4" w:space="0" w:color="auto"/>
              <w:bottom w:val="nil"/>
              <w:right w:val="nil"/>
            </w:tcBorders>
            <w:shd w:val="clear" w:color="auto" w:fill="auto"/>
            <w:noWrap/>
            <w:vAlign w:val="center"/>
          </w:tcPr>
          <w:p w14:paraId="6CE40F2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297</w:t>
            </w:r>
          </w:p>
        </w:tc>
        <w:tc>
          <w:tcPr>
            <w:tcW w:w="621" w:type="dxa"/>
            <w:tcBorders>
              <w:top w:val="nil"/>
              <w:left w:val="nil"/>
              <w:bottom w:val="nil"/>
              <w:right w:val="nil"/>
            </w:tcBorders>
            <w:shd w:val="clear" w:color="auto" w:fill="auto"/>
            <w:noWrap/>
            <w:vAlign w:val="center"/>
          </w:tcPr>
          <w:p w14:paraId="0425A4B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7.9</w:t>
            </w:r>
          </w:p>
        </w:tc>
        <w:tc>
          <w:tcPr>
            <w:tcW w:w="1146" w:type="dxa"/>
            <w:tcBorders>
              <w:top w:val="nil"/>
              <w:left w:val="nil"/>
              <w:bottom w:val="nil"/>
              <w:right w:val="single" w:sz="4" w:space="0" w:color="000000"/>
            </w:tcBorders>
            <w:shd w:val="clear" w:color="auto" w:fill="auto"/>
            <w:noWrap/>
            <w:vAlign w:val="center"/>
          </w:tcPr>
          <w:p w14:paraId="332D6CE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(6.9, 9.0)</w:t>
            </w:r>
          </w:p>
        </w:tc>
        <w:tc>
          <w:tcPr>
            <w:tcW w:w="616" w:type="dxa"/>
            <w:tcBorders>
              <w:top w:val="nil"/>
              <w:left w:val="single" w:sz="4" w:space="0" w:color="000000"/>
              <w:bottom w:val="nil"/>
              <w:right w:val="nil"/>
            </w:tcBorders>
            <w:shd w:val="clear" w:color="auto" w:fill="auto"/>
            <w:vAlign w:val="center"/>
          </w:tcPr>
          <w:p w14:paraId="70B6D07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250</w:t>
            </w:r>
          </w:p>
        </w:tc>
        <w:tc>
          <w:tcPr>
            <w:tcW w:w="567" w:type="dxa"/>
            <w:tcBorders>
              <w:top w:val="nil"/>
              <w:left w:val="nil"/>
              <w:bottom w:val="nil"/>
              <w:right w:val="nil"/>
            </w:tcBorders>
            <w:shd w:val="clear" w:color="auto" w:fill="auto"/>
            <w:vAlign w:val="center"/>
          </w:tcPr>
          <w:p w14:paraId="3069936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8.0</w:t>
            </w:r>
          </w:p>
        </w:tc>
        <w:tc>
          <w:tcPr>
            <w:tcW w:w="1146" w:type="dxa"/>
            <w:tcBorders>
              <w:top w:val="nil"/>
              <w:left w:val="nil"/>
              <w:bottom w:val="nil"/>
              <w:right w:val="single" w:sz="4" w:space="0" w:color="000000"/>
            </w:tcBorders>
            <w:shd w:val="clear" w:color="auto" w:fill="auto"/>
            <w:vAlign w:val="center"/>
          </w:tcPr>
          <w:p w14:paraId="5D485BE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(6.7, 9.3)</w:t>
            </w:r>
          </w:p>
        </w:tc>
        <w:tc>
          <w:tcPr>
            <w:tcW w:w="616" w:type="dxa"/>
            <w:tcBorders>
              <w:top w:val="nil"/>
              <w:left w:val="single" w:sz="4" w:space="0" w:color="000000"/>
              <w:bottom w:val="nil"/>
              <w:right w:val="nil"/>
            </w:tcBorders>
            <w:shd w:val="clear" w:color="auto" w:fill="auto"/>
            <w:vAlign w:val="center"/>
          </w:tcPr>
          <w:p w14:paraId="3BF9F745"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244</w:t>
            </w:r>
          </w:p>
        </w:tc>
        <w:tc>
          <w:tcPr>
            <w:tcW w:w="576" w:type="dxa"/>
            <w:tcBorders>
              <w:top w:val="nil"/>
              <w:left w:val="nil"/>
              <w:bottom w:val="nil"/>
              <w:right w:val="nil"/>
            </w:tcBorders>
            <w:shd w:val="clear" w:color="auto" w:fill="auto"/>
            <w:vAlign w:val="center"/>
          </w:tcPr>
          <w:p w14:paraId="7F8FE9CE"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8.8</w:t>
            </w:r>
          </w:p>
        </w:tc>
        <w:tc>
          <w:tcPr>
            <w:tcW w:w="1146" w:type="dxa"/>
            <w:tcBorders>
              <w:top w:val="nil"/>
              <w:left w:val="nil"/>
              <w:bottom w:val="nil"/>
              <w:right w:val="nil"/>
            </w:tcBorders>
            <w:shd w:val="clear" w:color="auto" w:fill="auto"/>
            <w:vAlign w:val="center"/>
          </w:tcPr>
          <w:p w14:paraId="4F097893"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(7.3, 10.3)</w:t>
            </w:r>
          </w:p>
        </w:tc>
      </w:tr>
      <w:tr w:rsidR="009118DA" w:rsidRPr="008A7800" w14:paraId="75B8DE33"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382F1132" w14:textId="77777777" w:rsidR="008A068A" w:rsidRPr="008A7800" w:rsidRDefault="008A068A" w:rsidP="008A068A">
            <w:pPr>
              <w:spacing w:before="20" w:after="20"/>
              <w:ind w:left="176"/>
              <w:rPr>
                <w:rFonts w:eastAsiaTheme="minorEastAsia"/>
                <w:b w:val="0"/>
                <w:sz w:val="18"/>
                <w:szCs w:val="18"/>
                <w:lang w:eastAsia="en-US"/>
              </w:rPr>
            </w:pPr>
            <w:r w:rsidRPr="008A7800">
              <w:rPr>
                <w:rFonts w:eastAsiaTheme="minorEastAsia"/>
                <w:b w:val="0"/>
                <w:sz w:val="18"/>
                <w:szCs w:val="18"/>
                <w:lang w:eastAsia="en-US"/>
              </w:rPr>
              <w:t>Housie or bingo</w:t>
            </w:r>
          </w:p>
        </w:tc>
        <w:tc>
          <w:tcPr>
            <w:tcW w:w="666" w:type="dxa"/>
            <w:tcBorders>
              <w:top w:val="nil"/>
              <w:left w:val="nil"/>
              <w:bottom w:val="nil"/>
              <w:right w:val="nil"/>
            </w:tcBorders>
            <w:shd w:val="clear" w:color="auto" w:fill="auto"/>
            <w:noWrap/>
            <w:vAlign w:val="center"/>
          </w:tcPr>
          <w:p w14:paraId="00B3848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44</w:t>
            </w:r>
          </w:p>
        </w:tc>
        <w:tc>
          <w:tcPr>
            <w:tcW w:w="567" w:type="dxa"/>
            <w:tcBorders>
              <w:top w:val="nil"/>
              <w:left w:val="nil"/>
              <w:bottom w:val="nil"/>
              <w:right w:val="nil"/>
            </w:tcBorders>
            <w:shd w:val="clear" w:color="auto" w:fill="auto"/>
            <w:noWrap/>
            <w:vAlign w:val="center"/>
          </w:tcPr>
          <w:p w14:paraId="01F109D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0.7</w:t>
            </w:r>
          </w:p>
        </w:tc>
        <w:tc>
          <w:tcPr>
            <w:tcW w:w="1146" w:type="dxa"/>
            <w:tcBorders>
              <w:top w:val="nil"/>
              <w:left w:val="nil"/>
              <w:bottom w:val="nil"/>
              <w:right w:val="single" w:sz="4" w:space="0" w:color="auto"/>
            </w:tcBorders>
            <w:shd w:val="clear" w:color="auto" w:fill="auto"/>
            <w:noWrap/>
            <w:vAlign w:val="center"/>
          </w:tcPr>
          <w:p w14:paraId="17123C52"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(0.5, 0.9)</w:t>
            </w:r>
          </w:p>
        </w:tc>
        <w:tc>
          <w:tcPr>
            <w:tcW w:w="666" w:type="dxa"/>
            <w:tcBorders>
              <w:top w:val="nil"/>
              <w:left w:val="single" w:sz="4" w:space="0" w:color="auto"/>
              <w:bottom w:val="nil"/>
              <w:right w:val="nil"/>
            </w:tcBorders>
            <w:shd w:val="clear" w:color="auto" w:fill="auto"/>
            <w:noWrap/>
            <w:vAlign w:val="center"/>
          </w:tcPr>
          <w:p w14:paraId="31A0C6E7"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27</w:t>
            </w:r>
          </w:p>
        </w:tc>
        <w:tc>
          <w:tcPr>
            <w:tcW w:w="621" w:type="dxa"/>
            <w:tcBorders>
              <w:top w:val="nil"/>
              <w:left w:val="nil"/>
              <w:bottom w:val="nil"/>
              <w:right w:val="nil"/>
            </w:tcBorders>
            <w:shd w:val="clear" w:color="auto" w:fill="auto"/>
            <w:noWrap/>
            <w:vAlign w:val="center"/>
          </w:tcPr>
          <w:p w14:paraId="7FFB647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0.7</w:t>
            </w:r>
          </w:p>
        </w:tc>
        <w:tc>
          <w:tcPr>
            <w:tcW w:w="1146" w:type="dxa"/>
            <w:tcBorders>
              <w:top w:val="nil"/>
              <w:left w:val="nil"/>
              <w:bottom w:val="nil"/>
              <w:right w:val="single" w:sz="4" w:space="0" w:color="000000"/>
            </w:tcBorders>
            <w:shd w:val="clear" w:color="auto" w:fill="auto"/>
            <w:noWrap/>
            <w:vAlign w:val="center"/>
          </w:tcPr>
          <w:p w14:paraId="6A494769"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(0.5, 1.0)</w:t>
            </w:r>
          </w:p>
        </w:tc>
        <w:tc>
          <w:tcPr>
            <w:tcW w:w="616" w:type="dxa"/>
            <w:tcBorders>
              <w:top w:val="nil"/>
              <w:left w:val="single" w:sz="4" w:space="0" w:color="000000"/>
              <w:bottom w:val="nil"/>
              <w:right w:val="nil"/>
            </w:tcBorders>
            <w:shd w:val="clear" w:color="auto" w:fill="auto"/>
            <w:vAlign w:val="center"/>
          </w:tcPr>
          <w:p w14:paraId="18456F39"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23</w:t>
            </w:r>
          </w:p>
        </w:tc>
        <w:tc>
          <w:tcPr>
            <w:tcW w:w="567" w:type="dxa"/>
            <w:tcBorders>
              <w:top w:val="nil"/>
              <w:left w:val="nil"/>
              <w:bottom w:val="nil"/>
              <w:right w:val="nil"/>
            </w:tcBorders>
            <w:shd w:val="clear" w:color="auto" w:fill="auto"/>
            <w:vAlign w:val="center"/>
          </w:tcPr>
          <w:p w14:paraId="3AC89CA6"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0.7</w:t>
            </w:r>
          </w:p>
        </w:tc>
        <w:tc>
          <w:tcPr>
            <w:tcW w:w="1146" w:type="dxa"/>
            <w:tcBorders>
              <w:top w:val="nil"/>
              <w:left w:val="nil"/>
              <w:bottom w:val="nil"/>
              <w:right w:val="single" w:sz="4" w:space="0" w:color="000000"/>
            </w:tcBorders>
            <w:shd w:val="clear" w:color="auto" w:fill="auto"/>
            <w:vAlign w:val="center"/>
          </w:tcPr>
          <w:p w14:paraId="3D2E55F6"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(0.4, 1.0)</w:t>
            </w:r>
          </w:p>
        </w:tc>
        <w:tc>
          <w:tcPr>
            <w:tcW w:w="616" w:type="dxa"/>
            <w:tcBorders>
              <w:top w:val="nil"/>
              <w:left w:val="single" w:sz="4" w:space="0" w:color="000000"/>
              <w:bottom w:val="nil"/>
              <w:right w:val="nil"/>
            </w:tcBorders>
            <w:shd w:val="clear" w:color="auto" w:fill="auto"/>
            <w:vAlign w:val="center"/>
          </w:tcPr>
          <w:p w14:paraId="35A4870C"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18</w:t>
            </w:r>
          </w:p>
        </w:tc>
        <w:tc>
          <w:tcPr>
            <w:tcW w:w="576" w:type="dxa"/>
            <w:tcBorders>
              <w:top w:val="nil"/>
              <w:left w:val="nil"/>
              <w:bottom w:val="nil"/>
              <w:right w:val="nil"/>
            </w:tcBorders>
            <w:shd w:val="clear" w:color="auto" w:fill="auto"/>
            <w:vAlign w:val="center"/>
          </w:tcPr>
          <w:p w14:paraId="03DDB88C"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0.6</w:t>
            </w:r>
          </w:p>
        </w:tc>
        <w:tc>
          <w:tcPr>
            <w:tcW w:w="1146" w:type="dxa"/>
            <w:tcBorders>
              <w:top w:val="nil"/>
              <w:left w:val="nil"/>
              <w:bottom w:val="nil"/>
              <w:right w:val="nil"/>
            </w:tcBorders>
            <w:shd w:val="clear" w:color="auto" w:fill="auto"/>
            <w:vAlign w:val="center"/>
          </w:tcPr>
          <w:p w14:paraId="6BFD7686"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(0.4, 0.9)</w:t>
            </w:r>
          </w:p>
        </w:tc>
      </w:tr>
      <w:tr w:rsidR="009118DA" w:rsidRPr="008A7800" w14:paraId="28E74F9C"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50313D8B" w14:textId="77777777" w:rsidR="008A068A" w:rsidRPr="008A7800" w:rsidRDefault="008A068A" w:rsidP="008A068A">
            <w:pPr>
              <w:spacing w:before="20" w:after="20"/>
              <w:ind w:left="176"/>
              <w:rPr>
                <w:rFonts w:eastAsiaTheme="minorEastAsia"/>
                <w:b w:val="0"/>
                <w:sz w:val="18"/>
                <w:szCs w:val="18"/>
                <w:lang w:eastAsia="en-US"/>
              </w:rPr>
            </w:pPr>
            <w:r w:rsidRPr="008A7800">
              <w:rPr>
                <w:rFonts w:eastAsiaTheme="minorEastAsia"/>
                <w:b w:val="0"/>
                <w:sz w:val="18"/>
                <w:szCs w:val="18"/>
                <w:lang w:eastAsia="en-US"/>
              </w:rPr>
              <w:t>Horse/dog race betting</w:t>
            </w:r>
          </w:p>
        </w:tc>
        <w:tc>
          <w:tcPr>
            <w:tcW w:w="666" w:type="dxa"/>
            <w:tcBorders>
              <w:top w:val="nil"/>
              <w:left w:val="nil"/>
              <w:bottom w:val="nil"/>
              <w:right w:val="nil"/>
            </w:tcBorders>
            <w:shd w:val="clear" w:color="auto" w:fill="auto"/>
            <w:noWrap/>
            <w:vAlign w:val="center"/>
          </w:tcPr>
          <w:p w14:paraId="0C12D072"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362</w:t>
            </w:r>
          </w:p>
        </w:tc>
        <w:tc>
          <w:tcPr>
            <w:tcW w:w="567" w:type="dxa"/>
            <w:tcBorders>
              <w:top w:val="nil"/>
              <w:left w:val="nil"/>
              <w:bottom w:val="nil"/>
              <w:right w:val="nil"/>
            </w:tcBorders>
            <w:shd w:val="clear" w:color="auto" w:fill="auto"/>
            <w:noWrap/>
            <w:vAlign w:val="center"/>
          </w:tcPr>
          <w:p w14:paraId="48D35BD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5.8</w:t>
            </w:r>
          </w:p>
        </w:tc>
        <w:tc>
          <w:tcPr>
            <w:tcW w:w="1146" w:type="dxa"/>
            <w:tcBorders>
              <w:top w:val="nil"/>
              <w:left w:val="nil"/>
              <w:bottom w:val="nil"/>
              <w:right w:val="single" w:sz="4" w:space="0" w:color="auto"/>
            </w:tcBorders>
            <w:shd w:val="clear" w:color="auto" w:fill="auto"/>
            <w:noWrap/>
            <w:vAlign w:val="center"/>
          </w:tcPr>
          <w:p w14:paraId="6F760F74"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(5.1, 6.5)</w:t>
            </w:r>
          </w:p>
        </w:tc>
        <w:tc>
          <w:tcPr>
            <w:tcW w:w="666" w:type="dxa"/>
            <w:tcBorders>
              <w:top w:val="nil"/>
              <w:left w:val="single" w:sz="4" w:space="0" w:color="auto"/>
              <w:bottom w:val="nil"/>
              <w:right w:val="nil"/>
            </w:tcBorders>
            <w:shd w:val="clear" w:color="auto" w:fill="auto"/>
            <w:noWrap/>
            <w:vAlign w:val="center"/>
          </w:tcPr>
          <w:p w14:paraId="1F3BCDA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204</w:t>
            </w:r>
          </w:p>
        </w:tc>
        <w:tc>
          <w:tcPr>
            <w:tcW w:w="621" w:type="dxa"/>
            <w:tcBorders>
              <w:top w:val="nil"/>
              <w:left w:val="nil"/>
              <w:bottom w:val="nil"/>
              <w:right w:val="nil"/>
            </w:tcBorders>
            <w:shd w:val="clear" w:color="auto" w:fill="auto"/>
            <w:noWrap/>
            <w:vAlign w:val="center"/>
          </w:tcPr>
          <w:p w14:paraId="544C4FF6"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5.4</w:t>
            </w:r>
          </w:p>
        </w:tc>
        <w:tc>
          <w:tcPr>
            <w:tcW w:w="1146" w:type="dxa"/>
            <w:tcBorders>
              <w:top w:val="nil"/>
              <w:left w:val="nil"/>
              <w:bottom w:val="nil"/>
              <w:right w:val="single" w:sz="4" w:space="0" w:color="000000"/>
            </w:tcBorders>
            <w:shd w:val="clear" w:color="auto" w:fill="auto"/>
            <w:noWrap/>
            <w:vAlign w:val="center"/>
          </w:tcPr>
          <w:p w14:paraId="0EA46C3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(4.6, 6.3)</w:t>
            </w:r>
          </w:p>
        </w:tc>
        <w:tc>
          <w:tcPr>
            <w:tcW w:w="616" w:type="dxa"/>
            <w:tcBorders>
              <w:top w:val="nil"/>
              <w:left w:val="single" w:sz="4" w:space="0" w:color="000000"/>
              <w:bottom w:val="nil"/>
              <w:right w:val="nil"/>
            </w:tcBorders>
            <w:shd w:val="clear" w:color="auto" w:fill="auto"/>
            <w:vAlign w:val="center"/>
          </w:tcPr>
          <w:p w14:paraId="54D8E16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147</w:t>
            </w:r>
          </w:p>
        </w:tc>
        <w:tc>
          <w:tcPr>
            <w:tcW w:w="567" w:type="dxa"/>
            <w:tcBorders>
              <w:top w:val="nil"/>
              <w:left w:val="nil"/>
              <w:bottom w:val="nil"/>
              <w:right w:val="nil"/>
            </w:tcBorders>
            <w:shd w:val="clear" w:color="auto" w:fill="auto"/>
            <w:vAlign w:val="center"/>
          </w:tcPr>
          <w:p w14:paraId="1F4D3C8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4.7</w:t>
            </w:r>
          </w:p>
        </w:tc>
        <w:tc>
          <w:tcPr>
            <w:tcW w:w="1146" w:type="dxa"/>
            <w:tcBorders>
              <w:top w:val="nil"/>
              <w:left w:val="nil"/>
              <w:bottom w:val="nil"/>
              <w:right w:val="single" w:sz="4" w:space="0" w:color="000000"/>
            </w:tcBorders>
            <w:shd w:val="clear" w:color="auto" w:fill="auto"/>
            <w:vAlign w:val="center"/>
          </w:tcPr>
          <w:p w14:paraId="71182C1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(3.8, 5.6)</w:t>
            </w:r>
          </w:p>
        </w:tc>
        <w:tc>
          <w:tcPr>
            <w:tcW w:w="616" w:type="dxa"/>
            <w:tcBorders>
              <w:top w:val="nil"/>
              <w:left w:val="single" w:sz="4" w:space="0" w:color="000000"/>
              <w:bottom w:val="nil"/>
              <w:right w:val="nil"/>
            </w:tcBorders>
            <w:shd w:val="clear" w:color="auto" w:fill="auto"/>
            <w:vAlign w:val="center"/>
          </w:tcPr>
          <w:p w14:paraId="47610DEE"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137</w:t>
            </w:r>
          </w:p>
        </w:tc>
        <w:tc>
          <w:tcPr>
            <w:tcW w:w="576" w:type="dxa"/>
            <w:tcBorders>
              <w:top w:val="nil"/>
              <w:left w:val="nil"/>
              <w:bottom w:val="nil"/>
              <w:right w:val="nil"/>
            </w:tcBorders>
            <w:shd w:val="clear" w:color="auto" w:fill="auto"/>
            <w:vAlign w:val="center"/>
          </w:tcPr>
          <w:p w14:paraId="716042B1"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4.9</w:t>
            </w:r>
          </w:p>
        </w:tc>
        <w:tc>
          <w:tcPr>
            <w:tcW w:w="1146" w:type="dxa"/>
            <w:tcBorders>
              <w:top w:val="nil"/>
              <w:left w:val="nil"/>
              <w:bottom w:val="nil"/>
              <w:right w:val="nil"/>
            </w:tcBorders>
            <w:shd w:val="clear" w:color="auto" w:fill="auto"/>
            <w:vAlign w:val="center"/>
          </w:tcPr>
          <w:p w14:paraId="14EB7B56"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w:t>
            </w:r>
            <w:r w:rsidR="007C46D2" w:rsidRPr="008A7800">
              <w:rPr>
                <w:color w:val="000000"/>
                <w:sz w:val="18"/>
                <w:szCs w:val="18"/>
              </w:rPr>
              <w:t>.0</w:t>
            </w:r>
            <w:r w:rsidRPr="008A7800">
              <w:rPr>
                <w:color w:val="000000"/>
                <w:sz w:val="18"/>
                <w:szCs w:val="18"/>
              </w:rPr>
              <w:t>, 5.9)</w:t>
            </w:r>
          </w:p>
        </w:tc>
      </w:tr>
      <w:tr w:rsidR="009118DA" w:rsidRPr="008A7800" w14:paraId="30CCAE79"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4CE5E472" w14:textId="77777777" w:rsidR="008A068A" w:rsidRPr="008A7800" w:rsidRDefault="008A068A" w:rsidP="008A068A">
            <w:pPr>
              <w:spacing w:before="20" w:after="20"/>
              <w:ind w:left="176"/>
              <w:rPr>
                <w:rFonts w:eastAsiaTheme="minorEastAsia"/>
                <w:b w:val="0"/>
                <w:sz w:val="18"/>
                <w:szCs w:val="18"/>
                <w:lang w:eastAsia="en-US"/>
              </w:rPr>
            </w:pPr>
            <w:r w:rsidRPr="008A7800">
              <w:rPr>
                <w:rFonts w:eastAsiaTheme="minorEastAsia"/>
                <w:b w:val="0"/>
                <w:sz w:val="18"/>
                <w:szCs w:val="18"/>
                <w:lang w:eastAsia="en-US"/>
              </w:rPr>
              <w:t>Sports betting</w:t>
            </w:r>
          </w:p>
        </w:tc>
        <w:tc>
          <w:tcPr>
            <w:tcW w:w="666" w:type="dxa"/>
            <w:tcBorders>
              <w:top w:val="nil"/>
              <w:left w:val="nil"/>
              <w:bottom w:val="nil"/>
              <w:right w:val="nil"/>
            </w:tcBorders>
            <w:shd w:val="clear" w:color="auto" w:fill="auto"/>
            <w:noWrap/>
            <w:vAlign w:val="center"/>
          </w:tcPr>
          <w:p w14:paraId="2A79BBE9"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74</w:t>
            </w:r>
          </w:p>
        </w:tc>
        <w:tc>
          <w:tcPr>
            <w:tcW w:w="567" w:type="dxa"/>
            <w:tcBorders>
              <w:top w:val="nil"/>
              <w:left w:val="nil"/>
              <w:bottom w:val="nil"/>
              <w:right w:val="nil"/>
            </w:tcBorders>
            <w:shd w:val="clear" w:color="auto" w:fill="auto"/>
            <w:noWrap/>
            <w:vAlign w:val="center"/>
          </w:tcPr>
          <w:p w14:paraId="1B2AB2F6"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w:t>
            </w:r>
          </w:p>
        </w:tc>
        <w:tc>
          <w:tcPr>
            <w:tcW w:w="1146" w:type="dxa"/>
            <w:tcBorders>
              <w:top w:val="nil"/>
              <w:left w:val="nil"/>
              <w:bottom w:val="nil"/>
              <w:right w:val="single" w:sz="4" w:space="0" w:color="auto"/>
            </w:tcBorders>
            <w:shd w:val="clear" w:color="auto" w:fill="auto"/>
            <w:noWrap/>
            <w:vAlign w:val="center"/>
          </w:tcPr>
          <w:p w14:paraId="50204EA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(0.8, 1.6)</w:t>
            </w:r>
          </w:p>
        </w:tc>
        <w:tc>
          <w:tcPr>
            <w:tcW w:w="666" w:type="dxa"/>
            <w:tcBorders>
              <w:top w:val="nil"/>
              <w:left w:val="single" w:sz="4" w:space="0" w:color="auto"/>
              <w:bottom w:val="nil"/>
              <w:right w:val="nil"/>
            </w:tcBorders>
            <w:shd w:val="clear" w:color="auto" w:fill="auto"/>
            <w:noWrap/>
            <w:vAlign w:val="center"/>
          </w:tcPr>
          <w:p w14:paraId="0275200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34</w:t>
            </w:r>
          </w:p>
        </w:tc>
        <w:tc>
          <w:tcPr>
            <w:tcW w:w="621" w:type="dxa"/>
            <w:tcBorders>
              <w:top w:val="nil"/>
              <w:left w:val="nil"/>
              <w:bottom w:val="nil"/>
              <w:right w:val="nil"/>
            </w:tcBorders>
            <w:shd w:val="clear" w:color="auto" w:fill="auto"/>
            <w:noWrap/>
            <w:vAlign w:val="center"/>
          </w:tcPr>
          <w:p w14:paraId="62596B9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0.9</w:t>
            </w:r>
          </w:p>
        </w:tc>
        <w:tc>
          <w:tcPr>
            <w:tcW w:w="1146" w:type="dxa"/>
            <w:tcBorders>
              <w:top w:val="nil"/>
              <w:left w:val="nil"/>
              <w:bottom w:val="nil"/>
              <w:right w:val="single" w:sz="4" w:space="0" w:color="000000"/>
            </w:tcBorders>
            <w:shd w:val="clear" w:color="auto" w:fill="auto"/>
            <w:noWrap/>
            <w:vAlign w:val="center"/>
          </w:tcPr>
          <w:p w14:paraId="1B81D75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(0.5, 1.3)</w:t>
            </w:r>
          </w:p>
        </w:tc>
        <w:tc>
          <w:tcPr>
            <w:tcW w:w="616" w:type="dxa"/>
            <w:tcBorders>
              <w:top w:val="nil"/>
              <w:left w:val="single" w:sz="4" w:space="0" w:color="000000"/>
              <w:bottom w:val="nil"/>
              <w:right w:val="nil"/>
            </w:tcBorders>
            <w:shd w:val="clear" w:color="auto" w:fill="auto"/>
            <w:vAlign w:val="center"/>
          </w:tcPr>
          <w:p w14:paraId="5F2F717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26</w:t>
            </w:r>
          </w:p>
        </w:tc>
        <w:tc>
          <w:tcPr>
            <w:tcW w:w="567" w:type="dxa"/>
            <w:tcBorders>
              <w:top w:val="nil"/>
              <w:left w:val="nil"/>
              <w:bottom w:val="nil"/>
              <w:right w:val="nil"/>
            </w:tcBorders>
            <w:shd w:val="clear" w:color="auto" w:fill="auto"/>
            <w:vAlign w:val="center"/>
          </w:tcPr>
          <w:p w14:paraId="3A208692"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0.8</w:t>
            </w:r>
          </w:p>
        </w:tc>
        <w:tc>
          <w:tcPr>
            <w:tcW w:w="1146" w:type="dxa"/>
            <w:tcBorders>
              <w:top w:val="nil"/>
              <w:left w:val="nil"/>
              <w:bottom w:val="nil"/>
              <w:right w:val="single" w:sz="4" w:space="0" w:color="000000"/>
            </w:tcBorders>
            <w:shd w:val="clear" w:color="auto" w:fill="auto"/>
            <w:vAlign w:val="center"/>
          </w:tcPr>
          <w:p w14:paraId="0CD76C8E"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(0.4, 1.3)</w:t>
            </w:r>
          </w:p>
        </w:tc>
        <w:tc>
          <w:tcPr>
            <w:tcW w:w="616" w:type="dxa"/>
            <w:tcBorders>
              <w:top w:val="nil"/>
              <w:left w:val="single" w:sz="4" w:space="0" w:color="000000"/>
              <w:bottom w:val="nil"/>
              <w:right w:val="nil"/>
            </w:tcBorders>
            <w:shd w:val="clear" w:color="auto" w:fill="auto"/>
            <w:vAlign w:val="center"/>
          </w:tcPr>
          <w:p w14:paraId="3F6C2B13"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26</w:t>
            </w:r>
          </w:p>
        </w:tc>
        <w:tc>
          <w:tcPr>
            <w:tcW w:w="576" w:type="dxa"/>
            <w:tcBorders>
              <w:top w:val="nil"/>
              <w:left w:val="nil"/>
              <w:bottom w:val="nil"/>
              <w:right w:val="nil"/>
            </w:tcBorders>
            <w:shd w:val="clear" w:color="auto" w:fill="auto"/>
            <w:vAlign w:val="center"/>
          </w:tcPr>
          <w:p w14:paraId="33BD472D"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0.9</w:t>
            </w:r>
          </w:p>
        </w:tc>
        <w:tc>
          <w:tcPr>
            <w:tcW w:w="1146" w:type="dxa"/>
            <w:tcBorders>
              <w:top w:val="nil"/>
              <w:left w:val="nil"/>
              <w:bottom w:val="nil"/>
              <w:right w:val="nil"/>
            </w:tcBorders>
            <w:shd w:val="clear" w:color="auto" w:fill="auto"/>
            <w:vAlign w:val="center"/>
          </w:tcPr>
          <w:p w14:paraId="7F6069ED"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(0.5, 1.4)</w:t>
            </w:r>
          </w:p>
        </w:tc>
      </w:tr>
      <w:tr w:rsidR="009118DA" w:rsidRPr="008A7800" w14:paraId="0A55E005"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374E17B9" w14:textId="77777777" w:rsidR="008A068A" w:rsidRPr="008A7800" w:rsidRDefault="008A068A" w:rsidP="008A068A">
            <w:pPr>
              <w:spacing w:before="20" w:after="20"/>
              <w:ind w:left="176"/>
              <w:rPr>
                <w:rFonts w:eastAsiaTheme="minorEastAsia"/>
                <w:b w:val="0"/>
                <w:sz w:val="18"/>
                <w:szCs w:val="18"/>
                <w:lang w:eastAsia="en-US"/>
              </w:rPr>
            </w:pPr>
            <w:r w:rsidRPr="008A7800">
              <w:rPr>
                <w:rFonts w:eastAsiaTheme="minorEastAsia"/>
                <w:b w:val="0"/>
                <w:sz w:val="18"/>
                <w:szCs w:val="18"/>
                <w:lang w:eastAsia="en-US"/>
              </w:rPr>
              <w:t>Casino table games or EGMS (NZ and overseas)</w:t>
            </w:r>
          </w:p>
        </w:tc>
        <w:tc>
          <w:tcPr>
            <w:tcW w:w="666" w:type="dxa"/>
            <w:tcBorders>
              <w:top w:val="nil"/>
              <w:left w:val="nil"/>
              <w:bottom w:val="nil"/>
              <w:right w:val="nil"/>
            </w:tcBorders>
            <w:shd w:val="clear" w:color="auto" w:fill="auto"/>
            <w:noWrap/>
            <w:vAlign w:val="center"/>
          </w:tcPr>
          <w:p w14:paraId="49F0DDC9"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254</w:t>
            </w:r>
          </w:p>
        </w:tc>
        <w:tc>
          <w:tcPr>
            <w:tcW w:w="567" w:type="dxa"/>
            <w:tcBorders>
              <w:top w:val="nil"/>
              <w:left w:val="nil"/>
              <w:bottom w:val="nil"/>
              <w:right w:val="nil"/>
            </w:tcBorders>
            <w:shd w:val="clear" w:color="auto" w:fill="auto"/>
            <w:noWrap/>
            <w:vAlign w:val="center"/>
          </w:tcPr>
          <w:p w14:paraId="38795019"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4.1</w:t>
            </w:r>
          </w:p>
        </w:tc>
        <w:tc>
          <w:tcPr>
            <w:tcW w:w="1146" w:type="dxa"/>
            <w:tcBorders>
              <w:top w:val="nil"/>
              <w:left w:val="nil"/>
              <w:bottom w:val="nil"/>
              <w:right w:val="single" w:sz="4" w:space="0" w:color="auto"/>
            </w:tcBorders>
            <w:shd w:val="clear" w:color="auto" w:fill="auto"/>
            <w:noWrap/>
            <w:vAlign w:val="center"/>
          </w:tcPr>
          <w:p w14:paraId="21028E06"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(3.4, 4.7)</w:t>
            </w:r>
          </w:p>
        </w:tc>
        <w:tc>
          <w:tcPr>
            <w:tcW w:w="666" w:type="dxa"/>
            <w:tcBorders>
              <w:top w:val="nil"/>
              <w:left w:val="single" w:sz="4" w:space="0" w:color="auto"/>
              <w:bottom w:val="nil"/>
              <w:right w:val="nil"/>
            </w:tcBorders>
            <w:shd w:val="clear" w:color="auto" w:fill="auto"/>
            <w:noWrap/>
            <w:vAlign w:val="center"/>
          </w:tcPr>
          <w:p w14:paraId="7A0F45D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127</w:t>
            </w:r>
          </w:p>
        </w:tc>
        <w:tc>
          <w:tcPr>
            <w:tcW w:w="621" w:type="dxa"/>
            <w:tcBorders>
              <w:top w:val="nil"/>
              <w:left w:val="nil"/>
              <w:bottom w:val="nil"/>
              <w:right w:val="nil"/>
            </w:tcBorders>
            <w:shd w:val="clear" w:color="auto" w:fill="auto"/>
            <w:noWrap/>
            <w:vAlign w:val="center"/>
          </w:tcPr>
          <w:p w14:paraId="36F6EB6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3.4</w:t>
            </w:r>
          </w:p>
        </w:tc>
        <w:tc>
          <w:tcPr>
            <w:tcW w:w="1146" w:type="dxa"/>
            <w:tcBorders>
              <w:top w:val="nil"/>
              <w:left w:val="nil"/>
              <w:bottom w:val="nil"/>
              <w:right w:val="single" w:sz="4" w:space="0" w:color="000000"/>
            </w:tcBorders>
            <w:shd w:val="clear" w:color="auto" w:fill="auto"/>
            <w:noWrap/>
            <w:vAlign w:val="center"/>
          </w:tcPr>
          <w:p w14:paraId="39B26F9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(2.6, 4.2)</w:t>
            </w:r>
          </w:p>
        </w:tc>
        <w:tc>
          <w:tcPr>
            <w:tcW w:w="616" w:type="dxa"/>
            <w:tcBorders>
              <w:top w:val="nil"/>
              <w:left w:val="single" w:sz="4" w:space="0" w:color="000000"/>
              <w:bottom w:val="nil"/>
              <w:right w:val="nil"/>
            </w:tcBorders>
            <w:shd w:val="clear" w:color="auto" w:fill="auto"/>
            <w:vAlign w:val="center"/>
          </w:tcPr>
          <w:p w14:paraId="0D6EE5A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99</w:t>
            </w:r>
          </w:p>
        </w:tc>
        <w:tc>
          <w:tcPr>
            <w:tcW w:w="567" w:type="dxa"/>
            <w:tcBorders>
              <w:top w:val="nil"/>
              <w:left w:val="nil"/>
              <w:bottom w:val="nil"/>
              <w:right w:val="nil"/>
            </w:tcBorders>
            <w:shd w:val="clear" w:color="auto" w:fill="auto"/>
            <w:vAlign w:val="center"/>
          </w:tcPr>
          <w:p w14:paraId="726CA7D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3.2</w:t>
            </w:r>
          </w:p>
        </w:tc>
        <w:tc>
          <w:tcPr>
            <w:tcW w:w="1146" w:type="dxa"/>
            <w:tcBorders>
              <w:top w:val="nil"/>
              <w:left w:val="nil"/>
              <w:bottom w:val="nil"/>
              <w:right w:val="single" w:sz="4" w:space="0" w:color="000000"/>
            </w:tcBorders>
            <w:shd w:val="clear" w:color="auto" w:fill="auto"/>
            <w:vAlign w:val="center"/>
          </w:tcPr>
          <w:p w14:paraId="4D70703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(2.4, 4.0)</w:t>
            </w:r>
          </w:p>
        </w:tc>
        <w:tc>
          <w:tcPr>
            <w:tcW w:w="616" w:type="dxa"/>
            <w:tcBorders>
              <w:top w:val="nil"/>
              <w:left w:val="single" w:sz="4" w:space="0" w:color="000000"/>
              <w:bottom w:val="nil"/>
              <w:right w:val="nil"/>
            </w:tcBorders>
            <w:shd w:val="clear" w:color="auto" w:fill="auto"/>
            <w:vAlign w:val="center"/>
          </w:tcPr>
          <w:p w14:paraId="6D8F0C1B"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77</w:t>
            </w:r>
          </w:p>
        </w:tc>
        <w:tc>
          <w:tcPr>
            <w:tcW w:w="576" w:type="dxa"/>
            <w:tcBorders>
              <w:top w:val="nil"/>
              <w:left w:val="nil"/>
              <w:bottom w:val="nil"/>
              <w:right w:val="nil"/>
            </w:tcBorders>
            <w:shd w:val="clear" w:color="auto" w:fill="auto"/>
            <w:vAlign w:val="center"/>
          </w:tcPr>
          <w:p w14:paraId="23D0653E"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2.8</w:t>
            </w:r>
          </w:p>
        </w:tc>
        <w:tc>
          <w:tcPr>
            <w:tcW w:w="1146" w:type="dxa"/>
            <w:tcBorders>
              <w:top w:val="nil"/>
              <w:left w:val="nil"/>
              <w:bottom w:val="nil"/>
              <w:right w:val="nil"/>
            </w:tcBorders>
            <w:shd w:val="clear" w:color="auto" w:fill="auto"/>
            <w:vAlign w:val="center"/>
          </w:tcPr>
          <w:p w14:paraId="0CC8B1B3"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(1.9, 3.6)</w:t>
            </w:r>
          </w:p>
        </w:tc>
      </w:tr>
      <w:tr w:rsidR="009118DA" w:rsidRPr="008A7800" w14:paraId="66EB2A23"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1B7FD7F1" w14:textId="77777777" w:rsidR="008A068A" w:rsidRPr="008A7800" w:rsidRDefault="008A068A" w:rsidP="008A068A">
            <w:pPr>
              <w:spacing w:before="20" w:after="20"/>
              <w:ind w:left="176"/>
              <w:rPr>
                <w:rFonts w:eastAsiaTheme="minorEastAsia"/>
                <w:b w:val="0"/>
                <w:sz w:val="18"/>
                <w:szCs w:val="18"/>
              </w:rPr>
            </w:pPr>
            <w:r w:rsidRPr="008A7800">
              <w:rPr>
                <w:rFonts w:eastAsiaTheme="minorEastAsia"/>
                <w:b w:val="0"/>
                <w:sz w:val="18"/>
                <w:szCs w:val="18"/>
              </w:rPr>
              <w:t>Non-casino EGMs</w:t>
            </w:r>
          </w:p>
        </w:tc>
        <w:tc>
          <w:tcPr>
            <w:tcW w:w="666" w:type="dxa"/>
            <w:tcBorders>
              <w:top w:val="nil"/>
              <w:left w:val="nil"/>
              <w:bottom w:val="nil"/>
              <w:right w:val="nil"/>
            </w:tcBorders>
            <w:shd w:val="clear" w:color="auto" w:fill="auto"/>
            <w:noWrap/>
            <w:vAlign w:val="center"/>
          </w:tcPr>
          <w:p w14:paraId="128BEDE7"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219</w:t>
            </w:r>
          </w:p>
        </w:tc>
        <w:tc>
          <w:tcPr>
            <w:tcW w:w="567" w:type="dxa"/>
            <w:tcBorders>
              <w:top w:val="nil"/>
              <w:left w:val="nil"/>
              <w:bottom w:val="nil"/>
              <w:right w:val="nil"/>
            </w:tcBorders>
            <w:shd w:val="clear" w:color="auto" w:fill="auto"/>
            <w:noWrap/>
            <w:vAlign w:val="center"/>
          </w:tcPr>
          <w:p w14:paraId="1D3276F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3.5</w:t>
            </w:r>
          </w:p>
        </w:tc>
        <w:tc>
          <w:tcPr>
            <w:tcW w:w="1146" w:type="dxa"/>
            <w:tcBorders>
              <w:top w:val="nil"/>
              <w:left w:val="nil"/>
              <w:bottom w:val="nil"/>
              <w:right w:val="single" w:sz="4" w:space="0" w:color="auto"/>
            </w:tcBorders>
            <w:shd w:val="clear" w:color="auto" w:fill="auto"/>
            <w:noWrap/>
            <w:vAlign w:val="center"/>
          </w:tcPr>
          <w:p w14:paraId="340B60A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(2.9, 4.1)</w:t>
            </w:r>
          </w:p>
        </w:tc>
        <w:tc>
          <w:tcPr>
            <w:tcW w:w="666" w:type="dxa"/>
            <w:tcBorders>
              <w:top w:val="nil"/>
              <w:left w:val="single" w:sz="4" w:space="0" w:color="auto"/>
              <w:bottom w:val="nil"/>
              <w:right w:val="nil"/>
            </w:tcBorders>
            <w:shd w:val="clear" w:color="auto" w:fill="auto"/>
            <w:noWrap/>
            <w:vAlign w:val="center"/>
          </w:tcPr>
          <w:p w14:paraId="338724C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130</w:t>
            </w:r>
          </w:p>
        </w:tc>
        <w:tc>
          <w:tcPr>
            <w:tcW w:w="621" w:type="dxa"/>
            <w:tcBorders>
              <w:top w:val="nil"/>
              <w:left w:val="nil"/>
              <w:bottom w:val="nil"/>
              <w:right w:val="nil"/>
            </w:tcBorders>
            <w:shd w:val="clear" w:color="auto" w:fill="auto"/>
            <w:noWrap/>
            <w:vAlign w:val="center"/>
          </w:tcPr>
          <w:p w14:paraId="629BD9A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3.5</w:t>
            </w:r>
          </w:p>
        </w:tc>
        <w:tc>
          <w:tcPr>
            <w:tcW w:w="1146" w:type="dxa"/>
            <w:tcBorders>
              <w:top w:val="nil"/>
              <w:left w:val="nil"/>
              <w:bottom w:val="nil"/>
              <w:right w:val="single" w:sz="4" w:space="0" w:color="000000"/>
            </w:tcBorders>
            <w:shd w:val="clear" w:color="auto" w:fill="auto"/>
            <w:noWrap/>
            <w:vAlign w:val="center"/>
          </w:tcPr>
          <w:p w14:paraId="0FF92426"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(2.7, 4.2)</w:t>
            </w:r>
          </w:p>
        </w:tc>
        <w:tc>
          <w:tcPr>
            <w:tcW w:w="616" w:type="dxa"/>
            <w:tcBorders>
              <w:top w:val="nil"/>
              <w:left w:val="single" w:sz="4" w:space="0" w:color="000000"/>
              <w:bottom w:val="nil"/>
              <w:right w:val="nil"/>
            </w:tcBorders>
            <w:shd w:val="clear" w:color="auto" w:fill="auto"/>
            <w:vAlign w:val="center"/>
          </w:tcPr>
          <w:p w14:paraId="63EC88C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119</w:t>
            </w:r>
          </w:p>
        </w:tc>
        <w:tc>
          <w:tcPr>
            <w:tcW w:w="567" w:type="dxa"/>
            <w:tcBorders>
              <w:top w:val="nil"/>
              <w:left w:val="nil"/>
              <w:bottom w:val="nil"/>
              <w:right w:val="nil"/>
            </w:tcBorders>
            <w:shd w:val="clear" w:color="auto" w:fill="auto"/>
            <w:vAlign w:val="center"/>
          </w:tcPr>
          <w:p w14:paraId="0448961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3.8</w:t>
            </w:r>
          </w:p>
        </w:tc>
        <w:tc>
          <w:tcPr>
            <w:tcW w:w="1146" w:type="dxa"/>
            <w:tcBorders>
              <w:top w:val="nil"/>
              <w:left w:val="nil"/>
              <w:bottom w:val="nil"/>
              <w:right w:val="single" w:sz="4" w:space="0" w:color="000000"/>
            </w:tcBorders>
            <w:shd w:val="clear" w:color="auto" w:fill="auto"/>
            <w:vAlign w:val="center"/>
          </w:tcPr>
          <w:p w14:paraId="6FB18DC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(3.0, 4.6)</w:t>
            </w:r>
          </w:p>
        </w:tc>
        <w:tc>
          <w:tcPr>
            <w:tcW w:w="616" w:type="dxa"/>
            <w:tcBorders>
              <w:top w:val="nil"/>
              <w:left w:val="single" w:sz="4" w:space="0" w:color="000000"/>
              <w:bottom w:val="nil"/>
              <w:right w:val="nil"/>
            </w:tcBorders>
            <w:shd w:val="clear" w:color="auto" w:fill="auto"/>
            <w:vAlign w:val="center"/>
          </w:tcPr>
          <w:p w14:paraId="0998B3FC"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111</w:t>
            </w:r>
          </w:p>
        </w:tc>
        <w:tc>
          <w:tcPr>
            <w:tcW w:w="576" w:type="dxa"/>
            <w:tcBorders>
              <w:top w:val="nil"/>
              <w:left w:val="nil"/>
              <w:bottom w:val="nil"/>
              <w:right w:val="nil"/>
            </w:tcBorders>
            <w:shd w:val="clear" w:color="auto" w:fill="auto"/>
            <w:vAlign w:val="center"/>
          </w:tcPr>
          <w:p w14:paraId="423D6FF0"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4.0</w:t>
            </w:r>
          </w:p>
        </w:tc>
        <w:tc>
          <w:tcPr>
            <w:tcW w:w="1146" w:type="dxa"/>
            <w:tcBorders>
              <w:top w:val="nil"/>
              <w:left w:val="nil"/>
              <w:bottom w:val="nil"/>
              <w:right w:val="nil"/>
            </w:tcBorders>
            <w:shd w:val="clear" w:color="auto" w:fill="auto"/>
            <w:vAlign w:val="center"/>
          </w:tcPr>
          <w:p w14:paraId="49FC162A"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(3.0, 5.0)</w:t>
            </w:r>
          </w:p>
        </w:tc>
      </w:tr>
      <w:tr w:rsidR="009118DA" w:rsidRPr="008A7800" w14:paraId="2974636F"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66BC7B98" w14:textId="77777777" w:rsidR="008A068A" w:rsidRPr="008A7800" w:rsidRDefault="008A068A" w:rsidP="008A068A">
            <w:pPr>
              <w:spacing w:before="20" w:after="20"/>
              <w:ind w:left="176"/>
              <w:rPr>
                <w:rFonts w:eastAsiaTheme="minorEastAsia"/>
                <w:b w:val="0"/>
                <w:sz w:val="18"/>
                <w:szCs w:val="18"/>
              </w:rPr>
            </w:pPr>
            <w:r w:rsidRPr="008A7800">
              <w:rPr>
                <w:rFonts w:eastAsiaTheme="minorEastAsia"/>
                <w:b w:val="0"/>
                <w:sz w:val="18"/>
                <w:szCs w:val="18"/>
              </w:rPr>
              <w:t xml:space="preserve">Short-term spec. investments </w:t>
            </w:r>
          </w:p>
        </w:tc>
        <w:tc>
          <w:tcPr>
            <w:tcW w:w="666" w:type="dxa"/>
            <w:tcBorders>
              <w:top w:val="nil"/>
              <w:left w:val="nil"/>
              <w:bottom w:val="nil"/>
              <w:right w:val="nil"/>
            </w:tcBorders>
            <w:shd w:val="clear" w:color="auto" w:fill="auto"/>
            <w:noWrap/>
            <w:vAlign w:val="center"/>
          </w:tcPr>
          <w:p w14:paraId="67DE7239"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25</w:t>
            </w:r>
          </w:p>
        </w:tc>
        <w:tc>
          <w:tcPr>
            <w:tcW w:w="567" w:type="dxa"/>
            <w:tcBorders>
              <w:top w:val="nil"/>
              <w:left w:val="nil"/>
              <w:bottom w:val="nil"/>
              <w:right w:val="nil"/>
            </w:tcBorders>
            <w:shd w:val="clear" w:color="auto" w:fill="auto"/>
            <w:noWrap/>
            <w:vAlign w:val="center"/>
          </w:tcPr>
          <w:p w14:paraId="5BD0E626"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0.4</w:t>
            </w:r>
          </w:p>
        </w:tc>
        <w:tc>
          <w:tcPr>
            <w:tcW w:w="1146" w:type="dxa"/>
            <w:tcBorders>
              <w:top w:val="nil"/>
              <w:left w:val="nil"/>
              <w:bottom w:val="nil"/>
              <w:right w:val="single" w:sz="4" w:space="0" w:color="auto"/>
            </w:tcBorders>
            <w:shd w:val="clear" w:color="auto" w:fill="auto"/>
            <w:noWrap/>
            <w:vAlign w:val="center"/>
          </w:tcPr>
          <w:p w14:paraId="781A19C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(0.2, 0.6)</w:t>
            </w:r>
          </w:p>
        </w:tc>
        <w:tc>
          <w:tcPr>
            <w:tcW w:w="666" w:type="dxa"/>
            <w:tcBorders>
              <w:top w:val="nil"/>
              <w:left w:val="single" w:sz="4" w:space="0" w:color="auto"/>
              <w:bottom w:val="nil"/>
              <w:right w:val="nil"/>
            </w:tcBorders>
            <w:shd w:val="clear" w:color="auto" w:fill="auto"/>
            <w:noWrap/>
            <w:vAlign w:val="center"/>
          </w:tcPr>
          <w:p w14:paraId="1C5C605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24</w:t>
            </w:r>
          </w:p>
        </w:tc>
        <w:tc>
          <w:tcPr>
            <w:tcW w:w="621" w:type="dxa"/>
            <w:tcBorders>
              <w:top w:val="nil"/>
              <w:left w:val="nil"/>
              <w:bottom w:val="nil"/>
              <w:right w:val="nil"/>
            </w:tcBorders>
            <w:shd w:val="clear" w:color="auto" w:fill="auto"/>
            <w:noWrap/>
            <w:vAlign w:val="center"/>
          </w:tcPr>
          <w:p w14:paraId="1EE9543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0.6</w:t>
            </w:r>
          </w:p>
        </w:tc>
        <w:tc>
          <w:tcPr>
            <w:tcW w:w="1146" w:type="dxa"/>
            <w:tcBorders>
              <w:top w:val="nil"/>
              <w:left w:val="nil"/>
              <w:bottom w:val="nil"/>
              <w:right w:val="single" w:sz="4" w:space="0" w:color="000000"/>
            </w:tcBorders>
            <w:shd w:val="clear" w:color="auto" w:fill="auto"/>
            <w:noWrap/>
            <w:vAlign w:val="center"/>
          </w:tcPr>
          <w:p w14:paraId="7850443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(0.3, 1.0)</w:t>
            </w:r>
          </w:p>
        </w:tc>
        <w:tc>
          <w:tcPr>
            <w:tcW w:w="616" w:type="dxa"/>
            <w:tcBorders>
              <w:top w:val="nil"/>
              <w:left w:val="single" w:sz="4" w:space="0" w:color="000000"/>
              <w:bottom w:val="nil"/>
              <w:right w:val="nil"/>
            </w:tcBorders>
            <w:shd w:val="clear" w:color="auto" w:fill="auto"/>
            <w:vAlign w:val="center"/>
          </w:tcPr>
          <w:p w14:paraId="3A56502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27</w:t>
            </w:r>
          </w:p>
        </w:tc>
        <w:tc>
          <w:tcPr>
            <w:tcW w:w="567" w:type="dxa"/>
            <w:tcBorders>
              <w:top w:val="nil"/>
              <w:left w:val="nil"/>
              <w:bottom w:val="nil"/>
              <w:right w:val="nil"/>
            </w:tcBorders>
            <w:shd w:val="clear" w:color="auto" w:fill="auto"/>
            <w:vAlign w:val="center"/>
          </w:tcPr>
          <w:p w14:paraId="1C4D64A6"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0.9</w:t>
            </w:r>
          </w:p>
        </w:tc>
        <w:tc>
          <w:tcPr>
            <w:tcW w:w="1146" w:type="dxa"/>
            <w:tcBorders>
              <w:top w:val="nil"/>
              <w:left w:val="nil"/>
              <w:bottom w:val="nil"/>
              <w:right w:val="single" w:sz="4" w:space="0" w:color="000000"/>
            </w:tcBorders>
            <w:shd w:val="clear" w:color="auto" w:fill="auto"/>
            <w:vAlign w:val="center"/>
          </w:tcPr>
          <w:p w14:paraId="601AF989"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(0.5, 1.3)</w:t>
            </w:r>
          </w:p>
        </w:tc>
        <w:tc>
          <w:tcPr>
            <w:tcW w:w="616" w:type="dxa"/>
            <w:tcBorders>
              <w:top w:val="nil"/>
              <w:left w:val="single" w:sz="4" w:space="0" w:color="000000"/>
              <w:bottom w:val="nil"/>
              <w:right w:val="nil"/>
            </w:tcBorders>
            <w:shd w:val="clear" w:color="auto" w:fill="auto"/>
            <w:vAlign w:val="center"/>
          </w:tcPr>
          <w:p w14:paraId="05E3F6AF"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w:t>
            </w:r>
          </w:p>
        </w:tc>
        <w:tc>
          <w:tcPr>
            <w:tcW w:w="576" w:type="dxa"/>
            <w:tcBorders>
              <w:top w:val="nil"/>
              <w:left w:val="nil"/>
              <w:bottom w:val="nil"/>
              <w:right w:val="nil"/>
            </w:tcBorders>
            <w:shd w:val="clear" w:color="auto" w:fill="auto"/>
            <w:vAlign w:val="center"/>
          </w:tcPr>
          <w:p w14:paraId="157B38FF"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0.4</w:t>
            </w:r>
          </w:p>
        </w:tc>
        <w:tc>
          <w:tcPr>
            <w:tcW w:w="1146" w:type="dxa"/>
            <w:tcBorders>
              <w:top w:val="nil"/>
              <w:left w:val="nil"/>
              <w:bottom w:val="nil"/>
              <w:right w:val="nil"/>
            </w:tcBorders>
            <w:shd w:val="clear" w:color="auto" w:fill="auto"/>
            <w:vAlign w:val="center"/>
          </w:tcPr>
          <w:p w14:paraId="33464290"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(0.1, 0.7)</w:t>
            </w:r>
          </w:p>
        </w:tc>
      </w:tr>
      <w:tr w:rsidR="009118DA" w:rsidRPr="008A7800" w14:paraId="776AEE88"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711759FC" w14:textId="77777777" w:rsidR="008A068A" w:rsidRPr="008A7800" w:rsidRDefault="00B4241C" w:rsidP="00B4241C">
            <w:pPr>
              <w:spacing w:before="20" w:after="20"/>
              <w:ind w:left="176"/>
              <w:rPr>
                <w:rFonts w:eastAsiaTheme="minorEastAsia"/>
                <w:b w:val="0"/>
                <w:sz w:val="18"/>
                <w:szCs w:val="18"/>
                <w:lang w:eastAsia="en-US"/>
              </w:rPr>
            </w:pPr>
            <w:r>
              <w:rPr>
                <w:rFonts w:eastAsiaTheme="minorEastAsia"/>
                <w:b w:val="0"/>
                <w:sz w:val="18"/>
                <w:szCs w:val="18"/>
                <w:lang w:eastAsia="en-US"/>
              </w:rPr>
              <w:t>Other o</w:t>
            </w:r>
            <w:r w:rsidR="008A068A" w:rsidRPr="008A7800">
              <w:rPr>
                <w:rFonts w:eastAsiaTheme="minorEastAsia"/>
                <w:b w:val="0"/>
                <w:sz w:val="18"/>
                <w:szCs w:val="18"/>
                <w:lang w:eastAsia="en-US"/>
              </w:rPr>
              <w:t>verseas internet gambling</w:t>
            </w:r>
            <w:r w:rsidR="008C36F1" w:rsidRPr="008A7800">
              <w:rPr>
                <w:rFonts w:eastAsiaTheme="minorEastAsia"/>
                <w:sz w:val="18"/>
                <w:szCs w:val="18"/>
                <w:vertAlign w:val="superscript"/>
                <w:lang w:eastAsia="en-US"/>
              </w:rPr>
              <w:t>†</w:t>
            </w:r>
          </w:p>
        </w:tc>
        <w:tc>
          <w:tcPr>
            <w:tcW w:w="666" w:type="dxa"/>
            <w:tcBorders>
              <w:top w:val="nil"/>
              <w:left w:val="nil"/>
              <w:bottom w:val="nil"/>
              <w:right w:val="nil"/>
            </w:tcBorders>
            <w:shd w:val="clear" w:color="auto" w:fill="auto"/>
            <w:noWrap/>
            <w:vAlign w:val="center"/>
          </w:tcPr>
          <w:p w14:paraId="27E40F6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w:t>
            </w:r>
          </w:p>
        </w:tc>
        <w:tc>
          <w:tcPr>
            <w:tcW w:w="567" w:type="dxa"/>
            <w:tcBorders>
              <w:top w:val="nil"/>
              <w:left w:val="nil"/>
              <w:bottom w:val="nil"/>
              <w:right w:val="nil"/>
            </w:tcBorders>
            <w:shd w:val="clear" w:color="auto" w:fill="auto"/>
            <w:noWrap/>
            <w:vAlign w:val="center"/>
          </w:tcPr>
          <w:p w14:paraId="732EFFB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0.1</w:t>
            </w:r>
          </w:p>
        </w:tc>
        <w:tc>
          <w:tcPr>
            <w:tcW w:w="1146" w:type="dxa"/>
            <w:tcBorders>
              <w:top w:val="nil"/>
              <w:left w:val="nil"/>
              <w:bottom w:val="nil"/>
              <w:right w:val="single" w:sz="4" w:space="0" w:color="auto"/>
            </w:tcBorders>
            <w:shd w:val="clear" w:color="auto" w:fill="auto"/>
            <w:noWrap/>
            <w:vAlign w:val="center"/>
          </w:tcPr>
          <w:p w14:paraId="6D15C708"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(0.0, 0.1)</w:t>
            </w:r>
          </w:p>
        </w:tc>
        <w:tc>
          <w:tcPr>
            <w:tcW w:w="666" w:type="dxa"/>
            <w:tcBorders>
              <w:top w:val="nil"/>
              <w:left w:val="single" w:sz="4" w:space="0" w:color="auto"/>
              <w:bottom w:val="nil"/>
              <w:right w:val="nil"/>
            </w:tcBorders>
            <w:shd w:val="clear" w:color="auto" w:fill="auto"/>
            <w:noWrap/>
            <w:vAlign w:val="center"/>
          </w:tcPr>
          <w:p w14:paraId="778161E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w:t>
            </w:r>
          </w:p>
        </w:tc>
        <w:tc>
          <w:tcPr>
            <w:tcW w:w="621" w:type="dxa"/>
            <w:tcBorders>
              <w:top w:val="nil"/>
              <w:left w:val="nil"/>
              <w:bottom w:val="nil"/>
              <w:right w:val="nil"/>
            </w:tcBorders>
            <w:shd w:val="clear" w:color="auto" w:fill="auto"/>
            <w:noWrap/>
            <w:vAlign w:val="center"/>
          </w:tcPr>
          <w:p w14:paraId="3996FA8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0.1</w:t>
            </w:r>
          </w:p>
        </w:tc>
        <w:tc>
          <w:tcPr>
            <w:tcW w:w="1146" w:type="dxa"/>
            <w:tcBorders>
              <w:top w:val="nil"/>
              <w:left w:val="nil"/>
              <w:bottom w:val="nil"/>
              <w:right w:val="single" w:sz="4" w:space="0" w:color="000000"/>
            </w:tcBorders>
            <w:shd w:val="clear" w:color="auto" w:fill="auto"/>
            <w:noWrap/>
            <w:vAlign w:val="center"/>
          </w:tcPr>
          <w:p w14:paraId="701695E9"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(0.0, 0.2)</w:t>
            </w:r>
          </w:p>
        </w:tc>
        <w:tc>
          <w:tcPr>
            <w:tcW w:w="616" w:type="dxa"/>
            <w:tcBorders>
              <w:top w:val="nil"/>
              <w:left w:val="single" w:sz="4" w:space="0" w:color="000000"/>
              <w:bottom w:val="nil"/>
              <w:right w:val="nil"/>
            </w:tcBorders>
            <w:shd w:val="clear" w:color="auto" w:fill="auto"/>
            <w:vAlign w:val="center"/>
          </w:tcPr>
          <w:p w14:paraId="2D820FA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w:t>
            </w:r>
          </w:p>
        </w:tc>
        <w:tc>
          <w:tcPr>
            <w:tcW w:w="567" w:type="dxa"/>
            <w:tcBorders>
              <w:top w:val="nil"/>
              <w:left w:val="nil"/>
              <w:bottom w:val="nil"/>
              <w:right w:val="nil"/>
            </w:tcBorders>
            <w:shd w:val="clear" w:color="auto" w:fill="auto"/>
            <w:vAlign w:val="center"/>
          </w:tcPr>
          <w:p w14:paraId="719FEF0E"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0.0</w:t>
            </w:r>
          </w:p>
        </w:tc>
        <w:tc>
          <w:tcPr>
            <w:tcW w:w="1146" w:type="dxa"/>
            <w:tcBorders>
              <w:top w:val="nil"/>
              <w:left w:val="nil"/>
              <w:bottom w:val="nil"/>
              <w:right w:val="single" w:sz="4" w:space="0" w:color="000000"/>
            </w:tcBorders>
            <w:shd w:val="clear" w:color="auto" w:fill="auto"/>
            <w:vAlign w:val="center"/>
          </w:tcPr>
          <w:p w14:paraId="1FA2E76C" w14:textId="77777777" w:rsidR="008A068A" w:rsidRPr="008A7800" w:rsidRDefault="00ED1E40"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616" w:type="dxa"/>
            <w:tcBorders>
              <w:top w:val="nil"/>
              <w:left w:val="single" w:sz="4" w:space="0" w:color="000000"/>
              <w:bottom w:val="nil"/>
              <w:right w:val="nil"/>
            </w:tcBorders>
            <w:shd w:val="clear" w:color="auto" w:fill="auto"/>
            <w:vAlign w:val="center"/>
          </w:tcPr>
          <w:p w14:paraId="4794CD1C"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w:t>
            </w:r>
          </w:p>
        </w:tc>
        <w:tc>
          <w:tcPr>
            <w:tcW w:w="576" w:type="dxa"/>
            <w:tcBorders>
              <w:top w:val="nil"/>
              <w:left w:val="nil"/>
              <w:bottom w:val="nil"/>
              <w:right w:val="nil"/>
            </w:tcBorders>
            <w:shd w:val="clear" w:color="auto" w:fill="auto"/>
            <w:vAlign w:val="center"/>
          </w:tcPr>
          <w:p w14:paraId="328D91D3" w14:textId="77777777" w:rsidR="008A068A" w:rsidRPr="008A7800" w:rsidRDefault="007C46D2" w:rsidP="008A068A">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w:t>
            </w:r>
          </w:p>
        </w:tc>
        <w:tc>
          <w:tcPr>
            <w:tcW w:w="1146" w:type="dxa"/>
            <w:tcBorders>
              <w:top w:val="nil"/>
              <w:left w:val="nil"/>
              <w:bottom w:val="nil"/>
              <w:right w:val="nil"/>
            </w:tcBorders>
            <w:shd w:val="clear" w:color="auto" w:fill="auto"/>
            <w:vAlign w:val="center"/>
          </w:tcPr>
          <w:p w14:paraId="7C201FA5" w14:textId="77777777" w:rsidR="008A068A" w:rsidRPr="008A7800" w:rsidRDefault="007C46D2" w:rsidP="008A068A">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w:t>
            </w:r>
          </w:p>
        </w:tc>
      </w:tr>
      <w:tr w:rsidR="009118DA" w:rsidRPr="008A7800" w14:paraId="0561D2C7"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5C4DBF55" w14:textId="77777777" w:rsidR="008A068A" w:rsidRPr="008A7800" w:rsidRDefault="008A068A" w:rsidP="008A068A">
            <w:pPr>
              <w:spacing w:before="20" w:after="20"/>
              <w:ind w:left="176"/>
              <w:rPr>
                <w:rFonts w:eastAsiaTheme="minorEastAsia"/>
                <w:b w:val="0"/>
                <w:sz w:val="18"/>
                <w:szCs w:val="18"/>
                <w:lang w:eastAsia="en-US"/>
              </w:rPr>
            </w:pPr>
            <w:r w:rsidRPr="008A7800">
              <w:rPr>
                <w:rFonts w:eastAsiaTheme="minorEastAsia"/>
                <w:b w:val="0"/>
                <w:sz w:val="18"/>
                <w:szCs w:val="18"/>
                <w:lang w:eastAsia="en-US"/>
              </w:rPr>
              <w:t>Other activities</w:t>
            </w:r>
          </w:p>
        </w:tc>
        <w:tc>
          <w:tcPr>
            <w:tcW w:w="666" w:type="dxa"/>
            <w:tcBorders>
              <w:top w:val="nil"/>
              <w:left w:val="nil"/>
              <w:bottom w:val="nil"/>
              <w:right w:val="nil"/>
            </w:tcBorders>
            <w:shd w:val="clear" w:color="auto" w:fill="auto"/>
            <w:noWrap/>
            <w:vAlign w:val="center"/>
          </w:tcPr>
          <w:p w14:paraId="2DB1F752"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35</w:t>
            </w:r>
          </w:p>
        </w:tc>
        <w:tc>
          <w:tcPr>
            <w:tcW w:w="567" w:type="dxa"/>
            <w:tcBorders>
              <w:top w:val="nil"/>
              <w:left w:val="nil"/>
              <w:bottom w:val="nil"/>
              <w:right w:val="nil"/>
            </w:tcBorders>
            <w:shd w:val="clear" w:color="auto" w:fill="auto"/>
            <w:noWrap/>
            <w:vAlign w:val="center"/>
          </w:tcPr>
          <w:p w14:paraId="1F69DDA8"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0.6</w:t>
            </w:r>
          </w:p>
        </w:tc>
        <w:tc>
          <w:tcPr>
            <w:tcW w:w="1146" w:type="dxa"/>
            <w:tcBorders>
              <w:top w:val="nil"/>
              <w:left w:val="nil"/>
              <w:bottom w:val="nil"/>
              <w:right w:val="single" w:sz="4" w:space="0" w:color="auto"/>
            </w:tcBorders>
            <w:shd w:val="clear" w:color="auto" w:fill="auto"/>
            <w:noWrap/>
            <w:vAlign w:val="center"/>
          </w:tcPr>
          <w:p w14:paraId="3B6939D8"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(0.3, 0.8)</w:t>
            </w:r>
          </w:p>
        </w:tc>
        <w:tc>
          <w:tcPr>
            <w:tcW w:w="666" w:type="dxa"/>
            <w:tcBorders>
              <w:top w:val="nil"/>
              <w:left w:val="single" w:sz="4" w:space="0" w:color="auto"/>
              <w:bottom w:val="nil"/>
              <w:right w:val="nil"/>
            </w:tcBorders>
            <w:shd w:val="clear" w:color="auto" w:fill="auto"/>
            <w:noWrap/>
            <w:vAlign w:val="center"/>
          </w:tcPr>
          <w:p w14:paraId="4EDCD5B4"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23</w:t>
            </w:r>
          </w:p>
        </w:tc>
        <w:tc>
          <w:tcPr>
            <w:tcW w:w="621" w:type="dxa"/>
            <w:tcBorders>
              <w:top w:val="nil"/>
              <w:left w:val="nil"/>
              <w:bottom w:val="nil"/>
              <w:right w:val="nil"/>
            </w:tcBorders>
            <w:shd w:val="clear" w:color="auto" w:fill="auto"/>
            <w:noWrap/>
            <w:vAlign w:val="center"/>
          </w:tcPr>
          <w:p w14:paraId="08FF4A1D"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0.6</w:t>
            </w:r>
          </w:p>
        </w:tc>
        <w:tc>
          <w:tcPr>
            <w:tcW w:w="1146" w:type="dxa"/>
            <w:tcBorders>
              <w:top w:val="nil"/>
              <w:left w:val="nil"/>
              <w:bottom w:val="nil"/>
              <w:right w:val="single" w:sz="4" w:space="0" w:color="000000"/>
            </w:tcBorders>
            <w:shd w:val="clear" w:color="auto" w:fill="auto"/>
            <w:noWrap/>
            <w:vAlign w:val="center"/>
          </w:tcPr>
          <w:p w14:paraId="44CAE758"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(0.4, 0.9)</w:t>
            </w:r>
          </w:p>
        </w:tc>
        <w:tc>
          <w:tcPr>
            <w:tcW w:w="616" w:type="dxa"/>
            <w:tcBorders>
              <w:top w:val="nil"/>
              <w:left w:val="single" w:sz="4" w:space="0" w:color="000000"/>
              <w:bottom w:val="nil"/>
              <w:right w:val="nil"/>
            </w:tcBorders>
            <w:shd w:val="clear" w:color="auto" w:fill="auto"/>
            <w:vAlign w:val="center"/>
          </w:tcPr>
          <w:p w14:paraId="3719E646"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27</w:t>
            </w:r>
          </w:p>
        </w:tc>
        <w:tc>
          <w:tcPr>
            <w:tcW w:w="567" w:type="dxa"/>
            <w:tcBorders>
              <w:top w:val="nil"/>
              <w:left w:val="nil"/>
              <w:bottom w:val="nil"/>
              <w:right w:val="nil"/>
            </w:tcBorders>
            <w:shd w:val="clear" w:color="auto" w:fill="auto"/>
            <w:vAlign w:val="center"/>
          </w:tcPr>
          <w:p w14:paraId="77A3D3F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0.9</w:t>
            </w:r>
          </w:p>
        </w:tc>
        <w:tc>
          <w:tcPr>
            <w:tcW w:w="1146" w:type="dxa"/>
            <w:tcBorders>
              <w:top w:val="nil"/>
              <w:left w:val="nil"/>
              <w:bottom w:val="nil"/>
              <w:right w:val="single" w:sz="4" w:space="0" w:color="000000"/>
            </w:tcBorders>
            <w:shd w:val="clear" w:color="auto" w:fill="auto"/>
            <w:vAlign w:val="center"/>
          </w:tcPr>
          <w:p w14:paraId="6307579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(0.4, 1.3)</w:t>
            </w:r>
          </w:p>
        </w:tc>
        <w:tc>
          <w:tcPr>
            <w:tcW w:w="616" w:type="dxa"/>
            <w:tcBorders>
              <w:top w:val="nil"/>
              <w:left w:val="single" w:sz="4" w:space="0" w:color="000000"/>
              <w:bottom w:val="nil"/>
              <w:right w:val="nil"/>
            </w:tcBorders>
            <w:shd w:val="clear" w:color="auto" w:fill="auto"/>
            <w:vAlign w:val="center"/>
          </w:tcPr>
          <w:p w14:paraId="2BB8F462"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21</w:t>
            </w:r>
          </w:p>
        </w:tc>
        <w:tc>
          <w:tcPr>
            <w:tcW w:w="576" w:type="dxa"/>
            <w:tcBorders>
              <w:top w:val="nil"/>
              <w:left w:val="nil"/>
              <w:bottom w:val="nil"/>
              <w:right w:val="nil"/>
            </w:tcBorders>
            <w:shd w:val="clear" w:color="auto" w:fill="auto"/>
            <w:vAlign w:val="center"/>
          </w:tcPr>
          <w:p w14:paraId="71841EFA"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0.8</w:t>
            </w:r>
          </w:p>
        </w:tc>
        <w:tc>
          <w:tcPr>
            <w:tcW w:w="1146" w:type="dxa"/>
            <w:tcBorders>
              <w:top w:val="nil"/>
              <w:left w:val="nil"/>
              <w:bottom w:val="nil"/>
              <w:right w:val="nil"/>
            </w:tcBorders>
            <w:shd w:val="clear" w:color="auto" w:fill="auto"/>
            <w:vAlign w:val="center"/>
          </w:tcPr>
          <w:p w14:paraId="74A552AE"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(0.4, 1.1)</w:t>
            </w:r>
          </w:p>
        </w:tc>
      </w:tr>
      <w:tr w:rsidR="009118DA" w:rsidRPr="008A7800" w14:paraId="2F9F7F4D"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14DFCF9F" w14:textId="77777777" w:rsidR="008A068A" w:rsidRPr="008A7800" w:rsidRDefault="008A068A" w:rsidP="008A068A">
            <w:pPr>
              <w:spacing w:before="20" w:after="20"/>
              <w:ind w:left="176"/>
              <w:rPr>
                <w:rFonts w:eastAsiaTheme="minorEastAsia"/>
                <w:b w:val="0"/>
                <w:sz w:val="18"/>
                <w:szCs w:val="18"/>
                <w:lang w:eastAsia="en-US"/>
              </w:rPr>
            </w:pPr>
            <w:r w:rsidRPr="008A7800">
              <w:rPr>
                <w:rFonts w:eastAsiaTheme="minorEastAsia"/>
                <w:b w:val="0"/>
                <w:sz w:val="18"/>
                <w:szCs w:val="18"/>
                <w:lang w:eastAsia="en-US"/>
              </w:rPr>
              <w:t>No preference</w:t>
            </w:r>
          </w:p>
        </w:tc>
        <w:tc>
          <w:tcPr>
            <w:tcW w:w="666" w:type="dxa"/>
            <w:tcBorders>
              <w:top w:val="nil"/>
              <w:left w:val="nil"/>
              <w:bottom w:val="nil"/>
              <w:right w:val="nil"/>
            </w:tcBorders>
            <w:shd w:val="clear" w:color="auto" w:fill="auto"/>
            <w:noWrap/>
            <w:vAlign w:val="center"/>
          </w:tcPr>
          <w:p w14:paraId="692CCA7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397</w:t>
            </w:r>
          </w:p>
        </w:tc>
        <w:tc>
          <w:tcPr>
            <w:tcW w:w="567" w:type="dxa"/>
            <w:tcBorders>
              <w:top w:val="nil"/>
              <w:left w:val="nil"/>
              <w:bottom w:val="nil"/>
              <w:right w:val="nil"/>
            </w:tcBorders>
            <w:shd w:val="clear" w:color="auto" w:fill="auto"/>
            <w:noWrap/>
            <w:vAlign w:val="center"/>
          </w:tcPr>
          <w:p w14:paraId="76614BC4"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6.4</w:t>
            </w:r>
          </w:p>
        </w:tc>
        <w:tc>
          <w:tcPr>
            <w:tcW w:w="1146" w:type="dxa"/>
            <w:tcBorders>
              <w:top w:val="nil"/>
              <w:left w:val="nil"/>
              <w:bottom w:val="nil"/>
              <w:right w:val="single" w:sz="4" w:space="0" w:color="auto"/>
            </w:tcBorders>
            <w:shd w:val="clear" w:color="auto" w:fill="auto"/>
            <w:noWrap/>
            <w:vAlign w:val="center"/>
          </w:tcPr>
          <w:p w14:paraId="0DA4920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(5.6, 7.1)</w:t>
            </w:r>
          </w:p>
        </w:tc>
        <w:tc>
          <w:tcPr>
            <w:tcW w:w="666" w:type="dxa"/>
            <w:tcBorders>
              <w:top w:val="nil"/>
              <w:left w:val="single" w:sz="4" w:space="0" w:color="auto"/>
              <w:bottom w:val="nil"/>
              <w:right w:val="nil"/>
            </w:tcBorders>
            <w:shd w:val="clear" w:color="auto" w:fill="auto"/>
            <w:noWrap/>
            <w:vAlign w:val="center"/>
          </w:tcPr>
          <w:p w14:paraId="7D8382F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266</w:t>
            </w:r>
          </w:p>
        </w:tc>
        <w:tc>
          <w:tcPr>
            <w:tcW w:w="621" w:type="dxa"/>
            <w:tcBorders>
              <w:top w:val="nil"/>
              <w:left w:val="nil"/>
              <w:bottom w:val="nil"/>
              <w:right w:val="nil"/>
            </w:tcBorders>
            <w:shd w:val="clear" w:color="auto" w:fill="auto"/>
            <w:noWrap/>
            <w:vAlign w:val="center"/>
          </w:tcPr>
          <w:p w14:paraId="3943345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7.1</w:t>
            </w:r>
          </w:p>
        </w:tc>
        <w:tc>
          <w:tcPr>
            <w:tcW w:w="1146" w:type="dxa"/>
            <w:tcBorders>
              <w:top w:val="nil"/>
              <w:left w:val="nil"/>
              <w:bottom w:val="nil"/>
              <w:right w:val="single" w:sz="4" w:space="0" w:color="000000"/>
            </w:tcBorders>
            <w:shd w:val="clear" w:color="auto" w:fill="auto"/>
            <w:noWrap/>
            <w:vAlign w:val="center"/>
          </w:tcPr>
          <w:p w14:paraId="623AB61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(6.2, 8.0)</w:t>
            </w:r>
          </w:p>
        </w:tc>
        <w:tc>
          <w:tcPr>
            <w:tcW w:w="616" w:type="dxa"/>
            <w:tcBorders>
              <w:top w:val="nil"/>
              <w:left w:val="single" w:sz="4" w:space="0" w:color="000000"/>
              <w:bottom w:val="nil"/>
              <w:right w:val="nil"/>
            </w:tcBorders>
            <w:shd w:val="clear" w:color="auto" w:fill="auto"/>
            <w:vAlign w:val="center"/>
          </w:tcPr>
          <w:p w14:paraId="016909D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208</w:t>
            </w:r>
          </w:p>
        </w:tc>
        <w:tc>
          <w:tcPr>
            <w:tcW w:w="567" w:type="dxa"/>
            <w:tcBorders>
              <w:top w:val="nil"/>
              <w:left w:val="nil"/>
              <w:bottom w:val="nil"/>
              <w:right w:val="nil"/>
            </w:tcBorders>
            <w:shd w:val="clear" w:color="auto" w:fill="auto"/>
            <w:vAlign w:val="center"/>
          </w:tcPr>
          <w:p w14:paraId="35AC5E3E"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6.7</w:t>
            </w:r>
          </w:p>
        </w:tc>
        <w:tc>
          <w:tcPr>
            <w:tcW w:w="1146" w:type="dxa"/>
            <w:tcBorders>
              <w:top w:val="nil"/>
              <w:left w:val="nil"/>
              <w:bottom w:val="nil"/>
              <w:right w:val="single" w:sz="4" w:space="0" w:color="000000"/>
            </w:tcBorders>
            <w:shd w:val="clear" w:color="auto" w:fill="auto"/>
            <w:vAlign w:val="center"/>
          </w:tcPr>
          <w:p w14:paraId="30A84D2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(5.7, 7.6)</w:t>
            </w:r>
          </w:p>
        </w:tc>
        <w:tc>
          <w:tcPr>
            <w:tcW w:w="616" w:type="dxa"/>
            <w:tcBorders>
              <w:top w:val="nil"/>
              <w:left w:val="single" w:sz="4" w:space="0" w:color="000000"/>
              <w:bottom w:val="nil"/>
              <w:right w:val="nil"/>
            </w:tcBorders>
            <w:shd w:val="clear" w:color="auto" w:fill="auto"/>
            <w:vAlign w:val="center"/>
          </w:tcPr>
          <w:p w14:paraId="43A40A23"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205</w:t>
            </w:r>
          </w:p>
        </w:tc>
        <w:tc>
          <w:tcPr>
            <w:tcW w:w="576" w:type="dxa"/>
            <w:tcBorders>
              <w:top w:val="nil"/>
              <w:left w:val="nil"/>
              <w:bottom w:val="nil"/>
              <w:right w:val="nil"/>
            </w:tcBorders>
            <w:shd w:val="clear" w:color="auto" w:fill="auto"/>
            <w:vAlign w:val="center"/>
          </w:tcPr>
          <w:p w14:paraId="0725B311"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7.4</w:t>
            </w:r>
          </w:p>
        </w:tc>
        <w:tc>
          <w:tcPr>
            <w:tcW w:w="1146" w:type="dxa"/>
            <w:tcBorders>
              <w:top w:val="nil"/>
              <w:left w:val="nil"/>
              <w:bottom w:val="nil"/>
              <w:right w:val="nil"/>
            </w:tcBorders>
            <w:shd w:val="clear" w:color="auto" w:fill="auto"/>
            <w:vAlign w:val="center"/>
          </w:tcPr>
          <w:p w14:paraId="4C533831"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(6.3, 8.5)</w:t>
            </w:r>
          </w:p>
        </w:tc>
      </w:tr>
      <w:tr w:rsidR="009118DA" w:rsidRPr="008A7800" w14:paraId="7CDA7554"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14E37C1A" w14:textId="77777777" w:rsidR="008A068A" w:rsidRPr="008A7800" w:rsidRDefault="001265DD" w:rsidP="008A068A">
            <w:pPr>
              <w:spacing w:before="20" w:after="20"/>
              <w:ind w:left="176"/>
              <w:rPr>
                <w:rFonts w:eastAsiaTheme="minorEastAsia"/>
                <w:b w:val="0"/>
                <w:sz w:val="18"/>
                <w:szCs w:val="18"/>
                <w:lang w:eastAsia="en-US"/>
              </w:rPr>
            </w:pPr>
            <w:r>
              <w:rPr>
                <w:rFonts w:eastAsiaTheme="minorEastAsia"/>
                <w:b w:val="0"/>
                <w:sz w:val="18"/>
                <w:szCs w:val="18"/>
                <w:lang w:eastAsia="en-US"/>
              </w:rPr>
              <w:t>Did not respond</w:t>
            </w:r>
          </w:p>
        </w:tc>
        <w:tc>
          <w:tcPr>
            <w:tcW w:w="666" w:type="dxa"/>
            <w:tcBorders>
              <w:top w:val="nil"/>
              <w:left w:val="nil"/>
              <w:bottom w:val="nil"/>
              <w:right w:val="nil"/>
            </w:tcBorders>
            <w:shd w:val="clear" w:color="auto" w:fill="auto"/>
            <w:noWrap/>
            <w:vAlign w:val="center"/>
          </w:tcPr>
          <w:p w14:paraId="761C9DB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847</w:t>
            </w:r>
          </w:p>
        </w:tc>
        <w:tc>
          <w:tcPr>
            <w:tcW w:w="567" w:type="dxa"/>
            <w:tcBorders>
              <w:top w:val="nil"/>
              <w:left w:val="nil"/>
              <w:bottom w:val="nil"/>
              <w:right w:val="nil"/>
            </w:tcBorders>
            <w:shd w:val="clear" w:color="auto" w:fill="auto"/>
            <w:noWrap/>
            <w:vAlign w:val="center"/>
          </w:tcPr>
          <w:p w14:paraId="42DBCFD2"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13.5</w:t>
            </w:r>
          </w:p>
        </w:tc>
        <w:tc>
          <w:tcPr>
            <w:tcW w:w="1146" w:type="dxa"/>
            <w:tcBorders>
              <w:top w:val="nil"/>
              <w:left w:val="nil"/>
              <w:bottom w:val="nil"/>
              <w:right w:val="single" w:sz="4" w:space="0" w:color="auto"/>
            </w:tcBorders>
            <w:shd w:val="clear" w:color="auto" w:fill="auto"/>
            <w:noWrap/>
            <w:vAlign w:val="center"/>
          </w:tcPr>
          <w:p w14:paraId="05C090D2"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(12.6, 14.5)</w:t>
            </w:r>
          </w:p>
        </w:tc>
        <w:tc>
          <w:tcPr>
            <w:tcW w:w="666" w:type="dxa"/>
            <w:tcBorders>
              <w:top w:val="nil"/>
              <w:left w:val="single" w:sz="4" w:space="0" w:color="auto"/>
              <w:bottom w:val="nil"/>
              <w:right w:val="nil"/>
            </w:tcBorders>
            <w:shd w:val="clear" w:color="auto" w:fill="auto"/>
            <w:noWrap/>
            <w:vAlign w:val="center"/>
          </w:tcPr>
          <w:p w14:paraId="4780807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538</w:t>
            </w:r>
          </w:p>
        </w:tc>
        <w:tc>
          <w:tcPr>
            <w:tcW w:w="621" w:type="dxa"/>
            <w:tcBorders>
              <w:top w:val="nil"/>
              <w:left w:val="nil"/>
              <w:bottom w:val="nil"/>
              <w:right w:val="nil"/>
            </w:tcBorders>
            <w:shd w:val="clear" w:color="auto" w:fill="auto"/>
            <w:noWrap/>
            <w:vAlign w:val="center"/>
          </w:tcPr>
          <w:p w14:paraId="27CDF7B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14.4</w:t>
            </w:r>
          </w:p>
        </w:tc>
        <w:tc>
          <w:tcPr>
            <w:tcW w:w="1146" w:type="dxa"/>
            <w:tcBorders>
              <w:top w:val="nil"/>
              <w:left w:val="nil"/>
              <w:bottom w:val="nil"/>
              <w:right w:val="single" w:sz="4" w:space="0" w:color="000000"/>
            </w:tcBorders>
            <w:shd w:val="clear" w:color="auto" w:fill="auto"/>
            <w:noWrap/>
            <w:vAlign w:val="center"/>
          </w:tcPr>
          <w:p w14:paraId="23A57CE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(13.0, 15.7)</w:t>
            </w:r>
          </w:p>
        </w:tc>
        <w:tc>
          <w:tcPr>
            <w:tcW w:w="616" w:type="dxa"/>
            <w:tcBorders>
              <w:top w:val="nil"/>
              <w:left w:val="single" w:sz="4" w:space="0" w:color="000000"/>
              <w:bottom w:val="nil"/>
              <w:right w:val="nil"/>
            </w:tcBorders>
            <w:shd w:val="clear" w:color="auto" w:fill="auto"/>
            <w:vAlign w:val="center"/>
          </w:tcPr>
          <w:p w14:paraId="1EB48334"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394</w:t>
            </w:r>
          </w:p>
        </w:tc>
        <w:tc>
          <w:tcPr>
            <w:tcW w:w="567" w:type="dxa"/>
            <w:tcBorders>
              <w:top w:val="nil"/>
              <w:left w:val="nil"/>
              <w:bottom w:val="nil"/>
              <w:right w:val="nil"/>
            </w:tcBorders>
            <w:shd w:val="clear" w:color="auto" w:fill="auto"/>
            <w:vAlign w:val="center"/>
          </w:tcPr>
          <w:p w14:paraId="0E1A35F7"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12.6</w:t>
            </w:r>
          </w:p>
        </w:tc>
        <w:tc>
          <w:tcPr>
            <w:tcW w:w="1146" w:type="dxa"/>
            <w:tcBorders>
              <w:top w:val="nil"/>
              <w:left w:val="nil"/>
              <w:bottom w:val="nil"/>
              <w:right w:val="single" w:sz="4" w:space="0" w:color="000000"/>
            </w:tcBorders>
            <w:shd w:val="clear" w:color="auto" w:fill="auto"/>
            <w:vAlign w:val="center"/>
          </w:tcPr>
          <w:p w14:paraId="1E94F09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(11.3, 13.9)</w:t>
            </w:r>
          </w:p>
        </w:tc>
        <w:tc>
          <w:tcPr>
            <w:tcW w:w="616" w:type="dxa"/>
            <w:tcBorders>
              <w:top w:val="nil"/>
              <w:left w:val="single" w:sz="4" w:space="0" w:color="000000"/>
              <w:bottom w:val="nil"/>
              <w:right w:val="nil"/>
            </w:tcBorders>
            <w:shd w:val="clear" w:color="auto" w:fill="auto"/>
            <w:vAlign w:val="center"/>
          </w:tcPr>
          <w:p w14:paraId="52DDA81E"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377</w:t>
            </w:r>
          </w:p>
        </w:tc>
        <w:tc>
          <w:tcPr>
            <w:tcW w:w="576" w:type="dxa"/>
            <w:tcBorders>
              <w:top w:val="nil"/>
              <w:left w:val="nil"/>
              <w:bottom w:val="nil"/>
              <w:right w:val="nil"/>
            </w:tcBorders>
            <w:shd w:val="clear" w:color="auto" w:fill="auto"/>
            <w:vAlign w:val="center"/>
          </w:tcPr>
          <w:p w14:paraId="1C875EA4"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13.6</w:t>
            </w:r>
          </w:p>
        </w:tc>
        <w:tc>
          <w:tcPr>
            <w:tcW w:w="1146" w:type="dxa"/>
            <w:tcBorders>
              <w:top w:val="nil"/>
              <w:left w:val="nil"/>
              <w:bottom w:val="nil"/>
              <w:right w:val="nil"/>
            </w:tcBorders>
            <w:shd w:val="clear" w:color="auto" w:fill="auto"/>
            <w:vAlign w:val="center"/>
          </w:tcPr>
          <w:p w14:paraId="104687F5"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w:t>
            </w:r>
            <w:r w:rsidR="007C46D2" w:rsidRPr="008A7800">
              <w:rPr>
                <w:color w:val="000000"/>
                <w:sz w:val="18"/>
                <w:szCs w:val="18"/>
              </w:rPr>
              <w:t>.0</w:t>
            </w:r>
            <w:r w:rsidRPr="008A7800">
              <w:rPr>
                <w:color w:val="000000"/>
                <w:sz w:val="18"/>
                <w:szCs w:val="18"/>
              </w:rPr>
              <w:t>, 15.2)</w:t>
            </w:r>
          </w:p>
        </w:tc>
      </w:tr>
      <w:tr w:rsidR="009118DA" w:rsidRPr="008A7800" w14:paraId="584E21DD"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single" w:sz="4" w:space="0" w:color="auto"/>
              <w:right w:val="nil"/>
            </w:tcBorders>
            <w:shd w:val="clear" w:color="auto" w:fill="auto"/>
          </w:tcPr>
          <w:p w14:paraId="63D4019D" w14:textId="77777777" w:rsidR="008A068A" w:rsidRPr="008A7800" w:rsidRDefault="008A068A" w:rsidP="008A068A">
            <w:pPr>
              <w:spacing w:before="20" w:after="20"/>
              <w:ind w:left="176"/>
              <w:rPr>
                <w:rFonts w:eastAsiaTheme="minorEastAsia"/>
                <w:b w:val="0"/>
                <w:sz w:val="18"/>
                <w:szCs w:val="18"/>
                <w:lang w:eastAsia="en-US"/>
              </w:rPr>
            </w:pPr>
            <w:r w:rsidRPr="008A7800">
              <w:rPr>
                <w:rFonts w:eastAsiaTheme="minorEastAsia"/>
                <w:b w:val="0"/>
                <w:sz w:val="18"/>
                <w:szCs w:val="18"/>
                <w:lang w:eastAsia="en-US"/>
              </w:rPr>
              <w:t>Refused/Don’t know</w:t>
            </w:r>
          </w:p>
        </w:tc>
        <w:tc>
          <w:tcPr>
            <w:tcW w:w="666" w:type="dxa"/>
            <w:tcBorders>
              <w:top w:val="nil"/>
              <w:left w:val="nil"/>
              <w:bottom w:val="single" w:sz="4" w:space="0" w:color="auto"/>
              <w:right w:val="nil"/>
            </w:tcBorders>
            <w:shd w:val="clear" w:color="auto" w:fill="auto"/>
            <w:noWrap/>
            <w:vAlign w:val="center"/>
          </w:tcPr>
          <w:p w14:paraId="574EC5A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40</w:t>
            </w:r>
          </w:p>
        </w:tc>
        <w:tc>
          <w:tcPr>
            <w:tcW w:w="567" w:type="dxa"/>
            <w:tcBorders>
              <w:top w:val="nil"/>
              <w:left w:val="nil"/>
              <w:bottom w:val="single" w:sz="4" w:space="0" w:color="auto"/>
              <w:right w:val="nil"/>
            </w:tcBorders>
            <w:shd w:val="clear" w:color="auto" w:fill="auto"/>
            <w:noWrap/>
            <w:vAlign w:val="center"/>
          </w:tcPr>
          <w:p w14:paraId="0401FE9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0.6</w:t>
            </w:r>
          </w:p>
        </w:tc>
        <w:tc>
          <w:tcPr>
            <w:tcW w:w="1146" w:type="dxa"/>
            <w:tcBorders>
              <w:top w:val="nil"/>
              <w:left w:val="nil"/>
              <w:bottom w:val="single" w:sz="4" w:space="0" w:color="auto"/>
              <w:right w:val="single" w:sz="4" w:space="0" w:color="auto"/>
            </w:tcBorders>
            <w:shd w:val="clear" w:color="auto" w:fill="auto"/>
            <w:noWrap/>
            <w:vAlign w:val="center"/>
          </w:tcPr>
          <w:p w14:paraId="5B91066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(0.4, 0.9)</w:t>
            </w:r>
          </w:p>
        </w:tc>
        <w:tc>
          <w:tcPr>
            <w:tcW w:w="666" w:type="dxa"/>
            <w:tcBorders>
              <w:top w:val="nil"/>
              <w:left w:val="single" w:sz="4" w:space="0" w:color="auto"/>
              <w:bottom w:val="single" w:sz="4" w:space="0" w:color="auto"/>
              <w:right w:val="nil"/>
            </w:tcBorders>
            <w:shd w:val="clear" w:color="auto" w:fill="auto"/>
            <w:noWrap/>
            <w:vAlign w:val="center"/>
          </w:tcPr>
          <w:p w14:paraId="65AE861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24</w:t>
            </w:r>
          </w:p>
        </w:tc>
        <w:tc>
          <w:tcPr>
            <w:tcW w:w="621" w:type="dxa"/>
            <w:tcBorders>
              <w:top w:val="nil"/>
              <w:left w:val="nil"/>
              <w:bottom w:val="single" w:sz="4" w:space="0" w:color="auto"/>
              <w:right w:val="nil"/>
            </w:tcBorders>
            <w:shd w:val="clear" w:color="auto" w:fill="auto"/>
            <w:noWrap/>
            <w:vAlign w:val="center"/>
          </w:tcPr>
          <w:p w14:paraId="7359F0F2"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0.7</w:t>
            </w:r>
          </w:p>
        </w:tc>
        <w:tc>
          <w:tcPr>
            <w:tcW w:w="1146" w:type="dxa"/>
            <w:tcBorders>
              <w:top w:val="nil"/>
              <w:left w:val="nil"/>
              <w:bottom w:val="single" w:sz="4" w:space="0" w:color="auto"/>
              <w:right w:val="single" w:sz="4" w:space="0" w:color="000000"/>
            </w:tcBorders>
            <w:shd w:val="clear" w:color="auto" w:fill="auto"/>
            <w:noWrap/>
            <w:vAlign w:val="center"/>
          </w:tcPr>
          <w:p w14:paraId="5C7D6BA6"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(0.4, 0.9)</w:t>
            </w:r>
          </w:p>
        </w:tc>
        <w:tc>
          <w:tcPr>
            <w:tcW w:w="616" w:type="dxa"/>
            <w:tcBorders>
              <w:top w:val="nil"/>
              <w:left w:val="single" w:sz="4" w:space="0" w:color="000000"/>
              <w:bottom w:val="single" w:sz="4" w:space="0" w:color="auto"/>
              <w:right w:val="nil"/>
            </w:tcBorders>
            <w:shd w:val="clear" w:color="auto" w:fill="auto"/>
            <w:vAlign w:val="center"/>
          </w:tcPr>
          <w:p w14:paraId="5297A35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14</w:t>
            </w:r>
          </w:p>
        </w:tc>
        <w:tc>
          <w:tcPr>
            <w:tcW w:w="567" w:type="dxa"/>
            <w:tcBorders>
              <w:top w:val="nil"/>
              <w:left w:val="nil"/>
              <w:bottom w:val="single" w:sz="4" w:space="0" w:color="auto"/>
              <w:right w:val="nil"/>
            </w:tcBorders>
            <w:shd w:val="clear" w:color="auto" w:fill="auto"/>
            <w:vAlign w:val="center"/>
          </w:tcPr>
          <w:p w14:paraId="1E61E087"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0.5</w:t>
            </w:r>
          </w:p>
        </w:tc>
        <w:tc>
          <w:tcPr>
            <w:tcW w:w="1146" w:type="dxa"/>
            <w:tcBorders>
              <w:top w:val="nil"/>
              <w:left w:val="nil"/>
              <w:bottom w:val="single" w:sz="4" w:space="0" w:color="auto"/>
              <w:right w:val="single" w:sz="4" w:space="0" w:color="000000"/>
            </w:tcBorders>
            <w:shd w:val="clear" w:color="auto" w:fill="auto"/>
            <w:vAlign w:val="center"/>
          </w:tcPr>
          <w:p w14:paraId="2BEF5D0E"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(0.2, 0.7)</w:t>
            </w:r>
          </w:p>
        </w:tc>
        <w:tc>
          <w:tcPr>
            <w:tcW w:w="616" w:type="dxa"/>
            <w:tcBorders>
              <w:top w:val="nil"/>
              <w:left w:val="single" w:sz="4" w:space="0" w:color="000000"/>
              <w:bottom w:val="single" w:sz="4" w:space="0" w:color="auto"/>
              <w:right w:val="nil"/>
            </w:tcBorders>
            <w:shd w:val="clear" w:color="auto" w:fill="auto"/>
            <w:vAlign w:val="center"/>
          </w:tcPr>
          <w:p w14:paraId="18D1BCE7"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15</w:t>
            </w:r>
          </w:p>
        </w:tc>
        <w:tc>
          <w:tcPr>
            <w:tcW w:w="576" w:type="dxa"/>
            <w:tcBorders>
              <w:top w:val="nil"/>
              <w:left w:val="nil"/>
              <w:bottom w:val="single" w:sz="4" w:space="0" w:color="auto"/>
              <w:right w:val="nil"/>
            </w:tcBorders>
            <w:shd w:val="clear" w:color="auto" w:fill="auto"/>
            <w:vAlign w:val="center"/>
          </w:tcPr>
          <w:p w14:paraId="4148A317"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0.5</w:t>
            </w:r>
          </w:p>
        </w:tc>
        <w:tc>
          <w:tcPr>
            <w:tcW w:w="1146" w:type="dxa"/>
            <w:tcBorders>
              <w:top w:val="nil"/>
              <w:left w:val="nil"/>
              <w:bottom w:val="single" w:sz="4" w:space="0" w:color="auto"/>
              <w:right w:val="nil"/>
            </w:tcBorders>
            <w:shd w:val="clear" w:color="auto" w:fill="auto"/>
            <w:vAlign w:val="center"/>
          </w:tcPr>
          <w:p w14:paraId="1AA57389"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(0.3, 0.8)</w:t>
            </w:r>
          </w:p>
        </w:tc>
      </w:tr>
      <w:tr w:rsidR="009118DA" w:rsidRPr="008A7800" w14:paraId="778E0071"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single" w:sz="4" w:space="0" w:color="auto"/>
              <w:left w:val="nil"/>
              <w:bottom w:val="nil"/>
              <w:right w:val="nil"/>
            </w:tcBorders>
            <w:shd w:val="clear" w:color="auto" w:fill="auto"/>
          </w:tcPr>
          <w:p w14:paraId="487605FC" w14:textId="77777777" w:rsidR="008A068A" w:rsidRPr="008A7800" w:rsidRDefault="008A068A" w:rsidP="008A068A">
            <w:pPr>
              <w:keepNext/>
              <w:spacing w:before="20" w:after="20"/>
              <w:rPr>
                <w:rFonts w:eastAsiaTheme="minorEastAsia"/>
                <w:sz w:val="18"/>
                <w:szCs w:val="18"/>
                <w:lang w:eastAsia="en-US"/>
              </w:rPr>
            </w:pPr>
            <w:r w:rsidRPr="008A7800">
              <w:rPr>
                <w:rFonts w:eastAsiaTheme="minorEastAsia"/>
                <w:sz w:val="18"/>
                <w:szCs w:val="18"/>
                <w:lang w:eastAsia="en-US"/>
              </w:rPr>
              <w:t>Who gambled with</w:t>
            </w:r>
          </w:p>
        </w:tc>
        <w:tc>
          <w:tcPr>
            <w:tcW w:w="666" w:type="dxa"/>
            <w:tcBorders>
              <w:top w:val="single" w:sz="4" w:space="0" w:color="auto"/>
              <w:left w:val="nil"/>
              <w:bottom w:val="nil"/>
              <w:right w:val="nil"/>
            </w:tcBorders>
            <w:shd w:val="clear" w:color="auto" w:fill="auto"/>
            <w:noWrap/>
          </w:tcPr>
          <w:p w14:paraId="72D06132"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67" w:type="dxa"/>
            <w:tcBorders>
              <w:top w:val="single" w:sz="4" w:space="0" w:color="auto"/>
              <w:left w:val="nil"/>
              <w:bottom w:val="nil"/>
              <w:right w:val="nil"/>
            </w:tcBorders>
            <w:shd w:val="clear" w:color="auto" w:fill="auto"/>
            <w:noWrap/>
          </w:tcPr>
          <w:p w14:paraId="3F2DB466"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single" w:sz="4" w:space="0" w:color="auto"/>
              <w:left w:val="nil"/>
              <w:bottom w:val="nil"/>
              <w:right w:val="single" w:sz="4" w:space="0" w:color="auto"/>
            </w:tcBorders>
            <w:shd w:val="clear" w:color="auto" w:fill="auto"/>
            <w:noWrap/>
          </w:tcPr>
          <w:p w14:paraId="576E82F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66" w:type="dxa"/>
            <w:tcBorders>
              <w:top w:val="single" w:sz="4" w:space="0" w:color="auto"/>
              <w:left w:val="single" w:sz="4" w:space="0" w:color="auto"/>
              <w:bottom w:val="nil"/>
              <w:right w:val="nil"/>
            </w:tcBorders>
            <w:shd w:val="clear" w:color="auto" w:fill="auto"/>
            <w:noWrap/>
          </w:tcPr>
          <w:p w14:paraId="45A45797"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single" w:sz="4" w:space="0" w:color="auto"/>
              <w:left w:val="nil"/>
              <w:bottom w:val="nil"/>
              <w:right w:val="nil"/>
            </w:tcBorders>
            <w:shd w:val="clear" w:color="auto" w:fill="auto"/>
            <w:noWrap/>
            <w:vAlign w:val="center"/>
          </w:tcPr>
          <w:p w14:paraId="4CC1055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single" w:sz="4" w:space="0" w:color="auto"/>
              <w:left w:val="nil"/>
              <w:bottom w:val="nil"/>
              <w:right w:val="single" w:sz="4" w:space="0" w:color="000000"/>
            </w:tcBorders>
            <w:shd w:val="clear" w:color="auto" w:fill="auto"/>
            <w:noWrap/>
            <w:vAlign w:val="center"/>
          </w:tcPr>
          <w:p w14:paraId="23F77B88"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16" w:type="dxa"/>
            <w:tcBorders>
              <w:top w:val="single" w:sz="4" w:space="0" w:color="auto"/>
              <w:left w:val="single" w:sz="4" w:space="0" w:color="000000"/>
              <w:bottom w:val="nil"/>
              <w:right w:val="nil"/>
            </w:tcBorders>
            <w:shd w:val="clear" w:color="auto" w:fill="auto"/>
            <w:vAlign w:val="center"/>
          </w:tcPr>
          <w:p w14:paraId="684AD377"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67" w:type="dxa"/>
            <w:tcBorders>
              <w:top w:val="single" w:sz="4" w:space="0" w:color="auto"/>
              <w:left w:val="nil"/>
              <w:bottom w:val="nil"/>
              <w:right w:val="nil"/>
            </w:tcBorders>
            <w:shd w:val="clear" w:color="auto" w:fill="auto"/>
            <w:vAlign w:val="center"/>
          </w:tcPr>
          <w:p w14:paraId="199F6BE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single" w:sz="4" w:space="0" w:color="auto"/>
              <w:left w:val="nil"/>
              <w:bottom w:val="nil"/>
              <w:right w:val="single" w:sz="4" w:space="0" w:color="000000"/>
            </w:tcBorders>
            <w:shd w:val="clear" w:color="auto" w:fill="auto"/>
          </w:tcPr>
          <w:p w14:paraId="13FA3C9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616" w:type="dxa"/>
            <w:tcBorders>
              <w:top w:val="single" w:sz="4" w:space="0" w:color="auto"/>
              <w:left w:val="single" w:sz="4" w:space="0" w:color="000000"/>
              <w:bottom w:val="nil"/>
              <w:right w:val="nil"/>
            </w:tcBorders>
            <w:shd w:val="clear" w:color="auto" w:fill="auto"/>
            <w:vAlign w:val="center"/>
          </w:tcPr>
          <w:p w14:paraId="01F2C932"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76" w:type="dxa"/>
            <w:tcBorders>
              <w:top w:val="single" w:sz="4" w:space="0" w:color="auto"/>
              <w:left w:val="nil"/>
              <w:bottom w:val="nil"/>
              <w:right w:val="nil"/>
            </w:tcBorders>
            <w:shd w:val="clear" w:color="auto" w:fill="auto"/>
            <w:vAlign w:val="center"/>
          </w:tcPr>
          <w:p w14:paraId="5A1D24F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single" w:sz="4" w:space="0" w:color="auto"/>
              <w:left w:val="nil"/>
              <w:bottom w:val="nil"/>
              <w:right w:val="nil"/>
            </w:tcBorders>
            <w:shd w:val="clear" w:color="auto" w:fill="auto"/>
            <w:vAlign w:val="center"/>
          </w:tcPr>
          <w:p w14:paraId="2B1FA1C6"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r>
      <w:tr w:rsidR="009118DA" w:rsidRPr="008A7800" w14:paraId="0896B545"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1DB3F540" w14:textId="77777777" w:rsidR="008A068A" w:rsidRPr="008A7800" w:rsidRDefault="008A068A" w:rsidP="008A068A">
            <w:pPr>
              <w:keepNext/>
              <w:spacing w:before="20" w:after="20"/>
              <w:ind w:left="176"/>
              <w:rPr>
                <w:rFonts w:eastAsiaTheme="minorEastAsia"/>
                <w:b w:val="0"/>
                <w:sz w:val="18"/>
                <w:szCs w:val="18"/>
                <w:lang w:eastAsia="en-US"/>
              </w:rPr>
            </w:pPr>
            <w:r w:rsidRPr="008A7800">
              <w:rPr>
                <w:rFonts w:eastAsiaTheme="minorEastAsia"/>
                <w:b w:val="0"/>
                <w:sz w:val="18"/>
                <w:szCs w:val="18"/>
                <w:lang w:eastAsia="en-US"/>
              </w:rPr>
              <w:t>Alone</w:t>
            </w:r>
          </w:p>
        </w:tc>
        <w:tc>
          <w:tcPr>
            <w:tcW w:w="666" w:type="dxa"/>
            <w:tcBorders>
              <w:top w:val="nil"/>
              <w:left w:val="nil"/>
              <w:bottom w:val="nil"/>
              <w:right w:val="nil"/>
            </w:tcBorders>
            <w:shd w:val="clear" w:color="auto" w:fill="auto"/>
            <w:noWrap/>
            <w:vAlign w:val="center"/>
          </w:tcPr>
          <w:p w14:paraId="1BD45804"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1869</w:t>
            </w:r>
          </w:p>
        </w:tc>
        <w:tc>
          <w:tcPr>
            <w:tcW w:w="567" w:type="dxa"/>
            <w:tcBorders>
              <w:top w:val="nil"/>
              <w:left w:val="nil"/>
              <w:bottom w:val="nil"/>
              <w:right w:val="nil"/>
            </w:tcBorders>
            <w:shd w:val="clear" w:color="auto" w:fill="auto"/>
            <w:noWrap/>
            <w:vAlign w:val="center"/>
          </w:tcPr>
          <w:p w14:paraId="3C415B09"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50.4</w:t>
            </w:r>
          </w:p>
        </w:tc>
        <w:tc>
          <w:tcPr>
            <w:tcW w:w="1146" w:type="dxa"/>
            <w:tcBorders>
              <w:top w:val="nil"/>
              <w:left w:val="nil"/>
              <w:bottom w:val="nil"/>
              <w:right w:val="single" w:sz="4" w:space="0" w:color="auto"/>
            </w:tcBorders>
            <w:shd w:val="clear" w:color="auto" w:fill="auto"/>
            <w:noWrap/>
            <w:vAlign w:val="center"/>
          </w:tcPr>
          <w:p w14:paraId="324E29F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(48.5, 52.4)</w:t>
            </w:r>
          </w:p>
        </w:tc>
        <w:tc>
          <w:tcPr>
            <w:tcW w:w="666" w:type="dxa"/>
            <w:tcBorders>
              <w:top w:val="nil"/>
              <w:left w:val="single" w:sz="4" w:space="0" w:color="auto"/>
              <w:bottom w:val="nil"/>
              <w:right w:val="nil"/>
            </w:tcBorders>
            <w:shd w:val="clear" w:color="auto" w:fill="auto"/>
            <w:noWrap/>
            <w:vAlign w:val="center"/>
          </w:tcPr>
          <w:p w14:paraId="7BAD677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1070</w:t>
            </w:r>
          </w:p>
        </w:tc>
        <w:tc>
          <w:tcPr>
            <w:tcW w:w="621" w:type="dxa"/>
            <w:tcBorders>
              <w:top w:val="nil"/>
              <w:left w:val="nil"/>
              <w:bottom w:val="nil"/>
              <w:right w:val="nil"/>
            </w:tcBorders>
            <w:shd w:val="clear" w:color="auto" w:fill="auto"/>
            <w:noWrap/>
            <w:vAlign w:val="center"/>
          </w:tcPr>
          <w:p w14:paraId="4667F01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51.2</w:t>
            </w:r>
          </w:p>
        </w:tc>
        <w:tc>
          <w:tcPr>
            <w:tcW w:w="1146" w:type="dxa"/>
            <w:tcBorders>
              <w:top w:val="nil"/>
              <w:left w:val="nil"/>
              <w:bottom w:val="nil"/>
              <w:right w:val="single" w:sz="4" w:space="0" w:color="000000"/>
            </w:tcBorders>
            <w:shd w:val="clear" w:color="auto" w:fill="auto"/>
            <w:noWrap/>
            <w:vAlign w:val="center"/>
          </w:tcPr>
          <w:p w14:paraId="1C7184EF"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(48.6, 53.8)</w:t>
            </w:r>
          </w:p>
        </w:tc>
        <w:tc>
          <w:tcPr>
            <w:tcW w:w="616" w:type="dxa"/>
            <w:tcBorders>
              <w:top w:val="nil"/>
              <w:left w:val="single" w:sz="4" w:space="0" w:color="000000"/>
              <w:bottom w:val="nil"/>
              <w:right w:val="nil"/>
            </w:tcBorders>
            <w:shd w:val="clear" w:color="auto" w:fill="auto"/>
            <w:vAlign w:val="center"/>
          </w:tcPr>
          <w:p w14:paraId="4A05869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909</w:t>
            </w:r>
          </w:p>
        </w:tc>
        <w:tc>
          <w:tcPr>
            <w:tcW w:w="567" w:type="dxa"/>
            <w:tcBorders>
              <w:top w:val="nil"/>
              <w:left w:val="nil"/>
              <w:bottom w:val="nil"/>
              <w:right w:val="nil"/>
            </w:tcBorders>
            <w:shd w:val="clear" w:color="auto" w:fill="auto"/>
            <w:vAlign w:val="center"/>
          </w:tcPr>
          <w:p w14:paraId="5109FAF1"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51.1</w:t>
            </w:r>
          </w:p>
        </w:tc>
        <w:tc>
          <w:tcPr>
            <w:tcW w:w="1146" w:type="dxa"/>
            <w:tcBorders>
              <w:top w:val="nil"/>
              <w:left w:val="nil"/>
              <w:bottom w:val="nil"/>
              <w:right w:val="single" w:sz="4" w:space="0" w:color="000000"/>
            </w:tcBorders>
            <w:shd w:val="clear" w:color="auto" w:fill="auto"/>
            <w:vAlign w:val="center"/>
          </w:tcPr>
          <w:p w14:paraId="06ECDB74"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(48.2, 54.0)</w:t>
            </w:r>
          </w:p>
        </w:tc>
        <w:tc>
          <w:tcPr>
            <w:tcW w:w="616" w:type="dxa"/>
            <w:tcBorders>
              <w:top w:val="nil"/>
              <w:left w:val="single" w:sz="4" w:space="0" w:color="000000"/>
              <w:bottom w:val="nil"/>
              <w:right w:val="nil"/>
            </w:tcBorders>
            <w:shd w:val="clear" w:color="auto" w:fill="auto"/>
            <w:vAlign w:val="center"/>
          </w:tcPr>
          <w:p w14:paraId="47AB93D5"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769</w:t>
            </w:r>
          </w:p>
        </w:tc>
        <w:tc>
          <w:tcPr>
            <w:tcW w:w="576" w:type="dxa"/>
            <w:tcBorders>
              <w:top w:val="nil"/>
              <w:left w:val="nil"/>
              <w:bottom w:val="nil"/>
              <w:right w:val="nil"/>
            </w:tcBorders>
            <w:shd w:val="clear" w:color="auto" w:fill="auto"/>
            <w:vAlign w:val="center"/>
          </w:tcPr>
          <w:p w14:paraId="1C53300B"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51.9</w:t>
            </w:r>
          </w:p>
        </w:tc>
        <w:tc>
          <w:tcPr>
            <w:tcW w:w="1146" w:type="dxa"/>
            <w:tcBorders>
              <w:top w:val="nil"/>
              <w:left w:val="nil"/>
              <w:bottom w:val="nil"/>
              <w:right w:val="nil"/>
            </w:tcBorders>
            <w:shd w:val="clear" w:color="auto" w:fill="auto"/>
            <w:vAlign w:val="center"/>
          </w:tcPr>
          <w:p w14:paraId="3E66CB6C"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(48.8, 55.1)</w:t>
            </w:r>
          </w:p>
        </w:tc>
      </w:tr>
      <w:tr w:rsidR="009118DA" w:rsidRPr="008A7800" w14:paraId="516FD19E"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18B4D30A" w14:textId="77777777" w:rsidR="008A068A" w:rsidRPr="008A7800" w:rsidRDefault="008A068A" w:rsidP="008A068A">
            <w:pPr>
              <w:keepNext/>
              <w:spacing w:before="20" w:after="20"/>
              <w:ind w:left="176"/>
              <w:rPr>
                <w:rFonts w:eastAsiaTheme="minorEastAsia"/>
                <w:b w:val="0"/>
                <w:sz w:val="18"/>
                <w:szCs w:val="18"/>
                <w:lang w:eastAsia="en-US"/>
              </w:rPr>
            </w:pPr>
            <w:r w:rsidRPr="008A7800">
              <w:rPr>
                <w:rFonts w:eastAsiaTheme="minorEastAsia"/>
                <w:b w:val="0"/>
                <w:sz w:val="18"/>
                <w:szCs w:val="18"/>
                <w:lang w:eastAsia="en-US"/>
              </w:rPr>
              <w:t>With one person</w:t>
            </w:r>
          </w:p>
        </w:tc>
        <w:tc>
          <w:tcPr>
            <w:tcW w:w="666" w:type="dxa"/>
            <w:tcBorders>
              <w:top w:val="nil"/>
              <w:left w:val="nil"/>
              <w:bottom w:val="nil"/>
              <w:right w:val="nil"/>
            </w:tcBorders>
            <w:shd w:val="clear" w:color="auto" w:fill="auto"/>
            <w:noWrap/>
            <w:vAlign w:val="center"/>
          </w:tcPr>
          <w:p w14:paraId="6C10D83C"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865</w:t>
            </w:r>
          </w:p>
        </w:tc>
        <w:tc>
          <w:tcPr>
            <w:tcW w:w="567" w:type="dxa"/>
            <w:tcBorders>
              <w:top w:val="nil"/>
              <w:left w:val="nil"/>
              <w:bottom w:val="nil"/>
              <w:right w:val="nil"/>
            </w:tcBorders>
            <w:shd w:val="clear" w:color="auto" w:fill="auto"/>
            <w:noWrap/>
            <w:vAlign w:val="center"/>
          </w:tcPr>
          <w:p w14:paraId="5D44591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23.3</w:t>
            </w:r>
          </w:p>
        </w:tc>
        <w:tc>
          <w:tcPr>
            <w:tcW w:w="1146" w:type="dxa"/>
            <w:tcBorders>
              <w:top w:val="nil"/>
              <w:left w:val="nil"/>
              <w:bottom w:val="nil"/>
              <w:right w:val="single" w:sz="4" w:space="0" w:color="auto"/>
            </w:tcBorders>
            <w:shd w:val="clear" w:color="auto" w:fill="auto"/>
            <w:noWrap/>
            <w:vAlign w:val="center"/>
          </w:tcPr>
          <w:p w14:paraId="221A21AB"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(21.7, 25.0)</w:t>
            </w:r>
          </w:p>
        </w:tc>
        <w:tc>
          <w:tcPr>
            <w:tcW w:w="666" w:type="dxa"/>
            <w:tcBorders>
              <w:top w:val="nil"/>
              <w:left w:val="single" w:sz="4" w:space="0" w:color="auto"/>
              <w:bottom w:val="nil"/>
              <w:right w:val="nil"/>
            </w:tcBorders>
            <w:shd w:val="clear" w:color="auto" w:fill="auto"/>
            <w:noWrap/>
            <w:vAlign w:val="center"/>
          </w:tcPr>
          <w:p w14:paraId="5F8A68F2"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434</w:t>
            </w:r>
          </w:p>
        </w:tc>
        <w:tc>
          <w:tcPr>
            <w:tcW w:w="621" w:type="dxa"/>
            <w:tcBorders>
              <w:top w:val="nil"/>
              <w:left w:val="nil"/>
              <w:bottom w:val="nil"/>
              <w:right w:val="nil"/>
            </w:tcBorders>
            <w:shd w:val="clear" w:color="auto" w:fill="auto"/>
            <w:noWrap/>
            <w:vAlign w:val="center"/>
          </w:tcPr>
          <w:p w14:paraId="5BE90539"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20.8</w:t>
            </w:r>
          </w:p>
        </w:tc>
        <w:tc>
          <w:tcPr>
            <w:tcW w:w="1146" w:type="dxa"/>
            <w:tcBorders>
              <w:top w:val="nil"/>
              <w:left w:val="nil"/>
              <w:bottom w:val="nil"/>
              <w:right w:val="single" w:sz="4" w:space="0" w:color="000000"/>
            </w:tcBorders>
            <w:shd w:val="clear" w:color="auto" w:fill="auto"/>
            <w:noWrap/>
            <w:vAlign w:val="center"/>
          </w:tcPr>
          <w:p w14:paraId="157A3879"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(18.7, 22.9)</w:t>
            </w:r>
          </w:p>
        </w:tc>
        <w:tc>
          <w:tcPr>
            <w:tcW w:w="616" w:type="dxa"/>
            <w:tcBorders>
              <w:top w:val="nil"/>
              <w:left w:val="single" w:sz="4" w:space="0" w:color="000000"/>
              <w:bottom w:val="nil"/>
              <w:right w:val="nil"/>
            </w:tcBorders>
            <w:shd w:val="clear" w:color="auto" w:fill="auto"/>
            <w:vAlign w:val="center"/>
          </w:tcPr>
          <w:p w14:paraId="0CD5287E"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387</w:t>
            </w:r>
          </w:p>
        </w:tc>
        <w:tc>
          <w:tcPr>
            <w:tcW w:w="567" w:type="dxa"/>
            <w:tcBorders>
              <w:top w:val="nil"/>
              <w:left w:val="nil"/>
              <w:bottom w:val="nil"/>
              <w:right w:val="nil"/>
            </w:tcBorders>
            <w:shd w:val="clear" w:color="auto" w:fill="auto"/>
            <w:vAlign w:val="center"/>
          </w:tcPr>
          <w:p w14:paraId="687F1588"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21.8</w:t>
            </w:r>
          </w:p>
        </w:tc>
        <w:tc>
          <w:tcPr>
            <w:tcW w:w="1146" w:type="dxa"/>
            <w:tcBorders>
              <w:top w:val="nil"/>
              <w:left w:val="nil"/>
              <w:bottom w:val="nil"/>
              <w:right w:val="single" w:sz="4" w:space="0" w:color="000000"/>
            </w:tcBorders>
            <w:shd w:val="clear" w:color="auto" w:fill="auto"/>
            <w:vAlign w:val="center"/>
          </w:tcPr>
          <w:p w14:paraId="6E69DF3D"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(19.2, 24.3)</w:t>
            </w:r>
          </w:p>
        </w:tc>
        <w:tc>
          <w:tcPr>
            <w:tcW w:w="616" w:type="dxa"/>
            <w:tcBorders>
              <w:top w:val="nil"/>
              <w:left w:val="single" w:sz="4" w:space="0" w:color="000000"/>
              <w:bottom w:val="nil"/>
              <w:right w:val="nil"/>
            </w:tcBorders>
            <w:shd w:val="clear" w:color="auto" w:fill="auto"/>
            <w:vAlign w:val="center"/>
          </w:tcPr>
          <w:p w14:paraId="6EA62962"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335</w:t>
            </w:r>
          </w:p>
        </w:tc>
        <w:tc>
          <w:tcPr>
            <w:tcW w:w="576" w:type="dxa"/>
            <w:tcBorders>
              <w:top w:val="nil"/>
              <w:left w:val="nil"/>
              <w:bottom w:val="nil"/>
              <w:right w:val="nil"/>
            </w:tcBorders>
            <w:shd w:val="clear" w:color="auto" w:fill="auto"/>
            <w:vAlign w:val="center"/>
          </w:tcPr>
          <w:p w14:paraId="778E891D"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22.7</w:t>
            </w:r>
          </w:p>
        </w:tc>
        <w:tc>
          <w:tcPr>
            <w:tcW w:w="1146" w:type="dxa"/>
            <w:tcBorders>
              <w:top w:val="nil"/>
              <w:left w:val="nil"/>
              <w:bottom w:val="nil"/>
              <w:right w:val="nil"/>
            </w:tcBorders>
            <w:shd w:val="clear" w:color="auto" w:fill="auto"/>
            <w:vAlign w:val="center"/>
          </w:tcPr>
          <w:p w14:paraId="322F08C2"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(19.9, 25.4)</w:t>
            </w:r>
          </w:p>
        </w:tc>
      </w:tr>
      <w:tr w:rsidR="009118DA" w:rsidRPr="008A7800" w14:paraId="413CE3BC"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49C97DC1" w14:textId="77777777" w:rsidR="008A068A" w:rsidRPr="008A7800" w:rsidRDefault="008A068A" w:rsidP="008A068A">
            <w:pPr>
              <w:spacing w:before="20" w:after="20"/>
              <w:ind w:left="176"/>
              <w:rPr>
                <w:rFonts w:eastAsiaTheme="minorEastAsia"/>
                <w:b w:val="0"/>
                <w:sz w:val="18"/>
                <w:szCs w:val="18"/>
                <w:lang w:eastAsia="en-US"/>
              </w:rPr>
            </w:pPr>
            <w:r w:rsidRPr="008A7800">
              <w:rPr>
                <w:rFonts w:eastAsiaTheme="minorEastAsia"/>
                <w:b w:val="0"/>
                <w:sz w:val="18"/>
                <w:szCs w:val="18"/>
                <w:lang w:eastAsia="en-US"/>
              </w:rPr>
              <w:t>With several people/a group</w:t>
            </w:r>
          </w:p>
        </w:tc>
        <w:tc>
          <w:tcPr>
            <w:tcW w:w="666" w:type="dxa"/>
            <w:tcBorders>
              <w:top w:val="nil"/>
              <w:left w:val="nil"/>
              <w:bottom w:val="nil"/>
              <w:right w:val="nil"/>
            </w:tcBorders>
            <w:shd w:val="clear" w:color="auto" w:fill="auto"/>
            <w:noWrap/>
            <w:vAlign w:val="center"/>
          </w:tcPr>
          <w:p w14:paraId="51EA2968"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972</w:t>
            </w:r>
          </w:p>
        </w:tc>
        <w:tc>
          <w:tcPr>
            <w:tcW w:w="567" w:type="dxa"/>
            <w:tcBorders>
              <w:top w:val="nil"/>
              <w:left w:val="nil"/>
              <w:bottom w:val="nil"/>
              <w:right w:val="nil"/>
            </w:tcBorders>
            <w:shd w:val="clear" w:color="auto" w:fill="auto"/>
            <w:noWrap/>
            <w:vAlign w:val="center"/>
          </w:tcPr>
          <w:p w14:paraId="1F4361E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26.2</w:t>
            </w:r>
          </w:p>
        </w:tc>
        <w:tc>
          <w:tcPr>
            <w:tcW w:w="1146" w:type="dxa"/>
            <w:tcBorders>
              <w:top w:val="nil"/>
              <w:left w:val="nil"/>
              <w:bottom w:val="nil"/>
              <w:right w:val="single" w:sz="4" w:space="0" w:color="auto"/>
            </w:tcBorders>
            <w:shd w:val="clear" w:color="auto" w:fill="auto"/>
            <w:noWrap/>
            <w:vAlign w:val="center"/>
          </w:tcPr>
          <w:p w14:paraId="770EF28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(24.5, 28.0)</w:t>
            </w:r>
          </w:p>
        </w:tc>
        <w:tc>
          <w:tcPr>
            <w:tcW w:w="666" w:type="dxa"/>
            <w:tcBorders>
              <w:top w:val="nil"/>
              <w:left w:val="single" w:sz="4" w:space="0" w:color="auto"/>
              <w:bottom w:val="nil"/>
              <w:right w:val="nil"/>
            </w:tcBorders>
            <w:shd w:val="clear" w:color="auto" w:fill="auto"/>
            <w:noWrap/>
            <w:vAlign w:val="center"/>
          </w:tcPr>
          <w:p w14:paraId="137B975D"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586</w:t>
            </w:r>
          </w:p>
        </w:tc>
        <w:tc>
          <w:tcPr>
            <w:tcW w:w="621" w:type="dxa"/>
            <w:tcBorders>
              <w:top w:val="nil"/>
              <w:left w:val="nil"/>
              <w:bottom w:val="nil"/>
              <w:right w:val="nil"/>
            </w:tcBorders>
            <w:shd w:val="clear" w:color="auto" w:fill="auto"/>
            <w:noWrap/>
            <w:vAlign w:val="center"/>
          </w:tcPr>
          <w:p w14:paraId="076A8EC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28.0</w:t>
            </w:r>
          </w:p>
        </w:tc>
        <w:tc>
          <w:tcPr>
            <w:tcW w:w="1146" w:type="dxa"/>
            <w:tcBorders>
              <w:top w:val="nil"/>
              <w:left w:val="nil"/>
              <w:bottom w:val="nil"/>
              <w:right w:val="single" w:sz="4" w:space="0" w:color="000000"/>
            </w:tcBorders>
            <w:shd w:val="clear" w:color="auto" w:fill="auto"/>
            <w:noWrap/>
            <w:vAlign w:val="center"/>
          </w:tcPr>
          <w:p w14:paraId="1DF30590"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(25.6, 30.4)</w:t>
            </w:r>
          </w:p>
        </w:tc>
        <w:tc>
          <w:tcPr>
            <w:tcW w:w="616" w:type="dxa"/>
            <w:tcBorders>
              <w:top w:val="nil"/>
              <w:left w:val="single" w:sz="4" w:space="0" w:color="000000"/>
              <w:bottom w:val="nil"/>
              <w:right w:val="nil"/>
            </w:tcBorders>
            <w:shd w:val="clear" w:color="auto" w:fill="auto"/>
            <w:vAlign w:val="center"/>
          </w:tcPr>
          <w:p w14:paraId="0F29266E"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483</w:t>
            </w:r>
          </w:p>
        </w:tc>
        <w:tc>
          <w:tcPr>
            <w:tcW w:w="567" w:type="dxa"/>
            <w:tcBorders>
              <w:top w:val="nil"/>
              <w:left w:val="nil"/>
              <w:bottom w:val="nil"/>
              <w:right w:val="nil"/>
            </w:tcBorders>
            <w:shd w:val="clear" w:color="auto" w:fill="auto"/>
            <w:vAlign w:val="center"/>
          </w:tcPr>
          <w:p w14:paraId="38B3F78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27.2</w:t>
            </w:r>
          </w:p>
        </w:tc>
        <w:tc>
          <w:tcPr>
            <w:tcW w:w="1146" w:type="dxa"/>
            <w:tcBorders>
              <w:top w:val="nil"/>
              <w:left w:val="nil"/>
              <w:bottom w:val="nil"/>
              <w:right w:val="single" w:sz="4" w:space="0" w:color="000000"/>
            </w:tcBorders>
            <w:shd w:val="clear" w:color="auto" w:fill="auto"/>
            <w:vAlign w:val="center"/>
          </w:tcPr>
          <w:p w14:paraId="6B2B6D9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(24.6, 29.7)</w:t>
            </w:r>
          </w:p>
        </w:tc>
        <w:tc>
          <w:tcPr>
            <w:tcW w:w="616" w:type="dxa"/>
            <w:tcBorders>
              <w:top w:val="nil"/>
              <w:left w:val="single" w:sz="4" w:space="0" w:color="000000"/>
              <w:bottom w:val="nil"/>
              <w:right w:val="nil"/>
            </w:tcBorders>
            <w:shd w:val="clear" w:color="auto" w:fill="auto"/>
            <w:vAlign w:val="center"/>
          </w:tcPr>
          <w:p w14:paraId="7C178C72"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376</w:t>
            </w:r>
          </w:p>
        </w:tc>
        <w:tc>
          <w:tcPr>
            <w:tcW w:w="576" w:type="dxa"/>
            <w:tcBorders>
              <w:top w:val="nil"/>
              <w:left w:val="nil"/>
              <w:bottom w:val="nil"/>
              <w:right w:val="nil"/>
            </w:tcBorders>
            <w:shd w:val="clear" w:color="auto" w:fill="auto"/>
            <w:vAlign w:val="center"/>
          </w:tcPr>
          <w:p w14:paraId="2E73EEEC"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25.4</w:t>
            </w:r>
          </w:p>
        </w:tc>
        <w:tc>
          <w:tcPr>
            <w:tcW w:w="1146" w:type="dxa"/>
            <w:tcBorders>
              <w:top w:val="nil"/>
              <w:left w:val="nil"/>
              <w:bottom w:val="nil"/>
              <w:right w:val="nil"/>
            </w:tcBorders>
            <w:shd w:val="clear" w:color="auto" w:fill="auto"/>
            <w:vAlign w:val="center"/>
          </w:tcPr>
          <w:p w14:paraId="30A190CD"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(22.7, 28.1)</w:t>
            </w:r>
          </w:p>
        </w:tc>
      </w:tr>
      <w:tr w:rsidR="009118DA" w:rsidRPr="008A7800" w14:paraId="22D77D96" w14:textId="77777777" w:rsidTr="00063DE7">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single" w:sz="4" w:space="0" w:color="auto"/>
              <w:right w:val="nil"/>
            </w:tcBorders>
          </w:tcPr>
          <w:p w14:paraId="57F98647" w14:textId="77777777" w:rsidR="008A068A" w:rsidRPr="008A7800" w:rsidRDefault="008A068A" w:rsidP="008A068A">
            <w:pPr>
              <w:tabs>
                <w:tab w:val="left" w:pos="176"/>
              </w:tabs>
              <w:spacing w:before="20" w:after="40"/>
              <w:rPr>
                <w:rFonts w:eastAsiaTheme="minorEastAsia"/>
                <w:b w:val="0"/>
                <w:sz w:val="18"/>
                <w:szCs w:val="18"/>
                <w:lang w:eastAsia="en-US"/>
              </w:rPr>
            </w:pPr>
            <w:r w:rsidRPr="008A7800">
              <w:rPr>
                <w:rFonts w:eastAsiaTheme="minorEastAsia"/>
                <w:b w:val="0"/>
                <w:sz w:val="18"/>
                <w:szCs w:val="18"/>
                <w:lang w:eastAsia="en-US"/>
              </w:rPr>
              <w:tab/>
              <w:t>Missing</w:t>
            </w:r>
          </w:p>
        </w:tc>
        <w:tc>
          <w:tcPr>
            <w:tcW w:w="666" w:type="dxa"/>
            <w:tcBorders>
              <w:top w:val="nil"/>
              <w:left w:val="nil"/>
              <w:bottom w:val="single" w:sz="4" w:space="0" w:color="auto"/>
              <w:right w:val="nil"/>
            </w:tcBorders>
            <w:noWrap/>
            <w:vAlign w:val="center"/>
          </w:tcPr>
          <w:p w14:paraId="1AA1299D"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2580</w:t>
            </w:r>
          </w:p>
        </w:tc>
        <w:tc>
          <w:tcPr>
            <w:tcW w:w="567" w:type="dxa"/>
            <w:tcBorders>
              <w:top w:val="nil"/>
              <w:left w:val="nil"/>
              <w:bottom w:val="single" w:sz="4" w:space="0" w:color="auto"/>
              <w:right w:val="nil"/>
            </w:tcBorders>
            <w:noWrap/>
            <w:vAlign w:val="center"/>
          </w:tcPr>
          <w:p w14:paraId="33C61B04"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t>
            </w:r>
          </w:p>
        </w:tc>
        <w:tc>
          <w:tcPr>
            <w:tcW w:w="1146" w:type="dxa"/>
            <w:tcBorders>
              <w:top w:val="nil"/>
              <w:left w:val="nil"/>
              <w:bottom w:val="single" w:sz="4" w:space="0" w:color="auto"/>
              <w:right w:val="single" w:sz="4" w:space="0" w:color="auto"/>
            </w:tcBorders>
            <w:noWrap/>
            <w:vAlign w:val="center"/>
          </w:tcPr>
          <w:p w14:paraId="52073E0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66" w:type="dxa"/>
            <w:tcBorders>
              <w:top w:val="nil"/>
              <w:left w:val="single" w:sz="4" w:space="0" w:color="auto"/>
              <w:bottom w:val="single" w:sz="4" w:space="0" w:color="auto"/>
              <w:right w:val="nil"/>
            </w:tcBorders>
            <w:noWrap/>
            <w:vAlign w:val="center"/>
          </w:tcPr>
          <w:p w14:paraId="7AE33049"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1624</w:t>
            </w:r>
          </w:p>
        </w:tc>
        <w:tc>
          <w:tcPr>
            <w:tcW w:w="621" w:type="dxa"/>
            <w:tcBorders>
              <w:top w:val="nil"/>
              <w:left w:val="nil"/>
              <w:bottom w:val="single" w:sz="4" w:space="0" w:color="auto"/>
              <w:right w:val="nil"/>
            </w:tcBorders>
            <w:noWrap/>
            <w:vAlign w:val="center"/>
          </w:tcPr>
          <w:p w14:paraId="78C064FD"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t>
            </w:r>
          </w:p>
        </w:tc>
        <w:tc>
          <w:tcPr>
            <w:tcW w:w="1146" w:type="dxa"/>
            <w:tcBorders>
              <w:top w:val="nil"/>
              <w:left w:val="nil"/>
              <w:bottom w:val="single" w:sz="4" w:space="0" w:color="auto"/>
              <w:right w:val="single" w:sz="4" w:space="0" w:color="000000"/>
            </w:tcBorders>
            <w:shd w:val="clear" w:color="auto" w:fill="FFFFFF" w:themeFill="background1"/>
            <w:noWrap/>
            <w:vAlign w:val="center"/>
          </w:tcPr>
          <w:p w14:paraId="07EF4383"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16" w:type="dxa"/>
            <w:tcBorders>
              <w:top w:val="nil"/>
              <w:left w:val="single" w:sz="4" w:space="0" w:color="000000"/>
              <w:bottom w:val="single" w:sz="4" w:space="0" w:color="auto"/>
              <w:right w:val="nil"/>
            </w:tcBorders>
            <w:shd w:val="clear" w:color="auto" w:fill="FFFFFF" w:themeFill="background1"/>
            <w:vAlign w:val="center"/>
          </w:tcPr>
          <w:p w14:paraId="00FDA6FA"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1343</w:t>
            </w:r>
          </w:p>
        </w:tc>
        <w:tc>
          <w:tcPr>
            <w:tcW w:w="567" w:type="dxa"/>
            <w:tcBorders>
              <w:top w:val="nil"/>
              <w:left w:val="nil"/>
              <w:bottom w:val="single" w:sz="4" w:space="0" w:color="auto"/>
              <w:right w:val="nil"/>
            </w:tcBorders>
            <w:shd w:val="clear" w:color="auto" w:fill="FFFFFF" w:themeFill="background1"/>
            <w:vAlign w:val="center"/>
          </w:tcPr>
          <w:p w14:paraId="1DFB62A5"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w:t>
            </w:r>
          </w:p>
        </w:tc>
        <w:tc>
          <w:tcPr>
            <w:tcW w:w="1146" w:type="dxa"/>
            <w:tcBorders>
              <w:top w:val="nil"/>
              <w:left w:val="nil"/>
              <w:bottom w:val="single" w:sz="4" w:space="0" w:color="auto"/>
              <w:right w:val="single" w:sz="4" w:space="0" w:color="000000"/>
            </w:tcBorders>
            <w:shd w:val="clear" w:color="auto" w:fill="FFFFFF" w:themeFill="background1"/>
            <w:vAlign w:val="center"/>
          </w:tcPr>
          <w:p w14:paraId="500412A8" w14:textId="77777777" w:rsidR="008A068A" w:rsidRPr="008A7800" w:rsidRDefault="008A068A" w:rsidP="008A068A">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 </w:t>
            </w:r>
          </w:p>
        </w:tc>
        <w:tc>
          <w:tcPr>
            <w:tcW w:w="616" w:type="dxa"/>
            <w:tcBorders>
              <w:top w:val="nil"/>
              <w:left w:val="single" w:sz="4" w:space="0" w:color="000000"/>
              <w:bottom w:val="single" w:sz="4" w:space="0" w:color="auto"/>
              <w:right w:val="nil"/>
            </w:tcBorders>
            <w:shd w:val="clear" w:color="auto" w:fill="FFFFFF" w:themeFill="background1"/>
            <w:vAlign w:val="center"/>
          </w:tcPr>
          <w:p w14:paraId="474C9DA5"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1290</w:t>
            </w:r>
          </w:p>
        </w:tc>
        <w:tc>
          <w:tcPr>
            <w:tcW w:w="576" w:type="dxa"/>
            <w:tcBorders>
              <w:top w:val="nil"/>
              <w:left w:val="nil"/>
              <w:bottom w:val="single" w:sz="4" w:space="0" w:color="auto"/>
              <w:right w:val="nil"/>
            </w:tcBorders>
            <w:shd w:val="clear" w:color="auto" w:fill="FFFFFF" w:themeFill="background1"/>
            <w:vAlign w:val="center"/>
          </w:tcPr>
          <w:p w14:paraId="6148A698"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w:t>
            </w:r>
          </w:p>
        </w:tc>
        <w:tc>
          <w:tcPr>
            <w:tcW w:w="1146" w:type="dxa"/>
            <w:tcBorders>
              <w:top w:val="nil"/>
              <w:left w:val="nil"/>
              <w:bottom w:val="single" w:sz="4" w:space="0" w:color="auto"/>
              <w:right w:val="nil"/>
            </w:tcBorders>
            <w:shd w:val="clear" w:color="auto" w:fill="FFFFFF" w:themeFill="background1"/>
            <w:vAlign w:val="center"/>
          </w:tcPr>
          <w:p w14:paraId="3B2C0563" w14:textId="77777777" w:rsidR="008A068A" w:rsidRPr="008A7800" w:rsidRDefault="008A068A" w:rsidP="008A068A">
            <w:pPr>
              <w:jc w:val="right"/>
              <w:cnfStyle w:val="000000000000" w:firstRow="0" w:lastRow="0" w:firstColumn="0" w:lastColumn="0" w:oddVBand="0" w:evenVBand="0" w:oddHBand="0" w:evenHBand="0" w:firstRowFirstColumn="0" w:firstRowLastColumn="0" w:lastRowFirstColumn="0" w:lastRowLastColumn="0"/>
              <w:rPr>
                <w:sz w:val="18"/>
                <w:szCs w:val="18"/>
              </w:rPr>
            </w:pPr>
          </w:p>
        </w:tc>
      </w:tr>
    </w:tbl>
    <w:p w14:paraId="3FF99612" w14:textId="77777777" w:rsidR="008A068A" w:rsidRPr="008A7800" w:rsidRDefault="008A068A" w:rsidP="00063DE7">
      <w:pPr>
        <w:ind w:left="284"/>
        <w:rPr>
          <w:sz w:val="18"/>
        </w:rPr>
      </w:pPr>
      <w:r w:rsidRPr="008A7800">
        <w:rPr>
          <w:sz w:val="18"/>
        </w:rPr>
        <w:t>Data weighted for 2013 Census data (all waves) and attrition (Waves 2, 3 and 4)</w:t>
      </w:r>
    </w:p>
    <w:p w14:paraId="64FEFB51" w14:textId="77777777" w:rsidR="008A068A" w:rsidRPr="008A7800" w:rsidRDefault="008A068A" w:rsidP="00063DE7">
      <w:pPr>
        <w:pStyle w:val="RepNormal"/>
        <w:ind w:left="284"/>
        <w:rPr>
          <w:sz w:val="18"/>
        </w:rPr>
      </w:pPr>
      <w:r w:rsidRPr="008A7800">
        <w:rPr>
          <w:sz w:val="18"/>
        </w:rPr>
        <w:t>Wave 1 N=6,251; Wave 2 N=3,745; Wave 3 N=3,115; Wave 4 N=2,770</w:t>
      </w:r>
    </w:p>
    <w:p w14:paraId="24FC36E8" w14:textId="77777777" w:rsidR="00ED1E40" w:rsidRDefault="008C36F1" w:rsidP="00063DE7">
      <w:pPr>
        <w:ind w:left="284"/>
        <w:rPr>
          <w:rFonts w:eastAsiaTheme="minorEastAsia"/>
          <w:sz w:val="18"/>
          <w:szCs w:val="18"/>
          <w:lang w:eastAsia="en-US"/>
        </w:rPr>
      </w:pPr>
      <w:r w:rsidRPr="008A7800">
        <w:rPr>
          <w:rFonts w:eastAsiaTheme="minorEastAsia"/>
          <w:b/>
          <w:sz w:val="18"/>
          <w:szCs w:val="18"/>
          <w:vertAlign w:val="superscript"/>
          <w:lang w:eastAsia="en-US"/>
        </w:rPr>
        <w:t>†</w:t>
      </w:r>
      <w:r w:rsidRPr="008A7800">
        <w:rPr>
          <w:rFonts w:eastAsiaTheme="minorEastAsia"/>
          <w:b/>
          <w:sz w:val="18"/>
          <w:szCs w:val="18"/>
          <w:lang w:eastAsia="en-US"/>
        </w:rPr>
        <w:t xml:space="preserve"> </w:t>
      </w:r>
      <w:r w:rsidRPr="008A7800">
        <w:rPr>
          <w:rFonts w:eastAsiaTheme="minorEastAsia"/>
          <w:sz w:val="18"/>
          <w:szCs w:val="18"/>
          <w:lang w:eastAsia="en-US"/>
        </w:rPr>
        <w:t>Not included in other overseas categories</w:t>
      </w:r>
    </w:p>
    <w:p w14:paraId="7AD32C02" w14:textId="77777777" w:rsidR="00ED1E40" w:rsidRPr="00FE2F59" w:rsidRDefault="00ED1E40" w:rsidP="00ED1E40">
      <w:pPr>
        <w:spacing w:after="200" w:line="276" w:lineRule="auto"/>
        <w:ind w:left="284"/>
        <w:rPr>
          <w:sz w:val="18"/>
        </w:rPr>
      </w:pPr>
      <w:r w:rsidRPr="00FE2F59">
        <w:rPr>
          <w:sz w:val="18"/>
        </w:rPr>
        <w:t>! Meaningful confidence intervals not calculable due to small sample size</w:t>
      </w:r>
    </w:p>
    <w:p w14:paraId="124C3EBE" w14:textId="77777777" w:rsidR="008C36F1" w:rsidRDefault="008C36F1" w:rsidP="00063DE7">
      <w:pPr>
        <w:ind w:left="284"/>
        <w:rPr>
          <w:rFonts w:eastAsiaTheme="minorEastAsia"/>
          <w:sz w:val="16"/>
          <w:szCs w:val="18"/>
          <w:lang w:eastAsia="en-US"/>
        </w:rPr>
      </w:pPr>
      <w:r w:rsidRPr="008A7800">
        <w:rPr>
          <w:rFonts w:eastAsiaTheme="minorEastAsia"/>
          <w:sz w:val="18"/>
          <w:szCs w:val="18"/>
          <w:lang w:eastAsia="en-US"/>
        </w:rPr>
        <w:tab/>
      </w:r>
    </w:p>
    <w:p w14:paraId="120FB5CD" w14:textId="77777777" w:rsidR="003D7BB5" w:rsidRDefault="003D7BB5">
      <w:pPr>
        <w:spacing w:after="200" w:line="276" w:lineRule="auto"/>
        <w:rPr>
          <w:rFonts w:eastAsiaTheme="majorEastAsia" w:cstheme="majorBidi"/>
          <w:b/>
          <w:bCs/>
          <w:caps/>
          <w:szCs w:val="28"/>
          <w:lang w:eastAsia="en-US"/>
        </w:rPr>
      </w:pPr>
      <w:r>
        <w:rPr>
          <w:rFonts w:eastAsiaTheme="majorEastAsia" w:cstheme="majorBidi"/>
          <w:b/>
          <w:bCs/>
          <w:caps/>
          <w:szCs w:val="28"/>
          <w:lang w:eastAsia="en-US"/>
        </w:rPr>
        <w:br w:type="page"/>
      </w:r>
    </w:p>
    <w:p w14:paraId="7FBE247A" w14:textId="77777777" w:rsidR="003D7BB5" w:rsidRDefault="003D7BB5" w:rsidP="003D7BB5">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rPr>
          <w:rFonts w:cs="Times New Roman"/>
          <w:caps w:val="0"/>
        </w:rPr>
      </w:pPr>
      <w:bookmarkStart w:id="201" w:name="_Toc504488403"/>
      <w:r w:rsidRPr="00AE7AD8">
        <w:t xml:space="preserve">APPENDIX </w:t>
      </w:r>
      <w:r>
        <w:t>10</w:t>
      </w:r>
      <w:r w:rsidRPr="00AE7AD8">
        <w:t>:</w:t>
      </w:r>
      <w:r w:rsidRPr="00AE7AD8">
        <w:br/>
      </w:r>
      <w:r>
        <w:rPr>
          <w:rFonts w:cs="Times New Roman"/>
          <w:caps w:val="0"/>
        </w:rPr>
        <w:t>Gambling behaviour</w:t>
      </w:r>
      <w:r w:rsidRPr="00AE7AD8">
        <w:rPr>
          <w:rFonts w:cs="Times New Roman"/>
          <w:caps w:val="0"/>
        </w:rPr>
        <w:t xml:space="preserve"> in Waves 1, 2</w:t>
      </w:r>
      <w:r>
        <w:rPr>
          <w:rFonts w:cs="Times New Roman"/>
          <w:caps w:val="0"/>
        </w:rPr>
        <w:t>,</w:t>
      </w:r>
      <w:r w:rsidRPr="00AE7AD8">
        <w:rPr>
          <w:rFonts w:cs="Times New Roman"/>
          <w:caps w:val="0"/>
        </w:rPr>
        <w:t xml:space="preserve"> 3</w:t>
      </w:r>
      <w:r>
        <w:rPr>
          <w:rFonts w:cs="Times New Roman"/>
          <w:caps w:val="0"/>
        </w:rPr>
        <w:t xml:space="preserve"> and 4 - Māori</w:t>
      </w:r>
      <w:bookmarkEnd w:id="201"/>
    </w:p>
    <w:p w14:paraId="3C8A6690" w14:textId="77777777" w:rsidR="003D7BB5" w:rsidRPr="008C36F1" w:rsidRDefault="003D7BB5" w:rsidP="003D7BB5">
      <w:pPr>
        <w:pStyle w:val="RepNormal"/>
      </w:pPr>
    </w:p>
    <w:tbl>
      <w:tblPr>
        <w:tblStyle w:val="LightShading4"/>
        <w:tblW w:w="13013" w:type="dxa"/>
        <w:jc w:val="center"/>
        <w:tblLayout w:type="fixed"/>
        <w:tblLook w:val="06A0" w:firstRow="1" w:lastRow="0" w:firstColumn="1" w:lastColumn="0" w:noHBand="1" w:noVBand="1"/>
      </w:tblPr>
      <w:tblGrid>
        <w:gridCol w:w="3997"/>
        <w:gridCol w:w="567"/>
        <w:gridCol w:w="567"/>
        <w:gridCol w:w="1146"/>
        <w:gridCol w:w="516"/>
        <w:gridCol w:w="567"/>
        <w:gridCol w:w="1146"/>
        <w:gridCol w:w="536"/>
        <w:gridCol w:w="567"/>
        <w:gridCol w:w="1146"/>
        <w:gridCol w:w="536"/>
        <w:gridCol w:w="576"/>
        <w:gridCol w:w="1146"/>
      </w:tblGrid>
      <w:tr w:rsidR="003D7BB5" w:rsidRPr="00063DE7" w14:paraId="0F63C8F0" w14:textId="77777777" w:rsidTr="00DD0F2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997" w:type="dxa"/>
            <w:vMerge w:val="restart"/>
            <w:tcBorders>
              <w:bottom w:val="single" w:sz="4" w:space="0" w:color="auto"/>
            </w:tcBorders>
            <w:vAlign w:val="bottom"/>
            <w:hideMark/>
          </w:tcPr>
          <w:p w14:paraId="248D8119" w14:textId="77777777" w:rsidR="003D7BB5" w:rsidRPr="00063DE7" w:rsidRDefault="003D7BB5" w:rsidP="00DD0F28">
            <w:pPr>
              <w:spacing w:before="20" w:after="20"/>
              <w:rPr>
                <w:rFonts w:eastAsiaTheme="minorEastAsia"/>
                <w:sz w:val="18"/>
                <w:szCs w:val="18"/>
                <w:lang w:eastAsia="en-US"/>
              </w:rPr>
            </w:pPr>
            <w:r w:rsidRPr="00063DE7">
              <w:rPr>
                <w:rFonts w:eastAsiaTheme="minorEastAsia"/>
                <w:sz w:val="18"/>
                <w:szCs w:val="18"/>
              </w:rPr>
              <w:t>Gambling participation-related variables</w:t>
            </w:r>
          </w:p>
        </w:tc>
        <w:tc>
          <w:tcPr>
            <w:tcW w:w="2280" w:type="dxa"/>
            <w:gridSpan w:val="3"/>
            <w:tcBorders>
              <w:bottom w:val="single" w:sz="4" w:space="0" w:color="auto"/>
              <w:right w:val="single" w:sz="4" w:space="0" w:color="auto"/>
            </w:tcBorders>
            <w:noWrap/>
            <w:vAlign w:val="center"/>
            <w:hideMark/>
          </w:tcPr>
          <w:p w14:paraId="639E6D4D" w14:textId="77777777" w:rsidR="003D7BB5" w:rsidRPr="00063DE7" w:rsidRDefault="003D7BB5" w:rsidP="00DD0F2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8"/>
                <w:szCs w:val="18"/>
                <w:lang w:eastAsia="en-US"/>
              </w:rPr>
            </w:pPr>
            <w:r w:rsidRPr="00063DE7">
              <w:rPr>
                <w:rFonts w:eastAsiaTheme="minorEastAsia"/>
                <w:sz w:val="18"/>
                <w:szCs w:val="18"/>
              </w:rPr>
              <w:t>Wave 1</w:t>
            </w:r>
          </w:p>
        </w:tc>
        <w:tc>
          <w:tcPr>
            <w:tcW w:w="2229" w:type="dxa"/>
            <w:gridSpan w:val="3"/>
            <w:tcBorders>
              <w:left w:val="single" w:sz="4" w:space="0" w:color="auto"/>
              <w:bottom w:val="single" w:sz="4" w:space="0" w:color="auto"/>
            </w:tcBorders>
            <w:vAlign w:val="center"/>
          </w:tcPr>
          <w:p w14:paraId="4FD41F47" w14:textId="77777777" w:rsidR="003D7BB5" w:rsidRPr="00063DE7" w:rsidRDefault="003D7BB5" w:rsidP="00DD0F2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063DE7">
              <w:rPr>
                <w:rFonts w:eastAsiaTheme="minorEastAsia"/>
                <w:sz w:val="18"/>
                <w:szCs w:val="18"/>
                <w:lang w:eastAsia="en-US"/>
              </w:rPr>
              <w:t>Wave 2</w:t>
            </w:r>
          </w:p>
        </w:tc>
        <w:tc>
          <w:tcPr>
            <w:tcW w:w="2249" w:type="dxa"/>
            <w:gridSpan w:val="3"/>
            <w:tcBorders>
              <w:left w:val="single" w:sz="4" w:space="0" w:color="auto"/>
              <w:bottom w:val="single" w:sz="4" w:space="0" w:color="auto"/>
            </w:tcBorders>
          </w:tcPr>
          <w:p w14:paraId="17C0CDBF" w14:textId="77777777" w:rsidR="003D7BB5" w:rsidRPr="00063DE7" w:rsidRDefault="003D7BB5" w:rsidP="00DD0F2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063DE7">
              <w:rPr>
                <w:rFonts w:eastAsiaTheme="minorEastAsia"/>
                <w:sz w:val="18"/>
                <w:szCs w:val="18"/>
                <w:lang w:eastAsia="en-US"/>
              </w:rPr>
              <w:t>Wave 3</w:t>
            </w:r>
          </w:p>
        </w:tc>
        <w:tc>
          <w:tcPr>
            <w:tcW w:w="2258" w:type="dxa"/>
            <w:gridSpan w:val="3"/>
            <w:tcBorders>
              <w:left w:val="single" w:sz="4" w:space="0" w:color="auto"/>
              <w:bottom w:val="single" w:sz="4" w:space="0" w:color="auto"/>
            </w:tcBorders>
          </w:tcPr>
          <w:p w14:paraId="5AA1E1E4" w14:textId="77777777" w:rsidR="003D7BB5" w:rsidRPr="00063DE7" w:rsidRDefault="003D7BB5" w:rsidP="00DD0F2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063DE7">
              <w:rPr>
                <w:rFonts w:eastAsiaTheme="minorEastAsia"/>
                <w:sz w:val="18"/>
                <w:szCs w:val="18"/>
                <w:lang w:eastAsia="en-US"/>
              </w:rPr>
              <w:t>Wave 4</w:t>
            </w:r>
          </w:p>
        </w:tc>
      </w:tr>
      <w:tr w:rsidR="003D7BB5" w:rsidRPr="00063DE7" w14:paraId="1F06EC85" w14:textId="77777777" w:rsidTr="00DD0F2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997" w:type="dxa"/>
            <w:vMerge/>
            <w:tcBorders>
              <w:bottom w:val="single" w:sz="4" w:space="0" w:color="auto"/>
            </w:tcBorders>
            <w:vAlign w:val="center"/>
            <w:hideMark/>
          </w:tcPr>
          <w:p w14:paraId="02206241" w14:textId="77777777" w:rsidR="003D7BB5" w:rsidRPr="00063DE7" w:rsidRDefault="003D7BB5" w:rsidP="00DD0F28">
            <w:pPr>
              <w:spacing w:before="20" w:after="20"/>
              <w:rPr>
                <w:rFonts w:eastAsiaTheme="minorEastAsia"/>
                <w:sz w:val="18"/>
                <w:szCs w:val="18"/>
                <w:lang w:eastAsia="en-US"/>
              </w:rPr>
            </w:pPr>
          </w:p>
        </w:tc>
        <w:tc>
          <w:tcPr>
            <w:tcW w:w="567" w:type="dxa"/>
            <w:tcBorders>
              <w:top w:val="single" w:sz="4" w:space="0" w:color="auto"/>
              <w:bottom w:val="single" w:sz="4" w:space="0" w:color="auto"/>
            </w:tcBorders>
            <w:noWrap/>
            <w:vAlign w:val="center"/>
            <w:hideMark/>
          </w:tcPr>
          <w:p w14:paraId="2F65FA88" w14:textId="77777777" w:rsidR="003D7BB5" w:rsidRPr="00063DE7"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063DE7">
              <w:rPr>
                <w:rFonts w:eastAsiaTheme="minorEastAsia"/>
                <w:sz w:val="18"/>
                <w:szCs w:val="18"/>
              </w:rPr>
              <w:t>n</w:t>
            </w:r>
          </w:p>
        </w:tc>
        <w:tc>
          <w:tcPr>
            <w:tcW w:w="567" w:type="dxa"/>
            <w:tcBorders>
              <w:top w:val="single" w:sz="4" w:space="0" w:color="auto"/>
              <w:bottom w:val="single" w:sz="4" w:space="0" w:color="auto"/>
            </w:tcBorders>
            <w:noWrap/>
            <w:vAlign w:val="center"/>
            <w:hideMark/>
          </w:tcPr>
          <w:p w14:paraId="7648FF9C" w14:textId="77777777" w:rsidR="003D7BB5" w:rsidRPr="00063DE7"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063DE7">
              <w:rPr>
                <w:rFonts w:eastAsiaTheme="minorEastAsia"/>
                <w:sz w:val="18"/>
                <w:szCs w:val="18"/>
              </w:rPr>
              <w:t>%</w:t>
            </w:r>
          </w:p>
        </w:tc>
        <w:tc>
          <w:tcPr>
            <w:tcW w:w="1146" w:type="dxa"/>
            <w:tcBorders>
              <w:top w:val="single" w:sz="4" w:space="0" w:color="auto"/>
              <w:bottom w:val="single" w:sz="4" w:space="0" w:color="auto"/>
              <w:right w:val="single" w:sz="4" w:space="0" w:color="auto"/>
            </w:tcBorders>
            <w:noWrap/>
            <w:vAlign w:val="center"/>
          </w:tcPr>
          <w:p w14:paraId="6982EA19" w14:textId="77777777" w:rsidR="003D7BB5" w:rsidRPr="00063DE7"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063DE7">
              <w:rPr>
                <w:rFonts w:eastAsiaTheme="minorEastAsia"/>
                <w:sz w:val="18"/>
                <w:szCs w:val="18"/>
                <w:lang w:eastAsia="en-US"/>
              </w:rPr>
              <w:t>(95% CI)</w:t>
            </w:r>
          </w:p>
        </w:tc>
        <w:tc>
          <w:tcPr>
            <w:tcW w:w="516" w:type="dxa"/>
            <w:tcBorders>
              <w:top w:val="single" w:sz="4" w:space="0" w:color="auto"/>
              <w:left w:val="single" w:sz="4" w:space="0" w:color="auto"/>
              <w:bottom w:val="single" w:sz="4" w:space="0" w:color="auto"/>
            </w:tcBorders>
            <w:noWrap/>
            <w:vAlign w:val="center"/>
          </w:tcPr>
          <w:p w14:paraId="5E5BA69C" w14:textId="77777777" w:rsidR="003D7BB5" w:rsidRPr="00063DE7"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063DE7">
              <w:rPr>
                <w:rFonts w:eastAsiaTheme="minorEastAsia"/>
                <w:sz w:val="18"/>
                <w:szCs w:val="18"/>
                <w:lang w:eastAsia="en-US"/>
              </w:rPr>
              <w:t>n</w:t>
            </w:r>
          </w:p>
        </w:tc>
        <w:tc>
          <w:tcPr>
            <w:tcW w:w="567" w:type="dxa"/>
            <w:tcBorders>
              <w:top w:val="single" w:sz="4" w:space="0" w:color="auto"/>
              <w:bottom w:val="single" w:sz="4" w:space="0" w:color="auto"/>
            </w:tcBorders>
            <w:noWrap/>
            <w:vAlign w:val="center"/>
          </w:tcPr>
          <w:p w14:paraId="7D138D3A" w14:textId="77777777" w:rsidR="003D7BB5" w:rsidRPr="00063DE7"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063DE7">
              <w:rPr>
                <w:rFonts w:eastAsiaTheme="minorEastAsia"/>
                <w:sz w:val="18"/>
                <w:szCs w:val="18"/>
                <w:lang w:eastAsia="en-US"/>
              </w:rPr>
              <w:t>%</w:t>
            </w:r>
          </w:p>
        </w:tc>
        <w:tc>
          <w:tcPr>
            <w:tcW w:w="1146" w:type="dxa"/>
            <w:tcBorders>
              <w:top w:val="single" w:sz="4" w:space="0" w:color="auto"/>
              <w:bottom w:val="single" w:sz="4" w:space="0" w:color="auto"/>
              <w:right w:val="single" w:sz="4" w:space="0" w:color="000000"/>
            </w:tcBorders>
            <w:shd w:val="clear" w:color="auto" w:fill="FFFFFF" w:themeFill="background1"/>
            <w:noWrap/>
            <w:vAlign w:val="center"/>
          </w:tcPr>
          <w:p w14:paraId="721DF31D" w14:textId="77777777" w:rsidR="003D7BB5" w:rsidRPr="00063DE7"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063DE7">
              <w:rPr>
                <w:rFonts w:eastAsiaTheme="minorEastAsia"/>
                <w:sz w:val="18"/>
                <w:szCs w:val="18"/>
                <w:lang w:eastAsia="en-US"/>
              </w:rPr>
              <w:t>(95% CI)</w:t>
            </w:r>
          </w:p>
        </w:tc>
        <w:tc>
          <w:tcPr>
            <w:tcW w:w="536" w:type="dxa"/>
            <w:tcBorders>
              <w:top w:val="single" w:sz="4" w:space="0" w:color="auto"/>
              <w:left w:val="single" w:sz="4" w:space="0" w:color="000000"/>
              <w:bottom w:val="single" w:sz="4" w:space="0" w:color="auto"/>
            </w:tcBorders>
            <w:shd w:val="clear" w:color="auto" w:fill="FFFFFF" w:themeFill="background1"/>
            <w:vAlign w:val="center"/>
          </w:tcPr>
          <w:p w14:paraId="020481EC" w14:textId="77777777" w:rsidR="003D7BB5" w:rsidRPr="00063DE7"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063DE7">
              <w:rPr>
                <w:rFonts w:eastAsiaTheme="minorEastAsia"/>
                <w:sz w:val="18"/>
                <w:szCs w:val="18"/>
                <w:lang w:eastAsia="en-US"/>
              </w:rPr>
              <w:t>n</w:t>
            </w:r>
          </w:p>
        </w:tc>
        <w:tc>
          <w:tcPr>
            <w:tcW w:w="567" w:type="dxa"/>
            <w:tcBorders>
              <w:top w:val="single" w:sz="4" w:space="0" w:color="auto"/>
              <w:bottom w:val="single" w:sz="4" w:space="0" w:color="auto"/>
            </w:tcBorders>
            <w:shd w:val="clear" w:color="auto" w:fill="FFFFFF" w:themeFill="background1"/>
            <w:vAlign w:val="center"/>
          </w:tcPr>
          <w:p w14:paraId="01F8DAE2" w14:textId="77777777" w:rsidR="003D7BB5" w:rsidRPr="00063DE7"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063DE7">
              <w:rPr>
                <w:rFonts w:eastAsiaTheme="minorEastAsia"/>
                <w:sz w:val="18"/>
                <w:szCs w:val="18"/>
                <w:lang w:eastAsia="en-US"/>
              </w:rPr>
              <w:t>%</w:t>
            </w:r>
          </w:p>
        </w:tc>
        <w:tc>
          <w:tcPr>
            <w:tcW w:w="1146" w:type="dxa"/>
            <w:tcBorders>
              <w:top w:val="single" w:sz="4" w:space="0" w:color="auto"/>
              <w:bottom w:val="single" w:sz="4" w:space="0" w:color="auto"/>
              <w:right w:val="single" w:sz="4" w:space="0" w:color="000000"/>
            </w:tcBorders>
            <w:shd w:val="clear" w:color="auto" w:fill="FFFFFF" w:themeFill="background1"/>
            <w:vAlign w:val="center"/>
          </w:tcPr>
          <w:p w14:paraId="42F1C0A8" w14:textId="77777777" w:rsidR="003D7BB5" w:rsidRPr="00063DE7"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063DE7">
              <w:rPr>
                <w:rFonts w:eastAsiaTheme="minorEastAsia"/>
                <w:sz w:val="18"/>
                <w:szCs w:val="18"/>
                <w:lang w:eastAsia="en-US"/>
              </w:rPr>
              <w:t>(95% CI)</w:t>
            </w:r>
          </w:p>
        </w:tc>
        <w:tc>
          <w:tcPr>
            <w:tcW w:w="536" w:type="dxa"/>
            <w:tcBorders>
              <w:top w:val="single" w:sz="4" w:space="0" w:color="auto"/>
              <w:left w:val="single" w:sz="4" w:space="0" w:color="000000"/>
              <w:bottom w:val="single" w:sz="4" w:space="0" w:color="auto"/>
            </w:tcBorders>
            <w:shd w:val="clear" w:color="auto" w:fill="FFFFFF" w:themeFill="background1"/>
            <w:vAlign w:val="center"/>
          </w:tcPr>
          <w:p w14:paraId="4F78D27B" w14:textId="77777777" w:rsidR="003D7BB5" w:rsidRPr="00063DE7"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063DE7">
              <w:rPr>
                <w:rFonts w:eastAsiaTheme="minorEastAsia"/>
                <w:sz w:val="18"/>
                <w:szCs w:val="18"/>
                <w:lang w:eastAsia="en-US"/>
              </w:rPr>
              <w:t>n</w:t>
            </w:r>
          </w:p>
        </w:tc>
        <w:tc>
          <w:tcPr>
            <w:tcW w:w="576" w:type="dxa"/>
            <w:tcBorders>
              <w:top w:val="single" w:sz="4" w:space="0" w:color="auto"/>
              <w:bottom w:val="single" w:sz="4" w:space="0" w:color="auto"/>
            </w:tcBorders>
            <w:shd w:val="clear" w:color="auto" w:fill="FFFFFF" w:themeFill="background1"/>
            <w:vAlign w:val="center"/>
          </w:tcPr>
          <w:p w14:paraId="692F88A1" w14:textId="77777777" w:rsidR="003D7BB5" w:rsidRPr="00063DE7"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063DE7">
              <w:rPr>
                <w:rFonts w:eastAsiaTheme="minorEastAsia"/>
                <w:sz w:val="18"/>
                <w:szCs w:val="18"/>
                <w:lang w:eastAsia="en-US"/>
              </w:rPr>
              <w:t>%</w:t>
            </w:r>
          </w:p>
        </w:tc>
        <w:tc>
          <w:tcPr>
            <w:tcW w:w="1146" w:type="dxa"/>
            <w:tcBorders>
              <w:top w:val="single" w:sz="4" w:space="0" w:color="auto"/>
              <w:bottom w:val="single" w:sz="4" w:space="0" w:color="auto"/>
            </w:tcBorders>
            <w:shd w:val="clear" w:color="auto" w:fill="FFFFFF" w:themeFill="background1"/>
            <w:vAlign w:val="center"/>
          </w:tcPr>
          <w:p w14:paraId="5F99816C" w14:textId="77777777" w:rsidR="003D7BB5" w:rsidRPr="00063DE7"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063DE7">
              <w:rPr>
                <w:rFonts w:eastAsiaTheme="minorEastAsia"/>
                <w:sz w:val="18"/>
                <w:szCs w:val="18"/>
                <w:lang w:eastAsia="en-US"/>
              </w:rPr>
              <w:t>(95% CI)</w:t>
            </w:r>
          </w:p>
        </w:tc>
      </w:tr>
      <w:tr w:rsidR="003D7BB5" w:rsidRPr="00063DE7" w14:paraId="48E5DE89"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6277" w:type="dxa"/>
            <w:gridSpan w:val="4"/>
            <w:tcBorders>
              <w:top w:val="nil"/>
              <w:left w:val="nil"/>
              <w:bottom w:val="nil"/>
              <w:right w:val="single" w:sz="4" w:space="0" w:color="auto"/>
            </w:tcBorders>
            <w:vAlign w:val="center"/>
          </w:tcPr>
          <w:p w14:paraId="67AC6D73" w14:textId="77777777" w:rsidR="003D7BB5" w:rsidRPr="00063DE7" w:rsidRDefault="003D7BB5" w:rsidP="00DD0F28">
            <w:pPr>
              <w:spacing w:before="20" w:after="20"/>
              <w:rPr>
                <w:rFonts w:eastAsiaTheme="minorEastAsia"/>
                <w:sz w:val="18"/>
                <w:szCs w:val="18"/>
                <w:lang w:eastAsia="en-US"/>
              </w:rPr>
            </w:pPr>
            <w:r w:rsidRPr="00063DE7">
              <w:rPr>
                <w:rFonts w:eastAsiaTheme="minorEastAsia"/>
                <w:sz w:val="18"/>
                <w:szCs w:val="18"/>
                <w:lang w:eastAsia="en-US"/>
              </w:rPr>
              <w:t>Number of gambling activities participated in</w:t>
            </w:r>
          </w:p>
        </w:tc>
        <w:tc>
          <w:tcPr>
            <w:tcW w:w="516" w:type="dxa"/>
            <w:tcBorders>
              <w:top w:val="nil"/>
              <w:left w:val="single" w:sz="4" w:space="0" w:color="auto"/>
              <w:bottom w:val="nil"/>
              <w:right w:val="nil"/>
            </w:tcBorders>
            <w:noWrap/>
            <w:vAlign w:val="center"/>
          </w:tcPr>
          <w:p w14:paraId="5CEFCB63"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67" w:type="dxa"/>
            <w:tcBorders>
              <w:top w:val="nil"/>
              <w:left w:val="nil"/>
              <w:bottom w:val="nil"/>
              <w:right w:val="nil"/>
            </w:tcBorders>
            <w:noWrap/>
            <w:vAlign w:val="center"/>
          </w:tcPr>
          <w:p w14:paraId="765A8368"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FFFFFF" w:themeFill="background1"/>
            <w:noWrap/>
            <w:vAlign w:val="center"/>
          </w:tcPr>
          <w:p w14:paraId="097022F2"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36" w:type="dxa"/>
            <w:tcBorders>
              <w:top w:val="nil"/>
              <w:left w:val="single" w:sz="4" w:space="0" w:color="000000"/>
              <w:bottom w:val="nil"/>
              <w:right w:val="nil"/>
            </w:tcBorders>
            <w:vAlign w:val="center"/>
          </w:tcPr>
          <w:p w14:paraId="2DF962A0"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67" w:type="dxa"/>
            <w:tcBorders>
              <w:top w:val="nil"/>
              <w:left w:val="nil"/>
              <w:bottom w:val="nil"/>
              <w:right w:val="nil"/>
            </w:tcBorders>
            <w:vAlign w:val="center"/>
          </w:tcPr>
          <w:p w14:paraId="53495D41"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single" w:sz="4" w:space="0" w:color="000000"/>
            </w:tcBorders>
            <w:vAlign w:val="center"/>
          </w:tcPr>
          <w:p w14:paraId="408B6B3E"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36" w:type="dxa"/>
            <w:tcBorders>
              <w:top w:val="nil"/>
              <w:left w:val="single" w:sz="4" w:space="0" w:color="000000"/>
              <w:bottom w:val="nil"/>
              <w:right w:val="nil"/>
            </w:tcBorders>
            <w:vAlign w:val="center"/>
          </w:tcPr>
          <w:p w14:paraId="3F9E0131" w14:textId="77777777" w:rsidR="003D7BB5" w:rsidRPr="00063DE7" w:rsidRDefault="003D7BB5" w:rsidP="00DD0F28">
            <w:pPr>
              <w:jc w:val="center"/>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76" w:type="dxa"/>
            <w:tcBorders>
              <w:top w:val="nil"/>
              <w:left w:val="nil"/>
              <w:bottom w:val="nil"/>
              <w:right w:val="nil"/>
            </w:tcBorders>
            <w:vAlign w:val="center"/>
          </w:tcPr>
          <w:p w14:paraId="2BA07C36" w14:textId="77777777" w:rsidR="003D7BB5" w:rsidRPr="00063DE7" w:rsidRDefault="003D7BB5" w:rsidP="00DD0F28">
            <w:pPr>
              <w:jc w:val="center"/>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nil"/>
            </w:tcBorders>
            <w:vAlign w:val="center"/>
          </w:tcPr>
          <w:p w14:paraId="46C9DB10" w14:textId="77777777" w:rsidR="003D7BB5" w:rsidRPr="00063DE7" w:rsidRDefault="003D7BB5" w:rsidP="00DD0F28">
            <w:pPr>
              <w:jc w:val="center"/>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r>
      <w:tr w:rsidR="009118DA" w:rsidRPr="00063DE7" w14:paraId="28DEF726"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359712EC" w14:textId="77777777" w:rsidR="003D7BB5" w:rsidRPr="00063DE7" w:rsidRDefault="003D7BB5" w:rsidP="00DD0F28">
            <w:pPr>
              <w:tabs>
                <w:tab w:val="left" w:pos="176"/>
              </w:tabs>
              <w:spacing w:before="20" w:after="20"/>
              <w:rPr>
                <w:rFonts w:eastAsiaTheme="minorEastAsia"/>
                <w:b w:val="0"/>
                <w:sz w:val="18"/>
                <w:szCs w:val="18"/>
                <w:lang w:eastAsia="en-US"/>
              </w:rPr>
            </w:pPr>
            <w:r w:rsidRPr="00063DE7">
              <w:rPr>
                <w:rFonts w:eastAsiaTheme="minorEastAsia"/>
                <w:b w:val="0"/>
                <w:sz w:val="18"/>
                <w:szCs w:val="18"/>
                <w:lang w:eastAsia="en-US"/>
              </w:rPr>
              <w:tab/>
              <w:t>0</w:t>
            </w:r>
          </w:p>
        </w:tc>
        <w:tc>
          <w:tcPr>
            <w:tcW w:w="567" w:type="dxa"/>
            <w:tcBorders>
              <w:top w:val="nil"/>
              <w:left w:val="nil"/>
              <w:bottom w:val="nil"/>
              <w:right w:val="nil"/>
            </w:tcBorders>
            <w:noWrap/>
            <w:vAlign w:val="center"/>
          </w:tcPr>
          <w:p w14:paraId="7FBDC9D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063DE7">
              <w:rPr>
                <w:color w:val="000000"/>
                <w:sz w:val="18"/>
                <w:szCs w:val="18"/>
              </w:rPr>
              <w:t>95</w:t>
            </w:r>
          </w:p>
        </w:tc>
        <w:tc>
          <w:tcPr>
            <w:tcW w:w="567" w:type="dxa"/>
            <w:tcBorders>
              <w:top w:val="nil"/>
              <w:left w:val="nil"/>
              <w:bottom w:val="nil"/>
              <w:right w:val="nil"/>
            </w:tcBorders>
            <w:noWrap/>
            <w:vAlign w:val="center"/>
          </w:tcPr>
          <w:p w14:paraId="2EF427D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14.6</w:t>
            </w:r>
          </w:p>
        </w:tc>
        <w:tc>
          <w:tcPr>
            <w:tcW w:w="1146" w:type="dxa"/>
            <w:tcBorders>
              <w:top w:val="nil"/>
              <w:left w:val="nil"/>
              <w:bottom w:val="nil"/>
              <w:right w:val="single" w:sz="4" w:space="0" w:color="auto"/>
            </w:tcBorders>
            <w:noWrap/>
            <w:vAlign w:val="center"/>
          </w:tcPr>
          <w:p w14:paraId="67A9904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(12.3, 17.0)</w:t>
            </w:r>
          </w:p>
        </w:tc>
        <w:tc>
          <w:tcPr>
            <w:tcW w:w="516" w:type="dxa"/>
            <w:tcBorders>
              <w:top w:val="nil"/>
              <w:left w:val="single" w:sz="4" w:space="0" w:color="auto"/>
              <w:bottom w:val="nil"/>
              <w:right w:val="nil"/>
            </w:tcBorders>
            <w:shd w:val="clear" w:color="auto" w:fill="auto"/>
            <w:noWrap/>
            <w:vAlign w:val="center"/>
          </w:tcPr>
          <w:p w14:paraId="6F1051C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063DE7">
              <w:rPr>
                <w:color w:val="000000"/>
                <w:sz w:val="18"/>
                <w:szCs w:val="18"/>
              </w:rPr>
              <w:t>63</w:t>
            </w:r>
          </w:p>
        </w:tc>
        <w:tc>
          <w:tcPr>
            <w:tcW w:w="567" w:type="dxa"/>
            <w:tcBorders>
              <w:top w:val="nil"/>
              <w:left w:val="nil"/>
              <w:bottom w:val="nil"/>
              <w:right w:val="nil"/>
            </w:tcBorders>
            <w:shd w:val="clear" w:color="auto" w:fill="auto"/>
            <w:noWrap/>
            <w:vAlign w:val="center"/>
          </w:tcPr>
          <w:p w14:paraId="601E074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16.3</w:t>
            </w:r>
          </w:p>
        </w:tc>
        <w:tc>
          <w:tcPr>
            <w:tcW w:w="1146" w:type="dxa"/>
            <w:tcBorders>
              <w:top w:val="nil"/>
              <w:left w:val="nil"/>
              <w:bottom w:val="nil"/>
              <w:right w:val="single" w:sz="4" w:space="0" w:color="000000"/>
            </w:tcBorders>
            <w:shd w:val="clear" w:color="auto" w:fill="auto"/>
            <w:noWrap/>
            <w:vAlign w:val="center"/>
          </w:tcPr>
          <w:p w14:paraId="7B0ADDE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(12.8, 19.8)</w:t>
            </w:r>
          </w:p>
        </w:tc>
        <w:tc>
          <w:tcPr>
            <w:tcW w:w="536" w:type="dxa"/>
            <w:tcBorders>
              <w:top w:val="nil"/>
              <w:left w:val="single" w:sz="4" w:space="0" w:color="000000"/>
              <w:bottom w:val="nil"/>
              <w:right w:val="nil"/>
            </w:tcBorders>
            <w:shd w:val="clear" w:color="auto" w:fill="FFFFFF" w:themeFill="background1"/>
            <w:vAlign w:val="center"/>
          </w:tcPr>
          <w:p w14:paraId="6AEED07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063DE7">
              <w:rPr>
                <w:color w:val="000000"/>
                <w:sz w:val="18"/>
                <w:szCs w:val="18"/>
              </w:rPr>
              <w:t>70</w:t>
            </w:r>
          </w:p>
        </w:tc>
        <w:tc>
          <w:tcPr>
            <w:tcW w:w="567" w:type="dxa"/>
            <w:tcBorders>
              <w:top w:val="nil"/>
              <w:left w:val="nil"/>
              <w:bottom w:val="nil"/>
              <w:right w:val="nil"/>
            </w:tcBorders>
            <w:shd w:val="clear" w:color="auto" w:fill="FFFFFF" w:themeFill="background1"/>
            <w:vAlign w:val="center"/>
          </w:tcPr>
          <w:p w14:paraId="66C022E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21.3</w:t>
            </w:r>
          </w:p>
        </w:tc>
        <w:tc>
          <w:tcPr>
            <w:tcW w:w="1146" w:type="dxa"/>
            <w:tcBorders>
              <w:top w:val="nil"/>
              <w:left w:val="nil"/>
              <w:bottom w:val="nil"/>
              <w:right w:val="single" w:sz="4" w:space="0" w:color="000000"/>
            </w:tcBorders>
            <w:shd w:val="clear" w:color="auto" w:fill="FFFFFF" w:themeFill="background1"/>
            <w:vAlign w:val="center"/>
          </w:tcPr>
          <w:p w14:paraId="740797E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(15.0, 27.6)</w:t>
            </w:r>
          </w:p>
        </w:tc>
        <w:tc>
          <w:tcPr>
            <w:tcW w:w="536" w:type="dxa"/>
            <w:tcBorders>
              <w:top w:val="nil"/>
              <w:left w:val="single" w:sz="4" w:space="0" w:color="000000"/>
              <w:bottom w:val="nil"/>
              <w:right w:val="nil"/>
            </w:tcBorders>
            <w:shd w:val="clear" w:color="auto" w:fill="FFFFFF" w:themeFill="background1"/>
            <w:vAlign w:val="center"/>
          </w:tcPr>
          <w:p w14:paraId="625BB4F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063DE7">
              <w:rPr>
                <w:color w:val="000000"/>
                <w:sz w:val="18"/>
                <w:szCs w:val="18"/>
              </w:rPr>
              <w:t>59</w:t>
            </w:r>
          </w:p>
        </w:tc>
        <w:tc>
          <w:tcPr>
            <w:tcW w:w="576" w:type="dxa"/>
            <w:tcBorders>
              <w:top w:val="nil"/>
              <w:left w:val="nil"/>
              <w:bottom w:val="nil"/>
              <w:right w:val="nil"/>
            </w:tcBorders>
            <w:shd w:val="clear" w:color="auto" w:fill="FFFFFF" w:themeFill="background1"/>
            <w:vAlign w:val="center"/>
          </w:tcPr>
          <w:p w14:paraId="733B24C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20.1</w:t>
            </w:r>
          </w:p>
        </w:tc>
        <w:tc>
          <w:tcPr>
            <w:tcW w:w="1146" w:type="dxa"/>
            <w:tcBorders>
              <w:top w:val="nil"/>
              <w:left w:val="nil"/>
              <w:bottom w:val="nil"/>
              <w:right w:val="nil"/>
            </w:tcBorders>
            <w:shd w:val="clear" w:color="auto" w:fill="FFFFFF" w:themeFill="background1"/>
            <w:vAlign w:val="center"/>
          </w:tcPr>
          <w:p w14:paraId="3EFDC79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(12.6, 27.6)</w:t>
            </w:r>
          </w:p>
        </w:tc>
      </w:tr>
      <w:tr w:rsidR="009118DA" w:rsidRPr="00063DE7" w14:paraId="1DD0DAD4"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0CBC39FC" w14:textId="77777777" w:rsidR="003D7BB5" w:rsidRPr="00063DE7" w:rsidRDefault="003D7BB5" w:rsidP="00DD0F28">
            <w:pPr>
              <w:tabs>
                <w:tab w:val="left" w:pos="176"/>
              </w:tabs>
              <w:spacing w:before="20" w:after="20"/>
              <w:rPr>
                <w:rFonts w:eastAsiaTheme="minorEastAsia"/>
                <w:b w:val="0"/>
                <w:sz w:val="18"/>
                <w:szCs w:val="18"/>
                <w:lang w:eastAsia="en-US"/>
              </w:rPr>
            </w:pPr>
            <w:r w:rsidRPr="00063DE7">
              <w:rPr>
                <w:rFonts w:eastAsiaTheme="minorEastAsia"/>
                <w:b w:val="0"/>
                <w:sz w:val="18"/>
                <w:szCs w:val="18"/>
                <w:lang w:eastAsia="en-US"/>
              </w:rPr>
              <w:tab/>
              <w:t>1</w:t>
            </w:r>
          </w:p>
        </w:tc>
        <w:tc>
          <w:tcPr>
            <w:tcW w:w="567" w:type="dxa"/>
            <w:tcBorders>
              <w:top w:val="nil"/>
              <w:left w:val="nil"/>
              <w:bottom w:val="nil"/>
              <w:right w:val="nil"/>
            </w:tcBorders>
            <w:noWrap/>
            <w:vAlign w:val="center"/>
          </w:tcPr>
          <w:p w14:paraId="2C092F7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113</w:t>
            </w:r>
          </w:p>
        </w:tc>
        <w:tc>
          <w:tcPr>
            <w:tcW w:w="567" w:type="dxa"/>
            <w:tcBorders>
              <w:top w:val="nil"/>
              <w:left w:val="nil"/>
              <w:bottom w:val="nil"/>
              <w:right w:val="nil"/>
            </w:tcBorders>
            <w:noWrap/>
            <w:vAlign w:val="center"/>
          </w:tcPr>
          <w:p w14:paraId="776EEDE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17.4</w:t>
            </w:r>
          </w:p>
        </w:tc>
        <w:tc>
          <w:tcPr>
            <w:tcW w:w="1146" w:type="dxa"/>
            <w:tcBorders>
              <w:top w:val="nil"/>
              <w:left w:val="nil"/>
              <w:bottom w:val="nil"/>
              <w:right w:val="single" w:sz="4" w:space="0" w:color="auto"/>
            </w:tcBorders>
            <w:noWrap/>
            <w:vAlign w:val="center"/>
          </w:tcPr>
          <w:p w14:paraId="75A9928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(15.0, 19.9)</w:t>
            </w:r>
          </w:p>
        </w:tc>
        <w:tc>
          <w:tcPr>
            <w:tcW w:w="516" w:type="dxa"/>
            <w:tcBorders>
              <w:top w:val="nil"/>
              <w:left w:val="single" w:sz="4" w:space="0" w:color="auto"/>
              <w:bottom w:val="nil"/>
              <w:right w:val="nil"/>
            </w:tcBorders>
            <w:shd w:val="clear" w:color="auto" w:fill="auto"/>
            <w:noWrap/>
            <w:vAlign w:val="center"/>
          </w:tcPr>
          <w:p w14:paraId="0568312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68</w:t>
            </w:r>
          </w:p>
        </w:tc>
        <w:tc>
          <w:tcPr>
            <w:tcW w:w="567" w:type="dxa"/>
            <w:tcBorders>
              <w:top w:val="nil"/>
              <w:left w:val="nil"/>
              <w:bottom w:val="nil"/>
              <w:right w:val="nil"/>
            </w:tcBorders>
            <w:shd w:val="clear" w:color="auto" w:fill="auto"/>
            <w:noWrap/>
            <w:vAlign w:val="center"/>
          </w:tcPr>
          <w:p w14:paraId="09313C8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17.6</w:t>
            </w:r>
          </w:p>
        </w:tc>
        <w:tc>
          <w:tcPr>
            <w:tcW w:w="1146" w:type="dxa"/>
            <w:tcBorders>
              <w:top w:val="nil"/>
              <w:left w:val="nil"/>
              <w:bottom w:val="nil"/>
              <w:right w:val="single" w:sz="4" w:space="0" w:color="000000"/>
            </w:tcBorders>
            <w:shd w:val="clear" w:color="auto" w:fill="auto"/>
            <w:noWrap/>
            <w:vAlign w:val="center"/>
          </w:tcPr>
          <w:p w14:paraId="40EB6E0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(14.2, 21.0)</w:t>
            </w:r>
          </w:p>
        </w:tc>
        <w:tc>
          <w:tcPr>
            <w:tcW w:w="536" w:type="dxa"/>
            <w:tcBorders>
              <w:top w:val="nil"/>
              <w:left w:val="single" w:sz="4" w:space="0" w:color="000000"/>
              <w:bottom w:val="nil"/>
              <w:right w:val="nil"/>
            </w:tcBorders>
            <w:shd w:val="clear" w:color="auto" w:fill="FFFFFF" w:themeFill="background1"/>
            <w:vAlign w:val="center"/>
          </w:tcPr>
          <w:p w14:paraId="22E8760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53</w:t>
            </w:r>
          </w:p>
        </w:tc>
        <w:tc>
          <w:tcPr>
            <w:tcW w:w="567" w:type="dxa"/>
            <w:tcBorders>
              <w:top w:val="nil"/>
              <w:left w:val="nil"/>
              <w:bottom w:val="nil"/>
              <w:right w:val="nil"/>
            </w:tcBorders>
            <w:shd w:val="clear" w:color="auto" w:fill="FFFFFF" w:themeFill="background1"/>
            <w:vAlign w:val="center"/>
          </w:tcPr>
          <w:p w14:paraId="4B04DDE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16.2</w:t>
            </w:r>
          </w:p>
        </w:tc>
        <w:tc>
          <w:tcPr>
            <w:tcW w:w="1146" w:type="dxa"/>
            <w:tcBorders>
              <w:top w:val="nil"/>
              <w:left w:val="nil"/>
              <w:bottom w:val="nil"/>
              <w:right w:val="single" w:sz="4" w:space="0" w:color="000000"/>
            </w:tcBorders>
            <w:shd w:val="clear" w:color="auto" w:fill="FFFFFF" w:themeFill="background1"/>
            <w:vAlign w:val="center"/>
          </w:tcPr>
          <w:p w14:paraId="14C2E92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(12.4, 20.1)</w:t>
            </w:r>
          </w:p>
        </w:tc>
        <w:tc>
          <w:tcPr>
            <w:tcW w:w="536" w:type="dxa"/>
            <w:tcBorders>
              <w:top w:val="nil"/>
              <w:left w:val="single" w:sz="4" w:space="0" w:color="000000"/>
              <w:bottom w:val="nil"/>
              <w:right w:val="nil"/>
            </w:tcBorders>
            <w:shd w:val="clear" w:color="auto" w:fill="FFFFFF" w:themeFill="background1"/>
            <w:vAlign w:val="center"/>
          </w:tcPr>
          <w:p w14:paraId="1478248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63</w:t>
            </w:r>
          </w:p>
        </w:tc>
        <w:tc>
          <w:tcPr>
            <w:tcW w:w="576" w:type="dxa"/>
            <w:tcBorders>
              <w:top w:val="nil"/>
              <w:left w:val="nil"/>
              <w:bottom w:val="nil"/>
              <w:right w:val="nil"/>
            </w:tcBorders>
            <w:shd w:val="clear" w:color="auto" w:fill="FFFFFF" w:themeFill="background1"/>
            <w:vAlign w:val="center"/>
          </w:tcPr>
          <w:p w14:paraId="601E76A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21.6</w:t>
            </w:r>
          </w:p>
        </w:tc>
        <w:tc>
          <w:tcPr>
            <w:tcW w:w="1146" w:type="dxa"/>
            <w:tcBorders>
              <w:top w:val="nil"/>
              <w:left w:val="nil"/>
              <w:bottom w:val="nil"/>
              <w:right w:val="nil"/>
            </w:tcBorders>
            <w:shd w:val="clear" w:color="auto" w:fill="FFFFFF" w:themeFill="background1"/>
            <w:vAlign w:val="center"/>
          </w:tcPr>
          <w:p w14:paraId="0BBAF18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(16.4, 26.8)</w:t>
            </w:r>
          </w:p>
        </w:tc>
      </w:tr>
      <w:tr w:rsidR="009118DA" w:rsidRPr="00063DE7" w14:paraId="79E01A25"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7067CA7C" w14:textId="77777777" w:rsidR="003D7BB5" w:rsidRPr="00063DE7" w:rsidRDefault="003D7BB5" w:rsidP="00DD0F28">
            <w:pPr>
              <w:tabs>
                <w:tab w:val="left" w:pos="176"/>
              </w:tabs>
              <w:spacing w:before="20" w:after="20"/>
              <w:rPr>
                <w:rFonts w:eastAsiaTheme="minorEastAsia"/>
                <w:b w:val="0"/>
                <w:sz w:val="18"/>
                <w:szCs w:val="18"/>
                <w:lang w:eastAsia="en-US"/>
              </w:rPr>
            </w:pPr>
            <w:r w:rsidRPr="00063DE7">
              <w:rPr>
                <w:rFonts w:eastAsiaTheme="minorEastAsia"/>
                <w:b w:val="0"/>
                <w:sz w:val="18"/>
                <w:szCs w:val="18"/>
                <w:lang w:eastAsia="en-US"/>
              </w:rPr>
              <w:tab/>
              <w:t>2</w:t>
            </w:r>
          </w:p>
        </w:tc>
        <w:tc>
          <w:tcPr>
            <w:tcW w:w="567" w:type="dxa"/>
            <w:tcBorders>
              <w:top w:val="nil"/>
              <w:left w:val="nil"/>
              <w:bottom w:val="nil"/>
              <w:right w:val="nil"/>
            </w:tcBorders>
            <w:noWrap/>
            <w:vAlign w:val="center"/>
          </w:tcPr>
          <w:p w14:paraId="58CFDE3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142</w:t>
            </w:r>
          </w:p>
        </w:tc>
        <w:tc>
          <w:tcPr>
            <w:tcW w:w="567" w:type="dxa"/>
            <w:tcBorders>
              <w:top w:val="nil"/>
              <w:left w:val="nil"/>
              <w:bottom w:val="nil"/>
              <w:right w:val="nil"/>
            </w:tcBorders>
            <w:noWrap/>
            <w:vAlign w:val="center"/>
          </w:tcPr>
          <w:p w14:paraId="398D0F3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21.9</w:t>
            </w:r>
          </w:p>
        </w:tc>
        <w:tc>
          <w:tcPr>
            <w:tcW w:w="1146" w:type="dxa"/>
            <w:tcBorders>
              <w:top w:val="nil"/>
              <w:left w:val="nil"/>
              <w:bottom w:val="nil"/>
              <w:right w:val="single" w:sz="4" w:space="0" w:color="auto"/>
            </w:tcBorders>
            <w:noWrap/>
            <w:vAlign w:val="center"/>
          </w:tcPr>
          <w:p w14:paraId="738CA68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(19.2, 24.5)</w:t>
            </w:r>
          </w:p>
        </w:tc>
        <w:tc>
          <w:tcPr>
            <w:tcW w:w="516" w:type="dxa"/>
            <w:tcBorders>
              <w:top w:val="nil"/>
              <w:left w:val="single" w:sz="4" w:space="0" w:color="auto"/>
              <w:bottom w:val="nil"/>
              <w:right w:val="nil"/>
            </w:tcBorders>
            <w:shd w:val="clear" w:color="auto" w:fill="auto"/>
            <w:noWrap/>
            <w:vAlign w:val="center"/>
          </w:tcPr>
          <w:p w14:paraId="75DCD60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88</w:t>
            </w:r>
          </w:p>
        </w:tc>
        <w:tc>
          <w:tcPr>
            <w:tcW w:w="567" w:type="dxa"/>
            <w:tcBorders>
              <w:top w:val="nil"/>
              <w:left w:val="nil"/>
              <w:bottom w:val="nil"/>
              <w:right w:val="nil"/>
            </w:tcBorders>
            <w:shd w:val="clear" w:color="auto" w:fill="auto"/>
            <w:noWrap/>
            <w:vAlign w:val="center"/>
          </w:tcPr>
          <w:p w14:paraId="340B3CF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22.6</w:t>
            </w:r>
          </w:p>
        </w:tc>
        <w:tc>
          <w:tcPr>
            <w:tcW w:w="1146" w:type="dxa"/>
            <w:tcBorders>
              <w:top w:val="nil"/>
              <w:left w:val="nil"/>
              <w:bottom w:val="nil"/>
              <w:right w:val="single" w:sz="4" w:space="0" w:color="000000"/>
            </w:tcBorders>
            <w:shd w:val="clear" w:color="auto" w:fill="auto"/>
            <w:noWrap/>
            <w:vAlign w:val="center"/>
          </w:tcPr>
          <w:p w14:paraId="2E2F47D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(18.6, 26.7)</w:t>
            </w:r>
          </w:p>
        </w:tc>
        <w:tc>
          <w:tcPr>
            <w:tcW w:w="536" w:type="dxa"/>
            <w:tcBorders>
              <w:top w:val="nil"/>
              <w:left w:val="single" w:sz="4" w:space="0" w:color="000000"/>
              <w:bottom w:val="nil"/>
              <w:right w:val="nil"/>
            </w:tcBorders>
            <w:shd w:val="clear" w:color="auto" w:fill="FFFFFF" w:themeFill="background1"/>
            <w:vAlign w:val="center"/>
          </w:tcPr>
          <w:p w14:paraId="66E3069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69</w:t>
            </w:r>
          </w:p>
        </w:tc>
        <w:tc>
          <w:tcPr>
            <w:tcW w:w="567" w:type="dxa"/>
            <w:tcBorders>
              <w:top w:val="nil"/>
              <w:left w:val="nil"/>
              <w:bottom w:val="nil"/>
              <w:right w:val="nil"/>
            </w:tcBorders>
            <w:shd w:val="clear" w:color="auto" w:fill="FFFFFF" w:themeFill="background1"/>
            <w:vAlign w:val="center"/>
          </w:tcPr>
          <w:p w14:paraId="2E80139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21.3</w:t>
            </w:r>
          </w:p>
        </w:tc>
        <w:tc>
          <w:tcPr>
            <w:tcW w:w="1146" w:type="dxa"/>
            <w:tcBorders>
              <w:top w:val="nil"/>
              <w:left w:val="nil"/>
              <w:bottom w:val="nil"/>
              <w:right w:val="single" w:sz="4" w:space="0" w:color="000000"/>
            </w:tcBorders>
            <w:shd w:val="clear" w:color="auto" w:fill="FFFFFF" w:themeFill="background1"/>
            <w:vAlign w:val="center"/>
          </w:tcPr>
          <w:p w14:paraId="027C47B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(17.2, 25.3)</w:t>
            </w:r>
          </w:p>
        </w:tc>
        <w:tc>
          <w:tcPr>
            <w:tcW w:w="536" w:type="dxa"/>
            <w:tcBorders>
              <w:top w:val="nil"/>
              <w:left w:val="single" w:sz="4" w:space="0" w:color="000000"/>
              <w:bottom w:val="nil"/>
              <w:right w:val="nil"/>
            </w:tcBorders>
            <w:shd w:val="clear" w:color="auto" w:fill="FFFFFF" w:themeFill="background1"/>
            <w:vAlign w:val="center"/>
          </w:tcPr>
          <w:p w14:paraId="74D7483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49</w:t>
            </w:r>
          </w:p>
        </w:tc>
        <w:tc>
          <w:tcPr>
            <w:tcW w:w="576" w:type="dxa"/>
            <w:tcBorders>
              <w:top w:val="nil"/>
              <w:left w:val="nil"/>
              <w:bottom w:val="nil"/>
              <w:right w:val="nil"/>
            </w:tcBorders>
            <w:shd w:val="clear" w:color="auto" w:fill="FFFFFF" w:themeFill="background1"/>
            <w:vAlign w:val="center"/>
          </w:tcPr>
          <w:p w14:paraId="01FA239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16.8</w:t>
            </w:r>
          </w:p>
        </w:tc>
        <w:tc>
          <w:tcPr>
            <w:tcW w:w="1146" w:type="dxa"/>
            <w:tcBorders>
              <w:top w:val="nil"/>
              <w:left w:val="nil"/>
              <w:bottom w:val="nil"/>
              <w:right w:val="nil"/>
            </w:tcBorders>
            <w:shd w:val="clear" w:color="auto" w:fill="FFFFFF" w:themeFill="background1"/>
            <w:vAlign w:val="center"/>
          </w:tcPr>
          <w:p w14:paraId="743394C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(12.8, 20.8)</w:t>
            </w:r>
          </w:p>
        </w:tc>
      </w:tr>
      <w:tr w:rsidR="003D7BB5" w:rsidRPr="00063DE7" w14:paraId="53D8272E"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2557EBAA" w14:textId="77777777" w:rsidR="003D7BB5" w:rsidRPr="00063DE7" w:rsidRDefault="003D7BB5" w:rsidP="00DD0F28">
            <w:pPr>
              <w:tabs>
                <w:tab w:val="left" w:pos="176"/>
              </w:tabs>
              <w:spacing w:before="20" w:after="20"/>
              <w:rPr>
                <w:rFonts w:eastAsiaTheme="minorEastAsia"/>
                <w:b w:val="0"/>
                <w:sz w:val="18"/>
                <w:szCs w:val="18"/>
                <w:lang w:eastAsia="en-US"/>
              </w:rPr>
            </w:pPr>
            <w:r w:rsidRPr="00063DE7">
              <w:rPr>
                <w:rFonts w:eastAsiaTheme="minorEastAsia"/>
                <w:b w:val="0"/>
                <w:sz w:val="18"/>
                <w:szCs w:val="18"/>
                <w:lang w:eastAsia="en-US"/>
              </w:rPr>
              <w:tab/>
              <w:t>3</w:t>
            </w:r>
          </w:p>
        </w:tc>
        <w:tc>
          <w:tcPr>
            <w:tcW w:w="567" w:type="dxa"/>
            <w:tcBorders>
              <w:top w:val="nil"/>
              <w:left w:val="nil"/>
              <w:bottom w:val="nil"/>
              <w:right w:val="nil"/>
            </w:tcBorders>
            <w:noWrap/>
            <w:vAlign w:val="center"/>
          </w:tcPr>
          <w:p w14:paraId="38F893B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97</w:t>
            </w:r>
          </w:p>
        </w:tc>
        <w:tc>
          <w:tcPr>
            <w:tcW w:w="567" w:type="dxa"/>
            <w:tcBorders>
              <w:top w:val="nil"/>
              <w:left w:val="nil"/>
              <w:bottom w:val="nil"/>
              <w:right w:val="nil"/>
            </w:tcBorders>
            <w:noWrap/>
            <w:vAlign w:val="center"/>
          </w:tcPr>
          <w:p w14:paraId="33481E8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14.9</w:t>
            </w:r>
          </w:p>
        </w:tc>
        <w:tc>
          <w:tcPr>
            <w:tcW w:w="1146" w:type="dxa"/>
            <w:tcBorders>
              <w:top w:val="nil"/>
              <w:left w:val="nil"/>
              <w:bottom w:val="nil"/>
              <w:right w:val="single" w:sz="4" w:space="0" w:color="auto"/>
            </w:tcBorders>
            <w:noWrap/>
            <w:vAlign w:val="center"/>
          </w:tcPr>
          <w:p w14:paraId="70C8510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(12.6, 17.1)</w:t>
            </w:r>
          </w:p>
        </w:tc>
        <w:tc>
          <w:tcPr>
            <w:tcW w:w="516" w:type="dxa"/>
            <w:tcBorders>
              <w:top w:val="nil"/>
              <w:left w:val="single" w:sz="4" w:space="0" w:color="auto"/>
              <w:bottom w:val="nil"/>
              <w:right w:val="nil"/>
            </w:tcBorders>
            <w:shd w:val="clear" w:color="auto" w:fill="auto"/>
            <w:noWrap/>
            <w:vAlign w:val="center"/>
          </w:tcPr>
          <w:p w14:paraId="4FDA2D0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70</w:t>
            </w:r>
          </w:p>
        </w:tc>
        <w:tc>
          <w:tcPr>
            <w:tcW w:w="567" w:type="dxa"/>
            <w:tcBorders>
              <w:top w:val="nil"/>
              <w:left w:val="nil"/>
              <w:bottom w:val="nil"/>
              <w:right w:val="nil"/>
            </w:tcBorders>
            <w:shd w:val="clear" w:color="auto" w:fill="auto"/>
            <w:noWrap/>
            <w:vAlign w:val="center"/>
          </w:tcPr>
          <w:p w14:paraId="7FFF109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18.2</w:t>
            </w:r>
          </w:p>
        </w:tc>
        <w:tc>
          <w:tcPr>
            <w:tcW w:w="1146" w:type="dxa"/>
            <w:tcBorders>
              <w:top w:val="nil"/>
              <w:left w:val="nil"/>
              <w:bottom w:val="nil"/>
              <w:right w:val="single" w:sz="4" w:space="0" w:color="000000"/>
            </w:tcBorders>
            <w:shd w:val="clear" w:color="auto" w:fill="auto"/>
            <w:noWrap/>
            <w:vAlign w:val="center"/>
          </w:tcPr>
          <w:p w14:paraId="772BFB3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(14.9, 21.4)</w:t>
            </w:r>
          </w:p>
        </w:tc>
        <w:tc>
          <w:tcPr>
            <w:tcW w:w="536" w:type="dxa"/>
            <w:tcBorders>
              <w:top w:val="nil"/>
              <w:left w:val="single" w:sz="4" w:space="0" w:color="000000"/>
              <w:bottom w:val="nil"/>
              <w:right w:val="nil"/>
            </w:tcBorders>
            <w:vAlign w:val="center"/>
          </w:tcPr>
          <w:p w14:paraId="6D5089B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61</w:t>
            </w:r>
          </w:p>
        </w:tc>
        <w:tc>
          <w:tcPr>
            <w:tcW w:w="567" w:type="dxa"/>
            <w:tcBorders>
              <w:top w:val="nil"/>
              <w:left w:val="nil"/>
              <w:bottom w:val="nil"/>
              <w:right w:val="nil"/>
            </w:tcBorders>
            <w:vAlign w:val="center"/>
          </w:tcPr>
          <w:p w14:paraId="45BF7E7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18.6</w:t>
            </w:r>
          </w:p>
        </w:tc>
        <w:tc>
          <w:tcPr>
            <w:tcW w:w="1146" w:type="dxa"/>
            <w:tcBorders>
              <w:top w:val="nil"/>
              <w:left w:val="nil"/>
              <w:bottom w:val="nil"/>
              <w:right w:val="single" w:sz="4" w:space="0" w:color="000000"/>
            </w:tcBorders>
            <w:vAlign w:val="center"/>
          </w:tcPr>
          <w:p w14:paraId="5E630DA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(14.7, 22.5)</w:t>
            </w:r>
          </w:p>
        </w:tc>
        <w:tc>
          <w:tcPr>
            <w:tcW w:w="536" w:type="dxa"/>
            <w:tcBorders>
              <w:top w:val="nil"/>
              <w:left w:val="single" w:sz="4" w:space="0" w:color="000000"/>
              <w:bottom w:val="nil"/>
              <w:right w:val="nil"/>
            </w:tcBorders>
            <w:vAlign w:val="center"/>
          </w:tcPr>
          <w:p w14:paraId="191037A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54</w:t>
            </w:r>
          </w:p>
        </w:tc>
        <w:tc>
          <w:tcPr>
            <w:tcW w:w="576" w:type="dxa"/>
            <w:tcBorders>
              <w:top w:val="nil"/>
              <w:left w:val="nil"/>
              <w:bottom w:val="nil"/>
              <w:right w:val="nil"/>
            </w:tcBorders>
            <w:vAlign w:val="center"/>
          </w:tcPr>
          <w:p w14:paraId="1E34F0E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18.5</w:t>
            </w:r>
          </w:p>
        </w:tc>
        <w:tc>
          <w:tcPr>
            <w:tcW w:w="1146" w:type="dxa"/>
            <w:tcBorders>
              <w:top w:val="nil"/>
              <w:left w:val="nil"/>
              <w:bottom w:val="nil"/>
              <w:right w:val="nil"/>
            </w:tcBorders>
            <w:vAlign w:val="center"/>
          </w:tcPr>
          <w:p w14:paraId="700A3D2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(14.3, 22.8)</w:t>
            </w:r>
          </w:p>
        </w:tc>
      </w:tr>
      <w:tr w:rsidR="003D7BB5" w:rsidRPr="00063DE7" w14:paraId="3B5CA3C4"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2663E3DB" w14:textId="77777777" w:rsidR="003D7BB5" w:rsidRPr="00063DE7" w:rsidRDefault="003D7BB5" w:rsidP="00DD0F28">
            <w:pPr>
              <w:tabs>
                <w:tab w:val="left" w:pos="176"/>
              </w:tabs>
              <w:spacing w:before="20" w:after="20"/>
              <w:rPr>
                <w:rFonts w:eastAsiaTheme="minorEastAsia"/>
                <w:b w:val="0"/>
                <w:sz w:val="18"/>
                <w:szCs w:val="18"/>
                <w:lang w:eastAsia="en-US"/>
              </w:rPr>
            </w:pPr>
            <w:r w:rsidRPr="00063DE7">
              <w:rPr>
                <w:rFonts w:eastAsiaTheme="minorEastAsia"/>
                <w:b w:val="0"/>
                <w:sz w:val="18"/>
                <w:szCs w:val="18"/>
                <w:lang w:eastAsia="en-US"/>
              </w:rPr>
              <w:tab/>
              <w:t>4 - 6</w:t>
            </w:r>
          </w:p>
        </w:tc>
        <w:tc>
          <w:tcPr>
            <w:tcW w:w="567" w:type="dxa"/>
            <w:tcBorders>
              <w:top w:val="nil"/>
              <w:left w:val="nil"/>
              <w:bottom w:val="nil"/>
              <w:right w:val="nil"/>
            </w:tcBorders>
            <w:noWrap/>
            <w:vAlign w:val="center"/>
          </w:tcPr>
          <w:p w14:paraId="612921B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156</w:t>
            </w:r>
          </w:p>
        </w:tc>
        <w:tc>
          <w:tcPr>
            <w:tcW w:w="567" w:type="dxa"/>
            <w:tcBorders>
              <w:top w:val="nil"/>
              <w:left w:val="nil"/>
              <w:bottom w:val="nil"/>
              <w:right w:val="nil"/>
            </w:tcBorders>
            <w:noWrap/>
            <w:vAlign w:val="center"/>
          </w:tcPr>
          <w:p w14:paraId="01FF95E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23.9</w:t>
            </w:r>
          </w:p>
        </w:tc>
        <w:tc>
          <w:tcPr>
            <w:tcW w:w="1146" w:type="dxa"/>
            <w:tcBorders>
              <w:top w:val="nil"/>
              <w:left w:val="nil"/>
              <w:bottom w:val="nil"/>
              <w:right w:val="single" w:sz="4" w:space="0" w:color="auto"/>
            </w:tcBorders>
            <w:noWrap/>
            <w:vAlign w:val="center"/>
          </w:tcPr>
          <w:p w14:paraId="452623F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(21.1, 26.7)</w:t>
            </w:r>
          </w:p>
        </w:tc>
        <w:tc>
          <w:tcPr>
            <w:tcW w:w="516" w:type="dxa"/>
            <w:tcBorders>
              <w:top w:val="nil"/>
              <w:left w:val="single" w:sz="4" w:space="0" w:color="auto"/>
              <w:bottom w:val="nil"/>
              <w:right w:val="nil"/>
            </w:tcBorders>
            <w:shd w:val="clear" w:color="auto" w:fill="auto"/>
            <w:noWrap/>
            <w:vAlign w:val="center"/>
          </w:tcPr>
          <w:p w14:paraId="633DC5C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80</w:t>
            </w:r>
          </w:p>
        </w:tc>
        <w:tc>
          <w:tcPr>
            <w:tcW w:w="567" w:type="dxa"/>
            <w:tcBorders>
              <w:top w:val="nil"/>
              <w:left w:val="nil"/>
              <w:bottom w:val="nil"/>
              <w:right w:val="nil"/>
            </w:tcBorders>
            <w:shd w:val="clear" w:color="auto" w:fill="auto"/>
            <w:noWrap/>
            <w:vAlign w:val="center"/>
          </w:tcPr>
          <w:p w14:paraId="53D8F2A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20.8</w:t>
            </w:r>
          </w:p>
        </w:tc>
        <w:tc>
          <w:tcPr>
            <w:tcW w:w="1146" w:type="dxa"/>
            <w:tcBorders>
              <w:top w:val="nil"/>
              <w:left w:val="nil"/>
              <w:bottom w:val="nil"/>
              <w:right w:val="single" w:sz="4" w:space="0" w:color="000000"/>
            </w:tcBorders>
            <w:shd w:val="clear" w:color="auto" w:fill="auto"/>
            <w:noWrap/>
            <w:vAlign w:val="center"/>
          </w:tcPr>
          <w:p w14:paraId="44E1D39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(17.2, 24.3)</w:t>
            </w:r>
          </w:p>
        </w:tc>
        <w:tc>
          <w:tcPr>
            <w:tcW w:w="536" w:type="dxa"/>
            <w:tcBorders>
              <w:top w:val="nil"/>
              <w:left w:val="single" w:sz="4" w:space="0" w:color="000000"/>
              <w:bottom w:val="nil"/>
              <w:right w:val="nil"/>
            </w:tcBorders>
            <w:vAlign w:val="center"/>
          </w:tcPr>
          <w:p w14:paraId="267E7F4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63</w:t>
            </w:r>
          </w:p>
        </w:tc>
        <w:tc>
          <w:tcPr>
            <w:tcW w:w="567" w:type="dxa"/>
            <w:tcBorders>
              <w:top w:val="nil"/>
              <w:left w:val="nil"/>
              <w:bottom w:val="nil"/>
              <w:right w:val="nil"/>
            </w:tcBorders>
            <w:vAlign w:val="center"/>
          </w:tcPr>
          <w:p w14:paraId="5DE493B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19.4</w:t>
            </w:r>
          </w:p>
        </w:tc>
        <w:tc>
          <w:tcPr>
            <w:tcW w:w="1146" w:type="dxa"/>
            <w:tcBorders>
              <w:top w:val="nil"/>
              <w:left w:val="nil"/>
              <w:bottom w:val="nil"/>
              <w:right w:val="single" w:sz="4" w:space="0" w:color="000000"/>
            </w:tcBorders>
            <w:vAlign w:val="center"/>
          </w:tcPr>
          <w:p w14:paraId="2503A8A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(14.7, 24.1)</w:t>
            </w:r>
          </w:p>
        </w:tc>
        <w:tc>
          <w:tcPr>
            <w:tcW w:w="536" w:type="dxa"/>
            <w:tcBorders>
              <w:top w:val="nil"/>
              <w:left w:val="single" w:sz="4" w:space="0" w:color="000000"/>
              <w:bottom w:val="nil"/>
              <w:right w:val="nil"/>
            </w:tcBorders>
            <w:vAlign w:val="center"/>
          </w:tcPr>
          <w:p w14:paraId="186ABC7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56</w:t>
            </w:r>
          </w:p>
        </w:tc>
        <w:tc>
          <w:tcPr>
            <w:tcW w:w="576" w:type="dxa"/>
            <w:tcBorders>
              <w:top w:val="nil"/>
              <w:left w:val="nil"/>
              <w:bottom w:val="nil"/>
              <w:right w:val="nil"/>
            </w:tcBorders>
            <w:vAlign w:val="center"/>
          </w:tcPr>
          <w:p w14:paraId="51CD870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19.0</w:t>
            </w:r>
          </w:p>
        </w:tc>
        <w:tc>
          <w:tcPr>
            <w:tcW w:w="1146" w:type="dxa"/>
            <w:tcBorders>
              <w:top w:val="nil"/>
              <w:left w:val="nil"/>
              <w:bottom w:val="nil"/>
              <w:right w:val="nil"/>
            </w:tcBorders>
            <w:vAlign w:val="center"/>
          </w:tcPr>
          <w:p w14:paraId="54C241A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(13.5, 24.5)</w:t>
            </w:r>
          </w:p>
        </w:tc>
      </w:tr>
      <w:tr w:rsidR="003D7BB5" w:rsidRPr="00063DE7" w14:paraId="677A8DD1"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6C036DB8" w14:textId="77777777" w:rsidR="003D7BB5" w:rsidRPr="00063DE7" w:rsidRDefault="003D7BB5" w:rsidP="00DD0F28">
            <w:pPr>
              <w:tabs>
                <w:tab w:val="left" w:pos="176"/>
              </w:tabs>
              <w:spacing w:before="20" w:after="20"/>
              <w:rPr>
                <w:rFonts w:eastAsiaTheme="minorEastAsia"/>
                <w:b w:val="0"/>
                <w:sz w:val="18"/>
                <w:szCs w:val="18"/>
                <w:lang w:eastAsia="en-US"/>
              </w:rPr>
            </w:pPr>
            <w:r w:rsidRPr="00063DE7">
              <w:rPr>
                <w:rFonts w:eastAsiaTheme="minorEastAsia"/>
                <w:b w:val="0"/>
                <w:sz w:val="18"/>
                <w:szCs w:val="18"/>
                <w:lang w:eastAsia="en-US"/>
              </w:rPr>
              <w:tab/>
              <w:t>7 - 9</w:t>
            </w:r>
          </w:p>
        </w:tc>
        <w:tc>
          <w:tcPr>
            <w:tcW w:w="567" w:type="dxa"/>
            <w:tcBorders>
              <w:top w:val="nil"/>
              <w:left w:val="nil"/>
              <w:bottom w:val="nil"/>
              <w:right w:val="nil"/>
            </w:tcBorders>
            <w:noWrap/>
            <w:vAlign w:val="center"/>
          </w:tcPr>
          <w:p w14:paraId="5A950BA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40</w:t>
            </w:r>
          </w:p>
        </w:tc>
        <w:tc>
          <w:tcPr>
            <w:tcW w:w="567" w:type="dxa"/>
            <w:tcBorders>
              <w:top w:val="nil"/>
              <w:left w:val="nil"/>
              <w:bottom w:val="nil"/>
              <w:right w:val="nil"/>
            </w:tcBorders>
            <w:noWrap/>
            <w:vAlign w:val="center"/>
          </w:tcPr>
          <w:p w14:paraId="22EDD1F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6.1</w:t>
            </w:r>
          </w:p>
        </w:tc>
        <w:tc>
          <w:tcPr>
            <w:tcW w:w="1146" w:type="dxa"/>
            <w:tcBorders>
              <w:top w:val="nil"/>
              <w:left w:val="nil"/>
              <w:bottom w:val="nil"/>
              <w:right w:val="single" w:sz="4" w:space="0" w:color="auto"/>
            </w:tcBorders>
            <w:noWrap/>
            <w:vAlign w:val="center"/>
          </w:tcPr>
          <w:p w14:paraId="189D2D6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(4.5, 7.6)</w:t>
            </w:r>
          </w:p>
        </w:tc>
        <w:tc>
          <w:tcPr>
            <w:tcW w:w="516" w:type="dxa"/>
            <w:tcBorders>
              <w:top w:val="nil"/>
              <w:left w:val="single" w:sz="4" w:space="0" w:color="auto"/>
              <w:bottom w:val="nil"/>
              <w:right w:val="nil"/>
            </w:tcBorders>
            <w:noWrap/>
            <w:vAlign w:val="center"/>
          </w:tcPr>
          <w:p w14:paraId="60E38A2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17</w:t>
            </w:r>
          </w:p>
        </w:tc>
        <w:tc>
          <w:tcPr>
            <w:tcW w:w="567" w:type="dxa"/>
            <w:tcBorders>
              <w:top w:val="nil"/>
              <w:left w:val="nil"/>
              <w:bottom w:val="nil"/>
              <w:right w:val="nil"/>
            </w:tcBorders>
            <w:noWrap/>
            <w:vAlign w:val="center"/>
          </w:tcPr>
          <w:p w14:paraId="1436F94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4.5</w:t>
            </w:r>
          </w:p>
        </w:tc>
        <w:tc>
          <w:tcPr>
            <w:tcW w:w="1146" w:type="dxa"/>
            <w:tcBorders>
              <w:top w:val="nil"/>
              <w:left w:val="nil"/>
              <w:bottom w:val="nil"/>
              <w:right w:val="single" w:sz="4" w:space="0" w:color="000000"/>
            </w:tcBorders>
            <w:shd w:val="clear" w:color="auto" w:fill="FFFFFF" w:themeFill="background1"/>
            <w:noWrap/>
            <w:vAlign w:val="center"/>
          </w:tcPr>
          <w:p w14:paraId="1C067BE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(2.5, 6.5)</w:t>
            </w:r>
          </w:p>
        </w:tc>
        <w:tc>
          <w:tcPr>
            <w:tcW w:w="536" w:type="dxa"/>
            <w:tcBorders>
              <w:top w:val="nil"/>
              <w:left w:val="single" w:sz="4" w:space="0" w:color="000000"/>
              <w:bottom w:val="nil"/>
              <w:right w:val="nil"/>
            </w:tcBorders>
            <w:vAlign w:val="center"/>
          </w:tcPr>
          <w:p w14:paraId="3FCC159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8</w:t>
            </w:r>
          </w:p>
        </w:tc>
        <w:tc>
          <w:tcPr>
            <w:tcW w:w="567" w:type="dxa"/>
            <w:tcBorders>
              <w:top w:val="nil"/>
              <w:left w:val="nil"/>
              <w:bottom w:val="nil"/>
              <w:right w:val="nil"/>
            </w:tcBorders>
            <w:vAlign w:val="center"/>
          </w:tcPr>
          <w:p w14:paraId="13656FC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2.5</w:t>
            </w:r>
          </w:p>
        </w:tc>
        <w:tc>
          <w:tcPr>
            <w:tcW w:w="1146" w:type="dxa"/>
            <w:tcBorders>
              <w:top w:val="nil"/>
              <w:left w:val="nil"/>
              <w:bottom w:val="nil"/>
              <w:right w:val="single" w:sz="4" w:space="0" w:color="000000"/>
            </w:tcBorders>
            <w:vAlign w:val="center"/>
          </w:tcPr>
          <w:p w14:paraId="357D7C3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(1.1, 4.0)</w:t>
            </w:r>
          </w:p>
        </w:tc>
        <w:tc>
          <w:tcPr>
            <w:tcW w:w="536" w:type="dxa"/>
            <w:tcBorders>
              <w:top w:val="nil"/>
              <w:left w:val="single" w:sz="4" w:space="0" w:color="000000"/>
              <w:bottom w:val="nil"/>
              <w:right w:val="nil"/>
            </w:tcBorders>
            <w:vAlign w:val="center"/>
          </w:tcPr>
          <w:p w14:paraId="2A13CEF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9</w:t>
            </w:r>
          </w:p>
        </w:tc>
        <w:tc>
          <w:tcPr>
            <w:tcW w:w="576" w:type="dxa"/>
            <w:tcBorders>
              <w:top w:val="nil"/>
              <w:left w:val="nil"/>
              <w:bottom w:val="nil"/>
              <w:right w:val="nil"/>
            </w:tcBorders>
            <w:vAlign w:val="center"/>
          </w:tcPr>
          <w:p w14:paraId="54F7599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3.0</w:t>
            </w:r>
          </w:p>
        </w:tc>
        <w:tc>
          <w:tcPr>
            <w:tcW w:w="1146" w:type="dxa"/>
            <w:tcBorders>
              <w:top w:val="nil"/>
              <w:left w:val="nil"/>
              <w:bottom w:val="nil"/>
              <w:right w:val="nil"/>
            </w:tcBorders>
            <w:vAlign w:val="center"/>
          </w:tcPr>
          <w:p w14:paraId="3034750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(1.2, 4.9)</w:t>
            </w:r>
          </w:p>
        </w:tc>
      </w:tr>
      <w:tr w:rsidR="009118DA" w:rsidRPr="00063DE7" w14:paraId="0886CEAA"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639F89ED" w14:textId="77777777" w:rsidR="003D7BB5" w:rsidRPr="00063DE7" w:rsidRDefault="003D7BB5" w:rsidP="00DD0F28">
            <w:pPr>
              <w:tabs>
                <w:tab w:val="left" w:pos="176"/>
              </w:tabs>
              <w:spacing w:before="20" w:after="40"/>
              <w:rPr>
                <w:rFonts w:eastAsiaTheme="minorEastAsia"/>
                <w:b w:val="0"/>
                <w:sz w:val="18"/>
                <w:szCs w:val="18"/>
                <w:lang w:eastAsia="en-US"/>
              </w:rPr>
            </w:pPr>
            <w:r w:rsidRPr="00063DE7">
              <w:rPr>
                <w:rFonts w:eastAsiaTheme="minorEastAsia"/>
                <w:b w:val="0"/>
                <w:sz w:val="18"/>
                <w:szCs w:val="18"/>
                <w:lang w:eastAsia="en-US"/>
              </w:rPr>
              <w:tab/>
              <w:t>10+</w:t>
            </w:r>
          </w:p>
        </w:tc>
        <w:tc>
          <w:tcPr>
            <w:tcW w:w="567" w:type="dxa"/>
            <w:tcBorders>
              <w:top w:val="nil"/>
              <w:left w:val="nil"/>
              <w:bottom w:val="nil"/>
              <w:right w:val="nil"/>
            </w:tcBorders>
            <w:noWrap/>
            <w:vAlign w:val="center"/>
          </w:tcPr>
          <w:p w14:paraId="7A7B44B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8</w:t>
            </w:r>
          </w:p>
        </w:tc>
        <w:tc>
          <w:tcPr>
            <w:tcW w:w="567" w:type="dxa"/>
            <w:tcBorders>
              <w:top w:val="nil"/>
              <w:left w:val="nil"/>
              <w:bottom w:val="nil"/>
              <w:right w:val="nil"/>
            </w:tcBorders>
            <w:noWrap/>
            <w:vAlign w:val="center"/>
          </w:tcPr>
          <w:p w14:paraId="6608888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1.3</w:t>
            </w:r>
          </w:p>
        </w:tc>
        <w:tc>
          <w:tcPr>
            <w:tcW w:w="1146" w:type="dxa"/>
            <w:tcBorders>
              <w:top w:val="nil"/>
              <w:left w:val="nil"/>
              <w:bottom w:val="nil"/>
              <w:right w:val="single" w:sz="4" w:space="0" w:color="auto"/>
            </w:tcBorders>
            <w:noWrap/>
            <w:vAlign w:val="center"/>
          </w:tcPr>
          <w:p w14:paraId="706AB81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(0.5, 2.0)</w:t>
            </w:r>
          </w:p>
        </w:tc>
        <w:tc>
          <w:tcPr>
            <w:tcW w:w="516" w:type="dxa"/>
            <w:tcBorders>
              <w:top w:val="nil"/>
              <w:left w:val="single" w:sz="4" w:space="0" w:color="auto"/>
              <w:bottom w:val="nil"/>
              <w:right w:val="nil"/>
            </w:tcBorders>
            <w:noWrap/>
            <w:vAlign w:val="center"/>
          </w:tcPr>
          <w:p w14:paraId="4924959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w:t>
            </w:r>
          </w:p>
        </w:tc>
        <w:tc>
          <w:tcPr>
            <w:tcW w:w="567" w:type="dxa"/>
            <w:tcBorders>
              <w:top w:val="nil"/>
              <w:left w:val="nil"/>
              <w:bottom w:val="nil"/>
              <w:right w:val="nil"/>
            </w:tcBorders>
            <w:noWrap/>
            <w:vAlign w:val="center"/>
          </w:tcPr>
          <w:p w14:paraId="1B8C39F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0.1</w:t>
            </w:r>
          </w:p>
        </w:tc>
        <w:tc>
          <w:tcPr>
            <w:tcW w:w="1146" w:type="dxa"/>
            <w:tcBorders>
              <w:top w:val="nil"/>
              <w:left w:val="nil"/>
              <w:bottom w:val="nil"/>
              <w:right w:val="single" w:sz="4" w:space="0" w:color="000000"/>
            </w:tcBorders>
            <w:shd w:val="clear" w:color="auto" w:fill="FFFFFF" w:themeFill="background1"/>
            <w:noWrap/>
            <w:vAlign w:val="center"/>
          </w:tcPr>
          <w:p w14:paraId="6D97BC3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FFFFFF" w:themeFill="background1"/>
            <w:vAlign w:val="center"/>
          </w:tcPr>
          <w:p w14:paraId="711BCEB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w:t>
            </w:r>
          </w:p>
        </w:tc>
        <w:tc>
          <w:tcPr>
            <w:tcW w:w="567" w:type="dxa"/>
            <w:tcBorders>
              <w:top w:val="nil"/>
              <w:left w:val="nil"/>
              <w:bottom w:val="nil"/>
              <w:right w:val="nil"/>
            </w:tcBorders>
            <w:shd w:val="clear" w:color="auto" w:fill="FFFFFF" w:themeFill="background1"/>
            <w:vAlign w:val="center"/>
          </w:tcPr>
          <w:p w14:paraId="52D6026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0.7</w:t>
            </w:r>
          </w:p>
        </w:tc>
        <w:tc>
          <w:tcPr>
            <w:tcW w:w="1146" w:type="dxa"/>
            <w:tcBorders>
              <w:top w:val="nil"/>
              <w:left w:val="nil"/>
              <w:bottom w:val="nil"/>
              <w:right w:val="single" w:sz="4" w:space="0" w:color="000000"/>
            </w:tcBorders>
            <w:shd w:val="clear" w:color="auto" w:fill="FFFFFF" w:themeFill="background1"/>
            <w:vAlign w:val="center"/>
          </w:tcPr>
          <w:p w14:paraId="7726B448" w14:textId="77777777" w:rsidR="003D7BB5" w:rsidRPr="00063DE7" w:rsidRDefault="00C10E50"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FFFFFF" w:themeFill="background1"/>
            <w:vAlign w:val="center"/>
          </w:tcPr>
          <w:p w14:paraId="22DF14F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w:t>
            </w:r>
          </w:p>
        </w:tc>
        <w:tc>
          <w:tcPr>
            <w:tcW w:w="576" w:type="dxa"/>
            <w:tcBorders>
              <w:top w:val="nil"/>
              <w:left w:val="nil"/>
              <w:bottom w:val="nil"/>
              <w:right w:val="nil"/>
            </w:tcBorders>
            <w:shd w:val="clear" w:color="auto" w:fill="FFFFFF" w:themeFill="background1"/>
            <w:vAlign w:val="center"/>
          </w:tcPr>
          <w:p w14:paraId="6333DCE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0.9</w:t>
            </w:r>
          </w:p>
        </w:tc>
        <w:tc>
          <w:tcPr>
            <w:tcW w:w="1146" w:type="dxa"/>
            <w:tcBorders>
              <w:top w:val="nil"/>
              <w:left w:val="nil"/>
              <w:bottom w:val="nil"/>
              <w:right w:val="nil"/>
            </w:tcBorders>
            <w:shd w:val="clear" w:color="auto" w:fill="FFFFFF" w:themeFill="background1"/>
            <w:vAlign w:val="center"/>
          </w:tcPr>
          <w:p w14:paraId="57AFA62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(0.0, 1.9)</w:t>
            </w:r>
          </w:p>
        </w:tc>
      </w:tr>
      <w:tr w:rsidR="009118DA" w:rsidRPr="00063DE7" w14:paraId="5EBED0DA"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36B2F9B8" w14:textId="77777777" w:rsidR="003D7BB5" w:rsidRPr="00063DE7" w:rsidRDefault="003D7BB5" w:rsidP="00DD0F28">
            <w:pPr>
              <w:tabs>
                <w:tab w:val="left" w:pos="176"/>
              </w:tabs>
              <w:spacing w:before="20" w:after="20"/>
              <w:rPr>
                <w:rFonts w:eastAsiaTheme="minorEastAsia"/>
                <w:sz w:val="18"/>
                <w:szCs w:val="18"/>
                <w:lang w:eastAsia="en-US"/>
              </w:rPr>
            </w:pPr>
            <w:r w:rsidRPr="00063DE7">
              <w:rPr>
                <w:rFonts w:eastAsiaTheme="minorEastAsia"/>
                <w:sz w:val="18"/>
                <w:szCs w:val="18"/>
                <w:lang w:eastAsia="en-US"/>
              </w:rPr>
              <w:t>Pattern of participation</w:t>
            </w:r>
          </w:p>
        </w:tc>
        <w:tc>
          <w:tcPr>
            <w:tcW w:w="567" w:type="dxa"/>
            <w:tcBorders>
              <w:top w:val="nil"/>
              <w:left w:val="nil"/>
              <w:bottom w:val="nil"/>
              <w:right w:val="nil"/>
            </w:tcBorders>
            <w:noWrap/>
            <w:vAlign w:val="center"/>
          </w:tcPr>
          <w:p w14:paraId="0B22D6E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noWrap/>
            <w:vAlign w:val="center"/>
          </w:tcPr>
          <w:p w14:paraId="529ADAD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auto"/>
            </w:tcBorders>
            <w:noWrap/>
            <w:vAlign w:val="center"/>
          </w:tcPr>
          <w:p w14:paraId="19CB620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16" w:type="dxa"/>
            <w:tcBorders>
              <w:top w:val="nil"/>
              <w:left w:val="single" w:sz="4" w:space="0" w:color="auto"/>
              <w:bottom w:val="nil"/>
              <w:right w:val="nil"/>
            </w:tcBorders>
            <w:noWrap/>
            <w:vAlign w:val="center"/>
          </w:tcPr>
          <w:p w14:paraId="2A7C3ED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noWrap/>
            <w:vAlign w:val="center"/>
          </w:tcPr>
          <w:p w14:paraId="7B82D26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FFFFFF" w:themeFill="background1"/>
            <w:noWrap/>
            <w:vAlign w:val="center"/>
          </w:tcPr>
          <w:p w14:paraId="64CFC57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shd w:val="clear" w:color="auto" w:fill="FFFFFF" w:themeFill="background1"/>
            <w:vAlign w:val="center"/>
          </w:tcPr>
          <w:p w14:paraId="11D82C3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shd w:val="clear" w:color="auto" w:fill="FFFFFF" w:themeFill="background1"/>
            <w:vAlign w:val="center"/>
          </w:tcPr>
          <w:p w14:paraId="2D262C9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FFFFFF" w:themeFill="background1"/>
            <w:vAlign w:val="center"/>
          </w:tcPr>
          <w:p w14:paraId="2C88EC6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shd w:val="clear" w:color="auto" w:fill="FFFFFF" w:themeFill="background1"/>
            <w:vAlign w:val="center"/>
          </w:tcPr>
          <w:p w14:paraId="1BE10B1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6" w:type="dxa"/>
            <w:tcBorders>
              <w:top w:val="nil"/>
              <w:left w:val="nil"/>
              <w:bottom w:val="nil"/>
              <w:right w:val="nil"/>
            </w:tcBorders>
            <w:shd w:val="clear" w:color="auto" w:fill="FFFFFF" w:themeFill="background1"/>
            <w:vAlign w:val="center"/>
          </w:tcPr>
          <w:p w14:paraId="2372967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shd w:val="clear" w:color="auto" w:fill="FFFFFF" w:themeFill="background1"/>
            <w:vAlign w:val="center"/>
          </w:tcPr>
          <w:p w14:paraId="7E0346C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063DE7" w14:paraId="20304033"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595F1A94" w14:textId="77777777" w:rsidR="003D7BB5" w:rsidRPr="00063DE7" w:rsidRDefault="003D7BB5" w:rsidP="00DD0F28">
            <w:pPr>
              <w:tabs>
                <w:tab w:val="left" w:pos="176"/>
              </w:tabs>
              <w:spacing w:before="20" w:after="20"/>
              <w:rPr>
                <w:rFonts w:eastAsiaTheme="minorEastAsia"/>
                <w:b w:val="0"/>
                <w:sz w:val="18"/>
                <w:szCs w:val="18"/>
                <w:lang w:eastAsia="en-US"/>
              </w:rPr>
            </w:pPr>
            <w:r w:rsidRPr="00063DE7">
              <w:rPr>
                <w:rFonts w:eastAsiaTheme="minorEastAsia"/>
                <w:b w:val="0"/>
                <w:sz w:val="18"/>
                <w:szCs w:val="18"/>
                <w:lang w:eastAsia="en-US"/>
              </w:rPr>
              <w:tab/>
              <w:t>No gambling in past year</w:t>
            </w:r>
          </w:p>
        </w:tc>
        <w:tc>
          <w:tcPr>
            <w:tcW w:w="567" w:type="dxa"/>
            <w:tcBorders>
              <w:top w:val="nil"/>
              <w:left w:val="nil"/>
              <w:bottom w:val="nil"/>
              <w:right w:val="nil"/>
            </w:tcBorders>
            <w:noWrap/>
            <w:vAlign w:val="center"/>
          </w:tcPr>
          <w:p w14:paraId="308B825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95</w:t>
            </w:r>
          </w:p>
        </w:tc>
        <w:tc>
          <w:tcPr>
            <w:tcW w:w="567" w:type="dxa"/>
            <w:tcBorders>
              <w:top w:val="nil"/>
              <w:left w:val="nil"/>
              <w:bottom w:val="nil"/>
              <w:right w:val="nil"/>
            </w:tcBorders>
            <w:noWrap/>
            <w:vAlign w:val="center"/>
          </w:tcPr>
          <w:p w14:paraId="731551D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14.6</w:t>
            </w:r>
          </w:p>
        </w:tc>
        <w:tc>
          <w:tcPr>
            <w:tcW w:w="1146" w:type="dxa"/>
            <w:tcBorders>
              <w:top w:val="nil"/>
              <w:left w:val="nil"/>
              <w:bottom w:val="nil"/>
              <w:right w:val="single" w:sz="4" w:space="0" w:color="auto"/>
            </w:tcBorders>
            <w:noWrap/>
            <w:vAlign w:val="center"/>
          </w:tcPr>
          <w:p w14:paraId="13F1DBC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(12.3, 17.0)</w:t>
            </w:r>
          </w:p>
        </w:tc>
        <w:tc>
          <w:tcPr>
            <w:tcW w:w="516" w:type="dxa"/>
            <w:tcBorders>
              <w:top w:val="nil"/>
              <w:left w:val="single" w:sz="4" w:space="0" w:color="auto"/>
              <w:bottom w:val="nil"/>
              <w:right w:val="nil"/>
            </w:tcBorders>
            <w:noWrap/>
            <w:vAlign w:val="center"/>
          </w:tcPr>
          <w:p w14:paraId="40895B8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63</w:t>
            </w:r>
          </w:p>
        </w:tc>
        <w:tc>
          <w:tcPr>
            <w:tcW w:w="567" w:type="dxa"/>
            <w:tcBorders>
              <w:top w:val="nil"/>
              <w:left w:val="nil"/>
              <w:bottom w:val="nil"/>
              <w:right w:val="nil"/>
            </w:tcBorders>
            <w:noWrap/>
            <w:vAlign w:val="center"/>
          </w:tcPr>
          <w:p w14:paraId="7088212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16.3</w:t>
            </w:r>
          </w:p>
        </w:tc>
        <w:tc>
          <w:tcPr>
            <w:tcW w:w="1146" w:type="dxa"/>
            <w:tcBorders>
              <w:top w:val="nil"/>
              <w:left w:val="nil"/>
              <w:bottom w:val="nil"/>
              <w:right w:val="single" w:sz="4" w:space="0" w:color="000000"/>
            </w:tcBorders>
            <w:shd w:val="clear" w:color="auto" w:fill="FFFFFF" w:themeFill="background1"/>
            <w:noWrap/>
            <w:vAlign w:val="center"/>
          </w:tcPr>
          <w:p w14:paraId="316CC55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(12.8, 19.8)</w:t>
            </w:r>
          </w:p>
        </w:tc>
        <w:tc>
          <w:tcPr>
            <w:tcW w:w="536" w:type="dxa"/>
            <w:tcBorders>
              <w:top w:val="nil"/>
              <w:left w:val="single" w:sz="4" w:space="0" w:color="000000"/>
              <w:bottom w:val="nil"/>
              <w:right w:val="nil"/>
            </w:tcBorders>
            <w:shd w:val="clear" w:color="auto" w:fill="FFFFFF" w:themeFill="background1"/>
            <w:vAlign w:val="center"/>
          </w:tcPr>
          <w:p w14:paraId="34DB4AE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70</w:t>
            </w:r>
          </w:p>
        </w:tc>
        <w:tc>
          <w:tcPr>
            <w:tcW w:w="567" w:type="dxa"/>
            <w:tcBorders>
              <w:top w:val="nil"/>
              <w:left w:val="nil"/>
              <w:bottom w:val="nil"/>
              <w:right w:val="nil"/>
            </w:tcBorders>
            <w:shd w:val="clear" w:color="auto" w:fill="FFFFFF" w:themeFill="background1"/>
            <w:vAlign w:val="center"/>
          </w:tcPr>
          <w:p w14:paraId="5BD692B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21.5</w:t>
            </w:r>
          </w:p>
        </w:tc>
        <w:tc>
          <w:tcPr>
            <w:tcW w:w="1146" w:type="dxa"/>
            <w:tcBorders>
              <w:top w:val="nil"/>
              <w:left w:val="nil"/>
              <w:bottom w:val="nil"/>
              <w:right w:val="single" w:sz="4" w:space="0" w:color="000000"/>
            </w:tcBorders>
            <w:shd w:val="clear" w:color="auto" w:fill="FFFFFF" w:themeFill="background1"/>
            <w:vAlign w:val="center"/>
          </w:tcPr>
          <w:p w14:paraId="51C7FCF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(15.2, 27.7)</w:t>
            </w:r>
          </w:p>
        </w:tc>
        <w:tc>
          <w:tcPr>
            <w:tcW w:w="536" w:type="dxa"/>
            <w:tcBorders>
              <w:top w:val="nil"/>
              <w:left w:val="single" w:sz="4" w:space="0" w:color="000000"/>
              <w:bottom w:val="nil"/>
              <w:right w:val="nil"/>
            </w:tcBorders>
            <w:shd w:val="clear" w:color="auto" w:fill="FFFFFF" w:themeFill="background1"/>
            <w:vAlign w:val="center"/>
          </w:tcPr>
          <w:p w14:paraId="0040018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59</w:t>
            </w:r>
          </w:p>
        </w:tc>
        <w:tc>
          <w:tcPr>
            <w:tcW w:w="576" w:type="dxa"/>
            <w:tcBorders>
              <w:top w:val="nil"/>
              <w:left w:val="nil"/>
              <w:bottom w:val="nil"/>
              <w:right w:val="nil"/>
            </w:tcBorders>
            <w:shd w:val="clear" w:color="auto" w:fill="FFFFFF" w:themeFill="background1"/>
            <w:vAlign w:val="center"/>
          </w:tcPr>
          <w:p w14:paraId="32862B5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20.2</w:t>
            </w:r>
          </w:p>
        </w:tc>
        <w:tc>
          <w:tcPr>
            <w:tcW w:w="1146" w:type="dxa"/>
            <w:tcBorders>
              <w:top w:val="nil"/>
              <w:left w:val="nil"/>
              <w:bottom w:val="nil"/>
              <w:right w:val="nil"/>
            </w:tcBorders>
            <w:shd w:val="clear" w:color="auto" w:fill="FFFFFF" w:themeFill="background1"/>
            <w:vAlign w:val="center"/>
          </w:tcPr>
          <w:p w14:paraId="6039B06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(12.7, 27.7)</w:t>
            </w:r>
          </w:p>
        </w:tc>
      </w:tr>
      <w:tr w:rsidR="009118DA" w:rsidRPr="00063DE7" w14:paraId="4B57E4B3"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761B9886" w14:textId="77777777" w:rsidR="003D7BB5" w:rsidRPr="00063DE7" w:rsidRDefault="003D7BB5" w:rsidP="00DD0F28">
            <w:pPr>
              <w:tabs>
                <w:tab w:val="left" w:pos="176"/>
              </w:tabs>
              <w:spacing w:before="20" w:after="20"/>
              <w:rPr>
                <w:rFonts w:eastAsiaTheme="minorEastAsia"/>
                <w:b w:val="0"/>
                <w:sz w:val="18"/>
                <w:szCs w:val="18"/>
                <w:lang w:eastAsia="en-US"/>
              </w:rPr>
            </w:pPr>
            <w:r w:rsidRPr="00063DE7">
              <w:rPr>
                <w:rFonts w:eastAsiaTheme="minorEastAsia"/>
                <w:b w:val="0"/>
                <w:sz w:val="18"/>
                <w:szCs w:val="18"/>
                <w:lang w:eastAsia="en-US"/>
              </w:rPr>
              <w:tab/>
              <w:t>Infrequent gambler</w:t>
            </w:r>
          </w:p>
        </w:tc>
        <w:tc>
          <w:tcPr>
            <w:tcW w:w="567" w:type="dxa"/>
            <w:tcBorders>
              <w:top w:val="nil"/>
              <w:left w:val="nil"/>
              <w:bottom w:val="nil"/>
              <w:right w:val="nil"/>
            </w:tcBorders>
            <w:noWrap/>
            <w:vAlign w:val="center"/>
          </w:tcPr>
          <w:p w14:paraId="1BB74F2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370</w:t>
            </w:r>
          </w:p>
        </w:tc>
        <w:tc>
          <w:tcPr>
            <w:tcW w:w="567" w:type="dxa"/>
            <w:tcBorders>
              <w:top w:val="nil"/>
              <w:left w:val="nil"/>
              <w:bottom w:val="nil"/>
              <w:right w:val="nil"/>
            </w:tcBorders>
            <w:noWrap/>
            <w:vAlign w:val="center"/>
          </w:tcPr>
          <w:p w14:paraId="626387F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56.8</w:t>
            </w:r>
          </w:p>
        </w:tc>
        <w:tc>
          <w:tcPr>
            <w:tcW w:w="1146" w:type="dxa"/>
            <w:tcBorders>
              <w:top w:val="nil"/>
              <w:left w:val="nil"/>
              <w:bottom w:val="nil"/>
              <w:right w:val="single" w:sz="4" w:space="0" w:color="auto"/>
            </w:tcBorders>
            <w:noWrap/>
            <w:vAlign w:val="center"/>
          </w:tcPr>
          <w:p w14:paraId="1F640CE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(53.6, 60.0)</w:t>
            </w:r>
          </w:p>
        </w:tc>
        <w:tc>
          <w:tcPr>
            <w:tcW w:w="516" w:type="dxa"/>
            <w:tcBorders>
              <w:top w:val="nil"/>
              <w:left w:val="single" w:sz="4" w:space="0" w:color="auto"/>
              <w:bottom w:val="nil"/>
              <w:right w:val="nil"/>
            </w:tcBorders>
            <w:noWrap/>
            <w:vAlign w:val="center"/>
          </w:tcPr>
          <w:p w14:paraId="5C501BF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214</w:t>
            </w:r>
          </w:p>
        </w:tc>
        <w:tc>
          <w:tcPr>
            <w:tcW w:w="567" w:type="dxa"/>
            <w:tcBorders>
              <w:top w:val="nil"/>
              <w:left w:val="nil"/>
              <w:bottom w:val="nil"/>
              <w:right w:val="nil"/>
            </w:tcBorders>
            <w:noWrap/>
            <w:vAlign w:val="center"/>
          </w:tcPr>
          <w:p w14:paraId="084E8E7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55.4</w:t>
            </w:r>
          </w:p>
        </w:tc>
        <w:tc>
          <w:tcPr>
            <w:tcW w:w="1146" w:type="dxa"/>
            <w:tcBorders>
              <w:top w:val="nil"/>
              <w:left w:val="nil"/>
              <w:bottom w:val="nil"/>
              <w:right w:val="single" w:sz="4" w:space="0" w:color="000000"/>
            </w:tcBorders>
            <w:shd w:val="clear" w:color="auto" w:fill="FFFFFF" w:themeFill="background1"/>
            <w:noWrap/>
            <w:vAlign w:val="center"/>
          </w:tcPr>
          <w:p w14:paraId="48BCC8C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(51.0, 59.8)</w:t>
            </w:r>
          </w:p>
        </w:tc>
        <w:tc>
          <w:tcPr>
            <w:tcW w:w="536" w:type="dxa"/>
            <w:tcBorders>
              <w:top w:val="nil"/>
              <w:left w:val="single" w:sz="4" w:space="0" w:color="000000"/>
              <w:bottom w:val="nil"/>
              <w:right w:val="nil"/>
            </w:tcBorders>
            <w:shd w:val="clear" w:color="auto" w:fill="FFFFFF" w:themeFill="background1"/>
            <w:vAlign w:val="center"/>
          </w:tcPr>
          <w:p w14:paraId="0D6FF1D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170</w:t>
            </w:r>
          </w:p>
        </w:tc>
        <w:tc>
          <w:tcPr>
            <w:tcW w:w="567" w:type="dxa"/>
            <w:tcBorders>
              <w:top w:val="nil"/>
              <w:left w:val="nil"/>
              <w:bottom w:val="nil"/>
              <w:right w:val="nil"/>
            </w:tcBorders>
            <w:shd w:val="clear" w:color="auto" w:fill="FFFFFF" w:themeFill="background1"/>
            <w:vAlign w:val="center"/>
          </w:tcPr>
          <w:p w14:paraId="1A9E3DC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52.0</w:t>
            </w:r>
          </w:p>
        </w:tc>
        <w:tc>
          <w:tcPr>
            <w:tcW w:w="1146" w:type="dxa"/>
            <w:tcBorders>
              <w:top w:val="nil"/>
              <w:left w:val="nil"/>
              <w:bottom w:val="nil"/>
              <w:right w:val="single" w:sz="4" w:space="0" w:color="000000"/>
            </w:tcBorders>
            <w:shd w:val="clear" w:color="auto" w:fill="FFFFFF" w:themeFill="background1"/>
            <w:vAlign w:val="center"/>
          </w:tcPr>
          <w:p w14:paraId="43B5696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(46.1, 57.9)</w:t>
            </w:r>
          </w:p>
        </w:tc>
        <w:tc>
          <w:tcPr>
            <w:tcW w:w="536" w:type="dxa"/>
            <w:tcBorders>
              <w:top w:val="nil"/>
              <w:left w:val="single" w:sz="4" w:space="0" w:color="000000"/>
              <w:bottom w:val="nil"/>
              <w:right w:val="nil"/>
            </w:tcBorders>
            <w:shd w:val="clear" w:color="auto" w:fill="FFFFFF" w:themeFill="background1"/>
            <w:vAlign w:val="center"/>
          </w:tcPr>
          <w:p w14:paraId="2199EB1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165</w:t>
            </w:r>
          </w:p>
        </w:tc>
        <w:tc>
          <w:tcPr>
            <w:tcW w:w="576" w:type="dxa"/>
            <w:tcBorders>
              <w:top w:val="nil"/>
              <w:left w:val="nil"/>
              <w:bottom w:val="nil"/>
              <w:right w:val="nil"/>
            </w:tcBorders>
            <w:shd w:val="clear" w:color="auto" w:fill="FFFFFF" w:themeFill="background1"/>
            <w:vAlign w:val="center"/>
          </w:tcPr>
          <w:p w14:paraId="28DC943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56.4</w:t>
            </w:r>
          </w:p>
        </w:tc>
        <w:tc>
          <w:tcPr>
            <w:tcW w:w="1146" w:type="dxa"/>
            <w:tcBorders>
              <w:top w:val="nil"/>
              <w:left w:val="nil"/>
              <w:bottom w:val="nil"/>
              <w:right w:val="nil"/>
            </w:tcBorders>
            <w:shd w:val="clear" w:color="auto" w:fill="FFFFFF" w:themeFill="background1"/>
            <w:vAlign w:val="center"/>
          </w:tcPr>
          <w:p w14:paraId="312DF68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(49.4, 63.5)</w:t>
            </w:r>
          </w:p>
        </w:tc>
      </w:tr>
      <w:tr w:rsidR="009118DA" w:rsidRPr="00063DE7" w14:paraId="029550E0"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05ED7555" w14:textId="77777777" w:rsidR="003D7BB5" w:rsidRPr="00063DE7" w:rsidRDefault="003D7BB5" w:rsidP="00DD0F28">
            <w:pPr>
              <w:tabs>
                <w:tab w:val="left" w:pos="318"/>
              </w:tabs>
              <w:spacing w:before="20" w:after="20"/>
              <w:ind w:left="176" w:hanging="176"/>
              <w:rPr>
                <w:rFonts w:eastAsiaTheme="minorEastAsia"/>
                <w:b w:val="0"/>
                <w:sz w:val="18"/>
                <w:szCs w:val="18"/>
                <w:lang w:eastAsia="en-US"/>
              </w:rPr>
            </w:pPr>
            <w:r w:rsidRPr="00063DE7">
              <w:rPr>
                <w:rFonts w:eastAsiaTheme="minorEastAsia"/>
                <w:b w:val="0"/>
                <w:sz w:val="18"/>
                <w:szCs w:val="18"/>
                <w:lang w:eastAsia="en-US"/>
              </w:rPr>
              <w:tab/>
              <w:t>Regular non-continuous gambler</w:t>
            </w:r>
          </w:p>
        </w:tc>
        <w:tc>
          <w:tcPr>
            <w:tcW w:w="567" w:type="dxa"/>
            <w:tcBorders>
              <w:top w:val="nil"/>
              <w:left w:val="nil"/>
              <w:bottom w:val="nil"/>
              <w:right w:val="nil"/>
            </w:tcBorders>
            <w:noWrap/>
            <w:vAlign w:val="center"/>
          </w:tcPr>
          <w:p w14:paraId="01BAEA3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124</w:t>
            </w:r>
          </w:p>
        </w:tc>
        <w:tc>
          <w:tcPr>
            <w:tcW w:w="567" w:type="dxa"/>
            <w:tcBorders>
              <w:top w:val="nil"/>
              <w:left w:val="nil"/>
              <w:bottom w:val="nil"/>
              <w:right w:val="nil"/>
            </w:tcBorders>
            <w:noWrap/>
            <w:vAlign w:val="center"/>
          </w:tcPr>
          <w:p w14:paraId="7AB8EE0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19.1</w:t>
            </w:r>
          </w:p>
        </w:tc>
        <w:tc>
          <w:tcPr>
            <w:tcW w:w="1146" w:type="dxa"/>
            <w:tcBorders>
              <w:top w:val="nil"/>
              <w:left w:val="nil"/>
              <w:bottom w:val="nil"/>
              <w:right w:val="single" w:sz="4" w:space="0" w:color="auto"/>
            </w:tcBorders>
            <w:noWrap/>
            <w:vAlign w:val="center"/>
          </w:tcPr>
          <w:p w14:paraId="238FF0B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(16.7, 21.5)</w:t>
            </w:r>
          </w:p>
        </w:tc>
        <w:tc>
          <w:tcPr>
            <w:tcW w:w="516" w:type="dxa"/>
            <w:tcBorders>
              <w:top w:val="nil"/>
              <w:left w:val="single" w:sz="4" w:space="0" w:color="auto"/>
              <w:bottom w:val="nil"/>
              <w:right w:val="nil"/>
            </w:tcBorders>
            <w:noWrap/>
            <w:vAlign w:val="center"/>
          </w:tcPr>
          <w:p w14:paraId="64125E3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72</w:t>
            </w:r>
          </w:p>
        </w:tc>
        <w:tc>
          <w:tcPr>
            <w:tcW w:w="567" w:type="dxa"/>
            <w:tcBorders>
              <w:top w:val="nil"/>
              <w:left w:val="nil"/>
              <w:bottom w:val="nil"/>
              <w:right w:val="nil"/>
            </w:tcBorders>
            <w:noWrap/>
            <w:vAlign w:val="center"/>
          </w:tcPr>
          <w:p w14:paraId="2FB4631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18.6</w:t>
            </w:r>
          </w:p>
        </w:tc>
        <w:tc>
          <w:tcPr>
            <w:tcW w:w="1146" w:type="dxa"/>
            <w:tcBorders>
              <w:top w:val="nil"/>
              <w:left w:val="nil"/>
              <w:bottom w:val="nil"/>
              <w:right w:val="single" w:sz="4" w:space="0" w:color="000000"/>
            </w:tcBorders>
            <w:shd w:val="clear" w:color="auto" w:fill="FFFFFF" w:themeFill="background1"/>
            <w:noWrap/>
            <w:vAlign w:val="center"/>
          </w:tcPr>
          <w:p w14:paraId="364ACC7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(15.5, 21.7)</w:t>
            </w:r>
          </w:p>
        </w:tc>
        <w:tc>
          <w:tcPr>
            <w:tcW w:w="536" w:type="dxa"/>
            <w:tcBorders>
              <w:top w:val="nil"/>
              <w:left w:val="single" w:sz="4" w:space="0" w:color="000000"/>
              <w:bottom w:val="nil"/>
              <w:right w:val="nil"/>
            </w:tcBorders>
            <w:shd w:val="clear" w:color="auto" w:fill="FFFFFF" w:themeFill="background1"/>
            <w:vAlign w:val="center"/>
          </w:tcPr>
          <w:p w14:paraId="6E92B9E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61</w:t>
            </w:r>
          </w:p>
        </w:tc>
        <w:tc>
          <w:tcPr>
            <w:tcW w:w="567" w:type="dxa"/>
            <w:tcBorders>
              <w:top w:val="nil"/>
              <w:left w:val="nil"/>
              <w:bottom w:val="nil"/>
              <w:right w:val="nil"/>
            </w:tcBorders>
            <w:shd w:val="clear" w:color="auto" w:fill="FFFFFF" w:themeFill="background1"/>
            <w:vAlign w:val="center"/>
          </w:tcPr>
          <w:p w14:paraId="0DF300D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18.6</w:t>
            </w:r>
          </w:p>
        </w:tc>
        <w:tc>
          <w:tcPr>
            <w:tcW w:w="1146" w:type="dxa"/>
            <w:tcBorders>
              <w:top w:val="nil"/>
              <w:left w:val="nil"/>
              <w:bottom w:val="nil"/>
              <w:right w:val="single" w:sz="4" w:space="0" w:color="000000"/>
            </w:tcBorders>
            <w:shd w:val="clear" w:color="auto" w:fill="FFFFFF" w:themeFill="background1"/>
            <w:vAlign w:val="center"/>
          </w:tcPr>
          <w:p w14:paraId="3E738F1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(14.8, 22.5)</w:t>
            </w:r>
          </w:p>
        </w:tc>
        <w:tc>
          <w:tcPr>
            <w:tcW w:w="536" w:type="dxa"/>
            <w:tcBorders>
              <w:top w:val="nil"/>
              <w:left w:val="single" w:sz="4" w:space="0" w:color="000000"/>
              <w:bottom w:val="nil"/>
              <w:right w:val="nil"/>
            </w:tcBorders>
            <w:shd w:val="clear" w:color="auto" w:fill="FFFFFF" w:themeFill="background1"/>
            <w:vAlign w:val="center"/>
          </w:tcPr>
          <w:p w14:paraId="7246646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45</w:t>
            </w:r>
          </w:p>
        </w:tc>
        <w:tc>
          <w:tcPr>
            <w:tcW w:w="576" w:type="dxa"/>
            <w:tcBorders>
              <w:top w:val="nil"/>
              <w:left w:val="nil"/>
              <w:bottom w:val="nil"/>
              <w:right w:val="nil"/>
            </w:tcBorders>
            <w:shd w:val="clear" w:color="auto" w:fill="FFFFFF" w:themeFill="background1"/>
            <w:vAlign w:val="center"/>
          </w:tcPr>
          <w:p w14:paraId="118618C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15.4</w:t>
            </w:r>
          </w:p>
        </w:tc>
        <w:tc>
          <w:tcPr>
            <w:tcW w:w="1146" w:type="dxa"/>
            <w:tcBorders>
              <w:top w:val="nil"/>
              <w:left w:val="nil"/>
              <w:bottom w:val="nil"/>
              <w:right w:val="nil"/>
            </w:tcBorders>
            <w:shd w:val="clear" w:color="auto" w:fill="FFFFFF" w:themeFill="background1"/>
            <w:vAlign w:val="center"/>
          </w:tcPr>
          <w:p w14:paraId="6071A35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(11.6, 19.2)</w:t>
            </w:r>
          </w:p>
        </w:tc>
      </w:tr>
      <w:tr w:rsidR="003D7BB5" w:rsidRPr="00063DE7" w14:paraId="5FC338E1"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354C614A" w14:textId="77777777" w:rsidR="003D7BB5" w:rsidRPr="00063DE7" w:rsidRDefault="003D7BB5" w:rsidP="00DD0F28">
            <w:pPr>
              <w:tabs>
                <w:tab w:val="left" w:pos="176"/>
              </w:tabs>
              <w:spacing w:before="20" w:after="40"/>
              <w:ind w:left="176" w:hanging="176"/>
              <w:rPr>
                <w:rFonts w:eastAsiaTheme="minorEastAsia"/>
                <w:b w:val="0"/>
                <w:sz w:val="18"/>
                <w:szCs w:val="18"/>
                <w:lang w:eastAsia="en-US"/>
              </w:rPr>
            </w:pPr>
            <w:r w:rsidRPr="00063DE7">
              <w:rPr>
                <w:rFonts w:eastAsiaTheme="minorEastAsia"/>
                <w:b w:val="0"/>
                <w:sz w:val="18"/>
                <w:szCs w:val="18"/>
                <w:lang w:eastAsia="en-US"/>
              </w:rPr>
              <w:tab/>
              <w:t>Regular continuous gambler</w:t>
            </w:r>
          </w:p>
        </w:tc>
        <w:tc>
          <w:tcPr>
            <w:tcW w:w="567" w:type="dxa"/>
            <w:tcBorders>
              <w:top w:val="nil"/>
              <w:left w:val="nil"/>
              <w:bottom w:val="nil"/>
              <w:right w:val="nil"/>
            </w:tcBorders>
            <w:noWrap/>
            <w:vAlign w:val="center"/>
          </w:tcPr>
          <w:p w14:paraId="4E3D2B6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62</w:t>
            </w:r>
          </w:p>
        </w:tc>
        <w:tc>
          <w:tcPr>
            <w:tcW w:w="567" w:type="dxa"/>
            <w:tcBorders>
              <w:top w:val="nil"/>
              <w:left w:val="nil"/>
              <w:bottom w:val="nil"/>
              <w:right w:val="nil"/>
            </w:tcBorders>
            <w:noWrap/>
            <w:vAlign w:val="center"/>
          </w:tcPr>
          <w:p w14:paraId="1BB6DEE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9.5</w:t>
            </w:r>
          </w:p>
        </w:tc>
        <w:tc>
          <w:tcPr>
            <w:tcW w:w="1146" w:type="dxa"/>
            <w:tcBorders>
              <w:top w:val="nil"/>
              <w:left w:val="nil"/>
              <w:bottom w:val="nil"/>
              <w:right w:val="single" w:sz="4" w:space="0" w:color="auto"/>
            </w:tcBorders>
            <w:noWrap/>
            <w:vAlign w:val="center"/>
          </w:tcPr>
          <w:p w14:paraId="5191ADD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(7.6, 11.4)</w:t>
            </w:r>
          </w:p>
        </w:tc>
        <w:tc>
          <w:tcPr>
            <w:tcW w:w="516" w:type="dxa"/>
            <w:tcBorders>
              <w:top w:val="nil"/>
              <w:left w:val="single" w:sz="4" w:space="0" w:color="auto"/>
              <w:bottom w:val="nil"/>
              <w:right w:val="nil"/>
            </w:tcBorders>
            <w:noWrap/>
            <w:vAlign w:val="center"/>
          </w:tcPr>
          <w:p w14:paraId="5CC5EE5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37</w:t>
            </w:r>
          </w:p>
        </w:tc>
        <w:tc>
          <w:tcPr>
            <w:tcW w:w="567" w:type="dxa"/>
            <w:tcBorders>
              <w:top w:val="nil"/>
              <w:left w:val="nil"/>
              <w:bottom w:val="nil"/>
              <w:right w:val="nil"/>
            </w:tcBorders>
            <w:noWrap/>
            <w:vAlign w:val="center"/>
          </w:tcPr>
          <w:p w14:paraId="30562B8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9.7</w:t>
            </w:r>
          </w:p>
        </w:tc>
        <w:tc>
          <w:tcPr>
            <w:tcW w:w="1146" w:type="dxa"/>
            <w:tcBorders>
              <w:top w:val="nil"/>
              <w:left w:val="nil"/>
              <w:bottom w:val="nil"/>
              <w:right w:val="single" w:sz="4" w:space="0" w:color="000000"/>
            </w:tcBorders>
            <w:shd w:val="clear" w:color="auto" w:fill="FFFFFF" w:themeFill="background1"/>
            <w:noWrap/>
            <w:vAlign w:val="center"/>
          </w:tcPr>
          <w:p w14:paraId="74D1517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(7.0, 12.3)</w:t>
            </w:r>
          </w:p>
        </w:tc>
        <w:tc>
          <w:tcPr>
            <w:tcW w:w="536" w:type="dxa"/>
            <w:tcBorders>
              <w:top w:val="nil"/>
              <w:left w:val="single" w:sz="4" w:space="0" w:color="000000"/>
              <w:bottom w:val="nil"/>
              <w:right w:val="nil"/>
            </w:tcBorders>
            <w:vAlign w:val="center"/>
          </w:tcPr>
          <w:p w14:paraId="1D2EC6C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26</w:t>
            </w:r>
          </w:p>
        </w:tc>
        <w:tc>
          <w:tcPr>
            <w:tcW w:w="567" w:type="dxa"/>
            <w:tcBorders>
              <w:top w:val="nil"/>
              <w:left w:val="nil"/>
              <w:bottom w:val="nil"/>
              <w:right w:val="nil"/>
            </w:tcBorders>
            <w:vAlign w:val="center"/>
          </w:tcPr>
          <w:p w14:paraId="268D837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7.9</w:t>
            </w:r>
          </w:p>
        </w:tc>
        <w:tc>
          <w:tcPr>
            <w:tcW w:w="1146" w:type="dxa"/>
            <w:tcBorders>
              <w:top w:val="nil"/>
              <w:left w:val="nil"/>
              <w:bottom w:val="nil"/>
              <w:right w:val="single" w:sz="4" w:space="0" w:color="000000"/>
            </w:tcBorders>
            <w:vAlign w:val="center"/>
          </w:tcPr>
          <w:p w14:paraId="1DF9094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(5.2, 10.5)</w:t>
            </w:r>
          </w:p>
        </w:tc>
        <w:tc>
          <w:tcPr>
            <w:tcW w:w="536" w:type="dxa"/>
            <w:tcBorders>
              <w:top w:val="nil"/>
              <w:left w:val="single" w:sz="4" w:space="0" w:color="000000"/>
              <w:bottom w:val="nil"/>
              <w:right w:val="nil"/>
            </w:tcBorders>
            <w:vAlign w:val="center"/>
          </w:tcPr>
          <w:p w14:paraId="75E6BB1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23</w:t>
            </w:r>
          </w:p>
        </w:tc>
        <w:tc>
          <w:tcPr>
            <w:tcW w:w="576" w:type="dxa"/>
            <w:tcBorders>
              <w:top w:val="nil"/>
              <w:left w:val="nil"/>
              <w:bottom w:val="nil"/>
              <w:right w:val="nil"/>
            </w:tcBorders>
            <w:vAlign w:val="center"/>
          </w:tcPr>
          <w:p w14:paraId="2FA465A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8.0</w:t>
            </w:r>
          </w:p>
        </w:tc>
        <w:tc>
          <w:tcPr>
            <w:tcW w:w="1146" w:type="dxa"/>
            <w:tcBorders>
              <w:top w:val="nil"/>
              <w:left w:val="nil"/>
              <w:bottom w:val="nil"/>
              <w:right w:val="nil"/>
            </w:tcBorders>
            <w:vAlign w:val="center"/>
          </w:tcPr>
          <w:p w14:paraId="50DD95A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(5.2, 10.8)</w:t>
            </w:r>
          </w:p>
        </w:tc>
      </w:tr>
      <w:tr w:rsidR="003D7BB5" w:rsidRPr="00063DE7" w14:paraId="203260CE"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5F69EA53" w14:textId="77777777" w:rsidR="003D7BB5" w:rsidRPr="00063DE7" w:rsidRDefault="003D7BB5" w:rsidP="00DD0F28">
            <w:pPr>
              <w:spacing w:before="20" w:after="20"/>
              <w:rPr>
                <w:rFonts w:eastAsiaTheme="minorEastAsia"/>
                <w:sz w:val="18"/>
                <w:szCs w:val="18"/>
                <w:lang w:eastAsia="en-US"/>
              </w:rPr>
            </w:pPr>
            <w:r w:rsidRPr="00063DE7">
              <w:rPr>
                <w:rFonts w:eastAsiaTheme="minorEastAsia"/>
                <w:sz w:val="18"/>
                <w:szCs w:val="18"/>
                <w:lang w:eastAsia="en-US"/>
              </w:rPr>
              <w:t>Gambling frequency</w:t>
            </w:r>
          </w:p>
        </w:tc>
        <w:tc>
          <w:tcPr>
            <w:tcW w:w="567" w:type="dxa"/>
            <w:tcBorders>
              <w:top w:val="nil"/>
              <w:left w:val="nil"/>
              <w:bottom w:val="nil"/>
              <w:right w:val="nil"/>
            </w:tcBorders>
            <w:noWrap/>
            <w:vAlign w:val="center"/>
          </w:tcPr>
          <w:p w14:paraId="7D4F632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noWrap/>
            <w:vAlign w:val="center"/>
          </w:tcPr>
          <w:p w14:paraId="699B58F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auto"/>
            </w:tcBorders>
            <w:noWrap/>
            <w:vAlign w:val="center"/>
          </w:tcPr>
          <w:p w14:paraId="07B18D9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16" w:type="dxa"/>
            <w:tcBorders>
              <w:top w:val="nil"/>
              <w:left w:val="single" w:sz="4" w:space="0" w:color="auto"/>
              <w:bottom w:val="nil"/>
              <w:right w:val="nil"/>
            </w:tcBorders>
            <w:noWrap/>
            <w:vAlign w:val="center"/>
          </w:tcPr>
          <w:p w14:paraId="4191D61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noWrap/>
            <w:vAlign w:val="center"/>
          </w:tcPr>
          <w:p w14:paraId="12CEE9F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FFFFFF" w:themeFill="background1"/>
            <w:noWrap/>
            <w:vAlign w:val="center"/>
          </w:tcPr>
          <w:p w14:paraId="26F2E97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vAlign w:val="center"/>
          </w:tcPr>
          <w:p w14:paraId="4FF29B2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vAlign w:val="center"/>
          </w:tcPr>
          <w:p w14:paraId="2936C76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vAlign w:val="center"/>
          </w:tcPr>
          <w:p w14:paraId="358BFED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vAlign w:val="center"/>
          </w:tcPr>
          <w:p w14:paraId="56BCBB8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6" w:type="dxa"/>
            <w:tcBorders>
              <w:top w:val="nil"/>
              <w:left w:val="nil"/>
              <w:bottom w:val="nil"/>
              <w:right w:val="nil"/>
            </w:tcBorders>
            <w:vAlign w:val="center"/>
          </w:tcPr>
          <w:p w14:paraId="2172E4B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vAlign w:val="center"/>
          </w:tcPr>
          <w:p w14:paraId="4FBCFC9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3D7BB5" w:rsidRPr="00063DE7" w14:paraId="759C0028"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47B88AAA" w14:textId="77777777" w:rsidR="003D7BB5" w:rsidRPr="00063DE7" w:rsidRDefault="003D7BB5" w:rsidP="00DD0F28">
            <w:pPr>
              <w:tabs>
                <w:tab w:val="left" w:pos="205"/>
              </w:tabs>
              <w:spacing w:before="20" w:after="20"/>
              <w:rPr>
                <w:rFonts w:eastAsiaTheme="minorEastAsia"/>
                <w:b w:val="0"/>
                <w:sz w:val="18"/>
                <w:szCs w:val="18"/>
                <w:lang w:eastAsia="en-US"/>
              </w:rPr>
            </w:pPr>
            <w:r w:rsidRPr="00063DE7">
              <w:rPr>
                <w:rFonts w:eastAsiaTheme="minorEastAsia"/>
                <w:b w:val="0"/>
                <w:sz w:val="18"/>
                <w:szCs w:val="18"/>
                <w:lang w:eastAsia="en-US"/>
              </w:rPr>
              <w:tab/>
              <w:t>No gambling in past year</w:t>
            </w:r>
          </w:p>
        </w:tc>
        <w:tc>
          <w:tcPr>
            <w:tcW w:w="567" w:type="dxa"/>
            <w:tcBorders>
              <w:top w:val="nil"/>
              <w:left w:val="nil"/>
              <w:bottom w:val="nil"/>
              <w:right w:val="nil"/>
            </w:tcBorders>
            <w:shd w:val="clear" w:color="auto" w:fill="auto"/>
            <w:noWrap/>
            <w:vAlign w:val="center"/>
          </w:tcPr>
          <w:p w14:paraId="0DAC6EB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95</w:t>
            </w:r>
          </w:p>
        </w:tc>
        <w:tc>
          <w:tcPr>
            <w:tcW w:w="567" w:type="dxa"/>
            <w:tcBorders>
              <w:top w:val="nil"/>
              <w:left w:val="nil"/>
              <w:bottom w:val="nil"/>
              <w:right w:val="nil"/>
            </w:tcBorders>
            <w:shd w:val="clear" w:color="auto" w:fill="auto"/>
            <w:noWrap/>
            <w:vAlign w:val="center"/>
          </w:tcPr>
          <w:p w14:paraId="2B1FCC2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14.7</w:t>
            </w:r>
          </w:p>
        </w:tc>
        <w:tc>
          <w:tcPr>
            <w:tcW w:w="1146" w:type="dxa"/>
            <w:tcBorders>
              <w:top w:val="nil"/>
              <w:left w:val="nil"/>
              <w:bottom w:val="nil"/>
              <w:right w:val="single" w:sz="4" w:space="0" w:color="auto"/>
            </w:tcBorders>
            <w:shd w:val="clear" w:color="auto" w:fill="auto"/>
            <w:noWrap/>
            <w:vAlign w:val="center"/>
          </w:tcPr>
          <w:p w14:paraId="7DE7C90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(12.3, 17.0)</w:t>
            </w:r>
          </w:p>
        </w:tc>
        <w:tc>
          <w:tcPr>
            <w:tcW w:w="516" w:type="dxa"/>
            <w:tcBorders>
              <w:top w:val="nil"/>
              <w:left w:val="single" w:sz="4" w:space="0" w:color="auto"/>
              <w:bottom w:val="nil"/>
              <w:right w:val="nil"/>
            </w:tcBorders>
            <w:shd w:val="clear" w:color="auto" w:fill="auto"/>
            <w:noWrap/>
            <w:vAlign w:val="center"/>
          </w:tcPr>
          <w:p w14:paraId="40193CE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63</w:t>
            </w:r>
          </w:p>
        </w:tc>
        <w:tc>
          <w:tcPr>
            <w:tcW w:w="567" w:type="dxa"/>
            <w:tcBorders>
              <w:top w:val="nil"/>
              <w:left w:val="nil"/>
              <w:bottom w:val="nil"/>
              <w:right w:val="nil"/>
            </w:tcBorders>
            <w:shd w:val="clear" w:color="auto" w:fill="auto"/>
            <w:noWrap/>
            <w:vAlign w:val="center"/>
          </w:tcPr>
          <w:p w14:paraId="234379A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16.4</w:t>
            </w:r>
          </w:p>
        </w:tc>
        <w:tc>
          <w:tcPr>
            <w:tcW w:w="1146" w:type="dxa"/>
            <w:tcBorders>
              <w:top w:val="nil"/>
              <w:left w:val="nil"/>
              <w:bottom w:val="nil"/>
              <w:right w:val="single" w:sz="4" w:space="0" w:color="000000"/>
            </w:tcBorders>
            <w:shd w:val="clear" w:color="auto" w:fill="auto"/>
            <w:noWrap/>
            <w:vAlign w:val="center"/>
          </w:tcPr>
          <w:p w14:paraId="6E9F244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(12.9, 19.9)</w:t>
            </w:r>
          </w:p>
        </w:tc>
        <w:tc>
          <w:tcPr>
            <w:tcW w:w="536" w:type="dxa"/>
            <w:tcBorders>
              <w:top w:val="nil"/>
              <w:left w:val="single" w:sz="4" w:space="0" w:color="000000"/>
              <w:bottom w:val="nil"/>
              <w:right w:val="nil"/>
            </w:tcBorders>
            <w:shd w:val="clear" w:color="auto" w:fill="auto"/>
            <w:vAlign w:val="center"/>
          </w:tcPr>
          <w:p w14:paraId="6A3EC5F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063DE7">
              <w:rPr>
                <w:color w:val="000000"/>
                <w:sz w:val="18"/>
                <w:szCs w:val="18"/>
              </w:rPr>
              <w:t>70</w:t>
            </w:r>
          </w:p>
        </w:tc>
        <w:tc>
          <w:tcPr>
            <w:tcW w:w="567" w:type="dxa"/>
            <w:tcBorders>
              <w:top w:val="nil"/>
              <w:left w:val="nil"/>
              <w:bottom w:val="nil"/>
              <w:right w:val="nil"/>
            </w:tcBorders>
            <w:shd w:val="clear" w:color="auto" w:fill="auto"/>
            <w:vAlign w:val="center"/>
          </w:tcPr>
          <w:p w14:paraId="053DE51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21.5</w:t>
            </w:r>
          </w:p>
        </w:tc>
        <w:tc>
          <w:tcPr>
            <w:tcW w:w="1146" w:type="dxa"/>
            <w:tcBorders>
              <w:top w:val="nil"/>
              <w:left w:val="nil"/>
              <w:bottom w:val="nil"/>
              <w:right w:val="single" w:sz="4" w:space="0" w:color="000000"/>
            </w:tcBorders>
            <w:shd w:val="clear" w:color="auto" w:fill="auto"/>
            <w:vAlign w:val="center"/>
          </w:tcPr>
          <w:p w14:paraId="328B1C1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(15.2, 27.7)</w:t>
            </w:r>
          </w:p>
        </w:tc>
        <w:tc>
          <w:tcPr>
            <w:tcW w:w="536" w:type="dxa"/>
            <w:tcBorders>
              <w:top w:val="nil"/>
              <w:left w:val="single" w:sz="4" w:space="0" w:color="000000"/>
              <w:bottom w:val="nil"/>
              <w:right w:val="nil"/>
            </w:tcBorders>
            <w:vAlign w:val="center"/>
          </w:tcPr>
          <w:p w14:paraId="1DC2868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59</w:t>
            </w:r>
          </w:p>
        </w:tc>
        <w:tc>
          <w:tcPr>
            <w:tcW w:w="576" w:type="dxa"/>
            <w:tcBorders>
              <w:top w:val="nil"/>
              <w:left w:val="nil"/>
              <w:bottom w:val="nil"/>
              <w:right w:val="nil"/>
            </w:tcBorders>
            <w:vAlign w:val="center"/>
          </w:tcPr>
          <w:p w14:paraId="4AB0153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20.2</w:t>
            </w:r>
          </w:p>
        </w:tc>
        <w:tc>
          <w:tcPr>
            <w:tcW w:w="1146" w:type="dxa"/>
            <w:tcBorders>
              <w:top w:val="nil"/>
              <w:left w:val="nil"/>
              <w:bottom w:val="nil"/>
              <w:right w:val="nil"/>
            </w:tcBorders>
            <w:vAlign w:val="center"/>
          </w:tcPr>
          <w:p w14:paraId="602B3BA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(12.7, 27.7)</w:t>
            </w:r>
          </w:p>
        </w:tc>
      </w:tr>
      <w:tr w:rsidR="009118DA" w:rsidRPr="00063DE7" w14:paraId="605DF5B8"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7CBEE8DA" w14:textId="77777777" w:rsidR="003D7BB5" w:rsidRPr="00063DE7" w:rsidRDefault="003D7BB5" w:rsidP="00DD0F28">
            <w:pPr>
              <w:tabs>
                <w:tab w:val="left" w:pos="205"/>
              </w:tabs>
              <w:spacing w:before="20" w:after="20"/>
              <w:rPr>
                <w:rFonts w:eastAsiaTheme="minorEastAsia"/>
                <w:b w:val="0"/>
                <w:sz w:val="18"/>
                <w:szCs w:val="18"/>
                <w:lang w:eastAsia="en-US"/>
              </w:rPr>
            </w:pPr>
            <w:r w:rsidRPr="00063DE7">
              <w:rPr>
                <w:rFonts w:eastAsiaTheme="minorEastAsia"/>
                <w:b w:val="0"/>
                <w:sz w:val="18"/>
                <w:szCs w:val="18"/>
                <w:lang w:eastAsia="en-US"/>
              </w:rPr>
              <w:tab/>
              <w:t>At least weekly</w:t>
            </w:r>
          </w:p>
        </w:tc>
        <w:tc>
          <w:tcPr>
            <w:tcW w:w="567" w:type="dxa"/>
            <w:tcBorders>
              <w:top w:val="nil"/>
              <w:left w:val="nil"/>
              <w:bottom w:val="nil"/>
              <w:right w:val="nil"/>
            </w:tcBorders>
            <w:noWrap/>
            <w:vAlign w:val="center"/>
          </w:tcPr>
          <w:p w14:paraId="42F7E9C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189</w:t>
            </w:r>
          </w:p>
        </w:tc>
        <w:tc>
          <w:tcPr>
            <w:tcW w:w="567" w:type="dxa"/>
            <w:tcBorders>
              <w:top w:val="nil"/>
              <w:left w:val="nil"/>
              <w:bottom w:val="nil"/>
              <w:right w:val="nil"/>
            </w:tcBorders>
            <w:noWrap/>
            <w:vAlign w:val="center"/>
          </w:tcPr>
          <w:p w14:paraId="3BD1725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29.0</w:t>
            </w:r>
          </w:p>
        </w:tc>
        <w:tc>
          <w:tcPr>
            <w:tcW w:w="1146" w:type="dxa"/>
            <w:tcBorders>
              <w:top w:val="nil"/>
              <w:left w:val="nil"/>
              <w:bottom w:val="nil"/>
              <w:right w:val="single" w:sz="4" w:space="0" w:color="auto"/>
            </w:tcBorders>
            <w:noWrap/>
            <w:vAlign w:val="center"/>
          </w:tcPr>
          <w:p w14:paraId="6D1CE3D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(26.2, 31.9)</w:t>
            </w:r>
          </w:p>
        </w:tc>
        <w:tc>
          <w:tcPr>
            <w:tcW w:w="516" w:type="dxa"/>
            <w:tcBorders>
              <w:top w:val="nil"/>
              <w:left w:val="single" w:sz="4" w:space="0" w:color="auto"/>
              <w:bottom w:val="nil"/>
              <w:right w:val="nil"/>
            </w:tcBorders>
            <w:noWrap/>
            <w:vAlign w:val="center"/>
          </w:tcPr>
          <w:p w14:paraId="085CFC8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111</w:t>
            </w:r>
          </w:p>
        </w:tc>
        <w:tc>
          <w:tcPr>
            <w:tcW w:w="567" w:type="dxa"/>
            <w:tcBorders>
              <w:top w:val="nil"/>
              <w:left w:val="nil"/>
              <w:bottom w:val="nil"/>
              <w:right w:val="nil"/>
            </w:tcBorders>
            <w:noWrap/>
            <w:vAlign w:val="center"/>
          </w:tcPr>
          <w:p w14:paraId="7250B00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28.7</w:t>
            </w:r>
          </w:p>
        </w:tc>
        <w:tc>
          <w:tcPr>
            <w:tcW w:w="1146" w:type="dxa"/>
            <w:tcBorders>
              <w:top w:val="nil"/>
              <w:left w:val="nil"/>
              <w:bottom w:val="nil"/>
              <w:right w:val="single" w:sz="4" w:space="0" w:color="000000"/>
            </w:tcBorders>
            <w:shd w:val="clear" w:color="auto" w:fill="FFFFFF" w:themeFill="background1"/>
            <w:noWrap/>
            <w:vAlign w:val="center"/>
          </w:tcPr>
          <w:p w14:paraId="1C7D75A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(24.9, 32.6)</w:t>
            </w:r>
          </w:p>
        </w:tc>
        <w:tc>
          <w:tcPr>
            <w:tcW w:w="536" w:type="dxa"/>
            <w:tcBorders>
              <w:top w:val="nil"/>
              <w:left w:val="single" w:sz="4" w:space="0" w:color="000000"/>
              <w:bottom w:val="nil"/>
              <w:right w:val="nil"/>
            </w:tcBorders>
            <w:shd w:val="clear" w:color="auto" w:fill="FFFFFF" w:themeFill="background1"/>
            <w:vAlign w:val="center"/>
          </w:tcPr>
          <w:p w14:paraId="1417463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86</w:t>
            </w:r>
          </w:p>
        </w:tc>
        <w:tc>
          <w:tcPr>
            <w:tcW w:w="567" w:type="dxa"/>
            <w:tcBorders>
              <w:top w:val="nil"/>
              <w:left w:val="nil"/>
              <w:bottom w:val="nil"/>
              <w:right w:val="nil"/>
            </w:tcBorders>
            <w:shd w:val="clear" w:color="auto" w:fill="FFFFFF" w:themeFill="background1"/>
            <w:vAlign w:val="center"/>
          </w:tcPr>
          <w:p w14:paraId="5BEE38F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26.5</w:t>
            </w:r>
          </w:p>
        </w:tc>
        <w:tc>
          <w:tcPr>
            <w:tcW w:w="1146" w:type="dxa"/>
            <w:tcBorders>
              <w:top w:val="nil"/>
              <w:left w:val="nil"/>
              <w:bottom w:val="nil"/>
              <w:right w:val="single" w:sz="4" w:space="0" w:color="000000"/>
            </w:tcBorders>
            <w:shd w:val="clear" w:color="auto" w:fill="FFFFFF" w:themeFill="background1"/>
            <w:vAlign w:val="center"/>
          </w:tcPr>
          <w:p w14:paraId="5D0C85B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(22.0, 31.0)</w:t>
            </w:r>
          </w:p>
        </w:tc>
        <w:tc>
          <w:tcPr>
            <w:tcW w:w="536" w:type="dxa"/>
            <w:tcBorders>
              <w:top w:val="nil"/>
              <w:left w:val="single" w:sz="4" w:space="0" w:color="000000"/>
              <w:bottom w:val="nil"/>
              <w:right w:val="nil"/>
            </w:tcBorders>
            <w:shd w:val="clear" w:color="auto" w:fill="FFFFFF" w:themeFill="background1"/>
            <w:vAlign w:val="center"/>
          </w:tcPr>
          <w:p w14:paraId="4473A95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68</w:t>
            </w:r>
          </w:p>
        </w:tc>
        <w:tc>
          <w:tcPr>
            <w:tcW w:w="576" w:type="dxa"/>
            <w:tcBorders>
              <w:top w:val="nil"/>
              <w:left w:val="nil"/>
              <w:bottom w:val="nil"/>
              <w:right w:val="nil"/>
            </w:tcBorders>
            <w:shd w:val="clear" w:color="auto" w:fill="FFFFFF" w:themeFill="background1"/>
            <w:vAlign w:val="center"/>
          </w:tcPr>
          <w:p w14:paraId="2433FD8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23.4</w:t>
            </w:r>
          </w:p>
        </w:tc>
        <w:tc>
          <w:tcPr>
            <w:tcW w:w="1146" w:type="dxa"/>
            <w:tcBorders>
              <w:top w:val="nil"/>
              <w:left w:val="nil"/>
              <w:bottom w:val="nil"/>
              <w:right w:val="nil"/>
            </w:tcBorders>
            <w:shd w:val="clear" w:color="auto" w:fill="FFFFFF" w:themeFill="background1"/>
            <w:vAlign w:val="center"/>
          </w:tcPr>
          <w:p w14:paraId="7991906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(18.7, 28.2)</w:t>
            </w:r>
          </w:p>
        </w:tc>
      </w:tr>
      <w:tr w:rsidR="009118DA" w:rsidRPr="00063DE7" w14:paraId="7D8BD552"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0FA86B23" w14:textId="77777777" w:rsidR="003D7BB5" w:rsidRPr="00063DE7" w:rsidRDefault="003D7BB5" w:rsidP="00DD0F28">
            <w:pPr>
              <w:tabs>
                <w:tab w:val="left" w:pos="205"/>
              </w:tabs>
              <w:spacing w:before="20" w:after="20"/>
              <w:rPr>
                <w:rFonts w:eastAsiaTheme="minorEastAsia"/>
                <w:b w:val="0"/>
                <w:sz w:val="18"/>
                <w:szCs w:val="18"/>
              </w:rPr>
            </w:pPr>
            <w:r w:rsidRPr="00063DE7">
              <w:rPr>
                <w:rFonts w:eastAsiaTheme="minorEastAsia"/>
                <w:b w:val="0"/>
                <w:sz w:val="18"/>
                <w:szCs w:val="18"/>
              </w:rPr>
              <w:tab/>
              <w:t>At least monthly</w:t>
            </w:r>
          </w:p>
        </w:tc>
        <w:tc>
          <w:tcPr>
            <w:tcW w:w="567" w:type="dxa"/>
            <w:tcBorders>
              <w:top w:val="nil"/>
              <w:left w:val="nil"/>
              <w:bottom w:val="nil"/>
              <w:right w:val="nil"/>
            </w:tcBorders>
            <w:noWrap/>
            <w:vAlign w:val="center"/>
          </w:tcPr>
          <w:p w14:paraId="4B22E8A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180</w:t>
            </w:r>
          </w:p>
        </w:tc>
        <w:tc>
          <w:tcPr>
            <w:tcW w:w="567" w:type="dxa"/>
            <w:tcBorders>
              <w:top w:val="nil"/>
              <w:left w:val="nil"/>
              <w:bottom w:val="nil"/>
              <w:right w:val="nil"/>
            </w:tcBorders>
            <w:noWrap/>
            <w:vAlign w:val="center"/>
          </w:tcPr>
          <w:p w14:paraId="1543CDF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27.7</w:t>
            </w:r>
          </w:p>
        </w:tc>
        <w:tc>
          <w:tcPr>
            <w:tcW w:w="1146" w:type="dxa"/>
            <w:tcBorders>
              <w:top w:val="nil"/>
              <w:left w:val="nil"/>
              <w:bottom w:val="nil"/>
              <w:right w:val="single" w:sz="4" w:space="0" w:color="auto"/>
            </w:tcBorders>
            <w:noWrap/>
            <w:vAlign w:val="center"/>
          </w:tcPr>
          <w:p w14:paraId="6542711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(24.8, 30.7)</w:t>
            </w:r>
          </w:p>
        </w:tc>
        <w:tc>
          <w:tcPr>
            <w:tcW w:w="516" w:type="dxa"/>
            <w:tcBorders>
              <w:top w:val="nil"/>
              <w:left w:val="single" w:sz="4" w:space="0" w:color="auto"/>
              <w:bottom w:val="nil"/>
              <w:right w:val="nil"/>
            </w:tcBorders>
            <w:noWrap/>
            <w:vAlign w:val="center"/>
          </w:tcPr>
          <w:p w14:paraId="40FAA90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98</w:t>
            </w:r>
          </w:p>
        </w:tc>
        <w:tc>
          <w:tcPr>
            <w:tcW w:w="567" w:type="dxa"/>
            <w:tcBorders>
              <w:top w:val="nil"/>
              <w:left w:val="nil"/>
              <w:bottom w:val="nil"/>
              <w:right w:val="nil"/>
            </w:tcBorders>
            <w:noWrap/>
            <w:vAlign w:val="center"/>
          </w:tcPr>
          <w:p w14:paraId="6B33213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25.5</w:t>
            </w:r>
          </w:p>
        </w:tc>
        <w:tc>
          <w:tcPr>
            <w:tcW w:w="1146" w:type="dxa"/>
            <w:tcBorders>
              <w:top w:val="nil"/>
              <w:left w:val="nil"/>
              <w:bottom w:val="nil"/>
              <w:right w:val="single" w:sz="4" w:space="0" w:color="000000"/>
            </w:tcBorders>
            <w:shd w:val="clear" w:color="auto" w:fill="FFFFFF" w:themeFill="background1"/>
            <w:noWrap/>
            <w:vAlign w:val="center"/>
          </w:tcPr>
          <w:p w14:paraId="238D691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(21.3, 29.8)</w:t>
            </w:r>
          </w:p>
        </w:tc>
        <w:tc>
          <w:tcPr>
            <w:tcW w:w="536" w:type="dxa"/>
            <w:tcBorders>
              <w:top w:val="nil"/>
              <w:left w:val="single" w:sz="4" w:space="0" w:color="000000"/>
              <w:bottom w:val="nil"/>
              <w:right w:val="nil"/>
            </w:tcBorders>
            <w:shd w:val="clear" w:color="auto" w:fill="FFFFFF" w:themeFill="background1"/>
            <w:vAlign w:val="center"/>
          </w:tcPr>
          <w:p w14:paraId="0305367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77</w:t>
            </w:r>
          </w:p>
        </w:tc>
        <w:tc>
          <w:tcPr>
            <w:tcW w:w="567" w:type="dxa"/>
            <w:tcBorders>
              <w:top w:val="nil"/>
              <w:left w:val="nil"/>
              <w:bottom w:val="nil"/>
              <w:right w:val="nil"/>
            </w:tcBorders>
            <w:shd w:val="clear" w:color="auto" w:fill="FFFFFF" w:themeFill="background1"/>
            <w:vAlign w:val="center"/>
          </w:tcPr>
          <w:p w14:paraId="7A06C23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23.5</w:t>
            </w:r>
          </w:p>
        </w:tc>
        <w:tc>
          <w:tcPr>
            <w:tcW w:w="1146" w:type="dxa"/>
            <w:tcBorders>
              <w:top w:val="nil"/>
              <w:left w:val="nil"/>
              <w:bottom w:val="nil"/>
              <w:right w:val="single" w:sz="4" w:space="0" w:color="000000"/>
            </w:tcBorders>
            <w:shd w:val="clear" w:color="auto" w:fill="FFFFFF" w:themeFill="background1"/>
            <w:vAlign w:val="center"/>
          </w:tcPr>
          <w:p w14:paraId="70560CD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(18.6, 28.4)</w:t>
            </w:r>
          </w:p>
        </w:tc>
        <w:tc>
          <w:tcPr>
            <w:tcW w:w="536" w:type="dxa"/>
            <w:tcBorders>
              <w:top w:val="nil"/>
              <w:left w:val="single" w:sz="4" w:space="0" w:color="000000"/>
              <w:bottom w:val="nil"/>
              <w:right w:val="nil"/>
            </w:tcBorders>
            <w:shd w:val="clear" w:color="auto" w:fill="FFFFFF" w:themeFill="background1"/>
            <w:vAlign w:val="center"/>
          </w:tcPr>
          <w:p w14:paraId="3037F99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65</w:t>
            </w:r>
          </w:p>
        </w:tc>
        <w:tc>
          <w:tcPr>
            <w:tcW w:w="576" w:type="dxa"/>
            <w:tcBorders>
              <w:top w:val="nil"/>
              <w:left w:val="nil"/>
              <w:bottom w:val="nil"/>
              <w:right w:val="nil"/>
            </w:tcBorders>
            <w:shd w:val="clear" w:color="auto" w:fill="FFFFFF" w:themeFill="background1"/>
            <w:vAlign w:val="center"/>
          </w:tcPr>
          <w:p w14:paraId="6E6FBD9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22.2</w:t>
            </w:r>
          </w:p>
        </w:tc>
        <w:tc>
          <w:tcPr>
            <w:tcW w:w="1146" w:type="dxa"/>
            <w:tcBorders>
              <w:top w:val="nil"/>
              <w:left w:val="nil"/>
              <w:bottom w:val="nil"/>
              <w:right w:val="nil"/>
            </w:tcBorders>
            <w:shd w:val="clear" w:color="auto" w:fill="FFFFFF" w:themeFill="background1"/>
            <w:vAlign w:val="center"/>
          </w:tcPr>
          <w:p w14:paraId="4FC96DF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(17.6, 26.9)</w:t>
            </w:r>
          </w:p>
        </w:tc>
      </w:tr>
      <w:tr w:rsidR="009118DA" w:rsidRPr="00063DE7" w14:paraId="4FAD882D"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7883A704" w14:textId="77777777" w:rsidR="003D7BB5" w:rsidRPr="00063DE7" w:rsidRDefault="003D7BB5" w:rsidP="00DD0F28">
            <w:pPr>
              <w:tabs>
                <w:tab w:val="left" w:pos="205"/>
              </w:tabs>
              <w:spacing w:before="20" w:after="20"/>
              <w:rPr>
                <w:rFonts w:eastAsiaTheme="minorEastAsia"/>
                <w:b w:val="0"/>
                <w:sz w:val="18"/>
                <w:szCs w:val="18"/>
                <w:lang w:eastAsia="en-US"/>
              </w:rPr>
            </w:pPr>
            <w:r w:rsidRPr="00063DE7">
              <w:rPr>
                <w:rFonts w:eastAsiaTheme="minorEastAsia"/>
                <w:b w:val="0"/>
                <w:sz w:val="18"/>
                <w:szCs w:val="18"/>
                <w:lang w:eastAsia="en-US"/>
              </w:rPr>
              <w:tab/>
              <w:t>At least 6 monthly</w:t>
            </w:r>
          </w:p>
        </w:tc>
        <w:tc>
          <w:tcPr>
            <w:tcW w:w="567" w:type="dxa"/>
            <w:tcBorders>
              <w:top w:val="nil"/>
              <w:left w:val="nil"/>
              <w:bottom w:val="nil"/>
              <w:right w:val="nil"/>
            </w:tcBorders>
            <w:noWrap/>
            <w:vAlign w:val="center"/>
          </w:tcPr>
          <w:p w14:paraId="6DAB4AF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154</w:t>
            </w:r>
          </w:p>
        </w:tc>
        <w:tc>
          <w:tcPr>
            <w:tcW w:w="567" w:type="dxa"/>
            <w:tcBorders>
              <w:top w:val="nil"/>
              <w:left w:val="nil"/>
              <w:bottom w:val="nil"/>
              <w:right w:val="nil"/>
            </w:tcBorders>
            <w:noWrap/>
            <w:vAlign w:val="center"/>
          </w:tcPr>
          <w:p w14:paraId="5F6727E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23.7</w:t>
            </w:r>
          </w:p>
        </w:tc>
        <w:tc>
          <w:tcPr>
            <w:tcW w:w="1146" w:type="dxa"/>
            <w:tcBorders>
              <w:top w:val="nil"/>
              <w:left w:val="nil"/>
              <w:bottom w:val="nil"/>
              <w:right w:val="single" w:sz="4" w:space="0" w:color="auto"/>
            </w:tcBorders>
            <w:noWrap/>
            <w:vAlign w:val="center"/>
          </w:tcPr>
          <w:p w14:paraId="13731B8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(20.9, 26.4)</w:t>
            </w:r>
          </w:p>
        </w:tc>
        <w:tc>
          <w:tcPr>
            <w:tcW w:w="516" w:type="dxa"/>
            <w:tcBorders>
              <w:top w:val="nil"/>
              <w:left w:val="single" w:sz="4" w:space="0" w:color="auto"/>
              <w:bottom w:val="nil"/>
              <w:right w:val="nil"/>
            </w:tcBorders>
            <w:noWrap/>
            <w:vAlign w:val="center"/>
          </w:tcPr>
          <w:p w14:paraId="41F46DA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89</w:t>
            </w:r>
          </w:p>
        </w:tc>
        <w:tc>
          <w:tcPr>
            <w:tcW w:w="567" w:type="dxa"/>
            <w:tcBorders>
              <w:top w:val="nil"/>
              <w:left w:val="nil"/>
              <w:bottom w:val="nil"/>
              <w:right w:val="nil"/>
            </w:tcBorders>
            <w:noWrap/>
            <w:vAlign w:val="center"/>
          </w:tcPr>
          <w:p w14:paraId="592058F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23.0</w:t>
            </w:r>
          </w:p>
        </w:tc>
        <w:tc>
          <w:tcPr>
            <w:tcW w:w="1146" w:type="dxa"/>
            <w:tcBorders>
              <w:top w:val="nil"/>
              <w:left w:val="nil"/>
              <w:bottom w:val="nil"/>
              <w:right w:val="single" w:sz="4" w:space="0" w:color="000000"/>
            </w:tcBorders>
            <w:shd w:val="clear" w:color="auto" w:fill="FFFFFF" w:themeFill="background1"/>
            <w:noWrap/>
            <w:vAlign w:val="center"/>
          </w:tcPr>
          <w:p w14:paraId="4901004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(19.3, 26.6)</w:t>
            </w:r>
          </w:p>
        </w:tc>
        <w:tc>
          <w:tcPr>
            <w:tcW w:w="536" w:type="dxa"/>
            <w:tcBorders>
              <w:top w:val="nil"/>
              <w:left w:val="single" w:sz="4" w:space="0" w:color="000000"/>
              <w:bottom w:val="nil"/>
              <w:right w:val="nil"/>
            </w:tcBorders>
            <w:shd w:val="clear" w:color="auto" w:fill="FFFFFF" w:themeFill="background1"/>
            <w:vAlign w:val="center"/>
          </w:tcPr>
          <w:p w14:paraId="467363E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76</w:t>
            </w:r>
          </w:p>
        </w:tc>
        <w:tc>
          <w:tcPr>
            <w:tcW w:w="567" w:type="dxa"/>
            <w:tcBorders>
              <w:top w:val="nil"/>
              <w:left w:val="nil"/>
              <w:bottom w:val="nil"/>
              <w:right w:val="nil"/>
            </w:tcBorders>
            <w:shd w:val="clear" w:color="auto" w:fill="FFFFFF" w:themeFill="background1"/>
            <w:vAlign w:val="center"/>
          </w:tcPr>
          <w:p w14:paraId="53CC67C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23.3</w:t>
            </w:r>
          </w:p>
        </w:tc>
        <w:tc>
          <w:tcPr>
            <w:tcW w:w="1146" w:type="dxa"/>
            <w:tcBorders>
              <w:top w:val="nil"/>
              <w:left w:val="nil"/>
              <w:bottom w:val="nil"/>
              <w:right w:val="single" w:sz="4" w:space="0" w:color="000000"/>
            </w:tcBorders>
            <w:shd w:val="clear" w:color="auto" w:fill="FFFFFF" w:themeFill="background1"/>
            <w:vAlign w:val="center"/>
          </w:tcPr>
          <w:p w14:paraId="63B6862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(18.8, 27.7)</w:t>
            </w:r>
          </w:p>
        </w:tc>
        <w:tc>
          <w:tcPr>
            <w:tcW w:w="536" w:type="dxa"/>
            <w:tcBorders>
              <w:top w:val="nil"/>
              <w:left w:val="single" w:sz="4" w:space="0" w:color="000000"/>
              <w:bottom w:val="nil"/>
              <w:right w:val="nil"/>
            </w:tcBorders>
            <w:shd w:val="clear" w:color="auto" w:fill="FFFFFF" w:themeFill="background1"/>
            <w:vAlign w:val="center"/>
          </w:tcPr>
          <w:p w14:paraId="6C46455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78</w:t>
            </w:r>
          </w:p>
        </w:tc>
        <w:tc>
          <w:tcPr>
            <w:tcW w:w="576" w:type="dxa"/>
            <w:tcBorders>
              <w:top w:val="nil"/>
              <w:left w:val="nil"/>
              <w:bottom w:val="nil"/>
              <w:right w:val="nil"/>
            </w:tcBorders>
            <w:shd w:val="clear" w:color="auto" w:fill="FFFFFF" w:themeFill="background1"/>
            <w:vAlign w:val="center"/>
          </w:tcPr>
          <w:p w14:paraId="5EDFD28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26.8</w:t>
            </w:r>
          </w:p>
        </w:tc>
        <w:tc>
          <w:tcPr>
            <w:tcW w:w="1146" w:type="dxa"/>
            <w:tcBorders>
              <w:top w:val="nil"/>
              <w:left w:val="nil"/>
              <w:bottom w:val="nil"/>
              <w:right w:val="nil"/>
            </w:tcBorders>
            <w:shd w:val="clear" w:color="auto" w:fill="FFFFFF" w:themeFill="background1"/>
            <w:vAlign w:val="center"/>
          </w:tcPr>
          <w:p w14:paraId="4B9C8BD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(20.6, 33.1)</w:t>
            </w:r>
          </w:p>
        </w:tc>
      </w:tr>
      <w:tr w:rsidR="009118DA" w:rsidRPr="00063DE7" w14:paraId="768ADF84"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4F4E14B7" w14:textId="77777777" w:rsidR="003D7BB5" w:rsidRPr="00063DE7" w:rsidRDefault="003D7BB5" w:rsidP="00DD0F28">
            <w:pPr>
              <w:tabs>
                <w:tab w:val="left" w:pos="176"/>
              </w:tabs>
              <w:spacing w:before="20" w:after="20"/>
              <w:rPr>
                <w:rFonts w:eastAsiaTheme="minorEastAsia"/>
                <w:b w:val="0"/>
                <w:sz w:val="18"/>
                <w:szCs w:val="18"/>
                <w:lang w:eastAsia="en-US"/>
              </w:rPr>
            </w:pPr>
            <w:r w:rsidRPr="00063DE7">
              <w:rPr>
                <w:rFonts w:eastAsiaTheme="minorEastAsia"/>
                <w:b w:val="0"/>
                <w:sz w:val="18"/>
                <w:szCs w:val="18"/>
                <w:lang w:eastAsia="en-US"/>
              </w:rPr>
              <w:tab/>
              <w:t>At least once in past year</w:t>
            </w:r>
          </w:p>
        </w:tc>
        <w:tc>
          <w:tcPr>
            <w:tcW w:w="567" w:type="dxa"/>
            <w:tcBorders>
              <w:top w:val="nil"/>
              <w:left w:val="nil"/>
              <w:bottom w:val="nil"/>
              <w:right w:val="nil"/>
            </w:tcBorders>
            <w:noWrap/>
            <w:vAlign w:val="center"/>
          </w:tcPr>
          <w:p w14:paraId="017D9FA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32</w:t>
            </w:r>
          </w:p>
        </w:tc>
        <w:tc>
          <w:tcPr>
            <w:tcW w:w="567" w:type="dxa"/>
            <w:tcBorders>
              <w:top w:val="nil"/>
              <w:left w:val="nil"/>
              <w:bottom w:val="nil"/>
              <w:right w:val="nil"/>
            </w:tcBorders>
            <w:noWrap/>
            <w:vAlign w:val="center"/>
          </w:tcPr>
          <w:p w14:paraId="4B63789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4.9</w:t>
            </w:r>
          </w:p>
        </w:tc>
        <w:tc>
          <w:tcPr>
            <w:tcW w:w="1146" w:type="dxa"/>
            <w:tcBorders>
              <w:top w:val="nil"/>
              <w:left w:val="nil"/>
              <w:bottom w:val="nil"/>
              <w:right w:val="single" w:sz="4" w:space="0" w:color="auto"/>
            </w:tcBorders>
            <w:noWrap/>
            <w:vAlign w:val="center"/>
          </w:tcPr>
          <w:p w14:paraId="4216941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(3.5, 6.3)</w:t>
            </w:r>
          </w:p>
        </w:tc>
        <w:tc>
          <w:tcPr>
            <w:tcW w:w="516" w:type="dxa"/>
            <w:tcBorders>
              <w:top w:val="nil"/>
              <w:left w:val="single" w:sz="4" w:space="0" w:color="auto"/>
              <w:bottom w:val="nil"/>
              <w:right w:val="nil"/>
            </w:tcBorders>
            <w:noWrap/>
            <w:vAlign w:val="center"/>
          </w:tcPr>
          <w:p w14:paraId="773C547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25</w:t>
            </w:r>
          </w:p>
        </w:tc>
        <w:tc>
          <w:tcPr>
            <w:tcW w:w="567" w:type="dxa"/>
            <w:tcBorders>
              <w:top w:val="nil"/>
              <w:left w:val="nil"/>
              <w:bottom w:val="nil"/>
              <w:right w:val="nil"/>
            </w:tcBorders>
            <w:noWrap/>
            <w:vAlign w:val="center"/>
          </w:tcPr>
          <w:p w14:paraId="6080CA0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6.4</w:t>
            </w:r>
          </w:p>
        </w:tc>
        <w:tc>
          <w:tcPr>
            <w:tcW w:w="1146" w:type="dxa"/>
            <w:tcBorders>
              <w:top w:val="nil"/>
              <w:left w:val="nil"/>
              <w:bottom w:val="nil"/>
              <w:right w:val="single" w:sz="4" w:space="0" w:color="000000"/>
            </w:tcBorders>
            <w:shd w:val="clear" w:color="auto" w:fill="FFFFFF" w:themeFill="background1"/>
            <w:noWrap/>
            <w:vAlign w:val="center"/>
          </w:tcPr>
          <w:p w14:paraId="47D3009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(4.0, 8.8)</w:t>
            </w:r>
          </w:p>
        </w:tc>
        <w:tc>
          <w:tcPr>
            <w:tcW w:w="536" w:type="dxa"/>
            <w:tcBorders>
              <w:top w:val="nil"/>
              <w:left w:val="single" w:sz="4" w:space="0" w:color="000000"/>
              <w:bottom w:val="nil"/>
              <w:right w:val="nil"/>
            </w:tcBorders>
            <w:shd w:val="clear" w:color="auto" w:fill="FFFFFF" w:themeFill="background1"/>
            <w:vAlign w:val="center"/>
          </w:tcPr>
          <w:p w14:paraId="04CAE52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17</w:t>
            </w:r>
          </w:p>
        </w:tc>
        <w:tc>
          <w:tcPr>
            <w:tcW w:w="567" w:type="dxa"/>
            <w:tcBorders>
              <w:top w:val="nil"/>
              <w:left w:val="nil"/>
              <w:bottom w:val="nil"/>
              <w:right w:val="nil"/>
            </w:tcBorders>
            <w:shd w:val="clear" w:color="auto" w:fill="FFFFFF" w:themeFill="background1"/>
            <w:vAlign w:val="center"/>
          </w:tcPr>
          <w:p w14:paraId="76C6789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5.2</w:t>
            </w:r>
          </w:p>
        </w:tc>
        <w:tc>
          <w:tcPr>
            <w:tcW w:w="1146" w:type="dxa"/>
            <w:tcBorders>
              <w:top w:val="nil"/>
              <w:left w:val="nil"/>
              <w:bottom w:val="nil"/>
              <w:right w:val="single" w:sz="4" w:space="0" w:color="000000"/>
            </w:tcBorders>
            <w:shd w:val="clear" w:color="auto" w:fill="FFFFFF" w:themeFill="background1"/>
            <w:vAlign w:val="center"/>
          </w:tcPr>
          <w:p w14:paraId="370C134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(3.0, 7.4)</w:t>
            </w:r>
          </w:p>
        </w:tc>
        <w:tc>
          <w:tcPr>
            <w:tcW w:w="536" w:type="dxa"/>
            <w:tcBorders>
              <w:top w:val="nil"/>
              <w:left w:val="single" w:sz="4" w:space="0" w:color="000000"/>
              <w:bottom w:val="nil"/>
              <w:right w:val="nil"/>
            </w:tcBorders>
            <w:shd w:val="clear" w:color="auto" w:fill="FFFFFF" w:themeFill="background1"/>
            <w:vAlign w:val="center"/>
          </w:tcPr>
          <w:p w14:paraId="654BE15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21</w:t>
            </w:r>
          </w:p>
        </w:tc>
        <w:tc>
          <w:tcPr>
            <w:tcW w:w="576" w:type="dxa"/>
            <w:tcBorders>
              <w:top w:val="nil"/>
              <w:left w:val="nil"/>
              <w:bottom w:val="nil"/>
              <w:right w:val="nil"/>
            </w:tcBorders>
            <w:shd w:val="clear" w:color="auto" w:fill="FFFFFF" w:themeFill="background1"/>
            <w:vAlign w:val="center"/>
          </w:tcPr>
          <w:p w14:paraId="2B114F1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7.3</w:t>
            </w:r>
          </w:p>
        </w:tc>
        <w:tc>
          <w:tcPr>
            <w:tcW w:w="1146" w:type="dxa"/>
            <w:tcBorders>
              <w:top w:val="nil"/>
              <w:left w:val="nil"/>
              <w:bottom w:val="nil"/>
              <w:right w:val="nil"/>
            </w:tcBorders>
            <w:shd w:val="clear" w:color="auto" w:fill="FFFFFF" w:themeFill="background1"/>
            <w:vAlign w:val="center"/>
          </w:tcPr>
          <w:p w14:paraId="521479A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(4.2, 10.4)</w:t>
            </w:r>
          </w:p>
        </w:tc>
      </w:tr>
      <w:tr w:rsidR="009118DA" w:rsidRPr="00063DE7" w14:paraId="43D7A32F"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single" w:sz="4" w:space="0" w:color="auto"/>
              <w:right w:val="nil"/>
            </w:tcBorders>
          </w:tcPr>
          <w:p w14:paraId="48ADB67A" w14:textId="77777777" w:rsidR="003D7BB5" w:rsidRPr="00063DE7" w:rsidRDefault="003D7BB5" w:rsidP="00DD0F28">
            <w:pPr>
              <w:tabs>
                <w:tab w:val="left" w:pos="176"/>
              </w:tabs>
              <w:spacing w:before="20" w:after="40"/>
              <w:rPr>
                <w:rFonts w:eastAsiaTheme="minorEastAsia"/>
                <w:b w:val="0"/>
                <w:sz w:val="18"/>
                <w:szCs w:val="18"/>
                <w:lang w:eastAsia="en-US"/>
              </w:rPr>
            </w:pPr>
            <w:r w:rsidRPr="00063DE7">
              <w:rPr>
                <w:rFonts w:eastAsiaTheme="minorEastAsia"/>
                <w:b w:val="0"/>
                <w:sz w:val="18"/>
                <w:szCs w:val="18"/>
                <w:lang w:eastAsia="en-US"/>
              </w:rPr>
              <w:tab/>
              <w:t>Missing</w:t>
            </w:r>
          </w:p>
        </w:tc>
        <w:tc>
          <w:tcPr>
            <w:tcW w:w="567" w:type="dxa"/>
            <w:tcBorders>
              <w:top w:val="nil"/>
              <w:left w:val="nil"/>
              <w:bottom w:val="single" w:sz="4" w:space="0" w:color="auto"/>
              <w:right w:val="nil"/>
            </w:tcBorders>
            <w:noWrap/>
            <w:vAlign w:val="center"/>
          </w:tcPr>
          <w:p w14:paraId="4B3E32F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063DE7">
              <w:rPr>
                <w:color w:val="000000"/>
                <w:sz w:val="18"/>
                <w:szCs w:val="18"/>
              </w:rPr>
              <w:t>95</w:t>
            </w:r>
          </w:p>
        </w:tc>
        <w:tc>
          <w:tcPr>
            <w:tcW w:w="567" w:type="dxa"/>
            <w:tcBorders>
              <w:top w:val="nil"/>
              <w:left w:val="nil"/>
              <w:bottom w:val="single" w:sz="4" w:space="0" w:color="auto"/>
              <w:right w:val="nil"/>
            </w:tcBorders>
            <w:noWrap/>
            <w:vAlign w:val="center"/>
          </w:tcPr>
          <w:p w14:paraId="2C364D5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14.6</w:t>
            </w:r>
          </w:p>
        </w:tc>
        <w:tc>
          <w:tcPr>
            <w:tcW w:w="1146" w:type="dxa"/>
            <w:tcBorders>
              <w:top w:val="nil"/>
              <w:left w:val="nil"/>
              <w:bottom w:val="single" w:sz="4" w:space="0" w:color="auto"/>
              <w:right w:val="single" w:sz="4" w:space="0" w:color="auto"/>
            </w:tcBorders>
            <w:noWrap/>
            <w:vAlign w:val="center"/>
          </w:tcPr>
          <w:p w14:paraId="3A41654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(12.3, 17.0)</w:t>
            </w:r>
          </w:p>
        </w:tc>
        <w:tc>
          <w:tcPr>
            <w:tcW w:w="516" w:type="dxa"/>
            <w:tcBorders>
              <w:top w:val="nil"/>
              <w:left w:val="single" w:sz="4" w:space="0" w:color="auto"/>
              <w:bottom w:val="single" w:sz="4" w:space="0" w:color="auto"/>
              <w:right w:val="nil"/>
            </w:tcBorders>
            <w:noWrap/>
            <w:vAlign w:val="center"/>
          </w:tcPr>
          <w:p w14:paraId="79D860B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063DE7">
              <w:rPr>
                <w:color w:val="000000"/>
                <w:sz w:val="18"/>
                <w:szCs w:val="18"/>
              </w:rPr>
              <w:t>63</w:t>
            </w:r>
          </w:p>
        </w:tc>
        <w:tc>
          <w:tcPr>
            <w:tcW w:w="567" w:type="dxa"/>
            <w:tcBorders>
              <w:top w:val="nil"/>
              <w:left w:val="nil"/>
              <w:bottom w:val="single" w:sz="4" w:space="0" w:color="auto"/>
              <w:right w:val="nil"/>
            </w:tcBorders>
            <w:noWrap/>
            <w:vAlign w:val="center"/>
          </w:tcPr>
          <w:p w14:paraId="7D031E3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16.3</w:t>
            </w:r>
          </w:p>
        </w:tc>
        <w:tc>
          <w:tcPr>
            <w:tcW w:w="1146" w:type="dxa"/>
            <w:tcBorders>
              <w:top w:val="nil"/>
              <w:left w:val="nil"/>
              <w:bottom w:val="single" w:sz="4" w:space="0" w:color="auto"/>
              <w:right w:val="single" w:sz="4" w:space="0" w:color="000000"/>
            </w:tcBorders>
            <w:shd w:val="clear" w:color="auto" w:fill="FFFFFF" w:themeFill="background1"/>
            <w:noWrap/>
            <w:vAlign w:val="center"/>
          </w:tcPr>
          <w:p w14:paraId="7BAB778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(12.8, 19.8)</w:t>
            </w:r>
          </w:p>
        </w:tc>
        <w:tc>
          <w:tcPr>
            <w:tcW w:w="536" w:type="dxa"/>
            <w:tcBorders>
              <w:top w:val="nil"/>
              <w:left w:val="single" w:sz="4" w:space="0" w:color="000000"/>
              <w:bottom w:val="single" w:sz="4" w:space="0" w:color="auto"/>
              <w:right w:val="nil"/>
            </w:tcBorders>
            <w:shd w:val="clear" w:color="auto" w:fill="FFFFFF" w:themeFill="background1"/>
            <w:vAlign w:val="center"/>
          </w:tcPr>
          <w:p w14:paraId="7C14610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063DE7">
              <w:rPr>
                <w:color w:val="000000"/>
                <w:sz w:val="18"/>
                <w:szCs w:val="18"/>
              </w:rPr>
              <w:t>70</w:t>
            </w:r>
          </w:p>
        </w:tc>
        <w:tc>
          <w:tcPr>
            <w:tcW w:w="567" w:type="dxa"/>
            <w:tcBorders>
              <w:top w:val="nil"/>
              <w:left w:val="nil"/>
              <w:bottom w:val="single" w:sz="4" w:space="0" w:color="auto"/>
              <w:right w:val="nil"/>
            </w:tcBorders>
            <w:shd w:val="clear" w:color="auto" w:fill="FFFFFF" w:themeFill="background1"/>
            <w:vAlign w:val="center"/>
          </w:tcPr>
          <w:p w14:paraId="34DA7F2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21.5</w:t>
            </w:r>
          </w:p>
        </w:tc>
        <w:tc>
          <w:tcPr>
            <w:tcW w:w="1146" w:type="dxa"/>
            <w:tcBorders>
              <w:top w:val="nil"/>
              <w:left w:val="nil"/>
              <w:bottom w:val="single" w:sz="4" w:space="0" w:color="auto"/>
              <w:right w:val="single" w:sz="4" w:space="0" w:color="000000"/>
            </w:tcBorders>
            <w:shd w:val="clear" w:color="auto" w:fill="FFFFFF" w:themeFill="background1"/>
            <w:vAlign w:val="center"/>
          </w:tcPr>
          <w:p w14:paraId="3D4C53D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(15.2, 27.7)</w:t>
            </w:r>
          </w:p>
        </w:tc>
        <w:tc>
          <w:tcPr>
            <w:tcW w:w="536" w:type="dxa"/>
            <w:tcBorders>
              <w:top w:val="nil"/>
              <w:left w:val="single" w:sz="4" w:space="0" w:color="000000"/>
              <w:bottom w:val="single" w:sz="4" w:space="0" w:color="auto"/>
              <w:right w:val="nil"/>
            </w:tcBorders>
            <w:shd w:val="clear" w:color="auto" w:fill="FFFFFF" w:themeFill="background1"/>
            <w:vAlign w:val="center"/>
          </w:tcPr>
          <w:p w14:paraId="3438DE5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063DE7">
              <w:rPr>
                <w:color w:val="000000"/>
                <w:sz w:val="18"/>
                <w:szCs w:val="18"/>
              </w:rPr>
              <w:t>59</w:t>
            </w:r>
          </w:p>
        </w:tc>
        <w:tc>
          <w:tcPr>
            <w:tcW w:w="576" w:type="dxa"/>
            <w:tcBorders>
              <w:top w:val="nil"/>
              <w:left w:val="nil"/>
              <w:bottom w:val="single" w:sz="4" w:space="0" w:color="auto"/>
              <w:right w:val="nil"/>
            </w:tcBorders>
            <w:shd w:val="clear" w:color="auto" w:fill="FFFFFF" w:themeFill="background1"/>
            <w:vAlign w:val="center"/>
          </w:tcPr>
          <w:p w14:paraId="04B729F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20.1</w:t>
            </w:r>
          </w:p>
        </w:tc>
        <w:tc>
          <w:tcPr>
            <w:tcW w:w="1146" w:type="dxa"/>
            <w:tcBorders>
              <w:top w:val="nil"/>
              <w:left w:val="nil"/>
              <w:bottom w:val="single" w:sz="4" w:space="0" w:color="auto"/>
              <w:right w:val="nil"/>
            </w:tcBorders>
            <w:shd w:val="clear" w:color="auto" w:fill="FFFFFF" w:themeFill="background1"/>
            <w:vAlign w:val="center"/>
          </w:tcPr>
          <w:p w14:paraId="01D0D71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(12.6, 27.6)</w:t>
            </w:r>
          </w:p>
        </w:tc>
      </w:tr>
      <w:tr w:rsidR="009118DA" w:rsidRPr="00063DE7" w14:paraId="08921647"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5131" w:type="dxa"/>
            <w:gridSpan w:val="3"/>
            <w:tcBorders>
              <w:top w:val="single" w:sz="4" w:space="0" w:color="auto"/>
              <w:left w:val="nil"/>
              <w:bottom w:val="nil"/>
              <w:right w:val="nil"/>
            </w:tcBorders>
            <w:vAlign w:val="center"/>
          </w:tcPr>
          <w:p w14:paraId="429C0D28" w14:textId="77777777" w:rsidR="003D7BB5" w:rsidRPr="00063DE7" w:rsidRDefault="003D7BB5" w:rsidP="00DD0F28">
            <w:pPr>
              <w:keepNext/>
              <w:spacing w:before="20" w:after="20"/>
              <w:rPr>
                <w:rFonts w:eastAsiaTheme="minorEastAsia"/>
                <w:sz w:val="18"/>
                <w:szCs w:val="18"/>
                <w:lang w:eastAsia="en-US"/>
              </w:rPr>
            </w:pPr>
            <w:r w:rsidRPr="00063DE7">
              <w:rPr>
                <w:rFonts w:eastAsiaTheme="minorEastAsia"/>
                <w:sz w:val="18"/>
                <w:szCs w:val="18"/>
                <w:lang w:eastAsia="en-US"/>
              </w:rPr>
              <w:t>Typical monthly gambling expenditure</w:t>
            </w:r>
          </w:p>
        </w:tc>
        <w:tc>
          <w:tcPr>
            <w:tcW w:w="1146" w:type="dxa"/>
            <w:tcBorders>
              <w:top w:val="single" w:sz="4" w:space="0" w:color="auto"/>
              <w:left w:val="nil"/>
              <w:bottom w:val="nil"/>
              <w:right w:val="single" w:sz="4" w:space="0" w:color="auto"/>
            </w:tcBorders>
            <w:noWrap/>
            <w:vAlign w:val="center"/>
          </w:tcPr>
          <w:p w14:paraId="77B18228"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16" w:type="dxa"/>
            <w:tcBorders>
              <w:top w:val="single" w:sz="4" w:space="0" w:color="auto"/>
              <w:left w:val="single" w:sz="4" w:space="0" w:color="auto"/>
              <w:bottom w:val="nil"/>
              <w:right w:val="nil"/>
            </w:tcBorders>
            <w:noWrap/>
            <w:vAlign w:val="center"/>
          </w:tcPr>
          <w:p w14:paraId="6FDB356F"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67" w:type="dxa"/>
            <w:tcBorders>
              <w:top w:val="single" w:sz="4" w:space="0" w:color="auto"/>
              <w:left w:val="nil"/>
              <w:bottom w:val="nil"/>
              <w:right w:val="nil"/>
            </w:tcBorders>
            <w:noWrap/>
            <w:vAlign w:val="center"/>
          </w:tcPr>
          <w:p w14:paraId="479DDBBC"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single" w:sz="4" w:space="0" w:color="auto"/>
              <w:left w:val="nil"/>
              <w:bottom w:val="nil"/>
              <w:right w:val="single" w:sz="4" w:space="0" w:color="000000"/>
            </w:tcBorders>
            <w:shd w:val="clear" w:color="auto" w:fill="FFFFFF" w:themeFill="background1"/>
            <w:noWrap/>
            <w:vAlign w:val="center"/>
          </w:tcPr>
          <w:p w14:paraId="0E03913E"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36" w:type="dxa"/>
            <w:tcBorders>
              <w:top w:val="single" w:sz="4" w:space="0" w:color="auto"/>
              <w:left w:val="single" w:sz="4" w:space="0" w:color="000000"/>
              <w:bottom w:val="nil"/>
              <w:right w:val="nil"/>
            </w:tcBorders>
            <w:shd w:val="clear" w:color="auto" w:fill="FFFFFF" w:themeFill="background1"/>
            <w:vAlign w:val="center"/>
          </w:tcPr>
          <w:p w14:paraId="39E7B81D"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p>
        </w:tc>
        <w:tc>
          <w:tcPr>
            <w:tcW w:w="567" w:type="dxa"/>
            <w:tcBorders>
              <w:top w:val="single" w:sz="4" w:space="0" w:color="auto"/>
              <w:left w:val="nil"/>
              <w:bottom w:val="nil"/>
              <w:right w:val="nil"/>
            </w:tcBorders>
            <w:shd w:val="clear" w:color="auto" w:fill="FFFFFF" w:themeFill="background1"/>
            <w:vAlign w:val="center"/>
          </w:tcPr>
          <w:p w14:paraId="098EFA0B"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146" w:type="dxa"/>
            <w:tcBorders>
              <w:top w:val="single" w:sz="4" w:space="0" w:color="auto"/>
              <w:left w:val="nil"/>
              <w:bottom w:val="nil"/>
              <w:right w:val="single" w:sz="4" w:space="0" w:color="000000"/>
            </w:tcBorders>
            <w:shd w:val="clear" w:color="auto" w:fill="FFFFFF" w:themeFill="background1"/>
            <w:vAlign w:val="center"/>
          </w:tcPr>
          <w:p w14:paraId="4D1B32B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single" w:sz="4" w:space="0" w:color="auto"/>
              <w:left w:val="single" w:sz="4" w:space="0" w:color="000000"/>
              <w:bottom w:val="nil"/>
              <w:right w:val="nil"/>
            </w:tcBorders>
            <w:shd w:val="clear" w:color="auto" w:fill="FFFFFF" w:themeFill="background1"/>
            <w:vAlign w:val="center"/>
          </w:tcPr>
          <w:p w14:paraId="2776661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6" w:type="dxa"/>
            <w:tcBorders>
              <w:top w:val="single" w:sz="4" w:space="0" w:color="auto"/>
              <w:left w:val="nil"/>
              <w:bottom w:val="nil"/>
              <w:right w:val="nil"/>
            </w:tcBorders>
            <w:shd w:val="clear" w:color="auto" w:fill="FFFFFF" w:themeFill="background1"/>
            <w:vAlign w:val="center"/>
          </w:tcPr>
          <w:p w14:paraId="0437234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146" w:type="dxa"/>
            <w:tcBorders>
              <w:top w:val="single" w:sz="4" w:space="0" w:color="auto"/>
              <w:left w:val="nil"/>
              <w:bottom w:val="nil"/>
              <w:right w:val="nil"/>
            </w:tcBorders>
            <w:shd w:val="clear" w:color="auto" w:fill="FFFFFF" w:themeFill="background1"/>
            <w:vAlign w:val="center"/>
          </w:tcPr>
          <w:p w14:paraId="525100A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p>
        </w:tc>
      </w:tr>
      <w:tr w:rsidR="003D7BB5" w:rsidRPr="00063DE7" w14:paraId="5A99A06A"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676D69F2" w14:textId="77777777" w:rsidR="003D7BB5" w:rsidRPr="00063DE7" w:rsidRDefault="003D7BB5" w:rsidP="00DD0F28">
            <w:pPr>
              <w:keepNext/>
              <w:spacing w:before="20" w:after="20"/>
              <w:ind w:left="176"/>
              <w:rPr>
                <w:rFonts w:eastAsiaTheme="minorEastAsia"/>
                <w:b w:val="0"/>
                <w:sz w:val="18"/>
                <w:szCs w:val="18"/>
                <w:lang w:eastAsia="en-US"/>
              </w:rPr>
            </w:pPr>
            <w:r w:rsidRPr="00063DE7">
              <w:rPr>
                <w:rFonts w:eastAsiaTheme="minorEastAsia"/>
                <w:b w:val="0"/>
                <w:sz w:val="18"/>
                <w:szCs w:val="18"/>
                <w:lang w:eastAsia="en-US"/>
              </w:rPr>
              <w:t>No gambling in past year</w:t>
            </w:r>
          </w:p>
        </w:tc>
        <w:tc>
          <w:tcPr>
            <w:tcW w:w="567" w:type="dxa"/>
            <w:tcBorders>
              <w:top w:val="nil"/>
              <w:left w:val="nil"/>
              <w:bottom w:val="nil"/>
              <w:right w:val="nil"/>
            </w:tcBorders>
            <w:noWrap/>
            <w:vAlign w:val="center"/>
          </w:tcPr>
          <w:p w14:paraId="6B86660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063DE7">
              <w:rPr>
                <w:color w:val="000000"/>
                <w:sz w:val="18"/>
                <w:szCs w:val="18"/>
              </w:rPr>
              <w:t>98</w:t>
            </w:r>
          </w:p>
        </w:tc>
        <w:tc>
          <w:tcPr>
            <w:tcW w:w="567" w:type="dxa"/>
            <w:tcBorders>
              <w:top w:val="nil"/>
              <w:left w:val="nil"/>
              <w:bottom w:val="nil"/>
              <w:right w:val="nil"/>
            </w:tcBorders>
            <w:noWrap/>
            <w:vAlign w:val="center"/>
          </w:tcPr>
          <w:p w14:paraId="1E059AE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15.0</w:t>
            </w:r>
          </w:p>
        </w:tc>
        <w:tc>
          <w:tcPr>
            <w:tcW w:w="1146" w:type="dxa"/>
            <w:tcBorders>
              <w:top w:val="nil"/>
              <w:left w:val="nil"/>
              <w:bottom w:val="nil"/>
              <w:right w:val="single" w:sz="4" w:space="0" w:color="auto"/>
            </w:tcBorders>
            <w:noWrap/>
            <w:vAlign w:val="center"/>
          </w:tcPr>
          <w:p w14:paraId="581345F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(12.7, 17.3)</w:t>
            </w:r>
          </w:p>
        </w:tc>
        <w:tc>
          <w:tcPr>
            <w:tcW w:w="516" w:type="dxa"/>
            <w:tcBorders>
              <w:top w:val="nil"/>
              <w:left w:val="single" w:sz="4" w:space="0" w:color="auto"/>
              <w:bottom w:val="nil"/>
              <w:right w:val="nil"/>
            </w:tcBorders>
            <w:noWrap/>
            <w:vAlign w:val="center"/>
          </w:tcPr>
          <w:p w14:paraId="7670C0B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063DE7">
              <w:rPr>
                <w:color w:val="000000"/>
                <w:sz w:val="18"/>
                <w:szCs w:val="18"/>
              </w:rPr>
              <w:t>65</w:t>
            </w:r>
          </w:p>
        </w:tc>
        <w:tc>
          <w:tcPr>
            <w:tcW w:w="567" w:type="dxa"/>
            <w:tcBorders>
              <w:top w:val="nil"/>
              <w:left w:val="nil"/>
              <w:bottom w:val="nil"/>
              <w:right w:val="nil"/>
            </w:tcBorders>
            <w:noWrap/>
            <w:vAlign w:val="center"/>
          </w:tcPr>
          <w:p w14:paraId="5E9F1DF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16.7</w:t>
            </w:r>
          </w:p>
        </w:tc>
        <w:tc>
          <w:tcPr>
            <w:tcW w:w="1146" w:type="dxa"/>
            <w:tcBorders>
              <w:top w:val="nil"/>
              <w:left w:val="nil"/>
              <w:bottom w:val="nil"/>
              <w:right w:val="single" w:sz="4" w:space="0" w:color="000000"/>
            </w:tcBorders>
            <w:shd w:val="clear" w:color="auto" w:fill="FFFFFF" w:themeFill="background1"/>
            <w:noWrap/>
            <w:vAlign w:val="center"/>
          </w:tcPr>
          <w:p w14:paraId="194CE6E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(13.2, 20.3)</w:t>
            </w:r>
          </w:p>
        </w:tc>
        <w:tc>
          <w:tcPr>
            <w:tcW w:w="536" w:type="dxa"/>
            <w:tcBorders>
              <w:top w:val="nil"/>
              <w:left w:val="single" w:sz="4" w:space="0" w:color="000000"/>
              <w:bottom w:val="nil"/>
              <w:right w:val="nil"/>
            </w:tcBorders>
            <w:vAlign w:val="center"/>
          </w:tcPr>
          <w:p w14:paraId="36429D1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063DE7">
              <w:rPr>
                <w:color w:val="000000"/>
                <w:sz w:val="18"/>
                <w:szCs w:val="18"/>
              </w:rPr>
              <w:t>70</w:t>
            </w:r>
          </w:p>
        </w:tc>
        <w:tc>
          <w:tcPr>
            <w:tcW w:w="567" w:type="dxa"/>
            <w:tcBorders>
              <w:top w:val="nil"/>
              <w:left w:val="nil"/>
              <w:bottom w:val="nil"/>
              <w:right w:val="nil"/>
            </w:tcBorders>
            <w:vAlign w:val="center"/>
          </w:tcPr>
          <w:p w14:paraId="349109D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21.5</w:t>
            </w:r>
          </w:p>
        </w:tc>
        <w:tc>
          <w:tcPr>
            <w:tcW w:w="1146" w:type="dxa"/>
            <w:tcBorders>
              <w:top w:val="nil"/>
              <w:left w:val="nil"/>
              <w:bottom w:val="nil"/>
              <w:right w:val="single" w:sz="4" w:space="0" w:color="000000"/>
            </w:tcBorders>
            <w:vAlign w:val="center"/>
          </w:tcPr>
          <w:p w14:paraId="3B3272F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(15.2, 27.7)</w:t>
            </w:r>
          </w:p>
        </w:tc>
        <w:tc>
          <w:tcPr>
            <w:tcW w:w="536" w:type="dxa"/>
            <w:tcBorders>
              <w:top w:val="nil"/>
              <w:left w:val="single" w:sz="4" w:space="0" w:color="000000"/>
              <w:bottom w:val="nil"/>
              <w:right w:val="nil"/>
            </w:tcBorders>
            <w:vAlign w:val="center"/>
          </w:tcPr>
          <w:p w14:paraId="19703D2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063DE7">
              <w:rPr>
                <w:color w:val="000000"/>
                <w:sz w:val="18"/>
                <w:szCs w:val="18"/>
              </w:rPr>
              <w:t>60</w:t>
            </w:r>
          </w:p>
        </w:tc>
        <w:tc>
          <w:tcPr>
            <w:tcW w:w="576" w:type="dxa"/>
            <w:tcBorders>
              <w:top w:val="nil"/>
              <w:left w:val="nil"/>
              <w:bottom w:val="nil"/>
              <w:right w:val="nil"/>
            </w:tcBorders>
            <w:vAlign w:val="center"/>
          </w:tcPr>
          <w:p w14:paraId="01E5C99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20.3</w:t>
            </w:r>
          </w:p>
        </w:tc>
        <w:tc>
          <w:tcPr>
            <w:tcW w:w="1146" w:type="dxa"/>
            <w:tcBorders>
              <w:top w:val="nil"/>
              <w:left w:val="nil"/>
              <w:bottom w:val="nil"/>
              <w:right w:val="nil"/>
            </w:tcBorders>
            <w:vAlign w:val="center"/>
          </w:tcPr>
          <w:p w14:paraId="6773A54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(12.8, 27.8)</w:t>
            </w:r>
          </w:p>
        </w:tc>
      </w:tr>
      <w:tr w:rsidR="009118DA" w:rsidRPr="00063DE7" w14:paraId="4DA1E138"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52ABF5BF" w14:textId="77777777" w:rsidR="003D7BB5" w:rsidRPr="00063DE7" w:rsidRDefault="003D7BB5" w:rsidP="00DD0F28">
            <w:pPr>
              <w:keepNext/>
              <w:spacing w:before="20" w:after="20"/>
              <w:ind w:left="176"/>
              <w:rPr>
                <w:rFonts w:eastAsiaTheme="minorEastAsia"/>
                <w:b w:val="0"/>
                <w:sz w:val="18"/>
                <w:szCs w:val="18"/>
                <w:lang w:eastAsia="en-US"/>
              </w:rPr>
            </w:pPr>
            <w:r w:rsidRPr="00063DE7">
              <w:rPr>
                <w:rFonts w:eastAsiaTheme="minorEastAsia"/>
                <w:b w:val="0"/>
                <w:sz w:val="18"/>
                <w:szCs w:val="18"/>
                <w:lang w:eastAsia="en-US"/>
              </w:rPr>
              <w:t>$1 - $10</w:t>
            </w:r>
          </w:p>
        </w:tc>
        <w:tc>
          <w:tcPr>
            <w:tcW w:w="567" w:type="dxa"/>
            <w:tcBorders>
              <w:top w:val="nil"/>
              <w:left w:val="nil"/>
              <w:bottom w:val="nil"/>
              <w:right w:val="nil"/>
            </w:tcBorders>
            <w:noWrap/>
            <w:vAlign w:val="center"/>
          </w:tcPr>
          <w:p w14:paraId="29FF882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76</w:t>
            </w:r>
          </w:p>
        </w:tc>
        <w:tc>
          <w:tcPr>
            <w:tcW w:w="567" w:type="dxa"/>
            <w:tcBorders>
              <w:top w:val="nil"/>
              <w:left w:val="nil"/>
              <w:bottom w:val="nil"/>
              <w:right w:val="nil"/>
            </w:tcBorders>
            <w:noWrap/>
            <w:vAlign w:val="center"/>
          </w:tcPr>
          <w:p w14:paraId="4B177CB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11.6</w:t>
            </w:r>
          </w:p>
        </w:tc>
        <w:tc>
          <w:tcPr>
            <w:tcW w:w="1146" w:type="dxa"/>
            <w:tcBorders>
              <w:top w:val="nil"/>
              <w:left w:val="nil"/>
              <w:bottom w:val="nil"/>
              <w:right w:val="single" w:sz="4" w:space="0" w:color="auto"/>
            </w:tcBorders>
            <w:noWrap/>
            <w:vAlign w:val="center"/>
          </w:tcPr>
          <w:p w14:paraId="5F17461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(9.5, 13.7)</w:t>
            </w:r>
          </w:p>
        </w:tc>
        <w:tc>
          <w:tcPr>
            <w:tcW w:w="516" w:type="dxa"/>
            <w:tcBorders>
              <w:top w:val="nil"/>
              <w:left w:val="single" w:sz="4" w:space="0" w:color="auto"/>
              <w:bottom w:val="nil"/>
              <w:right w:val="nil"/>
            </w:tcBorders>
            <w:noWrap/>
            <w:vAlign w:val="center"/>
          </w:tcPr>
          <w:p w14:paraId="1AE8347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50</w:t>
            </w:r>
          </w:p>
        </w:tc>
        <w:tc>
          <w:tcPr>
            <w:tcW w:w="567" w:type="dxa"/>
            <w:tcBorders>
              <w:top w:val="nil"/>
              <w:left w:val="nil"/>
              <w:bottom w:val="nil"/>
              <w:right w:val="nil"/>
            </w:tcBorders>
            <w:noWrap/>
            <w:vAlign w:val="center"/>
          </w:tcPr>
          <w:p w14:paraId="5930E8A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12.9</w:t>
            </w:r>
          </w:p>
        </w:tc>
        <w:tc>
          <w:tcPr>
            <w:tcW w:w="1146" w:type="dxa"/>
            <w:tcBorders>
              <w:top w:val="nil"/>
              <w:left w:val="nil"/>
              <w:bottom w:val="nil"/>
              <w:right w:val="single" w:sz="4" w:space="0" w:color="000000"/>
            </w:tcBorders>
            <w:shd w:val="clear" w:color="auto" w:fill="FFFFFF" w:themeFill="background1"/>
            <w:noWrap/>
            <w:vAlign w:val="center"/>
          </w:tcPr>
          <w:p w14:paraId="445B514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(9.8, 15.9)</w:t>
            </w:r>
          </w:p>
        </w:tc>
        <w:tc>
          <w:tcPr>
            <w:tcW w:w="536" w:type="dxa"/>
            <w:tcBorders>
              <w:top w:val="nil"/>
              <w:left w:val="single" w:sz="4" w:space="0" w:color="000000"/>
              <w:bottom w:val="nil"/>
              <w:right w:val="nil"/>
            </w:tcBorders>
            <w:shd w:val="clear" w:color="auto" w:fill="FFFFFF" w:themeFill="background1"/>
            <w:vAlign w:val="center"/>
          </w:tcPr>
          <w:p w14:paraId="7E4AB4A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41</w:t>
            </w:r>
          </w:p>
        </w:tc>
        <w:tc>
          <w:tcPr>
            <w:tcW w:w="567" w:type="dxa"/>
            <w:tcBorders>
              <w:top w:val="nil"/>
              <w:left w:val="nil"/>
              <w:bottom w:val="nil"/>
              <w:right w:val="nil"/>
            </w:tcBorders>
            <w:shd w:val="clear" w:color="auto" w:fill="FFFFFF" w:themeFill="background1"/>
            <w:vAlign w:val="center"/>
          </w:tcPr>
          <w:p w14:paraId="1300BDD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12.5</w:t>
            </w:r>
          </w:p>
        </w:tc>
        <w:tc>
          <w:tcPr>
            <w:tcW w:w="1146" w:type="dxa"/>
            <w:tcBorders>
              <w:top w:val="nil"/>
              <w:left w:val="nil"/>
              <w:bottom w:val="nil"/>
              <w:right w:val="single" w:sz="4" w:space="0" w:color="000000"/>
            </w:tcBorders>
            <w:shd w:val="clear" w:color="auto" w:fill="FFFFFF" w:themeFill="background1"/>
            <w:vAlign w:val="center"/>
          </w:tcPr>
          <w:p w14:paraId="1E80897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(8.8, 16.1)</w:t>
            </w:r>
          </w:p>
        </w:tc>
        <w:tc>
          <w:tcPr>
            <w:tcW w:w="536" w:type="dxa"/>
            <w:tcBorders>
              <w:top w:val="nil"/>
              <w:left w:val="single" w:sz="4" w:space="0" w:color="000000"/>
              <w:bottom w:val="nil"/>
              <w:right w:val="nil"/>
            </w:tcBorders>
            <w:shd w:val="clear" w:color="auto" w:fill="FFFFFF" w:themeFill="background1"/>
            <w:vAlign w:val="center"/>
          </w:tcPr>
          <w:p w14:paraId="4425C32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41</w:t>
            </w:r>
          </w:p>
        </w:tc>
        <w:tc>
          <w:tcPr>
            <w:tcW w:w="576" w:type="dxa"/>
            <w:tcBorders>
              <w:top w:val="nil"/>
              <w:left w:val="nil"/>
              <w:bottom w:val="nil"/>
              <w:right w:val="nil"/>
            </w:tcBorders>
            <w:shd w:val="clear" w:color="auto" w:fill="FFFFFF" w:themeFill="background1"/>
            <w:vAlign w:val="center"/>
          </w:tcPr>
          <w:p w14:paraId="77BCF98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13.8</w:t>
            </w:r>
          </w:p>
        </w:tc>
        <w:tc>
          <w:tcPr>
            <w:tcW w:w="1146" w:type="dxa"/>
            <w:tcBorders>
              <w:top w:val="nil"/>
              <w:left w:val="nil"/>
              <w:bottom w:val="nil"/>
              <w:right w:val="nil"/>
            </w:tcBorders>
            <w:shd w:val="clear" w:color="auto" w:fill="FFFFFF" w:themeFill="background1"/>
            <w:vAlign w:val="center"/>
          </w:tcPr>
          <w:p w14:paraId="27BE612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(9.6, 18.1)</w:t>
            </w:r>
          </w:p>
        </w:tc>
      </w:tr>
      <w:tr w:rsidR="009118DA" w:rsidRPr="00063DE7" w14:paraId="0CE53F9C"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564A0931" w14:textId="77777777" w:rsidR="003D7BB5" w:rsidRPr="00063DE7" w:rsidRDefault="003D7BB5" w:rsidP="00DD0F28">
            <w:pPr>
              <w:keepNext/>
              <w:spacing w:before="20" w:after="20"/>
              <w:ind w:left="176"/>
              <w:rPr>
                <w:rFonts w:eastAsiaTheme="minorEastAsia"/>
                <w:b w:val="0"/>
                <w:sz w:val="18"/>
                <w:szCs w:val="18"/>
                <w:lang w:eastAsia="en-US"/>
              </w:rPr>
            </w:pPr>
            <w:r w:rsidRPr="00063DE7">
              <w:rPr>
                <w:rFonts w:eastAsiaTheme="minorEastAsia"/>
                <w:b w:val="0"/>
                <w:sz w:val="18"/>
                <w:szCs w:val="18"/>
                <w:lang w:eastAsia="en-US"/>
              </w:rPr>
              <w:t>$11 - $20</w:t>
            </w:r>
          </w:p>
        </w:tc>
        <w:tc>
          <w:tcPr>
            <w:tcW w:w="567" w:type="dxa"/>
            <w:tcBorders>
              <w:top w:val="nil"/>
              <w:left w:val="nil"/>
              <w:bottom w:val="nil"/>
              <w:right w:val="nil"/>
            </w:tcBorders>
            <w:noWrap/>
            <w:vAlign w:val="center"/>
          </w:tcPr>
          <w:p w14:paraId="714F938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96</w:t>
            </w:r>
          </w:p>
        </w:tc>
        <w:tc>
          <w:tcPr>
            <w:tcW w:w="567" w:type="dxa"/>
            <w:tcBorders>
              <w:top w:val="nil"/>
              <w:left w:val="nil"/>
              <w:bottom w:val="nil"/>
              <w:right w:val="nil"/>
            </w:tcBorders>
            <w:noWrap/>
            <w:vAlign w:val="center"/>
          </w:tcPr>
          <w:p w14:paraId="14DCD15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14.8</w:t>
            </w:r>
          </w:p>
        </w:tc>
        <w:tc>
          <w:tcPr>
            <w:tcW w:w="1146" w:type="dxa"/>
            <w:tcBorders>
              <w:top w:val="nil"/>
              <w:left w:val="nil"/>
              <w:bottom w:val="nil"/>
              <w:right w:val="single" w:sz="4" w:space="0" w:color="auto"/>
            </w:tcBorders>
            <w:noWrap/>
            <w:vAlign w:val="center"/>
          </w:tcPr>
          <w:p w14:paraId="7657716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(12.5, 17)</w:t>
            </w:r>
          </w:p>
        </w:tc>
        <w:tc>
          <w:tcPr>
            <w:tcW w:w="516" w:type="dxa"/>
            <w:tcBorders>
              <w:top w:val="nil"/>
              <w:left w:val="single" w:sz="4" w:space="0" w:color="auto"/>
              <w:bottom w:val="nil"/>
              <w:right w:val="nil"/>
            </w:tcBorders>
            <w:noWrap/>
            <w:vAlign w:val="center"/>
          </w:tcPr>
          <w:p w14:paraId="13A79B1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54</w:t>
            </w:r>
          </w:p>
        </w:tc>
        <w:tc>
          <w:tcPr>
            <w:tcW w:w="567" w:type="dxa"/>
            <w:tcBorders>
              <w:top w:val="nil"/>
              <w:left w:val="nil"/>
              <w:bottom w:val="nil"/>
              <w:right w:val="nil"/>
            </w:tcBorders>
            <w:noWrap/>
            <w:vAlign w:val="center"/>
          </w:tcPr>
          <w:p w14:paraId="1FF4E32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14.0</w:t>
            </w:r>
          </w:p>
        </w:tc>
        <w:tc>
          <w:tcPr>
            <w:tcW w:w="1146" w:type="dxa"/>
            <w:tcBorders>
              <w:top w:val="nil"/>
              <w:left w:val="nil"/>
              <w:bottom w:val="nil"/>
              <w:right w:val="single" w:sz="4" w:space="0" w:color="000000"/>
            </w:tcBorders>
            <w:shd w:val="clear" w:color="auto" w:fill="FFFFFF" w:themeFill="background1"/>
            <w:noWrap/>
            <w:vAlign w:val="center"/>
          </w:tcPr>
          <w:p w14:paraId="10BBDC7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(10.9, 17.2)</w:t>
            </w:r>
          </w:p>
        </w:tc>
        <w:tc>
          <w:tcPr>
            <w:tcW w:w="536" w:type="dxa"/>
            <w:tcBorders>
              <w:top w:val="nil"/>
              <w:left w:val="single" w:sz="4" w:space="0" w:color="000000"/>
              <w:bottom w:val="nil"/>
              <w:right w:val="nil"/>
            </w:tcBorders>
            <w:shd w:val="clear" w:color="auto" w:fill="FFFFFF" w:themeFill="background1"/>
            <w:vAlign w:val="center"/>
          </w:tcPr>
          <w:p w14:paraId="12056DA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38</w:t>
            </w:r>
          </w:p>
        </w:tc>
        <w:tc>
          <w:tcPr>
            <w:tcW w:w="567" w:type="dxa"/>
            <w:tcBorders>
              <w:top w:val="nil"/>
              <w:left w:val="nil"/>
              <w:bottom w:val="nil"/>
              <w:right w:val="nil"/>
            </w:tcBorders>
            <w:shd w:val="clear" w:color="auto" w:fill="FFFFFF" w:themeFill="background1"/>
            <w:vAlign w:val="center"/>
          </w:tcPr>
          <w:p w14:paraId="754CE19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11.7</w:t>
            </w:r>
          </w:p>
        </w:tc>
        <w:tc>
          <w:tcPr>
            <w:tcW w:w="1146" w:type="dxa"/>
            <w:tcBorders>
              <w:top w:val="nil"/>
              <w:left w:val="nil"/>
              <w:bottom w:val="nil"/>
              <w:right w:val="single" w:sz="4" w:space="0" w:color="000000"/>
            </w:tcBorders>
            <w:shd w:val="clear" w:color="auto" w:fill="FFFFFF" w:themeFill="background1"/>
            <w:vAlign w:val="center"/>
          </w:tcPr>
          <w:p w14:paraId="2176EE4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(8.7, 14.8)</w:t>
            </w:r>
          </w:p>
        </w:tc>
        <w:tc>
          <w:tcPr>
            <w:tcW w:w="536" w:type="dxa"/>
            <w:tcBorders>
              <w:top w:val="nil"/>
              <w:left w:val="single" w:sz="4" w:space="0" w:color="000000"/>
              <w:bottom w:val="nil"/>
              <w:right w:val="nil"/>
            </w:tcBorders>
            <w:shd w:val="clear" w:color="auto" w:fill="FFFFFF" w:themeFill="background1"/>
            <w:vAlign w:val="center"/>
          </w:tcPr>
          <w:p w14:paraId="6A9F782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35</w:t>
            </w:r>
          </w:p>
        </w:tc>
        <w:tc>
          <w:tcPr>
            <w:tcW w:w="576" w:type="dxa"/>
            <w:tcBorders>
              <w:top w:val="nil"/>
              <w:left w:val="nil"/>
              <w:bottom w:val="nil"/>
              <w:right w:val="nil"/>
            </w:tcBorders>
            <w:shd w:val="clear" w:color="auto" w:fill="FFFFFF" w:themeFill="background1"/>
            <w:vAlign w:val="center"/>
          </w:tcPr>
          <w:p w14:paraId="02D134A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12.1</w:t>
            </w:r>
          </w:p>
        </w:tc>
        <w:tc>
          <w:tcPr>
            <w:tcW w:w="1146" w:type="dxa"/>
            <w:tcBorders>
              <w:top w:val="nil"/>
              <w:left w:val="nil"/>
              <w:bottom w:val="nil"/>
              <w:right w:val="nil"/>
            </w:tcBorders>
            <w:shd w:val="clear" w:color="auto" w:fill="FFFFFF" w:themeFill="background1"/>
            <w:vAlign w:val="center"/>
          </w:tcPr>
          <w:p w14:paraId="2EDDC54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(8.9, 15.3)</w:t>
            </w:r>
          </w:p>
        </w:tc>
      </w:tr>
      <w:tr w:rsidR="009118DA" w:rsidRPr="00063DE7" w14:paraId="3C50CD3B"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51C60ADA" w14:textId="77777777" w:rsidR="003D7BB5" w:rsidRPr="00063DE7" w:rsidRDefault="003D7BB5" w:rsidP="00DD0F28">
            <w:pPr>
              <w:keepNext/>
              <w:spacing w:before="20" w:after="20"/>
              <w:ind w:left="176"/>
              <w:rPr>
                <w:rFonts w:eastAsiaTheme="minorEastAsia"/>
                <w:b w:val="0"/>
                <w:sz w:val="18"/>
                <w:szCs w:val="18"/>
                <w:lang w:eastAsia="en-US"/>
              </w:rPr>
            </w:pPr>
            <w:r w:rsidRPr="00063DE7">
              <w:rPr>
                <w:rFonts w:eastAsiaTheme="minorEastAsia"/>
                <w:b w:val="0"/>
                <w:sz w:val="18"/>
                <w:szCs w:val="18"/>
                <w:lang w:eastAsia="en-US"/>
              </w:rPr>
              <w:t>$21 - $30</w:t>
            </w:r>
          </w:p>
        </w:tc>
        <w:tc>
          <w:tcPr>
            <w:tcW w:w="567" w:type="dxa"/>
            <w:tcBorders>
              <w:top w:val="nil"/>
              <w:left w:val="nil"/>
              <w:bottom w:val="nil"/>
              <w:right w:val="nil"/>
            </w:tcBorders>
            <w:noWrap/>
            <w:vAlign w:val="center"/>
          </w:tcPr>
          <w:p w14:paraId="359B3C7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65</w:t>
            </w:r>
          </w:p>
        </w:tc>
        <w:tc>
          <w:tcPr>
            <w:tcW w:w="567" w:type="dxa"/>
            <w:tcBorders>
              <w:top w:val="nil"/>
              <w:left w:val="nil"/>
              <w:bottom w:val="nil"/>
              <w:right w:val="nil"/>
            </w:tcBorders>
            <w:noWrap/>
            <w:vAlign w:val="center"/>
          </w:tcPr>
          <w:p w14:paraId="1F6B70F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10.0</w:t>
            </w:r>
          </w:p>
        </w:tc>
        <w:tc>
          <w:tcPr>
            <w:tcW w:w="1146" w:type="dxa"/>
            <w:tcBorders>
              <w:top w:val="nil"/>
              <w:left w:val="nil"/>
              <w:bottom w:val="nil"/>
              <w:right w:val="single" w:sz="4" w:space="0" w:color="auto"/>
            </w:tcBorders>
            <w:noWrap/>
            <w:vAlign w:val="center"/>
          </w:tcPr>
          <w:p w14:paraId="77D924A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(8.1, 11.8)</w:t>
            </w:r>
          </w:p>
        </w:tc>
        <w:tc>
          <w:tcPr>
            <w:tcW w:w="516" w:type="dxa"/>
            <w:tcBorders>
              <w:top w:val="nil"/>
              <w:left w:val="single" w:sz="4" w:space="0" w:color="auto"/>
              <w:bottom w:val="nil"/>
              <w:right w:val="nil"/>
            </w:tcBorders>
            <w:noWrap/>
            <w:vAlign w:val="center"/>
          </w:tcPr>
          <w:p w14:paraId="6060A0C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45</w:t>
            </w:r>
          </w:p>
        </w:tc>
        <w:tc>
          <w:tcPr>
            <w:tcW w:w="567" w:type="dxa"/>
            <w:tcBorders>
              <w:top w:val="nil"/>
              <w:left w:val="nil"/>
              <w:bottom w:val="nil"/>
              <w:right w:val="nil"/>
            </w:tcBorders>
            <w:noWrap/>
            <w:vAlign w:val="center"/>
          </w:tcPr>
          <w:p w14:paraId="760467B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11.6</w:t>
            </w:r>
          </w:p>
        </w:tc>
        <w:tc>
          <w:tcPr>
            <w:tcW w:w="1146" w:type="dxa"/>
            <w:tcBorders>
              <w:top w:val="nil"/>
              <w:left w:val="nil"/>
              <w:bottom w:val="nil"/>
              <w:right w:val="single" w:sz="4" w:space="0" w:color="000000"/>
            </w:tcBorders>
            <w:shd w:val="clear" w:color="auto" w:fill="FFFFFF" w:themeFill="background1"/>
            <w:noWrap/>
            <w:vAlign w:val="center"/>
          </w:tcPr>
          <w:p w14:paraId="220C335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(8.2, 14.9)</w:t>
            </w:r>
          </w:p>
        </w:tc>
        <w:tc>
          <w:tcPr>
            <w:tcW w:w="536" w:type="dxa"/>
            <w:tcBorders>
              <w:top w:val="nil"/>
              <w:left w:val="single" w:sz="4" w:space="0" w:color="000000"/>
              <w:bottom w:val="nil"/>
              <w:right w:val="nil"/>
            </w:tcBorders>
            <w:shd w:val="clear" w:color="auto" w:fill="FFFFFF" w:themeFill="background1"/>
            <w:vAlign w:val="center"/>
          </w:tcPr>
          <w:p w14:paraId="4919A83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30</w:t>
            </w:r>
          </w:p>
        </w:tc>
        <w:tc>
          <w:tcPr>
            <w:tcW w:w="567" w:type="dxa"/>
            <w:tcBorders>
              <w:top w:val="nil"/>
              <w:left w:val="nil"/>
              <w:bottom w:val="nil"/>
              <w:right w:val="nil"/>
            </w:tcBorders>
            <w:shd w:val="clear" w:color="auto" w:fill="FFFFFF" w:themeFill="background1"/>
            <w:vAlign w:val="center"/>
          </w:tcPr>
          <w:p w14:paraId="7857B84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9.3</w:t>
            </w:r>
          </w:p>
        </w:tc>
        <w:tc>
          <w:tcPr>
            <w:tcW w:w="1146" w:type="dxa"/>
            <w:tcBorders>
              <w:top w:val="nil"/>
              <w:left w:val="nil"/>
              <w:bottom w:val="nil"/>
              <w:right w:val="single" w:sz="4" w:space="0" w:color="000000"/>
            </w:tcBorders>
            <w:shd w:val="clear" w:color="auto" w:fill="FFFFFF" w:themeFill="background1"/>
            <w:vAlign w:val="center"/>
          </w:tcPr>
          <w:p w14:paraId="584625C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(6.8, 11.8)</w:t>
            </w:r>
          </w:p>
        </w:tc>
        <w:tc>
          <w:tcPr>
            <w:tcW w:w="536" w:type="dxa"/>
            <w:tcBorders>
              <w:top w:val="nil"/>
              <w:left w:val="single" w:sz="4" w:space="0" w:color="000000"/>
              <w:bottom w:val="nil"/>
              <w:right w:val="nil"/>
            </w:tcBorders>
            <w:shd w:val="clear" w:color="auto" w:fill="FFFFFF" w:themeFill="background1"/>
            <w:vAlign w:val="center"/>
          </w:tcPr>
          <w:p w14:paraId="1624525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21</w:t>
            </w:r>
          </w:p>
        </w:tc>
        <w:tc>
          <w:tcPr>
            <w:tcW w:w="576" w:type="dxa"/>
            <w:tcBorders>
              <w:top w:val="nil"/>
              <w:left w:val="nil"/>
              <w:bottom w:val="nil"/>
              <w:right w:val="nil"/>
            </w:tcBorders>
            <w:shd w:val="clear" w:color="auto" w:fill="FFFFFF" w:themeFill="background1"/>
            <w:vAlign w:val="center"/>
          </w:tcPr>
          <w:p w14:paraId="0A77573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7.1</w:t>
            </w:r>
          </w:p>
        </w:tc>
        <w:tc>
          <w:tcPr>
            <w:tcW w:w="1146" w:type="dxa"/>
            <w:tcBorders>
              <w:top w:val="nil"/>
              <w:left w:val="nil"/>
              <w:bottom w:val="nil"/>
              <w:right w:val="nil"/>
            </w:tcBorders>
            <w:shd w:val="clear" w:color="auto" w:fill="FFFFFF" w:themeFill="background1"/>
            <w:vAlign w:val="center"/>
          </w:tcPr>
          <w:p w14:paraId="1F5934F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(4.7, 9.6)</w:t>
            </w:r>
          </w:p>
        </w:tc>
      </w:tr>
      <w:tr w:rsidR="009118DA" w:rsidRPr="00063DE7" w14:paraId="2DDF3C68"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02DE1572" w14:textId="77777777" w:rsidR="003D7BB5" w:rsidRPr="00063DE7" w:rsidRDefault="003D7BB5" w:rsidP="00DD0F28">
            <w:pPr>
              <w:keepNext/>
              <w:spacing w:before="20" w:after="20"/>
              <w:ind w:left="176"/>
              <w:rPr>
                <w:rFonts w:eastAsiaTheme="minorEastAsia"/>
                <w:b w:val="0"/>
                <w:sz w:val="18"/>
                <w:szCs w:val="18"/>
                <w:lang w:eastAsia="en-US"/>
              </w:rPr>
            </w:pPr>
            <w:r w:rsidRPr="00063DE7">
              <w:rPr>
                <w:rFonts w:eastAsiaTheme="minorEastAsia"/>
                <w:b w:val="0"/>
                <w:sz w:val="18"/>
                <w:szCs w:val="18"/>
                <w:lang w:eastAsia="en-US"/>
              </w:rPr>
              <w:t>$31 - $50</w:t>
            </w:r>
          </w:p>
        </w:tc>
        <w:tc>
          <w:tcPr>
            <w:tcW w:w="567" w:type="dxa"/>
            <w:tcBorders>
              <w:top w:val="nil"/>
              <w:left w:val="nil"/>
              <w:bottom w:val="nil"/>
              <w:right w:val="nil"/>
            </w:tcBorders>
            <w:noWrap/>
            <w:vAlign w:val="center"/>
          </w:tcPr>
          <w:p w14:paraId="1CE9750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80</w:t>
            </w:r>
          </w:p>
        </w:tc>
        <w:tc>
          <w:tcPr>
            <w:tcW w:w="567" w:type="dxa"/>
            <w:tcBorders>
              <w:top w:val="nil"/>
              <w:left w:val="nil"/>
              <w:bottom w:val="nil"/>
              <w:right w:val="nil"/>
            </w:tcBorders>
            <w:noWrap/>
            <w:vAlign w:val="center"/>
          </w:tcPr>
          <w:p w14:paraId="433C6E3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12.3</w:t>
            </w:r>
          </w:p>
        </w:tc>
        <w:tc>
          <w:tcPr>
            <w:tcW w:w="1146" w:type="dxa"/>
            <w:tcBorders>
              <w:top w:val="nil"/>
              <w:left w:val="nil"/>
              <w:bottom w:val="nil"/>
              <w:right w:val="single" w:sz="4" w:space="0" w:color="auto"/>
            </w:tcBorders>
            <w:noWrap/>
            <w:vAlign w:val="center"/>
          </w:tcPr>
          <w:p w14:paraId="005DBD9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(10.3, 14.4)</w:t>
            </w:r>
          </w:p>
        </w:tc>
        <w:tc>
          <w:tcPr>
            <w:tcW w:w="516" w:type="dxa"/>
            <w:tcBorders>
              <w:top w:val="nil"/>
              <w:left w:val="single" w:sz="4" w:space="0" w:color="auto"/>
              <w:bottom w:val="nil"/>
              <w:right w:val="nil"/>
            </w:tcBorders>
            <w:noWrap/>
            <w:vAlign w:val="center"/>
          </w:tcPr>
          <w:p w14:paraId="273F939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39</w:t>
            </w:r>
          </w:p>
        </w:tc>
        <w:tc>
          <w:tcPr>
            <w:tcW w:w="567" w:type="dxa"/>
            <w:tcBorders>
              <w:top w:val="nil"/>
              <w:left w:val="nil"/>
              <w:bottom w:val="nil"/>
              <w:right w:val="nil"/>
            </w:tcBorders>
            <w:noWrap/>
            <w:vAlign w:val="center"/>
          </w:tcPr>
          <w:p w14:paraId="4D0CD44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10.0</w:t>
            </w:r>
          </w:p>
        </w:tc>
        <w:tc>
          <w:tcPr>
            <w:tcW w:w="1146" w:type="dxa"/>
            <w:tcBorders>
              <w:top w:val="nil"/>
              <w:left w:val="nil"/>
              <w:bottom w:val="nil"/>
              <w:right w:val="single" w:sz="4" w:space="0" w:color="000000"/>
            </w:tcBorders>
            <w:shd w:val="clear" w:color="auto" w:fill="FFFFFF" w:themeFill="background1"/>
            <w:noWrap/>
            <w:vAlign w:val="center"/>
          </w:tcPr>
          <w:p w14:paraId="00379AC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(7.5, 12.5)</w:t>
            </w:r>
          </w:p>
        </w:tc>
        <w:tc>
          <w:tcPr>
            <w:tcW w:w="536" w:type="dxa"/>
            <w:tcBorders>
              <w:top w:val="nil"/>
              <w:left w:val="single" w:sz="4" w:space="0" w:color="000000"/>
              <w:bottom w:val="nil"/>
              <w:right w:val="nil"/>
            </w:tcBorders>
            <w:shd w:val="clear" w:color="auto" w:fill="FFFFFF" w:themeFill="background1"/>
            <w:vAlign w:val="center"/>
          </w:tcPr>
          <w:p w14:paraId="7039A3F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37</w:t>
            </w:r>
          </w:p>
        </w:tc>
        <w:tc>
          <w:tcPr>
            <w:tcW w:w="567" w:type="dxa"/>
            <w:tcBorders>
              <w:top w:val="nil"/>
              <w:left w:val="nil"/>
              <w:bottom w:val="nil"/>
              <w:right w:val="nil"/>
            </w:tcBorders>
            <w:shd w:val="clear" w:color="auto" w:fill="FFFFFF" w:themeFill="background1"/>
            <w:vAlign w:val="center"/>
          </w:tcPr>
          <w:p w14:paraId="6E5485E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11.4</w:t>
            </w:r>
          </w:p>
        </w:tc>
        <w:tc>
          <w:tcPr>
            <w:tcW w:w="1146" w:type="dxa"/>
            <w:tcBorders>
              <w:top w:val="nil"/>
              <w:left w:val="nil"/>
              <w:bottom w:val="nil"/>
              <w:right w:val="single" w:sz="4" w:space="0" w:color="000000"/>
            </w:tcBorders>
            <w:shd w:val="clear" w:color="auto" w:fill="FFFFFF" w:themeFill="background1"/>
            <w:vAlign w:val="center"/>
          </w:tcPr>
          <w:p w14:paraId="3BA3216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(8.4, 14.3)</w:t>
            </w:r>
          </w:p>
        </w:tc>
        <w:tc>
          <w:tcPr>
            <w:tcW w:w="536" w:type="dxa"/>
            <w:tcBorders>
              <w:top w:val="nil"/>
              <w:left w:val="single" w:sz="4" w:space="0" w:color="000000"/>
              <w:bottom w:val="nil"/>
              <w:right w:val="nil"/>
            </w:tcBorders>
            <w:shd w:val="clear" w:color="auto" w:fill="FFFFFF" w:themeFill="background1"/>
            <w:vAlign w:val="center"/>
          </w:tcPr>
          <w:p w14:paraId="7C46395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47</w:t>
            </w:r>
          </w:p>
        </w:tc>
        <w:tc>
          <w:tcPr>
            <w:tcW w:w="576" w:type="dxa"/>
            <w:tcBorders>
              <w:top w:val="nil"/>
              <w:left w:val="nil"/>
              <w:bottom w:val="nil"/>
              <w:right w:val="nil"/>
            </w:tcBorders>
            <w:shd w:val="clear" w:color="auto" w:fill="FFFFFF" w:themeFill="background1"/>
            <w:vAlign w:val="center"/>
          </w:tcPr>
          <w:p w14:paraId="2D12001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16.2</w:t>
            </w:r>
          </w:p>
        </w:tc>
        <w:tc>
          <w:tcPr>
            <w:tcW w:w="1146" w:type="dxa"/>
            <w:tcBorders>
              <w:top w:val="nil"/>
              <w:left w:val="nil"/>
              <w:bottom w:val="nil"/>
              <w:right w:val="nil"/>
            </w:tcBorders>
            <w:shd w:val="clear" w:color="auto" w:fill="FFFFFF" w:themeFill="background1"/>
            <w:vAlign w:val="center"/>
          </w:tcPr>
          <w:p w14:paraId="269B462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(10.6, 21.8)</w:t>
            </w:r>
          </w:p>
        </w:tc>
      </w:tr>
      <w:tr w:rsidR="009118DA" w:rsidRPr="00063DE7" w14:paraId="56B8F7DD"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681D2D62" w14:textId="77777777" w:rsidR="003D7BB5" w:rsidRPr="00063DE7" w:rsidRDefault="003D7BB5" w:rsidP="00DD0F28">
            <w:pPr>
              <w:keepNext/>
              <w:spacing w:before="20" w:after="20"/>
              <w:ind w:left="176"/>
              <w:rPr>
                <w:rFonts w:eastAsiaTheme="minorEastAsia"/>
                <w:b w:val="0"/>
                <w:sz w:val="18"/>
                <w:szCs w:val="18"/>
                <w:lang w:eastAsia="en-US"/>
              </w:rPr>
            </w:pPr>
            <w:r w:rsidRPr="00063DE7">
              <w:rPr>
                <w:rFonts w:eastAsiaTheme="minorEastAsia"/>
                <w:b w:val="0"/>
                <w:sz w:val="18"/>
                <w:szCs w:val="18"/>
                <w:lang w:eastAsia="en-US"/>
              </w:rPr>
              <w:t>$51 - $100</w:t>
            </w:r>
          </w:p>
        </w:tc>
        <w:tc>
          <w:tcPr>
            <w:tcW w:w="567" w:type="dxa"/>
            <w:tcBorders>
              <w:top w:val="nil"/>
              <w:left w:val="nil"/>
              <w:bottom w:val="nil"/>
              <w:right w:val="nil"/>
            </w:tcBorders>
            <w:noWrap/>
            <w:vAlign w:val="center"/>
          </w:tcPr>
          <w:p w14:paraId="4262ED0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98</w:t>
            </w:r>
          </w:p>
        </w:tc>
        <w:tc>
          <w:tcPr>
            <w:tcW w:w="567" w:type="dxa"/>
            <w:tcBorders>
              <w:top w:val="nil"/>
              <w:left w:val="nil"/>
              <w:bottom w:val="nil"/>
              <w:right w:val="nil"/>
            </w:tcBorders>
            <w:noWrap/>
            <w:vAlign w:val="center"/>
          </w:tcPr>
          <w:p w14:paraId="682B287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15.1</w:t>
            </w:r>
          </w:p>
        </w:tc>
        <w:tc>
          <w:tcPr>
            <w:tcW w:w="1146" w:type="dxa"/>
            <w:tcBorders>
              <w:top w:val="nil"/>
              <w:left w:val="nil"/>
              <w:bottom w:val="nil"/>
              <w:right w:val="single" w:sz="4" w:space="0" w:color="auto"/>
            </w:tcBorders>
            <w:noWrap/>
            <w:vAlign w:val="center"/>
          </w:tcPr>
          <w:p w14:paraId="5ABD172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(12.8, 17.3)</w:t>
            </w:r>
          </w:p>
        </w:tc>
        <w:tc>
          <w:tcPr>
            <w:tcW w:w="516" w:type="dxa"/>
            <w:tcBorders>
              <w:top w:val="nil"/>
              <w:left w:val="single" w:sz="4" w:space="0" w:color="auto"/>
              <w:bottom w:val="nil"/>
              <w:right w:val="nil"/>
            </w:tcBorders>
            <w:noWrap/>
            <w:vAlign w:val="center"/>
          </w:tcPr>
          <w:p w14:paraId="232F1C6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63</w:t>
            </w:r>
          </w:p>
        </w:tc>
        <w:tc>
          <w:tcPr>
            <w:tcW w:w="567" w:type="dxa"/>
            <w:tcBorders>
              <w:top w:val="nil"/>
              <w:left w:val="nil"/>
              <w:bottom w:val="nil"/>
              <w:right w:val="nil"/>
            </w:tcBorders>
            <w:noWrap/>
            <w:vAlign w:val="center"/>
          </w:tcPr>
          <w:p w14:paraId="616142F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16.4</w:t>
            </w:r>
          </w:p>
        </w:tc>
        <w:tc>
          <w:tcPr>
            <w:tcW w:w="1146" w:type="dxa"/>
            <w:tcBorders>
              <w:top w:val="nil"/>
              <w:left w:val="nil"/>
              <w:bottom w:val="nil"/>
              <w:right w:val="single" w:sz="4" w:space="0" w:color="000000"/>
            </w:tcBorders>
            <w:shd w:val="clear" w:color="auto" w:fill="FFFFFF" w:themeFill="background1"/>
            <w:noWrap/>
            <w:vAlign w:val="center"/>
          </w:tcPr>
          <w:p w14:paraId="6B536D6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(13.1, 19.6)</w:t>
            </w:r>
          </w:p>
        </w:tc>
        <w:tc>
          <w:tcPr>
            <w:tcW w:w="536" w:type="dxa"/>
            <w:tcBorders>
              <w:top w:val="nil"/>
              <w:left w:val="single" w:sz="4" w:space="0" w:color="000000"/>
              <w:bottom w:val="nil"/>
              <w:right w:val="nil"/>
            </w:tcBorders>
            <w:shd w:val="clear" w:color="auto" w:fill="FFFFFF" w:themeFill="background1"/>
            <w:vAlign w:val="center"/>
          </w:tcPr>
          <w:p w14:paraId="7A99CB0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52</w:t>
            </w:r>
          </w:p>
        </w:tc>
        <w:tc>
          <w:tcPr>
            <w:tcW w:w="567" w:type="dxa"/>
            <w:tcBorders>
              <w:top w:val="nil"/>
              <w:left w:val="nil"/>
              <w:bottom w:val="nil"/>
              <w:right w:val="nil"/>
            </w:tcBorders>
            <w:shd w:val="clear" w:color="auto" w:fill="FFFFFF" w:themeFill="background1"/>
            <w:vAlign w:val="center"/>
          </w:tcPr>
          <w:p w14:paraId="790FDDF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16.0</w:t>
            </w:r>
          </w:p>
        </w:tc>
        <w:tc>
          <w:tcPr>
            <w:tcW w:w="1146" w:type="dxa"/>
            <w:tcBorders>
              <w:top w:val="nil"/>
              <w:left w:val="nil"/>
              <w:bottom w:val="nil"/>
              <w:right w:val="single" w:sz="4" w:space="0" w:color="000000"/>
            </w:tcBorders>
            <w:shd w:val="clear" w:color="auto" w:fill="FFFFFF" w:themeFill="background1"/>
            <w:vAlign w:val="center"/>
          </w:tcPr>
          <w:p w14:paraId="70C3D6C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(11.7, 20.4)</w:t>
            </w:r>
          </w:p>
        </w:tc>
        <w:tc>
          <w:tcPr>
            <w:tcW w:w="536" w:type="dxa"/>
            <w:tcBorders>
              <w:top w:val="nil"/>
              <w:left w:val="single" w:sz="4" w:space="0" w:color="000000"/>
              <w:bottom w:val="nil"/>
              <w:right w:val="nil"/>
            </w:tcBorders>
            <w:shd w:val="clear" w:color="auto" w:fill="FFFFFF" w:themeFill="background1"/>
            <w:vAlign w:val="center"/>
          </w:tcPr>
          <w:p w14:paraId="2414509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44</w:t>
            </w:r>
          </w:p>
        </w:tc>
        <w:tc>
          <w:tcPr>
            <w:tcW w:w="576" w:type="dxa"/>
            <w:tcBorders>
              <w:top w:val="nil"/>
              <w:left w:val="nil"/>
              <w:bottom w:val="nil"/>
              <w:right w:val="nil"/>
            </w:tcBorders>
            <w:shd w:val="clear" w:color="auto" w:fill="FFFFFF" w:themeFill="background1"/>
            <w:vAlign w:val="center"/>
          </w:tcPr>
          <w:p w14:paraId="3A655E4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15.1</w:t>
            </w:r>
          </w:p>
        </w:tc>
        <w:tc>
          <w:tcPr>
            <w:tcW w:w="1146" w:type="dxa"/>
            <w:tcBorders>
              <w:top w:val="nil"/>
              <w:left w:val="nil"/>
              <w:bottom w:val="nil"/>
              <w:right w:val="nil"/>
            </w:tcBorders>
            <w:shd w:val="clear" w:color="auto" w:fill="FFFFFF" w:themeFill="background1"/>
            <w:vAlign w:val="center"/>
          </w:tcPr>
          <w:p w14:paraId="5DDF331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(11.0, 19.2)</w:t>
            </w:r>
          </w:p>
        </w:tc>
      </w:tr>
      <w:tr w:rsidR="003D7BB5" w:rsidRPr="00063DE7" w14:paraId="0D800F25"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1109BDB1" w14:textId="77777777" w:rsidR="003D7BB5" w:rsidRPr="00063DE7" w:rsidRDefault="003D7BB5" w:rsidP="00DD0F28">
            <w:pPr>
              <w:keepNext/>
              <w:spacing w:before="20" w:after="20"/>
              <w:ind w:left="176"/>
              <w:rPr>
                <w:rFonts w:eastAsiaTheme="minorEastAsia"/>
                <w:b w:val="0"/>
                <w:sz w:val="18"/>
                <w:szCs w:val="18"/>
                <w:lang w:eastAsia="en-US"/>
              </w:rPr>
            </w:pPr>
            <w:r w:rsidRPr="00063DE7">
              <w:rPr>
                <w:rFonts w:eastAsiaTheme="minorEastAsia"/>
                <w:b w:val="0"/>
                <w:sz w:val="18"/>
                <w:szCs w:val="18"/>
                <w:lang w:eastAsia="en-US"/>
              </w:rPr>
              <w:t>$101 - $500</w:t>
            </w:r>
          </w:p>
        </w:tc>
        <w:tc>
          <w:tcPr>
            <w:tcW w:w="567" w:type="dxa"/>
            <w:tcBorders>
              <w:top w:val="nil"/>
              <w:left w:val="nil"/>
              <w:bottom w:val="nil"/>
              <w:right w:val="nil"/>
            </w:tcBorders>
            <w:shd w:val="clear" w:color="auto" w:fill="auto"/>
            <w:noWrap/>
            <w:vAlign w:val="center"/>
          </w:tcPr>
          <w:p w14:paraId="3DBEF21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118</w:t>
            </w:r>
          </w:p>
        </w:tc>
        <w:tc>
          <w:tcPr>
            <w:tcW w:w="567" w:type="dxa"/>
            <w:tcBorders>
              <w:top w:val="nil"/>
              <w:left w:val="nil"/>
              <w:bottom w:val="nil"/>
              <w:right w:val="nil"/>
            </w:tcBorders>
            <w:shd w:val="clear" w:color="auto" w:fill="auto"/>
            <w:noWrap/>
            <w:vAlign w:val="center"/>
          </w:tcPr>
          <w:p w14:paraId="6159239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18.1</w:t>
            </w:r>
          </w:p>
        </w:tc>
        <w:tc>
          <w:tcPr>
            <w:tcW w:w="1146" w:type="dxa"/>
            <w:tcBorders>
              <w:top w:val="nil"/>
              <w:left w:val="nil"/>
              <w:bottom w:val="nil"/>
              <w:right w:val="single" w:sz="4" w:space="0" w:color="000000"/>
            </w:tcBorders>
            <w:shd w:val="clear" w:color="auto" w:fill="auto"/>
            <w:noWrap/>
            <w:vAlign w:val="center"/>
          </w:tcPr>
          <w:p w14:paraId="33B6E7D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(15.6, 20.7)</w:t>
            </w:r>
          </w:p>
        </w:tc>
        <w:tc>
          <w:tcPr>
            <w:tcW w:w="516" w:type="dxa"/>
            <w:tcBorders>
              <w:top w:val="nil"/>
              <w:left w:val="single" w:sz="4" w:space="0" w:color="000000"/>
              <w:bottom w:val="nil"/>
              <w:right w:val="nil"/>
            </w:tcBorders>
            <w:shd w:val="clear" w:color="auto" w:fill="auto"/>
            <w:noWrap/>
            <w:vAlign w:val="center"/>
          </w:tcPr>
          <w:p w14:paraId="0AE80AD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61</w:t>
            </w:r>
          </w:p>
        </w:tc>
        <w:tc>
          <w:tcPr>
            <w:tcW w:w="567" w:type="dxa"/>
            <w:tcBorders>
              <w:top w:val="nil"/>
              <w:left w:val="nil"/>
              <w:bottom w:val="nil"/>
              <w:right w:val="nil"/>
            </w:tcBorders>
            <w:shd w:val="clear" w:color="auto" w:fill="auto"/>
            <w:noWrap/>
            <w:vAlign w:val="center"/>
          </w:tcPr>
          <w:p w14:paraId="02F5237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15.8</w:t>
            </w:r>
          </w:p>
        </w:tc>
        <w:tc>
          <w:tcPr>
            <w:tcW w:w="1146" w:type="dxa"/>
            <w:tcBorders>
              <w:top w:val="nil"/>
              <w:left w:val="nil"/>
              <w:bottom w:val="nil"/>
              <w:right w:val="single" w:sz="4" w:space="0" w:color="000000"/>
            </w:tcBorders>
            <w:shd w:val="clear" w:color="auto" w:fill="auto"/>
            <w:noWrap/>
            <w:vAlign w:val="center"/>
          </w:tcPr>
          <w:p w14:paraId="115D5C2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(12.7, 18.9)</w:t>
            </w:r>
          </w:p>
        </w:tc>
        <w:tc>
          <w:tcPr>
            <w:tcW w:w="536" w:type="dxa"/>
            <w:tcBorders>
              <w:top w:val="nil"/>
              <w:left w:val="single" w:sz="4" w:space="0" w:color="000000"/>
              <w:bottom w:val="nil"/>
              <w:right w:val="nil"/>
            </w:tcBorders>
            <w:shd w:val="clear" w:color="auto" w:fill="auto"/>
            <w:vAlign w:val="center"/>
          </w:tcPr>
          <w:p w14:paraId="45A4FD3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49</w:t>
            </w:r>
          </w:p>
        </w:tc>
        <w:tc>
          <w:tcPr>
            <w:tcW w:w="567" w:type="dxa"/>
            <w:tcBorders>
              <w:top w:val="nil"/>
              <w:left w:val="nil"/>
              <w:bottom w:val="nil"/>
              <w:right w:val="nil"/>
            </w:tcBorders>
            <w:shd w:val="clear" w:color="auto" w:fill="auto"/>
            <w:vAlign w:val="center"/>
          </w:tcPr>
          <w:p w14:paraId="6592140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15.1</w:t>
            </w:r>
          </w:p>
        </w:tc>
        <w:tc>
          <w:tcPr>
            <w:tcW w:w="1146" w:type="dxa"/>
            <w:tcBorders>
              <w:top w:val="nil"/>
              <w:left w:val="nil"/>
              <w:bottom w:val="nil"/>
              <w:right w:val="single" w:sz="4" w:space="0" w:color="000000"/>
            </w:tcBorders>
            <w:shd w:val="clear" w:color="auto" w:fill="auto"/>
            <w:vAlign w:val="center"/>
          </w:tcPr>
          <w:p w14:paraId="3017E2A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(11.3, 19.0)</w:t>
            </w:r>
          </w:p>
        </w:tc>
        <w:tc>
          <w:tcPr>
            <w:tcW w:w="536" w:type="dxa"/>
            <w:tcBorders>
              <w:top w:val="nil"/>
              <w:left w:val="single" w:sz="4" w:space="0" w:color="000000"/>
              <w:bottom w:val="nil"/>
              <w:right w:val="nil"/>
            </w:tcBorders>
            <w:vAlign w:val="center"/>
          </w:tcPr>
          <w:p w14:paraId="1F5E254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41</w:t>
            </w:r>
          </w:p>
        </w:tc>
        <w:tc>
          <w:tcPr>
            <w:tcW w:w="576" w:type="dxa"/>
            <w:tcBorders>
              <w:top w:val="nil"/>
              <w:left w:val="nil"/>
              <w:bottom w:val="nil"/>
              <w:right w:val="nil"/>
            </w:tcBorders>
            <w:vAlign w:val="center"/>
          </w:tcPr>
          <w:p w14:paraId="79C84EF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13.9</w:t>
            </w:r>
          </w:p>
        </w:tc>
        <w:tc>
          <w:tcPr>
            <w:tcW w:w="1146" w:type="dxa"/>
            <w:tcBorders>
              <w:top w:val="nil"/>
              <w:left w:val="nil"/>
              <w:bottom w:val="nil"/>
              <w:right w:val="nil"/>
            </w:tcBorders>
            <w:vAlign w:val="center"/>
          </w:tcPr>
          <w:p w14:paraId="148A021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(10.0, 17.8)</w:t>
            </w:r>
          </w:p>
        </w:tc>
      </w:tr>
      <w:tr w:rsidR="003D7BB5" w:rsidRPr="00063DE7" w14:paraId="678461CF"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04D1B48B" w14:textId="77777777" w:rsidR="003D7BB5" w:rsidRPr="00063DE7" w:rsidRDefault="003D7BB5" w:rsidP="00DD0F28">
            <w:pPr>
              <w:keepNext/>
              <w:spacing w:before="20" w:after="20"/>
              <w:ind w:left="176"/>
              <w:rPr>
                <w:rFonts w:eastAsiaTheme="minorEastAsia"/>
                <w:b w:val="0"/>
                <w:sz w:val="18"/>
                <w:szCs w:val="18"/>
                <w:lang w:eastAsia="en-US"/>
              </w:rPr>
            </w:pPr>
            <w:r w:rsidRPr="00063DE7">
              <w:rPr>
                <w:rFonts w:eastAsiaTheme="minorEastAsia"/>
                <w:b w:val="0"/>
                <w:sz w:val="18"/>
                <w:szCs w:val="18"/>
                <w:lang w:eastAsia="en-US"/>
              </w:rPr>
              <w:t>&gt;$500</w:t>
            </w:r>
          </w:p>
        </w:tc>
        <w:tc>
          <w:tcPr>
            <w:tcW w:w="567" w:type="dxa"/>
            <w:tcBorders>
              <w:top w:val="nil"/>
              <w:left w:val="nil"/>
              <w:bottom w:val="nil"/>
              <w:right w:val="nil"/>
            </w:tcBorders>
            <w:shd w:val="clear" w:color="auto" w:fill="auto"/>
            <w:noWrap/>
            <w:vAlign w:val="center"/>
          </w:tcPr>
          <w:p w14:paraId="7C07F18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21</w:t>
            </w:r>
          </w:p>
        </w:tc>
        <w:tc>
          <w:tcPr>
            <w:tcW w:w="567" w:type="dxa"/>
            <w:tcBorders>
              <w:top w:val="nil"/>
              <w:left w:val="nil"/>
              <w:bottom w:val="nil"/>
              <w:right w:val="nil"/>
            </w:tcBorders>
            <w:shd w:val="clear" w:color="auto" w:fill="auto"/>
            <w:noWrap/>
            <w:vAlign w:val="center"/>
          </w:tcPr>
          <w:p w14:paraId="57C9378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3.2</w:t>
            </w:r>
          </w:p>
        </w:tc>
        <w:tc>
          <w:tcPr>
            <w:tcW w:w="1146" w:type="dxa"/>
            <w:tcBorders>
              <w:top w:val="nil"/>
              <w:left w:val="nil"/>
              <w:bottom w:val="nil"/>
              <w:right w:val="single" w:sz="4" w:space="0" w:color="000000"/>
            </w:tcBorders>
            <w:shd w:val="clear" w:color="auto" w:fill="auto"/>
            <w:noWrap/>
            <w:vAlign w:val="center"/>
          </w:tcPr>
          <w:p w14:paraId="5D65444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(2.0, 4.4)</w:t>
            </w:r>
          </w:p>
        </w:tc>
        <w:tc>
          <w:tcPr>
            <w:tcW w:w="516" w:type="dxa"/>
            <w:tcBorders>
              <w:top w:val="nil"/>
              <w:left w:val="single" w:sz="4" w:space="0" w:color="000000"/>
              <w:bottom w:val="nil"/>
              <w:right w:val="nil"/>
            </w:tcBorders>
            <w:shd w:val="clear" w:color="auto" w:fill="auto"/>
            <w:noWrap/>
            <w:vAlign w:val="center"/>
          </w:tcPr>
          <w:p w14:paraId="10F98E7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w:t>
            </w:r>
          </w:p>
        </w:tc>
        <w:tc>
          <w:tcPr>
            <w:tcW w:w="567" w:type="dxa"/>
            <w:tcBorders>
              <w:top w:val="nil"/>
              <w:left w:val="nil"/>
              <w:bottom w:val="nil"/>
              <w:right w:val="nil"/>
            </w:tcBorders>
            <w:shd w:val="clear" w:color="auto" w:fill="auto"/>
            <w:noWrap/>
            <w:vAlign w:val="center"/>
          </w:tcPr>
          <w:p w14:paraId="50DB654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2.6</w:t>
            </w:r>
          </w:p>
        </w:tc>
        <w:tc>
          <w:tcPr>
            <w:tcW w:w="1146" w:type="dxa"/>
            <w:tcBorders>
              <w:top w:val="nil"/>
              <w:left w:val="nil"/>
              <w:bottom w:val="nil"/>
              <w:right w:val="single" w:sz="4" w:space="0" w:color="000000"/>
            </w:tcBorders>
            <w:shd w:val="clear" w:color="auto" w:fill="auto"/>
            <w:noWrap/>
            <w:vAlign w:val="center"/>
          </w:tcPr>
          <w:p w14:paraId="0BC99D9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(1.3, 3.8)</w:t>
            </w:r>
          </w:p>
        </w:tc>
        <w:tc>
          <w:tcPr>
            <w:tcW w:w="536" w:type="dxa"/>
            <w:tcBorders>
              <w:top w:val="nil"/>
              <w:left w:val="single" w:sz="4" w:space="0" w:color="000000"/>
              <w:bottom w:val="nil"/>
              <w:right w:val="nil"/>
            </w:tcBorders>
            <w:shd w:val="clear" w:color="auto" w:fill="auto"/>
            <w:vAlign w:val="center"/>
          </w:tcPr>
          <w:p w14:paraId="50AFEEF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8</w:t>
            </w:r>
          </w:p>
        </w:tc>
        <w:tc>
          <w:tcPr>
            <w:tcW w:w="567" w:type="dxa"/>
            <w:tcBorders>
              <w:top w:val="nil"/>
              <w:left w:val="nil"/>
              <w:bottom w:val="nil"/>
              <w:right w:val="nil"/>
            </w:tcBorders>
            <w:shd w:val="clear" w:color="auto" w:fill="auto"/>
            <w:vAlign w:val="center"/>
          </w:tcPr>
          <w:p w14:paraId="08705C2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2.5</w:t>
            </w:r>
          </w:p>
        </w:tc>
        <w:tc>
          <w:tcPr>
            <w:tcW w:w="1146" w:type="dxa"/>
            <w:tcBorders>
              <w:top w:val="nil"/>
              <w:left w:val="nil"/>
              <w:bottom w:val="nil"/>
              <w:right w:val="single" w:sz="4" w:space="0" w:color="000000"/>
            </w:tcBorders>
            <w:shd w:val="clear" w:color="auto" w:fill="auto"/>
            <w:vAlign w:val="center"/>
          </w:tcPr>
          <w:p w14:paraId="598BB10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(1.0, 4.0)</w:t>
            </w:r>
          </w:p>
        </w:tc>
        <w:tc>
          <w:tcPr>
            <w:tcW w:w="536" w:type="dxa"/>
            <w:tcBorders>
              <w:top w:val="nil"/>
              <w:left w:val="single" w:sz="4" w:space="0" w:color="000000"/>
              <w:bottom w:val="nil"/>
              <w:right w:val="nil"/>
            </w:tcBorders>
            <w:vAlign w:val="center"/>
          </w:tcPr>
          <w:p w14:paraId="5F14807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w:t>
            </w:r>
          </w:p>
        </w:tc>
        <w:tc>
          <w:tcPr>
            <w:tcW w:w="576" w:type="dxa"/>
            <w:tcBorders>
              <w:top w:val="nil"/>
              <w:left w:val="nil"/>
              <w:bottom w:val="nil"/>
              <w:right w:val="nil"/>
            </w:tcBorders>
            <w:vAlign w:val="center"/>
          </w:tcPr>
          <w:p w14:paraId="3090296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w:t>
            </w:r>
          </w:p>
        </w:tc>
        <w:tc>
          <w:tcPr>
            <w:tcW w:w="1146" w:type="dxa"/>
            <w:tcBorders>
              <w:top w:val="nil"/>
              <w:left w:val="nil"/>
              <w:bottom w:val="nil"/>
              <w:right w:val="nil"/>
            </w:tcBorders>
            <w:vAlign w:val="center"/>
          </w:tcPr>
          <w:p w14:paraId="2591DAD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(0.2, 2.5)</w:t>
            </w:r>
          </w:p>
        </w:tc>
      </w:tr>
      <w:tr w:rsidR="009118DA" w:rsidRPr="00063DE7" w14:paraId="371CE67F"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5CA932E4" w14:textId="77777777" w:rsidR="003D7BB5" w:rsidRPr="00063DE7" w:rsidRDefault="003D7BB5" w:rsidP="00DD0F28">
            <w:pPr>
              <w:spacing w:before="20" w:after="20"/>
              <w:rPr>
                <w:rFonts w:eastAsiaTheme="minorEastAsia"/>
                <w:sz w:val="18"/>
                <w:szCs w:val="18"/>
                <w:lang w:eastAsia="en-US"/>
              </w:rPr>
            </w:pPr>
            <w:r w:rsidRPr="00063DE7">
              <w:rPr>
                <w:rFonts w:eastAsiaTheme="minorEastAsia"/>
                <w:sz w:val="18"/>
                <w:szCs w:val="18"/>
                <w:lang w:eastAsia="en-US"/>
              </w:rPr>
              <w:t>Most preferred activity</w:t>
            </w:r>
          </w:p>
        </w:tc>
        <w:tc>
          <w:tcPr>
            <w:tcW w:w="567" w:type="dxa"/>
            <w:tcBorders>
              <w:top w:val="nil"/>
              <w:left w:val="nil"/>
              <w:bottom w:val="nil"/>
              <w:right w:val="nil"/>
            </w:tcBorders>
            <w:noWrap/>
            <w:vAlign w:val="center"/>
          </w:tcPr>
          <w:p w14:paraId="621235DC"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67" w:type="dxa"/>
            <w:tcBorders>
              <w:top w:val="nil"/>
              <w:left w:val="nil"/>
              <w:bottom w:val="nil"/>
              <w:right w:val="nil"/>
            </w:tcBorders>
            <w:noWrap/>
            <w:vAlign w:val="center"/>
          </w:tcPr>
          <w:p w14:paraId="6FA91B60"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noWrap/>
            <w:vAlign w:val="center"/>
          </w:tcPr>
          <w:p w14:paraId="458C25A4"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16" w:type="dxa"/>
            <w:tcBorders>
              <w:top w:val="nil"/>
              <w:left w:val="single" w:sz="4" w:space="0" w:color="000000"/>
              <w:bottom w:val="nil"/>
              <w:right w:val="nil"/>
            </w:tcBorders>
            <w:noWrap/>
            <w:vAlign w:val="center"/>
          </w:tcPr>
          <w:p w14:paraId="2C8CD07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67" w:type="dxa"/>
            <w:tcBorders>
              <w:top w:val="nil"/>
              <w:left w:val="nil"/>
              <w:bottom w:val="nil"/>
              <w:right w:val="nil"/>
            </w:tcBorders>
            <w:noWrap/>
            <w:vAlign w:val="center"/>
          </w:tcPr>
          <w:p w14:paraId="3126D89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FFFFFF" w:themeFill="background1"/>
            <w:noWrap/>
            <w:vAlign w:val="center"/>
          </w:tcPr>
          <w:p w14:paraId="3A503E3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shd w:val="clear" w:color="auto" w:fill="FFFFFF" w:themeFill="background1"/>
            <w:vAlign w:val="center"/>
          </w:tcPr>
          <w:p w14:paraId="336FE5F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shd w:val="clear" w:color="auto" w:fill="FFFFFF" w:themeFill="background1"/>
            <w:vAlign w:val="center"/>
          </w:tcPr>
          <w:p w14:paraId="66D6766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146" w:type="dxa"/>
            <w:tcBorders>
              <w:top w:val="nil"/>
              <w:left w:val="nil"/>
              <w:bottom w:val="nil"/>
              <w:right w:val="single" w:sz="4" w:space="0" w:color="000000"/>
            </w:tcBorders>
            <w:shd w:val="clear" w:color="auto" w:fill="FFFFFF" w:themeFill="background1"/>
            <w:vAlign w:val="center"/>
          </w:tcPr>
          <w:p w14:paraId="4C89D57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nil"/>
              <w:left w:val="single" w:sz="4" w:space="0" w:color="000000"/>
              <w:bottom w:val="nil"/>
              <w:right w:val="nil"/>
            </w:tcBorders>
            <w:shd w:val="clear" w:color="auto" w:fill="FFFFFF" w:themeFill="background1"/>
            <w:vAlign w:val="center"/>
          </w:tcPr>
          <w:p w14:paraId="5ECF13F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76" w:type="dxa"/>
            <w:tcBorders>
              <w:top w:val="nil"/>
              <w:left w:val="nil"/>
              <w:bottom w:val="nil"/>
              <w:right w:val="nil"/>
            </w:tcBorders>
            <w:shd w:val="clear" w:color="auto" w:fill="FFFFFF" w:themeFill="background1"/>
            <w:vAlign w:val="center"/>
          </w:tcPr>
          <w:p w14:paraId="493DCD7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nil"/>
            </w:tcBorders>
            <w:shd w:val="clear" w:color="auto" w:fill="FFFFFF" w:themeFill="background1"/>
            <w:vAlign w:val="center"/>
          </w:tcPr>
          <w:p w14:paraId="6300F75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r>
      <w:tr w:rsidR="009118DA" w:rsidRPr="00063DE7" w14:paraId="32BA6E4E"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6AC36A94" w14:textId="77777777" w:rsidR="003D7BB5" w:rsidRPr="00063DE7" w:rsidRDefault="003D7BB5" w:rsidP="00DD0F28">
            <w:pPr>
              <w:spacing w:before="20" w:after="20"/>
              <w:ind w:left="176"/>
              <w:rPr>
                <w:rFonts w:eastAsiaTheme="minorEastAsia"/>
                <w:b w:val="0"/>
                <w:sz w:val="18"/>
                <w:szCs w:val="18"/>
                <w:lang w:eastAsia="en-US"/>
              </w:rPr>
            </w:pPr>
            <w:r w:rsidRPr="00063DE7">
              <w:rPr>
                <w:rFonts w:eastAsiaTheme="minorEastAsia"/>
                <w:b w:val="0"/>
                <w:sz w:val="18"/>
                <w:szCs w:val="18"/>
                <w:lang w:eastAsia="en-US"/>
              </w:rPr>
              <w:t>No gambling in past year</w:t>
            </w:r>
          </w:p>
        </w:tc>
        <w:tc>
          <w:tcPr>
            <w:tcW w:w="567" w:type="dxa"/>
            <w:tcBorders>
              <w:top w:val="nil"/>
              <w:left w:val="nil"/>
              <w:bottom w:val="nil"/>
              <w:right w:val="nil"/>
            </w:tcBorders>
            <w:noWrap/>
            <w:vAlign w:val="center"/>
          </w:tcPr>
          <w:p w14:paraId="65DCA4C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063DE7">
              <w:rPr>
                <w:color w:val="000000"/>
                <w:sz w:val="18"/>
                <w:szCs w:val="18"/>
              </w:rPr>
              <w:t>95</w:t>
            </w:r>
          </w:p>
        </w:tc>
        <w:tc>
          <w:tcPr>
            <w:tcW w:w="567" w:type="dxa"/>
            <w:tcBorders>
              <w:top w:val="nil"/>
              <w:left w:val="nil"/>
              <w:bottom w:val="nil"/>
              <w:right w:val="nil"/>
            </w:tcBorders>
            <w:noWrap/>
            <w:vAlign w:val="center"/>
          </w:tcPr>
          <w:p w14:paraId="5CAB420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14.6</w:t>
            </w:r>
          </w:p>
        </w:tc>
        <w:tc>
          <w:tcPr>
            <w:tcW w:w="1146" w:type="dxa"/>
            <w:tcBorders>
              <w:top w:val="nil"/>
              <w:left w:val="nil"/>
              <w:bottom w:val="nil"/>
              <w:right w:val="single" w:sz="4" w:space="0" w:color="auto"/>
            </w:tcBorders>
            <w:noWrap/>
            <w:vAlign w:val="center"/>
          </w:tcPr>
          <w:p w14:paraId="31112CE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(12.3, 17.0)</w:t>
            </w:r>
          </w:p>
        </w:tc>
        <w:tc>
          <w:tcPr>
            <w:tcW w:w="516" w:type="dxa"/>
            <w:tcBorders>
              <w:top w:val="nil"/>
              <w:left w:val="single" w:sz="4" w:space="0" w:color="auto"/>
              <w:bottom w:val="nil"/>
              <w:right w:val="nil"/>
            </w:tcBorders>
            <w:noWrap/>
            <w:vAlign w:val="center"/>
          </w:tcPr>
          <w:p w14:paraId="7AF3BD3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63</w:t>
            </w:r>
          </w:p>
        </w:tc>
        <w:tc>
          <w:tcPr>
            <w:tcW w:w="567" w:type="dxa"/>
            <w:tcBorders>
              <w:top w:val="nil"/>
              <w:left w:val="nil"/>
              <w:bottom w:val="nil"/>
              <w:right w:val="nil"/>
            </w:tcBorders>
            <w:noWrap/>
            <w:vAlign w:val="center"/>
          </w:tcPr>
          <w:p w14:paraId="73AF662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16.3</w:t>
            </w:r>
          </w:p>
        </w:tc>
        <w:tc>
          <w:tcPr>
            <w:tcW w:w="1146" w:type="dxa"/>
            <w:tcBorders>
              <w:top w:val="nil"/>
              <w:left w:val="nil"/>
              <w:bottom w:val="nil"/>
              <w:right w:val="single" w:sz="4" w:space="0" w:color="000000"/>
            </w:tcBorders>
            <w:shd w:val="clear" w:color="auto" w:fill="FFFFFF" w:themeFill="background1"/>
            <w:noWrap/>
            <w:vAlign w:val="center"/>
          </w:tcPr>
          <w:p w14:paraId="2AF00CB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(12.8, 19.8)</w:t>
            </w:r>
          </w:p>
        </w:tc>
        <w:tc>
          <w:tcPr>
            <w:tcW w:w="536" w:type="dxa"/>
            <w:tcBorders>
              <w:top w:val="nil"/>
              <w:left w:val="single" w:sz="4" w:space="0" w:color="000000"/>
              <w:bottom w:val="nil"/>
              <w:right w:val="nil"/>
            </w:tcBorders>
            <w:shd w:val="clear" w:color="auto" w:fill="FFFFFF" w:themeFill="background1"/>
            <w:vAlign w:val="center"/>
          </w:tcPr>
          <w:p w14:paraId="5623A04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063DE7">
              <w:rPr>
                <w:color w:val="000000"/>
                <w:sz w:val="18"/>
                <w:szCs w:val="18"/>
              </w:rPr>
              <w:t>70</w:t>
            </w:r>
          </w:p>
        </w:tc>
        <w:tc>
          <w:tcPr>
            <w:tcW w:w="567" w:type="dxa"/>
            <w:tcBorders>
              <w:top w:val="nil"/>
              <w:left w:val="nil"/>
              <w:bottom w:val="nil"/>
              <w:right w:val="nil"/>
            </w:tcBorders>
            <w:shd w:val="clear" w:color="auto" w:fill="FFFFFF" w:themeFill="background1"/>
            <w:vAlign w:val="center"/>
          </w:tcPr>
          <w:p w14:paraId="2FC832D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21.5</w:t>
            </w:r>
          </w:p>
        </w:tc>
        <w:tc>
          <w:tcPr>
            <w:tcW w:w="1146" w:type="dxa"/>
            <w:tcBorders>
              <w:top w:val="nil"/>
              <w:left w:val="nil"/>
              <w:bottom w:val="nil"/>
              <w:right w:val="single" w:sz="4" w:space="0" w:color="000000"/>
            </w:tcBorders>
            <w:shd w:val="clear" w:color="auto" w:fill="FFFFFF" w:themeFill="background1"/>
            <w:vAlign w:val="center"/>
          </w:tcPr>
          <w:p w14:paraId="2E53F9D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(15.2, 27.7)</w:t>
            </w:r>
          </w:p>
        </w:tc>
        <w:tc>
          <w:tcPr>
            <w:tcW w:w="536" w:type="dxa"/>
            <w:tcBorders>
              <w:top w:val="nil"/>
              <w:left w:val="single" w:sz="4" w:space="0" w:color="000000"/>
              <w:bottom w:val="nil"/>
              <w:right w:val="nil"/>
            </w:tcBorders>
            <w:shd w:val="clear" w:color="auto" w:fill="FFFFFF" w:themeFill="background1"/>
            <w:vAlign w:val="center"/>
          </w:tcPr>
          <w:p w14:paraId="66A37CD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063DE7">
              <w:rPr>
                <w:color w:val="000000"/>
                <w:sz w:val="18"/>
                <w:szCs w:val="18"/>
              </w:rPr>
              <w:t>59</w:t>
            </w:r>
          </w:p>
        </w:tc>
        <w:tc>
          <w:tcPr>
            <w:tcW w:w="576" w:type="dxa"/>
            <w:tcBorders>
              <w:top w:val="nil"/>
              <w:left w:val="nil"/>
              <w:bottom w:val="nil"/>
              <w:right w:val="nil"/>
            </w:tcBorders>
            <w:shd w:val="clear" w:color="auto" w:fill="FFFFFF" w:themeFill="background1"/>
            <w:vAlign w:val="center"/>
          </w:tcPr>
          <w:p w14:paraId="28FA6ED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20.2</w:t>
            </w:r>
          </w:p>
        </w:tc>
        <w:tc>
          <w:tcPr>
            <w:tcW w:w="1146" w:type="dxa"/>
            <w:tcBorders>
              <w:top w:val="nil"/>
              <w:left w:val="nil"/>
              <w:bottom w:val="nil"/>
              <w:right w:val="nil"/>
            </w:tcBorders>
            <w:shd w:val="clear" w:color="auto" w:fill="FFFFFF" w:themeFill="background1"/>
            <w:vAlign w:val="center"/>
          </w:tcPr>
          <w:p w14:paraId="2A7A592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(12.7, 27.7)</w:t>
            </w:r>
          </w:p>
        </w:tc>
      </w:tr>
      <w:tr w:rsidR="009118DA" w:rsidRPr="00063DE7" w14:paraId="55625239"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352670F7" w14:textId="77777777" w:rsidR="003D7BB5" w:rsidRPr="00063DE7" w:rsidRDefault="003D7BB5" w:rsidP="00DD0F28">
            <w:pPr>
              <w:spacing w:before="20" w:after="20"/>
              <w:ind w:left="176"/>
              <w:rPr>
                <w:rFonts w:eastAsiaTheme="minorEastAsia"/>
                <w:b w:val="0"/>
                <w:sz w:val="18"/>
                <w:szCs w:val="18"/>
                <w:lang w:eastAsia="en-US"/>
              </w:rPr>
            </w:pPr>
            <w:r w:rsidRPr="00063DE7">
              <w:rPr>
                <w:rFonts w:eastAsiaTheme="minorEastAsia"/>
                <w:b w:val="0"/>
                <w:sz w:val="18"/>
                <w:szCs w:val="18"/>
                <w:lang w:eastAsia="en-US"/>
              </w:rPr>
              <w:t>Cards games</w:t>
            </w:r>
          </w:p>
        </w:tc>
        <w:tc>
          <w:tcPr>
            <w:tcW w:w="567" w:type="dxa"/>
            <w:tcBorders>
              <w:top w:val="nil"/>
              <w:left w:val="nil"/>
              <w:bottom w:val="nil"/>
              <w:right w:val="nil"/>
            </w:tcBorders>
            <w:noWrap/>
            <w:vAlign w:val="center"/>
          </w:tcPr>
          <w:p w14:paraId="1EC88A4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27</w:t>
            </w:r>
          </w:p>
        </w:tc>
        <w:tc>
          <w:tcPr>
            <w:tcW w:w="567" w:type="dxa"/>
            <w:tcBorders>
              <w:top w:val="nil"/>
              <w:left w:val="nil"/>
              <w:bottom w:val="nil"/>
              <w:right w:val="nil"/>
            </w:tcBorders>
            <w:noWrap/>
            <w:vAlign w:val="center"/>
          </w:tcPr>
          <w:p w14:paraId="0E6D716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4.2</w:t>
            </w:r>
          </w:p>
        </w:tc>
        <w:tc>
          <w:tcPr>
            <w:tcW w:w="1146" w:type="dxa"/>
            <w:tcBorders>
              <w:top w:val="nil"/>
              <w:left w:val="nil"/>
              <w:bottom w:val="nil"/>
              <w:right w:val="single" w:sz="4" w:space="0" w:color="auto"/>
            </w:tcBorders>
            <w:noWrap/>
            <w:vAlign w:val="center"/>
          </w:tcPr>
          <w:p w14:paraId="17A44B5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(2.7, 5.7)</w:t>
            </w:r>
          </w:p>
        </w:tc>
        <w:tc>
          <w:tcPr>
            <w:tcW w:w="516" w:type="dxa"/>
            <w:tcBorders>
              <w:top w:val="nil"/>
              <w:left w:val="single" w:sz="4" w:space="0" w:color="auto"/>
              <w:bottom w:val="nil"/>
              <w:right w:val="nil"/>
            </w:tcBorders>
            <w:noWrap/>
            <w:vAlign w:val="center"/>
          </w:tcPr>
          <w:p w14:paraId="14EA468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w:t>
            </w:r>
          </w:p>
        </w:tc>
        <w:tc>
          <w:tcPr>
            <w:tcW w:w="567" w:type="dxa"/>
            <w:tcBorders>
              <w:top w:val="nil"/>
              <w:left w:val="nil"/>
              <w:bottom w:val="nil"/>
              <w:right w:val="nil"/>
            </w:tcBorders>
            <w:noWrap/>
            <w:vAlign w:val="center"/>
          </w:tcPr>
          <w:p w14:paraId="7AA09CA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2.6</w:t>
            </w:r>
          </w:p>
        </w:tc>
        <w:tc>
          <w:tcPr>
            <w:tcW w:w="1146" w:type="dxa"/>
            <w:tcBorders>
              <w:top w:val="nil"/>
              <w:left w:val="nil"/>
              <w:bottom w:val="nil"/>
              <w:right w:val="single" w:sz="4" w:space="0" w:color="000000"/>
            </w:tcBorders>
            <w:shd w:val="clear" w:color="auto" w:fill="FFFFFF" w:themeFill="background1"/>
            <w:noWrap/>
            <w:vAlign w:val="center"/>
          </w:tcPr>
          <w:p w14:paraId="7EA6BD4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(0.9, 4.2)</w:t>
            </w:r>
          </w:p>
        </w:tc>
        <w:tc>
          <w:tcPr>
            <w:tcW w:w="536" w:type="dxa"/>
            <w:tcBorders>
              <w:top w:val="nil"/>
              <w:left w:val="single" w:sz="4" w:space="0" w:color="000000"/>
              <w:bottom w:val="nil"/>
              <w:right w:val="nil"/>
            </w:tcBorders>
            <w:shd w:val="clear" w:color="auto" w:fill="FFFFFF" w:themeFill="background1"/>
            <w:vAlign w:val="center"/>
          </w:tcPr>
          <w:p w14:paraId="5DB874D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8</w:t>
            </w:r>
          </w:p>
        </w:tc>
        <w:tc>
          <w:tcPr>
            <w:tcW w:w="567" w:type="dxa"/>
            <w:tcBorders>
              <w:top w:val="nil"/>
              <w:left w:val="nil"/>
              <w:bottom w:val="nil"/>
              <w:right w:val="nil"/>
            </w:tcBorders>
            <w:shd w:val="clear" w:color="auto" w:fill="FFFFFF" w:themeFill="background1"/>
            <w:vAlign w:val="center"/>
          </w:tcPr>
          <w:p w14:paraId="0867DF9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2.5</w:t>
            </w:r>
          </w:p>
        </w:tc>
        <w:tc>
          <w:tcPr>
            <w:tcW w:w="1146" w:type="dxa"/>
            <w:tcBorders>
              <w:top w:val="nil"/>
              <w:left w:val="nil"/>
              <w:bottom w:val="nil"/>
              <w:right w:val="single" w:sz="4" w:space="0" w:color="000000"/>
            </w:tcBorders>
            <w:shd w:val="clear" w:color="auto" w:fill="FFFFFF" w:themeFill="background1"/>
            <w:vAlign w:val="center"/>
          </w:tcPr>
          <w:p w14:paraId="13F931C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(0.1, 4.9)</w:t>
            </w:r>
          </w:p>
        </w:tc>
        <w:tc>
          <w:tcPr>
            <w:tcW w:w="536" w:type="dxa"/>
            <w:tcBorders>
              <w:top w:val="nil"/>
              <w:left w:val="single" w:sz="4" w:space="0" w:color="000000"/>
              <w:bottom w:val="nil"/>
              <w:right w:val="nil"/>
            </w:tcBorders>
            <w:shd w:val="clear" w:color="auto" w:fill="FFFFFF" w:themeFill="background1"/>
            <w:vAlign w:val="center"/>
          </w:tcPr>
          <w:p w14:paraId="59F80A5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8</w:t>
            </w:r>
          </w:p>
        </w:tc>
        <w:tc>
          <w:tcPr>
            <w:tcW w:w="576" w:type="dxa"/>
            <w:tcBorders>
              <w:top w:val="nil"/>
              <w:left w:val="nil"/>
              <w:bottom w:val="nil"/>
              <w:right w:val="nil"/>
            </w:tcBorders>
            <w:shd w:val="clear" w:color="auto" w:fill="FFFFFF" w:themeFill="background1"/>
            <w:vAlign w:val="center"/>
          </w:tcPr>
          <w:p w14:paraId="1BB1A46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2.6</w:t>
            </w:r>
          </w:p>
        </w:tc>
        <w:tc>
          <w:tcPr>
            <w:tcW w:w="1146" w:type="dxa"/>
            <w:tcBorders>
              <w:top w:val="nil"/>
              <w:left w:val="nil"/>
              <w:bottom w:val="nil"/>
              <w:right w:val="nil"/>
            </w:tcBorders>
            <w:shd w:val="clear" w:color="auto" w:fill="FFFFFF" w:themeFill="background1"/>
            <w:vAlign w:val="center"/>
          </w:tcPr>
          <w:p w14:paraId="08FC62A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(0.3, 4.8)</w:t>
            </w:r>
          </w:p>
        </w:tc>
      </w:tr>
      <w:tr w:rsidR="009118DA" w:rsidRPr="00063DE7" w14:paraId="7BF5DE53"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37F94A92" w14:textId="77777777" w:rsidR="003D7BB5" w:rsidRPr="00063DE7" w:rsidRDefault="003D7BB5" w:rsidP="00DD0F28">
            <w:pPr>
              <w:spacing w:before="20" w:after="20"/>
              <w:ind w:left="176"/>
              <w:rPr>
                <w:rFonts w:eastAsiaTheme="minorEastAsia"/>
                <w:b w:val="0"/>
                <w:sz w:val="18"/>
                <w:szCs w:val="18"/>
              </w:rPr>
            </w:pPr>
            <w:r w:rsidRPr="00063DE7">
              <w:rPr>
                <w:rFonts w:eastAsiaTheme="minorEastAsia"/>
                <w:b w:val="0"/>
                <w:sz w:val="18"/>
                <w:szCs w:val="18"/>
              </w:rPr>
              <w:t>Bets with friends/workmates</w:t>
            </w:r>
          </w:p>
        </w:tc>
        <w:tc>
          <w:tcPr>
            <w:tcW w:w="567" w:type="dxa"/>
            <w:tcBorders>
              <w:top w:val="nil"/>
              <w:left w:val="nil"/>
              <w:bottom w:val="nil"/>
              <w:right w:val="nil"/>
            </w:tcBorders>
            <w:noWrap/>
            <w:vAlign w:val="center"/>
          </w:tcPr>
          <w:p w14:paraId="71AE922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29</w:t>
            </w:r>
          </w:p>
        </w:tc>
        <w:tc>
          <w:tcPr>
            <w:tcW w:w="567" w:type="dxa"/>
            <w:tcBorders>
              <w:top w:val="nil"/>
              <w:left w:val="nil"/>
              <w:bottom w:val="nil"/>
              <w:right w:val="nil"/>
            </w:tcBorders>
            <w:noWrap/>
            <w:vAlign w:val="center"/>
          </w:tcPr>
          <w:p w14:paraId="512A27E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4.5</w:t>
            </w:r>
          </w:p>
        </w:tc>
        <w:tc>
          <w:tcPr>
            <w:tcW w:w="1146" w:type="dxa"/>
            <w:tcBorders>
              <w:top w:val="nil"/>
              <w:left w:val="nil"/>
              <w:bottom w:val="nil"/>
              <w:right w:val="single" w:sz="4" w:space="0" w:color="auto"/>
            </w:tcBorders>
            <w:noWrap/>
            <w:vAlign w:val="center"/>
          </w:tcPr>
          <w:p w14:paraId="5949B03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(3.1, 5.9)</w:t>
            </w:r>
          </w:p>
        </w:tc>
        <w:tc>
          <w:tcPr>
            <w:tcW w:w="516" w:type="dxa"/>
            <w:tcBorders>
              <w:top w:val="nil"/>
              <w:left w:val="single" w:sz="4" w:space="0" w:color="auto"/>
              <w:bottom w:val="nil"/>
              <w:right w:val="nil"/>
            </w:tcBorders>
            <w:noWrap/>
            <w:vAlign w:val="center"/>
          </w:tcPr>
          <w:p w14:paraId="7AFB26D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25</w:t>
            </w:r>
          </w:p>
        </w:tc>
        <w:tc>
          <w:tcPr>
            <w:tcW w:w="567" w:type="dxa"/>
            <w:tcBorders>
              <w:top w:val="nil"/>
              <w:left w:val="nil"/>
              <w:bottom w:val="nil"/>
              <w:right w:val="nil"/>
            </w:tcBorders>
            <w:noWrap/>
            <w:vAlign w:val="center"/>
          </w:tcPr>
          <w:p w14:paraId="100F058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6.5</w:t>
            </w:r>
          </w:p>
        </w:tc>
        <w:tc>
          <w:tcPr>
            <w:tcW w:w="1146" w:type="dxa"/>
            <w:tcBorders>
              <w:top w:val="nil"/>
              <w:left w:val="nil"/>
              <w:bottom w:val="nil"/>
              <w:right w:val="single" w:sz="4" w:space="0" w:color="000000"/>
            </w:tcBorders>
            <w:shd w:val="clear" w:color="auto" w:fill="FFFFFF" w:themeFill="background1"/>
            <w:noWrap/>
            <w:vAlign w:val="center"/>
          </w:tcPr>
          <w:p w14:paraId="2B535DF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(4.1, 8.9)</w:t>
            </w:r>
          </w:p>
        </w:tc>
        <w:tc>
          <w:tcPr>
            <w:tcW w:w="536" w:type="dxa"/>
            <w:tcBorders>
              <w:top w:val="nil"/>
              <w:left w:val="single" w:sz="4" w:space="0" w:color="000000"/>
              <w:bottom w:val="nil"/>
              <w:right w:val="nil"/>
            </w:tcBorders>
            <w:shd w:val="clear" w:color="auto" w:fill="FFFFFF" w:themeFill="background1"/>
            <w:vAlign w:val="center"/>
          </w:tcPr>
          <w:p w14:paraId="38488B5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20</w:t>
            </w:r>
          </w:p>
        </w:tc>
        <w:tc>
          <w:tcPr>
            <w:tcW w:w="567" w:type="dxa"/>
            <w:tcBorders>
              <w:top w:val="nil"/>
              <w:left w:val="nil"/>
              <w:bottom w:val="nil"/>
              <w:right w:val="nil"/>
            </w:tcBorders>
            <w:shd w:val="clear" w:color="auto" w:fill="FFFFFF" w:themeFill="background1"/>
            <w:vAlign w:val="center"/>
          </w:tcPr>
          <w:p w14:paraId="52178FA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6.2</w:t>
            </w:r>
          </w:p>
        </w:tc>
        <w:tc>
          <w:tcPr>
            <w:tcW w:w="1146" w:type="dxa"/>
            <w:tcBorders>
              <w:top w:val="nil"/>
              <w:left w:val="nil"/>
              <w:bottom w:val="nil"/>
              <w:right w:val="single" w:sz="4" w:space="0" w:color="000000"/>
            </w:tcBorders>
            <w:shd w:val="clear" w:color="auto" w:fill="FFFFFF" w:themeFill="background1"/>
            <w:vAlign w:val="center"/>
          </w:tcPr>
          <w:p w14:paraId="6CEEF93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(3.8, 8.7)</w:t>
            </w:r>
          </w:p>
        </w:tc>
        <w:tc>
          <w:tcPr>
            <w:tcW w:w="536" w:type="dxa"/>
            <w:tcBorders>
              <w:top w:val="nil"/>
              <w:left w:val="single" w:sz="4" w:space="0" w:color="000000"/>
              <w:bottom w:val="nil"/>
              <w:right w:val="nil"/>
            </w:tcBorders>
            <w:shd w:val="clear" w:color="auto" w:fill="FFFFFF" w:themeFill="background1"/>
            <w:vAlign w:val="center"/>
          </w:tcPr>
          <w:p w14:paraId="26DAD2D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17</w:t>
            </w:r>
          </w:p>
        </w:tc>
        <w:tc>
          <w:tcPr>
            <w:tcW w:w="576" w:type="dxa"/>
            <w:tcBorders>
              <w:top w:val="nil"/>
              <w:left w:val="nil"/>
              <w:bottom w:val="nil"/>
              <w:right w:val="nil"/>
            </w:tcBorders>
            <w:shd w:val="clear" w:color="auto" w:fill="FFFFFF" w:themeFill="background1"/>
            <w:vAlign w:val="center"/>
          </w:tcPr>
          <w:p w14:paraId="33D7A70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5.9</w:t>
            </w:r>
          </w:p>
        </w:tc>
        <w:tc>
          <w:tcPr>
            <w:tcW w:w="1146" w:type="dxa"/>
            <w:tcBorders>
              <w:top w:val="nil"/>
              <w:left w:val="nil"/>
              <w:bottom w:val="nil"/>
              <w:right w:val="nil"/>
            </w:tcBorders>
            <w:shd w:val="clear" w:color="auto" w:fill="FFFFFF" w:themeFill="background1"/>
            <w:vAlign w:val="center"/>
          </w:tcPr>
          <w:p w14:paraId="732F630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(2.9, 8.8)</w:t>
            </w:r>
          </w:p>
        </w:tc>
      </w:tr>
      <w:tr w:rsidR="009118DA" w:rsidRPr="00063DE7" w14:paraId="1B678C3A"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225F0293" w14:textId="77777777" w:rsidR="003D7BB5" w:rsidRPr="00063DE7" w:rsidRDefault="003D7BB5" w:rsidP="00DD0F28">
            <w:pPr>
              <w:spacing w:before="20" w:after="20"/>
              <w:ind w:left="176"/>
              <w:rPr>
                <w:rFonts w:eastAsiaTheme="minorEastAsia"/>
                <w:b w:val="0"/>
                <w:sz w:val="18"/>
                <w:szCs w:val="18"/>
                <w:lang w:eastAsia="en-US"/>
              </w:rPr>
            </w:pPr>
            <w:r w:rsidRPr="00063DE7">
              <w:rPr>
                <w:rFonts w:eastAsiaTheme="minorEastAsia"/>
                <w:b w:val="0"/>
                <w:sz w:val="18"/>
                <w:szCs w:val="18"/>
                <w:lang w:eastAsia="en-US"/>
              </w:rPr>
              <w:t>Text game or competition</w:t>
            </w:r>
          </w:p>
        </w:tc>
        <w:tc>
          <w:tcPr>
            <w:tcW w:w="567" w:type="dxa"/>
            <w:tcBorders>
              <w:top w:val="nil"/>
              <w:left w:val="nil"/>
              <w:bottom w:val="nil"/>
              <w:right w:val="nil"/>
            </w:tcBorders>
            <w:noWrap/>
            <w:vAlign w:val="center"/>
          </w:tcPr>
          <w:p w14:paraId="31F294F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w:t>
            </w:r>
          </w:p>
        </w:tc>
        <w:tc>
          <w:tcPr>
            <w:tcW w:w="567" w:type="dxa"/>
            <w:tcBorders>
              <w:top w:val="nil"/>
              <w:left w:val="nil"/>
              <w:bottom w:val="nil"/>
              <w:right w:val="nil"/>
            </w:tcBorders>
            <w:noWrap/>
            <w:vAlign w:val="center"/>
          </w:tcPr>
          <w:p w14:paraId="4248F60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0.3</w:t>
            </w:r>
          </w:p>
        </w:tc>
        <w:tc>
          <w:tcPr>
            <w:tcW w:w="1146" w:type="dxa"/>
            <w:tcBorders>
              <w:top w:val="nil"/>
              <w:left w:val="nil"/>
              <w:bottom w:val="nil"/>
              <w:right w:val="single" w:sz="4" w:space="0" w:color="auto"/>
            </w:tcBorders>
            <w:noWrap/>
            <w:vAlign w:val="center"/>
          </w:tcPr>
          <w:p w14:paraId="041477B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16" w:type="dxa"/>
            <w:tcBorders>
              <w:top w:val="nil"/>
              <w:left w:val="single" w:sz="4" w:space="0" w:color="auto"/>
              <w:bottom w:val="nil"/>
              <w:right w:val="nil"/>
            </w:tcBorders>
            <w:noWrap/>
            <w:vAlign w:val="center"/>
          </w:tcPr>
          <w:p w14:paraId="204262C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w:t>
            </w:r>
          </w:p>
        </w:tc>
        <w:tc>
          <w:tcPr>
            <w:tcW w:w="567" w:type="dxa"/>
            <w:tcBorders>
              <w:top w:val="nil"/>
              <w:left w:val="nil"/>
              <w:bottom w:val="nil"/>
              <w:right w:val="nil"/>
            </w:tcBorders>
            <w:noWrap/>
            <w:vAlign w:val="center"/>
          </w:tcPr>
          <w:p w14:paraId="2DD4535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w:t>
            </w:r>
          </w:p>
        </w:tc>
        <w:tc>
          <w:tcPr>
            <w:tcW w:w="1146" w:type="dxa"/>
            <w:tcBorders>
              <w:top w:val="nil"/>
              <w:left w:val="nil"/>
              <w:bottom w:val="nil"/>
              <w:right w:val="single" w:sz="4" w:space="0" w:color="000000"/>
            </w:tcBorders>
            <w:shd w:val="clear" w:color="auto" w:fill="FFFFFF" w:themeFill="background1"/>
            <w:noWrap/>
            <w:vAlign w:val="center"/>
          </w:tcPr>
          <w:p w14:paraId="458D414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nil"/>
              <w:left w:val="single" w:sz="4" w:space="0" w:color="000000"/>
              <w:bottom w:val="nil"/>
              <w:right w:val="nil"/>
            </w:tcBorders>
            <w:shd w:val="clear" w:color="auto" w:fill="FFFFFF" w:themeFill="background1"/>
            <w:vAlign w:val="center"/>
          </w:tcPr>
          <w:p w14:paraId="570D845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w:t>
            </w:r>
          </w:p>
        </w:tc>
        <w:tc>
          <w:tcPr>
            <w:tcW w:w="567" w:type="dxa"/>
            <w:tcBorders>
              <w:top w:val="nil"/>
              <w:left w:val="nil"/>
              <w:bottom w:val="nil"/>
              <w:right w:val="nil"/>
            </w:tcBorders>
            <w:shd w:val="clear" w:color="auto" w:fill="FFFFFF" w:themeFill="background1"/>
            <w:vAlign w:val="center"/>
          </w:tcPr>
          <w:p w14:paraId="3C9A4DF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0.4</w:t>
            </w:r>
          </w:p>
        </w:tc>
        <w:tc>
          <w:tcPr>
            <w:tcW w:w="1146" w:type="dxa"/>
            <w:tcBorders>
              <w:top w:val="nil"/>
              <w:left w:val="nil"/>
              <w:bottom w:val="nil"/>
              <w:right w:val="single" w:sz="4" w:space="0" w:color="000000"/>
            </w:tcBorders>
            <w:shd w:val="clear" w:color="auto" w:fill="FFFFFF" w:themeFill="background1"/>
            <w:vAlign w:val="center"/>
          </w:tcPr>
          <w:p w14:paraId="06AD4F6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FFFFFF" w:themeFill="background1"/>
            <w:vAlign w:val="center"/>
          </w:tcPr>
          <w:p w14:paraId="41CBDA0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w:t>
            </w:r>
          </w:p>
        </w:tc>
        <w:tc>
          <w:tcPr>
            <w:tcW w:w="576" w:type="dxa"/>
            <w:tcBorders>
              <w:top w:val="nil"/>
              <w:left w:val="nil"/>
              <w:bottom w:val="nil"/>
              <w:right w:val="nil"/>
            </w:tcBorders>
            <w:shd w:val="clear" w:color="auto" w:fill="FFFFFF" w:themeFill="background1"/>
            <w:vAlign w:val="center"/>
          </w:tcPr>
          <w:p w14:paraId="44779CC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0.1</w:t>
            </w:r>
          </w:p>
        </w:tc>
        <w:tc>
          <w:tcPr>
            <w:tcW w:w="1146" w:type="dxa"/>
            <w:tcBorders>
              <w:top w:val="nil"/>
              <w:left w:val="nil"/>
              <w:bottom w:val="nil"/>
              <w:right w:val="nil"/>
            </w:tcBorders>
            <w:shd w:val="clear" w:color="auto" w:fill="FFFFFF" w:themeFill="background1"/>
            <w:vAlign w:val="center"/>
          </w:tcPr>
          <w:p w14:paraId="3BC54EA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063DE7" w14:paraId="52A04E09"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6E7B56F2" w14:textId="77777777" w:rsidR="003D7BB5" w:rsidRPr="00063DE7" w:rsidRDefault="003D7BB5" w:rsidP="00DD0F28">
            <w:pPr>
              <w:spacing w:before="20" w:after="20"/>
              <w:ind w:left="176"/>
              <w:rPr>
                <w:rFonts w:eastAsiaTheme="minorEastAsia"/>
                <w:b w:val="0"/>
                <w:sz w:val="18"/>
                <w:szCs w:val="18"/>
                <w:lang w:eastAsia="en-US"/>
              </w:rPr>
            </w:pPr>
            <w:r w:rsidRPr="00063DE7">
              <w:rPr>
                <w:rFonts w:eastAsiaTheme="minorEastAsia"/>
                <w:b w:val="0"/>
                <w:sz w:val="18"/>
                <w:szCs w:val="18"/>
                <w:lang w:eastAsia="en-US"/>
              </w:rPr>
              <w:t>Raffle/lottery (NZ or overseas)</w:t>
            </w:r>
          </w:p>
        </w:tc>
        <w:tc>
          <w:tcPr>
            <w:tcW w:w="567" w:type="dxa"/>
            <w:tcBorders>
              <w:top w:val="nil"/>
              <w:left w:val="nil"/>
              <w:bottom w:val="nil"/>
              <w:right w:val="nil"/>
            </w:tcBorders>
            <w:noWrap/>
            <w:vAlign w:val="center"/>
          </w:tcPr>
          <w:p w14:paraId="0CC385D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65</w:t>
            </w:r>
          </w:p>
        </w:tc>
        <w:tc>
          <w:tcPr>
            <w:tcW w:w="567" w:type="dxa"/>
            <w:tcBorders>
              <w:top w:val="nil"/>
              <w:left w:val="nil"/>
              <w:bottom w:val="nil"/>
              <w:right w:val="nil"/>
            </w:tcBorders>
            <w:noWrap/>
            <w:vAlign w:val="center"/>
          </w:tcPr>
          <w:p w14:paraId="43F3442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10.0</w:t>
            </w:r>
          </w:p>
        </w:tc>
        <w:tc>
          <w:tcPr>
            <w:tcW w:w="1146" w:type="dxa"/>
            <w:tcBorders>
              <w:top w:val="nil"/>
              <w:left w:val="nil"/>
              <w:bottom w:val="nil"/>
              <w:right w:val="single" w:sz="4" w:space="0" w:color="auto"/>
            </w:tcBorders>
            <w:noWrap/>
            <w:vAlign w:val="center"/>
          </w:tcPr>
          <w:p w14:paraId="668B6AD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(8.1, 11.9)</w:t>
            </w:r>
          </w:p>
        </w:tc>
        <w:tc>
          <w:tcPr>
            <w:tcW w:w="516" w:type="dxa"/>
            <w:tcBorders>
              <w:top w:val="nil"/>
              <w:left w:val="single" w:sz="4" w:space="0" w:color="auto"/>
              <w:bottom w:val="nil"/>
              <w:right w:val="nil"/>
            </w:tcBorders>
            <w:noWrap/>
            <w:vAlign w:val="center"/>
          </w:tcPr>
          <w:p w14:paraId="0D8E4A3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50</w:t>
            </w:r>
          </w:p>
        </w:tc>
        <w:tc>
          <w:tcPr>
            <w:tcW w:w="567" w:type="dxa"/>
            <w:tcBorders>
              <w:top w:val="nil"/>
              <w:left w:val="nil"/>
              <w:bottom w:val="nil"/>
              <w:right w:val="nil"/>
            </w:tcBorders>
            <w:noWrap/>
            <w:vAlign w:val="center"/>
          </w:tcPr>
          <w:p w14:paraId="26C1FBD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12.8</w:t>
            </w:r>
          </w:p>
        </w:tc>
        <w:tc>
          <w:tcPr>
            <w:tcW w:w="1146" w:type="dxa"/>
            <w:tcBorders>
              <w:top w:val="nil"/>
              <w:left w:val="nil"/>
              <w:bottom w:val="nil"/>
              <w:right w:val="single" w:sz="4" w:space="0" w:color="000000"/>
            </w:tcBorders>
            <w:shd w:val="clear" w:color="auto" w:fill="FFFFFF" w:themeFill="background1"/>
            <w:noWrap/>
            <w:vAlign w:val="center"/>
          </w:tcPr>
          <w:p w14:paraId="7AE75B7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(9.4, 16.2)</w:t>
            </w:r>
          </w:p>
        </w:tc>
        <w:tc>
          <w:tcPr>
            <w:tcW w:w="536" w:type="dxa"/>
            <w:tcBorders>
              <w:top w:val="nil"/>
              <w:left w:val="single" w:sz="4" w:space="0" w:color="000000"/>
              <w:bottom w:val="nil"/>
              <w:right w:val="nil"/>
            </w:tcBorders>
            <w:shd w:val="clear" w:color="auto" w:fill="FFFFFF" w:themeFill="background1"/>
            <w:vAlign w:val="center"/>
          </w:tcPr>
          <w:p w14:paraId="18ACE7C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37</w:t>
            </w:r>
          </w:p>
        </w:tc>
        <w:tc>
          <w:tcPr>
            <w:tcW w:w="567" w:type="dxa"/>
            <w:tcBorders>
              <w:top w:val="nil"/>
              <w:left w:val="nil"/>
              <w:bottom w:val="nil"/>
              <w:right w:val="nil"/>
            </w:tcBorders>
            <w:shd w:val="clear" w:color="auto" w:fill="FFFFFF" w:themeFill="background1"/>
            <w:vAlign w:val="center"/>
          </w:tcPr>
          <w:p w14:paraId="3C45A22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11.2</w:t>
            </w:r>
          </w:p>
        </w:tc>
        <w:tc>
          <w:tcPr>
            <w:tcW w:w="1146" w:type="dxa"/>
            <w:tcBorders>
              <w:top w:val="nil"/>
              <w:left w:val="nil"/>
              <w:bottom w:val="nil"/>
              <w:right w:val="single" w:sz="4" w:space="0" w:color="000000"/>
            </w:tcBorders>
            <w:shd w:val="clear" w:color="auto" w:fill="FFFFFF" w:themeFill="background1"/>
            <w:vAlign w:val="center"/>
          </w:tcPr>
          <w:p w14:paraId="566B781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(8.0, 14.4)</w:t>
            </w:r>
          </w:p>
        </w:tc>
        <w:tc>
          <w:tcPr>
            <w:tcW w:w="536" w:type="dxa"/>
            <w:tcBorders>
              <w:top w:val="nil"/>
              <w:left w:val="single" w:sz="4" w:space="0" w:color="000000"/>
              <w:bottom w:val="nil"/>
              <w:right w:val="nil"/>
            </w:tcBorders>
            <w:shd w:val="clear" w:color="auto" w:fill="FFFFFF" w:themeFill="background1"/>
            <w:vAlign w:val="center"/>
          </w:tcPr>
          <w:p w14:paraId="73EB82E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31</w:t>
            </w:r>
          </w:p>
        </w:tc>
        <w:tc>
          <w:tcPr>
            <w:tcW w:w="576" w:type="dxa"/>
            <w:tcBorders>
              <w:top w:val="nil"/>
              <w:left w:val="nil"/>
              <w:bottom w:val="nil"/>
              <w:right w:val="nil"/>
            </w:tcBorders>
            <w:shd w:val="clear" w:color="auto" w:fill="FFFFFF" w:themeFill="background1"/>
            <w:vAlign w:val="center"/>
          </w:tcPr>
          <w:p w14:paraId="2D0951E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10.5</w:t>
            </w:r>
          </w:p>
        </w:tc>
        <w:tc>
          <w:tcPr>
            <w:tcW w:w="1146" w:type="dxa"/>
            <w:tcBorders>
              <w:top w:val="nil"/>
              <w:left w:val="nil"/>
              <w:bottom w:val="nil"/>
              <w:right w:val="nil"/>
            </w:tcBorders>
            <w:shd w:val="clear" w:color="auto" w:fill="FFFFFF" w:themeFill="background1"/>
            <w:vAlign w:val="center"/>
          </w:tcPr>
          <w:p w14:paraId="5998B68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(7.5, 13.5)</w:t>
            </w:r>
          </w:p>
        </w:tc>
      </w:tr>
      <w:tr w:rsidR="009118DA" w:rsidRPr="00063DE7" w14:paraId="46115CBD"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6ADE910C" w14:textId="77777777" w:rsidR="003D7BB5" w:rsidRPr="00063DE7" w:rsidRDefault="003D7BB5" w:rsidP="00DD0F28">
            <w:pPr>
              <w:spacing w:before="20" w:after="20"/>
              <w:ind w:left="176"/>
              <w:rPr>
                <w:rFonts w:eastAsiaTheme="minorEastAsia"/>
                <w:b w:val="0"/>
                <w:sz w:val="18"/>
                <w:szCs w:val="18"/>
                <w:lang w:eastAsia="en-US"/>
              </w:rPr>
            </w:pPr>
            <w:r w:rsidRPr="00063DE7">
              <w:rPr>
                <w:rFonts w:eastAsiaTheme="minorEastAsia"/>
                <w:b w:val="0"/>
                <w:sz w:val="18"/>
                <w:szCs w:val="18"/>
                <w:lang w:eastAsia="en-US"/>
              </w:rPr>
              <w:t>Lotto</w:t>
            </w:r>
          </w:p>
        </w:tc>
        <w:tc>
          <w:tcPr>
            <w:tcW w:w="567" w:type="dxa"/>
            <w:tcBorders>
              <w:top w:val="nil"/>
              <w:left w:val="nil"/>
              <w:bottom w:val="nil"/>
              <w:right w:val="nil"/>
            </w:tcBorders>
            <w:noWrap/>
            <w:vAlign w:val="center"/>
          </w:tcPr>
          <w:p w14:paraId="776F7B2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118</w:t>
            </w:r>
          </w:p>
        </w:tc>
        <w:tc>
          <w:tcPr>
            <w:tcW w:w="567" w:type="dxa"/>
            <w:tcBorders>
              <w:top w:val="nil"/>
              <w:left w:val="nil"/>
              <w:bottom w:val="nil"/>
              <w:right w:val="nil"/>
            </w:tcBorders>
            <w:noWrap/>
            <w:vAlign w:val="center"/>
          </w:tcPr>
          <w:p w14:paraId="0AD3B84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18.2</w:t>
            </w:r>
          </w:p>
        </w:tc>
        <w:tc>
          <w:tcPr>
            <w:tcW w:w="1146" w:type="dxa"/>
            <w:tcBorders>
              <w:top w:val="nil"/>
              <w:left w:val="nil"/>
              <w:bottom w:val="nil"/>
              <w:right w:val="single" w:sz="4" w:space="0" w:color="auto"/>
            </w:tcBorders>
            <w:noWrap/>
            <w:vAlign w:val="center"/>
          </w:tcPr>
          <w:p w14:paraId="7750FEB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(15.8, 20.6)</w:t>
            </w:r>
          </w:p>
        </w:tc>
        <w:tc>
          <w:tcPr>
            <w:tcW w:w="516" w:type="dxa"/>
            <w:tcBorders>
              <w:top w:val="nil"/>
              <w:left w:val="single" w:sz="4" w:space="0" w:color="auto"/>
              <w:bottom w:val="nil"/>
              <w:right w:val="nil"/>
            </w:tcBorders>
            <w:noWrap/>
            <w:vAlign w:val="center"/>
          </w:tcPr>
          <w:p w14:paraId="79488F8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65</w:t>
            </w:r>
          </w:p>
        </w:tc>
        <w:tc>
          <w:tcPr>
            <w:tcW w:w="567" w:type="dxa"/>
            <w:tcBorders>
              <w:top w:val="nil"/>
              <w:left w:val="nil"/>
              <w:bottom w:val="nil"/>
              <w:right w:val="nil"/>
            </w:tcBorders>
            <w:noWrap/>
            <w:vAlign w:val="center"/>
          </w:tcPr>
          <w:p w14:paraId="6FB7920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16.7</w:t>
            </w:r>
          </w:p>
        </w:tc>
        <w:tc>
          <w:tcPr>
            <w:tcW w:w="1146" w:type="dxa"/>
            <w:tcBorders>
              <w:top w:val="nil"/>
              <w:left w:val="nil"/>
              <w:bottom w:val="nil"/>
              <w:right w:val="single" w:sz="4" w:space="0" w:color="000000"/>
            </w:tcBorders>
            <w:shd w:val="clear" w:color="auto" w:fill="FFFFFF" w:themeFill="background1"/>
            <w:noWrap/>
            <w:vAlign w:val="center"/>
          </w:tcPr>
          <w:p w14:paraId="706ACC5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(13.7, 19.7)</w:t>
            </w:r>
          </w:p>
        </w:tc>
        <w:tc>
          <w:tcPr>
            <w:tcW w:w="536" w:type="dxa"/>
            <w:tcBorders>
              <w:top w:val="nil"/>
              <w:left w:val="single" w:sz="4" w:space="0" w:color="000000"/>
              <w:bottom w:val="nil"/>
              <w:right w:val="nil"/>
            </w:tcBorders>
            <w:shd w:val="clear" w:color="auto" w:fill="FFFFFF" w:themeFill="background1"/>
            <w:vAlign w:val="center"/>
          </w:tcPr>
          <w:p w14:paraId="4C2F35A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51</w:t>
            </w:r>
          </w:p>
        </w:tc>
        <w:tc>
          <w:tcPr>
            <w:tcW w:w="567" w:type="dxa"/>
            <w:tcBorders>
              <w:top w:val="nil"/>
              <w:left w:val="nil"/>
              <w:bottom w:val="nil"/>
              <w:right w:val="nil"/>
            </w:tcBorders>
            <w:shd w:val="clear" w:color="auto" w:fill="FFFFFF" w:themeFill="background1"/>
            <w:vAlign w:val="center"/>
          </w:tcPr>
          <w:p w14:paraId="4A29F2C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15.6</w:t>
            </w:r>
          </w:p>
        </w:tc>
        <w:tc>
          <w:tcPr>
            <w:tcW w:w="1146" w:type="dxa"/>
            <w:tcBorders>
              <w:top w:val="nil"/>
              <w:left w:val="nil"/>
              <w:bottom w:val="nil"/>
              <w:right w:val="single" w:sz="4" w:space="0" w:color="000000"/>
            </w:tcBorders>
            <w:shd w:val="clear" w:color="auto" w:fill="FFFFFF" w:themeFill="background1"/>
            <w:vAlign w:val="center"/>
          </w:tcPr>
          <w:p w14:paraId="46529A9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(12.2, 19.1)</w:t>
            </w:r>
          </w:p>
        </w:tc>
        <w:tc>
          <w:tcPr>
            <w:tcW w:w="536" w:type="dxa"/>
            <w:tcBorders>
              <w:top w:val="nil"/>
              <w:left w:val="single" w:sz="4" w:space="0" w:color="000000"/>
              <w:bottom w:val="nil"/>
              <w:right w:val="nil"/>
            </w:tcBorders>
            <w:shd w:val="clear" w:color="auto" w:fill="FFFFFF" w:themeFill="background1"/>
            <w:vAlign w:val="center"/>
          </w:tcPr>
          <w:p w14:paraId="6A01BA2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46</w:t>
            </w:r>
          </w:p>
        </w:tc>
        <w:tc>
          <w:tcPr>
            <w:tcW w:w="576" w:type="dxa"/>
            <w:tcBorders>
              <w:top w:val="nil"/>
              <w:left w:val="nil"/>
              <w:bottom w:val="nil"/>
              <w:right w:val="nil"/>
            </w:tcBorders>
            <w:shd w:val="clear" w:color="auto" w:fill="FFFFFF" w:themeFill="background1"/>
            <w:vAlign w:val="center"/>
          </w:tcPr>
          <w:p w14:paraId="5F4FF49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15.8</w:t>
            </w:r>
          </w:p>
        </w:tc>
        <w:tc>
          <w:tcPr>
            <w:tcW w:w="1146" w:type="dxa"/>
            <w:tcBorders>
              <w:top w:val="nil"/>
              <w:left w:val="nil"/>
              <w:bottom w:val="nil"/>
              <w:right w:val="nil"/>
            </w:tcBorders>
            <w:shd w:val="clear" w:color="auto" w:fill="FFFFFF" w:themeFill="background1"/>
            <w:vAlign w:val="center"/>
          </w:tcPr>
          <w:p w14:paraId="1968019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(11.7, 19.9)</w:t>
            </w:r>
          </w:p>
        </w:tc>
      </w:tr>
      <w:tr w:rsidR="009118DA" w:rsidRPr="00063DE7" w14:paraId="011ED6DA"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231F8D90" w14:textId="77777777" w:rsidR="003D7BB5" w:rsidRPr="00063DE7" w:rsidRDefault="003D7BB5" w:rsidP="00DD0F28">
            <w:pPr>
              <w:spacing w:before="20" w:after="20"/>
              <w:ind w:left="176"/>
              <w:rPr>
                <w:rFonts w:eastAsiaTheme="minorEastAsia"/>
                <w:b w:val="0"/>
                <w:sz w:val="18"/>
                <w:szCs w:val="18"/>
                <w:lang w:eastAsia="en-US"/>
              </w:rPr>
            </w:pPr>
            <w:r w:rsidRPr="00063DE7">
              <w:rPr>
                <w:rFonts w:eastAsiaTheme="minorEastAsia"/>
                <w:b w:val="0"/>
                <w:sz w:val="18"/>
                <w:szCs w:val="18"/>
                <w:lang w:eastAsia="en-US"/>
              </w:rPr>
              <w:t>Keno</w:t>
            </w:r>
          </w:p>
        </w:tc>
        <w:tc>
          <w:tcPr>
            <w:tcW w:w="567" w:type="dxa"/>
            <w:tcBorders>
              <w:top w:val="nil"/>
              <w:left w:val="nil"/>
              <w:bottom w:val="nil"/>
              <w:right w:val="nil"/>
            </w:tcBorders>
            <w:noWrap/>
            <w:vAlign w:val="center"/>
          </w:tcPr>
          <w:p w14:paraId="0C868B0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w:t>
            </w:r>
          </w:p>
        </w:tc>
        <w:tc>
          <w:tcPr>
            <w:tcW w:w="567" w:type="dxa"/>
            <w:tcBorders>
              <w:top w:val="nil"/>
              <w:left w:val="nil"/>
              <w:bottom w:val="nil"/>
              <w:right w:val="nil"/>
            </w:tcBorders>
            <w:noWrap/>
            <w:vAlign w:val="center"/>
          </w:tcPr>
          <w:p w14:paraId="2091655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0.4</w:t>
            </w:r>
          </w:p>
        </w:tc>
        <w:tc>
          <w:tcPr>
            <w:tcW w:w="1146" w:type="dxa"/>
            <w:tcBorders>
              <w:top w:val="nil"/>
              <w:left w:val="nil"/>
              <w:bottom w:val="nil"/>
              <w:right w:val="single" w:sz="4" w:space="0" w:color="auto"/>
            </w:tcBorders>
            <w:noWrap/>
            <w:vAlign w:val="center"/>
          </w:tcPr>
          <w:p w14:paraId="04E9788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16" w:type="dxa"/>
            <w:tcBorders>
              <w:top w:val="nil"/>
              <w:left w:val="single" w:sz="4" w:space="0" w:color="auto"/>
              <w:bottom w:val="nil"/>
              <w:right w:val="nil"/>
            </w:tcBorders>
            <w:noWrap/>
            <w:vAlign w:val="center"/>
          </w:tcPr>
          <w:p w14:paraId="0BC07B5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w:t>
            </w:r>
          </w:p>
        </w:tc>
        <w:tc>
          <w:tcPr>
            <w:tcW w:w="567" w:type="dxa"/>
            <w:tcBorders>
              <w:top w:val="nil"/>
              <w:left w:val="nil"/>
              <w:bottom w:val="nil"/>
              <w:right w:val="nil"/>
            </w:tcBorders>
            <w:noWrap/>
            <w:vAlign w:val="center"/>
          </w:tcPr>
          <w:p w14:paraId="7247FB2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0.7</w:t>
            </w:r>
          </w:p>
        </w:tc>
        <w:tc>
          <w:tcPr>
            <w:tcW w:w="1146" w:type="dxa"/>
            <w:tcBorders>
              <w:top w:val="nil"/>
              <w:left w:val="nil"/>
              <w:bottom w:val="nil"/>
              <w:right w:val="single" w:sz="4" w:space="0" w:color="000000"/>
            </w:tcBorders>
            <w:shd w:val="clear" w:color="auto" w:fill="FFFFFF" w:themeFill="background1"/>
            <w:noWrap/>
            <w:vAlign w:val="center"/>
          </w:tcPr>
          <w:p w14:paraId="4E7B563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(0.1, 1.3)</w:t>
            </w:r>
          </w:p>
        </w:tc>
        <w:tc>
          <w:tcPr>
            <w:tcW w:w="536" w:type="dxa"/>
            <w:tcBorders>
              <w:top w:val="nil"/>
              <w:left w:val="single" w:sz="4" w:space="0" w:color="000000"/>
              <w:bottom w:val="nil"/>
              <w:right w:val="nil"/>
            </w:tcBorders>
            <w:shd w:val="clear" w:color="auto" w:fill="FFFFFF" w:themeFill="background1"/>
            <w:vAlign w:val="center"/>
          </w:tcPr>
          <w:p w14:paraId="6CA6913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w:t>
            </w:r>
          </w:p>
        </w:tc>
        <w:tc>
          <w:tcPr>
            <w:tcW w:w="567" w:type="dxa"/>
            <w:tcBorders>
              <w:top w:val="nil"/>
              <w:left w:val="nil"/>
              <w:bottom w:val="nil"/>
              <w:right w:val="nil"/>
            </w:tcBorders>
            <w:shd w:val="clear" w:color="auto" w:fill="FFFFFF" w:themeFill="background1"/>
            <w:vAlign w:val="center"/>
          </w:tcPr>
          <w:p w14:paraId="4D1D7E5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0.3</w:t>
            </w:r>
          </w:p>
        </w:tc>
        <w:tc>
          <w:tcPr>
            <w:tcW w:w="1146" w:type="dxa"/>
            <w:tcBorders>
              <w:top w:val="nil"/>
              <w:left w:val="nil"/>
              <w:bottom w:val="nil"/>
              <w:right w:val="single" w:sz="4" w:space="0" w:color="000000"/>
            </w:tcBorders>
            <w:shd w:val="clear" w:color="auto" w:fill="FFFFFF" w:themeFill="background1"/>
            <w:vAlign w:val="center"/>
          </w:tcPr>
          <w:p w14:paraId="7F8397C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FFFFFF" w:themeFill="background1"/>
            <w:vAlign w:val="center"/>
          </w:tcPr>
          <w:p w14:paraId="7663A46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w:t>
            </w:r>
          </w:p>
        </w:tc>
        <w:tc>
          <w:tcPr>
            <w:tcW w:w="576" w:type="dxa"/>
            <w:tcBorders>
              <w:top w:val="nil"/>
              <w:left w:val="nil"/>
              <w:bottom w:val="nil"/>
              <w:right w:val="nil"/>
            </w:tcBorders>
            <w:shd w:val="clear" w:color="auto" w:fill="FFFFFF" w:themeFill="background1"/>
            <w:vAlign w:val="center"/>
          </w:tcPr>
          <w:p w14:paraId="67A628D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0.3</w:t>
            </w:r>
          </w:p>
        </w:tc>
        <w:tc>
          <w:tcPr>
            <w:tcW w:w="1146" w:type="dxa"/>
            <w:tcBorders>
              <w:top w:val="nil"/>
              <w:left w:val="nil"/>
              <w:bottom w:val="nil"/>
              <w:right w:val="nil"/>
            </w:tcBorders>
            <w:shd w:val="clear" w:color="auto" w:fill="FFFFFF" w:themeFill="background1"/>
            <w:vAlign w:val="center"/>
          </w:tcPr>
          <w:p w14:paraId="6C79362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063DE7" w14:paraId="1FB2A57F"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17251FAC" w14:textId="77777777" w:rsidR="003D7BB5" w:rsidRPr="00063DE7" w:rsidRDefault="003D7BB5" w:rsidP="00DD0F28">
            <w:pPr>
              <w:spacing w:before="20" w:after="20"/>
              <w:ind w:left="176"/>
              <w:rPr>
                <w:rFonts w:eastAsiaTheme="minorEastAsia"/>
                <w:b w:val="0"/>
                <w:sz w:val="18"/>
                <w:szCs w:val="18"/>
                <w:lang w:eastAsia="en-US"/>
              </w:rPr>
            </w:pPr>
            <w:r w:rsidRPr="00063DE7">
              <w:rPr>
                <w:rFonts w:eastAsiaTheme="minorEastAsia"/>
                <w:b w:val="0"/>
                <w:sz w:val="18"/>
                <w:szCs w:val="18"/>
                <w:lang w:eastAsia="en-US"/>
              </w:rPr>
              <w:t>Bullseye</w:t>
            </w:r>
          </w:p>
        </w:tc>
        <w:tc>
          <w:tcPr>
            <w:tcW w:w="567" w:type="dxa"/>
            <w:tcBorders>
              <w:top w:val="nil"/>
              <w:left w:val="nil"/>
              <w:bottom w:val="nil"/>
              <w:right w:val="nil"/>
            </w:tcBorders>
            <w:noWrap/>
            <w:vAlign w:val="center"/>
          </w:tcPr>
          <w:p w14:paraId="063CBEF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w:t>
            </w:r>
          </w:p>
        </w:tc>
        <w:tc>
          <w:tcPr>
            <w:tcW w:w="567" w:type="dxa"/>
            <w:tcBorders>
              <w:top w:val="nil"/>
              <w:left w:val="nil"/>
              <w:bottom w:val="nil"/>
              <w:right w:val="nil"/>
            </w:tcBorders>
            <w:noWrap/>
            <w:vAlign w:val="center"/>
          </w:tcPr>
          <w:p w14:paraId="6377A30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w:t>
            </w:r>
          </w:p>
        </w:tc>
        <w:tc>
          <w:tcPr>
            <w:tcW w:w="1146" w:type="dxa"/>
            <w:tcBorders>
              <w:top w:val="nil"/>
              <w:left w:val="nil"/>
              <w:bottom w:val="nil"/>
              <w:right w:val="single" w:sz="4" w:space="0" w:color="auto"/>
            </w:tcBorders>
            <w:noWrap/>
            <w:vAlign w:val="center"/>
          </w:tcPr>
          <w:p w14:paraId="7FB6EF3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16" w:type="dxa"/>
            <w:tcBorders>
              <w:top w:val="nil"/>
              <w:left w:val="single" w:sz="4" w:space="0" w:color="auto"/>
              <w:bottom w:val="nil"/>
              <w:right w:val="nil"/>
            </w:tcBorders>
            <w:noWrap/>
            <w:vAlign w:val="center"/>
          </w:tcPr>
          <w:p w14:paraId="2804101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w:t>
            </w:r>
          </w:p>
        </w:tc>
        <w:tc>
          <w:tcPr>
            <w:tcW w:w="567" w:type="dxa"/>
            <w:tcBorders>
              <w:top w:val="nil"/>
              <w:left w:val="nil"/>
              <w:bottom w:val="nil"/>
              <w:right w:val="nil"/>
            </w:tcBorders>
            <w:noWrap/>
            <w:vAlign w:val="center"/>
          </w:tcPr>
          <w:p w14:paraId="3EE8EBB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w:t>
            </w:r>
          </w:p>
        </w:tc>
        <w:tc>
          <w:tcPr>
            <w:tcW w:w="1146" w:type="dxa"/>
            <w:tcBorders>
              <w:top w:val="nil"/>
              <w:left w:val="nil"/>
              <w:bottom w:val="nil"/>
              <w:right w:val="single" w:sz="4" w:space="0" w:color="000000"/>
            </w:tcBorders>
            <w:shd w:val="clear" w:color="auto" w:fill="FFFFFF" w:themeFill="background1"/>
            <w:noWrap/>
            <w:vAlign w:val="center"/>
          </w:tcPr>
          <w:p w14:paraId="08A6896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nil"/>
              <w:left w:val="single" w:sz="4" w:space="0" w:color="000000"/>
              <w:bottom w:val="nil"/>
              <w:right w:val="nil"/>
            </w:tcBorders>
            <w:shd w:val="clear" w:color="auto" w:fill="FFFFFF" w:themeFill="background1"/>
            <w:vAlign w:val="center"/>
          </w:tcPr>
          <w:p w14:paraId="77F2967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w:t>
            </w:r>
          </w:p>
        </w:tc>
        <w:tc>
          <w:tcPr>
            <w:tcW w:w="567" w:type="dxa"/>
            <w:tcBorders>
              <w:top w:val="nil"/>
              <w:left w:val="nil"/>
              <w:bottom w:val="nil"/>
              <w:right w:val="nil"/>
            </w:tcBorders>
            <w:shd w:val="clear" w:color="auto" w:fill="FFFFFF" w:themeFill="background1"/>
            <w:vAlign w:val="center"/>
          </w:tcPr>
          <w:p w14:paraId="3083A08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0.1</w:t>
            </w:r>
          </w:p>
        </w:tc>
        <w:tc>
          <w:tcPr>
            <w:tcW w:w="1146" w:type="dxa"/>
            <w:tcBorders>
              <w:top w:val="nil"/>
              <w:left w:val="nil"/>
              <w:bottom w:val="nil"/>
              <w:right w:val="single" w:sz="4" w:space="0" w:color="000000"/>
            </w:tcBorders>
            <w:shd w:val="clear" w:color="auto" w:fill="FFFFFF" w:themeFill="background1"/>
            <w:vAlign w:val="center"/>
          </w:tcPr>
          <w:p w14:paraId="44B275E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FFFFFF" w:themeFill="background1"/>
            <w:vAlign w:val="center"/>
          </w:tcPr>
          <w:p w14:paraId="0D62A38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w:t>
            </w:r>
          </w:p>
        </w:tc>
        <w:tc>
          <w:tcPr>
            <w:tcW w:w="576" w:type="dxa"/>
            <w:tcBorders>
              <w:top w:val="nil"/>
              <w:left w:val="nil"/>
              <w:bottom w:val="nil"/>
              <w:right w:val="nil"/>
            </w:tcBorders>
            <w:shd w:val="clear" w:color="auto" w:fill="FFFFFF" w:themeFill="background1"/>
            <w:vAlign w:val="center"/>
          </w:tcPr>
          <w:p w14:paraId="1C27F56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0.2</w:t>
            </w:r>
          </w:p>
        </w:tc>
        <w:tc>
          <w:tcPr>
            <w:tcW w:w="1146" w:type="dxa"/>
            <w:tcBorders>
              <w:top w:val="nil"/>
              <w:left w:val="nil"/>
              <w:bottom w:val="nil"/>
              <w:right w:val="nil"/>
            </w:tcBorders>
            <w:shd w:val="clear" w:color="auto" w:fill="FFFFFF" w:themeFill="background1"/>
            <w:vAlign w:val="center"/>
          </w:tcPr>
          <w:p w14:paraId="43FEC40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063DE7" w14:paraId="0EA163E1"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2383BD06" w14:textId="77777777" w:rsidR="003D7BB5" w:rsidRPr="00063DE7" w:rsidRDefault="003D7BB5" w:rsidP="00DD0F28">
            <w:pPr>
              <w:spacing w:before="20" w:after="20"/>
              <w:ind w:left="176"/>
              <w:rPr>
                <w:rFonts w:eastAsiaTheme="minorEastAsia"/>
                <w:b w:val="0"/>
                <w:sz w:val="18"/>
                <w:szCs w:val="18"/>
              </w:rPr>
            </w:pPr>
            <w:r w:rsidRPr="00063DE7">
              <w:rPr>
                <w:rFonts w:eastAsiaTheme="minorEastAsia"/>
                <w:b w:val="0"/>
                <w:sz w:val="18"/>
                <w:szCs w:val="18"/>
              </w:rPr>
              <w:t>Instant Kiwi/or other scratch tickets</w:t>
            </w:r>
          </w:p>
        </w:tc>
        <w:tc>
          <w:tcPr>
            <w:tcW w:w="567" w:type="dxa"/>
            <w:tcBorders>
              <w:top w:val="nil"/>
              <w:left w:val="nil"/>
              <w:bottom w:val="nil"/>
              <w:right w:val="nil"/>
            </w:tcBorders>
            <w:noWrap/>
            <w:vAlign w:val="center"/>
          </w:tcPr>
          <w:p w14:paraId="0FF7586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75</w:t>
            </w:r>
          </w:p>
        </w:tc>
        <w:tc>
          <w:tcPr>
            <w:tcW w:w="567" w:type="dxa"/>
            <w:tcBorders>
              <w:top w:val="nil"/>
              <w:left w:val="nil"/>
              <w:bottom w:val="nil"/>
              <w:right w:val="nil"/>
            </w:tcBorders>
            <w:noWrap/>
            <w:vAlign w:val="center"/>
          </w:tcPr>
          <w:p w14:paraId="1F06933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11.6</w:t>
            </w:r>
          </w:p>
        </w:tc>
        <w:tc>
          <w:tcPr>
            <w:tcW w:w="1146" w:type="dxa"/>
            <w:tcBorders>
              <w:top w:val="nil"/>
              <w:left w:val="nil"/>
              <w:bottom w:val="nil"/>
              <w:right w:val="single" w:sz="4" w:space="0" w:color="auto"/>
            </w:tcBorders>
            <w:noWrap/>
            <w:vAlign w:val="center"/>
          </w:tcPr>
          <w:p w14:paraId="5A49DF1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(9.4, 13.7)</w:t>
            </w:r>
          </w:p>
        </w:tc>
        <w:tc>
          <w:tcPr>
            <w:tcW w:w="516" w:type="dxa"/>
            <w:tcBorders>
              <w:top w:val="nil"/>
              <w:left w:val="single" w:sz="4" w:space="0" w:color="auto"/>
              <w:bottom w:val="nil"/>
              <w:right w:val="nil"/>
            </w:tcBorders>
            <w:noWrap/>
            <w:vAlign w:val="center"/>
          </w:tcPr>
          <w:p w14:paraId="5EFFA3A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39</w:t>
            </w:r>
          </w:p>
        </w:tc>
        <w:tc>
          <w:tcPr>
            <w:tcW w:w="567" w:type="dxa"/>
            <w:tcBorders>
              <w:top w:val="nil"/>
              <w:left w:val="nil"/>
              <w:bottom w:val="nil"/>
              <w:right w:val="nil"/>
            </w:tcBorders>
            <w:noWrap/>
            <w:vAlign w:val="center"/>
          </w:tcPr>
          <w:p w14:paraId="10374AD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10.1</w:t>
            </w:r>
          </w:p>
        </w:tc>
        <w:tc>
          <w:tcPr>
            <w:tcW w:w="1146" w:type="dxa"/>
            <w:tcBorders>
              <w:top w:val="nil"/>
              <w:left w:val="nil"/>
              <w:bottom w:val="nil"/>
              <w:right w:val="single" w:sz="4" w:space="0" w:color="000000"/>
            </w:tcBorders>
            <w:shd w:val="clear" w:color="auto" w:fill="FFFFFF" w:themeFill="background1"/>
            <w:noWrap/>
            <w:vAlign w:val="center"/>
          </w:tcPr>
          <w:p w14:paraId="343FD56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(7.2, 12.9)</w:t>
            </w:r>
          </w:p>
        </w:tc>
        <w:tc>
          <w:tcPr>
            <w:tcW w:w="536" w:type="dxa"/>
            <w:tcBorders>
              <w:top w:val="nil"/>
              <w:left w:val="single" w:sz="4" w:space="0" w:color="000000"/>
              <w:bottom w:val="nil"/>
              <w:right w:val="nil"/>
            </w:tcBorders>
            <w:shd w:val="clear" w:color="auto" w:fill="FFFFFF" w:themeFill="background1"/>
            <w:vAlign w:val="center"/>
          </w:tcPr>
          <w:p w14:paraId="0FEAB77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25</w:t>
            </w:r>
          </w:p>
        </w:tc>
        <w:tc>
          <w:tcPr>
            <w:tcW w:w="567" w:type="dxa"/>
            <w:tcBorders>
              <w:top w:val="nil"/>
              <w:left w:val="nil"/>
              <w:bottom w:val="nil"/>
              <w:right w:val="nil"/>
            </w:tcBorders>
            <w:shd w:val="clear" w:color="auto" w:fill="FFFFFF" w:themeFill="background1"/>
            <w:vAlign w:val="center"/>
          </w:tcPr>
          <w:p w14:paraId="3A8C60E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7.7</w:t>
            </w:r>
          </w:p>
        </w:tc>
        <w:tc>
          <w:tcPr>
            <w:tcW w:w="1146" w:type="dxa"/>
            <w:tcBorders>
              <w:top w:val="nil"/>
              <w:left w:val="nil"/>
              <w:bottom w:val="nil"/>
              <w:right w:val="single" w:sz="4" w:space="0" w:color="000000"/>
            </w:tcBorders>
            <w:shd w:val="clear" w:color="auto" w:fill="FFFFFF" w:themeFill="background1"/>
            <w:vAlign w:val="center"/>
          </w:tcPr>
          <w:p w14:paraId="366DC17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(4.7, 10.8)</w:t>
            </w:r>
          </w:p>
        </w:tc>
        <w:tc>
          <w:tcPr>
            <w:tcW w:w="536" w:type="dxa"/>
            <w:tcBorders>
              <w:top w:val="nil"/>
              <w:left w:val="single" w:sz="4" w:space="0" w:color="000000"/>
              <w:bottom w:val="nil"/>
              <w:right w:val="nil"/>
            </w:tcBorders>
            <w:shd w:val="clear" w:color="auto" w:fill="FFFFFF" w:themeFill="background1"/>
            <w:vAlign w:val="center"/>
          </w:tcPr>
          <w:p w14:paraId="2BA3429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30</w:t>
            </w:r>
          </w:p>
        </w:tc>
        <w:tc>
          <w:tcPr>
            <w:tcW w:w="576" w:type="dxa"/>
            <w:tcBorders>
              <w:top w:val="nil"/>
              <w:left w:val="nil"/>
              <w:bottom w:val="nil"/>
              <w:right w:val="nil"/>
            </w:tcBorders>
            <w:shd w:val="clear" w:color="auto" w:fill="FFFFFF" w:themeFill="background1"/>
            <w:vAlign w:val="center"/>
          </w:tcPr>
          <w:p w14:paraId="313DED8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10.4</w:t>
            </w:r>
          </w:p>
        </w:tc>
        <w:tc>
          <w:tcPr>
            <w:tcW w:w="1146" w:type="dxa"/>
            <w:tcBorders>
              <w:top w:val="nil"/>
              <w:left w:val="nil"/>
              <w:bottom w:val="nil"/>
              <w:right w:val="nil"/>
            </w:tcBorders>
            <w:shd w:val="clear" w:color="auto" w:fill="FFFFFF" w:themeFill="background1"/>
            <w:vAlign w:val="center"/>
          </w:tcPr>
          <w:p w14:paraId="2FCE0BA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(6.5, 14.3)</w:t>
            </w:r>
          </w:p>
        </w:tc>
      </w:tr>
      <w:tr w:rsidR="009118DA" w:rsidRPr="00063DE7" w14:paraId="0AB105AC"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60816549" w14:textId="77777777" w:rsidR="003D7BB5" w:rsidRPr="00063DE7" w:rsidRDefault="003D7BB5" w:rsidP="00DD0F28">
            <w:pPr>
              <w:spacing w:before="20" w:after="20"/>
              <w:ind w:left="176"/>
              <w:rPr>
                <w:rFonts w:eastAsiaTheme="minorEastAsia"/>
                <w:b w:val="0"/>
                <w:sz w:val="18"/>
                <w:szCs w:val="18"/>
                <w:lang w:eastAsia="en-US"/>
              </w:rPr>
            </w:pPr>
            <w:r w:rsidRPr="00063DE7">
              <w:rPr>
                <w:rFonts w:eastAsiaTheme="minorEastAsia"/>
                <w:b w:val="0"/>
                <w:sz w:val="18"/>
                <w:szCs w:val="18"/>
                <w:lang w:eastAsia="en-US"/>
              </w:rPr>
              <w:t>Housie or bingo</w:t>
            </w:r>
          </w:p>
        </w:tc>
        <w:tc>
          <w:tcPr>
            <w:tcW w:w="567" w:type="dxa"/>
            <w:tcBorders>
              <w:top w:val="nil"/>
              <w:left w:val="nil"/>
              <w:bottom w:val="nil"/>
              <w:right w:val="nil"/>
            </w:tcBorders>
            <w:noWrap/>
            <w:vAlign w:val="center"/>
          </w:tcPr>
          <w:p w14:paraId="5F17845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13</w:t>
            </w:r>
          </w:p>
        </w:tc>
        <w:tc>
          <w:tcPr>
            <w:tcW w:w="567" w:type="dxa"/>
            <w:tcBorders>
              <w:top w:val="nil"/>
              <w:left w:val="nil"/>
              <w:bottom w:val="nil"/>
              <w:right w:val="nil"/>
            </w:tcBorders>
            <w:noWrap/>
            <w:vAlign w:val="center"/>
          </w:tcPr>
          <w:p w14:paraId="243D3A9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2.0</w:t>
            </w:r>
          </w:p>
        </w:tc>
        <w:tc>
          <w:tcPr>
            <w:tcW w:w="1146" w:type="dxa"/>
            <w:tcBorders>
              <w:top w:val="nil"/>
              <w:left w:val="nil"/>
              <w:bottom w:val="nil"/>
              <w:right w:val="single" w:sz="4" w:space="0" w:color="auto"/>
            </w:tcBorders>
            <w:noWrap/>
            <w:vAlign w:val="center"/>
          </w:tcPr>
          <w:p w14:paraId="5BFCF6F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(1.2, 2.8)</w:t>
            </w:r>
          </w:p>
        </w:tc>
        <w:tc>
          <w:tcPr>
            <w:tcW w:w="516" w:type="dxa"/>
            <w:tcBorders>
              <w:top w:val="nil"/>
              <w:left w:val="single" w:sz="4" w:space="0" w:color="auto"/>
              <w:bottom w:val="nil"/>
              <w:right w:val="nil"/>
            </w:tcBorders>
            <w:noWrap/>
            <w:vAlign w:val="center"/>
          </w:tcPr>
          <w:p w14:paraId="129C1CB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w:t>
            </w:r>
          </w:p>
        </w:tc>
        <w:tc>
          <w:tcPr>
            <w:tcW w:w="567" w:type="dxa"/>
            <w:tcBorders>
              <w:top w:val="nil"/>
              <w:left w:val="nil"/>
              <w:bottom w:val="nil"/>
              <w:right w:val="nil"/>
            </w:tcBorders>
            <w:noWrap/>
            <w:vAlign w:val="center"/>
          </w:tcPr>
          <w:p w14:paraId="0A06FD1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1.7</w:t>
            </w:r>
          </w:p>
        </w:tc>
        <w:tc>
          <w:tcPr>
            <w:tcW w:w="1146" w:type="dxa"/>
            <w:tcBorders>
              <w:top w:val="nil"/>
              <w:left w:val="nil"/>
              <w:bottom w:val="nil"/>
              <w:right w:val="single" w:sz="4" w:space="0" w:color="000000"/>
            </w:tcBorders>
            <w:shd w:val="clear" w:color="auto" w:fill="FFFFFF" w:themeFill="background1"/>
            <w:noWrap/>
            <w:vAlign w:val="center"/>
          </w:tcPr>
          <w:p w14:paraId="492815F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(0.7, 2.7)</w:t>
            </w:r>
          </w:p>
        </w:tc>
        <w:tc>
          <w:tcPr>
            <w:tcW w:w="536" w:type="dxa"/>
            <w:tcBorders>
              <w:top w:val="nil"/>
              <w:left w:val="single" w:sz="4" w:space="0" w:color="000000"/>
              <w:bottom w:val="nil"/>
              <w:right w:val="nil"/>
            </w:tcBorders>
            <w:shd w:val="clear" w:color="auto" w:fill="FFFFFF" w:themeFill="background1"/>
            <w:vAlign w:val="center"/>
          </w:tcPr>
          <w:p w14:paraId="21DEE6C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w:t>
            </w:r>
          </w:p>
        </w:tc>
        <w:tc>
          <w:tcPr>
            <w:tcW w:w="567" w:type="dxa"/>
            <w:tcBorders>
              <w:top w:val="nil"/>
              <w:left w:val="nil"/>
              <w:bottom w:val="nil"/>
              <w:right w:val="nil"/>
            </w:tcBorders>
            <w:shd w:val="clear" w:color="auto" w:fill="FFFFFF" w:themeFill="background1"/>
            <w:vAlign w:val="center"/>
          </w:tcPr>
          <w:p w14:paraId="7F47BEB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1.3</w:t>
            </w:r>
          </w:p>
        </w:tc>
        <w:tc>
          <w:tcPr>
            <w:tcW w:w="1146" w:type="dxa"/>
            <w:tcBorders>
              <w:top w:val="nil"/>
              <w:left w:val="nil"/>
              <w:bottom w:val="nil"/>
              <w:right w:val="single" w:sz="4" w:space="0" w:color="000000"/>
            </w:tcBorders>
            <w:shd w:val="clear" w:color="auto" w:fill="FFFFFF" w:themeFill="background1"/>
            <w:vAlign w:val="center"/>
          </w:tcPr>
          <w:p w14:paraId="7E6CB10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(0.3, 2.3)</w:t>
            </w:r>
          </w:p>
        </w:tc>
        <w:tc>
          <w:tcPr>
            <w:tcW w:w="536" w:type="dxa"/>
            <w:tcBorders>
              <w:top w:val="nil"/>
              <w:left w:val="single" w:sz="4" w:space="0" w:color="000000"/>
              <w:bottom w:val="nil"/>
              <w:right w:val="nil"/>
            </w:tcBorders>
            <w:shd w:val="clear" w:color="auto" w:fill="FFFFFF" w:themeFill="background1"/>
            <w:vAlign w:val="center"/>
          </w:tcPr>
          <w:p w14:paraId="2AD009B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w:t>
            </w:r>
          </w:p>
        </w:tc>
        <w:tc>
          <w:tcPr>
            <w:tcW w:w="576" w:type="dxa"/>
            <w:tcBorders>
              <w:top w:val="nil"/>
              <w:left w:val="nil"/>
              <w:bottom w:val="nil"/>
              <w:right w:val="nil"/>
            </w:tcBorders>
            <w:shd w:val="clear" w:color="auto" w:fill="FFFFFF" w:themeFill="background1"/>
            <w:vAlign w:val="center"/>
          </w:tcPr>
          <w:p w14:paraId="0A11D04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1.7</w:t>
            </w:r>
          </w:p>
        </w:tc>
        <w:tc>
          <w:tcPr>
            <w:tcW w:w="1146" w:type="dxa"/>
            <w:tcBorders>
              <w:top w:val="nil"/>
              <w:left w:val="nil"/>
              <w:bottom w:val="nil"/>
              <w:right w:val="nil"/>
            </w:tcBorders>
            <w:shd w:val="clear" w:color="auto" w:fill="FFFFFF" w:themeFill="background1"/>
            <w:vAlign w:val="center"/>
          </w:tcPr>
          <w:p w14:paraId="686F237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(0.4, 3.0)</w:t>
            </w:r>
          </w:p>
        </w:tc>
      </w:tr>
      <w:tr w:rsidR="009118DA" w:rsidRPr="00063DE7" w14:paraId="6EDEC12D"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44333EBF" w14:textId="77777777" w:rsidR="003D7BB5" w:rsidRPr="00063DE7" w:rsidRDefault="003D7BB5" w:rsidP="00DD0F28">
            <w:pPr>
              <w:spacing w:before="20" w:after="20"/>
              <w:ind w:left="176"/>
              <w:rPr>
                <w:rFonts w:eastAsiaTheme="minorEastAsia"/>
                <w:b w:val="0"/>
                <w:sz w:val="18"/>
                <w:szCs w:val="18"/>
                <w:lang w:eastAsia="en-US"/>
              </w:rPr>
            </w:pPr>
            <w:r w:rsidRPr="00063DE7">
              <w:rPr>
                <w:rFonts w:eastAsiaTheme="minorEastAsia"/>
                <w:b w:val="0"/>
                <w:sz w:val="18"/>
                <w:szCs w:val="18"/>
                <w:lang w:eastAsia="en-US"/>
              </w:rPr>
              <w:t>Horse/dog race betting</w:t>
            </w:r>
          </w:p>
        </w:tc>
        <w:tc>
          <w:tcPr>
            <w:tcW w:w="567" w:type="dxa"/>
            <w:tcBorders>
              <w:top w:val="nil"/>
              <w:left w:val="nil"/>
              <w:bottom w:val="nil"/>
              <w:right w:val="nil"/>
            </w:tcBorders>
            <w:noWrap/>
            <w:vAlign w:val="center"/>
          </w:tcPr>
          <w:p w14:paraId="7CFB061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35</w:t>
            </w:r>
          </w:p>
        </w:tc>
        <w:tc>
          <w:tcPr>
            <w:tcW w:w="567" w:type="dxa"/>
            <w:tcBorders>
              <w:top w:val="nil"/>
              <w:left w:val="nil"/>
              <w:bottom w:val="nil"/>
              <w:right w:val="nil"/>
            </w:tcBorders>
            <w:noWrap/>
            <w:vAlign w:val="center"/>
          </w:tcPr>
          <w:p w14:paraId="452699D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5.4</w:t>
            </w:r>
          </w:p>
        </w:tc>
        <w:tc>
          <w:tcPr>
            <w:tcW w:w="1146" w:type="dxa"/>
            <w:tcBorders>
              <w:top w:val="nil"/>
              <w:left w:val="nil"/>
              <w:bottom w:val="nil"/>
              <w:right w:val="single" w:sz="4" w:space="0" w:color="auto"/>
            </w:tcBorders>
            <w:noWrap/>
            <w:vAlign w:val="center"/>
          </w:tcPr>
          <w:p w14:paraId="74E8D18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(4.0, 6.8)</w:t>
            </w:r>
          </w:p>
        </w:tc>
        <w:tc>
          <w:tcPr>
            <w:tcW w:w="516" w:type="dxa"/>
            <w:tcBorders>
              <w:top w:val="nil"/>
              <w:left w:val="single" w:sz="4" w:space="0" w:color="auto"/>
              <w:bottom w:val="nil"/>
              <w:right w:val="nil"/>
            </w:tcBorders>
            <w:noWrap/>
            <w:vAlign w:val="center"/>
          </w:tcPr>
          <w:p w14:paraId="22BA1A2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w:t>
            </w:r>
          </w:p>
        </w:tc>
        <w:tc>
          <w:tcPr>
            <w:tcW w:w="567" w:type="dxa"/>
            <w:tcBorders>
              <w:top w:val="nil"/>
              <w:left w:val="nil"/>
              <w:bottom w:val="nil"/>
              <w:right w:val="nil"/>
            </w:tcBorders>
            <w:noWrap/>
            <w:vAlign w:val="center"/>
          </w:tcPr>
          <w:p w14:paraId="58893CE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3.8</w:t>
            </w:r>
          </w:p>
        </w:tc>
        <w:tc>
          <w:tcPr>
            <w:tcW w:w="1146" w:type="dxa"/>
            <w:tcBorders>
              <w:top w:val="nil"/>
              <w:left w:val="nil"/>
              <w:bottom w:val="nil"/>
              <w:right w:val="single" w:sz="4" w:space="0" w:color="000000"/>
            </w:tcBorders>
            <w:shd w:val="clear" w:color="auto" w:fill="FFFFFF" w:themeFill="background1"/>
            <w:noWrap/>
            <w:vAlign w:val="center"/>
          </w:tcPr>
          <w:p w14:paraId="23F3413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(2.3, 5.4)</w:t>
            </w:r>
          </w:p>
        </w:tc>
        <w:tc>
          <w:tcPr>
            <w:tcW w:w="536" w:type="dxa"/>
            <w:tcBorders>
              <w:top w:val="nil"/>
              <w:left w:val="single" w:sz="4" w:space="0" w:color="000000"/>
              <w:bottom w:val="nil"/>
              <w:right w:val="nil"/>
            </w:tcBorders>
            <w:shd w:val="clear" w:color="auto" w:fill="FFFFFF" w:themeFill="background1"/>
            <w:vAlign w:val="center"/>
          </w:tcPr>
          <w:p w14:paraId="461AA5A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w:t>
            </w:r>
          </w:p>
        </w:tc>
        <w:tc>
          <w:tcPr>
            <w:tcW w:w="567" w:type="dxa"/>
            <w:tcBorders>
              <w:top w:val="nil"/>
              <w:left w:val="nil"/>
              <w:bottom w:val="nil"/>
              <w:right w:val="nil"/>
            </w:tcBorders>
            <w:shd w:val="clear" w:color="auto" w:fill="FFFFFF" w:themeFill="background1"/>
            <w:vAlign w:val="center"/>
          </w:tcPr>
          <w:p w14:paraId="07514E5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4.3</w:t>
            </w:r>
          </w:p>
        </w:tc>
        <w:tc>
          <w:tcPr>
            <w:tcW w:w="1146" w:type="dxa"/>
            <w:tcBorders>
              <w:top w:val="nil"/>
              <w:left w:val="nil"/>
              <w:bottom w:val="nil"/>
              <w:right w:val="single" w:sz="4" w:space="0" w:color="000000"/>
            </w:tcBorders>
            <w:shd w:val="clear" w:color="auto" w:fill="FFFFFF" w:themeFill="background1"/>
            <w:vAlign w:val="center"/>
          </w:tcPr>
          <w:p w14:paraId="5535FC5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(2.4, 6.3)</w:t>
            </w:r>
          </w:p>
        </w:tc>
        <w:tc>
          <w:tcPr>
            <w:tcW w:w="536" w:type="dxa"/>
            <w:tcBorders>
              <w:top w:val="nil"/>
              <w:left w:val="single" w:sz="4" w:space="0" w:color="000000"/>
              <w:bottom w:val="nil"/>
              <w:right w:val="nil"/>
            </w:tcBorders>
            <w:shd w:val="clear" w:color="auto" w:fill="FFFFFF" w:themeFill="background1"/>
            <w:vAlign w:val="center"/>
          </w:tcPr>
          <w:p w14:paraId="131EBF6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13</w:t>
            </w:r>
          </w:p>
        </w:tc>
        <w:tc>
          <w:tcPr>
            <w:tcW w:w="576" w:type="dxa"/>
            <w:tcBorders>
              <w:top w:val="nil"/>
              <w:left w:val="nil"/>
              <w:bottom w:val="nil"/>
              <w:right w:val="nil"/>
            </w:tcBorders>
            <w:shd w:val="clear" w:color="auto" w:fill="FFFFFF" w:themeFill="background1"/>
            <w:vAlign w:val="center"/>
          </w:tcPr>
          <w:p w14:paraId="1DA1501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4.5</w:t>
            </w:r>
          </w:p>
        </w:tc>
        <w:tc>
          <w:tcPr>
            <w:tcW w:w="1146" w:type="dxa"/>
            <w:tcBorders>
              <w:top w:val="nil"/>
              <w:left w:val="nil"/>
              <w:bottom w:val="nil"/>
              <w:right w:val="nil"/>
            </w:tcBorders>
            <w:shd w:val="clear" w:color="auto" w:fill="FFFFFF" w:themeFill="background1"/>
            <w:vAlign w:val="center"/>
          </w:tcPr>
          <w:p w14:paraId="508A90B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(2.6, 6.5)</w:t>
            </w:r>
          </w:p>
        </w:tc>
      </w:tr>
      <w:tr w:rsidR="009118DA" w:rsidRPr="00063DE7" w14:paraId="4D30B075"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72A5CF7C" w14:textId="77777777" w:rsidR="003D7BB5" w:rsidRPr="00063DE7" w:rsidRDefault="003D7BB5" w:rsidP="00DD0F28">
            <w:pPr>
              <w:spacing w:before="20" w:after="20"/>
              <w:ind w:left="176"/>
              <w:rPr>
                <w:rFonts w:eastAsiaTheme="minorEastAsia"/>
                <w:b w:val="0"/>
                <w:sz w:val="18"/>
                <w:szCs w:val="18"/>
                <w:lang w:eastAsia="en-US"/>
              </w:rPr>
            </w:pPr>
            <w:r w:rsidRPr="00063DE7">
              <w:rPr>
                <w:rFonts w:eastAsiaTheme="minorEastAsia"/>
                <w:b w:val="0"/>
                <w:sz w:val="18"/>
                <w:szCs w:val="18"/>
                <w:lang w:eastAsia="en-US"/>
              </w:rPr>
              <w:t>Sports betting</w:t>
            </w:r>
          </w:p>
        </w:tc>
        <w:tc>
          <w:tcPr>
            <w:tcW w:w="567" w:type="dxa"/>
            <w:tcBorders>
              <w:top w:val="nil"/>
              <w:left w:val="nil"/>
              <w:bottom w:val="nil"/>
              <w:right w:val="nil"/>
            </w:tcBorders>
            <w:noWrap/>
            <w:vAlign w:val="center"/>
          </w:tcPr>
          <w:p w14:paraId="5E15B6D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9</w:t>
            </w:r>
          </w:p>
        </w:tc>
        <w:tc>
          <w:tcPr>
            <w:tcW w:w="567" w:type="dxa"/>
            <w:tcBorders>
              <w:top w:val="nil"/>
              <w:left w:val="nil"/>
              <w:bottom w:val="nil"/>
              <w:right w:val="nil"/>
            </w:tcBorders>
            <w:noWrap/>
            <w:vAlign w:val="center"/>
          </w:tcPr>
          <w:p w14:paraId="02152F0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1.3</w:t>
            </w:r>
          </w:p>
        </w:tc>
        <w:tc>
          <w:tcPr>
            <w:tcW w:w="1146" w:type="dxa"/>
            <w:tcBorders>
              <w:top w:val="nil"/>
              <w:left w:val="nil"/>
              <w:bottom w:val="nil"/>
              <w:right w:val="single" w:sz="4" w:space="0" w:color="auto"/>
            </w:tcBorders>
            <w:noWrap/>
            <w:vAlign w:val="center"/>
          </w:tcPr>
          <w:p w14:paraId="01B8F05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(0.6, 2.1)</w:t>
            </w:r>
          </w:p>
        </w:tc>
        <w:tc>
          <w:tcPr>
            <w:tcW w:w="516" w:type="dxa"/>
            <w:tcBorders>
              <w:top w:val="nil"/>
              <w:left w:val="single" w:sz="4" w:space="0" w:color="auto"/>
              <w:bottom w:val="nil"/>
              <w:right w:val="nil"/>
            </w:tcBorders>
            <w:noWrap/>
            <w:vAlign w:val="center"/>
          </w:tcPr>
          <w:p w14:paraId="2EE9DFB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w:t>
            </w:r>
          </w:p>
        </w:tc>
        <w:tc>
          <w:tcPr>
            <w:tcW w:w="567" w:type="dxa"/>
            <w:tcBorders>
              <w:top w:val="nil"/>
              <w:left w:val="nil"/>
              <w:bottom w:val="nil"/>
              <w:right w:val="nil"/>
            </w:tcBorders>
            <w:noWrap/>
            <w:vAlign w:val="center"/>
          </w:tcPr>
          <w:p w14:paraId="5D37C48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w:t>
            </w:r>
          </w:p>
        </w:tc>
        <w:tc>
          <w:tcPr>
            <w:tcW w:w="1146" w:type="dxa"/>
            <w:tcBorders>
              <w:top w:val="nil"/>
              <w:left w:val="nil"/>
              <w:bottom w:val="nil"/>
              <w:right w:val="single" w:sz="4" w:space="0" w:color="000000"/>
            </w:tcBorders>
            <w:shd w:val="clear" w:color="auto" w:fill="FFFFFF" w:themeFill="background1"/>
            <w:noWrap/>
            <w:vAlign w:val="center"/>
          </w:tcPr>
          <w:p w14:paraId="3F7BD79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(0.4, 2.4)</w:t>
            </w:r>
          </w:p>
        </w:tc>
        <w:tc>
          <w:tcPr>
            <w:tcW w:w="536" w:type="dxa"/>
            <w:tcBorders>
              <w:top w:val="nil"/>
              <w:left w:val="single" w:sz="4" w:space="0" w:color="000000"/>
              <w:bottom w:val="nil"/>
              <w:right w:val="nil"/>
            </w:tcBorders>
            <w:shd w:val="clear" w:color="auto" w:fill="FFFFFF" w:themeFill="background1"/>
            <w:vAlign w:val="center"/>
          </w:tcPr>
          <w:p w14:paraId="0D0BC16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w:t>
            </w:r>
          </w:p>
        </w:tc>
        <w:tc>
          <w:tcPr>
            <w:tcW w:w="567" w:type="dxa"/>
            <w:tcBorders>
              <w:top w:val="nil"/>
              <w:left w:val="nil"/>
              <w:bottom w:val="nil"/>
              <w:right w:val="nil"/>
            </w:tcBorders>
            <w:shd w:val="clear" w:color="auto" w:fill="FFFFFF" w:themeFill="background1"/>
            <w:vAlign w:val="center"/>
          </w:tcPr>
          <w:p w14:paraId="17079A0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0.6</w:t>
            </w:r>
          </w:p>
        </w:tc>
        <w:tc>
          <w:tcPr>
            <w:tcW w:w="1146" w:type="dxa"/>
            <w:tcBorders>
              <w:top w:val="nil"/>
              <w:left w:val="nil"/>
              <w:bottom w:val="nil"/>
              <w:right w:val="single" w:sz="4" w:space="0" w:color="000000"/>
            </w:tcBorders>
            <w:shd w:val="clear" w:color="auto" w:fill="FFFFFF" w:themeFill="background1"/>
            <w:vAlign w:val="center"/>
          </w:tcPr>
          <w:p w14:paraId="19AD0A4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FFFFFF" w:themeFill="background1"/>
            <w:vAlign w:val="center"/>
          </w:tcPr>
          <w:p w14:paraId="1E70632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w:t>
            </w:r>
          </w:p>
        </w:tc>
        <w:tc>
          <w:tcPr>
            <w:tcW w:w="576" w:type="dxa"/>
            <w:tcBorders>
              <w:top w:val="nil"/>
              <w:left w:val="nil"/>
              <w:bottom w:val="nil"/>
              <w:right w:val="nil"/>
            </w:tcBorders>
            <w:shd w:val="clear" w:color="auto" w:fill="FFFFFF" w:themeFill="background1"/>
            <w:vAlign w:val="center"/>
          </w:tcPr>
          <w:p w14:paraId="5898470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w:t>
            </w:r>
          </w:p>
        </w:tc>
        <w:tc>
          <w:tcPr>
            <w:tcW w:w="1146" w:type="dxa"/>
            <w:tcBorders>
              <w:top w:val="nil"/>
              <w:left w:val="nil"/>
              <w:bottom w:val="nil"/>
              <w:right w:val="nil"/>
            </w:tcBorders>
            <w:shd w:val="clear" w:color="auto" w:fill="FFFFFF" w:themeFill="background1"/>
            <w:vAlign w:val="center"/>
          </w:tcPr>
          <w:p w14:paraId="64E8AC8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(0.2, 2.7)</w:t>
            </w:r>
          </w:p>
        </w:tc>
      </w:tr>
      <w:tr w:rsidR="009118DA" w:rsidRPr="00063DE7" w14:paraId="46151460"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5FEE4F6B" w14:textId="77777777" w:rsidR="003D7BB5" w:rsidRPr="00063DE7" w:rsidRDefault="003D7BB5" w:rsidP="00DD0F28">
            <w:pPr>
              <w:spacing w:before="20" w:after="20"/>
              <w:ind w:left="176"/>
              <w:rPr>
                <w:rFonts w:eastAsiaTheme="minorEastAsia"/>
                <w:b w:val="0"/>
                <w:sz w:val="18"/>
                <w:szCs w:val="18"/>
                <w:lang w:eastAsia="en-US"/>
              </w:rPr>
            </w:pPr>
            <w:r w:rsidRPr="00063DE7">
              <w:rPr>
                <w:rFonts w:eastAsiaTheme="minorEastAsia"/>
                <w:b w:val="0"/>
                <w:sz w:val="18"/>
                <w:szCs w:val="18"/>
                <w:lang w:eastAsia="en-US"/>
              </w:rPr>
              <w:t>Casino table games or EGMS (NZ and overseas)</w:t>
            </w:r>
          </w:p>
        </w:tc>
        <w:tc>
          <w:tcPr>
            <w:tcW w:w="567" w:type="dxa"/>
            <w:tcBorders>
              <w:top w:val="nil"/>
              <w:left w:val="nil"/>
              <w:bottom w:val="nil"/>
              <w:right w:val="nil"/>
            </w:tcBorders>
            <w:noWrap/>
            <w:vAlign w:val="center"/>
          </w:tcPr>
          <w:p w14:paraId="5469B0A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16</w:t>
            </w:r>
          </w:p>
        </w:tc>
        <w:tc>
          <w:tcPr>
            <w:tcW w:w="567" w:type="dxa"/>
            <w:tcBorders>
              <w:top w:val="nil"/>
              <w:left w:val="nil"/>
              <w:bottom w:val="nil"/>
              <w:right w:val="nil"/>
            </w:tcBorders>
            <w:noWrap/>
            <w:vAlign w:val="center"/>
          </w:tcPr>
          <w:p w14:paraId="75AC0A3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2.4</w:t>
            </w:r>
          </w:p>
        </w:tc>
        <w:tc>
          <w:tcPr>
            <w:tcW w:w="1146" w:type="dxa"/>
            <w:tcBorders>
              <w:top w:val="nil"/>
              <w:left w:val="nil"/>
              <w:bottom w:val="nil"/>
              <w:right w:val="single" w:sz="4" w:space="0" w:color="auto"/>
            </w:tcBorders>
            <w:noWrap/>
            <w:vAlign w:val="center"/>
          </w:tcPr>
          <w:p w14:paraId="64115F6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(1.4, 3.5)</w:t>
            </w:r>
          </w:p>
        </w:tc>
        <w:tc>
          <w:tcPr>
            <w:tcW w:w="516" w:type="dxa"/>
            <w:tcBorders>
              <w:top w:val="nil"/>
              <w:left w:val="single" w:sz="4" w:space="0" w:color="auto"/>
              <w:bottom w:val="nil"/>
              <w:right w:val="nil"/>
            </w:tcBorders>
            <w:noWrap/>
            <w:vAlign w:val="center"/>
          </w:tcPr>
          <w:p w14:paraId="0986213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13</w:t>
            </w:r>
          </w:p>
        </w:tc>
        <w:tc>
          <w:tcPr>
            <w:tcW w:w="567" w:type="dxa"/>
            <w:tcBorders>
              <w:top w:val="nil"/>
              <w:left w:val="nil"/>
              <w:bottom w:val="nil"/>
              <w:right w:val="nil"/>
            </w:tcBorders>
            <w:noWrap/>
            <w:vAlign w:val="center"/>
          </w:tcPr>
          <w:p w14:paraId="79B57EF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3.3</w:t>
            </w:r>
          </w:p>
        </w:tc>
        <w:tc>
          <w:tcPr>
            <w:tcW w:w="1146" w:type="dxa"/>
            <w:tcBorders>
              <w:top w:val="nil"/>
              <w:left w:val="nil"/>
              <w:bottom w:val="nil"/>
              <w:right w:val="single" w:sz="4" w:space="0" w:color="000000"/>
            </w:tcBorders>
            <w:shd w:val="clear" w:color="auto" w:fill="FFFFFF" w:themeFill="background1"/>
            <w:noWrap/>
            <w:vAlign w:val="center"/>
          </w:tcPr>
          <w:p w14:paraId="42D5B6B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(1.4, 5.2)</w:t>
            </w:r>
          </w:p>
        </w:tc>
        <w:tc>
          <w:tcPr>
            <w:tcW w:w="536" w:type="dxa"/>
            <w:tcBorders>
              <w:top w:val="nil"/>
              <w:left w:val="single" w:sz="4" w:space="0" w:color="000000"/>
              <w:bottom w:val="nil"/>
              <w:right w:val="nil"/>
            </w:tcBorders>
            <w:shd w:val="clear" w:color="auto" w:fill="FFFFFF" w:themeFill="background1"/>
            <w:vAlign w:val="center"/>
          </w:tcPr>
          <w:p w14:paraId="1BCF0EE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20</w:t>
            </w:r>
          </w:p>
        </w:tc>
        <w:tc>
          <w:tcPr>
            <w:tcW w:w="567" w:type="dxa"/>
            <w:tcBorders>
              <w:top w:val="nil"/>
              <w:left w:val="nil"/>
              <w:bottom w:val="nil"/>
              <w:right w:val="nil"/>
            </w:tcBorders>
            <w:shd w:val="clear" w:color="auto" w:fill="FFFFFF" w:themeFill="background1"/>
            <w:vAlign w:val="center"/>
          </w:tcPr>
          <w:p w14:paraId="717B82E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6.2</w:t>
            </w:r>
          </w:p>
        </w:tc>
        <w:tc>
          <w:tcPr>
            <w:tcW w:w="1146" w:type="dxa"/>
            <w:tcBorders>
              <w:top w:val="nil"/>
              <w:left w:val="nil"/>
              <w:bottom w:val="nil"/>
              <w:right w:val="single" w:sz="4" w:space="0" w:color="000000"/>
            </w:tcBorders>
            <w:shd w:val="clear" w:color="auto" w:fill="FFFFFF" w:themeFill="background1"/>
            <w:vAlign w:val="center"/>
          </w:tcPr>
          <w:p w14:paraId="2A594FE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(2.6, 9.8)</w:t>
            </w:r>
          </w:p>
        </w:tc>
        <w:tc>
          <w:tcPr>
            <w:tcW w:w="536" w:type="dxa"/>
            <w:tcBorders>
              <w:top w:val="nil"/>
              <w:left w:val="single" w:sz="4" w:space="0" w:color="000000"/>
              <w:bottom w:val="nil"/>
              <w:right w:val="nil"/>
            </w:tcBorders>
            <w:shd w:val="clear" w:color="auto" w:fill="FFFFFF" w:themeFill="background1"/>
            <w:vAlign w:val="center"/>
          </w:tcPr>
          <w:p w14:paraId="3F5B1A2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w:t>
            </w:r>
          </w:p>
        </w:tc>
        <w:tc>
          <w:tcPr>
            <w:tcW w:w="576" w:type="dxa"/>
            <w:tcBorders>
              <w:top w:val="nil"/>
              <w:left w:val="nil"/>
              <w:bottom w:val="nil"/>
              <w:right w:val="nil"/>
            </w:tcBorders>
            <w:shd w:val="clear" w:color="auto" w:fill="FFFFFF" w:themeFill="background1"/>
            <w:vAlign w:val="center"/>
          </w:tcPr>
          <w:p w14:paraId="250602D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5.0</w:t>
            </w:r>
          </w:p>
        </w:tc>
        <w:tc>
          <w:tcPr>
            <w:tcW w:w="1146" w:type="dxa"/>
            <w:tcBorders>
              <w:top w:val="nil"/>
              <w:left w:val="nil"/>
              <w:bottom w:val="nil"/>
              <w:right w:val="nil"/>
            </w:tcBorders>
            <w:shd w:val="clear" w:color="auto" w:fill="FFFFFF" w:themeFill="background1"/>
            <w:vAlign w:val="center"/>
          </w:tcPr>
          <w:p w14:paraId="72A8857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(0.2, 9.7)</w:t>
            </w:r>
          </w:p>
        </w:tc>
      </w:tr>
      <w:tr w:rsidR="009118DA" w:rsidRPr="00063DE7" w14:paraId="2FF91B91"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31BB8151" w14:textId="77777777" w:rsidR="003D7BB5" w:rsidRPr="00063DE7" w:rsidRDefault="003D7BB5" w:rsidP="00DD0F28">
            <w:pPr>
              <w:spacing w:before="20" w:after="20"/>
              <w:ind w:left="176"/>
              <w:rPr>
                <w:rFonts w:eastAsiaTheme="minorEastAsia"/>
                <w:b w:val="0"/>
                <w:sz w:val="18"/>
                <w:szCs w:val="18"/>
              </w:rPr>
            </w:pPr>
            <w:r w:rsidRPr="00063DE7">
              <w:rPr>
                <w:rFonts w:eastAsiaTheme="minorEastAsia"/>
                <w:b w:val="0"/>
                <w:sz w:val="18"/>
                <w:szCs w:val="18"/>
              </w:rPr>
              <w:t>Non-casino EGMs</w:t>
            </w:r>
          </w:p>
        </w:tc>
        <w:tc>
          <w:tcPr>
            <w:tcW w:w="567" w:type="dxa"/>
            <w:tcBorders>
              <w:top w:val="nil"/>
              <w:left w:val="nil"/>
              <w:bottom w:val="nil"/>
              <w:right w:val="nil"/>
            </w:tcBorders>
            <w:noWrap/>
            <w:vAlign w:val="center"/>
          </w:tcPr>
          <w:p w14:paraId="015CBD1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39</w:t>
            </w:r>
          </w:p>
        </w:tc>
        <w:tc>
          <w:tcPr>
            <w:tcW w:w="567" w:type="dxa"/>
            <w:tcBorders>
              <w:top w:val="nil"/>
              <w:left w:val="nil"/>
              <w:bottom w:val="nil"/>
              <w:right w:val="nil"/>
            </w:tcBorders>
            <w:noWrap/>
            <w:vAlign w:val="center"/>
          </w:tcPr>
          <w:p w14:paraId="5DD006A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6.0</w:t>
            </w:r>
          </w:p>
        </w:tc>
        <w:tc>
          <w:tcPr>
            <w:tcW w:w="1146" w:type="dxa"/>
            <w:tcBorders>
              <w:top w:val="nil"/>
              <w:left w:val="nil"/>
              <w:bottom w:val="nil"/>
              <w:right w:val="single" w:sz="4" w:space="0" w:color="auto"/>
            </w:tcBorders>
            <w:noWrap/>
            <w:vAlign w:val="center"/>
          </w:tcPr>
          <w:p w14:paraId="109D38C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(4.5, 7.6)</w:t>
            </w:r>
          </w:p>
        </w:tc>
        <w:tc>
          <w:tcPr>
            <w:tcW w:w="516" w:type="dxa"/>
            <w:tcBorders>
              <w:top w:val="nil"/>
              <w:left w:val="single" w:sz="4" w:space="0" w:color="auto"/>
              <w:bottom w:val="nil"/>
              <w:right w:val="nil"/>
            </w:tcBorders>
            <w:noWrap/>
            <w:vAlign w:val="center"/>
          </w:tcPr>
          <w:p w14:paraId="7A98CB8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28</w:t>
            </w:r>
          </w:p>
        </w:tc>
        <w:tc>
          <w:tcPr>
            <w:tcW w:w="567" w:type="dxa"/>
            <w:tcBorders>
              <w:top w:val="nil"/>
              <w:left w:val="nil"/>
              <w:bottom w:val="nil"/>
              <w:right w:val="nil"/>
            </w:tcBorders>
            <w:noWrap/>
            <w:vAlign w:val="center"/>
          </w:tcPr>
          <w:p w14:paraId="52C465E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7.1</w:t>
            </w:r>
          </w:p>
        </w:tc>
        <w:tc>
          <w:tcPr>
            <w:tcW w:w="1146" w:type="dxa"/>
            <w:tcBorders>
              <w:top w:val="nil"/>
              <w:left w:val="nil"/>
              <w:bottom w:val="nil"/>
              <w:right w:val="single" w:sz="4" w:space="0" w:color="000000"/>
            </w:tcBorders>
            <w:shd w:val="clear" w:color="auto" w:fill="FFFFFF" w:themeFill="background1"/>
            <w:noWrap/>
            <w:vAlign w:val="center"/>
          </w:tcPr>
          <w:p w14:paraId="538594B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(4.9, 9.4)</w:t>
            </w:r>
          </w:p>
        </w:tc>
        <w:tc>
          <w:tcPr>
            <w:tcW w:w="536" w:type="dxa"/>
            <w:tcBorders>
              <w:top w:val="nil"/>
              <w:left w:val="single" w:sz="4" w:space="0" w:color="000000"/>
              <w:bottom w:val="nil"/>
              <w:right w:val="nil"/>
            </w:tcBorders>
            <w:shd w:val="clear" w:color="auto" w:fill="FFFFFF" w:themeFill="background1"/>
            <w:vAlign w:val="center"/>
          </w:tcPr>
          <w:p w14:paraId="46A66BB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13</w:t>
            </w:r>
          </w:p>
        </w:tc>
        <w:tc>
          <w:tcPr>
            <w:tcW w:w="567" w:type="dxa"/>
            <w:tcBorders>
              <w:top w:val="nil"/>
              <w:left w:val="nil"/>
              <w:bottom w:val="nil"/>
              <w:right w:val="nil"/>
            </w:tcBorders>
            <w:shd w:val="clear" w:color="auto" w:fill="FFFFFF" w:themeFill="background1"/>
            <w:vAlign w:val="center"/>
          </w:tcPr>
          <w:p w14:paraId="797E6F3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4.1</w:t>
            </w:r>
          </w:p>
        </w:tc>
        <w:tc>
          <w:tcPr>
            <w:tcW w:w="1146" w:type="dxa"/>
            <w:tcBorders>
              <w:top w:val="nil"/>
              <w:left w:val="nil"/>
              <w:bottom w:val="nil"/>
              <w:right w:val="single" w:sz="4" w:space="0" w:color="000000"/>
            </w:tcBorders>
            <w:shd w:val="clear" w:color="auto" w:fill="FFFFFF" w:themeFill="background1"/>
            <w:vAlign w:val="center"/>
          </w:tcPr>
          <w:p w14:paraId="027E86B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(2.4, 5.9)</w:t>
            </w:r>
          </w:p>
        </w:tc>
        <w:tc>
          <w:tcPr>
            <w:tcW w:w="536" w:type="dxa"/>
            <w:tcBorders>
              <w:top w:val="nil"/>
              <w:left w:val="single" w:sz="4" w:space="0" w:color="000000"/>
              <w:bottom w:val="nil"/>
              <w:right w:val="nil"/>
            </w:tcBorders>
            <w:shd w:val="clear" w:color="auto" w:fill="FFFFFF" w:themeFill="background1"/>
            <w:vAlign w:val="center"/>
          </w:tcPr>
          <w:p w14:paraId="4B0341F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w:t>
            </w:r>
          </w:p>
        </w:tc>
        <w:tc>
          <w:tcPr>
            <w:tcW w:w="576" w:type="dxa"/>
            <w:tcBorders>
              <w:top w:val="nil"/>
              <w:left w:val="nil"/>
              <w:bottom w:val="nil"/>
              <w:right w:val="nil"/>
            </w:tcBorders>
            <w:shd w:val="clear" w:color="auto" w:fill="FFFFFF" w:themeFill="background1"/>
            <w:vAlign w:val="center"/>
          </w:tcPr>
          <w:p w14:paraId="5705B97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3.9</w:t>
            </w:r>
          </w:p>
        </w:tc>
        <w:tc>
          <w:tcPr>
            <w:tcW w:w="1146" w:type="dxa"/>
            <w:tcBorders>
              <w:top w:val="nil"/>
              <w:left w:val="nil"/>
              <w:bottom w:val="nil"/>
              <w:right w:val="nil"/>
            </w:tcBorders>
            <w:shd w:val="clear" w:color="auto" w:fill="FFFFFF" w:themeFill="background1"/>
            <w:vAlign w:val="center"/>
          </w:tcPr>
          <w:p w14:paraId="11A988F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(2.1, 5.8)</w:t>
            </w:r>
          </w:p>
        </w:tc>
      </w:tr>
      <w:tr w:rsidR="009118DA" w:rsidRPr="00063DE7" w14:paraId="141E93CC"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02A3525C" w14:textId="77777777" w:rsidR="003D7BB5" w:rsidRPr="00063DE7" w:rsidRDefault="003D7BB5" w:rsidP="00DD0F28">
            <w:pPr>
              <w:spacing w:before="20" w:after="20"/>
              <w:ind w:left="176"/>
              <w:rPr>
                <w:rFonts w:eastAsiaTheme="minorEastAsia"/>
                <w:b w:val="0"/>
                <w:sz w:val="18"/>
                <w:szCs w:val="18"/>
              </w:rPr>
            </w:pPr>
            <w:r w:rsidRPr="00063DE7">
              <w:rPr>
                <w:rFonts w:eastAsiaTheme="minorEastAsia"/>
                <w:b w:val="0"/>
                <w:sz w:val="18"/>
                <w:szCs w:val="18"/>
              </w:rPr>
              <w:t xml:space="preserve">Short-term spec. investments </w:t>
            </w:r>
          </w:p>
        </w:tc>
        <w:tc>
          <w:tcPr>
            <w:tcW w:w="567" w:type="dxa"/>
            <w:tcBorders>
              <w:top w:val="nil"/>
              <w:left w:val="nil"/>
              <w:bottom w:val="nil"/>
              <w:right w:val="nil"/>
            </w:tcBorders>
            <w:noWrap/>
            <w:vAlign w:val="center"/>
          </w:tcPr>
          <w:p w14:paraId="4E9B4E3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w:t>
            </w:r>
          </w:p>
        </w:tc>
        <w:tc>
          <w:tcPr>
            <w:tcW w:w="567" w:type="dxa"/>
            <w:tcBorders>
              <w:top w:val="nil"/>
              <w:left w:val="nil"/>
              <w:bottom w:val="nil"/>
              <w:right w:val="nil"/>
            </w:tcBorders>
            <w:noWrap/>
            <w:vAlign w:val="center"/>
          </w:tcPr>
          <w:p w14:paraId="37156A8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0.1</w:t>
            </w:r>
          </w:p>
        </w:tc>
        <w:tc>
          <w:tcPr>
            <w:tcW w:w="1146" w:type="dxa"/>
            <w:tcBorders>
              <w:top w:val="nil"/>
              <w:left w:val="nil"/>
              <w:bottom w:val="nil"/>
              <w:right w:val="single" w:sz="4" w:space="0" w:color="auto"/>
            </w:tcBorders>
            <w:noWrap/>
            <w:vAlign w:val="center"/>
          </w:tcPr>
          <w:p w14:paraId="4BA5A5B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16" w:type="dxa"/>
            <w:tcBorders>
              <w:top w:val="nil"/>
              <w:left w:val="single" w:sz="4" w:space="0" w:color="auto"/>
              <w:bottom w:val="nil"/>
              <w:right w:val="nil"/>
            </w:tcBorders>
            <w:noWrap/>
            <w:vAlign w:val="center"/>
          </w:tcPr>
          <w:p w14:paraId="2CD47A4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w:t>
            </w:r>
          </w:p>
        </w:tc>
        <w:tc>
          <w:tcPr>
            <w:tcW w:w="567" w:type="dxa"/>
            <w:tcBorders>
              <w:top w:val="nil"/>
              <w:left w:val="nil"/>
              <w:bottom w:val="nil"/>
              <w:right w:val="nil"/>
            </w:tcBorders>
            <w:noWrap/>
            <w:vAlign w:val="center"/>
          </w:tcPr>
          <w:p w14:paraId="6E63291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0.1</w:t>
            </w:r>
          </w:p>
        </w:tc>
        <w:tc>
          <w:tcPr>
            <w:tcW w:w="1146" w:type="dxa"/>
            <w:tcBorders>
              <w:top w:val="nil"/>
              <w:left w:val="nil"/>
              <w:bottom w:val="nil"/>
              <w:right w:val="single" w:sz="4" w:space="0" w:color="000000"/>
            </w:tcBorders>
            <w:shd w:val="clear" w:color="auto" w:fill="FFFFFF" w:themeFill="background1"/>
            <w:noWrap/>
            <w:vAlign w:val="center"/>
          </w:tcPr>
          <w:p w14:paraId="6D2B4B0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FFFFFF" w:themeFill="background1"/>
            <w:vAlign w:val="center"/>
          </w:tcPr>
          <w:p w14:paraId="30E9AA3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w:t>
            </w:r>
          </w:p>
        </w:tc>
        <w:tc>
          <w:tcPr>
            <w:tcW w:w="567" w:type="dxa"/>
            <w:tcBorders>
              <w:top w:val="nil"/>
              <w:left w:val="nil"/>
              <w:bottom w:val="nil"/>
              <w:right w:val="nil"/>
            </w:tcBorders>
            <w:shd w:val="clear" w:color="auto" w:fill="FFFFFF" w:themeFill="background1"/>
            <w:vAlign w:val="center"/>
          </w:tcPr>
          <w:p w14:paraId="0F3346F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0.2</w:t>
            </w:r>
          </w:p>
        </w:tc>
        <w:tc>
          <w:tcPr>
            <w:tcW w:w="1146" w:type="dxa"/>
            <w:tcBorders>
              <w:top w:val="nil"/>
              <w:left w:val="nil"/>
              <w:bottom w:val="nil"/>
              <w:right w:val="single" w:sz="4" w:space="0" w:color="000000"/>
            </w:tcBorders>
            <w:shd w:val="clear" w:color="auto" w:fill="FFFFFF" w:themeFill="background1"/>
            <w:vAlign w:val="center"/>
          </w:tcPr>
          <w:p w14:paraId="3D361C7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FFFFFF" w:themeFill="background1"/>
            <w:vAlign w:val="center"/>
          </w:tcPr>
          <w:p w14:paraId="5FEDE30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w:t>
            </w:r>
          </w:p>
        </w:tc>
        <w:tc>
          <w:tcPr>
            <w:tcW w:w="576" w:type="dxa"/>
            <w:tcBorders>
              <w:top w:val="nil"/>
              <w:left w:val="nil"/>
              <w:bottom w:val="nil"/>
              <w:right w:val="nil"/>
            </w:tcBorders>
            <w:shd w:val="clear" w:color="auto" w:fill="FFFFFF" w:themeFill="background1"/>
            <w:vAlign w:val="center"/>
          </w:tcPr>
          <w:p w14:paraId="442C7F4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0.3</w:t>
            </w:r>
          </w:p>
        </w:tc>
        <w:tc>
          <w:tcPr>
            <w:tcW w:w="1146" w:type="dxa"/>
            <w:tcBorders>
              <w:top w:val="nil"/>
              <w:left w:val="nil"/>
              <w:bottom w:val="nil"/>
              <w:right w:val="nil"/>
            </w:tcBorders>
            <w:shd w:val="clear" w:color="auto" w:fill="FFFFFF" w:themeFill="background1"/>
            <w:vAlign w:val="center"/>
          </w:tcPr>
          <w:p w14:paraId="7A1BB5E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063DE7" w14:paraId="24E01AB2"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7418BF2A" w14:textId="77777777" w:rsidR="003D7BB5" w:rsidRPr="00063DE7" w:rsidRDefault="003D7BB5" w:rsidP="00DD0F28">
            <w:pPr>
              <w:spacing w:before="20" w:after="20"/>
              <w:ind w:left="176"/>
              <w:rPr>
                <w:rFonts w:eastAsiaTheme="minorEastAsia"/>
                <w:b w:val="0"/>
                <w:sz w:val="18"/>
                <w:szCs w:val="18"/>
                <w:lang w:eastAsia="en-US"/>
              </w:rPr>
            </w:pPr>
            <w:r>
              <w:rPr>
                <w:rFonts w:eastAsiaTheme="minorEastAsia"/>
                <w:b w:val="0"/>
                <w:sz w:val="18"/>
                <w:szCs w:val="18"/>
                <w:lang w:eastAsia="en-US"/>
              </w:rPr>
              <w:t>Other o</w:t>
            </w:r>
            <w:r w:rsidRPr="00063DE7">
              <w:rPr>
                <w:rFonts w:eastAsiaTheme="minorEastAsia"/>
                <w:b w:val="0"/>
                <w:sz w:val="18"/>
                <w:szCs w:val="18"/>
                <w:lang w:eastAsia="en-US"/>
              </w:rPr>
              <w:t>verseas internet gambling</w:t>
            </w:r>
            <w:r w:rsidRPr="00063DE7">
              <w:rPr>
                <w:rFonts w:eastAsiaTheme="minorEastAsia"/>
                <w:sz w:val="18"/>
                <w:szCs w:val="18"/>
                <w:vertAlign w:val="superscript"/>
                <w:lang w:eastAsia="en-US"/>
              </w:rPr>
              <w:t>†</w:t>
            </w:r>
          </w:p>
        </w:tc>
        <w:tc>
          <w:tcPr>
            <w:tcW w:w="567" w:type="dxa"/>
            <w:tcBorders>
              <w:top w:val="nil"/>
              <w:left w:val="nil"/>
              <w:bottom w:val="nil"/>
              <w:right w:val="nil"/>
            </w:tcBorders>
            <w:noWrap/>
            <w:vAlign w:val="center"/>
          </w:tcPr>
          <w:p w14:paraId="746AA81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w:t>
            </w:r>
          </w:p>
        </w:tc>
        <w:tc>
          <w:tcPr>
            <w:tcW w:w="567" w:type="dxa"/>
            <w:tcBorders>
              <w:top w:val="nil"/>
              <w:left w:val="nil"/>
              <w:bottom w:val="nil"/>
              <w:right w:val="nil"/>
            </w:tcBorders>
            <w:noWrap/>
            <w:vAlign w:val="center"/>
          </w:tcPr>
          <w:p w14:paraId="3ABF61A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0.1</w:t>
            </w:r>
          </w:p>
        </w:tc>
        <w:tc>
          <w:tcPr>
            <w:tcW w:w="1146" w:type="dxa"/>
            <w:tcBorders>
              <w:top w:val="nil"/>
              <w:left w:val="nil"/>
              <w:bottom w:val="nil"/>
              <w:right w:val="single" w:sz="4" w:space="0" w:color="auto"/>
            </w:tcBorders>
            <w:noWrap/>
            <w:vAlign w:val="center"/>
          </w:tcPr>
          <w:p w14:paraId="5B133CA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16" w:type="dxa"/>
            <w:tcBorders>
              <w:top w:val="nil"/>
              <w:left w:val="single" w:sz="4" w:space="0" w:color="auto"/>
              <w:bottom w:val="nil"/>
              <w:right w:val="nil"/>
            </w:tcBorders>
            <w:noWrap/>
            <w:vAlign w:val="center"/>
          </w:tcPr>
          <w:p w14:paraId="0C09E65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w:t>
            </w:r>
          </w:p>
        </w:tc>
        <w:tc>
          <w:tcPr>
            <w:tcW w:w="567" w:type="dxa"/>
            <w:tcBorders>
              <w:top w:val="nil"/>
              <w:left w:val="nil"/>
              <w:bottom w:val="nil"/>
              <w:right w:val="nil"/>
            </w:tcBorders>
            <w:noWrap/>
            <w:vAlign w:val="center"/>
          </w:tcPr>
          <w:p w14:paraId="72D5BEF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0.1</w:t>
            </w:r>
          </w:p>
        </w:tc>
        <w:tc>
          <w:tcPr>
            <w:tcW w:w="1146" w:type="dxa"/>
            <w:tcBorders>
              <w:top w:val="nil"/>
              <w:left w:val="nil"/>
              <w:bottom w:val="nil"/>
              <w:right w:val="single" w:sz="4" w:space="0" w:color="000000"/>
            </w:tcBorders>
            <w:shd w:val="clear" w:color="auto" w:fill="FFFFFF" w:themeFill="background1"/>
            <w:noWrap/>
            <w:vAlign w:val="center"/>
          </w:tcPr>
          <w:p w14:paraId="0D0BE82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FFFFFF" w:themeFill="background1"/>
            <w:vAlign w:val="center"/>
          </w:tcPr>
          <w:p w14:paraId="1CD581D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w:t>
            </w:r>
          </w:p>
        </w:tc>
        <w:tc>
          <w:tcPr>
            <w:tcW w:w="567" w:type="dxa"/>
            <w:tcBorders>
              <w:top w:val="nil"/>
              <w:left w:val="nil"/>
              <w:bottom w:val="nil"/>
              <w:right w:val="nil"/>
            </w:tcBorders>
            <w:shd w:val="clear" w:color="auto" w:fill="FFFFFF" w:themeFill="background1"/>
            <w:vAlign w:val="center"/>
          </w:tcPr>
          <w:p w14:paraId="45E23FD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0.0</w:t>
            </w:r>
          </w:p>
        </w:tc>
        <w:tc>
          <w:tcPr>
            <w:tcW w:w="1146" w:type="dxa"/>
            <w:tcBorders>
              <w:top w:val="nil"/>
              <w:left w:val="nil"/>
              <w:bottom w:val="nil"/>
              <w:right w:val="single" w:sz="4" w:space="0" w:color="000000"/>
            </w:tcBorders>
            <w:shd w:val="clear" w:color="auto" w:fill="FFFFFF" w:themeFill="background1"/>
            <w:vAlign w:val="center"/>
          </w:tcPr>
          <w:p w14:paraId="13B7D9D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FFFFFF" w:themeFill="background1"/>
            <w:vAlign w:val="center"/>
          </w:tcPr>
          <w:p w14:paraId="0F2C286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w:t>
            </w:r>
          </w:p>
        </w:tc>
        <w:tc>
          <w:tcPr>
            <w:tcW w:w="576" w:type="dxa"/>
            <w:tcBorders>
              <w:top w:val="nil"/>
              <w:left w:val="nil"/>
              <w:bottom w:val="nil"/>
              <w:right w:val="nil"/>
            </w:tcBorders>
            <w:shd w:val="clear" w:color="auto" w:fill="FFFFFF" w:themeFill="background1"/>
            <w:vAlign w:val="center"/>
          </w:tcPr>
          <w:p w14:paraId="2C16CC7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0.2</w:t>
            </w:r>
          </w:p>
        </w:tc>
        <w:tc>
          <w:tcPr>
            <w:tcW w:w="1146" w:type="dxa"/>
            <w:tcBorders>
              <w:top w:val="nil"/>
              <w:left w:val="nil"/>
              <w:bottom w:val="nil"/>
              <w:right w:val="nil"/>
            </w:tcBorders>
            <w:shd w:val="clear" w:color="auto" w:fill="FFFFFF" w:themeFill="background1"/>
            <w:vAlign w:val="center"/>
          </w:tcPr>
          <w:p w14:paraId="01AEAAE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063DE7" w14:paraId="62A58A01"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446CD4EA" w14:textId="77777777" w:rsidR="003D7BB5" w:rsidRPr="00063DE7" w:rsidRDefault="003D7BB5" w:rsidP="00DD0F28">
            <w:pPr>
              <w:spacing w:before="20" w:after="20"/>
              <w:ind w:left="176"/>
              <w:rPr>
                <w:rFonts w:eastAsiaTheme="minorEastAsia"/>
                <w:b w:val="0"/>
                <w:sz w:val="18"/>
                <w:szCs w:val="18"/>
                <w:lang w:eastAsia="en-US"/>
              </w:rPr>
            </w:pPr>
            <w:r w:rsidRPr="00063DE7">
              <w:rPr>
                <w:rFonts w:eastAsiaTheme="minorEastAsia"/>
                <w:b w:val="0"/>
                <w:sz w:val="18"/>
                <w:szCs w:val="18"/>
                <w:lang w:eastAsia="en-US"/>
              </w:rPr>
              <w:t>Other activities</w:t>
            </w:r>
          </w:p>
        </w:tc>
        <w:tc>
          <w:tcPr>
            <w:tcW w:w="567" w:type="dxa"/>
            <w:tcBorders>
              <w:top w:val="nil"/>
              <w:left w:val="nil"/>
              <w:bottom w:val="nil"/>
              <w:right w:val="nil"/>
            </w:tcBorders>
            <w:noWrap/>
            <w:vAlign w:val="center"/>
          </w:tcPr>
          <w:p w14:paraId="1E30F2F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w:t>
            </w:r>
          </w:p>
        </w:tc>
        <w:tc>
          <w:tcPr>
            <w:tcW w:w="567" w:type="dxa"/>
            <w:tcBorders>
              <w:top w:val="nil"/>
              <w:left w:val="nil"/>
              <w:bottom w:val="nil"/>
              <w:right w:val="nil"/>
            </w:tcBorders>
            <w:noWrap/>
            <w:vAlign w:val="center"/>
          </w:tcPr>
          <w:p w14:paraId="56E5E56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0.6</w:t>
            </w:r>
          </w:p>
        </w:tc>
        <w:tc>
          <w:tcPr>
            <w:tcW w:w="1146" w:type="dxa"/>
            <w:tcBorders>
              <w:top w:val="nil"/>
              <w:left w:val="nil"/>
              <w:bottom w:val="nil"/>
              <w:right w:val="single" w:sz="4" w:space="0" w:color="auto"/>
            </w:tcBorders>
            <w:noWrap/>
            <w:vAlign w:val="center"/>
          </w:tcPr>
          <w:p w14:paraId="4C9E0A3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(0.1, 1.1)</w:t>
            </w:r>
          </w:p>
        </w:tc>
        <w:tc>
          <w:tcPr>
            <w:tcW w:w="516" w:type="dxa"/>
            <w:tcBorders>
              <w:top w:val="nil"/>
              <w:left w:val="single" w:sz="4" w:space="0" w:color="auto"/>
              <w:bottom w:val="nil"/>
              <w:right w:val="nil"/>
            </w:tcBorders>
            <w:noWrap/>
            <w:vAlign w:val="center"/>
          </w:tcPr>
          <w:p w14:paraId="65FBA8F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w:t>
            </w:r>
          </w:p>
        </w:tc>
        <w:tc>
          <w:tcPr>
            <w:tcW w:w="567" w:type="dxa"/>
            <w:tcBorders>
              <w:top w:val="nil"/>
              <w:left w:val="nil"/>
              <w:bottom w:val="nil"/>
              <w:right w:val="nil"/>
            </w:tcBorders>
            <w:noWrap/>
            <w:vAlign w:val="center"/>
          </w:tcPr>
          <w:p w14:paraId="028EE22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0.4</w:t>
            </w:r>
          </w:p>
        </w:tc>
        <w:tc>
          <w:tcPr>
            <w:tcW w:w="1146" w:type="dxa"/>
            <w:tcBorders>
              <w:top w:val="nil"/>
              <w:left w:val="nil"/>
              <w:bottom w:val="nil"/>
              <w:right w:val="single" w:sz="4" w:space="0" w:color="000000"/>
            </w:tcBorders>
            <w:shd w:val="clear" w:color="auto" w:fill="FFFFFF" w:themeFill="background1"/>
            <w:noWrap/>
            <w:vAlign w:val="center"/>
          </w:tcPr>
          <w:p w14:paraId="3E86CFC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FFFFFF" w:themeFill="background1"/>
            <w:vAlign w:val="center"/>
          </w:tcPr>
          <w:p w14:paraId="54DCF3E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w:t>
            </w:r>
          </w:p>
        </w:tc>
        <w:tc>
          <w:tcPr>
            <w:tcW w:w="567" w:type="dxa"/>
            <w:tcBorders>
              <w:top w:val="nil"/>
              <w:left w:val="nil"/>
              <w:bottom w:val="nil"/>
              <w:right w:val="nil"/>
            </w:tcBorders>
            <w:shd w:val="clear" w:color="auto" w:fill="FFFFFF" w:themeFill="background1"/>
            <w:vAlign w:val="center"/>
          </w:tcPr>
          <w:p w14:paraId="3B86F9F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0.7</w:t>
            </w:r>
          </w:p>
        </w:tc>
        <w:tc>
          <w:tcPr>
            <w:tcW w:w="1146" w:type="dxa"/>
            <w:tcBorders>
              <w:top w:val="nil"/>
              <w:left w:val="nil"/>
              <w:bottom w:val="nil"/>
              <w:right w:val="single" w:sz="4" w:space="0" w:color="000000"/>
            </w:tcBorders>
            <w:shd w:val="clear" w:color="auto" w:fill="FFFFFF" w:themeFill="background1"/>
            <w:vAlign w:val="center"/>
          </w:tcPr>
          <w:p w14:paraId="4430EA1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FFFFFF" w:themeFill="background1"/>
            <w:vAlign w:val="center"/>
          </w:tcPr>
          <w:p w14:paraId="2390B73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w:t>
            </w:r>
          </w:p>
        </w:tc>
        <w:tc>
          <w:tcPr>
            <w:tcW w:w="576" w:type="dxa"/>
            <w:tcBorders>
              <w:top w:val="nil"/>
              <w:left w:val="nil"/>
              <w:bottom w:val="nil"/>
              <w:right w:val="nil"/>
            </w:tcBorders>
            <w:shd w:val="clear" w:color="auto" w:fill="FFFFFF" w:themeFill="background1"/>
            <w:vAlign w:val="center"/>
          </w:tcPr>
          <w:p w14:paraId="01D18A6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2.0</w:t>
            </w:r>
          </w:p>
        </w:tc>
        <w:tc>
          <w:tcPr>
            <w:tcW w:w="1146" w:type="dxa"/>
            <w:tcBorders>
              <w:top w:val="nil"/>
              <w:left w:val="nil"/>
              <w:bottom w:val="nil"/>
              <w:right w:val="nil"/>
            </w:tcBorders>
            <w:shd w:val="clear" w:color="auto" w:fill="FFFFFF" w:themeFill="background1"/>
            <w:vAlign w:val="center"/>
          </w:tcPr>
          <w:p w14:paraId="5EB8627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(0.3, 3.7)</w:t>
            </w:r>
          </w:p>
        </w:tc>
      </w:tr>
      <w:tr w:rsidR="009118DA" w:rsidRPr="00063DE7" w14:paraId="6E4E71A9"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03AC2A00" w14:textId="77777777" w:rsidR="003D7BB5" w:rsidRPr="00063DE7" w:rsidRDefault="003D7BB5" w:rsidP="00DD0F28">
            <w:pPr>
              <w:spacing w:before="20" w:after="20"/>
              <w:ind w:left="176"/>
              <w:rPr>
                <w:rFonts w:eastAsiaTheme="minorEastAsia"/>
                <w:b w:val="0"/>
                <w:sz w:val="18"/>
                <w:szCs w:val="18"/>
                <w:lang w:eastAsia="en-US"/>
              </w:rPr>
            </w:pPr>
            <w:r w:rsidRPr="00063DE7">
              <w:rPr>
                <w:rFonts w:eastAsiaTheme="minorEastAsia"/>
                <w:b w:val="0"/>
                <w:sz w:val="18"/>
                <w:szCs w:val="18"/>
                <w:lang w:eastAsia="en-US"/>
              </w:rPr>
              <w:t>No preference</w:t>
            </w:r>
          </w:p>
        </w:tc>
        <w:tc>
          <w:tcPr>
            <w:tcW w:w="567" w:type="dxa"/>
            <w:tcBorders>
              <w:top w:val="nil"/>
              <w:left w:val="nil"/>
              <w:bottom w:val="nil"/>
              <w:right w:val="nil"/>
            </w:tcBorders>
            <w:noWrap/>
            <w:vAlign w:val="center"/>
          </w:tcPr>
          <w:p w14:paraId="7ED3E91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37</w:t>
            </w:r>
          </w:p>
        </w:tc>
        <w:tc>
          <w:tcPr>
            <w:tcW w:w="567" w:type="dxa"/>
            <w:tcBorders>
              <w:top w:val="nil"/>
              <w:left w:val="nil"/>
              <w:bottom w:val="nil"/>
              <w:right w:val="nil"/>
            </w:tcBorders>
            <w:noWrap/>
            <w:vAlign w:val="center"/>
          </w:tcPr>
          <w:p w14:paraId="22A2D05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5.7</w:t>
            </w:r>
          </w:p>
        </w:tc>
        <w:tc>
          <w:tcPr>
            <w:tcW w:w="1146" w:type="dxa"/>
            <w:tcBorders>
              <w:top w:val="nil"/>
              <w:left w:val="nil"/>
              <w:bottom w:val="nil"/>
              <w:right w:val="single" w:sz="4" w:space="0" w:color="auto"/>
            </w:tcBorders>
            <w:noWrap/>
            <w:vAlign w:val="center"/>
          </w:tcPr>
          <w:p w14:paraId="5B1F1BC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(4.2, 7.3)</w:t>
            </w:r>
          </w:p>
        </w:tc>
        <w:tc>
          <w:tcPr>
            <w:tcW w:w="516" w:type="dxa"/>
            <w:tcBorders>
              <w:top w:val="nil"/>
              <w:left w:val="single" w:sz="4" w:space="0" w:color="auto"/>
              <w:bottom w:val="nil"/>
              <w:right w:val="nil"/>
            </w:tcBorders>
            <w:noWrap/>
            <w:vAlign w:val="center"/>
          </w:tcPr>
          <w:p w14:paraId="5379856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25</w:t>
            </w:r>
          </w:p>
        </w:tc>
        <w:tc>
          <w:tcPr>
            <w:tcW w:w="567" w:type="dxa"/>
            <w:tcBorders>
              <w:top w:val="nil"/>
              <w:left w:val="nil"/>
              <w:bottom w:val="nil"/>
              <w:right w:val="nil"/>
            </w:tcBorders>
            <w:noWrap/>
            <w:vAlign w:val="center"/>
          </w:tcPr>
          <w:p w14:paraId="77FF674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6.3</w:t>
            </w:r>
          </w:p>
        </w:tc>
        <w:tc>
          <w:tcPr>
            <w:tcW w:w="1146" w:type="dxa"/>
            <w:tcBorders>
              <w:top w:val="nil"/>
              <w:left w:val="nil"/>
              <w:bottom w:val="nil"/>
              <w:right w:val="single" w:sz="4" w:space="0" w:color="000000"/>
            </w:tcBorders>
            <w:shd w:val="clear" w:color="auto" w:fill="FFFFFF" w:themeFill="background1"/>
            <w:noWrap/>
            <w:vAlign w:val="center"/>
          </w:tcPr>
          <w:p w14:paraId="1C2AFF9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(4.4, 8.3)</w:t>
            </w:r>
          </w:p>
        </w:tc>
        <w:tc>
          <w:tcPr>
            <w:tcW w:w="536" w:type="dxa"/>
            <w:tcBorders>
              <w:top w:val="nil"/>
              <w:left w:val="single" w:sz="4" w:space="0" w:color="000000"/>
              <w:bottom w:val="nil"/>
              <w:right w:val="nil"/>
            </w:tcBorders>
            <w:shd w:val="clear" w:color="auto" w:fill="FFFFFF" w:themeFill="background1"/>
            <w:vAlign w:val="center"/>
          </w:tcPr>
          <w:p w14:paraId="389C1F3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21</w:t>
            </w:r>
          </w:p>
        </w:tc>
        <w:tc>
          <w:tcPr>
            <w:tcW w:w="567" w:type="dxa"/>
            <w:tcBorders>
              <w:top w:val="nil"/>
              <w:left w:val="nil"/>
              <w:bottom w:val="nil"/>
              <w:right w:val="nil"/>
            </w:tcBorders>
            <w:shd w:val="clear" w:color="auto" w:fill="FFFFFF" w:themeFill="background1"/>
            <w:vAlign w:val="center"/>
          </w:tcPr>
          <w:p w14:paraId="586584C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6.5</w:t>
            </w:r>
          </w:p>
        </w:tc>
        <w:tc>
          <w:tcPr>
            <w:tcW w:w="1146" w:type="dxa"/>
            <w:tcBorders>
              <w:top w:val="nil"/>
              <w:left w:val="nil"/>
              <w:bottom w:val="nil"/>
              <w:right w:val="single" w:sz="4" w:space="0" w:color="000000"/>
            </w:tcBorders>
            <w:shd w:val="clear" w:color="auto" w:fill="FFFFFF" w:themeFill="background1"/>
            <w:vAlign w:val="center"/>
          </w:tcPr>
          <w:p w14:paraId="49A28D7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(4.4, 8.5)</w:t>
            </w:r>
          </w:p>
        </w:tc>
        <w:tc>
          <w:tcPr>
            <w:tcW w:w="536" w:type="dxa"/>
            <w:tcBorders>
              <w:top w:val="nil"/>
              <w:left w:val="single" w:sz="4" w:space="0" w:color="000000"/>
              <w:bottom w:val="nil"/>
              <w:right w:val="nil"/>
            </w:tcBorders>
            <w:shd w:val="clear" w:color="auto" w:fill="FFFFFF" w:themeFill="background1"/>
            <w:vAlign w:val="center"/>
          </w:tcPr>
          <w:p w14:paraId="7C19242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21</w:t>
            </w:r>
          </w:p>
        </w:tc>
        <w:tc>
          <w:tcPr>
            <w:tcW w:w="576" w:type="dxa"/>
            <w:tcBorders>
              <w:top w:val="nil"/>
              <w:left w:val="nil"/>
              <w:bottom w:val="nil"/>
              <w:right w:val="nil"/>
            </w:tcBorders>
            <w:shd w:val="clear" w:color="auto" w:fill="FFFFFF" w:themeFill="background1"/>
            <w:vAlign w:val="center"/>
          </w:tcPr>
          <w:p w14:paraId="6B8BFE6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7.0</w:t>
            </w:r>
          </w:p>
        </w:tc>
        <w:tc>
          <w:tcPr>
            <w:tcW w:w="1146" w:type="dxa"/>
            <w:tcBorders>
              <w:top w:val="nil"/>
              <w:left w:val="nil"/>
              <w:bottom w:val="nil"/>
              <w:right w:val="nil"/>
            </w:tcBorders>
            <w:shd w:val="clear" w:color="auto" w:fill="FFFFFF" w:themeFill="background1"/>
            <w:vAlign w:val="center"/>
          </w:tcPr>
          <w:p w14:paraId="74AB64F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(4.6, 9.4)</w:t>
            </w:r>
          </w:p>
        </w:tc>
      </w:tr>
      <w:tr w:rsidR="009118DA" w:rsidRPr="00063DE7" w14:paraId="0D177566"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526B574E" w14:textId="77777777" w:rsidR="003D7BB5" w:rsidRPr="00063DE7" w:rsidRDefault="003D7BB5" w:rsidP="00DD0F28">
            <w:pPr>
              <w:spacing w:before="20" w:after="20"/>
              <w:ind w:left="176"/>
              <w:rPr>
                <w:rFonts w:eastAsiaTheme="minorEastAsia"/>
                <w:b w:val="0"/>
                <w:sz w:val="18"/>
                <w:szCs w:val="18"/>
                <w:lang w:eastAsia="en-US"/>
              </w:rPr>
            </w:pPr>
            <w:r>
              <w:rPr>
                <w:rFonts w:eastAsiaTheme="minorEastAsia"/>
                <w:b w:val="0"/>
                <w:sz w:val="18"/>
                <w:szCs w:val="18"/>
                <w:lang w:eastAsia="en-US"/>
              </w:rPr>
              <w:t>Did not respond</w:t>
            </w:r>
          </w:p>
        </w:tc>
        <w:tc>
          <w:tcPr>
            <w:tcW w:w="567" w:type="dxa"/>
            <w:tcBorders>
              <w:top w:val="nil"/>
              <w:left w:val="nil"/>
              <w:bottom w:val="nil"/>
              <w:right w:val="nil"/>
            </w:tcBorders>
            <w:shd w:val="clear" w:color="auto" w:fill="auto"/>
            <w:noWrap/>
            <w:vAlign w:val="center"/>
          </w:tcPr>
          <w:p w14:paraId="7B012F5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81</w:t>
            </w:r>
          </w:p>
        </w:tc>
        <w:tc>
          <w:tcPr>
            <w:tcW w:w="567" w:type="dxa"/>
            <w:tcBorders>
              <w:top w:val="nil"/>
              <w:left w:val="nil"/>
              <w:bottom w:val="nil"/>
              <w:right w:val="nil"/>
            </w:tcBorders>
            <w:shd w:val="clear" w:color="auto" w:fill="auto"/>
            <w:noWrap/>
            <w:vAlign w:val="center"/>
          </w:tcPr>
          <w:p w14:paraId="7782EF6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12.5</w:t>
            </w:r>
          </w:p>
        </w:tc>
        <w:tc>
          <w:tcPr>
            <w:tcW w:w="1146" w:type="dxa"/>
            <w:tcBorders>
              <w:top w:val="nil"/>
              <w:left w:val="nil"/>
              <w:bottom w:val="nil"/>
              <w:right w:val="single" w:sz="4" w:space="0" w:color="auto"/>
            </w:tcBorders>
            <w:shd w:val="clear" w:color="auto" w:fill="auto"/>
            <w:noWrap/>
            <w:vAlign w:val="center"/>
          </w:tcPr>
          <w:p w14:paraId="7528377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(10.5, 14.6)</w:t>
            </w:r>
          </w:p>
        </w:tc>
        <w:tc>
          <w:tcPr>
            <w:tcW w:w="516" w:type="dxa"/>
            <w:tcBorders>
              <w:top w:val="nil"/>
              <w:left w:val="single" w:sz="4" w:space="0" w:color="auto"/>
              <w:bottom w:val="nil"/>
              <w:right w:val="nil"/>
            </w:tcBorders>
            <w:shd w:val="clear" w:color="auto" w:fill="auto"/>
            <w:noWrap/>
            <w:vAlign w:val="center"/>
          </w:tcPr>
          <w:p w14:paraId="22E578E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37</w:t>
            </w:r>
          </w:p>
        </w:tc>
        <w:tc>
          <w:tcPr>
            <w:tcW w:w="567" w:type="dxa"/>
            <w:tcBorders>
              <w:top w:val="nil"/>
              <w:left w:val="nil"/>
              <w:bottom w:val="nil"/>
              <w:right w:val="nil"/>
            </w:tcBorders>
            <w:shd w:val="clear" w:color="auto" w:fill="auto"/>
            <w:noWrap/>
            <w:vAlign w:val="center"/>
          </w:tcPr>
          <w:p w14:paraId="585AE15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9.5</w:t>
            </w:r>
          </w:p>
        </w:tc>
        <w:tc>
          <w:tcPr>
            <w:tcW w:w="1146" w:type="dxa"/>
            <w:tcBorders>
              <w:top w:val="nil"/>
              <w:left w:val="nil"/>
              <w:bottom w:val="nil"/>
              <w:right w:val="single" w:sz="4" w:space="0" w:color="000000"/>
            </w:tcBorders>
            <w:shd w:val="clear" w:color="auto" w:fill="auto"/>
            <w:noWrap/>
            <w:vAlign w:val="center"/>
          </w:tcPr>
          <w:p w14:paraId="3183E11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(7.1, 11.9)</w:t>
            </w:r>
          </w:p>
        </w:tc>
        <w:tc>
          <w:tcPr>
            <w:tcW w:w="536" w:type="dxa"/>
            <w:tcBorders>
              <w:top w:val="nil"/>
              <w:left w:val="single" w:sz="4" w:space="0" w:color="000000"/>
              <w:bottom w:val="nil"/>
              <w:right w:val="nil"/>
            </w:tcBorders>
            <w:shd w:val="clear" w:color="auto" w:fill="auto"/>
            <w:vAlign w:val="center"/>
          </w:tcPr>
          <w:p w14:paraId="2B5FB77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33</w:t>
            </w:r>
          </w:p>
        </w:tc>
        <w:tc>
          <w:tcPr>
            <w:tcW w:w="567" w:type="dxa"/>
            <w:tcBorders>
              <w:top w:val="nil"/>
              <w:left w:val="nil"/>
              <w:bottom w:val="nil"/>
              <w:right w:val="nil"/>
            </w:tcBorders>
            <w:shd w:val="clear" w:color="auto" w:fill="auto"/>
            <w:vAlign w:val="center"/>
          </w:tcPr>
          <w:p w14:paraId="120EA80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10.1</w:t>
            </w:r>
          </w:p>
        </w:tc>
        <w:tc>
          <w:tcPr>
            <w:tcW w:w="1146" w:type="dxa"/>
            <w:tcBorders>
              <w:top w:val="nil"/>
              <w:left w:val="nil"/>
              <w:bottom w:val="nil"/>
              <w:right w:val="single" w:sz="4" w:space="0" w:color="000000"/>
            </w:tcBorders>
            <w:shd w:val="clear" w:color="auto" w:fill="auto"/>
            <w:vAlign w:val="center"/>
          </w:tcPr>
          <w:p w14:paraId="5750CCD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(7.3, 13.0)</w:t>
            </w:r>
          </w:p>
        </w:tc>
        <w:tc>
          <w:tcPr>
            <w:tcW w:w="536" w:type="dxa"/>
            <w:tcBorders>
              <w:top w:val="nil"/>
              <w:left w:val="single" w:sz="4" w:space="0" w:color="000000"/>
              <w:bottom w:val="nil"/>
              <w:right w:val="nil"/>
            </w:tcBorders>
            <w:shd w:val="clear" w:color="auto" w:fill="auto"/>
            <w:vAlign w:val="center"/>
          </w:tcPr>
          <w:p w14:paraId="51CE313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22</w:t>
            </w:r>
          </w:p>
        </w:tc>
        <w:tc>
          <w:tcPr>
            <w:tcW w:w="576" w:type="dxa"/>
            <w:tcBorders>
              <w:top w:val="nil"/>
              <w:left w:val="nil"/>
              <w:bottom w:val="nil"/>
              <w:right w:val="nil"/>
            </w:tcBorders>
            <w:shd w:val="clear" w:color="auto" w:fill="auto"/>
            <w:vAlign w:val="center"/>
          </w:tcPr>
          <w:p w14:paraId="6E42C2C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7.7</w:t>
            </w:r>
          </w:p>
        </w:tc>
        <w:tc>
          <w:tcPr>
            <w:tcW w:w="1146" w:type="dxa"/>
            <w:tcBorders>
              <w:top w:val="nil"/>
              <w:left w:val="nil"/>
              <w:bottom w:val="nil"/>
              <w:right w:val="nil"/>
            </w:tcBorders>
            <w:shd w:val="clear" w:color="auto" w:fill="auto"/>
            <w:vAlign w:val="center"/>
          </w:tcPr>
          <w:p w14:paraId="123818A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(5.0, 10.3)</w:t>
            </w:r>
          </w:p>
        </w:tc>
      </w:tr>
      <w:tr w:rsidR="009118DA" w:rsidRPr="00063DE7" w14:paraId="4E4C6587"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single" w:sz="4" w:space="0" w:color="auto"/>
              <w:right w:val="nil"/>
            </w:tcBorders>
          </w:tcPr>
          <w:p w14:paraId="57FF87A5" w14:textId="77777777" w:rsidR="003D7BB5" w:rsidRPr="00063DE7" w:rsidRDefault="003D7BB5" w:rsidP="00DD0F28">
            <w:pPr>
              <w:spacing w:before="20" w:after="20"/>
              <w:ind w:left="176"/>
              <w:rPr>
                <w:rFonts w:eastAsiaTheme="minorEastAsia"/>
                <w:b w:val="0"/>
                <w:sz w:val="18"/>
                <w:szCs w:val="18"/>
                <w:lang w:eastAsia="en-US"/>
              </w:rPr>
            </w:pPr>
            <w:r w:rsidRPr="00063DE7">
              <w:rPr>
                <w:rFonts w:eastAsiaTheme="minorEastAsia"/>
                <w:b w:val="0"/>
                <w:sz w:val="18"/>
                <w:szCs w:val="18"/>
                <w:lang w:eastAsia="en-US"/>
              </w:rPr>
              <w:t>Refused/Don’t know</w:t>
            </w:r>
          </w:p>
        </w:tc>
        <w:tc>
          <w:tcPr>
            <w:tcW w:w="567" w:type="dxa"/>
            <w:tcBorders>
              <w:top w:val="nil"/>
              <w:left w:val="nil"/>
              <w:bottom w:val="single" w:sz="4" w:space="0" w:color="auto"/>
              <w:right w:val="nil"/>
            </w:tcBorders>
            <w:noWrap/>
            <w:vAlign w:val="center"/>
          </w:tcPr>
          <w:p w14:paraId="0103AAA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w:t>
            </w:r>
          </w:p>
        </w:tc>
        <w:tc>
          <w:tcPr>
            <w:tcW w:w="567" w:type="dxa"/>
            <w:tcBorders>
              <w:top w:val="nil"/>
              <w:left w:val="nil"/>
              <w:bottom w:val="single" w:sz="4" w:space="0" w:color="auto"/>
              <w:right w:val="nil"/>
            </w:tcBorders>
            <w:noWrap/>
            <w:vAlign w:val="center"/>
          </w:tcPr>
          <w:p w14:paraId="04B55BE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0.0</w:t>
            </w:r>
          </w:p>
        </w:tc>
        <w:tc>
          <w:tcPr>
            <w:tcW w:w="1146" w:type="dxa"/>
            <w:tcBorders>
              <w:top w:val="nil"/>
              <w:left w:val="nil"/>
              <w:bottom w:val="single" w:sz="4" w:space="0" w:color="auto"/>
              <w:right w:val="single" w:sz="4" w:space="0" w:color="auto"/>
            </w:tcBorders>
            <w:noWrap/>
            <w:vAlign w:val="center"/>
          </w:tcPr>
          <w:p w14:paraId="3C933AA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(0.0, 0.1)</w:t>
            </w:r>
          </w:p>
        </w:tc>
        <w:tc>
          <w:tcPr>
            <w:tcW w:w="516" w:type="dxa"/>
            <w:tcBorders>
              <w:top w:val="nil"/>
              <w:left w:val="single" w:sz="4" w:space="0" w:color="auto"/>
              <w:bottom w:val="single" w:sz="4" w:space="0" w:color="auto"/>
              <w:right w:val="nil"/>
            </w:tcBorders>
            <w:noWrap/>
            <w:vAlign w:val="center"/>
          </w:tcPr>
          <w:p w14:paraId="773D210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w:t>
            </w:r>
          </w:p>
        </w:tc>
        <w:tc>
          <w:tcPr>
            <w:tcW w:w="567" w:type="dxa"/>
            <w:tcBorders>
              <w:top w:val="nil"/>
              <w:left w:val="nil"/>
              <w:bottom w:val="single" w:sz="4" w:space="0" w:color="auto"/>
              <w:right w:val="nil"/>
            </w:tcBorders>
            <w:noWrap/>
            <w:vAlign w:val="center"/>
          </w:tcPr>
          <w:p w14:paraId="7F29627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0.5</w:t>
            </w:r>
          </w:p>
        </w:tc>
        <w:tc>
          <w:tcPr>
            <w:tcW w:w="1146" w:type="dxa"/>
            <w:tcBorders>
              <w:top w:val="nil"/>
              <w:left w:val="nil"/>
              <w:bottom w:val="single" w:sz="4" w:space="0" w:color="auto"/>
              <w:right w:val="single" w:sz="4" w:space="0" w:color="000000"/>
            </w:tcBorders>
            <w:shd w:val="clear" w:color="auto" w:fill="FFFFFF" w:themeFill="background1"/>
            <w:noWrap/>
            <w:vAlign w:val="center"/>
          </w:tcPr>
          <w:p w14:paraId="71B31D0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single" w:sz="4" w:space="0" w:color="auto"/>
              <w:right w:val="nil"/>
            </w:tcBorders>
            <w:shd w:val="clear" w:color="auto" w:fill="FFFFFF" w:themeFill="background1"/>
            <w:vAlign w:val="center"/>
          </w:tcPr>
          <w:p w14:paraId="7F6CD55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w:t>
            </w:r>
          </w:p>
        </w:tc>
        <w:tc>
          <w:tcPr>
            <w:tcW w:w="567" w:type="dxa"/>
            <w:tcBorders>
              <w:top w:val="nil"/>
              <w:left w:val="nil"/>
              <w:bottom w:val="single" w:sz="4" w:space="0" w:color="auto"/>
              <w:right w:val="nil"/>
            </w:tcBorders>
            <w:shd w:val="clear" w:color="auto" w:fill="FFFFFF" w:themeFill="background1"/>
            <w:vAlign w:val="center"/>
          </w:tcPr>
          <w:p w14:paraId="0D40DE3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0.3</w:t>
            </w:r>
          </w:p>
        </w:tc>
        <w:tc>
          <w:tcPr>
            <w:tcW w:w="1146" w:type="dxa"/>
            <w:tcBorders>
              <w:top w:val="nil"/>
              <w:left w:val="nil"/>
              <w:bottom w:val="single" w:sz="4" w:space="0" w:color="auto"/>
              <w:right w:val="single" w:sz="4" w:space="0" w:color="000000"/>
            </w:tcBorders>
            <w:shd w:val="clear" w:color="auto" w:fill="FFFFFF" w:themeFill="background1"/>
            <w:vAlign w:val="center"/>
          </w:tcPr>
          <w:p w14:paraId="0C9ACB9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(0.0, 0.8)</w:t>
            </w:r>
          </w:p>
        </w:tc>
        <w:tc>
          <w:tcPr>
            <w:tcW w:w="536" w:type="dxa"/>
            <w:tcBorders>
              <w:top w:val="nil"/>
              <w:left w:val="single" w:sz="4" w:space="0" w:color="000000"/>
              <w:bottom w:val="single" w:sz="4" w:space="0" w:color="auto"/>
              <w:right w:val="nil"/>
            </w:tcBorders>
            <w:shd w:val="clear" w:color="auto" w:fill="FFFFFF" w:themeFill="background1"/>
            <w:vAlign w:val="center"/>
          </w:tcPr>
          <w:p w14:paraId="2980216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w:t>
            </w:r>
          </w:p>
        </w:tc>
        <w:tc>
          <w:tcPr>
            <w:tcW w:w="576" w:type="dxa"/>
            <w:tcBorders>
              <w:top w:val="nil"/>
              <w:left w:val="nil"/>
              <w:bottom w:val="single" w:sz="4" w:space="0" w:color="auto"/>
              <w:right w:val="nil"/>
            </w:tcBorders>
            <w:shd w:val="clear" w:color="auto" w:fill="FFFFFF" w:themeFill="background1"/>
            <w:vAlign w:val="center"/>
          </w:tcPr>
          <w:p w14:paraId="338DB72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0.4</w:t>
            </w:r>
          </w:p>
        </w:tc>
        <w:tc>
          <w:tcPr>
            <w:tcW w:w="1146" w:type="dxa"/>
            <w:tcBorders>
              <w:top w:val="nil"/>
              <w:left w:val="nil"/>
              <w:bottom w:val="single" w:sz="4" w:space="0" w:color="auto"/>
              <w:right w:val="nil"/>
            </w:tcBorders>
            <w:shd w:val="clear" w:color="auto" w:fill="FFFFFF" w:themeFill="background1"/>
            <w:vAlign w:val="center"/>
          </w:tcPr>
          <w:p w14:paraId="5EB7DAA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063DE7" w14:paraId="2E0BB499"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single" w:sz="4" w:space="0" w:color="auto"/>
              <w:left w:val="nil"/>
              <w:bottom w:val="nil"/>
              <w:right w:val="nil"/>
            </w:tcBorders>
          </w:tcPr>
          <w:p w14:paraId="63DFC79A" w14:textId="77777777" w:rsidR="003D7BB5" w:rsidRPr="00063DE7" w:rsidRDefault="003D7BB5" w:rsidP="00DD0F28">
            <w:pPr>
              <w:keepNext/>
              <w:spacing w:before="20" w:after="20"/>
              <w:rPr>
                <w:rFonts w:eastAsiaTheme="minorEastAsia"/>
                <w:sz w:val="18"/>
                <w:szCs w:val="18"/>
                <w:lang w:eastAsia="en-US"/>
              </w:rPr>
            </w:pPr>
            <w:r w:rsidRPr="00063DE7">
              <w:rPr>
                <w:rFonts w:eastAsiaTheme="minorEastAsia"/>
                <w:sz w:val="18"/>
                <w:szCs w:val="18"/>
                <w:lang w:eastAsia="en-US"/>
              </w:rPr>
              <w:t>Who gambled with</w:t>
            </w:r>
          </w:p>
        </w:tc>
        <w:tc>
          <w:tcPr>
            <w:tcW w:w="567" w:type="dxa"/>
            <w:tcBorders>
              <w:top w:val="single" w:sz="4" w:space="0" w:color="auto"/>
              <w:left w:val="nil"/>
              <w:bottom w:val="nil"/>
              <w:right w:val="nil"/>
            </w:tcBorders>
            <w:noWrap/>
            <w:vAlign w:val="center"/>
          </w:tcPr>
          <w:p w14:paraId="1AF95DC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single" w:sz="4" w:space="0" w:color="auto"/>
              <w:left w:val="nil"/>
              <w:bottom w:val="nil"/>
              <w:right w:val="nil"/>
            </w:tcBorders>
            <w:noWrap/>
            <w:vAlign w:val="center"/>
          </w:tcPr>
          <w:p w14:paraId="6B9048C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single" w:sz="4" w:space="0" w:color="auto"/>
              <w:left w:val="nil"/>
              <w:bottom w:val="nil"/>
              <w:right w:val="single" w:sz="4" w:space="0" w:color="auto"/>
            </w:tcBorders>
            <w:noWrap/>
            <w:vAlign w:val="center"/>
          </w:tcPr>
          <w:p w14:paraId="1945DDA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16" w:type="dxa"/>
            <w:tcBorders>
              <w:top w:val="single" w:sz="4" w:space="0" w:color="auto"/>
              <w:left w:val="single" w:sz="4" w:space="0" w:color="auto"/>
              <w:bottom w:val="nil"/>
              <w:right w:val="nil"/>
            </w:tcBorders>
            <w:noWrap/>
            <w:vAlign w:val="center"/>
          </w:tcPr>
          <w:p w14:paraId="285623C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single" w:sz="4" w:space="0" w:color="auto"/>
              <w:left w:val="nil"/>
              <w:bottom w:val="nil"/>
              <w:right w:val="nil"/>
            </w:tcBorders>
            <w:noWrap/>
            <w:vAlign w:val="center"/>
          </w:tcPr>
          <w:p w14:paraId="0BA701F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single" w:sz="4" w:space="0" w:color="auto"/>
              <w:left w:val="nil"/>
              <w:bottom w:val="nil"/>
              <w:right w:val="single" w:sz="4" w:space="0" w:color="000000"/>
            </w:tcBorders>
            <w:shd w:val="clear" w:color="auto" w:fill="FFFFFF" w:themeFill="background1"/>
            <w:noWrap/>
            <w:vAlign w:val="center"/>
          </w:tcPr>
          <w:p w14:paraId="2102A8C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single" w:sz="4" w:space="0" w:color="auto"/>
              <w:left w:val="single" w:sz="4" w:space="0" w:color="000000"/>
              <w:bottom w:val="nil"/>
              <w:right w:val="nil"/>
            </w:tcBorders>
            <w:shd w:val="clear" w:color="auto" w:fill="FFFFFF" w:themeFill="background1"/>
            <w:vAlign w:val="center"/>
          </w:tcPr>
          <w:p w14:paraId="7E11006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single" w:sz="4" w:space="0" w:color="auto"/>
              <w:left w:val="nil"/>
              <w:bottom w:val="nil"/>
              <w:right w:val="nil"/>
            </w:tcBorders>
            <w:shd w:val="clear" w:color="auto" w:fill="FFFFFF" w:themeFill="background1"/>
            <w:vAlign w:val="center"/>
          </w:tcPr>
          <w:p w14:paraId="6D48644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146" w:type="dxa"/>
            <w:tcBorders>
              <w:top w:val="single" w:sz="4" w:space="0" w:color="auto"/>
              <w:left w:val="nil"/>
              <w:bottom w:val="nil"/>
              <w:right w:val="single" w:sz="4" w:space="0" w:color="000000"/>
            </w:tcBorders>
            <w:shd w:val="clear" w:color="auto" w:fill="FFFFFF" w:themeFill="background1"/>
            <w:vAlign w:val="center"/>
          </w:tcPr>
          <w:p w14:paraId="0D3BC5F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single" w:sz="4" w:space="0" w:color="auto"/>
              <w:left w:val="single" w:sz="4" w:space="0" w:color="000000"/>
              <w:bottom w:val="nil"/>
              <w:right w:val="nil"/>
            </w:tcBorders>
            <w:shd w:val="clear" w:color="auto" w:fill="FFFFFF" w:themeFill="background1"/>
            <w:vAlign w:val="center"/>
          </w:tcPr>
          <w:p w14:paraId="492599C6"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76" w:type="dxa"/>
            <w:tcBorders>
              <w:top w:val="single" w:sz="4" w:space="0" w:color="auto"/>
              <w:left w:val="nil"/>
              <w:bottom w:val="nil"/>
              <w:right w:val="nil"/>
            </w:tcBorders>
            <w:shd w:val="clear" w:color="auto" w:fill="FFFFFF" w:themeFill="background1"/>
            <w:vAlign w:val="center"/>
          </w:tcPr>
          <w:p w14:paraId="428917FF"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single" w:sz="4" w:space="0" w:color="auto"/>
              <w:left w:val="nil"/>
              <w:bottom w:val="nil"/>
              <w:right w:val="nil"/>
            </w:tcBorders>
            <w:shd w:val="clear" w:color="auto" w:fill="FFFFFF" w:themeFill="background1"/>
            <w:vAlign w:val="center"/>
          </w:tcPr>
          <w:p w14:paraId="206A6E07"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r>
      <w:tr w:rsidR="009118DA" w:rsidRPr="00063DE7" w14:paraId="40E2CB6D"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121C11F3" w14:textId="77777777" w:rsidR="003D7BB5" w:rsidRPr="00063DE7" w:rsidRDefault="003D7BB5" w:rsidP="00DD0F28">
            <w:pPr>
              <w:keepNext/>
              <w:spacing w:before="20" w:after="20"/>
              <w:ind w:left="176"/>
              <w:rPr>
                <w:rFonts w:eastAsiaTheme="minorEastAsia"/>
                <w:b w:val="0"/>
                <w:sz w:val="18"/>
                <w:szCs w:val="18"/>
                <w:lang w:eastAsia="en-US"/>
              </w:rPr>
            </w:pPr>
            <w:r w:rsidRPr="00063DE7">
              <w:rPr>
                <w:rFonts w:eastAsiaTheme="minorEastAsia"/>
                <w:b w:val="0"/>
                <w:sz w:val="18"/>
                <w:szCs w:val="18"/>
                <w:lang w:eastAsia="en-US"/>
              </w:rPr>
              <w:t>Alone</w:t>
            </w:r>
          </w:p>
        </w:tc>
        <w:tc>
          <w:tcPr>
            <w:tcW w:w="567" w:type="dxa"/>
            <w:tcBorders>
              <w:top w:val="nil"/>
              <w:left w:val="nil"/>
              <w:bottom w:val="nil"/>
              <w:right w:val="nil"/>
            </w:tcBorders>
            <w:noWrap/>
            <w:vAlign w:val="center"/>
          </w:tcPr>
          <w:p w14:paraId="59E94BE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249</w:t>
            </w:r>
          </w:p>
        </w:tc>
        <w:tc>
          <w:tcPr>
            <w:tcW w:w="567" w:type="dxa"/>
            <w:tcBorders>
              <w:top w:val="nil"/>
              <w:left w:val="nil"/>
              <w:bottom w:val="nil"/>
              <w:right w:val="nil"/>
            </w:tcBorders>
            <w:noWrap/>
            <w:vAlign w:val="center"/>
          </w:tcPr>
          <w:p w14:paraId="6610BDD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56.9</w:t>
            </w:r>
          </w:p>
        </w:tc>
        <w:tc>
          <w:tcPr>
            <w:tcW w:w="1146" w:type="dxa"/>
            <w:tcBorders>
              <w:top w:val="nil"/>
              <w:left w:val="nil"/>
              <w:bottom w:val="nil"/>
              <w:right w:val="single" w:sz="4" w:space="0" w:color="auto"/>
            </w:tcBorders>
            <w:noWrap/>
            <w:vAlign w:val="center"/>
          </w:tcPr>
          <w:p w14:paraId="2B4FEFC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(53.0, 60.8)</w:t>
            </w:r>
          </w:p>
        </w:tc>
        <w:tc>
          <w:tcPr>
            <w:tcW w:w="516" w:type="dxa"/>
            <w:tcBorders>
              <w:top w:val="nil"/>
              <w:left w:val="single" w:sz="4" w:space="0" w:color="auto"/>
              <w:bottom w:val="nil"/>
              <w:right w:val="nil"/>
            </w:tcBorders>
            <w:noWrap/>
            <w:vAlign w:val="center"/>
          </w:tcPr>
          <w:p w14:paraId="34AE2C6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138</w:t>
            </w:r>
          </w:p>
        </w:tc>
        <w:tc>
          <w:tcPr>
            <w:tcW w:w="567" w:type="dxa"/>
            <w:tcBorders>
              <w:top w:val="nil"/>
              <w:left w:val="nil"/>
              <w:bottom w:val="nil"/>
              <w:right w:val="nil"/>
            </w:tcBorders>
            <w:noWrap/>
            <w:vAlign w:val="center"/>
          </w:tcPr>
          <w:p w14:paraId="18EA9BC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53.0</w:t>
            </w:r>
          </w:p>
        </w:tc>
        <w:tc>
          <w:tcPr>
            <w:tcW w:w="1146" w:type="dxa"/>
            <w:tcBorders>
              <w:top w:val="nil"/>
              <w:left w:val="nil"/>
              <w:bottom w:val="nil"/>
              <w:right w:val="single" w:sz="4" w:space="0" w:color="000000"/>
            </w:tcBorders>
            <w:shd w:val="clear" w:color="auto" w:fill="FFFFFF" w:themeFill="background1"/>
            <w:noWrap/>
            <w:vAlign w:val="center"/>
          </w:tcPr>
          <w:p w14:paraId="7B67D14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(47.5, 58.5)</w:t>
            </w:r>
          </w:p>
        </w:tc>
        <w:tc>
          <w:tcPr>
            <w:tcW w:w="536" w:type="dxa"/>
            <w:tcBorders>
              <w:top w:val="nil"/>
              <w:left w:val="single" w:sz="4" w:space="0" w:color="000000"/>
              <w:bottom w:val="nil"/>
              <w:right w:val="nil"/>
            </w:tcBorders>
            <w:shd w:val="clear" w:color="auto" w:fill="FFFFFF" w:themeFill="background1"/>
            <w:vAlign w:val="center"/>
          </w:tcPr>
          <w:p w14:paraId="58D4676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063DE7">
              <w:rPr>
                <w:color w:val="000000"/>
                <w:sz w:val="18"/>
                <w:szCs w:val="18"/>
              </w:rPr>
              <w:t>104</w:t>
            </w:r>
          </w:p>
        </w:tc>
        <w:tc>
          <w:tcPr>
            <w:tcW w:w="567" w:type="dxa"/>
            <w:tcBorders>
              <w:top w:val="nil"/>
              <w:left w:val="nil"/>
              <w:bottom w:val="nil"/>
              <w:right w:val="nil"/>
            </w:tcBorders>
            <w:shd w:val="clear" w:color="auto" w:fill="FFFFFF" w:themeFill="background1"/>
            <w:vAlign w:val="center"/>
          </w:tcPr>
          <w:p w14:paraId="6790001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51.5</w:t>
            </w:r>
          </w:p>
        </w:tc>
        <w:tc>
          <w:tcPr>
            <w:tcW w:w="1146" w:type="dxa"/>
            <w:tcBorders>
              <w:top w:val="nil"/>
              <w:left w:val="nil"/>
              <w:bottom w:val="nil"/>
              <w:right w:val="single" w:sz="4" w:space="0" w:color="000000"/>
            </w:tcBorders>
            <w:shd w:val="clear" w:color="auto" w:fill="FFFFFF" w:themeFill="background1"/>
            <w:vAlign w:val="center"/>
          </w:tcPr>
          <w:p w14:paraId="1A6016C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(44.8, 58.3)</w:t>
            </w:r>
          </w:p>
        </w:tc>
        <w:tc>
          <w:tcPr>
            <w:tcW w:w="536" w:type="dxa"/>
            <w:tcBorders>
              <w:top w:val="nil"/>
              <w:left w:val="single" w:sz="4" w:space="0" w:color="000000"/>
              <w:bottom w:val="nil"/>
              <w:right w:val="nil"/>
            </w:tcBorders>
            <w:shd w:val="clear" w:color="auto" w:fill="FFFFFF" w:themeFill="background1"/>
            <w:vAlign w:val="center"/>
          </w:tcPr>
          <w:p w14:paraId="7356680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063DE7">
              <w:rPr>
                <w:color w:val="000000"/>
                <w:sz w:val="18"/>
                <w:szCs w:val="18"/>
              </w:rPr>
              <w:t>100</w:t>
            </w:r>
          </w:p>
        </w:tc>
        <w:tc>
          <w:tcPr>
            <w:tcW w:w="576" w:type="dxa"/>
            <w:tcBorders>
              <w:top w:val="nil"/>
              <w:left w:val="nil"/>
              <w:bottom w:val="nil"/>
              <w:right w:val="nil"/>
            </w:tcBorders>
            <w:shd w:val="clear" w:color="auto" w:fill="FFFFFF" w:themeFill="background1"/>
            <w:vAlign w:val="center"/>
          </w:tcPr>
          <w:p w14:paraId="54E25E1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52.5</w:t>
            </w:r>
          </w:p>
        </w:tc>
        <w:tc>
          <w:tcPr>
            <w:tcW w:w="1146" w:type="dxa"/>
            <w:tcBorders>
              <w:top w:val="nil"/>
              <w:left w:val="nil"/>
              <w:bottom w:val="nil"/>
              <w:right w:val="nil"/>
            </w:tcBorders>
            <w:shd w:val="clear" w:color="auto" w:fill="FFFFFF" w:themeFill="background1"/>
            <w:vAlign w:val="center"/>
          </w:tcPr>
          <w:p w14:paraId="0B40680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(44.8, 60.2)</w:t>
            </w:r>
          </w:p>
        </w:tc>
      </w:tr>
      <w:tr w:rsidR="009118DA" w:rsidRPr="00063DE7" w14:paraId="3F372035"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57A2DF00" w14:textId="77777777" w:rsidR="003D7BB5" w:rsidRPr="00063DE7" w:rsidRDefault="003D7BB5" w:rsidP="00DD0F28">
            <w:pPr>
              <w:keepNext/>
              <w:spacing w:before="20" w:after="20"/>
              <w:ind w:left="176"/>
              <w:rPr>
                <w:rFonts w:eastAsiaTheme="minorEastAsia"/>
                <w:b w:val="0"/>
                <w:sz w:val="18"/>
                <w:szCs w:val="18"/>
                <w:lang w:eastAsia="en-US"/>
              </w:rPr>
            </w:pPr>
            <w:r w:rsidRPr="00063DE7">
              <w:rPr>
                <w:rFonts w:eastAsiaTheme="minorEastAsia"/>
                <w:b w:val="0"/>
                <w:sz w:val="18"/>
                <w:szCs w:val="18"/>
                <w:lang w:eastAsia="en-US"/>
              </w:rPr>
              <w:t>With one person</w:t>
            </w:r>
          </w:p>
        </w:tc>
        <w:tc>
          <w:tcPr>
            <w:tcW w:w="567" w:type="dxa"/>
            <w:tcBorders>
              <w:top w:val="nil"/>
              <w:left w:val="nil"/>
              <w:bottom w:val="nil"/>
              <w:right w:val="nil"/>
            </w:tcBorders>
            <w:noWrap/>
            <w:vAlign w:val="center"/>
          </w:tcPr>
          <w:p w14:paraId="1E51EB0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89</w:t>
            </w:r>
          </w:p>
        </w:tc>
        <w:tc>
          <w:tcPr>
            <w:tcW w:w="567" w:type="dxa"/>
            <w:tcBorders>
              <w:top w:val="nil"/>
              <w:left w:val="nil"/>
              <w:bottom w:val="nil"/>
              <w:right w:val="nil"/>
            </w:tcBorders>
            <w:noWrap/>
            <w:vAlign w:val="center"/>
          </w:tcPr>
          <w:p w14:paraId="47B13D5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20.4</w:t>
            </w:r>
          </w:p>
        </w:tc>
        <w:tc>
          <w:tcPr>
            <w:tcW w:w="1146" w:type="dxa"/>
            <w:tcBorders>
              <w:top w:val="nil"/>
              <w:left w:val="nil"/>
              <w:bottom w:val="nil"/>
              <w:right w:val="single" w:sz="4" w:space="0" w:color="auto"/>
            </w:tcBorders>
            <w:noWrap/>
            <w:vAlign w:val="center"/>
          </w:tcPr>
          <w:p w14:paraId="758ADA0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(17.3, 23.5)</w:t>
            </w:r>
          </w:p>
        </w:tc>
        <w:tc>
          <w:tcPr>
            <w:tcW w:w="516" w:type="dxa"/>
            <w:tcBorders>
              <w:top w:val="nil"/>
              <w:left w:val="single" w:sz="4" w:space="0" w:color="auto"/>
              <w:bottom w:val="nil"/>
              <w:right w:val="nil"/>
            </w:tcBorders>
            <w:noWrap/>
            <w:vAlign w:val="center"/>
          </w:tcPr>
          <w:p w14:paraId="6ADABA1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58</w:t>
            </w:r>
          </w:p>
        </w:tc>
        <w:tc>
          <w:tcPr>
            <w:tcW w:w="567" w:type="dxa"/>
            <w:tcBorders>
              <w:top w:val="nil"/>
              <w:left w:val="nil"/>
              <w:bottom w:val="nil"/>
              <w:right w:val="nil"/>
            </w:tcBorders>
            <w:noWrap/>
            <w:vAlign w:val="center"/>
          </w:tcPr>
          <w:p w14:paraId="64231C0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22.4</w:t>
            </w:r>
          </w:p>
        </w:tc>
        <w:tc>
          <w:tcPr>
            <w:tcW w:w="1146" w:type="dxa"/>
            <w:tcBorders>
              <w:top w:val="nil"/>
              <w:left w:val="nil"/>
              <w:bottom w:val="nil"/>
              <w:right w:val="single" w:sz="4" w:space="0" w:color="000000"/>
            </w:tcBorders>
            <w:shd w:val="clear" w:color="auto" w:fill="FFFFFF" w:themeFill="background1"/>
            <w:noWrap/>
            <w:vAlign w:val="center"/>
          </w:tcPr>
          <w:p w14:paraId="31F7915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(17.8, 27.0)</w:t>
            </w:r>
          </w:p>
        </w:tc>
        <w:tc>
          <w:tcPr>
            <w:tcW w:w="536" w:type="dxa"/>
            <w:tcBorders>
              <w:top w:val="nil"/>
              <w:left w:val="single" w:sz="4" w:space="0" w:color="000000"/>
              <w:bottom w:val="nil"/>
              <w:right w:val="nil"/>
            </w:tcBorders>
            <w:shd w:val="clear" w:color="auto" w:fill="FFFFFF" w:themeFill="background1"/>
            <w:vAlign w:val="center"/>
          </w:tcPr>
          <w:p w14:paraId="018E703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40</w:t>
            </w:r>
          </w:p>
        </w:tc>
        <w:tc>
          <w:tcPr>
            <w:tcW w:w="567" w:type="dxa"/>
            <w:tcBorders>
              <w:top w:val="nil"/>
              <w:left w:val="nil"/>
              <w:bottom w:val="nil"/>
              <w:right w:val="nil"/>
            </w:tcBorders>
            <w:shd w:val="clear" w:color="auto" w:fill="FFFFFF" w:themeFill="background1"/>
            <w:vAlign w:val="center"/>
          </w:tcPr>
          <w:p w14:paraId="5073089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19.8</w:t>
            </w:r>
          </w:p>
        </w:tc>
        <w:tc>
          <w:tcPr>
            <w:tcW w:w="1146" w:type="dxa"/>
            <w:tcBorders>
              <w:top w:val="nil"/>
              <w:left w:val="nil"/>
              <w:bottom w:val="nil"/>
              <w:right w:val="single" w:sz="4" w:space="0" w:color="000000"/>
            </w:tcBorders>
            <w:shd w:val="clear" w:color="auto" w:fill="FFFFFF" w:themeFill="background1"/>
            <w:vAlign w:val="center"/>
          </w:tcPr>
          <w:p w14:paraId="681DDF0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(13.6, 26.0)</w:t>
            </w:r>
          </w:p>
        </w:tc>
        <w:tc>
          <w:tcPr>
            <w:tcW w:w="536" w:type="dxa"/>
            <w:tcBorders>
              <w:top w:val="nil"/>
              <w:left w:val="single" w:sz="4" w:space="0" w:color="000000"/>
              <w:bottom w:val="nil"/>
              <w:right w:val="nil"/>
            </w:tcBorders>
            <w:shd w:val="clear" w:color="auto" w:fill="FFFFFF" w:themeFill="background1"/>
            <w:vAlign w:val="center"/>
          </w:tcPr>
          <w:p w14:paraId="5D00ED3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35</w:t>
            </w:r>
          </w:p>
        </w:tc>
        <w:tc>
          <w:tcPr>
            <w:tcW w:w="576" w:type="dxa"/>
            <w:tcBorders>
              <w:top w:val="nil"/>
              <w:left w:val="nil"/>
              <w:bottom w:val="nil"/>
              <w:right w:val="nil"/>
            </w:tcBorders>
            <w:shd w:val="clear" w:color="auto" w:fill="FFFFFF" w:themeFill="background1"/>
            <w:vAlign w:val="center"/>
          </w:tcPr>
          <w:p w14:paraId="079A797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18.3</w:t>
            </w:r>
          </w:p>
        </w:tc>
        <w:tc>
          <w:tcPr>
            <w:tcW w:w="1146" w:type="dxa"/>
            <w:tcBorders>
              <w:top w:val="nil"/>
              <w:left w:val="nil"/>
              <w:bottom w:val="nil"/>
              <w:right w:val="nil"/>
            </w:tcBorders>
            <w:shd w:val="clear" w:color="auto" w:fill="FFFFFF" w:themeFill="background1"/>
            <w:vAlign w:val="center"/>
          </w:tcPr>
          <w:p w14:paraId="4C3242B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(10.9, 25.8)</w:t>
            </w:r>
          </w:p>
        </w:tc>
      </w:tr>
      <w:tr w:rsidR="009118DA" w:rsidRPr="00063DE7" w14:paraId="1EC2D68F"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single" w:sz="4" w:space="0" w:color="auto"/>
              <w:right w:val="nil"/>
            </w:tcBorders>
          </w:tcPr>
          <w:p w14:paraId="40DB5909" w14:textId="77777777" w:rsidR="003D7BB5" w:rsidRPr="00063DE7" w:rsidRDefault="003D7BB5" w:rsidP="00DD0F28">
            <w:pPr>
              <w:spacing w:before="20" w:after="20"/>
              <w:ind w:left="176"/>
              <w:rPr>
                <w:rFonts w:eastAsiaTheme="minorEastAsia"/>
                <w:b w:val="0"/>
                <w:sz w:val="18"/>
                <w:szCs w:val="18"/>
                <w:lang w:eastAsia="en-US"/>
              </w:rPr>
            </w:pPr>
            <w:r w:rsidRPr="00063DE7">
              <w:rPr>
                <w:rFonts w:eastAsiaTheme="minorEastAsia"/>
                <w:b w:val="0"/>
                <w:sz w:val="18"/>
                <w:szCs w:val="18"/>
                <w:lang w:eastAsia="en-US"/>
              </w:rPr>
              <w:t>With several people/a group</w:t>
            </w:r>
          </w:p>
        </w:tc>
        <w:tc>
          <w:tcPr>
            <w:tcW w:w="567" w:type="dxa"/>
            <w:tcBorders>
              <w:top w:val="nil"/>
              <w:left w:val="nil"/>
              <w:bottom w:val="single" w:sz="4" w:space="0" w:color="auto"/>
              <w:right w:val="nil"/>
            </w:tcBorders>
            <w:noWrap/>
            <w:vAlign w:val="center"/>
          </w:tcPr>
          <w:p w14:paraId="39F3888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99</w:t>
            </w:r>
          </w:p>
        </w:tc>
        <w:tc>
          <w:tcPr>
            <w:tcW w:w="567" w:type="dxa"/>
            <w:tcBorders>
              <w:top w:val="nil"/>
              <w:left w:val="nil"/>
              <w:bottom w:val="single" w:sz="4" w:space="0" w:color="auto"/>
              <w:right w:val="nil"/>
            </w:tcBorders>
            <w:noWrap/>
            <w:vAlign w:val="center"/>
          </w:tcPr>
          <w:p w14:paraId="4ECAAB1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22.7</w:t>
            </w:r>
          </w:p>
        </w:tc>
        <w:tc>
          <w:tcPr>
            <w:tcW w:w="1146" w:type="dxa"/>
            <w:tcBorders>
              <w:top w:val="nil"/>
              <w:left w:val="nil"/>
              <w:bottom w:val="single" w:sz="4" w:space="0" w:color="auto"/>
              <w:right w:val="single" w:sz="4" w:space="0" w:color="auto"/>
            </w:tcBorders>
            <w:noWrap/>
            <w:vAlign w:val="center"/>
          </w:tcPr>
          <w:p w14:paraId="5011923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(19.4, 26.1)</w:t>
            </w:r>
          </w:p>
        </w:tc>
        <w:tc>
          <w:tcPr>
            <w:tcW w:w="516" w:type="dxa"/>
            <w:tcBorders>
              <w:top w:val="nil"/>
              <w:left w:val="single" w:sz="4" w:space="0" w:color="auto"/>
              <w:bottom w:val="single" w:sz="4" w:space="0" w:color="auto"/>
              <w:right w:val="nil"/>
            </w:tcBorders>
            <w:noWrap/>
            <w:vAlign w:val="center"/>
          </w:tcPr>
          <w:p w14:paraId="4D22A55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64</w:t>
            </w:r>
          </w:p>
        </w:tc>
        <w:tc>
          <w:tcPr>
            <w:tcW w:w="567" w:type="dxa"/>
            <w:tcBorders>
              <w:top w:val="nil"/>
              <w:left w:val="nil"/>
              <w:bottom w:val="single" w:sz="4" w:space="0" w:color="auto"/>
              <w:right w:val="nil"/>
            </w:tcBorders>
            <w:noWrap/>
            <w:vAlign w:val="center"/>
          </w:tcPr>
          <w:p w14:paraId="452EBDC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24.6</w:t>
            </w:r>
          </w:p>
        </w:tc>
        <w:tc>
          <w:tcPr>
            <w:tcW w:w="1146" w:type="dxa"/>
            <w:tcBorders>
              <w:top w:val="nil"/>
              <w:left w:val="nil"/>
              <w:bottom w:val="single" w:sz="4" w:space="0" w:color="auto"/>
              <w:right w:val="single" w:sz="4" w:space="0" w:color="000000"/>
            </w:tcBorders>
            <w:shd w:val="clear" w:color="auto" w:fill="FFFFFF" w:themeFill="background1"/>
            <w:noWrap/>
            <w:vAlign w:val="center"/>
          </w:tcPr>
          <w:p w14:paraId="2D33185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(19.7, 29.5)</w:t>
            </w:r>
          </w:p>
        </w:tc>
        <w:tc>
          <w:tcPr>
            <w:tcW w:w="536" w:type="dxa"/>
            <w:tcBorders>
              <w:top w:val="nil"/>
              <w:left w:val="single" w:sz="4" w:space="0" w:color="000000"/>
              <w:bottom w:val="single" w:sz="4" w:space="0" w:color="auto"/>
              <w:right w:val="nil"/>
            </w:tcBorders>
            <w:shd w:val="clear" w:color="auto" w:fill="FFFFFF" w:themeFill="background1"/>
            <w:vAlign w:val="center"/>
          </w:tcPr>
          <w:p w14:paraId="1C3A93E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58</w:t>
            </w:r>
          </w:p>
        </w:tc>
        <w:tc>
          <w:tcPr>
            <w:tcW w:w="567" w:type="dxa"/>
            <w:tcBorders>
              <w:top w:val="nil"/>
              <w:left w:val="nil"/>
              <w:bottom w:val="single" w:sz="4" w:space="0" w:color="auto"/>
              <w:right w:val="nil"/>
            </w:tcBorders>
            <w:shd w:val="clear" w:color="auto" w:fill="FFFFFF" w:themeFill="background1"/>
            <w:vAlign w:val="center"/>
          </w:tcPr>
          <w:p w14:paraId="0E49093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28.6</w:t>
            </w:r>
          </w:p>
        </w:tc>
        <w:tc>
          <w:tcPr>
            <w:tcW w:w="1146" w:type="dxa"/>
            <w:tcBorders>
              <w:top w:val="nil"/>
              <w:left w:val="nil"/>
              <w:bottom w:val="single" w:sz="4" w:space="0" w:color="auto"/>
              <w:right w:val="single" w:sz="4" w:space="0" w:color="000000"/>
            </w:tcBorders>
            <w:shd w:val="clear" w:color="auto" w:fill="FFFFFF" w:themeFill="background1"/>
            <w:vAlign w:val="center"/>
          </w:tcPr>
          <w:p w14:paraId="22F460D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(22.7, 34.6)</w:t>
            </w:r>
          </w:p>
        </w:tc>
        <w:tc>
          <w:tcPr>
            <w:tcW w:w="536" w:type="dxa"/>
            <w:tcBorders>
              <w:top w:val="nil"/>
              <w:left w:val="single" w:sz="4" w:space="0" w:color="000000"/>
              <w:bottom w:val="single" w:sz="4" w:space="0" w:color="auto"/>
              <w:right w:val="nil"/>
            </w:tcBorders>
            <w:shd w:val="clear" w:color="auto" w:fill="FFFFFF" w:themeFill="background1"/>
            <w:vAlign w:val="center"/>
          </w:tcPr>
          <w:p w14:paraId="1433353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55</w:t>
            </w:r>
          </w:p>
        </w:tc>
        <w:tc>
          <w:tcPr>
            <w:tcW w:w="576" w:type="dxa"/>
            <w:tcBorders>
              <w:top w:val="nil"/>
              <w:left w:val="nil"/>
              <w:bottom w:val="single" w:sz="4" w:space="0" w:color="auto"/>
              <w:right w:val="nil"/>
            </w:tcBorders>
            <w:shd w:val="clear" w:color="auto" w:fill="FFFFFF" w:themeFill="background1"/>
            <w:vAlign w:val="center"/>
          </w:tcPr>
          <w:p w14:paraId="0B8CC85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29.2</w:t>
            </w:r>
          </w:p>
        </w:tc>
        <w:tc>
          <w:tcPr>
            <w:tcW w:w="1146" w:type="dxa"/>
            <w:tcBorders>
              <w:top w:val="nil"/>
              <w:left w:val="nil"/>
              <w:bottom w:val="single" w:sz="4" w:space="0" w:color="auto"/>
              <w:right w:val="nil"/>
            </w:tcBorders>
            <w:shd w:val="clear" w:color="auto" w:fill="FFFFFF" w:themeFill="background1"/>
            <w:vAlign w:val="center"/>
          </w:tcPr>
          <w:p w14:paraId="32EF3B4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(22.5, 35.8)</w:t>
            </w:r>
          </w:p>
        </w:tc>
      </w:tr>
    </w:tbl>
    <w:p w14:paraId="33AE00C5" w14:textId="77777777" w:rsidR="003D7BB5" w:rsidRPr="00063DE7" w:rsidRDefault="003D7BB5" w:rsidP="003D7BB5">
      <w:pPr>
        <w:ind w:left="426"/>
        <w:rPr>
          <w:sz w:val="18"/>
        </w:rPr>
      </w:pPr>
      <w:r w:rsidRPr="00063DE7">
        <w:rPr>
          <w:sz w:val="18"/>
        </w:rPr>
        <w:t>Data weighted for 2013 Census data (all waves) and attrition (Waves 2, 3 and 4)</w:t>
      </w:r>
    </w:p>
    <w:p w14:paraId="356050B8" w14:textId="77777777" w:rsidR="003D7BB5" w:rsidRPr="00063DE7" w:rsidRDefault="003D7BB5" w:rsidP="003D7BB5">
      <w:pPr>
        <w:pStyle w:val="RepNormal"/>
        <w:ind w:left="426"/>
        <w:rPr>
          <w:sz w:val="18"/>
        </w:rPr>
      </w:pPr>
      <w:r w:rsidRPr="00063DE7">
        <w:rPr>
          <w:sz w:val="18"/>
        </w:rPr>
        <w:t>Wave 1 N=6,251; Wave 2 N=3,745; Wave 3 N=3,115; Wave 4 N=2,770</w:t>
      </w:r>
    </w:p>
    <w:p w14:paraId="4B0583CD" w14:textId="77777777" w:rsidR="003D7BB5" w:rsidRDefault="003D7BB5" w:rsidP="003D7BB5">
      <w:pPr>
        <w:ind w:left="426"/>
        <w:rPr>
          <w:rFonts w:eastAsiaTheme="minorEastAsia"/>
          <w:sz w:val="16"/>
          <w:szCs w:val="18"/>
          <w:lang w:eastAsia="en-US"/>
        </w:rPr>
      </w:pPr>
      <w:r w:rsidRPr="00063DE7">
        <w:rPr>
          <w:rFonts w:eastAsiaTheme="minorEastAsia"/>
          <w:b/>
          <w:sz w:val="18"/>
          <w:szCs w:val="18"/>
          <w:vertAlign w:val="superscript"/>
          <w:lang w:eastAsia="en-US"/>
        </w:rPr>
        <w:t>†</w:t>
      </w:r>
      <w:r w:rsidRPr="00063DE7">
        <w:rPr>
          <w:rFonts w:eastAsiaTheme="minorEastAsia"/>
          <w:b/>
          <w:sz w:val="18"/>
          <w:szCs w:val="18"/>
          <w:lang w:eastAsia="en-US"/>
        </w:rPr>
        <w:t xml:space="preserve"> </w:t>
      </w:r>
      <w:r w:rsidRPr="00063DE7">
        <w:rPr>
          <w:rFonts w:eastAsiaTheme="minorEastAsia"/>
          <w:sz w:val="18"/>
          <w:szCs w:val="18"/>
          <w:lang w:eastAsia="en-US"/>
        </w:rPr>
        <w:t>Not included in other overseas categories</w:t>
      </w:r>
      <w:r>
        <w:rPr>
          <w:rFonts w:eastAsiaTheme="minorEastAsia"/>
          <w:sz w:val="16"/>
          <w:szCs w:val="18"/>
          <w:lang w:eastAsia="en-US"/>
        </w:rPr>
        <w:tab/>
      </w:r>
    </w:p>
    <w:p w14:paraId="2D9E2AF6" w14:textId="77777777" w:rsidR="003D7BB5" w:rsidRPr="00C10E50" w:rsidRDefault="003D7BB5" w:rsidP="003D7BB5">
      <w:pPr>
        <w:spacing w:after="200" w:line="276" w:lineRule="auto"/>
        <w:ind w:left="426"/>
        <w:rPr>
          <w:sz w:val="18"/>
        </w:rPr>
      </w:pPr>
      <w:r w:rsidRPr="00C10E50">
        <w:rPr>
          <w:sz w:val="18"/>
        </w:rPr>
        <w:t>! Meaningful confidence intervals not calculable due to small sample size</w:t>
      </w:r>
    </w:p>
    <w:p w14:paraId="27E2F0E4" w14:textId="77777777" w:rsidR="003D7BB5" w:rsidRDefault="003D7BB5">
      <w:pPr>
        <w:spacing w:after="200" w:line="276" w:lineRule="auto"/>
        <w:rPr>
          <w:rFonts w:eastAsiaTheme="majorEastAsia" w:cstheme="majorBidi"/>
          <w:b/>
          <w:bCs/>
          <w:caps/>
          <w:szCs w:val="28"/>
          <w:lang w:eastAsia="en-US"/>
        </w:rPr>
      </w:pPr>
      <w:r>
        <w:br w:type="page"/>
      </w:r>
    </w:p>
    <w:p w14:paraId="48402648" w14:textId="77777777" w:rsidR="003D7BB5" w:rsidRDefault="003D7BB5" w:rsidP="003D7BB5">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pPr>
      <w:bookmarkStart w:id="202" w:name="_Toc504488404"/>
      <w:r>
        <w:t>APPENDIX 11:</w:t>
      </w:r>
      <w:r>
        <w:br/>
      </w:r>
      <w:r>
        <w:rPr>
          <w:rFonts w:cs="Times New Roman"/>
          <w:caps w:val="0"/>
        </w:rPr>
        <w:t>Gambling behaviour in Waves 1, 2, 3 and 4 - Pacific</w:t>
      </w:r>
      <w:bookmarkEnd w:id="202"/>
    </w:p>
    <w:p w14:paraId="60096E9F" w14:textId="77777777" w:rsidR="003D7BB5" w:rsidRPr="00BA05A5" w:rsidRDefault="003D7BB5" w:rsidP="003D7BB5"/>
    <w:tbl>
      <w:tblPr>
        <w:tblStyle w:val="LightShading4"/>
        <w:tblW w:w="12861" w:type="dxa"/>
        <w:jc w:val="center"/>
        <w:tblLayout w:type="fixed"/>
        <w:tblLook w:val="06A0" w:firstRow="1" w:lastRow="0" w:firstColumn="1" w:lastColumn="0" w:noHBand="1" w:noVBand="1"/>
      </w:tblPr>
      <w:tblGrid>
        <w:gridCol w:w="3997"/>
        <w:gridCol w:w="536"/>
        <w:gridCol w:w="567"/>
        <w:gridCol w:w="1146"/>
        <w:gridCol w:w="456"/>
        <w:gridCol w:w="621"/>
        <w:gridCol w:w="1146"/>
        <w:gridCol w:w="456"/>
        <w:gridCol w:w="567"/>
        <w:gridCol w:w="1146"/>
        <w:gridCol w:w="456"/>
        <w:gridCol w:w="621"/>
        <w:gridCol w:w="1146"/>
      </w:tblGrid>
      <w:tr w:rsidR="003D7BB5" w:rsidRPr="00D76D7F" w14:paraId="043952F1" w14:textId="77777777" w:rsidTr="00DD0F2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997" w:type="dxa"/>
            <w:vMerge w:val="restart"/>
            <w:tcBorders>
              <w:bottom w:val="single" w:sz="4" w:space="0" w:color="auto"/>
            </w:tcBorders>
            <w:vAlign w:val="bottom"/>
            <w:hideMark/>
          </w:tcPr>
          <w:p w14:paraId="64E5BB20" w14:textId="77777777" w:rsidR="003D7BB5" w:rsidRPr="00D76D7F" w:rsidRDefault="003D7BB5" w:rsidP="00DD0F28">
            <w:pPr>
              <w:spacing w:before="20" w:after="20"/>
              <w:rPr>
                <w:rFonts w:eastAsiaTheme="minorEastAsia"/>
                <w:sz w:val="18"/>
                <w:szCs w:val="18"/>
                <w:lang w:eastAsia="en-US"/>
              </w:rPr>
            </w:pPr>
            <w:r w:rsidRPr="00D76D7F">
              <w:rPr>
                <w:rFonts w:eastAsiaTheme="minorEastAsia"/>
                <w:sz w:val="18"/>
                <w:szCs w:val="18"/>
              </w:rPr>
              <w:t>Gambling participation-related variables</w:t>
            </w:r>
          </w:p>
        </w:tc>
        <w:tc>
          <w:tcPr>
            <w:tcW w:w="2249" w:type="dxa"/>
            <w:gridSpan w:val="3"/>
            <w:tcBorders>
              <w:bottom w:val="single" w:sz="4" w:space="0" w:color="auto"/>
              <w:right w:val="single" w:sz="4" w:space="0" w:color="auto"/>
            </w:tcBorders>
            <w:noWrap/>
            <w:vAlign w:val="center"/>
            <w:hideMark/>
          </w:tcPr>
          <w:p w14:paraId="5C48B402" w14:textId="77777777" w:rsidR="003D7BB5" w:rsidRPr="00D76D7F" w:rsidRDefault="003D7BB5" w:rsidP="00DD0F2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8"/>
                <w:szCs w:val="18"/>
                <w:lang w:eastAsia="en-US"/>
              </w:rPr>
            </w:pPr>
            <w:r w:rsidRPr="00D76D7F">
              <w:rPr>
                <w:rFonts w:eastAsiaTheme="minorEastAsia"/>
                <w:sz w:val="18"/>
                <w:szCs w:val="18"/>
              </w:rPr>
              <w:t>Wave 1</w:t>
            </w:r>
          </w:p>
        </w:tc>
        <w:tc>
          <w:tcPr>
            <w:tcW w:w="2223" w:type="dxa"/>
            <w:gridSpan w:val="3"/>
            <w:tcBorders>
              <w:left w:val="single" w:sz="4" w:space="0" w:color="auto"/>
              <w:bottom w:val="single" w:sz="4" w:space="0" w:color="auto"/>
            </w:tcBorders>
            <w:vAlign w:val="center"/>
          </w:tcPr>
          <w:p w14:paraId="6C2E9474" w14:textId="77777777" w:rsidR="003D7BB5" w:rsidRPr="00D76D7F" w:rsidRDefault="003D7BB5" w:rsidP="00DD0F2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D76D7F">
              <w:rPr>
                <w:rFonts w:eastAsiaTheme="minorEastAsia"/>
                <w:sz w:val="18"/>
                <w:szCs w:val="18"/>
                <w:lang w:eastAsia="en-US"/>
              </w:rPr>
              <w:t>Wave 2</w:t>
            </w:r>
          </w:p>
        </w:tc>
        <w:tc>
          <w:tcPr>
            <w:tcW w:w="2169" w:type="dxa"/>
            <w:gridSpan w:val="3"/>
            <w:tcBorders>
              <w:left w:val="single" w:sz="4" w:space="0" w:color="auto"/>
              <w:bottom w:val="single" w:sz="4" w:space="0" w:color="auto"/>
            </w:tcBorders>
          </w:tcPr>
          <w:p w14:paraId="52021D47" w14:textId="77777777" w:rsidR="003D7BB5" w:rsidRPr="00D76D7F" w:rsidRDefault="003D7BB5" w:rsidP="00DD0F2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D76D7F">
              <w:rPr>
                <w:rFonts w:eastAsiaTheme="minorEastAsia"/>
                <w:sz w:val="18"/>
                <w:szCs w:val="18"/>
                <w:lang w:eastAsia="en-US"/>
              </w:rPr>
              <w:t>Wave 3</w:t>
            </w:r>
          </w:p>
        </w:tc>
        <w:tc>
          <w:tcPr>
            <w:tcW w:w="2223" w:type="dxa"/>
            <w:gridSpan w:val="3"/>
            <w:tcBorders>
              <w:left w:val="single" w:sz="4" w:space="0" w:color="auto"/>
              <w:bottom w:val="single" w:sz="4" w:space="0" w:color="auto"/>
            </w:tcBorders>
          </w:tcPr>
          <w:p w14:paraId="3629FF71" w14:textId="77777777" w:rsidR="003D7BB5" w:rsidRPr="00D76D7F" w:rsidRDefault="003D7BB5" w:rsidP="00DD0F2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D76D7F">
              <w:rPr>
                <w:rFonts w:eastAsiaTheme="minorEastAsia"/>
                <w:sz w:val="18"/>
                <w:szCs w:val="18"/>
                <w:lang w:eastAsia="en-US"/>
              </w:rPr>
              <w:t>Wave 4</w:t>
            </w:r>
          </w:p>
        </w:tc>
      </w:tr>
      <w:tr w:rsidR="003D7BB5" w:rsidRPr="00D76D7F" w14:paraId="25081730" w14:textId="77777777" w:rsidTr="00DD0F2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997" w:type="dxa"/>
            <w:vMerge/>
            <w:tcBorders>
              <w:bottom w:val="single" w:sz="4" w:space="0" w:color="auto"/>
            </w:tcBorders>
            <w:vAlign w:val="center"/>
            <w:hideMark/>
          </w:tcPr>
          <w:p w14:paraId="262FA691" w14:textId="77777777" w:rsidR="003D7BB5" w:rsidRPr="00D76D7F" w:rsidRDefault="003D7BB5" w:rsidP="00DD0F28">
            <w:pPr>
              <w:spacing w:before="20" w:after="20"/>
              <w:rPr>
                <w:rFonts w:eastAsiaTheme="minorEastAsia"/>
                <w:sz w:val="18"/>
                <w:szCs w:val="18"/>
                <w:lang w:eastAsia="en-US"/>
              </w:rPr>
            </w:pPr>
          </w:p>
        </w:tc>
        <w:tc>
          <w:tcPr>
            <w:tcW w:w="536" w:type="dxa"/>
            <w:tcBorders>
              <w:top w:val="single" w:sz="4" w:space="0" w:color="auto"/>
              <w:bottom w:val="single" w:sz="4" w:space="0" w:color="auto"/>
            </w:tcBorders>
            <w:noWrap/>
            <w:vAlign w:val="center"/>
            <w:hideMark/>
          </w:tcPr>
          <w:p w14:paraId="0D15D94D" w14:textId="77777777" w:rsidR="003D7BB5" w:rsidRPr="00D76D7F"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rPr>
              <w:t>n</w:t>
            </w:r>
          </w:p>
        </w:tc>
        <w:tc>
          <w:tcPr>
            <w:tcW w:w="567" w:type="dxa"/>
            <w:tcBorders>
              <w:top w:val="single" w:sz="4" w:space="0" w:color="auto"/>
              <w:bottom w:val="single" w:sz="4" w:space="0" w:color="auto"/>
            </w:tcBorders>
            <w:noWrap/>
            <w:vAlign w:val="center"/>
            <w:hideMark/>
          </w:tcPr>
          <w:p w14:paraId="1A3E2389" w14:textId="77777777" w:rsidR="003D7BB5" w:rsidRPr="00D76D7F"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rPr>
              <w:t>%</w:t>
            </w:r>
          </w:p>
        </w:tc>
        <w:tc>
          <w:tcPr>
            <w:tcW w:w="1146" w:type="dxa"/>
            <w:tcBorders>
              <w:top w:val="single" w:sz="4" w:space="0" w:color="auto"/>
              <w:bottom w:val="single" w:sz="4" w:space="0" w:color="auto"/>
              <w:right w:val="single" w:sz="4" w:space="0" w:color="auto"/>
            </w:tcBorders>
            <w:noWrap/>
            <w:vAlign w:val="center"/>
          </w:tcPr>
          <w:p w14:paraId="5CE5F9F6" w14:textId="77777777" w:rsidR="003D7BB5" w:rsidRPr="00D76D7F"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(95% CI)</w:t>
            </w:r>
          </w:p>
        </w:tc>
        <w:tc>
          <w:tcPr>
            <w:tcW w:w="456" w:type="dxa"/>
            <w:tcBorders>
              <w:top w:val="single" w:sz="4" w:space="0" w:color="auto"/>
              <w:left w:val="single" w:sz="4" w:space="0" w:color="auto"/>
              <w:bottom w:val="single" w:sz="4" w:space="0" w:color="auto"/>
            </w:tcBorders>
            <w:noWrap/>
            <w:vAlign w:val="center"/>
          </w:tcPr>
          <w:p w14:paraId="7DB33F3C" w14:textId="77777777" w:rsidR="003D7BB5" w:rsidRPr="00D76D7F"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n</w:t>
            </w:r>
          </w:p>
        </w:tc>
        <w:tc>
          <w:tcPr>
            <w:tcW w:w="621" w:type="dxa"/>
            <w:tcBorders>
              <w:top w:val="single" w:sz="4" w:space="0" w:color="auto"/>
              <w:bottom w:val="single" w:sz="4" w:space="0" w:color="auto"/>
            </w:tcBorders>
            <w:noWrap/>
            <w:vAlign w:val="center"/>
          </w:tcPr>
          <w:p w14:paraId="608DDE13" w14:textId="77777777" w:rsidR="003D7BB5" w:rsidRPr="00D76D7F"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w:t>
            </w:r>
          </w:p>
        </w:tc>
        <w:tc>
          <w:tcPr>
            <w:tcW w:w="1146" w:type="dxa"/>
            <w:tcBorders>
              <w:top w:val="single" w:sz="4" w:space="0" w:color="auto"/>
              <w:bottom w:val="single" w:sz="4" w:space="0" w:color="auto"/>
              <w:right w:val="single" w:sz="4" w:space="0" w:color="000000"/>
            </w:tcBorders>
            <w:shd w:val="clear" w:color="auto" w:fill="FFFFFF" w:themeFill="background1"/>
            <w:noWrap/>
            <w:vAlign w:val="center"/>
          </w:tcPr>
          <w:p w14:paraId="3D8D73B7" w14:textId="77777777" w:rsidR="003D7BB5" w:rsidRPr="00D76D7F"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D76D7F">
              <w:rPr>
                <w:rFonts w:eastAsiaTheme="minorEastAsia"/>
                <w:sz w:val="18"/>
                <w:szCs w:val="18"/>
                <w:lang w:eastAsia="en-US"/>
              </w:rPr>
              <w:t>(95% CI)</w:t>
            </w:r>
          </w:p>
        </w:tc>
        <w:tc>
          <w:tcPr>
            <w:tcW w:w="456" w:type="dxa"/>
            <w:tcBorders>
              <w:top w:val="single" w:sz="4" w:space="0" w:color="auto"/>
              <w:left w:val="single" w:sz="4" w:space="0" w:color="000000"/>
              <w:bottom w:val="single" w:sz="4" w:space="0" w:color="auto"/>
            </w:tcBorders>
            <w:shd w:val="clear" w:color="auto" w:fill="FFFFFF" w:themeFill="background1"/>
            <w:vAlign w:val="center"/>
          </w:tcPr>
          <w:p w14:paraId="769D1423" w14:textId="77777777" w:rsidR="003D7BB5" w:rsidRPr="00D76D7F"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n</w:t>
            </w:r>
          </w:p>
        </w:tc>
        <w:tc>
          <w:tcPr>
            <w:tcW w:w="567" w:type="dxa"/>
            <w:tcBorders>
              <w:top w:val="single" w:sz="4" w:space="0" w:color="auto"/>
              <w:bottom w:val="single" w:sz="4" w:space="0" w:color="auto"/>
            </w:tcBorders>
            <w:shd w:val="clear" w:color="auto" w:fill="FFFFFF" w:themeFill="background1"/>
            <w:vAlign w:val="center"/>
          </w:tcPr>
          <w:p w14:paraId="031A68B2" w14:textId="77777777" w:rsidR="003D7BB5" w:rsidRPr="00D76D7F"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w:t>
            </w:r>
          </w:p>
        </w:tc>
        <w:tc>
          <w:tcPr>
            <w:tcW w:w="1146" w:type="dxa"/>
            <w:tcBorders>
              <w:top w:val="single" w:sz="4" w:space="0" w:color="auto"/>
              <w:bottom w:val="single" w:sz="4" w:space="0" w:color="auto"/>
              <w:right w:val="single" w:sz="4" w:space="0" w:color="000000"/>
            </w:tcBorders>
            <w:shd w:val="clear" w:color="auto" w:fill="FFFFFF" w:themeFill="background1"/>
            <w:vAlign w:val="center"/>
          </w:tcPr>
          <w:p w14:paraId="272F3062" w14:textId="77777777" w:rsidR="003D7BB5" w:rsidRPr="00D76D7F"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D76D7F">
              <w:rPr>
                <w:rFonts w:eastAsiaTheme="minorEastAsia"/>
                <w:sz w:val="18"/>
                <w:szCs w:val="18"/>
                <w:lang w:eastAsia="en-US"/>
              </w:rPr>
              <w:t>(95% CI)</w:t>
            </w:r>
          </w:p>
        </w:tc>
        <w:tc>
          <w:tcPr>
            <w:tcW w:w="456" w:type="dxa"/>
            <w:tcBorders>
              <w:top w:val="single" w:sz="4" w:space="0" w:color="auto"/>
              <w:left w:val="single" w:sz="4" w:space="0" w:color="000000"/>
              <w:bottom w:val="single" w:sz="4" w:space="0" w:color="auto"/>
            </w:tcBorders>
            <w:shd w:val="clear" w:color="auto" w:fill="FFFFFF" w:themeFill="background1"/>
            <w:vAlign w:val="center"/>
          </w:tcPr>
          <w:p w14:paraId="585FF086" w14:textId="77777777" w:rsidR="003D7BB5" w:rsidRPr="00D76D7F"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n</w:t>
            </w:r>
          </w:p>
        </w:tc>
        <w:tc>
          <w:tcPr>
            <w:tcW w:w="621" w:type="dxa"/>
            <w:tcBorders>
              <w:top w:val="single" w:sz="4" w:space="0" w:color="auto"/>
              <w:bottom w:val="single" w:sz="4" w:space="0" w:color="auto"/>
            </w:tcBorders>
            <w:shd w:val="clear" w:color="auto" w:fill="FFFFFF" w:themeFill="background1"/>
            <w:vAlign w:val="center"/>
          </w:tcPr>
          <w:p w14:paraId="739B3C1D" w14:textId="77777777" w:rsidR="003D7BB5" w:rsidRPr="00D76D7F"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w:t>
            </w:r>
          </w:p>
        </w:tc>
        <w:tc>
          <w:tcPr>
            <w:tcW w:w="1146" w:type="dxa"/>
            <w:tcBorders>
              <w:top w:val="single" w:sz="4" w:space="0" w:color="auto"/>
              <w:bottom w:val="single" w:sz="4" w:space="0" w:color="auto"/>
            </w:tcBorders>
            <w:shd w:val="clear" w:color="auto" w:fill="FFFFFF" w:themeFill="background1"/>
            <w:vAlign w:val="center"/>
          </w:tcPr>
          <w:p w14:paraId="255E12E8" w14:textId="77777777" w:rsidR="003D7BB5" w:rsidRPr="00D76D7F"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D76D7F">
              <w:rPr>
                <w:rFonts w:eastAsiaTheme="minorEastAsia"/>
                <w:sz w:val="18"/>
                <w:szCs w:val="18"/>
                <w:lang w:eastAsia="en-US"/>
              </w:rPr>
              <w:t>(95% CI)</w:t>
            </w:r>
          </w:p>
        </w:tc>
      </w:tr>
      <w:tr w:rsidR="003D7BB5" w:rsidRPr="00D76D7F" w14:paraId="5328CEC8"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5100" w:type="dxa"/>
            <w:gridSpan w:val="3"/>
            <w:tcBorders>
              <w:top w:val="nil"/>
              <w:left w:val="nil"/>
              <w:bottom w:val="nil"/>
              <w:right w:val="nil"/>
            </w:tcBorders>
            <w:vAlign w:val="center"/>
          </w:tcPr>
          <w:p w14:paraId="426E5C29" w14:textId="77777777" w:rsidR="003D7BB5" w:rsidRPr="00D76D7F" w:rsidRDefault="003D7BB5" w:rsidP="00DD0F28">
            <w:pPr>
              <w:spacing w:before="20" w:after="20"/>
              <w:rPr>
                <w:rFonts w:eastAsiaTheme="minorEastAsia"/>
                <w:sz w:val="18"/>
                <w:szCs w:val="18"/>
                <w:lang w:eastAsia="en-US"/>
              </w:rPr>
            </w:pPr>
            <w:r w:rsidRPr="00D76D7F">
              <w:rPr>
                <w:rFonts w:eastAsiaTheme="minorEastAsia"/>
                <w:sz w:val="18"/>
                <w:szCs w:val="18"/>
                <w:lang w:eastAsia="en-US"/>
              </w:rPr>
              <w:t>Number of gambling activities participated in</w:t>
            </w:r>
          </w:p>
        </w:tc>
        <w:tc>
          <w:tcPr>
            <w:tcW w:w="1146" w:type="dxa"/>
            <w:tcBorders>
              <w:top w:val="nil"/>
              <w:left w:val="nil"/>
              <w:bottom w:val="nil"/>
              <w:right w:val="single" w:sz="4" w:space="0" w:color="auto"/>
            </w:tcBorders>
            <w:noWrap/>
            <w:vAlign w:val="center"/>
          </w:tcPr>
          <w:p w14:paraId="1ED274ED" w14:textId="77777777" w:rsidR="003D7BB5" w:rsidRPr="00D76D7F"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456" w:type="dxa"/>
            <w:tcBorders>
              <w:top w:val="nil"/>
              <w:left w:val="single" w:sz="4" w:space="0" w:color="auto"/>
              <w:bottom w:val="nil"/>
              <w:right w:val="nil"/>
            </w:tcBorders>
            <w:noWrap/>
            <w:vAlign w:val="center"/>
          </w:tcPr>
          <w:p w14:paraId="0ADC6E62" w14:textId="77777777" w:rsidR="003D7BB5" w:rsidRPr="00D76D7F"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nil"/>
              <w:left w:val="nil"/>
              <w:bottom w:val="nil"/>
              <w:right w:val="nil"/>
            </w:tcBorders>
            <w:noWrap/>
            <w:vAlign w:val="center"/>
          </w:tcPr>
          <w:p w14:paraId="4583679D" w14:textId="77777777" w:rsidR="003D7BB5" w:rsidRPr="00D76D7F"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FFFFFF" w:themeFill="background1"/>
            <w:noWrap/>
            <w:vAlign w:val="center"/>
          </w:tcPr>
          <w:p w14:paraId="5D2ACCD9" w14:textId="77777777" w:rsidR="003D7BB5" w:rsidRPr="00D76D7F"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456" w:type="dxa"/>
            <w:tcBorders>
              <w:top w:val="nil"/>
              <w:left w:val="single" w:sz="4" w:space="0" w:color="000000"/>
              <w:bottom w:val="nil"/>
              <w:right w:val="nil"/>
            </w:tcBorders>
            <w:vAlign w:val="center"/>
          </w:tcPr>
          <w:p w14:paraId="4E01805D" w14:textId="77777777" w:rsidR="003D7BB5" w:rsidRPr="00D76D7F"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67" w:type="dxa"/>
            <w:tcBorders>
              <w:top w:val="nil"/>
              <w:left w:val="nil"/>
              <w:bottom w:val="nil"/>
              <w:right w:val="nil"/>
            </w:tcBorders>
            <w:vAlign w:val="center"/>
          </w:tcPr>
          <w:p w14:paraId="2AA66054" w14:textId="77777777" w:rsidR="003D7BB5" w:rsidRPr="00D76D7F"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single" w:sz="4" w:space="0" w:color="000000"/>
            </w:tcBorders>
            <w:vAlign w:val="center"/>
          </w:tcPr>
          <w:p w14:paraId="4BCA499C" w14:textId="77777777" w:rsidR="003D7BB5" w:rsidRPr="00D76D7F"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456" w:type="dxa"/>
            <w:tcBorders>
              <w:top w:val="nil"/>
              <w:left w:val="single" w:sz="4" w:space="0" w:color="000000"/>
              <w:bottom w:val="nil"/>
              <w:right w:val="nil"/>
            </w:tcBorders>
            <w:vAlign w:val="center"/>
          </w:tcPr>
          <w:p w14:paraId="2A76D05F" w14:textId="77777777" w:rsidR="003D7BB5" w:rsidRPr="00D76D7F" w:rsidRDefault="003D7BB5" w:rsidP="00DD0F28">
            <w:pPr>
              <w:jc w:val="center"/>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621" w:type="dxa"/>
            <w:tcBorders>
              <w:top w:val="nil"/>
              <w:left w:val="nil"/>
              <w:bottom w:val="nil"/>
              <w:right w:val="nil"/>
            </w:tcBorders>
            <w:vAlign w:val="center"/>
          </w:tcPr>
          <w:p w14:paraId="2B24992A" w14:textId="77777777" w:rsidR="003D7BB5" w:rsidRPr="00D76D7F" w:rsidRDefault="003D7BB5" w:rsidP="00DD0F28">
            <w:pPr>
              <w:jc w:val="center"/>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nil"/>
            </w:tcBorders>
            <w:vAlign w:val="center"/>
          </w:tcPr>
          <w:p w14:paraId="3614B321" w14:textId="77777777" w:rsidR="003D7BB5" w:rsidRPr="00D76D7F" w:rsidRDefault="003D7BB5" w:rsidP="00DD0F28">
            <w:pPr>
              <w:jc w:val="center"/>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r>
      <w:tr w:rsidR="009118DA" w:rsidRPr="00D76D7F" w14:paraId="74CDEC3B"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5F91A7AB" w14:textId="77777777" w:rsidR="003D7BB5" w:rsidRPr="00D76D7F" w:rsidRDefault="003D7BB5" w:rsidP="00DD0F28">
            <w:pPr>
              <w:tabs>
                <w:tab w:val="left" w:pos="176"/>
              </w:tabs>
              <w:spacing w:before="20" w:after="20"/>
              <w:rPr>
                <w:rFonts w:eastAsiaTheme="minorEastAsia"/>
                <w:b w:val="0"/>
                <w:sz w:val="18"/>
                <w:szCs w:val="18"/>
                <w:lang w:eastAsia="en-US"/>
              </w:rPr>
            </w:pPr>
            <w:r w:rsidRPr="00D76D7F">
              <w:rPr>
                <w:rFonts w:eastAsiaTheme="minorEastAsia"/>
                <w:b w:val="0"/>
                <w:sz w:val="18"/>
                <w:szCs w:val="18"/>
                <w:lang w:eastAsia="en-US"/>
              </w:rPr>
              <w:tab/>
              <w:t>0</w:t>
            </w:r>
          </w:p>
        </w:tc>
        <w:tc>
          <w:tcPr>
            <w:tcW w:w="536" w:type="dxa"/>
            <w:tcBorders>
              <w:top w:val="nil"/>
              <w:left w:val="nil"/>
              <w:bottom w:val="nil"/>
              <w:right w:val="nil"/>
            </w:tcBorders>
            <w:noWrap/>
            <w:vAlign w:val="center"/>
          </w:tcPr>
          <w:p w14:paraId="71DA433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79</w:t>
            </w:r>
          </w:p>
        </w:tc>
        <w:tc>
          <w:tcPr>
            <w:tcW w:w="567" w:type="dxa"/>
            <w:tcBorders>
              <w:top w:val="nil"/>
              <w:left w:val="nil"/>
              <w:bottom w:val="nil"/>
              <w:right w:val="nil"/>
            </w:tcBorders>
            <w:noWrap/>
            <w:vAlign w:val="center"/>
          </w:tcPr>
          <w:p w14:paraId="5D520EC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25.7</w:t>
            </w:r>
          </w:p>
        </w:tc>
        <w:tc>
          <w:tcPr>
            <w:tcW w:w="1146" w:type="dxa"/>
            <w:tcBorders>
              <w:top w:val="nil"/>
              <w:left w:val="nil"/>
              <w:bottom w:val="nil"/>
              <w:right w:val="single" w:sz="4" w:space="0" w:color="auto"/>
            </w:tcBorders>
            <w:noWrap/>
            <w:vAlign w:val="center"/>
          </w:tcPr>
          <w:p w14:paraId="300E4C0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(22.1, 29.3)</w:t>
            </w:r>
          </w:p>
        </w:tc>
        <w:tc>
          <w:tcPr>
            <w:tcW w:w="456" w:type="dxa"/>
            <w:tcBorders>
              <w:top w:val="nil"/>
              <w:left w:val="single" w:sz="4" w:space="0" w:color="auto"/>
              <w:bottom w:val="nil"/>
              <w:right w:val="nil"/>
            </w:tcBorders>
            <w:shd w:val="clear" w:color="auto" w:fill="auto"/>
            <w:noWrap/>
            <w:vAlign w:val="center"/>
          </w:tcPr>
          <w:p w14:paraId="2F86761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53</w:t>
            </w:r>
          </w:p>
        </w:tc>
        <w:tc>
          <w:tcPr>
            <w:tcW w:w="621" w:type="dxa"/>
            <w:tcBorders>
              <w:top w:val="nil"/>
              <w:left w:val="nil"/>
              <w:bottom w:val="nil"/>
              <w:right w:val="nil"/>
            </w:tcBorders>
            <w:shd w:val="clear" w:color="auto" w:fill="auto"/>
            <w:noWrap/>
            <w:vAlign w:val="center"/>
          </w:tcPr>
          <w:p w14:paraId="546C2A6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28.7</w:t>
            </w:r>
          </w:p>
        </w:tc>
        <w:tc>
          <w:tcPr>
            <w:tcW w:w="1146" w:type="dxa"/>
            <w:tcBorders>
              <w:top w:val="nil"/>
              <w:left w:val="nil"/>
              <w:bottom w:val="nil"/>
              <w:right w:val="single" w:sz="4" w:space="0" w:color="000000"/>
            </w:tcBorders>
            <w:shd w:val="clear" w:color="auto" w:fill="auto"/>
            <w:noWrap/>
            <w:vAlign w:val="center"/>
          </w:tcPr>
          <w:p w14:paraId="54A30B5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(23.6, 33.8)</w:t>
            </w:r>
          </w:p>
        </w:tc>
        <w:tc>
          <w:tcPr>
            <w:tcW w:w="456" w:type="dxa"/>
            <w:tcBorders>
              <w:top w:val="nil"/>
              <w:left w:val="single" w:sz="4" w:space="0" w:color="000000"/>
              <w:bottom w:val="nil"/>
              <w:right w:val="nil"/>
            </w:tcBorders>
            <w:shd w:val="clear" w:color="auto" w:fill="FFFFFF" w:themeFill="background1"/>
            <w:vAlign w:val="center"/>
          </w:tcPr>
          <w:p w14:paraId="0DF7716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42</w:t>
            </w:r>
          </w:p>
        </w:tc>
        <w:tc>
          <w:tcPr>
            <w:tcW w:w="567" w:type="dxa"/>
            <w:tcBorders>
              <w:top w:val="nil"/>
              <w:left w:val="nil"/>
              <w:bottom w:val="nil"/>
              <w:right w:val="nil"/>
            </w:tcBorders>
            <w:shd w:val="clear" w:color="auto" w:fill="FFFFFF" w:themeFill="background1"/>
            <w:vAlign w:val="center"/>
          </w:tcPr>
          <w:p w14:paraId="68C68A5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28.4</w:t>
            </w:r>
          </w:p>
        </w:tc>
        <w:tc>
          <w:tcPr>
            <w:tcW w:w="1146" w:type="dxa"/>
            <w:tcBorders>
              <w:top w:val="nil"/>
              <w:left w:val="nil"/>
              <w:bottom w:val="nil"/>
              <w:right w:val="single" w:sz="4" w:space="0" w:color="000000"/>
            </w:tcBorders>
            <w:shd w:val="clear" w:color="auto" w:fill="FFFFFF" w:themeFill="background1"/>
            <w:vAlign w:val="center"/>
          </w:tcPr>
          <w:p w14:paraId="23B5B9C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(22.6, 34.2)</w:t>
            </w:r>
          </w:p>
        </w:tc>
        <w:tc>
          <w:tcPr>
            <w:tcW w:w="456" w:type="dxa"/>
            <w:tcBorders>
              <w:top w:val="nil"/>
              <w:left w:val="single" w:sz="4" w:space="0" w:color="000000"/>
              <w:bottom w:val="nil"/>
              <w:right w:val="nil"/>
            </w:tcBorders>
            <w:shd w:val="clear" w:color="auto" w:fill="FFFFFF" w:themeFill="background1"/>
            <w:vAlign w:val="center"/>
          </w:tcPr>
          <w:p w14:paraId="0DA47AB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40</w:t>
            </w:r>
          </w:p>
        </w:tc>
        <w:tc>
          <w:tcPr>
            <w:tcW w:w="621" w:type="dxa"/>
            <w:tcBorders>
              <w:top w:val="nil"/>
              <w:left w:val="nil"/>
              <w:bottom w:val="nil"/>
              <w:right w:val="nil"/>
            </w:tcBorders>
            <w:shd w:val="clear" w:color="auto" w:fill="FFFFFF" w:themeFill="background1"/>
            <w:vAlign w:val="center"/>
          </w:tcPr>
          <w:p w14:paraId="7A0437C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30.5</w:t>
            </w:r>
          </w:p>
        </w:tc>
        <w:tc>
          <w:tcPr>
            <w:tcW w:w="1146" w:type="dxa"/>
            <w:tcBorders>
              <w:top w:val="nil"/>
              <w:left w:val="nil"/>
              <w:bottom w:val="nil"/>
              <w:right w:val="nil"/>
            </w:tcBorders>
            <w:shd w:val="clear" w:color="auto" w:fill="FFFFFF" w:themeFill="background1"/>
            <w:vAlign w:val="center"/>
          </w:tcPr>
          <w:p w14:paraId="0EDDFA0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(24.4, 36.6)</w:t>
            </w:r>
          </w:p>
        </w:tc>
      </w:tr>
      <w:tr w:rsidR="009118DA" w:rsidRPr="00D76D7F" w14:paraId="204F5C1F"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1AEC7FC8" w14:textId="77777777" w:rsidR="003D7BB5" w:rsidRPr="00D76D7F" w:rsidRDefault="003D7BB5" w:rsidP="00DD0F28">
            <w:pPr>
              <w:tabs>
                <w:tab w:val="left" w:pos="176"/>
              </w:tabs>
              <w:spacing w:before="20" w:after="20"/>
              <w:rPr>
                <w:rFonts w:eastAsiaTheme="minorEastAsia"/>
                <w:b w:val="0"/>
                <w:sz w:val="18"/>
                <w:szCs w:val="18"/>
                <w:lang w:eastAsia="en-US"/>
              </w:rPr>
            </w:pPr>
            <w:r w:rsidRPr="00D76D7F">
              <w:rPr>
                <w:rFonts w:eastAsiaTheme="minorEastAsia"/>
                <w:b w:val="0"/>
                <w:sz w:val="18"/>
                <w:szCs w:val="18"/>
                <w:lang w:eastAsia="en-US"/>
              </w:rPr>
              <w:tab/>
              <w:t>1</w:t>
            </w:r>
          </w:p>
        </w:tc>
        <w:tc>
          <w:tcPr>
            <w:tcW w:w="536" w:type="dxa"/>
            <w:tcBorders>
              <w:top w:val="nil"/>
              <w:left w:val="nil"/>
              <w:bottom w:val="nil"/>
              <w:right w:val="nil"/>
            </w:tcBorders>
            <w:noWrap/>
            <w:vAlign w:val="center"/>
          </w:tcPr>
          <w:p w14:paraId="7DEEE84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62</w:t>
            </w:r>
          </w:p>
        </w:tc>
        <w:tc>
          <w:tcPr>
            <w:tcW w:w="567" w:type="dxa"/>
            <w:tcBorders>
              <w:top w:val="nil"/>
              <w:left w:val="nil"/>
              <w:bottom w:val="nil"/>
              <w:right w:val="nil"/>
            </w:tcBorders>
            <w:noWrap/>
            <w:vAlign w:val="center"/>
          </w:tcPr>
          <w:p w14:paraId="5152F19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20.0</w:t>
            </w:r>
          </w:p>
        </w:tc>
        <w:tc>
          <w:tcPr>
            <w:tcW w:w="1146" w:type="dxa"/>
            <w:tcBorders>
              <w:top w:val="nil"/>
              <w:left w:val="nil"/>
              <w:bottom w:val="nil"/>
              <w:right w:val="single" w:sz="4" w:space="0" w:color="auto"/>
            </w:tcBorders>
            <w:noWrap/>
            <w:vAlign w:val="center"/>
          </w:tcPr>
          <w:p w14:paraId="760A43F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(16.6, 23.4)</w:t>
            </w:r>
          </w:p>
        </w:tc>
        <w:tc>
          <w:tcPr>
            <w:tcW w:w="456" w:type="dxa"/>
            <w:tcBorders>
              <w:top w:val="nil"/>
              <w:left w:val="single" w:sz="4" w:space="0" w:color="auto"/>
              <w:bottom w:val="nil"/>
              <w:right w:val="nil"/>
            </w:tcBorders>
            <w:shd w:val="clear" w:color="auto" w:fill="auto"/>
            <w:noWrap/>
            <w:vAlign w:val="center"/>
          </w:tcPr>
          <w:p w14:paraId="02DEDB2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39</w:t>
            </w:r>
          </w:p>
        </w:tc>
        <w:tc>
          <w:tcPr>
            <w:tcW w:w="621" w:type="dxa"/>
            <w:tcBorders>
              <w:top w:val="nil"/>
              <w:left w:val="nil"/>
              <w:bottom w:val="nil"/>
              <w:right w:val="nil"/>
            </w:tcBorders>
            <w:shd w:val="clear" w:color="auto" w:fill="auto"/>
            <w:noWrap/>
            <w:vAlign w:val="center"/>
          </w:tcPr>
          <w:p w14:paraId="3A89975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20.8</w:t>
            </w:r>
          </w:p>
        </w:tc>
        <w:tc>
          <w:tcPr>
            <w:tcW w:w="1146" w:type="dxa"/>
            <w:tcBorders>
              <w:top w:val="nil"/>
              <w:left w:val="nil"/>
              <w:bottom w:val="nil"/>
              <w:right w:val="single" w:sz="4" w:space="0" w:color="000000"/>
            </w:tcBorders>
            <w:shd w:val="clear" w:color="auto" w:fill="auto"/>
            <w:noWrap/>
            <w:vAlign w:val="center"/>
          </w:tcPr>
          <w:p w14:paraId="4B80E03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(16.5, 25.1)</w:t>
            </w:r>
          </w:p>
        </w:tc>
        <w:tc>
          <w:tcPr>
            <w:tcW w:w="456" w:type="dxa"/>
            <w:tcBorders>
              <w:top w:val="nil"/>
              <w:left w:val="single" w:sz="4" w:space="0" w:color="000000"/>
              <w:bottom w:val="nil"/>
              <w:right w:val="nil"/>
            </w:tcBorders>
            <w:shd w:val="clear" w:color="auto" w:fill="FFFFFF" w:themeFill="background1"/>
            <w:vAlign w:val="center"/>
          </w:tcPr>
          <w:p w14:paraId="2A25AFF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32</w:t>
            </w:r>
          </w:p>
        </w:tc>
        <w:tc>
          <w:tcPr>
            <w:tcW w:w="567" w:type="dxa"/>
            <w:tcBorders>
              <w:top w:val="nil"/>
              <w:left w:val="nil"/>
              <w:bottom w:val="nil"/>
              <w:right w:val="nil"/>
            </w:tcBorders>
            <w:shd w:val="clear" w:color="auto" w:fill="FFFFFF" w:themeFill="background1"/>
            <w:vAlign w:val="center"/>
          </w:tcPr>
          <w:p w14:paraId="02DD3DE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21.1</w:t>
            </w:r>
          </w:p>
        </w:tc>
        <w:tc>
          <w:tcPr>
            <w:tcW w:w="1146" w:type="dxa"/>
            <w:tcBorders>
              <w:top w:val="nil"/>
              <w:left w:val="nil"/>
              <w:bottom w:val="nil"/>
              <w:right w:val="single" w:sz="4" w:space="0" w:color="000000"/>
            </w:tcBorders>
            <w:shd w:val="clear" w:color="auto" w:fill="FFFFFF" w:themeFill="background1"/>
            <w:vAlign w:val="center"/>
          </w:tcPr>
          <w:p w14:paraId="7C9B805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(16.4, 25.7)</w:t>
            </w:r>
          </w:p>
        </w:tc>
        <w:tc>
          <w:tcPr>
            <w:tcW w:w="456" w:type="dxa"/>
            <w:tcBorders>
              <w:top w:val="nil"/>
              <w:left w:val="single" w:sz="4" w:space="0" w:color="000000"/>
              <w:bottom w:val="nil"/>
              <w:right w:val="nil"/>
            </w:tcBorders>
            <w:shd w:val="clear" w:color="auto" w:fill="FFFFFF" w:themeFill="background1"/>
            <w:vAlign w:val="center"/>
          </w:tcPr>
          <w:p w14:paraId="749815E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28</w:t>
            </w:r>
          </w:p>
        </w:tc>
        <w:tc>
          <w:tcPr>
            <w:tcW w:w="621" w:type="dxa"/>
            <w:tcBorders>
              <w:top w:val="nil"/>
              <w:left w:val="nil"/>
              <w:bottom w:val="nil"/>
              <w:right w:val="nil"/>
            </w:tcBorders>
            <w:shd w:val="clear" w:color="auto" w:fill="FFFFFF" w:themeFill="background1"/>
            <w:vAlign w:val="center"/>
          </w:tcPr>
          <w:p w14:paraId="098E010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21.3</w:t>
            </w:r>
          </w:p>
        </w:tc>
        <w:tc>
          <w:tcPr>
            <w:tcW w:w="1146" w:type="dxa"/>
            <w:tcBorders>
              <w:top w:val="nil"/>
              <w:left w:val="nil"/>
              <w:bottom w:val="nil"/>
              <w:right w:val="nil"/>
            </w:tcBorders>
            <w:shd w:val="clear" w:color="auto" w:fill="FFFFFF" w:themeFill="background1"/>
            <w:vAlign w:val="center"/>
          </w:tcPr>
          <w:p w14:paraId="27CA8B5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(15.6, 26.9)</w:t>
            </w:r>
          </w:p>
        </w:tc>
      </w:tr>
      <w:tr w:rsidR="009118DA" w:rsidRPr="00D76D7F" w14:paraId="63DF08B1"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1F8DE5DC" w14:textId="77777777" w:rsidR="003D7BB5" w:rsidRPr="00D76D7F" w:rsidRDefault="003D7BB5" w:rsidP="00DD0F28">
            <w:pPr>
              <w:tabs>
                <w:tab w:val="left" w:pos="176"/>
              </w:tabs>
              <w:spacing w:before="20" w:after="20"/>
              <w:rPr>
                <w:rFonts w:eastAsiaTheme="minorEastAsia"/>
                <w:b w:val="0"/>
                <w:sz w:val="18"/>
                <w:szCs w:val="18"/>
                <w:lang w:eastAsia="en-US"/>
              </w:rPr>
            </w:pPr>
            <w:r w:rsidRPr="00D76D7F">
              <w:rPr>
                <w:rFonts w:eastAsiaTheme="minorEastAsia"/>
                <w:b w:val="0"/>
                <w:sz w:val="18"/>
                <w:szCs w:val="18"/>
                <w:lang w:eastAsia="en-US"/>
              </w:rPr>
              <w:tab/>
              <w:t>2</w:t>
            </w:r>
          </w:p>
        </w:tc>
        <w:tc>
          <w:tcPr>
            <w:tcW w:w="536" w:type="dxa"/>
            <w:tcBorders>
              <w:top w:val="nil"/>
              <w:left w:val="nil"/>
              <w:bottom w:val="nil"/>
              <w:right w:val="nil"/>
            </w:tcBorders>
            <w:noWrap/>
            <w:vAlign w:val="center"/>
          </w:tcPr>
          <w:p w14:paraId="21B7DF2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60</w:t>
            </w:r>
          </w:p>
        </w:tc>
        <w:tc>
          <w:tcPr>
            <w:tcW w:w="567" w:type="dxa"/>
            <w:tcBorders>
              <w:top w:val="nil"/>
              <w:left w:val="nil"/>
              <w:bottom w:val="nil"/>
              <w:right w:val="nil"/>
            </w:tcBorders>
            <w:noWrap/>
            <w:vAlign w:val="center"/>
          </w:tcPr>
          <w:p w14:paraId="25F961F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19.3</w:t>
            </w:r>
          </w:p>
        </w:tc>
        <w:tc>
          <w:tcPr>
            <w:tcW w:w="1146" w:type="dxa"/>
            <w:tcBorders>
              <w:top w:val="nil"/>
              <w:left w:val="nil"/>
              <w:bottom w:val="nil"/>
              <w:right w:val="single" w:sz="4" w:space="0" w:color="auto"/>
            </w:tcBorders>
            <w:noWrap/>
            <w:vAlign w:val="center"/>
          </w:tcPr>
          <w:p w14:paraId="6B2F34E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(16.2, 22.4)</w:t>
            </w:r>
          </w:p>
        </w:tc>
        <w:tc>
          <w:tcPr>
            <w:tcW w:w="456" w:type="dxa"/>
            <w:tcBorders>
              <w:top w:val="nil"/>
              <w:left w:val="single" w:sz="4" w:space="0" w:color="auto"/>
              <w:bottom w:val="nil"/>
              <w:right w:val="nil"/>
            </w:tcBorders>
            <w:shd w:val="clear" w:color="auto" w:fill="auto"/>
            <w:noWrap/>
            <w:vAlign w:val="center"/>
          </w:tcPr>
          <w:p w14:paraId="0D0DD11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38</w:t>
            </w:r>
          </w:p>
        </w:tc>
        <w:tc>
          <w:tcPr>
            <w:tcW w:w="621" w:type="dxa"/>
            <w:tcBorders>
              <w:top w:val="nil"/>
              <w:left w:val="nil"/>
              <w:bottom w:val="nil"/>
              <w:right w:val="nil"/>
            </w:tcBorders>
            <w:shd w:val="clear" w:color="auto" w:fill="auto"/>
            <w:noWrap/>
            <w:vAlign w:val="center"/>
          </w:tcPr>
          <w:p w14:paraId="661B68B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20.5</w:t>
            </w:r>
          </w:p>
        </w:tc>
        <w:tc>
          <w:tcPr>
            <w:tcW w:w="1146" w:type="dxa"/>
            <w:tcBorders>
              <w:top w:val="nil"/>
              <w:left w:val="nil"/>
              <w:bottom w:val="nil"/>
              <w:right w:val="single" w:sz="4" w:space="0" w:color="000000"/>
            </w:tcBorders>
            <w:shd w:val="clear" w:color="auto" w:fill="auto"/>
            <w:noWrap/>
            <w:vAlign w:val="center"/>
          </w:tcPr>
          <w:p w14:paraId="448C72D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(16.3, 24.7)</w:t>
            </w:r>
          </w:p>
        </w:tc>
        <w:tc>
          <w:tcPr>
            <w:tcW w:w="456" w:type="dxa"/>
            <w:tcBorders>
              <w:top w:val="nil"/>
              <w:left w:val="single" w:sz="4" w:space="0" w:color="000000"/>
              <w:bottom w:val="nil"/>
              <w:right w:val="nil"/>
            </w:tcBorders>
            <w:shd w:val="clear" w:color="auto" w:fill="FFFFFF" w:themeFill="background1"/>
            <w:vAlign w:val="center"/>
          </w:tcPr>
          <w:p w14:paraId="5B1E9DD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w:t>
            </w:r>
          </w:p>
        </w:tc>
        <w:tc>
          <w:tcPr>
            <w:tcW w:w="567" w:type="dxa"/>
            <w:tcBorders>
              <w:top w:val="nil"/>
              <w:left w:val="nil"/>
              <w:bottom w:val="nil"/>
              <w:right w:val="nil"/>
            </w:tcBorders>
            <w:shd w:val="clear" w:color="auto" w:fill="FFFFFF" w:themeFill="background1"/>
            <w:vAlign w:val="center"/>
          </w:tcPr>
          <w:p w14:paraId="40990A2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20.4</w:t>
            </w:r>
          </w:p>
        </w:tc>
        <w:tc>
          <w:tcPr>
            <w:tcW w:w="1146" w:type="dxa"/>
            <w:tcBorders>
              <w:top w:val="nil"/>
              <w:left w:val="nil"/>
              <w:bottom w:val="nil"/>
              <w:right w:val="single" w:sz="4" w:space="0" w:color="000000"/>
            </w:tcBorders>
            <w:shd w:val="clear" w:color="auto" w:fill="FFFFFF" w:themeFill="background1"/>
            <w:vAlign w:val="center"/>
          </w:tcPr>
          <w:p w14:paraId="4A267E7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(15.5, 25.2)</w:t>
            </w:r>
          </w:p>
        </w:tc>
        <w:tc>
          <w:tcPr>
            <w:tcW w:w="456" w:type="dxa"/>
            <w:tcBorders>
              <w:top w:val="nil"/>
              <w:left w:val="single" w:sz="4" w:space="0" w:color="000000"/>
              <w:bottom w:val="nil"/>
              <w:right w:val="nil"/>
            </w:tcBorders>
            <w:shd w:val="clear" w:color="auto" w:fill="FFFFFF" w:themeFill="background1"/>
            <w:vAlign w:val="center"/>
          </w:tcPr>
          <w:p w14:paraId="41CE52F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29</w:t>
            </w:r>
          </w:p>
        </w:tc>
        <w:tc>
          <w:tcPr>
            <w:tcW w:w="621" w:type="dxa"/>
            <w:tcBorders>
              <w:top w:val="nil"/>
              <w:left w:val="nil"/>
              <w:bottom w:val="nil"/>
              <w:right w:val="nil"/>
            </w:tcBorders>
            <w:shd w:val="clear" w:color="auto" w:fill="FFFFFF" w:themeFill="background1"/>
            <w:vAlign w:val="center"/>
          </w:tcPr>
          <w:p w14:paraId="2352200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22.1</w:t>
            </w:r>
          </w:p>
        </w:tc>
        <w:tc>
          <w:tcPr>
            <w:tcW w:w="1146" w:type="dxa"/>
            <w:tcBorders>
              <w:top w:val="nil"/>
              <w:left w:val="nil"/>
              <w:bottom w:val="nil"/>
              <w:right w:val="nil"/>
            </w:tcBorders>
            <w:shd w:val="clear" w:color="auto" w:fill="FFFFFF" w:themeFill="background1"/>
            <w:vAlign w:val="center"/>
          </w:tcPr>
          <w:p w14:paraId="20A48DC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(16.3, 27.9)</w:t>
            </w:r>
          </w:p>
        </w:tc>
      </w:tr>
      <w:tr w:rsidR="003D7BB5" w:rsidRPr="00D76D7F" w14:paraId="5E08BE12"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7E5D577F" w14:textId="77777777" w:rsidR="003D7BB5" w:rsidRPr="00D76D7F" w:rsidRDefault="003D7BB5" w:rsidP="00DD0F28">
            <w:pPr>
              <w:tabs>
                <w:tab w:val="left" w:pos="176"/>
              </w:tabs>
              <w:spacing w:before="20" w:after="20"/>
              <w:rPr>
                <w:rFonts w:eastAsiaTheme="minorEastAsia"/>
                <w:b w:val="0"/>
                <w:sz w:val="18"/>
                <w:szCs w:val="18"/>
                <w:lang w:eastAsia="en-US"/>
              </w:rPr>
            </w:pPr>
            <w:r w:rsidRPr="00D76D7F">
              <w:rPr>
                <w:rFonts w:eastAsiaTheme="minorEastAsia"/>
                <w:b w:val="0"/>
                <w:sz w:val="18"/>
                <w:szCs w:val="18"/>
                <w:lang w:eastAsia="en-US"/>
              </w:rPr>
              <w:tab/>
              <w:t>3</w:t>
            </w:r>
          </w:p>
        </w:tc>
        <w:tc>
          <w:tcPr>
            <w:tcW w:w="536" w:type="dxa"/>
            <w:tcBorders>
              <w:top w:val="nil"/>
              <w:left w:val="nil"/>
              <w:bottom w:val="nil"/>
              <w:right w:val="nil"/>
            </w:tcBorders>
            <w:noWrap/>
            <w:vAlign w:val="center"/>
          </w:tcPr>
          <w:p w14:paraId="5DF2A43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44</w:t>
            </w:r>
          </w:p>
        </w:tc>
        <w:tc>
          <w:tcPr>
            <w:tcW w:w="567" w:type="dxa"/>
            <w:tcBorders>
              <w:top w:val="nil"/>
              <w:left w:val="nil"/>
              <w:bottom w:val="nil"/>
              <w:right w:val="nil"/>
            </w:tcBorders>
            <w:noWrap/>
            <w:vAlign w:val="center"/>
          </w:tcPr>
          <w:p w14:paraId="409390C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14.2</w:t>
            </w:r>
          </w:p>
        </w:tc>
        <w:tc>
          <w:tcPr>
            <w:tcW w:w="1146" w:type="dxa"/>
            <w:tcBorders>
              <w:top w:val="nil"/>
              <w:left w:val="nil"/>
              <w:bottom w:val="nil"/>
              <w:right w:val="single" w:sz="4" w:space="0" w:color="auto"/>
            </w:tcBorders>
            <w:noWrap/>
            <w:vAlign w:val="center"/>
          </w:tcPr>
          <w:p w14:paraId="7826DDB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(11.5, 17.0)</w:t>
            </w:r>
          </w:p>
        </w:tc>
        <w:tc>
          <w:tcPr>
            <w:tcW w:w="456" w:type="dxa"/>
            <w:tcBorders>
              <w:top w:val="nil"/>
              <w:left w:val="single" w:sz="4" w:space="0" w:color="auto"/>
              <w:bottom w:val="nil"/>
              <w:right w:val="nil"/>
            </w:tcBorders>
            <w:shd w:val="clear" w:color="auto" w:fill="auto"/>
            <w:noWrap/>
            <w:vAlign w:val="center"/>
          </w:tcPr>
          <w:p w14:paraId="061590A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w:t>
            </w:r>
          </w:p>
        </w:tc>
        <w:tc>
          <w:tcPr>
            <w:tcW w:w="621" w:type="dxa"/>
            <w:tcBorders>
              <w:top w:val="nil"/>
              <w:left w:val="nil"/>
              <w:bottom w:val="nil"/>
              <w:right w:val="nil"/>
            </w:tcBorders>
            <w:shd w:val="clear" w:color="auto" w:fill="auto"/>
            <w:noWrap/>
            <w:vAlign w:val="center"/>
          </w:tcPr>
          <w:p w14:paraId="045A126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11.6</w:t>
            </w:r>
          </w:p>
        </w:tc>
        <w:tc>
          <w:tcPr>
            <w:tcW w:w="1146" w:type="dxa"/>
            <w:tcBorders>
              <w:top w:val="nil"/>
              <w:left w:val="nil"/>
              <w:bottom w:val="nil"/>
              <w:right w:val="single" w:sz="4" w:space="0" w:color="000000"/>
            </w:tcBorders>
            <w:shd w:val="clear" w:color="auto" w:fill="auto"/>
            <w:noWrap/>
            <w:vAlign w:val="center"/>
          </w:tcPr>
          <w:p w14:paraId="0E81EAA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(8.2, 15.0)</w:t>
            </w:r>
          </w:p>
        </w:tc>
        <w:tc>
          <w:tcPr>
            <w:tcW w:w="456" w:type="dxa"/>
            <w:tcBorders>
              <w:top w:val="nil"/>
              <w:left w:val="single" w:sz="4" w:space="0" w:color="000000"/>
              <w:bottom w:val="nil"/>
              <w:right w:val="nil"/>
            </w:tcBorders>
            <w:vAlign w:val="center"/>
          </w:tcPr>
          <w:p w14:paraId="29145A6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w:t>
            </w:r>
          </w:p>
        </w:tc>
        <w:tc>
          <w:tcPr>
            <w:tcW w:w="567" w:type="dxa"/>
            <w:tcBorders>
              <w:top w:val="nil"/>
              <w:left w:val="nil"/>
              <w:bottom w:val="nil"/>
              <w:right w:val="nil"/>
            </w:tcBorders>
            <w:vAlign w:val="center"/>
          </w:tcPr>
          <w:p w14:paraId="0CDC97F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12.1</w:t>
            </w:r>
          </w:p>
        </w:tc>
        <w:tc>
          <w:tcPr>
            <w:tcW w:w="1146" w:type="dxa"/>
            <w:tcBorders>
              <w:top w:val="nil"/>
              <w:left w:val="nil"/>
              <w:bottom w:val="nil"/>
              <w:right w:val="single" w:sz="4" w:space="0" w:color="000000"/>
            </w:tcBorders>
            <w:vAlign w:val="center"/>
          </w:tcPr>
          <w:p w14:paraId="05BF300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(8.2, 15.9)</w:t>
            </w:r>
          </w:p>
        </w:tc>
        <w:tc>
          <w:tcPr>
            <w:tcW w:w="456" w:type="dxa"/>
            <w:tcBorders>
              <w:top w:val="nil"/>
              <w:left w:val="single" w:sz="4" w:space="0" w:color="000000"/>
              <w:bottom w:val="nil"/>
              <w:right w:val="nil"/>
            </w:tcBorders>
            <w:vAlign w:val="center"/>
          </w:tcPr>
          <w:p w14:paraId="12A17C9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w:t>
            </w:r>
          </w:p>
        </w:tc>
        <w:tc>
          <w:tcPr>
            <w:tcW w:w="621" w:type="dxa"/>
            <w:tcBorders>
              <w:top w:val="nil"/>
              <w:left w:val="nil"/>
              <w:bottom w:val="nil"/>
              <w:right w:val="nil"/>
            </w:tcBorders>
            <w:vAlign w:val="center"/>
          </w:tcPr>
          <w:p w14:paraId="5834973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10.4</w:t>
            </w:r>
          </w:p>
        </w:tc>
        <w:tc>
          <w:tcPr>
            <w:tcW w:w="1146" w:type="dxa"/>
            <w:tcBorders>
              <w:top w:val="nil"/>
              <w:left w:val="nil"/>
              <w:bottom w:val="nil"/>
              <w:right w:val="nil"/>
            </w:tcBorders>
            <w:vAlign w:val="center"/>
          </w:tcPr>
          <w:p w14:paraId="749A49A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(6.8, 14.0)</w:t>
            </w:r>
          </w:p>
        </w:tc>
      </w:tr>
      <w:tr w:rsidR="003D7BB5" w:rsidRPr="00D76D7F" w14:paraId="34BAD291"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1070A51D" w14:textId="77777777" w:rsidR="003D7BB5" w:rsidRPr="00D76D7F" w:rsidRDefault="003D7BB5" w:rsidP="00DD0F28">
            <w:pPr>
              <w:tabs>
                <w:tab w:val="left" w:pos="176"/>
              </w:tabs>
              <w:spacing w:before="20" w:after="20"/>
              <w:rPr>
                <w:rFonts w:eastAsiaTheme="minorEastAsia"/>
                <w:b w:val="0"/>
                <w:sz w:val="18"/>
                <w:szCs w:val="18"/>
                <w:lang w:eastAsia="en-US"/>
              </w:rPr>
            </w:pPr>
            <w:r w:rsidRPr="00D76D7F">
              <w:rPr>
                <w:rFonts w:eastAsiaTheme="minorEastAsia"/>
                <w:b w:val="0"/>
                <w:sz w:val="18"/>
                <w:szCs w:val="18"/>
                <w:lang w:eastAsia="en-US"/>
              </w:rPr>
              <w:tab/>
              <w:t>4 - 6</w:t>
            </w:r>
          </w:p>
        </w:tc>
        <w:tc>
          <w:tcPr>
            <w:tcW w:w="536" w:type="dxa"/>
            <w:tcBorders>
              <w:top w:val="nil"/>
              <w:left w:val="nil"/>
              <w:bottom w:val="nil"/>
              <w:right w:val="nil"/>
            </w:tcBorders>
            <w:noWrap/>
            <w:vAlign w:val="center"/>
          </w:tcPr>
          <w:p w14:paraId="4C7B049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49</w:t>
            </w:r>
          </w:p>
        </w:tc>
        <w:tc>
          <w:tcPr>
            <w:tcW w:w="567" w:type="dxa"/>
            <w:tcBorders>
              <w:top w:val="nil"/>
              <w:left w:val="nil"/>
              <w:bottom w:val="nil"/>
              <w:right w:val="nil"/>
            </w:tcBorders>
            <w:noWrap/>
            <w:vAlign w:val="center"/>
          </w:tcPr>
          <w:p w14:paraId="266B80B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15.8</w:t>
            </w:r>
          </w:p>
        </w:tc>
        <w:tc>
          <w:tcPr>
            <w:tcW w:w="1146" w:type="dxa"/>
            <w:tcBorders>
              <w:top w:val="nil"/>
              <w:left w:val="nil"/>
              <w:bottom w:val="nil"/>
              <w:right w:val="single" w:sz="4" w:space="0" w:color="auto"/>
            </w:tcBorders>
            <w:noWrap/>
            <w:vAlign w:val="center"/>
          </w:tcPr>
          <w:p w14:paraId="0535323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(12.5, 19.1)</w:t>
            </w:r>
          </w:p>
        </w:tc>
        <w:tc>
          <w:tcPr>
            <w:tcW w:w="456" w:type="dxa"/>
            <w:tcBorders>
              <w:top w:val="nil"/>
              <w:left w:val="single" w:sz="4" w:space="0" w:color="auto"/>
              <w:bottom w:val="nil"/>
              <w:right w:val="nil"/>
            </w:tcBorders>
            <w:shd w:val="clear" w:color="auto" w:fill="auto"/>
            <w:noWrap/>
            <w:vAlign w:val="center"/>
          </w:tcPr>
          <w:p w14:paraId="64D3292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29</w:t>
            </w:r>
          </w:p>
        </w:tc>
        <w:tc>
          <w:tcPr>
            <w:tcW w:w="621" w:type="dxa"/>
            <w:tcBorders>
              <w:top w:val="nil"/>
              <w:left w:val="nil"/>
              <w:bottom w:val="nil"/>
              <w:right w:val="nil"/>
            </w:tcBorders>
            <w:shd w:val="clear" w:color="auto" w:fill="auto"/>
            <w:noWrap/>
            <w:vAlign w:val="center"/>
          </w:tcPr>
          <w:p w14:paraId="13DE0B6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15.6</w:t>
            </w:r>
          </w:p>
        </w:tc>
        <w:tc>
          <w:tcPr>
            <w:tcW w:w="1146" w:type="dxa"/>
            <w:tcBorders>
              <w:top w:val="nil"/>
              <w:left w:val="nil"/>
              <w:bottom w:val="nil"/>
              <w:right w:val="single" w:sz="4" w:space="0" w:color="000000"/>
            </w:tcBorders>
            <w:shd w:val="clear" w:color="auto" w:fill="auto"/>
            <w:noWrap/>
            <w:vAlign w:val="center"/>
          </w:tcPr>
          <w:p w14:paraId="4868CA5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(11.1, 20.2)</w:t>
            </w:r>
          </w:p>
        </w:tc>
        <w:tc>
          <w:tcPr>
            <w:tcW w:w="456" w:type="dxa"/>
            <w:tcBorders>
              <w:top w:val="nil"/>
              <w:left w:val="single" w:sz="4" w:space="0" w:color="000000"/>
              <w:bottom w:val="nil"/>
              <w:right w:val="nil"/>
            </w:tcBorders>
            <w:vAlign w:val="center"/>
          </w:tcPr>
          <w:p w14:paraId="7726FD2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w:t>
            </w:r>
          </w:p>
        </w:tc>
        <w:tc>
          <w:tcPr>
            <w:tcW w:w="567" w:type="dxa"/>
            <w:tcBorders>
              <w:top w:val="nil"/>
              <w:left w:val="nil"/>
              <w:bottom w:val="nil"/>
              <w:right w:val="nil"/>
            </w:tcBorders>
            <w:vAlign w:val="center"/>
          </w:tcPr>
          <w:p w14:paraId="2DCA14E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14.5</w:t>
            </w:r>
          </w:p>
        </w:tc>
        <w:tc>
          <w:tcPr>
            <w:tcW w:w="1146" w:type="dxa"/>
            <w:tcBorders>
              <w:top w:val="nil"/>
              <w:left w:val="nil"/>
              <w:bottom w:val="nil"/>
              <w:right w:val="single" w:sz="4" w:space="0" w:color="000000"/>
            </w:tcBorders>
            <w:vAlign w:val="center"/>
          </w:tcPr>
          <w:p w14:paraId="3C9014F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(10.2, 18.8)</w:t>
            </w:r>
          </w:p>
        </w:tc>
        <w:tc>
          <w:tcPr>
            <w:tcW w:w="456" w:type="dxa"/>
            <w:tcBorders>
              <w:top w:val="nil"/>
              <w:left w:val="single" w:sz="4" w:space="0" w:color="000000"/>
              <w:bottom w:val="nil"/>
              <w:right w:val="nil"/>
            </w:tcBorders>
            <w:vAlign w:val="center"/>
          </w:tcPr>
          <w:p w14:paraId="7E81330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w:t>
            </w:r>
          </w:p>
        </w:tc>
        <w:tc>
          <w:tcPr>
            <w:tcW w:w="621" w:type="dxa"/>
            <w:tcBorders>
              <w:top w:val="nil"/>
              <w:left w:val="nil"/>
              <w:bottom w:val="nil"/>
              <w:right w:val="nil"/>
            </w:tcBorders>
            <w:vAlign w:val="center"/>
          </w:tcPr>
          <w:p w14:paraId="3D8F719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14.1</w:t>
            </w:r>
          </w:p>
        </w:tc>
        <w:tc>
          <w:tcPr>
            <w:tcW w:w="1146" w:type="dxa"/>
            <w:tcBorders>
              <w:top w:val="nil"/>
              <w:left w:val="nil"/>
              <w:bottom w:val="nil"/>
              <w:right w:val="nil"/>
            </w:tcBorders>
            <w:vAlign w:val="center"/>
          </w:tcPr>
          <w:p w14:paraId="4305131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(9.2, 19.0)</w:t>
            </w:r>
          </w:p>
        </w:tc>
      </w:tr>
      <w:tr w:rsidR="003D7BB5" w:rsidRPr="00D76D7F" w14:paraId="08E5A263"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7E2CE3C2" w14:textId="77777777" w:rsidR="003D7BB5" w:rsidRPr="00D76D7F" w:rsidRDefault="003D7BB5" w:rsidP="00DD0F28">
            <w:pPr>
              <w:tabs>
                <w:tab w:val="left" w:pos="176"/>
              </w:tabs>
              <w:spacing w:before="20" w:after="20"/>
              <w:rPr>
                <w:rFonts w:eastAsiaTheme="minorEastAsia"/>
                <w:b w:val="0"/>
                <w:sz w:val="18"/>
                <w:szCs w:val="18"/>
                <w:lang w:eastAsia="en-US"/>
              </w:rPr>
            </w:pPr>
            <w:r w:rsidRPr="00D76D7F">
              <w:rPr>
                <w:rFonts w:eastAsiaTheme="minorEastAsia"/>
                <w:b w:val="0"/>
                <w:sz w:val="18"/>
                <w:szCs w:val="18"/>
                <w:lang w:eastAsia="en-US"/>
              </w:rPr>
              <w:tab/>
              <w:t>7 - 9</w:t>
            </w:r>
          </w:p>
        </w:tc>
        <w:tc>
          <w:tcPr>
            <w:tcW w:w="536" w:type="dxa"/>
            <w:tcBorders>
              <w:top w:val="nil"/>
              <w:left w:val="nil"/>
              <w:bottom w:val="nil"/>
              <w:right w:val="nil"/>
            </w:tcBorders>
            <w:noWrap/>
            <w:vAlign w:val="center"/>
          </w:tcPr>
          <w:p w14:paraId="1B2A769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w:t>
            </w:r>
          </w:p>
        </w:tc>
        <w:tc>
          <w:tcPr>
            <w:tcW w:w="567" w:type="dxa"/>
            <w:tcBorders>
              <w:top w:val="nil"/>
              <w:left w:val="nil"/>
              <w:bottom w:val="nil"/>
              <w:right w:val="nil"/>
            </w:tcBorders>
            <w:noWrap/>
            <w:vAlign w:val="center"/>
          </w:tcPr>
          <w:p w14:paraId="4713AAD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4.5</w:t>
            </w:r>
          </w:p>
        </w:tc>
        <w:tc>
          <w:tcPr>
            <w:tcW w:w="1146" w:type="dxa"/>
            <w:tcBorders>
              <w:top w:val="nil"/>
              <w:left w:val="nil"/>
              <w:bottom w:val="nil"/>
              <w:right w:val="single" w:sz="4" w:space="0" w:color="auto"/>
            </w:tcBorders>
            <w:noWrap/>
            <w:vAlign w:val="center"/>
          </w:tcPr>
          <w:p w14:paraId="588EA25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(2.8, 6.2)</w:t>
            </w:r>
          </w:p>
        </w:tc>
        <w:tc>
          <w:tcPr>
            <w:tcW w:w="456" w:type="dxa"/>
            <w:tcBorders>
              <w:top w:val="nil"/>
              <w:left w:val="single" w:sz="4" w:space="0" w:color="auto"/>
              <w:bottom w:val="nil"/>
              <w:right w:val="nil"/>
            </w:tcBorders>
            <w:noWrap/>
            <w:vAlign w:val="center"/>
          </w:tcPr>
          <w:p w14:paraId="72F7F84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w:t>
            </w:r>
          </w:p>
        </w:tc>
        <w:tc>
          <w:tcPr>
            <w:tcW w:w="621" w:type="dxa"/>
            <w:tcBorders>
              <w:top w:val="nil"/>
              <w:left w:val="nil"/>
              <w:bottom w:val="nil"/>
              <w:right w:val="nil"/>
            </w:tcBorders>
            <w:noWrap/>
            <w:vAlign w:val="center"/>
          </w:tcPr>
          <w:p w14:paraId="2DFD30A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w:t>
            </w:r>
          </w:p>
        </w:tc>
        <w:tc>
          <w:tcPr>
            <w:tcW w:w="1146" w:type="dxa"/>
            <w:tcBorders>
              <w:top w:val="nil"/>
              <w:left w:val="nil"/>
              <w:bottom w:val="nil"/>
              <w:right w:val="single" w:sz="4" w:space="0" w:color="000000"/>
            </w:tcBorders>
            <w:shd w:val="clear" w:color="auto" w:fill="FFFFFF" w:themeFill="background1"/>
            <w:noWrap/>
            <w:vAlign w:val="center"/>
          </w:tcPr>
          <w:p w14:paraId="65408DF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(0.8, 3.2)</w:t>
            </w:r>
          </w:p>
        </w:tc>
        <w:tc>
          <w:tcPr>
            <w:tcW w:w="456" w:type="dxa"/>
            <w:tcBorders>
              <w:top w:val="nil"/>
              <w:left w:val="single" w:sz="4" w:space="0" w:color="000000"/>
              <w:bottom w:val="nil"/>
              <w:right w:val="nil"/>
            </w:tcBorders>
            <w:vAlign w:val="center"/>
          </w:tcPr>
          <w:p w14:paraId="789272D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w:t>
            </w:r>
          </w:p>
        </w:tc>
        <w:tc>
          <w:tcPr>
            <w:tcW w:w="567" w:type="dxa"/>
            <w:tcBorders>
              <w:top w:val="nil"/>
              <w:left w:val="nil"/>
              <w:bottom w:val="nil"/>
              <w:right w:val="nil"/>
            </w:tcBorders>
            <w:vAlign w:val="center"/>
          </w:tcPr>
          <w:p w14:paraId="254CEB4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3.4</w:t>
            </w:r>
          </w:p>
        </w:tc>
        <w:tc>
          <w:tcPr>
            <w:tcW w:w="1146" w:type="dxa"/>
            <w:tcBorders>
              <w:top w:val="nil"/>
              <w:left w:val="nil"/>
              <w:bottom w:val="nil"/>
              <w:right w:val="single" w:sz="4" w:space="0" w:color="000000"/>
            </w:tcBorders>
            <w:vAlign w:val="center"/>
          </w:tcPr>
          <w:p w14:paraId="12EB447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(0.9, 5.8)</w:t>
            </w:r>
          </w:p>
        </w:tc>
        <w:tc>
          <w:tcPr>
            <w:tcW w:w="456" w:type="dxa"/>
            <w:tcBorders>
              <w:top w:val="nil"/>
              <w:left w:val="single" w:sz="4" w:space="0" w:color="000000"/>
              <w:bottom w:val="nil"/>
              <w:right w:val="nil"/>
            </w:tcBorders>
            <w:vAlign w:val="center"/>
          </w:tcPr>
          <w:p w14:paraId="66AF114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w:t>
            </w:r>
          </w:p>
        </w:tc>
        <w:tc>
          <w:tcPr>
            <w:tcW w:w="621" w:type="dxa"/>
            <w:tcBorders>
              <w:top w:val="nil"/>
              <w:left w:val="nil"/>
              <w:bottom w:val="nil"/>
              <w:right w:val="nil"/>
            </w:tcBorders>
            <w:vAlign w:val="center"/>
          </w:tcPr>
          <w:p w14:paraId="6536AE8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w:t>
            </w:r>
          </w:p>
        </w:tc>
        <w:tc>
          <w:tcPr>
            <w:tcW w:w="1146" w:type="dxa"/>
            <w:tcBorders>
              <w:top w:val="nil"/>
              <w:left w:val="nil"/>
              <w:bottom w:val="nil"/>
              <w:right w:val="nil"/>
            </w:tcBorders>
            <w:vAlign w:val="center"/>
          </w:tcPr>
          <w:p w14:paraId="7DD253C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D76D7F" w14:paraId="00098107"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6C936B61" w14:textId="77777777" w:rsidR="003D7BB5" w:rsidRPr="00D76D7F" w:rsidRDefault="003D7BB5" w:rsidP="00DD0F28">
            <w:pPr>
              <w:tabs>
                <w:tab w:val="left" w:pos="176"/>
              </w:tabs>
              <w:spacing w:before="20" w:after="40"/>
              <w:rPr>
                <w:rFonts w:eastAsiaTheme="minorEastAsia"/>
                <w:b w:val="0"/>
                <w:sz w:val="18"/>
                <w:szCs w:val="18"/>
                <w:lang w:eastAsia="en-US"/>
              </w:rPr>
            </w:pPr>
            <w:r w:rsidRPr="00D76D7F">
              <w:rPr>
                <w:rFonts w:eastAsiaTheme="minorEastAsia"/>
                <w:b w:val="0"/>
                <w:sz w:val="18"/>
                <w:szCs w:val="18"/>
                <w:lang w:eastAsia="en-US"/>
              </w:rPr>
              <w:tab/>
              <w:t>10+</w:t>
            </w:r>
          </w:p>
        </w:tc>
        <w:tc>
          <w:tcPr>
            <w:tcW w:w="536" w:type="dxa"/>
            <w:tcBorders>
              <w:top w:val="nil"/>
              <w:left w:val="nil"/>
              <w:bottom w:val="nil"/>
              <w:right w:val="nil"/>
            </w:tcBorders>
            <w:noWrap/>
            <w:vAlign w:val="center"/>
          </w:tcPr>
          <w:p w14:paraId="6E8B6A0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w:t>
            </w:r>
          </w:p>
        </w:tc>
        <w:tc>
          <w:tcPr>
            <w:tcW w:w="567" w:type="dxa"/>
            <w:tcBorders>
              <w:top w:val="nil"/>
              <w:left w:val="nil"/>
              <w:bottom w:val="nil"/>
              <w:right w:val="nil"/>
            </w:tcBorders>
            <w:noWrap/>
            <w:vAlign w:val="center"/>
          </w:tcPr>
          <w:p w14:paraId="756EE60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0.5</w:t>
            </w:r>
          </w:p>
        </w:tc>
        <w:tc>
          <w:tcPr>
            <w:tcW w:w="1146" w:type="dxa"/>
            <w:tcBorders>
              <w:top w:val="nil"/>
              <w:left w:val="nil"/>
              <w:bottom w:val="nil"/>
              <w:right w:val="single" w:sz="4" w:space="0" w:color="auto"/>
            </w:tcBorders>
            <w:noWrap/>
            <w:vAlign w:val="center"/>
          </w:tcPr>
          <w:p w14:paraId="3A7AAA6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456" w:type="dxa"/>
            <w:tcBorders>
              <w:top w:val="nil"/>
              <w:left w:val="single" w:sz="4" w:space="0" w:color="auto"/>
              <w:bottom w:val="nil"/>
              <w:right w:val="nil"/>
            </w:tcBorders>
            <w:noWrap/>
            <w:vAlign w:val="center"/>
          </w:tcPr>
          <w:p w14:paraId="0EE7020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w:t>
            </w:r>
          </w:p>
        </w:tc>
        <w:tc>
          <w:tcPr>
            <w:tcW w:w="621" w:type="dxa"/>
            <w:tcBorders>
              <w:top w:val="nil"/>
              <w:left w:val="nil"/>
              <w:bottom w:val="nil"/>
              <w:right w:val="nil"/>
            </w:tcBorders>
            <w:noWrap/>
            <w:vAlign w:val="center"/>
          </w:tcPr>
          <w:p w14:paraId="4F44FE7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0.7</w:t>
            </w:r>
          </w:p>
        </w:tc>
        <w:tc>
          <w:tcPr>
            <w:tcW w:w="1146" w:type="dxa"/>
            <w:tcBorders>
              <w:top w:val="nil"/>
              <w:left w:val="nil"/>
              <w:bottom w:val="nil"/>
              <w:right w:val="single" w:sz="4" w:space="0" w:color="000000"/>
            </w:tcBorders>
            <w:shd w:val="clear" w:color="auto" w:fill="FFFFFF" w:themeFill="background1"/>
            <w:noWrap/>
            <w:vAlign w:val="center"/>
          </w:tcPr>
          <w:p w14:paraId="24E2D8C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456" w:type="dxa"/>
            <w:tcBorders>
              <w:top w:val="nil"/>
              <w:left w:val="single" w:sz="4" w:space="0" w:color="000000"/>
              <w:bottom w:val="nil"/>
              <w:right w:val="nil"/>
            </w:tcBorders>
            <w:shd w:val="clear" w:color="auto" w:fill="FFFFFF" w:themeFill="background1"/>
            <w:vAlign w:val="center"/>
          </w:tcPr>
          <w:p w14:paraId="2DA1F61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567" w:type="dxa"/>
            <w:tcBorders>
              <w:top w:val="nil"/>
              <w:left w:val="nil"/>
              <w:bottom w:val="nil"/>
              <w:right w:val="nil"/>
            </w:tcBorders>
            <w:shd w:val="clear" w:color="auto" w:fill="FFFFFF" w:themeFill="background1"/>
            <w:vAlign w:val="center"/>
          </w:tcPr>
          <w:p w14:paraId="396AE75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0.2</w:t>
            </w:r>
          </w:p>
        </w:tc>
        <w:tc>
          <w:tcPr>
            <w:tcW w:w="1146" w:type="dxa"/>
            <w:tcBorders>
              <w:top w:val="nil"/>
              <w:left w:val="nil"/>
              <w:bottom w:val="nil"/>
              <w:right w:val="single" w:sz="4" w:space="0" w:color="000000"/>
            </w:tcBorders>
            <w:shd w:val="clear" w:color="auto" w:fill="FFFFFF" w:themeFill="background1"/>
            <w:vAlign w:val="center"/>
          </w:tcPr>
          <w:p w14:paraId="5539A84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456" w:type="dxa"/>
            <w:tcBorders>
              <w:top w:val="nil"/>
              <w:left w:val="single" w:sz="4" w:space="0" w:color="000000"/>
              <w:bottom w:val="nil"/>
              <w:right w:val="nil"/>
            </w:tcBorders>
            <w:shd w:val="clear" w:color="auto" w:fill="FFFFFF" w:themeFill="background1"/>
            <w:vAlign w:val="center"/>
          </w:tcPr>
          <w:p w14:paraId="1FFA9EE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621" w:type="dxa"/>
            <w:tcBorders>
              <w:top w:val="nil"/>
              <w:left w:val="nil"/>
              <w:bottom w:val="nil"/>
              <w:right w:val="nil"/>
            </w:tcBorders>
            <w:shd w:val="clear" w:color="auto" w:fill="FFFFFF" w:themeFill="background1"/>
            <w:vAlign w:val="center"/>
          </w:tcPr>
          <w:p w14:paraId="6CAF440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0.1</w:t>
            </w:r>
          </w:p>
        </w:tc>
        <w:tc>
          <w:tcPr>
            <w:tcW w:w="1146" w:type="dxa"/>
            <w:tcBorders>
              <w:top w:val="nil"/>
              <w:left w:val="nil"/>
              <w:bottom w:val="nil"/>
              <w:right w:val="nil"/>
            </w:tcBorders>
            <w:shd w:val="clear" w:color="auto" w:fill="FFFFFF" w:themeFill="background1"/>
            <w:vAlign w:val="center"/>
          </w:tcPr>
          <w:p w14:paraId="1AD1DC9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D76D7F" w14:paraId="0531397F"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07A7A50A" w14:textId="77777777" w:rsidR="003D7BB5" w:rsidRPr="00D76D7F" w:rsidRDefault="003D7BB5" w:rsidP="00DD0F28">
            <w:pPr>
              <w:tabs>
                <w:tab w:val="left" w:pos="176"/>
              </w:tabs>
              <w:spacing w:before="20" w:after="20"/>
              <w:rPr>
                <w:rFonts w:eastAsiaTheme="minorEastAsia"/>
                <w:sz w:val="18"/>
                <w:szCs w:val="18"/>
                <w:lang w:eastAsia="en-US"/>
              </w:rPr>
            </w:pPr>
            <w:r w:rsidRPr="00D76D7F">
              <w:rPr>
                <w:rFonts w:eastAsiaTheme="minorEastAsia"/>
                <w:sz w:val="18"/>
                <w:szCs w:val="18"/>
                <w:lang w:eastAsia="en-US"/>
              </w:rPr>
              <w:t>Pattern of participation</w:t>
            </w:r>
          </w:p>
        </w:tc>
        <w:tc>
          <w:tcPr>
            <w:tcW w:w="536" w:type="dxa"/>
            <w:tcBorders>
              <w:top w:val="nil"/>
              <w:left w:val="nil"/>
              <w:bottom w:val="nil"/>
              <w:right w:val="nil"/>
            </w:tcBorders>
            <w:noWrap/>
            <w:vAlign w:val="center"/>
          </w:tcPr>
          <w:p w14:paraId="45732CA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noWrap/>
            <w:vAlign w:val="center"/>
          </w:tcPr>
          <w:p w14:paraId="6E84D6C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auto"/>
            </w:tcBorders>
            <w:noWrap/>
            <w:vAlign w:val="center"/>
          </w:tcPr>
          <w:p w14:paraId="792F9AC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456" w:type="dxa"/>
            <w:tcBorders>
              <w:top w:val="nil"/>
              <w:left w:val="single" w:sz="4" w:space="0" w:color="auto"/>
              <w:bottom w:val="nil"/>
              <w:right w:val="nil"/>
            </w:tcBorders>
            <w:noWrap/>
            <w:vAlign w:val="center"/>
          </w:tcPr>
          <w:p w14:paraId="3252B1D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621" w:type="dxa"/>
            <w:tcBorders>
              <w:top w:val="nil"/>
              <w:left w:val="nil"/>
              <w:bottom w:val="nil"/>
              <w:right w:val="nil"/>
            </w:tcBorders>
            <w:noWrap/>
            <w:vAlign w:val="center"/>
          </w:tcPr>
          <w:p w14:paraId="297E742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FFFFFF" w:themeFill="background1"/>
            <w:noWrap/>
            <w:vAlign w:val="center"/>
          </w:tcPr>
          <w:p w14:paraId="733BDD1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456" w:type="dxa"/>
            <w:tcBorders>
              <w:top w:val="nil"/>
              <w:left w:val="single" w:sz="4" w:space="0" w:color="000000"/>
              <w:bottom w:val="nil"/>
              <w:right w:val="nil"/>
            </w:tcBorders>
            <w:shd w:val="clear" w:color="auto" w:fill="FFFFFF" w:themeFill="background1"/>
            <w:vAlign w:val="center"/>
          </w:tcPr>
          <w:p w14:paraId="5A9D365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shd w:val="clear" w:color="auto" w:fill="FFFFFF" w:themeFill="background1"/>
            <w:vAlign w:val="center"/>
          </w:tcPr>
          <w:p w14:paraId="5C3A54A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FFFFFF" w:themeFill="background1"/>
            <w:vAlign w:val="center"/>
          </w:tcPr>
          <w:p w14:paraId="44CDD16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456" w:type="dxa"/>
            <w:tcBorders>
              <w:top w:val="nil"/>
              <w:left w:val="single" w:sz="4" w:space="0" w:color="000000"/>
              <w:bottom w:val="nil"/>
              <w:right w:val="nil"/>
            </w:tcBorders>
            <w:shd w:val="clear" w:color="auto" w:fill="FFFFFF" w:themeFill="background1"/>
            <w:vAlign w:val="center"/>
          </w:tcPr>
          <w:p w14:paraId="26E7FEC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621" w:type="dxa"/>
            <w:tcBorders>
              <w:top w:val="nil"/>
              <w:left w:val="nil"/>
              <w:bottom w:val="nil"/>
              <w:right w:val="nil"/>
            </w:tcBorders>
            <w:shd w:val="clear" w:color="auto" w:fill="FFFFFF" w:themeFill="background1"/>
            <w:vAlign w:val="center"/>
          </w:tcPr>
          <w:p w14:paraId="2D25799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shd w:val="clear" w:color="auto" w:fill="FFFFFF" w:themeFill="background1"/>
            <w:vAlign w:val="center"/>
          </w:tcPr>
          <w:p w14:paraId="11B5C41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D76D7F" w14:paraId="7DB37655"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4C777003" w14:textId="77777777" w:rsidR="003D7BB5" w:rsidRPr="00D76D7F" w:rsidRDefault="003D7BB5" w:rsidP="00DD0F28">
            <w:pPr>
              <w:tabs>
                <w:tab w:val="left" w:pos="176"/>
              </w:tabs>
              <w:spacing w:before="20" w:after="20"/>
              <w:rPr>
                <w:rFonts w:eastAsiaTheme="minorEastAsia"/>
                <w:b w:val="0"/>
                <w:sz w:val="18"/>
                <w:szCs w:val="18"/>
                <w:lang w:eastAsia="en-US"/>
              </w:rPr>
            </w:pPr>
            <w:r w:rsidRPr="00D76D7F">
              <w:rPr>
                <w:rFonts w:eastAsiaTheme="minorEastAsia"/>
                <w:b w:val="0"/>
                <w:sz w:val="18"/>
                <w:szCs w:val="18"/>
                <w:lang w:eastAsia="en-US"/>
              </w:rPr>
              <w:tab/>
              <w:t>No gambling in past year</w:t>
            </w:r>
          </w:p>
        </w:tc>
        <w:tc>
          <w:tcPr>
            <w:tcW w:w="536" w:type="dxa"/>
            <w:tcBorders>
              <w:top w:val="nil"/>
              <w:left w:val="nil"/>
              <w:bottom w:val="nil"/>
              <w:right w:val="nil"/>
            </w:tcBorders>
            <w:noWrap/>
            <w:vAlign w:val="center"/>
          </w:tcPr>
          <w:p w14:paraId="1D1109B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79</w:t>
            </w:r>
          </w:p>
        </w:tc>
        <w:tc>
          <w:tcPr>
            <w:tcW w:w="567" w:type="dxa"/>
            <w:tcBorders>
              <w:top w:val="nil"/>
              <w:left w:val="nil"/>
              <w:bottom w:val="nil"/>
              <w:right w:val="nil"/>
            </w:tcBorders>
            <w:noWrap/>
            <w:vAlign w:val="center"/>
          </w:tcPr>
          <w:p w14:paraId="31AF920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25.7</w:t>
            </w:r>
          </w:p>
        </w:tc>
        <w:tc>
          <w:tcPr>
            <w:tcW w:w="1146" w:type="dxa"/>
            <w:tcBorders>
              <w:top w:val="nil"/>
              <w:left w:val="nil"/>
              <w:bottom w:val="nil"/>
              <w:right w:val="single" w:sz="4" w:space="0" w:color="auto"/>
            </w:tcBorders>
            <w:noWrap/>
            <w:vAlign w:val="center"/>
          </w:tcPr>
          <w:p w14:paraId="3781950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(22.1, 29.3)</w:t>
            </w:r>
          </w:p>
        </w:tc>
        <w:tc>
          <w:tcPr>
            <w:tcW w:w="456" w:type="dxa"/>
            <w:tcBorders>
              <w:top w:val="nil"/>
              <w:left w:val="single" w:sz="4" w:space="0" w:color="auto"/>
              <w:bottom w:val="nil"/>
              <w:right w:val="nil"/>
            </w:tcBorders>
            <w:noWrap/>
            <w:vAlign w:val="center"/>
          </w:tcPr>
          <w:p w14:paraId="013FAEE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53</w:t>
            </w:r>
          </w:p>
        </w:tc>
        <w:tc>
          <w:tcPr>
            <w:tcW w:w="621" w:type="dxa"/>
            <w:tcBorders>
              <w:top w:val="nil"/>
              <w:left w:val="nil"/>
              <w:bottom w:val="nil"/>
              <w:right w:val="nil"/>
            </w:tcBorders>
            <w:noWrap/>
            <w:vAlign w:val="center"/>
          </w:tcPr>
          <w:p w14:paraId="03266B1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28.7</w:t>
            </w:r>
          </w:p>
        </w:tc>
        <w:tc>
          <w:tcPr>
            <w:tcW w:w="1146" w:type="dxa"/>
            <w:tcBorders>
              <w:top w:val="nil"/>
              <w:left w:val="nil"/>
              <w:bottom w:val="nil"/>
              <w:right w:val="single" w:sz="4" w:space="0" w:color="000000"/>
            </w:tcBorders>
            <w:shd w:val="clear" w:color="auto" w:fill="FFFFFF" w:themeFill="background1"/>
            <w:noWrap/>
            <w:vAlign w:val="center"/>
          </w:tcPr>
          <w:p w14:paraId="73E7965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(23.6, 33.8)</w:t>
            </w:r>
          </w:p>
        </w:tc>
        <w:tc>
          <w:tcPr>
            <w:tcW w:w="456" w:type="dxa"/>
            <w:tcBorders>
              <w:top w:val="nil"/>
              <w:left w:val="single" w:sz="4" w:space="0" w:color="000000"/>
              <w:bottom w:val="nil"/>
              <w:right w:val="nil"/>
            </w:tcBorders>
            <w:shd w:val="clear" w:color="auto" w:fill="FFFFFF" w:themeFill="background1"/>
            <w:vAlign w:val="center"/>
          </w:tcPr>
          <w:p w14:paraId="167F816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42</w:t>
            </w:r>
          </w:p>
        </w:tc>
        <w:tc>
          <w:tcPr>
            <w:tcW w:w="567" w:type="dxa"/>
            <w:tcBorders>
              <w:top w:val="nil"/>
              <w:left w:val="nil"/>
              <w:bottom w:val="nil"/>
              <w:right w:val="nil"/>
            </w:tcBorders>
            <w:shd w:val="clear" w:color="auto" w:fill="FFFFFF" w:themeFill="background1"/>
            <w:vAlign w:val="center"/>
          </w:tcPr>
          <w:p w14:paraId="3494060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28.4</w:t>
            </w:r>
          </w:p>
        </w:tc>
        <w:tc>
          <w:tcPr>
            <w:tcW w:w="1146" w:type="dxa"/>
            <w:tcBorders>
              <w:top w:val="nil"/>
              <w:left w:val="nil"/>
              <w:bottom w:val="nil"/>
              <w:right w:val="single" w:sz="4" w:space="0" w:color="000000"/>
            </w:tcBorders>
            <w:shd w:val="clear" w:color="auto" w:fill="FFFFFF" w:themeFill="background1"/>
            <w:vAlign w:val="center"/>
          </w:tcPr>
          <w:p w14:paraId="2DB87B4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(22.6, 34.2)</w:t>
            </w:r>
          </w:p>
        </w:tc>
        <w:tc>
          <w:tcPr>
            <w:tcW w:w="456" w:type="dxa"/>
            <w:tcBorders>
              <w:top w:val="nil"/>
              <w:left w:val="single" w:sz="4" w:space="0" w:color="000000"/>
              <w:bottom w:val="nil"/>
              <w:right w:val="nil"/>
            </w:tcBorders>
            <w:shd w:val="clear" w:color="auto" w:fill="FFFFFF" w:themeFill="background1"/>
            <w:vAlign w:val="center"/>
          </w:tcPr>
          <w:p w14:paraId="195D73B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40</w:t>
            </w:r>
          </w:p>
        </w:tc>
        <w:tc>
          <w:tcPr>
            <w:tcW w:w="621" w:type="dxa"/>
            <w:tcBorders>
              <w:top w:val="nil"/>
              <w:left w:val="nil"/>
              <w:bottom w:val="nil"/>
              <w:right w:val="nil"/>
            </w:tcBorders>
            <w:shd w:val="clear" w:color="auto" w:fill="FFFFFF" w:themeFill="background1"/>
            <w:vAlign w:val="center"/>
          </w:tcPr>
          <w:p w14:paraId="312CD3B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30.5</w:t>
            </w:r>
          </w:p>
        </w:tc>
        <w:tc>
          <w:tcPr>
            <w:tcW w:w="1146" w:type="dxa"/>
            <w:tcBorders>
              <w:top w:val="nil"/>
              <w:left w:val="nil"/>
              <w:bottom w:val="nil"/>
              <w:right w:val="nil"/>
            </w:tcBorders>
            <w:shd w:val="clear" w:color="auto" w:fill="FFFFFF" w:themeFill="background1"/>
            <w:vAlign w:val="center"/>
          </w:tcPr>
          <w:p w14:paraId="1FC257E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(24.4, 36.6)</w:t>
            </w:r>
          </w:p>
        </w:tc>
      </w:tr>
      <w:tr w:rsidR="009118DA" w:rsidRPr="00D76D7F" w14:paraId="2F04DA97"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68CFA246" w14:textId="77777777" w:rsidR="003D7BB5" w:rsidRPr="00D76D7F" w:rsidRDefault="003D7BB5" w:rsidP="00DD0F28">
            <w:pPr>
              <w:tabs>
                <w:tab w:val="left" w:pos="176"/>
              </w:tabs>
              <w:spacing w:before="20" w:after="20"/>
              <w:rPr>
                <w:rFonts w:eastAsiaTheme="minorEastAsia"/>
                <w:b w:val="0"/>
                <w:sz w:val="18"/>
                <w:szCs w:val="18"/>
                <w:lang w:eastAsia="en-US"/>
              </w:rPr>
            </w:pPr>
            <w:r w:rsidRPr="00D76D7F">
              <w:rPr>
                <w:rFonts w:eastAsiaTheme="minorEastAsia"/>
                <w:b w:val="0"/>
                <w:sz w:val="18"/>
                <w:szCs w:val="18"/>
                <w:lang w:eastAsia="en-US"/>
              </w:rPr>
              <w:tab/>
              <w:t>Infrequent gambler</w:t>
            </w:r>
          </w:p>
        </w:tc>
        <w:tc>
          <w:tcPr>
            <w:tcW w:w="536" w:type="dxa"/>
            <w:tcBorders>
              <w:top w:val="nil"/>
              <w:left w:val="nil"/>
              <w:bottom w:val="nil"/>
              <w:right w:val="nil"/>
            </w:tcBorders>
            <w:noWrap/>
            <w:vAlign w:val="center"/>
          </w:tcPr>
          <w:p w14:paraId="009139F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150</w:t>
            </w:r>
          </w:p>
        </w:tc>
        <w:tc>
          <w:tcPr>
            <w:tcW w:w="567" w:type="dxa"/>
            <w:tcBorders>
              <w:top w:val="nil"/>
              <w:left w:val="nil"/>
              <w:bottom w:val="nil"/>
              <w:right w:val="nil"/>
            </w:tcBorders>
            <w:noWrap/>
            <w:vAlign w:val="center"/>
          </w:tcPr>
          <w:p w14:paraId="5E6966B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48.5</w:t>
            </w:r>
          </w:p>
        </w:tc>
        <w:tc>
          <w:tcPr>
            <w:tcW w:w="1146" w:type="dxa"/>
            <w:tcBorders>
              <w:top w:val="nil"/>
              <w:left w:val="nil"/>
              <w:bottom w:val="nil"/>
              <w:right w:val="single" w:sz="4" w:space="0" w:color="auto"/>
            </w:tcBorders>
            <w:noWrap/>
            <w:vAlign w:val="center"/>
          </w:tcPr>
          <w:p w14:paraId="0C97285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(44.4, 52.6)</w:t>
            </w:r>
          </w:p>
        </w:tc>
        <w:tc>
          <w:tcPr>
            <w:tcW w:w="456" w:type="dxa"/>
            <w:tcBorders>
              <w:top w:val="nil"/>
              <w:left w:val="single" w:sz="4" w:space="0" w:color="auto"/>
              <w:bottom w:val="nil"/>
              <w:right w:val="nil"/>
            </w:tcBorders>
            <w:noWrap/>
            <w:vAlign w:val="center"/>
          </w:tcPr>
          <w:p w14:paraId="1DF47CE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93</w:t>
            </w:r>
          </w:p>
        </w:tc>
        <w:tc>
          <w:tcPr>
            <w:tcW w:w="621" w:type="dxa"/>
            <w:tcBorders>
              <w:top w:val="nil"/>
              <w:left w:val="nil"/>
              <w:bottom w:val="nil"/>
              <w:right w:val="nil"/>
            </w:tcBorders>
            <w:noWrap/>
            <w:vAlign w:val="center"/>
          </w:tcPr>
          <w:p w14:paraId="4769AE0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50.3</w:t>
            </w:r>
          </w:p>
        </w:tc>
        <w:tc>
          <w:tcPr>
            <w:tcW w:w="1146" w:type="dxa"/>
            <w:tcBorders>
              <w:top w:val="nil"/>
              <w:left w:val="nil"/>
              <w:bottom w:val="nil"/>
              <w:right w:val="single" w:sz="4" w:space="0" w:color="000000"/>
            </w:tcBorders>
            <w:shd w:val="clear" w:color="auto" w:fill="FFFFFF" w:themeFill="background1"/>
            <w:noWrap/>
            <w:vAlign w:val="center"/>
          </w:tcPr>
          <w:p w14:paraId="3C46D84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(44.8, 55.8)</w:t>
            </w:r>
          </w:p>
        </w:tc>
        <w:tc>
          <w:tcPr>
            <w:tcW w:w="456" w:type="dxa"/>
            <w:tcBorders>
              <w:top w:val="nil"/>
              <w:left w:val="single" w:sz="4" w:space="0" w:color="000000"/>
              <w:bottom w:val="nil"/>
              <w:right w:val="nil"/>
            </w:tcBorders>
            <w:shd w:val="clear" w:color="auto" w:fill="FFFFFF" w:themeFill="background1"/>
            <w:vAlign w:val="center"/>
          </w:tcPr>
          <w:p w14:paraId="04E4E8E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74</w:t>
            </w:r>
          </w:p>
        </w:tc>
        <w:tc>
          <w:tcPr>
            <w:tcW w:w="567" w:type="dxa"/>
            <w:tcBorders>
              <w:top w:val="nil"/>
              <w:left w:val="nil"/>
              <w:bottom w:val="nil"/>
              <w:right w:val="nil"/>
            </w:tcBorders>
            <w:shd w:val="clear" w:color="auto" w:fill="FFFFFF" w:themeFill="background1"/>
            <w:vAlign w:val="center"/>
          </w:tcPr>
          <w:p w14:paraId="5CC8959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49.2</w:t>
            </w:r>
          </w:p>
        </w:tc>
        <w:tc>
          <w:tcPr>
            <w:tcW w:w="1146" w:type="dxa"/>
            <w:tcBorders>
              <w:top w:val="nil"/>
              <w:left w:val="nil"/>
              <w:bottom w:val="nil"/>
              <w:right w:val="single" w:sz="4" w:space="0" w:color="000000"/>
            </w:tcBorders>
            <w:shd w:val="clear" w:color="auto" w:fill="FFFFFF" w:themeFill="background1"/>
            <w:vAlign w:val="center"/>
          </w:tcPr>
          <w:p w14:paraId="1620160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(43.1, 55.2)</w:t>
            </w:r>
          </w:p>
        </w:tc>
        <w:tc>
          <w:tcPr>
            <w:tcW w:w="456" w:type="dxa"/>
            <w:tcBorders>
              <w:top w:val="nil"/>
              <w:left w:val="single" w:sz="4" w:space="0" w:color="000000"/>
              <w:bottom w:val="nil"/>
              <w:right w:val="nil"/>
            </w:tcBorders>
            <w:shd w:val="clear" w:color="auto" w:fill="FFFFFF" w:themeFill="background1"/>
            <w:vAlign w:val="center"/>
          </w:tcPr>
          <w:p w14:paraId="67FADA2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63</w:t>
            </w:r>
          </w:p>
        </w:tc>
        <w:tc>
          <w:tcPr>
            <w:tcW w:w="621" w:type="dxa"/>
            <w:tcBorders>
              <w:top w:val="nil"/>
              <w:left w:val="nil"/>
              <w:bottom w:val="nil"/>
              <w:right w:val="nil"/>
            </w:tcBorders>
            <w:shd w:val="clear" w:color="auto" w:fill="FFFFFF" w:themeFill="background1"/>
            <w:vAlign w:val="center"/>
          </w:tcPr>
          <w:p w14:paraId="1D8FAD1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47.9</w:t>
            </w:r>
          </w:p>
        </w:tc>
        <w:tc>
          <w:tcPr>
            <w:tcW w:w="1146" w:type="dxa"/>
            <w:tcBorders>
              <w:top w:val="nil"/>
              <w:left w:val="nil"/>
              <w:bottom w:val="nil"/>
              <w:right w:val="nil"/>
            </w:tcBorders>
            <w:shd w:val="clear" w:color="auto" w:fill="FFFFFF" w:themeFill="background1"/>
            <w:vAlign w:val="center"/>
          </w:tcPr>
          <w:p w14:paraId="2BEFF13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(41.0, 54.8)</w:t>
            </w:r>
          </w:p>
        </w:tc>
      </w:tr>
      <w:tr w:rsidR="009118DA" w:rsidRPr="00D76D7F" w14:paraId="32BFA84C"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68429B02" w14:textId="77777777" w:rsidR="003D7BB5" w:rsidRPr="00D76D7F" w:rsidRDefault="003D7BB5" w:rsidP="00DD0F28">
            <w:pPr>
              <w:tabs>
                <w:tab w:val="left" w:pos="318"/>
              </w:tabs>
              <w:spacing w:before="20" w:after="20"/>
              <w:ind w:left="176" w:hanging="176"/>
              <w:rPr>
                <w:rFonts w:eastAsiaTheme="minorEastAsia"/>
                <w:b w:val="0"/>
                <w:sz w:val="18"/>
                <w:szCs w:val="18"/>
                <w:lang w:eastAsia="en-US"/>
              </w:rPr>
            </w:pPr>
            <w:r w:rsidRPr="00D76D7F">
              <w:rPr>
                <w:rFonts w:eastAsiaTheme="minorEastAsia"/>
                <w:b w:val="0"/>
                <w:sz w:val="18"/>
                <w:szCs w:val="18"/>
                <w:lang w:eastAsia="en-US"/>
              </w:rPr>
              <w:tab/>
              <w:t>Regular non-continuous gambler</w:t>
            </w:r>
          </w:p>
        </w:tc>
        <w:tc>
          <w:tcPr>
            <w:tcW w:w="536" w:type="dxa"/>
            <w:tcBorders>
              <w:top w:val="nil"/>
              <w:left w:val="nil"/>
              <w:bottom w:val="nil"/>
              <w:right w:val="nil"/>
            </w:tcBorders>
            <w:noWrap/>
            <w:vAlign w:val="center"/>
          </w:tcPr>
          <w:p w14:paraId="5E4198D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54</w:t>
            </w:r>
          </w:p>
        </w:tc>
        <w:tc>
          <w:tcPr>
            <w:tcW w:w="567" w:type="dxa"/>
            <w:tcBorders>
              <w:top w:val="nil"/>
              <w:left w:val="nil"/>
              <w:bottom w:val="nil"/>
              <w:right w:val="nil"/>
            </w:tcBorders>
            <w:noWrap/>
            <w:vAlign w:val="center"/>
          </w:tcPr>
          <w:p w14:paraId="1591F07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17.5</w:t>
            </w:r>
          </w:p>
        </w:tc>
        <w:tc>
          <w:tcPr>
            <w:tcW w:w="1146" w:type="dxa"/>
            <w:tcBorders>
              <w:top w:val="nil"/>
              <w:left w:val="nil"/>
              <w:bottom w:val="nil"/>
              <w:right w:val="single" w:sz="4" w:space="0" w:color="auto"/>
            </w:tcBorders>
            <w:noWrap/>
            <w:vAlign w:val="center"/>
          </w:tcPr>
          <w:p w14:paraId="1AC1BB3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(14.4, 20.6)</w:t>
            </w:r>
          </w:p>
        </w:tc>
        <w:tc>
          <w:tcPr>
            <w:tcW w:w="456" w:type="dxa"/>
            <w:tcBorders>
              <w:top w:val="nil"/>
              <w:left w:val="single" w:sz="4" w:space="0" w:color="auto"/>
              <w:bottom w:val="nil"/>
              <w:right w:val="nil"/>
            </w:tcBorders>
            <w:noWrap/>
            <w:vAlign w:val="center"/>
          </w:tcPr>
          <w:p w14:paraId="15385EF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23</w:t>
            </w:r>
          </w:p>
        </w:tc>
        <w:tc>
          <w:tcPr>
            <w:tcW w:w="621" w:type="dxa"/>
            <w:tcBorders>
              <w:top w:val="nil"/>
              <w:left w:val="nil"/>
              <w:bottom w:val="nil"/>
              <w:right w:val="nil"/>
            </w:tcBorders>
            <w:noWrap/>
            <w:vAlign w:val="center"/>
          </w:tcPr>
          <w:p w14:paraId="2E9EDFE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12.3</w:t>
            </w:r>
          </w:p>
        </w:tc>
        <w:tc>
          <w:tcPr>
            <w:tcW w:w="1146" w:type="dxa"/>
            <w:tcBorders>
              <w:top w:val="nil"/>
              <w:left w:val="nil"/>
              <w:bottom w:val="nil"/>
              <w:right w:val="single" w:sz="4" w:space="0" w:color="000000"/>
            </w:tcBorders>
            <w:shd w:val="clear" w:color="auto" w:fill="FFFFFF" w:themeFill="background1"/>
            <w:noWrap/>
            <w:vAlign w:val="center"/>
          </w:tcPr>
          <w:p w14:paraId="1FFF612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(8.8, 15.9)</w:t>
            </w:r>
          </w:p>
        </w:tc>
        <w:tc>
          <w:tcPr>
            <w:tcW w:w="456" w:type="dxa"/>
            <w:tcBorders>
              <w:top w:val="nil"/>
              <w:left w:val="single" w:sz="4" w:space="0" w:color="000000"/>
              <w:bottom w:val="nil"/>
              <w:right w:val="nil"/>
            </w:tcBorders>
            <w:shd w:val="clear" w:color="auto" w:fill="FFFFFF" w:themeFill="background1"/>
            <w:vAlign w:val="center"/>
          </w:tcPr>
          <w:p w14:paraId="233FDC2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w:t>
            </w:r>
          </w:p>
        </w:tc>
        <w:tc>
          <w:tcPr>
            <w:tcW w:w="567" w:type="dxa"/>
            <w:tcBorders>
              <w:top w:val="nil"/>
              <w:left w:val="nil"/>
              <w:bottom w:val="nil"/>
              <w:right w:val="nil"/>
            </w:tcBorders>
            <w:shd w:val="clear" w:color="auto" w:fill="FFFFFF" w:themeFill="background1"/>
            <w:vAlign w:val="center"/>
          </w:tcPr>
          <w:p w14:paraId="63EDB81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13.6</w:t>
            </w:r>
          </w:p>
        </w:tc>
        <w:tc>
          <w:tcPr>
            <w:tcW w:w="1146" w:type="dxa"/>
            <w:tcBorders>
              <w:top w:val="nil"/>
              <w:left w:val="nil"/>
              <w:bottom w:val="nil"/>
              <w:right w:val="single" w:sz="4" w:space="0" w:color="000000"/>
            </w:tcBorders>
            <w:shd w:val="clear" w:color="auto" w:fill="FFFFFF" w:themeFill="background1"/>
            <w:vAlign w:val="center"/>
          </w:tcPr>
          <w:p w14:paraId="31BBD76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(9.4, 17.7)</w:t>
            </w:r>
          </w:p>
        </w:tc>
        <w:tc>
          <w:tcPr>
            <w:tcW w:w="456" w:type="dxa"/>
            <w:tcBorders>
              <w:top w:val="nil"/>
              <w:left w:val="single" w:sz="4" w:space="0" w:color="000000"/>
              <w:bottom w:val="nil"/>
              <w:right w:val="nil"/>
            </w:tcBorders>
            <w:shd w:val="clear" w:color="auto" w:fill="FFFFFF" w:themeFill="background1"/>
            <w:vAlign w:val="center"/>
          </w:tcPr>
          <w:p w14:paraId="0E43086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w:t>
            </w:r>
          </w:p>
        </w:tc>
        <w:tc>
          <w:tcPr>
            <w:tcW w:w="621" w:type="dxa"/>
            <w:tcBorders>
              <w:top w:val="nil"/>
              <w:left w:val="nil"/>
              <w:bottom w:val="nil"/>
              <w:right w:val="nil"/>
            </w:tcBorders>
            <w:shd w:val="clear" w:color="auto" w:fill="FFFFFF" w:themeFill="background1"/>
            <w:vAlign w:val="center"/>
          </w:tcPr>
          <w:p w14:paraId="3CA5E83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12.7</w:t>
            </w:r>
          </w:p>
        </w:tc>
        <w:tc>
          <w:tcPr>
            <w:tcW w:w="1146" w:type="dxa"/>
            <w:tcBorders>
              <w:top w:val="nil"/>
              <w:left w:val="nil"/>
              <w:bottom w:val="nil"/>
              <w:right w:val="nil"/>
            </w:tcBorders>
            <w:shd w:val="clear" w:color="auto" w:fill="FFFFFF" w:themeFill="background1"/>
            <w:vAlign w:val="center"/>
          </w:tcPr>
          <w:p w14:paraId="43C9E0B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(8.5, 16.9)</w:t>
            </w:r>
          </w:p>
        </w:tc>
      </w:tr>
      <w:tr w:rsidR="003D7BB5" w:rsidRPr="00D76D7F" w14:paraId="7AA3F7D3"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7DA84C30" w14:textId="77777777" w:rsidR="003D7BB5" w:rsidRPr="00D76D7F" w:rsidRDefault="003D7BB5" w:rsidP="00DD0F28">
            <w:pPr>
              <w:tabs>
                <w:tab w:val="left" w:pos="176"/>
              </w:tabs>
              <w:spacing w:before="20" w:after="40"/>
              <w:rPr>
                <w:rFonts w:eastAsiaTheme="minorEastAsia"/>
                <w:b w:val="0"/>
                <w:sz w:val="18"/>
                <w:szCs w:val="18"/>
                <w:lang w:eastAsia="en-US"/>
              </w:rPr>
            </w:pPr>
            <w:r w:rsidRPr="00D76D7F">
              <w:rPr>
                <w:rFonts w:eastAsiaTheme="minorEastAsia"/>
                <w:b w:val="0"/>
                <w:sz w:val="18"/>
                <w:szCs w:val="18"/>
                <w:lang w:eastAsia="en-US"/>
              </w:rPr>
              <w:tab/>
              <w:t>Regular continuous gambler</w:t>
            </w:r>
          </w:p>
        </w:tc>
        <w:tc>
          <w:tcPr>
            <w:tcW w:w="536" w:type="dxa"/>
            <w:tcBorders>
              <w:top w:val="nil"/>
              <w:left w:val="nil"/>
              <w:bottom w:val="nil"/>
              <w:right w:val="nil"/>
            </w:tcBorders>
            <w:noWrap/>
            <w:vAlign w:val="center"/>
          </w:tcPr>
          <w:p w14:paraId="3C7FD2C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26</w:t>
            </w:r>
          </w:p>
        </w:tc>
        <w:tc>
          <w:tcPr>
            <w:tcW w:w="567" w:type="dxa"/>
            <w:tcBorders>
              <w:top w:val="nil"/>
              <w:left w:val="nil"/>
              <w:bottom w:val="nil"/>
              <w:right w:val="nil"/>
            </w:tcBorders>
            <w:noWrap/>
            <w:vAlign w:val="center"/>
          </w:tcPr>
          <w:p w14:paraId="0EC7355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8.4</w:t>
            </w:r>
          </w:p>
        </w:tc>
        <w:tc>
          <w:tcPr>
            <w:tcW w:w="1146" w:type="dxa"/>
            <w:tcBorders>
              <w:top w:val="nil"/>
              <w:left w:val="nil"/>
              <w:bottom w:val="nil"/>
              <w:right w:val="single" w:sz="4" w:space="0" w:color="auto"/>
            </w:tcBorders>
            <w:noWrap/>
            <w:vAlign w:val="center"/>
          </w:tcPr>
          <w:p w14:paraId="0B55A11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(6.1, 10.6)</w:t>
            </w:r>
          </w:p>
        </w:tc>
        <w:tc>
          <w:tcPr>
            <w:tcW w:w="456" w:type="dxa"/>
            <w:tcBorders>
              <w:top w:val="nil"/>
              <w:left w:val="single" w:sz="4" w:space="0" w:color="auto"/>
              <w:bottom w:val="nil"/>
              <w:right w:val="nil"/>
            </w:tcBorders>
            <w:noWrap/>
            <w:vAlign w:val="center"/>
          </w:tcPr>
          <w:p w14:paraId="6F11FDC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w:t>
            </w:r>
          </w:p>
        </w:tc>
        <w:tc>
          <w:tcPr>
            <w:tcW w:w="621" w:type="dxa"/>
            <w:tcBorders>
              <w:top w:val="nil"/>
              <w:left w:val="nil"/>
              <w:bottom w:val="nil"/>
              <w:right w:val="nil"/>
            </w:tcBorders>
            <w:noWrap/>
            <w:vAlign w:val="center"/>
          </w:tcPr>
          <w:p w14:paraId="20423A0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8.6</w:t>
            </w:r>
          </w:p>
        </w:tc>
        <w:tc>
          <w:tcPr>
            <w:tcW w:w="1146" w:type="dxa"/>
            <w:tcBorders>
              <w:top w:val="nil"/>
              <w:left w:val="nil"/>
              <w:bottom w:val="nil"/>
              <w:right w:val="single" w:sz="4" w:space="0" w:color="000000"/>
            </w:tcBorders>
            <w:shd w:val="clear" w:color="auto" w:fill="FFFFFF" w:themeFill="background1"/>
            <w:noWrap/>
            <w:vAlign w:val="center"/>
          </w:tcPr>
          <w:p w14:paraId="27B9CE6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(4.9, 12.4)</w:t>
            </w:r>
          </w:p>
        </w:tc>
        <w:tc>
          <w:tcPr>
            <w:tcW w:w="456" w:type="dxa"/>
            <w:tcBorders>
              <w:top w:val="nil"/>
              <w:left w:val="single" w:sz="4" w:space="0" w:color="000000"/>
              <w:bottom w:val="nil"/>
              <w:right w:val="nil"/>
            </w:tcBorders>
            <w:vAlign w:val="center"/>
          </w:tcPr>
          <w:p w14:paraId="1E2F27E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w:t>
            </w:r>
          </w:p>
        </w:tc>
        <w:tc>
          <w:tcPr>
            <w:tcW w:w="567" w:type="dxa"/>
            <w:tcBorders>
              <w:top w:val="nil"/>
              <w:left w:val="nil"/>
              <w:bottom w:val="nil"/>
              <w:right w:val="nil"/>
            </w:tcBorders>
            <w:vAlign w:val="center"/>
          </w:tcPr>
          <w:p w14:paraId="121B438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8.9</w:t>
            </w:r>
          </w:p>
        </w:tc>
        <w:tc>
          <w:tcPr>
            <w:tcW w:w="1146" w:type="dxa"/>
            <w:tcBorders>
              <w:top w:val="nil"/>
              <w:left w:val="nil"/>
              <w:bottom w:val="nil"/>
              <w:right w:val="single" w:sz="4" w:space="0" w:color="000000"/>
            </w:tcBorders>
            <w:vAlign w:val="center"/>
          </w:tcPr>
          <w:p w14:paraId="3AFB689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(5.3, 12.5)</w:t>
            </w:r>
          </w:p>
        </w:tc>
        <w:tc>
          <w:tcPr>
            <w:tcW w:w="456" w:type="dxa"/>
            <w:tcBorders>
              <w:top w:val="nil"/>
              <w:left w:val="single" w:sz="4" w:space="0" w:color="000000"/>
              <w:bottom w:val="nil"/>
              <w:right w:val="nil"/>
            </w:tcBorders>
            <w:vAlign w:val="center"/>
          </w:tcPr>
          <w:p w14:paraId="59E93A8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w:t>
            </w:r>
          </w:p>
        </w:tc>
        <w:tc>
          <w:tcPr>
            <w:tcW w:w="621" w:type="dxa"/>
            <w:tcBorders>
              <w:top w:val="nil"/>
              <w:left w:val="nil"/>
              <w:bottom w:val="nil"/>
              <w:right w:val="nil"/>
            </w:tcBorders>
            <w:vAlign w:val="center"/>
          </w:tcPr>
          <w:p w14:paraId="63784C8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8.9</w:t>
            </w:r>
          </w:p>
        </w:tc>
        <w:tc>
          <w:tcPr>
            <w:tcW w:w="1146" w:type="dxa"/>
            <w:tcBorders>
              <w:top w:val="nil"/>
              <w:left w:val="nil"/>
              <w:bottom w:val="nil"/>
              <w:right w:val="nil"/>
            </w:tcBorders>
            <w:vAlign w:val="center"/>
          </w:tcPr>
          <w:p w14:paraId="191CA2F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(4.6, 13.2)</w:t>
            </w:r>
          </w:p>
        </w:tc>
      </w:tr>
      <w:tr w:rsidR="003D7BB5" w:rsidRPr="00D76D7F" w14:paraId="4E494F08"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7F6758A7" w14:textId="77777777" w:rsidR="003D7BB5" w:rsidRPr="00D76D7F" w:rsidRDefault="003D7BB5" w:rsidP="00DD0F28">
            <w:pPr>
              <w:spacing w:before="20" w:after="20"/>
              <w:rPr>
                <w:rFonts w:eastAsiaTheme="minorEastAsia"/>
                <w:sz w:val="18"/>
                <w:szCs w:val="18"/>
                <w:lang w:eastAsia="en-US"/>
              </w:rPr>
            </w:pPr>
            <w:r w:rsidRPr="00D76D7F">
              <w:rPr>
                <w:rFonts w:eastAsiaTheme="minorEastAsia"/>
                <w:sz w:val="18"/>
                <w:szCs w:val="18"/>
                <w:lang w:eastAsia="en-US"/>
              </w:rPr>
              <w:t>Gambling frequency</w:t>
            </w:r>
          </w:p>
        </w:tc>
        <w:tc>
          <w:tcPr>
            <w:tcW w:w="536" w:type="dxa"/>
            <w:tcBorders>
              <w:top w:val="nil"/>
              <w:left w:val="nil"/>
              <w:bottom w:val="nil"/>
              <w:right w:val="nil"/>
            </w:tcBorders>
            <w:noWrap/>
            <w:vAlign w:val="center"/>
          </w:tcPr>
          <w:p w14:paraId="3AC0FA6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noWrap/>
            <w:vAlign w:val="center"/>
          </w:tcPr>
          <w:p w14:paraId="18520A8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auto"/>
            </w:tcBorders>
            <w:noWrap/>
            <w:vAlign w:val="center"/>
          </w:tcPr>
          <w:p w14:paraId="1E6A5B6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456" w:type="dxa"/>
            <w:tcBorders>
              <w:top w:val="nil"/>
              <w:left w:val="single" w:sz="4" w:space="0" w:color="auto"/>
              <w:bottom w:val="nil"/>
              <w:right w:val="nil"/>
            </w:tcBorders>
            <w:noWrap/>
            <w:vAlign w:val="center"/>
          </w:tcPr>
          <w:p w14:paraId="71410BA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621" w:type="dxa"/>
            <w:tcBorders>
              <w:top w:val="nil"/>
              <w:left w:val="nil"/>
              <w:bottom w:val="nil"/>
              <w:right w:val="nil"/>
            </w:tcBorders>
            <w:noWrap/>
            <w:vAlign w:val="center"/>
          </w:tcPr>
          <w:p w14:paraId="6769F1D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FFFFFF" w:themeFill="background1"/>
            <w:noWrap/>
            <w:vAlign w:val="center"/>
          </w:tcPr>
          <w:p w14:paraId="666ED66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456" w:type="dxa"/>
            <w:tcBorders>
              <w:top w:val="nil"/>
              <w:left w:val="single" w:sz="4" w:space="0" w:color="000000"/>
              <w:bottom w:val="nil"/>
              <w:right w:val="nil"/>
            </w:tcBorders>
            <w:vAlign w:val="center"/>
          </w:tcPr>
          <w:p w14:paraId="452555A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vAlign w:val="center"/>
          </w:tcPr>
          <w:p w14:paraId="44541F7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vAlign w:val="center"/>
          </w:tcPr>
          <w:p w14:paraId="6A4807B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456" w:type="dxa"/>
            <w:tcBorders>
              <w:top w:val="nil"/>
              <w:left w:val="single" w:sz="4" w:space="0" w:color="000000"/>
              <w:bottom w:val="nil"/>
              <w:right w:val="nil"/>
            </w:tcBorders>
            <w:vAlign w:val="center"/>
          </w:tcPr>
          <w:p w14:paraId="685D28D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621" w:type="dxa"/>
            <w:tcBorders>
              <w:top w:val="nil"/>
              <w:left w:val="nil"/>
              <w:bottom w:val="nil"/>
              <w:right w:val="nil"/>
            </w:tcBorders>
            <w:vAlign w:val="center"/>
          </w:tcPr>
          <w:p w14:paraId="58F4716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vAlign w:val="center"/>
          </w:tcPr>
          <w:p w14:paraId="34AF908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3D7BB5" w:rsidRPr="00D76D7F" w14:paraId="553969B4"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6D69CFA1" w14:textId="77777777" w:rsidR="003D7BB5" w:rsidRPr="00D76D7F" w:rsidRDefault="003D7BB5" w:rsidP="00DD0F28">
            <w:pPr>
              <w:tabs>
                <w:tab w:val="left" w:pos="205"/>
              </w:tabs>
              <w:spacing w:before="20" w:after="20"/>
              <w:rPr>
                <w:rFonts w:eastAsiaTheme="minorEastAsia"/>
                <w:b w:val="0"/>
                <w:sz w:val="18"/>
                <w:szCs w:val="18"/>
                <w:lang w:eastAsia="en-US"/>
              </w:rPr>
            </w:pPr>
            <w:r w:rsidRPr="00D76D7F">
              <w:rPr>
                <w:rFonts w:eastAsiaTheme="minorEastAsia"/>
                <w:b w:val="0"/>
                <w:sz w:val="18"/>
                <w:szCs w:val="18"/>
                <w:lang w:eastAsia="en-US"/>
              </w:rPr>
              <w:tab/>
              <w:t>No gambling in past year</w:t>
            </w:r>
          </w:p>
        </w:tc>
        <w:tc>
          <w:tcPr>
            <w:tcW w:w="536" w:type="dxa"/>
            <w:tcBorders>
              <w:top w:val="nil"/>
              <w:left w:val="nil"/>
              <w:bottom w:val="nil"/>
              <w:right w:val="nil"/>
            </w:tcBorders>
            <w:shd w:val="clear" w:color="auto" w:fill="auto"/>
            <w:noWrap/>
            <w:vAlign w:val="center"/>
          </w:tcPr>
          <w:p w14:paraId="0F4F38A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79</w:t>
            </w:r>
          </w:p>
        </w:tc>
        <w:tc>
          <w:tcPr>
            <w:tcW w:w="567" w:type="dxa"/>
            <w:tcBorders>
              <w:top w:val="nil"/>
              <w:left w:val="nil"/>
              <w:bottom w:val="nil"/>
              <w:right w:val="nil"/>
            </w:tcBorders>
            <w:shd w:val="clear" w:color="auto" w:fill="auto"/>
            <w:noWrap/>
            <w:vAlign w:val="center"/>
          </w:tcPr>
          <w:p w14:paraId="6D3CCDC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25.7</w:t>
            </w:r>
          </w:p>
        </w:tc>
        <w:tc>
          <w:tcPr>
            <w:tcW w:w="1146" w:type="dxa"/>
            <w:tcBorders>
              <w:top w:val="nil"/>
              <w:left w:val="nil"/>
              <w:bottom w:val="nil"/>
              <w:right w:val="single" w:sz="4" w:space="0" w:color="auto"/>
            </w:tcBorders>
            <w:shd w:val="clear" w:color="auto" w:fill="auto"/>
            <w:noWrap/>
            <w:vAlign w:val="center"/>
          </w:tcPr>
          <w:p w14:paraId="50B05D0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(22.1, 29.3)</w:t>
            </w:r>
          </w:p>
        </w:tc>
        <w:tc>
          <w:tcPr>
            <w:tcW w:w="456" w:type="dxa"/>
            <w:tcBorders>
              <w:top w:val="nil"/>
              <w:left w:val="single" w:sz="4" w:space="0" w:color="auto"/>
              <w:bottom w:val="nil"/>
              <w:right w:val="nil"/>
            </w:tcBorders>
            <w:shd w:val="clear" w:color="auto" w:fill="auto"/>
            <w:noWrap/>
            <w:vAlign w:val="center"/>
          </w:tcPr>
          <w:p w14:paraId="18EEE0C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53</w:t>
            </w:r>
          </w:p>
        </w:tc>
        <w:tc>
          <w:tcPr>
            <w:tcW w:w="621" w:type="dxa"/>
            <w:tcBorders>
              <w:top w:val="nil"/>
              <w:left w:val="nil"/>
              <w:bottom w:val="nil"/>
              <w:right w:val="nil"/>
            </w:tcBorders>
            <w:shd w:val="clear" w:color="auto" w:fill="auto"/>
            <w:noWrap/>
            <w:vAlign w:val="center"/>
          </w:tcPr>
          <w:p w14:paraId="1F32852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28.7</w:t>
            </w:r>
          </w:p>
        </w:tc>
        <w:tc>
          <w:tcPr>
            <w:tcW w:w="1146" w:type="dxa"/>
            <w:tcBorders>
              <w:top w:val="nil"/>
              <w:left w:val="nil"/>
              <w:bottom w:val="nil"/>
              <w:right w:val="single" w:sz="4" w:space="0" w:color="000000"/>
            </w:tcBorders>
            <w:shd w:val="clear" w:color="auto" w:fill="auto"/>
            <w:noWrap/>
            <w:vAlign w:val="center"/>
          </w:tcPr>
          <w:p w14:paraId="702A952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(23.6, 33.8)</w:t>
            </w:r>
          </w:p>
        </w:tc>
        <w:tc>
          <w:tcPr>
            <w:tcW w:w="456" w:type="dxa"/>
            <w:tcBorders>
              <w:top w:val="nil"/>
              <w:left w:val="single" w:sz="4" w:space="0" w:color="000000"/>
              <w:bottom w:val="nil"/>
              <w:right w:val="nil"/>
            </w:tcBorders>
            <w:shd w:val="clear" w:color="auto" w:fill="auto"/>
            <w:vAlign w:val="center"/>
          </w:tcPr>
          <w:p w14:paraId="2CA932F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42</w:t>
            </w:r>
          </w:p>
        </w:tc>
        <w:tc>
          <w:tcPr>
            <w:tcW w:w="567" w:type="dxa"/>
            <w:tcBorders>
              <w:top w:val="nil"/>
              <w:left w:val="nil"/>
              <w:bottom w:val="nil"/>
              <w:right w:val="nil"/>
            </w:tcBorders>
            <w:shd w:val="clear" w:color="auto" w:fill="auto"/>
            <w:vAlign w:val="center"/>
          </w:tcPr>
          <w:p w14:paraId="7215FFB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28.4</w:t>
            </w:r>
          </w:p>
        </w:tc>
        <w:tc>
          <w:tcPr>
            <w:tcW w:w="1146" w:type="dxa"/>
            <w:tcBorders>
              <w:top w:val="nil"/>
              <w:left w:val="nil"/>
              <w:bottom w:val="nil"/>
              <w:right w:val="single" w:sz="4" w:space="0" w:color="000000"/>
            </w:tcBorders>
            <w:shd w:val="clear" w:color="auto" w:fill="auto"/>
            <w:vAlign w:val="center"/>
          </w:tcPr>
          <w:p w14:paraId="5100916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(22.6, 34.2)</w:t>
            </w:r>
          </w:p>
        </w:tc>
        <w:tc>
          <w:tcPr>
            <w:tcW w:w="456" w:type="dxa"/>
            <w:tcBorders>
              <w:top w:val="nil"/>
              <w:left w:val="single" w:sz="4" w:space="0" w:color="000000"/>
              <w:bottom w:val="nil"/>
              <w:right w:val="nil"/>
            </w:tcBorders>
            <w:vAlign w:val="center"/>
          </w:tcPr>
          <w:p w14:paraId="1DD63E8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40</w:t>
            </w:r>
          </w:p>
        </w:tc>
        <w:tc>
          <w:tcPr>
            <w:tcW w:w="621" w:type="dxa"/>
            <w:tcBorders>
              <w:top w:val="nil"/>
              <w:left w:val="nil"/>
              <w:bottom w:val="nil"/>
              <w:right w:val="nil"/>
            </w:tcBorders>
            <w:vAlign w:val="center"/>
          </w:tcPr>
          <w:p w14:paraId="3F29D0C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30.6</w:t>
            </w:r>
          </w:p>
        </w:tc>
        <w:tc>
          <w:tcPr>
            <w:tcW w:w="1146" w:type="dxa"/>
            <w:tcBorders>
              <w:top w:val="nil"/>
              <w:left w:val="nil"/>
              <w:bottom w:val="nil"/>
              <w:right w:val="nil"/>
            </w:tcBorders>
            <w:vAlign w:val="center"/>
          </w:tcPr>
          <w:p w14:paraId="423A64C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(24.5, 36.7)</w:t>
            </w:r>
          </w:p>
        </w:tc>
      </w:tr>
      <w:tr w:rsidR="009118DA" w:rsidRPr="00D76D7F" w14:paraId="022CC97E"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169913CE" w14:textId="77777777" w:rsidR="003D7BB5" w:rsidRPr="00D76D7F" w:rsidRDefault="003D7BB5" w:rsidP="00DD0F28">
            <w:pPr>
              <w:tabs>
                <w:tab w:val="left" w:pos="205"/>
              </w:tabs>
              <w:spacing w:before="20" w:after="20"/>
              <w:rPr>
                <w:rFonts w:eastAsiaTheme="minorEastAsia"/>
                <w:b w:val="0"/>
                <w:sz w:val="18"/>
                <w:szCs w:val="18"/>
                <w:lang w:eastAsia="en-US"/>
              </w:rPr>
            </w:pPr>
            <w:r w:rsidRPr="00D76D7F">
              <w:rPr>
                <w:rFonts w:eastAsiaTheme="minorEastAsia"/>
                <w:b w:val="0"/>
                <w:sz w:val="18"/>
                <w:szCs w:val="18"/>
                <w:lang w:eastAsia="en-US"/>
              </w:rPr>
              <w:tab/>
              <w:t>At least weekly</w:t>
            </w:r>
          </w:p>
        </w:tc>
        <w:tc>
          <w:tcPr>
            <w:tcW w:w="536" w:type="dxa"/>
            <w:tcBorders>
              <w:top w:val="nil"/>
              <w:left w:val="nil"/>
              <w:bottom w:val="nil"/>
              <w:right w:val="nil"/>
            </w:tcBorders>
            <w:noWrap/>
            <w:vAlign w:val="center"/>
          </w:tcPr>
          <w:p w14:paraId="0999918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84</w:t>
            </w:r>
          </w:p>
        </w:tc>
        <w:tc>
          <w:tcPr>
            <w:tcW w:w="567" w:type="dxa"/>
            <w:tcBorders>
              <w:top w:val="nil"/>
              <w:left w:val="nil"/>
              <w:bottom w:val="nil"/>
              <w:right w:val="nil"/>
            </w:tcBorders>
            <w:noWrap/>
            <w:vAlign w:val="center"/>
          </w:tcPr>
          <w:p w14:paraId="637039F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27.1</w:t>
            </w:r>
          </w:p>
        </w:tc>
        <w:tc>
          <w:tcPr>
            <w:tcW w:w="1146" w:type="dxa"/>
            <w:tcBorders>
              <w:top w:val="nil"/>
              <w:left w:val="nil"/>
              <w:bottom w:val="nil"/>
              <w:right w:val="single" w:sz="4" w:space="0" w:color="auto"/>
            </w:tcBorders>
            <w:noWrap/>
            <w:vAlign w:val="center"/>
          </w:tcPr>
          <w:p w14:paraId="636C775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(23.3, 30.8)</w:t>
            </w:r>
          </w:p>
        </w:tc>
        <w:tc>
          <w:tcPr>
            <w:tcW w:w="456" w:type="dxa"/>
            <w:tcBorders>
              <w:top w:val="nil"/>
              <w:left w:val="single" w:sz="4" w:space="0" w:color="auto"/>
              <w:bottom w:val="nil"/>
              <w:right w:val="nil"/>
            </w:tcBorders>
            <w:noWrap/>
            <w:vAlign w:val="center"/>
          </w:tcPr>
          <w:p w14:paraId="532C4BA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40</w:t>
            </w:r>
          </w:p>
        </w:tc>
        <w:tc>
          <w:tcPr>
            <w:tcW w:w="621" w:type="dxa"/>
            <w:tcBorders>
              <w:top w:val="nil"/>
              <w:left w:val="nil"/>
              <w:bottom w:val="nil"/>
              <w:right w:val="nil"/>
            </w:tcBorders>
            <w:noWrap/>
            <w:vAlign w:val="center"/>
          </w:tcPr>
          <w:p w14:paraId="655F453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21.4</w:t>
            </w:r>
          </w:p>
        </w:tc>
        <w:tc>
          <w:tcPr>
            <w:tcW w:w="1146" w:type="dxa"/>
            <w:tcBorders>
              <w:top w:val="nil"/>
              <w:left w:val="nil"/>
              <w:bottom w:val="nil"/>
              <w:right w:val="single" w:sz="4" w:space="0" w:color="000000"/>
            </w:tcBorders>
            <w:shd w:val="clear" w:color="auto" w:fill="FFFFFF" w:themeFill="background1"/>
            <w:noWrap/>
            <w:vAlign w:val="center"/>
          </w:tcPr>
          <w:p w14:paraId="12EE6ED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(16.6, 26.2)</w:t>
            </w:r>
          </w:p>
        </w:tc>
        <w:tc>
          <w:tcPr>
            <w:tcW w:w="456" w:type="dxa"/>
            <w:tcBorders>
              <w:top w:val="nil"/>
              <w:left w:val="single" w:sz="4" w:space="0" w:color="000000"/>
              <w:bottom w:val="nil"/>
              <w:right w:val="nil"/>
            </w:tcBorders>
            <w:shd w:val="clear" w:color="auto" w:fill="FFFFFF" w:themeFill="background1"/>
            <w:vAlign w:val="center"/>
          </w:tcPr>
          <w:p w14:paraId="601F52F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34</w:t>
            </w:r>
          </w:p>
        </w:tc>
        <w:tc>
          <w:tcPr>
            <w:tcW w:w="567" w:type="dxa"/>
            <w:tcBorders>
              <w:top w:val="nil"/>
              <w:left w:val="nil"/>
              <w:bottom w:val="nil"/>
              <w:right w:val="nil"/>
            </w:tcBorders>
            <w:shd w:val="clear" w:color="auto" w:fill="FFFFFF" w:themeFill="background1"/>
            <w:vAlign w:val="center"/>
          </w:tcPr>
          <w:p w14:paraId="2CBDFF2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22.5</w:t>
            </w:r>
          </w:p>
        </w:tc>
        <w:tc>
          <w:tcPr>
            <w:tcW w:w="1146" w:type="dxa"/>
            <w:tcBorders>
              <w:top w:val="nil"/>
              <w:left w:val="nil"/>
              <w:bottom w:val="nil"/>
              <w:right w:val="single" w:sz="4" w:space="0" w:color="000000"/>
            </w:tcBorders>
            <w:shd w:val="clear" w:color="auto" w:fill="FFFFFF" w:themeFill="background1"/>
            <w:vAlign w:val="center"/>
          </w:tcPr>
          <w:p w14:paraId="0FF1807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(17.2, 27.7)</w:t>
            </w:r>
          </w:p>
        </w:tc>
        <w:tc>
          <w:tcPr>
            <w:tcW w:w="456" w:type="dxa"/>
            <w:tcBorders>
              <w:top w:val="nil"/>
              <w:left w:val="single" w:sz="4" w:space="0" w:color="000000"/>
              <w:bottom w:val="nil"/>
              <w:right w:val="nil"/>
            </w:tcBorders>
            <w:shd w:val="clear" w:color="auto" w:fill="FFFFFF" w:themeFill="background1"/>
            <w:vAlign w:val="center"/>
          </w:tcPr>
          <w:p w14:paraId="3ED90E4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29</w:t>
            </w:r>
          </w:p>
        </w:tc>
        <w:tc>
          <w:tcPr>
            <w:tcW w:w="621" w:type="dxa"/>
            <w:tcBorders>
              <w:top w:val="nil"/>
              <w:left w:val="nil"/>
              <w:bottom w:val="nil"/>
              <w:right w:val="nil"/>
            </w:tcBorders>
            <w:shd w:val="clear" w:color="auto" w:fill="FFFFFF" w:themeFill="background1"/>
            <w:vAlign w:val="center"/>
          </w:tcPr>
          <w:p w14:paraId="280649A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21.6</w:t>
            </w:r>
          </w:p>
        </w:tc>
        <w:tc>
          <w:tcPr>
            <w:tcW w:w="1146" w:type="dxa"/>
            <w:tcBorders>
              <w:top w:val="nil"/>
              <w:left w:val="nil"/>
              <w:bottom w:val="nil"/>
              <w:right w:val="nil"/>
            </w:tcBorders>
            <w:shd w:val="clear" w:color="auto" w:fill="FFFFFF" w:themeFill="background1"/>
            <w:vAlign w:val="center"/>
          </w:tcPr>
          <w:p w14:paraId="1443A56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(15.9, 27.4)</w:t>
            </w:r>
          </w:p>
        </w:tc>
      </w:tr>
      <w:tr w:rsidR="009118DA" w:rsidRPr="00D76D7F" w14:paraId="57FBACE4"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0B3AAA4A" w14:textId="77777777" w:rsidR="003D7BB5" w:rsidRPr="00D76D7F" w:rsidRDefault="003D7BB5" w:rsidP="00DD0F28">
            <w:pPr>
              <w:tabs>
                <w:tab w:val="left" w:pos="205"/>
              </w:tabs>
              <w:spacing w:before="20" w:after="20"/>
              <w:rPr>
                <w:rFonts w:eastAsiaTheme="minorEastAsia"/>
                <w:b w:val="0"/>
                <w:sz w:val="18"/>
                <w:szCs w:val="18"/>
              </w:rPr>
            </w:pPr>
            <w:r w:rsidRPr="00D76D7F">
              <w:rPr>
                <w:rFonts w:eastAsiaTheme="minorEastAsia"/>
                <w:b w:val="0"/>
                <w:sz w:val="18"/>
                <w:szCs w:val="18"/>
              </w:rPr>
              <w:tab/>
              <w:t>At least monthly</w:t>
            </w:r>
          </w:p>
        </w:tc>
        <w:tc>
          <w:tcPr>
            <w:tcW w:w="536" w:type="dxa"/>
            <w:tcBorders>
              <w:top w:val="nil"/>
              <w:left w:val="nil"/>
              <w:bottom w:val="nil"/>
              <w:right w:val="nil"/>
            </w:tcBorders>
            <w:noWrap/>
            <w:vAlign w:val="center"/>
          </w:tcPr>
          <w:p w14:paraId="64A37F3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74</w:t>
            </w:r>
          </w:p>
        </w:tc>
        <w:tc>
          <w:tcPr>
            <w:tcW w:w="567" w:type="dxa"/>
            <w:tcBorders>
              <w:top w:val="nil"/>
              <w:left w:val="nil"/>
              <w:bottom w:val="nil"/>
              <w:right w:val="nil"/>
            </w:tcBorders>
            <w:noWrap/>
            <w:vAlign w:val="center"/>
          </w:tcPr>
          <w:p w14:paraId="6F5584B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23.9</w:t>
            </w:r>
          </w:p>
        </w:tc>
        <w:tc>
          <w:tcPr>
            <w:tcW w:w="1146" w:type="dxa"/>
            <w:tcBorders>
              <w:top w:val="nil"/>
              <w:left w:val="nil"/>
              <w:bottom w:val="nil"/>
              <w:right w:val="single" w:sz="4" w:space="0" w:color="auto"/>
            </w:tcBorders>
            <w:noWrap/>
            <w:vAlign w:val="center"/>
          </w:tcPr>
          <w:p w14:paraId="3ED1668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(20.5, 27.3)</w:t>
            </w:r>
          </w:p>
        </w:tc>
        <w:tc>
          <w:tcPr>
            <w:tcW w:w="456" w:type="dxa"/>
            <w:tcBorders>
              <w:top w:val="nil"/>
              <w:left w:val="single" w:sz="4" w:space="0" w:color="auto"/>
              <w:bottom w:val="nil"/>
              <w:right w:val="nil"/>
            </w:tcBorders>
            <w:noWrap/>
            <w:vAlign w:val="center"/>
          </w:tcPr>
          <w:p w14:paraId="0257213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44</w:t>
            </w:r>
          </w:p>
        </w:tc>
        <w:tc>
          <w:tcPr>
            <w:tcW w:w="621" w:type="dxa"/>
            <w:tcBorders>
              <w:top w:val="nil"/>
              <w:left w:val="nil"/>
              <w:bottom w:val="nil"/>
              <w:right w:val="nil"/>
            </w:tcBorders>
            <w:noWrap/>
            <w:vAlign w:val="center"/>
          </w:tcPr>
          <w:p w14:paraId="63A2CC9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23.6</w:t>
            </w:r>
          </w:p>
        </w:tc>
        <w:tc>
          <w:tcPr>
            <w:tcW w:w="1146" w:type="dxa"/>
            <w:tcBorders>
              <w:top w:val="nil"/>
              <w:left w:val="nil"/>
              <w:bottom w:val="nil"/>
              <w:right w:val="single" w:sz="4" w:space="0" w:color="000000"/>
            </w:tcBorders>
            <w:shd w:val="clear" w:color="auto" w:fill="FFFFFF" w:themeFill="background1"/>
            <w:noWrap/>
            <w:vAlign w:val="center"/>
          </w:tcPr>
          <w:p w14:paraId="7790B0B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(19.1, 28.1)</w:t>
            </w:r>
          </w:p>
        </w:tc>
        <w:tc>
          <w:tcPr>
            <w:tcW w:w="456" w:type="dxa"/>
            <w:tcBorders>
              <w:top w:val="nil"/>
              <w:left w:val="single" w:sz="4" w:space="0" w:color="000000"/>
              <w:bottom w:val="nil"/>
              <w:right w:val="nil"/>
            </w:tcBorders>
            <w:shd w:val="clear" w:color="auto" w:fill="FFFFFF" w:themeFill="background1"/>
            <w:vAlign w:val="center"/>
          </w:tcPr>
          <w:p w14:paraId="04D8AC8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26</w:t>
            </w:r>
          </w:p>
        </w:tc>
        <w:tc>
          <w:tcPr>
            <w:tcW w:w="567" w:type="dxa"/>
            <w:tcBorders>
              <w:top w:val="nil"/>
              <w:left w:val="nil"/>
              <w:bottom w:val="nil"/>
              <w:right w:val="nil"/>
            </w:tcBorders>
            <w:shd w:val="clear" w:color="auto" w:fill="FFFFFF" w:themeFill="background1"/>
            <w:vAlign w:val="center"/>
          </w:tcPr>
          <w:p w14:paraId="0760AD7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17.7</w:t>
            </w:r>
          </w:p>
        </w:tc>
        <w:tc>
          <w:tcPr>
            <w:tcW w:w="1146" w:type="dxa"/>
            <w:tcBorders>
              <w:top w:val="nil"/>
              <w:left w:val="nil"/>
              <w:bottom w:val="nil"/>
              <w:right w:val="single" w:sz="4" w:space="0" w:color="000000"/>
            </w:tcBorders>
            <w:shd w:val="clear" w:color="auto" w:fill="FFFFFF" w:themeFill="background1"/>
            <w:vAlign w:val="center"/>
          </w:tcPr>
          <w:p w14:paraId="22EB549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(13.3, 22.1)</w:t>
            </w:r>
          </w:p>
        </w:tc>
        <w:tc>
          <w:tcPr>
            <w:tcW w:w="456" w:type="dxa"/>
            <w:tcBorders>
              <w:top w:val="nil"/>
              <w:left w:val="single" w:sz="4" w:space="0" w:color="000000"/>
              <w:bottom w:val="nil"/>
              <w:right w:val="nil"/>
            </w:tcBorders>
            <w:shd w:val="clear" w:color="auto" w:fill="FFFFFF" w:themeFill="background1"/>
            <w:vAlign w:val="center"/>
          </w:tcPr>
          <w:p w14:paraId="3919250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24</w:t>
            </w:r>
          </w:p>
        </w:tc>
        <w:tc>
          <w:tcPr>
            <w:tcW w:w="621" w:type="dxa"/>
            <w:tcBorders>
              <w:top w:val="nil"/>
              <w:left w:val="nil"/>
              <w:bottom w:val="nil"/>
              <w:right w:val="nil"/>
            </w:tcBorders>
            <w:shd w:val="clear" w:color="auto" w:fill="FFFFFF" w:themeFill="background1"/>
            <w:vAlign w:val="center"/>
          </w:tcPr>
          <w:p w14:paraId="14AF822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18.2</w:t>
            </w:r>
          </w:p>
        </w:tc>
        <w:tc>
          <w:tcPr>
            <w:tcW w:w="1146" w:type="dxa"/>
            <w:tcBorders>
              <w:top w:val="nil"/>
              <w:left w:val="nil"/>
              <w:bottom w:val="nil"/>
              <w:right w:val="nil"/>
            </w:tcBorders>
            <w:shd w:val="clear" w:color="auto" w:fill="FFFFFF" w:themeFill="background1"/>
            <w:vAlign w:val="center"/>
          </w:tcPr>
          <w:p w14:paraId="2C1FB8A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(12.9, 23.5)</w:t>
            </w:r>
          </w:p>
        </w:tc>
      </w:tr>
      <w:tr w:rsidR="009118DA" w:rsidRPr="00D76D7F" w14:paraId="2776DC57"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shd w:val="clear" w:color="auto" w:fill="auto"/>
          </w:tcPr>
          <w:p w14:paraId="6D2498F1" w14:textId="77777777" w:rsidR="003D7BB5" w:rsidRPr="00D76D7F" w:rsidRDefault="003D7BB5" w:rsidP="00DD0F28">
            <w:pPr>
              <w:tabs>
                <w:tab w:val="left" w:pos="205"/>
              </w:tabs>
              <w:spacing w:before="20" w:after="20"/>
              <w:rPr>
                <w:rFonts w:eastAsiaTheme="minorEastAsia"/>
                <w:b w:val="0"/>
                <w:sz w:val="18"/>
                <w:szCs w:val="18"/>
                <w:lang w:eastAsia="en-US"/>
              </w:rPr>
            </w:pPr>
            <w:r w:rsidRPr="00D76D7F">
              <w:rPr>
                <w:rFonts w:eastAsiaTheme="minorEastAsia"/>
                <w:b w:val="0"/>
                <w:sz w:val="18"/>
                <w:szCs w:val="18"/>
                <w:lang w:eastAsia="en-US"/>
              </w:rPr>
              <w:tab/>
              <w:t>At least 6 monthly</w:t>
            </w:r>
          </w:p>
        </w:tc>
        <w:tc>
          <w:tcPr>
            <w:tcW w:w="536" w:type="dxa"/>
            <w:tcBorders>
              <w:top w:val="nil"/>
              <w:left w:val="nil"/>
              <w:bottom w:val="nil"/>
              <w:right w:val="nil"/>
            </w:tcBorders>
            <w:shd w:val="clear" w:color="auto" w:fill="auto"/>
            <w:noWrap/>
            <w:vAlign w:val="center"/>
          </w:tcPr>
          <w:p w14:paraId="300C47E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51</w:t>
            </w:r>
          </w:p>
        </w:tc>
        <w:tc>
          <w:tcPr>
            <w:tcW w:w="567" w:type="dxa"/>
            <w:tcBorders>
              <w:top w:val="nil"/>
              <w:left w:val="nil"/>
              <w:bottom w:val="nil"/>
              <w:right w:val="nil"/>
            </w:tcBorders>
            <w:shd w:val="clear" w:color="auto" w:fill="auto"/>
            <w:noWrap/>
            <w:vAlign w:val="center"/>
          </w:tcPr>
          <w:p w14:paraId="622ED6D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16.5</w:t>
            </w:r>
          </w:p>
        </w:tc>
        <w:tc>
          <w:tcPr>
            <w:tcW w:w="1146" w:type="dxa"/>
            <w:tcBorders>
              <w:top w:val="nil"/>
              <w:left w:val="nil"/>
              <w:bottom w:val="nil"/>
              <w:right w:val="single" w:sz="4" w:space="0" w:color="auto"/>
            </w:tcBorders>
            <w:shd w:val="clear" w:color="auto" w:fill="auto"/>
            <w:noWrap/>
            <w:vAlign w:val="center"/>
          </w:tcPr>
          <w:p w14:paraId="39F5986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(13.6, 19.4)</w:t>
            </w:r>
          </w:p>
        </w:tc>
        <w:tc>
          <w:tcPr>
            <w:tcW w:w="456" w:type="dxa"/>
            <w:tcBorders>
              <w:top w:val="nil"/>
              <w:left w:val="single" w:sz="4" w:space="0" w:color="auto"/>
              <w:bottom w:val="nil"/>
              <w:right w:val="nil"/>
            </w:tcBorders>
            <w:shd w:val="clear" w:color="auto" w:fill="auto"/>
            <w:noWrap/>
            <w:vAlign w:val="center"/>
          </w:tcPr>
          <w:p w14:paraId="1DE38EA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40</w:t>
            </w:r>
          </w:p>
        </w:tc>
        <w:tc>
          <w:tcPr>
            <w:tcW w:w="621" w:type="dxa"/>
            <w:tcBorders>
              <w:top w:val="nil"/>
              <w:left w:val="nil"/>
              <w:bottom w:val="nil"/>
              <w:right w:val="nil"/>
            </w:tcBorders>
            <w:shd w:val="clear" w:color="auto" w:fill="auto"/>
            <w:noWrap/>
            <w:vAlign w:val="center"/>
          </w:tcPr>
          <w:p w14:paraId="3DE3F56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21.3</w:t>
            </w:r>
          </w:p>
        </w:tc>
        <w:tc>
          <w:tcPr>
            <w:tcW w:w="1146" w:type="dxa"/>
            <w:tcBorders>
              <w:top w:val="nil"/>
              <w:left w:val="nil"/>
              <w:bottom w:val="nil"/>
              <w:right w:val="single" w:sz="4" w:space="0" w:color="000000"/>
            </w:tcBorders>
            <w:shd w:val="clear" w:color="auto" w:fill="auto"/>
            <w:noWrap/>
            <w:vAlign w:val="center"/>
          </w:tcPr>
          <w:p w14:paraId="6D4A69B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(17.1, 25.5)</w:t>
            </w:r>
          </w:p>
        </w:tc>
        <w:tc>
          <w:tcPr>
            <w:tcW w:w="456" w:type="dxa"/>
            <w:tcBorders>
              <w:top w:val="nil"/>
              <w:left w:val="single" w:sz="4" w:space="0" w:color="000000"/>
              <w:bottom w:val="nil"/>
              <w:right w:val="nil"/>
            </w:tcBorders>
            <w:shd w:val="clear" w:color="auto" w:fill="auto"/>
            <w:vAlign w:val="center"/>
          </w:tcPr>
          <w:p w14:paraId="5AC6E15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35</w:t>
            </w:r>
          </w:p>
        </w:tc>
        <w:tc>
          <w:tcPr>
            <w:tcW w:w="567" w:type="dxa"/>
            <w:tcBorders>
              <w:top w:val="nil"/>
              <w:left w:val="nil"/>
              <w:bottom w:val="nil"/>
              <w:right w:val="nil"/>
            </w:tcBorders>
            <w:shd w:val="clear" w:color="auto" w:fill="auto"/>
            <w:vAlign w:val="center"/>
          </w:tcPr>
          <w:p w14:paraId="1ABF4EE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23.4</w:t>
            </w:r>
          </w:p>
        </w:tc>
        <w:tc>
          <w:tcPr>
            <w:tcW w:w="1146" w:type="dxa"/>
            <w:tcBorders>
              <w:top w:val="nil"/>
              <w:left w:val="nil"/>
              <w:bottom w:val="nil"/>
              <w:right w:val="single" w:sz="4" w:space="0" w:color="000000"/>
            </w:tcBorders>
            <w:shd w:val="clear" w:color="auto" w:fill="auto"/>
            <w:vAlign w:val="center"/>
          </w:tcPr>
          <w:p w14:paraId="384393C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(18.4, 28.5)</w:t>
            </w:r>
          </w:p>
        </w:tc>
        <w:tc>
          <w:tcPr>
            <w:tcW w:w="456" w:type="dxa"/>
            <w:tcBorders>
              <w:top w:val="nil"/>
              <w:left w:val="single" w:sz="4" w:space="0" w:color="000000"/>
              <w:bottom w:val="nil"/>
              <w:right w:val="nil"/>
            </w:tcBorders>
            <w:shd w:val="clear" w:color="auto" w:fill="auto"/>
            <w:vAlign w:val="center"/>
          </w:tcPr>
          <w:p w14:paraId="1389A75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w:t>
            </w:r>
          </w:p>
        </w:tc>
        <w:tc>
          <w:tcPr>
            <w:tcW w:w="621" w:type="dxa"/>
            <w:tcBorders>
              <w:top w:val="nil"/>
              <w:left w:val="nil"/>
              <w:bottom w:val="nil"/>
              <w:right w:val="nil"/>
            </w:tcBorders>
            <w:shd w:val="clear" w:color="auto" w:fill="auto"/>
            <w:vAlign w:val="center"/>
          </w:tcPr>
          <w:p w14:paraId="22E5913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22.8</w:t>
            </w:r>
          </w:p>
        </w:tc>
        <w:tc>
          <w:tcPr>
            <w:tcW w:w="1146" w:type="dxa"/>
            <w:tcBorders>
              <w:top w:val="nil"/>
              <w:left w:val="nil"/>
              <w:bottom w:val="nil"/>
              <w:right w:val="nil"/>
            </w:tcBorders>
            <w:shd w:val="clear" w:color="auto" w:fill="auto"/>
            <w:vAlign w:val="center"/>
          </w:tcPr>
          <w:p w14:paraId="5C00D84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(16.9, 28.6)</w:t>
            </w:r>
          </w:p>
        </w:tc>
      </w:tr>
      <w:tr w:rsidR="009118DA" w:rsidRPr="00D76D7F" w14:paraId="0F18EEFB"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single" w:sz="4" w:space="0" w:color="auto"/>
              <w:right w:val="nil"/>
            </w:tcBorders>
          </w:tcPr>
          <w:p w14:paraId="15EFAB55" w14:textId="77777777" w:rsidR="003D7BB5" w:rsidRPr="00D76D7F" w:rsidRDefault="003D7BB5" w:rsidP="00DD0F28">
            <w:pPr>
              <w:tabs>
                <w:tab w:val="left" w:pos="176"/>
              </w:tabs>
              <w:spacing w:before="20" w:after="20"/>
              <w:rPr>
                <w:rFonts w:eastAsiaTheme="minorEastAsia"/>
                <w:b w:val="0"/>
                <w:sz w:val="18"/>
                <w:szCs w:val="18"/>
                <w:lang w:eastAsia="en-US"/>
              </w:rPr>
            </w:pPr>
            <w:r w:rsidRPr="00D76D7F">
              <w:rPr>
                <w:rFonts w:eastAsiaTheme="minorEastAsia"/>
                <w:b w:val="0"/>
                <w:sz w:val="18"/>
                <w:szCs w:val="18"/>
                <w:lang w:eastAsia="en-US"/>
              </w:rPr>
              <w:tab/>
              <w:t>At least once in past year</w:t>
            </w:r>
          </w:p>
        </w:tc>
        <w:tc>
          <w:tcPr>
            <w:tcW w:w="536" w:type="dxa"/>
            <w:tcBorders>
              <w:top w:val="nil"/>
              <w:left w:val="nil"/>
              <w:bottom w:val="single" w:sz="4" w:space="0" w:color="auto"/>
              <w:right w:val="nil"/>
            </w:tcBorders>
            <w:noWrap/>
            <w:vAlign w:val="center"/>
          </w:tcPr>
          <w:p w14:paraId="268C986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21</w:t>
            </w:r>
          </w:p>
        </w:tc>
        <w:tc>
          <w:tcPr>
            <w:tcW w:w="567" w:type="dxa"/>
            <w:tcBorders>
              <w:top w:val="nil"/>
              <w:left w:val="nil"/>
              <w:bottom w:val="single" w:sz="4" w:space="0" w:color="auto"/>
              <w:right w:val="nil"/>
            </w:tcBorders>
            <w:noWrap/>
            <w:vAlign w:val="center"/>
          </w:tcPr>
          <w:p w14:paraId="7AC0381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6.8</w:t>
            </w:r>
          </w:p>
        </w:tc>
        <w:tc>
          <w:tcPr>
            <w:tcW w:w="1146" w:type="dxa"/>
            <w:tcBorders>
              <w:top w:val="nil"/>
              <w:left w:val="nil"/>
              <w:bottom w:val="single" w:sz="4" w:space="0" w:color="auto"/>
              <w:right w:val="single" w:sz="4" w:space="0" w:color="auto"/>
            </w:tcBorders>
            <w:noWrap/>
            <w:vAlign w:val="center"/>
          </w:tcPr>
          <w:p w14:paraId="3B34571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(4.7, 9.0)</w:t>
            </w:r>
          </w:p>
        </w:tc>
        <w:tc>
          <w:tcPr>
            <w:tcW w:w="456" w:type="dxa"/>
            <w:tcBorders>
              <w:top w:val="nil"/>
              <w:left w:val="single" w:sz="4" w:space="0" w:color="auto"/>
              <w:bottom w:val="single" w:sz="4" w:space="0" w:color="auto"/>
              <w:right w:val="nil"/>
            </w:tcBorders>
            <w:noWrap/>
            <w:vAlign w:val="center"/>
          </w:tcPr>
          <w:p w14:paraId="61FE090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w:t>
            </w:r>
          </w:p>
        </w:tc>
        <w:tc>
          <w:tcPr>
            <w:tcW w:w="621" w:type="dxa"/>
            <w:tcBorders>
              <w:top w:val="nil"/>
              <w:left w:val="nil"/>
              <w:bottom w:val="single" w:sz="4" w:space="0" w:color="auto"/>
              <w:right w:val="nil"/>
            </w:tcBorders>
            <w:noWrap/>
            <w:vAlign w:val="center"/>
          </w:tcPr>
          <w:p w14:paraId="69AE806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5.0</w:t>
            </w:r>
          </w:p>
        </w:tc>
        <w:tc>
          <w:tcPr>
            <w:tcW w:w="1146" w:type="dxa"/>
            <w:tcBorders>
              <w:top w:val="nil"/>
              <w:left w:val="nil"/>
              <w:bottom w:val="single" w:sz="4" w:space="0" w:color="auto"/>
              <w:right w:val="single" w:sz="4" w:space="0" w:color="000000"/>
            </w:tcBorders>
            <w:shd w:val="clear" w:color="auto" w:fill="FFFFFF" w:themeFill="background1"/>
            <w:noWrap/>
            <w:vAlign w:val="center"/>
          </w:tcPr>
          <w:p w14:paraId="667FF3B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(2.3, 7.7)</w:t>
            </w:r>
          </w:p>
        </w:tc>
        <w:tc>
          <w:tcPr>
            <w:tcW w:w="456" w:type="dxa"/>
            <w:tcBorders>
              <w:top w:val="nil"/>
              <w:left w:val="single" w:sz="4" w:space="0" w:color="000000"/>
              <w:bottom w:val="single" w:sz="4" w:space="0" w:color="auto"/>
              <w:right w:val="nil"/>
            </w:tcBorders>
            <w:shd w:val="clear" w:color="auto" w:fill="FFFFFF" w:themeFill="background1"/>
            <w:vAlign w:val="center"/>
          </w:tcPr>
          <w:p w14:paraId="55B56B3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w:t>
            </w:r>
          </w:p>
        </w:tc>
        <w:tc>
          <w:tcPr>
            <w:tcW w:w="567" w:type="dxa"/>
            <w:tcBorders>
              <w:top w:val="nil"/>
              <w:left w:val="nil"/>
              <w:bottom w:val="single" w:sz="4" w:space="0" w:color="auto"/>
              <w:right w:val="nil"/>
            </w:tcBorders>
            <w:shd w:val="clear" w:color="auto" w:fill="FFFFFF" w:themeFill="background1"/>
            <w:vAlign w:val="center"/>
          </w:tcPr>
          <w:p w14:paraId="2BDF6F4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8.1</w:t>
            </w:r>
          </w:p>
        </w:tc>
        <w:tc>
          <w:tcPr>
            <w:tcW w:w="1146" w:type="dxa"/>
            <w:tcBorders>
              <w:top w:val="nil"/>
              <w:left w:val="nil"/>
              <w:bottom w:val="single" w:sz="4" w:space="0" w:color="auto"/>
              <w:right w:val="single" w:sz="4" w:space="0" w:color="000000"/>
            </w:tcBorders>
            <w:shd w:val="clear" w:color="auto" w:fill="FFFFFF" w:themeFill="background1"/>
            <w:vAlign w:val="center"/>
          </w:tcPr>
          <w:p w14:paraId="35BDD80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(4.7, 11.4)</w:t>
            </w:r>
          </w:p>
        </w:tc>
        <w:tc>
          <w:tcPr>
            <w:tcW w:w="456" w:type="dxa"/>
            <w:tcBorders>
              <w:top w:val="nil"/>
              <w:left w:val="single" w:sz="4" w:space="0" w:color="000000"/>
              <w:bottom w:val="single" w:sz="4" w:space="0" w:color="auto"/>
              <w:right w:val="nil"/>
            </w:tcBorders>
            <w:shd w:val="clear" w:color="auto" w:fill="FFFFFF" w:themeFill="background1"/>
            <w:vAlign w:val="center"/>
          </w:tcPr>
          <w:p w14:paraId="4F1481F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w:t>
            </w:r>
          </w:p>
        </w:tc>
        <w:tc>
          <w:tcPr>
            <w:tcW w:w="621" w:type="dxa"/>
            <w:tcBorders>
              <w:top w:val="nil"/>
              <w:left w:val="nil"/>
              <w:bottom w:val="single" w:sz="4" w:space="0" w:color="auto"/>
              <w:right w:val="nil"/>
            </w:tcBorders>
            <w:shd w:val="clear" w:color="auto" w:fill="FFFFFF" w:themeFill="background1"/>
            <w:vAlign w:val="center"/>
          </w:tcPr>
          <w:p w14:paraId="60C9E3C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6.8</w:t>
            </w:r>
          </w:p>
        </w:tc>
        <w:tc>
          <w:tcPr>
            <w:tcW w:w="1146" w:type="dxa"/>
            <w:tcBorders>
              <w:top w:val="nil"/>
              <w:left w:val="nil"/>
              <w:bottom w:val="single" w:sz="4" w:space="0" w:color="auto"/>
              <w:right w:val="nil"/>
            </w:tcBorders>
            <w:shd w:val="clear" w:color="auto" w:fill="FFFFFF" w:themeFill="background1"/>
            <w:vAlign w:val="center"/>
          </w:tcPr>
          <w:p w14:paraId="3C33177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(3.8, 9.9)</w:t>
            </w:r>
          </w:p>
        </w:tc>
      </w:tr>
      <w:tr w:rsidR="009118DA" w:rsidRPr="00D76D7F" w14:paraId="1F8819EB"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5100" w:type="dxa"/>
            <w:gridSpan w:val="3"/>
            <w:tcBorders>
              <w:top w:val="single" w:sz="4" w:space="0" w:color="auto"/>
              <w:left w:val="nil"/>
              <w:bottom w:val="nil"/>
              <w:right w:val="nil"/>
            </w:tcBorders>
            <w:vAlign w:val="center"/>
          </w:tcPr>
          <w:p w14:paraId="4A94BB1F" w14:textId="77777777" w:rsidR="003D7BB5" w:rsidRPr="00D76D7F" w:rsidRDefault="003D7BB5" w:rsidP="00DD0F28">
            <w:pPr>
              <w:keepNext/>
              <w:spacing w:before="20" w:after="20"/>
              <w:rPr>
                <w:rFonts w:eastAsiaTheme="minorEastAsia"/>
                <w:sz w:val="18"/>
                <w:szCs w:val="18"/>
                <w:lang w:eastAsia="en-US"/>
              </w:rPr>
            </w:pPr>
            <w:r w:rsidRPr="00D76D7F">
              <w:rPr>
                <w:rFonts w:eastAsiaTheme="minorEastAsia"/>
                <w:sz w:val="18"/>
                <w:szCs w:val="18"/>
                <w:lang w:eastAsia="en-US"/>
              </w:rPr>
              <w:t>Typical monthly gambling expenditure</w:t>
            </w:r>
          </w:p>
        </w:tc>
        <w:tc>
          <w:tcPr>
            <w:tcW w:w="1146" w:type="dxa"/>
            <w:tcBorders>
              <w:top w:val="single" w:sz="4" w:space="0" w:color="auto"/>
              <w:left w:val="nil"/>
              <w:bottom w:val="nil"/>
              <w:right w:val="single" w:sz="4" w:space="0" w:color="auto"/>
            </w:tcBorders>
            <w:noWrap/>
            <w:vAlign w:val="center"/>
          </w:tcPr>
          <w:p w14:paraId="46DB66FC" w14:textId="77777777" w:rsidR="003D7BB5" w:rsidRPr="00D76D7F" w:rsidRDefault="003D7BB5" w:rsidP="00DD0F28">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456" w:type="dxa"/>
            <w:tcBorders>
              <w:top w:val="single" w:sz="4" w:space="0" w:color="auto"/>
              <w:left w:val="single" w:sz="4" w:space="0" w:color="auto"/>
              <w:bottom w:val="nil"/>
              <w:right w:val="nil"/>
            </w:tcBorders>
            <w:noWrap/>
            <w:vAlign w:val="center"/>
          </w:tcPr>
          <w:p w14:paraId="6A0A9967" w14:textId="77777777" w:rsidR="003D7BB5" w:rsidRPr="00D76D7F" w:rsidRDefault="003D7BB5" w:rsidP="00DD0F28">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single" w:sz="4" w:space="0" w:color="auto"/>
              <w:left w:val="nil"/>
              <w:bottom w:val="nil"/>
              <w:right w:val="nil"/>
            </w:tcBorders>
            <w:noWrap/>
            <w:vAlign w:val="center"/>
          </w:tcPr>
          <w:p w14:paraId="33ABE5AD" w14:textId="77777777" w:rsidR="003D7BB5" w:rsidRPr="00D76D7F" w:rsidRDefault="003D7BB5" w:rsidP="00DD0F28">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single" w:sz="4" w:space="0" w:color="auto"/>
              <w:left w:val="nil"/>
              <w:bottom w:val="nil"/>
              <w:right w:val="single" w:sz="4" w:space="0" w:color="000000"/>
            </w:tcBorders>
            <w:shd w:val="clear" w:color="auto" w:fill="FFFFFF" w:themeFill="background1"/>
            <w:noWrap/>
            <w:vAlign w:val="bottom"/>
          </w:tcPr>
          <w:p w14:paraId="6496EED8" w14:textId="77777777" w:rsidR="003D7BB5" w:rsidRPr="00D76D7F" w:rsidRDefault="003D7BB5" w:rsidP="00DD0F28">
            <w:pPr>
              <w:keepNex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456" w:type="dxa"/>
            <w:tcBorders>
              <w:top w:val="single" w:sz="4" w:space="0" w:color="auto"/>
              <w:left w:val="single" w:sz="4" w:space="0" w:color="000000"/>
              <w:bottom w:val="nil"/>
              <w:right w:val="nil"/>
            </w:tcBorders>
            <w:shd w:val="clear" w:color="auto" w:fill="FFFFFF" w:themeFill="background1"/>
            <w:vAlign w:val="bottom"/>
          </w:tcPr>
          <w:p w14:paraId="0D55BBE0" w14:textId="77777777" w:rsidR="003D7BB5" w:rsidRPr="00D76D7F" w:rsidRDefault="003D7BB5" w:rsidP="00DD0F28">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567" w:type="dxa"/>
            <w:tcBorders>
              <w:top w:val="single" w:sz="4" w:space="0" w:color="auto"/>
              <w:left w:val="nil"/>
              <w:bottom w:val="nil"/>
              <w:right w:val="nil"/>
            </w:tcBorders>
            <w:shd w:val="clear" w:color="auto" w:fill="FFFFFF" w:themeFill="background1"/>
            <w:vAlign w:val="bottom"/>
          </w:tcPr>
          <w:p w14:paraId="2D1526F7" w14:textId="77777777" w:rsidR="003D7BB5" w:rsidRPr="00D76D7F" w:rsidRDefault="003D7BB5" w:rsidP="00DD0F28">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single" w:sz="4" w:space="0" w:color="auto"/>
              <w:left w:val="nil"/>
              <w:bottom w:val="nil"/>
              <w:right w:val="single" w:sz="4" w:space="0" w:color="000000"/>
            </w:tcBorders>
            <w:shd w:val="clear" w:color="auto" w:fill="FFFFFF" w:themeFill="background1"/>
            <w:vAlign w:val="bottom"/>
          </w:tcPr>
          <w:p w14:paraId="1F849A1D" w14:textId="77777777" w:rsidR="003D7BB5" w:rsidRPr="00D76D7F" w:rsidRDefault="003D7BB5" w:rsidP="00DD0F28">
            <w:pPr>
              <w:keepNex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456" w:type="dxa"/>
            <w:tcBorders>
              <w:top w:val="single" w:sz="4" w:space="0" w:color="auto"/>
              <w:left w:val="single" w:sz="4" w:space="0" w:color="000000"/>
              <w:bottom w:val="nil"/>
              <w:right w:val="nil"/>
            </w:tcBorders>
            <w:shd w:val="clear" w:color="auto" w:fill="FFFFFF" w:themeFill="background1"/>
            <w:vAlign w:val="bottom"/>
          </w:tcPr>
          <w:p w14:paraId="3D190FD8" w14:textId="77777777" w:rsidR="003D7BB5" w:rsidRPr="00D76D7F" w:rsidRDefault="003D7BB5" w:rsidP="00DD0F28">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621" w:type="dxa"/>
            <w:tcBorders>
              <w:top w:val="single" w:sz="4" w:space="0" w:color="auto"/>
              <w:left w:val="nil"/>
              <w:bottom w:val="nil"/>
              <w:right w:val="nil"/>
            </w:tcBorders>
            <w:shd w:val="clear" w:color="auto" w:fill="FFFFFF" w:themeFill="background1"/>
            <w:vAlign w:val="bottom"/>
          </w:tcPr>
          <w:p w14:paraId="0581ABFC" w14:textId="77777777" w:rsidR="003D7BB5" w:rsidRPr="00D76D7F" w:rsidRDefault="003D7BB5" w:rsidP="00DD0F28">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single" w:sz="4" w:space="0" w:color="auto"/>
              <w:left w:val="nil"/>
              <w:bottom w:val="nil"/>
              <w:right w:val="nil"/>
            </w:tcBorders>
            <w:shd w:val="clear" w:color="auto" w:fill="FFFFFF" w:themeFill="background1"/>
            <w:vAlign w:val="bottom"/>
          </w:tcPr>
          <w:p w14:paraId="5AAFA635" w14:textId="77777777" w:rsidR="003D7BB5" w:rsidRPr="00D76D7F" w:rsidRDefault="003D7BB5" w:rsidP="00DD0F28">
            <w:pPr>
              <w:keepNext/>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3D7BB5" w:rsidRPr="00D76D7F" w14:paraId="4549A2FC"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43571DF8" w14:textId="77777777" w:rsidR="003D7BB5" w:rsidRPr="00D76D7F" w:rsidRDefault="003D7BB5" w:rsidP="00DD0F28">
            <w:pPr>
              <w:keepNext/>
              <w:spacing w:before="20" w:after="20"/>
              <w:ind w:left="176"/>
              <w:rPr>
                <w:rFonts w:eastAsiaTheme="minorEastAsia"/>
                <w:b w:val="0"/>
                <w:sz w:val="18"/>
                <w:szCs w:val="18"/>
                <w:lang w:eastAsia="en-US"/>
              </w:rPr>
            </w:pPr>
            <w:r w:rsidRPr="00D76D7F">
              <w:rPr>
                <w:rFonts w:eastAsiaTheme="minorEastAsia"/>
                <w:b w:val="0"/>
                <w:sz w:val="18"/>
                <w:szCs w:val="18"/>
                <w:lang w:eastAsia="en-US"/>
              </w:rPr>
              <w:t>No gambling in past year</w:t>
            </w:r>
          </w:p>
        </w:tc>
        <w:tc>
          <w:tcPr>
            <w:tcW w:w="536" w:type="dxa"/>
            <w:tcBorders>
              <w:top w:val="nil"/>
              <w:left w:val="nil"/>
              <w:bottom w:val="nil"/>
              <w:right w:val="nil"/>
            </w:tcBorders>
            <w:noWrap/>
            <w:vAlign w:val="center"/>
          </w:tcPr>
          <w:p w14:paraId="00258585"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79</w:t>
            </w:r>
          </w:p>
        </w:tc>
        <w:tc>
          <w:tcPr>
            <w:tcW w:w="567" w:type="dxa"/>
            <w:tcBorders>
              <w:top w:val="nil"/>
              <w:left w:val="nil"/>
              <w:bottom w:val="nil"/>
              <w:right w:val="nil"/>
            </w:tcBorders>
            <w:noWrap/>
            <w:vAlign w:val="center"/>
          </w:tcPr>
          <w:p w14:paraId="3A7FEB4D"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25.7</w:t>
            </w:r>
          </w:p>
        </w:tc>
        <w:tc>
          <w:tcPr>
            <w:tcW w:w="1146" w:type="dxa"/>
            <w:tcBorders>
              <w:top w:val="nil"/>
              <w:left w:val="nil"/>
              <w:bottom w:val="nil"/>
              <w:right w:val="single" w:sz="4" w:space="0" w:color="auto"/>
            </w:tcBorders>
            <w:noWrap/>
            <w:vAlign w:val="center"/>
          </w:tcPr>
          <w:p w14:paraId="5872B45A"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(22.1, 29.3)</w:t>
            </w:r>
          </w:p>
        </w:tc>
        <w:tc>
          <w:tcPr>
            <w:tcW w:w="456" w:type="dxa"/>
            <w:tcBorders>
              <w:top w:val="nil"/>
              <w:left w:val="single" w:sz="4" w:space="0" w:color="auto"/>
              <w:bottom w:val="nil"/>
              <w:right w:val="nil"/>
            </w:tcBorders>
            <w:noWrap/>
            <w:vAlign w:val="center"/>
          </w:tcPr>
          <w:p w14:paraId="437DBE95"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53</w:t>
            </w:r>
          </w:p>
        </w:tc>
        <w:tc>
          <w:tcPr>
            <w:tcW w:w="621" w:type="dxa"/>
            <w:tcBorders>
              <w:top w:val="nil"/>
              <w:left w:val="nil"/>
              <w:bottom w:val="nil"/>
              <w:right w:val="nil"/>
            </w:tcBorders>
            <w:noWrap/>
            <w:vAlign w:val="center"/>
          </w:tcPr>
          <w:p w14:paraId="4A052475"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28.7</w:t>
            </w:r>
          </w:p>
        </w:tc>
        <w:tc>
          <w:tcPr>
            <w:tcW w:w="1146" w:type="dxa"/>
            <w:tcBorders>
              <w:top w:val="nil"/>
              <w:left w:val="nil"/>
              <w:bottom w:val="nil"/>
              <w:right w:val="single" w:sz="4" w:space="0" w:color="000000"/>
            </w:tcBorders>
            <w:shd w:val="clear" w:color="auto" w:fill="FFFFFF" w:themeFill="background1"/>
            <w:noWrap/>
            <w:vAlign w:val="center"/>
          </w:tcPr>
          <w:p w14:paraId="42547D89"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(23.6, 33.8)</w:t>
            </w:r>
          </w:p>
        </w:tc>
        <w:tc>
          <w:tcPr>
            <w:tcW w:w="456" w:type="dxa"/>
            <w:tcBorders>
              <w:top w:val="nil"/>
              <w:left w:val="single" w:sz="4" w:space="0" w:color="000000"/>
              <w:bottom w:val="nil"/>
              <w:right w:val="nil"/>
            </w:tcBorders>
            <w:vAlign w:val="center"/>
          </w:tcPr>
          <w:p w14:paraId="3E60D33A"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42</w:t>
            </w:r>
          </w:p>
        </w:tc>
        <w:tc>
          <w:tcPr>
            <w:tcW w:w="567" w:type="dxa"/>
            <w:tcBorders>
              <w:top w:val="nil"/>
              <w:left w:val="nil"/>
              <w:bottom w:val="nil"/>
              <w:right w:val="nil"/>
            </w:tcBorders>
            <w:vAlign w:val="center"/>
          </w:tcPr>
          <w:p w14:paraId="23942579"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28.4</w:t>
            </w:r>
          </w:p>
        </w:tc>
        <w:tc>
          <w:tcPr>
            <w:tcW w:w="1146" w:type="dxa"/>
            <w:tcBorders>
              <w:top w:val="nil"/>
              <w:left w:val="nil"/>
              <w:bottom w:val="nil"/>
              <w:right w:val="single" w:sz="4" w:space="0" w:color="000000"/>
            </w:tcBorders>
            <w:vAlign w:val="center"/>
          </w:tcPr>
          <w:p w14:paraId="056E5ECA"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(22.6, 34.2)</w:t>
            </w:r>
          </w:p>
        </w:tc>
        <w:tc>
          <w:tcPr>
            <w:tcW w:w="456" w:type="dxa"/>
            <w:tcBorders>
              <w:top w:val="nil"/>
              <w:left w:val="single" w:sz="4" w:space="0" w:color="000000"/>
              <w:bottom w:val="nil"/>
              <w:right w:val="nil"/>
            </w:tcBorders>
            <w:vAlign w:val="center"/>
          </w:tcPr>
          <w:p w14:paraId="763717F6"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41</w:t>
            </w:r>
          </w:p>
        </w:tc>
        <w:tc>
          <w:tcPr>
            <w:tcW w:w="621" w:type="dxa"/>
            <w:tcBorders>
              <w:top w:val="nil"/>
              <w:left w:val="nil"/>
              <w:bottom w:val="nil"/>
              <w:right w:val="nil"/>
            </w:tcBorders>
            <w:vAlign w:val="center"/>
          </w:tcPr>
          <w:p w14:paraId="3A9F3B7E"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30.8</w:t>
            </w:r>
          </w:p>
        </w:tc>
        <w:tc>
          <w:tcPr>
            <w:tcW w:w="1146" w:type="dxa"/>
            <w:tcBorders>
              <w:top w:val="nil"/>
              <w:left w:val="nil"/>
              <w:bottom w:val="nil"/>
              <w:right w:val="nil"/>
            </w:tcBorders>
            <w:vAlign w:val="center"/>
          </w:tcPr>
          <w:p w14:paraId="09BA25D2"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(24.7, 36.8)</w:t>
            </w:r>
          </w:p>
        </w:tc>
      </w:tr>
      <w:tr w:rsidR="009118DA" w:rsidRPr="00D76D7F" w14:paraId="15D7939B"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34FE7224" w14:textId="77777777" w:rsidR="003D7BB5" w:rsidRPr="00D76D7F" w:rsidRDefault="003D7BB5" w:rsidP="00DD0F28">
            <w:pPr>
              <w:keepNext/>
              <w:spacing w:before="20" w:after="20"/>
              <w:ind w:left="176"/>
              <w:rPr>
                <w:rFonts w:eastAsiaTheme="minorEastAsia"/>
                <w:b w:val="0"/>
                <w:sz w:val="18"/>
                <w:szCs w:val="18"/>
                <w:lang w:eastAsia="en-US"/>
              </w:rPr>
            </w:pPr>
            <w:r w:rsidRPr="00D76D7F">
              <w:rPr>
                <w:rFonts w:eastAsiaTheme="minorEastAsia"/>
                <w:b w:val="0"/>
                <w:sz w:val="18"/>
                <w:szCs w:val="18"/>
                <w:lang w:eastAsia="en-US"/>
              </w:rPr>
              <w:t>$1 - $10</w:t>
            </w:r>
          </w:p>
        </w:tc>
        <w:tc>
          <w:tcPr>
            <w:tcW w:w="536" w:type="dxa"/>
            <w:tcBorders>
              <w:top w:val="nil"/>
              <w:left w:val="nil"/>
              <w:bottom w:val="nil"/>
              <w:right w:val="nil"/>
            </w:tcBorders>
            <w:noWrap/>
            <w:vAlign w:val="center"/>
          </w:tcPr>
          <w:p w14:paraId="206DABB1"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37</w:t>
            </w:r>
          </w:p>
        </w:tc>
        <w:tc>
          <w:tcPr>
            <w:tcW w:w="567" w:type="dxa"/>
            <w:tcBorders>
              <w:top w:val="nil"/>
              <w:left w:val="nil"/>
              <w:bottom w:val="nil"/>
              <w:right w:val="nil"/>
            </w:tcBorders>
            <w:noWrap/>
            <w:vAlign w:val="center"/>
          </w:tcPr>
          <w:p w14:paraId="2A606C42"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11.9</w:t>
            </w:r>
          </w:p>
        </w:tc>
        <w:tc>
          <w:tcPr>
            <w:tcW w:w="1146" w:type="dxa"/>
            <w:tcBorders>
              <w:top w:val="nil"/>
              <w:left w:val="nil"/>
              <w:bottom w:val="nil"/>
              <w:right w:val="single" w:sz="4" w:space="0" w:color="auto"/>
            </w:tcBorders>
            <w:noWrap/>
            <w:vAlign w:val="center"/>
          </w:tcPr>
          <w:p w14:paraId="5025FA57"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(9.1, 14.7)</w:t>
            </w:r>
          </w:p>
        </w:tc>
        <w:tc>
          <w:tcPr>
            <w:tcW w:w="456" w:type="dxa"/>
            <w:tcBorders>
              <w:top w:val="nil"/>
              <w:left w:val="single" w:sz="4" w:space="0" w:color="auto"/>
              <w:bottom w:val="nil"/>
              <w:right w:val="nil"/>
            </w:tcBorders>
            <w:noWrap/>
            <w:vAlign w:val="center"/>
          </w:tcPr>
          <w:p w14:paraId="5C01B7B1"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29</w:t>
            </w:r>
          </w:p>
        </w:tc>
        <w:tc>
          <w:tcPr>
            <w:tcW w:w="621" w:type="dxa"/>
            <w:tcBorders>
              <w:top w:val="nil"/>
              <w:left w:val="nil"/>
              <w:bottom w:val="nil"/>
              <w:right w:val="nil"/>
            </w:tcBorders>
            <w:noWrap/>
            <w:vAlign w:val="center"/>
          </w:tcPr>
          <w:p w14:paraId="48F0E435"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15.6</w:t>
            </w:r>
          </w:p>
        </w:tc>
        <w:tc>
          <w:tcPr>
            <w:tcW w:w="1146" w:type="dxa"/>
            <w:tcBorders>
              <w:top w:val="nil"/>
              <w:left w:val="nil"/>
              <w:bottom w:val="nil"/>
              <w:right w:val="single" w:sz="4" w:space="0" w:color="000000"/>
            </w:tcBorders>
            <w:shd w:val="clear" w:color="auto" w:fill="FFFFFF" w:themeFill="background1"/>
            <w:noWrap/>
            <w:vAlign w:val="center"/>
          </w:tcPr>
          <w:p w14:paraId="5C6F961A"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(11.5, 19.6)</w:t>
            </w:r>
          </w:p>
        </w:tc>
        <w:tc>
          <w:tcPr>
            <w:tcW w:w="456" w:type="dxa"/>
            <w:tcBorders>
              <w:top w:val="nil"/>
              <w:left w:val="single" w:sz="4" w:space="0" w:color="000000"/>
              <w:bottom w:val="nil"/>
              <w:right w:val="nil"/>
            </w:tcBorders>
            <w:shd w:val="clear" w:color="auto" w:fill="FFFFFF" w:themeFill="background1"/>
            <w:vAlign w:val="center"/>
          </w:tcPr>
          <w:p w14:paraId="3FDE3CE9"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w:t>
            </w:r>
          </w:p>
        </w:tc>
        <w:tc>
          <w:tcPr>
            <w:tcW w:w="567" w:type="dxa"/>
            <w:tcBorders>
              <w:top w:val="nil"/>
              <w:left w:val="nil"/>
              <w:bottom w:val="nil"/>
              <w:right w:val="nil"/>
            </w:tcBorders>
            <w:shd w:val="clear" w:color="auto" w:fill="FFFFFF" w:themeFill="background1"/>
            <w:vAlign w:val="center"/>
          </w:tcPr>
          <w:p w14:paraId="4BD38BD6"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12.4</w:t>
            </w:r>
          </w:p>
        </w:tc>
        <w:tc>
          <w:tcPr>
            <w:tcW w:w="1146" w:type="dxa"/>
            <w:tcBorders>
              <w:top w:val="nil"/>
              <w:left w:val="nil"/>
              <w:bottom w:val="nil"/>
              <w:right w:val="single" w:sz="4" w:space="0" w:color="000000"/>
            </w:tcBorders>
            <w:shd w:val="clear" w:color="auto" w:fill="FFFFFF" w:themeFill="background1"/>
            <w:vAlign w:val="center"/>
          </w:tcPr>
          <w:p w14:paraId="0DA87EBE"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(8.7, 16.1)</w:t>
            </w:r>
          </w:p>
        </w:tc>
        <w:tc>
          <w:tcPr>
            <w:tcW w:w="456" w:type="dxa"/>
            <w:tcBorders>
              <w:top w:val="nil"/>
              <w:left w:val="single" w:sz="4" w:space="0" w:color="000000"/>
              <w:bottom w:val="nil"/>
              <w:right w:val="nil"/>
            </w:tcBorders>
            <w:shd w:val="clear" w:color="auto" w:fill="FFFFFF" w:themeFill="background1"/>
            <w:vAlign w:val="center"/>
          </w:tcPr>
          <w:p w14:paraId="1412E504"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w:t>
            </w:r>
          </w:p>
        </w:tc>
        <w:tc>
          <w:tcPr>
            <w:tcW w:w="621" w:type="dxa"/>
            <w:tcBorders>
              <w:top w:val="nil"/>
              <w:left w:val="nil"/>
              <w:bottom w:val="nil"/>
              <w:right w:val="nil"/>
            </w:tcBorders>
            <w:shd w:val="clear" w:color="auto" w:fill="FFFFFF" w:themeFill="background1"/>
            <w:vAlign w:val="center"/>
          </w:tcPr>
          <w:p w14:paraId="33E88174"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11.7</w:t>
            </w:r>
          </w:p>
        </w:tc>
        <w:tc>
          <w:tcPr>
            <w:tcW w:w="1146" w:type="dxa"/>
            <w:tcBorders>
              <w:top w:val="nil"/>
              <w:left w:val="nil"/>
              <w:bottom w:val="nil"/>
              <w:right w:val="nil"/>
            </w:tcBorders>
            <w:shd w:val="clear" w:color="auto" w:fill="FFFFFF" w:themeFill="background1"/>
            <w:vAlign w:val="center"/>
          </w:tcPr>
          <w:p w14:paraId="79BAFF0D"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(8.0, 15.5)</w:t>
            </w:r>
          </w:p>
        </w:tc>
      </w:tr>
      <w:tr w:rsidR="009118DA" w:rsidRPr="00D76D7F" w14:paraId="4108858D"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0A465AC8" w14:textId="77777777" w:rsidR="003D7BB5" w:rsidRPr="00D76D7F" w:rsidRDefault="003D7BB5" w:rsidP="00DD0F28">
            <w:pPr>
              <w:keepNext/>
              <w:spacing w:before="20" w:after="20"/>
              <w:ind w:left="176"/>
              <w:rPr>
                <w:rFonts w:eastAsiaTheme="minorEastAsia"/>
                <w:b w:val="0"/>
                <w:sz w:val="18"/>
                <w:szCs w:val="18"/>
                <w:lang w:eastAsia="en-US"/>
              </w:rPr>
            </w:pPr>
            <w:r w:rsidRPr="00D76D7F">
              <w:rPr>
                <w:rFonts w:eastAsiaTheme="minorEastAsia"/>
                <w:b w:val="0"/>
                <w:sz w:val="18"/>
                <w:szCs w:val="18"/>
                <w:lang w:eastAsia="en-US"/>
              </w:rPr>
              <w:t>$11 - $20</w:t>
            </w:r>
          </w:p>
        </w:tc>
        <w:tc>
          <w:tcPr>
            <w:tcW w:w="536" w:type="dxa"/>
            <w:tcBorders>
              <w:top w:val="nil"/>
              <w:left w:val="nil"/>
              <w:bottom w:val="nil"/>
              <w:right w:val="nil"/>
            </w:tcBorders>
            <w:noWrap/>
            <w:vAlign w:val="center"/>
          </w:tcPr>
          <w:p w14:paraId="48156A58"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39</w:t>
            </w:r>
          </w:p>
        </w:tc>
        <w:tc>
          <w:tcPr>
            <w:tcW w:w="567" w:type="dxa"/>
            <w:tcBorders>
              <w:top w:val="nil"/>
              <w:left w:val="nil"/>
              <w:bottom w:val="nil"/>
              <w:right w:val="nil"/>
            </w:tcBorders>
            <w:noWrap/>
            <w:vAlign w:val="center"/>
          </w:tcPr>
          <w:p w14:paraId="789D9AF1"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12.7</w:t>
            </w:r>
          </w:p>
        </w:tc>
        <w:tc>
          <w:tcPr>
            <w:tcW w:w="1146" w:type="dxa"/>
            <w:tcBorders>
              <w:top w:val="nil"/>
              <w:left w:val="nil"/>
              <w:bottom w:val="nil"/>
              <w:right w:val="single" w:sz="4" w:space="0" w:color="auto"/>
            </w:tcBorders>
            <w:noWrap/>
            <w:vAlign w:val="center"/>
          </w:tcPr>
          <w:p w14:paraId="514DFBBF"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(10.2, 15.2)</w:t>
            </w:r>
          </w:p>
        </w:tc>
        <w:tc>
          <w:tcPr>
            <w:tcW w:w="456" w:type="dxa"/>
            <w:tcBorders>
              <w:top w:val="nil"/>
              <w:left w:val="single" w:sz="4" w:space="0" w:color="auto"/>
              <w:bottom w:val="nil"/>
              <w:right w:val="nil"/>
            </w:tcBorders>
            <w:noWrap/>
            <w:vAlign w:val="center"/>
          </w:tcPr>
          <w:p w14:paraId="37BFB351"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21</w:t>
            </w:r>
          </w:p>
        </w:tc>
        <w:tc>
          <w:tcPr>
            <w:tcW w:w="621" w:type="dxa"/>
            <w:tcBorders>
              <w:top w:val="nil"/>
              <w:left w:val="nil"/>
              <w:bottom w:val="nil"/>
              <w:right w:val="nil"/>
            </w:tcBorders>
            <w:noWrap/>
            <w:vAlign w:val="center"/>
          </w:tcPr>
          <w:p w14:paraId="504EF79A"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11.4</w:t>
            </w:r>
          </w:p>
        </w:tc>
        <w:tc>
          <w:tcPr>
            <w:tcW w:w="1146" w:type="dxa"/>
            <w:tcBorders>
              <w:top w:val="nil"/>
              <w:left w:val="nil"/>
              <w:bottom w:val="nil"/>
              <w:right w:val="single" w:sz="4" w:space="0" w:color="000000"/>
            </w:tcBorders>
            <w:shd w:val="clear" w:color="auto" w:fill="FFFFFF" w:themeFill="background1"/>
            <w:noWrap/>
            <w:vAlign w:val="center"/>
          </w:tcPr>
          <w:p w14:paraId="007DAC3C"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(8.4, 14.3)</w:t>
            </w:r>
          </w:p>
        </w:tc>
        <w:tc>
          <w:tcPr>
            <w:tcW w:w="456" w:type="dxa"/>
            <w:tcBorders>
              <w:top w:val="nil"/>
              <w:left w:val="single" w:sz="4" w:space="0" w:color="000000"/>
              <w:bottom w:val="nil"/>
              <w:right w:val="nil"/>
            </w:tcBorders>
            <w:shd w:val="clear" w:color="auto" w:fill="FFFFFF" w:themeFill="background1"/>
            <w:vAlign w:val="center"/>
          </w:tcPr>
          <w:p w14:paraId="704532BD"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w:t>
            </w:r>
          </w:p>
        </w:tc>
        <w:tc>
          <w:tcPr>
            <w:tcW w:w="567" w:type="dxa"/>
            <w:tcBorders>
              <w:top w:val="nil"/>
              <w:left w:val="nil"/>
              <w:bottom w:val="nil"/>
              <w:right w:val="nil"/>
            </w:tcBorders>
            <w:shd w:val="clear" w:color="auto" w:fill="FFFFFF" w:themeFill="background1"/>
            <w:vAlign w:val="center"/>
          </w:tcPr>
          <w:p w14:paraId="29B87EAA"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12.8</w:t>
            </w:r>
          </w:p>
        </w:tc>
        <w:tc>
          <w:tcPr>
            <w:tcW w:w="1146" w:type="dxa"/>
            <w:tcBorders>
              <w:top w:val="nil"/>
              <w:left w:val="nil"/>
              <w:bottom w:val="nil"/>
              <w:right w:val="single" w:sz="4" w:space="0" w:color="000000"/>
            </w:tcBorders>
            <w:shd w:val="clear" w:color="auto" w:fill="FFFFFF" w:themeFill="background1"/>
            <w:vAlign w:val="center"/>
          </w:tcPr>
          <w:p w14:paraId="25E00478"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(8.9, 16.7)</w:t>
            </w:r>
          </w:p>
        </w:tc>
        <w:tc>
          <w:tcPr>
            <w:tcW w:w="456" w:type="dxa"/>
            <w:tcBorders>
              <w:top w:val="nil"/>
              <w:left w:val="single" w:sz="4" w:space="0" w:color="000000"/>
              <w:bottom w:val="nil"/>
              <w:right w:val="nil"/>
            </w:tcBorders>
            <w:shd w:val="clear" w:color="auto" w:fill="FFFFFF" w:themeFill="background1"/>
            <w:vAlign w:val="center"/>
          </w:tcPr>
          <w:p w14:paraId="1E1838BA"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w:t>
            </w:r>
          </w:p>
        </w:tc>
        <w:tc>
          <w:tcPr>
            <w:tcW w:w="621" w:type="dxa"/>
            <w:tcBorders>
              <w:top w:val="nil"/>
              <w:left w:val="nil"/>
              <w:bottom w:val="nil"/>
              <w:right w:val="nil"/>
            </w:tcBorders>
            <w:shd w:val="clear" w:color="auto" w:fill="FFFFFF" w:themeFill="background1"/>
            <w:vAlign w:val="center"/>
          </w:tcPr>
          <w:p w14:paraId="2244F5D6"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16.9</w:t>
            </w:r>
          </w:p>
        </w:tc>
        <w:tc>
          <w:tcPr>
            <w:tcW w:w="1146" w:type="dxa"/>
            <w:tcBorders>
              <w:top w:val="nil"/>
              <w:left w:val="nil"/>
              <w:bottom w:val="nil"/>
              <w:right w:val="nil"/>
            </w:tcBorders>
            <w:shd w:val="clear" w:color="auto" w:fill="FFFFFF" w:themeFill="background1"/>
            <w:vAlign w:val="center"/>
          </w:tcPr>
          <w:p w14:paraId="4A97EA68"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(11.6, 22.3)</w:t>
            </w:r>
          </w:p>
        </w:tc>
      </w:tr>
      <w:tr w:rsidR="009118DA" w:rsidRPr="00D76D7F" w14:paraId="6D739783"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7EF85008" w14:textId="77777777" w:rsidR="003D7BB5" w:rsidRPr="00D76D7F" w:rsidRDefault="003D7BB5" w:rsidP="00DD0F28">
            <w:pPr>
              <w:keepNext/>
              <w:spacing w:before="20" w:after="20"/>
              <w:ind w:left="176"/>
              <w:rPr>
                <w:rFonts w:eastAsiaTheme="minorEastAsia"/>
                <w:b w:val="0"/>
                <w:sz w:val="18"/>
                <w:szCs w:val="18"/>
                <w:lang w:eastAsia="en-US"/>
              </w:rPr>
            </w:pPr>
            <w:r w:rsidRPr="00D76D7F">
              <w:rPr>
                <w:rFonts w:eastAsiaTheme="minorEastAsia"/>
                <w:b w:val="0"/>
                <w:sz w:val="18"/>
                <w:szCs w:val="18"/>
                <w:lang w:eastAsia="en-US"/>
              </w:rPr>
              <w:t>$21 - $30</w:t>
            </w:r>
          </w:p>
        </w:tc>
        <w:tc>
          <w:tcPr>
            <w:tcW w:w="536" w:type="dxa"/>
            <w:tcBorders>
              <w:top w:val="nil"/>
              <w:left w:val="nil"/>
              <w:bottom w:val="nil"/>
              <w:right w:val="nil"/>
            </w:tcBorders>
            <w:noWrap/>
            <w:vAlign w:val="center"/>
          </w:tcPr>
          <w:p w14:paraId="17232CA2"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21</w:t>
            </w:r>
          </w:p>
        </w:tc>
        <w:tc>
          <w:tcPr>
            <w:tcW w:w="567" w:type="dxa"/>
            <w:tcBorders>
              <w:top w:val="nil"/>
              <w:left w:val="nil"/>
              <w:bottom w:val="nil"/>
              <w:right w:val="nil"/>
            </w:tcBorders>
            <w:noWrap/>
            <w:vAlign w:val="center"/>
          </w:tcPr>
          <w:p w14:paraId="3B7401B8"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6.7</w:t>
            </w:r>
          </w:p>
        </w:tc>
        <w:tc>
          <w:tcPr>
            <w:tcW w:w="1146" w:type="dxa"/>
            <w:tcBorders>
              <w:top w:val="nil"/>
              <w:left w:val="nil"/>
              <w:bottom w:val="nil"/>
              <w:right w:val="single" w:sz="4" w:space="0" w:color="auto"/>
            </w:tcBorders>
            <w:noWrap/>
            <w:vAlign w:val="center"/>
          </w:tcPr>
          <w:p w14:paraId="6C72B287"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(4.8, 8.7)</w:t>
            </w:r>
          </w:p>
        </w:tc>
        <w:tc>
          <w:tcPr>
            <w:tcW w:w="456" w:type="dxa"/>
            <w:tcBorders>
              <w:top w:val="nil"/>
              <w:left w:val="single" w:sz="4" w:space="0" w:color="auto"/>
              <w:bottom w:val="nil"/>
              <w:right w:val="nil"/>
            </w:tcBorders>
            <w:noWrap/>
            <w:vAlign w:val="center"/>
          </w:tcPr>
          <w:p w14:paraId="0737D836"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w:t>
            </w:r>
          </w:p>
        </w:tc>
        <w:tc>
          <w:tcPr>
            <w:tcW w:w="621" w:type="dxa"/>
            <w:tcBorders>
              <w:top w:val="nil"/>
              <w:left w:val="nil"/>
              <w:bottom w:val="nil"/>
              <w:right w:val="nil"/>
            </w:tcBorders>
            <w:noWrap/>
            <w:vAlign w:val="center"/>
          </w:tcPr>
          <w:p w14:paraId="046E4A24"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7.0</w:t>
            </w:r>
          </w:p>
        </w:tc>
        <w:tc>
          <w:tcPr>
            <w:tcW w:w="1146" w:type="dxa"/>
            <w:tcBorders>
              <w:top w:val="nil"/>
              <w:left w:val="nil"/>
              <w:bottom w:val="nil"/>
              <w:right w:val="single" w:sz="4" w:space="0" w:color="000000"/>
            </w:tcBorders>
            <w:shd w:val="clear" w:color="auto" w:fill="FFFFFF" w:themeFill="background1"/>
            <w:noWrap/>
            <w:vAlign w:val="center"/>
          </w:tcPr>
          <w:p w14:paraId="161EF53D"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(4.3, 9.6)</w:t>
            </w:r>
          </w:p>
        </w:tc>
        <w:tc>
          <w:tcPr>
            <w:tcW w:w="456" w:type="dxa"/>
            <w:tcBorders>
              <w:top w:val="nil"/>
              <w:left w:val="single" w:sz="4" w:space="0" w:color="000000"/>
              <w:bottom w:val="nil"/>
              <w:right w:val="nil"/>
            </w:tcBorders>
            <w:shd w:val="clear" w:color="auto" w:fill="FFFFFF" w:themeFill="background1"/>
            <w:vAlign w:val="center"/>
          </w:tcPr>
          <w:p w14:paraId="3CB2D471"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w:t>
            </w:r>
          </w:p>
        </w:tc>
        <w:tc>
          <w:tcPr>
            <w:tcW w:w="567" w:type="dxa"/>
            <w:tcBorders>
              <w:top w:val="nil"/>
              <w:left w:val="nil"/>
              <w:bottom w:val="nil"/>
              <w:right w:val="nil"/>
            </w:tcBorders>
            <w:shd w:val="clear" w:color="auto" w:fill="FFFFFF" w:themeFill="background1"/>
            <w:vAlign w:val="center"/>
          </w:tcPr>
          <w:p w14:paraId="338CBE21"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8.0</w:t>
            </w:r>
          </w:p>
        </w:tc>
        <w:tc>
          <w:tcPr>
            <w:tcW w:w="1146" w:type="dxa"/>
            <w:tcBorders>
              <w:top w:val="nil"/>
              <w:left w:val="nil"/>
              <w:bottom w:val="nil"/>
              <w:right w:val="single" w:sz="4" w:space="0" w:color="000000"/>
            </w:tcBorders>
            <w:shd w:val="clear" w:color="auto" w:fill="FFFFFF" w:themeFill="background1"/>
            <w:vAlign w:val="center"/>
          </w:tcPr>
          <w:p w14:paraId="3966D1FA"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(4.8, 11.1)</w:t>
            </w:r>
          </w:p>
        </w:tc>
        <w:tc>
          <w:tcPr>
            <w:tcW w:w="456" w:type="dxa"/>
            <w:tcBorders>
              <w:top w:val="nil"/>
              <w:left w:val="single" w:sz="4" w:space="0" w:color="000000"/>
              <w:bottom w:val="nil"/>
              <w:right w:val="nil"/>
            </w:tcBorders>
            <w:shd w:val="clear" w:color="auto" w:fill="FFFFFF" w:themeFill="background1"/>
            <w:vAlign w:val="center"/>
          </w:tcPr>
          <w:p w14:paraId="3892436E"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w:t>
            </w:r>
          </w:p>
        </w:tc>
        <w:tc>
          <w:tcPr>
            <w:tcW w:w="621" w:type="dxa"/>
            <w:tcBorders>
              <w:top w:val="nil"/>
              <w:left w:val="nil"/>
              <w:bottom w:val="nil"/>
              <w:right w:val="nil"/>
            </w:tcBorders>
            <w:shd w:val="clear" w:color="auto" w:fill="FFFFFF" w:themeFill="background1"/>
            <w:vAlign w:val="center"/>
          </w:tcPr>
          <w:p w14:paraId="5E31A41B"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8.9</w:t>
            </w:r>
          </w:p>
        </w:tc>
        <w:tc>
          <w:tcPr>
            <w:tcW w:w="1146" w:type="dxa"/>
            <w:tcBorders>
              <w:top w:val="nil"/>
              <w:left w:val="nil"/>
              <w:bottom w:val="nil"/>
              <w:right w:val="nil"/>
            </w:tcBorders>
            <w:shd w:val="clear" w:color="auto" w:fill="FFFFFF" w:themeFill="background1"/>
            <w:vAlign w:val="center"/>
          </w:tcPr>
          <w:p w14:paraId="31719526"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(4.6, 13.1)</w:t>
            </w:r>
          </w:p>
        </w:tc>
      </w:tr>
      <w:tr w:rsidR="009118DA" w:rsidRPr="00D76D7F" w14:paraId="6DCDF5DE"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06886C16" w14:textId="77777777" w:rsidR="003D7BB5" w:rsidRPr="00D76D7F" w:rsidRDefault="003D7BB5" w:rsidP="00DD0F28">
            <w:pPr>
              <w:keepNext/>
              <w:spacing w:before="20" w:after="20"/>
              <w:ind w:left="176"/>
              <w:rPr>
                <w:rFonts w:eastAsiaTheme="minorEastAsia"/>
                <w:b w:val="0"/>
                <w:sz w:val="18"/>
                <w:szCs w:val="18"/>
                <w:lang w:eastAsia="en-US"/>
              </w:rPr>
            </w:pPr>
            <w:r w:rsidRPr="00D76D7F">
              <w:rPr>
                <w:rFonts w:eastAsiaTheme="minorEastAsia"/>
                <w:b w:val="0"/>
                <w:sz w:val="18"/>
                <w:szCs w:val="18"/>
                <w:lang w:eastAsia="en-US"/>
              </w:rPr>
              <w:t>$31 - $50</w:t>
            </w:r>
          </w:p>
        </w:tc>
        <w:tc>
          <w:tcPr>
            <w:tcW w:w="536" w:type="dxa"/>
            <w:tcBorders>
              <w:top w:val="nil"/>
              <w:left w:val="nil"/>
              <w:bottom w:val="nil"/>
              <w:right w:val="nil"/>
            </w:tcBorders>
            <w:noWrap/>
            <w:vAlign w:val="center"/>
          </w:tcPr>
          <w:p w14:paraId="3AA74642"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36</w:t>
            </w:r>
          </w:p>
        </w:tc>
        <w:tc>
          <w:tcPr>
            <w:tcW w:w="567" w:type="dxa"/>
            <w:tcBorders>
              <w:top w:val="nil"/>
              <w:left w:val="nil"/>
              <w:bottom w:val="nil"/>
              <w:right w:val="nil"/>
            </w:tcBorders>
            <w:noWrap/>
            <w:vAlign w:val="center"/>
          </w:tcPr>
          <w:p w14:paraId="3E3F29A5"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11.5</w:t>
            </w:r>
          </w:p>
        </w:tc>
        <w:tc>
          <w:tcPr>
            <w:tcW w:w="1146" w:type="dxa"/>
            <w:tcBorders>
              <w:top w:val="nil"/>
              <w:left w:val="nil"/>
              <w:bottom w:val="nil"/>
              <w:right w:val="single" w:sz="4" w:space="0" w:color="auto"/>
            </w:tcBorders>
            <w:noWrap/>
            <w:vAlign w:val="center"/>
          </w:tcPr>
          <w:p w14:paraId="182D665A"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(9.1, 14)</w:t>
            </w:r>
          </w:p>
        </w:tc>
        <w:tc>
          <w:tcPr>
            <w:tcW w:w="456" w:type="dxa"/>
            <w:tcBorders>
              <w:top w:val="nil"/>
              <w:left w:val="single" w:sz="4" w:space="0" w:color="auto"/>
              <w:bottom w:val="nil"/>
              <w:right w:val="nil"/>
            </w:tcBorders>
            <w:noWrap/>
            <w:vAlign w:val="center"/>
          </w:tcPr>
          <w:p w14:paraId="20BC4225"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w:t>
            </w:r>
          </w:p>
        </w:tc>
        <w:tc>
          <w:tcPr>
            <w:tcW w:w="621" w:type="dxa"/>
            <w:tcBorders>
              <w:top w:val="nil"/>
              <w:left w:val="nil"/>
              <w:bottom w:val="nil"/>
              <w:right w:val="nil"/>
            </w:tcBorders>
            <w:noWrap/>
            <w:vAlign w:val="center"/>
          </w:tcPr>
          <w:p w14:paraId="714248CD"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10.6</w:t>
            </w:r>
          </w:p>
        </w:tc>
        <w:tc>
          <w:tcPr>
            <w:tcW w:w="1146" w:type="dxa"/>
            <w:tcBorders>
              <w:top w:val="nil"/>
              <w:left w:val="nil"/>
              <w:bottom w:val="nil"/>
              <w:right w:val="single" w:sz="4" w:space="0" w:color="000000"/>
            </w:tcBorders>
            <w:shd w:val="clear" w:color="auto" w:fill="FFFFFF" w:themeFill="background1"/>
            <w:noWrap/>
            <w:vAlign w:val="center"/>
          </w:tcPr>
          <w:p w14:paraId="16EFC5A1"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(7.5, 13.8)</w:t>
            </w:r>
          </w:p>
        </w:tc>
        <w:tc>
          <w:tcPr>
            <w:tcW w:w="456" w:type="dxa"/>
            <w:tcBorders>
              <w:top w:val="nil"/>
              <w:left w:val="single" w:sz="4" w:space="0" w:color="000000"/>
              <w:bottom w:val="nil"/>
              <w:right w:val="nil"/>
            </w:tcBorders>
            <w:shd w:val="clear" w:color="auto" w:fill="FFFFFF" w:themeFill="background1"/>
            <w:vAlign w:val="center"/>
          </w:tcPr>
          <w:p w14:paraId="077D6D5C"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w:t>
            </w:r>
          </w:p>
        </w:tc>
        <w:tc>
          <w:tcPr>
            <w:tcW w:w="567" w:type="dxa"/>
            <w:tcBorders>
              <w:top w:val="nil"/>
              <w:left w:val="nil"/>
              <w:bottom w:val="nil"/>
              <w:right w:val="nil"/>
            </w:tcBorders>
            <w:shd w:val="clear" w:color="auto" w:fill="FFFFFF" w:themeFill="background1"/>
            <w:vAlign w:val="center"/>
          </w:tcPr>
          <w:p w14:paraId="71D91AEA"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11.9</w:t>
            </w:r>
          </w:p>
        </w:tc>
        <w:tc>
          <w:tcPr>
            <w:tcW w:w="1146" w:type="dxa"/>
            <w:tcBorders>
              <w:top w:val="nil"/>
              <w:left w:val="nil"/>
              <w:bottom w:val="nil"/>
              <w:right w:val="single" w:sz="4" w:space="0" w:color="000000"/>
            </w:tcBorders>
            <w:shd w:val="clear" w:color="auto" w:fill="FFFFFF" w:themeFill="background1"/>
            <w:vAlign w:val="center"/>
          </w:tcPr>
          <w:p w14:paraId="30EA8190"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(8.0, 15.9)</w:t>
            </w:r>
          </w:p>
        </w:tc>
        <w:tc>
          <w:tcPr>
            <w:tcW w:w="456" w:type="dxa"/>
            <w:tcBorders>
              <w:top w:val="nil"/>
              <w:left w:val="single" w:sz="4" w:space="0" w:color="000000"/>
              <w:bottom w:val="nil"/>
              <w:right w:val="nil"/>
            </w:tcBorders>
            <w:shd w:val="clear" w:color="auto" w:fill="FFFFFF" w:themeFill="background1"/>
            <w:vAlign w:val="center"/>
          </w:tcPr>
          <w:p w14:paraId="2F794336"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w:t>
            </w:r>
          </w:p>
        </w:tc>
        <w:tc>
          <w:tcPr>
            <w:tcW w:w="621" w:type="dxa"/>
            <w:tcBorders>
              <w:top w:val="nil"/>
              <w:left w:val="nil"/>
              <w:bottom w:val="nil"/>
              <w:right w:val="nil"/>
            </w:tcBorders>
            <w:shd w:val="clear" w:color="auto" w:fill="FFFFFF" w:themeFill="background1"/>
            <w:vAlign w:val="center"/>
          </w:tcPr>
          <w:p w14:paraId="5A14368C"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7.9</w:t>
            </w:r>
          </w:p>
        </w:tc>
        <w:tc>
          <w:tcPr>
            <w:tcW w:w="1146" w:type="dxa"/>
            <w:tcBorders>
              <w:top w:val="nil"/>
              <w:left w:val="nil"/>
              <w:bottom w:val="nil"/>
              <w:right w:val="nil"/>
            </w:tcBorders>
            <w:shd w:val="clear" w:color="auto" w:fill="FFFFFF" w:themeFill="background1"/>
            <w:vAlign w:val="center"/>
          </w:tcPr>
          <w:p w14:paraId="547D8115"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(4.4, 11.4)</w:t>
            </w:r>
          </w:p>
        </w:tc>
      </w:tr>
      <w:tr w:rsidR="009118DA" w:rsidRPr="00D76D7F" w14:paraId="55706737"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115E2D6D" w14:textId="77777777" w:rsidR="003D7BB5" w:rsidRPr="00D76D7F" w:rsidRDefault="003D7BB5" w:rsidP="00DD0F28">
            <w:pPr>
              <w:keepNext/>
              <w:spacing w:before="20" w:after="20"/>
              <w:ind w:left="176"/>
              <w:rPr>
                <w:rFonts w:eastAsiaTheme="minorEastAsia"/>
                <w:b w:val="0"/>
                <w:sz w:val="18"/>
                <w:szCs w:val="18"/>
                <w:lang w:eastAsia="en-US"/>
              </w:rPr>
            </w:pPr>
            <w:r w:rsidRPr="00D76D7F">
              <w:rPr>
                <w:rFonts w:eastAsiaTheme="minorEastAsia"/>
                <w:b w:val="0"/>
                <w:sz w:val="18"/>
                <w:szCs w:val="18"/>
                <w:lang w:eastAsia="en-US"/>
              </w:rPr>
              <w:t>$51 - $100</w:t>
            </w:r>
          </w:p>
        </w:tc>
        <w:tc>
          <w:tcPr>
            <w:tcW w:w="536" w:type="dxa"/>
            <w:tcBorders>
              <w:top w:val="nil"/>
              <w:left w:val="nil"/>
              <w:bottom w:val="nil"/>
              <w:right w:val="nil"/>
            </w:tcBorders>
            <w:noWrap/>
            <w:vAlign w:val="center"/>
          </w:tcPr>
          <w:p w14:paraId="6501781A"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43</w:t>
            </w:r>
          </w:p>
        </w:tc>
        <w:tc>
          <w:tcPr>
            <w:tcW w:w="567" w:type="dxa"/>
            <w:tcBorders>
              <w:top w:val="nil"/>
              <w:left w:val="nil"/>
              <w:bottom w:val="nil"/>
              <w:right w:val="nil"/>
            </w:tcBorders>
            <w:noWrap/>
            <w:vAlign w:val="center"/>
          </w:tcPr>
          <w:p w14:paraId="04695E8E"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13.9</w:t>
            </w:r>
          </w:p>
        </w:tc>
        <w:tc>
          <w:tcPr>
            <w:tcW w:w="1146" w:type="dxa"/>
            <w:tcBorders>
              <w:top w:val="nil"/>
              <w:left w:val="nil"/>
              <w:bottom w:val="nil"/>
              <w:right w:val="single" w:sz="4" w:space="0" w:color="auto"/>
            </w:tcBorders>
            <w:noWrap/>
            <w:vAlign w:val="center"/>
          </w:tcPr>
          <w:p w14:paraId="595D30A5"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(11.1, 16.7)</w:t>
            </w:r>
          </w:p>
        </w:tc>
        <w:tc>
          <w:tcPr>
            <w:tcW w:w="456" w:type="dxa"/>
            <w:tcBorders>
              <w:top w:val="nil"/>
              <w:left w:val="single" w:sz="4" w:space="0" w:color="auto"/>
              <w:bottom w:val="nil"/>
              <w:right w:val="nil"/>
            </w:tcBorders>
            <w:noWrap/>
            <w:vAlign w:val="center"/>
          </w:tcPr>
          <w:p w14:paraId="67201995"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25</w:t>
            </w:r>
          </w:p>
        </w:tc>
        <w:tc>
          <w:tcPr>
            <w:tcW w:w="621" w:type="dxa"/>
            <w:tcBorders>
              <w:top w:val="nil"/>
              <w:left w:val="nil"/>
              <w:bottom w:val="nil"/>
              <w:right w:val="nil"/>
            </w:tcBorders>
            <w:noWrap/>
            <w:vAlign w:val="center"/>
          </w:tcPr>
          <w:p w14:paraId="55825BB1"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13.3</w:t>
            </w:r>
          </w:p>
        </w:tc>
        <w:tc>
          <w:tcPr>
            <w:tcW w:w="1146" w:type="dxa"/>
            <w:tcBorders>
              <w:top w:val="nil"/>
              <w:left w:val="nil"/>
              <w:bottom w:val="nil"/>
              <w:right w:val="single" w:sz="4" w:space="0" w:color="000000"/>
            </w:tcBorders>
            <w:shd w:val="clear" w:color="auto" w:fill="FFFFFF" w:themeFill="background1"/>
            <w:noWrap/>
            <w:vAlign w:val="center"/>
          </w:tcPr>
          <w:p w14:paraId="05048B18"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(9.4, 17.3)</w:t>
            </w:r>
          </w:p>
        </w:tc>
        <w:tc>
          <w:tcPr>
            <w:tcW w:w="456" w:type="dxa"/>
            <w:tcBorders>
              <w:top w:val="nil"/>
              <w:left w:val="single" w:sz="4" w:space="0" w:color="000000"/>
              <w:bottom w:val="nil"/>
              <w:right w:val="nil"/>
            </w:tcBorders>
            <w:shd w:val="clear" w:color="auto" w:fill="FFFFFF" w:themeFill="background1"/>
            <w:vAlign w:val="center"/>
          </w:tcPr>
          <w:p w14:paraId="1A58B984"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w:t>
            </w:r>
          </w:p>
        </w:tc>
        <w:tc>
          <w:tcPr>
            <w:tcW w:w="567" w:type="dxa"/>
            <w:tcBorders>
              <w:top w:val="nil"/>
              <w:left w:val="nil"/>
              <w:bottom w:val="nil"/>
              <w:right w:val="nil"/>
            </w:tcBorders>
            <w:shd w:val="clear" w:color="auto" w:fill="FFFFFF" w:themeFill="background1"/>
            <w:vAlign w:val="center"/>
          </w:tcPr>
          <w:p w14:paraId="58D1AD5B"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12.7</w:t>
            </w:r>
          </w:p>
        </w:tc>
        <w:tc>
          <w:tcPr>
            <w:tcW w:w="1146" w:type="dxa"/>
            <w:tcBorders>
              <w:top w:val="nil"/>
              <w:left w:val="nil"/>
              <w:bottom w:val="nil"/>
              <w:right w:val="single" w:sz="4" w:space="0" w:color="000000"/>
            </w:tcBorders>
            <w:shd w:val="clear" w:color="auto" w:fill="FFFFFF" w:themeFill="background1"/>
            <w:vAlign w:val="center"/>
          </w:tcPr>
          <w:p w14:paraId="7EF462EE"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(8.9, 16.4)</w:t>
            </w:r>
          </w:p>
        </w:tc>
        <w:tc>
          <w:tcPr>
            <w:tcW w:w="456" w:type="dxa"/>
            <w:tcBorders>
              <w:top w:val="nil"/>
              <w:left w:val="single" w:sz="4" w:space="0" w:color="000000"/>
              <w:bottom w:val="nil"/>
              <w:right w:val="nil"/>
            </w:tcBorders>
            <w:shd w:val="clear" w:color="auto" w:fill="FFFFFF" w:themeFill="background1"/>
            <w:vAlign w:val="center"/>
          </w:tcPr>
          <w:p w14:paraId="008453BA"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w:t>
            </w:r>
          </w:p>
        </w:tc>
        <w:tc>
          <w:tcPr>
            <w:tcW w:w="621" w:type="dxa"/>
            <w:tcBorders>
              <w:top w:val="nil"/>
              <w:left w:val="nil"/>
              <w:bottom w:val="nil"/>
              <w:right w:val="nil"/>
            </w:tcBorders>
            <w:shd w:val="clear" w:color="auto" w:fill="FFFFFF" w:themeFill="background1"/>
            <w:vAlign w:val="center"/>
          </w:tcPr>
          <w:p w14:paraId="6F8CC56F"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9.1</w:t>
            </w:r>
          </w:p>
        </w:tc>
        <w:tc>
          <w:tcPr>
            <w:tcW w:w="1146" w:type="dxa"/>
            <w:tcBorders>
              <w:top w:val="nil"/>
              <w:left w:val="nil"/>
              <w:bottom w:val="nil"/>
              <w:right w:val="nil"/>
            </w:tcBorders>
            <w:shd w:val="clear" w:color="auto" w:fill="FFFFFF" w:themeFill="background1"/>
            <w:vAlign w:val="center"/>
          </w:tcPr>
          <w:p w14:paraId="067F1C61"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(5.1, 13.1)</w:t>
            </w:r>
          </w:p>
        </w:tc>
      </w:tr>
      <w:tr w:rsidR="003D7BB5" w:rsidRPr="00D76D7F" w14:paraId="5FA9B2D0"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543488BD" w14:textId="77777777" w:rsidR="003D7BB5" w:rsidRPr="00D76D7F" w:rsidRDefault="003D7BB5" w:rsidP="00DD0F28">
            <w:pPr>
              <w:keepNext/>
              <w:spacing w:before="20" w:after="20"/>
              <w:ind w:left="176"/>
              <w:rPr>
                <w:rFonts w:eastAsiaTheme="minorEastAsia"/>
                <w:b w:val="0"/>
                <w:sz w:val="18"/>
                <w:szCs w:val="18"/>
                <w:lang w:eastAsia="en-US"/>
              </w:rPr>
            </w:pPr>
            <w:r w:rsidRPr="00D76D7F">
              <w:rPr>
                <w:rFonts w:eastAsiaTheme="minorEastAsia"/>
                <w:b w:val="0"/>
                <w:sz w:val="18"/>
                <w:szCs w:val="18"/>
                <w:lang w:eastAsia="en-US"/>
              </w:rPr>
              <w:t>$101 - $500</w:t>
            </w:r>
          </w:p>
        </w:tc>
        <w:tc>
          <w:tcPr>
            <w:tcW w:w="536" w:type="dxa"/>
            <w:tcBorders>
              <w:top w:val="nil"/>
              <w:left w:val="nil"/>
              <w:bottom w:val="nil"/>
              <w:right w:val="nil"/>
            </w:tcBorders>
            <w:shd w:val="clear" w:color="auto" w:fill="auto"/>
            <w:noWrap/>
            <w:vAlign w:val="center"/>
          </w:tcPr>
          <w:p w14:paraId="7E6E99BE"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46</w:t>
            </w:r>
          </w:p>
        </w:tc>
        <w:tc>
          <w:tcPr>
            <w:tcW w:w="567" w:type="dxa"/>
            <w:tcBorders>
              <w:top w:val="nil"/>
              <w:left w:val="nil"/>
              <w:bottom w:val="nil"/>
              <w:right w:val="nil"/>
            </w:tcBorders>
            <w:shd w:val="clear" w:color="auto" w:fill="auto"/>
            <w:noWrap/>
            <w:vAlign w:val="center"/>
          </w:tcPr>
          <w:p w14:paraId="740CFB1E"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14.9</w:t>
            </w:r>
          </w:p>
        </w:tc>
        <w:tc>
          <w:tcPr>
            <w:tcW w:w="1146" w:type="dxa"/>
            <w:tcBorders>
              <w:top w:val="nil"/>
              <w:left w:val="nil"/>
              <w:bottom w:val="nil"/>
              <w:right w:val="single" w:sz="4" w:space="0" w:color="000000"/>
            </w:tcBorders>
            <w:shd w:val="clear" w:color="auto" w:fill="auto"/>
            <w:noWrap/>
            <w:vAlign w:val="center"/>
          </w:tcPr>
          <w:p w14:paraId="310A99B9"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(11.7, 18.1)</w:t>
            </w:r>
          </w:p>
        </w:tc>
        <w:tc>
          <w:tcPr>
            <w:tcW w:w="456" w:type="dxa"/>
            <w:tcBorders>
              <w:top w:val="nil"/>
              <w:left w:val="single" w:sz="4" w:space="0" w:color="000000"/>
              <w:bottom w:val="nil"/>
              <w:right w:val="nil"/>
            </w:tcBorders>
            <w:shd w:val="clear" w:color="auto" w:fill="auto"/>
            <w:noWrap/>
            <w:vAlign w:val="center"/>
          </w:tcPr>
          <w:p w14:paraId="7EB8105D"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23</w:t>
            </w:r>
          </w:p>
        </w:tc>
        <w:tc>
          <w:tcPr>
            <w:tcW w:w="621" w:type="dxa"/>
            <w:tcBorders>
              <w:top w:val="nil"/>
              <w:left w:val="nil"/>
              <w:bottom w:val="nil"/>
              <w:right w:val="nil"/>
            </w:tcBorders>
            <w:shd w:val="clear" w:color="auto" w:fill="auto"/>
            <w:noWrap/>
            <w:vAlign w:val="center"/>
          </w:tcPr>
          <w:p w14:paraId="7658CEE5"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12.3</w:t>
            </w:r>
          </w:p>
        </w:tc>
        <w:tc>
          <w:tcPr>
            <w:tcW w:w="1146" w:type="dxa"/>
            <w:tcBorders>
              <w:top w:val="nil"/>
              <w:left w:val="nil"/>
              <w:bottom w:val="nil"/>
              <w:right w:val="single" w:sz="4" w:space="0" w:color="000000"/>
            </w:tcBorders>
            <w:shd w:val="clear" w:color="auto" w:fill="auto"/>
            <w:noWrap/>
            <w:vAlign w:val="center"/>
          </w:tcPr>
          <w:p w14:paraId="480624FF"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(8.3, 16.3)</w:t>
            </w:r>
          </w:p>
        </w:tc>
        <w:tc>
          <w:tcPr>
            <w:tcW w:w="456" w:type="dxa"/>
            <w:tcBorders>
              <w:top w:val="nil"/>
              <w:left w:val="single" w:sz="4" w:space="0" w:color="000000"/>
              <w:bottom w:val="nil"/>
              <w:right w:val="nil"/>
            </w:tcBorders>
            <w:shd w:val="clear" w:color="auto" w:fill="auto"/>
            <w:vAlign w:val="center"/>
          </w:tcPr>
          <w:p w14:paraId="2EC62394"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w:t>
            </w:r>
          </w:p>
        </w:tc>
        <w:tc>
          <w:tcPr>
            <w:tcW w:w="567" w:type="dxa"/>
            <w:tcBorders>
              <w:top w:val="nil"/>
              <w:left w:val="nil"/>
              <w:bottom w:val="nil"/>
              <w:right w:val="nil"/>
            </w:tcBorders>
            <w:shd w:val="clear" w:color="auto" w:fill="auto"/>
            <w:vAlign w:val="center"/>
          </w:tcPr>
          <w:p w14:paraId="024FAF8C"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12.7</w:t>
            </w:r>
          </w:p>
        </w:tc>
        <w:tc>
          <w:tcPr>
            <w:tcW w:w="1146" w:type="dxa"/>
            <w:tcBorders>
              <w:top w:val="nil"/>
              <w:left w:val="nil"/>
              <w:bottom w:val="nil"/>
              <w:right w:val="single" w:sz="4" w:space="0" w:color="000000"/>
            </w:tcBorders>
            <w:shd w:val="clear" w:color="auto" w:fill="auto"/>
            <w:vAlign w:val="center"/>
          </w:tcPr>
          <w:p w14:paraId="460E4BFA"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(8.2, 17.2)</w:t>
            </w:r>
          </w:p>
        </w:tc>
        <w:tc>
          <w:tcPr>
            <w:tcW w:w="456" w:type="dxa"/>
            <w:tcBorders>
              <w:top w:val="nil"/>
              <w:left w:val="single" w:sz="4" w:space="0" w:color="000000"/>
              <w:bottom w:val="nil"/>
              <w:right w:val="nil"/>
            </w:tcBorders>
            <w:vAlign w:val="center"/>
          </w:tcPr>
          <w:p w14:paraId="2D857F8E"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w:t>
            </w:r>
          </w:p>
        </w:tc>
        <w:tc>
          <w:tcPr>
            <w:tcW w:w="621" w:type="dxa"/>
            <w:tcBorders>
              <w:top w:val="nil"/>
              <w:left w:val="nil"/>
              <w:bottom w:val="nil"/>
              <w:right w:val="nil"/>
            </w:tcBorders>
            <w:vAlign w:val="center"/>
          </w:tcPr>
          <w:p w14:paraId="757B2ADF"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13.3</w:t>
            </w:r>
          </w:p>
        </w:tc>
        <w:tc>
          <w:tcPr>
            <w:tcW w:w="1146" w:type="dxa"/>
            <w:tcBorders>
              <w:top w:val="nil"/>
              <w:left w:val="nil"/>
              <w:bottom w:val="nil"/>
              <w:right w:val="nil"/>
            </w:tcBorders>
            <w:vAlign w:val="center"/>
          </w:tcPr>
          <w:p w14:paraId="1128A75F"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(8.6, 18.0)</w:t>
            </w:r>
          </w:p>
        </w:tc>
      </w:tr>
      <w:tr w:rsidR="003D7BB5" w:rsidRPr="00D76D7F" w14:paraId="1EA4F76D"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0C3DC476"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&gt;$500</w:t>
            </w:r>
          </w:p>
        </w:tc>
        <w:tc>
          <w:tcPr>
            <w:tcW w:w="536" w:type="dxa"/>
            <w:tcBorders>
              <w:top w:val="nil"/>
              <w:left w:val="nil"/>
              <w:bottom w:val="nil"/>
              <w:right w:val="nil"/>
            </w:tcBorders>
            <w:shd w:val="clear" w:color="auto" w:fill="auto"/>
            <w:noWrap/>
            <w:vAlign w:val="center"/>
          </w:tcPr>
          <w:p w14:paraId="38A68FC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w:t>
            </w:r>
          </w:p>
        </w:tc>
        <w:tc>
          <w:tcPr>
            <w:tcW w:w="567" w:type="dxa"/>
            <w:tcBorders>
              <w:top w:val="nil"/>
              <w:left w:val="nil"/>
              <w:bottom w:val="nil"/>
              <w:right w:val="nil"/>
            </w:tcBorders>
            <w:shd w:val="clear" w:color="auto" w:fill="auto"/>
            <w:noWrap/>
            <w:vAlign w:val="center"/>
          </w:tcPr>
          <w:p w14:paraId="68E58B0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2.7</w:t>
            </w:r>
          </w:p>
        </w:tc>
        <w:tc>
          <w:tcPr>
            <w:tcW w:w="1146" w:type="dxa"/>
            <w:tcBorders>
              <w:top w:val="nil"/>
              <w:left w:val="nil"/>
              <w:bottom w:val="nil"/>
              <w:right w:val="single" w:sz="4" w:space="0" w:color="000000"/>
            </w:tcBorders>
            <w:shd w:val="clear" w:color="auto" w:fill="auto"/>
            <w:noWrap/>
            <w:vAlign w:val="center"/>
          </w:tcPr>
          <w:p w14:paraId="4913299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(1.5, 3.8)</w:t>
            </w:r>
          </w:p>
        </w:tc>
        <w:tc>
          <w:tcPr>
            <w:tcW w:w="456" w:type="dxa"/>
            <w:tcBorders>
              <w:top w:val="nil"/>
              <w:left w:val="single" w:sz="4" w:space="0" w:color="000000"/>
              <w:bottom w:val="nil"/>
              <w:right w:val="nil"/>
            </w:tcBorders>
            <w:shd w:val="clear" w:color="auto" w:fill="auto"/>
            <w:noWrap/>
            <w:vAlign w:val="center"/>
          </w:tcPr>
          <w:p w14:paraId="7F2F597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w:t>
            </w:r>
          </w:p>
        </w:tc>
        <w:tc>
          <w:tcPr>
            <w:tcW w:w="621" w:type="dxa"/>
            <w:tcBorders>
              <w:top w:val="nil"/>
              <w:left w:val="nil"/>
              <w:bottom w:val="nil"/>
              <w:right w:val="nil"/>
            </w:tcBorders>
            <w:shd w:val="clear" w:color="auto" w:fill="auto"/>
            <w:noWrap/>
            <w:vAlign w:val="center"/>
          </w:tcPr>
          <w:p w14:paraId="56886C1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w:t>
            </w:r>
          </w:p>
        </w:tc>
        <w:tc>
          <w:tcPr>
            <w:tcW w:w="1146" w:type="dxa"/>
            <w:tcBorders>
              <w:top w:val="nil"/>
              <w:left w:val="nil"/>
              <w:bottom w:val="nil"/>
              <w:right w:val="single" w:sz="4" w:space="0" w:color="000000"/>
            </w:tcBorders>
            <w:shd w:val="clear" w:color="auto" w:fill="auto"/>
            <w:noWrap/>
            <w:vAlign w:val="center"/>
          </w:tcPr>
          <w:p w14:paraId="4AA6C4C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456" w:type="dxa"/>
            <w:tcBorders>
              <w:top w:val="nil"/>
              <w:left w:val="single" w:sz="4" w:space="0" w:color="000000"/>
              <w:bottom w:val="nil"/>
              <w:right w:val="nil"/>
            </w:tcBorders>
            <w:shd w:val="clear" w:color="auto" w:fill="auto"/>
            <w:vAlign w:val="center"/>
          </w:tcPr>
          <w:p w14:paraId="7AD8091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w:t>
            </w:r>
          </w:p>
        </w:tc>
        <w:tc>
          <w:tcPr>
            <w:tcW w:w="567" w:type="dxa"/>
            <w:tcBorders>
              <w:top w:val="nil"/>
              <w:left w:val="nil"/>
              <w:bottom w:val="nil"/>
              <w:right w:val="nil"/>
            </w:tcBorders>
            <w:shd w:val="clear" w:color="auto" w:fill="auto"/>
            <w:vAlign w:val="center"/>
          </w:tcPr>
          <w:p w14:paraId="4CE2A34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w:t>
            </w:r>
          </w:p>
        </w:tc>
        <w:tc>
          <w:tcPr>
            <w:tcW w:w="1146" w:type="dxa"/>
            <w:tcBorders>
              <w:top w:val="nil"/>
              <w:left w:val="nil"/>
              <w:bottom w:val="nil"/>
              <w:right w:val="single" w:sz="4" w:space="0" w:color="000000"/>
            </w:tcBorders>
            <w:shd w:val="clear" w:color="auto" w:fill="auto"/>
            <w:vAlign w:val="center"/>
          </w:tcPr>
          <w:p w14:paraId="2D9EE3D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456" w:type="dxa"/>
            <w:tcBorders>
              <w:top w:val="nil"/>
              <w:left w:val="single" w:sz="4" w:space="0" w:color="000000"/>
              <w:bottom w:val="nil"/>
              <w:right w:val="nil"/>
            </w:tcBorders>
            <w:vAlign w:val="center"/>
          </w:tcPr>
          <w:p w14:paraId="43976B0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w:t>
            </w:r>
          </w:p>
        </w:tc>
        <w:tc>
          <w:tcPr>
            <w:tcW w:w="621" w:type="dxa"/>
            <w:tcBorders>
              <w:top w:val="nil"/>
              <w:left w:val="nil"/>
              <w:bottom w:val="nil"/>
              <w:right w:val="nil"/>
            </w:tcBorders>
            <w:vAlign w:val="center"/>
          </w:tcPr>
          <w:p w14:paraId="22F2913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w:t>
            </w:r>
          </w:p>
        </w:tc>
        <w:tc>
          <w:tcPr>
            <w:tcW w:w="1146" w:type="dxa"/>
            <w:tcBorders>
              <w:top w:val="nil"/>
              <w:left w:val="nil"/>
              <w:bottom w:val="nil"/>
              <w:right w:val="nil"/>
            </w:tcBorders>
            <w:vAlign w:val="center"/>
          </w:tcPr>
          <w:p w14:paraId="4EB8B28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D76D7F" w14:paraId="4144A221"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39B4CE0A" w14:textId="77777777" w:rsidR="003D7BB5" w:rsidRPr="00D76D7F" w:rsidRDefault="003D7BB5" w:rsidP="00DD0F28">
            <w:pPr>
              <w:spacing w:before="20" w:after="20"/>
              <w:rPr>
                <w:rFonts w:eastAsiaTheme="minorEastAsia"/>
                <w:sz w:val="18"/>
                <w:szCs w:val="18"/>
                <w:lang w:eastAsia="en-US"/>
              </w:rPr>
            </w:pPr>
            <w:r w:rsidRPr="00D76D7F">
              <w:rPr>
                <w:rFonts w:eastAsiaTheme="minorEastAsia"/>
                <w:sz w:val="18"/>
                <w:szCs w:val="18"/>
                <w:lang w:eastAsia="en-US"/>
              </w:rPr>
              <w:t>Most preferred activity</w:t>
            </w:r>
          </w:p>
        </w:tc>
        <w:tc>
          <w:tcPr>
            <w:tcW w:w="536" w:type="dxa"/>
            <w:tcBorders>
              <w:top w:val="nil"/>
              <w:left w:val="nil"/>
              <w:bottom w:val="nil"/>
              <w:right w:val="nil"/>
            </w:tcBorders>
            <w:noWrap/>
            <w:vAlign w:val="center"/>
          </w:tcPr>
          <w:p w14:paraId="68512D5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noWrap/>
            <w:vAlign w:val="center"/>
          </w:tcPr>
          <w:p w14:paraId="0D468A4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noWrap/>
            <w:vAlign w:val="center"/>
          </w:tcPr>
          <w:p w14:paraId="663292F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456" w:type="dxa"/>
            <w:tcBorders>
              <w:top w:val="nil"/>
              <w:left w:val="single" w:sz="4" w:space="0" w:color="000000"/>
              <w:bottom w:val="nil"/>
              <w:right w:val="nil"/>
            </w:tcBorders>
            <w:noWrap/>
            <w:vAlign w:val="center"/>
          </w:tcPr>
          <w:p w14:paraId="3D3BEB4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621" w:type="dxa"/>
            <w:tcBorders>
              <w:top w:val="nil"/>
              <w:left w:val="nil"/>
              <w:bottom w:val="nil"/>
              <w:right w:val="nil"/>
            </w:tcBorders>
            <w:noWrap/>
            <w:vAlign w:val="center"/>
          </w:tcPr>
          <w:p w14:paraId="3EBE312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FFFFFF" w:themeFill="background1"/>
            <w:noWrap/>
            <w:vAlign w:val="center"/>
          </w:tcPr>
          <w:p w14:paraId="217072A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456" w:type="dxa"/>
            <w:tcBorders>
              <w:top w:val="nil"/>
              <w:left w:val="single" w:sz="4" w:space="0" w:color="000000"/>
              <w:bottom w:val="nil"/>
              <w:right w:val="nil"/>
            </w:tcBorders>
            <w:shd w:val="clear" w:color="auto" w:fill="FFFFFF" w:themeFill="background1"/>
            <w:vAlign w:val="center"/>
          </w:tcPr>
          <w:p w14:paraId="71EAF6B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shd w:val="clear" w:color="auto" w:fill="FFFFFF" w:themeFill="background1"/>
            <w:vAlign w:val="center"/>
          </w:tcPr>
          <w:p w14:paraId="5E087F7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FFFFFF" w:themeFill="background1"/>
            <w:vAlign w:val="center"/>
          </w:tcPr>
          <w:p w14:paraId="070F953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456" w:type="dxa"/>
            <w:tcBorders>
              <w:top w:val="nil"/>
              <w:left w:val="single" w:sz="4" w:space="0" w:color="000000"/>
              <w:bottom w:val="nil"/>
              <w:right w:val="nil"/>
            </w:tcBorders>
            <w:shd w:val="clear" w:color="auto" w:fill="FFFFFF" w:themeFill="background1"/>
            <w:vAlign w:val="center"/>
          </w:tcPr>
          <w:p w14:paraId="7BDAFD7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621" w:type="dxa"/>
            <w:tcBorders>
              <w:top w:val="nil"/>
              <w:left w:val="nil"/>
              <w:bottom w:val="nil"/>
              <w:right w:val="nil"/>
            </w:tcBorders>
            <w:shd w:val="clear" w:color="auto" w:fill="FFFFFF" w:themeFill="background1"/>
            <w:vAlign w:val="center"/>
          </w:tcPr>
          <w:p w14:paraId="1B39E24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shd w:val="clear" w:color="auto" w:fill="FFFFFF" w:themeFill="background1"/>
            <w:vAlign w:val="center"/>
          </w:tcPr>
          <w:p w14:paraId="16AB360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D76D7F" w14:paraId="690A15ED"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010CA1EF"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No gambling in past year</w:t>
            </w:r>
          </w:p>
        </w:tc>
        <w:tc>
          <w:tcPr>
            <w:tcW w:w="536" w:type="dxa"/>
            <w:tcBorders>
              <w:top w:val="nil"/>
              <w:left w:val="nil"/>
              <w:bottom w:val="nil"/>
              <w:right w:val="nil"/>
            </w:tcBorders>
            <w:noWrap/>
            <w:vAlign w:val="center"/>
          </w:tcPr>
          <w:p w14:paraId="5CAD0E6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79</w:t>
            </w:r>
          </w:p>
        </w:tc>
        <w:tc>
          <w:tcPr>
            <w:tcW w:w="567" w:type="dxa"/>
            <w:tcBorders>
              <w:top w:val="nil"/>
              <w:left w:val="nil"/>
              <w:bottom w:val="nil"/>
              <w:right w:val="nil"/>
            </w:tcBorders>
            <w:noWrap/>
            <w:vAlign w:val="center"/>
          </w:tcPr>
          <w:p w14:paraId="760EC20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25.7</w:t>
            </w:r>
          </w:p>
        </w:tc>
        <w:tc>
          <w:tcPr>
            <w:tcW w:w="1146" w:type="dxa"/>
            <w:tcBorders>
              <w:top w:val="nil"/>
              <w:left w:val="nil"/>
              <w:bottom w:val="nil"/>
              <w:right w:val="single" w:sz="4" w:space="0" w:color="auto"/>
            </w:tcBorders>
            <w:noWrap/>
            <w:vAlign w:val="center"/>
          </w:tcPr>
          <w:p w14:paraId="2F35D9A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(22.1, 29.3)</w:t>
            </w:r>
          </w:p>
        </w:tc>
        <w:tc>
          <w:tcPr>
            <w:tcW w:w="456" w:type="dxa"/>
            <w:tcBorders>
              <w:top w:val="nil"/>
              <w:left w:val="single" w:sz="4" w:space="0" w:color="auto"/>
              <w:bottom w:val="nil"/>
              <w:right w:val="nil"/>
            </w:tcBorders>
            <w:noWrap/>
            <w:vAlign w:val="center"/>
          </w:tcPr>
          <w:p w14:paraId="3FEC09E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53</w:t>
            </w:r>
          </w:p>
        </w:tc>
        <w:tc>
          <w:tcPr>
            <w:tcW w:w="621" w:type="dxa"/>
            <w:tcBorders>
              <w:top w:val="nil"/>
              <w:left w:val="nil"/>
              <w:bottom w:val="nil"/>
              <w:right w:val="nil"/>
            </w:tcBorders>
            <w:noWrap/>
            <w:vAlign w:val="center"/>
          </w:tcPr>
          <w:p w14:paraId="5D43BC4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28.7</w:t>
            </w:r>
          </w:p>
        </w:tc>
        <w:tc>
          <w:tcPr>
            <w:tcW w:w="1146" w:type="dxa"/>
            <w:tcBorders>
              <w:top w:val="nil"/>
              <w:left w:val="nil"/>
              <w:bottom w:val="nil"/>
              <w:right w:val="single" w:sz="4" w:space="0" w:color="000000"/>
            </w:tcBorders>
            <w:shd w:val="clear" w:color="auto" w:fill="FFFFFF" w:themeFill="background1"/>
            <w:noWrap/>
            <w:vAlign w:val="center"/>
          </w:tcPr>
          <w:p w14:paraId="0A9ACAD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(23.6, 33.8)</w:t>
            </w:r>
          </w:p>
        </w:tc>
        <w:tc>
          <w:tcPr>
            <w:tcW w:w="456" w:type="dxa"/>
            <w:tcBorders>
              <w:top w:val="nil"/>
              <w:left w:val="single" w:sz="4" w:space="0" w:color="000000"/>
              <w:bottom w:val="nil"/>
              <w:right w:val="nil"/>
            </w:tcBorders>
            <w:shd w:val="clear" w:color="auto" w:fill="FFFFFF" w:themeFill="background1"/>
            <w:vAlign w:val="center"/>
          </w:tcPr>
          <w:p w14:paraId="6F641B7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42</w:t>
            </w:r>
          </w:p>
        </w:tc>
        <w:tc>
          <w:tcPr>
            <w:tcW w:w="567" w:type="dxa"/>
            <w:tcBorders>
              <w:top w:val="nil"/>
              <w:left w:val="nil"/>
              <w:bottom w:val="nil"/>
              <w:right w:val="nil"/>
            </w:tcBorders>
            <w:shd w:val="clear" w:color="auto" w:fill="FFFFFF" w:themeFill="background1"/>
            <w:vAlign w:val="center"/>
          </w:tcPr>
          <w:p w14:paraId="6E7E155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28.4</w:t>
            </w:r>
          </w:p>
        </w:tc>
        <w:tc>
          <w:tcPr>
            <w:tcW w:w="1146" w:type="dxa"/>
            <w:tcBorders>
              <w:top w:val="nil"/>
              <w:left w:val="nil"/>
              <w:bottom w:val="nil"/>
              <w:right w:val="single" w:sz="4" w:space="0" w:color="000000"/>
            </w:tcBorders>
            <w:shd w:val="clear" w:color="auto" w:fill="FFFFFF" w:themeFill="background1"/>
            <w:vAlign w:val="center"/>
          </w:tcPr>
          <w:p w14:paraId="7604BF1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(22.6, 34.2)</w:t>
            </w:r>
          </w:p>
        </w:tc>
        <w:tc>
          <w:tcPr>
            <w:tcW w:w="456" w:type="dxa"/>
            <w:tcBorders>
              <w:top w:val="nil"/>
              <w:left w:val="single" w:sz="4" w:space="0" w:color="000000"/>
              <w:bottom w:val="nil"/>
              <w:right w:val="nil"/>
            </w:tcBorders>
            <w:shd w:val="clear" w:color="auto" w:fill="FFFFFF" w:themeFill="background1"/>
            <w:vAlign w:val="center"/>
          </w:tcPr>
          <w:p w14:paraId="2F236FC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40</w:t>
            </w:r>
          </w:p>
        </w:tc>
        <w:tc>
          <w:tcPr>
            <w:tcW w:w="621" w:type="dxa"/>
            <w:tcBorders>
              <w:top w:val="nil"/>
              <w:left w:val="nil"/>
              <w:bottom w:val="nil"/>
              <w:right w:val="nil"/>
            </w:tcBorders>
            <w:shd w:val="clear" w:color="auto" w:fill="FFFFFF" w:themeFill="background1"/>
            <w:vAlign w:val="center"/>
          </w:tcPr>
          <w:p w14:paraId="7D85105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30.5</w:t>
            </w:r>
          </w:p>
        </w:tc>
        <w:tc>
          <w:tcPr>
            <w:tcW w:w="1146" w:type="dxa"/>
            <w:tcBorders>
              <w:top w:val="nil"/>
              <w:left w:val="nil"/>
              <w:bottom w:val="nil"/>
              <w:right w:val="nil"/>
            </w:tcBorders>
            <w:shd w:val="clear" w:color="auto" w:fill="FFFFFF" w:themeFill="background1"/>
            <w:vAlign w:val="center"/>
          </w:tcPr>
          <w:p w14:paraId="74CFF58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(24.4, 36.6)</w:t>
            </w:r>
          </w:p>
        </w:tc>
      </w:tr>
      <w:tr w:rsidR="009118DA" w:rsidRPr="00D76D7F" w14:paraId="0DB50EF5"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42F80AA0"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Cards games</w:t>
            </w:r>
          </w:p>
        </w:tc>
        <w:tc>
          <w:tcPr>
            <w:tcW w:w="536" w:type="dxa"/>
            <w:tcBorders>
              <w:top w:val="nil"/>
              <w:left w:val="nil"/>
              <w:bottom w:val="nil"/>
              <w:right w:val="nil"/>
            </w:tcBorders>
            <w:noWrap/>
            <w:vAlign w:val="center"/>
          </w:tcPr>
          <w:p w14:paraId="40BC7AA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w:t>
            </w:r>
          </w:p>
        </w:tc>
        <w:tc>
          <w:tcPr>
            <w:tcW w:w="567" w:type="dxa"/>
            <w:tcBorders>
              <w:top w:val="nil"/>
              <w:left w:val="nil"/>
              <w:bottom w:val="nil"/>
              <w:right w:val="nil"/>
            </w:tcBorders>
            <w:noWrap/>
            <w:vAlign w:val="center"/>
          </w:tcPr>
          <w:p w14:paraId="19BB6E4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2.5</w:t>
            </w:r>
          </w:p>
        </w:tc>
        <w:tc>
          <w:tcPr>
            <w:tcW w:w="1146" w:type="dxa"/>
            <w:tcBorders>
              <w:top w:val="nil"/>
              <w:left w:val="nil"/>
              <w:bottom w:val="nil"/>
              <w:right w:val="single" w:sz="4" w:space="0" w:color="auto"/>
            </w:tcBorders>
            <w:noWrap/>
            <w:vAlign w:val="center"/>
          </w:tcPr>
          <w:p w14:paraId="468195E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(1.1, 3.9)</w:t>
            </w:r>
          </w:p>
        </w:tc>
        <w:tc>
          <w:tcPr>
            <w:tcW w:w="456" w:type="dxa"/>
            <w:tcBorders>
              <w:top w:val="nil"/>
              <w:left w:val="single" w:sz="4" w:space="0" w:color="auto"/>
              <w:bottom w:val="nil"/>
              <w:right w:val="nil"/>
            </w:tcBorders>
            <w:noWrap/>
            <w:vAlign w:val="center"/>
          </w:tcPr>
          <w:p w14:paraId="74613E3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w:t>
            </w:r>
          </w:p>
        </w:tc>
        <w:tc>
          <w:tcPr>
            <w:tcW w:w="621" w:type="dxa"/>
            <w:tcBorders>
              <w:top w:val="nil"/>
              <w:left w:val="nil"/>
              <w:bottom w:val="nil"/>
              <w:right w:val="nil"/>
            </w:tcBorders>
            <w:noWrap/>
            <w:vAlign w:val="center"/>
          </w:tcPr>
          <w:p w14:paraId="519BFE9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2.9</w:t>
            </w:r>
          </w:p>
        </w:tc>
        <w:tc>
          <w:tcPr>
            <w:tcW w:w="1146" w:type="dxa"/>
            <w:tcBorders>
              <w:top w:val="nil"/>
              <w:left w:val="nil"/>
              <w:bottom w:val="nil"/>
              <w:right w:val="single" w:sz="4" w:space="0" w:color="000000"/>
            </w:tcBorders>
            <w:shd w:val="clear" w:color="auto" w:fill="FFFFFF" w:themeFill="background1"/>
            <w:noWrap/>
            <w:vAlign w:val="center"/>
          </w:tcPr>
          <w:p w14:paraId="688305E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(1.2, 4.7)</w:t>
            </w:r>
          </w:p>
        </w:tc>
        <w:tc>
          <w:tcPr>
            <w:tcW w:w="456" w:type="dxa"/>
            <w:tcBorders>
              <w:top w:val="nil"/>
              <w:left w:val="single" w:sz="4" w:space="0" w:color="000000"/>
              <w:bottom w:val="nil"/>
              <w:right w:val="nil"/>
            </w:tcBorders>
            <w:shd w:val="clear" w:color="auto" w:fill="FFFFFF" w:themeFill="background1"/>
            <w:vAlign w:val="center"/>
          </w:tcPr>
          <w:p w14:paraId="058746D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w:t>
            </w:r>
          </w:p>
        </w:tc>
        <w:tc>
          <w:tcPr>
            <w:tcW w:w="567" w:type="dxa"/>
            <w:tcBorders>
              <w:top w:val="nil"/>
              <w:left w:val="nil"/>
              <w:bottom w:val="nil"/>
              <w:right w:val="nil"/>
            </w:tcBorders>
            <w:shd w:val="clear" w:color="auto" w:fill="FFFFFF" w:themeFill="background1"/>
            <w:vAlign w:val="center"/>
          </w:tcPr>
          <w:p w14:paraId="31B5759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w:t>
            </w:r>
          </w:p>
        </w:tc>
        <w:tc>
          <w:tcPr>
            <w:tcW w:w="1146" w:type="dxa"/>
            <w:tcBorders>
              <w:top w:val="nil"/>
              <w:left w:val="nil"/>
              <w:bottom w:val="nil"/>
              <w:right w:val="single" w:sz="4" w:space="0" w:color="000000"/>
            </w:tcBorders>
            <w:shd w:val="clear" w:color="auto" w:fill="FFFFFF" w:themeFill="background1"/>
            <w:vAlign w:val="center"/>
          </w:tcPr>
          <w:p w14:paraId="196D8A7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(1.0, 5.0)</w:t>
            </w:r>
          </w:p>
        </w:tc>
        <w:tc>
          <w:tcPr>
            <w:tcW w:w="456" w:type="dxa"/>
            <w:tcBorders>
              <w:top w:val="nil"/>
              <w:left w:val="single" w:sz="4" w:space="0" w:color="000000"/>
              <w:bottom w:val="nil"/>
              <w:right w:val="nil"/>
            </w:tcBorders>
            <w:shd w:val="clear" w:color="auto" w:fill="FFFFFF" w:themeFill="background1"/>
            <w:vAlign w:val="center"/>
          </w:tcPr>
          <w:p w14:paraId="1A6496F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w:t>
            </w:r>
          </w:p>
        </w:tc>
        <w:tc>
          <w:tcPr>
            <w:tcW w:w="621" w:type="dxa"/>
            <w:tcBorders>
              <w:top w:val="nil"/>
              <w:left w:val="nil"/>
              <w:bottom w:val="nil"/>
              <w:right w:val="nil"/>
            </w:tcBorders>
            <w:shd w:val="clear" w:color="auto" w:fill="FFFFFF" w:themeFill="background1"/>
            <w:vAlign w:val="center"/>
          </w:tcPr>
          <w:p w14:paraId="20008F5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3.1</w:t>
            </w:r>
          </w:p>
        </w:tc>
        <w:tc>
          <w:tcPr>
            <w:tcW w:w="1146" w:type="dxa"/>
            <w:tcBorders>
              <w:top w:val="nil"/>
              <w:left w:val="nil"/>
              <w:bottom w:val="nil"/>
              <w:right w:val="nil"/>
            </w:tcBorders>
            <w:shd w:val="clear" w:color="auto" w:fill="FFFFFF" w:themeFill="background1"/>
            <w:vAlign w:val="center"/>
          </w:tcPr>
          <w:p w14:paraId="5088085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(0.4, 5.8)</w:t>
            </w:r>
          </w:p>
        </w:tc>
      </w:tr>
      <w:tr w:rsidR="009118DA" w:rsidRPr="00D76D7F" w14:paraId="4CC101E9"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760B918F" w14:textId="77777777" w:rsidR="003D7BB5" w:rsidRPr="00D76D7F" w:rsidRDefault="003D7BB5" w:rsidP="00DD0F28">
            <w:pPr>
              <w:spacing w:before="20" w:after="20"/>
              <w:ind w:left="176"/>
              <w:rPr>
                <w:rFonts w:eastAsiaTheme="minorEastAsia"/>
                <w:b w:val="0"/>
                <w:sz w:val="18"/>
                <w:szCs w:val="18"/>
              </w:rPr>
            </w:pPr>
            <w:r w:rsidRPr="00D76D7F">
              <w:rPr>
                <w:rFonts w:eastAsiaTheme="minorEastAsia"/>
                <w:b w:val="0"/>
                <w:sz w:val="18"/>
                <w:szCs w:val="18"/>
              </w:rPr>
              <w:t>Bets with friends/workmates</w:t>
            </w:r>
          </w:p>
        </w:tc>
        <w:tc>
          <w:tcPr>
            <w:tcW w:w="536" w:type="dxa"/>
            <w:tcBorders>
              <w:top w:val="nil"/>
              <w:left w:val="nil"/>
              <w:bottom w:val="nil"/>
              <w:right w:val="nil"/>
            </w:tcBorders>
            <w:noWrap/>
            <w:vAlign w:val="center"/>
          </w:tcPr>
          <w:p w14:paraId="34DC22D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w:t>
            </w:r>
          </w:p>
        </w:tc>
        <w:tc>
          <w:tcPr>
            <w:tcW w:w="567" w:type="dxa"/>
            <w:tcBorders>
              <w:top w:val="nil"/>
              <w:left w:val="nil"/>
              <w:bottom w:val="nil"/>
              <w:right w:val="nil"/>
            </w:tcBorders>
            <w:noWrap/>
            <w:vAlign w:val="center"/>
          </w:tcPr>
          <w:p w14:paraId="7C328BA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4.1</w:t>
            </w:r>
          </w:p>
        </w:tc>
        <w:tc>
          <w:tcPr>
            <w:tcW w:w="1146" w:type="dxa"/>
            <w:tcBorders>
              <w:top w:val="nil"/>
              <w:left w:val="nil"/>
              <w:bottom w:val="nil"/>
              <w:right w:val="single" w:sz="4" w:space="0" w:color="auto"/>
            </w:tcBorders>
            <w:noWrap/>
            <w:vAlign w:val="center"/>
          </w:tcPr>
          <w:p w14:paraId="3A2503F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(2.3, 5.9)</w:t>
            </w:r>
          </w:p>
        </w:tc>
        <w:tc>
          <w:tcPr>
            <w:tcW w:w="456" w:type="dxa"/>
            <w:tcBorders>
              <w:top w:val="nil"/>
              <w:left w:val="single" w:sz="4" w:space="0" w:color="auto"/>
              <w:bottom w:val="nil"/>
              <w:right w:val="nil"/>
            </w:tcBorders>
            <w:noWrap/>
            <w:vAlign w:val="center"/>
          </w:tcPr>
          <w:p w14:paraId="3916542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w:t>
            </w:r>
          </w:p>
        </w:tc>
        <w:tc>
          <w:tcPr>
            <w:tcW w:w="621" w:type="dxa"/>
            <w:tcBorders>
              <w:top w:val="nil"/>
              <w:left w:val="nil"/>
              <w:bottom w:val="nil"/>
              <w:right w:val="nil"/>
            </w:tcBorders>
            <w:noWrap/>
            <w:vAlign w:val="center"/>
          </w:tcPr>
          <w:p w14:paraId="28A831B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3.4</w:t>
            </w:r>
          </w:p>
        </w:tc>
        <w:tc>
          <w:tcPr>
            <w:tcW w:w="1146" w:type="dxa"/>
            <w:tcBorders>
              <w:top w:val="nil"/>
              <w:left w:val="nil"/>
              <w:bottom w:val="nil"/>
              <w:right w:val="single" w:sz="4" w:space="0" w:color="000000"/>
            </w:tcBorders>
            <w:shd w:val="clear" w:color="auto" w:fill="FFFFFF" w:themeFill="background1"/>
            <w:noWrap/>
            <w:vAlign w:val="center"/>
          </w:tcPr>
          <w:p w14:paraId="578729F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(1.1, 5.7)</w:t>
            </w:r>
          </w:p>
        </w:tc>
        <w:tc>
          <w:tcPr>
            <w:tcW w:w="456" w:type="dxa"/>
            <w:tcBorders>
              <w:top w:val="nil"/>
              <w:left w:val="single" w:sz="4" w:space="0" w:color="000000"/>
              <w:bottom w:val="nil"/>
              <w:right w:val="nil"/>
            </w:tcBorders>
            <w:shd w:val="clear" w:color="auto" w:fill="FFFFFF" w:themeFill="background1"/>
            <w:vAlign w:val="center"/>
          </w:tcPr>
          <w:p w14:paraId="7762D52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w:t>
            </w:r>
          </w:p>
        </w:tc>
        <w:tc>
          <w:tcPr>
            <w:tcW w:w="567" w:type="dxa"/>
            <w:tcBorders>
              <w:top w:val="nil"/>
              <w:left w:val="nil"/>
              <w:bottom w:val="nil"/>
              <w:right w:val="nil"/>
            </w:tcBorders>
            <w:shd w:val="clear" w:color="auto" w:fill="FFFFFF" w:themeFill="background1"/>
            <w:vAlign w:val="center"/>
          </w:tcPr>
          <w:p w14:paraId="259932B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3.9</w:t>
            </w:r>
          </w:p>
        </w:tc>
        <w:tc>
          <w:tcPr>
            <w:tcW w:w="1146" w:type="dxa"/>
            <w:tcBorders>
              <w:top w:val="nil"/>
              <w:left w:val="nil"/>
              <w:bottom w:val="nil"/>
              <w:right w:val="single" w:sz="4" w:space="0" w:color="000000"/>
            </w:tcBorders>
            <w:shd w:val="clear" w:color="auto" w:fill="FFFFFF" w:themeFill="background1"/>
            <w:vAlign w:val="center"/>
          </w:tcPr>
          <w:p w14:paraId="013C14D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(1.3, 6.5)</w:t>
            </w:r>
          </w:p>
        </w:tc>
        <w:tc>
          <w:tcPr>
            <w:tcW w:w="456" w:type="dxa"/>
            <w:tcBorders>
              <w:top w:val="nil"/>
              <w:left w:val="single" w:sz="4" w:space="0" w:color="000000"/>
              <w:bottom w:val="nil"/>
              <w:right w:val="nil"/>
            </w:tcBorders>
            <w:shd w:val="clear" w:color="auto" w:fill="FFFFFF" w:themeFill="background1"/>
            <w:vAlign w:val="center"/>
          </w:tcPr>
          <w:p w14:paraId="78F92F7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w:t>
            </w:r>
          </w:p>
        </w:tc>
        <w:tc>
          <w:tcPr>
            <w:tcW w:w="621" w:type="dxa"/>
            <w:tcBorders>
              <w:top w:val="nil"/>
              <w:left w:val="nil"/>
              <w:bottom w:val="nil"/>
              <w:right w:val="nil"/>
            </w:tcBorders>
            <w:shd w:val="clear" w:color="auto" w:fill="FFFFFF" w:themeFill="background1"/>
            <w:vAlign w:val="center"/>
          </w:tcPr>
          <w:p w14:paraId="0A9E9F2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3.5</w:t>
            </w:r>
          </w:p>
        </w:tc>
        <w:tc>
          <w:tcPr>
            <w:tcW w:w="1146" w:type="dxa"/>
            <w:tcBorders>
              <w:top w:val="nil"/>
              <w:left w:val="nil"/>
              <w:bottom w:val="nil"/>
              <w:right w:val="nil"/>
            </w:tcBorders>
            <w:shd w:val="clear" w:color="auto" w:fill="FFFFFF" w:themeFill="background1"/>
            <w:vAlign w:val="center"/>
          </w:tcPr>
          <w:p w14:paraId="024C861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(1.4, 5.6)</w:t>
            </w:r>
          </w:p>
        </w:tc>
      </w:tr>
      <w:tr w:rsidR="009118DA" w:rsidRPr="00D76D7F" w14:paraId="7B8C2C87"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23733485"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Text game or competition</w:t>
            </w:r>
          </w:p>
        </w:tc>
        <w:tc>
          <w:tcPr>
            <w:tcW w:w="536" w:type="dxa"/>
            <w:tcBorders>
              <w:top w:val="nil"/>
              <w:left w:val="nil"/>
              <w:bottom w:val="nil"/>
              <w:right w:val="nil"/>
            </w:tcBorders>
            <w:noWrap/>
            <w:vAlign w:val="center"/>
          </w:tcPr>
          <w:p w14:paraId="15B299E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567" w:type="dxa"/>
            <w:tcBorders>
              <w:top w:val="nil"/>
              <w:left w:val="nil"/>
              <w:bottom w:val="nil"/>
              <w:right w:val="nil"/>
            </w:tcBorders>
            <w:noWrap/>
            <w:vAlign w:val="center"/>
          </w:tcPr>
          <w:p w14:paraId="7FC5EBC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0.8</w:t>
            </w:r>
          </w:p>
        </w:tc>
        <w:tc>
          <w:tcPr>
            <w:tcW w:w="1146" w:type="dxa"/>
            <w:tcBorders>
              <w:top w:val="nil"/>
              <w:left w:val="nil"/>
              <w:bottom w:val="nil"/>
              <w:right w:val="single" w:sz="4" w:space="0" w:color="auto"/>
            </w:tcBorders>
            <w:noWrap/>
            <w:vAlign w:val="center"/>
          </w:tcPr>
          <w:p w14:paraId="66F252F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456" w:type="dxa"/>
            <w:tcBorders>
              <w:top w:val="nil"/>
              <w:left w:val="single" w:sz="4" w:space="0" w:color="auto"/>
              <w:bottom w:val="nil"/>
              <w:right w:val="nil"/>
            </w:tcBorders>
            <w:noWrap/>
            <w:vAlign w:val="center"/>
          </w:tcPr>
          <w:p w14:paraId="796566F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621" w:type="dxa"/>
            <w:tcBorders>
              <w:top w:val="nil"/>
              <w:left w:val="nil"/>
              <w:bottom w:val="nil"/>
              <w:right w:val="nil"/>
            </w:tcBorders>
            <w:noWrap/>
            <w:vAlign w:val="center"/>
          </w:tcPr>
          <w:p w14:paraId="422C8D3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w:t>
            </w:r>
          </w:p>
        </w:tc>
        <w:tc>
          <w:tcPr>
            <w:tcW w:w="1146" w:type="dxa"/>
            <w:tcBorders>
              <w:top w:val="nil"/>
              <w:left w:val="nil"/>
              <w:bottom w:val="nil"/>
              <w:right w:val="single" w:sz="4" w:space="0" w:color="000000"/>
            </w:tcBorders>
            <w:shd w:val="clear" w:color="auto" w:fill="FFFFFF" w:themeFill="background1"/>
            <w:noWrap/>
            <w:vAlign w:val="center"/>
          </w:tcPr>
          <w:p w14:paraId="42315AC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456" w:type="dxa"/>
            <w:tcBorders>
              <w:top w:val="nil"/>
              <w:left w:val="single" w:sz="4" w:space="0" w:color="000000"/>
              <w:bottom w:val="nil"/>
              <w:right w:val="nil"/>
            </w:tcBorders>
            <w:shd w:val="clear" w:color="auto" w:fill="FFFFFF" w:themeFill="background1"/>
            <w:vAlign w:val="center"/>
          </w:tcPr>
          <w:p w14:paraId="7A7382A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567" w:type="dxa"/>
            <w:tcBorders>
              <w:top w:val="nil"/>
              <w:left w:val="nil"/>
              <w:bottom w:val="nil"/>
              <w:right w:val="nil"/>
            </w:tcBorders>
            <w:shd w:val="clear" w:color="auto" w:fill="FFFFFF" w:themeFill="background1"/>
            <w:vAlign w:val="center"/>
          </w:tcPr>
          <w:p w14:paraId="3C68AAD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0.5</w:t>
            </w:r>
          </w:p>
        </w:tc>
        <w:tc>
          <w:tcPr>
            <w:tcW w:w="1146" w:type="dxa"/>
            <w:tcBorders>
              <w:top w:val="nil"/>
              <w:left w:val="nil"/>
              <w:bottom w:val="nil"/>
              <w:right w:val="single" w:sz="4" w:space="0" w:color="000000"/>
            </w:tcBorders>
            <w:shd w:val="clear" w:color="auto" w:fill="FFFFFF" w:themeFill="background1"/>
            <w:vAlign w:val="center"/>
          </w:tcPr>
          <w:p w14:paraId="166E05E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456" w:type="dxa"/>
            <w:tcBorders>
              <w:top w:val="nil"/>
              <w:left w:val="single" w:sz="4" w:space="0" w:color="000000"/>
              <w:bottom w:val="nil"/>
              <w:right w:val="nil"/>
            </w:tcBorders>
            <w:shd w:val="clear" w:color="auto" w:fill="FFFFFF" w:themeFill="background1"/>
            <w:vAlign w:val="center"/>
          </w:tcPr>
          <w:p w14:paraId="15E4E03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621" w:type="dxa"/>
            <w:tcBorders>
              <w:top w:val="nil"/>
              <w:left w:val="nil"/>
              <w:bottom w:val="nil"/>
              <w:right w:val="nil"/>
            </w:tcBorders>
            <w:shd w:val="clear" w:color="auto" w:fill="FFFFFF" w:themeFill="background1"/>
            <w:vAlign w:val="center"/>
          </w:tcPr>
          <w:p w14:paraId="087B209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w:t>
            </w:r>
          </w:p>
        </w:tc>
        <w:tc>
          <w:tcPr>
            <w:tcW w:w="1146" w:type="dxa"/>
            <w:tcBorders>
              <w:top w:val="nil"/>
              <w:left w:val="nil"/>
              <w:bottom w:val="nil"/>
              <w:right w:val="nil"/>
            </w:tcBorders>
            <w:shd w:val="clear" w:color="auto" w:fill="FFFFFF" w:themeFill="background1"/>
            <w:vAlign w:val="center"/>
          </w:tcPr>
          <w:p w14:paraId="769CE1B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118DA" w:rsidRPr="00D76D7F" w14:paraId="065C68ED"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4B952B68"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Raffle/lottery (NZ or overseas)</w:t>
            </w:r>
          </w:p>
        </w:tc>
        <w:tc>
          <w:tcPr>
            <w:tcW w:w="536" w:type="dxa"/>
            <w:tcBorders>
              <w:top w:val="nil"/>
              <w:left w:val="nil"/>
              <w:bottom w:val="nil"/>
              <w:right w:val="nil"/>
            </w:tcBorders>
            <w:noWrap/>
            <w:vAlign w:val="center"/>
          </w:tcPr>
          <w:p w14:paraId="34AF121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21</w:t>
            </w:r>
          </w:p>
        </w:tc>
        <w:tc>
          <w:tcPr>
            <w:tcW w:w="567" w:type="dxa"/>
            <w:tcBorders>
              <w:top w:val="nil"/>
              <w:left w:val="nil"/>
              <w:bottom w:val="nil"/>
              <w:right w:val="nil"/>
            </w:tcBorders>
            <w:noWrap/>
            <w:vAlign w:val="center"/>
          </w:tcPr>
          <w:p w14:paraId="3B54F57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6.8</w:t>
            </w:r>
          </w:p>
        </w:tc>
        <w:tc>
          <w:tcPr>
            <w:tcW w:w="1146" w:type="dxa"/>
            <w:tcBorders>
              <w:top w:val="nil"/>
              <w:left w:val="nil"/>
              <w:bottom w:val="nil"/>
              <w:right w:val="single" w:sz="4" w:space="0" w:color="auto"/>
            </w:tcBorders>
            <w:noWrap/>
            <w:vAlign w:val="center"/>
          </w:tcPr>
          <w:p w14:paraId="455A71A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(4.9, 8.7)</w:t>
            </w:r>
          </w:p>
        </w:tc>
        <w:tc>
          <w:tcPr>
            <w:tcW w:w="456" w:type="dxa"/>
            <w:tcBorders>
              <w:top w:val="nil"/>
              <w:left w:val="single" w:sz="4" w:space="0" w:color="auto"/>
              <w:bottom w:val="nil"/>
              <w:right w:val="nil"/>
            </w:tcBorders>
            <w:noWrap/>
            <w:vAlign w:val="center"/>
          </w:tcPr>
          <w:p w14:paraId="39C8260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w:t>
            </w:r>
          </w:p>
        </w:tc>
        <w:tc>
          <w:tcPr>
            <w:tcW w:w="621" w:type="dxa"/>
            <w:tcBorders>
              <w:top w:val="nil"/>
              <w:left w:val="nil"/>
              <w:bottom w:val="nil"/>
              <w:right w:val="nil"/>
            </w:tcBorders>
            <w:noWrap/>
            <w:vAlign w:val="center"/>
          </w:tcPr>
          <w:p w14:paraId="4E67EA7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9.8</w:t>
            </w:r>
          </w:p>
        </w:tc>
        <w:tc>
          <w:tcPr>
            <w:tcW w:w="1146" w:type="dxa"/>
            <w:tcBorders>
              <w:top w:val="nil"/>
              <w:left w:val="nil"/>
              <w:bottom w:val="nil"/>
              <w:right w:val="single" w:sz="4" w:space="0" w:color="000000"/>
            </w:tcBorders>
            <w:shd w:val="clear" w:color="auto" w:fill="FFFFFF" w:themeFill="background1"/>
            <w:noWrap/>
            <w:vAlign w:val="center"/>
          </w:tcPr>
          <w:p w14:paraId="039B47E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(6.6, 13)</w:t>
            </w:r>
          </w:p>
        </w:tc>
        <w:tc>
          <w:tcPr>
            <w:tcW w:w="456" w:type="dxa"/>
            <w:tcBorders>
              <w:top w:val="nil"/>
              <w:left w:val="single" w:sz="4" w:space="0" w:color="000000"/>
              <w:bottom w:val="nil"/>
              <w:right w:val="nil"/>
            </w:tcBorders>
            <w:shd w:val="clear" w:color="auto" w:fill="FFFFFF" w:themeFill="background1"/>
            <w:vAlign w:val="center"/>
          </w:tcPr>
          <w:p w14:paraId="77222CE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w:t>
            </w:r>
          </w:p>
        </w:tc>
        <w:tc>
          <w:tcPr>
            <w:tcW w:w="567" w:type="dxa"/>
            <w:tcBorders>
              <w:top w:val="nil"/>
              <w:left w:val="nil"/>
              <w:bottom w:val="nil"/>
              <w:right w:val="nil"/>
            </w:tcBorders>
            <w:shd w:val="clear" w:color="auto" w:fill="FFFFFF" w:themeFill="background1"/>
            <w:vAlign w:val="center"/>
          </w:tcPr>
          <w:p w14:paraId="752083E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8.6</w:t>
            </w:r>
          </w:p>
        </w:tc>
        <w:tc>
          <w:tcPr>
            <w:tcW w:w="1146" w:type="dxa"/>
            <w:tcBorders>
              <w:top w:val="nil"/>
              <w:left w:val="nil"/>
              <w:bottom w:val="nil"/>
              <w:right w:val="single" w:sz="4" w:space="0" w:color="000000"/>
            </w:tcBorders>
            <w:shd w:val="clear" w:color="auto" w:fill="FFFFFF" w:themeFill="background1"/>
            <w:vAlign w:val="center"/>
          </w:tcPr>
          <w:p w14:paraId="7B71694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(5.1, 12.1)</w:t>
            </w:r>
          </w:p>
        </w:tc>
        <w:tc>
          <w:tcPr>
            <w:tcW w:w="456" w:type="dxa"/>
            <w:tcBorders>
              <w:top w:val="nil"/>
              <w:left w:val="single" w:sz="4" w:space="0" w:color="000000"/>
              <w:bottom w:val="nil"/>
              <w:right w:val="nil"/>
            </w:tcBorders>
            <w:shd w:val="clear" w:color="auto" w:fill="FFFFFF" w:themeFill="background1"/>
            <w:vAlign w:val="center"/>
          </w:tcPr>
          <w:p w14:paraId="48E05DF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w:t>
            </w:r>
          </w:p>
        </w:tc>
        <w:tc>
          <w:tcPr>
            <w:tcW w:w="621" w:type="dxa"/>
            <w:tcBorders>
              <w:top w:val="nil"/>
              <w:left w:val="nil"/>
              <w:bottom w:val="nil"/>
              <w:right w:val="nil"/>
            </w:tcBorders>
            <w:shd w:val="clear" w:color="auto" w:fill="FFFFFF" w:themeFill="background1"/>
            <w:vAlign w:val="center"/>
          </w:tcPr>
          <w:p w14:paraId="6282E90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8.0</w:t>
            </w:r>
          </w:p>
        </w:tc>
        <w:tc>
          <w:tcPr>
            <w:tcW w:w="1146" w:type="dxa"/>
            <w:tcBorders>
              <w:top w:val="nil"/>
              <w:left w:val="nil"/>
              <w:bottom w:val="nil"/>
              <w:right w:val="nil"/>
            </w:tcBorders>
            <w:shd w:val="clear" w:color="auto" w:fill="FFFFFF" w:themeFill="background1"/>
            <w:vAlign w:val="center"/>
          </w:tcPr>
          <w:p w14:paraId="5333D41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(3.7, 12.3)</w:t>
            </w:r>
          </w:p>
        </w:tc>
      </w:tr>
      <w:tr w:rsidR="009118DA" w:rsidRPr="00D76D7F" w14:paraId="624C6E09"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2231F529"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Lotto</w:t>
            </w:r>
          </w:p>
        </w:tc>
        <w:tc>
          <w:tcPr>
            <w:tcW w:w="536" w:type="dxa"/>
            <w:tcBorders>
              <w:top w:val="nil"/>
              <w:left w:val="nil"/>
              <w:bottom w:val="nil"/>
              <w:right w:val="nil"/>
            </w:tcBorders>
            <w:noWrap/>
            <w:vAlign w:val="center"/>
          </w:tcPr>
          <w:p w14:paraId="7196EE0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70</w:t>
            </w:r>
          </w:p>
        </w:tc>
        <w:tc>
          <w:tcPr>
            <w:tcW w:w="567" w:type="dxa"/>
            <w:tcBorders>
              <w:top w:val="nil"/>
              <w:left w:val="nil"/>
              <w:bottom w:val="nil"/>
              <w:right w:val="nil"/>
            </w:tcBorders>
            <w:noWrap/>
            <w:vAlign w:val="center"/>
          </w:tcPr>
          <w:p w14:paraId="46373F7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22.5</w:t>
            </w:r>
          </w:p>
        </w:tc>
        <w:tc>
          <w:tcPr>
            <w:tcW w:w="1146" w:type="dxa"/>
            <w:tcBorders>
              <w:top w:val="nil"/>
              <w:left w:val="nil"/>
              <w:bottom w:val="nil"/>
              <w:right w:val="single" w:sz="4" w:space="0" w:color="auto"/>
            </w:tcBorders>
            <w:noWrap/>
            <w:vAlign w:val="center"/>
          </w:tcPr>
          <w:p w14:paraId="508B857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(19.2, 25.7)</w:t>
            </w:r>
          </w:p>
        </w:tc>
        <w:tc>
          <w:tcPr>
            <w:tcW w:w="456" w:type="dxa"/>
            <w:tcBorders>
              <w:top w:val="nil"/>
              <w:left w:val="single" w:sz="4" w:space="0" w:color="auto"/>
              <w:bottom w:val="nil"/>
              <w:right w:val="nil"/>
            </w:tcBorders>
            <w:noWrap/>
            <w:vAlign w:val="center"/>
          </w:tcPr>
          <w:p w14:paraId="138AEA2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32</w:t>
            </w:r>
          </w:p>
        </w:tc>
        <w:tc>
          <w:tcPr>
            <w:tcW w:w="621" w:type="dxa"/>
            <w:tcBorders>
              <w:top w:val="nil"/>
              <w:left w:val="nil"/>
              <w:bottom w:val="nil"/>
              <w:right w:val="nil"/>
            </w:tcBorders>
            <w:noWrap/>
            <w:vAlign w:val="center"/>
          </w:tcPr>
          <w:p w14:paraId="534603E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17.3</w:t>
            </w:r>
          </w:p>
        </w:tc>
        <w:tc>
          <w:tcPr>
            <w:tcW w:w="1146" w:type="dxa"/>
            <w:tcBorders>
              <w:top w:val="nil"/>
              <w:left w:val="nil"/>
              <w:bottom w:val="nil"/>
              <w:right w:val="single" w:sz="4" w:space="0" w:color="000000"/>
            </w:tcBorders>
            <w:shd w:val="clear" w:color="auto" w:fill="FFFFFF" w:themeFill="background1"/>
            <w:noWrap/>
            <w:vAlign w:val="center"/>
          </w:tcPr>
          <w:p w14:paraId="400FB88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(13.5, 21.1)</w:t>
            </w:r>
          </w:p>
        </w:tc>
        <w:tc>
          <w:tcPr>
            <w:tcW w:w="456" w:type="dxa"/>
            <w:tcBorders>
              <w:top w:val="nil"/>
              <w:left w:val="single" w:sz="4" w:space="0" w:color="000000"/>
              <w:bottom w:val="nil"/>
              <w:right w:val="nil"/>
            </w:tcBorders>
            <w:shd w:val="clear" w:color="auto" w:fill="FFFFFF" w:themeFill="background1"/>
            <w:vAlign w:val="center"/>
          </w:tcPr>
          <w:p w14:paraId="36274BE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25</w:t>
            </w:r>
          </w:p>
        </w:tc>
        <w:tc>
          <w:tcPr>
            <w:tcW w:w="567" w:type="dxa"/>
            <w:tcBorders>
              <w:top w:val="nil"/>
              <w:left w:val="nil"/>
              <w:bottom w:val="nil"/>
              <w:right w:val="nil"/>
            </w:tcBorders>
            <w:shd w:val="clear" w:color="auto" w:fill="FFFFFF" w:themeFill="background1"/>
            <w:vAlign w:val="center"/>
          </w:tcPr>
          <w:p w14:paraId="1C9747C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16.8</w:t>
            </w:r>
          </w:p>
        </w:tc>
        <w:tc>
          <w:tcPr>
            <w:tcW w:w="1146" w:type="dxa"/>
            <w:tcBorders>
              <w:top w:val="nil"/>
              <w:left w:val="nil"/>
              <w:bottom w:val="nil"/>
              <w:right w:val="single" w:sz="4" w:space="0" w:color="000000"/>
            </w:tcBorders>
            <w:shd w:val="clear" w:color="auto" w:fill="FFFFFF" w:themeFill="background1"/>
            <w:vAlign w:val="center"/>
          </w:tcPr>
          <w:p w14:paraId="72A9E1A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(12.7, 20.9)</w:t>
            </w:r>
          </w:p>
        </w:tc>
        <w:tc>
          <w:tcPr>
            <w:tcW w:w="456" w:type="dxa"/>
            <w:tcBorders>
              <w:top w:val="nil"/>
              <w:left w:val="single" w:sz="4" w:space="0" w:color="000000"/>
              <w:bottom w:val="nil"/>
              <w:right w:val="nil"/>
            </w:tcBorders>
            <w:shd w:val="clear" w:color="auto" w:fill="FFFFFF" w:themeFill="background1"/>
            <w:vAlign w:val="center"/>
          </w:tcPr>
          <w:p w14:paraId="7A43AD1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24</w:t>
            </w:r>
          </w:p>
        </w:tc>
        <w:tc>
          <w:tcPr>
            <w:tcW w:w="621" w:type="dxa"/>
            <w:tcBorders>
              <w:top w:val="nil"/>
              <w:left w:val="nil"/>
              <w:bottom w:val="nil"/>
              <w:right w:val="nil"/>
            </w:tcBorders>
            <w:shd w:val="clear" w:color="auto" w:fill="FFFFFF" w:themeFill="background1"/>
            <w:vAlign w:val="center"/>
          </w:tcPr>
          <w:p w14:paraId="1155611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18.3</w:t>
            </w:r>
          </w:p>
        </w:tc>
        <w:tc>
          <w:tcPr>
            <w:tcW w:w="1146" w:type="dxa"/>
            <w:tcBorders>
              <w:top w:val="nil"/>
              <w:left w:val="nil"/>
              <w:bottom w:val="nil"/>
              <w:right w:val="nil"/>
            </w:tcBorders>
            <w:shd w:val="clear" w:color="auto" w:fill="FFFFFF" w:themeFill="background1"/>
            <w:vAlign w:val="center"/>
          </w:tcPr>
          <w:p w14:paraId="137A9FA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(13.3, 23.3)</w:t>
            </w:r>
          </w:p>
        </w:tc>
      </w:tr>
      <w:tr w:rsidR="009118DA" w:rsidRPr="00D76D7F" w14:paraId="583BA78F"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29264655"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Keno</w:t>
            </w:r>
          </w:p>
        </w:tc>
        <w:tc>
          <w:tcPr>
            <w:tcW w:w="536" w:type="dxa"/>
            <w:tcBorders>
              <w:top w:val="nil"/>
              <w:left w:val="nil"/>
              <w:bottom w:val="nil"/>
              <w:right w:val="nil"/>
            </w:tcBorders>
            <w:noWrap/>
            <w:vAlign w:val="center"/>
          </w:tcPr>
          <w:p w14:paraId="3C64F66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w:t>
            </w:r>
          </w:p>
        </w:tc>
        <w:tc>
          <w:tcPr>
            <w:tcW w:w="567" w:type="dxa"/>
            <w:tcBorders>
              <w:top w:val="nil"/>
              <w:left w:val="nil"/>
              <w:bottom w:val="nil"/>
              <w:right w:val="nil"/>
            </w:tcBorders>
            <w:noWrap/>
            <w:vAlign w:val="center"/>
          </w:tcPr>
          <w:p w14:paraId="084DD13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w:t>
            </w:r>
          </w:p>
        </w:tc>
        <w:tc>
          <w:tcPr>
            <w:tcW w:w="1146" w:type="dxa"/>
            <w:tcBorders>
              <w:top w:val="nil"/>
              <w:left w:val="nil"/>
              <w:bottom w:val="nil"/>
              <w:right w:val="single" w:sz="4" w:space="0" w:color="auto"/>
            </w:tcBorders>
            <w:noWrap/>
            <w:vAlign w:val="center"/>
          </w:tcPr>
          <w:p w14:paraId="2C60183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(0.4, 1.8)</w:t>
            </w:r>
          </w:p>
        </w:tc>
        <w:tc>
          <w:tcPr>
            <w:tcW w:w="456" w:type="dxa"/>
            <w:tcBorders>
              <w:top w:val="nil"/>
              <w:left w:val="single" w:sz="4" w:space="0" w:color="auto"/>
              <w:bottom w:val="nil"/>
              <w:right w:val="nil"/>
            </w:tcBorders>
            <w:noWrap/>
            <w:vAlign w:val="center"/>
          </w:tcPr>
          <w:p w14:paraId="7D8E3C7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w:t>
            </w:r>
          </w:p>
        </w:tc>
        <w:tc>
          <w:tcPr>
            <w:tcW w:w="621" w:type="dxa"/>
            <w:tcBorders>
              <w:top w:val="nil"/>
              <w:left w:val="nil"/>
              <w:bottom w:val="nil"/>
              <w:right w:val="nil"/>
            </w:tcBorders>
            <w:noWrap/>
            <w:vAlign w:val="center"/>
          </w:tcPr>
          <w:p w14:paraId="54B2817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w:t>
            </w:r>
          </w:p>
        </w:tc>
        <w:tc>
          <w:tcPr>
            <w:tcW w:w="1146" w:type="dxa"/>
            <w:tcBorders>
              <w:top w:val="nil"/>
              <w:left w:val="nil"/>
              <w:bottom w:val="nil"/>
              <w:right w:val="single" w:sz="4" w:space="0" w:color="000000"/>
            </w:tcBorders>
            <w:shd w:val="clear" w:color="auto" w:fill="FFFFFF" w:themeFill="background1"/>
            <w:noWrap/>
            <w:vAlign w:val="center"/>
          </w:tcPr>
          <w:p w14:paraId="5F1C883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456" w:type="dxa"/>
            <w:tcBorders>
              <w:top w:val="nil"/>
              <w:left w:val="single" w:sz="4" w:space="0" w:color="000000"/>
              <w:bottom w:val="nil"/>
              <w:right w:val="nil"/>
            </w:tcBorders>
            <w:shd w:val="clear" w:color="auto" w:fill="FFFFFF" w:themeFill="background1"/>
            <w:vAlign w:val="center"/>
          </w:tcPr>
          <w:p w14:paraId="64A2A0B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w:t>
            </w:r>
          </w:p>
        </w:tc>
        <w:tc>
          <w:tcPr>
            <w:tcW w:w="567" w:type="dxa"/>
            <w:tcBorders>
              <w:top w:val="nil"/>
              <w:left w:val="nil"/>
              <w:bottom w:val="nil"/>
              <w:right w:val="nil"/>
            </w:tcBorders>
            <w:shd w:val="clear" w:color="auto" w:fill="FFFFFF" w:themeFill="background1"/>
            <w:vAlign w:val="center"/>
          </w:tcPr>
          <w:p w14:paraId="4DFC543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0.7</w:t>
            </w:r>
          </w:p>
        </w:tc>
        <w:tc>
          <w:tcPr>
            <w:tcW w:w="1146" w:type="dxa"/>
            <w:tcBorders>
              <w:top w:val="nil"/>
              <w:left w:val="nil"/>
              <w:bottom w:val="nil"/>
              <w:right w:val="single" w:sz="4" w:space="0" w:color="000000"/>
            </w:tcBorders>
            <w:shd w:val="clear" w:color="auto" w:fill="FFFFFF" w:themeFill="background1"/>
            <w:vAlign w:val="center"/>
          </w:tcPr>
          <w:p w14:paraId="643688C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456" w:type="dxa"/>
            <w:tcBorders>
              <w:top w:val="nil"/>
              <w:left w:val="single" w:sz="4" w:space="0" w:color="000000"/>
              <w:bottom w:val="nil"/>
              <w:right w:val="nil"/>
            </w:tcBorders>
            <w:shd w:val="clear" w:color="auto" w:fill="FFFFFF" w:themeFill="background1"/>
            <w:vAlign w:val="center"/>
          </w:tcPr>
          <w:p w14:paraId="1B2953B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621" w:type="dxa"/>
            <w:tcBorders>
              <w:top w:val="nil"/>
              <w:left w:val="nil"/>
              <w:bottom w:val="nil"/>
              <w:right w:val="nil"/>
            </w:tcBorders>
            <w:shd w:val="clear" w:color="auto" w:fill="FFFFFF" w:themeFill="background1"/>
            <w:vAlign w:val="center"/>
          </w:tcPr>
          <w:p w14:paraId="1B7D7A2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0.1</w:t>
            </w:r>
          </w:p>
        </w:tc>
        <w:tc>
          <w:tcPr>
            <w:tcW w:w="1146" w:type="dxa"/>
            <w:tcBorders>
              <w:top w:val="nil"/>
              <w:left w:val="nil"/>
              <w:bottom w:val="nil"/>
              <w:right w:val="nil"/>
            </w:tcBorders>
            <w:shd w:val="clear" w:color="auto" w:fill="FFFFFF" w:themeFill="background1"/>
            <w:vAlign w:val="center"/>
          </w:tcPr>
          <w:p w14:paraId="37C33E5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D76D7F" w14:paraId="3C294E0A"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039800E1"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Bullseye</w:t>
            </w:r>
          </w:p>
        </w:tc>
        <w:tc>
          <w:tcPr>
            <w:tcW w:w="536" w:type="dxa"/>
            <w:tcBorders>
              <w:top w:val="nil"/>
              <w:left w:val="nil"/>
              <w:bottom w:val="nil"/>
              <w:right w:val="nil"/>
            </w:tcBorders>
            <w:noWrap/>
            <w:vAlign w:val="center"/>
          </w:tcPr>
          <w:p w14:paraId="796668B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567" w:type="dxa"/>
            <w:tcBorders>
              <w:top w:val="nil"/>
              <w:left w:val="nil"/>
              <w:bottom w:val="nil"/>
              <w:right w:val="nil"/>
            </w:tcBorders>
            <w:noWrap/>
            <w:vAlign w:val="center"/>
          </w:tcPr>
          <w:p w14:paraId="68CD12E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0.1</w:t>
            </w:r>
          </w:p>
        </w:tc>
        <w:tc>
          <w:tcPr>
            <w:tcW w:w="1146" w:type="dxa"/>
            <w:tcBorders>
              <w:top w:val="nil"/>
              <w:left w:val="nil"/>
              <w:bottom w:val="nil"/>
              <w:right w:val="single" w:sz="4" w:space="0" w:color="auto"/>
            </w:tcBorders>
            <w:noWrap/>
            <w:vAlign w:val="center"/>
          </w:tcPr>
          <w:p w14:paraId="1E5BAFB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456" w:type="dxa"/>
            <w:tcBorders>
              <w:top w:val="nil"/>
              <w:left w:val="single" w:sz="4" w:space="0" w:color="auto"/>
              <w:bottom w:val="nil"/>
              <w:right w:val="nil"/>
            </w:tcBorders>
            <w:noWrap/>
            <w:vAlign w:val="center"/>
          </w:tcPr>
          <w:p w14:paraId="3E71D4D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621" w:type="dxa"/>
            <w:tcBorders>
              <w:top w:val="nil"/>
              <w:left w:val="nil"/>
              <w:bottom w:val="nil"/>
              <w:right w:val="nil"/>
            </w:tcBorders>
            <w:noWrap/>
            <w:vAlign w:val="center"/>
          </w:tcPr>
          <w:p w14:paraId="2FFF9E5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w:t>
            </w:r>
          </w:p>
        </w:tc>
        <w:tc>
          <w:tcPr>
            <w:tcW w:w="1146" w:type="dxa"/>
            <w:tcBorders>
              <w:top w:val="nil"/>
              <w:left w:val="nil"/>
              <w:bottom w:val="nil"/>
              <w:right w:val="single" w:sz="4" w:space="0" w:color="000000"/>
            </w:tcBorders>
            <w:shd w:val="clear" w:color="auto" w:fill="FFFFFF" w:themeFill="background1"/>
            <w:noWrap/>
            <w:vAlign w:val="center"/>
          </w:tcPr>
          <w:p w14:paraId="7C694B3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456" w:type="dxa"/>
            <w:tcBorders>
              <w:top w:val="nil"/>
              <w:left w:val="single" w:sz="4" w:space="0" w:color="000000"/>
              <w:bottom w:val="nil"/>
              <w:right w:val="nil"/>
            </w:tcBorders>
            <w:shd w:val="clear" w:color="auto" w:fill="FFFFFF" w:themeFill="background1"/>
            <w:vAlign w:val="center"/>
          </w:tcPr>
          <w:p w14:paraId="6E7742E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567" w:type="dxa"/>
            <w:tcBorders>
              <w:top w:val="nil"/>
              <w:left w:val="nil"/>
              <w:bottom w:val="nil"/>
              <w:right w:val="nil"/>
            </w:tcBorders>
            <w:shd w:val="clear" w:color="auto" w:fill="FFFFFF" w:themeFill="background1"/>
            <w:vAlign w:val="center"/>
          </w:tcPr>
          <w:p w14:paraId="704DEA6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w:t>
            </w:r>
          </w:p>
        </w:tc>
        <w:tc>
          <w:tcPr>
            <w:tcW w:w="1146" w:type="dxa"/>
            <w:tcBorders>
              <w:top w:val="nil"/>
              <w:left w:val="nil"/>
              <w:bottom w:val="nil"/>
              <w:right w:val="single" w:sz="4" w:space="0" w:color="000000"/>
            </w:tcBorders>
            <w:shd w:val="clear" w:color="auto" w:fill="FFFFFF" w:themeFill="background1"/>
            <w:vAlign w:val="center"/>
          </w:tcPr>
          <w:p w14:paraId="78279AC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456" w:type="dxa"/>
            <w:tcBorders>
              <w:top w:val="nil"/>
              <w:left w:val="single" w:sz="4" w:space="0" w:color="000000"/>
              <w:bottom w:val="nil"/>
              <w:right w:val="nil"/>
            </w:tcBorders>
            <w:shd w:val="clear" w:color="auto" w:fill="FFFFFF" w:themeFill="background1"/>
            <w:vAlign w:val="center"/>
          </w:tcPr>
          <w:p w14:paraId="2269F19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621" w:type="dxa"/>
            <w:tcBorders>
              <w:top w:val="nil"/>
              <w:left w:val="nil"/>
              <w:bottom w:val="nil"/>
              <w:right w:val="nil"/>
            </w:tcBorders>
            <w:shd w:val="clear" w:color="auto" w:fill="FFFFFF" w:themeFill="background1"/>
            <w:vAlign w:val="center"/>
          </w:tcPr>
          <w:p w14:paraId="5566800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w:t>
            </w:r>
          </w:p>
        </w:tc>
        <w:tc>
          <w:tcPr>
            <w:tcW w:w="1146" w:type="dxa"/>
            <w:tcBorders>
              <w:top w:val="nil"/>
              <w:left w:val="nil"/>
              <w:bottom w:val="nil"/>
              <w:right w:val="nil"/>
            </w:tcBorders>
            <w:shd w:val="clear" w:color="auto" w:fill="FFFFFF" w:themeFill="background1"/>
            <w:vAlign w:val="center"/>
          </w:tcPr>
          <w:p w14:paraId="584A79A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118DA" w:rsidRPr="00D76D7F" w14:paraId="7C1E19C2"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17A397B9" w14:textId="77777777" w:rsidR="003D7BB5" w:rsidRPr="00D76D7F" w:rsidRDefault="003D7BB5" w:rsidP="00DD0F28">
            <w:pPr>
              <w:spacing w:before="20" w:after="20"/>
              <w:ind w:left="176"/>
              <w:rPr>
                <w:rFonts w:eastAsiaTheme="minorEastAsia"/>
                <w:b w:val="0"/>
                <w:sz w:val="18"/>
                <w:szCs w:val="18"/>
              </w:rPr>
            </w:pPr>
            <w:r w:rsidRPr="00D76D7F">
              <w:rPr>
                <w:rFonts w:eastAsiaTheme="minorEastAsia"/>
                <w:b w:val="0"/>
                <w:sz w:val="18"/>
                <w:szCs w:val="18"/>
              </w:rPr>
              <w:t>Instant Kiwi/or other scratch tickets</w:t>
            </w:r>
          </w:p>
        </w:tc>
        <w:tc>
          <w:tcPr>
            <w:tcW w:w="536" w:type="dxa"/>
            <w:tcBorders>
              <w:top w:val="nil"/>
              <w:left w:val="nil"/>
              <w:bottom w:val="nil"/>
              <w:right w:val="nil"/>
            </w:tcBorders>
            <w:noWrap/>
            <w:vAlign w:val="center"/>
          </w:tcPr>
          <w:p w14:paraId="7A004F9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23</w:t>
            </w:r>
          </w:p>
        </w:tc>
        <w:tc>
          <w:tcPr>
            <w:tcW w:w="567" w:type="dxa"/>
            <w:tcBorders>
              <w:top w:val="nil"/>
              <w:left w:val="nil"/>
              <w:bottom w:val="nil"/>
              <w:right w:val="nil"/>
            </w:tcBorders>
            <w:noWrap/>
            <w:vAlign w:val="center"/>
          </w:tcPr>
          <w:p w14:paraId="78FB888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7.5</w:t>
            </w:r>
          </w:p>
        </w:tc>
        <w:tc>
          <w:tcPr>
            <w:tcW w:w="1146" w:type="dxa"/>
            <w:tcBorders>
              <w:top w:val="nil"/>
              <w:left w:val="nil"/>
              <w:bottom w:val="nil"/>
              <w:right w:val="single" w:sz="4" w:space="0" w:color="auto"/>
            </w:tcBorders>
            <w:noWrap/>
            <w:vAlign w:val="center"/>
          </w:tcPr>
          <w:p w14:paraId="64B1E0A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(5.3, 9.8)</w:t>
            </w:r>
          </w:p>
        </w:tc>
        <w:tc>
          <w:tcPr>
            <w:tcW w:w="456" w:type="dxa"/>
            <w:tcBorders>
              <w:top w:val="nil"/>
              <w:left w:val="single" w:sz="4" w:space="0" w:color="auto"/>
              <w:bottom w:val="nil"/>
              <w:right w:val="nil"/>
            </w:tcBorders>
            <w:noWrap/>
            <w:vAlign w:val="center"/>
          </w:tcPr>
          <w:p w14:paraId="17058F9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w:t>
            </w:r>
          </w:p>
        </w:tc>
        <w:tc>
          <w:tcPr>
            <w:tcW w:w="621" w:type="dxa"/>
            <w:tcBorders>
              <w:top w:val="nil"/>
              <w:left w:val="nil"/>
              <w:bottom w:val="nil"/>
              <w:right w:val="nil"/>
            </w:tcBorders>
            <w:noWrap/>
            <w:vAlign w:val="center"/>
          </w:tcPr>
          <w:p w14:paraId="4B624A8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4.5</w:t>
            </w:r>
          </w:p>
        </w:tc>
        <w:tc>
          <w:tcPr>
            <w:tcW w:w="1146" w:type="dxa"/>
            <w:tcBorders>
              <w:top w:val="nil"/>
              <w:left w:val="nil"/>
              <w:bottom w:val="nil"/>
              <w:right w:val="single" w:sz="4" w:space="0" w:color="000000"/>
            </w:tcBorders>
            <w:shd w:val="clear" w:color="auto" w:fill="FFFFFF" w:themeFill="background1"/>
            <w:noWrap/>
            <w:vAlign w:val="center"/>
          </w:tcPr>
          <w:p w14:paraId="14D2F3F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(2.5, 6.6)</w:t>
            </w:r>
          </w:p>
        </w:tc>
        <w:tc>
          <w:tcPr>
            <w:tcW w:w="456" w:type="dxa"/>
            <w:tcBorders>
              <w:top w:val="nil"/>
              <w:left w:val="single" w:sz="4" w:space="0" w:color="000000"/>
              <w:bottom w:val="nil"/>
              <w:right w:val="nil"/>
            </w:tcBorders>
            <w:shd w:val="clear" w:color="auto" w:fill="FFFFFF" w:themeFill="background1"/>
            <w:vAlign w:val="center"/>
          </w:tcPr>
          <w:p w14:paraId="7BE718E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w:t>
            </w:r>
          </w:p>
        </w:tc>
        <w:tc>
          <w:tcPr>
            <w:tcW w:w="567" w:type="dxa"/>
            <w:tcBorders>
              <w:top w:val="nil"/>
              <w:left w:val="nil"/>
              <w:bottom w:val="nil"/>
              <w:right w:val="nil"/>
            </w:tcBorders>
            <w:shd w:val="clear" w:color="auto" w:fill="FFFFFF" w:themeFill="background1"/>
            <w:vAlign w:val="center"/>
          </w:tcPr>
          <w:p w14:paraId="6BB380F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6.2</w:t>
            </w:r>
          </w:p>
        </w:tc>
        <w:tc>
          <w:tcPr>
            <w:tcW w:w="1146" w:type="dxa"/>
            <w:tcBorders>
              <w:top w:val="nil"/>
              <w:left w:val="nil"/>
              <w:bottom w:val="nil"/>
              <w:right w:val="single" w:sz="4" w:space="0" w:color="000000"/>
            </w:tcBorders>
            <w:shd w:val="clear" w:color="auto" w:fill="FFFFFF" w:themeFill="background1"/>
            <w:vAlign w:val="center"/>
          </w:tcPr>
          <w:p w14:paraId="6067EB0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(3.2, 9.3)</w:t>
            </w:r>
          </w:p>
        </w:tc>
        <w:tc>
          <w:tcPr>
            <w:tcW w:w="456" w:type="dxa"/>
            <w:tcBorders>
              <w:top w:val="nil"/>
              <w:left w:val="single" w:sz="4" w:space="0" w:color="000000"/>
              <w:bottom w:val="nil"/>
              <w:right w:val="nil"/>
            </w:tcBorders>
            <w:shd w:val="clear" w:color="auto" w:fill="FFFFFF" w:themeFill="background1"/>
            <w:vAlign w:val="center"/>
          </w:tcPr>
          <w:p w14:paraId="0DB0879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w:t>
            </w:r>
          </w:p>
        </w:tc>
        <w:tc>
          <w:tcPr>
            <w:tcW w:w="621" w:type="dxa"/>
            <w:tcBorders>
              <w:top w:val="nil"/>
              <w:left w:val="nil"/>
              <w:bottom w:val="nil"/>
              <w:right w:val="nil"/>
            </w:tcBorders>
            <w:shd w:val="clear" w:color="auto" w:fill="FFFFFF" w:themeFill="background1"/>
            <w:vAlign w:val="center"/>
          </w:tcPr>
          <w:p w14:paraId="484F9FF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4.4</w:t>
            </w:r>
          </w:p>
        </w:tc>
        <w:tc>
          <w:tcPr>
            <w:tcW w:w="1146" w:type="dxa"/>
            <w:tcBorders>
              <w:top w:val="nil"/>
              <w:left w:val="nil"/>
              <w:bottom w:val="nil"/>
              <w:right w:val="nil"/>
            </w:tcBorders>
            <w:shd w:val="clear" w:color="auto" w:fill="FFFFFF" w:themeFill="background1"/>
            <w:vAlign w:val="center"/>
          </w:tcPr>
          <w:p w14:paraId="31B8082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(1.5, 7.3)</w:t>
            </w:r>
          </w:p>
        </w:tc>
      </w:tr>
      <w:tr w:rsidR="009118DA" w:rsidRPr="00D76D7F" w14:paraId="01159872"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29CF13E6"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Housie or bingo</w:t>
            </w:r>
          </w:p>
        </w:tc>
        <w:tc>
          <w:tcPr>
            <w:tcW w:w="536" w:type="dxa"/>
            <w:tcBorders>
              <w:top w:val="nil"/>
              <w:left w:val="nil"/>
              <w:bottom w:val="nil"/>
              <w:right w:val="nil"/>
            </w:tcBorders>
            <w:noWrap/>
            <w:vAlign w:val="center"/>
          </w:tcPr>
          <w:p w14:paraId="083B321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w:t>
            </w:r>
          </w:p>
        </w:tc>
        <w:tc>
          <w:tcPr>
            <w:tcW w:w="567" w:type="dxa"/>
            <w:tcBorders>
              <w:top w:val="nil"/>
              <w:left w:val="nil"/>
              <w:bottom w:val="nil"/>
              <w:right w:val="nil"/>
            </w:tcBorders>
            <w:noWrap/>
            <w:vAlign w:val="center"/>
          </w:tcPr>
          <w:p w14:paraId="61FDD73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2.3</w:t>
            </w:r>
          </w:p>
        </w:tc>
        <w:tc>
          <w:tcPr>
            <w:tcW w:w="1146" w:type="dxa"/>
            <w:tcBorders>
              <w:top w:val="nil"/>
              <w:left w:val="nil"/>
              <w:bottom w:val="nil"/>
              <w:right w:val="single" w:sz="4" w:space="0" w:color="auto"/>
            </w:tcBorders>
            <w:noWrap/>
            <w:vAlign w:val="center"/>
          </w:tcPr>
          <w:p w14:paraId="6236A65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(1.2, 3.5)</w:t>
            </w:r>
          </w:p>
        </w:tc>
        <w:tc>
          <w:tcPr>
            <w:tcW w:w="456" w:type="dxa"/>
            <w:tcBorders>
              <w:top w:val="nil"/>
              <w:left w:val="single" w:sz="4" w:space="0" w:color="auto"/>
              <w:bottom w:val="nil"/>
              <w:right w:val="nil"/>
            </w:tcBorders>
            <w:noWrap/>
            <w:vAlign w:val="center"/>
          </w:tcPr>
          <w:p w14:paraId="6598EC8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w:t>
            </w:r>
          </w:p>
        </w:tc>
        <w:tc>
          <w:tcPr>
            <w:tcW w:w="621" w:type="dxa"/>
            <w:tcBorders>
              <w:top w:val="nil"/>
              <w:left w:val="nil"/>
              <w:bottom w:val="nil"/>
              <w:right w:val="nil"/>
            </w:tcBorders>
            <w:noWrap/>
            <w:vAlign w:val="center"/>
          </w:tcPr>
          <w:p w14:paraId="36B7512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3.4</w:t>
            </w:r>
          </w:p>
        </w:tc>
        <w:tc>
          <w:tcPr>
            <w:tcW w:w="1146" w:type="dxa"/>
            <w:tcBorders>
              <w:top w:val="nil"/>
              <w:left w:val="nil"/>
              <w:bottom w:val="nil"/>
              <w:right w:val="single" w:sz="4" w:space="0" w:color="000000"/>
            </w:tcBorders>
            <w:shd w:val="clear" w:color="auto" w:fill="FFFFFF" w:themeFill="background1"/>
            <w:noWrap/>
            <w:vAlign w:val="center"/>
          </w:tcPr>
          <w:p w14:paraId="31B1625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(1.3, 5.6)</w:t>
            </w:r>
          </w:p>
        </w:tc>
        <w:tc>
          <w:tcPr>
            <w:tcW w:w="456" w:type="dxa"/>
            <w:tcBorders>
              <w:top w:val="nil"/>
              <w:left w:val="single" w:sz="4" w:space="0" w:color="000000"/>
              <w:bottom w:val="nil"/>
              <w:right w:val="nil"/>
            </w:tcBorders>
            <w:shd w:val="clear" w:color="auto" w:fill="FFFFFF" w:themeFill="background1"/>
            <w:vAlign w:val="center"/>
          </w:tcPr>
          <w:p w14:paraId="7D178D2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w:t>
            </w:r>
          </w:p>
        </w:tc>
        <w:tc>
          <w:tcPr>
            <w:tcW w:w="567" w:type="dxa"/>
            <w:tcBorders>
              <w:top w:val="nil"/>
              <w:left w:val="nil"/>
              <w:bottom w:val="nil"/>
              <w:right w:val="nil"/>
            </w:tcBorders>
            <w:shd w:val="clear" w:color="auto" w:fill="FFFFFF" w:themeFill="background1"/>
            <w:vAlign w:val="center"/>
          </w:tcPr>
          <w:p w14:paraId="0B8E3B2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3.3</w:t>
            </w:r>
          </w:p>
        </w:tc>
        <w:tc>
          <w:tcPr>
            <w:tcW w:w="1146" w:type="dxa"/>
            <w:tcBorders>
              <w:top w:val="nil"/>
              <w:left w:val="nil"/>
              <w:bottom w:val="nil"/>
              <w:right w:val="single" w:sz="4" w:space="0" w:color="000000"/>
            </w:tcBorders>
            <w:shd w:val="clear" w:color="auto" w:fill="FFFFFF" w:themeFill="background1"/>
            <w:vAlign w:val="center"/>
          </w:tcPr>
          <w:p w14:paraId="6A800CE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(1.2, 5.3)</w:t>
            </w:r>
          </w:p>
        </w:tc>
        <w:tc>
          <w:tcPr>
            <w:tcW w:w="456" w:type="dxa"/>
            <w:tcBorders>
              <w:top w:val="nil"/>
              <w:left w:val="single" w:sz="4" w:space="0" w:color="000000"/>
              <w:bottom w:val="nil"/>
              <w:right w:val="nil"/>
            </w:tcBorders>
            <w:shd w:val="clear" w:color="auto" w:fill="FFFFFF" w:themeFill="background1"/>
            <w:vAlign w:val="center"/>
          </w:tcPr>
          <w:p w14:paraId="4D7CBE0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w:t>
            </w:r>
          </w:p>
        </w:tc>
        <w:tc>
          <w:tcPr>
            <w:tcW w:w="621" w:type="dxa"/>
            <w:tcBorders>
              <w:top w:val="nil"/>
              <w:left w:val="nil"/>
              <w:bottom w:val="nil"/>
              <w:right w:val="nil"/>
            </w:tcBorders>
            <w:shd w:val="clear" w:color="auto" w:fill="FFFFFF" w:themeFill="background1"/>
            <w:vAlign w:val="center"/>
          </w:tcPr>
          <w:p w14:paraId="459416B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w:t>
            </w:r>
          </w:p>
        </w:tc>
        <w:tc>
          <w:tcPr>
            <w:tcW w:w="1146" w:type="dxa"/>
            <w:tcBorders>
              <w:top w:val="nil"/>
              <w:left w:val="nil"/>
              <w:bottom w:val="nil"/>
              <w:right w:val="nil"/>
            </w:tcBorders>
            <w:shd w:val="clear" w:color="auto" w:fill="FFFFFF" w:themeFill="background1"/>
            <w:vAlign w:val="center"/>
          </w:tcPr>
          <w:p w14:paraId="5D397A4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(0.9, 5.2)</w:t>
            </w:r>
          </w:p>
        </w:tc>
      </w:tr>
      <w:tr w:rsidR="009118DA" w:rsidRPr="00D76D7F" w14:paraId="2CDC40B8"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3485F0EE"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Horse/dog race betting</w:t>
            </w:r>
          </w:p>
        </w:tc>
        <w:tc>
          <w:tcPr>
            <w:tcW w:w="536" w:type="dxa"/>
            <w:tcBorders>
              <w:top w:val="nil"/>
              <w:left w:val="nil"/>
              <w:bottom w:val="nil"/>
              <w:right w:val="nil"/>
            </w:tcBorders>
            <w:noWrap/>
            <w:vAlign w:val="center"/>
          </w:tcPr>
          <w:p w14:paraId="1178B80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w:t>
            </w:r>
          </w:p>
        </w:tc>
        <w:tc>
          <w:tcPr>
            <w:tcW w:w="567" w:type="dxa"/>
            <w:tcBorders>
              <w:top w:val="nil"/>
              <w:left w:val="nil"/>
              <w:bottom w:val="nil"/>
              <w:right w:val="nil"/>
            </w:tcBorders>
            <w:noWrap/>
            <w:vAlign w:val="center"/>
          </w:tcPr>
          <w:p w14:paraId="5F3984A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w:t>
            </w:r>
          </w:p>
        </w:tc>
        <w:tc>
          <w:tcPr>
            <w:tcW w:w="1146" w:type="dxa"/>
            <w:tcBorders>
              <w:top w:val="nil"/>
              <w:left w:val="nil"/>
              <w:bottom w:val="nil"/>
              <w:right w:val="single" w:sz="4" w:space="0" w:color="auto"/>
            </w:tcBorders>
            <w:noWrap/>
            <w:vAlign w:val="center"/>
          </w:tcPr>
          <w:p w14:paraId="3CA3E10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(0.9, 3.2)</w:t>
            </w:r>
          </w:p>
        </w:tc>
        <w:tc>
          <w:tcPr>
            <w:tcW w:w="456" w:type="dxa"/>
            <w:tcBorders>
              <w:top w:val="nil"/>
              <w:left w:val="single" w:sz="4" w:space="0" w:color="auto"/>
              <w:bottom w:val="nil"/>
              <w:right w:val="nil"/>
            </w:tcBorders>
            <w:noWrap/>
            <w:vAlign w:val="center"/>
          </w:tcPr>
          <w:p w14:paraId="75FC117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w:t>
            </w:r>
          </w:p>
        </w:tc>
        <w:tc>
          <w:tcPr>
            <w:tcW w:w="621" w:type="dxa"/>
            <w:tcBorders>
              <w:top w:val="nil"/>
              <w:left w:val="nil"/>
              <w:bottom w:val="nil"/>
              <w:right w:val="nil"/>
            </w:tcBorders>
            <w:noWrap/>
            <w:vAlign w:val="center"/>
          </w:tcPr>
          <w:p w14:paraId="6238141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w:t>
            </w:r>
          </w:p>
        </w:tc>
        <w:tc>
          <w:tcPr>
            <w:tcW w:w="1146" w:type="dxa"/>
            <w:tcBorders>
              <w:top w:val="nil"/>
              <w:left w:val="nil"/>
              <w:bottom w:val="nil"/>
              <w:right w:val="single" w:sz="4" w:space="0" w:color="000000"/>
            </w:tcBorders>
            <w:shd w:val="clear" w:color="auto" w:fill="FFFFFF" w:themeFill="background1"/>
            <w:noWrap/>
            <w:vAlign w:val="center"/>
          </w:tcPr>
          <w:p w14:paraId="1C66D5C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(0.5, 3.8)</w:t>
            </w:r>
          </w:p>
        </w:tc>
        <w:tc>
          <w:tcPr>
            <w:tcW w:w="456" w:type="dxa"/>
            <w:tcBorders>
              <w:top w:val="nil"/>
              <w:left w:val="single" w:sz="4" w:space="0" w:color="000000"/>
              <w:bottom w:val="nil"/>
              <w:right w:val="nil"/>
            </w:tcBorders>
            <w:shd w:val="clear" w:color="auto" w:fill="FFFFFF" w:themeFill="background1"/>
            <w:vAlign w:val="center"/>
          </w:tcPr>
          <w:p w14:paraId="3023E19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w:t>
            </w:r>
          </w:p>
        </w:tc>
        <w:tc>
          <w:tcPr>
            <w:tcW w:w="567" w:type="dxa"/>
            <w:tcBorders>
              <w:top w:val="nil"/>
              <w:left w:val="nil"/>
              <w:bottom w:val="nil"/>
              <w:right w:val="nil"/>
            </w:tcBorders>
            <w:shd w:val="clear" w:color="auto" w:fill="FFFFFF" w:themeFill="background1"/>
            <w:vAlign w:val="center"/>
          </w:tcPr>
          <w:p w14:paraId="6B928E2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w:t>
            </w:r>
          </w:p>
        </w:tc>
        <w:tc>
          <w:tcPr>
            <w:tcW w:w="1146" w:type="dxa"/>
            <w:tcBorders>
              <w:top w:val="nil"/>
              <w:left w:val="nil"/>
              <w:bottom w:val="nil"/>
              <w:right w:val="single" w:sz="4" w:space="0" w:color="000000"/>
            </w:tcBorders>
            <w:shd w:val="clear" w:color="auto" w:fill="FFFFFF" w:themeFill="background1"/>
            <w:vAlign w:val="center"/>
          </w:tcPr>
          <w:p w14:paraId="7064A41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(0.0, 4.4)</w:t>
            </w:r>
          </w:p>
        </w:tc>
        <w:tc>
          <w:tcPr>
            <w:tcW w:w="456" w:type="dxa"/>
            <w:tcBorders>
              <w:top w:val="nil"/>
              <w:left w:val="single" w:sz="4" w:space="0" w:color="000000"/>
              <w:bottom w:val="nil"/>
              <w:right w:val="nil"/>
            </w:tcBorders>
            <w:shd w:val="clear" w:color="auto" w:fill="FFFFFF" w:themeFill="background1"/>
            <w:vAlign w:val="center"/>
          </w:tcPr>
          <w:p w14:paraId="5FF8077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w:t>
            </w:r>
          </w:p>
        </w:tc>
        <w:tc>
          <w:tcPr>
            <w:tcW w:w="621" w:type="dxa"/>
            <w:tcBorders>
              <w:top w:val="nil"/>
              <w:left w:val="nil"/>
              <w:bottom w:val="nil"/>
              <w:right w:val="nil"/>
            </w:tcBorders>
            <w:shd w:val="clear" w:color="auto" w:fill="FFFFFF" w:themeFill="background1"/>
            <w:vAlign w:val="center"/>
          </w:tcPr>
          <w:p w14:paraId="4942EC2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2.7</w:t>
            </w:r>
          </w:p>
        </w:tc>
        <w:tc>
          <w:tcPr>
            <w:tcW w:w="1146" w:type="dxa"/>
            <w:tcBorders>
              <w:top w:val="nil"/>
              <w:left w:val="nil"/>
              <w:bottom w:val="nil"/>
              <w:right w:val="nil"/>
            </w:tcBorders>
            <w:shd w:val="clear" w:color="auto" w:fill="FFFFFF" w:themeFill="background1"/>
            <w:vAlign w:val="center"/>
          </w:tcPr>
          <w:p w14:paraId="276A1CB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(0.8, 4.6)</w:t>
            </w:r>
          </w:p>
        </w:tc>
      </w:tr>
      <w:tr w:rsidR="009118DA" w:rsidRPr="00D76D7F" w14:paraId="762BB666"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18AB9B14"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Sports betting</w:t>
            </w:r>
          </w:p>
        </w:tc>
        <w:tc>
          <w:tcPr>
            <w:tcW w:w="536" w:type="dxa"/>
            <w:tcBorders>
              <w:top w:val="nil"/>
              <w:left w:val="nil"/>
              <w:bottom w:val="nil"/>
              <w:right w:val="nil"/>
            </w:tcBorders>
            <w:noWrap/>
            <w:vAlign w:val="center"/>
          </w:tcPr>
          <w:p w14:paraId="0A6905A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w:t>
            </w:r>
          </w:p>
        </w:tc>
        <w:tc>
          <w:tcPr>
            <w:tcW w:w="567" w:type="dxa"/>
            <w:tcBorders>
              <w:top w:val="nil"/>
              <w:left w:val="nil"/>
              <w:bottom w:val="nil"/>
              <w:right w:val="nil"/>
            </w:tcBorders>
            <w:noWrap/>
            <w:vAlign w:val="center"/>
          </w:tcPr>
          <w:p w14:paraId="7A0A20F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w:t>
            </w:r>
          </w:p>
        </w:tc>
        <w:tc>
          <w:tcPr>
            <w:tcW w:w="1146" w:type="dxa"/>
            <w:tcBorders>
              <w:top w:val="nil"/>
              <w:left w:val="nil"/>
              <w:bottom w:val="nil"/>
              <w:right w:val="single" w:sz="4" w:space="0" w:color="auto"/>
            </w:tcBorders>
            <w:noWrap/>
            <w:vAlign w:val="center"/>
          </w:tcPr>
          <w:p w14:paraId="719FB35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(0.0, 3.1)</w:t>
            </w:r>
          </w:p>
        </w:tc>
        <w:tc>
          <w:tcPr>
            <w:tcW w:w="456" w:type="dxa"/>
            <w:tcBorders>
              <w:top w:val="nil"/>
              <w:left w:val="single" w:sz="4" w:space="0" w:color="auto"/>
              <w:bottom w:val="nil"/>
              <w:right w:val="nil"/>
            </w:tcBorders>
            <w:noWrap/>
            <w:vAlign w:val="center"/>
          </w:tcPr>
          <w:p w14:paraId="16B0FEE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w:t>
            </w:r>
          </w:p>
        </w:tc>
        <w:tc>
          <w:tcPr>
            <w:tcW w:w="621" w:type="dxa"/>
            <w:tcBorders>
              <w:top w:val="nil"/>
              <w:left w:val="nil"/>
              <w:bottom w:val="nil"/>
              <w:right w:val="nil"/>
            </w:tcBorders>
            <w:noWrap/>
            <w:vAlign w:val="center"/>
          </w:tcPr>
          <w:p w14:paraId="1F30CBF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0.9</w:t>
            </w:r>
          </w:p>
        </w:tc>
        <w:tc>
          <w:tcPr>
            <w:tcW w:w="1146" w:type="dxa"/>
            <w:tcBorders>
              <w:top w:val="nil"/>
              <w:left w:val="nil"/>
              <w:bottom w:val="nil"/>
              <w:right w:val="single" w:sz="4" w:space="0" w:color="000000"/>
            </w:tcBorders>
            <w:shd w:val="clear" w:color="auto" w:fill="FFFFFF" w:themeFill="background1"/>
            <w:noWrap/>
            <w:vAlign w:val="center"/>
          </w:tcPr>
          <w:p w14:paraId="2E0CFAC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456" w:type="dxa"/>
            <w:tcBorders>
              <w:top w:val="nil"/>
              <w:left w:val="single" w:sz="4" w:space="0" w:color="000000"/>
              <w:bottom w:val="nil"/>
              <w:right w:val="nil"/>
            </w:tcBorders>
            <w:shd w:val="clear" w:color="auto" w:fill="FFFFFF" w:themeFill="background1"/>
            <w:vAlign w:val="center"/>
          </w:tcPr>
          <w:p w14:paraId="42FE55E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567" w:type="dxa"/>
            <w:tcBorders>
              <w:top w:val="nil"/>
              <w:left w:val="nil"/>
              <w:bottom w:val="nil"/>
              <w:right w:val="nil"/>
            </w:tcBorders>
            <w:shd w:val="clear" w:color="auto" w:fill="FFFFFF" w:themeFill="background1"/>
            <w:vAlign w:val="center"/>
          </w:tcPr>
          <w:p w14:paraId="32333B9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0.1</w:t>
            </w:r>
          </w:p>
        </w:tc>
        <w:tc>
          <w:tcPr>
            <w:tcW w:w="1146" w:type="dxa"/>
            <w:tcBorders>
              <w:top w:val="nil"/>
              <w:left w:val="nil"/>
              <w:bottom w:val="nil"/>
              <w:right w:val="single" w:sz="4" w:space="0" w:color="000000"/>
            </w:tcBorders>
            <w:shd w:val="clear" w:color="auto" w:fill="FFFFFF" w:themeFill="background1"/>
            <w:vAlign w:val="center"/>
          </w:tcPr>
          <w:p w14:paraId="7280F4A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456" w:type="dxa"/>
            <w:tcBorders>
              <w:top w:val="nil"/>
              <w:left w:val="single" w:sz="4" w:space="0" w:color="000000"/>
              <w:bottom w:val="nil"/>
              <w:right w:val="nil"/>
            </w:tcBorders>
            <w:shd w:val="clear" w:color="auto" w:fill="FFFFFF" w:themeFill="background1"/>
            <w:vAlign w:val="center"/>
          </w:tcPr>
          <w:p w14:paraId="58378A3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w:t>
            </w:r>
          </w:p>
        </w:tc>
        <w:tc>
          <w:tcPr>
            <w:tcW w:w="621" w:type="dxa"/>
            <w:tcBorders>
              <w:top w:val="nil"/>
              <w:left w:val="nil"/>
              <w:bottom w:val="nil"/>
              <w:right w:val="nil"/>
            </w:tcBorders>
            <w:shd w:val="clear" w:color="auto" w:fill="FFFFFF" w:themeFill="background1"/>
            <w:vAlign w:val="center"/>
          </w:tcPr>
          <w:p w14:paraId="65BEDD2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w:t>
            </w:r>
          </w:p>
        </w:tc>
        <w:tc>
          <w:tcPr>
            <w:tcW w:w="1146" w:type="dxa"/>
            <w:tcBorders>
              <w:top w:val="nil"/>
              <w:left w:val="nil"/>
              <w:bottom w:val="nil"/>
              <w:right w:val="nil"/>
            </w:tcBorders>
            <w:shd w:val="clear" w:color="auto" w:fill="FFFFFF" w:themeFill="background1"/>
            <w:vAlign w:val="center"/>
          </w:tcPr>
          <w:p w14:paraId="6637650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D76D7F" w14:paraId="35DE7DD8"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060166BD"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Casino table games or EGMS (NZ and overseas)</w:t>
            </w:r>
          </w:p>
        </w:tc>
        <w:tc>
          <w:tcPr>
            <w:tcW w:w="536" w:type="dxa"/>
            <w:tcBorders>
              <w:top w:val="nil"/>
              <w:left w:val="nil"/>
              <w:bottom w:val="nil"/>
              <w:right w:val="nil"/>
            </w:tcBorders>
            <w:noWrap/>
            <w:vAlign w:val="center"/>
          </w:tcPr>
          <w:p w14:paraId="7ECF018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w:t>
            </w:r>
          </w:p>
        </w:tc>
        <w:tc>
          <w:tcPr>
            <w:tcW w:w="567" w:type="dxa"/>
            <w:tcBorders>
              <w:top w:val="nil"/>
              <w:left w:val="nil"/>
              <w:bottom w:val="nil"/>
              <w:right w:val="nil"/>
            </w:tcBorders>
            <w:noWrap/>
            <w:vAlign w:val="center"/>
          </w:tcPr>
          <w:p w14:paraId="667B747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3.2</w:t>
            </w:r>
          </w:p>
        </w:tc>
        <w:tc>
          <w:tcPr>
            <w:tcW w:w="1146" w:type="dxa"/>
            <w:tcBorders>
              <w:top w:val="nil"/>
              <w:left w:val="nil"/>
              <w:bottom w:val="nil"/>
              <w:right w:val="single" w:sz="4" w:space="0" w:color="auto"/>
            </w:tcBorders>
            <w:noWrap/>
            <w:vAlign w:val="center"/>
          </w:tcPr>
          <w:p w14:paraId="292F9E9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(1.9, 4.5)</w:t>
            </w:r>
          </w:p>
        </w:tc>
        <w:tc>
          <w:tcPr>
            <w:tcW w:w="456" w:type="dxa"/>
            <w:tcBorders>
              <w:top w:val="nil"/>
              <w:left w:val="single" w:sz="4" w:space="0" w:color="auto"/>
              <w:bottom w:val="nil"/>
              <w:right w:val="nil"/>
            </w:tcBorders>
            <w:noWrap/>
            <w:vAlign w:val="center"/>
          </w:tcPr>
          <w:p w14:paraId="22E505B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w:t>
            </w:r>
          </w:p>
        </w:tc>
        <w:tc>
          <w:tcPr>
            <w:tcW w:w="621" w:type="dxa"/>
            <w:tcBorders>
              <w:top w:val="nil"/>
              <w:left w:val="nil"/>
              <w:bottom w:val="nil"/>
              <w:right w:val="nil"/>
            </w:tcBorders>
            <w:noWrap/>
            <w:vAlign w:val="center"/>
          </w:tcPr>
          <w:p w14:paraId="471A048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w:t>
            </w:r>
          </w:p>
        </w:tc>
        <w:tc>
          <w:tcPr>
            <w:tcW w:w="1146" w:type="dxa"/>
            <w:tcBorders>
              <w:top w:val="nil"/>
              <w:left w:val="nil"/>
              <w:bottom w:val="nil"/>
              <w:right w:val="single" w:sz="4" w:space="0" w:color="000000"/>
            </w:tcBorders>
            <w:shd w:val="clear" w:color="auto" w:fill="FFFFFF" w:themeFill="background1"/>
            <w:noWrap/>
            <w:vAlign w:val="center"/>
          </w:tcPr>
          <w:p w14:paraId="4C2D1D0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(1.1, 4.9)</w:t>
            </w:r>
          </w:p>
        </w:tc>
        <w:tc>
          <w:tcPr>
            <w:tcW w:w="456" w:type="dxa"/>
            <w:tcBorders>
              <w:top w:val="nil"/>
              <w:left w:val="single" w:sz="4" w:space="0" w:color="000000"/>
              <w:bottom w:val="nil"/>
              <w:right w:val="nil"/>
            </w:tcBorders>
            <w:shd w:val="clear" w:color="auto" w:fill="FFFFFF" w:themeFill="background1"/>
            <w:vAlign w:val="center"/>
          </w:tcPr>
          <w:p w14:paraId="79BEF81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w:t>
            </w:r>
          </w:p>
        </w:tc>
        <w:tc>
          <w:tcPr>
            <w:tcW w:w="567" w:type="dxa"/>
            <w:tcBorders>
              <w:top w:val="nil"/>
              <w:left w:val="nil"/>
              <w:bottom w:val="nil"/>
              <w:right w:val="nil"/>
            </w:tcBorders>
            <w:shd w:val="clear" w:color="auto" w:fill="FFFFFF" w:themeFill="background1"/>
            <w:vAlign w:val="center"/>
          </w:tcPr>
          <w:p w14:paraId="2E40A22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4.7</w:t>
            </w:r>
          </w:p>
        </w:tc>
        <w:tc>
          <w:tcPr>
            <w:tcW w:w="1146" w:type="dxa"/>
            <w:tcBorders>
              <w:top w:val="nil"/>
              <w:left w:val="nil"/>
              <w:bottom w:val="nil"/>
              <w:right w:val="single" w:sz="4" w:space="0" w:color="000000"/>
            </w:tcBorders>
            <w:shd w:val="clear" w:color="auto" w:fill="FFFFFF" w:themeFill="background1"/>
            <w:vAlign w:val="center"/>
          </w:tcPr>
          <w:p w14:paraId="0099D90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(1.9, 7.5)</w:t>
            </w:r>
          </w:p>
        </w:tc>
        <w:tc>
          <w:tcPr>
            <w:tcW w:w="456" w:type="dxa"/>
            <w:tcBorders>
              <w:top w:val="nil"/>
              <w:left w:val="single" w:sz="4" w:space="0" w:color="000000"/>
              <w:bottom w:val="nil"/>
              <w:right w:val="nil"/>
            </w:tcBorders>
            <w:shd w:val="clear" w:color="auto" w:fill="FFFFFF" w:themeFill="background1"/>
            <w:vAlign w:val="center"/>
          </w:tcPr>
          <w:p w14:paraId="2927F57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w:t>
            </w:r>
          </w:p>
        </w:tc>
        <w:tc>
          <w:tcPr>
            <w:tcW w:w="621" w:type="dxa"/>
            <w:tcBorders>
              <w:top w:val="nil"/>
              <w:left w:val="nil"/>
              <w:bottom w:val="nil"/>
              <w:right w:val="nil"/>
            </w:tcBorders>
            <w:shd w:val="clear" w:color="auto" w:fill="FFFFFF" w:themeFill="background1"/>
            <w:vAlign w:val="center"/>
          </w:tcPr>
          <w:p w14:paraId="7D002C0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w:t>
            </w:r>
          </w:p>
        </w:tc>
        <w:tc>
          <w:tcPr>
            <w:tcW w:w="1146" w:type="dxa"/>
            <w:tcBorders>
              <w:top w:val="nil"/>
              <w:left w:val="nil"/>
              <w:bottom w:val="nil"/>
              <w:right w:val="nil"/>
            </w:tcBorders>
            <w:shd w:val="clear" w:color="auto" w:fill="FFFFFF" w:themeFill="background1"/>
            <w:vAlign w:val="center"/>
          </w:tcPr>
          <w:p w14:paraId="0AA6A39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D76D7F" w14:paraId="2D822169"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338EA4D5" w14:textId="77777777" w:rsidR="003D7BB5" w:rsidRPr="00D76D7F" w:rsidRDefault="003D7BB5" w:rsidP="00DD0F28">
            <w:pPr>
              <w:spacing w:before="20" w:after="20"/>
              <w:ind w:left="176"/>
              <w:rPr>
                <w:rFonts w:eastAsiaTheme="minorEastAsia"/>
                <w:b w:val="0"/>
                <w:sz w:val="18"/>
                <w:szCs w:val="18"/>
              </w:rPr>
            </w:pPr>
            <w:r w:rsidRPr="00D76D7F">
              <w:rPr>
                <w:rFonts w:eastAsiaTheme="minorEastAsia"/>
                <w:b w:val="0"/>
                <w:sz w:val="18"/>
                <w:szCs w:val="18"/>
              </w:rPr>
              <w:t>Non-casino EGMs</w:t>
            </w:r>
          </w:p>
        </w:tc>
        <w:tc>
          <w:tcPr>
            <w:tcW w:w="536" w:type="dxa"/>
            <w:tcBorders>
              <w:top w:val="nil"/>
              <w:left w:val="nil"/>
              <w:bottom w:val="nil"/>
              <w:right w:val="nil"/>
            </w:tcBorders>
            <w:noWrap/>
            <w:vAlign w:val="center"/>
          </w:tcPr>
          <w:p w14:paraId="02563F4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w:t>
            </w:r>
          </w:p>
        </w:tc>
        <w:tc>
          <w:tcPr>
            <w:tcW w:w="567" w:type="dxa"/>
            <w:tcBorders>
              <w:top w:val="nil"/>
              <w:left w:val="nil"/>
              <w:bottom w:val="nil"/>
              <w:right w:val="nil"/>
            </w:tcBorders>
            <w:noWrap/>
            <w:vAlign w:val="center"/>
          </w:tcPr>
          <w:p w14:paraId="41C6F7C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2.8</w:t>
            </w:r>
          </w:p>
        </w:tc>
        <w:tc>
          <w:tcPr>
            <w:tcW w:w="1146" w:type="dxa"/>
            <w:tcBorders>
              <w:top w:val="nil"/>
              <w:left w:val="nil"/>
              <w:bottom w:val="nil"/>
              <w:right w:val="single" w:sz="4" w:space="0" w:color="auto"/>
            </w:tcBorders>
            <w:noWrap/>
            <w:vAlign w:val="center"/>
          </w:tcPr>
          <w:p w14:paraId="091BD3A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(1.4, 4.2)</w:t>
            </w:r>
          </w:p>
        </w:tc>
        <w:tc>
          <w:tcPr>
            <w:tcW w:w="456" w:type="dxa"/>
            <w:tcBorders>
              <w:top w:val="nil"/>
              <w:left w:val="single" w:sz="4" w:space="0" w:color="auto"/>
              <w:bottom w:val="nil"/>
              <w:right w:val="nil"/>
            </w:tcBorders>
            <w:noWrap/>
            <w:vAlign w:val="center"/>
          </w:tcPr>
          <w:p w14:paraId="0B946A8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w:t>
            </w:r>
          </w:p>
        </w:tc>
        <w:tc>
          <w:tcPr>
            <w:tcW w:w="621" w:type="dxa"/>
            <w:tcBorders>
              <w:top w:val="nil"/>
              <w:left w:val="nil"/>
              <w:bottom w:val="nil"/>
              <w:right w:val="nil"/>
            </w:tcBorders>
            <w:noWrap/>
            <w:vAlign w:val="center"/>
          </w:tcPr>
          <w:p w14:paraId="57C8100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w:t>
            </w:r>
          </w:p>
        </w:tc>
        <w:tc>
          <w:tcPr>
            <w:tcW w:w="1146" w:type="dxa"/>
            <w:tcBorders>
              <w:top w:val="nil"/>
              <w:left w:val="nil"/>
              <w:bottom w:val="nil"/>
              <w:right w:val="single" w:sz="4" w:space="0" w:color="000000"/>
            </w:tcBorders>
            <w:shd w:val="clear" w:color="auto" w:fill="FFFFFF" w:themeFill="background1"/>
            <w:noWrap/>
            <w:vAlign w:val="center"/>
          </w:tcPr>
          <w:p w14:paraId="311C3CA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(0.7, 3.7)</w:t>
            </w:r>
          </w:p>
        </w:tc>
        <w:tc>
          <w:tcPr>
            <w:tcW w:w="456" w:type="dxa"/>
            <w:tcBorders>
              <w:top w:val="nil"/>
              <w:left w:val="single" w:sz="4" w:space="0" w:color="000000"/>
              <w:bottom w:val="nil"/>
              <w:right w:val="nil"/>
            </w:tcBorders>
            <w:shd w:val="clear" w:color="auto" w:fill="FFFFFF" w:themeFill="background1"/>
            <w:vAlign w:val="center"/>
          </w:tcPr>
          <w:p w14:paraId="234FB78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w:t>
            </w:r>
          </w:p>
        </w:tc>
        <w:tc>
          <w:tcPr>
            <w:tcW w:w="567" w:type="dxa"/>
            <w:tcBorders>
              <w:top w:val="nil"/>
              <w:left w:val="nil"/>
              <w:bottom w:val="nil"/>
              <w:right w:val="nil"/>
            </w:tcBorders>
            <w:shd w:val="clear" w:color="auto" w:fill="FFFFFF" w:themeFill="background1"/>
            <w:vAlign w:val="center"/>
          </w:tcPr>
          <w:p w14:paraId="444055E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3.8</w:t>
            </w:r>
          </w:p>
        </w:tc>
        <w:tc>
          <w:tcPr>
            <w:tcW w:w="1146" w:type="dxa"/>
            <w:tcBorders>
              <w:top w:val="nil"/>
              <w:left w:val="nil"/>
              <w:bottom w:val="nil"/>
              <w:right w:val="single" w:sz="4" w:space="0" w:color="000000"/>
            </w:tcBorders>
            <w:shd w:val="clear" w:color="auto" w:fill="FFFFFF" w:themeFill="background1"/>
            <w:vAlign w:val="center"/>
          </w:tcPr>
          <w:p w14:paraId="732BC6D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(1.6, 6.1)</w:t>
            </w:r>
          </w:p>
        </w:tc>
        <w:tc>
          <w:tcPr>
            <w:tcW w:w="456" w:type="dxa"/>
            <w:tcBorders>
              <w:top w:val="nil"/>
              <w:left w:val="single" w:sz="4" w:space="0" w:color="000000"/>
              <w:bottom w:val="nil"/>
              <w:right w:val="nil"/>
            </w:tcBorders>
            <w:shd w:val="clear" w:color="auto" w:fill="FFFFFF" w:themeFill="background1"/>
            <w:vAlign w:val="center"/>
          </w:tcPr>
          <w:p w14:paraId="717937F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w:t>
            </w:r>
          </w:p>
        </w:tc>
        <w:tc>
          <w:tcPr>
            <w:tcW w:w="621" w:type="dxa"/>
            <w:tcBorders>
              <w:top w:val="nil"/>
              <w:left w:val="nil"/>
              <w:bottom w:val="nil"/>
              <w:right w:val="nil"/>
            </w:tcBorders>
            <w:shd w:val="clear" w:color="auto" w:fill="FFFFFF" w:themeFill="background1"/>
            <w:vAlign w:val="center"/>
          </w:tcPr>
          <w:p w14:paraId="52641E2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2.8</w:t>
            </w:r>
          </w:p>
        </w:tc>
        <w:tc>
          <w:tcPr>
            <w:tcW w:w="1146" w:type="dxa"/>
            <w:tcBorders>
              <w:top w:val="nil"/>
              <w:left w:val="nil"/>
              <w:bottom w:val="nil"/>
              <w:right w:val="nil"/>
            </w:tcBorders>
            <w:shd w:val="clear" w:color="auto" w:fill="FFFFFF" w:themeFill="background1"/>
            <w:vAlign w:val="center"/>
          </w:tcPr>
          <w:p w14:paraId="65E56C8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(0.3, 5.3)</w:t>
            </w:r>
          </w:p>
        </w:tc>
      </w:tr>
      <w:tr w:rsidR="009118DA" w:rsidRPr="00D76D7F" w14:paraId="3374E3D5"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744877DB" w14:textId="77777777" w:rsidR="003D7BB5" w:rsidRPr="00D76D7F" w:rsidRDefault="003D7BB5" w:rsidP="00DD0F28">
            <w:pPr>
              <w:spacing w:before="20" w:after="20"/>
              <w:ind w:left="176"/>
              <w:rPr>
                <w:rFonts w:eastAsiaTheme="minorEastAsia"/>
                <w:b w:val="0"/>
                <w:sz w:val="18"/>
                <w:szCs w:val="18"/>
              </w:rPr>
            </w:pPr>
            <w:r w:rsidRPr="00D76D7F">
              <w:rPr>
                <w:rFonts w:eastAsiaTheme="minorEastAsia"/>
                <w:b w:val="0"/>
                <w:sz w:val="18"/>
                <w:szCs w:val="18"/>
              </w:rPr>
              <w:t xml:space="preserve">Short-term spec. investments </w:t>
            </w:r>
          </w:p>
        </w:tc>
        <w:tc>
          <w:tcPr>
            <w:tcW w:w="536" w:type="dxa"/>
            <w:tcBorders>
              <w:top w:val="nil"/>
              <w:left w:val="nil"/>
              <w:bottom w:val="nil"/>
              <w:right w:val="nil"/>
            </w:tcBorders>
            <w:noWrap/>
            <w:vAlign w:val="center"/>
          </w:tcPr>
          <w:p w14:paraId="1B2B0E0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567" w:type="dxa"/>
            <w:tcBorders>
              <w:top w:val="nil"/>
              <w:left w:val="nil"/>
              <w:bottom w:val="nil"/>
              <w:right w:val="nil"/>
            </w:tcBorders>
            <w:noWrap/>
            <w:vAlign w:val="center"/>
          </w:tcPr>
          <w:p w14:paraId="5DC6445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w:t>
            </w:r>
          </w:p>
        </w:tc>
        <w:tc>
          <w:tcPr>
            <w:tcW w:w="1146" w:type="dxa"/>
            <w:tcBorders>
              <w:top w:val="nil"/>
              <w:left w:val="nil"/>
              <w:bottom w:val="nil"/>
              <w:right w:val="single" w:sz="4" w:space="0" w:color="auto"/>
            </w:tcBorders>
            <w:noWrap/>
            <w:vAlign w:val="center"/>
          </w:tcPr>
          <w:p w14:paraId="1A37912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456" w:type="dxa"/>
            <w:tcBorders>
              <w:top w:val="nil"/>
              <w:left w:val="single" w:sz="4" w:space="0" w:color="auto"/>
              <w:bottom w:val="nil"/>
              <w:right w:val="nil"/>
            </w:tcBorders>
            <w:noWrap/>
            <w:vAlign w:val="center"/>
          </w:tcPr>
          <w:p w14:paraId="60C726D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621" w:type="dxa"/>
            <w:tcBorders>
              <w:top w:val="nil"/>
              <w:left w:val="nil"/>
              <w:bottom w:val="nil"/>
              <w:right w:val="nil"/>
            </w:tcBorders>
            <w:noWrap/>
            <w:vAlign w:val="center"/>
          </w:tcPr>
          <w:p w14:paraId="532A7C2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w:t>
            </w:r>
          </w:p>
        </w:tc>
        <w:tc>
          <w:tcPr>
            <w:tcW w:w="1146" w:type="dxa"/>
            <w:tcBorders>
              <w:top w:val="nil"/>
              <w:left w:val="nil"/>
              <w:bottom w:val="nil"/>
              <w:right w:val="single" w:sz="4" w:space="0" w:color="000000"/>
            </w:tcBorders>
            <w:shd w:val="clear" w:color="auto" w:fill="FFFFFF" w:themeFill="background1"/>
            <w:noWrap/>
            <w:vAlign w:val="center"/>
          </w:tcPr>
          <w:p w14:paraId="1FEA6AF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456" w:type="dxa"/>
            <w:tcBorders>
              <w:top w:val="nil"/>
              <w:left w:val="single" w:sz="4" w:space="0" w:color="000000"/>
              <w:bottom w:val="nil"/>
              <w:right w:val="nil"/>
            </w:tcBorders>
            <w:shd w:val="clear" w:color="auto" w:fill="FFFFFF" w:themeFill="background1"/>
            <w:vAlign w:val="center"/>
          </w:tcPr>
          <w:p w14:paraId="7F1579E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567" w:type="dxa"/>
            <w:tcBorders>
              <w:top w:val="nil"/>
              <w:left w:val="nil"/>
              <w:bottom w:val="nil"/>
              <w:right w:val="nil"/>
            </w:tcBorders>
            <w:shd w:val="clear" w:color="auto" w:fill="FFFFFF" w:themeFill="background1"/>
            <w:vAlign w:val="center"/>
          </w:tcPr>
          <w:p w14:paraId="75F2E21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w:t>
            </w:r>
          </w:p>
        </w:tc>
        <w:tc>
          <w:tcPr>
            <w:tcW w:w="1146" w:type="dxa"/>
            <w:tcBorders>
              <w:top w:val="nil"/>
              <w:left w:val="nil"/>
              <w:bottom w:val="nil"/>
              <w:right w:val="single" w:sz="4" w:space="0" w:color="000000"/>
            </w:tcBorders>
            <w:shd w:val="clear" w:color="auto" w:fill="FFFFFF" w:themeFill="background1"/>
            <w:vAlign w:val="center"/>
          </w:tcPr>
          <w:p w14:paraId="01D895B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456" w:type="dxa"/>
            <w:tcBorders>
              <w:top w:val="nil"/>
              <w:left w:val="single" w:sz="4" w:space="0" w:color="000000"/>
              <w:bottom w:val="nil"/>
              <w:right w:val="nil"/>
            </w:tcBorders>
            <w:shd w:val="clear" w:color="auto" w:fill="FFFFFF" w:themeFill="background1"/>
            <w:vAlign w:val="center"/>
          </w:tcPr>
          <w:p w14:paraId="6CF3CBE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621" w:type="dxa"/>
            <w:tcBorders>
              <w:top w:val="nil"/>
              <w:left w:val="nil"/>
              <w:bottom w:val="nil"/>
              <w:right w:val="nil"/>
            </w:tcBorders>
            <w:shd w:val="clear" w:color="auto" w:fill="FFFFFF" w:themeFill="background1"/>
            <w:vAlign w:val="center"/>
          </w:tcPr>
          <w:p w14:paraId="5FE2D2A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w:t>
            </w:r>
          </w:p>
        </w:tc>
        <w:tc>
          <w:tcPr>
            <w:tcW w:w="1146" w:type="dxa"/>
            <w:tcBorders>
              <w:top w:val="nil"/>
              <w:left w:val="nil"/>
              <w:bottom w:val="nil"/>
              <w:right w:val="nil"/>
            </w:tcBorders>
            <w:shd w:val="clear" w:color="auto" w:fill="FFFFFF" w:themeFill="background1"/>
            <w:vAlign w:val="center"/>
          </w:tcPr>
          <w:p w14:paraId="1BB96C1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118DA" w:rsidRPr="00D76D7F" w14:paraId="62452ABA"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265539AC" w14:textId="77777777" w:rsidR="003D7BB5" w:rsidRPr="00D76D7F" w:rsidRDefault="003D7BB5" w:rsidP="00DD0F28">
            <w:pPr>
              <w:spacing w:before="20" w:after="20"/>
              <w:ind w:left="176"/>
              <w:rPr>
                <w:rFonts w:eastAsiaTheme="minorEastAsia"/>
                <w:b w:val="0"/>
                <w:sz w:val="18"/>
                <w:szCs w:val="18"/>
                <w:lang w:eastAsia="en-US"/>
              </w:rPr>
            </w:pPr>
            <w:r>
              <w:rPr>
                <w:rFonts w:eastAsiaTheme="minorEastAsia"/>
                <w:b w:val="0"/>
                <w:sz w:val="18"/>
                <w:szCs w:val="18"/>
                <w:lang w:eastAsia="en-US"/>
              </w:rPr>
              <w:t>Other o</w:t>
            </w:r>
            <w:r w:rsidRPr="00D76D7F">
              <w:rPr>
                <w:rFonts w:eastAsiaTheme="minorEastAsia"/>
                <w:b w:val="0"/>
                <w:sz w:val="18"/>
                <w:szCs w:val="18"/>
                <w:lang w:eastAsia="en-US"/>
              </w:rPr>
              <w:t>verseas internet gambling</w:t>
            </w:r>
            <w:r w:rsidRPr="00D76D7F">
              <w:rPr>
                <w:rFonts w:eastAsiaTheme="minorEastAsia"/>
                <w:b w:val="0"/>
                <w:sz w:val="18"/>
                <w:szCs w:val="18"/>
                <w:vertAlign w:val="superscript"/>
                <w:lang w:eastAsia="en-US"/>
              </w:rPr>
              <w:t>†</w:t>
            </w:r>
          </w:p>
        </w:tc>
        <w:tc>
          <w:tcPr>
            <w:tcW w:w="536" w:type="dxa"/>
            <w:tcBorders>
              <w:top w:val="nil"/>
              <w:left w:val="nil"/>
              <w:bottom w:val="nil"/>
              <w:right w:val="nil"/>
            </w:tcBorders>
            <w:noWrap/>
            <w:vAlign w:val="center"/>
          </w:tcPr>
          <w:p w14:paraId="2E92466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567" w:type="dxa"/>
            <w:tcBorders>
              <w:top w:val="nil"/>
              <w:left w:val="nil"/>
              <w:bottom w:val="nil"/>
              <w:right w:val="nil"/>
            </w:tcBorders>
            <w:noWrap/>
            <w:vAlign w:val="center"/>
          </w:tcPr>
          <w:p w14:paraId="3CA41C9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0.2</w:t>
            </w:r>
          </w:p>
        </w:tc>
        <w:tc>
          <w:tcPr>
            <w:tcW w:w="1146" w:type="dxa"/>
            <w:tcBorders>
              <w:top w:val="nil"/>
              <w:left w:val="nil"/>
              <w:bottom w:val="nil"/>
              <w:right w:val="single" w:sz="4" w:space="0" w:color="auto"/>
            </w:tcBorders>
            <w:noWrap/>
            <w:vAlign w:val="center"/>
          </w:tcPr>
          <w:p w14:paraId="7EE881C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456" w:type="dxa"/>
            <w:tcBorders>
              <w:top w:val="nil"/>
              <w:left w:val="single" w:sz="4" w:space="0" w:color="auto"/>
              <w:bottom w:val="nil"/>
              <w:right w:val="nil"/>
            </w:tcBorders>
            <w:noWrap/>
            <w:vAlign w:val="center"/>
          </w:tcPr>
          <w:p w14:paraId="38C865D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621" w:type="dxa"/>
            <w:tcBorders>
              <w:top w:val="nil"/>
              <w:left w:val="nil"/>
              <w:bottom w:val="nil"/>
              <w:right w:val="nil"/>
            </w:tcBorders>
            <w:noWrap/>
            <w:vAlign w:val="center"/>
          </w:tcPr>
          <w:p w14:paraId="7AF8F21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0.2</w:t>
            </w:r>
          </w:p>
        </w:tc>
        <w:tc>
          <w:tcPr>
            <w:tcW w:w="1146" w:type="dxa"/>
            <w:tcBorders>
              <w:top w:val="nil"/>
              <w:left w:val="nil"/>
              <w:bottom w:val="nil"/>
              <w:right w:val="single" w:sz="4" w:space="0" w:color="000000"/>
            </w:tcBorders>
            <w:shd w:val="clear" w:color="auto" w:fill="FFFFFF" w:themeFill="background1"/>
            <w:noWrap/>
            <w:vAlign w:val="center"/>
          </w:tcPr>
          <w:p w14:paraId="3B6CC45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456" w:type="dxa"/>
            <w:tcBorders>
              <w:top w:val="nil"/>
              <w:left w:val="single" w:sz="4" w:space="0" w:color="000000"/>
              <w:bottom w:val="nil"/>
              <w:right w:val="nil"/>
            </w:tcBorders>
            <w:shd w:val="clear" w:color="auto" w:fill="FFFFFF" w:themeFill="background1"/>
            <w:vAlign w:val="center"/>
          </w:tcPr>
          <w:p w14:paraId="56B4D88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w:t>
            </w:r>
          </w:p>
        </w:tc>
        <w:tc>
          <w:tcPr>
            <w:tcW w:w="567" w:type="dxa"/>
            <w:tcBorders>
              <w:top w:val="nil"/>
              <w:left w:val="nil"/>
              <w:bottom w:val="nil"/>
              <w:right w:val="nil"/>
            </w:tcBorders>
            <w:shd w:val="clear" w:color="auto" w:fill="FFFFFF" w:themeFill="background1"/>
            <w:vAlign w:val="center"/>
          </w:tcPr>
          <w:p w14:paraId="72E2AEB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0.4</w:t>
            </w:r>
          </w:p>
        </w:tc>
        <w:tc>
          <w:tcPr>
            <w:tcW w:w="1146" w:type="dxa"/>
            <w:tcBorders>
              <w:top w:val="nil"/>
              <w:left w:val="nil"/>
              <w:bottom w:val="nil"/>
              <w:right w:val="single" w:sz="4" w:space="0" w:color="000000"/>
            </w:tcBorders>
            <w:shd w:val="clear" w:color="auto" w:fill="FFFFFF" w:themeFill="background1"/>
            <w:vAlign w:val="center"/>
          </w:tcPr>
          <w:p w14:paraId="7D55AB3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456" w:type="dxa"/>
            <w:tcBorders>
              <w:top w:val="nil"/>
              <w:left w:val="single" w:sz="4" w:space="0" w:color="000000"/>
              <w:bottom w:val="nil"/>
              <w:right w:val="nil"/>
            </w:tcBorders>
            <w:shd w:val="clear" w:color="auto" w:fill="FFFFFF" w:themeFill="background1"/>
            <w:vAlign w:val="center"/>
          </w:tcPr>
          <w:p w14:paraId="5A96969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621" w:type="dxa"/>
            <w:tcBorders>
              <w:top w:val="nil"/>
              <w:left w:val="nil"/>
              <w:bottom w:val="nil"/>
              <w:right w:val="nil"/>
            </w:tcBorders>
            <w:shd w:val="clear" w:color="auto" w:fill="FFFFFF" w:themeFill="background1"/>
            <w:vAlign w:val="center"/>
          </w:tcPr>
          <w:p w14:paraId="5E1B82C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w:t>
            </w:r>
          </w:p>
        </w:tc>
        <w:tc>
          <w:tcPr>
            <w:tcW w:w="1146" w:type="dxa"/>
            <w:tcBorders>
              <w:top w:val="nil"/>
              <w:left w:val="nil"/>
              <w:bottom w:val="nil"/>
              <w:right w:val="nil"/>
            </w:tcBorders>
            <w:shd w:val="clear" w:color="auto" w:fill="FFFFFF" w:themeFill="background1"/>
            <w:vAlign w:val="center"/>
          </w:tcPr>
          <w:p w14:paraId="607421E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118DA" w:rsidRPr="00D76D7F" w14:paraId="6A1B6539"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128507ED"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Other activities</w:t>
            </w:r>
          </w:p>
        </w:tc>
        <w:tc>
          <w:tcPr>
            <w:tcW w:w="536" w:type="dxa"/>
            <w:tcBorders>
              <w:top w:val="nil"/>
              <w:left w:val="nil"/>
              <w:bottom w:val="nil"/>
              <w:right w:val="nil"/>
            </w:tcBorders>
            <w:noWrap/>
            <w:vAlign w:val="center"/>
          </w:tcPr>
          <w:p w14:paraId="148DC73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w:t>
            </w:r>
          </w:p>
        </w:tc>
        <w:tc>
          <w:tcPr>
            <w:tcW w:w="567" w:type="dxa"/>
            <w:tcBorders>
              <w:top w:val="nil"/>
              <w:left w:val="nil"/>
              <w:bottom w:val="nil"/>
              <w:right w:val="nil"/>
            </w:tcBorders>
            <w:noWrap/>
            <w:vAlign w:val="center"/>
          </w:tcPr>
          <w:p w14:paraId="1E208B0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0.4</w:t>
            </w:r>
          </w:p>
        </w:tc>
        <w:tc>
          <w:tcPr>
            <w:tcW w:w="1146" w:type="dxa"/>
            <w:tcBorders>
              <w:top w:val="nil"/>
              <w:left w:val="nil"/>
              <w:bottom w:val="nil"/>
              <w:right w:val="single" w:sz="4" w:space="0" w:color="auto"/>
            </w:tcBorders>
            <w:noWrap/>
            <w:vAlign w:val="center"/>
          </w:tcPr>
          <w:p w14:paraId="61837E8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456" w:type="dxa"/>
            <w:tcBorders>
              <w:top w:val="nil"/>
              <w:left w:val="single" w:sz="4" w:space="0" w:color="auto"/>
              <w:bottom w:val="nil"/>
              <w:right w:val="nil"/>
            </w:tcBorders>
            <w:noWrap/>
            <w:vAlign w:val="center"/>
          </w:tcPr>
          <w:p w14:paraId="0C994D0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621" w:type="dxa"/>
            <w:tcBorders>
              <w:top w:val="nil"/>
              <w:left w:val="nil"/>
              <w:bottom w:val="nil"/>
              <w:right w:val="nil"/>
            </w:tcBorders>
            <w:noWrap/>
            <w:vAlign w:val="center"/>
          </w:tcPr>
          <w:p w14:paraId="702D769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0.1</w:t>
            </w:r>
          </w:p>
        </w:tc>
        <w:tc>
          <w:tcPr>
            <w:tcW w:w="1146" w:type="dxa"/>
            <w:tcBorders>
              <w:top w:val="nil"/>
              <w:left w:val="nil"/>
              <w:bottom w:val="nil"/>
              <w:right w:val="single" w:sz="4" w:space="0" w:color="000000"/>
            </w:tcBorders>
            <w:shd w:val="clear" w:color="auto" w:fill="FFFFFF" w:themeFill="background1"/>
            <w:noWrap/>
            <w:vAlign w:val="center"/>
          </w:tcPr>
          <w:p w14:paraId="1B2B3F4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456" w:type="dxa"/>
            <w:tcBorders>
              <w:top w:val="nil"/>
              <w:left w:val="single" w:sz="4" w:space="0" w:color="000000"/>
              <w:bottom w:val="nil"/>
              <w:right w:val="nil"/>
            </w:tcBorders>
            <w:shd w:val="clear" w:color="auto" w:fill="FFFFFF" w:themeFill="background1"/>
            <w:vAlign w:val="center"/>
          </w:tcPr>
          <w:p w14:paraId="6528022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w:t>
            </w:r>
          </w:p>
        </w:tc>
        <w:tc>
          <w:tcPr>
            <w:tcW w:w="567" w:type="dxa"/>
            <w:tcBorders>
              <w:top w:val="nil"/>
              <w:left w:val="nil"/>
              <w:bottom w:val="nil"/>
              <w:right w:val="nil"/>
            </w:tcBorders>
            <w:shd w:val="clear" w:color="auto" w:fill="FFFFFF" w:themeFill="background1"/>
            <w:vAlign w:val="center"/>
          </w:tcPr>
          <w:p w14:paraId="4AE861B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0.4</w:t>
            </w:r>
          </w:p>
        </w:tc>
        <w:tc>
          <w:tcPr>
            <w:tcW w:w="1146" w:type="dxa"/>
            <w:tcBorders>
              <w:top w:val="nil"/>
              <w:left w:val="nil"/>
              <w:bottom w:val="nil"/>
              <w:right w:val="single" w:sz="4" w:space="0" w:color="000000"/>
            </w:tcBorders>
            <w:shd w:val="clear" w:color="auto" w:fill="FFFFFF" w:themeFill="background1"/>
            <w:vAlign w:val="center"/>
          </w:tcPr>
          <w:p w14:paraId="4FF8D25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456" w:type="dxa"/>
            <w:tcBorders>
              <w:top w:val="nil"/>
              <w:left w:val="single" w:sz="4" w:space="0" w:color="000000"/>
              <w:bottom w:val="nil"/>
              <w:right w:val="nil"/>
            </w:tcBorders>
            <w:shd w:val="clear" w:color="auto" w:fill="FFFFFF" w:themeFill="background1"/>
            <w:vAlign w:val="center"/>
          </w:tcPr>
          <w:p w14:paraId="17AA23E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621" w:type="dxa"/>
            <w:tcBorders>
              <w:top w:val="nil"/>
              <w:left w:val="nil"/>
              <w:bottom w:val="nil"/>
              <w:right w:val="nil"/>
            </w:tcBorders>
            <w:shd w:val="clear" w:color="auto" w:fill="FFFFFF" w:themeFill="background1"/>
            <w:vAlign w:val="center"/>
          </w:tcPr>
          <w:p w14:paraId="7531308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0.3</w:t>
            </w:r>
          </w:p>
        </w:tc>
        <w:tc>
          <w:tcPr>
            <w:tcW w:w="1146" w:type="dxa"/>
            <w:tcBorders>
              <w:top w:val="nil"/>
              <w:left w:val="nil"/>
              <w:bottom w:val="nil"/>
              <w:right w:val="nil"/>
            </w:tcBorders>
            <w:shd w:val="clear" w:color="auto" w:fill="FFFFFF" w:themeFill="background1"/>
            <w:vAlign w:val="center"/>
          </w:tcPr>
          <w:p w14:paraId="7B1EDD4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D76D7F" w14:paraId="59356F8A"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38072EB9"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No preference</w:t>
            </w:r>
          </w:p>
        </w:tc>
        <w:tc>
          <w:tcPr>
            <w:tcW w:w="536" w:type="dxa"/>
            <w:tcBorders>
              <w:top w:val="nil"/>
              <w:left w:val="nil"/>
              <w:bottom w:val="nil"/>
              <w:right w:val="nil"/>
            </w:tcBorders>
            <w:noWrap/>
            <w:vAlign w:val="center"/>
          </w:tcPr>
          <w:p w14:paraId="0698421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w:t>
            </w:r>
          </w:p>
        </w:tc>
        <w:tc>
          <w:tcPr>
            <w:tcW w:w="567" w:type="dxa"/>
            <w:tcBorders>
              <w:top w:val="nil"/>
              <w:left w:val="nil"/>
              <w:bottom w:val="nil"/>
              <w:right w:val="nil"/>
            </w:tcBorders>
            <w:noWrap/>
            <w:vAlign w:val="center"/>
          </w:tcPr>
          <w:p w14:paraId="1A2BCF1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4.2</w:t>
            </w:r>
          </w:p>
        </w:tc>
        <w:tc>
          <w:tcPr>
            <w:tcW w:w="1146" w:type="dxa"/>
            <w:tcBorders>
              <w:top w:val="nil"/>
              <w:left w:val="nil"/>
              <w:bottom w:val="nil"/>
              <w:right w:val="single" w:sz="4" w:space="0" w:color="auto"/>
            </w:tcBorders>
            <w:noWrap/>
            <w:vAlign w:val="center"/>
          </w:tcPr>
          <w:p w14:paraId="1DB34B7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(2.5, 5.9)</w:t>
            </w:r>
          </w:p>
        </w:tc>
        <w:tc>
          <w:tcPr>
            <w:tcW w:w="456" w:type="dxa"/>
            <w:tcBorders>
              <w:top w:val="nil"/>
              <w:left w:val="single" w:sz="4" w:space="0" w:color="auto"/>
              <w:bottom w:val="nil"/>
              <w:right w:val="nil"/>
            </w:tcBorders>
            <w:noWrap/>
            <w:vAlign w:val="center"/>
          </w:tcPr>
          <w:p w14:paraId="0262E5F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w:t>
            </w:r>
          </w:p>
        </w:tc>
        <w:tc>
          <w:tcPr>
            <w:tcW w:w="621" w:type="dxa"/>
            <w:tcBorders>
              <w:top w:val="nil"/>
              <w:left w:val="nil"/>
              <w:bottom w:val="nil"/>
              <w:right w:val="nil"/>
            </w:tcBorders>
            <w:noWrap/>
            <w:vAlign w:val="center"/>
          </w:tcPr>
          <w:p w14:paraId="271D882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5.6</w:t>
            </w:r>
          </w:p>
        </w:tc>
        <w:tc>
          <w:tcPr>
            <w:tcW w:w="1146" w:type="dxa"/>
            <w:tcBorders>
              <w:top w:val="nil"/>
              <w:left w:val="nil"/>
              <w:bottom w:val="nil"/>
              <w:right w:val="single" w:sz="4" w:space="0" w:color="000000"/>
            </w:tcBorders>
            <w:shd w:val="clear" w:color="auto" w:fill="FFFFFF" w:themeFill="background1"/>
            <w:noWrap/>
            <w:vAlign w:val="center"/>
          </w:tcPr>
          <w:p w14:paraId="32FE16D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(2.5, 8.7)</w:t>
            </w:r>
          </w:p>
        </w:tc>
        <w:tc>
          <w:tcPr>
            <w:tcW w:w="456" w:type="dxa"/>
            <w:tcBorders>
              <w:top w:val="nil"/>
              <w:left w:val="single" w:sz="4" w:space="0" w:color="000000"/>
              <w:bottom w:val="nil"/>
              <w:right w:val="nil"/>
            </w:tcBorders>
            <w:shd w:val="clear" w:color="auto" w:fill="FFFFFF" w:themeFill="background1"/>
            <w:vAlign w:val="center"/>
          </w:tcPr>
          <w:p w14:paraId="58BE330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w:t>
            </w:r>
          </w:p>
        </w:tc>
        <w:tc>
          <w:tcPr>
            <w:tcW w:w="567" w:type="dxa"/>
            <w:tcBorders>
              <w:top w:val="nil"/>
              <w:left w:val="nil"/>
              <w:bottom w:val="nil"/>
              <w:right w:val="nil"/>
            </w:tcBorders>
            <w:shd w:val="clear" w:color="auto" w:fill="FFFFFF" w:themeFill="background1"/>
            <w:vAlign w:val="center"/>
          </w:tcPr>
          <w:p w14:paraId="13B985D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5.7</w:t>
            </w:r>
          </w:p>
        </w:tc>
        <w:tc>
          <w:tcPr>
            <w:tcW w:w="1146" w:type="dxa"/>
            <w:tcBorders>
              <w:top w:val="nil"/>
              <w:left w:val="nil"/>
              <w:bottom w:val="nil"/>
              <w:right w:val="single" w:sz="4" w:space="0" w:color="000000"/>
            </w:tcBorders>
            <w:shd w:val="clear" w:color="auto" w:fill="FFFFFF" w:themeFill="background1"/>
            <w:vAlign w:val="center"/>
          </w:tcPr>
          <w:p w14:paraId="4F50563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(3.4, 8.0)</w:t>
            </w:r>
          </w:p>
        </w:tc>
        <w:tc>
          <w:tcPr>
            <w:tcW w:w="456" w:type="dxa"/>
            <w:tcBorders>
              <w:top w:val="nil"/>
              <w:left w:val="single" w:sz="4" w:space="0" w:color="000000"/>
              <w:bottom w:val="nil"/>
              <w:right w:val="nil"/>
            </w:tcBorders>
            <w:shd w:val="clear" w:color="auto" w:fill="FFFFFF" w:themeFill="background1"/>
            <w:vAlign w:val="center"/>
          </w:tcPr>
          <w:p w14:paraId="5808059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w:t>
            </w:r>
          </w:p>
        </w:tc>
        <w:tc>
          <w:tcPr>
            <w:tcW w:w="621" w:type="dxa"/>
            <w:tcBorders>
              <w:top w:val="nil"/>
              <w:left w:val="nil"/>
              <w:bottom w:val="nil"/>
              <w:right w:val="nil"/>
            </w:tcBorders>
            <w:shd w:val="clear" w:color="auto" w:fill="FFFFFF" w:themeFill="background1"/>
            <w:vAlign w:val="center"/>
          </w:tcPr>
          <w:p w14:paraId="46CA957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7.1</w:t>
            </w:r>
          </w:p>
        </w:tc>
        <w:tc>
          <w:tcPr>
            <w:tcW w:w="1146" w:type="dxa"/>
            <w:tcBorders>
              <w:top w:val="nil"/>
              <w:left w:val="nil"/>
              <w:bottom w:val="nil"/>
              <w:right w:val="nil"/>
            </w:tcBorders>
            <w:shd w:val="clear" w:color="auto" w:fill="FFFFFF" w:themeFill="background1"/>
            <w:vAlign w:val="center"/>
          </w:tcPr>
          <w:p w14:paraId="64D4F7D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(3.7, 10.6)</w:t>
            </w:r>
          </w:p>
        </w:tc>
      </w:tr>
      <w:tr w:rsidR="009118DA" w:rsidRPr="00D76D7F" w14:paraId="6046E079"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7204D8F2" w14:textId="77777777" w:rsidR="003D7BB5" w:rsidRPr="00D76D7F" w:rsidRDefault="003D7BB5" w:rsidP="00DD0F28">
            <w:pPr>
              <w:spacing w:before="20" w:after="20"/>
              <w:ind w:left="176"/>
              <w:rPr>
                <w:rFonts w:eastAsiaTheme="minorEastAsia"/>
                <w:b w:val="0"/>
                <w:sz w:val="18"/>
                <w:szCs w:val="18"/>
                <w:lang w:eastAsia="en-US"/>
              </w:rPr>
            </w:pPr>
            <w:r>
              <w:rPr>
                <w:rFonts w:eastAsiaTheme="minorEastAsia"/>
                <w:b w:val="0"/>
                <w:sz w:val="18"/>
                <w:szCs w:val="18"/>
                <w:lang w:eastAsia="en-US"/>
              </w:rPr>
              <w:t>Did not respond</w:t>
            </w:r>
          </w:p>
        </w:tc>
        <w:tc>
          <w:tcPr>
            <w:tcW w:w="536" w:type="dxa"/>
            <w:tcBorders>
              <w:top w:val="nil"/>
              <w:left w:val="nil"/>
              <w:bottom w:val="nil"/>
              <w:right w:val="nil"/>
            </w:tcBorders>
            <w:noWrap/>
            <w:vAlign w:val="center"/>
          </w:tcPr>
          <w:p w14:paraId="3F03B79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37</w:t>
            </w:r>
          </w:p>
        </w:tc>
        <w:tc>
          <w:tcPr>
            <w:tcW w:w="567" w:type="dxa"/>
            <w:tcBorders>
              <w:top w:val="nil"/>
              <w:left w:val="nil"/>
              <w:bottom w:val="nil"/>
              <w:right w:val="nil"/>
            </w:tcBorders>
            <w:noWrap/>
            <w:vAlign w:val="center"/>
          </w:tcPr>
          <w:p w14:paraId="0CA8246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11.9</w:t>
            </w:r>
          </w:p>
        </w:tc>
        <w:tc>
          <w:tcPr>
            <w:tcW w:w="1146" w:type="dxa"/>
            <w:tcBorders>
              <w:top w:val="nil"/>
              <w:left w:val="nil"/>
              <w:bottom w:val="nil"/>
              <w:right w:val="single" w:sz="4" w:space="0" w:color="auto"/>
            </w:tcBorders>
            <w:noWrap/>
            <w:vAlign w:val="center"/>
          </w:tcPr>
          <w:p w14:paraId="298974D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(9.2, 14.7)</w:t>
            </w:r>
          </w:p>
        </w:tc>
        <w:tc>
          <w:tcPr>
            <w:tcW w:w="456" w:type="dxa"/>
            <w:tcBorders>
              <w:top w:val="nil"/>
              <w:left w:val="single" w:sz="4" w:space="0" w:color="auto"/>
              <w:bottom w:val="nil"/>
              <w:right w:val="nil"/>
            </w:tcBorders>
            <w:noWrap/>
            <w:vAlign w:val="center"/>
          </w:tcPr>
          <w:p w14:paraId="1954F5E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27</w:t>
            </w:r>
          </w:p>
        </w:tc>
        <w:tc>
          <w:tcPr>
            <w:tcW w:w="621" w:type="dxa"/>
            <w:tcBorders>
              <w:top w:val="nil"/>
              <w:left w:val="nil"/>
              <w:bottom w:val="nil"/>
              <w:right w:val="nil"/>
            </w:tcBorders>
            <w:noWrap/>
            <w:vAlign w:val="center"/>
          </w:tcPr>
          <w:p w14:paraId="6B6ACB4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14.4</w:t>
            </w:r>
          </w:p>
        </w:tc>
        <w:tc>
          <w:tcPr>
            <w:tcW w:w="1146" w:type="dxa"/>
            <w:tcBorders>
              <w:top w:val="nil"/>
              <w:left w:val="nil"/>
              <w:bottom w:val="nil"/>
              <w:right w:val="single" w:sz="4" w:space="0" w:color="000000"/>
            </w:tcBorders>
            <w:shd w:val="clear" w:color="auto" w:fill="FFFFFF" w:themeFill="background1"/>
            <w:noWrap/>
            <w:vAlign w:val="center"/>
          </w:tcPr>
          <w:p w14:paraId="7B044DC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(10.9, 18)</w:t>
            </w:r>
          </w:p>
        </w:tc>
        <w:tc>
          <w:tcPr>
            <w:tcW w:w="456" w:type="dxa"/>
            <w:tcBorders>
              <w:top w:val="nil"/>
              <w:left w:val="single" w:sz="4" w:space="0" w:color="000000"/>
              <w:bottom w:val="nil"/>
              <w:right w:val="nil"/>
            </w:tcBorders>
            <w:shd w:val="clear" w:color="auto" w:fill="FFFFFF" w:themeFill="background1"/>
            <w:vAlign w:val="center"/>
          </w:tcPr>
          <w:p w14:paraId="6F2800E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w:t>
            </w:r>
          </w:p>
        </w:tc>
        <w:tc>
          <w:tcPr>
            <w:tcW w:w="567" w:type="dxa"/>
            <w:tcBorders>
              <w:top w:val="nil"/>
              <w:left w:val="nil"/>
              <w:bottom w:val="nil"/>
              <w:right w:val="nil"/>
            </w:tcBorders>
            <w:shd w:val="clear" w:color="auto" w:fill="FFFFFF" w:themeFill="background1"/>
            <w:vAlign w:val="center"/>
          </w:tcPr>
          <w:p w14:paraId="6CB6F69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10.6</w:t>
            </w:r>
          </w:p>
        </w:tc>
        <w:tc>
          <w:tcPr>
            <w:tcW w:w="1146" w:type="dxa"/>
            <w:tcBorders>
              <w:top w:val="nil"/>
              <w:left w:val="nil"/>
              <w:bottom w:val="nil"/>
              <w:right w:val="single" w:sz="4" w:space="0" w:color="000000"/>
            </w:tcBorders>
            <w:shd w:val="clear" w:color="auto" w:fill="FFFFFF" w:themeFill="background1"/>
            <w:vAlign w:val="center"/>
          </w:tcPr>
          <w:p w14:paraId="421E7E2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(6.9, 14.2)</w:t>
            </w:r>
          </w:p>
        </w:tc>
        <w:tc>
          <w:tcPr>
            <w:tcW w:w="456" w:type="dxa"/>
            <w:tcBorders>
              <w:top w:val="nil"/>
              <w:left w:val="single" w:sz="4" w:space="0" w:color="000000"/>
              <w:bottom w:val="nil"/>
              <w:right w:val="nil"/>
            </w:tcBorders>
            <w:shd w:val="clear" w:color="auto" w:fill="FFFFFF" w:themeFill="background1"/>
            <w:vAlign w:val="center"/>
          </w:tcPr>
          <w:p w14:paraId="26DB92A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w:t>
            </w:r>
          </w:p>
        </w:tc>
        <w:tc>
          <w:tcPr>
            <w:tcW w:w="621" w:type="dxa"/>
            <w:tcBorders>
              <w:top w:val="nil"/>
              <w:left w:val="nil"/>
              <w:bottom w:val="nil"/>
              <w:right w:val="nil"/>
            </w:tcBorders>
            <w:shd w:val="clear" w:color="auto" w:fill="FFFFFF" w:themeFill="background1"/>
            <w:vAlign w:val="center"/>
          </w:tcPr>
          <w:p w14:paraId="50954E9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12.7</w:t>
            </w:r>
          </w:p>
        </w:tc>
        <w:tc>
          <w:tcPr>
            <w:tcW w:w="1146" w:type="dxa"/>
            <w:tcBorders>
              <w:top w:val="nil"/>
              <w:left w:val="nil"/>
              <w:bottom w:val="nil"/>
              <w:right w:val="nil"/>
            </w:tcBorders>
            <w:shd w:val="clear" w:color="auto" w:fill="FFFFFF" w:themeFill="background1"/>
            <w:vAlign w:val="center"/>
          </w:tcPr>
          <w:p w14:paraId="0AF47C0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(8.2, 17.3)</w:t>
            </w:r>
          </w:p>
        </w:tc>
      </w:tr>
      <w:tr w:rsidR="009118DA" w:rsidRPr="00D76D7F" w14:paraId="59D2E3B3"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single" w:sz="4" w:space="0" w:color="auto"/>
              <w:right w:val="nil"/>
            </w:tcBorders>
          </w:tcPr>
          <w:p w14:paraId="1A1E6A2F"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Refused/Don’t know</w:t>
            </w:r>
          </w:p>
        </w:tc>
        <w:tc>
          <w:tcPr>
            <w:tcW w:w="536" w:type="dxa"/>
            <w:tcBorders>
              <w:top w:val="nil"/>
              <w:left w:val="nil"/>
              <w:bottom w:val="single" w:sz="4" w:space="0" w:color="auto"/>
              <w:right w:val="nil"/>
            </w:tcBorders>
            <w:noWrap/>
            <w:vAlign w:val="center"/>
          </w:tcPr>
          <w:p w14:paraId="1BDC59F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567" w:type="dxa"/>
            <w:tcBorders>
              <w:top w:val="nil"/>
              <w:left w:val="nil"/>
              <w:bottom w:val="single" w:sz="4" w:space="0" w:color="auto"/>
              <w:right w:val="nil"/>
            </w:tcBorders>
            <w:noWrap/>
            <w:vAlign w:val="center"/>
          </w:tcPr>
          <w:p w14:paraId="6F73A70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0.4</w:t>
            </w:r>
          </w:p>
        </w:tc>
        <w:tc>
          <w:tcPr>
            <w:tcW w:w="1146" w:type="dxa"/>
            <w:tcBorders>
              <w:top w:val="nil"/>
              <w:left w:val="nil"/>
              <w:bottom w:val="single" w:sz="4" w:space="0" w:color="auto"/>
              <w:right w:val="single" w:sz="4" w:space="0" w:color="auto"/>
            </w:tcBorders>
            <w:noWrap/>
            <w:vAlign w:val="center"/>
          </w:tcPr>
          <w:p w14:paraId="42DC8D8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456" w:type="dxa"/>
            <w:tcBorders>
              <w:top w:val="nil"/>
              <w:left w:val="single" w:sz="4" w:space="0" w:color="auto"/>
              <w:bottom w:val="single" w:sz="4" w:space="0" w:color="auto"/>
              <w:right w:val="nil"/>
            </w:tcBorders>
            <w:noWrap/>
            <w:vAlign w:val="center"/>
          </w:tcPr>
          <w:p w14:paraId="222DDB1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621" w:type="dxa"/>
            <w:tcBorders>
              <w:top w:val="nil"/>
              <w:left w:val="nil"/>
              <w:bottom w:val="single" w:sz="4" w:space="0" w:color="auto"/>
              <w:right w:val="nil"/>
            </w:tcBorders>
            <w:noWrap/>
            <w:vAlign w:val="center"/>
          </w:tcPr>
          <w:p w14:paraId="543AEEE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w:t>
            </w:r>
          </w:p>
        </w:tc>
        <w:tc>
          <w:tcPr>
            <w:tcW w:w="1146" w:type="dxa"/>
            <w:tcBorders>
              <w:top w:val="nil"/>
              <w:left w:val="nil"/>
              <w:bottom w:val="single" w:sz="4" w:space="0" w:color="auto"/>
              <w:right w:val="single" w:sz="4" w:space="0" w:color="000000"/>
            </w:tcBorders>
            <w:shd w:val="clear" w:color="auto" w:fill="FFFFFF" w:themeFill="background1"/>
            <w:noWrap/>
            <w:vAlign w:val="center"/>
          </w:tcPr>
          <w:p w14:paraId="73EBDCD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456" w:type="dxa"/>
            <w:tcBorders>
              <w:top w:val="nil"/>
              <w:left w:val="single" w:sz="4" w:space="0" w:color="000000"/>
              <w:bottom w:val="single" w:sz="4" w:space="0" w:color="auto"/>
              <w:right w:val="nil"/>
            </w:tcBorders>
            <w:shd w:val="clear" w:color="auto" w:fill="FFFFFF" w:themeFill="background1"/>
            <w:vAlign w:val="center"/>
          </w:tcPr>
          <w:p w14:paraId="3A835A6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w:t>
            </w:r>
          </w:p>
        </w:tc>
        <w:tc>
          <w:tcPr>
            <w:tcW w:w="567" w:type="dxa"/>
            <w:tcBorders>
              <w:top w:val="nil"/>
              <w:left w:val="nil"/>
              <w:bottom w:val="single" w:sz="4" w:space="0" w:color="auto"/>
              <w:right w:val="nil"/>
            </w:tcBorders>
            <w:shd w:val="clear" w:color="auto" w:fill="FFFFFF" w:themeFill="background1"/>
            <w:vAlign w:val="center"/>
          </w:tcPr>
          <w:p w14:paraId="5C2EF8E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0.8</w:t>
            </w:r>
          </w:p>
        </w:tc>
        <w:tc>
          <w:tcPr>
            <w:tcW w:w="1146" w:type="dxa"/>
            <w:tcBorders>
              <w:top w:val="nil"/>
              <w:left w:val="nil"/>
              <w:bottom w:val="single" w:sz="4" w:space="0" w:color="auto"/>
              <w:right w:val="single" w:sz="4" w:space="0" w:color="000000"/>
            </w:tcBorders>
            <w:shd w:val="clear" w:color="auto" w:fill="FFFFFF" w:themeFill="background1"/>
            <w:vAlign w:val="center"/>
          </w:tcPr>
          <w:p w14:paraId="110FA29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456" w:type="dxa"/>
            <w:tcBorders>
              <w:top w:val="nil"/>
              <w:left w:val="single" w:sz="4" w:space="0" w:color="000000"/>
              <w:bottom w:val="single" w:sz="4" w:space="0" w:color="auto"/>
              <w:right w:val="nil"/>
            </w:tcBorders>
            <w:shd w:val="clear" w:color="auto" w:fill="FFFFFF" w:themeFill="background1"/>
            <w:vAlign w:val="center"/>
          </w:tcPr>
          <w:p w14:paraId="1FDC56B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621" w:type="dxa"/>
            <w:tcBorders>
              <w:top w:val="nil"/>
              <w:left w:val="nil"/>
              <w:bottom w:val="single" w:sz="4" w:space="0" w:color="auto"/>
              <w:right w:val="nil"/>
            </w:tcBorders>
            <w:shd w:val="clear" w:color="auto" w:fill="FFFFFF" w:themeFill="background1"/>
            <w:vAlign w:val="center"/>
          </w:tcPr>
          <w:p w14:paraId="62F678C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w:t>
            </w:r>
          </w:p>
        </w:tc>
        <w:tc>
          <w:tcPr>
            <w:tcW w:w="1146" w:type="dxa"/>
            <w:tcBorders>
              <w:top w:val="nil"/>
              <w:left w:val="nil"/>
              <w:bottom w:val="single" w:sz="4" w:space="0" w:color="auto"/>
              <w:right w:val="nil"/>
            </w:tcBorders>
            <w:shd w:val="clear" w:color="auto" w:fill="FFFFFF" w:themeFill="background1"/>
            <w:vAlign w:val="center"/>
          </w:tcPr>
          <w:p w14:paraId="24833D4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118DA" w:rsidRPr="00D76D7F" w14:paraId="79F23915"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single" w:sz="4" w:space="0" w:color="auto"/>
              <w:left w:val="nil"/>
              <w:bottom w:val="nil"/>
              <w:right w:val="nil"/>
            </w:tcBorders>
          </w:tcPr>
          <w:p w14:paraId="0A761D20" w14:textId="77777777" w:rsidR="003D7BB5" w:rsidRPr="00D76D7F" w:rsidRDefault="003D7BB5" w:rsidP="00DD0F28">
            <w:pPr>
              <w:keepNext/>
              <w:spacing w:before="20" w:after="20"/>
              <w:rPr>
                <w:rFonts w:eastAsiaTheme="minorEastAsia"/>
                <w:sz w:val="18"/>
                <w:szCs w:val="18"/>
                <w:lang w:eastAsia="en-US"/>
              </w:rPr>
            </w:pPr>
            <w:r w:rsidRPr="00D76D7F">
              <w:rPr>
                <w:rFonts w:eastAsiaTheme="minorEastAsia"/>
                <w:sz w:val="18"/>
                <w:szCs w:val="18"/>
                <w:lang w:eastAsia="en-US"/>
              </w:rPr>
              <w:t>Who gambled with</w:t>
            </w:r>
          </w:p>
        </w:tc>
        <w:tc>
          <w:tcPr>
            <w:tcW w:w="536" w:type="dxa"/>
            <w:tcBorders>
              <w:top w:val="single" w:sz="4" w:space="0" w:color="auto"/>
              <w:left w:val="nil"/>
              <w:bottom w:val="nil"/>
              <w:right w:val="nil"/>
            </w:tcBorders>
            <w:noWrap/>
            <w:vAlign w:val="center"/>
          </w:tcPr>
          <w:p w14:paraId="704818F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single" w:sz="4" w:space="0" w:color="auto"/>
              <w:left w:val="nil"/>
              <w:bottom w:val="nil"/>
              <w:right w:val="nil"/>
            </w:tcBorders>
            <w:noWrap/>
            <w:vAlign w:val="center"/>
          </w:tcPr>
          <w:p w14:paraId="18F2620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single" w:sz="4" w:space="0" w:color="auto"/>
              <w:left w:val="nil"/>
              <w:bottom w:val="nil"/>
              <w:right w:val="single" w:sz="4" w:space="0" w:color="auto"/>
            </w:tcBorders>
            <w:noWrap/>
            <w:vAlign w:val="center"/>
          </w:tcPr>
          <w:p w14:paraId="25A72CC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456" w:type="dxa"/>
            <w:tcBorders>
              <w:top w:val="single" w:sz="4" w:space="0" w:color="auto"/>
              <w:left w:val="single" w:sz="4" w:space="0" w:color="auto"/>
              <w:bottom w:val="nil"/>
              <w:right w:val="nil"/>
            </w:tcBorders>
            <w:noWrap/>
            <w:vAlign w:val="center"/>
          </w:tcPr>
          <w:p w14:paraId="196D119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621" w:type="dxa"/>
            <w:tcBorders>
              <w:top w:val="single" w:sz="4" w:space="0" w:color="auto"/>
              <w:left w:val="nil"/>
              <w:bottom w:val="nil"/>
              <w:right w:val="nil"/>
            </w:tcBorders>
            <w:noWrap/>
            <w:vAlign w:val="center"/>
          </w:tcPr>
          <w:p w14:paraId="084915D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single" w:sz="4" w:space="0" w:color="auto"/>
              <w:left w:val="nil"/>
              <w:bottom w:val="nil"/>
              <w:right w:val="single" w:sz="4" w:space="0" w:color="000000"/>
            </w:tcBorders>
            <w:shd w:val="clear" w:color="auto" w:fill="FFFFFF" w:themeFill="background1"/>
            <w:noWrap/>
            <w:vAlign w:val="center"/>
          </w:tcPr>
          <w:p w14:paraId="76D7AB3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456" w:type="dxa"/>
            <w:tcBorders>
              <w:top w:val="single" w:sz="4" w:space="0" w:color="auto"/>
              <w:left w:val="single" w:sz="4" w:space="0" w:color="000000"/>
              <w:bottom w:val="nil"/>
              <w:right w:val="nil"/>
            </w:tcBorders>
            <w:shd w:val="clear" w:color="auto" w:fill="FFFFFF" w:themeFill="background1"/>
            <w:vAlign w:val="center"/>
          </w:tcPr>
          <w:p w14:paraId="4AD0ACE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single" w:sz="4" w:space="0" w:color="auto"/>
              <w:left w:val="nil"/>
              <w:bottom w:val="nil"/>
              <w:right w:val="nil"/>
            </w:tcBorders>
            <w:shd w:val="clear" w:color="auto" w:fill="FFFFFF" w:themeFill="background1"/>
            <w:vAlign w:val="center"/>
          </w:tcPr>
          <w:p w14:paraId="42861C3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single" w:sz="4" w:space="0" w:color="auto"/>
              <w:left w:val="nil"/>
              <w:bottom w:val="nil"/>
              <w:right w:val="single" w:sz="4" w:space="0" w:color="000000"/>
            </w:tcBorders>
            <w:shd w:val="clear" w:color="auto" w:fill="FFFFFF" w:themeFill="background1"/>
            <w:vAlign w:val="center"/>
          </w:tcPr>
          <w:p w14:paraId="2DF5655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456" w:type="dxa"/>
            <w:tcBorders>
              <w:top w:val="single" w:sz="4" w:space="0" w:color="auto"/>
              <w:left w:val="single" w:sz="4" w:space="0" w:color="000000"/>
              <w:bottom w:val="nil"/>
              <w:right w:val="nil"/>
            </w:tcBorders>
            <w:shd w:val="clear" w:color="auto" w:fill="FFFFFF" w:themeFill="background1"/>
            <w:vAlign w:val="center"/>
          </w:tcPr>
          <w:p w14:paraId="3A3C872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621" w:type="dxa"/>
            <w:tcBorders>
              <w:top w:val="single" w:sz="4" w:space="0" w:color="auto"/>
              <w:left w:val="nil"/>
              <w:bottom w:val="nil"/>
              <w:right w:val="nil"/>
            </w:tcBorders>
            <w:shd w:val="clear" w:color="auto" w:fill="FFFFFF" w:themeFill="background1"/>
            <w:vAlign w:val="center"/>
          </w:tcPr>
          <w:p w14:paraId="3F19BBE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single" w:sz="4" w:space="0" w:color="auto"/>
              <w:left w:val="nil"/>
              <w:bottom w:val="nil"/>
              <w:right w:val="nil"/>
            </w:tcBorders>
            <w:shd w:val="clear" w:color="auto" w:fill="FFFFFF" w:themeFill="background1"/>
            <w:vAlign w:val="center"/>
          </w:tcPr>
          <w:p w14:paraId="5949A95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D76D7F" w14:paraId="47D2CC1F"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5C84C999" w14:textId="77777777" w:rsidR="003D7BB5" w:rsidRPr="00D76D7F" w:rsidRDefault="003D7BB5" w:rsidP="00DD0F28">
            <w:pPr>
              <w:keepNext/>
              <w:spacing w:before="20" w:after="20"/>
              <w:ind w:left="176"/>
              <w:rPr>
                <w:rFonts w:eastAsiaTheme="minorEastAsia"/>
                <w:b w:val="0"/>
                <w:sz w:val="18"/>
                <w:szCs w:val="18"/>
                <w:lang w:eastAsia="en-US"/>
              </w:rPr>
            </w:pPr>
            <w:r w:rsidRPr="00D76D7F">
              <w:rPr>
                <w:rFonts w:eastAsiaTheme="minorEastAsia"/>
                <w:b w:val="0"/>
                <w:sz w:val="18"/>
                <w:szCs w:val="18"/>
                <w:lang w:eastAsia="en-US"/>
              </w:rPr>
              <w:t>Alone</w:t>
            </w:r>
          </w:p>
        </w:tc>
        <w:tc>
          <w:tcPr>
            <w:tcW w:w="536" w:type="dxa"/>
            <w:tcBorders>
              <w:top w:val="nil"/>
              <w:left w:val="nil"/>
              <w:bottom w:val="nil"/>
              <w:right w:val="nil"/>
            </w:tcBorders>
            <w:noWrap/>
            <w:vAlign w:val="center"/>
          </w:tcPr>
          <w:p w14:paraId="6D36CCD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106</w:t>
            </w:r>
          </w:p>
        </w:tc>
        <w:tc>
          <w:tcPr>
            <w:tcW w:w="567" w:type="dxa"/>
            <w:tcBorders>
              <w:top w:val="nil"/>
              <w:left w:val="nil"/>
              <w:bottom w:val="nil"/>
              <w:right w:val="nil"/>
            </w:tcBorders>
            <w:noWrap/>
            <w:vAlign w:val="center"/>
          </w:tcPr>
          <w:p w14:paraId="6A5E5C2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59.6</w:t>
            </w:r>
          </w:p>
        </w:tc>
        <w:tc>
          <w:tcPr>
            <w:tcW w:w="1146" w:type="dxa"/>
            <w:tcBorders>
              <w:top w:val="nil"/>
              <w:left w:val="nil"/>
              <w:bottom w:val="nil"/>
              <w:right w:val="single" w:sz="4" w:space="0" w:color="auto"/>
            </w:tcBorders>
            <w:noWrap/>
            <w:vAlign w:val="center"/>
          </w:tcPr>
          <w:p w14:paraId="4101450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(54.3, 64.8)</w:t>
            </w:r>
          </w:p>
        </w:tc>
        <w:tc>
          <w:tcPr>
            <w:tcW w:w="456" w:type="dxa"/>
            <w:tcBorders>
              <w:top w:val="nil"/>
              <w:left w:val="single" w:sz="4" w:space="0" w:color="auto"/>
              <w:bottom w:val="nil"/>
              <w:right w:val="nil"/>
            </w:tcBorders>
            <w:noWrap/>
            <w:vAlign w:val="center"/>
          </w:tcPr>
          <w:p w14:paraId="68C17AE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53</w:t>
            </w:r>
          </w:p>
        </w:tc>
        <w:tc>
          <w:tcPr>
            <w:tcW w:w="621" w:type="dxa"/>
            <w:tcBorders>
              <w:top w:val="nil"/>
              <w:left w:val="nil"/>
              <w:bottom w:val="nil"/>
              <w:right w:val="nil"/>
            </w:tcBorders>
            <w:noWrap/>
            <w:vAlign w:val="center"/>
          </w:tcPr>
          <w:p w14:paraId="6195B31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56.1</w:t>
            </w:r>
          </w:p>
        </w:tc>
        <w:tc>
          <w:tcPr>
            <w:tcW w:w="1146" w:type="dxa"/>
            <w:tcBorders>
              <w:top w:val="nil"/>
              <w:left w:val="nil"/>
              <w:bottom w:val="nil"/>
              <w:right w:val="single" w:sz="4" w:space="0" w:color="000000"/>
            </w:tcBorders>
            <w:shd w:val="clear" w:color="auto" w:fill="FFFFFF" w:themeFill="background1"/>
            <w:noWrap/>
            <w:vAlign w:val="center"/>
          </w:tcPr>
          <w:p w14:paraId="4704166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(48.5, 63.7)</w:t>
            </w:r>
          </w:p>
        </w:tc>
        <w:tc>
          <w:tcPr>
            <w:tcW w:w="456" w:type="dxa"/>
            <w:tcBorders>
              <w:top w:val="nil"/>
              <w:left w:val="single" w:sz="4" w:space="0" w:color="000000"/>
              <w:bottom w:val="nil"/>
              <w:right w:val="nil"/>
            </w:tcBorders>
            <w:shd w:val="clear" w:color="auto" w:fill="FFFFFF" w:themeFill="background1"/>
            <w:vAlign w:val="center"/>
          </w:tcPr>
          <w:p w14:paraId="02DD3FB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41</w:t>
            </w:r>
          </w:p>
        </w:tc>
        <w:tc>
          <w:tcPr>
            <w:tcW w:w="567" w:type="dxa"/>
            <w:tcBorders>
              <w:top w:val="nil"/>
              <w:left w:val="nil"/>
              <w:bottom w:val="nil"/>
              <w:right w:val="nil"/>
            </w:tcBorders>
            <w:shd w:val="clear" w:color="auto" w:fill="FFFFFF" w:themeFill="background1"/>
            <w:vAlign w:val="center"/>
          </w:tcPr>
          <w:p w14:paraId="7CE253C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49.7</w:t>
            </w:r>
          </w:p>
        </w:tc>
        <w:tc>
          <w:tcPr>
            <w:tcW w:w="1146" w:type="dxa"/>
            <w:tcBorders>
              <w:top w:val="nil"/>
              <w:left w:val="nil"/>
              <w:bottom w:val="nil"/>
              <w:right w:val="single" w:sz="4" w:space="0" w:color="000000"/>
            </w:tcBorders>
            <w:shd w:val="clear" w:color="auto" w:fill="FFFFFF" w:themeFill="background1"/>
            <w:vAlign w:val="center"/>
          </w:tcPr>
          <w:p w14:paraId="11B5D72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(42.0, 57.5)</w:t>
            </w:r>
          </w:p>
        </w:tc>
        <w:tc>
          <w:tcPr>
            <w:tcW w:w="456" w:type="dxa"/>
            <w:tcBorders>
              <w:top w:val="nil"/>
              <w:left w:val="single" w:sz="4" w:space="0" w:color="000000"/>
              <w:bottom w:val="nil"/>
              <w:right w:val="nil"/>
            </w:tcBorders>
            <w:shd w:val="clear" w:color="auto" w:fill="FFFFFF" w:themeFill="background1"/>
            <w:vAlign w:val="center"/>
          </w:tcPr>
          <w:p w14:paraId="080B274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33</w:t>
            </w:r>
          </w:p>
        </w:tc>
        <w:tc>
          <w:tcPr>
            <w:tcW w:w="621" w:type="dxa"/>
            <w:tcBorders>
              <w:top w:val="nil"/>
              <w:left w:val="nil"/>
              <w:bottom w:val="nil"/>
              <w:right w:val="nil"/>
            </w:tcBorders>
            <w:shd w:val="clear" w:color="auto" w:fill="FFFFFF" w:themeFill="background1"/>
            <w:vAlign w:val="center"/>
          </w:tcPr>
          <w:p w14:paraId="2EEE357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49.8</w:t>
            </w:r>
          </w:p>
        </w:tc>
        <w:tc>
          <w:tcPr>
            <w:tcW w:w="1146" w:type="dxa"/>
            <w:tcBorders>
              <w:top w:val="nil"/>
              <w:left w:val="nil"/>
              <w:bottom w:val="nil"/>
              <w:right w:val="nil"/>
            </w:tcBorders>
            <w:shd w:val="clear" w:color="auto" w:fill="FFFFFF" w:themeFill="background1"/>
            <w:vAlign w:val="center"/>
          </w:tcPr>
          <w:p w14:paraId="0386074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(40.4, 59.2)</w:t>
            </w:r>
          </w:p>
        </w:tc>
      </w:tr>
      <w:tr w:rsidR="009118DA" w:rsidRPr="00D76D7F" w14:paraId="189AF7FE"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nil"/>
              <w:right w:val="nil"/>
            </w:tcBorders>
          </w:tcPr>
          <w:p w14:paraId="7CED8F1C" w14:textId="77777777" w:rsidR="003D7BB5" w:rsidRPr="00D76D7F" w:rsidRDefault="003D7BB5" w:rsidP="00DD0F28">
            <w:pPr>
              <w:keepNext/>
              <w:spacing w:before="20" w:after="20"/>
              <w:ind w:left="176"/>
              <w:rPr>
                <w:rFonts w:eastAsiaTheme="minorEastAsia"/>
                <w:b w:val="0"/>
                <w:sz w:val="18"/>
                <w:szCs w:val="18"/>
                <w:lang w:eastAsia="en-US"/>
              </w:rPr>
            </w:pPr>
            <w:r w:rsidRPr="00D76D7F">
              <w:rPr>
                <w:rFonts w:eastAsiaTheme="minorEastAsia"/>
                <w:b w:val="0"/>
                <w:sz w:val="18"/>
                <w:szCs w:val="18"/>
                <w:lang w:eastAsia="en-US"/>
              </w:rPr>
              <w:t>With one person</w:t>
            </w:r>
          </w:p>
        </w:tc>
        <w:tc>
          <w:tcPr>
            <w:tcW w:w="536" w:type="dxa"/>
            <w:tcBorders>
              <w:top w:val="nil"/>
              <w:left w:val="nil"/>
              <w:bottom w:val="nil"/>
              <w:right w:val="nil"/>
            </w:tcBorders>
            <w:noWrap/>
            <w:vAlign w:val="center"/>
          </w:tcPr>
          <w:p w14:paraId="40981AC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32</w:t>
            </w:r>
          </w:p>
        </w:tc>
        <w:tc>
          <w:tcPr>
            <w:tcW w:w="567" w:type="dxa"/>
            <w:tcBorders>
              <w:top w:val="nil"/>
              <w:left w:val="nil"/>
              <w:bottom w:val="nil"/>
              <w:right w:val="nil"/>
            </w:tcBorders>
            <w:noWrap/>
            <w:vAlign w:val="center"/>
          </w:tcPr>
          <w:p w14:paraId="264957E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18.1</w:t>
            </w:r>
          </w:p>
        </w:tc>
        <w:tc>
          <w:tcPr>
            <w:tcW w:w="1146" w:type="dxa"/>
            <w:tcBorders>
              <w:top w:val="nil"/>
              <w:left w:val="nil"/>
              <w:bottom w:val="nil"/>
              <w:right w:val="single" w:sz="4" w:space="0" w:color="auto"/>
            </w:tcBorders>
            <w:noWrap/>
            <w:vAlign w:val="center"/>
          </w:tcPr>
          <w:p w14:paraId="66BF326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(13.6, 22.6)</w:t>
            </w:r>
          </w:p>
        </w:tc>
        <w:tc>
          <w:tcPr>
            <w:tcW w:w="456" w:type="dxa"/>
            <w:tcBorders>
              <w:top w:val="nil"/>
              <w:left w:val="single" w:sz="4" w:space="0" w:color="auto"/>
              <w:bottom w:val="nil"/>
              <w:right w:val="nil"/>
            </w:tcBorders>
            <w:noWrap/>
            <w:vAlign w:val="center"/>
          </w:tcPr>
          <w:p w14:paraId="4FFD9DA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w:t>
            </w:r>
          </w:p>
        </w:tc>
        <w:tc>
          <w:tcPr>
            <w:tcW w:w="621" w:type="dxa"/>
            <w:tcBorders>
              <w:top w:val="nil"/>
              <w:left w:val="nil"/>
              <w:bottom w:val="nil"/>
              <w:right w:val="nil"/>
            </w:tcBorders>
            <w:noWrap/>
            <w:vAlign w:val="center"/>
          </w:tcPr>
          <w:p w14:paraId="4F96737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16.4</w:t>
            </w:r>
          </w:p>
        </w:tc>
        <w:tc>
          <w:tcPr>
            <w:tcW w:w="1146" w:type="dxa"/>
            <w:tcBorders>
              <w:top w:val="nil"/>
              <w:left w:val="nil"/>
              <w:bottom w:val="nil"/>
              <w:right w:val="single" w:sz="4" w:space="0" w:color="000000"/>
            </w:tcBorders>
            <w:shd w:val="clear" w:color="auto" w:fill="FFFFFF" w:themeFill="background1"/>
            <w:noWrap/>
            <w:vAlign w:val="center"/>
          </w:tcPr>
          <w:p w14:paraId="59D7E3C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(10.4, 22.3)</w:t>
            </w:r>
          </w:p>
        </w:tc>
        <w:tc>
          <w:tcPr>
            <w:tcW w:w="456" w:type="dxa"/>
            <w:tcBorders>
              <w:top w:val="nil"/>
              <w:left w:val="single" w:sz="4" w:space="0" w:color="000000"/>
              <w:bottom w:val="nil"/>
              <w:right w:val="nil"/>
            </w:tcBorders>
            <w:shd w:val="clear" w:color="auto" w:fill="FFFFFF" w:themeFill="background1"/>
            <w:vAlign w:val="center"/>
          </w:tcPr>
          <w:p w14:paraId="4A4B5EA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w:t>
            </w:r>
          </w:p>
        </w:tc>
        <w:tc>
          <w:tcPr>
            <w:tcW w:w="567" w:type="dxa"/>
            <w:tcBorders>
              <w:top w:val="nil"/>
              <w:left w:val="nil"/>
              <w:bottom w:val="nil"/>
              <w:right w:val="nil"/>
            </w:tcBorders>
            <w:shd w:val="clear" w:color="auto" w:fill="FFFFFF" w:themeFill="background1"/>
            <w:vAlign w:val="center"/>
          </w:tcPr>
          <w:p w14:paraId="487B206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14.7</w:t>
            </w:r>
          </w:p>
        </w:tc>
        <w:tc>
          <w:tcPr>
            <w:tcW w:w="1146" w:type="dxa"/>
            <w:tcBorders>
              <w:top w:val="nil"/>
              <w:left w:val="nil"/>
              <w:bottom w:val="nil"/>
              <w:right w:val="single" w:sz="4" w:space="0" w:color="000000"/>
            </w:tcBorders>
            <w:shd w:val="clear" w:color="auto" w:fill="FFFFFF" w:themeFill="background1"/>
            <w:vAlign w:val="center"/>
          </w:tcPr>
          <w:p w14:paraId="36980E2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(9.5, 19.9)</w:t>
            </w:r>
          </w:p>
        </w:tc>
        <w:tc>
          <w:tcPr>
            <w:tcW w:w="456" w:type="dxa"/>
            <w:tcBorders>
              <w:top w:val="nil"/>
              <w:left w:val="single" w:sz="4" w:space="0" w:color="000000"/>
              <w:bottom w:val="nil"/>
              <w:right w:val="nil"/>
            </w:tcBorders>
            <w:shd w:val="clear" w:color="auto" w:fill="FFFFFF" w:themeFill="background1"/>
            <w:vAlign w:val="center"/>
          </w:tcPr>
          <w:p w14:paraId="0263C11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w:t>
            </w:r>
          </w:p>
        </w:tc>
        <w:tc>
          <w:tcPr>
            <w:tcW w:w="621" w:type="dxa"/>
            <w:tcBorders>
              <w:top w:val="nil"/>
              <w:left w:val="nil"/>
              <w:bottom w:val="nil"/>
              <w:right w:val="nil"/>
            </w:tcBorders>
            <w:shd w:val="clear" w:color="auto" w:fill="FFFFFF" w:themeFill="background1"/>
            <w:vAlign w:val="center"/>
          </w:tcPr>
          <w:p w14:paraId="47F4524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22.0</w:t>
            </w:r>
          </w:p>
        </w:tc>
        <w:tc>
          <w:tcPr>
            <w:tcW w:w="1146" w:type="dxa"/>
            <w:tcBorders>
              <w:top w:val="nil"/>
              <w:left w:val="nil"/>
              <w:bottom w:val="nil"/>
              <w:right w:val="nil"/>
            </w:tcBorders>
            <w:shd w:val="clear" w:color="auto" w:fill="FFFFFF" w:themeFill="background1"/>
            <w:vAlign w:val="center"/>
          </w:tcPr>
          <w:p w14:paraId="0306028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(13.8, 30.2)</w:t>
            </w:r>
          </w:p>
        </w:tc>
      </w:tr>
      <w:tr w:rsidR="009118DA" w:rsidRPr="00D76D7F" w14:paraId="6163BB5E"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997" w:type="dxa"/>
            <w:tcBorders>
              <w:top w:val="nil"/>
              <w:left w:val="nil"/>
              <w:bottom w:val="single" w:sz="4" w:space="0" w:color="auto"/>
              <w:right w:val="nil"/>
            </w:tcBorders>
          </w:tcPr>
          <w:p w14:paraId="0C2878B0"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With several people/a group</w:t>
            </w:r>
          </w:p>
        </w:tc>
        <w:tc>
          <w:tcPr>
            <w:tcW w:w="536" w:type="dxa"/>
            <w:tcBorders>
              <w:top w:val="nil"/>
              <w:left w:val="nil"/>
              <w:bottom w:val="single" w:sz="4" w:space="0" w:color="auto"/>
              <w:right w:val="nil"/>
            </w:tcBorders>
            <w:noWrap/>
            <w:vAlign w:val="center"/>
          </w:tcPr>
          <w:p w14:paraId="07AA9EE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40</w:t>
            </w:r>
          </w:p>
        </w:tc>
        <w:tc>
          <w:tcPr>
            <w:tcW w:w="567" w:type="dxa"/>
            <w:tcBorders>
              <w:top w:val="nil"/>
              <w:left w:val="nil"/>
              <w:bottom w:val="single" w:sz="4" w:space="0" w:color="auto"/>
              <w:right w:val="nil"/>
            </w:tcBorders>
            <w:noWrap/>
            <w:vAlign w:val="center"/>
          </w:tcPr>
          <w:p w14:paraId="379EC8C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22.3</w:t>
            </w:r>
          </w:p>
        </w:tc>
        <w:tc>
          <w:tcPr>
            <w:tcW w:w="1146" w:type="dxa"/>
            <w:tcBorders>
              <w:top w:val="nil"/>
              <w:left w:val="nil"/>
              <w:bottom w:val="single" w:sz="4" w:space="0" w:color="auto"/>
              <w:right w:val="single" w:sz="4" w:space="0" w:color="auto"/>
            </w:tcBorders>
            <w:noWrap/>
            <w:vAlign w:val="center"/>
          </w:tcPr>
          <w:p w14:paraId="6189515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(17.8, 26.9)</w:t>
            </w:r>
          </w:p>
        </w:tc>
        <w:tc>
          <w:tcPr>
            <w:tcW w:w="456" w:type="dxa"/>
            <w:tcBorders>
              <w:top w:val="nil"/>
              <w:left w:val="single" w:sz="4" w:space="0" w:color="auto"/>
              <w:bottom w:val="single" w:sz="4" w:space="0" w:color="auto"/>
              <w:right w:val="nil"/>
            </w:tcBorders>
            <w:noWrap/>
            <w:vAlign w:val="center"/>
          </w:tcPr>
          <w:p w14:paraId="6C0312C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26</w:t>
            </w:r>
          </w:p>
        </w:tc>
        <w:tc>
          <w:tcPr>
            <w:tcW w:w="621" w:type="dxa"/>
            <w:tcBorders>
              <w:top w:val="nil"/>
              <w:left w:val="nil"/>
              <w:bottom w:val="single" w:sz="4" w:space="0" w:color="auto"/>
              <w:right w:val="nil"/>
            </w:tcBorders>
            <w:noWrap/>
            <w:vAlign w:val="center"/>
          </w:tcPr>
          <w:p w14:paraId="4CF5679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27.5</w:t>
            </w:r>
          </w:p>
        </w:tc>
        <w:tc>
          <w:tcPr>
            <w:tcW w:w="1146" w:type="dxa"/>
            <w:tcBorders>
              <w:top w:val="nil"/>
              <w:left w:val="nil"/>
              <w:bottom w:val="single" w:sz="4" w:space="0" w:color="auto"/>
              <w:right w:val="single" w:sz="4" w:space="0" w:color="000000"/>
            </w:tcBorders>
            <w:shd w:val="clear" w:color="auto" w:fill="FFFFFF" w:themeFill="background1"/>
            <w:noWrap/>
            <w:vAlign w:val="center"/>
          </w:tcPr>
          <w:p w14:paraId="7D94D8C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(20.7, 34.3)</w:t>
            </w:r>
          </w:p>
        </w:tc>
        <w:tc>
          <w:tcPr>
            <w:tcW w:w="456" w:type="dxa"/>
            <w:tcBorders>
              <w:top w:val="nil"/>
              <w:left w:val="single" w:sz="4" w:space="0" w:color="000000"/>
              <w:bottom w:val="single" w:sz="4" w:space="0" w:color="auto"/>
              <w:right w:val="nil"/>
            </w:tcBorders>
            <w:shd w:val="clear" w:color="auto" w:fill="FFFFFF" w:themeFill="background1"/>
            <w:vAlign w:val="center"/>
          </w:tcPr>
          <w:p w14:paraId="524C8BC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29</w:t>
            </w:r>
          </w:p>
        </w:tc>
        <w:tc>
          <w:tcPr>
            <w:tcW w:w="567" w:type="dxa"/>
            <w:tcBorders>
              <w:top w:val="nil"/>
              <w:left w:val="nil"/>
              <w:bottom w:val="single" w:sz="4" w:space="0" w:color="auto"/>
              <w:right w:val="nil"/>
            </w:tcBorders>
            <w:shd w:val="clear" w:color="auto" w:fill="FFFFFF" w:themeFill="background1"/>
            <w:vAlign w:val="center"/>
          </w:tcPr>
          <w:p w14:paraId="5D9C251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35.6</w:t>
            </w:r>
          </w:p>
        </w:tc>
        <w:tc>
          <w:tcPr>
            <w:tcW w:w="1146" w:type="dxa"/>
            <w:tcBorders>
              <w:top w:val="nil"/>
              <w:left w:val="nil"/>
              <w:bottom w:val="single" w:sz="4" w:space="0" w:color="auto"/>
              <w:right w:val="single" w:sz="4" w:space="0" w:color="000000"/>
            </w:tcBorders>
            <w:shd w:val="clear" w:color="auto" w:fill="FFFFFF" w:themeFill="background1"/>
            <w:vAlign w:val="center"/>
          </w:tcPr>
          <w:p w14:paraId="4A47D99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(27.5, 43.6)</w:t>
            </w:r>
          </w:p>
        </w:tc>
        <w:tc>
          <w:tcPr>
            <w:tcW w:w="456" w:type="dxa"/>
            <w:tcBorders>
              <w:top w:val="nil"/>
              <w:left w:val="single" w:sz="4" w:space="0" w:color="000000"/>
              <w:bottom w:val="single" w:sz="4" w:space="0" w:color="auto"/>
              <w:right w:val="nil"/>
            </w:tcBorders>
            <w:shd w:val="clear" w:color="auto" w:fill="FFFFFF" w:themeFill="background1"/>
            <w:vAlign w:val="center"/>
          </w:tcPr>
          <w:p w14:paraId="417367D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w:t>
            </w:r>
          </w:p>
        </w:tc>
        <w:tc>
          <w:tcPr>
            <w:tcW w:w="621" w:type="dxa"/>
            <w:tcBorders>
              <w:top w:val="nil"/>
              <w:left w:val="nil"/>
              <w:bottom w:val="single" w:sz="4" w:space="0" w:color="auto"/>
              <w:right w:val="nil"/>
            </w:tcBorders>
            <w:shd w:val="clear" w:color="auto" w:fill="FFFFFF" w:themeFill="background1"/>
            <w:vAlign w:val="center"/>
          </w:tcPr>
          <w:p w14:paraId="0362C7B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28.2</w:t>
            </w:r>
          </w:p>
        </w:tc>
        <w:tc>
          <w:tcPr>
            <w:tcW w:w="1146" w:type="dxa"/>
            <w:tcBorders>
              <w:top w:val="nil"/>
              <w:left w:val="nil"/>
              <w:bottom w:val="single" w:sz="4" w:space="0" w:color="auto"/>
              <w:right w:val="nil"/>
            </w:tcBorders>
            <w:shd w:val="clear" w:color="auto" w:fill="FFFFFF" w:themeFill="background1"/>
            <w:vAlign w:val="center"/>
          </w:tcPr>
          <w:p w14:paraId="7F93BA6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(19.7, 36.7)</w:t>
            </w:r>
          </w:p>
        </w:tc>
      </w:tr>
    </w:tbl>
    <w:p w14:paraId="4A17E1FC" w14:textId="77777777" w:rsidR="003D7BB5" w:rsidRPr="00D76D7F" w:rsidRDefault="003D7BB5" w:rsidP="003D7BB5">
      <w:pPr>
        <w:ind w:left="567"/>
        <w:rPr>
          <w:sz w:val="18"/>
        </w:rPr>
      </w:pPr>
      <w:r w:rsidRPr="00D76D7F">
        <w:rPr>
          <w:sz w:val="18"/>
        </w:rPr>
        <w:t>Data weighted for 2013 Census data (all waves) and attrition (Waves 2, 3 and 4)</w:t>
      </w:r>
    </w:p>
    <w:p w14:paraId="11455C6A" w14:textId="77777777" w:rsidR="003D7BB5" w:rsidRPr="00D76D7F" w:rsidRDefault="003D7BB5" w:rsidP="003D7BB5">
      <w:pPr>
        <w:pStyle w:val="RepNormal"/>
        <w:ind w:left="567"/>
        <w:rPr>
          <w:sz w:val="18"/>
        </w:rPr>
      </w:pPr>
      <w:r w:rsidRPr="00D76D7F">
        <w:rPr>
          <w:sz w:val="18"/>
        </w:rPr>
        <w:t>Wave 1 N=6,251; Wave 2 N=3,745; Wave 3 N=3,115; Wave 4 N=2,770</w:t>
      </w:r>
    </w:p>
    <w:p w14:paraId="2CF6F625" w14:textId="77777777" w:rsidR="003D7BB5" w:rsidRDefault="003D7BB5" w:rsidP="003D7BB5">
      <w:pPr>
        <w:ind w:left="567"/>
        <w:rPr>
          <w:rFonts w:eastAsiaTheme="minorEastAsia"/>
          <w:sz w:val="16"/>
          <w:szCs w:val="18"/>
          <w:lang w:eastAsia="en-US"/>
        </w:rPr>
      </w:pPr>
      <w:r w:rsidRPr="00D76D7F">
        <w:rPr>
          <w:rFonts w:eastAsiaTheme="minorEastAsia"/>
          <w:b/>
          <w:sz w:val="18"/>
          <w:szCs w:val="18"/>
          <w:vertAlign w:val="superscript"/>
          <w:lang w:eastAsia="en-US"/>
        </w:rPr>
        <w:t>†</w:t>
      </w:r>
      <w:r w:rsidRPr="00D76D7F">
        <w:rPr>
          <w:rFonts w:eastAsiaTheme="minorEastAsia"/>
          <w:b/>
          <w:sz w:val="18"/>
          <w:szCs w:val="18"/>
          <w:lang w:eastAsia="en-US"/>
        </w:rPr>
        <w:t xml:space="preserve"> </w:t>
      </w:r>
      <w:r w:rsidRPr="00D76D7F">
        <w:rPr>
          <w:rFonts w:eastAsiaTheme="minorEastAsia"/>
          <w:sz w:val="18"/>
          <w:szCs w:val="18"/>
          <w:lang w:eastAsia="en-US"/>
        </w:rPr>
        <w:t>Not included in other overseas categories</w:t>
      </w:r>
      <w:r>
        <w:rPr>
          <w:rFonts w:eastAsiaTheme="minorEastAsia"/>
          <w:sz w:val="16"/>
          <w:szCs w:val="18"/>
          <w:lang w:eastAsia="en-US"/>
        </w:rPr>
        <w:tab/>
      </w:r>
    </w:p>
    <w:p w14:paraId="194DC6A8" w14:textId="77777777" w:rsidR="003D7BB5" w:rsidRPr="00ED1E40" w:rsidRDefault="003D7BB5" w:rsidP="003D7BB5">
      <w:pPr>
        <w:spacing w:after="200" w:line="276" w:lineRule="auto"/>
        <w:ind w:left="567"/>
        <w:rPr>
          <w:sz w:val="18"/>
        </w:rPr>
      </w:pPr>
      <w:r w:rsidRPr="00ED1E40">
        <w:rPr>
          <w:sz w:val="18"/>
        </w:rPr>
        <w:t>! Meaningful confidence intervals not calculable due to small sample size</w:t>
      </w:r>
    </w:p>
    <w:p w14:paraId="57CACD02" w14:textId="77777777" w:rsidR="003D7BB5" w:rsidRDefault="003D7BB5">
      <w:pPr>
        <w:spacing w:after="200" w:line="276" w:lineRule="auto"/>
        <w:rPr>
          <w:rFonts w:eastAsiaTheme="majorEastAsia" w:cstheme="majorBidi"/>
          <w:b/>
          <w:bCs/>
          <w:caps/>
          <w:szCs w:val="28"/>
          <w:lang w:eastAsia="en-US"/>
        </w:rPr>
      </w:pPr>
      <w:r>
        <w:rPr>
          <w:rFonts w:eastAsiaTheme="majorEastAsia" w:cstheme="majorBidi"/>
          <w:b/>
          <w:bCs/>
          <w:caps/>
          <w:szCs w:val="28"/>
          <w:lang w:eastAsia="en-US"/>
        </w:rPr>
        <w:br w:type="page"/>
      </w:r>
    </w:p>
    <w:p w14:paraId="1A27A57D" w14:textId="77777777" w:rsidR="003D7BB5" w:rsidRDefault="003D7BB5" w:rsidP="003D7BB5">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rPr>
          <w:rFonts w:cs="Times New Roman"/>
          <w:caps w:val="0"/>
        </w:rPr>
      </w:pPr>
      <w:bookmarkStart w:id="203" w:name="_Toc504488405"/>
      <w:r>
        <w:t>APPENDIX 12:</w:t>
      </w:r>
      <w:r>
        <w:br/>
      </w:r>
      <w:r>
        <w:rPr>
          <w:rFonts w:cs="Times New Roman"/>
          <w:caps w:val="0"/>
        </w:rPr>
        <w:t>Gambling behaviour in Waves 1, 2, 3 and 4 - Asian</w:t>
      </w:r>
      <w:bookmarkEnd w:id="203"/>
    </w:p>
    <w:p w14:paraId="7E046521" w14:textId="77777777" w:rsidR="003D7BB5" w:rsidRPr="00BA05A5" w:rsidRDefault="003D7BB5" w:rsidP="003D7BB5"/>
    <w:tbl>
      <w:tblPr>
        <w:tblStyle w:val="LightShading4"/>
        <w:tblW w:w="12489" w:type="dxa"/>
        <w:jc w:val="center"/>
        <w:tblLayout w:type="fixed"/>
        <w:tblLook w:val="06A0" w:firstRow="1" w:lastRow="0" w:firstColumn="1" w:lastColumn="0" w:noHBand="1" w:noVBand="1"/>
      </w:tblPr>
      <w:tblGrid>
        <w:gridCol w:w="3430"/>
        <w:gridCol w:w="536"/>
        <w:gridCol w:w="567"/>
        <w:gridCol w:w="1146"/>
        <w:gridCol w:w="536"/>
        <w:gridCol w:w="621"/>
        <w:gridCol w:w="1146"/>
        <w:gridCol w:w="536"/>
        <w:gridCol w:w="567"/>
        <w:gridCol w:w="1146"/>
        <w:gridCol w:w="536"/>
        <w:gridCol w:w="576"/>
        <w:gridCol w:w="1146"/>
      </w:tblGrid>
      <w:tr w:rsidR="003D7BB5" w:rsidRPr="00D76D7F" w14:paraId="64C46039" w14:textId="77777777" w:rsidTr="00DD0F2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430" w:type="dxa"/>
            <w:vMerge w:val="restart"/>
            <w:tcBorders>
              <w:bottom w:val="single" w:sz="4" w:space="0" w:color="auto"/>
            </w:tcBorders>
            <w:vAlign w:val="bottom"/>
            <w:hideMark/>
          </w:tcPr>
          <w:p w14:paraId="09A89016" w14:textId="77777777" w:rsidR="003D7BB5" w:rsidRPr="00D76D7F" w:rsidRDefault="003D7BB5" w:rsidP="00DD0F28">
            <w:pPr>
              <w:spacing w:before="20" w:after="20"/>
              <w:rPr>
                <w:rFonts w:eastAsiaTheme="minorEastAsia"/>
                <w:sz w:val="18"/>
                <w:szCs w:val="18"/>
                <w:lang w:eastAsia="en-US"/>
              </w:rPr>
            </w:pPr>
            <w:r w:rsidRPr="00D76D7F">
              <w:rPr>
                <w:rFonts w:eastAsiaTheme="minorEastAsia"/>
                <w:sz w:val="18"/>
                <w:szCs w:val="18"/>
              </w:rPr>
              <w:t>Gambling participation-related variables</w:t>
            </w:r>
          </w:p>
        </w:tc>
        <w:tc>
          <w:tcPr>
            <w:tcW w:w="2249" w:type="dxa"/>
            <w:gridSpan w:val="3"/>
            <w:tcBorders>
              <w:bottom w:val="single" w:sz="4" w:space="0" w:color="auto"/>
              <w:right w:val="single" w:sz="4" w:space="0" w:color="auto"/>
            </w:tcBorders>
            <w:noWrap/>
            <w:vAlign w:val="center"/>
            <w:hideMark/>
          </w:tcPr>
          <w:p w14:paraId="22AC6174" w14:textId="77777777" w:rsidR="003D7BB5" w:rsidRPr="00D76D7F" w:rsidRDefault="003D7BB5" w:rsidP="00DD0F2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8"/>
                <w:szCs w:val="18"/>
                <w:lang w:eastAsia="en-US"/>
              </w:rPr>
            </w:pPr>
            <w:r w:rsidRPr="00D76D7F">
              <w:rPr>
                <w:rFonts w:eastAsiaTheme="minorEastAsia"/>
                <w:sz w:val="18"/>
                <w:szCs w:val="18"/>
              </w:rPr>
              <w:t>Wave 1</w:t>
            </w:r>
          </w:p>
        </w:tc>
        <w:tc>
          <w:tcPr>
            <w:tcW w:w="2303" w:type="dxa"/>
            <w:gridSpan w:val="3"/>
            <w:tcBorders>
              <w:left w:val="single" w:sz="4" w:space="0" w:color="auto"/>
              <w:bottom w:val="single" w:sz="4" w:space="0" w:color="auto"/>
            </w:tcBorders>
            <w:vAlign w:val="center"/>
          </w:tcPr>
          <w:p w14:paraId="4A23613A" w14:textId="77777777" w:rsidR="003D7BB5" w:rsidRPr="00D76D7F" w:rsidRDefault="003D7BB5" w:rsidP="00DD0F2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D76D7F">
              <w:rPr>
                <w:rFonts w:eastAsiaTheme="minorEastAsia"/>
                <w:sz w:val="18"/>
                <w:szCs w:val="18"/>
                <w:lang w:eastAsia="en-US"/>
              </w:rPr>
              <w:t>Wave 2</w:t>
            </w:r>
          </w:p>
        </w:tc>
        <w:tc>
          <w:tcPr>
            <w:tcW w:w="2249" w:type="dxa"/>
            <w:gridSpan w:val="3"/>
            <w:tcBorders>
              <w:left w:val="single" w:sz="4" w:space="0" w:color="auto"/>
              <w:bottom w:val="single" w:sz="4" w:space="0" w:color="auto"/>
            </w:tcBorders>
          </w:tcPr>
          <w:p w14:paraId="4A55CFDA" w14:textId="77777777" w:rsidR="003D7BB5" w:rsidRPr="00D76D7F" w:rsidRDefault="003D7BB5" w:rsidP="00DD0F2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D76D7F">
              <w:rPr>
                <w:rFonts w:eastAsiaTheme="minorEastAsia"/>
                <w:sz w:val="18"/>
                <w:szCs w:val="18"/>
                <w:lang w:eastAsia="en-US"/>
              </w:rPr>
              <w:t>Wave 3</w:t>
            </w:r>
          </w:p>
        </w:tc>
        <w:tc>
          <w:tcPr>
            <w:tcW w:w="2258" w:type="dxa"/>
            <w:gridSpan w:val="3"/>
            <w:tcBorders>
              <w:left w:val="single" w:sz="4" w:space="0" w:color="auto"/>
              <w:bottom w:val="single" w:sz="4" w:space="0" w:color="auto"/>
            </w:tcBorders>
          </w:tcPr>
          <w:p w14:paraId="5913B99B" w14:textId="77777777" w:rsidR="003D7BB5" w:rsidRPr="00D76D7F" w:rsidRDefault="003D7BB5" w:rsidP="00DD0F2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D76D7F">
              <w:rPr>
                <w:rFonts w:eastAsiaTheme="minorEastAsia"/>
                <w:sz w:val="18"/>
                <w:szCs w:val="18"/>
                <w:lang w:eastAsia="en-US"/>
              </w:rPr>
              <w:t>Wave 4</w:t>
            </w:r>
          </w:p>
        </w:tc>
      </w:tr>
      <w:tr w:rsidR="003D7BB5" w:rsidRPr="00D76D7F" w14:paraId="4ABE437D" w14:textId="77777777" w:rsidTr="00DD0F2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430" w:type="dxa"/>
            <w:vMerge/>
            <w:tcBorders>
              <w:bottom w:val="single" w:sz="4" w:space="0" w:color="auto"/>
            </w:tcBorders>
            <w:vAlign w:val="center"/>
            <w:hideMark/>
          </w:tcPr>
          <w:p w14:paraId="5CAC60A5" w14:textId="77777777" w:rsidR="003D7BB5" w:rsidRPr="00D76D7F" w:rsidRDefault="003D7BB5" w:rsidP="00DD0F28">
            <w:pPr>
              <w:spacing w:before="20" w:after="20"/>
              <w:rPr>
                <w:rFonts w:eastAsiaTheme="minorEastAsia"/>
                <w:sz w:val="18"/>
                <w:szCs w:val="18"/>
                <w:lang w:eastAsia="en-US"/>
              </w:rPr>
            </w:pPr>
          </w:p>
        </w:tc>
        <w:tc>
          <w:tcPr>
            <w:tcW w:w="536" w:type="dxa"/>
            <w:tcBorders>
              <w:top w:val="single" w:sz="4" w:space="0" w:color="auto"/>
              <w:bottom w:val="single" w:sz="4" w:space="0" w:color="auto"/>
            </w:tcBorders>
            <w:noWrap/>
            <w:vAlign w:val="center"/>
            <w:hideMark/>
          </w:tcPr>
          <w:p w14:paraId="5C047008" w14:textId="77777777" w:rsidR="003D7BB5" w:rsidRPr="00D76D7F"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rPr>
              <w:t>n</w:t>
            </w:r>
          </w:p>
        </w:tc>
        <w:tc>
          <w:tcPr>
            <w:tcW w:w="567" w:type="dxa"/>
            <w:tcBorders>
              <w:top w:val="single" w:sz="4" w:space="0" w:color="auto"/>
              <w:bottom w:val="single" w:sz="4" w:space="0" w:color="auto"/>
            </w:tcBorders>
            <w:noWrap/>
            <w:vAlign w:val="center"/>
            <w:hideMark/>
          </w:tcPr>
          <w:p w14:paraId="314AD7CC" w14:textId="77777777" w:rsidR="003D7BB5" w:rsidRPr="00D76D7F"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rPr>
              <w:t>%</w:t>
            </w:r>
          </w:p>
        </w:tc>
        <w:tc>
          <w:tcPr>
            <w:tcW w:w="1146" w:type="dxa"/>
            <w:tcBorders>
              <w:top w:val="single" w:sz="4" w:space="0" w:color="auto"/>
              <w:bottom w:val="single" w:sz="4" w:space="0" w:color="auto"/>
              <w:right w:val="single" w:sz="4" w:space="0" w:color="auto"/>
            </w:tcBorders>
            <w:noWrap/>
            <w:vAlign w:val="center"/>
          </w:tcPr>
          <w:p w14:paraId="1F456E60" w14:textId="77777777" w:rsidR="003D7BB5" w:rsidRPr="00D76D7F"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(95% CI)</w:t>
            </w:r>
          </w:p>
        </w:tc>
        <w:tc>
          <w:tcPr>
            <w:tcW w:w="536" w:type="dxa"/>
            <w:tcBorders>
              <w:top w:val="single" w:sz="4" w:space="0" w:color="auto"/>
              <w:left w:val="single" w:sz="4" w:space="0" w:color="auto"/>
              <w:bottom w:val="single" w:sz="4" w:space="0" w:color="auto"/>
            </w:tcBorders>
            <w:noWrap/>
            <w:vAlign w:val="center"/>
          </w:tcPr>
          <w:p w14:paraId="45A8145E" w14:textId="77777777" w:rsidR="003D7BB5" w:rsidRPr="00D76D7F"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n</w:t>
            </w:r>
          </w:p>
        </w:tc>
        <w:tc>
          <w:tcPr>
            <w:tcW w:w="621" w:type="dxa"/>
            <w:tcBorders>
              <w:top w:val="single" w:sz="4" w:space="0" w:color="auto"/>
              <w:bottom w:val="single" w:sz="4" w:space="0" w:color="auto"/>
            </w:tcBorders>
            <w:noWrap/>
            <w:vAlign w:val="center"/>
          </w:tcPr>
          <w:p w14:paraId="5C223C87" w14:textId="77777777" w:rsidR="003D7BB5" w:rsidRPr="00D76D7F"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w:t>
            </w:r>
          </w:p>
        </w:tc>
        <w:tc>
          <w:tcPr>
            <w:tcW w:w="1146" w:type="dxa"/>
            <w:tcBorders>
              <w:top w:val="single" w:sz="4" w:space="0" w:color="auto"/>
              <w:bottom w:val="single" w:sz="4" w:space="0" w:color="auto"/>
              <w:right w:val="single" w:sz="4" w:space="0" w:color="000000"/>
            </w:tcBorders>
            <w:shd w:val="clear" w:color="auto" w:fill="FFFFFF" w:themeFill="background1"/>
            <w:noWrap/>
            <w:vAlign w:val="center"/>
          </w:tcPr>
          <w:p w14:paraId="2878F3D7" w14:textId="77777777" w:rsidR="003D7BB5" w:rsidRPr="00D76D7F"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D76D7F">
              <w:rPr>
                <w:rFonts w:eastAsiaTheme="minorEastAsia"/>
                <w:sz w:val="18"/>
                <w:szCs w:val="18"/>
                <w:lang w:eastAsia="en-US"/>
              </w:rPr>
              <w:t>(95% CI)</w:t>
            </w:r>
          </w:p>
        </w:tc>
        <w:tc>
          <w:tcPr>
            <w:tcW w:w="536" w:type="dxa"/>
            <w:tcBorders>
              <w:top w:val="single" w:sz="4" w:space="0" w:color="auto"/>
              <w:left w:val="single" w:sz="4" w:space="0" w:color="000000"/>
              <w:bottom w:val="single" w:sz="4" w:space="0" w:color="auto"/>
            </w:tcBorders>
            <w:shd w:val="clear" w:color="auto" w:fill="FFFFFF" w:themeFill="background1"/>
            <w:vAlign w:val="center"/>
          </w:tcPr>
          <w:p w14:paraId="432F4F0E" w14:textId="77777777" w:rsidR="003D7BB5" w:rsidRPr="00D76D7F"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n</w:t>
            </w:r>
          </w:p>
        </w:tc>
        <w:tc>
          <w:tcPr>
            <w:tcW w:w="567" w:type="dxa"/>
            <w:tcBorders>
              <w:top w:val="single" w:sz="4" w:space="0" w:color="auto"/>
              <w:bottom w:val="single" w:sz="4" w:space="0" w:color="auto"/>
            </w:tcBorders>
            <w:shd w:val="clear" w:color="auto" w:fill="FFFFFF" w:themeFill="background1"/>
            <w:vAlign w:val="center"/>
          </w:tcPr>
          <w:p w14:paraId="08F89EA9" w14:textId="77777777" w:rsidR="003D7BB5" w:rsidRPr="00D76D7F"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w:t>
            </w:r>
          </w:p>
        </w:tc>
        <w:tc>
          <w:tcPr>
            <w:tcW w:w="1146" w:type="dxa"/>
            <w:tcBorders>
              <w:top w:val="single" w:sz="4" w:space="0" w:color="auto"/>
              <w:bottom w:val="single" w:sz="4" w:space="0" w:color="auto"/>
              <w:right w:val="single" w:sz="4" w:space="0" w:color="000000"/>
            </w:tcBorders>
            <w:shd w:val="clear" w:color="auto" w:fill="FFFFFF" w:themeFill="background1"/>
            <w:vAlign w:val="center"/>
          </w:tcPr>
          <w:p w14:paraId="44EB7350" w14:textId="77777777" w:rsidR="003D7BB5" w:rsidRPr="00D76D7F"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D76D7F">
              <w:rPr>
                <w:rFonts w:eastAsiaTheme="minorEastAsia"/>
                <w:sz w:val="18"/>
                <w:szCs w:val="18"/>
                <w:lang w:eastAsia="en-US"/>
              </w:rPr>
              <w:t>(95% CI)</w:t>
            </w:r>
          </w:p>
        </w:tc>
        <w:tc>
          <w:tcPr>
            <w:tcW w:w="536" w:type="dxa"/>
            <w:tcBorders>
              <w:top w:val="single" w:sz="4" w:space="0" w:color="auto"/>
              <w:left w:val="single" w:sz="4" w:space="0" w:color="000000"/>
              <w:bottom w:val="single" w:sz="4" w:space="0" w:color="auto"/>
            </w:tcBorders>
            <w:shd w:val="clear" w:color="auto" w:fill="FFFFFF" w:themeFill="background1"/>
            <w:vAlign w:val="center"/>
          </w:tcPr>
          <w:p w14:paraId="17B3AD90" w14:textId="77777777" w:rsidR="003D7BB5" w:rsidRPr="00D76D7F"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n</w:t>
            </w:r>
          </w:p>
        </w:tc>
        <w:tc>
          <w:tcPr>
            <w:tcW w:w="576" w:type="dxa"/>
            <w:tcBorders>
              <w:top w:val="single" w:sz="4" w:space="0" w:color="auto"/>
              <w:bottom w:val="single" w:sz="4" w:space="0" w:color="auto"/>
            </w:tcBorders>
            <w:shd w:val="clear" w:color="auto" w:fill="FFFFFF" w:themeFill="background1"/>
            <w:vAlign w:val="center"/>
          </w:tcPr>
          <w:p w14:paraId="63163D8F" w14:textId="77777777" w:rsidR="003D7BB5" w:rsidRPr="00D76D7F"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w:t>
            </w:r>
          </w:p>
        </w:tc>
        <w:tc>
          <w:tcPr>
            <w:tcW w:w="1146" w:type="dxa"/>
            <w:tcBorders>
              <w:top w:val="single" w:sz="4" w:space="0" w:color="auto"/>
              <w:bottom w:val="single" w:sz="4" w:space="0" w:color="auto"/>
            </w:tcBorders>
            <w:shd w:val="clear" w:color="auto" w:fill="FFFFFF" w:themeFill="background1"/>
            <w:vAlign w:val="center"/>
          </w:tcPr>
          <w:p w14:paraId="67448564" w14:textId="77777777" w:rsidR="003D7BB5" w:rsidRPr="00D76D7F"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D76D7F">
              <w:rPr>
                <w:rFonts w:eastAsiaTheme="minorEastAsia"/>
                <w:sz w:val="18"/>
                <w:szCs w:val="18"/>
                <w:lang w:eastAsia="en-US"/>
              </w:rPr>
              <w:t>(95% CI)</w:t>
            </w:r>
          </w:p>
        </w:tc>
      </w:tr>
      <w:tr w:rsidR="003D7BB5" w:rsidRPr="00D76D7F" w14:paraId="35D85FA4"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4533" w:type="dxa"/>
            <w:gridSpan w:val="3"/>
            <w:tcBorders>
              <w:top w:val="nil"/>
              <w:left w:val="nil"/>
              <w:bottom w:val="nil"/>
              <w:right w:val="nil"/>
            </w:tcBorders>
            <w:vAlign w:val="center"/>
          </w:tcPr>
          <w:p w14:paraId="002FFD69" w14:textId="77777777" w:rsidR="003D7BB5" w:rsidRPr="00D76D7F" w:rsidRDefault="003D7BB5" w:rsidP="00DD0F28">
            <w:pPr>
              <w:spacing w:before="20" w:after="20"/>
              <w:rPr>
                <w:rFonts w:eastAsiaTheme="minorEastAsia"/>
                <w:sz w:val="18"/>
                <w:szCs w:val="18"/>
                <w:lang w:eastAsia="en-US"/>
              </w:rPr>
            </w:pPr>
            <w:r w:rsidRPr="00D76D7F">
              <w:rPr>
                <w:rFonts w:eastAsiaTheme="minorEastAsia"/>
                <w:sz w:val="18"/>
                <w:szCs w:val="18"/>
                <w:lang w:eastAsia="en-US"/>
              </w:rPr>
              <w:t>Number of gambling activities participated in</w:t>
            </w:r>
          </w:p>
        </w:tc>
        <w:tc>
          <w:tcPr>
            <w:tcW w:w="1146" w:type="dxa"/>
            <w:tcBorders>
              <w:top w:val="nil"/>
              <w:left w:val="nil"/>
              <w:bottom w:val="nil"/>
              <w:right w:val="single" w:sz="4" w:space="0" w:color="auto"/>
            </w:tcBorders>
            <w:noWrap/>
            <w:vAlign w:val="center"/>
          </w:tcPr>
          <w:p w14:paraId="4C19674E" w14:textId="77777777" w:rsidR="003D7BB5" w:rsidRPr="00D76D7F"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36" w:type="dxa"/>
            <w:tcBorders>
              <w:top w:val="nil"/>
              <w:left w:val="single" w:sz="4" w:space="0" w:color="auto"/>
              <w:bottom w:val="nil"/>
              <w:right w:val="nil"/>
            </w:tcBorders>
            <w:noWrap/>
            <w:vAlign w:val="center"/>
          </w:tcPr>
          <w:p w14:paraId="059D0417" w14:textId="77777777" w:rsidR="003D7BB5" w:rsidRPr="00D76D7F"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nil"/>
              <w:left w:val="nil"/>
              <w:bottom w:val="nil"/>
              <w:right w:val="nil"/>
            </w:tcBorders>
            <w:noWrap/>
            <w:vAlign w:val="center"/>
          </w:tcPr>
          <w:p w14:paraId="73B2A5AB" w14:textId="77777777" w:rsidR="003D7BB5" w:rsidRPr="00D76D7F"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FFFFFF" w:themeFill="background1"/>
            <w:noWrap/>
            <w:vAlign w:val="center"/>
          </w:tcPr>
          <w:p w14:paraId="278A7D9E" w14:textId="77777777" w:rsidR="003D7BB5" w:rsidRPr="00D76D7F"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36" w:type="dxa"/>
            <w:tcBorders>
              <w:top w:val="nil"/>
              <w:left w:val="single" w:sz="4" w:space="0" w:color="000000"/>
              <w:bottom w:val="nil"/>
              <w:right w:val="nil"/>
            </w:tcBorders>
            <w:vAlign w:val="center"/>
          </w:tcPr>
          <w:p w14:paraId="0701F0D7" w14:textId="77777777" w:rsidR="003D7BB5" w:rsidRPr="00D76D7F"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67" w:type="dxa"/>
            <w:tcBorders>
              <w:top w:val="nil"/>
              <w:left w:val="nil"/>
              <w:bottom w:val="nil"/>
              <w:right w:val="nil"/>
            </w:tcBorders>
            <w:vAlign w:val="center"/>
          </w:tcPr>
          <w:p w14:paraId="708124CB" w14:textId="77777777" w:rsidR="003D7BB5" w:rsidRPr="00D76D7F"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single" w:sz="4" w:space="0" w:color="000000"/>
            </w:tcBorders>
            <w:vAlign w:val="center"/>
          </w:tcPr>
          <w:p w14:paraId="256D84E5" w14:textId="77777777" w:rsidR="003D7BB5" w:rsidRPr="00D76D7F"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36" w:type="dxa"/>
            <w:tcBorders>
              <w:top w:val="nil"/>
              <w:left w:val="single" w:sz="4" w:space="0" w:color="000000"/>
              <w:bottom w:val="nil"/>
              <w:right w:val="nil"/>
            </w:tcBorders>
            <w:vAlign w:val="center"/>
          </w:tcPr>
          <w:p w14:paraId="7590167C" w14:textId="77777777" w:rsidR="003D7BB5" w:rsidRPr="00D76D7F" w:rsidRDefault="003D7BB5" w:rsidP="00DD0F28">
            <w:pPr>
              <w:jc w:val="center"/>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76" w:type="dxa"/>
            <w:tcBorders>
              <w:top w:val="nil"/>
              <w:left w:val="nil"/>
              <w:bottom w:val="nil"/>
              <w:right w:val="nil"/>
            </w:tcBorders>
            <w:vAlign w:val="center"/>
          </w:tcPr>
          <w:p w14:paraId="33BB9653" w14:textId="77777777" w:rsidR="003D7BB5" w:rsidRPr="00D76D7F" w:rsidRDefault="003D7BB5" w:rsidP="00DD0F28">
            <w:pPr>
              <w:jc w:val="center"/>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nil"/>
            </w:tcBorders>
            <w:vAlign w:val="center"/>
          </w:tcPr>
          <w:p w14:paraId="3E82AA9F" w14:textId="77777777" w:rsidR="003D7BB5" w:rsidRPr="00D76D7F" w:rsidRDefault="003D7BB5" w:rsidP="00DD0F28">
            <w:pPr>
              <w:jc w:val="center"/>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r>
      <w:tr w:rsidR="009118DA" w:rsidRPr="00D76D7F" w14:paraId="1E9F3328"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48D9F42A" w14:textId="77777777" w:rsidR="003D7BB5" w:rsidRPr="00D76D7F" w:rsidRDefault="003D7BB5" w:rsidP="00DD0F28">
            <w:pPr>
              <w:tabs>
                <w:tab w:val="left" w:pos="176"/>
              </w:tabs>
              <w:spacing w:before="20" w:after="20"/>
              <w:rPr>
                <w:rFonts w:eastAsiaTheme="minorEastAsia"/>
                <w:b w:val="0"/>
                <w:sz w:val="18"/>
                <w:szCs w:val="18"/>
                <w:lang w:eastAsia="en-US"/>
              </w:rPr>
            </w:pPr>
            <w:r w:rsidRPr="00D76D7F">
              <w:rPr>
                <w:rFonts w:eastAsiaTheme="minorEastAsia"/>
                <w:b w:val="0"/>
                <w:sz w:val="18"/>
                <w:szCs w:val="18"/>
                <w:lang w:eastAsia="en-US"/>
              </w:rPr>
              <w:tab/>
              <w:t>0</w:t>
            </w:r>
          </w:p>
        </w:tc>
        <w:tc>
          <w:tcPr>
            <w:tcW w:w="536" w:type="dxa"/>
            <w:tcBorders>
              <w:top w:val="nil"/>
              <w:left w:val="nil"/>
              <w:bottom w:val="nil"/>
              <w:right w:val="nil"/>
            </w:tcBorders>
            <w:shd w:val="clear" w:color="auto" w:fill="auto"/>
            <w:noWrap/>
            <w:vAlign w:val="center"/>
          </w:tcPr>
          <w:p w14:paraId="6C78C41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254</w:t>
            </w:r>
          </w:p>
        </w:tc>
        <w:tc>
          <w:tcPr>
            <w:tcW w:w="567" w:type="dxa"/>
            <w:tcBorders>
              <w:top w:val="nil"/>
              <w:left w:val="nil"/>
              <w:bottom w:val="nil"/>
              <w:right w:val="nil"/>
            </w:tcBorders>
            <w:shd w:val="clear" w:color="auto" w:fill="auto"/>
            <w:noWrap/>
            <w:vAlign w:val="center"/>
          </w:tcPr>
          <w:p w14:paraId="7006FE6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39.8</w:t>
            </w:r>
          </w:p>
        </w:tc>
        <w:tc>
          <w:tcPr>
            <w:tcW w:w="1146" w:type="dxa"/>
            <w:tcBorders>
              <w:top w:val="nil"/>
              <w:left w:val="nil"/>
              <w:bottom w:val="nil"/>
              <w:right w:val="single" w:sz="4" w:space="0" w:color="auto"/>
            </w:tcBorders>
            <w:shd w:val="clear" w:color="auto" w:fill="auto"/>
            <w:noWrap/>
            <w:vAlign w:val="center"/>
          </w:tcPr>
          <w:p w14:paraId="575B2FE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(36.0, 43.6)</w:t>
            </w:r>
          </w:p>
        </w:tc>
        <w:tc>
          <w:tcPr>
            <w:tcW w:w="536" w:type="dxa"/>
            <w:tcBorders>
              <w:top w:val="nil"/>
              <w:left w:val="single" w:sz="4" w:space="0" w:color="auto"/>
              <w:bottom w:val="nil"/>
              <w:right w:val="nil"/>
            </w:tcBorders>
            <w:shd w:val="clear" w:color="auto" w:fill="auto"/>
            <w:noWrap/>
            <w:vAlign w:val="center"/>
          </w:tcPr>
          <w:p w14:paraId="6049937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162</w:t>
            </w:r>
          </w:p>
        </w:tc>
        <w:tc>
          <w:tcPr>
            <w:tcW w:w="621" w:type="dxa"/>
            <w:tcBorders>
              <w:top w:val="nil"/>
              <w:left w:val="nil"/>
              <w:bottom w:val="nil"/>
              <w:right w:val="nil"/>
            </w:tcBorders>
            <w:shd w:val="clear" w:color="auto" w:fill="auto"/>
            <w:noWrap/>
            <w:vAlign w:val="center"/>
          </w:tcPr>
          <w:p w14:paraId="01AA772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43.9</w:t>
            </w:r>
          </w:p>
        </w:tc>
        <w:tc>
          <w:tcPr>
            <w:tcW w:w="1146" w:type="dxa"/>
            <w:tcBorders>
              <w:top w:val="nil"/>
              <w:left w:val="nil"/>
              <w:bottom w:val="nil"/>
              <w:right w:val="single" w:sz="4" w:space="0" w:color="000000"/>
            </w:tcBorders>
            <w:shd w:val="clear" w:color="auto" w:fill="auto"/>
            <w:noWrap/>
            <w:vAlign w:val="center"/>
          </w:tcPr>
          <w:p w14:paraId="03A9B48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(38.4, 49.4)</w:t>
            </w:r>
          </w:p>
        </w:tc>
        <w:tc>
          <w:tcPr>
            <w:tcW w:w="536" w:type="dxa"/>
            <w:tcBorders>
              <w:top w:val="nil"/>
              <w:left w:val="single" w:sz="4" w:space="0" w:color="000000"/>
              <w:bottom w:val="nil"/>
              <w:right w:val="nil"/>
            </w:tcBorders>
            <w:shd w:val="clear" w:color="auto" w:fill="auto"/>
            <w:vAlign w:val="center"/>
          </w:tcPr>
          <w:p w14:paraId="207ED8E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130</w:t>
            </w:r>
          </w:p>
        </w:tc>
        <w:tc>
          <w:tcPr>
            <w:tcW w:w="567" w:type="dxa"/>
            <w:tcBorders>
              <w:top w:val="nil"/>
              <w:left w:val="nil"/>
              <w:bottom w:val="nil"/>
              <w:right w:val="nil"/>
            </w:tcBorders>
            <w:shd w:val="clear" w:color="auto" w:fill="auto"/>
            <w:vAlign w:val="center"/>
          </w:tcPr>
          <w:p w14:paraId="3D5452E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41.9</w:t>
            </w:r>
          </w:p>
        </w:tc>
        <w:tc>
          <w:tcPr>
            <w:tcW w:w="1146" w:type="dxa"/>
            <w:tcBorders>
              <w:top w:val="nil"/>
              <w:left w:val="nil"/>
              <w:bottom w:val="nil"/>
              <w:right w:val="single" w:sz="4" w:space="0" w:color="000000"/>
            </w:tcBorders>
            <w:shd w:val="clear" w:color="auto" w:fill="auto"/>
            <w:vAlign w:val="center"/>
          </w:tcPr>
          <w:p w14:paraId="66FC501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(35.6, 48.2)</w:t>
            </w:r>
          </w:p>
        </w:tc>
        <w:tc>
          <w:tcPr>
            <w:tcW w:w="536" w:type="dxa"/>
            <w:tcBorders>
              <w:top w:val="nil"/>
              <w:left w:val="single" w:sz="4" w:space="0" w:color="000000"/>
              <w:bottom w:val="nil"/>
              <w:right w:val="nil"/>
            </w:tcBorders>
            <w:shd w:val="clear" w:color="auto" w:fill="auto"/>
            <w:vAlign w:val="center"/>
          </w:tcPr>
          <w:p w14:paraId="7898D24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114</w:t>
            </w:r>
          </w:p>
        </w:tc>
        <w:tc>
          <w:tcPr>
            <w:tcW w:w="576" w:type="dxa"/>
            <w:tcBorders>
              <w:top w:val="nil"/>
              <w:left w:val="nil"/>
              <w:bottom w:val="nil"/>
              <w:right w:val="nil"/>
            </w:tcBorders>
            <w:shd w:val="clear" w:color="auto" w:fill="auto"/>
            <w:vAlign w:val="center"/>
          </w:tcPr>
          <w:p w14:paraId="19C6C9E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40.8</w:t>
            </w:r>
          </w:p>
        </w:tc>
        <w:tc>
          <w:tcPr>
            <w:tcW w:w="1146" w:type="dxa"/>
            <w:tcBorders>
              <w:top w:val="nil"/>
              <w:left w:val="nil"/>
              <w:bottom w:val="nil"/>
              <w:right w:val="nil"/>
            </w:tcBorders>
            <w:shd w:val="clear" w:color="auto" w:fill="auto"/>
            <w:vAlign w:val="center"/>
          </w:tcPr>
          <w:p w14:paraId="7A3D597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(34.1, 47.6)</w:t>
            </w:r>
          </w:p>
        </w:tc>
      </w:tr>
      <w:tr w:rsidR="009118DA" w:rsidRPr="00D76D7F" w14:paraId="51DCD849"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5C7A4D16" w14:textId="77777777" w:rsidR="003D7BB5" w:rsidRPr="00D76D7F" w:rsidRDefault="003D7BB5" w:rsidP="00DD0F28">
            <w:pPr>
              <w:tabs>
                <w:tab w:val="left" w:pos="176"/>
              </w:tabs>
              <w:spacing w:before="20" w:after="20"/>
              <w:rPr>
                <w:rFonts w:eastAsiaTheme="minorEastAsia"/>
                <w:b w:val="0"/>
                <w:sz w:val="18"/>
                <w:szCs w:val="18"/>
                <w:lang w:eastAsia="en-US"/>
              </w:rPr>
            </w:pPr>
            <w:r w:rsidRPr="00D76D7F">
              <w:rPr>
                <w:rFonts w:eastAsiaTheme="minorEastAsia"/>
                <w:b w:val="0"/>
                <w:sz w:val="18"/>
                <w:szCs w:val="18"/>
                <w:lang w:eastAsia="en-US"/>
              </w:rPr>
              <w:tab/>
              <w:t>1</w:t>
            </w:r>
          </w:p>
        </w:tc>
        <w:tc>
          <w:tcPr>
            <w:tcW w:w="536" w:type="dxa"/>
            <w:tcBorders>
              <w:top w:val="nil"/>
              <w:left w:val="nil"/>
              <w:bottom w:val="nil"/>
              <w:right w:val="nil"/>
            </w:tcBorders>
            <w:shd w:val="clear" w:color="auto" w:fill="auto"/>
            <w:noWrap/>
            <w:vAlign w:val="center"/>
          </w:tcPr>
          <w:p w14:paraId="5AEC30B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155</w:t>
            </w:r>
          </w:p>
        </w:tc>
        <w:tc>
          <w:tcPr>
            <w:tcW w:w="567" w:type="dxa"/>
            <w:tcBorders>
              <w:top w:val="nil"/>
              <w:left w:val="nil"/>
              <w:bottom w:val="nil"/>
              <w:right w:val="nil"/>
            </w:tcBorders>
            <w:shd w:val="clear" w:color="auto" w:fill="auto"/>
            <w:noWrap/>
            <w:vAlign w:val="center"/>
          </w:tcPr>
          <w:p w14:paraId="3216A42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24.3</w:t>
            </w:r>
          </w:p>
        </w:tc>
        <w:tc>
          <w:tcPr>
            <w:tcW w:w="1146" w:type="dxa"/>
            <w:tcBorders>
              <w:top w:val="nil"/>
              <w:left w:val="nil"/>
              <w:bottom w:val="nil"/>
              <w:right w:val="single" w:sz="4" w:space="0" w:color="auto"/>
            </w:tcBorders>
            <w:shd w:val="clear" w:color="auto" w:fill="auto"/>
            <w:noWrap/>
            <w:vAlign w:val="center"/>
          </w:tcPr>
          <w:p w14:paraId="29A3DEF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(21.0, 27.6)</w:t>
            </w:r>
          </w:p>
        </w:tc>
        <w:tc>
          <w:tcPr>
            <w:tcW w:w="536" w:type="dxa"/>
            <w:tcBorders>
              <w:top w:val="nil"/>
              <w:left w:val="single" w:sz="4" w:space="0" w:color="auto"/>
              <w:bottom w:val="nil"/>
              <w:right w:val="nil"/>
            </w:tcBorders>
            <w:shd w:val="clear" w:color="auto" w:fill="auto"/>
            <w:noWrap/>
            <w:vAlign w:val="center"/>
          </w:tcPr>
          <w:p w14:paraId="0EAE1E3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83</w:t>
            </w:r>
          </w:p>
        </w:tc>
        <w:tc>
          <w:tcPr>
            <w:tcW w:w="621" w:type="dxa"/>
            <w:tcBorders>
              <w:top w:val="nil"/>
              <w:left w:val="nil"/>
              <w:bottom w:val="nil"/>
              <w:right w:val="nil"/>
            </w:tcBorders>
            <w:shd w:val="clear" w:color="auto" w:fill="auto"/>
            <w:noWrap/>
            <w:vAlign w:val="center"/>
          </w:tcPr>
          <w:p w14:paraId="48CA3EC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22.5</w:t>
            </w:r>
          </w:p>
        </w:tc>
        <w:tc>
          <w:tcPr>
            <w:tcW w:w="1146" w:type="dxa"/>
            <w:tcBorders>
              <w:top w:val="nil"/>
              <w:left w:val="nil"/>
              <w:bottom w:val="nil"/>
              <w:right w:val="single" w:sz="4" w:space="0" w:color="000000"/>
            </w:tcBorders>
            <w:shd w:val="clear" w:color="auto" w:fill="auto"/>
            <w:noWrap/>
            <w:vAlign w:val="center"/>
          </w:tcPr>
          <w:p w14:paraId="11D762D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(18.1, 26.8)</w:t>
            </w:r>
          </w:p>
        </w:tc>
        <w:tc>
          <w:tcPr>
            <w:tcW w:w="536" w:type="dxa"/>
            <w:tcBorders>
              <w:top w:val="nil"/>
              <w:left w:val="single" w:sz="4" w:space="0" w:color="000000"/>
              <w:bottom w:val="nil"/>
              <w:right w:val="nil"/>
            </w:tcBorders>
            <w:shd w:val="clear" w:color="auto" w:fill="auto"/>
            <w:vAlign w:val="center"/>
          </w:tcPr>
          <w:p w14:paraId="0EF77FF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74</w:t>
            </w:r>
          </w:p>
        </w:tc>
        <w:tc>
          <w:tcPr>
            <w:tcW w:w="567" w:type="dxa"/>
            <w:tcBorders>
              <w:top w:val="nil"/>
              <w:left w:val="nil"/>
              <w:bottom w:val="nil"/>
              <w:right w:val="nil"/>
            </w:tcBorders>
            <w:shd w:val="clear" w:color="auto" w:fill="auto"/>
            <w:vAlign w:val="center"/>
          </w:tcPr>
          <w:p w14:paraId="47F4E08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24.0</w:t>
            </w:r>
          </w:p>
        </w:tc>
        <w:tc>
          <w:tcPr>
            <w:tcW w:w="1146" w:type="dxa"/>
            <w:tcBorders>
              <w:top w:val="nil"/>
              <w:left w:val="nil"/>
              <w:bottom w:val="nil"/>
              <w:right w:val="single" w:sz="4" w:space="0" w:color="000000"/>
            </w:tcBorders>
            <w:shd w:val="clear" w:color="auto" w:fill="auto"/>
            <w:vAlign w:val="center"/>
          </w:tcPr>
          <w:p w14:paraId="18556A1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(18.8, 29.2)</w:t>
            </w:r>
          </w:p>
        </w:tc>
        <w:tc>
          <w:tcPr>
            <w:tcW w:w="536" w:type="dxa"/>
            <w:tcBorders>
              <w:top w:val="nil"/>
              <w:left w:val="single" w:sz="4" w:space="0" w:color="000000"/>
              <w:bottom w:val="nil"/>
              <w:right w:val="nil"/>
            </w:tcBorders>
            <w:shd w:val="clear" w:color="auto" w:fill="auto"/>
            <w:vAlign w:val="center"/>
          </w:tcPr>
          <w:p w14:paraId="1FD2C04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63</w:t>
            </w:r>
          </w:p>
        </w:tc>
        <w:tc>
          <w:tcPr>
            <w:tcW w:w="576" w:type="dxa"/>
            <w:tcBorders>
              <w:top w:val="nil"/>
              <w:left w:val="nil"/>
              <w:bottom w:val="nil"/>
              <w:right w:val="nil"/>
            </w:tcBorders>
            <w:shd w:val="clear" w:color="auto" w:fill="auto"/>
            <w:vAlign w:val="center"/>
          </w:tcPr>
          <w:p w14:paraId="732837A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22.6</w:t>
            </w:r>
          </w:p>
        </w:tc>
        <w:tc>
          <w:tcPr>
            <w:tcW w:w="1146" w:type="dxa"/>
            <w:tcBorders>
              <w:top w:val="nil"/>
              <w:left w:val="nil"/>
              <w:bottom w:val="nil"/>
              <w:right w:val="nil"/>
            </w:tcBorders>
            <w:shd w:val="clear" w:color="auto" w:fill="auto"/>
            <w:vAlign w:val="center"/>
          </w:tcPr>
          <w:p w14:paraId="68EC71F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(16.9, 28.3)</w:t>
            </w:r>
          </w:p>
        </w:tc>
      </w:tr>
      <w:tr w:rsidR="009118DA" w:rsidRPr="00D76D7F" w14:paraId="529B4140"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20625445" w14:textId="77777777" w:rsidR="003D7BB5" w:rsidRPr="00D76D7F" w:rsidRDefault="003D7BB5" w:rsidP="00DD0F28">
            <w:pPr>
              <w:tabs>
                <w:tab w:val="left" w:pos="176"/>
              </w:tabs>
              <w:spacing w:before="20" w:after="20"/>
              <w:rPr>
                <w:rFonts w:eastAsiaTheme="minorEastAsia"/>
                <w:b w:val="0"/>
                <w:sz w:val="18"/>
                <w:szCs w:val="18"/>
                <w:lang w:eastAsia="en-US"/>
              </w:rPr>
            </w:pPr>
            <w:r w:rsidRPr="00D76D7F">
              <w:rPr>
                <w:rFonts w:eastAsiaTheme="minorEastAsia"/>
                <w:b w:val="0"/>
                <w:sz w:val="18"/>
                <w:szCs w:val="18"/>
                <w:lang w:eastAsia="en-US"/>
              </w:rPr>
              <w:tab/>
              <w:t>2</w:t>
            </w:r>
          </w:p>
        </w:tc>
        <w:tc>
          <w:tcPr>
            <w:tcW w:w="536" w:type="dxa"/>
            <w:tcBorders>
              <w:top w:val="nil"/>
              <w:left w:val="nil"/>
              <w:bottom w:val="nil"/>
              <w:right w:val="nil"/>
            </w:tcBorders>
            <w:shd w:val="clear" w:color="auto" w:fill="auto"/>
            <w:noWrap/>
            <w:vAlign w:val="center"/>
          </w:tcPr>
          <w:p w14:paraId="7747962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108</w:t>
            </w:r>
          </w:p>
        </w:tc>
        <w:tc>
          <w:tcPr>
            <w:tcW w:w="567" w:type="dxa"/>
            <w:tcBorders>
              <w:top w:val="nil"/>
              <w:left w:val="nil"/>
              <w:bottom w:val="nil"/>
              <w:right w:val="nil"/>
            </w:tcBorders>
            <w:shd w:val="clear" w:color="auto" w:fill="auto"/>
            <w:noWrap/>
            <w:vAlign w:val="center"/>
          </w:tcPr>
          <w:p w14:paraId="10596EF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17.0</w:t>
            </w:r>
          </w:p>
        </w:tc>
        <w:tc>
          <w:tcPr>
            <w:tcW w:w="1146" w:type="dxa"/>
            <w:tcBorders>
              <w:top w:val="nil"/>
              <w:left w:val="nil"/>
              <w:bottom w:val="nil"/>
              <w:right w:val="single" w:sz="4" w:space="0" w:color="auto"/>
            </w:tcBorders>
            <w:shd w:val="clear" w:color="auto" w:fill="auto"/>
            <w:noWrap/>
            <w:vAlign w:val="center"/>
          </w:tcPr>
          <w:p w14:paraId="520347D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(14.2, 19.8)</w:t>
            </w:r>
          </w:p>
        </w:tc>
        <w:tc>
          <w:tcPr>
            <w:tcW w:w="536" w:type="dxa"/>
            <w:tcBorders>
              <w:top w:val="nil"/>
              <w:left w:val="single" w:sz="4" w:space="0" w:color="auto"/>
              <w:bottom w:val="nil"/>
              <w:right w:val="nil"/>
            </w:tcBorders>
            <w:shd w:val="clear" w:color="auto" w:fill="auto"/>
            <w:noWrap/>
            <w:vAlign w:val="center"/>
          </w:tcPr>
          <w:p w14:paraId="62E890F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57</w:t>
            </w:r>
          </w:p>
        </w:tc>
        <w:tc>
          <w:tcPr>
            <w:tcW w:w="621" w:type="dxa"/>
            <w:tcBorders>
              <w:top w:val="nil"/>
              <w:left w:val="nil"/>
              <w:bottom w:val="nil"/>
              <w:right w:val="nil"/>
            </w:tcBorders>
            <w:shd w:val="clear" w:color="auto" w:fill="auto"/>
            <w:noWrap/>
            <w:vAlign w:val="center"/>
          </w:tcPr>
          <w:p w14:paraId="0F0F6AD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15.6</w:t>
            </w:r>
          </w:p>
        </w:tc>
        <w:tc>
          <w:tcPr>
            <w:tcW w:w="1146" w:type="dxa"/>
            <w:tcBorders>
              <w:top w:val="nil"/>
              <w:left w:val="nil"/>
              <w:bottom w:val="nil"/>
              <w:right w:val="single" w:sz="4" w:space="0" w:color="000000"/>
            </w:tcBorders>
            <w:shd w:val="clear" w:color="auto" w:fill="auto"/>
            <w:noWrap/>
            <w:vAlign w:val="center"/>
          </w:tcPr>
          <w:p w14:paraId="5D81A82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(11.8, 19.4)</w:t>
            </w:r>
          </w:p>
        </w:tc>
        <w:tc>
          <w:tcPr>
            <w:tcW w:w="536" w:type="dxa"/>
            <w:tcBorders>
              <w:top w:val="nil"/>
              <w:left w:val="single" w:sz="4" w:space="0" w:color="000000"/>
              <w:bottom w:val="nil"/>
              <w:right w:val="nil"/>
            </w:tcBorders>
            <w:shd w:val="clear" w:color="auto" w:fill="auto"/>
            <w:vAlign w:val="center"/>
          </w:tcPr>
          <w:p w14:paraId="521C739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50</w:t>
            </w:r>
          </w:p>
        </w:tc>
        <w:tc>
          <w:tcPr>
            <w:tcW w:w="567" w:type="dxa"/>
            <w:tcBorders>
              <w:top w:val="nil"/>
              <w:left w:val="nil"/>
              <w:bottom w:val="nil"/>
              <w:right w:val="nil"/>
            </w:tcBorders>
            <w:shd w:val="clear" w:color="auto" w:fill="auto"/>
            <w:vAlign w:val="center"/>
          </w:tcPr>
          <w:p w14:paraId="288AA9F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16.3</w:t>
            </w:r>
          </w:p>
        </w:tc>
        <w:tc>
          <w:tcPr>
            <w:tcW w:w="1146" w:type="dxa"/>
            <w:tcBorders>
              <w:top w:val="nil"/>
              <w:left w:val="nil"/>
              <w:bottom w:val="nil"/>
              <w:right w:val="single" w:sz="4" w:space="0" w:color="000000"/>
            </w:tcBorders>
            <w:shd w:val="clear" w:color="auto" w:fill="auto"/>
            <w:vAlign w:val="center"/>
          </w:tcPr>
          <w:p w14:paraId="6AA7413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(11.7, 20.9)</w:t>
            </w:r>
          </w:p>
        </w:tc>
        <w:tc>
          <w:tcPr>
            <w:tcW w:w="536" w:type="dxa"/>
            <w:tcBorders>
              <w:top w:val="nil"/>
              <w:left w:val="single" w:sz="4" w:space="0" w:color="000000"/>
              <w:bottom w:val="nil"/>
              <w:right w:val="nil"/>
            </w:tcBorders>
            <w:shd w:val="clear" w:color="auto" w:fill="auto"/>
            <w:vAlign w:val="center"/>
          </w:tcPr>
          <w:p w14:paraId="2D7DEF0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49</w:t>
            </w:r>
          </w:p>
        </w:tc>
        <w:tc>
          <w:tcPr>
            <w:tcW w:w="576" w:type="dxa"/>
            <w:tcBorders>
              <w:top w:val="nil"/>
              <w:left w:val="nil"/>
              <w:bottom w:val="nil"/>
              <w:right w:val="nil"/>
            </w:tcBorders>
            <w:shd w:val="clear" w:color="auto" w:fill="auto"/>
            <w:vAlign w:val="center"/>
          </w:tcPr>
          <w:p w14:paraId="5348297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17.6</w:t>
            </w:r>
          </w:p>
        </w:tc>
        <w:tc>
          <w:tcPr>
            <w:tcW w:w="1146" w:type="dxa"/>
            <w:tcBorders>
              <w:top w:val="nil"/>
              <w:left w:val="nil"/>
              <w:bottom w:val="nil"/>
              <w:right w:val="nil"/>
            </w:tcBorders>
            <w:shd w:val="clear" w:color="auto" w:fill="auto"/>
            <w:vAlign w:val="center"/>
          </w:tcPr>
          <w:p w14:paraId="126BF4C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(12.2, 23.1)</w:t>
            </w:r>
          </w:p>
        </w:tc>
      </w:tr>
      <w:tr w:rsidR="009118DA" w:rsidRPr="00D76D7F" w14:paraId="644D559F"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292319DB" w14:textId="77777777" w:rsidR="003D7BB5" w:rsidRPr="00D76D7F" w:rsidRDefault="003D7BB5" w:rsidP="00DD0F28">
            <w:pPr>
              <w:tabs>
                <w:tab w:val="left" w:pos="176"/>
              </w:tabs>
              <w:spacing w:before="20" w:after="20"/>
              <w:rPr>
                <w:rFonts w:eastAsiaTheme="minorEastAsia"/>
                <w:b w:val="0"/>
                <w:sz w:val="18"/>
                <w:szCs w:val="18"/>
                <w:lang w:eastAsia="en-US"/>
              </w:rPr>
            </w:pPr>
            <w:r w:rsidRPr="00D76D7F">
              <w:rPr>
                <w:rFonts w:eastAsiaTheme="minorEastAsia"/>
                <w:b w:val="0"/>
                <w:sz w:val="18"/>
                <w:szCs w:val="18"/>
                <w:lang w:eastAsia="en-US"/>
              </w:rPr>
              <w:tab/>
              <w:t>3</w:t>
            </w:r>
          </w:p>
        </w:tc>
        <w:tc>
          <w:tcPr>
            <w:tcW w:w="536" w:type="dxa"/>
            <w:tcBorders>
              <w:top w:val="nil"/>
              <w:left w:val="nil"/>
              <w:bottom w:val="nil"/>
              <w:right w:val="nil"/>
            </w:tcBorders>
            <w:shd w:val="clear" w:color="auto" w:fill="auto"/>
            <w:noWrap/>
            <w:vAlign w:val="center"/>
          </w:tcPr>
          <w:p w14:paraId="42A3A5B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56</w:t>
            </w:r>
          </w:p>
        </w:tc>
        <w:tc>
          <w:tcPr>
            <w:tcW w:w="567" w:type="dxa"/>
            <w:tcBorders>
              <w:top w:val="nil"/>
              <w:left w:val="nil"/>
              <w:bottom w:val="nil"/>
              <w:right w:val="nil"/>
            </w:tcBorders>
            <w:shd w:val="clear" w:color="auto" w:fill="auto"/>
            <w:noWrap/>
            <w:vAlign w:val="center"/>
          </w:tcPr>
          <w:p w14:paraId="1B1988C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8.7</w:t>
            </w:r>
          </w:p>
        </w:tc>
        <w:tc>
          <w:tcPr>
            <w:tcW w:w="1146" w:type="dxa"/>
            <w:tcBorders>
              <w:top w:val="nil"/>
              <w:left w:val="nil"/>
              <w:bottom w:val="nil"/>
              <w:right w:val="single" w:sz="4" w:space="0" w:color="auto"/>
            </w:tcBorders>
            <w:shd w:val="clear" w:color="auto" w:fill="auto"/>
            <w:noWrap/>
            <w:vAlign w:val="center"/>
          </w:tcPr>
          <w:p w14:paraId="3DA0A9E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(6.5, 10.9)</w:t>
            </w:r>
          </w:p>
        </w:tc>
        <w:tc>
          <w:tcPr>
            <w:tcW w:w="536" w:type="dxa"/>
            <w:tcBorders>
              <w:top w:val="nil"/>
              <w:left w:val="single" w:sz="4" w:space="0" w:color="auto"/>
              <w:bottom w:val="nil"/>
              <w:right w:val="nil"/>
            </w:tcBorders>
            <w:shd w:val="clear" w:color="auto" w:fill="auto"/>
            <w:noWrap/>
            <w:vAlign w:val="center"/>
          </w:tcPr>
          <w:p w14:paraId="57A2256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37</w:t>
            </w:r>
          </w:p>
        </w:tc>
        <w:tc>
          <w:tcPr>
            <w:tcW w:w="621" w:type="dxa"/>
            <w:tcBorders>
              <w:top w:val="nil"/>
              <w:left w:val="nil"/>
              <w:bottom w:val="nil"/>
              <w:right w:val="nil"/>
            </w:tcBorders>
            <w:shd w:val="clear" w:color="auto" w:fill="auto"/>
            <w:noWrap/>
            <w:vAlign w:val="center"/>
          </w:tcPr>
          <w:p w14:paraId="0281EC9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10.1</w:t>
            </w:r>
          </w:p>
        </w:tc>
        <w:tc>
          <w:tcPr>
            <w:tcW w:w="1146" w:type="dxa"/>
            <w:tcBorders>
              <w:top w:val="nil"/>
              <w:left w:val="nil"/>
              <w:bottom w:val="nil"/>
              <w:right w:val="single" w:sz="4" w:space="0" w:color="000000"/>
            </w:tcBorders>
            <w:shd w:val="clear" w:color="auto" w:fill="auto"/>
            <w:noWrap/>
            <w:vAlign w:val="center"/>
          </w:tcPr>
          <w:p w14:paraId="4D5EF0B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(7.0, 13.3)</w:t>
            </w:r>
          </w:p>
        </w:tc>
        <w:tc>
          <w:tcPr>
            <w:tcW w:w="536" w:type="dxa"/>
            <w:tcBorders>
              <w:top w:val="nil"/>
              <w:left w:val="single" w:sz="4" w:space="0" w:color="000000"/>
              <w:bottom w:val="nil"/>
              <w:right w:val="nil"/>
            </w:tcBorders>
            <w:shd w:val="clear" w:color="auto" w:fill="auto"/>
            <w:vAlign w:val="center"/>
          </w:tcPr>
          <w:p w14:paraId="4E467B3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w:t>
            </w:r>
          </w:p>
        </w:tc>
        <w:tc>
          <w:tcPr>
            <w:tcW w:w="567" w:type="dxa"/>
            <w:tcBorders>
              <w:top w:val="nil"/>
              <w:left w:val="nil"/>
              <w:bottom w:val="nil"/>
              <w:right w:val="nil"/>
            </w:tcBorders>
            <w:shd w:val="clear" w:color="auto" w:fill="auto"/>
            <w:vAlign w:val="center"/>
          </w:tcPr>
          <w:p w14:paraId="00F20E2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9.6</w:t>
            </w:r>
          </w:p>
        </w:tc>
        <w:tc>
          <w:tcPr>
            <w:tcW w:w="1146" w:type="dxa"/>
            <w:tcBorders>
              <w:top w:val="nil"/>
              <w:left w:val="nil"/>
              <w:bottom w:val="nil"/>
              <w:right w:val="single" w:sz="4" w:space="0" w:color="000000"/>
            </w:tcBorders>
            <w:shd w:val="clear" w:color="auto" w:fill="auto"/>
            <w:vAlign w:val="center"/>
          </w:tcPr>
          <w:p w14:paraId="6115BCD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(6.2, 13.0)</w:t>
            </w:r>
          </w:p>
        </w:tc>
        <w:tc>
          <w:tcPr>
            <w:tcW w:w="536" w:type="dxa"/>
            <w:tcBorders>
              <w:top w:val="nil"/>
              <w:left w:val="single" w:sz="4" w:space="0" w:color="000000"/>
              <w:bottom w:val="nil"/>
              <w:right w:val="nil"/>
            </w:tcBorders>
            <w:shd w:val="clear" w:color="auto" w:fill="auto"/>
            <w:vAlign w:val="center"/>
          </w:tcPr>
          <w:p w14:paraId="19FA79A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34</w:t>
            </w:r>
          </w:p>
        </w:tc>
        <w:tc>
          <w:tcPr>
            <w:tcW w:w="576" w:type="dxa"/>
            <w:tcBorders>
              <w:top w:val="nil"/>
              <w:left w:val="nil"/>
              <w:bottom w:val="nil"/>
              <w:right w:val="nil"/>
            </w:tcBorders>
            <w:shd w:val="clear" w:color="auto" w:fill="auto"/>
            <w:vAlign w:val="center"/>
          </w:tcPr>
          <w:p w14:paraId="391A7A3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12.0</w:t>
            </w:r>
          </w:p>
        </w:tc>
        <w:tc>
          <w:tcPr>
            <w:tcW w:w="1146" w:type="dxa"/>
            <w:tcBorders>
              <w:top w:val="nil"/>
              <w:left w:val="nil"/>
              <w:bottom w:val="nil"/>
              <w:right w:val="nil"/>
            </w:tcBorders>
            <w:shd w:val="clear" w:color="auto" w:fill="auto"/>
            <w:vAlign w:val="center"/>
          </w:tcPr>
          <w:p w14:paraId="47CED1A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(7.8, 16.3)</w:t>
            </w:r>
          </w:p>
        </w:tc>
      </w:tr>
      <w:tr w:rsidR="009118DA" w:rsidRPr="00D76D7F" w14:paraId="51CA1965"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05DA94D3" w14:textId="77777777" w:rsidR="003D7BB5" w:rsidRPr="00D76D7F" w:rsidRDefault="003D7BB5" w:rsidP="00DD0F28">
            <w:pPr>
              <w:tabs>
                <w:tab w:val="left" w:pos="176"/>
              </w:tabs>
              <w:spacing w:before="20" w:after="20"/>
              <w:rPr>
                <w:rFonts w:eastAsiaTheme="minorEastAsia"/>
                <w:b w:val="0"/>
                <w:sz w:val="18"/>
                <w:szCs w:val="18"/>
                <w:lang w:eastAsia="en-US"/>
              </w:rPr>
            </w:pPr>
            <w:r w:rsidRPr="00D76D7F">
              <w:rPr>
                <w:rFonts w:eastAsiaTheme="minorEastAsia"/>
                <w:b w:val="0"/>
                <w:sz w:val="18"/>
                <w:szCs w:val="18"/>
                <w:lang w:eastAsia="en-US"/>
              </w:rPr>
              <w:tab/>
              <w:t>4 - 6</w:t>
            </w:r>
          </w:p>
        </w:tc>
        <w:tc>
          <w:tcPr>
            <w:tcW w:w="536" w:type="dxa"/>
            <w:tcBorders>
              <w:top w:val="nil"/>
              <w:left w:val="nil"/>
              <w:bottom w:val="nil"/>
              <w:right w:val="nil"/>
            </w:tcBorders>
            <w:shd w:val="clear" w:color="auto" w:fill="auto"/>
            <w:noWrap/>
            <w:vAlign w:val="center"/>
          </w:tcPr>
          <w:p w14:paraId="2D8C10E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60</w:t>
            </w:r>
          </w:p>
        </w:tc>
        <w:tc>
          <w:tcPr>
            <w:tcW w:w="567" w:type="dxa"/>
            <w:tcBorders>
              <w:top w:val="nil"/>
              <w:left w:val="nil"/>
              <w:bottom w:val="nil"/>
              <w:right w:val="nil"/>
            </w:tcBorders>
            <w:shd w:val="clear" w:color="auto" w:fill="auto"/>
            <w:noWrap/>
            <w:vAlign w:val="center"/>
          </w:tcPr>
          <w:p w14:paraId="71708AB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9.4</w:t>
            </w:r>
          </w:p>
        </w:tc>
        <w:tc>
          <w:tcPr>
            <w:tcW w:w="1146" w:type="dxa"/>
            <w:tcBorders>
              <w:top w:val="nil"/>
              <w:left w:val="nil"/>
              <w:bottom w:val="nil"/>
              <w:right w:val="single" w:sz="4" w:space="0" w:color="auto"/>
            </w:tcBorders>
            <w:shd w:val="clear" w:color="auto" w:fill="auto"/>
            <w:noWrap/>
            <w:vAlign w:val="center"/>
          </w:tcPr>
          <w:p w14:paraId="0586557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(7.1, 11.7)</w:t>
            </w:r>
          </w:p>
        </w:tc>
        <w:tc>
          <w:tcPr>
            <w:tcW w:w="536" w:type="dxa"/>
            <w:tcBorders>
              <w:top w:val="nil"/>
              <w:left w:val="single" w:sz="4" w:space="0" w:color="auto"/>
              <w:bottom w:val="nil"/>
              <w:right w:val="nil"/>
            </w:tcBorders>
            <w:shd w:val="clear" w:color="auto" w:fill="auto"/>
            <w:noWrap/>
            <w:vAlign w:val="center"/>
          </w:tcPr>
          <w:p w14:paraId="0D88842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27</w:t>
            </w:r>
          </w:p>
        </w:tc>
        <w:tc>
          <w:tcPr>
            <w:tcW w:w="621" w:type="dxa"/>
            <w:tcBorders>
              <w:top w:val="nil"/>
              <w:left w:val="nil"/>
              <w:bottom w:val="nil"/>
              <w:right w:val="nil"/>
            </w:tcBorders>
            <w:shd w:val="clear" w:color="auto" w:fill="auto"/>
            <w:noWrap/>
            <w:vAlign w:val="center"/>
          </w:tcPr>
          <w:p w14:paraId="4941A2A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7.3</w:t>
            </w:r>
          </w:p>
        </w:tc>
        <w:tc>
          <w:tcPr>
            <w:tcW w:w="1146" w:type="dxa"/>
            <w:tcBorders>
              <w:top w:val="nil"/>
              <w:left w:val="nil"/>
              <w:bottom w:val="nil"/>
              <w:right w:val="single" w:sz="4" w:space="0" w:color="000000"/>
            </w:tcBorders>
            <w:shd w:val="clear" w:color="auto" w:fill="auto"/>
            <w:noWrap/>
            <w:vAlign w:val="center"/>
          </w:tcPr>
          <w:p w14:paraId="760ACBF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(4.6, 9.9)</w:t>
            </w:r>
          </w:p>
        </w:tc>
        <w:tc>
          <w:tcPr>
            <w:tcW w:w="536" w:type="dxa"/>
            <w:tcBorders>
              <w:top w:val="nil"/>
              <w:left w:val="single" w:sz="4" w:space="0" w:color="000000"/>
              <w:bottom w:val="nil"/>
              <w:right w:val="nil"/>
            </w:tcBorders>
            <w:shd w:val="clear" w:color="auto" w:fill="auto"/>
            <w:vAlign w:val="center"/>
          </w:tcPr>
          <w:p w14:paraId="1740C6D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w:t>
            </w:r>
          </w:p>
        </w:tc>
        <w:tc>
          <w:tcPr>
            <w:tcW w:w="567" w:type="dxa"/>
            <w:tcBorders>
              <w:top w:val="nil"/>
              <w:left w:val="nil"/>
              <w:bottom w:val="nil"/>
              <w:right w:val="nil"/>
            </w:tcBorders>
            <w:shd w:val="clear" w:color="auto" w:fill="auto"/>
            <w:vAlign w:val="center"/>
          </w:tcPr>
          <w:p w14:paraId="2B19BBD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7.2</w:t>
            </w:r>
          </w:p>
        </w:tc>
        <w:tc>
          <w:tcPr>
            <w:tcW w:w="1146" w:type="dxa"/>
            <w:tcBorders>
              <w:top w:val="nil"/>
              <w:left w:val="nil"/>
              <w:bottom w:val="nil"/>
              <w:right w:val="single" w:sz="4" w:space="0" w:color="000000"/>
            </w:tcBorders>
            <w:shd w:val="clear" w:color="auto" w:fill="auto"/>
            <w:vAlign w:val="center"/>
          </w:tcPr>
          <w:p w14:paraId="1548F43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(4.4, 9.9)</w:t>
            </w:r>
          </w:p>
        </w:tc>
        <w:tc>
          <w:tcPr>
            <w:tcW w:w="536" w:type="dxa"/>
            <w:tcBorders>
              <w:top w:val="nil"/>
              <w:left w:val="single" w:sz="4" w:space="0" w:color="000000"/>
              <w:bottom w:val="nil"/>
              <w:right w:val="nil"/>
            </w:tcBorders>
            <w:shd w:val="clear" w:color="auto" w:fill="auto"/>
            <w:vAlign w:val="center"/>
          </w:tcPr>
          <w:p w14:paraId="2ACE91A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w:t>
            </w:r>
          </w:p>
        </w:tc>
        <w:tc>
          <w:tcPr>
            <w:tcW w:w="576" w:type="dxa"/>
            <w:tcBorders>
              <w:top w:val="nil"/>
              <w:left w:val="nil"/>
              <w:bottom w:val="nil"/>
              <w:right w:val="nil"/>
            </w:tcBorders>
            <w:shd w:val="clear" w:color="auto" w:fill="auto"/>
            <w:vAlign w:val="center"/>
          </w:tcPr>
          <w:p w14:paraId="51B707D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6.4</w:t>
            </w:r>
          </w:p>
        </w:tc>
        <w:tc>
          <w:tcPr>
            <w:tcW w:w="1146" w:type="dxa"/>
            <w:tcBorders>
              <w:top w:val="nil"/>
              <w:left w:val="nil"/>
              <w:bottom w:val="nil"/>
              <w:right w:val="nil"/>
            </w:tcBorders>
            <w:shd w:val="clear" w:color="auto" w:fill="auto"/>
            <w:vAlign w:val="center"/>
          </w:tcPr>
          <w:p w14:paraId="75B592B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(3.6, 9.2)</w:t>
            </w:r>
          </w:p>
        </w:tc>
      </w:tr>
      <w:tr w:rsidR="009118DA" w:rsidRPr="00D76D7F" w14:paraId="2756CBFC"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513D2A68" w14:textId="77777777" w:rsidR="003D7BB5" w:rsidRPr="00D76D7F" w:rsidRDefault="003D7BB5" w:rsidP="00DD0F28">
            <w:pPr>
              <w:tabs>
                <w:tab w:val="left" w:pos="176"/>
              </w:tabs>
              <w:spacing w:before="20" w:after="20"/>
              <w:rPr>
                <w:rFonts w:eastAsiaTheme="minorEastAsia"/>
                <w:b w:val="0"/>
                <w:sz w:val="18"/>
                <w:szCs w:val="18"/>
                <w:lang w:eastAsia="en-US"/>
              </w:rPr>
            </w:pPr>
            <w:r w:rsidRPr="00D76D7F">
              <w:rPr>
                <w:rFonts w:eastAsiaTheme="minorEastAsia"/>
                <w:b w:val="0"/>
                <w:sz w:val="18"/>
                <w:szCs w:val="18"/>
                <w:lang w:eastAsia="en-US"/>
              </w:rPr>
              <w:tab/>
              <w:t>7 - 9</w:t>
            </w:r>
          </w:p>
        </w:tc>
        <w:tc>
          <w:tcPr>
            <w:tcW w:w="536" w:type="dxa"/>
            <w:tcBorders>
              <w:top w:val="nil"/>
              <w:left w:val="nil"/>
              <w:bottom w:val="nil"/>
              <w:right w:val="nil"/>
            </w:tcBorders>
            <w:shd w:val="clear" w:color="auto" w:fill="auto"/>
            <w:noWrap/>
            <w:vAlign w:val="center"/>
          </w:tcPr>
          <w:p w14:paraId="3290B52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w:t>
            </w:r>
          </w:p>
        </w:tc>
        <w:tc>
          <w:tcPr>
            <w:tcW w:w="567" w:type="dxa"/>
            <w:tcBorders>
              <w:top w:val="nil"/>
              <w:left w:val="nil"/>
              <w:bottom w:val="nil"/>
              <w:right w:val="nil"/>
            </w:tcBorders>
            <w:shd w:val="clear" w:color="auto" w:fill="auto"/>
            <w:noWrap/>
            <w:vAlign w:val="center"/>
          </w:tcPr>
          <w:p w14:paraId="74820C5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0.8</w:t>
            </w:r>
          </w:p>
        </w:tc>
        <w:tc>
          <w:tcPr>
            <w:tcW w:w="1146" w:type="dxa"/>
            <w:tcBorders>
              <w:top w:val="nil"/>
              <w:left w:val="nil"/>
              <w:bottom w:val="nil"/>
              <w:right w:val="single" w:sz="4" w:space="0" w:color="auto"/>
            </w:tcBorders>
            <w:shd w:val="clear" w:color="auto" w:fill="auto"/>
            <w:noWrap/>
            <w:vAlign w:val="center"/>
          </w:tcPr>
          <w:p w14:paraId="3C20D69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(0.2, 1.4)</w:t>
            </w:r>
          </w:p>
        </w:tc>
        <w:tc>
          <w:tcPr>
            <w:tcW w:w="536" w:type="dxa"/>
            <w:tcBorders>
              <w:top w:val="nil"/>
              <w:left w:val="single" w:sz="4" w:space="0" w:color="auto"/>
              <w:bottom w:val="nil"/>
              <w:right w:val="nil"/>
            </w:tcBorders>
            <w:shd w:val="clear" w:color="auto" w:fill="auto"/>
            <w:noWrap/>
            <w:vAlign w:val="center"/>
          </w:tcPr>
          <w:p w14:paraId="52D4A53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w:t>
            </w:r>
          </w:p>
        </w:tc>
        <w:tc>
          <w:tcPr>
            <w:tcW w:w="621" w:type="dxa"/>
            <w:tcBorders>
              <w:top w:val="nil"/>
              <w:left w:val="nil"/>
              <w:bottom w:val="nil"/>
              <w:right w:val="nil"/>
            </w:tcBorders>
            <w:shd w:val="clear" w:color="auto" w:fill="auto"/>
            <w:noWrap/>
            <w:vAlign w:val="center"/>
          </w:tcPr>
          <w:p w14:paraId="42D3D4D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0.7</w:t>
            </w:r>
          </w:p>
        </w:tc>
        <w:tc>
          <w:tcPr>
            <w:tcW w:w="1146" w:type="dxa"/>
            <w:tcBorders>
              <w:top w:val="nil"/>
              <w:left w:val="nil"/>
              <w:bottom w:val="nil"/>
              <w:right w:val="single" w:sz="4" w:space="0" w:color="000000"/>
            </w:tcBorders>
            <w:shd w:val="clear" w:color="auto" w:fill="auto"/>
            <w:noWrap/>
            <w:vAlign w:val="center"/>
          </w:tcPr>
          <w:p w14:paraId="539971C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(0.0, 1.6)</w:t>
            </w:r>
          </w:p>
        </w:tc>
        <w:tc>
          <w:tcPr>
            <w:tcW w:w="536" w:type="dxa"/>
            <w:tcBorders>
              <w:top w:val="nil"/>
              <w:left w:val="single" w:sz="4" w:space="0" w:color="000000"/>
              <w:bottom w:val="nil"/>
              <w:right w:val="nil"/>
            </w:tcBorders>
            <w:shd w:val="clear" w:color="auto" w:fill="auto"/>
            <w:vAlign w:val="center"/>
          </w:tcPr>
          <w:p w14:paraId="40AFD80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w:t>
            </w:r>
          </w:p>
        </w:tc>
        <w:tc>
          <w:tcPr>
            <w:tcW w:w="567" w:type="dxa"/>
            <w:tcBorders>
              <w:top w:val="nil"/>
              <w:left w:val="nil"/>
              <w:bottom w:val="nil"/>
              <w:right w:val="nil"/>
            </w:tcBorders>
            <w:shd w:val="clear" w:color="auto" w:fill="auto"/>
            <w:vAlign w:val="center"/>
          </w:tcPr>
          <w:p w14:paraId="34FF8FD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w:t>
            </w:r>
          </w:p>
        </w:tc>
        <w:tc>
          <w:tcPr>
            <w:tcW w:w="1146" w:type="dxa"/>
            <w:tcBorders>
              <w:top w:val="nil"/>
              <w:left w:val="nil"/>
              <w:bottom w:val="nil"/>
              <w:right w:val="single" w:sz="4" w:space="0" w:color="000000"/>
            </w:tcBorders>
            <w:shd w:val="clear" w:color="auto" w:fill="auto"/>
            <w:vAlign w:val="center"/>
          </w:tcPr>
          <w:p w14:paraId="4B3DD1E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(0.0, 2.3)</w:t>
            </w:r>
          </w:p>
        </w:tc>
        <w:tc>
          <w:tcPr>
            <w:tcW w:w="536" w:type="dxa"/>
            <w:tcBorders>
              <w:top w:val="nil"/>
              <w:left w:val="single" w:sz="4" w:space="0" w:color="000000"/>
              <w:bottom w:val="nil"/>
              <w:right w:val="nil"/>
            </w:tcBorders>
            <w:shd w:val="clear" w:color="auto" w:fill="auto"/>
            <w:vAlign w:val="center"/>
          </w:tcPr>
          <w:p w14:paraId="1DAB01A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w:t>
            </w:r>
          </w:p>
        </w:tc>
        <w:tc>
          <w:tcPr>
            <w:tcW w:w="576" w:type="dxa"/>
            <w:tcBorders>
              <w:top w:val="nil"/>
              <w:left w:val="nil"/>
              <w:bottom w:val="nil"/>
              <w:right w:val="nil"/>
            </w:tcBorders>
            <w:shd w:val="clear" w:color="auto" w:fill="auto"/>
            <w:vAlign w:val="center"/>
          </w:tcPr>
          <w:p w14:paraId="446B695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0.5</w:t>
            </w:r>
          </w:p>
        </w:tc>
        <w:tc>
          <w:tcPr>
            <w:tcW w:w="1146" w:type="dxa"/>
            <w:tcBorders>
              <w:top w:val="nil"/>
              <w:left w:val="nil"/>
              <w:bottom w:val="nil"/>
              <w:right w:val="nil"/>
            </w:tcBorders>
            <w:shd w:val="clear" w:color="auto" w:fill="auto"/>
            <w:vAlign w:val="center"/>
          </w:tcPr>
          <w:p w14:paraId="67B50A3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D76D7F" w14:paraId="3B708692"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47DC45C2" w14:textId="77777777" w:rsidR="003D7BB5" w:rsidRPr="00D76D7F" w:rsidRDefault="003D7BB5" w:rsidP="00DD0F28">
            <w:pPr>
              <w:tabs>
                <w:tab w:val="left" w:pos="176"/>
              </w:tabs>
              <w:spacing w:before="20" w:after="40"/>
              <w:rPr>
                <w:rFonts w:eastAsiaTheme="minorEastAsia"/>
                <w:b w:val="0"/>
                <w:sz w:val="18"/>
                <w:szCs w:val="18"/>
                <w:lang w:eastAsia="en-US"/>
              </w:rPr>
            </w:pPr>
            <w:r w:rsidRPr="00D76D7F">
              <w:rPr>
                <w:rFonts w:eastAsiaTheme="minorEastAsia"/>
                <w:b w:val="0"/>
                <w:sz w:val="18"/>
                <w:szCs w:val="18"/>
                <w:lang w:eastAsia="en-US"/>
              </w:rPr>
              <w:tab/>
              <w:t>10+</w:t>
            </w:r>
          </w:p>
        </w:tc>
        <w:tc>
          <w:tcPr>
            <w:tcW w:w="536" w:type="dxa"/>
            <w:tcBorders>
              <w:top w:val="nil"/>
              <w:left w:val="nil"/>
              <w:bottom w:val="nil"/>
              <w:right w:val="nil"/>
            </w:tcBorders>
            <w:shd w:val="clear" w:color="auto" w:fill="auto"/>
            <w:noWrap/>
            <w:vAlign w:val="center"/>
          </w:tcPr>
          <w:p w14:paraId="686CFAB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567" w:type="dxa"/>
            <w:tcBorders>
              <w:top w:val="nil"/>
              <w:left w:val="nil"/>
              <w:bottom w:val="nil"/>
              <w:right w:val="nil"/>
            </w:tcBorders>
            <w:shd w:val="clear" w:color="auto" w:fill="auto"/>
            <w:noWrap/>
            <w:vAlign w:val="center"/>
          </w:tcPr>
          <w:p w14:paraId="37DA42A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w:t>
            </w:r>
          </w:p>
        </w:tc>
        <w:tc>
          <w:tcPr>
            <w:tcW w:w="1146" w:type="dxa"/>
            <w:tcBorders>
              <w:top w:val="nil"/>
              <w:left w:val="nil"/>
              <w:bottom w:val="nil"/>
              <w:right w:val="single" w:sz="4" w:space="0" w:color="auto"/>
            </w:tcBorders>
            <w:shd w:val="clear" w:color="auto" w:fill="auto"/>
            <w:noWrap/>
            <w:vAlign w:val="center"/>
          </w:tcPr>
          <w:p w14:paraId="4B3AC44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nil"/>
              <w:left w:val="single" w:sz="4" w:space="0" w:color="auto"/>
              <w:bottom w:val="nil"/>
              <w:right w:val="nil"/>
            </w:tcBorders>
            <w:shd w:val="clear" w:color="auto" w:fill="auto"/>
            <w:noWrap/>
            <w:vAlign w:val="center"/>
          </w:tcPr>
          <w:p w14:paraId="28897F1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621" w:type="dxa"/>
            <w:tcBorders>
              <w:top w:val="nil"/>
              <w:left w:val="nil"/>
              <w:bottom w:val="nil"/>
              <w:right w:val="nil"/>
            </w:tcBorders>
            <w:shd w:val="clear" w:color="auto" w:fill="auto"/>
            <w:noWrap/>
            <w:vAlign w:val="center"/>
          </w:tcPr>
          <w:p w14:paraId="3DDD42E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w:t>
            </w:r>
          </w:p>
        </w:tc>
        <w:tc>
          <w:tcPr>
            <w:tcW w:w="1146" w:type="dxa"/>
            <w:tcBorders>
              <w:top w:val="nil"/>
              <w:left w:val="nil"/>
              <w:bottom w:val="nil"/>
              <w:right w:val="single" w:sz="4" w:space="0" w:color="000000"/>
            </w:tcBorders>
            <w:shd w:val="clear" w:color="auto" w:fill="auto"/>
            <w:noWrap/>
            <w:vAlign w:val="center"/>
          </w:tcPr>
          <w:p w14:paraId="6C5CCF4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nil"/>
              <w:left w:val="single" w:sz="4" w:space="0" w:color="000000"/>
              <w:bottom w:val="nil"/>
              <w:right w:val="nil"/>
            </w:tcBorders>
            <w:shd w:val="clear" w:color="auto" w:fill="auto"/>
            <w:vAlign w:val="center"/>
          </w:tcPr>
          <w:p w14:paraId="3F884FC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567" w:type="dxa"/>
            <w:tcBorders>
              <w:top w:val="nil"/>
              <w:left w:val="nil"/>
              <w:bottom w:val="nil"/>
              <w:right w:val="nil"/>
            </w:tcBorders>
            <w:shd w:val="clear" w:color="auto" w:fill="auto"/>
            <w:vAlign w:val="center"/>
          </w:tcPr>
          <w:p w14:paraId="6B684FE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w:t>
            </w:r>
          </w:p>
        </w:tc>
        <w:tc>
          <w:tcPr>
            <w:tcW w:w="1146" w:type="dxa"/>
            <w:tcBorders>
              <w:top w:val="nil"/>
              <w:left w:val="nil"/>
              <w:bottom w:val="nil"/>
              <w:right w:val="single" w:sz="4" w:space="0" w:color="000000"/>
            </w:tcBorders>
            <w:shd w:val="clear" w:color="auto" w:fill="auto"/>
            <w:vAlign w:val="center"/>
          </w:tcPr>
          <w:p w14:paraId="1BCDC13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nil"/>
              <w:left w:val="single" w:sz="4" w:space="0" w:color="000000"/>
              <w:bottom w:val="nil"/>
              <w:right w:val="nil"/>
            </w:tcBorders>
            <w:shd w:val="clear" w:color="auto" w:fill="auto"/>
            <w:vAlign w:val="center"/>
          </w:tcPr>
          <w:p w14:paraId="3F78FC8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576" w:type="dxa"/>
            <w:tcBorders>
              <w:top w:val="nil"/>
              <w:left w:val="nil"/>
              <w:bottom w:val="nil"/>
              <w:right w:val="nil"/>
            </w:tcBorders>
            <w:shd w:val="clear" w:color="auto" w:fill="auto"/>
            <w:vAlign w:val="center"/>
          </w:tcPr>
          <w:p w14:paraId="1F7C48F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w:t>
            </w:r>
          </w:p>
        </w:tc>
        <w:tc>
          <w:tcPr>
            <w:tcW w:w="1146" w:type="dxa"/>
            <w:tcBorders>
              <w:top w:val="nil"/>
              <w:left w:val="nil"/>
              <w:bottom w:val="nil"/>
              <w:right w:val="nil"/>
            </w:tcBorders>
            <w:shd w:val="clear" w:color="auto" w:fill="auto"/>
            <w:vAlign w:val="center"/>
          </w:tcPr>
          <w:p w14:paraId="7E09077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118DA" w:rsidRPr="00D76D7F" w14:paraId="235CD9C2"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66E7722B" w14:textId="77777777" w:rsidR="003D7BB5" w:rsidRPr="00D76D7F" w:rsidRDefault="003D7BB5" w:rsidP="00DD0F28">
            <w:pPr>
              <w:tabs>
                <w:tab w:val="left" w:pos="176"/>
              </w:tabs>
              <w:spacing w:before="20" w:after="20"/>
              <w:rPr>
                <w:rFonts w:eastAsiaTheme="minorEastAsia"/>
                <w:sz w:val="18"/>
                <w:szCs w:val="18"/>
                <w:lang w:eastAsia="en-US"/>
              </w:rPr>
            </w:pPr>
            <w:r w:rsidRPr="00D76D7F">
              <w:rPr>
                <w:rFonts w:eastAsiaTheme="minorEastAsia"/>
                <w:sz w:val="18"/>
                <w:szCs w:val="18"/>
                <w:lang w:eastAsia="en-US"/>
              </w:rPr>
              <w:t>Pattern of participation</w:t>
            </w:r>
          </w:p>
        </w:tc>
        <w:tc>
          <w:tcPr>
            <w:tcW w:w="536" w:type="dxa"/>
            <w:tcBorders>
              <w:top w:val="nil"/>
              <w:left w:val="nil"/>
              <w:bottom w:val="nil"/>
              <w:right w:val="nil"/>
            </w:tcBorders>
            <w:shd w:val="clear" w:color="auto" w:fill="auto"/>
            <w:noWrap/>
            <w:vAlign w:val="center"/>
          </w:tcPr>
          <w:p w14:paraId="5813C15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67" w:type="dxa"/>
            <w:tcBorders>
              <w:top w:val="nil"/>
              <w:left w:val="nil"/>
              <w:bottom w:val="nil"/>
              <w:right w:val="nil"/>
            </w:tcBorders>
            <w:shd w:val="clear" w:color="auto" w:fill="auto"/>
            <w:noWrap/>
            <w:vAlign w:val="center"/>
          </w:tcPr>
          <w:p w14:paraId="08EE4CF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auto"/>
            </w:tcBorders>
            <w:shd w:val="clear" w:color="auto" w:fill="auto"/>
            <w:noWrap/>
            <w:vAlign w:val="center"/>
          </w:tcPr>
          <w:p w14:paraId="390BE92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auto"/>
              <w:bottom w:val="nil"/>
              <w:right w:val="nil"/>
            </w:tcBorders>
            <w:shd w:val="clear" w:color="auto" w:fill="auto"/>
            <w:noWrap/>
            <w:vAlign w:val="center"/>
          </w:tcPr>
          <w:p w14:paraId="18FBC72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621" w:type="dxa"/>
            <w:tcBorders>
              <w:top w:val="nil"/>
              <w:left w:val="nil"/>
              <w:bottom w:val="nil"/>
              <w:right w:val="nil"/>
            </w:tcBorders>
            <w:shd w:val="clear" w:color="auto" w:fill="auto"/>
            <w:noWrap/>
            <w:vAlign w:val="center"/>
          </w:tcPr>
          <w:p w14:paraId="0E13B1B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auto"/>
            <w:noWrap/>
            <w:vAlign w:val="center"/>
          </w:tcPr>
          <w:p w14:paraId="2495295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shd w:val="clear" w:color="auto" w:fill="auto"/>
            <w:vAlign w:val="center"/>
          </w:tcPr>
          <w:p w14:paraId="0960F95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67" w:type="dxa"/>
            <w:tcBorders>
              <w:top w:val="nil"/>
              <w:left w:val="nil"/>
              <w:bottom w:val="nil"/>
              <w:right w:val="nil"/>
            </w:tcBorders>
            <w:shd w:val="clear" w:color="auto" w:fill="auto"/>
            <w:vAlign w:val="center"/>
          </w:tcPr>
          <w:p w14:paraId="6849E0D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auto"/>
            <w:vAlign w:val="center"/>
          </w:tcPr>
          <w:p w14:paraId="75442D7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shd w:val="clear" w:color="auto" w:fill="auto"/>
            <w:vAlign w:val="center"/>
          </w:tcPr>
          <w:p w14:paraId="5391FEE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76" w:type="dxa"/>
            <w:tcBorders>
              <w:top w:val="nil"/>
              <w:left w:val="nil"/>
              <w:bottom w:val="nil"/>
              <w:right w:val="nil"/>
            </w:tcBorders>
            <w:shd w:val="clear" w:color="auto" w:fill="auto"/>
            <w:vAlign w:val="center"/>
          </w:tcPr>
          <w:p w14:paraId="22EC024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shd w:val="clear" w:color="auto" w:fill="auto"/>
            <w:vAlign w:val="center"/>
          </w:tcPr>
          <w:p w14:paraId="532090B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D76D7F" w14:paraId="5346C7FC"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3C1AA511" w14:textId="77777777" w:rsidR="003D7BB5" w:rsidRPr="00D76D7F" w:rsidRDefault="003D7BB5" w:rsidP="00DD0F28">
            <w:pPr>
              <w:tabs>
                <w:tab w:val="left" w:pos="176"/>
              </w:tabs>
              <w:spacing w:before="20" w:after="20"/>
              <w:rPr>
                <w:rFonts w:eastAsiaTheme="minorEastAsia"/>
                <w:b w:val="0"/>
                <w:sz w:val="18"/>
                <w:szCs w:val="18"/>
                <w:lang w:eastAsia="en-US"/>
              </w:rPr>
            </w:pPr>
            <w:r w:rsidRPr="00D76D7F">
              <w:rPr>
                <w:rFonts w:eastAsiaTheme="minorEastAsia"/>
                <w:b w:val="0"/>
                <w:sz w:val="18"/>
                <w:szCs w:val="18"/>
                <w:lang w:eastAsia="en-US"/>
              </w:rPr>
              <w:tab/>
              <w:t>No gambling in past year</w:t>
            </w:r>
          </w:p>
        </w:tc>
        <w:tc>
          <w:tcPr>
            <w:tcW w:w="536" w:type="dxa"/>
            <w:tcBorders>
              <w:top w:val="nil"/>
              <w:left w:val="nil"/>
              <w:bottom w:val="nil"/>
              <w:right w:val="nil"/>
            </w:tcBorders>
            <w:shd w:val="clear" w:color="auto" w:fill="auto"/>
            <w:noWrap/>
            <w:vAlign w:val="center"/>
          </w:tcPr>
          <w:p w14:paraId="653B62D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254</w:t>
            </w:r>
          </w:p>
        </w:tc>
        <w:tc>
          <w:tcPr>
            <w:tcW w:w="567" w:type="dxa"/>
            <w:tcBorders>
              <w:top w:val="nil"/>
              <w:left w:val="nil"/>
              <w:bottom w:val="nil"/>
              <w:right w:val="nil"/>
            </w:tcBorders>
            <w:shd w:val="clear" w:color="auto" w:fill="auto"/>
            <w:noWrap/>
            <w:vAlign w:val="center"/>
          </w:tcPr>
          <w:p w14:paraId="324C31B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39.8</w:t>
            </w:r>
          </w:p>
        </w:tc>
        <w:tc>
          <w:tcPr>
            <w:tcW w:w="1146" w:type="dxa"/>
            <w:tcBorders>
              <w:top w:val="nil"/>
              <w:left w:val="nil"/>
              <w:bottom w:val="nil"/>
              <w:right w:val="single" w:sz="4" w:space="0" w:color="auto"/>
            </w:tcBorders>
            <w:shd w:val="clear" w:color="auto" w:fill="auto"/>
            <w:noWrap/>
            <w:vAlign w:val="center"/>
          </w:tcPr>
          <w:p w14:paraId="301B2DB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(36.0, 43.6)</w:t>
            </w:r>
          </w:p>
        </w:tc>
        <w:tc>
          <w:tcPr>
            <w:tcW w:w="536" w:type="dxa"/>
            <w:tcBorders>
              <w:top w:val="nil"/>
              <w:left w:val="single" w:sz="4" w:space="0" w:color="auto"/>
              <w:bottom w:val="nil"/>
              <w:right w:val="nil"/>
            </w:tcBorders>
            <w:shd w:val="clear" w:color="auto" w:fill="auto"/>
            <w:noWrap/>
            <w:vAlign w:val="center"/>
          </w:tcPr>
          <w:p w14:paraId="1DB68EB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162</w:t>
            </w:r>
          </w:p>
        </w:tc>
        <w:tc>
          <w:tcPr>
            <w:tcW w:w="621" w:type="dxa"/>
            <w:tcBorders>
              <w:top w:val="nil"/>
              <w:left w:val="nil"/>
              <w:bottom w:val="nil"/>
              <w:right w:val="nil"/>
            </w:tcBorders>
            <w:shd w:val="clear" w:color="auto" w:fill="auto"/>
            <w:noWrap/>
            <w:vAlign w:val="center"/>
          </w:tcPr>
          <w:p w14:paraId="7F8DE14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43.9</w:t>
            </w:r>
          </w:p>
        </w:tc>
        <w:tc>
          <w:tcPr>
            <w:tcW w:w="1146" w:type="dxa"/>
            <w:tcBorders>
              <w:top w:val="nil"/>
              <w:left w:val="nil"/>
              <w:bottom w:val="nil"/>
              <w:right w:val="single" w:sz="4" w:space="0" w:color="000000"/>
            </w:tcBorders>
            <w:shd w:val="clear" w:color="auto" w:fill="auto"/>
            <w:noWrap/>
            <w:vAlign w:val="center"/>
          </w:tcPr>
          <w:p w14:paraId="0107BEE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(38.4, 49.4)</w:t>
            </w:r>
          </w:p>
        </w:tc>
        <w:tc>
          <w:tcPr>
            <w:tcW w:w="536" w:type="dxa"/>
            <w:tcBorders>
              <w:top w:val="nil"/>
              <w:left w:val="single" w:sz="4" w:space="0" w:color="000000"/>
              <w:bottom w:val="nil"/>
              <w:right w:val="nil"/>
            </w:tcBorders>
            <w:shd w:val="clear" w:color="auto" w:fill="auto"/>
            <w:vAlign w:val="center"/>
          </w:tcPr>
          <w:p w14:paraId="2134600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130</w:t>
            </w:r>
          </w:p>
        </w:tc>
        <w:tc>
          <w:tcPr>
            <w:tcW w:w="567" w:type="dxa"/>
            <w:tcBorders>
              <w:top w:val="nil"/>
              <w:left w:val="nil"/>
              <w:bottom w:val="nil"/>
              <w:right w:val="nil"/>
            </w:tcBorders>
            <w:shd w:val="clear" w:color="auto" w:fill="auto"/>
            <w:vAlign w:val="center"/>
          </w:tcPr>
          <w:p w14:paraId="7155469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41.9</w:t>
            </w:r>
          </w:p>
        </w:tc>
        <w:tc>
          <w:tcPr>
            <w:tcW w:w="1146" w:type="dxa"/>
            <w:tcBorders>
              <w:top w:val="nil"/>
              <w:left w:val="nil"/>
              <w:bottom w:val="nil"/>
              <w:right w:val="single" w:sz="4" w:space="0" w:color="000000"/>
            </w:tcBorders>
            <w:shd w:val="clear" w:color="auto" w:fill="auto"/>
            <w:vAlign w:val="center"/>
          </w:tcPr>
          <w:p w14:paraId="6F81BD7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(35.6, 48.2)</w:t>
            </w:r>
          </w:p>
        </w:tc>
        <w:tc>
          <w:tcPr>
            <w:tcW w:w="536" w:type="dxa"/>
            <w:tcBorders>
              <w:top w:val="nil"/>
              <w:left w:val="single" w:sz="4" w:space="0" w:color="000000"/>
              <w:bottom w:val="nil"/>
              <w:right w:val="nil"/>
            </w:tcBorders>
            <w:shd w:val="clear" w:color="auto" w:fill="auto"/>
            <w:vAlign w:val="center"/>
          </w:tcPr>
          <w:p w14:paraId="5F4FA10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114</w:t>
            </w:r>
          </w:p>
        </w:tc>
        <w:tc>
          <w:tcPr>
            <w:tcW w:w="576" w:type="dxa"/>
            <w:tcBorders>
              <w:top w:val="nil"/>
              <w:left w:val="nil"/>
              <w:bottom w:val="nil"/>
              <w:right w:val="nil"/>
            </w:tcBorders>
            <w:shd w:val="clear" w:color="auto" w:fill="auto"/>
            <w:vAlign w:val="center"/>
          </w:tcPr>
          <w:p w14:paraId="0CE0848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40.8</w:t>
            </w:r>
          </w:p>
        </w:tc>
        <w:tc>
          <w:tcPr>
            <w:tcW w:w="1146" w:type="dxa"/>
            <w:tcBorders>
              <w:top w:val="nil"/>
              <w:left w:val="nil"/>
              <w:bottom w:val="nil"/>
              <w:right w:val="nil"/>
            </w:tcBorders>
            <w:shd w:val="clear" w:color="auto" w:fill="auto"/>
            <w:vAlign w:val="center"/>
          </w:tcPr>
          <w:p w14:paraId="1C49B8E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(34.1, 47.6)</w:t>
            </w:r>
          </w:p>
        </w:tc>
      </w:tr>
      <w:tr w:rsidR="009118DA" w:rsidRPr="00D76D7F" w14:paraId="4EC498A6"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5D73017C" w14:textId="77777777" w:rsidR="003D7BB5" w:rsidRPr="00D76D7F" w:rsidRDefault="003D7BB5" w:rsidP="00DD0F28">
            <w:pPr>
              <w:tabs>
                <w:tab w:val="left" w:pos="176"/>
              </w:tabs>
              <w:spacing w:before="20" w:after="20"/>
              <w:rPr>
                <w:rFonts w:eastAsiaTheme="minorEastAsia"/>
                <w:b w:val="0"/>
                <w:sz w:val="18"/>
                <w:szCs w:val="18"/>
                <w:lang w:eastAsia="en-US"/>
              </w:rPr>
            </w:pPr>
            <w:r w:rsidRPr="00D76D7F">
              <w:rPr>
                <w:rFonts w:eastAsiaTheme="minorEastAsia"/>
                <w:b w:val="0"/>
                <w:sz w:val="18"/>
                <w:szCs w:val="18"/>
                <w:lang w:eastAsia="en-US"/>
              </w:rPr>
              <w:tab/>
              <w:t>Infrequent gambler</w:t>
            </w:r>
          </w:p>
        </w:tc>
        <w:tc>
          <w:tcPr>
            <w:tcW w:w="536" w:type="dxa"/>
            <w:tcBorders>
              <w:top w:val="nil"/>
              <w:left w:val="nil"/>
              <w:bottom w:val="nil"/>
              <w:right w:val="nil"/>
            </w:tcBorders>
            <w:shd w:val="clear" w:color="auto" w:fill="auto"/>
            <w:noWrap/>
            <w:vAlign w:val="center"/>
          </w:tcPr>
          <w:p w14:paraId="200CE45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314</w:t>
            </w:r>
          </w:p>
        </w:tc>
        <w:tc>
          <w:tcPr>
            <w:tcW w:w="567" w:type="dxa"/>
            <w:tcBorders>
              <w:top w:val="nil"/>
              <w:left w:val="nil"/>
              <w:bottom w:val="nil"/>
              <w:right w:val="nil"/>
            </w:tcBorders>
            <w:shd w:val="clear" w:color="auto" w:fill="auto"/>
            <w:noWrap/>
            <w:vAlign w:val="center"/>
          </w:tcPr>
          <w:p w14:paraId="299FAAF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49.2</w:t>
            </w:r>
          </w:p>
        </w:tc>
        <w:tc>
          <w:tcPr>
            <w:tcW w:w="1146" w:type="dxa"/>
            <w:tcBorders>
              <w:top w:val="nil"/>
              <w:left w:val="nil"/>
              <w:bottom w:val="nil"/>
              <w:right w:val="single" w:sz="4" w:space="0" w:color="auto"/>
            </w:tcBorders>
            <w:shd w:val="clear" w:color="auto" w:fill="auto"/>
            <w:noWrap/>
            <w:vAlign w:val="center"/>
          </w:tcPr>
          <w:p w14:paraId="6D6F117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(45.3, 53.1)</w:t>
            </w:r>
          </w:p>
        </w:tc>
        <w:tc>
          <w:tcPr>
            <w:tcW w:w="536" w:type="dxa"/>
            <w:tcBorders>
              <w:top w:val="nil"/>
              <w:left w:val="single" w:sz="4" w:space="0" w:color="auto"/>
              <w:bottom w:val="nil"/>
              <w:right w:val="nil"/>
            </w:tcBorders>
            <w:shd w:val="clear" w:color="auto" w:fill="auto"/>
            <w:noWrap/>
            <w:vAlign w:val="center"/>
          </w:tcPr>
          <w:p w14:paraId="58FDB12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173</w:t>
            </w:r>
          </w:p>
        </w:tc>
        <w:tc>
          <w:tcPr>
            <w:tcW w:w="621" w:type="dxa"/>
            <w:tcBorders>
              <w:top w:val="nil"/>
              <w:left w:val="nil"/>
              <w:bottom w:val="nil"/>
              <w:right w:val="nil"/>
            </w:tcBorders>
            <w:shd w:val="clear" w:color="auto" w:fill="auto"/>
            <w:noWrap/>
            <w:vAlign w:val="center"/>
          </w:tcPr>
          <w:p w14:paraId="17815A7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47.0</w:t>
            </w:r>
          </w:p>
        </w:tc>
        <w:tc>
          <w:tcPr>
            <w:tcW w:w="1146" w:type="dxa"/>
            <w:tcBorders>
              <w:top w:val="nil"/>
              <w:left w:val="nil"/>
              <w:bottom w:val="nil"/>
              <w:right w:val="single" w:sz="4" w:space="0" w:color="000000"/>
            </w:tcBorders>
            <w:shd w:val="clear" w:color="auto" w:fill="auto"/>
            <w:noWrap/>
            <w:vAlign w:val="center"/>
          </w:tcPr>
          <w:p w14:paraId="58785D6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(41.6, 52.4)</w:t>
            </w:r>
          </w:p>
        </w:tc>
        <w:tc>
          <w:tcPr>
            <w:tcW w:w="536" w:type="dxa"/>
            <w:tcBorders>
              <w:top w:val="nil"/>
              <w:left w:val="single" w:sz="4" w:space="0" w:color="000000"/>
              <w:bottom w:val="nil"/>
              <w:right w:val="nil"/>
            </w:tcBorders>
            <w:shd w:val="clear" w:color="auto" w:fill="auto"/>
            <w:vAlign w:val="center"/>
          </w:tcPr>
          <w:p w14:paraId="1CA3E78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151</w:t>
            </w:r>
          </w:p>
        </w:tc>
        <w:tc>
          <w:tcPr>
            <w:tcW w:w="567" w:type="dxa"/>
            <w:tcBorders>
              <w:top w:val="nil"/>
              <w:left w:val="nil"/>
              <w:bottom w:val="nil"/>
              <w:right w:val="nil"/>
            </w:tcBorders>
            <w:shd w:val="clear" w:color="auto" w:fill="auto"/>
            <w:vAlign w:val="center"/>
          </w:tcPr>
          <w:p w14:paraId="56F6C95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48.6</w:t>
            </w:r>
          </w:p>
        </w:tc>
        <w:tc>
          <w:tcPr>
            <w:tcW w:w="1146" w:type="dxa"/>
            <w:tcBorders>
              <w:top w:val="nil"/>
              <w:left w:val="nil"/>
              <w:bottom w:val="nil"/>
              <w:right w:val="single" w:sz="4" w:space="0" w:color="000000"/>
            </w:tcBorders>
            <w:shd w:val="clear" w:color="auto" w:fill="auto"/>
            <w:vAlign w:val="center"/>
          </w:tcPr>
          <w:p w14:paraId="5497D70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(42.3, 54.9)</w:t>
            </w:r>
          </w:p>
        </w:tc>
        <w:tc>
          <w:tcPr>
            <w:tcW w:w="536" w:type="dxa"/>
            <w:tcBorders>
              <w:top w:val="nil"/>
              <w:left w:val="single" w:sz="4" w:space="0" w:color="000000"/>
              <w:bottom w:val="nil"/>
              <w:right w:val="nil"/>
            </w:tcBorders>
            <w:shd w:val="clear" w:color="auto" w:fill="auto"/>
            <w:vAlign w:val="center"/>
          </w:tcPr>
          <w:p w14:paraId="6020935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142</w:t>
            </w:r>
          </w:p>
        </w:tc>
        <w:tc>
          <w:tcPr>
            <w:tcW w:w="576" w:type="dxa"/>
            <w:tcBorders>
              <w:top w:val="nil"/>
              <w:left w:val="nil"/>
              <w:bottom w:val="nil"/>
              <w:right w:val="nil"/>
            </w:tcBorders>
            <w:shd w:val="clear" w:color="auto" w:fill="auto"/>
            <w:vAlign w:val="center"/>
          </w:tcPr>
          <w:p w14:paraId="5CC03C4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50.7</w:t>
            </w:r>
          </w:p>
        </w:tc>
        <w:tc>
          <w:tcPr>
            <w:tcW w:w="1146" w:type="dxa"/>
            <w:tcBorders>
              <w:top w:val="nil"/>
              <w:left w:val="nil"/>
              <w:bottom w:val="nil"/>
              <w:right w:val="nil"/>
            </w:tcBorders>
            <w:shd w:val="clear" w:color="auto" w:fill="auto"/>
            <w:vAlign w:val="center"/>
          </w:tcPr>
          <w:p w14:paraId="55D45B6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(43.8, 57.5)</w:t>
            </w:r>
          </w:p>
        </w:tc>
      </w:tr>
      <w:tr w:rsidR="009118DA" w:rsidRPr="00D76D7F" w14:paraId="02E89747"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672104A6" w14:textId="77777777" w:rsidR="003D7BB5" w:rsidRPr="00D76D7F" w:rsidRDefault="003D7BB5" w:rsidP="00DD0F28">
            <w:pPr>
              <w:tabs>
                <w:tab w:val="left" w:pos="318"/>
              </w:tabs>
              <w:spacing w:before="20" w:after="20"/>
              <w:ind w:left="176" w:hanging="176"/>
              <w:rPr>
                <w:rFonts w:eastAsiaTheme="minorEastAsia"/>
                <w:b w:val="0"/>
                <w:sz w:val="18"/>
                <w:szCs w:val="18"/>
                <w:lang w:eastAsia="en-US"/>
              </w:rPr>
            </w:pPr>
            <w:r w:rsidRPr="00D76D7F">
              <w:rPr>
                <w:rFonts w:eastAsiaTheme="minorEastAsia"/>
                <w:b w:val="0"/>
                <w:sz w:val="18"/>
                <w:szCs w:val="18"/>
                <w:lang w:eastAsia="en-US"/>
              </w:rPr>
              <w:tab/>
              <w:t>Regular non-continuous gambler</w:t>
            </w:r>
          </w:p>
        </w:tc>
        <w:tc>
          <w:tcPr>
            <w:tcW w:w="536" w:type="dxa"/>
            <w:tcBorders>
              <w:top w:val="nil"/>
              <w:left w:val="nil"/>
              <w:bottom w:val="nil"/>
              <w:right w:val="nil"/>
            </w:tcBorders>
            <w:shd w:val="clear" w:color="auto" w:fill="auto"/>
            <w:noWrap/>
            <w:vAlign w:val="center"/>
          </w:tcPr>
          <w:p w14:paraId="78BC472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49</w:t>
            </w:r>
          </w:p>
        </w:tc>
        <w:tc>
          <w:tcPr>
            <w:tcW w:w="567" w:type="dxa"/>
            <w:tcBorders>
              <w:top w:val="nil"/>
              <w:left w:val="nil"/>
              <w:bottom w:val="nil"/>
              <w:right w:val="nil"/>
            </w:tcBorders>
            <w:shd w:val="clear" w:color="auto" w:fill="auto"/>
            <w:noWrap/>
            <w:vAlign w:val="center"/>
          </w:tcPr>
          <w:p w14:paraId="6A0327E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7.7</w:t>
            </w:r>
          </w:p>
        </w:tc>
        <w:tc>
          <w:tcPr>
            <w:tcW w:w="1146" w:type="dxa"/>
            <w:tcBorders>
              <w:top w:val="nil"/>
              <w:left w:val="nil"/>
              <w:bottom w:val="nil"/>
              <w:right w:val="single" w:sz="4" w:space="0" w:color="auto"/>
            </w:tcBorders>
            <w:shd w:val="clear" w:color="auto" w:fill="auto"/>
            <w:noWrap/>
            <w:vAlign w:val="center"/>
          </w:tcPr>
          <w:p w14:paraId="161F406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(5.7, 9.6)</w:t>
            </w:r>
          </w:p>
        </w:tc>
        <w:tc>
          <w:tcPr>
            <w:tcW w:w="536" w:type="dxa"/>
            <w:tcBorders>
              <w:top w:val="nil"/>
              <w:left w:val="single" w:sz="4" w:space="0" w:color="auto"/>
              <w:bottom w:val="nil"/>
              <w:right w:val="nil"/>
            </w:tcBorders>
            <w:shd w:val="clear" w:color="auto" w:fill="auto"/>
            <w:noWrap/>
            <w:vAlign w:val="center"/>
          </w:tcPr>
          <w:p w14:paraId="47F6AE0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27</w:t>
            </w:r>
          </w:p>
        </w:tc>
        <w:tc>
          <w:tcPr>
            <w:tcW w:w="621" w:type="dxa"/>
            <w:tcBorders>
              <w:top w:val="nil"/>
              <w:left w:val="nil"/>
              <w:bottom w:val="nil"/>
              <w:right w:val="nil"/>
            </w:tcBorders>
            <w:shd w:val="clear" w:color="auto" w:fill="auto"/>
            <w:noWrap/>
            <w:vAlign w:val="center"/>
          </w:tcPr>
          <w:p w14:paraId="5D7FDB2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7.3</w:t>
            </w:r>
          </w:p>
        </w:tc>
        <w:tc>
          <w:tcPr>
            <w:tcW w:w="1146" w:type="dxa"/>
            <w:tcBorders>
              <w:top w:val="nil"/>
              <w:left w:val="nil"/>
              <w:bottom w:val="nil"/>
              <w:right w:val="single" w:sz="4" w:space="0" w:color="000000"/>
            </w:tcBorders>
            <w:shd w:val="clear" w:color="auto" w:fill="auto"/>
            <w:noWrap/>
            <w:vAlign w:val="center"/>
          </w:tcPr>
          <w:p w14:paraId="0D07240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(4.6, 9.9)</w:t>
            </w:r>
          </w:p>
        </w:tc>
        <w:tc>
          <w:tcPr>
            <w:tcW w:w="536" w:type="dxa"/>
            <w:tcBorders>
              <w:top w:val="nil"/>
              <w:left w:val="single" w:sz="4" w:space="0" w:color="000000"/>
              <w:bottom w:val="nil"/>
              <w:right w:val="nil"/>
            </w:tcBorders>
            <w:shd w:val="clear" w:color="auto" w:fill="auto"/>
            <w:vAlign w:val="center"/>
          </w:tcPr>
          <w:p w14:paraId="65FD4D7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21</w:t>
            </w:r>
          </w:p>
        </w:tc>
        <w:tc>
          <w:tcPr>
            <w:tcW w:w="567" w:type="dxa"/>
            <w:tcBorders>
              <w:top w:val="nil"/>
              <w:left w:val="nil"/>
              <w:bottom w:val="nil"/>
              <w:right w:val="nil"/>
            </w:tcBorders>
            <w:shd w:val="clear" w:color="auto" w:fill="auto"/>
            <w:vAlign w:val="center"/>
          </w:tcPr>
          <w:p w14:paraId="4190FDC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6.7</w:t>
            </w:r>
          </w:p>
        </w:tc>
        <w:tc>
          <w:tcPr>
            <w:tcW w:w="1146" w:type="dxa"/>
            <w:tcBorders>
              <w:top w:val="nil"/>
              <w:left w:val="nil"/>
              <w:bottom w:val="nil"/>
              <w:right w:val="single" w:sz="4" w:space="0" w:color="000000"/>
            </w:tcBorders>
            <w:shd w:val="clear" w:color="auto" w:fill="auto"/>
            <w:vAlign w:val="center"/>
          </w:tcPr>
          <w:p w14:paraId="7263D22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(3.7, 9.6)</w:t>
            </w:r>
          </w:p>
        </w:tc>
        <w:tc>
          <w:tcPr>
            <w:tcW w:w="536" w:type="dxa"/>
            <w:tcBorders>
              <w:top w:val="nil"/>
              <w:left w:val="single" w:sz="4" w:space="0" w:color="000000"/>
              <w:bottom w:val="nil"/>
              <w:right w:val="nil"/>
            </w:tcBorders>
            <w:shd w:val="clear" w:color="auto" w:fill="auto"/>
            <w:vAlign w:val="center"/>
          </w:tcPr>
          <w:p w14:paraId="7A829B8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w:t>
            </w:r>
          </w:p>
        </w:tc>
        <w:tc>
          <w:tcPr>
            <w:tcW w:w="576" w:type="dxa"/>
            <w:tcBorders>
              <w:top w:val="nil"/>
              <w:left w:val="nil"/>
              <w:bottom w:val="nil"/>
              <w:right w:val="nil"/>
            </w:tcBorders>
            <w:shd w:val="clear" w:color="auto" w:fill="auto"/>
            <w:vAlign w:val="center"/>
          </w:tcPr>
          <w:p w14:paraId="7F95770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6.0</w:t>
            </w:r>
          </w:p>
        </w:tc>
        <w:tc>
          <w:tcPr>
            <w:tcW w:w="1146" w:type="dxa"/>
            <w:tcBorders>
              <w:top w:val="nil"/>
              <w:left w:val="nil"/>
              <w:bottom w:val="nil"/>
              <w:right w:val="nil"/>
            </w:tcBorders>
            <w:shd w:val="clear" w:color="auto" w:fill="auto"/>
            <w:vAlign w:val="center"/>
          </w:tcPr>
          <w:p w14:paraId="240585B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(2.9, 9.1)</w:t>
            </w:r>
          </w:p>
        </w:tc>
      </w:tr>
      <w:tr w:rsidR="009118DA" w:rsidRPr="00D76D7F" w14:paraId="06DF94FF"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30003CAF" w14:textId="77777777" w:rsidR="003D7BB5" w:rsidRPr="00D76D7F" w:rsidRDefault="003D7BB5" w:rsidP="00DD0F28">
            <w:pPr>
              <w:tabs>
                <w:tab w:val="left" w:pos="176"/>
              </w:tabs>
              <w:spacing w:before="20" w:after="40"/>
              <w:rPr>
                <w:rFonts w:eastAsiaTheme="minorEastAsia"/>
                <w:b w:val="0"/>
                <w:sz w:val="18"/>
                <w:szCs w:val="18"/>
                <w:lang w:eastAsia="en-US"/>
              </w:rPr>
            </w:pPr>
            <w:r w:rsidRPr="00D76D7F">
              <w:rPr>
                <w:rFonts w:eastAsiaTheme="minorEastAsia"/>
                <w:b w:val="0"/>
                <w:sz w:val="18"/>
                <w:szCs w:val="18"/>
                <w:lang w:eastAsia="en-US"/>
              </w:rPr>
              <w:tab/>
              <w:t>Regular continuous gambler</w:t>
            </w:r>
          </w:p>
        </w:tc>
        <w:tc>
          <w:tcPr>
            <w:tcW w:w="536" w:type="dxa"/>
            <w:tcBorders>
              <w:top w:val="nil"/>
              <w:left w:val="nil"/>
              <w:bottom w:val="nil"/>
              <w:right w:val="nil"/>
            </w:tcBorders>
            <w:shd w:val="clear" w:color="auto" w:fill="auto"/>
            <w:noWrap/>
            <w:vAlign w:val="center"/>
          </w:tcPr>
          <w:p w14:paraId="1424E0C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21</w:t>
            </w:r>
          </w:p>
        </w:tc>
        <w:tc>
          <w:tcPr>
            <w:tcW w:w="567" w:type="dxa"/>
            <w:tcBorders>
              <w:top w:val="nil"/>
              <w:left w:val="nil"/>
              <w:bottom w:val="nil"/>
              <w:right w:val="nil"/>
            </w:tcBorders>
            <w:shd w:val="clear" w:color="auto" w:fill="auto"/>
            <w:noWrap/>
            <w:vAlign w:val="center"/>
          </w:tcPr>
          <w:p w14:paraId="65CF8BD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3.4</w:t>
            </w:r>
          </w:p>
        </w:tc>
        <w:tc>
          <w:tcPr>
            <w:tcW w:w="1146" w:type="dxa"/>
            <w:tcBorders>
              <w:top w:val="nil"/>
              <w:left w:val="nil"/>
              <w:bottom w:val="nil"/>
              <w:right w:val="single" w:sz="4" w:space="0" w:color="auto"/>
            </w:tcBorders>
            <w:shd w:val="clear" w:color="auto" w:fill="auto"/>
            <w:noWrap/>
            <w:vAlign w:val="center"/>
          </w:tcPr>
          <w:p w14:paraId="6635236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(1.9, 4.9)</w:t>
            </w:r>
          </w:p>
        </w:tc>
        <w:tc>
          <w:tcPr>
            <w:tcW w:w="536" w:type="dxa"/>
            <w:tcBorders>
              <w:top w:val="nil"/>
              <w:left w:val="single" w:sz="4" w:space="0" w:color="auto"/>
              <w:bottom w:val="nil"/>
              <w:right w:val="nil"/>
            </w:tcBorders>
            <w:shd w:val="clear" w:color="auto" w:fill="auto"/>
            <w:noWrap/>
            <w:vAlign w:val="center"/>
          </w:tcPr>
          <w:p w14:paraId="1F9D08C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w:t>
            </w:r>
          </w:p>
        </w:tc>
        <w:tc>
          <w:tcPr>
            <w:tcW w:w="621" w:type="dxa"/>
            <w:tcBorders>
              <w:top w:val="nil"/>
              <w:left w:val="nil"/>
              <w:bottom w:val="nil"/>
              <w:right w:val="nil"/>
            </w:tcBorders>
            <w:shd w:val="clear" w:color="auto" w:fill="auto"/>
            <w:noWrap/>
            <w:vAlign w:val="center"/>
          </w:tcPr>
          <w:p w14:paraId="6665AD2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w:t>
            </w:r>
          </w:p>
        </w:tc>
        <w:tc>
          <w:tcPr>
            <w:tcW w:w="1146" w:type="dxa"/>
            <w:tcBorders>
              <w:top w:val="nil"/>
              <w:left w:val="nil"/>
              <w:bottom w:val="nil"/>
              <w:right w:val="single" w:sz="4" w:space="0" w:color="000000"/>
            </w:tcBorders>
            <w:shd w:val="clear" w:color="auto" w:fill="auto"/>
            <w:noWrap/>
            <w:vAlign w:val="center"/>
          </w:tcPr>
          <w:p w14:paraId="65AF9CB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(0.5, 3.3)</w:t>
            </w:r>
          </w:p>
        </w:tc>
        <w:tc>
          <w:tcPr>
            <w:tcW w:w="536" w:type="dxa"/>
            <w:tcBorders>
              <w:top w:val="nil"/>
              <w:left w:val="single" w:sz="4" w:space="0" w:color="000000"/>
              <w:bottom w:val="nil"/>
              <w:right w:val="nil"/>
            </w:tcBorders>
            <w:shd w:val="clear" w:color="auto" w:fill="auto"/>
            <w:vAlign w:val="center"/>
          </w:tcPr>
          <w:p w14:paraId="1D1CB8A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w:t>
            </w:r>
          </w:p>
        </w:tc>
        <w:tc>
          <w:tcPr>
            <w:tcW w:w="567" w:type="dxa"/>
            <w:tcBorders>
              <w:top w:val="nil"/>
              <w:left w:val="nil"/>
              <w:bottom w:val="nil"/>
              <w:right w:val="nil"/>
            </w:tcBorders>
            <w:shd w:val="clear" w:color="auto" w:fill="auto"/>
            <w:vAlign w:val="center"/>
          </w:tcPr>
          <w:p w14:paraId="71E4CF2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2.9</w:t>
            </w:r>
          </w:p>
        </w:tc>
        <w:tc>
          <w:tcPr>
            <w:tcW w:w="1146" w:type="dxa"/>
            <w:tcBorders>
              <w:top w:val="nil"/>
              <w:left w:val="nil"/>
              <w:bottom w:val="nil"/>
              <w:right w:val="single" w:sz="4" w:space="0" w:color="000000"/>
            </w:tcBorders>
            <w:shd w:val="clear" w:color="auto" w:fill="auto"/>
            <w:vAlign w:val="center"/>
          </w:tcPr>
          <w:p w14:paraId="71EB3DD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(0.9, 4.8)</w:t>
            </w:r>
          </w:p>
        </w:tc>
        <w:tc>
          <w:tcPr>
            <w:tcW w:w="536" w:type="dxa"/>
            <w:tcBorders>
              <w:top w:val="nil"/>
              <w:left w:val="single" w:sz="4" w:space="0" w:color="000000"/>
              <w:bottom w:val="nil"/>
              <w:right w:val="nil"/>
            </w:tcBorders>
            <w:shd w:val="clear" w:color="auto" w:fill="auto"/>
            <w:vAlign w:val="center"/>
          </w:tcPr>
          <w:p w14:paraId="68B04FE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w:t>
            </w:r>
          </w:p>
        </w:tc>
        <w:tc>
          <w:tcPr>
            <w:tcW w:w="576" w:type="dxa"/>
            <w:tcBorders>
              <w:top w:val="nil"/>
              <w:left w:val="nil"/>
              <w:bottom w:val="nil"/>
              <w:right w:val="nil"/>
            </w:tcBorders>
            <w:shd w:val="clear" w:color="auto" w:fill="auto"/>
            <w:vAlign w:val="center"/>
          </w:tcPr>
          <w:p w14:paraId="4EF7037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2.5</w:t>
            </w:r>
          </w:p>
        </w:tc>
        <w:tc>
          <w:tcPr>
            <w:tcW w:w="1146" w:type="dxa"/>
            <w:tcBorders>
              <w:top w:val="nil"/>
              <w:left w:val="nil"/>
              <w:bottom w:val="nil"/>
              <w:right w:val="nil"/>
            </w:tcBorders>
            <w:shd w:val="clear" w:color="auto" w:fill="auto"/>
            <w:vAlign w:val="center"/>
          </w:tcPr>
          <w:p w14:paraId="754C302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(0.2, 4.9)</w:t>
            </w:r>
          </w:p>
        </w:tc>
      </w:tr>
      <w:tr w:rsidR="009118DA" w:rsidRPr="00D76D7F" w14:paraId="25D55569"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4A63ABDD" w14:textId="77777777" w:rsidR="003D7BB5" w:rsidRPr="00D76D7F" w:rsidRDefault="003D7BB5" w:rsidP="00DD0F28">
            <w:pPr>
              <w:spacing w:before="20" w:after="20"/>
              <w:rPr>
                <w:rFonts w:eastAsiaTheme="minorEastAsia"/>
                <w:sz w:val="18"/>
                <w:szCs w:val="18"/>
                <w:lang w:eastAsia="en-US"/>
              </w:rPr>
            </w:pPr>
            <w:r w:rsidRPr="00D76D7F">
              <w:rPr>
                <w:rFonts w:eastAsiaTheme="minorEastAsia"/>
                <w:sz w:val="18"/>
                <w:szCs w:val="18"/>
                <w:lang w:eastAsia="en-US"/>
              </w:rPr>
              <w:t>Gambling frequency</w:t>
            </w:r>
          </w:p>
        </w:tc>
        <w:tc>
          <w:tcPr>
            <w:tcW w:w="536" w:type="dxa"/>
            <w:tcBorders>
              <w:top w:val="nil"/>
              <w:left w:val="nil"/>
              <w:bottom w:val="nil"/>
              <w:right w:val="nil"/>
            </w:tcBorders>
            <w:shd w:val="clear" w:color="auto" w:fill="auto"/>
            <w:noWrap/>
            <w:vAlign w:val="center"/>
          </w:tcPr>
          <w:p w14:paraId="6CC5241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shd w:val="clear" w:color="auto" w:fill="auto"/>
            <w:noWrap/>
            <w:vAlign w:val="center"/>
          </w:tcPr>
          <w:p w14:paraId="620641E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auto"/>
            </w:tcBorders>
            <w:shd w:val="clear" w:color="auto" w:fill="auto"/>
            <w:noWrap/>
            <w:vAlign w:val="center"/>
          </w:tcPr>
          <w:p w14:paraId="251BE42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auto"/>
              <w:bottom w:val="nil"/>
              <w:right w:val="nil"/>
            </w:tcBorders>
            <w:shd w:val="clear" w:color="auto" w:fill="auto"/>
            <w:noWrap/>
            <w:vAlign w:val="center"/>
          </w:tcPr>
          <w:p w14:paraId="3A0CC22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621" w:type="dxa"/>
            <w:tcBorders>
              <w:top w:val="nil"/>
              <w:left w:val="nil"/>
              <w:bottom w:val="nil"/>
              <w:right w:val="nil"/>
            </w:tcBorders>
            <w:shd w:val="clear" w:color="auto" w:fill="auto"/>
            <w:noWrap/>
            <w:vAlign w:val="center"/>
          </w:tcPr>
          <w:p w14:paraId="1682048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auto"/>
            <w:noWrap/>
            <w:vAlign w:val="center"/>
          </w:tcPr>
          <w:p w14:paraId="14F564A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shd w:val="clear" w:color="auto" w:fill="auto"/>
            <w:vAlign w:val="center"/>
          </w:tcPr>
          <w:p w14:paraId="2522FC7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shd w:val="clear" w:color="auto" w:fill="auto"/>
            <w:vAlign w:val="center"/>
          </w:tcPr>
          <w:p w14:paraId="4A3C11A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auto"/>
            <w:vAlign w:val="center"/>
          </w:tcPr>
          <w:p w14:paraId="7D7D5AB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shd w:val="clear" w:color="auto" w:fill="auto"/>
            <w:vAlign w:val="center"/>
          </w:tcPr>
          <w:p w14:paraId="4D0E7A7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6" w:type="dxa"/>
            <w:tcBorders>
              <w:top w:val="nil"/>
              <w:left w:val="nil"/>
              <w:bottom w:val="nil"/>
              <w:right w:val="nil"/>
            </w:tcBorders>
            <w:shd w:val="clear" w:color="auto" w:fill="auto"/>
            <w:vAlign w:val="center"/>
          </w:tcPr>
          <w:p w14:paraId="3F7D32D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shd w:val="clear" w:color="auto" w:fill="auto"/>
            <w:vAlign w:val="center"/>
          </w:tcPr>
          <w:p w14:paraId="41138B5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D76D7F" w14:paraId="0B678A4C"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043A5798" w14:textId="77777777" w:rsidR="003D7BB5" w:rsidRPr="00D76D7F" w:rsidRDefault="003D7BB5" w:rsidP="00DD0F28">
            <w:pPr>
              <w:tabs>
                <w:tab w:val="left" w:pos="205"/>
              </w:tabs>
              <w:spacing w:before="20" w:after="20"/>
              <w:rPr>
                <w:rFonts w:eastAsiaTheme="minorEastAsia"/>
                <w:b w:val="0"/>
                <w:sz w:val="18"/>
                <w:szCs w:val="18"/>
                <w:lang w:eastAsia="en-US"/>
              </w:rPr>
            </w:pPr>
            <w:r w:rsidRPr="00D76D7F">
              <w:rPr>
                <w:rFonts w:eastAsiaTheme="minorEastAsia"/>
                <w:b w:val="0"/>
                <w:sz w:val="18"/>
                <w:szCs w:val="18"/>
                <w:lang w:eastAsia="en-US"/>
              </w:rPr>
              <w:tab/>
              <w:t>No gambling in past year</w:t>
            </w:r>
          </w:p>
        </w:tc>
        <w:tc>
          <w:tcPr>
            <w:tcW w:w="536" w:type="dxa"/>
            <w:tcBorders>
              <w:top w:val="nil"/>
              <w:left w:val="nil"/>
              <w:bottom w:val="nil"/>
              <w:right w:val="nil"/>
            </w:tcBorders>
            <w:shd w:val="clear" w:color="auto" w:fill="auto"/>
            <w:noWrap/>
            <w:vAlign w:val="center"/>
          </w:tcPr>
          <w:p w14:paraId="4D3F096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254</w:t>
            </w:r>
          </w:p>
        </w:tc>
        <w:tc>
          <w:tcPr>
            <w:tcW w:w="567" w:type="dxa"/>
            <w:tcBorders>
              <w:top w:val="nil"/>
              <w:left w:val="nil"/>
              <w:bottom w:val="nil"/>
              <w:right w:val="nil"/>
            </w:tcBorders>
            <w:shd w:val="clear" w:color="auto" w:fill="auto"/>
            <w:noWrap/>
            <w:vAlign w:val="center"/>
          </w:tcPr>
          <w:p w14:paraId="0658B48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39.9</w:t>
            </w:r>
          </w:p>
        </w:tc>
        <w:tc>
          <w:tcPr>
            <w:tcW w:w="1146" w:type="dxa"/>
            <w:tcBorders>
              <w:top w:val="nil"/>
              <w:left w:val="nil"/>
              <w:bottom w:val="nil"/>
              <w:right w:val="single" w:sz="4" w:space="0" w:color="auto"/>
            </w:tcBorders>
            <w:shd w:val="clear" w:color="auto" w:fill="auto"/>
            <w:noWrap/>
            <w:vAlign w:val="center"/>
          </w:tcPr>
          <w:p w14:paraId="1413299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(36.1, 43.8)</w:t>
            </w:r>
          </w:p>
        </w:tc>
        <w:tc>
          <w:tcPr>
            <w:tcW w:w="536" w:type="dxa"/>
            <w:tcBorders>
              <w:top w:val="nil"/>
              <w:left w:val="single" w:sz="4" w:space="0" w:color="auto"/>
              <w:bottom w:val="nil"/>
              <w:right w:val="nil"/>
            </w:tcBorders>
            <w:shd w:val="clear" w:color="auto" w:fill="auto"/>
            <w:noWrap/>
            <w:vAlign w:val="center"/>
          </w:tcPr>
          <w:p w14:paraId="3E2E56D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162</w:t>
            </w:r>
          </w:p>
        </w:tc>
        <w:tc>
          <w:tcPr>
            <w:tcW w:w="621" w:type="dxa"/>
            <w:tcBorders>
              <w:top w:val="nil"/>
              <w:left w:val="nil"/>
              <w:bottom w:val="nil"/>
              <w:right w:val="nil"/>
            </w:tcBorders>
            <w:shd w:val="clear" w:color="auto" w:fill="auto"/>
            <w:noWrap/>
            <w:vAlign w:val="center"/>
          </w:tcPr>
          <w:p w14:paraId="12C5AA8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44.2</w:t>
            </w:r>
          </w:p>
        </w:tc>
        <w:tc>
          <w:tcPr>
            <w:tcW w:w="1146" w:type="dxa"/>
            <w:tcBorders>
              <w:top w:val="nil"/>
              <w:left w:val="nil"/>
              <w:bottom w:val="nil"/>
              <w:right w:val="single" w:sz="4" w:space="0" w:color="000000"/>
            </w:tcBorders>
            <w:shd w:val="clear" w:color="auto" w:fill="auto"/>
            <w:noWrap/>
            <w:vAlign w:val="center"/>
          </w:tcPr>
          <w:p w14:paraId="442AE62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(38.7, 49.7)</w:t>
            </w:r>
          </w:p>
        </w:tc>
        <w:tc>
          <w:tcPr>
            <w:tcW w:w="536" w:type="dxa"/>
            <w:tcBorders>
              <w:top w:val="nil"/>
              <w:left w:val="single" w:sz="4" w:space="0" w:color="000000"/>
              <w:bottom w:val="nil"/>
              <w:right w:val="nil"/>
            </w:tcBorders>
            <w:shd w:val="clear" w:color="auto" w:fill="auto"/>
            <w:vAlign w:val="center"/>
          </w:tcPr>
          <w:p w14:paraId="3CCBAD4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130</w:t>
            </w:r>
          </w:p>
        </w:tc>
        <w:tc>
          <w:tcPr>
            <w:tcW w:w="567" w:type="dxa"/>
            <w:tcBorders>
              <w:top w:val="nil"/>
              <w:left w:val="nil"/>
              <w:bottom w:val="nil"/>
              <w:right w:val="nil"/>
            </w:tcBorders>
            <w:shd w:val="clear" w:color="auto" w:fill="auto"/>
            <w:vAlign w:val="center"/>
          </w:tcPr>
          <w:p w14:paraId="6CC41B9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42.0</w:t>
            </w:r>
          </w:p>
        </w:tc>
        <w:tc>
          <w:tcPr>
            <w:tcW w:w="1146" w:type="dxa"/>
            <w:tcBorders>
              <w:top w:val="nil"/>
              <w:left w:val="nil"/>
              <w:bottom w:val="nil"/>
              <w:right w:val="single" w:sz="4" w:space="0" w:color="000000"/>
            </w:tcBorders>
            <w:shd w:val="clear" w:color="auto" w:fill="auto"/>
            <w:vAlign w:val="center"/>
          </w:tcPr>
          <w:p w14:paraId="3A64628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(35.7, 48.3)</w:t>
            </w:r>
          </w:p>
        </w:tc>
        <w:tc>
          <w:tcPr>
            <w:tcW w:w="536" w:type="dxa"/>
            <w:tcBorders>
              <w:top w:val="nil"/>
              <w:left w:val="single" w:sz="4" w:space="0" w:color="000000"/>
              <w:bottom w:val="nil"/>
              <w:right w:val="nil"/>
            </w:tcBorders>
            <w:shd w:val="clear" w:color="auto" w:fill="auto"/>
            <w:vAlign w:val="center"/>
          </w:tcPr>
          <w:p w14:paraId="38249EB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114</w:t>
            </w:r>
          </w:p>
        </w:tc>
        <w:tc>
          <w:tcPr>
            <w:tcW w:w="576" w:type="dxa"/>
            <w:tcBorders>
              <w:top w:val="nil"/>
              <w:left w:val="nil"/>
              <w:bottom w:val="nil"/>
              <w:right w:val="nil"/>
            </w:tcBorders>
            <w:shd w:val="clear" w:color="auto" w:fill="auto"/>
            <w:vAlign w:val="center"/>
          </w:tcPr>
          <w:p w14:paraId="6FE901B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40.9</w:t>
            </w:r>
          </w:p>
        </w:tc>
        <w:tc>
          <w:tcPr>
            <w:tcW w:w="1146" w:type="dxa"/>
            <w:tcBorders>
              <w:top w:val="nil"/>
              <w:left w:val="nil"/>
              <w:bottom w:val="nil"/>
              <w:right w:val="nil"/>
            </w:tcBorders>
            <w:shd w:val="clear" w:color="auto" w:fill="auto"/>
            <w:vAlign w:val="center"/>
          </w:tcPr>
          <w:p w14:paraId="58F35DE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(34.1, 47.7)</w:t>
            </w:r>
          </w:p>
        </w:tc>
      </w:tr>
      <w:tr w:rsidR="009118DA" w:rsidRPr="00D76D7F" w14:paraId="66B02F85"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1E312B60" w14:textId="77777777" w:rsidR="003D7BB5" w:rsidRPr="00D76D7F" w:rsidRDefault="003D7BB5" w:rsidP="00DD0F28">
            <w:pPr>
              <w:tabs>
                <w:tab w:val="left" w:pos="205"/>
              </w:tabs>
              <w:spacing w:before="20" w:after="20"/>
              <w:rPr>
                <w:rFonts w:eastAsiaTheme="minorEastAsia"/>
                <w:b w:val="0"/>
                <w:sz w:val="18"/>
                <w:szCs w:val="18"/>
                <w:lang w:eastAsia="en-US"/>
              </w:rPr>
            </w:pPr>
            <w:r w:rsidRPr="00D76D7F">
              <w:rPr>
                <w:rFonts w:eastAsiaTheme="minorEastAsia"/>
                <w:b w:val="0"/>
                <w:sz w:val="18"/>
                <w:szCs w:val="18"/>
                <w:lang w:eastAsia="en-US"/>
              </w:rPr>
              <w:tab/>
              <w:t>At least weekly</w:t>
            </w:r>
          </w:p>
        </w:tc>
        <w:tc>
          <w:tcPr>
            <w:tcW w:w="536" w:type="dxa"/>
            <w:tcBorders>
              <w:top w:val="nil"/>
              <w:left w:val="nil"/>
              <w:bottom w:val="nil"/>
              <w:right w:val="nil"/>
            </w:tcBorders>
            <w:shd w:val="clear" w:color="auto" w:fill="auto"/>
            <w:noWrap/>
            <w:vAlign w:val="center"/>
          </w:tcPr>
          <w:p w14:paraId="5F59CA5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70</w:t>
            </w:r>
          </w:p>
        </w:tc>
        <w:tc>
          <w:tcPr>
            <w:tcW w:w="567" w:type="dxa"/>
            <w:tcBorders>
              <w:top w:val="nil"/>
              <w:left w:val="nil"/>
              <w:bottom w:val="nil"/>
              <w:right w:val="nil"/>
            </w:tcBorders>
            <w:shd w:val="clear" w:color="auto" w:fill="auto"/>
            <w:noWrap/>
            <w:vAlign w:val="center"/>
          </w:tcPr>
          <w:p w14:paraId="12B3EB2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11.1</w:t>
            </w:r>
          </w:p>
        </w:tc>
        <w:tc>
          <w:tcPr>
            <w:tcW w:w="1146" w:type="dxa"/>
            <w:tcBorders>
              <w:top w:val="nil"/>
              <w:left w:val="nil"/>
              <w:bottom w:val="nil"/>
              <w:right w:val="single" w:sz="4" w:space="0" w:color="auto"/>
            </w:tcBorders>
            <w:shd w:val="clear" w:color="auto" w:fill="auto"/>
            <w:noWrap/>
            <w:vAlign w:val="center"/>
          </w:tcPr>
          <w:p w14:paraId="1B5133E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(8.6, 13.5)</w:t>
            </w:r>
          </w:p>
        </w:tc>
        <w:tc>
          <w:tcPr>
            <w:tcW w:w="536" w:type="dxa"/>
            <w:tcBorders>
              <w:top w:val="nil"/>
              <w:left w:val="single" w:sz="4" w:space="0" w:color="auto"/>
              <w:bottom w:val="nil"/>
              <w:right w:val="nil"/>
            </w:tcBorders>
            <w:shd w:val="clear" w:color="auto" w:fill="auto"/>
            <w:noWrap/>
            <w:vAlign w:val="center"/>
          </w:tcPr>
          <w:p w14:paraId="1541CF2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35</w:t>
            </w:r>
          </w:p>
        </w:tc>
        <w:tc>
          <w:tcPr>
            <w:tcW w:w="621" w:type="dxa"/>
            <w:tcBorders>
              <w:top w:val="nil"/>
              <w:left w:val="nil"/>
              <w:bottom w:val="nil"/>
              <w:right w:val="nil"/>
            </w:tcBorders>
            <w:shd w:val="clear" w:color="auto" w:fill="auto"/>
            <w:noWrap/>
            <w:vAlign w:val="center"/>
          </w:tcPr>
          <w:p w14:paraId="18B4227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9.5</w:t>
            </w:r>
          </w:p>
        </w:tc>
        <w:tc>
          <w:tcPr>
            <w:tcW w:w="1146" w:type="dxa"/>
            <w:tcBorders>
              <w:top w:val="nil"/>
              <w:left w:val="nil"/>
              <w:bottom w:val="nil"/>
              <w:right w:val="single" w:sz="4" w:space="0" w:color="000000"/>
            </w:tcBorders>
            <w:shd w:val="clear" w:color="auto" w:fill="auto"/>
            <w:noWrap/>
            <w:vAlign w:val="center"/>
          </w:tcPr>
          <w:p w14:paraId="519C1F2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(6.5, 12.5)</w:t>
            </w:r>
          </w:p>
        </w:tc>
        <w:tc>
          <w:tcPr>
            <w:tcW w:w="536" w:type="dxa"/>
            <w:tcBorders>
              <w:top w:val="nil"/>
              <w:left w:val="single" w:sz="4" w:space="0" w:color="000000"/>
              <w:bottom w:val="nil"/>
              <w:right w:val="nil"/>
            </w:tcBorders>
            <w:shd w:val="clear" w:color="auto" w:fill="auto"/>
            <w:vAlign w:val="center"/>
          </w:tcPr>
          <w:p w14:paraId="6D63094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w:t>
            </w:r>
          </w:p>
        </w:tc>
        <w:tc>
          <w:tcPr>
            <w:tcW w:w="567" w:type="dxa"/>
            <w:tcBorders>
              <w:top w:val="nil"/>
              <w:left w:val="nil"/>
              <w:bottom w:val="nil"/>
              <w:right w:val="nil"/>
            </w:tcBorders>
            <w:shd w:val="clear" w:color="auto" w:fill="auto"/>
            <w:vAlign w:val="center"/>
          </w:tcPr>
          <w:p w14:paraId="0B67F64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9.6</w:t>
            </w:r>
          </w:p>
        </w:tc>
        <w:tc>
          <w:tcPr>
            <w:tcW w:w="1146" w:type="dxa"/>
            <w:tcBorders>
              <w:top w:val="nil"/>
              <w:left w:val="nil"/>
              <w:bottom w:val="nil"/>
              <w:right w:val="single" w:sz="4" w:space="0" w:color="000000"/>
            </w:tcBorders>
            <w:shd w:val="clear" w:color="auto" w:fill="auto"/>
            <w:vAlign w:val="center"/>
          </w:tcPr>
          <w:p w14:paraId="2E5F196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(6.1, 13.0)</w:t>
            </w:r>
          </w:p>
        </w:tc>
        <w:tc>
          <w:tcPr>
            <w:tcW w:w="536" w:type="dxa"/>
            <w:tcBorders>
              <w:top w:val="nil"/>
              <w:left w:val="single" w:sz="4" w:space="0" w:color="000000"/>
              <w:bottom w:val="nil"/>
              <w:right w:val="nil"/>
            </w:tcBorders>
            <w:shd w:val="clear" w:color="auto" w:fill="auto"/>
            <w:vAlign w:val="center"/>
          </w:tcPr>
          <w:p w14:paraId="115EF6B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25</w:t>
            </w:r>
          </w:p>
        </w:tc>
        <w:tc>
          <w:tcPr>
            <w:tcW w:w="576" w:type="dxa"/>
            <w:tcBorders>
              <w:top w:val="nil"/>
              <w:left w:val="nil"/>
              <w:bottom w:val="nil"/>
              <w:right w:val="nil"/>
            </w:tcBorders>
            <w:shd w:val="clear" w:color="auto" w:fill="auto"/>
            <w:vAlign w:val="center"/>
          </w:tcPr>
          <w:p w14:paraId="032C747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8.9</w:t>
            </w:r>
          </w:p>
        </w:tc>
        <w:tc>
          <w:tcPr>
            <w:tcW w:w="1146" w:type="dxa"/>
            <w:tcBorders>
              <w:top w:val="nil"/>
              <w:left w:val="nil"/>
              <w:bottom w:val="nil"/>
              <w:right w:val="nil"/>
            </w:tcBorders>
            <w:shd w:val="clear" w:color="auto" w:fill="auto"/>
            <w:vAlign w:val="center"/>
          </w:tcPr>
          <w:p w14:paraId="5B7D083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(5.0, 12.7)</w:t>
            </w:r>
          </w:p>
        </w:tc>
      </w:tr>
      <w:tr w:rsidR="009118DA" w:rsidRPr="00D76D7F" w14:paraId="5EC05AFC"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101BEB7E" w14:textId="77777777" w:rsidR="003D7BB5" w:rsidRPr="00D76D7F" w:rsidRDefault="003D7BB5" w:rsidP="00DD0F28">
            <w:pPr>
              <w:tabs>
                <w:tab w:val="left" w:pos="205"/>
              </w:tabs>
              <w:spacing w:before="20" w:after="20"/>
              <w:rPr>
                <w:rFonts w:eastAsiaTheme="minorEastAsia"/>
                <w:b w:val="0"/>
                <w:sz w:val="18"/>
                <w:szCs w:val="18"/>
              </w:rPr>
            </w:pPr>
            <w:r w:rsidRPr="00D76D7F">
              <w:rPr>
                <w:rFonts w:eastAsiaTheme="minorEastAsia"/>
                <w:b w:val="0"/>
                <w:sz w:val="18"/>
                <w:szCs w:val="18"/>
              </w:rPr>
              <w:tab/>
              <w:t>At least monthly</w:t>
            </w:r>
          </w:p>
        </w:tc>
        <w:tc>
          <w:tcPr>
            <w:tcW w:w="536" w:type="dxa"/>
            <w:tcBorders>
              <w:top w:val="nil"/>
              <w:left w:val="nil"/>
              <w:bottom w:val="nil"/>
              <w:right w:val="nil"/>
            </w:tcBorders>
            <w:shd w:val="clear" w:color="auto" w:fill="auto"/>
            <w:noWrap/>
            <w:vAlign w:val="center"/>
          </w:tcPr>
          <w:p w14:paraId="1A26030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126</w:t>
            </w:r>
          </w:p>
        </w:tc>
        <w:tc>
          <w:tcPr>
            <w:tcW w:w="567" w:type="dxa"/>
            <w:tcBorders>
              <w:top w:val="nil"/>
              <w:left w:val="nil"/>
              <w:bottom w:val="nil"/>
              <w:right w:val="nil"/>
            </w:tcBorders>
            <w:shd w:val="clear" w:color="auto" w:fill="auto"/>
            <w:noWrap/>
            <w:vAlign w:val="center"/>
          </w:tcPr>
          <w:p w14:paraId="3F4E537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19.9</w:t>
            </w:r>
          </w:p>
        </w:tc>
        <w:tc>
          <w:tcPr>
            <w:tcW w:w="1146" w:type="dxa"/>
            <w:tcBorders>
              <w:top w:val="nil"/>
              <w:left w:val="nil"/>
              <w:bottom w:val="nil"/>
              <w:right w:val="single" w:sz="4" w:space="0" w:color="auto"/>
            </w:tcBorders>
            <w:shd w:val="clear" w:color="auto" w:fill="auto"/>
            <w:noWrap/>
            <w:vAlign w:val="center"/>
          </w:tcPr>
          <w:p w14:paraId="3AE40F9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(16.8, 23.0)</w:t>
            </w:r>
          </w:p>
        </w:tc>
        <w:tc>
          <w:tcPr>
            <w:tcW w:w="536" w:type="dxa"/>
            <w:tcBorders>
              <w:top w:val="nil"/>
              <w:left w:val="single" w:sz="4" w:space="0" w:color="auto"/>
              <w:bottom w:val="nil"/>
              <w:right w:val="nil"/>
            </w:tcBorders>
            <w:shd w:val="clear" w:color="auto" w:fill="auto"/>
            <w:noWrap/>
            <w:vAlign w:val="center"/>
          </w:tcPr>
          <w:p w14:paraId="5A36B8C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63</w:t>
            </w:r>
          </w:p>
        </w:tc>
        <w:tc>
          <w:tcPr>
            <w:tcW w:w="621" w:type="dxa"/>
            <w:tcBorders>
              <w:top w:val="nil"/>
              <w:left w:val="nil"/>
              <w:bottom w:val="nil"/>
              <w:right w:val="nil"/>
            </w:tcBorders>
            <w:shd w:val="clear" w:color="auto" w:fill="auto"/>
            <w:noWrap/>
            <w:vAlign w:val="center"/>
          </w:tcPr>
          <w:p w14:paraId="005C32A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17.1</w:t>
            </w:r>
          </w:p>
        </w:tc>
        <w:tc>
          <w:tcPr>
            <w:tcW w:w="1146" w:type="dxa"/>
            <w:tcBorders>
              <w:top w:val="nil"/>
              <w:left w:val="nil"/>
              <w:bottom w:val="nil"/>
              <w:right w:val="single" w:sz="4" w:space="0" w:color="000000"/>
            </w:tcBorders>
            <w:shd w:val="clear" w:color="auto" w:fill="auto"/>
            <w:noWrap/>
            <w:vAlign w:val="center"/>
          </w:tcPr>
          <w:p w14:paraId="6C0F90D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(13.2, 21.1)</w:t>
            </w:r>
          </w:p>
        </w:tc>
        <w:tc>
          <w:tcPr>
            <w:tcW w:w="536" w:type="dxa"/>
            <w:tcBorders>
              <w:top w:val="nil"/>
              <w:left w:val="single" w:sz="4" w:space="0" w:color="000000"/>
              <w:bottom w:val="nil"/>
              <w:right w:val="nil"/>
            </w:tcBorders>
            <w:shd w:val="clear" w:color="auto" w:fill="auto"/>
            <w:vAlign w:val="center"/>
          </w:tcPr>
          <w:p w14:paraId="2C33C0E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53</w:t>
            </w:r>
          </w:p>
        </w:tc>
        <w:tc>
          <w:tcPr>
            <w:tcW w:w="567" w:type="dxa"/>
            <w:tcBorders>
              <w:top w:val="nil"/>
              <w:left w:val="nil"/>
              <w:bottom w:val="nil"/>
              <w:right w:val="nil"/>
            </w:tcBorders>
            <w:shd w:val="clear" w:color="auto" w:fill="auto"/>
            <w:vAlign w:val="center"/>
          </w:tcPr>
          <w:p w14:paraId="587D16E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17.2</w:t>
            </w:r>
          </w:p>
        </w:tc>
        <w:tc>
          <w:tcPr>
            <w:tcW w:w="1146" w:type="dxa"/>
            <w:tcBorders>
              <w:top w:val="nil"/>
              <w:left w:val="nil"/>
              <w:bottom w:val="nil"/>
              <w:right w:val="single" w:sz="4" w:space="0" w:color="000000"/>
            </w:tcBorders>
            <w:shd w:val="clear" w:color="auto" w:fill="auto"/>
            <w:vAlign w:val="center"/>
          </w:tcPr>
          <w:p w14:paraId="51E41E0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(12.9, 21.5)</w:t>
            </w:r>
          </w:p>
        </w:tc>
        <w:tc>
          <w:tcPr>
            <w:tcW w:w="536" w:type="dxa"/>
            <w:tcBorders>
              <w:top w:val="nil"/>
              <w:left w:val="single" w:sz="4" w:space="0" w:color="000000"/>
              <w:bottom w:val="nil"/>
              <w:right w:val="nil"/>
            </w:tcBorders>
            <w:shd w:val="clear" w:color="auto" w:fill="auto"/>
            <w:vAlign w:val="center"/>
          </w:tcPr>
          <w:p w14:paraId="37605C9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42</w:t>
            </w:r>
          </w:p>
        </w:tc>
        <w:tc>
          <w:tcPr>
            <w:tcW w:w="576" w:type="dxa"/>
            <w:tcBorders>
              <w:top w:val="nil"/>
              <w:left w:val="nil"/>
              <w:bottom w:val="nil"/>
              <w:right w:val="nil"/>
            </w:tcBorders>
            <w:shd w:val="clear" w:color="auto" w:fill="auto"/>
            <w:vAlign w:val="center"/>
          </w:tcPr>
          <w:p w14:paraId="06CCDE3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15.0</w:t>
            </w:r>
          </w:p>
        </w:tc>
        <w:tc>
          <w:tcPr>
            <w:tcW w:w="1146" w:type="dxa"/>
            <w:tcBorders>
              <w:top w:val="nil"/>
              <w:left w:val="nil"/>
              <w:bottom w:val="nil"/>
              <w:right w:val="nil"/>
            </w:tcBorders>
            <w:shd w:val="clear" w:color="auto" w:fill="auto"/>
            <w:vAlign w:val="center"/>
          </w:tcPr>
          <w:p w14:paraId="7C763AF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(10.4, 19.5)</w:t>
            </w:r>
          </w:p>
        </w:tc>
      </w:tr>
      <w:tr w:rsidR="009118DA" w:rsidRPr="00D76D7F" w14:paraId="4E37DF8E"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146F662B" w14:textId="77777777" w:rsidR="003D7BB5" w:rsidRPr="00D76D7F" w:rsidRDefault="003D7BB5" w:rsidP="00DD0F28">
            <w:pPr>
              <w:tabs>
                <w:tab w:val="left" w:pos="205"/>
              </w:tabs>
              <w:spacing w:before="20" w:after="20"/>
              <w:rPr>
                <w:rFonts w:eastAsiaTheme="minorEastAsia"/>
                <w:b w:val="0"/>
                <w:sz w:val="18"/>
                <w:szCs w:val="18"/>
                <w:lang w:eastAsia="en-US"/>
              </w:rPr>
            </w:pPr>
            <w:r w:rsidRPr="00D76D7F">
              <w:rPr>
                <w:rFonts w:eastAsiaTheme="minorEastAsia"/>
                <w:b w:val="0"/>
                <w:sz w:val="18"/>
                <w:szCs w:val="18"/>
                <w:lang w:eastAsia="en-US"/>
              </w:rPr>
              <w:tab/>
              <w:t>At least 6 monthly</w:t>
            </w:r>
          </w:p>
        </w:tc>
        <w:tc>
          <w:tcPr>
            <w:tcW w:w="536" w:type="dxa"/>
            <w:tcBorders>
              <w:top w:val="nil"/>
              <w:left w:val="nil"/>
              <w:bottom w:val="nil"/>
              <w:right w:val="nil"/>
            </w:tcBorders>
            <w:shd w:val="clear" w:color="auto" w:fill="auto"/>
            <w:noWrap/>
            <w:vAlign w:val="center"/>
          </w:tcPr>
          <w:p w14:paraId="10AF335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121</w:t>
            </w:r>
          </w:p>
        </w:tc>
        <w:tc>
          <w:tcPr>
            <w:tcW w:w="567" w:type="dxa"/>
            <w:tcBorders>
              <w:top w:val="nil"/>
              <w:left w:val="nil"/>
              <w:bottom w:val="nil"/>
              <w:right w:val="nil"/>
            </w:tcBorders>
            <w:shd w:val="clear" w:color="auto" w:fill="auto"/>
            <w:noWrap/>
            <w:vAlign w:val="center"/>
          </w:tcPr>
          <w:p w14:paraId="2C50B75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19.0</w:t>
            </w:r>
          </w:p>
        </w:tc>
        <w:tc>
          <w:tcPr>
            <w:tcW w:w="1146" w:type="dxa"/>
            <w:tcBorders>
              <w:top w:val="nil"/>
              <w:left w:val="nil"/>
              <w:bottom w:val="nil"/>
              <w:right w:val="single" w:sz="4" w:space="0" w:color="auto"/>
            </w:tcBorders>
            <w:shd w:val="clear" w:color="auto" w:fill="auto"/>
            <w:noWrap/>
            <w:vAlign w:val="center"/>
          </w:tcPr>
          <w:p w14:paraId="2F975E2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(16.1, 21.9)</w:t>
            </w:r>
          </w:p>
        </w:tc>
        <w:tc>
          <w:tcPr>
            <w:tcW w:w="536" w:type="dxa"/>
            <w:tcBorders>
              <w:top w:val="nil"/>
              <w:left w:val="single" w:sz="4" w:space="0" w:color="auto"/>
              <w:bottom w:val="nil"/>
              <w:right w:val="nil"/>
            </w:tcBorders>
            <w:shd w:val="clear" w:color="auto" w:fill="auto"/>
            <w:noWrap/>
            <w:vAlign w:val="center"/>
          </w:tcPr>
          <w:p w14:paraId="5D04B3B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77</w:t>
            </w:r>
          </w:p>
        </w:tc>
        <w:tc>
          <w:tcPr>
            <w:tcW w:w="621" w:type="dxa"/>
            <w:tcBorders>
              <w:top w:val="nil"/>
              <w:left w:val="nil"/>
              <w:bottom w:val="nil"/>
              <w:right w:val="nil"/>
            </w:tcBorders>
            <w:shd w:val="clear" w:color="auto" w:fill="auto"/>
            <w:noWrap/>
            <w:vAlign w:val="center"/>
          </w:tcPr>
          <w:p w14:paraId="186E9B3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21.0</w:t>
            </w:r>
          </w:p>
        </w:tc>
        <w:tc>
          <w:tcPr>
            <w:tcW w:w="1146" w:type="dxa"/>
            <w:tcBorders>
              <w:top w:val="nil"/>
              <w:left w:val="nil"/>
              <w:bottom w:val="nil"/>
              <w:right w:val="single" w:sz="4" w:space="0" w:color="000000"/>
            </w:tcBorders>
            <w:shd w:val="clear" w:color="auto" w:fill="auto"/>
            <w:noWrap/>
            <w:vAlign w:val="center"/>
          </w:tcPr>
          <w:p w14:paraId="664567D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(16.8, 25.3)</w:t>
            </w:r>
          </w:p>
        </w:tc>
        <w:tc>
          <w:tcPr>
            <w:tcW w:w="536" w:type="dxa"/>
            <w:tcBorders>
              <w:top w:val="nil"/>
              <w:left w:val="single" w:sz="4" w:space="0" w:color="000000"/>
              <w:bottom w:val="nil"/>
              <w:right w:val="nil"/>
            </w:tcBorders>
            <w:shd w:val="clear" w:color="auto" w:fill="auto"/>
            <w:vAlign w:val="center"/>
          </w:tcPr>
          <w:p w14:paraId="0FAE962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71</w:t>
            </w:r>
          </w:p>
        </w:tc>
        <w:tc>
          <w:tcPr>
            <w:tcW w:w="567" w:type="dxa"/>
            <w:tcBorders>
              <w:top w:val="nil"/>
              <w:left w:val="nil"/>
              <w:bottom w:val="nil"/>
              <w:right w:val="nil"/>
            </w:tcBorders>
            <w:shd w:val="clear" w:color="auto" w:fill="auto"/>
            <w:vAlign w:val="center"/>
          </w:tcPr>
          <w:p w14:paraId="37C31C3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22.9</w:t>
            </w:r>
          </w:p>
        </w:tc>
        <w:tc>
          <w:tcPr>
            <w:tcW w:w="1146" w:type="dxa"/>
            <w:tcBorders>
              <w:top w:val="nil"/>
              <w:left w:val="nil"/>
              <w:bottom w:val="nil"/>
              <w:right w:val="single" w:sz="4" w:space="0" w:color="000000"/>
            </w:tcBorders>
            <w:shd w:val="clear" w:color="auto" w:fill="auto"/>
            <w:vAlign w:val="center"/>
          </w:tcPr>
          <w:p w14:paraId="531EB08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(17.6, 28.2)</w:t>
            </w:r>
          </w:p>
        </w:tc>
        <w:tc>
          <w:tcPr>
            <w:tcW w:w="536" w:type="dxa"/>
            <w:tcBorders>
              <w:top w:val="nil"/>
              <w:left w:val="single" w:sz="4" w:space="0" w:color="000000"/>
              <w:bottom w:val="nil"/>
              <w:right w:val="nil"/>
            </w:tcBorders>
            <w:shd w:val="clear" w:color="auto" w:fill="auto"/>
            <w:vAlign w:val="center"/>
          </w:tcPr>
          <w:p w14:paraId="5B67854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68</w:t>
            </w:r>
          </w:p>
        </w:tc>
        <w:tc>
          <w:tcPr>
            <w:tcW w:w="576" w:type="dxa"/>
            <w:tcBorders>
              <w:top w:val="nil"/>
              <w:left w:val="nil"/>
              <w:bottom w:val="nil"/>
              <w:right w:val="nil"/>
            </w:tcBorders>
            <w:shd w:val="clear" w:color="auto" w:fill="auto"/>
            <w:vAlign w:val="center"/>
          </w:tcPr>
          <w:p w14:paraId="2D72061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24.3</w:t>
            </w:r>
          </w:p>
        </w:tc>
        <w:tc>
          <w:tcPr>
            <w:tcW w:w="1146" w:type="dxa"/>
            <w:tcBorders>
              <w:top w:val="nil"/>
              <w:left w:val="nil"/>
              <w:bottom w:val="nil"/>
              <w:right w:val="nil"/>
            </w:tcBorders>
            <w:shd w:val="clear" w:color="auto" w:fill="auto"/>
            <w:vAlign w:val="center"/>
          </w:tcPr>
          <w:p w14:paraId="0A6134E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(18.1, 30.4)</w:t>
            </w:r>
          </w:p>
        </w:tc>
      </w:tr>
      <w:tr w:rsidR="009118DA" w:rsidRPr="00D76D7F" w14:paraId="2BC51095"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single" w:sz="4" w:space="0" w:color="auto"/>
              <w:right w:val="nil"/>
            </w:tcBorders>
            <w:shd w:val="clear" w:color="auto" w:fill="auto"/>
          </w:tcPr>
          <w:p w14:paraId="50882FAA" w14:textId="77777777" w:rsidR="003D7BB5" w:rsidRPr="00D76D7F" w:rsidRDefault="003D7BB5" w:rsidP="00DD0F28">
            <w:pPr>
              <w:tabs>
                <w:tab w:val="left" w:pos="176"/>
              </w:tabs>
              <w:spacing w:before="20" w:after="20"/>
              <w:rPr>
                <w:rFonts w:eastAsiaTheme="minorEastAsia"/>
                <w:b w:val="0"/>
                <w:sz w:val="18"/>
                <w:szCs w:val="18"/>
                <w:lang w:eastAsia="en-US"/>
              </w:rPr>
            </w:pPr>
            <w:r w:rsidRPr="00D76D7F">
              <w:rPr>
                <w:rFonts w:eastAsiaTheme="minorEastAsia"/>
                <w:b w:val="0"/>
                <w:sz w:val="18"/>
                <w:szCs w:val="18"/>
                <w:lang w:eastAsia="en-US"/>
              </w:rPr>
              <w:tab/>
              <w:t>At least once in past year</w:t>
            </w:r>
          </w:p>
        </w:tc>
        <w:tc>
          <w:tcPr>
            <w:tcW w:w="536" w:type="dxa"/>
            <w:tcBorders>
              <w:top w:val="nil"/>
              <w:left w:val="nil"/>
              <w:bottom w:val="single" w:sz="4" w:space="0" w:color="auto"/>
              <w:right w:val="nil"/>
            </w:tcBorders>
            <w:shd w:val="clear" w:color="auto" w:fill="auto"/>
            <w:noWrap/>
            <w:vAlign w:val="center"/>
          </w:tcPr>
          <w:p w14:paraId="139967E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64</w:t>
            </w:r>
          </w:p>
        </w:tc>
        <w:tc>
          <w:tcPr>
            <w:tcW w:w="567" w:type="dxa"/>
            <w:tcBorders>
              <w:top w:val="nil"/>
              <w:left w:val="nil"/>
              <w:bottom w:val="single" w:sz="4" w:space="0" w:color="auto"/>
              <w:right w:val="nil"/>
            </w:tcBorders>
            <w:shd w:val="clear" w:color="auto" w:fill="auto"/>
            <w:noWrap/>
            <w:vAlign w:val="center"/>
          </w:tcPr>
          <w:p w14:paraId="7F32AB0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10.1</w:t>
            </w:r>
          </w:p>
        </w:tc>
        <w:tc>
          <w:tcPr>
            <w:tcW w:w="1146" w:type="dxa"/>
            <w:tcBorders>
              <w:top w:val="nil"/>
              <w:left w:val="nil"/>
              <w:bottom w:val="single" w:sz="4" w:space="0" w:color="auto"/>
              <w:right w:val="single" w:sz="4" w:space="0" w:color="auto"/>
            </w:tcBorders>
            <w:shd w:val="clear" w:color="auto" w:fill="auto"/>
            <w:noWrap/>
            <w:vAlign w:val="center"/>
          </w:tcPr>
          <w:p w14:paraId="55D9182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(7.8, 12.5)</w:t>
            </w:r>
          </w:p>
        </w:tc>
        <w:tc>
          <w:tcPr>
            <w:tcW w:w="536" w:type="dxa"/>
            <w:tcBorders>
              <w:top w:val="nil"/>
              <w:left w:val="single" w:sz="4" w:space="0" w:color="auto"/>
              <w:bottom w:val="single" w:sz="4" w:space="0" w:color="auto"/>
              <w:right w:val="nil"/>
            </w:tcBorders>
            <w:shd w:val="clear" w:color="auto" w:fill="auto"/>
            <w:noWrap/>
            <w:vAlign w:val="center"/>
          </w:tcPr>
          <w:p w14:paraId="0480183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w:t>
            </w:r>
          </w:p>
        </w:tc>
        <w:tc>
          <w:tcPr>
            <w:tcW w:w="621" w:type="dxa"/>
            <w:tcBorders>
              <w:top w:val="nil"/>
              <w:left w:val="nil"/>
              <w:bottom w:val="single" w:sz="4" w:space="0" w:color="auto"/>
              <w:right w:val="nil"/>
            </w:tcBorders>
            <w:shd w:val="clear" w:color="auto" w:fill="auto"/>
            <w:noWrap/>
            <w:vAlign w:val="center"/>
          </w:tcPr>
          <w:p w14:paraId="412CAD9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8.2</w:t>
            </w:r>
          </w:p>
        </w:tc>
        <w:tc>
          <w:tcPr>
            <w:tcW w:w="1146" w:type="dxa"/>
            <w:tcBorders>
              <w:top w:val="nil"/>
              <w:left w:val="nil"/>
              <w:bottom w:val="single" w:sz="4" w:space="0" w:color="auto"/>
              <w:right w:val="single" w:sz="4" w:space="0" w:color="000000"/>
            </w:tcBorders>
            <w:shd w:val="clear" w:color="auto" w:fill="auto"/>
            <w:noWrap/>
            <w:vAlign w:val="center"/>
          </w:tcPr>
          <w:p w14:paraId="6A0D91D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(5.4, 10.9)</w:t>
            </w:r>
          </w:p>
        </w:tc>
        <w:tc>
          <w:tcPr>
            <w:tcW w:w="536" w:type="dxa"/>
            <w:tcBorders>
              <w:top w:val="nil"/>
              <w:left w:val="single" w:sz="4" w:space="0" w:color="000000"/>
              <w:bottom w:val="single" w:sz="4" w:space="0" w:color="auto"/>
              <w:right w:val="nil"/>
            </w:tcBorders>
            <w:shd w:val="clear" w:color="auto" w:fill="auto"/>
            <w:vAlign w:val="center"/>
          </w:tcPr>
          <w:p w14:paraId="25A0C03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26</w:t>
            </w:r>
          </w:p>
        </w:tc>
        <w:tc>
          <w:tcPr>
            <w:tcW w:w="567" w:type="dxa"/>
            <w:tcBorders>
              <w:top w:val="nil"/>
              <w:left w:val="nil"/>
              <w:bottom w:val="single" w:sz="4" w:space="0" w:color="auto"/>
              <w:right w:val="nil"/>
            </w:tcBorders>
            <w:shd w:val="clear" w:color="auto" w:fill="auto"/>
            <w:vAlign w:val="center"/>
          </w:tcPr>
          <w:p w14:paraId="22FAF96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8.3</w:t>
            </w:r>
          </w:p>
        </w:tc>
        <w:tc>
          <w:tcPr>
            <w:tcW w:w="1146" w:type="dxa"/>
            <w:tcBorders>
              <w:top w:val="nil"/>
              <w:left w:val="nil"/>
              <w:bottom w:val="single" w:sz="4" w:space="0" w:color="auto"/>
              <w:right w:val="single" w:sz="4" w:space="0" w:color="000000"/>
            </w:tcBorders>
            <w:shd w:val="clear" w:color="auto" w:fill="auto"/>
            <w:vAlign w:val="center"/>
          </w:tcPr>
          <w:p w14:paraId="113E2B0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(5.1, 11.5)</w:t>
            </w:r>
          </w:p>
        </w:tc>
        <w:tc>
          <w:tcPr>
            <w:tcW w:w="536" w:type="dxa"/>
            <w:tcBorders>
              <w:top w:val="nil"/>
              <w:left w:val="single" w:sz="4" w:space="0" w:color="000000"/>
              <w:bottom w:val="single" w:sz="4" w:space="0" w:color="auto"/>
              <w:right w:val="nil"/>
            </w:tcBorders>
            <w:shd w:val="clear" w:color="auto" w:fill="auto"/>
            <w:vAlign w:val="center"/>
          </w:tcPr>
          <w:p w14:paraId="190559C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31</w:t>
            </w:r>
          </w:p>
        </w:tc>
        <w:tc>
          <w:tcPr>
            <w:tcW w:w="576" w:type="dxa"/>
            <w:tcBorders>
              <w:top w:val="nil"/>
              <w:left w:val="nil"/>
              <w:bottom w:val="single" w:sz="4" w:space="0" w:color="auto"/>
              <w:right w:val="nil"/>
            </w:tcBorders>
            <w:shd w:val="clear" w:color="auto" w:fill="auto"/>
            <w:vAlign w:val="center"/>
          </w:tcPr>
          <w:p w14:paraId="7D51DD8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11.0</w:t>
            </w:r>
          </w:p>
        </w:tc>
        <w:tc>
          <w:tcPr>
            <w:tcW w:w="1146" w:type="dxa"/>
            <w:tcBorders>
              <w:top w:val="nil"/>
              <w:left w:val="nil"/>
              <w:bottom w:val="single" w:sz="4" w:space="0" w:color="auto"/>
              <w:right w:val="nil"/>
            </w:tcBorders>
            <w:shd w:val="clear" w:color="auto" w:fill="auto"/>
            <w:vAlign w:val="center"/>
          </w:tcPr>
          <w:p w14:paraId="48ACE47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(6.9, 15.2)</w:t>
            </w:r>
          </w:p>
        </w:tc>
      </w:tr>
      <w:tr w:rsidR="003D7BB5" w:rsidRPr="00D76D7F" w14:paraId="5BA54C93"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4533" w:type="dxa"/>
            <w:gridSpan w:val="3"/>
            <w:tcBorders>
              <w:top w:val="single" w:sz="4" w:space="0" w:color="auto"/>
              <w:left w:val="nil"/>
              <w:bottom w:val="nil"/>
              <w:right w:val="nil"/>
            </w:tcBorders>
            <w:shd w:val="clear" w:color="auto" w:fill="auto"/>
            <w:vAlign w:val="center"/>
          </w:tcPr>
          <w:p w14:paraId="4219E0D2" w14:textId="77777777" w:rsidR="003D7BB5" w:rsidRPr="00D76D7F" w:rsidRDefault="003D7BB5" w:rsidP="00DD0F28">
            <w:pPr>
              <w:keepNext/>
              <w:spacing w:before="20" w:after="20"/>
              <w:rPr>
                <w:rFonts w:eastAsiaTheme="minorEastAsia"/>
                <w:sz w:val="18"/>
                <w:szCs w:val="18"/>
                <w:lang w:eastAsia="en-US"/>
              </w:rPr>
            </w:pPr>
            <w:r w:rsidRPr="00D76D7F">
              <w:rPr>
                <w:rFonts w:eastAsiaTheme="minorEastAsia"/>
                <w:sz w:val="18"/>
                <w:szCs w:val="18"/>
                <w:lang w:eastAsia="en-US"/>
              </w:rPr>
              <w:t>Typical monthly gambling expenditure</w:t>
            </w:r>
          </w:p>
        </w:tc>
        <w:tc>
          <w:tcPr>
            <w:tcW w:w="1146" w:type="dxa"/>
            <w:tcBorders>
              <w:top w:val="single" w:sz="4" w:space="0" w:color="auto"/>
              <w:left w:val="nil"/>
              <w:bottom w:val="nil"/>
              <w:right w:val="single" w:sz="4" w:space="0" w:color="auto"/>
            </w:tcBorders>
            <w:shd w:val="clear" w:color="auto" w:fill="auto"/>
            <w:noWrap/>
            <w:vAlign w:val="center"/>
          </w:tcPr>
          <w:p w14:paraId="75D2B712" w14:textId="77777777" w:rsidR="003D7BB5" w:rsidRPr="00D76D7F" w:rsidRDefault="003D7BB5" w:rsidP="00DD0F28">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36" w:type="dxa"/>
            <w:tcBorders>
              <w:top w:val="single" w:sz="4" w:space="0" w:color="auto"/>
              <w:left w:val="single" w:sz="4" w:space="0" w:color="auto"/>
              <w:bottom w:val="nil"/>
              <w:right w:val="nil"/>
            </w:tcBorders>
            <w:shd w:val="clear" w:color="auto" w:fill="auto"/>
            <w:noWrap/>
            <w:vAlign w:val="center"/>
          </w:tcPr>
          <w:p w14:paraId="2FC62520" w14:textId="77777777" w:rsidR="003D7BB5" w:rsidRPr="00D76D7F" w:rsidRDefault="003D7BB5" w:rsidP="00DD0F28">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single" w:sz="4" w:space="0" w:color="auto"/>
              <w:left w:val="nil"/>
              <w:bottom w:val="nil"/>
              <w:right w:val="nil"/>
            </w:tcBorders>
            <w:shd w:val="clear" w:color="auto" w:fill="auto"/>
            <w:noWrap/>
            <w:vAlign w:val="center"/>
          </w:tcPr>
          <w:p w14:paraId="5F8B1291" w14:textId="77777777" w:rsidR="003D7BB5" w:rsidRPr="00D76D7F" w:rsidRDefault="003D7BB5" w:rsidP="00DD0F28">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single" w:sz="4" w:space="0" w:color="auto"/>
              <w:left w:val="nil"/>
              <w:bottom w:val="nil"/>
              <w:right w:val="single" w:sz="4" w:space="0" w:color="000000"/>
            </w:tcBorders>
            <w:shd w:val="clear" w:color="auto" w:fill="auto"/>
            <w:noWrap/>
            <w:vAlign w:val="bottom"/>
          </w:tcPr>
          <w:p w14:paraId="75542BA0" w14:textId="77777777" w:rsidR="003D7BB5" w:rsidRPr="00D76D7F" w:rsidRDefault="003D7BB5" w:rsidP="00DD0F28">
            <w:pPr>
              <w:keepNex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single" w:sz="4" w:space="0" w:color="auto"/>
              <w:left w:val="single" w:sz="4" w:space="0" w:color="000000"/>
              <w:bottom w:val="nil"/>
              <w:right w:val="nil"/>
            </w:tcBorders>
            <w:shd w:val="clear" w:color="auto" w:fill="auto"/>
            <w:vAlign w:val="bottom"/>
          </w:tcPr>
          <w:p w14:paraId="391A88FE" w14:textId="77777777" w:rsidR="003D7BB5" w:rsidRPr="00D76D7F" w:rsidRDefault="003D7BB5" w:rsidP="00DD0F28">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567" w:type="dxa"/>
            <w:tcBorders>
              <w:top w:val="single" w:sz="4" w:space="0" w:color="auto"/>
              <w:left w:val="nil"/>
              <w:bottom w:val="nil"/>
              <w:right w:val="nil"/>
            </w:tcBorders>
            <w:shd w:val="clear" w:color="auto" w:fill="auto"/>
            <w:vAlign w:val="bottom"/>
          </w:tcPr>
          <w:p w14:paraId="4A065975" w14:textId="77777777" w:rsidR="003D7BB5" w:rsidRPr="00D76D7F" w:rsidRDefault="003D7BB5" w:rsidP="00DD0F28">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single" w:sz="4" w:space="0" w:color="auto"/>
              <w:left w:val="nil"/>
              <w:bottom w:val="nil"/>
              <w:right w:val="single" w:sz="4" w:space="0" w:color="000000"/>
            </w:tcBorders>
            <w:shd w:val="clear" w:color="auto" w:fill="auto"/>
            <w:vAlign w:val="bottom"/>
          </w:tcPr>
          <w:p w14:paraId="70A2A788" w14:textId="77777777" w:rsidR="003D7BB5" w:rsidRPr="00D76D7F" w:rsidRDefault="003D7BB5" w:rsidP="00DD0F28">
            <w:pPr>
              <w:keepNex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single" w:sz="4" w:space="0" w:color="auto"/>
              <w:left w:val="single" w:sz="4" w:space="0" w:color="000000"/>
              <w:bottom w:val="nil"/>
              <w:right w:val="nil"/>
            </w:tcBorders>
            <w:shd w:val="clear" w:color="auto" w:fill="auto"/>
            <w:vAlign w:val="bottom"/>
          </w:tcPr>
          <w:p w14:paraId="2B01F7EE" w14:textId="77777777" w:rsidR="003D7BB5" w:rsidRPr="00D76D7F" w:rsidRDefault="003D7BB5" w:rsidP="00DD0F28">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576" w:type="dxa"/>
            <w:tcBorders>
              <w:top w:val="single" w:sz="4" w:space="0" w:color="auto"/>
              <w:left w:val="nil"/>
              <w:bottom w:val="nil"/>
              <w:right w:val="nil"/>
            </w:tcBorders>
            <w:shd w:val="clear" w:color="auto" w:fill="auto"/>
            <w:vAlign w:val="bottom"/>
          </w:tcPr>
          <w:p w14:paraId="0591321E" w14:textId="77777777" w:rsidR="003D7BB5" w:rsidRPr="00D76D7F" w:rsidRDefault="003D7BB5" w:rsidP="00DD0F28">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single" w:sz="4" w:space="0" w:color="auto"/>
              <w:left w:val="nil"/>
              <w:bottom w:val="nil"/>
              <w:right w:val="nil"/>
            </w:tcBorders>
            <w:shd w:val="clear" w:color="auto" w:fill="auto"/>
            <w:vAlign w:val="bottom"/>
          </w:tcPr>
          <w:p w14:paraId="2E3C5568" w14:textId="77777777" w:rsidR="003D7BB5" w:rsidRPr="00D76D7F" w:rsidRDefault="003D7BB5" w:rsidP="00DD0F28">
            <w:pPr>
              <w:keepNext/>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118DA" w:rsidRPr="00D76D7F" w14:paraId="557C71E8"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6F777C6A" w14:textId="77777777" w:rsidR="003D7BB5" w:rsidRPr="00D76D7F" w:rsidRDefault="003D7BB5" w:rsidP="00DD0F28">
            <w:pPr>
              <w:keepNext/>
              <w:spacing w:before="20" w:after="20"/>
              <w:ind w:left="176"/>
              <w:rPr>
                <w:rFonts w:eastAsiaTheme="minorEastAsia"/>
                <w:b w:val="0"/>
                <w:sz w:val="18"/>
                <w:szCs w:val="18"/>
                <w:lang w:eastAsia="en-US"/>
              </w:rPr>
            </w:pPr>
            <w:r w:rsidRPr="00D76D7F">
              <w:rPr>
                <w:rFonts w:eastAsiaTheme="minorEastAsia"/>
                <w:b w:val="0"/>
                <w:sz w:val="18"/>
                <w:szCs w:val="18"/>
                <w:lang w:eastAsia="en-US"/>
              </w:rPr>
              <w:t>No gambling in past year</w:t>
            </w:r>
          </w:p>
        </w:tc>
        <w:tc>
          <w:tcPr>
            <w:tcW w:w="536" w:type="dxa"/>
            <w:tcBorders>
              <w:top w:val="nil"/>
              <w:left w:val="nil"/>
              <w:bottom w:val="nil"/>
              <w:right w:val="nil"/>
            </w:tcBorders>
            <w:shd w:val="clear" w:color="auto" w:fill="auto"/>
            <w:noWrap/>
            <w:vAlign w:val="center"/>
          </w:tcPr>
          <w:p w14:paraId="55ECE69E"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256</w:t>
            </w:r>
          </w:p>
        </w:tc>
        <w:tc>
          <w:tcPr>
            <w:tcW w:w="567" w:type="dxa"/>
            <w:tcBorders>
              <w:top w:val="nil"/>
              <w:left w:val="nil"/>
              <w:bottom w:val="nil"/>
              <w:right w:val="nil"/>
            </w:tcBorders>
            <w:shd w:val="clear" w:color="auto" w:fill="auto"/>
            <w:noWrap/>
            <w:vAlign w:val="center"/>
          </w:tcPr>
          <w:p w14:paraId="7C581BD4"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40.2</w:t>
            </w:r>
          </w:p>
        </w:tc>
        <w:tc>
          <w:tcPr>
            <w:tcW w:w="1146" w:type="dxa"/>
            <w:tcBorders>
              <w:top w:val="nil"/>
              <w:left w:val="nil"/>
              <w:bottom w:val="nil"/>
              <w:right w:val="single" w:sz="4" w:space="0" w:color="auto"/>
            </w:tcBorders>
            <w:shd w:val="clear" w:color="auto" w:fill="auto"/>
            <w:noWrap/>
            <w:vAlign w:val="center"/>
          </w:tcPr>
          <w:p w14:paraId="5B308B73"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(36.3, 44.0)</w:t>
            </w:r>
          </w:p>
        </w:tc>
        <w:tc>
          <w:tcPr>
            <w:tcW w:w="536" w:type="dxa"/>
            <w:tcBorders>
              <w:top w:val="nil"/>
              <w:left w:val="single" w:sz="4" w:space="0" w:color="auto"/>
              <w:bottom w:val="nil"/>
              <w:right w:val="nil"/>
            </w:tcBorders>
            <w:shd w:val="clear" w:color="auto" w:fill="auto"/>
            <w:noWrap/>
            <w:vAlign w:val="center"/>
          </w:tcPr>
          <w:p w14:paraId="7062A94B"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165</w:t>
            </w:r>
          </w:p>
        </w:tc>
        <w:tc>
          <w:tcPr>
            <w:tcW w:w="621" w:type="dxa"/>
            <w:tcBorders>
              <w:top w:val="nil"/>
              <w:left w:val="nil"/>
              <w:bottom w:val="nil"/>
              <w:right w:val="nil"/>
            </w:tcBorders>
            <w:shd w:val="clear" w:color="auto" w:fill="auto"/>
            <w:noWrap/>
            <w:vAlign w:val="center"/>
          </w:tcPr>
          <w:p w14:paraId="14059F61"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44.6</w:t>
            </w:r>
          </w:p>
        </w:tc>
        <w:tc>
          <w:tcPr>
            <w:tcW w:w="1146" w:type="dxa"/>
            <w:tcBorders>
              <w:top w:val="nil"/>
              <w:left w:val="nil"/>
              <w:bottom w:val="nil"/>
              <w:right w:val="single" w:sz="4" w:space="0" w:color="000000"/>
            </w:tcBorders>
            <w:shd w:val="clear" w:color="auto" w:fill="auto"/>
            <w:noWrap/>
            <w:vAlign w:val="center"/>
          </w:tcPr>
          <w:p w14:paraId="36C00CE7"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(39.1, 50.1)</w:t>
            </w:r>
          </w:p>
        </w:tc>
        <w:tc>
          <w:tcPr>
            <w:tcW w:w="536" w:type="dxa"/>
            <w:tcBorders>
              <w:top w:val="nil"/>
              <w:left w:val="single" w:sz="4" w:space="0" w:color="000000"/>
              <w:bottom w:val="nil"/>
              <w:right w:val="nil"/>
            </w:tcBorders>
            <w:shd w:val="clear" w:color="auto" w:fill="auto"/>
            <w:vAlign w:val="center"/>
          </w:tcPr>
          <w:p w14:paraId="00BBCA65"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132</w:t>
            </w:r>
          </w:p>
        </w:tc>
        <w:tc>
          <w:tcPr>
            <w:tcW w:w="567" w:type="dxa"/>
            <w:tcBorders>
              <w:top w:val="nil"/>
              <w:left w:val="nil"/>
              <w:bottom w:val="nil"/>
              <w:right w:val="nil"/>
            </w:tcBorders>
            <w:shd w:val="clear" w:color="auto" w:fill="auto"/>
            <w:vAlign w:val="center"/>
          </w:tcPr>
          <w:p w14:paraId="3F503B51"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42.6</w:t>
            </w:r>
          </w:p>
        </w:tc>
        <w:tc>
          <w:tcPr>
            <w:tcW w:w="1146" w:type="dxa"/>
            <w:tcBorders>
              <w:top w:val="nil"/>
              <w:left w:val="nil"/>
              <w:bottom w:val="nil"/>
              <w:right w:val="single" w:sz="4" w:space="0" w:color="000000"/>
            </w:tcBorders>
            <w:shd w:val="clear" w:color="auto" w:fill="auto"/>
            <w:vAlign w:val="center"/>
          </w:tcPr>
          <w:p w14:paraId="040055DE"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(36.4, 48.9)</w:t>
            </w:r>
          </w:p>
        </w:tc>
        <w:tc>
          <w:tcPr>
            <w:tcW w:w="536" w:type="dxa"/>
            <w:tcBorders>
              <w:top w:val="nil"/>
              <w:left w:val="single" w:sz="4" w:space="0" w:color="000000"/>
              <w:bottom w:val="nil"/>
              <w:right w:val="nil"/>
            </w:tcBorders>
            <w:shd w:val="clear" w:color="auto" w:fill="auto"/>
            <w:vAlign w:val="center"/>
          </w:tcPr>
          <w:p w14:paraId="1BEAD083"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115</w:t>
            </w:r>
          </w:p>
        </w:tc>
        <w:tc>
          <w:tcPr>
            <w:tcW w:w="576" w:type="dxa"/>
            <w:tcBorders>
              <w:top w:val="nil"/>
              <w:left w:val="nil"/>
              <w:bottom w:val="nil"/>
              <w:right w:val="nil"/>
            </w:tcBorders>
            <w:shd w:val="clear" w:color="auto" w:fill="auto"/>
            <w:vAlign w:val="center"/>
          </w:tcPr>
          <w:p w14:paraId="1A4DE12C"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41.0</w:t>
            </w:r>
          </w:p>
        </w:tc>
        <w:tc>
          <w:tcPr>
            <w:tcW w:w="1146" w:type="dxa"/>
            <w:tcBorders>
              <w:top w:val="nil"/>
              <w:left w:val="nil"/>
              <w:bottom w:val="nil"/>
              <w:right w:val="nil"/>
            </w:tcBorders>
            <w:shd w:val="clear" w:color="auto" w:fill="auto"/>
            <w:vAlign w:val="center"/>
          </w:tcPr>
          <w:p w14:paraId="38C41593"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(34.2, 47.8)</w:t>
            </w:r>
          </w:p>
        </w:tc>
      </w:tr>
      <w:tr w:rsidR="009118DA" w:rsidRPr="00D76D7F" w14:paraId="153CF1AB"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222AB264" w14:textId="77777777" w:rsidR="003D7BB5" w:rsidRPr="00D76D7F" w:rsidRDefault="003D7BB5" w:rsidP="00DD0F28">
            <w:pPr>
              <w:keepNext/>
              <w:spacing w:before="20" w:after="20"/>
              <w:ind w:left="176"/>
              <w:rPr>
                <w:rFonts w:eastAsiaTheme="minorEastAsia"/>
                <w:b w:val="0"/>
                <w:sz w:val="18"/>
                <w:szCs w:val="18"/>
                <w:lang w:eastAsia="en-US"/>
              </w:rPr>
            </w:pPr>
            <w:r w:rsidRPr="00D76D7F">
              <w:rPr>
                <w:rFonts w:eastAsiaTheme="minorEastAsia"/>
                <w:b w:val="0"/>
                <w:sz w:val="18"/>
                <w:szCs w:val="18"/>
                <w:lang w:eastAsia="en-US"/>
              </w:rPr>
              <w:t>$1 - $10</w:t>
            </w:r>
          </w:p>
        </w:tc>
        <w:tc>
          <w:tcPr>
            <w:tcW w:w="536" w:type="dxa"/>
            <w:tcBorders>
              <w:top w:val="nil"/>
              <w:left w:val="nil"/>
              <w:bottom w:val="nil"/>
              <w:right w:val="nil"/>
            </w:tcBorders>
            <w:shd w:val="clear" w:color="auto" w:fill="auto"/>
            <w:noWrap/>
            <w:vAlign w:val="center"/>
          </w:tcPr>
          <w:p w14:paraId="5B0A6963"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78</w:t>
            </w:r>
          </w:p>
        </w:tc>
        <w:tc>
          <w:tcPr>
            <w:tcW w:w="567" w:type="dxa"/>
            <w:tcBorders>
              <w:top w:val="nil"/>
              <w:left w:val="nil"/>
              <w:bottom w:val="nil"/>
              <w:right w:val="nil"/>
            </w:tcBorders>
            <w:shd w:val="clear" w:color="auto" w:fill="auto"/>
            <w:noWrap/>
            <w:vAlign w:val="center"/>
          </w:tcPr>
          <w:p w14:paraId="3979EA9C"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12.3</w:t>
            </w:r>
          </w:p>
        </w:tc>
        <w:tc>
          <w:tcPr>
            <w:tcW w:w="1146" w:type="dxa"/>
            <w:tcBorders>
              <w:top w:val="nil"/>
              <w:left w:val="nil"/>
              <w:bottom w:val="nil"/>
              <w:right w:val="single" w:sz="4" w:space="0" w:color="auto"/>
            </w:tcBorders>
            <w:shd w:val="clear" w:color="auto" w:fill="auto"/>
            <w:noWrap/>
            <w:vAlign w:val="center"/>
          </w:tcPr>
          <w:p w14:paraId="152A2EE0"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(9.9, 14.7)</w:t>
            </w:r>
          </w:p>
        </w:tc>
        <w:tc>
          <w:tcPr>
            <w:tcW w:w="536" w:type="dxa"/>
            <w:tcBorders>
              <w:top w:val="nil"/>
              <w:left w:val="single" w:sz="4" w:space="0" w:color="auto"/>
              <w:bottom w:val="nil"/>
              <w:right w:val="nil"/>
            </w:tcBorders>
            <w:shd w:val="clear" w:color="auto" w:fill="auto"/>
            <w:noWrap/>
            <w:vAlign w:val="center"/>
          </w:tcPr>
          <w:p w14:paraId="0E5516CD"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49</w:t>
            </w:r>
          </w:p>
        </w:tc>
        <w:tc>
          <w:tcPr>
            <w:tcW w:w="621" w:type="dxa"/>
            <w:tcBorders>
              <w:top w:val="nil"/>
              <w:left w:val="nil"/>
              <w:bottom w:val="nil"/>
              <w:right w:val="nil"/>
            </w:tcBorders>
            <w:shd w:val="clear" w:color="auto" w:fill="auto"/>
            <w:noWrap/>
            <w:vAlign w:val="center"/>
          </w:tcPr>
          <w:p w14:paraId="71587EA0"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13.2</w:t>
            </w:r>
          </w:p>
        </w:tc>
        <w:tc>
          <w:tcPr>
            <w:tcW w:w="1146" w:type="dxa"/>
            <w:tcBorders>
              <w:top w:val="nil"/>
              <w:left w:val="nil"/>
              <w:bottom w:val="nil"/>
              <w:right w:val="single" w:sz="4" w:space="0" w:color="000000"/>
            </w:tcBorders>
            <w:shd w:val="clear" w:color="auto" w:fill="auto"/>
            <w:noWrap/>
            <w:vAlign w:val="center"/>
          </w:tcPr>
          <w:p w14:paraId="6AFEBD41"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(9.9, 16.6)</w:t>
            </w:r>
          </w:p>
        </w:tc>
        <w:tc>
          <w:tcPr>
            <w:tcW w:w="536" w:type="dxa"/>
            <w:tcBorders>
              <w:top w:val="nil"/>
              <w:left w:val="single" w:sz="4" w:space="0" w:color="000000"/>
              <w:bottom w:val="nil"/>
              <w:right w:val="nil"/>
            </w:tcBorders>
            <w:shd w:val="clear" w:color="auto" w:fill="auto"/>
            <w:vAlign w:val="center"/>
          </w:tcPr>
          <w:p w14:paraId="49AF4DA4"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38</w:t>
            </w:r>
          </w:p>
        </w:tc>
        <w:tc>
          <w:tcPr>
            <w:tcW w:w="567" w:type="dxa"/>
            <w:tcBorders>
              <w:top w:val="nil"/>
              <w:left w:val="nil"/>
              <w:bottom w:val="nil"/>
              <w:right w:val="nil"/>
            </w:tcBorders>
            <w:shd w:val="clear" w:color="auto" w:fill="auto"/>
            <w:vAlign w:val="center"/>
          </w:tcPr>
          <w:p w14:paraId="65425D20"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12.1</w:t>
            </w:r>
          </w:p>
        </w:tc>
        <w:tc>
          <w:tcPr>
            <w:tcW w:w="1146" w:type="dxa"/>
            <w:tcBorders>
              <w:top w:val="nil"/>
              <w:left w:val="nil"/>
              <w:bottom w:val="nil"/>
              <w:right w:val="single" w:sz="4" w:space="0" w:color="000000"/>
            </w:tcBorders>
            <w:shd w:val="clear" w:color="auto" w:fill="auto"/>
            <w:vAlign w:val="center"/>
          </w:tcPr>
          <w:p w14:paraId="3DFB7894"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(8.6, 15.6)</w:t>
            </w:r>
          </w:p>
        </w:tc>
        <w:tc>
          <w:tcPr>
            <w:tcW w:w="536" w:type="dxa"/>
            <w:tcBorders>
              <w:top w:val="nil"/>
              <w:left w:val="single" w:sz="4" w:space="0" w:color="000000"/>
              <w:bottom w:val="nil"/>
              <w:right w:val="nil"/>
            </w:tcBorders>
            <w:shd w:val="clear" w:color="auto" w:fill="auto"/>
            <w:vAlign w:val="center"/>
          </w:tcPr>
          <w:p w14:paraId="734DAB71"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38</w:t>
            </w:r>
          </w:p>
        </w:tc>
        <w:tc>
          <w:tcPr>
            <w:tcW w:w="576" w:type="dxa"/>
            <w:tcBorders>
              <w:top w:val="nil"/>
              <w:left w:val="nil"/>
              <w:bottom w:val="nil"/>
              <w:right w:val="nil"/>
            </w:tcBorders>
            <w:shd w:val="clear" w:color="auto" w:fill="auto"/>
            <w:vAlign w:val="center"/>
          </w:tcPr>
          <w:p w14:paraId="05B6FA8D"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13.5</w:t>
            </w:r>
          </w:p>
        </w:tc>
        <w:tc>
          <w:tcPr>
            <w:tcW w:w="1146" w:type="dxa"/>
            <w:tcBorders>
              <w:top w:val="nil"/>
              <w:left w:val="nil"/>
              <w:bottom w:val="nil"/>
              <w:right w:val="nil"/>
            </w:tcBorders>
            <w:shd w:val="clear" w:color="auto" w:fill="auto"/>
            <w:vAlign w:val="center"/>
          </w:tcPr>
          <w:p w14:paraId="57B6A74C"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(8.7, 18.2)</w:t>
            </w:r>
          </w:p>
        </w:tc>
      </w:tr>
      <w:tr w:rsidR="009118DA" w:rsidRPr="00D76D7F" w14:paraId="076AF10A"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5E0FE58A" w14:textId="77777777" w:rsidR="003D7BB5" w:rsidRPr="00D76D7F" w:rsidRDefault="003D7BB5" w:rsidP="00DD0F28">
            <w:pPr>
              <w:keepNext/>
              <w:spacing w:before="20" w:after="20"/>
              <w:ind w:left="176"/>
              <w:rPr>
                <w:rFonts w:eastAsiaTheme="minorEastAsia"/>
                <w:b w:val="0"/>
                <w:sz w:val="18"/>
                <w:szCs w:val="18"/>
                <w:lang w:eastAsia="en-US"/>
              </w:rPr>
            </w:pPr>
            <w:r w:rsidRPr="00D76D7F">
              <w:rPr>
                <w:rFonts w:eastAsiaTheme="minorEastAsia"/>
                <w:b w:val="0"/>
                <w:sz w:val="18"/>
                <w:szCs w:val="18"/>
                <w:lang w:eastAsia="en-US"/>
              </w:rPr>
              <w:t>$11 - $20</w:t>
            </w:r>
          </w:p>
        </w:tc>
        <w:tc>
          <w:tcPr>
            <w:tcW w:w="536" w:type="dxa"/>
            <w:tcBorders>
              <w:top w:val="nil"/>
              <w:left w:val="nil"/>
              <w:bottom w:val="nil"/>
              <w:right w:val="nil"/>
            </w:tcBorders>
            <w:shd w:val="clear" w:color="auto" w:fill="auto"/>
            <w:noWrap/>
            <w:vAlign w:val="center"/>
          </w:tcPr>
          <w:p w14:paraId="22E5D6B8"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94</w:t>
            </w:r>
          </w:p>
        </w:tc>
        <w:tc>
          <w:tcPr>
            <w:tcW w:w="567" w:type="dxa"/>
            <w:tcBorders>
              <w:top w:val="nil"/>
              <w:left w:val="nil"/>
              <w:bottom w:val="nil"/>
              <w:right w:val="nil"/>
            </w:tcBorders>
            <w:shd w:val="clear" w:color="auto" w:fill="auto"/>
            <w:noWrap/>
            <w:vAlign w:val="center"/>
          </w:tcPr>
          <w:p w14:paraId="666B26C9"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14.7</w:t>
            </w:r>
          </w:p>
        </w:tc>
        <w:tc>
          <w:tcPr>
            <w:tcW w:w="1146" w:type="dxa"/>
            <w:tcBorders>
              <w:top w:val="nil"/>
              <w:left w:val="nil"/>
              <w:bottom w:val="nil"/>
              <w:right w:val="single" w:sz="4" w:space="0" w:color="auto"/>
            </w:tcBorders>
            <w:shd w:val="clear" w:color="auto" w:fill="auto"/>
            <w:noWrap/>
            <w:vAlign w:val="center"/>
          </w:tcPr>
          <w:p w14:paraId="37BBD3F9"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(12.0, 17.3)</w:t>
            </w:r>
          </w:p>
        </w:tc>
        <w:tc>
          <w:tcPr>
            <w:tcW w:w="536" w:type="dxa"/>
            <w:tcBorders>
              <w:top w:val="nil"/>
              <w:left w:val="single" w:sz="4" w:space="0" w:color="auto"/>
              <w:bottom w:val="nil"/>
              <w:right w:val="nil"/>
            </w:tcBorders>
            <w:shd w:val="clear" w:color="auto" w:fill="auto"/>
            <w:noWrap/>
            <w:vAlign w:val="center"/>
          </w:tcPr>
          <w:p w14:paraId="3BBFC0F6"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47</w:t>
            </w:r>
          </w:p>
        </w:tc>
        <w:tc>
          <w:tcPr>
            <w:tcW w:w="621" w:type="dxa"/>
            <w:tcBorders>
              <w:top w:val="nil"/>
              <w:left w:val="nil"/>
              <w:bottom w:val="nil"/>
              <w:right w:val="nil"/>
            </w:tcBorders>
            <w:shd w:val="clear" w:color="auto" w:fill="auto"/>
            <w:noWrap/>
            <w:vAlign w:val="center"/>
          </w:tcPr>
          <w:p w14:paraId="465A7E79"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12.7</w:t>
            </w:r>
          </w:p>
        </w:tc>
        <w:tc>
          <w:tcPr>
            <w:tcW w:w="1146" w:type="dxa"/>
            <w:tcBorders>
              <w:top w:val="nil"/>
              <w:left w:val="nil"/>
              <w:bottom w:val="nil"/>
              <w:right w:val="single" w:sz="4" w:space="0" w:color="000000"/>
            </w:tcBorders>
            <w:shd w:val="clear" w:color="auto" w:fill="auto"/>
            <w:noWrap/>
            <w:vAlign w:val="center"/>
          </w:tcPr>
          <w:p w14:paraId="18B2D162"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(9.4, 16.0)</w:t>
            </w:r>
          </w:p>
        </w:tc>
        <w:tc>
          <w:tcPr>
            <w:tcW w:w="536" w:type="dxa"/>
            <w:tcBorders>
              <w:top w:val="nil"/>
              <w:left w:val="single" w:sz="4" w:space="0" w:color="000000"/>
              <w:bottom w:val="nil"/>
              <w:right w:val="nil"/>
            </w:tcBorders>
            <w:shd w:val="clear" w:color="auto" w:fill="auto"/>
            <w:vAlign w:val="center"/>
          </w:tcPr>
          <w:p w14:paraId="1F1765E2"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44</w:t>
            </w:r>
          </w:p>
        </w:tc>
        <w:tc>
          <w:tcPr>
            <w:tcW w:w="567" w:type="dxa"/>
            <w:tcBorders>
              <w:top w:val="nil"/>
              <w:left w:val="nil"/>
              <w:bottom w:val="nil"/>
              <w:right w:val="nil"/>
            </w:tcBorders>
            <w:shd w:val="clear" w:color="auto" w:fill="auto"/>
            <w:vAlign w:val="center"/>
          </w:tcPr>
          <w:p w14:paraId="5FAC5B4D"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14.1</w:t>
            </w:r>
          </w:p>
        </w:tc>
        <w:tc>
          <w:tcPr>
            <w:tcW w:w="1146" w:type="dxa"/>
            <w:tcBorders>
              <w:top w:val="nil"/>
              <w:left w:val="nil"/>
              <w:bottom w:val="nil"/>
              <w:right w:val="single" w:sz="4" w:space="0" w:color="000000"/>
            </w:tcBorders>
            <w:shd w:val="clear" w:color="auto" w:fill="auto"/>
            <w:vAlign w:val="center"/>
          </w:tcPr>
          <w:p w14:paraId="72378EC2"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(9.7, 18.5)</w:t>
            </w:r>
          </w:p>
        </w:tc>
        <w:tc>
          <w:tcPr>
            <w:tcW w:w="536" w:type="dxa"/>
            <w:tcBorders>
              <w:top w:val="nil"/>
              <w:left w:val="single" w:sz="4" w:space="0" w:color="000000"/>
              <w:bottom w:val="nil"/>
              <w:right w:val="nil"/>
            </w:tcBorders>
            <w:shd w:val="clear" w:color="auto" w:fill="auto"/>
            <w:vAlign w:val="center"/>
          </w:tcPr>
          <w:p w14:paraId="586C96FF"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37</w:t>
            </w:r>
          </w:p>
        </w:tc>
        <w:tc>
          <w:tcPr>
            <w:tcW w:w="576" w:type="dxa"/>
            <w:tcBorders>
              <w:top w:val="nil"/>
              <w:left w:val="nil"/>
              <w:bottom w:val="nil"/>
              <w:right w:val="nil"/>
            </w:tcBorders>
            <w:shd w:val="clear" w:color="auto" w:fill="auto"/>
            <w:vAlign w:val="center"/>
          </w:tcPr>
          <w:p w14:paraId="58E98B7A"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13.1</w:t>
            </w:r>
          </w:p>
        </w:tc>
        <w:tc>
          <w:tcPr>
            <w:tcW w:w="1146" w:type="dxa"/>
            <w:tcBorders>
              <w:top w:val="nil"/>
              <w:left w:val="nil"/>
              <w:bottom w:val="nil"/>
              <w:right w:val="nil"/>
            </w:tcBorders>
            <w:shd w:val="clear" w:color="auto" w:fill="auto"/>
            <w:vAlign w:val="center"/>
          </w:tcPr>
          <w:p w14:paraId="1298B52B"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(8.6, 17.6)</w:t>
            </w:r>
          </w:p>
        </w:tc>
      </w:tr>
      <w:tr w:rsidR="009118DA" w:rsidRPr="00D76D7F" w14:paraId="6DDBC753"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2CADCBE0" w14:textId="77777777" w:rsidR="003D7BB5" w:rsidRPr="00D76D7F" w:rsidRDefault="003D7BB5" w:rsidP="00DD0F28">
            <w:pPr>
              <w:keepNext/>
              <w:spacing w:before="20" w:after="20"/>
              <w:ind w:left="176"/>
              <w:rPr>
                <w:rFonts w:eastAsiaTheme="minorEastAsia"/>
                <w:b w:val="0"/>
                <w:sz w:val="18"/>
                <w:szCs w:val="18"/>
                <w:lang w:eastAsia="en-US"/>
              </w:rPr>
            </w:pPr>
            <w:r w:rsidRPr="00D76D7F">
              <w:rPr>
                <w:rFonts w:eastAsiaTheme="minorEastAsia"/>
                <w:b w:val="0"/>
                <w:sz w:val="18"/>
                <w:szCs w:val="18"/>
                <w:lang w:eastAsia="en-US"/>
              </w:rPr>
              <w:t>$21 - $30</w:t>
            </w:r>
          </w:p>
        </w:tc>
        <w:tc>
          <w:tcPr>
            <w:tcW w:w="536" w:type="dxa"/>
            <w:tcBorders>
              <w:top w:val="nil"/>
              <w:left w:val="nil"/>
              <w:bottom w:val="nil"/>
              <w:right w:val="nil"/>
            </w:tcBorders>
            <w:shd w:val="clear" w:color="auto" w:fill="auto"/>
            <w:noWrap/>
            <w:vAlign w:val="center"/>
          </w:tcPr>
          <w:p w14:paraId="22730F8B"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50</w:t>
            </w:r>
          </w:p>
        </w:tc>
        <w:tc>
          <w:tcPr>
            <w:tcW w:w="567" w:type="dxa"/>
            <w:tcBorders>
              <w:top w:val="nil"/>
              <w:left w:val="nil"/>
              <w:bottom w:val="nil"/>
              <w:right w:val="nil"/>
            </w:tcBorders>
            <w:shd w:val="clear" w:color="auto" w:fill="auto"/>
            <w:noWrap/>
            <w:vAlign w:val="center"/>
          </w:tcPr>
          <w:p w14:paraId="3327FFB2"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7.9</w:t>
            </w:r>
          </w:p>
        </w:tc>
        <w:tc>
          <w:tcPr>
            <w:tcW w:w="1146" w:type="dxa"/>
            <w:tcBorders>
              <w:top w:val="nil"/>
              <w:left w:val="nil"/>
              <w:bottom w:val="nil"/>
              <w:right w:val="single" w:sz="4" w:space="0" w:color="auto"/>
            </w:tcBorders>
            <w:shd w:val="clear" w:color="auto" w:fill="auto"/>
            <w:noWrap/>
            <w:vAlign w:val="center"/>
          </w:tcPr>
          <w:p w14:paraId="20890BFC"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(5.8, 9.9)</w:t>
            </w:r>
          </w:p>
        </w:tc>
        <w:tc>
          <w:tcPr>
            <w:tcW w:w="536" w:type="dxa"/>
            <w:tcBorders>
              <w:top w:val="nil"/>
              <w:left w:val="single" w:sz="4" w:space="0" w:color="auto"/>
              <w:bottom w:val="nil"/>
              <w:right w:val="nil"/>
            </w:tcBorders>
            <w:shd w:val="clear" w:color="auto" w:fill="auto"/>
            <w:noWrap/>
            <w:vAlign w:val="center"/>
          </w:tcPr>
          <w:p w14:paraId="449D7E7D"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38</w:t>
            </w:r>
          </w:p>
        </w:tc>
        <w:tc>
          <w:tcPr>
            <w:tcW w:w="621" w:type="dxa"/>
            <w:tcBorders>
              <w:top w:val="nil"/>
              <w:left w:val="nil"/>
              <w:bottom w:val="nil"/>
              <w:right w:val="nil"/>
            </w:tcBorders>
            <w:shd w:val="clear" w:color="auto" w:fill="auto"/>
            <w:noWrap/>
            <w:vAlign w:val="center"/>
          </w:tcPr>
          <w:p w14:paraId="690A673C"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10.4</w:t>
            </w:r>
          </w:p>
        </w:tc>
        <w:tc>
          <w:tcPr>
            <w:tcW w:w="1146" w:type="dxa"/>
            <w:tcBorders>
              <w:top w:val="nil"/>
              <w:left w:val="nil"/>
              <w:bottom w:val="nil"/>
              <w:right w:val="single" w:sz="4" w:space="0" w:color="000000"/>
            </w:tcBorders>
            <w:shd w:val="clear" w:color="auto" w:fill="auto"/>
            <w:noWrap/>
            <w:vAlign w:val="center"/>
          </w:tcPr>
          <w:p w14:paraId="4F27633B"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(7.0, 13.8)</w:t>
            </w:r>
          </w:p>
        </w:tc>
        <w:tc>
          <w:tcPr>
            <w:tcW w:w="536" w:type="dxa"/>
            <w:tcBorders>
              <w:top w:val="nil"/>
              <w:left w:val="single" w:sz="4" w:space="0" w:color="000000"/>
              <w:bottom w:val="nil"/>
              <w:right w:val="nil"/>
            </w:tcBorders>
            <w:shd w:val="clear" w:color="auto" w:fill="auto"/>
            <w:vAlign w:val="center"/>
          </w:tcPr>
          <w:p w14:paraId="3516A0A2"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w:t>
            </w:r>
          </w:p>
        </w:tc>
        <w:tc>
          <w:tcPr>
            <w:tcW w:w="567" w:type="dxa"/>
            <w:tcBorders>
              <w:top w:val="nil"/>
              <w:left w:val="nil"/>
              <w:bottom w:val="nil"/>
              <w:right w:val="nil"/>
            </w:tcBorders>
            <w:shd w:val="clear" w:color="auto" w:fill="auto"/>
            <w:vAlign w:val="center"/>
          </w:tcPr>
          <w:p w14:paraId="401D244B"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9.6</w:t>
            </w:r>
          </w:p>
        </w:tc>
        <w:tc>
          <w:tcPr>
            <w:tcW w:w="1146" w:type="dxa"/>
            <w:tcBorders>
              <w:top w:val="nil"/>
              <w:left w:val="nil"/>
              <w:bottom w:val="nil"/>
              <w:right w:val="single" w:sz="4" w:space="0" w:color="000000"/>
            </w:tcBorders>
            <w:shd w:val="clear" w:color="auto" w:fill="auto"/>
            <w:vAlign w:val="center"/>
          </w:tcPr>
          <w:p w14:paraId="390628FD"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(6.0, 13.2)</w:t>
            </w:r>
          </w:p>
        </w:tc>
        <w:tc>
          <w:tcPr>
            <w:tcW w:w="536" w:type="dxa"/>
            <w:tcBorders>
              <w:top w:val="nil"/>
              <w:left w:val="single" w:sz="4" w:space="0" w:color="000000"/>
              <w:bottom w:val="nil"/>
              <w:right w:val="nil"/>
            </w:tcBorders>
            <w:shd w:val="clear" w:color="auto" w:fill="auto"/>
            <w:vAlign w:val="center"/>
          </w:tcPr>
          <w:p w14:paraId="3C5F4049"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w:t>
            </w:r>
          </w:p>
        </w:tc>
        <w:tc>
          <w:tcPr>
            <w:tcW w:w="576" w:type="dxa"/>
            <w:tcBorders>
              <w:top w:val="nil"/>
              <w:left w:val="nil"/>
              <w:bottom w:val="nil"/>
              <w:right w:val="nil"/>
            </w:tcBorders>
            <w:shd w:val="clear" w:color="auto" w:fill="auto"/>
            <w:vAlign w:val="center"/>
          </w:tcPr>
          <w:p w14:paraId="2D320A36"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7.8</w:t>
            </w:r>
          </w:p>
        </w:tc>
        <w:tc>
          <w:tcPr>
            <w:tcW w:w="1146" w:type="dxa"/>
            <w:tcBorders>
              <w:top w:val="nil"/>
              <w:left w:val="nil"/>
              <w:bottom w:val="nil"/>
              <w:right w:val="nil"/>
            </w:tcBorders>
            <w:shd w:val="clear" w:color="auto" w:fill="auto"/>
            <w:vAlign w:val="center"/>
          </w:tcPr>
          <w:p w14:paraId="73BE7D59"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(4.3, 11.3)</w:t>
            </w:r>
          </w:p>
        </w:tc>
      </w:tr>
      <w:tr w:rsidR="009118DA" w:rsidRPr="00D76D7F" w14:paraId="64B8E7EA"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237AAF12" w14:textId="77777777" w:rsidR="003D7BB5" w:rsidRPr="00D76D7F" w:rsidRDefault="003D7BB5" w:rsidP="00DD0F28">
            <w:pPr>
              <w:keepNext/>
              <w:spacing w:before="20" w:after="20"/>
              <w:ind w:left="176"/>
              <w:rPr>
                <w:rFonts w:eastAsiaTheme="minorEastAsia"/>
                <w:b w:val="0"/>
                <w:sz w:val="18"/>
                <w:szCs w:val="18"/>
                <w:lang w:eastAsia="en-US"/>
              </w:rPr>
            </w:pPr>
            <w:r w:rsidRPr="00D76D7F">
              <w:rPr>
                <w:rFonts w:eastAsiaTheme="minorEastAsia"/>
                <w:b w:val="0"/>
                <w:sz w:val="18"/>
                <w:szCs w:val="18"/>
                <w:lang w:eastAsia="en-US"/>
              </w:rPr>
              <w:t>$31 - $50</w:t>
            </w:r>
          </w:p>
        </w:tc>
        <w:tc>
          <w:tcPr>
            <w:tcW w:w="536" w:type="dxa"/>
            <w:tcBorders>
              <w:top w:val="nil"/>
              <w:left w:val="nil"/>
              <w:bottom w:val="nil"/>
              <w:right w:val="nil"/>
            </w:tcBorders>
            <w:shd w:val="clear" w:color="auto" w:fill="auto"/>
            <w:noWrap/>
            <w:vAlign w:val="center"/>
          </w:tcPr>
          <w:p w14:paraId="349AF904"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57</w:t>
            </w:r>
          </w:p>
        </w:tc>
        <w:tc>
          <w:tcPr>
            <w:tcW w:w="567" w:type="dxa"/>
            <w:tcBorders>
              <w:top w:val="nil"/>
              <w:left w:val="nil"/>
              <w:bottom w:val="nil"/>
              <w:right w:val="nil"/>
            </w:tcBorders>
            <w:shd w:val="clear" w:color="auto" w:fill="auto"/>
            <w:noWrap/>
            <w:vAlign w:val="center"/>
          </w:tcPr>
          <w:p w14:paraId="384FE020"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8.9</w:t>
            </w:r>
          </w:p>
        </w:tc>
        <w:tc>
          <w:tcPr>
            <w:tcW w:w="1146" w:type="dxa"/>
            <w:tcBorders>
              <w:top w:val="nil"/>
              <w:left w:val="nil"/>
              <w:bottom w:val="nil"/>
              <w:right w:val="single" w:sz="4" w:space="0" w:color="auto"/>
            </w:tcBorders>
            <w:shd w:val="clear" w:color="auto" w:fill="auto"/>
            <w:noWrap/>
            <w:vAlign w:val="center"/>
          </w:tcPr>
          <w:p w14:paraId="6B560503"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(6.7, 11.1)</w:t>
            </w:r>
          </w:p>
        </w:tc>
        <w:tc>
          <w:tcPr>
            <w:tcW w:w="536" w:type="dxa"/>
            <w:tcBorders>
              <w:top w:val="nil"/>
              <w:left w:val="single" w:sz="4" w:space="0" w:color="auto"/>
              <w:bottom w:val="nil"/>
              <w:right w:val="nil"/>
            </w:tcBorders>
            <w:shd w:val="clear" w:color="auto" w:fill="auto"/>
            <w:noWrap/>
            <w:vAlign w:val="center"/>
          </w:tcPr>
          <w:p w14:paraId="5E0B38AD"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w:t>
            </w:r>
          </w:p>
        </w:tc>
        <w:tc>
          <w:tcPr>
            <w:tcW w:w="621" w:type="dxa"/>
            <w:tcBorders>
              <w:top w:val="nil"/>
              <w:left w:val="nil"/>
              <w:bottom w:val="nil"/>
              <w:right w:val="nil"/>
            </w:tcBorders>
            <w:shd w:val="clear" w:color="auto" w:fill="auto"/>
            <w:noWrap/>
            <w:vAlign w:val="center"/>
          </w:tcPr>
          <w:p w14:paraId="6F8A36F6"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4.6</w:t>
            </w:r>
          </w:p>
        </w:tc>
        <w:tc>
          <w:tcPr>
            <w:tcW w:w="1146" w:type="dxa"/>
            <w:tcBorders>
              <w:top w:val="nil"/>
              <w:left w:val="nil"/>
              <w:bottom w:val="nil"/>
              <w:right w:val="single" w:sz="4" w:space="0" w:color="000000"/>
            </w:tcBorders>
            <w:shd w:val="clear" w:color="auto" w:fill="auto"/>
            <w:noWrap/>
            <w:vAlign w:val="center"/>
          </w:tcPr>
          <w:p w14:paraId="246B6DB6"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(2.5, 6.7)</w:t>
            </w:r>
          </w:p>
        </w:tc>
        <w:tc>
          <w:tcPr>
            <w:tcW w:w="536" w:type="dxa"/>
            <w:tcBorders>
              <w:top w:val="nil"/>
              <w:left w:val="single" w:sz="4" w:space="0" w:color="000000"/>
              <w:bottom w:val="nil"/>
              <w:right w:val="nil"/>
            </w:tcBorders>
            <w:shd w:val="clear" w:color="auto" w:fill="auto"/>
            <w:vAlign w:val="center"/>
          </w:tcPr>
          <w:p w14:paraId="485C99C9"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w:t>
            </w:r>
          </w:p>
        </w:tc>
        <w:tc>
          <w:tcPr>
            <w:tcW w:w="567" w:type="dxa"/>
            <w:tcBorders>
              <w:top w:val="nil"/>
              <w:left w:val="nil"/>
              <w:bottom w:val="nil"/>
              <w:right w:val="nil"/>
            </w:tcBorders>
            <w:shd w:val="clear" w:color="auto" w:fill="auto"/>
            <w:vAlign w:val="center"/>
          </w:tcPr>
          <w:p w14:paraId="2384967A"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9.6</w:t>
            </w:r>
          </w:p>
        </w:tc>
        <w:tc>
          <w:tcPr>
            <w:tcW w:w="1146" w:type="dxa"/>
            <w:tcBorders>
              <w:top w:val="nil"/>
              <w:left w:val="nil"/>
              <w:bottom w:val="nil"/>
              <w:right w:val="single" w:sz="4" w:space="0" w:color="000000"/>
            </w:tcBorders>
            <w:shd w:val="clear" w:color="auto" w:fill="auto"/>
            <w:vAlign w:val="center"/>
          </w:tcPr>
          <w:p w14:paraId="308D93B9"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(5.9, 13.3)</w:t>
            </w:r>
          </w:p>
        </w:tc>
        <w:tc>
          <w:tcPr>
            <w:tcW w:w="536" w:type="dxa"/>
            <w:tcBorders>
              <w:top w:val="nil"/>
              <w:left w:val="single" w:sz="4" w:space="0" w:color="000000"/>
              <w:bottom w:val="nil"/>
              <w:right w:val="nil"/>
            </w:tcBorders>
            <w:shd w:val="clear" w:color="auto" w:fill="auto"/>
            <w:vAlign w:val="center"/>
          </w:tcPr>
          <w:p w14:paraId="4268EC09"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24</w:t>
            </w:r>
          </w:p>
        </w:tc>
        <w:tc>
          <w:tcPr>
            <w:tcW w:w="576" w:type="dxa"/>
            <w:tcBorders>
              <w:top w:val="nil"/>
              <w:left w:val="nil"/>
              <w:bottom w:val="nil"/>
              <w:right w:val="nil"/>
            </w:tcBorders>
            <w:shd w:val="clear" w:color="auto" w:fill="auto"/>
            <w:vAlign w:val="center"/>
          </w:tcPr>
          <w:p w14:paraId="4E33E837"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8.6</w:t>
            </w:r>
          </w:p>
        </w:tc>
        <w:tc>
          <w:tcPr>
            <w:tcW w:w="1146" w:type="dxa"/>
            <w:tcBorders>
              <w:top w:val="nil"/>
              <w:left w:val="nil"/>
              <w:bottom w:val="nil"/>
              <w:right w:val="nil"/>
            </w:tcBorders>
            <w:shd w:val="clear" w:color="auto" w:fill="auto"/>
            <w:vAlign w:val="center"/>
          </w:tcPr>
          <w:p w14:paraId="386062BE"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(4.9, 12.4)</w:t>
            </w:r>
          </w:p>
        </w:tc>
      </w:tr>
      <w:tr w:rsidR="009118DA" w:rsidRPr="00D76D7F" w14:paraId="6482FAC8"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24A5F47F" w14:textId="77777777" w:rsidR="003D7BB5" w:rsidRPr="00D76D7F" w:rsidRDefault="003D7BB5" w:rsidP="00DD0F28">
            <w:pPr>
              <w:keepNext/>
              <w:spacing w:before="20" w:after="20"/>
              <w:ind w:left="176"/>
              <w:rPr>
                <w:rFonts w:eastAsiaTheme="minorEastAsia"/>
                <w:b w:val="0"/>
                <w:sz w:val="18"/>
                <w:szCs w:val="18"/>
                <w:lang w:eastAsia="en-US"/>
              </w:rPr>
            </w:pPr>
            <w:r w:rsidRPr="00D76D7F">
              <w:rPr>
                <w:rFonts w:eastAsiaTheme="minorEastAsia"/>
                <w:b w:val="0"/>
                <w:sz w:val="18"/>
                <w:szCs w:val="18"/>
                <w:lang w:eastAsia="en-US"/>
              </w:rPr>
              <w:t>$51 - $100</w:t>
            </w:r>
          </w:p>
        </w:tc>
        <w:tc>
          <w:tcPr>
            <w:tcW w:w="536" w:type="dxa"/>
            <w:tcBorders>
              <w:top w:val="nil"/>
              <w:left w:val="nil"/>
              <w:bottom w:val="nil"/>
              <w:right w:val="nil"/>
            </w:tcBorders>
            <w:shd w:val="clear" w:color="auto" w:fill="auto"/>
            <w:noWrap/>
            <w:vAlign w:val="center"/>
          </w:tcPr>
          <w:p w14:paraId="0DA1629D"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46</w:t>
            </w:r>
          </w:p>
        </w:tc>
        <w:tc>
          <w:tcPr>
            <w:tcW w:w="567" w:type="dxa"/>
            <w:tcBorders>
              <w:top w:val="nil"/>
              <w:left w:val="nil"/>
              <w:bottom w:val="nil"/>
              <w:right w:val="nil"/>
            </w:tcBorders>
            <w:shd w:val="clear" w:color="auto" w:fill="auto"/>
            <w:noWrap/>
            <w:vAlign w:val="center"/>
          </w:tcPr>
          <w:p w14:paraId="0350D68A"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7.2</w:t>
            </w:r>
          </w:p>
        </w:tc>
        <w:tc>
          <w:tcPr>
            <w:tcW w:w="1146" w:type="dxa"/>
            <w:tcBorders>
              <w:top w:val="nil"/>
              <w:left w:val="nil"/>
              <w:bottom w:val="nil"/>
              <w:right w:val="single" w:sz="4" w:space="0" w:color="auto"/>
            </w:tcBorders>
            <w:shd w:val="clear" w:color="auto" w:fill="auto"/>
            <w:noWrap/>
            <w:vAlign w:val="center"/>
          </w:tcPr>
          <w:p w14:paraId="4F4313C5"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(5.1, 9.4)</w:t>
            </w:r>
          </w:p>
        </w:tc>
        <w:tc>
          <w:tcPr>
            <w:tcW w:w="536" w:type="dxa"/>
            <w:tcBorders>
              <w:top w:val="nil"/>
              <w:left w:val="single" w:sz="4" w:space="0" w:color="auto"/>
              <w:bottom w:val="nil"/>
              <w:right w:val="nil"/>
            </w:tcBorders>
            <w:shd w:val="clear" w:color="auto" w:fill="auto"/>
            <w:noWrap/>
            <w:vAlign w:val="center"/>
          </w:tcPr>
          <w:p w14:paraId="5B5A49C7"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29</w:t>
            </w:r>
          </w:p>
        </w:tc>
        <w:tc>
          <w:tcPr>
            <w:tcW w:w="621" w:type="dxa"/>
            <w:tcBorders>
              <w:top w:val="nil"/>
              <w:left w:val="nil"/>
              <w:bottom w:val="nil"/>
              <w:right w:val="nil"/>
            </w:tcBorders>
            <w:shd w:val="clear" w:color="auto" w:fill="auto"/>
            <w:noWrap/>
            <w:vAlign w:val="center"/>
          </w:tcPr>
          <w:p w14:paraId="31CD46A3"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7.8</w:t>
            </w:r>
          </w:p>
        </w:tc>
        <w:tc>
          <w:tcPr>
            <w:tcW w:w="1146" w:type="dxa"/>
            <w:tcBorders>
              <w:top w:val="nil"/>
              <w:left w:val="nil"/>
              <w:bottom w:val="nil"/>
              <w:right w:val="single" w:sz="4" w:space="0" w:color="000000"/>
            </w:tcBorders>
            <w:shd w:val="clear" w:color="auto" w:fill="auto"/>
            <w:noWrap/>
            <w:vAlign w:val="center"/>
          </w:tcPr>
          <w:p w14:paraId="2B1BB1E9"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(5.0, 10.6)</w:t>
            </w:r>
          </w:p>
        </w:tc>
        <w:tc>
          <w:tcPr>
            <w:tcW w:w="536" w:type="dxa"/>
            <w:tcBorders>
              <w:top w:val="nil"/>
              <w:left w:val="single" w:sz="4" w:space="0" w:color="000000"/>
              <w:bottom w:val="nil"/>
              <w:right w:val="nil"/>
            </w:tcBorders>
            <w:shd w:val="clear" w:color="auto" w:fill="auto"/>
            <w:vAlign w:val="center"/>
          </w:tcPr>
          <w:p w14:paraId="6084F130"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w:t>
            </w:r>
          </w:p>
        </w:tc>
        <w:tc>
          <w:tcPr>
            <w:tcW w:w="567" w:type="dxa"/>
            <w:tcBorders>
              <w:top w:val="nil"/>
              <w:left w:val="nil"/>
              <w:bottom w:val="nil"/>
              <w:right w:val="nil"/>
            </w:tcBorders>
            <w:shd w:val="clear" w:color="auto" w:fill="auto"/>
            <w:vAlign w:val="center"/>
          </w:tcPr>
          <w:p w14:paraId="6725AB75"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5.7</w:t>
            </w:r>
          </w:p>
        </w:tc>
        <w:tc>
          <w:tcPr>
            <w:tcW w:w="1146" w:type="dxa"/>
            <w:tcBorders>
              <w:top w:val="nil"/>
              <w:left w:val="nil"/>
              <w:bottom w:val="nil"/>
              <w:right w:val="single" w:sz="4" w:space="0" w:color="000000"/>
            </w:tcBorders>
            <w:shd w:val="clear" w:color="auto" w:fill="auto"/>
            <w:vAlign w:val="center"/>
          </w:tcPr>
          <w:p w14:paraId="2B2F8C5C"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(3.0, 8.4)</w:t>
            </w:r>
          </w:p>
        </w:tc>
        <w:tc>
          <w:tcPr>
            <w:tcW w:w="536" w:type="dxa"/>
            <w:tcBorders>
              <w:top w:val="nil"/>
              <w:left w:val="single" w:sz="4" w:space="0" w:color="000000"/>
              <w:bottom w:val="nil"/>
              <w:right w:val="nil"/>
            </w:tcBorders>
            <w:shd w:val="clear" w:color="auto" w:fill="auto"/>
            <w:vAlign w:val="center"/>
          </w:tcPr>
          <w:p w14:paraId="5A286BA1"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27</w:t>
            </w:r>
          </w:p>
        </w:tc>
        <w:tc>
          <w:tcPr>
            <w:tcW w:w="576" w:type="dxa"/>
            <w:tcBorders>
              <w:top w:val="nil"/>
              <w:left w:val="nil"/>
              <w:bottom w:val="nil"/>
              <w:right w:val="nil"/>
            </w:tcBorders>
            <w:shd w:val="clear" w:color="auto" w:fill="auto"/>
            <w:vAlign w:val="center"/>
          </w:tcPr>
          <w:p w14:paraId="5BB5E0E5"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9.7</w:t>
            </w:r>
          </w:p>
        </w:tc>
        <w:tc>
          <w:tcPr>
            <w:tcW w:w="1146" w:type="dxa"/>
            <w:tcBorders>
              <w:top w:val="nil"/>
              <w:left w:val="nil"/>
              <w:bottom w:val="nil"/>
              <w:right w:val="nil"/>
            </w:tcBorders>
            <w:shd w:val="clear" w:color="auto" w:fill="auto"/>
            <w:vAlign w:val="center"/>
          </w:tcPr>
          <w:p w14:paraId="6B819020"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(5.6, 13.7)</w:t>
            </w:r>
          </w:p>
        </w:tc>
      </w:tr>
      <w:tr w:rsidR="009118DA" w:rsidRPr="00D76D7F" w14:paraId="02CCE1B7"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0FDBBEE0" w14:textId="77777777" w:rsidR="003D7BB5" w:rsidRPr="00D76D7F" w:rsidRDefault="003D7BB5" w:rsidP="00DD0F28">
            <w:pPr>
              <w:keepNext/>
              <w:spacing w:before="20" w:after="20"/>
              <w:ind w:left="176"/>
              <w:rPr>
                <w:rFonts w:eastAsiaTheme="minorEastAsia"/>
                <w:b w:val="0"/>
                <w:sz w:val="18"/>
                <w:szCs w:val="18"/>
                <w:lang w:eastAsia="en-US"/>
              </w:rPr>
            </w:pPr>
            <w:r w:rsidRPr="00D76D7F">
              <w:rPr>
                <w:rFonts w:eastAsiaTheme="minorEastAsia"/>
                <w:b w:val="0"/>
                <w:sz w:val="18"/>
                <w:szCs w:val="18"/>
                <w:lang w:eastAsia="en-US"/>
              </w:rPr>
              <w:t>$101 - $500</w:t>
            </w:r>
          </w:p>
        </w:tc>
        <w:tc>
          <w:tcPr>
            <w:tcW w:w="536" w:type="dxa"/>
            <w:tcBorders>
              <w:top w:val="nil"/>
              <w:left w:val="nil"/>
              <w:bottom w:val="nil"/>
              <w:right w:val="nil"/>
            </w:tcBorders>
            <w:shd w:val="clear" w:color="auto" w:fill="auto"/>
            <w:noWrap/>
            <w:vAlign w:val="center"/>
          </w:tcPr>
          <w:p w14:paraId="7C364048"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39</w:t>
            </w:r>
          </w:p>
        </w:tc>
        <w:tc>
          <w:tcPr>
            <w:tcW w:w="567" w:type="dxa"/>
            <w:tcBorders>
              <w:top w:val="nil"/>
              <w:left w:val="nil"/>
              <w:bottom w:val="nil"/>
              <w:right w:val="nil"/>
            </w:tcBorders>
            <w:shd w:val="clear" w:color="auto" w:fill="auto"/>
            <w:noWrap/>
            <w:vAlign w:val="center"/>
          </w:tcPr>
          <w:p w14:paraId="484D111A"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6.1</w:t>
            </w:r>
          </w:p>
        </w:tc>
        <w:tc>
          <w:tcPr>
            <w:tcW w:w="1146" w:type="dxa"/>
            <w:tcBorders>
              <w:top w:val="nil"/>
              <w:left w:val="nil"/>
              <w:bottom w:val="nil"/>
              <w:right w:val="single" w:sz="4" w:space="0" w:color="000000"/>
            </w:tcBorders>
            <w:shd w:val="clear" w:color="auto" w:fill="auto"/>
            <w:noWrap/>
            <w:vAlign w:val="center"/>
          </w:tcPr>
          <w:p w14:paraId="4F95F187"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(4.3, 7.9)</w:t>
            </w:r>
          </w:p>
        </w:tc>
        <w:tc>
          <w:tcPr>
            <w:tcW w:w="536" w:type="dxa"/>
            <w:tcBorders>
              <w:top w:val="nil"/>
              <w:left w:val="single" w:sz="4" w:space="0" w:color="000000"/>
              <w:bottom w:val="nil"/>
              <w:right w:val="nil"/>
            </w:tcBorders>
            <w:shd w:val="clear" w:color="auto" w:fill="auto"/>
            <w:noWrap/>
            <w:vAlign w:val="center"/>
          </w:tcPr>
          <w:p w14:paraId="465FB523"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w:t>
            </w:r>
          </w:p>
        </w:tc>
        <w:tc>
          <w:tcPr>
            <w:tcW w:w="621" w:type="dxa"/>
            <w:tcBorders>
              <w:top w:val="nil"/>
              <w:left w:val="nil"/>
              <w:bottom w:val="nil"/>
              <w:right w:val="nil"/>
            </w:tcBorders>
            <w:shd w:val="clear" w:color="auto" w:fill="auto"/>
            <w:noWrap/>
            <w:vAlign w:val="center"/>
          </w:tcPr>
          <w:p w14:paraId="60B4EB89"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4.7</w:t>
            </w:r>
          </w:p>
        </w:tc>
        <w:tc>
          <w:tcPr>
            <w:tcW w:w="1146" w:type="dxa"/>
            <w:tcBorders>
              <w:top w:val="nil"/>
              <w:left w:val="nil"/>
              <w:bottom w:val="nil"/>
              <w:right w:val="single" w:sz="4" w:space="0" w:color="000000"/>
            </w:tcBorders>
            <w:shd w:val="clear" w:color="auto" w:fill="auto"/>
            <w:noWrap/>
            <w:vAlign w:val="center"/>
          </w:tcPr>
          <w:p w14:paraId="17BCCF39"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(2.4, 7.0)</w:t>
            </w:r>
          </w:p>
        </w:tc>
        <w:tc>
          <w:tcPr>
            <w:tcW w:w="536" w:type="dxa"/>
            <w:tcBorders>
              <w:top w:val="nil"/>
              <w:left w:val="single" w:sz="4" w:space="0" w:color="000000"/>
              <w:bottom w:val="nil"/>
              <w:right w:val="nil"/>
            </w:tcBorders>
            <w:shd w:val="clear" w:color="auto" w:fill="auto"/>
            <w:vAlign w:val="center"/>
          </w:tcPr>
          <w:p w14:paraId="41667920"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w:t>
            </w:r>
          </w:p>
        </w:tc>
        <w:tc>
          <w:tcPr>
            <w:tcW w:w="567" w:type="dxa"/>
            <w:tcBorders>
              <w:top w:val="nil"/>
              <w:left w:val="nil"/>
              <w:bottom w:val="nil"/>
              <w:right w:val="nil"/>
            </w:tcBorders>
            <w:shd w:val="clear" w:color="auto" w:fill="auto"/>
            <w:vAlign w:val="center"/>
          </w:tcPr>
          <w:p w14:paraId="13419C0A"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4.7</w:t>
            </w:r>
          </w:p>
        </w:tc>
        <w:tc>
          <w:tcPr>
            <w:tcW w:w="1146" w:type="dxa"/>
            <w:tcBorders>
              <w:top w:val="nil"/>
              <w:left w:val="nil"/>
              <w:bottom w:val="nil"/>
              <w:right w:val="single" w:sz="4" w:space="0" w:color="000000"/>
            </w:tcBorders>
            <w:shd w:val="clear" w:color="auto" w:fill="auto"/>
            <w:vAlign w:val="center"/>
          </w:tcPr>
          <w:p w14:paraId="570BF62F"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(2.2, 7.2)</w:t>
            </w:r>
          </w:p>
        </w:tc>
        <w:tc>
          <w:tcPr>
            <w:tcW w:w="536" w:type="dxa"/>
            <w:tcBorders>
              <w:top w:val="nil"/>
              <w:left w:val="single" w:sz="4" w:space="0" w:color="000000"/>
              <w:bottom w:val="nil"/>
              <w:right w:val="nil"/>
            </w:tcBorders>
            <w:shd w:val="clear" w:color="auto" w:fill="auto"/>
            <w:vAlign w:val="center"/>
          </w:tcPr>
          <w:p w14:paraId="00F05F04"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w:t>
            </w:r>
          </w:p>
        </w:tc>
        <w:tc>
          <w:tcPr>
            <w:tcW w:w="576" w:type="dxa"/>
            <w:tcBorders>
              <w:top w:val="nil"/>
              <w:left w:val="nil"/>
              <w:bottom w:val="nil"/>
              <w:right w:val="nil"/>
            </w:tcBorders>
            <w:shd w:val="clear" w:color="auto" w:fill="auto"/>
            <w:vAlign w:val="center"/>
          </w:tcPr>
          <w:p w14:paraId="2079CC2F"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5.8</w:t>
            </w:r>
          </w:p>
        </w:tc>
        <w:tc>
          <w:tcPr>
            <w:tcW w:w="1146" w:type="dxa"/>
            <w:tcBorders>
              <w:top w:val="nil"/>
              <w:left w:val="nil"/>
              <w:bottom w:val="nil"/>
              <w:right w:val="nil"/>
            </w:tcBorders>
            <w:shd w:val="clear" w:color="auto" w:fill="auto"/>
            <w:vAlign w:val="center"/>
          </w:tcPr>
          <w:p w14:paraId="7B9AF599" w14:textId="77777777" w:rsidR="003D7BB5" w:rsidRPr="00D76D7F" w:rsidRDefault="003D7BB5" w:rsidP="00DD0F28">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(3.0, 8.7)</w:t>
            </w:r>
          </w:p>
        </w:tc>
      </w:tr>
      <w:tr w:rsidR="009118DA" w:rsidRPr="00D76D7F" w14:paraId="106D0B1C"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08FBCD60"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&gt;$500</w:t>
            </w:r>
          </w:p>
        </w:tc>
        <w:tc>
          <w:tcPr>
            <w:tcW w:w="536" w:type="dxa"/>
            <w:tcBorders>
              <w:top w:val="nil"/>
              <w:left w:val="nil"/>
              <w:bottom w:val="nil"/>
              <w:right w:val="nil"/>
            </w:tcBorders>
            <w:shd w:val="clear" w:color="auto" w:fill="auto"/>
            <w:noWrap/>
            <w:vAlign w:val="center"/>
          </w:tcPr>
          <w:p w14:paraId="3F028F9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w:t>
            </w:r>
          </w:p>
        </w:tc>
        <w:tc>
          <w:tcPr>
            <w:tcW w:w="567" w:type="dxa"/>
            <w:tcBorders>
              <w:top w:val="nil"/>
              <w:left w:val="nil"/>
              <w:bottom w:val="nil"/>
              <w:right w:val="nil"/>
            </w:tcBorders>
            <w:shd w:val="clear" w:color="auto" w:fill="auto"/>
            <w:noWrap/>
            <w:vAlign w:val="center"/>
          </w:tcPr>
          <w:p w14:paraId="604AF7F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2.7</w:t>
            </w:r>
          </w:p>
        </w:tc>
        <w:tc>
          <w:tcPr>
            <w:tcW w:w="1146" w:type="dxa"/>
            <w:tcBorders>
              <w:top w:val="nil"/>
              <w:left w:val="nil"/>
              <w:bottom w:val="nil"/>
              <w:right w:val="single" w:sz="4" w:space="0" w:color="000000"/>
            </w:tcBorders>
            <w:shd w:val="clear" w:color="auto" w:fill="auto"/>
            <w:noWrap/>
            <w:vAlign w:val="center"/>
          </w:tcPr>
          <w:p w14:paraId="3717E67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(1.4, 4.1)</w:t>
            </w:r>
          </w:p>
        </w:tc>
        <w:tc>
          <w:tcPr>
            <w:tcW w:w="536" w:type="dxa"/>
            <w:tcBorders>
              <w:top w:val="nil"/>
              <w:left w:val="single" w:sz="4" w:space="0" w:color="000000"/>
              <w:bottom w:val="nil"/>
              <w:right w:val="nil"/>
            </w:tcBorders>
            <w:shd w:val="clear" w:color="auto" w:fill="auto"/>
            <w:noWrap/>
            <w:vAlign w:val="center"/>
          </w:tcPr>
          <w:p w14:paraId="2AF2643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w:t>
            </w:r>
          </w:p>
        </w:tc>
        <w:tc>
          <w:tcPr>
            <w:tcW w:w="621" w:type="dxa"/>
            <w:tcBorders>
              <w:top w:val="nil"/>
              <w:left w:val="nil"/>
              <w:bottom w:val="nil"/>
              <w:right w:val="nil"/>
            </w:tcBorders>
            <w:shd w:val="clear" w:color="auto" w:fill="auto"/>
            <w:noWrap/>
            <w:vAlign w:val="center"/>
          </w:tcPr>
          <w:p w14:paraId="2FFB4FC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w:t>
            </w:r>
          </w:p>
        </w:tc>
        <w:tc>
          <w:tcPr>
            <w:tcW w:w="1146" w:type="dxa"/>
            <w:tcBorders>
              <w:top w:val="nil"/>
              <w:left w:val="nil"/>
              <w:bottom w:val="nil"/>
              <w:right w:val="single" w:sz="4" w:space="0" w:color="000000"/>
            </w:tcBorders>
            <w:shd w:val="clear" w:color="auto" w:fill="auto"/>
            <w:noWrap/>
            <w:vAlign w:val="center"/>
          </w:tcPr>
          <w:p w14:paraId="5731195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(0.4, 3.4)</w:t>
            </w:r>
          </w:p>
        </w:tc>
        <w:tc>
          <w:tcPr>
            <w:tcW w:w="536" w:type="dxa"/>
            <w:tcBorders>
              <w:top w:val="nil"/>
              <w:left w:val="single" w:sz="4" w:space="0" w:color="000000"/>
              <w:bottom w:val="nil"/>
              <w:right w:val="nil"/>
            </w:tcBorders>
            <w:shd w:val="clear" w:color="auto" w:fill="auto"/>
            <w:vAlign w:val="center"/>
          </w:tcPr>
          <w:p w14:paraId="11A58BA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w:t>
            </w:r>
          </w:p>
        </w:tc>
        <w:tc>
          <w:tcPr>
            <w:tcW w:w="567" w:type="dxa"/>
            <w:tcBorders>
              <w:top w:val="nil"/>
              <w:left w:val="nil"/>
              <w:bottom w:val="nil"/>
              <w:right w:val="nil"/>
            </w:tcBorders>
            <w:shd w:val="clear" w:color="auto" w:fill="auto"/>
            <w:vAlign w:val="center"/>
          </w:tcPr>
          <w:p w14:paraId="16EB3AD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w:t>
            </w:r>
          </w:p>
        </w:tc>
        <w:tc>
          <w:tcPr>
            <w:tcW w:w="1146" w:type="dxa"/>
            <w:tcBorders>
              <w:top w:val="nil"/>
              <w:left w:val="nil"/>
              <w:bottom w:val="nil"/>
              <w:right w:val="single" w:sz="4" w:space="0" w:color="000000"/>
            </w:tcBorders>
            <w:shd w:val="clear" w:color="auto" w:fill="auto"/>
            <w:vAlign w:val="center"/>
          </w:tcPr>
          <w:p w14:paraId="593E2F2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(0.4, 2.6)</w:t>
            </w:r>
          </w:p>
        </w:tc>
        <w:tc>
          <w:tcPr>
            <w:tcW w:w="536" w:type="dxa"/>
            <w:tcBorders>
              <w:top w:val="nil"/>
              <w:left w:val="single" w:sz="4" w:space="0" w:color="000000"/>
              <w:bottom w:val="nil"/>
              <w:right w:val="nil"/>
            </w:tcBorders>
            <w:shd w:val="clear" w:color="auto" w:fill="auto"/>
            <w:vAlign w:val="center"/>
          </w:tcPr>
          <w:p w14:paraId="41A33F6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w:t>
            </w:r>
          </w:p>
        </w:tc>
        <w:tc>
          <w:tcPr>
            <w:tcW w:w="576" w:type="dxa"/>
            <w:tcBorders>
              <w:top w:val="nil"/>
              <w:left w:val="nil"/>
              <w:bottom w:val="nil"/>
              <w:right w:val="nil"/>
            </w:tcBorders>
            <w:shd w:val="clear" w:color="auto" w:fill="auto"/>
            <w:vAlign w:val="center"/>
          </w:tcPr>
          <w:p w14:paraId="2EC475F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0.5</w:t>
            </w:r>
          </w:p>
        </w:tc>
        <w:tc>
          <w:tcPr>
            <w:tcW w:w="1146" w:type="dxa"/>
            <w:tcBorders>
              <w:top w:val="nil"/>
              <w:left w:val="nil"/>
              <w:bottom w:val="nil"/>
              <w:right w:val="nil"/>
            </w:tcBorders>
            <w:shd w:val="clear" w:color="auto" w:fill="auto"/>
            <w:vAlign w:val="center"/>
          </w:tcPr>
          <w:p w14:paraId="41EF326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D76D7F" w14:paraId="58B2A5B1"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424FF069" w14:textId="77777777" w:rsidR="003D7BB5" w:rsidRPr="00D76D7F" w:rsidRDefault="003D7BB5" w:rsidP="00DD0F28">
            <w:pPr>
              <w:spacing w:before="20" w:after="20"/>
              <w:rPr>
                <w:rFonts w:eastAsiaTheme="minorEastAsia"/>
                <w:sz w:val="18"/>
                <w:szCs w:val="18"/>
                <w:lang w:eastAsia="en-US"/>
              </w:rPr>
            </w:pPr>
            <w:r w:rsidRPr="00D76D7F">
              <w:rPr>
                <w:rFonts w:eastAsiaTheme="minorEastAsia"/>
                <w:sz w:val="18"/>
                <w:szCs w:val="18"/>
                <w:lang w:eastAsia="en-US"/>
              </w:rPr>
              <w:t>Most preferred activity</w:t>
            </w:r>
          </w:p>
        </w:tc>
        <w:tc>
          <w:tcPr>
            <w:tcW w:w="536" w:type="dxa"/>
            <w:tcBorders>
              <w:top w:val="nil"/>
              <w:left w:val="nil"/>
              <w:bottom w:val="nil"/>
              <w:right w:val="nil"/>
            </w:tcBorders>
            <w:shd w:val="clear" w:color="auto" w:fill="auto"/>
            <w:noWrap/>
            <w:vAlign w:val="center"/>
          </w:tcPr>
          <w:p w14:paraId="0FC6D1AD" w14:textId="77777777" w:rsidR="003D7BB5" w:rsidRPr="00D76D7F"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67" w:type="dxa"/>
            <w:tcBorders>
              <w:top w:val="nil"/>
              <w:left w:val="nil"/>
              <w:bottom w:val="nil"/>
              <w:right w:val="nil"/>
            </w:tcBorders>
            <w:shd w:val="clear" w:color="auto" w:fill="auto"/>
            <w:noWrap/>
            <w:vAlign w:val="center"/>
          </w:tcPr>
          <w:p w14:paraId="5966920B" w14:textId="77777777" w:rsidR="003D7BB5" w:rsidRPr="00D76D7F"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auto"/>
            <w:noWrap/>
            <w:vAlign w:val="center"/>
          </w:tcPr>
          <w:p w14:paraId="4EFD92AD" w14:textId="77777777" w:rsidR="003D7BB5" w:rsidRPr="00D76D7F"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36" w:type="dxa"/>
            <w:tcBorders>
              <w:top w:val="nil"/>
              <w:left w:val="single" w:sz="4" w:space="0" w:color="000000"/>
              <w:bottom w:val="nil"/>
              <w:right w:val="nil"/>
            </w:tcBorders>
            <w:shd w:val="clear" w:color="auto" w:fill="auto"/>
            <w:noWrap/>
            <w:vAlign w:val="center"/>
          </w:tcPr>
          <w:p w14:paraId="70F0D92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621" w:type="dxa"/>
            <w:tcBorders>
              <w:top w:val="nil"/>
              <w:left w:val="nil"/>
              <w:bottom w:val="nil"/>
              <w:right w:val="nil"/>
            </w:tcBorders>
            <w:shd w:val="clear" w:color="auto" w:fill="auto"/>
            <w:noWrap/>
            <w:vAlign w:val="center"/>
          </w:tcPr>
          <w:p w14:paraId="62C792F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auto"/>
            <w:noWrap/>
            <w:vAlign w:val="center"/>
          </w:tcPr>
          <w:p w14:paraId="1D5F14C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shd w:val="clear" w:color="auto" w:fill="auto"/>
            <w:vAlign w:val="center"/>
          </w:tcPr>
          <w:p w14:paraId="63AD15D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shd w:val="clear" w:color="auto" w:fill="auto"/>
            <w:vAlign w:val="center"/>
          </w:tcPr>
          <w:p w14:paraId="022AF8F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auto"/>
            <w:vAlign w:val="center"/>
          </w:tcPr>
          <w:p w14:paraId="459E409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shd w:val="clear" w:color="auto" w:fill="auto"/>
            <w:vAlign w:val="center"/>
          </w:tcPr>
          <w:p w14:paraId="6320124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6" w:type="dxa"/>
            <w:tcBorders>
              <w:top w:val="nil"/>
              <w:left w:val="nil"/>
              <w:bottom w:val="nil"/>
              <w:right w:val="nil"/>
            </w:tcBorders>
            <w:shd w:val="clear" w:color="auto" w:fill="auto"/>
            <w:vAlign w:val="center"/>
          </w:tcPr>
          <w:p w14:paraId="60694A1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shd w:val="clear" w:color="auto" w:fill="auto"/>
            <w:vAlign w:val="center"/>
          </w:tcPr>
          <w:p w14:paraId="424B2AB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D76D7F" w14:paraId="36FA25A5"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588B50C4"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No gambling in past year</w:t>
            </w:r>
          </w:p>
        </w:tc>
        <w:tc>
          <w:tcPr>
            <w:tcW w:w="536" w:type="dxa"/>
            <w:tcBorders>
              <w:top w:val="nil"/>
              <w:left w:val="nil"/>
              <w:bottom w:val="nil"/>
              <w:right w:val="nil"/>
            </w:tcBorders>
            <w:shd w:val="clear" w:color="auto" w:fill="auto"/>
            <w:noWrap/>
            <w:vAlign w:val="center"/>
          </w:tcPr>
          <w:p w14:paraId="73A6446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254</w:t>
            </w:r>
          </w:p>
        </w:tc>
        <w:tc>
          <w:tcPr>
            <w:tcW w:w="567" w:type="dxa"/>
            <w:tcBorders>
              <w:top w:val="nil"/>
              <w:left w:val="nil"/>
              <w:bottom w:val="nil"/>
              <w:right w:val="nil"/>
            </w:tcBorders>
            <w:shd w:val="clear" w:color="auto" w:fill="auto"/>
            <w:noWrap/>
            <w:vAlign w:val="center"/>
          </w:tcPr>
          <w:p w14:paraId="4C9AC4B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39.8</w:t>
            </w:r>
          </w:p>
        </w:tc>
        <w:tc>
          <w:tcPr>
            <w:tcW w:w="1146" w:type="dxa"/>
            <w:tcBorders>
              <w:top w:val="nil"/>
              <w:left w:val="nil"/>
              <w:bottom w:val="nil"/>
              <w:right w:val="single" w:sz="4" w:space="0" w:color="auto"/>
            </w:tcBorders>
            <w:shd w:val="clear" w:color="auto" w:fill="auto"/>
            <w:noWrap/>
            <w:vAlign w:val="center"/>
          </w:tcPr>
          <w:p w14:paraId="6878604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(36.0, 43.6)</w:t>
            </w:r>
          </w:p>
        </w:tc>
        <w:tc>
          <w:tcPr>
            <w:tcW w:w="536" w:type="dxa"/>
            <w:tcBorders>
              <w:top w:val="nil"/>
              <w:left w:val="single" w:sz="4" w:space="0" w:color="auto"/>
              <w:bottom w:val="nil"/>
              <w:right w:val="nil"/>
            </w:tcBorders>
            <w:shd w:val="clear" w:color="auto" w:fill="auto"/>
            <w:noWrap/>
            <w:vAlign w:val="center"/>
          </w:tcPr>
          <w:p w14:paraId="6D12D43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162</w:t>
            </w:r>
          </w:p>
        </w:tc>
        <w:tc>
          <w:tcPr>
            <w:tcW w:w="621" w:type="dxa"/>
            <w:tcBorders>
              <w:top w:val="nil"/>
              <w:left w:val="nil"/>
              <w:bottom w:val="nil"/>
              <w:right w:val="nil"/>
            </w:tcBorders>
            <w:shd w:val="clear" w:color="auto" w:fill="auto"/>
            <w:noWrap/>
            <w:vAlign w:val="center"/>
          </w:tcPr>
          <w:p w14:paraId="066534C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43.9</w:t>
            </w:r>
          </w:p>
        </w:tc>
        <w:tc>
          <w:tcPr>
            <w:tcW w:w="1146" w:type="dxa"/>
            <w:tcBorders>
              <w:top w:val="nil"/>
              <w:left w:val="nil"/>
              <w:bottom w:val="nil"/>
              <w:right w:val="single" w:sz="4" w:space="0" w:color="000000"/>
            </w:tcBorders>
            <w:shd w:val="clear" w:color="auto" w:fill="auto"/>
            <w:noWrap/>
            <w:vAlign w:val="center"/>
          </w:tcPr>
          <w:p w14:paraId="73A7741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(38.4, 49.4)</w:t>
            </w:r>
          </w:p>
        </w:tc>
        <w:tc>
          <w:tcPr>
            <w:tcW w:w="536" w:type="dxa"/>
            <w:tcBorders>
              <w:top w:val="nil"/>
              <w:left w:val="single" w:sz="4" w:space="0" w:color="000000"/>
              <w:bottom w:val="nil"/>
              <w:right w:val="nil"/>
            </w:tcBorders>
            <w:shd w:val="clear" w:color="auto" w:fill="auto"/>
            <w:vAlign w:val="center"/>
          </w:tcPr>
          <w:p w14:paraId="7A1C709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130</w:t>
            </w:r>
          </w:p>
        </w:tc>
        <w:tc>
          <w:tcPr>
            <w:tcW w:w="567" w:type="dxa"/>
            <w:tcBorders>
              <w:top w:val="nil"/>
              <w:left w:val="nil"/>
              <w:bottom w:val="nil"/>
              <w:right w:val="nil"/>
            </w:tcBorders>
            <w:shd w:val="clear" w:color="auto" w:fill="auto"/>
            <w:vAlign w:val="center"/>
          </w:tcPr>
          <w:p w14:paraId="301918F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41.9</w:t>
            </w:r>
          </w:p>
        </w:tc>
        <w:tc>
          <w:tcPr>
            <w:tcW w:w="1146" w:type="dxa"/>
            <w:tcBorders>
              <w:top w:val="nil"/>
              <w:left w:val="nil"/>
              <w:bottom w:val="nil"/>
              <w:right w:val="single" w:sz="4" w:space="0" w:color="000000"/>
            </w:tcBorders>
            <w:shd w:val="clear" w:color="auto" w:fill="auto"/>
            <w:vAlign w:val="center"/>
          </w:tcPr>
          <w:p w14:paraId="4DDFA52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(35.6, 48.2)</w:t>
            </w:r>
          </w:p>
        </w:tc>
        <w:tc>
          <w:tcPr>
            <w:tcW w:w="536" w:type="dxa"/>
            <w:tcBorders>
              <w:top w:val="nil"/>
              <w:left w:val="single" w:sz="4" w:space="0" w:color="000000"/>
              <w:bottom w:val="nil"/>
              <w:right w:val="nil"/>
            </w:tcBorders>
            <w:shd w:val="clear" w:color="auto" w:fill="auto"/>
            <w:vAlign w:val="center"/>
          </w:tcPr>
          <w:p w14:paraId="17CFB8D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114</w:t>
            </w:r>
          </w:p>
        </w:tc>
        <w:tc>
          <w:tcPr>
            <w:tcW w:w="576" w:type="dxa"/>
            <w:tcBorders>
              <w:top w:val="nil"/>
              <w:left w:val="nil"/>
              <w:bottom w:val="nil"/>
              <w:right w:val="nil"/>
            </w:tcBorders>
            <w:shd w:val="clear" w:color="auto" w:fill="auto"/>
            <w:vAlign w:val="center"/>
          </w:tcPr>
          <w:p w14:paraId="16F1CFC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40.8</w:t>
            </w:r>
          </w:p>
        </w:tc>
        <w:tc>
          <w:tcPr>
            <w:tcW w:w="1146" w:type="dxa"/>
            <w:tcBorders>
              <w:top w:val="nil"/>
              <w:left w:val="nil"/>
              <w:bottom w:val="nil"/>
              <w:right w:val="nil"/>
            </w:tcBorders>
            <w:shd w:val="clear" w:color="auto" w:fill="auto"/>
            <w:vAlign w:val="center"/>
          </w:tcPr>
          <w:p w14:paraId="55BC61A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(34.1, 47.6)</w:t>
            </w:r>
          </w:p>
        </w:tc>
      </w:tr>
      <w:tr w:rsidR="009118DA" w:rsidRPr="00D76D7F" w14:paraId="746E0C3E"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358301B6"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Cards games</w:t>
            </w:r>
          </w:p>
        </w:tc>
        <w:tc>
          <w:tcPr>
            <w:tcW w:w="536" w:type="dxa"/>
            <w:tcBorders>
              <w:top w:val="nil"/>
              <w:left w:val="nil"/>
              <w:bottom w:val="nil"/>
              <w:right w:val="nil"/>
            </w:tcBorders>
            <w:shd w:val="clear" w:color="auto" w:fill="auto"/>
            <w:noWrap/>
            <w:vAlign w:val="center"/>
          </w:tcPr>
          <w:p w14:paraId="7DE563A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w:t>
            </w:r>
          </w:p>
        </w:tc>
        <w:tc>
          <w:tcPr>
            <w:tcW w:w="567" w:type="dxa"/>
            <w:tcBorders>
              <w:top w:val="nil"/>
              <w:left w:val="nil"/>
              <w:bottom w:val="nil"/>
              <w:right w:val="nil"/>
            </w:tcBorders>
            <w:shd w:val="clear" w:color="auto" w:fill="auto"/>
            <w:noWrap/>
            <w:vAlign w:val="center"/>
          </w:tcPr>
          <w:p w14:paraId="642C006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w:t>
            </w:r>
          </w:p>
        </w:tc>
        <w:tc>
          <w:tcPr>
            <w:tcW w:w="1146" w:type="dxa"/>
            <w:tcBorders>
              <w:top w:val="nil"/>
              <w:left w:val="nil"/>
              <w:bottom w:val="nil"/>
              <w:right w:val="single" w:sz="4" w:space="0" w:color="auto"/>
            </w:tcBorders>
            <w:shd w:val="clear" w:color="auto" w:fill="auto"/>
            <w:noWrap/>
            <w:vAlign w:val="center"/>
          </w:tcPr>
          <w:p w14:paraId="0717BB3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(0.8, 2.8)</w:t>
            </w:r>
          </w:p>
        </w:tc>
        <w:tc>
          <w:tcPr>
            <w:tcW w:w="536" w:type="dxa"/>
            <w:tcBorders>
              <w:top w:val="nil"/>
              <w:left w:val="single" w:sz="4" w:space="0" w:color="auto"/>
              <w:bottom w:val="nil"/>
              <w:right w:val="nil"/>
            </w:tcBorders>
            <w:shd w:val="clear" w:color="auto" w:fill="auto"/>
            <w:noWrap/>
            <w:vAlign w:val="center"/>
          </w:tcPr>
          <w:p w14:paraId="34752FD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w:t>
            </w:r>
          </w:p>
        </w:tc>
        <w:tc>
          <w:tcPr>
            <w:tcW w:w="621" w:type="dxa"/>
            <w:tcBorders>
              <w:top w:val="nil"/>
              <w:left w:val="nil"/>
              <w:bottom w:val="nil"/>
              <w:right w:val="nil"/>
            </w:tcBorders>
            <w:shd w:val="clear" w:color="auto" w:fill="auto"/>
            <w:noWrap/>
            <w:vAlign w:val="center"/>
          </w:tcPr>
          <w:p w14:paraId="0EB98B0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0.7</w:t>
            </w:r>
          </w:p>
        </w:tc>
        <w:tc>
          <w:tcPr>
            <w:tcW w:w="1146" w:type="dxa"/>
            <w:tcBorders>
              <w:top w:val="nil"/>
              <w:left w:val="nil"/>
              <w:bottom w:val="nil"/>
              <w:right w:val="single" w:sz="4" w:space="0" w:color="000000"/>
            </w:tcBorders>
            <w:shd w:val="clear" w:color="auto" w:fill="auto"/>
            <w:noWrap/>
            <w:vAlign w:val="center"/>
          </w:tcPr>
          <w:p w14:paraId="7F16397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(0.0, 1.6)</w:t>
            </w:r>
          </w:p>
        </w:tc>
        <w:tc>
          <w:tcPr>
            <w:tcW w:w="536" w:type="dxa"/>
            <w:tcBorders>
              <w:top w:val="nil"/>
              <w:left w:val="single" w:sz="4" w:space="0" w:color="000000"/>
              <w:bottom w:val="nil"/>
              <w:right w:val="nil"/>
            </w:tcBorders>
            <w:shd w:val="clear" w:color="auto" w:fill="auto"/>
            <w:vAlign w:val="center"/>
          </w:tcPr>
          <w:p w14:paraId="12A697F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w:t>
            </w:r>
          </w:p>
        </w:tc>
        <w:tc>
          <w:tcPr>
            <w:tcW w:w="567" w:type="dxa"/>
            <w:tcBorders>
              <w:top w:val="nil"/>
              <w:left w:val="nil"/>
              <w:bottom w:val="nil"/>
              <w:right w:val="nil"/>
            </w:tcBorders>
            <w:shd w:val="clear" w:color="auto" w:fill="auto"/>
            <w:vAlign w:val="center"/>
          </w:tcPr>
          <w:p w14:paraId="1C20B89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0.7</w:t>
            </w:r>
          </w:p>
        </w:tc>
        <w:tc>
          <w:tcPr>
            <w:tcW w:w="1146" w:type="dxa"/>
            <w:tcBorders>
              <w:top w:val="nil"/>
              <w:left w:val="nil"/>
              <w:bottom w:val="nil"/>
              <w:right w:val="single" w:sz="4" w:space="0" w:color="000000"/>
            </w:tcBorders>
            <w:shd w:val="clear" w:color="auto" w:fill="auto"/>
            <w:vAlign w:val="center"/>
          </w:tcPr>
          <w:p w14:paraId="2E558AB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auto"/>
            <w:vAlign w:val="center"/>
          </w:tcPr>
          <w:p w14:paraId="22B7418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w:t>
            </w:r>
          </w:p>
        </w:tc>
        <w:tc>
          <w:tcPr>
            <w:tcW w:w="576" w:type="dxa"/>
            <w:tcBorders>
              <w:top w:val="nil"/>
              <w:left w:val="nil"/>
              <w:bottom w:val="nil"/>
              <w:right w:val="nil"/>
            </w:tcBorders>
            <w:shd w:val="clear" w:color="auto" w:fill="auto"/>
            <w:vAlign w:val="center"/>
          </w:tcPr>
          <w:p w14:paraId="6B58E67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w:t>
            </w:r>
          </w:p>
        </w:tc>
        <w:tc>
          <w:tcPr>
            <w:tcW w:w="1146" w:type="dxa"/>
            <w:tcBorders>
              <w:top w:val="nil"/>
              <w:left w:val="nil"/>
              <w:bottom w:val="nil"/>
              <w:right w:val="nil"/>
            </w:tcBorders>
            <w:shd w:val="clear" w:color="auto" w:fill="auto"/>
            <w:vAlign w:val="center"/>
          </w:tcPr>
          <w:p w14:paraId="4C8DBBE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(0.0, 1.9)</w:t>
            </w:r>
          </w:p>
        </w:tc>
      </w:tr>
      <w:tr w:rsidR="009118DA" w:rsidRPr="00D76D7F" w14:paraId="51C7171B"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3CD88E60" w14:textId="77777777" w:rsidR="003D7BB5" w:rsidRPr="00D76D7F" w:rsidRDefault="003D7BB5" w:rsidP="00DD0F28">
            <w:pPr>
              <w:spacing w:before="20" w:after="20"/>
              <w:ind w:left="176"/>
              <w:rPr>
                <w:rFonts w:eastAsiaTheme="minorEastAsia"/>
                <w:b w:val="0"/>
                <w:sz w:val="18"/>
                <w:szCs w:val="18"/>
              </w:rPr>
            </w:pPr>
            <w:r w:rsidRPr="00D76D7F">
              <w:rPr>
                <w:rFonts w:eastAsiaTheme="minorEastAsia"/>
                <w:b w:val="0"/>
                <w:sz w:val="18"/>
                <w:szCs w:val="18"/>
              </w:rPr>
              <w:t>Bets with friends/workmates</w:t>
            </w:r>
          </w:p>
        </w:tc>
        <w:tc>
          <w:tcPr>
            <w:tcW w:w="536" w:type="dxa"/>
            <w:tcBorders>
              <w:top w:val="nil"/>
              <w:left w:val="nil"/>
              <w:bottom w:val="nil"/>
              <w:right w:val="nil"/>
            </w:tcBorders>
            <w:shd w:val="clear" w:color="auto" w:fill="auto"/>
            <w:noWrap/>
            <w:vAlign w:val="center"/>
          </w:tcPr>
          <w:p w14:paraId="5ADAC96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w:t>
            </w:r>
          </w:p>
        </w:tc>
        <w:tc>
          <w:tcPr>
            <w:tcW w:w="567" w:type="dxa"/>
            <w:tcBorders>
              <w:top w:val="nil"/>
              <w:left w:val="nil"/>
              <w:bottom w:val="nil"/>
              <w:right w:val="nil"/>
            </w:tcBorders>
            <w:shd w:val="clear" w:color="auto" w:fill="auto"/>
            <w:noWrap/>
            <w:vAlign w:val="center"/>
          </w:tcPr>
          <w:p w14:paraId="166E183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2.4</w:t>
            </w:r>
          </w:p>
        </w:tc>
        <w:tc>
          <w:tcPr>
            <w:tcW w:w="1146" w:type="dxa"/>
            <w:tcBorders>
              <w:top w:val="nil"/>
              <w:left w:val="nil"/>
              <w:bottom w:val="nil"/>
              <w:right w:val="single" w:sz="4" w:space="0" w:color="auto"/>
            </w:tcBorders>
            <w:shd w:val="clear" w:color="auto" w:fill="auto"/>
            <w:noWrap/>
            <w:vAlign w:val="center"/>
          </w:tcPr>
          <w:p w14:paraId="18A2CF1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(1.2, 3.6)</w:t>
            </w:r>
          </w:p>
        </w:tc>
        <w:tc>
          <w:tcPr>
            <w:tcW w:w="536" w:type="dxa"/>
            <w:tcBorders>
              <w:top w:val="nil"/>
              <w:left w:val="single" w:sz="4" w:space="0" w:color="auto"/>
              <w:bottom w:val="nil"/>
              <w:right w:val="nil"/>
            </w:tcBorders>
            <w:shd w:val="clear" w:color="auto" w:fill="auto"/>
            <w:noWrap/>
            <w:vAlign w:val="center"/>
          </w:tcPr>
          <w:p w14:paraId="38F0780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w:t>
            </w:r>
          </w:p>
        </w:tc>
        <w:tc>
          <w:tcPr>
            <w:tcW w:w="621" w:type="dxa"/>
            <w:tcBorders>
              <w:top w:val="nil"/>
              <w:left w:val="nil"/>
              <w:bottom w:val="nil"/>
              <w:right w:val="nil"/>
            </w:tcBorders>
            <w:shd w:val="clear" w:color="auto" w:fill="auto"/>
            <w:noWrap/>
            <w:vAlign w:val="center"/>
          </w:tcPr>
          <w:p w14:paraId="7C39A55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w:t>
            </w:r>
          </w:p>
        </w:tc>
        <w:tc>
          <w:tcPr>
            <w:tcW w:w="1146" w:type="dxa"/>
            <w:tcBorders>
              <w:top w:val="nil"/>
              <w:left w:val="nil"/>
              <w:bottom w:val="nil"/>
              <w:right w:val="single" w:sz="4" w:space="0" w:color="000000"/>
            </w:tcBorders>
            <w:shd w:val="clear" w:color="auto" w:fill="auto"/>
            <w:noWrap/>
            <w:vAlign w:val="center"/>
          </w:tcPr>
          <w:p w14:paraId="4A89040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(0.1, 2.6)</w:t>
            </w:r>
          </w:p>
        </w:tc>
        <w:tc>
          <w:tcPr>
            <w:tcW w:w="536" w:type="dxa"/>
            <w:tcBorders>
              <w:top w:val="nil"/>
              <w:left w:val="single" w:sz="4" w:space="0" w:color="000000"/>
              <w:bottom w:val="nil"/>
              <w:right w:val="nil"/>
            </w:tcBorders>
            <w:shd w:val="clear" w:color="auto" w:fill="auto"/>
            <w:vAlign w:val="center"/>
          </w:tcPr>
          <w:p w14:paraId="056C391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w:t>
            </w:r>
          </w:p>
        </w:tc>
        <w:tc>
          <w:tcPr>
            <w:tcW w:w="567" w:type="dxa"/>
            <w:tcBorders>
              <w:top w:val="nil"/>
              <w:left w:val="nil"/>
              <w:bottom w:val="nil"/>
              <w:right w:val="nil"/>
            </w:tcBorders>
            <w:shd w:val="clear" w:color="auto" w:fill="auto"/>
            <w:vAlign w:val="center"/>
          </w:tcPr>
          <w:p w14:paraId="23D7ECB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0.9</w:t>
            </w:r>
          </w:p>
        </w:tc>
        <w:tc>
          <w:tcPr>
            <w:tcW w:w="1146" w:type="dxa"/>
            <w:tcBorders>
              <w:top w:val="nil"/>
              <w:left w:val="nil"/>
              <w:bottom w:val="nil"/>
              <w:right w:val="single" w:sz="4" w:space="0" w:color="000000"/>
            </w:tcBorders>
            <w:shd w:val="clear" w:color="auto" w:fill="auto"/>
            <w:vAlign w:val="center"/>
          </w:tcPr>
          <w:p w14:paraId="2DA0365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(0.0, 2.0)</w:t>
            </w:r>
          </w:p>
        </w:tc>
        <w:tc>
          <w:tcPr>
            <w:tcW w:w="536" w:type="dxa"/>
            <w:tcBorders>
              <w:top w:val="nil"/>
              <w:left w:val="single" w:sz="4" w:space="0" w:color="000000"/>
              <w:bottom w:val="nil"/>
              <w:right w:val="nil"/>
            </w:tcBorders>
            <w:shd w:val="clear" w:color="auto" w:fill="auto"/>
            <w:vAlign w:val="center"/>
          </w:tcPr>
          <w:p w14:paraId="7652757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w:t>
            </w:r>
          </w:p>
        </w:tc>
        <w:tc>
          <w:tcPr>
            <w:tcW w:w="576" w:type="dxa"/>
            <w:tcBorders>
              <w:top w:val="nil"/>
              <w:left w:val="nil"/>
              <w:bottom w:val="nil"/>
              <w:right w:val="nil"/>
            </w:tcBorders>
            <w:shd w:val="clear" w:color="auto" w:fill="auto"/>
            <w:vAlign w:val="center"/>
          </w:tcPr>
          <w:p w14:paraId="5471FED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w:t>
            </w:r>
          </w:p>
        </w:tc>
        <w:tc>
          <w:tcPr>
            <w:tcW w:w="1146" w:type="dxa"/>
            <w:tcBorders>
              <w:top w:val="nil"/>
              <w:left w:val="nil"/>
              <w:bottom w:val="nil"/>
              <w:right w:val="nil"/>
            </w:tcBorders>
            <w:shd w:val="clear" w:color="auto" w:fill="auto"/>
            <w:vAlign w:val="center"/>
          </w:tcPr>
          <w:p w14:paraId="344B8F5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(0.0, 2.7)</w:t>
            </w:r>
          </w:p>
        </w:tc>
      </w:tr>
      <w:tr w:rsidR="009118DA" w:rsidRPr="00D76D7F" w14:paraId="61218412"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5DCE557A"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Text game or competition</w:t>
            </w:r>
          </w:p>
        </w:tc>
        <w:tc>
          <w:tcPr>
            <w:tcW w:w="536" w:type="dxa"/>
            <w:tcBorders>
              <w:top w:val="nil"/>
              <w:left w:val="nil"/>
              <w:bottom w:val="nil"/>
              <w:right w:val="nil"/>
            </w:tcBorders>
            <w:shd w:val="clear" w:color="auto" w:fill="auto"/>
            <w:noWrap/>
            <w:vAlign w:val="center"/>
          </w:tcPr>
          <w:p w14:paraId="4FB20E0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w:t>
            </w:r>
          </w:p>
        </w:tc>
        <w:tc>
          <w:tcPr>
            <w:tcW w:w="567" w:type="dxa"/>
            <w:tcBorders>
              <w:top w:val="nil"/>
              <w:left w:val="nil"/>
              <w:bottom w:val="nil"/>
              <w:right w:val="nil"/>
            </w:tcBorders>
            <w:shd w:val="clear" w:color="auto" w:fill="auto"/>
            <w:noWrap/>
            <w:vAlign w:val="center"/>
          </w:tcPr>
          <w:p w14:paraId="7CD0DAD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0.3</w:t>
            </w:r>
          </w:p>
        </w:tc>
        <w:tc>
          <w:tcPr>
            <w:tcW w:w="1146" w:type="dxa"/>
            <w:tcBorders>
              <w:top w:val="nil"/>
              <w:left w:val="nil"/>
              <w:bottom w:val="nil"/>
              <w:right w:val="single" w:sz="4" w:space="0" w:color="auto"/>
            </w:tcBorders>
            <w:shd w:val="clear" w:color="auto" w:fill="auto"/>
            <w:noWrap/>
            <w:vAlign w:val="center"/>
          </w:tcPr>
          <w:p w14:paraId="7367473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auto"/>
              <w:bottom w:val="nil"/>
              <w:right w:val="nil"/>
            </w:tcBorders>
            <w:shd w:val="clear" w:color="auto" w:fill="auto"/>
            <w:noWrap/>
            <w:vAlign w:val="center"/>
          </w:tcPr>
          <w:p w14:paraId="5C23C0F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621" w:type="dxa"/>
            <w:tcBorders>
              <w:top w:val="nil"/>
              <w:left w:val="nil"/>
              <w:bottom w:val="nil"/>
              <w:right w:val="nil"/>
            </w:tcBorders>
            <w:shd w:val="clear" w:color="auto" w:fill="auto"/>
            <w:noWrap/>
            <w:vAlign w:val="center"/>
          </w:tcPr>
          <w:p w14:paraId="62AE1E7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w:t>
            </w:r>
          </w:p>
        </w:tc>
        <w:tc>
          <w:tcPr>
            <w:tcW w:w="1146" w:type="dxa"/>
            <w:tcBorders>
              <w:top w:val="nil"/>
              <w:left w:val="nil"/>
              <w:bottom w:val="nil"/>
              <w:right w:val="single" w:sz="4" w:space="0" w:color="000000"/>
            </w:tcBorders>
            <w:shd w:val="clear" w:color="auto" w:fill="auto"/>
            <w:noWrap/>
            <w:vAlign w:val="center"/>
          </w:tcPr>
          <w:p w14:paraId="4CD4970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nil"/>
              <w:left w:val="single" w:sz="4" w:space="0" w:color="000000"/>
              <w:bottom w:val="nil"/>
              <w:right w:val="nil"/>
            </w:tcBorders>
            <w:shd w:val="clear" w:color="auto" w:fill="auto"/>
            <w:vAlign w:val="center"/>
          </w:tcPr>
          <w:p w14:paraId="12B387F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567" w:type="dxa"/>
            <w:tcBorders>
              <w:top w:val="nil"/>
              <w:left w:val="nil"/>
              <w:bottom w:val="nil"/>
              <w:right w:val="nil"/>
            </w:tcBorders>
            <w:shd w:val="clear" w:color="auto" w:fill="auto"/>
            <w:vAlign w:val="center"/>
          </w:tcPr>
          <w:p w14:paraId="0C73079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w:t>
            </w:r>
          </w:p>
        </w:tc>
        <w:tc>
          <w:tcPr>
            <w:tcW w:w="1146" w:type="dxa"/>
            <w:tcBorders>
              <w:top w:val="nil"/>
              <w:left w:val="nil"/>
              <w:bottom w:val="nil"/>
              <w:right w:val="single" w:sz="4" w:space="0" w:color="000000"/>
            </w:tcBorders>
            <w:shd w:val="clear" w:color="auto" w:fill="auto"/>
            <w:vAlign w:val="center"/>
          </w:tcPr>
          <w:p w14:paraId="33F5DF1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nil"/>
              <w:left w:val="single" w:sz="4" w:space="0" w:color="000000"/>
              <w:bottom w:val="nil"/>
              <w:right w:val="nil"/>
            </w:tcBorders>
            <w:shd w:val="clear" w:color="auto" w:fill="auto"/>
            <w:vAlign w:val="center"/>
          </w:tcPr>
          <w:p w14:paraId="7A7BCBD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w:t>
            </w:r>
          </w:p>
        </w:tc>
        <w:tc>
          <w:tcPr>
            <w:tcW w:w="576" w:type="dxa"/>
            <w:tcBorders>
              <w:top w:val="nil"/>
              <w:left w:val="nil"/>
              <w:bottom w:val="nil"/>
              <w:right w:val="nil"/>
            </w:tcBorders>
            <w:shd w:val="clear" w:color="auto" w:fill="auto"/>
            <w:vAlign w:val="center"/>
          </w:tcPr>
          <w:p w14:paraId="7A48058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0.6</w:t>
            </w:r>
          </w:p>
        </w:tc>
        <w:tc>
          <w:tcPr>
            <w:tcW w:w="1146" w:type="dxa"/>
            <w:tcBorders>
              <w:top w:val="nil"/>
              <w:left w:val="nil"/>
              <w:bottom w:val="nil"/>
              <w:right w:val="nil"/>
            </w:tcBorders>
            <w:shd w:val="clear" w:color="auto" w:fill="auto"/>
            <w:vAlign w:val="center"/>
          </w:tcPr>
          <w:p w14:paraId="38098AE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D76D7F" w14:paraId="200B203B"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5DD4986E"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Raffle/lottery (NZ or overseas)</w:t>
            </w:r>
          </w:p>
        </w:tc>
        <w:tc>
          <w:tcPr>
            <w:tcW w:w="536" w:type="dxa"/>
            <w:tcBorders>
              <w:top w:val="nil"/>
              <w:left w:val="nil"/>
              <w:bottom w:val="nil"/>
              <w:right w:val="nil"/>
            </w:tcBorders>
            <w:shd w:val="clear" w:color="auto" w:fill="auto"/>
            <w:noWrap/>
            <w:vAlign w:val="center"/>
          </w:tcPr>
          <w:p w14:paraId="3FE8916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23</w:t>
            </w:r>
          </w:p>
        </w:tc>
        <w:tc>
          <w:tcPr>
            <w:tcW w:w="567" w:type="dxa"/>
            <w:tcBorders>
              <w:top w:val="nil"/>
              <w:left w:val="nil"/>
              <w:bottom w:val="nil"/>
              <w:right w:val="nil"/>
            </w:tcBorders>
            <w:shd w:val="clear" w:color="auto" w:fill="auto"/>
            <w:noWrap/>
            <w:vAlign w:val="center"/>
          </w:tcPr>
          <w:p w14:paraId="581EBCF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3.6</w:t>
            </w:r>
          </w:p>
        </w:tc>
        <w:tc>
          <w:tcPr>
            <w:tcW w:w="1146" w:type="dxa"/>
            <w:tcBorders>
              <w:top w:val="nil"/>
              <w:left w:val="nil"/>
              <w:bottom w:val="nil"/>
              <w:right w:val="single" w:sz="4" w:space="0" w:color="auto"/>
            </w:tcBorders>
            <w:shd w:val="clear" w:color="auto" w:fill="auto"/>
            <w:noWrap/>
            <w:vAlign w:val="center"/>
          </w:tcPr>
          <w:p w14:paraId="2E43169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(2.3, 4.9)</w:t>
            </w:r>
          </w:p>
        </w:tc>
        <w:tc>
          <w:tcPr>
            <w:tcW w:w="536" w:type="dxa"/>
            <w:tcBorders>
              <w:top w:val="nil"/>
              <w:left w:val="single" w:sz="4" w:space="0" w:color="auto"/>
              <w:bottom w:val="nil"/>
              <w:right w:val="nil"/>
            </w:tcBorders>
            <w:shd w:val="clear" w:color="auto" w:fill="auto"/>
            <w:noWrap/>
            <w:vAlign w:val="center"/>
          </w:tcPr>
          <w:p w14:paraId="5EC6325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w:t>
            </w:r>
          </w:p>
        </w:tc>
        <w:tc>
          <w:tcPr>
            <w:tcW w:w="621" w:type="dxa"/>
            <w:tcBorders>
              <w:top w:val="nil"/>
              <w:left w:val="nil"/>
              <w:bottom w:val="nil"/>
              <w:right w:val="nil"/>
            </w:tcBorders>
            <w:shd w:val="clear" w:color="auto" w:fill="auto"/>
            <w:noWrap/>
            <w:vAlign w:val="center"/>
          </w:tcPr>
          <w:p w14:paraId="7485EFC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5.5</w:t>
            </w:r>
          </w:p>
        </w:tc>
        <w:tc>
          <w:tcPr>
            <w:tcW w:w="1146" w:type="dxa"/>
            <w:tcBorders>
              <w:top w:val="nil"/>
              <w:left w:val="nil"/>
              <w:bottom w:val="nil"/>
              <w:right w:val="single" w:sz="4" w:space="0" w:color="000000"/>
            </w:tcBorders>
            <w:shd w:val="clear" w:color="auto" w:fill="auto"/>
            <w:noWrap/>
            <w:vAlign w:val="center"/>
          </w:tcPr>
          <w:p w14:paraId="514C534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(3.2, 7.7)</w:t>
            </w:r>
          </w:p>
        </w:tc>
        <w:tc>
          <w:tcPr>
            <w:tcW w:w="536" w:type="dxa"/>
            <w:tcBorders>
              <w:top w:val="nil"/>
              <w:left w:val="single" w:sz="4" w:space="0" w:color="000000"/>
              <w:bottom w:val="nil"/>
              <w:right w:val="nil"/>
            </w:tcBorders>
            <w:shd w:val="clear" w:color="auto" w:fill="auto"/>
            <w:vAlign w:val="center"/>
          </w:tcPr>
          <w:p w14:paraId="782478D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w:t>
            </w:r>
          </w:p>
        </w:tc>
        <w:tc>
          <w:tcPr>
            <w:tcW w:w="567" w:type="dxa"/>
            <w:tcBorders>
              <w:top w:val="nil"/>
              <w:left w:val="nil"/>
              <w:bottom w:val="nil"/>
              <w:right w:val="nil"/>
            </w:tcBorders>
            <w:shd w:val="clear" w:color="auto" w:fill="auto"/>
            <w:vAlign w:val="center"/>
          </w:tcPr>
          <w:p w14:paraId="2A3C3E4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5.5</w:t>
            </w:r>
          </w:p>
        </w:tc>
        <w:tc>
          <w:tcPr>
            <w:tcW w:w="1146" w:type="dxa"/>
            <w:tcBorders>
              <w:top w:val="nil"/>
              <w:left w:val="nil"/>
              <w:bottom w:val="nil"/>
              <w:right w:val="single" w:sz="4" w:space="0" w:color="000000"/>
            </w:tcBorders>
            <w:shd w:val="clear" w:color="auto" w:fill="auto"/>
            <w:vAlign w:val="center"/>
          </w:tcPr>
          <w:p w14:paraId="642DD49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(2.8, 8.3)</w:t>
            </w:r>
          </w:p>
        </w:tc>
        <w:tc>
          <w:tcPr>
            <w:tcW w:w="536" w:type="dxa"/>
            <w:tcBorders>
              <w:top w:val="nil"/>
              <w:left w:val="single" w:sz="4" w:space="0" w:color="000000"/>
              <w:bottom w:val="nil"/>
              <w:right w:val="nil"/>
            </w:tcBorders>
            <w:shd w:val="clear" w:color="auto" w:fill="auto"/>
            <w:vAlign w:val="center"/>
          </w:tcPr>
          <w:p w14:paraId="4D4100B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w:t>
            </w:r>
          </w:p>
        </w:tc>
        <w:tc>
          <w:tcPr>
            <w:tcW w:w="576" w:type="dxa"/>
            <w:tcBorders>
              <w:top w:val="nil"/>
              <w:left w:val="nil"/>
              <w:bottom w:val="nil"/>
              <w:right w:val="nil"/>
            </w:tcBorders>
            <w:shd w:val="clear" w:color="auto" w:fill="auto"/>
            <w:vAlign w:val="center"/>
          </w:tcPr>
          <w:p w14:paraId="51C63DB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5.5</w:t>
            </w:r>
          </w:p>
        </w:tc>
        <w:tc>
          <w:tcPr>
            <w:tcW w:w="1146" w:type="dxa"/>
            <w:tcBorders>
              <w:top w:val="nil"/>
              <w:left w:val="nil"/>
              <w:bottom w:val="nil"/>
              <w:right w:val="nil"/>
            </w:tcBorders>
            <w:shd w:val="clear" w:color="auto" w:fill="auto"/>
            <w:vAlign w:val="center"/>
          </w:tcPr>
          <w:p w14:paraId="3D3B1E6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(2.3, 8.6)</w:t>
            </w:r>
          </w:p>
        </w:tc>
      </w:tr>
      <w:tr w:rsidR="009118DA" w:rsidRPr="00D76D7F" w14:paraId="1EF035BF"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65E028BC"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Lotto</w:t>
            </w:r>
          </w:p>
        </w:tc>
        <w:tc>
          <w:tcPr>
            <w:tcW w:w="536" w:type="dxa"/>
            <w:tcBorders>
              <w:top w:val="nil"/>
              <w:left w:val="nil"/>
              <w:bottom w:val="nil"/>
              <w:right w:val="nil"/>
            </w:tcBorders>
            <w:shd w:val="clear" w:color="auto" w:fill="auto"/>
            <w:noWrap/>
            <w:vAlign w:val="center"/>
          </w:tcPr>
          <w:p w14:paraId="6387A21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115</w:t>
            </w:r>
          </w:p>
        </w:tc>
        <w:tc>
          <w:tcPr>
            <w:tcW w:w="567" w:type="dxa"/>
            <w:tcBorders>
              <w:top w:val="nil"/>
              <w:left w:val="nil"/>
              <w:bottom w:val="nil"/>
              <w:right w:val="nil"/>
            </w:tcBorders>
            <w:shd w:val="clear" w:color="auto" w:fill="auto"/>
            <w:noWrap/>
            <w:vAlign w:val="center"/>
          </w:tcPr>
          <w:p w14:paraId="656143F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18.0</w:t>
            </w:r>
          </w:p>
        </w:tc>
        <w:tc>
          <w:tcPr>
            <w:tcW w:w="1146" w:type="dxa"/>
            <w:tcBorders>
              <w:top w:val="nil"/>
              <w:left w:val="nil"/>
              <w:bottom w:val="nil"/>
              <w:right w:val="single" w:sz="4" w:space="0" w:color="auto"/>
            </w:tcBorders>
            <w:shd w:val="clear" w:color="auto" w:fill="auto"/>
            <w:noWrap/>
            <w:vAlign w:val="center"/>
          </w:tcPr>
          <w:p w14:paraId="5F7A044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(15.2, 20.9)</w:t>
            </w:r>
          </w:p>
        </w:tc>
        <w:tc>
          <w:tcPr>
            <w:tcW w:w="536" w:type="dxa"/>
            <w:tcBorders>
              <w:top w:val="nil"/>
              <w:left w:val="single" w:sz="4" w:space="0" w:color="auto"/>
              <w:bottom w:val="nil"/>
              <w:right w:val="nil"/>
            </w:tcBorders>
            <w:shd w:val="clear" w:color="auto" w:fill="auto"/>
            <w:noWrap/>
            <w:vAlign w:val="center"/>
          </w:tcPr>
          <w:p w14:paraId="6702B03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66</w:t>
            </w:r>
          </w:p>
        </w:tc>
        <w:tc>
          <w:tcPr>
            <w:tcW w:w="621" w:type="dxa"/>
            <w:tcBorders>
              <w:top w:val="nil"/>
              <w:left w:val="nil"/>
              <w:bottom w:val="nil"/>
              <w:right w:val="nil"/>
            </w:tcBorders>
            <w:shd w:val="clear" w:color="auto" w:fill="auto"/>
            <w:noWrap/>
            <w:vAlign w:val="center"/>
          </w:tcPr>
          <w:p w14:paraId="6D2F366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18.0</w:t>
            </w:r>
          </w:p>
        </w:tc>
        <w:tc>
          <w:tcPr>
            <w:tcW w:w="1146" w:type="dxa"/>
            <w:tcBorders>
              <w:top w:val="nil"/>
              <w:left w:val="nil"/>
              <w:bottom w:val="nil"/>
              <w:right w:val="single" w:sz="4" w:space="0" w:color="000000"/>
            </w:tcBorders>
            <w:shd w:val="clear" w:color="auto" w:fill="auto"/>
            <w:noWrap/>
            <w:vAlign w:val="center"/>
          </w:tcPr>
          <w:p w14:paraId="4747C48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(13.9, 22.1)</w:t>
            </w:r>
          </w:p>
        </w:tc>
        <w:tc>
          <w:tcPr>
            <w:tcW w:w="536" w:type="dxa"/>
            <w:tcBorders>
              <w:top w:val="nil"/>
              <w:left w:val="single" w:sz="4" w:space="0" w:color="000000"/>
              <w:bottom w:val="nil"/>
              <w:right w:val="nil"/>
            </w:tcBorders>
            <w:shd w:val="clear" w:color="auto" w:fill="auto"/>
            <w:vAlign w:val="center"/>
          </w:tcPr>
          <w:p w14:paraId="274B02C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59</w:t>
            </w:r>
          </w:p>
        </w:tc>
        <w:tc>
          <w:tcPr>
            <w:tcW w:w="567" w:type="dxa"/>
            <w:tcBorders>
              <w:top w:val="nil"/>
              <w:left w:val="nil"/>
              <w:bottom w:val="nil"/>
              <w:right w:val="nil"/>
            </w:tcBorders>
            <w:shd w:val="clear" w:color="auto" w:fill="auto"/>
            <w:vAlign w:val="center"/>
          </w:tcPr>
          <w:p w14:paraId="03B550D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19.1</w:t>
            </w:r>
          </w:p>
        </w:tc>
        <w:tc>
          <w:tcPr>
            <w:tcW w:w="1146" w:type="dxa"/>
            <w:tcBorders>
              <w:top w:val="nil"/>
              <w:left w:val="nil"/>
              <w:bottom w:val="nil"/>
              <w:right w:val="single" w:sz="4" w:space="0" w:color="000000"/>
            </w:tcBorders>
            <w:shd w:val="clear" w:color="auto" w:fill="auto"/>
            <w:vAlign w:val="center"/>
          </w:tcPr>
          <w:p w14:paraId="5DEA76A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(14.2, 23.9)</w:t>
            </w:r>
          </w:p>
        </w:tc>
        <w:tc>
          <w:tcPr>
            <w:tcW w:w="536" w:type="dxa"/>
            <w:tcBorders>
              <w:top w:val="nil"/>
              <w:left w:val="single" w:sz="4" w:space="0" w:color="000000"/>
              <w:bottom w:val="nil"/>
              <w:right w:val="nil"/>
            </w:tcBorders>
            <w:shd w:val="clear" w:color="auto" w:fill="auto"/>
            <w:vAlign w:val="center"/>
          </w:tcPr>
          <w:p w14:paraId="06D6FA3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43</w:t>
            </w:r>
          </w:p>
        </w:tc>
        <w:tc>
          <w:tcPr>
            <w:tcW w:w="576" w:type="dxa"/>
            <w:tcBorders>
              <w:top w:val="nil"/>
              <w:left w:val="nil"/>
              <w:bottom w:val="nil"/>
              <w:right w:val="nil"/>
            </w:tcBorders>
            <w:shd w:val="clear" w:color="auto" w:fill="auto"/>
            <w:vAlign w:val="center"/>
          </w:tcPr>
          <w:p w14:paraId="004A4BD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15.2</w:t>
            </w:r>
          </w:p>
        </w:tc>
        <w:tc>
          <w:tcPr>
            <w:tcW w:w="1146" w:type="dxa"/>
            <w:tcBorders>
              <w:top w:val="nil"/>
              <w:left w:val="nil"/>
              <w:bottom w:val="nil"/>
              <w:right w:val="nil"/>
            </w:tcBorders>
            <w:shd w:val="clear" w:color="auto" w:fill="auto"/>
            <w:vAlign w:val="center"/>
          </w:tcPr>
          <w:p w14:paraId="3D4BC5C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(10.5, 20.0)</w:t>
            </w:r>
          </w:p>
        </w:tc>
      </w:tr>
      <w:tr w:rsidR="009118DA" w:rsidRPr="00D76D7F" w14:paraId="6FCA19D8"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004AB450"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Keno</w:t>
            </w:r>
          </w:p>
        </w:tc>
        <w:tc>
          <w:tcPr>
            <w:tcW w:w="536" w:type="dxa"/>
            <w:tcBorders>
              <w:top w:val="nil"/>
              <w:left w:val="nil"/>
              <w:bottom w:val="nil"/>
              <w:right w:val="nil"/>
            </w:tcBorders>
            <w:shd w:val="clear" w:color="auto" w:fill="auto"/>
            <w:noWrap/>
            <w:vAlign w:val="center"/>
          </w:tcPr>
          <w:p w14:paraId="4CF3FEF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w:t>
            </w:r>
          </w:p>
        </w:tc>
        <w:tc>
          <w:tcPr>
            <w:tcW w:w="567" w:type="dxa"/>
            <w:tcBorders>
              <w:top w:val="nil"/>
              <w:left w:val="nil"/>
              <w:bottom w:val="nil"/>
              <w:right w:val="nil"/>
            </w:tcBorders>
            <w:shd w:val="clear" w:color="auto" w:fill="auto"/>
            <w:noWrap/>
            <w:vAlign w:val="center"/>
          </w:tcPr>
          <w:p w14:paraId="4788E90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0.3</w:t>
            </w:r>
          </w:p>
        </w:tc>
        <w:tc>
          <w:tcPr>
            <w:tcW w:w="1146" w:type="dxa"/>
            <w:tcBorders>
              <w:top w:val="nil"/>
              <w:left w:val="nil"/>
              <w:bottom w:val="nil"/>
              <w:right w:val="single" w:sz="4" w:space="0" w:color="auto"/>
            </w:tcBorders>
            <w:shd w:val="clear" w:color="auto" w:fill="auto"/>
            <w:noWrap/>
            <w:vAlign w:val="center"/>
          </w:tcPr>
          <w:p w14:paraId="6A617D1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auto"/>
              <w:bottom w:val="nil"/>
              <w:right w:val="nil"/>
            </w:tcBorders>
            <w:shd w:val="clear" w:color="auto" w:fill="auto"/>
            <w:noWrap/>
            <w:vAlign w:val="center"/>
          </w:tcPr>
          <w:p w14:paraId="39091F1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w:t>
            </w:r>
          </w:p>
        </w:tc>
        <w:tc>
          <w:tcPr>
            <w:tcW w:w="621" w:type="dxa"/>
            <w:tcBorders>
              <w:top w:val="nil"/>
              <w:left w:val="nil"/>
              <w:bottom w:val="nil"/>
              <w:right w:val="nil"/>
            </w:tcBorders>
            <w:shd w:val="clear" w:color="auto" w:fill="auto"/>
            <w:noWrap/>
            <w:vAlign w:val="center"/>
          </w:tcPr>
          <w:p w14:paraId="2DF9BA1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0.2</w:t>
            </w:r>
          </w:p>
        </w:tc>
        <w:tc>
          <w:tcPr>
            <w:tcW w:w="1146" w:type="dxa"/>
            <w:tcBorders>
              <w:top w:val="nil"/>
              <w:left w:val="nil"/>
              <w:bottom w:val="nil"/>
              <w:right w:val="single" w:sz="4" w:space="0" w:color="000000"/>
            </w:tcBorders>
            <w:shd w:val="clear" w:color="auto" w:fill="auto"/>
            <w:noWrap/>
            <w:vAlign w:val="center"/>
          </w:tcPr>
          <w:p w14:paraId="606532A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auto"/>
            <w:vAlign w:val="center"/>
          </w:tcPr>
          <w:p w14:paraId="2554841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w:t>
            </w:r>
          </w:p>
        </w:tc>
        <w:tc>
          <w:tcPr>
            <w:tcW w:w="567" w:type="dxa"/>
            <w:tcBorders>
              <w:top w:val="nil"/>
              <w:left w:val="nil"/>
              <w:bottom w:val="nil"/>
              <w:right w:val="nil"/>
            </w:tcBorders>
            <w:shd w:val="clear" w:color="auto" w:fill="auto"/>
            <w:vAlign w:val="center"/>
          </w:tcPr>
          <w:p w14:paraId="365C16E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0.5</w:t>
            </w:r>
          </w:p>
        </w:tc>
        <w:tc>
          <w:tcPr>
            <w:tcW w:w="1146" w:type="dxa"/>
            <w:tcBorders>
              <w:top w:val="nil"/>
              <w:left w:val="nil"/>
              <w:bottom w:val="nil"/>
              <w:right w:val="single" w:sz="4" w:space="0" w:color="000000"/>
            </w:tcBorders>
            <w:shd w:val="clear" w:color="auto" w:fill="auto"/>
            <w:vAlign w:val="center"/>
          </w:tcPr>
          <w:p w14:paraId="05E7B71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auto"/>
            <w:vAlign w:val="center"/>
          </w:tcPr>
          <w:p w14:paraId="2567F46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w:t>
            </w:r>
          </w:p>
        </w:tc>
        <w:tc>
          <w:tcPr>
            <w:tcW w:w="576" w:type="dxa"/>
            <w:tcBorders>
              <w:top w:val="nil"/>
              <w:left w:val="nil"/>
              <w:bottom w:val="nil"/>
              <w:right w:val="nil"/>
            </w:tcBorders>
            <w:shd w:val="clear" w:color="auto" w:fill="auto"/>
            <w:vAlign w:val="center"/>
          </w:tcPr>
          <w:p w14:paraId="2016ECD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0.5</w:t>
            </w:r>
          </w:p>
        </w:tc>
        <w:tc>
          <w:tcPr>
            <w:tcW w:w="1146" w:type="dxa"/>
            <w:tcBorders>
              <w:top w:val="nil"/>
              <w:left w:val="nil"/>
              <w:bottom w:val="nil"/>
              <w:right w:val="nil"/>
            </w:tcBorders>
            <w:shd w:val="clear" w:color="auto" w:fill="auto"/>
            <w:vAlign w:val="center"/>
          </w:tcPr>
          <w:p w14:paraId="2A89493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D76D7F" w14:paraId="1840BDE0"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374E5806"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Bullseye</w:t>
            </w:r>
          </w:p>
        </w:tc>
        <w:tc>
          <w:tcPr>
            <w:tcW w:w="536" w:type="dxa"/>
            <w:tcBorders>
              <w:top w:val="nil"/>
              <w:left w:val="nil"/>
              <w:bottom w:val="nil"/>
              <w:right w:val="nil"/>
            </w:tcBorders>
            <w:shd w:val="clear" w:color="auto" w:fill="auto"/>
            <w:noWrap/>
            <w:vAlign w:val="center"/>
          </w:tcPr>
          <w:p w14:paraId="5393AF0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w:t>
            </w:r>
          </w:p>
        </w:tc>
        <w:tc>
          <w:tcPr>
            <w:tcW w:w="567" w:type="dxa"/>
            <w:tcBorders>
              <w:top w:val="nil"/>
              <w:left w:val="nil"/>
              <w:bottom w:val="nil"/>
              <w:right w:val="nil"/>
            </w:tcBorders>
            <w:shd w:val="clear" w:color="auto" w:fill="auto"/>
            <w:noWrap/>
            <w:vAlign w:val="center"/>
          </w:tcPr>
          <w:p w14:paraId="63AE790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0.6</w:t>
            </w:r>
          </w:p>
        </w:tc>
        <w:tc>
          <w:tcPr>
            <w:tcW w:w="1146" w:type="dxa"/>
            <w:tcBorders>
              <w:top w:val="nil"/>
              <w:left w:val="nil"/>
              <w:bottom w:val="nil"/>
              <w:right w:val="single" w:sz="4" w:space="0" w:color="auto"/>
            </w:tcBorders>
            <w:shd w:val="clear" w:color="auto" w:fill="auto"/>
            <w:noWrap/>
            <w:vAlign w:val="center"/>
          </w:tcPr>
          <w:p w14:paraId="376516E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(0.0, 1.5)</w:t>
            </w:r>
          </w:p>
        </w:tc>
        <w:tc>
          <w:tcPr>
            <w:tcW w:w="536" w:type="dxa"/>
            <w:tcBorders>
              <w:top w:val="nil"/>
              <w:left w:val="single" w:sz="4" w:space="0" w:color="auto"/>
              <w:bottom w:val="nil"/>
              <w:right w:val="nil"/>
            </w:tcBorders>
            <w:shd w:val="clear" w:color="auto" w:fill="auto"/>
            <w:noWrap/>
            <w:vAlign w:val="center"/>
          </w:tcPr>
          <w:p w14:paraId="3C2D235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w:t>
            </w:r>
          </w:p>
        </w:tc>
        <w:tc>
          <w:tcPr>
            <w:tcW w:w="621" w:type="dxa"/>
            <w:tcBorders>
              <w:top w:val="nil"/>
              <w:left w:val="nil"/>
              <w:bottom w:val="nil"/>
              <w:right w:val="nil"/>
            </w:tcBorders>
            <w:shd w:val="clear" w:color="auto" w:fill="auto"/>
            <w:noWrap/>
            <w:vAlign w:val="center"/>
          </w:tcPr>
          <w:p w14:paraId="2AB2998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0.4</w:t>
            </w:r>
          </w:p>
        </w:tc>
        <w:tc>
          <w:tcPr>
            <w:tcW w:w="1146" w:type="dxa"/>
            <w:tcBorders>
              <w:top w:val="nil"/>
              <w:left w:val="nil"/>
              <w:bottom w:val="nil"/>
              <w:right w:val="single" w:sz="4" w:space="0" w:color="000000"/>
            </w:tcBorders>
            <w:shd w:val="clear" w:color="auto" w:fill="auto"/>
            <w:noWrap/>
            <w:vAlign w:val="center"/>
          </w:tcPr>
          <w:p w14:paraId="20B7A0D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auto"/>
            <w:vAlign w:val="center"/>
          </w:tcPr>
          <w:p w14:paraId="3FA2FE3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w:t>
            </w:r>
          </w:p>
        </w:tc>
        <w:tc>
          <w:tcPr>
            <w:tcW w:w="567" w:type="dxa"/>
            <w:tcBorders>
              <w:top w:val="nil"/>
              <w:left w:val="nil"/>
              <w:bottom w:val="nil"/>
              <w:right w:val="nil"/>
            </w:tcBorders>
            <w:shd w:val="clear" w:color="auto" w:fill="auto"/>
            <w:vAlign w:val="center"/>
          </w:tcPr>
          <w:p w14:paraId="6AFEC20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0.4</w:t>
            </w:r>
          </w:p>
        </w:tc>
        <w:tc>
          <w:tcPr>
            <w:tcW w:w="1146" w:type="dxa"/>
            <w:tcBorders>
              <w:top w:val="nil"/>
              <w:left w:val="nil"/>
              <w:bottom w:val="nil"/>
              <w:right w:val="single" w:sz="4" w:space="0" w:color="000000"/>
            </w:tcBorders>
            <w:shd w:val="clear" w:color="auto" w:fill="auto"/>
            <w:vAlign w:val="center"/>
          </w:tcPr>
          <w:p w14:paraId="4A66FFD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auto"/>
            <w:vAlign w:val="center"/>
          </w:tcPr>
          <w:p w14:paraId="6C714E2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w:t>
            </w:r>
          </w:p>
        </w:tc>
        <w:tc>
          <w:tcPr>
            <w:tcW w:w="576" w:type="dxa"/>
            <w:tcBorders>
              <w:top w:val="nil"/>
              <w:left w:val="nil"/>
              <w:bottom w:val="nil"/>
              <w:right w:val="nil"/>
            </w:tcBorders>
            <w:shd w:val="clear" w:color="auto" w:fill="auto"/>
            <w:vAlign w:val="center"/>
          </w:tcPr>
          <w:p w14:paraId="51CFAB0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0.2</w:t>
            </w:r>
          </w:p>
        </w:tc>
        <w:tc>
          <w:tcPr>
            <w:tcW w:w="1146" w:type="dxa"/>
            <w:tcBorders>
              <w:top w:val="nil"/>
              <w:left w:val="nil"/>
              <w:bottom w:val="nil"/>
              <w:right w:val="nil"/>
            </w:tcBorders>
            <w:shd w:val="clear" w:color="auto" w:fill="auto"/>
            <w:vAlign w:val="center"/>
          </w:tcPr>
          <w:p w14:paraId="26E0C70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D76D7F" w14:paraId="2BCDC2D0"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06C0FBCB" w14:textId="77777777" w:rsidR="003D7BB5" w:rsidRPr="00D76D7F" w:rsidRDefault="003D7BB5" w:rsidP="00DD0F28">
            <w:pPr>
              <w:spacing w:before="20" w:after="20"/>
              <w:ind w:left="176"/>
              <w:rPr>
                <w:rFonts w:eastAsiaTheme="minorEastAsia"/>
                <w:b w:val="0"/>
                <w:sz w:val="18"/>
                <w:szCs w:val="18"/>
              </w:rPr>
            </w:pPr>
            <w:r w:rsidRPr="00D76D7F">
              <w:rPr>
                <w:rFonts w:eastAsiaTheme="minorEastAsia"/>
                <w:b w:val="0"/>
                <w:sz w:val="18"/>
                <w:szCs w:val="18"/>
              </w:rPr>
              <w:t>Instant Kiwi/or other scratch tickets</w:t>
            </w:r>
          </w:p>
        </w:tc>
        <w:tc>
          <w:tcPr>
            <w:tcW w:w="536" w:type="dxa"/>
            <w:tcBorders>
              <w:top w:val="nil"/>
              <w:left w:val="nil"/>
              <w:bottom w:val="nil"/>
              <w:right w:val="nil"/>
            </w:tcBorders>
            <w:shd w:val="clear" w:color="auto" w:fill="auto"/>
            <w:noWrap/>
            <w:vAlign w:val="center"/>
          </w:tcPr>
          <w:p w14:paraId="34883DD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37</w:t>
            </w:r>
          </w:p>
        </w:tc>
        <w:tc>
          <w:tcPr>
            <w:tcW w:w="567" w:type="dxa"/>
            <w:tcBorders>
              <w:top w:val="nil"/>
              <w:left w:val="nil"/>
              <w:bottom w:val="nil"/>
              <w:right w:val="nil"/>
            </w:tcBorders>
            <w:shd w:val="clear" w:color="auto" w:fill="auto"/>
            <w:noWrap/>
            <w:vAlign w:val="center"/>
          </w:tcPr>
          <w:p w14:paraId="69B82EB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5.8</w:t>
            </w:r>
          </w:p>
        </w:tc>
        <w:tc>
          <w:tcPr>
            <w:tcW w:w="1146" w:type="dxa"/>
            <w:tcBorders>
              <w:top w:val="nil"/>
              <w:left w:val="nil"/>
              <w:bottom w:val="nil"/>
              <w:right w:val="single" w:sz="4" w:space="0" w:color="auto"/>
            </w:tcBorders>
            <w:shd w:val="clear" w:color="auto" w:fill="auto"/>
            <w:noWrap/>
            <w:vAlign w:val="center"/>
          </w:tcPr>
          <w:p w14:paraId="59E4769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(3.9, 7.7)</w:t>
            </w:r>
          </w:p>
        </w:tc>
        <w:tc>
          <w:tcPr>
            <w:tcW w:w="536" w:type="dxa"/>
            <w:tcBorders>
              <w:top w:val="nil"/>
              <w:left w:val="single" w:sz="4" w:space="0" w:color="auto"/>
              <w:bottom w:val="nil"/>
              <w:right w:val="nil"/>
            </w:tcBorders>
            <w:shd w:val="clear" w:color="auto" w:fill="auto"/>
            <w:noWrap/>
            <w:vAlign w:val="center"/>
          </w:tcPr>
          <w:p w14:paraId="2CA5AE4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w:t>
            </w:r>
          </w:p>
        </w:tc>
        <w:tc>
          <w:tcPr>
            <w:tcW w:w="621" w:type="dxa"/>
            <w:tcBorders>
              <w:top w:val="nil"/>
              <w:left w:val="nil"/>
              <w:bottom w:val="nil"/>
              <w:right w:val="nil"/>
            </w:tcBorders>
            <w:shd w:val="clear" w:color="auto" w:fill="auto"/>
            <w:noWrap/>
            <w:vAlign w:val="center"/>
          </w:tcPr>
          <w:p w14:paraId="6B1CDC6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3.8</w:t>
            </w:r>
          </w:p>
        </w:tc>
        <w:tc>
          <w:tcPr>
            <w:tcW w:w="1146" w:type="dxa"/>
            <w:tcBorders>
              <w:top w:val="nil"/>
              <w:left w:val="nil"/>
              <w:bottom w:val="nil"/>
              <w:right w:val="single" w:sz="4" w:space="0" w:color="000000"/>
            </w:tcBorders>
            <w:shd w:val="clear" w:color="auto" w:fill="auto"/>
            <w:noWrap/>
            <w:vAlign w:val="center"/>
          </w:tcPr>
          <w:p w14:paraId="4D40FF4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(1.8, 5.7)</w:t>
            </w:r>
          </w:p>
        </w:tc>
        <w:tc>
          <w:tcPr>
            <w:tcW w:w="536" w:type="dxa"/>
            <w:tcBorders>
              <w:top w:val="nil"/>
              <w:left w:val="single" w:sz="4" w:space="0" w:color="000000"/>
              <w:bottom w:val="nil"/>
              <w:right w:val="nil"/>
            </w:tcBorders>
            <w:shd w:val="clear" w:color="auto" w:fill="auto"/>
            <w:vAlign w:val="center"/>
          </w:tcPr>
          <w:p w14:paraId="518D9A0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w:t>
            </w:r>
          </w:p>
        </w:tc>
        <w:tc>
          <w:tcPr>
            <w:tcW w:w="567" w:type="dxa"/>
            <w:tcBorders>
              <w:top w:val="nil"/>
              <w:left w:val="nil"/>
              <w:bottom w:val="nil"/>
              <w:right w:val="nil"/>
            </w:tcBorders>
            <w:shd w:val="clear" w:color="auto" w:fill="auto"/>
            <w:vAlign w:val="center"/>
          </w:tcPr>
          <w:p w14:paraId="405C20C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4.6</w:t>
            </w:r>
          </w:p>
        </w:tc>
        <w:tc>
          <w:tcPr>
            <w:tcW w:w="1146" w:type="dxa"/>
            <w:tcBorders>
              <w:top w:val="nil"/>
              <w:left w:val="nil"/>
              <w:bottom w:val="nil"/>
              <w:right w:val="single" w:sz="4" w:space="0" w:color="000000"/>
            </w:tcBorders>
            <w:shd w:val="clear" w:color="auto" w:fill="auto"/>
            <w:vAlign w:val="center"/>
          </w:tcPr>
          <w:p w14:paraId="2962E27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(2.2, 7.0)</w:t>
            </w:r>
          </w:p>
        </w:tc>
        <w:tc>
          <w:tcPr>
            <w:tcW w:w="536" w:type="dxa"/>
            <w:tcBorders>
              <w:top w:val="nil"/>
              <w:left w:val="single" w:sz="4" w:space="0" w:color="000000"/>
              <w:bottom w:val="nil"/>
              <w:right w:val="nil"/>
            </w:tcBorders>
            <w:shd w:val="clear" w:color="auto" w:fill="auto"/>
            <w:vAlign w:val="center"/>
          </w:tcPr>
          <w:p w14:paraId="5195C29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23</w:t>
            </w:r>
          </w:p>
        </w:tc>
        <w:tc>
          <w:tcPr>
            <w:tcW w:w="576" w:type="dxa"/>
            <w:tcBorders>
              <w:top w:val="nil"/>
              <w:left w:val="nil"/>
              <w:bottom w:val="nil"/>
              <w:right w:val="nil"/>
            </w:tcBorders>
            <w:shd w:val="clear" w:color="auto" w:fill="auto"/>
            <w:vAlign w:val="center"/>
          </w:tcPr>
          <w:p w14:paraId="79572E3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8.2</w:t>
            </w:r>
          </w:p>
        </w:tc>
        <w:tc>
          <w:tcPr>
            <w:tcW w:w="1146" w:type="dxa"/>
            <w:tcBorders>
              <w:top w:val="nil"/>
              <w:left w:val="nil"/>
              <w:bottom w:val="nil"/>
              <w:right w:val="nil"/>
            </w:tcBorders>
            <w:shd w:val="clear" w:color="auto" w:fill="auto"/>
            <w:vAlign w:val="center"/>
          </w:tcPr>
          <w:p w14:paraId="2095BF0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(3.9, 12.5)</w:t>
            </w:r>
          </w:p>
        </w:tc>
      </w:tr>
      <w:tr w:rsidR="009118DA" w:rsidRPr="00D76D7F" w14:paraId="377620E8"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0FB76E8C"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Housie or bingo</w:t>
            </w:r>
          </w:p>
        </w:tc>
        <w:tc>
          <w:tcPr>
            <w:tcW w:w="536" w:type="dxa"/>
            <w:tcBorders>
              <w:top w:val="nil"/>
              <w:left w:val="nil"/>
              <w:bottom w:val="nil"/>
              <w:right w:val="nil"/>
            </w:tcBorders>
            <w:shd w:val="clear" w:color="auto" w:fill="auto"/>
            <w:noWrap/>
            <w:vAlign w:val="center"/>
          </w:tcPr>
          <w:p w14:paraId="0B18A13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w:t>
            </w:r>
          </w:p>
        </w:tc>
        <w:tc>
          <w:tcPr>
            <w:tcW w:w="567" w:type="dxa"/>
            <w:tcBorders>
              <w:top w:val="nil"/>
              <w:left w:val="nil"/>
              <w:bottom w:val="nil"/>
              <w:right w:val="nil"/>
            </w:tcBorders>
            <w:shd w:val="clear" w:color="auto" w:fill="auto"/>
            <w:noWrap/>
            <w:vAlign w:val="center"/>
          </w:tcPr>
          <w:p w14:paraId="4AEC8E5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0.4</w:t>
            </w:r>
          </w:p>
        </w:tc>
        <w:tc>
          <w:tcPr>
            <w:tcW w:w="1146" w:type="dxa"/>
            <w:tcBorders>
              <w:top w:val="nil"/>
              <w:left w:val="nil"/>
              <w:bottom w:val="nil"/>
              <w:right w:val="single" w:sz="4" w:space="0" w:color="auto"/>
            </w:tcBorders>
            <w:shd w:val="clear" w:color="auto" w:fill="auto"/>
            <w:noWrap/>
            <w:vAlign w:val="center"/>
          </w:tcPr>
          <w:p w14:paraId="701DB2F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auto"/>
              <w:bottom w:val="nil"/>
              <w:right w:val="nil"/>
            </w:tcBorders>
            <w:shd w:val="clear" w:color="auto" w:fill="auto"/>
            <w:noWrap/>
            <w:vAlign w:val="center"/>
          </w:tcPr>
          <w:p w14:paraId="3E6878C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w:t>
            </w:r>
          </w:p>
        </w:tc>
        <w:tc>
          <w:tcPr>
            <w:tcW w:w="621" w:type="dxa"/>
            <w:tcBorders>
              <w:top w:val="nil"/>
              <w:left w:val="nil"/>
              <w:bottom w:val="nil"/>
              <w:right w:val="nil"/>
            </w:tcBorders>
            <w:shd w:val="clear" w:color="auto" w:fill="auto"/>
            <w:noWrap/>
            <w:vAlign w:val="center"/>
          </w:tcPr>
          <w:p w14:paraId="48EDBD9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0.2</w:t>
            </w:r>
          </w:p>
        </w:tc>
        <w:tc>
          <w:tcPr>
            <w:tcW w:w="1146" w:type="dxa"/>
            <w:tcBorders>
              <w:top w:val="nil"/>
              <w:left w:val="nil"/>
              <w:bottom w:val="nil"/>
              <w:right w:val="single" w:sz="4" w:space="0" w:color="000000"/>
            </w:tcBorders>
            <w:shd w:val="clear" w:color="auto" w:fill="auto"/>
            <w:noWrap/>
            <w:vAlign w:val="center"/>
          </w:tcPr>
          <w:p w14:paraId="638E064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auto"/>
            <w:vAlign w:val="center"/>
          </w:tcPr>
          <w:p w14:paraId="5A9441F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567" w:type="dxa"/>
            <w:tcBorders>
              <w:top w:val="nil"/>
              <w:left w:val="nil"/>
              <w:bottom w:val="nil"/>
              <w:right w:val="nil"/>
            </w:tcBorders>
            <w:shd w:val="clear" w:color="auto" w:fill="auto"/>
            <w:vAlign w:val="center"/>
          </w:tcPr>
          <w:p w14:paraId="04B2741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w:t>
            </w:r>
          </w:p>
        </w:tc>
        <w:tc>
          <w:tcPr>
            <w:tcW w:w="1146" w:type="dxa"/>
            <w:tcBorders>
              <w:top w:val="nil"/>
              <w:left w:val="nil"/>
              <w:bottom w:val="nil"/>
              <w:right w:val="single" w:sz="4" w:space="0" w:color="000000"/>
            </w:tcBorders>
            <w:shd w:val="clear" w:color="auto" w:fill="auto"/>
            <w:vAlign w:val="center"/>
          </w:tcPr>
          <w:p w14:paraId="4D1CA9B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nil"/>
              <w:left w:val="single" w:sz="4" w:space="0" w:color="000000"/>
              <w:bottom w:val="nil"/>
              <w:right w:val="nil"/>
            </w:tcBorders>
            <w:shd w:val="clear" w:color="auto" w:fill="auto"/>
            <w:vAlign w:val="center"/>
          </w:tcPr>
          <w:p w14:paraId="5FA89C8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w:t>
            </w:r>
          </w:p>
        </w:tc>
        <w:tc>
          <w:tcPr>
            <w:tcW w:w="576" w:type="dxa"/>
            <w:tcBorders>
              <w:top w:val="nil"/>
              <w:left w:val="nil"/>
              <w:bottom w:val="nil"/>
              <w:right w:val="nil"/>
            </w:tcBorders>
            <w:shd w:val="clear" w:color="auto" w:fill="auto"/>
            <w:vAlign w:val="center"/>
          </w:tcPr>
          <w:p w14:paraId="62893A2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0.3</w:t>
            </w:r>
          </w:p>
        </w:tc>
        <w:tc>
          <w:tcPr>
            <w:tcW w:w="1146" w:type="dxa"/>
            <w:tcBorders>
              <w:top w:val="nil"/>
              <w:left w:val="nil"/>
              <w:bottom w:val="nil"/>
              <w:right w:val="nil"/>
            </w:tcBorders>
            <w:shd w:val="clear" w:color="auto" w:fill="auto"/>
            <w:vAlign w:val="center"/>
          </w:tcPr>
          <w:p w14:paraId="4589184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D76D7F" w14:paraId="0655C768"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49D94371"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Horse/dog race betting</w:t>
            </w:r>
          </w:p>
        </w:tc>
        <w:tc>
          <w:tcPr>
            <w:tcW w:w="536" w:type="dxa"/>
            <w:tcBorders>
              <w:top w:val="nil"/>
              <w:left w:val="nil"/>
              <w:bottom w:val="nil"/>
              <w:right w:val="nil"/>
            </w:tcBorders>
            <w:shd w:val="clear" w:color="auto" w:fill="auto"/>
            <w:noWrap/>
            <w:vAlign w:val="center"/>
          </w:tcPr>
          <w:p w14:paraId="2EFD13C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w:t>
            </w:r>
          </w:p>
        </w:tc>
        <w:tc>
          <w:tcPr>
            <w:tcW w:w="567" w:type="dxa"/>
            <w:tcBorders>
              <w:top w:val="nil"/>
              <w:left w:val="nil"/>
              <w:bottom w:val="nil"/>
              <w:right w:val="nil"/>
            </w:tcBorders>
            <w:shd w:val="clear" w:color="auto" w:fill="auto"/>
            <w:noWrap/>
            <w:vAlign w:val="center"/>
          </w:tcPr>
          <w:p w14:paraId="3DEB947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w:t>
            </w:r>
          </w:p>
        </w:tc>
        <w:tc>
          <w:tcPr>
            <w:tcW w:w="1146" w:type="dxa"/>
            <w:tcBorders>
              <w:top w:val="nil"/>
              <w:left w:val="nil"/>
              <w:bottom w:val="nil"/>
              <w:right w:val="single" w:sz="4" w:space="0" w:color="auto"/>
            </w:tcBorders>
            <w:shd w:val="clear" w:color="auto" w:fill="auto"/>
            <w:noWrap/>
            <w:vAlign w:val="center"/>
          </w:tcPr>
          <w:p w14:paraId="11AAE89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(0.2, 2.3)</w:t>
            </w:r>
          </w:p>
        </w:tc>
        <w:tc>
          <w:tcPr>
            <w:tcW w:w="536" w:type="dxa"/>
            <w:tcBorders>
              <w:top w:val="nil"/>
              <w:left w:val="single" w:sz="4" w:space="0" w:color="auto"/>
              <w:bottom w:val="nil"/>
              <w:right w:val="nil"/>
            </w:tcBorders>
            <w:shd w:val="clear" w:color="auto" w:fill="auto"/>
            <w:noWrap/>
            <w:vAlign w:val="center"/>
          </w:tcPr>
          <w:p w14:paraId="64AA3A3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w:t>
            </w:r>
          </w:p>
        </w:tc>
        <w:tc>
          <w:tcPr>
            <w:tcW w:w="621" w:type="dxa"/>
            <w:tcBorders>
              <w:top w:val="nil"/>
              <w:left w:val="nil"/>
              <w:bottom w:val="nil"/>
              <w:right w:val="nil"/>
            </w:tcBorders>
            <w:shd w:val="clear" w:color="auto" w:fill="auto"/>
            <w:noWrap/>
            <w:vAlign w:val="center"/>
          </w:tcPr>
          <w:p w14:paraId="7187CA0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w:t>
            </w:r>
          </w:p>
        </w:tc>
        <w:tc>
          <w:tcPr>
            <w:tcW w:w="1146" w:type="dxa"/>
            <w:tcBorders>
              <w:top w:val="nil"/>
              <w:left w:val="nil"/>
              <w:bottom w:val="nil"/>
              <w:right w:val="single" w:sz="4" w:space="0" w:color="000000"/>
            </w:tcBorders>
            <w:shd w:val="clear" w:color="auto" w:fill="auto"/>
            <w:noWrap/>
            <w:vAlign w:val="center"/>
          </w:tcPr>
          <w:p w14:paraId="015F943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(0.1, 2.1)</w:t>
            </w:r>
          </w:p>
        </w:tc>
        <w:tc>
          <w:tcPr>
            <w:tcW w:w="536" w:type="dxa"/>
            <w:tcBorders>
              <w:top w:val="nil"/>
              <w:left w:val="single" w:sz="4" w:space="0" w:color="000000"/>
              <w:bottom w:val="nil"/>
              <w:right w:val="nil"/>
            </w:tcBorders>
            <w:shd w:val="clear" w:color="auto" w:fill="auto"/>
            <w:vAlign w:val="center"/>
          </w:tcPr>
          <w:p w14:paraId="4AC6CC7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w:t>
            </w:r>
          </w:p>
        </w:tc>
        <w:tc>
          <w:tcPr>
            <w:tcW w:w="567" w:type="dxa"/>
            <w:tcBorders>
              <w:top w:val="nil"/>
              <w:left w:val="nil"/>
              <w:bottom w:val="nil"/>
              <w:right w:val="nil"/>
            </w:tcBorders>
            <w:shd w:val="clear" w:color="auto" w:fill="auto"/>
            <w:vAlign w:val="center"/>
          </w:tcPr>
          <w:p w14:paraId="479FB99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w:t>
            </w:r>
          </w:p>
        </w:tc>
        <w:tc>
          <w:tcPr>
            <w:tcW w:w="1146" w:type="dxa"/>
            <w:tcBorders>
              <w:top w:val="nil"/>
              <w:left w:val="nil"/>
              <w:bottom w:val="nil"/>
              <w:right w:val="single" w:sz="4" w:space="0" w:color="000000"/>
            </w:tcBorders>
            <w:shd w:val="clear" w:color="auto" w:fill="auto"/>
            <w:vAlign w:val="center"/>
          </w:tcPr>
          <w:p w14:paraId="559ED30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(0.2, 2.9)</w:t>
            </w:r>
          </w:p>
        </w:tc>
        <w:tc>
          <w:tcPr>
            <w:tcW w:w="536" w:type="dxa"/>
            <w:tcBorders>
              <w:top w:val="nil"/>
              <w:left w:val="single" w:sz="4" w:space="0" w:color="000000"/>
              <w:bottom w:val="nil"/>
              <w:right w:val="nil"/>
            </w:tcBorders>
            <w:shd w:val="clear" w:color="auto" w:fill="auto"/>
            <w:vAlign w:val="center"/>
          </w:tcPr>
          <w:p w14:paraId="4912AE3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w:t>
            </w:r>
          </w:p>
        </w:tc>
        <w:tc>
          <w:tcPr>
            <w:tcW w:w="576" w:type="dxa"/>
            <w:tcBorders>
              <w:top w:val="nil"/>
              <w:left w:val="nil"/>
              <w:bottom w:val="nil"/>
              <w:right w:val="nil"/>
            </w:tcBorders>
            <w:shd w:val="clear" w:color="auto" w:fill="auto"/>
            <w:vAlign w:val="center"/>
          </w:tcPr>
          <w:p w14:paraId="6CB1C1A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w:t>
            </w:r>
          </w:p>
        </w:tc>
        <w:tc>
          <w:tcPr>
            <w:tcW w:w="1146" w:type="dxa"/>
            <w:tcBorders>
              <w:top w:val="nil"/>
              <w:left w:val="nil"/>
              <w:bottom w:val="nil"/>
              <w:right w:val="nil"/>
            </w:tcBorders>
            <w:shd w:val="clear" w:color="auto" w:fill="auto"/>
            <w:vAlign w:val="center"/>
          </w:tcPr>
          <w:p w14:paraId="7A5E14E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(0.0, 2.6)</w:t>
            </w:r>
          </w:p>
        </w:tc>
      </w:tr>
      <w:tr w:rsidR="009118DA" w:rsidRPr="00D76D7F" w14:paraId="388BFB67"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23CF8546"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Sports betting</w:t>
            </w:r>
          </w:p>
        </w:tc>
        <w:tc>
          <w:tcPr>
            <w:tcW w:w="536" w:type="dxa"/>
            <w:tcBorders>
              <w:top w:val="nil"/>
              <w:left w:val="nil"/>
              <w:bottom w:val="nil"/>
              <w:right w:val="nil"/>
            </w:tcBorders>
            <w:shd w:val="clear" w:color="auto" w:fill="auto"/>
            <w:noWrap/>
            <w:vAlign w:val="center"/>
          </w:tcPr>
          <w:p w14:paraId="6B38938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w:t>
            </w:r>
          </w:p>
        </w:tc>
        <w:tc>
          <w:tcPr>
            <w:tcW w:w="567" w:type="dxa"/>
            <w:tcBorders>
              <w:top w:val="nil"/>
              <w:left w:val="nil"/>
              <w:bottom w:val="nil"/>
              <w:right w:val="nil"/>
            </w:tcBorders>
            <w:shd w:val="clear" w:color="auto" w:fill="auto"/>
            <w:noWrap/>
            <w:vAlign w:val="center"/>
          </w:tcPr>
          <w:p w14:paraId="747FF48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0.7</w:t>
            </w:r>
          </w:p>
        </w:tc>
        <w:tc>
          <w:tcPr>
            <w:tcW w:w="1146" w:type="dxa"/>
            <w:tcBorders>
              <w:top w:val="nil"/>
              <w:left w:val="nil"/>
              <w:bottom w:val="nil"/>
              <w:right w:val="single" w:sz="4" w:space="0" w:color="auto"/>
            </w:tcBorders>
            <w:shd w:val="clear" w:color="auto" w:fill="auto"/>
            <w:noWrap/>
            <w:vAlign w:val="center"/>
          </w:tcPr>
          <w:p w14:paraId="6BD6086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(0.1, 1.3)</w:t>
            </w:r>
          </w:p>
        </w:tc>
        <w:tc>
          <w:tcPr>
            <w:tcW w:w="536" w:type="dxa"/>
            <w:tcBorders>
              <w:top w:val="nil"/>
              <w:left w:val="single" w:sz="4" w:space="0" w:color="auto"/>
              <w:bottom w:val="nil"/>
              <w:right w:val="nil"/>
            </w:tcBorders>
            <w:shd w:val="clear" w:color="auto" w:fill="auto"/>
            <w:noWrap/>
            <w:vAlign w:val="center"/>
          </w:tcPr>
          <w:p w14:paraId="0D0D84B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w:t>
            </w:r>
          </w:p>
        </w:tc>
        <w:tc>
          <w:tcPr>
            <w:tcW w:w="621" w:type="dxa"/>
            <w:tcBorders>
              <w:top w:val="nil"/>
              <w:left w:val="nil"/>
              <w:bottom w:val="nil"/>
              <w:right w:val="nil"/>
            </w:tcBorders>
            <w:shd w:val="clear" w:color="auto" w:fill="auto"/>
            <w:noWrap/>
            <w:vAlign w:val="center"/>
          </w:tcPr>
          <w:p w14:paraId="5AA9B2A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0.5</w:t>
            </w:r>
          </w:p>
        </w:tc>
        <w:tc>
          <w:tcPr>
            <w:tcW w:w="1146" w:type="dxa"/>
            <w:tcBorders>
              <w:top w:val="nil"/>
              <w:left w:val="nil"/>
              <w:bottom w:val="nil"/>
              <w:right w:val="single" w:sz="4" w:space="0" w:color="000000"/>
            </w:tcBorders>
            <w:shd w:val="clear" w:color="auto" w:fill="auto"/>
            <w:noWrap/>
            <w:vAlign w:val="center"/>
          </w:tcPr>
          <w:p w14:paraId="3B379DC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auto"/>
            <w:vAlign w:val="center"/>
          </w:tcPr>
          <w:p w14:paraId="5FAC2DA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w:t>
            </w:r>
          </w:p>
        </w:tc>
        <w:tc>
          <w:tcPr>
            <w:tcW w:w="567" w:type="dxa"/>
            <w:tcBorders>
              <w:top w:val="nil"/>
              <w:left w:val="nil"/>
              <w:bottom w:val="nil"/>
              <w:right w:val="nil"/>
            </w:tcBorders>
            <w:shd w:val="clear" w:color="auto" w:fill="auto"/>
            <w:vAlign w:val="center"/>
          </w:tcPr>
          <w:p w14:paraId="6B6094D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w:t>
            </w:r>
          </w:p>
        </w:tc>
        <w:tc>
          <w:tcPr>
            <w:tcW w:w="1146" w:type="dxa"/>
            <w:tcBorders>
              <w:top w:val="nil"/>
              <w:left w:val="nil"/>
              <w:bottom w:val="nil"/>
              <w:right w:val="single" w:sz="4" w:space="0" w:color="000000"/>
            </w:tcBorders>
            <w:shd w:val="clear" w:color="auto" w:fill="auto"/>
            <w:vAlign w:val="center"/>
          </w:tcPr>
          <w:p w14:paraId="733B043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(0.3, 2.8)</w:t>
            </w:r>
          </w:p>
        </w:tc>
        <w:tc>
          <w:tcPr>
            <w:tcW w:w="536" w:type="dxa"/>
            <w:tcBorders>
              <w:top w:val="nil"/>
              <w:left w:val="single" w:sz="4" w:space="0" w:color="000000"/>
              <w:bottom w:val="nil"/>
              <w:right w:val="nil"/>
            </w:tcBorders>
            <w:shd w:val="clear" w:color="auto" w:fill="auto"/>
            <w:vAlign w:val="center"/>
          </w:tcPr>
          <w:p w14:paraId="3A1EE6B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w:t>
            </w:r>
          </w:p>
        </w:tc>
        <w:tc>
          <w:tcPr>
            <w:tcW w:w="576" w:type="dxa"/>
            <w:tcBorders>
              <w:top w:val="nil"/>
              <w:left w:val="nil"/>
              <w:bottom w:val="nil"/>
              <w:right w:val="nil"/>
            </w:tcBorders>
            <w:shd w:val="clear" w:color="auto" w:fill="auto"/>
            <w:vAlign w:val="center"/>
          </w:tcPr>
          <w:p w14:paraId="4E86B24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w:t>
            </w:r>
          </w:p>
        </w:tc>
        <w:tc>
          <w:tcPr>
            <w:tcW w:w="1146" w:type="dxa"/>
            <w:tcBorders>
              <w:top w:val="nil"/>
              <w:left w:val="nil"/>
              <w:bottom w:val="nil"/>
              <w:right w:val="nil"/>
            </w:tcBorders>
            <w:shd w:val="clear" w:color="auto" w:fill="auto"/>
            <w:vAlign w:val="center"/>
          </w:tcPr>
          <w:p w14:paraId="2071606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(0.0, 2.4)</w:t>
            </w:r>
          </w:p>
        </w:tc>
      </w:tr>
      <w:tr w:rsidR="009118DA" w:rsidRPr="00D76D7F" w14:paraId="796C5C4E"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6D3869CB"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Casino table games or EGMS (NZ and overseas)</w:t>
            </w:r>
          </w:p>
        </w:tc>
        <w:tc>
          <w:tcPr>
            <w:tcW w:w="536" w:type="dxa"/>
            <w:tcBorders>
              <w:top w:val="nil"/>
              <w:left w:val="nil"/>
              <w:bottom w:val="nil"/>
              <w:right w:val="nil"/>
            </w:tcBorders>
            <w:shd w:val="clear" w:color="auto" w:fill="auto"/>
            <w:noWrap/>
            <w:vAlign w:val="center"/>
          </w:tcPr>
          <w:p w14:paraId="283F869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37</w:t>
            </w:r>
          </w:p>
        </w:tc>
        <w:tc>
          <w:tcPr>
            <w:tcW w:w="567" w:type="dxa"/>
            <w:tcBorders>
              <w:top w:val="nil"/>
              <w:left w:val="nil"/>
              <w:bottom w:val="nil"/>
              <w:right w:val="nil"/>
            </w:tcBorders>
            <w:shd w:val="clear" w:color="auto" w:fill="auto"/>
            <w:noWrap/>
            <w:vAlign w:val="center"/>
          </w:tcPr>
          <w:p w14:paraId="281BDDD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5.8</w:t>
            </w:r>
          </w:p>
        </w:tc>
        <w:tc>
          <w:tcPr>
            <w:tcW w:w="1146" w:type="dxa"/>
            <w:tcBorders>
              <w:top w:val="nil"/>
              <w:left w:val="nil"/>
              <w:bottom w:val="nil"/>
              <w:right w:val="single" w:sz="4" w:space="0" w:color="auto"/>
            </w:tcBorders>
            <w:shd w:val="clear" w:color="auto" w:fill="auto"/>
            <w:noWrap/>
            <w:vAlign w:val="center"/>
          </w:tcPr>
          <w:p w14:paraId="501B8DA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(4.0, 7.6)</w:t>
            </w:r>
          </w:p>
        </w:tc>
        <w:tc>
          <w:tcPr>
            <w:tcW w:w="536" w:type="dxa"/>
            <w:tcBorders>
              <w:top w:val="nil"/>
              <w:left w:val="single" w:sz="4" w:space="0" w:color="auto"/>
              <w:bottom w:val="nil"/>
              <w:right w:val="nil"/>
            </w:tcBorders>
            <w:shd w:val="clear" w:color="auto" w:fill="auto"/>
            <w:noWrap/>
            <w:vAlign w:val="center"/>
          </w:tcPr>
          <w:p w14:paraId="4C15164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w:t>
            </w:r>
          </w:p>
        </w:tc>
        <w:tc>
          <w:tcPr>
            <w:tcW w:w="621" w:type="dxa"/>
            <w:tcBorders>
              <w:top w:val="nil"/>
              <w:left w:val="nil"/>
              <w:bottom w:val="nil"/>
              <w:right w:val="nil"/>
            </w:tcBorders>
            <w:shd w:val="clear" w:color="auto" w:fill="auto"/>
            <w:noWrap/>
            <w:vAlign w:val="center"/>
          </w:tcPr>
          <w:p w14:paraId="6003A15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5.0</w:t>
            </w:r>
          </w:p>
        </w:tc>
        <w:tc>
          <w:tcPr>
            <w:tcW w:w="1146" w:type="dxa"/>
            <w:tcBorders>
              <w:top w:val="nil"/>
              <w:left w:val="nil"/>
              <w:bottom w:val="nil"/>
              <w:right w:val="single" w:sz="4" w:space="0" w:color="000000"/>
            </w:tcBorders>
            <w:shd w:val="clear" w:color="auto" w:fill="auto"/>
            <w:noWrap/>
            <w:vAlign w:val="center"/>
          </w:tcPr>
          <w:p w14:paraId="0652604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(2.8, 7.2)</w:t>
            </w:r>
          </w:p>
        </w:tc>
        <w:tc>
          <w:tcPr>
            <w:tcW w:w="536" w:type="dxa"/>
            <w:tcBorders>
              <w:top w:val="nil"/>
              <w:left w:val="single" w:sz="4" w:space="0" w:color="000000"/>
              <w:bottom w:val="nil"/>
              <w:right w:val="nil"/>
            </w:tcBorders>
            <w:shd w:val="clear" w:color="auto" w:fill="auto"/>
            <w:vAlign w:val="center"/>
          </w:tcPr>
          <w:p w14:paraId="21434D9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w:t>
            </w:r>
          </w:p>
        </w:tc>
        <w:tc>
          <w:tcPr>
            <w:tcW w:w="567" w:type="dxa"/>
            <w:tcBorders>
              <w:top w:val="nil"/>
              <w:left w:val="nil"/>
              <w:bottom w:val="nil"/>
              <w:right w:val="nil"/>
            </w:tcBorders>
            <w:shd w:val="clear" w:color="auto" w:fill="auto"/>
            <w:vAlign w:val="center"/>
          </w:tcPr>
          <w:p w14:paraId="2E03971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2.4</w:t>
            </w:r>
          </w:p>
        </w:tc>
        <w:tc>
          <w:tcPr>
            <w:tcW w:w="1146" w:type="dxa"/>
            <w:tcBorders>
              <w:top w:val="nil"/>
              <w:left w:val="nil"/>
              <w:bottom w:val="nil"/>
              <w:right w:val="single" w:sz="4" w:space="0" w:color="000000"/>
            </w:tcBorders>
            <w:shd w:val="clear" w:color="auto" w:fill="auto"/>
            <w:vAlign w:val="center"/>
          </w:tcPr>
          <w:p w14:paraId="5AC8C21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(0.9, 4.0)</w:t>
            </w:r>
          </w:p>
        </w:tc>
        <w:tc>
          <w:tcPr>
            <w:tcW w:w="536" w:type="dxa"/>
            <w:tcBorders>
              <w:top w:val="nil"/>
              <w:left w:val="single" w:sz="4" w:space="0" w:color="000000"/>
              <w:bottom w:val="nil"/>
              <w:right w:val="nil"/>
            </w:tcBorders>
            <w:shd w:val="clear" w:color="auto" w:fill="auto"/>
            <w:vAlign w:val="center"/>
          </w:tcPr>
          <w:p w14:paraId="62CA0F8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w:t>
            </w:r>
          </w:p>
        </w:tc>
        <w:tc>
          <w:tcPr>
            <w:tcW w:w="576" w:type="dxa"/>
            <w:tcBorders>
              <w:top w:val="nil"/>
              <w:left w:val="nil"/>
              <w:bottom w:val="nil"/>
              <w:right w:val="nil"/>
            </w:tcBorders>
            <w:shd w:val="clear" w:color="auto" w:fill="auto"/>
            <w:vAlign w:val="center"/>
          </w:tcPr>
          <w:p w14:paraId="7CC2392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2.5</w:t>
            </w:r>
          </w:p>
        </w:tc>
        <w:tc>
          <w:tcPr>
            <w:tcW w:w="1146" w:type="dxa"/>
            <w:tcBorders>
              <w:top w:val="nil"/>
              <w:left w:val="nil"/>
              <w:bottom w:val="nil"/>
              <w:right w:val="nil"/>
            </w:tcBorders>
            <w:shd w:val="clear" w:color="auto" w:fill="auto"/>
            <w:vAlign w:val="center"/>
          </w:tcPr>
          <w:p w14:paraId="4216A2B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(0.7, 4.3)</w:t>
            </w:r>
          </w:p>
        </w:tc>
      </w:tr>
      <w:tr w:rsidR="009118DA" w:rsidRPr="00D76D7F" w14:paraId="574D806C"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4D1E0DC7" w14:textId="77777777" w:rsidR="003D7BB5" w:rsidRPr="00D76D7F" w:rsidRDefault="003D7BB5" w:rsidP="00DD0F28">
            <w:pPr>
              <w:spacing w:before="20" w:after="20"/>
              <w:ind w:left="176"/>
              <w:rPr>
                <w:rFonts w:eastAsiaTheme="minorEastAsia"/>
                <w:b w:val="0"/>
                <w:sz w:val="18"/>
                <w:szCs w:val="18"/>
              </w:rPr>
            </w:pPr>
            <w:r w:rsidRPr="00D76D7F">
              <w:rPr>
                <w:rFonts w:eastAsiaTheme="minorEastAsia"/>
                <w:b w:val="0"/>
                <w:sz w:val="18"/>
                <w:szCs w:val="18"/>
              </w:rPr>
              <w:t>Non-casino EGMs</w:t>
            </w:r>
          </w:p>
        </w:tc>
        <w:tc>
          <w:tcPr>
            <w:tcW w:w="536" w:type="dxa"/>
            <w:tcBorders>
              <w:top w:val="nil"/>
              <w:left w:val="nil"/>
              <w:bottom w:val="nil"/>
              <w:right w:val="nil"/>
            </w:tcBorders>
            <w:shd w:val="clear" w:color="auto" w:fill="auto"/>
            <w:noWrap/>
            <w:vAlign w:val="center"/>
          </w:tcPr>
          <w:p w14:paraId="1503656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w:t>
            </w:r>
          </w:p>
        </w:tc>
        <w:tc>
          <w:tcPr>
            <w:tcW w:w="567" w:type="dxa"/>
            <w:tcBorders>
              <w:top w:val="nil"/>
              <w:left w:val="nil"/>
              <w:bottom w:val="nil"/>
              <w:right w:val="nil"/>
            </w:tcBorders>
            <w:shd w:val="clear" w:color="auto" w:fill="auto"/>
            <w:noWrap/>
            <w:vAlign w:val="center"/>
          </w:tcPr>
          <w:p w14:paraId="3E571A8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0.5</w:t>
            </w:r>
          </w:p>
        </w:tc>
        <w:tc>
          <w:tcPr>
            <w:tcW w:w="1146" w:type="dxa"/>
            <w:tcBorders>
              <w:top w:val="nil"/>
              <w:left w:val="nil"/>
              <w:bottom w:val="nil"/>
              <w:right w:val="single" w:sz="4" w:space="0" w:color="auto"/>
            </w:tcBorders>
            <w:shd w:val="clear" w:color="auto" w:fill="auto"/>
            <w:noWrap/>
            <w:vAlign w:val="center"/>
          </w:tcPr>
          <w:p w14:paraId="2EA0B62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(0.0, 1.1)</w:t>
            </w:r>
          </w:p>
        </w:tc>
        <w:tc>
          <w:tcPr>
            <w:tcW w:w="536" w:type="dxa"/>
            <w:tcBorders>
              <w:top w:val="nil"/>
              <w:left w:val="single" w:sz="4" w:space="0" w:color="auto"/>
              <w:bottom w:val="nil"/>
              <w:right w:val="nil"/>
            </w:tcBorders>
            <w:shd w:val="clear" w:color="auto" w:fill="auto"/>
            <w:noWrap/>
            <w:vAlign w:val="center"/>
          </w:tcPr>
          <w:p w14:paraId="6678061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w:t>
            </w:r>
          </w:p>
        </w:tc>
        <w:tc>
          <w:tcPr>
            <w:tcW w:w="621" w:type="dxa"/>
            <w:tcBorders>
              <w:top w:val="nil"/>
              <w:left w:val="nil"/>
              <w:bottom w:val="nil"/>
              <w:right w:val="nil"/>
            </w:tcBorders>
            <w:shd w:val="clear" w:color="auto" w:fill="auto"/>
            <w:noWrap/>
            <w:vAlign w:val="center"/>
          </w:tcPr>
          <w:p w14:paraId="258DEAE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0.4</w:t>
            </w:r>
          </w:p>
        </w:tc>
        <w:tc>
          <w:tcPr>
            <w:tcW w:w="1146" w:type="dxa"/>
            <w:tcBorders>
              <w:top w:val="nil"/>
              <w:left w:val="nil"/>
              <w:bottom w:val="nil"/>
              <w:right w:val="single" w:sz="4" w:space="0" w:color="000000"/>
            </w:tcBorders>
            <w:shd w:val="clear" w:color="auto" w:fill="auto"/>
            <w:noWrap/>
            <w:vAlign w:val="center"/>
          </w:tcPr>
          <w:p w14:paraId="507A991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auto"/>
            <w:vAlign w:val="center"/>
          </w:tcPr>
          <w:p w14:paraId="0A50893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w:t>
            </w:r>
          </w:p>
        </w:tc>
        <w:tc>
          <w:tcPr>
            <w:tcW w:w="567" w:type="dxa"/>
            <w:tcBorders>
              <w:top w:val="nil"/>
              <w:left w:val="nil"/>
              <w:bottom w:val="nil"/>
              <w:right w:val="nil"/>
            </w:tcBorders>
            <w:shd w:val="clear" w:color="auto" w:fill="auto"/>
            <w:vAlign w:val="center"/>
          </w:tcPr>
          <w:p w14:paraId="4EABAAE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0.2</w:t>
            </w:r>
          </w:p>
        </w:tc>
        <w:tc>
          <w:tcPr>
            <w:tcW w:w="1146" w:type="dxa"/>
            <w:tcBorders>
              <w:top w:val="nil"/>
              <w:left w:val="nil"/>
              <w:bottom w:val="nil"/>
              <w:right w:val="single" w:sz="4" w:space="0" w:color="000000"/>
            </w:tcBorders>
            <w:shd w:val="clear" w:color="auto" w:fill="auto"/>
            <w:vAlign w:val="center"/>
          </w:tcPr>
          <w:p w14:paraId="2AC7A60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auto"/>
            <w:vAlign w:val="center"/>
          </w:tcPr>
          <w:p w14:paraId="4838182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w:t>
            </w:r>
          </w:p>
        </w:tc>
        <w:tc>
          <w:tcPr>
            <w:tcW w:w="576" w:type="dxa"/>
            <w:tcBorders>
              <w:top w:val="nil"/>
              <w:left w:val="nil"/>
              <w:bottom w:val="nil"/>
              <w:right w:val="nil"/>
            </w:tcBorders>
            <w:shd w:val="clear" w:color="auto" w:fill="auto"/>
            <w:vAlign w:val="center"/>
          </w:tcPr>
          <w:p w14:paraId="2B046FC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w:t>
            </w:r>
          </w:p>
        </w:tc>
        <w:tc>
          <w:tcPr>
            <w:tcW w:w="1146" w:type="dxa"/>
            <w:tcBorders>
              <w:top w:val="nil"/>
              <w:left w:val="nil"/>
              <w:bottom w:val="nil"/>
              <w:right w:val="nil"/>
            </w:tcBorders>
            <w:shd w:val="clear" w:color="auto" w:fill="auto"/>
            <w:vAlign w:val="center"/>
          </w:tcPr>
          <w:p w14:paraId="64421C8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(0.0, 2.1)</w:t>
            </w:r>
          </w:p>
        </w:tc>
      </w:tr>
      <w:tr w:rsidR="009118DA" w:rsidRPr="00D76D7F" w14:paraId="2F143910"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5344821B" w14:textId="77777777" w:rsidR="003D7BB5" w:rsidRPr="00D76D7F" w:rsidRDefault="003D7BB5" w:rsidP="00DD0F28">
            <w:pPr>
              <w:spacing w:before="20" w:after="20"/>
              <w:ind w:left="176"/>
              <w:rPr>
                <w:rFonts w:eastAsiaTheme="minorEastAsia"/>
                <w:b w:val="0"/>
                <w:sz w:val="18"/>
                <w:szCs w:val="18"/>
              </w:rPr>
            </w:pPr>
            <w:r w:rsidRPr="00D76D7F">
              <w:rPr>
                <w:rFonts w:eastAsiaTheme="minorEastAsia"/>
                <w:b w:val="0"/>
                <w:sz w:val="18"/>
                <w:szCs w:val="18"/>
              </w:rPr>
              <w:t xml:space="preserve">Short-term spec. investments </w:t>
            </w:r>
          </w:p>
        </w:tc>
        <w:tc>
          <w:tcPr>
            <w:tcW w:w="536" w:type="dxa"/>
            <w:tcBorders>
              <w:top w:val="nil"/>
              <w:left w:val="nil"/>
              <w:bottom w:val="nil"/>
              <w:right w:val="nil"/>
            </w:tcBorders>
            <w:shd w:val="clear" w:color="auto" w:fill="auto"/>
            <w:noWrap/>
            <w:vAlign w:val="center"/>
          </w:tcPr>
          <w:p w14:paraId="06401B9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w:t>
            </w:r>
          </w:p>
        </w:tc>
        <w:tc>
          <w:tcPr>
            <w:tcW w:w="567" w:type="dxa"/>
            <w:tcBorders>
              <w:top w:val="nil"/>
              <w:left w:val="nil"/>
              <w:bottom w:val="nil"/>
              <w:right w:val="nil"/>
            </w:tcBorders>
            <w:shd w:val="clear" w:color="auto" w:fill="auto"/>
            <w:noWrap/>
            <w:vAlign w:val="center"/>
          </w:tcPr>
          <w:p w14:paraId="646FBBF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0.7</w:t>
            </w:r>
          </w:p>
        </w:tc>
        <w:tc>
          <w:tcPr>
            <w:tcW w:w="1146" w:type="dxa"/>
            <w:tcBorders>
              <w:top w:val="nil"/>
              <w:left w:val="nil"/>
              <w:bottom w:val="nil"/>
              <w:right w:val="single" w:sz="4" w:space="0" w:color="auto"/>
            </w:tcBorders>
            <w:shd w:val="clear" w:color="auto" w:fill="auto"/>
            <w:noWrap/>
            <w:vAlign w:val="center"/>
          </w:tcPr>
          <w:p w14:paraId="2D8A9E1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(0.0, 1.6)</w:t>
            </w:r>
          </w:p>
        </w:tc>
        <w:tc>
          <w:tcPr>
            <w:tcW w:w="536" w:type="dxa"/>
            <w:tcBorders>
              <w:top w:val="nil"/>
              <w:left w:val="single" w:sz="4" w:space="0" w:color="auto"/>
              <w:bottom w:val="nil"/>
              <w:right w:val="nil"/>
            </w:tcBorders>
            <w:shd w:val="clear" w:color="auto" w:fill="auto"/>
            <w:noWrap/>
            <w:vAlign w:val="center"/>
          </w:tcPr>
          <w:p w14:paraId="39E09EE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w:t>
            </w:r>
          </w:p>
        </w:tc>
        <w:tc>
          <w:tcPr>
            <w:tcW w:w="621" w:type="dxa"/>
            <w:tcBorders>
              <w:top w:val="nil"/>
              <w:left w:val="nil"/>
              <w:bottom w:val="nil"/>
              <w:right w:val="nil"/>
            </w:tcBorders>
            <w:shd w:val="clear" w:color="auto" w:fill="auto"/>
            <w:noWrap/>
            <w:vAlign w:val="center"/>
          </w:tcPr>
          <w:p w14:paraId="793C814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w:t>
            </w:r>
          </w:p>
        </w:tc>
        <w:tc>
          <w:tcPr>
            <w:tcW w:w="1146" w:type="dxa"/>
            <w:tcBorders>
              <w:top w:val="nil"/>
              <w:left w:val="nil"/>
              <w:bottom w:val="nil"/>
              <w:right w:val="single" w:sz="4" w:space="0" w:color="000000"/>
            </w:tcBorders>
            <w:shd w:val="clear" w:color="auto" w:fill="auto"/>
            <w:noWrap/>
            <w:vAlign w:val="center"/>
          </w:tcPr>
          <w:p w14:paraId="21390CB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(0.0, 3.1)</w:t>
            </w:r>
          </w:p>
        </w:tc>
        <w:tc>
          <w:tcPr>
            <w:tcW w:w="536" w:type="dxa"/>
            <w:tcBorders>
              <w:top w:val="nil"/>
              <w:left w:val="single" w:sz="4" w:space="0" w:color="000000"/>
              <w:bottom w:val="nil"/>
              <w:right w:val="nil"/>
            </w:tcBorders>
            <w:shd w:val="clear" w:color="auto" w:fill="auto"/>
            <w:vAlign w:val="center"/>
          </w:tcPr>
          <w:p w14:paraId="24AA771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w:t>
            </w:r>
          </w:p>
        </w:tc>
        <w:tc>
          <w:tcPr>
            <w:tcW w:w="567" w:type="dxa"/>
            <w:tcBorders>
              <w:top w:val="nil"/>
              <w:left w:val="nil"/>
              <w:bottom w:val="nil"/>
              <w:right w:val="nil"/>
            </w:tcBorders>
            <w:shd w:val="clear" w:color="auto" w:fill="auto"/>
            <w:vAlign w:val="center"/>
          </w:tcPr>
          <w:p w14:paraId="3AA8862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w:t>
            </w:r>
          </w:p>
        </w:tc>
        <w:tc>
          <w:tcPr>
            <w:tcW w:w="1146" w:type="dxa"/>
            <w:tcBorders>
              <w:top w:val="nil"/>
              <w:left w:val="nil"/>
              <w:bottom w:val="nil"/>
              <w:right w:val="single" w:sz="4" w:space="0" w:color="000000"/>
            </w:tcBorders>
            <w:shd w:val="clear" w:color="auto" w:fill="auto"/>
            <w:vAlign w:val="center"/>
          </w:tcPr>
          <w:p w14:paraId="6E3042B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(0.2, 2.7)</w:t>
            </w:r>
          </w:p>
        </w:tc>
        <w:tc>
          <w:tcPr>
            <w:tcW w:w="536" w:type="dxa"/>
            <w:tcBorders>
              <w:top w:val="nil"/>
              <w:left w:val="single" w:sz="4" w:space="0" w:color="000000"/>
              <w:bottom w:val="nil"/>
              <w:right w:val="nil"/>
            </w:tcBorders>
            <w:shd w:val="clear" w:color="auto" w:fill="auto"/>
            <w:vAlign w:val="center"/>
          </w:tcPr>
          <w:p w14:paraId="4C7D370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w:t>
            </w:r>
          </w:p>
        </w:tc>
        <w:tc>
          <w:tcPr>
            <w:tcW w:w="576" w:type="dxa"/>
            <w:tcBorders>
              <w:top w:val="nil"/>
              <w:left w:val="nil"/>
              <w:bottom w:val="nil"/>
              <w:right w:val="nil"/>
            </w:tcBorders>
            <w:shd w:val="clear" w:color="auto" w:fill="auto"/>
            <w:vAlign w:val="center"/>
          </w:tcPr>
          <w:p w14:paraId="7AB6119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0.3</w:t>
            </w:r>
          </w:p>
        </w:tc>
        <w:tc>
          <w:tcPr>
            <w:tcW w:w="1146" w:type="dxa"/>
            <w:tcBorders>
              <w:top w:val="nil"/>
              <w:left w:val="nil"/>
              <w:bottom w:val="nil"/>
              <w:right w:val="nil"/>
            </w:tcBorders>
            <w:shd w:val="clear" w:color="auto" w:fill="auto"/>
            <w:vAlign w:val="center"/>
          </w:tcPr>
          <w:p w14:paraId="35CDB13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D76D7F" w14:paraId="765CBC46"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35DDE97D" w14:textId="77777777" w:rsidR="003D7BB5" w:rsidRPr="00D76D7F" w:rsidRDefault="003D7BB5" w:rsidP="00DD0F28">
            <w:pPr>
              <w:spacing w:before="20" w:after="20"/>
              <w:ind w:left="176"/>
              <w:rPr>
                <w:rFonts w:eastAsiaTheme="minorEastAsia"/>
                <w:b w:val="0"/>
                <w:sz w:val="18"/>
                <w:szCs w:val="18"/>
                <w:lang w:eastAsia="en-US"/>
              </w:rPr>
            </w:pPr>
            <w:r>
              <w:rPr>
                <w:rFonts w:eastAsiaTheme="minorEastAsia"/>
                <w:b w:val="0"/>
                <w:sz w:val="18"/>
                <w:szCs w:val="18"/>
                <w:lang w:eastAsia="en-US"/>
              </w:rPr>
              <w:t>Other o</w:t>
            </w:r>
            <w:r w:rsidRPr="00D76D7F">
              <w:rPr>
                <w:rFonts w:eastAsiaTheme="minorEastAsia"/>
                <w:b w:val="0"/>
                <w:sz w:val="18"/>
                <w:szCs w:val="18"/>
                <w:lang w:eastAsia="en-US"/>
              </w:rPr>
              <w:t>verseas internet gambling</w:t>
            </w:r>
            <w:r w:rsidRPr="00D76D7F">
              <w:rPr>
                <w:rFonts w:eastAsiaTheme="minorEastAsia"/>
                <w:b w:val="0"/>
                <w:sz w:val="18"/>
                <w:szCs w:val="18"/>
                <w:vertAlign w:val="superscript"/>
                <w:lang w:eastAsia="en-US"/>
              </w:rPr>
              <w:t>†</w:t>
            </w:r>
          </w:p>
        </w:tc>
        <w:tc>
          <w:tcPr>
            <w:tcW w:w="536" w:type="dxa"/>
            <w:tcBorders>
              <w:top w:val="nil"/>
              <w:left w:val="nil"/>
              <w:bottom w:val="nil"/>
              <w:right w:val="nil"/>
            </w:tcBorders>
            <w:shd w:val="clear" w:color="auto" w:fill="auto"/>
            <w:noWrap/>
            <w:vAlign w:val="center"/>
          </w:tcPr>
          <w:p w14:paraId="1D532F9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567" w:type="dxa"/>
            <w:tcBorders>
              <w:top w:val="nil"/>
              <w:left w:val="nil"/>
              <w:bottom w:val="nil"/>
              <w:right w:val="nil"/>
            </w:tcBorders>
            <w:shd w:val="clear" w:color="auto" w:fill="auto"/>
            <w:noWrap/>
            <w:vAlign w:val="center"/>
          </w:tcPr>
          <w:p w14:paraId="1B564D4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w:t>
            </w:r>
          </w:p>
        </w:tc>
        <w:tc>
          <w:tcPr>
            <w:tcW w:w="1146" w:type="dxa"/>
            <w:tcBorders>
              <w:top w:val="nil"/>
              <w:left w:val="nil"/>
              <w:bottom w:val="nil"/>
              <w:right w:val="single" w:sz="4" w:space="0" w:color="auto"/>
            </w:tcBorders>
            <w:shd w:val="clear" w:color="auto" w:fill="auto"/>
            <w:noWrap/>
            <w:vAlign w:val="center"/>
          </w:tcPr>
          <w:p w14:paraId="58DFCCA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nil"/>
              <w:left w:val="single" w:sz="4" w:space="0" w:color="auto"/>
              <w:bottom w:val="nil"/>
              <w:right w:val="nil"/>
            </w:tcBorders>
            <w:shd w:val="clear" w:color="auto" w:fill="auto"/>
            <w:noWrap/>
            <w:vAlign w:val="center"/>
          </w:tcPr>
          <w:p w14:paraId="1CBAE20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621" w:type="dxa"/>
            <w:tcBorders>
              <w:top w:val="nil"/>
              <w:left w:val="nil"/>
              <w:bottom w:val="nil"/>
              <w:right w:val="nil"/>
            </w:tcBorders>
            <w:shd w:val="clear" w:color="auto" w:fill="auto"/>
            <w:noWrap/>
            <w:vAlign w:val="center"/>
          </w:tcPr>
          <w:p w14:paraId="487F268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w:t>
            </w:r>
          </w:p>
        </w:tc>
        <w:tc>
          <w:tcPr>
            <w:tcW w:w="1146" w:type="dxa"/>
            <w:tcBorders>
              <w:top w:val="nil"/>
              <w:left w:val="nil"/>
              <w:bottom w:val="nil"/>
              <w:right w:val="single" w:sz="4" w:space="0" w:color="000000"/>
            </w:tcBorders>
            <w:shd w:val="clear" w:color="auto" w:fill="auto"/>
            <w:noWrap/>
            <w:vAlign w:val="center"/>
          </w:tcPr>
          <w:p w14:paraId="50F6C58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nil"/>
              <w:left w:val="single" w:sz="4" w:space="0" w:color="000000"/>
              <w:bottom w:val="nil"/>
              <w:right w:val="nil"/>
            </w:tcBorders>
            <w:shd w:val="clear" w:color="auto" w:fill="auto"/>
            <w:vAlign w:val="center"/>
          </w:tcPr>
          <w:p w14:paraId="2605229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567" w:type="dxa"/>
            <w:tcBorders>
              <w:top w:val="nil"/>
              <w:left w:val="nil"/>
              <w:bottom w:val="nil"/>
              <w:right w:val="nil"/>
            </w:tcBorders>
            <w:shd w:val="clear" w:color="auto" w:fill="auto"/>
            <w:vAlign w:val="center"/>
          </w:tcPr>
          <w:p w14:paraId="2E0BC99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w:t>
            </w:r>
          </w:p>
        </w:tc>
        <w:tc>
          <w:tcPr>
            <w:tcW w:w="1146" w:type="dxa"/>
            <w:tcBorders>
              <w:top w:val="nil"/>
              <w:left w:val="nil"/>
              <w:bottom w:val="nil"/>
              <w:right w:val="single" w:sz="4" w:space="0" w:color="000000"/>
            </w:tcBorders>
            <w:shd w:val="clear" w:color="auto" w:fill="auto"/>
            <w:vAlign w:val="center"/>
          </w:tcPr>
          <w:p w14:paraId="1540EF6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nil"/>
              <w:left w:val="single" w:sz="4" w:space="0" w:color="000000"/>
              <w:bottom w:val="nil"/>
              <w:right w:val="nil"/>
            </w:tcBorders>
            <w:shd w:val="clear" w:color="auto" w:fill="auto"/>
            <w:vAlign w:val="center"/>
          </w:tcPr>
          <w:p w14:paraId="772C5A6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576" w:type="dxa"/>
            <w:tcBorders>
              <w:top w:val="nil"/>
              <w:left w:val="nil"/>
              <w:bottom w:val="nil"/>
              <w:right w:val="nil"/>
            </w:tcBorders>
            <w:shd w:val="clear" w:color="auto" w:fill="auto"/>
            <w:vAlign w:val="center"/>
          </w:tcPr>
          <w:p w14:paraId="7B95903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w:t>
            </w:r>
          </w:p>
        </w:tc>
        <w:tc>
          <w:tcPr>
            <w:tcW w:w="1146" w:type="dxa"/>
            <w:tcBorders>
              <w:top w:val="nil"/>
              <w:left w:val="nil"/>
              <w:bottom w:val="nil"/>
              <w:right w:val="nil"/>
            </w:tcBorders>
            <w:shd w:val="clear" w:color="auto" w:fill="auto"/>
            <w:vAlign w:val="center"/>
          </w:tcPr>
          <w:p w14:paraId="33CA63A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118DA" w:rsidRPr="00D76D7F" w14:paraId="4EAC7DEA"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5EAFD0C0"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Other activities</w:t>
            </w:r>
          </w:p>
        </w:tc>
        <w:tc>
          <w:tcPr>
            <w:tcW w:w="536" w:type="dxa"/>
            <w:tcBorders>
              <w:top w:val="nil"/>
              <w:left w:val="nil"/>
              <w:bottom w:val="nil"/>
              <w:right w:val="nil"/>
            </w:tcBorders>
            <w:shd w:val="clear" w:color="auto" w:fill="auto"/>
            <w:noWrap/>
            <w:vAlign w:val="center"/>
          </w:tcPr>
          <w:p w14:paraId="19E8316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w:t>
            </w:r>
          </w:p>
        </w:tc>
        <w:tc>
          <w:tcPr>
            <w:tcW w:w="567" w:type="dxa"/>
            <w:tcBorders>
              <w:top w:val="nil"/>
              <w:left w:val="nil"/>
              <w:bottom w:val="nil"/>
              <w:right w:val="nil"/>
            </w:tcBorders>
            <w:shd w:val="clear" w:color="auto" w:fill="auto"/>
            <w:noWrap/>
            <w:vAlign w:val="center"/>
          </w:tcPr>
          <w:p w14:paraId="7BBB826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0.4</w:t>
            </w:r>
          </w:p>
        </w:tc>
        <w:tc>
          <w:tcPr>
            <w:tcW w:w="1146" w:type="dxa"/>
            <w:tcBorders>
              <w:top w:val="nil"/>
              <w:left w:val="nil"/>
              <w:bottom w:val="nil"/>
              <w:right w:val="single" w:sz="4" w:space="0" w:color="auto"/>
            </w:tcBorders>
            <w:shd w:val="clear" w:color="auto" w:fill="auto"/>
            <w:noWrap/>
            <w:vAlign w:val="center"/>
          </w:tcPr>
          <w:p w14:paraId="638752C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auto"/>
              <w:bottom w:val="nil"/>
              <w:right w:val="nil"/>
            </w:tcBorders>
            <w:shd w:val="clear" w:color="auto" w:fill="auto"/>
            <w:noWrap/>
            <w:vAlign w:val="center"/>
          </w:tcPr>
          <w:p w14:paraId="5980A67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w:t>
            </w:r>
          </w:p>
        </w:tc>
        <w:tc>
          <w:tcPr>
            <w:tcW w:w="621" w:type="dxa"/>
            <w:tcBorders>
              <w:top w:val="nil"/>
              <w:left w:val="nil"/>
              <w:bottom w:val="nil"/>
              <w:right w:val="nil"/>
            </w:tcBorders>
            <w:shd w:val="clear" w:color="auto" w:fill="auto"/>
            <w:noWrap/>
            <w:vAlign w:val="center"/>
          </w:tcPr>
          <w:p w14:paraId="377FFAB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0.3</w:t>
            </w:r>
          </w:p>
        </w:tc>
        <w:tc>
          <w:tcPr>
            <w:tcW w:w="1146" w:type="dxa"/>
            <w:tcBorders>
              <w:top w:val="nil"/>
              <w:left w:val="nil"/>
              <w:bottom w:val="nil"/>
              <w:right w:val="single" w:sz="4" w:space="0" w:color="000000"/>
            </w:tcBorders>
            <w:shd w:val="clear" w:color="auto" w:fill="auto"/>
            <w:noWrap/>
            <w:vAlign w:val="center"/>
          </w:tcPr>
          <w:p w14:paraId="43C1977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auto"/>
            <w:vAlign w:val="center"/>
          </w:tcPr>
          <w:p w14:paraId="74DBB1E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w:t>
            </w:r>
          </w:p>
        </w:tc>
        <w:tc>
          <w:tcPr>
            <w:tcW w:w="567" w:type="dxa"/>
            <w:tcBorders>
              <w:top w:val="nil"/>
              <w:left w:val="nil"/>
              <w:bottom w:val="nil"/>
              <w:right w:val="nil"/>
            </w:tcBorders>
            <w:shd w:val="clear" w:color="auto" w:fill="auto"/>
            <w:vAlign w:val="center"/>
          </w:tcPr>
          <w:p w14:paraId="2B44BB5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0.3</w:t>
            </w:r>
          </w:p>
        </w:tc>
        <w:tc>
          <w:tcPr>
            <w:tcW w:w="1146" w:type="dxa"/>
            <w:tcBorders>
              <w:top w:val="nil"/>
              <w:left w:val="nil"/>
              <w:bottom w:val="nil"/>
              <w:right w:val="single" w:sz="4" w:space="0" w:color="000000"/>
            </w:tcBorders>
            <w:shd w:val="clear" w:color="auto" w:fill="auto"/>
            <w:vAlign w:val="center"/>
          </w:tcPr>
          <w:p w14:paraId="06D2E88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auto"/>
            <w:vAlign w:val="center"/>
          </w:tcPr>
          <w:p w14:paraId="642F04D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w:t>
            </w:r>
          </w:p>
        </w:tc>
        <w:tc>
          <w:tcPr>
            <w:tcW w:w="576" w:type="dxa"/>
            <w:tcBorders>
              <w:top w:val="nil"/>
              <w:left w:val="nil"/>
              <w:bottom w:val="nil"/>
              <w:right w:val="nil"/>
            </w:tcBorders>
            <w:shd w:val="clear" w:color="auto" w:fill="auto"/>
            <w:vAlign w:val="center"/>
          </w:tcPr>
          <w:p w14:paraId="7AD993B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w:t>
            </w:r>
          </w:p>
        </w:tc>
        <w:tc>
          <w:tcPr>
            <w:tcW w:w="1146" w:type="dxa"/>
            <w:tcBorders>
              <w:top w:val="nil"/>
              <w:left w:val="nil"/>
              <w:bottom w:val="nil"/>
              <w:right w:val="nil"/>
            </w:tcBorders>
            <w:shd w:val="clear" w:color="auto" w:fill="auto"/>
            <w:vAlign w:val="center"/>
          </w:tcPr>
          <w:p w14:paraId="08054EC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(0.0, 2.1)</w:t>
            </w:r>
          </w:p>
        </w:tc>
      </w:tr>
      <w:tr w:rsidR="009118DA" w:rsidRPr="00D76D7F" w14:paraId="38FE46A5"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4A674E60"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No preference</w:t>
            </w:r>
          </w:p>
        </w:tc>
        <w:tc>
          <w:tcPr>
            <w:tcW w:w="536" w:type="dxa"/>
            <w:tcBorders>
              <w:top w:val="nil"/>
              <w:left w:val="nil"/>
              <w:bottom w:val="nil"/>
              <w:right w:val="nil"/>
            </w:tcBorders>
            <w:shd w:val="clear" w:color="auto" w:fill="auto"/>
            <w:noWrap/>
            <w:vAlign w:val="center"/>
          </w:tcPr>
          <w:p w14:paraId="7836A6F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21</w:t>
            </w:r>
          </w:p>
        </w:tc>
        <w:tc>
          <w:tcPr>
            <w:tcW w:w="567" w:type="dxa"/>
            <w:tcBorders>
              <w:top w:val="nil"/>
              <w:left w:val="nil"/>
              <w:bottom w:val="nil"/>
              <w:right w:val="nil"/>
            </w:tcBorders>
            <w:shd w:val="clear" w:color="auto" w:fill="auto"/>
            <w:noWrap/>
            <w:vAlign w:val="center"/>
          </w:tcPr>
          <w:p w14:paraId="63AF653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3.3</w:t>
            </w:r>
          </w:p>
        </w:tc>
        <w:tc>
          <w:tcPr>
            <w:tcW w:w="1146" w:type="dxa"/>
            <w:tcBorders>
              <w:top w:val="nil"/>
              <w:left w:val="nil"/>
              <w:bottom w:val="nil"/>
              <w:right w:val="single" w:sz="4" w:space="0" w:color="auto"/>
            </w:tcBorders>
            <w:shd w:val="clear" w:color="auto" w:fill="auto"/>
            <w:noWrap/>
            <w:vAlign w:val="center"/>
          </w:tcPr>
          <w:p w14:paraId="5ACB880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(2.1, 4.6)</w:t>
            </w:r>
          </w:p>
        </w:tc>
        <w:tc>
          <w:tcPr>
            <w:tcW w:w="536" w:type="dxa"/>
            <w:tcBorders>
              <w:top w:val="nil"/>
              <w:left w:val="single" w:sz="4" w:space="0" w:color="auto"/>
              <w:bottom w:val="nil"/>
              <w:right w:val="nil"/>
            </w:tcBorders>
            <w:shd w:val="clear" w:color="auto" w:fill="auto"/>
            <w:noWrap/>
            <w:vAlign w:val="center"/>
          </w:tcPr>
          <w:p w14:paraId="4D2EA7E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w:t>
            </w:r>
          </w:p>
        </w:tc>
        <w:tc>
          <w:tcPr>
            <w:tcW w:w="621" w:type="dxa"/>
            <w:tcBorders>
              <w:top w:val="nil"/>
              <w:left w:val="nil"/>
              <w:bottom w:val="nil"/>
              <w:right w:val="nil"/>
            </w:tcBorders>
            <w:shd w:val="clear" w:color="auto" w:fill="auto"/>
            <w:noWrap/>
            <w:vAlign w:val="center"/>
          </w:tcPr>
          <w:p w14:paraId="11ECDCB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4.7</w:t>
            </w:r>
          </w:p>
        </w:tc>
        <w:tc>
          <w:tcPr>
            <w:tcW w:w="1146" w:type="dxa"/>
            <w:tcBorders>
              <w:top w:val="nil"/>
              <w:left w:val="nil"/>
              <w:bottom w:val="nil"/>
              <w:right w:val="single" w:sz="4" w:space="0" w:color="000000"/>
            </w:tcBorders>
            <w:shd w:val="clear" w:color="auto" w:fill="auto"/>
            <w:noWrap/>
            <w:vAlign w:val="center"/>
          </w:tcPr>
          <w:p w14:paraId="46DCBD2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(2.6, 6.7)</w:t>
            </w:r>
          </w:p>
        </w:tc>
        <w:tc>
          <w:tcPr>
            <w:tcW w:w="536" w:type="dxa"/>
            <w:tcBorders>
              <w:top w:val="nil"/>
              <w:left w:val="single" w:sz="4" w:space="0" w:color="000000"/>
              <w:bottom w:val="nil"/>
              <w:right w:val="nil"/>
            </w:tcBorders>
            <w:shd w:val="clear" w:color="auto" w:fill="auto"/>
            <w:vAlign w:val="center"/>
          </w:tcPr>
          <w:p w14:paraId="1D51B5D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w:t>
            </w:r>
          </w:p>
        </w:tc>
        <w:tc>
          <w:tcPr>
            <w:tcW w:w="567" w:type="dxa"/>
            <w:tcBorders>
              <w:top w:val="nil"/>
              <w:left w:val="nil"/>
              <w:bottom w:val="nil"/>
              <w:right w:val="nil"/>
            </w:tcBorders>
            <w:shd w:val="clear" w:color="auto" w:fill="auto"/>
            <w:vAlign w:val="center"/>
          </w:tcPr>
          <w:p w14:paraId="62B910A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4.2</w:t>
            </w:r>
          </w:p>
        </w:tc>
        <w:tc>
          <w:tcPr>
            <w:tcW w:w="1146" w:type="dxa"/>
            <w:tcBorders>
              <w:top w:val="nil"/>
              <w:left w:val="nil"/>
              <w:bottom w:val="nil"/>
              <w:right w:val="single" w:sz="4" w:space="0" w:color="000000"/>
            </w:tcBorders>
            <w:shd w:val="clear" w:color="auto" w:fill="auto"/>
            <w:vAlign w:val="center"/>
          </w:tcPr>
          <w:p w14:paraId="70C0CEE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(2.1, 6.3)</w:t>
            </w:r>
          </w:p>
        </w:tc>
        <w:tc>
          <w:tcPr>
            <w:tcW w:w="536" w:type="dxa"/>
            <w:tcBorders>
              <w:top w:val="nil"/>
              <w:left w:val="single" w:sz="4" w:space="0" w:color="000000"/>
              <w:bottom w:val="nil"/>
              <w:right w:val="nil"/>
            </w:tcBorders>
            <w:shd w:val="clear" w:color="auto" w:fill="auto"/>
            <w:vAlign w:val="center"/>
          </w:tcPr>
          <w:p w14:paraId="2FCF486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w:t>
            </w:r>
          </w:p>
        </w:tc>
        <w:tc>
          <w:tcPr>
            <w:tcW w:w="576" w:type="dxa"/>
            <w:tcBorders>
              <w:top w:val="nil"/>
              <w:left w:val="nil"/>
              <w:bottom w:val="nil"/>
              <w:right w:val="nil"/>
            </w:tcBorders>
            <w:shd w:val="clear" w:color="auto" w:fill="auto"/>
            <w:vAlign w:val="center"/>
          </w:tcPr>
          <w:p w14:paraId="3E190C8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2.7</w:t>
            </w:r>
          </w:p>
        </w:tc>
        <w:tc>
          <w:tcPr>
            <w:tcW w:w="1146" w:type="dxa"/>
            <w:tcBorders>
              <w:top w:val="nil"/>
              <w:left w:val="nil"/>
              <w:bottom w:val="nil"/>
              <w:right w:val="nil"/>
            </w:tcBorders>
            <w:shd w:val="clear" w:color="auto" w:fill="auto"/>
            <w:vAlign w:val="center"/>
          </w:tcPr>
          <w:p w14:paraId="6203707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(0.9, 4.5)</w:t>
            </w:r>
          </w:p>
        </w:tc>
      </w:tr>
      <w:tr w:rsidR="009118DA" w:rsidRPr="00D76D7F" w14:paraId="7D751410"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shd w:val="clear" w:color="auto" w:fill="auto"/>
          </w:tcPr>
          <w:p w14:paraId="0DE8F160" w14:textId="77777777" w:rsidR="003D7BB5" w:rsidRPr="00D76D7F" w:rsidRDefault="003D7BB5" w:rsidP="00DD0F28">
            <w:pPr>
              <w:spacing w:before="20" w:after="20"/>
              <w:ind w:left="176"/>
              <w:rPr>
                <w:rFonts w:eastAsiaTheme="minorEastAsia"/>
                <w:b w:val="0"/>
                <w:sz w:val="18"/>
                <w:szCs w:val="18"/>
                <w:lang w:eastAsia="en-US"/>
              </w:rPr>
            </w:pPr>
            <w:r>
              <w:rPr>
                <w:rFonts w:eastAsiaTheme="minorEastAsia"/>
                <w:b w:val="0"/>
                <w:sz w:val="18"/>
                <w:szCs w:val="18"/>
                <w:lang w:eastAsia="en-US"/>
              </w:rPr>
              <w:t>Did not respond</w:t>
            </w:r>
          </w:p>
        </w:tc>
        <w:tc>
          <w:tcPr>
            <w:tcW w:w="536" w:type="dxa"/>
            <w:tcBorders>
              <w:top w:val="nil"/>
              <w:left w:val="nil"/>
              <w:bottom w:val="nil"/>
              <w:right w:val="nil"/>
            </w:tcBorders>
            <w:shd w:val="clear" w:color="auto" w:fill="auto"/>
            <w:noWrap/>
            <w:vAlign w:val="center"/>
          </w:tcPr>
          <w:p w14:paraId="3C80A3A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88</w:t>
            </w:r>
          </w:p>
        </w:tc>
        <w:tc>
          <w:tcPr>
            <w:tcW w:w="567" w:type="dxa"/>
            <w:tcBorders>
              <w:top w:val="nil"/>
              <w:left w:val="nil"/>
              <w:bottom w:val="nil"/>
              <w:right w:val="nil"/>
            </w:tcBorders>
            <w:shd w:val="clear" w:color="auto" w:fill="auto"/>
            <w:noWrap/>
            <w:vAlign w:val="center"/>
          </w:tcPr>
          <w:p w14:paraId="2E1304D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13.9</w:t>
            </w:r>
          </w:p>
        </w:tc>
        <w:tc>
          <w:tcPr>
            <w:tcW w:w="1146" w:type="dxa"/>
            <w:tcBorders>
              <w:top w:val="nil"/>
              <w:left w:val="nil"/>
              <w:bottom w:val="nil"/>
              <w:right w:val="single" w:sz="4" w:space="0" w:color="auto"/>
            </w:tcBorders>
            <w:shd w:val="clear" w:color="auto" w:fill="auto"/>
            <w:noWrap/>
            <w:vAlign w:val="center"/>
          </w:tcPr>
          <w:p w14:paraId="2AADE81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(11.3, 16.5)</w:t>
            </w:r>
          </w:p>
        </w:tc>
        <w:tc>
          <w:tcPr>
            <w:tcW w:w="536" w:type="dxa"/>
            <w:tcBorders>
              <w:top w:val="nil"/>
              <w:left w:val="single" w:sz="4" w:space="0" w:color="auto"/>
              <w:bottom w:val="nil"/>
              <w:right w:val="nil"/>
            </w:tcBorders>
            <w:shd w:val="clear" w:color="auto" w:fill="auto"/>
            <w:noWrap/>
            <w:vAlign w:val="center"/>
          </w:tcPr>
          <w:p w14:paraId="6CADFD2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44</w:t>
            </w:r>
          </w:p>
        </w:tc>
        <w:tc>
          <w:tcPr>
            <w:tcW w:w="621" w:type="dxa"/>
            <w:tcBorders>
              <w:top w:val="nil"/>
              <w:left w:val="nil"/>
              <w:bottom w:val="nil"/>
              <w:right w:val="nil"/>
            </w:tcBorders>
            <w:shd w:val="clear" w:color="auto" w:fill="auto"/>
            <w:noWrap/>
            <w:vAlign w:val="center"/>
          </w:tcPr>
          <w:p w14:paraId="69D63EA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12.1</w:t>
            </w:r>
          </w:p>
        </w:tc>
        <w:tc>
          <w:tcPr>
            <w:tcW w:w="1146" w:type="dxa"/>
            <w:tcBorders>
              <w:top w:val="nil"/>
              <w:left w:val="nil"/>
              <w:bottom w:val="nil"/>
              <w:right w:val="single" w:sz="4" w:space="0" w:color="000000"/>
            </w:tcBorders>
            <w:shd w:val="clear" w:color="auto" w:fill="auto"/>
            <w:noWrap/>
            <w:vAlign w:val="center"/>
          </w:tcPr>
          <w:p w14:paraId="5B2E530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(8.8, 15.3)</w:t>
            </w:r>
          </w:p>
        </w:tc>
        <w:tc>
          <w:tcPr>
            <w:tcW w:w="536" w:type="dxa"/>
            <w:tcBorders>
              <w:top w:val="nil"/>
              <w:left w:val="single" w:sz="4" w:space="0" w:color="000000"/>
              <w:bottom w:val="nil"/>
              <w:right w:val="nil"/>
            </w:tcBorders>
            <w:shd w:val="clear" w:color="auto" w:fill="auto"/>
            <w:vAlign w:val="center"/>
          </w:tcPr>
          <w:p w14:paraId="1B33FC8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46</w:t>
            </w:r>
          </w:p>
        </w:tc>
        <w:tc>
          <w:tcPr>
            <w:tcW w:w="567" w:type="dxa"/>
            <w:tcBorders>
              <w:top w:val="nil"/>
              <w:left w:val="nil"/>
              <w:bottom w:val="nil"/>
              <w:right w:val="nil"/>
            </w:tcBorders>
            <w:shd w:val="clear" w:color="auto" w:fill="auto"/>
            <w:vAlign w:val="center"/>
          </w:tcPr>
          <w:p w14:paraId="346B775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14.8</w:t>
            </w:r>
          </w:p>
        </w:tc>
        <w:tc>
          <w:tcPr>
            <w:tcW w:w="1146" w:type="dxa"/>
            <w:tcBorders>
              <w:top w:val="nil"/>
              <w:left w:val="nil"/>
              <w:bottom w:val="nil"/>
              <w:right w:val="single" w:sz="4" w:space="0" w:color="000000"/>
            </w:tcBorders>
            <w:shd w:val="clear" w:color="auto" w:fill="auto"/>
            <w:vAlign w:val="center"/>
          </w:tcPr>
          <w:p w14:paraId="19CF576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(10.5, 19.2)</w:t>
            </w:r>
          </w:p>
        </w:tc>
        <w:tc>
          <w:tcPr>
            <w:tcW w:w="536" w:type="dxa"/>
            <w:tcBorders>
              <w:top w:val="nil"/>
              <w:left w:val="single" w:sz="4" w:space="0" w:color="000000"/>
              <w:bottom w:val="nil"/>
              <w:right w:val="nil"/>
            </w:tcBorders>
            <w:shd w:val="clear" w:color="auto" w:fill="auto"/>
            <w:vAlign w:val="center"/>
          </w:tcPr>
          <w:p w14:paraId="425990E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45</w:t>
            </w:r>
          </w:p>
        </w:tc>
        <w:tc>
          <w:tcPr>
            <w:tcW w:w="576" w:type="dxa"/>
            <w:tcBorders>
              <w:top w:val="nil"/>
              <w:left w:val="nil"/>
              <w:bottom w:val="nil"/>
              <w:right w:val="nil"/>
            </w:tcBorders>
            <w:shd w:val="clear" w:color="auto" w:fill="auto"/>
            <w:vAlign w:val="center"/>
          </w:tcPr>
          <w:p w14:paraId="01185FB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16.0</w:t>
            </w:r>
          </w:p>
        </w:tc>
        <w:tc>
          <w:tcPr>
            <w:tcW w:w="1146" w:type="dxa"/>
            <w:tcBorders>
              <w:top w:val="nil"/>
              <w:left w:val="nil"/>
              <w:bottom w:val="nil"/>
              <w:right w:val="nil"/>
            </w:tcBorders>
            <w:shd w:val="clear" w:color="auto" w:fill="auto"/>
            <w:vAlign w:val="center"/>
          </w:tcPr>
          <w:p w14:paraId="1F1B82C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(10.8, 21.3)</w:t>
            </w:r>
          </w:p>
        </w:tc>
      </w:tr>
      <w:tr w:rsidR="009118DA" w:rsidRPr="00D76D7F" w14:paraId="47820BF7"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single" w:sz="4" w:space="0" w:color="auto"/>
              <w:right w:val="nil"/>
            </w:tcBorders>
            <w:shd w:val="clear" w:color="auto" w:fill="auto"/>
          </w:tcPr>
          <w:p w14:paraId="0F8F9440"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Refused/Don’t know</w:t>
            </w:r>
          </w:p>
        </w:tc>
        <w:tc>
          <w:tcPr>
            <w:tcW w:w="536" w:type="dxa"/>
            <w:tcBorders>
              <w:top w:val="nil"/>
              <w:left w:val="nil"/>
              <w:bottom w:val="single" w:sz="4" w:space="0" w:color="auto"/>
              <w:right w:val="nil"/>
            </w:tcBorders>
            <w:shd w:val="clear" w:color="auto" w:fill="auto"/>
            <w:noWrap/>
            <w:vAlign w:val="center"/>
          </w:tcPr>
          <w:p w14:paraId="123722C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w:t>
            </w:r>
          </w:p>
        </w:tc>
        <w:tc>
          <w:tcPr>
            <w:tcW w:w="567" w:type="dxa"/>
            <w:tcBorders>
              <w:top w:val="nil"/>
              <w:left w:val="nil"/>
              <w:bottom w:val="single" w:sz="4" w:space="0" w:color="auto"/>
              <w:right w:val="nil"/>
            </w:tcBorders>
            <w:shd w:val="clear" w:color="auto" w:fill="auto"/>
            <w:noWrap/>
            <w:vAlign w:val="center"/>
          </w:tcPr>
          <w:p w14:paraId="683F249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0.3</w:t>
            </w:r>
          </w:p>
        </w:tc>
        <w:tc>
          <w:tcPr>
            <w:tcW w:w="1146" w:type="dxa"/>
            <w:tcBorders>
              <w:top w:val="nil"/>
              <w:left w:val="nil"/>
              <w:bottom w:val="single" w:sz="4" w:space="0" w:color="auto"/>
              <w:right w:val="single" w:sz="4" w:space="0" w:color="auto"/>
            </w:tcBorders>
            <w:shd w:val="clear" w:color="auto" w:fill="auto"/>
            <w:noWrap/>
            <w:vAlign w:val="center"/>
          </w:tcPr>
          <w:p w14:paraId="596B499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auto"/>
              <w:bottom w:val="single" w:sz="4" w:space="0" w:color="auto"/>
              <w:right w:val="nil"/>
            </w:tcBorders>
            <w:shd w:val="clear" w:color="auto" w:fill="auto"/>
            <w:noWrap/>
            <w:vAlign w:val="center"/>
          </w:tcPr>
          <w:p w14:paraId="03F3CB9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w:t>
            </w:r>
          </w:p>
        </w:tc>
        <w:tc>
          <w:tcPr>
            <w:tcW w:w="621" w:type="dxa"/>
            <w:tcBorders>
              <w:top w:val="nil"/>
              <w:left w:val="nil"/>
              <w:bottom w:val="single" w:sz="4" w:space="0" w:color="auto"/>
              <w:right w:val="nil"/>
            </w:tcBorders>
            <w:shd w:val="clear" w:color="auto" w:fill="auto"/>
            <w:noWrap/>
            <w:vAlign w:val="center"/>
          </w:tcPr>
          <w:p w14:paraId="3AD5A17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0.5</w:t>
            </w:r>
          </w:p>
        </w:tc>
        <w:tc>
          <w:tcPr>
            <w:tcW w:w="1146" w:type="dxa"/>
            <w:tcBorders>
              <w:top w:val="nil"/>
              <w:left w:val="nil"/>
              <w:bottom w:val="single" w:sz="4" w:space="0" w:color="auto"/>
              <w:right w:val="single" w:sz="4" w:space="0" w:color="000000"/>
            </w:tcBorders>
            <w:shd w:val="clear" w:color="auto" w:fill="auto"/>
            <w:noWrap/>
            <w:vAlign w:val="center"/>
          </w:tcPr>
          <w:p w14:paraId="309F3A2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single" w:sz="4" w:space="0" w:color="auto"/>
              <w:right w:val="nil"/>
            </w:tcBorders>
            <w:shd w:val="clear" w:color="auto" w:fill="auto"/>
            <w:vAlign w:val="center"/>
          </w:tcPr>
          <w:p w14:paraId="6785C1C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567" w:type="dxa"/>
            <w:tcBorders>
              <w:top w:val="nil"/>
              <w:left w:val="nil"/>
              <w:bottom w:val="single" w:sz="4" w:space="0" w:color="auto"/>
              <w:right w:val="nil"/>
            </w:tcBorders>
            <w:shd w:val="clear" w:color="auto" w:fill="auto"/>
            <w:vAlign w:val="center"/>
          </w:tcPr>
          <w:p w14:paraId="1168D00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w:t>
            </w:r>
          </w:p>
        </w:tc>
        <w:tc>
          <w:tcPr>
            <w:tcW w:w="1146" w:type="dxa"/>
            <w:tcBorders>
              <w:top w:val="nil"/>
              <w:left w:val="nil"/>
              <w:bottom w:val="single" w:sz="4" w:space="0" w:color="auto"/>
              <w:right w:val="single" w:sz="4" w:space="0" w:color="000000"/>
            </w:tcBorders>
            <w:shd w:val="clear" w:color="auto" w:fill="auto"/>
            <w:vAlign w:val="center"/>
          </w:tcPr>
          <w:p w14:paraId="7D02893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nil"/>
              <w:left w:val="single" w:sz="4" w:space="0" w:color="000000"/>
              <w:bottom w:val="single" w:sz="4" w:space="0" w:color="auto"/>
              <w:right w:val="nil"/>
            </w:tcBorders>
            <w:shd w:val="clear" w:color="auto" w:fill="auto"/>
            <w:vAlign w:val="center"/>
          </w:tcPr>
          <w:p w14:paraId="655704E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w:t>
            </w:r>
          </w:p>
        </w:tc>
        <w:tc>
          <w:tcPr>
            <w:tcW w:w="576" w:type="dxa"/>
            <w:tcBorders>
              <w:top w:val="nil"/>
              <w:left w:val="nil"/>
              <w:bottom w:val="single" w:sz="4" w:space="0" w:color="auto"/>
              <w:right w:val="nil"/>
            </w:tcBorders>
            <w:shd w:val="clear" w:color="auto" w:fill="auto"/>
            <w:vAlign w:val="center"/>
          </w:tcPr>
          <w:p w14:paraId="566410E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0.5</w:t>
            </w:r>
          </w:p>
        </w:tc>
        <w:tc>
          <w:tcPr>
            <w:tcW w:w="1146" w:type="dxa"/>
            <w:tcBorders>
              <w:top w:val="nil"/>
              <w:left w:val="nil"/>
              <w:bottom w:val="single" w:sz="4" w:space="0" w:color="auto"/>
              <w:right w:val="nil"/>
            </w:tcBorders>
            <w:shd w:val="clear" w:color="auto" w:fill="auto"/>
            <w:vAlign w:val="center"/>
          </w:tcPr>
          <w:p w14:paraId="57EA030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D76D7F" w14:paraId="67D1E405"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single" w:sz="4" w:space="0" w:color="auto"/>
              <w:left w:val="nil"/>
              <w:bottom w:val="nil"/>
              <w:right w:val="nil"/>
            </w:tcBorders>
            <w:shd w:val="clear" w:color="auto" w:fill="auto"/>
          </w:tcPr>
          <w:p w14:paraId="6311CAF6" w14:textId="77777777" w:rsidR="003D7BB5" w:rsidRPr="00D76D7F" w:rsidRDefault="003D7BB5" w:rsidP="00DD0F28">
            <w:pPr>
              <w:keepNext/>
              <w:spacing w:before="20" w:after="20"/>
              <w:rPr>
                <w:rFonts w:eastAsiaTheme="minorEastAsia"/>
                <w:sz w:val="18"/>
                <w:szCs w:val="18"/>
                <w:lang w:eastAsia="en-US"/>
              </w:rPr>
            </w:pPr>
            <w:r w:rsidRPr="00D76D7F">
              <w:rPr>
                <w:rFonts w:eastAsiaTheme="minorEastAsia"/>
                <w:sz w:val="18"/>
                <w:szCs w:val="18"/>
                <w:lang w:eastAsia="en-US"/>
              </w:rPr>
              <w:t>Who gambled with</w:t>
            </w:r>
          </w:p>
        </w:tc>
        <w:tc>
          <w:tcPr>
            <w:tcW w:w="536" w:type="dxa"/>
            <w:tcBorders>
              <w:top w:val="single" w:sz="4" w:space="0" w:color="auto"/>
              <w:left w:val="nil"/>
              <w:bottom w:val="nil"/>
              <w:right w:val="nil"/>
            </w:tcBorders>
            <w:shd w:val="clear" w:color="auto" w:fill="auto"/>
            <w:noWrap/>
            <w:vAlign w:val="center"/>
          </w:tcPr>
          <w:p w14:paraId="3CA41D1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single" w:sz="4" w:space="0" w:color="auto"/>
              <w:left w:val="nil"/>
              <w:bottom w:val="nil"/>
              <w:right w:val="nil"/>
            </w:tcBorders>
            <w:shd w:val="clear" w:color="auto" w:fill="auto"/>
            <w:noWrap/>
            <w:vAlign w:val="center"/>
          </w:tcPr>
          <w:p w14:paraId="7EFD513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single" w:sz="4" w:space="0" w:color="auto"/>
              <w:left w:val="nil"/>
              <w:bottom w:val="nil"/>
              <w:right w:val="single" w:sz="4" w:space="0" w:color="auto"/>
            </w:tcBorders>
            <w:shd w:val="clear" w:color="auto" w:fill="auto"/>
            <w:noWrap/>
            <w:vAlign w:val="center"/>
          </w:tcPr>
          <w:p w14:paraId="5720FAC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single" w:sz="4" w:space="0" w:color="auto"/>
              <w:left w:val="single" w:sz="4" w:space="0" w:color="auto"/>
              <w:bottom w:val="nil"/>
              <w:right w:val="nil"/>
            </w:tcBorders>
            <w:shd w:val="clear" w:color="auto" w:fill="auto"/>
            <w:noWrap/>
            <w:vAlign w:val="center"/>
          </w:tcPr>
          <w:p w14:paraId="27426C4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621" w:type="dxa"/>
            <w:tcBorders>
              <w:top w:val="single" w:sz="4" w:space="0" w:color="auto"/>
              <w:left w:val="nil"/>
              <w:bottom w:val="nil"/>
              <w:right w:val="nil"/>
            </w:tcBorders>
            <w:shd w:val="clear" w:color="auto" w:fill="auto"/>
            <w:noWrap/>
            <w:vAlign w:val="center"/>
          </w:tcPr>
          <w:p w14:paraId="3A3FD50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single" w:sz="4" w:space="0" w:color="auto"/>
              <w:left w:val="nil"/>
              <w:bottom w:val="nil"/>
              <w:right w:val="single" w:sz="4" w:space="0" w:color="000000"/>
            </w:tcBorders>
            <w:shd w:val="clear" w:color="auto" w:fill="auto"/>
            <w:noWrap/>
            <w:vAlign w:val="center"/>
          </w:tcPr>
          <w:p w14:paraId="3DDC381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single" w:sz="4" w:space="0" w:color="auto"/>
              <w:left w:val="single" w:sz="4" w:space="0" w:color="000000"/>
              <w:bottom w:val="nil"/>
              <w:right w:val="nil"/>
            </w:tcBorders>
            <w:shd w:val="clear" w:color="auto" w:fill="auto"/>
            <w:vAlign w:val="center"/>
          </w:tcPr>
          <w:p w14:paraId="4460E6A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67" w:type="dxa"/>
            <w:tcBorders>
              <w:top w:val="single" w:sz="4" w:space="0" w:color="auto"/>
              <w:left w:val="nil"/>
              <w:bottom w:val="nil"/>
              <w:right w:val="nil"/>
            </w:tcBorders>
            <w:shd w:val="clear" w:color="auto" w:fill="auto"/>
            <w:vAlign w:val="center"/>
          </w:tcPr>
          <w:p w14:paraId="547D911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single" w:sz="4" w:space="0" w:color="auto"/>
              <w:left w:val="nil"/>
              <w:bottom w:val="nil"/>
              <w:right w:val="single" w:sz="4" w:space="0" w:color="000000"/>
            </w:tcBorders>
            <w:shd w:val="clear" w:color="auto" w:fill="auto"/>
            <w:vAlign w:val="center"/>
          </w:tcPr>
          <w:p w14:paraId="70354726"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single" w:sz="4" w:space="0" w:color="auto"/>
              <w:left w:val="single" w:sz="4" w:space="0" w:color="000000"/>
              <w:bottom w:val="nil"/>
              <w:right w:val="nil"/>
            </w:tcBorders>
            <w:shd w:val="clear" w:color="auto" w:fill="auto"/>
            <w:vAlign w:val="center"/>
          </w:tcPr>
          <w:p w14:paraId="46F7646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6" w:type="dxa"/>
            <w:tcBorders>
              <w:top w:val="single" w:sz="4" w:space="0" w:color="auto"/>
              <w:left w:val="nil"/>
              <w:bottom w:val="nil"/>
              <w:right w:val="nil"/>
            </w:tcBorders>
            <w:shd w:val="clear" w:color="auto" w:fill="auto"/>
            <w:vAlign w:val="center"/>
          </w:tcPr>
          <w:p w14:paraId="1BD4B1E5"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single" w:sz="4" w:space="0" w:color="auto"/>
              <w:left w:val="nil"/>
              <w:bottom w:val="nil"/>
              <w:right w:val="nil"/>
            </w:tcBorders>
            <w:shd w:val="clear" w:color="auto" w:fill="auto"/>
            <w:vAlign w:val="center"/>
          </w:tcPr>
          <w:p w14:paraId="49B9612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D76D7F" w14:paraId="28B792E2"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tcPr>
          <w:p w14:paraId="7A258A80" w14:textId="77777777" w:rsidR="003D7BB5" w:rsidRPr="00D76D7F" w:rsidRDefault="003D7BB5" w:rsidP="00DD0F28">
            <w:pPr>
              <w:keepNext/>
              <w:spacing w:before="20" w:after="20"/>
              <w:ind w:left="176"/>
              <w:rPr>
                <w:rFonts w:eastAsiaTheme="minorEastAsia"/>
                <w:b w:val="0"/>
                <w:sz w:val="18"/>
                <w:szCs w:val="18"/>
                <w:lang w:eastAsia="en-US"/>
              </w:rPr>
            </w:pPr>
            <w:r w:rsidRPr="00D76D7F">
              <w:rPr>
                <w:rFonts w:eastAsiaTheme="minorEastAsia"/>
                <w:b w:val="0"/>
                <w:sz w:val="18"/>
                <w:szCs w:val="18"/>
                <w:lang w:eastAsia="en-US"/>
              </w:rPr>
              <w:t>Alone</w:t>
            </w:r>
          </w:p>
        </w:tc>
        <w:tc>
          <w:tcPr>
            <w:tcW w:w="536" w:type="dxa"/>
            <w:tcBorders>
              <w:top w:val="nil"/>
              <w:left w:val="nil"/>
              <w:bottom w:val="nil"/>
              <w:right w:val="nil"/>
            </w:tcBorders>
            <w:noWrap/>
            <w:vAlign w:val="center"/>
          </w:tcPr>
          <w:p w14:paraId="0D3F45E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137</w:t>
            </w:r>
          </w:p>
        </w:tc>
        <w:tc>
          <w:tcPr>
            <w:tcW w:w="567" w:type="dxa"/>
            <w:tcBorders>
              <w:top w:val="nil"/>
              <w:left w:val="nil"/>
              <w:bottom w:val="nil"/>
              <w:right w:val="nil"/>
            </w:tcBorders>
            <w:noWrap/>
            <w:vAlign w:val="center"/>
          </w:tcPr>
          <w:p w14:paraId="4F69EDC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50.3</w:t>
            </w:r>
          </w:p>
        </w:tc>
        <w:tc>
          <w:tcPr>
            <w:tcW w:w="1146" w:type="dxa"/>
            <w:tcBorders>
              <w:top w:val="nil"/>
              <w:left w:val="nil"/>
              <w:bottom w:val="nil"/>
              <w:right w:val="single" w:sz="4" w:space="0" w:color="auto"/>
            </w:tcBorders>
            <w:noWrap/>
            <w:vAlign w:val="center"/>
          </w:tcPr>
          <w:p w14:paraId="2DD31DD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(44.3, 56.2)</w:t>
            </w:r>
          </w:p>
        </w:tc>
        <w:tc>
          <w:tcPr>
            <w:tcW w:w="536" w:type="dxa"/>
            <w:tcBorders>
              <w:top w:val="nil"/>
              <w:left w:val="single" w:sz="4" w:space="0" w:color="auto"/>
              <w:bottom w:val="nil"/>
              <w:right w:val="nil"/>
            </w:tcBorders>
            <w:noWrap/>
            <w:vAlign w:val="center"/>
          </w:tcPr>
          <w:p w14:paraId="172BBBD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83</w:t>
            </w:r>
          </w:p>
        </w:tc>
        <w:tc>
          <w:tcPr>
            <w:tcW w:w="621" w:type="dxa"/>
            <w:tcBorders>
              <w:top w:val="nil"/>
              <w:left w:val="nil"/>
              <w:bottom w:val="nil"/>
              <w:right w:val="nil"/>
            </w:tcBorders>
            <w:noWrap/>
            <w:vAlign w:val="center"/>
          </w:tcPr>
          <w:p w14:paraId="03D0C8B9"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57.6</w:t>
            </w:r>
          </w:p>
        </w:tc>
        <w:tc>
          <w:tcPr>
            <w:tcW w:w="1146" w:type="dxa"/>
            <w:tcBorders>
              <w:top w:val="nil"/>
              <w:left w:val="nil"/>
              <w:bottom w:val="nil"/>
              <w:right w:val="single" w:sz="4" w:space="0" w:color="000000"/>
            </w:tcBorders>
            <w:shd w:val="clear" w:color="auto" w:fill="FFFFFF" w:themeFill="background1"/>
            <w:noWrap/>
            <w:vAlign w:val="center"/>
          </w:tcPr>
          <w:p w14:paraId="7BB1107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(49.6, 65.6)</w:t>
            </w:r>
          </w:p>
        </w:tc>
        <w:tc>
          <w:tcPr>
            <w:tcW w:w="536" w:type="dxa"/>
            <w:tcBorders>
              <w:top w:val="nil"/>
              <w:left w:val="single" w:sz="4" w:space="0" w:color="000000"/>
              <w:bottom w:val="nil"/>
              <w:right w:val="nil"/>
            </w:tcBorders>
            <w:shd w:val="clear" w:color="auto" w:fill="FFFFFF" w:themeFill="background1"/>
            <w:vAlign w:val="center"/>
          </w:tcPr>
          <w:p w14:paraId="52D2567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83</w:t>
            </w:r>
          </w:p>
        </w:tc>
        <w:tc>
          <w:tcPr>
            <w:tcW w:w="567" w:type="dxa"/>
            <w:tcBorders>
              <w:top w:val="nil"/>
              <w:left w:val="nil"/>
              <w:bottom w:val="nil"/>
              <w:right w:val="nil"/>
            </w:tcBorders>
            <w:shd w:val="clear" w:color="auto" w:fill="FFFFFF" w:themeFill="background1"/>
            <w:vAlign w:val="center"/>
          </w:tcPr>
          <w:p w14:paraId="6A4CD38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68.7</w:t>
            </w:r>
          </w:p>
        </w:tc>
        <w:tc>
          <w:tcPr>
            <w:tcW w:w="1146" w:type="dxa"/>
            <w:tcBorders>
              <w:top w:val="nil"/>
              <w:left w:val="nil"/>
              <w:bottom w:val="nil"/>
              <w:right w:val="single" w:sz="4" w:space="0" w:color="000000"/>
            </w:tcBorders>
            <w:shd w:val="clear" w:color="auto" w:fill="FFFFFF" w:themeFill="background1"/>
            <w:vAlign w:val="center"/>
          </w:tcPr>
          <w:p w14:paraId="205C8F6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(59.9, 77.5)</w:t>
            </w:r>
          </w:p>
        </w:tc>
        <w:tc>
          <w:tcPr>
            <w:tcW w:w="536" w:type="dxa"/>
            <w:tcBorders>
              <w:top w:val="nil"/>
              <w:left w:val="single" w:sz="4" w:space="0" w:color="000000"/>
              <w:bottom w:val="nil"/>
              <w:right w:val="nil"/>
            </w:tcBorders>
            <w:shd w:val="clear" w:color="auto" w:fill="FFFFFF" w:themeFill="background1"/>
            <w:vAlign w:val="center"/>
          </w:tcPr>
          <w:p w14:paraId="19F651B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68</w:t>
            </w:r>
          </w:p>
        </w:tc>
        <w:tc>
          <w:tcPr>
            <w:tcW w:w="576" w:type="dxa"/>
            <w:tcBorders>
              <w:top w:val="nil"/>
              <w:left w:val="nil"/>
              <w:bottom w:val="nil"/>
              <w:right w:val="nil"/>
            </w:tcBorders>
            <w:shd w:val="clear" w:color="auto" w:fill="FFFFFF" w:themeFill="background1"/>
            <w:vAlign w:val="center"/>
          </w:tcPr>
          <w:p w14:paraId="19A89CA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60.9</w:t>
            </w:r>
          </w:p>
        </w:tc>
        <w:tc>
          <w:tcPr>
            <w:tcW w:w="1146" w:type="dxa"/>
            <w:tcBorders>
              <w:top w:val="nil"/>
              <w:left w:val="nil"/>
              <w:bottom w:val="nil"/>
              <w:right w:val="nil"/>
            </w:tcBorders>
            <w:shd w:val="clear" w:color="auto" w:fill="FFFFFF" w:themeFill="background1"/>
            <w:vAlign w:val="center"/>
          </w:tcPr>
          <w:p w14:paraId="748EE36C"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(50.1, 71.7)</w:t>
            </w:r>
          </w:p>
        </w:tc>
      </w:tr>
      <w:tr w:rsidR="009118DA" w:rsidRPr="00D76D7F" w14:paraId="3D7D04CA"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nil"/>
              <w:right w:val="nil"/>
            </w:tcBorders>
          </w:tcPr>
          <w:p w14:paraId="258AAA44" w14:textId="77777777" w:rsidR="003D7BB5" w:rsidRPr="00D76D7F" w:rsidRDefault="003D7BB5" w:rsidP="00DD0F28">
            <w:pPr>
              <w:keepNext/>
              <w:spacing w:before="20" w:after="20"/>
              <w:ind w:left="176"/>
              <w:rPr>
                <w:rFonts w:eastAsiaTheme="minorEastAsia"/>
                <w:b w:val="0"/>
                <w:sz w:val="18"/>
                <w:szCs w:val="18"/>
                <w:lang w:eastAsia="en-US"/>
              </w:rPr>
            </w:pPr>
            <w:r w:rsidRPr="00D76D7F">
              <w:rPr>
                <w:rFonts w:eastAsiaTheme="minorEastAsia"/>
                <w:b w:val="0"/>
                <w:sz w:val="18"/>
                <w:szCs w:val="18"/>
                <w:lang w:eastAsia="en-US"/>
              </w:rPr>
              <w:t>With one person</w:t>
            </w:r>
          </w:p>
        </w:tc>
        <w:tc>
          <w:tcPr>
            <w:tcW w:w="536" w:type="dxa"/>
            <w:tcBorders>
              <w:top w:val="nil"/>
              <w:left w:val="nil"/>
              <w:bottom w:val="nil"/>
              <w:right w:val="nil"/>
            </w:tcBorders>
            <w:noWrap/>
            <w:vAlign w:val="center"/>
          </w:tcPr>
          <w:p w14:paraId="53B2B51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66</w:t>
            </w:r>
          </w:p>
        </w:tc>
        <w:tc>
          <w:tcPr>
            <w:tcW w:w="567" w:type="dxa"/>
            <w:tcBorders>
              <w:top w:val="nil"/>
              <w:left w:val="nil"/>
              <w:bottom w:val="nil"/>
              <w:right w:val="nil"/>
            </w:tcBorders>
            <w:noWrap/>
            <w:vAlign w:val="center"/>
          </w:tcPr>
          <w:p w14:paraId="09DA0AA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24.2</w:t>
            </w:r>
          </w:p>
        </w:tc>
        <w:tc>
          <w:tcPr>
            <w:tcW w:w="1146" w:type="dxa"/>
            <w:tcBorders>
              <w:top w:val="nil"/>
              <w:left w:val="nil"/>
              <w:bottom w:val="nil"/>
              <w:right w:val="single" w:sz="4" w:space="0" w:color="auto"/>
            </w:tcBorders>
            <w:noWrap/>
            <w:vAlign w:val="center"/>
          </w:tcPr>
          <w:p w14:paraId="0CD74D3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(18.9, 29.5)</w:t>
            </w:r>
          </w:p>
        </w:tc>
        <w:tc>
          <w:tcPr>
            <w:tcW w:w="536" w:type="dxa"/>
            <w:tcBorders>
              <w:top w:val="nil"/>
              <w:left w:val="single" w:sz="4" w:space="0" w:color="auto"/>
              <w:bottom w:val="nil"/>
              <w:right w:val="nil"/>
            </w:tcBorders>
            <w:noWrap/>
            <w:vAlign w:val="center"/>
          </w:tcPr>
          <w:p w14:paraId="3ABAC2D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25</w:t>
            </w:r>
          </w:p>
        </w:tc>
        <w:tc>
          <w:tcPr>
            <w:tcW w:w="621" w:type="dxa"/>
            <w:tcBorders>
              <w:top w:val="nil"/>
              <w:left w:val="nil"/>
              <w:bottom w:val="nil"/>
              <w:right w:val="nil"/>
            </w:tcBorders>
            <w:noWrap/>
            <w:vAlign w:val="center"/>
          </w:tcPr>
          <w:p w14:paraId="29D1E6A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17.6</w:t>
            </w:r>
          </w:p>
        </w:tc>
        <w:tc>
          <w:tcPr>
            <w:tcW w:w="1146" w:type="dxa"/>
            <w:tcBorders>
              <w:top w:val="nil"/>
              <w:left w:val="nil"/>
              <w:bottom w:val="nil"/>
              <w:right w:val="single" w:sz="4" w:space="0" w:color="000000"/>
            </w:tcBorders>
            <w:shd w:val="clear" w:color="auto" w:fill="FFFFFF" w:themeFill="background1"/>
            <w:noWrap/>
            <w:vAlign w:val="center"/>
          </w:tcPr>
          <w:p w14:paraId="748B97F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(11.0, 24.1)</w:t>
            </w:r>
          </w:p>
        </w:tc>
        <w:tc>
          <w:tcPr>
            <w:tcW w:w="536" w:type="dxa"/>
            <w:tcBorders>
              <w:top w:val="nil"/>
              <w:left w:val="single" w:sz="4" w:space="0" w:color="000000"/>
              <w:bottom w:val="nil"/>
              <w:right w:val="nil"/>
            </w:tcBorders>
            <w:shd w:val="clear" w:color="auto" w:fill="FFFFFF" w:themeFill="background1"/>
            <w:vAlign w:val="center"/>
          </w:tcPr>
          <w:p w14:paraId="2A52017A"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w:t>
            </w:r>
          </w:p>
        </w:tc>
        <w:tc>
          <w:tcPr>
            <w:tcW w:w="567" w:type="dxa"/>
            <w:tcBorders>
              <w:top w:val="nil"/>
              <w:left w:val="nil"/>
              <w:bottom w:val="nil"/>
              <w:right w:val="nil"/>
            </w:tcBorders>
            <w:shd w:val="clear" w:color="auto" w:fill="FFFFFF" w:themeFill="background1"/>
            <w:vAlign w:val="center"/>
          </w:tcPr>
          <w:p w14:paraId="270F6CE1"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15.0</w:t>
            </w:r>
          </w:p>
        </w:tc>
        <w:tc>
          <w:tcPr>
            <w:tcW w:w="1146" w:type="dxa"/>
            <w:tcBorders>
              <w:top w:val="nil"/>
              <w:left w:val="nil"/>
              <w:bottom w:val="nil"/>
              <w:right w:val="single" w:sz="4" w:space="0" w:color="000000"/>
            </w:tcBorders>
            <w:shd w:val="clear" w:color="auto" w:fill="FFFFFF" w:themeFill="background1"/>
            <w:vAlign w:val="center"/>
          </w:tcPr>
          <w:p w14:paraId="15D0B92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(8.9, 21.1)</w:t>
            </w:r>
          </w:p>
        </w:tc>
        <w:tc>
          <w:tcPr>
            <w:tcW w:w="536" w:type="dxa"/>
            <w:tcBorders>
              <w:top w:val="nil"/>
              <w:left w:val="single" w:sz="4" w:space="0" w:color="000000"/>
              <w:bottom w:val="nil"/>
              <w:right w:val="nil"/>
            </w:tcBorders>
            <w:shd w:val="clear" w:color="auto" w:fill="FFFFFF" w:themeFill="background1"/>
            <w:vAlign w:val="center"/>
          </w:tcPr>
          <w:p w14:paraId="035ABBB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w:t>
            </w:r>
          </w:p>
        </w:tc>
        <w:tc>
          <w:tcPr>
            <w:tcW w:w="576" w:type="dxa"/>
            <w:tcBorders>
              <w:top w:val="nil"/>
              <w:left w:val="nil"/>
              <w:bottom w:val="nil"/>
              <w:right w:val="nil"/>
            </w:tcBorders>
            <w:shd w:val="clear" w:color="auto" w:fill="FFFFFF" w:themeFill="background1"/>
            <w:vAlign w:val="center"/>
          </w:tcPr>
          <w:p w14:paraId="4AE14DED"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19.8</w:t>
            </w:r>
          </w:p>
        </w:tc>
        <w:tc>
          <w:tcPr>
            <w:tcW w:w="1146" w:type="dxa"/>
            <w:tcBorders>
              <w:top w:val="nil"/>
              <w:left w:val="nil"/>
              <w:bottom w:val="nil"/>
              <w:right w:val="nil"/>
            </w:tcBorders>
            <w:shd w:val="clear" w:color="auto" w:fill="FFFFFF" w:themeFill="background1"/>
            <w:vAlign w:val="center"/>
          </w:tcPr>
          <w:p w14:paraId="4077582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(10.3, 29.4)</w:t>
            </w:r>
          </w:p>
        </w:tc>
      </w:tr>
      <w:tr w:rsidR="009118DA" w:rsidRPr="00D76D7F" w14:paraId="592E2433"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3430" w:type="dxa"/>
            <w:tcBorders>
              <w:top w:val="nil"/>
              <w:left w:val="nil"/>
              <w:bottom w:val="single" w:sz="4" w:space="0" w:color="auto"/>
              <w:right w:val="nil"/>
            </w:tcBorders>
          </w:tcPr>
          <w:p w14:paraId="002D9D91" w14:textId="77777777" w:rsidR="003D7BB5" w:rsidRPr="00D76D7F" w:rsidRDefault="003D7BB5" w:rsidP="00DD0F28">
            <w:pPr>
              <w:spacing w:before="20" w:after="20"/>
              <w:ind w:left="176"/>
              <w:rPr>
                <w:rFonts w:eastAsiaTheme="minorEastAsia"/>
                <w:b w:val="0"/>
                <w:sz w:val="18"/>
                <w:szCs w:val="18"/>
                <w:lang w:eastAsia="en-US"/>
              </w:rPr>
            </w:pPr>
            <w:r w:rsidRPr="00D76D7F">
              <w:rPr>
                <w:rFonts w:eastAsiaTheme="minorEastAsia"/>
                <w:b w:val="0"/>
                <w:sz w:val="18"/>
                <w:szCs w:val="18"/>
                <w:lang w:eastAsia="en-US"/>
              </w:rPr>
              <w:t>With several people/a group</w:t>
            </w:r>
          </w:p>
        </w:tc>
        <w:tc>
          <w:tcPr>
            <w:tcW w:w="536" w:type="dxa"/>
            <w:tcBorders>
              <w:top w:val="nil"/>
              <w:left w:val="nil"/>
              <w:bottom w:val="single" w:sz="4" w:space="0" w:color="auto"/>
              <w:right w:val="nil"/>
            </w:tcBorders>
            <w:noWrap/>
            <w:vAlign w:val="center"/>
          </w:tcPr>
          <w:p w14:paraId="71027187"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69</w:t>
            </w:r>
          </w:p>
        </w:tc>
        <w:tc>
          <w:tcPr>
            <w:tcW w:w="567" w:type="dxa"/>
            <w:tcBorders>
              <w:top w:val="nil"/>
              <w:left w:val="nil"/>
              <w:bottom w:val="single" w:sz="4" w:space="0" w:color="auto"/>
              <w:right w:val="nil"/>
            </w:tcBorders>
            <w:noWrap/>
            <w:vAlign w:val="center"/>
          </w:tcPr>
          <w:p w14:paraId="05CA4E8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25.5</w:t>
            </w:r>
          </w:p>
        </w:tc>
        <w:tc>
          <w:tcPr>
            <w:tcW w:w="1146" w:type="dxa"/>
            <w:tcBorders>
              <w:top w:val="nil"/>
              <w:left w:val="nil"/>
              <w:bottom w:val="single" w:sz="4" w:space="0" w:color="auto"/>
              <w:right w:val="single" w:sz="4" w:space="0" w:color="auto"/>
            </w:tcBorders>
            <w:noWrap/>
            <w:vAlign w:val="center"/>
          </w:tcPr>
          <w:p w14:paraId="3D33EE28"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(20.3, 30.8)</w:t>
            </w:r>
          </w:p>
        </w:tc>
        <w:tc>
          <w:tcPr>
            <w:tcW w:w="536" w:type="dxa"/>
            <w:tcBorders>
              <w:top w:val="nil"/>
              <w:left w:val="single" w:sz="4" w:space="0" w:color="auto"/>
              <w:bottom w:val="single" w:sz="4" w:space="0" w:color="auto"/>
              <w:right w:val="nil"/>
            </w:tcBorders>
            <w:noWrap/>
            <w:vAlign w:val="center"/>
          </w:tcPr>
          <w:p w14:paraId="0C444F3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36</w:t>
            </w:r>
          </w:p>
        </w:tc>
        <w:tc>
          <w:tcPr>
            <w:tcW w:w="621" w:type="dxa"/>
            <w:tcBorders>
              <w:top w:val="nil"/>
              <w:left w:val="nil"/>
              <w:bottom w:val="single" w:sz="4" w:space="0" w:color="auto"/>
              <w:right w:val="nil"/>
            </w:tcBorders>
            <w:noWrap/>
            <w:vAlign w:val="center"/>
          </w:tcPr>
          <w:p w14:paraId="339F02C3"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24.8</w:t>
            </w:r>
          </w:p>
        </w:tc>
        <w:tc>
          <w:tcPr>
            <w:tcW w:w="1146" w:type="dxa"/>
            <w:tcBorders>
              <w:top w:val="nil"/>
              <w:left w:val="nil"/>
              <w:bottom w:val="single" w:sz="4" w:space="0" w:color="auto"/>
              <w:right w:val="single" w:sz="4" w:space="0" w:color="000000"/>
            </w:tcBorders>
            <w:shd w:val="clear" w:color="auto" w:fill="FFFFFF" w:themeFill="background1"/>
            <w:noWrap/>
            <w:vAlign w:val="center"/>
          </w:tcPr>
          <w:p w14:paraId="7639C54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(17.8, 31.9)</w:t>
            </w:r>
          </w:p>
        </w:tc>
        <w:tc>
          <w:tcPr>
            <w:tcW w:w="536" w:type="dxa"/>
            <w:tcBorders>
              <w:top w:val="nil"/>
              <w:left w:val="single" w:sz="4" w:space="0" w:color="000000"/>
              <w:bottom w:val="single" w:sz="4" w:space="0" w:color="auto"/>
              <w:right w:val="nil"/>
            </w:tcBorders>
            <w:shd w:val="clear" w:color="auto" w:fill="FFFFFF" w:themeFill="background1"/>
            <w:vAlign w:val="center"/>
          </w:tcPr>
          <w:p w14:paraId="21516DB0"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w:t>
            </w:r>
          </w:p>
        </w:tc>
        <w:tc>
          <w:tcPr>
            <w:tcW w:w="567" w:type="dxa"/>
            <w:tcBorders>
              <w:top w:val="nil"/>
              <w:left w:val="nil"/>
              <w:bottom w:val="single" w:sz="4" w:space="0" w:color="auto"/>
              <w:right w:val="nil"/>
            </w:tcBorders>
            <w:shd w:val="clear" w:color="auto" w:fill="FFFFFF" w:themeFill="background1"/>
            <w:vAlign w:val="center"/>
          </w:tcPr>
          <w:p w14:paraId="4BE9C464"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16.3</w:t>
            </w:r>
          </w:p>
        </w:tc>
        <w:tc>
          <w:tcPr>
            <w:tcW w:w="1146" w:type="dxa"/>
            <w:tcBorders>
              <w:top w:val="nil"/>
              <w:left w:val="nil"/>
              <w:bottom w:val="single" w:sz="4" w:space="0" w:color="auto"/>
              <w:right w:val="single" w:sz="4" w:space="0" w:color="000000"/>
            </w:tcBorders>
            <w:shd w:val="clear" w:color="auto" w:fill="FFFFFF" w:themeFill="background1"/>
            <w:vAlign w:val="center"/>
          </w:tcPr>
          <w:p w14:paraId="622006CB"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(8.6, 23.9)</w:t>
            </w:r>
          </w:p>
        </w:tc>
        <w:tc>
          <w:tcPr>
            <w:tcW w:w="536" w:type="dxa"/>
            <w:tcBorders>
              <w:top w:val="nil"/>
              <w:left w:val="single" w:sz="4" w:space="0" w:color="000000"/>
              <w:bottom w:val="single" w:sz="4" w:space="0" w:color="auto"/>
              <w:right w:val="nil"/>
            </w:tcBorders>
            <w:shd w:val="clear" w:color="auto" w:fill="FFFFFF" w:themeFill="background1"/>
            <w:vAlign w:val="center"/>
          </w:tcPr>
          <w:p w14:paraId="01B18B1E"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w:t>
            </w:r>
          </w:p>
        </w:tc>
        <w:tc>
          <w:tcPr>
            <w:tcW w:w="576" w:type="dxa"/>
            <w:tcBorders>
              <w:top w:val="nil"/>
              <w:left w:val="nil"/>
              <w:bottom w:val="single" w:sz="4" w:space="0" w:color="auto"/>
              <w:right w:val="nil"/>
            </w:tcBorders>
            <w:shd w:val="clear" w:color="auto" w:fill="FFFFFF" w:themeFill="background1"/>
            <w:vAlign w:val="center"/>
          </w:tcPr>
          <w:p w14:paraId="1332AA8F"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19.3</w:t>
            </w:r>
          </w:p>
        </w:tc>
        <w:tc>
          <w:tcPr>
            <w:tcW w:w="1146" w:type="dxa"/>
            <w:tcBorders>
              <w:top w:val="nil"/>
              <w:left w:val="nil"/>
              <w:bottom w:val="single" w:sz="4" w:space="0" w:color="auto"/>
              <w:right w:val="nil"/>
            </w:tcBorders>
            <w:shd w:val="clear" w:color="auto" w:fill="FFFFFF" w:themeFill="background1"/>
            <w:vAlign w:val="center"/>
          </w:tcPr>
          <w:p w14:paraId="19C5ED52" w14:textId="77777777" w:rsidR="003D7BB5" w:rsidRPr="00D76D7F"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(11.1, 27.4)</w:t>
            </w:r>
          </w:p>
        </w:tc>
      </w:tr>
    </w:tbl>
    <w:p w14:paraId="5A2FA852" w14:textId="77777777" w:rsidR="003D7BB5" w:rsidRPr="00CE46F7" w:rsidRDefault="003D7BB5" w:rsidP="003D7BB5">
      <w:pPr>
        <w:ind w:left="709"/>
        <w:rPr>
          <w:sz w:val="18"/>
        </w:rPr>
      </w:pPr>
      <w:r w:rsidRPr="00CE46F7">
        <w:rPr>
          <w:sz w:val="18"/>
        </w:rPr>
        <w:t>Data weighted for 2013 Census data (all waves) and attrition (Waves 2, 3 and 4)</w:t>
      </w:r>
    </w:p>
    <w:p w14:paraId="71592BED" w14:textId="77777777" w:rsidR="003D7BB5" w:rsidRPr="00CE46F7" w:rsidRDefault="003D7BB5" w:rsidP="003D7BB5">
      <w:pPr>
        <w:pStyle w:val="RepNormal"/>
        <w:ind w:left="709"/>
        <w:rPr>
          <w:sz w:val="18"/>
        </w:rPr>
      </w:pPr>
      <w:r w:rsidRPr="00CE46F7">
        <w:rPr>
          <w:sz w:val="18"/>
        </w:rPr>
        <w:t>Wave 1 N=6,251; Wave 2 N=3,745; Wave 3 N=3,115; Wave 4 N=2,770</w:t>
      </w:r>
    </w:p>
    <w:p w14:paraId="04F710A6" w14:textId="77777777" w:rsidR="003D7BB5" w:rsidRDefault="003D7BB5" w:rsidP="003D7BB5">
      <w:pPr>
        <w:ind w:left="709"/>
        <w:rPr>
          <w:rFonts w:eastAsiaTheme="minorEastAsia"/>
          <w:sz w:val="18"/>
          <w:szCs w:val="18"/>
          <w:lang w:eastAsia="en-US"/>
        </w:rPr>
      </w:pPr>
      <w:r w:rsidRPr="00CE46F7">
        <w:rPr>
          <w:rFonts w:eastAsiaTheme="minorEastAsia"/>
          <w:b/>
          <w:sz w:val="18"/>
          <w:szCs w:val="18"/>
          <w:vertAlign w:val="superscript"/>
          <w:lang w:eastAsia="en-US"/>
        </w:rPr>
        <w:t>†</w:t>
      </w:r>
      <w:r w:rsidRPr="00CE46F7">
        <w:rPr>
          <w:rFonts w:eastAsiaTheme="minorEastAsia"/>
          <w:b/>
          <w:sz w:val="18"/>
          <w:szCs w:val="18"/>
          <w:lang w:eastAsia="en-US"/>
        </w:rPr>
        <w:t xml:space="preserve"> </w:t>
      </w:r>
      <w:r w:rsidRPr="00CE46F7">
        <w:rPr>
          <w:rFonts w:eastAsiaTheme="minorEastAsia"/>
          <w:sz w:val="18"/>
          <w:szCs w:val="18"/>
          <w:lang w:eastAsia="en-US"/>
        </w:rPr>
        <w:t>Not included in other overseas categories</w:t>
      </w:r>
    </w:p>
    <w:p w14:paraId="15465300" w14:textId="77777777" w:rsidR="003D7BB5" w:rsidRPr="002F172C" w:rsidRDefault="003D7BB5" w:rsidP="003D7BB5">
      <w:pPr>
        <w:spacing w:after="200" w:line="276" w:lineRule="auto"/>
        <w:ind w:left="709"/>
        <w:rPr>
          <w:sz w:val="18"/>
        </w:rPr>
      </w:pPr>
      <w:r w:rsidRPr="002F172C">
        <w:rPr>
          <w:sz w:val="18"/>
        </w:rPr>
        <w:t>! Meaningful confidence intervals not calculable due to small sample size</w:t>
      </w:r>
    </w:p>
    <w:p w14:paraId="45EADE4C" w14:textId="77777777" w:rsidR="00B53E24" w:rsidRDefault="00B53E24" w:rsidP="008C36F1">
      <w:pPr>
        <w:ind w:left="1418"/>
        <w:rPr>
          <w:rFonts w:eastAsiaTheme="majorEastAsia" w:cstheme="majorBidi"/>
          <w:b/>
          <w:bCs/>
          <w:caps/>
          <w:szCs w:val="28"/>
          <w:lang w:eastAsia="en-US"/>
        </w:rPr>
      </w:pPr>
    </w:p>
    <w:p w14:paraId="5E5EE565" w14:textId="77777777" w:rsidR="008A068A" w:rsidRDefault="008A068A" w:rsidP="003B4065">
      <w:pPr>
        <w:ind w:left="1560"/>
        <w:rPr>
          <w:rFonts w:eastAsiaTheme="majorEastAsia" w:cstheme="majorBidi"/>
          <w:b/>
          <w:bCs/>
          <w:caps/>
          <w:szCs w:val="28"/>
          <w:lang w:eastAsia="en-US"/>
        </w:rPr>
      </w:pPr>
    </w:p>
    <w:p w14:paraId="79934115" w14:textId="77777777" w:rsidR="00B20B53" w:rsidRDefault="00B20B53">
      <w:pPr>
        <w:spacing w:after="200" w:line="276" w:lineRule="auto"/>
        <w:rPr>
          <w:rFonts w:eastAsiaTheme="majorEastAsia" w:cstheme="majorBidi"/>
          <w:b/>
          <w:bCs/>
          <w:caps/>
          <w:szCs w:val="28"/>
          <w:lang w:eastAsia="en-US"/>
        </w:rPr>
      </w:pPr>
      <w:r>
        <w:rPr>
          <w:rFonts w:eastAsiaTheme="majorEastAsia" w:cstheme="majorBidi"/>
          <w:b/>
          <w:bCs/>
          <w:caps/>
          <w:szCs w:val="28"/>
          <w:lang w:eastAsia="en-US"/>
        </w:rPr>
        <w:br w:type="page"/>
      </w:r>
    </w:p>
    <w:p w14:paraId="2134CA54" w14:textId="77777777" w:rsidR="00B20B53" w:rsidRDefault="00B20B53" w:rsidP="00B20B53">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pPr>
      <w:bookmarkStart w:id="204" w:name="_Toc446324573"/>
      <w:bookmarkStart w:id="205" w:name="_Toc504488406"/>
      <w:r>
        <w:t xml:space="preserve">APPENDIX </w:t>
      </w:r>
      <w:r w:rsidR="003D7BB5">
        <w:t>13</w:t>
      </w:r>
      <w:r>
        <w:t>:</w:t>
      </w:r>
      <w:r>
        <w:br/>
      </w:r>
      <w:r w:rsidR="00315163">
        <w:rPr>
          <w:rFonts w:cs="Times New Roman"/>
          <w:caps w:val="0"/>
        </w:rPr>
        <w:t>T</w:t>
      </w:r>
      <w:r>
        <w:rPr>
          <w:rFonts w:cs="Times New Roman"/>
          <w:caps w:val="0"/>
        </w:rPr>
        <w:t>ime spent gambling on EGMs in an average day in Waves 1, 2, 3</w:t>
      </w:r>
      <w:bookmarkEnd w:id="204"/>
      <w:r>
        <w:rPr>
          <w:rFonts w:cs="Times New Roman"/>
          <w:caps w:val="0"/>
        </w:rPr>
        <w:t xml:space="preserve"> and 4</w:t>
      </w:r>
      <w:bookmarkEnd w:id="205"/>
    </w:p>
    <w:p w14:paraId="0142AA32" w14:textId="77777777" w:rsidR="00B20B53" w:rsidRPr="00BA05A5" w:rsidRDefault="00B20B53" w:rsidP="00B20B53"/>
    <w:tbl>
      <w:tblPr>
        <w:tblStyle w:val="LightShading4"/>
        <w:tblW w:w="10848" w:type="dxa"/>
        <w:jc w:val="center"/>
        <w:tblLayout w:type="fixed"/>
        <w:tblLook w:val="06A0" w:firstRow="1" w:lastRow="0" w:firstColumn="1" w:lastColumn="0" w:noHBand="1" w:noVBand="1"/>
      </w:tblPr>
      <w:tblGrid>
        <w:gridCol w:w="1727"/>
        <w:gridCol w:w="567"/>
        <w:gridCol w:w="567"/>
        <w:gridCol w:w="1146"/>
        <w:gridCol w:w="567"/>
        <w:gridCol w:w="621"/>
        <w:gridCol w:w="1146"/>
        <w:gridCol w:w="616"/>
        <w:gridCol w:w="567"/>
        <w:gridCol w:w="1146"/>
        <w:gridCol w:w="456"/>
        <w:gridCol w:w="576"/>
        <w:gridCol w:w="1146"/>
      </w:tblGrid>
      <w:tr w:rsidR="00B20B53" w:rsidRPr="008A7800" w14:paraId="1D9329AA" w14:textId="77777777" w:rsidTr="008A780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727" w:type="dxa"/>
            <w:vMerge w:val="restart"/>
            <w:tcBorders>
              <w:bottom w:val="single" w:sz="4" w:space="0" w:color="auto"/>
            </w:tcBorders>
            <w:vAlign w:val="bottom"/>
            <w:hideMark/>
          </w:tcPr>
          <w:p w14:paraId="7588040C" w14:textId="77777777" w:rsidR="00B20B53" w:rsidRPr="008A7800" w:rsidRDefault="00B20B53" w:rsidP="00C8412F">
            <w:pPr>
              <w:spacing w:before="20" w:after="20"/>
              <w:rPr>
                <w:rFonts w:eastAsiaTheme="minorEastAsia"/>
                <w:sz w:val="18"/>
                <w:szCs w:val="18"/>
                <w:lang w:eastAsia="en-US"/>
              </w:rPr>
            </w:pPr>
            <w:r w:rsidRPr="008A7800">
              <w:rPr>
                <w:rFonts w:eastAsiaTheme="minorEastAsia"/>
                <w:sz w:val="18"/>
                <w:szCs w:val="18"/>
              </w:rPr>
              <w:t>Venue and time</w:t>
            </w:r>
          </w:p>
        </w:tc>
        <w:tc>
          <w:tcPr>
            <w:tcW w:w="2280" w:type="dxa"/>
            <w:gridSpan w:val="3"/>
            <w:tcBorders>
              <w:bottom w:val="single" w:sz="4" w:space="0" w:color="auto"/>
              <w:right w:val="single" w:sz="4" w:space="0" w:color="auto"/>
            </w:tcBorders>
            <w:noWrap/>
            <w:vAlign w:val="center"/>
            <w:hideMark/>
          </w:tcPr>
          <w:p w14:paraId="7E102FED" w14:textId="77777777" w:rsidR="00B20B53" w:rsidRPr="008A7800" w:rsidRDefault="00B20B53" w:rsidP="00C8412F">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8"/>
                <w:szCs w:val="18"/>
                <w:lang w:eastAsia="en-US"/>
              </w:rPr>
            </w:pPr>
            <w:r w:rsidRPr="008A7800">
              <w:rPr>
                <w:rFonts w:eastAsiaTheme="minorEastAsia"/>
                <w:sz w:val="18"/>
                <w:szCs w:val="18"/>
              </w:rPr>
              <w:t>Wave 1</w:t>
            </w:r>
          </w:p>
        </w:tc>
        <w:tc>
          <w:tcPr>
            <w:tcW w:w="2334" w:type="dxa"/>
            <w:gridSpan w:val="3"/>
            <w:tcBorders>
              <w:left w:val="single" w:sz="4" w:space="0" w:color="auto"/>
              <w:bottom w:val="single" w:sz="4" w:space="0" w:color="auto"/>
            </w:tcBorders>
            <w:vAlign w:val="center"/>
          </w:tcPr>
          <w:p w14:paraId="4E0B8E4F" w14:textId="77777777" w:rsidR="00B20B53" w:rsidRPr="008A7800" w:rsidRDefault="00B20B53" w:rsidP="00C8412F">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Wave 2</w:t>
            </w:r>
          </w:p>
        </w:tc>
        <w:tc>
          <w:tcPr>
            <w:tcW w:w="2329" w:type="dxa"/>
            <w:gridSpan w:val="3"/>
            <w:tcBorders>
              <w:left w:val="single" w:sz="4" w:space="0" w:color="auto"/>
              <w:bottom w:val="single" w:sz="4" w:space="0" w:color="auto"/>
            </w:tcBorders>
          </w:tcPr>
          <w:p w14:paraId="2C5F463D" w14:textId="77777777" w:rsidR="00B20B53" w:rsidRPr="008A7800" w:rsidRDefault="00B20B53" w:rsidP="00C8412F">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Wave 3</w:t>
            </w:r>
          </w:p>
        </w:tc>
        <w:tc>
          <w:tcPr>
            <w:tcW w:w="2178" w:type="dxa"/>
            <w:gridSpan w:val="3"/>
            <w:tcBorders>
              <w:left w:val="single" w:sz="4" w:space="0" w:color="auto"/>
              <w:bottom w:val="single" w:sz="4" w:space="0" w:color="auto"/>
            </w:tcBorders>
          </w:tcPr>
          <w:p w14:paraId="5E166E52" w14:textId="77777777" w:rsidR="00B20B53" w:rsidRPr="008A7800" w:rsidRDefault="00B20B53" w:rsidP="00C8412F">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Wave 4</w:t>
            </w:r>
          </w:p>
        </w:tc>
      </w:tr>
      <w:tr w:rsidR="00B20B53" w:rsidRPr="008A7800" w14:paraId="330BBC0B" w14:textId="77777777" w:rsidTr="008A780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727" w:type="dxa"/>
            <w:vMerge/>
            <w:tcBorders>
              <w:bottom w:val="single" w:sz="4" w:space="0" w:color="auto"/>
            </w:tcBorders>
            <w:vAlign w:val="center"/>
            <w:hideMark/>
          </w:tcPr>
          <w:p w14:paraId="31B22B7C" w14:textId="77777777" w:rsidR="00B20B53" w:rsidRPr="008A7800" w:rsidRDefault="00B20B53" w:rsidP="00C8412F">
            <w:pPr>
              <w:spacing w:before="20" w:after="20"/>
              <w:rPr>
                <w:rFonts w:eastAsiaTheme="minorEastAsia"/>
                <w:sz w:val="18"/>
                <w:szCs w:val="18"/>
                <w:lang w:eastAsia="en-US"/>
              </w:rPr>
            </w:pPr>
          </w:p>
        </w:tc>
        <w:tc>
          <w:tcPr>
            <w:tcW w:w="567" w:type="dxa"/>
            <w:tcBorders>
              <w:top w:val="single" w:sz="4" w:space="0" w:color="auto"/>
              <w:bottom w:val="single" w:sz="4" w:space="0" w:color="auto"/>
            </w:tcBorders>
            <w:noWrap/>
            <w:vAlign w:val="center"/>
            <w:hideMark/>
          </w:tcPr>
          <w:p w14:paraId="1B3B0DE3" w14:textId="77777777" w:rsidR="00B20B53" w:rsidRPr="008A7800" w:rsidRDefault="00B20B53"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rPr>
              <w:t>n</w:t>
            </w:r>
          </w:p>
        </w:tc>
        <w:tc>
          <w:tcPr>
            <w:tcW w:w="567" w:type="dxa"/>
            <w:tcBorders>
              <w:top w:val="single" w:sz="4" w:space="0" w:color="auto"/>
              <w:bottom w:val="single" w:sz="4" w:space="0" w:color="auto"/>
            </w:tcBorders>
            <w:noWrap/>
            <w:vAlign w:val="center"/>
            <w:hideMark/>
          </w:tcPr>
          <w:p w14:paraId="43908F23" w14:textId="77777777" w:rsidR="00B20B53" w:rsidRPr="008A7800" w:rsidRDefault="00B20B53"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rPr>
              <w:t>%</w:t>
            </w:r>
          </w:p>
        </w:tc>
        <w:tc>
          <w:tcPr>
            <w:tcW w:w="1146" w:type="dxa"/>
            <w:tcBorders>
              <w:top w:val="single" w:sz="4" w:space="0" w:color="auto"/>
              <w:bottom w:val="single" w:sz="4" w:space="0" w:color="auto"/>
              <w:right w:val="single" w:sz="4" w:space="0" w:color="auto"/>
            </w:tcBorders>
            <w:noWrap/>
            <w:vAlign w:val="center"/>
          </w:tcPr>
          <w:p w14:paraId="1BD00B1B" w14:textId="77777777" w:rsidR="00B20B53" w:rsidRPr="008A7800" w:rsidRDefault="00B20B53"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(95% CI)</w:t>
            </w:r>
          </w:p>
        </w:tc>
        <w:tc>
          <w:tcPr>
            <w:tcW w:w="567" w:type="dxa"/>
            <w:tcBorders>
              <w:top w:val="single" w:sz="4" w:space="0" w:color="auto"/>
              <w:left w:val="single" w:sz="4" w:space="0" w:color="auto"/>
              <w:bottom w:val="single" w:sz="4" w:space="0" w:color="auto"/>
            </w:tcBorders>
            <w:noWrap/>
            <w:vAlign w:val="center"/>
          </w:tcPr>
          <w:p w14:paraId="1746D909" w14:textId="77777777" w:rsidR="00B20B53" w:rsidRPr="008A7800" w:rsidRDefault="00B20B53"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n</w:t>
            </w:r>
          </w:p>
        </w:tc>
        <w:tc>
          <w:tcPr>
            <w:tcW w:w="621" w:type="dxa"/>
            <w:tcBorders>
              <w:top w:val="single" w:sz="4" w:space="0" w:color="auto"/>
              <w:bottom w:val="single" w:sz="4" w:space="0" w:color="auto"/>
            </w:tcBorders>
            <w:noWrap/>
            <w:vAlign w:val="center"/>
          </w:tcPr>
          <w:p w14:paraId="1400FA06" w14:textId="77777777" w:rsidR="00B20B53" w:rsidRPr="008A7800" w:rsidRDefault="00B20B53"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w:t>
            </w:r>
          </w:p>
        </w:tc>
        <w:tc>
          <w:tcPr>
            <w:tcW w:w="1146" w:type="dxa"/>
            <w:tcBorders>
              <w:top w:val="single" w:sz="4" w:space="0" w:color="auto"/>
              <w:bottom w:val="single" w:sz="4" w:space="0" w:color="auto"/>
              <w:right w:val="single" w:sz="4" w:space="0" w:color="000000"/>
            </w:tcBorders>
            <w:shd w:val="clear" w:color="auto" w:fill="FFFFFF" w:themeFill="background1"/>
            <w:noWrap/>
            <w:vAlign w:val="center"/>
          </w:tcPr>
          <w:p w14:paraId="04848429" w14:textId="77777777" w:rsidR="00B20B53" w:rsidRPr="008A7800" w:rsidRDefault="00B20B53"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8A7800">
              <w:rPr>
                <w:rFonts w:eastAsiaTheme="minorEastAsia"/>
                <w:sz w:val="18"/>
                <w:szCs w:val="18"/>
                <w:lang w:eastAsia="en-US"/>
              </w:rPr>
              <w:t>(95% CI)</w:t>
            </w:r>
          </w:p>
        </w:tc>
        <w:tc>
          <w:tcPr>
            <w:tcW w:w="616" w:type="dxa"/>
            <w:tcBorders>
              <w:top w:val="single" w:sz="4" w:space="0" w:color="auto"/>
              <w:left w:val="single" w:sz="4" w:space="0" w:color="000000"/>
              <w:bottom w:val="single" w:sz="4" w:space="0" w:color="auto"/>
            </w:tcBorders>
            <w:shd w:val="clear" w:color="auto" w:fill="FFFFFF" w:themeFill="background1"/>
            <w:vAlign w:val="center"/>
          </w:tcPr>
          <w:p w14:paraId="6ACED369" w14:textId="77777777" w:rsidR="00B20B53" w:rsidRPr="008A7800" w:rsidRDefault="00B20B53"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n</w:t>
            </w:r>
          </w:p>
        </w:tc>
        <w:tc>
          <w:tcPr>
            <w:tcW w:w="567" w:type="dxa"/>
            <w:tcBorders>
              <w:top w:val="single" w:sz="4" w:space="0" w:color="auto"/>
              <w:bottom w:val="single" w:sz="4" w:space="0" w:color="auto"/>
            </w:tcBorders>
            <w:shd w:val="clear" w:color="auto" w:fill="FFFFFF" w:themeFill="background1"/>
            <w:vAlign w:val="center"/>
          </w:tcPr>
          <w:p w14:paraId="1B915E08" w14:textId="77777777" w:rsidR="00B20B53" w:rsidRPr="008A7800" w:rsidRDefault="00B20B53"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w:t>
            </w:r>
          </w:p>
        </w:tc>
        <w:tc>
          <w:tcPr>
            <w:tcW w:w="1146" w:type="dxa"/>
            <w:tcBorders>
              <w:top w:val="single" w:sz="4" w:space="0" w:color="auto"/>
              <w:bottom w:val="single" w:sz="4" w:space="0" w:color="auto"/>
              <w:right w:val="single" w:sz="4" w:space="0" w:color="000000"/>
            </w:tcBorders>
            <w:shd w:val="clear" w:color="auto" w:fill="FFFFFF" w:themeFill="background1"/>
            <w:vAlign w:val="center"/>
          </w:tcPr>
          <w:p w14:paraId="32D10830" w14:textId="77777777" w:rsidR="00B20B53" w:rsidRPr="008A7800" w:rsidRDefault="00B20B53"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8A7800">
              <w:rPr>
                <w:rFonts w:eastAsiaTheme="minorEastAsia"/>
                <w:sz w:val="18"/>
                <w:szCs w:val="18"/>
                <w:lang w:eastAsia="en-US"/>
              </w:rPr>
              <w:t>(95% CI)</w:t>
            </w:r>
          </w:p>
        </w:tc>
        <w:tc>
          <w:tcPr>
            <w:tcW w:w="456" w:type="dxa"/>
            <w:tcBorders>
              <w:top w:val="single" w:sz="4" w:space="0" w:color="auto"/>
              <w:left w:val="single" w:sz="4" w:space="0" w:color="000000"/>
              <w:bottom w:val="single" w:sz="4" w:space="0" w:color="auto"/>
            </w:tcBorders>
            <w:shd w:val="clear" w:color="auto" w:fill="FFFFFF" w:themeFill="background1"/>
            <w:vAlign w:val="center"/>
          </w:tcPr>
          <w:p w14:paraId="1833E485" w14:textId="77777777" w:rsidR="00B20B53" w:rsidRPr="008A7800" w:rsidRDefault="00B20B53"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n</w:t>
            </w:r>
          </w:p>
        </w:tc>
        <w:tc>
          <w:tcPr>
            <w:tcW w:w="576" w:type="dxa"/>
            <w:tcBorders>
              <w:top w:val="single" w:sz="4" w:space="0" w:color="auto"/>
              <w:bottom w:val="single" w:sz="4" w:space="0" w:color="auto"/>
            </w:tcBorders>
            <w:shd w:val="clear" w:color="auto" w:fill="FFFFFF" w:themeFill="background1"/>
            <w:vAlign w:val="center"/>
          </w:tcPr>
          <w:p w14:paraId="19D275F2" w14:textId="77777777" w:rsidR="00B20B53" w:rsidRPr="008A7800" w:rsidRDefault="00B20B53"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w:t>
            </w:r>
          </w:p>
        </w:tc>
        <w:tc>
          <w:tcPr>
            <w:tcW w:w="1146" w:type="dxa"/>
            <w:tcBorders>
              <w:top w:val="single" w:sz="4" w:space="0" w:color="auto"/>
              <w:bottom w:val="single" w:sz="4" w:space="0" w:color="auto"/>
            </w:tcBorders>
            <w:shd w:val="clear" w:color="auto" w:fill="FFFFFF" w:themeFill="background1"/>
            <w:vAlign w:val="center"/>
          </w:tcPr>
          <w:p w14:paraId="3A037E29" w14:textId="77777777" w:rsidR="00B20B53" w:rsidRPr="008A7800" w:rsidRDefault="00B20B53"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8A7800">
              <w:rPr>
                <w:rFonts w:eastAsiaTheme="minorEastAsia"/>
                <w:sz w:val="18"/>
                <w:szCs w:val="18"/>
                <w:lang w:eastAsia="en-US"/>
              </w:rPr>
              <w:t>(95% CI)</w:t>
            </w:r>
          </w:p>
        </w:tc>
      </w:tr>
      <w:tr w:rsidR="00B20B53" w:rsidRPr="008A7800" w14:paraId="0436194A"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single" w:sz="4" w:space="0" w:color="000000"/>
              <w:left w:val="nil"/>
              <w:bottom w:val="nil"/>
              <w:right w:val="nil"/>
            </w:tcBorders>
            <w:vAlign w:val="center"/>
          </w:tcPr>
          <w:p w14:paraId="6439C0F8" w14:textId="77777777" w:rsidR="00B20B53" w:rsidRPr="008A7800" w:rsidRDefault="00B20B53" w:rsidP="00C8412F">
            <w:pPr>
              <w:spacing w:before="20" w:after="20"/>
              <w:rPr>
                <w:rFonts w:eastAsiaTheme="minorEastAsia"/>
                <w:b w:val="0"/>
                <w:bCs w:val="0"/>
                <w:sz w:val="18"/>
                <w:szCs w:val="18"/>
                <w:lang w:eastAsia="en-US"/>
              </w:rPr>
            </w:pPr>
            <w:r w:rsidRPr="008A7800">
              <w:rPr>
                <w:rFonts w:eastAsiaTheme="minorEastAsia"/>
                <w:sz w:val="18"/>
                <w:szCs w:val="18"/>
                <w:lang w:eastAsia="en-US"/>
              </w:rPr>
              <w:t>NZ casino</w:t>
            </w:r>
          </w:p>
        </w:tc>
        <w:tc>
          <w:tcPr>
            <w:tcW w:w="567" w:type="dxa"/>
            <w:tcBorders>
              <w:top w:val="single" w:sz="4" w:space="0" w:color="000000"/>
              <w:left w:val="nil"/>
              <w:bottom w:val="nil"/>
              <w:right w:val="nil"/>
            </w:tcBorders>
            <w:noWrap/>
            <w:vAlign w:val="center"/>
          </w:tcPr>
          <w:p w14:paraId="16ACD52B" w14:textId="77777777" w:rsidR="00B20B53" w:rsidRPr="008A7800" w:rsidRDefault="00B20B53" w:rsidP="00C8412F">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67" w:type="dxa"/>
            <w:tcBorders>
              <w:top w:val="single" w:sz="4" w:space="0" w:color="000000"/>
              <w:left w:val="nil"/>
              <w:bottom w:val="nil"/>
              <w:right w:val="nil"/>
            </w:tcBorders>
            <w:noWrap/>
            <w:vAlign w:val="center"/>
          </w:tcPr>
          <w:p w14:paraId="7F7A9BBF" w14:textId="77777777" w:rsidR="00B20B53" w:rsidRPr="008A7800" w:rsidRDefault="00B20B53" w:rsidP="00C8412F">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auto"/>
            </w:tcBorders>
            <w:noWrap/>
            <w:vAlign w:val="center"/>
          </w:tcPr>
          <w:p w14:paraId="1DB5F962"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67" w:type="dxa"/>
            <w:tcBorders>
              <w:top w:val="nil"/>
              <w:left w:val="single" w:sz="4" w:space="0" w:color="auto"/>
              <w:bottom w:val="nil"/>
              <w:right w:val="nil"/>
            </w:tcBorders>
            <w:noWrap/>
            <w:vAlign w:val="center"/>
          </w:tcPr>
          <w:p w14:paraId="692CD5FA"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nil"/>
              <w:left w:val="nil"/>
              <w:bottom w:val="nil"/>
              <w:right w:val="nil"/>
            </w:tcBorders>
            <w:noWrap/>
            <w:vAlign w:val="center"/>
          </w:tcPr>
          <w:p w14:paraId="7819CC8E"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FFFFFF" w:themeFill="background1"/>
            <w:noWrap/>
            <w:vAlign w:val="center"/>
          </w:tcPr>
          <w:p w14:paraId="10C963A4"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616" w:type="dxa"/>
            <w:tcBorders>
              <w:top w:val="nil"/>
              <w:left w:val="single" w:sz="4" w:space="0" w:color="000000"/>
              <w:bottom w:val="nil"/>
              <w:right w:val="nil"/>
            </w:tcBorders>
          </w:tcPr>
          <w:p w14:paraId="19004E64"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67" w:type="dxa"/>
            <w:tcBorders>
              <w:top w:val="nil"/>
              <w:left w:val="nil"/>
              <w:bottom w:val="nil"/>
              <w:right w:val="nil"/>
            </w:tcBorders>
          </w:tcPr>
          <w:p w14:paraId="3BCC1491"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single" w:sz="4" w:space="0" w:color="000000"/>
            </w:tcBorders>
          </w:tcPr>
          <w:p w14:paraId="1F3DC808"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456" w:type="dxa"/>
            <w:tcBorders>
              <w:top w:val="nil"/>
              <w:left w:val="single" w:sz="4" w:space="0" w:color="000000"/>
              <w:bottom w:val="nil"/>
              <w:right w:val="nil"/>
            </w:tcBorders>
          </w:tcPr>
          <w:p w14:paraId="202FAE14"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76" w:type="dxa"/>
            <w:tcBorders>
              <w:top w:val="nil"/>
              <w:left w:val="nil"/>
              <w:bottom w:val="nil"/>
              <w:right w:val="nil"/>
            </w:tcBorders>
          </w:tcPr>
          <w:p w14:paraId="60360091"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nil"/>
            </w:tcBorders>
          </w:tcPr>
          <w:p w14:paraId="12C0A993"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r>
      <w:tr w:rsidR="009118DA" w:rsidRPr="008A7800" w14:paraId="5B32E0AB"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vAlign w:val="center"/>
          </w:tcPr>
          <w:p w14:paraId="2A74D7CB" w14:textId="77777777" w:rsidR="00B20B53" w:rsidRPr="008A7800" w:rsidRDefault="00B20B53" w:rsidP="00C8412F">
            <w:pPr>
              <w:tabs>
                <w:tab w:val="left" w:pos="176"/>
              </w:tabs>
              <w:spacing w:before="20" w:after="20"/>
              <w:ind w:left="176"/>
              <w:rPr>
                <w:rFonts w:eastAsiaTheme="minorEastAsia"/>
                <w:b w:val="0"/>
                <w:sz w:val="18"/>
                <w:szCs w:val="18"/>
                <w:lang w:eastAsia="en-US"/>
              </w:rPr>
            </w:pPr>
            <w:r w:rsidRPr="008A7800">
              <w:rPr>
                <w:rFonts w:eastAsiaTheme="minorEastAsia"/>
                <w:b w:val="0"/>
                <w:sz w:val="18"/>
                <w:szCs w:val="18"/>
                <w:lang w:eastAsia="en-US"/>
              </w:rPr>
              <w:t>Up to 15 minutes</w:t>
            </w:r>
          </w:p>
        </w:tc>
        <w:tc>
          <w:tcPr>
            <w:tcW w:w="567" w:type="dxa"/>
            <w:tcBorders>
              <w:top w:val="nil"/>
              <w:left w:val="nil"/>
              <w:bottom w:val="nil"/>
              <w:right w:val="nil"/>
            </w:tcBorders>
            <w:noWrap/>
            <w:vAlign w:val="center"/>
          </w:tcPr>
          <w:p w14:paraId="5F874B27"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120</w:t>
            </w:r>
          </w:p>
        </w:tc>
        <w:tc>
          <w:tcPr>
            <w:tcW w:w="567" w:type="dxa"/>
            <w:tcBorders>
              <w:top w:val="nil"/>
              <w:left w:val="nil"/>
              <w:bottom w:val="nil"/>
              <w:right w:val="nil"/>
            </w:tcBorders>
            <w:noWrap/>
            <w:vAlign w:val="center"/>
          </w:tcPr>
          <w:p w14:paraId="645B1126"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23.4</w:t>
            </w:r>
          </w:p>
        </w:tc>
        <w:tc>
          <w:tcPr>
            <w:tcW w:w="1146" w:type="dxa"/>
            <w:tcBorders>
              <w:top w:val="nil"/>
              <w:left w:val="nil"/>
              <w:bottom w:val="nil"/>
              <w:right w:val="single" w:sz="4" w:space="0" w:color="auto"/>
            </w:tcBorders>
            <w:noWrap/>
            <w:vAlign w:val="center"/>
          </w:tcPr>
          <w:p w14:paraId="14ADD3EC"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(18.4, 28.4)</w:t>
            </w:r>
          </w:p>
        </w:tc>
        <w:tc>
          <w:tcPr>
            <w:tcW w:w="567" w:type="dxa"/>
            <w:tcBorders>
              <w:top w:val="nil"/>
              <w:left w:val="single" w:sz="4" w:space="0" w:color="auto"/>
              <w:bottom w:val="nil"/>
              <w:right w:val="nil"/>
            </w:tcBorders>
            <w:noWrap/>
            <w:vAlign w:val="center"/>
          </w:tcPr>
          <w:p w14:paraId="6BA7B489"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43</w:t>
            </w:r>
          </w:p>
        </w:tc>
        <w:tc>
          <w:tcPr>
            <w:tcW w:w="621" w:type="dxa"/>
            <w:tcBorders>
              <w:top w:val="nil"/>
              <w:left w:val="nil"/>
              <w:bottom w:val="nil"/>
              <w:right w:val="nil"/>
            </w:tcBorders>
            <w:noWrap/>
            <w:vAlign w:val="center"/>
          </w:tcPr>
          <w:p w14:paraId="1BC5E7A1"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18.9</w:t>
            </w:r>
          </w:p>
        </w:tc>
        <w:tc>
          <w:tcPr>
            <w:tcW w:w="1146" w:type="dxa"/>
            <w:tcBorders>
              <w:top w:val="nil"/>
              <w:left w:val="nil"/>
              <w:bottom w:val="nil"/>
              <w:right w:val="single" w:sz="4" w:space="0" w:color="000000"/>
            </w:tcBorders>
            <w:shd w:val="clear" w:color="auto" w:fill="FFFFFF" w:themeFill="background1"/>
            <w:noWrap/>
            <w:vAlign w:val="center"/>
          </w:tcPr>
          <w:p w14:paraId="1253C8B5"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(12.2, 25.6)</w:t>
            </w:r>
          </w:p>
        </w:tc>
        <w:tc>
          <w:tcPr>
            <w:tcW w:w="616" w:type="dxa"/>
            <w:tcBorders>
              <w:top w:val="nil"/>
              <w:left w:val="single" w:sz="4" w:space="0" w:color="000000"/>
              <w:bottom w:val="nil"/>
              <w:right w:val="nil"/>
            </w:tcBorders>
            <w:shd w:val="clear" w:color="auto" w:fill="FFFFFF" w:themeFill="background1"/>
            <w:vAlign w:val="center"/>
          </w:tcPr>
          <w:p w14:paraId="33478A97"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39</w:t>
            </w:r>
          </w:p>
        </w:tc>
        <w:tc>
          <w:tcPr>
            <w:tcW w:w="567" w:type="dxa"/>
            <w:tcBorders>
              <w:top w:val="nil"/>
              <w:left w:val="nil"/>
              <w:bottom w:val="nil"/>
              <w:right w:val="nil"/>
            </w:tcBorders>
            <w:shd w:val="clear" w:color="auto" w:fill="FFFFFF" w:themeFill="background1"/>
            <w:vAlign w:val="center"/>
          </w:tcPr>
          <w:p w14:paraId="5A9C9D98"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19.7</w:t>
            </w:r>
          </w:p>
        </w:tc>
        <w:tc>
          <w:tcPr>
            <w:tcW w:w="1146" w:type="dxa"/>
            <w:tcBorders>
              <w:top w:val="nil"/>
              <w:left w:val="nil"/>
              <w:bottom w:val="nil"/>
              <w:right w:val="single" w:sz="4" w:space="0" w:color="000000"/>
            </w:tcBorders>
            <w:shd w:val="clear" w:color="auto" w:fill="FFFFFF" w:themeFill="background1"/>
            <w:vAlign w:val="center"/>
          </w:tcPr>
          <w:p w14:paraId="4556A8C9"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(12.7, 26.7)</w:t>
            </w:r>
          </w:p>
        </w:tc>
        <w:tc>
          <w:tcPr>
            <w:tcW w:w="456" w:type="dxa"/>
            <w:tcBorders>
              <w:top w:val="nil"/>
              <w:left w:val="single" w:sz="4" w:space="0" w:color="000000"/>
              <w:bottom w:val="nil"/>
              <w:right w:val="nil"/>
            </w:tcBorders>
            <w:shd w:val="clear" w:color="auto" w:fill="FFFFFF" w:themeFill="background1"/>
            <w:vAlign w:val="center"/>
          </w:tcPr>
          <w:p w14:paraId="2895F552"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30</w:t>
            </w:r>
          </w:p>
        </w:tc>
        <w:tc>
          <w:tcPr>
            <w:tcW w:w="576" w:type="dxa"/>
            <w:tcBorders>
              <w:top w:val="nil"/>
              <w:left w:val="nil"/>
              <w:bottom w:val="nil"/>
              <w:right w:val="nil"/>
            </w:tcBorders>
            <w:shd w:val="clear" w:color="auto" w:fill="FFFFFF" w:themeFill="background1"/>
            <w:vAlign w:val="center"/>
          </w:tcPr>
          <w:p w14:paraId="1BF11D83"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18.6</w:t>
            </w:r>
          </w:p>
        </w:tc>
        <w:tc>
          <w:tcPr>
            <w:tcW w:w="1146" w:type="dxa"/>
            <w:tcBorders>
              <w:top w:val="nil"/>
              <w:left w:val="nil"/>
              <w:bottom w:val="nil"/>
              <w:right w:val="nil"/>
            </w:tcBorders>
            <w:shd w:val="clear" w:color="auto" w:fill="FFFFFF" w:themeFill="background1"/>
            <w:vAlign w:val="center"/>
          </w:tcPr>
          <w:p w14:paraId="0C05F273"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(8.5, 28.6)</w:t>
            </w:r>
          </w:p>
        </w:tc>
      </w:tr>
      <w:tr w:rsidR="009118DA" w:rsidRPr="008A7800" w14:paraId="6414D8A1"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vAlign w:val="center"/>
          </w:tcPr>
          <w:p w14:paraId="49E1F77B" w14:textId="77777777" w:rsidR="00B20B53" w:rsidRPr="008A7800" w:rsidRDefault="00B20B53" w:rsidP="00C8412F">
            <w:pPr>
              <w:tabs>
                <w:tab w:val="left" w:pos="176"/>
              </w:tabs>
              <w:spacing w:before="20" w:after="20"/>
              <w:ind w:left="176"/>
              <w:rPr>
                <w:rFonts w:eastAsiaTheme="minorEastAsia"/>
                <w:b w:val="0"/>
                <w:sz w:val="18"/>
                <w:szCs w:val="18"/>
                <w:lang w:eastAsia="en-US"/>
              </w:rPr>
            </w:pPr>
            <w:r w:rsidRPr="008A7800">
              <w:rPr>
                <w:rFonts w:eastAsiaTheme="minorEastAsia"/>
                <w:b w:val="0"/>
                <w:sz w:val="18"/>
                <w:szCs w:val="18"/>
                <w:lang w:eastAsia="en-US"/>
              </w:rPr>
              <w:t>16 - 30 minutes</w:t>
            </w:r>
          </w:p>
        </w:tc>
        <w:tc>
          <w:tcPr>
            <w:tcW w:w="567" w:type="dxa"/>
            <w:tcBorders>
              <w:top w:val="nil"/>
              <w:left w:val="nil"/>
              <w:bottom w:val="nil"/>
              <w:right w:val="nil"/>
            </w:tcBorders>
            <w:noWrap/>
            <w:vAlign w:val="center"/>
          </w:tcPr>
          <w:p w14:paraId="7CE01115"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118</w:t>
            </w:r>
          </w:p>
        </w:tc>
        <w:tc>
          <w:tcPr>
            <w:tcW w:w="567" w:type="dxa"/>
            <w:tcBorders>
              <w:top w:val="nil"/>
              <w:left w:val="nil"/>
              <w:bottom w:val="nil"/>
              <w:right w:val="nil"/>
            </w:tcBorders>
            <w:noWrap/>
            <w:vAlign w:val="center"/>
          </w:tcPr>
          <w:p w14:paraId="3AFC45F2"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23.1</w:t>
            </w:r>
          </w:p>
        </w:tc>
        <w:tc>
          <w:tcPr>
            <w:tcW w:w="1146" w:type="dxa"/>
            <w:tcBorders>
              <w:top w:val="nil"/>
              <w:left w:val="nil"/>
              <w:bottom w:val="nil"/>
              <w:right w:val="single" w:sz="4" w:space="0" w:color="auto"/>
            </w:tcBorders>
            <w:noWrap/>
            <w:vAlign w:val="center"/>
          </w:tcPr>
          <w:p w14:paraId="7B141D5E"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(18.1, 28.0)</w:t>
            </w:r>
          </w:p>
        </w:tc>
        <w:tc>
          <w:tcPr>
            <w:tcW w:w="567" w:type="dxa"/>
            <w:tcBorders>
              <w:top w:val="nil"/>
              <w:left w:val="single" w:sz="4" w:space="0" w:color="auto"/>
              <w:bottom w:val="nil"/>
              <w:right w:val="nil"/>
            </w:tcBorders>
            <w:noWrap/>
            <w:vAlign w:val="center"/>
          </w:tcPr>
          <w:p w14:paraId="4DB791CA"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54</w:t>
            </w:r>
          </w:p>
        </w:tc>
        <w:tc>
          <w:tcPr>
            <w:tcW w:w="621" w:type="dxa"/>
            <w:tcBorders>
              <w:top w:val="nil"/>
              <w:left w:val="nil"/>
              <w:bottom w:val="nil"/>
              <w:right w:val="nil"/>
            </w:tcBorders>
            <w:noWrap/>
            <w:vAlign w:val="center"/>
          </w:tcPr>
          <w:p w14:paraId="1660C8EE"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23.9</w:t>
            </w:r>
          </w:p>
        </w:tc>
        <w:tc>
          <w:tcPr>
            <w:tcW w:w="1146" w:type="dxa"/>
            <w:tcBorders>
              <w:top w:val="nil"/>
              <w:left w:val="nil"/>
              <w:bottom w:val="nil"/>
              <w:right w:val="single" w:sz="4" w:space="0" w:color="000000"/>
            </w:tcBorders>
            <w:shd w:val="clear" w:color="auto" w:fill="FFFFFF" w:themeFill="background1"/>
            <w:noWrap/>
            <w:vAlign w:val="center"/>
          </w:tcPr>
          <w:p w14:paraId="1A08FE12"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(16.5, 31.3)</w:t>
            </w:r>
          </w:p>
        </w:tc>
        <w:tc>
          <w:tcPr>
            <w:tcW w:w="616" w:type="dxa"/>
            <w:tcBorders>
              <w:top w:val="nil"/>
              <w:left w:val="single" w:sz="4" w:space="0" w:color="000000"/>
              <w:bottom w:val="nil"/>
              <w:right w:val="nil"/>
            </w:tcBorders>
            <w:shd w:val="clear" w:color="auto" w:fill="FFFFFF" w:themeFill="background1"/>
            <w:vAlign w:val="center"/>
          </w:tcPr>
          <w:p w14:paraId="6607C770"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52</w:t>
            </w:r>
          </w:p>
        </w:tc>
        <w:tc>
          <w:tcPr>
            <w:tcW w:w="567" w:type="dxa"/>
            <w:tcBorders>
              <w:top w:val="nil"/>
              <w:left w:val="nil"/>
              <w:bottom w:val="nil"/>
              <w:right w:val="nil"/>
            </w:tcBorders>
            <w:shd w:val="clear" w:color="auto" w:fill="FFFFFF" w:themeFill="background1"/>
            <w:vAlign w:val="center"/>
          </w:tcPr>
          <w:p w14:paraId="537AF7CA"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26.4</w:t>
            </w:r>
          </w:p>
        </w:tc>
        <w:tc>
          <w:tcPr>
            <w:tcW w:w="1146" w:type="dxa"/>
            <w:tcBorders>
              <w:top w:val="nil"/>
              <w:left w:val="nil"/>
              <w:bottom w:val="nil"/>
              <w:right w:val="single" w:sz="4" w:space="0" w:color="000000"/>
            </w:tcBorders>
            <w:shd w:val="clear" w:color="auto" w:fill="FFFFFF" w:themeFill="background1"/>
            <w:vAlign w:val="center"/>
          </w:tcPr>
          <w:p w14:paraId="2F80F400"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(18.0, 34.8)</w:t>
            </w:r>
          </w:p>
        </w:tc>
        <w:tc>
          <w:tcPr>
            <w:tcW w:w="456" w:type="dxa"/>
            <w:tcBorders>
              <w:top w:val="nil"/>
              <w:left w:val="single" w:sz="4" w:space="0" w:color="000000"/>
              <w:bottom w:val="nil"/>
              <w:right w:val="nil"/>
            </w:tcBorders>
            <w:shd w:val="clear" w:color="auto" w:fill="FFFFFF" w:themeFill="background1"/>
            <w:vAlign w:val="center"/>
          </w:tcPr>
          <w:p w14:paraId="011D61E5"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41</w:t>
            </w:r>
          </w:p>
        </w:tc>
        <w:tc>
          <w:tcPr>
            <w:tcW w:w="576" w:type="dxa"/>
            <w:tcBorders>
              <w:top w:val="nil"/>
              <w:left w:val="nil"/>
              <w:bottom w:val="nil"/>
              <w:right w:val="nil"/>
            </w:tcBorders>
            <w:shd w:val="clear" w:color="auto" w:fill="FFFFFF" w:themeFill="background1"/>
            <w:vAlign w:val="center"/>
          </w:tcPr>
          <w:p w14:paraId="5F414304"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25.4</w:t>
            </w:r>
          </w:p>
        </w:tc>
        <w:tc>
          <w:tcPr>
            <w:tcW w:w="1146" w:type="dxa"/>
            <w:tcBorders>
              <w:top w:val="nil"/>
              <w:left w:val="nil"/>
              <w:bottom w:val="nil"/>
              <w:right w:val="nil"/>
            </w:tcBorders>
            <w:shd w:val="clear" w:color="auto" w:fill="FFFFFF" w:themeFill="background1"/>
            <w:vAlign w:val="center"/>
          </w:tcPr>
          <w:p w14:paraId="65B4CC77"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(15.9, 34.8)</w:t>
            </w:r>
          </w:p>
        </w:tc>
      </w:tr>
      <w:tr w:rsidR="009118DA" w:rsidRPr="008A7800" w14:paraId="6ED082A8"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vAlign w:val="center"/>
          </w:tcPr>
          <w:p w14:paraId="0EC78BCE" w14:textId="77777777" w:rsidR="00B20B53" w:rsidRPr="008A7800" w:rsidRDefault="00B20B53" w:rsidP="00C8412F">
            <w:pPr>
              <w:tabs>
                <w:tab w:val="left" w:pos="176"/>
              </w:tabs>
              <w:spacing w:before="20" w:after="20"/>
              <w:ind w:left="176"/>
              <w:rPr>
                <w:rFonts w:eastAsiaTheme="minorEastAsia"/>
                <w:b w:val="0"/>
                <w:sz w:val="18"/>
                <w:szCs w:val="18"/>
                <w:lang w:eastAsia="en-US"/>
              </w:rPr>
            </w:pPr>
            <w:r w:rsidRPr="008A7800">
              <w:rPr>
                <w:rFonts w:eastAsiaTheme="minorEastAsia"/>
                <w:b w:val="0"/>
                <w:sz w:val="18"/>
                <w:szCs w:val="18"/>
                <w:lang w:eastAsia="en-US"/>
              </w:rPr>
              <w:t>31 - 60 minutes</w:t>
            </w:r>
          </w:p>
        </w:tc>
        <w:tc>
          <w:tcPr>
            <w:tcW w:w="567" w:type="dxa"/>
            <w:tcBorders>
              <w:top w:val="nil"/>
              <w:left w:val="nil"/>
              <w:bottom w:val="nil"/>
              <w:right w:val="nil"/>
            </w:tcBorders>
            <w:noWrap/>
            <w:vAlign w:val="center"/>
          </w:tcPr>
          <w:p w14:paraId="184B2638"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113</w:t>
            </w:r>
          </w:p>
        </w:tc>
        <w:tc>
          <w:tcPr>
            <w:tcW w:w="567" w:type="dxa"/>
            <w:tcBorders>
              <w:top w:val="nil"/>
              <w:left w:val="nil"/>
              <w:bottom w:val="nil"/>
              <w:right w:val="nil"/>
            </w:tcBorders>
            <w:noWrap/>
            <w:vAlign w:val="center"/>
          </w:tcPr>
          <w:p w14:paraId="1605F7A8"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22.1</w:t>
            </w:r>
          </w:p>
        </w:tc>
        <w:tc>
          <w:tcPr>
            <w:tcW w:w="1146" w:type="dxa"/>
            <w:tcBorders>
              <w:top w:val="nil"/>
              <w:left w:val="nil"/>
              <w:bottom w:val="nil"/>
              <w:right w:val="single" w:sz="4" w:space="0" w:color="auto"/>
            </w:tcBorders>
            <w:noWrap/>
            <w:vAlign w:val="center"/>
          </w:tcPr>
          <w:p w14:paraId="7DFA9C2E"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(17.7, 26.4)</w:t>
            </w:r>
          </w:p>
        </w:tc>
        <w:tc>
          <w:tcPr>
            <w:tcW w:w="567" w:type="dxa"/>
            <w:tcBorders>
              <w:top w:val="nil"/>
              <w:left w:val="single" w:sz="4" w:space="0" w:color="auto"/>
              <w:bottom w:val="nil"/>
              <w:right w:val="nil"/>
            </w:tcBorders>
            <w:noWrap/>
            <w:vAlign w:val="center"/>
          </w:tcPr>
          <w:p w14:paraId="12467ABD"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47</w:t>
            </w:r>
          </w:p>
        </w:tc>
        <w:tc>
          <w:tcPr>
            <w:tcW w:w="621" w:type="dxa"/>
            <w:tcBorders>
              <w:top w:val="nil"/>
              <w:left w:val="nil"/>
              <w:bottom w:val="nil"/>
              <w:right w:val="nil"/>
            </w:tcBorders>
            <w:noWrap/>
            <w:vAlign w:val="center"/>
          </w:tcPr>
          <w:p w14:paraId="34DF5909"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20.7</w:t>
            </w:r>
          </w:p>
        </w:tc>
        <w:tc>
          <w:tcPr>
            <w:tcW w:w="1146" w:type="dxa"/>
            <w:tcBorders>
              <w:top w:val="nil"/>
              <w:left w:val="nil"/>
              <w:bottom w:val="nil"/>
              <w:right w:val="single" w:sz="4" w:space="0" w:color="000000"/>
            </w:tcBorders>
            <w:shd w:val="clear" w:color="auto" w:fill="FFFFFF" w:themeFill="background1"/>
            <w:noWrap/>
            <w:vAlign w:val="center"/>
          </w:tcPr>
          <w:p w14:paraId="776786D5"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(14.8, 26.5)</w:t>
            </w:r>
          </w:p>
        </w:tc>
        <w:tc>
          <w:tcPr>
            <w:tcW w:w="616" w:type="dxa"/>
            <w:tcBorders>
              <w:top w:val="nil"/>
              <w:left w:val="single" w:sz="4" w:space="0" w:color="000000"/>
              <w:bottom w:val="nil"/>
              <w:right w:val="nil"/>
            </w:tcBorders>
            <w:shd w:val="clear" w:color="auto" w:fill="FFFFFF" w:themeFill="background1"/>
            <w:vAlign w:val="center"/>
          </w:tcPr>
          <w:p w14:paraId="59AC8E0B"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47</w:t>
            </w:r>
          </w:p>
        </w:tc>
        <w:tc>
          <w:tcPr>
            <w:tcW w:w="567" w:type="dxa"/>
            <w:tcBorders>
              <w:top w:val="nil"/>
              <w:left w:val="nil"/>
              <w:bottom w:val="nil"/>
              <w:right w:val="nil"/>
            </w:tcBorders>
            <w:shd w:val="clear" w:color="auto" w:fill="FFFFFF" w:themeFill="background1"/>
            <w:vAlign w:val="center"/>
          </w:tcPr>
          <w:p w14:paraId="4BD20ECB"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23.6</w:t>
            </w:r>
          </w:p>
        </w:tc>
        <w:tc>
          <w:tcPr>
            <w:tcW w:w="1146" w:type="dxa"/>
            <w:tcBorders>
              <w:top w:val="nil"/>
              <w:left w:val="nil"/>
              <w:bottom w:val="nil"/>
              <w:right w:val="single" w:sz="4" w:space="0" w:color="000000"/>
            </w:tcBorders>
            <w:shd w:val="clear" w:color="auto" w:fill="FFFFFF" w:themeFill="background1"/>
            <w:vAlign w:val="center"/>
          </w:tcPr>
          <w:p w14:paraId="548E5092"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(16.4, 30.7)</w:t>
            </w:r>
          </w:p>
        </w:tc>
        <w:tc>
          <w:tcPr>
            <w:tcW w:w="456" w:type="dxa"/>
            <w:tcBorders>
              <w:top w:val="nil"/>
              <w:left w:val="single" w:sz="4" w:space="0" w:color="000000"/>
              <w:bottom w:val="nil"/>
              <w:right w:val="nil"/>
            </w:tcBorders>
            <w:shd w:val="clear" w:color="auto" w:fill="FFFFFF" w:themeFill="background1"/>
            <w:vAlign w:val="center"/>
          </w:tcPr>
          <w:p w14:paraId="72B5CE2C"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28</w:t>
            </w:r>
          </w:p>
        </w:tc>
        <w:tc>
          <w:tcPr>
            <w:tcW w:w="576" w:type="dxa"/>
            <w:tcBorders>
              <w:top w:val="nil"/>
              <w:left w:val="nil"/>
              <w:bottom w:val="nil"/>
              <w:right w:val="nil"/>
            </w:tcBorders>
            <w:shd w:val="clear" w:color="auto" w:fill="FFFFFF" w:themeFill="background1"/>
            <w:vAlign w:val="center"/>
          </w:tcPr>
          <w:p w14:paraId="43B365B8"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17.1</w:t>
            </w:r>
          </w:p>
        </w:tc>
        <w:tc>
          <w:tcPr>
            <w:tcW w:w="1146" w:type="dxa"/>
            <w:tcBorders>
              <w:top w:val="nil"/>
              <w:left w:val="nil"/>
              <w:bottom w:val="nil"/>
              <w:right w:val="nil"/>
            </w:tcBorders>
            <w:shd w:val="clear" w:color="auto" w:fill="FFFFFF" w:themeFill="background1"/>
            <w:vAlign w:val="center"/>
          </w:tcPr>
          <w:p w14:paraId="545227DF"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(10.5, 23.7)</w:t>
            </w:r>
          </w:p>
        </w:tc>
      </w:tr>
      <w:tr w:rsidR="009118DA" w:rsidRPr="008A7800" w14:paraId="619A8413"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vAlign w:val="center"/>
          </w:tcPr>
          <w:p w14:paraId="50314F68" w14:textId="77777777" w:rsidR="00B20B53" w:rsidRPr="008A7800" w:rsidRDefault="00B20B53" w:rsidP="00C8412F">
            <w:pPr>
              <w:tabs>
                <w:tab w:val="left" w:pos="176"/>
              </w:tabs>
              <w:spacing w:before="20" w:after="60"/>
              <w:ind w:left="176"/>
              <w:rPr>
                <w:rFonts w:eastAsiaTheme="minorEastAsia"/>
                <w:b w:val="0"/>
                <w:sz w:val="18"/>
                <w:szCs w:val="18"/>
                <w:lang w:eastAsia="en-US"/>
              </w:rPr>
            </w:pPr>
            <w:r w:rsidRPr="008A7800">
              <w:rPr>
                <w:rFonts w:eastAsiaTheme="minorEastAsia"/>
                <w:b w:val="0"/>
                <w:sz w:val="18"/>
                <w:szCs w:val="18"/>
                <w:lang w:eastAsia="en-US"/>
              </w:rPr>
              <w:t>&gt; 60 minutes</w:t>
            </w:r>
          </w:p>
        </w:tc>
        <w:tc>
          <w:tcPr>
            <w:tcW w:w="567" w:type="dxa"/>
            <w:tcBorders>
              <w:top w:val="nil"/>
              <w:left w:val="nil"/>
              <w:bottom w:val="nil"/>
              <w:right w:val="nil"/>
            </w:tcBorders>
            <w:noWrap/>
            <w:vAlign w:val="center"/>
          </w:tcPr>
          <w:p w14:paraId="0EC023AC"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161</w:t>
            </w:r>
          </w:p>
        </w:tc>
        <w:tc>
          <w:tcPr>
            <w:tcW w:w="567" w:type="dxa"/>
            <w:tcBorders>
              <w:top w:val="nil"/>
              <w:left w:val="nil"/>
              <w:bottom w:val="nil"/>
              <w:right w:val="nil"/>
            </w:tcBorders>
            <w:noWrap/>
            <w:vAlign w:val="center"/>
          </w:tcPr>
          <w:p w14:paraId="7C253D9F"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31.5</w:t>
            </w:r>
          </w:p>
        </w:tc>
        <w:tc>
          <w:tcPr>
            <w:tcW w:w="1146" w:type="dxa"/>
            <w:tcBorders>
              <w:top w:val="nil"/>
              <w:left w:val="nil"/>
              <w:bottom w:val="nil"/>
              <w:right w:val="single" w:sz="4" w:space="0" w:color="auto"/>
            </w:tcBorders>
            <w:noWrap/>
            <w:vAlign w:val="center"/>
          </w:tcPr>
          <w:p w14:paraId="3BB9E92F"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(26.7, 36.2)</w:t>
            </w:r>
          </w:p>
        </w:tc>
        <w:tc>
          <w:tcPr>
            <w:tcW w:w="567" w:type="dxa"/>
            <w:tcBorders>
              <w:top w:val="nil"/>
              <w:left w:val="single" w:sz="4" w:space="0" w:color="auto"/>
              <w:bottom w:val="nil"/>
              <w:right w:val="nil"/>
            </w:tcBorders>
            <w:noWrap/>
            <w:vAlign w:val="center"/>
          </w:tcPr>
          <w:p w14:paraId="6633839E"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83</w:t>
            </w:r>
          </w:p>
        </w:tc>
        <w:tc>
          <w:tcPr>
            <w:tcW w:w="621" w:type="dxa"/>
            <w:tcBorders>
              <w:top w:val="nil"/>
              <w:left w:val="nil"/>
              <w:bottom w:val="nil"/>
              <w:right w:val="nil"/>
            </w:tcBorders>
            <w:noWrap/>
            <w:vAlign w:val="center"/>
          </w:tcPr>
          <w:p w14:paraId="614D328B"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36.5</w:t>
            </w:r>
          </w:p>
        </w:tc>
        <w:tc>
          <w:tcPr>
            <w:tcW w:w="1146" w:type="dxa"/>
            <w:tcBorders>
              <w:top w:val="nil"/>
              <w:left w:val="nil"/>
              <w:bottom w:val="nil"/>
              <w:right w:val="single" w:sz="4" w:space="0" w:color="000000"/>
            </w:tcBorders>
            <w:shd w:val="clear" w:color="auto" w:fill="FFFFFF" w:themeFill="background1"/>
            <w:noWrap/>
            <w:vAlign w:val="center"/>
          </w:tcPr>
          <w:p w14:paraId="6998D8C8"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(29.2, 43.8)</w:t>
            </w:r>
          </w:p>
        </w:tc>
        <w:tc>
          <w:tcPr>
            <w:tcW w:w="616" w:type="dxa"/>
            <w:tcBorders>
              <w:top w:val="nil"/>
              <w:left w:val="single" w:sz="4" w:space="0" w:color="000000"/>
              <w:bottom w:val="nil"/>
              <w:right w:val="nil"/>
            </w:tcBorders>
            <w:shd w:val="clear" w:color="auto" w:fill="FFFFFF" w:themeFill="background1"/>
            <w:vAlign w:val="center"/>
          </w:tcPr>
          <w:p w14:paraId="27C16C24"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60</w:t>
            </w:r>
          </w:p>
        </w:tc>
        <w:tc>
          <w:tcPr>
            <w:tcW w:w="567" w:type="dxa"/>
            <w:tcBorders>
              <w:top w:val="nil"/>
              <w:left w:val="nil"/>
              <w:bottom w:val="nil"/>
              <w:right w:val="nil"/>
            </w:tcBorders>
            <w:shd w:val="clear" w:color="auto" w:fill="FFFFFF" w:themeFill="background1"/>
            <w:vAlign w:val="center"/>
          </w:tcPr>
          <w:p w14:paraId="425E61BE"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30.4</w:t>
            </w:r>
          </w:p>
        </w:tc>
        <w:tc>
          <w:tcPr>
            <w:tcW w:w="1146" w:type="dxa"/>
            <w:tcBorders>
              <w:top w:val="nil"/>
              <w:left w:val="nil"/>
              <w:bottom w:val="nil"/>
              <w:right w:val="single" w:sz="4" w:space="0" w:color="000000"/>
            </w:tcBorders>
            <w:shd w:val="clear" w:color="auto" w:fill="FFFFFF" w:themeFill="background1"/>
            <w:vAlign w:val="center"/>
          </w:tcPr>
          <w:p w14:paraId="39D8867F"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(22.9, 37.9)</w:t>
            </w:r>
          </w:p>
        </w:tc>
        <w:tc>
          <w:tcPr>
            <w:tcW w:w="456" w:type="dxa"/>
            <w:tcBorders>
              <w:top w:val="nil"/>
              <w:left w:val="single" w:sz="4" w:space="0" w:color="000000"/>
              <w:bottom w:val="nil"/>
              <w:right w:val="nil"/>
            </w:tcBorders>
            <w:shd w:val="clear" w:color="auto" w:fill="FFFFFF" w:themeFill="background1"/>
            <w:vAlign w:val="center"/>
          </w:tcPr>
          <w:p w14:paraId="42AC931F"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63</w:t>
            </w:r>
          </w:p>
        </w:tc>
        <w:tc>
          <w:tcPr>
            <w:tcW w:w="576" w:type="dxa"/>
            <w:tcBorders>
              <w:top w:val="nil"/>
              <w:left w:val="nil"/>
              <w:bottom w:val="nil"/>
              <w:right w:val="nil"/>
            </w:tcBorders>
            <w:shd w:val="clear" w:color="auto" w:fill="FFFFFF" w:themeFill="background1"/>
            <w:vAlign w:val="center"/>
          </w:tcPr>
          <w:p w14:paraId="7194F60F"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39.0</w:t>
            </w:r>
          </w:p>
        </w:tc>
        <w:tc>
          <w:tcPr>
            <w:tcW w:w="1146" w:type="dxa"/>
            <w:tcBorders>
              <w:top w:val="nil"/>
              <w:left w:val="nil"/>
              <w:bottom w:val="nil"/>
              <w:right w:val="nil"/>
            </w:tcBorders>
            <w:shd w:val="clear" w:color="auto" w:fill="FFFFFF" w:themeFill="background1"/>
            <w:vAlign w:val="center"/>
          </w:tcPr>
          <w:p w14:paraId="7AB08991"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(29.7, 48.3)</w:t>
            </w:r>
          </w:p>
        </w:tc>
      </w:tr>
      <w:tr w:rsidR="00B20B53" w:rsidRPr="008A7800" w14:paraId="1F017CC2"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vAlign w:val="center"/>
          </w:tcPr>
          <w:p w14:paraId="7FC9A53D" w14:textId="77777777" w:rsidR="00B20B53" w:rsidRPr="008A7800" w:rsidRDefault="00B20B53" w:rsidP="00C8412F">
            <w:pPr>
              <w:spacing w:before="20" w:after="20"/>
              <w:ind w:left="34"/>
              <w:rPr>
                <w:rFonts w:eastAsiaTheme="minorEastAsia"/>
                <w:sz w:val="18"/>
                <w:szCs w:val="18"/>
                <w:lang w:eastAsia="en-US"/>
              </w:rPr>
            </w:pPr>
            <w:r w:rsidRPr="008A7800">
              <w:rPr>
                <w:rFonts w:eastAsiaTheme="minorEastAsia"/>
                <w:sz w:val="18"/>
                <w:szCs w:val="18"/>
                <w:lang w:eastAsia="en-US"/>
              </w:rPr>
              <w:t>Pub</w:t>
            </w:r>
          </w:p>
        </w:tc>
        <w:tc>
          <w:tcPr>
            <w:tcW w:w="567" w:type="dxa"/>
            <w:tcBorders>
              <w:top w:val="nil"/>
              <w:left w:val="nil"/>
              <w:bottom w:val="nil"/>
              <w:right w:val="nil"/>
            </w:tcBorders>
            <w:noWrap/>
            <w:vAlign w:val="center"/>
          </w:tcPr>
          <w:p w14:paraId="75D51B47"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67" w:type="dxa"/>
            <w:tcBorders>
              <w:top w:val="nil"/>
              <w:left w:val="nil"/>
              <w:bottom w:val="nil"/>
              <w:right w:val="nil"/>
            </w:tcBorders>
            <w:noWrap/>
            <w:vAlign w:val="center"/>
          </w:tcPr>
          <w:p w14:paraId="0B847865"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auto"/>
            </w:tcBorders>
            <w:noWrap/>
            <w:vAlign w:val="center"/>
          </w:tcPr>
          <w:p w14:paraId="740B6912"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67" w:type="dxa"/>
            <w:tcBorders>
              <w:top w:val="nil"/>
              <w:left w:val="single" w:sz="4" w:space="0" w:color="auto"/>
              <w:bottom w:val="nil"/>
              <w:right w:val="nil"/>
            </w:tcBorders>
            <w:noWrap/>
            <w:vAlign w:val="center"/>
          </w:tcPr>
          <w:p w14:paraId="74CAC216"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nil"/>
              <w:left w:val="nil"/>
              <w:bottom w:val="nil"/>
              <w:right w:val="nil"/>
            </w:tcBorders>
            <w:noWrap/>
            <w:vAlign w:val="center"/>
          </w:tcPr>
          <w:p w14:paraId="2184AB39"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FFFFFF" w:themeFill="background1"/>
            <w:noWrap/>
            <w:vAlign w:val="center"/>
          </w:tcPr>
          <w:p w14:paraId="79A96C77"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616" w:type="dxa"/>
            <w:tcBorders>
              <w:top w:val="nil"/>
              <w:left w:val="single" w:sz="4" w:space="0" w:color="000000"/>
              <w:bottom w:val="nil"/>
              <w:right w:val="nil"/>
            </w:tcBorders>
            <w:vAlign w:val="center"/>
          </w:tcPr>
          <w:p w14:paraId="73B30B5C"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vAlign w:val="center"/>
          </w:tcPr>
          <w:p w14:paraId="36C7CB9F"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vAlign w:val="center"/>
          </w:tcPr>
          <w:p w14:paraId="29DB6EB3"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456" w:type="dxa"/>
            <w:tcBorders>
              <w:top w:val="nil"/>
              <w:left w:val="single" w:sz="4" w:space="0" w:color="000000"/>
              <w:bottom w:val="nil"/>
              <w:right w:val="nil"/>
            </w:tcBorders>
            <w:vAlign w:val="center"/>
          </w:tcPr>
          <w:p w14:paraId="62329DFF"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6" w:type="dxa"/>
            <w:tcBorders>
              <w:top w:val="nil"/>
              <w:left w:val="nil"/>
              <w:bottom w:val="nil"/>
              <w:right w:val="nil"/>
            </w:tcBorders>
            <w:vAlign w:val="center"/>
          </w:tcPr>
          <w:p w14:paraId="4AE418BA"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vAlign w:val="center"/>
          </w:tcPr>
          <w:p w14:paraId="2B957049"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8A7800" w14:paraId="69544A77"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vAlign w:val="center"/>
          </w:tcPr>
          <w:p w14:paraId="171BE8F5" w14:textId="77777777" w:rsidR="00B20B53" w:rsidRPr="008A7800" w:rsidRDefault="00B20B53" w:rsidP="00C8412F">
            <w:pPr>
              <w:tabs>
                <w:tab w:val="left" w:pos="176"/>
              </w:tabs>
              <w:spacing w:before="20" w:after="20"/>
              <w:ind w:left="176"/>
              <w:rPr>
                <w:rFonts w:eastAsiaTheme="minorEastAsia"/>
                <w:b w:val="0"/>
                <w:sz w:val="18"/>
                <w:szCs w:val="18"/>
                <w:lang w:eastAsia="en-US"/>
              </w:rPr>
            </w:pPr>
            <w:r w:rsidRPr="008A7800">
              <w:rPr>
                <w:rFonts w:eastAsiaTheme="minorEastAsia"/>
                <w:b w:val="0"/>
                <w:sz w:val="18"/>
                <w:szCs w:val="18"/>
                <w:lang w:eastAsia="en-US"/>
              </w:rPr>
              <w:t>Up to 15 minutes</w:t>
            </w:r>
          </w:p>
        </w:tc>
        <w:tc>
          <w:tcPr>
            <w:tcW w:w="567" w:type="dxa"/>
            <w:tcBorders>
              <w:top w:val="nil"/>
              <w:left w:val="nil"/>
              <w:bottom w:val="nil"/>
              <w:right w:val="nil"/>
            </w:tcBorders>
            <w:noWrap/>
            <w:vAlign w:val="center"/>
          </w:tcPr>
          <w:p w14:paraId="24C4C79D"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253</w:t>
            </w:r>
          </w:p>
        </w:tc>
        <w:tc>
          <w:tcPr>
            <w:tcW w:w="567" w:type="dxa"/>
            <w:tcBorders>
              <w:top w:val="nil"/>
              <w:left w:val="nil"/>
              <w:bottom w:val="nil"/>
              <w:right w:val="nil"/>
            </w:tcBorders>
            <w:noWrap/>
            <w:vAlign w:val="center"/>
          </w:tcPr>
          <w:p w14:paraId="2C2A85E3"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35.5</w:t>
            </w:r>
          </w:p>
        </w:tc>
        <w:tc>
          <w:tcPr>
            <w:tcW w:w="1146" w:type="dxa"/>
            <w:tcBorders>
              <w:top w:val="nil"/>
              <w:left w:val="nil"/>
              <w:bottom w:val="nil"/>
              <w:right w:val="single" w:sz="4" w:space="0" w:color="auto"/>
            </w:tcBorders>
            <w:noWrap/>
            <w:vAlign w:val="center"/>
          </w:tcPr>
          <w:p w14:paraId="765F239D"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(30.9, 40.1)</w:t>
            </w:r>
          </w:p>
        </w:tc>
        <w:tc>
          <w:tcPr>
            <w:tcW w:w="567" w:type="dxa"/>
            <w:tcBorders>
              <w:top w:val="nil"/>
              <w:left w:val="single" w:sz="4" w:space="0" w:color="auto"/>
              <w:bottom w:val="nil"/>
              <w:right w:val="nil"/>
            </w:tcBorders>
            <w:noWrap/>
            <w:vAlign w:val="center"/>
          </w:tcPr>
          <w:p w14:paraId="3AE6292F"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119</w:t>
            </w:r>
          </w:p>
        </w:tc>
        <w:tc>
          <w:tcPr>
            <w:tcW w:w="621" w:type="dxa"/>
            <w:tcBorders>
              <w:top w:val="nil"/>
              <w:left w:val="nil"/>
              <w:bottom w:val="nil"/>
              <w:right w:val="nil"/>
            </w:tcBorders>
            <w:noWrap/>
            <w:vAlign w:val="center"/>
          </w:tcPr>
          <w:p w14:paraId="2AC6C053"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35.8</w:t>
            </w:r>
          </w:p>
        </w:tc>
        <w:tc>
          <w:tcPr>
            <w:tcW w:w="1146" w:type="dxa"/>
            <w:tcBorders>
              <w:top w:val="nil"/>
              <w:left w:val="nil"/>
              <w:bottom w:val="nil"/>
              <w:right w:val="single" w:sz="4" w:space="0" w:color="000000"/>
            </w:tcBorders>
            <w:shd w:val="clear" w:color="auto" w:fill="FFFFFF" w:themeFill="background1"/>
            <w:noWrap/>
            <w:vAlign w:val="center"/>
          </w:tcPr>
          <w:p w14:paraId="25CCF83C"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(29.2, 42.4)</w:t>
            </w:r>
          </w:p>
        </w:tc>
        <w:tc>
          <w:tcPr>
            <w:tcW w:w="616" w:type="dxa"/>
            <w:tcBorders>
              <w:top w:val="nil"/>
              <w:left w:val="single" w:sz="4" w:space="0" w:color="000000"/>
              <w:bottom w:val="nil"/>
              <w:right w:val="nil"/>
            </w:tcBorders>
            <w:shd w:val="clear" w:color="auto" w:fill="FFFFFF" w:themeFill="background1"/>
            <w:vAlign w:val="center"/>
          </w:tcPr>
          <w:p w14:paraId="435BE598"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90</w:t>
            </w:r>
          </w:p>
        </w:tc>
        <w:tc>
          <w:tcPr>
            <w:tcW w:w="567" w:type="dxa"/>
            <w:tcBorders>
              <w:top w:val="nil"/>
              <w:left w:val="nil"/>
              <w:bottom w:val="nil"/>
              <w:right w:val="nil"/>
            </w:tcBorders>
            <w:shd w:val="clear" w:color="auto" w:fill="FFFFFF" w:themeFill="background1"/>
            <w:vAlign w:val="center"/>
          </w:tcPr>
          <w:p w14:paraId="3783E338"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34.7</w:t>
            </w:r>
          </w:p>
        </w:tc>
        <w:tc>
          <w:tcPr>
            <w:tcW w:w="1146" w:type="dxa"/>
            <w:tcBorders>
              <w:top w:val="nil"/>
              <w:left w:val="nil"/>
              <w:bottom w:val="nil"/>
              <w:right w:val="single" w:sz="4" w:space="0" w:color="000000"/>
            </w:tcBorders>
            <w:shd w:val="clear" w:color="auto" w:fill="FFFFFF" w:themeFill="background1"/>
            <w:vAlign w:val="center"/>
          </w:tcPr>
          <w:p w14:paraId="59B09D81"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(27.4, 42.0)</w:t>
            </w:r>
          </w:p>
        </w:tc>
        <w:tc>
          <w:tcPr>
            <w:tcW w:w="456" w:type="dxa"/>
            <w:tcBorders>
              <w:top w:val="nil"/>
              <w:left w:val="single" w:sz="4" w:space="0" w:color="000000"/>
              <w:bottom w:val="nil"/>
              <w:right w:val="nil"/>
            </w:tcBorders>
            <w:shd w:val="clear" w:color="auto" w:fill="FFFFFF" w:themeFill="background1"/>
            <w:vAlign w:val="center"/>
          </w:tcPr>
          <w:p w14:paraId="6797469C"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72</w:t>
            </w:r>
          </w:p>
        </w:tc>
        <w:tc>
          <w:tcPr>
            <w:tcW w:w="576" w:type="dxa"/>
            <w:tcBorders>
              <w:top w:val="nil"/>
              <w:left w:val="nil"/>
              <w:bottom w:val="nil"/>
              <w:right w:val="nil"/>
            </w:tcBorders>
            <w:shd w:val="clear" w:color="auto" w:fill="FFFFFF" w:themeFill="background1"/>
            <w:vAlign w:val="center"/>
          </w:tcPr>
          <w:p w14:paraId="317CCC54"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31.9</w:t>
            </w:r>
          </w:p>
        </w:tc>
        <w:tc>
          <w:tcPr>
            <w:tcW w:w="1146" w:type="dxa"/>
            <w:tcBorders>
              <w:top w:val="nil"/>
              <w:left w:val="nil"/>
              <w:bottom w:val="nil"/>
              <w:right w:val="nil"/>
            </w:tcBorders>
            <w:shd w:val="clear" w:color="auto" w:fill="FFFFFF" w:themeFill="background1"/>
            <w:vAlign w:val="center"/>
          </w:tcPr>
          <w:p w14:paraId="1BB77D72"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(24.1, 39.8)</w:t>
            </w:r>
          </w:p>
        </w:tc>
      </w:tr>
      <w:tr w:rsidR="009118DA" w:rsidRPr="008A7800" w14:paraId="292BFB56"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vAlign w:val="center"/>
          </w:tcPr>
          <w:p w14:paraId="61B99F14" w14:textId="77777777" w:rsidR="00B20B53" w:rsidRPr="008A7800" w:rsidRDefault="00B20B53" w:rsidP="00C8412F">
            <w:pPr>
              <w:tabs>
                <w:tab w:val="left" w:pos="176"/>
              </w:tabs>
              <w:spacing w:before="20" w:after="20"/>
              <w:ind w:left="176"/>
              <w:rPr>
                <w:rFonts w:eastAsiaTheme="minorEastAsia"/>
                <w:b w:val="0"/>
                <w:sz w:val="18"/>
                <w:szCs w:val="18"/>
                <w:lang w:eastAsia="en-US"/>
              </w:rPr>
            </w:pPr>
            <w:r w:rsidRPr="008A7800">
              <w:rPr>
                <w:rFonts w:eastAsiaTheme="minorEastAsia"/>
                <w:b w:val="0"/>
                <w:sz w:val="18"/>
                <w:szCs w:val="18"/>
                <w:lang w:eastAsia="en-US"/>
              </w:rPr>
              <w:t>16 - 30 minutes</w:t>
            </w:r>
          </w:p>
        </w:tc>
        <w:tc>
          <w:tcPr>
            <w:tcW w:w="567" w:type="dxa"/>
            <w:tcBorders>
              <w:top w:val="nil"/>
              <w:left w:val="nil"/>
              <w:bottom w:val="nil"/>
              <w:right w:val="nil"/>
            </w:tcBorders>
            <w:noWrap/>
            <w:vAlign w:val="center"/>
          </w:tcPr>
          <w:p w14:paraId="2918B907"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209</w:t>
            </w:r>
          </w:p>
        </w:tc>
        <w:tc>
          <w:tcPr>
            <w:tcW w:w="567" w:type="dxa"/>
            <w:tcBorders>
              <w:top w:val="nil"/>
              <w:left w:val="nil"/>
              <w:bottom w:val="nil"/>
              <w:right w:val="nil"/>
            </w:tcBorders>
            <w:noWrap/>
            <w:vAlign w:val="center"/>
          </w:tcPr>
          <w:p w14:paraId="347F1790"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29.3</w:t>
            </w:r>
          </w:p>
        </w:tc>
        <w:tc>
          <w:tcPr>
            <w:tcW w:w="1146" w:type="dxa"/>
            <w:tcBorders>
              <w:top w:val="nil"/>
              <w:left w:val="nil"/>
              <w:bottom w:val="nil"/>
              <w:right w:val="single" w:sz="4" w:space="0" w:color="auto"/>
            </w:tcBorders>
            <w:noWrap/>
            <w:vAlign w:val="center"/>
          </w:tcPr>
          <w:p w14:paraId="0AB7B6DF"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(25.0, 33.7)</w:t>
            </w:r>
          </w:p>
        </w:tc>
        <w:tc>
          <w:tcPr>
            <w:tcW w:w="567" w:type="dxa"/>
            <w:tcBorders>
              <w:top w:val="nil"/>
              <w:left w:val="single" w:sz="4" w:space="0" w:color="auto"/>
              <w:bottom w:val="nil"/>
              <w:right w:val="nil"/>
            </w:tcBorders>
            <w:noWrap/>
            <w:vAlign w:val="center"/>
          </w:tcPr>
          <w:p w14:paraId="44EF4E65"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97</w:t>
            </w:r>
          </w:p>
        </w:tc>
        <w:tc>
          <w:tcPr>
            <w:tcW w:w="621" w:type="dxa"/>
            <w:tcBorders>
              <w:top w:val="nil"/>
              <w:left w:val="nil"/>
              <w:bottom w:val="nil"/>
              <w:right w:val="nil"/>
            </w:tcBorders>
            <w:noWrap/>
            <w:vAlign w:val="center"/>
          </w:tcPr>
          <w:p w14:paraId="2B9F5A2D"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29.2</w:t>
            </w:r>
          </w:p>
        </w:tc>
        <w:tc>
          <w:tcPr>
            <w:tcW w:w="1146" w:type="dxa"/>
            <w:tcBorders>
              <w:top w:val="nil"/>
              <w:left w:val="nil"/>
              <w:bottom w:val="nil"/>
              <w:right w:val="single" w:sz="4" w:space="0" w:color="000000"/>
            </w:tcBorders>
            <w:shd w:val="clear" w:color="auto" w:fill="FFFFFF" w:themeFill="background1"/>
            <w:noWrap/>
            <w:vAlign w:val="center"/>
          </w:tcPr>
          <w:p w14:paraId="1B532FE4"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(23.0, 35.4)</w:t>
            </w:r>
          </w:p>
        </w:tc>
        <w:tc>
          <w:tcPr>
            <w:tcW w:w="616" w:type="dxa"/>
            <w:tcBorders>
              <w:top w:val="nil"/>
              <w:left w:val="single" w:sz="4" w:space="0" w:color="000000"/>
              <w:bottom w:val="nil"/>
              <w:right w:val="nil"/>
            </w:tcBorders>
            <w:shd w:val="clear" w:color="auto" w:fill="FFFFFF" w:themeFill="background1"/>
            <w:vAlign w:val="center"/>
          </w:tcPr>
          <w:p w14:paraId="6160F280"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81</w:t>
            </w:r>
          </w:p>
        </w:tc>
        <w:tc>
          <w:tcPr>
            <w:tcW w:w="567" w:type="dxa"/>
            <w:tcBorders>
              <w:top w:val="nil"/>
              <w:left w:val="nil"/>
              <w:bottom w:val="nil"/>
              <w:right w:val="nil"/>
            </w:tcBorders>
            <w:shd w:val="clear" w:color="auto" w:fill="FFFFFF" w:themeFill="background1"/>
            <w:vAlign w:val="center"/>
          </w:tcPr>
          <w:p w14:paraId="5F440CF0"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31.4</w:t>
            </w:r>
          </w:p>
        </w:tc>
        <w:tc>
          <w:tcPr>
            <w:tcW w:w="1146" w:type="dxa"/>
            <w:tcBorders>
              <w:top w:val="nil"/>
              <w:left w:val="nil"/>
              <w:bottom w:val="nil"/>
              <w:right w:val="single" w:sz="4" w:space="0" w:color="000000"/>
            </w:tcBorders>
            <w:shd w:val="clear" w:color="auto" w:fill="FFFFFF" w:themeFill="background1"/>
            <w:vAlign w:val="center"/>
          </w:tcPr>
          <w:p w14:paraId="50B1375E"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(24.4, 38.5)</w:t>
            </w:r>
          </w:p>
        </w:tc>
        <w:tc>
          <w:tcPr>
            <w:tcW w:w="456" w:type="dxa"/>
            <w:tcBorders>
              <w:top w:val="nil"/>
              <w:left w:val="single" w:sz="4" w:space="0" w:color="000000"/>
              <w:bottom w:val="nil"/>
              <w:right w:val="nil"/>
            </w:tcBorders>
            <w:shd w:val="clear" w:color="auto" w:fill="FFFFFF" w:themeFill="background1"/>
            <w:vAlign w:val="center"/>
          </w:tcPr>
          <w:p w14:paraId="39A5E55E"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70</w:t>
            </w:r>
          </w:p>
        </w:tc>
        <w:tc>
          <w:tcPr>
            <w:tcW w:w="576" w:type="dxa"/>
            <w:tcBorders>
              <w:top w:val="nil"/>
              <w:left w:val="nil"/>
              <w:bottom w:val="nil"/>
              <w:right w:val="nil"/>
            </w:tcBorders>
            <w:shd w:val="clear" w:color="auto" w:fill="FFFFFF" w:themeFill="background1"/>
            <w:vAlign w:val="center"/>
          </w:tcPr>
          <w:p w14:paraId="2C5D2748"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30.8</w:t>
            </w:r>
          </w:p>
        </w:tc>
        <w:tc>
          <w:tcPr>
            <w:tcW w:w="1146" w:type="dxa"/>
            <w:tcBorders>
              <w:top w:val="nil"/>
              <w:left w:val="nil"/>
              <w:bottom w:val="nil"/>
              <w:right w:val="nil"/>
            </w:tcBorders>
            <w:shd w:val="clear" w:color="auto" w:fill="FFFFFF" w:themeFill="background1"/>
            <w:vAlign w:val="center"/>
          </w:tcPr>
          <w:p w14:paraId="0CB8D0B9"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(23.2, 38.4)</w:t>
            </w:r>
          </w:p>
        </w:tc>
      </w:tr>
      <w:tr w:rsidR="009118DA" w:rsidRPr="008A7800" w14:paraId="571AFAC7"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vAlign w:val="center"/>
          </w:tcPr>
          <w:p w14:paraId="1755D994" w14:textId="77777777" w:rsidR="00B20B53" w:rsidRPr="008A7800" w:rsidRDefault="00B20B53" w:rsidP="00C8412F">
            <w:pPr>
              <w:tabs>
                <w:tab w:val="left" w:pos="176"/>
              </w:tabs>
              <w:spacing w:before="20" w:after="20"/>
              <w:ind w:left="176"/>
              <w:rPr>
                <w:rFonts w:eastAsiaTheme="minorEastAsia"/>
                <w:b w:val="0"/>
                <w:sz w:val="18"/>
                <w:szCs w:val="18"/>
                <w:lang w:eastAsia="en-US"/>
              </w:rPr>
            </w:pPr>
            <w:r w:rsidRPr="008A7800">
              <w:rPr>
                <w:rFonts w:eastAsiaTheme="minorEastAsia"/>
                <w:b w:val="0"/>
                <w:sz w:val="18"/>
                <w:szCs w:val="18"/>
                <w:lang w:eastAsia="en-US"/>
              </w:rPr>
              <w:t>31 - 60 minutes</w:t>
            </w:r>
          </w:p>
        </w:tc>
        <w:tc>
          <w:tcPr>
            <w:tcW w:w="567" w:type="dxa"/>
            <w:tcBorders>
              <w:top w:val="nil"/>
              <w:left w:val="nil"/>
              <w:bottom w:val="nil"/>
              <w:right w:val="nil"/>
            </w:tcBorders>
            <w:noWrap/>
            <w:vAlign w:val="center"/>
          </w:tcPr>
          <w:p w14:paraId="5388B33E"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148</w:t>
            </w:r>
          </w:p>
        </w:tc>
        <w:tc>
          <w:tcPr>
            <w:tcW w:w="567" w:type="dxa"/>
            <w:tcBorders>
              <w:top w:val="nil"/>
              <w:left w:val="nil"/>
              <w:bottom w:val="nil"/>
              <w:right w:val="nil"/>
            </w:tcBorders>
            <w:noWrap/>
            <w:vAlign w:val="center"/>
          </w:tcPr>
          <w:p w14:paraId="3E513F5E"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20.7</w:t>
            </w:r>
          </w:p>
        </w:tc>
        <w:tc>
          <w:tcPr>
            <w:tcW w:w="1146" w:type="dxa"/>
            <w:tcBorders>
              <w:top w:val="nil"/>
              <w:left w:val="nil"/>
              <w:bottom w:val="nil"/>
              <w:right w:val="single" w:sz="4" w:space="0" w:color="auto"/>
            </w:tcBorders>
            <w:noWrap/>
            <w:vAlign w:val="center"/>
          </w:tcPr>
          <w:p w14:paraId="4DF8DDED"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(17.2, 24.2)</w:t>
            </w:r>
          </w:p>
        </w:tc>
        <w:tc>
          <w:tcPr>
            <w:tcW w:w="567" w:type="dxa"/>
            <w:tcBorders>
              <w:top w:val="nil"/>
              <w:left w:val="single" w:sz="4" w:space="0" w:color="auto"/>
              <w:bottom w:val="nil"/>
              <w:right w:val="nil"/>
            </w:tcBorders>
            <w:noWrap/>
            <w:vAlign w:val="center"/>
          </w:tcPr>
          <w:p w14:paraId="5F66B2B3"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75</w:t>
            </w:r>
          </w:p>
        </w:tc>
        <w:tc>
          <w:tcPr>
            <w:tcW w:w="621" w:type="dxa"/>
            <w:tcBorders>
              <w:top w:val="nil"/>
              <w:left w:val="nil"/>
              <w:bottom w:val="nil"/>
              <w:right w:val="nil"/>
            </w:tcBorders>
            <w:noWrap/>
            <w:vAlign w:val="center"/>
          </w:tcPr>
          <w:p w14:paraId="01E2628F"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22.6</w:t>
            </w:r>
          </w:p>
        </w:tc>
        <w:tc>
          <w:tcPr>
            <w:tcW w:w="1146" w:type="dxa"/>
            <w:tcBorders>
              <w:top w:val="nil"/>
              <w:left w:val="nil"/>
              <w:bottom w:val="nil"/>
              <w:right w:val="single" w:sz="4" w:space="0" w:color="000000"/>
            </w:tcBorders>
            <w:shd w:val="clear" w:color="auto" w:fill="FFFFFF" w:themeFill="background1"/>
            <w:noWrap/>
            <w:vAlign w:val="center"/>
          </w:tcPr>
          <w:p w14:paraId="64EBC025"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(15.9, 29.2)</w:t>
            </w:r>
          </w:p>
        </w:tc>
        <w:tc>
          <w:tcPr>
            <w:tcW w:w="616" w:type="dxa"/>
            <w:tcBorders>
              <w:top w:val="nil"/>
              <w:left w:val="single" w:sz="4" w:space="0" w:color="000000"/>
              <w:bottom w:val="nil"/>
              <w:right w:val="nil"/>
            </w:tcBorders>
            <w:shd w:val="clear" w:color="auto" w:fill="FFFFFF" w:themeFill="background1"/>
            <w:vAlign w:val="center"/>
          </w:tcPr>
          <w:p w14:paraId="43372E20"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53</w:t>
            </w:r>
          </w:p>
        </w:tc>
        <w:tc>
          <w:tcPr>
            <w:tcW w:w="567" w:type="dxa"/>
            <w:tcBorders>
              <w:top w:val="nil"/>
              <w:left w:val="nil"/>
              <w:bottom w:val="nil"/>
              <w:right w:val="nil"/>
            </w:tcBorders>
            <w:shd w:val="clear" w:color="auto" w:fill="FFFFFF" w:themeFill="background1"/>
            <w:vAlign w:val="center"/>
          </w:tcPr>
          <w:p w14:paraId="36F15492"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20.5</w:t>
            </w:r>
          </w:p>
        </w:tc>
        <w:tc>
          <w:tcPr>
            <w:tcW w:w="1146" w:type="dxa"/>
            <w:tcBorders>
              <w:top w:val="nil"/>
              <w:left w:val="nil"/>
              <w:bottom w:val="nil"/>
              <w:right w:val="single" w:sz="4" w:space="0" w:color="000000"/>
            </w:tcBorders>
            <w:shd w:val="clear" w:color="auto" w:fill="FFFFFF" w:themeFill="background1"/>
            <w:vAlign w:val="center"/>
          </w:tcPr>
          <w:p w14:paraId="634641CC"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(14.8, 26.2)</w:t>
            </w:r>
          </w:p>
        </w:tc>
        <w:tc>
          <w:tcPr>
            <w:tcW w:w="456" w:type="dxa"/>
            <w:tcBorders>
              <w:top w:val="nil"/>
              <w:left w:val="single" w:sz="4" w:space="0" w:color="000000"/>
              <w:bottom w:val="nil"/>
              <w:right w:val="nil"/>
            </w:tcBorders>
            <w:shd w:val="clear" w:color="auto" w:fill="FFFFFF" w:themeFill="background1"/>
            <w:vAlign w:val="center"/>
          </w:tcPr>
          <w:p w14:paraId="19572A5E"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58</w:t>
            </w:r>
          </w:p>
        </w:tc>
        <w:tc>
          <w:tcPr>
            <w:tcW w:w="576" w:type="dxa"/>
            <w:tcBorders>
              <w:top w:val="nil"/>
              <w:left w:val="nil"/>
              <w:bottom w:val="nil"/>
              <w:right w:val="nil"/>
            </w:tcBorders>
            <w:shd w:val="clear" w:color="auto" w:fill="FFFFFF" w:themeFill="background1"/>
            <w:vAlign w:val="center"/>
          </w:tcPr>
          <w:p w14:paraId="40012A45"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25.8</w:t>
            </w:r>
          </w:p>
        </w:tc>
        <w:tc>
          <w:tcPr>
            <w:tcW w:w="1146" w:type="dxa"/>
            <w:tcBorders>
              <w:top w:val="nil"/>
              <w:left w:val="nil"/>
              <w:bottom w:val="nil"/>
              <w:right w:val="nil"/>
            </w:tcBorders>
            <w:shd w:val="clear" w:color="auto" w:fill="FFFFFF" w:themeFill="background1"/>
            <w:vAlign w:val="center"/>
          </w:tcPr>
          <w:p w14:paraId="07BF75E8"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(18.6, 32.9)</w:t>
            </w:r>
          </w:p>
        </w:tc>
      </w:tr>
      <w:tr w:rsidR="009118DA" w:rsidRPr="008A7800" w14:paraId="14D5D830"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vAlign w:val="center"/>
          </w:tcPr>
          <w:p w14:paraId="411398A8" w14:textId="77777777" w:rsidR="00B20B53" w:rsidRPr="008A7800" w:rsidRDefault="00B20B53" w:rsidP="00C8412F">
            <w:pPr>
              <w:tabs>
                <w:tab w:val="left" w:pos="176"/>
              </w:tabs>
              <w:spacing w:before="20" w:after="60"/>
              <w:ind w:left="176"/>
              <w:rPr>
                <w:rFonts w:eastAsiaTheme="minorEastAsia"/>
                <w:b w:val="0"/>
                <w:sz w:val="18"/>
                <w:szCs w:val="18"/>
                <w:lang w:eastAsia="en-US"/>
              </w:rPr>
            </w:pPr>
            <w:r w:rsidRPr="008A7800">
              <w:rPr>
                <w:rFonts w:eastAsiaTheme="minorEastAsia"/>
                <w:b w:val="0"/>
                <w:sz w:val="18"/>
                <w:szCs w:val="18"/>
                <w:lang w:eastAsia="en-US"/>
              </w:rPr>
              <w:t>&gt; 60 minutes</w:t>
            </w:r>
          </w:p>
        </w:tc>
        <w:tc>
          <w:tcPr>
            <w:tcW w:w="567" w:type="dxa"/>
            <w:tcBorders>
              <w:top w:val="nil"/>
              <w:left w:val="nil"/>
              <w:bottom w:val="nil"/>
              <w:right w:val="nil"/>
            </w:tcBorders>
            <w:noWrap/>
            <w:vAlign w:val="center"/>
          </w:tcPr>
          <w:p w14:paraId="27D4423E"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103</w:t>
            </w:r>
          </w:p>
        </w:tc>
        <w:tc>
          <w:tcPr>
            <w:tcW w:w="567" w:type="dxa"/>
            <w:tcBorders>
              <w:top w:val="nil"/>
              <w:left w:val="nil"/>
              <w:bottom w:val="nil"/>
              <w:right w:val="nil"/>
            </w:tcBorders>
            <w:noWrap/>
            <w:vAlign w:val="center"/>
          </w:tcPr>
          <w:p w14:paraId="14FE1CDE"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14.4</w:t>
            </w:r>
          </w:p>
        </w:tc>
        <w:tc>
          <w:tcPr>
            <w:tcW w:w="1146" w:type="dxa"/>
            <w:tcBorders>
              <w:top w:val="nil"/>
              <w:left w:val="nil"/>
              <w:bottom w:val="nil"/>
              <w:right w:val="single" w:sz="4" w:space="0" w:color="auto"/>
            </w:tcBorders>
            <w:noWrap/>
            <w:vAlign w:val="center"/>
          </w:tcPr>
          <w:p w14:paraId="73A62A0A"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(11.5, 17.3)</w:t>
            </w:r>
          </w:p>
        </w:tc>
        <w:tc>
          <w:tcPr>
            <w:tcW w:w="567" w:type="dxa"/>
            <w:tcBorders>
              <w:top w:val="nil"/>
              <w:left w:val="single" w:sz="4" w:space="0" w:color="auto"/>
              <w:bottom w:val="nil"/>
              <w:right w:val="nil"/>
            </w:tcBorders>
            <w:noWrap/>
            <w:vAlign w:val="center"/>
          </w:tcPr>
          <w:p w14:paraId="48A7C714"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41</w:t>
            </w:r>
          </w:p>
        </w:tc>
        <w:tc>
          <w:tcPr>
            <w:tcW w:w="621" w:type="dxa"/>
            <w:tcBorders>
              <w:top w:val="nil"/>
              <w:left w:val="nil"/>
              <w:bottom w:val="nil"/>
              <w:right w:val="nil"/>
            </w:tcBorders>
            <w:noWrap/>
            <w:vAlign w:val="center"/>
          </w:tcPr>
          <w:p w14:paraId="678D376F"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12.4</w:t>
            </w:r>
          </w:p>
        </w:tc>
        <w:tc>
          <w:tcPr>
            <w:tcW w:w="1146" w:type="dxa"/>
            <w:tcBorders>
              <w:top w:val="nil"/>
              <w:left w:val="nil"/>
              <w:bottom w:val="nil"/>
              <w:right w:val="single" w:sz="4" w:space="0" w:color="000000"/>
            </w:tcBorders>
            <w:shd w:val="clear" w:color="auto" w:fill="FFFFFF" w:themeFill="background1"/>
            <w:noWrap/>
            <w:vAlign w:val="center"/>
          </w:tcPr>
          <w:p w14:paraId="2F94901E"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(8.7, 16.2)</w:t>
            </w:r>
          </w:p>
        </w:tc>
        <w:tc>
          <w:tcPr>
            <w:tcW w:w="616" w:type="dxa"/>
            <w:tcBorders>
              <w:top w:val="nil"/>
              <w:left w:val="single" w:sz="4" w:space="0" w:color="000000"/>
              <w:bottom w:val="nil"/>
              <w:right w:val="nil"/>
            </w:tcBorders>
            <w:shd w:val="clear" w:color="auto" w:fill="FFFFFF" w:themeFill="background1"/>
            <w:vAlign w:val="center"/>
          </w:tcPr>
          <w:p w14:paraId="71698CDD"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35</w:t>
            </w:r>
          </w:p>
        </w:tc>
        <w:tc>
          <w:tcPr>
            <w:tcW w:w="567" w:type="dxa"/>
            <w:tcBorders>
              <w:top w:val="nil"/>
              <w:left w:val="nil"/>
              <w:bottom w:val="nil"/>
              <w:right w:val="nil"/>
            </w:tcBorders>
            <w:shd w:val="clear" w:color="auto" w:fill="FFFFFF" w:themeFill="background1"/>
            <w:vAlign w:val="center"/>
          </w:tcPr>
          <w:p w14:paraId="794DDC70"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13.3</w:t>
            </w:r>
          </w:p>
        </w:tc>
        <w:tc>
          <w:tcPr>
            <w:tcW w:w="1146" w:type="dxa"/>
            <w:tcBorders>
              <w:top w:val="nil"/>
              <w:left w:val="nil"/>
              <w:bottom w:val="nil"/>
              <w:right w:val="single" w:sz="4" w:space="0" w:color="000000"/>
            </w:tcBorders>
            <w:shd w:val="clear" w:color="auto" w:fill="FFFFFF" w:themeFill="background1"/>
            <w:vAlign w:val="center"/>
          </w:tcPr>
          <w:p w14:paraId="3B0EB318"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(8.8, 17.8)</w:t>
            </w:r>
          </w:p>
        </w:tc>
        <w:tc>
          <w:tcPr>
            <w:tcW w:w="456" w:type="dxa"/>
            <w:tcBorders>
              <w:top w:val="nil"/>
              <w:left w:val="single" w:sz="4" w:space="0" w:color="000000"/>
              <w:bottom w:val="nil"/>
              <w:right w:val="nil"/>
            </w:tcBorders>
            <w:shd w:val="clear" w:color="auto" w:fill="FFFFFF" w:themeFill="background1"/>
            <w:vAlign w:val="center"/>
          </w:tcPr>
          <w:p w14:paraId="3DF963AE"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26</w:t>
            </w:r>
          </w:p>
        </w:tc>
        <w:tc>
          <w:tcPr>
            <w:tcW w:w="576" w:type="dxa"/>
            <w:tcBorders>
              <w:top w:val="nil"/>
              <w:left w:val="nil"/>
              <w:bottom w:val="nil"/>
              <w:right w:val="nil"/>
            </w:tcBorders>
            <w:shd w:val="clear" w:color="auto" w:fill="FFFFFF" w:themeFill="background1"/>
            <w:vAlign w:val="center"/>
          </w:tcPr>
          <w:p w14:paraId="2371DA63"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11.5</w:t>
            </w:r>
          </w:p>
        </w:tc>
        <w:tc>
          <w:tcPr>
            <w:tcW w:w="1146" w:type="dxa"/>
            <w:tcBorders>
              <w:top w:val="nil"/>
              <w:left w:val="nil"/>
              <w:bottom w:val="nil"/>
              <w:right w:val="nil"/>
            </w:tcBorders>
            <w:shd w:val="clear" w:color="auto" w:fill="FFFFFF" w:themeFill="background1"/>
            <w:vAlign w:val="center"/>
          </w:tcPr>
          <w:p w14:paraId="61D3C913"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(7.1, 15.9)</w:t>
            </w:r>
          </w:p>
        </w:tc>
      </w:tr>
      <w:tr w:rsidR="00B20B53" w:rsidRPr="008A7800" w14:paraId="567316E0"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vAlign w:val="center"/>
          </w:tcPr>
          <w:p w14:paraId="6AD36DB2" w14:textId="77777777" w:rsidR="00B20B53" w:rsidRPr="008A7800" w:rsidRDefault="00B20B53" w:rsidP="00C8412F">
            <w:pPr>
              <w:spacing w:before="20" w:after="20"/>
              <w:ind w:left="34"/>
              <w:rPr>
                <w:rFonts w:eastAsiaTheme="minorEastAsia"/>
                <w:sz w:val="18"/>
                <w:szCs w:val="18"/>
                <w:lang w:eastAsia="en-US"/>
              </w:rPr>
            </w:pPr>
            <w:r w:rsidRPr="008A7800">
              <w:rPr>
                <w:rFonts w:eastAsiaTheme="minorEastAsia"/>
                <w:sz w:val="18"/>
                <w:szCs w:val="18"/>
                <w:lang w:eastAsia="en-US"/>
              </w:rPr>
              <w:t>Club</w:t>
            </w:r>
          </w:p>
        </w:tc>
        <w:tc>
          <w:tcPr>
            <w:tcW w:w="567" w:type="dxa"/>
            <w:tcBorders>
              <w:top w:val="nil"/>
              <w:left w:val="nil"/>
              <w:bottom w:val="nil"/>
              <w:right w:val="nil"/>
            </w:tcBorders>
            <w:noWrap/>
            <w:vAlign w:val="center"/>
          </w:tcPr>
          <w:p w14:paraId="4C2431B6"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67" w:type="dxa"/>
            <w:tcBorders>
              <w:top w:val="nil"/>
              <w:left w:val="nil"/>
              <w:bottom w:val="nil"/>
              <w:right w:val="nil"/>
            </w:tcBorders>
            <w:noWrap/>
            <w:vAlign w:val="center"/>
          </w:tcPr>
          <w:p w14:paraId="2393EA43"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auto"/>
            </w:tcBorders>
            <w:noWrap/>
            <w:vAlign w:val="center"/>
          </w:tcPr>
          <w:p w14:paraId="7C8EC954"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67" w:type="dxa"/>
            <w:tcBorders>
              <w:top w:val="nil"/>
              <w:left w:val="single" w:sz="4" w:space="0" w:color="auto"/>
              <w:bottom w:val="nil"/>
              <w:right w:val="nil"/>
            </w:tcBorders>
            <w:noWrap/>
            <w:vAlign w:val="center"/>
          </w:tcPr>
          <w:p w14:paraId="0CCE962D"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nil"/>
              <w:left w:val="nil"/>
              <w:bottom w:val="nil"/>
              <w:right w:val="nil"/>
            </w:tcBorders>
            <w:noWrap/>
            <w:vAlign w:val="center"/>
          </w:tcPr>
          <w:p w14:paraId="6C63FD29"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FFFFFF" w:themeFill="background1"/>
            <w:noWrap/>
            <w:vAlign w:val="center"/>
          </w:tcPr>
          <w:p w14:paraId="52F3EC4E"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616" w:type="dxa"/>
            <w:tcBorders>
              <w:top w:val="nil"/>
              <w:left w:val="single" w:sz="4" w:space="0" w:color="000000"/>
              <w:bottom w:val="nil"/>
              <w:right w:val="nil"/>
            </w:tcBorders>
            <w:vAlign w:val="center"/>
          </w:tcPr>
          <w:p w14:paraId="72BD4114"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vAlign w:val="center"/>
          </w:tcPr>
          <w:p w14:paraId="617686D0"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vAlign w:val="center"/>
          </w:tcPr>
          <w:p w14:paraId="1B1EBECB"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456" w:type="dxa"/>
            <w:tcBorders>
              <w:top w:val="nil"/>
              <w:left w:val="single" w:sz="4" w:space="0" w:color="000000"/>
              <w:bottom w:val="nil"/>
              <w:right w:val="nil"/>
            </w:tcBorders>
            <w:vAlign w:val="center"/>
          </w:tcPr>
          <w:p w14:paraId="058A3470"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6" w:type="dxa"/>
            <w:tcBorders>
              <w:top w:val="nil"/>
              <w:left w:val="nil"/>
              <w:bottom w:val="nil"/>
              <w:right w:val="nil"/>
            </w:tcBorders>
            <w:vAlign w:val="center"/>
          </w:tcPr>
          <w:p w14:paraId="220A5321"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vAlign w:val="center"/>
          </w:tcPr>
          <w:p w14:paraId="0123D370"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8A7800" w14:paraId="3F292AE8"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vAlign w:val="center"/>
          </w:tcPr>
          <w:p w14:paraId="18416925" w14:textId="77777777" w:rsidR="00B20B53" w:rsidRPr="008A7800" w:rsidRDefault="00B20B53" w:rsidP="00C8412F">
            <w:pPr>
              <w:tabs>
                <w:tab w:val="left" w:pos="176"/>
              </w:tabs>
              <w:spacing w:before="20" w:after="20"/>
              <w:ind w:left="176"/>
              <w:rPr>
                <w:rFonts w:eastAsiaTheme="minorEastAsia"/>
                <w:b w:val="0"/>
                <w:sz w:val="18"/>
                <w:szCs w:val="18"/>
                <w:lang w:eastAsia="en-US"/>
              </w:rPr>
            </w:pPr>
            <w:r w:rsidRPr="008A7800">
              <w:rPr>
                <w:rFonts w:eastAsiaTheme="minorEastAsia"/>
                <w:b w:val="0"/>
                <w:sz w:val="18"/>
                <w:szCs w:val="18"/>
                <w:lang w:eastAsia="en-US"/>
              </w:rPr>
              <w:t>Up to 15 minutes</w:t>
            </w:r>
          </w:p>
        </w:tc>
        <w:tc>
          <w:tcPr>
            <w:tcW w:w="567" w:type="dxa"/>
            <w:tcBorders>
              <w:top w:val="nil"/>
              <w:left w:val="nil"/>
              <w:bottom w:val="nil"/>
              <w:right w:val="nil"/>
            </w:tcBorders>
            <w:noWrap/>
            <w:vAlign w:val="center"/>
          </w:tcPr>
          <w:p w14:paraId="206B603F"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88</w:t>
            </w:r>
          </w:p>
        </w:tc>
        <w:tc>
          <w:tcPr>
            <w:tcW w:w="567" w:type="dxa"/>
            <w:tcBorders>
              <w:top w:val="nil"/>
              <w:left w:val="nil"/>
              <w:bottom w:val="nil"/>
              <w:right w:val="nil"/>
            </w:tcBorders>
            <w:noWrap/>
            <w:vAlign w:val="center"/>
          </w:tcPr>
          <w:p w14:paraId="52582661"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25.5</w:t>
            </w:r>
          </w:p>
        </w:tc>
        <w:tc>
          <w:tcPr>
            <w:tcW w:w="1146" w:type="dxa"/>
            <w:tcBorders>
              <w:top w:val="nil"/>
              <w:left w:val="nil"/>
              <w:bottom w:val="nil"/>
              <w:right w:val="single" w:sz="4" w:space="0" w:color="auto"/>
            </w:tcBorders>
            <w:noWrap/>
            <w:vAlign w:val="center"/>
          </w:tcPr>
          <w:p w14:paraId="1AC53ABF"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(19.7, 31.2)</w:t>
            </w:r>
          </w:p>
        </w:tc>
        <w:tc>
          <w:tcPr>
            <w:tcW w:w="567" w:type="dxa"/>
            <w:tcBorders>
              <w:top w:val="nil"/>
              <w:left w:val="single" w:sz="4" w:space="0" w:color="auto"/>
              <w:bottom w:val="nil"/>
              <w:right w:val="nil"/>
            </w:tcBorders>
            <w:noWrap/>
            <w:vAlign w:val="center"/>
          </w:tcPr>
          <w:p w14:paraId="1B6B6D42"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59</w:t>
            </w:r>
          </w:p>
        </w:tc>
        <w:tc>
          <w:tcPr>
            <w:tcW w:w="621" w:type="dxa"/>
            <w:tcBorders>
              <w:top w:val="nil"/>
              <w:left w:val="nil"/>
              <w:bottom w:val="nil"/>
              <w:right w:val="nil"/>
            </w:tcBorders>
            <w:noWrap/>
            <w:vAlign w:val="center"/>
          </w:tcPr>
          <w:p w14:paraId="034B357A"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38.1</w:t>
            </w:r>
          </w:p>
        </w:tc>
        <w:tc>
          <w:tcPr>
            <w:tcW w:w="1146" w:type="dxa"/>
            <w:tcBorders>
              <w:top w:val="nil"/>
              <w:left w:val="nil"/>
              <w:bottom w:val="nil"/>
              <w:right w:val="single" w:sz="4" w:space="0" w:color="000000"/>
            </w:tcBorders>
            <w:shd w:val="clear" w:color="auto" w:fill="FFFFFF" w:themeFill="background1"/>
            <w:noWrap/>
            <w:vAlign w:val="center"/>
          </w:tcPr>
          <w:p w14:paraId="774F3B25"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(28.5, 47.7)</w:t>
            </w:r>
          </w:p>
        </w:tc>
        <w:tc>
          <w:tcPr>
            <w:tcW w:w="616" w:type="dxa"/>
            <w:tcBorders>
              <w:top w:val="nil"/>
              <w:left w:val="single" w:sz="4" w:space="0" w:color="000000"/>
              <w:bottom w:val="nil"/>
              <w:right w:val="nil"/>
            </w:tcBorders>
            <w:shd w:val="clear" w:color="auto" w:fill="FFFFFF" w:themeFill="background1"/>
            <w:vAlign w:val="center"/>
          </w:tcPr>
          <w:p w14:paraId="359CF2A1"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44</w:t>
            </w:r>
          </w:p>
        </w:tc>
        <w:tc>
          <w:tcPr>
            <w:tcW w:w="567" w:type="dxa"/>
            <w:tcBorders>
              <w:top w:val="nil"/>
              <w:left w:val="nil"/>
              <w:bottom w:val="nil"/>
              <w:right w:val="nil"/>
            </w:tcBorders>
            <w:shd w:val="clear" w:color="auto" w:fill="FFFFFF" w:themeFill="background1"/>
            <w:vAlign w:val="center"/>
          </w:tcPr>
          <w:p w14:paraId="6114E287"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34.2</w:t>
            </w:r>
          </w:p>
        </w:tc>
        <w:tc>
          <w:tcPr>
            <w:tcW w:w="1146" w:type="dxa"/>
            <w:tcBorders>
              <w:top w:val="nil"/>
              <w:left w:val="nil"/>
              <w:bottom w:val="nil"/>
              <w:right w:val="single" w:sz="4" w:space="0" w:color="000000"/>
            </w:tcBorders>
            <w:shd w:val="clear" w:color="auto" w:fill="FFFFFF" w:themeFill="background1"/>
            <w:vAlign w:val="center"/>
          </w:tcPr>
          <w:p w14:paraId="79433F4A"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(23.6, 44.7)</w:t>
            </w:r>
          </w:p>
        </w:tc>
        <w:tc>
          <w:tcPr>
            <w:tcW w:w="456" w:type="dxa"/>
            <w:tcBorders>
              <w:top w:val="nil"/>
              <w:left w:val="single" w:sz="4" w:space="0" w:color="000000"/>
              <w:bottom w:val="nil"/>
              <w:right w:val="nil"/>
            </w:tcBorders>
            <w:shd w:val="clear" w:color="auto" w:fill="FFFFFF" w:themeFill="background1"/>
            <w:vAlign w:val="center"/>
          </w:tcPr>
          <w:p w14:paraId="23DFE974"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21</w:t>
            </w:r>
          </w:p>
        </w:tc>
        <w:tc>
          <w:tcPr>
            <w:tcW w:w="576" w:type="dxa"/>
            <w:tcBorders>
              <w:top w:val="nil"/>
              <w:left w:val="nil"/>
              <w:bottom w:val="nil"/>
              <w:right w:val="nil"/>
            </w:tcBorders>
            <w:shd w:val="clear" w:color="auto" w:fill="FFFFFF" w:themeFill="background1"/>
            <w:vAlign w:val="center"/>
          </w:tcPr>
          <w:p w14:paraId="600BCC73"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20.5</w:t>
            </w:r>
          </w:p>
        </w:tc>
        <w:tc>
          <w:tcPr>
            <w:tcW w:w="1146" w:type="dxa"/>
            <w:tcBorders>
              <w:top w:val="nil"/>
              <w:left w:val="nil"/>
              <w:bottom w:val="nil"/>
              <w:right w:val="nil"/>
            </w:tcBorders>
            <w:shd w:val="clear" w:color="auto" w:fill="FFFFFF" w:themeFill="background1"/>
            <w:vAlign w:val="center"/>
          </w:tcPr>
          <w:p w14:paraId="3FAF324B"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(12.2, 28.9)</w:t>
            </w:r>
          </w:p>
        </w:tc>
      </w:tr>
      <w:tr w:rsidR="009118DA" w:rsidRPr="008A7800" w14:paraId="241E66D7"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vAlign w:val="center"/>
          </w:tcPr>
          <w:p w14:paraId="295FE0F2" w14:textId="77777777" w:rsidR="00B20B53" w:rsidRPr="008A7800" w:rsidRDefault="00B20B53" w:rsidP="00C8412F">
            <w:pPr>
              <w:tabs>
                <w:tab w:val="left" w:pos="176"/>
              </w:tabs>
              <w:spacing w:before="20" w:after="20"/>
              <w:ind w:left="176"/>
              <w:rPr>
                <w:rFonts w:eastAsiaTheme="minorEastAsia"/>
                <w:b w:val="0"/>
                <w:sz w:val="18"/>
                <w:szCs w:val="18"/>
                <w:lang w:eastAsia="en-US"/>
              </w:rPr>
            </w:pPr>
            <w:r w:rsidRPr="008A7800">
              <w:rPr>
                <w:rFonts w:eastAsiaTheme="minorEastAsia"/>
                <w:b w:val="0"/>
                <w:sz w:val="18"/>
                <w:szCs w:val="18"/>
                <w:lang w:eastAsia="en-US"/>
              </w:rPr>
              <w:t>16 - 30 minutes</w:t>
            </w:r>
          </w:p>
        </w:tc>
        <w:tc>
          <w:tcPr>
            <w:tcW w:w="567" w:type="dxa"/>
            <w:tcBorders>
              <w:top w:val="nil"/>
              <w:left w:val="nil"/>
              <w:bottom w:val="nil"/>
              <w:right w:val="nil"/>
            </w:tcBorders>
            <w:noWrap/>
            <w:vAlign w:val="center"/>
          </w:tcPr>
          <w:p w14:paraId="5E457582"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125</w:t>
            </w:r>
          </w:p>
        </w:tc>
        <w:tc>
          <w:tcPr>
            <w:tcW w:w="567" w:type="dxa"/>
            <w:tcBorders>
              <w:top w:val="nil"/>
              <w:left w:val="nil"/>
              <w:bottom w:val="nil"/>
              <w:right w:val="nil"/>
            </w:tcBorders>
            <w:noWrap/>
            <w:vAlign w:val="center"/>
          </w:tcPr>
          <w:p w14:paraId="29B9F503"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36.3</w:t>
            </w:r>
          </w:p>
        </w:tc>
        <w:tc>
          <w:tcPr>
            <w:tcW w:w="1146" w:type="dxa"/>
            <w:tcBorders>
              <w:top w:val="nil"/>
              <w:left w:val="nil"/>
              <w:bottom w:val="nil"/>
              <w:right w:val="single" w:sz="4" w:space="0" w:color="auto"/>
            </w:tcBorders>
            <w:noWrap/>
            <w:vAlign w:val="center"/>
          </w:tcPr>
          <w:p w14:paraId="5DF9466F"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(30.2, 42.4)</w:t>
            </w:r>
          </w:p>
        </w:tc>
        <w:tc>
          <w:tcPr>
            <w:tcW w:w="567" w:type="dxa"/>
            <w:tcBorders>
              <w:top w:val="nil"/>
              <w:left w:val="single" w:sz="4" w:space="0" w:color="auto"/>
              <w:bottom w:val="nil"/>
              <w:right w:val="nil"/>
            </w:tcBorders>
            <w:noWrap/>
            <w:vAlign w:val="center"/>
          </w:tcPr>
          <w:p w14:paraId="3F100211"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42</w:t>
            </w:r>
          </w:p>
        </w:tc>
        <w:tc>
          <w:tcPr>
            <w:tcW w:w="621" w:type="dxa"/>
            <w:tcBorders>
              <w:top w:val="nil"/>
              <w:left w:val="nil"/>
              <w:bottom w:val="nil"/>
              <w:right w:val="nil"/>
            </w:tcBorders>
            <w:noWrap/>
            <w:vAlign w:val="center"/>
          </w:tcPr>
          <w:p w14:paraId="642C15AC"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27.4</w:t>
            </w:r>
          </w:p>
        </w:tc>
        <w:tc>
          <w:tcPr>
            <w:tcW w:w="1146" w:type="dxa"/>
            <w:tcBorders>
              <w:top w:val="nil"/>
              <w:left w:val="nil"/>
              <w:bottom w:val="nil"/>
              <w:right w:val="single" w:sz="4" w:space="0" w:color="000000"/>
            </w:tcBorders>
            <w:shd w:val="clear" w:color="auto" w:fill="FFFFFF" w:themeFill="background1"/>
            <w:noWrap/>
            <w:vAlign w:val="center"/>
          </w:tcPr>
          <w:p w14:paraId="0A485CFA"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(19.3, 35.6)</w:t>
            </w:r>
          </w:p>
        </w:tc>
        <w:tc>
          <w:tcPr>
            <w:tcW w:w="616" w:type="dxa"/>
            <w:tcBorders>
              <w:top w:val="nil"/>
              <w:left w:val="single" w:sz="4" w:space="0" w:color="000000"/>
              <w:bottom w:val="nil"/>
              <w:right w:val="nil"/>
            </w:tcBorders>
            <w:shd w:val="clear" w:color="auto" w:fill="FFFFFF" w:themeFill="background1"/>
            <w:vAlign w:val="center"/>
          </w:tcPr>
          <w:p w14:paraId="15238F1B"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36</w:t>
            </w:r>
          </w:p>
        </w:tc>
        <w:tc>
          <w:tcPr>
            <w:tcW w:w="567" w:type="dxa"/>
            <w:tcBorders>
              <w:top w:val="nil"/>
              <w:left w:val="nil"/>
              <w:bottom w:val="nil"/>
              <w:right w:val="nil"/>
            </w:tcBorders>
            <w:shd w:val="clear" w:color="auto" w:fill="FFFFFF" w:themeFill="background1"/>
            <w:vAlign w:val="center"/>
          </w:tcPr>
          <w:p w14:paraId="1035BFB3"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28.2</w:t>
            </w:r>
          </w:p>
        </w:tc>
        <w:tc>
          <w:tcPr>
            <w:tcW w:w="1146" w:type="dxa"/>
            <w:tcBorders>
              <w:top w:val="nil"/>
              <w:left w:val="nil"/>
              <w:bottom w:val="nil"/>
              <w:right w:val="single" w:sz="4" w:space="0" w:color="000000"/>
            </w:tcBorders>
            <w:shd w:val="clear" w:color="auto" w:fill="FFFFFF" w:themeFill="background1"/>
            <w:vAlign w:val="center"/>
          </w:tcPr>
          <w:p w14:paraId="7907F50A"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(19.1, 37.2)</w:t>
            </w:r>
          </w:p>
        </w:tc>
        <w:tc>
          <w:tcPr>
            <w:tcW w:w="456" w:type="dxa"/>
            <w:tcBorders>
              <w:top w:val="nil"/>
              <w:left w:val="single" w:sz="4" w:space="0" w:color="000000"/>
              <w:bottom w:val="nil"/>
              <w:right w:val="nil"/>
            </w:tcBorders>
            <w:shd w:val="clear" w:color="auto" w:fill="FFFFFF" w:themeFill="background1"/>
            <w:vAlign w:val="center"/>
          </w:tcPr>
          <w:p w14:paraId="4150779F"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35</w:t>
            </w:r>
          </w:p>
        </w:tc>
        <w:tc>
          <w:tcPr>
            <w:tcW w:w="576" w:type="dxa"/>
            <w:tcBorders>
              <w:top w:val="nil"/>
              <w:left w:val="nil"/>
              <w:bottom w:val="nil"/>
              <w:right w:val="nil"/>
            </w:tcBorders>
            <w:shd w:val="clear" w:color="auto" w:fill="FFFFFF" w:themeFill="background1"/>
            <w:vAlign w:val="center"/>
          </w:tcPr>
          <w:p w14:paraId="4709D352"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34.2</w:t>
            </w:r>
          </w:p>
        </w:tc>
        <w:tc>
          <w:tcPr>
            <w:tcW w:w="1146" w:type="dxa"/>
            <w:tcBorders>
              <w:top w:val="nil"/>
              <w:left w:val="nil"/>
              <w:bottom w:val="nil"/>
              <w:right w:val="nil"/>
            </w:tcBorders>
            <w:shd w:val="clear" w:color="auto" w:fill="FFFFFF" w:themeFill="background1"/>
            <w:vAlign w:val="center"/>
          </w:tcPr>
          <w:p w14:paraId="5EFCD258"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(23.8, 44.7)</w:t>
            </w:r>
          </w:p>
        </w:tc>
      </w:tr>
      <w:tr w:rsidR="009118DA" w:rsidRPr="008A7800" w14:paraId="2C780AE8"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vAlign w:val="center"/>
          </w:tcPr>
          <w:p w14:paraId="3D5C1D06" w14:textId="77777777" w:rsidR="00B20B53" w:rsidRPr="008A7800" w:rsidRDefault="00B20B53" w:rsidP="00C8412F">
            <w:pPr>
              <w:tabs>
                <w:tab w:val="left" w:pos="176"/>
              </w:tabs>
              <w:spacing w:before="20" w:after="20"/>
              <w:ind w:left="176"/>
              <w:rPr>
                <w:rFonts w:eastAsiaTheme="minorEastAsia"/>
                <w:b w:val="0"/>
                <w:sz w:val="18"/>
                <w:szCs w:val="18"/>
                <w:lang w:eastAsia="en-US"/>
              </w:rPr>
            </w:pPr>
            <w:r w:rsidRPr="008A7800">
              <w:rPr>
                <w:rFonts w:eastAsiaTheme="minorEastAsia"/>
                <w:b w:val="0"/>
                <w:sz w:val="18"/>
                <w:szCs w:val="18"/>
                <w:lang w:eastAsia="en-US"/>
              </w:rPr>
              <w:t>31 - 60 minutes</w:t>
            </w:r>
          </w:p>
        </w:tc>
        <w:tc>
          <w:tcPr>
            <w:tcW w:w="567" w:type="dxa"/>
            <w:tcBorders>
              <w:top w:val="nil"/>
              <w:left w:val="nil"/>
              <w:bottom w:val="nil"/>
              <w:right w:val="nil"/>
            </w:tcBorders>
            <w:noWrap/>
            <w:vAlign w:val="center"/>
          </w:tcPr>
          <w:p w14:paraId="11D23DA2"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89</w:t>
            </w:r>
          </w:p>
        </w:tc>
        <w:tc>
          <w:tcPr>
            <w:tcW w:w="567" w:type="dxa"/>
            <w:tcBorders>
              <w:top w:val="nil"/>
              <w:left w:val="nil"/>
              <w:bottom w:val="nil"/>
              <w:right w:val="nil"/>
            </w:tcBorders>
            <w:noWrap/>
            <w:vAlign w:val="center"/>
          </w:tcPr>
          <w:p w14:paraId="49932A25"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25.7</w:t>
            </w:r>
          </w:p>
        </w:tc>
        <w:tc>
          <w:tcPr>
            <w:tcW w:w="1146" w:type="dxa"/>
            <w:tcBorders>
              <w:top w:val="nil"/>
              <w:left w:val="nil"/>
              <w:bottom w:val="nil"/>
              <w:right w:val="single" w:sz="4" w:space="0" w:color="auto"/>
            </w:tcBorders>
            <w:noWrap/>
            <w:vAlign w:val="center"/>
          </w:tcPr>
          <w:p w14:paraId="2DC4B36C"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(20.3, 31.1)</w:t>
            </w:r>
          </w:p>
        </w:tc>
        <w:tc>
          <w:tcPr>
            <w:tcW w:w="567" w:type="dxa"/>
            <w:tcBorders>
              <w:top w:val="nil"/>
              <w:left w:val="single" w:sz="4" w:space="0" w:color="auto"/>
              <w:bottom w:val="nil"/>
              <w:right w:val="nil"/>
            </w:tcBorders>
            <w:noWrap/>
            <w:vAlign w:val="center"/>
          </w:tcPr>
          <w:p w14:paraId="6E23F1E0"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34</w:t>
            </w:r>
          </w:p>
        </w:tc>
        <w:tc>
          <w:tcPr>
            <w:tcW w:w="621" w:type="dxa"/>
            <w:tcBorders>
              <w:top w:val="nil"/>
              <w:left w:val="nil"/>
              <w:bottom w:val="nil"/>
              <w:right w:val="nil"/>
            </w:tcBorders>
            <w:noWrap/>
            <w:vAlign w:val="center"/>
          </w:tcPr>
          <w:p w14:paraId="74030EB1"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22.2</w:t>
            </w:r>
          </w:p>
        </w:tc>
        <w:tc>
          <w:tcPr>
            <w:tcW w:w="1146" w:type="dxa"/>
            <w:tcBorders>
              <w:top w:val="nil"/>
              <w:left w:val="nil"/>
              <w:bottom w:val="nil"/>
              <w:right w:val="single" w:sz="4" w:space="0" w:color="000000"/>
            </w:tcBorders>
            <w:shd w:val="clear" w:color="auto" w:fill="FFFFFF" w:themeFill="background1"/>
            <w:noWrap/>
            <w:vAlign w:val="center"/>
          </w:tcPr>
          <w:p w14:paraId="345780EE"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(14.5, 29.9)</w:t>
            </w:r>
          </w:p>
        </w:tc>
        <w:tc>
          <w:tcPr>
            <w:tcW w:w="616" w:type="dxa"/>
            <w:tcBorders>
              <w:top w:val="nil"/>
              <w:left w:val="single" w:sz="4" w:space="0" w:color="000000"/>
              <w:bottom w:val="nil"/>
              <w:right w:val="nil"/>
            </w:tcBorders>
            <w:shd w:val="clear" w:color="auto" w:fill="FFFFFF" w:themeFill="background1"/>
            <w:vAlign w:val="center"/>
          </w:tcPr>
          <w:p w14:paraId="1BFA0234"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32</w:t>
            </w:r>
          </w:p>
        </w:tc>
        <w:tc>
          <w:tcPr>
            <w:tcW w:w="567" w:type="dxa"/>
            <w:tcBorders>
              <w:top w:val="nil"/>
              <w:left w:val="nil"/>
              <w:bottom w:val="nil"/>
              <w:right w:val="nil"/>
            </w:tcBorders>
            <w:shd w:val="clear" w:color="auto" w:fill="FFFFFF" w:themeFill="background1"/>
            <w:vAlign w:val="center"/>
          </w:tcPr>
          <w:p w14:paraId="61335344"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25.0</w:t>
            </w:r>
          </w:p>
        </w:tc>
        <w:tc>
          <w:tcPr>
            <w:tcW w:w="1146" w:type="dxa"/>
            <w:tcBorders>
              <w:top w:val="nil"/>
              <w:left w:val="nil"/>
              <w:bottom w:val="nil"/>
              <w:right w:val="single" w:sz="4" w:space="0" w:color="000000"/>
            </w:tcBorders>
            <w:shd w:val="clear" w:color="auto" w:fill="FFFFFF" w:themeFill="background1"/>
            <w:vAlign w:val="center"/>
          </w:tcPr>
          <w:p w14:paraId="090E3165"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(15.6, 34.4)</w:t>
            </w:r>
          </w:p>
        </w:tc>
        <w:tc>
          <w:tcPr>
            <w:tcW w:w="456" w:type="dxa"/>
            <w:tcBorders>
              <w:top w:val="nil"/>
              <w:left w:val="single" w:sz="4" w:space="0" w:color="000000"/>
              <w:bottom w:val="nil"/>
              <w:right w:val="nil"/>
            </w:tcBorders>
            <w:shd w:val="clear" w:color="auto" w:fill="FFFFFF" w:themeFill="background1"/>
            <w:vAlign w:val="center"/>
          </w:tcPr>
          <w:p w14:paraId="0089B36E"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29</w:t>
            </w:r>
          </w:p>
        </w:tc>
        <w:tc>
          <w:tcPr>
            <w:tcW w:w="576" w:type="dxa"/>
            <w:tcBorders>
              <w:top w:val="nil"/>
              <w:left w:val="nil"/>
              <w:bottom w:val="nil"/>
              <w:right w:val="nil"/>
            </w:tcBorders>
            <w:shd w:val="clear" w:color="auto" w:fill="FFFFFF" w:themeFill="background1"/>
            <w:vAlign w:val="center"/>
          </w:tcPr>
          <w:p w14:paraId="3DB53E3B"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28.2</w:t>
            </w:r>
          </w:p>
        </w:tc>
        <w:tc>
          <w:tcPr>
            <w:tcW w:w="1146" w:type="dxa"/>
            <w:tcBorders>
              <w:top w:val="nil"/>
              <w:left w:val="nil"/>
              <w:bottom w:val="nil"/>
              <w:right w:val="nil"/>
            </w:tcBorders>
            <w:shd w:val="clear" w:color="auto" w:fill="FFFFFF" w:themeFill="background1"/>
            <w:vAlign w:val="center"/>
          </w:tcPr>
          <w:p w14:paraId="6D212AE8"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(18.4, 37.9)</w:t>
            </w:r>
          </w:p>
        </w:tc>
      </w:tr>
      <w:tr w:rsidR="009118DA" w:rsidRPr="008A7800" w14:paraId="413A2FE4" w14:textId="77777777" w:rsidTr="008A7800">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single" w:sz="4" w:space="0" w:color="auto"/>
              <w:right w:val="nil"/>
            </w:tcBorders>
            <w:vAlign w:val="center"/>
          </w:tcPr>
          <w:p w14:paraId="14472D3E" w14:textId="77777777" w:rsidR="00B20B53" w:rsidRPr="008A7800" w:rsidRDefault="00B20B53" w:rsidP="00C8412F">
            <w:pPr>
              <w:tabs>
                <w:tab w:val="left" w:pos="176"/>
              </w:tabs>
              <w:spacing w:before="20" w:after="20"/>
              <w:ind w:left="176"/>
              <w:rPr>
                <w:rFonts w:eastAsiaTheme="minorEastAsia"/>
                <w:b w:val="0"/>
                <w:sz w:val="18"/>
                <w:szCs w:val="18"/>
                <w:lang w:eastAsia="en-US"/>
              </w:rPr>
            </w:pPr>
            <w:r w:rsidRPr="008A7800">
              <w:rPr>
                <w:rFonts w:eastAsiaTheme="minorEastAsia"/>
                <w:b w:val="0"/>
                <w:sz w:val="18"/>
                <w:szCs w:val="18"/>
                <w:lang w:eastAsia="en-US"/>
              </w:rPr>
              <w:t>&gt; 60 minutes</w:t>
            </w:r>
          </w:p>
        </w:tc>
        <w:tc>
          <w:tcPr>
            <w:tcW w:w="567" w:type="dxa"/>
            <w:tcBorders>
              <w:top w:val="nil"/>
              <w:left w:val="nil"/>
              <w:bottom w:val="single" w:sz="4" w:space="0" w:color="auto"/>
              <w:right w:val="nil"/>
            </w:tcBorders>
            <w:noWrap/>
            <w:vAlign w:val="center"/>
          </w:tcPr>
          <w:p w14:paraId="099F5787"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43</w:t>
            </w:r>
          </w:p>
        </w:tc>
        <w:tc>
          <w:tcPr>
            <w:tcW w:w="567" w:type="dxa"/>
            <w:tcBorders>
              <w:top w:val="nil"/>
              <w:left w:val="nil"/>
              <w:bottom w:val="single" w:sz="4" w:space="0" w:color="auto"/>
              <w:right w:val="nil"/>
            </w:tcBorders>
            <w:noWrap/>
            <w:vAlign w:val="center"/>
          </w:tcPr>
          <w:p w14:paraId="40ED8BC4"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12.5</w:t>
            </w:r>
          </w:p>
        </w:tc>
        <w:tc>
          <w:tcPr>
            <w:tcW w:w="1146" w:type="dxa"/>
            <w:tcBorders>
              <w:top w:val="nil"/>
              <w:left w:val="nil"/>
              <w:bottom w:val="single" w:sz="4" w:space="0" w:color="auto"/>
              <w:right w:val="single" w:sz="4" w:space="0" w:color="auto"/>
            </w:tcBorders>
            <w:noWrap/>
            <w:vAlign w:val="center"/>
          </w:tcPr>
          <w:p w14:paraId="7417C11B"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(8.8, 16.3)</w:t>
            </w:r>
          </w:p>
        </w:tc>
        <w:tc>
          <w:tcPr>
            <w:tcW w:w="567" w:type="dxa"/>
            <w:tcBorders>
              <w:top w:val="nil"/>
              <w:left w:val="single" w:sz="4" w:space="0" w:color="auto"/>
              <w:bottom w:val="single" w:sz="4" w:space="0" w:color="auto"/>
              <w:right w:val="nil"/>
            </w:tcBorders>
            <w:noWrap/>
            <w:vAlign w:val="center"/>
          </w:tcPr>
          <w:p w14:paraId="4E582005"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19</w:t>
            </w:r>
          </w:p>
        </w:tc>
        <w:tc>
          <w:tcPr>
            <w:tcW w:w="621" w:type="dxa"/>
            <w:tcBorders>
              <w:top w:val="nil"/>
              <w:left w:val="nil"/>
              <w:bottom w:val="single" w:sz="4" w:space="0" w:color="auto"/>
              <w:right w:val="nil"/>
            </w:tcBorders>
            <w:noWrap/>
            <w:vAlign w:val="center"/>
          </w:tcPr>
          <w:p w14:paraId="25D1395C"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12.3</w:t>
            </w:r>
          </w:p>
        </w:tc>
        <w:tc>
          <w:tcPr>
            <w:tcW w:w="1146" w:type="dxa"/>
            <w:tcBorders>
              <w:top w:val="nil"/>
              <w:left w:val="nil"/>
              <w:bottom w:val="single" w:sz="4" w:space="0" w:color="auto"/>
              <w:right w:val="single" w:sz="4" w:space="0" w:color="000000"/>
            </w:tcBorders>
            <w:shd w:val="clear" w:color="auto" w:fill="FFFFFF" w:themeFill="background1"/>
            <w:noWrap/>
            <w:vAlign w:val="center"/>
          </w:tcPr>
          <w:p w14:paraId="66923438"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(6.8, 17.8)</w:t>
            </w:r>
          </w:p>
        </w:tc>
        <w:tc>
          <w:tcPr>
            <w:tcW w:w="616" w:type="dxa"/>
            <w:tcBorders>
              <w:top w:val="nil"/>
              <w:left w:val="single" w:sz="4" w:space="0" w:color="000000"/>
              <w:bottom w:val="single" w:sz="4" w:space="0" w:color="auto"/>
              <w:right w:val="nil"/>
            </w:tcBorders>
            <w:shd w:val="clear" w:color="auto" w:fill="FFFFFF" w:themeFill="background1"/>
            <w:vAlign w:val="center"/>
          </w:tcPr>
          <w:p w14:paraId="11EA3238"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16</w:t>
            </w:r>
          </w:p>
        </w:tc>
        <w:tc>
          <w:tcPr>
            <w:tcW w:w="567" w:type="dxa"/>
            <w:tcBorders>
              <w:top w:val="nil"/>
              <w:left w:val="nil"/>
              <w:bottom w:val="single" w:sz="4" w:space="0" w:color="auto"/>
              <w:right w:val="nil"/>
            </w:tcBorders>
            <w:shd w:val="clear" w:color="auto" w:fill="FFFFFF" w:themeFill="background1"/>
            <w:vAlign w:val="center"/>
          </w:tcPr>
          <w:p w14:paraId="60955B12"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12.7</w:t>
            </w:r>
          </w:p>
        </w:tc>
        <w:tc>
          <w:tcPr>
            <w:tcW w:w="1146" w:type="dxa"/>
            <w:tcBorders>
              <w:top w:val="nil"/>
              <w:left w:val="nil"/>
              <w:bottom w:val="single" w:sz="4" w:space="0" w:color="auto"/>
              <w:right w:val="single" w:sz="4" w:space="0" w:color="000000"/>
            </w:tcBorders>
            <w:shd w:val="clear" w:color="auto" w:fill="FFFFFF" w:themeFill="background1"/>
            <w:vAlign w:val="center"/>
          </w:tcPr>
          <w:p w14:paraId="5CD39B60" w14:textId="77777777" w:rsidR="00B20B53" w:rsidRPr="008A7800" w:rsidRDefault="00B20B53" w:rsidP="00C8412F">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(6.8, 18.6)</w:t>
            </w:r>
          </w:p>
        </w:tc>
        <w:tc>
          <w:tcPr>
            <w:tcW w:w="456" w:type="dxa"/>
            <w:tcBorders>
              <w:top w:val="nil"/>
              <w:left w:val="single" w:sz="4" w:space="0" w:color="000000"/>
              <w:bottom w:val="single" w:sz="4" w:space="0" w:color="auto"/>
              <w:right w:val="nil"/>
            </w:tcBorders>
            <w:shd w:val="clear" w:color="auto" w:fill="FFFFFF" w:themeFill="background1"/>
            <w:vAlign w:val="center"/>
          </w:tcPr>
          <w:p w14:paraId="3CFCA9E9"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17</w:t>
            </w:r>
          </w:p>
        </w:tc>
        <w:tc>
          <w:tcPr>
            <w:tcW w:w="576" w:type="dxa"/>
            <w:tcBorders>
              <w:top w:val="nil"/>
              <w:left w:val="nil"/>
              <w:bottom w:val="single" w:sz="4" w:space="0" w:color="auto"/>
              <w:right w:val="nil"/>
            </w:tcBorders>
            <w:shd w:val="clear" w:color="auto" w:fill="FFFFFF" w:themeFill="background1"/>
            <w:vAlign w:val="center"/>
          </w:tcPr>
          <w:p w14:paraId="440F2909"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17.0</w:t>
            </w:r>
          </w:p>
        </w:tc>
        <w:tc>
          <w:tcPr>
            <w:tcW w:w="1146" w:type="dxa"/>
            <w:tcBorders>
              <w:top w:val="nil"/>
              <w:left w:val="nil"/>
              <w:bottom w:val="single" w:sz="4" w:space="0" w:color="auto"/>
              <w:right w:val="nil"/>
            </w:tcBorders>
            <w:shd w:val="clear" w:color="auto" w:fill="FFFFFF" w:themeFill="background1"/>
            <w:vAlign w:val="center"/>
          </w:tcPr>
          <w:p w14:paraId="14A60C7F" w14:textId="77777777" w:rsidR="00B20B53" w:rsidRPr="008A7800" w:rsidRDefault="00B20B53" w:rsidP="00B20B5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(9.6, 24.5)</w:t>
            </w:r>
          </w:p>
        </w:tc>
      </w:tr>
    </w:tbl>
    <w:p w14:paraId="704C09CE" w14:textId="77777777" w:rsidR="00B20B53" w:rsidRPr="008A7800" w:rsidRDefault="00B20B53" w:rsidP="008A7800">
      <w:pPr>
        <w:ind w:left="1560"/>
        <w:rPr>
          <w:sz w:val="18"/>
          <w:szCs w:val="18"/>
        </w:rPr>
      </w:pPr>
      <w:r w:rsidRPr="008A7800">
        <w:rPr>
          <w:sz w:val="18"/>
          <w:szCs w:val="18"/>
        </w:rPr>
        <w:t>Data weighted for 2013 Census data (all waves) and attrition (Waves 2</w:t>
      </w:r>
      <w:r w:rsidR="00A372FE" w:rsidRPr="008A7800">
        <w:rPr>
          <w:sz w:val="18"/>
          <w:szCs w:val="18"/>
        </w:rPr>
        <w:t>,</w:t>
      </w:r>
      <w:r w:rsidRPr="008A7800">
        <w:rPr>
          <w:sz w:val="18"/>
          <w:szCs w:val="18"/>
        </w:rPr>
        <w:t xml:space="preserve"> 3</w:t>
      </w:r>
      <w:r w:rsidR="00A372FE" w:rsidRPr="008A7800">
        <w:rPr>
          <w:sz w:val="18"/>
          <w:szCs w:val="18"/>
        </w:rPr>
        <w:t xml:space="preserve"> and 4</w:t>
      </w:r>
      <w:r w:rsidRPr="008A7800">
        <w:rPr>
          <w:sz w:val="18"/>
          <w:szCs w:val="18"/>
        </w:rPr>
        <w:t>)</w:t>
      </w:r>
    </w:p>
    <w:p w14:paraId="302104B8" w14:textId="77777777" w:rsidR="00B20B53" w:rsidRPr="008A7800" w:rsidRDefault="00B20B53" w:rsidP="008A7800">
      <w:pPr>
        <w:pStyle w:val="RepNormal"/>
        <w:ind w:left="1560"/>
        <w:rPr>
          <w:sz w:val="18"/>
          <w:szCs w:val="18"/>
        </w:rPr>
      </w:pPr>
      <w:r w:rsidRPr="008A7800">
        <w:rPr>
          <w:sz w:val="18"/>
          <w:szCs w:val="18"/>
        </w:rPr>
        <w:t>Wave 1 N=6,251; Wave 2 N=3,745; Wave 3 N=3,115</w:t>
      </w:r>
      <w:r w:rsidR="00A372FE" w:rsidRPr="008A7800">
        <w:rPr>
          <w:sz w:val="18"/>
          <w:szCs w:val="18"/>
        </w:rPr>
        <w:t>; Wave 4 N=2,770</w:t>
      </w:r>
    </w:p>
    <w:p w14:paraId="7DBEDB6F" w14:textId="77777777" w:rsidR="003D7BB5" w:rsidRDefault="003D7BB5">
      <w:pPr>
        <w:spacing w:after="200" w:line="276" w:lineRule="auto"/>
        <w:rPr>
          <w:rFonts w:eastAsiaTheme="majorEastAsia" w:cstheme="majorBidi"/>
          <w:b/>
          <w:bCs/>
          <w:caps/>
          <w:szCs w:val="28"/>
          <w:lang w:eastAsia="en-US"/>
        </w:rPr>
      </w:pPr>
      <w:r>
        <w:rPr>
          <w:rFonts w:eastAsiaTheme="majorEastAsia" w:cstheme="majorBidi"/>
          <w:b/>
          <w:bCs/>
          <w:caps/>
          <w:szCs w:val="28"/>
          <w:lang w:eastAsia="en-US"/>
        </w:rPr>
        <w:br w:type="page"/>
      </w:r>
    </w:p>
    <w:p w14:paraId="1DF5344D" w14:textId="77777777" w:rsidR="003D7BB5" w:rsidRDefault="003D7BB5" w:rsidP="003D7BB5">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rPr>
          <w:rFonts w:cs="Times New Roman"/>
          <w:caps w:val="0"/>
        </w:rPr>
      </w:pPr>
      <w:bookmarkStart w:id="206" w:name="_Toc504488407"/>
      <w:r>
        <w:t>APPENDIX 14:</w:t>
      </w:r>
      <w:r>
        <w:br/>
      </w:r>
      <w:r>
        <w:rPr>
          <w:rFonts w:cs="Times New Roman"/>
          <w:caps w:val="0"/>
        </w:rPr>
        <w:t>Time spent gambling on EGMs in an average day in Waves 1, 2, 3 and 4 - Māori</w:t>
      </w:r>
      <w:bookmarkEnd w:id="206"/>
      <w:r>
        <w:rPr>
          <w:rFonts w:cs="Times New Roman"/>
          <w:caps w:val="0"/>
        </w:rPr>
        <w:t xml:space="preserve"> </w:t>
      </w:r>
    </w:p>
    <w:p w14:paraId="62E434EE" w14:textId="77777777" w:rsidR="003D7BB5" w:rsidRDefault="003D7BB5" w:rsidP="003D7BB5">
      <w:pPr>
        <w:pStyle w:val="RepNormal"/>
      </w:pPr>
    </w:p>
    <w:tbl>
      <w:tblPr>
        <w:tblStyle w:val="LightShading4"/>
        <w:tblW w:w="10475" w:type="dxa"/>
        <w:jc w:val="center"/>
        <w:tblLayout w:type="fixed"/>
        <w:tblLook w:val="06A0" w:firstRow="1" w:lastRow="0" w:firstColumn="1" w:lastColumn="0" w:noHBand="1" w:noVBand="1"/>
      </w:tblPr>
      <w:tblGrid>
        <w:gridCol w:w="1727"/>
        <w:gridCol w:w="456"/>
        <w:gridCol w:w="576"/>
        <w:gridCol w:w="1146"/>
        <w:gridCol w:w="456"/>
        <w:gridCol w:w="621"/>
        <w:gridCol w:w="1146"/>
        <w:gridCol w:w="456"/>
        <w:gridCol w:w="567"/>
        <w:gridCol w:w="1146"/>
        <w:gridCol w:w="456"/>
        <w:gridCol w:w="576"/>
        <w:gridCol w:w="1146"/>
      </w:tblGrid>
      <w:tr w:rsidR="003D7BB5" w:rsidRPr="00063DE7" w14:paraId="3519E4A3" w14:textId="77777777" w:rsidTr="00DD0F2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727" w:type="dxa"/>
            <w:vMerge w:val="restart"/>
            <w:tcBorders>
              <w:bottom w:val="single" w:sz="4" w:space="0" w:color="auto"/>
            </w:tcBorders>
            <w:vAlign w:val="bottom"/>
            <w:hideMark/>
          </w:tcPr>
          <w:p w14:paraId="67CF68D3" w14:textId="77777777" w:rsidR="003D7BB5" w:rsidRPr="00063DE7" w:rsidRDefault="003D7BB5" w:rsidP="00DD0F28">
            <w:pPr>
              <w:spacing w:before="20" w:after="20"/>
              <w:rPr>
                <w:rFonts w:eastAsiaTheme="minorEastAsia"/>
                <w:sz w:val="18"/>
                <w:szCs w:val="18"/>
                <w:lang w:eastAsia="en-US"/>
              </w:rPr>
            </w:pPr>
            <w:r w:rsidRPr="00063DE7">
              <w:rPr>
                <w:rFonts w:eastAsiaTheme="minorEastAsia"/>
                <w:sz w:val="18"/>
                <w:szCs w:val="18"/>
              </w:rPr>
              <w:t>Venue and time</w:t>
            </w:r>
          </w:p>
        </w:tc>
        <w:tc>
          <w:tcPr>
            <w:tcW w:w="2178" w:type="dxa"/>
            <w:gridSpan w:val="3"/>
            <w:tcBorders>
              <w:bottom w:val="single" w:sz="4" w:space="0" w:color="auto"/>
              <w:right w:val="single" w:sz="4" w:space="0" w:color="auto"/>
            </w:tcBorders>
            <w:noWrap/>
            <w:vAlign w:val="center"/>
            <w:hideMark/>
          </w:tcPr>
          <w:p w14:paraId="1AF542BE" w14:textId="77777777" w:rsidR="003D7BB5" w:rsidRPr="00063DE7" w:rsidRDefault="003D7BB5" w:rsidP="00DD0F2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8"/>
                <w:szCs w:val="18"/>
                <w:lang w:eastAsia="en-US"/>
              </w:rPr>
            </w:pPr>
            <w:r w:rsidRPr="00063DE7">
              <w:rPr>
                <w:rFonts w:eastAsiaTheme="minorEastAsia"/>
                <w:sz w:val="18"/>
                <w:szCs w:val="18"/>
              </w:rPr>
              <w:t>Wave 1</w:t>
            </w:r>
          </w:p>
        </w:tc>
        <w:tc>
          <w:tcPr>
            <w:tcW w:w="2223" w:type="dxa"/>
            <w:gridSpan w:val="3"/>
            <w:tcBorders>
              <w:left w:val="single" w:sz="4" w:space="0" w:color="auto"/>
              <w:bottom w:val="single" w:sz="4" w:space="0" w:color="auto"/>
            </w:tcBorders>
            <w:vAlign w:val="center"/>
          </w:tcPr>
          <w:p w14:paraId="4E0E2F91" w14:textId="77777777" w:rsidR="003D7BB5" w:rsidRPr="00063DE7" w:rsidRDefault="003D7BB5" w:rsidP="00DD0F2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063DE7">
              <w:rPr>
                <w:rFonts w:eastAsiaTheme="minorEastAsia"/>
                <w:sz w:val="18"/>
                <w:szCs w:val="18"/>
                <w:lang w:eastAsia="en-US"/>
              </w:rPr>
              <w:t>Wave 2</w:t>
            </w:r>
          </w:p>
        </w:tc>
        <w:tc>
          <w:tcPr>
            <w:tcW w:w="2169" w:type="dxa"/>
            <w:gridSpan w:val="3"/>
            <w:tcBorders>
              <w:left w:val="single" w:sz="4" w:space="0" w:color="auto"/>
              <w:bottom w:val="single" w:sz="4" w:space="0" w:color="auto"/>
            </w:tcBorders>
          </w:tcPr>
          <w:p w14:paraId="11439E87" w14:textId="77777777" w:rsidR="003D7BB5" w:rsidRPr="00063DE7" w:rsidRDefault="003D7BB5" w:rsidP="00DD0F2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063DE7">
              <w:rPr>
                <w:rFonts w:eastAsiaTheme="minorEastAsia"/>
                <w:sz w:val="18"/>
                <w:szCs w:val="18"/>
                <w:lang w:eastAsia="en-US"/>
              </w:rPr>
              <w:t>Wave 3</w:t>
            </w:r>
          </w:p>
        </w:tc>
        <w:tc>
          <w:tcPr>
            <w:tcW w:w="2178" w:type="dxa"/>
            <w:gridSpan w:val="3"/>
            <w:tcBorders>
              <w:left w:val="single" w:sz="4" w:space="0" w:color="auto"/>
              <w:bottom w:val="single" w:sz="4" w:space="0" w:color="auto"/>
            </w:tcBorders>
          </w:tcPr>
          <w:p w14:paraId="6A255424" w14:textId="77777777" w:rsidR="003D7BB5" w:rsidRPr="00063DE7" w:rsidRDefault="003D7BB5" w:rsidP="00DD0F2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063DE7">
              <w:rPr>
                <w:rFonts w:eastAsiaTheme="minorEastAsia"/>
                <w:sz w:val="18"/>
                <w:szCs w:val="18"/>
                <w:lang w:eastAsia="en-US"/>
              </w:rPr>
              <w:t>Wave 4</w:t>
            </w:r>
          </w:p>
        </w:tc>
      </w:tr>
      <w:tr w:rsidR="003D7BB5" w:rsidRPr="00063DE7" w14:paraId="25AB16C6" w14:textId="77777777" w:rsidTr="00DD0F2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727" w:type="dxa"/>
            <w:vMerge/>
            <w:tcBorders>
              <w:bottom w:val="single" w:sz="4" w:space="0" w:color="auto"/>
            </w:tcBorders>
            <w:vAlign w:val="center"/>
            <w:hideMark/>
          </w:tcPr>
          <w:p w14:paraId="3D6508D9" w14:textId="77777777" w:rsidR="003D7BB5" w:rsidRPr="00063DE7" w:rsidRDefault="003D7BB5" w:rsidP="00DD0F28">
            <w:pPr>
              <w:spacing w:before="20" w:after="20"/>
              <w:rPr>
                <w:rFonts w:eastAsiaTheme="minorEastAsia"/>
                <w:sz w:val="18"/>
                <w:szCs w:val="18"/>
                <w:lang w:eastAsia="en-US"/>
              </w:rPr>
            </w:pPr>
          </w:p>
        </w:tc>
        <w:tc>
          <w:tcPr>
            <w:tcW w:w="456" w:type="dxa"/>
            <w:tcBorders>
              <w:top w:val="single" w:sz="4" w:space="0" w:color="auto"/>
              <w:bottom w:val="single" w:sz="4" w:space="0" w:color="auto"/>
            </w:tcBorders>
            <w:noWrap/>
            <w:vAlign w:val="center"/>
            <w:hideMark/>
          </w:tcPr>
          <w:p w14:paraId="6811392F" w14:textId="77777777" w:rsidR="003D7BB5" w:rsidRPr="00063DE7"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063DE7">
              <w:rPr>
                <w:rFonts w:eastAsiaTheme="minorEastAsia"/>
                <w:sz w:val="18"/>
                <w:szCs w:val="18"/>
              </w:rPr>
              <w:t>n</w:t>
            </w:r>
          </w:p>
        </w:tc>
        <w:tc>
          <w:tcPr>
            <w:tcW w:w="576" w:type="dxa"/>
            <w:tcBorders>
              <w:top w:val="single" w:sz="4" w:space="0" w:color="auto"/>
              <w:bottom w:val="single" w:sz="4" w:space="0" w:color="auto"/>
            </w:tcBorders>
            <w:noWrap/>
            <w:vAlign w:val="center"/>
            <w:hideMark/>
          </w:tcPr>
          <w:p w14:paraId="77CB9D6F" w14:textId="77777777" w:rsidR="003D7BB5" w:rsidRPr="00063DE7"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063DE7">
              <w:rPr>
                <w:rFonts w:eastAsiaTheme="minorEastAsia"/>
                <w:sz w:val="18"/>
                <w:szCs w:val="18"/>
              </w:rPr>
              <w:t>%</w:t>
            </w:r>
          </w:p>
        </w:tc>
        <w:tc>
          <w:tcPr>
            <w:tcW w:w="1146" w:type="dxa"/>
            <w:tcBorders>
              <w:top w:val="single" w:sz="4" w:space="0" w:color="auto"/>
              <w:bottom w:val="single" w:sz="4" w:space="0" w:color="auto"/>
              <w:right w:val="single" w:sz="4" w:space="0" w:color="auto"/>
            </w:tcBorders>
            <w:noWrap/>
            <w:vAlign w:val="center"/>
          </w:tcPr>
          <w:p w14:paraId="5963919A" w14:textId="77777777" w:rsidR="003D7BB5" w:rsidRPr="00063DE7"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063DE7">
              <w:rPr>
                <w:rFonts w:eastAsiaTheme="minorEastAsia"/>
                <w:sz w:val="18"/>
                <w:szCs w:val="18"/>
                <w:lang w:eastAsia="en-US"/>
              </w:rPr>
              <w:t>(95% CI)</w:t>
            </w:r>
          </w:p>
        </w:tc>
        <w:tc>
          <w:tcPr>
            <w:tcW w:w="456" w:type="dxa"/>
            <w:tcBorders>
              <w:top w:val="single" w:sz="4" w:space="0" w:color="auto"/>
              <w:left w:val="single" w:sz="4" w:space="0" w:color="auto"/>
              <w:bottom w:val="single" w:sz="4" w:space="0" w:color="auto"/>
            </w:tcBorders>
            <w:noWrap/>
            <w:vAlign w:val="center"/>
          </w:tcPr>
          <w:p w14:paraId="5BD59889" w14:textId="77777777" w:rsidR="003D7BB5" w:rsidRPr="00063DE7"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063DE7">
              <w:rPr>
                <w:rFonts w:eastAsiaTheme="minorEastAsia"/>
                <w:sz w:val="18"/>
                <w:szCs w:val="18"/>
                <w:lang w:eastAsia="en-US"/>
              </w:rPr>
              <w:t>n</w:t>
            </w:r>
          </w:p>
        </w:tc>
        <w:tc>
          <w:tcPr>
            <w:tcW w:w="621" w:type="dxa"/>
            <w:tcBorders>
              <w:top w:val="single" w:sz="4" w:space="0" w:color="auto"/>
              <w:bottom w:val="single" w:sz="4" w:space="0" w:color="auto"/>
            </w:tcBorders>
            <w:noWrap/>
            <w:vAlign w:val="center"/>
          </w:tcPr>
          <w:p w14:paraId="2C49A693" w14:textId="77777777" w:rsidR="003D7BB5" w:rsidRPr="00063DE7"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063DE7">
              <w:rPr>
                <w:rFonts w:eastAsiaTheme="minorEastAsia"/>
                <w:sz w:val="18"/>
                <w:szCs w:val="18"/>
                <w:lang w:eastAsia="en-US"/>
              </w:rPr>
              <w:t>%</w:t>
            </w:r>
          </w:p>
        </w:tc>
        <w:tc>
          <w:tcPr>
            <w:tcW w:w="1146" w:type="dxa"/>
            <w:tcBorders>
              <w:top w:val="single" w:sz="4" w:space="0" w:color="auto"/>
              <w:bottom w:val="single" w:sz="4" w:space="0" w:color="auto"/>
              <w:right w:val="single" w:sz="4" w:space="0" w:color="000000"/>
            </w:tcBorders>
            <w:shd w:val="clear" w:color="auto" w:fill="FFFFFF" w:themeFill="background1"/>
            <w:noWrap/>
            <w:vAlign w:val="center"/>
          </w:tcPr>
          <w:p w14:paraId="208810F9" w14:textId="77777777" w:rsidR="003D7BB5" w:rsidRPr="00063DE7"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063DE7">
              <w:rPr>
                <w:rFonts w:eastAsiaTheme="minorEastAsia"/>
                <w:sz w:val="18"/>
                <w:szCs w:val="18"/>
                <w:lang w:eastAsia="en-US"/>
              </w:rPr>
              <w:t>(95% CI)</w:t>
            </w:r>
          </w:p>
        </w:tc>
        <w:tc>
          <w:tcPr>
            <w:tcW w:w="456" w:type="dxa"/>
            <w:tcBorders>
              <w:top w:val="single" w:sz="4" w:space="0" w:color="auto"/>
              <w:left w:val="single" w:sz="4" w:space="0" w:color="000000"/>
              <w:bottom w:val="single" w:sz="4" w:space="0" w:color="auto"/>
            </w:tcBorders>
            <w:shd w:val="clear" w:color="auto" w:fill="FFFFFF" w:themeFill="background1"/>
            <w:vAlign w:val="center"/>
          </w:tcPr>
          <w:p w14:paraId="1EFFE372" w14:textId="77777777" w:rsidR="003D7BB5" w:rsidRPr="00063DE7"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063DE7">
              <w:rPr>
                <w:rFonts w:eastAsiaTheme="minorEastAsia"/>
                <w:sz w:val="18"/>
                <w:szCs w:val="18"/>
                <w:lang w:eastAsia="en-US"/>
              </w:rPr>
              <w:t>n</w:t>
            </w:r>
          </w:p>
        </w:tc>
        <w:tc>
          <w:tcPr>
            <w:tcW w:w="567" w:type="dxa"/>
            <w:tcBorders>
              <w:top w:val="single" w:sz="4" w:space="0" w:color="auto"/>
              <w:bottom w:val="single" w:sz="4" w:space="0" w:color="auto"/>
            </w:tcBorders>
            <w:shd w:val="clear" w:color="auto" w:fill="FFFFFF" w:themeFill="background1"/>
            <w:vAlign w:val="center"/>
          </w:tcPr>
          <w:p w14:paraId="59C54EB9" w14:textId="77777777" w:rsidR="003D7BB5" w:rsidRPr="00063DE7"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063DE7">
              <w:rPr>
                <w:rFonts w:eastAsiaTheme="minorEastAsia"/>
                <w:sz w:val="18"/>
                <w:szCs w:val="18"/>
                <w:lang w:eastAsia="en-US"/>
              </w:rPr>
              <w:t>%</w:t>
            </w:r>
          </w:p>
        </w:tc>
        <w:tc>
          <w:tcPr>
            <w:tcW w:w="1146" w:type="dxa"/>
            <w:tcBorders>
              <w:top w:val="single" w:sz="4" w:space="0" w:color="auto"/>
              <w:bottom w:val="single" w:sz="4" w:space="0" w:color="auto"/>
              <w:right w:val="single" w:sz="4" w:space="0" w:color="000000"/>
            </w:tcBorders>
            <w:shd w:val="clear" w:color="auto" w:fill="FFFFFF" w:themeFill="background1"/>
            <w:vAlign w:val="center"/>
          </w:tcPr>
          <w:p w14:paraId="016A05E6" w14:textId="77777777" w:rsidR="003D7BB5" w:rsidRPr="00063DE7"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063DE7">
              <w:rPr>
                <w:rFonts w:eastAsiaTheme="minorEastAsia"/>
                <w:sz w:val="18"/>
                <w:szCs w:val="18"/>
                <w:lang w:eastAsia="en-US"/>
              </w:rPr>
              <w:t>(95% CI)</w:t>
            </w:r>
          </w:p>
        </w:tc>
        <w:tc>
          <w:tcPr>
            <w:tcW w:w="456" w:type="dxa"/>
            <w:tcBorders>
              <w:top w:val="single" w:sz="4" w:space="0" w:color="auto"/>
              <w:left w:val="single" w:sz="4" w:space="0" w:color="000000"/>
              <w:bottom w:val="single" w:sz="4" w:space="0" w:color="auto"/>
            </w:tcBorders>
            <w:shd w:val="clear" w:color="auto" w:fill="FFFFFF" w:themeFill="background1"/>
            <w:vAlign w:val="center"/>
          </w:tcPr>
          <w:p w14:paraId="5B70F13D" w14:textId="77777777" w:rsidR="003D7BB5" w:rsidRPr="00063DE7"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063DE7">
              <w:rPr>
                <w:rFonts w:eastAsiaTheme="minorEastAsia"/>
                <w:sz w:val="18"/>
                <w:szCs w:val="18"/>
                <w:lang w:eastAsia="en-US"/>
              </w:rPr>
              <w:t>n</w:t>
            </w:r>
          </w:p>
        </w:tc>
        <w:tc>
          <w:tcPr>
            <w:tcW w:w="576" w:type="dxa"/>
            <w:tcBorders>
              <w:top w:val="single" w:sz="4" w:space="0" w:color="auto"/>
              <w:bottom w:val="single" w:sz="4" w:space="0" w:color="auto"/>
            </w:tcBorders>
            <w:shd w:val="clear" w:color="auto" w:fill="FFFFFF" w:themeFill="background1"/>
            <w:vAlign w:val="center"/>
          </w:tcPr>
          <w:p w14:paraId="16E3A334" w14:textId="77777777" w:rsidR="003D7BB5" w:rsidRPr="00063DE7"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063DE7">
              <w:rPr>
                <w:rFonts w:eastAsiaTheme="minorEastAsia"/>
                <w:sz w:val="18"/>
                <w:szCs w:val="18"/>
                <w:lang w:eastAsia="en-US"/>
              </w:rPr>
              <w:t>%</w:t>
            </w:r>
          </w:p>
        </w:tc>
        <w:tc>
          <w:tcPr>
            <w:tcW w:w="1146" w:type="dxa"/>
            <w:tcBorders>
              <w:top w:val="single" w:sz="4" w:space="0" w:color="auto"/>
              <w:bottom w:val="single" w:sz="4" w:space="0" w:color="auto"/>
            </w:tcBorders>
            <w:shd w:val="clear" w:color="auto" w:fill="FFFFFF" w:themeFill="background1"/>
            <w:vAlign w:val="center"/>
          </w:tcPr>
          <w:p w14:paraId="35F8D25D" w14:textId="77777777" w:rsidR="003D7BB5" w:rsidRPr="00063DE7" w:rsidRDefault="003D7BB5" w:rsidP="00DD0F2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063DE7">
              <w:rPr>
                <w:rFonts w:eastAsiaTheme="minorEastAsia"/>
                <w:sz w:val="18"/>
                <w:szCs w:val="18"/>
                <w:lang w:eastAsia="en-US"/>
              </w:rPr>
              <w:t>(95% CI)</w:t>
            </w:r>
          </w:p>
        </w:tc>
      </w:tr>
      <w:tr w:rsidR="003D7BB5" w:rsidRPr="00063DE7" w14:paraId="03ED1356"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single" w:sz="4" w:space="0" w:color="000000"/>
              <w:left w:val="nil"/>
              <w:bottom w:val="nil"/>
              <w:right w:val="nil"/>
            </w:tcBorders>
            <w:vAlign w:val="center"/>
          </w:tcPr>
          <w:p w14:paraId="2F956D5E" w14:textId="77777777" w:rsidR="003D7BB5" w:rsidRPr="00063DE7" w:rsidRDefault="003D7BB5" w:rsidP="00DD0F28">
            <w:pPr>
              <w:spacing w:before="20" w:after="20"/>
              <w:rPr>
                <w:rFonts w:eastAsiaTheme="minorEastAsia"/>
                <w:b w:val="0"/>
                <w:bCs w:val="0"/>
                <w:sz w:val="18"/>
                <w:szCs w:val="18"/>
                <w:lang w:eastAsia="en-US"/>
              </w:rPr>
            </w:pPr>
            <w:r w:rsidRPr="00063DE7">
              <w:rPr>
                <w:rFonts w:eastAsiaTheme="minorEastAsia"/>
                <w:sz w:val="18"/>
                <w:szCs w:val="18"/>
                <w:lang w:eastAsia="en-US"/>
              </w:rPr>
              <w:t>NZ casino</w:t>
            </w:r>
          </w:p>
        </w:tc>
        <w:tc>
          <w:tcPr>
            <w:tcW w:w="456" w:type="dxa"/>
            <w:tcBorders>
              <w:top w:val="single" w:sz="4" w:space="0" w:color="000000"/>
              <w:left w:val="nil"/>
              <w:bottom w:val="nil"/>
              <w:right w:val="nil"/>
            </w:tcBorders>
            <w:noWrap/>
            <w:vAlign w:val="center"/>
          </w:tcPr>
          <w:p w14:paraId="129174E9"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76" w:type="dxa"/>
            <w:tcBorders>
              <w:top w:val="single" w:sz="4" w:space="0" w:color="000000"/>
              <w:left w:val="nil"/>
              <w:bottom w:val="nil"/>
              <w:right w:val="nil"/>
            </w:tcBorders>
            <w:noWrap/>
            <w:vAlign w:val="center"/>
          </w:tcPr>
          <w:p w14:paraId="713EC63D"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auto"/>
            </w:tcBorders>
            <w:noWrap/>
            <w:vAlign w:val="center"/>
          </w:tcPr>
          <w:p w14:paraId="104809D3"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456" w:type="dxa"/>
            <w:tcBorders>
              <w:top w:val="nil"/>
              <w:left w:val="single" w:sz="4" w:space="0" w:color="auto"/>
              <w:bottom w:val="nil"/>
              <w:right w:val="nil"/>
            </w:tcBorders>
            <w:noWrap/>
            <w:vAlign w:val="center"/>
          </w:tcPr>
          <w:p w14:paraId="36AD9A47"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nil"/>
              <w:left w:val="nil"/>
              <w:bottom w:val="nil"/>
              <w:right w:val="nil"/>
            </w:tcBorders>
            <w:noWrap/>
            <w:vAlign w:val="center"/>
          </w:tcPr>
          <w:p w14:paraId="3D04593B"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FFFFFF" w:themeFill="background1"/>
            <w:noWrap/>
            <w:vAlign w:val="center"/>
          </w:tcPr>
          <w:p w14:paraId="6ADFF231"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456" w:type="dxa"/>
            <w:tcBorders>
              <w:top w:val="nil"/>
              <w:left w:val="single" w:sz="4" w:space="0" w:color="000000"/>
              <w:bottom w:val="nil"/>
              <w:right w:val="nil"/>
            </w:tcBorders>
            <w:vAlign w:val="center"/>
          </w:tcPr>
          <w:p w14:paraId="2C5B1FC3"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67" w:type="dxa"/>
            <w:tcBorders>
              <w:top w:val="nil"/>
              <w:left w:val="nil"/>
              <w:bottom w:val="nil"/>
              <w:right w:val="nil"/>
            </w:tcBorders>
            <w:vAlign w:val="center"/>
          </w:tcPr>
          <w:p w14:paraId="3EDE4D4A"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single" w:sz="4" w:space="0" w:color="000000"/>
            </w:tcBorders>
            <w:vAlign w:val="center"/>
          </w:tcPr>
          <w:p w14:paraId="7147D45D"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456" w:type="dxa"/>
            <w:tcBorders>
              <w:top w:val="nil"/>
              <w:left w:val="single" w:sz="4" w:space="0" w:color="000000"/>
              <w:bottom w:val="nil"/>
              <w:right w:val="nil"/>
            </w:tcBorders>
            <w:vAlign w:val="center"/>
          </w:tcPr>
          <w:p w14:paraId="6BAAF4BC"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76" w:type="dxa"/>
            <w:tcBorders>
              <w:top w:val="nil"/>
              <w:left w:val="nil"/>
              <w:bottom w:val="nil"/>
              <w:right w:val="nil"/>
            </w:tcBorders>
            <w:vAlign w:val="center"/>
          </w:tcPr>
          <w:p w14:paraId="187BC15E"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nil"/>
            </w:tcBorders>
            <w:vAlign w:val="center"/>
          </w:tcPr>
          <w:p w14:paraId="5EB5EA5E" w14:textId="77777777" w:rsidR="003D7BB5" w:rsidRPr="00063DE7" w:rsidRDefault="003D7BB5" w:rsidP="00DD0F2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r>
      <w:tr w:rsidR="009118DA" w:rsidRPr="00063DE7" w14:paraId="3CEB6A53"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vAlign w:val="center"/>
          </w:tcPr>
          <w:p w14:paraId="390B6F08" w14:textId="77777777" w:rsidR="003D7BB5" w:rsidRPr="00063DE7" w:rsidRDefault="003D7BB5" w:rsidP="00DD0F28">
            <w:pPr>
              <w:tabs>
                <w:tab w:val="left" w:pos="176"/>
              </w:tabs>
              <w:spacing w:before="20" w:after="20"/>
              <w:ind w:left="176"/>
              <w:rPr>
                <w:rFonts w:eastAsiaTheme="minorEastAsia"/>
                <w:b w:val="0"/>
                <w:sz w:val="18"/>
                <w:szCs w:val="18"/>
                <w:lang w:eastAsia="en-US"/>
              </w:rPr>
            </w:pPr>
            <w:r w:rsidRPr="00063DE7">
              <w:rPr>
                <w:rFonts w:eastAsiaTheme="minorEastAsia"/>
                <w:b w:val="0"/>
                <w:sz w:val="18"/>
                <w:szCs w:val="18"/>
                <w:lang w:eastAsia="en-US"/>
              </w:rPr>
              <w:t>Up to 15 minutes</w:t>
            </w:r>
          </w:p>
        </w:tc>
        <w:tc>
          <w:tcPr>
            <w:tcW w:w="456" w:type="dxa"/>
            <w:tcBorders>
              <w:top w:val="nil"/>
              <w:left w:val="nil"/>
              <w:bottom w:val="nil"/>
              <w:right w:val="nil"/>
            </w:tcBorders>
            <w:noWrap/>
            <w:vAlign w:val="center"/>
          </w:tcPr>
          <w:p w14:paraId="06AF66D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063DE7">
              <w:rPr>
                <w:color w:val="000000"/>
                <w:sz w:val="18"/>
                <w:szCs w:val="18"/>
              </w:rPr>
              <w:t>10</w:t>
            </w:r>
          </w:p>
        </w:tc>
        <w:tc>
          <w:tcPr>
            <w:tcW w:w="576" w:type="dxa"/>
            <w:tcBorders>
              <w:top w:val="nil"/>
              <w:left w:val="nil"/>
              <w:bottom w:val="nil"/>
              <w:right w:val="nil"/>
            </w:tcBorders>
            <w:noWrap/>
            <w:vAlign w:val="center"/>
          </w:tcPr>
          <w:p w14:paraId="120A07C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20.9</w:t>
            </w:r>
          </w:p>
        </w:tc>
        <w:tc>
          <w:tcPr>
            <w:tcW w:w="1146" w:type="dxa"/>
            <w:tcBorders>
              <w:top w:val="nil"/>
              <w:left w:val="nil"/>
              <w:bottom w:val="nil"/>
              <w:right w:val="single" w:sz="4" w:space="0" w:color="auto"/>
            </w:tcBorders>
            <w:noWrap/>
            <w:vAlign w:val="center"/>
          </w:tcPr>
          <w:p w14:paraId="25D9087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(11.1, 30.8)</w:t>
            </w:r>
          </w:p>
        </w:tc>
        <w:tc>
          <w:tcPr>
            <w:tcW w:w="456" w:type="dxa"/>
            <w:tcBorders>
              <w:top w:val="nil"/>
              <w:left w:val="single" w:sz="4" w:space="0" w:color="auto"/>
              <w:bottom w:val="nil"/>
              <w:right w:val="nil"/>
            </w:tcBorders>
            <w:noWrap/>
            <w:vAlign w:val="center"/>
          </w:tcPr>
          <w:p w14:paraId="1226159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063DE7">
              <w:rPr>
                <w:color w:val="000000"/>
                <w:sz w:val="18"/>
                <w:szCs w:val="18"/>
              </w:rPr>
              <w:t>4</w:t>
            </w:r>
          </w:p>
        </w:tc>
        <w:tc>
          <w:tcPr>
            <w:tcW w:w="621" w:type="dxa"/>
            <w:tcBorders>
              <w:top w:val="nil"/>
              <w:left w:val="nil"/>
              <w:bottom w:val="nil"/>
              <w:right w:val="nil"/>
            </w:tcBorders>
            <w:noWrap/>
            <w:vAlign w:val="center"/>
          </w:tcPr>
          <w:p w14:paraId="5A173EA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12.9</w:t>
            </w:r>
          </w:p>
        </w:tc>
        <w:tc>
          <w:tcPr>
            <w:tcW w:w="1146" w:type="dxa"/>
            <w:tcBorders>
              <w:top w:val="nil"/>
              <w:left w:val="nil"/>
              <w:bottom w:val="nil"/>
              <w:right w:val="single" w:sz="4" w:space="0" w:color="000000"/>
            </w:tcBorders>
            <w:shd w:val="clear" w:color="auto" w:fill="FFFFFF" w:themeFill="background1"/>
            <w:noWrap/>
            <w:vAlign w:val="center"/>
          </w:tcPr>
          <w:p w14:paraId="48CCB0F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(1.2, 24.6)</w:t>
            </w:r>
          </w:p>
        </w:tc>
        <w:tc>
          <w:tcPr>
            <w:tcW w:w="456" w:type="dxa"/>
            <w:tcBorders>
              <w:top w:val="nil"/>
              <w:left w:val="single" w:sz="4" w:space="0" w:color="000000"/>
              <w:bottom w:val="nil"/>
              <w:right w:val="nil"/>
            </w:tcBorders>
            <w:shd w:val="clear" w:color="auto" w:fill="FFFFFF" w:themeFill="background1"/>
            <w:vAlign w:val="center"/>
          </w:tcPr>
          <w:p w14:paraId="6FACE09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063DE7">
              <w:rPr>
                <w:color w:val="000000"/>
                <w:sz w:val="18"/>
                <w:szCs w:val="18"/>
              </w:rPr>
              <w:t>3</w:t>
            </w:r>
          </w:p>
        </w:tc>
        <w:tc>
          <w:tcPr>
            <w:tcW w:w="567" w:type="dxa"/>
            <w:tcBorders>
              <w:top w:val="nil"/>
              <w:left w:val="nil"/>
              <w:bottom w:val="nil"/>
              <w:right w:val="nil"/>
            </w:tcBorders>
            <w:shd w:val="clear" w:color="auto" w:fill="FFFFFF" w:themeFill="background1"/>
            <w:vAlign w:val="center"/>
          </w:tcPr>
          <w:p w14:paraId="563024C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10.0</w:t>
            </w:r>
          </w:p>
        </w:tc>
        <w:tc>
          <w:tcPr>
            <w:tcW w:w="1146" w:type="dxa"/>
            <w:tcBorders>
              <w:top w:val="nil"/>
              <w:left w:val="nil"/>
              <w:bottom w:val="nil"/>
              <w:right w:val="single" w:sz="4" w:space="0" w:color="000000"/>
            </w:tcBorders>
            <w:shd w:val="clear" w:color="auto" w:fill="FFFFFF" w:themeFill="background1"/>
            <w:vAlign w:val="center"/>
          </w:tcPr>
          <w:p w14:paraId="0FFF6A6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(0.4, 19.5)</w:t>
            </w:r>
          </w:p>
        </w:tc>
        <w:tc>
          <w:tcPr>
            <w:tcW w:w="456" w:type="dxa"/>
            <w:tcBorders>
              <w:top w:val="nil"/>
              <w:left w:val="single" w:sz="4" w:space="0" w:color="000000"/>
              <w:bottom w:val="nil"/>
              <w:right w:val="nil"/>
            </w:tcBorders>
            <w:shd w:val="clear" w:color="auto" w:fill="FFFFFF" w:themeFill="background1"/>
            <w:vAlign w:val="center"/>
          </w:tcPr>
          <w:p w14:paraId="54A23DF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063DE7">
              <w:rPr>
                <w:color w:val="000000"/>
                <w:sz w:val="18"/>
                <w:szCs w:val="18"/>
              </w:rPr>
              <w:t>8</w:t>
            </w:r>
          </w:p>
        </w:tc>
        <w:tc>
          <w:tcPr>
            <w:tcW w:w="576" w:type="dxa"/>
            <w:tcBorders>
              <w:top w:val="nil"/>
              <w:left w:val="nil"/>
              <w:bottom w:val="nil"/>
              <w:right w:val="nil"/>
            </w:tcBorders>
            <w:shd w:val="clear" w:color="auto" w:fill="FFFFFF" w:themeFill="background1"/>
            <w:vAlign w:val="center"/>
          </w:tcPr>
          <w:p w14:paraId="6F304EA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29.8</w:t>
            </w:r>
          </w:p>
        </w:tc>
        <w:tc>
          <w:tcPr>
            <w:tcW w:w="1146" w:type="dxa"/>
            <w:tcBorders>
              <w:top w:val="nil"/>
              <w:left w:val="nil"/>
              <w:bottom w:val="nil"/>
              <w:right w:val="nil"/>
            </w:tcBorders>
            <w:shd w:val="clear" w:color="auto" w:fill="FFFFFF" w:themeFill="background1"/>
            <w:vAlign w:val="center"/>
          </w:tcPr>
          <w:p w14:paraId="2B46244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(0.0, 72.9)</w:t>
            </w:r>
          </w:p>
        </w:tc>
      </w:tr>
      <w:tr w:rsidR="009118DA" w:rsidRPr="00063DE7" w14:paraId="44E9767D"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vAlign w:val="center"/>
          </w:tcPr>
          <w:p w14:paraId="2E5ACF84" w14:textId="77777777" w:rsidR="003D7BB5" w:rsidRPr="00063DE7" w:rsidRDefault="003D7BB5" w:rsidP="00DD0F28">
            <w:pPr>
              <w:tabs>
                <w:tab w:val="left" w:pos="176"/>
              </w:tabs>
              <w:spacing w:before="20" w:after="20"/>
              <w:ind w:left="176"/>
              <w:rPr>
                <w:rFonts w:eastAsiaTheme="minorEastAsia"/>
                <w:b w:val="0"/>
                <w:sz w:val="18"/>
                <w:szCs w:val="18"/>
                <w:lang w:eastAsia="en-US"/>
              </w:rPr>
            </w:pPr>
            <w:r w:rsidRPr="00063DE7">
              <w:rPr>
                <w:rFonts w:eastAsiaTheme="minorEastAsia"/>
                <w:b w:val="0"/>
                <w:sz w:val="18"/>
                <w:szCs w:val="18"/>
                <w:lang w:eastAsia="en-US"/>
              </w:rPr>
              <w:t>16 - 30 minutes</w:t>
            </w:r>
          </w:p>
        </w:tc>
        <w:tc>
          <w:tcPr>
            <w:tcW w:w="456" w:type="dxa"/>
            <w:tcBorders>
              <w:top w:val="nil"/>
              <w:left w:val="nil"/>
              <w:bottom w:val="nil"/>
              <w:right w:val="nil"/>
            </w:tcBorders>
            <w:noWrap/>
            <w:vAlign w:val="center"/>
          </w:tcPr>
          <w:p w14:paraId="6CD7BAD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w:t>
            </w:r>
          </w:p>
        </w:tc>
        <w:tc>
          <w:tcPr>
            <w:tcW w:w="576" w:type="dxa"/>
            <w:tcBorders>
              <w:top w:val="nil"/>
              <w:left w:val="nil"/>
              <w:bottom w:val="nil"/>
              <w:right w:val="nil"/>
            </w:tcBorders>
            <w:noWrap/>
            <w:vAlign w:val="center"/>
          </w:tcPr>
          <w:p w14:paraId="2B28AE2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15.5</w:t>
            </w:r>
          </w:p>
        </w:tc>
        <w:tc>
          <w:tcPr>
            <w:tcW w:w="1146" w:type="dxa"/>
            <w:tcBorders>
              <w:top w:val="nil"/>
              <w:left w:val="nil"/>
              <w:bottom w:val="nil"/>
              <w:right w:val="single" w:sz="4" w:space="0" w:color="auto"/>
            </w:tcBorders>
            <w:noWrap/>
            <w:vAlign w:val="center"/>
          </w:tcPr>
          <w:p w14:paraId="52AE611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(7.4, 23.6)</w:t>
            </w:r>
          </w:p>
        </w:tc>
        <w:tc>
          <w:tcPr>
            <w:tcW w:w="456" w:type="dxa"/>
            <w:tcBorders>
              <w:top w:val="nil"/>
              <w:left w:val="single" w:sz="4" w:space="0" w:color="auto"/>
              <w:bottom w:val="nil"/>
              <w:right w:val="nil"/>
            </w:tcBorders>
            <w:noWrap/>
            <w:vAlign w:val="center"/>
          </w:tcPr>
          <w:p w14:paraId="06CF956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w:t>
            </w:r>
          </w:p>
        </w:tc>
        <w:tc>
          <w:tcPr>
            <w:tcW w:w="621" w:type="dxa"/>
            <w:tcBorders>
              <w:top w:val="nil"/>
              <w:left w:val="nil"/>
              <w:bottom w:val="nil"/>
              <w:right w:val="nil"/>
            </w:tcBorders>
            <w:noWrap/>
            <w:vAlign w:val="center"/>
          </w:tcPr>
          <w:p w14:paraId="64A39FC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15.4</w:t>
            </w:r>
          </w:p>
        </w:tc>
        <w:tc>
          <w:tcPr>
            <w:tcW w:w="1146" w:type="dxa"/>
            <w:tcBorders>
              <w:top w:val="nil"/>
              <w:left w:val="nil"/>
              <w:bottom w:val="nil"/>
              <w:right w:val="single" w:sz="4" w:space="0" w:color="000000"/>
            </w:tcBorders>
            <w:shd w:val="clear" w:color="auto" w:fill="FFFFFF" w:themeFill="background1"/>
            <w:noWrap/>
            <w:vAlign w:val="center"/>
          </w:tcPr>
          <w:p w14:paraId="74349B4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(1.4, 29.4)</w:t>
            </w:r>
          </w:p>
        </w:tc>
        <w:tc>
          <w:tcPr>
            <w:tcW w:w="456" w:type="dxa"/>
            <w:tcBorders>
              <w:top w:val="nil"/>
              <w:left w:val="single" w:sz="4" w:space="0" w:color="000000"/>
              <w:bottom w:val="nil"/>
              <w:right w:val="nil"/>
            </w:tcBorders>
            <w:shd w:val="clear" w:color="auto" w:fill="FFFFFF" w:themeFill="background1"/>
            <w:vAlign w:val="center"/>
          </w:tcPr>
          <w:p w14:paraId="21370AA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w:t>
            </w:r>
          </w:p>
        </w:tc>
        <w:tc>
          <w:tcPr>
            <w:tcW w:w="567" w:type="dxa"/>
            <w:tcBorders>
              <w:top w:val="nil"/>
              <w:left w:val="nil"/>
              <w:bottom w:val="nil"/>
              <w:right w:val="nil"/>
            </w:tcBorders>
            <w:shd w:val="clear" w:color="auto" w:fill="FFFFFF" w:themeFill="background1"/>
            <w:vAlign w:val="center"/>
          </w:tcPr>
          <w:p w14:paraId="579F8FB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12.4</w:t>
            </w:r>
          </w:p>
        </w:tc>
        <w:tc>
          <w:tcPr>
            <w:tcW w:w="1146" w:type="dxa"/>
            <w:tcBorders>
              <w:top w:val="nil"/>
              <w:left w:val="nil"/>
              <w:bottom w:val="nil"/>
              <w:right w:val="single" w:sz="4" w:space="0" w:color="000000"/>
            </w:tcBorders>
            <w:shd w:val="clear" w:color="auto" w:fill="FFFFFF" w:themeFill="background1"/>
            <w:vAlign w:val="center"/>
          </w:tcPr>
          <w:p w14:paraId="1F5A29E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(1.7, 23.2)</w:t>
            </w:r>
          </w:p>
        </w:tc>
        <w:tc>
          <w:tcPr>
            <w:tcW w:w="456" w:type="dxa"/>
            <w:tcBorders>
              <w:top w:val="nil"/>
              <w:left w:val="single" w:sz="4" w:space="0" w:color="000000"/>
              <w:bottom w:val="nil"/>
              <w:right w:val="nil"/>
            </w:tcBorders>
            <w:shd w:val="clear" w:color="auto" w:fill="FFFFFF" w:themeFill="background1"/>
            <w:vAlign w:val="center"/>
          </w:tcPr>
          <w:p w14:paraId="6106D13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w:t>
            </w:r>
          </w:p>
        </w:tc>
        <w:tc>
          <w:tcPr>
            <w:tcW w:w="576" w:type="dxa"/>
            <w:tcBorders>
              <w:top w:val="nil"/>
              <w:left w:val="nil"/>
              <w:bottom w:val="nil"/>
              <w:right w:val="nil"/>
            </w:tcBorders>
            <w:shd w:val="clear" w:color="auto" w:fill="FFFFFF" w:themeFill="background1"/>
            <w:vAlign w:val="center"/>
          </w:tcPr>
          <w:p w14:paraId="5D94472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7.1</w:t>
            </w:r>
          </w:p>
        </w:tc>
        <w:tc>
          <w:tcPr>
            <w:tcW w:w="1146" w:type="dxa"/>
            <w:tcBorders>
              <w:top w:val="nil"/>
              <w:left w:val="nil"/>
              <w:bottom w:val="nil"/>
              <w:right w:val="nil"/>
            </w:tcBorders>
            <w:shd w:val="clear" w:color="auto" w:fill="FFFFFF" w:themeFill="background1"/>
            <w:vAlign w:val="center"/>
          </w:tcPr>
          <w:p w14:paraId="1C7B654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063DE7" w14:paraId="7774C5DA"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vAlign w:val="center"/>
          </w:tcPr>
          <w:p w14:paraId="4B737280" w14:textId="77777777" w:rsidR="003D7BB5" w:rsidRPr="00063DE7" w:rsidRDefault="003D7BB5" w:rsidP="00DD0F28">
            <w:pPr>
              <w:tabs>
                <w:tab w:val="left" w:pos="176"/>
              </w:tabs>
              <w:spacing w:before="20" w:after="20"/>
              <w:ind w:left="176"/>
              <w:rPr>
                <w:rFonts w:eastAsiaTheme="minorEastAsia"/>
                <w:b w:val="0"/>
                <w:sz w:val="18"/>
                <w:szCs w:val="18"/>
                <w:lang w:eastAsia="en-US"/>
              </w:rPr>
            </w:pPr>
            <w:r w:rsidRPr="00063DE7">
              <w:rPr>
                <w:rFonts w:eastAsiaTheme="minorEastAsia"/>
                <w:b w:val="0"/>
                <w:sz w:val="18"/>
                <w:szCs w:val="18"/>
                <w:lang w:eastAsia="en-US"/>
              </w:rPr>
              <w:t>31 - 60 minutes</w:t>
            </w:r>
          </w:p>
        </w:tc>
        <w:tc>
          <w:tcPr>
            <w:tcW w:w="456" w:type="dxa"/>
            <w:tcBorders>
              <w:top w:val="nil"/>
              <w:left w:val="nil"/>
              <w:bottom w:val="nil"/>
              <w:right w:val="nil"/>
            </w:tcBorders>
            <w:noWrap/>
            <w:vAlign w:val="center"/>
          </w:tcPr>
          <w:p w14:paraId="26FC713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w:t>
            </w:r>
          </w:p>
        </w:tc>
        <w:tc>
          <w:tcPr>
            <w:tcW w:w="576" w:type="dxa"/>
            <w:tcBorders>
              <w:top w:val="nil"/>
              <w:left w:val="nil"/>
              <w:bottom w:val="nil"/>
              <w:right w:val="nil"/>
            </w:tcBorders>
            <w:noWrap/>
            <w:vAlign w:val="center"/>
          </w:tcPr>
          <w:p w14:paraId="3D90273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15.6</w:t>
            </w:r>
          </w:p>
        </w:tc>
        <w:tc>
          <w:tcPr>
            <w:tcW w:w="1146" w:type="dxa"/>
            <w:tcBorders>
              <w:top w:val="nil"/>
              <w:left w:val="nil"/>
              <w:bottom w:val="nil"/>
              <w:right w:val="single" w:sz="4" w:space="0" w:color="auto"/>
            </w:tcBorders>
            <w:noWrap/>
            <w:vAlign w:val="center"/>
          </w:tcPr>
          <w:p w14:paraId="5E3D59D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(7.0, 24.3)</w:t>
            </w:r>
          </w:p>
        </w:tc>
        <w:tc>
          <w:tcPr>
            <w:tcW w:w="456" w:type="dxa"/>
            <w:tcBorders>
              <w:top w:val="nil"/>
              <w:left w:val="single" w:sz="4" w:space="0" w:color="auto"/>
              <w:bottom w:val="nil"/>
              <w:right w:val="nil"/>
            </w:tcBorders>
            <w:noWrap/>
            <w:vAlign w:val="center"/>
          </w:tcPr>
          <w:p w14:paraId="72ABBC4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9</w:t>
            </w:r>
          </w:p>
        </w:tc>
        <w:tc>
          <w:tcPr>
            <w:tcW w:w="621" w:type="dxa"/>
            <w:tcBorders>
              <w:top w:val="nil"/>
              <w:left w:val="nil"/>
              <w:bottom w:val="nil"/>
              <w:right w:val="nil"/>
            </w:tcBorders>
            <w:noWrap/>
            <w:vAlign w:val="center"/>
          </w:tcPr>
          <w:p w14:paraId="41620A3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28.2</w:t>
            </w:r>
          </w:p>
        </w:tc>
        <w:tc>
          <w:tcPr>
            <w:tcW w:w="1146" w:type="dxa"/>
            <w:tcBorders>
              <w:top w:val="nil"/>
              <w:left w:val="nil"/>
              <w:bottom w:val="nil"/>
              <w:right w:val="single" w:sz="4" w:space="0" w:color="000000"/>
            </w:tcBorders>
            <w:shd w:val="clear" w:color="auto" w:fill="FFFFFF" w:themeFill="background1"/>
            <w:noWrap/>
            <w:vAlign w:val="center"/>
          </w:tcPr>
          <w:p w14:paraId="692DC7F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(12.9, 43.5)</w:t>
            </w:r>
          </w:p>
        </w:tc>
        <w:tc>
          <w:tcPr>
            <w:tcW w:w="456" w:type="dxa"/>
            <w:tcBorders>
              <w:top w:val="nil"/>
              <w:left w:val="single" w:sz="4" w:space="0" w:color="000000"/>
              <w:bottom w:val="nil"/>
              <w:right w:val="nil"/>
            </w:tcBorders>
            <w:shd w:val="clear" w:color="auto" w:fill="FFFFFF" w:themeFill="background1"/>
            <w:vAlign w:val="center"/>
          </w:tcPr>
          <w:p w14:paraId="1C5CA06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11</w:t>
            </w:r>
          </w:p>
        </w:tc>
        <w:tc>
          <w:tcPr>
            <w:tcW w:w="567" w:type="dxa"/>
            <w:tcBorders>
              <w:top w:val="nil"/>
              <w:left w:val="nil"/>
              <w:bottom w:val="nil"/>
              <w:right w:val="nil"/>
            </w:tcBorders>
            <w:shd w:val="clear" w:color="auto" w:fill="FFFFFF" w:themeFill="background1"/>
            <w:vAlign w:val="center"/>
          </w:tcPr>
          <w:p w14:paraId="288345B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39.2</w:t>
            </w:r>
          </w:p>
        </w:tc>
        <w:tc>
          <w:tcPr>
            <w:tcW w:w="1146" w:type="dxa"/>
            <w:tcBorders>
              <w:top w:val="nil"/>
              <w:left w:val="nil"/>
              <w:bottom w:val="nil"/>
              <w:right w:val="single" w:sz="4" w:space="0" w:color="000000"/>
            </w:tcBorders>
            <w:shd w:val="clear" w:color="auto" w:fill="FFFFFF" w:themeFill="background1"/>
            <w:vAlign w:val="center"/>
          </w:tcPr>
          <w:p w14:paraId="4F159E2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(16.0, 62.4)</w:t>
            </w:r>
          </w:p>
        </w:tc>
        <w:tc>
          <w:tcPr>
            <w:tcW w:w="456" w:type="dxa"/>
            <w:tcBorders>
              <w:top w:val="nil"/>
              <w:left w:val="single" w:sz="4" w:space="0" w:color="000000"/>
              <w:bottom w:val="nil"/>
              <w:right w:val="nil"/>
            </w:tcBorders>
            <w:shd w:val="clear" w:color="auto" w:fill="FFFFFF" w:themeFill="background1"/>
            <w:vAlign w:val="center"/>
          </w:tcPr>
          <w:p w14:paraId="0B61D60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w:t>
            </w:r>
          </w:p>
        </w:tc>
        <w:tc>
          <w:tcPr>
            <w:tcW w:w="576" w:type="dxa"/>
            <w:tcBorders>
              <w:top w:val="nil"/>
              <w:left w:val="nil"/>
              <w:bottom w:val="nil"/>
              <w:right w:val="nil"/>
            </w:tcBorders>
            <w:shd w:val="clear" w:color="auto" w:fill="FFFFFF" w:themeFill="background1"/>
            <w:vAlign w:val="center"/>
          </w:tcPr>
          <w:p w14:paraId="435C8E6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21.8</w:t>
            </w:r>
          </w:p>
        </w:tc>
        <w:tc>
          <w:tcPr>
            <w:tcW w:w="1146" w:type="dxa"/>
            <w:tcBorders>
              <w:top w:val="nil"/>
              <w:left w:val="nil"/>
              <w:bottom w:val="nil"/>
              <w:right w:val="nil"/>
            </w:tcBorders>
            <w:shd w:val="clear" w:color="auto" w:fill="FFFFFF" w:themeFill="background1"/>
            <w:vAlign w:val="center"/>
          </w:tcPr>
          <w:p w14:paraId="50D0DB2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(0.1, 43.4)</w:t>
            </w:r>
          </w:p>
        </w:tc>
      </w:tr>
      <w:tr w:rsidR="009118DA" w:rsidRPr="00063DE7" w14:paraId="7C8D6B0C"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vAlign w:val="center"/>
          </w:tcPr>
          <w:p w14:paraId="55D7361A" w14:textId="77777777" w:rsidR="003D7BB5" w:rsidRPr="00063DE7" w:rsidRDefault="003D7BB5" w:rsidP="00DD0F28">
            <w:pPr>
              <w:tabs>
                <w:tab w:val="left" w:pos="176"/>
              </w:tabs>
              <w:spacing w:before="20" w:after="60"/>
              <w:ind w:left="176"/>
              <w:rPr>
                <w:rFonts w:eastAsiaTheme="minorEastAsia"/>
                <w:b w:val="0"/>
                <w:sz w:val="18"/>
                <w:szCs w:val="18"/>
                <w:lang w:eastAsia="en-US"/>
              </w:rPr>
            </w:pPr>
            <w:r w:rsidRPr="00063DE7">
              <w:rPr>
                <w:rFonts w:eastAsiaTheme="minorEastAsia"/>
                <w:b w:val="0"/>
                <w:sz w:val="18"/>
                <w:szCs w:val="18"/>
                <w:lang w:eastAsia="en-US"/>
              </w:rPr>
              <w:t>&gt; 60 minutes</w:t>
            </w:r>
          </w:p>
        </w:tc>
        <w:tc>
          <w:tcPr>
            <w:tcW w:w="456" w:type="dxa"/>
            <w:tcBorders>
              <w:top w:val="nil"/>
              <w:left w:val="nil"/>
              <w:bottom w:val="nil"/>
              <w:right w:val="nil"/>
            </w:tcBorders>
            <w:noWrap/>
            <w:vAlign w:val="center"/>
          </w:tcPr>
          <w:p w14:paraId="3C4371A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22</w:t>
            </w:r>
          </w:p>
        </w:tc>
        <w:tc>
          <w:tcPr>
            <w:tcW w:w="576" w:type="dxa"/>
            <w:tcBorders>
              <w:top w:val="nil"/>
              <w:left w:val="nil"/>
              <w:bottom w:val="nil"/>
              <w:right w:val="nil"/>
            </w:tcBorders>
            <w:noWrap/>
            <w:vAlign w:val="center"/>
          </w:tcPr>
          <w:p w14:paraId="026C680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47.9</w:t>
            </w:r>
          </w:p>
        </w:tc>
        <w:tc>
          <w:tcPr>
            <w:tcW w:w="1146" w:type="dxa"/>
            <w:tcBorders>
              <w:top w:val="nil"/>
              <w:left w:val="nil"/>
              <w:bottom w:val="nil"/>
              <w:right w:val="single" w:sz="4" w:space="0" w:color="auto"/>
            </w:tcBorders>
            <w:noWrap/>
            <w:vAlign w:val="center"/>
          </w:tcPr>
          <w:p w14:paraId="13DF327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(35.9, 59.9)</w:t>
            </w:r>
          </w:p>
        </w:tc>
        <w:tc>
          <w:tcPr>
            <w:tcW w:w="456" w:type="dxa"/>
            <w:tcBorders>
              <w:top w:val="nil"/>
              <w:left w:val="single" w:sz="4" w:space="0" w:color="auto"/>
              <w:bottom w:val="nil"/>
              <w:right w:val="nil"/>
            </w:tcBorders>
            <w:noWrap/>
            <w:vAlign w:val="center"/>
          </w:tcPr>
          <w:p w14:paraId="749F4D2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w:t>
            </w:r>
          </w:p>
        </w:tc>
        <w:tc>
          <w:tcPr>
            <w:tcW w:w="621" w:type="dxa"/>
            <w:tcBorders>
              <w:top w:val="nil"/>
              <w:left w:val="nil"/>
              <w:bottom w:val="nil"/>
              <w:right w:val="nil"/>
            </w:tcBorders>
            <w:noWrap/>
            <w:vAlign w:val="center"/>
          </w:tcPr>
          <w:p w14:paraId="1E60C1A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43.6</w:t>
            </w:r>
          </w:p>
        </w:tc>
        <w:tc>
          <w:tcPr>
            <w:tcW w:w="1146" w:type="dxa"/>
            <w:tcBorders>
              <w:top w:val="nil"/>
              <w:left w:val="nil"/>
              <w:bottom w:val="nil"/>
              <w:right w:val="single" w:sz="4" w:space="0" w:color="000000"/>
            </w:tcBorders>
            <w:shd w:val="clear" w:color="auto" w:fill="FFFFFF" w:themeFill="background1"/>
            <w:noWrap/>
            <w:vAlign w:val="center"/>
          </w:tcPr>
          <w:p w14:paraId="00F27C9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(27.8, 59.3)</w:t>
            </w:r>
          </w:p>
        </w:tc>
        <w:tc>
          <w:tcPr>
            <w:tcW w:w="456" w:type="dxa"/>
            <w:tcBorders>
              <w:top w:val="nil"/>
              <w:left w:val="single" w:sz="4" w:space="0" w:color="000000"/>
              <w:bottom w:val="nil"/>
              <w:right w:val="nil"/>
            </w:tcBorders>
            <w:shd w:val="clear" w:color="auto" w:fill="FFFFFF" w:themeFill="background1"/>
            <w:vAlign w:val="center"/>
          </w:tcPr>
          <w:p w14:paraId="71A25A8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w:t>
            </w:r>
          </w:p>
        </w:tc>
        <w:tc>
          <w:tcPr>
            <w:tcW w:w="567" w:type="dxa"/>
            <w:tcBorders>
              <w:top w:val="nil"/>
              <w:left w:val="nil"/>
              <w:bottom w:val="nil"/>
              <w:right w:val="nil"/>
            </w:tcBorders>
            <w:shd w:val="clear" w:color="auto" w:fill="FFFFFF" w:themeFill="background1"/>
            <w:vAlign w:val="center"/>
          </w:tcPr>
          <w:p w14:paraId="7C79188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38.4</w:t>
            </w:r>
          </w:p>
        </w:tc>
        <w:tc>
          <w:tcPr>
            <w:tcW w:w="1146" w:type="dxa"/>
            <w:tcBorders>
              <w:top w:val="nil"/>
              <w:left w:val="nil"/>
              <w:bottom w:val="nil"/>
              <w:right w:val="single" w:sz="4" w:space="0" w:color="000000"/>
            </w:tcBorders>
            <w:shd w:val="clear" w:color="auto" w:fill="FFFFFF" w:themeFill="background1"/>
            <w:vAlign w:val="center"/>
          </w:tcPr>
          <w:p w14:paraId="4CAE22A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(18.0, 58.8)</w:t>
            </w:r>
          </w:p>
        </w:tc>
        <w:tc>
          <w:tcPr>
            <w:tcW w:w="456" w:type="dxa"/>
            <w:tcBorders>
              <w:top w:val="nil"/>
              <w:left w:val="single" w:sz="4" w:space="0" w:color="000000"/>
              <w:bottom w:val="nil"/>
              <w:right w:val="nil"/>
            </w:tcBorders>
            <w:shd w:val="clear" w:color="auto" w:fill="FFFFFF" w:themeFill="background1"/>
            <w:vAlign w:val="center"/>
          </w:tcPr>
          <w:p w14:paraId="4F73F1A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11</w:t>
            </w:r>
          </w:p>
        </w:tc>
        <w:tc>
          <w:tcPr>
            <w:tcW w:w="576" w:type="dxa"/>
            <w:tcBorders>
              <w:top w:val="nil"/>
              <w:left w:val="nil"/>
              <w:bottom w:val="nil"/>
              <w:right w:val="nil"/>
            </w:tcBorders>
            <w:shd w:val="clear" w:color="auto" w:fill="FFFFFF" w:themeFill="background1"/>
            <w:vAlign w:val="center"/>
          </w:tcPr>
          <w:p w14:paraId="2E0B5C9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41.3</w:t>
            </w:r>
          </w:p>
        </w:tc>
        <w:tc>
          <w:tcPr>
            <w:tcW w:w="1146" w:type="dxa"/>
            <w:tcBorders>
              <w:top w:val="nil"/>
              <w:left w:val="nil"/>
              <w:bottom w:val="nil"/>
              <w:right w:val="nil"/>
            </w:tcBorders>
            <w:shd w:val="clear" w:color="auto" w:fill="FFFFFF" w:themeFill="background1"/>
            <w:vAlign w:val="center"/>
          </w:tcPr>
          <w:p w14:paraId="04EC693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(10.5, 72.2)</w:t>
            </w:r>
          </w:p>
        </w:tc>
      </w:tr>
      <w:tr w:rsidR="003D7BB5" w:rsidRPr="00063DE7" w14:paraId="1240F9D1"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vAlign w:val="center"/>
          </w:tcPr>
          <w:p w14:paraId="5850A62A" w14:textId="77777777" w:rsidR="003D7BB5" w:rsidRPr="00063DE7" w:rsidRDefault="003D7BB5" w:rsidP="00DD0F28">
            <w:pPr>
              <w:spacing w:before="20" w:after="20"/>
              <w:ind w:left="34"/>
              <w:rPr>
                <w:rFonts w:eastAsiaTheme="minorEastAsia"/>
                <w:sz w:val="18"/>
                <w:szCs w:val="18"/>
                <w:lang w:eastAsia="en-US"/>
              </w:rPr>
            </w:pPr>
            <w:r w:rsidRPr="00063DE7">
              <w:rPr>
                <w:rFonts w:eastAsiaTheme="minorEastAsia"/>
                <w:sz w:val="18"/>
                <w:szCs w:val="18"/>
                <w:lang w:eastAsia="en-US"/>
              </w:rPr>
              <w:t>Pub</w:t>
            </w:r>
          </w:p>
        </w:tc>
        <w:tc>
          <w:tcPr>
            <w:tcW w:w="456" w:type="dxa"/>
            <w:tcBorders>
              <w:top w:val="nil"/>
              <w:left w:val="nil"/>
              <w:bottom w:val="nil"/>
              <w:right w:val="nil"/>
            </w:tcBorders>
            <w:noWrap/>
            <w:vAlign w:val="center"/>
          </w:tcPr>
          <w:p w14:paraId="29038E5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6" w:type="dxa"/>
            <w:tcBorders>
              <w:top w:val="nil"/>
              <w:left w:val="nil"/>
              <w:bottom w:val="nil"/>
              <w:right w:val="nil"/>
            </w:tcBorders>
            <w:noWrap/>
            <w:vAlign w:val="center"/>
          </w:tcPr>
          <w:p w14:paraId="0879A8A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auto"/>
            </w:tcBorders>
            <w:noWrap/>
            <w:vAlign w:val="center"/>
          </w:tcPr>
          <w:p w14:paraId="3E48F0B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456" w:type="dxa"/>
            <w:tcBorders>
              <w:top w:val="nil"/>
              <w:left w:val="single" w:sz="4" w:space="0" w:color="auto"/>
              <w:bottom w:val="nil"/>
              <w:right w:val="nil"/>
            </w:tcBorders>
            <w:noWrap/>
            <w:vAlign w:val="center"/>
          </w:tcPr>
          <w:p w14:paraId="0F470CE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621" w:type="dxa"/>
            <w:tcBorders>
              <w:top w:val="nil"/>
              <w:left w:val="nil"/>
              <w:bottom w:val="nil"/>
              <w:right w:val="nil"/>
            </w:tcBorders>
            <w:noWrap/>
            <w:vAlign w:val="center"/>
          </w:tcPr>
          <w:p w14:paraId="33C68F6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FFFFFF" w:themeFill="background1"/>
            <w:noWrap/>
            <w:vAlign w:val="center"/>
          </w:tcPr>
          <w:p w14:paraId="6379011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456" w:type="dxa"/>
            <w:tcBorders>
              <w:top w:val="nil"/>
              <w:left w:val="single" w:sz="4" w:space="0" w:color="000000"/>
              <w:bottom w:val="nil"/>
              <w:right w:val="nil"/>
            </w:tcBorders>
            <w:vAlign w:val="center"/>
          </w:tcPr>
          <w:p w14:paraId="342BCDE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vAlign w:val="center"/>
          </w:tcPr>
          <w:p w14:paraId="0F87357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vAlign w:val="center"/>
          </w:tcPr>
          <w:p w14:paraId="511AFD8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456" w:type="dxa"/>
            <w:tcBorders>
              <w:top w:val="nil"/>
              <w:left w:val="single" w:sz="4" w:space="0" w:color="000000"/>
              <w:bottom w:val="nil"/>
              <w:right w:val="nil"/>
            </w:tcBorders>
            <w:vAlign w:val="center"/>
          </w:tcPr>
          <w:p w14:paraId="137E1CE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6" w:type="dxa"/>
            <w:tcBorders>
              <w:top w:val="nil"/>
              <w:left w:val="nil"/>
              <w:bottom w:val="nil"/>
              <w:right w:val="nil"/>
            </w:tcBorders>
            <w:vAlign w:val="center"/>
          </w:tcPr>
          <w:p w14:paraId="6828C95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vAlign w:val="center"/>
          </w:tcPr>
          <w:p w14:paraId="7FC0607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063DE7" w14:paraId="29C0021B"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vAlign w:val="center"/>
          </w:tcPr>
          <w:p w14:paraId="61BC78E7" w14:textId="77777777" w:rsidR="003D7BB5" w:rsidRPr="00063DE7" w:rsidRDefault="003D7BB5" w:rsidP="00DD0F28">
            <w:pPr>
              <w:tabs>
                <w:tab w:val="left" w:pos="176"/>
              </w:tabs>
              <w:spacing w:before="20" w:after="20"/>
              <w:ind w:left="176"/>
              <w:rPr>
                <w:rFonts w:eastAsiaTheme="minorEastAsia"/>
                <w:b w:val="0"/>
                <w:sz w:val="18"/>
                <w:szCs w:val="18"/>
                <w:lang w:eastAsia="en-US"/>
              </w:rPr>
            </w:pPr>
            <w:r w:rsidRPr="00063DE7">
              <w:rPr>
                <w:rFonts w:eastAsiaTheme="minorEastAsia"/>
                <w:b w:val="0"/>
                <w:sz w:val="18"/>
                <w:szCs w:val="18"/>
                <w:lang w:eastAsia="en-US"/>
              </w:rPr>
              <w:t>Up to 15 minutes</w:t>
            </w:r>
          </w:p>
        </w:tc>
        <w:tc>
          <w:tcPr>
            <w:tcW w:w="456" w:type="dxa"/>
            <w:tcBorders>
              <w:top w:val="nil"/>
              <w:left w:val="nil"/>
              <w:bottom w:val="nil"/>
              <w:right w:val="nil"/>
            </w:tcBorders>
            <w:noWrap/>
            <w:vAlign w:val="center"/>
          </w:tcPr>
          <w:p w14:paraId="167715A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42</w:t>
            </w:r>
          </w:p>
        </w:tc>
        <w:tc>
          <w:tcPr>
            <w:tcW w:w="576" w:type="dxa"/>
            <w:tcBorders>
              <w:top w:val="nil"/>
              <w:left w:val="nil"/>
              <w:bottom w:val="nil"/>
              <w:right w:val="nil"/>
            </w:tcBorders>
            <w:noWrap/>
            <w:vAlign w:val="center"/>
          </w:tcPr>
          <w:p w14:paraId="71876CE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27.9</w:t>
            </w:r>
          </w:p>
        </w:tc>
        <w:tc>
          <w:tcPr>
            <w:tcW w:w="1146" w:type="dxa"/>
            <w:tcBorders>
              <w:top w:val="nil"/>
              <w:left w:val="nil"/>
              <w:bottom w:val="nil"/>
              <w:right w:val="single" w:sz="4" w:space="0" w:color="auto"/>
            </w:tcBorders>
            <w:noWrap/>
            <w:vAlign w:val="center"/>
          </w:tcPr>
          <w:p w14:paraId="736AD38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(21.7, 34.2)</w:t>
            </w:r>
          </w:p>
        </w:tc>
        <w:tc>
          <w:tcPr>
            <w:tcW w:w="456" w:type="dxa"/>
            <w:tcBorders>
              <w:top w:val="nil"/>
              <w:left w:val="single" w:sz="4" w:space="0" w:color="auto"/>
              <w:bottom w:val="nil"/>
              <w:right w:val="nil"/>
            </w:tcBorders>
            <w:noWrap/>
            <w:vAlign w:val="center"/>
          </w:tcPr>
          <w:p w14:paraId="6442DA6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26</w:t>
            </w:r>
          </w:p>
        </w:tc>
        <w:tc>
          <w:tcPr>
            <w:tcW w:w="621" w:type="dxa"/>
            <w:tcBorders>
              <w:top w:val="nil"/>
              <w:left w:val="nil"/>
              <w:bottom w:val="nil"/>
              <w:right w:val="nil"/>
            </w:tcBorders>
            <w:noWrap/>
            <w:vAlign w:val="center"/>
          </w:tcPr>
          <w:p w14:paraId="73C1B04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34.8</w:t>
            </w:r>
          </w:p>
        </w:tc>
        <w:tc>
          <w:tcPr>
            <w:tcW w:w="1146" w:type="dxa"/>
            <w:tcBorders>
              <w:top w:val="nil"/>
              <w:left w:val="nil"/>
              <w:bottom w:val="nil"/>
              <w:right w:val="single" w:sz="4" w:space="0" w:color="000000"/>
            </w:tcBorders>
            <w:shd w:val="clear" w:color="auto" w:fill="FFFFFF" w:themeFill="background1"/>
            <w:noWrap/>
            <w:vAlign w:val="center"/>
          </w:tcPr>
          <w:p w14:paraId="6895891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(24.3, 45.3)</w:t>
            </w:r>
          </w:p>
        </w:tc>
        <w:tc>
          <w:tcPr>
            <w:tcW w:w="456" w:type="dxa"/>
            <w:tcBorders>
              <w:top w:val="nil"/>
              <w:left w:val="single" w:sz="4" w:space="0" w:color="000000"/>
              <w:bottom w:val="nil"/>
              <w:right w:val="nil"/>
            </w:tcBorders>
            <w:shd w:val="clear" w:color="auto" w:fill="FFFFFF" w:themeFill="background1"/>
            <w:vAlign w:val="center"/>
          </w:tcPr>
          <w:p w14:paraId="4BB8E86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w:t>
            </w:r>
          </w:p>
        </w:tc>
        <w:tc>
          <w:tcPr>
            <w:tcW w:w="567" w:type="dxa"/>
            <w:tcBorders>
              <w:top w:val="nil"/>
              <w:left w:val="nil"/>
              <w:bottom w:val="nil"/>
              <w:right w:val="nil"/>
            </w:tcBorders>
            <w:shd w:val="clear" w:color="auto" w:fill="FFFFFF" w:themeFill="background1"/>
            <w:vAlign w:val="center"/>
          </w:tcPr>
          <w:p w14:paraId="0FB9C33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29.4</w:t>
            </w:r>
          </w:p>
        </w:tc>
        <w:tc>
          <w:tcPr>
            <w:tcW w:w="1146" w:type="dxa"/>
            <w:tcBorders>
              <w:top w:val="nil"/>
              <w:left w:val="nil"/>
              <w:bottom w:val="nil"/>
              <w:right w:val="single" w:sz="4" w:space="0" w:color="000000"/>
            </w:tcBorders>
            <w:shd w:val="clear" w:color="auto" w:fill="FFFFFF" w:themeFill="background1"/>
            <w:vAlign w:val="center"/>
          </w:tcPr>
          <w:p w14:paraId="6481F29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(16.7, 42.2)</w:t>
            </w:r>
          </w:p>
        </w:tc>
        <w:tc>
          <w:tcPr>
            <w:tcW w:w="456" w:type="dxa"/>
            <w:tcBorders>
              <w:top w:val="nil"/>
              <w:left w:val="single" w:sz="4" w:space="0" w:color="000000"/>
              <w:bottom w:val="nil"/>
              <w:right w:val="nil"/>
            </w:tcBorders>
            <w:shd w:val="clear" w:color="auto" w:fill="FFFFFF" w:themeFill="background1"/>
            <w:vAlign w:val="center"/>
          </w:tcPr>
          <w:p w14:paraId="6845334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9</w:t>
            </w:r>
          </w:p>
        </w:tc>
        <w:tc>
          <w:tcPr>
            <w:tcW w:w="576" w:type="dxa"/>
            <w:tcBorders>
              <w:top w:val="nil"/>
              <w:left w:val="nil"/>
              <w:bottom w:val="nil"/>
              <w:right w:val="nil"/>
            </w:tcBorders>
            <w:shd w:val="clear" w:color="auto" w:fill="FFFFFF" w:themeFill="background1"/>
            <w:vAlign w:val="center"/>
          </w:tcPr>
          <w:p w14:paraId="41CCCDC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22.2</w:t>
            </w:r>
          </w:p>
        </w:tc>
        <w:tc>
          <w:tcPr>
            <w:tcW w:w="1146" w:type="dxa"/>
            <w:tcBorders>
              <w:top w:val="nil"/>
              <w:left w:val="nil"/>
              <w:bottom w:val="nil"/>
              <w:right w:val="nil"/>
            </w:tcBorders>
            <w:shd w:val="clear" w:color="auto" w:fill="FFFFFF" w:themeFill="background1"/>
            <w:vAlign w:val="center"/>
          </w:tcPr>
          <w:p w14:paraId="68FF6B3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(11.6, 32.9)</w:t>
            </w:r>
          </w:p>
        </w:tc>
      </w:tr>
      <w:tr w:rsidR="009118DA" w:rsidRPr="00063DE7" w14:paraId="41BE865C"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vAlign w:val="center"/>
          </w:tcPr>
          <w:p w14:paraId="461D8E57" w14:textId="77777777" w:rsidR="003D7BB5" w:rsidRPr="00063DE7" w:rsidRDefault="003D7BB5" w:rsidP="00DD0F28">
            <w:pPr>
              <w:tabs>
                <w:tab w:val="left" w:pos="176"/>
              </w:tabs>
              <w:spacing w:before="20" w:after="20"/>
              <w:ind w:left="176"/>
              <w:rPr>
                <w:rFonts w:eastAsiaTheme="minorEastAsia"/>
                <w:b w:val="0"/>
                <w:sz w:val="18"/>
                <w:szCs w:val="18"/>
                <w:lang w:eastAsia="en-US"/>
              </w:rPr>
            </w:pPr>
            <w:r w:rsidRPr="00063DE7">
              <w:rPr>
                <w:rFonts w:eastAsiaTheme="minorEastAsia"/>
                <w:b w:val="0"/>
                <w:sz w:val="18"/>
                <w:szCs w:val="18"/>
                <w:lang w:eastAsia="en-US"/>
              </w:rPr>
              <w:t>16 - 30 minutes</w:t>
            </w:r>
          </w:p>
        </w:tc>
        <w:tc>
          <w:tcPr>
            <w:tcW w:w="456" w:type="dxa"/>
            <w:tcBorders>
              <w:top w:val="nil"/>
              <w:left w:val="nil"/>
              <w:bottom w:val="nil"/>
              <w:right w:val="nil"/>
            </w:tcBorders>
            <w:noWrap/>
            <w:vAlign w:val="center"/>
          </w:tcPr>
          <w:p w14:paraId="76EA72D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36</w:t>
            </w:r>
          </w:p>
        </w:tc>
        <w:tc>
          <w:tcPr>
            <w:tcW w:w="576" w:type="dxa"/>
            <w:tcBorders>
              <w:top w:val="nil"/>
              <w:left w:val="nil"/>
              <w:bottom w:val="nil"/>
              <w:right w:val="nil"/>
            </w:tcBorders>
            <w:noWrap/>
            <w:vAlign w:val="center"/>
          </w:tcPr>
          <w:p w14:paraId="1B44E77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24.0</w:t>
            </w:r>
          </w:p>
        </w:tc>
        <w:tc>
          <w:tcPr>
            <w:tcW w:w="1146" w:type="dxa"/>
            <w:tcBorders>
              <w:top w:val="nil"/>
              <w:left w:val="nil"/>
              <w:bottom w:val="nil"/>
              <w:right w:val="single" w:sz="4" w:space="0" w:color="auto"/>
            </w:tcBorders>
            <w:noWrap/>
            <w:vAlign w:val="center"/>
          </w:tcPr>
          <w:p w14:paraId="3D70AB2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(18.1, 30.0)</w:t>
            </w:r>
          </w:p>
        </w:tc>
        <w:tc>
          <w:tcPr>
            <w:tcW w:w="456" w:type="dxa"/>
            <w:tcBorders>
              <w:top w:val="nil"/>
              <w:left w:val="single" w:sz="4" w:space="0" w:color="auto"/>
              <w:bottom w:val="nil"/>
              <w:right w:val="nil"/>
            </w:tcBorders>
            <w:noWrap/>
            <w:vAlign w:val="center"/>
          </w:tcPr>
          <w:p w14:paraId="2662D8B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w:t>
            </w:r>
          </w:p>
        </w:tc>
        <w:tc>
          <w:tcPr>
            <w:tcW w:w="621" w:type="dxa"/>
            <w:tcBorders>
              <w:top w:val="nil"/>
              <w:left w:val="nil"/>
              <w:bottom w:val="nil"/>
              <w:right w:val="nil"/>
            </w:tcBorders>
            <w:noWrap/>
            <w:vAlign w:val="center"/>
          </w:tcPr>
          <w:p w14:paraId="39211E1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19.5</w:t>
            </w:r>
          </w:p>
        </w:tc>
        <w:tc>
          <w:tcPr>
            <w:tcW w:w="1146" w:type="dxa"/>
            <w:tcBorders>
              <w:top w:val="nil"/>
              <w:left w:val="nil"/>
              <w:bottom w:val="nil"/>
              <w:right w:val="single" w:sz="4" w:space="0" w:color="000000"/>
            </w:tcBorders>
            <w:shd w:val="clear" w:color="auto" w:fill="FFFFFF" w:themeFill="background1"/>
            <w:noWrap/>
            <w:vAlign w:val="center"/>
          </w:tcPr>
          <w:p w14:paraId="468BBC2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(11.9, 27.2)</w:t>
            </w:r>
          </w:p>
        </w:tc>
        <w:tc>
          <w:tcPr>
            <w:tcW w:w="456" w:type="dxa"/>
            <w:tcBorders>
              <w:top w:val="nil"/>
              <w:left w:val="single" w:sz="4" w:space="0" w:color="000000"/>
              <w:bottom w:val="nil"/>
              <w:right w:val="nil"/>
            </w:tcBorders>
            <w:shd w:val="clear" w:color="auto" w:fill="FFFFFF" w:themeFill="background1"/>
            <w:vAlign w:val="center"/>
          </w:tcPr>
          <w:p w14:paraId="79BF258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13</w:t>
            </w:r>
          </w:p>
        </w:tc>
        <w:tc>
          <w:tcPr>
            <w:tcW w:w="567" w:type="dxa"/>
            <w:tcBorders>
              <w:top w:val="nil"/>
              <w:left w:val="nil"/>
              <w:bottom w:val="nil"/>
              <w:right w:val="nil"/>
            </w:tcBorders>
            <w:shd w:val="clear" w:color="auto" w:fill="FFFFFF" w:themeFill="background1"/>
            <w:vAlign w:val="center"/>
          </w:tcPr>
          <w:p w14:paraId="350F665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28.4</w:t>
            </w:r>
          </w:p>
        </w:tc>
        <w:tc>
          <w:tcPr>
            <w:tcW w:w="1146" w:type="dxa"/>
            <w:tcBorders>
              <w:top w:val="nil"/>
              <w:left w:val="nil"/>
              <w:bottom w:val="nil"/>
              <w:right w:val="single" w:sz="4" w:space="0" w:color="000000"/>
            </w:tcBorders>
            <w:shd w:val="clear" w:color="auto" w:fill="FFFFFF" w:themeFill="background1"/>
            <w:vAlign w:val="center"/>
          </w:tcPr>
          <w:p w14:paraId="2AD5D75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(16.8, 39.9)</w:t>
            </w:r>
          </w:p>
        </w:tc>
        <w:tc>
          <w:tcPr>
            <w:tcW w:w="456" w:type="dxa"/>
            <w:tcBorders>
              <w:top w:val="nil"/>
              <w:left w:val="single" w:sz="4" w:space="0" w:color="000000"/>
              <w:bottom w:val="nil"/>
              <w:right w:val="nil"/>
            </w:tcBorders>
            <w:shd w:val="clear" w:color="auto" w:fill="FFFFFF" w:themeFill="background1"/>
            <w:vAlign w:val="center"/>
          </w:tcPr>
          <w:p w14:paraId="68B4211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9</w:t>
            </w:r>
          </w:p>
        </w:tc>
        <w:tc>
          <w:tcPr>
            <w:tcW w:w="576" w:type="dxa"/>
            <w:tcBorders>
              <w:top w:val="nil"/>
              <w:left w:val="nil"/>
              <w:bottom w:val="nil"/>
              <w:right w:val="nil"/>
            </w:tcBorders>
            <w:shd w:val="clear" w:color="auto" w:fill="FFFFFF" w:themeFill="background1"/>
            <w:vAlign w:val="center"/>
          </w:tcPr>
          <w:p w14:paraId="6166576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21.8</w:t>
            </w:r>
          </w:p>
        </w:tc>
        <w:tc>
          <w:tcPr>
            <w:tcW w:w="1146" w:type="dxa"/>
            <w:tcBorders>
              <w:top w:val="nil"/>
              <w:left w:val="nil"/>
              <w:bottom w:val="nil"/>
              <w:right w:val="nil"/>
            </w:tcBorders>
            <w:shd w:val="clear" w:color="auto" w:fill="FFFFFF" w:themeFill="background1"/>
            <w:vAlign w:val="center"/>
          </w:tcPr>
          <w:p w14:paraId="2E34FC4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(12.1, 31.5)</w:t>
            </w:r>
          </w:p>
        </w:tc>
      </w:tr>
      <w:tr w:rsidR="009118DA" w:rsidRPr="00063DE7" w14:paraId="48FF3CF1"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vAlign w:val="center"/>
          </w:tcPr>
          <w:p w14:paraId="4535401A" w14:textId="77777777" w:rsidR="003D7BB5" w:rsidRPr="00063DE7" w:rsidRDefault="003D7BB5" w:rsidP="00DD0F28">
            <w:pPr>
              <w:tabs>
                <w:tab w:val="left" w:pos="176"/>
              </w:tabs>
              <w:spacing w:before="20" w:after="20"/>
              <w:ind w:left="176"/>
              <w:rPr>
                <w:rFonts w:eastAsiaTheme="minorEastAsia"/>
                <w:b w:val="0"/>
                <w:sz w:val="18"/>
                <w:szCs w:val="18"/>
                <w:lang w:eastAsia="en-US"/>
              </w:rPr>
            </w:pPr>
            <w:r w:rsidRPr="00063DE7">
              <w:rPr>
                <w:rFonts w:eastAsiaTheme="minorEastAsia"/>
                <w:b w:val="0"/>
                <w:sz w:val="18"/>
                <w:szCs w:val="18"/>
                <w:lang w:eastAsia="en-US"/>
              </w:rPr>
              <w:t>31 - 60 minutes</w:t>
            </w:r>
          </w:p>
        </w:tc>
        <w:tc>
          <w:tcPr>
            <w:tcW w:w="456" w:type="dxa"/>
            <w:tcBorders>
              <w:top w:val="nil"/>
              <w:left w:val="nil"/>
              <w:bottom w:val="nil"/>
              <w:right w:val="nil"/>
            </w:tcBorders>
            <w:noWrap/>
            <w:vAlign w:val="center"/>
          </w:tcPr>
          <w:p w14:paraId="26E906A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32</w:t>
            </w:r>
          </w:p>
        </w:tc>
        <w:tc>
          <w:tcPr>
            <w:tcW w:w="576" w:type="dxa"/>
            <w:tcBorders>
              <w:top w:val="nil"/>
              <w:left w:val="nil"/>
              <w:bottom w:val="nil"/>
              <w:right w:val="nil"/>
            </w:tcBorders>
            <w:noWrap/>
            <w:vAlign w:val="center"/>
          </w:tcPr>
          <w:p w14:paraId="54B0188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21.3</w:t>
            </w:r>
          </w:p>
        </w:tc>
        <w:tc>
          <w:tcPr>
            <w:tcW w:w="1146" w:type="dxa"/>
            <w:tcBorders>
              <w:top w:val="nil"/>
              <w:left w:val="nil"/>
              <w:bottom w:val="nil"/>
              <w:right w:val="single" w:sz="4" w:space="0" w:color="auto"/>
            </w:tcBorders>
            <w:noWrap/>
            <w:vAlign w:val="center"/>
          </w:tcPr>
          <w:p w14:paraId="02A96B7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(15.6, 27.1)</w:t>
            </w:r>
          </w:p>
        </w:tc>
        <w:tc>
          <w:tcPr>
            <w:tcW w:w="456" w:type="dxa"/>
            <w:tcBorders>
              <w:top w:val="nil"/>
              <w:left w:val="single" w:sz="4" w:space="0" w:color="auto"/>
              <w:bottom w:val="nil"/>
              <w:right w:val="nil"/>
            </w:tcBorders>
            <w:noWrap/>
            <w:vAlign w:val="center"/>
          </w:tcPr>
          <w:p w14:paraId="388CF3E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19</w:t>
            </w:r>
          </w:p>
        </w:tc>
        <w:tc>
          <w:tcPr>
            <w:tcW w:w="621" w:type="dxa"/>
            <w:tcBorders>
              <w:top w:val="nil"/>
              <w:left w:val="nil"/>
              <w:bottom w:val="nil"/>
              <w:right w:val="nil"/>
            </w:tcBorders>
            <w:noWrap/>
            <w:vAlign w:val="center"/>
          </w:tcPr>
          <w:p w14:paraId="12758A7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25.5</w:t>
            </w:r>
          </w:p>
        </w:tc>
        <w:tc>
          <w:tcPr>
            <w:tcW w:w="1146" w:type="dxa"/>
            <w:tcBorders>
              <w:top w:val="nil"/>
              <w:left w:val="nil"/>
              <w:bottom w:val="nil"/>
              <w:right w:val="single" w:sz="4" w:space="0" w:color="000000"/>
            </w:tcBorders>
            <w:shd w:val="clear" w:color="auto" w:fill="FFFFFF" w:themeFill="background1"/>
            <w:noWrap/>
            <w:vAlign w:val="center"/>
          </w:tcPr>
          <w:p w14:paraId="424D9B6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(16.8, 34.2)</w:t>
            </w:r>
          </w:p>
        </w:tc>
        <w:tc>
          <w:tcPr>
            <w:tcW w:w="456" w:type="dxa"/>
            <w:tcBorders>
              <w:top w:val="nil"/>
              <w:left w:val="single" w:sz="4" w:space="0" w:color="000000"/>
              <w:bottom w:val="nil"/>
              <w:right w:val="nil"/>
            </w:tcBorders>
            <w:shd w:val="clear" w:color="auto" w:fill="FFFFFF" w:themeFill="background1"/>
            <w:vAlign w:val="center"/>
          </w:tcPr>
          <w:p w14:paraId="36504DC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w:t>
            </w:r>
          </w:p>
        </w:tc>
        <w:tc>
          <w:tcPr>
            <w:tcW w:w="567" w:type="dxa"/>
            <w:tcBorders>
              <w:top w:val="nil"/>
              <w:left w:val="nil"/>
              <w:bottom w:val="nil"/>
              <w:right w:val="nil"/>
            </w:tcBorders>
            <w:shd w:val="clear" w:color="auto" w:fill="FFFFFF" w:themeFill="background1"/>
            <w:vAlign w:val="center"/>
          </w:tcPr>
          <w:p w14:paraId="41C5D44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20.9</w:t>
            </w:r>
          </w:p>
        </w:tc>
        <w:tc>
          <w:tcPr>
            <w:tcW w:w="1146" w:type="dxa"/>
            <w:tcBorders>
              <w:top w:val="nil"/>
              <w:left w:val="nil"/>
              <w:bottom w:val="nil"/>
              <w:right w:val="single" w:sz="4" w:space="0" w:color="000000"/>
            </w:tcBorders>
            <w:shd w:val="clear" w:color="auto" w:fill="FFFFFF" w:themeFill="background1"/>
            <w:vAlign w:val="center"/>
          </w:tcPr>
          <w:p w14:paraId="5D6E0FC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(10.7, 31.2)</w:t>
            </w:r>
          </w:p>
        </w:tc>
        <w:tc>
          <w:tcPr>
            <w:tcW w:w="456" w:type="dxa"/>
            <w:tcBorders>
              <w:top w:val="nil"/>
              <w:left w:val="single" w:sz="4" w:space="0" w:color="000000"/>
              <w:bottom w:val="nil"/>
              <w:right w:val="nil"/>
            </w:tcBorders>
            <w:shd w:val="clear" w:color="auto" w:fill="FFFFFF" w:themeFill="background1"/>
            <w:vAlign w:val="center"/>
          </w:tcPr>
          <w:p w14:paraId="625FE03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16</w:t>
            </w:r>
          </w:p>
        </w:tc>
        <w:tc>
          <w:tcPr>
            <w:tcW w:w="576" w:type="dxa"/>
            <w:tcBorders>
              <w:top w:val="nil"/>
              <w:left w:val="nil"/>
              <w:bottom w:val="nil"/>
              <w:right w:val="nil"/>
            </w:tcBorders>
            <w:shd w:val="clear" w:color="auto" w:fill="FFFFFF" w:themeFill="background1"/>
            <w:vAlign w:val="center"/>
          </w:tcPr>
          <w:p w14:paraId="132899A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39.3</w:t>
            </w:r>
          </w:p>
        </w:tc>
        <w:tc>
          <w:tcPr>
            <w:tcW w:w="1146" w:type="dxa"/>
            <w:tcBorders>
              <w:top w:val="nil"/>
              <w:left w:val="nil"/>
              <w:bottom w:val="nil"/>
              <w:right w:val="nil"/>
            </w:tcBorders>
            <w:shd w:val="clear" w:color="auto" w:fill="FFFFFF" w:themeFill="background1"/>
            <w:vAlign w:val="center"/>
          </w:tcPr>
          <w:p w14:paraId="179BA46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(25.8, 52.8)</w:t>
            </w:r>
          </w:p>
        </w:tc>
      </w:tr>
      <w:tr w:rsidR="009118DA" w:rsidRPr="00063DE7" w14:paraId="13133E82"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vAlign w:val="center"/>
          </w:tcPr>
          <w:p w14:paraId="02D1B981" w14:textId="77777777" w:rsidR="003D7BB5" w:rsidRPr="00063DE7" w:rsidRDefault="003D7BB5" w:rsidP="00DD0F28">
            <w:pPr>
              <w:tabs>
                <w:tab w:val="left" w:pos="176"/>
              </w:tabs>
              <w:spacing w:before="20" w:after="60"/>
              <w:ind w:left="176"/>
              <w:rPr>
                <w:rFonts w:eastAsiaTheme="minorEastAsia"/>
                <w:b w:val="0"/>
                <w:sz w:val="18"/>
                <w:szCs w:val="18"/>
                <w:lang w:eastAsia="en-US"/>
              </w:rPr>
            </w:pPr>
            <w:r w:rsidRPr="00063DE7">
              <w:rPr>
                <w:rFonts w:eastAsiaTheme="minorEastAsia"/>
                <w:b w:val="0"/>
                <w:sz w:val="18"/>
                <w:szCs w:val="18"/>
                <w:lang w:eastAsia="en-US"/>
              </w:rPr>
              <w:t>&gt; 60 minutes</w:t>
            </w:r>
          </w:p>
        </w:tc>
        <w:tc>
          <w:tcPr>
            <w:tcW w:w="456" w:type="dxa"/>
            <w:tcBorders>
              <w:top w:val="nil"/>
              <w:left w:val="nil"/>
              <w:bottom w:val="nil"/>
              <w:right w:val="nil"/>
            </w:tcBorders>
            <w:noWrap/>
            <w:vAlign w:val="center"/>
          </w:tcPr>
          <w:p w14:paraId="42C6361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40</w:t>
            </w:r>
          </w:p>
        </w:tc>
        <w:tc>
          <w:tcPr>
            <w:tcW w:w="576" w:type="dxa"/>
            <w:tcBorders>
              <w:top w:val="nil"/>
              <w:left w:val="nil"/>
              <w:bottom w:val="nil"/>
              <w:right w:val="nil"/>
            </w:tcBorders>
            <w:noWrap/>
            <w:vAlign w:val="center"/>
          </w:tcPr>
          <w:p w14:paraId="491530D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26.7</w:t>
            </w:r>
          </w:p>
        </w:tc>
        <w:tc>
          <w:tcPr>
            <w:tcW w:w="1146" w:type="dxa"/>
            <w:tcBorders>
              <w:top w:val="nil"/>
              <w:left w:val="nil"/>
              <w:bottom w:val="nil"/>
              <w:right w:val="single" w:sz="4" w:space="0" w:color="auto"/>
            </w:tcBorders>
            <w:noWrap/>
            <w:vAlign w:val="center"/>
          </w:tcPr>
          <w:p w14:paraId="4CFEE8C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(20.7, 32.7)</w:t>
            </w:r>
          </w:p>
        </w:tc>
        <w:tc>
          <w:tcPr>
            <w:tcW w:w="456" w:type="dxa"/>
            <w:tcBorders>
              <w:top w:val="nil"/>
              <w:left w:val="single" w:sz="4" w:space="0" w:color="auto"/>
              <w:bottom w:val="nil"/>
              <w:right w:val="nil"/>
            </w:tcBorders>
            <w:noWrap/>
            <w:vAlign w:val="center"/>
          </w:tcPr>
          <w:p w14:paraId="6A357AE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w:t>
            </w:r>
          </w:p>
        </w:tc>
        <w:tc>
          <w:tcPr>
            <w:tcW w:w="621" w:type="dxa"/>
            <w:tcBorders>
              <w:top w:val="nil"/>
              <w:left w:val="nil"/>
              <w:bottom w:val="nil"/>
              <w:right w:val="nil"/>
            </w:tcBorders>
            <w:noWrap/>
            <w:vAlign w:val="center"/>
          </w:tcPr>
          <w:p w14:paraId="20B9C55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20.1</w:t>
            </w:r>
          </w:p>
        </w:tc>
        <w:tc>
          <w:tcPr>
            <w:tcW w:w="1146" w:type="dxa"/>
            <w:tcBorders>
              <w:top w:val="nil"/>
              <w:left w:val="nil"/>
              <w:bottom w:val="nil"/>
              <w:right w:val="single" w:sz="4" w:space="0" w:color="000000"/>
            </w:tcBorders>
            <w:shd w:val="clear" w:color="auto" w:fill="FFFFFF" w:themeFill="background1"/>
            <w:noWrap/>
            <w:vAlign w:val="center"/>
          </w:tcPr>
          <w:p w14:paraId="11D576E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(12.5, 27.8)</w:t>
            </w:r>
          </w:p>
        </w:tc>
        <w:tc>
          <w:tcPr>
            <w:tcW w:w="456" w:type="dxa"/>
            <w:tcBorders>
              <w:top w:val="nil"/>
              <w:left w:val="single" w:sz="4" w:space="0" w:color="000000"/>
              <w:bottom w:val="nil"/>
              <w:right w:val="nil"/>
            </w:tcBorders>
            <w:shd w:val="clear" w:color="auto" w:fill="FFFFFF" w:themeFill="background1"/>
            <w:vAlign w:val="center"/>
          </w:tcPr>
          <w:p w14:paraId="453E2D0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w:t>
            </w:r>
          </w:p>
        </w:tc>
        <w:tc>
          <w:tcPr>
            <w:tcW w:w="567" w:type="dxa"/>
            <w:tcBorders>
              <w:top w:val="nil"/>
              <w:left w:val="nil"/>
              <w:bottom w:val="nil"/>
              <w:right w:val="nil"/>
            </w:tcBorders>
            <w:shd w:val="clear" w:color="auto" w:fill="FFFFFF" w:themeFill="background1"/>
            <w:vAlign w:val="center"/>
          </w:tcPr>
          <w:p w14:paraId="7D52C54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21.3</w:t>
            </w:r>
          </w:p>
        </w:tc>
        <w:tc>
          <w:tcPr>
            <w:tcW w:w="1146" w:type="dxa"/>
            <w:tcBorders>
              <w:top w:val="nil"/>
              <w:left w:val="nil"/>
              <w:bottom w:val="nil"/>
              <w:right w:val="single" w:sz="4" w:space="0" w:color="000000"/>
            </w:tcBorders>
            <w:shd w:val="clear" w:color="auto" w:fill="FFFFFF" w:themeFill="background1"/>
            <w:vAlign w:val="center"/>
          </w:tcPr>
          <w:p w14:paraId="6B671D2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(11.0, 31.6)</w:t>
            </w:r>
          </w:p>
        </w:tc>
        <w:tc>
          <w:tcPr>
            <w:tcW w:w="456" w:type="dxa"/>
            <w:tcBorders>
              <w:top w:val="nil"/>
              <w:left w:val="single" w:sz="4" w:space="0" w:color="000000"/>
              <w:bottom w:val="nil"/>
              <w:right w:val="nil"/>
            </w:tcBorders>
            <w:shd w:val="clear" w:color="auto" w:fill="FFFFFF" w:themeFill="background1"/>
            <w:vAlign w:val="center"/>
          </w:tcPr>
          <w:p w14:paraId="6DD6D58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w:t>
            </w:r>
          </w:p>
        </w:tc>
        <w:tc>
          <w:tcPr>
            <w:tcW w:w="576" w:type="dxa"/>
            <w:tcBorders>
              <w:top w:val="nil"/>
              <w:left w:val="nil"/>
              <w:bottom w:val="nil"/>
              <w:right w:val="nil"/>
            </w:tcBorders>
            <w:shd w:val="clear" w:color="auto" w:fill="FFFFFF" w:themeFill="background1"/>
            <w:vAlign w:val="center"/>
          </w:tcPr>
          <w:p w14:paraId="65C9C2CD"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16.7</w:t>
            </w:r>
          </w:p>
        </w:tc>
        <w:tc>
          <w:tcPr>
            <w:tcW w:w="1146" w:type="dxa"/>
            <w:tcBorders>
              <w:top w:val="nil"/>
              <w:left w:val="nil"/>
              <w:bottom w:val="nil"/>
              <w:right w:val="nil"/>
            </w:tcBorders>
            <w:shd w:val="clear" w:color="auto" w:fill="FFFFFF" w:themeFill="background1"/>
            <w:vAlign w:val="center"/>
          </w:tcPr>
          <w:p w14:paraId="084325F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(6.8, 26.5)</w:t>
            </w:r>
          </w:p>
        </w:tc>
      </w:tr>
      <w:tr w:rsidR="003D7BB5" w:rsidRPr="00063DE7" w14:paraId="76677FB0"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vAlign w:val="center"/>
          </w:tcPr>
          <w:p w14:paraId="6451BE4B" w14:textId="77777777" w:rsidR="003D7BB5" w:rsidRPr="00063DE7" w:rsidRDefault="003D7BB5" w:rsidP="00DD0F28">
            <w:pPr>
              <w:spacing w:before="20" w:after="20"/>
              <w:ind w:left="34"/>
              <w:rPr>
                <w:rFonts w:eastAsiaTheme="minorEastAsia"/>
                <w:sz w:val="18"/>
                <w:szCs w:val="18"/>
                <w:lang w:eastAsia="en-US"/>
              </w:rPr>
            </w:pPr>
            <w:r w:rsidRPr="00063DE7">
              <w:rPr>
                <w:rFonts w:eastAsiaTheme="minorEastAsia"/>
                <w:sz w:val="18"/>
                <w:szCs w:val="18"/>
                <w:lang w:eastAsia="en-US"/>
              </w:rPr>
              <w:t>Club</w:t>
            </w:r>
          </w:p>
        </w:tc>
        <w:tc>
          <w:tcPr>
            <w:tcW w:w="456" w:type="dxa"/>
            <w:tcBorders>
              <w:top w:val="nil"/>
              <w:left w:val="nil"/>
              <w:bottom w:val="nil"/>
              <w:right w:val="nil"/>
            </w:tcBorders>
            <w:noWrap/>
            <w:vAlign w:val="center"/>
          </w:tcPr>
          <w:p w14:paraId="2EFE1E8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6" w:type="dxa"/>
            <w:tcBorders>
              <w:top w:val="nil"/>
              <w:left w:val="nil"/>
              <w:bottom w:val="nil"/>
              <w:right w:val="nil"/>
            </w:tcBorders>
            <w:noWrap/>
            <w:vAlign w:val="center"/>
          </w:tcPr>
          <w:p w14:paraId="65E5443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auto"/>
            </w:tcBorders>
            <w:noWrap/>
            <w:vAlign w:val="center"/>
          </w:tcPr>
          <w:p w14:paraId="27767D12"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456" w:type="dxa"/>
            <w:tcBorders>
              <w:top w:val="nil"/>
              <w:left w:val="single" w:sz="4" w:space="0" w:color="auto"/>
              <w:bottom w:val="nil"/>
              <w:right w:val="nil"/>
            </w:tcBorders>
            <w:noWrap/>
            <w:vAlign w:val="center"/>
          </w:tcPr>
          <w:p w14:paraId="07A8F0E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621" w:type="dxa"/>
            <w:tcBorders>
              <w:top w:val="nil"/>
              <w:left w:val="nil"/>
              <w:bottom w:val="nil"/>
              <w:right w:val="nil"/>
            </w:tcBorders>
            <w:noWrap/>
            <w:vAlign w:val="center"/>
          </w:tcPr>
          <w:p w14:paraId="772DE3A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FFFFFF" w:themeFill="background1"/>
            <w:noWrap/>
            <w:vAlign w:val="center"/>
          </w:tcPr>
          <w:p w14:paraId="3684019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456" w:type="dxa"/>
            <w:tcBorders>
              <w:top w:val="nil"/>
              <w:left w:val="single" w:sz="4" w:space="0" w:color="000000"/>
              <w:bottom w:val="nil"/>
              <w:right w:val="nil"/>
            </w:tcBorders>
            <w:vAlign w:val="center"/>
          </w:tcPr>
          <w:p w14:paraId="013E026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vAlign w:val="center"/>
          </w:tcPr>
          <w:p w14:paraId="42EF0F9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vAlign w:val="center"/>
          </w:tcPr>
          <w:p w14:paraId="6837174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456" w:type="dxa"/>
            <w:tcBorders>
              <w:top w:val="nil"/>
              <w:left w:val="single" w:sz="4" w:space="0" w:color="000000"/>
              <w:bottom w:val="nil"/>
              <w:right w:val="nil"/>
            </w:tcBorders>
            <w:vAlign w:val="center"/>
          </w:tcPr>
          <w:p w14:paraId="2486211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6" w:type="dxa"/>
            <w:tcBorders>
              <w:top w:val="nil"/>
              <w:left w:val="nil"/>
              <w:bottom w:val="nil"/>
              <w:right w:val="nil"/>
            </w:tcBorders>
            <w:vAlign w:val="center"/>
          </w:tcPr>
          <w:p w14:paraId="48B1598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vAlign w:val="center"/>
          </w:tcPr>
          <w:p w14:paraId="56C59EB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063DE7" w14:paraId="79E3564A"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vAlign w:val="center"/>
          </w:tcPr>
          <w:p w14:paraId="7B9A8AA1" w14:textId="77777777" w:rsidR="003D7BB5" w:rsidRPr="00063DE7" w:rsidRDefault="003D7BB5" w:rsidP="00DD0F28">
            <w:pPr>
              <w:tabs>
                <w:tab w:val="left" w:pos="176"/>
              </w:tabs>
              <w:spacing w:before="20" w:after="20"/>
              <w:ind w:left="176"/>
              <w:rPr>
                <w:rFonts w:eastAsiaTheme="minorEastAsia"/>
                <w:b w:val="0"/>
                <w:sz w:val="18"/>
                <w:szCs w:val="18"/>
                <w:lang w:eastAsia="en-US"/>
              </w:rPr>
            </w:pPr>
            <w:r w:rsidRPr="00063DE7">
              <w:rPr>
                <w:rFonts w:eastAsiaTheme="minorEastAsia"/>
                <w:b w:val="0"/>
                <w:sz w:val="18"/>
                <w:szCs w:val="18"/>
                <w:lang w:eastAsia="en-US"/>
              </w:rPr>
              <w:t>Up to 15 minutes</w:t>
            </w:r>
          </w:p>
        </w:tc>
        <w:tc>
          <w:tcPr>
            <w:tcW w:w="456" w:type="dxa"/>
            <w:tcBorders>
              <w:top w:val="nil"/>
              <w:left w:val="nil"/>
              <w:bottom w:val="nil"/>
              <w:right w:val="nil"/>
            </w:tcBorders>
            <w:noWrap/>
            <w:vAlign w:val="center"/>
          </w:tcPr>
          <w:p w14:paraId="72C540E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15</w:t>
            </w:r>
          </w:p>
        </w:tc>
        <w:tc>
          <w:tcPr>
            <w:tcW w:w="576" w:type="dxa"/>
            <w:tcBorders>
              <w:top w:val="nil"/>
              <w:left w:val="nil"/>
              <w:bottom w:val="nil"/>
              <w:right w:val="nil"/>
            </w:tcBorders>
            <w:noWrap/>
            <w:vAlign w:val="center"/>
          </w:tcPr>
          <w:p w14:paraId="1457552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24.3</w:t>
            </w:r>
          </w:p>
        </w:tc>
        <w:tc>
          <w:tcPr>
            <w:tcW w:w="1146" w:type="dxa"/>
            <w:tcBorders>
              <w:top w:val="nil"/>
              <w:left w:val="nil"/>
              <w:bottom w:val="nil"/>
              <w:right w:val="single" w:sz="4" w:space="0" w:color="auto"/>
            </w:tcBorders>
            <w:noWrap/>
            <w:vAlign w:val="center"/>
          </w:tcPr>
          <w:p w14:paraId="756A896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(14.8, 33.8)</w:t>
            </w:r>
          </w:p>
        </w:tc>
        <w:tc>
          <w:tcPr>
            <w:tcW w:w="456" w:type="dxa"/>
            <w:tcBorders>
              <w:top w:val="nil"/>
              <w:left w:val="single" w:sz="4" w:space="0" w:color="auto"/>
              <w:bottom w:val="nil"/>
              <w:right w:val="nil"/>
            </w:tcBorders>
            <w:noWrap/>
            <w:vAlign w:val="center"/>
          </w:tcPr>
          <w:p w14:paraId="132695F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w:t>
            </w:r>
          </w:p>
        </w:tc>
        <w:tc>
          <w:tcPr>
            <w:tcW w:w="621" w:type="dxa"/>
            <w:tcBorders>
              <w:top w:val="nil"/>
              <w:left w:val="nil"/>
              <w:bottom w:val="nil"/>
              <w:right w:val="nil"/>
            </w:tcBorders>
            <w:noWrap/>
            <w:vAlign w:val="center"/>
          </w:tcPr>
          <w:p w14:paraId="4A538197"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21.2</w:t>
            </w:r>
          </w:p>
        </w:tc>
        <w:tc>
          <w:tcPr>
            <w:tcW w:w="1146" w:type="dxa"/>
            <w:tcBorders>
              <w:top w:val="nil"/>
              <w:left w:val="nil"/>
              <w:bottom w:val="nil"/>
              <w:right w:val="single" w:sz="4" w:space="0" w:color="000000"/>
            </w:tcBorders>
            <w:shd w:val="clear" w:color="auto" w:fill="FFFFFF" w:themeFill="background1"/>
            <w:noWrap/>
            <w:vAlign w:val="center"/>
          </w:tcPr>
          <w:p w14:paraId="009F506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(7.9, 34.6)</w:t>
            </w:r>
          </w:p>
        </w:tc>
        <w:tc>
          <w:tcPr>
            <w:tcW w:w="456" w:type="dxa"/>
            <w:tcBorders>
              <w:top w:val="nil"/>
              <w:left w:val="single" w:sz="4" w:space="0" w:color="000000"/>
              <w:bottom w:val="nil"/>
              <w:right w:val="nil"/>
            </w:tcBorders>
            <w:shd w:val="clear" w:color="auto" w:fill="FFFFFF" w:themeFill="background1"/>
            <w:vAlign w:val="center"/>
          </w:tcPr>
          <w:p w14:paraId="7ADD45E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w:t>
            </w:r>
          </w:p>
        </w:tc>
        <w:tc>
          <w:tcPr>
            <w:tcW w:w="567" w:type="dxa"/>
            <w:tcBorders>
              <w:top w:val="nil"/>
              <w:left w:val="nil"/>
              <w:bottom w:val="nil"/>
              <w:right w:val="nil"/>
            </w:tcBorders>
            <w:shd w:val="clear" w:color="auto" w:fill="FFFFFF" w:themeFill="background1"/>
            <w:vAlign w:val="center"/>
          </w:tcPr>
          <w:p w14:paraId="15CEB23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9.7</w:t>
            </w:r>
          </w:p>
        </w:tc>
        <w:tc>
          <w:tcPr>
            <w:tcW w:w="1146" w:type="dxa"/>
            <w:tcBorders>
              <w:top w:val="nil"/>
              <w:left w:val="nil"/>
              <w:bottom w:val="nil"/>
              <w:right w:val="single" w:sz="4" w:space="0" w:color="000000"/>
            </w:tcBorders>
            <w:shd w:val="clear" w:color="auto" w:fill="FFFFFF" w:themeFill="background1"/>
            <w:vAlign w:val="center"/>
          </w:tcPr>
          <w:p w14:paraId="3598A9F3"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456" w:type="dxa"/>
            <w:tcBorders>
              <w:top w:val="nil"/>
              <w:left w:val="single" w:sz="4" w:space="0" w:color="000000"/>
              <w:bottom w:val="nil"/>
              <w:right w:val="nil"/>
            </w:tcBorders>
            <w:shd w:val="clear" w:color="auto" w:fill="FFFFFF" w:themeFill="background1"/>
            <w:vAlign w:val="center"/>
          </w:tcPr>
          <w:p w14:paraId="3CBC964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w:t>
            </w:r>
          </w:p>
        </w:tc>
        <w:tc>
          <w:tcPr>
            <w:tcW w:w="576" w:type="dxa"/>
            <w:tcBorders>
              <w:top w:val="nil"/>
              <w:left w:val="nil"/>
              <w:bottom w:val="nil"/>
              <w:right w:val="nil"/>
            </w:tcBorders>
            <w:shd w:val="clear" w:color="auto" w:fill="FFFFFF" w:themeFill="background1"/>
            <w:vAlign w:val="center"/>
          </w:tcPr>
          <w:p w14:paraId="29DF360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22.4</w:t>
            </w:r>
          </w:p>
        </w:tc>
        <w:tc>
          <w:tcPr>
            <w:tcW w:w="1146" w:type="dxa"/>
            <w:tcBorders>
              <w:top w:val="nil"/>
              <w:left w:val="nil"/>
              <w:bottom w:val="nil"/>
              <w:right w:val="nil"/>
            </w:tcBorders>
            <w:shd w:val="clear" w:color="auto" w:fill="FFFFFF" w:themeFill="background1"/>
            <w:vAlign w:val="center"/>
          </w:tcPr>
          <w:p w14:paraId="7328A8D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(10.4, 34.5)</w:t>
            </w:r>
          </w:p>
        </w:tc>
      </w:tr>
      <w:tr w:rsidR="009118DA" w:rsidRPr="00063DE7" w14:paraId="2B399B23"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shd w:val="clear" w:color="auto" w:fill="auto"/>
            <w:vAlign w:val="center"/>
          </w:tcPr>
          <w:p w14:paraId="217248A6" w14:textId="77777777" w:rsidR="003D7BB5" w:rsidRPr="001265DD" w:rsidRDefault="003D7BB5" w:rsidP="00DD0F28">
            <w:pPr>
              <w:tabs>
                <w:tab w:val="left" w:pos="176"/>
              </w:tabs>
              <w:spacing w:before="20" w:after="20"/>
              <w:ind w:left="176"/>
              <w:rPr>
                <w:rFonts w:eastAsiaTheme="minorEastAsia"/>
                <w:b w:val="0"/>
                <w:sz w:val="18"/>
                <w:szCs w:val="18"/>
                <w:lang w:eastAsia="en-US"/>
              </w:rPr>
            </w:pPr>
            <w:r w:rsidRPr="001265DD">
              <w:rPr>
                <w:rFonts w:eastAsiaTheme="minorEastAsia"/>
                <w:b w:val="0"/>
                <w:sz w:val="18"/>
                <w:szCs w:val="18"/>
                <w:lang w:eastAsia="en-US"/>
              </w:rPr>
              <w:t>16 - 30 minutes</w:t>
            </w:r>
          </w:p>
        </w:tc>
        <w:tc>
          <w:tcPr>
            <w:tcW w:w="456" w:type="dxa"/>
            <w:tcBorders>
              <w:top w:val="nil"/>
              <w:left w:val="nil"/>
              <w:bottom w:val="nil"/>
              <w:right w:val="nil"/>
            </w:tcBorders>
            <w:shd w:val="clear" w:color="auto" w:fill="auto"/>
            <w:noWrap/>
            <w:vAlign w:val="center"/>
          </w:tcPr>
          <w:p w14:paraId="3859D435" w14:textId="77777777" w:rsidR="003D7BB5" w:rsidRPr="001265DD"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25</w:t>
            </w:r>
          </w:p>
        </w:tc>
        <w:tc>
          <w:tcPr>
            <w:tcW w:w="576" w:type="dxa"/>
            <w:tcBorders>
              <w:top w:val="nil"/>
              <w:left w:val="nil"/>
              <w:bottom w:val="nil"/>
              <w:right w:val="nil"/>
            </w:tcBorders>
            <w:shd w:val="clear" w:color="auto" w:fill="auto"/>
            <w:noWrap/>
            <w:vAlign w:val="center"/>
          </w:tcPr>
          <w:p w14:paraId="692ECF2A" w14:textId="77777777" w:rsidR="003D7BB5" w:rsidRPr="001265DD"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41.0</w:t>
            </w:r>
          </w:p>
        </w:tc>
        <w:tc>
          <w:tcPr>
            <w:tcW w:w="1146" w:type="dxa"/>
            <w:tcBorders>
              <w:top w:val="nil"/>
              <w:left w:val="nil"/>
              <w:bottom w:val="nil"/>
              <w:right w:val="single" w:sz="4" w:space="0" w:color="auto"/>
            </w:tcBorders>
            <w:shd w:val="clear" w:color="auto" w:fill="auto"/>
            <w:noWrap/>
            <w:vAlign w:val="center"/>
          </w:tcPr>
          <w:p w14:paraId="43CE7D43" w14:textId="77777777" w:rsidR="003D7BB5" w:rsidRPr="001265DD"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(30.5, 51.5)</w:t>
            </w:r>
          </w:p>
        </w:tc>
        <w:tc>
          <w:tcPr>
            <w:tcW w:w="456" w:type="dxa"/>
            <w:tcBorders>
              <w:top w:val="nil"/>
              <w:left w:val="single" w:sz="4" w:space="0" w:color="auto"/>
              <w:bottom w:val="nil"/>
              <w:right w:val="nil"/>
            </w:tcBorders>
            <w:shd w:val="clear" w:color="auto" w:fill="auto"/>
            <w:noWrap/>
            <w:vAlign w:val="center"/>
          </w:tcPr>
          <w:p w14:paraId="63A8489B" w14:textId="77777777" w:rsidR="003D7BB5" w:rsidRPr="001265DD"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7</w:t>
            </w:r>
          </w:p>
        </w:tc>
        <w:tc>
          <w:tcPr>
            <w:tcW w:w="621" w:type="dxa"/>
            <w:tcBorders>
              <w:top w:val="nil"/>
              <w:left w:val="nil"/>
              <w:bottom w:val="nil"/>
              <w:right w:val="nil"/>
            </w:tcBorders>
            <w:shd w:val="clear" w:color="auto" w:fill="auto"/>
            <w:noWrap/>
            <w:vAlign w:val="center"/>
          </w:tcPr>
          <w:p w14:paraId="49F65745" w14:textId="77777777" w:rsidR="003D7BB5" w:rsidRPr="001265DD"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35.1</w:t>
            </w:r>
          </w:p>
        </w:tc>
        <w:tc>
          <w:tcPr>
            <w:tcW w:w="1146" w:type="dxa"/>
            <w:tcBorders>
              <w:top w:val="nil"/>
              <w:left w:val="nil"/>
              <w:bottom w:val="nil"/>
              <w:right w:val="single" w:sz="4" w:space="0" w:color="000000"/>
            </w:tcBorders>
            <w:shd w:val="clear" w:color="auto" w:fill="auto"/>
            <w:noWrap/>
            <w:vAlign w:val="center"/>
          </w:tcPr>
          <w:p w14:paraId="0A7EE0AA" w14:textId="77777777" w:rsidR="003D7BB5" w:rsidRPr="001265DD"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(19.0, 51.2)</w:t>
            </w:r>
          </w:p>
        </w:tc>
        <w:tc>
          <w:tcPr>
            <w:tcW w:w="456" w:type="dxa"/>
            <w:tcBorders>
              <w:top w:val="nil"/>
              <w:left w:val="single" w:sz="4" w:space="0" w:color="000000"/>
              <w:bottom w:val="nil"/>
              <w:right w:val="nil"/>
            </w:tcBorders>
            <w:shd w:val="clear" w:color="auto" w:fill="auto"/>
            <w:vAlign w:val="center"/>
          </w:tcPr>
          <w:p w14:paraId="407D9121" w14:textId="77777777" w:rsidR="003D7BB5" w:rsidRPr="001265DD"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4</w:t>
            </w:r>
          </w:p>
        </w:tc>
        <w:tc>
          <w:tcPr>
            <w:tcW w:w="567" w:type="dxa"/>
            <w:tcBorders>
              <w:top w:val="nil"/>
              <w:left w:val="nil"/>
              <w:bottom w:val="nil"/>
              <w:right w:val="nil"/>
            </w:tcBorders>
            <w:shd w:val="clear" w:color="auto" w:fill="auto"/>
            <w:vAlign w:val="center"/>
          </w:tcPr>
          <w:p w14:paraId="2C3581BF" w14:textId="77777777" w:rsidR="003D7BB5" w:rsidRPr="001265DD"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22.8</w:t>
            </w:r>
          </w:p>
        </w:tc>
        <w:tc>
          <w:tcPr>
            <w:tcW w:w="1146" w:type="dxa"/>
            <w:tcBorders>
              <w:top w:val="nil"/>
              <w:left w:val="nil"/>
              <w:bottom w:val="nil"/>
              <w:right w:val="single" w:sz="4" w:space="0" w:color="000000"/>
            </w:tcBorders>
            <w:shd w:val="clear" w:color="auto" w:fill="auto"/>
            <w:vAlign w:val="center"/>
          </w:tcPr>
          <w:p w14:paraId="1BBF3F4D" w14:textId="77777777" w:rsidR="003D7BB5" w:rsidRPr="001265DD"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(7.6, 38.0)</w:t>
            </w:r>
          </w:p>
        </w:tc>
        <w:tc>
          <w:tcPr>
            <w:tcW w:w="456" w:type="dxa"/>
            <w:tcBorders>
              <w:top w:val="nil"/>
              <w:left w:val="single" w:sz="4" w:space="0" w:color="000000"/>
              <w:bottom w:val="nil"/>
              <w:right w:val="nil"/>
            </w:tcBorders>
            <w:shd w:val="clear" w:color="auto" w:fill="auto"/>
            <w:vAlign w:val="center"/>
          </w:tcPr>
          <w:p w14:paraId="12EC2852" w14:textId="77777777" w:rsidR="003D7BB5" w:rsidRPr="001265DD"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w:t>
            </w:r>
          </w:p>
        </w:tc>
        <w:tc>
          <w:tcPr>
            <w:tcW w:w="576" w:type="dxa"/>
            <w:tcBorders>
              <w:top w:val="nil"/>
              <w:left w:val="nil"/>
              <w:bottom w:val="nil"/>
              <w:right w:val="nil"/>
            </w:tcBorders>
            <w:shd w:val="clear" w:color="auto" w:fill="auto"/>
            <w:vAlign w:val="center"/>
          </w:tcPr>
          <w:p w14:paraId="08D37FE0" w14:textId="77777777" w:rsidR="003D7BB5" w:rsidRPr="001265DD"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15.7</w:t>
            </w:r>
          </w:p>
        </w:tc>
        <w:tc>
          <w:tcPr>
            <w:tcW w:w="1146" w:type="dxa"/>
            <w:tcBorders>
              <w:top w:val="nil"/>
              <w:left w:val="nil"/>
              <w:bottom w:val="nil"/>
              <w:right w:val="nil"/>
            </w:tcBorders>
            <w:shd w:val="clear" w:color="auto" w:fill="auto"/>
            <w:vAlign w:val="center"/>
          </w:tcPr>
          <w:p w14:paraId="34DD5CB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(5.2, 26.2)</w:t>
            </w:r>
          </w:p>
        </w:tc>
      </w:tr>
      <w:tr w:rsidR="009118DA" w:rsidRPr="00063DE7" w14:paraId="1F164C93"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vAlign w:val="center"/>
          </w:tcPr>
          <w:p w14:paraId="5C016754" w14:textId="77777777" w:rsidR="003D7BB5" w:rsidRPr="00063DE7" w:rsidRDefault="003D7BB5" w:rsidP="00DD0F28">
            <w:pPr>
              <w:tabs>
                <w:tab w:val="left" w:pos="176"/>
              </w:tabs>
              <w:spacing w:before="20" w:after="20"/>
              <w:ind w:left="176"/>
              <w:rPr>
                <w:rFonts w:eastAsiaTheme="minorEastAsia"/>
                <w:b w:val="0"/>
                <w:sz w:val="18"/>
                <w:szCs w:val="18"/>
                <w:lang w:eastAsia="en-US"/>
              </w:rPr>
            </w:pPr>
            <w:r w:rsidRPr="00063DE7">
              <w:rPr>
                <w:rFonts w:eastAsiaTheme="minorEastAsia"/>
                <w:b w:val="0"/>
                <w:sz w:val="18"/>
                <w:szCs w:val="18"/>
                <w:lang w:eastAsia="en-US"/>
              </w:rPr>
              <w:t>31 - 60 minutes</w:t>
            </w:r>
          </w:p>
        </w:tc>
        <w:tc>
          <w:tcPr>
            <w:tcW w:w="456" w:type="dxa"/>
            <w:tcBorders>
              <w:top w:val="nil"/>
              <w:left w:val="nil"/>
              <w:bottom w:val="nil"/>
              <w:right w:val="nil"/>
            </w:tcBorders>
            <w:noWrap/>
            <w:vAlign w:val="center"/>
          </w:tcPr>
          <w:p w14:paraId="3CE5E4A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w:t>
            </w:r>
          </w:p>
        </w:tc>
        <w:tc>
          <w:tcPr>
            <w:tcW w:w="576" w:type="dxa"/>
            <w:tcBorders>
              <w:top w:val="nil"/>
              <w:left w:val="nil"/>
              <w:bottom w:val="nil"/>
              <w:right w:val="nil"/>
            </w:tcBorders>
            <w:noWrap/>
            <w:vAlign w:val="center"/>
          </w:tcPr>
          <w:p w14:paraId="5A8173B1"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16.7</w:t>
            </w:r>
          </w:p>
        </w:tc>
        <w:tc>
          <w:tcPr>
            <w:tcW w:w="1146" w:type="dxa"/>
            <w:tcBorders>
              <w:top w:val="nil"/>
              <w:left w:val="nil"/>
              <w:bottom w:val="nil"/>
              <w:right w:val="single" w:sz="4" w:space="0" w:color="auto"/>
            </w:tcBorders>
            <w:noWrap/>
            <w:vAlign w:val="center"/>
          </w:tcPr>
          <w:p w14:paraId="334040C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(9.0, 24.4)</w:t>
            </w:r>
          </w:p>
        </w:tc>
        <w:tc>
          <w:tcPr>
            <w:tcW w:w="456" w:type="dxa"/>
            <w:tcBorders>
              <w:top w:val="nil"/>
              <w:left w:val="single" w:sz="4" w:space="0" w:color="auto"/>
              <w:bottom w:val="nil"/>
              <w:right w:val="nil"/>
            </w:tcBorders>
            <w:noWrap/>
            <w:vAlign w:val="center"/>
          </w:tcPr>
          <w:p w14:paraId="4301758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4</w:t>
            </w:r>
          </w:p>
        </w:tc>
        <w:tc>
          <w:tcPr>
            <w:tcW w:w="621" w:type="dxa"/>
            <w:tcBorders>
              <w:top w:val="nil"/>
              <w:left w:val="nil"/>
              <w:bottom w:val="nil"/>
              <w:right w:val="nil"/>
            </w:tcBorders>
            <w:noWrap/>
            <w:vAlign w:val="center"/>
          </w:tcPr>
          <w:p w14:paraId="2A0652B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18.0</w:t>
            </w:r>
          </w:p>
        </w:tc>
        <w:tc>
          <w:tcPr>
            <w:tcW w:w="1146" w:type="dxa"/>
            <w:tcBorders>
              <w:top w:val="nil"/>
              <w:left w:val="nil"/>
              <w:bottom w:val="nil"/>
              <w:right w:val="single" w:sz="4" w:space="0" w:color="000000"/>
            </w:tcBorders>
            <w:shd w:val="clear" w:color="auto" w:fill="FFFFFF" w:themeFill="background1"/>
            <w:noWrap/>
            <w:vAlign w:val="center"/>
          </w:tcPr>
          <w:p w14:paraId="4FA144A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(6.6, 29.4)</w:t>
            </w:r>
          </w:p>
        </w:tc>
        <w:tc>
          <w:tcPr>
            <w:tcW w:w="456" w:type="dxa"/>
            <w:tcBorders>
              <w:top w:val="nil"/>
              <w:left w:val="single" w:sz="4" w:space="0" w:color="000000"/>
              <w:bottom w:val="nil"/>
              <w:right w:val="nil"/>
            </w:tcBorders>
            <w:shd w:val="clear" w:color="auto" w:fill="FFFFFF" w:themeFill="background1"/>
            <w:vAlign w:val="center"/>
          </w:tcPr>
          <w:p w14:paraId="78D37748"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w:t>
            </w:r>
          </w:p>
        </w:tc>
        <w:tc>
          <w:tcPr>
            <w:tcW w:w="567" w:type="dxa"/>
            <w:tcBorders>
              <w:top w:val="nil"/>
              <w:left w:val="nil"/>
              <w:bottom w:val="nil"/>
              <w:right w:val="nil"/>
            </w:tcBorders>
            <w:shd w:val="clear" w:color="auto" w:fill="FFFFFF" w:themeFill="background1"/>
            <w:vAlign w:val="center"/>
          </w:tcPr>
          <w:p w14:paraId="6394035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28.4</w:t>
            </w:r>
          </w:p>
        </w:tc>
        <w:tc>
          <w:tcPr>
            <w:tcW w:w="1146" w:type="dxa"/>
            <w:tcBorders>
              <w:top w:val="nil"/>
              <w:left w:val="nil"/>
              <w:bottom w:val="nil"/>
              <w:right w:val="single" w:sz="4" w:space="0" w:color="000000"/>
            </w:tcBorders>
            <w:shd w:val="clear" w:color="auto" w:fill="FFFFFF" w:themeFill="background1"/>
            <w:vAlign w:val="center"/>
          </w:tcPr>
          <w:p w14:paraId="4050CF96"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(10.4, 46.3)</w:t>
            </w:r>
          </w:p>
        </w:tc>
        <w:tc>
          <w:tcPr>
            <w:tcW w:w="456" w:type="dxa"/>
            <w:tcBorders>
              <w:top w:val="nil"/>
              <w:left w:val="single" w:sz="4" w:space="0" w:color="000000"/>
              <w:bottom w:val="nil"/>
              <w:right w:val="nil"/>
            </w:tcBorders>
            <w:shd w:val="clear" w:color="auto" w:fill="FFFFFF" w:themeFill="background1"/>
            <w:vAlign w:val="center"/>
          </w:tcPr>
          <w:p w14:paraId="7738830F"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w:t>
            </w:r>
          </w:p>
        </w:tc>
        <w:tc>
          <w:tcPr>
            <w:tcW w:w="576" w:type="dxa"/>
            <w:tcBorders>
              <w:top w:val="nil"/>
              <w:left w:val="nil"/>
              <w:bottom w:val="nil"/>
              <w:right w:val="nil"/>
            </w:tcBorders>
            <w:shd w:val="clear" w:color="auto" w:fill="FFFFFF" w:themeFill="background1"/>
            <w:vAlign w:val="center"/>
          </w:tcPr>
          <w:p w14:paraId="4E08C0E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22.2</w:t>
            </w:r>
          </w:p>
        </w:tc>
        <w:tc>
          <w:tcPr>
            <w:tcW w:w="1146" w:type="dxa"/>
            <w:tcBorders>
              <w:top w:val="nil"/>
              <w:left w:val="nil"/>
              <w:bottom w:val="nil"/>
              <w:right w:val="nil"/>
            </w:tcBorders>
            <w:shd w:val="clear" w:color="auto" w:fill="FFFFFF" w:themeFill="background1"/>
            <w:vAlign w:val="center"/>
          </w:tcPr>
          <w:p w14:paraId="40DDFBE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(0.0, 44.9)</w:t>
            </w:r>
          </w:p>
        </w:tc>
      </w:tr>
      <w:tr w:rsidR="009118DA" w:rsidRPr="00063DE7" w14:paraId="22203C48" w14:textId="77777777" w:rsidTr="00DD0F28">
        <w:trPr>
          <w:jc w:val="center"/>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single" w:sz="4" w:space="0" w:color="auto"/>
              <w:right w:val="nil"/>
            </w:tcBorders>
            <w:vAlign w:val="center"/>
          </w:tcPr>
          <w:p w14:paraId="358473F4" w14:textId="77777777" w:rsidR="003D7BB5" w:rsidRPr="00063DE7" w:rsidRDefault="003D7BB5" w:rsidP="00DD0F28">
            <w:pPr>
              <w:tabs>
                <w:tab w:val="left" w:pos="176"/>
              </w:tabs>
              <w:spacing w:before="20" w:after="20"/>
              <w:ind w:left="176"/>
              <w:rPr>
                <w:rFonts w:eastAsiaTheme="minorEastAsia"/>
                <w:b w:val="0"/>
                <w:sz w:val="18"/>
                <w:szCs w:val="18"/>
                <w:lang w:eastAsia="en-US"/>
              </w:rPr>
            </w:pPr>
            <w:r w:rsidRPr="00063DE7">
              <w:rPr>
                <w:rFonts w:eastAsiaTheme="minorEastAsia"/>
                <w:b w:val="0"/>
                <w:sz w:val="18"/>
                <w:szCs w:val="18"/>
                <w:lang w:eastAsia="en-US"/>
              </w:rPr>
              <w:t>&gt; 60 minutes</w:t>
            </w:r>
          </w:p>
        </w:tc>
        <w:tc>
          <w:tcPr>
            <w:tcW w:w="456" w:type="dxa"/>
            <w:tcBorders>
              <w:top w:val="nil"/>
              <w:left w:val="nil"/>
              <w:bottom w:val="single" w:sz="4" w:space="0" w:color="auto"/>
              <w:right w:val="nil"/>
            </w:tcBorders>
            <w:noWrap/>
            <w:vAlign w:val="center"/>
          </w:tcPr>
          <w:p w14:paraId="3561153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11</w:t>
            </w:r>
          </w:p>
        </w:tc>
        <w:tc>
          <w:tcPr>
            <w:tcW w:w="576" w:type="dxa"/>
            <w:tcBorders>
              <w:top w:val="nil"/>
              <w:left w:val="nil"/>
              <w:bottom w:val="single" w:sz="4" w:space="0" w:color="auto"/>
              <w:right w:val="nil"/>
            </w:tcBorders>
            <w:noWrap/>
            <w:vAlign w:val="center"/>
          </w:tcPr>
          <w:p w14:paraId="68785E1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18.0</w:t>
            </w:r>
          </w:p>
        </w:tc>
        <w:tc>
          <w:tcPr>
            <w:tcW w:w="1146" w:type="dxa"/>
            <w:tcBorders>
              <w:top w:val="nil"/>
              <w:left w:val="nil"/>
              <w:bottom w:val="single" w:sz="4" w:space="0" w:color="auto"/>
              <w:right w:val="single" w:sz="4" w:space="0" w:color="auto"/>
            </w:tcBorders>
            <w:noWrap/>
            <w:vAlign w:val="center"/>
          </w:tcPr>
          <w:p w14:paraId="6CBF44AA"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(10.0, 26.1)</w:t>
            </w:r>
          </w:p>
        </w:tc>
        <w:tc>
          <w:tcPr>
            <w:tcW w:w="456" w:type="dxa"/>
            <w:tcBorders>
              <w:top w:val="nil"/>
              <w:left w:val="single" w:sz="4" w:space="0" w:color="auto"/>
              <w:bottom w:val="single" w:sz="4" w:space="0" w:color="auto"/>
              <w:right w:val="nil"/>
            </w:tcBorders>
            <w:noWrap/>
            <w:vAlign w:val="center"/>
          </w:tcPr>
          <w:p w14:paraId="00BA2E9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w:t>
            </w:r>
          </w:p>
        </w:tc>
        <w:tc>
          <w:tcPr>
            <w:tcW w:w="621" w:type="dxa"/>
            <w:tcBorders>
              <w:top w:val="nil"/>
              <w:left w:val="nil"/>
              <w:bottom w:val="single" w:sz="4" w:space="0" w:color="auto"/>
              <w:right w:val="nil"/>
            </w:tcBorders>
            <w:noWrap/>
            <w:vAlign w:val="center"/>
          </w:tcPr>
          <w:p w14:paraId="01990715"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25.6</w:t>
            </w:r>
          </w:p>
        </w:tc>
        <w:tc>
          <w:tcPr>
            <w:tcW w:w="1146" w:type="dxa"/>
            <w:tcBorders>
              <w:top w:val="nil"/>
              <w:left w:val="nil"/>
              <w:bottom w:val="single" w:sz="4" w:space="0" w:color="auto"/>
              <w:right w:val="single" w:sz="4" w:space="0" w:color="000000"/>
            </w:tcBorders>
            <w:shd w:val="clear" w:color="auto" w:fill="FFFFFF" w:themeFill="background1"/>
            <w:noWrap/>
            <w:vAlign w:val="center"/>
          </w:tcPr>
          <w:p w14:paraId="66B17004"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(13.6, 37.6)</w:t>
            </w:r>
          </w:p>
        </w:tc>
        <w:tc>
          <w:tcPr>
            <w:tcW w:w="456" w:type="dxa"/>
            <w:tcBorders>
              <w:top w:val="nil"/>
              <w:left w:val="single" w:sz="4" w:space="0" w:color="000000"/>
              <w:bottom w:val="single" w:sz="4" w:space="0" w:color="auto"/>
              <w:right w:val="nil"/>
            </w:tcBorders>
            <w:shd w:val="clear" w:color="auto" w:fill="FFFFFF" w:themeFill="background1"/>
            <w:vAlign w:val="center"/>
          </w:tcPr>
          <w:p w14:paraId="4023486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7</w:t>
            </w:r>
          </w:p>
        </w:tc>
        <w:tc>
          <w:tcPr>
            <w:tcW w:w="567" w:type="dxa"/>
            <w:tcBorders>
              <w:top w:val="nil"/>
              <w:left w:val="nil"/>
              <w:bottom w:val="single" w:sz="4" w:space="0" w:color="auto"/>
              <w:right w:val="nil"/>
            </w:tcBorders>
            <w:shd w:val="clear" w:color="auto" w:fill="FFFFFF" w:themeFill="background1"/>
            <w:vAlign w:val="center"/>
          </w:tcPr>
          <w:p w14:paraId="249DFEE0"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39.1</w:t>
            </w:r>
          </w:p>
        </w:tc>
        <w:tc>
          <w:tcPr>
            <w:tcW w:w="1146" w:type="dxa"/>
            <w:tcBorders>
              <w:top w:val="nil"/>
              <w:left w:val="nil"/>
              <w:bottom w:val="single" w:sz="4" w:space="0" w:color="auto"/>
              <w:right w:val="single" w:sz="4" w:space="0" w:color="000000"/>
            </w:tcBorders>
            <w:shd w:val="clear" w:color="auto" w:fill="FFFFFF" w:themeFill="background1"/>
            <w:vAlign w:val="center"/>
          </w:tcPr>
          <w:p w14:paraId="5C478E39"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(18.8, 59.4)</w:t>
            </w:r>
          </w:p>
        </w:tc>
        <w:tc>
          <w:tcPr>
            <w:tcW w:w="456" w:type="dxa"/>
            <w:tcBorders>
              <w:top w:val="nil"/>
              <w:left w:val="single" w:sz="4" w:space="0" w:color="000000"/>
              <w:bottom w:val="single" w:sz="4" w:space="0" w:color="auto"/>
              <w:right w:val="nil"/>
            </w:tcBorders>
            <w:shd w:val="clear" w:color="auto" w:fill="FFFFFF" w:themeFill="background1"/>
            <w:vAlign w:val="center"/>
          </w:tcPr>
          <w:p w14:paraId="4027F90C"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5</w:t>
            </w:r>
          </w:p>
        </w:tc>
        <w:tc>
          <w:tcPr>
            <w:tcW w:w="576" w:type="dxa"/>
            <w:tcBorders>
              <w:top w:val="nil"/>
              <w:left w:val="nil"/>
              <w:bottom w:val="single" w:sz="4" w:space="0" w:color="auto"/>
              <w:right w:val="nil"/>
            </w:tcBorders>
            <w:shd w:val="clear" w:color="auto" w:fill="FFFFFF" w:themeFill="background1"/>
            <w:vAlign w:val="center"/>
          </w:tcPr>
          <w:p w14:paraId="588A211E"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39.7</w:t>
            </w:r>
          </w:p>
        </w:tc>
        <w:tc>
          <w:tcPr>
            <w:tcW w:w="1146" w:type="dxa"/>
            <w:tcBorders>
              <w:top w:val="nil"/>
              <w:left w:val="nil"/>
              <w:bottom w:val="single" w:sz="4" w:space="0" w:color="auto"/>
              <w:right w:val="nil"/>
            </w:tcBorders>
            <w:shd w:val="clear" w:color="auto" w:fill="FFFFFF" w:themeFill="background1"/>
            <w:vAlign w:val="center"/>
          </w:tcPr>
          <w:p w14:paraId="46255AFB" w14:textId="77777777" w:rsidR="003D7BB5" w:rsidRPr="00063DE7" w:rsidRDefault="003D7BB5" w:rsidP="00DD0F2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063DE7">
              <w:rPr>
                <w:color w:val="000000"/>
                <w:sz w:val="18"/>
                <w:szCs w:val="18"/>
              </w:rPr>
              <w:t>(18.0, 61.4)</w:t>
            </w:r>
          </w:p>
        </w:tc>
      </w:tr>
    </w:tbl>
    <w:p w14:paraId="49B55B9D" w14:textId="77777777" w:rsidR="003D7BB5" w:rsidRPr="00063DE7" w:rsidRDefault="003D7BB5" w:rsidP="003D7BB5">
      <w:pPr>
        <w:ind w:left="1701"/>
        <w:rPr>
          <w:sz w:val="18"/>
        </w:rPr>
      </w:pPr>
      <w:r w:rsidRPr="00063DE7">
        <w:rPr>
          <w:sz w:val="18"/>
        </w:rPr>
        <w:t>Data weighted for 2013 Census data (all waves) and attrition (Waves 2, 3 and 4)</w:t>
      </w:r>
    </w:p>
    <w:p w14:paraId="4D887E7C" w14:textId="77777777" w:rsidR="003D7BB5" w:rsidRDefault="003D7BB5" w:rsidP="003D7BB5">
      <w:pPr>
        <w:pStyle w:val="RepNormal"/>
        <w:ind w:left="1701"/>
        <w:rPr>
          <w:sz w:val="18"/>
        </w:rPr>
      </w:pPr>
      <w:r w:rsidRPr="00063DE7">
        <w:rPr>
          <w:sz w:val="18"/>
        </w:rPr>
        <w:t>Wave 1 N=6,251; Wave 2 N=3,745; Wave 3 N=3,115; Wave 4 N=2,770</w:t>
      </w:r>
    </w:p>
    <w:p w14:paraId="08693CD5" w14:textId="77777777" w:rsidR="003D7BB5" w:rsidRPr="00ED1E40" w:rsidRDefault="003D7BB5" w:rsidP="003D7BB5">
      <w:pPr>
        <w:spacing w:after="200" w:line="276" w:lineRule="auto"/>
        <w:ind w:left="1701"/>
        <w:rPr>
          <w:sz w:val="18"/>
        </w:rPr>
      </w:pPr>
      <w:r w:rsidRPr="00ED1E40">
        <w:rPr>
          <w:sz w:val="18"/>
        </w:rPr>
        <w:t>! Meaningful confidence intervals not calculable due to small sample size</w:t>
      </w:r>
    </w:p>
    <w:p w14:paraId="484F6C6E" w14:textId="77777777" w:rsidR="001E2F74" w:rsidRDefault="001E2F74">
      <w:pPr>
        <w:spacing w:after="200" w:line="276" w:lineRule="auto"/>
        <w:rPr>
          <w:rFonts w:eastAsiaTheme="majorEastAsia" w:cstheme="majorBidi"/>
          <w:b/>
          <w:bCs/>
          <w:caps/>
          <w:szCs w:val="28"/>
          <w:lang w:eastAsia="en-US"/>
        </w:rPr>
      </w:pPr>
    </w:p>
    <w:p w14:paraId="29FF8284" w14:textId="77777777" w:rsidR="003D7BB5" w:rsidRDefault="003D7BB5">
      <w:pPr>
        <w:spacing w:after="200" w:line="276" w:lineRule="auto"/>
        <w:rPr>
          <w:rFonts w:eastAsiaTheme="majorEastAsia" w:cstheme="majorBidi"/>
          <w:b/>
          <w:bCs/>
          <w:caps/>
          <w:szCs w:val="28"/>
          <w:lang w:eastAsia="en-US"/>
        </w:rPr>
      </w:pPr>
      <w:bookmarkStart w:id="207" w:name="_Toc446324574"/>
      <w:r>
        <w:br w:type="page"/>
      </w:r>
    </w:p>
    <w:p w14:paraId="4A3ED187" w14:textId="77777777" w:rsidR="001E2F74" w:rsidRDefault="001E2F74" w:rsidP="001E2F74">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pPr>
      <w:bookmarkStart w:id="208" w:name="_Toc504488408"/>
      <w:r w:rsidRPr="00AE7AD8">
        <w:t xml:space="preserve">APPENDIX </w:t>
      </w:r>
      <w:r>
        <w:t>1</w:t>
      </w:r>
      <w:r w:rsidR="003D7BB5">
        <w:t>5</w:t>
      </w:r>
      <w:r w:rsidRPr="00AE7AD8">
        <w:t>:</w:t>
      </w:r>
      <w:r w:rsidRPr="00AE7AD8">
        <w:br/>
      </w:r>
      <w:r w:rsidR="00315163">
        <w:rPr>
          <w:rFonts w:cs="Times New Roman"/>
          <w:caps w:val="0"/>
        </w:rPr>
        <w:t>H</w:t>
      </w:r>
      <w:r w:rsidRPr="00AE7AD8">
        <w:rPr>
          <w:rFonts w:cs="Times New Roman"/>
          <w:caps w:val="0"/>
        </w:rPr>
        <w:t>ealth status in Waves 1, 2</w:t>
      </w:r>
      <w:r>
        <w:rPr>
          <w:rFonts w:cs="Times New Roman"/>
          <w:caps w:val="0"/>
        </w:rPr>
        <w:t>,</w:t>
      </w:r>
      <w:r w:rsidRPr="00AE7AD8">
        <w:rPr>
          <w:rFonts w:cs="Times New Roman"/>
          <w:caps w:val="0"/>
        </w:rPr>
        <w:t xml:space="preserve"> 3</w:t>
      </w:r>
      <w:bookmarkEnd w:id="207"/>
      <w:r>
        <w:rPr>
          <w:rFonts w:cs="Times New Roman"/>
          <w:caps w:val="0"/>
        </w:rPr>
        <w:t xml:space="preserve"> and 4</w:t>
      </w:r>
      <w:bookmarkEnd w:id="208"/>
    </w:p>
    <w:p w14:paraId="66F8FE22" w14:textId="77777777" w:rsidR="001E2F74" w:rsidRPr="00BA05A5" w:rsidRDefault="001E2F74" w:rsidP="001E2F74"/>
    <w:tbl>
      <w:tblPr>
        <w:tblStyle w:val="LightShading4"/>
        <w:tblW w:w="0" w:type="auto"/>
        <w:jc w:val="center"/>
        <w:tblLayout w:type="fixed"/>
        <w:tblLook w:val="06A0" w:firstRow="1" w:lastRow="0" w:firstColumn="1" w:lastColumn="0" w:noHBand="1" w:noVBand="1"/>
      </w:tblPr>
      <w:tblGrid>
        <w:gridCol w:w="3540"/>
        <w:gridCol w:w="666"/>
        <w:gridCol w:w="567"/>
        <w:gridCol w:w="1191"/>
        <w:gridCol w:w="666"/>
        <w:gridCol w:w="621"/>
        <w:gridCol w:w="1096"/>
        <w:gridCol w:w="616"/>
        <w:gridCol w:w="567"/>
        <w:gridCol w:w="1146"/>
        <w:gridCol w:w="666"/>
        <w:gridCol w:w="567"/>
        <w:gridCol w:w="1146"/>
      </w:tblGrid>
      <w:tr w:rsidR="001E2F74" w:rsidRPr="008A7800" w14:paraId="17549FE0" w14:textId="77777777" w:rsidTr="00063DE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40" w:type="dxa"/>
            <w:vMerge w:val="restart"/>
            <w:tcBorders>
              <w:bottom w:val="single" w:sz="4" w:space="0" w:color="auto"/>
            </w:tcBorders>
            <w:vAlign w:val="bottom"/>
            <w:hideMark/>
          </w:tcPr>
          <w:p w14:paraId="793A533D" w14:textId="77777777" w:rsidR="001E2F74" w:rsidRPr="008A7800" w:rsidRDefault="001E2F74" w:rsidP="00A31BD8">
            <w:pPr>
              <w:spacing w:before="20" w:after="20"/>
              <w:rPr>
                <w:rFonts w:eastAsiaTheme="minorEastAsia"/>
                <w:sz w:val="18"/>
                <w:szCs w:val="18"/>
                <w:lang w:eastAsia="en-US"/>
              </w:rPr>
            </w:pPr>
            <w:r w:rsidRPr="008A7800">
              <w:rPr>
                <w:rFonts w:eastAsiaTheme="minorEastAsia"/>
                <w:sz w:val="18"/>
                <w:szCs w:val="18"/>
              </w:rPr>
              <w:t>Health variable</w:t>
            </w:r>
          </w:p>
        </w:tc>
        <w:tc>
          <w:tcPr>
            <w:tcW w:w="2424" w:type="dxa"/>
            <w:gridSpan w:val="3"/>
            <w:tcBorders>
              <w:bottom w:val="single" w:sz="4" w:space="0" w:color="auto"/>
              <w:right w:val="single" w:sz="4" w:space="0" w:color="auto"/>
            </w:tcBorders>
            <w:noWrap/>
            <w:vAlign w:val="center"/>
            <w:hideMark/>
          </w:tcPr>
          <w:p w14:paraId="4D9832C9" w14:textId="77777777" w:rsidR="001E2F74" w:rsidRPr="008A7800" w:rsidRDefault="001E2F74" w:rsidP="00A31BD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8"/>
                <w:szCs w:val="18"/>
                <w:lang w:eastAsia="en-US"/>
              </w:rPr>
            </w:pPr>
            <w:r w:rsidRPr="008A7800">
              <w:rPr>
                <w:rFonts w:eastAsiaTheme="minorEastAsia"/>
                <w:sz w:val="18"/>
                <w:szCs w:val="18"/>
              </w:rPr>
              <w:t>Wave 1</w:t>
            </w:r>
          </w:p>
        </w:tc>
        <w:tc>
          <w:tcPr>
            <w:tcW w:w="2383" w:type="dxa"/>
            <w:gridSpan w:val="3"/>
            <w:tcBorders>
              <w:left w:val="single" w:sz="4" w:space="0" w:color="auto"/>
              <w:bottom w:val="single" w:sz="4" w:space="0" w:color="auto"/>
            </w:tcBorders>
            <w:vAlign w:val="center"/>
          </w:tcPr>
          <w:p w14:paraId="62E12AF3" w14:textId="77777777" w:rsidR="001E2F74" w:rsidRPr="008A7800" w:rsidRDefault="001E2F74" w:rsidP="00A31BD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Wave 2</w:t>
            </w:r>
          </w:p>
        </w:tc>
        <w:tc>
          <w:tcPr>
            <w:tcW w:w="2329" w:type="dxa"/>
            <w:gridSpan w:val="3"/>
            <w:tcBorders>
              <w:left w:val="single" w:sz="4" w:space="0" w:color="auto"/>
              <w:bottom w:val="single" w:sz="4" w:space="0" w:color="auto"/>
            </w:tcBorders>
          </w:tcPr>
          <w:p w14:paraId="733995A0" w14:textId="77777777" w:rsidR="001E2F74" w:rsidRPr="008A7800" w:rsidRDefault="001E2F74" w:rsidP="00A31BD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Wave 3</w:t>
            </w:r>
          </w:p>
        </w:tc>
        <w:tc>
          <w:tcPr>
            <w:tcW w:w="2379" w:type="dxa"/>
            <w:gridSpan w:val="3"/>
            <w:tcBorders>
              <w:left w:val="single" w:sz="4" w:space="0" w:color="auto"/>
              <w:bottom w:val="single" w:sz="4" w:space="0" w:color="auto"/>
            </w:tcBorders>
          </w:tcPr>
          <w:p w14:paraId="032E03CE" w14:textId="77777777" w:rsidR="001E2F74" w:rsidRPr="008A7800" w:rsidRDefault="001E2F74" w:rsidP="00A31BD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Wave 4</w:t>
            </w:r>
          </w:p>
        </w:tc>
      </w:tr>
      <w:tr w:rsidR="001E2F74" w:rsidRPr="008A7800" w14:paraId="5BCC7147" w14:textId="77777777" w:rsidTr="00063DE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40" w:type="dxa"/>
            <w:vMerge/>
            <w:tcBorders>
              <w:bottom w:val="single" w:sz="4" w:space="0" w:color="auto"/>
            </w:tcBorders>
            <w:vAlign w:val="center"/>
            <w:hideMark/>
          </w:tcPr>
          <w:p w14:paraId="24860409" w14:textId="77777777" w:rsidR="001E2F74" w:rsidRPr="008A7800" w:rsidRDefault="001E2F74" w:rsidP="00A31BD8">
            <w:pPr>
              <w:spacing w:before="20" w:after="20"/>
              <w:rPr>
                <w:rFonts w:eastAsiaTheme="minorEastAsia"/>
                <w:sz w:val="18"/>
                <w:szCs w:val="18"/>
                <w:lang w:eastAsia="en-US"/>
              </w:rPr>
            </w:pPr>
          </w:p>
        </w:tc>
        <w:tc>
          <w:tcPr>
            <w:tcW w:w="666" w:type="dxa"/>
            <w:tcBorders>
              <w:top w:val="single" w:sz="4" w:space="0" w:color="auto"/>
              <w:bottom w:val="single" w:sz="4" w:space="0" w:color="auto"/>
            </w:tcBorders>
            <w:noWrap/>
            <w:vAlign w:val="center"/>
            <w:hideMark/>
          </w:tcPr>
          <w:p w14:paraId="44558577" w14:textId="77777777" w:rsidR="001E2F74" w:rsidRPr="008A7800" w:rsidRDefault="001E2F74"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rPr>
              <w:t>n</w:t>
            </w:r>
          </w:p>
        </w:tc>
        <w:tc>
          <w:tcPr>
            <w:tcW w:w="567" w:type="dxa"/>
            <w:tcBorders>
              <w:top w:val="single" w:sz="4" w:space="0" w:color="auto"/>
              <w:bottom w:val="single" w:sz="4" w:space="0" w:color="auto"/>
            </w:tcBorders>
            <w:noWrap/>
            <w:vAlign w:val="center"/>
            <w:hideMark/>
          </w:tcPr>
          <w:p w14:paraId="1FEE08EA" w14:textId="77777777" w:rsidR="001E2F74" w:rsidRPr="008A7800" w:rsidRDefault="001E2F74"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rPr>
              <w:t>%</w:t>
            </w:r>
          </w:p>
        </w:tc>
        <w:tc>
          <w:tcPr>
            <w:tcW w:w="1191" w:type="dxa"/>
            <w:tcBorders>
              <w:top w:val="single" w:sz="4" w:space="0" w:color="auto"/>
              <w:bottom w:val="single" w:sz="4" w:space="0" w:color="auto"/>
              <w:right w:val="single" w:sz="4" w:space="0" w:color="auto"/>
            </w:tcBorders>
            <w:noWrap/>
            <w:vAlign w:val="center"/>
          </w:tcPr>
          <w:p w14:paraId="09D8B4F4" w14:textId="77777777" w:rsidR="001E2F74" w:rsidRPr="008A7800" w:rsidRDefault="001E2F74"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(95% CI)</w:t>
            </w:r>
          </w:p>
        </w:tc>
        <w:tc>
          <w:tcPr>
            <w:tcW w:w="666" w:type="dxa"/>
            <w:tcBorders>
              <w:top w:val="single" w:sz="4" w:space="0" w:color="auto"/>
              <w:left w:val="single" w:sz="4" w:space="0" w:color="auto"/>
              <w:bottom w:val="single" w:sz="4" w:space="0" w:color="auto"/>
            </w:tcBorders>
            <w:noWrap/>
            <w:vAlign w:val="center"/>
          </w:tcPr>
          <w:p w14:paraId="59A2B41B" w14:textId="77777777" w:rsidR="001E2F74" w:rsidRPr="008A7800" w:rsidRDefault="001E2F74"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n</w:t>
            </w:r>
          </w:p>
        </w:tc>
        <w:tc>
          <w:tcPr>
            <w:tcW w:w="621" w:type="dxa"/>
            <w:tcBorders>
              <w:top w:val="single" w:sz="4" w:space="0" w:color="auto"/>
              <w:bottom w:val="single" w:sz="4" w:space="0" w:color="auto"/>
            </w:tcBorders>
            <w:noWrap/>
            <w:vAlign w:val="center"/>
          </w:tcPr>
          <w:p w14:paraId="51E443E1" w14:textId="77777777" w:rsidR="001E2F74" w:rsidRPr="008A7800" w:rsidRDefault="001E2F74"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w:t>
            </w:r>
          </w:p>
        </w:tc>
        <w:tc>
          <w:tcPr>
            <w:tcW w:w="1096" w:type="dxa"/>
            <w:tcBorders>
              <w:top w:val="single" w:sz="4" w:space="0" w:color="auto"/>
              <w:bottom w:val="single" w:sz="4" w:space="0" w:color="auto"/>
              <w:right w:val="single" w:sz="4" w:space="0" w:color="000000"/>
            </w:tcBorders>
            <w:shd w:val="clear" w:color="auto" w:fill="FFFFFF" w:themeFill="background1"/>
            <w:noWrap/>
            <w:vAlign w:val="center"/>
          </w:tcPr>
          <w:p w14:paraId="3D0CE0EF" w14:textId="77777777" w:rsidR="001E2F74" w:rsidRPr="008A7800" w:rsidRDefault="001E2F74"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8A7800">
              <w:rPr>
                <w:rFonts w:eastAsiaTheme="minorEastAsia"/>
                <w:sz w:val="18"/>
                <w:szCs w:val="18"/>
                <w:lang w:eastAsia="en-US"/>
              </w:rPr>
              <w:t>(95% CI)</w:t>
            </w:r>
          </w:p>
        </w:tc>
        <w:tc>
          <w:tcPr>
            <w:tcW w:w="616" w:type="dxa"/>
            <w:tcBorders>
              <w:top w:val="single" w:sz="4" w:space="0" w:color="auto"/>
              <w:left w:val="single" w:sz="4" w:space="0" w:color="000000"/>
              <w:bottom w:val="single" w:sz="4" w:space="0" w:color="auto"/>
            </w:tcBorders>
            <w:shd w:val="clear" w:color="auto" w:fill="FFFFFF" w:themeFill="background1"/>
            <w:vAlign w:val="center"/>
          </w:tcPr>
          <w:p w14:paraId="321E14A1" w14:textId="77777777" w:rsidR="001E2F74" w:rsidRPr="008A7800" w:rsidRDefault="001E2F74"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n</w:t>
            </w:r>
          </w:p>
        </w:tc>
        <w:tc>
          <w:tcPr>
            <w:tcW w:w="567" w:type="dxa"/>
            <w:tcBorders>
              <w:top w:val="single" w:sz="4" w:space="0" w:color="auto"/>
              <w:bottom w:val="single" w:sz="4" w:space="0" w:color="auto"/>
            </w:tcBorders>
            <w:shd w:val="clear" w:color="auto" w:fill="FFFFFF" w:themeFill="background1"/>
            <w:vAlign w:val="center"/>
          </w:tcPr>
          <w:p w14:paraId="470A3C3B" w14:textId="77777777" w:rsidR="001E2F74" w:rsidRPr="008A7800" w:rsidRDefault="001E2F74"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w:t>
            </w:r>
          </w:p>
        </w:tc>
        <w:tc>
          <w:tcPr>
            <w:tcW w:w="1146" w:type="dxa"/>
            <w:tcBorders>
              <w:top w:val="single" w:sz="4" w:space="0" w:color="auto"/>
              <w:bottom w:val="single" w:sz="4" w:space="0" w:color="auto"/>
              <w:right w:val="single" w:sz="4" w:space="0" w:color="000000"/>
            </w:tcBorders>
            <w:shd w:val="clear" w:color="auto" w:fill="FFFFFF" w:themeFill="background1"/>
            <w:vAlign w:val="center"/>
          </w:tcPr>
          <w:p w14:paraId="6EB571CE" w14:textId="77777777" w:rsidR="001E2F74" w:rsidRPr="008A7800" w:rsidRDefault="001E2F74"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8A7800">
              <w:rPr>
                <w:rFonts w:eastAsiaTheme="minorEastAsia"/>
                <w:sz w:val="18"/>
                <w:szCs w:val="18"/>
                <w:lang w:eastAsia="en-US"/>
              </w:rPr>
              <w:t>(95% CI)</w:t>
            </w:r>
          </w:p>
        </w:tc>
        <w:tc>
          <w:tcPr>
            <w:tcW w:w="666" w:type="dxa"/>
            <w:tcBorders>
              <w:top w:val="single" w:sz="4" w:space="0" w:color="auto"/>
              <w:left w:val="single" w:sz="4" w:space="0" w:color="000000"/>
              <w:bottom w:val="single" w:sz="4" w:space="0" w:color="auto"/>
            </w:tcBorders>
            <w:shd w:val="clear" w:color="auto" w:fill="FFFFFF" w:themeFill="background1"/>
            <w:vAlign w:val="center"/>
          </w:tcPr>
          <w:p w14:paraId="41DBEBE3" w14:textId="77777777" w:rsidR="001E2F74" w:rsidRPr="008A7800" w:rsidRDefault="001E2F74"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n</w:t>
            </w:r>
          </w:p>
        </w:tc>
        <w:tc>
          <w:tcPr>
            <w:tcW w:w="567" w:type="dxa"/>
            <w:tcBorders>
              <w:top w:val="single" w:sz="4" w:space="0" w:color="auto"/>
              <w:bottom w:val="single" w:sz="4" w:space="0" w:color="auto"/>
            </w:tcBorders>
            <w:shd w:val="clear" w:color="auto" w:fill="FFFFFF" w:themeFill="background1"/>
            <w:vAlign w:val="center"/>
          </w:tcPr>
          <w:p w14:paraId="2CF54DA4" w14:textId="77777777" w:rsidR="001E2F74" w:rsidRPr="008A7800" w:rsidRDefault="001E2F74"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8A7800">
              <w:rPr>
                <w:rFonts w:eastAsiaTheme="minorEastAsia"/>
                <w:sz w:val="18"/>
                <w:szCs w:val="18"/>
                <w:lang w:eastAsia="en-US"/>
              </w:rPr>
              <w:t>%</w:t>
            </w:r>
          </w:p>
        </w:tc>
        <w:tc>
          <w:tcPr>
            <w:tcW w:w="1146" w:type="dxa"/>
            <w:tcBorders>
              <w:top w:val="single" w:sz="4" w:space="0" w:color="auto"/>
              <w:bottom w:val="single" w:sz="4" w:space="0" w:color="auto"/>
            </w:tcBorders>
            <w:shd w:val="clear" w:color="auto" w:fill="FFFFFF" w:themeFill="background1"/>
            <w:vAlign w:val="center"/>
          </w:tcPr>
          <w:p w14:paraId="59B04ED0" w14:textId="77777777" w:rsidR="001E2F74" w:rsidRPr="008A7800" w:rsidRDefault="001E2F74"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8A7800">
              <w:rPr>
                <w:rFonts w:eastAsiaTheme="minorEastAsia"/>
                <w:sz w:val="18"/>
                <w:szCs w:val="18"/>
                <w:lang w:eastAsia="en-US"/>
              </w:rPr>
              <w:t>(95% CI)</w:t>
            </w:r>
          </w:p>
        </w:tc>
      </w:tr>
      <w:tr w:rsidR="001E2F74" w:rsidRPr="008A7800" w14:paraId="6FD7DFF7"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4773" w:type="dxa"/>
            <w:gridSpan w:val="3"/>
            <w:tcBorders>
              <w:top w:val="single" w:sz="4" w:space="0" w:color="000000"/>
              <w:left w:val="nil"/>
              <w:bottom w:val="nil"/>
              <w:right w:val="nil"/>
            </w:tcBorders>
            <w:shd w:val="clear" w:color="auto" w:fill="auto"/>
            <w:vAlign w:val="center"/>
          </w:tcPr>
          <w:p w14:paraId="4D22AA54" w14:textId="77777777" w:rsidR="001E2F74" w:rsidRPr="008A7800" w:rsidRDefault="001E2F74" w:rsidP="00D60727">
            <w:pPr>
              <w:spacing w:before="20" w:after="20"/>
              <w:rPr>
                <w:rFonts w:eastAsiaTheme="minorEastAsia"/>
                <w:sz w:val="18"/>
                <w:szCs w:val="18"/>
                <w:lang w:eastAsia="en-US"/>
              </w:rPr>
            </w:pPr>
            <w:r w:rsidRPr="008A7800">
              <w:rPr>
                <w:rFonts w:eastAsiaTheme="minorEastAsia"/>
                <w:bCs w:val="0"/>
                <w:sz w:val="18"/>
                <w:szCs w:val="18"/>
                <w:lang w:eastAsia="en-US"/>
              </w:rPr>
              <w:t xml:space="preserve">Number of </w:t>
            </w:r>
            <w:r w:rsidR="00D60727">
              <w:rPr>
                <w:rFonts w:eastAsiaTheme="minorEastAsia"/>
                <w:bCs w:val="0"/>
                <w:sz w:val="18"/>
                <w:szCs w:val="18"/>
                <w:lang w:eastAsia="en-US"/>
              </w:rPr>
              <w:t>major</w:t>
            </w:r>
            <w:r w:rsidRPr="008A7800">
              <w:rPr>
                <w:rFonts w:eastAsiaTheme="minorEastAsia"/>
                <w:bCs w:val="0"/>
                <w:sz w:val="18"/>
                <w:szCs w:val="18"/>
                <w:lang w:eastAsia="en-US"/>
              </w:rPr>
              <w:t xml:space="preserve"> life events</w:t>
            </w:r>
          </w:p>
        </w:tc>
        <w:tc>
          <w:tcPr>
            <w:tcW w:w="1191" w:type="dxa"/>
            <w:tcBorders>
              <w:top w:val="nil"/>
              <w:left w:val="nil"/>
              <w:bottom w:val="nil"/>
              <w:right w:val="single" w:sz="4" w:space="0" w:color="auto"/>
            </w:tcBorders>
            <w:shd w:val="clear" w:color="auto" w:fill="auto"/>
            <w:noWrap/>
            <w:vAlign w:val="center"/>
          </w:tcPr>
          <w:p w14:paraId="45ED23D2"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66" w:type="dxa"/>
            <w:tcBorders>
              <w:top w:val="nil"/>
              <w:left w:val="single" w:sz="4" w:space="0" w:color="auto"/>
              <w:bottom w:val="nil"/>
              <w:right w:val="nil"/>
            </w:tcBorders>
            <w:shd w:val="clear" w:color="auto" w:fill="auto"/>
            <w:noWrap/>
            <w:vAlign w:val="center"/>
          </w:tcPr>
          <w:p w14:paraId="3583F7D2"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nil"/>
              <w:left w:val="nil"/>
              <w:bottom w:val="nil"/>
              <w:right w:val="nil"/>
            </w:tcBorders>
            <w:shd w:val="clear" w:color="auto" w:fill="auto"/>
            <w:noWrap/>
            <w:vAlign w:val="center"/>
          </w:tcPr>
          <w:p w14:paraId="22C70689"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096" w:type="dxa"/>
            <w:tcBorders>
              <w:top w:val="nil"/>
              <w:left w:val="nil"/>
              <w:bottom w:val="nil"/>
              <w:right w:val="single" w:sz="4" w:space="0" w:color="000000"/>
            </w:tcBorders>
            <w:shd w:val="clear" w:color="auto" w:fill="auto"/>
            <w:noWrap/>
            <w:vAlign w:val="center"/>
          </w:tcPr>
          <w:p w14:paraId="4852880A"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616" w:type="dxa"/>
            <w:tcBorders>
              <w:top w:val="nil"/>
              <w:left w:val="single" w:sz="4" w:space="0" w:color="000000"/>
              <w:bottom w:val="nil"/>
              <w:right w:val="nil"/>
            </w:tcBorders>
            <w:shd w:val="clear" w:color="auto" w:fill="auto"/>
          </w:tcPr>
          <w:p w14:paraId="2139D268"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67" w:type="dxa"/>
            <w:tcBorders>
              <w:top w:val="nil"/>
              <w:left w:val="nil"/>
              <w:bottom w:val="nil"/>
              <w:right w:val="nil"/>
            </w:tcBorders>
            <w:shd w:val="clear" w:color="auto" w:fill="auto"/>
          </w:tcPr>
          <w:p w14:paraId="4249B367"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single" w:sz="4" w:space="0" w:color="000000"/>
            </w:tcBorders>
            <w:shd w:val="clear" w:color="auto" w:fill="auto"/>
          </w:tcPr>
          <w:p w14:paraId="2074452B"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666" w:type="dxa"/>
            <w:tcBorders>
              <w:top w:val="nil"/>
              <w:left w:val="single" w:sz="4" w:space="0" w:color="000000"/>
              <w:bottom w:val="nil"/>
              <w:right w:val="nil"/>
            </w:tcBorders>
            <w:shd w:val="clear" w:color="auto" w:fill="auto"/>
          </w:tcPr>
          <w:p w14:paraId="278E58CA"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67" w:type="dxa"/>
            <w:tcBorders>
              <w:top w:val="nil"/>
              <w:left w:val="nil"/>
              <w:bottom w:val="nil"/>
              <w:right w:val="nil"/>
            </w:tcBorders>
            <w:shd w:val="clear" w:color="auto" w:fill="auto"/>
          </w:tcPr>
          <w:p w14:paraId="1AF112E1"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nil"/>
            </w:tcBorders>
            <w:shd w:val="clear" w:color="auto" w:fill="auto"/>
          </w:tcPr>
          <w:p w14:paraId="2D6DFEE2"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r>
      <w:tr w:rsidR="009118DA" w:rsidRPr="008A7800" w14:paraId="03F9C909"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47B80BF4" w14:textId="77777777" w:rsidR="001E2F74" w:rsidRPr="008A7800" w:rsidRDefault="001E2F74" w:rsidP="00A31BD8">
            <w:pPr>
              <w:spacing w:before="20" w:after="20"/>
              <w:ind w:left="34"/>
              <w:rPr>
                <w:rFonts w:eastAsiaTheme="minorEastAsia"/>
                <w:b w:val="0"/>
                <w:sz w:val="18"/>
                <w:szCs w:val="18"/>
                <w:lang w:eastAsia="en-US"/>
              </w:rPr>
            </w:pPr>
            <w:r w:rsidRPr="008A7800">
              <w:rPr>
                <w:rFonts w:eastAsiaTheme="minorEastAsia"/>
                <w:b w:val="0"/>
                <w:sz w:val="18"/>
                <w:szCs w:val="18"/>
                <w:lang w:eastAsia="en-US"/>
              </w:rPr>
              <w:t>0</w:t>
            </w:r>
          </w:p>
        </w:tc>
        <w:tc>
          <w:tcPr>
            <w:tcW w:w="666" w:type="dxa"/>
            <w:tcBorders>
              <w:top w:val="nil"/>
              <w:left w:val="nil"/>
              <w:bottom w:val="nil"/>
              <w:right w:val="nil"/>
            </w:tcBorders>
            <w:shd w:val="clear" w:color="auto" w:fill="auto"/>
            <w:noWrap/>
            <w:vAlign w:val="center"/>
          </w:tcPr>
          <w:p w14:paraId="7AAF67FA"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1711</w:t>
            </w:r>
          </w:p>
        </w:tc>
        <w:tc>
          <w:tcPr>
            <w:tcW w:w="567" w:type="dxa"/>
            <w:tcBorders>
              <w:top w:val="nil"/>
              <w:left w:val="nil"/>
              <w:bottom w:val="nil"/>
              <w:right w:val="nil"/>
            </w:tcBorders>
            <w:shd w:val="clear" w:color="auto" w:fill="auto"/>
            <w:noWrap/>
            <w:vAlign w:val="center"/>
          </w:tcPr>
          <w:p w14:paraId="3634E7F1"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27.4</w:t>
            </w:r>
          </w:p>
        </w:tc>
        <w:tc>
          <w:tcPr>
            <w:tcW w:w="1191" w:type="dxa"/>
            <w:tcBorders>
              <w:top w:val="nil"/>
              <w:left w:val="nil"/>
              <w:bottom w:val="nil"/>
              <w:right w:val="single" w:sz="4" w:space="0" w:color="auto"/>
            </w:tcBorders>
            <w:shd w:val="clear" w:color="auto" w:fill="auto"/>
            <w:noWrap/>
            <w:vAlign w:val="center"/>
          </w:tcPr>
          <w:p w14:paraId="26B2E7C9"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(26.1, 28.6)</w:t>
            </w:r>
          </w:p>
        </w:tc>
        <w:tc>
          <w:tcPr>
            <w:tcW w:w="666" w:type="dxa"/>
            <w:tcBorders>
              <w:top w:val="nil"/>
              <w:left w:val="single" w:sz="4" w:space="0" w:color="auto"/>
              <w:bottom w:val="nil"/>
              <w:right w:val="nil"/>
            </w:tcBorders>
            <w:shd w:val="clear" w:color="auto" w:fill="auto"/>
            <w:noWrap/>
            <w:vAlign w:val="center"/>
          </w:tcPr>
          <w:p w14:paraId="3872DEB0"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1081</w:t>
            </w:r>
          </w:p>
        </w:tc>
        <w:tc>
          <w:tcPr>
            <w:tcW w:w="621" w:type="dxa"/>
            <w:tcBorders>
              <w:top w:val="nil"/>
              <w:left w:val="nil"/>
              <w:bottom w:val="nil"/>
              <w:right w:val="nil"/>
            </w:tcBorders>
            <w:shd w:val="clear" w:color="auto" w:fill="auto"/>
            <w:noWrap/>
            <w:vAlign w:val="center"/>
          </w:tcPr>
          <w:p w14:paraId="29D5E985"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28.9</w:t>
            </w:r>
          </w:p>
        </w:tc>
        <w:tc>
          <w:tcPr>
            <w:tcW w:w="1096" w:type="dxa"/>
            <w:tcBorders>
              <w:top w:val="nil"/>
              <w:left w:val="nil"/>
              <w:bottom w:val="nil"/>
              <w:right w:val="single" w:sz="4" w:space="0" w:color="000000"/>
            </w:tcBorders>
            <w:shd w:val="clear" w:color="auto" w:fill="auto"/>
            <w:noWrap/>
            <w:vAlign w:val="center"/>
          </w:tcPr>
          <w:p w14:paraId="0E6C5628"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(27.2, 30.5)</w:t>
            </w:r>
          </w:p>
        </w:tc>
        <w:tc>
          <w:tcPr>
            <w:tcW w:w="616" w:type="dxa"/>
            <w:tcBorders>
              <w:top w:val="nil"/>
              <w:left w:val="single" w:sz="4" w:space="0" w:color="000000"/>
              <w:bottom w:val="nil"/>
              <w:right w:val="nil"/>
            </w:tcBorders>
            <w:shd w:val="clear" w:color="auto" w:fill="auto"/>
            <w:vAlign w:val="center"/>
          </w:tcPr>
          <w:p w14:paraId="6D31F0E7"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907</w:t>
            </w:r>
          </w:p>
        </w:tc>
        <w:tc>
          <w:tcPr>
            <w:tcW w:w="567" w:type="dxa"/>
            <w:tcBorders>
              <w:top w:val="nil"/>
              <w:left w:val="nil"/>
              <w:bottom w:val="nil"/>
              <w:right w:val="nil"/>
            </w:tcBorders>
            <w:shd w:val="clear" w:color="auto" w:fill="auto"/>
            <w:vAlign w:val="center"/>
          </w:tcPr>
          <w:p w14:paraId="2FF3CCD9"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29.0</w:t>
            </w:r>
          </w:p>
        </w:tc>
        <w:tc>
          <w:tcPr>
            <w:tcW w:w="1146" w:type="dxa"/>
            <w:tcBorders>
              <w:top w:val="nil"/>
              <w:left w:val="nil"/>
              <w:bottom w:val="nil"/>
              <w:right w:val="single" w:sz="4" w:space="0" w:color="000000"/>
            </w:tcBorders>
            <w:shd w:val="clear" w:color="auto" w:fill="auto"/>
            <w:vAlign w:val="center"/>
          </w:tcPr>
          <w:p w14:paraId="37066F48"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(27.1, 30.9)</w:t>
            </w:r>
          </w:p>
        </w:tc>
        <w:tc>
          <w:tcPr>
            <w:tcW w:w="666" w:type="dxa"/>
            <w:tcBorders>
              <w:top w:val="nil"/>
              <w:left w:val="single" w:sz="4" w:space="0" w:color="000000"/>
              <w:bottom w:val="nil"/>
              <w:right w:val="nil"/>
            </w:tcBorders>
            <w:shd w:val="clear" w:color="auto" w:fill="auto"/>
            <w:vAlign w:val="center"/>
          </w:tcPr>
          <w:p w14:paraId="0CE7FDD1"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883</w:t>
            </w:r>
          </w:p>
        </w:tc>
        <w:tc>
          <w:tcPr>
            <w:tcW w:w="567" w:type="dxa"/>
            <w:tcBorders>
              <w:top w:val="nil"/>
              <w:left w:val="nil"/>
              <w:bottom w:val="nil"/>
              <w:right w:val="nil"/>
            </w:tcBorders>
            <w:shd w:val="clear" w:color="auto" w:fill="auto"/>
            <w:vAlign w:val="center"/>
          </w:tcPr>
          <w:p w14:paraId="3B00FA8A"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31.9</w:t>
            </w:r>
          </w:p>
        </w:tc>
        <w:tc>
          <w:tcPr>
            <w:tcW w:w="1146" w:type="dxa"/>
            <w:tcBorders>
              <w:top w:val="nil"/>
              <w:left w:val="nil"/>
              <w:bottom w:val="nil"/>
              <w:right w:val="nil"/>
            </w:tcBorders>
            <w:shd w:val="clear" w:color="auto" w:fill="auto"/>
            <w:vAlign w:val="center"/>
          </w:tcPr>
          <w:p w14:paraId="2F986224"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(29.6, 34.1)</w:t>
            </w:r>
          </w:p>
        </w:tc>
      </w:tr>
      <w:tr w:rsidR="009118DA" w:rsidRPr="008A7800" w14:paraId="5F292818"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20A21C76" w14:textId="77777777" w:rsidR="001E2F74" w:rsidRPr="008A7800" w:rsidRDefault="001E2F74" w:rsidP="00A31BD8">
            <w:pPr>
              <w:spacing w:before="20" w:after="20"/>
              <w:ind w:left="34"/>
              <w:rPr>
                <w:rFonts w:eastAsiaTheme="minorEastAsia"/>
                <w:b w:val="0"/>
                <w:sz w:val="18"/>
                <w:szCs w:val="18"/>
                <w:lang w:eastAsia="en-US"/>
              </w:rPr>
            </w:pPr>
            <w:r w:rsidRPr="008A7800">
              <w:rPr>
                <w:rFonts w:eastAsiaTheme="minorEastAsia"/>
                <w:b w:val="0"/>
                <w:sz w:val="18"/>
                <w:szCs w:val="18"/>
                <w:lang w:eastAsia="en-US"/>
              </w:rPr>
              <w:t>1</w:t>
            </w:r>
          </w:p>
        </w:tc>
        <w:tc>
          <w:tcPr>
            <w:tcW w:w="666" w:type="dxa"/>
            <w:tcBorders>
              <w:top w:val="nil"/>
              <w:left w:val="nil"/>
              <w:bottom w:val="nil"/>
              <w:right w:val="nil"/>
            </w:tcBorders>
            <w:shd w:val="clear" w:color="auto" w:fill="auto"/>
            <w:noWrap/>
            <w:vAlign w:val="center"/>
          </w:tcPr>
          <w:p w14:paraId="062AAB92"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1645</w:t>
            </w:r>
          </w:p>
        </w:tc>
        <w:tc>
          <w:tcPr>
            <w:tcW w:w="567" w:type="dxa"/>
            <w:tcBorders>
              <w:top w:val="nil"/>
              <w:left w:val="nil"/>
              <w:bottom w:val="nil"/>
              <w:right w:val="nil"/>
            </w:tcBorders>
            <w:shd w:val="clear" w:color="auto" w:fill="auto"/>
            <w:noWrap/>
            <w:vAlign w:val="center"/>
          </w:tcPr>
          <w:p w14:paraId="2E04A534"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26.3</w:t>
            </w:r>
          </w:p>
        </w:tc>
        <w:tc>
          <w:tcPr>
            <w:tcW w:w="1191" w:type="dxa"/>
            <w:tcBorders>
              <w:top w:val="nil"/>
              <w:left w:val="nil"/>
              <w:bottom w:val="nil"/>
              <w:right w:val="single" w:sz="4" w:space="0" w:color="auto"/>
            </w:tcBorders>
            <w:shd w:val="clear" w:color="auto" w:fill="auto"/>
            <w:noWrap/>
            <w:vAlign w:val="center"/>
          </w:tcPr>
          <w:p w14:paraId="03429955"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(25.0, 27.6)</w:t>
            </w:r>
          </w:p>
        </w:tc>
        <w:tc>
          <w:tcPr>
            <w:tcW w:w="666" w:type="dxa"/>
            <w:tcBorders>
              <w:top w:val="nil"/>
              <w:left w:val="single" w:sz="4" w:space="0" w:color="auto"/>
              <w:bottom w:val="nil"/>
              <w:right w:val="nil"/>
            </w:tcBorders>
            <w:shd w:val="clear" w:color="auto" w:fill="auto"/>
            <w:noWrap/>
            <w:vAlign w:val="center"/>
          </w:tcPr>
          <w:p w14:paraId="2D00F266"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1125</w:t>
            </w:r>
          </w:p>
        </w:tc>
        <w:tc>
          <w:tcPr>
            <w:tcW w:w="621" w:type="dxa"/>
            <w:tcBorders>
              <w:top w:val="nil"/>
              <w:left w:val="nil"/>
              <w:bottom w:val="nil"/>
              <w:right w:val="nil"/>
            </w:tcBorders>
            <w:shd w:val="clear" w:color="auto" w:fill="auto"/>
            <w:noWrap/>
            <w:vAlign w:val="center"/>
          </w:tcPr>
          <w:p w14:paraId="18600674"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30.0</w:t>
            </w:r>
          </w:p>
        </w:tc>
        <w:tc>
          <w:tcPr>
            <w:tcW w:w="1096" w:type="dxa"/>
            <w:tcBorders>
              <w:top w:val="nil"/>
              <w:left w:val="nil"/>
              <w:bottom w:val="nil"/>
              <w:right w:val="single" w:sz="4" w:space="0" w:color="000000"/>
            </w:tcBorders>
            <w:shd w:val="clear" w:color="auto" w:fill="auto"/>
            <w:noWrap/>
            <w:vAlign w:val="center"/>
          </w:tcPr>
          <w:p w14:paraId="36E460FD"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(28.2, 31.8)</w:t>
            </w:r>
          </w:p>
        </w:tc>
        <w:tc>
          <w:tcPr>
            <w:tcW w:w="616" w:type="dxa"/>
            <w:tcBorders>
              <w:top w:val="nil"/>
              <w:left w:val="single" w:sz="4" w:space="0" w:color="000000"/>
              <w:bottom w:val="nil"/>
              <w:right w:val="nil"/>
            </w:tcBorders>
            <w:shd w:val="clear" w:color="auto" w:fill="auto"/>
            <w:vAlign w:val="center"/>
          </w:tcPr>
          <w:p w14:paraId="7269A35F"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890</w:t>
            </w:r>
          </w:p>
        </w:tc>
        <w:tc>
          <w:tcPr>
            <w:tcW w:w="567" w:type="dxa"/>
            <w:tcBorders>
              <w:top w:val="nil"/>
              <w:left w:val="nil"/>
              <w:bottom w:val="nil"/>
              <w:right w:val="nil"/>
            </w:tcBorders>
            <w:shd w:val="clear" w:color="auto" w:fill="auto"/>
            <w:vAlign w:val="center"/>
          </w:tcPr>
          <w:p w14:paraId="59AD6F11"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28.5</w:t>
            </w:r>
          </w:p>
        </w:tc>
        <w:tc>
          <w:tcPr>
            <w:tcW w:w="1146" w:type="dxa"/>
            <w:tcBorders>
              <w:top w:val="nil"/>
              <w:left w:val="nil"/>
              <w:bottom w:val="nil"/>
              <w:right w:val="single" w:sz="4" w:space="0" w:color="000000"/>
            </w:tcBorders>
            <w:shd w:val="clear" w:color="auto" w:fill="auto"/>
            <w:vAlign w:val="center"/>
          </w:tcPr>
          <w:p w14:paraId="6D8ACD3E"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(26.6, 30.4)</w:t>
            </w:r>
          </w:p>
        </w:tc>
        <w:tc>
          <w:tcPr>
            <w:tcW w:w="666" w:type="dxa"/>
            <w:tcBorders>
              <w:top w:val="nil"/>
              <w:left w:val="single" w:sz="4" w:space="0" w:color="000000"/>
              <w:bottom w:val="nil"/>
              <w:right w:val="nil"/>
            </w:tcBorders>
            <w:shd w:val="clear" w:color="auto" w:fill="auto"/>
            <w:vAlign w:val="center"/>
          </w:tcPr>
          <w:p w14:paraId="00F0BD36"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804</w:t>
            </w:r>
          </w:p>
        </w:tc>
        <w:tc>
          <w:tcPr>
            <w:tcW w:w="567" w:type="dxa"/>
            <w:tcBorders>
              <w:top w:val="nil"/>
              <w:left w:val="nil"/>
              <w:bottom w:val="nil"/>
              <w:right w:val="nil"/>
            </w:tcBorders>
            <w:shd w:val="clear" w:color="auto" w:fill="auto"/>
            <w:vAlign w:val="center"/>
          </w:tcPr>
          <w:p w14:paraId="2E97737F"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29.0</w:t>
            </w:r>
          </w:p>
        </w:tc>
        <w:tc>
          <w:tcPr>
            <w:tcW w:w="1146" w:type="dxa"/>
            <w:tcBorders>
              <w:top w:val="nil"/>
              <w:left w:val="nil"/>
              <w:bottom w:val="nil"/>
              <w:right w:val="nil"/>
            </w:tcBorders>
            <w:shd w:val="clear" w:color="auto" w:fill="auto"/>
            <w:vAlign w:val="center"/>
          </w:tcPr>
          <w:p w14:paraId="03368F6E"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(27.0, 31.1)</w:t>
            </w:r>
          </w:p>
        </w:tc>
      </w:tr>
      <w:tr w:rsidR="009118DA" w:rsidRPr="008A7800" w14:paraId="424FDACD"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48F3FA99" w14:textId="77777777" w:rsidR="001E2F74" w:rsidRPr="008A7800" w:rsidRDefault="001E2F74" w:rsidP="00A31BD8">
            <w:pPr>
              <w:spacing w:before="20" w:after="20"/>
              <w:ind w:left="34"/>
              <w:rPr>
                <w:rFonts w:eastAsiaTheme="minorEastAsia"/>
                <w:b w:val="0"/>
                <w:sz w:val="18"/>
                <w:szCs w:val="18"/>
                <w:lang w:eastAsia="en-US"/>
              </w:rPr>
            </w:pPr>
            <w:r w:rsidRPr="008A7800">
              <w:rPr>
                <w:rFonts w:eastAsiaTheme="minorEastAsia"/>
                <w:b w:val="0"/>
                <w:sz w:val="18"/>
                <w:szCs w:val="18"/>
                <w:lang w:eastAsia="en-US"/>
              </w:rPr>
              <w:t>2</w:t>
            </w:r>
          </w:p>
        </w:tc>
        <w:tc>
          <w:tcPr>
            <w:tcW w:w="666" w:type="dxa"/>
            <w:tcBorders>
              <w:top w:val="nil"/>
              <w:left w:val="nil"/>
              <w:bottom w:val="nil"/>
              <w:right w:val="nil"/>
            </w:tcBorders>
            <w:shd w:val="clear" w:color="auto" w:fill="auto"/>
            <w:noWrap/>
            <w:vAlign w:val="center"/>
          </w:tcPr>
          <w:p w14:paraId="52E19885"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1151</w:t>
            </w:r>
          </w:p>
        </w:tc>
        <w:tc>
          <w:tcPr>
            <w:tcW w:w="567" w:type="dxa"/>
            <w:tcBorders>
              <w:top w:val="nil"/>
              <w:left w:val="nil"/>
              <w:bottom w:val="nil"/>
              <w:right w:val="nil"/>
            </w:tcBorders>
            <w:shd w:val="clear" w:color="auto" w:fill="auto"/>
            <w:noWrap/>
            <w:vAlign w:val="center"/>
          </w:tcPr>
          <w:p w14:paraId="33A51776"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18.4</w:t>
            </w:r>
          </w:p>
        </w:tc>
        <w:tc>
          <w:tcPr>
            <w:tcW w:w="1191" w:type="dxa"/>
            <w:tcBorders>
              <w:top w:val="nil"/>
              <w:left w:val="nil"/>
              <w:bottom w:val="nil"/>
              <w:right w:val="single" w:sz="4" w:space="0" w:color="auto"/>
            </w:tcBorders>
            <w:shd w:val="clear" w:color="auto" w:fill="auto"/>
            <w:noWrap/>
            <w:vAlign w:val="center"/>
          </w:tcPr>
          <w:p w14:paraId="5F81C7FB"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(17.3, 19.6)</w:t>
            </w:r>
          </w:p>
        </w:tc>
        <w:tc>
          <w:tcPr>
            <w:tcW w:w="666" w:type="dxa"/>
            <w:tcBorders>
              <w:top w:val="nil"/>
              <w:left w:val="single" w:sz="4" w:space="0" w:color="auto"/>
              <w:bottom w:val="nil"/>
              <w:right w:val="nil"/>
            </w:tcBorders>
            <w:shd w:val="clear" w:color="auto" w:fill="auto"/>
            <w:noWrap/>
            <w:vAlign w:val="center"/>
          </w:tcPr>
          <w:p w14:paraId="10E1D848"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701</w:t>
            </w:r>
          </w:p>
        </w:tc>
        <w:tc>
          <w:tcPr>
            <w:tcW w:w="621" w:type="dxa"/>
            <w:tcBorders>
              <w:top w:val="nil"/>
              <w:left w:val="nil"/>
              <w:bottom w:val="nil"/>
              <w:right w:val="nil"/>
            </w:tcBorders>
            <w:shd w:val="clear" w:color="auto" w:fill="auto"/>
            <w:noWrap/>
            <w:vAlign w:val="center"/>
          </w:tcPr>
          <w:p w14:paraId="4332EB71"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18.7</w:t>
            </w:r>
          </w:p>
        </w:tc>
        <w:tc>
          <w:tcPr>
            <w:tcW w:w="1096" w:type="dxa"/>
            <w:tcBorders>
              <w:top w:val="nil"/>
              <w:left w:val="nil"/>
              <w:bottom w:val="nil"/>
              <w:right w:val="single" w:sz="4" w:space="0" w:color="000000"/>
            </w:tcBorders>
            <w:shd w:val="clear" w:color="auto" w:fill="auto"/>
            <w:noWrap/>
            <w:vAlign w:val="center"/>
          </w:tcPr>
          <w:p w14:paraId="137F2B1D"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(17.2, 20.2)</w:t>
            </w:r>
          </w:p>
        </w:tc>
        <w:tc>
          <w:tcPr>
            <w:tcW w:w="616" w:type="dxa"/>
            <w:tcBorders>
              <w:top w:val="nil"/>
              <w:left w:val="single" w:sz="4" w:space="0" w:color="000000"/>
              <w:bottom w:val="nil"/>
              <w:right w:val="nil"/>
            </w:tcBorders>
            <w:shd w:val="clear" w:color="auto" w:fill="auto"/>
            <w:vAlign w:val="center"/>
          </w:tcPr>
          <w:p w14:paraId="10A5C1F1"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618</w:t>
            </w:r>
          </w:p>
        </w:tc>
        <w:tc>
          <w:tcPr>
            <w:tcW w:w="567" w:type="dxa"/>
            <w:tcBorders>
              <w:top w:val="nil"/>
              <w:left w:val="nil"/>
              <w:bottom w:val="nil"/>
              <w:right w:val="nil"/>
            </w:tcBorders>
            <w:shd w:val="clear" w:color="auto" w:fill="auto"/>
            <w:vAlign w:val="center"/>
          </w:tcPr>
          <w:p w14:paraId="420DFC30"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19.8</w:t>
            </w:r>
          </w:p>
        </w:tc>
        <w:tc>
          <w:tcPr>
            <w:tcW w:w="1146" w:type="dxa"/>
            <w:tcBorders>
              <w:top w:val="nil"/>
              <w:left w:val="nil"/>
              <w:bottom w:val="nil"/>
              <w:right w:val="single" w:sz="4" w:space="0" w:color="000000"/>
            </w:tcBorders>
            <w:shd w:val="clear" w:color="auto" w:fill="auto"/>
            <w:vAlign w:val="center"/>
          </w:tcPr>
          <w:p w14:paraId="2D909BC6"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(18.0, 21.6)</w:t>
            </w:r>
          </w:p>
        </w:tc>
        <w:tc>
          <w:tcPr>
            <w:tcW w:w="666" w:type="dxa"/>
            <w:tcBorders>
              <w:top w:val="nil"/>
              <w:left w:val="single" w:sz="4" w:space="0" w:color="000000"/>
              <w:bottom w:val="nil"/>
              <w:right w:val="nil"/>
            </w:tcBorders>
            <w:shd w:val="clear" w:color="auto" w:fill="auto"/>
            <w:vAlign w:val="center"/>
          </w:tcPr>
          <w:p w14:paraId="1FB4C8B5"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510</w:t>
            </w:r>
          </w:p>
        </w:tc>
        <w:tc>
          <w:tcPr>
            <w:tcW w:w="567" w:type="dxa"/>
            <w:tcBorders>
              <w:top w:val="nil"/>
              <w:left w:val="nil"/>
              <w:bottom w:val="nil"/>
              <w:right w:val="nil"/>
            </w:tcBorders>
            <w:shd w:val="clear" w:color="auto" w:fill="auto"/>
            <w:vAlign w:val="center"/>
          </w:tcPr>
          <w:p w14:paraId="7584900F"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18.4</w:t>
            </w:r>
          </w:p>
        </w:tc>
        <w:tc>
          <w:tcPr>
            <w:tcW w:w="1146" w:type="dxa"/>
            <w:tcBorders>
              <w:top w:val="nil"/>
              <w:left w:val="nil"/>
              <w:bottom w:val="nil"/>
              <w:right w:val="nil"/>
            </w:tcBorders>
            <w:shd w:val="clear" w:color="auto" w:fill="auto"/>
            <w:vAlign w:val="center"/>
          </w:tcPr>
          <w:p w14:paraId="79977426"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(16.6, 20.2)</w:t>
            </w:r>
          </w:p>
        </w:tc>
      </w:tr>
      <w:tr w:rsidR="009118DA" w:rsidRPr="008A7800" w14:paraId="377F11FB"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0C89D433" w14:textId="77777777" w:rsidR="001E2F74" w:rsidRPr="008A7800" w:rsidRDefault="001E2F74" w:rsidP="00A31BD8">
            <w:pPr>
              <w:spacing w:before="20" w:after="20"/>
              <w:ind w:left="34"/>
              <w:rPr>
                <w:rFonts w:eastAsiaTheme="minorEastAsia"/>
                <w:b w:val="0"/>
                <w:sz w:val="18"/>
                <w:szCs w:val="18"/>
                <w:lang w:eastAsia="en-US"/>
              </w:rPr>
            </w:pPr>
            <w:r w:rsidRPr="008A7800">
              <w:rPr>
                <w:rFonts w:eastAsiaTheme="minorEastAsia"/>
                <w:b w:val="0"/>
                <w:sz w:val="18"/>
                <w:szCs w:val="18"/>
                <w:lang w:eastAsia="en-US"/>
              </w:rPr>
              <w:t>3</w:t>
            </w:r>
          </w:p>
        </w:tc>
        <w:tc>
          <w:tcPr>
            <w:tcW w:w="666" w:type="dxa"/>
            <w:tcBorders>
              <w:top w:val="nil"/>
              <w:left w:val="nil"/>
              <w:bottom w:val="nil"/>
              <w:right w:val="nil"/>
            </w:tcBorders>
            <w:shd w:val="clear" w:color="auto" w:fill="auto"/>
            <w:noWrap/>
            <w:vAlign w:val="center"/>
          </w:tcPr>
          <w:p w14:paraId="1E9E6752"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727</w:t>
            </w:r>
          </w:p>
        </w:tc>
        <w:tc>
          <w:tcPr>
            <w:tcW w:w="567" w:type="dxa"/>
            <w:tcBorders>
              <w:top w:val="nil"/>
              <w:left w:val="nil"/>
              <w:bottom w:val="nil"/>
              <w:right w:val="nil"/>
            </w:tcBorders>
            <w:shd w:val="clear" w:color="auto" w:fill="auto"/>
            <w:noWrap/>
            <w:vAlign w:val="center"/>
          </w:tcPr>
          <w:p w14:paraId="3DEE7082"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11.6</w:t>
            </w:r>
          </w:p>
        </w:tc>
        <w:tc>
          <w:tcPr>
            <w:tcW w:w="1191" w:type="dxa"/>
            <w:tcBorders>
              <w:top w:val="nil"/>
              <w:left w:val="nil"/>
              <w:bottom w:val="nil"/>
              <w:right w:val="single" w:sz="4" w:space="0" w:color="auto"/>
            </w:tcBorders>
            <w:shd w:val="clear" w:color="auto" w:fill="auto"/>
            <w:noWrap/>
            <w:vAlign w:val="center"/>
          </w:tcPr>
          <w:p w14:paraId="7F5EFC25"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(10.7, 12.6)</w:t>
            </w:r>
          </w:p>
        </w:tc>
        <w:tc>
          <w:tcPr>
            <w:tcW w:w="666" w:type="dxa"/>
            <w:tcBorders>
              <w:top w:val="nil"/>
              <w:left w:val="single" w:sz="4" w:space="0" w:color="auto"/>
              <w:bottom w:val="nil"/>
              <w:right w:val="nil"/>
            </w:tcBorders>
            <w:shd w:val="clear" w:color="auto" w:fill="auto"/>
            <w:noWrap/>
            <w:vAlign w:val="center"/>
          </w:tcPr>
          <w:p w14:paraId="79FC1E3C"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433</w:t>
            </w:r>
          </w:p>
        </w:tc>
        <w:tc>
          <w:tcPr>
            <w:tcW w:w="621" w:type="dxa"/>
            <w:tcBorders>
              <w:top w:val="nil"/>
              <w:left w:val="nil"/>
              <w:bottom w:val="nil"/>
              <w:right w:val="nil"/>
            </w:tcBorders>
            <w:shd w:val="clear" w:color="auto" w:fill="auto"/>
            <w:noWrap/>
            <w:vAlign w:val="center"/>
          </w:tcPr>
          <w:p w14:paraId="5820DB4E"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11.6</w:t>
            </w:r>
          </w:p>
        </w:tc>
        <w:tc>
          <w:tcPr>
            <w:tcW w:w="1096" w:type="dxa"/>
            <w:tcBorders>
              <w:top w:val="nil"/>
              <w:left w:val="nil"/>
              <w:bottom w:val="nil"/>
              <w:right w:val="single" w:sz="4" w:space="0" w:color="000000"/>
            </w:tcBorders>
            <w:shd w:val="clear" w:color="auto" w:fill="auto"/>
            <w:noWrap/>
            <w:vAlign w:val="center"/>
          </w:tcPr>
          <w:p w14:paraId="7F8A34BF"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(10.3, 12.8)</w:t>
            </w:r>
          </w:p>
        </w:tc>
        <w:tc>
          <w:tcPr>
            <w:tcW w:w="616" w:type="dxa"/>
            <w:tcBorders>
              <w:top w:val="nil"/>
              <w:left w:val="single" w:sz="4" w:space="0" w:color="000000"/>
              <w:bottom w:val="nil"/>
              <w:right w:val="nil"/>
            </w:tcBorders>
            <w:shd w:val="clear" w:color="auto" w:fill="auto"/>
            <w:vAlign w:val="center"/>
          </w:tcPr>
          <w:p w14:paraId="7416756D"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405</w:t>
            </w:r>
          </w:p>
        </w:tc>
        <w:tc>
          <w:tcPr>
            <w:tcW w:w="567" w:type="dxa"/>
            <w:tcBorders>
              <w:top w:val="nil"/>
              <w:left w:val="nil"/>
              <w:bottom w:val="nil"/>
              <w:right w:val="nil"/>
            </w:tcBorders>
            <w:shd w:val="clear" w:color="auto" w:fill="auto"/>
            <w:vAlign w:val="center"/>
          </w:tcPr>
          <w:p w14:paraId="1CA3C21F"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13.0</w:t>
            </w:r>
          </w:p>
        </w:tc>
        <w:tc>
          <w:tcPr>
            <w:tcW w:w="1146" w:type="dxa"/>
            <w:tcBorders>
              <w:top w:val="nil"/>
              <w:left w:val="nil"/>
              <w:bottom w:val="nil"/>
              <w:right w:val="single" w:sz="4" w:space="0" w:color="000000"/>
            </w:tcBorders>
            <w:shd w:val="clear" w:color="auto" w:fill="auto"/>
            <w:vAlign w:val="center"/>
          </w:tcPr>
          <w:p w14:paraId="515AEBEA"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(11.5, 14.5)</w:t>
            </w:r>
          </w:p>
        </w:tc>
        <w:tc>
          <w:tcPr>
            <w:tcW w:w="666" w:type="dxa"/>
            <w:tcBorders>
              <w:top w:val="nil"/>
              <w:left w:val="single" w:sz="4" w:space="0" w:color="000000"/>
              <w:bottom w:val="nil"/>
              <w:right w:val="nil"/>
            </w:tcBorders>
            <w:shd w:val="clear" w:color="auto" w:fill="auto"/>
            <w:vAlign w:val="center"/>
          </w:tcPr>
          <w:p w14:paraId="281942E1"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304</w:t>
            </w:r>
          </w:p>
        </w:tc>
        <w:tc>
          <w:tcPr>
            <w:tcW w:w="567" w:type="dxa"/>
            <w:tcBorders>
              <w:top w:val="nil"/>
              <w:left w:val="nil"/>
              <w:bottom w:val="nil"/>
              <w:right w:val="nil"/>
            </w:tcBorders>
            <w:shd w:val="clear" w:color="auto" w:fill="auto"/>
            <w:vAlign w:val="center"/>
          </w:tcPr>
          <w:p w14:paraId="6C278787"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11.0</w:t>
            </w:r>
          </w:p>
        </w:tc>
        <w:tc>
          <w:tcPr>
            <w:tcW w:w="1146" w:type="dxa"/>
            <w:tcBorders>
              <w:top w:val="nil"/>
              <w:left w:val="nil"/>
              <w:bottom w:val="nil"/>
              <w:right w:val="nil"/>
            </w:tcBorders>
            <w:shd w:val="clear" w:color="auto" w:fill="auto"/>
            <w:vAlign w:val="center"/>
          </w:tcPr>
          <w:p w14:paraId="4387456C"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(9.6, 12.4)</w:t>
            </w:r>
          </w:p>
        </w:tc>
      </w:tr>
      <w:tr w:rsidR="009118DA" w:rsidRPr="008A7800" w14:paraId="00970B58"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20E1AA8B" w14:textId="77777777" w:rsidR="001E2F74" w:rsidRPr="008A7800" w:rsidRDefault="001E2F74" w:rsidP="00A31BD8">
            <w:pPr>
              <w:spacing w:before="20" w:after="20"/>
              <w:ind w:left="34"/>
              <w:rPr>
                <w:rFonts w:eastAsiaTheme="minorEastAsia"/>
                <w:b w:val="0"/>
                <w:sz w:val="18"/>
                <w:szCs w:val="18"/>
                <w:lang w:eastAsia="en-US"/>
              </w:rPr>
            </w:pPr>
            <w:r w:rsidRPr="008A7800">
              <w:rPr>
                <w:rFonts w:eastAsiaTheme="minorEastAsia"/>
                <w:b w:val="0"/>
                <w:sz w:val="18"/>
                <w:szCs w:val="18"/>
                <w:lang w:eastAsia="en-US"/>
              </w:rPr>
              <w:t>4</w:t>
            </w:r>
          </w:p>
        </w:tc>
        <w:tc>
          <w:tcPr>
            <w:tcW w:w="666" w:type="dxa"/>
            <w:tcBorders>
              <w:top w:val="nil"/>
              <w:left w:val="nil"/>
              <w:bottom w:val="nil"/>
              <w:right w:val="nil"/>
            </w:tcBorders>
            <w:shd w:val="clear" w:color="auto" w:fill="auto"/>
            <w:noWrap/>
            <w:vAlign w:val="center"/>
          </w:tcPr>
          <w:p w14:paraId="0C58609B"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479</w:t>
            </w:r>
          </w:p>
        </w:tc>
        <w:tc>
          <w:tcPr>
            <w:tcW w:w="567" w:type="dxa"/>
            <w:tcBorders>
              <w:top w:val="nil"/>
              <w:left w:val="nil"/>
              <w:bottom w:val="nil"/>
              <w:right w:val="nil"/>
            </w:tcBorders>
            <w:shd w:val="clear" w:color="auto" w:fill="auto"/>
            <w:noWrap/>
            <w:vAlign w:val="center"/>
          </w:tcPr>
          <w:p w14:paraId="357EC013"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7.7</w:t>
            </w:r>
          </w:p>
        </w:tc>
        <w:tc>
          <w:tcPr>
            <w:tcW w:w="1191" w:type="dxa"/>
            <w:tcBorders>
              <w:top w:val="nil"/>
              <w:left w:val="nil"/>
              <w:bottom w:val="nil"/>
              <w:right w:val="single" w:sz="4" w:space="0" w:color="auto"/>
            </w:tcBorders>
            <w:shd w:val="clear" w:color="auto" w:fill="auto"/>
            <w:noWrap/>
            <w:vAlign w:val="center"/>
          </w:tcPr>
          <w:p w14:paraId="5A9B615B"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(6.8, 8.5)</w:t>
            </w:r>
          </w:p>
        </w:tc>
        <w:tc>
          <w:tcPr>
            <w:tcW w:w="666" w:type="dxa"/>
            <w:tcBorders>
              <w:top w:val="nil"/>
              <w:left w:val="single" w:sz="4" w:space="0" w:color="auto"/>
              <w:bottom w:val="nil"/>
              <w:right w:val="nil"/>
            </w:tcBorders>
            <w:shd w:val="clear" w:color="auto" w:fill="auto"/>
            <w:noWrap/>
            <w:vAlign w:val="center"/>
          </w:tcPr>
          <w:p w14:paraId="15F2D2B4"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215</w:t>
            </w:r>
          </w:p>
        </w:tc>
        <w:tc>
          <w:tcPr>
            <w:tcW w:w="621" w:type="dxa"/>
            <w:tcBorders>
              <w:top w:val="nil"/>
              <w:left w:val="nil"/>
              <w:bottom w:val="nil"/>
              <w:right w:val="nil"/>
            </w:tcBorders>
            <w:shd w:val="clear" w:color="auto" w:fill="auto"/>
            <w:noWrap/>
            <w:vAlign w:val="center"/>
          </w:tcPr>
          <w:p w14:paraId="1F89F36C"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5.7</w:t>
            </w:r>
          </w:p>
        </w:tc>
        <w:tc>
          <w:tcPr>
            <w:tcW w:w="1096" w:type="dxa"/>
            <w:tcBorders>
              <w:top w:val="nil"/>
              <w:left w:val="nil"/>
              <w:bottom w:val="nil"/>
              <w:right w:val="single" w:sz="4" w:space="0" w:color="000000"/>
            </w:tcBorders>
            <w:shd w:val="clear" w:color="auto" w:fill="auto"/>
            <w:noWrap/>
            <w:vAlign w:val="center"/>
          </w:tcPr>
          <w:p w14:paraId="0A4C3A46"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(4.8, 6.6)</w:t>
            </w:r>
          </w:p>
        </w:tc>
        <w:tc>
          <w:tcPr>
            <w:tcW w:w="616" w:type="dxa"/>
            <w:tcBorders>
              <w:top w:val="nil"/>
              <w:left w:val="single" w:sz="4" w:space="0" w:color="000000"/>
              <w:bottom w:val="nil"/>
              <w:right w:val="nil"/>
            </w:tcBorders>
            <w:shd w:val="clear" w:color="auto" w:fill="auto"/>
            <w:vAlign w:val="center"/>
          </w:tcPr>
          <w:p w14:paraId="29644036"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138</w:t>
            </w:r>
          </w:p>
        </w:tc>
        <w:tc>
          <w:tcPr>
            <w:tcW w:w="567" w:type="dxa"/>
            <w:tcBorders>
              <w:top w:val="nil"/>
              <w:left w:val="nil"/>
              <w:bottom w:val="nil"/>
              <w:right w:val="nil"/>
            </w:tcBorders>
            <w:shd w:val="clear" w:color="auto" w:fill="auto"/>
            <w:vAlign w:val="center"/>
          </w:tcPr>
          <w:p w14:paraId="0600149D"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4.4</w:t>
            </w:r>
          </w:p>
        </w:tc>
        <w:tc>
          <w:tcPr>
            <w:tcW w:w="1146" w:type="dxa"/>
            <w:tcBorders>
              <w:top w:val="nil"/>
              <w:left w:val="nil"/>
              <w:bottom w:val="nil"/>
              <w:right w:val="single" w:sz="4" w:space="0" w:color="000000"/>
            </w:tcBorders>
            <w:shd w:val="clear" w:color="auto" w:fill="auto"/>
            <w:vAlign w:val="center"/>
          </w:tcPr>
          <w:p w14:paraId="4C2378F7"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(3.6, 5.2)</w:t>
            </w:r>
          </w:p>
        </w:tc>
        <w:tc>
          <w:tcPr>
            <w:tcW w:w="666" w:type="dxa"/>
            <w:tcBorders>
              <w:top w:val="nil"/>
              <w:left w:val="single" w:sz="4" w:space="0" w:color="000000"/>
              <w:bottom w:val="nil"/>
              <w:right w:val="nil"/>
            </w:tcBorders>
            <w:shd w:val="clear" w:color="auto" w:fill="auto"/>
            <w:vAlign w:val="center"/>
          </w:tcPr>
          <w:p w14:paraId="07E482D6"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147</w:t>
            </w:r>
          </w:p>
        </w:tc>
        <w:tc>
          <w:tcPr>
            <w:tcW w:w="567" w:type="dxa"/>
            <w:tcBorders>
              <w:top w:val="nil"/>
              <w:left w:val="nil"/>
              <w:bottom w:val="nil"/>
              <w:right w:val="nil"/>
            </w:tcBorders>
            <w:shd w:val="clear" w:color="auto" w:fill="auto"/>
            <w:vAlign w:val="center"/>
          </w:tcPr>
          <w:p w14:paraId="647BFCD1"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5.3</w:t>
            </w:r>
          </w:p>
        </w:tc>
        <w:tc>
          <w:tcPr>
            <w:tcW w:w="1146" w:type="dxa"/>
            <w:tcBorders>
              <w:top w:val="nil"/>
              <w:left w:val="nil"/>
              <w:bottom w:val="nil"/>
              <w:right w:val="nil"/>
            </w:tcBorders>
            <w:shd w:val="clear" w:color="auto" w:fill="auto"/>
            <w:vAlign w:val="center"/>
          </w:tcPr>
          <w:p w14:paraId="039EDD28"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(4.3, 6.4)</w:t>
            </w:r>
          </w:p>
        </w:tc>
      </w:tr>
      <w:tr w:rsidR="009118DA" w:rsidRPr="008A7800" w14:paraId="12158286"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3D9AF135" w14:textId="77777777" w:rsidR="001E2F74" w:rsidRPr="008A7800" w:rsidRDefault="001E2F74" w:rsidP="00A31BD8">
            <w:pPr>
              <w:spacing w:before="20" w:after="20"/>
              <w:ind w:left="34"/>
              <w:rPr>
                <w:rFonts w:eastAsiaTheme="minorEastAsia"/>
                <w:b w:val="0"/>
                <w:sz w:val="18"/>
                <w:szCs w:val="18"/>
                <w:lang w:eastAsia="en-US"/>
              </w:rPr>
            </w:pPr>
            <w:r w:rsidRPr="008A7800">
              <w:rPr>
                <w:rFonts w:eastAsiaTheme="minorEastAsia"/>
                <w:b w:val="0"/>
                <w:sz w:val="18"/>
                <w:szCs w:val="18"/>
                <w:lang w:eastAsia="en-US"/>
              </w:rPr>
              <w:t>5+</w:t>
            </w:r>
          </w:p>
        </w:tc>
        <w:tc>
          <w:tcPr>
            <w:tcW w:w="666" w:type="dxa"/>
            <w:tcBorders>
              <w:top w:val="nil"/>
              <w:left w:val="nil"/>
              <w:bottom w:val="nil"/>
              <w:right w:val="nil"/>
            </w:tcBorders>
            <w:shd w:val="clear" w:color="auto" w:fill="auto"/>
            <w:noWrap/>
            <w:vAlign w:val="center"/>
          </w:tcPr>
          <w:p w14:paraId="7C24479B"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536</w:t>
            </w:r>
          </w:p>
        </w:tc>
        <w:tc>
          <w:tcPr>
            <w:tcW w:w="567" w:type="dxa"/>
            <w:tcBorders>
              <w:top w:val="nil"/>
              <w:left w:val="nil"/>
              <w:bottom w:val="nil"/>
              <w:right w:val="nil"/>
            </w:tcBorders>
            <w:shd w:val="clear" w:color="auto" w:fill="auto"/>
            <w:noWrap/>
            <w:vAlign w:val="center"/>
          </w:tcPr>
          <w:p w14:paraId="16DC0A4F"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8.6</w:t>
            </w:r>
          </w:p>
        </w:tc>
        <w:tc>
          <w:tcPr>
            <w:tcW w:w="1191" w:type="dxa"/>
            <w:tcBorders>
              <w:top w:val="nil"/>
              <w:left w:val="nil"/>
              <w:bottom w:val="nil"/>
              <w:right w:val="single" w:sz="4" w:space="0" w:color="auto"/>
            </w:tcBorders>
            <w:shd w:val="clear" w:color="auto" w:fill="auto"/>
            <w:noWrap/>
            <w:vAlign w:val="center"/>
          </w:tcPr>
          <w:p w14:paraId="12843C10"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(7.7, 9.4)</w:t>
            </w:r>
          </w:p>
        </w:tc>
        <w:tc>
          <w:tcPr>
            <w:tcW w:w="666" w:type="dxa"/>
            <w:tcBorders>
              <w:top w:val="nil"/>
              <w:left w:val="single" w:sz="4" w:space="0" w:color="auto"/>
              <w:bottom w:val="nil"/>
              <w:right w:val="nil"/>
            </w:tcBorders>
            <w:shd w:val="clear" w:color="auto" w:fill="auto"/>
            <w:noWrap/>
            <w:vAlign w:val="center"/>
          </w:tcPr>
          <w:p w14:paraId="7600F099"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190</w:t>
            </w:r>
          </w:p>
        </w:tc>
        <w:tc>
          <w:tcPr>
            <w:tcW w:w="621" w:type="dxa"/>
            <w:tcBorders>
              <w:top w:val="nil"/>
              <w:left w:val="nil"/>
              <w:bottom w:val="nil"/>
              <w:right w:val="nil"/>
            </w:tcBorders>
            <w:shd w:val="clear" w:color="auto" w:fill="auto"/>
            <w:noWrap/>
            <w:vAlign w:val="center"/>
          </w:tcPr>
          <w:p w14:paraId="1D1B2607"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5.1</w:t>
            </w:r>
          </w:p>
        </w:tc>
        <w:tc>
          <w:tcPr>
            <w:tcW w:w="1096" w:type="dxa"/>
            <w:tcBorders>
              <w:top w:val="nil"/>
              <w:left w:val="nil"/>
              <w:bottom w:val="nil"/>
              <w:right w:val="single" w:sz="4" w:space="0" w:color="000000"/>
            </w:tcBorders>
            <w:shd w:val="clear" w:color="auto" w:fill="auto"/>
            <w:noWrap/>
            <w:vAlign w:val="center"/>
          </w:tcPr>
          <w:p w14:paraId="358EAB8B"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(4.2, 5.9)</w:t>
            </w:r>
          </w:p>
        </w:tc>
        <w:tc>
          <w:tcPr>
            <w:tcW w:w="616" w:type="dxa"/>
            <w:tcBorders>
              <w:top w:val="nil"/>
              <w:left w:val="single" w:sz="4" w:space="0" w:color="000000"/>
              <w:bottom w:val="nil"/>
              <w:right w:val="nil"/>
            </w:tcBorders>
            <w:shd w:val="clear" w:color="auto" w:fill="auto"/>
            <w:vAlign w:val="center"/>
          </w:tcPr>
          <w:p w14:paraId="3D57B489"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164</w:t>
            </w:r>
          </w:p>
        </w:tc>
        <w:tc>
          <w:tcPr>
            <w:tcW w:w="567" w:type="dxa"/>
            <w:tcBorders>
              <w:top w:val="nil"/>
              <w:left w:val="nil"/>
              <w:bottom w:val="nil"/>
              <w:right w:val="nil"/>
            </w:tcBorders>
            <w:shd w:val="clear" w:color="auto" w:fill="auto"/>
            <w:vAlign w:val="center"/>
          </w:tcPr>
          <w:p w14:paraId="68B5B8B8"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5.2</w:t>
            </w:r>
          </w:p>
        </w:tc>
        <w:tc>
          <w:tcPr>
            <w:tcW w:w="1146" w:type="dxa"/>
            <w:tcBorders>
              <w:top w:val="nil"/>
              <w:left w:val="nil"/>
              <w:bottom w:val="nil"/>
              <w:right w:val="single" w:sz="4" w:space="0" w:color="000000"/>
            </w:tcBorders>
            <w:shd w:val="clear" w:color="auto" w:fill="auto"/>
            <w:vAlign w:val="center"/>
          </w:tcPr>
          <w:p w14:paraId="1E7C5997"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(4.1, 6.4)</w:t>
            </w:r>
          </w:p>
        </w:tc>
        <w:tc>
          <w:tcPr>
            <w:tcW w:w="666" w:type="dxa"/>
            <w:tcBorders>
              <w:top w:val="nil"/>
              <w:left w:val="single" w:sz="4" w:space="0" w:color="000000"/>
              <w:bottom w:val="nil"/>
              <w:right w:val="nil"/>
            </w:tcBorders>
            <w:shd w:val="clear" w:color="auto" w:fill="auto"/>
            <w:vAlign w:val="center"/>
          </w:tcPr>
          <w:p w14:paraId="2385BB2B"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122</w:t>
            </w:r>
          </w:p>
        </w:tc>
        <w:tc>
          <w:tcPr>
            <w:tcW w:w="567" w:type="dxa"/>
            <w:tcBorders>
              <w:top w:val="nil"/>
              <w:left w:val="nil"/>
              <w:bottom w:val="nil"/>
              <w:right w:val="nil"/>
            </w:tcBorders>
            <w:shd w:val="clear" w:color="auto" w:fill="auto"/>
            <w:vAlign w:val="center"/>
          </w:tcPr>
          <w:p w14:paraId="5C6A14C5"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4.4</w:t>
            </w:r>
          </w:p>
        </w:tc>
        <w:tc>
          <w:tcPr>
            <w:tcW w:w="1146" w:type="dxa"/>
            <w:tcBorders>
              <w:top w:val="nil"/>
              <w:left w:val="nil"/>
              <w:bottom w:val="nil"/>
              <w:right w:val="nil"/>
            </w:tcBorders>
            <w:shd w:val="clear" w:color="auto" w:fill="auto"/>
            <w:vAlign w:val="center"/>
          </w:tcPr>
          <w:p w14:paraId="6CABB396"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(3.2, 5.6)</w:t>
            </w:r>
          </w:p>
        </w:tc>
      </w:tr>
      <w:tr w:rsidR="009118DA" w:rsidRPr="008A7800" w14:paraId="16623395"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5E3CFA10" w14:textId="77777777" w:rsidR="001E2F74" w:rsidRPr="008A7800" w:rsidRDefault="001E2F74" w:rsidP="00A31BD8">
            <w:pPr>
              <w:spacing w:before="20" w:after="60"/>
              <w:ind w:left="34"/>
              <w:rPr>
                <w:rFonts w:eastAsiaTheme="minorEastAsia"/>
                <w:b w:val="0"/>
                <w:sz w:val="18"/>
                <w:szCs w:val="18"/>
                <w:lang w:eastAsia="en-US"/>
              </w:rPr>
            </w:pPr>
            <w:r w:rsidRPr="008A7800">
              <w:rPr>
                <w:rFonts w:eastAsiaTheme="minorEastAsia"/>
                <w:b w:val="0"/>
                <w:sz w:val="18"/>
                <w:szCs w:val="18"/>
                <w:lang w:eastAsia="en-US"/>
              </w:rPr>
              <w:t>Missing</w:t>
            </w:r>
          </w:p>
        </w:tc>
        <w:tc>
          <w:tcPr>
            <w:tcW w:w="666" w:type="dxa"/>
            <w:tcBorders>
              <w:top w:val="nil"/>
              <w:left w:val="nil"/>
              <w:bottom w:val="nil"/>
              <w:right w:val="nil"/>
            </w:tcBorders>
            <w:shd w:val="clear" w:color="auto" w:fill="auto"/>
            <w:noWrap/>
            <w:vAlign w:val="center"/>
          </w:tcPr>
          <w:p w14:paraId="6452182B"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w:t>
            </w:r>
          </w:p>
        </w:tc>
        <w:tc>
          <w:tcPr>
            <w:tcW w:w="567" w:type="dxa"/>
            <w:tcBorders>
              <w:top w:val="nil"/>
              <w:left w:val="nil"/>
              <w:bottom w:val="nil"/>
              <w:right w:val="nil"/>
            </w:tcBorders>
            <w:shd w:val="clear" w:color="auto" w:fill="auto"/>
            <w:noWrap/>
            <w:vAlign w:val="center"/>
          </w:tcPr>
          <w:p w14:paraId="3C761A17"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t>
            </w:r>
          </w:p>
        </w:tc>
        <w:tc>
          <w:tcPr>
            <w:tcW w:w="1191" w:type="dxa"/>
            <w:tcBorders>
              <w:top w:val="nil"/>
              <w:left w:val="nil"/>
              <w:bottom w:val="nil"/>
              <w:right w:val="single" w:sz="4" w:space="0" w:color="auto"/>
            </w:tcBorders>
            <w:shd w:val="clear" w:color="auto" w:fill="auto"/>
            <w:noWrap/>
            <w:vAlign w:val="center"/>
          </w:tcPr>
          <w:p w14:paraId="19D3B07C"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66" w:type="dxa"/>
            <w:tcBorders>
              <w:top w:val="nil"/>
              <w:left w:val="single" w:sz="4" w:space="0" w:color="auto"/>
              <w:bottom w:val="nil"/>
              <w:right w:val="nil"/>
            </w:tcBorders>
            <w:shd w:val="clear" w:color="auto" w:fill="auto"/>
            <w:noWrap/>
            <w:vAlign w:val="center"/>
          </w:tcPr>
          <w:p w14:paraId="69264D80"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w:t>
            </w:r>
          </w:p>
        </w:tc>
        <w:tc>
          <w:tcPr>
            <w:tcW w:w="621" w:type="dxa"/>
            <w:tcBorders>
              <w:top w:val="nil"/>
              <w:left w:val="nil"/>
              <w:bottom w:val="nil"/>
              <w:right w:val="nil"/>
            </w:tcBorders>
            <w:shd w:val="clear" w:color="auto" w:fill="auto"/>
            <w:noWrap/>
            <w:vAlign w:val="center"/>
          </w:tcPr>
          <w:p w14:paraId="7D781A23"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t>
            </w:r>
          </w:p>
        </w:tc>
        <w:tc>
          <w:tcPr>
            <w:tcW w:w="1096" w:type="dxa"/>
            <w:tcBorders>
              <w:top w:val="nil"/>
              <w:left w:val="nil"/>
              <w:bottom w:val="nil"/>
              <w:right w:val="single" w:sz="4" w:space="0" w:color="000000"/>
            </w:tcBorders>
            <w:shd w:val="clear" w:color="auto" w:fill="auto"/>
            <w:noWrap/>
            <w:vAlign w:val="center"/>
          </w:tcPr>
          <w:p w14:paraId="038FAD79"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16" w:type="dxa"/>
            <w:tcBorders>
              <w:top w:val="nil"/>
              <w:left w:val="single" w:sz="4" w:space="0" w:color="000000"/>
              <w:bottom w:val="nil"/>
              <w:right w:val="nil"/>
            </w:tcBorders>
            <w:shd w:val="clear" w:color="auto" w:fill="auto"/>
            <w:vAlign w:val="center"/>
          </w:tcPr>
          <w:p w14:paraId="39FEBF11"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0</w:t>
            </w:r>
          </w:p>
        </w:tc>
        <w:tc>
          <w:tcPr>
            <w:tcW w:w="567" w:type="dxa"/>
            <w:tcBorders>
              <w:top w:val="nil"/>
              <w:left w:val="nil"/>
              <w:bottom w:val="nil"/>
              <w:right w:val="nil"/>
            </w:tcBorders>
            <w:shd w:val="clear" w:color="auto" w:fill="auto"/>
            <w:vAlign w:val="center"/>
          </w:tcPr>
          <w:p w14:paraId="7CF4CD48"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w:t>
            </w:r>
          </w:p>
        </w:tc>
        <w:tc>
          <w:tcPr>
            <w:tcW w:w="1146" w:type="dxa"/>
            <w:tcBorders>
              <w:top w:val="nil"/>
              <w:left w:val="nil"/>
              <w:bottom w:val="nil"/>
              <w:right w:val="single" w:sz="4" w:space="0" w:color="000000"/>
            </w:tcBorders>
            <w:shd w:val="clear" w:color="auto" w:fill="auto"/>
            <w:vAlign w:val="center"/>
          </w:tcPr>
          <w:p w14:paraId="567448C1"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66" w:type="dxa"/>
            <w:tcBorders>
              <w:top w:val="nil"/>
              <w:left w:val="single" w:sz="4" w:space="0" w:color="000000"/>
              <w:bottom w:val="nil"/>
              <w:right w:val="nil"/>
            </w:tcBorders>
            <w:shd w:val="clear" w:color="auto" w:fill="auto"/>
            <w:vAlign w:val="center"/>
          </w:tcPr>
          <w:p w14:paraId="4617E8DB"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w:t>
            </w:r>
          </w:p>
        </w:tc>
        <w:tc>
          <w:tcPr>
            <w:tcW w:w="567" w:type="dxa"/>
            <w:tcBorders>
              <w:top w:val="nil"/>
              <w:left w:val="nil"/>
              <w:bottom w:val="nil"/>
              <w:right w:val="nil"/>
            </w:tcBorders>
            <w:shd w:val="clear" w:color="auto" w:fill="auto"/>
            <w:vAlign w:val="center"/>
          </w:tcPr>
          <w:p w14:paraId="1E4D041C"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w:t>
            </w:r>
          </w:p>
        </w:tc>
        <w:tc>
          <w:tcPr>
            <w:tcW w:w="1146" w:type="dxa"/>
            <w:tcBorders>
              <w:top w:val="nil"/>
              <w:left w:val="nil"/>
              <w:bottom w:val="nil"/>
              <w:right w:val="nil"/>
            </w:tcBorders>
            <w:shd w:val="clear" w:color="auto" w:fill="auto"/>
            <w:vAlign w:val="center"/>
          </w:tcPr>
          <w:p w14:paraId="0BA364E4"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1E2F74" w:rsidRPr="008A7800" w14:paraId="25364489"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4773" w:type="dxa"/>
            <w:gridSpan w:val="3"/>
            <w:tcBorders>
              <w:top w:val="nil"/>
              <w:left w:val="nil"/>
              <w:bottom w:val="nil"/>
              <w:right w:val="nil"/>
            </w:tcBorders>
            <w:shd w:val="clear" w:color="auto" w:fill="auto"/>
            <w:vAlign w:val="center"/>
          </w:tcPr>
          <w:p w14:paraId="506189CF" w14:textId="77777777" w:rsidR="001E2F74" w:rsidRPr="008A7800" w:rsidRDefault="001E2F74" w:rsidP="00A31BD8">
            <w:pPr>
              <w:spacing w:before="20" w:after="20"/>
              <w:rPr>
                <w:rFonts w:eastAsiaTheme="minorEastAsia"/>
                <w:sz w:val="18"/>
                <w:szCs w:val="18"/>
                <w:lang w:eastAsia="en-US"/>
              </w:rPr>
            </w:pPr>
            <w:r w:rsidRPr="008A7800">
              <w:rPr>
                <w:rFonts w:eastAsiaTheme="minorEastAsia"/>
                <w:sz w:val="18"/>
                <w:szCs w:val="18"/>
                <w:lang w:eastAsia="en-US"/>
              </w:rPr>
              <w:t>Quality of life (WHOQoL-8)</w:t>
            </w:r>
          </w:p>
        </w:tc>
        <w:tc>
          <w:tcPr>
            <w:tcW w:w="1191" w:type="dxa"/>
            <w:tcBorders>
              <w:top w:val="nil"/>
              <w:left w:val="nil"/>
              <w:bottom w:val="nil"/>
              <w:right w:val="single" w:sz="4" w:space="0" w:color="auto"/>
            </w:tcBorders>
            <w:shd w:val="clear" w:color="auto" w:fill="auto"/>
            <w:noWrap/>
          </w:tcPr>
          <w:p w14:paraId="48F0AA42"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66" w:type="dxa"/>
            <w:tcBorders>
              <w:top w:val="nil"/>
              <w:left w:val="single" w:sz="4" w:space="0" w:color="auto"/>
              <w:bottom w:val="nil"/>
              <w:right w:val="nil"/>
            </w:tcBorders>
            <w:shd w:val="clear" w:color="auto" w:fill="auto"/>
            <w:noWrap/>
          </w:tcPr>
          <w:p w14:paraId="53C07A92"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nil"/>
              <w:left w:val="nil"/>
              <w:bottom w:val="nil"/>
              <w:right w:val="nil"/>
            </w:tcBorders>
            <w:shd w:val="clear" w:color="auto" w:fill="auto"/>
            <w:noWrap/>
          </w:tcPr>
          <w:p w14:paraId="1A2B0FA7"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096" w:type="dxa"/>
            <w:tcBorders>
              <w:top w:val="nil"/>
              <w:left w:val="nil"/>
              <w:bottom w:val="nil"/>
              <w:right w:val="single" w:sz="4" w:space="0" w:color="000000"/>
            </w:tcBorders>
            <w:shd w:val="clear" w:color="auto" w:fill="auto"/>
            <w:noWrap/>
          </w:tcPr>
          <w:p w14:paraId="010440A1"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16" w:type="dxa"/>
            <w:tcBorders>
              <w:top w:val="nil"/>
              <w:left w:val="single" w:sz="4" w:space="0" w:color="000000"/>
              <w:bottom w:val="nil"/>
              <w:right w:val="nil"/>
            </w:tcBorders>
            <w:shd w:val="clear" w:color="auto" w:fill="auto"/>
          </w:tcPr>
          <w:p w14:paraId="1B30147E"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67" w:type="dxa"/>
            <w:tcBorders>
              <w:top w:val="nil"/>
              <w:left w:val="nil"/>
              <w:bottom w:val="nil"/>
              <w:right w:val="nil"/>
            </w:tcBorders>
            <w:shd w:val="clear" w:color="auto" w:fill="auto"/>
          </w:tcPr>
          <w:p w14:paraId="1E8EDB80"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auto"/>
          </w:tcPr>
          <w:p w14:paraId="6987858B"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66" w:type="dxa"/>
            <w:tcBorders>
              <w:top w:val="nil"/>
              <w:left w:val="single" w:sz="4" w:space="0" w:color="000000"/>
              <w:bottom w:val="nil"/>
              <w:right w:val="nil"/>
            </w:tcBorders>
            <w:shd w:val="clear" w:color="auto" w:fill="auto"/>
            <w:vAlign w:val="center"/>
          </w:tcPr>
          <w:p w14:paraId="0F1B04FF"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67" w:type="dxa"/>
            <w:tcBorders>
              <w:top w:val="nil"/>
              <w:left w:val="nil"/>
              <w:bottom w:val="nil"/>
              <w:right w:val="nil"/>
            </w:tcBorders>
            <w:shd w:val="clear" w:color="auto" w:fill="auto"/>
            <w:vAlign w:val="center"/>
          </w:tcPr>
          <w:p w14:paraId="1A9B5E31"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nil"/>
            </w:tcBorders>
            <w:shd w:val="clear" w:color="auto" w:fill="auto"/>
            <w:vAlign w:val="center"/>
          </w:tcPr>
          <w:p w14:paraId="55793014"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8A7800" w14:paraId="35363C98"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2DF00A5F" w14:textId="77777777" w:rsidR="001E2F74" w:rsidRPr="008A7800" w:rsidRDefault="001E2F74" w:rsidP="00A31BD8">
            <w:pPr>
              <w:spacing w:before="20" w:after="20"/>
              <w:rPr>
                <w:rFonts w:eastAsiaTheme="minorEastAsia"/>
                <w:b w:val="0"/>
                <w:sz w:val="18"/>
                <w:szCs w:val="18"/>
                <w:lang w:eastAsia="en-US"/>
              </w:rPr>
            </w:pPr>
            <w:r w:rsidRPr="008A7800">
              <w:rPr>
                <w:rFonts w:eastAsiaTheme="minorEastAsia"/>
                <w:b w:val="0"/>
                <w:sz w:val="18"/>
                <w:szCs w:val="18"/>
                <w:lang w:eastAsia="en-US"/>
              </w:rPr>
              <w:t>Below median (Score 0 - 24)</w:t>
            </w:r>
          </w:p>
        </w:tc>
        <w:tc>
          <w:tcPr>
            <w:tcW w:w="666" w:type="dxa"/>
            <w:tcBorders>
              <w:top w:val="nil"/>
              <w:left w:val="nil"/>
              <w:bottom w:val="nil"/>
              <w:right w:val="nil"/>
            </w:tcBorders>
            <w:shd w:val="clear" w:color="auto" w:fill="auto"/>
            <w:noWrap/>
            <w:vAlign w:val="center"/>
          </w:tcPr>
          <w:p w14:paraId="6CCAA6BD"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2635</w:t>
            </w:r>
          </w:p>
        </w:tc>
        <w:tc>
          <w:tcPr>
            <w:tcW w:w="567" w:type="dxa"/>
            <w:tcBorders>
              <w:top w:val="nil"/>
              <w:left w:val="nil"/>
              <w:bottom w:val="nil"/>
              <w:right w:val="nil"/>
            </w:tcBorders>
            <w:shd w:val="clear" w:color="auto" w:fill="auto"/>
            <w:noWrap/>
            <w:vAlign w:val="center"/>
          </w:tcPr>
          <w:p w14:paraId="356BA4C2"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42.2</w:t>
            </w:r>
          </w:p>
        </w:tc>
        <w:tc>
          <w:tcPr>
            <w:tcW w:w="1191" w:type="dxa"/>
            <w:tcBorders>
              <w:top w:val="nil"/>
              <w:left w:val="nil"/>
              <w:bottom w:val="nil"/>
              <w:right w:val="single" w:sz="4" w:space="0" w:color="auto"/>
            </w:tcBorders>
            <w:shd w:val="clear" w:color="auto" w:fill="auto"/>
            <w:noWrap/>
            <w:vAlign w:val="center"/>
          </w:tcPr>
          <w:p w14:paraId="7D9C894E"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 xml:space="preserve">(40.7, 43.6) </w:t>
            </w:r>
          </w:p>
        </w:tc>
        <w:tc>
          <w:tcPr>
            <w:tcW w:w="666" w:type="dxa"/>
            <w:tcBorders>
              <w:top w:val="nil"/>
              <w:left w:val="single" w:sz="4" w:space="0" w:color="auto"/>
              <w:bottom w:val="nil"/>
              <w:right w:val="nil"/>
            </w:tcBorders>
            <w:shd w:val="clear" w:color="auto" w:fill="auto"/>
            <w:noWrap/>
            <w:vAlign w:val="center"/>
          </w:tcPr>
          <w:p w14:paraId="794C6593"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1534</w:t>
            </w:r>
          </w:p>
        </w:tc>
        <w:tc>
          <w:tcPr>
            <w:tcW w:w="621" w:type="dxa"/>
            <w:tcBorders>
              <w:top w:val="nil"/>
              <w:left w:val="nil"/>
              <w:bottom w:val="nil"/>
              <w:right w:val="nil"/>
            </w:tcBorders>
            <w:shd w:val="clear" w:color="auto" w:fill="auto"/>
            <w:noWrap/>
            <w:vAlign w:val="center"/>
          </w:tcPr>
          <w:p w14:paraId="02E1BC81"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41.0</w:t>
            </w:r>
          </w:p>
        </w:tc>
        <w:tc>
          <w:tcPr>
            <w:tcW w:w="1096" w:type="dxa"/>
            <w:tcBorders>
              <w:top w:val="nil"/>
              <w:left w:val="nil"/>
              <w:bottom w:val="nil"/>
              <w:right w:val="single" w:sz="4" w:space="0" w:color="000000"/>
            </w:tcBorders>
            <w:shd w:val="clear" w:color="auto" w:fill="auto"/>
            <w:noWrap/>
            <w:vAlign w:val="center"/>
          </w:tcPr>
          <w:p w14:paraId="29095D55"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 xml:space="preserve">(39.1, 42.9) </w:t>
            </w:r>
          </w:p>
        </w:tc>
        <w:tc>
          <w:tcPr>
            <w:tcW w:w="616" w:type="dxa"/>
            <w:tcBorders>
              <w:top w:val="nil"/>
              <w:left w:val="single" w:sz="4" w:space="0" w:color="000000"/>
              <w:bottom w:val="nil"/>
              <w:right w:val="nil"/>
            </w:tcBorders>
            <w:shd w:val="clear" w:color="auto" w:fill="auto"/>
            <w:vAlign w:val="center"/>
          </w:tcPr>
          <w:p w14:paraId="674E4FC2"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1312</w:t>
            </w:r>
          </w:p>
        </w:tc>
        <w:tc>
          <w:tcPr>
            <w:tcW w:w="567" w:type="dxa"/>
            <w:tcBorders>
              <w:top w:val="nil"/>
              <w:left w:val="nil"/>
              <w:bottom w:val="nil"/>
              <w:right w:val="nil"/>
            </w:tcBorders>
            <w:shd w:val="clear" w:color="auto" w:fill="auto"/>
            <w:vAlign w:val="center"/>
          </w:tcPr>
          <w:p w14:paraId="4256BA11"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42.0</w:t>
            </w:r>
          </w:p>
        </w:tc>
        <w:tc>
          <w:tcPr>
            <w:tcW w:w="1146" w:type="dxa"/>
            <w:tcBorders>
              <w:top w:val="nil"/>
              <w:left w:val="nil"/>
              <w:bottom w:val="nil"/>
              <w:right w:val="single" w:sz="4" w:space="0" w:color="000000"/>
            </w:tcBorders>
            <w:shd w:val="clear" w:color="auto" w:fill="auto"/>
            <w:vAlign w:val="center"/>
          </w:tcPr>
          <w:p w14:paraId="142CE9EE"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(39.9, 44.2)</w:t>
            </w:r>
          </w:p>
        </w:tc>
        <w:tc>
          <w:tcPr>
            <w:tcW w:w="666" w:type="dxa"/>
            <w:tcBorders>
              <w:top w:val="nil"/>
              <w:left w:val="single" w:sz="4" w:space="0" w:color="000000"/>
              <w:bottom w:val="nil"/>
              <w:right w:val="nil"/>
            </w:tcBorders>
            <w:shd w:val="clear" w:color="auto" w:fill="auto"/>
            <w:vAlign w:val="center"/>
          </w:tcPr>
          <w:p w14:paraId="1A171B71"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1117</w:t>
            </w:r>
          </w:p>
        </w:tc>
        <w:tc>
          <w:tcPr>
            <w:tcW w:w="567" w:type="dxa"/>
            <w:tcBorders>
              <w:top w:val="nil"/>
              <w:left w:val="nil"/>
              <w:bottom w:val="nil"/>
              <w:right w:val="nil"/>
            </w:tcBorders>
            <w:shd w:val="clear" w:color="auto" w:fill="auto"/>
            <w:vAlign w:val="center"/>
          </w:tcPr>
          <w:p w14:paraId="03847893"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40.4</w:t>
            </w:r>
          </w:p>
        </w:tc>
        <w:tc>
          <w:tcPr>
            <w:tcW w:w="1146" w:type="dxa"/>
            <w:tcBorders>
              <w:top w:val="nil"/>
              <w:left w:val="nil"/>
              <w:bottom w:val="nil"/>
              <w:right w:val="nil"/>
            </w:tcBorders>
            <w:shd w:val="clear" w:color="auto" w:fill="auto"/>
            <w:vAlign w:val="center"/>
          </w:tcPr>
          <w:p w14:paraId="0C124D90"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(38.1, 42.7)</w:t>
            </w:r>
          </w:p>
        </w:tc>
      </w:tr>
      <w:tr w:rsidR="009118DA" w:rsidRPr="008A7800" w14:paraId="4E69E3B5"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7CBF5E4B" w14:textId="77777777" w:rsidR="001E2F74" w:rsidRPr="008A7800" w:rsidRDefault="001E2F74" w:rsidP="00A31BD8">
            <w:pPr>
              <w:spacing w:before="20" w:after="20"/>
              <w:rPr>
                <w:rFonts w:eastAsiaTheme="minorEastAsia"/>
                <w:b w:val="0"/>
                <w:sz w:val="18"/>
                <w:szCs w:val="18"/>
                <w:lang w:eastAsia="en-US"/>
              </w:rPr>
            </w:pPr>
            <w:r w:rsidRPr="008A7800">
              <w:rPr>
                <w:rFonts w:eastAsiaTheme="minorEastAsia"/>
                <w:b w:val="0"/>
                <w:sz w:val="18"/>
                <w:szCs w:val="18"/>
                <w:lang w:eastAsia="en-US"/>
              </w:rPr>
              <w:t>Median (Score 25)</w:t>
            </w:r>
          </w:p>
        </w:tc>
        <w:tc>
          <w:tcPr>
            <w:tcW w:w="666" w:type="dxa"/>
            <w:tcBorders>
              <w:top w:val="nil"/>
              <w:left w:val="nil"/>
              <w:bottom w:val="nil"/>
              <w:right w:val="nil"/>
            </w:tcBorders>
            <w:shd w:val="clear" w:color="auto" w:fill="auto"/>
            <w:noWrap/>
            <w:vAlign w:val="center"/>
          </w:tcPr>
          <w:p w14:paraId="54916399"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648</w:t>
            </w:r>
          </w:p>
        </w:tc>
        <w:tc>
          <w:tcPr>
            <w:tcW w:w="567" w:type="dxa"/>
            <w:tcBorders>
              <w:top w:val="nil"/>
              <w:left w:val="nil"/>
              <w:bottom w:val="nil"/>
              <w:right w:val="nil"/>
            </w:tcBorders>
            <w:shd w:val="clear" w:color="auto" w:fill="auto"/>
            <w:noWrap/>
            <w:vAlign w:val="center"/>
          </w:tcPr>
          <w:p w14:paraId="68A6C443"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10.4</w:t>
            </w:r>
          </w:p>
        </w:tc>
        <w:tc>
          <w:tcPr>
            <w:tcW w:w="1191" w:type="dxa"/>
            <w:tcBorders>
              <w:top w:val="nil"/>
              <w:left w:val="nil"/>
              <w:bottom w:val="nil"/>
              <w:right w:val="single" w:sz="4" w:space="0" w:color="auto"/>
            </w:tcBorders>
            <w:shd w:val="clear" w:color="auto" w:fill="auto"/>
            <w:noWrap/>
            <w:vAlign w:val="center"/>
          </w:tcPr>
          <w:p w14:paraId="60C43CD1"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 xml:space="preserve">(9.5, 11.3) </w:t>
            </w:r>
          </w:p>
        </w:tc>
        <w:tc>
          <w:tcPr>
            <w:tcW w:w="666" w:type="dxa"/>
            <w:tcBorders>
              <w:top w:val="nil"/>
              <w:left w:val="single" w:sz="4" w:space="0" w:color="auto"/>
              <w:bottom w:val="nil"/>
              <w:right w:val="nil"/>
            </w:tcBorders>
            <w:shd w:val="clear" w:color="auto" w:fill="auto"/>
            <w:noWrap/>
            <w:vAlign w:val="center"/>
          </w:tcPr>
          <w:p w14:paraId="635E0F24"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369</w:t>
            </w:r>
          </w:p>
        </w:tc>
        <w:tc>
          <w:tcPr>
            <w:tcW w:w="621" w:type="dxa"/>
            <w:tcBorders>
              <w:top w:val="nil"/>
              <w:left w:val="nil"/>
              <w:bottom w:val="nil"/>
              <w:right w:val="nil"/>
            </w:tcBorders>
            <w:shd w:val="clear" w:color="auto" w:fill="auto"/>
            <w:noWrap/>
            <w:vAlign w:val="center"/>
          </w:tcPr>
          <w:p w14:paraId="2A77C387"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9.9</w:t>
            </w:r>
          </w:p>
        </w:tc>
        <w:tc>
          <w:tcPr>
            <w:tcW w:w="1096" w:type="dxa"/>
            <w:tcBorders>
              <w:top w:val="nil"/>
              <w:left w:val="nil"/>
              <w:bottom w:val="nil"/>
              <w:right w:val="single" w:sz="4" w:space="0" w:color="000000"/>
            </w:tcBorders>
            <w:shd w:val="clear" w:color="auto" w:fill="auto"/>
            <w:noWrap/>
            <w:vAlign w:val="center"/>
          </w:tcPr>
          <w:p w14:paraId="4F94D7A7"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 xml:space="preserve">(8.8, 11.0) </w:t>
            </w:r>
          </w:p>
        </w:tc>
        <w:tc>
          <w:tcPr>
            <w:tcW w:w="616" w:type="dxa"/>
            <w:tcBorders>
              <w:top w:val="nil"/>
              <w:left w:val="single" w:sz="4" w:space="0" w:color="000000"/>
              <w:bottom w:val="nil"/>
              <w:right w:val="nil"/>
            </w:tcBorders>
            <w:shd w:val="clear" w:color="auto" w:fill="auto"/>
            <w:vAlign w:val="center"/>
          </w:tcPr>
          <w:p w14:paraId="1C21F1B2"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294</w:t>
            </w:r>
          </w:p>
        </w:tc>
        <w:tc>
          <w:tcPr>
            <w:tcW w:w="567" w:type="dxa"/>
            <w:tcBorders>
              <w:top w:val="nil"/>
              <w:left w:val="nil"/>
              <w:bottom w:val="nil"/>
              <w:right w:val="nil"/>
            </w:tcBorders>
            <w:shd w:val="clear" w:color="auto" w:fill="auto"/>
            <w:vAlign w:val="center"/>
          </w:tcPr>
          <w:p w14:paraId="5D41ECD7"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9.4</w:t>
            </w:r>
          </w:p>
        </w:tc>
        <w:tc>
          <w:tcPr>
            <w:tcW w:w="1146" w:type="dxa"/>
            <w:tcBorders>
              <w:top w:val="nil"/>
              <w:left w:val="nil"/>
              <w:bottom w:val="nil"/>
              <w:right w:val="single" w:sz="4" w:space="0" w:color="000000"/>
            </w:tcBorders>
            <w:shd w:val="clear" w:color="auto" w:fill="auto"/>
            <w:vAlign w:val="center"/>
          </w:tcPr>
          <w:p w14:paraId="4527D044"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(8.2, 10.6)</w:t>
            </w:r>
          </w:p>
        </w:tc>
        <w:tc>
          <w:tcPr>
            <w:tcW w:w="666" w:type="dxa"/>
            <w:tcBorders>
              <w:top w:val="nil"/>
              <w:left w:val="single" w:sz="4" w:space="0" w:color="000000"/>
              <w:bottom w:val="nil"/>
              <w:right w:val="nil"/>
            </w:tcBorders>
            <w:shd w:val="clear" w:color="auto" w:fill="auto"/>
            <w:vAlign w:val="center"/>
          </w:tcPr>
          <w:p w14:paraId="236DAA94"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274</w:t>
            </w:r>
          </w:p>
        </w:tc>
        <w:tc>
          <w:tcPr>
            <w:tcW w:w="567" w:type="dxa"/>
            <w:tcBorders>
              <w:top w:val="nil"/>
              <w:left w:val="nil"/>
              <w:bottom w:val="nil"/>
              <w:right w:val="nil"/>
            </w:tcBorders>
            <w:shd w:val="clear" w:color="auto" w:fill="auto"/>
            <w:vAlign w:val="center"/>
          </w:tcPr>
          <w:p w14:paraId="4135BC7E"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9.9</w:t>
            </w:r>
          </w:p>
        </w:tc>
        <w:tc>
          <w:tcPr>
            <w:tcW w:w="1146" w:type="dxa"/>
            <w:tcBorders>
              <w:top w:val="nil"/>
              <w:left w:val="nil"/>
              <w:bottom w:val="nil"/>
              <w:right w:val="nil"/>
            </w:tcBorders>
            <w:shd w:val="clear" w:color="auto" w:fill="auto"/>
            <w:vAlign w:val="center"/>
          </w:tcPr>
          <w:p w14:paraId="458D079D"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(8.4, 11.4)</w:t>
            </w:r>
          </w:p>
        </w:tc>
      </w:tr>
      <w:tr w:rsidR="009118DA" w:rsidRPr="008A7800" w14:paraId="4B2E1D6A"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4F517025" w14:textId="77777777" w:rsidR="001E2F74" w:rsidRPr="008A7800" w:rsidRDefault="001E2F74" w:rsidP="00A31BD8">
            <w:pPr>
              <w:spacing w:before="20" w:after="20"/>
              <w:rPr>
                <w:rFonts w:eastAsiaTheme="minorEastAsia"/>
                <w:b w:val="0"/>
                <w:sz w:val="18"/>
                <w:szCs w:val="18"/>
                <w:lang w:eastAsia="en-US"/>
              </w:rPr>
            </w:pPr>
            <w:r w:rsidRPr="008A7800">
              <w:rPr>
                <w:rFonts w:eastAsiaTheme="minorEastAsia"/>
                <w:b w:val="0"/>
                <w:sz w:val="18"/>
                <w:szCs w:val="18"/>
                <w:lang w:eastAsia="en-US"/>
              </w:rPr>
              <w:t>Above median (Score 26 - 32)</w:t>
            </w:r>
          </w:p>
        </w:tc>
        <w:tc>
          <w:tcPr>
            <w:tcW w:w="666" w:type="dxa"/>
            <w:tcBorders>
              <w:top w:val="nil"/>
              <w:left w:val="nil"/>
              <w:bottom w:val="nil"/>
              <w:right w:val="nil"/>
            </w:tcBorders>
            <w:shd w:val="clear" w:color="auto" w:fill="auto"/>
            <w:noWrap/>
            <w:vAlign w:val="center"/>
          </w:tcPr>
          <w:p w14:paraId="024809AC"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2962</w:t>
            </w:r>
          </w:p>
        </w:tc>
        <w:tc>
          <w:tcPr>
            <w:tcW w:w="567" w:type="dxa"/>
            <w:tcBorders>
              <w:top w:val="nil"/>
              <w:left w:val="nil"/>
              <w:bottom w:val="nil"/>
              <w:right w:val="nil"/>
            </w:tcBorders>
            <w:shd w:val="clear" w:color="auto" w:fill="auto"/>
            <w:noWrap/>
            <w:vAlign w:val="center"/>
          </w:tcPr>
          <w:p w14:paraId="20A7B0E0"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47.4</w:t>
            </w:r>
          </w:p>
        </w:tc>
        <w:tc>
          <w:tcPr>
            <w:tcW w:w="1191" w:type="dxa"/>
            <w:tcBorders>
              <w:top w:val="nil"/>
              <w:left w:val="nil"/>
              <w:bottom w:val="nil"/>
              <w:right w:val="single" w:sz="4" w:space="0" w:color="auto"/>
            </w:tcBorders>
            <w:shd w:val="clear" w:color="auto" w:fill="auto"/>
            <w:noWrap/>
            <w:vAlign w:val="center"/>
          </w:tcPr>
          <w:p w14:paraId="5C394D5A"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(46.0, 48.9)</w:t>
            </w:r>
          </w:p>
        </w:tc>
        <w:tc>
          <w:tcPr>
            <w:tcW w:w="666" w:type="dxa"/>
            <w:tcBorders>
              <w:top w:val="nil"/>
              <w:left w:val="single" w:sz="4" w:space="0" w:color="auto"/>
              <w:bottom w:val="nil"/>
              <w:right w:val="nil"/>
            </w:tcBorders>
            <w:shd w:val="clear" w:color="auto" w:fill="auto"/>
            <w:noWrap/>
            <w:vAlign w:val="center"/>
          </w:tcPr>
          <w:p w14:paraId="1D596D95"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1840</w:t>
            </w:r>
          </w:p>
        </w:tc>
        <w:tc>
          <w:tcPr>
            <w:tcW w:w="621" w:type="dxa"/>
            <w:tcBorders>
              <w:top w:val="nil"/>
              <w:left w:val="nil"/>
              <w:bottom w:val="nil"/>
              <w:right w:val="nil"/>
            </w:tcBorders>
            <w:shd w:val="clear" w:color="auto" w:fill="auto"/>
            <w:noWrap/>
            <w:vAlign w:val="center"/>
          </w:tcPr>
          <w:p w14:paraId="0ACDB896"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49.2</w:t>
            </w:r>
          </w:p>
        </w:tc>
        <w:tc>
          <w:tcPr>
            <w:tcW w:w="1096" w:type="dxa"/>
            <w:tcBorders>
              <w:top w:val="nil"/>
              <w:left w:val="nil"/>
              <w:bottom w:val="nil"/>
              <w:right w:val="single" w:sz="4" w:space="0" w:color="000000"/>
            </w:tcBorders>
            <w:shd w:val="clear" w:color="auto" w:fill="auto"/>
            <w:noWrap/>
            <w:vAlign w:val="center"/>
          </w:tcPr>
          <w:p w14:paraId="112F0299"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8A7800">
              <w:rPr>
                <w:rFonts w:eastAsiaTheme="minorEastAsia"/>
                <w:sz w:val="18"/>
                <w:szCs w:val="18"/>
                <w:lang w:eastAsia="en-US"/>
              </w:rPr>
              <w:t>(47.2, 51.1)</w:t>
            </w:r>
          </w:p>
        </w:tc>
        <w:tc>
          <w:tcPr>
            <w:tcW w:w="616" w:type="dxa"/>
            <w:tcBorders>
              <w:top w:val="nil"/>
              <w:left w:val="single" w:sz="4" w:space="0" w:color="000000"/>
              <w:bottom w:val="nil"/>
              <w:right w:val="nil"/>
            </w:tcBorders>
            <w:shd w:val="clear" w:color="auto" w:fill="auto"/>
            <w:vAlign w:val="center"/>
          </w:tcPr>
          <w:p w14:paraId="53837296"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1515</w:t>
            </w:r>
          </w:p>
        </w:tc>
        <w:tc>
          <w:tcPr>
            <w:tcW w:w="567" w:type="dxa"/>
            <w:tcBorders>
              <w:top w:val="nil"/>
              <w:left w:val="nil"/>
              <w:bottom w:val="nil"/>
              <w:right w:val="nil"/>
            </w:tcBorders>
            <w:shd w:val="clear" w:color="auto" w:fill="auto"/>
            <w:vAlign w:val="center"/>
          </w:tcPr>
          <w:p w14:paraId="74CFB783"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48.5</w:t>
            </w:r>
          </w:p>
        </w:tc>
        <w:tc>
          <w:tcPr>
            <w:tcW w:w="1146" w:type="dxa"/>
            <w:tcBorders>
              <w:top w:val="nil"/>
              <w:left w:val="nil"/>
              <w:bottom w:val="nil"/>
              <w:right w:val="single" w:sz="4" w:space="0" w:color="000000"/>
            </w:tcBorders>
            <w:shd w:val="clear" w:color="auto" w:fill="auto"/>
            <w:vAlign w:val="center"/>
          </w:tcPr>
          <w:p w14:paraId="5FC00051"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(46.3, 50.7)</w:t>
            </w:r>
          </w:p>
        </w:tc>
        <w:tc>
          <w:tcPr>
            <w:tcW w:w="666" w:type="dxa"/>
            <w:tcBorders>
              <w:top w:val="nil"/>
              <w:left w:val="single" w:sz="4" w:space="0" w:color="000000"/>
              <w:bottom w:val="nil"/>
              <w:right w:val="nil"/>
            </w:tcBorders>
            <w:shd w:val="clear" w:color="auto" w:fill="auto"/>
            <w:vAlign w:val="center"/>
          </w:tcPr>
          <w:p w14:paraId="63D91AA3"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1376</w:t>
            </w:r>
          </w:p>
        </w:tc>
        <w:tc>
          <w:tcPr>
            <w:tcW w:w="567" w:type="dxa"/>
            <w:tcBorders>
              <w:top w:val="nil"/>
              <w:left w:val="nil"/>
              <w:bottom w:val="nil"/>
              <w:right w:val="nil"/>
            </w:tcBorders>
            <w:shd w:val="clear" w:color="auto" w:fill="auto"/>
            <w:vAlign w:val="center"/>
          </w:tcPr>
          <w:p w14:paraId="1ADFB8AF"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49.7</w:t>
            </w:r>
          </w:p>
        </w:tc>
        <w:tc>
          <w:tcPr>
            <w:tcW w:w="1146" w:type="dxa"/>
            <w:tcBorders>
              <w:top w:val="nil"/>
              <w:left w:val="nil"/>
              <w:bottom w:val="nil"/>
              <w:right w:val="nil"/>
            </w:tcBorders>
            <w:shd w:val="clear" w:color="auto" w:fill="auto"/>
            <w:vAlign w:val="center"/>
          </w:tcPr>
          <w:p w14:paraId="13BCC068"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(47.4, 52.1)</w:t>
            </w:r>
          </w:p>
        </w:tc>
      </w:tr>
      <w:tr w:rsidR="009118DA" w:rsidRPr="008A7800" w14:paraId="159D9A4E"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432B37DC" w14:textId="77777777" w:rsidR="001E2F74" w:rsidRPr="008A7800" w:rsidRDefault="001E2F74" w:rsidP="00A31BD8">
            <w:pPr>
              <w:spacing w:before="20" w:after="60"/>
              <w:ind w:left="34"/>
              <w:rPr>
                <w:rFonts w:eastAsiaTheme="minorEastAsia"/>
                <w:b w:val="0"/>
                <w:sz w:val="18"/>
                <w:szCs w:val="18"/>
                <w:lang w:eastAsia="en-US"/>
              </w:rPr>
            </w:pPr>
            <w:r w:rsidRPr="008A7800">
              <w:rPr>
                <w:rFonts w:eastAsiaTheme="minorEastAsia"/>
                <w:b w:val="0"/>
                <w:sz w:val="18"/>
                <w:szCs w:val="18"/>
                <w:lang w:eastAsia="en-US"/>
              </w:rPr>
              <w:t>Missing</w:t>
            </w:r>
          </w:p>
        </w:tc>
        <w:tc>
          <w:tcPr>
            <w:tcW w:w="666" w:type="dxa"/>
            <w:tcBorders>
              <w:top w:val="nil"/>
              <w:left w:val="nil"/>
              <w:bottom w:val="nil"/>
              <w:right w:val="nil"/>
            </w:tcBorders>
            <w:shd w:val="clear" w:color="auto" w:fill="auto"/>
            <w:noWrap/>
            <w:vAlign w:val="center"/>
          </w:tcPr>
          <w:p w14:paraId="6C0AD048"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8</w:t>
            </w:r>
          </w:p>
        </w:tc>
        <w:tc>
          <w:tcPr>
            <w:tcW w:w="567" w:type="dxa"/>
            <w:tcBorders>
              <w:top w:val="nil"/>
              <w:left w:val="nil"/>
              <w:bottom w:val="nil"/>
              <w:right w:val="nil"/>
            </w:tcBorders>
            <w:shd w:val="clear" w:color="auto" w:fill="auto"/>
            <w:noWrap/>
            <w:vAlign w:val="center"/>
          </w:tcPr>
          <w:p w14:paraId="75E5406E"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w:t>
            </w:r>
          </w:p>
        </w:tc>
        <w:tc>
          <w:tcPr>
            <w:tcW w:w="1191" w:type="dxa"/>
            <w:tcBorders>
              <w:top w:val="nil"/>
              <w:left w:val="nil"/>
              <w:bottom w:val="nil"/>
              <w:right w:val="single" w:sz="4" w:space="0" w:color="auto"/>
            </w:tcBorders>
            <w:shd w:val="clear" w:color="auto" w:fill="auto"/>
            <w:noWrap/>
            <w:vAlign w:val="center"/>
          </w:tcPr>
          <w:p w14:paraId="76E5B9EA"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666" w:type="dxa"/>
            <w:tcBorders>
              <w:top w:val="nil"/>
              <w:left w:val="single" w:sz="4" w:space="0" w:color="auto"/>
              <w:bottom w:val="nil"/>
              <w:right w:val="nil"/>
            </w:tcBorders>
            <w:shd w:val="clear" w:color="auto" w:fill="auto"/>
            <w:noWrap/>
            <w:vAlign w:val="center"/>
          </w:tcPr>
          <w:p w14:paraId="661A2CE2"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3</w:t>
            </w:r>
          </w:p>
        </w:tc>
        <w:tc>
          <w:tcPr>
            <w:tcW w:w="621" w:type="dxa"/>
            <w:tcBorders>
              <w:top w:val="nil"/>
              <w:left w:val="nil"/>
              <w:bottom w:val="nil"/>
              <w:right w:val="nil"/>
            </w:tcBorders>
            <w:shd w:val="clear" w:color="auto" w:fill="auto"/>
            <w:noWrap/>
            <w:vAlign w:val="center"/>
          </w:tcPr>
          <w:p w14:paraId="1538C314"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w:t>
            </w:r>
          </w:p>
        </w:tc>
        <w:tc>
          <w:tcPr>
            <w:tcW w:w="1096" w:type="dxa"/>
            <w:tcBorders>
              <w:top w:val="nil"/>
              <w:left w:val="nil"/>
              <w:bottom w:val="nil"/>
              <w:right w:val="single" w:sz="4" w:space="0" w:color="000000"/>
            </w:tcBorders>
            <w:shd w:val="clear" w:color="auto" w:fill="auto"/>
            <w:noWrap/>
            <w:vAlign w:val="center"/>
          </w:tcPr>
          <w:p w14:paraId="3DA09C19"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616" w:type="dxa"/>
            <w:tcBorders>
              <w:top w:val="nil"/>
              <w:left w:val="single" w:sz="4" w:space="0" w:color="000000"/>
              <w:bottom w:val="nil"/>
              <w:right w:val="nil"/>
            </w:tcBorders>
            <w:shd w:val="clear" w:color="auto" w:fill="auto"/>
            <w:vAlign w:val="center"/>
          </w:tcPr>
          <w:p w14:paraId="55915002"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0</w:t>
            </w:r>
          </w:p>
        </w:tc>
        <w:tc>
          <w:tcPr>
            <w:tcW w:w="567" w:type="dxa"/>
            <w:tcBorders>
              <w:top w:val="nil"/>
              <w:left w:val="nil"/>
              <w:bottom w:val="nil"/>
              <w:right w:val="nil"/>
            </w:tcBorders>
            <w:shd w:val="clear" w:color="auto" w:fill="auto"/>
            <w:vAlign w:val="center"/>
          </w:tcPr>
          <w:p w14:paraId="42B75044"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w:t>
            </w:r>
          </w:p>
        </w:tc>
        <w:tc>
          <w:tcPr>
            <w:tcW w:w="1146" w:type="dxa"/>
            <w:tcBorders>
              <w:top w:val="nil"/>
              <w:left w:val="nil"/>
              <w:bottom w:val="nil"/>
              <w:right w:val="single" w:sz="4" w:space="0" w:color="000000"/>
            </w:tcBorders>
            <w:shd w:val="clear" w:color="auto" w:fill="auto"/>
            <w:vAlign w:val="center"/>
          </w:tcPr>
          <w:p w14:paraId="0D8F1DFE"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666" w:type="dxa"/>
            <w:tcBorders>
              <w:top w:val="nil"/>
              <w:left w:val="single" w:sz="4" w:space="0" w:color="000000"/>
              <w:bottom w:val="nil"/>
              <w:right w:val="nil"/>
            </w:tcBorders>
            <w:shd w:val="clear" w:color="auto" w:fill="auto"/>
            <w:vAlign w:val="center"/>
          </w:tcPr>
          <w:p w14:paraId="467E5238"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w:t>
            </w:r>
          </w:p>
        </w:tc>
        <w:tc>
          <w:tcPr>
            <w:tcW w:w="567" w:type="dxa"/>
            <w:tcBorders>
              <w:top w:val="nil"/>
              <w:left w:val="nil"/>
              <w:bottom w:val="nil"/>
              <w:right w:val="nil"/>
            </w:tcBorders>
            <w:shd w:val="clear" w:color="auto" w:fill="auto"/>
            <w:vAlign w:val="center"/>
          </w:tcPr>
          <w:p w14:paraId="772509FA"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w:t>
            </w:r>
          </w:p>
        </w:tc>
        <w:tc>
          <w:tcPr>
            <w:tcW w:w="1146" w:type="dxa"/>
            <w:tcBorders>
              <w:top w:val="nil"/>
              <w:left w:val="nil"/>
              <w:bottom w:val="nil"/>
              <w:right w:val="nil"/>
            </w:tcBorders>
            <w:shd w:val="clear" w:color="auto" w:fill="auto"/>
            <w:vAlign w:val="center"/>
          </w:tcPr>
          <w:p w14:paraId="62FCC1A4"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1E2F74" w:rsidRPr="008A7800" w14:paraId="3FC16D14"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5964" w:type="dxa"/>
            <w:gridSpan w:val="4"/>
            <w:tcBorders>
              <w:top w:val="nil"/>
              <w:left w:val="nil"/>
              <w:bottom w:val="nil"/>
              <w:right w:val="single" w:sz="4" w:space="0" w:color="auto"/>
            </w:tcBorders>
            <w:shd w:val="clear" w:color="auto" w:fill="auto"/>
            <w:vAlign w:val="center"/>
          </w:tcPr>
          <w:p w14:paraId="5A356120" w14:textId="77777777" w:rsidR="001E2F74" w:rsidRPr="008A7800" w:rsidRDefault="001E2F74" w:rsidP="00A31BD8">
            <w:pPr>
              <w:tabs>
                <w:tab w:val="left" w:pos="176"/>
              </w:tabs>
              <w:spacing w:before="20" w:after="20"/>
              <w:rPr>
                <w:rFonts w:eastAsiaTheme="minorEastAsia"/>
                <w:bCs w:val="0"/>
                <w:sz w:val="18"/>
                <w:szCs w:val="18"/>
                <w:lang w:eastAsia="en-US"/>
              </w:rPr>
            </w:pPr>
            <w:r w:rsidRPr="008A7800">
              <w:rPr>
                <w:rFonts w:eastAsiaTheme="minorEastAsia"/>
                <w:sz w:val="18"/>
                <w:szCs w:val="18"/>
                <w:lang w:eastAsia="en-US"/>
              </w:rPr>
              <w:t>Psychological distress (Kessler-10)</w:t>
            </w:r>
          </w:p>
        </w:tc>
        <w:tc>
          <w:tcPr>
            <w:tcW w:w="666" w:type="dxa"/>
            <w:tcBorders>
              <w:top w:val="nil"/>
              <w:left w:val="single" w:sz="4" w:space="0" w:color="auto"/>
              <w:bottom w:val="nil"/>
              <w:right w:val="nil"/>
            </w:tcBorders>
            <w:shd w:val="clear" w:color="auto" w:fill="auto"/>
            <w:noWrap/>
            <w:vAlign w:val="center"/>
          </w:tcPr>
          <w:p w14:paraId="4CDBEAB5"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621" w:type="dxa"/>
            <w:tcBorders>
              <w:top w:val="nil"/>
              <w:left w:val="nil"/>
              <w:bottom w:val="nil"/>
              <w:right w:val="nil"/>
            </w:tcBorders>
            <w:shd w:val="clear" w:color="auto" w:fill="auto"/>
            <w:noWrap/>
            <w:vAlign w:val="center"/>
          </w:tcPr>
          <w:p w14:paraId="2BC7F2AE"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1096" w:type="dxa"/>
            <w:tcBorders>
              <w:top w:val="nil"/>
              <w:left w:val="nil"/>
              <w:bottom w:val="nil"/>
              <w:right w:val="single" w:sz="4" w:space="0" w:color="000000"/>
            </w:tcBorders>
            <w:shd w:val="clear" w:color="auto" w:fill="auto"/>
            <w:noWrap/>
            <w:vAlign w:val="center"/>
          </w:tcPr>
          <w:p w14:paraId="30B5B748"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616" w:type="dxa"/>
            <w:tcBorders>
              <w:top w:val="nil"/>
              <w:left w:val="single" w:sz="4" w:space="0" w:color="000000"/>
              <w:bottom w:val="nil"/>
              <w:right w:val="nil"/>
            </w:tcBorders>
            <w:shd w:val="clear" w:color="auto" w:fill="auto"/>
          </w:tcPr>
          <w:p w14:paraId="4645163B"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567" w:type="dxa"/>
            <w:tcBorders>
              <w:top w:val="nil"/>
              <w:left w:val="nil"/>
              <w:bottom w:val="nil"/>
              <w:right w:val="nil"/>
            </w:tcBorders>
            <w:shd w:val="clear" w:color="auto" w:fill="auto"/>
          </w:tcPr>
          <w:p w14:paraId="63729D70"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1146" w:type="dxa"/>
            <w:tcBorders>
              <w:top w:val="nil"/>
              <w:left w:val="nil"/>
              <w:bottom w:val="nil"/>
              <w:right w:val="single" w:sz="4" w:space="0" w:color="000000"/>
            </w:tcBorders>
            <w:shd w:val="clear" w:color="auto" w:fill="auto"/>
          </w:tcPr>
          <w:p w14:paraId="3F0EC0E2"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666" w:type="dxa"/>
            <w:tcBorders>
              <w:top w:val="nil"/>
              <w:left w:val="single" w:sz="4" w:space="0" w:color="000000"/>
              <w:bottom w:val="nil"/>
              <w:right w:val="nil"/>
            </w:tcBorders>
            <w:shd w:val="clear" w:color="auto" w:fill="auto"/>
            <w:vAlign w:val="center"/>
          </w:tcPr>
          <w:p w14:paraId="340A66DC" w14:textId="77777777" w:rsidR="001E2F74" w:rsidRPr="008A7800" w:rsidRDefault="001E2F74" w:rsidP="001E2F74">
            <w:pPr>
              <w:tabs>
                <w:tab w:val="left" w:pos="176"/>
              </w:tabs>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567" w:type="dxa"/>
            <w:tcBorders>
              <w:top w:val="nil"/>
              <w:left w:val="nil"/>
              <w:bottom w:val="nil"/>
              <w:right w:val="nil"/>
            </w:tcBorders>
            <w:shd w:val="clear" w:color="auto" w:fill="auto"/>
            <w:vAlign w:val="center"/>
          </w:tcPr>
          <w:p w14:paraId="0E18C7B6" w14:textId="77777777" w:rsidR="001E2F74" w:rsidRPr="008A7800" w:rsidRDefault="001E2F74" w:rsidP="001E2F74">
            <w:pPr>
              <w:tabs>
                <w:tab w:val="left" w:pos="176"/>
              </w:tabs>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1146" w:type="dxa"/>
            <w:tcBorders>
              <w:top w:val="nil"/>
              <w:left w:val="nil"/>
              <w:bottom w:val="nil"/>
              <w:right w:val="nil"/>
            </w:tcBorders>
            <w:shd w:val="clear" w:color="auto" w:fill="auto"/>
            <w:vAlign w:val="center"/>
          </w:tcPr>
          <w:p w14:paraId="67B25706" w14:textId="77777777" w:rsidR="001E2F74" w:rsidRPr="008A7800" w:rsidRDefault="001E2F74" w:rsidP="001E2F74">
            <w:pPr>
              <w:tabs>
                <w:tab w:val="left" w:pos="176"/>
              </w:tabs>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r>
      <w:tr w:rsidR="009118DA" w:rsidRPr="008A7800" w14:paraId="139A0E60"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bottom"/>
          </w:tcPr>
          <w:p w14:paraId="7A826151" w14:textId="77777777" w:rsidR="00152900" w:rsidRPr="00152900" w:rsidRDefault="00152900" w:rsidP="00152900">
            <w:pPr>
              <w:spacing w:before="20" w:after="60"/>
              <w:ind w:left="34"/>
              <w:rPr>
                <w:rFonts w:eastAsiaTheme="minorEastAsia"/>
                <w:b w:val="0"/>
                <w:sz w:val="18"/>
                <w:szCs w:val="18"/>
                <w:lang w:eastAsia="en-US"/>
              </w:rPr>
            </w:pPr>
            <w:r w:rsidRPr="00152900">
              <w:rPr>
                <w:rFonts w:eastAsiaTheme="minorEastAsia"/>
                <w:b w:val="0"/>
                <w:sz w:val="18"/>
                <w:szCs w:val="18"/>
                <w:lang w:eastAsia="en-US"/>
              </w:rPr>
              <w:t>Low (Score 0 - 5)</w:t>
            </w:r>
          </w:p>
        </w:tc>
        <w:tc>
          <w:tcPr>
            <w:tcW w:w="666" w:type="dxa"/>
            <w:tcBorders>
              <w:top w:val="nil"/>
              <w:left w:val="nil"/>
              <w:bottom w:val="nil"/>
              <w:right w:val="nil"/>
            </w:tcBorders>
            <w:shd w:val="clear" w:color="auto" w:fill="auto"/>
            <w:noWrap/>
            <w:vAlign w:val="center"/>
          </w:tcPr>
          <w:p w14:paraId="76DC6472" w14:textId="77777777" w:rsidR="00152900" w:rsidRPr="008A7800" w:rsidRDefault="00152900" w:rsidP="00152900">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4597</w:t>
            </w:r>
          </w:p>
        </w:tc>
        <w:tc>
          <w:tcPr>
            <w:tcW w:w="567" w:type="dxa"/>
            <w:tcBorders>
              <w:top w:val="nil"/>
              <w:left w:val="nil"/>
              <w:bottom w:val="nil"/>
              <w:right w:val="nil"/>
            </w:tcBorders>
            <w:shd w:val="clear" w:color="auto" w:fill="auto"/>
            <w:noWrap/>
            <w:vAlign w:val="center"/>
          </w:tcPr>
          <w:p w14:paraId="00066BB8" w14:textId="77777777" w:rsidR="00152900" w:rsidRPr="008A7800" w:rsidRDefault="00152900" w:rsidP="00152900">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73.6</w:t>
            </w:r>
          </w:p>
        </w:tc>
        <w:tc>
          <w:tcPr>
            <w:tcW w:w="1191" w:type="dxa"/>
            <w:tcBorders>
              <w:top w:val="nil"/>
              <w:left w:val="nil"/>
              <w:bottom w:val="nil"/>
              <w:right w:val="single" w:sz="4" w:space="0" w:color="auto"/>
            </w:tcBorders>
            <w:shd w:val="clear" w:color="auto" w:fill="auto"/>
            <w:noWrap/>
            <w:vAlign w:val="center"/>
          </w:tcPr>
          <w:p w14:paraId="115F2087" w14:textId="77777777" w:rsidR="00152900" w:rsidRPr="008A7800" w:rsidRDefault="00152900" w:rsidP="00152900">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(72.3, 74.9)</w:t>
            </w:r>
          </w:p>
        </w:tc>
        <w:tc>
          <w:tcPr>
            <w:tcW w:w="666" w:type="dxa"/>
            <w:tcBorders>
              <w:top w:val="nil"/>
              <w:left w:val="single" w:sz="4" w:space="0" w:color="auto"/>
              <w:bottom w:val="nil"/>
              <w:right w:val="nil"/>
            </w:tcBorders>
            <w:shd w:val="clear" w:color="auto" w:fill="auto"/>
            <w:noWrap/>
            <w:vAlign w:val="center"/>
          </w:tcPr>
          <w:p w14:paraId="096F94BE" w14:textId="77777777" w:rsidR="00152900" w:rsidRPr="008A7800" w:rsidRDefault="00152900" w:rsidP="00152900">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2831</w:t>
            </w:r>
          </w:p>
        </w:tc>
        <w:tc>
          <w:tcPr>
            <w:tcW w:w="621" w:type="dxa"/>
            <w:tcBorders>
              <w:top w:val="nil"/>
              <w:left w:val="nil"/>
              <w:bottom w:val="nil"/>
              <w:right w:val="nil"/>
            </w:tcBorders>
            <w:shd w:val="clear" w:color="auto" w:fill="auto"/>
            <w:noWrap/>
            <w:vAlign w:val="center"/>
          </w:tcPr>
          <w:p w14:paraId="18A9F8EA" w14:textId="77777777" w:rsidR="00152900" w:rsidRPr="008A7800" w:rsidRDefault="00152900" w:rsidP="00152900">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75.6</w:t>
            </w:r>
          </w:p>
        </w:tc>
        <w:tc>
          <w:tcPr>
            <w:tcW w:w="1096" w:type="dxa"/>
            <w:tcBorders>
              <w:top w:val="nil"/>
              <w:left w:val="nil"/>
              <w:bottom w:val="nil"/>
              <w:right w:val="single" w:sz="4" w:space="0" w:color="000000"/>
            </w:tcBorders>
            <w:shd w:val="clear" w:color="auto" w:fill="auto"/>
            <w:noWrap/>
            <w:vAlign w:val="center"/>
          </w:tcPr>
          <w:p w14:paraId="4BBED9A8" w14:textId="77777777" w:rsidR="00152900" w:rsidRPr="008A7800" w:rsidRDefault="00152900" w:rsidP="00152900">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(73.9, 77.2)</w:t>
            </w:r>
          </w:p>
        </w:tc>
        <w:tc>
          <w:tcPr>
            <w:tcW w:w="616" w:type="dxa"/>
            <w:tcBorders>
              <w:top w:val="nil"/>
              <w:left w:val="single" w:sz="4" w:space="0" w:color="000000"/>
              <w:bottom w:val="nil"/>
              <w:right w:val="nil"/>
            </w:tcBorders>
            <w:shd w:val="clear" w:color="auto" w:fill="auto"/>
            <w:vAlign w:val="center"/>
          </w:tcPr>
          <w:p w14:paraId="73B0CF99" w14:textId="77777777" w:rsidR="00152900" w:rsidRPr="008A7800"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2307</w:t>
            </w:r>
          </w:p>
        </w:tc>
        <w:tc>
          <w:tcPr>
            <w:tcW w:w="567" w:type="dxa"/>
            <w:tcBorders>
              <w:top w:val="nil"/>
              <w:left w:val="nil"/>
              <w:bottom w:val="nil"/>
              <w:right w:val="nil"/>
            </w:tcBorders>
            <w:shd w:val="clear" w:color="auto" w:fill="auto"/>
            <w:vAlign w:val="center"/>
          </w:tcPr>
          <w:p w14:paraId="611918D7" w14:textId="77777777" w:rsidR="00152900" w:rsidRPr="008A7800"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73.9</w:t>
            </w:r>
          </w:p>
        </w:tc>
        <w:tc>
          <w:tcPr>
            <w:tcW w:w="1146" w:type="dxa"/>
            <w:tcBorders>
              <w:top w:val="nil"/>
              <w:left w:val="nil"/>
              <w:bottom w:val="nil"/>
              <w:right w:val="single" w:sz="4" w:space="0" w:color="000000"/>
            </w:tcBorders>
            <w:shd w:val="clear" w:color="auto" w:fill="auto"/>
            <w:vAlign w:val="center"/>
          </w:tcPr>
          <w:p w14:paraId="1ADADE7A" w14:textId="77777777" w:rsidR="00152900" w:rsidRPr="008A7800"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(71.9, 75.9)</w:t>
            </w:r>
          </w:p>
        </w:tc>
        <w:tc>
          <w:tcPr>
            <w:tcW w:w="666" w:type="dxa"/>
            <w:tcBorders>
              <w:top w:val="nil"/>
              <w:left w:val="single" w:sz="4" w:space="0" w:color="000000"/>
              <w:bottom w:val="nil"/>
              <w:right w:val="nil"/>
            </w:tcBorders>
            <w:shd w:val="clear" w:color="auto" w:fill="auto"/>
            <w:vAlign w:val="center"/>
          </w:tcPr>
          <w:p w14:paraId="5995B726" w14:textId="77777777" w:rsidR="00152900" w:rsidRPr="008A7800"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2087</w:t>
            </w:r>
          </w:p>
        </w:tc>
        <w:tc>
          <w:tcPr>
            <w:tcW w:w="567" w:type="dxa"/>
            <w:tcBorders>
              <w:top w:val="nil"/>
              <w:left w:val="nil"/>
              <w:bottom w:val="nil"/>
              <w:right w:val="nil"/>
            </w:tcBorders>
            <w:shd w:val="clear" w:color="auto" w:fill="auto"/>
            <w:vAlign w:val="center"/>
          </w:tcPr>
          <w:p w14:paraId="5FA01BEC" w14:textId="77777777" w:rsidR="00152900" w:rsidRPr="008A7800"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75.3</w:t>
            </w:r>
          </w:p>
        </w:tc>
        <w:tc>
          <w:tcPr>
            <w:tcW w:w="1146" w:type="dxa"/>
            <w:tcBorders>
              <w:top w:val="nil"/>
              <w:left w:val="nil"/>
              <w:bottom w:val="nil"/>
              <w:right w:val="nil"/>
            </w:tcBorders>
            <w:shd w:val="clear" w:color="auto" w:fill="auto"/>
            <w:vAlign w:val="center"/>
          </w:tcPr>
          <w:p w14:paraId="1C5C14E3" w14:textId="77777777" w:rsidR="00152900" w:rsidRPr="008A7800"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(73.2, 77.4)</w:t>
            </w:r>
          </w:p>
        </w:tc>
      </w:tr>
      <w:tr w:rsidR="009118DA" w:rsidRPr="008A7800" w14:paraId="48985E83"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bottom"/>
          </w:tcPr>
          <w:p w14:paraId="18263E69" w14:textId="77777777" w:rsidR="00152900" w:rsidRPr="00152900" w:rsidRDefault="00152900" w:rsidP="00152900">
            <w:pPr>
              <w:spacing w:before="20" w:after="60"/>
              <w:ind w:left="34"/>
              <w:rPr>
                <w:rFonts w:eastAsiaTheme="minorEastAsia"/>
                <w:b w:val="0"/>
                <w:sz w:val="18"/>
                <w:szCs w:val="18"/>
                <w:lang w:eastAsia="en-US"/>
              </w:rPr>
            </w:pPr>
            <w:r w:rsidRPr="00152900">
              <w:rPr>
                <w:rFonts w:eastAsiaTheme="minorEastAsia"/>
                <w:b w:val="0"/>
                <w:sz w:val="18"/>
                <w:szCs w:val="18"/>
                <w:lang w:eastAsia="en-US"/>
              </w:rPr>
              <w:t>Moderate (Score 6 - 11)</w:t>
            </w:r>
          </w:p>
        </w:tc>
        <w:tc>
          <w:tcPr>
            <w:tcW w:w="666" w:type="dxa"/>
            <w:tcBorders>
              <w:top w:val="nil"/>
              <w:left w:val="nil"/>
              <w:bottom w:val="nil"/>
              <w:right w:val="nil"/>
            </w:tcBorders>
            <w:shd w:val="clear" w:color="auto" w:fill="auto"/>
            <w:noWrap/>
            <w:vAlign w:val="center"/>
          </w:tcPr>
          <w:p w14:paraId="0E350B34" w14:textId="77777777" w:rsidR="00152900" w:rsidRPr="008A7800" w:rsidRDefault="00152900" w:rsidP="00152900">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1204</w:t>
            </w:r>
          </w:p>
        </w:tc>
        <w:tc>
          <w:tcPr>
            <w:tcW w:w="567" w:type="dxa"/>
            <w:tcBorders>
              <w:top w:val="nil"/>
              <w:left w:val="nil"/>
              <w:bottom w:val="nil"/>
              <w:right w:val="nil"/>
            </w:tcBorders>
            <w:shd w:val="clear" w:color="auto" w:fill="auto"/>
            <w:noWrap/>
            <w:vAlign w:val="center"/>
          </w:tcPr>
          <w:p w14:paraId="23FB8131" w14:textId="77777777" w:rsidR="00152900" w:rsidRPr="008A7800" w:rsidRDefault="00152900" w:rsidP="00152900">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19.3</w:t>
            </w:r>
          </w:p>
        </w:tc>
        <w:tc>
          <w:tcPr>
            <w:tcW w:w="1191" w:type="dxa"/>
            <w:tcBorders>
              <w:top w:val="nil"/>
              <w:left w:val="nil"/>
              <w:bottom w:val="nil"/>
              <w:right w:val="single" w:sz="4" w:space="0" w:color="auto"/>
            </w:tcBorders>
            <w:shd w:val="clear" w:color="auto" w:fill="auto"/>
            <w:noWrap/>
            <w:vAlign w:val="center"/>
          </w:tcPr>
          <w:p w14:paraId="0297EA3B" w14:textId="77777777" w:rsidR="00152900" w:rsidRPr="008A7800" w:rsidRDefault="00152900" w:rsidP="00152900">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(18.1, 20.5)</w:t>
            </w:r>
          </w:p>
        </w:tc>
        <w:tc>
          <w:tcPr>
            <w:tcW w:w="666" w:type="dxa"/>
            <w:tcBorders>
              <w:top w:val="nil"/>
              <w:left w:val="single" w:sz="4" w:space="0" w:color="auto"/>
              <w:bottom w:val="nil"/>
              <w:right w:val="nil"/>
            </w:tcBorders>
            <w:shd w:val="clear" w:color="auto" w:fill="auto"/>
            <w:noWrap/>
            <w:vAlign w:val="center"/>
          </w:tcPr>
          <w:p w14:paraId="19017A1B" w14:textId="77777777" w:rsidR="00152900" w:rsidRPr="008A7800" w:rsidRDefault="00152900" w:rsidP="00152900">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659</w:t>
            </w:r>
          </w:p>
        </w:tc>
        <w:tc>
          <w:tcPr>
            <w:tcW w:w="621" w:type="dxa"/>
            <w:tcBorders>
              <w:top w:val="nil"/>
              <w:left w:val="nil"/>
              <w:bottom w:val="nil"/>
              <w:right w:val="nil"/>
            </w:tcBorders>
            <w:shd w:val="clear" w:color="auto" w:fill="auto"/>
            <w:noWrap/>
            <w:vAlign w:val="center"/>
          </w:tcPr>
          <w:p w14:paraId="68B618C7" w14:textId="77777777" w:rsidR="00152900" w:rsidRPr="008A7800" w:rsidRDefault="00152900" w:rsidP="00152900">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17.6</w:t>
            </w:r>
          </w:p>
        </w:tc>
        <w:tc>
          <w:tcPr>
            <w:tcW w:w="1096" w:type="dxa"/>
            <w:tcBorders>
              <w:top w:val="nil"/>
              <w:left w:val="nil"/>
              <w:bottom w:val="nil"/>
              <w:right w:val="single" w:sz="4" w:space="0" w:color="000000"/>
            </w:tcBorders>
            <w:shd w:val="clear" w:color="auto" w:fill="auto"/>
            <w:noWrap/>
            <w:vAlign w:val="center"/>
          </w:tcPr>
          <w:p w14:paraId="2CE17943" w14:textId="77777777" w:rsidR="00152900" w:rsidRPr="008A7800" w:rsidRDefault="00152900" w:rsidP="00152900">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(16.1, 19.1)</w:t>
            </w:r>
          </w:p>
        </w:tc>
        <w:tc>
          <w:tcPr>
            <w:tcW w:w="616" w:type="dxa"/>
            <w:tcBorders>
              <w:top w:val="nil"/>
              <w:left w:val="single" w:sz="4" w:space="0" w:color="000000"/>
              <w:bottom w:val="nil"/>
              <w:right w:val="nil"/>
            </w:tcBorders>
            <w:shd w:val="clear" w:color="auto" w:fill="auto"/>
            <w:vAlign w:val="center"/>
          </w:tcPr>
          <w:p w14:paraId="60F5D98D" w14:textId="77777777" w:rsidR="00152900" w:rsidRPr="008A7800"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602</w:t>
            </w:r>
          </w:p>
        </w:tc>
        <w:tc>
          <w:tcPr>
            <w:tcW w:w="567" w:type="dxa"/>
            <w:tcBorders>
              <w:top w:val="nil"/>
              <w:left w:val="nil"/>
              <w:bottom w:val="nil"/>
              <w:right w:val="nil"/>
            </w:tcBorders>
            <w:shd w:val="clear" w:color="auto" w:fill="auto"/>
            <w:vAlign w:val="center"/>
          </w:tcPr>
          <w:p w14:paraId="52A7EABC" w14:textId="77777777" w:rsidR="00152900" w:rsidRPr="008A7800"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19.3</w:t>
            </w:r>
          </w:p>
        </w:tc>
        <w:tc>
          <w:tcPr>
            <w:tcW w:w="1146" w:type="dxa"/>
            <w:tcBorders>
              <w:top w:val="nil"/>
              <w:left w:val="nil"/>
              <w:bottom w:val="nil"/>
              <w:right w:val="single" w:sz="4" w:space="0" w:color="000000"/>
            </w:tcBorders>
            <w:shd w:val="clear" w:color="auto" w:fill="auto"/>
            <w:vAlign w:val="center"/>
          </w:tcPr>
          <w:p w14:paraId="0EE51973" w14:textId="77777777" w:rsidR="00152900" w:rsidRPr="008A7800"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(17.4, 21.2)</w:t>
            </w:r>
          </w:p>
        </w:tc>
        <w:tc>
          <w:tcPr>
            <w:tcW w:w="666" w:type="dxa"/>
            <w:tcBorders>
              <w:top w:val="nil"/>
              <w:left w:val="single" w:sz="4" w:space="0" w:color="000000"/>
              <w:bottom w:val="nil"/>
              <w:right w:val="nil"/>
            </w:tcBorders>
            <w:shd w:val="clear" w:color="auto" w:fill="auto"/>
            <w:vAlign w:val="center"/>
          </w:tcPr>
          <w:p w14:paraId="060DFA84" w14:textId="77777777" w:rsidR="00152900" w:rsidRPr="008A7800"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493</w:t>
            </w:r>
          </w:p>
        </w:tc>
        <w:tc>
          <w:tcPr>
            <w:tcW w:w="567" w:type="dxa"/>
            <w:tcBorders>
              <w:top w:val="nil"/>
              <w:left w:val="nil"/>
              <w:bottom w:val="nil"/>
              <w:right w:val="nil"/>
            </w:tcBorders>
            <w:shd w:val="clear" w:color="auto" w:fill="auto"/>
            <w:vAlign w:val="center"/>
          </w:tcPr>
          <w:p w14:paraId="61505419" w14:textId="77777777" w:rsidR="00152900" w:rsidRPr="008A7800"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17.8</w:t>
            </w:r>
          </w:p>
        </w:tc>
        <w:tc>
          <w:tcPr>
            <w:tcW w:w="1146" w:type="dxa"/>
            <w:tcBorders>
              <w:top w:val="nil"/>
              <w:left w:val="nil"/>
              <w:bottom w:val="nil"/>
              <w:right w:val="nil"/>
            </w:tcBorders>
            <w:shd w:val="clear" w:color="auto" w:fill="auto"/>
            <w:vAlign w:val="center"/>
          </w:tcPr>
          <w:p w14:paraId="61B71B1F" w14:textId="77777777" w:rsidR="00152900" w:rsidRPr="008A7800"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(15.8, 19.7)</w:t>
            </w:r>
          </w:p>
        </w:tc>
      </w:tr>
      <w:tr w:rsidR="009118DA" w:rsidRPr="008A7800" w14:paraId="2172B39F"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bottom"/>
          </w:tcPr>
          <w:p w14:paraId="186E90CC" w14:textId="77777777" w:rsidR="00152900" w:rsidRPr="00152900" w:rsidRDefault="00152900" w:rsidP="00152900">
            <w:pPr>
              <w:spacing w:before="20" w:after="60"/>
              <w:ind w:left="34"/>
              <w:rPr>
                <w:rFonts w:eastAsiaTheme="minorEastAsia"/>
                <w:b w:val="0"/>
                <w:sz w:val="18"/>
                <w:szCs w:val="18"/>
                <w:lang w:eastAsia="en-US"/>
              </w:rPr>
            </w:pPr>
            <w:r w:rsidRPr="00152900">
              <w:rPr>
                <w:rFonts w:eastAsiaTheme="minorEastAsia"/>
                <w:b w:val="0"/>
                <w:sz w:val="18"/>
                <w:szCs w:val="18"/>
                <w:lang w:eastAsia="en-US"/>
              </w:rPr>
              <w:t>High (Score 12 - 19)</w:t>
            </w:r>
          </w:p>
        </w:tc>
        <w:tc>
          <w:tcPr>
            <w:tcW w:w="666" w:type="dxa"/>
            <w:tcBorders>
              <w:top w:val="nil"/>
              <w:left w:val="nil"/>
              <w:bottom w:val="nil"/>
              <w:right w:val="nil"/>
            </w:tcBorders>
            <w:shd w:val="clear" w:color="auto" w:fill="auto"/>
            <w:noWrap/>
            <w:vAlign w:val="center"/>
          </w:tcPr>
          <w:p w14:paraId="64B5A757" w14:textId="77777777" w:rsidR="00152900" w:rsidRPr="008A7800" w:rsidRDefault="00152900" w:rsidP="00152900">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339</w:t>
            </w:r>
          </w:p>
        </w:tc>
        <w:tc>
          <w:tcPr>
            <w:tcW w:w="567" w:type="dxa"/>
            <w:tcBorders>
              <w:top w:val="nil"/>
              <w:left w:val="nil"/>
              <w:bottom w:val="nil"/>
              <w:right w:val="nil"/>
            </w:tcBorders>
            <w:shd w:val="clear" w:color="auto" w:fill="auto"/>
            <w:noWrap/>
            <w:vAlign w:val="center"/>
          </w:tcPr>
          <w:p w14:paraId="27E1AE84" w14:textId="77777777" w:rsidR="00152900" w:rsidRPr="008A7800" w:rsidRDefault="00152900" w:rsidP="00152900">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5.4</w:t>
            </w:r>
          </w:p>
        </w:tc>
        <w:tc>
          <w:tcPr>
            <w:tcW w:w="1191" w:type="dxa"/>
            <w:tcBorders>
              <w:top w:val="nil"/>
              <w:left w:val="nil"/>
              <w:bottom w:val="nil"/>
              <w:right w:val="single" w:sz="4" w:space="0" w:color="auto"/>
            </w:tcBorders>
            <w:shd w:val="clear" w:color="auto" w:fill="auto"/>
            <w:noWrap/>
            <w:vAlign w:val="center"/>
          </w:tcPr>
          <w:p w14:paraId="17F0C5BD" w14:textId="77777777" w:rsidR="00152900" w:rsidRPr="008A7800" w:rsidRDefault="00152900" w:rsidP="00152900">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(4.8, 6.1)</w:t>
            </w:r>
          </w:p>
        </w:tc>
        <w:tc>
          <w:tcPr>
            <w:tcW w:w="666" w:type="dxa"/>
            <w:tcBorders>
              <w:top w:val="nil"/>
              <w:left w:val="single" w:sz="4" w:space="0" w:color="auto"/>
              <w:bottom w:val="nil"/>
              <w:right w:val="nil"/>
            </w:tcBorders>
            <w:shd w:val="clear" w:color="auto" w:fill="auto"/>
            <w:noWrap/>
            <w:vAlign w:val="center"/>
          </w:tcPr>
          <w:p w14:paraId="0ADE9797" w14:textId="77777777" w:rsidR="00152900" w:rsidRPr="008A7800" w:rsidRDefault="00152900" w:rsidP="00152900">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207</w:t>
            </w:r>
          </w:p>
        </w:tc>
        <w:tc>
          <w:tcPr>
            <w:tcW w:w="621" w:type="dxa"/>
            <w:tcBorders>
              <w:top w:val="nil"/>
              <w:left w:val="nil"/>
              <w:bottom w:val="nil"/>
              <w:right w:val="nil"/>
            </w:tcBorders>
            <w:shd w:val="clear" w:color="auto" w:fill="auto"/>
            <w:noWrap/>
            <w:vAlign w:val="center"/>
          </w:tcPr>
          <w:p w14:paraId="186A2A9D" w14:textId="77777777" w:rsidR="00152900" w:rsidRPr="008A7800" w:rsidRDefault="00152900" w:rsidP="00152900">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5.5</w:t>
            </w:r>
          </w:p>
        </w:tc>
        <w:tc>
          <w:tcPr>
            <w:tcW w:w="1096" w:type="dxa"/>
            <w:tcBorders>
              <w:top w:val="nil"/>
              <w:left w:val="nil"/>
              <w:bottom w:val="nil"/>
              <w:right w:val="single" w:sz="4" w:space="0" w:color="000000"/>
            </w:tcBorders>
            <w:shd w:val="clear" w:color="auto" w:fill="auto"/>
            <w:noWrap/>
            <w:vAlign w:val="center"/>
          </w:tcPr>
          <w:p w14:paraId="3BF189B3" w14:textId="77777777" w:rsidR="00152900" w:rsidRPr="008A7800" w:rsidRDefault="00152900" w:rsidP="00152900">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(4.7, 6.4)</w:t>
            </w:r>
          </w:p>
        </w:tc>
        <w:tc>
          <w:tcPr>
            <w:tcW w:w="616" w:type="dxa"/>
            <w:tcBorders>
              <w:top w:val="nil"/>
              <w:left w:val="single" w:sz="4" w:space="0" w:color="000000"/>
              <w:bottom w:val="nil"/>
              <w:right w:val="nil"/>
            </w:tcBorders>
            <w:shd w:val="clear" w:color="auto" w:fill="auto"/>
            <w:vAlign w:val="center"/>
          </w:tcPr>
          <w:p w14:paraId="3C3C6880" w14:textId="77777777" w:rsidR="00152900" w:rsidRPr="008A7800"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162</w:t>
            </w:r>
          </w:p>
        </w:tc>
        <w:tc>
          <w:tcPr>
            <w:tcW w:w="567" w:type="dxa"/>
            <w:tcBorders>
              <w:top w:val="nil"/>
              <w:left w:val="nil"/>
              <w:bottom w:val="nil"/>
              <w:right w:val="nil"/>
            </w:tcBorders>
            <w:shd w:val="clear" w:color="auto" w:fill="auto"/>
            <w:vAlign w:val="center"/>
          </w:tcPr>
          <w:p w14:paraId="7481D37C" w14:textId="77777777" w:rsidR="00152900" w:rsidRPr="008A7800"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5.2</w:t>
            </w:r>
          </w:p>
        </w:tc>
        <w:tc>
          <w:tcPr>
            <w:tcW w:w="1146" w:type="dxa"/>
            <w:tcBorders>
              <w:top w:val="nil"/>
              <w:left w:val="nil"/>
              <w:bottom w:val="nil"/>
              <w:right w:val="single" w:sz="4" w:space="0" w:color="000000"/>
            </w:tcBorders>
            <w:shd w:val="clear" w:color="auto" w:fill="auto"/>
            <w:vAlign w:val="center"/>
          </w:tcPr>
          <w:p w14:paraId="339B25D9" w14:textId="77777777" w:rsidR="00152900" w:rsidRPr="008A7800"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(4.3, 6.1)</w:t>
            </w:r>
          </w:p>
        </w:tc>
        <w:tc>
          <w:tcPr>
            <w:tcW w:w="666" w:type="dxa"/>
            <w:tcBorders>
              <w:top w:val="nil"/>
              <w:left w:val="single" w:sz="4" w:space="0" w:color="000000"/>
              <w:bottom w:val="nil"/>
              <w:right w:val="nil"/>
            </w:tcBorders>
            <w:shd w:val="clear" w:color="auto" w:fill="auto"/>
            <w:vAlign w:val="center"/>
          </w:tcPr>
          <w:p w14:paraId="6207BB97" w14:textId="77777777" w:rsidR="00152900" w:rsidRPr="008A7800"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151</w:t>
            </w:r>
          </w:p>
        </w:tc>
        <w:tc>
          <w:tcPr>
            <w:tcW w:w="567" w:type="dxa"/>
            <w:tcBorders>
              <w:top w:val="nil"/>
              <w:left w:val="nil"/>
              <w:bottom w:val="nil"/>
              <w:right w:val="nil"/>
            </w:tcBorders>
            <w:shd w:val="clear" w:color="auto" w:fill="auto"/>
            <w:vAlign w:val="center"/>
          </w:tcPr>
          <w:p w14:paraId="5DB46DD0" w14:textId="77777777" w:rsidR="00152900" w:rsidRPr="008A7800"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5.5</w:t>
            </w:r>
          </w:p>
        </w:tc>
        <w:tc>
          <w:tcPr>
            <w:tcW w:w="1146" w:type="dxa"/>
            <w:tcBorders>
              <w:top w:val="nil"/>
              <w:left w:val="nil"/>
              <w:bottom w:val="nil"/>
              <w:right w:val="nil"/>
            </w:tcBorders>
            <w:shd w:val="clear" w:color="auto" w:fill="auto"/>
            <w:vAlign w:val="center"/>
          </w:tcPr>
          <w:p w14:paraId="6DE5BC38" w14:textId="77777777" w:rsidR="00152900" w:rsidRPr="008A7800"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(4.5, 6.4)</w:t>
            </w:r>
          </w:p>
        </w:tc>
      </w:tr>
      <w:tr w:rsidR="009118DA" w:rsidRPr="008A7800" w14:paraId="0F0D8CF9"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bottom"/>
          </w:tcPr>
          <w:p w14:paraId="4861973B" w14:textId="77777777" w:rsidR="00152900" w:rsidRPr="00152900" w:rsidRDefault="00152900" w:rsidP="00152900">
            <w:pPr>
              <w:spacing w:before="20" w:after="60"/>
              <w:ind w:left="34"/>
              <w:rPr>
                <w:rFonts w:eastAsiaTheme="minorEastAsia"/>
                <w:b w:val="0"/>
                <w:sz w:val="18"/>
                <w:szCs w:val="18"/>
                <w:lang w:eastAsia="en-US"/>
              </w:rPr>
            </w:pPr>
            <w:r w:rsidRPr="00152900">
              <w:rPr>
                <w:rFonts w:eastAsiaTheme="minorEastAsia"/>
                <w:b w:val="0"/>
                <w:sz w:val="18"/>
                <w:szCs w:val="18"/>
                <w:lang w:eastAsia="en-US"/>
              </w:rPr>
              <w:t>Severe (Score 20 - 40)</w:t>
            </w:r>
          </w:p>
        </w:tc>
        <w:tc>
          <w:tcPr>
            <w:tcW w:w="666" w:type="dxa"/>
            <w:tcBorders>
              <w:top w:val="nil"/>
              <w:left w:val="nil"/>
              <w:bottom w:val="nil"/>
              <w:right w:val="nil"/>
            </w:tcBorders>
            <w:shd w:val="clear" w:color="auto" w:fill="auto"/>
            <w:noWrap/>
            <w:vAlign w:val="center"/>
          </w:tcPr>
          <w:p w14:paraId="62F37C50" w14:textId="77777777" w:rsidR="00152900" w:rsidRPr="008A7800" w:rsidRDefault="00152900" w:rsidP="00152900">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107</w:t>
            </w:r>
          </w:p>
        </w:tc>
        <w:tc>
          <w:tcPr>
            <w:tcW w:w="567" w:type="dxa"/>
            <w:tcBorders>
              <w:top w:val="nil"/>
              <w:left w:val="nil"/>
              <w:bottom w:val="nil"/>
              <w:right w:val="nil"/>
            </w:tcBorders>
            <w:shd w:val="clear" w:color="auto" w:fill="auto"/>
            <w:noWrap/>
            <w:vAlign w:val="center"/>
          </w:tcPr>
          <w:p w14:paraId="31F4E6A6" w14:textId="77777777" w:rsidR="00152900" w:rsidRPr="008A7800" w:rsidRDefault="00152900" w:rsidP="00152900">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1.7</w:t>
            </w:r>
          </w:p>
        </w:tc>
        <w:tc>
          <w:tcPr>
            <w:tcW w:w="1191" w:type="dxa"/>
            <w:tcBorders>
              <w:top w:val="nil"/>
              <w:left w:val="nil"/>
              <w:bottom w:val="nil"/>
              <w:right w:val="single" w:sz="4" w:space="0" w:color="auto"/>
            </w:tcBorders>
            <w:shd w:val="clear" w:color="auto" w:fill="auto"/>
            <w:noWrap/>
            <w:vAlign w:val="center"/>
          </w:tcPr>
          <w:p w14:paraId="1B414320" w14:textId="77777777" w:rsidR="00152900" w:rsidRPr="008A7800" w:rsidRDefault="00152900" w:rsidP="00152900">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(1.4, 2.6)</w:t>
            </w:r>
          </w:p>
        </w:tc>
        <w:tc>
          <w:tcPr>
            <w:tcW w:w="666" w:type="dxa"/>
            <w:tcBorders>
              <w:top w:val="nil"/>
              <w:left w:val="single" w:sz="4" w:space="0" w:color="auto"/>
              <w:bottom w:val="nil"/>
              <w:right w:val="nil"/>
            </w:tcBorders>
            <w:shd w:val="clear" w:color="auto" w:fill="auto"/>
            <w:noWrap/>
            <w:vAlign w:val="center"/>
          </w:tcPr>
          <w:p w14:paraId="31B8EDC7" w14:textId="77777777" w:rsidR="00152900" w:rsidRPr="008A7800" w:rsidRDefault="00152900" w:rsidP="00152900">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48</w:t>
            </w:r>
          </w:p>
        </w:tc>
        <w:tc>
          <w:tcPr>
            <w:tcW w:w="621" w:type="dxa"/>
            <w:tcBorders>
              <w:top w:val="nil"/>
              <w:left w:val="nil"/>
              <w:bottom w:val="nil"/>
              <w:right w:val="nil"/>
            </w:tcBorders>
            <w:shd w:val="clear" w:color="auto" w:fill="auto"/>
            <w:noWrap/>
            <w:vAlign w:val="center"/>
          </w:tcPr>
          <w:p w14:paraId="1E86CC41" w14:textId="77777777" w:rsidR="00152900" w:rsidRPr="008A7800" w:rsidRDefault="00152900" w:rsidP="00152900">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1.3</w:t>
            </w:r>
          </w:p>
        </w:tc>
        <w:tc>
          <w:tcPr>
            <w:tcW w:w="1096" w:type="dxa"/>
            <w:tcBorders>
              <w:top w:val="nil"/>
              <w:left w:val="nil"/>
              <w:bottom w:val="nil"/>
              <w:right w:val="single" w:sz="4" w:space="0" w:color="000000"/>
            </w:tcBorders>
            <w:shd w:val="clear" w:color="auto" w:fill="auto"/>
            <w:noWrap/>
            <w:vAlign w:val="center"/>
          </w:tcPr>
          <w:p w14:paraId="34568EBD" w14:textId="77777777" w:rsidR="00152900" w:rsidRPr="008A7800" w:rsidRDefault="00152900" w:rsidP="00152900">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(0.9, 1.7)</w:t>
            </w:r>
          </w:p>
        </w:tc>
        <w:tc>
          <w:tcPr>
            <w:tcW w:w="616" w:type="dxa"/>
            <w:tcBorders>
              <w:top w:val="nil"/>
              <w:left w:val="single" w:sz="4" w:space="0" w:color="000000"/>
              <w:bottom w:val="nil"/>
              <w:right w:val="nil"/>
            </w:tcBorders>
            <w:shd w:val="clear" w:color="auto" w:fill="auto"/>
            <w:vAlign w:val="center"/>
          </w:tcPr>
          <w:p w14:paraId="77AEBA2E" w14:textId="77777777" w:rsidR="00152900" w:rsidRPr="008A7800"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52</w:t>
            </w:r>
          </w:p>
        </w:tc>
        <w:tc>
          <w:tcPr>
            <w:tcW w:w="567" w:type="dxa"/>
            <w:tcBorders>
              <w:top w:val="nil"/>
              <w:left w:val="nil"/>
              <w:bottom w:val="nil"/>
              <w:right w:val="nil"/>
            </w:tcBorders>
            <w:shd w:val="clear" w:color="auto" w:fill="auto"/>
            <w:vAlign w:val="center"/>
          </w:tcPr>
          <w:p w14:paraId="05296888" w14:textId="77777777" w:rsidR="00152900" w:rsidRPr="008A7800"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1.7</w:t>
            </w:r>
          </w:p>
        </w:tc>
        <w:tc>
          <w:tcPr>
            <w:tcW w:w="1146" w:type="dxa"/>
            <w:tcBorders>
              <w:top w:val="nil"/>
              <w:left w:val="nil"/>
              <w:bottom w:val="nil"/>
              <w:right w:val="single" w:sz="4" w:space="0" w:color="000000"/>
            </w:tcBorders>
            <w:shd w:val="clear" w:color="auto" w:fill="auto"/>
            <w:vAlign w:val="center"/>
          </w:tcPr>
          <w:p w14:paraId="209BD996" w14:textId="77777777" w:rsidR="00152900" w:rsidRPr="008A7800"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(1.1, 2.3)</w:t>
            </w:r>
          </w:p>
        </w:tc>
        <w:tc>
          <w:tcPr>
            <w:tcW w:w="666" w:type="dxa"/>
            <w:tcBorders>
              <w:top w:val="nil"/>
              <w:left w:val="single" w:sz="4" w:space="0" w:color="000000"/>
              <w:bottom w:val="nil"/>
              <w:right w:val="nil"/>
            </w:tcBorders>
            <w:shd w:val="clear" w:color="auto" w:fill="auto"/>
            <w:vAlign w:val="center"/>
          </w:tcPr>
          <w:p w14:paraId="15F72177" w14:textId="77777777" w:rsidR="00152900" w:rsidRPr="008A7800"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40</w:t>
            </w:r>
          </w:p>
        </w:tc>
        <w:tc>
          <w:tcPr>
            <w:tcW w:w="567" w:type="dxa"/>
            <w:tcBorders>
              <w:top w:val="nil"/>
              <w:left w:val="nil"/>
              <w:bottom w:val="nil"/>
              <w:right w:val="nil"/>
            </w:tcBorders>
            <w:shd w:val="clear" w:color="auto" w:fill="auto"/>
            <w:vAlign w:val="center"/>
          </w:tcPr>
          <w:p w14:paraId="44CBA121" w14:textId="77777777" w:rsidR="00152900" w:rsidRPr="008A7800"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1.4</w:t>
            </w:r>
          </w:p>
        </w:tc>
        <w:tc>
          <w:tcPr>
            <w:tcW w:w="1146" w:type="dxa"/>
            <w:tcBorders>
              <w:top w:val="nil"/>
              <w:left w:val="nil"/>
              <w:bottom w:val="nil"/>
              <w:right w:val="nil"/>
            </w:tcBorders>
            <w:shd w:val="clear" w:color="auto" w:fill="auto"/>
            <w:vAlign w:val="center"/>
          </w:tcPr>
          <w:p w14:paraId="52F15317" w14:textId="77777777" w:rsidR="00152900" w:rsidRPr="008A7800"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(0.8, 2.1)</w:t>
            </w:r>
          </w:p>
        </w:tc>
      </w:tr>
      <w:tr w:rsidR="009118DA" w:rsidRPr="008A7800" w14:paraId="67DC8238"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center"/>
          </w:tcPr>
          <w:p w14:paraId="15E5EA5A" w14:textId="77777777" w:rsidR="001E2F74" w:rsidRPr="008A7800" w:rsidRDefault="001E2F74" w:rsidP="00A31BD8">
            <w:pPr>
              <w:spacing w:before="20" w:after="60"/>
              <w:ind w:left="34"/>
              <w:rPr>
                <w:rFonts w:eastAsiaTheme="minorEastAsia"/>
                <w:b w:val="0"/>
                <w:sz w:val="18"/>
                <w:szCs w:val="18"/>
                <w:lang w:eastAsia="en-US"/>
              </w:rPr>
            </w:pPr>
            <w:r w:rsidRPr="008A7800">
              <w:rPr>
                <w:rFonts w:eastAsiaTheme="minorEastAsia"/>
                <w:b w:val="0"/>
                <w:sz w:val="18"/>
                <w:szCs w:val="18"/>
                <w:lang w:eastAsia="en-US"/>
              </w:rPr>
              <w:t>Missing</w:t>
            </w:r>
          </w:p>
        </w:tc>
        <w:tc>
          <w:tcPr>
            <w:tcW w:w="666" w:type="dxa"/>
            <w:tcBorders>
              <w:top w:val="nil"/>
              <w:left w:val="nil"/>
              <w:bottom w:val="nil"/>
              <w:right w:val="nil"/>
            </w:tcBorders>
            <w:shd w:val="clear" w:color="auto" w:fill="auto"/>
            <w:noWrap/>
            <w:vAlign w:val="center"/>
          </w:tcPr>
          <w:p w14:paraId="305C3385"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5</w:t>
            </w:r>
          </w:p>
        </w:tc>
        <w:tc>
          <w:tcPr>
            <w:tcW w:w="567" w:type="dxa"/>
            <w:tcBorders>
              <w:top w:val="nil"/>
              <w:left w:val="nil"/>
              <w:bottom w:val="nil"/>
              <w:right w:val="nil"/>
            </w:tcBorders>
            <w:shd w:val="clear" w:color="auto" w:fill="auto"/>
            <w:noWrap/>
            <w:vAlign w:val="center"/>
          </w:tcPr>
          <w:p w14:paraId="5C315154"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w:t>
            </w:r>
          </w:p>
        </w:tc>
        <w:tc>
          <w:tcPr>
            <w:tcW w:w="1191" w:type="dxa"/>
            <w:tcBorders>
              <w:top w:val="nil"/>
              <w:left w:val="nil"/>
              <w:bottom w:val="nil"/>
              <w:right w:val="single" w:sz="4" w:space="0" w:color="auto"/>
            </w:tcBorders>
            <w:shd w:val="clear" w:color="auto" w:fill="auto"/>
            <w:noWrap/>
            <w:vAlign w:val="center"/>
          </w:tcPr>
          <w:p w14:paraId="6B09DF73"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666" w:type="dxa"/>
            <w:tcBorders>
              <w:top w:val="nil"/>
              <w:left w:val="single" w:sz="4" w:space="0" w:color="auto"/>
              <w:bottom w:val="nil"/>
              <w:right w:val="nil"/>
            </w:tcBorders>
            <w:shd w:val="clear" w:color="auto" w:fill="auto"/>
            <w:noWrap/>
            <w:vAlign w:val="center"/>
          </w:tcPr>
          <w:p w14:paraId="74CE3A1B"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w:t>
            </w:r>
          </w:p>
        </w:tc>
        <w:tc>
          <w:tcPr>
            <w:tcW w:w="621" w:type="dxa"/>
            <w:tcBorders>
              <w:top w:val="nil"/>
              <w:left w:val="nil"/>
              <w:bottom w:val="nil"/>
              <w:right w:val="nil"/>
            </w:tcBorders>
            <w:shd w:val="clear" w:color="auto" w:fill="auto"/>
            <w:noWrap/>
            <w:vAlign w:val="center"/>
          </w:tcPr>
          <w:p w14:paraId="26981D6A"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w:t>
            </w:r>
          </w:p>
        </w:tc>
        <w:tc>
          <w:tcPr>
            <w:tcW w:w="1096" w:type="dxa"/>
            <w:tcBorders>
              <w:top w:val="nil"/>
              <w:left w:val="nil"/>
              <w:bottom w:val="nil"/>
              <w:right w:val="single" w:sz="4" w:space="0" w:color="000000"/>
            </w:tcBorders>
            <w:shd w:val="clear" w:color="auto" w:fill="auto"/>
            <w:noWrap/>
            <w:vAlign w:val="center"/>
          </w:tcPr>
          <w:p w14:paraId="34AD2BDF"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616" w:type="dxa"/>
            <w:tcBorders>
              <w:top w:val="nil"/>
              <w:left w:val="single" w:sz="4" w:space="0" w:color="000000"/>
              <w:bottom w:val="nil"/>
              <w:right w:val="nil"/>
            </w:tcBorders>
            <w:shd w:val="clear" w:color="auto" w:fill="auto"/>
            <w:vAlign w:val="center"/>
          </w:tcPr>
          <w:p w14:paraId="7278E4F9"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567" w:type="dxa"/>
            <w:tcBorders>
              <w:top w:val="nil"/>
              <w:left w:val="nil"/>
              <w:bottom w:val="nil"/>
              <w:right w:val="nil"/>
            </w:tcBorders>
            <w:shd w:val="clear" w:color="auto" w:fill="auto"/>
            <w:vAlign w:val="center"/>
          </w:tcPr>
          <w:p w14:paraId="22F511EE"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1146" w:type="dxa"/>
            <w:tcBorders>
              <w:top w:val="nil"/>
              <w:left w:val="nil"/>
              <w:bottom w:val="nil"/>
              <w:right w:val="single" w:sz="4" w:space="0" w:color="000000"/>
            </w:tcBorders>
            <w:shd w:val="clear" w:color="auto" w:fill="auto"/>
            <w:vAlign w:val="center"/>
          </w:tcPr>
          <w:p w14:paraId="2EBD9979"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666" w:type="dxa"/>
            <w:tcBorders>
              <w:top w:val="nil"/>
              <w:left w:val="single" w:sz="4" w:space="0" w:color="000000"/>
              <w:bottom w:val="nil"/>
              <w:right w:val="nil"/>
            </w:tcBorders>
            <w:shd w:val="clear" w:color="auto" w:fill="auto"/>
            <w:vAlign w:val="center"/>
          </w:tcPr>
          <w:p w14:paraId="3AB591C5"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w:t>
            </w:r>
          </w:p>
        </w:tc>
        <w:tc>
          <w:tcPr>
            <w:tcW w:w="567" w:type="dxa"/>
            <w:tcBorders>
              <w:top w:val="nil"/>
              <w:left w:val="nil"/>
              <w:bottom w:val="nil"/>
              <w:right w:val="nil"/>
            </w:tcBorders>
            <w:shd w:val="clear" w:color="auto" w:fill="auto"/>
            <w:vAlign w:val="center"/>
          </w:tcPr>
          <w:p w14:paraId="62A61219"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w:t>
            </w:r>
          </w:p>
        </w:tc>
        <w:tc>
          <w:tcPr>
            <w:tcW w:w="1146" w:type="dxa"/>
            <w:tcBorders>
              <w:top w:val="nil"/>
              <w:left w:val="nil"/>
              <w:bottom w:val="nil"/>
              <w:right w:val="nil"/>
            </w:tcBorders>
            <w:shd w:val="clear" w:color="auto" w:fill="auto"/>
            <w:vAlign w:val="center"/>
          </w:tcPr>
          <w:p w14:paraId="181139A1"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2E64B9" w:rsidRPr="008A7800" w14:paraId="290287A6"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5964" w:type="dxa"/>
            <w:gridSpan w:val="4"/>
            <w:tcBorders>
              <w:top w:val="nil"/>
              <w:left w:val="nil"/>
              <w:bottom w:val="nil"/>
              <w:right w:val="single" w:sz="4" w:space="0" w:color="auto"/>
            </w:tcBorders>
            <w:shd w:val="clear" w:color="auto" w:fill="auto"/>
            <w:vAlign w:val="center"/>
          </w:tcPr>
          <w:p w14:paraId="117C890B" w14:textId="77777777" w:rsidR="001E2F74" w:rsidRPr="008A7800" w:rsidRDefault="001E2F74" w:rsidP="00063DE7">
            <w:pPr>
              <w:spacing w:before="20" w:after="20"/>
              <w:rPr>
                <w:rFonts w:eastAsiaTheme="minorEastAsia"/>
                <w:sz w:val="18"/>
                <w:szCs w:val="18"/>
                <w:lang w:eastAsia="en-US"/>
              </w:rPr>
            </w:pPr>
            <w:r w:rsidRPr="008A7800">
              <w:rPr>
                <w:rFonts w:eastAsiaTheme="minorEastAsia"/>
                <w:sz w:val="18"/>
                <w:szCs w:val="18"/>
                <w:lang w:eastAsia="en-US"/>
              </w:rPr>
              <w:t>Hazardous alcohol consumption (AUDIT-C)</w:t>
            </w:r>
          </w:p>
        </w:tc>
        <w:tc>
          <w:tcPr>
            <w:tcW w:w="666" w:type="dxa"/>
            <w:tcBorders>
              <w:top w:val="nil"/>
              <w:left w:val="single" w:sz="4" w:space="0" w:color="auto"/>
              <w:bottom w:val="nil"/>
              <w:right w:val="nil"/>
            </w:tcBorders>
            <w:shd w:val="clear" w:color="auto" w:fill="auto"/>
            <w:noWrap/>
            <w:vAlign w:val="center"/>
          </w:tcPr>
          <w:p w14:paraId="71A237A5" w14:textId="77777777" w:rsidR="001E2F74" w:rsidRPr="008A7800" w:rsidRDefault="001E2F74" w:rsidP="00063DE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nil"/>
              <w:left w:val="nil"/>
              <w:bottom w:val="nil"/>
              <w:right w:val="nil"/>
            </w:tcBorders>
            <w:shd w:val="clear" w:color="auto" w:fill="auto"/>
            <w:noWrap/>
            <w:vAlign w:val="center"/>
          </w:tcPr>
          <w:p w14:paraId="773DAE2C" w14:textId="77777777" w:rsidR="001E2F74" w:rsidRPr="008A7800" w:rsidRDefault="001E2F74" w:rsidP="00063DE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096" w:type="dxa"/>
            <w:tcBorders>
              <w:top w:val="nil"/>
              <w:left w:val="nil"/>
              <w:bottom w:val="nil"/>
              <w:right w:val="single" w:sz="4" w:space="0" w:color="000000"/>
            </w:tcBorders>
            <w:shd w:val="clear" w:color="auto" w:fill="auto"/>
            <w:noWrap/>
            <w:vAlign w:val="center"/>
          </w:tcPr>
          <w:p w14:paraId="144FCA4B" w14:textId="77777777" w:rsidR="001E2F74" w:rsidRPr="008A7800" w:rsidRDefault="001E2F74" w:rsidP="00063DE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16" w:type="dxa"/>
            <w:tcBorders>
              <w:top w:val="nil"/>
              <w:left w:val="single" w:sz="4" w:space="0" w:color="000000"/>
              <w:bottom w:val="nil"/>
              <w:right w:val="nil"/>
            </w:tcBorders>
            <w:shd w:val="clear" w:color="auto" w:fill="auto"/>
            <w:vAlign w:val="center"/>
          </w:tcPr>
          <w:p w14:paraId="54105FE9" w14:textId="77777777" w:rsidR="001E2F74" w:rsidRPr="008A7800" w:rsidRDefault="001E2F74" w:rsidP="00063DE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shd w:val="clear" w:color="auto" w:fill="auto"/>
            <w:vAlign w:val="center"/>
          </w:tcPr>
          <w:p w14:paraId="133C3E1F" w14:textId="77777777" w:rsidR="001E2F74" w:rsidRPr="008A7800" w:rsidRDefault="001E2F74" w:rsidP="00063DE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146" w:type="dxa"/>
            <w:tcBorders>
              <w:top w:val="nil"/>
              <w:left w:val="nil"/>
              <w:bottom w:val="nil"/>
              <w:right w:val="single" w:sz="4" w:space="0" w:color="000000"/>
            </w:tcBorders>
            <w:shd w:val="clear" w:color="auto" w:fill="auto"/>
            <w:vAlign w:val="center"/>
          </w:tcPr>
          <w:p w14:paraId="0927E1E3" w14:textId="77777777" w:rsidR="001E2F74" w:rsidRPr="008A7800" w:rsidRDefault="001E2F74" w:rsidP="00063DE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666" w:type="dxa"/>
            <w:tcBorders>
              <w:top w:val="nil"/>
              <w:left w:val="single" w:sz="4" w:space="0" w:color="000000"/>
              <w:bottom w:val="nil"/>
              <w:right w:val="nil"/>
            </w:tcBorders>
            <w:shd w:val="clear" w:color="auto" w:fill="auto"/>
            <w:vAlign w:val="center"/>
          </w:tcPr>
          <w:p w14:paraId="5A1184E6" w14:textId="77777777" w:rsidR="001E2F74" w:rsidRPr="008A7800" w:rsidRDefault="001E2F74" w:rsidP="00063DE7">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shd w:val="clear" w:color="auto" w:fill="auto"/>
            <w:vAlign w:val="center"/>
          </w:tcPr>
          <w:p w14:paraId="6D2457AC" w14:textId="77777777" w:rsidR="001E2F74" w:rsidRPr="008A7800" w:rsidRDefault="001E2F74" w:rsidP="00063DE7">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146" w:type="dxa"/>
            <w:tcBorders>
              <w:top w:val="nil"/>
              <w:left w:val="nil"/>
              <w:bottom w:val="nil"/>
              <w:right w:val="nil"/>
            </w:tcBorders>
            <w:shd w:val="clear" w:color="auto" w:fill="auto"/>
            <w:vAlign w:val="center"/>
          </w:tcPr>
          <w:p w14:paraId="264465CF" w14:textId="77777777" w:rsidR="001E2F74" w:rsidRPr="008A7800" w:rsidRDefault="001E2F74" w:rsidP="00063DE7">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118DA" w:rsidRPr="008A7800" w14:paraId="175EE5FA"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center"/>
          </w:tcPr>
          <w:p w14:paraId="611AAFCA" w14:textId="77777777" w:rsidR="001E2F74" w:rsidRPr="008A7800" w:rsidRDefault="001E2F74" w:rsidP="00063DE7">
            <w:pPr>
              <w:spacing w:before="20" w:after="20"/>
              <w:ind w:left="34"/>
              <w:rPr>
                <w:rFonts w:eastAsiaTheme="minorEastAsia"/>
                <w:b w:val="0"/>
                <w:sz w:val="18"/>
                <w:szCs w:val="18"/>
                <w:lang w:eastAsia="en-US"/>
              </w:rPr>
            </w:pPr>
            <w:r w:rsidRPr="008A7800">
              <w:rPr>
                <w:rFonts w:eastAsiaTheme="minorEastAsia"/>
                <w:b w:val="0"/>
                <w:sz w:val="18"/>
                <w:szCs w:val="18"/>
                <w:lang w:eastAsia="en-US"/>
              </w:rPr>
              <w:t>No</w:t>
            </w:r>
          </w:p>
        </w:tc>
        <w:tc>
          <w:tcPr>
            <w:tcW w:w="666" w:type="dxa"/>
            <w:tcBorders>
              <w:top w:val="nil"/>
              <w:left w:val="nil"/>
              <w:bottom w:val="nil"/>
              <w:right w:val="nil"/>
            </w:tcBorders>
            <w:shd w:val="clear" w:color="auto" w:fill="auto"/>
            <w:noWrap/>
            <w:vAlign w:val="center"/>
          </w:tcPr>
          <w:p w14:paraId="57D6B2F8" w14:textId="77777777" w:rsidR="001E2F74" w:rsidRPr="008A7800" w:rsidRDefault="001E2F74" w:rsidP="00063DE7">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3925</w:t>
            </w:r>
          </w:p>
        </w:tc>
        <w:tc>
          <w:tcPr>
            <w:tcW w:w="567" w:type="dxa"/>
            <w:tcBorders>
              <w:top w:val="nil"/>
              <w:left w:val="nil"/>
              <w:bottom w:val="nil"/>
              <w:right w:val="nil"/>
            </w:tcBorders>
            <w:shd w:val="clear" w:color="auto" w:fill="auto"/>
            <w:noWrap/>
            <w:vAlign w:val="center"/>
          </w:tcPr>
          <w:p w14:paraId="629CC515" w14:textId="77777777" w:rsidR="001E2F74" w:rsidRPr="008A7800" w:rsidRDefault="001E2F74" w:rsidP="00063DE7">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62.9</w:t>
            </w:r>
          </w:p>
        </w:tc>
        <w:tc>
          <w:tcPr>
            <w:tcW w:w="1191" w:type="dxa"/>
            <w:tcBorders>
              <w:top w:val="nil"/>
              <w:left w:val="nil"/>
              <w:bottom w:val="nil"/>
              <w:right w:val="single" w:sz="4" w:space="0" w:color="auto"/>
            </w:tcBorders>
            <w:shd w:val="clear" w:color="auto" w:fill="auto"/>
            <w:noWrap/>
            <w:vAlign w:val="center"/>
          </w:tcPr>
          <w:p w14:paraId="3341B389" w14:textId="77777777" w:rsidR="001E2F74" w:rsidRPr="008A7800" w:rsidRDefault="001E2F74" w:rsidP="00063DE7">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(61.4, 64.3)</w:t>
            </w:r>
          </w:p>
        </w:tc>
        <w:tc>
          <w:tcPr>
            <w:tcW w:w="666" w:type="dxa"/>
            <w:tcBorders>
              <w:top w:val="nil"/>
              <w:left w:val="single" w:sz="4" w:space="0" w:color="auto"/>
              <w:bottom w:val="nil"/>
              <w:right w:val="nil"/>
            </w:tcBorders>
            <w:shd w:val="clear" w:color="auto" w:fill="auto"/>
            <w:noWrap/>
            <w:vAlign w:val="center"/>
          </w:tcPr>
          <w:p w14:paraId="7A9160BD" w14:textId="77777777" w:rsidR="001E2F74" w:rsidRPr="008A7800" w:rsidRDefault="001E2F74" w:rsidP="00063DE7">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2437</w:t>
            </w:r>
          </w:p>
        </w:tc>
        <w:tc>
          <w:tcPr>
            <w:tcW w:w="621" w:type="dxa"/>
            <w:tcBorders>
              <w:top w:val="nil"/>
              <w:left w:val="nil"/>
              <w:bottom w:val="nil"/>
              <w:right w:val="nil"/>
            </w:tcBorders>
            <w:shd w:val="clear" w:color="auto" w:fill="auto"/>
            <w:noWrap/>
            <w:vAlign w:val="center"/>
          </w:tcPr>
          <w:p w14:paraId="363927ED" w14:textId="77777777" w:rsidR="001E2F74" w:rsidRPr="008A7800" w:rsidRDefault="001E2F74" w:rsidP="00063DE7">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65.1</w:t>
            </w:r>
          </w:p>
        </w:tc>
        <w:tc>
          <w:tcPr>
            <w:tcW w:w="1096" w:type="dxa"/>
            <w:tcBorders>
              <w:top w:val="nil"/>
              <w:left w:val="nil"/>
              <w:bottom w:val="nil"/>
              <w:right w:val="single" w:sz="4" w:space="0" w:color="000000"/>
            </w:tcBorders>
            <w:shd w:val="clear" w:color="auto" w:fill="auto"/>
            <w:noWrap/>
            <w:vAlign w:val="center"/>
          </w:tcPr>
          <w:p w14:paraId="49BD6CEA" w14:textId="77777777" w:rsidR="001E2F74" w:rsidRPr="008A7800" w:rsidRDefault="001E2F74" w:rsidP="00063DE7">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(63.2, 66.9)</w:t>
            </w:r>
          </w:p>
        </w:tc>
        <w:tc>
          <w:tcPr>
            <w:tcW w:w="616" w:type="dxa"/>
            <w:tcBorders>
              <w:top w:val="nil"/>
              <w:left w:val="single" w:sz="4" w:space="0" w:color="000000"/>
              <w:bottom w:val="nil"/>
              <w:right w:val="nil"/>
            </w:tcBorders>
            <w:shd w:val="clear" w:color="auto" w:fill="auto"/>
            <w:vAlign w:val="center"/>
          </w:tcPr>
          <w:p w14:paraId="0308213B" w14:textId="77777777" w:rsidR="001E2F74" w:rsidRPr="008A7800" w:rsidRDefault="001E2F74" w:rsidP="00063DE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2087</w:t>
            </w:r>
          </w:p>
        </w:tc>
        <w:tc>
          <w:tcPr>
            <w:tcW w:w="567" w:type="dxa"/>
            <w:tcBorders>
              <w:top w:val="nil"/>
              <w:left w:val="nil"/>
              <w:bottom w:val="nil"/>
              <w:right w:val="nil"/>
            </w:tcBorders>
            <w:shd w:val="clear" w:color="auto" w:fill="auto"/>
            <w:vAlign w:val="center"/>
          </w:tcPr>
          <w:p w14:paraId="69EF8E33" w14:textId="77777777" w:rsidR="001E2F74" w:rsidRPr="008A7800" w:rsidRDefault="001E2F74" w:rsidP="00063DE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66.9</w:t>
            </w:r>
          </w:p>
        </w:tc>
        <w:tc>
          <w:tcPr>
            <w:tcW w:w="1146" w:type="dxa"/>
            <w:tcBorders>
              <w:top w:val="nil"/>
              <w:left w:val="nil"/>
              <w:bottom w:val="nil"/>
              <w:right w:val="single" w:sz="4" w:space="0" w:color="000000"/>
            </w:tcBorders>
            <w:shd w:val="clear" w:color="auto" w:fill="auto"/>
            <w:vAlign w:val="center"/>
          </w:tcPr>
          <w:p w14:paraId="262F3C75" w14:textId="77777777" w:rsidR="001E2F74" w:rsidRPr="008A7800" w:rsidRDefault="001E2F74" w:rsidP="00063DE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(64.8, 69.0)</w:t>
            </w:r>
          </w:p>
        </w:tc>
        <w:tc>
          <w:tcPr>
            <w:tcW w:w="666" w:type="dxa"/>
            <w:tcBorders>
              <w:top w:val="nil"/>
              <w:left w:val="single" w:sz="4" w:space="0" w:color="000000"/>
              <w:bottom w:val="nil"/>
              <w:right w:val="nil"/>
            </w:tcBorders>
            <w:shd w:val="clear" w:color="auto" w:fill="auto"/>
            <w:vAlign w:val="center"/>
          </w:tcPr>
          <w:p w14:paraId="7D2F1DA1" w14:textId="77777777" w:rsidR="001E2F74" w:rsidRPr="008A7800" w:rsidRDefault="001E2F74" w:rsidP="00063DE7">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1928</w:t>
            </w:r>
          </w:p>
        </w:tc>
        <w:tc>
          <w:tcPr>
            <w:tcW w:w="567" w:type="dxa"/>
            <w:tcBorders>
              <w:top w:val="nil"/>
              <w:left w:val="nil"/>
              <w:bottom w:val="nil"/>
              <w:right w:val="nil"/>
            </w:tcBorders>
            <w:shd w:val="clear" w:color="auto" w:fill="auto"/>
            <w:vAlign w:val="center"/>
          </w:tcPr>
          <w:p w14:paraId="1390B47C" w14:textId="77777777" w:rsidR="001E2F74" w:rsidRPr="008A7800" w:rsidRDefault="001E2F74" w:rsidP="00063DE7">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69.6</w:t>
            </w:r>
          </w:p>
        </w:tc>
        <w:tc>
          <w:tcPr>
            <w:tcW w:w="1146" w:type="dxa"/>
            <w:tcBorders>
              <w:top w:val="nil"/>
              <w:left w:val="nil"/>
              <w:bottom w:val="nil"/>
              <w:right w:val="nil"/>
            </w:tcBorders>
            <w:shd w:val="clear" w:color="auto" w:fill="auto"/>
            <w:vAlign w:val="center"/>
          </w:tcPr>
          <w:p w14:paraId="3168AA6D" w14:textId="77777777" w:rsidR="001E2F74" w:rsidRPr="008A7800" w:rsidRDefault="001E2F74" w:rsidP="00063DE7">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(67.4, 71.8)</w:t>
            </w:r>
          </w:p>
        </w:tc>
      </w:tr>
      <w:tr w:rsidR="009118DA" w:rsidRPr="008A7800" w14:paraId="38527214"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center"/>
          </w:tcPr>
          <w:p w14:paraId="2EA95B26" w14:textId="77777777" w:rsidR="001E2F74" w:rsidRPr="008A7800" w:rsidRDefault="001E2F74" w:rsidP="00063DE7">
            <w:pPr>
              <w:spacing w:before="20" w:after="20"/>
              <w:ind w:left="34"/>
              <w:rPr>
                <w:rFonts w:eastAsiaTheme="minorEastAsia"/>
                <w:b w:val="0"/>
                <w:sz w:val="18"/>
                <w:szCs w:val="18"/>
                <w:lang w:eastAsia="en-US"/>
              </w:rPr>
            </w:pPr>
            <w:r w:rsidRPr="008A7800">
              <w:rPr>
                <w:rFonts w:eastAsiaTheme="minorEastAsia"/>
                <w:b w:val="0"/>
                <w:sz w:val="18"/>
                <w:szCs w:val="18"/>
                <w:lang w:eastAsia="en-US"/>
              </w:rPr>
              <w:t>Yes</w:t>
            </w:r>
          </w:p>
        </w:tc>
        <w:tc>
          <w:tcPr>
            <w:tcW w:w="666" w:type="dxa"/>
            <w:tcBorders>
              <w:top w:val="nil"/>
              <w:left w:val="nil"/>
              <w:bottom w:val="nil"/>
              <w:right w:val="nil"/>
            </w:tcBorders>
            <w:shd w:val="clear" w:color="auto" w:fill="auto"/>
            <w:noWrap/>
            <w:vAlign w:val="center"/>
          </w:tcPr>
          <w:p w14:paraId="321A848B" w14:textId="77777777" w:rsidR="001E2F74" w:rsidRPr="008A7800" w:rsidRDefault="001E2F74" w:rsidP="00063DE7">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2319</w:t>
            </w:r>
          </w:p>
        </w:tc>
        <w:tc>
          <w:tcPr>
            <w:tcW w:w="567" w:type="dxa"/>
            <w:tcBorders>
              <w:top w:val="nil"/>
              <w:left w:val="nil"/>
              <w:bottom w:val="nil"/>
              <w:right w:val="nil"/>
            </w:tcBorders>
            <w:shd w:val="clear" w:color="auto" w:fill="auto"/>
            <w:noWrap/>
            <w:vAlign w:val="center"/>
          </w:tcPr>
          <w:p w14:paraId="3E5B83C4" w14:textId="77777777" w:rsidR="001E2F74" w:rsidRPr="008A7800" w:rsidRDefault="001E2F74" w:rsidP="00063DE7">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37.1</w:t>
            </w:r>
          </w:p>
        </w:tc>
        <w:tc>
          <w:tcPr>
            <w:tcW w:w="1191" w:type="dxa"/>
            <w:tcBorders>
              <w:top w:val="nil"/>
              <w:left w:val="nil"/>
              <w:bottom w:val="nil"/>
              <w:right w:val="single" w:sz="4" w:space="0" w:color="auto"/>
            </w:tcBorders>
            <w:shd w:val="clear" w:color="auto" w:fill="auto"/>
            <w:noWrap/>
            <w:vAlign w:val="center"/>
          </w:tcPr>
          <w:p w14:paraId="57DAC3AE" w14:textId="77777777" w:rsidR="001E2F74" w:rsidRPr="008A7800" w:rsidRDefault="001E2F74" w:rsidP="00063DE7">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(35.7, 38.6)</w:t>
            </w:r>
          </w:p>
        </w:tc>
        <w:tc>
          <w:tcPr>
            <w:tcW w:w="666" w:type="dxa"/>
            <w:tcBorders>
              <w:top w:val="nil"/>
              <w:left w:val="single" w:sz="4" w:space="0" w:color="auto"/>
              <w:bottom w:val="nil"/>
              <w:right w:val="nil"/>
            </w:tcBorders>
            <w:shd w:val="clear" w:color="auto" w:fill="auto"/>
            <w:noWrap/>
            <w:vAlign w:val="center"/>
          </w:tcPr>
          <w:p w14:paraId="7E91BD01" w14:textId="77777777" w:rsidR="001E2F74" w:rsidRPr="008A7800" w:rsidRDefault="001E2F74" w:rsidP="00063DE7">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1309</w:t>
            </w:r>
          </w:p>
        </w:tc>
        <w:tc>
          <w:tcPr>
            <w:tcW w:w="621" w:type="dxa"/>
            <w:tcBorders>
              <w:top w:val="nil"/>
              <w:left w:val="nil"/>
              <w:bottom w:val="nil"/>
              <w:right w:val="nil"/>
            </w:tcBorders>
            <w:shd w:val="clear" w:color="auto" w:fill="auto"/>
            <w:noWrap/>
            <w:vAlign w:val="center"/>
          </w:tcPr>
          <w:p w14:paraId="380CC48D" w14:textId="77777777" w:rsidR="001E2F74" w:rsidRPr="008A7800" w:rsidRDefault="001E2F74" w:rsidP="00063DE7">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34.9</w:t>
            </w:r>
          </w:p>
        </w:tc>
        <w:tc>
          <w:tcPr>
            <w:tcW w:w="1096" w:type="dxa"/>
            <w:tcBorders>
              <w:top w:val="nil"/>
              <w:left w:val="nil"/>
              <w:bottom w:val="nil"/>
              <w:right w:val="single" w:sz="4" w:space="0" w:color="000000"/>
            </w:tcBorders>
            <w:shd w:val="clear" w:color="auto" w:fill="auto"/>
            <w:noWrap/>
            <w:vAlign w:val="center"/>
          </w:tcPr>
          <w:p w14:paraId="5CDD325B" w14:textId="77777777" w:rsidR="001E2F74" w:rsidRPr="008A7800" w:rsidRDefault="001E2F74" w:rsidP="00063DE7">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(33.1, 36.8)</w:t>
            </w:r>
          </w:p>
        </w:tc>
        <w:tc>
          <w:tcPr>
            <w:tcW w:w="616" w:type="dxa"/>
            <w:tcBorders>
              <w:top w:val="nil"/>
              <w:left w:val="single" w:sz="4" w:space="0" w:color="000000"/>
              <w:bottom w:val="nil"/>
              <w:right w:val="nil"/>
            </w:tcBorders>
            <w:shd w:val="clear" w:color="auto" w:fill="auto"/>
            <w:vAlign w:val="center"/>
          </w:tcPr>
          <w:p w14:paraId="2CE1C4CC" w14:textId="77777777" w:rsidR="001E2F74" w:rsidRPr="008A7800" w:rsidRDefault="001E2F74" w:rsidP="00063DE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1033</w:t>
            </w:r>
          </w:p>
        </w:tc>
        <w:tc>
          <w:tcPr>
            <w:tcW w:w="567" w:type="dxa"/>
            <w:tcBorders>
              <w:top w:val="nil"/>
              <w:left w:val="nil"/>
              <w:bottom w:val="nil"/>
              <w:right w:val="nil"/>
            </w:tcBorders>
            <w:shd w:val="clear" w:color="auto" w:fill="auto"/>
            <w:vAlign w:val="center"/>
          </w:tcPr>
          <w:p w14:paraId="6C4783A0" w14:textId="77777777" w:rsidR="001E2F74" w:rsidRPr="008A7800" w:rsidRDefault="001E2F74" w:rsidP="00063DE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33.1</w:t>
            </w:r>
          </w:p>
        </w:tc>
        <w:tc>
          <w:tcPr>
            <w:tcW w:w="1146" w:type="dxa"/>
            <w:tcBorders>
              <w:top w:val="nil"/>
              <w:left w:val="nil"/>
              <w:bottom w:val="nil"/>
              <w:right w:val="single" w:sz="4" w:space="0" w:color="000000"/>
            </w:tcBorders>
            <w:shd w:val="clear" w:color="auto" w:fill="auto"/>
            <w:vAlign w:val="center"/>
          </w:tcPr>
          <w:p w14:paraId="0E916FD6" w14:textId="77777777" w:rsidR="001E2F74" w:rsidRPr="008A7800" w:rsidRDefault="001E2F74" w:rsidP="00063DE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(31.0, 35.2)</w:t>
            </w:r>
          </w:p>
        </w:tc>
        <w:tc>
          <w:tcPr>
            <w:tcW w:w="666" w:type="dxa"/>
            <w:tcBorders>
              <w:top w:val="nil"/>
              <w:left w:val="single" w:sz="4" w:space="0" w:color="000000"/>
              <w:bottom w:val="nil"/>
              <w:right w:val="nil"/>
            </w:tcBorders>
            <w:shd w:val="clear" w:color="auto" w:fill="auto"/>
            <w:vAlign w:val="center"/>
          </w:tcPr>
          <w:p w14:paraId="7C7C2EFE" w14:textId="77777777" w:rsidR="001E2F74" w:rsidRPr="008A7800" w:rsidRDefault="001E2F74" w:rsidP="00063DE7">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842</w:t>
            </w:r>
          </w:p>
        </w:tc>
        <w:tc>
          <w:tcPr>
            <w:tcW w:w="567" w:type="dxa"/>
            <w:tcBorders>
              <w:top w:val="nil"/>
              <w:left w:val="nil"/>
              <w:bottom w:val="nil"/>
              <w:right w:val="nil"/>
            </w:tcBorders>
            <w:shd w:val="clear" w:color="auto" w:fill="auto"/>
            <w:vAlign w:val="center"/>
          </w:tcPr>
          <w:p w14:paraId="4323C6B3" w14:textId="77777777" w:rsidR="001E2F74" w:rsidRPr="008A7800" w:rsidRDefault="001E2F74" w:rsidP="00063DE7">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30.4</w:t>
            </w:r>
          </w:p>
        </w:tc>
        <w:tc>
          <w:tcPr>
            <w:tcW w:w="1146" w:type="dxa"/>
            <w:tcBorders>
              <w:top w:val="nil"/>
              <w:left w:val="nil"/>
              <w:bottom w:val="nil"/>
              <w:right w:val="nil"/>
            </w:tcBorders>
            <w:shd w:val="clear" w:color="auto" w:fill="auto"/>
            <w:vAlign w:val="center"/>
          </w:tcPr>
          <w:p w14:paraId="4E8AA7C1" w14:textId="77777777" w:rsidR="001E2F74" w:rsidRPr="008A7800" w:rsidRDefault="001E2F74" w:rsidP="00063DE7">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(28.2, 32.6)</w:t>
            </w:r>
          </w:p>
        </w:tc>
      </w:tr>
      <w:tr w:rsidR="009118DA" w:rsidRPr="008A7800" w14:paraId="3C1413DD"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single" w:sz="4" w:space="0" w:color="auto"/>
              <w:right w:val="nil"/>
            </w:tcBorders>
            <w:shd w:val="clear" w:color="auto" w:fill="auto"/>
            <w:vAlign w:val="center"/>
          </w:tcPr>
          <w:p w14:paraId="4DEF305F" w14:textId="77777777" w:rsidR="001E2F74" w:rsidRPr="008A7800" w:rsidRDefault="001E2F74" w:rsidP="00063DE7">
            <w:pPr>
              <w:spacing w:before="20" w:after="60"/>
              <w:ind w:left="34"/>
              <w:rPr>
                <w:rFonts w:eastAsiaTheme="minorEastAsia"/>
                <w:b w:val="0"/>
                <w:sz w:val="18"/>
                <w:szCs w:val="18"/>
                <w:lang w:eastAsia="en-US"/>
              </w:rPr>
            </w:pPr>
            <w:r w:rsidRPr="008A7800">
              <w:rPr>
                <w:rFonts w:eastAsiaTheme="minorEastAsia"/>
                <w:b w:val="0"/>
                <w:sz w:val="18"/>
                <w:szCs w:val="18"/>
                <w:lang w:eastAsia="en-US"/>
              </w:rPr>
              <w:t>Missing</w:t>
            </w:r>
          </w:p>
        </w:tc>
        <w:tc>
          <w:tcPr>
            <w:tcW w:w="666" w:type="dxa"/>
            <w:tcBorders>
              <w:top w:val="nil"/>
              <w:left w:val="nil"/>
              <w:bottom w:val="single" w:sz="4" w:space="0" w:color="auto"/>
              <w:right w:val="nil"/>
            </w:tcBorders>
            <w:shd w:val="clear" w:color="auto" w:fill="auto"/>
            <w:noWrap/>
            <w:vAlign w:val="center"/>
          </w:tcPr>
          <w:p w14:paraId="6C1F94CF" w14:textId="77777777" w:rsidR="001E2F74" w:rsidRPr="008A7800" w:rsidRDefault="001E2F74" w:rsidP="00063DE7">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10</w:t>
            </w:r>
          </w:p>
        </w:tc>
        <w:tc>
          <w:tcPr>
            <w:tcW w:w="567" w:type="dxa"/>
            <w:tcBorders>
              <w:top w:val="nil"/>
              <w:left w:val="nil"/>
              <w:bottom w:val="single" w:sz="4" w:space="0" w:color="auto"/>
              <w:right w:val="nil"/>
            </w:tcBorders>
            <w:shd w:val="clear" w:color="auto" w:fill="auto"/>
            <w:noWrap/>
            <w:vAlign w:val="center"/>
          </w:tcPr>
          <w:p w14:paraId="129CC369" w14:textId="77777777" w:rsidR="001E2F74" w:rsidRPr="008A7800" w:rsidRDefault="001E2F74" w:rsidP="00063DE7">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w:t>
            </w:r>
          </w:p>
        </w:tc>
        <w:tc>
          <w:tcPr>
            <w:tcW w:w="1191" w:type="dxa"/>
            <w:tcBorders>
              <w:top w:val="nil"/>
              <w:left w:val="nil"/>
              <w:bottom w:val="single" w:sz="4" w:space="0" w:color="auto"/>
              <w:right w:val="single" w:sz="4" w:space="0" w:color="auto"/>
            </w:tcBorders>
            <w:shd w:val="clear" w:color="auto" w:fill="auto"/>
            <w:noWrap/>
            <w:vAlign w:val="center"/>
          </w:tcPr>
          <w:p w14:paraId="23015083" w14:textId="77777777" w:rsidR="001E2F74" w:rsidRPr="008A7800" w:rsidRDefault="001E2F74" w:rsidP="00063DE7">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666" w:type="dxa"/>
            <w:tcBorders>
              <w:top w:val="nil"/>
              <w:left w:val="single" w:sz="4" w:space="0" w:color="auto"/>
              <w:bottom w:val="single" w:sz="4" w:space="0" w:color="auto"/>
              <w:right w:val="nil"/>
            </w:tcBorders>
            <w:shd w:val="clear" w:color="auto" w:fill="auto"/>
            <w:noWrap/>
            <w:vAlign w:val="center"/>
          </w:tcPr>
          <w:p w14:paraId="047A825E" w14:textId="77777777" w:rsidR="001E2F74" w:rsidRPr="008A7800" w:rsidRDefault="001E2F74" w:rsidP="00063DE7">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w:t>
            </w:r>
          </w:p>
        </w:tc>
        <w:tc>
          <w:tcPr>
            <w:tcW w:w="621" w:type="dxa"/>
            <w:tcBorders>
              <w:top w:val="nil"/>
              <w:left w:val="nil"/>
              <w:bottom w:val="single" w:sz="4" w:space="0" w:color="auto"/>
              <w:right w:val="nil"/>
            </w:tcBorders>
            <w:shd w:val="clear" w:color="auto" w:fill="auto"/>
            <w:noWrap/>
            <w:vAlign w:val="center"/>
          </w:tcPr>
          <w:p w14:paraId="6AE7FC47" w14:textId="77777777" w:rsidR="001E2F74" w:rsidRPr="008A7800" w:rsidRDefault="001E2F74" w:rsidP="00063DE7">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w:t>
            </w:r>
          </w:p>
        </w:tc>
        <w:tc>
          <w:tcPr>
            <w:tcW w:w="1096" w:type="dxa"/>
            <w:tcBorders>
              <w:top w:val="nil"/>
              <w:left w:val="nil"/>
              <w:bottom w:val="single" w:sz="4" w:space="0" w:color="auto"/>
              <w:right w:val="single" w:sz="4" w:space="0" w:color="000000"/>
            </w:tcBorders>
            <w:shd w:val="clear" w:color="auto" w:fill="auto"/>
            <w:noWrap/>
            <w:vAlign w:val="center"/>
          </w:tcPr>
          <w:p w14:paraId="60C62F78" w14:textId="77777777" w:rsidR="001E2F74" w:rsidRPr="008A7800" w:rsidRDefault="001E2F74" w:rsidP="00063DE7">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616" w:type="dxa"/>
            <w:tcBorders>
              <w:top w:val="nil"/>
              <w:left w:val="single" w:sz="4" w:space="0" w:color="000000"/>
              <w:bottom w:val="single" w:sz="4" w:space="0" w:color="auto"/>
              <w:right w:val="nil"/>
            </w:tcBorders>
            <w:shd w:val="clear" w:color="auto" w:fill="auto"/>
            <w:vAlign w:val="center"/>
          </w:tcPr>
          <w:p w14:paraId="2E17FC37" w14:textId="77777777" w:rsidR="001E2F74" w:rsidRPr="008A7800" w:rsidRDefault="001E2F74" w:rsidP="00063DE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w:t>
            </w:r>
          </w:p>
        </w:tc>
        <w:tc>
          <w:tcPr>
            <w:tcW w:w="567" w:type="dxa"/>
            <w:tcBorders>
              <w:top w:val="nil"/>
              <w:left w:val="nil"/>
              <w:bottom w:val="single" w:sz="4" w:space="0" w:color="auto"/>
              <w:right w:val="nil"/>
            </w:tcBorders>
            <w:shd w:val="clear" w:color="auto" w:fill="auto"/>
            <w:vAlign w:val="center"/>
          </w:tcPr>
          <w:p w14:paraId="693399DA" w14:textId="77777777" w:rsidR="001E2F74" w:rsidRPr="008A7800" w:rsidRDefault="001E2F74" w:rsidP="00063DE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w:t>
            </w:r>
          </w:p>
        </w:tc>
        <w:tc>
          <w:tcPr>
            <w:tcW w:w="1146" w:type="dxa"/>
            <w:tcBorders>
              <w:top w:val="nil"/>
              <w:left w:val="nil"/>
              <w:bottom w:val="single" w:sz="4" w:space="0" w:color="auto"/>
              <w:right w:val="single" w:sz="4" w:space="0" w:color="000000"/>
            </w:tcBorders>
            <w:shd w:val="clear" w:color="auto" w:fill="auto"/>
            <w:vAlign w:val="center"/>
          </w:tcPr>
          <w:p w14:paraId="7BA23228" w14:textId="77777777" w:rsidR="001E2F74" w:rsidRPr="008A7800" w:rsidRDefault="001E2F74" w:rsidP="00063DE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666" w:type="dxa"/>
            <w:tcBorders>
              <w:top w:val="nil"/>
              <w:left w:val="single" w:sz="4" w:space="0" w:color="000000"/>
              <w:bottom w:val="single" w:sz="4" w:space="0" w:color="auto"/>
              <w:right w:val="nil"/>
            </w:tcBorders>
            <w:shd w:val="clear" w:color="auto" w:fill="auto"/>
            <w:vAlign w:val="center"/>
          </w:tcPr>
          <w:p w14:paraId="186B334D" w14:textId="77777777" w:rsidR="001E2F74" w:rsidRPr="008A7800" w:rsidRDefault="001E2F74" w:rsidP="00063DE7">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w:t>
            </w:r>
          </w:p>
        </w:tc>
        <w:tc>
          <w:tcPr>
            <w:tcW w:w="567" w:type="dxa"/>
            <w:tcBorders>
              <w:top w:val="nil"/>
              <w:left w:val="nil"/>
              <w:bottom w:val="single" w:sz="4" w:space="0" w:color="auto"/>
              <w:right w:val="nil"/>
            </w:tcBorders>
            <w:shd w:val="clear" w:color="auto" w:fill="auto"/>
            <w:vAlign w:val="center"/>
          </w:tcPr>
          <w:p w14:paraId="639BD3BB" w14:textId="77777777" w:rsidR="001E2F74" w:rsidRPr="008A7800" w:rsidRDefault="001E2F74" w:rsidP="00063DE7">
            <w:pPr>
              <w:jc w:val="right"/>
              <w:cnfStyle w:val="000000000000" w:firstRow="0" w:lastRow="0" w:firstColumn="0" w:lastColumn="0" w:oddVBand="0" w:evenVBand="0" w:oddHBand="0" w:evenHBand="0" w:firstRowFirstColumn="0" w:firstRowLastColumn="0" w:lastRowFirstColumn="0" w:lastRowLastColumn="0"/>
              <w:rPr>
                <w:sz w:val="18"/>
                <w:szCs w:val="18"/>
              </w:rPr>
            </w:pPr>
            <w:r w:rsidRPr="008A7800">
              <w:rPr>
                <w:sz w:val="18"/>
                <w:szCs w:val="18"/>
              </w:rPr>
              <w:t>-</w:t>
            </w:r>
          </w:p>
        </w:tc>
        <w:tc>
          <w:tcPr>
            <w:tcW w:w="1146" w:type="dxa"/>
            <w:tcBorders>
              <w:top w:val="nil"/>
              <w:left w:val="nil"/>
              <w:bottom w:val="single" w:sz="4" w:space="0" w:color="auto"/>
              <w:right w:val="nil"/>
            </w:tcBorders>
            <w:shd w:val="clear" w:color="auto" w:fill="auto"/>
            <w:vAlign w:val="center"/>
          </w:tcPr>
          <w:p w14:paraId="6C16A710" w14:textId="77777777" w:rsidR="001E2F74" w:rsidRPr="008A7800" w:rsidRDefault="001E2F74" w:rsidP="00063DE7">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8A7800" w14:paraId="6D143225"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single" w:sz="4" w:space="0" w:color="auto"/>
              <w:left w:val="nil"/>
              <w:bottom w:val="nil"/>
              <w:right w:val="nil"/>
            </w:tcBorders>
            <w:shd w:val="clear" w:color="auto" w:fill="auto"/>
            <w:vAlign w:val="center"/>
          </w:tcPr>
          <w:p w14:paraId="694AD349" w14:textId="77777777" w:rsidR="001E2F74" w:rsidRPr="008A7800" w:rsidRDefault="001E2F74" w:rsidP="001E2F74">
            <w:pPr>
              <w:keepNext/>
              <w:tabs>
                <w:tab w:val="left" w:pos="176"/>
              </w:tabs>
              <w:spacing w:before="20" w:after="20"/>
              <w:rPr>
                <w:rFonts w:eastAsiaTheme="minorEastAsia"/>
                <w:sz w:val="18"/>
                <w:szCs w:val="18"/>
                <w:lang w:eastAsia="en-US"/>
              </w:rPr>
            </w:pPr>
            <w:r w:rsidRPr="008A7800">
              <w:rPr>
                <w:rFonts w:eastAsiaTheme="minorEastAsia"/>
                <w:sz w:val="18"/>
                <w:szCs w:val="18"/>
                <w:lang w:eastAsia="en-US"/>
              </w:rPr>
              <w:t>Other drug use</w:t>
            </w:r>
          </w:p>
        </w:tc>
        <w:tc>
          <w:tcPr>
            <w:tcW w:w="666" w:type="dxa"/>
            <w:tcBorders>
              <w:top w:val="single" w:sz="4" w:space="0" w:color="auto"/>
              <w:left w:val="nil"/>
              <w:bottom w:val="nil"/>
              <w:right w:val="nil"/>
            </w:tcBorders>
            <w:shd w:val="clear" w:color="auto" w:fill="auto"/>
            <w:noWrap/>
            <w:vAlign w:val="center"/>
          </w:tcPr>
          <w:p w14:paraId="769874BA" w14:textId="77777777" w:rsidR="001E2F74" w:rsidRPr="008A7800" w:rsidRDefault="001E2F74" w:rsidP="001E2F74">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67" w:type="dxa"/>
            <w:tcBorders>
              <w:top w:val="single" w:sz="4" w:space="0" w:color="auto"/>
              <w:left w:val="nil"/>
              <w:bottom w:val="nil"/>
              <w:right w:val="nil"/>
            </w:tcBorders>
            <w:shd w:val="clear" w:color="auto" w:fill="auto"/>
            <w:noWrap/>
            <w:vAlign w:val="center"/>
          </w:tcPr>
          <w:p w14:paraId="51C30246" w14:textId="77777777" w:rsidR="001E2F74" w:rsidRPr="008A7800" w:rsidRDefault="001E2F74" w:rsidP="001E2F74">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91" w:type="dxa"/>
            <w:tcBorders>
              <w:top w:val="single" w:sz="4" w:space="0" w:color="auto"/>
              <w:left w:val="nil"/>
              <w:bottom w:val="nil"/>
              <w:right w:val="single" w:sz="4" w:space="0" w:color="auto"/>
            </w:tcBorders>
            <w:shd w:val="clear" w:color="auto" w:fill="auto"/>
            <w:noWrap/>
            <w:vAlign w:val="center"/>
          </w:tcPr>
          <w:p w14:paraId="413B1743" w14:textId="77777777" w:rsidR="001E2F74" w:rsidRPr="008A7800" w:rsidRDefault="001E2F74" w:rsidP="001E2F74">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66" w:type="dxa"/>
            <w:tcBorders>
              <w:top w:val="single" w:sz="4" w:space="0" w:color="auto"/>
              <w:left w:val="single" w:sz="4" w:space="0" w:color="auto"/>
              <w:bottom w:val="nil"/>
              <w:right w:val="nil"/>
            </w:tcBorders>
            <w:shd w:val="clear" w:color="auto" w:fill="auto"/>
            <w:noWrap/>
            <w:vAlign w:val="center"/>
          </w:tcPr>
          <w:p w14:paraId="12F84B65" w14:textId="77777777" w:rsidR="001E2F74" w:rsidRPr="008A7800" w:rsidRDefault="001E2F74" w:rsidP="001E2F74">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single" w:sz="4" w:space="0" w:color="auto"/>
              <w:left w:val="nil"/>
              <w:bottom w:val="nil"/>
              <w:right w:val="nil"/>
            </w:tcBorders>
            <w:shd w:val="clear" w:color="auto" w:fill="auto"/>
            <w:noWrap/>
            <w:vAlign w:val="center"/>
          </w:tcPr>
          <w:p w14:paraId="5A71244D" w14:textId="77777777" w:rsidR="001E2F74" w:rsidRPr="008A7800" w:rsidRDefault="001E2F74" w:rsidP="001E2F74">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096" w:type="dxa"/>
            <w:tcBorders>
              <w:top w:val="single" w:sz="4" w:space="0" w:color="auto"/>
              <w:left w:val="nil"/>
              <w:bottom w:val="nil"/>
              <w:right w:val="single" w:sz="4" w:space="0" w:color="000000"/>
            </w:tcBorders>
            <w:shd w:val="clear" w:color="auto" w:fill="auto"/>
            <w:noWrap/>
            <w:vAlign w:val="center"/>
          </w:tcPr>
          <w:p w14:paraId="418A8A2B" w14:textId="77777777" w:rsidR="001E2F74" w:rsidRPr="008A7800" w:rsidRDefault="001E2F74" w:rsidP="001E2F74">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16" w:type="dxa"/>
            <w:tcBorders>
              <w:top w:val="single" w:sz="4" w:space="0" w:color="auto"/>
              <w:left w:val="single" w:sz="4" w:space="0" w:color="000000"/>
              <w:bottom w:val="nil"/>
              <w:right w:val="nil"/>
            </w:tcBorders>
            <w:shd w:val="clear" w:color="auto" w:fill="auto"/>
            <w:vAlign w:val="center"/>
          </w:tcPr>
          <w:p w14:paraId="7AE3788C" w14:textId="77777777" w:rsidR="001E2F74" w:rsidRPr="008A7800" w:rsidRDefault="001E2F74" w:rsidP="001E2F74">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single" w:sz="4" w:space="0" w:color="auto"/>
              <w:left w:val="nil"/>
              <w:bottom w:val="nil"/>
              <w:right w:val="nil"/>
            </w:tcBorders>
            <w:shd w:val="clear" w:color="auto" w:fill="auto"/>
            <w:vAlign w:val="center"/>
          </w:tcPr>
          <w:p w14:paraId="03948667" w14:textId="77777777" w:rsidR="001E2F74" w:rsidRPr="008A7800" w:rsidRDefault="001E2F74" w:rsidP="001E2F74">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146" w:type="dxa"/>
            <w:tcBorders>
              <w:top w:val="single" w:sz="4" w:space="0" w:color="auto"/>
              <w:left w:val="nil"/>
              <w:bottom w:val="nil"/>
              <w:right w:val="single" w:sz="4" w:space="0" w:color="000000"/>
            </w:tcBorders>
            <w:shd w:val="clear" w:color="auto" w:fill="auto"/>
            <w:vAlign w:val="center"/>
          </w:tcPr>
          <w:p w14:paraId="73F4D47D" w14:textId="77777777" w:rsidR="001E2F74" w:rsidRPr="008A7800" w:rsidRDefault="001E2F74" w:rsidP="001E2F74">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666" w:type="dxa"/>
            <w:tcBorders>
              <w:top w:val="single" w:sz="4" w:space="0" w:color="auto"/>
              <w:left w:val="single" w:sz="4" w:space="0" w:color="000000"/>
              <w:bottom w:val="nil"/>
              <w:right w:val="nil"/>
            </w:tcBorders>
            <w:shd w:val="clear" w:color="auto" w:fill="auto"/>
            <w:vAlign w:val="center"/>
          </w:tcPr>
          <w:p w14:paraId="1288ACA9"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single" w:sz="4" w:space="0" w:color="auto"/>
              <w:left w:val="nil"/>
              <w:bottom w:val="nil"/>
              <w:right w:val="nil"/>
            </w:tcBorders>
            <w:shd w:val="clear" w:color="auto" w:fill="auto"/>
            <w:vAlign w:val="center"/>
          </w:tcPr>
          <w:p w14:paraId="20547C94"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146" w:type="dxa"/>
            <w:tcBorders>
              <w:top w:val="single" w:sz="4" w:space="0" w:color="auto"/>
              <w:left w:val="nil"/>
              <w:bottom w:val="nil"/>
              <w:right w:val="nil"/>
            </w:tcBorders>
            <w:shd w:val="clear" w:color="auto" w:fill="auto"/>
            <w:vAlign w:val="center"/>
          </w:tcPr>
          <w:p w14:paraId="643C018C"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118DA" w:rsidRPr="008A7800" w14:paraId="21E68FD8"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3AD4B0ED" w14:textId="77777777" w:rsidR="001E2F74" w:rsidRPr="008A7800" w:rsidRDefault="001E2F74" w:rsidP="001E2F74">
            <w:pPr>
              <w:keepNext/>
              <w:spacing w:before="20" w:after="20"/>
              <w:ind w:left="34"/>
              <w:rPr>
                <w:rFonts w:eastAsiaTheme="minorEastAsia"/>
                <w:b w:val="0"/>
                <w:sz w:val="18"/>
                <w:szCs w:val="18"/>
                <w:lang w:eastAsia="en-US"/>
              </w:rPr>
            </w:pPr>
            <w:r w:rsidRPr="008A7800">
              <w:rPr>
                <w:rFonts w:eastAsiaTheme="minorEastAsia"/>
                <w:b w:val="0"/>
                <w:sz w:val="18"/>
                <w:szCs w:val="18"/>
                <w:lang w:eastAsia="en-US"/>
              </w:rPr>
              <w:t>Yes</w:t>
            </w:r>
          </w:p>
        </w:tc>
        <w:tc>
          <w:tcPr>
            <w:tcW w:w="666" w:type="dxa"/>
            <w:tcBorders>
              <w:top w:val="nil"/>
              <w:left w:val="nil"/>
              <w:bottom w:val="nil"/>
              <w:right w:val="nil"/>
            </w:tcBorders>
            <w:shd w:val="clear" w:color="auto" w:fill="auto"/>
            <w:noWrap/>
            <w:vAlign w:val="center"/>
          </w:tcPr>
          <w:p w14:paraId="0C9434C4" w14:textId="77777777" w:rsidR="001E2F74" w:rsidRPr="008A7800" w:rsidRDefault="001E2F74" w:rsidP="001E2F74">
            <w:pPr>
              <w:keepNext/>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916</w:t>
            </w:r>
          </w:p>
        </w:tc>
        <w:tc>
          <w:tcPr>
            <w:tcW w:w="567" w:type="dxa"/>
            <w:tcBorders>
              <w:top w:val="nil"/>
              <w:left w:val="nil"/>
              <w:bottom w:val="nil"/>
              <w:right w:val="nil"/>
            </w:tcBorders>
            <w:shd w:val="clear" w:color="auto" w:fill="auto"/>
            <w:noWrap/>
            <w:vAlign w:val="center"/>
          </w:tcPr>
          <w:p w14:paraId="2CB8ED50" w14:textId="77777777" w:rsidR="001E2F74" w:rsidRPr="008A7800" w:rsidRDefault="001E2F74" w:rsidP="001E2F74">
            <w:pPr>
              <w:keepNext/>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14.7</w:t>
            </w:r>
          </w:p>
        </w:tc>
        <w:tc>
          <w:tcPr>
            <w:tcW w:w="1191" w:type="dxa"/>
            <w:tcBorders>
              <w:top w:val="nil"/>
              <w:left w:val="nil"/>
              <w:bottom w:val="nil"/>
              <w:right w:val="single" w:sz="4" w:space="0" w:color="auto"/>
            </w:tcBorders>
            <w:shd w:val="clear" w:color="auto" w:fill="auto"/>
            <w:noWrap/>
            <w:vAlign w:val="center"/>
          </w:tcPr>
          <w:p w14:paraId="4D74F30C" w14:textId="77777777" w:rsidR="001E2F74" w:rsidRPr="008A7800" w:rsidRDefault="001E2F74" w:rsidP="001E2F74">
            <w:pPr>
              <w:keepNext/>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(13.5, 15.8)</w:t>
            </w:r>
          </w:p>
        </w:tc>
        <w:tc>
          <w:tcPr>
            <w:tcW w:w="666" w:type="dxa"/>
            <w:tcBorders>
              <w:top w:val="nil"/>
              <w:left w:val="single" w:sz="4" w:space="0" w:color="auto"/>
              <w:bottom w:val="nil"/>
              <w:right w:val="nil"/>
            </w:tcBorders>
            <w:shd w:val="clear" w:color="auto" w:fill="auto"/>
            <w:noWrap/>
            <w:vAlign w:val="center"/>
          </w:tcPr>
          <w:p w14:paraId="1A9CFD29" w14:textId="77777777" w:rsidR="001E2F74" w:rsidRPr="008A7800" w:rsidRDefault="001E2F74" w:rsidP="001E2F74">
            <w:pPr>
              <w:keepNext/>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427</w:t>
            </w:r>
          </w:p>
        </w:tc>
        <w:tc>
          <w:tcPr>
            <w:tcW w:w="621" w:type="dxa"/>
            <w:tcBorders>
              <w:top w:val="nil"/>
              <w:left w:val="nil"/>
              <w:bottom w:val="nil"/>
              <w:right w:val="nil"/>
            </w:tcBorders>
            <w:shd w:val="clear" w:color="auto" w:fill="auto"/>
            <w:noWrap/>
            <w:vAlign w:val="center"/>
          </w:tcPr>
          <w:p w14:paraId="13A8D3A8" w14:textId="77777777" w:rsidR="001E2F74" w:rsidRPr="008A7800" w:rsidRDefault="001E2F74" w:rsidP="001E2F74">
            <w:pPr>
              <w:keepNext/>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11.4</w:t>
            </w:r>
          </w:p>
        </w:tc>
        <w:tc>
          <w:tcPr>
            <w:tcW w:w="1096" w:type="dxa"/>
            <w:tcBorders>
              <w:top w:val="nil"/>
              <w:left w:val="nil"/>
              <w:bottom w:val="nil"/>
              <w:right w:val="single" w:sz="4" w:space="0" w:color="000000"/>
            </w:tcBorders>
            <w:shd w:val="clear" w:color="auto" w:fill="auto"/>
            <w:noWrap/>
            <w:vAlign w:val="center"/>
          </w:tcPr>
          <w:p w14:paraId="4ECC8BA1" w14:textId="77777777" w:rsidR="001E2F74" w:rsidRPr="008A7800" w:rsidRDefault="001E2F74" w:rsidP="001E2F74">
            <w:pPr>
              <w:keepNext/>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(10.0, 12.8)</w:t>
            </w:r>
          </w:p>
        </w:tc>
        <w:tc>
          <w:tcPr>
            <w:tcW w:w="616" w:type="dxa"/>
            <w:tcBorders>
              <w:top w:val="nil"/>
              <w:left w:val="single" w:sz="4" w:space="0" w:color="000000"/>
              <w:bottom w:val="nil"/>
              <w:right w:val="nil"/>
            </w:tcBorders>
            <w:shd w:val="clear" w:color="auto" w:fill="auto"/>
            <w:vAlign w:val="center"/>
          </w:tcPr>
          <w:p w14:paraId="181570CA"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328</w:t>
            </w:r>
          </w:p>
        </w:tc>
        <w:tc>
          <w:tcPr>
            <w:tcW w:w="567" w:type="dxa"/>
            <w:tcBorders>
              <w:top w:val="nil"/>
              <w:left w:val="nil"/>
              <w:bottom w:val="nil"/>
              <w:right w:val="nil"/>
            </w:tcBorders>
            <w:shd w:val="clear" w:color="auto" w:fill="auto"/>
            <w:vAlign w:val="center"/>
          </w:tcPr>
          <w:p w14:paraId="0994ABEF"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10.5</w:t>
            </w:r>
          </w:p>
        </w:tc>
        <w:tc>
          <w:tcPr>
            <w:tcW w:w="1146" w:type="dxa"/>
            <w:tcBorders>
              <w:top w:val="nil"/>
              <w:left w:val="nil"/>
              <w:bottom w:val="nil"/>
              <w:right w:val="single" w:sz="4" w:space="0" w:color="000000"/>
            </w:tcBorders>
            <w:shd w:val="clear" w:color="auto" w:fill="auto"/>
            <w:vAlign w:val="center"/>
          </w:tcPr>
          <w:p w14:paraId="2794AC4B"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(8.8, 12.2)</w:t>
            </w:r>
          </w:p>
        </w:tc>
        <w:tc>
          <w:tcPr>
            <w:tcW w:w="666" w:type="dxa"/>
            <w:tcBorders>
              <w:top w:val="nil"/>
              <w:left w:val="single" w:sz="4" w:space="0" w:color="000000"/>
              <w:bottom w:val="nil"/>
              <w:right w:val="nil"/>
            </w:tcBorders>
            <w:shd w:val="clear" w:color="auto" w:fill="auto"/>
            <w:vAlign w:val="center"/>
          </w:tcPr>
          <w:p w14:paraId="0DA28321"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285</w:t>
            </w:r>
          </w:p>
        </w:tc>
        <w:tc>
          <w:tcPr>
            <w:tcW w:w="567" w:type="dxa"/>
            <w:tcBorders>
              <w:top w:val="nil"/>
              <w:left w:val="nil"/>
              <w:bottom w:val="nil"/>
              <w:right w:val="nil"/>
            </w:tcBorders>
            <w:shd w:val="clear" w:color="auto" w:fill="auto"/>
            <w:vAlign w:val="center"/>
          </w:tcPr>
          <w:p w14:paraId="2E8D4036"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10.3</w:t>
            </w:r>
          </w:p>
        </w:tc>
        <w:tc>
          <w:tcPr>
            <w:tcW w:w="1146" w:type="dxa"/>
            <w:tcBorders>
              <w:top w:val="nil"/>
              <w:left w:val="nil"/>
              <w:bottom w:val="nil"/>
              <w:right w:val="nil"/>
            </w:tcBorders>
            <w:shd w:val="clear" w:color="auto" w:fill="auto"/>
            <w:vAlign w:val="center"/>
          </w:tcPr>
          <w:p w14:paraId="7BE52C6F"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(8.6, 12.0)</w:t>
            </w:r>
          </w:p>
        </w:tc>
      </w:tr>
      <w:tr w:rsidR="009118DA" w:rsidRPr="008A7800" w14:paraId="3D3B5D7B"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25290C24" w14:textId="77777777" w:rsidR="001E2F74" w:rsidRPr="008A7800" w:rsidRDefault="001E2F74" w:rsidP="001E2F74">
            <w:pPr>
              <w:keepNext/>
              <w:spacing w:before="20" w:after="20"/>
              <w:ind w:left="34"/>
              <w:rPr>
                <w:rFonts w:eastAsiaTheme="minorEastAsia"/>
                <w:b w:val="0"/>
                <w:sz w:val="18"/>
                <w:szCs w:val="18"/>
                <w:lang w:eastAsia="en-US"/>
              </w:rPr>
            </w:pPr>
            <w:r w:rsidRPr="008A7800">
              <w:rPr>
                <w:rFonts w:eastAsiaTheme="minorEastAsia"/>
                <w:b w:val="0"/>
                <w:sz w:val="18"/>
                <w:szCs w:val="18"/>
                <w:lang w:eastAsia="en-US"/>
              </w:rPr>
              <w:t>No</w:t>
            </w:r>
          </w:p>
        </w:tc>
        <w:tc>
          <w:tcPr>
            <w:tcW w:w="666" w:type="dxa"/>
            <w:tcBorders>
              <w:top w:val="nil"/>
              <w:left w:val="nil"/>
              <w:bottom w:val="nil"/>
              <w:right w:val="nil"/>
            </w:tcBorders>
            <w:shd w:val="clear" w:color="auto" w:fill="auto"/>
            <w:noWrap/>
            <w:vAlign w:val="center"/>
          </w:tcPr>
          <w:p w14:paraId="32C37D2C" w14:textId="77777777" w:rsidR="001E2F74" w:rsidRPr="008A7800" w:rsidRDefault="001E2F74" w:rsidP="001E2F74">
            <w:pPr>
              <w:keepNext/>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5334</w:t>
            </w:r>
          </w:p>
        </w:tc>
        <w:tc>
          <w:tcPr>
            <w:tcW w:w="567" w:type="dxa"/>
            <w:tcBorders>
              <w:top w:val="nil"/>
              <w:left w:val="nil"/>
              <w:bottom w:val="nil"/>
              <w:right w:val="nil"/>
            </w:tcBorders>
            <w:shd w:val="clear" w:color="auto" w:fill="auto"/>
            <w:noWrap/>
            <w:vAlign w:val="center"/>
          </w:tcPr>
          <w:p w14:paraId="10A5CE63" w14:textId="77777777" w:rsidR="001E2F74" w:rsidRPr="008A7800" w:rsidRDefault="001E2F74" w:rsidP="001E2F74">
            <w:pPr>
              <w:keepNext/>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85.3</w:t>
            </w:r>
          </w:p>
        </w:tc>
        <w:tc>
          <w:tcPr>
            <w:tcW w:w="1191" w:type="dxa"/>
            <w:tcBorders>
              <w:top w:val="nil"/>
              <w:left w:val="nil"/>
              <w:bottom w:val="nil"/>
              <w:right w:val="single" w:sz="4" w:space="0" w:color="auto"/>
            </w:tcBorders>
            <w:shd w:val="clear" w:color="auto" w:fill="auto"/>
            <w:noWrap/>
            <w:vAlign w:val="center"/>
          </w:tcPr>
          <w:p w14:paraId="43EB77CB" w14:textId="77777777" w:rsidR="001E2F74" w:rsidRPr="008A7800" w:rsidRDefault="001E2F74" w:rsidP="001E2F74">
            <w:pPr>
              <w:keepNext/>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(84.2, 86.5)</w:t>
            </w:r>
          </w:p>
        </w:tc>
        <w:tc>
          <w:tcPr>
            <w:tcW w:w="666" w:type="dxa"/>
            <w:tcBorders>
              <w:top w:val="nil"/>
              <w:left w:val="single" w:sz="4" w:space="0" w:color="auto"/>
              <w:bottom w:val="nil"/>
              <w:right w:val="nil"/>
            </w:tcBorders>
            <w:shd w:val="clear" w:color="auto" w:fill="auto"/>
            <w:noWrap/>
            <w:vAlign w:val="center"/>
          </w:tcPr>
          <w:p w14:paraId="3B5F79B1" w14:textId="77777777" w:rsidR="001E2F74" w:rsidRPr="008A7800" w:rsidRDefault="001E2F74" w:rsidP="001E2F74">
            <w:pPr>
              <w:keepNext/>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3319</w:t>
            </w:r>
          </w:p>
        </w:tc>
        <w:tc>
          <w:tcPr>
            <w:tcW w:w="621" w:type="dxa"/>
            <w:tcBorders>
              <w:top w:val="nil"/>
              <w:left w:val="nil"/>
              <w:bottom w:val="nil"/>
              <w:right w:val="nil"/>
            </w:tcBorders>
            <w:shd w:val="clear" w:color="auto" w:fill="auto"/>
            <w:noWrap/>
            <w:vAlign w:val="center"/>
          </w:tcPr>
          <w:p w14:paraId="58CC5810" w14:textId="77777777" w:rsidR="001E2F74" w:rsidRPr="008A7800" w:rsidRDefault="001E2F74" w:rsidP="001E2F74">
            <w:pPr>
              <w:keepNext/>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88.6</w:t>
            </w:r>
          </w:p>
        </w:tc>
        <w:tc>
          <w:tcPr>
            <w:tcW w:w="1096" w:type="dxa"/>
            <w:tcBorders>
              <w:top w:val="nil"/>
              <w:left w:val="nil"/>
              <w:bottom w:val="nil"/>
              <w:right w:val="single" w:sz="4" w:space="0" w:color="000000"/>
            </w:tcBorders>
            <w:shd w:val="clear" w:color="auto" w:fill="auto"/>
            <w:noWrap/>
            <w:vAlign w:val="center"/>
          </w:tcPr>
          <w:p w14:paraId="325B32B5" w14:textId="77777777" w:rsidR="001E2F74" w:rsidRPr="008A7800" w:rsidRDefault="001E2F74" w:rsidP="001E2F74">
            <w:pPr>
              <w:keepNext/>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(87.2, 90.0)</w:t>
            </w:r>
          </w:p>
        </w:tc>
        <w:tc>
          <w:tcPr>
            <w:tcW w:w="616" w:type="dxa"/>
            <w:tcBorders>
              <w:top w:val="nil"/>
              <w:left w:val="single" w:sz="4" w:space="0" w:color="000000"/>
              <w:bottom w:val="nil"/>
              <w:right w:val="nil"/>
            </w:tcBorders>
            <w:shd w:val="clear" w:color="auto" w:fill="auto"/>
            <w:vAlign w:val="center"/>
          </w:tcPr>
          <w:p w14:paraId="6FB51BDF"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2795</w:t>
            </w:r>
          </w:p>
        </w:tc>
        <w:tc>
          <w:tcPr>
            <w:tcW w:w="567" w:type="dxa"/>
            <w:tcBorders>
              <w:top w:val="nil"/>
              <w:left w:val="nil"/>
              <w:bottom w:val="nil"/>
              <w:right w:val="nil"/>
            </w:tcBorders>
            <w:shd w:val="clear" w:color="auto" w:fill="auto"/>
            <w:vAlign w:val="center"/>
          </w:tcPr>
          <w:p w14:paraId="11FB3D37"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89.5</w:t>
            </w:r>
          </w:p>
        </w:tc>
        <w:tc>
          <w:tcPr>
            <w:tcW w:w="1146" w:type="dxa"/>
            <w:tcBorders>
              <w:top w:val="nil"/>
              <w:left w:val="nil"/>
              <w:bottom w:val="nil"/>
              <w:right w:val="single" w:sz="4" w:space="0" w:color="000000"/>
            </w:tcBorders>
            <w:shd w:val="clear" w:color="auto" w:fill="auto"/>
            <w:vAlign w:val="center"/>
          </w:tcPr>
          <w:p w14:paraId="6E681C8D"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(87.8, 91.2)</w:t>
            </w:r>
          </w:p>
        </w:tc>
        <w:tc>
          <w:tcPr>
            <w:tcW w:w="666" w:type="dxa"/>
            <w:tcBorders>
              <w:top w:val="nil"/>
              <w:left w:val="single" w:sz="4" w:space="0" w:color="000000"/>
              <w:bottom w:val="nil"/>
              <w:right w:val="nil"/>
            </w:tcBorders>
            <w:shd w:val="clear" w:color="auto" w:fill="auto"/>
            <w:vAlign w:val="center"/>
          </w:tcPr>
          <w:p w14:paraId="2B1C488E"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2485</w:t>
            </w:r>
          </w:p>
        </w:tc>
        <w:tc>
          <w:tcPr>
            <w:tcW w:w="567" w:type="dxa"/>
            <w:tcBorders>
              <w:top w:val="nil"/>
              <w:left w:val="nil"/>
              <w:bottom w:val="nil"/>
              <w:right w:val="nil"/>
            </w:tcBorders>
            <w:shd w:val="clear" w:color="auto" w:fill="auto"/>
            <w:vAlign w:val="center"/>
          </w:tcPr>
          <w:p w14:paraId="771848D3"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89.7</w:t>
            </w:r>
          </w:p>
        </w:tc>
        <w:tc>
          <w:tcPr>
            <w:tcW w:w="1146" w:type="dxa"/>
            <w:tcBorders>
              <w:top w:val="nil"/>
              <w:left w:val="nil"/>
              <w:bottom w:val="nil"/>
              <w:right w:val="nil"/>
            </w:tcBorders>
            <w:shd w:val="clear" w:color="auto" w:fill="auto"/>
            <w:vAlign w:val="center"/>
          </w:tcPr>
          <w:p w14:paraId="79AEAD4D"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(88.0, 91.4)</w:t>
            </w:r>
          </w:p>
        </w:tc>
      </w:tr>
      <w:tr w:rsidR="009118DA" w:rsidRPr="008A7800" w14:paraId="0329D3C9"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297E10ED" w14:textId="77777777" w:rsidR="001E2F74" w:rsidRPr="008A7800" w:rsidRDefault="001E2F74" w:rsidP="001E2F74">
            <w:pPr>
              <w:keepNext/>
              <w:spacing w:before="20" w:after="60"/>
              <w:ind w:left="34"/>
              <w:rPr>
                <w:rFonts w:eastAsiaTheme="minorEastAsia"/>
                <w:b w:val="0"/>
                <w:sz w:val="18"/>
                <w:szCs w:val="18"/>
                <w:lang w:eastAsia="en-US"/>
              </w:rPr>
            </w:pPr>
            <w:r w:rsidRPr="008A7800">
              <w:rPr>
                <w:rFonts w:eastAsiaTheme="minorEastAsia"/>
                <w:b w:val="0"/>
                <w:sz w:val="18"/>
                <w:szCs w:val="18"/>
                <w:lang w:eastAsia="en-US"/>
              </w:rPr>
              <w:t>Cannabis</w:t>
            </w:r>
          </w:p>
        </w:tc>
        <w:tc>
          <w:tcPr>
            <w:tcW w:w="666" w:type="dxa"/>
            <w:tcBorders>
              <w:top w:val="nil"/>
              <w:left w:val="nil"/>
              <w:bottom w:val="nil"/>
              <w:right w:val="nil"/>
            </w:tcBorders>
            <w:shd w:val="clear" w:color="auto" w:fill="auto"/>
            <w:noWrap/>
            <w:vAlign w:val="center"/>
          </w:tcPr>
          <w:p w14:paraId="645C1462" w14:textId="77777777" w:rsidR="001E2F74" w:rsidRPr="008A7800" w:rsidRDefault="001E2F74" w:rsidP="001E2F74">
            <w:pPr>
              <w:keepNext/>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757</w:t>
            </w:r>
          </w:p>
        </w:tc>
        <w:tc>
          <w:tcPr>
            <w:tcW w:w="567" w:type="dxa"/>
            <w:tcBorders>
              <w:top w:val="nil"/>
              <w:left w:val="nil"/>
              <w:bottom w:val="nil"/>
              <w:right w:val="nil"/>
            </w:tcBorders>
            <w:shd w:val="clear" w:color="auto" w:fill="auto"/>
            <w:noWrap/>
            <w:vAlign w:val="center"/>
          </w:tcPr>
          <w:p w14:paraId="3B86EDF6" w14:textId="77777777" w:rsidR="001E2F74" w:rsidRPr="008A7800" w:rsidRDefault="001E2F74" w:rsidP="001E2F74">
            <w:pPr>
              <w:keepNext/>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12.1</w:t>
            </w:r>
          </w:p>
        </w:tc>
        <w:tc>
          <w:tcPr>
            <w:tcW w:w="1191" w:type="dxa"/>
            <w:tcBorders>
              <w:top w:val="nil"/>
              <w:left w:val="nil"/>
              <w:bottom w:val="nil"/>
              <w:right w:val="single" w:sz="4" w:space="0" w:color="auto"/>
            </w:tcBorders>
            <w:shd w:val="clear" w:color="auto" w:fill="auto"/>
            <w:noWrap/>
            <w:vAlign w:val="center"/>
          </w:tcPr>
          <w:p w14:paraId="4263C198" w14:textId="77777777" w:rsidR="001E2F74" w:rsidRPr="008A7800" w:rsidRDefault="001E2F74" w:rsidP="001E2F74">
            <w:pPr>
              <w:keepNext/>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(11.1, 13.2)</w:t>
            </w:r>
          </w:p>
        </w:tc>
        <w:tc>
          <w:tcPr>
            <w:tcW w:w="666" w:type="dxa"/>
            <w:tcBorders>
              <w:top w:val="nil"/>
              <w:left w:val="single" w:sz="4" w:space="0" w:color="auto"/>
              <w:bottom w:val="nil"/>
              <w:right w:val="nil"/>
            </w:tcBorders>
            <w:shd w:val="clear" w:color="auto" w:fill="auto"/>
            <w:noWrap/>
            <w:vAlign w:val="center"/>
          </w:tcPr>
          <w:p w14:paraId="0806CC26" w14:textId="77777777" w:rsidR="001E2F74" w:rsidRPr="008A7800" w:rsidRDefault="001E2F74" w:rsidP="001E2F74">
            <w:pPr>
              <w:keepNext/>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342</w:t>
            </w:r>
          </w:p>
        </w:tc>
        <w:tc>
          <w:tcPr>
            <w:tcW w:w="621" w:type="dxa"/>
            <w:tcBorders>
              <w:top w:val="nil"/>
              <w:left w:val="nil"/>
              <w:bottom w:val="nil"/>
              <w:right w:val="nil"/>
            </w:tcBorders>
            <w:shd w:val="clear" w:color="auto" w:fill="auto"/>
            <w:noWrap/>
            <w:vAlign w:val="center"/>
          </w:tcPr>
          <w:p w14:paraId="07D27ED0" w14:textId="77777777" w:rsidR="001E2F74" w:rsidRPr="008A7800" w:rsidRDefault="001E2F74" w:rsidP="001E2F74">
            <w:pPr>
              <w:keepNext/>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9.1</w:t>
            </w:r>
          </w:p>
        </w:tc>
        <w:tc>
          <w:tcPr>
            <w:tcW w:w="1096" w:type="dxa"/>
            <w:tcBorders>
              <w:top w:val="nil"/>
              <w:left w:val="nil"/>
              <w:bottom w:val="nil"/>
              <w:right w:val="single" w:sz="4" w:space="0" w:color="000000"/>
            </w:tcBorders>
            <w:shd w:val="clear" w:color="auto" w:fill="auto"/>
            <w:noWrap/>
            <w:vAlign w:val="center"/>
          </w:tcPr>
          <w:p w14:paraId="31579D19" w14:textId="77777777" w:rsidR="001E2F74" w:rsidRPr="008A7800" w:rsidRDefault="001E2F74" w:rsidP="001E2F74">
            <w:pPr>
              <w:keepNext/>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(7.8, 10.4)</w:t>
            </w:r>
          </w:p>
        </w:tc>
        <w:tc>
          <w:tcPr>
            <w:tcW w:w="616" w:type="dxa"/>
            <w:tcBorders>
              <w:top w:val="nil"/>
              <w:left w:val="single" w:sz="4" w:space="0" w:color="000000"/>
              <w:bottom w:val="nil"/>
              <w:right w:val="nil"/>
            </w:tcBorders>
            <w:shd w:val="clear" w:color="auto" w:fill="auto"/>
            <w:vAlign w:val="center"/>
          </w:tcPr>
          <w:p w14:paraId="09329004"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277</w:t>
            </w:r>
          </w:p>
        </w:tc>
        <w:tc>
          <w:tcPr>
            <w:tcW w:w="567" w:type="dxa"/>
            <w:tcBorders>
              <w:top w:val="nil"/>
              <w:left w:val="nil"/>
              <w:bottom w:val="nil"/>
              <w:right w:val="nil"/>
            </w:tcBorders>
            <w:shd w:val="clear" w:color="auto" w:fill="auto"/>
            <w:vAlign w:val="center"/>
          </w:tcPr>
          <w:p w14:paraId="73CBAB50"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8.9</w:t>
            </w:r>
          </w:p>
        </w:tc>
        <w:tc>
          <w:tcPr>
            <w:tcW w:w="1146" w:type="dxa"/>
            <w:tcBorders>
              <w:top w:val="nil"/>
              <w:left w:val="nil"/>
              <w:bottom w:val="nil"/>
              <w:right w:val="single" w:sz="4" w:space="0" w:color="000000"/>
            </w:tcBorders>
            <w:shd w:val="clear" w:color="auto" w:fill="auto"/>
            <w:vAlign w:val="center"/>
          </w:tcPr>
          <w:p w14:paraId="67780F4D"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(7.4, 10.4)</w:t>
            </w:r>
          </w:p>
        </w:tc>
        <w:tc>
          <w:tcPr>
            <w:tcW w:w="666" w:type="dxa"/>
            <w:tcBorders>
              <w:top w:val="nil"/>
              <w:left w:val="single" w:sz="4" w:space="0" w:color="000000"/>
              <w:bottom w:val="nil"/>
              <w:right w:val="nil"/>
            </w:tcBorders>
            <w:shd w:val="clear" w:color="auto" w:fill="auto"/>
            <w:vAlign w:val="center"/>
          </w:tcPr>
          <w:p w14:paraId="03EFE4E7"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259</w:t>
            </w:r>
          </w:p>
        </w:tc>
        <w:tc>
          <w:tcPr>
            <w:tcW w:w="567" w:type="dxa"/>
            <w:tcBorders>
              <w:top w:val="nil"/>
              <w:left w:val="nil"/>
              <w:bottom w:val="nil"/>
              <w:right w:val="nil"/>
            </w:tcBorders>
            <w:shd w:val="clear" w:color="auto" w:fill="auto"/>
            <w:vAlign w:val="center"/>
          </w:tcPr>
          <w:p w14:paraId="252D22EC"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9.3</w:t>
            </w:r>
          </w:p>
        </w:tc>
        <w:tc>
          <w:tcPr>
            <w:tcW w:w="1146" w:type="dxa"/>
            <w:tcBorders>
              <w:top w:val="nil"/>
              <w:left w:val="nil"/>
              <w:bottom w:val="nil"/>
              <w:right w:val="nil"/>
            </w:tcBorders>
            <w:shd w:val="clear" w:color="auto" w:fill="auto"/>
            <w:vAlign w:val="center"/>
          </w:tcPr>
          <w:p w14:paraId="4FA189A1"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(7.7, 11.0)</w:t>
            </w:r>
          </w:p>
        </w:tc>
      </w:tr>
      <w:tr w:rsidR="009118DA" w:rsidRPr="008A7800" w14:paraId="7C6D5A71"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center"/>
          </w:tcPr>
          <w:p w14:paraId="76AE87E1" w14:textId="77777777" w:rsidR="001E2F74" w:rsidRPr="008A7800" w:rsidRDefault="001E2F74" w:rsidP="001E2F74">
            <w:pPr>
              <w:keepNext/>
              <w:tabs>
                <w:tab w:val="left" w:pos="176"/>
              </w:tabs>
              <w:spacing w:before="20" w:after="20"/>
              <w:rPr>
                <w:rFonts w:eastAsiaTheme="minorEastAsia"/>
                <w:sz w:val="18"/>
                <w:szCs w:val="18"/>
                <w:lang w:eastAsia="en-US"/>
              </w:rPr>
            </w:pPr>
            <w:r w:rsidRPr="008A7800">
              <w:rPr>
                <w:rFonts w:eastAsiaTheme="minorEastAsia"/>
                <w:sz w:val="18"/>
                <w:szCs w:val="18"/>
                <w:lang w:eastAsia="en-US"/>
              </w:rPr>
              <w:t>Tobacco use</w:t>
            </w:r>
          </w:p>
        </w:tc>
        <w:tc>
          <w:tcPr>
            <w:tcW w:w="666" w:type="dxa"/>
            <w:tcBorders>
              <w:top w:val="nil"/>
              <w:left w:val="nil"/>
              <w:bottom w:val="nil"/>
              <w:right w:val="nil"/>
            </w:tcBorders>
            <w:shd w:val="clear" w:color="auto" w:fill="auto"/>
            <w:noWrap/>
            <w:vAlign w:val="center"/>
          </w:tcPr>
          <w:p w14:paraId="209FB5FC" w14:textId="77777777" w:rsidR="001E2F74" w:rsidRPr="008A7800" w:rsidRDefault="001E2F74" w:rsidP="001E2F74">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67" w:type="dxa"/>
            <w:tcBorders>
              <w:top w:val="nil"/>
              <w:left w:val="nil"/>
              <w:bottom w:val="nil"/>
              <w:right w:val="nil"/>
            </w:tcBorders>
            <w:shd w:val="clear" w:color="auto" w:fill="auto"/>
            <w:noWrap/>
            <w:vAlign w:val="center"/>
          </w:tcPr>
          <w:p w14:paraId="2A1536AD" w14:textId="77777777" w:rsidR="001E2F74" w:rsidRPr="008A7800" w:rsidRDefault="001E2F74" w:rsidP="001E2F74">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91" w:type="dxa"/>
            <w:tcBorders>
              <w:top w:val="nil"/>
              <w:left w:val="nil"/>
              <w:bottom w:val="nil"/>
              <w:right w:val="single" w:sz="4" w:space="0" w:color="auto"/>
            </w:tcBorders>
            <w:shd w:val="clear" w:color="auto" w:fill="auto"/>
            <w:noWrap/>
            <w:vAlign w:val="center"/>
          </w:tcPr>
          <w:p w14:paraId="0ADF522F" w14:textId="77777777" w:rsidR="001E2F74" w:rsidRPr="008A7800" w:rsidRDefault="001E2F74" w:rsidP="001E2F74">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66" w:type="dxa"/>
            <w:tcBorders>
              <w:top w:val="nil"/>
              <w:left w:val="single" w:sz="4" w:space="0" w:color="auto"/>
              <w:bottom w:val="nil"/>
              <w:right w:val="nil"/>
            </w:tcBorders>
            <w:shd w:val="clear" w:color="auto" w:fill="auto"/>
            <w:noWrap/>
            <w:vAlign w:val="center"/>
          </w:tcPr>
          <w:p w14:paraId="3460858E" w14:textId="77777777" w:rsidR="001E2F74" w:rsidRPr="008A7800" w:rsidRDefault="001E2F74" w:rsidP="001E2F74">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nil"/>
              <w:left w:val="nil"/>
              <w:bottom w:val="nil"/>
              <w:right w:val="nil"/>
            </w:tcBorders>
            <w:shd w:val="clear" w:color="auto" w:fill="auto"/>
            <w:noWrap/>
            <w:vAlign w:val="center"/>
          </w:tcPr>
          <w:p w14:paraId="75F06011" w14:textId="77777777" w:rsidR="001E2F74" w:rsidRPr="008A7800" w:rsidRDefault="001E2F74" w:rsidP="001E2F74">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096" w:type="dxa"/>
            <w:tcBorders>
              <w:top w:val="nil"/>
              <w:left w:val="nil"/>
              <w:bottom w:val="nil"/>
              <w:right w:val="single" w:sz="4" w:space="0" w:color="000000"/>
            </w:tcBorders>
            <w:shd w:val="clear" w:color="auto" w:fill="auto"/>
            <w:noWrap/>
            <w:vAlign w:val="center"/>
          </w:tcPr>
          <w:p w14:paraId="21A250F5" w14:textId="77777777" w:rsidR="001E2F74" w:rsidRPr="008A7800" w:rsidRDefault="001E2F74" w:rsidP="001E2F74">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16" w:type="dxa"/>
            <w:tcBorders>
              <w:top w:val="nil"/>
              <w:left w:val="single" w:sz="4" w:space="0" w:color="000000"/>
              <w:bottom w:val="nil"/>
              <w:right w:val="nil"/>
            </w:tcBorders>
            <w:shd w:val="clear" w:color="auto" w:fill="auto"/>
            <w:vAlign w:val="center"/>
          </w:tcPr>
          <w:p w14:paraId="6B088651" w14:textId="77777777" w:rsidR="001E2F74" w:rsidRPr="008A7800" w:rsidRDefault="001E2F74" w:rsidP="001E2F74">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shd w:val="clear" w:color="auto" w:fill="auto"/>
            <w:vAlign w:val="center"/>
          </w:tcPr>
          <w:p w14:paraId="4115BDEC" w14:textId="77777777" w:rsidR="001E2F74" w:rsidRPr="008A7800" w:rsidRDefault="001E2F74" w:rsidP="001E2F74">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146" w:type="dxa"/>
            <w:tcBorders>
              <w:top w:val="nil"/>
              <w:left w:val="nil"/>
              <w:bottom w:val="nil"/>
              <w:right w:val="single" w:sz="4" w:space="0" w:color="000000"/>
            </w:tcBorders>
            <w:shd w:val="clear" w:color="auto" w:fill="auto"/>
            <w:vAlign w:val="center"/>
          </w:tcPr>
          <w:p w14:paraId="7A23E12B" w14:textId="77777777" w:rsidR="001E2F74" w:rsidRPr="008A7800" w:rsidRDefault="001E2F74" w:rsidP="001E2F74">
            <w:pPr>
              <w:keepNext/>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666" w:type="dxa"/>
            <w:tcBorders>
              <w:top w:val="nil"/>
              <w:left w:val="single" w:sz="4" w:space="0" w:color="000000"/>
              <w:bottom w:val="nil"/>
              <w:right w:val="nil"/>
            </w:tcBorders>
            <w:shd w:val="clear" w:color="auto" w:fill="auto"/>
            <w:vAlign w:val="center"/>
          </w:tcPr>
          <w:p w14:paraId="4D82380A"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shd w:val="clear" w:color="auto" w:fill="auto"/>
            <w:vAlign w:val="center"/>
          </w:tcPr>
          <w:p w14:paraId="17ACB692"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shd w:val="clear" w:color="auto" w:fill="auto"/>
            <w:vAlign w:val="center"/>
          </w:tcPr>
          <w:p w14:paraId="57E4B7D5"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8A7800" w14:paraId="1F0A43F4"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0A3388C1" w14:textId="77777777" w:rsidR="001E2F74" w:rsidRPr="008A7800" w:rsidRDefault="001E2F74" w:rsidP="001E2F74">
            <w:pPr>
              <w:keepNext/>
              <w:spacing w:before="20" w:after="20"/>
              <w:ind w:left="34"/>
              <w:rPr>
                <w:rFonts w:eastAsiaTheme="minorEastAsia"/>
                <w:b w:val="0"/>
                <w:sz w:val="18"/>
                <w:szCs w:val="18"/>
                <w:lang w:eastAsia="en-US"/>
              </w:rPr>
            </w:pPr>
            <w:r w:rsidRPr="008A7800">
              <w:rPr>
                <w:rFonts w:eastAsiaTheme="minorEastAsia"/>
                <w:b w:val="0"/>
                <w:sz w:val="18"/>
                <w:szCs w:val="18"/>
                <w:lang w:eastAsia="en-US"/>
              </w:rPr>
              <w:t>Ever smoked</w:t>
            </w:r>
          </w:p>
        </w:tc>
        <w:tc>
          <w:tcPr>
            <w:tcW w:w="666" w:type="dxa"/>
            <w:tcBorders>
              <w:top w:val="nil"/>
              <w:left w:val="nil"/>
              <w:bottom w:val="nil"/>
              <w:right w:val="nil"/>
            </w:tcBorders>
            <w:shd w:val="clear" w:color="auto" w:fill="auto"/>
            <w:noWrap/>
            <w:vAlign w:val="center"/>
          </w:tcPr>
          <w:p w14:paraId="76121692" w14:textId="77777777" w:rsidR="001E2F74" w:rsidRPr="008A7800" w:rsidRDefault="001E2F74" w:rsidP="001E2F74">
            <w:pPr>
              <w:keepNext/>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4109</w:t>
            </w:r>
          </w:p>
        </w:tc>
        <w:tc>
          <w:tcPr>
            <w:tcW w:w="567" w:type="dxa"/>
            <w:tcBorders>
              <w:top w:val="nil"/>
              <w:left w:val="nil"/>
              <w:bottom w:val="nil"/>
              <w:right w:val="nil"/>
            </w:tcBorders>
            <w:shd w:val="clear" w:color="auto" w:fill="auto"/>
            <w:noWrap/>
            <w:vAlign w:val="center"/>
          </w:tcPr>
          <w:p w14:paraId="2EF8E3AA" w14:textId="77777777" w:rsidR="001E2F74" w:rsidRPr="008A7800" w:rsidRDefault="001E2F74" w:rsidP="001E2F74">
            <w:pPr>
              <w:keepNext/>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65.7</w:t>
            </w:r>
          </w:p>
        </w:tc>
        <w:tc>
          <w:tcPr>
            <w:tcW w:w="1191" w:type="dxa"/>
            <w:tcBorders>
              <w:top w:val="nil"/>
              <w:left w:val="nil"/>
              <w:bottom w:val="nil"/>
              <w:right w:val="single" w:sz="4" w:space="0" w:color="auto"/>
            </w:tcBorders>
            <w:shd w:val="clear" w:color="auto" w:fill="auto"/>
            <w:noWrap/>
            <w:vAlign w:val="center"/>
          </w:tcPr>
          <w:p w14:paraId="1D42B7B8" w14:textId="77777777" w:rsidR="001E2F74" w:rsidRPr="008A7800" w:rsidRDefault="001E2F74" w:rsidP="001E2F74">
            <w:pPr>
              <w:keepNext/>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(64.4, 67.1)</w:t>
            </w:r>
          </w:p>
        </w:tc>
        <w:tc>
          <w:tcPr>
            <w:tcW w:w="666" w:type="dxa"/>
            <w:tcBorders>
              <w:top w:val="nil"/>
              <w:left w:val="single" w:sz="4" w:space="0" w:color="auto"/>
              <w:bottom w:val="nil"/>
              <w:right w:val="nil"/>
            </w:tcBorders>
            <w:shd w:val="clear" w:color="auto" w:fill="auto"/>
            <w:noWrap/>
            <w:vAlign w:val="center"/>
          </w:tcPr>
          <w:p w14:paraId="238EC1D9" w14:textId="77777777" w:rsidR="001E2F74" w:rsidRPr="008A7800" w:rsidRDefault="001E2F74" w:rsidP="001E2F74">
            <w:pPr>
              <w:keepNext/>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2449</w:t>
            </w:r>
          </w:p>
        </w:tc>
        <w:tc>
          <w:tcPr>
            <w:tcW w:w="621" w:type="dxa"/>
            <w:tcBorders>
              <w:top w:val="nil"/>
              <w:left w:val="nil"/>
              <w:bottom w:val="nil"/>
              <w:right w:val="nil"/>
            </w:tcBorders>
            <w:shd w:val="clear" w:color="auto" w:fill="auto"/>
            <w:noWrap/>
            <w:vAlign w:val="center"/>
          </w:tcPr>
          <w:p w14:paraId="36AF578E" w14:textId="77777777" w:rsidR="001E2F74" w:rsidRPr="008A7800" w:rsidRDefault="001E2F74" w:rsidP="001E2F74">
            <w:pPr>
              <w:keepNext/>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65.4</w:t>
            </w:r>
          </w:p>
        </w:tc>
        <w:tc>
          <w:tcPr>
            <w:tcW w:w="1096" w:type="dxa"/>
            <w:tcBorders>
              <w:top w:val="nil"/>
              <w:left w:val="nil"/>
              <w:bottom w:val="nil"/>
              <w:right w:val="single" w:sz="4" w:space="0" w:color="000000"/>
            </w:tcBorders>
            <w:shd w:val="clear" w:color="auto" w:fill="auto"/>
            <w:noWrap/>
            <w:vAlign w:val="center"/>
          </w:tcPr>
          <w:p w14:paraId="7FBEC57D" w14:textId="77777777" w:rsidR="001E2F74" w:rsidRPr="008A7800" w:rsidRDefault="001E2F74" w:rsidP="001E2F74">
            <w:pPr>
              <w:keepNext/>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(63.6, 67.2)</w:t>
            </w:r>
          </w:p>
        </w:tc>
        <w:tc>
          <w:tcPr>
            <w:tcW w:w="616" w:type="dxa"/>
            <w:tcBorders>
              <w:top w:val="nil"/>
              <w:left w:val="single" w:sz="4" w:space="0" w:color="000000"/>
              <w:bottom w:val="nil"/>
              <w:right w:val="nil"/>
            </w:tcBorders>
            <w:shd w:val="clear" w:color="auto" w:fill="auto"/>
            <w:vAlign w:val="center"/>
          </w:tcPr>
          <w:p w14:paraId="54AB439F"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2088</w:t>
            </w:r>
          </w:p>
        </w:tc>
        <w:tc>
          <w:tcPr>
            <w:tcW w:w="567" w:type="dxa"/>
            <w:tcBorders>
              <w:top w:val="nil"/>
              <w:left w:val="nil"/>
              <w:bottom w:val="nil"/>
              <w:right w:val="nil"/>
            </w:tcBorders>
            <w:shd w:val="clear" w:color="auto" w:fill="auto"/>
            <w:vAlign w:val="center"/>
          </w:tcPr>
          <w:p w14:paraId="494E044D"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66.8</w:t>
            </w:r>
          </w:p>
        </w:tc>
        <w:tc>
          <w:tcPr>
            <w:tcW w:w="1146" w:type="dxa"/>
            <w:tcBorders>
              <w:top w:val="nil"/>
              <w:left w:val="nil"/>
              <w:bottom w:val="nil"/>
              <w:right w:val="single" w:sz="4" w:space="0" w:color="auto"/>
            </w:tcBorders>
            <w:shd w:val="clear" w:color="auto" w:fill="auto"/>
            <w:vAlign w:val="center"/>
          </w:tcPr>
          <w:p w14:paraId="5107DA22"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(64.8, 68.9)</w:t>
            </w:r>
          </w:p>
        </w:tc>
        <w:tc>
          <w:tcPr>
            <w:tcW w:w="666" w:type="dxa"/>
            <w:tcBorders>
              <w:top w:val="nil"/>
              <w:left w:val="single" w:sz="4" w:space="0" w:color="auto"/>
              <w:bottom w:val="nil"/>
              <w:right w:val="nil"/>
            </w:tcBorders>
            <w:shd w:val="clear" w:color="auto" w:fill="auto"/>
            <w:vAlign w:val="center"/>
          </w:tcPr>
          <w:p w14:paraId="3548343A"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1816</w:t>
            </w:r>
          </w:p>
        </w:tc>
        <w:tc>
          <w:tcPr>
            <w:tcW w:w="567" w:type="dxa"/>
            <w:tcBorders>
              <w:top w:val="nil"/>
              <w:left w:val="nil"/>
              <w:bottom w:val="nil"/>
              <w:right w:val="nil"/>
            </w:tcBorders>
            <w:shd w:val="clear" w:color="auto" w:fill="auto"/>
            <w:vAlign w:val="center"/>
          </w:tcPr>
          <w:p w14:paraId="2E0861CC"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65.6</w:t>
            </w:r>
          </w:p>
        </w:tc>
        <w:tc>
          <w:tcPr>
            <w:tcW w:w="1146" w:type="dxa"/>
            <w:tcBorders>
              <w:top w:val="nil"/>
              <w:left w:val="nil"/>
              <w:bottom w:val="nil"/>
              <w:right w:val="nil"/>
            </w:tcBorders>
            <w:shd w:val="clear" w:color="auto" w:fill="auto"/>
            <w:vAlign w:val="center"/>
          </w:tcPr>
          <w:p w14:paraId="129CA8F4" w14:textId="77777777" w:rsidR="001E2F74" w:rsidRPr="008A7800" w:rsidRDefault="001E2F74" w:rsidP="001E2F74">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(63.4, 67.7)</w:t>
            </w:r>
          </w:p>
        </w:tc>
      </w:tr>
      <w:tr w:rsidR="009118DA" w:rsidRPr="008A7800" w14:paraId="453F7BE0"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67DD9AAA" w14:textId="77777777" w:rsidR="001E2F74" w:rsidRPr="008A7800" w:rsidRDefault="001E2F74" w:rsidP="00A31BD8">
            <w:pPr>
              <w:spacing w:before="20" w:after="20"/>
              <w:ind w:left="34"/>
              <w:rPr>
                <w:rFonts w:eastAsiaTheme="minorEastAsia"/>
                <w:b w:val="0"/>
                <w:sz w:val="18"/>
                <w:szCs w:val="18"/>
                <w:lang w:eastAsia="en-US"/>
              </w:rPr>
            </w:pPr>
            <w:r w:rsidRPr="008A7800">
              <w:rPr>
                <w:rFonts w:eastAsiaTheme="minorEastAsia"/>
                <w:b w:val="0"/>
                <w:sz w:val="18"/>
                <w:szCs w:val="18"/>
                <w:lang w:eastAsia="en-US"/>
              </w:rPr>
              <w:t>Smoked more than 100 cigarettes in lifetime</w:t>
            </w:r>
          </w:p>
        </w:tc>
        <w:tc>
          <w:tcPr>
            <w:tcW w:w="666" w:type="dxa"/>
            <w:tcBorders>
              <w:top w:val="nil"/>
              <w:left w:val="nil"/>
              <w:bottom w:val="nil"/>
              <w:right w:val="nil"/>
            </w:tcBorders>
            <w:shd w:val="clear" w:color="auto" w:fill="auto"/>
            <w:noWrap/>
            <w:vAlign w:val="center"/>
          </w:tcPr>
          <w:p w14:paraId="3B836059"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2779</w:t>
            </w:r>
          </w:p>
        </w:tc>
        <w:tc>
          <w:tcPr>
            <w:tcW w:w="567" w:type="dxa"/>
            <w:tcBorders>
              <w:top w:val="nil"/>
              <w:left w:val="nil"/>
              <w:bottom w:val="nil"/>
              <w:right w:val="nil"/>
            </w:tcBorders>
            <w:shd w:val="clear" w:color="auto" w:fill="auto"/>
            <w:noWrap/>
            <w:vAlign w:val="center"/>
          </w:tcPr>
          <w:p w14:paraId="3A140216"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44.5</w:t>
            </w:r>
          </w:p>
        </w:tc>
        <w:tc>
          <w:tcPr>
            <w:tcW w:w="1191" w:type="dxa"/>
            <w:tcBorders>
              <w:top w:val="nil"/>
              <w:left w:val="nil"/>
              <w:bottom w:val="nil"/>
              <w:right w:val="single" w:sz="4" w:space="0" w:color="auto"/>
            </w:tcBorders>
            <w:shd w:val="clear" w:color="auto" w:fill="auto"/>
            <w:noWrap/>
            <w:vAlign w:val="center"/>
          </w:tcPr>
          <w:p w14:paraId="2CA0D1F9"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(43.0, 45.9)</w:t>
            </w:r>
          </w:p>
        </w:tc>
        <w:tc>
          <w:tcPr>
            <w:tcW w:w="666" w:type="dxa"/>
            <w:tcBorders>
              <w:top w:val="nil"/>
              <w:left w:val="single" w:sz="4" w:space="0" w:color="auto"/>
              <w:bottom w:val="nil"/>
              <w:right w:val="nil"/>
            </w:tcBorders>
            <w:shd w:val="clear" w:color="auto" w:fill="auto"/>
            <w:noWrap/>
            <w:vAlign w:val="center"/>
          </w:tcPr>
          <w:p w14:paraId="30A3F7FA"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1670</w:t>
            </w:r>
          </w:p>
        </w:tc>
        <w:tc>
          <w:tcPr>
            <w:tcW w:w="621" w:type="dxa"/>
            <w:tcBorders>
              <w:top w:val="nil"/>
              <w:left w:val="nil"/>
              <w:bottom w:val="nil"/>
              <w:right w:val="nil"/>
            </w:tcBorders>
            <w:shd w:val="clear" w:color="auto" w:fill="auto"/>
            <w:noWrap/>
            <w:vAlign w:val="center"/>
          </w:tcPr>
          <w:p w14:paraId="1D6D0658"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44.6</w:t>
            </w:r>
          </w:p>
        </w:tc>
        <w:tc>
          <w:tcPr>
            <w:tcW w:w="1096" w:type="dxa"/>
            <w:tcBorders>
              <w:top w:val="nil"/>
              <w:left w:val="nil"/>
              <w:bottom w:val="nil"/>
              <w:right w:val="single" w:sz="4" w:space="0" w:color="000000"/>
            </w:tcBorders>
            <w:shd w:val="clear" w:color="auto" w:fill="auto"/>
            <w:noWrap/>
            <w:vAlign w:val="center"/>
          </w:tcPr>
          <w:p w14:paraId="7A990D3F"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(42.7, 46.5)</w:t>
            </w:r>
          </w:p>
        </w:tc>
        <w:tc>
          <w:tcPr>
            <w:tcW w:w="616" w:type="dxa"/>
            <w:tcBorders>
              <w:top w:val="nil"/>
              <w:left w:val="single" w:sz="4" w:space="0" w:color="000000"/>
              <w:bottom w:val="nil"/>
              <w:right w:val="nil"/>
            </w:tcBorders>
            <w:shd w:val="clear" w:color="auto" w:fill="auto"/>
            <w:vAlign w:val="center"/>
          </w:tcPr>
          <w:p w14:paraId="5C9E1B54"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1412</w:t>
            </w:r>
          </w:p>
        </w:tc>
        <w:tc>
          <w:tcPr>
            <w:tcW w:w="567" w:type="dxa"/>
            <w:tcBorders>
              <w:top w:val="nil"/>
              <w:left w:val="nil"/>
              <w:bottom w:val="nil"/>
              <w:right w:val="nil"/>
            </w:tcBorders>
            <w:shd w:val="clear" w:color="auto" w:fill="auto"/>
            <w:vAlign w:val="center"/>
          </w:tcPr>
          <w:p w14:paraId="388B3FA8"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45.2</w:t>
            </w:r>
          </w:p>
        </w:tc>
        <w:tc>
          <w:tcPr>
            <w:tcW w:w="1146" w:type="dxa"/>
            <w:tcBorders>
              <w:top w:val="nil"/>
              <w:left w:val="nil"/>
              <w:bottom w:val="nil"/>
              <w:right w:val="single" w:sz="4" w:space="0" w:color="auto"/>
            </w:tcBorders>
            <w:shd w:val="clear" w:color="auto" w:fill="auto"/>
            <w:vAlign w:val="center"/>
          </w:tcPr>
          <w:p w14:paraId="5115D736"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(43.1, 47.4)</w:t>
            </w:r>
          </w:p>
        </w:tc>
        <w:tc>
          <w:tcPr>
            <w:tcW w:w="666" w:type="dxa"/>
            <w:tcBorders>
              <w:top w:val="nil"/>
              <w:left w:val="single" w:sz="4" w:space="0" w:color="auto"/>
              <w:bottom w:val="nil"/>
              <w:right w:val="nil"/>
            </w:tcBorders>
            <w:shd w:val="clear" w:color="auto" w:fill="auto"/>
            <w:vAlign w:val="center"/>
          </w:tcPr>
          <w:p w14:paraId="4DEE21E3"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1242</w:t>
            </w:r>
          </w:p>
        </w:tc>
        <w:tc>
          <w:tcPr>
            <w:tcW w:w="567" w:type="dxa"/>
            <w:tcBorders>
              <w:top w:val="nil"/>
              <w:left w:val="nil"/>
              <w:bottom w:val="nil"/>
              <w:right w:val="nil"/>
            </w:tcBorders>
            <w:shd w:val="clear" w:color="auto" w:fill="auto"/>
            <w:vAlign w:val="center"/>
          </w:tcPr>
          <w:p w14:paraId="4396D130"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44.8</w:t>
            </w:r>
          </w:p>
        </w:tc>
        <w:tc>
          <w:tcPr>
            <w:tcW w:w="1146" w:type="dxa"/>
            <w:tcBorders>
              <w:top w:val="nil"/>
              <w:left w:val="nil"/>
              <w:bottom w:val="nil"/>
              <w:right w:val="nil"/>
            </w:tcBorders>
            <w:shd w:val="clear" w:color="auto" w:fill="auto"/>
            <w:vAlign w:val="center"/>
          </w:tcPr>
          <w:p w14:paraId="0BE40278"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(42.5, 47.2)</w:t>
            </w:r>
          </w:p>
        </w:tc>
      </w:tr>
      <w:tr w:rsidR="009118DA" w:rsidRPr="008A7800" w14:paraId="65134F63"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2F8028C0" w14:textId="77777777" w:rsidR="001E2F74" w:rsidRPr="008A7800" w:rsidRDefault="001E2F74" w:rsidP="00A31BD8">
            <w:pPr>
              <w:spacing w:before="20" w:after="60"/>
              <w:ind w:left="34"/>
              <w:rPr>
                <w:rFonts w:eastAsiaTheme="minorEastAsia"/>
                <w:b w:val="0"/>
                <w:sz w:val="18"/>
                <w:szCs w:val="18"/>
                <w:lang w:eastAsia="en-US"/>
              </w:rPr>
            </w:pPr>
            <w:r w:rsidRPr="008A7800">
              <w:rPr>
                <w:rFonts w:eastAsiaTheme="minorEastAsia"/>
                <w:b w:val="0"/>
                <w:sz w:val="18"/>
                <w:szCs w:val="18"/>
                <w:lang w:eastAsia="en-US"/>
              </w:rPr>
              <w:t>Ever smoked daily</w:t>
            </w:r>
          </w:p>
        </w:tc>
        <w:tc>
          <w:tcPr>
            <w:tcW w:w="666" w:type="dxa"/>
            <w:tcBorders>
              <w:top w:val="nil"/>
              <w:left w:val="nil"/>
              <w:bottom w:val="nil"/>
              <w:right w:val="nil"/>
            </w:tcBorders>
            <w:shd w:val="clear" w:color="auto" w:fill="auto"/>
            <w:noWrap/>
            <w:vAlign w:val="center"/>
          </w:tcPr>
          <w:p w14:paraId="62A82890"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2594</w:t>
            </w:r>
          </w:p>
        </w:tc>
        <w:tc>
          <w:tcPr>
            <w:tcW w:w="567" w:type="dxa"/>
            <w:tcBorders>
              <w:top w:val="nil"/>
              <w:left w:val="nil"/>
              <w:bottom w:val="nil"/>
              <w:right w:val="nil"/>
            </w:tcBorders>
            <w:shd w:val="clear" w:color="auto" w:fill="auto"/>
            <w:noWrap/>
            <w:vAlign w:val="center"/>
          </w:tcPr>
          <w:p w14:paraId="6828FBD8"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41.5</w:t>
            </w:r>
          </w:p>
        </w:tc>
        <w:tc>
          <w:tcPr>
            <w:tcW w:w="1191" w:type="dxa"/>
            <w:tcBorders>
              <w:top w:val="nil"/>
              <w:left w:val="nil"/>
              <w:bottom w:val="nil"/>
              <w:right w:val="single" w:sz="4" w:space="0" w:color="auto"/>
            </w:tcBorders>
            <w:shd w:val="clear" w:color="auto" w:fill="auto"/>
            <w:noWrap/>
            <w:vAlign w:val="center"/>
          </w:tcPr>
          <w:p w14:paraId="07527E04"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(40.1, 42.9)</w:t>
            </w:r>
          </w:p>
        </w:tc>
        <w:tc>
          <w:tcPr>
            <w:tcW w:w="666" w:type="dxa"/>
            <w:tcBorders>
              <w:top w:val="nil"/>
              <w:left w:val="single" w:sz="4" w:space="0" w:color="auto"/>
              <w:bottom w:val="nil"/>
              <w:right w:val="nil"/>
            </w:tcBorders>
            <w:shd w:val="clear" w:color="auto" w:fill="auto"/>
            <w:noWrap/>
            <w:vAlign w:val="center"/>
          </w:tcPr>
          <w:p w14:paraId="02B90C30"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2187</w:t>
            </w:r>
          </w:p>
        </w:tc>
        <w:tc>
          <w:tcPr>
            <w:tcW w:w="621" w:type="dxa"/>
            <w:tcBorders>
              <w:top w:val="nil"/>
              <w:left w:val="nil"/>
              <w:bottom w:val="nil"/>
              <w:right w:val="nil"/>
            </w:tcBorders>
            <w:shd w:val="clear" w:color="auto" w:fill="auto"/>
            <w:noWrap/>
            <w:vAlign w:val="center"/>
          </w:tcPr>
          <w:p w14:paraId="101551C6"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41.6</w:t>
            </w:r>
          </w:p>
        </w:tc>
        <w:tc>
          <w:tcPr>
            <w:tcW w:w="1096" w:type="dxa"/>
            <w:tcBorders>
              <w:top w:val="nil"/>
              <w:left w:val="nil"/>
              <w:bottom w:val="nil"/>
              <w:right w:val="single" w:sz="4" w:space="0" w:color="000000"/>
            </w:tcBorders>
            <w:shd w:val="clear" w:color="auto" w:fill="auto"/>
            <w:noWrap/>
            <w:vAlign w:val="center"/>
          </w:tcPr>
          <w:p w14:paraId="1CEEE596"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(39.7, 43.5)</w:t>
            </w:r>
          </w:p>
        </w:tc>
        <w:tc>
          <w:tcPr>
            <w:tcW w:w="616" w:type="dxa"/>
            <w:tcBorders>
              <w:top w:val="nil"/>
              <w:left w:val="single" w:sz="4" w:space="0" w:color="000000"/>
              <w:bottom w:val="nil"/>
              <w:right w:val="nil"/>
            </w:tcBorders>
            <w:shd w:val="clear" w:color="auto" w:fill="auto"/>
            <w:vAlign w:val="center"/>
          </w:tcPr>
          <w:p w14:paraId="13EA6F01"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1333</w:t>
            </w:r>
          </w:p>
        </w:tc>
        <w:tc>
          <w:tcPr>
            <w:tcW w:w="567" w:type="dxa"/>
            <w:tcBorders>
              <w:top w:val="nil"/>
              <w:left w:val="nil"/>
              <w:bottom w:val="nil"/>
              <w:right w:val="nil"/>
            </w:tcBorders>
            <w:shd w:val="clear" w:color="auto" w:fill="auto"/>
            <w:vAlign w:val="center"/>
          </w:tcPr>
          <w:p w14:paraId="23B14618"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42.7</w:t>
            </w:r>
          </w:p>
        </w:tc>
        <w:tc>
          <w:tcPr>
            <w:tcW w:w="1146" w:type="dxa"/>
            <w:tcBorders>
              <w:top w:val="nil"/>
              <w:left w:val="nil"/>
              <w:bottom w:val="nil"/>
              <w:right w:val="single" w:sz="4" w:space="0" w:color="auto"/>
            </w:tcBorders>
            <w:shd w:val="clear" w:color="auto" w:fill="auto"/>
            <w:vAlign w:val="center"/>
          </w:tcPr>
          <w:p w14:paraId="62DABA31"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(40.6, 44.8)</w:t>
            </w:r>
          </w:p>
        </w:tc>
        <w:tc>
          <w:tcPr>
            <w:tcW w:w="666" w:type="dxa"/>
            <w:tcBorders>
              <w:top w:val="nil"/>
              <w:left w:val="single" w:sz="4" w:space="0" w:color="auto"/>
              <w:bottom w:val="nil"/>
              <w:right w:val="nil"/>
            </w:tcBorders>
            <w:shd w:val="clear" w:color="auto" w:fill="auto"/>
            <w:vAlign w:val="center"/>
          </w:tcPr>
          <w:p w14:paraId="7C25E1D5"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1175</w:t>
            </w:r>
          </w:p>
        </w:tc>
        <w:tc>
          <w:tcPr>
            <w:tcW w:w="567" w:type="dxa"/>
            <w:tcBorders>
              <w:top w:val="nil"/>
              <w:left w:val="nil"/>
              <w:bottom w:val="nil"/>
              <w:right w:val="nil"/>
            </w:tcBorders>
            <w:shd w:val="clear" w:color="auto" w:fill="auto"/>
            <w:vAlign w:val="center"/>
          </w:tcPr>
          <w:p w14:paraId="5455A821"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42.4</w:t>
            </w:r>
          </w:p>
        </w:tc>
        <w:tc>
          <w:tcPr>
            <w:tcW w:w="1146" w:type="dxa"/>
            <w:tcBorders>
              <w:top w:val="nil"/>
              <w:left w:val="nil"/>
              <w:bottom w:val="nil"/>
              <w:right w:val="nil"/>
            </w:tcBorders>
            <w:shd w:val="clear" w:color="auto" w:fill="auto"/>
            <w:vAlign w:val="center"/>
          </w:tcPr>
          <w:p w14:paraId="751FEEA6"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(40.1, 44.7)</w:t>
            </w:r>
          </w:p>
        </w:tc>
      </w:tr>
      <w:tr w:rsidR="002E64B9" w:rsidRPr="008A7800" w14:paraId="0DB4EB80"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4773" w:type="dxa"/>
            <w:gridSpan w:val="3"/>
            <w:tcBorders>
              <w:top w:val="nil"/>
              <w:left w:val="nil"/>
              <w:bottom w:val="nil"/>
              <w:right w:val="nil"/>
            </w:tcBorders>
            <w:shd w:val="clear" w:color="auto" w:fill="auto"/>
            <w:vAlign w:val="center"/>
          </w:tcPr>
          <w:p w14:paraId="30D97730" w14:textId="77777777" w:rsidR="001E2F74" w:rsidRPr="008A7800" w:rsidRDefault="001E2F74" w:rsidP="00A31BD8">
            <w:pPr>
              <w:spacing w:before="20" w:after="20"/>
              <w:rPr>
                <w:rFonts w:eastAsiaTheme="minorEastAsia"/>
                <w:sz w:val="18"/>
                <w:szCs w:val="18"/>
                <w:lang w:eastAsia="en-US"/>
              </w:rPr>
            </w:pPr>
            <w:r w:rsidRPr="008A7800">
              <w:rPr>
                <w:rFonts w:eastAsiaTheme="minorEastAsia"/>
                <w:sz w:val="18"/>
                <w:szCs w:val="18"/>
                <w:lang w:eastAsia="en-US"/>
              </w:rPr>
              <w:t>How often currently smoke tobacco</w:t>
            </w:r>
          </w:p>
        </w:tc>
        <w:tc>
          <w:tcPr>
            <w:tcW w:w="1191" w:type="dxa"/>
            <w:tcBorders>
              <w:top w:val="nil"/>
              <w:left w:val="nil"/>
              <w:bottom w:val="nil"/>
              <w:right w:val="single" w:sz="4" w:space="0" w:color="auto"/>
            </w:tcBorders>
            <w:shd w:val="clear" w:color="auto" w:fill="auto"/>
            <w:noWrap/>
            <w:vAlign w:val="center"/>
          </w:tcPr>
          <w:p w14:paraId="21BE2755"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66" w:type="dxa"/>
            <w:tcBorders>
              <w:top w:val="nil"/>
              <w:left w:val="single" w:sz="4" w:space="0" w:color="auto"/>
              <w:bottom w:val="nil"/>
              <w:right w:val="nil"/>
            </w:tcBorders>
            <w:shd w:val="clear" w:color="auto" w:fill="auto"/>
            <w:noWrap/>
            <w:vAlign w:val="center"/>
          </w:tcPr>
          <w:p w14:paraId="16F7B8E1"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nil"/>
              <w:left w:val="nil"/>
              <w:bottom w:val="nil"/>
              <w:right w:val="nil"/>
            </w:tcBorders>
            <w:shd w:val="clear" w:color="auto" w:fill="auto"/>
            <w:noWrap/>
            <w:vAlign w:val="center"/>
          </w:tcPr>
          <w:p w14:paraId="387C50C7"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096" w:type="dxa"/>
            <w:tcBorders>
              <w:top w:val="nil"/>
              <w:left w:val="nil"/>
              <w:bottom w:val="nil"/>
              <w:right w:val="single" w:sz="4" w:space="0" w:color="000000"/>
            </w:tcBorders>
            <w:shd w:val="clear" w:color="auto" w:fill="auto"/>
            <w:noWrap/>
            <w:vAlign w:val="center"/>
          </w:tcPr>
          <w:p w14:paraId="1433AF3F"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16" w:type="dxa"/>
            <w:tcBorders>
              <w:top w:val="nil"/>
              <w:left w:val="single" w:sz="4" w:space="0" w:color="000000"/>
              <w:bottom w:val="nil"/>
              <w:right w:val="nil"/>
            </w:tcBorders>
            <w:shd w:val="clear" w:color="auto" w:fill="auto"/>
            <w:vAlign w:val="center"/>
          </w:tcPr>
          <w:p w14:paraId="1DD6CC45"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shd w:val="clear" w:color="auto" w:fill="auto"/>
            <w:vAlign w:val="center"/>
          </w:tcPr>
          <w:p w14:paraId="54673860"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146" w:type="dxa"/>
            <w:tcBorders>
              <w:top w:val="nil"/>
              <w:left w:val="nil"/>
              <w:bottom w:val="nil"/>
              <w:right w:val="single" w:sz="4" w:space="0" w:color="auto"/>
            </w:tcBorders>
            <w:shd w:val="clear" w:color="auto" w:fill="auto"/>
            <w:vAlign w:val="center"/>
          </w:tcPr>
          <w:p w14:paraId="16EA9564" w14:textId="77777777" w:rsidR="001E2F74" w:rsidRPr="008A7800" w:rsidRDefault="001E2F74" w:rsidP="00A31B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666" w:type="dxa"/>
            <w:tcBorders>
              <w:top w:val="nil"/>
              <w:left w:val="single" w:sz="4" w:space="0" w:color="auto"/>
              <w:bottom w:val="nil"/>
              <w:right w:val="nil"/>
            </w:tcBorders>
            <w:shd w:val="clear" w:color="auto" w:fill="auto"/>
            <w:vAlign w:val="center"/>
          </w:tcPr>
          <w:p w14:paraId="4071E0FD"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p>
        </w:tc>
        <w:tc>
          <w:tcPr>
            <w:tcW w:w="567" w:type="dxa"/>
            <w:tcBorders>
              <w:top w:val="nil"/>
              <w:left w:val="nil"/>
              <w:bottom w:val="nil"/>
              <w:right w:val="nil"/>
            </w:tcBorders>
            <w:shd w:val="clear" w:color="auto" w:fill="auto"/>
            <w:vAlign w:val="center"/>
          </w:tcPr>
          <w:p w14:paraId="6BD12492"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146" w:type="dxa"/>
            <w:tcBorders>
              <w:top w:val="nil"/>
              <w:left w:val="nil"/>
              <w:bottom w:val="nil"/>
              <w:right w:val="nil"/>
            </w:tcBorders>
            <w:shd w:val="clear" w:color="auto" w:fill="auto"/>
            <w:vAlign w:val="center"/>
          </w:tcPr>
          <w:p w14:paraId="5174ED00"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118DA" w:rsidRPr="008A7800" w14:paraId="1FC051AD"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70BB4073" w14:textId="77777777" w:rsidR="001E2F74" w:rsidRPr="008A7800" w:rsidRDefault="001E2F74" w:rsidP="00A31BD8">
            <w:pPr>
              <w:spacing w:before="20" w:after="20"/>
              <w:ind w:left="34"/>
              <w:rPr>
                <w:rFonts w:eastAsiaTheme="minorEastAsia"/>
                <w:b w:val="0"/>
                <w:sz w:val="18"/>
                <w:szCs w:val="18"/>
                <w:lang w:eastAsia="en-US"/>
              </w:rPr>
            </w:pPr>
            <w:r w:rsidRPr="008A7800">
              <w:rPr>
                <w:rFonts w:eastAsiaTheme="minorEastAsia"/>
                <w:b w:val="0"/>
                <w:sz w:val="18"/>
                <w:szCs w:val="18"/>
                <w:lang w:eastAsia="en-US"/>
              </w:rPr>
              <w:t>Does not smoke now</w:t>
            </w:r>
          </w:p>
        </w:tc>
        <w:tc>
          <w:tcPr>
            <w:tcW w:w="666" w:type="dxa"/>
            <w:tcBorders>
              <w:top w:val="nil"/>
              <w:left w:val="nil"/>
              <w:bottom w:val="nil"/>
              <w:right w:val="nil"/>
            </w:tcBorders>
            <w:shd w:val="clear" w:color="auto" w:fill="auto"/>
            <w:noWrap/>
            <w:vAlign w:val="center"/>
          </w:tcPr>
          <w:p w14:paraId="5AA46965"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1616</w:t>
            </w:r>
          </w:p>
        </w:tc>
        <w:tc>
          <w:tcPr>
            <w:tcW w:w="567" w:type="dxa"/>
            <w:tcBorders>
              <w:top w:val="nil"/>
              <w:left w:val="nil"/>
              <w:bottom w:val="nil"/>
              <w:right w:val="nil"/>
            </w:tcBorders>
            <w:shd w:val="clear" w:color="auto" w:fill="auto"/>
            <w:noWrap/>
            <w:vAlign w:val="center"/>
          </w:tcPr>
          <w:p w14:paraId="706C3E00"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25.9</w:t>
            </w:r>
          </w:p>
        </w:tc>
        <w:tc>
          <w:tcPr>
            <w:tcW w:w="1191" w:type="dxa"/>
            <w:tcBorders>
              <w:top w:val="nil"/>
              <w:left w:val="nil"/>
              <w:bottom w:val="nil"/>
              <w:right w:val="single" w:sz="4" w:space="0" w:color="auto"/>
            </w:tcBorders>
            <w:shd w:val="clear" w:color="auto" w:fill="auto"/>
            <w:noWrap/>
            <w:vAlign w:val="center"/>
          </w:tcPr>
          <w:p w14:paraId="03937EF0"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(24.6, 27.1)</w:t>
            </w:r>
          </w:p>
        </w:tc>
        <w:tc>
          <w:tcPr>
            <w:tcW w:w="666" w:type="dxa"/>
            <w:tcBorders>
              <w:top w:val="nil"/>
              <w:left w:val="single" w:sz="4" w:space="0" w:color="auto"/>
              <w:bottom w:val="nil"/>
              <w:right w:val="nil"/>
            </w:tcBorders>
            <w:shd w:val="clear" w:color="auto" w:fill="auto"/>
            <w:noWrap/>
            <w:vAlign w:val="center"/>
          </w:tcPr>
          <w:p w14:paraId="4C797742"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1023</w:t>
            </w:r>
          </w:p>
        </w:tc>
        <w:tc>
          <w:tcPr>
            <w:tcW w:w="621" w:type="dxa"/>
            <w:tcBorders>
              <w:top w:val="nil"/>
              <w:left w:val="nil"/>
              <w:bottom w:val="nil"/>
              <w:right w:val="nil"/>
            </w:tcBorders>
            <w:shd w:val="clear" w:color="auto" w:fill="auto"/>
            <w:noWrap/>
            <w:vAlign w:val="center"/>
          </w:tcPr>
          <w:p w14:paraId="6AE0F00C"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27.3</w:t>
            </w:r>
          </w:p>
        </w:tc>
        <w:tc>
          <w:tcPr>
            <w:tcW w:w="1096" w:type="dxa"/>
            <w:tcBorders>
              <w:top w:val="nil"/>
              <w:left w:val="nil"/>
              <w:bottom w:val="nil"/>
              <w:right w:val="single" w:sz="4" w:space="0" w:color="000000"/>
            </w:tcBorders>
            <w:shd w:val="clear" w:color="auto" w:fill="auto"/>
            <w:noWrap/>
            <w:vAlign w:val="center"/>
          </w:tcPr>
          <w:p w14:paraId="5265EABA"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(25.6, 29.0)</w:t>
            </w:r>
          </w:p>
        </w:tc>
        <w:tc>
          <w:tcPr>
            <w:tcW w:w="616" w:type="dxa"/>
            <w:tcBorders>
              <w:top w:val="nil"/>
              <w:left w:val="single" w:sz="4" w:space="0" w:color="000000"/>
              <w:bottom w:val="nil"/>
              <w:right w:val="nil"/>
            </w:tcBorders>
            <w:shd w:val="clear" w:color="auto" w:fill="auto"/>
            <w:vAlign w:val="center"/>
          </w:tcPr>
          <w:p w14:paraId="2AEAD0D7"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880</w:t>
            </w:r>
          </w:p>
        </w:tc>
        <w:tc>
          <w:tcPr>
            <w:tcW w:w="567" w:type="dxa"/>
            <w:tcBorders>
              <w:top w:val="nil"/>
              <w:left w:val="nil"/>
              <w:bottom w:val="nil"/>
              <w:right w:val="nil"/>
            </w:tcBorders>
            <w:shd w:val="clear" w:color="auto" w:fill="auto"/>
            <w:vAlign w:val="center"/>
          </w:tcPr>
          <w:p w14:paraId="0D5A97D5"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28.2</w:t>
            </w:r>
          </w:p>
        </w:tc>
        <w:tc>
          <w:tcPr>
            <w:tcW w:w="1146" w:type="dxa"/>
            <w:tcBorders>
              <w:top w:val="nil"/>
              <w:left w:val="nil"/>
              <w:bottom w:val="nil"/>
              <w:right w:val="single" w:sz="4" w:space="0" w:color="auto"/>
            </w:tcBorders>
            <w:shd w:val="clear" w:color="auto" w:fill="auto"/>
            <w:vAlign w:val="center"/>
          </w:tcPr>
          <w:p w14:paraId="677F840B"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(26.3, 30.1)</w:t>
            </w:r>
          </w:p>
        </w:tc>
        <w:tc>
          <w:tcPr>
            <w:tcW w:w="666" w:type="dxa"/>
            <w:tcBorders>
              <w:top w:val="nil"/>
              <w:left w:val="single" w:sz="4" w:space="0" w:color="auto"/>
              <w:bottom w:val="nil"/>
              <w:right w:val="nil"/>
            </w:tcBorders>
            <w:shd w:val="clear" w:color="auto" w:fill="auto"/>
            <w:vAlign w:val="center"/>
          </w:tcPr>
          <w:p w14:paraId="21F986A5"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rPr>
              <w:t>809</w:t>
            </w:r>
          </w:p>
        </w:tc>
        <w:tc>
          <w:tcPr>
            <w:tcW w:w="567" w:type="dxa"/>
            <w:tcBorders>
              <w:top w:val="nil"/>
              <w:left w:val="nil"/>
              <w:bottom w:val="nil"/>
              <w:right w:val="nil"/>
            </w:tcBorders>
            <w:shd w:val="clear" w:color="auto" w:fill="auto"/>
            <w:vAlign w:val="center"/>
          </w:tcPr>
          <w:p w14:paraId="7CAF29F3"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29.2</w:t>
            </w:r>
          </w:p>
        </w:tc>
        <w:tc>
          <w:tcPr>
            <w:tcW w:w="1146" w:type="dxa"/>
            <w:tcBorders>
              <w:top w:val="nil"/>
              <w:left w:val="nil"/>
              <w:bottom w:val="nil"/>
              <w:right w:val="nil"/>
            </w:tcBorders>
            <w:shd w:val="clear" w:color="auto" w:fill="auto"/>
            <w:vAlign w:val="center"/>
          </w:tcPr>
          <w:p w14:paraId="66E95074"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(27.1, 31.3)</w:t>
            </w:r>
          </w:p>
        </w:tc>
      </w:tr>
      <w:tr w:rsidR="009118DA" w:rsidRPr="008A7800" w14:paraId="17313DC3"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300A2407" w14:textId="77777777" w:rsidR="001E2F74" w:rsidRPr="008A7800" w:rsidRDefault="001E2F74" w:rsidP="00A31BD8">
            <w:pPr>
              <w:spacing w:before="20" w:after="20"/>
              <w:ind w:left="34"/>
              <w:rPr>
                <w:rFonts w:eastAsiaTheme="minorEastAsia"/>
                <w:b w:val="0"/>
                <w:sz w:val="18"/>
                <w:szCs w:val="18"/>
                <w:lang w:eastAsia="en-US"/>
              </w:rPr>
            </w:pPr>
            <w:r w:rsidRPr="008A7800">
              <w:rPr>
                <w:rFonts w:eastAsiaTheme="minorEastAsia"/>
                <w:b w:val="0"/>
                <w:sz w:val="18"/>
                <w:szCs w:val="18"/>
                <w:lang w:eastAsia="en-US"/>
              </w:rPr>
              <w:t>At least once a day</w:t>
            </w:r>
          </w:p>
        </w:tc>
        <w:tc>
          <w:tcPr>
            <w:tcW w:w="666" w:type="dxa"/>
            <w:tcBorders>
              <w:top w:val="nil"/>
              <w:left w:val="nil"/>
              <w:bottom w:val="nil"/>
              <w:right w:val="nil"/>
            </w:tcBorders>
            <w:shd w:val="clear" w:color="auto" w:fill="auto"/>
            <w:noWrap/>
            <w:vAlign w:val="center"/>
          </w:tcPr>
          <w:p w14:paraId="1014F3A4"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985</w:t>
            </w:r>
          </w:p>
        </w:tc>
        <w:tc>
          <w:tcPr>
            <w:tcW w:w="567" w:type="dxa"/>
            <w:tcBorders>
              <w:top w:val="nil"/>
              <w:left w:val="nil"/>
              <w:bottom w:val="nil"/>
              <w:right w:val="nil"/>
            </w:tcBorders>
            <w:shd w:val="clear" w:color="auto" w:fill="auto"/>
            <w:noWrap/>
            <w:vAlign w:val="center"/>
          </w:tcPr>
          <w:p w14:paraId="0ED39EEB"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15.8</w:t>
            </w:r>
          </w:p>
        </w:tc>
        <w:tc>
          <w:tcPr>
            <w:tcW w:w="1191" w:type="dxa"/>
            <w:tcBorders>
              <w:top w:val="nil"/>
              <w:left w:val="nil"/>
              <w:bottom w:val="nil"/>
              <w:right w:val="single" w:sz="4" w:space="0" w:color="auto"/>
            </w:tcBorders>
            <w:shd w:val="clear" w:color="auto" w:fill="auto"/>
            <w:noWrap/>
            <w:vAlign w:val="center"/>
          </w:tcPr>
          <w:p w14:paraId="678443A8"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(14.7, 16.8)</w:t>
            </w:r>
          </w:p>
        </w:tc>
        <w:tc>
          <w:tcPr>
            <w:tcW w:w="666" w:type="dxa"/>
            <w:tcBorders>
              <w:top w:val="nil"/>
              <w:left w:val="single" w:sz="4" w:space="0" w:color="auto"/>
              <w:bottom w:val="nil"/>
              <w:right w:val="nil"/>
            </w:tcBorders>
            <w:shd w:val="clear" w:color="auto" w:fill="auto"/>
            <w:noWrap/>
            <w:vAlign w:val="center"/>
          </w:tcPr>
          <w:p w14:paraId="58247D44"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543</w:t>
            </w:r>
          </w:p>
        </w:tc>
        <w:tc>
          <w:tcPr>
            <w:tcW w:w="621" w:type="dxa"/>
            <w:tcBorders>
              <w:top w:val="nil"/>
              <w:left w:val="nil"/>
              <w:bottom w:val="nil"/>
              <w:right w:val="nil"/>
            </w:tcBorders>
            <w:shd w:val="clear" w:color="auto" w:fill="auto"/>
            <w:noWrap/>
            <w:vAlign w:val="center"/>
          </w:tcPr>
          <w:p w14:paraId="0AE66F80"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14.5</w:t>
            </w:r>
          </w:p>
        </w:tc>
        <w:tc>
          <w:tcPr>
            <w:tcW w:w="1096" w:type="dxa"/>
            <w:tcBorders>
              <w:top w:val="nil"/>
              <w:left w:val="nil"/>
              <w:bottom w:val="nil"/>
              <w:right w:val="single" w:sz="4" w:space="0" w:color="000000"/>
            </w:tcBorders>
            <w:shd w:val="clear" w:color="auto" w:fill="auto"/>
            <w:noWrap/>
            <w:vAlign w:val="center"/>
          </w:tcPr>
          <w:p w14:paraId="45503427"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(13.1, 15.9)</w:t>
            </w:r>
          </w:p>
        </w:tc>
        <w:tc>
          <w:tcPr>
            <w:tcW w:w="616" w:type="dxa"/>
            <w:tcBorders>
              <w:top w:val="nil"/>
              <w:left w:val="single" w:sz="4" w:space="0" w:color="000000"/>
              <w:bottom w:val="nil"/>
              <w:right w:val="nil"/>
            </w:tcBorders>
            <w:shd w:val="clear" w:color="auto" w:fill="auto"/>
            <w:vAlign w:val="center"/>
          </w:tcPr>
          <w:p w14:paraId="30ED8DEA"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433</w:t>
            </w:r>
          </w:p>
        </w:tc>
        <w:tc>
          <w:tcPr>
            <w:tcW w:w="567" w:type="dxa"/>
            <w:tcBorders>
              <w:top w:val="nil"/>
              <w:left w:val="nil"/>
              <w:bottom w:val="nil"/>
              <w:right w:val="nil"/>
            </w:tcBorders>
            <w:shd w:val="clear" w:color="auto" w:fill="auto"/>
            <w:vAlign w:val="center"/>
          </w:tcPr>
          <w:p w14:paraId="246A2A5E"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13.9</w:t>
            </w:r>
          </w:p>
        </w:tc>
        <w:tc>
          <w:tcPr>
            <w:tcW w:w="1146" w:type="dxa"/>
            <w:tcBorders>
              <w:top w:val="nil"/>
              <w:left w:val="nil"/>
              <w:bottom w:val="nil"/>
              <w:right w:val="single" w:sz="4" w:space="0" w:color="auto"/>
            </w:tcBorders>
            <w:shd w:val="clear" w:color="auto" w:fill="auto"/>
            <w:vAlign w:val="center"/>
          </w:tcPr>
          <w:p w14:paraId="17E82241"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(12.3, 15.4)</w:t>
            </w:r>
          </w:p>
        </w:tc>
        <w:tc>
          <w:tcPr>
            <w:tcW w:w="666" w:type="dxa"/>
            <w:tcBorders>
              <w:top w:val="nil"/>
              <w:left w:val="single" w:sz="4" w:space="0" w:color="auto"/>
              <w:bottom w:val="nil"/>
              <w:right w:val="nil"/>
            </w:tcBorders>
            <w:shd w:val="clear" w:color="auto" w:fill="auto"/>
            <w:vAlign w:val="center"/>
          </w:tcPr>
          <w:p w14:paraId="3F76E3BE"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351</w:t>
            </w:r>
          </w:p>
        </w:tc>
        <w:tc>
          <w:tcPr>
            <w:tcW w:w="567" w:type="dxa"/>
            <w:tcBorders>
              <w:top w:val="nil"/>
              <w:left w:val="nil"/>
              <w:bottom w:val="nil"/>
              <w:right w:val="nil"/>
            </w:tcBorders>
            <w:shd w:val="clear" w:color="auto" w:fill="auto"/>
            <w:vAlign w:val="center"/>
          </w:tcPr>
          <w:p w14:paraId="4F0BB87A"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12.7</w:t>
            </w:r>
          </w:p>
        </w:tc>
        <w:tc>
          <w:tcPr>
            <w:tcW w:w="1146" w:type="dxa"/>
            <w:tcBorders>
              <w:top w:val="nil"/>
              <w:left w:val="nil"/>
              <w:bottom w:val="nil"/>
              <w:right w:val="nil"/>
            </w:tcBorders>
            <w:shd w:val="clear" w:color="auto" w:fill="auto"/>
            <w:vAlign w:val="center"/>
          </w:tcPr>
          <w:p w14:paraId="0FB112F7"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(11.2, 14.1)</w:t>
            </w:r>
          </w:p>
        </w:tc>
      </w:tr>
      <w:tr w:rsidR="009118DA" w:rsidRPr="008A7800" w14:paraId="350BF74B"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571B25E0" w14:textId="77777777" w:rsidR="001E2F74" w:rsidRPr="008A7800" w:rsidRDefault="001E2F74" w:rsidP="00A31BD8">
            <w:pPr>
              <w:spacing w:before="20" w:after="20"/>
              <w:ind w:left="34"/>
              <w:rPr>
                <w:rFonts w:eastAsiaTheme="minorEastAsia"/>
                <w:b w:val="0"/>
                <w:sz w:val="18"/>
                <w:szCs w:val="18"/>
                <w:lang w:eastAsia="en-US"/>
              </w:rPr>
            </w:pPr>
            <w:r w:rsidRPr="008A7800">
              <w:rPr>
                <w:rFonts w:eastAsiaTheme="minorEastAsia"/>
                <w:b w:val="0"/>
                <w:sz w:val="18"/>
                <w:szCs w:val="18"/>
                <w:lang w:eastAsia="en-US"/>
              </w:rPr>
              <w:t>At least once a week</w:t>
            </w:r>
          </w:p>
        </w:tc>
        <w:tc>
          <w:tcPr>
            <w:tcW w:w="666" w:type="dxa"/>
            <w:tcBorders>
              <w:top w:val="nil"/>
              <w:left w:val="nil"/>
              <w:bottom w:val="nil"/>
              <w:right w:val="nil"/>
            </w:tcBorders>
            <w:shd w:val="clear" w:color="auto" w:fill="auto"/>
            <w:noWrap/>
            <w:vAlign w:val="center"/>
          </w:tcPr>
          <w:p w14:paraId="4788D984"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88</w:t>
            </w:r>
          </w:p>
        </w:tc>
        <w:tc>
          <w:tcPr>
            <w:tcW w:w="567" w:type="dxa"/>
            <w:tcBorders>
              <w:top w:val="nil"/>
              <w:left w:val="nil"/>
              <w:bottom w:val="nil"/>
              <w:right w:val="nil"/>
            </w:tcBorders>
            <w:shd w:val="clear" w:color="auto" w:fill="auto"/>
            <w:noWrap/>
            <w:vAlign w:val="center"/>
          </w:tcPr>
          <w:p w14:paraId="680D804E"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1.4</w:t>
            </w:r>
          </w:p>
        </w:tc>
        <w:tc>
          <w:tcPr>
            <w:tcW w:w="1191" w:type="dxa"/>
            <w:tcBorders>
              <w:top w:val="nil"/>
              <w:left w:val="nil"/>
              <w:bottom w:val="nil"/>
              <w:right w:val="single" w:sz="4" w:space="0" w:color="auto"/>
            </w:tcBorders>
            <w:shd w:val="clear" w:color="auto" w:fill="auto"/>
            <w:noWrap/>
            <w:vAlign w:val="center"/>
          </w:tcPr>
          <w:p w14:paraId="69002AFE"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(1.0, 1.8)</w:t>
            </w:r>
          </w:p>
        </w:tc>
        <w:tc>
          <w:tcPr>
            <w:tcW w:w="666" w:type="dxa"/>
            <w:tcBorders>
              <w:top w:val="nil"/>
              <w:left w:val="single" w:sz="4" w:space="0" w:color="auto"/>
              <w:bottom w:val="nil"/>
              <w:right w:val="nil"/>
            </w:tcBorders>
            <w:shd w:val="clear" w:color="auto" w:fill="auto"/>
            <w:noWrap/>
            <w:vAlign w:val="center"/>
          </w:tcPr>
          <w:p w14:paraId="467E3960"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56</w:t>
            </w:r>
          </w:p>
        </w:tc>
        <w:tc>
          <w:tcPr>
            <w:tcW w:w="621" w:type="dxa"/>
            <w:tcBorders>
              <w:top w:val="nil"/>
              <w:left w:val="nil"/>
              <w:bottom w:val="nil"/>
              <w:right w:val="nil"/>
            </w:tcBorders>
            <w:shd w:val="clear" w:color="auto" w:fill="auto"/>
            <w:noWrap/>
            <w:vAlign w:val="center"/>
          </w:tcPr>
          <w:p w14:paraId="736BEF50"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1.5</w:t>
            </w:r>
          </w:p>
        </w:tc>
        <w:tc>
          <w:tcPr>
            <w:tcW w:w="1096" w:type="dxa"/>
            <w:tcBorders>
              <w:top w:val="nil"/>
              <w:left w:val="nil"/>
              <w:bottom w:val="nil"/>
              <w:right w:val="single" w:sz="4" w:space="0" w:color="000000"/>
            </w:tcBorders>
            <w:shd w:val="clear" w:color="auto" w:fill="auto"/>
            <w:noWrap/>
            <w:vAlign w:val="center"/>
          </w:tcPr>
          <w:p w14:paraId="0EC8CF4B"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(1.0, 2.0)</w:t>
            </w:r>
          </w:p>
        </w:tc>
        <w:tc>
          <w:tcPr>
            <w:tcW w:w="616" w:type="dxa"/>
            <w:tcBorders>
              <w:top w:val="nil"/>
              <w:left w:val="single" w:sz="4" w:space="0" w:color="000000"/>
              <w:bottom w:val="nil"/>
              <w:right w:val="nil"/>
            </w:tcBorders>
            <w:shd w:val="clear" w:color="auto" w:fill="auto"/>
            <w:vAlign w:val="center"/>
          </w:tcPr>
          <w:p w14:paraId="48C53435"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47</w:t>
            </w:r>
          </w:p>
        </w:tc>
        <w:tc>
          <w:tcPr>
            <w:tcW w:w="567" w:type="dxa"/>
            <w:tcBorders>
              <w:top w:val="nil"/>
              <w:left w:val="nil"/>
              <w:bottom w:val="nil"/>
              <w:right w:val="nil"/>
            </w:tcBorders>
            <w:shd w:val="clear" w:color="auto" w:fill="auto"/>
            <w:vAlign w:val="center"/>
          </w:tcPr>
          <w:p w14:paraId="5070A56D"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1.5</w:t>
            </w:r>
          </w:p>
        </w:tc>
        <w:tc>
          <w:tcPr>
            <w:tcW w:w="1146" w:type="dxa"/>
            <w:tcBorders>
              <w:top w:val="nil"/>
              <w:left w:val="nil"/>
              <w:bottom w:val="nil"/>
              <w:right w:val="single" w:sz="4" w:space="0" w:color="auto"/>
            </w:tcBorders>
            <w:shd w:val="clear" w:color="auto" w:fill="auto"/>
            <w:vAlign w:val="center"/>
          </w:tcPr>
          <w:p w14:paraId="0C872E14"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(0.9, 2.1)</w:t>
            </w:r>
          </w:p>
        </w:tc>
        <w:tc>
          <w:tcPr>
            <w:tcW w:w="666" w:type="dxa"/>
            <w:tcBorders>
              <w:top w:val="nil"/>
              <w:left w:val="single" w:sz="4" w:space="0" w:color="auto"/>
              <w:bottom w:val="nil"/>
              <w:right w:val="nil"/>
            </w:tcBorders>
            <w:shd w:val="clear" w:color="auto" w:fill="auto"/>
            <w:vAlign w:val="center"/>
          </w:tcPr>
          <w:p w14:paraId="38FF62D3"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31</w:t>
            </w:r>
          </w:p>
        </w:tc>
        <w:tc>
          <w:tcPr>
            <w:tcW w:w="567" w:type="dxa"/>
            <w:tcBorders>
              <w:top w:val="nil"/>
              <w:left w:val="nil"/>
              <w:bottom w:val="nil"/>
              <w:right w:val="nil"/>
            </w:tcBorders>
            <w:shd w:val="clear" w:color="auto" w:fill="auto"/>
            <w:vAlign w:val="center"/>
          </w:tcPr>
          <w:p w14:paraId="387EFCEA"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w:t>
            </w:r>
          </w:p>
        </w:tc>
        <w:tc>
          <w:tcPr>
            <w:tcW w:w="1146" w:type="dxa"/>
            <w:tcBorders>
              <w:top w:val="nil"/>
              <w:left w:val="nil"/>
              <w:bottom w:val="nil"/>
              <w:right w:val="nil"/>
            </w:tcBorders>
            <w:shd w:val="clear" w:color="auto" w:fill="auto"/>
            <w:vAlign w:val="center"/>
          </w:tcPr>
          <w:p w14:paraId="7AB962B0"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(0.7, 1.5)</w:t>
            </w:r>
          </w:p>
        </w:tc>
      </w:tr>
      <w:tr w:rsidR="009118DA" w:rsidRPr="008A7800" w14:paraId="1F0B334C" w14:textId="77777777" w:rsidTr="002E64B9">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271ACDBE" w14:textId="77777777" w:rsidR="001E2F74" w:rsidRPr="008A7800" w:rsidRDefault="001E2F74" w:rsidP="00A31BD8">
            <w:pPr>
              <w:spacing w:before="20" w:after="20"/>
              <w:ind w:left="34"/>
              <w:rPr>
                <w:rFonts w:eastAsiaTheme="minorEastAsia"/>
                <w:b w:val="0"/>
                <w:sz w:val="18"/>
                <w:szCs w:val="18"/>
                <w:lang w:eastAsia="en-US"/>
              </w:rPr>
            </w:pPr>
            <w:r w:rsidRPr="008A7800">
              <w:rPr>
                <w:rFonts w:eastAsiaTheme="minorEastAsia"/>
                <w:b w:val="0"/>
                <w:sz w:val="18"/>
                <w:szCs w:val="18"/>
                <w:lang w:eastAsia="en-US"/>
              </w:rPr>
              <w:t>At least once a month</w:t>
            </w:r>
          </w:p>
        </w:tc>
        <w:tc>
          <w:tcPr>
            <w:tcW w:w="666" w:type="dxa"/>
            <w:tcBorders>
              <w:top w:val="nil"/>
              <w:left w:val="nil"/>
              <w:bottom w:val="nil"/>
              <w:right w:val="nil"/>
            </w:tcBorders>
            <w:shd w:val="clear" w:color="auto" w:fill="auto"/>
            <w:noWrap/>
            <w:vAlign w:val="center"/>
          </w:tcPr>
          <w:p w14:paraId="4A53AF2A"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32</w:t>
            </w:r>
          </w:p>
        </w:tc>
        <w:tc>
          <w:tcPr>
            <w:tcW w:w="567" w:type="dxa"/>
            <w:tcBorders>
              <w:top w:val="nil"/>
              <w:left w:val="nil"/>
              <w:bottom w:val="nil"/>
              <w:right w:val="nil"/>
            </w:tcBorders>
            <w:shd w:val="clear" w:color="auto" w:fill="auto"/>
            <w:noWrap/>
            <w:vAlign w:val="center"/>
          </w:tcPr>
          <w:p w14:paraId="0773C07E"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0.5</w:t>
            </w:r>
          </w:p>
        </w:tc>
        <w:tc>
          <w:tcPr>
            <w:tcW w:w="1191" w:type="dxa"/>
            <w:tcBorders>
              <w:top w:val="nil"/>
              <w:left w:val="nil"/>
              <w:bottom w:val="nil"/>
              <w:right w:val="single" w:sz="4" w:space="0" w:color="auto"/>
            </w:tcBorders>
            <w:shd w:val="clear" w:color="auto" w:fill="auto"/>
            <w:noWrap/>
            <w:vAlign w:val="center"/>
          </w:tcPr>
          <w:p w14:paraId="7EAC5A44"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(0.3, 0.7)</w:t>
            </w:r>
          </w:p>
        </w:tc>
        <w:tc>
          <w:tcPr>
            <w:tcW w:w="666" w:type="dxa"/>
            <w:tcBorders>
              <w:top w:val="nil"/>
              <w:left w:val="single" w:sz="4" w:space="0" w:color="auto"/>
              <w:bottom w:val="nil"/>
              <w:right w:val="nil"/>
            </w:tcBorders>
            <w:shd w:val="clear" w:color="auto" w:fill="auto"/>
            <w:noWrap/>
            <w:vAlign w:val="center"/>
          </w:tcPr>
          <w:p w14:paraId="350FE142"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13</w:t>
            </w:r>
          </w:p>
        </w:tc>
        <w:tc>
          <w:tcPr>
            <w:tcW w:w="621" w:type="dxa"/>
            <w:tcBorders>
              <w:top w:val="nil"/>
              <w:left w:val="nil"/>
              <w:bottom w:val="nil"/>
              <w:right w:val="nil"/>
            </w:tcBorders>
            <w:shd w:val="clear" w:color="auto" w:fill="auto"/>
            <w:noWrap/>
            <w:vAlign w:val="center"/>
          </w:tcPr>
          <w:p w14:paraId="3D4172E0"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0.4</w:t>
            </w:r>
          </w:p>
        </w:tc>
        <w:tc>
          <w:tcPr>
            <w:tcW w:w="1096" w:type="dxa"/>
            <w:tcBorders>
              <w:top w:val="nil"/>
              <w:left w:val="nil"/>
              <w:bottom w:val="nil"/>
              <w:right w:val="single" w:sz="4" w:space="0" w:color="000000"/>
            </w:tcBorders>
            <w:shd w:val="clear" w:color="auto" w:fill="auto"/>
            <w:noWrap/>
            <w:vAlign w:val="center"/>
          </w:tcPr>
          <w:p w14:paraId="12E0C34F"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(0.2, 0.5)</w:t>
            </w:r>
          </w:p>
        </w:tc>
        <w:tc>
          <w:tcPr>
            <w:tcW w:w="616" w:type="dxa"/>
            <w:tcBorders>
              <w:top w:val="nil"/>
              <w:left w:val="single" w:sz="4" w:space="0" w:color="000000"/>
              <w:bottom w:val="nil"/>
              <w:right w:val="nil"/>
            </w:tcBorders>
            <w:shd w:val="clear" w:color="auto" w:fill="auto"/>
            <w:vAlign w:val="center"/>
          </w:tcPr>
          <w:p w14:paraId="53B16F8F"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18</w:t>
            </w:r>
          </w:p>
        </w:tc>
        <w:tc>
          <w:tcPr>
            <w:tcW w:w="567" w:type="dxa"/>
            <w:tcBorders>
              <w:top w:val="nil"/>
              <w:left w:val="nil"/>
              <w:bottom w:val="nil"/>
              <w:right w:val="nil"/>
            </w:tcBorders>
            <w:shd w:val="clear" w:color="auto" w:fill="auto"/>
            <w:vAlign w:val="center"/>
          </w:tcPr>
          <w:p w14:paraId="5911B430"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0.6</w:t>
            </w:r>
          </w:p>
        </w:tc>
        <w:tc>
          <w:tcPr>
            <w:tcW w:w="1146" w:type="dxa"/>
            <w:tcBorders>
              <w:top w:val="nil"/>
              <w:left w:val="nil"/>
              <w:bottom w:val="nil"/>
              <w:right w:val="single" w:sz="4" w:space="0" w:color="auto"/>
            </w:tcBorders>
            <w:shd w:val="clear" w:color="auto" w:fill="auto"/>
            <w:vAlign w:val="center"/>
          </w:tcPr>
          <w:p w14:paraId="173A7D37"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(0.3, 0.9)</w:t>
            </w:r>
          </w:p>
        </w:tc>
        <w:tc>
          <w:tcPr>
            <w:tcW w:w="666" w:type="dxa"/>
            <w:tcBorders>
              <w:top w:val="nil"/>
              <w:left w:val="single" w:sz="4" w:space="0" w:color="auto"/>
              <w:bottom w:val="nil"/>
              <w:right w:val="nil"/>
            </w:tcBorders>
            <w:shd w:val="clear" w:color="auto" w:fill="auto"/>
            <w:vAlign w:val="center"/>
          </w:tcPr>
          <w:p w14:paraId="39E27069"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25</w:t>
            </w:r>
          </w:p>
        </w:tc>
        <w:tc>
          <w:tcPr>
            <w:tcW w:w="567" w:type="dxa"/>
            <w:tcBorders>
              <w:top w:val="nil"/>
              <w:left w:val="nil"/>
              <w:bottom w:val="nil"/>
              <w:right w:val="nil"/>
            </w:tcBorders>
            <w:shd w:val="clear" w:color="auto" w:fill="auto"/>
            <w:vAlign w:val="center"/>
          </w:tcPr>
          <w:p w14:paraId="3EFF4649"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0.9</w:t>
            </w:r>
          </w:p>
        </w:tc>
        <w:tc>
          <w:tcPr>
            <w:tcW w:w="1146" w:type="dxa"/>
            <w:tcBorders>
              <w:top w:val="nil"/>
              <w:left w:val="nil"/>
              <w:bottom w:val="nil"/>
              <w:right w:val="nil"/>
            </w:tcBorders>
            <w:shd w:val="clear" w:color="auto" w:fill="auto"/>
            <w:vAlign w:val="center"/>
          </w:tcPr>
          <w:p w14:paraId="623825B3"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(0.4, 1.3)</w:t>
            </w:r>
          </w:p>
        </w:tc>
      </w:tr>
      <w:tr w:rsidR="009118DA" w:rsidRPr="008A7800" w14:paraId="5A249777" w14:textId="77777777" w:rsidTr="00063DE7">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tcPr>
          <w:p w14:paraId="0BBBBA56" w14:textId="77777777" w:rsidR="001E2F74" w:rsidRPr="008A7800" w:rsidRDefault="001E2F74" w:rsidP="00A31BD8">
            <w:pPr>
              <w:spacing w:before="20" w:after="20"/>
              <w:ind w:left="34"/>
              <w:rPr>
                <w:rFonts w:eastAsiaTheme="minorEastAsia"/>
                <w:b w:val="0"/>
                <w:sz w:val="18"/>
                <w:szCs w:val="18"/>
                <w:lang w:eastAsia="en-US"/>
              </w:rPr>
            </w:pPr>
            <w:r w:rsidRPr="008A7800">
              <w:rPr>
                <w:rFonts w:eastAsiaTheme="minorEastAsia"/>
                <w:b w:val="0"/>
                <w:sz w:val="18"/>
                <w:szCs w:val="18"/>
                <w:lang w:eastAsia="en-US"/>
              </w:rPr>
              <w:t>Less than once a month</w:t>
            </w:r>
          </w:p>
        </w:tc>
        <w:tc>
          <w:tcPr>
            <w:tcW w:w="666" w:type="dxa"/>
            <w:tcBorders>
              <w:top w:val="nil"/>
              <w:left w:val="nil"/>
              <w:bottom w:val="nil"/>
              <w:right w:val="nil"/>
            </w:tcBorders>
            <w:noWrap/>
            <w:vAlign w:val="center"/>
          </w:tcPr>
          <w:p w14:paraId="3BE832E9"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57</w:t>
            </w:r>
          </w:p>
        </w:tc>
        <w:tc>
          <w:tcPr>
            <w:tcW w:w="567" w:type="dxa"/>
            <w:tcBorders>
              <w:top w:val="nil"/>
              <w:left w:val="nil"/>
              <w:bottom w:val="nil"/>
              <w:right w:val="nil"/>
            </w:tcBorders>
            <w:noWrap/>
            <w:vAlign w:val="center"/>
          </w:tcPr>
          <w:p w14:paraId="55F5DAED"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0.9</w:t>
            </w:r>
          </w:p>
        </w:tc>
        <w:tc>
          <w:tcPr>
            <w:tcW w:w="1191" w:type="dxa"/>
            <w:tcBorders>
              <w:top w:val="nil"/>
              <w:left w:val="nil"/>
              <w:bottom w:val="nil"/>
              <w:right w:val="single" w:sz="4" w:space="0" w:color="auto"/>
            </w:tcBorders>
            <w:noWrap/>
            <w:vAlign w:val="center"/>
          </w:tcPr>
          <w:p w14:paraId="53DC9E79"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(0.6, 1.2)</w:t>
            </w:r>
          </w:p>
        </w:tc>
        <w:tc>
          <w:tcPr>
            <w:tcW w:w="666" w:type="dxa"/>
            <w:tcBorders>
              <w:top w:val="nil"/>
              <w:left w:val="single" w:sz="4" w:space="0" w:color="auto"/>
              <w:bottom w:val="nil"/>
              <w:right w:val="nil"/>
            </w:tcBorders>
            <w:noWrap/>
            <w:vAlign w:val="center"/>
          </w:tcPr>
          <w:p w14:paraId="51B862C5"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35</w:t>
            </w:r>
          </w:p>
        </w:tc>
        <w:tc>
          <w:tcPr>
            <w:tcW w:w="621" w:type="dxa"/>
            <w:tcBorders>
              <w:top w:val="nil"/>
              <w:left w:val="nil"/>
              <w:bottom w:val="nil"/>
              <w:right w:val="nil"/>
            </w:tcBorders>
            <w:noWrap/>
            <w:vAlign w:val="center"/>
          </w:tcPr>
          <w:p w14:paraId="29B1FF1A"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0.9</w:t>
            </w:r>
          </w:p>
        </w:tc>
        <w:tc>
          <w:tcPr>
            <w:tcW w:w="1096" w:type="dxa"/>
            <w:tcBorders>
              <w:top w:val="nil"/>
              <w:left w:val="nil"/>
              <w:bottom w:val="nil"/>
              <w:right w:val="single" w:sz="4" w:space="0" w:color="000000"/>
            </w:tcBorders>
            <w:shd w:val="clear" w:color="auto" w:fill="FFFFFF" w:themeFill="background1"/>
            <w:noWrap/>
            <w:vAlign w:val="center"/>
          </w:tcPr>
          <w:p w14:paraId="2C9452A0"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(0.6, 1.3)</w:t>
            </w:r>
          </w:p>
        </w:tc>
        <w:tc>
          <w:tcPr>
            <w:tcW w:w="616" w:type="dxa"/>
            <w:tcBorders>
              <w:top w:val="nil"/>
              <w:left w:val="single" w:sz="4" w:space="0" w:color="000000"/>
              <w:bottom w:val="nil"/>
              <w:right w:val="nil"/>
            </w:tcBorders>
            <w:shd w:val="clear" w:color="auto" w:fill="FFFFFF" w:themeFill="background1"/>
            <w:vAlign w:val="center"/>
          </w:tcPr>
          <w:p w14:paraId="51329738"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33</w:t>
            </w:r>
          </w:p>
        </w:tc>
        <w:tc>
          <w:tcPr>
            <w:tcW w:w="567" w:type="dxa"/>
            <w:tcBorders>
              <w:top w:val="nil"/>
              <w:left w:val="nil"/>
              <w:bottom w:val="nil"/>
              <w:right w:val="nil"/>
            </w:tcBorders>
            <w:shd w:val="clear" w:color="auto" w:fill="FFFFFF" w:themeFill="background1"/>
            <w:vAlign w:val="center"/>
          </w:tcPr>
          <w:p w14:paraId="1CE02A0B"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1.1</w:t>
            </w:r>
          </w:p>
        </w:tc>
        <w:tc>
          <w:tcPr>
            <w:tcW w:w="1146" w:type="dxa"/>
            <w:tcBorders>
              <w:top w:val="nil"/>
              <w:left w:val="nil"/>
              <w:bottom w:val="nil"/>
              <w:right w:val="single" w:sz="4" w:space="0" w:color="auto"/>
            </w:tcBorders>
            <w:shd w:val="clear" w:color="auto" w:fill="FFFFFF" w:themeFill="background1"/>
            <w:vAlign w:val="center"/>
          </w:tcPr>
          <w:p w14:paraId="5EB9B4A5"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(0.6, 1.5)</w:t>
            </w:r>
          </w:p>
        </w:tc>
        <w:tc>
          <w:tcPr>
            <w:tcW w:w="666" w:type="dxa"/>
            <w:tcBorders>
              <w:top w:val="nil"/>
              <w:left w:val="single" w:sz="4" w:space="0" w:color="auto"/>
              <w:bottom w:val="nil"/>
              <w:right w:val="nil"/>
            </w:tcBorders>
            <w:shd w:val="clear" w:color="auto" w:fill="FFFFFF" w:themeFill="background1"/>
            <w:vAlign w:val="center"/>
          </w:tcPr>
          <w:p w14:paraId="1554172E"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27</w:t>
            </w:r>
          </w:p>
        </w:tc>
        <w:tc>
          <w:tcPr>
            <w:tcW w:w="567" w:type="dxa"/>
            <w:tcBorders>
              <w:top w:val="nil"/>
              <w:left w:val="nil"/>
              <w:bottom w:val="nil"/>
              <w:right w:val="nil"/>
            </w:tcBorders>
            <w:shd w:val="clear" w:color="auto" w:fill="FFFFFF" w:themeFill="background1"/>
            <w:vAlign w:val="center"/>
          </w:tcPr>
          <w:p w14:paraId="5609EF24"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1.0</w:t>
            </w:r>
          </w:p>
        </w:tc>
        <w:tc>
          <w:tcPr>
            <w:tcW w:w="1146" w:type="dxa"/>
            <w:tcBorders>
              <w:top w:val="nil"/>
              <w:left w:val="nil"/>
              <w:bottom w:val="nil"/>
              <w:right w:val="nil"/>
            </w:tcBorders>
            <w:shd w:val="clear" w:color="auto" w:fill="FFFFFF" w:themeFill="background1"/>
            <w:vAlign w:val="center"/>
          </w:tcPr>
          <w:p w14:paraId="56281118"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(0.5, 1.5)</w:t>
            </w:r>
          </w:p>
        </w:tc>
      </w:tr>
      <w:tr w:rsidR="009118DA" w:rsidRPr="008A7800" w14:paraId="42DAD2E0" w14:textId="77777777" w:rsidTr="00063DE7">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tcPr>
          <w:p w14:paraId="48D39097" w14:textId="77777777" w:rsidR="001E2F74" w:rsidRPr="008A7800" w:rsidRDefault="001E2F74" w:rsidP="00A31BD8">
            <w:pPr>
              <w:spacing w:before="20" w:after="20"/>
              <w:ind w:left="34"/>
              <w:rPr>
                <w:rFonts w:eastAsiaTheme="minorEastAsia"/>
                <w:b w:val="0"/>
                <w:sz w:val="18"/>
                <w:szCs w:val="18"/>
                <w:lang w:eastAsia="en-US"/>
              </w:rPr>
            </w:pPr>
            <w:r w:rsidRPr="008A7800">
              <w:rPr>
                <w:rFonts w:eastAsiaTheme="minorEastAsia"/>
                <w:b w:val="0"/>
                <w:sz w:val="18"/>
                <w:szCs w:val="18"/>
                <w:lang w:eastAsia="en-US"/>
              </w:rPr>
              <w:t>Never smoked</w:t>
            </w:r>
          </w:p>
        </w:tc>
        <w:tc>
          <w:tcPr>
            <w:tcW w:w="666" w:type="dxa"/>
            <w:tcBorders>
              <w:top w:val="nil"/>
              <w:left w:val="nil"/>
              <w:bottom w:val="nil"/>
              <w:right w:val="nil"/>
            </w:tcBorders>
            <w:noWrap/>
            <w:vAlign w:val="center"/>
          </w:tcPr>
          <w:p w14:paraId="775EBAF5"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3470</w:t>
            </w:r>
          </w:p>
        </w:tc>
        <w:tc>
          <w:tcPr>
            <w:tcW w:w="567" w:type="dxa"/>
            <w:tcBorders>
              <w:top w:val="nil"/>
              <w:left w:val="nil"/>
              <w:bottom w:val="nil"/>
              <w:right w:val="nil"/>
            </w:tcBorders>
            <w:noWrap/>
            <w:vAlign w:val="center"/>
          </w:tcPr>
          <w:p w14:paraId="08373B80"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55.5</w:t>
            </w:r>
          </w:p>
        </w:tc>
        <w:tc>
          <w:tcPr>
            <w:tcW w:w="1191" w:type="dxa"/>
            <w:tcBorders>
              <w:top w:val="nil"/>
              <w:left w:val="nil"/>
              <w:bottom w:val="nil"/>
              <w:right w:val="single" w:sz="4" w:space="0" w:color="auto"/>
            </w:tcBorders>
            <w:noWrap/>
            <w:vAlign w:val="center"/>
          </w:tcPr>
          <w:p w14:paraId="49F23F98"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(54.1, 57.0)</w:t>
            </w:r>
          </w:p>
        </w:tc>
        <w:tc>
          <w:tcPr>
            <w:tcW w:w="666" w:type="dxa"/>
            <w:tcBorders>
              <w:top w:val="nil"/>
              <w:left w:val="single" w:sz="4" w:space="0" w:color="auto"/>
              <w:bottom w:val="nil"/>
              <w:right w:val="nil"/>
            </w:tcBorders>
            <w:noWrap/>
            <w:vAlign w:val="center"/>
          </w:tcPr>
          <w:p w14:paraId="6D7E767E"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2075</w:t>
            </w:r>
          </w:p>
        </w:tc>
        <w:tc>
          <w:tcPr>
            <w:tcW w:w="621" w:type="dxa"/>
            <w:tcBorders>
              <w:top w:val="nil"/>
              <w:left w:val="nil"/>
              <w:bottom w:val="nil"/>
              <w:right w:val="nil"/>
            </w:tcBorders>
            <w:noWrap/>
            <w:vAlign w:val="center"/>
          </w:tcPr>
          <w:p w14:paraId="2794BC88"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55.4</w:t>
            </w:r>
          </w:p>
        </w:tc>
        <w:tc>
          <w:tcPr>
            <w:tcW w:w="1096" w:type="dxa"/>
            <w:tcBorders>
              <w:top w:val="nil"/>
              <w:left w:val="nil"/>
              <w:bottom w:val="nil"/>
              <w:right w:val="single" w:sz="4" w:space="0" w:color="000000"/>
            </w:tcBorders>
            <w:shd w:val="clear" w:color="auto" w:fill="FFFFFF" w:themeFill="background1"/>
            <w:noWrap/>
            <w:vAlign w:val="center"/>
          </w:tcPr>
          <w:p w14:paraId="10117185" w14:textId="77777777" w:rsidR="001E2F74" w:rsidRPr="008A7800" w:rsidRDefault="001E2F74" w:rsidP="00A31B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(53.5, 57.3)</w:t>
            </w:r>
          </w:p>
        </w:tc>
        <w:tc>
          <w:tcPr>
            <w:tcW w:w="616" w:type="dxa"/>
            <w:tcBorders>
              <w:top w:val="nil"/>
              <w:left w:val="single" w:sz="4" w:space="0" w:color="000000"/>
              <w:bottom w:val="nil"/>
              <w:right w:val="nil"/>
            </w:tcBorders>
            <w:shd w:val="clear" w:color="auto" w:fill="FFFFFF" w:themeFill="background1"/>
            <w:vAlign w:val="center"/>
          </w:tcPr>
          <w:p w14:paraId="083CB311"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1711</w:t>
            </w:r>
          </w:p>
        </w:tc>
        <w:tc>
          <w:tcPr>
            <w:tcW w:w="567" w:type="dxa"/>
            <w:tcBorders>
              <w:top w:val="nil"/>
              <w:left w:val="nil"/>
              <w:bottom w:val="nil"/>
              <w:right w:val="nil"/>
            </w:tcBorders>
            <w:shd w:val="clear" w:color="auto" w:fill="FFFFFF" w:themeFill="background1"/>
            <w:vAlign w:val="center"/>
          </w:tcPr>
          <w:p w14:paraId="1BAE4C0D"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54.8</w:t>
            </w:r>
          </w:p>
        </w:tc>
        <w:tc>
          <w:tcPr>
            <w:tcW w:w="1146" w:type="dxa"/>
            <w:tcBorders>
              <w:top w:val="nil"/>
              <w:left w:val="nil"/>
              <w:bottom w:val="nil"/>
              <w:right w:val="single" w:sz="4" w:space="0" w:color="auto"/>
            </w:tcBorders>
            <w:shd w:val="clear" w:color="auto" w:fill="FFFFFF" w:themeFill="background1"/>
            <w:vAlign w:val="center"/>
          </w:tcPr>
          <w:p w14:paraId="08A83D08"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(52.6, 56.9)</w:t>
            </w:r>
          </w:p>
        </w:tc>
        <w:tc>
          <w:tcPr>
            <w:tcW w:w="666" w:type="dxa"/>
            <w:tcBorders>
              <w:top w:val="nil"/>
              <w:left w:val="single" w:sz="4" w:space="0" w:color="auto"/>
              <w:bottom w:val="nil"/>
              <w:right w:val="nil"/>
            </w:tcBorders>
            <w:shd w:val="clear" w:color="auto" w:fill="FFFFFF" w:themeFill="background1"/>
            <w:vAlign w:val="center"/>
          </w:tcPr>
          <w:p w14:paraId="393A1920"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1528</w:t>
            </w:r>
          </w:p>
        </w:tc>
        <w:tc>
          <w:tcPr>
            <w:tcW w:w="567" w:type="dxa"/>
            <w:tcBorders>
              <w:top w:val="nil"/>
              <w:left w:val="nil"/>
              <w:bottom w:val="nil"/>
              <w:right w:val="nil"/>
            </w:tcBorders>
            <w:shd w:val="clear" w:color="auto" w:fill="FFFFFF" w:themeFill="background1"/>
            <w:vAlign w:val="center"/>
          </w:tcPr>
          <w:p w14:paraId="04E2A377"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55.2</w:t>
            </w:r>
          </w:p>
        </w:tc>
        <w:tc>
          <w:tcPr>
            <w:tcW w:w="1146" w:type="dxa"/>
            <w:tcBorders>
              <w:top w:val="nil"/>
              <w:left w:val="nil"/>
              <w:bottom w:val="nil"/>
              <w:right w:val="nil"/>
            </w:tcBorders>
            <w:shd w:val="clear" w:color="auto" w:fill="FFFFFF" w:themeFill="background1"/>
            <w:vAlign w:val="center"/>
          </w:tcPr>
          <w:p w14:paraId="05A5C09C"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(52.8, 57.5)</w:t>
            </w:r>
          </w:p>
        </w:tc>
      </w:tr>
      <w:tr w:rsidR="009118DA" w:rsidRPr="008A7800" w14:paraId="0FB931AB" w14:textId="77777777" w:rsidTr="00063DE7">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single" w:sz="4" w:space="0" w:color="auto"/>
              <w:right w:val="nil"/>
            </w:tcBorders>
          </w:tcPr>
          <w:p w14:paraId="5FD8A9AC" w14:textId="77777777" w:rsidR="001E2F74" w:rsidRPr="008A7800" w:rsidRDefault="001E2F74" w:rsidP="00A31BD8">
            <w:pPr>
              <w:spacing w:before="20" w:after="20"/>
              <w:ind w:left="34"/>
              <w:rPr>
                <w:rFonts w:eastAsiaTheme="minorEastAsia"/>
                <w:b w:val="0"/>
                <w:sz w:val="18"/>
                <w:szCs w:val="18"/>
                <w:lang w:eastAsia="en-US"/>
              </w:rPr>
            </w:pPr>
            <w:r w:rsidRPr="008A7800">
              <w:rPr>
                <w:rFonts w:eastAsiaTheme="minorEastAsia"/>
                <w:b w:val="0"/>
                <w:sz w:val="18"/>
                <w:szCs w:val="18"/>
                <w:lang w:eastAsia="en-US"/>
              </w:rPr>
              <w:t>Missing</w:t>
            </w:r>
          </w:p>
        </w:tc>
        <w:tc>
          <w:tcPr>
            <w:tcW w:w="666" w:type="dxa"/>
            <w:tcBorders>
              <w:top w:val="nil"/>
              <w:left w:val="nil"/>
              <w:bottom w:val="single" w:sz="4" w:space="0" w:color="auto"/>
              <w:right w:val="nil"/>
            </w:tcBorders>
            <w:noWrap/>
            <w:vAlign w:val="center"/>
          </w:tcPr>
          <w:p w14:paraId="15F22492"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3</w:t>
            </w:r>
          </w:p>
        </w:tc>
        <w:tc>
          <w:tcPr>
            <w:tcW w:w="567" w:type="dxa"/>
            <w:tcBorders>
              <w:top w:val="nil"/>
              <w:left w:val="nil"/>
              <w:bottom w:val="single" w:sz="4" w:space="0" w:color="auto"/>
              <w:right w:val="nil"/>
            </w:tcBorders>
            <w:noWrap/>
            <w:vAlign w:val="center"/>
          </w:tcPr>
          <w:p w14:paraId="0571BCE6"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w:t>
            </w:r>
          </w:p>
        </w:tc>
        <w:tc>
          <w:tcPr>
            <w:tcW w:w="1191" w:type="dxa"/>
            <w:tcBorders>
              <w:top w:val="nil"/>
              <w:left w:val="nil"/>
              <w:bottom w:val="single" w:sz="4" w:space="0" w:color="auto"/>
              <w:right w:val="single" w:sz="4" w:space="0" w:color="auto"/>
            </w:tcBorders>
            <w:noWrap/>
            <w:vAlign w:val="center"/>
          </w:tcPr>
          <w:p w14:paraId="77687E72"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666" w:type="dxa"/>
            <w:tcBorders>
              <w:top w:val="nil"/>
              <w:left w:val="single" w:sz="4" w:space="0" w:color="auto"/>
              <w:bottom w:val="single" w:sz="4" w:space="0" w:color="auto"/>
              <w:right w:val="nil"/>
            </w:tcBorders>
            <w:noWrap/>
            <w:vAlign w:val="center"/>
          </w:tcPr>
          <w:p w14:paraId="7EC7D2C5"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r w:rsidRPr="008A7800">
              <w:rPr>
                <w:rFonts w:eastAsiaTheme="minorEastAsia"/>
                <w:bCs/>
                <w:sz w:val="18"/>
                <w:szCs w:val="18"/>
                <w:lang w:eastAsia="en-US"/>
              </w:rPr>
              <w:t>-</w:t>
            </w:r>
          </w:p>
        </w:tc>
        <w:tc>
          <w:tcPr>
            <w:tcW w:w="621" w:type="dxa"/>
            <w:tcBorders>
              <w:top w:val="nil"/>
              <w:left w:val="nil"/>
              <w:bottom w:val="single" w:sz="4" w:space="0" w:color="auto"/>
              <w:right w:val="nil"/>
            </w:tcBorders>
            <w:noWrap/>
            <w:vAlign w:val="center"/>
          </w:tcPr>
          <w:p w14:paraId="52EDDD68"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1096" w:type="dxa"/>
            <w:tcBorders>
              <w:top w:val="nil"/>
              <w:left w:val="nil"/>
              <w:bottom w:val="single" w:sz="4" w:space="0" w:color="auto"/>
              <w:right w:val="single" w:sz="4" w:space="0" w:color="000000"/>
            </w:tcBorders>
            <w:shd w:val="clear" w:color="auto" w:fill="FFFFFF" w:themeFill="background1"/>
            <w:noWrap/>
            <w:vAlign w:val="center"/>
          </w:tcPr>
          <w:p w14:paraId="0A53B2C8" w14:textId="77777777" w:rsidR="001E2F74" w:rsidRPr="008A7800" w:rsidRDefault="001E2F74" w:rsidP="00A31B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616" w:type="dxa"/>
            <w:tcBorders>
              <w:top w:val="nil"/>
              <w:left w:val="single" w:sz="4" w:space="0" w:color="000000"/>
              <w:bottom w:val="single" w:sz="4" w:space="0" w:color="auto"/>
              <w:right w:val="nil"/>
            </w:tcBorders>
            <w:shd w:val="clear" w:color="auto" w:fill="FFFFFF" w:themeFill="background1"/>
            <w:vAlign w:val="center"/>
          </w:tcPr>
          <w:p w14:paraId="47FE4785"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8A7800">
              <w:rPr>
                <w:color w:val="000000"/>
                <w:sz w:val="18"/>
                <w:szCs w:val="18"/>
                <w:lang w:eastAsia="en-NZ"/>
              </w:rPr>
              <w:t>-</w:t>
            </w:r>
          </w:p>
        </w:tc>
        <w:tc>
          <w:tcPr>
            <w:tcW w:w="567" w:type="dxa"/>
            <w:tcBorders>
              <w:top w:val="nil"/>
              <w:left w:val="nil"/>
              <w:bottom w:val="single" w:sz="4" w:space="0" w:color="auto"/>
              <w:right w:val="nil"/>
            </w:tcBorders>
            <w:shd w:val="clear" w:color="auto" w:fill="FFFFFF" w:themeFill="background1"/>
            <w:vAlign w:val="center"/>
          </w:tcPr>
          <w:p w14:paraId="010AA13F"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146" w:type="dxa"/>
            <w:tcBorders>
              <w:top w:val="nil"/>
              <w:left w:val="nil"/>
              <w:bottom w:val="single" w:sz="4" w:space="0" w:color="auto"/>
              <w:right w:val="single" w:sz="4" w:space="0" w:color="auto"/>
            </w:tcBorders>
            <w:shd w:val="clear" w:color="auto" w:fill="FFFFFF" w:themeFill="background1"/>
            <w:vAlign w:val="center"/>
          </w:tcPr>
          <w:p w14:paraId="0FD89EE5" w14:textId="77777777" w:rsidR="001E2F74" w:rsidRPr="008A7800" w:rsidRDefault="001E2F74" w:rsidP="00A31BD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p>
        </w:tc>
        <w:tc>
          <w:tcPr>
            <w:tcW w:w="666" w:type="dxa"/>
            <w:tcBorders>
              <w:top w:val="nil"/>
              <w:left w:val="single" w:sz="4" w:space="0" w:color="auto"/>
              <w:bottom w:val="single" w:sz="4" w:space="0" w:color="auto"/>
              <w:right w:val="nil"/>
            </w:tcBorders>
            <w:shd w:val="clear" w:color="auto" w:fill="FFFFFF" w:themeFill="background1"/>
            <w:vAlign w:val="center"/>
          </w:tcPr>
          <w:p w14:paraId="045462BB"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0</w:t>
            </w:r>
          </w:p>
        </w:tc>
        <w:tc>
          <w:tcPr>
            <w:tcW w:w="567" w:type="dxa"/>
            <w:tcBorders>
              <w:top w:val="nil"/>
              <w:left w:val="nil"/>
              <w:bottom w:val="single" w:sz="4" w:space="0" w:color="auto"/>
              <w:right w:val="nil"/>
            </w:tcBorders>
            <w:shd w:val="clear" w:color="auto" w:fill="FFFFFF" w:themeFill="background1"/>
            <w:vAlign w:val="center"/>
          </w:tcPr>
          <w:p w14:paraId="345C4D01"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A7800">
              <w:rPr>
                <w:color w:val="000000"/>
                <w:sz w:val="18"/>
                <w:szCs w:val="18"/>
              </w:rPr>
              <w:t>-</w:t>
            </w:r>
          </w:p>
        </w:tc>
        <w:tc>
          <w:tcPr>
            <w:tcW w:w="1146" w:type="dxa"/>
            <w:tcBorders>
              <w:top w:val="nil"/>
              <w:left w:val="nil"/>
              <w:bottom w:val="single" w:sz="4" w:space="0" w:color="auto"/>
              <w:right w:val="nil"/>
            </w:tcBorders>
            <w:shd w:val="clear" w:color="auto" w:fill="FFFFFF" w:themeFill="background1"/>
            <w:vAlign w:val="center"/>
          </w:tcPr>
          <w:p w14:paraId="5402EFDF" w14:textId="77777777" w:rsidR="001E2F74" w:rsidRPr="008A7800" w:rsidRDefault="001E2F74" w:rsidP="001E2F74">
            <w:pPr>
              <w:jc w:val="right"/>
              <w:cnfStyle w:val="000000000000" w:firstRow="0" w:lastRow="0" w:firstColumn="0" w:lastColumn="0" w:oddVBand="0" w:evenVBand="0" w:oddHBand="0" w:evenHBand="0" w:firstRowFirstColumn="0" w:firstRowLastColumn="0" w:lastRowFirstColumn="0" w:lastRowLastColumn="0"/>
              <w:rPr>
                <w:sz w:val="18"/>
                <w:szCs w:val="18"/>
              </w:rPr>
            </w:pPr>
          </w:p>
        </w:tc>
      </w:tr>
    </w:tbl>
    <w:p w14:paraId="4EB31B47" w14:textId="77777777" w:rsidR="001E2F74" w:rsidRPr="00063DE7" w:rsidRDefault="001E2F74" w:rsidP="00063DE7">
      <w:pPr>
        <w:ind w:left="426"/>
        <w:rPr>
          <w:sz w:val="18"/>
        </w:rPr>
      </w:pPr>
      <w:r w:rsidRPr="00063DE7">
        <w:rPr>
          <w:sz w:val="18"/>
        </w:rPr>
        <w:t>Data weighted for 2013 Census data (all waves) and attrition (Waves 2, 3 and 4)</w:t>
      </w:r>
    </w:p>
    <w:p w14:paraId="482A4870" w14:textId="77777777" w:rsidR="001E2F74" w:rsidRPr="00063DE7" w:rsidRDefault="001E2F74" w:rsidP="00063DE7">
      <w:pPr>
        <w:pStyle w:val="RepNormal"/>
        <w:ind w:left="426"/>
        <w:rPr>
          <w:sz w:val="18"/>
        </w:rPr>
      </w:pPr>
      <w:r w:rsidRPr="00063DE7">
        <w:rPr>
          <w:sz w:val="18"/>
        </w:rPr>
        <w:t>Wave 1 N=6,251; Wave 2 N=3,745; Wave 3 N=3,115; Wave 4 N=2,770</w:t>
      </w:r>
    </w:p>
    <w:p w14:paraId="1929BBC5" w14:textId="77777777" w:rsidR="008A068A" w:rsidRDefault="008A068A" w:rsidP="003B4065">
      <w:pPr>
        <w:ind w:left="1560"/>
        <w:rPr>
          <w:rFonts w:eastAsiaTheme="majorEastAsia" w:cstheme="majorBidi"/>
          <w:b/>
          <w:bCs/>
          <w:caps/>
          <w:szCs w:val="28"/>
          <w:lang w:eastAsia="en-US"/>
        </w:rPr>
      </w:pPr>
    </w:p>
    <w:p w14:paraId="71152830" w14:textId="77777777" w:rsidR="001E2F74" w:rsidRDefault="001E2F74" w:rsidP="003B4065">
      <w:pPr>
        <w:ind w:left="1560"/>
        <w:rPr>
          <w:rFonts w:eastAsiaTheme="majorEastAsia" w:cstheme="majorBidi"/>
          <w:b/>
          <w:bCs/>
          <w:caps/>
          <w:szCs w:val="28"/>
          <w:lang w:eastAsia="en-US"/>
        </w:rPr>
      </w:pPr>
    </w:p>
    <w:p w14:paraId="53B3BF69" w14:textId="77777777" w:rsidR="001E2F74" w:rsidRDefault="001E2F74" w:rsidP="003B4065">
      <w:pPr>
        <w:ind w:left="1560"/>
        <w:rPr>
          <w:rFonts w:eastAsiaTheme="majorEastAsia" w:cstheme="majorBidi"/>
          <w:b/>
          <w:bCs/>
          <w:caps/>
          <w:szCs w:val="28"/>
          <w:lang w:eastAsia="en-US"/>
        </w:rPr>
      </w:pPr>
    </w:p>
    <w:p w14:paraId="31C2F04B" w14:textId="77777777" w:rsidR="00ED1E40" w:rsidRPr="00ED1E40" w:rsidRDefault="00ED1E40" w:rsidP="003D7BB5"/>
    <w:p w14:paraId="1E893C39" w14:textId="77777777" w:rsidR="00ED1E40" w:rsidRPr="00063DE7" w:rsidRDefault="00ED1E40" w:rsidP="00063DE7">
      <w:pPr>
        <w:pStyle w:val="RepNormal"/>
        <w:ind w:left="1701"/>
        <w:rPr>
          <w:sz w:val="18"/>
        </w:rPr>
      </w:pPr>
    </w:p>
    <w:p w14:paraId="11D81B6B" w14:textId="77777777" w:rsidR="007B5A0A" w:rsidRDefault="007B5A0A" w:rsidP="007B5A0A">
      <w:pPr>
        <w:spacing w:after="160" w:line="259" w:lineRule="auto"/>
      </w:pPr>
      <w:r>
        <w:br w:type="page"/>
      </w:r>
    </w:p>
    <w:p w14:paraId="2AA0A101" w14:textId="77777777" w:rsidR="007B5A0A" w:rsidRDefault="007B5A0A" w:rsidP="007B5A0A">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rPr>
          <w:rFonts w:cs="Times New Roman"/>
          <w:caps w:val="0"/>
        </w:rPr>
      </w:pPr>
      <w:bookmarkStart w:id="209" w:name="_Toc504488409"/>
      <w:r w:rsidRPr="00AE7AD8">
        <w:t xml:space="preserve">APPENDIX </w:t>
      </w:r>
      <w:r w:rsidR="003D7BB5">
        <w:t>16</w:t>
      </w:r>
      <w:r w:rsidRPr="00AE7AD8">
        <w:t>:</w:t>
      </w:r>
      <w:r w:rsidRPr="00AE7AD8">
        <w:br/>
      </w:r>
      <w:r w:rsidR="00315163">
        <w:rPr>
          <w:rFonts w:cs="Times New Roman"/>
          <w:caps w:val="0"/>
        </w:rPr>
        <w:t>H</w:t>
      </w:r>
      <w:r w:rsidRPr="00AE7AD8">
        <w:rPr>
          <w:rFonts w:cs="Times New Roman"/>
          <w:caps w:val="0"/>
        </w:rPr>
        <w:t>ealth status in Waves 1, 2</w:t>
      </w:r>
      <w:r>
        <w:rPr>
          <w:rFonts w:cs="Times New Roman"/>
          <w:caps w:val="0"/>
        </w:rPr>
        <w:t>,</w:t>
      </w:r>
      <w:r w:rsidRPr="00AE7AD8">
        <w:rPr>
          <w:rFonts w:cs="Times New Roman"/>
          <w:caps w:val="0"/>
        </w:rPr>
        <w:t xml:space="preserve"> 3</w:t>
      </w:r>
      <w:r>
        <w:rPr>
          <w:rFonts w:cs="Times New Roman"/>
          <w:caps w:val="0"/>
        </w:rPr>
        <w:t xml:space="preserve"> and 4 - Māori</w:t>
      </w:r>
      <w:bookmarkEnd w:id="209"/>
    </w:p>
    <w:p w14:paraId="6F4D61A0" w14:textId="77777777" w:rsidR="007B5A0A" w:rsidRPr="00BA05A5" w:rsidRDefault="007B5A0A" w:rsidP="007B5A0A"/>
    <w:tbl>
      <w:tblPr>
        <w:tblStyle w:val="LightShading4"/>
        <w:tblW w:w="0" w:type="auto"/>
        <w:jc w:val="center"/>
        <w:tblLayout w:type="fixed"/>
        <w:tblLook w:val="06A0" w:firstRow="1" w:lastRow="0" w:firstColumn="1" w:lastColumn="0" w:noHBand="1" w:noVBand="1"/>
      </w:tblPr>
      <w:tblGrid>
        <w:gridCol w:w="3540"/>
        <w:gridCol w:w="567"/>
        <w:gridCol w:w="567"/>
        <w:gridCol w:w="1146"/>
        <w:gridCol w:w="536"/>
        <w:gridCol w:w="621"/>
        <w:gridCol w:w="1146"/>
        <w:gridCol w:w="536"/>
        <w:gridCol w:w="567"/>
        <w:gridCol w:w="1146"/>
        <w:gridCol w:w="536"/>
        <w:gridCol w:w="576"/>
        <w:gridCol w:w="1146"/>
      </w:tblGrid>
      <w:tr w:rsidR="007B5A0A" w:rsidRPr="00D76D7F" w14:paraId="1B92D818" w14:textId="77777777" w:rsidTr="00D76D7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40" w:type="dxa"/>
            <w:vMerge w:val="restart"/>
            <w:tcBorders>
              <w:bottom w:val="single" w:sz="4" w:space="0" w:color="auto"/>
            </w:tcBorders>
            <w:vAlign w:val="bottom"/>
            <w:hideMark/>
          </w:tcPr>
          <w:p w14:paraId="06A73529" w14:textId="77777777" w:rsidR="007B5A0A" w:rsidRPr="00D76D7F" w:rsidRDefault="007B5A0A" w:rsidP="008C60C5">
            <w:pPr>
              <w:spacing w:before="20" w:after="20"/>
              <w:rPr>
                <w:rFonts w:eastAsiaTheme="minorEastAsia"/>
                <w:sz w:val="18"/>
                <w:szCs w:val="18"/>
                <w:lang w:eastAsia="en-US"/>
              </w:rPr>
            </w:pPr>
            <w:r w:rsidRPr="00D76D7F">
              <w:rPr>
                <w:rFonts w:eastAsiaTheme="minorEastAsia"/>
                <w:sz w:val="18"/>
                <w:szCs w:val="18"/>
              </w:rPr>
              <w:t>Health variable</w:t>
            </w:r>
          </w:p>
        </w:tc>
        <w:tc>
          <w:tcPr>
            <w:tcW w:w="2280" w:type="dxa"/>
            <w:gridSpan w:val="3"/>
            <w:tcBorders>
              <w:bottom w:val="single" w:sz="4" w:space="0" w:color="auto"/>
              <w:right w:val="single" w:sz="4" w:space="0" w:color="auto"/>
            </w:tcBorders>
            <w:noWrap/>
            <w:vAlign w:val="center"/>
            <w:hideMark/>
          </w:tcPr>
          <w:p w14:paraId="57AF0716" w14:textId="77777777" w:rsidR="007B5A0A" w:rsidRPr="00D76D7F" w:rsidRDefault="007B5A0A" w:rsidP="008C60C5">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8"/>
                <w:szCs w:val="18"/>
                <w:lang w:eastAsia="en-US"/>
              </w:rPr>
            </w:pPr>
            <w:r w:rsidRPr="00D76D7F">
              <w:rPr>
                <w:rFonts w:eastAsiaTheme="minorEastAsia"/>
                <w:sz w:val="18"/>
                <w:szCs w:val="18"/>
              </w:rPr>
              <w:t>Wave 1</w:t>
            </w:r>
          </w:p>
        </w:tc>
        <w:tc>
          <w:tcPr>
            <w:tcW w:w="2303" w:type="dxa"/>
            <w:gridSpan w:val="3"/>
            <w:tcBorders>
              <w:left w:val="single" w:sz="4" w:space="0" w:color="auto"/>
              <w:bottom w:val="single" w:sz="4" w:space="0" w:color="auto"/>
            </w:tcBorders>
            <w:vAlign w:val="center"/>
          </w:tcPr>
          <w:p w14:paraId="70AFC2BD" w14:textId="77777777" w:rsidR="007B5A0A" w:rsidRPr="00D76D7F" w:rsidRDefault="007B5A0A" w:rsidP="008C60C5">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D76D7F">
              <w:rPr>
                <w:rFonts w:eastAsiaTheme="minorEastAsia"/>
                <w:sz w:val="18"/>
                <w:szCs w:val="18"/>
                <w:lang w:eastAsia="en-US"/>
              </w:rPr>
              <w:t>Wave 2</w:t>
            </w:r>
          </w:p>
        </w:tc>
        <w:tc>
          <w:tcPr>
            <w:tcW w:w="2249" w:type="dxa"/>
            <w:gridSpan w:val="3"/>
            <w:tcBorders>
              <w:left w:val="single" w:sz="4" w:space="0" w:color="auto"/>
              <w:bottom w:val="single" w:sz="4" w:space="0" w:color="auto"/>
            </w:tcBorders>
          </w:tcPr>
          <w:p w14:paraId="21CEAE25" w14:textId="77777777" w:rsidR="007B5A0A" w:rsidRPr="00D76D7F" w:rsidRDefault="007B5A0A" w:rsidP="008C60C5">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D76D7F">
              <w:rPr>
                <w:rFonts w:eastAsiaTheme="minorEastAsia"/>
                <w:sz w:val="18"/>
                <w:szCs w:val="18"/>
                <w:lang w:eastAsia="en-US"/>
              </w:rPr>
              <w:t>Wave 3</w:t>
            </w:r>
          </w:p>
        </w:tc>
        <w:tc>
          <w:tcPr>
            <w:tcW w:w="2258" w:type="dxa"/>
            <w:gridSpan w:val="3"/>
            <w:tcBorders>
              <w:left w:val="single" w:sz="4" w:space="0" w:color="auto"/>
              <w:bottom w:val="single" w:sz="4" w:space="0" w:color="auto"/>
            </w:tcBorders>
          </w:tcPr>
          <w:p w14:paraId="10FB810F" w14:textId="77777777" w:rsidR="007B5A0A" w:rsidRPr="00D76D7F" w:rsidRDefault="007B5A0A" w:rsidP="008C60C5">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D76D7F">
              <w:rPr>
                <w:rFonts w:eastAsiaTheme="minorEastAsia"/>
                <w:sz w:val="18"/>
                <w:szCs w:val="18"/>
                <w:lang w:eastAsia="en-US"/>
              </w:rPr>
              <w:t>Wave 4</w:t>
            </w:r>
          </w:p>
        </w:tc>
      </w:tr>
      <w:tr w:rsidR="007B5A0A" w:rsidRPr="00D76D7F" w14:paraId="7740F4DF" w14:textId="77777777" w:rsidTr="00D76D7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40" w:type="dxa"/>
            <w:vMerge/>
            <w:tcBorders>
              <w:bottom w:val="single" w:sz="4" w:space="0" w:color="auto"/>
            </w:tcBorders>
            <w:vAlign w:val="center"/>
            <w:hideMark/>
          </w:tcPr>
          <w:p w14:paraId="6B78DAAC" w14:textId="77777777" w:rsidR="007B5A0A" w:rsidRPr="00D76D7F" w:rsidRDefault="007B5A0A" w:rsidP="008C60C5">
            <w:pPr>
              <w:spacing w:before="20" w:after="20"/>
              <w:rPr>
                <w:rFonts w:eastAsiaTheme="minorEastAsia"/>
                <w:sz w:val="18"/>
                <w:szCs w:val="18"/>
                <w:lang w:eastAsia="en-US"/>
              </w:rPr>
            </w:pPr>
          </w:p>
        </w:tc>
        <w:tc>
          <w:tcPr>
            <w:tcW w:w="567" w:type="dxa"/>
            <w:tcBorders>
              <w:top w:val="single" w:sz="4" w:space="0" w:color="auto"/>
              <w:bottom w:val="single" w:sz="4" w:space="0" w:color="auto"/>
            </w:tcBorders>
            <w:noWrap/>
            <w:vAlign w:val="center"/>
            <w:hideMark/>
          </w:tcPr>
          <w:p w14:paraId="1669DD0B" w14:textId="77777777" w:rsidR="007B5A0A" w:rsidRPr="00D76D7F" w:rsidRDefault="007B5A0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rPr>
              <w:t>n</w:t>
            </w:r>
          </w:p>
        </w:tc>
        <w:tc>
          <w:tcPr>
            <w:tcW w:w="567" w:type="dxa"/>
            <w:tcBorders>
              <w:top w:val="single" w:sz="4" w:space="0" w:color="auto"/>
              <w:bottom w:val="single" w:sz="4" w:space="0" w:color="auto"/>
            </w:tcBorders>
            <w:noWrap/>
            <w:vAlign w:val="center"/>
            <w:hideMark/>
          </w:tcPr>
          <w:p w14:paraId="7651997A" w14:textId="77777777" w:rsidR="007B5A0A" w:rsidRPr="00D76D7F" w:rsidRDefault="007B5A0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rPr>
              <w:t>%</w:t>
            </w:r>
          </w:p>
        </w:tc>
        <w:tc>
          <w:tcPr>
            <w:tcW w:w="1146" w:type="dxa"/>
            <w:tcBorders>
              <w:top w:val="single" w:sz="4" w:space="0" w:color="auto"/>
              <w:bottom w:val="single" w:sz="4" w:space="0" w:color="auto"/>
              <w:right w:val="single" w:sz="4" w:space="0" w:color="auto"/>
            </w:tcBorders>
            <w:noWrap/>
            <w:vAlign w:val="center"/>
          </w:tcPr>
          <w:p w14:paraId="3379DD26" w14:textId="77777777" w:rsidR="007B5A0A" w:rsidRPr="00D76D7F" w:rsidRDefault="007B5A0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(95% CI)</w:t>
            </w:r>
          </w:p>
        </w:tc>
        <w:tc>
          <w:tcPr>
            <w:tcW w:w="536" w:type="dxa"/>
            <w:tcBorders>
              <w:top w:val="single" w:sz="4" w:space="0" w:color="auto"/>
              <w:left w:val="single" w:sz="4" w:space="0" w:color="auto"/>
              <w:bottom w:val="single" w:sz="4" w:space="0" w:color="auto"/>
            </w:tcBorders>
            <w:noWrap/>
            <w:vAlign w:val="center"/>
          </w:tcPr>
          <w:p w14:paraId="6525D025" w14:textId="77777777" w:rsidR="007B5A0A" w:rsidRPr="00D76D7F" w:rsidRDefault="007B5A0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n</w:t>
            </w:r>
          </w:p>
        </w:tc>
        <w:tc>
          <w:tcPr>
            <w:tcW w:w="621" w:type="dxa"/>
            <w:tcBorders>
              <w:top w:val="single" w:sz="4" w:space="0" w:color="auto"/>
              <w:bottom w:val="single" w:sz="4" w:space="0" w:color="auto"/>
            </w:tcBorders>
            <w:noWrap/>
            <w:vAlign w:val="center"/>
          </w:tcPr>
          <w:p w14:paraId="76AF175F" w14:textId="77777777" w:rsidR="007B5A0A" w:rsidRPr="00D76D7F" w:rsidRDefault="007B5A0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w:t>
            </w:r>
          </w:p>
        </w:tc>
        <w:tc>
          <w:tcPr>
            <w:tcW w:w="1146" w:type="dxa"/>
            <w:tcBorders>
              <w:top w:val="single" w:sz="4" w:space="0" w:color="auto"/>
              <w:bottom w:val="single" w:sz="4" w:space="0" w:color="auto"/>
              <w:right w:val="single" w:sz="4" w:space="0" w:color="000000"/>
            </w:tcBorders>
            <w:shd w:val="clear" w:color="auto" w:fill="FFFFFF" w:themeFill="background1"/>
            <w:noWrap/>
            <w:vAlign w:val="center"/>
          </w:tcPr>
          <w:p w14:paraId="362081FC" w14:textId="77777777" w:rsidR="007B5A0A" w:rsidRPr="00D76D7F" w:rsidRDefault="007B5A0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D76D7F">
              <w:rPr>
                <w:rFonts w:eastAsiaTheme="minorEastAsia"/>
                <w:sz w:val="18"/>
                <w:szCs w:val="18"/>
                <w:lang w:eastAsia="en-US"/>
              </w:rPr>
              <w:t>(95% CI)</w:t>
            </w:r>
          </w:p>
        </w:tc>
        <w:tc>
          <w:tcPr>
            <w:tcW w:w="536" w:type="dxa"/>
            <w:tcBorders>
              <w:top w:val="single" w:sz="4" w:space="0" w:color="auto"/>
              <w:left w:val="single" w:sz="4" w:space="0" w:color="000000"/>
              <w:bottom w:val="single" w:sz="4" w:space="0" w:color="auto"/>
            </w:tcBorders>
            <w:shd w:val="clear" w:color="auto" w:fill="FFFFFF" w:themeFill="background1"/>
            <w:vAlign w:val="center"/>
          </w:tcPr>
          <w:p w14:paraId="18277EBC" w14:textId="77777777" w:rsidR="007B5A0A" w:rsidRPr="00D76D7F" w:rsidRDefault="007B5A0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n</w:t>
            </w:r>
          </w:p>
        </w:tc>
        <w:tc>
          <w:tcPr>
            <w:tcW w:w="567" w:type="dxa"/>
            <w:tcBorders>
              <w:top w:val="single" w:sz="4" w:space="0" w:color="auto"/>
              <w:bottom w:val="single" w:sz="4" w:space="0" w:color="auto"/>
            </w:tcBorders>
            <w:shd w:val="clear" w:color="auto" w:fill="FFFFFF" w:themeFill="background1"/>
            <w:vAlign w:val="center"/>
          </w:tcPr>
          <w:p w14:paraId="3E35B223" w14:textId="77777777" w:rsidR="007B5A0A" w:rsidRPr="00D76D7F" w:rsidRDefault="007B5A0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w:t>
            </w:r>
          </w:p>
        </w:tc>
        <w:tc>
          <w:tcPr>
            <w:tcW w:w="1146" w:type="dxa"/>
            <w:tcBorders>
              <w:top w:val="single" w:sz="4" w:space="0" w:color="auto"/>
              <w:bottom w:val="single" w:sz="4" w:space="0" w:color="auto"/>
              <w:right w:val="single" w:sz="4" w:space="0" w:color="000000"/>
            </w:tcBorders>
            <w:shd w:val="clear" w:color="auto" w:fill="FFFFFF" w:themeFill="background1"/>
            <w:vAlign w:val="center"/>
          </w:tcPr>
          <w:p w14:paraId="2CFFB944" w14:textId="77777777" w:rsidR="007B5A0A" w:rsidRPr="00D76D7F" w:rsidRDefault="007B5A0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D76D7F">
              <w:rPr>
                <w:rFonts w:eastAsiaTheme="minorEastAsia"/>
                <w:sz w:val="18"/>
                <w:szCs w:val="18"/>
                <w:lang w:eastAsia="en-US"/>
              </w:rPr>
              <w:t>(95% CI)</w:t>
            </w:r>
          </w:p>
        </w:tc>
        <w:tc>
          <w:tcPr>
            <w:tcW w:w="536" w:type="dxa"/>
            <w:tcBorders>
              <w:top w:val="single" w:sz="4" w:space="0" w:color="auto"/>
              <w:left w:val="single" w:sz="4" w:space="0" w:color="000000"/>
              <w:bottom w:val="single" w:sz="4" w:space="0" w:color="auto"/>
            </w:tcBorders>
            <w:shd w:val="clear" w:color="auto" w:fill="FFFFFF" w:themeFill="background1"/>
            <w:vAlign w:val="center"/>
          </w:tcPr>
          <w:p w14:paraId="6973234B" w14:textId="77777777" w:rsidR="007B5A0A" w:rsidRPr="00D76D7F" w:rsidRDefault="007B5A0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n</w:t>
            </w:r>
          </w:p>
        </w:tc>
        <w:tc>
          <w:tcPr>
            <w:tcW w:w="576" w:type="dxa"/>
            <w:tcBorders>
              <w:top w:val="single" w:sz="4" w:space="0" w:color="auto"/>
              <w:bottom w:val="single" w:sz="4" w:space="0" w:color="auto"/>
            </w:tcBorders>
            <w:shd w:val="clear" w:color="auto" w:fill="FFFFFF" w:themeFill="background1"/>
            <w:vAlign w:val="center"/>
          </w:tcPr>
          <w:p w14:paraId="011DD9EE" w14:textId="77777777" w:rsidR="007B5A0A" w:rsidRPr="00D76D7F" w:rsidRDefault="007B5A0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w:t>
            </w:r>
          </w:p>
        </w:tc>
        <w:tc>
          <w:tcPr>
            <w:tcW w:w="1146" w:type="dxa"/>
            <w:tcBorders>
              <w:top w:val="single" w:sz="4" w:space="0" w:color="auto"/>
              <w:bottom w:val="single" w:sz="4" w:space="0" w:color="auto"/>
            </w:tcBorders>
            <w:shd w:val="clear" w:color="auto" w:fill="FFFFFF" w:themeFill="background1"/>
            <w:vAlign w:val="center"/>
          </w:tcPr>
          <w:p w14:paraId="713E1F3A" w14:textId="77777777" w:rsidR="007B5A0A" w:rsidRPr="00D76D7F" w:rsidRDefault="007B5A0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D76D7F">
              <w:rPr>
                <w:rFonts w:eastAsiaTheme="minorEastAsia"/>
                <w:sz w:val="18"/>
                <w:szCs w:val="18"/>
                <w:lang w:eastAsia="en-US"/>
              </w:rPr>
              <w:t>(95% CI)</w:t>
            </w:r>
          </w:p>
        </w:tc>
      </w:tr>
      <w:tr w:rsidR="007B5A0A" w:rsidRPr="00D76D7F" w14:paraId="5CDE3F0E" w14:textId="77777777" w:rsidTr="00D76D7F">
        <w:trPr>
          <w:jc w:val="center"/>
        </w:trPr>
        <w:tc>
          <w:tcPr>
            <w:cnfStyle w:val="001000000000" w:firstRow="0" w:lastRow="0" w:firstColumn="1" w:lastColumn="0" w:oddVBand="0" w:evenVBand="0" w:oddHBand="0" w:evenHBand="0" w:firstRowFirstColumn="0" w:firstRowLastColumn="0" w:lastRowFirstColumn="0" w:lastRowLastColumn="0"/>
            <w:tcW w:w="4674" w:type="dxa"/>
            <w:gridSpan w:val="3"/>
            <w:tcBorders>
              <w:top w:val="single" w:sz="4" w:space="0" w:color="000000"/>
              <w:left w:val="nil"/>
              <w:bottom w:val="nil"/>
              <w:right w:val="nil"/>
            </w:tcBorders>
            <w:vAlign w:val="center"/>
          </w:tcPr>
          <w:p w14:paraId="11FEFDAF" w14:textId="77777777" w:rsidR="007B5A0A" w:rsidRPr="00D76D7F" w:rsidRDefault="007B5A0A" w:rsidP="00D60727">
            <w:pPr>
              <w:spacing w:before="20" w:after="20"/>
              <w:rPr>
                <w:rFonts w:eastAsiaTheme="minorEastAsia"/>
                <w:sz w:val="18"/>
                <w:szCs w:val="18"/>
                <w:lang w:eastAsia="en-US"/>
              </w:rPr>
            </w:pPr>
            <w:r w:rsidRPr="00D76D7F">
              <w:rPr>
                <w:rFonts w:eastAsiaTheme="minorEastAsia"/>
                <w:bCs w:val="0"/>
                <w:sz w:val="18"/>
                <w:szCs w:val="18"/>
                <w:lang w:eastAsia="en-US"/>
              </w:rPr>
              <w:t xml:space="preserve">Number of </w:t>
            </w:r>
            <w:r w:rsidR="00D60727">
              <w:rPr>
                <w:rFonts w:eastAsiaTheme="minorEastAsia"/>
                <w:bCs w:val="0"/>
                <w:sz w:val="18"/>
                <w:szCs w:val="18"/>
                <w:lang w:eastAsia="en-US"/>
              </w:rPr>
              <w:t>major</w:t>
            </w:r>
            <w:r w:rsidRPr="00D76D7F">
              <w:rPr>
                <w:rFonts w:eastAsiaTheme="minorEastAsia"/>
                <w:bCs w:val="0"/>
                <w:sz w:val="18"/>
                <w:szCs w:val="18"/>
                <w:lang w:eastAsia="en-US"/>
              </w:rPr>
              <w:t xml:space="preserve"> life events</w:t>
            </w:r>
          </w:p>
        </w:tc>
        <w:tc>
          <w:tcPr>
            <w:tcW w:w="1146" w:type="dxa"/>
            <w:tcBorders>
              <w:top w:val="nil"/>
              <w:left w:val="nil"/>
              <w:bottom w:val="nil"/>
              <w:right w:val="single" w:sz="4" w:space="0" w:color="auto"/>
            </w:tcBorders>
            <w:noWrap/>
            <w:vAlign w:val="center"/>
          </w:tcPr>
          <w:p w14:paraId="7E56E0FC" w14:textId="77777777" w:rsidR="007B5A0A" w:rsidRPr="00D76D7F" w:rsidRDefault="007B5A0A" w:rsidP="008C60C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36" w:type="dxa"/>
            <w:tcBorders>
              <w:top w:val="nil"/>
              <w:left w:val="single" w:sz="4" w:space="0" w:color="auto"/>
              <w:bottom w:val="nil"/>
              <w:right w:val="nil"/>
            </w:tcBorders>
            <w:noWrap/>
            <w:vAlign w:val="center"/>
          </w:tcPr>
          <w:p w14:paraId="66022F83" w14:textId="77777777" w:rsidR="007B5A0A" w:rsidRPr="00D76D7F" w:rsidRDefault="007B5A0A" w:rsidP="008C60C5">
            <w:pPr>
              <w:jc w:val="center"/>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nil"/>
              <w:left w:val="nil"/>
              <w:bottom w:val="nil"/>
              <w:right w:val="nil"/>
            </w:tcBorders>
            <w:noWrap/>
            <w:vAlign w:val="center"/>
          </w:tcPr>
          <w:p w14:paraId="7CE59A1D" w14:textId="77777777" w:rsidR="007B5A0A" w:rsidRPr="00D76D7F" w:rsidRDefault="007B5A0A" w:rsidP="008C60C5">
            <w:pPr>
              <w:jc w:val="center"/>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FFFFFF" w:themeFill="background1"/>
            <w:noWrap/>
            <w:vAlign w:val="center"/>
          </w:tcPr>
          <w:p w14:paraId="0F564F76" w14:textId="77777777" w:rsidR="007B5A0A" w:rsidRPr="00D76D7F" w:rsidRDefault="007B5A0A" w:rsidP="008C60C5">
            <w:pPr>
              <w:jc w:val="center"/>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36" w:type="dxa"/>
            <w:tcBorders>
              <w:top w:val="nil"/>
              <w:left w:val="single" w:sz="4" w:space="0" w:color="000000"/>
              <w:bottom w:val="nil"/>
              <w:right w:val="nil"/>
            </w:tcBorders>
            <w:vAlign w:val="center"/>
          </w:tcPr>
          <w:p w14:paraId="7D331E55" w14:textId="77777777" w:rsidR="007B5A0A" w:rsidRPr="00D76D7F" w:rsidRDefault="007B5A0A" w:rsidP="008C60C5">
            <w:pPr>
              <w:jc w:val="center"/>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67" w:type="dxa"/>
            <w:tcBorders>
              <w:top w:val="nil"/>
              <w:left w:val="nil"/>
              <w:bottom w:val="nil"/>
              <w:right w:val="nil"/>
            </w:tcBorders>
            <w:vAlign w:val="center"/>
          </w:tcPr>
          <w:p w14:paraId="2D1F931F" w14:textId="77777777" w:rsidR="007B5A0A" w:rsidRPr="00D76D7F" w:rsidRDefault="007B5A0A" w:rsidP="008C60C5">
            <w:pPr>
              <w:jc w:val="center"/>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single" w:sz="4" w:space="0" w:color="000000"/>
            </w:tcBorders>
            <w:vAlign w:val="center"/>
          </w:tcPr>
          <w:p w14:paraId="2F5BEA00" w14:textId="77777777" w:rsidR="007B5A0A" w:rsidRPr="00D76D7F" w:rsidRDefault="007B5A0A" w:rsidP="008C60C5">
            <w:pPr>
              <w:jc w:val="center"/>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36" w:type="dxa"/>
            <w:tcBorders>
              <w:top w:val="nil"/>
              <w:left w:val="single" w:sz="4" w:space="0" w:color="000000"/>
              <w:bottom w:val="nil"/>
              <w:right w:val="nil"/>
            </w:tcBorders>
            <w:vAlign w:val="center"/>
          </w:tcPr>
          <w:p w14:paraId="742CBE64" w14:textId="77777777" w:rsidR="007B5A0A" w:rsidRPr="00D76D7F" w:rsidRDefault="007B5A0A" w:rsidP="008C60C5">
            <w:pPr>
              <w:ind w:right="113"/>
              <w:jc w:val="center"/>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76" w:type="dxa"/>
            <w:tcBorders>
              <w:top w:val="nil"/>
              <w:left w:val="nil"/>
              <w:bottom w:val="nil"/>
              <w:right w:val="nil"/>
            </w:tcBorders>
            <w:vAlign w:val="center"/>
          </w:tcPr>
          <w:p w14:paraId="7390EB99" w14:textId="77777777" w:rsidR="007B5A0A" w:rsidRPr="00D76D7F" w:rsidRDefault="007B5A0A" w:rsidP="008C60C5">
            <w:pPr>
              <w:ind w:right="113"/>
              <w:jc w:val="center"/>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nil"/>
            </w:tcBorders>
            <w:vAlign w:val="center"/>
          </w:tcPr>
          <w:p w14:paraId="19AB54BB" w14:textId="77777777" w:rsidR="007B5A0A" w:rsidRPr="00D76D7F" w:rsidRDefault="007B5A0A" w:rsidP="008C60C5">
            <w:pPr>
              <w:ind w:right="113"/>
              <w:jc w:val="center"/>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r>
      <w:tr w:rsidR="009118DA" w:rsidRPr="00D76D7F" w14:paraId="088F12A2" w14:textId="77777777" w:rsidTr="00D76D7F">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tcPr>
          <w:p w14:paraId="5525F3F8" w14:textId="77777777" w:rsidR="007B5A0A" w:rsidRPr="00D76D7F" w:rsidRDefault="007B5A0A" w:rsidP="008C60C5">
            <w:pPr>
              <w:spacing w:before="20" w:after="20"/>
              <w:ind w:left="34"/>
              <w:rPr>
                <w:rFonts w:eastAsiaTheme="minorEastAsia"/>
                <w:b w:val="0"/>
                <w:sz w:val="18"/>
                <w:szCs w:val="18"/>
                <w:lang w:eastAsia="en-US"/>
              </w:rPr>
            </w:pPr>
            <w:r w:rsidRPr="00D76D7F">
              <w:rPr>
                <w:rFonts w:eastAsiaTheme="minorEastAsia"/>
                <w:b w:val="0"/>
                <w:sz w:val="18"/>
                <w:szCs w:val="18"/>
                <w:lang w:eastAsia="en-US"/>
              </w:rPr>
              <w:t>0</w:t>
            </w:r>
          </w:p>
        </w:tc>
        <w:tc>
          <w:tcPr>
            <w:tcW w:w="567" w:type="dxa"/>
            <w:tcBorders>
              <w:top w:val="nil"/>
              <w:left w:val="nil"/>
              <w:bottom w:val="nil"/>
              <w:right w:val="nil"/>
            </w:tcBorders>
            <w:noWrap/>
            <w:vAlign w:val="center"/>
          </w:tcPr>
          <w:p w14:paraId="2C0D62E9"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149</w:t>
            </w:r>
          </w:p>
        </w:tc>
        <w:tc>
          <w:tcPr>
            <w:tcW w:w="567" w:type="dxa"/>
            <w:tcBorders>
              <w:top w:val="nil"/>
              <w:left w:val="nil"/>
              <w:bottom w:val="nil"/>
              <w:right w:val="nil"/>
            </w:tcBorders>
            <w:noWrap/>
            <w:vAlign w:val="center"/>
          </w:tcPr>
          <w:p w14:paraId="18985B1D"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22.8</w:t>
            </w:r>
          </w:p>
        </w:tc>
        <w:tc>
          <w:tcPr>
            <w:tcW w:w="1146" w:type="dxa"/>
            <w:tcBorders>
              <w:top w:val="nil"/>
              <w:left w:val="nil"/>
              <w:bottom w:val="nil"/>
              <w:right w:val="single" w:sz="4" w:space="0" w:color="auto"/>
            </w:tcBorders>
            <w:noWrap/>
            <w:vAlign w:val="center"/>
          </w:tcPr>
          <w:p w14:paraId="27EC328A"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(20.1, 25.5)</w:t>
            </w:r>
          </w:p>
        </w:tc>
        <w:tc>
          <w:tcPr>
            <w:tcW w:w="536" w:type="dxa"/>
            <w:tcBorders>
              <w:top w:val="nil"/>
              <w:left w:val="single" w:sz="4" w:space="0" w:color="auto"/>
              <w:bottom w:val="nil"/>
              <w:right w:val="nil"/>
            </w:tcBorders>
            <w:noWrap/>
            <w:vAlign w:val="center"/>
          </w:tcPr>
          <w:p w14:paraId="2B5BAB28"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89</w:t>
            </w:r>
          </w:p>
        </w:tc>
        <w:tc>
          <w:tcPr>
            <w:tcW w:w="621" w:type="dxa"/>
            <w:tcBorders>
              <w:top w:val="nil"/>
              <w:left w:val="nil"/>
              <w:bottom w:val="nil"/>
              <w:right w:val="nil"/>
            </w:tcBorders>
            <w:noWrap/>
            <w:vAlign w:val="center"/>
          </w:tcPr>
          <w:p w14:paraId="76C1DAE5"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22.9</w:t>
            </w:r>
          </w:p>
        </w:tc>
        <w:tc>
          <w:tcPr>
            <w:tcW w:w="1146" w:type="dxa"/>
            <w:tcBorders>
              <w:top w:val="nil"/>
              <w:left w:val="nil"/>
              <w:bottom w:val="nil"/>
              <w:right w:val="single" w:sz="4" w:space="0" w:color="000000"/>
            </w:tcBorders>
            <w:shd w:val="clear" w:color="auto" w:fill="FFFFFF" w:themeFill="background1"/>
            <w:noWrap/>
            <w:vAlign w:val="center"/>
          </w:tcPr>
          <w:p w14:paraId="05F77A55"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(19.1, 26.8)</w:t>
            </w:r>
          </w:p>
        </w:tc>
        <w:tc>
          <w:tcPr>
            <w:tcW w:w="536" w:type="dxa"/>
            <w:tcBorders>
              <w:top w:val="nil"/>
              <w:left w:val="single" w:sz="4" w:space="0" w:color="000000"/>
              <w:bottom w:val="nil"/>
              <w:right w:val="nil"/>
            </w:tcBorders>
            <w:shd w:val="clear" w:color="auto" w:fill="FFFFFF" w:themeFill="background1"/>
            <w:vAlign w:val="center"/>
          </w:tcPr>
          <w:p w14:paraId="021CBB2A"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55</w:t>
            </w:r>
          </w:p>
        </w:tc>
        <w:tc>
          <w:tcPr>
            <w:tcW w:w="567" w:type="dxa"/>
            <w:tcBorders>
              <w:top w:val="nil"/>
              <w:left w:val="nil"/>
              <w:bottom w:val="nil"/>
              <w:right w:val="nil"/>
            </w:tcBorders>
            <w:shd w:val="clear" w:color="auto" w:fill="FFFFFF" w:themeFill="background1"/>
            <w:vAlign w:val="center"/>
          </w:tcPr>
          <w:p w14:paraId="2344FB26"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16.9</w:t>
            </w:r>
          </w:p>
        </w:tc>
        <w:tc>
          <w:tcPr>
            <w:tcW w:w="1146" w:type="dxa"/>
            <w:tcBorders>
              <w:top w:val="nil"/>
              <w:left w:val="nil"/>
              <w:bottom w:val="nil"/>
              <w:right w:val="single" w:sz="4" w:space="0" w:color="000000"/>
            </w:tcBorders>
            <w:shd w:val="clear" w:color="auto" w:fill="FFFFFF" w:themeFill="background1"/>
            <w:vAlign w:val="center"/>
          </w:tcPr>
          <w:p w14:paraId="28639FD3"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(13.1, 20.7)</w:t>
            </w:r>
          </w:p>
        </w:tc>
        <w:tc>
          <w:tcPr>
            <w:tcW w:w="536" w:type="dxa"/>
            <w:tcBorders>
              <w:top w:val="nil"/>
              <w:left w:val="single" w:sz="4" w:space="0" w:color="000000"/>
              <w:bottom w:val="nil"/>
              <w:right w:val="nil"/>
            </w:tcBorders>
            <w:shd w:val="clear" w:color="auto" w:fill="FFFFFF" w:themeFill="background1"/>
            <w:vAlign w:val="center"/>
          </w:tcPr>
          <w:p w14:paraId="10F722EB"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71</w:t>
            </w:r>
          </w:p>
        </w:tc>
        <w:tc>
          <w:tcPr>
            <w:tcW w:w="576" w:type="dxa"/>
            <w:tcBorders>
              <w:top w:val="nil"/>
              <w:left w:val="nil"/>
              <w:bottom w:val="nil"/>
              <w:right w:val="nil"/>
            </w:tcBorders>
            <w:shd w:val="clear" w:color="auto" w:fill="FFFFFF" w:themeFill="background1"/>
            <w:vAlign w:val="center"/>
          </w:tcPr>
          <w:p w14:paraId="74034CDC"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24.3</w:t>
            </w:r>
          </w:p>
        </w:tc>
        <w:tc>
          <w:tcPr>
            <w:tcW w:w="1146" w:type="dxa"/>
            <w:tcBorders>
              <w:top w:val="nil"/>
              <w:left w:val="nil"/>
              <w:bottom w:val="nil"/>
              <w:right w:val="nil"/>
            </w:tcBorders>
            <w:shd w:val="clear" w:color="auto" w:fill="FFFFFF" w:themeFill="background1"/>
            <w:vAlign w:val="center"/>
          </w:tcPr>
          <w:p w14:paraId="3DA89CAB"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(18.4, 30.2)</w:t>
            </w:r>
          </w:p>
        </w:tc>
      </w:tr>
      <w:tr w:rsidR="009118DA" w:rsidRPr="00D76D7F" w14:paraId="78721E5B" w14:textId="77777777" w:rsidTr="00D76D7F">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tcPr>
          <w:p w14:paraId="73CA8167" w14:textId="77777777" w:rsidR="007B5A0A" w:rsidRPr="00D76D7F" w:rsidRDefault="007B5A0A" w:rsidP="008C60C5">
            <w:pPr>
              <w:spacing w:before="20" w:after="20"/>
              <w:ind w:left="34"/>
              <w:rPr>
                <w:rFonts w:eastAsiaTheme="minorEastAsia"/>
                <w:b w:val="0"/>
                <w:sz w:val="18"/>
                <w:szCs w:val="18"/>
                <w:lang w:eastAsia="en-US"/>
              </w:rPr>
            </w:pPr>
            <w:r w:rsidRPr="00D76D7F">
              <w:rPr>
                <w:rFonts w:eastAsiaTheme="minorEastAsia"/>
                <w:b w:val="0"/>
                <w:sz w:val="18"/>
                <w:szCs w:val="18"/>
                <w:lang w:eastAsia="en-US"/>
              </w:rPr>
              <w:t>1</w:t>
            </w:r>
          </w:p>
        </w:tc>
        <w:tc>
          <w:tcPr>
            <w:tcW w:w="567" w:type="dxa"/>
            <w:tcBorders>
              <w:top w:val="nil"/>
              <w:left w:val="nil"/>
              <w:bottom w:val="nil"/>
              <w:right w:val="nil"/>
            </w:tcBorders>
            <w:noWrap/>
            <w:vAlign w:val="center"/>
          </w:tcPr>
          <w:p w14:paraId="3AD3413B"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147</w:t>
            </w:r>
          </w:p>
        </w:tc>
        <w:tc>
          <w:tcPr>
            <w:tcW w:w="567" w:type="dxa"/>
            <w:tcBorders>
              <w:top w:val="nil"/>
              <w:left w:val="nil"/>
              <w:bottom w:val="nil"/>
              <w:right w:val="nil"/>
            </w:tcBorders>
            <w:noWrap/>
            <w:vAlign w:val="center"/>
          </w:tcPr>
          <w:p w14:paraId="557A552A"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22.6</w:t>
            </w:r>
          </w:p>
        </w:tc>
        <w:tc>
          <w:tcPr>
            <w:tcW w:w="1146" w:type="dxa"/>
            <w:tcBorders>
              <w:top w:val="nil"/>
              <w:left w:val="nil"/>
              <w:bottom w:val="nil"/>
              <w:right w:val="single" w:sz="4" w:space="0" w:color="auto"/>
            </w:tcBorders>
            <w:noWrap/>
            <w:vAlign w:val="center"/>
          </w:tcPr>
          <w:p w14:paraId="51221934"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(19.9, 25.3)</w:t>
            </w:r>
          </w:p>
        </w:tc>
        <w:tc>
          <w:tcPr>
            <w:tcW w:w="536" w:type="dxa"/>
            <w:tcBorders>
              <w:top w:val="nil"/>
              <w:left w:val="single" w:sz="4" w:space="0" w:color="auto"/>
              <w:bottom w:val="nil"/>
              <w:right w:val="nil"/>
            </w:tcBorders>
            <w:noWrap/>
            <w:vAlign w:val="center"/>
          </w:tcPr>
          <w:p w14:paraId="242DBDC7"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94</w:t>
            </w:r>
          </w:p>
        </w:tc>
        <w:tc>
          <w:tcPr>
            <w:tcW w:w="621" w:type="dxa"/>
            <w:tcBorders>
              <w:top w:val="nil"/>
              <w:left w:val="nil"/>
              <w:bottom w:val="nil"/>
              <w:right w:val="nil"/>
            </w:tcBorders>
            <w:noWrap/>
            <w:vAlign w:val="center"/>
          </w:tcPr>
          <w:p w14:paraId="09D645A0"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24.4</w:t>
            </w:r>
          </w:p>
        </w:tc>
        <w:tc>
          <w:tcPr>
            <w:tcW w:w="1146" w:type="dxa"/>
            <w:tcBorders>
              <w:top w:val="nil"/>
              <w:left w:val="nil"/>
              <w:bottom w:val="nil"/>
              <w:right w:val="single" w:sz="4" w:space="0" w:color="000000"/>
            </w:tcBorders>
            <w:shd w:val="clear" w:color="auto" w:fill="FFFFFF" w:themeFill="background1"/>
            <w:noWrap/>
            <w:vAlign w:val="center"/>
          </w:tcPr>
          <w:p w14:paraId="7C39C5CA"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(20.7, 28.1)</w:t>
            </w:r>
          </w:p>
        </w:tc>
        <w:tc>
          <w:tcPr>
            <w:tcW w:w="536" w:type="dxa"/>
            <w:tcBorders>
              <w:top w:val="nil"/>
              <w:left w:val="single" w:sz="4" w:space="0" w:color="000000"/>
              <w:bottom w:val="nil"/>
              <w:right w:val="nil"/>
            </w:tcBorders>
            <w:shd w:val="clear" w:color="auto" w:fill="FFFFFF" w:themeFill="background1"/>
            <w:vAlign w:val="center"/>
          </w:tcPr>
          <w:p w14:paraId="4F65DF34"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98</w:t>
            </w:r>
          </w:p>
        </w:tc>
        <w:tc>
          <w:tcPr>
            <w:tcW w:w="567" w:type="dxa"/>
            <w:tcBorders>
              <w:top w:val="nil"/>
              <w:left w:val="nil"/>
              <w:bottom w:val="nil"/>
              <w:right w:val="nil"/>
            </w:tcBorders>
            <w:shd w:val="clear" w:color="auto" w:fill="FFFFFF" w:themeFill="background1"/>
            <w:vAlign w:val="center"/>
          </w:tcPr>
          <w:p w14:paraId="12309B72"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30.1</w:t>
            </w:r>
          </w:p>
        </w:tc>
        <w:tc>
          <w:tcPr>
            <w:tcW w:w="1146" w:type="dxa"/>
            <w:tcBorders>
              <w:top w:val="nil"/>
              <w:left w:val="nil"/>
              <w:bottom w:val="nil"/>
              <w:right w:val="single" w:sz="4" w:space="0" w:color="000000"/>
            </w:tcBorders>
            <w:shd w:val="clear" w:color="auto" w:fill="FFFFFF" w:themeFill="background1"/>
            <w:vAlign w:val="center"/>
          </w:tcPr>
          <w:p w14:paraId="6DC817D0"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(24.7, 35.4)</w:t>
            </w:r>
          </w:p>
        </w:tc>
        <w:tc>
          <w:tcPr>
            <w:tcW w:w="536" w:type="dxa"/>
            <w:tcBorders>
              <w:top w:val="nil"/>
              <w:left w:val="single" w:sz="4" w:space="0" w:color="000000"/>
              <w:bottom w:val="nil"/>
              <w:right w:val="nil"/>
            </w:tcBorders>
            <w:shd w:val="clear" w:color="auto" w:fill="FFFFFF" w:themeFill="background1"/>
            <w:vAlign w:val="center"/>
          </w:tcPr>
          <w:p w14:paraId="304677A1"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71</w:t>
            </w:r>
          </w:p>
        </w:tc>
        <w:tc>
          <w:tcPr>
            <w:tcW w:w="576" w:type="dxa"/>
            <w:tcBorders>
              <w:top w:val="nil"/>
              <w:left w:val="nil"/>
              <w:bottom w:val="nil"/>
              <w:right w:val="nil"/>
            </w:tcBorders>
            <w:shd w:val="clear" w:color="auto" w:fill="FFFFFF" w:themeFill="background1"/>
            <w:vAlign w:val="center"/>
          </w:tcPr>
          <w:p w14:paraId="1A683914"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24.1</w:t>
            </w:r>
          </w:p>
        </w:tc>
        <w:tc>
          <w:tcPr>
            <w:tcW w:w="1146" w:type="dxa"/>
            <w:tcBorders>
              <w:top w:val="nil"/>
              <w:left w:val="nil"/>
              <w:bottom w:val="nil"/>
              <w:right w:val="nil"/>
            </w:tcBorders>
            <w:shd w:val="clear" w:color="auto" w:fill="FFFFFF" w:themeFill="background1"/>
            <w:vAlign w:val="center"/>
          </w:tcPr>
          <w:p w14:paraId="2B6262B9"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(19.2, 29.1)</w:t>
            </w:r>
          </w:p>
        </w:tc>
      </w:tr>
      <w:tr w:rsidR="009118DA" w:rsidRPr="00D76D7F" w14:paraId="3CDE88D3" w14:textId="77777777" w:rsidTr="00D76D7F">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tcPr>
          <w:p w14:paraId="4D039061" w14:textId="77777777" w:rsidR="007B5A0A" w:rsidRPr="00D76D7F" w:rsidRDefault="007B5A0A" w:rsidP="008C60C5">
            <w:pPr>
              <w:spacing w:before="20" w:after="20"/>
              <w:ind w:left="34"/>
              <w:rPr>
                <w:rFonts w:eastAsiaTheme="minorEastAsia"/>
                <w:b w:val="0"/>
                <w:sz w:val="18"/>
                <w:szCs w:val="18"/>
                <w:lang w:eastAsia="en-US"/>
              </w:rPr>
            </w:pPr>
            <w:r w:rsidRPr="00D76D7F">
              <w:rPr>
                <w:rFonts w:eastAsiaTheme="minorEastAsia"/>
                <w:b w:val="0"/>
                <w:sz w:val="18"/>
                <w:szCs w:val="18"/>
                <w:lang w:eastAsia="en-US"/>
              </w:rPr>
              <w:t>2</w:t>
            </w:r>
          </w:p>
        </w:tc>
        <w:tc>
          <w:tcPr>
            <w:tcW w:w="567" w:type="dxa"/>
            <w:tcBorders>
              <w:top w:val="nil"/>
              <w:left w:val="nil"/>
              <w:bottom w:val="nil"/>
              <w:right w:val="nil"/>
            </w:tcBorders>
            <w:noWrap/>
            <w:vAlign w:val="center"/>
          </w:tcPr>
          <w:p w14:paraId="1CC6B4E1"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118</w:t>
            </w:r>
          </w:p>
        </w:tc>
        <w:tc>
          <w:tcPr>
            <w:tcW w:w="567" w:type="dxa"/>
            <w:tcBorders>
              <w:top w:val="nil"/>
              <w:left w:val="nil"/>
              <w:bottom w:val="nil"/>
              <w:right w:val="nil"/>
            </w:tcBorders>
            <w:noWrap/>
            <w:vAlign w:val="center"/>
          </w:tcPr>
          <w:p w14:paraId="0E15D4D6"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18.1</w:t>
            </w:r>
          </w:p>
        </w:tc>
        <w:tc>
          <w:tcPr>
            <w:tcW w:w="1146" w:type="dxa"/>
            <w:tcBorders>
              <w:top w:val="nil"/>
              <w:left w:val="nil"/>
              <w:bottom w:val="nil"/>
              <w:right w:val="single" w:sz="4" w:space="0" w:color="auto"/>
            </w:tcBorders>
            <w:noWrap/>
            <w:vAlign w:val="center"/>
          </w:tcPr>
          <w:p w14:paraId="7692D8F3"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(15.6, 20.6)</w:t>
            </w:r>
          </w:p>
        </w:tc>
        <w:tc>
          <w:tcPr>
            <w:tcW w:w="536" w:type="dxa"/>
            <w:tcBorders>
              <w:top w:val="nil"/>
              <w:left w:val="single" w:sz="4" w:space="0" w:color="auto"/>
              <w:bottom w:val="nil"/>
              <w:right w:val="nil"/>
            </w:tcBorders>
            <w:noWrap/>
            <w:vAlign w:val="center"/>
          </w:tcPr>
          <w:p w14:paraId="7A99DFDB"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87</w:t>
            </w:r>
          </w:p>
        </w:tc>
        <w:tc>
          <w:tcPr>
            <w:tcW w:w="621" w:type="dxa"/>
            <w:tcBorders>
              <w:top w:val="nil"/>
              <w:left w:val="nil"/>
              <w:bottom w:val="nil"/>
              <w:right w:val="nil"/>
            </w:tcBorders>
            <w:noWrap/>
            <w:vAlign w:val="center"/>
          </w:tcPr>
          <w:p w14:paraId="7C2DBEE1"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22.5</w:t>
            </w:r>
          </w:p>
        </w:tc>
        <w:tc>
          <w:tcPr>
            <w:tcW w:w="1146" w:type="dxa"/>
            <w:tcBorders>
              <w:top w:val="nil"/>
              <w:left w:val="nil"/>
              <w:bottom w:val="nil"/>
              <w:right w:val="single" w:sz="4" w:space="0" w:color="000000"/>
            </w:tcBorders>
            <w:shd w:val="clear" w:color="auto" w:fill="FFFFFF" w:themeFill="background1"/>
            <w:noWrap/>
            <w:vAlign w:val="center"/>
          </w:tcPr>
          <w:p w14:paraId="0200B45B"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(18.4, 26.6)</w:t>
            </w:r>
          </w:p>
        </w:tc>
        <w:tc>
          <w:tcPr>
            <w:tcW w:w="536" w:type="dxa"/>
            <w:tcBorders>
              <w:top w:val="nil"/>
              <w:left w:val="single" w:sz="4" w:space="0" w:color="000000"/>
              <w:bottom w:val="nil"/>
              <w:right w:val="nil"/>
            </w:tcBorders>
            <w:shd w:val="clear" w:color="auto" w:fill="FFFFFF" w:themeFill="background1"/>
            <w:vAlign w:val="center"/>
          </w:tcPr>
          <w:p w14:paraId="7013A8D9"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66</w:t>
            </w:r>
          </w:p>
        </w:tc>
        <w:tc>
          <w:tcPr>
            <w:tcW w:w="567" w:type="dxa"/>
            <w:tcBorders>
              <w:top w:val="nil"/>
              <w:left w:val="nil"/>
              <w:bottom w:val="nil"/>
              <w:right w:val="nil"/>
            </w:tcBorders>
            <w:shd w:val="clear" w:color="auto" w:fill="FFFFFF" w:themeFill="background1"/>
            <w:vAlign w:val="center"/>
          </w:tcPr>
          <w:p w14:paraId="3D4189F7"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20.2</w:t>
            </w:r>
          </w:p>
        </w:tc>
        <w:tc>
          <w:tcPr>
            <w:tcW w:w="1146" w:type="dxa"/>
            <w:tcBorders>
              <w:top w:val="nil"/>
              <w:left w:val="nil"/>
              <w:bottom w:val="nil"/>
              <w:right w:val="single" w:sz="4" w:space="0" w:color="000000"/>
            </w:tcBorders>
            <w:shd w:val="clear" w:color="auto" w:fill="FFFFFF" w:themeFill="background1"/>
            <w:vAlign w:val="center"/>
          </w:tcPr>
          <w:p w14:paraId="1656A053"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(16.0, 24.5)</w:t>
            </w:r>
          </w:p>
        </w:tc>
        <w:tc>
          <w:tcPr>
            <w:tcW w:w="536" w:type="dxa"/>
            <w:tcBorders>
              <w:top w:val="nil"/>
              <w:left w:val="single" w:sz="4" w:space="0" w:color="000000"/>
              <w:bottom w:val="nil"/>
              <w:right w:val="nil"/>
            </w:tcBorders>
            <w:shd w:val="clear" w:color="auto" w:fill="FFFFFF" w:themeFill="background1"/>
            <w:vAlign w:val="center"/>
          </w:tcPr>
          <w:p w14:paraId="14515098"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63</w:t>
            </w:r>
          </w:p>
        </w:tc>
        <w:tc>
          <w:tcPr>
            <w:tcW w:w="576" w:type="dxa"/>
            <w:tcBorders>
              <w:top w:val="nil"/>
              <w:left w:val="nil"/>
              <w:bottom w:val="nil"/>
              <w:right w:val="nil"/>
            </w:tcBorders>
            <w:shd w:val="clear" w:color="auto" w:fill="FFFFFF" w:themeFill="background1"/>
            <w:vAlign w:val="center"/>
          </w:tcPr>
          <w:p w14:paraId="0E8D92CA"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21.5</w:t>
            </w:r>
          </w:p>
        </w:tc>
        <w:tc>
          <w:tcPr>
            <w:tcW w:w="1146" w:type="dxa"/>
            <w:tcBorders>
              <w:top w:val="nil"/>
              <w:left w:val="nil"/>
              <w:bottom w:val="nil"/>
              <w:right w:val="nil"/>
            </w:tcBorders>
            <w:shd w:val="clear" w:color="auto" w:fill="FFFFFF" w:themeFill="background1"/>
            <w:vAlign w:val="center"/>
          </w:tcPr>
          <w:p w14:paraId="6845125E"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(16.8, 26.2)</w:t>
            </w:r>
          </w:p>
        </w:tc>
      </w:tr>
      <w:tr w:rsidR="009118DA" w:rsidRPr="00D76D7F" w14:paraId="0A7B5EE6" w14:textId="77777777" w:rsidTr="00D76D7F">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tcPr>
          <w:p w14:paraId="4033D6FA" w14:textId="77777777" w:rsidR="007B5A0A" w:rsidRPr="00D76D7F" w:rsidRDefault="007B5A0A" w:rsidP="008C60C5">
            <w:pPr>
              <w:spacing w:before="20" w:after="20"/>
              <w:ind w:left="34"/>
              <w:rPr>
                <w:rFonts w:eastAsiaTheme="minorEastAsia"/>
                <w:b w:val="0"/>
                <w:sz w:val="18"/>
                <w:szCs w:val="18"/>
                <w:lang w:eastAsia="en-US"/>
              </w:rPr>
            </w:pPr>
            <w:r w:rsidRPr="00D76D7F">
              <w:rPr>
                <w:rFonts w:eastAsiaTheme="minorEastAsia"/>
                <w:b w:val="0"/>
                <w:sz w:val="18"/>
                <w:szCs w:val="18"/>
                <w:lang w:eastAsia="en-US"/>
              </w:rPr>
              <w:t>3</w:t>
            </w:r>
          </w:p>
        </w:tc>
        <w:tc>
          <w:tcPr>
            <w:tcW w:w="567" w:type="dxa"/>
            <w:tcBorders>
              <w:top w:val="nil"/>
              <w:left w:val="nil"/>
              <w:bottom w:val="nil"/>
              <w:right w:val="nil"/>
            </w:tcBorders>
            <w:noWrap/>
            <w:vAlign w:val="center"/>
          </w:tcPr>
          <w:p w14:paraId="1FCB03DF"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90</w:t>
            </w:r>
          </w:p>
        </w:tc>
        <w:tc>
          <w:tcPr>
            <w:tcW w:w="567" w:type="dxa"/>
            <w:tcBorders>
              <w:top w:val="nil"/>
              <w:left w:val="nil"/>
              <w:bottom w:val="nil"/>
              <w:right w:val="nil"/>
            </w:tcBorders>
            <w:noWrap/>
            <w:vAlign w:val="center"/>
          </w:tcPr>
          <w:p w14:paraId="4A604DB0"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13.8</w:t>
            </w:r>
          </w:p>
        </w:tc>
        <w:tc>
          <w:tcPr>
            <w:tcW w:w="1146" w:type="dxa"/>
            <w:tcBorders>
              <w:top w:val="nil"/>
              <w:left w:val="nil"/>
              <w:bottom w:val="nil"/>
              <w:right w:val="single" w:sz="4" w:space="0" w:color="auto"/>
            </w:tcBorders>
            <w:noWrap/>
            <w:vAlign w:val="center"/>
          </w:tcPr>
          <w:p w14:paraId="6B91444F"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(11.5, 16.0)</w:t>
            </w:r>
          </w:p>
        </w:tc>
        <w:tc>
          <w:tcPr>
            <w:tcW w:w="536" w:type="dxa"/>
            <w:tcBorders>
              <w:top w:val="nil"/>
              <w:left w:val="single" w:sz="4" w:space="0" w:color="auto"/>
              <w:bottom w:val="nil"/>
              <w:right w:val="nil"/>
            </w:tcBorders>
            <w:noWrap/>
            <w:vAlign w:val="center"/>
          </w:tcPr>
          <w:p w14:paraId="3EF66FB4"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48</w:t>
            </w:r>
          </w:p>
        </w:tc>
        <w:tc>
          <w:tcPr>
            <w:tcW w:w="621" w:type="dxa"/>
            <w:tcBorders>
              <w:top w:val="nil"/>
              <w:left w:val="nil"/>
              <w:bottom w:val="nil"/>
              <w:right w:val="nil"/>
            </w:tcBorders>
            <w:noWrap/>
            <w:vAlign w:val="center"/>
          </w:tcPr>
          <w:p w14:paraId="0F28208A"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12.4</w:t>
            </w:r>
          </w:p>
        </w:tc>
        <w:tc>
          <w:tcPr>
            <w:tcW w:w="1146" w:type="dxa"/>
            <w:tcBorders>
              <w:top w:val="nil"/>
              <w:left w:val="nil"/>
              <w:bottom w:val="nil"/>
              <w:right w:val="single" w:sz="4" w:space="0" w:color="000000"/>
            </w:tcBorders>
            <w:shd w:val="clear" w:color="auto" w:fill="FFFFFF" w:themeFill="background1"/>
            <w:noWrap/>
            <w:vAlign w:val="center"/>
          </w:tcPr>
          <w:p w14:paraId="117500F0"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(9.6, 15.2)</w:t>
            </w:r>
          </w:p>
        </w:tc>
        <w:tc>
          <w:tcPr>
            <w:tcW w:w="536" w:type="dxa"/>
            <w:tcBorders>
              <w:top w:val="nil"/>
              <w:left w:val="single" w:sz="4" w:space="0" w:color="000000"/>
              <w:bottom w:val="nil"/>
              <w:right w:val="nil"/>
            </w:tcBorders>
            <w:shd w:val="clear" w:color="auto" w:fill="FFFFFF" w:themeFill="background1"/>
            <w:vAlign w:val="center"/>
          </w:tcPr>
          <w:p w14:paraId="50B1B082"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58</w:t>
            </w:r>
          </w:p>
        </w:tc>
        <w:tc>
          <w:tcPr>
            <w:tcW w:w="567" w:type="dxa"/>
            <w:tcBorders>
              <w:top w:val="nil"/>
              <w:left w:val="nil"/>
              <w:bottom w:val="nil"/>
              <w:right w:val="nil"/>
            </w:tcBorders>
            <w:shd w:val="clear" w:color="auto" w:fill="FFFFFF" w:themeFill="background1"/>
            <w:vAlign w:val="center"/>
          </w:tcPr>
          <w:p w14:paraId="4BCD4358"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17.7</w:t>
            </w:r>
          </w:p>
        </w:tc>
        <w:tc>
          <w:tcPr>
            <w:tcW w:w="1146" w:type="dxa"/>
            <w:tcBorders>
              <w:top w:val="nil"/>
              <w:left w:val="nil"/>
              <w:bottom w:val="nil"/>
              <w:right w:val="single" w:sz="4" w:space="0" w:color="000000"/>
            </w:tcBorders>
            <w:shd w:val="clear" w:color="auto" w:fill="FFFFFF" w:themeFill="background1"/>
            <w:vAlign w:val="center"/>
          </w:tcPr>
          <w:p w14:paraId="1C9D51D3"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(13.3, 22.0)</w:t>
            </w:r>
          </w:p>
        </w:tc>
        <w:tc>
          <w:tcPr>
            <w:tcW w:w="536" w:type="dxa"/>
            <w:tcBorders>
              <w:top w:val="nil"/>
              <w:left w:val="single" w:sz="4" w:space="0" w:color="000000"/>
              <w:bottom w:val="nil"/>
              <w:right w:val="nil"/>
            </w:tcBorders>
            <w:shd w:val="clear" w:color="auto" w:fill="FFFFFF" w:themeFill="background1"/>
            <w:vAlign w:val="center"/>
          </w:tcPr>
          <w:p w14:paraId="5A58D0BC"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39</w:t>
            </w:r>
          </w:p>
        </w:tc>
        <w:tc>
          <w:tcPr>
            <w:tcW w:w="576" w:type="dxa"/>
            <w:tcBorders>
              <w:top w:val="nil"/>
              <w:left w:val="nil"/>
              <w:bottom w:val="nil"/>
              <w:right w:val="nil"/>
            </w:tcBorders>
            <w:shd w:val="clear" w:color="auto" w:fill="FFFFFF" w:themeFill="background1"/>
            <w:vAlign w:val="center"/>
          </w:tcPr>
          <w:p w14:paraId="1C4CA845"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13.4</w:t>
            </w:r>
          </w:p>
        </w:tc>
        <w:tc>
          <w:tcPr>
            <w:tcW w:w="1146" w:type="dxa"/>
            <w:tcBorders>
              <w:top w:val="nil"/>
              <w:left w:val="nil"/>
              <w:bottom w:val="nil"/>
              <w:right w:val="nil"/>
            </w:tcBorders>
            <w:shd w:val="clear" w:color="auto" w:fill="FFFFFF" w:themeFill="background1"/>
            <w:vAlign w:val="center"/>
          </w:tcPr>
          <w:p w14:paraId="43E02F17"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(9.3, 17.4)</w:t>
            </w:r>
          </w:p>
        </w:tc>
      </w:tr>
      <w:tr w:rsidR="007B5A0A" w:rsidRPr="00D76D7F" w14:paraId="08C8762A" w14:textId="77777777" w:rsidTr="00D76D7F">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39F4535B" w14:textId="77777777" w:rsidR="007B5A0A" w:rsidRPr="00D76D7F" w:rsidRDefault="007B5A0A" w:rsidP="008C60C5">
            <w:pPr>
              <w:spacing w:before="20" w:after="20"/>
              <w:ind w:left="34"/>
              <w:rPr>
                <w:rFonts w:eastAsiaTheme="minorEastAsia"/>
                <w:b w:val="0"/>
                <w:sz w:val="18"/>
                <w:szCs w:val="18"/>
                <w:lang w:eastAsia="en-US"/>
              </w:rPr>
            </w:pPr>
            <w:r w:rsidRPr="00D76D7F">
              <w:rPr>
                <w:rFonts w:eastAsiaTheme="minorEastAsia"/>
                <w:b w:val="0"/>
                <w:sz w:val="18"/>
                <w:szCs w:val="18"/>
                <w:lang w:eastAsia="en-US"/>
              </w:rPr>
              <w:t>4</w:t>
            </w:r>
          </w:p>
        </w:tc>
        <w:tc>
          <w:tcPr>
            <w:tcW w:w="567" w:type="dxa"/>
            <w:tcBorders>
              <w:top w:val="nil"/>
              <w:left w:val="nil"/>
              <w:bottom w:val="nil"/>
              <w:right w:val="nil"/>
            </w:tcBorders>
            <w:shd w:val="clear" w:color="auto" w:fill="auto"/>
            <w:noWrap/>
            <w:vAlign w:val="center"/>
          </w:tcPr>
          <w:p w14:paraId="6D2E8D91"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55</w:t>
            </w:r>
          </w:p>
        </w:tc>
        <w:tc>
          <w:tcPr>
            <w:tcW w:w="567" w:type="dxa"/>
            <w:tcBorders>
              <w:top w:val="nil"/>
              <w:left w:val="nil"/>
              <w:bottom w:val="nil"/>
              <w:right w:val="nil"/>
            </w:tcBorders>
            <w:shd w:val="clear" w:color="auto" w:fill="auto"/>
            <w:noWrap/>
            <w:vAlign w:val="center"/>
          </w:tcPr>
          <w:p w14:paraId="2DF9E6C4"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8.4</w:t>
            </w:r>
          </w:p>
        </w:tc>
        <w:tc>
          <w:tcPr>
            <w:tcW w:w="1146" w:type="dxa"/>
            <w:tcBorders>
              <w:top w:val="nil"/>
              <w:left w:val="nil"/>
              <w:bottom w:val="nil"/>
              <w:right w:val="single" w:sz="4" w:space="0" w:color="auto"/>
            </w:tcBorders>
            <w:shd w:val="clear" w:color="auto" w:fill="auto"/>
            <w:noWrap/>
            <w:vAlign w:val="center"/>
          </w:tcPr>
          <w:p w14:paraId="6716C70A"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(6.6, 10.3)</w:t>
            </w:r>
          </w:p>
        </w:tc>
        <w:tc>
          <w:tcPr>
            <w:tcW w:w="536" w:type="dxa"/>
            <w:tcBorders>
              <w:top w:val="nil"/>
              <w:left w:val="single" w:sz="4" w:space="0" w:color="auto"/>
              <w:bottom w:val="nil"/>
              <w:right w:val="nil"/>
            </w:tcBorders>
            <w:shd w:val="clear" w:color="auto" w:fill="auto"/>
            <w:noWrap/>
            <w:vAlign w:val="center"/>
          </w:tcPr>
          <w:p w14:paraId="6FDEC2AA"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36</w:t>
            </w:r>
          </w:p>
        </w:tc>
        <w:tc>
          <w:tcPr>
            <w:tcW w:w="621" w:type="dxa"/>
            <w:tcBorders>
              <w:top w:val="nil"/>
              <w:left w:val="nil"/>
              <w:bottom w:val="nil"/>
              <w:right w:val="nil"/>
            </w:tcBorders>
            <w:shd w:val="clear" w:color="auto" w:fill="auto"/>
            <w:noWrap/>
            <w:vAlign w:val="center"/>
          </w:tcPr>
          <w:p w14:paraId="4FDEF383"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9.3</w:t>
            </w:r>
          </w:p>
        </w:tc>
        <w:tc>
          <w:tcPr>
            <w:tcW w:w="1146" w:type="dxa"/>
            <w:tcBorders>
              <w:top w:val="nil"/>
              <w:left w:val="nil"/>
              <w:bottom w:val="nil"/>
              <w:right w:val="single" w:sz="4" w:space="0" w:color="000000"/>
            </w:tcBorders>
            <w:shd w:val="clear" w:color="auto" w:fill="auto"/>
            <w:noWrap/>
            <w:vAlign w:val="center"/>
          </w:tcPr>
          <w:p w14:paraId="3730B6E4"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(6.6, 11.9)</w:t>
            </w:r>
          </w:p>
        </w:tc>
        <w:tc>
          <w:tcPr>
            <w:tcW w:w="536" w:type="dxa"/>
            <w:tcBorders>
              <w:top w:val="nil"/>
              <w:left w:val="single" w:sz="4" w:space="0" w:color="000000"/>
              <w:bottom w:val="nil"/>
              <w:right w:val="nil"/>
            </w:tcBorders>
            <w:shd w:val="clear" w:color="auto" w:fill="auto"/>
            <w:vAlign w:val="center"/>
          </w:tcPr>
          <w:p w14:paraId="62E51B8C"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w:t>
            </w:r>
          </w:p>
        </w:tc>
        <w:tc>
          <w:tcPr>
            <w:tcW w:w="567" w:type="dxa"/>
            <w:tcBorders>
              <w:top w:val="nil"/>
              <w:left w:val="nil"/>
              <w:bottom w:val="nil"/>
              <w:right w:val="nil"/>
            </w:tcBorders>
            <w:shd w:val="clear" w:color="auto" w:fill="auto"/>
            <w:vAlign w:val="center"/>
          </w:tcPr>
          <w:p w14:paraId="0A5EB815"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5.9</w:t>
            </w:r>
          </w:p>
        </w:tc>
        <w:tc>
          <w:tcPr>
            <w:tcW w:w="1146" w:type="dxa"/>
            <w:tcBorders>
              <w:top w:val="nil"/>
              <w:left w:val="nil"/>
              <w:bottom w:val="nil"/>
              <w:right w:val="single" w:sz="4" w:space="0" w:color="000000"/>
            </w:tcBorders>
            <w:shd w:val="clear" w:color="auto" w:fill="auto"/>
            <w:vAlign w:val="center"/>
          </w:tcPr>
          <w:p w14:paraId="6EC8B885"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(3.8, 8.0)</w:t>
            </w:r>
          </w:p>
        </w:tc>
        <w:tc>
          <w:tcPr>
            <w:tcW w:w="536" w:type="dxa"/>
            <w:tcBorders>
              <w:top w:val="nil"/>
              <w:left w:val="single" w:sz="4" w:space="0" w:color="000000"/>
              <w:bottom w:val="nil"/>
              <w:right w:val="nil"/>
            </w:tcBorders>
            <w:vAlign w:val="center"/>
          </w:tcPr>
          <w:p w14:paraId="255BBDAE"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w:t>
            </w:r>
          </w:p>
        </w:tc>
        <w:tc>
          <w:tcPr>
            <w:tcW w:w="576" w:type="dxa"/>
            <w:tcBorders>
              <w:top w:val="nil"/>
              <w:left w:val="nil"/>
              <w:bottom w:val="nil"/>
              <w:right w:val="nil"/>
            </w:tcBorders>
            <w:vAlign w:val="center"/>
          </w:tcPr>
          <w:p w14:paraId="4B887D53"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5.7</w:t>
            </w:r>
          </w:p>
        </w:tc>
        <w:tc>
          <w:tcPr>
            <w:tcW w:w="1146" w:type="dxa"/>
            <w:tcBorders>
              <w:top w:val="nil"/>
              <w:left w:val="nil"/>
              <w:bottom w:val="nil"/>
              <w:right w:val="nil"/>
            </w:tcBorders>
            <w:vAlign w:val="center"/>
          </w:tcPr>
          <w:p w14:paraId="4E3CAD12"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(3.5, 7.9)</w:t>
            </w:r>
          </w:p>
        </w:tc>
      </w:tr>
      <w:tr w:rsidR="007B5A0A" w:rsidRPr="00D76D7F" w14:paraId="03049058" w14:textId="77777777" w:rsidTr="00D76D7F">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0D69EEF2" w14:textId="77777777" w:rsidR="007B5A0A" w:rsidRPr="00D76D7F" w:rsidRDefault="007B5A0A" w:rsidP="008C60C5">
            <w:pPr>
              <w:spacing w:before="20" w:after="20"/>
              <w:ind w:left="34"/>
              <w:rPr>
                <w:rFonts w:eastAsiaTheme="minorEastAsia"/>
                <w:b w:val="0"/>
                <w:sz w:val="18"/>
                <w:szCs w:val="18"/>
                <w:lang w:eastAsia="en-US"/>
              </w:rPr>
            </w:pPr>
            <w:r w:rsidRPr="00D76D7F">
              <w:rPr>
                <w:rFonts w:eastAsiaTheme="minorEastAsia"/>
                <w:b w:val="0"/>
                <w:sz w:val="18"/>
                <w:szCs w:val="18"/>
                <w:lang w:eastAsia="en-US"/>
              </w:rPr>
              <w:t>5+</w:t>
            </w:r>
          </w:p>
        </w:tc>
        <w:tc>
          <w:tcPr>
            <w:tcW w:w="567" w:type="dxa"/>
            <w:tcBorders>
              <w:top w:val="nil"/>
              <w:left w:val="nil"/>
              <w:bottom w:val="nil"/>
              <w:right w:val="nil"/>
            </w:tcBorders>
            <w:shd w:val="clear" w:color="auto" w:fill="auto"/>
            <w:noWrap/>
            <w:vAlign w:val="center"/>
          </w:tcPr>
          <w:p w14:paraId="34006A8B"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93</w:t>
            </w:r>
          </w:p>
        </w:tc>
        <w:tc>
          <w:tcPr>
            <w:tcW w:w="567" w:type="dxa"/>
            <w:tcBorders>
              <w:top w:val="nil"/>
              <w:left w:val="nil"/>
              <w:bottom w:val="nil"/>
              <w:right w:val="nil"/>
            </w:tcBorders>
            <w:shd w:val="clear" w:color="auto" w:fill="auto"/>
            <w:noWrap/>
            <w:vAlign w:val="center"/>
          </w:tcPr>
          <w:p w14:paraId="0F042BEB"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14.2</w:t>
            </w:r>
          </w:p>
        </w:tc>
        <w:tc>
          <w:tcPr>
            <w:tcW w:w="1146" w:type="dxa"/>
            <w:tcBorders>
              <w:top w:val="nil"/>
              <w:left w:val="nil"/>
              <w:bottom w:val="nil"/>
              <w:right w:val="single" w:sz="4" w:space="0" w:color="auto"/>
            </w:tcBorders>
            <w:shd w:val="clear" w:color="auto" w:fill="auto"/>
            <w:noWrap/>
            <w:vAlign w:val="center"/>
          </w:tcPr>
          <w:p w14:paraId="2E158C8C"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(12.0, 16.5)</w:t>
            </w:r>
          </w:p>
        </w:tc>
        <w:tc>
          <w:tcPr>
            <w:tcW w:w="536" w:type="dxa"/>
            <w:tcBorders>
              <w:top w:val="nil"/>
              <w:left w:val="single" w:sz="4" w:space="0" w:color="auto"/>
              <w:bottom w:val="nil"/>
              <w:right w:val="nil"/>
            </w:tcBorders>
            <w:shd w:val="clear" w:color="auto" w:fill="auto"/>
            <w:noWrap/>
            <w:vAlign w:val="center"/>
          </w:tcPr>
          <w:p w14:paraId="0BBD96DA"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33</w:t>
            </w:r>
          </w:p>
        </w:tc>
        <w:tc>
          <w:tcPr>
            <w:tcW w:w="621" w:type="dxa"/>
            <w:tcBorders>
              <w:top w:val="nil"/>
              <w:left w:val="nil"/>
              <w:bottom w:val="nil"/>
              <w:right w:val="nil"/>
            </w:tcBorders>
            <w:shd w:val="clear" w:color="auto" w:fill="auto"/>
            <w:noWrap/>
            <w:vAlign w:val="center"/>
          </w:tcPr>
          <w:p w14:paraId="0350E152"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8.4</w:t>
            </w:r>
          </w:p>
        </w:tc>
        <w:tc>
          <w:tcPr>
            <w:tcW w:w="1146" w:type="dxa"/>
            <w:tcBorders>
              <w:top w:val="nil"/>
              <w:left w:val="nil"/>
              <w:bottom w:val="nil"/>
              <w:right w:val="single" w:sz="4" w:space="0" w:color="000000"/>
            </w:tcBorders>
            <w:shd w:val="clear" w:color="auto" w:fill="auto"/>
            <w:noWrap/>
            <w:vAlign w:val="center"/>
          </w:tcPr>
          <w:p w14:paraId="50E0BC23"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(6.0, 10.9)</w:t>
            </w:r>
          </w:p>
        </w:tc>
        <w:tc>
          <w:tcPr>
            <w:tcW w:w="536" w:type="dxa"/>
            <w:tcBorders>
              <w:top w:val="nil"/>
              <w:left w:val="single" w:sz="4" w:space="0" w:color="000000"/>
              <w:bottom w:val="nil"/>
              <w:right w:val="nil"/>
            </w:tcBorders>
            <w:shd w:val="clear" w:color="auto" w:fill="auto"/>
            <w:vAlign w:val="center"/>
          </w:tcPr>
          <w:p w14:paraId="589E7125"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w:t>
            </w:r>
          </w:p>
        </w:tc>
        <w:tc>
          <w:tcPr>
            <w:tcW w:w="567" w:type="dxa"/>
            <w:tcBorders>
              <w:top w:val="nil"/>
              <w:left w:val="nil"/>
              <w:bottom w:val="nil"/>
              <w:right w:val="nil"/>
            </w:tcBorders>
            <w:shd w:val="clear" w:color="auto" w:fill="auto"/>
            <w:vAlign w:val="center"/>
          </w:tcPr>
          <w:p w14:paraId="51676E89"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9.3</w:t>
            </w:r>
          </w:p>
        </w:tc>
        <w:tc>
          <w:tcPr>
            <w:tcW w:w="1146" w:type="dxa"/>
            <w:tcBorders>
              <w:top w:val="nil"/>
              <w:left w:val="nil"/>
              <w:bottom w:val="nil"/>
              <w:right w:val="single" w:sz="4" w:space="0" w:color="000000"/>
            </w:tcBorders>
            <w:shd w:val="clear" w:color="auto" w:fill="auto"/>
            <w:vAlign w:val="center"/>
          </w:tcPr>
          <w:p w14:paraId="08084C4C"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(3.8, 14.7)</w:t>
            </w:r>
          </w:p>
        </w:tc>
        <w:tc>
          <w:tcPr>
            <w:tcW w:w="536" w:type="dxa"/>
            <w:tcBorders>
              <w:top w:val="nil"/>
              <w:left w:val="single" w:sz="4" w:space="0" w:color="000000"/>
              <w:bottom w:val="nil"/>
              <w:right w:val="nil"/>
            </w:tcBorders>
            <w:vAlign w:val="center"/>
          </w:tcPr>
          <w:p w14:paraId="4163C0DF"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32</w:t>
            </w:r>
          </w:p>
        </w:tc>
        <w:tc>
          <w:tcPr>
            <w:tcW w:w="576" w:type="dxa"/>
            <w:tcBorders>
              <w:top w:val="nil"/>
              <w:left w:val="nil"/>
              <w:bottom w:val="nil"/>
              <w:right w:val="nil"/>
            </w:tcBorders>
            <w:vAlign w:val="center"/>
          </w:tcPr>
          <w:p w14:paraId="2AEB0CDF"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11.0</w:t>
            </w:r>
          </w:p>
        </w:tc>
        <w:tc>
          <w:tcPr>
            <w:tcW w:w="1146" w:type="dxa"/>
            <w:tcBorders>
              <w:top w:val="nil"/>
              <w:left w:val="nil"/>
              <w:bottom w:val="nil"/>
              <w:right w:val="nil"/>
            </w:tcBorders>
            <w:vAlign w:val="center"/>
          </w:tcPr>
          <w:p w14:paraId="16598308"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(3.2, 18.7)</w:t>
            </w:r>
          </w:p>
        </w:tc>
      </w:tr>
      <w:tr w:rsidR="007B5A0A" w:rsidRPr="00D76D7F" w14:paraId="4DB45F8E" w14:textId="77777777" w:rsidTr="00D76D7F">
        <w:trPr>
          <w:jc w:val="center"/>
        </w:trPr>
        <w:tc>
          <w:tcPr>
            <w:cnfStyle w:val="001000000000" w:firstRow="0" w:lastRow="0" w:firstColumn="1" w:lastColumn="0" w:oddVBand="0" w:evenVBand="0" w:oddHBand="0" w:evenHBand="0" w:firstRowFirstColumn="0" w:firstRowLastColumn="0" w:lastRowFirstColumn="0" w:lastRowLastColumn="0"/>
            <w:tcW w:w="4674" w:type="dxa"/>
            <w:gridSpan w:val="3"/>
            <w:tcBorders>
              <w:top w:val="nil"/>
              <w:left w:val="nil"/>
              <w:bottom w:val="nil"/>
              <w:right w:val="nil"/>
            </w:tcBorders>
            <w:vAlign w:val="center"/>
          </w:tcPr>
          <w:p w14:paraId="6122298D" w14:textId="77777777" w:rsidR="007B5A0A" w:rsidRPr="00D76D7F" w:rsidRDefault="007B5A0A" w:rsidP="008C60C5">
            <w:pPr>
              <w:spacing w:before="20" w:after="20"/>
              <w:rPr>
                <w:rFonts w:eastAsiaTheme="minorEastAsia"/>
                <w:sz w:val="18"/>
                <w:szCs w:val="18"/>
                <w:lang w:eastAsia="en-US"/>
              </w:rPr>
            </w:pPr>
            <w:r w:rsidRPr="00D76D7F">
              <w:rPr>
                <w:rFonts w:eastAsiaTheme="minorEastAsia"/>
                <w:sz w:val="18"/>
                <w:szCs w:val="18"/>
                <w:lang w:eastAsia="en-US"/>
              </w:rPr>
              <w:t>Quality of life (WHOQoL-8)</w:t>
            </w:r>
          </w:p>
        </w:tc>
        <w:tc>
          <w:tcPr>
            <w:tcW w:w="1146" w:type="dxa"/>
            <w:tcBorders>
              <w:top w:val="nil"/>
              <w:left w:val="nil"/>
              <w:bottom w:val="nil"/>
              <w:right w:val="single" w:sz="4" w:space="0" w:color="auto"/>
            </w:tcBorders>
            <w:noWrap/>
          </w:tcPr>
          <w:p w14:paraId="76A0FF28" w14:textId="77777777" w:rsidR="007B5A0A" w:rsidRPr="00D76D7F" w:rsidRDefault="007B5A0A" w:rsidP="008C60C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36" w:type="dxa"/>
            <w:tcBorders>
              <w:top w:val="nil"/>
              <w:left w:val="single" w:sz="4" w:space="0" w:color="auto"/>
              <w:bottom w:val="nil"/>
              <w:right w:val="nil"/>
            </w:tcBorders>
            <w:noWrap/>
            <w:vAlign w:val="center"/>
          </w:tcPr>
          <w:p w14:paraId="196998D2" w14:textId="77777777" w:rsidR="007B5A0A" w:rsidRPr="00D76D7F" w:rsidRDefault="007B5A0A" w:rsidP="008C60C5">
            <w:pPr>
              <w:jc w:val="center"/>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nil"/>
              <w:left w:val="nil"/>
              <w:bottom w:val="nil"/>
              <w:right w:val="nil"/>
            </w:tcBorders>
            <w:noWrap/>
            <w:vAlign w:val="center"/>
          </w:tcPr>
          <w:p w14:paraId="03186A5D" w14:textId="77777777" w:rsidR="007B5A0A" w:rsidRPr="00D76D7F" w:rsidRDefault="007B5A0A" w:rsidP="008C60C5">
            <w:pPr>
              <w:jc w:val="center"/>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FFFFFF" w:themeFill="background1"/>
            <w:noWrap/>
            <w:vAlign w:val="bottom"/>
          </w:tcPr>
          <w:p w14:paraId="5AB51C7E" w14:textId="77777777" w:rsidR="007B5A0A" w:rsidRPr="00D76D7F" w:rsidRDefault="007B5A0A" w:rsidP="008C60C5">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nil"/>
              <w:left w:val="single" w:sz="4" w:space="0" w:color="000000"/>
              <w:bottom w:val="nil"/>
              <w:right w:val="nil"/>
            </w:tcBorders>
            <w:vAlign w:val="bottom"/>
          </w:tcPr>
          <w:p w14:paraId="7112FC24" w14:textId="77777777" w:rsidR="007B5A0A" w:rsidRPr="00D76D7F" w:rsidRDefault="007B5A0A" w:rsidP="008C60C5">
            <w:pPr>
              <w:cnfStyle w:val="000000000000" w:firstRow="0" w:lastRow="0" w:firstColumn="0" w:lastColumn="0" w:oddVBand="0" w:evenVBand="0" w:oddHBand="0" w:evenHBand="0" w:firstRowFirstColumn="0" w:firstRowLastColumn="0" w:lastRowFirstColumn="0" w:lastRowLastColumn="0"/>
              <w:rPr>
                <w:sz w:val="18"/>
                <w:szCs w:val="18"/>
              </w:rPr>
            </w:pPr>
          </w:p>
        </w:tc>
        <w:tc>
          <w:tcPr>
            <w:tcW w:w="567" w:type="dxa"/>
            <w:tcBorders>
              <w:top w:val="nil"/>
              <w:left w:val="nil"/>
              <w:bottom w:val="nil"/>
              <w:right w:val="nil"/>
            </w:tcBorders>
            <w:vAlign w:val="bottom"/>
          </w:tcPr>
          <w:p w14:paraId="005FF747" w14:textId="77777777" w:rsidR="007B5A0A" w:rsidRPr="00D76D7F" w:rsidRDefault="007B5A0A" w:rsidP="008C60C5">
            <w:pPr>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vAlign w:val="bottom"/>
          </w:tcPr>
          <w:p w14:paraId="7C9E1E8E" w14:textId="77777777" w:rsidR="007B5A0A" w:rsidRPr="00D76D7F" w:rsidRDefault="007B5A0A" w:rsidP="008C60C5">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nil"/>
              <w:left w:val="single" w:sz="4" w:space="0" w:color="000000"/>
              <w:bottom w:val="nil"/>
              <w:right w:val="nil"/>
            </w:tcBorders>
            <w:vAlign w:val="bottom"/>
          </w:tcPr>
          <w:p w14:paraId="59071D87" w14:textId="77777777" w:rsidR="007B5A0A" w:rsidRPr="00D76D7F" w:rsidRDefault="007B5A0A" w:rsidP="008C60C5">
            <w:pPr>
              <w:cnfStyle w:val="000000000000" w:firstRow="0" w:lastRow="0" w:firstColumn="0" w:lastColumn="0" w:oddVBand="0" w:evenVBand="0" w:oddHBand="0" w:evenHBand="0" w:firstRowFirstColumn="0" w:firstRowLastColumn="0" w:lastRowFirstColumn="0" w:lastRowLastColumn="0"/>
              <w:rPr>
                <w:sz w:val="18"/>
                <w:szCs w:val="18"/>
              </w:rPr>
            </w:pPr>
          </w:p>
        </w:tc>
        <w:tc>
          <w:tcPr>
            <w:tcW w:w="576" w:type="dxa"/>
            <w:tcBorders>
              <w:top w:val="nil"/>
              <w:left w:val="nil"/>
              <w:bottom w:val="nil"/>
              <w:right w:val="nil"/>
            </w:tcBorders>
            <w:vAlign w:val="bottom"/>
          </w:tcPr>
          <w:p w14:paraId="0104BA82" w14:textId="77777777" w:rsidR="007B5A0A" w:rsidRPr="00D76D7F" w:rsidRDefault="007B5A0A" w:rsidP="008C60C5">
            <w:pPr>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vAlign w:val="center"/>
          </w:tcPr>
          <w:p w14:paraId="2D73C75F" w14:textId="77777777" w:rsidR="007B5A0A" w:rsidRPr="00D76D7F" w:rsidRDefault="007B5A0A" w:rsidP="008C60C5">
            <w:pPr>
              <w:ind w:right="113"/>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118DA" w:rsidRPr="00D76D7F" w14:paraId="2AB90C2F" w14:textId="77777777" w:rsidTr="00D76D7F">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tcPr>
          <w:p w14:paraId="1BC299FA" w14:textId="77777777" w:rsidR="007B5A0A" w:rsidRPr="00D76D7F" w:rsidRDefault="007B5A0A" w:rsidP="008C60C5">
            <w:pPr>
              <w:spacing w:before="20" w:after="20"/>
              <w:rPr>
                <w:rFonts w:eastAsiaTheme="minorEastAsia"/>
                <w:b w:val="0"/>
                <w:sz w:val="18"/>
                <w:szCs w:val="18"/>
                <w:lang w:eastAsia="en-US"/>
              </w:rPr>
            </w:pPr>
            <w:r w:rsidRPr="00D76D7F">
              <w:rPr>
                <w:rFonts w:eastAsiaTheme="minorEastAsia"/>
                <w:b w:val="0"/>
                <w:sz w:val="18"/>
                <w:szCs w:val="18"/>
                <w:lang w:eastAsia="en-US"/>
              </w:rPr>
              <w:t>Below median (Score 0 - 24)</w:t>
            </w:r>
          </w:p>
        </w:tc>
        <w:tc>
          <w:tcPr>
            <w:tcW w:w="567" w:type="dxa"/>
            <w:tcBorders>
              <w:top w:val="nil"/>
              <w:left w:val="nil"/>
              <w:bottom w:val="nil"/>
              <w:right w:val="nil"/>
            </w:tcBorders>
            <w:noWrap/>
            <w:vAlign w:val="center"/>
          </w:tcPr>
          <w:p w14:paraId="1399BD47"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316</w:t>
            </w:r>
          </w:p>
        </w:tc>
        <w:tc>
          <w:tcPr>
            <w:tcW w:w="567" w:type="dxa"/>
            <w:tcBorders>
              <w:top w:val="nil"/>
              <w:left w:val="nil"/>
              <w:bottom w:val="nil"/>
              <w:right w:val="nil"/>
            </w:tcBorders>
            <w:noWrap/>
            <w:vAlign w:val="center"/>
          </w:tcPr>
          <w:p w14:paraId="0BFEFBC7"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48.5</w:t>
            </w:r>
          </w:p>
        </w:tc>
        <w:tc>
          <w:tcPr>
            <w:tcW w:w="1146" w:type="dxa"/>
            <w:tcBorders>
              <w:top w:val="nil"/>
              <w:left w:val="nil"/>
              <w:bottom w:val="nil"/>
              <w:right w:val="single" w:sz="4" w:space="0" w:color="auto"/>
            </w:tcBorders>
            <w:noWrap/>
            <w:vAlign w:val="center"/>
          </w:tcPr>
          <w:p w14:paraId="500DB07F"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(45.3, 51.7)</w:t>
            </w:r>
          </w:p>
        </w:tc>
        <w:tc>
          <w:tcPr>
            <w:tcW w:w="536" w:type="dxa"/>
            <w:tcBorders>
              <w:top w:val="nil"/>
              <w:left w:val="single" w:sz="4" w:space="0" w:color="auto"/>
              <w:bottom w:val="nil"/>
              <w:right w:val="nil"/>
            </w:tcBorders>
            <w:noWrap/>
            <w:vAlign w:val="center"/>
          </w:tcPr>
          <w:p w14:paraId="3838E29C"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177</w:t>
            </w:r>
          </w:p>
        </w:tc>
        <w:tc>
          <w:tcPr>
            <w:tcW w:w="621" w:type="dxa"/>
            <w:tcBorders>
              <w:top w:val="nil"/>
              <w:left w:val="nil"/>
              <w:bottom w:val="nil"/>
              <w:right w:val="nil"/>
            </w:tcBorders>
            <w:noWrap/>
            <w:vAlign w:val="center"/>
          </w:tcPr>
          <w:p w14:paraId="795A58C7"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45.8</w:t>
            </w:r>
          </w:p>
        </w:tc>
        <w:tc>
          <w:tcPr>
            <w:tcW w:w="1146" w:type="dxa"/>
            <w:tcBorders>
              <w:top w:val="nil"/>
              <w:left w:val="nil"/>
              <w:bottom w:val="nil"/>
              <w:right w:val="single" w:sz="4" w:space="0" w:color="000000"/>
            </w:tcBorders>
            <w:shd w:val="clear" w:color="auto" w:fill="FFFFFF" w:themeFill="background1"/>
            <w:noWrap/>
            <w:vAlign w:val="center"/>
          </w:tcPr>
          <w:p w14:paraId="1A0CCFE5"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(41.2, 50.3)</w:t>
            </w:r>
          </w:p>
        </w:tc>
        <w:tc>
          <w:tcPr>
            <w:tcW w:w="536" w:type="dxa"/>
            <w:tcBorders>
              <w:top w:val="nil"/>
              <w:left w:val="single" w:sz="4" w:space="0" w:color="000000"/>
              <w:bottom w:val="nil"/>
              <w:right w:val="nil"/>
            </w:tcBorders>
            <w:shd w:val="clear" w:color="auto" w:fill="FFFFFF" w:themeFill="background1"/>
            <w:vAlign w:val="center"/>
          </w:tcPr>
          <w:p w14:paraId="78903292"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156</w:t>
            </w:r>
          </w:p>
        </w:tc>
        <w:tc>
          <w:tcPr>
            <w:tcW w:w="567" w:type="dxa"/>
            <w:tcBorders>
              <w:top w:val="nil"/>
              <w:left w:val="nil"/>
              <w:bottom w:val="nil"/>
              <w:right w:val="nil"/>
            </w:tcBorders>
            <w:shd w:val="clear" w:color="auto" w:fill="FFFFFF" w:themeFill="background1"/>
            <w:vAlign w:val="center"/>
          </w:tcPr>
          <w:p w14:paraId="4EF0F596"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47.9</w:t>
            </w:r>
          </w:p>
        </w:tc>
        <w:tc>
          <w:tcPr>
            <w:tcW w:w="1146" w:type="dxa"/>
            <w:tcBorders>
              <w:top w:val="nil"/>
              <w:left w:val="nil"/>
              <w:bottom w:val="nil"/>
              <w:right w:val="single" w:sz="4" w:space="0" w:color="000000"/>
            </w:tcBorders>
            <w:shd w:val="clear" w:color="auto" w:fill="FFFFFF" w:themeFill="background1"/>
            <w:vAlign w:val="center"/>
          </w:tcPr>
          <w:p w14:paraId="0D0A60B9"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(42.0, 53.7)</w:t>
            </w:r>
          </w:p>
        </w:tc>
        <w:tc>
          <w:tcPr>
            <w:tcW w:w="536" w:type="dxa"/>
            <w:tcBorders>
              <w:top w:val="nil"/>
              <w:left w:val="single" w:sz="4" w:space="0" w:color="000000"/>
              <w:bottom w:val="nil"/>
              <w:right w:val="nil"/>
            </w:tcBorders>
            <w:shd w:val="clear" w:color="auto" w:fill="FFFFFF" w:themeFill="background1"/>
            <w:vAlign w:val="center"/>
          </w:tcPr>
          <w:p w14:paraId="622D5BE4"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123</w:t>
            </w:r>
          </w:p>
        </w:tc>
        <w:tc>
          <w:tcPr>
            <w:tcW w:w="576" w:type="dxa"/>
            <w:tcBorders>
              <w:top w:val="nil"/>
              <w:left w:val="nil"/>
              <w:bottom w:val="nil"/>
              <w:right w:val="nil"/>
            </w:tcBorders>
            <w:shd w:val="clear" w:color="auto" w:fill="FFFFFF" w:themeFill="background1"/>
            <w:vAlign w:val="center"/>
          </w:tcPr>
          <w:p w14:paraId="012B2CFF"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42.0</w:t>
            </w:r>
          </w:p>
        </w:tc>
        <w:tc>
          <w:tcPr>
            <w:tcW w:w="1146" w:type="dxa"/>
            <w:tcBorders>
              <w:top w:val="nil"/>
              <w:left w:val="nil"/>
              <w:bottom w:val="nil"/>
              <w:right w:val="nil"/>
            </w:tcBorders>
            <w:shd w:val="clear" w:color="auto" w:fill="FFFFFF" w:themeFill="background1"/>
            <w:vAlign w:val="center"/>
          </w:tcPr>
          <w:p w14:paraId="7069ED14"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(35.6, 48.5)</w:t>
            </w:r>
          </w:p>
        </w:tc>
      </w:tr>
      <w:tr w:rsidR="009118DA" w:rsidRPr="00D76D7F" w14:paraId="66974C1E" w14:textId="77777777" w:rsidTr="00D76D7F">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tcPr>
          <w:p w14:paraId="18152617" w14:textId="77777777" w:rsidR="007B5A0A" w:rsidRPr="00D76D7F" w:rsidRDefault="007B5A0A" w:rsidP="008C60C5">
            <w:pPr>
              <w:spacing w:before="20" w:after="20"/>
              <w:rPr>
                <w:rFonts w:eastAsiaTheme="minorEastAsia"/>
                <w:b w:val="0"/>
                <w:sz w:val="18"/>
                <w:szCs w:val="18"/>
                <w:lang w:eastAsia="en-US"/>
              </w:rPr>
            </w:pPr>
            <w:r w:rsidRPr="00D76D7F">
              <w:rPr>
                <w:rFonts w:eastAsiaTheme="minorEastAsia"/>
                <w:b w:val="0"/>
                <w:sz w:val="18"/>
                <w:szCs w:val="18"/>
                <w:lang w:eastAsia="en-US"/>
              </w:rPr>
              <w:t>Median (Score 25)</w:t>
            </w:r>
          </w:p>
        </w:tc>
        <w:tc>
          <w:tcPr>
            <w:tcW w:w="567" w:type="dxa"/>
            <w:tcBorders>
              <w:top w:val="nil"/>
              <w:left w:val="nil"/>
              <w:bottom w:val="nil"/>
              <w:right w:val="nil"/>
            </w:tcBorders>
            <w:noWrap/>
            <w:vAlign w:val="center"/>
          </w:tcPr>
          <w:p w14:paraId="7E6310FA"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53</w:t>
            </w:r>
          </w:p>
        </w:tc>
        <w:tc>
          <w:tcPr>
            <w:tcW w:w="567" w:type="dxa"/>
            <w:tcBorders>
              <w:top w:val="nil"/>
              <w:left w:val="nil"/>
              <w:bottom w:val="nil"/>
              <w:right w:val="nil"/>
            </w:tcBorders>
            <w:noWrap/>
            <w:vAlign w:val="center"/>
          </w:tcPr>
          <w:p w14:paraId="398F31BE"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8.2</w:t>
            </w:r>
          </w:p>
        </w:tc>
        <w:tc>
          <w:tcPr>
            <w:tcW w:w="1146" w:type="dxa"/>
            <w:tcBorders>
              <w:top w:val="nil"/>
              <w:left w:val="nil"/>
              <w:bottom w:val="nil"/>
              <w:right w:val="single" w:sz="4" w:space="0" w:color="auto"/>
            </w:tcBorders>
            <w:noWrap/>
            <w:vAlign w:val="center"/>
          </w:tcPr>
          <w:p w14:paraId="457427A8"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(6.4, 9.9)</w:t>
            </w:r>
          </w:p>
        </w:tc>
        <w:tc>
          <w:tcPr>
            <w:tcW w:w="536" w:type="dxa"/>
            <w:tcBorders>
              <w:top w:val="nil"/>
              <w:left w:val="single" w:sz="4" w:space="0" w:color="auto"/>
              <w:bottom w:val="nil"/>
              <w:right w:val="nil"/>
            </w:tcBorders>
            <w:noWrap/>
            <w:vAlign w:val="center"/>
          </w:tcPr>
          <w:p w14:paraId="14222583"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w:t>
            </w:r>
          </w:p>
        </w:tc>
        <w:tc>
          <w:tcPr>
            <w:tcW w:w="621" w:type="dxa"/>
            <w:tcBorders>
              <w:top w:val="nil"/>
              <w:left w:val="nil"/>
              <w:bottom w:val="nil"/>
              <w:right w:val="nil"/>
            </w:tcBorders>
            <w:noWrap/>
            <w:vAlign w:val="center"/>
          </w:tcPr>
          <w:p w14:paraId="7D05BF05"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7.6</w:t>
            </w:r>
          </w:p>
        </w:tc>
        <w:tc>
          <w:tcPr>
            <w:tcW w:w="1146" w:type="dxa"/>
            <w:tcBorders>
              <w:top w:val="nil"/>
              <w:left w:val="nil"/>
              <w:bottom w:val="nil"/>
              <w:right w:val="single" w:sz="4" w:space="0" w:color="000000"/>
            </w:tcBorders>
            <w:shd w:val="clear" w:color="auto" w:fill="FFFFFF" w:themeFill="background1"/>
            <w:noWrap/>
            <w:vAlign w:val="center"/>
          </w:tcPr>
          <w:p w14:paraId="607E1801"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(5.3, 10.0)</w:t>
            </w:r>
          </w:p>
        </w:tc>
        <w:tc>
          <w:tcPr>
            <w:tcW w:w="536" w:type="dxa"/>
            <w:tcBorders>
              <w:top w:val="nil"/>
              <w:left w:val="single" w:sz="4" w:space="0" w:color="000000"/>
              <w:bottom w:val="nil"/>
              <w:right w:val="nil"/>
            </w:tcBorders>
            <w:shd w:val="clear" w:color="auto" w:fill="FFFFFF" w:themeFill="background1"/>
            <w:vAlign w:val="center"/>
          </w:tcPr>
          <w:p w14:paraId="606BBB7F"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w:t>
            </w:r>
          </w:p>
        </w:tc>
        <w:tc>
          <w:tcPr>
            <w:tcW w:w="567" w:type="dxa"/>
            <w:tcBorders>
              <w:top w:val="nil"/>
              <w:left w:val="nil"/>
              <w:bottom w:val="nil"/>
              <w:right w:val="nil"/>
            </w:tcBorders>
            <w:shd w:val="clear" w:color="auto" w:fill="FFFFFF" w:themeFill="background1"/>
            <w:vAlign w:val="center"/>
          </w:tcPr>
          <w:p w14:paraId="2004EEE0"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9.3</w:t>
            </w:r>
          </w:p>
        </w:tc>
        <w:tc>
          <w:tcPr>
            <w:tcW w:w="1146" w:type="dxa"/>
            <w:tcBorders>
              <w:top w:val="nil"/>
              <w:left w:val="nil"/>
              <w:bottom w:val="nil"/>
              <w:right w:val="single" w:sz="4" w:space="0" w:color="000000"/>
            </w:tcBorders>
            <w:shd w:val="clear" w:color="auto" w:fill="FFFFFF" w:themeFill="background1"/>
            <w:vAlign w:val="center"/>
          </w:tcPr>
          <w:p w14:paraId="784CC4E3"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(5.7, 12.8)</w:t>
            </w:r>
          </w:p>
        </w:tc>
        <w:tc>
          <w:tcPr>
            <w:tcW w:w="536" w:type="dxa"/>
            <w:tcBorders>
              <w:top w:val="nil"/>
              <w:left w:val="single" w:sz="4" w:space="0" w:color="000000"/>
              <w:bottom w:val="nil"/>
              <w:right w:val="nil"/>
            </w:tcBorders>
            <w:shd w:val="clear" w:color="auto" w:fill="FFFFFF" w:themeFill="background1"/>
            <w:vAlign w:val="center"/>
          </w:tcPr>
          <w:p w14:paraId="342A3D8A"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35</w:t>
            </w:r>
          </w:p>
        </w:tc>
        <w:tc>
          <w:tcPr>
            <w:tcW w:w="576" w:type="dxa"/>
            <w:tcBorders>
              <w:top w:val="nil"/>
              <w:left w:val="nil"/>
              <w:bottom w:val="nil"/>
              <w:right w:val="nil"/>
            </w:tcBorders>
            <w:shd w:val="clear" w:color="auto" w:fill="FFFFFF" w:themeFill="background1"/>
            <w:vAlign w:val="center"/>
          </w:tcPr>
          <w:p w14:paraId="5387A163"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11.8</w:t>
            </w:r>
          </w:p>
        </w:tc>
        <w:tc>
          <w:tcPr>
            <w:tcW w:w="1146" w:type="dxa"/>
            <w:tcBorders>
              <w:top w:val="nil"/>
              <w:left w:val="nil"/>
              <w:bottom w:val="nil"/>
              <w:right w:val="nil"/>
            </w:tcBorders>
            <w:shd w:val="clear" w:color="auto" w:fill="FFFFFF" w:themeFill="background1"/>
            <w:vAlign w:val="center"/>
          </w:tcPr>
          <w:p w14:paraId="15472D08"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(6.6, 17.1)</w:t>
            </w:r>
          </w:p>
        </w:tc>
      </w:tr>
      <w:tr w:rsidR="009118DA" w:rsidRPr="00D76D7F" w14:paraId="7D178C0E" w14:textId="77777777" w:rsidTr="00D76D7F">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tcPr>
          <w:p w14:paraId="55500E49" w14:textId="77777777" w:rsidR="007B5A0A" w:rsidRPr="00D76D7F" w:rsidRDefault="007B5A0A" w:rsidP="008C60C5">
            <w:pPr>
              <w:spacing w:before="20" w:after="20"/>
              <w:rPr>
                <w:rFonts w:eastAsiaTheme="minorEastAsia"/>
                <w:b w:val="0"/>
                <w:sz w:val="18"/>
                <w:szCs w:val="18"/>
                <w:lang w:eastAsia="en-US"/>
              </w:rPr>
            </w:pPr>
            <w:r w:rsidRPr="00D76D7F">
              <w:rPr>
                <w:rFonts w:eastAsiaTheme="minorEastAsia"/>
                <w:b w:val="0"/>
                <w:sz w:val="18"/>
                <w:szCs w:val="18"/>
                <w:lang w:eastAsia="en-US"/>
              </w:rPr>
              <w:t>Above median (Score 26 - 32)</w:t>
            </w:r>
          </w:p>
        </w:tc>
        <w:tc>
          <w:tcPr>
            <w:tcW w:w="567" w:type="dxa"/>
            <w:tcBorders>
              <w:top w:val="nil"/>
              <w:left w:val="nil"/>
              <w:bottom w:val="nil"/>
              <w:right w:val="nil"/>
            </w:tcBorders>
            <w:noWrap/>
            <w:vAlign w:val="center"/>
          </w:tcPr>
          <w:p w14:paraId="7B40FC3B"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282</w:t>
            </w:r>
          </w:p>
        </w:tc>
        <w:tc>
          <w:tcPr>
            <w:tcW w:w="567" w:type="dxa"/>
            <w:tcBorders>
              <w:top w:val="nil"/>
              <w:left w:val="nil"/>
              <w:bottom w:val="nil"/>
              <w:right w:val="nil"/>
            </w:tcBorders>
            <w:noWrap/>
            <w:vAlign w:val="center"/>
          </w:tcPr>
          <w:p w14:paraId="07194AFD"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43.3</w:t>
            </w:r>
          </w:p>
        </w:tc>
        <w:tc>
          <w:tcPr>
            <w:tcW w:w="1146" w:type="dxa"/>
            <w:tcBorders>
              <w:top w:val="nil"/>
              <w:left w:val="nil"/>
              <w:bottom w:val="nil"/>
              <w:right w:val="single" w:sz="4" w:space="0" w:color="auto"/>
            </w:tcBorders>
            <w:noWrap/>
            <w:vAlign w:val="center"/>
          </w:tcPr>
          <w:p w14:paraId="705E8095"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(40.1, 46.5)</w:t>
            </w:r>
          </w:p>
        </w:tc>
        <w:tc>
          <w:tcPr>
            <w:tcW w:w="536" w:type="dxa"/>
            <w:tcBorders>
              <w:top w:val="nil"/>
              <w:left w:val="single" w:sz="4" w:space="0" w:color="auto"/>
              <w:bottom w:val="nil"/>
              <w:right w:val="nil"/>
            </w:tcBorders>
            <w:noWrap/>
            <w:vAlign w:val="center"/>
          </w:tcPr>
          <w:p w14:paraId="7477C891"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180</w:t>
            </w:r>
          </w:p>
        </w:tc>
        <w:tc>
          <w:tcPr>
            <w:tcW w:w="621" w:type="dxa"/>
            <w:tcBorders>
              <w:top w:val="nil"/>
              <w:left w:val="nil"/>
              <w:bottom w:val="nil"/>
              <w:right w:val="nil"/>
            </w:tcBorders>
            <w:noWrap/>
            <w:vAlign w:val="center"/>
          </w:tcPr>
          <w:p w14:paraId="32564702"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46.6</w:t>
            </w:r>
          </w:p>
        </w:tc>
        <w:tc>
          <w:tcPr>
            <w:tcW w:w="1146" w:type="dxa"/>
            <w:tcBorders>
              <w:top w:val="nil"/>
              <w:left w:val="nil"/>
              <w:bottom w:val="nil"/>
              <w:right w:val="single" w:sz="4" w:space="0" w:color="000000"/>
            </w:tcBorders>
            <w:shd w:val="clear" w:color="auto" w:fill="FFFFFF" w:themeFill="background1"/>
            <w:noWrap/>
            <w:vAlign w:val="center"/>
          </w:tcPr>
          <w:p w14:paraId="32EED398"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(42.1, 51.1)</w:t>
            </w:r>
          </w:p>
        </w:tc>
        <w:tc>
          <w:tcPr>
            <w:tcW w:w="536" w:type="dxa"/>
            <w:tcBorders>
              <w:top w:val="nil"/>
              <w:left w:val="single" w:sz="4" w:space="0" w:color="000000"/>
              <w:bottom w:val="nil"/>
              <w:right w:val="nil"/>
            </w:tcBorders>
            <w:shd w:val="clear" w:color="auto" w:fill="FFFFFF" w:themeFill="background1"/>
            <w:vAlign w:val="center"/>
          </w:tcPr>
          <w:p w14:paraId="0F384D15"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140</w:t>
            </w:r>
          </w:p>
        </w:tc>
        <w:tc>
          <w:tcPr>
            <w:tcW w:w="567" w:type="dxa"/>
            <w:tcBorders>
              <w:top w:val="nil"/>
              <w:left w:val="nil"/>
              <w:bottom w:val="nil"/>
              <w:right w:val="nil"/>
            </w:tcBorders>
            <w:shd w:val="clear" w:color="auto" w:fill="FFFFFF" w:themeFill="background1"/>
            <w:vAlign w:val="center"/>
          </w:tcPr>
          <w:p w14:paraId="7DF1D074"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42.8</w:t>
            </w:r>
          </w:p>
        </w:tc>
        <w:tc>
          <w:tcPr>
            <w:tcW w:w="1146" w:type="dxa"/>
            <w:tcBorders>
              <w:top w:val="nil"/>
              <w:left w:val="nil"/>
              <w:bottom w:val="nil"/>
              <w:right w:val="single" w:sz="4" w:space="0" w:color="000000"/>
            </w:tcBorders>
            <w:shd w:val="clear" w:color="auto" w:fill="FFFFFF" w:themeFill="background1"/>
            <w:vAlign w:val="center"/>
          </w:tcPr>
          <w:p w14:paraId="40D6EA53"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(36.9, 48.8)</w:t>
            </w:r>
          </w:p>
        </w:tc>
        <w:tc>
          <w:tcPr>
            <w:tcW w:w="536" w:type="dxa"/>
            <w:tcBorders>
              <w:top w:val="nil"/>
              <w:left w:val="single" w:sz="4" w:space="0" w:color="000000"/>
              <w:bottom w:val="nil"/>
              <w:right w:val="nil"/>
            </w:tcBorders>
            <w:shd w:val="clear" w:color="auto" w:fill="FFFFFF" w:themeFill="background1"/>
            <w:vAlign w:val="center"/>
          </w:tcPr>
          <w:p w14:paraId="0FE8597B"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135</w:t>
            </w:r>
          </w:p>
        </w:tc>
        <w:tc>
          <w:tcPr>
            <w:tcW w:w="576" w:type="dxa"/>
            <w:tcBorders>
              <w:top w:val="nil"/>
              <w:left w:val="nil"/>
              <w:bottom w:val="nil"/>
              <w:right w:val="nil"/>
            </w:tcBorders>
            <w:shd w:val="clear" w:color="auto" w:fill="FFFFFF" w:themeFill="background1"/>
            <w:vAlign w:val="center"/>
          </w:tcPr>
          <w:p w14:paraId="5FBD89AA"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46.1</w:t>
            </w:r>
          </w:p>
        </w:tc>
        <w:tc>
          <w:tcPr>
            <w:tcW w:w="1146" w:type="dxa"/>
            <w:tcBorders>
              <w:top w:val="nil"/>
              <w:left w:val="nil"/>
              <w:bottom w:val="nil"/>
              <w:right w:val="nil"/>
            </w:tcBorders>
            <w:shd w:val="clear" w:color="auto" w:fill="FFFFFF" w:themeFill="background1"/>
            <w:vAlign w:val="center"/>
          </w:tcPr>
          <w:p w14:paraId="055731A0"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(39.1, 53.2)</w:t>
            </w:r>
          </w:p>
        </w:tc>
      </w:tr>
      <w:tr w:rsidR="007B5A0A" w:rsidRPr="00D76D7F" w14:paraId="13C7734F" w14:textId="77777777" w:rsidTr="00D76D7F">
        <w:trPr>
          <w:jc w:val="center"/>
        </w:trPr>
        <w:tc>
          <w:tcPr>
            <w:cnfStyle w:val="001000000000" w:firstRow="0" w:lastRow="0" w:firstColumn="1" w:lastColumn="0" w:oddVBand="0" w:evenVBand="0" w:oddHBand="0" w:evenHBand="0" w:firstRowFirstColumn="0" w:firstRowLastColumn="0" w:lastRowFirstColumn="0" w:lastRowLastColumn="0"/>
            <w:tcW w:w="5820" w:type="dxa"/>
            <w:gridSpan w:val="4"/>
            <w:tcBorders>
              <w:top w:val="nil"/>
              <w:left w:val="nil"/>
              <w:bottom w:val="nil"/>
              <w:right w:val="single" w:sz="4" w:space="0" w:color="auto"/>
            </w:tcBorders>
            <w:vAlign w:val="center"/>
          </w:tcPr>
          <w:p w14:paraId="0B64F97D" w14:textId="77777777" w:rsidR="007B5A0A" w:rsidRPr="00D76D7F" w:rsidRDefault="007B5A0A" w:rsidP="008C60C5">
            <w:pPr>
              <w:tabs>
                <w:tab w:val="left" w:pos="176"/>
              </w:tabs>
              <w:spacing w:before="20" w:after="20"/>
              <w:rPr>
                <w:rFonts w:eastAsiaTheme="minorEastAsia"/>
                <w:bCs w:val="0"/>
                <w:sz w:val="18"/>
                <w:szCs w:val="18"/>
                <w:lang w:eastAsia="en-US"/>
              </w:rPr>
            </w:pPr>
            <w:r w:rsidRPr="00D76D7F">
              <w:rPr>
                <w:rFonts w:eastAsiaTheme="minorEastAsia"/>
                <w:sz w:val="18"/>
                <w:szCs w:val="18"/>
                <w:lang w:eastAsia="en-US"/>
              </w:rPr>
              <w:t>Psychological distress (Kessler-10)</w:t>
            </w:r>
          </w:p>
        </w:tc>
        <w:tc>
          <w:tcPr>
            <w:tcW w:w="536" w:type="dxa"/>
            <w:tcBorders>
              <w:top w:val="nil"/>
              <w:left w:val="single" w:sz="4" w:space="0" w:color="auto"/>
              <w:bottom w:val="nil"/>
              <w:right w:val="nil"/>
            </w:tcBorders>
            <w:noWrap/>
            <w:vAlign w:val="center"/>
          </w:tcPr>
          <w:p w14:paraId="3BC3E263" w14:textId="77777777" w:rsidR="007B5A0A" w:rsidRPr="00D76D7F" w:rsidRDefault="007B5A0A" w:rsidP="008C60C5">
            <w:pPr>
              <w:tabs>
                <w:tab w:val="left" w:pos="176"/>
              </w:tabs>
              <w:jc w:val="center"/>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621" w:type="dxa"/>
            <w:tcBorders>
              <w:top w:val="nil"/>
              <w:left w:val="nil"/>
              <w:bottom w:val="nil"/>
              <w:right w:val="nil"/>
            </w:tcBorders>
            <w:noWrap/>
            <w:vAlign w:val="center"/>
          </w:tcPr>
          <w:p w14:paraId="64D0CFB9" w14:textId="77777777" w:rsidR="007B5A0A" w:rsidRPr="00D76D7F" w:rsidRDefault="007B5A0A" w:rsidP="008C60C5">
            <w:pPr>
              <w:tabs>
                <w:tab w:val="left" w:pos="176"/>
              </w:tabs>
              <w:jc w:val="center"/>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1146" w:type="dxa"/>
            <w:tcBorders>
              <w:top w:val="nil"/>
              <w:left w:val="nil"/>
              <w:bottom w:val="nil"/>
              <w:right w:val="single" w:sz="4" w:space="0" w:color="000000"/>
            </w:tcBorders>
            <w:shd w:val="clear" w:color="auto" w:fill="FFFFFF" w:themeFill="background1"/>
            <w:noWrap/>
            <w:vAlign w:val="center"/>
          </w:tcPr>
          <w:p w14:paraId="39BDCB4B" w14:textId="77777777" w:rsidR="007B5A0A" w:rsidRPr="00D76D7F" w:rsidRDefault="007B5A0A" w:rsidP="008C60C5">
            <w:pPr>
              <w:tabs>
                <w:tab w:val="left" w:pos="176"/>
              </w:tabs>
              <w:jc w:val="center"/>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536" w:type="dxa"/>
            <w:tcBorders>
              <w:top w:val="nil"/>
              <w:left w:val="single" w:sz="4" w:space="0" w:color="000000"/>
              <w:bottom w:val="nil"/>
              <w:right w:val="nil"/>
            </w:tcBorders>
            <w:vAlign w:val="bottom"/>
          </w:tcPr>
          <w:p w14:paraId="412CC2FB" w14:textId="77777777" w:rsidR="007B5A0A" w:rsidRPr="00D76D7F" w:rsidRDefault="007B5A0A" w:rsidP="008C60C5">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vAlign w:val="bottom"/>
          </w:tcPr>
          <w:p w14:paraId="6D40DCA4" w14:textId="77777777" w:rsidR="007B5A0A" w:rsidRPr="00D76D7F" w:rsidRDefault="007B5A0A" w:rsidP="008C60C5">
            <w:pPr>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vAlign w:val="bottom"/>
          </w:tcPr>
          <w:p w14:paraId="6C5D6807" w14:textId="77777777" w:rsidR="007B5A0A" w:rsidRPr="00D76D7F" w:rsidRDefault="007B5A0A" w:rsidP="008C60C5">
            <w:pPr>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vAlign w:val="bottom"/>
          </w:tcPr>
          <w:p w14:paraId="566CB679" w14:textId="77777777" w:rsidR="007B5A0A" w:rsidRPr="00D76D7F" w:rsidRDefault="007B5A0A" w:rsidP="008C60C5">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6" w:type="dxa"/>
            <w:tcBorders>
              <w:top w:val="nil"/>
              <w:left w:val="nil"/>
              <w:bottom w:val="nil"/>
              <w:right w:val="nil"/>
            </w:tcBorders>
            <w:vAlign w:val="bottom"/>
          </w:tcPr>
          <w:p w14:paraId="23A12962" w14:textId="77777777" w:rsidR="007B5A0A" w:rsidRPr="00D76D7F" w:rsidRDefault="007B5A0A" w:rsidP="008C60C5">
            <w:pPr>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vAlign w:val="bottom"/>
          </w:tcPr>
          <w:p w14:paraId="78BD5DE1" w14:textId="77777777" w:rsidR="007B5A0A" w:rsidRPr="00D76D7F" w:rsidRDefault="007B5A0A" w:rsidP="008C60C5">
            <w:pPr>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D76D7F" w14:paraId="55361750" w14:textId="77777777" w:rsidTr="00152900">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vAlign w:val="bottom"/>
          </w:tcPr>
          <w:p w14:paraId="659F46D5" w14:textId="77777777" w:rsidR="00152900" w:rsidRPr="00152900" w:rsidRDefault="00152900" w:rsidP="00152900">
            <w:pPr>
              <w:keepNext/>
              <w:spacing w:before="20"/>
              <w:ind w:left="34"/>
              <w:jc w:val="both"/>
              <w:rPr>
                <w:rFonts w:eastAsiaTheme="minorEastAsia"/>
                <w:b w:val="0"/>
                <w:sz w:val="18"/>
                <w:szCs w:val="18"/>
                <w:lang w:eastAsia="en-US"/>
              </w:rPr>
            </w:pPr>
            <w:r w:rsidRPr="00152900">
              <w:rPr>
                <w:rFonts w:eastAsiaTheme="minorEastAsia"/>
                <w:b w:val="0"/>
                <w:sz w:val="18"/>
                <w:szCs w:val="18"/>
                <w:lang w:eastAsia="en-US"/>
              </w:rPr>
              <w:t>Low (Score 0 - 5)</w:t>
            </w:r>
          </w:p>
        </w:tc>
        <w:tc>
          <w:tcPr>
            <w:tcW w:w="567" w:type="dxa"/>
            <w:tcBorders>
              <w:top w:val="nil"/>
              <w:left w:val="nil"/>
              <w:bottom w:val="nil"/>
              <w:right w:val="nil"/>
            </w:tcBorders>
            <w:noWrap/>
            <w:vAlign w:val="center"/>
          </w:tcPr>
          <w:p w14:paraId="2A6D4EDE"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440</w:t>
            </w:r>
          </w:p>
        </w:tc>
        <w:tc>
          <w:tcPr>
            <w:tcW w:w="567" w:type="dxa"/>
            <w:tcBorders>
              <w:top w:val="nil"/>
              <w:left w:val="nil"/>
              <w:bottom w:val="nil"/>
              <w:right w:val="nil"/>
            </w:tcBorders>
            <w:noWrap/>
            <w:vAlign w:val="center"/>
          </w:tcPr>
          <w:p w14:paraId="3E776D4B"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67.7</w:t>
            </w:r>
          </w:p>
        </w:tc>
        <w:tc>
          <w:tcPr>
            <w:tcW w:w="1146" w:type="dxa"/>
            <w:tcBorders>
              <w:top w:val="nil"/>
              <w:left w:val="nil"/>
              <w:bottom w:val="nil"/>
              <w:right w:val="single" w:sz="4" w:space="0" w:color="auto"/>
            </w:tcBorders>
            <w:noWrap/>
            <w:vAlign w:val="center"/>
          </w:tcPr>
          <w:p w14:paraId="06A8BD80"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(64.7, 70.6)</w:t>
            </w:r>
          </w:p>
        </w:tc>
        <w:tc>
          <w:tcPr>
            <w:tcW w:w="536" w:type="dxa"/>
            <w:tcBorders>
              <w:top w:val="nil"/>
              <w:left w:val="single" w:sz="4" w:space="0" w:color="auto"/>
              <w:bottom w:val="nil"/>
              <w:right w:val="nil"/>
            </w:tcBorders>
            <w:noWrap/>
            <w:vAlign w:val="center"/>
          </w:tcPr>
          <w:p w14:paraId="127A9685"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275</w:t>
            </w:r>
          </w:p>
        </w:tc>
        <w:tc>
          <w:tcPr>
            <w:tcW w:w="621" w:type="dxa"/>
            <w:tcBorders>
              <w:top w:val="nil"/>
              <w:left w:val="nil"/>
              <w:bottom w:val="nil"/>
              <w:right w:val="nil"/>
            </w:tcBorders>
            <w:noWrap/>
            <w:vAlign w:val="center"/>
          </w:tcPr>
          <w:p w14:paraId="03ED1694"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71.0</w:t>
            </w:r>
          </w:p>
        </w:tc>
        <w:tc>
          <w:tcPr>
            <w:tcW w:w="1146" w:type="dxa"/>
            <w:tcBorders>
              <w:top w:val="nil"/>
              <w:left w:val="nil"/>
              <w:bottom w:val="nil"/>
              <w:right w:val="single" w:sz="4" w:space="0" w:color="000000"/>
            </w:tcBorders>
            <w:shd w:val="clear" w:color="auto" w:fill="FFFFFF" w:themeFill="background1"/>
            <w:noWrap/>
            <w:vAlign w:val="center"/>
          </w:tcPr>
          <w:p w14:paraId="3987F053"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(66.9, 75.0)</w:t>
            </w:r>
          </w:p>
        </w:tc>
        <w:tc>
          <w:tcPr>
            <w:tcW w:w="536" w:type="dxa"/>
            <w:tcBorders>
              <w:top w:val="nil"/>
              <w:left w:val="single" w:sz="4" w:space="0" w:color="000000"/>
              <w:bottom w:val="nil"/>
              <w:right w:val="nil"/>
            </w:tcBorders>
            <w:shd w:val="clear" w:color="auto" w:fill="FFFFFF" w:themeFill="background1"/>
            <w:vAlign w:val="center"/>
          </w:tcPr>
          <w:p w14:paraId="2F1B81B6"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217</w:t>
            </w:r>
          </w:p>
        </w:tc>
        <w:tc>
          <w:tcPr>
            <w:tcW w:w="567" w:type="dxa"/>
            <w:tcBorders>
              <w:top w:val="nil"/>
              <w:left w:val="nil"/>
              <w:bottom w:val="nil"/>
              <w:right w:val="nil"/>
            </w:tcBorders>
            <w:shd w:val="clear" w:color="auto" w:fill="FFFFFF" w:themeFill="background1"/>
            <w:vAlign w:val="center"/>
          </w:tcPr>
          <w:p w14:paraId="4D4BE9A0"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66.3</w:t>
            </w:r>
          </w:p>
        </w:tc>
        <w:tc>
          <w:tcPr>
            <w:tcW w:w="1146" w:type="dxa"/>
            <w:tcBorders>
              <w:top w:val="nil"/>
              <w:left w:val="nil"/>
              <w:bottom w:val="nil"/>
              <w:right w:val="single" w:sz="4" w:space="0" w:color="000000"/>
            </w:tcBorders>
            <w:shd w:val="clear" w:color="auto" w:fill="FFFFFF" w:themeFill="background1"/>
            <w:vAlign w:val="center"/>
          </w:tcPr>
          <w:p w14:paraId="744E760A"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(60.8, 71.9)</w:t>
            </w:r>
          </w:p>
        </w:tc>
        <w:tc>
          <w:tcPr>
            <w:tcW w:w="536" w:type="dxa"/>
            <w:tcBorders>
              <w:top w:val="nil"/>
              <w:left w:val="single" w:sz="4" w:space="0" w:color="000000"/>
              <w:bottom w:val="nil"/>
              <w:right w:val="nil"/>
            </w:tcBorders>
            <w:shd w:val="clear" w:color="auto" w:fill="FFFFFF" w:themeFill="background1"/>
            <w:vAlign w:val="center"/>
          </w:tcPr>
          <w:p w14:paraId="01135273"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205</w:t>
            </w:r>
          </w:p>
        </w:tc>
        <w:tc>
          <w:tcPr>
            <w:tcW w:w="576" w:type="dxa"/>
            <w:tcBorders>
              <w:top w:val="nil"/>
              <w:left w:val="nil"/>
              <w:bottom w:val="nil"/>
              <w:right w:val="nil"/>
            </w:tcBorders>
            <w:shd w:val="clear" w:color="auto" w:fill="FFFFFF" w:themeFill="background1"/>
            <w:vAlign w:val="center"/>
          </w:tcPr>
          <w:p w14:paraId="5D4EC025"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70.0</w:t>
            </w:r>
          </w:p>
        </w:tc>
        <w:tc>
          <w:tcPr>
            <w:tcW w:w="1146" w:type="dxa"/>
            <w:tcBorders>
              <w:top w:val="nil"/>
              <w:left w:val="nil"/>
              <w:bottom w:val="nil"/>
              <w:right w:val="nil"/>
            </w:tcBorders>
            <w:shd w:val="clear" w:color="auto" w:fill="FFFFFF" w:themeFill="background1"/>
            <w:vAlign w:val="center"/>
          </w:tcPr>
          <w:p w14:paraId="312E3864"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(63.9, 76.1)</w:t>
            </w:r>
          </w:p>
        </w:tc>
      </w:tr>
      <w:tr w:rsidR="009118DA" w:rsidRPr="00D76D7F" w14:paraId="35442933" w14:textId="77777777" w:rsidTr="00152900">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vAlign w:val="bottom"/>
          </w:tcPr>
          <w:p w14:paraId="172940BD" w14:textId="77777777" w:rsidR="00152900" w:rsidRPr="00152900" w:rsidRDefault="00152900" w:rsidP="00152900">
            <w:pPr>
              <w:keepNext/>
              <w:spacing w:before="20"/>
              <w:ind w:left="34"/>
              <w:jc w:val="both"/>
              <w:rPr>
                <w:rFonts w:eastAsiaTheme="minorEastAsia"/>
                <w:b w:val="0"/>
                <w:sz w:val="18"/>
                <w:szCs w:val="18"/>
                <w:lang w:eastAsia="en-US"/>
              </w:rPr>
            </w:pPr>
            <w:r w:rsidRPr="00152900">
              <w:rPr>
                <w:rFonts w:eastAsiaTheme="minorEastAsia"/>
                <w:b w:val="0"/>
                <w:sz w:val="18"/>
                <w:szCs w:val="18"/>
                <w:lang w:eastAsia="en-US"/>
              </w:rPr>
              <w:t>Moderate (Score 6 - 11)</w:t>
            </w:r>
          </w:p>
        </w:tc>
        <w:tc>
          <w:tcPr>
            <w:tcW w:w="567" w:type="dxa"/>
            <w:tcBorders>
              <w:top w:val="nil"/>
              <w:left w:val="nil"/>
              <w:bottom w:val="nil"/>
              <w:right w:val="nil"/>
            </w:tcBorders>
            <w:noWrap/>
            <w:vAlign w:val="center"/>
          </w:tcPr>
          <w:p w14:paraId="24A562FC"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128</w:t>
            </w:r>
          </w:p>
        </w:tc>
        <w:tc>
          <w:tcPr>
            <w:tcW w:w="567" w:type="dxa"/>
            <w:tcBorders>
              <w:top w:val="nil"/>
              <w:left w:val="nil"/>
              <w:bottom w:val="nil"/>
              <w:right w:val="nil"/>
            </w:tcBorders>
            <w:noWrap/>
            <w:vAlign w:val="center"/>
          </w:tcPr>
          <w:p w14:paraId="77D32C98"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19.7</w:t>
            </w:r>
          </w:p>
        </w:tc>
        <w:tc>
          <w:tcPr>
            <w:tcW w:w="1146" w:type="dxa"/>
            <w:tcBorders>
              <w:top w:val="nil"/>
              <w:left w:val="nil"/>
              <w:bottom w:val="nil"/>
              <w:right w:val="single" w:sz="4" w:space="0" w:color="auto"/>
            </w:tcBorders>
            <w:noWrap/>
            <w:vAlign w:val="center"/>
          </w:tcPr>
          <w:p w14:paraId="7B62B542"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(17.2, 22.2)</w:t>
            </w:r>
          </w:p>
        </w:tc>
        <w:tc>
          <w:tcPr>
            <w:tcW w:w="536" w:type="dxa"/>
            <w:tcBorders>
              <w:top w:val="nil"/>
              <w:left w:val="single" w:sz="4" w:space="0" w:color="auto"/>
              <w:bottom w:val="nil"/>
              <w:right w:val="nil"/>
            </w:tcBorders>
            <w:noWrap/>
            <w:vAlign w:val="center"/>
          </w:tcPr>
          <w:p w14:paraId="14D09080"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70</w:t>
            </w:r>
          </w:p>
        </w:tc>
        <w:tc>
          <w:tcPr>
            <w:tcW w:w="621" w:type="dxa"/>
            <w:tcBorders>
              <w:top w:val="nil"/>
              <w:left w:val="nil"/>
              <w:bottom w:val="nil"/>
              <w:right w:val="nil"/>
            </w:tcBorders>
            <w:noWrap/>
            <w:vAlign w:val="center"/>
          </w:tcPr>
          <w:p w14:paraId="20444B27"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18.0</w:t>
            </w:r>
          </w:p>
        </w:tc>
        <w:tc>
          <w:tcPr>
            <w:tcW w:w="1146" w:type="dxa"/>
            <w:tcBorders>
              <w:top w:val="nil"/>
              <w:left w:val="nil"/>
              <w:bottom w:val="nil"/>
              <w:right w:val="single" w:sz="4" w:space="0" w:color="000000"/>
            </w:tcBorders>
            <w:shd w:val="clear" w:color="auto" w:fill="FFFFFF" w:themeFill="background1"/>
            <w:noWrap/>
            <w:vAlign w:val="center"/>
          </w:tcPr>
          <w:p w14:paraId="7703EA09"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(14.4, 21.6)</w:t>
            </w:r>
          </w:p>
        </w:tc>
        <w:tc>
          <w:tcPr>
            <w:tcW w:w="536" w:type="dxa"/>
            <w:tcBorders>
              <w:top w:val="nil"/>
              <w:left w:val="single" w:sz="4" w:space="0" w:color="000000"/>
              <w:bottom w:val="nil"/>
              <w:right w:val="nil"/>
            </w:tcBorders>
            <w:shd w:val="clear" w:color="auto" w:fill="FFFFFF" w:themeFill="background1"/>
            <w:vAlign w:val="center"/>
          </w:tcPr>
          <w:p w14:paraId="6C36576C"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67</w:t>
            </w:r>
          </w:p>
        </w:tc>
        <w:tc>
          <w:tcPr>
            <w:tcW w:w="567" w:type="dxa"/>
            <w:tcBorders>
              <w:top w:val="nil"/>
              <w:left w:val="nil"/>
              <w:bottom w:val="nil"/>
              <w:right w:val="nil"/>
            </w:tcBorders>
            <w:shd w:val="clear" w:color="auto" w:fill="FFFFFF" w:themeFill="background1"/>
            <w:vAlign w:val="center"/>
          </w:tcPr>
          <w:p w14:paraId="7BC4C9AF"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20.6</w:t>
            </w:r>
          </w:p>
        </w:tc>
        <w:tc>
          <w:tcPr>
            <w:tcW w:w="1146" w:type="dxa"/>
            <w:tcBorders>
              <w:top w:val="nil"/>
              <w:left w:val="nil"/>
              <w:bottom w:val="nil"/>
              <w:right w:val="single" w:sz="4" w:space="0" w:color="000000"/>
            </w:tcBorders>
            <w:shd w:val="clear" w:color="auto" w:fill="FFFFFF" w:themeFill="background1"/>
            <w:vAlign w:val="center"/>
          </w:tcPr>
          <w:p w14:paraId="477A3DBA"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(15.8, 25.5)</w:t>
            </w:r>
          </w:p>
        </w:tc>
        <w:tc>
          <w:tcPr>
            <w:tcW w:w="536" w:type="dxa"/>
            <w:tcBorders>
              <w:top w:val="nil"/>
              <w:left w:val="single" w:sz="4" w:space="0" w:color="000000"/>
              <w:bottom w:val="nil"/>
              <w:right w:val="nil"/>
            </w:tcBorders>
            <w:shd w:val="clear" w:color="auto" w:fill="FFFFFF" w:themeFill="background1"/>
            <w:vAlign w:val="center"/>
          </w:tcPr>
          <w:p w14:paraId="379EEBDA"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59</w:t>
            </w:r>
          </w:p>
        </w:tc>
        <w:tc>
          <w:tcPr>
            <w:tcW w:w="576" w:type="dxa"/>
            <w:tcBorders>
              <w:top w:val="nil"/>
              <w:left w:val="nil"/>
              <w:bottom w:val="nil"/>
              <w:right w:val="nil"/>
            </w:tcBorders>
            <w:shd w:val="clear" w:color="auto" w:fill="FFFFFF" w:themeFill="background1"/>
            <w:vAlign w:val="center"/>
          </w:tcPr>
          <w:p w14:paraId="66CAD785"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20.3</w:t>
            </w:r>
          </w:p>
        </w:tc>
        <w:tc>
          <w:tcPr>
            <w:tcW w:w="1146" w:type="dxa"/>
            <w:tcBorders>
              <w:top w:val="nil"/>
              <w:left w:val="nil"/>
              <w:bottom w:val="nil"/>
              <w:right w:val="nil"/>
            </w:tcBorders>
            <w:shd w:val="clear" w:color="auto" w:fill="FFFFFF" w:themeFill="background1"/>
            <w:vAlign w:val="center"/>
          </w:tcPr>
          <w:p w14:paraId="0EBAF48B"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(14.6, 26.0)</w:t>
            </w:r>
          </w:p>
        </w:tc>
      </w:tr>
      <w:tr w:rsidR="009118DA" w:rsidRPr="00D76D7F" w14:paraId="7ACEF8AA" w14:textId="77777777" w:rsidTr="00152900">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vAlign w:val="bottom"/>
          </w:tcPr>
          <w:p w14:paraId="12ED65EB" w14:textId="77777777" w:rsidR="00152900" w:rsidRPr="00152900" w:rsidRDefault="00152900" w:rsidP="00152900">
            <w:pPr>
              <w:keepNext/>
              <w:spacing w:before="20"/>
              <w:ind w:left="34"/>
              <w:jc w:val="both"/>
              <w:rPr>
                <w:rFonts w:eastAsiaTheme="minorEastAsia"/>
                <w:b w:val="0"/>
                <w:sz w:val="18"/>
                <w:szCs w:val="18"/>
                <w:lang w:eastAsia="en-US"/>
              </w:rPr>
            </w:pPr>
            <w:r w:rsidRPr="00152900">
              <w:rPr>
                <w:rFonts w:eastAsiaTheme="minorEastAsia"/>
                <w:b w:val="0"/>
                <w:sz w:val="18"/>
                <w:szCs w:val="18"/>
                <w:lang w:eastAsia="en-US"/>
              </w:rPr>
              <w:t>High (Score 12 - 19)</w:t>
            </w:r>
          </w:p>
        </w:tc>
        <w:tc>
          <w:tcPr>
            <w:tcW w:w="567" w:type="dxa"/>
            <w:tcBorders>
              <w:top w:val="nil"/>
              <w:left w:val="nil"/>
              <w:bottom w:val="nil"/>
              <w:right w:val="nil"/>
            </w:tcBorders>
            <w:noWrap/>
            <w:vAlign w:val="center"/>
          </w:tcPr>
          <w:p w14:paraId="386B9A6D"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57</w:t>
            </w:r>
          </w:p>
        </w:tc>
        <w:tc>
          <w:tcPr>
            <w:tcW w:w="567" w:type="dxa"/>
            <w:tcBorders>
              <w:top w:val="nil"/>
              <w:left w:val="nil"/>
              <w:bottom w:val="nil"/>
              <w:right w:val="nil"/>
            </w:tcBorders>
            <w:noWrap/>
            <w:vAlign w:val="center"/>
          </w:tcPr>
          <w:p w14:paraId="131007F7"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8.7</w:t>
            </w:r>
          </w:p>
        </w:tc>
        <w:tc>
          <w:tcPr>
            <w:tcW w:w="1146" w:type="dxa"/>
            <w:tcBorders>
              <w:top w:val="nil"/>
              <w:left w:val="nil"/>
              <w:bottom w:val="nil"/>
              <w:right w:val="single" w:sz="4" w:space="0" w:color="auto"/>
            </w:tcBorders>
            <w:noWrap/>
            <w:vAlign w:val="center"/>
          </w:tcPr>
          <w:p w14:paraId="690E4354"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(6.9, 10.5)</w:t>
            </w:r>
          </w:p>
        </w:tc>
        <w:tc>
          <w:tcPr>
            <w:tcW w:w="536" w:type="dxa"/>
            <w:tcBorders>
              <w:top w:val="nil"/>
              <w:left w:val="single" w:sz="4" w:space="0" w:color="auto"/>
              <w:bottom w:val="nil"/>
              <w:right w:val="nil"/>
            </w:tcBorders>
            <w:noWrap/>
            <w:vAlign w:val="center"/>
          </w:tcPr>
          <w:p w14:paraId="6339DAFC"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31</w:t>
            </w:r>
          </w:p>
        </w:tc>
        <w:tc>
          <w:tcPr>
            <w:tcW w:w="621" w:type="dxa"/>
            <w:tcBorders>
              <w:top w:val="nil"/>
              <w:left w:val="nil"/>
              <w:bottom w:val="nil"/>
              <w:right w:val="nil"/>
            </w:tcBorders>
            <w:noWrap/>
            <w:vAlign w:val="center"/>
          </w:tcPr>
          <w:p w14:paraId="3D92DDD9"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8.0</w:t>
            </w:r>
          </w:p>
        </w:tc>
        <w:tc>
          <w:tcPr>
            <w:tcW w:w="1146" w:type="dxa"/>
            <w:tcBorders>
              <w:top w:val="nil"/>
              <w:left w:val="nil"/>
              <w:bottom w:val="nil"/>
              <w:right w:val="single" w:sz="4" w:space="0" w:color="000000"/>
            </w:tcBorders>
            <w:shd w:val="clear" w:color="auto" w:fill="FFFFFF" w:themeFill="background1"/>
            <w:noWrap/>
            <w:vAlign w:val="center"/>
          </w:tcPr>
          <w:p w14:paraId="4655A1AD"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(5.8, 10.3)</w:t>
            </w:r>
          </w:p>
        </w:tc>
        <w:tc>
          <w:tcPr>
            <w:tcW w:w="536" w:type="dxa"/>
            <w:tcBorders>
              <w:top w:val="nil"/>
              <w:left w:val="single" w:sz="4" w:space="0" w:color="000000"/>
              <w:bottom w:val="nil"/>
              <w:right w:val="nil"/>
            </w:tcBorders>
            <w:shd w:val="clear" w:color="auto" w:fill="FFFFFF" w:themeFill="background1"/>
            <w:vAlign w:val="center"/>
          </w:tcPr>
          <w:p w14:paraId="5E284D80"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28</w:t>
            </w:r>
          </w:p>
        </w:tc>
        <w:tc>
          <w:tcPr>
            <w:tcW w:w="567" w:type="dxa"/>
            <w:tcBorders>
              <w:top w:val="nil"/>
              <w:left w:val="nil"/>
              <w:bottom w:val="nil"/>
              <w:right w:val="nil"/>
            </w:tcBorders>
            <w:shd w:val="clear" w:color="auto" w:fill="FFFFFF" w:themeFill="background1"/>
            <w:vAlign w:val="center"/>
          </w:tcPr>
          <w:p w14:paraId="4B3217AB"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8.5</w:t>
            </w:r>
          </w:p>
        </w:tc>
        <w:tc>
          <w:tcPr>
            <w:tcW w:w="1146" w:type="dxa"/>
            <w:tcBorders>
              <w:top w:val="nil"/>
              <w:left w:val="nil"/>
              <w:bottom w:val="nil"/>
              <w:right w:val="single" w:sz="4" w:space="0" w:color="000000"/>
            </w:tcBorders>
            <w:shd w:val="clear" w:color="auto" w:fill="FFFFFF" w:themeFill="background1"/>
            <w:vAlign w:val="center"/>
          </w:tcPr>
          <w:p w14:paraId="5BC2D1BD"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(5.8, 11.2)</w:t>
            </w:r>
          </w:p>
        </w:tc>
        <w:tc>
          <w:tcPr>
            <w:tcW w:w="536" w:type="dxa"/>
            <w:tcBorders>
              <w:top w:val="nil"/>
              <w:left w:val="single" w:sz="4" w:space="0" w:color="000000"/>
              <w:bottom w:val="nil"/>
              <w:right w:val="nil"/>
            </w:tcBorders>
            <w:shd w:val="clear" w:color="auto" w:fill="FFFFFF" w:themeFill="background1"/>
            <w:vAlign w:val="center"/>
          </w:tcPr>
          <w:p w14:paraId="5BF51899"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w:t>
            </w:r>
          </w:p>
        </w:tc>
        <w:tc>
          <w:tcPr>
            <w:tcW w:w="576" w:type="dxa"/>
            <w:tcBorders>
              <w:top w:val="nil"/>
              <w:left w:val="nil"/>
              <w:bottom w:val="nil"/>
              <w:right w:val="nil"/>
            </w:tcBorders>
            <w:shd w:val="clear" w:color="auto" w:fill="FFFFFF" w:themeFill="background1"/>
            <w:vAlign w:val="center"/>
          </w:tcPr>
          <w:p w14:paraId="64BD96B9"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7.4</w:t>
            </w:r>
          </w:p>
        </w:tc>
        <w:tc>
          <w:tcPr>
            <w:tcW w:w="1146" w:type="dxa"/>
            <w:tcBorders>
              <w:top w:val="nil"/>
              <w:left w:val="nil"/>
              <w:bottom w:val="nil"/>
              <w:right w:val="nil"/>
            </w:tcBorders>
            <w:shd w:val="clear" w:color="auto" w:fill="FFFFFF" w:themeFill="background1"/>
            <w:vAlign w:val="center"/>
          </w:tcPr>
          <w:p w14:paraId="584C1BAF"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(4.6, 10.2)</w:t>
            </w:r>
          </w:p>
        </w:tc>
      </w:tr>
      <w:tr w:rsidR="009118DA" w:rsidRPr="00D76D7F" w14:paraId="74ACEE59" w14:textId="77777777" w:rsidTr="00152900">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vAlign w:val="bottom"/>
          </w:tcPr>
          <w:p w14:paraId="712687C4" w14:textId="77777777" w:rsidR="00152900" w:rsidRPr="00152900" w:rsidRDefault="00152900" w:rsidP="00152900">
            <w:pPr>
              <w:spacing w:before="20"/>
              <w:ind w:left="34"/>
              <w:jc w:val="both"/>
              <w:rPr>
                <w:rFonts w:eastAsiaTheme="minorEastAsia"/>
                <w:b w:val="0"/>
                <w:sz w:val="18"/>
                <w:szCs w:val="18"/>
                <w:lang w:eastAsia="en-US"/>
              </w:rPr>
            </w:pPr>
            <w:r w:rsidRPr="00152900">
              <w:rPr>
                <w:rFonts w:eastAsiaTheme="minorEastAsia"/>
                <w:b w:val="0"/>
                <w:sz w:val="18"/>
                <w:szCs w:val="18"/>
                <w:lang w:eastAsia="en-US"/>
              </w:rPr>
              <w:t>Severe (Score 20 - 40)</w:t>
            </w:r>
          </w:p>
        </w:tc>
        <w:tc>
          <w:tcPr>
            <w:tcW w:w="567" w:type="dxa"/>
            <w:tcBorders>
              <w:top w:val="nil"/>
              <w:left w:val="nil"/>
              <w:bottom w:val="nil"/>
              <w:right w:val="nil"/>
            </w:tcBorders>
            <w:noWrap/>
            <w:vAlign w:val="center"/>
          </w:tcPr>
          <w:p w14:paraId="6E336DB3"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26</w:t>
            </w:r>
          </w:p>
        </w:tc>
        <w:tc>
          <w:tcPr>
            <w:tcW w:w="567" w:type="dxa"/>
            <w:tcBorders>
              <w:top w:val="nil"/>
              <w:left w:val="nil"/>
              <w:bottom w:val="nil"/>
              <w:right w:val="nil"/>
            </w:tcBorders>
            <w:noWrap/>
            <w:vAlign w:val="center"/>
          </w:tcPr>
          <w:p w14:paraId="460463D6"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3.9</w:t>
            </w:r>
          </w:p>
        </w:tc>
        <w:tc>
          <w:tcPr>
            <w:tcW w:w="1146" w:type="dxa"/>
            <w:tcBorders>
              <w:top w:val="nil"/>
              <w:left w:val="nil"/>
              <w:bottom w:val="nil"/>
              <w:right w:val="single" w:sz="4" w:space="0" w:color="auto"/>
            </w:tcBorders>
            <w:noWrap/>
            <w:vAlign w:val="center"/>
          </w:tcPr>
          <w:p w14:paraId="3176F3AB"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(2.7, 5.1)</w:t>
            </w:r>
          </w:p>
        </w:tc>
        <w:tc>
          <w:tcPr>
            <w:tcW w:w="536" w:type="dxa"/>
            <w:tcBorders>
              <w:top w:val="nil"/>
              <w:left w:val="single" w:sz="4" w:space="0" w:color="auto"/>
              <w:bottom w:val="nil"/>
              <w:right w:val="nil"/>
            </w:tcBorders>
            <w:noWrap/>
            <w:vAlign w:val="center"/>
          </w:tcPr>
          <w:p w14:paraId="3B6EA251"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w:t>
            </w:r>
          </w:p>
        </w:tc>
        <w:tc>
          <w:tcPr>
            <w:tcW w:w="621" w:type="dxa"/>
            <w:tcBorders>
              <w:top w:val="nil"/>
              <w:left w:val="nil"/>
              <w:bottom w:val="nil"/>
              <w:right w:val="nil"/>
            </w:tcBorders>
            <w:noWrap/>
            <w:vAlign w:val="center"/>
          </w:tcPr>
          <w:p w14:paraId="1E55C3F0"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w:t>
            </w:r>
          </w:p>
        </w:tc>
        <w:tc>
          <w:tcPr>
            <w:tcW w:w="1146" w:type="dxa"/>
            <w:tcBorders>
              <w:top w:val="nil"/>
              <w:left w:val="nil"/>
              <w:bottom w:val="nil"/>
              <w:right w:val="single" w:sz="4" w:space="0" w:color="000000"/>
            </w:tcBorders>
            <w:shd w:val="clear" w:color="auto" w:fill="FFFFFF" w:themeFill="background1"/>
            <w:noWrap/>
            <w:vAlign w:val="center"/>
          </w:tcPr>
          <w:p w14:paraId="5B4A7EBD"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(1.6, 4.3)</w:t>
            </w:r>
          </w:p>
        </w:tc>
        <w:tc>
          <w:tcPr>
            <w:tcW w:w="536" w:type="dxa"/>
            <w:tcBorders>
              <w:top w:val="nil"/>
              <w:left w:val="single" w:sz="4" w:space="0" w:color="000000"/>
              <w:bottom w:val="nil"/>
              <w:right w:val="nil"/>
            </w:tcBorders>
            <w:shd w:val="clear" w:color="auto" w:fill="FFFFFF" w:themeFill="background1"/>
            <w:vAlign w:val="center"/>
          </w:tcPr>
          <w:p w14:paraId="53ED0D79"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w:t>
            </w:r>
          </w:p>
        </w:tc>
        <w:tc>
          <w:tcPr>
            <w:tcW w:w="567" w:type="dxa"/>
            <w:tcBorders>
              <w:top w:val="nil"/>
              <w:left w:val="nil"/>
              <w:bottom w:val="nil"/>
              <w:right w:val="nil"/>
            </w:tcBorders>
            <w:shd w:val="clear" w:color="auto" w:fill="FFFFFF" w:themeFill="background1"/>
            <w:vAlign w:val="center"/>
          </w:tcPr>
          <w:p w14:paraId="482ABB9D"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4.5</w:t>
            </w:r>
          </w:p>
        </w:tc>
        <w:tc>
          <w:tcPr>
            <w:tcW w:w="1146" w:type="dxa"/>
            <w:tcBorders>
              <w:top w:val="nil"/>
              <w:left w:val="nil"/>
              <w:bottom w:val="nil"/>
              <w:right w:val="single" w:sz="4" w:space="0" w:color="000000"/>
            </w:tcBorders>
            <w:shd w:val="clear" w:color="auto" w:fill="FFFFFF" w:themeFill="background1"/>
            <w:vAlign w:val="center"/>
          </w:tcPr>
          <w:p w14:paraId="2A6C5C04"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(1.6, 7.5)</w:t>
            </w:r>
          </w:p>
        </w:tc>
        <w:tc>
          <w:tcPr>
            <w:tcW w:w="536" w:type="dxa"/>
            <w:tcBorders>
              <w:top w:val="nil"/>
              <w:left w:val="single" w:sz="4" w:space="0" w:color="000000"/>
              <w:bottom w:val="nil"/>
              <w:right w:val="nil"/>
            </w:tcBorders>
            <w:shd w:val="clear" w:color="auto" w:fill="FFFFFF" w:themeFill="background1"/>
            <w:vAlign w:val="center"/>
          </w:tcPr>
          <w:p w14:paraId="1A12C119"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w:t>
            </w:r>
          </w:p>
        </w:tc>
        <w:tc>
          <w:tcPr>
            <w:tcW w:w="576" w:type="dxa"/>
            <w:tcBorders>
              <w:top w:val="nil"/>
              <w:left w:val="nil"/>
              <w:bottom w:val="nil"/>
              <w:right w:val="nil"/>
            </w:tcBorders>
            <w:shd w:val="clear" w:color="auto" w:fill="FFFFFF" w:themeFill="background1"/>
            <w:vAlign w:val="center"/>
          </w:tcPr>
          <w:p w14:paraId="5C86A609"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2.3</w:t>
            </w:r>
          </w:p>
        </w:tc>
        <w:tc>
          <w:tcPr>
            <w:tcW w:w="1146" w:type="dxa"/>
            <w:tcBorders>
              <w:top w:val="nil"/>
              <w:left w:val="nil"/>
              <w:bottom w:val="nil"/>
              <w:right w:val="nil"/>
            </w:tcBorders>
            <w:shd w:val="clear" w:color="auto" w:fill="FFFFFF" w:themeFill="background1"/>
            <w:vAlign w:val="center"/>
          </w:tcPr>
          <w:p w14:paraId="349C8BD3"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(0.9, 3.7)</w:t>
            </w:r>
          </w:p>
        </w:tc>
      </w:tr>
      <w:tr w:rsidR="009118DA" w:rsidRPr="00D76D7F" w14:paraId="6047BC05" w14:textId="77777777" w:rsidTr="00D76D7F">
        <w:trPr>
          <w:jc w:val="center"/>
        </w:trPr>
        <w:tc>
          <w:tcPr>
            <w:cnfStyle w:val="001000000000" w:firstRow="0" w:lastRow="0" w:firstColumn="1" w:lastColumn="0" w:oddVBand="0" w:evenVBand="0" w:oddHBand="0" w:evenHBand="0" w:firstRowFirstColumn="0" w:firstRowLastColumn="0" w:lastRowFirstColumn="0" w:lastRowLastColumn="0"/>
            <w:tcW w:w="5820" w:type="dxa"/>
            <w:gridSpan w:val="4"/>
            <w:tcBorders>
              <w:top w:val="nil"/>
              <w:left w:val="nil"/>
              <w:bottom w:val="nil"/>
              <w:right w:val="single" w:sz="4" w:space="0" w:color="auto"/>
            </w:tcBorders>
            <w:vAlign w:val="center"/>
          </w:tcPr>
          <w:p w14:paraId="2940BE3A" w14:textId="77777777" w:rsidR="007B5A0A" w:rsidRPr="00D76D7F" w:rsidRDefault="007B5A0A" w:rsidP="008C60C5">
            <w:pPr>
              <w:spacing w:before="20" w:after="20"/>
              <w:rPr>
                <w:rFonts w:eastAsiaTheme="minorEastAsia"/>
                <w:sz w:val="18"/>
                <w:szCs w:val="18"/>
                <w:lang w:eastAsia="en-US"/>
              </w:rPr>
            </w:pPr>
            <w:r w:rsidRPr="00D76D7F">
              <w:rPr>
                <w:rFonts w:eastAsiaTheme="minorEastAsia"/>
                <w:sz w:val="18"/>
                <w:szCs w:val="18"/>
                <w:lang w:eastAsia="en-US"/>
              </w:rPr>
              <w:t>Hazardous alcohol consumption (AUDIT-C)</w:t>
            </w:r>
          </w:p>
        </w:tc>
        <w:tc>
          <w:tcPr>
            <w:tcW w:w="536" w:type="dxa"/>
            <w:tcBorders>
              <w:top w:val="nil"/>
              <w:left w:val="single" w:sz="4" w:space="0" w:color="auto"/>
              <w:bottom w:val="nil"/>
              <w:right w:val="nil"/>
            </w:tcBorders>
            <w:noWrap/>
            <w:vAlign w:val="center"/>
          </w:tcPr>
          <w:p w14:paraId="33CE6E25" w14:textId="77777777" w:rsidR="007B5A0A" w:rsidRPr="00D76D7F" w:rsidRDefault="007B5A0A" w:rsidP="008C60C5">
            <w:pPr>
              <w:jc w:val="center"/>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nil"/>
              <w:left w:val="nil"/>
              <w:bottom w:val="nil"/>
              <w:right w:val="nil"/>
            </w:tcBorders>
            <w:noWrap/>
            <w:vAlign w:val="center"/>
          </w:tcPr>
          <w:p w14:paraId="11644854" w14:textId="77777777" w:rsidR="007B5A0A" w:rsidRPr="00D76D7F" w:rsidRDefault="007B5A0A" w:rsidP="008C60C5">
            <w:pPr>
              <w:jc w:val="center"/>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FFFFFF" w:themeFill="background1"/>
            <w:noWrap/>
            <w:vAlign w:val="center"/>
          </w:tcPr>
          <w:p w14:paraId="4F376B8C" w14:textId="77777777" w:rsidR="007B5A0A" w:rsidRPr="00D76D7F" w:rsidRDefault="007B5A0A" w:rsidP="008C60C5">
            <w:pPr>
              <w:jc w:val="center"/>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36" w:type="dxa"/>
            <w:tcBorders>
              <w:top w:val="nil"/>
              <w:left w:val="single" w:sz="4" w:space="0" w:color="000000"/>
              <w:bottom w:val="nil"/>
              <w:right w:val="nil"/>
            </w:tcBorders>
            <w:shd w:val="clear" w:color="auto" w:fill="FFFFFF" w:themeFill="background1"/>
            <w:vAlign w:val="bottom"/>
          </w:tcPr>
          <w:p w14:paraId="1C25BA12" w14:textId="77777777" w:rsidR="007B5A0A" w:rsidRPr="00D76D7F" w:rsidRDefault="007B5A0A" w:rsidP="008C60C5">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shd w:val="clear" w:color="auto" w:fill="FFFFFF" w:themeFill="background1"/>
            <w:vAlign w:val="bottom"/>
          </w:tcPr>
          <w:p w14:paraId="6E6000B4" w14:textId="77777777" w:rsidR="007B5A0A" w:rsidRPr="00D76D7F" w:rsidRDefault="007B5A0A" w:rsidP="008C60C5">
            <w:pPr>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FFFFFF" w:themeFill="background1"/>
            <w:vAlign w:val="bottom"/>
          </w:tcPr>
          <w:p w14:paraId="7407F41F" w14:textId="77777777" w:rsidR="007B5A0A" w:rsidRPr="00D76D7F" w:rsidRDefault="007B5A0A" w:rsidP="008C60C5">
            <w:pPr>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shd w:val="clear" w:color="auto" w:fill="FFFFFF" w:themeFill="background1"/>
            <w:vAlign w:val="bottom"/>
          </w:tcPr>
          <w:p w14:paraId="702D377B" w14:textId="77777777" w:rsidR="007B5A0A" w:rsidRPr="00D76D7F" w:rsidRDefault="007B5A0A" w:rsidP="008C60C5">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6" w:type="dxa"/>
            <w:tcBorders>
              <w:top w:val="nil"/>
              <w:left w:val="nil"/>
              <w:bottom w:val="nil"/>
              <w:right w:val="nil"/>
            </w:tcBorders>
            <w:shd w:val="clear" w:color="auto" w:fill="FFFFFF" w:themeFill="background1"/>
            <w:vAlign w:val="bottom"/>
          </w:tcPr>
          <w:p w14:paraId="11B64B05" w14:textId="77777777" w:rsidR="007B5A0A" w:rsidRPr="00D76D7F" w:rsidRDefault="007B5A0A" w:rsidP="008C60C5">
            <w:pPr>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shd w:val="clear" w:color="auto" w:fill="FFFFFF" w:themeFill="background1"/>
            <w:vAlign w:val="bottom"/>
          </w:tcPr>
          <w:p w14:paraId="1968B07F" w14:textId="77777777" w:rsidR="007B5A0A" w:rsidRPr="00D76D7F" w:rsidRDefault="007B5A0A" w:rsidP="008C60C5">
            <w:pPr>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D76D7F" w14:paraId="021AD3DD" w14:textId="77777777" w:rsidTr="00D76D7F">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vAlign w:val="center"/>
          </w:tcPr>
          <w:p w14:paraId="3B04FB63" w14:textId="77777777" w:rsidR="007B5A0A" w:rsidRPr="00D76D7F" w:rsidRDefault="007B5A0A" w:rsidP="008C60C5">
            <w:pPr>
              <w:spacing w:before="20" w:after="20"/>
              <w:ind w:left="34"/>
              <w:rPr>
                <w:rFonts w:eastAsiaTheme="minorEastAsia"/>
                <w:b w:val="0"/>
                <w:sz w:val="18"/>
                <w:szCs w:val="18"/>
                <w:lang w:eastAsia="en-US"/>
              </w:rPr>
            </w:pPr>
            <w:r w:rsidRPr="00D76D7F">
              <w:rPr>
                <w:rFonts w:eastAsiaTheme="minorEastAsia"/>
                <w:b w:val="0"/>
                <w:sz w:val="18"/>
                <w:szCs w:val="18"/>
                <w:lang w:eastAsia="en-US"/>
              </w:rPr>
              <w:t>No</w:t>
            </w:r>
          </w:p>
        </w:tc>
        <w:tc>
          <w:tcPr>
            <w:tcW w:w="567" w:type="dxa"/>
            <w:tcBorders>
              <w:top w:val="nil"/>
              <w:left w:val="nil"/>
              <w:bottom w:val="nil"/>
              <w:right w:val="nil"/>
            </w:tcBorders>
            <w:noWrap/>
            <w:vAlign w:val="center"/>
          </w:tcPr>
          <w:p w14:paraId="492CCA33"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323</w:t>
            </w:r>
          </w:p>
        </w:tc>
        <w:tc>
          <w:tcPr>
            <w:tcW w:w="567" w:type="dxa"/>
            <w:tcBorders>
              <w:top w:val="nil"/>
              <w:left w:val="nil"/>
              <w:bottom w:val="nil"/>
              <w:right w:val="nil"/>
            </w:tcBorders>
            <w:noWrap/>
            <w:vAlign w:val="center"/>
          </w:tcPr>
          <w:p w14:paraId="5655DA12"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49.7</w:t>
            </w:r>
          </w:p>
        </w:tc>
        <w:tc>
          <w:tcPr>
            <w:tcW w:w="1146" w:type="dxa"/>
            <w:tcBorders>
              <w:top w:val="nil"/>
              <w:left w:val="nil"/>
              <w:bottom w:val="nil"/>
              <w:right w:val="single" w:sz="4" w:space="0" w:color="auto"/>
            </w:tcBorders>
            <w:noWrap/>
            <w:vAlign w:val="center"/>
          </w:tcPr>
          <w:p w14:paraId="369BD2AF"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(46.5, 53)</w:t>
            </w:r>
          </w:p>
        </w:tc>
        <w:tc>
          <w:tcPr>
            <w:tcW w:w="536" w:type="dxa"/>
            <w:tcBorders>
              <w:top w:val="nil"/>
              <w:left w:val="single" w:sz="4" w:space="0" w:color="auto"/>
              <w:bottom w:val="nil"/>
              <w:right w:val="nil"/>
            </w:tcBorders>
            <w:noWrap/>
            <w:vAlign w:val="center"/>
          </w:tcPr>
          <w:p w14:paraId="12EE5DDE"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210</w:t>
            </w:r>
          </w:p>
        </w:tc>
        <w:tc>
          <w:tcPr>
            <w:tcW w:w="621" w:type="dxa"/>
            <w:tcBorders>
              <w:top w:val="nil"/>
              <w:left w:val="nil"/>
              <w:bottom w:val="nil"/>
              <w:right w:val="nil"/>
            </w:tcBorders>
            <w:noWrap/>
            <w:vAlign w:val="center"/>
          </w:tcPr>
          <w:p w14:paraId="5D93BC67"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54.2</w:t>
            </w:r>
          </w:p>
        </w:tc>
        <w:tc>
          <w:tcPr>
            <w:tcW w:w="1146" w:type="dxa"/>
            <w:tcBorders>
              <w:top w:val="nil"/>
              <w:left w:val="nil"/>
              <w:bottom w:val="nil"/>
              <w:right w:val="single" w:sz="4" w:space="0" w:color="000000"/>
            </w:tcBorders>
            <w:shd w:val="clear" w:color="auto" w:fill="FFFFFF" w:themeFill="background1"/>
            <w:noWrap/>
            <w:vAlign w:val="center"/>
          </w:tcPr>
          <w:p w14:paraId="07AFA273"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(49.6, 58.7)</w:t>
            </w:r>
          </w:p>
        </w:tc>
        <w:tc>
          <w:tcPr>
            <w:tcW w:w="536" w:type="dxa"/>
            <w:tcBorders>
              <w:top w:val="nil"/>
              <w:left w:val="single" w:sz="4" w:space="0" w:color="000000"/>
              <w:bottom w:val="nil"/>
              <w:right w:val="nil"/>
            </w:tcBorders>
            <w:shd w:val="clear" w:color="auto" w:fill="FFFFFF" w:themeFill="background1"/>
            <w:vAlign w:val="center"/>
          </w:tcPr>
          <w:p w14:paraId="77F7BFE2"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191</w:t>
            </w:r>
          </w:p>
        </w:tc>
        <w:tc>
          <w:tcPr>
            <w:tcW w:w="567" w:type="dxa"/>
            <w:tcBorders>
              <w:top w:val="nil"/>
              <w:left w:val="nil"/>
              <w:bottom w:val="nil"/>
              <w:right w:val="nil"/>
            </w:tcBorders>
            <w:shd w:val="clear" w:color="auto" w:fill="FFFFFF" w:themeFill="background1"/>
            <w:vAlign w:val="center"/>
          </w:tcPr>
          <w:p w14:paraId="76894473"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58.4</w:t>
            </w:r>
          </w:p>
        </w:tc>
        <w:tc>
          <w:tcPr>
            <w:tcW w:w="1146" w:type="dxa"/>
            <w:tcBorders>
              <w:top w:val="nil"/>
              <w:left w:val="nil"/>
              <w:bottom w:val="nil"/>
              <w:right w:val="single" w:sz="4" w:space="0" w:color="000000"/>
            </w:tcBorders>
            <w:shd w:val="clear" w:color="auto" w:fill="FFFFFF" w:themeFill="background1"/>
            <w:vAlign w:val="center"/>
          </w:tcPr>
          <w:p w14:paraId="0B13D9A8"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(52.6, 64.1)</w:t>
            </w:r>
          </w:p>
        </w:tc>
        <w:tc>
          <w:tcPr>
            <w:tcW w:w="536" w:type="dxa"/>
            <w:tcBorders>
              <w:top w:val="nil"/>
              <w:left w:val="single" w:sz="4" w:space="0" w:color="000000"/>
              <w:bottom w:val="nil"/>
              <w:right w:val="nil"/>
            </w:tcBorders>
            <w:shd w:val="clear" w:color="auto" w:fill="FFFFFF" w:themeFill="background1"/>
            <w:vAlign w:val="center"/>
          </w:tcPr>
          <w:p w14:paraId="1391A879"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182</w:t>
            </w:r>
          </w:p>
        </w:tc>
        <w:tc>
          <w:tcPr>
            <w:tcW w:w="576" w:type="dxa"/>
            <w:tcBorders>
              <w:top w:val="nil"/>
              <w:left w:val="nil"/>
              <w:bottom w:val="nil"/>
              <w:right w:val="nil"/>
            </w:tcBorders>
            <w:shd w:val="clear" w:color="auto" w:fill="FFFFFF" w:themeFill="background1"/>
            <w:vAlign w:val="center"/>
          </w:tcPr>
          <w:p w14:paraId="55F8E466"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62.1</w:t>
            </w:r>
          </w:p>
        </w:tc>
        <w:tc>
          <w:tcPr>
            <w:tcW w:w="1146" w:type="dxa"/>
            <w:tcBorders>
              <w:top w:val="nil"/>
              <w:left w:val="nil"/>
              <w:bottom w:val="nil"/>
              <w:right w:val="nil"/>
            </w:tcBorders>
            <w:shd w:val="clear" w:color="auto" w:fill="FFFFFF" w:themeFill="background1"/>
            <w:vAlign w:val="center"/>
          </w:tcPr>
          <w:p w14:paraId="485F10F8"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(55.6, 68.5)</w:t>
            </w:r>
          </w:p>
        </w:tc>
      </w:tr>
      <w:tr w:rsidR="009118DA" w:rsidRPr="00D76D7F" w14:paraId="3296F004" w14:textId="77777777" w:rsidTr="00D76D7F">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vAlign w:val="center"/>
          </w:tcPr>
          <w:p w14:paraId="5A3E69A0" w14:textId="77777777" w:rsidR="007B5A0A" w:rsidRPr="00D76D7F" w:rsidRDefault="007B5A0A" w:rsidP="008C60C5">
            <w:pPr>
              <w:spacing w:before="20" w:after="20"/>
              <w:ind w:left="34"/>
              <w:rPr>
                <w:rFonts w:eastAsiaTheme="minorEastAsia"/>
                <w:b w:val="0"/>
                <w:sz w:val="18"/>
                <w:szCs w:val="18"/>
                <w:lang w:eastAsia="en-US"/>
              </w:rPr>
            </w:pPr>
            <w:r w:rsidRPr="00D76D7F">
              <w:rPr>
                <w:rFonts w:eastAsiaTheme="minorEastAsia"/>
                <w:b w:val="0"/>
                <w:sz w:val="18"/>
                <w:szCs w:val="18"/>
                <w:lang w:eastAsia="en-US"/>
              </w:rPr>
              <w:t>Yes</w:t>
            </w:r>
          </w:p>
        </w:tc>
        <w:tc>
          <w:tcPr>
            <w:tcW w:w="567" w:type="dxa"/>
            <w:tcBorders>
              <w:top w:val="nil"/>
              <w:left w:val="nil"/>
              <w:bottom w:val="nil"/>
              <w:right w:val="nil"/>
            </w:tcBorders>
            <w:noWrap/>
            <w:vAlign w:val="center"/>
          </w:tcPr>
          <w:p w14:paraId="2766FCA4"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327</w:t>
            </w:r>
          </w:p>
        </w:tc>
        <w:tc>
          <w:tcPr>
            <w:tcW w:w="567" w:type="dxa"/>
            <w:tcBorders>
              <w:top w:val="nil"/>
              <w:left w:val="nil"/>
              <w:bottom w:val="nil"/>
              <w:right w:val="nil"/>
            </w:tcBorders>
            <w:noWrap/>
            <w:vAlign w:val="center"/>
          </w:tcPr>
          <w:p w14:paraId="34F6DE12"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50.3</w:t>
            </w:r>
          </w:p>
        </w:tc>
        <w:tc>
          <w:tcPr>
            <w:tcW w:w="1146" w:type="dxa"/>
            <w:tcBorders>
              <w:top w:val="nil"/>
              <w:left w:val="nil"/>
              <w:bottom w:val="nil"/>
              <w:right w:val="single" w:sz="4" w:space="0" w:color="auto"/>
            </w:tcBorders>
            <w:noWrap/>
            <w:vAlign w:val="center"/>
          </w:tcPr>
          <w:p w14:paraId="7DB21EBE"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(47, 53.5)</w:t>
            </w:r>
          </w:p>
        </w:tc>
        <w:tc>
          <w:tcPr>
            <w:tcW w:w="536" w:type="dxa"/>
            <w:tcBorders>
              <w:top w:val="nil"/>
              <w:left w:val="single" w:sz="4" w:space="0" w:color="auto"/>
              <w:bottom w:val="nil"/>
              <w:right w:val="nil"/>
            </w:tcBorders>
            <w:noWrap/>
            <w:vAlign w:val="center"/>
          </w:tcPr>
          <w:p w14:paraId="355266CB"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177</w:t>
            </w:r>
          </w:p>
        </w:tc>
        <w:tc>
          <w:tcPr>
            <w:tcW w:w="621" w:type="dxa"/>
            <w:tcBorders>
              <w:top w:val="nil"/>
              <w:left w:val="nil"/>
              <w:bottom w:val="nil"/>
              <w:right w:val="nil"/>
            </w:tcBorders>
            <w:noWrap/>
            <w:vAlign w:val="center"/>
          </w:tcPr>
          <w:p w14:paraId="353E58AE"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45.8</w:t>
            </w:r>
          </w:p>
        </w:tc>
        <w:tc>
          <w:tcPr>
            <w:tcW w:w="1146" w:type="dxa"/>
            <w:tcBorders>
              <w:top w:val="nil"/>
              <w:left w:val="nil"/>
              <w:bottom w:val="nil"/>
              <w:right w:val="single" w:sz="4" w:space="0" w:color="000000"/>
            </w:tcBorders>
            <w:shd w:val="clear" w:color="auto" w:fill="FFFFFF" w:themeFill="background1"/>
            <w:noWrap/>
            <w:vAlign w:val="center"/>
          </w:tcPr>
          <w:p w14:paraId="33DCEA5F"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(41.3, 50.4)</w:t>
            </w:r>
          </w:p>
        </w:tc>
        <w:tc>
          <w:tcPr>
            <w:tcW w:w="536" w:type="dxa"/>
            <w:tcBorders>
              <w:top w:val="nil"/>
              <w:left w:val="single" w:sz="4" w:space="0" w:color="000000"/>
              <w:bottom w:val="nil"/>
              <w:right w:val="nil"/>
            </w:tcBorders>
            <w:shd w:val="clear" w:color="auto" w:fill="FFFFFF" w:themeFill="background1"/>
            <w:vAlign w:val="center"/>
          </w:tcPr>
          <w:p w14:paraId="3D180C36"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136</w:t>
            </w:r>
          </w:p>
        </w:tc>
        <w:tc>
          <w:tcPr>
            <w:tcW w:w="567" w:type="dxa"/>
            <w:tcBorders>
              <w:top w:val="nil"/>
              <w:left w:val="nil"/>
              <w:bottom w:val="nil"/>
              <w:right w:val="nil"/>
            </w:tcBorders>
            <w:shd w:val="clear" w:color="auto" w:fill="FFFFFF" w:themeFill="background1"/>
            <w:vAlign w:val="center"/>
          </w:tcPr>
          <w:p w14:paraId="5E995B51"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41.6</w:t>
            </w:r>
          </w:p>
        </w:tc>
        <w:tc>
          <w:tcPr>
            <w:tcW w:w="1146" w:type="dxa"/>
            <w:tcBorders>
              <w:top w:val="nil"/>
              <w:left w:val="nil"/>
              <w:bottom w:val="nil"/>
              <w:right w:val="single" w:sz="4" w:space="0" w:color="000000"/>
            </w:tcBorders>
            <w:shd w:val="clear" w:color="auto" w:fill="FFFFFF" w:themeFill="background1"/>
            <w:vAlign w:val="center"/>
          </w:tcPr>
          <w:p w14:paraId="3C511B40"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(35.9, 47.4)</w:t>
            </w:r>
          </w:p>
        </w:tc>
        <w:tc>
          <w:tcPr>
            <w:tcW w:w="536" w:type="dxa"/>
            <w:tcBorders>
              <w:top w:val="nil"/>
              <w:left w:val="single" w:sz="4" w:space="0" w:color="000000"/>
              <w:bottom w:val="nil"/>
              <w:right w:val="nil"/>
            </w:tcBorders>
            <w:shd w:val="clear" w:color="auto" w:fill="FFFFFF" w:themeFill="background1"/>
            <w:vAlign w:val="center"/>
          </w:tcPr>
          <w:p w14:paraId="0E8F4483"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111</w:t>
            </w:r>
          </w:p>
        </w:tc>
        <w:tc>
          <w:tcPr>
            <w:tcW w:w="576" w:type="dxa"/>
            <w:tcBorders>
              <w:top w:val="nil"/>
              <w:left w:val="nil"/>
              <w:bottom w:val="nil"/>
              <w:right w:val="nil"/>
            </w:tcBorders>
            <w:shd w:val="clear" w:color="auto" w:fill="FFFFFF" w:themeFill="background1"/>
            <w:vAlign w:val="center"/>
          </w:tcPr>
          <w:p w14:paraId="29441C66"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37.9</w:t>
            </w:r>
          </w:p>
        </w:tc>
        <w:tc>
          <w:tcPr>
            <w:tcW w:w="1146" w:type="dxa"/>
            <w:tcBorders>
              <w:top w:val="nil"/>
              <w:left w:val="nil"/>
              <w:bottom w:val="nil"/>
              <w:right w:val="nil"/>
            </w:tcBorders>
            <w:shd w:val="clear" w:color="auto" w:fill="FFFFFF" w:themeFill="background1"/>
            <w:vAlign w:val="center"/>
          </w:tcPr>
          <w:p w14:paraId="3502417C" w14:textId="77777777" w:rsidR="007B5A0A" w:rsidRPr="00D76D7F"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(31.5, 44.4)</w:t>
            </w:r>
          </w:p>
        </w:tc>
      </w:tr>
      <w:tr w:rsidR="009118DA" w:rsidRPr="001265DD" w14:paraId="6A1A52C8" w14:textId="77777777" w:rsidTr="001265DD">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center"/>
          </w:tcPr>
          <w:p w14:paraId="6382853E" w14:textId="77777777" w:rsidR="007B5A0A" w:rsidRPr="001265DD" w:rsidRDefault="007B5A0A" w:rsidP="008C60C5">
            <w:pPr>
              <w:tabs>
                <w:tab w:val="left" w:pos="176"/>
              </w:tabs>
              <w:spacing w:before="20" w:after="20"/>
              <w:rPr>
                <w:rFonts w:eastAsiaTheme="minorEastAsia"/>
                <w:sz w:val="18"/>
                <w:szCs w:val="18"/>
                <w:lang w:eastAsia="en-US"/>
              </w:rPr>
            </w:pPr>
            <w:r w:rsidRPr="001265DD">
              <w:rPr>
                <w:rFonts w:eastAsiaTheme="minorEastAsia"/>
                <w:sz w:val="18"/>
                <w:szCs w:val="18"/>
                <w:lang w:eastAsia="en-US"/>
              </w:rPr>
              <w:t>Other drug use</w:t>
            </w:r>
          </w:p>
        </w:tc>
        <w:tc>
          <w:tcPr>
            <w:tcW w:w="567" w:type="dxa"/>
            <w:tcBorders>
              <w:top w:val="nil"/>
              <w:left w:val="nil"/>
              <w:bottom w:val="nil"/>
              <w:right w:val="nil"/>
            </w:tcBorders>
            <w:shd w:val="clear" w:color="auto" w:fill="auto"/>
            <w:noWrap/>
            <w:vAlign w:val="center"/>
          </w:tcPr>
          <w:p w14:paraId="213E99C8"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shd w:val="clear" w:color="auto" w:fill="auto"/>
            <w:noWrap/>
            <w:vAlign w:val="center"/>
          </w:tcPr>
          <w:p w14:paraId="799E439A"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auto"/>
            </w:tcBorders>
            <w:shd w:val="clear" w:color="auto" w:fill="auto"/>
            <w:noWrap/>
            <w:vAlign w:val="center"/>
          </w:tcPr>
          <w:p w14:paraId="479462C1"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auto"/>
              <w:bottom w:val="nil"/>
              <w:right w:val="nil"/>
            </w:tcBorders>
            <w:shd w:val="clear" w:color="auto" w:fill="auto"/>
            <w:noWrap/>
            <w:vAlign w:val="center"/>
          </w:tcPr>
          <w:p w14:paraId="229D710A"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621" w:type="dxa"/>
            <w:tcBorders>
              <w:top w:val="nil"/>
              <w:left w:val="nil"/>
              <w:bottom w:val="nil"/>
              <w:right w:val="nil"/>
            </w:tcBorders>
            <w:shd w:val="clear" w:color="auto" w:fill="auto"/>
            <w:noWrap/>
            <w:vAlign w:val="center"/>
          </w:tcPr>
          <w:p w14:paraId="0D0647D4"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auto"/>
            <w:noWrap/>
            <w:vAlign w:val="center"/>
          </w:tcPr>
          <w:p w14:paraId="44FE5686"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shd w:val="clear" w:color="auto" w:fill="auto"/>
            <w:vAlign w:val="center"/>
          </w:tcPr>
          <w:p w14:paraId="6C4A2998"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shd w:val="clear" w:color="auto" w:fill="auto"/>
            <w:vAlign w:val="center"/>
          </w:tcPr>
          <w:p w14:paraId="742AA107"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auto"/>
            <w:vAlign w:val="center"/>
          </w:tcPr>
          <w:p w14:paraId="227090A4"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shd w:val="clear" w:color="auto" w:fill="auto"/>
            <w:vAlign w:val="center"/>
          </w:tcPr>
          <w:p w14:paraId="5369AA3C"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6" w:type="dxa"/>
            <w:tcBorders>
              <w:top w:val="nil"/>
              <w:left w:val="nil"/>
              <w:bottom w:val="nil"/>
              <w:right w:val="nil"/>
            </w:tcBorders>
            <w:shd w:val="clear" w:color="auto" w:fill="auto"/>
            <w:vAlign w:val="center"/>
          </w:tcPr>
          <w:p w14:paraId="17B4A4A7"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shd w:val="clear" w:color="auto" w:fill="auto"/>
            <w:vAlign w:val="center"/>
          </w:tcPr>
          <w:p w14:paraId="081D60E1"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1265DD" w14:paraId="718115DE" w14:textId="77777777" w:rsidTr="001265DD">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0EE6A198" w14:textId="77777777" w:rsidR="007B5A0A" w:rsidRPr="001265DD" w:rsidRDefault="007B5A0A" w:rsidP="008C60C5">
            <w:pPr>
              <w:spacing w:before="20" w:after="20"/>
              <w:ind w:left="34"/>
              <w:rPr>
                <w:rFonts w:eastAsiaTheme="minorEastAsia"/>
                <w:b w:val="0"/>
                <w:sz w:val="18"/>
                <w:szCs w:val="18"/>
                <w:lang w:eastAsia="en-US"/>
              </w:rPr>
            </w:pPr>
            <w:r w:rsidRPr="001265DD">
              <w:rPr>
                <w:rFonts w:eastAsiaTheme="minorEastAsia"/>
                <w:b w:val="0"/>
                <w:sz w:val="18"/>
                <w:szCs w:val="18"/>
                <w:lang w:eastAsia="en-US"/>
              </w:rPr>
              <w:t>Yes</w:t>
            </w:r>
          </w:p>
        </w:tc>
        <w:tc>
          <w:tcPr>
            <w:tcW w:w="567" w:type="dxa"/>
            <w:tcBorders>
              <w:top w:val="nil"/>
              <w:left w:val="nil"/>
              <w:bottom w:val="nil"/>
              <w:right w:val="nil"/>
            </w:tcBorders>
            <w:shd w:val="clear" w:color="auto" w:fill="auto"/>
            <w:noWrap/>
            <w:vAlign w:val="center"/>
          </w:tcPr>
          <w:p w14:paraId="40D1FD04"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186</w:t>
            </w:r>
          </w:p>
        </w:tc>
        <w:tc>
          <w:tcPr>
            <w:tcW w:w="567" w:type="dxa"/>
            <w:tcBorders>
              <w:top w:val="nil"/>
              <w:left w:val="nil"/>
              <w:bottom w:val="nil"/>
              <w:right w:val="nil"/>
            </w:tcBorders>
            <w:shd w:val="clear" w:color="auto" w:fill="auto"/>
            <w:noWrap/>
            <w:vAlign w:val="center"/>
          </w:tcPr>
          <w:p w14:paraId="52E45027"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28.5</w:t>
            </w:r>
          </w:p>
        </w:tc>
        <w:tc>
          <w:tcPr>
            <w:tcW w:w="1146" w:type="dxa"/>
            <w:tcBorders>
              <w:top w:val="nil"/>
              <w:left w:val="nil"/>
              <w:bottom w:val="nil"/>
              <w:right w:val="single" w:sz="4" w:space="0" w:color="auto"/>
            </w:tcBorders>
            <w:shd w:val="clear" w:color="auto" w:fill="auto"/>
            <w:noWrap/>
            <w:vAlign w:val="center"/>
          </w:tcPr>
          <w:p w14:paraId="1BE3CFDF"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(25.5, 31.5)</w:t>
            </w:r>
          </w:p>
        </w:tc>
        <w:tc>
          <w:tcPr>
            <w:tcW w:w="536" w:type="dxa"/>
            <w:tcBorders>
              <w:top w:val="nil"/>
              <w:left w:val="single" w:sz="4" w:space="0" w:color="auto"/>
              <w:bottom w:val="nil"/>
              <w:right w:val="nil"/>
            </w:tcBorders>
            <w:shd w:val="clear" w:color="auto" w:fill="auto"/>
            <w:noWrap/>
            <w:vAlign w:val="center"/>
          </w:tcPr>
          <w:p w14:paraId="0DAA607A"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94</w:t>
            </w:r>
          </w:p>
        </w:tc>
        <w:tc>
          <w:tcPr>
            <w:tcW w:w="621" w:type="dxa"/>
            <w:tcBorders>
              <w:top w:val="nil"/>
              <w:left w:val="nil"/>
              <w:bottom w:val="nil"/>
              <w:right w:val="nil"/>
            </w:tcBorders>
            <w:shd w:val="clear" w:color="auto" w:fill="auto"/>
            <w:noWrap/>
            <w:vAlign w:val="center"/>
          </w:tcPr>
          <w:p w14:paraId="5C43E037"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24.3</w:t>
            </w:r>
          </w:p>
        </w:tc>
        <w:tc>
          <w:tcPr>
            <w:tcW w:w="1146" w:type="dxa"/>
            <w:tcBorders>
              <w:top w:val="nil"/>
              <w:left w:val="nil"/>
              <w:bottom w:val="nil"/>
              <w:right w:val="single" w:sz="4" w:space="0" w:color="000000"/>
            </w:tcBorders>
            <w:shd w:val="clear" w:color="auto" w:fill="auto"/>
            <w:noWrap/>
            <w:vAlign w:val="center"/>
          </w:tcPr>
          <w:p w14:paraId="32FD8B27"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(20.0, 28.6)</w:t>
            </w:r>
          </w:p>
        </w:tc>
        <w:tc>
          <w:tcPr>
            <w:tcW w:w="536" w:type="dxa"/>
            <w:tcBorders>
              <w:top w:val="nil"/>
              <w:left w:val="single" w:sz="4" w:space="0" w:color="000000"/>
              <w:bottom w:val="nil"/>
              <w:right w:val="nil"/>
            </w:tcBorders>
            <w:shd w:val="clear" w:color="auto" w:fill="auto"/>
            <w:vAlign w:val="center"/>
          </w:tcPr>
          <w:p w14:paraId="43D02398"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74</w:t>
            </w:r>
          </w:p>
        </w:tc>
        <w:tc>
          <w:tcPr>
            <w:tcW w:w="567" w:type="dxa"/>
            <w:tcBorders>
              <w:top w:val="nil"/>
              <w:left w:val="nil"/>
              <w:bottom w:val="nil"/>
              <w:right w:val="nil"/>
            </w:tcBorders>
            <w:shd w:val="clear" w:color="auto" w:fill="auto"/>
            <w:vAlign w:val="center"/>
          </w:tcPr>
          <w:p w14:paraId="22F2628D"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22.8</w:t>
            </w:r>
          </w:p>
        </w:tc>
        <w:tc>
          <w:tcPr>
            <w:tcW w:w="1146" w:type="dxa"/>
            <w:tcBorders>
              <w:top w:val="nil"/>
              <w:left w:val="nil"/>
              <w:bottom w:val="nil"/>
              <w:right w:val="single" w:sz="4" w:space="0" w:color="000000"/>
            </w:tcBorders>
            <w:shd w:val="clear" w:color="auto" w:fill="auto"/>
            <w:vAlign w:val="center"/>
          </w:tcPr>
          <w:p w14:paraId="47BB7704"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(16.3, 29.3)</w:t>
            </w:r>
          </w:p>
        </w:tc>
        <w:tc>
          <w:tcPr>
            <w:tcW w:w="536" w:type="dxa"/>
            <w:tcBorders>
              <w:top w:val="nil"/>
              <w:left w:val="single" w:sz="4" w:space="0" w:color="000000"/>
              <w:bottom w:val="nil"/>
              <w:right w:val="nil"/>
            </w:tcBorders>
            <w:shd w:val="clear" w:color="auto" w:fill="auto"/>
            <w:vAlign w:val="center"/>
          </w:tcPr>
          <w:p w14:paraId="7DD1AC57"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52</w:t>
            </w:r>
          </w:p>
        </w:tc>
        <w:tc>
          <w:tcPr>
            <w:tcW w:w="576" w:type="dxa"/>
            <w:tcBorders>
              <w:top w:val="nil"/>
              <w:left w:val="nil"/>
              <w:bottom w:val="nil"/>
              <w:right w:val="nil"/>
            </w:tcBorders>
            <w:shd w:val="clear" w:color="auto" w:fill="auto"/>
            <w:vAlign w:val="center"/>
          </w:tcPr>
          <w:p w14:paraId="6FCD8847"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17.7</w:t>
            </w:r>
          </w:p>
        </w:tc>
        <w:tc>
          <w:tcPr>
            <w:tcW w:w="1146" w:type="dxa"/>
            <w:tcBorders>
              <w:top w:val="nil"/>
              <w:left w:val="nil"/>
              <w:bottom w:val="nil"/>
              <w:right w:val="nil"/>
            </w:tcBorders>
            <w:shd w:val="clear" w:color="auto" w:fill="auto"/>
            <w:vAlign w:val="center"/>
          </w:tcPr>
          <w:p w14:paraId="3AF2039B"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(13.0, 22.5)</w:t>
            </w:r>
          </w:p>
        </w:tc>
      </w:tr>
      <w:tr w:rsidR="009118DA" w:rsidRPr="001265DD" w14:paraId="1AA0D122" w14:textId="77777777" w:rsidTr="001265DD">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0030C736" w14:textId="77777777" w:rsidR="007B5A0A" w:rsidRPr="001265DD" w:rsidRDefault="007B5A0A" w:rsidP="008C60C5">
            <w:pPr>
              <w:spacing w:before="20" w:after="20"/>
              <w:ind w:left="34"/>
              <w:rPr>
                <w:rFonts w:eastAsiaTheme="minorEastAsia"/>
                <w:b w:val="0"/>
                <w:sz w:val="18"/>
                <w:szCs w:val="18"/>
                <w:lang w:eastAsia="en-US"/>
              </w:rPr>
            </w:pPr>
            <w:r w:rsidRPr="001265DD">
              <w:rPr>
                <w:rFonts w:eastAsiaTheme="minorEastAsia"/>
                <w:b w:val="0"/>
                <w:sz w:val="18"/>
                <w:szCs w:val="18"/>
                <w:lang w:eastAsia="en-US"/>
              </w:rPr>
              <w:t>No</w:t>
            </w:r>
          </w:p>
        </w:tc>
        <w:tc>
          <w:tcPr>
            <w:tcW w:w="567" w:type="dxa"/>
            <w:tcBorders>
              <w:top w:val="nil"/>
              <w:left w:val="nil"/>
              <w:bottom w:val="nil"/>
              <w:right w:val="nil"/>
            </w:tcBorders>
            <w:shd w:val="clear" w:color="auto" w:fill="auto"/>
            <w:noWrap/>
            <w:vAlign w:val="center"/>
          </w:tcPr>
          <w:p w14:paraId="6A5702E9"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466</w:t>
            </w:r>
          </w:p>
        </w:tc>
        <w:tc>
          <w:tcPr>
            <w:tcW w:w="567" w:type="dxa"/>
            <w:tcBorders>
              <w:top w:val="nil"/>
              <w:left w:val="nil"/>
              <w:bottom w:val="nil"/>
              <w:right w:val="nil"/>
            </w:tcBorders>
            <w:shd w:val="clear" w:color="auto" w:fill="auto"/>
            <w:noWrap/>
            <w:vAlign w:val="center"/>
          </w:tcPr>
          <w:p w14:paraId="27178980"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71.5</w:t>
            </w:r>
          </w:p>
        </w:tc>
        <w:tc>
          <w:tcPr>
            <w:tcW w:w="1146" w:type="dxa"/>
            <w:tcBorders>
              <w:top w:val="nil"/>
              <w:left w:val="nil"/>
              <w:bottom w:val="nil"/>
              <w:right w:val="single" w:sz="4" w:space="0" w:color="auto"/>
            </w:tcBorders>
            <w:shd w:val="clear" w:color="auto" w:fill="auto"/>
            <w:noWrap/>
            <w:vAlign w:val="center"/>
          </w:tcPr>
          <w:p w14:paraId="4D02C818"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(68.5, 74.5)</w:t>
            </w:r>
          </w:p>
        </w:tc>
        <w:tc>
          <w:tcPr>
            <w:tcW w:w="536" w:type="dxa"/>
            <w:tcBorders>
              <w:top w:val="nil"/>
              <w:left w:val="single" w:sz="4" w:space="0" w:color="auto"/>
              <w:bottom w:val="nil"/>
              <w:right w:val="nil"/>
            </w:tcBorders>
            <w:shd w:val="clear" w:color="auto" w:fill="auto"/>
            <w:noWrap/>
            <w:vAlign w:val="center"/>
          </w:tcPr>
          <w:p w14:paraId="7EC31D54"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293</w:t>
            </w:r>
          </w:p>
        </w:tc>
        <w:tc>
          <w:tcPr>
            <w:tcW w:w="621" w:type="dxa"/>
            <w:tcBorders>
              <w:top w:val="nil"/>
              <w:left w:val="nil"/>
              <w:bottom w:val="nil"/>
              <w:right w:val="nil"/>
            </w:tcBorders>
            <w:shd w:val="clear" w:color="auto" w:fill="auto"/>
            <w:noWrap/>
            <w:vAlign w:val="center"/>
          </w:tcPr>
          <w:p w14:paraId="1E490CD7"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75.7</w:t>
            </w:r>
          </w:p>
        </w:tc>
        <w:tc>
          <w:tcPr>
            <w:tcW w:w="1146" w:type="dxa"/>
            <w:tcBorders>
              <w:top w:val="nil"/>
              <w:left w:val="nil"/>
              <w:bottom w:val="nil"/>
              <w:right w:val="single" w:sz="4" w:space="0" w:color="000000"/>
            </w:tcBorders>
            <w:shd w:val="clear" w:color="auto" w:fill="auto"/>
            <w:noWrap/>
            <w:vAlign w:val="center"/>
          </w:tcPr>
          <w:p w14:paraId="737E482E"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(71.4, 80.0)</w:t>
            </w:r>
          </w:p>
        </w:tc>
        <w:tc>
          <w:tcPr>
            <w:tcW w:w="536" w:type="dxa"/>
            <w:tcBorders>
              <w:top w:val="nil"/>
              <w:left w:val="single" w:sz="4" w:space="0" w:color="000000"/>
              <w:bottom w:val="nil"/>
              <w:right w:val="nil"/>
            </w:tcBorders>
            <w:shd w:val="clear" w:color="auto" w:fill="auto"/>
            <w:vAlign w:val="center"/>
          </w:tcPr>
          <w:p w14:paraId="4EA3EFC4"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252</w:t>
            </w:r>
          </w:p>
        </w:tc>
        <w:tc>
          <w:tcPr>
            <w:tcW w:w="567" w:type="dxa"/>
            <w:tcBorders>
              <w:top w:val="nil"/>
              <w:left w:val="nil"/>
              <w:bottom w:val="nil"/>
              <w:right w:val="nil"/>
            </w:tcBorders>
            <w:shd w:val="clear" w:color="auto" w:fill="auto"/>
            <w:vAlign w:val="center"/>
          </w:tcPr>
          <w:p w14:paraId="02321124"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77.2</w:t>
            </w:r>
          </w:p>
        </w:tc>
        <w:tc>
          <w:tcPr>
            <w:tcW w:w="1146" w:type="dxa"/>
            <w:tcBorders>
              <w:top w:val="nil"/>
              <w:left w:val="nil"/>
              <w:bottom w:val="nil"/>
              <w:right w:val="single" w:sz="4" w:space="0" w:color="000000"/>
            </w:tcBorders>
            <w:shd w:val="clear" w:color="auto" w:fill="auto"/>
            <w:vAlign w:val="center"/>
          </w:tcPr>
          <w:p w14:paraId="55C84ADF"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(70.7, 83.7)</w:t>
            </w:r>
          </w:p>
        </w:tc>
        <w:tc>
          <w:tcPr>
            <w:tcW w:w="536" w:type="dxa"/>
            <w:tcBorders>
              <w:top w:val="nil"/>
              <w:left w:val="single" w:sz="4" w:space="0" w:color="000000"/>
              <w:bottom w:val="nil"/>
              <w:right w:val="nil"/>
            </w:tcBorders>
            <w:shd w:val="clear" w:color="auto" w:fill="auto"/>
            <w:vAlign w:val="center"/>
          </w:tcPr>
          <w:p w14:paraId="7FED4113"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241</w:t>
            </w:r>
          </w:p>
        </w:tc>
        <w:tc>
          <w:tcPr>
            <w:tcW w:w="576" w:type="dxa"/>
            <w:tcBorders>
              <w:top w:val="nil"/>
              <w:left w:val="nil"/>
              <w:bottom w:val="nil"/>
              <w:right w:val="nil"/>
            </w:tcBorders>
            <w:shd w:val="clear" w:color="auto" w:fill="auto"/>
            <w:vAlign w:val="center"/>
          </w:tcPr>
          <w:p w14:paraId="4BE6749B"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82.3</w:t>
            </w:r>
          </w:p>
        </w:tc>
        <w:tc>
          <w:tcPr>
            <w:tcW w:w="1146" w:type="dxa"/>
            <w:tcBorders>
              <w:top w:val="nil"/>
              <w:left w:val="nil"/>
              <w:bottom w:val="nil"/>
              <w:right w:val="nil"/>
            </w:tcBorders>
            <w:shd w:val="clear" w:color="auto" w:fill="auto"/>
            <w:vAlign w:val="center"/>
          </w:tcPr>
          <w:p w14:paraId="63143E24"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(77.5, 87.0)</w:t>
            </w:r>
          </w:p>
        </w:tc>
      </w:tr>
      <w:tr w:rsidR="009118DA" w:rsidRPr="001265DD" w14:paraId="5B110AF1" w14:textId="77777777" w:rsidTr="001265DD">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2683C7F7" w14:textId="77777777" w:rsidR="007B5A0A" w:rsidRPr="001265DD" w:rsidRDefault="007B5A0A" w:rsidP="008C60C5">
            <w:pPr>
              <w:spacing w:before="20" w:after="60"/>
              <w:ind w:left="34"/>
              <w:rPr>
                <w:rFonts w:eastAsiaTheme="minorEastAsia"/>
                <w:b w:val="0"/>
                <w:sz w:val="18"/>
                <w:szCs w:val="18"/>
                <w:lang w:eastAsia="en-US"/>
              </w:rPr>
            </w:pPr>
            <w:r w:rsidRPr="001265DD">
              <w:rPr>
                <w:rFonts w:eastAsiaTheme="minorEastAsia"/>
                <w:b w:val="0"/>
                <w:sz w:val="18"/>
                <w:szCs w:val="18"/>
                <w:lang w:eastAsia="en-US"/>
              </w:rPr>
              <w:t>Cannabis</w:t>
            </w:r>
          </w:p>
        </w:tc>
        <w:tc>
          <w:tcPr>
            <w:tcW w:w="567" w:type="dxa"/>
            <w:tcBorders>
              <w:top w:val="nil"/>
              <w:left w:val="nil"/>
              <w:bottom w:val="nil"/>
              <w:right w:val="nil"/>
            </w:tcBorders>
            <w:shd w:val="clear" w:color="auto" w:fill="auto"/>
            <w:noWrap/>
            <w:vAlign w:val="center"/>
          </w:tcPr>
          <w:p w14:paraId="289B1491"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162</w:t>
            </w:r>
          </w:p>
        </w:tc>
        <w:tc>
          <w:tcPr>
            <w:tcW w:w="567" w:type="dxa"/>
            <w:tcBorders>
              <w:top w:val="nil"/>
              <w:left w:val="nil"/>
              <w:bottom w:val="nil"/>
              <w:right w:val="nil"/>
            </w:tcBorders>
            <w:shd w:val="clear" w:color="auto" w:fill="auto"/>
            <w:noWrap/>
            <w:vAlign w:val="center"/>
          </w:tcPr>
          <w:p w14:paraId="6070BD3D"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24.9</w:t>
            </w:r>
          </w:p>
        </w:tc>
        <w:tc>
          <w:tcPr>
            <w:tcW w:w="1146" w:type="dxa"/>
            <w:tcBorders>
              <w:top w:val="nil"/>
              <w:left w:val="nil"/>
              <w:bottom w:val="nil"/>
              <w:right w:val="single" w:sz="4" w:space="0" w:color="auto"/>
            </w:tcBorders>
            <w:shd w:val="clear" w:color="auto" w:fill="auto"/>
            <w:noWrap/>
            <w:vAlign w:val="center"/>
          </w:tcPr>
          <w:p w14:paraId="6018C0B3"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(22.0, 27.8)</w:t>
            </w:r>
          </w:p>
        </w:tc>
        <w:tc>
          <w:tcPr>
            <w:tcW w:w="536" w:type="dxa"/>
            <w:tcBorders>
              <w:top w:val="nil"/>
              <w:left w:val="single" w:sz="4" w:space="0" w:color="auto"/>
              <w:bottom w:val="nil"/>
              <w:right w:val="nil"/>
            </w:tcBorders>
            <w:shd w:val="clear" w:color="auto" w:fill="auto"/>
            <w:noWrap/>
            <w:vAlign w:val="center"/>
          </w:tcPr>
          <w:p w14:paraId="30A57050"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76</w:t>
            </w:r>
          </w:p>
        </w:tc>
        <w:tc>
          <w:tcPr>
            <w:tcW w:w="621" w:type="dxa"/>
            <w:tcBorders>
              <w:top w:val="nil"/>
              <w:left w:val="nil"/>
              <w:bottom w:val="nil"/>
              <w:right w:val="nil"/>
            </w:tcBorders>
            <w:shd w:val="clear" w:color="auto" w:fill="auto"/>
            <w:noWrap/>
            <w:vAlign w:val="center"/>
          </w:tcPr>
          <w:p w14:paraId="55D28C5F"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19.7</w:t>
            </w:r>
          </w:p>
        </w:tc>
        <w:tc>
          <w:tcPr>
            <w:tcW w:w="1146" w:type="dxa"/>
            <w:tcBorders>
              <w:top w:val="nil"/>
              <w:left w:val="nil"/>
              <w:bottom w:val="nil"/>
              <w:right w:val="single" w:sz="4" w:space="0" w:color="000000"/>
            </w:tcBorders>
            <w:shd w:val="clear" w:color="auto" w:fill="auto"/>
            <w:noWrap/>
            <w:vAlign w:val="center"/>
          </w:tcPr>
          <w:p w14:paraId="095FF427"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(15.5, 23.8)</w:t>
            </w:r>
          </w:p>
        </w:tc>
        <w:tc>
          <w:tcPr>
            <w:tcW w:w="536" w:type="dxa"/>
            <w:tcBorders>
              <w:top w:val="nil"/>
              <w:left w:val="single" w:sz="4" w:space="0" w:color="000000"/>
              <w:bottom w:val="nil"/>
              <w:right w:val="nil"/>
            </w:tcBorders>
            <w:shd w:val="clear" w:color="auto" w:fill="auto"/>
            <w:vAlign w:val="center"/>
          </w:tcPr>
          <w:p w14:paraId="41263543"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65</w:t>
            </w:r>
          </w:p>
        </w:tc>
        <w:tc>
          <w:tcPr>
            <w:tcW w:w="567" w:type="dxa"/>
            <w:tcBorders>
              <w:top w:val="nil"/>
              <w:left w:val="nil"/>
              <w:bottom w:val="nil"/>
              <w:right w:val="nil"/>
            </w:tcBorders>
            <w:shd w:val="clear" w:color="auto" w:fill="auto"/>
            <w:vAlign w:val="center"/>
          </w:tcPr>
          <w:p w14:paraId="71D634E9"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20.0</w:t>
            </w:r>
          </w:p>
        </w:tc>
        <w:tc>
          <w:tcPr>
            <w:tcW w:w="1146" w:type="dxa"/>
            <w:tcBorders>
              <w:top w:val="nil"/>
              <w:left w:val="nil"/>
              <w:bottom w:val="nil"/>
              <w:right w:val="single" w:sz="4" w:space="0" w:color="000000"/>
            </w:tcBorders>
            <w:shd w:val="clear" w:color="auto" w:fill="auto"/>
            <w:vAlign w:val="center"/>
          </w:tcPr>
          <w:p w14:paraId="41B8CC39"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(13.5, 26.5)</w:t>
            </w:r>
          </w:p>
        </w:tc>
        <w:tc>
          <w:tcPr>
            <w:tcW w:w="536" w:type="dxa"/>
            <w:tcBorders>
              <w:top w:val="nil"/>
              <w:left w:val="single" w:sz="4" w:space="0" w:color="000000"/>
              <w:bottom w:val="nil"/>
              <w:right w:val="nil"/>
            </w:tcBorders>
            <w:shd w:val="clear" w:color="auto" w:fill="auto"/>
            <w:vAlign w:val="center"/>
          </w:tcPr>
          <w:p w14:paraId="697F9107"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48</w:t>
            </w:r>
          </w:p>
        </w:tc>
        <w:tc>
          <w:tcPr>
            <w:tcW w:w="576" w:type="dxa"/>
            <w:tcBorders>
              <w:top w:val="nil"/>
              <w:left w:val="nil"/>
              <w:bottom w:val="nil"/>
              <w:right w:val="nil"/>
            </w:tcBorders>
            <w:shd w:val="clear" w:color="auto" w:fill="auto"/>
            <w:vAlign w:val="center"/>
          </w:tcPr>
          <w:p w14:paraId="5DEBB014"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16.6</w:t>
            </w:r>
          </w:p>
        </w:tc>
        <w:tc>
          <w:tcPr>
            <w:tcW w:w="1146" w:type="dxa"/>
            <w:tcBorders>
              <w:top w:val="nil"/>
              <w:left w:val="nil"/>
              <w:bottom w:val="nil"/>
              <w:right w:val="nil"/>
            </w:tcBorders>
            <w:shd w:val="clear" w:color="auto" w:fill="auto"/>
            <w:vAlign w:val="center"/>
          </w:tcPr>
          <w:p w14:paraId="35CED6BE"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(11.9, 21.2)</w:t>
            </w:r>
          </w:p>
        </w:tc>
      </w:tr>
      <w:tr w:rsidR="009118DA" w:rsidRPr="001265DD" w14:paraId="169395D3" w14:textId="77777777" w:rsidTr="001265DD">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center"/>
          </w:tcPr>
          <w:p w14:paraId="37DDAA2D" w14:textId="77777777" w:rsidR="007B5A0A" w:rsidRPr="001265DD" w:rsidRDefault="007B5A0A" w:rsidP="00625936">
            <w:pPr>
              <w:keepNext/>
              <w:tabs>
                <w:tab w:val="left" w:pos="176"/>
              </w:tabs>
              <w:spacing w:before="20" w:after="20"/>
              <w:rPr>
                <w:rFonts w:eastAsiaTheme="minorEastAsia"/>
                <w:sz w:val="18"/>
                <w:szCs w:val="18"/>
                <w:lang w:eastAsia="en-US"/>
              </w:rPr>
            </w:pPr>
            <w:r w:rsidRPr="001265DD">
              <w:rPr>
                <w:rFonts w:eastAsiaTheme="minorEastAsia"/>
                <w:sz w:val="18"/>
                <w:szCs w:val="18"/>
                <w:lang w:eastAsia="en-US"/>
              </w:rPr>
              <w:t>Tobacco use</w:t>
            </w:r>
          </w:p>
        </w:tc>
        <w:tc>
          <w:tcPr>
            <w:tcW w:w="567" w:type="dxa"/>
            <w:tcBorders>
              <w:top w:val="nil"/>
              <w:left w:val="nil"/>
              <w:bottom w:val="nil"/>
              <w:right w:val="nil"/>
            </w:tcBorders>
            <w:shd w:val="clear" w:color="auto" w:fill="auto"/>
            <w:noWrap/>
            <w:vAlign w:val="center"/>
          </w:tcPr>
          <w:p w14:paraId="4DD64608" w14:textId="77777777" w:rsidR="007B5A0A" w:rsidRPr="001265DD" w:rsidRDefault="007B5A0A" w:rsidP="0062593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67" w:type="dxa"/>
            <w:tcBorders>
              <w:top w:val="nil"/>
              <w:left w:val="nil"/>
              <w:bottom w:val="nil"/>
              <w:right w:val="nil"/>
            </w:tcBorders>
            <w:shd w:val="clear" w:color="auto" w:fill="auto"/>
            <w:noWrap/>
            <w:vAlign w:val="center"/>
          </w:tcPr>
          <w:p w14:paraId="304977E6" w14:textId="77777777" w:rsidR="007B5A0A" w:rsidRPr="001265DD" w:rsidRDefault="007B5A0A" w:rsidP="0062593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auto"/>
            </w:tcBorders>
            <w:shd w:val="clear" w:color="auto" w:fill="auto"/>
            <w:noWrap/>
            <w:vAlign w:val="center"/>
          </w:tcPr>
          <w:p w14:paraId="0D8987FA" w14:textId="77777777" w:rsidR="007B5A0A" w:rsidRPr="001265DD" w:rsidRDefault="007B5A0A" w:rsidP="00625936">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36" w:type="dxa"/>
            <w:tcBorders>
              <w:top w:val="nil"/>
              <w:left w:val="single" w:sz="4" w:space="0" w:color="auto"/>
              <w:bottom w:val="nil"/>
              <w:right w:val="nil"/>
            </w:tcBorders>
            <w:shd w:val="clear" w:color="auto" w:fill="auto"/>
            <w:noWrap/>
            <w:vAlign w:val="center"/>
          </w:tcPr>
          <w:p w14:paraId="703237FE"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nil"/>
              <w:left w:val="nil"/>
              <w:bottom w:val="nil"/>
              <w:right w:val="nil"/>
            </w:tcBorders>
            <w:shd w:val="clear" w:color="auto" w:fill="auto"/>
            <w:noWrap/>
            <w:vAlign w:val="center"/>
          </w:tcPr>
          <w:p w14:paraId="519AF1A0"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auto"/>
            <w:noWrap/>
            <w:vAlign w:val="center"/>
          </w:tcPr>
          <w:p w14:paraId="403465C2"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36" w:type="dxa"/>
            <w:tcBorders>
              <w:top w:val="nil"/>
              <w:left w:val="single" w:sz="4" w:space="0" w:color="000000"/>
              <w:bottom w:val="nil"/>
              <w:right w:val="nil"/>
            </w:tcBorders>
            <w:shd w:val="clear" w:color="auto" w:fill="auto"/>
            <w:vAlign w:val="center"/>
          </w:tcPr>
          <w:p w14:paraId="3530AD20"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shd w:val="clear" w:color="auto" w:fill="auto"/>
            <w:vAlign w:val="center"/>
          </w:tcPr>
          <w:p w14:paraId="276E82D0"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146" w:type="dxa"/>
            <w:tcBorders>
              <w:top w:val="nil"/>
              <w:left w:val="nil"/>
              <w:bottom w:val="nil"/>
              <w:right w:val="single" w:sz="4" w:space="0" w:color="000000"/>
            </w:tcBorders>
            <w:shd w:val="clear" w:color="auto" w:fill="auto"/>
            <w:vAlign w:val="center"/>
          </w:tcPr>
          <w:p w14:paraId="559D2567"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nil"/>
              <w:left w:val="single" w:sz="4" w:space="0" w:color="000000"/>
              <w:bottom w:val="nil"/>
              <w:right w:val="nil"/>
            </w:tcBorders>
            <w:shd w:val="clear" w:color="auto" w:fill="auto"/>
            <w:vAlign w:val="center"/>
          </w:tcPr>
          <w:p w14:paraId="08B0B0F8" w14:textId="77777777" w:rsidR="007B5A0A" w:rsidRPr="001265DD" w:rsidRDefault="007B5A0A" w:rsidP="00625936">
            <w:pPr>
              <w:keepNext/>
              <w:ind w:right="113"/>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6" w:type="dxa"/>
            <w:tcBorders>
              <w:top w:val="nil"/>
              <w:left w:val="nil"/>
              <w:bottom w:val="nil"/>
              <w:right w:val="nil"/>
            </w:tcBorders>
            <w:shd w:val="clear" w:color="auto" w:fill="auto"/>
            <w:vAlign w:val="center"/>
          </w:tcPr>
          <w:p w14:paraId="7D81D7AE" w14:textId="77777777" w:rsidR="007B5A0A" w:rsidRPr="001265DD" w:rsidRDefault="007B5A0A" w:rsidP="00625936">
            <w:pPr>
              <w:keepNext/>
              <w:ind w:right="113"/>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shd w:val="clear" w:color="auto" w:fill="auto"/>
            <w:vAlign w:val="center"/>
          </w:tcPr>
          <w:p w14:paraId="793C3A40" w14:textId="77777777" w:rsidR="007B5A0A" w:rsidRPr="001265DD" w:rsidRDefault="007B5A0A" w:rsidP="00625936">
            <w:pPr>
              <w:keepNext/>
              <w:ind w:right="113"/>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1265DD" w14:paraId="4D621FF3" w14:textId="77777777" w:rsidTr="001265DD">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36E77AC6" w14:textId="77777777" w:rsidR="007B5A0A" w:rsidRPr="001265DD" w:rsidRDefault="007B5A0A" w:rsidP="00625936">
            <w:pPr>
              <w:keepNext/>
              <w:spacing w:before="20" w:after="20"/>
              <w:ind w:left="34"/>
              <w:rPr>
                <w:rFonts w:eastAsiaTheme="minorEastAsia"/>
                <w:b w:val="0"/>
                <w:sz w:val="18"/>
                <w:szCs w:val="18"/>
                <w:lang w:eastAsia="en-US"/>
              </w:rPr>
            </w:pPr>
            <w:r w:rsidRPr="001265DD">
              <w:rPr>
                <w:rFonts w:eastAsiaTheme="minorEastAsia"/>
                <w:b w:val="0"/>
                <w:sz w:val="18"/>
                <w:szCs w:val="18"/>
                <w:lang w:eastAsia="en-US"/>
              </w:rPr>
              <w:t>Ever smoked</w:t>
            </w:r>
          </w:p>
        </w:tc>
        <w:tc>
          <w:tcPr>
            <w:tcW w:w="567" w:type="dxa"/>
            <w:tcBorders>
              <w:top w:val="nil"/>
              <w:left w:val="nil"/>
              <w:bottom w:val="nil"/>
              <w:right w:val="nil"/>
            </w:tcBorders>
            <w:shd w:val="clear" w:color="auto" w:fill="auto"/>
            <w:noWrap/>
            <w:vAlign w:val="center"/>
          </w:tcPr>
          <w:p w14:paraId="695DBD77"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1265DD">
              <w:rPr>
                <w:color w:val="000000"/>
                <w:sz w:val="18"/>
                <w:szCs w:val="18"/>
              </w:rPr>
              <w:t>515</w:t>
            </w:r>
          </w:p>
        </w:tc>
        <w:tc>
          <w:tcPr>
            <w:tcW w:w="567" w:type="dxa"/>
            <w:tcBorders>
              <w:top w:val="nil"/>
              <w:left w:val="nil"/>
              <w:bottom w:val="nil"/>
              <w:right w:val="nil"/>
            </w:tcBorders>
            <w:shd w:val="clear" w:color="auto" w:fill="auto"/>
            <w:noWrap/>
            <w:vAlign w:val="center"/>
          </w:tcPr>
          <w:p w14:paraId="4C3A7FA2"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79.0</w:t>
            </w:r>
          </w:p>
        </w:tc>
        <w:tc>
          <w:tcPr>
            <w:tcW w:w="1146" w:type="dxa"/>
            <w:tcBorders>
              <w:top w:val="nil"/>
              <w:left w:val="nil"/>
              <w:bottom w:val="nil"/>
              <w:right w:val="single" w:sz="4" w:space="0" w:color="auto"/>
            </w:tcBorders>
            <w:shd w:val="clear" w:color="auto" w:fill="auto"/>
            <w:noWrap/>
            <w:vAlign w:val="center"/>
          </w:tcPr>
          <w:p w14:paraId="7B3F37EC"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(76.4, 81.7)</w:t>
            </w:r>
          </w:p>
        </w:tc>
        <w:tc>
          <w:tcPr>
            <w:tcW w:w="536" w:type="dxa"/>
            <w:tcBorders>
              <w:top w:val="nil"/>
              <w:left w:val="single" w:sz="4" w:space="0" w:color="auto"/>
              <w:bottom w:val="nil"/>
              <w:right w:val="nil"/>
            </w:tcBorders>
            <w:shd w:val="clear" w:color="auto" w:fill="auto"/>
            <w:noWrap/>
            <w:vAlign w:val="center"/>
          </w:tcPr>
          <w:p w14:paraId="43516347"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1265DD">
              <w:rPr>
                <w:color w:val="000000"/>
                <w:sz w:val="18"/>
                <w:szCs w:val="18"/>
              </w:rPr>
              <w:t>313</w:t>
            </w:r>
          </w:p>
        </w:tc>
        <w:tc>
          <w:tcPr>
            <w:tcW w:w="621" w:type="dxa"/>
            <w:tcBorders>
              <w:top w:val="nil"/>
              <w:left w:val="nil"/>
              <w:bottom w:val="nil"/>
              <w:right w:val="nil"/>
            </w:tcBorders>
            <w:shd w:val="clear" w:color="auto" w:fill="auto"/>
            <w:noWrap/>
            <w:vAlign w:val="center"/>
          </w:tcPr>
          <w:p w14:paraId="245A6F17"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81.0</w:t>
            </w:r>
          </w:p>
        </w:tc>
        <w:tc>
          <w:tcPr>
            <w:tcW w:w="1146" w:type="dxa"/>
            <w:tcBorders>
              <w:top w:val="nil"/>
              <w:left w:val="nil"/>
              <w:bottom w:val="nil"/>
              <w:right w:val="single" w:sz="4" w:space="0" w:color="000000"/>
            </w:tcBorders>
            <w:shd w:val="clear" w:color="auto" w:fill="auto"/>
            <w:noWrap/>
            <w:vAlign w:val="center"/>
          </w:tcPr>
          <w:p w14:paraId="3C648618"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(77.5, 84.5)</w:t>
            </w:r>
          </w:p>
        </w:tc>
        <w:tc>
          <w:tcPr>
            <w:tcW w:w="536" w:type="dxa"/>
            <w:tcBorders>
              <w:top w:val="nil"/>
              <w:left w:val="single" w:sz="4" w:space="0" w:color="000000"/>
              <w:bottom w:val="nil"/>
              <w:right w:val="nil"/>
            </w:tcBorders>
            <w:shd w:val="clear" w:color="auto" w:fill="auto"/>
            <w:vAlign w:val="center"/>
          </w:tcPr>
          <w:p w14:paraId="77791E28"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1265DD">
              <w:rPr>
                <w:color w:val="000000"/>
                <w:sz w:val="18"/>
                <w:szCs w:val="18"/>
              </w:rPr>
              <w:t>266</w:t>
            </w:r>
          </w:p>
        </w:tc>
        <w:tc>
          <w:tcPr>
            <w:tcW w:w="567" w:type="dxa"/>
            <w:tcBorders>
              <w:top w:val="nil"/>
              <w:left w:val="nil"/>
              <w:bottom w:val="nil"/>
              <w:right w:val="nil"/>
            </w:tcBorders>
            <w:shd w:val="clear" w:color="auto" w:fill="auto"/>
            <w:vAlign w:val="center"/>
          </w:tcPr>
          <w:p w14:paraId="7C86E3C2"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81.5</w:t>
            </w:r>
          </w:p>
        </w:tc>
        <w:tc>
          <w:tcPr>
            <w:tcW w:w="1146" w:type="dxa"/>
            <w:tcBorders>
              <w:top w:val="nil"/>
              <w:left w:val="nil"/>
              <w:bottom w:val="nil"/>
              <w:right w:val="single" w:sz="4" w:space="0" w:color="auto"/>
            </w:tcBorders>
            <w:shd w:val="clear" w:color="auto" w:fill="auto"/>
            <w:vAlign w:val="center"/>
          </w:tcPr>
          <w:p w14:paraId="5DDC73CC"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(77.4, 85.5)</w:t>
            </w:r>
          </w:p>
        </w:tc>
        <w:tc>
          <w:tcPr>
            <w:tcW w:w="536" w:type="dxa"/>
            <w:tcBorders>
              <w:top w:val="nil"/>
              <w:left w:val="single" w:sz="4" w:space="0" w:color="auto"/>
              <w:bottom w:val="nil"/>
              <w:right w:val="nil"/>
            </w:tcBorders>
            <w:shd w:val="clear" w:color="auto" w:fill="auto"/>
            <w:vAlign w:val="center"/>
          </w:tcPr>
          <w:p w14:paraId="6D534FB8"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1265DD">
              <w:rPr>
                <w:color w:val="000000"/>
                <w:sz w:val="18"/>
                <w:szCs w:val="18"/>
              </w:rPr>
              <w:t>233</w:t>
            </w:r>
          </w:p>
        </w:tc>
        <w:tc>
          <w:tcPr>
            <w:tcW w:w="576" w:type="dxa"/>
            <w:tcBorders>
              <w:top w:val="nil"/>
              <w:left w:val="nil"/>
              <w:bottom w:val="nil"/>
              <w:right w:val="nil"/>
            </w:tcBorders>
            <w:shd w:val="clear" w:color="auto" w:fill="auto"/>
            <w:vAlign w:val="center"/>
          </w:tcPr>
          <w:p w14:paraId="3026344A"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79.7</w:t>
            </w:r>
          </w:p>
        </w:tc>
        <w:tc>
          <w:tcPr>
            <w:tcW w:w="1146" w:type="dxa"/>
            <w:tcBorders>
              <w:top w:val="nil"/>
              <w:left w:val="nil"/>
              <w:bottom w:val="nil"/>
              <w:right w:val="nil"/>
            </w:tcBorders>
            <w:shd w:val="clear" w:color="auto" w:fill="auto"/>
            <w:vAlign w:val="center"/>
          </w:tcPr>
          <w:p w14:paraId="44B0CAD5"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(74.9, 84.4)</w:t>
            </w:r>
          </w:p>
        </w:tc>
      </w:tr>
      <w:tr w:rsidR="009118DA" w:rsidRPr="001265DD" w14:paraId="1ECAB494" w14:textId="77777777" w:rsidTr="001265DD">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48708D8F" w14:textId="77777777" w:rsidR="007B5A0A" w:rsidRPr="001265DD" w:rsidRDefault="007B5A0A" w:rsidP="00625936">
            <w:pPr>
              <w:keepNext/>
              <w:spacing w:before="20" w:after="20"/>
              <w:ind w:left="34"/>
              <w:rPr>
                <w:rFonts w:eastAsiaTheme="minorEastAsia"/>
                <w:b w:val="0"/>
                <w:sz w:val="18"/>
                <w:szCs w:val="18"/>
                <w:lang w:eastAsia="en-US"/>
              </w:rPr>
            </w:pPr>
            <w:r w:rsidRPr="001265DD">
              <w:rPr>
                <w:rFonts w:eastAsiaTheme="minorEastAsia"/>
                <w:b w:val="0"/>
                <w:sz w:val="18"/>
                <w:szCs w:val="18"/>
                <w:lang w:eastAsia="en-US"/>
              </w:rPr>
              <w:t>Smoked more than 100 cigarettes in lifetime</w:t>
            </w:r>
          </w:p>
        </w:tc>
        <w:tc>
          <w:tcPr>
            <w:tcW w:w="567" w:type="dxa"/>
            <w:tcBorders>
              <w:top w:val="nil"/>
              <w:left w:val="nil"/>
              <w:bottom w:val="nil"/>
              <w:right w:val="nil"/>
            </w:tcBorders>
            <w:shd w:val="clear" w:color="auto" w:fill="auto"/>
            <w:noWrap/>
            <w:vAlign w:val="center"/>
          </w:tcPr>
          <w:p w14:paraId="20F39073"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427</w:t>
            </w:r>
          </w:p>
        </w:tc>
        <w:tc>
          <w:tcPr>
            <w:tcW w:w="567" w:type="dxa"/>
            <w:tcBorders>
              <w:top w:val="nil"/>
              <w:left w:val="nil"/>
              <w:bottom w:val="nil"/>
              <w:right w:val="nil"/>
            </w:tcBorders>
            <w:shd w:val="clear" w:color="auto" w:fill="auto"/>
            <w:noWrap/>
            <w:vAlign w:val="center"/>
          </w:tcPr>
          <w:p w14:paraId="3AF95C07"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65.7</w:t>
            </w:r>
          </w:p>
        </w:tc>
        <w:tc>
          <w:tcPr>
            <w:tcW w:w="1146" w:type="dxa"/>
            <w:tcBorders>
              <w:top w:val="nil"/>
              <w:left w:val="nil"/>
              <w:bottom w:val="nil"/>
              <w:right w:val="single" w:sz="4" w:space="0" w:color="auto"/>
            </w:tcBorders>
            <w:shd w:val="clear" w:color="auto" w:fill="auto"/>
            <w:noWrap/>
            <w:vAlign w:val="center"/>
          </w:tcPr>
          <w:p w14:paraId="0B4C40A1"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(62.6, 68.8)</w:t>
            </w:r>
          </w:p>
        </w:tc>
        <w:tc>
          <w:tcPr>
            <w:tcW w:w="536" w:type="dxa"/>
            <w:tcBorders>
              <w:top w:val="nil"/>
              <w:left w:val="single" w:sz="4" w:space="0" w:color="auto"/>
              <w:bottom w:val="nil"/>
              <w:right w:val="nil"/>
            </w:tcBorders>
            <w:shd w:val="clear" w:color="auto" w:fill="auto"/>
            <w:noWrap/>
            <w:vAlign w:val="center"/>
          </w:tcPr>
          <w:p w14:paraId="075809ED"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248</w:t>
            </w:r>
          </w:p>
        </w:tc>
        <w:tc>
          <w:tcPr>
            <w:tcW w:w="621" w:type="dxa"/>
            <w:tcBorders>
              <w:top w:val="nil"/>
              <w:left w:val="nil"/>
              <w:bottom w:val="nil"/>
              <w:right w:val="nil"/>
            </w:tcBorders>
            <w:shd w:val="clear" w:color="auto" w:fill="auto"/>
            <w:noWrap/>
            <w:vAlign w:val="center"/>
          </w:tcPr>
          <w:p w14:paraId="57818DBB"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64.2</w:t>
            </w:r>
          </w:p>
        </w:tc>
        <w:tc>
          <w:tcPr>
            <w:tcW w:w="1146" w:type="dxa"/>
            <w:tcBorders>
              <w:top w:val="nil"/>
              <w:left w:val="nil"/>
              <w:bottom w:val="nil"/>
              <w:right w:val="single" w:sz="4" w:space="0" w:color="000000"/>
            </w:tcBorders>
            <w:shd w:val="clear" w:color="auto" w:fill="auto"/>
            <w:noWrap/>
            <w:vAlign w:val="center"/>
          </w:tcPr>
          <w:p w14:paraId="20272776"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(59.6, 68.8)</w:t>
            </w:r>
          </w:p>
        </w:tc>
        <w:tc>
          <w:tcPr>
            <w:tcW w:w="536" w:type="dxa"/>
            <w:tcBorders>
              <w:top w:val="nil"/>
              <w:left w:val="single" w:sz="4" w:space="0" w:color="000000"/>
              <w:bottom w:val="nil"/>
              <w:right w:val="nil"/>
            </w:tcBorders>
            <w:shd w:val="clear" w:color="auto" w:fill="auto"/>
            <w:vAlign w:val="center"/>
          </w:tcPr>
          <w:p w14:paraId="19219C42"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204</w:t>
            </w:r>
          </w:p>
        </w:tc>
        <w:tc>
          <w:tcPr>
            <w:tcW w:w="567" w:type="dxa"/>
            <w:tcBorders>
              <w:top w:val="nil"/>
              <w:left w:val="nil"/>
              <w:bottom w:val="nil"/>
              <w:right w:val="nil"/>
            </w:tcBorders>
            <w:shd w:val="clear" w:color="auto" w:fill="auto"/>
            <w:vAlign w:val="center"/>
          </w:tcPr>
          <w:p w14:paraId="397440E8"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62.3</w:t>
            </w:r>
          </w:p>
        </w:tc>
        <w:tc>
          <w:tcPr>
            <w:tcW w:w="1146" w:type="dxa"/>
            <w:tcBorders>
              <w:top w:val="nil"/>
              <w:left w:val="nil"/>
              <w:bottom w:val="nil"/>
              <w:right w:val="single" w:sz="4" w:space="0" w:color="auto"/>
            </w:tcBorders>
            <w:shd w:val="clear" w:color="auto" w:fill="auto"/>
            <w:vAlign w:val="center"/>
          </w:tcPr>
          <w:p w14:paraId="3BEACF36"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(56.1, 68.6)</w:t>
            </w:r>
          </w:p>
        </w:tc>
        <w:tc>
          <w:tcPr>
            <w:tcW w:w="536" w:type="dxa"/>
            <w:tcBorders>
              <w:top w:val="nil"/>
              <w:left w:val="single" w:sz="4" w:space="0" w:color="auto"/>
              <w:bottom w:val="nil"/>
              <w:right w:val="nil"/>
            </w:tcBorders>
            <w:shd w:val="clear" w:color="auto" w:fill="auto"/>
            <w:vAlign w:val="center"/>
          </w:tcPr>
          <w:p w14:paraId="3A1C16AC"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173</w:t>
            </w:r>
          </w:p>
        </w:tc>
        <w:tc>
          <w:tcPr>
            <w:tcW w:w="576" w:type="dxa"/>
            <w:tcBorders>
              <w:top w:val="nil"/>
              <w:left w:val="nil"/>
              <w:bottom w:val="nil"/>
              <w:right w:val="nil"/>
            </w:tcBorders>
            <w:shd w:val="clear" w:color="auto" w:fill="auto"/>
            <w:vAlign w:val="center"/>
          </w:tcPr>
          <w:p w14:paraId="629E85F8"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59.0</w:t>
            </w:r>
          </w:p>
        </w:tc>
        <w:tc>
          <w:tcPr>
            <w:tcW w:w="1146" w:type="dxa"/>
            <w:tcBorders>
              <w:top w:val="nil"/>
              <w:left w:val="nil"/>
              <w:bottom w:val="nil"/>
              <w:right w:val="nil"/>
            </w:tcBorders>
            <w:shd w:val="clear" w:color="auto" w:fill="auto"/>
            <w:vAlign w:val="center"/>
          </w:tcPr>
          <w:p w14:paraId="768671DA" w14:textId="77777777" w:rsidR="007B5A0A" w:rsidRPr="001265DD" w:rsidRDefault="007B5A0A"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(51.5, 66.6)</w:t>
            </w:r>
          </w:p>
        </w:tc>
      </w:tr>
      <w:tr w:rsidR="009118DA" w:rsidRPr="001265DD" w14:paraId="51CA2732" w14:textId="77777777" w:rsidTr="001265DD">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single" w:sz="4" w:space="0" w:color="auto"/>
              <w:right w:val="nil"/>
            </w:tcBorders>
            <w:shd w:val="clear" w:color="auto" w:fill="auto"/>
          </w:tcPr>
          <w:p w14:paraId="617E5952" w14:textId="77777777" w:rsidR="007B5A0A" w:rsidRPr="001265DD" w:rsidRDefault="007B5A0A" w:rsidP="008C60C5">
            <w:pPr>
              <w:spacing w:before="20" w:after="60"/>
              <w:ind w:left="34"/>
              <w:rPr>
                <w:rFonts w:eastAsiaTheme="minorEastAsia"/>
                <w:b w:val="0"/>
                <w:sz w:val="18"/>
                <w:szCs w:val="18"/>
                <w:lang w:eastAsia="en-US"/>
              </w:rPr>
            </w:pPr>
            <w:r w:rsidRPr="001265DD">
              <w:rPr>
                <w:rFonts w:eastAsiaTheme="minorEastAsia"/>
                <w:b w:val="0"/>
                <w:sz w:val="18"/>
                <w:szCs w:val="18"/>
                <w:lang w:eastAsia="en-US"/>
              </w:rPr>
              <w:t>Ever smoked daily</w:t>
            </w:r>
          </w:p>
        </w:tc>
        <w:tc>
          <w:tcPr>
            <w:tcW w:w="567" w:type="dxa"/>
            <w:tcBorders>
              <w:top w:val="nil"/>
              <w:left w:val="nil"/>
              <w:bottom w:val="single" w:sz="4" w:space="0" w:color="auto"/>
              <w:right w:val="nil"/>
            </w:tcBorders>
            <w:shd w:val="clear" w:color="auto" w:fill="auto"/>
            <w:noWrap/>
            <w:vAlign w:val="center"/>
          </w:tcPr>
          <w:p w14:paraId="47358A89"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405</w:t>
            </w:r>
          </w:p>
        </w:tc>
        <w:tc>
          <w:tcPr>
            <w:tcW w:w="567" w:type="dxa"/>
            <w:tcBorders>
              <w:top w:val="nil"/>
              <w:left w:val="nil"/>
              <w:bottom w:val="single" w:sz="4" w:space="0" w:color="auto"/>
              <w:right w:val="nil"/>
            </w:tcBorders>
            <w:shd w:val="clear" w:color="auto" w:fill="auto"/>
            <w:noWrap/>
            <w:vAlign w:val="center"/>
          </w:tcPr>
          <w:p w14:paraId="6C108B40"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62.2</w:t>
            </w:r>
          </w:p>
        </w:tc>
        <w:tc>
          <w:tcPr>
            <w:tcW w:w="1146" w:type="dxa"/>
            <w:tcBorders>
              <w:top w:val="nil"/>
              <w:left w:val="nil"/>
              <w:bottom w:val="single" w:sz="4" w:space="0" w:color="auto"/>
              <w:right w:val="single" w:sz="4" w:space="0" w:color="auto"/>
            </w:tcBorders>
            <w:shd w:val="clear" w:color="auto" w:fill="auto"/>
            <w:noWrap/>
            <w:vAlign w:val="center"/>
          </w:tcPr>
          <w:p w14:paraId="51BAFC27"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(59.0, 65.4)</w:t>
            </w:r>
          </w:p>
        </w:tc>
        <w:tc>
          <w:tcPr>
            <w:tcW w:w="536" w:type="dxa"/>
            <w:tcBorders>
              <w:top w:val="nil"/>
              <w:left w:val="single" w:sz="4" w:space="0" w:color="auto"/>
              <w:bottom w:val="single" w:sz="4" w:space="0" w:color="auto"/>
              <w:right w:val="nil"/>
            </w:tcBorders>
            <w:shd w:val="clear" w:color="auto" w:fill="auto"/>
            <w:noWrap/>
            <w:vAlign w:val="center"/>
          </w:tcPr>
          <w:p w14:paraId="0D683F36"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235</w:t>
            </w:r>
          </w:p>
        </w:tc>
        <w:tc>
          <w:tcPr>
            <w:tcW w:w="621" w:type="dxa"/>
            <w:tcBorders>
              <w:top w:val="nil"/>
              <w:left w:val="nil"/>
              <w:bottom w:val="single" w:sz="4" w:space="0" w:color="auto"/>
              <w:right w:val="nil"/>
            </w:tcBorders>
            <w:shd w:val="clear" w:color="auto" w:fill="auto"/>
            <w:noWrap/>
            <w:vAlign w:val="center"/>
          </w:tcPr>
          <w:p w14:paraId="734DA254"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60.8</w:t>
            </w:r>
          </w:p>
        </w:tc>
        <w:tc>
          <w:tcPr>
            <w:tcW w:w="1146" w:type="dxa"/>
            <w:tcBorders>
              <w:top w:val="nil"/>
              <w:left w:val="nil"/>
              <w:bottom w:val="single" w:sz="4" w:space="0" w:color="auto"/>
              <w:right w:val="single" w:sz="4" w:space="0" w:color="000000"/>
            </w:tcBorders>
            <w:shd w:val="clear" w:color="auto" w:fill="auto"/>
            <w:noWrap/>
            <w:vAlign w:val="center"/>
          </w:tcPr>
          <w:p w14:paraId="045954B3"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(56.2, 65.5)</w:t>
            </w:r>
          </w:p>
        </w:tc>
        <w:tc>
          <w:tcPr>
            <w:tcW w:w="536" w:type="dxa"/>
            <w:tcBorders>
              <w:top w:val="nil"/>
              <w:left w:val="single" w:sz="4" w:space="0" w:color="000000"/>
              <w:bottom w:val="single" w:sz="4" w:space="0" w:color="auto"/>
              <w:right w:val="nil"/>
            </w:tcBorders>
            <w:shd w:val="clear" w:color="auto" w:fill="auto"/>
            <w:vAlign w:val="center"/>
          </w:tcPr>
          <w:p w14:paraId="721304F5"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194</w:t>
            </w:r>
          </w:p>
        </w:tc>
        <w:tc>
          <w:tcPr>
            <w:tcW w:w="567" w:type="dxa"/>
            <w:tcBorders>
              <w:top w:val="nil"/>
              <w:left w:val="nil"/>
              <w:bottom w:val="single" w:sz="4" w:space="0" w:color="auto"/>
              <w:right w:val="nil"/>
            </w:tcBorders>
            <w:shd w:val="clear" w:color="auto" w:fill="auto"/>
            <w:vAlign w:val="center"/>
          </w:tcPr>
          <w:p w14:paraId="5EB2121B"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59.3</w:t>
            </w:r>
          </w:p>
        </w:tc>
        <w:tc>
          <w:tcPr>
            <w:tcW w:w="1146" w:type="dxa"/>
            <w:tcBorders>
              <w:top w:val="nil"/>
              <w:left w:val="nil"/>
              <w:bottom w:val="single" w:sz="4" w:space="0" w:color="auto"/>
              <w:right w:val="single" w:sz="4" w:space="0" w:color="auto"/>
            </w:tcBorders>
            <w:shd w:val="clear" w:color="auto" w:fill="auto"/>
            <w:vAlign w:val="center"/>
          </w:tcPr>
          <w:p w14:paraId="706D6D3F"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(53.1, 65.6)</w:t>
            </w:r>
          </w:p>
        </w:tc>
        <w:tc>
          <w:tcPr>
            <w:tcW w:w="536" w:type="dxa"/>
            <w:tcBorders>
              <w:top w:val="nil"/>
              <w:left w:val="single" w:sz="4" w:space="0" w:color="auto"/>
              <w:bottom w:val="single" w:sz="4" w:space="0" w:color="auto"/>
              <w:right w:val="nil"/>
            </w:tcBorders>
            <w:shd w:val="clear" w:color="auto" w:fill="auto"/>
            <w:vAlign w:val="center"/>
          </w:tcPr>
          <w:p w14:paraId="3105091E"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168</w:t>
            </w:r>
          </w:p>
        </w:tc>
        <w:tc>
          <w:tcPr>
            <w:tcW w:w="576" w:type="dxa"/>
            <w:tcBorders>
              <w:top w:val="nil"/>
              <w:left w:val="nil"/>
              <w:bottom w:val="single" w:sz="4" w:space="0" w:color="auto"/>
              <w:right w:val="nil"/>
            </w:tcBorders>
            <w:shd w:val="clear" w:color="auto" w:fill="auto"/>
            <w:vAlign w:val="center"/>
          </w:tcPr>
          <w:p w14:paraId="293B87DC"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57.3</w:t>
            </w:r>
          </w:p>
        </w:tc>
        <w:tc>
          <w:tcPr>
            <w:tcW w:w="1146" w:type="dxa"/>
            <w:tcBorders>
              <w:top w:val="nil"/>
              <w:left w:val="nil"/>
              <w:bottom w:val="single" w:sz="4" w:space="0" w:color="auto"/>
              <w:right w:val="nil"/>
            </w:tcBorders>
            <w:shd w:val="clear" w:color="auto" w:fill="auto"/>
            <w:vAlign w:val="center"/>
          </w:tcPr>
          <w:p w14:paraId="6BD7D318"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(49.8, 64.7)</w:t>
            </w:r>
          </w:p>
        </w:tc>
      </w:tr>
      <w:tr w:rsidR="002E64B9" w:rsidRPr="001265DD" w14:paraId="2D251F28" w14:textId="77777777" w:rsidTr="001265DD">
        <w:trPr>
          <w:jc w:val="center"/>
        </w:trPr>
        <w:tc>
          <w:tcPr>
            <w:cnfStyle w:val="001000000000" w:firstRow="0" w:lastRow="0" w:firstColumn="1" w:lastColumn="0" w:oddVBand="0" w:evenVBand="0" w:oddHBand="0" w:evenHBand="0" w:firstRowFirstColumn="0" w:firstRowLastColumn="0" w:lastRowFirstColumn="0" w:lastRowLastColumn="0"/>
            <w:tcW w:w="4674" w:type="dxa"/>
            <w:gridSpan w:val="3"/>
            <w:tcBorders>
              <w:top w:val="single" w:sz="4" w:space="0" w:color="auto"/>
              <w:left w:val="nil"/>
              <w:bottom w:val="nil"/>
              <w:right w:val="nil"/>
            </w:tcBorders>
            <w:shd w:val="clear" w:color="auto" w:fill="auto"/>
            <w:vAlign w:val="center"/>
          </w:tcPr>
          <w:p w14:paraId="534E7D28" w14:textId="77777777" w:rsidR="007B5A0A" w:rsidRPr="001265DD" w:rsidRDefault="007B5A0A" w:rsidP="00616DE1">
            <w:pPr>
              <w:keepNext/>
              <w:spacing w:before="20" w:after="20"/>
              <w:rPr>
                <w:rFonts w:eastAsiaTheme="minorEastAsia"/>
                <w:sz w:val="18"/>
                <w:szCs w:val="18"/>
                <w:lang w:eastAsia="en-US"/>
              </w:rPr>
            </w:pPr>
            <w:r w:rsidRPr="001265DD">
              <w:rPr>
                <w:rFonts w:eastAsiaTheme="minorEastAsia"/>
                <w:sz w:val="18"/>
                <w:szCs w:val="18"/>
                <w:lang w:eastAsia="en-US"/>
              </w:rPr>
              <w:t>How often currently smoke tobacco</w:t>
            </w:r>
          </w:p>
        </w:tc>
        <w:tc>
          <w:tcPr>
            <w:tcW w:w="1146" w:type="dxa"/>
            <w:tcBorders>
              <w:top w:val="single" w:sz="4" w:space="0" w:color="auto"/>
              <w:left w:val="nil"/>
              <w:bottom w:val="nil"/>
              <w:right w:val="single" w:sz="4" w:space="0" w:color="auto"/>
            </w:tcBorders>
            <w:shd w:val="clear" w:color="auto" w:fill="auto"/>
            <w:noWrap/>
            <w:vAlign w:val="center"/>
          </w:tcPr>
          <w:p w14:paraId="05245920" w14:textId="77777777" w:rsidR="007B5A0A" w:rsidRPr="001265DD" w:rsidRDefault="007B5A0A" w:rsidP="00616DE1">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36" w:type="dxa"/>
            <w:tcBorders>
              <w:top w:val="single" w:sz="4" w:space="0" w:color="auto"/>
              <w:left w:val="single" w:sz="4" w:space="0" w:color="auto"/>
              <w:bottom w:val="nil"/>
              <w:right w:val="nil"/>
            </w:tcBorders>
            <w:shd w:val="clear" w:color="auto" w:fill="auto"/>
            <w:noWrap/>
            <w:vAlign w:val="center"/>
          </w:tcPr>
          <w:p w14:paraId="5E7BE230" w14:textId="77777777" w:rsidR="007B5A0A" w:rsidRPr="001265DD" w:rsidRDefault="007B5A0A" w:rsidP="00616DE1">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single" w:sz="4" w:space="0" w:color="auto"/>
              <w:left w:val="nil"/>
              <w:bottom w:val="nil"/>
              <w:right w:val="nil"/>
            </w:tcBorders>
            <w:shd w:val="clear" w:color="auto" w:fill="auto"/>
            <w:noWrap/>
            <w:vAlign w:val="center"/>
          </w:tcPr>
          <w:p w14:paraId="51A122CE" w14:textId="77777777" w:rsidR="007B5A0A" w:rsidRPr="001265DD" w:rsidRDefault="007B5A0A" w:rsidP="00616DE1">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single" w:sz="4" w:space="0" w:color="auto"/>
              <w:left w:val="nil"/>
              <w:bottom w:val="nil"/>
              <w:right w:val="single" w:sz="4" w:space="0" w:color="000000"/>
            </w:tcBorders>
            <w:shd w:val="clear" w:color="auto" w:fill="auto"/>
            <w:noWrap/>
            <w:vAlign w:val="bottom"/>
          </w:tcPr>
          <w:p w14:paraId="2DC10ABC" w14:textId="77777777" w:rsidR="007B5A0A" w:rsidRPr="001265DD" w:rsidRDefault="007B5A0A" w:rsidP="00616DE1">
            <w:pPr>
              <w:keepNex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single" w:sz="4" w:space="0" w:color="auto"/>
              <w:left w:val="single" w:sz="4" w:space="0" w:color="000000"/>
              <w:bottom w:val="nil"/>
              <w:right w:val="nil"/>
            </w:tcBorders>
            <w:shd w:val="clear" w:color="auto" w:fill="auto"/>
            <w:vAlign w:val="bottom"/>
          </w:tcPr>
          <w:p w14:paraId="61C5963A" w14:textId="77777777" w:rsidR="007B5A0A" w:rsidRPr="001265DD" w:rsidRDefault="007B5A0A" w:rsidP="00616DE1">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567" w:type="dxa"/>
            <w:tcBorders>
              <w:top w:val="single" w:sz="4" w:space="0" w:color="auto"/>
              <w:left w:val="nil"/>
              <w:bottom w:val="nil"/>
              <w:right w:val="nil"/>
            </w:tcBorders>
            <w:shd w:val="clear" w:color="auto" w:fill="auto"/>
            <w:vAlign w:val="bottom"/>
          </w:tcPr>
          <w:p w14:paraId="7421174B" w14:textId="77777777" w:rsidR="007B5A0A" w:rsidRPr="001265DD" w:rsidRDefault="007B5A0A" w:rsidP="00616DE1">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single" w:sz="4" w:space="0" w:color="auto"/>
              <w:left w:val="nil"/>
              <w:bottom w:val="nil"/>
              <w:right w:val="single" w:sz="4" w:space="0" w:color="auto"/>
            </w:tcBorders>
            <w:shd w:val="clear" w:color="auto" w:fill="auto"/>
            <w:vAlign w:val="bottom"/>
          </w:tcPr>
          <w:p w14:paraId="34878B7D" w14:textId="77777777" w:rsidR="007B5A0A" w:rsidRPr="001265DD" w:rsidRDefault="007B5A0A" w:rsidP="00616DE1">
            <w:pPr>
              <w:keepNex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single" w:sz="4" w:space="0" w:color="auto"/>
              <w:left w:val="single" w:sz="4" w:space="0" w:color="auto"/>
              <w:bottom w:val="nil"/>
              <w:right w:val="nil"/>
            </w:tcBorders>
            <w:shd w:val="clear" w:color="auto" w:fill="auto"/>
            <w:vAlign w:val="bottom"/>
          </w:tcPr>
          <w:p w14:paraId="4EFEFBF9" w14:textId="77777777" w:rsidR="007B5A0A" w:rsidRPr="001265DD" w:rsidRDefault="007B5A0A" w:rsidP="00616DE1">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576" w:type="dxa"/>
            <w:tcBorders>
              <w:top w:val="single" w:sz="4" w:space="0" w:color="auto"/>
              <w:left w:val="nil"/>
              <w:bottom w:val="nil"/>
              <w:right w:val="nil"/>
            </w:tcBorders>
            <w:shd w:val="clear" w:color="auto" w:fill="auto"/>
            <w:vAlign w:val="bottom"/>
          </w:tcPr>
          <w:p w14:paraId="271556D3" w14:textId="77777777" w:rsidR="007B5A0A" w:rsidRPr="001265DD" w:rsidRDefault="007B5A0A" w:rsidP="00616DE1">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single" w:sz="4" w:space="0" w:color="auto"/>
              <w:left w:val="nil"/>
              <w:bottom w:val="nil"/>
              <w:right w:val="nil"/>
            </w:tcBorders>
            <w:shd w:val="clear" w:color="auto" w:fill="auto"/>
            <w:vAlign w:val="bottom"/>
          </w:tcPr>
          <w:p w14:paraId="78B0AE8C" w14:textId="77777777" w:rsidR="007B5A0A" w:rsidRPr="001265DD" w:rsidRDefault="007B5A0A" w:rsidP="00616DE1">
            <w:pPr>
              <w:keepNext/>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118DA" w:rsidRPr="001265DD" w14:paraId="1F5AF73E" w14:textId="77777777" w:rsidTr="001265DD">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04290366" w14:textId="77777777" w:rsidR="007B5A0A" w:rsidRPr="001265DD" w:rsidRDefault="007B5A0A" w:rsidP="00616DE1">
            <w:pPr>
              <w:keepNext/>
              <w:spacing w:before="20" w:after="20"/>
              <w:ind w:left="34"/>
              <w:rPr>
                <w:rFonts w:eastAsiaTheme="minorEastAsia"/>
                <w:b w:val="0"/>
                <w:sz w:val="18"/>
                <w:szCs w:val="18"/>
                <w:lang w:eastAsia="en-US"/>
              </w:rPr>
            </w:pPr>
            <w:r w:rsidRPr="001265DD">
              <w:rPr>
                <w:rFonts w:eastAsiaTheme="minorEastAsia"/>
                <w:b w:val="0"/>
                <w:sz w:val="18"/>
                <w:szCs w:val="18"/>
                <w:lang w:eastAsia="en-US"/>
              </w:rPr>
              <w:t>Does not smoke now</w:t>
            </w:r>
          </w:p>
        </w:tc>
        <w:tc>
          <w:tcPr>
            <w:tcW w:w="567" w:type="dxa"/>
            <w:tcBorders>
              <w:top w:val="nil"/>
              <w:left w:val="nil"/>
              <w:bottom w:val="nil"/>
              <w:right w:val="nil"/>
            </w:tcBorders>
            <w:shd w:val="clear" w:color="auto" w:fill="auto"/>
            <w:noWrap/>
            <w:vAlign w:val="center"/>
          </w:tcPr>
          <w:p w14:paraId="34740692" w14:textId="77777777" w:rsidR="007B5A0A" w:rsidRPr="001265DD" w:rsidRDefault="007B5A0A"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1265DD">
              <w:rPr>
                <w:color w:val="000000"/>
                <w:sz w:val="18"/>
                <w:szCs w:val="18"/>
              </w:rPr>
              <w:t>172</w:t>
            </w:r>
          </w:p>
        </w:tc>
        <w:tc>
          <w:tcPr>
            <w:tcW w:w="567" w:type="dxa"/>
            <w:tcBorders>
              <w:top w:val="nil"/>
              <w:left w:val="nil"/>
              <w:bottom w:val="nil"/>
              <w:right w:val="nil"/>
            </w:tcBorders>
            <w:shd w:val="clear" w:color="auto" w:fill="auto"/>
            <w:noWrap/>
            <w:vAlign w:val="center"/>
          </w:tcPr>
          <w:p w14:paraId="622CD073" w14:textId="77777777" w:rsidR="007B5A0A" w:rsidRPr="001265DD" w:rsidRDefault="007B5A0A"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26.5</w:t>
            </w:r>
          </w:p>
        </w:tc>
        <w:tc>
          <w:tcPr>
            <w:tcW w:w="1146" w:type="dxa"/>
            <w:tcBorders>
              <w:top w:val="nil"/>
              <w:left w:val="nil"/>
              <w:bottom w:val="nil"/>
              <w:right w:val="single" w:sz="4" w:space="0" w:color="auto"/>
            </w:tcBorders>
            <w:shd w:val="clear" w:color="auto" w:fill="auto"/>
            <w:noWrap/>
            <w:vAlign w:val="center"/>
          </w:tcPr>
          <w:p w14:paraId="6C45BB91" w14:textId="77777777" w:rsidR="007B5A0A" w:rsidRPr="001265DD" w:rsidRDefault="007B5A0A"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(23.7, 29.3)</w:t>
            </w:r>
          </w:p>
        </w:tc>
        <w:tc>
          <w:tcPr>
            <w:tcW w:w="536" w:type="dxa"/>
            <w:tcBorders>
              <w:top w:val="nil"/>
              <w:left w:val="single" w:sz="4" w:space="0" w:color="auto"/>
              <w:bottom w:val="nil"/>
              <w:right w:val="nil"/>
            </w:tcBorders>
            <w:shd w:val="clear" w:color="auto" w:fill="auto"/>
            <w:noWrap/>
            <w:vAlign w:val="center"/>
          </w:tcPr>
          <w:p w14:paraId="4A39AA2D" w14:textId="77777777" w:rsidR="007B5A0A" w:rsidRPr="001265DD" w:rsidRDefault="007B5A0A"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106</w:t>
            </w:r>
          </w:p>
        </w:tc>
        <w:tc>
          <w:tcPr>
            <w:tcW w:w="621" w:type="dxa"/>
            <w:tcBorders>
              <w:top w:val="nil"/>
              <w:left w:val="nil"/>
              <w:bottom w:val="nil"/>
              <w:right w:val="nil"/>
            </w:tcBorders>
            <w:shd w:val="clear" w:color="auto" w:fill="auto"/>
            <w:noWrap/>
            <w:vAlign w:val="center"/>
          </w:tcPr>
          <w:p w14:paraId="21426DF8" w14:textId="77777777" w:rsidR="007B5A0A" w:rsidRPr="001265DD" w:rsidRDefault="007B5A0A"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27.4</w:t>
            </w:r>
          </w:p>
        </w:tc>
        <w:tc>
          <w:tcPr>
            <w:tcW w:w="1146" w:type="dxa"/>
            <w:tcBorders>
              <w:top w:val="nil"/>
              <w:left w:val="nil"/>
              <w:bottom w:val="nil"/>
              <w:right w:val="single" w:sz="4" w:space="0" w:color="000000"/>
            </w:tcBorders>
            <w:shd w:val="clear" w:color="auto" w:fill="auto"/>
            <w:noWrap/>
            <w:vAlign w:val="center"/>
          </w:tcPr>
          <w:p w14:paraId="0C8192F9" w14:textId="77777777" w:rsidR="007B5A0A" w:rsidRPr="001265DD" w:rsidRDefault="007B5A0A"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(23.6, 31.2)</w:t>
            </w:r>
          </w:p>
        </w:tc>
        <w:tc>
          <w:tcPr>
            <w:tcW w:w="536" w:type="dxa"/>
            <w:tcBorders>
              <w:top w:val="nil"/>
              <w:left w:val="single" w:sz="4" w:space="0" w:color="000000"/>
              <w:bottom w:val="nil"/>
              <w:right w:val="nil"/>
            </w:tcBorders>
            <w:shd w:val="clear" w:color="auto" w:fill="auto"/>
            <w:vAlign w:val="center"/>
          </w:tcPr>
          <w:p w14:paraId="61EFFFB2" w14:textId="77777777" w:rsidR="007B5A0A" w:rsidRPr="001265DD" w:rsidRDefault="007B5A0A"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89</w:t>
            </w:r>
          </w:p>
        </w:tc>
        <w:tc>
          <w:tcPr>
            <w:tcW w:w="567" w:type="dxa"/>
            <w:tcBorders>
              <w:top w:val="nil"/>
              <w:left w:val="nil"/>
              <w:bottom w:val="nil"/>
              <w:right w:val="nil"/>
            </w:tcBorders>
            <w:shd w:val="clear" w:color="auto" w:fill="auto"/>
            <w:vAlign w:val="center"/>
          </w:tcPr>
          <w:p w14:paraId="4F313411" w14:textId="77777777" w:rsidR="007B5A0A" w:rsidRPr="001265DD" w:rsidRDefault="007B5A0A"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27.2</w:t>
            </w:r>
          </w:p>
        </w:tc>
        <w:tc>
          <w:tcPr>
            <w:tcW w:w="1146" w:type="dxa"/>
            <w:tcBorders>
              <w:top w:val="nil"/>
              <w:left w:val="nil"/>
              <w:bottom w:val="nil"/>
              <w:right w:val="single" w:sz="4" w:space="0" w:color="auto"/>
            </w:tcBorders>
            <w:shd w:val="clear" w:color="auto" w:fill="auto"/>
            <w:vAlign w:val="center"/>
          </w:tcPr>
          <w:p w14:paraId="2DA7594D" w14:textId="77777777" w:rsidR="007B5A0A" w:rsidRPr="001265DD" w:rsidRDefault="007B5A0A"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(22.6, 31.7)</w:t>
            </w:r>
          </w:p>
        </w:tc>
        <w:tc>
          <w:tcPr>
            <w:tcW w:w="536" w:type="dxa"/>
            <w:tcBorders>
              <w:top w:val="nil"/>
              <w:left w:val="single" w:sz="4" w:space="0" w:color="auto"/>
              <w:bottom w:val="nil"/>
              <w:right w:val="nil"/>
            </w:tcBorders>
            <w:shd w:val="clear" w:color="auto" w:fill="auto"/>
            <w:vAlign w:val="center"/>
          </w:tcPr>
          <w:p w14:paraId="0819B2BF" w14:textId="77777777" w:rsidR="007B5A0A" w:rsidRPr="001265DD" w:rsidRDefault="007B5A0A"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76</w:t>
            </w:r>
          </w:p>
        </w:tc>
        <w:tc>
          <w:tcPr>
            <w:tcW w:w="576" w:type="dxa"/>
            <w:tcBorders>
              <w:top w:val="nil"/>
              <w:left w:val="nil"/>
              <w:bottom w:val="nil"/>
              <w:right w:val="nil"/>
            </w:tcBorders>
            <w:shd w:val="clear" w:color="auto" w:fill="auto"/>
            <w:vAlign w:val="center"/>
          </w:tcPr>
          <w:p w14:paraId="5CEAFFB5" w14:textId="77777777" w:rsidR="007B5A0A" w:rsidRPr="001265DD" w:rsidRDefault="007B5A0A"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26.0</w:t>
            </w:r>
          </w:p>
        </w:tc>
        <w:tc>
          <w:tcPr>
            <w:tcW w:w="1146" w:type="dxa"/>
            <w:tcBorders>
              <w:top w:val="nil"/>
              <w:left w:val="nil"/>
              <w:bottom w:val="nil"/>
              <w:right w:val="nil"/>
            </w:tcBorders>
            <w:shd w:val="clear" w:color="auto" w:fill="auto"/>
            <w:vAlign w:val="center"/>
          </w:tcPr>
          <w:p w14:paraId="3E60B70B" w14:textId="77777777" w:rsidR="007B5A0A" w:rsidRPr="001265DD" w:rsidRDefault="007B5A0A"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(21.2, 30.8)</w:t>
            </w:r>
          </w:p>
        </w:tc>
      </w:tr>
      <w:tr w:rsidR="009118DA" w:rsidRPr="001265DD" w14:paraId="51AF324D" w14:textId="77777777" w:rsidTr="001265DD">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7FCBBB9E" w14:textId="77777777" w:rsidR="007B5A0A" w:rsidRPr="001265DD" w:rsidRDefault="007B5A0A" w:rsidP="008C60C5">
            <w:pPr>
              <w:spacing w:before="20" w:after="20"/>
              <w:ind w:left="34"/>
              <w:rPr>
                <w:rFonts w:eastAsiaTheme="minorEastAsia"/>
                <w:b w:val="0"/>
                <w:sz w:val="18"/>
                <w:szCs w:val="18"/>
                <w:lang w:eastAsia="en-US"/>
              </w:rPr>
            </w:pPr>
            <w:r w:rsidRPr="001265DD">
              <w:rPr>
                <w:rFonts w:eastAsiaTheme="minorEastAsia"/>
                <w:b w:val="0"/>
                <w:sz w:val="18"/>
                <w:szCs w:val="18"/>
                <w:lang w:eastAsia="en-US"/>
              </w:rPr>
              <w:t>At least once a day</w:t>
            </w:r>
          </w:p>
        </w:tc>
        <w:tc>
          <w:tcPr>
            <w:tcW w:w="567" w:type="dxa"/>
            <w:tcBorders>
              <w:top w:val="nil"/>
              <w:left w:val="nil"/>
              <w:bottom w:val="nil"/>
              <w:right w:val="nil"/>
            </w:tcBorders>
            <w:shd w:val="clear" w:color="auto" w:fill="auto"/>
            <w:noWrap/>
            <w:vAlign w:val="center"/>
          </w:tcPr>
          <w:p w14:paraId="45E9A225"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226</w:t>
            </w:r>
          </w:p>
        </w:tc>
        <w:tc>
          <w:tcPr>
            <w:tcW w:w="567" w:type="dxa"/>
            <w:tcBorders>
              <w:top w:val="nil"/>
              <w:left w:val="nil"/>
              <w:bottom w:val="nil"/>
              <w:right w:val="nil"/>
            </w:tcBorders>
            <w:shd w:val="clear" w:color="auto" w:fill="auto"/>
            <w:noWrap/>
            <w:vAlign w:val="center"/>
          </w:tcPr>
          <w:p w14:paraId="2EFE4820"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34.8</w:t>
            </w:r>
          </w:p>
        </w:tc>
        <w:tc>
          <w:tcPr>
            <w:tcW w:w="1146" w:type="dxa"/>
            <w:tcBorders>
              <w:top w:val="nil"/>
              <w:left w:val="nil"/>
              <w:bottom w:val="nil"/>
              <w:right w:val="single" w:sz="4" w:space="0" w:color="auto"/>
            </w:tcBorders>
            <w:shd w:val="clear" w:color="auto" w:fill="auto"/>
            <w:noWrap/>
            <w:vAlign w:val="center"/>
          </w:tcPr>
          <w:p w14:paraId="6C21AF91"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(31.7, 37.8)</w:t>
            </w:r>
          </w:p>
        </w:tc>
        <w:tc>
          <w:tcPr>
            <w:tcW w:w="536" w:type="dxa"/>
            <w:tcBorders>
              <w:top w:val="nil"/>
              <w:left w:val="single" w:sz="4" w:space="0" w:color="auto"/>
              <w:bottom w:val="nil"/>
              <w:right w:val="nil"/>
            </w:tcBorders>
            <w:shd w:val="clear" w:color="auto" w:fill="auto"/>
            <w:noWrap/>
            <w:vAlign w:val="center"/>
          </w:tcPr>
          <w:p w14:paraId="63593380"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125</w:t>
            </w:r>
          </w:p>
        </w:tc>
        <w:tc>
          <w:tcPr>
            <w:tcW w:w="621" w:type="dxa"/>
            <w:tcBorders>
              <w:top w:val="nil"/>
              <w:left w:val="nil"/>
              <w:bottom w:val="nil"/>
              <w:right w:val="nil"/>
            </w:tcBorders>
            <w:shd w:val="clear" w:color="auto" w:fill="auto"/>
            <w:noWrap/>
            <w:vAlign w:val="center"/>
          </w:tcPr>
          <w:p w14:paraId="7019B001"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32.4</w:t>
            </w:r>
          </w:p>
        </w:tc>
        <w:tc>
          <w:tcPr>
            <w:tcW w:w="1146" w:type="dxa"/>
            <w:tcBorders>
              <w:top w:val="nil"/>
              <w:left w:val="nil"/>
              <w:bottom w:val="nil"/>
              <w:right w:val="single" w:sz="4" w:space="0" w:color="000000"/>
            </w:tcBorders>
            <w:shd w:val="clear" w:color="auto" w:fill="auto"/>
            <w:noWrap/>
            <w:vAlign w:val="center"/>
          </w:tcPr>
          <w:p w14:paraId="248215E5"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(28.2, 36.5)</w:t>
            </w:r>
          </w:p>
        </w:tc>
        <w:tc>
          <w:tcPr>
            <w:tcW w:w="536" w:type="dxa"/>
            <w:tcBorders>
              <w:top w:val="nil"/>
              <w:left w:val="single" w:sz="4" w:space="0" w:color="000000"/>
              <w:bottom w:val="nil"/>
              <w:right w:val="nil"/>
            </w:tcBorders>
            <w:shd w:val="clear" w:color="auto" w:fill="auto"/>
            <w:vAlign w:val="center"/>
          </w:tcPr>
          <w:p w14:paraId="2D8EABAA"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96</w:t>
            </w:r>
          </w:p>
        </w:tc>
        <w:tc>
          <w:tcPr>
            <w:tcW w:w="567" w:type="dxa"/>
            <w:tcBorders>
              <w:top w:val="nil"/>
              <w:left w:val="nil"/>
              <w:bottom w:val="nil"/>
              <w:right w:val="nil"/>
            </w:tcBorders>
            <w:shd w:val="clear" w:color="auto" w:fill="auto"/>
            <w:vAlign w:val="center"/>
          </w:tcPr>
          <w:p w14:paraId="555C5872"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29.4</w:t>
            </w:r>
          </w:p>
        </w:tc>
        <w:tc>
          <w:tcPr>
            <w:tcW w:w="1146" w:type="dxa"/>
            <w:tcBorders>
              <w:top w:val="nil"/>
              <w:left w:val="nil"/>
              <w:bottom w:val="nil"/>
              <w:right w:val="single" w:sz="4" w:space="0" w:color="auto"/>
            </w:tcBorders>
            <w:shd w:val="clear" w:color="auto" w:fill="auto"/>
            <w:vAlign w:val="center"/>
          </w:tcPr>
          <w:p w14:paraId="52B9F663"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(24.4, 34.4)</w:t>
            </w:r>
          </w:p>
        </w:tc>
        <w:tc>
          <w:tcPr>
            <w:tcW w:w="536" w:type="dxa"/>
            <w:tcBorders>
              <w:top w:val="nil"/>
              <w:left w:val="single" w:sz="4" w:space="0" w:color="auto"/>
              <w:bottom w:val="nil"/>
              <w:right w:val="nil"/>
            </w:tcBorders>
            <w:shd w:val="clear" w:color="auto" w:fill="auto"/>
            <w:vAlign w:val="center"/>
          </w:tcPr>
          <w:p w14:paraId="432E2029"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82</w:t>
            </w:r>
          </w:p>
        </w:tc>
        <w:tc>
          <w:tcPr>
            <w:tcW w:w="576" w:type="dxa"/>
            <w:tcBorders>
              <w:top w:val="nil"/>
              <w:left w:val="nil"/>
              <w:bottom w:val="nil"/>
              <w:right w:val="nil"/>
            </w:tcBorders>
            <w:shd w:val="clear" w:color="auto" w:fill="auto"/>
            <w:vAlign w:val="center"/>
          </w:tcPr>
          <w:p w14:paraId="5B94A9D2"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27.9</w:t>
            </w:r>
          </w:p>
        </w:tc>
        <w:tc>
          <w:tcPr>
            <w:tcW w:w="1146" w:type="dxa"/>
            <w:tcBorders>
              <w:top w:val="nil"/>
              <w:left w:val="nil"/>
              <w:bottom w:val="nil"/>
              <w:right w:val="nil"/>
            </w:tcBorders>
            <w:shd w:val="clear" w:color="auto" w:fill="auto"/>
            <w:vAlign w:val="center"/>
          </w:tcPr>
          <w:p w14:paraId="7143D0D3"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(22.4, 33.3)</w:t>
            </w:r>
          </w:p>
        </w:tc>
      </w:tr>
      <w:tr w:rsidR="009118DA" w:rsidRPr="001265DD" w14:paraId="1E1739D0" w14:textId="77777777" w:rsidTr="001265DD">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4929935B" w14:textId="77777777" w:rsidR="007B5A0A" w:rsidRPr="001265DD" w:rsidRDefault="007B5A0A" w:rsidP="008C60C5">
            <w:pPr>
              <w:spacing w:before="20" w:after="20"/>
              <w:ind w:left="34"/>
              <w:rPr>
                <w:rFonts w:eastAsiaTheme="minorEastAsia"/>
                <w:b w:val="0"/>
                <w:sz w:val="18"/>
                <w:szCs w:val="18"/>
                <w:lang w:eastAsia="en-US"/>
              </w:rPr>
            </w:pPr>
            <w:r w:rsidRPr="001265DD">
              <w:rPr>
                <w:rFonts w:eastAsiaTheme="minorEastAsia"/>
                <w:b w:val="0"/>
                <w:sz w:val="18"/>
                <w:szCs w:val="18"/>
                <w:lang w:eastAsia="en-US"/>
              </w:rPr>
              <w:t>At least once a week</w:t>
            </w:r>
          </w:p>
        </w:tc>
        <w:tc>
          <w:tcPr>
            <w:tcW w:w="567" w:type="dxa"/>
            <w:tcBorders>
              <w:top w:val="nil"/>
              <w:left w:val="nil"/>
              <w:bottom w:val="nil"/>
              <w:right w:val="nil"/>
            </w:tcBorders>
            <w:shd w:val="clear" w:color="auto" w:fill="auto"/>
            <w:noWrap/>
            <w:vAlign w:val="center"/>
          </w:tcPr>
          <w:p w14:paraId="5B06ECAA"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18</w:t>
            </w:r>
          </w:p>
        </w:tc>
        <w:tc>
          <w:tcPr>
            <w:tcW w:w="567" w:type="dxa"/>
            <w:tcBorders>
              <w:top w:val="nil"/>
              <w:left w:val="nil"/>
              <w:bottom w:val="nil"/>
              <w:right w:val="nil"/>
            </w:tcBorders>
            <w:shd w:val="clear" w:color="auto" w:fill="auto"/>
            <w:noWrap/>
            <w:vAlign w:val="center"/>
          </w:tcPr>
          <w:p w14:paraId="33B21119"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2.7</w:t>
            </w:r>
          </w:p>
        </w:tc>
        <w:tc>
          <w:tcPr>
            <w:tcW w:w="1146" w:type="dxa"/>
            <w:tcBorders>
              <w:top w:val="nil"/>
              <w:left w:val="nil"/>
              <w:bottom w:val="nil"/>
              <w:right w:val="single" w:sz="4" w:space="0" w:color="auto"/>
            </w:tcBorders>
            <w:shd w:val="clear" w:color="auto" w:fill="auto"/>
            <w:noWrap/>
            <w:vAlign w:val="center"/>
          </w:tcPr>
          <w:p w14:paraId="5146AFAB"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(1.5, 3.9)</w:t>
            </w:r>
          </w:p>
        </w:tc>
        <w:tc>
          <w:tcPr>
            <w:tcW w:w="536" w:type="dxa"/>
            <w:tcBorders>
              <w:top w:val="nil"/>
              <w:left w:val="single" w:sz="4" w:space="0" w:color="auto"/>
              <w:bottom w:val="nil"/>
              <w:right w:val="nil"/>
            </w:tcBorders>
            <w:shd w:val="clear" w:color="auto" w:fill="auto"/>
            <w:noWrap/>
            <w:vAlign w:val="center"/>
          </w:tcPr>
          <w:p w14:paraId="1FCE06D1"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6</w:t>
            </w:r>
          </w:p>
        </w:tc>
        <w:tc>
          <w:tcPr>
            <w:tcW w:w="621" w:type="dxa"/>
            <w:tcBorders>
              <w:top w:val="nil"/>
              <w:left w:val="nil"/>
              <w:bottom w:val="nil"/>
              <w:right w:val="nil"/>
            </w:tcBorders>
            <w:shd w:val="clear" w:color="auto" w:fill="auto"/>
            <w:noWrap/>
            <w:vAlign w:val="center"/>
          </w:tcPr>
          <w:p w14:paraId="3DE855A5"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1.5</w:t>
            </w:r>
          </w:p>
        </w:tc>
        <w:tc>
          <w:tcPr>
            <w:tcW w:w="1146" w:type="dxa"/>
            <w:tcBorders>
              <w:top w:val="nil"/>
              <w:left w:val="nil"/>
              <w:bottom w:val="nil"/>
              <w:right w:val="single" w:sz="4" w:space="0" w:color="000000"/>
            </w:tcBorders>
            <w:shd w:val="clear" w:color="auto" w:fill="auto"/>
            <w:noWrap/>
            <w:vAlign w:val="center"/>
          </w:tcPr>
          <w:p w14:paraId="152A6CFE"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(0.6, 2.5)</w:t>
            </w:r>
          </w:p>
        </w:tc>
        <w:tc>
          <w:tcPr>
            <w:tcW w:w="536" w:type="dxa"/>
            <w:tcBorders>
              <w:top w:val="nil"/>
              <w:left w:val="single" w:sz="4" w:space="0" w:color="000000"/>
              <w:bottom w:val="nil"/>
              <w:right w:val="nil"/>
            </w:tcBorders>
            <w:shd w:val="clear" w:color="auto" w:fill="auto"/>
            <w:vAlign w:val="center"/>
          </w:tcPr>
          <w:p w14:paraId="17A3FBC8"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9</w:t>
            </w:r>
          </w:p>
        </w:tc>
        <w:tc>
          <w:tcPr>
            <w:tcW w:w="567" w:type="dxa"/>
            <w:tcBorders>
              <w:top w:val="nil"/>
              <w:left w:val="nil"/>
              <w:bottom w:val="nil"/>
              <w:right w:val="nil"/>
            </w:tcBorders>
            <w:shd w:val="clear" w:color="auto" w:fill="auto"/>
            <w:vAlign w:val="center"/>
          </w:tcPr>
          <w:p w14:paraId="08FEE148"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2.9</w:t>
            </w:r>
          </w:p>
        </w:tc>
        <w:tc>
          <w:tcPr>
            <w:tcW w:w="1146" w:type="dxa"/>
            <w:tcBorders>
              <w:top w:val="nil"/>
              <w:left w:val="nil"/>
              <w:bottom w:val="nil"/>
              <w:right w:val="single" w:sz="4" w:space="0" w:color="auto"/>
            </w:tcBorders>
            <w:shd w:val="clear" w:color="auto" w:fill="auto"/>
            <w:vAlign w:val="center"/>
          </w:tcPr>
          <w:p w14:paraId="35152E6B"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(0.9, 4.8)</w:t>
            </w:r>
          </w:p>
        </w:tc>
        <w:tc>
          <w:tcPr>
            <w:tcW w:w="536" w:type="dxa"/>
            <w:tcBorders>
              <w:top w:val="nil"/>
              <w:left w:val="single" w:sz="4" w:space="0" w:color="auto"/>
              <w:bottom w:val="nil"/>
              <w:right w:val="nil"/>
            </w:tcBorders>
            <w:shd w:val="clear" w:color="auto" w:fill="auto"/>
            <w:vAlign w:val="center"/>
          </w:tcPr>
          <w:p w14:paraId="08A29F9B"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7</w:t>
            </w:r>
          </w:p>
        </w:tc>
        <w:tc>
          <w:tcPr>
            <w:tcW w:w="576" w:type="dxa"/>
            <w:tcBorders>
              <w:top w:val="nil"/>
              <w:left w:val="nil"/>
              <w:bottom w:val="nil"/>
              <w:right w:val="nil"/>
            </w:tcBorders>
            <w:shd w:val="clear" w:color="auto" w:fill="auto"/>
            <w:vAlign w:val="center"/>
          </w:tcPr>
          <w:p w14:paraId="61D1C3E4"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2.2</w:t>
            </w:r>
          </w:p>
        </w:tc>
        <w:tc>
          <w:tcPr>
            <w:tcW w:w="1146" w:type="dxa"/>
            <w:tcBorders>
              <w:top w:val="nil"/>
              <w:left w:val="nil"/>
              <w:bottom w:val="nil"/>
              <w:right w:val="nil"/>
            </w:tcBorders>
            <w:shd w:val="clear" w:color="auto" w:fill="auto"/>
            <w:vAlign w:val="center"/>
          </w:tcPr>
          <w:p w14:paraId="4754DFB7"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(0.7, 3.8)</w:t>
            </w:r>
          </w:p>
        </w:tc>
      </w:tr>
      <w:tr w:rsidR="009118DA" w:rsidRPr="001265DD" w14:paraId="689EB130" w14:textId="77777777" w:rsidTr="001265DD">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7C119B3A" w14:textId="77777777" w:rsidR="007B5A0A" w:rsidRPr="001265DD" w:rsidRDefault="007B5A0A" w:rsidP="008C60C5">
            <w:pPr>
              <w:spacing w:before="20" w:after="20"/>
              <w:ind w:left="34"/>
              <w:rPr>
                <w:rFonts w:eastAsiaTheme="minorEastAsia"/>
                <w:b w:val="0"/>
                <w:sz w:val="18"/>
                <w:szCs w:val="18"/>
                <w:lang w:eastAsia="en-US"/>
              </w:rPr>
            </w:pPr>
            <w:r w:rsidRPr="001265DD">
              <w:rPr>
                <w:rFonts w:eastAsiaTheme="minorEastAsia"/>
                <w:b w:val="0"/>
                <w:sz w:val="18"/>
                <w:szCs w:val="18"/>
                <w:lang w:eastAsia="en-US"/>
              </w:rPr>
              <w:t>At least once a month</w:t>
            </w:r>
          </w:p>
        </w:tc>
        <w:tc>
          <w:tcPr>
            <w:tcW w:w="567" w:type="dxa"/>
            <w:tcBorders>
              <w:top w:val="nil"/>
              <w:left w:val="nil"/>
              <w:bottom w:val="nil"/>
              <w:right w:val="nil"/>
            </w:tcBorders>
            <w:shd w:val="clear" w:color="auto" w:fill="auto"/>
            <w:noWrap/>
            <w:vAlign w:val="center"/>
          </w:tcPr>
          <w:p w14:paraId="4A7D08E4"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7</w:t>
            </w:r>
          </w:p>
        </w:tc>
        <w:tc>
          <w:tcPr>
            <w:tcW w:w="567" w:type="dxa"/>
            <w:tcBorders>
              <w:top w:val="nil"/>
              <w:left w:val="nil"/>
              <w:bottom w:val="nil"/>
              <w:right w:val="nil"/>
            </w:tcBorders>
            <w:shd w:val="clear" w:color="auto" w:fill="auto"/>
            <w:noWrap/>
            <w:vAlign w:val="center"/>
          </w:tcPr>
          <w:p w14:paraId="39CAE061"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1.1</w:t>
            </w:r>
          </w:p>
        </w:tc>
        <w:tc>
          <w:tcPr>
            <w:tcW w:w="1146" w:type="dxa"/>
            <w:tcBorders>
              <w:top w:val="nil"/>
              <w:left w:val="nil"/>
              <w:bottom w:val="nil"/>
              <w:right w:val="single" w:sz="4" w:space="0" w:color="auto"/>
            </w:tcBorders>
            <w:shd w:val="clear" w:color="auto" w:fill="auto"/>
            <w:noWrap/>
            <w:vAlign w:val="center"/>
          </w:tcPr>
          <w:p w14:paraId="370EC301"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(0.4, 1.8)</w:t>
            </w:r>
          </w:p>
        </w:tc>
        <w:tc>
          <w:tcPr>
            <w:tcW w:w="536" w:type="dxa"/>
            <w:tcBorders>
              <w:top w:val="nil"/>
              <w:left w:val="single" w:sz="4" w:space="0" w:color="auto"/>
              <w:bottom w:val="nil"/>
              <w:right w:val="nil"/>
            </w:tcBorders>
            <w:shd w:val="clear" w:color="auto" w:fill="auto"/>
            <w:noWrap/>
            <w:vAlign w:val="center"/>
          </w:tcPr>
          <w:p w14:paraId="4C5BC811"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4</w:t>
            </w:r>
          </w:p>
        </w:tc>
        <w:tc>
          <w:tcPr>
            <w:tcW w:w="621" w:type="dxa"/>
            <w:tcBorders>
              <w:top w:val="nil"/>
              <w:left w:val="nil"/>
              <w:bottom w:val="nil"/>
              <w:right w:val="nil"/>
            </w:tcBorders>
            <w:shd w:val="clear" w:color="auto" w:fill="auto"/>
            <w:noWrap/>
            <w:vAlign w:val="center"/>
          </w:tcPr>
          <w:p w14:paraId="781711AF"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0.9</w:t>
            </w:r>
          </w:p>
        </w:tc>
        <w:tc>
          <w:tcPr>
            <w:tcW w:w="1146" w:type="dxa"/>
            <w:tcBorders>
              <w:top w:val="nil"/>
              <w:left w:val="nil"/>
              <w:bottom w:val="nil"/>
              <w:right w:val="single" w:sz="4" w:space="0" w:color="000000"/>
            </w:tcBorders>
            <w:shd w:val="clear" w:color="auto" w:fill="auto"/>
            <w:noWrap/>
            <w:vAlign w:val="center"/>
          </w:tcPr>
          <w:p w14:paraId="280E5ACA"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(0.2, 1.7)</w:t>
            </w:r>
          </w:p>
        </w:tc>
        <w:tc>
          <w:tcPr>
            <w:tcW w:w="536" w:type="dxa"/>
            <w:tcBorders>
              <w:top w:val="nil"/>
              <w:left w:val="single" w:sz="4" w:space="0" w:color="000000"/>
              <w:bottom w:val="nil"/>
              <w:right w:val="nil"/>
            </w:tcBorders>
            <w:shd w:val="clear" w:color="auto" w:fill="auto"/>
            <w:vAlign w:val="center"/>
          </w:tcPr>
          <w:p w14:paraId="49BDC6BB"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3</w:t>
            </w:r>
          </w:p>
        </w:tc>
        <w:tc>
          <w:tcPr>
            <w:tcW w:w="567" w:type="dxa"/>
            <w:tcBorders>
              <w:top w:val="nil"/>
              <w:left w:val="nil"/>
              <w:bottom w:val="nil"/>
              <w:right w:val="nil"/>
            </w:tcBorders>
            <w:shd w:val="clear" w:color="auto" w:fill="auto"/>
            <w:vAlign w:val="center"/>
          </w:tcPr>
          <w:p w14:paraId="107DDB7D"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1.0</w:t>
            </w:r>
          </w:p>
        </w:tc>
        <w:tc>
          <w:tcPr>
            <w:tcW w:w="1146" w:type="dxa"/>
            <w:tcBorders>
              <w:top w:val="nil"/>
              <w:left w:val="nil"/>
              <w:bottom w:val="nil"/>
              <w:right w:val="single" w:sz="4" w:space="0" w:color="auto"/>
            </w:tcBorders>
            <w:shd w:val="clear" w:color="auto" w:fill="auto"/>
            <w:vAlign w:val="center"/>
          </w:tcPr>
          <w:p w14:paraId="4759FEEF"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(0.0, 2.2)</w:t>
            </w:r>
          </w:p>
        </w:tc>
        <w:tc>
          <w:tcPr>
            <w:tcW w:w="536" w:type="dxa"/>
            <w:tcBorders>
              <w:top w:val="nil"/>
              <w:left w:val="single" w:sz="4" w:space="0" w:color="auto"/>
              <w:bottom w:val="nil"/>
              <w:right w:val="nil"/>
            </w:tcBorders>
            <w:shd w:val="clear" w:color="auto" w:fill="auto"/>
            <w:vAlign w:val="center"/>
          </w:tcPr>
          <w:p w14:paraId="6295FD53"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7</w:t>
            </w:r>
          </w:p>
        </w:tc>
        <w:tc>
          <w:tcPr>
            <w:tcW w:w="576" w:type="dxa"/>
            <w:tcBorders>
              <w:top w:val="nil"/>
              <w:left w:val="nil"/>
              <w:bottom w:val="nil"/>
              <w:right w:val="nil"/>
            </w:tcBorders>
            <w:shd w:val="clear" w:color="auto" w:fill="auto"/>
            <w:vAlign w:val="center"/>
          </w:tcPr>
          <w:p w14:paraId="2F244593"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2.4</w:t>
            </w:r>
          </w:p>
        </w:tc>
        <w:tc>
          <w:tcPr>
            <w:tcW w:w="1146" w:type="dxa"/>
            <w:tcBorders>
              <w:top w:val="nil"/>
              <w:left w:val="nil"/>
              <w:bottom w:val="nil"/>
              <w:right w:val="nil"/>
            </w:tcBorders>
            <w:shd w:val="clear" w:color="auto" w:fill="auto"/>
            <w:vAlign w:val="center"/>
          </w:tcPr>
          <w:p w14:paraId="1D8DEBE0"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(0.5, 4.3)</w:t>
            </w:r>
          </w:p>
        </w:tc>
      </w:tr>
      <w:tr w:rsidR="009118DA" w:rsidRPr="001265DD" w14:paraId="6943E8F7" w14:textId="77777777" w:rsidTr="001265DD">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2B005CD9" w14:textId="77777777" w:rsidR="007B5A0A" w:rsidRPr="001265DD" w:rsidRDefault="007B5A0A" w:rsidP="008C60C5">
            <w:pPr>
              <w:spacing w:before="20" w:after="20"/>
              <w:ind w:left="34"/>
              <w:rPr>
                <w:rFonts w:eastAsiaTheme="minorEastAsia"/>
                <w:b w:val="0"/>
                <w:sz w:val="18"/>
                <w:szCs w:val="18"/>
                <w:lang w:eastAsia="en-US"/>
              </w:rPr>
            </w:pPr>
            <w:r w:rsidRPr="001265DD">
              <w:rPr>
                <w:rFonts w:eastAsiaTheme="minorEastAsia"/>
                <w:b w:val="0"/>
                <w:sz w:val="18"/>
                <w:szCs w:val="18"/>
                <w:lang w:eastAsia="en-US"/>
              </w:rPr>
              <w:t>Less than once a month</w:t>
            </w:r>
          </w:p>
        </w:tc>
        <w:tc>
          <w:tcPr>
            <w:tcW w:w="567" w:type="dxa"/>
            <w:tcBorders>
              <w:top w:val="nil"/>
              <w:left w:val="nil"/>
              <w:bottom w:val="nil"/>
              <w:right w:val="nil"/>
            </w:tcBorders>
            <w:shd w:val="clear" w:color="auto" w:fill="auto"/>
            <w:noWrap/>
            <w:vAlign w:val="center"/>
          </w:tcPr>
          <w:p w14:paraId="47F6C593"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4</w:t>
            </w:r>
          </w:p>
        </w:tc>
        <w:tc>
          <w:tcPr>
            <w:tcW w:w="567" w:type="dxa"/>
            <w:tcBorders>
              <w:top w:val="nil"/>
              <w:left w:val="nil"/>
              <w:bottom w:val="nil"/>
              <w:right w:val="nil"/>
            </w:tcBorders>
            <w:shd w:val="clear" w:color="auto" w:fill="auto"/>
            <w:noWrap/>
            <w:vAlign w:val="center"/>
          </w:tcPr>
          <w:p w14:paraId="610682F3"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0.6</w:t>
            </w:r>
          </w:p>
        </w:tc>
        <w:tc>
          <w:tcPr>
            <w:tcW w:w="1146" w:type="dxa"/>
            <w:tcBorders>
              <w:top w:val="nil"/>
              <w:left w:val="nil"/>
              <w:bottom w:val="nil"/>
              <w:right w:val="single" w:sz="4" w:space="0" w:color="auto"/>
            </w:tcBorders>
            <w:shd w:val="clear" w:color="auto" w:fill="auto"/>
            <w:noWrap/>
            <w:vAlign w:val="center"/>
          </w:tcPr>
          <w:p w14:paraId="51DA895B"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(0.2, 1.1)</w:t>
            </w:r>
          </w:p>
        </w:tc>
        <w:tc>
          <w:tcPr>
            <w:tcW w:w="536" w:type="dxa"/>
            <w:tcBorders>
              <w:top w:val="nil"/>
              <w:left w:val="single" w:sz="4" w:space="0" w:color="auto"/>
              <w:bottom w:val="nil"/>
              <w:right w:val="nil"/>
            </w:tcBorders>
            <w:shd w:val="clear" w:color="auto" w:fill="auto"/>
            <w:noWrap/>
            <w:vAlign w:val="center"/>
          </w:tcPr>
          <w:p w14:paraId="47D4432C"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7</w:t>
            </w:r>
          </w:p>
        </w:tc>
        <w:tc>
          <w:tcPr>
            <w:tcW w:w="621" w:type="dxa"/>
            <w:tcBorders>
              <w:top w:val="nil"/>
              <w:left w:val="nil"/>
              <w:bottom w:val="nil"/>
              <w:right w:val="nil"/>
            </w:tcBorders>
            <w:shd w:val="clear" w:color="auto" w:fill="auto"/>
            <w:noWrap/>
            <w:vAlign w:val="center"/>
          </w:tcPr>
          <w:p w14:paraId="3521C407"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1.9</w:t>
            </w:r>
          </w:p>
        </w:tc>
        <w:tc>
          <w:tcPr>
            <w:tcW w:w="1146" w:type="dxa"/>
            <w:tcBorders>
              <w:top w:val="nil"/>
              <w:left w:val="nil"/>
              <w:bottom w:val="nil"/>
              <w:right w:val="single" w:sz="4" w:space="0" w:color="000000"/>
            </w:tcBorders>
            <w:shd w:val="clear" w:color="auto" w:fill="auto"/>
            <w:noWrap/>
            <w:vAlign w:val="center"/>
          </w:tcPr>
          <w:p w14:paraId="6B6A2099"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(0.8, 3.1)</w:t>
            </w:r>
          </w:p>
        </w:tc>
        <w:tc>
          <w:tcPr>
            <w:tcW w:w="536" w:type="dxa"/>
            <w:tcBorders>
              <w:top w:val="nil"/>
              <w:left w:val="single" w:sz="4" w:space="0" w:color="000000"/>
              <w:bottom w:val="nil"/>
              <w:right w:val="nil"/>
            </w:tcBorders>
            <w:shd w:val="clear" w:color="auto" w:fill="auto"/>
            <w:vAlign w:val="center"/>
          </w:tcPr>
          <w:p w14:paraId="6171888A"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6</w:t>
            </w:r>
          </w:p>
        </w:tc>
        <w:tc>
          <w:tcPr>
            <w:tcW w:w="567" w:type="dxa"/>
            <w:tcBorders>
              <w:top w:val="nil"/>
              <w:left w:val="nil"/>
              <w:bottom w:val="nil"/>
              <w:right w:val="nil"/>
            </w:tcBorders>
            <w:shd w:val="clear" w:color="auto" w:fill="auto"/>
            <w:vAlign w:val="center"/>
          </w:tcPr>
          <w:p w14:paraId="5B8FF2D1"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2.0</w:t>
            </w:r>
          </w:p>
        </w:tc>
        <w:tc>
          <w:tcPr>
            <w:tcW w:w="1146" w:type="dxa"/>
            <w:tcBorders>
              <w:top w:val="nil"/>
              <w:left w:val="nil"/>
              <w:bottom w:val="nil"/>
              <w:right w:val="single" w:sz="4" w:space="0" w:color="auto"/>
            </w:tcBorders>
            <w:shd w:val="clear" w:color="auto" w:fill="auto"/>
            <w:vAlign w:val="center"/>
          </w:tcPr>
          <w:p w14:paraId="3C633037"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(0.3, 3.6)</w:t>
            </w:r>
          </w:p>
        </w:tc>
        <w:tc>
          <w:tcPr>
            <w:tcW w:w="536" w:type="dxa"/>
            <w:tcBorders>
              <w:top w:val="nil"/>
              <w:left w:val="single" w:sz="4" w:space="0" w:color="auto"/>
              <w:bottom w:val="nil"/>
              <w:right w:val="nil"/>
            </w:tcBorders>
            <w:shd w:val="clear" w:color="auto" w:fill="auto"/>
            <w:vAlign w:val="center"/>
          </w:tcPr>
          <w:p w14:paraId="443D8439"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w:t>
            </w:r>
          </w:p>
        </w:tc>
        <w:tc>
          <w:tcPr>
            <w:tcW w:w="576" w:type="dxa"/>
            <w:tcBorders>
              <w:top w:val="nil"/>
              <w:left w:val="nil"/>
              <w:bottom w:val="nil"/>
              <w:right w:val="nil"/>
            </w:tcBorders>
            <w:shd w:val="clear" w:color="auto" w:fill="auto"/>
            <w:vAlign w:val="center"/>
          </w:tcPr>
          <w:p w14:paraId="07065B2C"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0.5</w:t>
            </w:r>
          </w:p>
        </w:tc>
        <w:tc>
          <w:tcPr>
            <w:tcW w:w="1146" w:type="dxa"/>
            <w:tcBorders>
              <w:top w:val="nil"/>
              <w:left w:val="nil"/>
              <w:bottom w:val="nil"/>
              <w:right w:val="nil"/>
            </w:tcBorders>
            <w:shd w:val="clear" w:color="auto" w:fill="auto"/>
            <w:vAlign w:val="center"/>
          </w:tcPr>
          <w:p w14:paraId="19E46002" w14:textId="77777777" w:rsidR="007B5A0A" w:rsidRPr="001265DD" w:rsidRDefault="00ED1E40"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w:t>
            </w:r>
          </w:p>
        </w:tc>
      </w:tr>
      <w:tr w:rsidR="009118DA" w:rsidRPr="001265DD" w14:paraId="74EFC1E3" w14:textId="77777777" w:rsidTr="001265DD">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single" w:sz="4" w:space="0" w:color="auto"/>
              <w:right w:val="nil"/>
            </w:tcBorders>
            <w:shd w:val="clear" w:color="auto" w:fill="auto"/>
          </w:tcPr>
          <w:p w14:paraId="6D4D4D6E" w14:textId="77777777" w:rsidR="007B5A0A" w:rsidRPr="001265DD" w:rsidRDefault="007B5A0A" w:rsidP="008C60C5">
            <w:pPr>
              <w:spacing w:before="20" w:after="20"/>
              <w:ind w:left="34"/>
              <w:rPr>
                <w:rFonts w:eastAsiaTheme="minorEastAsia"/>
                <w:b w:val="0"/>
                <w:sz w:val="18"/>
                <w:szCs w:val="18"/>
                <w:lang w:eastAsia="en-US"/>
              </w:rPr>
            </w:pPr>
            <w:r w:rsidRPr="001265DD">
              <w:rPr>
                <w:rFonts w:eastAsiaTheme="minorEastAsia"/>
                <w:b w:val="0"/>
                <w:sz w:val="18"/>
                <w:szCs w:val="18"/>
                <w:lang w:eastAsia="en-US"/>
              </w:rPr>
              <w:t>Never smoked</w:t>
            </w:r>
          </w:p>
        </w:tc>
        <w:tc>
          <w:tcPr>
            <w:tcW w:w="567" w:type="dxa"/>
            <w:tcBorders>
              <w:top w:val="nil"/>
              <w:left w:val="nil"/>
              <w:bottom w:val="single" w:sz="4" w:space="0" w:color="auto"/>
              <w:right w:val="nil"/>
            </w:tcBorders>
            <w:shd w:val="clear" w:color="auto" w:fill="auto"/>
            <w:noWrap/>
            <w:vAlign w:val="center"/>
          </w:tcPr>
          <w:p w14:paraId="49A05EE9"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223</w:t>
            </w:r>
          </w:p>
        </w:tc>
        <w:tc>
          <w:tcPr>
            <w:tcW w:w="567" w:type="dxa"/>
            <w:tcBorders>
              <w:top w:val="nil"/>
              <w:left w:val="nil"/>
              <w:bottom w:val="single" w:sz="4" w:space="0" w:color="auto"/>
              <w:right w:val="nil"/>
            </w:tcBorders>
            <w:shd w:val="clear" w:color="auto" w:fill="auto"/>
            <w:noWrap/>
            <w:vAlign w:val="center"/>
          </w:tcPr>
          <w:p w14:paraId="2865E47E"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34.3</w:t>
            </w:r>
          </w:p>
        </w:tc>
        <w:tc>
          <w:tcPr>
            <w:tcW w:w="1146" w:type="dxa"/>
            <w:tcBorders>
              <w:top w:val="nil"/>
              <w:left w:val="nil"/>
              <w:bottom w:val="single" w:sz="4" w:space="0" w:color="auto"/>
              <w:right w:val="single" w:sz="4" w:space="0" w:color="auto"/>
            </w:tcBorders>
            <w:shd w:val="clear" w:color="auto" w:fill="auto"/>
            <w:noWrap/>
            <w:vAlign w:val="center"/>
          </w:tcPr>
          <w:p w14:paraId="67FB7310"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(31.2, 37.4)</w:t>
            </w:r>
          </w:p>
        </w:tc>
        <w:tc>
          <w:tcPr>
            <w:tcW w:w="536" w:type="dxa"/>
            <w:tcBorders>
              <w:top w:val="nil"/>
              <w:left w:val="single" w:sz="4" w:space="0" w:color="auto"/>
              <w:bottom w:val="single" w:sz="4" w:space="0" w:color="auto"/>
              <w:right w:val="nil"/>
            </w:tcBorders>
            <w:shd w:val="clear" w:color="auto" w:fill="auto"/>
            <w:noWrap/>
            <w:vAlign w:val="center"/>
          </w:tcPr>
          <w:p w14:paraId="347A1CFB"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139</w:t>
            </w:r>
          </w:p>
        </w:tc>
        <w:tc>
          <w:tcPr>
            <w:tcW w:w="621" w:type="dxa"/>
            <w:tcBorders>
              <w:top w:val="nil"/>
              <w:left w:val="nil"/>
              <w:bottom w:val="single" w:sz="4" w:space="0" w:color="auto"/>
              <w:right w:val="nil"/>
            </w:tcBorders>
            <w:shd w:val="clear" w:color="auto" w:fill="auto"/>
            <w:noWrap/>
            <w:vAlign w:val="center"/>
          </w:tcPr>
          <w:p w14:paraId="4BB69FCD"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35.8</w:t>
            </w:r>
          </w:p>
        </w:tc>
        <w:tc>
          <w:tcPr>
            <w:tcW w:w="1146" w:type="dxa"/>
            <w:tcBorders>
              <w:top w:val="nil"/>
              <w:left w:val="nil"/>
              <w:bottom w:val="single" w:sz="4" w:space="0" w:color="auto"/>
              <w:right w:val="single" w:sz="4" w:space="0" w:color="000000"/>
            </w:tcBorders>
            <w:shd w:val="clear" w:color="auto" w:fill="auto"/>
            <w:noWrap/>
            <w:vAlign w:val="center"/>
          </w:tcPr>
          <w:p w14:paraId="381D546A"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(31.2, 40.4)</w:t>
            </w:r>
          </w:p>
        </w:tc>
        <w:tc>
          <w:tcPr>
            <w:tcW w:w="536" w:type="dxa"/>
            <w:tcBorders>
              <w:top w:val="nil"/>
              <w:left w:val="single" w:sz="4" w:space="0" w:color="000000"/>
              <w:bottom w:val="single" w:sz="4" w:space="0" w:color="auto"/>
              <w:right w:val="nil"/>
            </w:tcBorders>
            <w:shd w:val="clear" w:color="auto" w:fill="auto"/>
            <w:vAlign w:val="center"/>
          </w:tcPr>
          <w:p w14:paraId="583C3149"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123</w:t>
            </w:r>
          </w:p>
        </w:tc>
        <w:tc>
          <w:tcPr>
            <w:tcW w:w="567" w:type="dxa"/>
            <w:tcBorders>
              <w:top w:val="nil"/>
              <w:left w:val="nil"/>
              <w:bottom w:val="single" w:sz="4" w:space="0" w:color="auto"/>
              <w:right w:val="nil"/>
            </w:tcBorders>
            <w:shd w:val="clear" w:color="auto" w:fill="auto"/>
            <w:vAlign w:val="center"/>
          </w:tcPr>
          <w:p w14:paraId="183BA200"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37.7</w:t>
            </w:r>
          </w:p>
        </w:tc>
        <w:tc>
          <w:tcPr>
            <w:tcW w:w="1146" w:type="dxa"/>
            <w:tcBorders>
              <w:top w:val="nil"/>
              <w:left w:val="nil"/>
              <w:bottom w:val="single" w:sz="4" w:space="0" w:color="auto"/>
              <w:right w:val="single" w:sz="4" w:space="0" w:color="auto"/>
            </w:tcBorders>
            <w:shd w:val="clear" w:color="auto" w:fill="auto"/>
            <w:vAlign w:val="center"/>
          </w:tcPr>
          <w:p w14:paraId="42C2A3BB"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(31.4, 43.9)</w:t>
            </w:r>
          </w:p>
        </w:tc>
        <w:tc>
          <w:tcPr>
            <w:tcW w:w="536" w:type="dxa"/>
            <w:tcBorders>
              <w:top w:val="nil"/>
              <w:left w:val="single" w:sz="4" w:space="0" w:color="auto"/>
              <w:bottom w:val="single" w:sz="4" w:space="0" w:color="auto"/>
              <w:right w:val="nil"/>
            </w:tcBorders>
            <w:shd w:val="clear" w:color="auto" w:fill="auto"/>
            <w:vAlign w:val="center"/>
          </w:tcPr>
          <w:p w14:paraId="40100C95"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120</w:t>
            </w:r>
          </w:p>
        </w:tc>
        <w:tc>
          <w:tcPr>
            <w:tcW w:w="576" w:type="dxa"/>
            <w:tcBorders>
              <w:top w:val="nil"/>
              <w:left w:val="nil"/>
              <w:bottom w:val="single" w:sz="4" w:space="0" w:color="auto"/>
              <w:right w:val="nil"/>
            </w:tcBorders>
            <w:shd w:val="clear" w:color="auto" w:fill="auto"/>
            <w:vAlign w:val="center"/>
          </w:tcPr>
          <w:p w14:paraId="42BF8D31"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41.0</w:t>
            </w:r>
          </w:p>
        </w:tc>
        <w:tc>
          <w:tcPr>
            <w:tcW w:w="1146" w:type="dxa"/>
            <w:tcBorders>
              <w:top w:val="nil"/>
              <w:left w:val="nil"/>
              <w:bottom w:val="single" w:sz="4" w:space="0" w:color="auto"/>
              <w:right w:val="nil"/>
            </w:tcBorders>
            <w:shd w:val="clear" w:color="auto" w:fill="auto"/>
            <w:vAlign w:val="center"/>
          </w:tcPr>
          <w:p w14:paraId="49985B34" w14:textId="77777777" w:rsidR="007B5A0A" w:rsidRPr="001265DD" w:rsidRDefault="007B5A0A"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265DD">
              <w:rPr>
                <w:color w:val="000000"/>
                <w:sz w:val="18"/>
                <w:szCs w:val="18"/>
              </w:rPr>
              <w:t>(33.4, 48.5)</w:t>
            </w:r>
          </w:p>
        </w:tc>
      </w:tr>
    </w:tbl>
    <w:p w14:paraId="2CEE262A" w14:textId="77777777" w:rsidR="007B5A0A" w:rsidRPr="00D76D7F" w:rsidRDefault="007B5A0A" w:rsidP="00D76D7F">
      <w:pPr>
        <w:ind w:left="709"/>
        <w:rPr>
          <w:sz w:val="18"/>
        </w:rPr>
      </w:pPr>
      <w:r w:rsidRPr="001265DD">
        <w:rPr>
          <w:sz w:val="18"/>
        </w:rPr>
        <w:t>Data weighted for 2013 Census data (all waves) and attrition (Waves 2, 3 and 4)</w:t>
      </w:r>
    </w:p>
    <w:p w14:paraId="473AE71C" w14:textId="77777777" w:rsidR="007B5A0A" w:rsidRDefault="007B5A0A" w:rsidP="00D76D7F">
      <w:pPr>
        <w:pStyle w:val="RepNormal"/>
        <w:ind w:left="709"/>
        <w:rPr>
          <w:sz w:val="18"/>
        </w:rPr>
      </w:pPr>
      <w:r w:rsidRPr="00D76D7F">
        <w:rPr>
          <w:sz w:val="18"/>
        </w:rPr>
        <w:t>Wave 1 N=6,251; Wave 2 N=3,745; Wave 3 N=3,115; Wave 4 N=2,770</w:t>
      </w:r>
    </w:p>
    <w:p w14:paraId="39C0EC72" w14:textId="77777777" w:rsidR="00ED1E40" w:rsidRPr="00ED1E40" w:rsidRDefault="00ED1E40" w:rsidP="00ED1E40">
      <w:pPr>
        <w:spacing w:after="200" w:line="276" w:lineRule="auto"/>
        <w:ind w:left="709"/>
        <w:rPr>
          <w:sz w:val="18"/>
        </w:rPr>
      </w:pPr>
      <w:r w:rsidRPr="00ED1E40">
        <w:rPr>
          <w:sz w:val="18"/>
        </w:rPr>
        <w:t>! Meaningful confidence intervals not calculable due to small sample size</w:t>
      </w:r>
    </w:p>
    <w:p w14:paraId="393BB1FF" w14:textId="77777777" w:rsidR="00ED1E40" w:rsidRPr="00D76D7F" w:rsidRDefault="00ED1E40" w:rsidP="00D76D7F">
      <w:pPr>
        <w:pStyle w:val="RepNormal"/>
        <w:ind w:left="709"/>
        <w:rPr>
          <w:sz w:val="18"/>
        </w:rPr>
      </w:pPr>
    </w:p>
    <w:p w14:paraId="422862A5" w14:textId="77777777" w:rsidR="007B5A0A" w:rsidRPr="0078737F" w:rsidRDefault="007B5A0A" w:rsidP="008C60C5"/>
    <w:p w14:paraId="225D3A12" w14:textId="77777777" w:rsidR="007B5A0A" w:rsidRPr="007B5A0A" w:rsidRDefault="007B5A0A" w:rsidP="007B5A0A">
      <w:pPr>
        <w:pStyle w:val="RepNormal"/>
      </w:pPr>
    </w:p>
    <w:p w14:paraId="6D898E1E" w14:textId="77777777" w:rsidR="007B5A0A" w:rsidRDefault="007B5A0A">
      <w:pPr>
        <w:spacing w:after="200" w:line="276" w:lineRule="auto"/>
        <w:rPr>
          <w:rFonts w:eastAsiaTheme="majorEastAsia" w:cstheme="majorBidi"/>
          <w:b/>
          <w:bCs/>
          <w:caps/>
          <w:szCs w:val="28"/>
          <w:lang w:eastAsia="en-US"/>
        </w:rPr>
      </w:pPr>
    </w:p>
    <w:p w14:paraId="511DFCF9" w14:textId="77777777" w:rsidR="008C36F1" w:rsidRDefault="008C36F1">
      <w:pPr>
        <w:spacing w:after="200" w:line="276" w:lineRule="auto"/>
        <w:rPr>
          <w:rFonts w:eastAsiaTheme="majorEastAsia" w:cstheme="majorBidi"/>
          <w:b/>
          <w:bCs/>
          <w:caps/>
          <w:szCs w:val="28"/>
          <w:lang w:eastAsia="en-US"/>
        </w:rPr>
      </w:pPr>
    </w:p>
    <w:p w14:paraId="067EC1D7" w14:textId="77777777" w:rsidR="007B5A0A" w:rsidRDefault="007B5A0A">
      <w:pPr>
        <w:spacing w:after="200" w:line="276" w:lineRule="auto"/>
        <w:rPr>
          <w:rFonts w:eastAsiaTheme="majorEastAsia" w:cstheme="majorBidi"/>
          <w:b/>
          <w:bCs/>
          <w:caps/>
          <w:szCs w:val="28"/>
          <w:lang w:eastAsia="en-US"/>
        </w:rPr>
      </w:pPr>
    </w:p>
    <w:p w14:paraId="47DEFF5D" w14:textId="77777777" w:rsidR="007B5A0A" w:rsidRDefault="007B5A0A">
      <w:pPr>
        <w:spacing w:after="200" w:line="276" w:lineRule="auto"/>
        <w:rPr>
          <w:rFonts w:eastAsiaTheme="majorEastAsia" w:cstheme="majorBidi"/>
          <w:b/>
          <w:bCs/>
          <w:caps/>
          <w:szCs w:val="28"/>
          <w:lang w:eastAsia="en-US"/>
        </w:rPr>
      </w:pPr>
    </w:p>
    <w:p w14:paraId="50F77DB5" w14:textId="77777777" w:rsidR="007B5A0A" w:rsidRDefault="007B5A0A">
      <w:pPr>
        <w:spacing w:after="200" w:line="276" w:lineRule="auto"/>
        <w:rPr>
          <w:rFonts w:eastAsiaTheme="majorEastAsia" w:cstheme="majorBidi"/>
          <w:b/>
          <w:bCs/>
          <w:caps/>
          <w:szCs w:val="28"/>
          <w:lang w:eastAsia="en-US"/>
        </w:rPr>
      </w:pPr>
    </w:p>
    <w:p w14:paraId="419E6A50" w14:textId="77777777" w:rsidR="00D76D7F" w:rsidRDefault="00D76D7F">
      <w:pPr>
        <w:spacing w:after="200" w:line="276" w:lineRule="auto"/>
        <w:rPr>
          <w:rFonts w:eastAsiaTheme="majorEastAsia" w:cstheme="majorBidi"/>
          <w:b/>
          <w:bCs/>
          <w:caps/>
          <w:szCs w:val="28"/>
          <w:lang w:eastAsia="en-US"/>
        </w:rPr>
      </w:pPr>
    </w:p>
    <w:p w14:paraId="75614591" w14:textId="77777777" w:rsidR="00ED1E40" w:rsidRDefault="00ED1E40" w:rsidP="00D76D7F">
      <w:pPr>
        <w:ind w:left="567"/>
        <w:rPr>
          <w:rFonts w:eastAsiaTheme="minorEastAsia"/>
          <w:sz w:val="16"/>
          <w:szCs w:val="18"/>
          <w:lang w:eastAsia="en-US"/>
        </w:rPr>
      </w:pPr>
    </w:p>
    <w:p w14:paraId="2FB6C8F5" w14:textId="77777777" w:rsidR="008C60C5" w:rsidRDefault="008C60C5" w:rsidP="008C60C5">
      <w:pPr>
        <w:rPr>
          <w:rFonts w:eastAsiaTheme="minorEastAsia"/>
          <w:sz w:val="16"/>
          <w:szCs w:val="18"/>
          <w:lang w:eastAsia="en-US"/>
        </w:rPr>
      </w:pPr>
      <w:r>
        <w:rPr>
          <w:rFonts w:eastAsiaTheme="minorEastAsia"/>
          <w:sz w:val="16"/>
          <w:szCs w:val="18"/>
          <w:lang w:eastAsia="en-US"/>
        </w:rPr>
        <w:tab/>
      </w:r>
    </w:p>
    <w:p w14:paraId="12482D75" w14:textId="77777777" w:rsidR="00625936" w:rsidRDefault="00625936">
      <w:pPr>
        <w:spacing w:after="200" w:line="276" w:lineRule="auto"/>
        <w:rPr>
          <w:rFonts w:eastAsiaTheme="majorEastAsia" w:cstheme="majorBidi"/>
          <w:b/>
          <w:bCs/>
          <w:caps/>
          <w:szCs w:val="28"/>
          <w:lang w:eastAsia="en-US"/>
        </w:rPr>
      </w:pPr>
      <w:r>
        <w:br w:type="page"/>
      </w:r>
    </w:p>
    <w:p w14:paraId="76049BCC" w14:textId="77777777" w:rsidR="008C60C5" w:rsidRDefault="008C60C5" w:rsidP="008C60C5">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rPr>
          <w:rFonts w:cs="Times New Roman"/>
          <w:caps w:val="0"/>
        </w:rPr>
      </w:pPr>
      <w:bookmarkStart w:id="210" w:name="_Toc504488410"/>
      <w:r w:rsidRPr="00AE7AD8">
        <w:t xml:space="preserve">APPENDIX </w:t>
      </w:r>
      <w:r w:rsidR="003D7BB5">
        <w:t>17</w:t>
      </w:r>
      <w:r w:rsidRPr="00AE7AD8">
        <w:t>:</w:t>
      </w:r>
      <w:r w:rsidRPr="00AE7AD8">
        <w:br/>
      </w:r>
      <w:r w:rsidR="00315163">
        <w:rPr>
          <w:rFonts w:cs="Times New Roman"/>
          <w:caps w:val="0"/>
        </w:rPr>
        <w:t>H</w:t>
      </w:r>
      <w:r w:rsidRPr="00AE7AD8">
        <w:rPr>
          <w:rFonts w:cs="Times New Roman"/>
          <w:caps w:val="0"/>
        </w:rPr>
        <w:t>ealth status in Waves 1, 2</w:t>
      </w:r>
      <w:r>
        <w:rPr>
          <w:rFonts w:cs="Times New Roman"/>
          <w:caps w:val="0"/>
        </w:rPr>
        <w:t>,</w:t>
      </w:r>
      <w:r w:rsidRPr="00AE7AD8">
        <w:rPr>
          <w:rFonts w:cs="Times New Roman"/>
          <w:caps w:val="0"/>
        </w:rPr>
        <w:t xml:space="preserve"> 3</w:t>
      </w:r>
      <w:r>
        <w:rPr>
          <w:rFonts w:cs="Times New Roman"/>
          <w:caps w:val="0"/>
        </w:rPr>
        <w:t xml:space="preserve"> and 4 - Pacific</w:t>
      </w:r>
      <w:bookmarkEnd w:id="210"/>
    </w:p>
    <w:p w14:paraId="29D9C717" w14:textId="77777777" w:rsidR="008C60C5" w:rsidRPr="00BA05A5" w:rsidRDefault="008C60C5" w:rsidP="008C60C5"/>
    <w:tbl>
      <w:tblPr>
        <w:tblStyle w:val="LightShading4"/>
        <w:tblW w:w="0" w:type="auto"/>
        <w:jc w:val="center"/>
        <w:tblLayout w:type="fixed"/>
        <w:tblLook w:val="06A0" w:firstRow="1" w:lastRow="0" w:firstColumn="1" w:lastColumn="0" w:noHBand="1" w:noVBand="1"/>
      </w:tblPr>
      <w:tblGrid>
        <w:gridCol w:w="3540"/>
        <w:gridCol w:w="536"/>
        <w:gridCol w:w="579"/>
        <w:gridCol w:w="1146"/>
        <w:gridCol w:w="536"/>
        <w:gridCol w:w="621"/>
        <w:gridCol w:w="1146"/>
        <w:gridCol w:w="536"/>
        <w:gridCol w:w="567"/>
        <w:gridCol w:w="1146"/>
        <w:gridCol w:w="536"/>
        <w:gridCol w:w="576"/>
        <w:gridCol w:w="1146"/>
      </w:tblGrid>
      <w:tr w:rsidR="008C60C5" w:rsidRPr="00D76D7F" w14:paraId="0808FFCD" w14:textId="77777777" w:rsidTr="00D76D7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40" w:type="dxa"/>
            <w:vMerge w:val="restart"/>
            <w:tcBorders>
              <w:bottom w:val="single" w:sz="4" w:space="0" w:color="auto"/>
            </w:tcBorders>
            <w:vAlign w:val="bottom"/>
            <w:hideMark/>
          </w:tcPr>
          <w:p w14:paraId="22B77913" w14:textId="77777777" w:rsidR="008C60C5" w:rsidRPr="00D76D7F" w:rsidRDefault="008C60C5" w:rsidP="008C60C5">
            <w:pPr>
              <w:spacing w:before="20" w:after="20"/>
              <w:rPr>
                <w:rFonts w:eastAsiaTheme="minorEastAsia"/>
                <w:sz w:val="18"/>
                <w:szCs w:val="18"/>
                <w:lang w:eastAsia="en-US"/>
              </w:rPr>
            </w:pPr>
            <w:r w:rsidRPr="00D76D7F">
              <w:rPr>
                <w:rFonts w:eastAsiaTheme="minorEastAsia"/>
                <w:sz w:val="18"/>
                <w:szCs w:val="18"/>
              </w:rPr>
              <w:t>Health variable</w:t>
            </w:r>
          </w:p>
        </w:tc>
        <w:tc>
          <w:tcPr>
            <w:tcW w:w="2261" w:type="dxa"/>
            <w:gridSpan w:val="3"/>
            <w:tcBorders>
              <w:bottom w:val="single" w:sz="4" w:space="0" w:color="auto"/>
              <w:right w:val="single" w:sz="4" w:space="0" w:color="auto"/>
            </w:tcBorders>
            <w:noWrap/>
            <w:vAlign w:val="center"/>
            <w:hideMark/>
          </w:tcPr>
          <w:p w14:paraId="73AC9ED2" w14:textId="77777777" w:rsidR="008C60C5" w:rsidRPr="00D76D7F" w:rsidRDefault="008C60C5" w:rsidP="008C60C5">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8"/>
                <w:szCs w:val="18"/>
                <w:lang w:eastAsia="en-US"/>
              </w:rPr>
            </w:pPr>
            <w:r w:rsidRPr="00D76D7F">
              <w:rPr>
                <w:rFonts w:eastAsiaTheme="minorEastAsia"/>
                <w:sz w:val="18"/>
                <w:szCs w:val="18"/>
              </w:rPr>
              <w:t>Wave 1</w:t>
            </w:r>
          </w:p>
        </w:tc>
        <w:tc>
          <w:tcPr>
            <w:tcW w:w="2303" w:type="dxa"/>
            <w:gridSpan w:val="3"/>
            <w:tcBorders>
              <w:left w:val="single" w:sz="4" w:space="0" w:color="auto"/>
              <w:bottom w:val="single" w:sz="4" w:space="0" w:color="auto"/>
            </w:tcBorders>
            <w:vAlign w:val="center"/>
          </w:tcPr>
          <w:p w14:paraId="4055E516" w14:textId="77777777" w:rsidR="008C60C5" w:rsidRPr="00D76D7F" w:rsidRDefault="008C60C5" w:rsidP="008C60C5">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D76D7F">
              <w:rPr>
                <w:rFonts w:eastAsiaTheme="minorEastAsia"/>
                <w:sz w:val="18"/>
                <w:szCs w:val="18"/>
                <w:lang w:eastAsia="en-US"/>
              </w:rPr>
              <w:t>Wave 2</w:t>
            </w:r>
          </w:p>
        </w:tc>
        <w:tc>
          <w:tcPr>
            <w:tcW w:w="2249" w:type="dxa"/>
            <w:gridSpan w:val="3"/>
            <w:tcBorders>
              <w:left w:val="single" w:sz="4" w:space="0" w:color="auto"/>
              <w:bottom w:val="single" w:sz="4" w:space="0" w:color="auto"/>
            </w:tcBorders>
          </w:tcPr>
          <w:p w14:paraId="3A424E24" w14:textId="77777777" w:rsidR="008C60C5" w:rsidRPr="00D76D7F" w:rsidRDefault="008C60C5" w:rsidP="008C60C5">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D76D7F">
              <w:rPr>
                <w:rFonts w:eastAsiaTheme="minorEastAsia"/>
                <w:sz w:val="18"/>
                <w:szCs w:val="18"/>
                <w:lang w:eastAsia="en-US"/>
              </w:rPr>
              <w:t>Wave 3</w:t>
            </w:r>
          </w:p>
        </w:tc>
        <w:tc>
          <w:tcPr>
            <w:tcW w:w="2258" w:type="dxa"/>
            <w:gridSpan w:val="3"/>
            <w:tcBorders>
              <w:left w:val="single" w:sz="4" w:space="0" w:color="auto"/>
              <w:bottom w:val="single" w:sz="4" w:space="0" w:color="auto"/>
            </w:tcBorders>
          </w:tcPr>
          <w:p w14:paraId="1CBC8A0E" w14:textId="77777777" w:rsidR="008C60C5" w:rsidRPr="00D76D7F" w:rsidRDefault="008C60C5" w:rsidP="008C60C5">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D76D7F">
              <w:rPr>
                <w:rFonts w:eastAsiaTheme="minorEastAsia"/>
                <w:sz w:val="18"/>
                <w:szCs w:val="18"/>
                <w:lang w:eastAsia="en-US"/>
              </w:rPr>
              <w:t>Wave 4</w:t>
            </w:r>
          </w:p>
        </w:tc>
      </w:tr>
      <w:tr w:rsidR="008C60C5" w:rsidRPr="00D76D7F" w14:paraId="26C25992" w14:textId="77777777" w:rsidTr="00D76D7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40" w:type="dxa"/>
            <w:vMerge/>
            <w:tcBorders>
              <w:bottom w:val="single" w:sz="4" w:space="0" w:color="auto"/>
            </w:tcBorders>
            <w:vAlign w:val="center"/>
            <w:hideMark/>
          </w:tcPr>
          <w:p w14:paraId="5C49FE3D" w14:textId="77777777" w:rsidR="008C60C5" w:rsidRPr="00D76D7F" w:rsidRDefault="008C60C5" w:rsidP="008C60C5">
            <w:pPr>
              <w:spacing w:before="20" w:after="20"/>
              <w:rPr>
                <w:rFonts w:eastAsiaTheme="minorEastAsia"/>
                <w:sz w:val="18"/>
                <w:szCs w:val="18"/>
                <w:lang w:eastAsia="en-US"/>
              </w:rPr>
            </w:pPr>
          </w:p>
        </w:tc>
        <w:tc>
          <w:tcPr>
            <w:tcW w:w="536" w:type="dxa"/>
            <w:tcBorders>
              <w:top w:val="single" w:sz="4" w:space="0" w:color="auto"/>
              <w:bottom w:val="single" w:sz="4" w:space="0" w:color="auto"/>
            </w:tcBorders>
            <w:noWrap/>
            <w:vAlign w:val="center"/>
            <w:hideMark/>
          </w:tcPr>
          <w:p w14:paraId="1DAB4ECB" w14:textId="77777777" w:rsidR="008C60C5" w:rsidRPr="00D76D7F" w:rsidRDefault="008C60C5" w:rsidP="008C60C5">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rPr>
              <w:t>n</w:t>
            </w:r>
          </w:p>
        </w:tc>
        <w:tc>
          <w:tcPr>
            <w:tcW w:w="579" w:type="dxa"/>
            <w:tcBorders>
              <w:top w:val="single" w:sz="4" w:space="0" w:color="auto"/>
              <w:bottom w:val="single" w:sz="4" w:space="0" w:color="auto"/>
            </w:tcBorders>
            <w:noWrap/>
            <w:vAlign w:val="center"/>
            <w:hideMark/>
          </w:tcPr>
          <w:p w14:paraId="4FFA730C" w14:textId="77777777" w:rsidR="008C60C5" w:rsidRPr="00D76D7F" w:rsidRDefault="008C60C5" w:rsidP="008C60C5">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rPr>
              <w:t>%</w:t>
            </w:r>
          </w:p>
        </w:tc>
        <w:tc>
          <w:tcPr>
            <w:tcW w:w="1146" w:type="dxa"/>
            <w:tcBorders>
              <w:top w:val="single" w:sz="4" w:space="0" w:color="auto"/>
              <w:bottom w:val="single" w:sz="4" w:space="0" w:color="auto"/>
              <w:right w:val="single" w:sz="4" w:space="0" w:color="auto"/>
            </w:tcBorders>
            <w:noWrap/>
            <w:vAlign w:val="center"/>
          </w:tcPr>
          <w:p w14:paraId="561C8121" w14:textId="77777777" w:rsidR="008C60C5" w:rsidRPr="00D76D7F" w:rsidRDefault="008C60C5" w:rsidP="008C60C5">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(95% CI)</w:t>
            </w:r>
          </w:p>
        </w:tc>
        <w:tc>
          <w:tcPr>
            <w:tcW w:w="536" w:type="dxa"/>
            <w:tcBorders>
              <w:top w:val="single" w:sz="4" w:space="0" w:color="auto"/>
              <w:left w:val="single" w:sz="4" w:space="0" w:color="auto"/>
              <w:bottom w:val="single" w:sz="4" w:space="0" w:color="auto"/>
            </w:tcBorders>
            <w:noWrap/>
            <w:vAlign w:val="center"/>
          </w:tcPr>
          <w:p w14:paraId="1E92ACCD" w14:textId="77777777" w:rsidR="008C60C5" w:rsidRPr="00D76D7F" w:rsidRDefault="008C60C5" w:rsidP="008C60C5">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n</w:t>
            </w:r>
          </w:p>
        </w:tc>
        <w:tc>
          <w:tcPr>
            <w:tcW w:w="621" w:type="dxa"/>
            <w:tcBorders>
              <w:top w:val="single" w:sz="4" w:space="0" w:color="auto"/>
              <w:bottom w:val="single" w:sz="4" w:space="0" w:color="auto"/>
            </w:tcBorders>
            <w:noWrap/>
            <w:vAlign w:val="center"/>
          </w:tcPr>
          <w:p w14:paraId="7BFBF7D4" w14:textId="77777777" w:rsidR="008C60C5" w:rsidRPr="00D76D7F" w:rsidRDefault="008C60C5" w:rsidP="008C60C5">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w:t>
            </w:r>
          </w:p>
        </w:tc>
        <w:tc>
          <w:tcPr>
            <w:tcW w:w="1146" w:type="dxa"/>
            <w:tcBorders>
              <w:top w:val="single" w:sz="4" w:space="0" w:color="auto"/>
              <w:bottom w:val="single" w:sz="4" w:space="0" w:color="auto"/>
              <w:right w:val="single" w:sz="4" w:space="0" w:color="000000"/>
            </w:tcBorders>
            <w:shd w:val="clear" w:color="auto" w:fill="FFFFFF" w:themeFill="background1"/>
            <w:noWrap/>
            <w:vAlign w:val="center"/>
          </w:tcPr>
          <w:p w14:paraId="0C5F8B89" w14:textId="77777777" w:rsidR="008C60C5" w:rsidRPr="00D76D7F" w:rsidRDefault="008C60C5" w:rsidP="008C60C5">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D76D7F">
              <w:rPr>
                <w:rFonts w:eastAsiaTheme="minorEastAsia"/>
                <w:sz w:val="18"/>
                <w:szCs w:val="18"/>
                <w:lang w:eastAsia="en-US"/>
              </w:rPr>
              <w:t>(95% CI)</w:t>
            </w:r>
          </w:p>
        </w:tc>
        <w:tc>
          <w:tcPr>
            <w:tcW w:w="536" w:type="dxa"/>
            <w:tcBorders>
              <w:top w:val="single" w:sz="4" w:space="0" w:color="auto"/>
              <w:left w:val="single" w:sz="4" w:space="0" w:color="000000"/>
              <w:bottom w:val="single" w:sz="4" w:space="0" w:color="auto"/>
            </w:tcBorders>
            <w:shd w:val="clear" w:color="auto" w:fill="FFFFFF" w:themeFill="background1"/>
            <w:vAlign w:val="center"/>
          </w:tcPr>
          <w:p w14:paraId="4878C2A3" w14:textId="77777777" w:rsidR="008C60C5" w:rsidRPr="00D76D7F" w:rsidRDefault="008C60C5" w:rsidP="008C60C5">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n</w:t>
            </w:r>
          </w:p>
        </w:tc>
        <w:tc>
          <w:tcPr>
            <w:tcW w:w="567" w:type="dxa"/>
            <w:tcBorders>
              <w:top w:val="single" w:sz="4" w:space="0" w:color="auto"/>
              <w:bottom w:val="single" w:sz="4" w:space="0" w:color="auto"/>
            </w:tcBorders>
            <w:shd w:val="clear" w:color="auto" w:fill="FFFFFF" w:themeFill="background1"/>
            <w:vAlign w:val="center"/>
          </w:tcPr>
          <w:p w14:paraId="5BCFC613" w14:textId="77777777" w:rsidR="008C60C5" w:rsidRPr="00D76D7F" w:rsidRDefault="008C60C5" w:rsidP="008C60C5">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w:t>
            </w:r>
          </w:p>
        </w:tc>
        <w:tc>
          <w:tcPr>
            <w:tcW w:w="1146" w:type="dxa"/>
            <w:tcBorders>
              <w:top w:val="single" w:sz="4" w:space="0" w:color="auto"/>
              <w:bottom w:val="single" w:sz="4" w:space="0" w:color="auto"/>
              <w:right w:val="single" w:sz="4" w:space="0" w:color="000000"/>
            </w:tcBorders>
            <w:shd w:val="clear" w:color="auto" w:fill="FFFFFF" w:themeFill="background1"/>
            <w:vAlign w:val="center"/>
          </w:tcPr>
          <w:p w14:paraId="4CEE9F18" w14:textId="77777777" w:rsidR="008C60C5" w:rsidRPr="00D76D7F" w:rsidRDefault="008C60C5" w:rsidP="008C60C5">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D76D7F">
              <w:rPr>
                <w:rFonts w:eastAsiaTheme="minorEastAsia"/>
                <w:sz w:val="18"/>
                <w:szCs w:val="18"/>
                <w:lang w:eastAsia="en-US"/>
              </w:rPr>
              <w:t>(95% CI)</w:t>
            </w:r>
          </w:p>
        </w:tc>
        <w:tc>
          <w:tcPr>
            <w:tcW w:w="536" w:type="dxa"/>
            <w:tcBorders>
              <w:top w:val="single" w:sz="4" w:space="0" w:color="auto"/>
              <w:left w:val="single" w:sz="4" w:space="0" w:color="000000"/>
              <w:bottom w:val="single" w:sz="4" w:space="0" w:color="auto"/>
            </w:tcBorders>
            <w:shd w:val="clear" w:color="auto" w:fill="FFFFFF" w:themeFill="background1"/>
            <w:vAlign w:val="center"/>
          </w:tcPr>
          <w:p w14:paraId="795A2D8A" w14:textId="77777777" w:rsidR="008C60C5" w:rsidRPr="00D76D7F" w:rsidRDefault="008C60C5" w:rsidP="008C60C5">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n</w:t>
            </w:r>
          </w:p>
        </w:tc>
        <w:tc>
          <w:tcPr>
            <w:tcW w:w="576" w:type="dxa"/>
            <w:tcBorders>
              <w:top w:val="single" w:sz="4" w:space="0" w:color="auto"/>
              <w:bottom w:val="single" w:sz="4" w:space="0" w:color="auto"/>
            </w:tcBorders>
            <w:shd w:val="clear" w:color="auto" w:fill="FFFFFF" w:themeFill="background1"/>
            <w:vAlign w:val="center"/>
          </w:tcPr>
          <w:p w14:paraId="1391EE76" w14:textId="77777777" w:rsidR="008C60C5" w:rsidRPr="00D76D7F" w:rsidRDefault="008C60C5" w:rsidP="008C60C5">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D76D7F">
              <w:rPr>
                <w:rFonts w:eastAsiaTheme="minorEastAsia"/>
                <w:sz w:val="18"/>
                <w:szCs w:val="18"/>
                <w:lang w:eastAsia="en-US"/>
              </w:rPr>
              <w:t>%</w:t>
            </w:r>
          </w:p>
        </w:tc>
        <w:tc>
          <w:tcPr>
            <w:tcW w:w="1146" w:type="dxa"/>
            <w:tcBorders>
              <w:top w:val="single" w:sz="4" w:space="0" w:color="auto"/>
              <w:bottom w:val="single" w:sz="4" w:space="0" w:color="auto"/>
            </w:tcBorders>
            <w:shd w:val="clear" w:color="auto" w:fill="FFFFFF" w:themeFill="background1"/>
            <w:vAlign w:val="center"/>
          </w:tcPr>
          <w:p w14:paraId="6075EAEC" w14:textId="77777777" w:rsidR="008C60C5" w:rsidRPr="00D76D7F" w:rsidRDefault="008C60C5" w:rsidP="008C60C5">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D76D7F">
              <w:rPr>
                <w:rFonts w:eastAsiaTheme="minorEastAsia"/>
                <w:sz w:val="18"/>
                <w:szCs w:val="18"/>
                <w:lang w:eastAsia="en-US"/>
              </w:rPr>
              <w:t>(95% CI)</w:t>
            </w:r>
          </w:p>
        </w:tc>
      </w:tr>
      <w:tr w:rsidR="00D76D7F" w:rsidRPr="00D76D7F" w14:paraId="2E83664B" w14:textId="77777777" w:rsidTr="00D76D7F">
        <w:trPr>
          <w:jc w:val="center"/>
        </w:trPr>
        <w:tc>
          <w:tcPr>
            <w:cnfStyle w:val="001000000000" w:firstRow="0" w:lastRow="0" w:firstColumn="1" w:lastColumn="0" w:oddVBand="0" w:evenVBand="0" w:oddHBand="0" w:evenHBand="0" w:firstRowFirstColumn="0" w:firstRowLastColumn="0" w:lastRowFirstColumn="0" w:lastRowLastColumn="0"/>
            <w:tcW w:w="5801" w:type="dxa"/>
            <w:gridSpan w:val="4"/>
            <w:tcBorders>
              <w:top w:val="single" w:sz="4" w:space="0" w:color="000000"/>
              <w:left w:val="nil"/>
              <w:bottom w:val="nil"/>
              <w:right w:val="single" w:sz="4" w:space="0" w:color="auto"/>
            </w:tcBorders>
            <w:vAlign w:val="center"/>
          </w:tcPr>
          <w:p w14:paraId="08F2F6DB" w14:textId="77777777" w:rsidR="00D76D7F" w:rsidRPr="00D76D7F" w:rsidRDefault="00D76D7F" w:rsidP="00D60727">
            <w:pPr>
              <w:spacing w:before="20" w:after="20"/>
              <w:rPr>
                <w:rFonts w:eastAsiaTheme="minorEastAsia"/>
                <w:sz w:val="18"/>
                <w:szCs w:val="18"/>
                <w:lang w:eastAsia="en-US"/>
              </w:rPr>
            </w:pPr>
            <w:r w:rsidRPr="00D76D7F">
              <w:rPr>
                <w:rFonts w:eastAsiaTheme="minorEastAsia"/>
                <w:bCs w:val="0"/>
                <w:sz w:val="18"/>
                <w:szCs w:val="18"/>
                <w:lang w:eastAsia="en-US"/>
              </w:rPr>
              <w:t xml:space="preserve">Number of </w:t>
            </w:r>
            <w:r w:rsidR="00D60727">
              <w:rPr>
                <w:rFonts w:eastAsiaTheme="minorEastAsia"/>
                <w:bCs w:val="0"/>
                <w:sz w:val="18"/>
                <w:szCs w:val="18"/>
                <w:lang w:eastAsia="en-US"/>
              </w:rPr>
              <w:t>major</w:t>
            </w:r>
            <w:r w:rsidRPr="00D76D7F">
              <w:rPr>
                <w:rFonts w:eastAsiaTheme="minorEastAsia"/>
                <w:bCs w:val="0"/>
                <w:sz w:val="18"/>
                <w:szCs w:val="18"/>
                <w:lang w:eastAsia="en-US"/>
              </w:rPr>
              <w:t xml:space="preserve"> life events</w:t>
            </w:r>
          </w:p>
        </w:tc>
        <w:tc>
          <w:tcPr>
            <w:tcW w:w="536" w:type="dxa"/>
            <w:tcBorders>
              <w:top w:val="nil"/>
              <w:left w:val="single" w:sz="4" w:space="0" w:color="auto"/>
              <w:bottom w:val="nil"/>
              <w:right w:val="nil"/>
            </w:tcBorders>
            <w:noWrap/>
            <w:vAlign w:val="center"/>
          </w:tcPr>
          <w:p w14:paraId="6BF4E79A" w14:textId="77777777" w:rsidR="00D76D7F" w:rsidRPr="00D76D7F" w:rsidRDefault="00D76D7F" w:rsidP="008C60C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nil"/>
              <w:left w:val="nil"/>
              <w:bottom w:val="nil"/>
              <w:right w:val="nil"/>
            </w:tcBorders>
            <w:noWrap/>
            <w:vAlign w:val="center"/>
          </w:tcPr>
          <w:p w14:paraId="2D65FA0E" w14:textId="77777777" w:rsidR="00D76D7F" w:rsidRPr="00D76D7F" w:rsidRDefault="00D76D7F" w:rsidP="008C60C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FFFFFF" w:themeFill="background1"/>
            <w:noWrap/>
            <w:vAlign w:val="center"/>
          </w:tcPr>
          <w:p w14:paraId="3C36AF59" w14:textId="77777777" w:rsidR="00D76D7F" w:rsidRPr="00D76D7F" w:rsidRDefault="00D76D7F" w:rsidP="008C60C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36" w:type="dxa"/>
            <w:tcBorders>
              <w:top w:val="nil"/>
              <w:left w:val="single" w:sz="4" w:space="0" w:color="000000"/>
              <w:bottom w:val="nil"/>
              <w:right w:val="nil"/>
            </w:tcBorders>
          </w:tcPr>
          <w:p w14:paraId="18F1AF05" w14:textId="77777777" w:rsidR="00D76D7F" w:rsidRPr="00D76D7F" w:rsidRDefault="00D76D7F" w:rsidP="008C60C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67" w:type="dxa"/>
            <w:tcBorders>
              <w:top w:val="nil"/>
              <w:left w:val="nil"/>
              <w:bottom w:val="nil"/>
              <w:right w:val="nil"/>
            </w:tcBorders>
          </w:tcPr>
          <w:p w14:paraId="0AD40373" w14:textId="77777777" w:rsidR="00D76D7F" w:rsidRPr="00D76D7F" w:rsidRDefault="00D76D7F" w:rsidP="008C60C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single" w:sz="4" w:space="0" w:color="000000"/>
            </w:tcBorders>
          </w:tcPr>
          <w:p w14:paraId="029501D6" w14:textId="77777777" w:rsidR="00D76D7F" w:rsidRPr="00D76D7F" w:rsidRDefault="00D76D7F" w:rsidP="008C60C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36" w:type="dxa"/>
            <w:tcBorders>
              <w:top w:val="nil"/>
              <w:left w:val="single" w:sz="4" w:space="0" w:color="000000"/>
              <w:bottom w:val="nil"/>
              <w:right w:val="nil"/>
            </w:tcBorders>
          </w:tcPr>
          <w:p w14:paraId="297424EB" w14:textId="77777777" w:rsidR="00D76D7F" w:rsidRPr="00D76D7F" w:rsidRDefault="00D76D7F" w:rsidP="008C60C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76" w:type="dxa"/>
            <w:tcBorders>
              <w:top w:val="nil"/>
              <w:left w:val="nil"/>
              <w:bottom w:val="nil"/>
              <w:right w:val="nil"/>
            </w:tcBorders>
          </w:tcPr>
          <w:p w14:paraId="67B90B5C" w14:textId="77777777" w:rsidR="00D76D7F" w:rsidRPr="00D76D7F" w:rsidRDefault="00D76D7F" w:rsidP="008C60C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nil"/>
            </w:tcBorders>
          </w:tcPr>
          <w:p w14:paraId="40F5BDE9" w14:textId="77777777" w:rsidR="00D76D7F" w:rsidRPr="00D76D7F" w:rsidRDefault="00D76D7F" w:rsidP="008C60C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r>
      <w:tr w:rsidR="009118DA" w:rsidRPr="00D76D7F" w14:paraId="63806811" w14:textId="77777777" w:rsidTr="00D76D7F">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tcPr>
          <w:p w14:paraId="01F80C23" w14:textId="77777777" w:rsidR="008C60C5" w:rsidRPr="00D76D7F" w:rsidRDefault="008C60C5" w:rsidP="008C60C5">
            <w:pPr>
              <w:spacing w:before="20" w:after="20"/>
              <w:ind w:left="34"/>
              <w:rPr>
                <w:rFonts w:eastAsiaTheme="minorEastAsia"/>
                <w:b w:val="0"/>
                <w:sz w:val="18"/>
                <w:szCs w:val="18"/>
                <w:lang w:eastAsia="en-US"/>
              </w:rPr>
            </w:pPr>
            <w:r w:rsidRPr="00D76D7F">
              <w:rPr>
                <w:rFonts w:eastAsiaTheme="minorEastAsia"/>
                <w:b w:val="0"/>
                <w:sz w:val="18"/>
                <w:szCs w:val="18"/>
                <w:lang w:eastAsia="en-US"/>
              </w:rPr>
              <w:t>0</w:t>
            </w:r>
          </w:p>
        </w:tc>
        <w:tc>
          <w:tcPr>
            <w:tcW w:w="536" w:type="dxa"/>
            <w:tcBorders>
              <w:top w:val="nil"/>
              <w:left w:val="nil"/>
              <w:bottom w:val="nil"/>
              <w:right w:val="nil"/>
            </w:tcBorders>
            <w:noWrap/>
            <w:vAlign w:val="center"/>
          </w:tcPr>
          <w:p w14:paraId="23F659BB"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95</w:t>
            </w:r>
          </w:p>
        </w:tc>
        <w:tc>
          <w:tcPr>
            <w:tcW w:w="579" w:type="dxa"/>
            <w:tcBorders>
              <w:top w:val="nil"/>
              <w:left w:val="nil"/>
              <w:bottom w:val="nil"/>
              <w:right w:val="nil"/>
            </w:tcBorders>
            <w:noWrap/>
            <w:vAlign w:val="center"/>
          </w:tcPr>
          <w:p w14:paraId="3CDD2B8F"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30.8</w:t>
            </w:r>
          </w:p>
        </w:tc>
        <w:tc>
          <w:tcPr>
            <w:tcW w:w="1146" w:type="dxa"/>
            <w:tcBorders>
              <w:top w:val="nil"/>
              <w:left w:val="nil"/>
              <w:bottom w:val="nil"/>
              <w:right w:val="single" w:sz="4" w:space="0" w:color="auto"/>
            </w:tcBorders>
            <w:noWrap/>
            <w:vAlign w:val="center"/>
          </w:tcPr>
          <w:p w14:paraId="0BDCE884"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(27.1, 34.5)</w:t>
            </w:r>
          </w:p>
        </w:tc>
        <w:tc>
          <w:tcPr>
            <w:tcW w:w="536" w:type="dxa"/>
            <w:tcBorders>
              <w:top w:val="nil"/>
              <w:left w:val="single" w:sz="4" w:space="0" w:color="auto"/>
              <w:bottom w:val="nil"/>
              <w:right w:val="nil"/>
            </w:tcBorders>
            <w:noWrap/>
            <w:vAlign w:val="center"/>
          </w:tcPr>
          <w:p w14:paraId="34D0C215"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63</w:t>
            </w:r>
          </w:p>
        </w:tc>
        <w:tc>
          <w:tcPr>
            <w:tcW w:w="621" w:type="dxa"/>
            <w:tcBorders>
              <w:top w:val="nil"/>
              <w:left w:val="nil"/>
              <w:bottom w:val="nil"/>
              <w:right w:val="nil"/>
            </w:tcBorders>
            <w:noWrap/>
            <w:vAlign w:val="center"/>
          </w:tcPr>
          <w:p w14:paraId="47B266F6"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34.0</w:t>
            </w:r>
          </w:p>
        </w:tc>
        <w:tc>
          <w:tcPr>
            <w:tcW w:w="1146" w:type="dxa"/>
            <w:tcBorders>
              <w:top w:val="nil"/>
              <w:left w:val="nil"/>
              <w:bottom w:val="nil"/>
              <w:right w:val="single" w:sz="4" w:space="0" w:color="000000"/>
            </w:tcBorders>
            <w:shd w:val="clear" w:color="auto" w:fill="FFFFFF" w:themeFill="background1"/>
            <w:noWrap/>
            <w:vAlign w:val="center"/>
          </w:tcPr>
          <w:p w14:paraId="2224C236"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(28.9, 39.1)</w:t>
            </w:r>
          </w:p>
        </w:tc>
        <w:tc>
          <w:tcPr>
            <w:tcW w:w="536" w:type="dxa"/>
            <w:tcBorders>
              <w:top w:val="nil"/>
              <w:left w:val="single" w:sz="4" w:space="0" w:color="000000"/>
              <w:bottom w:val="nil"/>
              <w:right w:val="nil"/>
            </w:tcBorders>
            <w:shd w:val="clear" w:color="auto" w:fill="FFFFFF" w:themeFill="background1"/>
            <w:vAlign w:val="center"/>
          </w:tcPr>
          <w:p w14:paraId="773B5919"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41</w:t>
            </w:r>
          </w:p>
        </w:tc>
        <w:tc>
          <w:tcPr>
            <w:tcW w:w="567" w:type="dxa"/>
            <w:tcBorders>
              <w:top w:val="nil"/>
              <w:left w:val="nil"/>
              <w:bottom w:val="nil"/>
              <w:right w:val="nil"/>
            </w:tcBorders>
            <w:shd w:val="clear" w:color="auto" w:fill="FFFFFF" w:themeFill="background1"/>
            <w:vAlign w:val="center"/>
          </w:tcPr>
          <w:p w14:paraId="3AD5F8DC"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27.2</w:t>
            </w:r>
          </w:p>
        </w:tc>
        <w:tc>
          <w:tcPr>
            <w:tcW w:w="1146" w:type="dxa"/>
            <w:tcBorders>
              <w:top w:val="nil"/>
              <w:left w:val="nil"/>
              <w:bottom w:val="nil"/>
              <w:right w:val="single" w:sz="4" w:space="0" w:color="000000"/>
            </w:tcBorders>
            <w:shd w:val="clear" w:color="auto" w:fill="FFFFFF" w:themeFill="background1"/>
            <w:vAlign w:val="center"/>
          </w:tcPr>
          <w:p w14:paraId="3DB8F59A"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(21.6, 32.7)</w:t>
            </w:r>
          </w:p>
        </w:tc>
        <w:tc>
          <w:tcPr>
            <w:tcW w:w="536" w:type="dxa"/>
            <w:tcBorders>
              <w:top w:val="nil"/>
              <w:left w:val="single" w:sz="4" w:space="0" w:color="000000"/>
              <w:bottom w:val="nil"/>
              <w:right w:val="nil"/>
            </w:tcBorders>
            <w:shd w:val="clear" w:color="auto" w:fill="FFFFFF" w:themeFill="background1"/>
            <w:vAlign w:val="center"/>
          </w:tcPr>
          <w:p w14:paraId="7BB2DB13"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35</w:t>
            </w:r>
          </w:p>
        </w:tc>
        <w:tc>
          <w:tcPr>
            <w:tcW w:w="576" w:type="dxa"/>
            <w:tcBorders>
              <w:top w:val="nil"/>
              <w:left w:val="nil"/>
              <w:bottom w:val="nil"/>
              <w:right w:val="nil"/>
            </w:tcBorders>
            <w:shd w:val="clear" w:color="auto" w:fill="FFFFFF" w:themeFill="background1"/>
            <w:vAlign w:val="center"/>
          </w:tcPr>
          <w:p w14:paraId="178B68B5"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26.3</w:t>
            </w:r>
          </w:p>
        </w:tc>
        <w:tc>
          <w:tcPr>
            <w:tcW w:w="1146" w:type="dxa"/>
            <w:tcBorders>
              <w:top w:val="nil"/>
              <w:left w:val="nil"/>
              <w:bottom w:val="nil"/>
              <w:right w:val="nil"/>
            </w:tcBorders>
            <w:shd w:val="clear" w:color="auto" w:fill="FFFFFF" w:themeFill="background1"/>
            <w:vAlign w:val="center"/>
          </w:tcPr>
          <w:p w14:paraId="5A3CA485"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(20.8, 31.9)</w:t>
            </w:r>
          </w:p>
        </w:tc>
      </w:tr>
      <w:tr w:rsidR="009118DA" w:rsidRPr="00D76D7F" w14:paraId="7C3A167F" w14:textId="77777777" w:rsidTr="00D76D7F">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tcPr>
          <w:p w14:paraId="502547A4" w14:textId="77777777" w:rsidR="008C60C5" w:rsidRPr="00D76D7F" w:rsidRDefault="008C60C5" w:rsidP="008C60C5">
            <w:pPr>
              <w:spacing w:before="20" w:after="20"/>
              <w:ind w:left="34"/>
              <w:rPr>
                <w:rFonts w:eastAsiaTheme="minorEastAsia"/>
                <w:b w:val="0"/>
                <w:sz w:val="18"/>
                <w:szCs w:val="18"/>
                <w:lang w:eastAsia="en-US"/>
              </w:rPr>
            </w:pPr>
            <w:r w:rsidRPr="00D76D7F">
              <w:rPr>
                <w:rFonts w:eastAsiaTheme="minorEastAsia"/>
                <w:b w:val="0"/>
                <w:sz w:val="18"/>
                <w:szCs w:val="18"/>
                <w:lang w:eastAsia="en-US"/>
              </w:rPr>
              <w:t>1</w:t>
            </w:r>
          </w:p>
        </w:tc>
        <w:tc>
          <w:tcPr>
            <w:tcW w:w="536" w:type="dxa"/>
            <w:tcBorders>
              <w:top w:val="nil"/>
              <w:left w:val="nil"/>
              <w:bottom w:val="nil"/>
              <w:right w:val="nil"/>
            </w:tcBorders>
            <w:noWrap/>
            <w:vAlign w:val="center"/>
          </w:tcPr>
          <w:p w14:paraId="413A34E5"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78</w:t>
            </w:r>
          </w:p>
        </w:tc>
        <w:tc>
          <w:tcPr>
            <w:tcW w:w="579" w:type="dxa"/>
            <w:tcBorders>
              <w:top w:val="nil"/>
              <w:left w:val="nil"/>
              <w:bottom w:val="nil"/>
              <w:right w:val="nil"/>
            </w:tcBorders>
            <w:noWrap/>
            <w:vAlign w:val="center"/>
          </w:tcPr>
          <w:p w14:paraId="710C189E"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25.1</w:t>
            </w:r>
          </w:p>
        </w:tc>
        <w:tc>
          <w:tcPr>
            <w:tcW w:w="1146" w:type="dxa"/>
            <w:tcBorders>
              <w:top w:val="nil"/>
              <w:left w:val="nil"/>
              <w:bottom w:val="nil"/>
              <w:right w:val="single" w:sz="4" w:space="0" w:color="auto"/>
            </w:tcBorders>
            <w:noWrap/>
            <w:vAlign w:val="center"/>
          </w:tcPr>
          <w:p w14:paraId="78196705"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(21.6, 28.6)</w:t>
            </w:r>
          </w:p>
        </w:tc>
        <w:tc>
          <w:tcPr>
            <w:tcW w:w="536" w:type="dxa"/>
            <w:tcBorders>
              <w:top w:val="nil"/>
              <w:left w:val="single" w:sz="4" w:space="0" w:color="auto"/>
              <w:bottom w:val="nil"/>
              <w:right w:val="nil"/>
            </w:tcBorders>
            <w:noWrap/>
            <w:vAlign w:val="center"/>
          </w:tcPr>
          <w:p w14:paraId="01923450"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42</w:t>
            </w:r>
          </w:p>
        </w:tc>
        <w:tc>
          <w:tcPr>
            <w:tcW w:w="621" w:type="dxa"/>
            <w:tcBorders>
              <w:top w:val="nil"/>
              <w:left w:val="nil"/>
              <w:bottom w:val="nil"/>
              <w:right w:val="nil"/>
            </w:tcBorders>
            <w:noWrap/>
            <w:vAlign w:val="center"/>
          </w:tcPr>
          <w:p w14:paraId="60EDA086"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22.4</w:t>
            </w:r>
          </w:p>
        </w:tc>
        <w:tc>
          <w:tcPr>
            <w:tcW w:w="1146" w:type="dxa"/>
            <w:tcBorders>
              <w:top w:val="nil"/>
              <w:left w:val="nil"/>
              <w:bottom w:val="nil"/>
              <w:right w:val="single" w:sz="4" w:space="0" w:color="000000"/>
            </w:tcBorders>
            <w:shd w:val="clear" w:color="auto" w:fill="FFFFFF" w:themeFill="background1"/>
            <w:noWrap/>
            <w:vAlign w:val="center"/>
          </w:tcPr>
          <w:p w14:paraId="17342F1E"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(17.9, 26.9)</w:t>
            </w:r>
          </w:p>
        </w:tc>
        <w:tc>
          <w:tcPr>
            <w:tcW w:w="536" w:type="dxa"/>
            <w:tcBorders>
              <w:top w:val="nil"/>
              <w:left w:val="single" w:sz="4" w:space="0" w:color="000000"/>
              <w:bottom w:val="nil"/>
              <w:right w:val="nil"/>
            </w:tcBorders>
            <w:shd w:val="clear" w:color="auto" w:fill="FFFFFF" w:themeFill="background1"/>
            <w:vAlign w:val="center"/>
          </w:tcPr>
          <w:p w14:paraId="48004932"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39</w:t>
            </w:r>
          </w:p>
        </w:tc>
        <w:tc>
          <w:tcPr>
            <w:tcW w:w="567" w:type="dxa"/>
            <w:tcBorders>
              <w:top w:val="nil"/>
              <w:left w:val="nil"/>
              <w:bottom w:val="nil"/>
              <w:right w:val="nil"/>
            </w:tcBorders>
            <w:shd w:val="clear" w:color="auto" w:fill="FFFFFF" w:themeFill="background1"/>
            <w:vAlign w:val="center"/>
          </w:tcPr>
          <w:p w14:paraId="4E04DEF3"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26.1</w:t>
            </w:r>
          </w:p>
        </w:tc>
        <w:tc>
          <w:tcPr>
            <w:tcW w:w="1146" w:type="dxa"/>
            <w:tcBorders>
              <w:top w:val="nil"/>
              <w:left w:val="nil"/>
              <w:bottom w:val="nil"/>
              <w:right w:val="single" w:sz="4" w:space="0" w:color="000000"/>
            </w:tcBorders>
            <w:shd w:val="clear" w:color="auto" w:fill="FFFFFF" w:themeFill="background1"/>
            <w:vAlign w:val="center"/>
          </w:tcPr>
          <w:p w14:paraId="2BE9FDAD"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(20.6, 31.5)</w:t>
            </w:r>
          </w:p>
        </w:tc>
        <w:tc>
          <w:tcPr>
            <w:tcW w:w="536" w:type="dxa"/>
            <w:tcBorders>
              <w:top w:val="nil"/>
              <w:left w:val="single" w:sz="4" w:space="0" w:color="000000"/>
              <w:bottom w:val="nil"/>
              <w:right w:val="nil"/>
            </w:tcBorders>
            <w:shd w:val="clear" w:color="auto" w:fill="FFFFFF" w:themeFill="background1"/>
            <w:vAlign w:val="center"/>
          </w:tcPr>
          <w:p w14:paraId="4AB590D1"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43</w:t>
            </w:r>
          </w:p>
        </w:tc>
        <w:tc>
          <w:tcPr>
            <w:tcW w:w="576" w:type="dxa"/>
            <w:tcBorders>
              <w:top w:val="nil"/>
              <w:left w:val="nil"/>
              <w:bottom w:val="nil"/>
              <w:right w:val="nil"/>
            </w:tcBorders>
            <w:shd w:val="clear" w:color="auto" w:fill="FFFFFF" w:themeFill="background1"/>
            <w:vAlign w:val="center"/>
          </w:tcPr>
          <w:p w14:paraId="328179E5"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32.7</w:t>
            </w:r>
          </w:p>
        </w:tc>
        <w:tc>
          <w:tcPr>
            <w:tcW w:w="1146" w:type="dxa"/>
            <w:tcBorders>
              <w:top w:val="nil"/>
              <w:left w:val="nil"/>
              <w:bottom w:val="nil"/>
              <w:right w:val="nil"/>
            </w:tcBorders>
            <w:shd w:val="clear" w:color="auto" w:fill="FFFFFF" w:themeFill="background1"/>
            <w:vAlign w:val="center"/>
          </w:tcPr>
          <w:p w14:paraId="2C2E031C"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(26.2, 39.2)</w:t>
            </w:r>
          </w:p>
        </w:tc>
      </w:tr>
      <w:tr w:rsidR="009118DA" w:rsidRPr="00D76D7F" w14:paraId="1AF3FC10" w14:textId="77777777" w:rsidTr="00D76D7F">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tcPr>
          <w:p w14:paraId="5B7DF15C" w14:textId="77777777" w:rsidR="008C60C5" w:rsidRPr="00D76D7F" w:rsidRDefault="008C60C5" w:rsidP="008C60C5">
            <w:pPr>
              <w:spacing w:before="20" w:after="20"/>
              <w:ind w:left="34"/>
              <w:rPr>
                <w:rFonts w:eastAsiaTheme="minorEastAsia"/>
                <w:b w:val="0"/>
                <w:sz w:val="18"/>
                <w:szCs w:val="18"/>
                <w:lang w:eastAsia="en-US"/>
              </w:rPr>
            </w:pPr>
            <w:r w:rsidRPr="00D76D7F">
              <w:rPr>
                <w:rFonts w:eastAsiaTheme="minorEastAsia"/>
                <w:b w:val="0"/>
                <w:sz w:val="18"/>
                <w:szCs w:val="18"/>
                <w:lang w:eastAsia="en-US"/>
              </w:rPr>
              <w:t>2</w:t>
            </w:r>
          </w:p>
        </w:tc>
        <w:tc>
          <w:tcPr>
            <w:tcW w:w="536" w:type="dxa"/>
            <w:tcBorders>
              <w:top w:val="nil"/>
              <w:left w:val="nil"/>
              <w:bottom w:val="nil"/>
              <w:right w:val="nil"/>
            </w:tcBorders>
            <w:noWrap/>
            <w:vAlign w:val="center"/>
          </w:tcPr>
          <w:p w14:paraId="09A12D91"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61</w:t>
            </w:r>
          </w:p>
        </w:tc>
        <w:tc>
          <w:tcPr>
            <w:tcW w:w="579" w:type="dxa"/>
            <w:tcBorders>
              <w:top w:val="nil"/>
              <w:left w:val="nil"/>
              <w:bottom w:val="nil"/>
              <w:right w:val="nil"/>
            </w:tcBorders>
            <w:noWrap/>
            <w:vAlign w:val="center"/>
          </w:tcPr>
          <w:p w14:paraId="075DD0AC"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19.6</w:t>
            </w:r>
          </w:p>
        </w:tc>
        <w:tc>
          <w:tcPr>
            <w:tcW w:w="1146" w:type="dxa"/>
            <w:tcBorders>
              <w:top w:val="nil"/>
              <w:left w:val="nil"/>
              <w:bottom w:val="nil"/>
              <w:right w:val="single" w:sz="4" w:space="0" w:color="auto"/>
            </w:tcBorders>
            <w:noWrap/>
            <w:vAlign w:val="center"/>
          </w:tcPr>
          <w:p w14:paraId="351B046B"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(16.1, 23.2)</w:t>
            </w:r>
          </w:p>
        </w:tc>
        <w:tc>
          <w:tcPr>
            <w:tcW w:w="536" w:type="dxa"/>
            <w:tcBorders>
              <w:top w:val="nil"/>
              <w:left w:val="single" w:sz="4" w:space="0" w:color="auto"/>
              <w:bottom w:val="nil"/>
              <w:right w:val="nil"/>
            </w:tcBorders>
            <w:noWrap/>
            <w:vAlign w:val="center"/>
          </w:tcPr>
          <w:p w14:paraId="68853D9B"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36</w:t>
            </w:r>
          </w:p>
        </w:tc>
        <w:tc>
          <w:tcPr>
            <w:tcW w:w="621" w:type="dxa"/>
            <w:tcBorders>
              <w:top w:val="nil"/>
              <w:left w:val="nil"/>
              <w:bottom w:val="nil"/>
              <w:right w:val="nil"/>
            </w:tcBorders>
            <w:noWrap/>
            <w:vAlign w:val="center"/>
          </w:tcPr>
          <w:p w14:paraId="5A99611D"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19.3</w:t>
            </w:r>
          </w:p>
        </w:tc>
        <w:tc>
          <w:tcPr>
            <w:tcW w:w="1146" w:type="dxa"/>
            <w:tcBorders>
              <w:top w:val="nil"/>
              <w:left w:val="nil"/>
              <w:bottom w:val="nil"/>
              <w:right w:val="single" w:sz="4" w:space="0" w:color="000000"/>
            </w:tcBorders>
            <w:shd w:val="clear" w:color="auto" w:fill="FFFFFF" w:themeFill="background1"/>
            <w:noWrap/>
            <w:vAlign w:val="center"/>
          </w:tcPr>
          <w:p w14:paraId="492F6E66"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(15.1, 23.5)</w:t>
            </w:r>
          </w:p>
        </w:tc>
        <w:tc>
          <w:tcPr>
            <w:tcW w:w="536" w:type="dxa"/>
            <w:tcBorders>
              <w:top w:val="nil"/>
              <w:left w:val="single" w:sz="4" w:space="0" w:color="000000"/>
              <w:bottom w:val="nil"/>
              <w:right w:val="nil"/>
            </w:tcBorders>
            <w:shd w:val="clear" w:color="auto" w:fill="FFFFFF" w:themeFill="background1"/>
            <w:vAlign w:val="center"/>
          </w:tcPr>
          <w:p w14:paraId="3BAB293B"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32</w:t>
            </w:r>
          </w:p>
        </w:tc>
        <w:tc>
          <w:tcPr>
            <w:tcW w:w="567" w:type="dxa"/>
            <w:tcBorders>
              <w:top w:val="nil"/>
              <w:left w:val="nil"/>
              <w:bottom w:val="nil"/>
              <w:right w:val="nil"/>
            </w:tcBorders>
            <w:shd w:val="clear" w:color="auto" w:fill="FFFFFF" w:themeFill="background1"/>
            <w:vAlign w:val="center"/>
          </w:tcPr>
          <w:p w14:paraId="30597EAC"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21.6</w:t>
            </w:r>
          </w:p>
        </w:tc>
        <w:tc>
          <w:tcPr>
            <w:tcW w:w="1146" w:type="dxa"/>
            <w:tcBorders>
              <w:top w:val="nil"/>
              <w:left w:val="nil"/>
              <w:bottom w:val="nil"/>
              <w:right w:val="single" w:sz="4" w:space="0" w:color="000000"/>
            </w:tcBorders>
            <w:shd w:val="clear" w:color="auto" w:fill="FFFFFF" w:themeFill="background1"/>
            <w:vAlign w:val="center"/>
          </w:tcPr>
          <w:p w14:paraId="745D55D6"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(16.6, 26.5)</w:t>
            </w:r>
          </w:p>
        </w:tc>
        <w:tc>
          <w:tcPr>
            <w:tcW w:w="536" w:type="dxa"/>
            <w:tcBorders>
              <w:top w:val="nil"/>
              <w:left w:val="single" w:sz="4" w:space="0" w:color="000000"/>
              <w:bottom w:val="nil"/>
              <w:right w:val="nil"/>
            </w:tcBorders>
            <w:shd w:val="clear" w:color="auto" w:fill="FFFFFF" w:themeFill="background1"/>
            <w:vAlign w:val="center"/>
          </w:tcPr>
          <w:p w14:paraId="3BB2EC47"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26</w:t>
            </w:r>
          </w:p>
        </w:tc>
        <w:tc>
          <w:tcPr>
            <w:tcW w:w="576" w:type="dxa"/>
            <w:tcBorders>
              <w:top w:val="nil"/>
              <w:left w:val="nil"/>
              <w:bottom w:val="nil"/>
              <w:right w:val="nil"/>
            </w:tcBorders>
            <w:shd w:val="clear" w:color="auto" w:fill="FFFFFF" w:themeFill="background1"/>
            <w:vAlign w:val="center"/>
          </w:tcPr>
          <w:p w14:paraId="5A1F2B3F"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19.4</w:t>
            </w:r>
          </w:p>
        </w:tc>
        <w:tc>
          <w:tcPr>
            <w:tcW w:w="1146" w:type="dxa"/>
            <w:tcBorders>
              <w:top w:val="nil"/>
              <w:left w:val="nil"/>
              <w:bottom w:val="nil"/>
              <w:right w:val="nil"/>
            </w:tcBorders>
            <w:shd w:val="clear" w:color="auto" w:fill="FFFFFF" w:themeFill="background1"/>
            <w:vAlign w:val="center"/>
          </w:tcPr>
          <w:p w14:paraId="78CAE65A"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(13.8, 25.0)</w:t>
            </w:r>
          </w:p>
        </w:tc>
      </w:tr>
      <w:tr w:rsidR="009118DA" w:rsidRPr="00D76D7F" w14:paraId="2F2137E5" w14:textId="77777777" w:rsidTr="00D76D7F">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tcPr>
          <w:p w14:paraId="1D19C4E9" w14:textId="77777777" w:rsidR="008C60C5" w:rsidRPr="00D76D7F" w:rsidRDefault="008C60C5" w:rsidP="008C60C5">
            <w:pPr>
              <w:spacing w:before="20" w:after="20"/>
              <w:ind w:left="34"/>
              <w:rPr>
                <w:rFonts w:eastAsiaTheme="minorEastAsia"/>
                <w:b w:val="0"/>
                <w:sz w:val="18"/>
                <w:szCs w:val="18"/>
                <w:lang w:eastAsia="en-US"/>
              </w:rPr>
            </w:pPr>
            <w:r w:rsidRPr="00D76D7F">
              <w:rPr>
                <w:rFonts w:eastAsiaTheme="minorEastAsia"/>
                <w:b w:val="0"/>
                <w:sz w:val="18"/>
                <w:szCs w:val="18"/>
                <w:lang w:eastAsia="en-US"/>
              </w:rPr>
              <w:t>3</w:t>
            </w:r>
          </w:p>
        </w:tc>
        <w:tc>
          <w:tcPr>
            <w:tcW w:w="536" w:type="dxa"/>
            <w:tcBorders>
              <w:top w:val="nil"/>
              <w:left w:val="nil"/>
              <w:bottom w:val="nil"/>
              <w:right w:val="nil"/>
            </w:tcBorders>
            <w:noWrap/>
            <w:vAlign w:val="center"/>
          </w:tcPr>
          <w:p w14:paraId="00A3E2FC"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29</w:t>
            </w:r>
          </w:p>
        </w:tc>
        <w:tc>
          <w:tcPr>
            <w:tcW w:w="579" w:type="dxa"/>
            <w:tcBorders>
              <w:top w:val="nil"/>
              <w:left w:val="nil"/>
              <w:bottom w:val="nil"/>
              <w:right w:val="nil"/>
            </w:tcBorders>
            <w:noWrap/>
            <w:vAlign w:val="center"/>
          </w:tcPr>
          <w:p w14:paraId="2A4783D6"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9.3</w:t>
            </w:r>
          </w:p>
        </w:tc>
        <w:tc>
          <w:tcPr>
            <w:tcW w:w="1146" w:type="dxa"/>
            <w:tcBorders>
              <w:top w:val="nil"/>
              <w:left w:val="nil"/>
              <w:bottom w:val="nil"/>
              <w:right w:val="single" w:sz="4" w:space="0" w:color="auto"/>
            </w:tcBorders>
            <w:noWrap/>
            <w:vAlign w:val="center"/>
          </w:tcPr>
          <w:p w14:paraId="14997B9E"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(6.9, 11.6)</w:t>
            </w:r>
          </w:p>
        </w:tc>
        <w:tc>
          <w:tcPr>
            <w:tcW w:w="536" w:type="dxa"/>
            <w:tcBorders>
              <w:top w:val="nil"/>
              <w:left w:val="single" w:sz="4" w:space="0" w:color="auto"/>
              <w:bottom w:val="nil"/>
              <w:right w:val="nil"/>
            </w:tcBorders>
            <w:noWrap/>
            <w:vAlign w:val="center"/>
          </w:tcPr>
          <w:p w14:paraId="5F281754"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25</w:t>
            </w:r>
          </w:p>
        </w:tc>
        <w:tc>
          <w:tcPr>
            <w:tcW w:w="621" w:type="dxa"/>
            <w:tcBorders>
              <w:top w:val="nil"/>
              <w:left w:val="nil"/>
              <w:bottom w:val="nil"/>
              <w:right w:val="nil"/>
            </w:tcBorders>
            <w:noWrap/>
            <w:vAlign w:val="center"/>
          </w:tcPr>
          <w:p w14:paraId="2013D92E"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13.5</w:t>
            </w:r>
          </w:p>
        </w:tc>
        <w:tc>
          <w:tcPr>
            <w:tcW w:w="1146" w:type="dxa"/>
            <w:tcBorders>
              <w:top w:val="nil"/>
              <w:left w:val="nil"/>
              <w:bottom w:val="nil"/>
              <w:right w:val="single" w:sz="4" w:space="0" w:color="000000"/>
            </w:tcBorders>
            <w:shd w:val="clear" w:color="auto" w:fill="FFFFFF" w:themeFill="background1"/>
            <w:noWrap/>
            <w:vAlign w:val="center"/>
          </w:tcPr>
          <w:p w14:paraId="347F8BD5"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(9.5, 17.6)</w:t>
            </w:r>
          </w:p>
        </w:tc>
        <w:tc>
          <w:tcPr>
            <w:tcW w:w="536" w:type="dxa"/>
            <w:tcBorders>
              <w:top w:val="nil"/>
              <w:left w:val="single" w:sz="4" w:space="0" w:color="000000"/>
              <w:bottom w:val="nil"/>
              <w:right w:val="nil"/>
            </w:tcBorders>
            <w:shd w:val="clear" w:color="auto" w:fill="FFFFFF" w:themeFill="background1"/>
            <w:vAlign w:val="center"/>
          </w:tcPr>
          <w:p w14:paraId="1C244738"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w:t>
            </w:r>
          </w:p>
        </w:tc>
        <w:tc>
          <w:tcPr>
            <w:tcW w:w="567" w:type="dxa"/>
            <w:tcBorders>
              <w:top w:val="nil"/>
              <w:left w:val="nil"/>
              <w:bottom w:val="nil"/>
              <w:right w:val="nil"/>
            </w:tcBorders>
            <w:shd w:val="clear" w:color="auto" w:fill="FFFFFF" w:themeFill="background1"/>
            <w:vAlign w:val="center"/>
          </w:tcPr>
          <w:p w14:paraId="36CCE4D8"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14.8</w:t>
            </w:r>
          </w:p>
        </w:tc>
        <w:tc>
          <w:tcPr>
            <w:tcW w:w="1146" w:type="dxa"/>
            <w:tcBorders>
              <w:top w:val="nil"/>
              <w:left w:val="nil"/>
              <w:bottom w:val="nil"/>
              <w:right w:val="single" w:sz="4" w:space="0" w:color="000000"/>
            </w:tcBorders>
            <w:shd w:val="clear" w:color="auto" w:fill="FFFFFF" w:themeFill="background1"/>
            <w:vAlign w:val="center"/>
          </w:tcPr>
          <w:p w14:paraId="6D740077"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(10.2, 19.3)</w:t>
            </w:r>
          </w:p>
        </w:tc>
        <w:tc>
          <w:tcPr>
            <w:tcW w:w="536" w:type="dxa"/>
            <w:tcBorders>
              <w:top w:val="nil"/>
              <w:left w:val="single" w:sz="4" w:space="0" w:color="000000"/>
              <w:bottom w:val="nil"/>
              <w:right w:val="nil"/>
            </w:tcBorders>
            <w:shd w:val="clear" w:color="auto" w:fill="FFFFFF" w:themeFill="background1"/>
            <w:vAlign w:val="center"/>
          </w:tcPr>
          <w:p w14:paraId="1642D8CF"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w:t>
            </w:r>
          </w:p>
        </w:tc>
        <w:tc>
          <w:tcPr>
            <w:tcW w:w="576" w:type="dxa"/>
            <w:tcBorders>
              <w:top w:val="nil"/>
              <w:left w:val="nil"/>
              <w:bottom w:val="nil"/>
              <w:right w:val="nil"/>
            </w:tcBorders>
            <w:shd w:val="clear" w:color="auto" w:fill="FFFFFF" w:themeFill="background1"/>
            <w:vAlign w:val="center"/>
          </w:tcPr>
          <w:p w14:paraId="1D842F2E"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10.5</w:t>
            </w:r>
          </w:p>
        </w:tc>
        <w:tc>
          <w:tcPr>
            <w:tcW w:w="1146" w:type="dxa"/>
            <w:tcBorders>
              <w:top w:val="nil"/>
              <w:left w:val="nil"/>
              <w:bottom w:val="nil"/>
              <w:right w:val="nil"/>
            </w:tcBorders>
            <w:shd w:val="clear" w:color="auto" w:fill="FFFFFF" w:themeFill="background1"/>
            <w:vAlign w:val="center"/>
          </w:tcPr>
          <w:p w14:paraId="7312B11A"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(6.4, 14.6)</w:t>
            </w:r>
          </w:p>
        </w:tc>
      </w:tr>
      <w:tr w:rsidR="008C60C5" w:rsidRPr="00D76D7F" w14:paraId="1EB6D331" w14:textId="77777777" w:rsidTr="00D76D7F">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286A1300" w14:textId="77777777" w:rsidR="008C60C5" w:rsidRPr="00D76D7F" w:rsidRDefault="008C60C5" w:rsidP="008C60C5">
            <w:pPr>
              <w:spacing w:before="20" w:after="20"/>
              <w:ind w:left="34"/>
              <w:rPr>
                <w:rFonts w:eastAsiaTheme="minorEastAsia"/>
                <w:b w:val="0"/>
                <w:sz w:val="18"/>
                <w:szCs w:val="18"/>
                <w:lang w:eastAsia="en-US"/>
              </w:rPr>
            </w:pPr>
            <w:r w:rsidRPr="00D76D7F">
              <w:rPr>
                <w:rFonts w:eastAsiaTheme="minorEastAsia"/>
                <w:b w:val="0"/>
                <w:sz w:val="18"/>
                <w:szCs w:val="18"/>
                <w:lang w:eastAsia="en-US"/>
              </w:rPr>
              <w:t>4</w:t>
            </w:r>
          </w:p>
        </w:tc>
        <w:tc>
          <w:tcPr>
            <w:tcW w:w="536" w:type="dxa"/>
            <w:tcBorders>
              <w:top w:val="nil"/>
              <w:left w:val="nil"/>
              <w:bottom w:val="nil"/>
              <w:right w:val="nil"/>
            </w:tcBorders>
            <w:shd w:val="clear" w:color="auto" w:fill="auto"/>
            <w:noWrap/>
            <w:vAlign w:val="center"/>
          </w:tcPr>
          <w:p w14:paraId="0867B36E"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w:t>
            </w:r>
          </w:p>
        </w:tc>
        <w:tc>
          <w:tcPr>
            <w:tcW w:w="579" w:type="dxa"/>
            <w:tcBorders>
              <w:top w:val="nil"/>
              <w:left w:val="nil"/>
              <w:bottom w:val="nil"/>
              <w:right w:val="nil"/>
            </w:tcBorders>
            <w:shd w:val="clear" w:color="auto" w:fill="auto"/>
            <w:noWrap/>
            <w:vAlign w:val="center"/>
          </w:tcPr>
          <w:p w14:paraId="0D5B40EE"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7.0</w:t>
            </w:r>
          </w:p>
        </w:tc>
        <w:tc>
          <w:tcPr>
            <w:tcW w:w="1146" w:type="dxa"/>
            <w:tcBorders>
              <w:top w:val="nil"/>
              <w:left w:val="nil"/>
              <w:bottom w:val="nil"/>
              <w:right w:val="single" w:sz="4" w:space="0" w:color="auto"/>
            </w:tcBorders>
            <w:shd w:val="clear" w:color="auto" w:fill="auto"/>
            <w:noWrap/>
            <w:vAlign w:val="center"/>
          </w:tcPr>
          <w:p w14:paraId="00D6A642"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(4.9, 9.2)</w:t>
            </w:r>
          </w:p>
        </w:tc>
        <w:tc>
          <w:tcPr>
            <w:tcW w:w="536" w:type="dxa"/>
            <w:tcBorders>
              <w:top w:val="nil"/>
              <w:left w:val="single" w:sz="4" w:space="0" w:color="auto"/>
              <w:bottom w:val="nil"/>
              <w:right w:val="nil"/>
            </w:tcBorders>
            <w:shd w:val="clear" w:color="auto" w:fill="auto"/>
            <w:noWrap/>
            <w:vAlign w:val="center"/>
          </w:tcPr>
          <w:p w14:paraId="45B4E381"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w:t>
            </w:r>
          </w:p>
        </w:tc>
        <w:tc>
          <w:tcPr>
            <w:tcW w:w="621" w:type="dxa"/>
            <w:tcBorders>
              <w:top w:val="nil"/>
              <w:left w:val="nil"/>
              <w:bottom w:val="nil"/>
              <w:right w:val="nil"/>
            </w:tcBorders>
            <w:shd w:val="clear" w:color="auto" w:fill="auto"/>
            <w:noWrap/>
            <w:vAlign w:val="center"/>
          </w:tcPr>
          <w:p w14:paraId="4788A82D"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5.2</w:t>
            </w:r>
          </w:p>
        </w:tc>
        <w:tc>
          <w:tcPr>
            <w:tcW w:w="1146" w:type="dxa"/>
            <w:tcBorders>
              <w:top w:val="nil"/>
              <w:left w:val="nil"/>
              <w:bottom w:val="nil"/>
              <w:right w:val="single" w:sz="4" w:space="0" w:color="000000"/>
            </w:tcBorders>
            <w:shd w:val="clear" w:color="auto" w:fill="auto"/>
            <w:noWrap/>
            <w:vAlign w:val="center"/>
          </w:tcPr>
          <w:p w14:paraId="60A8A342"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(2.4, 7.9)</w:t>
            </w:r>
          </w:p>
        </w:tc>
        <w:tc>
          <w:tcPr>
            <w:tcW w:w="536" w:type="dxa"/>
            <w:tcBorders>
              <w:top w:val="nil"/>
              <w:left w:val="single" w:sz="4" w:space="0" w:color="000000"/>
              <w:bottom w:val="nil"/>
              <w:right w:val="nil"/>
            </w:tcBorders>
            <w:shd w:val="clear" w:color="auto" w:fill="auto"/>
            <w:vAlign w:val="center"/>
          </w:tcPr>
          <w:p w14:paraId="408BFDCF"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w:t>
            </w:r>
          </w:p>
        </w:tc>
        <w:tc>
          <w:tcPr>
            <w:tcW w:w="567" w:type="dxa"/>
            <w:tcBorders>
              <w:top w:val="nil"/>
              <w:left w:val="nil"/>
              <w:bottom w:val="nil"/>
              <w:right w:val="nil"/>
            </w:tcBorders>
            <w:shd w:val="clear" w:color="auto" w:fill="auto"/>
            <w:vAlign w:val="center"/>
          </w:tcPr>
          <w:p w14:paraId="5594B814"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5.0</w:t>
            </w:r>
          </w:p>
        </w:tc>
        <w:tc>
          <w:tcPr>
            <w:tcW w:w="1146" w:type="dxa"/>
            <w:tcBorders>
              <w:top w:val="nil"/>
              <w:left w:val="nil"/>
              <w:bottom w:val="nil"/>
              <w:right w:val="single" w:sz="4" w:space="0" w:color="000000"/>
            </w:tcBorders>
            <w:shd w:val="clear" w:color="auto" w:fill="auto"/>
            <w:vAlign w:val="center"/>
          </w:tcPr>
          <w:p w14:paraId="4566B4DA"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(2.5, 7.5)</w:t>
            </w:r>
          </w:p>
        </w:tc>
        <w:tc>
          <w:tcPr>
            <w:tcW w:w="536" w:type="dxa"/>
            <w:tcBorders>
              <w:top w:val="nil"/>
              <w:left w:val="single" w:sz="4" w:space="0" w:color="000000"/>
              <w:bottom w:val="nil"/>
              <w:right w:val="nil"/>
            </w:tcBorders>
            <w:vAlign w:val="center"/>
          </w:tcPr>
          <w:p w14:paraId="1034E404"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w:t>
            </w:r>
          </w:p>
        </w:tc>
        <w:tc>
          <w:tcPr>
            <w:tcW w:w="576" w:type="dxa"/>
            <w:tcBorders>
              <w:top w:val="nil"/>
              <w:left w:val="nil"/>
              <w:bottom w:val="nil"/>
              <w:right w:val="nil"/>
            </w:tcBorders>
            <w:vAlign w:val="center"/>
          </w:tcPr>
          <w:p w14:paraId="581C389B"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7.6</w:t>
            </w:r>
          </w:p>
        </w:tc>
        <w:tc>
          <w:tcPr>
            <w:tcW w:w="1146" w:type="dxa"/>
            <w:tcBorders>
              <w:top w:val="nil"/>
              <w:left w:val="nil"/>
              <w:bottom w:val="nil"/>
              <w:right w:val="nil"/>
            </w:tcBorders>
            <w:vAlign w:val="center"/>
          </w:tcPr>
          <w:p w14:paraId="4DB47344"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(3.6, 11.6)</w:t>
            </w:r>
          </w:p>
        </w:tc>
      </w:tr>
      <w:tr w:rsidR="009118DA" w:rsidRPr="00D76D7F" w14:paraId="04419D95"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66D0D052" w14:textId="77777777" w:rsidR="008C60C5" w:rsidRPr="00D76D7F" w:rsidRDefault="008C60C5" w:rsidP="008C60C5">
            <w:pPr>
              <w:spacing w:before="20" w:after="20"/>
              <w:ind w:left="34"/>
              <w:rPr>
                <w:rFonts w:eastAsiaTheme="minorEastAsia"/>
                <w:b w:val="0"/>
                <w:sz w:val="18"/>
                <w:szCs w:val="18"/>
                <w:lang w:eastAsia="en-US"/>
              </w:rPr>
            </w:pPr>
            <w:r w:rsidRPr="00D76D7F">
              <w:rPr>
                <w:rFonts w:eastAsiaTheme="minorEastAsia"/>
                <w:b w:val="0"/>
                <w:sz w:val="18"/>
                <w:szCs w:val="18"/>
                <w:lang w:eastAsia="en-US"/>
              </w:rPr>
              <w:t>5+</w:t>
            </w:r>
          </w:p>
        </w:tc>
        <w:tc>
          <w:tcPr>
            <w:tcW w:w="536" w:type="dxa"/>
            <w:tcBorders>
              <w:top w:val="nil"/>
              <w:left w:val="nil"/>
              <w:bottom w:val="nil"/>
              <w:right w:val="nil"/>
            </w:tcBorders>
            <w:shd w:val="clear" w:color="auto" w:fill="auto"/>
            <w:noWrap/>
            <w:vAlign w:val="center"/>
          </w:tcPr>
          <w:p w14:paraId="73D4CB9A"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25</w:t>
            </w:r>
          </w:p>
        </w:tc>
        <w:tc>
          <w:tcPr>
            <w:tcW w:w="579" w:type="dxa"/>
            <w:tcBorders>
              <w:top w:val="nil"/>
              <w:left w:val="nil"/>
              <w:bottom w:val="nil"/>
              <w:right w:val="nil"/>
            </w:tcBorders>
            <w:shd w:val="clear" w:color="auto" w:fill="auto"/>
            <w:noWrap/>
            <w:vAlign w:val="center"/>
          </w:tcPr>
          <w:p w14:paraId="4593CFC7"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8.2</w:t>
            </w:r>
          </w:p>
        </w:tc>
        <w:tc>
          <w:tcPr>
            <w:tcW w:w="1146" w:type="dxa"/>
            <w:tcBorders>
              <w:top w:val="nil"/>
              <w:left w:val="nil"/>
              <w:bottom w:val="nil"/>
              <w:right w:val="single" w:sz="4" w:space="0" w:color="auto"/>
            </w:tcBorders>
            <w:shd w:val="clear" w:color="auto" w:fill="auto"/>
            <w:noWrap/>
            <w:vAlign w:val="center"/>
          </w:tcPr>
          <w:p w14:paraId="5296D072"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(6.0, 10.4)</w:t>
            </w:r>
          </w:p>
        </w:tc>
        <w:tc>
          <w:tcPr>
            <w:tcW w:w="536" w:type="dxa"/>
            <w:tcBorders>
              <w:top w:val="nil"/>
              <w:left w:val="single" w:sz="4" w:space="0" w:color="auto"/>
              <w:bottom w:val="nil"/>
              <w:right w:val="nil"/>
            </w:tcBorders>
            <w:shd w:val="clear" w:color="auto" w:fill="auto"/>
            <w:noWrap/>
            <w:vAlign w:val="center"/>
          </w:tcPr>
          <w:p w14:paraId="7EC7865E"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w:t>
            </w:r>
          </w:p>
        </w:tc>
        <w:tc>
          <w:tcPr>
            <w:tcW w:w="621" w:type="dxa"/>
            <w:tcBorders>
              <w:top w:val="nil"/>
              <w:left w:val="nil"/>
              <w:bottom w:val="nil"/>
              <w:right w:val="nil"/>
            </w:tcBorders>
            <w:shd w:val="clear" w:color="auto" w:fill="auto"/>
            <w:noWrap/>
            <w:vAlign w:val="center"/>
          </w:tcPr>
          <w:p w14:paraId="477AC600"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5.6</w:t>
            </w:r>
          </w:p>
        </w:tc>
        <w:tc>
          <w:tcPr>
            <w:tcW w:w="1146" w:type="dxa"/>
            <w:tcBorders>
              <w:top w:val="nil"/>
              <w:left w:val="nil"/>
              <w:bottom w:val="nil"/>
              <w:right w:val="single" w:sz="4" w:space="0" w:color="000000"/>
            </w:tcBorders>
            <w:shd w:val="clear" w:color="auto" w:fill="auto"/>
            <w:noWrap/>
            <w:vAlign w:val="center"/>
          </w:tcPr>
          <w:p w14:paraId="4C0ABF99"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(3.2, 8.0)</w:t>
            </w:r>
          </w:p>
        </w:tc>
        <w:tc>
          <w:tcPr>
            <w:tcW w:w="536" w:type="dxa"/>
            <w:tcBorders>
              <w:top w:val="nil"/>
              <w:left w:val="single" w:sz="4" w:space="0" w:color="000000"/>
              <w:bottom w:val="nil"/>
              <w:right w:val="nil"/>
            </w:tcBorders>
            <w:shd w:val="clear" w:color="auto" w:fill="auto"/>
            <w:vAlign w:val="center"/>
          </w:tcPr>
          <w:p w14:paraId="53652301"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w:t>
            </w:r>
          </w:p>
        </w:tc>
        <w:tc>
          <w:tcPr>
            <w:tcW w:w="567" w:type="dxa"/>
            <w:tcBorders>
              <w:top w:val="nil"/>
              <w:left w:val="nil"/>
              <w:bottom w:val="nil"/>
              <w:right w:val="nil"/>
            </w:tcBorders>
            <w:shd w:val="clear" w:color="auto" w:fill="auto"/>
            <w:vAlign w:val="center"/>
          </w:tcPr>
          <w:p w14:paraId="69FCAFB5"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5.5</w:t>
            </w:r>
          </w:p>
        </w:tc>
        <w:tc>
          <w:tcPr>
            <w:tcW w:w="1146" w:type="dxa"/>
            <w:tcBorders>
              <w:top w:val="nil"/>
              <w:left w:val="nil"/>
              <w:bottom w:val="nil"/>
              <w:right w:val="single" w:sz="4" w:space="0" w:color="000000"/>
            </w:tcBorders>
            <w:shd w:val="clear" w:color="auto" w:fill="auto"/>
            <w:vAlign w:val="center"/>
          </w:tcPr>
          <w:p w14:paraId="1DEDA47F"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(2.6, 8.4)</w:t>
            </w:r>
          </w:p>
        </w:tc>
        <w:tc>
          <w:tcPr>
            <w:tcW w:w="536" w:type="dxa"/>
            <w:tcBorders>
              <w:top w:val="nil"/>
              <w:left w:val="single" w:sz="4" w:space="0" w:color="000000"/>
              <w:bottom w:val="nil"/>
              <w:right w:val="nil"/>
            </w:tcBorders>
            <w:shd w:val="clear" w:color="auto" w:fill="auto"/>
            <w:vAlign w:val="center"/>
          </w:tcPr>
          <w:p w14:paraId="40CC6BA3"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w:t>
            </w:r>
          </w:p>
        </w:tc>
        <w:tc>
          <w:tcPr>
            <w:tcW w:w="576" w:type="dxa"/>
            <w:tcBorders>
              <w:top w:val="nil"/>
              <w:left w:val="nil"/>
              <w:bottom w:val="nil"/>
              <w:right w:val="nil"/>
            </w:tcBorders>
            <w:shd w:val="clear" w:color="auto" w:fill="auto"/>
            <w:vAlign w:val="center"/>
          </w:tcPr>
          <w:p w14:paraId="7D4A1B56"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3.5</w:t>
            </w:r>
          </w:p>
        </w:tc>
        <w:tc>
          <w:tcPr>
            <w:tcW w:w="1146" w:type="dxa"/>
            <w:tcBorders>
              <w:top w:val="nil"/>
              <w:left w:val="nil"/>
              <w:bottom w:val="nil"/>
              <w:right w:val="nil"/>
            </w:tcBorders>
            <w:shd w:val="clear" w:color="auto" w:fill="auto"/>
            <w:vAlign w:val="center"/>
          </w:tcPr>
          <w:p w14:paraId="1F07AB41"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(1.3, 5.6)</w:t>
            </w:r>
          </w:p>
        </w:tc>
      </w:tr>
      <w:tr w:rsidR="008C60C5" w:rsidRPr="00D76D7F" w14:paraId="70EF57C5"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4655" w:type="dxa"/>
            <w:gridSpan w:val="3"/>
            <w:tcBorders>
              <w:top w:val="nil"/>
              <w:left w:val="nil"/>
              <w:bottom w:val="nil"/>
              <w:right w:val="nil"/>
            </w:tcBorders>
            <w:shd w:val="clear" w:color="auto" w:fill="auto"/>
            <w:vAlign w:val="center"/>
          </w:tcPr>
          <w:p w14:paraId="6446FCBF" w14:textId="77777777" w:rsidR="008C60C5" w:rsidRPr="00D76D7F" w:rsidRDefault="008C60C5" w:rsidP="008C60C5">
            <w:pPr>
              <w:spacing w:before="20" w:after="20"/>
              <w:rPr>
                <w:rFonts w:eastAsiaTheme="minorEastAsia"/>
                <w:sz w:val="18"/>
                <w:szCs w:val="18"/>
                <w:lang w:eastAsia="en-US"/>
              </w:rPr>
            </w:pPr>
            <w:r w:rsidRPr="00D76D7F">
              <w:rPr>
                <w:rFonts w:eastAsiaTheme="minorEastAsia"/>
                <w:sz w:val="18"/>
                <w:szCs w:val="18"/>
                <w:lang w:eastAsia="en-US"/>
              </w:rPr>
              <w:t>Quality of life (WHOQoL-8)</w:t>
            </w:r>
          </w:p>
        </w:tc>
        <w:tc>
          <w:tcPr>
            <w:tcW w:w="1146" w:type="dxa"/>
            <w:tcBorders>
              <w:top w:val="nil"/>
              <w:left w:val="nil"/>
              <w:bottom w:val="nil"/>
              <w:right w:val="single" w:sz="4" w:space="0" w:color="auto"/>
            </w:tcBorders>
            <w:shd w:val="clear" w:color="auto" w:fill="auto"/>
            <w:noWrap/>
          </w:tcPr>
          <w:p w14:paraId="125B1E41" w14:textId="77777777" w:rsidR="008C60C5" w:rsidRPr="00D76D7F" w:rsidRDefault="008C60C5" w:rsidP="008C60C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36" w:type="dxa"/>
            <w:tcBorders>
              <w:top w:val="nil"/>
              <w:left w:val="single" w:sz="4" w:space="0" w:color="auto"/>
              <w:bottom w:val="nil"/>
              <w:right w:val="nil"/>
            </w:tcBorders>
            <w:shd w:val="clear" w:color="auto" w:fill="auto"/>
            <w:noWrap/>
          </w:tcPr>
          <w:p w14:paraId="4CA4688C" w14:textId="77777777" w:rsidR="008C60C5" w:rsidRPr="00D76D7F" w:rsidRDefault="008C60C5" w:rsidP="008C60C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nil"/>
              <w:left w:val="nil"/>
              <w:bottom w:val="nil"/>
              <w:right w:val="nil"/>
            </w:tcBorders>
            <w:shd w:val="clear" w:color="auto" w:fill="auto"/>
            <w:noWrap/>
          </w:tcPr>
          <w:p w14:paraId="5A4BA0E5" w14:textId="77777777" w:rsidR="008C60C5" w:rsidRPr="00D76D7F" w:rsidRDefault="008C60C5" w:rsidP="008C60C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auto"/>
            <w:noWrap/>
            <w:vAlign w:val="bottom"/>
          </w:tcPr>
          <w:p w14:paraId="22684976" w14:textId="77777777" w:rsidR="008C60C5" w:rsidRPr="00D76D7F" w:rsidRDefault="008C60C5" w:rsidP="008C60C5">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nil"/>
              <w:left w:val="single" w:sz="4" w:space="0" w:color="000000"/>
              <w:bottom w:val="nil"/>
              <w:right w:val="nil"/>
            </w:tcBorders>
            <w:shd w:val="clear" w:color="auto" w:fill="auto"/>
            <w:vAlign w:val="bottom"/>
          </w:tcPr>
          <w:p w14:paraId="15D6E64C" w14:textId="77777777" w:rsidR="008C60C5" w:rsidRPr="00D76D7F" w:rsidRDefault="008C60C5" w:rsidP="008C60C5">
            <w:pPr>
              <w:cnfStyle w:val="000000000000" w:firstRow="0" w:lastRow="0" w:firstColumn="0" w:lastColumn="0" w:oddVBand="0" w:evenVBand="0" w:oddHBand="0" w:evenHBand="0" w:firstRowFirstColumn="0" w:firstRowLastColumn="0" w:lastRowFirstColumn="0" w:lastRowLastColumn="0"/>
              <w:rPr>
                <w:sz w:val="18"/>
                <w:szCs w:val="18"/>
              </w:rPr>
            </w:pPr>
          </w:p>
        </w:tc>
        <w:tc>
          <w:tcPr>
            <w:tcW w:w="567" w:type="dxa"/>
            <w:tcBorders>
              <w:top w:val="nil"/>
              <w:left w:val="nil"/>
              <w:bottom w:val="nil"/>
              <w:right w:val="nil"/>
            </w:tcBorders>
            <w:shd w:val="clear" w:color="auto" w:fill="auto"/>
            <w:vAlign w:val="bottom"/>
          </w:tcPr>
          <w:p w14:paraId="704DAE73" w14:textId="77777777" w:rsidR="008C60C5" w:rsidRPr="00D76D7F" w:rsidRDefault="008C60C5" w:rsidP="008C60C5">
            <w:pPr>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auto"/>
            <w:vAlign w:val="bottom"/>
          </w:tcPr>
          <w:p w14:paraId="6F2A5E7F" w14:textId="77777777" w:rsidR="008C60C5" w:rsidRPr="00D76D7F" w:rsidRDefault="008C60C5" w:rsidP="008C60C5">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nil"/>
              <w:left w:val="single" w:sz="4" w:space="0" w:color="000000"/>
              <w:bottom w:val="nil"/>
              <w:right w:val="nil"/>
            </w:tcBorders>
            <w:shd w:val="clear" w:color="auto" w:fill="auto"/>
            <w:vAlign w:val="bottom"/>
          </w:tcPr>
          <w:p w14:paraId="47781D8E" w14:textId="77777777" w:rsidR="008C60C5" w:rsidRPr="00D76D7F" w:rsidRDefault="008C60C5" w:rsidP="008C60C5">
            <w:pPr>
              <w:cnfStyle w:val="000000000000" w:firstRow="0" w:lastRow="0" w:firstColumn="0" w:lastColumn="0" w:oddVBand="0" w:evenVBand="0" w:oddHBand="0" w:evenHBand="0" w:firstRowFirstColumn="0" w:firstRowLastColumn="0" w:lastRowFirstColumn="0" w:lastRowLastColumn="0"/>
              <w:rPr>
                <w:sz w:val="18"/>
                <w:szCs w:val="18"/>
              </w:rPr>
            </w:pPr>
          </w:p>
        </w:tc>
        <w:tc>
          <w:tcPr>
            <w:tcW w:w="576" w:type="dxa"/>
            <w:tcBorders>
              <w:top w:val="nil"/>
              <w:left w:val="nil"/>
              <w:bottom w:val="nil"/>
              <w:right w:val="nil"/>
            </w:tcBorders>
            <w:shd w:val="clear" w:color="auto" w:fill="auto"/>
            <w:vAlign w:val="bottom"/>
          </w:tcPr>
          <w:p w14:paraId="6612AE52" w14:textId="77777777" w:rsidR="008C60C5" w:rsidRPr="00D76D7F" w:rsidRDefault="008C60C5" w:rsidP="008C60C5">
            <w:pPr>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shd w:val="clear" w:color="auto" w:fill="auto"/>
            <w:vAlign w:val="bottom"/>
          </w:tcPr>
          <w:p w14:paraId="75B6628B" w14:textId="77777777" w:rsidR="008C60C5" w:rsidRPr="00D76D7F" w:rsidRDefault="008C60C5" w:rsidP="008C60C5">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118DA" w:rsidRPr="00D76D7F" w14:paraId="3D477AE7"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29070259" w14:textId="77777777" w:rsidR="008C60C5" w:rsidRPr="00D76D7F" w:rsidRDefault="008C60C5" w:rsidP="008C60C5">
            <w:pPr>
              <w:spacing w:before="20" w:after="20"/>
              <w:rPr>
                <w:rFonts w:eastAsiaTheme="minorEastAsia"/>
                <w:b w:val="0"/>
                <w:sz w:val="18"/>
                <w:szCs w:val="18"/>
                <w:lang w:eastAsia="en-US"/>
              </w:rPr>
            </w:pPr>
            <w:r w:rsidRPr="00D76D7F">
              <w:rPr>
                <w:rFonts w:eastAsiaTheme="minorEastAsia"/>
                <w:b w:val="0"/>
                <w:sz w:val="18"/>
                <w:szCs w:val="18"/>
                <w:lang w:eastAsia="en-US"/>
              </w:rPr>
              <w:t>Below median (Score 0 - 24)</w:t>
            </w:r>
          </w:p>
        </w:tc>
        <w:tc>
          <w:tcPr>
            <w:tcW w:w="536" w:type="dxa"/>
            <w:tcBorders>
              <w:top w:val="nil"/>
              <w:left w:val="nil"/>
              <w:bottom w:val="nil"/>
              <w:right w:val="nil"/>
            </w:tcBorders>
            <w:shd w:val="clear" w:color="auto" w:fill="auto"/>
            <w:noWrap/>
            <w:vAlign w:val="center"/>
          </w:tcPr>
          <w:p w14:paraId="0CF1EBD3"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160</w:t>
            </w:r>
          </w:p>
        </w:tc>
        <w:tc>
          <w:tcPr>
            <w:tcW w:w="579" w:type="dxa"/>
            <w:tcBorders>
              <w:top w:val="nil"/>
              <w:left w:val="nil"/>
              <w:bottom w:val="nil"/>
              <w:right w:val="nil"/>
            </w:tcBorders>
            <w:shd w:val="clear" w:color="auto" w:fill="auto"/>
            <w:noWrap/>
            <w:vAlign w:val="center"/>
          </w:tcPr>
          <w:p w14:paraId="37F0A8D0"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51.8</w:t>
            </w:r>
          </w:p>
        </w:tc>
        <w:tc>
          <w:tcPr>
            <w:tcW w:w="1146" w:type="dxa"/>
            <w:tcBorders>
              <w:top w:val="nil"/>
              <w:left w:val="nil"/>
              <w:bottom w:val="nil"/>
              <w:right w:val="single" w:sz="4" w:space="0" w:color="auto"/>
            </w:tcBorders>
            <w:shd w:val="clear" w:color="auto" w:fill="auto"/>
            <w:noWrap/>
            <w:vAlign w:val="center"/>
          </w:tcPr>
          <w:p w14:paraId="2688FF04"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(47.6, 55.9)</w:t>
            </w:r>
          </w:p>
        </w:tc>
        <w:tc>
          <w:tcPr>
            <w:tcW w:w="536" w:type="dxa"/>
            <w:tcBorders>
              <w:top w:val="nil"/>
              <w:left w:val="single" w:sz="4" w:space="0" w:color="auto"/>
              <w:bottom w:val="nil"/>
              <w:right w:val="nil"/>
            </w:tcBorders>
            <w:shd w:val="clear" w:color="auto" w:fill="auto"/>
            <w:noWrap/>
            <w:vAlign w:val="center"/>
          </w:tcPr>
          <w:p w14:paraId="70AC12EB"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94</w:t>
            </w:r>
          </w:p>
        </w:tc>
        <w:tc>
          <w:tcPr>
            <w:tcW w:w="621" w:type="dxa"/>
            <w:tcBorders>
              <w:top w:val="nil"/>
              <w:left w:val="nil"/>
              <w:bottom w:val="nil"/>
              <w:right w:val="nil"/>
            </w:tcBorders>
            <w:shd w:val="clear" w:color="auto" w:fill="auto"/>
            <w:noWrap/>
            <w:vAlign w:val="center"/>
          </w:tcPr>
          <w:p w14:paraId="145EB2BE"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50.8</w:t>
            </w:r>
          </w:p>
        </w:tc>
        <w:tc>
          <w:tcPr>
            <w:tcW w:w="1146" w:type="dxa"/>
            <w:tcBorders>
              <w:top w:val="nil"/>
              <w:left w:val="nil"/>
              <w:bottom w:val="nil"/>
              <w:right w:val="single" w:sz="4" w:space="0" w:color="000000"/>
            </w:tcBorders>
            <w:shd w:val="clear" w:color="auto" w:fill="auto"/>
            <w:noWrap/>
            <w:vAlign w:val="center"/>
          </w:tcPr>
          <w:p w14:paraId="0FFBCFC2"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(45.4, 56.2)</w:t>
            </w:r>
          </w:p>
        </w:tc>
        <w:tc>
          <w:tcPr>
            <w:tcW w:w="536" w:type="dxa"/>
            <w:tcBorders>
              <w:top w:val="nil"/>
              <w:left w:val="single" w:sz="4" w:space="0" w:color="000000"/>
              <w:bottom w:val="nil"/>
              <w:right w:val="nil"/>
            </w:tcBorders>
            <w:shd w:val="clear" w:color="auto" w:fill="auto"/>
            <w:vAlign w:val="center"/>
          </w:tcPr>
          <w:p w14:paraId="4A5E09D0"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72</w:t>
            </w:r>
          </w:p>
        </w:tc>
        <w:tc>
          <w:tcPr>
            <w:tcW w:w="567" w:type="dxa"/>
            <w:tcBorders>
              <w:top w:val="nil"/>
              <w:left w:val="nil"/>
              <w:bottom w:val="nil"/>
              <w:right w:val="nil"/>
            </w:tcBorders>
            <w:shd w:val="clear" w:color="auto" w:fill="auto"/>
            <w:vAlign w:val="center"/>
          </w:tcPr>
          <w:p w14:paraId="14AB3D38"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48.0</w:t>
            </w:r>
          </w:p>
        </w:tc>
        <w:tc>
          <w:tcPr>
            <w:tcW w:w="1146" w:type="dxa"/>
            <w:tcBorders>
              <w:top w:val="nil"/>
              <w:left w:val="nil"/>
              <w:bottom w:val="nil"/>
              <w:right w:val="single" w:sz="4" w:space="0" w:color="000000"/>
            </w:tcBorders>
            <w:shd w:val="clear" w:color="auto" w:fill="auto"/>
            <w:vAlign w:val="center"/>
          </w:tcPr>
          <w:p w14:paraId="085839DB"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(41.9, 54)</w:t>
            </w:r>
          </w:p>
        </w:tc>
        <w:tc>
          <w:tcPr>
            <w:tcW w:w="536" w:type="dxa"/>
            <w:tcBorders>
              <w:top w:val="nil"/>
              <w:left w:val="single" w:sz="4" w:space="0" w:color="000000"/>
              <w:bottom w:val="nil"/>
              <w:right w:val="nil"/>
            </w:tcBorders>
            <w:shd w:val="clear" w:color="auto" w:fill="auto"/>
            <w:vAlign w:val="center"/>
          </w:tcPr>
          <w:p w14:paraId="3BB035FD"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64</w:t>
            </w:r>
          </w:p>
        </w:tc>
        <w:tc>
          <w:tcPr>
            <w:tcW w:w="576" w:type="dxa"/>
            <w:tcBorders>
              <w:top w:val="nil"/>
              <w:left w:val="nil"/>
              <w:bottom w:val="nil"/>
              <w:right w:val="nil"/>
            </w:tcBorders>
            <w:shd w:val="clear" w:color="auto" w:fill="auto"/>
            <w:vAlign w:val="center"/>
          </w:tcPr>
          <w:p w14:paraId="721403EC"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48.6</w:t>
            </w:r>
          </w:p>
        </w:tc>
        <w:tc>
          <w:tcPr>
            <w:tcW w:w="1146" w:type="dxa"/>
            <w:tcBorders>
              <w:top w:val="nil"/>
              <w:left w:val="nil"/>
              <w:bottom w:val="nil"/>
              <w:right w:val="nil"/>
            </w:tcBorders>
            <w:shd w:val="clear" w:color="auto" w:fill="auto"/>
            <w:vAlign w:val="center"/>
          </w:tcPr>
          <w:p w14:paraId="04E76CD9"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(42.0, 55.2)</w:t>
            </w:r>
          </w:p>
        </w:tc>
      </w:tr>
      <w:tr w:rsidR="009118DA" w:rsidRPr="00D76D7F" w14:paraId="4D742DBB"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7A42C0FD" w14:textId="77777777" w:rsidR="008C60C5" w:rsidRPr="00D76D7F" w:rsidRDefault="008C60C5" w:rsidP="008C60C5">
            <w:pPr>
              <w:spacing w:before="20" w:after="20"/>
              <w:rPr>
                <w:rFonts w:eastAsiaTheme="minorEastAsia"/>
                <w:b w:val="0"/>
                <w:sz w:val="18"/>
                <w:szCs w:val="18"/>
                <w:lang w:eastAsia="en-US"/>
              </w:rPr>
            </w:pPr>
            <w:r w:rsidRPr="00D76D7F">
              <w:rPr>
                <w:rFonts w:eastAsiaTheme="minorEastAsia"/>
                <w:b w:val="0"/>
                <w:sz w:val="18"/>
                <w:szCs w:val="18"/>
                <w:lang w:eastAsia="en-US"/>
              </w:rPr>
              <w:t>Median (Score 25)</w:t>
            </w:r>
          </w:p>
        </w:tc>
        <w:tc>
          <w:tcPr>
            <w:tcW w:w="536" w:type="dxa"/>
            <w:tcBorders>
              <w:top w:val="nil"/>
              <w:left w:val="nil"/>
              <w:bottom w:val="nil"/>
              <w:right w:val="nil"/>
            </w:tcBorders>
            <w:shd w:val="clear" w:color="auto" w:fill="auto"/>
            <w:noWrap/>
            <w:vAlign w:val="center"/>
          </w:tcPr>
          <w:p w14:paraId="6DF29847"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27</w:t>
            </w:r>
          </w:p>
        </w:tc>
        <w:tc>
          <w:tcPr>
            <w:tcW w:w="579" w:type="dxa"/>
            <w:tcBorders>
              <w:top w:val="nil"/>
              <w:left w:val="nil"/>
              <w:bottom w:val="nil"/>
              <w:right w:val="nil"/>
            </w:tcBorders>
            <w:shd w:val="clear" w:color="auto" w:fill="auto"/>
            <w:noWrap/>
            <w:vAlign w:val="center"/>
          </w:tcPr>
          <w:p w14:paraId="0EC8CB11"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8.9</w:t>
            </w:r>
          </w:p>
        </w:tc>
        <w:tc>
          <w:tcPr>
            <w:tcW w:w="1146" w:type="dxa"/>
            <w:tcBorders>
              <w:top w:val="nil"/>
              <w:left w:val="nil"/>
              <w:bottom w:val="nil"/>
              <w:right w:val="single" w:sz="4" w:space="0" w:color="auto"/>
            </w:tcBorders>
            <w:shd w:val="clear" w:color="auto" w:fill="auto"/>
            <w:noWrap/>
            <w:vAlign w:val="center"/>
          </w:tcPr>
          <w:p w14:paraId="4822F49C"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(6.5, 11.2)</w:t>
            </w:r>
          </w:p>
        </w:tc>
        <w:tc>
          <w:tcPr>
            <w:tcW w:w="536" w:type="dxa"/>
            <w:tcBorders>
              <w:top w:val="nil"/>
              <w:left w:val="single" w:sz="4" w:space="0" w:color="auto"/>
              <w:bottom w:val="nil"/>
              <w:right w:val="nil"/>
            </w:tcBorders>
            <w:shd w:val="clear" w:color="auto" w:fill="auto"/>
            <w:noWrap/>
            <w:vAlign w:val="center"/>
          </w:tcPr>
          <w:p w14:paraId="000EEFAC"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w:t>
            </w:r>
          </w:p>
        </w:tc>
        <w:tc>
          <w:tcPr>
            <w:tcW w:w="621" w:type="dxa"/>
            <w:tcBorders>
              <w:top w:val="nil"/>
              <w:left w:val="nil"/>
              <w:bottom w:val="nil"/>
              <w:right w:val="nil"/>
            </w:tcBorders>
            <w:shd w:val="clear" w:color="auto" w:fill="auto"/>
            <w:noWrap/>
            <w:vAlign w:val="center"/>
          </w:tcPr>
          <w:p w14:paraId="580D5BA5"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10.3</w:t>
            </w:r>
          </w:p>
        </w:tc>
        <w:tc>
          <w:tcPr>
            <w:tcW w:w="1146" w:type="dxa"/>
            <w:tcBorders>
              <w:top w:val="nil"/>
              <w:left w:val="nil"/>
              <w:bottom w:val="nil"/>
              <w:right w:val="single" w:sz="4" w:space="0" w:color="000000"/>
            </w:tcBorders>
            <w:shd w:val="clear" w:color="auto" w:fill="auto"/>
            <w:noWrap/>
            <w:vAlign w:val="center"/>
          </w:tcPr>
          <w:p w14:paraId="1381B1B2"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(6.7, 13.9)</w:t>
            </w:r>
          </w:p>
        </w:tc>
        <w:tc>
          <w:tcPr>
            <w:tcW w:w="536" w:type="dxa"/>
            <w:tcBorders>
              <w:top w:val="nil"/>
              <w:left w:val="single" w:sz="4" w:space="0" w:color="000000"/>
              <w:bottom w:val="nil"/>
              <w:right w:val="nil"/>
            </w:tcBorders>
            <w:shd w:val="clear" w:color="auto" w:fill="auto"/>
            <w:vAlign w:val="center"/>
          </w:tcPr>
          <w:p w14:paraId="718AB83A"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w:t>
            </w:r>
          </w:p>
        </w:tc>
        <w:tc>
          <w:tcPr>
            <w:tcW w:w="567" w:type="dxa"/>
            <w:tcBorders>
              <w:top w:val="nil"/>
              <w:left w:val="nil"/>
              <w:bottom w:val="nil"/>
              <w:right w:val="nil"/>
            </w:tcBorders>
            <w:shd w:val="clear" w:color="auto" w:fill="auto"/>
            <w:vAlign w:val="center"/>
          </w:tcPr>
          <w:p w14:paraId="71CA7C9B"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10.8</w:t>
            </w:r>
          </w:p>
        </w:tc>
        <w:tc>
          <w:tcPr>
            <w:tcW w:w="1146" w:type="dxa"/>
            <w:tcBorders>
              <w:top w:val="nil"/>
              <w:left w:val="nil"/>
              <w:bottom w:val="nil"/>
              <w:right w:val="single" w:sz="4" w:space="0" w:color="000000"/>
            </w:tcBorders>
            <w:shd w:val="clear" w:color="auto" w:fill="auto"/>
            <w:vAlign w:val="center"/>
          </w:tcPr>
          <w:p w14:paraId="001B4A1D"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(6.7, 14.8)</w:t>
            </w:r>
          </w:p>
        </w:tc>
        <w:tc>
          <w:tcPr>
            <w:tcW w:w="536" w:type="dxa"/>
            <w:tcBorders>
              <w:top w:val="nil"/>
              <w:left w:val="single" w:sz="4" w:space="0" w:color="000000"/>
              <w:bottom w:val="nil"/>
              <w:right w:val="nil"/>
            </w:tcBorders>
            <w:shd w:val="clear" w:color="auto" w:fill="auto"/>
            <w:vAlign w:val="center"/>
          </w:tcPr>
          <w:p w14:paraId="31F6DB21"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w:t>
            </w:r>
          </w:p>
        </w:tc>
        <w:tc>
          <w:tcPr>
            <w:tcW w:w="576" w:type="dxa"/>
            <w:tcBorders>
              <w:top w:val="nil"/>
              <w:left w:val="nil"/>
              <w:bottom w:val="nil"/>
              <w:right w:val="nil"/>
            </w:tcBorders>
            <w:shd w:val="clear" w:color="auto" w:fill="auto"/>
            <w:vAlign w:val="center"/>
          </w:tcPr>
          <w:p w14:paraId="66415B5A"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8.3</w:t>
            </w:r>
          </w:p>
        </w:tc>
        <w:tc>
          <w:tcPr>
            <w:tcW w:w="1146" w:type="dxa"/>
            <w:tcBorders>
              <w:top w:val="nil"/>
              <w:left w:val="nil"/>
              <w:bottom w:val="nil"/>
              <w:right w:val="nil"/>
            </w:tcBorders>
            <w:shd w:val="clear" w:color="auto" w:fill="auto"/>
            <w:vAlign w:val="center"/>
          </w:tcPr>
          <w:p w14:paraId="745A762A"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(4.4, 12.2)</w:t>
            </w:r>
          </w:p>
        </w:tc>
      </w:tr>
      <w:tr w:rsidR="009118DA" w:rsidRPr="00D76D7F" w14:paraId="387E48DB"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7D0B3E2A" w14:textId="77777777" w:rsidR="008C60C5" w:rsidRPr="00D76D7F" w:rsidRDefault="008C60C5" w:rsidP="008C60C5">
            <w:pPr>
              <w:spacing w:before="20" w:after="20"/>
              <w:rPr>
                <w:rFonts w:eastAsiaTheme="minorEastAsia"/>
                <w:b w:val="0"/>
                <w:sz w:val="18"/>
                <w:szCs w:val="18"/>
                <w:lang w:eastAsia="en-US"/>
              </w:rPr>
            </w:pPr>
            <w:r w:rsidRPr="00D76D7F">
              <w:rPr>
                <w:rFonts w:eastAsiaTheme="minorEastAsia"/>
                <w:b w:val="0"/>
                <w:sz w:val="18"/>
                <w:szCs w:val="18"/>
                <w:lang w:eastAsia="en-US"/>
              </w:rPr>
              <w:t>Above median (Score 26 - 32)</w:t>
            </w:r>
          </w:p>
        </w:tc>
        <w:tc>
          <w:tcPr>
            <w:tcW w:w="536" w:type="dxa"/>
            <w:tcBorders>
              <w:top w:val="nil"/>
              <w:left w:val="nil"/>
              <w:bottom w:val="nil"/>
              <w:right w:val="nil"/>
            </w:tcBorders>
            <w:shd w:val="clear" w:color="auto" w:fill="auto"/>
            <w:noWrap/>
            <w:vAlign w:val="center"/>
          </w:tcPr>
          <w:p w14:paraId="335CCC4B"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122</w:t>
            </w:r>
          </w:p>
        </w:tc>
        <w:tc>
          <w:tcPr>
            <w:tcW w:w="579" w:type="dxa"/>
            <w:tcBorders>
              <w:top w:val="nil"/>
              <w:left w:val="nil"/>
              <w:bottom w:val="nil"/>
              <w:right w:val="nil"/>
            </w:tcBorders>
            <w:shd w:val="clear" w:color="auto" w:fill="auto"/>
            <w:noWrap/>
            <w:vAlign w:val="center"/>
          </w:tcPr>
          <w:p w14:paraId="0A16169E"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39.4</w:t>
            </w:r>
          </w:p>
        </w:tc>
        <w:tc>
          <w:tcPr>
            <w:tcW w:w="1146" w:type="dxa"/>
            <w:tcBorders>
              <w:top w:val="nil"/>
              <w:left w:val="nil"/>
              <w:bottom w:val="nil"/>
              <w:right w:val="single" w:sz="4" w:space="0" w:color="auto"/>
            </w:tcBorders>
            <w:shd w:val="clear" w:color="auto" w:fill="auto"/>
            <w:noWrap/>
            <w:vAlign w:val="center"/>
          </w:tcPr>
          <w:p w14:paraId="0C6E55D0"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(35.3, 43.4)</w:t>
            </w:r>
          </w:p>
        </w:tc>
        <w:tc>
          <w:tcPr>
            <w:tcW w:w="536" w:type="dxa"/>
            <w:tcBorders>
              <w:top w:val="nil"/>
              <w:left w:val="single" w:sz="4" w:space="0" w:color="auto"/>
              <w:bottom w:val="nil"/>
              <w:right w:val="nil"/>
            </w:tcBorders>
            <w:shd w:val="clear" w:color="auto" w:fill="auto"/>
            <w:noWrap/>
            <w:vAlign w:val="center"/>
          </w:tcPr>
          <w:p w14:paraId="7FDEB8B1"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72</w:t>
            </w:r>
          </w:p>
        </w:tc>
        <w:tc>
          <w:tcPr>
            <w:tcW w:w="621" w:type="dxa"/>
            <w:tcBorders>
              <w:top w:val="nil"/>
              <w:left w:val="nil"/>
              <w:bottom w:val="nil"/>
              <w:right w:val="nil"/>
            </w:tcBorders>
            <w:shd w:val="clear" w:color="auto" w:fill="auto"/>
            <w:noWrap/>
            <w:vAlign w:val="center"/>
          </w:tcPr>
          <w:p w14:paraId="1E605DFB"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38.9</w:t>
            </w:r>
          </w:p>
        </w:tc>
        <w:tc>
          <w:tcPr>
            <w:tcW w:w="1146" w:type="dxa"/>
            <w:tcBorders>
              <w:top w:val="nil"/>
              <w:left w:val="nil"/>
              <w:bottom w:val="nil"/>
              <w:right w:val="single" w:sz="4" w:space="0" w:color="000000"/>
            </w:tcBorders>
            <w:shd w:val="clear" w:color="auto" w:fill="auto"/>
            <w:noWrap/>
            <w:vAlign w:val="center"/>
          </w:tcPr>
          <w:p w14:paraId="72022D70"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(33.5, 44.3)</w:t>
            </w:r>
          </w:p>
        </w:tc>
        <w:tc>
          <w:tcPr>
            <w:tcW w:w="536" w:type="dxa"/>
            <w:tcBorders>
              <w:top w:val="nil"/>
              <w:left w:val="single" w:sz="4" w:space="0" w:color="000000"/>
              <w:bottom w:val="nil"/>
              <w:right w:val="nil"/>
            </w:tcBorders>
            <w:shd w:val="clear" w:color="auto" w:fill="auto"/>
            <w:vAlign w:val="center"/>
          </w:tcPr>
          <w:p w14:paraId="589617EC"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62</w:t>
            </w:r>
          </w:p>
        </w:tc>
        <w:tc>
          <w:tcPr>
            <w:tcW w:w="567" w:type="dxa"/>
            <w:tcBorders>
              <w:top w:val="nil"/>
              <w:left w:val="nil"/>
              <w:bottom w:val="nil"/>
              <w:right w:val="nil"/>
            </w:tcBorders>
            <w:shd w:val="clear" w:color="auto" w:fill="auto"/>
            <w:vAlign w:val="center"/>
          </w:tcPr>
          <w:p w14:paraId="1120AADA"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41.3</w:t>
            </w:r>
          </w:p>
        </w:tc>
        <w:tc>
          <w:tcPr>
            <w:tcW w:w="1146" w:type="dxa"/>
            <w:tcBorders>
              <w:top w:val="nil"/>
              <w:left w:val="nil"/>
              <w:bottom w:val="nil"/>
              <w:right w:val="single" w:sz="4" w:space="0" w:color="000000"/>
            </w:tcBorders>
            <w:shd w:val="clear" w:color="auto" w:fill="auto"/>
            <w:vAlign w:val="center"/>
          </w:tcPr>
          <w:p w14:paraId="2D47392D"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(35.2, 47.3)</w:t>
            </w:r>
          </w:p>
        </w:tc>
        <w:tc>
          <w:tcPr>
            <w:tcW w:w="536" w:type="dxa"/>
            <w:tcBorders>
              <w:top w:val="nil"/>
              <w:left w:val="single" w:sz="4" w:space="0" w:color="000000"/>
              <w:bottom w:val="nil"/>
              <w:right w:val="nil"/>
            </w:tcBorders>
            <w:shd w:val="clear" w:color="auto" w:fill="auto"/>
            <w:vAlign w:val="center"/>
          </w:tcPr>
          <w:p w14:paraId="20692DDE"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57</w:t>
            </w:r>
          </w:p>
        </w:tc>
        <w:tc>
          <w:tcPr>
            <w:tcW w:w="576" w:type="dxa"/>
            <w:tcBorders>
              <w:top w:val="nil"/>
              <w:left w:val="nil"/>
              <w:bottom w:val="nil"/>
              <w:right w:val="nil"/>
            </w:tcBorders>
            <w:shd w:val="clear" w:color="auto" w:fill="auto"/>
            <w:vAlign w:val="center"/>
          </w:tcPr>
          <w:p w14:paraId="7E11722A"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43.1</w:t>
            </w:r>
          </w:p>
        </w:tc>
        <w:tc>
          <w:tcPr>
            <w:tcW w:w="1146" w:type="dxa"/>
            <w:tcBorders>
              <w:top w:val="nil"/>
              <w:left w:val="nil"/>
              <w:bottom w:val="nil"/>
              <w:right w:val="nil"/>
            </w:tcBorders>
            <w:shd w:val="clear" w:color="auto" w:fill="auto"/>
            <w:vAlign w:val="center"/>
          </w:tcPr>
          <w:p w14:paraId="7E55B143"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(36.5, 49.6)</w:t>
            </w:r>
          </w:p>
        </w:tc>
      </w:tr>
      <w:tr w:rsidR="008C60C5" w:rsidRPr="00D76D7F" w14:paraId="72FD1221"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5801" w:type="dxa"/>
            <w:gridSpan w:val="4"/>
            <w:tcBorders>
              <w:top w:val="nil"/>
              <w:left w:val="nil"/>
              <w:bottom w:val="nil"/>
              <w:right w:val="single" w:sz="4" w:space="0" w:color="auto"/>
            </w:tcBorders>
            <w:shd w:val="clear" w:color="auto" w:fill="auto"/>
            <w:vAlign w:val="center"/>
          </w:tcPr>
          <w:p w14:paraId="5FBDDA97" w14:textId="77777777" w:rsidR="008C60C5" w:rsidRPr="00D76D7F" w:rsidRDefault="008C60C5" w:rsidP="008C60C5">
            <w:pPr>
              <w:tabs>
                <w:tab w:val="left" w:pos="176"/>
              </w:tabs>
              <w:spacing w:before="20" w:after="20"/>
              <w:rPr>
                <w:rFonts w:eastAsiaTheme="minorEastAsia"/>
                <w:bCs w:val="0"/>
                <w:sz w:val="18"/>
                <w:szCs w:val="18"/>
                <w:lang w:eastAsia="en-US"/>
              </w:rPr>
            </w:pPr>
            <w:r w:rsidRPr="00D76D7F">
              <w:rPr>
                <w:rFonts w:eastAsiaTheme="minorEastAsia"/>
                <w:sz w:val="18"/>
                <w:szCs w:val="18"/>
                <w:lang w:eastAsia="en-US"/>
              </w:rPr>
              <w:t>Psychological distress (Kessler-10)</w:t>
            </w:r>
          </w:p>
        </w:tc>
        <w:tc>
          <w:tcPr>
            <w:tcW w:w="536" w:type="dxa"/>
            <w:tcBorders>
              <w:top w:val="nil"/>
              <w:left w:val="single" w:sz="4" w:space="0" w:color="auto"/>
              <w:bottom w:val="nil"/>
              <w:right w:val="nil"/>
            </w:tcBorders>
            <w:shd w:val="clear" w:color="auto" w:fill="auto"/>
            <w:noWrap/>
            <w:vAlign w:val="center"/>
          </w:tcPr>
          <w:p w14:paraId="1177B550" w14:textId="77777777" w:rsidR="008C60C5" w:rsidRPr="00D76D7F" w:rsidRDefault="008C60C5" w:rsidP="008C60C5">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621" w:type="dxa"/>
            <w:tcBorders>
              <w:top w:val="nil"/>
              <w:left w:val="nil"/>
              <w:bottom w:val="nil"/>
              <w:right w:val="nil"/>
            </w:tcBorders>
            <w:shd w:val="clear" w:color="auto" w:fill="auto"/>
            <w:noWrap/>
            <w:vAlign w:val="center"/>
          </w:tcPr>
          <w:p w14:paraId="38738B77" w14:textId="77777777" w:rsidR="008C60C5" w:rsidRPr="00D76D7F" w:rsidRDefault="008C60C5" w:rsidP="008C60C5">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1146" w:type="dxa"/>
            <w:tcBorders>
              <w:top w:val="nil"/>
              <w:left w:val="nil"/>
              <w:bottom w:val="nil"/>
              <w:right w:val="single" w:sz="4" w:space="0" w:color="000000"/>
            </w:tcBorders>
            <w:shd w:val="clear" w:color="auto" w:fill="auto"/>
            <w:noWrap/>
            <w:vAlign w:val="center"/>
          </w:tcPr>
          <w:p w14:paraId="43BA200F" w14:textId="77777777" w:rsidR="008C60C5" w:rsidRPr="00D76D7F" w:rsidRDefault="008C60C5" w:rsidP="008C60C5">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536" w:type="dxa"/>
            <w:tcBorders>
              <w:top w:val="nil"/>
              <w:left w:val="single" w:sz="4" w:space="0" w:color="000000"/>
              <w:bottom w:val="nil"/>
              <w:right w:val="nil"/>
            </w:tcBorders>
            <w:shd w:val="clear" w:color="auto" w:fill="auto"/>
            <w:vAlign w:val="bottom"/>
          </w:tcPr>
          <w:p w14:paraId="566CB265" w14:textId="77777777" w:rsidR="008C60C5" w:rsidRPr="00D76D7F" w:rsidRDefault="008C60C5" w:rsidP="008C60C5">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shd w:val="clear" w:color="auto" w:fill="auto"/>
            <w:vAlign w:val="bottom"/>
          </w:tcPr>
          <w:p w14:paraId="2304A974" w14:textId="77777777" w:rsidR="008C60C5" w:rsidRPr="00D76D7F" w:rsidRDefault="008C60C5" w:rsidP="008C60C5">
            <w:pPr>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auto"/>
            <w:vAlign w:val="bottom"/>
          </w:tcPr>
          <w:p w14:paraId="04E59C0A" w14:textId="77777777" w:rsidR="008C60C5" w:rsidRPr="00D76D7F" w:rsidRDefault="008C60C5" w:rsidP="008C60C5">
            <w:pPr>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shd w:val="clear" w:color="auto" w:fill="auto"/>
            <w:vAlign w:val="bottom"/>
          </w:tcPr>
          <w:p w14:paraId="779FD763" w14:textId="77777777" w:rsidR="008C60C5" w:rsidRPr="00D76D7F" w:rsidRDefault="008C60C5" w:rsidP="008C60C5">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6" w:type="dxa"/>
            <w:tcBorders>
              <w:top w:val="nil"/>
              <w:left w:val="nil"/>
              <w:bottom w:val="nil"/>
              <w:right w:val="nil"/>
            </w:tcBorders>
            <w:shd w:val="clear" w:color="auto" w:fill="auto"/>
            <w:vAlign w:val="bottom"/>
          </w:tcPr>
          <w:p w14:paraId="4A16F42A" w14:textId="77777777" w:rsidR="008C60C5" w:rsidRPr="00D76D7F" w:rsidRDefault="008C60C5" w:rsidP="008C60C5">
            <w:pPr>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shd w:val="clear" w:color="auto" w:fill="auto"/>
            <w:vAlign w:val="bottom"/>
          </w:tcPr>
          <w:p w14:paraId="6DA1CB31" w14:textId="77777777" w:rsidR="008C60C5" w:rsidRPr="00D76D7F" w:rsidRDefault="008C60C5" w:rsidP="008C60C5">
            <w:pPr>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D76D7F" w14:paraId="53E80B03"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bottom"/>
          </w:tcPr>
          <w:p w14:paraId="71AD7B97" w14:textId="77777777" w:rsidR="00152900" w:rsidRPr="00152900" w:rsidRDefault="00152900" w:rsidP="00152900">
            <w:pPr>
              <w:keepNext/>
              <w:spacing w:before="20"/>
              <w:ind w:left="34"/>
              <w:jc w:val="both"/>
              <w:rPr>
                <w:rFonts w:eastAsiaTheme="minorEastAsia"/>
                <w:b w:val="0"/>
                <w:sz w:val="18"/>
                <w:szCs w:val="18"/>
                <w:lang w:eastAsia="en-US"/>
              </w:rPr>
            </w:pPr>
            <w:r w:rsidRPr="00152900">
              <w:rPr>
                <w:rFonts w:eastAsiaTheme="minorEastAsia"/>
                <w:b w:val="0"/>
                <w:sz w:val="18"/>
                <w:szCs w:val="18"/>
                <w:lang w:eastAsia="en-US"/>
              </w:rPr>
              <w:t>Low (Score 0 - 5)</w:t>
            </w:r>
          </w:p>
        </w:tc>
        <w:tc>
          <w:tcPr>
            <w:tcW w:w="536" w:type="dxa"/>
            <w:tcBorders>
              <w:top w:val="nil"/>
              <w:left w:val="nil"/>
              <w:bottom w:val="nil"/>
              <w:right w:val="nil"/>
            </w:tcBorders>
            <w:shd w:val="clear" w:color="auto" w:fill="auto"/>
            <w:noWrap/>
            <w:vAlign w:val="center"/>
          </w:tcPr>
          <w:p w14:paraId="276B3696"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201</w:t>
            </w:r>
          </w:p>
        </w:tc>
        <w:tc>
          <w:tcPr>
            <w:tcW w:w="579" w:type="dxa"/>
            <w:tcBorders>
              <w:top w:val="nil"/>
              <w:left w:val="nil"/>
              <w:bottom w:val="nil"/>
              <w:right w:val="nil"/>
            </w:tcBorders>
            <w:shd w:val="clear" w:color="auto" w:fill="auto"/>
            <w:noWrap/>
            <w:vAlign w:val="center"/>
          </w:tcPr>
          <w:p w14:paraId="5719CD2A"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65.0</w:t>
            </w:r>
          </w:p>
        </w:tc>
        <w:tc>
          <w:tcPr>
            <w:tcW w:w="1146" w:type="dxa"/>
            <w:tcBorders>
              <w:top w:val="nil"/>
              <w:left w:val="nil"/>
              <w:bottom w:val="nil"/>
              <w:right w:val="single" w:sz="4" w:space="0" w:color="auto"/>
            </w:tcBorders>
            <w:shd w:val="clear" w:color="auto" w:fill="auto"/>
            <w:noWrap/>
            <w:vAlign w:val="center"/>
          </w:tcPr>
          <w:p w14:paraId="13E0B8B3"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(61.0, 69.0)</w:t>
            </w:r>
          </w:p>
        </w:tc>
        <w:tc>
          <w:tcPr>
            <w:tcW w:w="536" w:type="dxa"/>
            <w:tcBorders>
              <w:top w:val="nil"/>
              <w:left w:val="single" w:sz="4" w:space="0" w:color="auto"/>
              <w:bottom w:val="nil"/>
              <w:right w:val="nil"/>
            </w:tcBorders>
            <w:shd w:val="clear" w:color="auto" w:fill="auto"/>
            <w:noWrap/>
            <w:vAlign w:val="center"/>
          </w:tcPr>
          <w:p w14:paraId="2F1A68D8"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125</w:t>
            </w:r>
          </w:p>
        </w:tc>
        <w:tc>
          <w:tcPr>
            <w:tcW w:w="621" w:type="dxa"/>
            <w:tcBorders>
              <w:top w:val="nil"/>
              <w:left w:val="nil"/>
              <w:bottom w:val="nil"/>
              <w:right w:val="nil"/>
            </w:tcBorders>
            <w:shd w:val="clear" w:color="auto" w:fill="auto"/>
            <w:noWrap/>
            <w:vAlign w:val="center"/>
          </w:tcPr>
          <w:p w14:paraId="2334FAB1"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67.6</w:t>
            </w:r>
          </w:p>
        </w:tc>
        <w:tc>
          <w:tcPr>
            <w:tcW w:w="1146" w:type="dxa"/>
            <w:tcBorders>
              <w:top w:val="nil"/>
              <w:left w:val="nil"/>
              <w:bottom w:val="nil"/>
              <w:right w:val="single" w:sz="4" w:space="0" w:color="000000"/>
            </w:tcBorders>
            <w:shd w:val="clear" w:color="auto" w:fill="auto"/>
            <w:noWrap/>
            <w:vAlign w:val="center"/>
          </w:tcPr>
          <w:p w14:paraId="42821212"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(62.6, 72.7)</w:t>
            </w:r>
          </w:p>
        </w:tc>
        <w:tc>
          <w:tcPr>
            <w:tcW w:w="536" w:type="dxa"/>
            <w:tcBorders>
              <w:top w:val="nil"/>
              <w:left w:val="single" w:sz="4" w:space="0" w:color="000000"/>
              <w:bottom w:val="nil"/>
              <w:right w:val="nil"/>
            </w:tcBorders>
            <w:shd w:val="clear" w:color="auto" w:fill="auto"/>
            <w:vAlign w:val="center"/>
          </w:tcPr>
          <w:p w14:paraId="12FC181B"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100</w:t>
            </w:r>
          </w:p>
        </w:tc>
        <w:tc>
          <w:tcPr>
            <w:tcW w:w="567" w:type="dxa"/>
            <w:tcBorders>
              <w:top w:val="nil"/>
              <w:left w:val="nil"/>
              <w:bottom w:val="nil"/>
              <w:right w:val="nil"/>
            </w:tcBorders>
            <w:shd w:val="clear" w:color="auto" w:fill="auto"/>
            <w:vAlign w:val="center"/>
          </w:tcPr>
          <w:p w14:paraId="6C3575EF"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66.7</w:t>
            </w:r>
          </w:p>
        </w:tc>
        <w:tc>
          <w:tcPr>
            <w:tcW w:w="1146" w:type="dxa"/>
            <w:tcBorders>
              <w:top w:val="nil"/>
              <w:left w:val="nil"/>
              <w:bottom w:val="nil"/>
              <w:right w:val="single" w:sz="4" w:space="0" w:color="000000"/>
            </w:tcBorders>
            <w:shd w:val="clear" w:color="auto" w:fill="auto"/>
            <w:vAlign w:val="center"/>
          </w:tcPr>
          <w:p w14:paraId="59FA3F85"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(61.0, 72.5)</w:t>
            </w:r>
          </w:p>
        </w:tc>
        <w:tc>
          <w:tcPr>
            <w:tcW w:w="536" w:type="dxa"/>
            <w:tcBorders>
              <w:top w:val="nil"/>
              <w:left w:val="single" w:sz="4" w:space="0" w:color="000000"/>
              <w:bottom w:val="nil"/>
              <w:right w:val="nil"/>
            </w:tcBorders>
            <w:shd w:val="clear" w:color="auto" w:fill="auto"/>
            <w:vAlign w:val="center"/>
          </w:tcPr>
          <w:p w14:paraId="7063A828"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96</w:t>
            </w:r>
          </w:p>
        </w:tc>
        <w:tc>
          <w:tcPr>
            <w:tcW w:w="576" w:type="dxa"/>
            <w:tcBorders>
              <w:top w:val="nil"/>
              <w:left w:val="nil"/>
              <w:bottom w:val="nil"/>
              <w:right w:val="nil"/>
            </w:tcBorders>
            <w:shd w:val="clear" w:color="auto" w:fill="auto"/>
            <w:vAlign w:val="center"/>
          </w:tcPr>
          <w:p w14:paraId="3A36F460"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72.7</w:t>
            </w:r>
          </w:p>
        </w:tc>
        <w:tc>
          <w:tcPr>
            <w:tcW w:w="1146" w:type="dxa"/>
            <w:tcBorders>
              <w:top w:val="nil"/>
              <w:left w:val="nil"/>
              <w:bottom w:val="nil"/>
              <w:right w:val="nil"/>
            </w:tcBorders>
            <w:shd w:val="clear" w:color="auto" w:fill="auto"/>
            <w:vAlign w:val="center"/>
          </w:tcPr>
          <w:p w14:paraId="6949EBCD"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(66.8, 78.7)</w:t>
            </w:r>
          </w:p>
        </w:tc>
      </w:tr>
      <w:tr w:rsidR="009118DA" w:rsidRPr="00D76D7F" w14:paraId="0162B58D"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bottom"/>
          </w:tcPr>
          <w:p w14:paraId="07FB4F61" w14:textId="77777777" w:rsidR="00152900" w:rsidRPr="00152900" w:rsidRDefault="00152900" w:rsidP="00152900">
            <w:pPr>
              <w:keepNext/>
              <w:spacing w:before="20"/>
              <w:ind w:left="34"/>
              <w:jc w:val="both"/>
              <w:rPr>
                <w:rFonts w:eastAsiaTheme="minorEastAsia"/>
                <w:b w:val="0"/>
                <w:sz w:val="18"/>
                <w:szCs w:val="18"/>
                <w:lang w:eastAsia="en-US"/>
              </w:rPr>
            </w:pPr>
            <w:r w:rsidRPr="00152900">
              <w:rPr>
                <w:rFonts w:eastAsiaTheme="minorEastAsia"/>
                <w:b w:val="0"/>
                <w:sz w:val="18"/>
                <w:szCs w:val="18"/>
                <w:lang w:eastAsia="en-US"/>
              </w:rPr>
              <w:t>Moderate (Score 6 - 11)</w:t>
            </w:r>
          </w:p>
        </w:tc>
        <w:tc>
          <w:tcPr>
            <w:tcW w:w="536" w:type="dxa"/>
            <w:tcBorders>
              <w:top w:val="nil"/>
              <w:left w:val="nil"/>
              <w:bottom w:val="nil"/>
              <w:right w:val="nil"/>
            </w:tcBorders>
            <w:shd w:val="clear" w:color="auto" w:fill="auto"/>
            <w:noWrap/>
            <w:vAlign w:val="center"/>
          </w:tcPr>
          <w:p w14:paraId="4F20F52F"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62</w:t>
            </w:r>
          </w:p>
        </w:tc>
        <w:tc>
          <w:tcPr>
            <w:tcW w:w="579" w:type="dxa"/>
            <w:tcBorders>
              <w:top w:val="nil"/>
              <w:left w:val="nil"/>
              <w:bottom w:val="nil"/>
              <w:right w:val="nil"/>
            </w:tcBorders>
            <w:shd w:val="clear" w:color="auto" w:fill="auto"/>
            <w:noWrap/>
            <w:vAlign w:val="center"/>
          </w:tcPr>
          <w:p w14:paraId="3E6AE7B6"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20.2</w:t>
            </w:r>
          </w:p>
        </w:tc>
        <w:tc>
          <w:tcPr>
            <w:tcW w:w="1146" w:type="dxa"/>
            <w:tcBorders>
              <w:top w:val="nil"/>
              <w:left w:val="nil"/>
              <w:bottom w:val="nil"/>
              <w:right w:val="single" w:sz="4" w:space="0" w:color="auto"/>
            </w:tcBorders>
            <w:shd w:val="clear" w:color="auto" w:fill="auto"/>
            <w:noWrap/>
            <w:vAlign w:val="center"/>
          </w:tcPr>
          <w:p w14:paraId="26481094"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(16.7, 23.7)</w:t>
            </w:r>
          </w:p>
        </w:tc>
        <w:tc>
          <w:tcPr>
            <w:tcW w:w="536" w:type="dxa"/>
            <w:tcBorders>
              <w:top w:val="nil"/>
              <w:left w:val="single" w:sz="4" w:space="0" w:color="auto"/>
              <w:bottom w:val="nil"/>
              <w:right w:val="nil"/>
            </w:tcBorders>
            <w:shd w:val="clear" w:color="auto" w:fill="auto"/>
            <w:noWrap/>
            <w:vAlign w:val="center"/>
          </w:tcPr>
          <w:p w14:paraId="35B0C0FA"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36</w:t>
            </w:r>
          </w:p>
        </w:tc>
        <w:tc>
          <w:tcPr>
            <w:tcW w:w="621" w:type="dxa"/>
            <w:tcBorders>
              <w:top w:val="nil"/>
              <w:left w:val="nil"/>
              <w:bottom w:val="nil"/>
              <w:right w:val="nil"/>
            </w:tcBorders>
            <w:shd w:val="clear" w:color="auto" w:fill="auto"/>
            <w:noWrap/>
            <w:vAlign w:val="center"/>
          </w:tcPr>
          <w:p w14:paraId="58E80E09"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19.4</w:t>
            </w:r>
          </w:p>
        </w:tc>
        <w:tc>
          <w:tcPr>
            <w:tcW w:w="1146" w:type="dxa"/>
            <w:tcBorders>
              <w:top w:val="nil"/>
              <w:left w:val="nil"/>
              <w:bottom w:val="nil"/>
              <w:right w:val="single" w:sz="4" w:space="0" w:color="000000"/>
            </w:tcBorders>
            <w:shd w:val="clear" w:color="auto" w:fill="auto"/>
            <w:noWrap/>
            <w:vAlign w:val="center"/>
          </w:tcPr>
          <w:p w14:paraId="596F5997"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(15.3, 23.4)</w:t>
            </w:r>
          </w:p>
        </w:tc>
        <w:tc>
          <w:tcPr>
            <w:tcW w:w="536" w:type="dxa"/>
            <w:tcBorders>
              <w:top w:val="nil"/>
              <w:left w:val="single" w:sz="4" w:space="0" w:color="000000"/>
              <w:bottom w:val="nil"/>
              <w:right w:val="nil"/>
            </w:tcBorders>
            <w:shd w:val="clear" w:color="auto" w:fill="auto"/>
            <w:vAlign w:val="center"/>
          </w:tcPr>
          <w:p w14:paraId="1FCCEC65"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33</w:t>
            </w:r>
          </w:p>
        </w:tc>
        <w:tc>
          <w:tcPr>
            <w:tcW w:w="567" w:type="dxa"/>
            <w:tcBorders>
              <w:top w:val="nil"/>
              <w:left w:val="nil"/>
              <w:bottom w:val="nil"/>
              <w:right w:val="nil"/>
            </w:tcBorders>
            <w:shd w:val="clear" w:color="auto" w:fill="auto"/>
            <w:vAlign w:val="center"/>
          </w:tcPr>
          <w:p w14:paraId="13959FCF"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21.9</w:t>
            </w:r>
          </w:p>
        </w:tc>
        <w:tc>
          <w:tcPr>
            <w:tcW w:w="1146" w:type="dxa"/>
            <w:tcBorders>
              <w:top w:val="nil"/>
              <w:left w:val="nil"/>
              <w:bottom w:val="nil"/>
              <w:right w:val="single" w:sz="4" w:space="0" w:color="000000"/>
            </w:tcBorders>
            <w:shd w:val="clear" w:color="auto" w:fill="auto"/>
            <w:vAlign w:val="center"/>
          </w:tcPr>
          <w:p w14:paraId="6E2075C1"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(16.6, 27.3)</w:t>
            </w:r>
          </w:p>
        </w:tc>
        <w:tc>
          <w:tcPr>
            <w:tcW w:w="536" w:type="dxa"/>
            <w:tcBorders>
              <w:top w:val="nil"/>
              <w:left w:val="single" w:sz="4" w:space="0" w:color="000000"/>
              <w:bottom w:val="nil"/>
              <w:right w:val="nil"/>
            </w:tcBorders>
            <w:shd w:val="clear" w:color="auto" w:fill="auto"/>
            <w:vAlign w:val="center"/>
          </w:tcPr>
          <w:p w14:paraId="6E5257BC"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21</w:t>
            </w:r>
          </w:p>
        </w:tc>
        <w:tc>
          <w:tcPr>
            <w:tcW w:w="576" w:type="dxa"/>
            <w:tcBorders>
              <w:top w:val="nil"/>
              <w:left w:val="nil"/>
              <w:bottom w:val="nil"/>
              <w:right w:val="nil"/>
            </w:tcBorders>
            <w:shd w:val="clear" w:color="auto" w:fill="auto"/>
            <w:vAlign w:val="center"/>
          </w:tcPr>
          <w:p w14:paraId="67FCB36B"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15.6</w:t>
            </w:r>
          </w:p>
        </w:tc>
        <w:tc>
          <w:tcPr>
            <w:tcW w:w="1146" w:type="dxa"/>
            <w:tcBorders>
              <w:top w:val="nil"/>
              <w:left w:val="nil"/>
              <w:bottom w:val="nil"/>
              <w:right w:val="nil"/>
            </w:tcBorders>
            <w:shd w:val="clear" w:color="auto" w:fill="auto"/>
            <w:vAlign w:val="center"/>
          </w:tcPr>
          <w:p w14:paraId="647BEDE7"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(10.6, 20.5)</w:t>
            </w:r>
          </w:p>
        </w:tc>
      </w:tr>
      <w:tr w:rsidR="009118DA" w:rsidRPr="00D76D7F" w14:paraId="54FA86B0"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bottom"/>
          </w:tcPr>
          <w:p w14:paraId="42DB94A6" w14:textId="77777777" w:rsidR="00152900" w:rsidRPr="00152900" w:rsidRDefault="00152900" w:rsidP="00152900">
            <w:pPr>
              <w:keepNext/>
              <w:spacing w:before="20"/>
              <w:ind w:left="34"/>
              <w:jc w:val="both"/>
              <w:rPr>
                <w:rFonts w:eastAsiaTheme="minorEastAsia"/>
                <w:b w:val="0"/>
                <w:sz w:val="18"/>
                <w:szCs w:val="18"/>
                <w:lang w:eastAsia="en-US"/>
              </w:rPr>
            </w:pPr>
            <w:r w:rsidRPr="00152900">
              <w:rPr>
                <w:rFonts w:eastAsiaTheme="minorEastAsia"/>
                <w:b w:val="0"/>
                <w:sz w:val="18"/>
                <w:szCs w:val="18"/>
                <w:lang w:eastAsia="en-US"/>
              </w:rPr>
              <w:t>High (Score 12 - 19)</w:t>
            </w:r>
          </w:p>
        </w:tc>
        <w:tc>
          <w:tcPr>
            <w:tcW w:w="536" w:type="dxa"/>
            <w:tcBorders>
              <w:top w:val="nil"/>
              <w:left w:val="nil"/>
              <w:bottom w:val="nil"/>
              <w:right w:val="nil"/>
            </w:tcBorders>
            <w:shd w:val="clear" w:color="auto" w:fill="auto"/>
            <w:noWrap/>
            <w:vAlign w:val="center"/>
          </w:tcPr>
          <w:p w14:paraId="7CE28782"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35</w:t>
            </w:r>
          </w:p>
        </w:tc>
        <w:tc>
          <w:tcPr>
            <w:tcW w:w="579" w:type="dxa"/>
            <w:tcBorders>
              <w:top w:val="nil"/>
              <w:left w:val="nil"/>
              <w:bottom w:val="nil"/>
              <w:right w:val="nil"/>
            </w:tcBorders>
            <w:shd w:val="clear" w:color="auto" w:fill="auto"/>
            <w:noWrap/>
            <w:vAlign w:val="center"/>
          </w:tcPr>
          <w:p w14:paraId="19757E6A"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11.4</w:t>
            </w:r>
          </w:p>
        </w:tc>
        <w:tc>
          <w:tcPr>
            <w:tcW w:w="1146" w:type="dxa"/>
            <w:tcBorders>
              <w:top w:val="nil"/>
              <w:left w:val="nil"/>
              <w:bottom w:val="nil"/>
              <w:right w:val="single" w:sz="4" w:space="0" w:color="auto"/>
            </w:tcBorders>
            <w:shd w:val="clear" w:color="auto" w:fill="auto"/>
            <w:noWrap/>
            <w:vAlign w:val="center"/>
          </w:tcPr>
          <w:p w14:paraId="4B7F6978"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(9.0, 13.9)</w:t>
            </w:r>
          </w:p>
        </w:tc>
        <w:tc>
          <w:tcPr>
            <w:tcW w:w="536" w:type="dxa"/>
            <w:tcBorders>
              <w:top w:val="nil"/>
              <w:left w:val="single" w:sz="4" w:space="0" w:color="auto"/>
              <w:bottom w:val="nil"/>
              <w:right w:val="nil"/>
            </w:tcBorders>
            <w:shd w:val="clear" w:color="auto" w:fill="auto"/>
            <w:noWrap/>
            <w:vAlign w:val="center"/>
          </w:tcPr>
          <w:p w14:paraId="71FE0CF0"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w:t>
            </w:r>
          </w:p>
        </w:tc>
        <w:tc>
          <w:tcPr>
            <w:tcW w:w="621" w:type="dxa"/>
            <w:tcBorders>
              <w:top w:val="nil"/>
              <w:left w:val="nil"/>
              <w:bottom w:val="nil"/>
              <w:right w:val="nil"/>
            </w:tcBorders>
            <w:shd w:val="clear" w:color="auto" w:fill="auto"/>
            <w:noWrap/>
            <w:vAlign w:val="center"/>
          </w:tcPr>
          <w:p w14:paraId="3A43460E"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9.1</w:t>
            </w:r>
          </w:p>
        </w:tc>
        <w:tc>
          <w:tcPr>
            <w:tcW w:w="1146" w:type="dxa"/>
            <w:tcBorders>
              <w:top w:val="nil"/>
              <w:left w:val="nil"/>
              <w:bottom w:val="nil"/>
              <w:right w:val="single" w:sz="4" w:space="0" w:color="000000"/>
            </w:tcBorders>
            <w:shd w:val="clear" w:color="auto" w:fill="auto"/>
            <w:noWrap/>
            <w:vAlign w:val="center"/>
          </w:tcPr>
          <w:p w14:paraId="41E34C18"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(5.7, 12.5)</w:t>
            </w:r>
          </w:p>
        </w:tc>
        <w:tc>
          <w:tcPr>
            <w:tcW w:w="536" w:type="dxa"/>
            <w:tcBorders>
              <w:top w:val="nil"/>
              <w:left w:val="single" w:sz="4" w:space="0" w:color="000000"/>
              <w:bottom w:val="nil"/>
              <w:right w:val="nil"/>
            </w:tcBorders>
            <w:shd w:val="clear" w:color="auto" w:fill="auto"/>
            <w:vAlign w:val="center"/>
          </w:tcPr>
          <w:p w14:paraId="47EB19B9"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w:t>
            </w:r>
          </w:p>
        </w:tc>
        <w:tc>
          <w:tcPr>
            <w:tcW w:w="567" w:type="dxa"/>
            <w:tcBorders>
              <w:top w:val="nil"/>
              <w:left w:val="nil"/>
              <w:bottom w:val="nil"/>
              <w:right w:val="nil"/>
            </w:tcBorders>
            <w:shd w:val="clear" w:color="auto" w:fill="auto"/>
            <w:vAlign w:val="center"/>
          </w:tcPr>
          <w:p w14:paraId="2146A25B"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8.4</w:t>
            </w:r>
          </w:p>
        </w:tc>
        <w:tc>
          <w:tcPr>
            <w:tcW w:w="1146" w:type="dxa"/>
            <w:tcBorders>
              <w:top w:val="nil"/>
              <w:left w:val="nil"/>
              <w:bottom w:val="nil"/>
              <w:right w:val="single" w:sz="4" w:space="0" w:color="000000"/>
            </w:tcBorders>
            <w:shd w:val="clear" w:color="auto" w:fill="auto"/>
            <w:vAlign w:val="center"/>
          </w:tcPr>
          <w:p w14:paraId="2DCF2FDD"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(5.2, 11.6)</w:t>
            </w:r>
          </w:p>
        </w:tc>
        <w:tc>
          <w:tcPr>
            <w:tcW w:w="536" w:type="dxa"/>
            <w:tcBorders>
              <w:top w:val="nil"/>
              <w:left w:val="single" w:sz="4" w:space="0" w:color="000000"/>
              <w:bottom w:val="nil"/>
              <w:right w:val="nil"/>
            </w:tcBorders>
            <w:shd w:val="clear" w:color="auto" w:fill="auto"/>
            <w:vAlign w:val="center"/>
          </w:tcPr>
          <w:p w14:paraId="006BEA9C"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w:t>
            </w:r>
          </w:p>
        </w:tc>
        <w:tc>
          <w:tcPr>
            <w:tcW w:w="576" w:type="dxa"/>
            <w:tcBorders>
              <w:top w:val="nil"/>
              <w:left w:val="nil"/>
              <w:bottom w:val="nil"/>
              <w:right w:val="nil"/>
            </w:tcBorders>
            <w:shd w:val="clear" w:color="auto" w:fill="auto"/>
            <w:vAlign w:val="center"/>
          </w:tcPr>
          <w:p w14:paraId="4714146D"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8.7</w:t>
            </w:r>
          </w:p>
        </w:tc>
        <w:tc>
          <w:tcPr>
            <w:tcW w:w="1146" w:type="dxa"/>
            <w:tcBorders>
              <w:top w:val="nil"/>
              <w:left w:val="nil"/>
              <w:bottom w:val="nil"/>
              <w:right w:val="nil"/>
            </w:tcBorders>
            <w:shd w:val="clear" w:color="auto" w:fill="auto"/>
            <w:vAlign w:val="center"/>
          </w:tcPr>
          <w:p w14:paraId="68606473"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(5.0, 12.3)</w:t>
            </w:r>
          </w:p>
        </w:tc>
      </w:tr>
      <w:tr w:rsidR="009118DA" w:rsidRPr="00D76D7F" w14:paraId="19C0426D"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bottom"/>
          </w:tcPr>
          <w:p w14:paraId="2A0DF1E5" w14:textId="77777777" w:rsidR="00152900" w:rsidRPr="00152900" w:rsidRDefault="00152900" w:rsidP="00152900">
            <w:pPr>
              <w:spacing w:before="20"/>
              <w:ind w:left="34"/>
              <w:jc w:val="both"/>
              <w:rPr>
                <w:rFonts w:eastAsiaTheme="minorEastAsia"/>
                <w:b w:val="0"/>
                <w:sz w:val="18"/>
                <w:szCs w:val="18"/>
                <w:lang w:eastAsia="en-US"/>
              </w:rPr>
            </w:pPr>
            <w:r w:rsidRPr="00152900">
              <w:rPr>
                <w:rFonts w:eastAsiaTheme="minorEastAsia"/>
                <w:b w:val="0"/>
                <w:sz w:val="18"/>
                <w:szCs w:val="18"/>
                <w:lang w:eastAsia="en-US"/>
              </w:rPr>
              <w:t>Severe (Score 20 - 40)</w:t>
            </w:r>
          </w:p>
        </w:tc>
        <w:tc>
          <w:tcPr>
            <w:tcW w:w="536" w:type="dxa"/>
            <w:tcBorders>
              <w:top w:val="nil"/>
              <w:left w:val="nil"/>
              <w:bottom w:val="nil"/>
              <w:right w:val="nil"/>
            </w:tcBorders>
            <w:shd w:val="clear" w:color="auto" w:fill="auto"/>
            <w:noWrap/>
            <w:vAlign w:val="center"/>
          </w:tcPr>
          <w:p w14:paraId="74059D81"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w:t>
            </w:r>
          </w:p>
        </w:tc>
        <w:tc>
          <w:tcPr>
            <w:tcW w:w="579" w:type="dxa"/>
            <w:tcBorders>
              <w:top w:val="nil"/>
              <w:left w:val="nil"/>
              <w:bottom w:val="nil"/>
              <w:right w:val="nil"/>
            </w:tcBorders>
            <w:shd w:val="clear" w:color="auto" w:fill="auto"/>
            <w:noWrap/>
            <w:vAlign w:val="center"/>
          </w:tcPr>
          <w:p w14:paraId="16784A5D"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3.4</w:t>
            </w:r>
          </w:p>
        </w:tc>
        <w:tc>
          <w:tcPr>
            <w:tcW w:w="1146" w:type="dxa"/>
            <w:tcBorders>
              <w:top w:val="nil"/>
              <w:left w:val="nil"/>
              <w:bottom w:val="nil"/>
              <w:right w:val="single" w:sz="4" w:space="0" w:color="auto"/>
            </w:tcBorders>
            <w:shd w:val="clear" w:color="auto" w:fill="auto"/>
            <w:noWrap/>
            <w:vAlign w:val="center"/>
          </w:tcPr>
          <w:p w14:paraId="1FC985DD"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(2.0, 4.8)</w:t>
            </w:r>
          </w:p>
        </w:tc>
        <w:tc>
          <w:tcPr>
            <w:tcW w:w="536" w:type="dxa"/>
            <w:tcBorders>
              <w:top w:val="nil"/>
              <w:left w:val="single" w:sz="4" w:space="0" w:color="auto"/>
              <w:bottom w:val="nil"/>
              <w:right w:val="nil"/>
            </w:tcBorders>
            <w:shd w:val="clear" w:color="auto" w:fill="auto"/>
            <w:noWrap/>
            <w:vAlign w:val="center"/>
          </w:tcPr>
          <w:p w14:paraId="11212BFB"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w:t>
            </w:r>
          </w:p>
        </w:tc>
        <w:tc>
          <w:tcPr>
            <w:tcW w:w="621" w:type="dxa"/>
            <w:tcBorders>
              <w:top w:val="nil"/>
              <w:left w:val="nil"/>
              <w:bottom w:val="nil"/>
              <w:right w:val="nil"/>
            </w:tcBorders>
            <w:shd w:val="clear" w:color="auto" w:fill="auto"/>
            <w:noWrap/>
            <w:vAlign w:val="center"/>
          </w:tcPr>
          <w:p w14:paraId="40A0F49B"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3.9</w:t>
            </w:r>
          </w:p>
        </w:tc>
        <w:tc>
          <w:tcPr>
            <w:tcW w:w="1146" w:type="dxa"/>
            <w:tcBorders>
              <w:top w:val="nil"/>
              <w:left w:val="nil"/>
              <w:bottom w:val="nil"/>
              <w:right w:val="single" w:sz="4" w:space="0" w:color="000000"/>
            </w:tcBorders>
            <w:shd w:val="clear" w:color="auto" w:fill="auto"/>
            <w:noWrap/>
            <w:vAlign w:val="center"/>
          </w:tcPr>
          <w:p w14:paraId="79D4AF87"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(2.0, 5.8)</w:t>
            </w:r>
          </w:p>
        </w:tc>
        <w:tc>
          <w:tcPr>
            <w:tcW w:w="536" w:type="dxa"/>
            <w:tcBorders>
              <w:top w:val="nil"/>
              <w:left w:val="single" w:sz="4" w:space="0" w:color="000000"/>
              <w:bottom w:val="nil"/>
              <w:right w:val="nil"/>
            </w:tcBorders>
            <w:shd w:val="clear" w:color="auto" w:fill="auto"/>
            <w:vAlign w:val="center"/>
          </w:tcPr>
          <w:p w14:paraId="6F5ECA59"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w:t>
            </w:r>
          </w:p>
        </w:tc>
        <w:tc>
          <w:tcPr>
            <w:tcW w:w="567" w:type="dxa"/>
            <w:tcBorders>
              <w:top w:val="nil"/>
              <w:left w:val="nil"/>
              <w:bottom w:val="nil"/>
              <w:right w:val="nil"/>
            </w:tcBorders>
            <w:shd w:val="clear" w:color="auto" w:fill="auto"/>
            <w:vAlign w:val="center"/>
          </w:tcPr>
          <w:p w14:paraId="22859F5C"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w:t>
            </w:r>
          </w:p>
        </w:tc>
        <w:tc>
          <w:tcPr>
            <w:tcW w:w="1146" w:type="dxa"/>
            <w:tcBorders>
              <w:top w:val="nil"/>
              <w:left w:val="nil"/>
              <w:bottom w:val="nil"/>
              <w:right w:val="single" w:sz="4" w:space="0" w:color="000000"/>
            </w:tcBorders>
            <w:shd w:val="clear" w:color="auto" w:fill="auto"/>
            <w:vAlign w:val="center"/>
          </w:tcPr>
          <w:p w14:paraId="7B3F5CF7"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(1.1, 4.8)</w:t>
            </w:r>
          </w:p>
        </w:tc>
        <w:tc>
          <w:tcPr>
            <w:tcW w:w="536" w:type="dxa"/>
            <w:tcBorders>
              <w:top w:val="nil"/>
              <w:left w:val="single" w:sz="4" w:space="0" w:color="000000"/>
              <w:bottom w:val="nil"/>
              <w:right w:val="nil"/>
            </w:tcBorders>
            <w:shd w:val="clear" w:color="auto" w:fill="auto"/>
            <w:vAlign w:val="center"/>
          </w:tcPr>
          <w:p w14:paraId="48DE7A0C"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w:t>
            </w:r>
          </w:p>
        </w:tc>
        <w:tc>
          <w:tcPr>
            <w:tcW w:w="576" w:type="dxa"/>
            <w:tcBorders>
              <w:top w:val="nil"/>
              <w:left w:val="nil"/>
              <w:bottom w:val="nil"/>
              <w:right w:val="nil"/>
            </w:tcBorders>
            <w:shd w:val="clear" w:color="auto" w:fill="auto"/>
            <w:vAlign w:val="center"/>
          </w:tcPr>
          <w:p w14:paraId="19FD0431"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3.1</w:t>
            </w:r>
          </w:p>
        </w:tc>
        <w:tc>
          <w:tcPr>
            <w:tcW w:w="1146" w:type="dxa"/>
            <w:tcBorders>
              <w:top w:val="nil"/>
              <w:left w:val="nil"/>
              <w:bottom w:val="nil"/>
              <w:right w:val="nil"/>
            </w:tcBorders>
            <w:shd w:val="clear" w:color="auto" w:fill="auto"/>
            <w:vAlign w:val="center"/>
          </w:tcPr>
          <w:p w14:paraId="1A967982" w14:textId="77777777" w:rsidR="00152900" w:rsidRPr="00D76D7F"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(1.4, 4.7)</w:t>
            </w:r>
          </w:p>
        </w:tc>
      </w:tr>
      <w:tr w:rsidR="002E64B9" w:rsidRPr="00D76D7F" w14:paraId="5A570A72"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5801" w:type="dxa"/>
            <w:gridSpan w:val="4"/>
            <w:tcBorders>
              <w:top w:val="nil"/>
              <w:left w:val="nil"/>
              <w:bottom w:val="nil"/>
              <w:right w:val="single" w:sz="4" w:space="0" w:color="auto"/>
            </w:tcBorders>
            <w:shd w:val="clear" w:color="auto" w:fill="auto"/>
            <w:vAlign w:val="center"/>
          </w:tcPr>
          <w:p w14:paraId="7FC10D09" w14:textId="77777777" w:rsidR="008C60C5" w:rsidRPr="00D76D7F" w:rsidRDefault="008C60C5" w:rsidP="008C60C5">
            <w:pPr>
              <w:spacing w:before="20" w:after="20"/>
              <w:rPr>
                <w:rFonts w:eastAsiaTheme="minorEastAsia"/>
                <w:sz w:val="18"/>
                <w:szCs w:val="18"/>
                <w:lang w:eastAsia="en-US"/>
              </w:rPr>
            </w:pPr>
            <w:r w:rsidRPr="00D76D7F">
              <w:rPr>
                <w:rFonts w:eastAsiaTheme="minorEastAsia"/>
                <w:sz w:val="18"/>
                <w:szCs w:val="18"/>
                <w:lang w:eastAsia="en-US"/>
              </w:rPr>
              <w:t>Hazardous alcohol consumption (AUDIT-C)</w:t>
            </w:r>
          </w:p>
        </w:tc>
        <w:tc>
          <w:tcPr>
            <w:tcW w:w="536" w:type="dxa"/>
            <w:tcBorders>
              <w:top w:val="nil"/>
              <w:left w:val="single" w:sz="4" w:space="0" w:color="auto"/>
              <w:bottom w:val="nil"/>
              <w:right w:val="nil"/>
            </w:tcBorders>
            <w:shd w:val="clear" w:color="auto" w:fill="auto"/>
            <w:noWrap/>
            <w:vAlign w:val="center"/>
          </w:tcPr>
          <w:p w14:paraId="2C1E1060" w14:textId="77777777" w:rsidR="008C60C5" w:rsidRPr="00D76D7F" w:rsidRDefault="008C60C5" w:rsidP="008C60C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nil"/>
              <w:left w:val="nil"/>
              <w:bottom w:val="nil"/>
              <w:right w:val="nil"/>
            </w:tcBorders>
            <w:shd w:val="clear" w:color="auto" w:fill="auto"/>
            <w:noWrap/>
            <w:vAlign w:val="center"/>
          </w:tcPr>
          <w:p w14:paraId="18670154" w14:textId="77777777" w:rsidR="008C60C5" w:rsidRPr="00D76D7F" w:rsidRDefault="008C60C5" w:rsidP="008C60C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auto"/>
            <w:noWrap/>
            <w:vAlign w:val="center"/>
          </w:tcPr>
          <w:p w14:paraId="42AAADCF" w14:textId="77777777" w:rsidR="008C60C5" w:rsidRPr="00D76D7F" w:rsidRDefault="008C60C5" w:rsidP="008C60C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36" w:type="dxa"/>
            <w:tcBorders>
              <w:top w:val="nil"/>
              <w:left w:val="single" w:sz="4" w:space="0" w:color="000000"/>
              <w:bottom w:val="nil"/>
              <w:right w:val="nil"/>
            </w:tcBorders>
            <w:shd w:val="clear" w:color="auto" w:fill="auto"/>
            <w:vAlign w:val="bottom"/>
          </w:tcPr>
          <w:p w14:paraId="28DAC42E" w14:textId="77777777" w:rsidR="008C60C5" w:rsidRPr="00D76D7F" w:rsidRDefault="008C60C5" w:rsidP="008C60C5">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shd w:val="clear" w:color="auto" w:fill="auto"/>
            <w:vAlign w:val="bottom"/>
          </w:tcPr>
          <w:p w14:paraId="6BA4D45A" w14:textId="77777777" w:rsidR="008C60C5" w:rsidRPr="00D76D7F" w:rsidRDefault="008C60C5" w:rsidP="008C60C5">
            <w:pPr>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auto"/>
            <w:vAlign w:val="bottom"/>
          </w:tcPr>
          <w:p w14:paraId="2D737104" w14:textId="77777777" w:rsidR="008C60C5" w:rsidRPr="00D76D7F" w:rsidRDefault="008C60C5" w:rsidP="008C60C5">
            <w:pPr>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shd w:val="clear" w:color="auto" w:fill="auto"/>
            <w:vAlign w:val="bottom"/>
          </w:tcPr>
          <w:p w14:paraId="40C364B8" w14:textId="77777777" w:rsidR="008C60C5" w:rsidRPr="00D76D7F" w:rsidRDefault="008C60C5" w:rsidP="008C60C5">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6" w:type="dxa"/>
            <w:tcBorders>
              <w:top w:val="nil"/>
              <w:left w:val="nil"/>
              <w:bottom w:val="nil"/>
              <w:right w:val="nil"/>
            </w:tcBorders>
            <w:shd w:val="clear" w:color="auto" w:fill="auto"/>
            <w:vAlign w:val="bottom"/>
          </w:tcPr>
          <w:p w14:paraId="22FBBE83" w14:textId="77777777" w:rsidR="008C60C5" w:rsidRPr="00D76D7F" w:rsidRDefault="008C60C5" w:rsidP="008C60C5">
            <w:pPr>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shd w:val="clear" w:color="auto" w:fill="auto"/>
            <w:vAlign w:val="bottom"/>
          </w:tcPr>
          <w:p w14:paraId="2EC86EFF" w14:textId="77777777" w:rsidR="008C60C5" w:rsidRPr="00D76D7F" w:rsidRDefault="008C60C5" w:rsidP="008C60C5">
            <w:pPr>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D76D7F" w14:paraId="350FC351"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center"/>
          </w:tcPr>
          <w:p w14:paraId="5838A123" w14:textId="77777777" w:rsidR="008C60C5" w:rsidRPr="00D76D7F" w:rsidRDefault="008C60C5" w:rsidP="008C60C5">
            <w:pPr>
              <w:spacing w:before="20" w:after="20"/>
              <w:ind w:left="34"/>
              <w:rPr>
                <w:rFonts w:eastAsiaTheme="minorEastAsia"/>
                <w:b w:val="0"/>
                <w:sz w:val="18"/>
                <w:szCs w:val="18"/>
                <w:lang w:eastAsia="en-US"/>
              </w:rPr>
            </w:pPr>
            <w:r w:rsidRPr="00D76D7F">
              <w:rPr>
                <w:rFonts w:eastAsiaTheme="minorEastAsia"/>
                <w:b w:val="0"/>
                <w:sz w:val="18"/>
                <w:szCs w:val="18"/>
                <w:lang w:eastAsia="en-US"/>
              </w:rPr>
              <w:t>No</w:t>
            </w:r>
          </w:p>
        </w:tc>
        <w:tc>
          <w:tcPr>
            <w:tcW w:w="536" w:type="dxa"/>
            <w:tcBorders>
              <w:top w:val="nil"/>
              <w:left w:val="nil"/>
              <w:bottom w:val="nil"/>
              <w:right w:val="nil"/>
            </w:tcBorders>
            <w:shd w:val="clear" w:color="auto" w:fill="auto"/>
            <w:noWrap/>
            <w:vAlign w:val="center"/>
          </w:tcPr>
          <w:p w14:paraId="0F8AA0DF"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213</w:t>
            </w:r>
          </w:p>
        </w:tc>
        <w:tc>
          <w:tcPr>
            <w:tcW w:w="579" w:type="dxa"/>
            <w:tcBorders>
              <w:top w:val="nil"/>
              <w:left w:val="nil"/>
              <w:bottom w:val="nil"/>
              <w:right w:val="nil"/>
            </w:tcBorders>
            <w:shd w:val="clear" w:color="auto" w:fill="auto"/>
            <w:noWrap/>
            <w:vAlign w:val="center"/>
          </w:tcPr>
          <w:p w14:paraId="544A46BB"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69.1</w:t>
            </w:r>
          </w:p>
        </w:tc>
        <w:tc>
          <w:tcPr>
            <w:tcW w:w="1146" w:type="dxa"/>
            <w:tcBorders>
              <w:top w:val="nil"/>
              <w:left w:val="nil"/>
              <w:bottom w:val="nil"/>
              <w:right w:val="single" w:sz="4" w:space="0" w:color="auto"/>
            </w:tcBorders>
            <w:shd w:val="clear" w:color="auto" w:fill="auto"/>
            <w:noWrap/>
            <w:vAlign w:val="center"/>
          </w:tcPr>
          <w:p w14:paraId="408844DB"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(65.2, 73.1)</w:t>
            </w:r>
          </w:p>
        </w:tc>
        <w:tc>
          <w:tcPr>
            <w:tcW w:w="536" w:type="dxa"/>
            <w:tcBorders>
              <w:top w:val="nil"/>
              <w:left w:val="single" w:sz="4" w:space="0" w:color="auto"/>
              <w:bottom w:val="nil"/>
              <w:right w:val="nil"/>
            </w:tcBorders>
            <w:shd w:val="clear" w:color="auto" w:fill="auto"/>
            <w:noWrap/>
            <w:vAlign w:val="center"/>
          </w:tcPr>
          <w:p w14:paraId="46C665FE"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138</w:t>
            </w:r>
          </w:p>
        </w:tc>
        <w:tc>
          <w:tcPr>
            <w:tcW w:w="621" w:type="dxa"/>
            <w:tcBorders>
              <w:top w:val="nil"/>
              <w:left w:val="nil"/>
              <w:bottom w:val="nil"/>
              <w:right w:val="nil"/>
            </w:tcBorders>
            <w:shd w:val="clear" w:color="auto" w:fill="auto"/>
            <w:noWrap/>
            <w:vAlign w:val="center"/>
          </w:tcPr>
          <w:p w14:paraId="44439259"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74.2</w:t>
            </w:r>
          </w:p>
        </w:tc>
        <w:tc>
          <w:tcPr>
            <w:tcW w:w="1146" w:type="dxa"/>
            <w:tcBorders>
              <w:top w:val="nil"/>
              <w:left w:val="nil"/>
              <w:bottom w:val="nil"/>
              <w:right w:val="single" w:sz="4" w:space="0" w:color="000000"/>
            </w:tcBorders>
            <w:shd w:val="clear" w:color="auto" w:fill="auto"/>
            <w:noWrap/>
            <w:vAlign w:val="center"/>
          </w:tcPr>
          <w:p w14:paraId="6F522856"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(69.4, 78.9)</w:t>
            </w:r>
          </w:p>
        </w:tc>
        <w:tc>
          <w:tcPr>
            <w:tcW w:w="536" w:type="dxa"/>
            <w:tcBorders>
              <w:top w:val="nil"/>
              <w:left w:val="single" w:sz="4" w:space="0" w:color="000000"/>
              <w:bottom w:val="nil"/>
              <w:right w:val="nil"/>
            </w:tcBorders>
            <w:shd w:val="clear" w:color="auto" w:fill="auto"/>
            <w:vAlign w:val="center"/>
          </w:tcPr>
          <w:p w14:paraId="3DE25A70"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114</w:t>
            </w:r>
          </w:p>
        </w:tc>
        <w:tc>
          <w:tcPr>
            <w:tcW w:w="567" w:type="dxa"/>
            <w:tcBorders>
              <w:top w:val="nil"/>
              <w:left w:val="nil"/>
              <w:bottom w:val="nil"/>
              <w:right w:val="nil"/>
            </w:tcBorders>
            <w:shd w:val="clear" w:color="auto" w:fill="auto"/>
            <w:vAlign w:val="center"/>
          </w:tcPr>
          <w:p w14:paraId="2FB44372"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76.1</w:t>
            </w:r>
          </w:p>
        </w:tc>
        <w:tc>
          <w:tcPr>
            <w:tcW w:w="1146" w:type="dxa"/>
            <w:tcBorders>
              <w:top w:val="nil"/>
              <w:left w:val="nil"/>
              <w:bottom w:val="nil"/>
              <w:right w:val="single" w:sz="4" w:space="0" w:color="000000"/>
            </w:tcBorders>
            <w:shd w:val="clear" w:color="auto" w:fill="auto"/>
            <w:vAlign w:val="center"/>
          </w:tcPr>
          <w:p w14:paraId="318C2E34"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(70.9, 81.4)</w:t>
            </w:r>
          </w:p>
        </w:tc>
        <w:tc>
          <w:tcPr>
            <w:tcW w:w="536" w:type="dxa"/>
            <w:tcBorders>
              <w:top w:val="nil"/>
              <w:left w:val="single" w:sz="4" w:space="0" w:color="000000"/>
              <w:bottom w:val="nil"/>
              <w:right w:val="nil"/>
            </w:tcBorders>
            <w:shd w:val="clear" w:color="auto" w:fill="auto"/>
            <w:vAlign w:val="center"/>
          </w:tcPr>
          <w:p w14:paraId="69D546CC"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97</w:t>
            </w:r>
          </w:p>
        </w:tc>
        <w:tc>
          <w:tcPr>
            <w:tcW w:w="576" w:type="dxa"/>
            <w:tcBorders>
              <w:top w:val="nil"/>
              <w:left w:val="nil"/>
              <w:bottom w:val="nil"/>
              <w:right w:val="nil"/>
            </w:tcBorders>
            <w:shd w:val="clear" w:color="auto" w:fill="auto"/>
            <w:vAlign w:val="center"/>
          </w:tcPr>
          <w:p w14:paraId="3609EC02"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73.8</w:t>
            </w:r>
          </w:p>
        </w:tc>
        <w:tc>
          <w:tcPr>
            <w:tcW w:w="1146" w:type="dxa"/>
            <w:tcBorders>
              <w:top w:val="nil"/>
              <w:left w:val="nil"/>
              <w:bottom w:val="nil"/>
              <w:right w:val="nil"/>
            </w:tcBorders>
            <w:shd w:val="clear" w:color="auto" w:fill="auto"/>
            <w:vAlign w:val="center"/>
          </w:tcPr>
          <w:p w14:paraId="35AFD1C8"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(67.9, 79.7)</w:t>
            </w:r>
          </w:p>
        </w:tc>
      </w:tr>
      <w:tr w:rsidR="009118DA" w:rsidRPr="00D76D7F" w14:paraId="2F8DEA6D"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center"/>
          </w:tcPr>
          <w:p w14:paraId="38C4D637" w14:textId="77777777" w:rsidR="008C60C5" w:rsidRPr="00D76D7F" w:rsidRDefault="008C60C5" w:rsidP="008C60C5">
            <w:pPr>
              <w:spacing w:before="20" w:after="20"/>
              <w:ind w:left="34"/>
              <w:rPr>
                <w:rFonts w:eastAsiaTheme="minorEastAsia"/>
                <w:b w:val="0"/>
                <w:sz w:val="18"/>
                <w:szCs w:val="18"/>
                <w:lang w:eastAsia="en-US"/>
              </w:rPr>
            </w:pPr>
            <w:r w:rsidRPr="00D76D7F">
              <w:rPr>
                <w:rFonts w:eastAsiaTheme="minorEastAsia"/>
                <w:b w:val="0"/>
                <w:sz w:val="18"/>
                <w:szCs w:val="18"/>
                <w:lang w:eastAsia="en-US"/>
              </w:rPr>
              <w:t>Yes</w:t>
            </w:r>
          </w:p>
        </w:tc>
        <w:tc>
          <w:tcPr>
            <w:tcW w:w="536" w:type="dxa"/>
            <w:tcBorders>
              <w:top w:val="nil"/>
              <w:left w:val="nil"/>
              <w:bottom w:val="nil"/>
              <w:right w:val="nil"/>
            </w:tcBorders>
            <w:shd w:val="clear" w:color="auto" w:fill="auto"/>
            <w:noWrap/>
            <w:vAlign w:val="center"/>
          </w:tcPr>
          <w:p w14:paraId="725AC302"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95</w:t>
            </w:r>
          </w:p>
        </w:tc>
        <w:tc>
          <w:tcPr>
            <w:tcW w:w="579" w:type="dxa"/>
            <w:tcBorders>
              <w:top w:val="nil"/>
              <w:left w:val="nil"/>
              <w:bottom w:val="nil"/>
              <w:right w:val="nil"/>
            </w:tcBorders>
            <w:shd w:val="clear" w:color="auto" w:fill="auto"/>
            <w:noWrap/>
            <w:vAlign w:val="center"/>
          </w:tcPr>
          <w:p w14:paraId="1EF82B6D"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30.9</w:t>
            </w:r>
          </w:p>
        </w:tc>
        <w:tc>
          <w:tcPr>
            <w:tcW w:w="1146" w:type="dxa"/>
            <w:tcBorders>
              <w:top w:val="nil"/>
              <w:left w:val="nil"/>
              <w:bottom w:val="nil"/>
              <w:right w:val="single" w:sz="4" w:space="0" w:color="auto"/>
            </w:tcBorders>
            <w:shd w:val="clear" w:color="auto" w:fill="auto"/>
            <w:noWrap/>
            <w:vAlign w:val="center"/>
          </w:tcPr>
          <w:p w14:paraId="31A6A647"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(26.9, 34.8)</w:t>
            </w:r>
          </w:p>
        </w:tc>
        <w:tc>
          <w:tcPr>
            <w:tcW w:w="536" w:type="dxa"/>
            <w:tcBorders>
              <w:top w:val="nil"/>
              <w:left w:val="single" w:sz="4" w:space="0" w:color="auto"/>
              <w:bottom w:val="nil"/>
              <w:right w:val="nil"/>
            </w:tcBorders>
            <w:shd w:val="clear" w:color="auto" w:fill="auto"/>
            <w:noWrap/>
            <w:vAlign w:val="center"/>
          </w:tcPr>
          <w:p w14:paraId="6145B5AD"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48</w:t>
            </w:r>
          </w:p>
        </w:tc>
        <w:tc>
          <w:tcPr>
            <w:tcW w:w="621" w:type="dxa"/>
            <w:tcBorders>
              <w:top w:val="nil"/>
              <w:left w:val="nil"/>
              <w:bottom w:val="nil"/>
              <w:right w:val="nil"/>
            </w:tcBorders>
            <w:shd w:val="clear" w:color="auto" w:fill="auto"/>
            <w:noWrap/>
            <w:vAlign w:val="center"/>
          </w:tcPr>
          <w:p w14:paraId="4A579D6A"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25.8</w:t>
            </w:r>
          </w:p>
        </w:tc>
        <w:tc>
          <w:tcPr>
            <w:tcW w:w="1146" w:type="dxa"/>
            <w:tcBorders>
              <w:top w:val="nil"/>
              <w:left w:val="nil"/>
              <w:bottom w:val="nil"/>
              <w:right w:val="single" w:sz="4" w:space="0" w:color="000000"/>
            </w:tcBorders>
            <w:shd w:val="clear" w:color="auto" w:fill="auto"/>
            <w:noWrap/>
            <w:vAlign w:val="center"/>
          </w:tcPr>
          <w:p w14:paraId="1E3ED71B"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(21.1, 30.6)</w:t>
            </w:r>
          </w:p>
        </w:tc>
        <w:tc>
          <w:tcPr>
            <w:tcW w:w="536" w:type="dxa"/>
            <w:tcBorders>
              <w:top w:val="nil"/>
              <w:left w:val="single" w:sz="4" w:space="0" w:color="000000"/>
              <w:bottom w:val="nil"/>
              <w:right w:val="nil"/>
            </w:tcBorders>
            <w:shd w:val="clear" w:color="auto" w:fill="auto"/>
            <w:vAlign w:val="center"/>
          </w:tcPr>
          <w:p w14:paraId="6BCEFA5A"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36</w:t>
            </w:r>
          </w:p>
        </w:tc>
        <w:tc>
          <w:tcPr>
            <w:tcW w:w="567" w:type="dxa"/>
            <w:tcBorders>
              <w:top w:val="nil"/>
              <w:left w:val="nil"/>
              <w:bottom w:val="nil"/>
              <w:right w:val="nil"/>
            </w:tcBorders>
            <w:shd w:val="clear" w:color="auto" w:fill="auto"/>
            <w:vAlign w:val="center"/>
          </w:tcPr>
          <w:p w14:paraId="7E673CD6"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23.9</w:t>
            </w:r>
          </w:p>
        </w:tc>
        <w:tc>
          <w:tcPr>
            <w:tcW w:w="1146" w:type="dxa"/>
            <w:tcBorders>
              <w:top w:val="nil"/>
              <w:left w:val="nil"/>
              <w:bottom w:val="nil"/>
              <w:right w:val="single" w:sz="4" w:space="0" w:color="000000"/>
            </w:tcBorders>
            <w:shd w:val="clear" w:color="auto" w:fill="auto"/>
            <w:vAlign w:val="center"/>
          </w:tcPr>
          <w:p w14:paraId="5995DE8B"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(18.6, 29.1)</w:t>
            </w:r>
          </w:p>
        </w:tc>
        <w:tc>
          <w:tcPr>
            <w:tcW w:w="536" w:type="dxa"/>
            <w:tcBorders>
              <w:top w:val="nil"/>
              <w:left w:val="single" w:sz="4" w:space="0" w:color="000000"/>
              <w:bottom w:val="nil"/>
              <w:right w:val="nil"/>
            </w:tcBorders>
            <w:shd w:val="clear" w:color="auto" w:fill="auto"/>
            <w:vAlign w:val="center"/>
          </w:tcPr>
          <w:p w14:paraId="65875DA0"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35</w:t>
            </w:r>
          </w:p>
        </w:tc>
        <w:tc>
          <w:tcPr>
            <w:tcW w:w="576" w:type="dxa"/>
            <w:tcBorders>
              <w:top w:val="nil"/>
              <w:left w:val="nil"/>
              <w:bottom w:val="nil"/>
              <w:right w:val="nil"/>
            </w:tcBorders>
            <w:shd w:val="clear" w:color="auto" w:fill="auto"/>
            <w:vAlign w:val="center"/>
          </w:tcPr>
          <w:p w14:paraId="151FA8E1"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26.2</w:t>
            </w:r>
          </w:p>
        </w:tc>
        <w:tc>
          <w:tcPr>
            <w:tcW w:w="1146" w:type="dxa"/>
            <w:tcBorders>
              <w:top w:val="nil"/>
              <w:left w:val="nil"/>
              <w:bottom w:val="nil"/>
              <w:right w:val="nil"/>
            </w:tcBorders>
            <w:shd w:val="clear" w:color="auto" w:fill="auto"/>
            <w:vAlign w:val="center"/>
          </w:tcPr>
          <w:p w14:paraId="7A9E8CD6"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(20.3, 32.1)</w:t>
            </w:r>
          </w:p>
        </w:tc>
      </w:tr>
      <w:tr w:rsidR="009118DA" w:rsidRPr="00D76D7F" w14:paraId="1ED45D34"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center"/>
          </w:tcPr>
          <w:p w14:paraId="726714A9" w14:textId="77777777" w:rsidR="008C60C5" w:rsidRPr="00D76D7F" w:rsidRDefault="008C60C5" w:rsidP="008C60C5">
            <w:pPr>
              <w:tabs>
                <w:tab w:val="left" w:pos="176"/>
              </w:tabs>
              <w:spacing w:before="20" w:after="20"/>
              <w:rPr>
                <w:rFonts w:eastAsiaTheme="minorEastAsia"/>
                <w:sz w:val="18"/>
                <w:szCs w:val="18"/>
                <w:lang w:eastAsia="en-US"/>
              </w:rPr>
            </w:pPr>
            <w:r w:rsidRPr="00D76D7F">
              <w:rPr>
                <w:rFonts w:eastAsiaTheme="minorEastAsia"/>
                <w:sz w:val="18"/>
                <w:szCs w:val="18"/>
                <w:lang w:eastAsia="en-US"/>
              </w:rPr>
              <w:t>Other drug use</w:t>
            </w:r>
          </w:p>
        </w:tc>
        <w:tc>
          <w:tcPr>
            <w:tcW w:w="536" w:type="dxa"/>
            <w:tcBorders>
              <w:top w:val="nil"/>
              <w:left w:val="nil"/>
              <w:bottom w:val="nil"/>
              <w:right w:val="nil"/>
            </w:tcBorders>
            <w:shd w:val="clear" w:color="auto" w:fill="auto"/>
            <w:noWrap/>
            <w:vAlign w:val="center"/>
          </w:tcPr>
          <w:p w14:paraId="77909904" w14:textId="77777777" w:rsidR="008C60C5" w:rsidRPr="00D76D7F" w:rsidRDefault="008C60C5" w:rsidP="008C60C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79" w:type="dxa"/>
            <w:tcBorders>
              <w:top w:val="nil"/>
              <w:left w:val="nil"/>
              <w:bottom w:val="nil"/>
              <w:right w:val="nil"/>
            </w:tcBorders>
            <w:shd w:val="clear" w:color="auto" w:fill="auto"/>
            <w:noWrap/>
            <w:vAlign w:val="center"/>
          </w:tcPr>
          <w:p w14:paraId="014B37F3" w14:textId="77777777" w:rsidR="008C60C5" w:rsidRPr="00D76D7F" w:rsidRDefault="008C60C5" w:rsidP="008C60C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auto"/>
            </w:tcBorders>
            <w:shd w:val="clear" w:color="auto" w:fill="auto"/>
            <w:noWrap/>
            <w:vAlign w:val="center"/>
          </w:tcPr>
          <w:p w14:paraId="3DAE24BE" w14:textId="77777777" w:rsidR="008C60C5" w:rsidRPr="00D76D7F" w:rsidRDefault="008C60C5" w:rsidP="008C60C5">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36" w:type="dxa"/>
            <w:tcBorders>
              <w:top w:val="nil"/>
              <w:left w:val="single" w:sz="4" w:space="0" w:color="auto"/>
              <w:bottom w:val="nil"/>
              <w:right w:val="nil"/>
            </w:tcBorders>
            <w:shd w:val="clear" w:color="auto" w:fill="auto"/>
            <w:noWrap/>
            <w:vAlign w:val="center"/>
          </w:tcPr>
          <w:p w14:paraId="5CC46118"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621" w:type="dxa"/>
            <w:tcBorders>
              <w:top w:val="nil"/>
              <w:left w:val="nil"/>
              <w:bottom w:val="nil"/>
              <w:right w:val="nil"/>
            </w:tcBorders>
            <w:shd w:val="clear" w:color="auto" w:fill="auto"/>
            <w:noWrap/>
            <w:vAlign w:val="center"/>
          </w:tcPr>
          <w:p w14:paraId="74CDB360"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auto"/>
            <w:noWrap/>
            <w:vAlign w:val="center"/>
          </w:tcPr>
          <w:p w14:paraId="12676C07"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shd w:val="clear" w:color="auto" w:fill="auto"/>
            <w:vAlign w:val="center"/>
          </w:tcPr>
          <w:p w14:paraId="24A80FA7"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shd w:val="clear" w:color="auto" w:fill="auto"/>
            <w:vAlign w:val="center"/>
          </w:tcPr>
          <w:p w14:paraId="5E6D3B9A"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auto"/>
            <w:vAlign w:val="center"/>
          </w:tcPr>
          <w:p w14:paraId="1F947D28"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shd w:val="clear" w:color="auto" w:fill="auto"/>
            <w:vAlign w:val="center"/>
          </w:tcPr>
          <w:p w14:paraId="1E9224D3"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6" w:type="dxa"/>
            <w:tcBorders>
              <w:top w:val="nil"/>
              <w:left w:val="nil"/>
              <w:bottom w:val="nil"/>
              <w:right w:val="nil"/>
            </w:tcBorders>
            <w:shd w:val="clear" w:color="auto" w:fill="auto"/>
            <w:vAlign w:val="center"/>
          </w:tcPr>
          <w:p w14:paraId="679B7C74"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shd w:val="clear" w:color="auto" w:fill="auto"/>
            <w:vAlign w:val="center"/>
          </w:tcPr>
          <w:p w14:paraId="53026B1F"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D76D7F" w14:paraId="0F07C18F"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54085EAB" w14:textId="77777777" w:rsidR="008C60C5" w:rsidRPr="00D76D7F" w:rsidRDefault="008C60C5" w:rsidP="008C60C5">
            <w:pPr>
              <w:spacing w:before="20" w:after="20"/>
              <w:ind w:left="34"/>
              <w:rPr>
                <w:rFonts w:eastAsiaTheme="minorEastAsia"/>
                <w:b w:val="0"/>
                <w:sz w:val="18"/>
                <w:szCs w:val="18"/>
                <w:lang w:eastAsia="en-US"/>
              </w:rPr>
            </w:pPr>
            <w:r w:rsidRPr="00D76D7F">
              <w:rPr>
                <w:rFonts w:eastAsiaTheme="minorEastAsia"/>
                <w:b w:val="0"/>
                <w:sz w:val="18"/>
                <w:szCs w:val="18"/>
                <w:lang w:eastAsia="en-US"/>
              </w:rPr>
              <w:t>Yes</w:t>
            </w:r>
          </w:p>
        </w:tc>
        <w:tc>
          <w:tcPr>
            <w:tcW w:w="536" w:type="dxa"/>
            <w:tcBorders>
              <w:top w:val="nil"/>
              <w:left w:val="nil"/>
              <w:bottom w:val="nil"/>
              <w:right w:val="nil"/>
            </w:tcBorders>
            <w:shd w:val="clear" w:color="auto" w:fill="auto"/>
            <w:noWrap/>
            <w:vAlign w:val="center"/>
          </w:tcPr>
          <w:p w14:paraId="6024AA99"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41</w:t>
            </w:r>
          </w:p>
        </w:tc>
        <w:tc>
          <w:tcPr>
            <w:tcW w:w="579" w:type="dxa"/>
            <w:tcBorders>
              <w:top w:val="nil"/>
              <w:left w:val="nil"/>
              <w:bottom w:val="nil"/>
              <w:right w:val="nil"/>
            </w:tcBorders>
            <w:shd w:val="clear" w:color="auto" w:fill="auto"/>
            <w:noWrap/>
            <w:vAlign w:val="center"/>
          </w:tcPr>
          <w:p w14:paraId="79B19FAC"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13.3</w:t>
            </w:r>
          </w:p>
        </w:tc>
        <w:tc>
          <w:tcPr>
            <w:tcW w:w="1146" w:type="dxa"/>
            <w:tcBorders>
              <w:top w:val="nil"/>
              <w:left w:val="nil"/>
              <w:bottom w:val="nil"/>
              <w:right w:val="single" w:sz="4" w:space="0" w:color="auto"/>
            </w:tcBorders>
            <w:shd w:val="clear" w:color="auto" w:fill="auto"/>
            <w:noWrap/>
            <w:vAlign w:val="center"/>
          </w:tcPr>
          <w:p w14:paraId="2E477F7F"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(10.2, 16.5)</w:t>
            </w:r>
          </w:p>
        </w:tc>
        <w:tc>
          <w:tcPr>
            <w:tcW w:w="536" w:type="dxa"/>
            <w:tcBorders>
              <w:top w:val="nil"/>
              <w:left w:val="single" w:sz="4" w:space="0" w:color="auto"/>
              <w:bottom w:val="nil"/>
              <w:right w:val="nil"/>
            </w:tcBorders>
            <w:shd w:val="clear" w:color="auto" w:fill="auto"/>
            <w:noWrap/>
            <w:vAlign w:val="center"/>
          </w:tcPr>
          <w:p w14:paraId="07F30847"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w:t>
            </w:r>
          </w:p>
        </w:tc>
        <w:tc>
          <w:tcPr>
            <w:tcW w:w="621" w:type="dxa"/>
            <w:tcBorders>
              <w:top w:val="nil"/>
              <w:left w:val="nil"/>
              <w:bottom w:val="nil"/>
              <w:right w:val="nil"/>
            </w:tcBorders>
            <w:shd w:val="clear" w:color="auto" w:fill="auto"/>
            <w:noWrap/>
            <w:vAlign w:val="center"/>
          </w:tcPr>
          <w:p w14:paraId="119136CE"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8.7</w:t>
            </w:r>
          </w:p>
        </w:tc>
        <w:tc>
          <w:tcPr>
            <w:tcW w:w="1146" w:type="dxa"/>
            <w:tcBorders>
              <w:top w:val="nil"/>
              <w:left w:val="nil"/>
              <w:bottom w:val="nil"/>
              <w:right w:val="single" w:sz="4" w:space="0" w:color="000000"/>
            </w:tcBorders>
            <w:shd w:val="clear" w:color="auto" w:fill="auto"/>
            <w:noWrap/>
            <w:vAlign w:val="center"/>
          </w:tcPr>
          <w:p w14:paraId="0AF03A5B"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(5.4, 12.0)</w:t>
            </w:r>
          </w:p>
        </w:tc>
        <w:tc>
          <w:tcPr>
            <w:tcW w:w="536" w:type="dxa"/>
            <w:tcBorders>
              <w:top w:val="nil"/>
              <w:left w:val="single" w:sz="4" w:space="0" w:color="000000"/>
              <w:bottom w:val="nil"/>
              <w:right w:val="nil"/>
            </w:tcBorders>
            <w:shd w:val="clear" w:color="auto" w:fill="auto"/>
            <w:vAlign w:val="center"/>
          </w:tcPr>
          <w:p w14:paraId="3CFB6D68"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w:t>
            </w:r>
          </w:p>
        </w:tc>
        <w:tc>
          <w:tcPr>
            <w:tcW w:w="567" w:type="dxa"/>
            <w:tcBorders>
              <w:top w:val="nil"/>
              <w:left w:val="nil"/>
              <w:bottom w:val="nil"/>
              <w:right w:val="nil"/>
            </w:tcBorders>
            <w:shd w:val="clear" w:color="auto" w:fill="auto"/>
            <w:vAlign w:val="center"/>
          </w:tcPr>
          <w:p w14:paraId="14A0F90A"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9.7</w:t>
            </w:r>
          </w:p>
        </w:tc>
        <w:tc>
          <w:tcPr>
            <w:tcW w:w="1146" w:type="dxa"/>
            <w:tcBorders>
              <w:top w:val="nil"/>
              <w:left w:val="nil"/>
              <w:bottom w:val="nil"/>
              <w:right w:val="single" w:sz="4" w:space="0" w:color="000000"/>
            </w:tcBorders>
            <w:shd w:val="clear" w:color="auto" w:fill="auto"/>
            <w:vAlign w:val="center"/>
          </w:tcPr>
          <w:p w14:paraId="7E7EA854"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(6.0, 13.4)</w:t>
            </w:r>
          </w:p>
        </w:tc>
        <w:tc>
          <w:tcPr>
            <w:tcW w:w="536" w:type="dxa"/>
            <w:tcBorders>
              <w:top w:val="nil"/>
              <w:left w:val="single" w:sz="4" w:space="0" w:color="000000"/>
              <w:bottom w:val="nil"/>
              <w:right w:val="nil"/>
            </w:tcBorders>
            <w:shd w:val="clear" w:color="auto" w:fill="auto"/>
            <w:vAlign w:val="center"/>
          </w:tcPr>
          <w:p w14:paraId="5C0CAB74"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w:t>
            </w:r>
          </w:p>
        </w:tc>
        <w:tc>
          <w:tcPr>
            <w:tcW w:w="576" w:type="dxa"/>
            <w:tcBorders>
              <w:top w:val="nil"/>
              <w:left w:val="nil"/>
              <w:bottom w:val="nil"/>
              <w:right w:val="nil"/>
            </w:tcBorders>
            <w:shd w:val="clear" w:color="auto" w:fill="auto"/>
            <w:vAlign w:val="center"/>
          </w:tcPr>
          <w:p w14:paraId="6D1A749A"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9.5</w:t>
            </w:r>
          </w:p>
        </w:tc>
        <w:tc>
          <w:tcPr>
            <w:tcW w:w="1146" w:type="dxa"/>
            <w:tcBorders>
              <w:top w:val="nil"/>
              <w:left w:val="nil"/>
              <w:bottom w:val="nil"/>
              <w:right w:val="nil"/>
            </w:tcBorders>
            <w:shd w:val="clear" w:color="auto" w:fill="auto"/>
            <w:vAlign w:val="center"/>
          </w:tcPr>
          <w:p w14:paraId="2AF834A1"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(5.1, 14.0)</w:t>
            </w:r>
          </w:p>
        </w:tc>
      </w:tr>
      <w:tr w:rsidR="009118DA" w:rsidRPr="00D76D7F" w14:paraId="41A54278"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37993FD9" w14:textId="77777777" w:rsidR="008C60C5" w:rsidRPr="00D76D7F" w:rsidRDefault="008C60C5" w:rsidP="008C60C5">
            <w:pPr>
              <w:spacing w:before="20" w:after="20"/>
              <w:ind w:left="34"/>
              <w:rPr>
                <w:rFonts w:eastAsiaTheme="minorEastAsia"/>
                <w:b w:val="0"/>
                <w:sz w:val="18"/>
                <w:szCs w:val="18"/>
                <w:lang w:eastAsia="en-US"/>
              </w:rPr>
            </w:pPr>
            <w:r w:rsidRPr="00D76D7F">
              <w:rPr>
                <w:rFonts w:eastAsiaTheme="minorEastAsia"/>
                <w:b w:val="0"/>
                <w:sz w:val="18"/>
                <w:szCs w:val="18"/>
                <w:lang w:eastAsia="en-US"/>
              </w:rPr>
              <w:t>No</w:t>
            </w:r>
          </w:p>
        </w:tc>
        <w:tc>
          <w:tcPr>
            <w:tcW w:w="536" w:type="dxa"/>
            <w:tcBorders>
              <w:top w:val="nil"/>
              <w:left w:val="nil"/>
              <w:bottom w:val="nil"/>
              <w:right w:val="nil"/>
            </w:tcBorders>
            <w:shd w:val="clear" w:color="auto" w:fill="auto"/>
            <w:noWrap/>
            <w:vAlign w:val="center"/>
          </w:tcPr>
          <w:p w14:paraId="0D334AD1"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268</w:t>
            </w:r>
          </w:p>
        </w:tc>
        <w:tc>
          <w:tcPr>
            <w:tcW w:w="579" w:type="dxa"/>
            <w:tcBorders>
              <w:top w:val="nil"/>
              <w:left w:val="nil"/>
              <w:bottom w:val="nil"/>
              <w:right w:val="nil"/>
            </w:tcBorders>
            <w:shd w:val="clear" w:color="auto" w:fill="auto"/>
            <w:noWrap/>
            <w:vAlign w:val="center"/>
          </w:tcPr>
          <w:p w14:paraId="03C9E562"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86.7</w:t>
            </w:r>
          </w:p>
        </w:tc>
        <w:tc>
          <w:tcPr>
            <w:tcW w:w="1146" w:type="dxa"/>
            <w:tcBorders>
              <w:top w:val="nil"/>
              <w:left w:val="nil"/>
              <w:bottom w:val="nil"/>
              <w:right w:val="single" w:sz="4" w:space="0" w:color="auto"/>
            </w:tcBorders>
            <w:shd w:val="clear" w:color="auto" w:fill="auto"/>
            <w:noWrap/>
            <w:vAlign w:val="center"/>
          </w:tcPr>
          <w:p w14:paraId="73718F94"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(83.5, 89.8)</w:t>
            </w:r>
          </w:p>
        </w:tc>
        <w:tc>
          <w:tcPr>
            <w:tcW w:w="536" w:type="dxa"/>
            <w:tcBorders>
              <w:top w:val="nil"/>
              <w:left w:val="single" w:sz="4" w:space="0" w:color="auto"/>
              <w:bottom w:val="nil"/>
              <w:right w:val="nil"/>
            </w:tcBorders>
            <w:shd w:val="clear" w:color="auto" w:fill="auto"/>
            <w:noWrap/>
            <w:vAlign w:val="center"/>
          </w:tcPr>
          <w:p w14:paraId="669E1CB2"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169</w:t>
            </w:r>
          </w:p>
        </w:tc>
        <w:tc>
          <w:tcPr>
            <w:tcW w:w="621" w:type="dxa"/>
            <w:tcBorders>
              <w:top w:val="nil"/>
              <w:left w:val="nil"/>
              <w:bottom w:val="nil"/>
              <w:right w:val="nil"/>
            </w:tcBorders>
            <w:shd w:val="clear" w:color="auto" w:fill="auto"/>
            <w:noWrap/>
            <w:vAlign w:val="center"/>
          </w:tcPr>
          <w:p w14:paraId="5ABFC349"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91.3</w:t>
            </w:r>
          </w:p>
        </w:tc>
        <w:tc>
          <w:tcPr>
            <w:tcW w:w="1146" w:type="dxa"/>
            <w:tcBorders>
              <w:top w:val="nil"/>
              <w:left w:val="nil"/>
              <w:bottom w:val="nil"/>
              <w:right w:val="single" w:sz="4" w:space="0" w:color="000000"/>
            </w:tcBorders>
            <w:shd w:val="clear" w:color="auto" w:fill="auto"/>
            <w:noWrap/>
            <w:vAlign w:val="center"/>
          </w:tcPr>
          <w:p w14:paraId="09B3B392"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(88, 94.6)</w:t>
            </w:r>
          </w:p>
        </w:tc>
        <w:tc>
          <w:tcPr>
            <w:tcW w:w="536" w:type="dxa"/>
            <w:tcBorders>
              <w:top w:val="nil"/>
              <w:left w:val="single" w:sz="4" w:space="0" w:color="000000"/>
              <w:bottom w:val="nil"/>
              <w:right w:val="nil"/>
            </w:tcBorders>
            <w:shd w:val="clear" w:color="auto" w:fill="auto"/>
            <w:vAlign w:val="center"/>
          </w:tcPr>
          <w:p w14:paraId="4DFC98AB"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135</w:t>
            </w:r>
          </w:p>
        </w:tc>
        <w:tc>
          <w:tcPr>
            <w:tcW w:w="567" w:type="dxa"/>
            <w:tcBorders>
              <w:top w:val="nil"/>
              <w:left w:val="nil"/>
              <w:bottom w:val="nil"/>
              <w:right w:val="nil"/>
            </w:tcBorders>
            <w:shd w:val="clear" w:color="auto" w:fill="auto"/>
            <w:vAlign w:val="center"/>
          </w:tcPr>
          <w:p w14:paraId="6E79AD89"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90.3</w:t>
            </w:r>
          </w:p>
        </w:tc>
        <w:tc>
          <w:tcPr>
            <w:tcW w:w="1146" w:type="dxa"/>
            <w:tcBorders>
              <w:top w:val="nil"/>
              <w:left w:val="nil"/>
              <w:bottom w:val="nil"/>
              <w:right w:val="single" w:sz="4" w:space="0" w:color="000000"/>
            </w:tcBorders>
            <w:shd w:val="clear" w:color="auto" w:fill="auto"/>
            <w:vAlign w:val="center"/>
          </w:tcPr>
          <w:p w14:paraId="4D0363AB"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(86.6, 94.0)</w:t>
            </w:r>
          </w:p>
        </w:tc>
        <w:tc>
          <w:tcPr>
            <w:tcW w:w="536" w:type="dxa"/>
            <w:tcBorders>
              <w:top w:val="nil"/>
              <w:left w:val="single" w:sz="4" w:space="0" w:color="000000"/>
              <w:bottom w:val="nil"/>
              <w:right w:val="nil"/>
            </w:tcBorders>
            <w:shd w:val="clear" w:color="auto" w:fill="auto"/>
            <w:vAlign w:val="center"/>
          </w:tcPr>
          <w:p w14:paraId="16137D8D"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119</w:t>
            </w:r>
          </w:p>
        </w:tc>
        <w:tc>
          <w:tcPr>
            <w:tcW w:w="576" w:type="dxa"/>
            <w:tcBorders>
              <w:top w:val="nil"/>
              <w:left w:val="nil"/>
              <w:bottom w:val="nil"/>
              <w:right w:val="nil"/>
            </w:tcBorders>
            <w:shd w:val="clear" w:color="auto" w:fill="auto"/>
            <w:vAlign w:val="center"/>
          </w:tcPr>
          <w:p w14:paraId="04C44951"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90.5</w:t>
            </w:r>
          </w:p>
        </w:tc>
        <w:tc>
          <w:tcPr>
            <w:tcW w:w="1146" w:type="dxa"/>
            <w:tcBorders>
              <w:top w:val="nil"/>
              <w:left w:val="nil"/>
              <w:bottom w:val="nil"/>
              <w:right w:val="nil"/>
            </w:tcBorders>
            <w:shd w:val="clear" w:color="auto" w:fill="auto"/>
            <w:vAlign w:val="center"/>
          </w:tcPr>
          <w:p w14:paraId="793D59A7"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(86.0, 94.9)</w:t>
            </w:r>
          </w:p>
        </w:tc>
      </w:tr>
      <w:tr w:rsidR="009118DA" w:rsidRPr="00D76D7F" w14:paraId="5E8BAD56"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7BF3D786" w14:textId="77777777" w:rsidR="008C60C5" w:rsidRPr="00D76D7F" w:rsidRDefault="008C60C5" w:rsidP="008C60C5">
            <w:pPr>
              <w:spacing w:before="20" w:after="60"/>
              <w:ind w:left="34"/>
              <w:rPr>
                <w:rFonts w:eastAsiaTheme="minorEastAsia"/>
                <w:b w:val="0"/>
                <w:sz w:val="18"/>
                <w:szCs w:val="18"/>
                <w:lang w:eastAsia="en-US"/>
              </w:rPr>
            </w:pPr>
            <w:r w:rsidRPr="00D76D7F">
              <w:rPr>
                <w:rFonts w:eastAsiaTheme="minorEastAsia"/>
                <w:b w:val="0"/>
                <w:sz w:val="18"/>
                <w:szCs w:val="18"/>
                <w:lang w:eastAsia="en-US"/>
              </w:rPr>
              <w:t>Cannabis</w:t>
            </w:r>
          </w:p>
        </w:tc>
        <w:tc>
          <w:tcPr>
            <w:tcW w:w="536" w:type="dxa"/>
            <w:tcBorders>
              <w:top w:val="nil"/>
              <w:left w:val="nil"/>
              <w:bottom w:val="nil"/>
              <w:right w:val="nil"/>
            </w:tcBorders>
            <w:shd w:val="clear" w:color="auto" w:fill="auto"/>
            <w:noWrap/>
            <w:vAlign w:val="center"/>
          </w:tcPr>
          <w:p w14:paraId="54A01907"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37</w:t>
            </w:r>
          </w:p>
        </w:tc>
        <w:tc>
          <w:tcPr>
            <w:tcW w:w="579" w:type="dxa"/>
            <w:tcBorders>
              <w:top w:val="nil"/>
              <w:left w:val="nil"/>
              <w:bottom w:val="nil"/>
              <w:right w:val="nil"/>
            </w:tcBorders>
            <w:shd w:val="clear" w:color="auto" w:fill="auto"/>
            <w:noWrap/>
            <w:vAlign w:val="center"/>
          </w:tcPr>
          <w:p w14:paraId="1CED0A5F"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12.0</w:t>
            </w:r>
          </w:p>
        </w:tc>
        <w:tc>
          <w:tcPr>
            <w:tcW w:w="1146" w:type="dxa"/>
            <w:tcBorders>
              <w:top w:val="nil"/>
              <w:left w:val="nil"/>
              <w:bottom w:val="nil"/>
              <w:right w:val="single" w:sz="4" w:space="0" w:color="auto"/>
            </w:tcBorders>
            <w:shd w:val="clear" w:color="auto" w:fill="auto"/>
            <w:noWrap/>
            <w:vAlign w:val="center"/>
          </w:tcPr>
          <w:p w14:paraId="4CB39668"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(9.0, 15.1)</w:t>
            </w:r>
          </w:p>
        </w:tc>
        <w:tc>
          <w:tcPr>
            <w:tcW w:w="536" w:type="dxa"/>
            <w:tcBorders>
              <w:top w:val="nil"/>
              <w:left w:val="single" w:sz="4" w:space="0" w:color="auto"/>
              <w:bottom w:val="nil"/>
              <w:right w:val="nil"/>
            </w:tcBorders>
            <w:shd w:val="clear" w:color="auto" w:fill="auto"/>
            <w:noWrap/>
            <w:vAlign w:val="center"/>
          </w:tcPr>
          <w:p w14:paraId="209E00F4"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w:t>
            </w:r>
          </w:p>
        </w:tc>
        <w:tc>
          <w:tcPr>
            <w:tcW w:w="621" w:type="dxa"/>
            <w:tcBorders>
              <w:top w:val="nil"/>
              <w:left w:val="nil"/>
              <w:bottom w:val="nil"/>
              <w:right w:val="nil"/>
            </w:tcBorders>
            <w:shd w:val="clear" w:color="auto" w:fill="auto"/>
            <w:noWrap/>
            <w:vAlign w:val="center"/>
          </w:tcPr>
          <w:p w14:paraId="68975D11"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7.4</w:t>
            </w:r>
          </w:p>
        </w:tc>
        <w:tc>
          <w:tcPr>
            <w:tcW w:w="1146" w:type="dxa"/>
            <w:tcBorders>
              <w:top w:val="nil"/>
              <w:left w:val="nil"/>
              <w:bottom w:val="nil"/>
              <w:right w:val="single" w:sz="4" w:space="0" w:color="000000"/>
            </w:tcBorders>
            <w:shd w:val="clear" w:color="auto" w:fill="auto"/>
            <w:noWrap/>
            <w:vAlign w:val="center"/>
          </w:tcPr>
          <w:p w14:paraId="11DA3982"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(4.2, 10.5)</w:t>
            </w:r>
          </w:p>
        </w:tc>
        <w:tc>
          <w:tcPr>
            <w:tcW w:w="536" w:type="dxa"/>
            <w:tcBorders>
              <w:top w:val="nil"/>
              <w:left w:val="single" w:sz="4" w:space="0" w:color="000000"/>
              <w:bottom w:val="nil"/>
              <w:right w:val="nil"/>
            </w:tcBorders>
            <w:shd w:val="clear" w:color="auto" w:fill="auto"/>
            <w:vAlign w:val="center"/>
          </w:tcPr>
          <w:p w14:paraId="7BDCEC04"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w:t>
            </w:r>
          </w:p>
        </w:tc>
        <w:tc>
          <w:tcPr>
            <w:tcW w:w="567" w:type="dxa"/>
            <w:tcBorders>
              <w:top w:val="nil"/>
              <w:left w:val="nil"/>
              <w:bottom w:val="nil"/>
              <w:right w:val="nil"/>
            </w:tcBorders>
            <w:shd w:val="clear" w:color="auto" w:fill="auto"/>
            <w:vAlign w:val="center"/>
          </w:tcPr>
          <w:p w14:paraId="655753B5"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7.7</w:t>
            </w:r>
          </w:p>
        </w:tc>
        <w:tc>
          <w:tcPr>
            <w:tcW w:w="1146" w:type="dxa"/>
            <w:tcBorders>
              <w:top w:val="nil"/>
              <w:left w:val="nil"/>
              <w:bottom w:val="nil"/>
              <w:right w:val="single" w:sz="4" w:space="0" w:color="000000"/>
            </w:tcBorders>
            <w:shd w:val="clear" w:color="auto" w:fill="auto"/>
            <w:vAlign w:val="center"/>
          </w:tcPr>
          <w:p w14:paraId="62332324"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(4.2, 11.2)</w:t>
            </w:r>
          </w:p>
        </w:tc>
        <w:tc>
          <w:tcPr>
            <w:tcW w:w="536" w:type="dxa"/>
            <w:tcBorders>
              <w:top w:val="nil"/>
              <w:left w:val="single" w:sz="4" w:space="0" w:color="000000"/>
              <w:bottom w:val="nil"/>
              <w:right w:val="nil"/>
            </w:tcBorders>
            <w:shd w:val="clear" w:color="auto" w:fill="auto"/>
            <w:vAlign w:val="center"/>
          </w:tcPr>
          <w:p w14:paraId="5ED7F47E"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w:t>
            </w:r>
          </w:p>
        </w:tc>
        <w:tc>
          <w:tcPr>
            <w:tcW w:w="576" w:type="dxa"/>
            <w:tcBorders>
              <w:top w:val="nil"/>
              <w:left w:val="nil"/>
              <w:bottom w:val="nil"/>
              <w:right w:val="nil"/>
            </w:tcBorders>
            <w:shd w:val="clear" w:color="auto" w:fill="auto"/>
            <w:vAlign w:val="center"/>
          </w:tcPr>
          <w:p w14:paraId="1DCB6C81"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9.5</w:t>
            </w:r>
          </w:p>
        </w:tc>
        <w:tc>
          <w:tcPr>
            <w:tcW w:w="1146" w:type="dxa"/>
            <w:tcBorders>
              <w:top w:val="nil"/>
              <w:left w:val="nil"/>
              <w:bottom w:val="nil"/>
              <w:right w:val="nil"/>
            </w:tcBorders>
            <w:shd w:val="clear" w:color="auto" w:fill="auto"/>
            <w:vAlign w:val="center"/>
          </w:tcPr>
          <w:p w14:paraId="200E4577"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(5.1, 14.0)</w:t>
            </w:r>
          </w:p>
        </w:tc>
      </w:tr>
      <w:tr w:rsidR="009118DA" w:rsidRPr="00D76D7F" w14:paraId="71F165AE"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center"/>
          </w:tcPr>
          <w:p w14:paraId="2F85A48B" w14:textId="77777777" w:rsidR="008C60C5" w:rsidRPr="00D76D7F" w:rsidRDefault="008C60C5" w:rsidP="00625936">
            <w:pPr>
              <w:keepNext/>
              <w:tabs>
                <w:tab w:val="left" w:pos="176"/>
              </w:tabs>
              <w:spacing w:before="20" w:after="20"/>
              <w:rPr>
                <w:rFonts w:eastAsiaTheme="minorEastAsia"/>
                <w:sz w:val="18"/>
                <w:szCs w:val="18"/>
                <w:lang w:eastAsia="en-US"/>
              </w:rPr>
            </w:pPr>
            <w:r w:rsidRPr="00D76D7F">
              <w:rPr>
                <w:rFonts w:eastAsiaTheme="minorEastAsia"/>
                <w:sz w:val="18"/>
                <w:szCs w:val="18"/>
                <w:lang w:eastAsia="en-US"/>
              </w:rPr>
              <w:t>Tobacco use</w:t>
            </w:r>
          </w:p>
        </w:tc>
        <w:tc>
          <w:tcPr>
            <w:tcW w:w="536" w:type="dxa"/>
            <w:tcBorders>
              <w:top w:val="nil"/>
              <w:left w:val="nil"/>
              <w:bottom w:val="nil"/>
              <w:right w:val="nil"/>
            </w:tcBorders>
            <w:shd w:val="clear" w:color="auto" w:fill="auto"/>
            <w:noWrap/>
            <w:vAlign w:val="center"/>
          </w:tcPr>
          <w:p w14:paraId="35063C58"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9" w:type="dxa"/>
            <w:tcBorders>
              <w:top w:val="nil"/>
              <w:left w:val="nil"/>
              <w:bottom w:val="nil"/>
              <w:right w:val="nil"/>
            </w:tcBorders>
            <w:shd w:val="clear" w:color="auto" w:fill="auto"/>
            <w:noWrap/>
            <w:vAlign w:val="center"/>
          </w:tcPr>
          <w:p w14:paraId="4B45B942"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auto"/>
            </w:tcBorders>
            <w:shd w:val="clear" w:color="auto" w:fill="auto"/>
            <w:noWrap/>
            <w:vAlign w:val="center"/>
          </w:tcPr>
          <w:p w14:paraId="4CE10925"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auto"/>
              <w:bottom w:val="nil"/>
              <w:right w:val="nil"/>
            </w:tcBorders>
            <w:shd w:val="clear" w:color="auto" w:fill="auto"/>
            <w:noWrap/>
            <w:vAlign w:val="center"/>
          </w:tcPr>
          <w:p w14:paraId="7028A70E"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621" w:type="dxa"/>
            <w:tcBorders>
              <w:top w:val="nil"/>
              <w:left w:val="nil"/>
              <w:bottom w:val="nil"/>
              <w:right w:val="nil"/>
            </w:tcBorders>
            <w:shd w:val="clear" w:color="auto" w:fill="auto"/>
            <w:noWrap/>
            <w:vAlign w:val="center"/>
          </w:tcPr>
          <w:p w14:paraId="629DC363"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auto"/>
            <w:noWrap/>
            <w:vAlign w:val="center"/>
          </w:tcPr>
          <w:p w14:paraId="595D9E2E"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shd w:val="clear" w:color="auto" w:fill="auto"/>
            <w:vAlign w:val="center"/>
          </w:tcPr>
          <w:p w14:paraId="778A3628"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shd w:val="clear" w:color="auto" w:fill="auto"/>
            <w:vAlign w:val="center"/>
          </w:tcPr>
          <w:p w14:paraId="0C4C8882"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auto"/>
            <w:vAlign w:val="center"/>
          </w:tcPr>
          <w:p w14:paraId="6F1D8CF6"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shd w:val="clear" w:color="auto" w:fill="auto"/>
            <w:vAlign w:val="center"/>
          </w:tcPr>
          <w:p w14:paraId="5BB599E0"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6" w:type="dxa"/>
            <w:tcBorders>
              <w:top w:val="nil"/>
              <w:left w:val="nil"/>
              <w:bottom w:val="nil"/>
              <w:right w:val="nil"/>
            </w:tcBorders>
            <w:shd w:val="clear" w:color="auto" w:fill="auto"/>
            <w:vAlign w:val="center"/>
          </w:tcPr>
          <w:p w14:paraId="60DCFE6A"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shd w:val="clear" w:color="auto" w:fill="auto"/>
            <w:vAlign w:val="center"/>
          </w:tcPr>
          <w:p w14:paraId="191912C2"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D76D7F" w14:paraId="1E8E2E5E"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54D6AFCF" w14:textId="77777777" w:rsidR="008C60C5" w:rsidRPr="00D76D7F" w:rsidRDefault="008C60C5" w:rsidP="00625936">
            <w:pPr>
              <w:keepNext/>
              <w:spacing w:before="20" w:after="20"/>
              <w:ind w:left="34"/>
              <w:rPr>
                <w:rFonts w:eastAsiaTheme="minorEastAsia"/>
                <w:b w:val="0"/>
                <w:sz w:val="18"/>
                <w:szCs w:val="18"/>
                <w:lang w:eastAsia="en-US"/>
              </w:rPr>
            </w:pPr>
            <w:r w:rsidRPr="00D76D7F">
              <w:rPr>
                <w:rFonts w:eastAsiaTheme="minorEastAsia"/>
                <w:b w:val="0"/>
                <w:sz w:val="18"/>
                <w:szCs w:val="18"/>
                <w:lang w:eastAsia="en-US"/>
              </w:rPr>
              <w:t>Ever smoked</w:t>
            </w:r>
          </w:p>
        </w:tc>
        <w:tc>
          <w:tcPr>
            <w:tcW w:w="536" w:type="dxa"/>
            <w:tcBorders>
              <w:top w:val="nil"/>
              <w:left w:val="nil"/>
              <w:bottom w:val="nil"/>
              <w:right w:val="nil"/>
            </w:tcBorders>
            <w:shd w:val="clear" w:color="auto" w:fill="auto"/>
            <w:noWrap/>
            <w:vAlign w:val="center"/>
          </w:tcPr>
          <w:p w14:paraId="4B236BBE"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164</w:t>
            </w:r>
          </w:p>
        </w:tc>
        <w:tc>
          <w:tcPr>
            <w:tcW w:w="579" w:type="dxa"/>
            <w:tcBorders>
              <w:top w:val="nil"/>
              <w:left w:val="nil"/>
              <w:bottom w:val="nil"/>
              <w:right w:val="nil"/>
            </w:tcBorders>
            <w:shd w:val="clear" w:color="auto" w:fill="auto"/>
            <w:noWrap/>
            <w:vAlign w:val="center"/>
          </w:tcPr>
          <w:p w14:paraId="28E9462B"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53.0</w:t>
            </w:r>
          </w:p>
        </w:tc>
        <w:tc>
          <w:tcPr>
            <w:tcW w:w="1146" w:type="dxa"/>
            <w:tcBorders>
              <w:top w:val="nil"/>
              <w:left w:val="nil"/>
              <w:bottom w:val="nil"/>
              <w:right w:val="single" w:sz="4" w:space="0" w:color="auto"/>
            </w:tcBorders>
            <w:shd w:val="clear" w:color="auto" w:fill="auto"/>
            <w:noWrap/>
            <w:vAlign w:val="center"/>
          </w:tcPr>
          <w:p w14:paraId="1835B9EA"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(49.0, 57.1)</w:t>
            </w:r>
          </w:p>
        </w:tc>
        <w:tc>
          <w:tcPr>
            <w:tcW w:w="536" w:type="dxa"/>
            <w:tcBorders>
              <w:top w:val="nil"/>
              <w:left w:val="single" w:sz="4" w:space="0" w:color="auto"/>
              <w:bottom w:val="nil"/>
              <w:right w:val="nil"/>
            </w:tcBorders>
            <w:shd w:val="clear" w:color="auto" w:fill="auto"/>
            <w:noWrap/>
            <w:vAlign w:val="center"/>
          </w:tcPr>
          <w:p w14:paraId="6029F4C3"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96</w:t>
            </w:r>
          </w:p>
        </w:tc>
        <w:tc>
          <w:tcPr>
            <w:tcW w:w="621" w:type="dxa"/>
            <w:tcBorders>
              <w:top w:val="nil"/>
              <w:left w:val="nil"/>
              <w:bottom w:val="nil"/>
              <w:right w:val="nil"/>
            </w:tcBorders>
            <w:shd w:val="clear" w:color="auto" w:fill="auto"/>
            <w:noWrap/>
            <w:vAlign w:val="center"/>
          </w:tcPr>
          <w:p w14:paraId="449FC3DE"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51.8</w:t>
            </w:r>
          </w:p>
        </w:tc>
        <w:tc>
          <w:tcPr>
            <w:tcW w:w="1146" w:type="dxa"/>
            <w:tcBorders>
              <w:top w:val="nil"/>
              <w:left w:val="nil"/>
              <w:bottom w:val="nil"/>
              <w:right w:val="single" w:sz="4" w:space="0" w:color="000000"/>
            </w:tcBorders>
            <w:shd w:val="clear" w:color="auto" w:fill="auto"/>
            <w:noWrap/>
            <w:vAlign w:val="center"/>
          </w:tcPr>
          <w:p w14:paraId="4029EC1F"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(46.2, 57.4)</w:t>
            </w:r>
          </w:p>
        </w:tc>
        <w:tc>
          <w:tcPr>
            <w:tcW w:w="536" w:type="dxa"/>
            <w:tcBorders>
              <w:top w:val="nil"/>
              <w:left w:val="single" w:sz="4" w:space="0" w:color="000000"/>
              <w:bottom w:val="nil"/>
              <w:right w:val="nil"/>
            </w:tcBorders>
            <w:shd w:val="clear" w:color="auto" w:fill="auto"/>
            <w:vAlign w:val="center"/>
          </w:tcPr>
          <w:p w14:paraId="23543E40"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79</w:t>
            </w:r>
          </w:p>
        </w:tc>
        <w:tc>
          <w:tcPr>
            <w:tcW w:w="567" w:type="dxa"/>
            <w:tcBorders>
              <w:top w:val="nil"/>
              <w:left w:val="nil"/>
              <w:bottom w:val="nil"/>
              <w:right w:val="nil"/>
            </w:tcBorders>
            <w:shd w:val="clear" w:color="auto" w:fill="auto"/>
            <w:vAlign w:val="center"/>
          </w:tcPr>
          <w:p w14:paraId="71E4E0AF"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52.7</w:t>
            </w:r>
          </w:p>
        </w:tc>
        <w:tc>
          <w:tcPr>
            <w:tcW w:w="1146" w:type="dxa"/>
            <w:tcBorders>
              <w:top w:val="nil"/>
              <w:left w:val="nil"/>
              <w:bottom w:val="nil"/>
              <w:right w:val="single" w:sz="4" w:space="0" w:color="auto"/>
            </w:tcBorders>
            <w:shd w:val="clear" w:color="auto" w:fill="auto"/>
            <w:vAlign w:val="center"/>
          </w:tcPr>
          <w:p w14:paraId="748C85B1"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(46.5, 58.8)</w:t>
            </w:r>
          </w:p>
        </w:tc>
        <w:tc>
          <w:tcPr>
            <w:tcW w:w="536" w:type="dxa"/>
            <w:tcBorders>
              <w:top w:val="nil"/>
              <w:left w:val="single" w:sz="4" w:space="0" w:color="auto"/>
              <w:bottom w:val="nil"/>
              <w:right w:val="nil"/>
            </w:tcBorders>
            <w:shd w:val="clear" w:color="auto" w:fill="auto"/>
            <w:vAlign w:val="center"/>
          </w:tcPr>
          <w:p w14:paraId="4DF1DBB3"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70</w:t>
            </w:r>
          </w:p>
        </w:tc>
        <w:tc>
          <w:tcPr>
            <w:tcW w:w="576" w:type="dxa"/>
            <w:tcBorders>
              <w:top w:val="nil"/>
              <w:left w:val="nil"/>
              <w:bottom w:val="nil"/>
              <w:right w:val="nil"/>
            </w:tcBorders>
            <w:shd w:val="clear" w:color="auto" w:fill="auto"/>
            <w:vAlign w:val="center"/>
          </w:tcPr>
          <w:p w14:paraId="52863A5E"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53.3</w:t>
            </w:r>
          </w:p>
        </w:tc>
        <w:tc>
          <w:tcPr>
            <w:tcW w:w="1146" w:type="dxa"/>
            <w:tcBorders>
              <w:top w:val="nil"/>
              <w:left w:val="nil"/>
              <w:bottom w:val="nil"/>
              <w:right w:val="nil"/>
            </w:tcBorders>
            <w:shd w:val="clear" w:color="auto" w:fill="auto"/>
            <w:vAlign w:val="center"/>
          </w:tcPr>
          <w:p w14:paraId="027A07E9"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(46.8, 59.7)</w:t>
            </w:r>
          </w:p>
        </w:tc>
      </w:tr>
      <w:tr w:rsidR="009118DA" w:rsidRPr="00D76D7F" w14:paraId="15D49F44"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4F9592E2" w14:textId="77777777" w:rsidR="008C60C5" w:rsidRPr="00D76D7F" w:rsidRDefault="008C60C5" w:rsidP="00625936">
            <w:pPr>
              <w:keepNext/>
              <w:spacing w:before="20" w:after="20"/>
              <w:ind w:left="34"/>
              <w:rPr>
                <w:rFonts w:eastAsiaTheme="minorEastAsia"/>
                <w:b w:val="0"/>
                <w:sz w:val="18"/>
                <w:szCs w:val="18"/>
                <w:lang w:eastAsia="en-US"/>
              </w:rPr>
            </w:pPr>
            <w:r w:rsidRPr="00D76D7F">
              <w:rPr>
                <w:rFonts w:eastAsiaTheme="minorEastAsia"/>
                <w:b w:val="0"/>
                <w:sz w:val="18"/>
                <w:szCs w:val="18"/>
                <w:lang w:eastAsia="en-US"/>
              </w:rPr>
              <w:t>Smoked more than 100 cigarettes in lifetime</w:t>
            </w:r>
          </w:p>
        </w:tc>
        <w:tc>
          <w:tcPr>
            <w:tcW w:w="536" w:type="dxa"/>
            <w:tcBorders>
              <w:top w:val="nil"/>
              <w:left w:val="nil"/>
              <w:bottom w:val="nil"/>
              <w:right w:val="nil"/>
            </w:tcBorders>
            <w:shd w:val="clear" w:color="auto" w:fill="auto"/>
            <w:noWrap/>
            <w:vAlign w:val="center"/>
          </w:tcPr>
          <w:p w14:paraId="3830C490"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115</w:t>
            </w:r>
          </w:p>
        </w:tc>
        <w:tc>
          <w:tcPr>
            <w:tcW w:w="579" w:type="dxa"/>
            <w:tcBorders>
              <w:top w:val="nil"/>
              <w:left w:val="nil"/>
              <w:bottom w:val="nil"/>
              <w:right w:val="nil"/>
            </w:tcBorders>
            <w:shd w:val="clear" w:color="auto" w:fill="auto"/>
            <w:noWrap/>
            <w:vAlign w:val="center"/>
          </w:tcPr>
          <w:p w14:paraId="41F1A7B2"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37.3</w:t>
            </w:r>
          </w:p>
        </w:tc>
        <w:tc>
          <w:tcPr>
            <w:tcW w:w="1146" w:type="dxa"/>
            <w:tcBorders>
              <w:top w:val="nil"/>
              <w:left w:val="nil"/>
              <w:bottom w:val="nil"/>
              <w:right w:val="single" w:sz="4" w:space="0" w:color="auto"/>
            </w:tcBorders>
            <w:shd w:val="clear" w:color="auto" w:fill="auto"/>
            <w:noWrap/>
            <w:vAlign w:val="center"/>
          </w:tcPr>
          <w:p w14:paraId="6EBB3A44"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(33.3, 41.3)</w:t>
            </w:r>
          </w:p>
        </w:tc>
        <w:tc>
          <w:tcPr>
            <w:tcW w:w="536" w:type="dxa"/>
            <w:tcBorders>
              <w:top w:val="nil"/>
              <w:left w:val="single" w:sz="4" w:space="0" w:color="auto"/>
              <w:bottom w:val="nil"/>
              <w:right w:val="nil"/>
            </w:tcBorders>
            <w:shd w:val="clear" w:color="auto" w:fill="auto"/>
            <w:noWrap/>
            <w:vAlign w:val="center"/>
          </w:tcPr>
          <w:p w14:paraId="1FB74468"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71</w:t>
            </w:r>
          </w:p>
        </w:tc>
        <w:tc>
          <w:tcPr>
            <w:tcW w:w="621" w:type="dxa"/>
            <w:tcBorders>
              <w:top w:val="nil"/>
              <w:left w:val="nil"/>
              <w:bottom w:val="nil"/>
              <w:right w:val="nil"/>
            </w:tcBorders>
            <w:shd w:val="clear" w:color="auto" w:fill="auto"/>
            <w:noWrap/>
            <w:vAlign w:val="center"/>
          </w:tcPr>
          <w:p w14:paraId="54C80D71"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38.1</w:t>
            </w:r>
          </w:p>
        </w:tc>
        <w:tc>
          <w:tcPr>
            <w:tcW w:w="1146" w:type="dxa"/>
            <w:tcBorders>
              <w:top w:val="nil"/>
              <w:left w:val="nil"/>
              <w:bottom w:val="nil"/>
              <w:right w:val="single" w:sz="4" w:space="0" w:color="000000"/>
            </w:tcBorders>
            <w:shd w:val="clear" w:color="auto" w:fill="auto"/>
            <w:noWrap/>
            <w:vAlign w:val="center"/>
          </w:tcPr>
          <w:p w14:paraId="19B882B7"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(32.7, 43.4)</w:t>
            </w:r>
          </w:p>
        </w:tc>
        <w:tc>
          <w:tcPr>
            <w:tcW w:w="536" w:type="dxa"/>
            <w:tcBorders>
              <w:top w:val="nil"/>
              <w:left w:val="single" w:sz="4" w:space="0" w:color="000000"/>
              <w:bottom w:val="nil"/>
              <w:right w:val="nil"/>
            </w:tcBorders>
            <w:shd w:val="clear" w:color="auto" w:fill="auto"/>
            <w:vAlign w:val="center"/>
          </w:tcPr>
          <w:p w14:paraId="567B7814"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58</w:t>
            </w:r>
          </w:p>
        </w:tc>
        <w:tc>
          <w:tcPr>
            <w:tcW w:w="567" w:type="dxa"/>
            <w:tcBorders>
              <w:top w:val="nil"/>
              <w:left w:val="nil"/>
              <w:bottom w:val="nil"/>
              <w:right w:val="nil"/>
            </w:tcBorders>
            <w:shd w:val="clear" w:color="auto" w:fill="auto"/>
            <w:vAlign w:val="center"/>
          </w:tcPr>
          <w:p w14:paraId="59BA69AF"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39.0</w:t>
            </w:r>
          </w:p>
        </w:tc>
        <w:tc>
          <w:tcPr>
            <w:tcW w:w="1146" w:type="dxa"/>
            <w:tcBorders>
              <w:top w:val="nil"/>
              <w:left w:val="nil"/>
              <w:bottom w:val="nil"/>
              <w:right w:val="single" w:sz="4" w:space="0" w:color="auto"/>
            </w:tcBorders>
            <w:shd w:val="clear" w:color="auto" w:fill="auto"/>
            <w:vAlign w:val="center"/>
          </w:tcPr>
          <w:p w14:paraId="5F755748"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(32.9, 45.1)</w:t>
            </w:r>
          </w:p>
        </w:tc>
        <w:tc>
          <w:tcPr>
            <w:tcW w:w="536" w:type="dxa"/>
            <w:tcBorders>
              <w:top w:val="nil"/>
              <w:left w:val="single" w:sz="4" w:space="0" w:color="auto"/>
              <w:bottom w:val="nil"/>
              <w:right w:val="nil"/>
            </w:tcBorders>
            <w:shd w:val="clear" w:color="auto" w:fill="auto"/>
            <w:vAlign w:val="center"/>
          </w:tcPr>
          <w:p w14:paraId="33A256E6"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49</w:t>
            </w:r>
          </w:p>
        </w:tc>
        <w:tc>
          <w:tcPr>
            <w:tcW w:w="576" w:type="dxa"/>
            <w:tcBorders>
              <w:top w:val="nil"/>
              <w:left w:val="nil"/>
              <w:bottom w:val="nil"/>
              <w:right w:val="nil"/>
            </w:tcBorders>
            <w:shd w:val="clear" w:color="auto" w:fill="auto"/>
            <w:vAlign w:val="center"/>
          </w:tcPr>
          <w:p w14:paraId="75EC850D"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36.7</w:t>
            </w:r>
          </w:p>
        </w:tc>
        <w:tc>
          <w:tcPr>
            <w:tcW w:w="1146" w:type="dxa"/>
            <w:tcBorders>
              <w:top w:val="nil"/>
              <w:left w:val="nil"/>
              <w:bottom w:val="nil"/>
              <w:right w:val="nil"/>
            </w:tcBorders>
            <w:shd w:val="clear" w:color="auto" w:fill="auto"/>
            <w:vAlign w:val="center"/>
          </w:tcPr>
          <w:p w14:paraId="0DB93937" w14:textId="77777777" w:rsidR="008C60C5" w:rsidRPr="00D76D7F" w:rsidRDefault="008C60C5" w:rsidP="00625936">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(30.5, 43.0)</w:t>
            </w:r>
          </w:p>
        </w:tc>
      </w:tr>
      <w:tr w:rsidR="009118DA" w:rsidRPr="00D76D7F" w14:paraId="0135B6F6"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single" w:sz="4" w:space="0" w:color="auto"/>
              <w:right w:val="nil"/>
            </w:tcBorders>
            <w:shd w:val="clear" w:color="auto" w:fill="auto"/>
          </w:tcPr>
          <w:p w14:paraId="18EEB498" w14:textId="77777777" w:rsidR="008C60C5" w:rsidRPr="00D76D7F" w:rsidRDefault="008C60C5" w:rsidP="008C60C5">
            <w:pPr>
              <w:spacing w:before="20" w:after="60"/>
              <w:ind w:left="34"/>
              <w:rPr>
                <w:rFonts w:eastAsiaTheme="minorEastAsia"/>
                <w:b w:val="0"/>
                <w:sz w:val="18"/>
                <w:szCs w:val="18"/>
                <w:lang w:eastAsia="en-US"/>
              </w:rPr>
            </w:pPr>
            <w:r w:rsidRPr="00D76D7F">
              <w:rPr>
                <w:rFonts w:eastAsiaTheme="minorEastAsia"/>
                <w:b w:val="0"/>
                <w:sz w:val="18"/>
                <w:szCs w:val="18"/>
                <w:lang w:eastAsia="en-US"/>
              </w:rPr>
              <w:t>Ever smoked daily</w:t>
            </w:r>
          </w:p>
        </w:tc>
        <w:tc>
          <w:tcPr>
            <w:tcW w:w="536" w:type="dxa"/>
            <w:tcBorders>
              <w:top w:val="nil"/>
              <w:left w:val="nil"/>
              <w:bottom w:val="single" w:sz="4" w:space="0" w:color="auto"/>
              <w:right w:val="nil"/>
            </w:tcBorders>
            <w:shd w:val="clear" w:color="auto" w:fill="auto"/>
            <w:noWrap/>
            <w:vAlign w:val="center"/>
          </w:tcPr>
          <w:p w14:paraId="1892EA3C"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105</w:t>
            </w:r>
          </w:p>
        </w:tc>
        <w:tc>
          <w:tcPr>
            <w:tcW w:w="579" w:type="dxa"/>
            <w:tcBorders>
              <w:top w:val="nil"/>
              <w:left w:val="nil"/>
              <w:bottom w:val="single" w:sz="4" w:space="0" w:color="auto"/>
              <w:right w:val="nil"/>
            </w:tcBorders>
            <w:shd w:val="clear" w:color="auto" w:fill="auto"/>
            <w:noWrap/>
            <w:vAlign w:val="center"/>
          </w:tcPr>
          <w:p w14:paraId="5730D06B"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34.1</w:t>
            </w:r>
          </w:p>
        </w:tc>
        <w:tc>
          <w:tcPr>
            <w:tcW w:w="1146" w:type="dxa"/>
            <w:tcBorders>
              <w:top w:val="nil"/>
              <w:left w:val="nil"/>
              <w:bottom w:val="single" w:sz="4" w:space="0" w:color="auto"/>
              <w:right w:val="single" w:sz="4" w:space="0" w:color="auto"/>
            </w:tcBorders>
            <w:shd w:val="clear" w:color="auto" w:fill="auto"/>
            <w:noWrap/>
            <w:vAlign w:val="center"/>
          </w:tcPr>
          <w:p w14:paraId="06B883CC"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(30.2, 38.0)</w:t>
            </w:r>
          </w:p>
        </w:tc>
        <w:tc>
          <w:tcPr>
            <w:tcW w:w="536" w:type="dxa"/>
            <w:tcBorders>
              <w:top w:val="nil"/>
              <w:left w:val="single" w:sz="4" w:space="0" w:color="auto"/>
              <w:bottom w:val="single" w:sz="4" w:space="0" w:color="auto"/>
              <w:right w:val="nil"/>
            </w:tcBorders>
            <w:shd w:val="clear" w:color="auto" w:fill="auto"/>
            <w:noWrap/>
            <w:vAlign w:val="center"/>
          </w:tcPr>
          <w:p w14:paraId="6FA4E44D"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63</w:t>
            </w:r>
          </w:p>
        </w:tc>
        <w:tc>
          <w:tcPr>
            <w:tcW w:w="621" w:type="dxa"/>
            <w:tcBorders>
              <w:top w:val="nil"/>
              <w:left w:val="nil"/>
              <w:bottom w:val="single" w:sz="4" w:space="0" w:color="auto"/>
              <w:right w:val="nil"/>
            </w:tcBorders>
            <w:shd w:val="clear" w:color="auto" w:fill="auto"/>
            <w:noWrap/>
            <w:vAlign w:val="center"/>
          </w:tcPr>
          <w:p w14:paraId="23D74AD8"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33.8</w:t>
            </w:r>
          </w:p>
        </w:tc>
        <w:tc>
          <w:tcPr>
            <w:tcW w:w="1146" w:type="dxa"/>
            <w:tcBorders>
              <w:top w:val="nil"/>
              <w:left w:val="nil"/>
              <w:bottom w:val="single" w:sz="4" w:space="0" w:color="auto"/>
              <w:right w:val="single" w:sz="4" w:space="0" w:color="000000"/>
            </w:tcBorders>
            <w:shd w:val="clear" w:color="auto" w:fill="auto"/>
            <w:noWrap/>
            <w:vAlign w:val="center"/>
          </w:tcPr>
          <w:p w14:paraId="155F1777"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(28.6, 38.9)</w:t>
            </w:r>
          </w:p>
        </w:tc>
        <w:tc>
          <w:tcPr>
            <w:tcW w:w="536" w:type="dxa"/>
            <w:tcBorders>
              <w:top w:val="nil"/>
              <w:left w:val="single" w:sz="4" w:space="0" w:color="000000"/>
              <w:bottom w:val="single" w:sz="4" w:space="0" w:color="auto"/>
              <w:right w:val="nil"/>
            </w:tcBorders>
            <w:shd w:val="clear" w:color="auto" w:fill="auto"/>
            <w:vAlign w:val="center"/>
          </w:tcPr>
          <w:p w14:paraId="7C13DF48"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56</w:t>
            </w:r>
          </w:p>
        </w:tc>
        <w:tc>
          <w:tcPr>
            <w:tcW w:w="567" w:type="dxa"/>
            <w:tcBorders>
              <w:top w:val="nil"/>
              <w:left w:val="nil"/>
              <w:bottom w:val="single" w:sz="4" w:space="0" w:color="auto"/>
              <w:right w:val="nil"/>
            </w:tcBorders>
            <w:shd w:val="clear" w:color="auto" w:fill="auto"/>
            <w:vAlign w:val="center"/>
          </w:tcPr>
          <w:p w14:paraId="2169D00F"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37.2</w:t>
            </w:r>
          </w:p>
        </w:tc>
        <w:tc>
          <w:tcPr>
            <w:tcW w:w="1146" w:type="dxa"/>
            <w:tcBorders>
              <w:top w:val="nil"/>
              <w:left w:val="nil"/>
              <w:bottom w:val="single" w:sz="4" w:space="0" w:color="auto"/>
              <w:right w:val="single" w:sz="4" w:space="0" w:color="auto"/>
            </w:tcBorders>
            <w:shd w:val="clear" w:color="auto" w:fill="auto"/>
            <w:vAlign w:val="center"/>
          </w:tcPr>
          <w:p w14:paraId="735F8F83"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(31.1, 43.2)</w:t>
            </w:r>
          </w:p>
        </w:tc>
        <w:tc>
          <w:tcPr>
            <w:tcW w:w="536" w:type="dxa"/>
            <w:tcBorders>
              <w:top w:val="nil"/>
              <w:left w:val="single" w:sz="4" w:space="0" w:color="auto"/>
              <w:bottom w:val="single" w:sz="4" w:space="0" w:color="auto"/>
              <w:right w:val="nil"/>
            </w:tcBorders>
            <w:shd w:val="clear" w:color="auto" w:fill="auto"/>
            <w:vAlign w:val="center"/>
          </w:tcPr>
          <w:p w14:paraId="34117A0B"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48</w:t>
            </w:r>
          </w:p>
        </w:tc>
        <w:tc>
          <w:tcPr>
            <w:tcW w:w="576" w:type="dxa"/>
            <w:tcBorders>
              <w:top w:val="nil"/>
              <w:left w:val="nil"/>
              <w:bottom w:val="single" w:sz="4" w:space="0" w:color="auto"/>
              <w:right w:val="nil"/>
            </w:tcBorders>
            <w:shd w:val="clear" w:color="auto" w:fill="auto"/>
            <w:vAlign w:val="center"/>
          </w:tcPr>
          <w:p w14:paraId="1D83CFBD"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36.2</w:t>
            </w:r>
          </w:p>
        </w:tc>
        <w:tc>
          <w:tcPr>
            <w:tcW w:w="1146" w:type="dxa"/>
            <w:tcBorders>
              <w:top w:val="nil"/>
              <w:left w:val="nil"/>
              <w:bottom w:val="single" w:sz="4" w:space="0" w:color="auto"/>
              <w:right w:val="nil"/>
            </w:tcBorders>
            <w:shd w:val="clear" w:color="auto" w:fill="auto"/>
            <w:vAlign w:val="center"/>
          </w:tcPr>
          <w:p w14:paraId="64C55409"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(29.9, 42.4)</w:t>
            </w:r>
          </w:p>
        </w:tc>
      </w:tr>
      <w:tr w:rsidR="002E64B9" w:rsidRPr="00D76D7F" w14:paraId="0FE3346D"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4655" w:type="dxa"/>
            <w:gridSpan w:val="3"/>
            <w:tcBorders>
              <w:top w:val="single" w:sz="4" w:space="0" w:color="auto"/>
              <w:left w:val="nil"/>
              <w:bottom w:val="nil"/>
              <w:right w:val="nil"/>
            </w:tcBorders>
            <w:shd w:val="clear" w:color="auto" w:fill="auto"/>
            <w:vAlign w:val="center"/>
          </w:tcPr>
          <w:p w14:paraId="04B8BF1B" w14:textId="77777777" w:rsidR="008C60C5" w:rsidRPr="00D76D7F" w:rsidRDefault="008C60C5" w:rsidP="00616DE1">
            <w:pPr>
              <w:keepNext/>
              <w:spacing w:before="20" w:after="20"/>
              <w:rPr>
                <w:rFonts w:eastAsiaTheme="minorEastAsia"/>
                <w:sz w:val="18"/>
                <w:szCs w:val="18"/>
                <w:lang w:eastAsia="en-US"/>
              </w:rPr>
            </w:pPr>
            <w:r w:rsidRPr="00D76D7F">
              <w:rPr>
                <w:rFonts w:eastAsiaTheme="minorEastAsia"/>
                <w:sz w:val="18"/>
                <w:szCs w:val="18"/>
                <w:lang w:eastAsia="en-US"/>
              </w:rPr>
              <w:t>How often currently smoke tobacco</w:t>
            </w:r>
          </w:p>
        </w:tc>
        <w:tc>
          <w:tcPr>
            <w:tcW w:w="1146" w:type="dxa"/>
            <w:tcBorders>
              <w:top w:val="single" w:sz="4" w:space="0" w:color="auto"/>
              <w:left w:val="nil"/>
              <w:bottom w:val="nil"/>
              <w:right w:val="single" w:sz="4" w:space="0" w:color="auto"/>
            </w:tcBorders>
            <w:shd w:val="clear" w:color="auto" w:fill="auto"/>
            <w:noWrap/>
            <w:vAlign w:val="center"/>
          </w:tcPr>
          <w:p w14:paraId="3E882A14" w14:textId="77777777" w:rsidR="008C60C5" w:rsidRPr="00D76D7F" w:rsidRDefault="008C60C5" w:rsidP="00616DE1">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36" w:type="dxa"/>
            <w:tcBorders>
              <w:top w:val="single" w:sz="4" w:space="0" w:color="auto"/>
              <w:left w:val="single" w:sz="4" w:space="0" w:color="auto"/>
              <w:bottom w:val="nil"/>
              <w:right w:val="nil"/>
            </w:tcBorders>
            <w:shd w:val="clear" w:color="auto" w:fill="auto"/>
            <w:noWrap/>
            <w:vAlign w:val="center"/>
          </w:tcPr>
          <w:p w14:paraId="08C31A3E" w14:textId="77777777" w:rsidR="008C60C5" w:rsidRPr="00D76D7F" w:rsidRDefault="008C60C5" w:rsidP="00616DE1">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single" w:sz="4" w:space="0" w:color="auto"/>
              <w:left w:val="nil"/>
              <w:bottom w:val="nil"/>
              <w:right w:val="nil"/>
            </w:tcBorders>
            <w:shd w:val="clear" w:color="auto" w:fill="auto"/>
            <w:noWrap/>
            <w:vAlign w:val="center"/>
          </w:tcPr>
          <w:p w14:paraId="3FD27000" w14:textId="77777777" w:rsidR="008C60C5" w:rsidRPr="00D76D7F" w:rsidRDefault="008C60C5" w:rsidP="00616DE1">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single" w:sz="4" w:space="0" w:color="auto"/>
              <w:left w:val="nil"/>
              <w:bottom w:val="nil"/>
              <w:right w:val="single" w:sz="4" w:space="0" w:color="000000"/>
            </w:tcBorders>
            <w:shd w:val="clear" w:color="auto" w:fill="auto"/>
            <w:noWrap/>
            <w:vAlign w:val="bottom"/>
          </w:tcPr>
          <w:p w14:paraId="071F81AD" w14:textId="77777777" w:rsidR="008C60C5" w:rsidRPr="00D76D7F" w:rsidRDefault="008C60C5" w:rsidP="00616DE1">
            <w:pPr>
              <w:keepNex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single" w:sz="4" w:space="0" w:color="auto"/>
              <w:left w:val="single" w:sz="4" w:space="0" w:color="000000"/>
              <w:bottom w:val="nil"/>
              <w:right w:val="nil"/>
            </w:tcBorders>
            <w:shd w:val="clear" w:color="auto" w:fill="auto"/>
            <w:vAlign w:val="bottom"/>
          </w:tcPr>
          <w:p w14:paraId="5EBE7CDF" w14:textId="77777777" w:rsidR="008C60C5" w:rsidRPr="00D76D7F" w:rsidRDefault="008C60C5" w:rsidP="00616DE1">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567" w:type="dxa"/>
            <w:tcBorders>
              <w:top w:val="single" w:sz="4" w:space="0" w:color="auto"/>
              <w:left w:val="nil"/>
              <w:bottom w:val="nil"/>
              <w:right w:val="nil"/>
            </w:tcBorders>
            <w:shd w:val="clear" w:color="auto" w:fill="auto"/>
            <w:vAlign w:val="bottom"/>
          </w:tcPr>
          <w:p w14:paraId="4CC96B9A" w14:textId="77777777" w:rsidR="008C60C5" w:rsidRPr="00D76D7F" w:rsidRDefault="008C60C5" w:rsidP="00616DE1">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single" w:sz="4" w:space="0" w:color="auto"/>
              <w:left w:val="nil"/>
              <w:bottom w:val="nil"/>
              <w:right w:val="single" w:sz="4" w:space="0" w:color="auto"/>
            </w:tcBorders>
            <w:shd w:val="clear" w:color="auto" w:fill="auto"/>
            <w:vAlign w:val="bottom"/>
          </w:tcPr>
          <w:p w14:paraId="6631BEB2" w14:textId="77777777" w:rsidR="008C60C5" w:rsidRPr="00D76D7F" w:rsidRDefault="008C60C5" w:rsidP="00616DE1">
            <w:pPr>
              <w:keepNex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single" w:sz="4" w:space="0" w:color="auto"/>
              <w:left w:val="single" w:sz="4" w:space="0" w:color="auto"/>
              <w:bottom w:val="nil"/>
              <w:right w:val="nil"/>
            </w:tcBorders>
            <w:shd w:val="clear" w:color="auto" w:fill="auto"/>
            <w:vAlign w:val="bottom"/>
          </w:tcPr>
          <w:p w14:paraId="1D6DA502" w14:textId="77777777" w:rsidR="008C60C5" w:rsidRPr="00D76D7F" w:rsidRDefault="008C60C5" w:rsidP="00616DE1">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576" w:type="dxa"/>
            <w:tcBorders>
              <w:top w:val="single" w:sz="4" w:space="0" w:color="auto"/>
              <w:left w:val="nil"/>
              <w:bottom w:val="nil"/>
              <w:right w:val="nil"/>
            </w:tcBorders>
            <w:shd w:val="clear" w:color="auto" w:fill="auto"/>
            <w:vAlign w:val="bottom"/>
          </w:tcPr>
          <w:p w14:paraId="125FF840" w14:textId="77777777" w:rsidR="008C60C5" w:rsidRPr="00D76D7F" w:rsidRDefault="008C60C5" w:rsidP="00616DE1">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single" w:sz="4" w:space="0" w:color="auto"/>
              <w:left w:val="nil"/>
              <w:bottom w:val="nil"/>
              <w:right w:val="nil"/>
            </w:tcBorders>
            <w:shd w:val="clear" w:color="auto" w:fill="auto"/>
            <w:vAlign w:val="bottom"/>
          </w:tcPr>
          <w:p w14:paraId="06C35D69" w14:textId="77777777" w:rsidR="008C60C5" w:rsidRPr="00D76D7F" w:rsidRDefault="008C60C5" w:rsidP="00616DE1">
            <w:pPr>
              <w:keepNext/>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118DA" w:rsidRPr="00D76D7F" w14:paraId="5F6A9B3D"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1A5F04AE" w14:textId="77777777" w:rsidR="008C60C5" w:rsidRPr="00D76D7F" w:rsidRDefault="008C60C5" w:rsidP="00616DE1">
            <w:pPr>
              <w:keepNext/>
              <w:spacing w:before="20" w:after="20"/>
              <w:ind w:left="34"/>
              <w:rPr>
                <w:rFonts w:eastAsiaTheme="minorEastAsia"/>
                <w:b w:val="0"/>
                <w:sz w:val="18"/>
                <w:szCs w:val="18"/>
                <w:lang w:eastAsia="en-US"/>
              </w:rPr>
            </w:pPr>
            <w:r w:rsidRPr="00D76D7F">
              <w:rPr>
                <w:rFonts w:eastAsiaTheme="minorEastAsia"/>
                <w:b w:val="0"/>
                <w:sz w:val="18"/>
                <w:szCs w:val="18"/>
                <w:lang w:eastAsia="en-US"/>
              </w:rPr>
              <w:t>Does not smoke now</w:t>
            </w:r>
          </w:p>
        </w:tc>
        <w:tc>
          <w:tcPr>
            <w:tcW w:w="536" w:type="dxa"/>
            <w:tcBorders>
              <w:top w:val="nil"/>
              <w:left w:val="nil"/>
              <w:bottom w:val="nil"/>
              <w:right w:val="nil"/>
            </w:tcBorders>
            <w:shd w:val="clear" w:color="auto" w:fill="auto"/>
            <w:noWrap/>
            <w:vAlign w:val="center"/>
          </w:tcPr>
          <w:p w14:paraId="4A433AD6" w14:textId="77777777" w:rsidR="008C60C5" w:rsidRPr="00D76D7F" w:rsidRDefault="008C60C5"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D76D7F">
              <w:rPr>
                <w:color w:val="000000"/>
                <w:sz w:val="18"/>
                <w:szCs w:val="18"/>
              </w:rPr>
              <w:t>44</w:t>
            </w:r>
          </w:p>
        </w:tc>
        <w:tc>
          <w:tcPr>
            <w:tcW w:w="579" w:type="dxa"/>
            <w:tcBorders>
              <w:top w:val="nil"/>
              <w:left w:val="nil"/>
              <w:bottom w:val="nil"/>
              <w:right w:val="nil"/>
            </w:tcBorders>
            <w:shd w:val="clear" w:color="auto" w:fill="auto"/>
            <w:noWrap/>
            <w:vAlign w:val="center"/>
          </w:tcPr>
          <w:p w14:paraId="1035035B" w14:textId="77777777" w:rsidR="008C60C5" w:rsidRPr="00D76D7F" w:rsidRDefault="008C60C5"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14.4</w:t>
            </w:r>
          </w:p>
        </w:tc>
        <w:tc>
          <w:tcPr>
            <w:tcW w:w="1146" w:type="dxa"/>
            <w:tcBorders>
              <w:top w:val="nil"/>
              <w:left w:val="nil"/>
              <w:bottom w:val="nil"/>
              <w:right w:val="single" w:sz="4" w:space="0" w:color="auto"/>
            </w:tcBorders>
            <w:shd w:val="clear" w:color="auto" w:fill="auto"/>
            <w:noWrap/>
            <w:vAlign w:val="center"/>
          </w:tcPr>
          <w:p w14:paraId="5CCE64D7" w14:textId="77777777" w:rsidR="008C60C5" w:rsidRPr="00D76D7F" w:rsidRDefault="008C60C5"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(11.6, 17.2)</w:t>
            </w:r>
          </w:p>
        </w:tc>
        <w:tc>
          <w:tcPr>
            <w:tcW w:w="536" w:type="dxa"/>
            <w:tcBorders>
              <w:top w:val="nil"/>
              <w:left w:val="single" w:sz="4" w:space="0" w:color="auto"/>
              <w:bottom w:val="nil"/>
              <w:right w:val="nil"/>
            </w:tcBorders>
            <w:shd w:val="clear" w:color="auto" w:fill="auto"/>
            <w:noWrap/>
            <w:vAlign w:val="center"/>
          </w:tcPr>
          <w:p w14:paraId="74FF8171" w14:textId="77777777" w:rsidR="008C60C5" w:rsidRPr="00D76D7F" w:rsidRDefault="008C60C5"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34</w:t>
            </w:r>
          </w:p>
        </w:tc>
        <w:tc>
          <w:tcPr>
            <w:tcW w:w="621" w:type="dxa"/>
            <w:tcBorders>
              <w:top w:val="nil"/>
              <w:left w:val="nil"/>
              <w:bottom w:val="nil"/>
              <w:right w:val="nil"/>
            </w:tcBorders>
            <w:shd w:val="clear" w:color="auto" w:fill="auto"/>
            <w:noWrap/>
            <w:vAlign w:val="center"/>
          </w:tcPr>
          <w:p w14:paraId="0915B721" w14:textId="77777777" w:rsidR="008C60C5" w:rsidRPr="00D76D7F" w:rsidRDefault="008C60C5"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18.1</w:t>
            </w:r>
          </w:p>
        </w:tc>
        <w:tc>
          <w:tcPr>
            <w:tcW w:w="1146" w:type="dxa"/>
            <w:tcBorders>
              <w:top w:val="nil"/>
              <w:left w:val="nil"/>
              <w:bottom w:val="nil"/>
              <w:right w:val="single" w:sz="4" w:space="0" w:color="000000"/>
            </w:tcBorders>
            <w:shd w:val="clear" w:color="auto" w:fill="auto"/>
            <w:noWrap/>
            <w:vAlign w:val="center"/>
          </w:tcPr>
          <w:p w14:paraId="211F0FD5" w14:textId="77777777" w:rsidR="008C60C5" w:rsidRPr="00D76D7F" w:rsidRDefault="008C60C5"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(13.9, 22.3)</w:t>
            </w:r>
          </w:p>
        </w:tc>
        <w:tc>
          <w:tcPr>
            <w:tcW w:w="536" w:type="dxa"/>
            <w:tcBorders>
              <w:top w:val="nil"/>
              <w:left w:val="single" w:sz="4" w:space="0" w:color="000000"/>
              <w:bottom w:val="nil"/>
              <w:right w:val="nil"/>
            </w:tcBorders>
            <w:shd w:val="clear" w:color="auto" w:fill="auto"/>
            <w:vAlign w:val="center"/>
          </w:tcPr>
          <w:p w14:paraId="3FAF239D" w14:textId="77777777" w:rsidR="008C60C5" w:rsidRPr="00D76D7F" w:rsidRDefault="008C60C5"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28</w:t>
            </w:r>
          </w:p>
        </w:tc>
        <w:tc>
          <w:tcPr>
            <w:tcW w:w="567" w:type="dxa"/>
            <w:tcBorders>
              <w:top w:val="nil"/>
              <w:left w:val="nil"/>
              <w:bottom w:val="nil"/>
              <w:right w:val="nil"/>
            </w:tcBorders>
            <w:shd w:val="clear" w:color="auto" w:fill="auto"/>
            <w:vAlign w:val="center"/>
          </w:tcPr>
          <w:p w14:paraId="3CF61195" w14:textId="77777777" w:rsidR="008C60C5" w:rsidRPr="00D76D7F" w:rsidRDefault="008C60C5"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18.6</w:t>
            </w:r>
          </w:p>
        </w:tc>
        <w:tc>
          <w:tcPr>
            <w:tcW w:w="1146" w:type="dxa"/>
            <w:tcBorders>
              <w:top w:val="nil"/>
              <w:left w:val="nil"/>
              <w:bottom w:val="nil"/>
              <w:right w:val="single" w:sz="4" w:space="0" w:color="auto"/>
            </w:tcBorders>
            <w:shd w:val="clear" w:color="auto" w:fill="auto"/>
            <w:vAlign w:val="center"/>
          </w:tcPr>
          <w:p w14:paraId="470D48E9" w14:textId="77777777" w:rsidR="008C60C5" w:rsidRPr="00D76D7F" w:rsidRDefault="008C60C5"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(14.1, 23.2)</w:t>
            </w:r>
          </w:p>
        </w:tc>
        <w:tc>
          <w:tcPr>
            <w:tcW w:w="536" w:type="dxa"/>
            <w:tcBorders>
              <w:top w:val="nil"/>
              <w:left w:val="single" w:sz="4" w:space="0" w:color="auto"/>
              <w:bottom w:val="nil"/>
              <w:right w:val="nil"/>
            </w:tcBorders>
            <w:shd w:val="clear" w:color="auto" w:fill="auto"/>
            <w:vAlign w:val="center"/>
          </w:tcPr>
          <w:p w14:paraId="63B2ECEE" w14:textId="77777777" w:rsidR="008C60C5" w:rsidRPr="00D76D7F" w:rsidRDefault="008C60C5"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w:t>
            </w:r>
          </w:p>
        </w:tc>
        <w:tc>
          <w:tcPr>
            <w:tcW w:w="576" w:type="dxa"/>
            <w:tcBorders>
              <w:top w:val="nil"/>
              <w:left w:val="nil"/>
              <w:bottom w:val="nil"/>
              <w:right w:val="nil"/>
            </w:tcBorders>
            <w:shd w:val="clear" w:color="auto" w:fill="auto"/>
            <w:vAlign w:val="center"/>
          </w:tcPr>
          <w:p w14:paraId="623861F1" w14:textId="77777777" w:rsidR="008C60C5" w:rsidRPr="00D76D7F" w:rsidRDefault="008C60C5"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17.0</w:t>
            </w:r>
          </w:p>
        </w:tc>
        <w:tc>
          <w:tcPr>
            <w:tcW w:w="1146" w:type="dxa"/>
            <w:tcBorders>
              <w:top w:val="nil"/>
              <w:left w:val="nil"/>
              <w:bottom w:val="nil"/>
              <w:right w:val="nil"/>
            </w:tcBorders>
            <w:shd w:val="clear" w:color="auto" w:fill="auto"/>
            <w:vAlign w:val="center"/>
          </w:tcPr>
          <w:p w14:paraId="28124194" w14:textId="77777777" w:rsidR="008C60C5" w:rsidRPr="00D76D7F" w:rsidRDefault="008C60C5"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(12.2, 21.9)</w:t>
            </w:r>
          </w:p>
        </w:tc>
      </w:tr>
      <w:tr w:rsidR="009118DA" w:rsidRPr="00D76D7F" w14:paraId="6EA95F02"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17D25026" w14:textId="77777777" w:rsidR="008C60C5" w:rsidRPr="00D76D7F" w:rsidRDefault="008C60C5" w:rsidP="008C60C5">
            <w:pPr>
              <w:spacing w:before="20" w:after="20"/>
              <w:ind w:left="34"/>
              <w:rPr>
                <w:rFonts w:eastAsiaTheme="minorEastAsia"/>
                <w:b w:val="0"/>
                <w:sz w:val="18"/>
                <w:szCs w:val="18"/>
                <w:lang w:eastAsia="en-US"/>
              </w:rPr>
            </w:pPr>
            <w:r w:rsidRPr="00D76D7F">
              <w:rPr>
                <w:rFonts w:eastAsiaTheme="minorEastAsia"/>
                <w:b w:val="0"/>
                <w:sz w:val="18"/>
                <w:szCs w:val="18"/>
                <w:lang w:eastAsia="en-US"/>
              </w:rPr>
              <w:t>At least once a day</w:t>
            </w:r>
          </w:p>
        </w:tc>
        <w:tc>
          <w:tcPr>
            <w:tcW w:w="536" w:type="dxa"/>
            <w:tcBorders>
              <w:top w:val="nil"/>
              <w:left w:val="nil"/>
              <w:bottom w:val="nil"/>
              <w:right w:val="nil"/>
            </w:tcBorders>
            <w:shd w:val="clear" w:color="auto" w:fill="auto"/>
            <w:noWrap/>
            <w:vAlign w:val="center"/>
          </w:tcPr>
          <w:p w14:paraId="7A59853D"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64</w:t>
            </w:r>
          </w:p>
        </w:tc>
        <w:tc>
          <w:tcPr>
            <w:tcW w:w="579" w:type="dxa"/>
            <w:tcBorders>
              <w:top w:val="nil"/>
              <w:left w:val="nil"/>
              <w:bottom w:val="nil"/>
              <w:right w:val="nil"/>
            </w:tcBorders>
            <w:shd w:val="clear" w:color="auto" w:fill="auto"/>
            <w:noWrap/>
            <w:vAlign w:val="center"/>
          </w:tcPr>
          <w:p w14:paraId="57596148"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20.6</w:t>
            </w:r>
          </w:p>
        </w:tc>
        <w:tc>
          <w:tcPr>
            <w:tcW w:w="1146" w:type="dxa"/>
            <w:tcBorders>
              <w:top w:val="nil"/>
              <w:left w:val="nil"/>
              <w:bottom w:val="nil"/>
              <w:right w:val="single" w:sz="4" w:space="0" w:color="auto"/>
            </w:tcBorders>
            <w:shd w:val="clear" w:color="auto" w:fill="auto"/>
            <w:noWrap/>
            <w:vAlign w:val="center"/>
          </w:tcPr>
          <w:p w14:paraId="1AF5E532"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(17.2, 24.1)</w:t>
            </w:r>
          </w:p>
        </w:tc>
        <w:tc>
          <w:tcPr>
            <w:tcW w:w="536" w:type="dxa"/>
            <w:tcBorders>
              <w:top w:val="nil"/>
              <w:left w:val="single" w:sz="4" w:space="0" w:color="auto"/>
              <w:bottom w:val="nil"/>
              <w:right w:val="nil"/>
            </w:tcBorders>
            <w:shd w:val="clear" w:color="auto" w:fill="auto"/>
            <w:noWrap/>
            <w:vAlign w:val="center"/>
          </w:tcPr>
          <w:p w14:paraId="66666110"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29</w:t>
            </w:r>
          </w:p>
        </w:tc>
        <w:tc>
          <w:tcPr>
            <w:tcW w:w="621" w:type="dxa"/>
            <w:tcBorders>
              <w:top w:val="nil"/>
              <w:left w:val="nil"/>
              <w:bottom w:val="nil"/>
              <w:right w:val="nil"/>
            </w:tcBorders>
            <w:shd w:val="clear" w:color="auto" w:fill="auto"/>
            <w:noWrap/>
            <w:vAlign w:val="center"/>
          </w:tcPr>
          <w:p w14:paraId="00A6A1F8"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15.5</w:t>
            </w:r>
          </w:p>
        </w:tc>
        <w:tc>
          <w:tcPr>
            <w:tcW w:w="1146" w:type="dxa"/>
            <w:tcBorders>
              <w:top w:val="nil"/>
              <w:left w:val="nil"/>
              <w:bottom w:val="nil"/>
              <w:right w:val="single" w:sz="4" w:space="0" w:color="000000"/>
            </w:tcBorders>
            <w:shd w:val="clear" w:color="auto" w:fill="auto"/>
            <w:noWrap/>
            <w:vAlign w:val="center"/>
          </w:tcPr>
          <w:p w14:paraId="13A063F0"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(11.6, 19.4)</w:t>
            </w:r>
          </w:p>
        </w:tc>
        <w:tc>
          <w:tcPr>
            <w:tcW w:w="536" w:type="dxa"/>
            <w:tcBorders>
              <w:top w:val="nil"/>
              <w:left w:val="single" w:sz="4" w:space="0" w:color="000000"/>
              <w:bottom w:val="nil"/>
              <w:right w:val="nil"/>
            </w:tcBorders>
            <w:shd w:val="clear" w:color="auto" w:fill="auto"/>
            <w:vAlign w:val="center"/>
          </w:tcPr>
          <w:p w14:paraId="0B26B48D"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26</w:t>
            </w:r>
          </w:p>
        </w:tc>
        <w:tc>
          <w:tcPr>
            <w:tcW w:w="567" w:type="dxa"/>
            <w:tcBorders>
              <w:top w:val="nil"/>
              <w:left w:val="nil"/>
              <w:bottom w:val="nil"/>
              <w:right w:val="nil"/>
            </w:tcBorders>
            <w:shd w:val="clear" w:color="auto" w:fill="auto"/>
            <w:vAlign w:val="center"/>
          </w:tcPr>
          <w:p w14:paraId="66E93357"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17.3</w:t>
            </w:r>
          </w:p>
        </w:tc>
        <w:tc>
          <w:tcPr>
            <w:tcW w:w="1146" w:type="dxa"/>
            <w:tcBorders>
              <w:top w:val="nil"/>
              <w:left w:val="nil"/>
              <w:bottom w:val="nil"/>
              <w:right w:val="single" w:sz="4" w:space="0" w:color="auto"/>
            </w:tcBorders>
            <w:shd w:val="clear" w:color="auto" w:fill="auto"/>
            <w:vAlign w:val="center"/>
          </w:tcPr>
          <w:p w14:paraId="1B6375F3"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(12.4, 22.2)</w:t>
            </w:r>
          </w:p>
        </w:tc>
        <w:tc>
          <w:tcPr>
            <w:tcW w:w="536" w:type="dxa"/>
            <w:tcBorders>
              <w:top w:val="nil"/>
              <w:left w:val="single" w:sz="4" w:space="0" w:color="auto"/>
              <w:bottom w:val="nil"/>
              <w:right w:val="nil"/>
            </w:tcBorders>
            <w:shd w:val="clear" w:color="auto" w:fill="auto"/>
            <w:vAlign w:val="center"/>
          </w:tcPr>
          <w:p w14:paraId="51B0A545"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22</w:t>
            </w:r>
          </w:p>
        </w:tc>
        <w:tc>
          <w:tcPr>
            <w:tcW w:w="576" w:type="dxa"/>
            <w:tcBorders>
              <w:top w:val="nil"/>
              <w:left w:val="nil"/>
              <w:bottom w:val="nil"/>
              <w:right w:val="nil"/>
            </w:tcBorders>
            <w:shd w:val="clear" w:color="auto" w:fill="auto"/>
            <w:vAlign w:val="center"/>
          </w:tcPr>
          <w:p w14:paraId="00C1388A"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16.8</w:t>
            </w:r>
          </w:p>
        </w:tc>
        <w:tc>
          <w:tcPr>
            <w:tcW w:w="1146" w:type="dxa"/>
            <w:tcBorders>
              <w:top w:val="nil"/>
              <w:left w:val="nil"/>
              <w:bottom w:val="nil"/>
              <w:right w:val="nil"/>
            </w:tcBorders>
            <w:shd w:val="clear" w:color="auto" w:fill="auto"/>
            <w:vAlign w:val="center"/>
          </w:tcPr>
          <w:p w14:paraId="0FA2ABE6"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(12.0, 21.5)</w:t>
            </w:r>
          </w:p>
        </w:tc>
      </w:tr>
      <w:tr w:rsidR="009118DA" w:rsidRPr="00D76D7F" w14:paraId="23A8A499"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72AECDDE" w14:textId="77777777" w:rsidR="008C60C5" w:rsidRPr="00D76D7F" w:rsidRDefault="008C60C5" w:rsidP="008C60C5">
            <w:pPr>
              <w:spacing w:before="20" w:after="20"/>
              <w:ind w:left="34"/>
              <w:rPr>
                <w:rFonts w:eastAsiaTheme="minorEastAsia"/>
                <w:b w:val="0"/>
                <w:sz w:val="18"/>
                <w:szCs w:val="18"/>
                <w:lang w:eastAsia="en-US"/>
              </w:rPr>
            </w:pPr>
            <w:r w:rsidRPr="00D76D7F">
              <w:rPr>
                <w:rFonts w:eastAsiaTheme="minorEastAsia"/>
                <w:b w:val="0"/>
                <w:sz w:val="18"/>
                <w:szCs w:val="18"/>
                <w:lang w:eastAsia="en-US"/>
              </w:rPr>
              <w:t>At least once a week</w:t>
            </w:r>
          </w:p>
        </w:tc>
        <w:tc>
          <w:tcPr>
            <w:tcW w:w="536" w:type="dxa"/>
            <w:tcBorders>
              <w:top w:val="nil"/>
              <w:left w:val="nil"/>
              <w:bottom w:val="nil"/>
              <w:right w:val="nil"/>
            </w:tcBorders>
            <w:shd w:val="clear" w:color="auto" w:fill="auto"/>
            <w:noWrap/>
            <w:vAlign w:val="center"/>
          </w:tcPr>
          <w:p w14:paraId="371CA2BA"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4</w:t>
            </w:r>
          </w:p>
        </w:tc>
        <w:tc>
          <w:tcPr>
            <w:tcW w:w="579" w:type="dxa"/>
            <w:tcBorders>
              <w:top w:val="nil"/>
              <w:left w:val="nil"/>
              <w:bottom w:val="nil"/>
              <w:right w:val="nil"/>
            </w:tcBorders>
            <w:shd w:val="clear" w:color="auto" w:fill="auto"/>
            <w:noWrap/>
            <w:vAlign w:val="center"/>
          </w:tcPr>
          <w:p w14:paraId="609B94C2"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1.3</w:t>
            </w:r>
          </w:p>
        </w:tc>
        <w:tc>
          <w:tcPr>
            <w:tcW w:w="1146" w:type="dxa"/>
            <w:tcBorders>
              <w:top w:val="nil"/>
              <w:left w:val="nil"/>
              <w:bottom w:val="nil"/>
              <w:right w:val="single" w:sz="4" w:space="0" w:color="auto"/>
            </w:tcBorders>
            <w:shd w:val="clear" w:color="auto" w:fill="auto"/>
            <w:noWrap/>
            <w:vAlign w:val="center"/>
          </w:tcPr>
          <w:p w14:paraId="4BA6B27D"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(0.3, 2.2)</w:t>
            </w:r>
          </w:p>
        </w:tc>
        <w:tc>
          <w:tcPr>
            <w:tcW w:w="536" w:type="dxa"/>
            <w:tcBorders>
              <w:top w:val="nil"/>
              <w:left w:val="single" w:sz="4" w:space="0" w:color="auto"/>
              <w:bottom w:val="nil"/>
              <w:right w:val="nil"/>
            </w:tcBorders>
            <w:shd w:val="clear" w:color="auto" w:fill="auto"/>
            <w:noWrap/>
            <w:vAlign w:val="center"/>
          </w:tcPr>
          <w:p w14:paraId="551A4159"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w:t>
            </w:r>
          </w:p>
        </w:tc>
        <w:tc>
          <w:tcPr>
            <w:tcW w:w="621" w:type="dxa"/>
            <w:tcBorders>
              <w:top w:val="nil"/>
              <w:left w:val="nil"/>
              <w:bottom w:val="nil"/>
              <w:right w:val="nil"/>
            </w:tcBorders>
            <w:shd w:val="clear" w:color="auto" w:fill="auto"/>
            <w:noWrap/>
            <w:vAlign w:val="center"/>
          </w:tcPr>
          <w:p w14:paraId="6B49C84C"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2.8</w:t>
            </w:r>
          </w:p>
        </w:tc>
        <w:tc>
          <w:tcPr>
            <w:tcW w:w="1146" w:type="dxa"/>
            <w:tcBorders>
              <w:top w:val="nil"/>
              <w:left w:val="nil"/>
              <w:bottom w:val="nil"/>
              <w:right w:val="single" w:sz="4" w:space="0" w:color="000000"/>
            </w:tcBorders>
            <w:shd w:val="clear" w:color="auto" w:fill="auto"/>
            <w:noWrap/>
            <w:vAlign w:val="center"/>
          </w:tcPr>
          <w:p w14:paraId="08960B11"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(1.2, 4.5)</w:t>
            </w:r>
          </w:p>
        </w:tc>
        <w:tc>
          <w:tcPr>
            <w:tcW w:w="536" w:type="dxa"/>
            <w:tcBorders>
              <w:top w:val="nil"/>
              <w:left w:val="single" w:sz="4" w:space="0" w:color="000000"/>
              <w:bottom w:val="nil"/>
              <w:right w:val="nil"/>
            </w:tcBorders>
            <w:shd w:val="clear" w:color="auto" w:fill="auto"/>
            <w:vAlign w:val="center"/>
          </w:tcPr>
          <w:p w14:paraId="7F333D99"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w:t>
            </w:r>
          </w:p>
        </w:tc>
        <w:tc>
          <w:tcPr>
            <w:tcW w:w="567" w:type="dxa"/>
            <w:tcBorders>
              <w:top w:val="nil"/>
              <w:left w:val="nil"/>
              <w:bottom w:val="nil"/>
              <w:right w:val="nil"/>
            </w:tcBorders>
            <w:shd w:val="clear" w:color="auto" w:fill="auto"/>
            <w:vAlign w:val="center"/>
          </w:tcPr>
          <w:p w14:paraId="6BCF2026"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w:t>
            </w:r>
          </w:p>
        </w:tc>
        <w:tc>
          <w:tcPr>
            <w:tcW w:w="1146" w:type="dxa"/>
            <w:tcBorders>
              <w:top w:val="nil"/>
              <w:left w:val="nil"/>
              <w:bottom w:val="nil"/>
              <w:right w:val="single" w:sz="4" w:space="0" w:color="auto"/>
            </w:tcBorders>
            <w:shd w:val="clear" w:color="auto" w:fill="auto"/>
            <w:vAlign w:val="center"/>
          </w:tcPr>
          <w:p w14:paraId="04113E88"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(0.6, 3.2)</w:t>
            </w:r>
          </w:p>
        </w:tc>
        <w:tc>
          <w:tcPr>
            <w:tcW w:w="536" w:type="dxa"/>
            <w:tcBorders>
              <w:top w:val="nil"/>
              <w:left w:val="single" w:sz="4" w:space="0" w:color="auto"/>
              <w:bottom w:val="nil"/>
              <w:right w:val="nil"/>
            </w:tcBorders>
            <w:shd w:val="clear" w:color="auto" w:fill="auto"/>
            <w:vAlign w:val="center"/>
          </w:tcPr>
          <w:p w14:paraId="24988A1A"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3</w:t>
            </w:r>
          </w:p>
        </w:tc>
        <w:tc>
          <w:tcPr>
            <w:tcW w:w="576" w:type="dxa"/>
            <w:tcBorders>
              <w:top w:val="nil"/>
              <w:left w:val="nil"/>
              <w:bottom w:val="nil"/>
              <w:right w:val="nil"/>
            </w:tcBorders>
            <w:shd w:val="clear" w:color="auto" w:fill="auto"/>
            <w:vAlign w:val="center"/>
          </w:tcPr>
          <w:p w14:paraId="0AF6BEBF"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2.0</w:t>
            </w:r>
          </w:p>
        </w:tc>
        <w:tc>
          <w:tcPr>
            <w:tcW w:w="1146" w:type="dxa"/>
            <w:tcBorders>
              <w:top w:val="nil"/>
              <w:left w:val="nil"/>
              <w:bottom w:val="nil"/>
              <w:right w:val="nil"/>
            </w:tcBorders>
            <w:shd w:val="clear" w:color="auto" w:fill="auto"/>
            <w:vAlign w:val="center"/>
          </w:tcPr>
          <w:p w14:paraId="37005AD0"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(0.4, 3.6)</w:t>
            </w:r>
          </w:p>
        </w:tc>
      </w:tr>
      <w:tr w:rsidR="009118DA" w:rsidRPr="00D76D7F" w14:paraId="21CBC7A7"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17BF3C8E" w14:textId="77777777" w:rsidR="008C60C5" w:rsidRPr="00D76D7F" w:rsidRDefault="008C60C5" w:rsidP="008C60C5">
            <w:pPr>
              <w:spacing w:before="20" w:after="20"/>
              <w:ind w:left="34"/>
              <w:rPr>
                <w:rFonts w:eastAsiaTheme="minorEastAsia"/>
                <w:b w:val="0"/>
                <w:sz w:val="18"/>
                <w:szCs w:val="18"/>
                <w:lang w:eastAsia="en-US"/>
              </w:rPr>
            </w:pPr>
            <w:r w:rsidRPr="00D76D7F">
              <w:rPr>
                <w:rFonts w:eastAsiaTheme="minorEastAsia"/>
                <w:b w:val="0"/>
                <w:sz w:val="18"/>
                <w:szCs w:val="18"/>
                <w:lang w:eastAsia="en-US"/>
              </w:rPr>
              <w:t>At least once a month</w:t>
            </w:r>
          </w:p>
        </w:tc>
        <w:tc>
          <w:tcPr>
            <w:tcW w:w="536" w:type="dxa"/>
            <w:tcBorders>
              <w:top w:val="nil"/>
              <w:left w:val="nil"/>
              <w:bottom w:val="nil"/>
              <w:right w:val="nil"/>
            </w:tcBorders>
            <w:shd w:val="clear" w:color="auto" w:fill="auto"/>
            <w:noWrap/>
            <w:vAlign w:val="center"/>
          </w:tcPr>
          <w:p w14:paraId="1E82C531"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w:t>
            </w:r>
          </w:p>
        </w:tc>
        <w:tc>
          <w:tcPr>
            <w:tcW w:w="579" w:type="dxa"/>
            <w:tcBorders>
              <w:top w:val="nil"/>
              <w:left w:val="nil"/>
              <w:bottom w:val="nil"/>
              <w:right w:val="nil"/>
            </w:tcBorders>
            <w:shd w:val="clear" w:color="auto" w:fill="auto"/>
            <w:noWrap/>
            <w:vAlign w:val="center"/>
          </w:tcPr>
          <w:p w14:paraId="19D3A5B8"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0.5</w:t>
            </w:r>
          </w:p>
        </w:tc>
        <w:tc>
          <w:tcPr>
            <w:tcW w:w="1146" w:type="dxa"/>
            <w:tcBorders>
              <w:top w:val="nil"/>
              <w:left w:val="nil"/>
              <w:bottom w:val="nil"/>
              <w:right w:val="single" w:sz="4" w:space="0" w:color="auto"/>
            </w:tcBorders>
            <w:shd w:val="clear" w:color="auto" w:fill="auto"/>
            <w:noWrap/>
            <w:vAlign w:val="center"/>
          </w:tcPr>
          <w:p w14:paraId="6789512B" w14:textId="77777777" w:rsidR="008C60C5" w:rsidRPr="00D76D7F" w:rsidRDefault="00ED1E40"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auto"/>
              <w:bottom w:val="nil"/>
              <w:right w:val="nil"/>
            </w:tcBorders>
            <w:shd w:val="clear" w:color="auto" w:fill="auto"/>
            <w:noWrap/>
            <w:vAlign w:val="center"/>
          </w:tcPr>
          <w:p w14:paraId="19FBC9D9"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w:t>
            </w:r>
          </w:p>
        </w:tc>
        <w:tc>
          <w:tcPr>
            <w:tcW w:w="621" w:type="dxa"/>
            <w:tcBorders>
              <w:top w:val="nil"/>
              <w:left w:val="nil"/>
              <w:bottom w:val="nil"/>
              <w:right w:val="nil"/>
            </w:tcBorders>
            <w:shd w:val="clear" w:color="auto" w:fill="auto"/>
            <w:noWrap/>
            <w:vAlign w:val="center"/>
          </w:tcPr>
          <w:p w14:paraId="6B7B3A88"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1.2</w:t>
            </w:r>
          </w:p>
        </w:tc>
        <w:tc>
          <w:tcPr>
            <w:tcW w:w="1146" w:type="dxa"/>
            <w:tcBorders>
              <w:top w:val="nil"/>
              <w:left w:val="nil"/>
              <w:bottom w:val="nil"/>
              <w:right w:val="single" w:sz="4" w:space="0" w:color="000000"/>
            </w:tcBorders>
            <w:shd w:val="clear" w:color="auto" w:fill="auto"/>
            <w:noWrap/>
            <w:vAlign w:val="center"/>
          </w:tcPr>
          <w:p w14:paraId="71817627" w14:textId="77777777" w:rsidR="008C60C5" w:rsidRPr="00D76D7F" w:rsidRDefault="00ED1E40"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auto"/>
            <w:vAlign w:val="center"/>
          </w:tcPr>
          <w:p w14:paraId="0E9EB506"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w:t>
            </w:r>
          </w:p>
        </w:tc>
        <w:tc>
          <w:tcPr>
            <w:tcW w:w="567" w:type="dxa"/>
            <w:tcBorders>
              <w:top w:val="nil"/>
              <w:left w:val="nil"/>
              <w:bottom w:val="nil"/>
              <w:right w:val="nil"/>
            </w:tcBorders>
            <w:shd w:val="clear" w:color="auto" w:fill="auto"/>
            <w:vAlign w:val="center"/>
          </w:tcPr>
          <w:p w14:paraId="79936E95"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0.9</w:t>
            </w:r>
          </w:p>
        </w:tc>
        <w:tc>
          <w:tcPr>
            <w:tcW w:w="1146" w:type="dxa"/>
            <w:tcBorders>
              <w:top w:val="nil"/>
              <w:left w:val="nil"/>
              <w:bottom w:val="nil"/>
              <w:right w:val="single" w:sz="4" w:space="0" w:color="auto"/>
            </w:tcBorders>
            <w:shd w:val="clear" w:color="auto" w:fill="auto"/>
            <w:vAlign w:val="center"/>
          </w:tcPr>
          <w:p w14:paraId="28064E4E" w14:textId="77777777" w:rsidR="008C60C5" w:rsidRPr="00D76D7F" w:rsidRDefault="00ED1E40"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auto"/>
              <w:bottom w:val="nil"/>
              <w:right w:val="nil"/>
            </w:tcBorders>
            <w:shd w:val="clear" w:color="auto" w:fill="auto"/>
            <w:vAlign w:val="center"/>
          </w:tcPr>
          <w:p w14:paraId="14F6C9B3"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w:t>
            </w:r>
          </w:p>
        </w:tc>
        <w:tc>
          <w:tcPr>
            <w:tcW w:w="576" w:type="dxa"/>
            <w:tcBorders>
              <w:top w:val="nil"/>
              <w:left w:val="nil"/>
              <w:bottom w:val="nil"/>
              <w:right w:val="nil"/>
            </w:tcBorders>
            <w:shd w:val="clear" w:color="auto" w:fill="auto"/>
            <w:vAlign w:val="center"/>
          </w:tcPr>
          <w:p w14:paraId="5AA496D1"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0.5</w:t>
            </w:r>
          </w:p>
        </w:tc>
        <w:tc>
          <w:tcPr>
            <w:tcW w:w="1146" w:type="dxa"/>
            <w:tcBorders>
              <w:top w:val="nil"/>
              <w:left w:val="nil"/>
              <w:bottom w:val="nil"/>
              <w:right w:val="nil"/>
            </w:tcBorders>
            <w:shd w:val="clear" w:color="auto" w:fill="auto"/>
            <w:vAlign w:val="center"/>
          </w:tcPr>
          <w:p w14:paraId="773AB201" w14:textId="77777777" w:rsidR="008C60C5" w:rsidRPr="00D76D7F" w:rsidRDefault="00ED1E40"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D76D7F" w14:paraId="6A5771CA"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21B70BBD" w14:textId="77777777" w:rsidR="008C60C5" w:rsidRPr="00D76D7F" w:rsidRDefault="008C60C5" w:rsidP="008C60C5">
            <w:pPr>
              <w:spacing w:before="20" w:after="20"/>
              <w:ind w:left="34"/>
              <w:rPr>
                <w:rFonts w:eastAsiaTheme="minorEastAsia"/>
                <w:b w:val="0"/>
                <w:sz w:val="18"/>
                <w:szCs w:val="18"/>
                <w:lang w:eastAsia="en-US"/>
              </w:rPr>
            </w:pPr>
            <w:r w:rsidRPr="00D76D7F">
              <w:rPr>
                <w:rFonts w:eastAsiaTheme="minorEastAsia"/>
                <w:b w:val="0"/>
                <w:sz w:val="18"/>
                <w:szCs w:val="18"/>
                <w:lang w:eastAsia="en-US"/>
              </w:rPr>
              <w:t>Less than once a month</w:t>
            </w:r>
          </w:p>
        </w:tc>
        <w:tc>
          <w:tcPr>
            <w:tcW w:w="536" w:type="dxa"/>
            <w:tcBorders>
              <w:top w:val="nil"/>
              <w:left w:val="nil"/>
              <w:bottom w:val="nil"/>
              <w:right w:val="nil"/>
            </w:tcBorders>
            <w:shd w:val="clear" w:color="auto" w:fill="auto"/>
            <w:noWrap/>
            <w:vAlign w:val="center"/>
          </w:tcPr>
          <w:p w14:paraId="064A22BD"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2</w:t>
            </w:r>
          </w:p>
        </w:tc>
        <w:tc>
          <w:tcPr>
            <w:tcW w:w="579" w:type="dxa"/>
            <w:tcBorders>
              <w:top w:val="nil"/>
              <w:left w:val="nil"/>
              <w:bottom w:val="nil"/>
              <w:right w:val="nil"/>
            </w:tcBorders>
            <w:shd w:val="clear" w:color="auto" w:fill="auto"/>
            <w:noWrap/>
            <w:vAlign w:val="center"/>
          </w:tcPr>
          <w:p w14:paraId="65234E4D"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0.5</w:t>
            </w:r>
          </w:p>
        </w:tc>
        <w:tc>
          <w:tcPr>
            <w:tcW w:w="1146" w:type="dxa"/>
            <w:tcBorders>
              <w:top w:val="nil"/>
              <w:left w:val="nil"/>
              <w:bottom w:val="nil"/>
              <w:right w:val="single" w:sz="4" w:space="0" w:color="auto"/>
            </w:tcBorders>
            <w:shd w:val="clear" w:color="auto" w:fill="auto"/>
            <w:noWrap/>
            <w:vAlign w:val="center"/>
          </w:tcPr>
          <w:p w14:paraId="167FCF2B" w14:textId="77777777" w:rsidR="008C60C5" w:rsidRPr="00D76D7F" w:rsidRDefault="00ED1E40"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auto"/>
              <w:bottom w:val="nil"/>
              <w:right w:val="nil"/>
            </w:tcBorders>
            <w:shd w:val="clear" w:color="auto" w:fill="auto"/>
            <w:noWrap/>
            <w:vAlign w:val="center"/>
          </w:tcPr>
          <w:p w14:paraId="403B6D60"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w:t>
            </w:r>
          </w:p>
        </w:tc>
        <w:tc>
          <w:tcPr>
            <w:tcW w:w="621" w:type="dxa"/>
            <w:tcBorders>
              <w:top w:val="nil"/>
              <w:left w:val="nil"/>
              <w:bottom w:val="nil"/>
              <w:right w:val="nil"/>
            </w:tcBorders>
            <w:shd w:val="clear" w:color="auto" w:fill="auto"/>
            <w:noWrap/>
            <w:vAlign w:val="center"/>
          </w:tcPr>
          <w:p w14:paraId="42DFE407"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0.5</w:t>
            </w:r>
          </w:p>
        </w:tc>
        <w:tc>
          <w:tcPr>
            <w:tcW w:w="1146" w:type="dxa"/>
            <w:tcBorders>
              <w:top w:val="nil"/>
              <w:left w:val="nil"/>
              <w:bottom w:val="nil"/>
              <w:right w:val="single" w:sz="4" w:space="0" w:color="000000"/>
            </w:tcBorders>
            <w:shd w:val="clear" w:color="auto" w:fill="auto"/>
            <w:noWrap/>
            <w:vAlign w:val="center"/>
          </w:tcPr>
          <w:p w14:paraId="223BA674" w14:textId="77777777" w:rsidR="008C60C5" w:rsidRPr="00D76D7F" w:rsidRDefault="00ED1E40"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auto"/>
            <w:vAlign w:val="center"/>
          </w:tcPr>
          <w:p w14:paraId="656D75AC"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w:t>
            </w:r>
          </w:p>
        </w:tc>
        <w:tc>
          <w:tcPr>
            <w:tcW w:w="567" w:type="dxa"/>
            <w:tcBorders>
              <w:top w:val="nil"/>
              <w:left w:val="nil"/>
              <w:bottom w:val="nil"/>
              <w:right w:val="nil"/>
            </w:tcBorders>
            <w:shd w:val="clear" w:color="auto" w:fill="auto"/>
            <w:vAlign w:val="center"/>
          </w:tcPr>
          <w:p w14:paraId="334836E7"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0.3</w:t>
            </w:r>
          </w:p>
        </w:tc>
        <w:tc>
          <w:tcPr>
            <w:tcW w:w="1146" w:type="dxa"/>
            <w:tcBorders>
              <w:top w:val="nil"/>
              <w:left w:val="nil"/>
              <w:bottom w:val="nil"/>
              <w:right w:val="single" w:sz="4" w:space="0" w:color="auto"/>
            </w:tcBorders>
            <w:shd w:val="clear" w:color="auto" w:fill="auto"/>
            <w:vAlign w:val="center"/>
          </w:tcPr>
          <w:p w14:paraId="746F1993" w14:textId="77777777" w:rsidR="008C60C5" w:rsidRPr="00D76D7F" w:rsidRDefault="00ED1E40"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auto"/>
              <w:bottom w:val="nil"/>
              <w:right w:val="nil"/>
            </w:tcBorders>
            <w:shd w:val="clear" w:color="auto" w:fill="auto"/>
            <w:vAlign w:val="center"/>
          </w:tcPr>
          <w:p w14:paraId="65351E8D"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w:t>
            </w:r>
          </w:p>
        </w:tc>
        <w:tc>
          <w:tcPr>
            <w:tcW w:w="576" w:type="dxa"/>
            <w:tcBorders>
              <w:top w:val="nil"/>
              <w:left w:val="nil"/>
              <w:bottom w:val="nil"/>
              <w:right w:val="nil"/>
            </w:tcBorders>
            <w:shd w:val="clear" w:color="auto" w:fill="auto"/>
            <w:vAlign w:val="center"/>
          </w:tcPr>
          <w:p w14:paraId="41E1F4B1"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0.4</w:t>
            </w:r>
          </w:p>
        </w:tc>
        <w:tc>
          <w:tcPr>
            <w:tcW w:w="1146" w:type="dxa"/>
            <w:tcBorders>
              <w:top w:val="nil"/>
              <w:left w:val="nil"/>
              <w:bottom w:val="nil"/>
              <w:right w:val="nil"/>
            </w:tcBorders>
            <w:shd w:val="clear" w:color="auto" w:fill="auto"/>
            <w:vAlign w:val="center"/>
          </w:tcPr>
          <w:p w14:paraId="1475129B" w14:textId="77777777" w:rsidR="008C60C5" w:rsidRPr="00D76D7F" w:rsidRDefault="00ED1E40"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D76D7F" w14:paraId="22AD22F6" w14:textId="77777777" w:rsidTr="00C47AEA">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single" w:sz="4" w:space="0" w:color="auto"/>
              <w:right w:val="nil"/>
            </w:tcBorders>
            <w:shd w:val="clear" w:color="auto" w:fill="auto"/>
          </w:tcPr>
          <w:p w14:paraId="37B5360A" w14:textId="77777777" w:rsidR="008C60C5" w:rsidRPr="00D76D7F" w:rsidRDefault="008C60C5" w:rsidP="008C60C5">
            <w:pPr>
              <w:spacing w:before="20" w:after="20"/>
              <w:ind w:left="34"/>
              <w:rPr>
                <w:rFonts w:eastAsiaTheme="minorEastAsia"/>
                <w:b w:val="0"/>
                <w:sz w:val="18"/>
                <w:szCs w:val="18"/>
                <w:lang w:eastAsia="en-US"/>
              </w:rPr>
            </w:pPr>
            <w:r w:rsidRPr="00D76D7F">
              <w:rPr>
                <w:rFonts w:eastAsiaTheme="minorEastAsia"/>
                <w:b w:val="0"/>
                <w:sz w:val="18"/>
                <w:szCs w:val="18"/>
                <w:lang w:eastAsia="en-US"/>
              </w:rPr>
              <w:t>Never smoked</w:t>
            </w:r>
          </w:p>
        </w:tc>
        <w:tc>
          <w:tcPr>
            <w:tcW w:w="536" w:type="dxa"/>
            <w:tcBorders>
              <w:top w:val="nil"/>
              <w:left w:val="nil"/>
              <w:bottom w:val="single" w:sz="4" w:space="0" w:color="auto"/>
              <w:right w:val="nil"/>
            </w:tcBorders>
            <w:shd w:val="clear" w:color="auto" w:fill="auto"/>
            <w:noWrap/>
            <w:vAlign w:val="center"/>
          </w:tcPr>
          <w:p w14:paraId="3DE6E770"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194</w:t>
            </w:r>
          </w:p>
        </w:tc>
        <w:tc>
          <w:tcPr>
            <w:tcW w:w="579" w:type="dxa"/>
            <w:tcBorders>
              <w:top w:val="nil"/>
              <w:left w:val="nil"/>
              <w:bottom w:val="single" w:sz="4" w:space="0" w:color="auto"/>
              <w:right w:val="nil"/>
            </w:tcBorders>
            <w:shd w:val="clear" w:color="auto" w:fill="auto"/>
            <w:noWrap/>
            <w:vAlign w:val="center"/>
          </w:tcPr>
          <w:p w14:paraId="5E498A4E"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62.7</w:t>
            </w:r>
          </w:p>
        </w:tc>
        <w:tc>
          <w:tcPr>
            <w:tcW w:w="1146" w:type="dxa"/>
            <w:tcBorders>
              <w:top w:val="nil"/>
              <w:left w:val="nil"/>
              <w:bottom w:val="single" w:sz="4" w:space="0" w:color="auto"/>
              <w:right w:val="single" w:sz="4" w:space="0" w:color="auto"/>
            </w:tcBorders>
            <w:shd w:val="clear" w:color="auto" w:fill="auto"/>
            <w:noWrap/>
            <w:vAlign w:val="center"/>
          </w:tcPr>
          <w:p w14:paraId="464BAB47"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(58.7, 66.7)</w:t>
            </w:r>
          </w:p>
        </w:tc>
        <w:tc>
          <w:tcPr>
            <w:tcW w:w="536" w:type="dxa"/>
            <w:tcBorders>
              <w:top w:val="nil"/>
              <w:left w:val="single" w:sz="4" w:space="0" w:color="auto"/>
              <w:bottom w:val="single" w:sz="4" w:space="0" w:color="auto"/>
              <w:right w:val="nil"/>
            </w:tcBorders>
            <w:shd w:val="clear" w:color="auto" w:fill="auto"/>
            <w:noWrap/>
            <w:vAlign w:val="center"/>
          </w:tcPr>
          <w:p w14:paraId="5FF68D92"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115</w:t>
            </w:r>
          </w:p>
        </w:tc>
        <w:tc>
          <w:tcPr>
            <w:tcW w:w="621" w:type="dxa"/>
            <w:tcBorders>
              <w:top w:val="nil"/>
              <w:left w:val="nil"/>
              <w:bottom w:val="single" w:sz="4" w:space="0" w:color="auto"/>
              <w:right w:val="nil"/>
            </w:tcBorders>
            <w:shd w:val="clear" w:color="auto" w:fill="auto"/>
            <w:noWrap/>
            <w:vAlign w:val="center"/>
          </w:tcPr>
          <w:p w14:paraId="10A1FE85"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61.9</w:t>
            </w:r>
          </w:p>
        </w:tc>
        <w:tc>
          <w:tcPr>
            <w:tcW w:w="1146" w:type="dxa"/>
            <w:tcBorders>
              <w:top w:val="nil"/>
              <w:left w:val="nil"/>
              <w:bottom w:val="single" w:sz="4" w:space="0" w:color="auto"/>
              <w:right w:val="single" w:sz="4" w:space="0" w:color="000000"/>
            </w:tcBorders>
            <w:shd w:val="clear" w:color="auto" w:fill="auto"/>
            <w:noWrap/>
            <w:vAlign w:val="center"/>
          </w:tcPr>
          <w:p w14:paraId="31ADFE0C"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(56.6, 67.3)</w:t>
            </w:r>
          </w:p>
        </w:tc>
        <w:tc>
          <w:tcPr>
            <w:tcW w:w="536" w:type="dxa"/>
            <w:tcBorders>
              <w:top w:val="nil"/>
              <w:left w:val="single" w:sz="4" w:space="0" w:color="000000"/>
              <w:bottom w:val="single" w:sz="4" w:space="0" w:color="auto"/>
              <w:right w:val="nil"/>
            </w:tcBorders>
            <w:shd w:val="clear" w:color="auto" w:fill="auto"/>
            <w:vAlign w:val="center"/>
          </w:tcPr>
          <w:p w14:paraId="7AF7E201"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91</w:t>
            </w:r>
          </w:p>
        </w:tc>
        <w:tc>
          <w:tcPr>
            <w:tcW w:w="567" w:type="dxa"/>
            <w:tcBorders>
              <w:top w:val="nil"/>
              <w:left w:val="nil"/>
              <w:bottom w:val="single" w:sz="4" w:space="0" w:color="auto"/>
              <w:right w:val="nil"/>
            </w:tcBorders>
            <w:shd w:val="clear" w:color="auto" w:fill="auto"/>
            <w:vAlign w:val="center"/>
          </w:tcPr>
          <w:p w14:paraId="12A643CA"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61.0</w:t>
            </w:r>
          </w:p>
        </w:tc>
        <w:tc>
          <w:tcPr>
            <w:tcW w:w="1146" w:type="dxa"/>
            <w:tcBorders>
              <w:top w:val="nil"/>
              <w:left w:val="nil"/>
              <w:bottom w:val="single" w:sz="4" w:space="0" w:color="auto"/>
              <w:right w:val="single" w:sz="4" w:space="0" w:color="auto"/>
            </w:tcBorders>
            <w:shd w:val="clear" w:color="auto" w:fill="auto"/>
            <w:vAlign w:val="center"/>
          </w:tcPr>
          <w:p w14:paraId="0F8366F1"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(54.9, 67.1)</w:t>
            </w:r>
          </w:p>
        </w:tc>
        <w:tc>
          <w:tcPr>
            <w:tcW w:w="536" w:type="dxa"/>
            <w:tcBorders>
              <w:top w:val="nil"/>
              <w:left w:val="single" w:sz="4" w:space="0" w:color="auto"/>
              <w:bottom w:val="single" w:sz="4" w:space="0" w:color="auto"/>
              <w:right w:val="nil"/>
            </w:tcBorders>
            <w:shd w:val="clear" w:color="auto" w:fill="auto"/>
            <w:vAlign w:val="center"/>
          </w:tcPr>
          <w:p w14:paraId="3F10D4C3"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84</w:t>
            </w:r>
          </w:p>
        </w:tc>
        <w:tc>
          <w:tcPr>
            <w:tcW w:w="576" w:type="dxa"/>
            <w:tcBorders>
              <w:top w:val="nil"/>
              <w:left w:val="nil"/>
              <w:bottom w:val="single" w:sz="4" w:space="0" w:color="auto"/>
              <w:right w:val="nil"/>
            </w:tcBorders>
            <w:shd w:val="clear" w:color="auto" w:fill="auto"/>
            <w:vAlign w:val="center"/>
          </w:tcPr>
          <w:p w14:paraId="03BF12F0"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63.3</w:t>
            </w:r>
          </w:p>
        </w:tc>
        <w:tc>
          <w:tcPr>
            <w:tcW w:w="1146" w:type="dxa"/>
            <w:tcBorders>
              <w:top w:val="nil"/>
              <w:left w:val="nil"/>
              <w:bottom w:val="single" w:sz="4" w:space="0" w:color="auto"/>
              <w:right w:val="nil"/>
            </w:tcBorders>
            <w:shd w:val="clear" w:color="auto" w:fill="auto"/>
            <w:vAlign w:val="center"/>
          </w:tcPr>
          <w:p w14:paraId="54462959" w14:textId="77777777" w:rsidR="008C60C5" w:rsidRPr="00D76D7F" w:rsidRDefault="008C60C5" w:rsidP="008C60C5">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76D7F">
              <w:rPr>
                <w:color w:val="000000"/>
                <w:sz w:val="18"/>
                <w:szCs w:val="18"/>
              </w:rPr>
              <w:t>(57.0, 69.5)</w:t>
            </w:r>
          </w:p>
        </w:tc>
      </w:tr>
    </w:tbl>
    <w:p w14:paraId="6722F2DC" w14:textId="77777777" w:rsidR="008C60C5" w:rsidRPr="00D76D7F" w:rsidRDefault="008C60C5" w:rsidP="00D76D7F">
      <w:pPr>
        <w:ind w:left="709"/>
        <w:rPr>
          <w:sz w:val="18"/>
        </w:rPr>
      </w:pPr>
      <w:r w:rsidRPr="00D76D7F">
        <w:rPr>
          <w:sz w:val="18"/>
        </w:rPr>
        <w:t>Data weighted for 2013 Census data (all waves) and attrition (Waves 2, 3 and 4)</w:t>
      </w:r>
    </w:p>
    <w:p w14:paraId="42CBC44E" w14:textId="77777777" w:rsidR="008C60C5" w:rsidRDefault="008C60C5" w:rsidP="00D76D7F">
      <w:pPr>
        <w:pStyle w:val="RepNormal"/>
        <w:ind w:left="709"/>
        <w:rPr>
          <w:sz w:val="18"/>
        </w:rPr>
      </w:pPr>
      <w:r w:rsidRPr="00D76D7F">
        <w:rPr>
          <w:sz w:val="18"/>
        </w:rPr>
        <w:t>Wave 1 N=6,251; Wave 2 N=3,745; Wave 3 N=3,115; Wave 4 N=2,770</w:t>
      </w:r>
    </w:p>
    <w:p w14:paraId="1E36AAC5" w14:textId="77777777" w:rsidR="00ED1E40" w:rsidRPr="00ED1E40" w:rsidRDefault="00ED1E40" w:rsidP="00ED1E40">
      <w:pPr>
        <w:spacing w:after="200" w:line="276" w:lineRule="auto"/>
        <w:ind w:left="709"/>
        <w:rPr>
          <w:sz w:val="18"/>
        </w:rPr>
      </w:pPr>
      <w:r w:rsidRPr="00ED1E40">
        <w:rPr>
          <w:sz w:val="18"/>
        </w:rPr>
        <w:t>! Meaningful confidence intervals not calculable due to small sample size</w:t>
      </w:r>
    </w:p>
    <w:p w14:paraId="32421784" w14:textId="77777777" w:rsidR="00ED1E40" w:rsidRPr="00D76D7F" w:rsidRDefault="00ED1E40" w:rsidP="00D76D7F">
      <w:pPr>
        <w:pStyle w:val="RepNormal"/>
        <w:ind w:left="709"/>
        <w:rPr>
          <w:sz w:val="18"/>
        </w:rPr>
      </w:pPr>
    </w:p>
    <w:p w14:paraId="2C8CF587" w14:textId="77777777" w:rsidR="008C60C5" w:rsidRPr="00C45FDB" w:rsidRDefault="008C60C5" w:rsidP="008C60C5">
      <w:pPr>
        <w:pStyle w:val="RepNormal"/>
        <w:rPr>
          <w:sz w:val="16"/>
        </w:rPr>
      </w:pPr>
    </w:p>
    <w:p w14:paraId="36B3F5F7" w14:textId="77777777" w:rsidR="008C60C5" w:rsidRPr="008C60C5" w:rsidRDefault="008C60C5" w:rsidP="008C60C5">
      <w:pPr>
        <w:pStyle w:val="RepNormal"/>
      </w:pPr>
    </w:p>
    <w:p w14:paraId="30EFC7DE" w14:textId="77777777" w:rsidR="00CE46F7" w:rsidRDefault="00CE46F7">
      <w:pPr>
        <w:spacing w:after="200" w:line="276" w:lineRule="auto"/>
        <w:rPr>
          <w:rFonts w:eastAsiaTheme="majorEastAsia" w:cstheme="majorBidi"/>
          <w:b/>
          <w:bCs/>
          <w:caps/>
          <w:szCs w:val="28"/>
          <w:lang w:eastAsia="en-US"/>
        </w:rPr>
      </w:pPr>
    </w:p>
    <w:p w14:paraId="79D35FE5" w14:textId="77777777" w:rsidR="00D9465C" w:rsidRDefault="00D9465C">
      <w:pPr>
        <w:spacing w:after="200" w:line="276" w:lineRule="auto"/>
        <w:rPr>
          <w:rFonts w:eastAsiaTheme="majorEastAsia" w:cstheme="majorBidi"/>
          <w:b/>
          <w:bCs/>
          <w:caps/>
          <w:szCs w:val="28"/>
          <w:lang w:eastAsia="en-US"/>
        </w:rPr>
      </w:pPr>
      <w:r>
        <w:br w:type="page"/>
      </w:r>
    </w:p>
    <w:p w14:paraId="3D12C2A3" w14:textId="77777777" w:rsidR="0013235A" w:rsidRDefault="0013235A" w:rsidP="0013235A">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rPr>
          <w:rFonts w:cs="Times New Roman"/>
          <w:caps w:val="0"/>
        </w:rPr>
      </w:pPr>
      <w:bookmarkStart w:id="211" w:name="_Toc504488411"/>
      <w:r w:rsidRPr="00AE7AD8">
        <w:t xml:space="preserve">APPENDIX </w:t>
      </w:r>
      <w:r>
        <w:t>18</w:t>
      </w:r>
      <w:r w:rsidRPr="00AE7AD8">
        <w:t>:</w:t>
      </w:r>
      <w:r w:rsidRPr="00AE7AD8">
        <w:br/>
      </w:r>
      <w:r w:rsidR="00315163">
        <w:rPr>
          <w:rFonts w:cs="Times New Roman"/>
          <w:caps w:val="0"/>
        </w:rPr>
        <w:t>H</w:t>
      </w:r>
      <w:r w:rsidRPr="00AE7AD8">
        <w:rPr>
          <w:rFonts w:cs="Times New Roman"/>
          <w:caps w:val="0"/>
        </w:rPr>
        <w:t>ealth status in Waves 1, 2</w:t>
      </w:r>
      <w:r>
        <w:rPr>
          <w:rFonts w:cs="Times New Roman"/>
          <w:caps w:val="0"/>
        </w:rPr>
        <w:t>,</w:t>
      </w:r>
      <w:r w:rsidRPr="00AE7AD8">
        <w:rPr>
          <w:rFonts w:cs="Times New Roman"/>
          <w:caps w:val="0"/>
        </w:rPr>
        <w:t xml:space="preserve"> 3</w:t>
      </w:r>
      <w:r>
        <w:rPr>
          <w:rFonts w:cs="Times New Roman"/>
          <w:caps w:val="0"/>
        </w:rPr>
        <w:t xml:space="preserve"> and 4 - Asian</w:t>
      </w:r>
      <w:bookmarkEnd w:id="211"/>
    </w:p>
    <w:p w14:paraId="13C1B72B" w14:textId="77777777" w:rsidR="0013235A" w:rsidRPr="00BA05A5" w:rsidRDefault="0013235A" w:rsidP="0013235A"/>
    <w:tbl>
      <w:tblPr>
        <w:tblStyle w:val="LightShading4"/>
        <w:tblW w:w="0" w:type="auto"/>
        <w:jc w:val="center"/>
        <w:tblLayout w:type="fixed"/>
        <w:tblLook w:val="06A0" w:firstRow="1" w:lastRow="0" w:firstColumn="1" w:lastColumn="0" w:noHBand="1" w:noVBand="1"/>
      </w:tblPr>
      <w:tblGrid>
        <w:gridCol w:w="3540"/>
        <w:gridCol w:w="536"/>
        <w:gridCol w:w="579"/>
        <w:gridCol w:w="1146"/>
        <w:gridCol w:w="536"/>
        <w:gridCol w:w="621"/>
        <w:gridCol w:w="1146"/>
        <w:gridCol w:w="536"/>
        <w:gridCol w:w="567"/>
        <w:gridCol w:w="1146"/>
        <w:gridCol w:w="536"/>
        <w:gridCol w:w="576"/>
        <w:gridCol w:w="1146"/>
      </w:tblGrid>
      <w:tr w:rsidR="0013235A" w:rsidRPr="00CE46F7" w14:paraId="042D2E3A" w14:textId="77777777" w:rsidTr="00CE46F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40" w:type="dxa"/>
            <w:vMerge w:val="restart"/>
            <w:tcBorders>
              <w:bottom w:val="single" w:sz="4" w:space="0" w:color="auto"/>
            </w:tcBorders>
            <w:vAlign w:val="bottom"/>
            <w:hideMark/>
          </w:tcPr>
          <w:p w14:paraId="099C98D5" w14:textId="77777777" w:rsidR="0013235A" w:rsidRPr="00CE46F7" w:rsidRDefault="0013235A" w:rsidP="007B4EF8">
            <w:pPr>
              <w:spacing w:before="20" w:after="20"/>
              <w:rPr>
                <w:rFonts w:eastAsiaTheme="minorEastAsia"/>
                <w:sz w:val="18"/>
                <w:szCs w:val="18"/>
                <w:lang w:eastAsia="en-US"/>
              </w:rPr>
            </w:pPr>
            <w:r w:rsidRPr="00CE46F7">
              <w:rPr>
                <w:rFonts w:eastAsiaTheme="minorEastAsia"/>
                <w:sz w:val="18"/>
                <w:szCs w:val="18"/>
              </w:rPr>
              <w:t>Health variable</w:t>
            </w:r>
          </w:p>
        </w:tc>
        <w:tc>
          <w:tcPr>
            <w:tcW w:w="2261" w:type="dxa"/>
            <w:gridSpan w:val="3"/>
            <w:tcBorders>
              <w:bottom w:val="single" w:sz="4" w:space="0" w:color="auto"/>
              <w:right w:val="single" w:sz="4" w:space="0" w:color="auto"/>
            </w:tcBorders>
            <w:noWrap/>
            <w:vAlign w:val="center"/>
            <w:hideMark/>
          </w:tcPr>
          <w:p w14:paraId="579FDD4C" w14:textId="77777777" w:rsidR="0013235A" w:rsidRPr="00CE46F7" w:rsidRDefault="0013235A" w:rsidP="007B4EF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8"/>
                <w:szCs w:val="18"/>
                <w:lang w:eastAsia="en-US"/>
              </w:rPr>
            </w:pPr>
            <w:r w:rsidRPr="00CE46F7">
              <w:rPr>
                <w:rFonts w:eastAsiaTheme="minorEastAsia"/>
                <w:sz w:val="18"/>
                <w:szCs w:val="18"/>
              </w:rPr>
              <w:t>Wave 1</w:t>
            </w:r>
          </w:p>
        </w:tc>
        <w:tc>
          <w:tcPr>
            <w:tcW w:w="2303" w:type="dxa"/>
            <w:gridSpan w:val="3"/>
            <w:tcBorders>
              <w:left w:val="single" w:sz="4" w:space="0" w:color="auto"/>
              <w:bottom w:val="single" w:sz="4" w:space="0" w:color="auto"/>
            </w:tcBorders>
            <w:vAlign w:val="center"/>
          </w:tcPr>
          <w:p w14:paraId="2AF9961C" w14:textId="77777777" w:rsidR="0013235A" w:rsidRPr="00CE46F7" w:rsidRDefault="0013235A" w:rsidP="007B4EF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CE46F7">
              <w:rPr>
                <w:rFonts w:eastAsiaTheme="minorEastAsia"/>
                <w:sz w:val="18"/>
                <w:szCs w:val="18"/>
                <w:lang w:eastAsia="en-US"/>
              </w:rPr>
              <w:t>Wave 2</w:t>
            </w:r>
          </w:p>
        </w:tc>
        <w:tc>
          <w:tcPr>
            <w:tcW w:w="2249" w:type="dxa"/>
            <w:gridSpan w:val="3"/>
            <w:tcBorders>
              <w:left w:val="single" w:sz="4" w:space="0" w:color="auto"/>
              <w:bottom w:val="single" w:sz="4" w:space="0" w:color="auto"/>
            </w:tcBorders>
          </w:tcPr>
          <w:p w14:paraId="4400806C" w14:textId="77777777" w:rsidR="0013235A" w:rsidRPr="00CE46F7" w:rsidRDefault="0013235A" w:rsidP="007B4EF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CE46F7">
              <w:rPr>
                <w:rFonts w:eastAsiaTheme="minorEastAsia"/>
                <w:sz w:val="18"/>
                <w:szCs w:val="18"/>
                <w:lang w:eastAsia="en-US"/>
              </w:rPr>
              <w:t>Wave 3</w:t>
            </w:r>
          </w:p>
        </w:tc>
        <w:tc>
          <w:tcPr>
            <w:tcW w:w="2258" w:type="dxa"/>
            <w:gridSpan w:val="3"/>
            <w:tcBorders>
              <w:left w:val="single" w:sz="4" w:space="0" w:color="auto"/>
              <w:bottom w:val="single" w:sz="4" w:space="0" w:color="auto"/>
            </w:tcBorders>
          </w:tcPr>
          <w:p w14:paraId="624B7750" w14:textId="77777777" w:rsidR="0013235A" w:rsidRPr="00CE46F7" w:rsidRDefault="0013235A" w:rsidP="007B4EF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CE46F7">
              <w:rPr>
                <w:rFonts w:eastAsiaTheme="minorEastAsia"/>
                <w:sz w:val="18"/>
                <w:szCs w:val="18"/>
                <w:lang w:eastAsia="en-US"/>
              </w:rPr>
              <w:t>Wave 4</w:t>
            </w:r>
          </w:p>
        </w:tc>
      </w:tr>
      <w:tr w:rsidR="0013235A" w:rsidRPr="00CE46F7" w14:paraId="35CB99C8" w14:textId="77777777" w:rsidTr="00CE46F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40" w:type="dxa"/>
            <w:vMerge/>
            <w:tcBorders>
              <w:bottom w:val="single" w:sz="4" w:space="0" w:color="auto"/>
            </w:tcBorders>
            <w:vAlign w:val="center"/>
            <w:hideMark/>
          </w:tcPr>
          <w:p w14:paraId="54532BB4" w14:textId="77777777" w:rsidR="0013235A" w:rsidRPr="00CE46F7" w:rsidRDefault="0013235A" w:rsidP="007B4EF8">
            <w:pPr>
              <w:spacing w:before="20" w:after="20"/>
              <w:rPr>
                <w:rFonts w:eastAsiaTheme="minorEastAsia"/>
                <w:sz w:val="18"/>
                <w:szCs w:val="18"/>
                <w:lang w:eastAsia="en-US"/>
              </w:rPr>
            </w:pPr>
          </w:p>
        </w:tc>
        <w:tc>
          <w:tcPr>
            <w:tcW w:w="536" w:type="dxa"/>
            <w:tcBorders>
              <w:top w:val="single" w:sz="4" w:space="0" w:color="auto"/>
              <w:bottom w:val="single" w:sz="4" w:space="0" w:color="auto"/>
            </w:tcBorders>
            <w:noWrap/>
            <w:vAlign w:val="center"/>
            <w:hideMark/>
          </w:tcPr>
          <w:p w14:paraId="15C080EB" w14:textId="77777777" w:rsidR="0013235A" w:rsidRPr="00CE46F7" w:rsidRDefault="0013235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CE46F7">
              <w:rPr>
                <w:rFonts w:eastAsiaTheme="minorEastAsia"/>
                <w:sz w:val="18"/>
                <w:szCs w:val="18"/>
              </w:rPr>
              <w:t>n</w:t>
            </w:r>
          </w:p>
        </w:tc>
        <w:tc>
          <w:tcPr>
            <w:tcW w:w="579" w:type="dxa"/>
            <w:tcBorders>
              <w:top w:val="single" w:sz="4" w:space="0" w:color="auto"/>
              <w:bottom w:val="single" w:sz="4" w:space="0" w:color="auto"/>
            </w:tcBorders>
            <w:noWrap/>
            <w:vAlign w:val="center"/>
            <w:hideMark/>
          </w:tcPr>
          <w:p w14:paraId="151E79C3" w14:textId="77777777" w:rsidR="0013235A" w:rsidRPr="00CE46F7" w:rsidRDefault="0013235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CE46F7">
              <w:rPr>
                <w:rFonts w:eastAsiaTheme="minorEastAsia"/>
                <w:sz w:val="18"/>
                <w:szCs w:val="18"/>
              </w:rPr>
              <w:t>%</w:t>
            </w:r>
          </w:p>
        </w:tc>
        <w:tc>
          <w:tcPr>
            <w:tcW w:w="1146" w:type="dxa"/>
            <w:tcBorders>
              <w:top w:val="single" w:sz="4" w:space="0" w:color="auto"/>
              <w:bottom w:val="single" w:sz="4" w:space="0" w:color="auto"/>
              <w:right w:val="single" w:sz="4" w:space="0" w:color="auto"/>
            </w:tcBorders>
            <w:noWrap/>
            <w:vAlign w:val="center"/>
          </w:tcPr>
          <w:p w14:paraId="4D31DEC4" w14:textId="77777777" w:rsidR="0013235A" w:rsidRPr="00CE46F7" w:rsidRDefault="0013235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CE46F7">
              <w:rPr>
                <w:rFonts w:eastAsiaTheme="minorEastAsia"/>
                <w:sz w:val="18"/>
                <w:szCs w:val="18"/>
                <w:lang w:eastAsia="en-US"/>
              </w:rPr>
              <w:t>(95% CI)</w:t>
            </w:r>
          </w:p>
        </w:tc>
        <w:tc>
          <w:tcPr>
            <w:tcW w:w="536" w:type="dxa"/>
            <w:tcBorders>
              <w:top w:val="single" w:sz="4" w:space="0" w:color="auto"/>
              <w:left w:val="single" w:sz="4" w:space="0" w:color="auto"/>
              <w:bottom w:val="single" w:sz="4" w:space="0" w:color="auto"/>
            </w:tcBorders>
            <w:noWrap/>
            <w:vAlign w:val="center"/>
          </w:tcPr>
          <w:p w14:paraId="0D3BF680" w14:textId="77777777" w:rsidR="0013235A" w:rsidRPr="00CE46F7" w:rsidRDefault="0013235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CE46F7">
              <w:rPr>
                <w:rFonts w:eastAsiaTheme="minorEastAsia"/>
                <w:sz w:val="18"/>
                <w:szCs w:val="18"/>
                <w:lang w:eastAsia="en-US"/>
              </w:rPr>
              <w:t>n</w:t>
            </w:r>
          </w:p>
        </w:tc>
        <w:tc>
          <w:tcPr>
            <w:tcW w:w="621" w:type="dxa"/>
            <w:tcBorders>
              <w:top w:val="single" w:sz="4" w:space="0" w:color="auto"/>
              <w:bottom w:val="single" w:sz="4" w:space="0" w:color="auto"/>
            </w:tcBorders>
            <w:noWrap/>
            <w:vAlign w:val="center"/>
          </w:tcPr>
          <w:p w14:paraId="506C3230" w14:textId="77777777" w:rsidR="0013235A" w:rsidRPr="00CE46F7" w:rsidRDefault="0013235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CE46F7">
              <w:rPr>
                <w:rFonts w:eastAsiaTheme="minorEastAsia"/>
                <w:sz w:val="18"/>
                <w:szCs w:val="18"/>
                <w:lang w:eastAsia="en-US"/>
              </w:rPr>
              <w:t>%</w:t>
            </w:r>
          </w:p>
        </w:tc>
        <w:tc>
          <w:tcPr>
            <w:tcW w:w="1146" w:type="dxa"/>
            <w:tcBorders>
              <w:top w:val="single" w:sz="4" w:space="0" w:color="auto"/>
              <w:bottom w:val="single" w:sz="4" w:space="0" w:color="auto"/>
              <w:right w:val="single" w:sz="4" w:space="0" w:color="000000"/>
            </w:tcBorders>
            <w:shd w:val="clear" w:color="auto" w:fill="FFFFFF" w:themeFill="background1"/>
            <w:noWrap/>
            <w:vAlign w:val="center"/>
          </w:tcPr>
          <w:p w14:paraId="61CE4349" w14:textId="77777777" w:rsidR="0013235A" w:rsidRPr="00CE46F7" w:rsidRDefault="0013235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CE46F7">
              <w:rPr>
                <w:rFonts w:eastAsiaTheme="minorEastAsia"/>
                <w:sz w:val="18"/>
                <w:szCs w:val="18"/>
                <w:lang w:eastAsia="en-US"/>
              </w:rPr>
              <w:t>(95% CI)</w:t>
            </w:r>
          </w:p>
        </w:tc>
        <w:tc>
          <w:tcPr>
            <w:tcW w:w="536" w:type="dxa"/>
            <w:tcBorders>
              <w:top w:val="single" w:sz="4" w:space="0" w:color="auto"/>
              <w:left w:val="single" w:sz="4" w:space="0" w:color="000000"/>
              <w:bottom w:val="single" w:sz="4" w:space="0" w:color="auto"/>
            </w:tcBorders>
            <w:shd w:val="clear" w:color="auto" w:fill="FFFFFF" w:themeFill="background1"/>
            <w:vAlign w:val="center"/>
          </w:tcPr>
          <w:p w14:paraId="40F83E48" w14:textId="77777777" w:rsidR="0013235A" w:rsidRPr="00CE46F7" w:rsidRDefault="0013235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CE46F7">
              <w:rPr>
                <w:rFonts w:eastAsiaTheme="minorEastAsia"/>
                <w:sz w:val="18"/>
                <w:szCs w:val="18"/>
                <w:lang w:eastAsia="en-US"/>
              </w:rPr>
              <w:t>n</w:t>
            </w:r>
          </w:p>
        </w:tc>
        <w:tc>
          <w:tcPr>
            <w:tcW w:w="567" w:type="dxa"/>
            <w:tcBorders>
              <w:top w:val="single" w:sz="4" w:space="0" w:color="auto"/>
              <w:bottom w:val="single" w:sz="4" w:space="0" w:color="auto"/>
            </w:tcBorders>
            <w:shd w:val="clear" w:color="auto" w:fill="FFFFFF" w:themeFill="background1"/>
            <w:vAlign w:val="center"/>
          </w:tcPr>
          <w:p w14:paraId="0E7A262D" w14:textId="77777777" w:rsidR="0013235A" w:rsidRPr="00CE46F7" w:rsidRDefault="0013235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CE46F7">
              <w:rPr>
                <w:rFonts w:eastAsiaTheme="minorEastAsia"/>
                <w:sz w:val="18"/>
                <w:szCs w:val="18"/>
                <w:lang w:eastAsia="en-US"/>
              </w:rPr>
              <w:t>%</w:t>
            </w:r>
          </w:p>
        </w:tc>
        <w:tc>
          <w:tcPr>
            <w:tcW w:w="1146" w:type="dxa"/>
            <w:tcBorders>
              <w:top w:val="single" w:sz="4" w:space="0" w:color="auto"/>
              <w:bottom w:val="single" w:sz="4" w:space="0" w:color="auto"/>
              <w:right w:val="single" w:sz="4" w:space="0" w:color="000000"/>
            </w:tcBorders>
            <w:shd w:val="clear" w:color="auto" w:fill="FFFFFF" w:themeFill="background1"/>
            <w:vAlign w:val="center"/>
          </w:tcPr>
          <w:p w14:paraId="7F1753E7" w14:textId="77777777" w:rsidR="0013235A" w:rsidRPr="00CE46F7" w:rsidRDefault="0013235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CE46F7">
              <w:rPr>
                <w:rFonts w:eastAsiaTheme="minorEastAsia"/>
                <w:sz w:val="18"/>
                <w:szCs w:val="18"/>
                <w:lang w:eastAsia="en-US"/>
              </w:rPr>
              <w:t>(95% CI)</w:t>
            </w:r>
          </w:p>
        </w:tc>
        <w:tc>
          <w:tcPr>
            <w:tcW w:w="536" w:type="dxa"/>
            <w:tcBorders>
              <w:top w:val="single" w:sz="4" w:space="0" w:color="auto"/>
              <w:left w:val="single" w:sz="4" w:space="0" w:color="000000"/>
              <w:bottom w:val="single" w:sz="4" w:space="0" w:color="auto"/>
            </w:tcBorders>
            <w:shd w:val="clear" w:color="auto" w:fill="FFFFFF" w:themeFill="background1"/>
            <w:vAlign w:val="center"/>
          </w:tcPr>
          <w:p w14:paraId="3CFAB0AA" w14:textId="77777777" w:rsidR="0013235A" w:rsidRPr="00CE46F7" w:rsidRDefault="0013235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CE46F7">
              <w:rPr>
                <w:rFonts w:eastAsiaTheme="minorEastAsia"/>
                <w:sz w:val="18"/>
                <w:szCs w:val="18"/>
                <w:lang w:eastAsia="en-US"/>
              </w:rPr>
              <w:t>n</w:t>
            </w:r>
          </w:p>
        </w:tc>
        <w:tc>
          <w:tcPr>
            <w:tcW w:w="576" w:type="dxa"/>
            <w:tcBorders>
              <w:top w:val="single" w:sz="4" w:space="0" w:color="auto"/>
              <w:bottom w:val="single" w:sz="4" w:space="0" w:color="auto"/>
            </w:tcBorders>
            <w:shd w:val="clear" w:color="auto" w:fill="FFFFFF" w:themeFill="background1"/>
            <w:vAlign w:val="center"/>
          </w:tcPr>
          <w:p w14:paraId="78584B63" w14:textId="77777777" w:rsidR="0013235A" w:rsidRPr="00CE46F7" w:rsidRDefault="0013235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CE46F7">
              <w:rPr>
                <w:rFonts w:eastAsiaTheme="minorEastAsia"/>
                <w:sz w:val="18"/>
                <w:szCs w:val="18"/>
                <w:lang w:eastAsia="en-US"/>
              </w:rPr>
              <w:t>%</w:t>
            </w:r>
          </w:p>
        </w:tc>
        <w:tc>
          <w:tcPr>
            <w:tcW w:w="1146" w:type="dxa"/>
            <w:tcBorders>
              <w:top w:val="single" w:sz="4" w:space="0" w:color="auto"/>
              <w:bottom w:val="single" w:sz="4" w:space="0" w:color="auto"/>
            </w:tcBorders>
            <w:shd w:val="clear" w:color="auto" w:fill="FFFFFF" w:themeFill="background1"/>
            <w:vAlign w:val="center"/>
          </w:tcPr>
          <w:p w14:paraId="6E5108CD" w14:textId="77777777" w:rsidR="0013235A" w:rsidRPr="00CE46F7" w:rsidRDefault="0013235A" w:rsidP="007B4EF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CE46F7">
              <w:rPr>
                <w:rFonts w:eastAsiaTheme="minorEastAsia"/>
                <w:sz w:val="18"/>
                <w:szCs w:val="18"/>
                <w:lang w:eastAsia="en-US"/>
              </w:rPr>
              <w:t>(95% CI)</w:t>
            </w:r>
          </w:p>
        </w:tc>
      </w:tr>
      <w:tr w:rsidR="00CE46F7" w:rsidRPr="00CE46F7" w14:paraId="16AB131F" w14:textId="77777777" w:rsidTr="00CE46F7">
        <w:trPr>
          <w:jc w:val="center"/>
        </w:trPr>
        <w:tc>
          <w:tcPr>
            <w:cnfStyle w:val="001000000000" w:firstRow="0" w:lastRow="0" w:firstColumn="1" w:lastColumn="0" w:oddVBand="0" w:evenVBand="0" w:oddHBand="0" w:evenHBand="0" w:firstRowFirstColumn="0" w:firstRowLastColumn="0" w:lastRowFirstColumn="0" w:lastRowLastColumn="0"/>
            <w:tcW w:w="5801" w:type="dxa"/>
            <w:gridSpan w:val="4"/>
            <w:tcBorders>
              <w:top w:val="single" w:sz="4" w:space="0" w:color="000000"/>
              <w:left w:val="nil"/>
              <w:bottom w:val="nil"/>
              <w:right w:val="single" w:sz="4" w:space="0" w:color="auto"/>
            </w:tcBorders>
            <w:vAlign w:val="center"/>
          </w:tcPr>
          <w:p w14:paraId="5ED76A7E" w14:textId="77777777" w:rsidR="00CE46F7" w:rsidRPr="00CE46F7" w:rsidRDefault="00CE46F7" w:rsidP="00D60727">
            <w:pPr>
              <w:spacing w:before="20" w:after="20"/>
              <w:rPr>
                <w:rFonts w:eastAsiaTheme="minorEastAsia"/>
                <w:sz w:val="18"/>
                <w:szCs w:val="18"/>
                <w:lang w:eastAsia="en-US"/>
              </w:rPr>
            </w:pPr>
            <w:r w:rsidRPr="00CE46F7">
              <w:rPr>
                <w:rFonts w:eastAsiaTheme="minorEastAsia"/>
                <w:bCs w:val="0"/>
                <w:sz w:val="18"/>
                <w:szCs w:val="18"/>
                <w:lang w:eastAsia="en-US"/>
              </w:rPr>
              <w:t xml:space="preserve">Number of </w:t>
            </w:r>
            <w:r w:rsidR="00D60727">
              <w:rPr>
                <w:rFonts w:eastAsiaTheme="minorEastAsia"/>
                <w:bCs w:val="0"/>
                <w:sz w:val="18"/>
                <w:szCs w:val="18"/>
                <w:lang w:eastAsia="en-US"/>
              </w:rPr>
              <w:t>major</w:t>
            </w:r>
            <w:r w:rsidRPr="00CE46F7">
              <w:rPr>
                <w:rFonts w:eastAsiaTheme="minorEastAsia"/>
                <w:bCs w:val="0"/>
                <w:sz w:val="18"/>
                <w:szCs w:val="18"/>
                <w:lang w:eastAsia="en-US"/>
              </w:rPr>
              <w:t xml:space="preserve"> life events</w:t>
            </w:r>
          </w:p>
        </w:tc>
        <w:tc>
          <w:tcPr>
            <w:tcW w:w="536" w:type="dxa"/>
            <w:tcBorders>
              <w:top w:val="nil"/>
              <w:left w:val="single" w:sz="4" w:space="0" w:color="auto"/>
              <w:bottom w:val="nil"/>
              <w:right w:val="nil"/>
            </w:tcBorders>
            <w:noWrap/>
            <w:vAlign w:val="center"/>
          </w:tcPr>
          <w:p w14:paraId="091D3FA4" w14:textId="77777777" w:rsidR="00CE46F7" w:rsidRPr="00CE46F7" w:rsidRDefault="00CE46F7" w:rsidP="007B4EF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nil"/>
              <w:left w:val="nil"/>
              <w:bottom w:val="nil"/>
              <w:right w:val="nil"/>
            </w:tcBorders>
            <w:noWrap/>
            <w:vAlign w:val="center"/>
          </w:tcPr>
          <w:p w14:paraId="421F1E37" w14:textId="77777777" w:rsidR="00CE46F7" w:rsidRPr="00CE46F7" w:rsidRDefault="00CE46F7" w:rsidP="007B4EF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FFFFFF" w:themeFill="background1"/>
            <w:noWrap/>
            <w:vAlign w:val="center"/>
          </w:tcPr>
          <w:p w14:paraId="3ED70131" w14:textId="77777777" w:rsidR="00CE46F7" w:rsidRPr="00CE46F7" w:rsidRDefault="00CE46F7" w:rsidP="007B4EF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36" w:type="dxa"/>
            <w:tcBorders>
              <w:top w:val="nil"/>
              <w:left w:val="single" w:sz="4" w:space="0" w:color="000000"/>
              <w:bottom w:val="nil"/>
              <w:right w:val="nil"/>
            </w:tcBorders>
          </w:tcPr>
          <w:p w14:paraId="59558D24" w14:textId="77777777" w:rsidR="00CE46F7" w:rsidRPr="00CE46F7" w:rsidRDefault="00CE46F7" w:rsidP="007B4EF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67" w:type="dxa"/>
            <w:tcBorders>
              <w:top w:val="nil"/>
              <w:left w:val="nil"/>
              <w:bottom w:val="nil"/>
              <w:right w:val="nil"/>
            </w:tcBorders>
          </w:tcPr>
          <w:p w14:paraId="42147DD6" w14:textId="77777777" w:rsidR="00CE46F7" w:rsidRPr="00CE46F7" w:rsidRDefault="00CE46F7" w:rsidP="007B4EF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single" w:sz="4" w:space="0" w:color="000000"/>
            </w:tcBorders>
          </w:tcPr>
          <w:p w14:paraId="272C59D4" w14:textId="77777777" w:rsidR="00CE46F7" w:rsidRPr="00CE46F7" w:rsidRDefault="00CE46F7" w:rsidP="007B4EF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36" w:type="dxa"/>
            <w:tcBorders>
              <w:top w:val="nil"/>
              <w:left w:val="single" w:sz="4" w:space="0" w:color="000000"/>
              <w:bottom w:val="nil"/>
              <w:right w:val="nil"/>
            </w:tcBorders>
          </w:tcPr>
          <w:p w14:paraId="6B7EE0BF" w14:textId="77777777" w:rsidR="00CE46F7" w:rsidRPr="00CE46F7" w:rsidRDefault="00CE46F7" w:rsidP="007B4EF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576" w:type="dxa"/>
            <w:tcBorders>
              <w:top w:val="nil"/>
              <w:left w:val="nil"/>
              <w:bottom w:val="nil"/>
              <w:right w:val="nil"/>
            </w:tcBorders>
          </w:tcPr>
          <w:p w14:paraId="7D80EB35" w14:textId="77777777" w:rsidR="00CE46F7" w:rsidRPr="00CE46F7" w:rsidRDefault="00CE46F7" w:rsidP="007B4EF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c>
          <w:tcPr>
            <w:tcW w:w="1146" w:type="dxa"/>
            <w:tcBorders>
              <w:top w:val="nil"/>
              <w:left w:val="nil"/>
              <w:bottom w:val="nil"/>
              <w:right w:val="nil"/>
            </w:tcBorders>
          </w:tcPr>
          <w:p w14:paraId="55CC38C7" w14:textId="77777777" w:rsidR="00CE46F7" w:rsidRPr="00CE46F7" w:rsidRDefault="00CE46F7" w:rsidP="007B4EF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8"/>
                <w:szCs w:val="18"/>
                <w:lang w:eastAsia="en-US"/>
              </w:rPr>
            </w:pPr>
          </w:p>
        </w:tc>
      </w:tr>
      <w:tr w:rsidR="009118DA" w:rsidRPr="00CE46F7" w14:paraId="08B6C56A"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3C094429" w14:textId="77777777" w:rsidR="0013235A" w:rsidRPr="00CE46F7" w:rsidRDefault="0013235A" w:rsidP="007B4EF8">
            <w:pPr>
              <w:spacing w:before="20" w:after="20"/>
              <w:ind w:left="34"/>
              <w:rPr>
                <w:rFonts w:eastAsiaTheme="minorEastAsia"/>
                <w:b w:val="0"/>
                <w:sz w:val="18"/>
                <w:szCs w:val="18"/>
                <w:lang w:eastAsia="en-US"/>
              </w:rPr>
            </w:pPr>
            <w:r w:rsidRPr="00CE46F7">
              <w:rPr>
                <w:rFonts w:eastAsiaTheme="minorEastAsia"/>
                <w:b w:val="0"/>
                <w:sz w:val="18"/>
                <w:szCs w:val="18"/>
                <w:lang w:eastAsia="en-US"/>
              </w:rPr>
              <w:t>0</w:t>
            </w:r>
          </w:p>
        </w:tc>
        <w:tc>
          <w:tcPr>
            <w:tcW w:w="536" w:type="dxa"/>
            <w:tcBorders>
              <w:top w:val="nil"/>
              <w:left w:val="nil"/>
              <w:bottom w:val="nil"/>
              <w:right w:val="nil"/>
            </w:tcBorders>
            <w:shd w:val="clear" w:color="auto" w:fill="auto"/>
            <w:noWrap/>
            <w:vAlign w:val="center"/>
          </w:tcPr>
          <w:p w14:paraId="4A889FB4"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CE46F7">
              <w:rPr>
                <w:color w:val="000000"/>
                <w:sz w:val="18"/>
                <w:szCs w:val="18"/>
              </w:rPr>
              <w:t>241</w:t>
            </w:r>
          </w:p>
        </w:tc>
        <w:tc>
          <w:tcPr>
            <w:tcW w:w="579" w:type="dxa"/>
            <w:tcBorders>
              <w:top w:val="nil"/>
              <w:left w:val="nil"/>
              <w:bottom w:val="nil"/>
              <w:right w:val="nil"/>
            </w:tcBorders>
            <w:shd w:val="clear" w:color="auto" w:fill="auto"/>
            <w:noWrap/>
            <w:vAlign w:val="center"/>
          </w:tcPr>
          <w:p w14:paraId="766388D1"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37.7</w:t>
            </w:r>
          </w:p>
        </w:tc>
        <w:tc>
          <w:tcPr>
            <w:tcW w:w="1146" w:type="dxa"/>
            <w:tcBorders>
              <w:top w:val="nil"/>
              <w:left w:val="nil"/>
              <w:bottom w:val="nil"/>
              <w:right w:val="single" w:sz="4" w:space="0" w:color="auto"/>
            </w:tcBorders>
            <w:shd w:val="clear" w:color="auto" w:fill="auto"/>
            <w:noWrap/>
            <w:vAlign w:val="center"/>
          </w:tcPr>
          <w:p w14:paraId="63849E41"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(34.0, 41.4)</w:t>
            </w:r>
          </w:p>
        </w:tc>
        <w:tc>
          <w:tcPr>
            <w:tcW w:w="536" w:type="dxa"/>
            <w:tcBorders>
              <w:top w:val="nil"/>
              <w:left w:val="single" w:sz="4" w:space="0" w:color="auto"/>
              <w:bottom w:val="nil"/>
              <w:right w:val="nil"/>
            </w:tcBorders>
            <w:shd w:val="clear" w:color="auto" w:fill="auto"/>
            <w:noWrap/>
            <w:vAlign w:val="center"/>
          </w:tcPr>
          <w:p w14:paraId="71B805D7"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CE46F7">
              <w:rPr>
                <w:color w:val="000000"/>
                <w:sz w:val="18"/>
                <w:szCs w:val="18"/>
              </w:rPr>
              <w:t>131</w:t>
            </w:r>
          </w:p>
        </w:tc>
        <w:tc>
          <w:tcPr>
            <w:tcW w:w="621" w:type="dxa"/>
            <w:tcBorders>
              <w:top w:val="nil"/>
              <w:left w:val="nil"/>
              <w:bottom w:val="nil"/>
              <w:right w:val="nil"/>
            </w:tcBorders>
            <w:shd w:val="clear" w:color="auto" w:fill="auto"/>
            <w:noWrap/>
            <w:vAlign w:val="center"/>
          </w:tcPr>
          <w:p w14:paraId="3BC50E54"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35.6</w:t>
            </w:r>
          </w:p>
        </w:tc>
        <w:tc>
          <w:tcPr>
            <w:tcW w:w="1146" w:type="dxa"/>
            <w:tcBorders>
              <w:top w:val="nil"/>
              <w:left w:val="nil"/>
              <w:bottom w:val="nil"/>
              <w:right w:val="single" w:sz="4" w:space="0" w:color="000000"/>
            </w:tcBorders>
            <w:shd w:val="clear" w:color="auto" w:fill="auto"/>
            <w:noWrap/>
            <w:vAlign w:val="center"/>
          </w:tcPr>
          <w:p w14:paraId="11C384DC"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(30.4, 40.7)</w:t>
            </w:r>
          </w:p>
        </w:tc>
        <w:tc>
          <w:tcPr>
            <w:tcW w:w="536" w:type="dxa"/>
            <w:tcBorders>
              <w:top w:val="nil"/>
              <w:left w:val="single" w:sz="4" w:space="0" w:color="000000"/>
              <w:bottom w:val="nil"/>
              <w:right w:val="nil"/>
            </w:tcBorders>
            <w:shd w:val="clear" w:color="auto" w:fill="auto"/>
            <w:vAlign w:val="center"/>
          </w:tcPr>
          <w:p w14:paraId="14CCA552"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CE46F7">
              <w:rPr>
                <w:color w:val="000000"/>
                <w:sz w:val="18"/>
                <w:szCs w:val="18"/>
              </w:rPr>
              <w:t>98</w:t>
            </w:r>
          </w:p>
        </w:tc>
        <w:tc>
          <w:tcPr>
            <w:tcW w:w="567" w:type="dxa"/>
            <w:tcBorders>
              <w:top w:val="nil"/>
              <w:left w:val="nil"/>
              <w:bottom w:val="nil"/>
              <w:right w:val="nil"/>
            </w:tcBorders>
            <w:shd w:val="clear" w:color="auto" w:fill="auto"/>
            <w:vAlign w:val="center"/>
          </w:tcPr>
          <w:p w14:paraId="09EEF383"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31.6</w:t>
            </w:r>
          </w:p>
        </w:tc>
        <w:tc>
          <w:tcPr>
            <w:tcW w:w="1146" w:type="dxa"/>
            <w:tcBorders>
              <w:top w:val="nil"/>
              <w:left w:val="nil"/>
              <w:bottom w:val="nil"/>
              <w:right w:val="single" w:sz="4" w:space="0" w:color="000000"/>
            </w:tcBorders>
            <w:shd w:val="clear" w:color="auto" w:fill="auto"/>
            <w:vAlign w:val="center"/>
          </w:tcPr>
          <w:p w14:paraId="2F00AF53"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(26.0, 37.2)</w:t>
            </w:r>
          </w:p>
        </w:tc>
        <w:tc>
          <w:tcPr>
            <w:tcW w:w="536" w:type="dxa"/>
            <w:tcBorders>
              <w:top w:val="nil"/>
              <w:left w:val="single" w:sz="4" w:space="0" w:color="000000"/>
              <w:bottom w:val="nil"/>
              <w:right w:val="nil"/>
            </w:tcBorders>
            <w:shd w:val="clear" w:color="auto" w:fill="auto"/>
            <w:vAlign w:val="center"/>
          </w:tcPr>
          <w:p w14:paraId="4852C89C"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CE46F7">
              <w:rPr>
                <w:color w:val="000000"/>
                <w:sz w:val="18"/>
                <w:szCs w:val="18"/>
              </w:rPr>
              <w:t>119</w:t>
            </w:r>
          </w:p>
        </w:tc>
        <w:tc>
          <w:tcPr>
            <w:tcW w:w="576" w:type="dxa"/>
            <w:tcBorders>
              <w:top w:val="nil"/>
              <w:left w:val="nil"/>
              <w:bottom w:val="nil"/>
              <w:right w:val="nil"/>
            </w:tcBorders>
            <w:shd w:val="clear" w:color="auto" w:fill="auto"/>
            <w:vAlign w:val="center"/>
          </w:tcPr>
          <w:p w14:paraId="2AE6F120"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42.4</w:t>
            </w:r>
          </w:p>
        </w:tc>
        <w:tc>
          <w:tcPr>
            <w:tcW w:w="1146" w:type="dxa"/>
            <w:tcBorders>
              <w:top w:val="nil"/>
              <w:left w:val="nil"/>
              <w:bottom w:val="nil"/>
              <w:right w:val="nil"/>
            </w:tcBorders>
            <w:shd w:val="clear" w:color="auto" w:fill="auto"/>
            <w:vAlign w:val="center"/>
          </w:tcPr>
          <w:p w14:paraId="78BD140A"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(35.7, 49.2)</w:t>
            </w:r>
          </w:p>
        </w:tc>
      </w:tr>
      <w:tr w:rsidR="009118DA" w:rsidRPr="00CE46F7" w14:paraId="5C7C879C"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66C017B2" w14:textId="77777777" w:rsidR="0013235A" w:rsidRPr="00CE46F7" w:rsidRDefault="0013235A" w:rsidP="007B4EF8">
            <w:pPr>
              <w:spacing w:before="20" w:after="20"/>
              <w:ind w:left="34"/>
              <w:rPr>
                <w:rFonts w:eastAsiaTheme="minorEastAsia"/>
                <w:b w:val="0"/>
                <w:sz w:val="18"/>
                <w:szCs w:val="18"/>
                <w:lang w:eastAsia="en-US"/>
              </w:rPr>
            </w:pPr>
            <w:r w:rsidRPr="00CE46F7">
              <w:rPr>
                <w:rFonts w:eastAsiaTheme="minorEastAsia"/>
                <w:b w:val="0"/>
                <w:sz w:val="18"/>
                <w:szCs w:val="18"/>
                <w:lang w:eastAsia="en-US"/>
              </w:rPr>
              <w:t>1</w:t>
            </w:r>
          </w:p>
        </w:tc>
        <w:tc>
          <w:tcPr>
            <w:tcW w:w="536" w:type="dxa"/>
            <w:tcBorders>
              <w:top w:val="nil"/>
              <w:left w:val="nil"/>
              <w:bottom w:val="nil"/>
              <w:right w:val="nil"/>
            </w:tcBorders>
            <w:shd w:val="clear" w:color="auto" w:fill="auto"/>
            <w:noWrap/>
            <w:vAlign w:val="center"/>
          </w:tcPr>
          <w:p w14:paraId="7259FD99"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164</w:t>
            </w:r>
          </w:p>
        </w:tc>
        <w:tc>
          <w:tcPr>
            <w:tcW w:w="579" w:type="dxa"/>
            <w:tcBorders>
              <w:top w:val="nil"/>
              <w:left w:val="nil"/>
              <w:bottom w:val="nil"/>
              <w:right w:val="nil"/>
            </w:tcBorders>
            <w:shd w:val="clear" w:color="auto" w:fill="auto"/>
            <w:noWrap/>
            <w:vAlign w:val="center"/>
          </w:tcPr>
          <w:p w14:paraId="0162D30B"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25.8</w:t>
            </w:r>
          </w:p>
        </w:tc>
        <w:tc>
          <w:tcPr>
            <w:tcW w:w="1146" w:type="dxa"/>
            <w:tcBorders>
              <w:top w:val="nil"/>
              <w:left w:val="nil"/>
              <w:bottom w:val="nil"/>
              <w:right w:val="single" w:sz="4" w:space="0" w:color="auto"/>
            </w:tcBorders>
            <w:shd w:val="clear" w:color="auto" w:fill="auto"/>
            <w:noWrap/>
            <w:vAlign w:val="center"/>
          </w:tcPr>
          <w:p w14:paraId="4746F53C"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(22.4, 29.1)</w:t>
            </w:r>
          </w:p>
        </w:tc>
        <w:tc>
          <w:tcPr>
            <w:tcW w:w="536" w:type="dxa"/>
            <w:tcBorders>
              <w:top w:val="nil"/>
              <w:left w:val="single" w:sz="4" w:space="0" w:color="auto"/>
              <w:bottom w:val="nil"/>
              <w:right w:val="nil"/>
            </w:tcBorders>
            <w:shd w:val="clear" w:color="auto" w:fill="auto"/>
            <w:noWrap/>
            <w:vAlign w:val="center"/>
          </w:tcPr>
          <w:p w14:paraId="083AC708"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124</w:t>
            </w:r>
          </w:p>
        </w:tc>
        <w:tc>
          <w:tcPr>
            <w:tcW w:w="621" w:type="dxa"/>
            <w:tcBorders>
              <w:top w:val="nil"/>
              <w:left w:val="nil"/>
              <w:bottom w:val="nil"/>
              <w:right w:val="nil"/>
            </w:tcBorders>
            <w:shd w:val="clear" w:color="auto" w:fill="auto"/>
            <w:noWrap/>
            <w:vAlign w:val="center"/>
          </w:tcPr>
          <w:p w14:paraId="51F240BE"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33.6</w:t>
            </w:r>
          </w:p>
        </w:tc>
        <w:tc>
          <w:tcPr>
            <w:tcW w:w="1146" w:type="dxa"/>
            <w:tcBorders>
              <w:top w:val="nil"/>
              <w:left w:val="nil"/>
              <w:bottom w:val="nil"/>
              <w:right w:val="single" w:sz="4" w:space="0" w:color="000000"/>
            </w:tcBorders>
            <w:shd w:val="clear" w:color="auto" w:fill="auto"/>
            <w:noWrap/>
            <w:vAlign w:val="center"/>
          </w:tcPr>
          <w:p w14:paraId="55AA93C3"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(28.4, 38.7)</w:t>
            </w:r>
          </w:p>
        </w:tc>
        <w:tc>
          <w:tcPr>
            <w:tcW w:w="536" w:type="dxa"/>
            <w:tcBorders>
              <w:top w:val="nil"/>
              <w:left w:val="single" w:sz="4" w:space="0" w:color="000000"/>
              <w:bottom w:val="nil"/>
              <w:right w:val="nil"/>
            </w:tcBorders>
            <w:shd w:val="clear" w:color="auto" w:fill="auto"/>
            <w:vAlign w:val="center"/>
          </w:tcPr>
          <w:p w14:paraId="0BF37869"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98</w:t>
            </w:r>
          </w:p>
        </w:tc>
        <w:tc>
          <w:tcPr>
            <w:tcW w:w="567" w:type="dxa"/>
            <w:tcBorders>
              <w:top w:val="nil"/>
              <w:left w:val="nil"/>
              <w:bottom w:val="nil"/>
              <w:right w:val="nil"/>
            </w:tcBorders>
            <w:shd w:val="clear" w:color="auto" w:fill="auto"/>
            <w:vAlign w:val="center"/>
          </w:tcPr>
          <w:p w14:paraId="165EFC16"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31.8</w:t>
            </w:r>
          </w:p>
        </w:tc>
        <w:tc>
          <w:tcPr>
            <w:tcW w:w="1146" w:type="dxa"/>
            <w:tcBorders>
              <w:top w:val="nil"/>
              <w:left w:val="nil"/>
              <w:bottom w:val="nil"/>
              <w:right w:val="single" w:sz="4" w:space="0" w:color="000000"/>
            </w:tcBorders>
            <w:shd w:val="clear" w:color="auto" w:fill="auto"/>
            <w:vAlign w:val="center"/>
          </w:tcPr>
          <w:p w14:paraId="54F98459"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(25.9, 37.7)</w:t>
            </w:r>
          </w:p>
        </w:tc>
        <w:tc>
          <w:tcPr>
            <w:tcW w:w="536" w:type="dxa"/>
            <w:tcBorders>
              <w:top w:val="nil"/>
              <w:left w:val="single" w:sz="4" w:space="0" w:color="000000"/>
              <w:bottom w:val="nil"/>
              <w:right w:val="nil"/>
            </w:tcBorders>
            <w:shd w:val="clear" w:color="auto" w:fill="auto"/>
            <w:vAlign w:val="center"/>
          </w:tcPr>
          <w:p w14:paraId="0357388E"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68</w:t>
            </w:r>
          </w:p>
        </w:tc>
        <w:tc>
          <w:tcPr>
            <w:tcW w:w="576" w:type="dxa"/>
            <w:tcBorders>
              <w:top w:val="nil"/>
              <w:left w:val="nil"/>
              <w:bottom w:val="nil"/>
              <w:right w:val="nil"/>
            </w:tcBorders>
            <w:shd w:val="clear" w:color="auto" w:fill="auto"/>
            <w:vAlign w:val="center"/>
          </w:tcPr>
          <w:p w14:paraId="44215A7B"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24.5</w:t>
            </w:r>
          </w:p>
        </w:tc>
        <w:tc>
          <w:tcPr>
            <w:tcW w:w="1146" w:type="dxa"/>
            <w:tcBorders>
              <w:top w:val="nil"/>
              <w:left w:val="nil"/>
              <w:bottom w:val="nil"/>
              <w:right w:val="nil"/>
            </w:tcBorders>
            <w:shd w:val="clear" w:color="auto" w:fill="auto"/>
            <w:vAlign w:val="center"/>
          </w:tcPr>
          <w:p w14:paraId="4E98F1AE"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(18.9, 30.0)</w:t>
            </w:r>
          </w:p>
        </w:tc>
      </w:tr>
      <w:tr w:rsidR="009118DA" w:rsidRPr="00CE46F7" w14:paraId="06EEA47E"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306B5EFD" w14:textId="77777777" w:rsidR="0013235A" w:rsidRPr="00CE46F7" w:rsidRDefault="0013235A" w:rsidP="007B4EF8">
            <w:pPr>
              <w:spacing w:before="20" w:after="20"/>
              <w:ind w:left="34"/>
              <w:rPr>
                <w:rFonts w:eastAsiaTheme="minorEastAsia"/>
                <w:b w:val="0"/>
                <w:sz w:val="18"/>
                <w:szCs w:val="18"/>
                <w:lang w:eastAsia="en-US"/>
              </w:rPr>
            </w:pPr>
            <w:r w:rsidRPr="00CE46F7">
              <w:rPr>
                <w:rFonts w:eastAsiaTheme="minorEastAsia"/>
                <w:b w:val="0"/>
                <w:sz w:val="18"/>
                <w:szCs w:val="18"/>
                <w:lang w:eastAsia="en-US"/>
              </w:rPr>
              <w:t>2</w:t>
            </w:r>
          </w:p>
        </w:tc>
        <w:tc>
          <w:tcPr>
            <w:tcW w:w="536" w:type="dxa"/>
            <w:tcBorders>
              <w:top w:val="nil"/>
              <w:left w:val="nil"/>
              <w:bottom w:val="nil"/>
              <w:right w:val="nil"/>
            </w:tcBorders>
            <w:shd w:val="clear" w:color="auto" w:fill="auto"/>
            <w:noWrap/>
            <w:vAlign w:val="center"/>
          </w:tcPr>
          <w:p w14:paraId="2227D84B"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94</w:t>
            </w:r>
          </w:p>
        </w:tc>
        <w:tc>
          <w:tcPr>
            <w:tcW w:w="579" w:type="dxa"/>
            <w:tcBorders>
              <w:top w:val="nil"/>
              <w:left w:val="nil"/>
              <w:bottom w:val="nil"/>
              <w:right w:val="nil"/>
            </w:tcBorders>
            <w:shd w:val="clear" w:color="auto" w:fill="auto"/>
            <w:noWrap/>
            <w:vAlign w:val="center"/>
          </w:tcPr>
          <w:p w14:paraId="6DA17A8D"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14.7</w:t>
            </w:r>
          </w:p>
        </w:tc>
        <w:tc>
          <w:tcPr>
            <w:tcW w:w="1146" w:type="dxa"/>
            <w:tcBorders>
              <w:top w:val="nil"/>
              <w:left w:val="nil"/>
              <w:bottom w:val="nil"/>
              <w:right w:val="single" w:sz="4" w:space="0" w:color="auto"/>
            </w:tcBorders>
            <w:shd w:val="clear" w:color="auto" w:fill="auto"/>
            <w:noWrap/>
            <w:vAlign w:val="center"/>
          </w:tcPr>
          <w:p w14:paraId="66E77419"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(12.1, 17.4)</w:t>
            </w:r>
          </w:p>
        </w:tc>
        <w:tc>
          <w:tcPr>
            <w:tcW w:w="536" w:type="dxa"/>
            <w:tcBorders>
              <w:top w:val="nil"/>
              <w:left w:val="single" w:sz="4" w:space="0" w:color="auto"/>
              <w:bottom w:val="nil"/>
              <w:right w:val="nil"/>
            </w:tcBorders>
            <w:shd w:val="clear" w:color="auto" w:fill="auto"/>
            <w:noWrap/>
            <w:vAlign w:val="center"/>
          </w:tcPr>
          <w:p w14:paraId="585DCD1B"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53</w:t>
            </w:r>
          </w:p>
        </w:tc>
        <w:tc>
          <w:tcPr>
            <w:tcW w:w="621" w:type="dxa"/>
            <w:tcBorders>
              <w:top w:val="nil"/>
              <w:left w:val="nil"/>
              <w:bottom w:val="nil"/>
              <w:right w:val="nil"/>
            </w:tcBorders>
            <w:shd w:val="clear" w:color="auto" w:fill="auto"/>
            <w:noWrap/>
            <w:vAlign w:val="center"/>
          </w:tcPr>
          <w:p w14:paraId="21925F79"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14.4</w:t>
            </w:r>
          </w:p>
        </w:tc>
        <w:tc>
          <w:tcPr>
            <w:tcW w:w="1146" w:type="dxa"/>
            <w:tcBorders>
              <w:top w:val="nil"/>
              <w:left w:val="nil"/>
              <w:bottom w:val="nil"/>
              <w:right w:val="single" w:sz="4" w:space="0" w:color="000000"/>
            </w:tcBorders>
            <w:shd w:val="clear" w:color="auto" w:fill="auto"/>
            <w:noWrap/>
            <w:vAlign w:val="center"/>
          </w:tcPr>
          <w:p w14:paraId="0765768F"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(10.5, 18.2)</w:t>
            </w:r>
          </w:p>
        </w:tc>
        <w:tc>
          <w:tcPr>
            <w:tcW w:w="536" w:type="dxa"/>
            <w:tcBorders>
              <w:top w:val="nil"/>
              <w:left w:val="single" w:sz="4" w:space="0" w:color="000000"/>
              <w:bottom w:val="nil"/>
              <w:right w:val="nil"/>
            </w:tcBorders>
            <w:shd w:val="clear" w:color="auto" w:fill="auto"/>
            <w:vAlign w:val="center"/>
          </w:tcPr>
          <w:p w14:paraId="5A81F801"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61</w:t>
            </w:r>
          </w:p>
        </w:tc>
        <w:tc>
          <w:tcPr>
            <w:tcW w:w="567" w:type="dxa"/>
            <w:tcBorders>
              <w:top w:val="nil"/>
              <w:left w:val="nil"/>
              <w:bottom w:val="nil"/>
              <w:right w:val="nil"/>
            </w:tcBorders>
            <w:shd w:val="clear" w:color="auto" w:fill="auto"/>
            <w:vAlign w:val="center"/>
          </w:tcPr>
          <w:p w14:paraId="47143713"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19.7</w:t>
            </w:r>
          </w:p>
        </w:tc>
        <w:tc>
          <w:tcPr>
            <w:tcW w:w="1146" w:type="dxa"/>
            <w:tcBorders>
              <w:top w:val="nil"/>
              <w:left w:val="nil"/>
              <w:bottom w:val="nil"/>
              <w:right w:val="single" w:sz="4" w:space="0" w:color="000000"/>
            </w:tcBorders>
            <w:shd w:val="clear" w:color="auto" w:fill="auto"/>
            <w:vAlign w:val="center"/>
          </w:tcPr>
          <w:p w14:paraId="6D919F47"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(14.8, 24.6)</w:t>
            </w:r>
          </w:p>
        </w:tc>
        <w:tc>
          <w:tcPr>
            <w:tcW w:w="536" w:type="dxa"/>
            <w:tcBorders>
              <w:top w:val="nil"/>
              <w:left w:val="single" w:sz="4" w:space="0" w:color="000000"/>
              <w:bottom w:val="nil"/>
              <w:right w:val="nil"/>
            </w:tcBorders>
            <w:shd w:val="clear" w:color="auto" w:fill="auto"/>
            <w:vAlign w:val="center"/>
          </w:tcPr>
          <w:p w14:paraId="06985CA9"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42</w:t>
            </w:r>
          </w:p>
        </w:tc>
        <w:tc>
          <w:tcPr>
            <w:tcW w:w="576" w:type="dxa"/>
            <w:tcBorders>
              <w:top w:val="nil"/>
              <w:left w:val="nil"/>
              <w:bottom w:val="nil"/>
              <w:right w:val="nil"/>
            </w:tcBorders>
            <w:shd w:val="clear" w:color="auto" w:fill="auto"/>
            <w:vAlign w:val="center"/>
          </w:tcPr>
          <w:p w14:paraId="1E27683C"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15.2</w:t>
            </w:r>
          </w:p>
        </w:tc>
        <w:tc>
          <w:tcPr>
            <w:tcW w:w="1146" w:type="dxa"/>
            <w:tcBorders>
              <w:top w:val="nil"/>
              <w:left w:val="nil"/>
              <w:bottom w:val="nil"/>
              <w:right w:val="nil"/>
            </w:tcBorders>
            <w:shd w:val="clear" w:color="auto" w:fill="auto"/>
            <w:vAlign w:val="center"/>
          </w:tcPr>
          <w:p w14:paraId="68D6790C"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(9.6, 20.7)</w:t>
            </w:r>
          </w:p>
        </w:tc>
      </w:tr>
      <w:tr w:rsidR="009118DA" w:rsidRPr="00CE46F7" w14:paraId="3A78E720"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0C29352B" w14:textId="77777777" w:rsidR="0013235A" w:rsidRPr="00CE46F7" w:rsidRDefault="0013235A" w:rsidP="007B4EF8">
            <w:pPr>
              <w:spacing w:before="20" w:after="20"/>
              <w:ind w:left="34"/>
              <w:rPr>
                <w:rFonts w:eastAsiaTheme="minorEastAsia"/>
                <w:b w:val="0"/>
                <w:sz w:val="18"/>
                <w:szCs w:val="18"/>
                <w:lang w:eastAsia="en-US"/>
              </w:rPr>
            </w:pPr>
            <w:r w:rsidRPr="00CE46F7">
              <w:rPr>
                <w:rFonts w:eastAsiaTheme="minorEastAsia"/>
                <w:b w:val="0"/>
                <w:sz w:val="18"/>
                <w:szCs w:val="18"/>
                <w:lang w:eastAsia="en-US"/>
              </w:rPr>
              <w:t>3</w:t>
            </w:r>
          </w:p>
        </w:tc>
        <w:tc>
          <w:tcPr>
            <w:tcW w:w="536" w:type="dxa"/>
            <w:tcBorders>
              <w:top w:val="nil"/>
              <w:left w:val="nil"/>
              <w:bottom w:val="nil"/>
              <w:right w:val="nil"/>
            </w:tcBorders>
            <w:shd w:val="clear" w:color="auto" w:fill="auto"/>
            <w:noWrap/>
            <w:vAlign w:val="center"/>
          </w:tcPr>
          <w:p w14:paraId="23E9595C"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70</w:t>
            </w:r>
          </w:p>
        </w:tc>
        <w:tc>
          <w:tcPr>
            <w:tcW w:w="579" w:type="dxa"/>
            <w:tcBorders>
              <w:top w:val="nil"/>
              <w:left w:val="nil"/>
              <w:bottom w:val="nil"/>
              <w:right w:val="nil"/>
            </w:tcBorders>
            <w:shd w:val="clear" w:color="auto" w:fill="auto"/>
            <w:noWrap/>
            <w:vAlign w:val="center"/>
          </w:tcPr>
          <w:p w14:paraId="4A15F4BD"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11.0</w:t>
            </w:r>
          </w:p>
        </w:tc>
        <w:tc>
          <w:tcPr>
            <w:tcW w:w="1146" w:type="dxa"/>
            <w:tcBorders>
              <w:top w:val="nil"/>
              <w:left w:val="nil"/>
              <w:bottom w:val="nil"/>
              <w:right w:val="single" w:sz="4" w:space="0" w:color="auto"/>
            </w:tcBorders>
            <w:shd w:val="clear" w:color="auto" w:fill="auto"/>
            <w:noWrap/>
            <w:vAlign w:val="center"/>
          </w:tcPr>
          <w:p w14:paraId="475ADA17"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(8.5, 13.5)</w:t>
            </w:r>
          </w:p>
        </w:tc>
        <w:tc>
          <w:tcPr>
            <w:tcW w:w="536" w:type="dxa"/>
            <w:tcBorders>
              <w:top w:val="nil"/>
              <w:left w:val="single" w:sz="4" w:space="0" w:color="auto"/>
              <w:bottom w:val="nil"/>
              <w:right w:val="nil"/>
            </w:tcBorders>
            <w:shd w:val="clear" w:color="auto" w:fill="auto"/>
            <w:noWrap/>
            <w:vAlign w:val="center"/>
          </w:tcPr>
          <w:p w14:paraId="036D7F9F"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31</w:t>
            </w:r>
          </w:p>
        </w:tc>
        <w:tc>
          <w:tcPr>
            <w:tcW w:w="621" w:type="dxa"/>
            <w:tcBorders>
              <w:top w:val="nil"/>
              <w:left w:val="nil"/>
              <w:bottom w:val="nil"/>
              <w:right w:val="nil"/>
            </w:tcBorders>
            <w:shd w:val="clear" w:color="auto" w:fill="auto"/>
            <w:noWrap/>
            <w:vAlign w:val="center"/>
          </w:tcPr>
          <w:p w14:paraId="1AC5B362"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8.5</w:t>
            </w:r>
          </w:p>
        </w:tc>
        <w:tc>
          <w:tcPr>
            <w:tcW w:w="1146" w:type="dxa"/>
            <w:tcBorders>
              <w:top w:val="nil"/>
              <w:left w:val="nil"/>
              <w:bottom w:val="nil"/>
              <w:right w:val="single" w:sz="4" w:space="0" w:color="000000"/>
            </w:tcBorders>
            <w:shd w:val="clear" w:color="auto" w:fill="auto"/>
            <w:noWrap/>
            <w:vAlign w:val="center"/>
          </w:tcPr>
          <w:p w14:paraId="2D7F680E"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(5.4, 11.6)</w:t>
            </w:r>
          </w:p>
        </w:tc>
        <w:tc>
          <w:tcPr>
            <w:tcW w:w="536" w:type="dxa"/>
            <w:tcBorders>
              <w:top w:val="nil"/>
              <w:left w:val="single" w:sz="4" w:space="0" w:color="000000"/>
              <w:bottom w:val="nil"/>
              <w:right w:val="nil"/>
            </w:tcBorders>
            <w:shd w:val="clear" w:color="auto" w:fill="auto"/>
            <w:vAlign w:val="center"/>
          </w:tcPr>
          <w:p w14:paraId="0BC7B66F"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33</w:t>
            </w:r>
          </w:p>
        </w:tc>
        <w:tc>
          <w:tcPr>
            <w:tcW w:w="567" w:type="dxa"/>
            <w:tcBorders>
              <w:top w:val="nil"/>
              <w:left w:val="nil"/>
              <w:bottom w:val="nil"/>
              <w:right w:val="nil"/>
            </w:tcBorders>
            <w:shd w:val="clear" w:color="auto" w:fill="auto"/>
            <w:vAlign w:val="center"/>
          </w:tcPr>
          <w:p w14:paraId="07AE6F88"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10.6</w:t>
            </w:r>
          </w:p>
        </w:tc>
        <w:tc>
          <w:tcPr>
            <w:tcW w:w="1146" w:type="dxa"/>
            <w:tcBorders>
              <w:top w:val="nil"/>
              <w:left w:val="nil"/>
              <w:bottom w:val="nil"/>
              <w:right w:val="single" w:sz="4" w:space="0" w:color="000000"/>
            </w:tcBorders>
            <w:shd w:val="clear" w:color="auto" w:fill="auto"/>
            <w:vAlign w:val="center"/>
          </w:tcPr>
          <w:p w14:paraId="49F97884"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(6.5, 14.8)</w:t>
            </w:r>
          </w:p>
        </w:tc>
        <w:tc>
          <w:tcPr>
            <w:tcW w:w="536" w:type="dxa"/>
            <w:tcBorders>
              <w:top w:val="nil"/>
              <w:left w:val="single" w:sz="4" w:space="0" w:color="000000"/>
              <w:bottom w:val="nil"/>
              <w:right w:val="nil"/>
            </w:tcBorders>
            <w:shd w:val="clear" w:color="auto" w:fill="auto"/>
            <w:vAlign w:val="center"/>
          </w:tcPr>
          <w:p w14:paraId="02913E11"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28</w:t>
            </w:r>
          </w:p>
        </w:tc>
        <w:tc>
          <w:tcPr>
            <w:tcW w:w="576" w:type="dxa"/>
            <w:tcBorders>
              <w:top w:val="nil"/>
              <w:left w:val="nil"/>
              <w:bottom w:val="nil"/>
              <w:right w:val="nil"/>
            </w:tcBorders>
            <w:shd w:val="clear" w:color="auto" w:fill="auto"/>
            <w:vAlign w:val="center"/>
          </w:tcPr>
          <w:p w14:paraId="1906CB0D"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9.9</w:t>
            </w:r>
          </w:p>
        </w:tc>
        <w:tc>
          <w:tcPr>
            <w:tcW w:w="1146" w:type="dxa"/>
            <w:tcBorders>
              <w:top w:val="nil"/>
              <w:left w:val="nil"/>
              <w:bottom w:val="nil"/>
              <w:right w:val="nil"/>
            </w:tcBorders>
            <w:shd w:val="clear" w:color="auto" w:fill="auto"/>
            <w:vAlign w:val="center"/>
          </w:tcPr>
          <w:p w14:paraId="34A86008"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(5.5, 14.2)</w:t>
            </w:r>
          </w:p>
        </w:tc>
      </w:tr>
      <w:tr w:rsidR="009118DA" w:rsidRPr="00CE46F7" w14:paraId="3FD61D2F"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4B4796C2" w14:textId="77777777" w:rsidR="0013235A" w:rsidRPr="00CE46F7" w:rsidRDefault="0013235A" w:rsidP="007B4EF8">
            <w:pPr>
              <w:spacing w:before="20" w:after="20"/>
              <w:ind w:left="34"/>
              <w:rPr>
                <w:rFonts w:eastAsiaTheme="minorEastAsia"/>
                <w:b w:val="0"/>
                <w:sz w:val="18"/>
                <w:szCs w:val="18"/>
                <w:lang w:eastAsia="en-US"/>
              </w:rPr>
            </w:pPr>
            <w:r w:rsidRPr="00CE46F7">
              <w:rPr>
                <w:rFonts w:eastAsiaTheme="minorEastAsia"/>
                <w:b w:val="0"/>
                <w:sz w:val="18"/>
                <w:szCs w:val="18"/>
                <w:lang w:eastAsia="en-US"/>
              </w:rPr>
              <w:t>4</w:t>
            </w:r>
          </w:p>
        </w:tc>
        <w:tc>
          <w:tcPr>
            <w:tcW w:w="536" w:type="dxa"/>
            <w:tcBorders>
              <w:top w:val="nil"/>
              <w:left w:val="nil"/>
              <w:bottom w:val="nil"/>
              <w:right w:val="nil"/>
            </w:tcBorders>
            <w:shd w:val="clear" w:color="auto" w:fill="auto"/>
            <w:noWrap/>
            <w:vAlign w:val="center"/>
          </w:tcPr>
          <w:p w14:paraId="146F6C0B"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37</w:t>
            </w:r>
          </w:p>
        </w:tc>
        <w:tc>
          <w:tcPr>
            <w:tcW w:w="579" w:type="dxa"/>
            <w:tcBorders>
              <w:top w:val="nil"/>
              <w:left w:val="nil"/>
              <w:bottom w:val="nil"/>
              <w:right w:val="nil"/>
            </w:tcBorders>
            <w:shd w:val="clear" w:color="auto" w:fill="auto"/>
            <w:noWrap/>
            <w:vAlign w:val="center"/>
          </w:tcPr>
          <w:p w14:paraId="11909420"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5.8</w:t>
            </w:r>
          </w:p>
        </w:tc>
        <w:tc>
          <w:tcPr>
            <w:tcW w:w="1146" w:type="dxa"/>
            <w:tcBorders>
              <w:top w:val="nil"/>
              <w:left w:val="nil"/>
              <w:bottom w:val="nil"/>
              <w:right w:val="single" w:sz="4" w:space="0" w:color="auto"/>
            </w:tcBorders>
            <w:shd w:val="clear" w:color="auto" w:fill="auto"/>
            <w:noWrap/>
            <w:vAlign w:val="center"/>
          </w:tcPr>
          <w:p w14:paraId="728F56F4"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(4.1, 7.6)</w:t>
            </w:r>
          </w:p>
        </w:tc>
        <w:tc>
          <w:tcPr>
            <w:tcW w:w="536" w:type="dxa"/>
            <w:tcBorders>
              <w:top w:val="nil"/>
              <w:left w:val="single" w:sz="4" w:space="0" w:color="auto"/>
              <w:bottom w:val="nil"/>
              <w:right w:val="nil"/>
            </w:tcBorders>
            <w:shd w:val="clear" w:color="auto" w:fill="auto"/>
            <w:noWrap/>
            <w:vAlign w:val="center"/>
          </w:tcPr>
          <w:p w14:paraId="0007CBDA"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14</w:t>
            </w:r>
          </w:p>
        </w:tc>
        <w:tc>
          <w:tcPr>
            <w:tcW w:w="621" w:type="dxa"/>
            <w:tcBorders>
              <w:top w:val="nil"/>
              <w:left w:val="nil"/>
              <w:bottom w:val="nil"/>
              <w:right w:val="nil"/>
            </w:tcBorders>
            <w:shd w:val="clear" w:color="auto" w:fill="auto"/>
            <w:noWrap/>
            <w:vAlign w:val="center"/>
          </w:tcPr>
          <w:p w14:paraId="46240B63"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3.9</w:t>
            </w:r>
          </w:p>
        </w:tc>
        <w:tc>
          <w:tcPr>
            <w:tcW w:w="1146" w:type="dxa"/>
            <w:tcBorders>
              <w:top w:val="nil"/>
              <w:left w:val="nil"/>
              <w:bottom w:val="nil"/>
              <w:right w:val="single" w:sz="4" w:space="0" w:color="000000"/>
            </w:tcBorders>
            <w:shd w:val="clear" w:color="auto" w:fill="auto"/>
            <w:noWrap/>
            <w:vAlign w:val="center"/>
          </w:tcPr>
          <w:p w14:paraId="6FD5C0B6"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(1.8, 5.9)</w:t>
            </w:r>
          </w:p>
        </w:tc>
        <w:tc>
          <w:tcPr>
            <w:tcW w:w="536" w:type="dxa"/>
            <w:tcBorders>
              <w:top w:val="nil"/>
              <w:left w:val="single" w:sz="4" w:space="0" w:color="000000"/>
              <w:bottom w:val="nil"/>
              <w:right w:val="nil"/>
            </w:tcBorders>
            <w:shd w:val="clear" w:color="auto" w:fill="auto"/>
            <w:vAlign w:val="center"/>
          </w:tcPr>
          <w:p w14:paraId="764EF53C"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10</w:t>
            </w:r>
          </w:p>
        </w:tc>
        <w:tc>
          <w:tcPr>
            <w:tcW w:w="567" w:type="dxa"/>
            <w:tcBorders>
              <w:top w:val="nil"/>
              <w:left w:val="nil"/>
              <w:bottom w:val="nil"/>
              <w:right w:val="nil"/>
            </w:tcBorders>
            <w:shd w:val="clear" w:color="auto" w:fill="auto"/>
            <w:vAlign w:val="center"/>
          </w:tcPr>
          <w:p w14:paraId="4E22E706"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3.1</w:t>
            </w:r>
          </w:p>
        </w:tc>
        <w:tc>
          <w:tcPr>
            <w:tcW w:w="1146" w:type="dxa"/>
            <w:tcBorders>
              <w:top w:val="nil"/>
              <w:left w:val="nil"/>
              <w:bottom w:val="nil"/>
              <w:right w:val="single" w:sz="4" w:space="0" w:color="000000"/>
            </w:tcBorders>
            <w:shd w:val="clear" w:color="auto" w:fill="auto"/>
            <w:vAlign w:val="center"/>
          </w:tcPr>
          <w:p w14:paraId="2C059E22"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(1.3, 4.9)</w:t>
            </w:r>
          </w:p>
        </w:tc>
        <w:tc>
          <w:tcPr>
            <w:tcW w:w="536" w:type="dxa"/>
            <w:tcBorders>
              <w:top w:val="nil"/>
              <w:left w:val="single" w:sz="4" w:space="0" w:color="000000"/>
              <w:bottom w:val="nil"/>
              <w:right w:val="nil"/>
            </w:tcBorders>
            <w:shd w:val="clear" w:color="auto" w:fill="auto"/>
            <w:vAlign w:val="center"/>
          </w:tcPr>
          <w:p w14:paraId="6E9046BB"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13</w:t>
            </w:r>
          </w:p>
        </w:tc>
        <w:tc>
          <w:tcPr>
            <w:tcW w:w="576" w:type="dxa"/>
            <w:tcBorders>
              <w:top w:val="nil"/>
              <w:left w:val="nil"/>
              <w:bottom w:val="nil"/>
              <w:right w:val="nil"/>
            </w:tcBorders>
            <w:shd w:val="clear" w:color="auto" w:fill="auto"/>
            <w:vAlign w:val="center"/>
          </w:tcPr>
          <w:p w14:paraId="2FF65F9B"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4.6</w:t>
            </w:r>
          </w:p>
        </w:tc>
        <w:tc>
          <w:tcPr>
            <w:tcW w:w="1146" w:type="dxa"/>
            <w:tcBorders>
              <w:top w:val="nil"/>
              <w:left w:val="nil"/>
              <w:bottom w:val="nil"/>
              <w:right w:val="nil"/>
            </w:tcBorders>
            <w:shd w:val="clear" w:color="auto" w:fill="auto"/>
            <w:vAlign w:val="center"/>
          </w:tcPr>
          <w:p w14:paraId="19BE97E6"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(1.3, 8.0)</w:t>
            </w:r>
          </w:p>
        </w:tc>
      </w:tr>
      <w:tr w:rsidR="009118DA" w:rsidRPr="00CE46F7" w14:paraId="3ABAAD0A"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142A6A9F" w14:textId="77777777" w:rsidR="0013235A" w:rsidRPr="00CE46F7" w:rsidRDefault="0013235A" w:rsidP="007B4EF8">
            <w:pPr>
              <w:spacing w:before="20" w:after="20"/>
              <w:ind w:left="34"/>
              <w:rPr>
                <w:rFonts w:eastAsiaTheme="minorEastAsia"/>
                <w:b w:val="0"/>
                <w:sz w:val="18"/>
                <w:szCs w:val="18"/>
                <w:lang w:eastAsia="en-US"/>
              </w:rPr>
            </w:pPr>
            <w:r w:rsidRPr="00CE46F7">
              <w:rPr>
                <w:rFonts w:eastAsiaTheme="minorEastAsia"/>
                <w:b w:val="0"/>
                <w:sz w:val="18"/>
                <w:szCs w:val="18"/>
                <w:lang w:eastAsia="en-US"/>
              </w:rPr>
              <w:t>5+</w:t>
            </w:r>
          </w:p>
        </w:tc>
        <w:tc>
          <w:tcPr>
            <w:tcW w:w="536" w:type="dxa"/>
            <w:tcBorders>
              <w:top w:val="nil"/>
              <w:left w:val="nil"/>
              <w:bottom w:val="nil"/>
              <w:right w:val="nil"/>
            </w:tcBorders>
            <w:shd w:val="clear" w:color="auto" w:fill="auto"/>
            <w:noWrap/>
            <w:vAlign w:val="center"/>
          </w:tcPr>
          <w:p w14:paraId="3A49015F"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32</w:t>
            </w:r>
          </w:p>
        </w:tc>
        <w:tc>
          <w:tcPr>
            <w:tcW w:w="579" w:type="dxa"/>
            <w:tcBorders>
              <w:top w:val="nil"/>
              <w:left w:val="nil"/>
              <w:bottom w:val="nil"/>
              <w:right w:val="nil"/>
            </w:tcBorders>
            <w:shd w:val="clear" w:color="auto" w:fill="auto"/>
            <w:noWrap/>
            <w:vAlign w:val="center"/>
          </w:tcPr>
          <w:p w14:paraId="1DC6686A"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5.0</w:t>
            </w:r>
          </w:p>
        </w:tc>
        <w:tc>
          <w:tcPr>
            <w:tcW w:w="1146" w:type="dxa"/>
            <w:tcBorders>
              <w:top w:val="nil"/>
              <w:left w:val="nil"/>
              <w:bottom w:val="nil"/>
              <w:right w:val="single" w:sz="4" w:space="0" w:color="auto"/>
            </w:tcBorders>
            <w:shd w:val="clear" w:color="auto" w:fill="auto"/>
            <w:noWrap/>
            <w:vAlign w:val="center"/>
          </w:tcPr>
          <w:p w14:paraId="5FA0683F"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(3.3, 6.6)</w:t>
            </w:r>
          </w:p>
        </w:tc>
        <w:tc>
          <w:tcPr>
            <w:tcW w:w="536" w:type="dxa"/>
            <w:tcBorders>
              <w:top w:val="nil"/>
              <w:left w:val="single" w:sz="4" w:space="0" w:color="auto"/>
              <w:bottom w:val="nil"/>
              <w:right w:val="nil"/>
            </w:tcBorders>
            <w:shd w:val="clear" w:color="auto" w:fill="auto"/>
            <w:noWrap/>
            <w:vAlign w:val="center"/>
          </w:tcPr>
          <w:p w14:paraId="27CC2C81"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15</w:t>
            </w:r>
          </w:p>
        </w:tc>
        <w:tc>
          <w:tcPr>
            <w:tcW w:w="621" w:type="dxa"/>
            <w:tcBorders>
              <w:top w:val="nil"/>
              <w:left w:val="nil"/>
              <w:bottom w:val="nil"/>
              <w:right w:val="nil"/>
            </w:tcBorders>
            <w:shd w:val="clear" w:color="auto" w:fill="auto"/>
            <w:noWrap/>
            <w:vAlign w:val="center"/>
          </w:tcPr>
          <w:p w14:paraId="5ED40EC1"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4.2</w:t>
            </w:r>
          </w:p>
        </w:tc>
        <w:tc>
          <w:tcPr>
            <w:tcW w:w="1146" w:type="dxa"/>
            <w:tcBorders>
              <w:top w:val="nil"/>
              <w:left w:val="nil"/>
              <w:bottom w:val="nil"/>
              <w:right w:val="single" w:sz="4" w:space="0" w:color="000000"/>
            </w:tcBorders>
            <w:shd w:val="clear" w:color="auto" w:fill="auto"/>
            <w:noWrap/>
            <w:vAlign w:val="center"/>
          </w:tcPr>
          <w:p w14:paraId="0846DD4E"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(1.8, 6.5)</w:t>
            </w:r>
          </w:p>
        </w:tc>
        <w:tc>
          <w:tcPr>
            <w:tcW w:w="536" w:type="dxa"/>
            <w:tcBorders>
              <w:top w:val="nil"/>
              <w:left w:val="single" w:sz="4" w:space="0" w:color="000000"/>
              <w:bottom w:val="nil"/>
              <w:right w:val="nil"/>
            </w:tcBorders>
            <w:shd w:val="clear" w:color="auto" w:fill="auto"/>
            <w:vAlign w:val="center"/>
          </w:tcPr>
          <w:p w14:paraId="21A4AEFD"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10</w:t>
            </w:r>
          </w:p>
        </w:tc>
        <w:tc>
          <w:tcPr>
            <w:tcW w:w="567" w:type="dxa"/>
            <w:tcBorders>
              <w:top w:val="nil"/>
              <w:left w:val="nil"/>
              <w:bottom w:val="nil"/>
              <w:right w:val="nil"/>
            </w:tcBorders>
            <w:shd w:val="clear" w:color="auto" w:fill="auto"/>
            <w:vAlign w:val="center"/>
          </w:tcPr>
          <w:p w14:paraId="45D9D57C"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3.2</w:t>
            </w:r>
          </w:p>
        </w:tc>
        <w:tc>
          <w:tcPr>
            <w:tcW w:w="1146" w:type="dxa"/>
            <w:tcBorders>
              <w:top w:val="nil"/>
              <w:left w:val="nil"/>
              <w:bottom w:val="nil"/>
              <w:right w:val="single" w:sz="4" w:space="0" w:color="000000"/>
            </w:tcBorders>
            <w:shd w:val="clear" w:color="auto" w:fill="auto"/>
            <w:vAlign w:val="center"/>
          </w:tcPr>
          <w:p w14:paraId="50DFCB04"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(0.4, 6.0)</w:t>
            </w:r>
          </w:p>
        </w:tc>
        <w:tc>
          <w:tcPr>
            <w:tcW w:w="536" w:type="dxa"/>
            <w:tcBorders>
              <w:top w:val="nil"/>
              <w:left w:val="single" w:sz="4" w:space="0" w:color="000000"/>
              <w:bottom w:val="nil"/>
              <w:right w:val="nil"/>
            </w:tcBorders>
            <w:shd w:val="clear" w:color="auto" w:fill="auto"/>
            <w:vAlign w:val="center"/>
          </w:tcPr>
          <w:p w14:paraId="347C318B"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10</w:t>
            </w:r>
          </w:p>
        </w:tc>
        <w:tc>
          <w:tcPr>
            <w:tcW w:w="576" w:type="dxa"/>
            <w:tcBorders>
              <w:top w:val="nil"/>
              <w:left w:val="nil"/>
              <w:bottom w:val="nil"/>
              <w:right w:val="nil"/>
            </w:tcBorders>
            <w:shd w:val="clear" w:color="auto" w:fill="auto"/>
            <w:vAlign w:val="center"/>
          </w:tcPr>
          <w:p w14:paraId="1B857A37"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3.4</w:t>
            </w:r>
          </w:p>
        </w:tc>
        <w:tc>
          <w:tcPr>
            <w:tcW w:w="1146" w:type="dxa"/>
            <w:tcBorders>
              <w:top w:val="nil"/>
              <w:left w:val="nil"/>
              <w:bottom w:val="nil"/>
              <w:right w:val="nil"/>
            </w:tcBorders>
            <w:shd w:val="clear" w:color="auto" w:fill="auto"/>
            <w:vAlign w:val="center"/>
          </w:tcPr>
          <w:p w14:paraId="6AAE45DA"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(1.2, 5.6)</w:t>
            </w:r>
          </w:p>
        </w:tc>
      </w:tr>
      <w:tr w:rsidR="0013235A" w:rsidRPr="00CE46F7" w14:paraId="188BFADF"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4655" w:type="dxa"/>
            <w:gridSpan w:val="3"/>
            <w:tcBorders>
              <w:top w:val="nil"/>
              <w:left w:val="nil"/>
              <w:bottom w:val="nil"/>
              <w:right w:val="nil"/>
            </w:tcBorders>
            <w:shd w:val="clear" w:color="auto" w:fill="auto"/>
            <w:vAlign w:val="center"/>
          </w:tcPr>
          <w:p w14:paraId="268D213D" w14:textId="77777777" w:rsidR="0013235A" w:rsidRPr="00CE46F7" w:rsidRDefault="0013235A" w:rsidP="007B4EF8">
            <w:pPr>
              <w:spacing w:before="20" w:after="20"/>
              <w:rPr>
                <w:rFonts w:eastAsiaTheme="minorEastAsia"/>
                <w:sz w:val="18"/>
                <w:szCs w:val="18"/>
                <w:lang w:eastAsia="en-US"/>
              </w:rPr>
            </w:pPr>
            <w:r w:rsidRPr="00CE46F7">
              <w:rPr>
                <w:rFonts w:eastAsiaTheme="minorEastAsia"/>
                <w:sz w:val="18"/>
                <w:szCs w:val="18"/>
                <w:lang w:eastAsia="en-US"/>
              </w:rPr>
              <w:t>Quality of life (WHOQoL-8)</w:t>
            </w:r>
          </w:p>
        </w:tc>
        <w:tc>
          <w:tcPr>
            <w:tcW w:w="1146" w:type="dxa"/>
            <w:tcBorders>
              <w:top w:val="nil"/>
              <w:left w:val="nil"/>
              <w:bottom w:val="nil"/>
              <w:right w:val="single" w:sz="4" w:space="0" w:color="auto"/>
            </w:tcBorders>
            <w:shd w:val="clear" w:color="auto" w:fill="auto"/>
            <w:noWrap/>
          </w:tcPr>
          <w:p w14:paraId="0F40FB61" w14:textId="77777777" w:rsidR="0013235A" w:rsidRPr="00CE46F7" w:rsidRDefault="0013235A" w:rsidP="007B4EF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36" w:type="dxa"/>
            <w:tcBorders>
              <w:top w:val="nil"/>
              <w:left w:val="single" w:sz="4" w:space="0" w:color="auto"/>
              <w:bottom w:val="nil"/>
              <w:right w:val="nil"/>
            </w:tcBorders>
            <w:shd w:val="clear" w:color="auto" w:fill="auto"/>
            <w:noWrap/>
          </w:tcPr>
          <w:p w14:paraId="4AF86006" w14:textId="77777777" w:rsidR="0013235A" w:rsidRPr="00CE46F7" w:rsidRDefault="0013235A" w:rsidP="007B4EF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nil"/>
              <w:left w:val="nil"/>
              <w:bottom w:val="nil"/>
              <w:right w:val="nil"/>
            </w:tcBorders>
            <w:shd w:val="clear" w:color="auto" w:fill="auto"/>
            <w:noWrap/>
          </w:tcPr>
          <w:p w14:paraId="3588B154" w14:textId="77777777" w:rsidR="0013235A" w:rsidRPr="00CE46F7" w:rsidRDefault="0013235A" w:rsidP="007B4EF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auto"/>
            <w:noWrap/>
            <w:vAlign w:val="bottom"/>
          </w:tcPr>
          <w:p w14:paraId="5807B39D" w14:textId="77777777" w:rsidR="0013235A" w:rsidRPr="00CE46F7" w:rsidRDefault="0013235A" w:rsidP="007B4EF8">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nil"/>
              <w:left w:val="single" w:sz="4" w:space="0" w:color="000000"/>
              <w:bottom w:val="nil"/>
              <w:right w:val="nil"/>
            </w:tcBorders>
            <w:shd w:val="clear" w:color="auto" w:fill="auto"/>
            <w:vAlign w:val="bottom"/>
          </w:tcPr>
          <w:p w14:paraId="3A826E8B" w14:textId="77777777" w:rsidR="0013235A" w:rsidRPr="00CE46F7" w:rsidRDefault="0013235A" w:rsidP="007B4EF8">
            <w:pPr>
              <w:cnfStyle w:val="000000000000" w:firstRow="0" w:lastRow="0" w:firstColumn="0" w:lastColumn="0" w:oddVBand="0" w:evenVBand="0" w:oddHBand="0" w:evenHBand="0" w:firstRowFirstColumn="0" w:firstRowLastColumn="0" w:lastRowFirstColumn="0" w:lastRowLastColumn="0"/>
              <w:rPr>
                <w:sz w:val="18"/>
                <w:szCs w:val="18"/>
              </w:rPr>
            </w:pPr>
          </w:p>
        </w:tc>
        <w:tc>
          <w:tcPr>
            <w:tcW w:w="567" w:type="dxa"/>
            <w:tcBorders>
              <w:top w:val="nil"/>
              <w:left w:val="nil"/>
              <w:bottom w:val="nil"/>
              <w:right w:val="nil"/>
            </w:tcBorders>
            <w:shd w:val="clear" w:color="auto" w:fill="auto"/>
            <w:vAlign w:val="bottom"/>
          </w:tcPr>
          <w:p w14:paraId="38D7A28A" w14:textId="77777777" w:rsidR="0013235A" w:rsidRPr="00CE46F7" w:rsidRDefault="0013235A" w:rsidP="007B4EF8">
            <w:pPr>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auto"/>
            <w:vAlign w:val="bottom"/>
          </w:tcPr>
          <w:p w14:paraId="43834C05" w14:textId="77777777" w:rsidR="0013235A" w:rsidRPr="00CE46F7" w:rsidRDefault="0013235A" w:rsidP="007B4EF8">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nil"/>
              <w:left w:val="single" w:sz="4" w:space="0" w:color="000000"/>
              <w:bottom w:val="nil"/>
              <w:right w:val="nil"/>
            </w:tcBorders>
            <w:shd w:val="clear" w:color="auto" w:fill="auto"/>
            <w:vAlign w:val="bottom"/>
          </w:tcPr>
          <w:p w14:paraId="1F082506" w14:textId="77777777" w:rsidR="0013235A" w:rsidRPr="00CE46F7" w:rsidRDefault="0013235A" w:rsidP="007B4EF8">
            <w:pPr>
              <w:cnfStyle w:val="000000000000" w:firstRow="0" w:lastRow="0" w:firstColumn="0" w:lastColumn="0" w:oddVBand="0" w:evenVBand="0" w:oddHBand="0" w:evenHBand="0" w:firstRowFirstColumn="0" w:firstRowLastColumn="0" w:lastRowFirstColumn="0" w:lastRowLastColumn="0"/>
              <w:rPr>
                <w:sz w:val="18"/>
                <w:szCs w:val="18"/>
              </w:rPr>
            </w:pPr>
          </w:p>
        </w:tc>
        <w:tc>
          <w:tcPr>
            <w:tcW w:w="576" w:type="dxa"/>
            <w:tcBorders>
              <w:top w:val="nil"/>
              <w:left w:val="nil"/>
              <w:bottom w:val="nil"/>
              <w:right w:val="nil"/>
            </w:tcBorders>
            <w:shd w:val="clear" w:color="auto" w:fill="auto"/>
            <w:vAlign w:val="bottom"/>
          </w:tcPr>
          <w:p w14:paraId="16811C6B" w14:textId="77777777" w:rsidR="0013235A" w:rsidRPr="00CE46F7" w:rsidRDefault="0013235A" w:rsidP="007B4EF8">
            <w:pPr>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shd w:val="clear" w:color="auto" w:fill="auto"/>
            <w:vAlign w:val="bottom"/>
          </w:tcPr>
          <w:p w14:paraId="722BE20D" w14:textId="77777777" w:rsidR="0013235A" w:rsidRPr="00CE46F7" w:rsidRDefault="0013235A" w:rsidP="007B4EF8">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118DA" w:rsidRPr="00CE46F7" w14:paraId="40433DAB"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4D23F116" w14:textId="77777777" w:rsidR="0013235A" w:rsidRPr="00CE46F7" w:rsidRDefault="0013235A" w:rsidP="007B4EF8">
            <w:pPr>
              <w:spacing w:before="20" w:after="20"/>
              <w:rPr>
                <w:rFonts w:eastAsiaTheme="minorEastAsia"/>
                <w:b w:val="0"/>
                <w:sz w:val="18"/>
                <w:szCs w:val="18"/>
                <w:lang w:eastAsia="en-US"/>
              </w:rPr>
            </w:pPr>
            <w:r w:rsidRPr="00CE46F7">
              <w:rPr>
                <w:rFonts w:eastAsiaTheme="minorEastAsia"/>
                <w:b w:val="0"/>
                <w:sz w:val="18"/>
                <w:szCs w:val="18"/>
                <w:lang w:eastAsia="en-US"/>
              </w:rPr>
              <w:t>Below median (Score 0 - 24)</w:t>
            </w:r>
          </w:p>
        </w:tc>
        <w:tc>
          <w:tcPr>
            <w:tcW w:w="536" w:type="dxa"/>
            <w:tcBorders>
              <w:top w:val="nil"/>
              <w:left w:val="nil"/>
              <w:bottom w:val="nil"/>
              <w:right w:val="nil"/>
            </w:tcBorders>
            <w:shd w:val="clear" w:color="auto" w:fill="auto"/>
            <w:noWrap/>
            <w:vAlign w:val="center"/>
          </w:tcPr>
          <w:p w14:paraId="76E4BC0B"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CE46F7">
              <w:rPr>
                <w:color w:val="000000"/>
                <w:sz w:val="18"/>
                <w:szCs w:val="18"/>
              </w:rPr>
              <w:t>295</w:t>
            </w:r>
          </w:p>
        </w:tc>
        <w:tc>
          <w:tcPr>
            <w:tcW w:w="579" w:type="dxa"/>
            <w:tcBorders>
              <w:top w:val="nil"/>
              <w:left w:val="nil"/>
              <w:bottom w:val="nil"/>
              <w:right w:val="nil"/>
            </w:tcBorders>
            <w:shd w:val="clear" w:color="auto" w:fill="auto"/>
            <w:noWrap/>
            <w:vAlign w:val="center"/>
          </w:tcPr>
          <w:p w14:paraId="400EF725"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46.2</w:t>
            </w:r>
          </w:p>
        </w:tc>
        <w:tc>
          <w:tcPr>
            <w:tcW w:w="1146" w:type="dxa"/>
            <w:tcBorders>
              <w:top w:val="nil"/>
              <w:left w:val="nil"/>
              <w:bottom w:val="nil"/>
              <w:right w:val="single" w:sz="4" w:space="0" w:color="auto"/>
            </w:tcBorders>
            <w:shd w:val="clear" w:color="auto" w:fill="auto"/>
            <w:noWrap/>
            <w:vAlign w:val="center"/>
          </w:tcPr>
          <w:p w14:paraId="192C17BE"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(42.3, 50.1)</w:t>
            </w:r>
          </w:p>
        </w:tc>
        <w:tc>
          <w:tcPr>
            <w:tcW w:w="536" w:type="dxa"/>
            <w:tcBorders>
              <w:top w:val="nil"/>
              <w:left w:val="single" w:sz="4" w:space="0" w:color="auto"/>
              <w:bottom w:val="nil"/>
              <w:right w:val="nil"/>
            </w:tcBorders>
            <w:shd w:val="clear" w:color="auto" w:fill="auto"/>
            <w:noWrap/>
            <w:vAlign w:val="center"/>
          </w:tcPr>
          <w:p w14:paraId="4B978A92"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179</w:t>
            </w:r>
          </w:p>
        </w:tc>
        <w:tc>
          <w:tcPr>
            <w:tcW w:w="621" w:type="dxa"/>
            <w:tcBorders>
              <w:top w:val="nil"/>
              <w:left w:val="nil"/>
              <w:bottom w:val="nil"/>
              <w:right w:val="nil"/>
            </w:tcBorders>
            <w:shd w:val="clear" w:color="auto" w:fill="auto"/>
            <w:noWrap/>
            <w:vAlign w:val="center"/>
          </w:tcPr>
          <w:p w14:paraId="0FABE5DF"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48.6</w:t>
            </w:r>
          </w:p>
        </w:tc>
        <w:tc>
          <w:tcPr>
            <w:tcW w:w="1146" w:type="dxa"/>
            <w:tcBorders>
              <w:top w:val="nil"/>
              <w:left w:val="nil"/>
              <w:bottom w:val="nil"/>
              <w:right w:val="single" w:sz="4" w:space="0" w:color="000000"/>
            </w:tcBorders>
            <w:shd w:val="clear" w:color="auto" w:fill="auto"/>
            <w:noWrap/>
            <w:vAlign w:val="center"/>
          </w:tcPr>
          <w:p w14:paraId="509E65E4"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(43.2, 54.0)</w:t>
            </w:r>
          </w:p>
        </w:tc>
        <w:tc>
          <w:tcPr>
            <w:tcW w:w="536" w:type="dxa"/>
            <w:tcBorders>
              <w:top w:val="nil"/>
              <w:left w:val="single" w:sz="4" w:space="0" w:color="000000"/>
              <w:bottom w:val="nil"/>
              <w:right w:val="nil"/>
            </w:tcBorders>
            <w:shd w:val="clear" w:color="auto" w:fill="auto"/>
            <w:vAlign w:val="center"/>
          </w:tcPr>
          <w:p w14:paraId="67B7B969"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143</w:t>
            </w:r>
          </w:p>
        </w:tc>
        <w:tc>
          <w:tcPr>
            <w:tcW w:w="567" w:type="dxa"/>
            <w:tcBorders>
              <w:top w:val="nil"/>
              <w:left w:val="nil"/>
              <w:bottom w:val="nil"/>
              <w:right w:val="nil"/>
            </w:tcBorders>
            <w:shd w:val="clear" w:color="auto" w:fill="auto"/>
            <w:vAlign w:val="center"/>
          </w:tcPr>
          <w:p w14:paraId="0E50EC54"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46.3</w:t>
            </w:r>
          </w:p>
        </w:tc>
        <w:tc>
          <w:tcPr>
            <w:tcW w:w="1146" w:type="dxa"/>
            <w:tcBorders>
              <w:top w:val="nil"/>
              <w:left w:val="nil"/>
              <w:bottom w:val="nil"/>
              <w:right w:val="single" w:sz="4" w:space="0" w:color="000000"/>
            </w:tcBorders>
            <w:shd w:val="clear" w:color="auto" w:fill="auto"/>
            <w:vAlign w:val="center"/>
          </w:tcPr>
          <w:p w14:paraId="51871DAB"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(40.0, 52.5)</w:t>
            </w:r>
          </w:p>
        </w:tc>
        <w:tc>
          <w:tcPr>
            <w:tcW w:w="536" w:type="dxa"/>
            <w:tcBorders>
              <w:top w:val="nil"/>
              <w:left w:val="single" w:sz="4" w:space="0" w:color="000000"/>
              <w:bottom w:val="nil"/>
              <w:right w:val="nil"/>
            </w:tcBorders>
            <w:shd w:val="clear" w:color="auto" w:fill="auto"/>
            <w:vAlign w:val="center"/>
          </w:tcPr>
          <w:p w14:paraId="478A0A14"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130</w:t>
            </w:r>
          </w:p>
        </w:tc>
        <w:tc>
          <w:tcPr>
            <w:tcW w:w="576" w:type="dxa"/>
            <w:tcBorders>
              <w:top w:val="nil"/>
              <w:left w:val="nil"/>
              <w:bottom w:val="nil"/>
              <w:right w:val="nil"/>
            </w:tcBorders>
            <w:shd w:val="clear" w:color="auto" w:fill="auto"/>
            <w:vAlign w:val="center"/>
          </w:tcPr>
          <w:p w14:paraId="15B17CC2"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46.5</w:t>
            </w:r>
          </w:p>
        </w:tc>
        <w:tc>
          <w:tcPr>
            <w:tcW w:w="1146" w:type="dxa"/>
            <w:tcBorders>
              <w:top w:val="nil"/>
              <w:left w:val="nil"/>
              <w:bottom w:val="nil"/>
              <w:right w:val="nil"/>
            </w:tcBorders>
            <w:shd w:val="clear" w:color="auto" w:fill="auto"/>
            <w:vAlign w:val="center"/>
          </w:tcPr>
          <w:p w14:paraId="550BC9A2"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(39.7, 53.2)</w:t>
            </w:r>
          </w:p>
        </w:tc>
      </w:tr>
      <w:tr w:rsidR="009118DA" w:rsidRPr="00CE46F7" w14:paraId="64BC4501"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6EA19F96" w14:textId="77777777" w:rsidR="0013235A" w:rsidRPr="00CE46F7" w:rsidRDefault="0013235A" w:rsidP="007B4EF8">
            <w:pPr>
              <w:spacing w:before="20" w:after="20"/>
              <w:rPr>
                <w:rFonts w:eastAsiaTheme="minorEastAsia"/>
                <w:b w:val="0"/>
                <w:sz w:val="18"/>
                <w:szCs w:val="18"/>
                <w:lang w:eastAsia="en-US"/>
              </w:rPr>
            </w:pPr>
            <w:r w:rsidRPr="00CE46F7">
              <w:rPr>
                <w:rFonts w:eastAsiaTheme="minorEastAsia"/>
                <w:b w:val="0"/>
                <w:sz w:val="18"/>
                <w:szCs w:val="18"/>
                <w:lang w:eastAsia="en-US"/>
              </w:rPr>
              <w:t>Median (Score 25)</w:t>
            </w:r>
          </w:p>
        </w:tc>
        <w:tc>
          <w:tcPr>
            <w:tcW w:w="536" w:type="dxa"/>
            <w:tcBorders>
              <w:top w:val="nil"/>
              <w:left w:val="nil"/>
              <w:bottom w:val="nil"/>
              <w:right w:val="nil"/>
            </w:tcBorders>
            <w:shd w:val="clear" w:color="auto" w:fill="auto"/>
            <w:noWrap/>
            <w:vAlign w:val="center"/>
          </w:tcPr>
          <w:p w14:paraId="49742EDC"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68</w:t>
            </w:r>
          </w:p>
        </w:tc>
        <w:tc>
          <w:tcPr>
            <w:tcW w:w="579" w:type="dxa"/>
            <w:tcBorders>
              <w:top w:val="nil"/>
              <w:left w:val="nil"/>
              <w:bottom w:val="nil"/>
              <w:right w:val="nil"/>
            </w:tcBorders>
            <w:shd w:val="clear" w:color="auto" w:fill="auto"/>
            <w:noWrap/>
            <w:vAlign w:val="center"/>
          </w:tcPr>
          <w:p w14:paraId="09368105"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10.7</w:t>
            </w:r>
          </w:p>
        </w:tc>
        <w:tc>
          <w:tcPr>
            <w:tcW w:w="1146" w:type="dxa"/>
            <w:tcBorders>
              <w:top w:val="nil"/>
              <w:left w:val="nil"/>
              <w:bottom w:val="nil"/>
              <w:right w:val="single" w:sz="4" w:space="0" w:color="auto"/>
            </w:tcBorders>
            <w:shd w:val="clear" w:color="auto" w:fill="auto"/>
            <w:noWrap/>
            <w:vAlign w:val="center"/>
          </w:tcPr>
          <w:p w14:paraId="0B006128"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(8.3, 13.0)</w:t>
            </w:r>
          </w:p>
        </w:tc>
        <w:tc>
          <w:tcPr>
            <w:tcW w:w="536" w:type="dxa"/>
            <w:tcBorders>
              <w:top w:val="nil"/>
              <w:left w:val="single" w:sz="4" w:space="0" w:color="auto"/>
              <w:bottom w:val="nil"/>
              <w:right w:val="nil"/>
            </w:tcBorders>
            <w:shd w:val="clear" w:color="auto" w:fill="auto"/>
            <w:noWrap/>
            <w:vAlign w:val="center"/>
          </w:tcPr>
          <w:p w14:paraId="289BE1D2"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40</w:t>
            </w:r>
          </w:p>
        </w:tc>
        <w:tc>
          <w:tcPr>
            <w:tcW w:w="621" w:type="dxa"/>
            <w:tcBorders>
              <w:top w:val="nil"/>
              <w:left w:val="nil"/>
              <w:bottom w:val="nil"/>
              <w:right w:val="nil"/>
            </w:tcBorders>
            <w:shd w:val="clear" w:color="auto" w:fill="auto"/>
            <w:noWrap/>
            <w:vAlign w:val="center"/>
          </w:tcPr>
          <w:p w14:paraId="7F330828"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11.0</w:t>
            </w:r>
          </w:p>
        </w:tc>
        <w:tc>
          <w:tcPr>
            <w:tcW w:w="1146" w:type="dxa"/>
            <w:tcBorders>
              <w:top w:val="nil"/>
              <w:left w:val="nil"/>
              <w:bottom w:val="nil"/>
              <w:right w:val="single" w:sz="4" w:space="0" w:color="000000"/>
            </w:tcBorders>
            <w:shd w:val="clear" w:color="auto" w:fill="auto"/>
            <w:noWrap/>
            <w:vAlign w:val="center"/>
          </w:tcPr>
          <w:p w14:paraId="63CCE2B0"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(7.8, 14.1)</w:t>
            </w:r>
          </w:p>
        </w:tc>
        <w:tc>
          <w:tcPr>
            <w:tcW w:w="536" w:type="dxa"/>
            <w:tcBorders>
              <w:top w:val="nil"/>
              <w:left w:val="single" w:sz="4" w:space="0" w:color="000000"/>
              <w:bottom w:val="nil"/>
              <w:right w:val="nil"/>
            </w:tcBorders>
            <w:shd w:val="clear" w:color="auto" w:fill="auto"/>
            <w:vAlign w:val="center"/>
          </w:tcPr>
          <w:p w14:paraId="46215307"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31</w:t>
            </w:r>
          </w:p>
        </w:tc>
        <w:tc>
          <w:tcPr>
            <w:tcW w:w="567" w:type="dxa"/>
            <w:tcBorders>
              <w:top w:val="nil"/>
              <w:left w:val="nil"/>
              <w:bottom w:val="nil"/>
              <w:right w:val="nil"/>
            </w:tcBorders>
            <w:shd w:val="clear" w:color="auto" w:fill="auto"/>
            <w:vAlign w:val="center"/>
          </w:tcPr>
          <w:p w14:paraId="077B0C43"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9.9</w:t>
            </w:r>
          </w:p>
        </w:tc>
        <w:tc>
          <w:tcPr>
            <w:tcW w:w="1146" w:type="dxa"/>
            <w:tcBorders>
              <w:top w:val="nil"/>
              <w:left w:val="nil"/>
              <w:bottom w:val="nil"/>
              <w:right w:val="single" w:sz="4" w:space="0" w:color="000000"/>
            </w:tcBorders>
            <w:shd w:val="clear" w:color="auto" w:fill="auto"/>
            <w:vAlign w:val="center"/>
          </w:tcPr>
          <w:p w14:paraId="16921C37"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(6.1, 13.7)</w:t>
            </w:r>
          </w:p>
        </w:tc>
        <w:tc>
          <w:tcPr>
            <w:tcW w:w="536" w:type="dxa"/>
            <w:tcBorders>
              <w:top w:val="nil"/>
              <w:left w:val="single" w:sz="4" w:space="0" w:color="000000"/>
              <w:bottom w:val="nil"/>
              <w:right w:val="nil"/>
            </w:tcBorders>
            <w:shd w:val="clear" w:color="auto" w:fill="auto"/>
            <w:vAlign w:val="center"/>
          </w:tcPr>
          <w:p w14:paraId="7E513475"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38</w:t>
            </w:r>
          </w:p>
        </w:tc>
        <w:tc>
          <w:tcPr>
            <w:tcW w:w="576" w:type="dxa"/>
            <w:tcBorders>
              <w:top w:val="nil"/>
              <w:left w:val="nil"/>
              <w:bottom w:val="nil"/>
              <w:right w:val="nil"/>
            </w:tcBorders>
            <w:shd w:val="clear" w:color="auto" w:fill="auto"/>
            <w:vAlign w:val="center"/>
          </w:tcPr>
          <w:p w14:paraId="0C565B7A"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13.7</w:t>
            </w:r>
          </w:p>
        </w:tc>
        <w:tc>
          <w:tcPr>
            <w:tcW w:w="1146" w:type="dxa"/>
            <w:tcBorders>
              <w:top w:val="nil"/>
              <w:left w:val="nil"/>
              <w:bottom w:val="nil"/>
              <w:right w:val="nil"/>
            </w:tcBorders>
            <w:shd w:val="clear" w:color="auto" w:fill="auto"/>
            <w:vAlign w:val="center"/>
          </w:tcPr>
          <w:p w14:paraId="68000B3E"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(8.6, 18.8)</w:t>
            </w:r>
          </w:p>
        </w:tc>
      </w:tr>
      <w:tr w:rsidR="009118DA" w:rsidRPr="00CE46F7" w14:paraId="769A7486"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25B01E64" w14:textId="77777777" w:rsidR="0013235A" w:rsidRPr="00CE46F7" w:rsidRDefault="0013235A" w:rsidP="007B4EF8">
            <w:pPr>
              <w:spacing w:before="20" w:after="20"/>
              <w:rPr>
                <w:rFonts w:eastAsiaTheme="minorEastAsia"/>
                <w:b w:val="0"/>
                <w:sz w:val="18"/>
                <w:szCs w:val="18"/>
                <w:lang w:eastAsia="en-US"/>
              </w:rPr>
            </w:pPr>
            <w:r w:rsidRPr="00CE46F7">
              <w:rPr>
                <w:rFonts w:eastAsiaTheme="minorEastAsia"/>
                <w:b w:val="0"/>
                <w:sz w:val="18"/>
                <w:szCs w:val="18"/>
                <w:lang w:eastAsia="en-US"/>
              </w:rPr>
              <w:t>Above median (Score 26 - 32)</w:t>
            </w:r>
          </w:p>
        </w:tc>
        <w:tc>
          <w:tcPr>
            <w:tcW w:w="536" w:type="dxa"/>
            <w:tcBorders>
              <w:top w:val="nil"/>
              <w:left w:val="nil"/>
              <w:bottom w:val="nil"/>
              <w:right w:val="nil"/>
            </w:tcBorders>
            <w:shd w:val="clear" w:color="auto" w:fill="auto"/>
            <w:noWrap/>
            <w:vAlign w:val="center"/>
          </w:tcPr>
          <w:p w14:paraId="708AB2CC"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275</w:t>
            </w:r>
          </w:p>
        </w:tc>
        <w:tc>
          <w:tcPr>
            <w:tcW w:w="579" w:type="dxa"/>
            <w:tcBorders>
              <w:top w:val="nil"/>
              <w:left w:val="nil"/>
              <w:bottom w:val="nil"/>
              <w:right w:val="nil"/>
            </w:tcBorders>
            <w:shd w:val="clear" w:color="auto" w:fill="auto"/>
            <w:noWrap/>
            <w:vAlign w:val="center"/>
          </w:tcPr>
          <w:p w14:paraId="13FA3F76"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43.1</w:t>
            </w:r>
          </w:p>
        </w:tc>
        <w:tc>
          <w:tcPr>
            <w:tcW w:w="1146" w:type="dxa"/>
            <w:tcBorders>
              <w:top w:val="nil"/>
              <w:left w:val="nil"/>
              <w:bottom w:val="nil"/>
              <w:right w:val="single" w:sz="4" w:space="0" w:color="auto"/>
            </w:tcBorders>
            <w:shd w:val="clear" w:color="auto" w:fill="auto"/>
            <w:noWrap/>
            <w:vAlign w:val="center"/>
          </w:tcPr>
          <w:p w14:paraId="02615562"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(39.3, 47.0)</w:t>
            </w:r>
          </w:p>
        </w:tc>
        <w:tc>
          <w:tcPr>
            <w:tcW w:w="536" w:type="dxa"/>
            <w:tcBorders>
              <w:top w:val="nil"/>
              <w:left w:val="single" w:sz="4" w:space="0" w:color="auto"/>
              <w:bottom w:val="nil"/>
              <w:right w:val="nil"/>
            </w:tcBorders>
            <w:shd w:val="clear" w:color="auto" w:fill="auto"/>
            <w:noWrap/>
            <w:vAlign w:val="center"/>
          </w:tcPr>
          <w:p w14:paraId="6B1536F6"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149</w:t>
            </w:r>
          </w:p>
        </w:tc>
        <w:tc>
          <w:tcPr>
            <w:tcW w:w="621" w:type="dxa"/>
            <w:tcBorders>
              <w:top w:val="nil"/>
              <w:left w:val="nil"/>
              <w:bottom w:val="nil"/>
              <w:right w:val="nil"/>
            </w:tcBorders>
            <w:shd w:val="clear" w:color="auto" w:fill="auto"/>
            <w:noWrap/>
            <w:vAlign w:val="center"/>
          </w:tcPr>
          <w:p w14:paraId="27EA7B93"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40.4</w:t>
            </w:r>
          </w:p>
        </w:tc>
        <w:tc>
          <w:tcPr>
            <w:tcW w:w="1146" w:type="dxa"/>
            <w:tcBorders>
              <w:top w:val="nil"/>
              <w:left w:val="nil"/>
              <w:bottom w:val="nil"/>
              <w:right w:val="single" w:sz="4" w:space="0" w:color="000000"/>
            </w:tcBorders>
            <w:shd w:val="clear" w:color="auto" w:fill="auto"/>
            <w:noWrap/>
            <w:vAlign w:val="center"/>
          </w:tcPr>
          <w:p w14:paraId="699378B6"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(35.1, 45.7)</w:t>
            </w:r>
          </w:p>
        </w:tc>
        <w:tc>
          <w:tcPr>
            <w:tcW w:w="536" w:type="dxa"/>
            <w:tcBorders>
              <w:top w:val="nil"/>
              <w:left w:val="single" w:sz="4" w:space="0" w:color="000000"/>
              <w:bottom w:val="nil"/>
              <w:right w:val="nil"/>
            </w:tcBorders>
            <w:shd w:val="clear" w:color="auto" w:fill="auto"/>
            <w:vAlign w:val="center"/>
          </w:tcPr>
          <w:p w14:paraId="598AD4CD"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136</w:t>
            </w:r>
          </w:p>
        </w:tc>
        <w:tc>
          <w:tcPr>
            <w:tcW w:w="567" w:type="dxa"/>
            <w:tcBorders>
              <w:top w:val="nil"/>
              <w:left w:val="nil"/>
              <w:bottom w:val="nil"/>
              <w:right w:val="nil"/>
            </w:tcBorders>
            <w:shd w:val="clear" w:color="auto" w:fill="auto"/>
            <w:vAlign w:val="center"/>
          </w:tcPr>
          <w:p w14:paraId="3E12B1E3"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43.8</w:t>
            </w:r>
          </w:p>
        </w:tc>
        <w:tc>
          <w:tcPr>
            <w:tcW w:w="1146" w:type="dxa"/>
            <w:tcBorders>
              <w:top w:val="nil"/>
              <w:left w:val="nil"/>
              <w:bottom w:val="nil"/>
              <w:right w:val="single" w:sz="4" w:space="0" w:color="000000"/>
            </w:tcBorders>
            <w:shd w:val="clear" w:color="auto" w:fill="auto"/>
            <w:vAlign w:val="center"/>
          </w:tcPr>
          <w:p w14:paraId="6E3F1D24"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(37.6, 50.0)</w:t>
            </w:r>
          </w:p>
        </w:tc>
        <w:tc>
          <w:tcPr>
            <w:tcW w:w="536" w:type="dxa"/>
            <w:tcBorders>
              <w:top w:val="nil"/>
              <w:left w:val="single" w:sz="4" w:space="0" w:color="000000"/>
              <w:bottom w:val="nil"/>
              <w:right w:val="nil"/>
            </w:tcBorders>
            <w:shd w:val="clear" w:color="auto" w:fill="auto"/>
            <w:vAlign w:val="center"/>
          </w:tcPr>
          <w:p w14:paraId="064DD974"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111</w:t>
            </w:r>
          </w:p>
        </w:tc>
        <w:tc>
          <w:tcPr>
            <w:tcW w:w="576" w:type="dxa"/>
            <w:tcBorders>
              <w:top w:val="nil"/>
              <w:left w:val="nil"/>
              <w:bottom w:val="nil"/>
              <w:right w:val="nil"/>
            </w:tcBorders>
            <w:shd w:val="clear" w:color="auto" w:fill="auto"/>
            <w:vAlign w:val="center"/>
          </w:tcPr>
          <w:p w14:paraId="739BF5DA"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39.8</w:t>
            </w:r>
          </w:p>
        </w:tc>
        <w:tc>
          <w:tcPr>
            <w:tcW w:w="1146" w:type="dxa"/>
            <w:tcBorders>
              <w:top w:val="nil"/>
              <w:left w:val="nil"/>
              <w:bottom w:val="nil"/>
              <w:right w:val="nil"/>
            </w:tcBorders>
            <w:shd w:val="clear" w:color="auto" w:fill="auto"/>
            <w:vAlign w:val="center"/>
          </w:tcPr>
          <w:p w14:paraId="4133ADAC"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(33.2, 46.5)</w:t>
            </w:r>
          </w:p>
        </w:tc>
      </w:tr>
      <w:tr w:rsidR="0013235A" w:rsidRPr="00CE46F7" w14:paraId="72FE4613"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5801" w:type="dxa"/>
            <w:gridSpan w:val="4"/>
            <w:tcBorders>
              <w:top w:val="nil"/>
              <w:left w:val="nil"/>
              <w:bottom w:val="nil"/>
              <w:right w:val="single" w:sz="4" w:space="0" w:color="auto"/>
            </w:tcBorders>
            <w:shd w:val="clear" w:color="auto" w:fill="auto"/>
            <w:vAlign w:val="center"/>
          </w:tcPr>
          <w:p w14:paraId="1E753F1A" w14:textId="77777777" w:rsidR="0013235A" w:rsidRPr="00CE46F7" w:rsidRDefault="0013235A" w:rsidP="007B4EF8">
            <w:pPr>
              <w:tabs>
                <w:tab w:val="left" w:pos="176"/>
              </w:tabs>
              <w:spacing w:before="20" w:after="20"/>
              <w:rPr>
                <w:rFonts w:eastAsiaTheme="minorEastAsia"/>
                <w:bCs w:val="0"/>
                <w:sz w:val="18"/>
                <w:szCs w:val="18"/>
                <w:lang w:eastAsia="en-US"/>
              </w:rPr>
            </w:pPr>
            <w:r w:rsidRPr="00CE46F7">
              <w:rPr>
                <w:rFonts w:eastAsiaTheme="minorEastAsia"/>
                <w:sz w:val="18"/>
                <w:szCs w:val="18"/>
                <w:lang w:eastAsia="en-US"/>
              </w:rPr>
              <w:t>Psychological distress (Kessler-10)</w:t>
            </w:r>
          </w:p>
        </w:tc>
        <w:tc>
          <w:tcPr>
            <w:tcW w:w="536" w:type="dxa"/>
            <w:tcBorders>
              <w:top w:val="nil"/>
              <w:left w:val="single" w:sz="4" w:space="0" w:color="auto"/>
              <w:bottom w:val="nil"/>
              <w:right w:val="nil"/>
            </w:tcBorders>
            <w:shd w:val="clear" w:color="auto" w:fill="auto"/>
            <w:noWrap/>
            <w:vAlign w:val="center"/>
          </w:tcPr>
          <w:p w14:paraId="13029D31" w14:textId="77777777" w:rsidR="0013235A" w:rsidRPr="00CE46F7" w:rsidRDefault="0013235A" w:rsidP="007B4EF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621" w:type="dxa"/>
            <w:tcBorders>
              <w:top w:val="nil"/>
              <w:left w:val="nil"/>
              <w:bottom w:val="nil"/>
              <w:right w:val="nil"/>
            </w:tcBorders>
            <w:shd w:val="clear" w:color="auto" w:fill="auto"/>
            <w:noWrap/>
            <w:vAlign w:val="center"/>
          </w:tcPr>
          <w:p w14:paraId="665524FC" w14:textId="77777777" w:rsidR="0013235A" w:rsidRPr="00CE46F7" w:rsidRDefault="0013235A" w:rsidP="007B4EF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1146" w:type="dxa"/>
            <w:tcBorders>
              <w:top w:val="nil"/>
              <w:left w:val="nil"/>
              <w:bottom w:val="nil"/>
              <w:right w:val="single" w:sz="4" w:space="0" w:color="000000"/>
            </w:tcBorders>
            <w:shd w:val="clear" w:color="auto" w:fill="auto"/>
            <w:noWrap/>
            <w:vAlign w:val="center"/>
          </w:tcPr>
          <w:p w14:paraId="6B78BC9F" w14:textId="77777777" w:rsidR="0013235A" w:rsidRPr="00CE46F7" w:rsidRDefault="0013235A" w:rsidP="007B4EF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8"/>
                <w:szCs w:val="18"/>
                <w:lang w:eastAsia="en-US"/>
              </w:rPr>
            </w:pPr>
          </w:p>
        </w:tc>
        <w:tc>
          <w:tcPr>
            <w:tcW w:w="536" w:type="dxa"/>
            <w:tcBorders>
              <w:top w:val="nil"/>
              <w:left w:val="single" w:sz="4" w:space="0" w:color="000000"/>
              <w:bottom w:val="nil"/>
              <w:right w:val="nil"/>
            </w:tcBorders>
            <w:shd w:val="clear" w:color="auto" w:fill="auto"/>
            <w:vAlign w:val="bottom"/>
          </w:tcPr>
          <w:p w14:paraId="11E9213E" w14:textId="77777777" w:rsidR="0013235A" w:rsidRPr="00CE46F7" w:rsidRDefault="0013235A" w:rsidP="007B4EF8">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shd w:val="clear" w:color="auto" w:fill="auto"/>
            <w:vAlign w:val="bottom"/>
          </w:tcPr>
          <w:p w14:paraId="37ACF634" w14:textId="77777777" w:rsidR="0013235A" w:rsidRPr="00CE46F7" w:rsidRDefault="0013235A" w:rsidP="007B4EF8">
            <w:pPr>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auto"/>
            <w:vAlign w:val="bottom"/>
          </w:tcPr>
          <w:p w14:paraId="016E08F4" w14:textId="77777777" w:rsidR="0013235A" w:rsidRPr="00CE46F7" w:rsidRDefault="0013235A" w:rsidP="007B4EF8">
            <w:pPr>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shd w:val="clear" w:color="auto" w:fill="auto"/>
            <w:vAlign w:val="bottom"/>
          </w:tcPr>
          <w:p w14:paraId="755A26DE" w14:textId="77777777" w:rsidR="0013235A" w:rsidRPr="00CE46F7" w:rsidRDefault="0013235A" w:rsidP="007B4EF8">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6" w:type="dxa"/>
            <w:tcBorders>
              <w:top w:val="nil"/>
              <w:left w:val="nil"/>
              <w:bottom w:val="nil"/>
              <w:right w:val="nil"/>
            </w:tcBorders>
            <w:shd w:val="clear" w:color="auto" w:fill="auto"/>
            <w:vAlign w:val="bottom"/>
          </w:tcPr>
          <w:p w14:paraId="1E9215A0" w14:textId="77777777" w:rsidR="0013235A" w:rsidRPr="00CE46F7" w:rsidRDefault="0013235A" w:rsidP="007B4EF8">
            <w:pPr>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shd w:val="clear" w:color="auto" w:fill="auto"/>
            <w:vAlign w:val="bottom"/>
          </w:tcPr>
          <w:p w14:paraId="65546D9E" w14:textId="77777777" w:rsidR="0013235A" w:rsidRPr="00CE46F7" w:rsidRDefault="0013235A" w:rsidP="007B4EF8">
            <w:pPr>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CE46F7" w14:paraId="5F3CE2A9"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bottom"/>
          </w:tcPr>
          <w:p w14:paraId="1FD33486" w14:textId="77777777" w:rsidR="00152900" w:rsidRPr="00152900" w:rsidRDefault="00152900" w:rsidP="00152900">
            <w:pPr>
              <w:keepNext/>
              <w:spacing w:before="20"/>
              <w:ind w:left="34"/>
              <w:jc w:val="both"/>
              <w:rPr>
                <w:rFonts w:eastAsiaTheme="minorEastAsia"/>
                <w:b w:val="0"/>
                <w:sz w:val="18"/>
                <w:szCs w:val="18"/>
                <w:lang w:eastAsia="en-US"/>
              </w:rPr>
            </w:pPr>
            <w:r w:rsidRPr="00152900">
              <w:rPr>
                <w:rFonts w:eastAsiaTheme="minorEastAsia"/>
                <w:b w:val="0"/>
                <w:sz w:val="18"/>
                <w:szCs w:val="18"/>
                <w:lang w:eastAsia="en-US"/>
              </w:rPr>
              <w:t>Low (Score 0 - 5)</w:t>
            </w:r>
          </w:p>
        </w:tc>
        <w:tc>
          <w:tcPr>
            <w:tcW w:w="536" w:type="dxa"/>
            <w:tcBorders>
              <w:top w:val="nil"/>
              <w:left w:val="nil"/>
              <w:bottom w:val="nil"/>
              <w:right w:val="nil"/>
            </w:tcBorders>
            <w:shd w:val="clear" w:color="auto" w:fill="auto"/>
            <w:noWrap/>
            <w:vAlign w:val="center"/>
          </w:tcPr>
          <w:p w14:paraId="0492C8A2"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CE46F7">
              <w:rPr>
                <w:color w:val="000000"/>
                <w:sz w:val="18"/>
                <w:szCs w:val="18"/>
              </w:rPr>
              <w:t>466</w:t>
            </w:r>
          </w:p>
        </w:tc>
        <w:tc>
          <w:tcPr>
            <w:tcW w:w="579" w:type="dxa"/>
            <w:tcBorders>
              <w:top w:val="nil"/>
              <w:left w:val="nil"/>
              <w:bottom w:val="nil"/>
              <w:right w:val="nil"/>
            </w:tcBorders>
            <w:shd w:val="clear" w:color="auto" w:fill="auto"/>
            <w:noWrap/>
            <w:vAlign w:val="center"/>
          </w:tcPr>
          <w:p w14:paraId="0E279B10"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73.0</w:t>
            </w:r>
          </w:p>
        </w:tc>
        <w:tc>
          <w:tcPr>
            <w:tcW w:w="1146" w:type="dxa"/>
            <w:tcBorders>
              <w:top w:val="nil"/>
              <w:left w:val="nil"/>
              <w:bottom w:val="nil"/>
              <w:right w:val="single" w:sz="4" w:space="0" w:color="auto"/>
            </w:tcBorders>
            <w:shd w:val="clear" w:color="auto" w:fill="auto"/>
            <w:noWrap/>
            <w:vAlign w:val="center"/>
          </w:tcPr>
          <w:p w14:paraId="20746EBC"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(69.5, 76.6)</w:t>
            </w:r>
          </w:p>
        </w:tc>
        <w:tc>
          <w:tcPr>
            <w:tcW w:w="536" w:type="dxa"/>
            <w:tcBorders>
              <w:top w:val="nil"/>
              <w:left w:val="single" w:sz="4" w:space="0" w:color="auto"/>
              <w:bottom w:val="nil"/>
              <w:right w:val="nil"/>
            </w:tcBorders>
            <w:shd w:val="clear" w:color="auto" w:fill="auto"/>
            <w:noWrap/>
            <w:vAlign w:val="center"/>
          </w:tcPr>
          <w:p w14:paraId="2DC8E56F"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274</w:t>
            </w:r>
          </w:p>
        </w:tc>
        <w:tc>
          <w:tcPr>
            <w:tcW w:w="621" w:type="dxa"/>
            <w:tcBorders>
              <w:top w:val="nil"/>
              <w:left w:val="nil"/>
              <w:bottom w:val="nil"/>
              <w:right w:val="nil"/>
            </w:tcBorders>
            <w:shd w:val="clear" w:color="auto" w:fill="auto"/>
            <w:noWrap/>
            <w:vAlign w:val="center"/>
          </w:tcPr>
          <w:p w14:paraId="0F16A393"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74.2</w:t>
            </w:r>
          </w:p>
        </w:tc>
        <w:tc>
          <w:tcPr>
            <w:tcW w:w="1146" w:type="dxa"/>
            <w:tcBorders>
              <w:top w:val="nil"/>
              <w:left w:val="nil"/>
              <w:bottom w:val="nil"/>
              <w:right w:val="single" w:sz="4" w:space="0" w:color="000000"/>
            </w:tcBorders>
            <w:shd w:val="clear" w:color="auto" w:fill="auto"/>
            <w:noWrap/>
            <w:vAlign w:val="center"/>
          </w:tcPr>
          <w:p w14:paraId="728E067B"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(69.4, 79.1)</w:t>
            </w:r>
          </w:p>
        </w:tc>
        <w:tc>
          <w:tcPr>
            <w:tcW w:w="536" w:type="dxa"/>
            <w:tcBorders>
              <w:top w:val="nil"/>
              <w:left w:val="single" w:sz="4" w:space="0" w:color="000000"/>
              <w:bottom w:val="nil"/>
              <w:right w:val="nil"/>
            </w:tcBorders>
            <w:shd w:val="clear" w:color="auto" w:fill="auto"/>
            <w:vAlign w:val="center"/>
          </w:tcPr>
          <w:p w14:paraId="4D9B92D8"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218</w:t>
            </w:r>
          </w:p>
        </w:tc>
        <w:tc>
          <w:tcPr>
            <w:tcW w:w="567" w:type="dxa"/>
            <w:tcBorders>
              <w:top w:val="nil"/>
              <w:left w:val="nil"/>
              <w:bottom w:val="nil"/>
              <w:right w:val="nil"/>
            </w:tcBorders>
            <w:shd w:val="clear" w:color="auto" w:fill="auto"/>
            <w:vAlign w:val="center"/>
          </w:tcPr>
          <w:p w14:paraId="645D538A"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70.2</w:t>
            </w:r>
          </w:p>
        </w:tc>
        <w:tc>
          <w:tcPr>
            <w:tcW w:w="1146" w:type="dxa"/>
            <w:tcBorders>
              <w:top w:val="nil"/>
              <w:left w:val="nil"/>
              <w:bottom w:val="nil"/>
              <w:right w:val="single" w:sz="4" w:space="0" w:color="000000"/>
            </w:tcBorders>
            <w:shd w:val="clear" w:color="auto" w:fill="auto"/>
            <w:vAlign w:val="center"/>
          </w:tcPr>
          <w:p w14:paraId="6B5AC4A0"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(64.3, 76.2)</w:t>
            </w:r>
          </w:p>
        </w:tc>
        <w:tc>
          <w:tcPr>
            <w:tcW w:w="536" w:type="dxa"/>
            <w:tcBorders>
              <w:top w:val="nil"/>
              <w:left w:val="single" w:sz="4" w:space="0" w:color="000000"/>
              <w:bottom w:val="nil"/>
              <w:right w:val="nil"/>
            </w:tcBorders>
            <w:shd w:val="clear" w:color="auto" w:fill="auto"/>
            <w:vAlign w:val="center"/>
          </w:tcPr>
          <w:p w14:paraId="143612C2"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214</w:t>
            </w:r>
          </w:p>
        </w:tc>
        <w:tc>
          <w:tcPr>
            <w:tcW w:w="576" w:type="dxa"/>
            <w:tcBorders>
              <w:top w:val="nil"/>
              <w:left w:val="nil"/>
              <w:bottom w:val="nil"/>
              <w:right w:val="nil"/>
            </w:tcBorders>
            <w:shd w:val="clear" w:color="auto" w:fill="auto"/>
            <w:vAlign w:val="center"/>
          </w:tcPr>
          <w:p w14:paraId="797A4DDA"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76.5</w:t>
            </w:r>
          </w:p>
        </w:tc>
        <w:tc>
          <w:tcPr>
            <w:tcW w:w="1146" w:type="dxa"/>
            <w:tcBorders>
              <w:top w:val="nil"/>
              <w:left w:val="nil"/>
              <w:bottom w:val="nil"/>
              <w:right w:val="nil"/>
            </w:tcBorders>
            <w:shd w:val="clear" w:color="auto" w:fill="auto"/>
            <w:vAlign w:val="center"/>
          </w:tcPr>
          <w:p w14:paraId="640998EF"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(71.0, 82.0)</w:t>
            </w:r>
          </w:p>
        </w:tc>
      </w:tr>
      <w:tr w:rsidR="009118DA" w:rsidRPr="00CE46F7" w14:paraId="18B538B9"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bottom"/>
          </w:tcPr>
          <w:p w14:paraId="3DD0656E" w14:textId="77777777" w:rsidR="00152900" w:rsidRPr="00152900" w:rsidRDefault="00152900" w:rsidP="00152900">
            <w:pPr>
              <w:keepNext/>
              <w:spacing w:before="20"/>
              <w:ind w:left="34"/>
              <w:jc w:val="both"/>
              <w:rPr>
                <w:rFonts w:eastAsiaTheme="minorEastAsia"/>
                <w:b w:val="0"/>
                <w:sz w:val="18"/>
                <w:szCs w:val="18"/>
                <w:lang w:eastAsia="en-US"/>
              </w:rPr>
            </w:pPr>
            <w:r w:rsidRPr="00152900">
              <w:rPr>
                <w:rFonts w:eastAsiaTheme="minorEastAsia"/>
                <w:b w:val="0"/>
                <w:sz w:val="18"/>
                <w:szCs w:val="18"/>
                <w:lang w:eastAsia="en-US"/>
              </w:rPr>
              <w:t>Moderate (Score 6 - 11)</w:t>
            </w:r>
          </w:p>
        </w:tc>
        <w:tc>
          <w:tcPr>
            <w:tcW w:w="536" w:type="dxa"/>
            <w:tcBorders>
              <w:top w:val="nil"/>
              <w:left w:val="nil"/>
              <w:bottom w:val="nil"/>
              <w:right w:val="nil"/>
            </w:tcBorders>
            <w:shd w:val="clear" w:color="auto" w:fill="auto"/>
            <w:noWrap/>
            <w:vAlign w:val="center"/>
          </w:tcPr>
          <w:p w14:paraId="7ED00659"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125</w:t>
            </w:r>
          </w:p>
        </w:tc>
        <w:tc>
          <w:tcPr>
            <w:tcW w:w="579" w:type="dxa"/>
            <w:tcBorders>
              <w:top w:val="nil"/>
              <w:left w:val="nil"/>
              <w:bottom w:val="nil"/>
              <w:right w:val="nil"/>
            </w:tcBorders>
            <w:shd w:val="clear" w:color="auto" w:fill="auto"/>
            <w:noWrap/>
            <w:vAlign w:val="center"/>
          </w:tcPr>
          <w:p w14:paraId="0D9078ED"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19.6</w:t>
            </w:r>
          </w:p>
        </w:tc>
        <w:tc>
          <w:tcPr>
            <w:tcW w:w="1146" w:type="dxa"/>
            <w:tcBorders>
              <w:top w:val="nil"/>
              <w:left w:val="nil"/>
              <w:bottom w:val="nil"/>
              <w:right w:val="single" w:sz="4" w:space="0" w:color="auto"/>
            </w:tcBorders>
            <w:shd w:val="clear" w:color="auto" w:fill="auto"/>
            <w:noWrap/>
            <w:vAlign w:val="center"/>
          </w:tcPr>
          <w:p w14:paraId="7A7BC17C"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(16.4, 22.9)</w:t>
            </w:r>
          </w:p>
        </w:tc>
        <w:tc>
          <w:tcPr>
            <w:tcW w:w="536" w:type="dxa"/>
            <w:tcBorders>
              <w:top w:val="nil"/>
              <w:left w:val="single" w:sz="4" w:space="0" w:color="auto"/>
              <w:bottom w:val="nil"/>
              <w:right w:val="nil"/>
            </w:tcBorders>
            <w:shd w:val="clear" w:color="auto" w:fill="auto"/>
            <w:noWrap/>
            <w:vAlign w:val="center"/>
          </w:tcPr>
          <w:p w14:paraId="78BAA462"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68</w:t>
            </w:r>
          </w:p>
        </w:tc>
        <w:tc>
          <w:tcPr>
            <w:tcW w:w="621" w:type="dxa"/>
            <w:tcBorders>
              <w:top w:val="nil"/>
              <w:left w:val="nil"/>
              <w:bottom w:val="nil"/>
              <w:right w:val="nil"/>
            </w:tcBorders>
            <w:shd w:val="clear" w:color="auto" w:fill="auto"/>
            <w:noWrap/>
            <w:vAlign w:val="center"/>
          </w:tcPr>
          <w:p w14:paraId="2B414B00"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18.5</w:t>
            </w:r>
          </w:p>
        </w:tc>
        <w:tc>
          <w:tcPr>
            <w:tcW w:w="1146" w:type="dxa"/>
            <w:tcBorders>
              <w:top w:val="nil"/>
              <w:left w:val="nil"/>
              <w:bottom w:val="nil"/>
              <w:right w:val="single" w:sz="4" w:space="0" w:color="000000"/>
            </w:tcBorders>
            <w:shd w:val="clear" w:color="auto" w:fill="auto"/>
            <w:noWrap/>
            <w:vAlign w:val="center"/>
          </w:tcPr>
          <w:p w14:paraId="02E6FB2C"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(14.3, 22.7)</w:t>
            </w:r>
          </w:p>
        </w:tc>
        <w:tc>
          <w:tcPr>
            <w:tcW w:w="536" w:type="dxa"/>
            <w:tcBorders>
              <w:top w:val="nil"/>
              <w:left w:val="single" w:sz="4" w:space="0" w:color="000000"/>
              <w:bottom w:val="nil"/>
              <w:right w:val="nil"/>
            </w:tcBorders>
            <w:shd w:val="clear" w:color="auto" w:fill="auto"/>
            <w:vAlign w:val="center"/>
          </w:tcPr>
          <w:p w14:paraId="723E74FD"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77</w:t>
            </w:r>
          </w:p>
        </w:tc>
        <w:tc>
          <w:tcPr>
            <w:tcW w:w="567" w:type="dxa"/>
            <w:tcBorders>
              <w:top w:val="nil"/>
              <w:left w:val="nil"/>
              <w:bottom w:val="nil"/>
              <w:right w:val="nil"/>
            </w:tcBorders>
            <w:shd w:val="clear" w:color="auto" w:fill="auto"/>
            <w:vAlign w:val="center"/>
          </w:tcPr>
          <w:p w14:paraId="611AFBFB"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25.0</w:t>
            </w:r>
          </w:p>
        </w:tc>
        <w:tc>
          <w:tcPr>
            <w:tcW w:w="1146" w:type="dxa"/>
            <w:tcBorders>
              <w:top w:val="nil"/>
              <w:left w:val="nil"/>
              <w:bottom w:val="nil"/>
              <w:right w:val="single" w:sz="4" w:space="0" w:color="000000"/>
            </w:tcBorders>
            <w:shd w:val="clear" w:color="auto" w:fill="auto"/>
            <w:vAlign w:val="center"/>
          </w:tcPr>
          <w:p w14:paraId="6341B681"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(19.2, 30.7)</w:t>
            </w:r>
          </w:p>
        </w:tc>
        <w:tc>
          <w:tcPr>
            <w:tcW w:w="536" w:type="dxa"/>
            <w:tcBorders>
              <w:top w:val="nil"/>
              <w:left w:val="single" w:sz="4" w:space="0" w:color="000000"/>
              <w:bottom w:val="nil"/>
              <w:right w:val="nil"/>
            </w:tcBorders>
            <w:shd w:val="clear" w:color="auto" w:fill="auto"/>
            <w:vAlign w:val="center"/>
          </w:tcPr>
          <w:p w14:paraId="6B036966"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55</w:t>
            </w:r>
          </w:p>
        </w:tc>
        <w:tc>
          <w:tcPr>
            <w:tcW w:w="576" w:type="dxa"/>
            <w:tcBorders>
              <w:top w:val="nil"/>
              <w:left w:val="nil"/>
              <w:bottom w:val="nil"/>
              <w:right w:val="nil"/>
            </w:tcBorders>
            <w:shd w:val="clear" w:color="auto" w:fill="auto"/>
            <w:vAlign w:val="center"/>
          </w:tcPr>
          <w:p w14:paraId="7CEF5587"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19.5</w:t>
            </w:r>
          </w:p>
        </w:tc>
        <w:tc>
          <w:tcPr>
            <w:tcW w:w="1146" w:type="dxa"/>
            <w:tcBorders>
              <w:top w:val="nil"/>
              <w:left w:val="nil"/>
              <w:bottom w:val="nil"/>
              <w:right w:val="nil"/>
            </w:tcBorders>
            <w:shd w:val="clear" w:color="auto" w:fill="auto"/>
            <w:vAlign w:val="center"/>
          </w:tcPr>
          <w:p w14:paraId="04B11668"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(14.4, 24.7)</w:t>
            </w:r>
          </w:p>
        </w:tc>
      </w:tr>
      <w:tr w:rsidR="009118DA" w:rsidRPr="00CE46F7" w14:paraId="350DC5B5"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bottom"/>
          </w:tcPr>
          <w:p w14:paraId="7B4DD9BC" w14:textId="77777777" w:rsidR="00152900" w:rsidRPr="00152900" w:rsidRDefault="00152900" w:rsidP="00152900">
            <w:pPr>
              <w:keepNext/>
              <w:spacing w:before="20"/>
              <w:ind w:left="34"/>
              <w:jc w:val="both"/>
              <w:rPr>
                <w:rFonts w:eastAsiaTheme="minorEastAsia"/>
                <w:b w:val="0"/>
                <w:sz w:val="18"/>
                <w:szCs w:val="18"/>
                <w:lang w:eastAsia="en-US"/>
              </w:rPr>
            </w:pPr>
            <w:r w:rsidRPr="00152900">
              <w:rPr>
                <w:rFonts w:eastAsiaTheme="minorEastAsia"/>
                <w:b w:val="0"/>
                <w:sz w:val="18"/>
                <w:szCs w:val="18"/>
                <w:lang w:eastAsia="en-US"/>
              </w:rPr>
              <w:t>High (Score 12 - 19)</w:t>
            </w:r>
          </w:p>
        </w:tc>
        <w:tc>
          <w:tcPr>
            <w:tcW w:w="536" w:type="dxa"/>
            <w:tcBorders>
              <w:top w:val="nil"/>
              <w:left w:val="nil"/>
              <w:bottom w:val="nil"/>
              <w:right w:val="nil"/>
            </w:tcBorders>
            <w:shd w:val="clear" w:color="auto" w:fill="auto"/>
            <w:noWrap/>
            <w:vAlign w:val="center"/>
          </w:tcPr>
          <w:p w14:paraId="74A6FAE7"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36</w:t>
            </w:r>
          </w:p>
        </w:tc>
        <w:tc>
          <w:tcPr>
            <w:tcW w:w="579" w:type="dxa"/>
            <w:tcBorders>
              <w:top w:val="nil"/>
              <w:left w:val="nil"/>
              <w:bottom w:val="nil"/>
              <w:right w:val="nil"/>
            </w:tcBorders>
            <w:shd w:val="clear" w:color="auto" w:fill="auto"/>
            <w:noWrap/>
            <w:vAlign w:val="center"/>
          </w:tcPr>
          <w:p w14:paraId="44F468A1"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5.6</w:t>
            </w:r>
          </w:p>
        </w:tc>
        <w:tc>
          <w:tcPr>
            <w:tcW w:w="1146" w:type="dxa"/>
            <w:tcBorders>
              <w:top w:val="nil"/>
              <w:left w:val="nil"/>
              <w:bottom w:val="nil"/>
              <w:right w:val="single" w:sz="4" w:space="0" w:color="auto"/>
            </w:tcBorders>
            <w:shd w:val="clear" w:color="auto" w:fill="auto"/>
            <w:noWrap/>
            <w:vAlign w:val="center"/>
          </w:tcPr>
          <w:p w14:paraId="6F5EB3F0"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(3.8, 7.5)</w:t>
            </w:r>
          </w:p>
        </w:tc>
        <w:tc>
          <w:tcPr>
            <w:tcW w:w="536" w:type="dxa"/>
            <w:tcBorders>
              <w:top w:val="nil"/>
              <w:left w:val="single" w:sz="4" w:space="0" w:color="auto"/>
              <w:bottom w:val="nil"/>
              <w:right w:val="nil"/>
            </w:tcBorders>
            <w:shd w:val="clear" w:color="auto" w:fill="auto"/>
            <w:noWrap/>
            <w:vAlign w:val="center"/>
          </w:tcPr>
          <w:p w14:paraId="1F29FB05"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22</w:t>
            </w:r>
          </w:p>
        </w:tc>
        <w:tc>
          <w:tcPr>
            <w:tcW w:w="621" w:type="dxa"/>
            <w:tcBorders>
              <w:top w:val="nil"/>
              <w:left w:val="nil"/>
              <w:bottom w:val="nil"/>
              <w:right w:val="nil"/>
            </w:tcBorders>
            <w:shd w:val="clear" w:color="auto" w:fill="auto"/>
            <w:noWrap/>
            <w:vAlign w:val="center"/>
          </w:tcPr>
          <w:p w14:paraId="288FB9F9"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5.9</w:t>
            </w:r>
          </w:p>
        </w:tc>
        <w:tc>
          <w:tcPr>
            <w:tcW w:w="1146" w:type="dxa"/>
            <w:tcBorders>
              <w:top w:val="nil"/>
              <w:left w:val="nil"/>
              <w:bottom w:val="nil"/>
              <w:right w:val="single" w:sz="4" w:space="0" w:color="000000"/>
            </w:tcBorders>
            <w:shd w:val="clear" w:color="auto" w:fill="auto"/>
            <w:noWrap/>
            <w:vAlign w:val="center"/>
          </w:tcPr>
          <w:p w14:paraId="2CDE400D"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(3.0, 8.9)</w:t>
            </w:r>
          </w:p>
        </w:tc>
        <w:tc>
          <w:tcPr>
            <w:tcW w:w="536" w:type="dxa"/>
            <w:tcBorders>
              <w:top w:val="nil"/>
              <w:left w:val="single" w:sz="4" w:space="0" w:color="000000"/>
              <w:bottom w:val="nil"/>
              <w:right w:val="nil"/>
            </w:tcBorders>
            <w:shd w:val="clear" w:color="auto" w:fill="auto"/>
            <w:vAlign w:val="center"/>
          </w:tcPr>
          <w:p w14:paraId="654C0E35"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15</w:t>
            </w:r>
          </w:p>
        </w:tc>
        <w:tc>
          <w:tcPr>
            <w:tcW w:w="567" w:type="dxa"/>
            <w:tcBorders>
              <w:top w:val="nil"/>
              <w:left w:val="nil"/>
              <w:bottom w:val="nil"/>
              <w:right w:val="nil"/>
            </w:tcBorders>
            <w:shd w:val="clear" w:color="auto" w:fill="auto"/>
            <w:vAlign w:val="center"/>
          </w:tcPr>
          <w:p w14:paraId="31C9FF24"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4.8</w:t>
            </w:r>
          </w:p>
        </w:tc>
        <w:tc>
          <w:tcPr>
            <w:tcW w:w="1146" w:type="dxa"/>
            <w:tcBorders>
              <w:top w:val="nil"/>
              <w:left w:val="nil"/>
              <w:bottom w:val="nil"/>
              <w:right w:val="single" w:sz="4" w:space="0" w:color="000000"/>
            </w:tcBorders>
            <w:shd w:val="clear" w:color="auto" w:fill="auto"/>
            <w:vAlign w:val="center"/>
          </w:tcPr>
          <w:p w14:paraId="2D4DD388"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(2.4, 7.1)</w:t>
            </w:r>
          </w:p>
        </w:tc>
        <w:tc>
          <w:tcPr>
            <w:tcW w:w="536" w:type="dxa"/>
            <w:tcBorders>
              <w:top w:val="nil"/>
              <w:left w:val="single" w:sz="4" w:space="0" w:color="000000"/>
              <w:bottom w:val="nil"/>
              <w:right w:val="nil"/>
            </w:tcBorders>
            <w:shd w:val="clear" w:color="auto" w:fill="auto"/>
            <w:vAlign w:val="center"/>
          </w:tcPr>
          <w:p w14:paraId="1DB8DEE0"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11</w:t>
            </w:r>
          </w:p>
        </w:tc>
        <w:tc>
          <w:tcPr>
            <w:tcW w:w="576" w:type="dxa"/>
            <w:tcBorders>
              <w:top w:val="nil"/>
              <w:left w:val="nil"/>
              <w:bottom w:val="nil"/>
              <w:right w:val="nil"/>
            </w:tcBorders>
            <w:shd w:val="clear" w:color="auto" w:fill="auto"/>
            <w:vAlign w:val="center"/>
          </w:tcPr>
          <w:p w14:paraId="584B0261"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3.8</w:t>
            </w:r>
          </w:p>
        </w:tc>
        <w:tc>
          <w:tcPr>
            <w:tcW w:w="1146" w:type="dxa"/>
            <w:tcBorders>
              <w:top w:val="nil"/>
              <w:left w:val="nil"/>
              <w:bottom w:val="nil"/>
              <w:right w:val="nil"/>
            </w:tcBorders>
            <w:shd w:val="clear" w:color="auto" w:fill="auto"/>
            <w:vAlign w:val="center"/>
          </w:tcPr>
          <w:p w14:paraId="50A71642"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(1.5, 6.0)</w:t>
            </w:r>
          </w:p>
        </w:tc>
      </w:tr>
      <w:tr w:rsidR="009118DA" w:rsidRPr="00CE46F7" w14:paraId="2F2A4770"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bottom"/>
          </w:tcPr>
          <w:p w14:paraId="6C668186" w14:textId="77777777" w:rsidR="00152900" w:rsidRPr="00152900" w:rsidRDefault="00152900" w:rsidP="00152900">
            <w:pPr>
              <w:spacing w:before="20"/>
              <w:ind w:left="34"/>
              <w:jc w:val="both"/>
              <w:rPr>
                <w:rFonts w:eastAsiaTheme="minorEastAsia"/>
                <w:b w:val="0"/>
                <w:sz w:val="18"/>
                <w:szCs w:val="18"/>
                <w:lang w:eastAsia="en-US"/>
              </w:rPr>
            </w:pPr>
            <w:r w:rsidRPr="00152900">
              <w:rPr>
                <w:rFonts w:eastAsiaTheme="minorEastAsia"/>
                <w:b w:val="0"/>
                <w:sz w:val="18"/>
                <w:szCs w:val="18"/>
                <w:lang w:eastAsia="en-US"/>
              </w:rPr>
              <w:t>Severe (Score 20 - 40)</w:t>
            </w:r>
          </w:p>
        </w:tc>
        <w:tc>
          <w:tcPr>
            <w:tcW w:w="536" w:type="dxa"/>
            <w:tcBorders>
              <w:top w:val="nil"/>
              <w:left w:val="nil"/>
              <w:bottom w:val="nil"/>
              <w:right w:val="nil"/>
            </w:tcBorders>
            <w:shd w:val="clear" w:color="auto" w:fill="auto"/>
            <w:noWrap/>
            <w:vAlign w:val="center"/>
          </w:tcPr>
          <w:p w14:paraId="3383EA8A"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11</w:t>
            </w:r>
          </w:p>
        </w:tc>
        <w:tc>
          <w:tcPr>
            <w:tcW w:w="579" w:type="dxa"/>
            <w:tcBorders>
              <w:top w:val="nil"/>
              <w:left w:val="nil"/>
              <w:bottom w:val="nil"/>
              <w:right w:val="nil"/>
            </w:tcBorders>
            <w:shd w:val="clear" w:color="auto" w:fill="auto"/>
            <w:noWrap/>
            <w:vAlign w:val="center"/>
          </w:tcPr>
          <w:p w14:paraId="66C98985"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1.7</w:t>
            </w:r>
          </w:p>
        </w:tc>
        <w:tc>
          <w:tcPr>
            <w:tcW w:w="1146" w:type="dxa"/>
            <w:tcBorders>
              <w:top w:val="nil"/>
              <w:left w:val="nil"/>
              <w:bottom w:val="nil"/>
              <w:right w:val="single" w:sz="4" w:space="0" w:color="auto"/>
            </w:tcBorders>
            <w:shd w:val="clear" w:color="auto" w:fill="auto"/>
            <w:noWrap/>
            <w:vAlign w:val="center"/>
          </w:tcPr>
          <w:p w14:paraId="5CADA7E7"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(0.7, 2.7)</w:t>
            </w:r>
          </w:p>
        </w:tc>
        <w:tc>
          <w:tcPr>
            <w:tcW w:w="536" w:type="dxa"/>
            <w:tcBorders>
              <w:top w:val="nil"/>
              <w:left w:val="single" w:sz="4" w:space="0" w:color="auto"/>
              <w:bottom w:val="nil"/>
              <w:right w:val="nil"/>
            </w:tcBorders>
            <w:shd w:val="clear" w:color="auto" w:fill="auto"/>
            <w:noWrap/>
            <w:vAlign w:val="center"/>
          </w:tcPr>
          <w:p w14:paraId="0D0F3B0A"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5</w:t>
            </w:r>
          </w:p>
        </w:tc>
        <w:tc>
          <w:tcPr>
            <w:tcW w:w="621" w:type="dxa"/>
            <w:tcBorders>
              <w:top w:val="nil"/>
              <w:left w:val="nil"/>
              <w:bottom w:val="nil"/>
              <w:right w:val="nil"/>
            </w:tcBorders>
            <w:shd w:val="clear" w:color="auto" w:fill="auto"/>
            <w:noWrap/>
            <w:vAlign w:val="center"/>
          </w:tcPr>
          <w:p w14:paraId="1C589440"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1.3</w:t>
            </w:r>
          </w:p>
        </w:tc>
        <w:tc>
          <w:tcPr>
            <w:tcW w:w="1146" w:type="dxa"/>
            <w:tcBorders>
              <w:top w:val="nil"/>
              <w:left w:val="nil"/>
              <w:bottom w:val="nil"/>
              <w:right w:val="single" w:sz="4" w:space="0" w:color="000000"/>
            </w:tcBorders>
            <w:shd w:val="clear" w:color="auto" w:fill="auto"/>
            <w:noWrap/>
            <w:vAlign w:val="center"/>
          </w:tcPr>
          <w:p w14:paraId="0D3C15C6"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(0.2, 2.4)</w:t>
            </w:r>
          </w:p>
        </w:tc>
        <w:tc>
          <w:tcPr>
            <w:tcW w:w="536" w:type="dxa"/>
            <w:tcBorders>
              <w:top w:val="nil"/>
              <w:left w:val="single" w:sz="4" w:space="0" w:color="000000"/>
              <w:bottom w:val="nil"/>
              <w:right w:val="nil"/>
            </w:tcBorders>
            <w:shd w:val="clear" w:color="auto" w:fill="auto"/>
            <w:vAlign w:val="center"/>
          </w:tcPr>
          <w:p w14:paraId="551BFB16"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0</w:t>
            </w:r>
          </w:p>
        </w:tc>
        <w:tc>
          <w:tcPr>
            <w:tcW w:w="567" w:type="dxa"/>
            <w:tcBorders>
              <w:top w:val="nil"/>
              <w:left w:val="nil"/>
              <w:bottom w:val="nil"/>
              <w:right w:val="nil"/>
            </w:tcBorders>
            <w:shd w:val="clear" w:color="auto" w:fill="auto"/>
            <w:vAlign w:val="center"/>
          </w:tcPr>
          <w:p w14:paraId="2D7C50A3"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w:t>
            </w:r>
          </w:p>
        </w:tc>
        <w:tc>
          <w:tcPr>
            <w:tcW w:w="1146" w:type="dxa"/>
            <w:tcBorders>
              <w:top w:val="nil"/>
              <w:left w:val="nil"/>
              <w:bottom w:val="nil"/>
              <w:right w:val="single" w:sz="4" w:space="0" w:color="000000"/>
            </w:tcBorders>
            <w:shd w:val="clear" w:color="auto" w:fill="auto"/>
            <w:vAlign w:val="center"/>
          </w:tcPr>
          <w:p w14:paraId="152E484C"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nil"/>
              <w:left w:val="single" w:sz="4" w:space="0" w:color="000000"/>
              <w:bottom w:val="nil"/>
              <w:right w:val="nil"/>
            </w:tcBorders>
            <w:shd w:val="clear" w:color="auto" w:fill="auto"/>
            <w:vAlign w:val="center"/>
          </w:tcPr>
          <w:p w14:paraId="2B983F3D"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w:t>
            </w:r>
          </w:p>
        </w:tc>
        <w:tc>
          <w:tcPr>
            <w:tcW w:w="576" w:type="dxa"/>
            <w:tcBorders>
              <w:top w:val="nil"/>
              <w:left w:val="nil"/>
              <w:bottom w:val="nil"/>
              <w:right w:val="nil"/>
            </w:tcBorders>
            <w:shd w:val="clear" w:color="auto" w:fill="auto"/>
            <w:vAlign w:val="center"/>
          </w:tcPr>
          <w:p w14:paraId="0ABEC069" w14:textId="77777777" w:rsidR="00152900" w:rsidRPr="00CE46F7" w:rsidRDefault="00152900"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0.2</w:t>
            </w:r>
          </w:p>
        </w:tc>
        <w:tc>
          <w:tcPr>
            <w:tcW w:w="1146" w:type="dxa"/>
            <w:tcBorders>
              <w:top w:val="nil"/>
              <w:left w:val="nil"/>
              <w:bottom w:val="nil"/>
              <w:right w:val="nil"/>
            </w:tcBorders>
            <w:shd w:val="clear" w:color="auto" w:fill="auto"/>
            <w:vAlign w:val="center"/>
          </w:tcPr>
          <w:p w14:paraId="52E826EE" w14:textId="77777777" w:rsidR="00152900" w:rsidRPr="00CE46F7" w:rsidRDefault="002F172C" w:rsidP="0015290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2E64B9" w:rsidRPr="00CE46F7" w14:paraId="1D9D306C"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5801" w:type="dxa"/>
            <w:gridSpan w:val="4"/>
            <w:tcBorders>
              <w:top w:val="nil"/>
              <w:left w:val="nil"/>
              <w:bottom w:val="nil"/>
              <w:right w:val="single" w:sz="4" w:space="0" w:color="auto"/>
            </w:tcBorders>
            <w:shd w:val="clear" w:color="auto" w:fill="auto"/>
            <w:vAlign w:val="center"/>
          </w:tcPr>
          <w:p w14:paraId="04035867" w14:textId="77777777" w:rsidR="0013235A" w:rsidRPr="00CE46F7" w:rsidRDefault="0013235A" w:rsidP="007B4EF8">
            <w:pPr>
              <w:spacing w:before="20" w:after="20"/>
              <w:rPr>
                <w:rFonts w:eastAsiaTheme="minorEastAsia"/>
                <w:sz w:val="18"/>
                <w:szCs w:val="18"/>
                <w:lang w:eastAsia="en-US"/>
              </w:rPr>
            </w:pPr>
            <w:r w:rsidRPr="00CE46F7">
              <w:rPr>
                <w:rFonts w:eastAsiaTheme="minorEastAsia"/>
                <w:sz w:val="18"/>
                <w:szCs w:val="18"/>
                <w:lang w:eastAsia="en-US"/>
              </w:rPr>
              <w:t>Hazardous alcohol consumption (AUDIT-C)</w:t>
            </w:r>
          </w:p>
        </w:tc>
        <w:tc>
          <w:tcPr>
            <w:tcW w:w="536" w:type="dxa"/>
            <w:tcBorders>
              <w:top w:val="nil"/>
              <w:left w:val="single" w:sz="4" w:space="0" w:color="auto"/>
              <w:bottom w:val="nil"/>
              <w:right w:val="nil"/>
            </w:tcBorders>
            <w:shd w:val="clear" w:color="auto" w:fill="auto"/>
            <w:noWrap/>
            <w:vAlign w:val="center"/>
          </w:tcPr>
          <w:p w14:paraId="0F630A30" w14:textId="77777777" w:rsidR="0013235A" w:rsidRPr="00CE46F7" w:rsidRDefault="0013235A" w:rsidP="007B4EF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nil"/>
              <w:left w:val="nil"/>
              <w:bottom w:val="nil"/>
              <w:right w:val="nil"/>
            </w:tcBorders>
            <w:shd w:val="clear" w:color="auto" w:fill="auto"/>
            <w:noWrap/>
            <w:vAlign w:val="center"/>
          </w:tcPr>
          <w:p w14:paraId="658A91B3" w14:textId="77777777" w:rsidR="0013235A" w:rsidRPr="00CE46F7" w:rsidRDefault="0013235A" w:rsidP="007B4EF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nil"/>
              <w:left w:val="nil"/>
              <w:bottom w:val="nil"/>
              <w:right w:val="single" w:sz="4" w:space="0" w:color="000000"/>
            </w:tcBorders>
            <w:shd w:val="clear" w:color="auto" w:fill="auto"/>
            <w:noWrap/>
            <w:vAlign w:val="center"/>
          </w:tcPr>
          <w:p w14:paraId="10047E0F" w14:textId="77777777" w:rsidR="0013235A" w:rsidRPr="00CE46F7" w:rsidRDefault="0013235A" w:rsidP="007B4EF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36" w:type="dxa"/>
            <w:tcBorders>
              <w:top w:val="nil"/>
              <w:left w:val="single" w:sz="4" w:space="0" w:color="000000"/>
              <w:bottom w:val="nil"/>
              <w:right w:val="nil"/>
            </w:tcBorders>
            <w:shd w:val="clear" w:color="auto" w:fill="auto"/>
            <w:vAlign w:val="bottom"/>
          </w:tcPr>
          <w:p w14:paraId="1764CCDC" w14:textId="77777777" w:rsidR="0013235A" w:rsidRPr="00CE46F7" w:rsidRDefault="0013235A" w:rsidP="007B4EF8">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shd w:val="clear" w:color="auto" w:fill="auto"/>
            <w:vAlign w:val="bottom"/>
          </w:tcPr>
          <w:p w14:paraId="1113CB5F" w14:textId="77777777" w:rsidR="0013235A" w:rsidRPr="00CE46F7" w:rsidRDefault="0013235A" w:rsidP="007B4EF8">
            <w:pPr>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auto"/>
            <w:vAlign w:val="bottom"/>
          </w:tcPr>
          <w:p w14:paraId="3F6DBEDF" w14:textId="77777777" w:rsidR="0013235A" w:rsidRPr="00CE46F7" w:rsidRDefault="0013235A" w:rsidP="007B4EF8">
            <w:pPr>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shd w:val="clear" w:color="auto" w:fill="auto"/>
            <w:vAlign w:val="bottom"/>
          </w:tcPr>
          <w:p w14:paraId="7040562A" w14:textId="77777777" w:rsidR="0013235A" w:rsidRPr="00CE46F7" w:rsidRDefault="0013235A" w:rsidP="007B4EF8">
            <w:pPr>
              <w:cnfStyle w:val="000000000000" w:firstRow="0" w:lastRow="0" w:firstColumn="0" w:lastColumn="0" w:oddVBand="0" w:evenVBand="0" w:oddHBand="0" w:evenHBand="0" w:firstRowFirstColumn="0" w:firstRowLastColumn="0" w:lastRowFirstColumn="0" w:lastRowLastColumn="0"/>
              <w:rPr>
                <w:sz w:val="18"/>
                <w:szCs w:val="18"/>
              </w:rPr>
            </w:pPr>
          </w:p>
        </w:tc>
        <w:tc>
          <w:tcPr>
            <w:tcW w:w="576" w:type="dxa"/>
            <w:tcBorders>
              <w:top w:val="nil"/>
              <w:left w:val="nil"/>
              <w:bottom w:val="nil"/>
              <w:right w:val="nil"/>
            </w:tcBorders>
            <w:shd w:val="clear" w:color="auto" w:fill="auto"/>
            <w:vAlign w:val="bottom"/>
          </w:tcPr>
          <w:p w14:paraId="6F366B56" w14:textId="77777777" w:rsidR="0013235A" w:rsidRPr="00CE46F7" w:rsidRDefault="0013235A" w:rsidP="007B4EF8">
            <w:pPr>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shd w:val="clear" w:color="auto" w:fill="auto"/>
            <w:vAlign w:val="bottom"/>
          </w:tcPr>
          <w:p w14:paraId="15C0B99B" w14:textId="77777777" w:rsidR="0013235A" w:rsidRPr="00CE46F7" w:rsidRDefault="0013235A" w:rsidP="007B4EF8">
            <w:pPr>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CE46F7" w14:paraId="46FACAF1"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center"/>
          </w:tcPr>
          <w:p w14:paraId="32577328" w14:textId="77777777" w:rsidR="0013235A" w:rsidRPr="00CE46F7" w:rsidRDefault="0013235A" w:rsidP="007B4EF8">
            <w:pPr>
              <w:spacing w:before="20" w:after="20"/>
              <w:ind w:left="34"/>
              <w:rPr>
                <w:rFonts w:eastAsiaTheme="minorEastAsia"/>
                <w:b w:val="0"/>
                <w:sz w:val="18"/>
                <w:szCs w:val="18"/>
                <w:lang w:eastAsia="en-US"/>
              </w:rPr>
            </w:pPr>
            <w:r w:rsidRPr="00CE46F7">
              <w:rPr>
                <w:rFonts w:eastAsiaTheme="minorEastAsia"/>
                <w:b w:val="0"/>
                <w:sz w:val="18"/>
                <w:szCs w:val="18"/>
                <w:lang w:eastAsia="en-US"/>
              </w:rPr>
              <w:t>No</w:t>
            </w:r>
          </w:p>
        </w:tc>
        <w:tc>
          <w:tcPr>
            <w:tcW w:w="536" w:type="dxa"/>
            <w:tcBorders>
              <w:top w:val="nil"/>
              <w:left w:val="nil"/>
              <w:bottom w:val="nil"/>
              <w:right w:val="nil"/>
            </w:tcBorders>
            <w:shd w:val="clear" w:color="auto" w:fill="auto"/>
            <w:noWrap/>
            <w:vAlign w:val="center"/>
          </w:tcPr>
          <w:p w14:paraId="5FE989CA"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CE46F7">
              <w:rPr>
                <w:color w:val="000000"/>
                <w:sz w:val="18"/>
                <w:szCs w:val="18"/>
              </w:rPr>
              <w:t>576</w:t>
            </w:r>
          </w:p>
        </w:tc>
        <w:tc>
          <w:tcPr>
            <w:tcW w:w="579" w:type="dxa"/>
            <w:tcBorders>
              <w:top w:val="nil"/>
              <w:left w:val="nil"/>
              <w:bottom w:val="nil"/>
              <w:right w:val="nil"/>
            </w:tcBorders>
            <w:shd w:val="clear" w:color="auto" w:fill="auto"/>
            <w:noWrap/>
            <w:vAlign w:val="center"/>
          </w:tcPr>
          <w:p w14:paraId="1D57F66F"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90.3</w:t>
            </w:r>
          </w:p>
        </w:tc>
        <w:tc>
          <w:tcPr>
            <w:tcW w:w="1146" w:type="dxa"/>
            <w:tcBorders>
              <w:top w:val="nil"/>
              <w:left w:val="nil"/>
              <w:bottom w:val="nil"/>
              <w:right w:val="single" w:sz="4" w:space="0" w:color="auto"/>
            </w:tcBorders>
            <w:shd w:val="clear" w:color="auto" w:fill="auto"/>
            <w:noWrap/>
            <w:vAlign w:val="center"/>
          </w:tcPr>
          <w:p w14:paraId="5295B0F4"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(88.0, 92.5)</w:t>
            </w:r>
          </w:p>
        </w:tc>
        <w:tc>
          <w:tcPr>
            <w:tcW w:w="536" w:type="dxa"/>
            <w:tcBorders>
              <w:top w:val="nil"/>
              <w:left w:val="single" w:sz="4" w:space="0" w:color="auto"/>
              <w:bottom w:val="nil"/>
              <w:right w:val="nil"/>
            </w:tcBorders>
            <w:shd w:val="clear" w:color="auto" w:fill="auto"/>
            <w:noWrap/>
            <w:vAlign w:val="center"/>
          </w:tcPr>
          <w:p w14:paraId="53B2560F"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329</w:t>
            </w:r>
          </w:p>
        </w:tc>
        <w:tc>
          <w:tcPr>
            <w:tcW w:w="621" w:type="dxa"/>
            <w:tcBorders>
              <w:top w:val="nil"/>
              <w:left w:val="nil"/>
              <w:bottom w:val="nil"/>
              <w:right w:val="nil"/>
            </w:tcBorders>
            <w:shd w:val="clear" w:color="auto" w:fill="auto"/>
            <w:noWrap/>
            <w:vAlign w:val="center"/>
          </w:tcPr>
          <w:p w14:paraId="7B9C59FB"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89.3</w:t>
            </w:r>
          </w:p>
        </w:tc>
        <w:tc>
          <w:tcPr>
            <w:tcW w:w="1146" w:type="dxa"/>
            <w:tcBorders>
              <w:top w:val="nil"/>
              <w:left w:val="nil"/>
              <w:bottom w:val="nil"/>
              <w:right w:val="single" w:sz="4" w:space="0" w:color="000000"/>
            </w:tcBorders>
            <w:shd w:val="clear" w:color="auto" w:fill="auto"/>
            <w:noWrap/>
            <w:vAlign w:val="center"/>
          </w:tcPr>
          <w:p w14:paraId="3834FEE6"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(86.0, 92.5)</w:t>
            </w:r>
          </w:p>
        </w:tc>
        <w:tc>
          <w:tcPr>
            <w:tcW w:w="536" w:type="dxa"/>
            <w:tcBorders>
              <w:top w:val="nil"/>
              <w:left w:val="single" w:sz="4" w:space="0" w:color="000000"/>
              <w:bottom w:val="nil"/>
              <w:right w:val="nil"/>
            </w:tcBorders>
            <w:shd w:val="clear" w:color="auto" w:fill="auto"/>
            <w:vAlign w:val="center"/>
          </w:tcPr>
          <w:p w14:paraId="64239C30"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276</w:t>
            </w:r>
          </w:p>
        </w:tc>
        <w:tc>
          <w:tcPr>
            <w:tcW w:w="567" w:type="dxa"/>
            <w:tcBorders>
              <w:top w:val="nil"/>
              <w:left w:val="nil"/>
              <w:bottom w:val="nil"/>
              <w:right w:val="nil"/>
            </w:tcBorders>
            <w:shd w:val="clear" w:color="auto" w:fill="auto"/>
            <w:vAlign w:val="center"/>
          </w:tcPr>
          <w:p w14:paraId="452BC716"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89.3</w:t>
            </w:r>
          </w:p>
        </w:tc>
        <w:tc>
          <w:tcPr>
            <w:tcW w:w="1146" w:type="dxa"/>
            <w:tcBorders>
              <w:top w:val="nil"/>
              <w:left w:val="nil"/>
              <w:bottom w:val="nil"/>
              <w:right w:val="single" w:sz="4" w:space="0" w:color="000000"/>
            </w:tcBorders>
            <w:shd w:val="clear" w:color="auto" w:fill="auto"/>
            <w:vAlign w:val="center"/>
          </w:tcPr>
          <w:p w14:paraId="3B81752D"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(85.6, 92.9)</w:t>
            </w:r>
          </w:p>
        </w:tc>
        <w:tc>
          <w:tcPr>
            <w:tcW w:w="536" w:type="dxa"/>
            <w:tcBorders>
              <w:top w:val="nil"/>
              <w:left w:val="single" w:sz="4" w:space="0" w:color="000000"/>
              <w:bottom w:val="nil"/>
              <w:right w:val="nil"/>
            </w:tcBorders>
            <w:shd w:val="clear" w:color="auto" w:fill="auto"/>
            <w:vAlign w:val="center"/>
          </w:tcPr>
          <w:p w14:paraId="7079258C"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264</w:t>
            </w:r>
          </w:p>
        </w:tc>
        <w:tc>
          <w:tcPr>
            <w:tcW w:w="576" w:type="dxa"/>
            <w:tcBorders>
              <w:top w:val="nil"/>
              <w:left w:val="nil"/>
              <w:bottom w:val="nil"/>
              <w:right w:val="nil"/>
            </w:tcBorders>
            <w:shd w:val="clear" w:color="auto" w:fill="auto"/>
            <w:vAlign w:val="center"/>
          </w:tcPr>
          <w:p w14:paraId="72A262C5"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94.6</w:t>
            </w:r>
          </w:p>
        </w:tc>
        <w:tc>
          <w:tcPr>
            <w:tcW w:w="1146" w:type="dxa"/>
            <w:tcBorders>
              <w:top w:val="nil"/>
              <w:left w:val="nil"/>
              <w:bottom w:val="nil"/>
              <w:right w:val="nil"/>
            </w:tcBorders>
            <w:shd w:val="clear" w:color="auto" w:fill="auto"/>
            <w:vAlign w:val="center"/>
          </w:tcPr>
          <w:p w14:paraId="5AB40398"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(92.0, 97.2)</w:t>
            </w:r>
          </w:p>
        </w:tc>
      </w:tr>
      <w:tr w:rsidR="009118DA" w:rsidRPr="00CE46F7" w14:paraId="0AE5D7C2"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center"/>
          </w:tcPr>
          <w:p w14:paraId="1E484889" w14:textId="77777777" w:rsidR="0013235A" w:rsidRPr="00CE46F7" w:rsidRDefault="0013235A" w:rsidP="007B4EF8">
            <w:pPr>
              <w:spacing w:before="20" w:after="20"/>
              <w:ind w:left="34"/>
              <w:rPr>
                <w:rFonts w:eastAsiaTheme="minorEastAsia"/>
                <w:b w:val="0"/>
                <w:sz w:val="18"/>
                <w:szCs w:val="18"/>
                <w:lang w:eastAsia="en-US"/>
              </w:rPr>
            </w:pPr>
            <w:r w:rsidRPr="00CE46F7">
              <w:rPr>
                <w:rFonts w:eastAsiaTheme="minorEastAsia"/>
                <w:b w:val="0"/>
                <w:sz w:val="18"/>
                <w:szCs w:val="18"/>
                <w:lang w:eastAsia="en-US"/>
              </w:rPr>
              <w:t>Yes</w:t>
            </w:r>
          </w:p>
        </w:tc>
        <w:tc>
          <w:tcPr>
            <w:tcW w:w="536" w:type="dxa"/>
            <w:tcBorders>
              <w:top w:val="nil"/>
              <w:left w:val="nil"/>
              <w:bottom w:val="nil"/>
              <w:right w:val="nil"/>
            </w:tcBorders>
            <w:shd w:val="clear" w:color="auto" w:fill="auto"/>
            <w:noWrap/>
            <w:vAlign w:val="center"/>
          </w:tcPr>
          <w:p w14:paraId="56136019"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62</w:t>
            </w:r>
          </w:p>
        </w:tc>
        <w:tc>
          <w:tcPr>
            <w:tcW w:w="579" w:type="dxa"/>
            <w:tcBorders>
              <w:top w:val="nil"/>
              <w:left w:val="nil"/>
              <w:bottom w:val="nil"/>
              <w:right w:val="nil"/>
            </w:tcBorders>
            <w:shd w:val="clear" w:color="auto" w:fill="auto"/>
            <w:noWrap/>
            <w:vAlign w:val="center"/>
          </w:tcPr>
          <w:p w14:paraId="405A7EFE"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9.7</w:t>
            </w:r>
          </w:p>
        </w:tc>
        <w:tc>
          <w:tcPr>
            <w:tcW w:w="1146" w:type="dxa"/>
            <w:tcBorders>
              <w:top w:val="nil"/>
              <w:left w:val="nil"/>
              <w:bottom w:val="nil"/>
              <w:right w:val="single" w:sz="4" w:space="0" w:color="auto"/>
            </w:tcBorders>
            <w:shd w:val="clear" w:color="auto" w:fill="auto"/>
            <w:noWrap/>
            <w:vAlign w:val="center"/>
          </w:tcPr>
          <w:p w14:paraId="6AC69CEE"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(7.5, 12.0)</w:t>
            </w:r>
          </w:p>
        </w:tc>
        <w:tc>
          <w:tcPr>
            <w:tcW w:w="536" w:type="dxa"/>
            <w:tcBorders>
              <w:top w:val="nil"/>
              <w:left w:val="single" w:sz="4" w:space="0" w:color="auto"/>
              <w:bottom w:val="nil"/>
              <w:right w:val="nil"/>
            </w:tcBorders>
            <w:shd w:val="clear" w:color="auto" w:fill="auto"/>
            <w:noWrap/>
            <w:vAlign w:val="center"/>
          </w:tcPr>
          <w:p w14:paraId="607F3B50"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40</w:t>
            </w:r>
          </w:p>
        </w:tc>
        <w:tc>
          <w:tcPr>
            <w:tcW w:w="621" w:type="dxa"/>
            <w:tcBorders>
              <w:top w:val="nil"/>
              <w:left w:val="nil"/>
              <w:bottom w:val="nil"/>
              <w:right w:val="nil"/>
            </w:tcBorders>
            <w:shd w:val="clear" w:color="auto" w:fill="auto"/>
            <w:noWrap/>
            <w:vAlign w:val="center"/>
          </w:tcPr>
          <w:p w14:paraId="0C1358C9"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10.7</w:t>
            </w:r>
          </w:p>
        </w:tc>
        <w:tc>
          <w:tcPr>
            <w:tcW w:w="1146" w:type="dxa"/>
            <w:tcBorders>
              <w:top w:val="nil"/>
              <w:left w:val="nil"/>
              <w:bottom w:val="nil"/>
              <w:right w:val="single" w:sz="4" w:space="0" w:color="000000"/>
            </w:tcBorders>
            <w:shd w:val="clear" w:color="auto" w:fill="auto"/>
            <w:noWrap/>
            <w:vAlign w:val="center"/>
          </w:tcPr>
          <w:p w14:paraId="5D41E000"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(7.5, 14.0)</w:t>
            </w:r>
          </w:p>
        </w:tc>
        <w:tc>
          <w:tcPr>
            <w:tcW w:w="536" w:type="dxa"/>
            <w:tcBorders>
              <w:top w:val="nil"/>
              <w:left w:val="single" w:sz="4" w:space="0" w:color="000000"/>
              <w:bottom w:val="nil"/>
              <w:right w:val="nil"/>
            </w:tcBorders>
            <w:shd w:val="clear" w:color="auto" w:fill="auto"/>
            <w:vAlign w:val="center"/>
          </w:tcPr>
          <w:p w14:paraId="433B36B1"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33</w:t>
            </w:r>
          </w:p>
        </w:tc>
        <w:tc>
          <w:tcPr>
            <w:tcW w:w="567" w:type="dxa"/>
            <w:tcBorders>
              <w:top w:val="nil"/>
              <w:left w:val="nil"/>
              <w:bottom w:val="nil"/>
              <w:right w:val="nil"/>
            </w:tcBorders>
            <w:shd w:val="clear" w:color="auto" w:fill="auto"/>
            <w:vAlign w:val="center"/>
          </w:tcPr>
          <w:p w14:paraId="51AE0435"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10.7</w:t>
            </w:r>
          </w:p>
        </w:tc>
        <w:tc>
          <w:tcPr>
            <w:tcW w:w="1146" w:type="dxa"/>
            <w:tcBorders>
              <w:top w:val="nil"/>
              <w:left w:val="nil"/>
              <w:bottom w:val="nil"/>
              <w:right w:val="single" w:sz="4" w:space="0" w:color="000000"/>
            </w:tcBorders>
            <w:shd w:val="clear" w:color="auto" w:fill="auto"/>
            <w:vAlign w:val="center"/>
          </w:tcPr>
          <w:p w14:paraId="1BE45247"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(7.1, 14.4)</w:t>
            </w:r>
          </w:p>
        </w:tc>
        <w:tc>
          <w:tcPr>
            <w:tcW w:w="536" w:type="dxa"/>
            <w:tcBorders>
              <w:top w:val="nil"/>
              <w:left w:val="single" w:sz="4" w:space="0" w:color="000000"/>
              <w:bottom w:val="nil"/>
              <w:right w:val="nil"/>
            </w:tcBorders>
            <w:shd w:val="clear" w:color="auto" w:fill="auto"/>
            <w:vAlign w:val="center"/>
          </w:tcPr>
          <w:p w14:paraId="21352C49"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15</w:t>
            </w:r>
          </w:p>
        </w:tc>
        <w:tc>
          <w:tcPr>
            <w:tcW w:w="576" w:type="dxa"/>
            <w:tcBorders>
              <w:top w:val="nil"/>
              <w:left w:val="nil"/>
              <w:bottom w:val="nil"/>
              <w:right w:val="nil"/>
            </w:tcBorders>
            <w:shd w:val="clear" w:color="auto" w:fill="auto"/>
            <w:vAlign w:val="center"/>
          </w:tcPr>
          <w:p w14:paraId="0FF0B2BB"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5.4</w:t>
            </w:r>
          </w:p>
        </w:tc>
        <w:tc>
          <w:tcPr>
            <w:tcW w:w="1146" w:type="dxa"/>
            <w:tcBorders>
              <w:top w:val="nil"/>
              <w:left w:val="nil"/>
              <w:bottom w:val="nil"/>
              <w:right w:val="nil"/>
            </w:tcBorders>
            <w:shd w:val="clear" w:color="auto" w:fill="auto"/>
            <w:vAlign w:val="center"/>
          </w:tcPr>
          <w:p w14:paraId="20056AFB"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(2.8, 8.0)</w:t>
            </w:r>
          </w:p>
        </w:tc>
      </w:tr>
      <w:tr w:rsidR="009118DA" w:rsidRPr="00CE46F7" w14:paraId="44E14924"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center"/>
          </w:tcPr>
          <w:p w14:paraId="2E92E646" w14:textId="77777777" w:rsidR="0013235A" w:rsidRPr="00CE46F7" w:rsidRDefault="0013235A" w:rsidP="007B4EF8">
            <w:pPr>
              <w:tabs>
                <w:tab w:val="left" w:pos="176"/>
              </w:tabs>
              <w:spacing w:before="20" w:after="20"/>
              <w:rPr>
                <w:rFonts w:eastAsiaTheme="minorEastAsia"/>
                <w:sz w:val="18"/>
                <w:szCs w:val="18"/>
                <w:lang w:eastAsia="en-US"/>
              </w:rPr>
            </w:pPr>
            <w:r w:rsidRPr="00CE46F7">
              <w:rPr>
                <w:rFonts w:eastAsiaTheme="minorEastAsia"/>
                <w:sz w:val="18"/>
                <w:szCs w:val="18"/>
                <w:lang w:eastAsia="en-US"/>
              </w:rPr>
              <w:t>Other drug use</w:t>
            </w:r>
          </w:p>
        </w:tc>
        <w:tc>
          <w:tcPr>
            <w:tcW w:w="536" w:type="dxa"/>
            <w:tcBorders>
              <w:top w:val="nil"/>
              <w:left w:val="nil"/>
              <w:bottom w:val="nil"/>
              <w:right w:val="nil"/>
            </w:tcBorders>
            <w:shd w:val="clear" w:color="auto" w:fill="auto"/>
            <w:noWrap/>
            <w:vAlign w:val="center"/>
          </w:tcPr>
          <w:p w14:paraId="5498D921"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9" w:type="dxa"/>
            <w:tcBorders>
              <w:top w:val="nil"/>
              <w:left w:val="nil"/>
              <w:bottom w:val="nil"/>
              <w:right w:val="nil"/>
            </w:tcBorders>
            <w:shd w:val="clear" w:color="auto" w:fill="auto"/>
            <w:noWrap/>
            <w:vAlign w:val="center"/>
          </w:tcPr>
          <w:p w14:paraId="06CEAEB1"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auto"/>
            </w:tcBorders>
            <w:shd w:val="clear" w:color="auto" w:fill="auto"/>
            <w:noWrap/>
            <w:vAlign w:val="center"/>
          </w:tcPr>
          <w:p w14:paraId="42107EC3"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auto"/>
              <w:bottom w:val="nil"/>
              <w:right w:val="nil"/>
            </w:tcBorders>
            <w:shd w:val="clear" w:color="auto" w:fill="auto"/>
            <w:noWrap/>
            <w:vAlign w:val="center"/>
          </w:tcPr>
          <w:p w14:paraId="0DDBDD1A"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621" w:type="dxa"/>
            <w:tcBorders>
              <w:top w:val="nil"/>
              <w:left w:val="nil"/>
              <w:bottom w:val="nil"/>
              <w:right w:val="nil"/>
            </w:tcBorders>
            <w:shd w:val="clear" w:color="auto" w:fill="auto"/>
            <w:noWrap/>
            <w:vAlign w:val="center"/>
          </w:tcPr>
          <w:p w14:paraId="46BDF541"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auto"/>
            <w:noWrap/>
            <w:vAlign w:val="center"/>
          </w:tcPr>
          <w:p w14:paraId="00768B0B"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shd w:val="clear" w:color="auto" w:fill="auto"/>
            <w:vAlign w:val="center"/>
          </w:tcPr>
          <w:p w14:paraId="5EC0E2F6"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shd w:val="clear" w:color="auto" w:fill="auto"/>
            <w:vAlign w:val="center"/>
          </w:tcPr>
          <w:p w14:paraId="28CFD987"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auto"/>
            <w:vAlign w:val="center"/>
          </w:tcPr>
          <w:p w14:paraId="48D8CD09"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shd w:val="clear" w:color="auto" w:fill="auto"/>
            <w:vAlign w:val="center"/>
          </w:tcPr>
          <w:p w14:paraId="403EA690"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6" w:type="dxa"/>
            <w:tcBorders>
              <w:top w:val="nil"/>
              <w:left w:val="nil"/>
              <w:bottom w:val="nil"/>
              <w:right w:val="nil"/>
            </w:tcBorders>
            <w:shd w:val="clear" w:color="auto" w:fill="auto"/>
            <w:vAlign w:val="center"/>
          </w:tcPr>
          <w:p w14:paraId="3E88C96A"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shd w:val="clear" w:color="auto" w:fill="auto"/>
            <w:vAlign w:val="center"/>
          </w:tcPr>
          <w:p w14:paraId="20A3BEF4"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CE46F7" w14:paraId="6B95F138"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11BFD441" w14:textId="77777777" w:rsidR="0013235A" w:rsidRPr="00CE46F7" w:rsidRDefault="0013235A" w:rsidP="007B4EF8">
            <w:pPr>
              <w:spacing w:before="20" w:after="20"/>
              <w:ind w:left="34"/>
              <w:rPr>
                <w:rFonts w:eastAsiaTheme="minorEastAsia"/>
                <w:b w:val="0"/>
                <w:sz w:val="18"/>
                <w:szCs w:val="18"/>
                <w:lang w:eastAsia="en-US"/>
              </w:rPr>
            </w:pPr>
            <w:r w:rsidRPr="00CE46F7">
              <w:rPr>
                <w:rFonts w:eastAsiaTheme="minorEastAsia"/>
                <w:b w:val="0"/>
                <w:sz w:val="18"/>
                <w:szCs w:val="18"/>
                <w:lang w:eastAsia="en-US"/>
              </w:rPr>
              <w:t>Yes</w:t>
            </w:r>
          </w:p>
        </w:tc>
        <w:tc>
          <w:tcPr>
            <w:tcW w:w="536" w:type="dxa"/>
            <w:tcBorders>
              <w:top w:val="nil"/>
              <w:left w:val="nil"/>
              <w:bottom w:val="nil"/>
              <w:right w:val="nil"/>
            </w:tcBorders>
            <w:shd w:val="clear" w:color="auto" w:fill="auto"/>
            <w:noWrap/>
            <w:vAlign w:val="center"/>
          </w:tcPr>
          <w:p w14:paraId="073E83DB"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24</w:t>
            </w:r>
          </w:p>
        </w:tc>
        <w:tc>
          <w:tcPr>
            <w:tcW w:w="579" w:type="dxa"/>
            <w:tcBorders>
              <w:top w:val="nil"/>
              <w:left w:val="nil"/>
              <w:bottom w:val="nil"/>
              <w:right w:val="nil"/>
            </w:tcBorders>
            <w:shd w:val="clear" w:color="auto" w:fill="auto"/>
            <w:noWrap/>
            <w:vAlign w:val="center"/>
          </w:tcPr>
          <w:p w14:paraId="04550B8E"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3.7</w:t>
            </w:r>
          </w:p>
        </w:tc>
        <w:tc>
          <w:tcPr>
            <w:tcW w:w="1146" w:type="dxa"/>
            <w:tcBorders>
              <w:top w:val="nil"/>
              <w:left w:val="nil"/>
              <w:bottom w:val="nil"/>
              <w:right w:val="single" w:sz="4" w:space="0" w:color="auto"/>
            </w:tcBorders>
            <w:shd w:val="clear" w:color="auto" w:fill="auto"/>
            <w:noWrap/>
            <w:vAlign w:val="center"/>
          </w:tcPr>
          <w:p w14:paraId="4DA8F364"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(2.0, 5.5)</w:t>
            </w:r>
          </w:p>
        </w:tc>
        <w:tc>
          <w:tcPr>
            <w:tcW w:w="536" w:type="dxa"/>
            <w:tcBorders>
              <w:top w:val="nil"/>
              <w:left w:val="single" w:sz="4" w:space="0" w:color="auto"/>
              <w:bottom w:val="nil"/>
              <w:right w:val="nil"/>
            </w:tcBorders>
            <w:shd w:val="clear" w:color="auto" w:fill="auto"/>
            <w:noWrap/>
            <w:vAlign w:val="center"/>
          </w:tcPr>
          <w:p w14:paraId="658E34FE"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11</w:t>
            </w:r>
          </w:p>
        </w:tc>
        <w:tc>
          <w:tcPr>
            <w:tcW w:w="621" w:type="dxa"/>
            <w:tcBorders>
              <w:top w:val="nil"/>
              <w:left w:val="nil"/>
              <w:bottom w:val="nil"/>
              <w:right w:val="nil"/>
            </w:tcBorders>
            <w:shd w:val="clear" w:color="auto" w:fill="auto"/>
            <w:noWrap/>
            <w:vAlign w:val="center"/>
          </w:tcPr>
          <w:p w14:paraId="1B93E32B"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3.0</w:t>
            </w:r>
          </w:p>
        </w:tc>
        <w:tc>
          <w:tcPr>
            <w:tcW w:w="1146" w:type="dxa"/>
            <w:tcBorders>
              <w:top w:val="nil"/>
              <w:left w:val="nil"/>
              <w:bottom w:val="nil"/>
              <w:right w:val="single" w:sz="4" w:space="0" w:color="000000"/>
            </w:tcBorders>
            <w:shd w:val="clear" w:color="auto" w:fill="auto"/>
            <w:noWrap/>
            <w:vAlign w:val="center"/>
          </w:tcPr>
          <w:p w14:paraId="137EBBDF"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(1.4, 4.6)</w:t>
            </w:r>
          </w:p>
        </w:tc>
        <w:tc>
          <w:tcPr>
            <w:tcW w:w="536" w:type="dxa"/>
            <w:tcBorders>
              <w:top w:val="nil"/>
              <w:left w:val="single" w:sz="4" w:space="0" w:color="000000"/>
              <w:bottom w:val="nil"/>
              <w:right w:val="nil"/>
            </w:tcBorders>
            <w:shd w:val="clear" w:color="auto" w:fill="auto"/>
            <w:vAlign w:val="center"/>
          </w:tcPr>
          <w:p w14:paraId="7FFA05EB"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7</w:t>
            </w:r>
          </w:p>
        </w:tc>
        <w:tc>
          <w:tcPr>
            <w:tcW w:w="567" w:type="dxa"/>
            <w:tcBorders>
              <w:top w:val="nil"/>
              <w:left w:val="nil"/>
              <w:bottom w:val="nil"/>
              <w:right w:val="nil"/>
            </w:tcBorders>
            <w:shd w:val="clear" w:color="auto" w:fill="auto"/>
            <w:vAlign w:val="center"/>
          </w:tcPr>
          <w:p w14:paraId="35C1F325"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2.2</w:t>
            </w:r>
          </w:p>
        </w:tc>
        <w:tc>
          <w:tcPr>
            <w:tcW w:w="1146" w:type="dxa"/>
            <w:tcBorders>
              <w:top w:val="nil"/>
              <w:left w:val="nil"/>
              <w:bottom w:val="nil"/>
              <w:right w:val="single" w:sz="4" w:space="0" w:color="000000"/>
            </w:tcBorders>
            <w:shd w:val="clear" w:color="auto" w:fill="auto"/>
            <w:vAlign w:val="center"/>
          </w:tcPr>
          <w:p w14:paraId="6C99A622"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(0.5, 3.8)</w:t>
            </w:r>
          </w:p>
        </w:tc>
        <w:tc>
          <w:tcPr>
            <w:tcW w:w="536" w:type="dxa"/>
            <w:tcBorders>
              <w:top w:val="nil"/>
              <w:left w:val="single" w:sz="4" w:space="0" w:color="000000"/>
              <w:bottom w:val="nil"/>
              <w:right w:val="nil"/>
            </w:tcBorders>
            <w:shd w:val="clear" w:color="auto" w:fill="auto"/>
            <w:vAlign w:val="center"/>
          </w:tcPr>
          <w:p w14:paraId="5D87626E"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6</w:t>
            </w:r>
          </w:p>
        </w:tc>
        <w:tc>
          <w:tcPr>
            <w:tcW w:w="576" w:type="dxa"/>
            <w:tcBorders>
              <w:top w:val="nil"/>
              <w:left w:val="nil"/>
              <w:bottom w:val="nil"/>
              <w:right w:val="nil"/>
            </w:tcBorders>
            <w:shd w:val="clear" w:color="auto" w:fill="auto"/>
            <w:vAlign w:val="center"/>
          </w:tcPr>
          <w:p w14:paraId="2DD80E5F"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2.0</w:t>
            </w:r>
          </w:p>
        </w:tc>
        <w:tc>
          <w:tcPr>
            <w:tcW w:w="1146" w:type="dxa"/>
            <w:tcBorders>
              <w:top w:val="nil"/>
              <w:left w:val="nil"/>
              <w:bottom w:val="nil"/>
              <w:right w:val="nil"/>
            </w:tcBorders>
            <w:shd w:val="clear" w:color="auto" w:fill="auto"/>
            <w:vAlign w:val="center"/>
          </w:tcPr>
          <w:p w14:paraId="54AC2861"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(0.1, 3.8)</w:t>
            </w:r>
          </w:p>
        </w:tc>
      </w:tr>
      <w:tr w:rsidR="009118DA" w:rsidRPr="00CE46F7" w14:paraId="19DAD0A9"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7253E554" w14:textId="77777777" w:rsidR="0013235A" w:rsidRPr="00CE46F7" w:rsidRDefault="0013235A" w:rsidP="007B4EF8">
            <w:pPr>
              <w:spacing w:before="20" w:after="20"/>
              <w:ind w:left="34"/>
              <w:rPr>
                <w:rFonts w:eastAsiaTheme="minorEastAsia"/>
                <w:b w:val="0"/>
                <w:sz w:val="18"/>
                <w:szCs w:val="18"/>
                <w:lang w:eastAsia="en-US"/>
              </w:rPr>
            </w:pPr>
            <w:r w:rsidRPr="00CE46F7">
              <w:rPr>
                <w:rFonts w:eastAsiaTheme="minorEastAsia"/>
                <w:b w:val="0"/>
                <w:sz w:val="18"/>
                <w:szCs w:val="18"/>
                <w:lang w:eastAsia="en-US"/>
              </w:rPr>
              <w:t>No</w:t>
            </w:r>
          </w:p>
        </w:tc>
        <w:tc>
          <w:tcPr>
            <w:tcW w:w="536" w:type="dxa"/>
            <w:tcBorders>
              <w:top w:val="nil"/>
              <w:left w:val="nil"/>
              <w:bottom w:val="nil"/>
              <w:right w:val="nil"/>
            </w:tcBorders>
            <w:shd w:val="clear" w:color="auto" w:fill="auto"/>
            <w:noWrap/>
            <w:vAlign w:val="center"/>
          </w:tcPr>
          <w:p w14:paraId="1791CE9D"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614</w:t>
            </w:r>
          </w:p>
        </w:tc>
        <w:tc>
          <w:tcPr>
            <w:tcW w:w="579" w:type="dxa"/>
            <w:tcBorders>
              <w:top w:val="nil"/>
              <w:left w:val="nil"/>
              <w:bottom w:val="nil"/>
              <w:right w:val="nil"/>
            </w:tcBorders>
            <w:shd w:val="clear" w:color="auto" w:fill="auto"/>
            <w:noWrap/>
            <w:vAlign w:val="center"/>
          </w:tcPr>
          <w:p w14:paraId="4FB023B1"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96.3</w:t>
            </w:r>
          </w:p>
        </w:tc>
        <w:tc>
          <w:tcPr>
            <w:tcW w:w="1146" w:type="dxa"/>
            <w:tcBorders>
              <w:top w:val="nil"/>
              <w:left w:val="nil"/>
              <w:bottom w:val="nil"/>
              <w:right w:val="single" w:sz="4" w:space="0" w:color="auto"/>
            </w:tcBorders>
            <w:shd w:val="clear" w:color="auto" w:fill="auto"/>
            <w:noWrap/>
            <w:vAlign w:val="center"/>
          </w:tcPr>
          <w:p w14:paraId="33562228"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(94.5, 98.0)</w:t>
            </w:r>
          </w:p>
        </w:tc>
        <w:tc>
          <w:tcPr>
            <w:tcW w:w="536" w:type="dxa"/>
            <w:tcBorders>
              <w:top w:val="nil"/>
              <w:left w:val="single" w:sz="4" w:space="0" w:color="auto"/>
              <w:bottom w:val="nil"/>
              <w:right w:val="nil"/>
            </w:tcBorders>
            <w:shd w:val="clear" w:color="auto" w:fill="auto"/>
            <w:noWrap/>
            <w:vAlign w:val="center"/>
          </w:tcPr>
          <w:p w14:paraId="0A691EBE"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358</w:t>
            </w:r>
          </w:p>
        </w:tc>
        <w:tc>
          <w:tcPr>
            <w:tcW w:w="621" w:type="dxa"/>
            <w:tcBorders>
              <w:top w:val="nil"/>
              <w:left w:val="nil"/>
              <w:bottom w:val="nil"/>
              <w:right w:val="nil"/>
            </w:tcBorders>
            <w:shd w:val="clear" w:color="auto" w:fill="auto"/>
            <w:noWrap/>
            <w:vAlign w:val="center"/>
          </w:tcPr>
          <w:p w14:paraId="7DCD1A10"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97.0</w:t>
            </w:r>
          </w:p>
        </w:tc>
        <w:tc>
          <w:tcPr>
            <w:tcW w:w="1146" w:type="dxa"/>
            <w:tcBorders>
              <w:top w:val="nil"/>
              <w:left w:val="nil"/>
              <w:bottom w:val="nil"/>
              <w:right w:val="single" w:sz="4" w:space="0" w:color="000000"/>
            </w:tcBorders>
            <w:shd w:val="clear" w:color="auto" w:fill="auto"/>
            <w:noWrap/>
            <w:vAlign w:val="center"/>
          </w:tcPr>
          <w:p w14:paraId="406DDD1C"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(95.4, 98.6)</w:t>
            </w:r>
          </w:p>
        </w:tc>
        <w:tc>
          <w:tcPr>
            <w:tcW w:w="536" w:type="dxa"/>
            <w:tcBorders>
              <w:top w:val="nil"/>
              <w:left w:val="single" w:sz="4" w:space="0" w:color="000000"/>
              <w:bottom w:val="nil"/>
              <w:right w:val="nil"/>
            </w:tcBorders>
            <w:shd w:val="clear" w:color="auto" w:fill="auto"/>
            <w:vAlign w:val="center"/>
          </w:tcPr>
          <w:p w14:paraId="51C85A68"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303</w:t>
            </w:r>
          </w:p>
        </w:tc>
        <w:tc>
          <w:tcPr>
            <w:tcW w:w="567" w:type="dxa"/>
            <w:tcBorders>
              <w:top w:val="nil"/>
              <w:left w:val="nil"/>
              <w:bottom w:val="nil"/>
              <w:right w:val="nil"/>
            </w:tcBorders>
            <w:shd w:val="clear" w:color="auto" w:fill="auto"/>
            <w:vAlign w:val="center"/>
          </w:tcPr>
          <w:p w14:paraId="0E411C74"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97.8</w:t>
            </w:r>
          </w:p>
        </w:tc>
        <w:tc>
          <w:tcPr>
            <w:tcW w:w="1146" w:type="dxa"/>
            <w:tcBorders>
              <w:top w:val="nil"/>
              <w:left w:val="nil"/>
              <w:bottom w:val="nil"/>
              <w:right w:val="single" w:sz="4" w:space="0" w:color="000000"/>
            </w:tcBorders>
            <w:shd w:val="clear" w:color="auto" w:fill="auto"/>
            <w:vAlign w:val="center"/>
          </w:tcPr>
          <w:p w14:paraId="72ED4B5B"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(96.2, 99.5)</w:t>
            </w:r>
          </w:p>
        </w:tc>
        <w:tc>
          <w:tcPr>
            <w:tcW w:w="536" w:type="dxa"/>
            <w:tcBorders>
              <w:top w:val="nil"/>
              <w:left w:val="single" w:sz="4" w:space="0" w:color="000000"/>
              <w:bottom w:val="nil"/>
              <w:right w:val="nil"/>
            </w:tcBorders>
            <w:shd w:val="clear" w:color="auto" w:fill="auto"/>
            <w:vAlign w:val="center"/>
          </w:tcPr>
          <w:p w14:paraId="1470CB43"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274</w:t>
            </w:r>
          </w:p>
        </w:tc>
        <w:tc>
          <w:tcPr>
            <w:tcW w:w="576" w:type="dxa"/>
            <w:tcBorders>
              <w:top w:val="nil"/>
              <w:left w:val="nil"/>
              <w:bottom w:val="nil"/>
              <w:right w:val="nil"/>
            </w:tcBorders>
            <w:shd w:val="clear" w:color="auto" w:fill="auto"/>
            <w:vAlign w:val="center"/>
          </w:tcPr>
          <w:p w14:paraId="46327DB7"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98.0</w:t>
            </w:r>
          </w:p>
        </w:tc>
        <w:tc>
          <w:tcPr>
            <w:tcW w:w="1146" w:type="dxa"/>
            <w:tcBorders>
              <w:top w:val="nil"/>
              <w:left w:val="nil"/>
              <w:bottom w:val="nil"/>
              <w:right w:val="nil"/>
            </w:tcBorders>
            <w:shd w:val="clear" w:color="auto" w:fill="auto"/>
            <w:vAlign w:val="center"/>
          </w:tcPr>
          <w:p w14:paraId="1A0DAE0C"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(96.2, 99.9)</w:t>
            </w:r>
          </w:p>
        </w:tc>
      </w:tr>
      <w:tr w:rsidR="009118DA" w:rsidRPr="00CE46F7" w14:paraId="3192F316"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7A83B61D" w14:textId="77777777" w:rsidR="0013235A" w:rsidRPr="00CE46F7" w:rsidRDefault="0013235A" w:rsidP="007B4EF8">
            <w:pPr>
              <w:spacing w:before="20" w:after="60"/>
              <w:ind w:left="34"/>
              <w:rPr>
                <w:rFonts w:eastAsiaTheme="minorEastAsia"/>
                <w:b w:val="0"/>
                <w:sz w:val="18"/>
                <w:szCs w:val="18"/>
                <w:lang w:eastAsia="en-US"/>
              </w:rPr>
            </w:pPr>
            <w:r w:rsidRPr="00CE46F7">
              <w:rPr>
                <w:rFonts w:eastAsiaTheme="minorEastAsia"/>
                <w:b w:val="0"/>
                <w:sz w:val="18"/>
                <w:szCs w:val="18"/>
                <w:lang w:eastAsia="en-US"/>
              </w:rPr>
              <w:t>Cannabis</w:t>
            </w:r>
          </w:p>
        </w:tc>
        <w:tc>
          <w:tcPr>
            <w:tcW w:w="536" w:type="dxa"/>
            <w:tcBorders>
              <w:top w:val="nil"/>
              <w:left w:val="nil"/>
              <w:bottom w:val="nil"/>
              <w:right w:val="nil"/>
            </w:tcBorders>
            <w:shd w:val="clear" w:color="auto" w:fill="auto"/>
            <w:noWrap/>
            <w:vAlign w:val="center"/>
          </w:tcPr>
          <w:p w14:paraId="29EE64C2"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15</w:t>
            </w:r>
          </w:p>
        </w:tc>
        <w:tc>
          <w:tcPr>
            <w:tcW w:w="579" w:type="dxa"/>
            <w:tcBorders>
              <w:top w:val="nil"/>
              <w:left w:val="nil"/>
              <w:bottom w:val="nil"/>
              <w:right w:val="nil"/>
            </w:tcBorders>
            <w:shd w:val="clear" w:color="auto" w:fill="auto"/>
            <w:noWrap/>
            <w:vAlign w:val="center"/>
          </w:tcPr>
          <w:p w14:paraId="399C2172"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2.3</w:t>
            </w:r>
          </w:p>
        </w:tc>
        <w:tc>
          <w:tcPr>
            <w:tcW w:w="1146" w:type="dxa"/>
            <w:tcBorders>
              <w:top w:val="nil"/>
              <w:left w:val="nil"/>
              <w:bottom w:val="nil"/>
              <w:right w:val="single" w:sz="4" w:space="0" w:color="auto"/>
            </w:tcBorders>
            <w:shd w:val="clear" w:color="auto" w:fill="auto"/>
            <w:noWrap/>
            <w:vAlign w:val="center"/>
          </w:tcPr>
          <w:p w14:paraId="35BBEA61"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(1.0, 3.7)</w:t>
            </w:r>
          </w:p>
        </w:tc>
        <w:tc>
          <w:tcPr>
            <w:tcW w:w="536" w:type="dxa"/>
            <w:tcBorders>
              <w:top w:val="nil"/>
              <w:left w:val="single" w:sz="4" w:space="0" w:color="auto"/>
              <w:bottom w:val="nil"/>
              <w:right w:val="nil"/>
            </w:tcBorders>
            <w:shd w:val="clear" w:color="auto" w:fill="auto"/>
            <w:noWrap/>
            <w:vAlign w:val="center"/>
          </w:tcPr>
          <w:p w14:paraId="051B6E86"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5</w:t>
            </w:r>
          </w:p>
        </w:tc>
        <w:tc>
          <w:tcPr>
            <w:tcW w:w="621" w:type="dxa"/>
            <w:tcBorders>
              <w:top w:val="nil"/>
              <w:left w:val="nil"/>
              <w:bottom w:val="nil"/>
              <w:right w:val="nil"/>
            </w:tcBorders>
            <w:shd w:val="clear" w:color="auto" w:fill="auto"/>
            <w:noWrap/>
            <w:vAlign w:val="center"/>
          </w:tcPr>
          <w:p w14:paraId="086BB1A5"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1.4</w:t>
            </w:r>
          </w:p>
        </w:tc>
        <w:tc>
          <w:tcPr>
            <w:tcW w:w="1146" w:type="dxa"/>
            <w:tcBorders>
              <w:top w:val="nil"/>
              <w:left w:val="nil"/>
              <w:bottom w:val="nil"/>
              <w:right w:val="single" w:sz="4" w:space="0" w:color="000000"/>
            </w:tcBorders>
            <w:shd w:val="clear" w:color="auto" w:fill="auto"/>
            <w:noWrap/>
            <w:vAlign w:val="center"/>
          </w:tcPr>
          <w:p w14:paraId="268ACBCD"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(0.3, 2.5)</w:t>
            </w:r>
          </w:p>
        </w:tc>
        <w:tc>
          <w:tcPr>
            <w:tcW w:w="536" w:type="dxa"/>
            <w:tcBorders>
              <w:top w:val="nil"/>
              <w:left w:val="single" w:sz="4" w:space="0" w:color="000000"/>
              <w:bottom w:val="nil"/>
              <w:right w:val="nil"/>
            </w:tcBorders>
            <w:shd w:val="clear" w:color="auto" w:fill="auto"/>
            <w:vAlign w:val="center"/>
          </w:tcPr>
          <w:p w14:paraId="35B94E8A"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7</w:t>
            </w:r>
          </w:p>
        </w:tc>
        <w:tc>
          <w:tcPr>
            <w:tcW w:w="567" w:type="dxa"/>
            <w:tcBorders>
              <w:top w:val="nil"/>
              <w:left w:val="nil"/>
              <w:bottom w:val="nil"/>
              <w:right w:val="nil"/>
            </w:tcBorders>
            <w:shd w:val="clear" w:color="auto" w:fill="auto"/>
            <w:vAlign w:val="center"/>
          </w:tcPr>
          <w:p w14:paraId="2106E086"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2.2</w:t>
            </w:r>
          </w:p>
        </w:tc>
        <w:tc>
          <w:tcPr>
            <w:tcW w:w="1146" w:type="dxa"/>
            <w:tcBorders>
              <w:top w:val="nil"/>
              <w:left w:val="nil"/>
              <w:bottom w:val="nil"/>
              <w:right w:val="single" w:sz="4" w:space="0" w:color="000000"/>
            </w:tcBorders>
            <w:shd w:val="clear" w:color="auto" w:fill="auto"/>
            <w:vAlign w:val="center"/>
          </w:tcPr>
          <w:p w14:paraId="1FE026BC"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(0.5, 3.8)</w:t>
            </w:r>
          </w:p>
        </w:tc>
        <w:tc>
          <w:tcPr>
            <w:tcW w:w="536" w:type="dxa"/>
            <w:tcBorders>
              <w:top w:val="nil"/>
              <w:left w:val="single" w:sz="4" w:space="0" w:color="000000"/>
              <w:bottom w:val="nil"/>
              <w:right w:val="nil"/>
            </w:tcBorders>
            <w:shd w:val="clear" w:color="auto" w:fill="auto"/>
            <w:vAlign w:val="center"/>
          </w:tcPr>
          <w:p w14:paraId="753ABAA8"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6</w:t>
            </w:r>
          </w:p>
        </w:tc>
        <w:tc>
          <w:tcPr>
            <w:tcW w:w="576" w:type="dxa"/>
            <w:tcBorders>
              <w:top w:val="nil"/>
              <w:left w:val="nil"/>
              <w:bottom w:val="nil"/>
              <w:right w:val="nil"/>
            </w:tcBorders>
            <w:shd w:val="clear" w:color="auto" w:fill="auto"/>
            <w:vAlign w:val="center"/>
          </w:tcPr>
          <w:p w14:paraId="6917C05B"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2.0</w:t>
            </w:r>
          </w:p>
        </w:tc>
        <w:tc>
          <w:tcPr>
            <w:tcW w:w="1146" w:type="dxa"/>
            <w:tcBorders>
              <w:top w:val="nil"/>
              <w:left w:val="nil"/>
              <w:bottom w:val="nil"/>
              <w:right w:val="nil"/>
            </w:tcBorders>
            <w:shd w:val="clear" w:color="auto" w:fill="auto"/>
            <w:vAlign w:val="center"/>
          </w:tcPr>
          <w:p w14:paraId="4F3B50AE"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(0.1, 3.8)</w:t>
            </w:r>
          </w:p>
        </w:tc>
      </w:tr>
      <w:tr w:rsidR="009118DA" w:rsidRPr="00CE46F7" w14:paraId="29EFC668"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vAlign w:val="center"/>
          </w:tcPr>
          <w:p w14:paraId="6D845E98" w14:textId="77777777" w:rsidR="0013235A" w:rsidRPr="00CE46F7" w:rsidRDefault="0013235A" w:rsidP="0013235A">
            <w:pPr>
              <w:keepNext/>
              <w:tabs>
                <w:tab w:val="left" w:pos="176"/>
              </w:tabs>
              <w:spacing w:before="20" w:after="20"/>
              <w:rPr>
                <w:rFonts w:eastAsiaTheme="minorEastAsia"/>
                <w:sz w:val="18"/>
                <w:szCs w:val="18"/>
                <w:lang w:eastAsia="en-US"/>
              </w:rPr>
            </w:pPr>
            <w:r w:rsidRPr="00CE46F7">
              <w:rPr>
                <w:rFonts w:eastAsiaTheme="minorEastAsia"/>
                <w:sz w:val="18"/>
                <w:szCs w:val="18"/>
                <w:lang w:eastAsia="en-US"/>
              </w:rPr>
              <w:t>Tobacco use</w:t>
            </w:r>
          </w:p>
        </w:tc>
        <w:tc>
          <w:tcPr>
            <w:tcW w:w="536" w:type="dxa"/>
            <w:tcBorders>
              <w:top w:val="nil"/>
              <w:left w:val="nil"/>
              <w:bottom w:val="nil"/>
              <w:right w:val="nil"/>
            </w:tcBorders>
            <w:shd w:val="clear" w:color="auto" w:fill="auto"/>
            <w:noWrap/>
            <w:vAlign w:val="center"/>
          </w:tcPr>
          <w:p w14:paraId="0A2DD1A0"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9" w:type="dxa"/>
            <w:tcBorders>
              <w:top w:val="nil"/>
              <w:left w:val="nil"/>
              <w:bottom w:val="nil"/>
              <w:right w:val="nil"/>
            </w:tcBorders>
            <w:shd w:val="clear" w:color="auto" w:fill="auto"/>
            <w:noWrap/>
            <w:vAlign w:val="center"/>
          </w:tcPr>
          <w:p w14:paraId="1ACFA9E4"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auto"/>
            </w:tcBorders>
            <w:shd w:val="clear" w:color="auto" w:fill="auto"/>
            <w:noWrap/>
            <w:vAlign w:val="center"/>
          </w:tcPr>
          <w:p w14:paraId="2BB53D3C"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auto"/>
              <w:bottom w:val="nil"/>
              <w:right w:val="nil"/>
            </w:tcBorders>
            <w:shd w:val="clear" w:color="auto" w:fill="auto"/>
            <w:noWrap/>
            <w:vAlign w:val="center"/>
          </w:tcPr>
          <w:p w14:paraId="62FB037B"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621" w:type="dxa"/>
            <w:tcBorders>
              <w:top w:val="nil"/>
              <w:left w:val="nil"/>
              <w:bottom w:val="nil"/>
              <w:right w:val="nil"/>
            </w:tcBorders>
            <w:shd w:val="clear" w:color="auto" w:fill="auto"/>
            <w:noWrap/>
            <w:vAlign w:val="center"/>
          </w:tcPr>
          <w:p w14:paraId="52C179F9"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auto"/>
            <w:noWrap/>
            <w:vAlign w:val="center"/>
          </w:tcPr>
          <w:p w14:paraId="63711BB3"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shd w:val="clear" w:color="auto" w:fill="auto"/>
            <w:vAlign w:val="center"/>
          </w:tcPr>
          <w:p w14:paraId="05407E7E"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67" w:type="dxa"/>
            <w:tcBorders>
              <w:top w:val="nil"/>
              <w:left w:val="nil"/>
              <w:bottom w:val="nil"/>
              <w:right w:val="nil"/>
            </w:tcBorders>
            <w:shd w:val="clear" w:color="auto" w:fill="auto"/>
            <w:vAlign w:val="center"/>
          </w:tcPr>
          <w:p w14:paraId="164160CC"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single" w:sz="4" w:space="0" w:color="000000"/>
            </w:tcBorders>
            <w:shd w:val="clear" w:color="auto" w:fill="auto"/>
            <w:vAlign w:val="center"/>
          </w:tcPr>
          <w:p w14:paraId="652B2E5A"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536" w:type="dxa"/>
            <w:tcBorders>
              <w:top w:val="nil"/>
              <w:left w:val="single" w:sz="4" w:space="0" w:color="000000"/>
              <w:bottom w:val="nil"/>
              <w:right w:val="nil"/>
            </w:tcBorders>
            <w:shd w:val="clear" w:color="auto" w:fill="auto"/>
            <w:vAlign w:val="center"/>
          </w:tcPr>
          <w:p w14:paraId="449E0E08"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76" w:type="dxa"/>
            <w:tcBorders>
              <w:top w:val="nil"/>
              <w:left w:val="nil"/>
              <w:bottom w:val="nil"/>
              <w:right w:val="nil"/>
            </w:tcBorders>
            <w:shd w:val="clear" w:color="auto" w:fill="auto"/>
            <w:vAlign w:val="center"/>
          </w:tcPr>
          <w:p w14:paraId="7E8D32DA"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nil"/>
              <w:left w:val="nil"/>
              <w:bottom w:val="nil"/>
              <w:right w:val="nil"/>
            </w:tcBorders>
            <w:shd w:val="clear" w:color="auto" w:fill="auto"/>
            <w:vAlign w:val="center"/>
          </w:tcPr>
          <w:p w14:paraId="09E4CF42"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9118DA" w:rsidRPr="00CE46F7" w14:paraId="107FF5A6"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6E9B5CCB" w14:textId="77777777" w:rsidR="0013235A" w:rsidRPr="00CE46F7" w:rsidRDefault="0013235A" w:rsidP="0013235A">
            <w:pPr>
              <w:keepNext/>
              <w:spacing w:before="20" w:after="20"/>
              <w:ind w:left="34"/>
              <w:rPr>
                <w:rFonts w:eastAsiaTheme="minorEastAsia"/>
                <w:b w:val="0"/>
                <w:sz w:val="18"/>
                <w:szCs w:val="18"/>
                <w:lang w:eastAsia="en-US"/>
              </w:rPr>
            </w:pPr>
            <w:r w:rsidRPr="00CE46F7">
              <w:rPr>
                <w:rFonts w:eastAsiaTheme="minorEastAsia"/>
                <w:b w:val="0"/>
                <w:sz w:val="18"/>
                <w:szCs w:val="18"/>
                <w:lang w:eastAsia="en-US"/>
              </w:rPr>
              <w:t>Ever smoked</w:t>
            </w:r>
          </w:p>
        </w:tc>
        <w:tc>
          <w:tcPr>
            <w:tcW w:w="536" w:type="dxa"/>
            <w:tcBorders>
              <w:top w:val="nil"/>
              <w:left w:val="nil"/>
              <w:bottom w:val="nil"/>
              <w:right w:val="nil"/>
            </w:tcBorders>
            <w:shd w:val="clear" w:color="auto" w:fill="auto"/>
            <w:noWrap/>
            <w:vAlign w:val="center"/>
          </w:tcPr>
          <w:p w14:paraId="5943CFDB"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200</w:t>
            </w:r>
          </w:p>
        </w:tc>
        <w:tc>
          <w:tcPr>
            <w:tcW w:w="579" w:type="dxa"/>
            <w:tcBorders>
              <w:top w:val="nil"/>
              <w:left w:val="nil"/>
              <w:bottom w:val="nil"/>
              <w:right w:val="nil"/>
            </w:tcBorders>
            <w:shd w:val="clear" w:color="auto" w:fill="auto"/>
            <w:noWrap/>
            <w:vAlign w:val="center"/>
          </w:tcPr>
          <w:p w14:paraId="1989E4FE"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31.4</w:t>
            </w:r>
          </w:p>
        </w:tc>
        <w:tc>
          <w:tcPr>
            <w:tcW w:w="1146" w:type="dxa"/>
            <w:tcBorders>
              <w:top w:val="nil"/>
              <w:left w:val="nil"/>
              <w:bottom w:val="nil"/>
              <w:right w:val="single" w:sz="4" w:space="0" w:color="auto"/>
            </w:tcBorders>
            <w:shd w:val="clear" w:color="auto" w:fill="auto"/>
            <w:noWrap/>
            <w:vAlign w:val="center"/>
          </w:tcPr>
          <w:p w14:paraId="5A22B558"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(27.7, 35.0)</w:t>
            </w:r>
          </w:p>
        </w:tc>
        <w:tc>
          <w:tcPr>
            <w:tcW w:w="536" w:type="dxa"/>
            <w:tcBorders>
              <w:top w:val="nil"/>
              <w:left w:val="single" w:sz="4" w:space="0" w:color="auto"/>
              <w:bottom w:val="nil"/>
              <w:right w:val="nil"/>
            </w:tcBorders>
            <w:shd w:val="clear" w:color="auto" w:fill="auto"/>
            <w:noWrap/>
            <w:vAlign w:val="center"/>
          </w:tcPr>
          <w:p w14:paraId="0093DF58"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99</w:t>
            </w:r>
          </w:p>
        </w:tc>
        <w:tc>
          <w:tcPr>
            <w:tcW w:w="621" w:type="dxa"/>
            <w:tcBorders>
              <w:top w:val="nil"/>
              <w:left w:val="nil"/>
              <w:bottom w:val="nil"/>
              <w:right w:val="nil"/>
            </w:tcBorders>
            <w:shd w:val="clear" w:color="auto" w:fill="auto"/>
            <w:noWrap/>
            <w:vAlign w:val="center"/>
          </w:tcPr>
          <w:p w14:paraId="43EBD570"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26.9</w:t>
            </w:r>
          </w:p>
        </w:tc>
        <w:tc>
          <w:tcPr>
            <w:tcW w:w="1146" w:type="dxa"/>
            <w:tcBorders>
              <w:top w:val="nil"/>
              <w:left w:val="nil"/>
              <w:bottom w:val="nil"/>
              <w:right w:val="single" w:sz="4" w:space="0" w:color="000000"/>
            </w:tcBorders>
            <w:shd w:val="clear" w:color="auto" w:fill="auto"/>
            <w:noWrap/>
            <w:vAlign w:val="center"/>
          </w:tcPr>
          <w:p w14:paraId="4967F272"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(22.1, 31.7)</w:t>
            </w:r>
          </w:p>
        </w:tc>
        <w:tc>
          <w:tcPr>
            <w:tcW w:w="536" w:type="dxa"/>
            <w:tcBorders>
              <w:top w:val="nil"/>
              <w:left w:val="single" w:sz="4" w:space="0" w:color="000000"/>
              <w:bottom w:val="nil"/>
              <w:right w:val="nil"/>
            </w:tcBorders>
            <w:shd w:val="clear" w:color="auto" w:fill="auto"/>
            <w:vAlign w:val="center"/>
          </w:tcPr>
          <w:p w14:paraId="33CCCCAB"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86</w:t>
            </w:r>
          </w:p>
        </w:tc>
        <w:tc>
          <w:tcPr>
            <w:tcW w:w="567" w:type="dxa"/>
            <w:tcBorders>
              <w:top w:val="nil"/>
              <w:left w:val="nil"/>
              <w:bottom w:val="nil"/>
              <w:right w:val="nil"/>
            </w:tcBorders>
            <w:shd w:val="clear" w:color="auto" w:fill="auto"/>
            <w:vAlign w:val="center"/>
          </w:tcPr>
          <w:p w14:paraId="52D47A03"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27.9</w:t>
            </w:r>
          </w:p>
        </w:tc>
        <w:tc>
          <w:tcPr>
            <w:tcW w:w="1146" w:type="dxa"/>
            <w:tcBorders>
              <w:top w:val="nil"/>
              <w:left w:val="nil"/>
              <w:bottom w:val="nil"/>
              <w:right w:val="single" w:sz="4" w:space="0" w:color="auto"/>
            </w:tcBorders>
            <w:shd w:val="clear" w:color="auto" w:fill="auto"/>
            <w:vAlign w:val="center"/>
          </w:tcPr>
          <w:p w14:paraId="3C59A047"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(22.3, 33.5)</w:t>
            </w:r>
          </w:p>
        </w:tc>
        <w:tc>
          <w:tcPr>
            <w:tcW w:w="536" w:type="dxa"/>
            <w:tcBorders>
              <w:top w:val="nil"/>
              <w:left w:val="single" w:sz="4" w:space="0" w:color="auto"/>
              <w:bottom w:val="nil"/>
              <w:right w:val="nil"/>
            </w:tcBorders>
            <w:shd w:val="clear" w:color="auto" w:fill="auto"/>
            <w:vAlign w:val="center"/>
          </w:tcPr>
          <w:p w14:paraId="55669FCE"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76</w:t>
            </w:r>
          </w:p>
        </w:tc>
        <w:tc>
          <w:tcPr>
            <w:tcW w:w="576" w:type="dxa"/>
            <w:tcBorders>
              <w:top w:val="nil"/>
              <w:left w:val="nil"/>
              <w:bottom w:val="nil"/>
              <w:right w:val="nil"/>
            </w:tcBorders>
            <w:shd w:val="clear" w:color="auto" w:fill="auto"/>
            <w:vAlign w:val="center"/>
          </w:tcPr>
          <w:p w14:paraId="5D0D7DC6"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27.3</w:t>
            </w:r>
          </w:p>
        </w:tc>
        <w:tc>
          <w:tcPr>
            <w:tcW w:w="1146" w:type="dxa"/>
            <w:tcBorders>
              <w:top w:val="nil"/>
              <w:left w:val="nil"/>
              <w:bottom w:val="nil"/>
              <w:right w:val="nil"/>
            </w:tcBorders>
            <w:shd w:val="clear" w:color="auto" w:fill="auto"/>
            <w:vAlign w:val="center"/>
          </w:tcPr>
          <w:p w14:paraId="699EE9E5"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(21.3, 33.3)</w:t>
            </w:r>
          </w:p>
        </w:tc>
      </w:tr>
      <w:tr w:rsidR="009118DA" w:rsidRPr="00CE46F7" w14:paraId="7E552F26"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17FF93A9" w14:textId="77777777" w:rsidR="0013235A" w:rsidRPr="00CE46F7" w:rsidRDefault="0013235A" w:rsidP="0013235A">
            <w:pPr>
              <w:keepNext/>
              <w:spacing w:before="20" w:after="20"/>
              <w:ind w:left="34"/>
              <w:rPr>
                <w:rFonts w:eastAsiaTheme="minorEastAsia"/>
                <w:b w:val="0"/>
                <w:sz w:val="18"/>
                <w:szCs w:val="18"/>
                <w:lang w:eastAsia="en-US"/>
              </w:rPr>
            </w:pPr>
            <w:r w:rsidRPr="00CE46F7">
              <w:rPr>
                <w:rFonts w:eastAsiaTheme="minorEastAsia"/>
                <w:b w:val="0"/>
                <w:sz w:val="18"/>
                <w:szCs w:val="18"/>
                <w:lang w:eastAsia="en-US"/>
              </w:rPr>
              <w:t>Smoked more than 100 cigarettes in lifetime</w:t>
            </w:r>
          </w:p>
        </w:tc>
        <w:tc>
          <w:tcPr>
            <w:tcW w:w="536" w:type="dxa"/>
            <w:tcBorders>
              <w:top w:val="nil"/>
              <w:left w:val="nil"/>
              <w:bottom w:val="nil"/>
              <w:right w:val="nil"/>
            </w:tcBorders>
            <w:shd w:val="clear" w:color="auto" w:fill="auto"/>
            <w:noWrap/>
            <w:vAlign w:val="center"/>
          </w:tcPr>
          <w:p w14:paraId="42D07045"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121</w:t>
            </w:r>
          </w:p>
        </w:tc>
        <w:tc>
          <w:tcPr>
            <w:tcW w:w="579" w:type="dxa"/>
            <w:tcBorders>
              <w:top w:val="nil"/>
              <w:left w:val="nil"/>
              <w:bottom w:val="nil"/>
              <w:right w:val="nil"/>
            </w:tcBorders>
            <w:shd w:val="clear" w:color="auto" w:fill="auto"/>
            <w:noWrap/>
            <w:vAlign w:val="center"/>
          </w:tcPr>
          <w:p w14:paraId="516FD18B"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19.0</w:t>
            </w:r>
          </w:p>
        </w:tc>
        <w:tc>
          <w:tcPr>
            <w:tcW w:w="1146" w:type="dxa"/>
            <w:tcBorders>
              <w:top w:val="nil"/>
              <w:left w:val="nil"/>
              <w:bottom w:val="nil"/>
              <w:right w:val="single" w:sz="4" w:space="0" w:color="auto"/>
            </w:tcBorders>
            <w:shd w:val="clear" w:color="auto" w:fill="auto"/>
            <w:noWrap/>
            <w:vAlign w:val="center"/>
          </w:tcPr>
          <w:p w14:paraId="49C6B077"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(15.8, 22.2)</w:t>
            </w:r>
          </w:p>
        </w:tc>
        <w:tc>
          <w:tcPr>
            <w:tcW w:w="536" w:type="dxa"/>
            <w:tcBorders>
              <w:top w:val="nil"/>
              <w:left w:val="single" w:sz="4" w:space="0" w:color="auto"/>
              <w:bottom w:val="nil"/>
              <w:right w:val="nil"/>
            </w:tcBorders>
            <w:shd w:val="clear" w:color="auto" w:fill="auto"/>
            <w:noWrap/>
            <w:vAlign w:val="center"/>
          </w:tcPr>
          <w:p w14:paraId="666C9F71"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61</w:t>
            </w:r>
          </w:p>
        </w:tc>
        <w:tc>
          <w:tcPr>
            <w:tcW w:w="621" w:type="dxa"/>
            <w:tcBorders>
              <w:top w:val="nil"/>
              <w:left w:val="nil"/>
              <w:bottom w:val="nil"/>
              <w:right w:val="nil"/>
            </w:tcBorders>
            <w:shd w:val="clear" w:color="auto" w:fill="auto"/>
            <w:noWrap/>
            <w:vAlign w:val="center"/>
          </w:tcPr>
          <w:p w14:paraId="702DA690"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16.6</w:t>
            </w:r>
          </w:p>
        </w:tc>
        <w:tc>
          <w:tcPr>
            <w:tcW w:w="1146" w:type="dxa"/>
            <w:tcBorders>
              <w:top w:val="nil"/>
              <w:left w:val="nil"/>
              <w:bottom w:val="nil"/>
              <w:right w:val="single" w:sz="4" w:space="0" w:color="000000"/>
            </w:tcBorders>
            <w:shd w:val="clear" w:color="auto" w:fill="auto"/>
            <w:noWrap/>
            <w:vAlign w:val="center"/>
          </w:tcPr>
          <w:p w14:paraId="225BCD76"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(12.5, 20.6)</w:t>
            </w:r>
          </w:p>
        </w:tc>
        <w:tc>
          <w:tcPr>
            <w:tcW w:w="536" w:type="dxa"/>
            <w:tcBorders>
              <w:top w:val="nil"/>
              <w:left w:val="single" w:sz="4" w:space="0" w:color="000000"/>
              <w:bottom w:val="nil"/>
              <w:right w:val="nil"/>
            </w:tcBorders>
            <w:shd w:val="clear" w:color="auto" w:fill="auto"/>
            <w:vAlign w:val="center"/>
          </w:tcPr>
          <w:p w14:paraId="36E5F81E"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55</w:t>
            </w:r>
          </w:p>
        </w:tc>
        <w:tc>
          <w:tcPr>
            <w:tcW w:w="567" w:type="dxa"/>
            <w:tcBorders>
              <w:top w:val="nil"/>
              <w:left w:val="nil"/>
              <w:bottom w:val="nil"/>
              <w:right w:val="nil"/>
            </w:tcBorders>
            <w:shd w:val="clear" w:color="auto" w:fill="auto"/>
            <w:vAlign w:val="center"/>
          </w:tcPr>
          <w:p w14:paraId="2F6C5EFB"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17.7</w:t>
            </w:r>
          </w:p>
        </w:tc>
        <w:tc>
          <w:tcPr>
            <w:tcW w:w="1146" w:type="dxa"/>
            <w:tcBorders>
              <w:top w:val="nil"/>
              <w:left w:val="nil"/>
              <w:bottom w:val="nil"/>
              <w:right w:val="single" w:sz="4" w:space="0" w:color="auto"/>
            </w:tcBorders>
            <w:shd w:val="clear" w:color="auto" w:fill="auto"/>
            <w:vAlign w:val="center"/>
          </w:tcPr>
          <w:p w14:paraId="6B8492FB"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(12.8, 22.7)</w:t>
            </w:r>
          </w:p>
        </w:tc>
        <w:tc>
          <w:tcPr>
            <w:tcW w:w="536" w:type="dxa"/>
            <w:tcBorders>
              <w:top w:val="nil"/>
              <w:left w:val="single" w:sz="4" w:space="0" w:color="auto"/>
              <w:bottom w:val="nil"/>
              <w:right w:val="nil"/>
            </w:tcBorders>
            <w:shd w:val="clear" w:color="auto" w:fill="auto"/>
            <w:vAlign w:val="center"/>
          </w:tcPr>
          <w:p w14:paraId="5807922E"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48</w:t>
            </w:r>
          </w:p>
        </w:tc>
        <w:tc>
          <w:tcPr>
            <w:tcW w:w="576" w:type="dxa"/>
            <w:tcBorders>
              <w:top w:val="nil"/>
              <w:left w:val="nil"/>
              <w:bottom w:val="nil"/>
              <w:right w:val="nil"/>
            </w:tcBorders>
            <w:shd w:val="clear" w:color="auto" w:fill="auto"/>
            <w:vAlign w:val="center"/>
          </w:tcPr>
          <w:p w14:paraId="357FD73D"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17.1</w:t>
            </w:r>
          </w:p>
        </w:tc>
        <w:tc>
          <w:tcPr>
            <w:tcW w:w="1146" w:type="dxa"/>
            <w:tcBorders>
              <w:top w:val="nil"/>
              <w:left w:val="nil"/>
              <w:bottom w:val="nil"/>
              <w:right w:val="nil"/>
            </w:tcBorders>
            <w:shd w:val="clear" w:color="auto" w:fill="auto"/>
            <w:vAlign w:val="center"/>
          </w:tcPr>
          <w:p w14:paraId="0471018D" w14:textId="77777777" w:rsidR="0013235A" w:rsidRPr="00CE46F7" w:rsidRDefault="0013235A" w:rsidP="0013235A">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(11.8, 22.5)</w:t>
            </w:r>
          </w:p>
        </w:tc>
      </w:tr>
      <w:tr w:rsidR="009118DA" w:rsidRPr="00CE46F7" w14:paraId="6E0BB136"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single" w:sz="4" w:space="0" w:color="auto"/>
              <w:right w:val="nil"/>
            </w:tcBorders>
            <w:shd w:val="clear" w:color="auto" w:fill="auto"/>
          </w:tcPr>
          <w:p w14:paraId="24FEB619" w14:textId="77777777" w:rsidR="0013235A" w:rsidRPr="00CE46F7" w:rsidRDefault="0013235A" w:rsidP="007B4EF8">
            <w:pPr>
              <w:spacing w:before="20" w:after="60"/>
              <w:ind w:left="34"/>
              <w:rPr>
                <w:rFonts w:eastAsiaTheme="minorEastAsia"/>
                <w:b w:val="0"/>
                <w:sz w:val="18"/>
                <w:szCs w:val="18"/>
                <w:lang w:eastAsia="en-US"/>
              </w:rPr>
            </w:pPr>
            <w:r w:rsidRPr="00CE46F7">
              <w:rPr>
                <w:rFonts w:eastAsiaTheme="minorEastAsia"/>
                <w:b w:val="0"/>
                <w:sz w:val="18"/>
                <w:szCs w:val="18"/>
                <w:lang w:eastAsia="en-US"/>
              </w:rPr>
              <w:t>Ever smoked daily</w:t>
            </w:r>
          </w:p>
        </w:tc>
        <w:tc>
          <w:tcPr>
            <w:tcW w:w="536" w:type="dxa"/>
            <w:tcBorders>
              <w:top w:val="nil"/>
              <w:left w:val="nil"/>
              <w:bottom w:val="single" w:sz="4" w:space="0" w:color="auto"/>
              <w:right w:val="nil"/>
            </w:tcBorders>
            <w:shd w:val="clear" w:color="auto" w:fill="auto"/>
            <w:noWrap/>
            <w:vAlign w:val="center"/>
          </w:tcPr>
          <w:p w14:paraId="5A9CA922"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109</w:t>
            </w:r>
          </w:p>
        </w:tc>
        <w:tc>
          <w:tcPr>
            <w:tcW w:w="579" w:type="dxa"/>
            <w:tcBorders>
              <w:top w:val="nil"/>
              <w:left w:val="nil"/>
              <w:bottom w:val="single" w:sz="4" w:space="0" w:color="auto"/>
              <w:right w:val="nil"/>
            </w:tcBorders>
            <w:shd w:val="clear" w:color="auto" w:fill="auto"/>
            <w:noWrap/>
            <w:vAlign w:val="center"/>
          </w:tcPr>
          <w:p w14:paraId="47116534"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17.1</w:t>
            </w:r>
          </w:p>
        </w:tc>
        <w:tc>
          <w:tcPr>
            <w:tcW w:w="1146" w:type="dxa"/>
            <w:tcBorders>
              <w:top w:val="nil"/>
              <w:left w:val="nil"/>
              <w:bottom w:val="single" w:sz="4" w:space="0" w:color="auto"/>
              <w:right w:val="single" w:sz="4" w:space="0" w:color="auto"/>
            </w:tcBorders>
            <w:shd w:val="clear" w:color="auto" w:fill="auto"/>
            <w:noWrap/>
            <w:vAlign w:val="center"/>
          </w:tcPr>
          <w:p w14:paraId="01644C4B"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(14.1, 20.2)</w:t>
            </w:r>
          </w:p>
        </w:tc>
        <w:tc>
          <w:tcPr>
            <w:tcW w:w="536" w:type="dxa"/>
            <w:tcBorders>
              <w:top w:val="nil"/>
              <w:left w:val="single" w:sz="4" w:space="0" w:color="auto"/>
              <w:bottom w:val="single" w:sz="4" w:space="0" w:color="auto"/>
              <w:right w:val="nil"/>
            </w:tcBorders>
            <w:shd w:val="clear" w:color="auto" w:fill="auto"/>
            <w:noWrap/>
            <w:vAlign w:val="center"/>
          </w:tcPr>
          <w:p w14:paraId="7FCF88E6"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53</w:t>
            </w:r>
          </w:p>
        </w:tc>
        <w:tc>
          <w:tcPr>
            <w:tcW w:w="621" w:type="dxa"/>
            <w:tcBorders>
              <w:top w:val="nil"/>
              <w:left w:val="nil"/>
              <w:bottom w:val="single" w:sz="4" w:space="0" w:color="auto"/>
              <w:right w:val="nil"/>
            </w:tcBorders>
            <w:shd w:val="clear" w:color="auto" w:fill="auto"/>
            <w:noWrap/>
            <w:vAlign w:val="center"/>
          </w:tcPr>
          <w:p w14:paraId="57C3CD79"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14.3</w:t>
            </w:r>
          </w:p>
        </w:tc>
        <w:tc>
          <w:tcPr>
            <w:tcW w:w="1146" w:type="dxa"/>
            <w:tcBorders>
              <w:top w:val="nil"/>
              <w:left w:val="nil"/>
              <w:bottom w:val="single" w:sz="4" w:space="0" w:color="auto"/>
              <w:right w:val="single" w:sz="4" w:space="0" w:color="000000"/>
            </w:tcBorders>
            <w:shd w:val="clear" w:color="auto" w:fill="auto"/>
            <w:noWrap/>
            <w:vAlign w:val="center"/>
          </w:tcPr>
          <w:p w14:paraId="0DAE9252"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(10.5, 18.2)</w:t>
            </w:r>
          </w:p>
        </w:tc>
        <w:tc>
          <w:tcPr>
            <w:tcW w:w="536" w:type="dxa"/>
            <w:tcBorders>
              <w:top w:val="nil"/>
              <w:left w:val="single" w:sz="4" w:space="0" w:color="000000"/>
              <w:bottom w:val="single" w:sz="4" w:space="0" w:color="auto"/>
              <w:right w:val="nil"/>
            </w:tcBorders>
            <w:shd w:val="clear" w:color="auto" w:fill="auto"/>
            <w:vAlign w:val="center"/>
          </w:tcPr>
          <w:p w14:paraId="7D3014D3"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49</w:t>
            </w:r>
          </w:p>
        </w:tc>
        <w:tc>
          <w:tcPr>
            <w:tcW w:w="567" w:type="dxa"/>
            <w:tcBorders>
              <w:top w:val="nil"/>
              <w:left w:val="nil"/>
              <w:bottom w:val="single" w:sz="4" w:space="0" w:color="auto"/>
              <w:right w:val="nil"/>
            </w:tcBorders>
            <w:shd w:val="clear" w:color="auto" w:fill="auto"/>
            <w:vAlign w:val="center"/>
          </w:tcPr>
          <w:p w14:paraId="389BD5F8"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15.8</w:t>
            </w:r>
          </w:p>
        </w:tc>
        <w:tc>
          <w:tcPr>
            <w:tcW w:w="1146" w:type="dxa"/>
            <w:tcBorders>
              <w:top w:val="nil"/>
              <w:left w:val="nil"/>
              <w:bottom w:val="single" w:sz="4" w:space="0" w:color="auto"/>
              <w:right w:val="single" w:sz="4" w:space="0" w:color="auto"/>
            </w:tcBorders>
            <w:shd w:val="clear" w:color="auto" w:fill="auto"/>
            <w:vAlign w:val="center"/>
          </w:tcPr>
          <w:p w14:paraId="4D6C538D"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(11.0, 20.7)</w:t>
            </w:r>
          </w:p>
        </w:tc>
        <w:tc>
          <w:tcPr>
            <w:tcW w:w="536" w:type="dxa"/>
            <w:tcBorders>
              <w:top w:val="nil"/>
              <w:left w:val="single" w:sz="4" w:space="0" w:color="auto"/>
              <w:bottom w:val="single" w:sz="4" w:space="0" w:color="auto"/>
              <w:right w:val="nil"/>
            </w:tcBorders>
            <w:shd w:val="clear" w:color="auto" w:fill="auto"/>
            <w:vAlign w:val="center"/>
          </w:tcPr>
          <w:p w14:paraId="4FCE1480"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46</w:t>
            </w:r>
          </w:p>
        </w:tc>
        <w:tc>
          <w:tcPr>
            <w:tcW w:w="576" w:type="dxa"/>
            <w:tcBorders>
              <w:top w:val="nil"/>
              <w:left w:val="nil"/>
              <w:bottom w:val="single" w:sz="4" w:space="0" w:color="auto"/>
              <w:right w:val="nil"/>
            </w:tcBorders>
            <w:shd w:val="clear" w:color="auto" w:fill="auto"/>
            <w:vAlign w:val="center"/>
          </w:tcPr>
          <w:p w14:paraId="2FF548E5"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16.6</w:t>
            </w:r>
          </w:p>
        </w:tc>
        <w:tc>
          <w:tcPr>
            <w:tcW w:w="1146" w:type="dxa"/>
            <w:tcBorders>
              <w:top w:val="nil"/>
              <w:left w:val="nil"/>
              <w:bottom w:val="single" w:sz="4" w:space="0" w:color="auto"/>
              <w:right w:val="nil"/>
            </w:tcBorders>
            <w:shd w:val="clear" w:color="auto" w:fill="auto"/>
            <w:vAlign w:val="center"/>
          </w:tcPr>
          <w:p w14:paraId="6FFA3D39"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(11.3, 21.9)</w:t>
            </w:r>
          </w:p>
        </w:tc>
      </w:tr>
      <w:tr w:rsidR="002E64B9" w:rsidRPr="00CE46F7" w14:paraId="3E238B15"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4655" w:type="dxa"/>
            <w:gridSpan w:val="3"/>
            <w:tcBorders>
              <w:top w:val="single" w:sz="4" w:space="0" w:color="auto"/>
              <w:left w:val="nil"/>
              <w:bottom w:val="nil"/>
              <w:right w:val="nil"/>
            </w:tcBorders>
            <w:shd w:val="clear" w:color="auto" w:fill="auto"/>
            <w:vAlign w:val="center"/>
          </w:tcPr>
          <w:p w14:paraId="519A480C" w14:textId="77777777" w:rsidR="0013235A" w:rsidRPr="00CE46F7" w:rsidRDefault="0013235A" w:rsidP="00616DE1">
            <w:pPr>
              <w:keepNext/>
              <w:spacing w:before="20" w:after="20"/>
              <w:rPr>
                <w:rFonts w:eastAsiaTheme="minorEastAsia"/>
                <w:sz w:val="18"/>
                <w:szCs w:val="18"/>
                <w:lang w:eastAsia="en-US"/>
              </w:rPr>
            </w:pPr>
            <w:r w:rsidRPr="00CE46F7">
              <w:rPr>
                <w:rFonts w:eastAsiaTheme="minorEastAsia"/>
                <w:sz w:val="18"/>
                <w:szCs w:val="18"/>
                <w:lang w:eastAsia="en-US"/>
              </w:rPr>
              <w:t>How often currently smoke tobacco</w:t>
            </w:r>
          </w:p>
        </w:tc>
        <w:tc>
          <w:tcPr>
            <w:tcW w:w="1146" w:type="dxa"/>
            <w:tcBorders>
              <w:top w:val="single" w:sz="4" w:space="0" w:color="auto"/>
              <w:left w:val="nil"/>
              <w:bottom w:val="nil"/>
              <w:right w:val="single" w:sz="4" w:space="0" w:color="auto"/>
            </w:tcBorders>
            <w:shd w:val="clear" w:color="auto" w:fill="auto"/>
            <w:noWrap/>
            <w:vAlign w:val="center"/>
          </w:tcPr>
          <w:p w14:paraId="26CACFB3" w14:textId="77777777" w:rsidR="0013235A" w:rsidRPr="00CE46F7" w:rsidRDefault="0013235A" w:rsidP="00616DE1">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536" w:type="dxa"/>
            <w:tcBorders>
              <w:top w:val="single" w:sz="4" w:space="0" w:color="auto"/>
              <w:left w:val="single" w:sz="4" w:space="0" w:color="auto"/>
              <w:bottom w:val="nil"/>
              <w:right w:val="nil"/>
            </w:tcBorders>
            <w:shd w:val="clear" w:color="auto" w:fill="auto"/>
            <w:noWrap/>
            <w:vAlign w:val="center"/>
          </w:tcPr>
          <w:p w14:paraId="4D8EC99D" w14:textId="77777777" w:rsidR="0013235A" w:rsidRPr="00CE46F7" w:rsidRDefault="0013235A" w:rsidP="00616DE1">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621" w:type="dxa"/>
            <w:tcBorders>
              <w:top w:val="single" w:sz="4" w:space="0" w:color="auto"/>
              <w:left w:val="nil"/>
              <w:bottom w:val="nil"/>
              <w:right w:val="nil"/>
            </w:tcBorders>
            <w:shd w:val="clear" w:color="auto" w:fill="auto"/>
            <w:noWrap/>
            <w:vAlign w:val="center"/>
          </w:tcPr>
          <w:p w14:paraId="79D95FBA" w14:textId="77777777" w:rsidR="0013235A" w:rsidRPr="00CE46F7" w:rsidRDefault="0013235A" w:rsidP="00616DE1">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1146" w:type="dxa"/>
            <w:tcBorders>
              <w:top w:val="single" w:sz="4" w:space="0" w:color="auto"/>
              <w:left w:val="nil"/>
              <w:bottom w:val="nil"/>
              <w:right w:val="single" w:sz="4" w:space="0" w:color="000000"/>
            </w:tcBorders>
            <w:shd w:val="clear" w:color="auto" w:fill="auto"/>
            <w:noWrap/>
            <w:vAlign w:val="bottom"/>
          </w:tcPr>
          <w:p w14:paraId="233A5EA7" w14:textId="77777777" w:rsidR="0013235A" w:rsidRPr="00CE46F7" w:rsidRDefault="0013235A" w:rsidP="00616DE1">
            <w:pPr>
              <w:keepNex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single" w:sz="4" w:space="0" w:color="auto"/>
              <w:left w:val="single" w:sz="4" w:space="0" w:color="000000"/>
              <w:bottom w:val="nil"/>
              <w:right w:val="nil"/>
            </w:tcBorders>
            <w:shd w:val="clear" w:color="auto" w:fill="auto"/>
            <w:vAlign w:val="bottom"/>
          </w:tcPr>
          <w:p w14:paraId="114DFEB8" w14:textId="77777777" w:rsidR="0013235A" w:rsidRPr="00CE46F7" w:rsidRDefault="0013235A" w:rsidP="00616DE1">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567" w:type="dxa"/>
            <w:tcBorders>
              <w:top w:val="single" w:sz="4" w:space="0" w:color="auto"/>
              <w:left w:val="nil"/>
              <w:bottom w:val="nil"/>
              <w:right w:val="nil"/>
            </w:tcBorders>
            <w:shd w:val="clear" w:color="auto" w:fill="auto"/>
            <w:vAlign w:val="bottom"/>
          </w:tcPr>
          <w:p w14:paraId="78318858" w14:textId="77777777" w:rsidR="0013235A" w:rsidRPr="00CE46F7" w:rsidRDefault="0013235A" w:rsidP="00616DE1">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single" w:sz="4" w:space="0" w:color="auto"/>
              <w:left w:val="nil"/>
              <w:bottom w:val="nil"/>
              <w:right w:val="single" w:sz="4" w:space="0" w:color="auto"/>
            </w:tcBorders>
            <w:shd w:val="clear" w:color="auto" w:fill="auto"/>
            <w:vAlign w:val="bottom"/>
          </w:tcPr>
          <w:p w14:paraId="1F489E51" w14:textId="77777777" w:rsidR="0013235A" w:rsidRPr="00CE46F7" w:rsidRDefault="0013235A" w:rsidP="00616DE1">
            <w:pPr>
              <w:keepNex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single" w:sz="4" w:space="0" w:color="auto"/>
              <w:left w:val="single" w:sz="4" w:space="0" w:color="auto"/>
              <w:bottom w:val="nil"/>
              <w:right w:val="nil"/>
            </w:tcBorders>
            <w:shd w:val="clear" w:color="auto" w:fill="auto"/>
            <w:vAlign w:val="bottom"/>
          </w:tcPr>
          <w:p w14:paraId="3FEE5720" w14:textId="77777777" w:rsidR="0013235A" w:rsidRPr="00CE46F7" w:rsidRDefault="0013235A" w:rsidP="00616DE1">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576" w:type="dxa"/>
            <w:tcBorders>
              <w:top w:val="single" w:sz="4" w:space="0" w:color="auto"/>
              <w:left w:val="nil"/>
              <w:bottom w:val="nil"/>
              <w:right w:val="nil"/>
            </w:tcBorders>
            <w:shd w:val="clear" w:color="auto" w:fill="auto"/>
            <w:vAlign w:val="bottom"/>
          </w:tcPr>
          <w:p w14:paraId="35914E54" w14:textId="77777777" w:rsidR="0013235A" w:rsidRPr="00CE46F7" w:rsidRDefault="0013235A" w:rsidP="00616DE1">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1146" w:type="dxa"/>
            <w:tcBorders>
              <w:top w:val="single" w:sz="4" w:space="0" w:color="auto"/>
              <w:left w:val="nil"/>
              <w:bottom w:val="nil"/>
              <w:right w:val="nil"/>
            </w:tcBorders>
            <w:shd w:val="clear" w:color="auto" w:fill="auto"/>
            <w:vAlign w:val="bottom"/>
          </w:tcPr>
          <w:p w14:paraId="2276AEFB" w14:textId="77777777" w:rsidR="0013235A" w:rsidRPr="00CE46F7" w:rsidRDefault="0013235A" w:rsidP="00616DE1">
            <w:pPr>
              <w:keepNext/>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118DA" w:rsidRPr="00CE46F7" w14:paraId="4AB7EA7C"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749B6B6F" w14:textId="77777777" w:rsidR="0013235A" w:rsidRPr="00CE46F7" w:rsidRDefault="0013235A" w:rsidP="00616DE1">
            <w:pPr>
              <w:keepNext/>
              <w:spacing w:before="20" w:after="20"/>
              <w:ind w:left="34"/>
              <w:rPr>
                <w:rFonts w:eastAsiaTheme="minorEastAsia"/>
                <w:b w:val="0"/>
                <w:sz w:val="18"/>
                <w:szCs w:val="18"/>
                <w:lang w:eastAsia="en-US"/>
              </w:rPr>
            </w:pPr>
            <w:r w:rsidRPr="00CE46F7">
              <w:rPr>
                <w:rFonts w:eastAsiaTheme="minorEastAsia"/>
                <w:b w:val="0"/>
                <w:sz w:val="18"/>
                <w:szCs w:val="18"/>
                <w:lang w:eastAsia="en-US"/>
              </w:rPr>
              <w:t>Does not smoke now</w:t>
            </w:r>
          </w:p>
        </w:tc>
        <w:tc>
          <w:tcPr>
            <w:tcW w:w="536" w:type="dxa"/>
            <w:tcBorders>
              <w:top w:val="nil"/>
              <w:left w:val="nil"/>
              <w:bottom w:val="nil"/>
              <w:right w:val="nil"/>
            </w:tcBorders>
            <w:shd w:val="clear" w:color="auto" w:fill="auto"/>
            <w:noWrap/>
            <w:vAlign w:val="center"/>
          </w:tcPr>
          <w:p w14:paraId="0975741E" w14:textId="77777777" w:rsidR="0013235A" w:rsidRPr="00CE46F7" w:rsidRDefault="0013235A"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CE46F7">
              <w:rPr>
                <w:color w:val="000000"/>
                <w:sz w:val="18"/>
                <w:szCs w:val="18"/>
              </w:rPr>
              <w:t>60</w:t>
            </w:r>
          </w:p>
        </w:tc>
        <w:tc>
          <w:tcPr>
            <w:tcW w:w="579" w:type="dxa"/>
            <w:tcBorders>
              <w:top w:val="nil"/>
              <w:left w:val="nil"/>
              <w:bottom w:val="nil"/>
              <w:right w:val="nil"/>
            </w:tcBorders>
            <w:shd w:val="clear" w:color="auto" w:fill="auto"/>
            <w:noWrap/>
            <w:vAlign w:val="center"/>
          </w:tcPr>
          <w:p w14:paraId="79F460DC" w14:textId="77777777" w:rsidR="0013235A" w:rsidRPr="00CE46F7" w:rsidRDefault="0013235A"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9.5</w:t>
            </w:r>
          </w:p>
        </w:tc>
        <w:tc>
          <w:tcPr>
            <w:tcW w:w="1146" w:type="dxa"/>
            <w:tcBorders>
              <w:top w:val="nil"/>
              <w:left w:val="nil"/>
              <w:bottom w:val="nil"/>
              <w:right w:val="single" w:sz="4" w:space="0" w:color="auto"/>
            </w:tcBorders>
            <w:shd w:val="clear" w:color="auto" w:fill="auto"/>
            <w:noWrap/>
            <w:vAlign w:val="center"/>
          </w:tcPr>
          <w:p w14:paraId="2F34E071" w14:textId="77777777" w:rsidR="0013235A" w:rsidRPr="00CE46F7" w:rsidRDefault="0013235A"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(7.0, 12.0)</w:t>
            </w:r>
          </w:p>
        </w:tc>
        <w:tc>
          <w:tcPr>
            <w:tcW w:w="536" w:type="dxa"/>
            <w:tcBorders>
              <w:top w:val="nil"/>
              <w:left w:val="single" w:sz="4" w:space="0" w:color="auto"/>
              <w:bottom w:val="nil"/>
              <w:right w:val="nil"/>
            </w:tcBorders>
            <w:shd w:val="clear" w:color="auto" w:fill="auto"/>
            <w:noWrap/>
            <w:vAlign w:val="center"/>
          </w:tcPr>
          <w:p w14:paraId="1A932718" w14:textId="77777777" w:rsidR="0013235A" w:rsidRPr="00CE46F7" w:rsidRDefault="0013235A"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31</w:t>
            </w:r>
          </w:p>
        </w:tc>
        <w:tc>
          <w:tcPr>
            <w:tcW w:w="621" w:type="dxa"/>
            <w:tcBorders>
              <w:top w:val="nil"/>
              <w:left w:val="nil"/>
              <w:bottom w:val="nil"/>
              <w:right w:val="nil"/>
            </w:tcBorders>
            <w:shd w:val="clear" w:color="auto" w:fill="auto"/>
            <w:noWrap/>
            <w:vAlign w:val="center"/>
          </w:tcPr>
          <w:p w14:paraId="1A4F879B" w14:textId="77777777" w:rsidR="0013235A" w:rsidRPr="00CE46F7" w:rsidRDefault="0013235A"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8.5</w:t>
            </w:r>
          </w:p>
        </w:tc>
        <w:tc>
          <w:tcPr>
            <w:tcW w:w="1146" w:type="dxa"/>
            <w:tcBorders>
              <w:top w:val="nil"/>
              <w:left w:val="nil"/>
              <w:bottom w:val="nil"/>
              <w:right w:val="single" w:sz="4" w:space="0" w:color="000000"/>
            </w:tcBorders>
            <w:shd w:val="clear" w:color="auto" w:fill="auto"/>
            <w:noWrap/>
            <w:vAlign w:val="center"/>
          </w:tcPr>
          <w:p w14:paraId="78120E83" w14:textId="77777777" w:rsidR="0013235A" w:rsidRPr="00CE46F7" w:rsidRDefault="0013235A"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(5.5, 11.5)</w:t>
            </w:r>
          </w:p>
        </w:tc>
        <w:tc>
          <w:tcPr>
            <w:tcW w:w="536" w:type="dxa"/>
            <w:tcBorders>
              <w:top w:val="nil"/>
              <w:left w:val="single" w:sz="4" w:space="0" w:color="000000"/>
              <w:bottom w:val="nil"/>
              <w:right w:val="nil"/>
            </w:tcBorders>
            <w:shd w:val="clear" w:color="auto" w:fill="auto"/>
            <w:vAlign w:val="center"/>
          </w:tcPr>
          <w:p w14:paraId="67C3A32F" w14:textId="77777777" w:rsidR="0013235A" w:rsidRPr="00CE46F7" w:rsidRDefault="0013235A"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33</w:t>
            </w:r>
          </w:p>
        </w:tc>
        <w:tc>
          <w:tcPr>
            <w:tcW w:w="567" w:type="dxa"/>
            <w:tcBorders>
              <w:top w:val="nil"/>
              <w:left w:val="nil"/>
              <w:bottom w:val="nil"/>
              <w:right w:val="nil"/>
            </w:tcBorders>
            <w:shd w:val="clear" w:color="auto" w:fill="auto"/>
            <w:vAlign w:val="center"/>
          </w:tcPr>
          <w:p w14:paraId="57583BFB" w14:textId="77777777" w:rsidR="0013235A" w:rsidRPr="00CE46F7" w:rsidRDefault="0013235A"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10.6</w:t>
            </w:r>
          </w:p>
        </w:tc>
        <w:tc>
          <w:tcPr>
            <w:tcW w:w="1146" w:type="dxa"/>
            <w:tcBorders>
              <w:top w:val="nil"/>
              <w:left w:val="nil"/>
              <w:bottom w:val="nil"/>
              <w:right w:val="single" w:sz="4" w:space="0" w:color="auto"/>
            </w:tcBorders>
            <w:shd w:val="clear" w:color="auto" w:fill="auto"/>
            <w:vAlign w:val="center"/>
          </w:tcPr>
          <w:p w14:paraId="6F01FA53" w14:textId="77777777" w:rsidR="0013235A" w:rsidRPr="00CE46F7" w:rsidRDefault="0013235A"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(6.3, 14.9)</w:t>
            </w:r>
          </w:p>
        </w:tc>
        <w:tc>
          <w:tcPr>
            <w:tcW w:w="536" w:type="dxa"/>
            <w:tcBorders>
              <w:top w:val="nil"/>
              <w:left w:val="single" w:sz="4" w:space="0" w:color="auto"/>
              <w:bottom w:val="nil"/>
              <w:right w:val="nil"/>
            </w:tcBorders>
            <w:shd w:val="clear" w:color="auto" w:fill="auto"/>
            <w:vAlign w:val="center"/>
          </w:tcPr>
          <w:p w14:paraId="39ED42CE" w14:textId="77777777" w:rsidR="0013235A" w:rsidRPr="00CE46F7" w:rsidRDefault="0013235A"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35</w:t>
            </w:r>
          </w:p>
        </w:tc>
        <w:tc>
          <w:tcPr>
            <w:tcW w:w="576" w:type="dxa"/>
            <w:tcBorders>
              <w:top w:val="nil"/>
              <w:left w:val="nil"/>
              <w:bottom w:val="nil"/>
              <w:right w:val="nil"/>
            </w:tcBorders>
            <w:shd w:val="clear" w:color="auto" w:fill="auto"/>
            <w:vAlign w:val="center"/>
          </w:tcPr>
          <w:p w14:paraId="5E28AE07" w14:textId="77777777" w:rsidR="0013235A" w:rsidRPr="00CE46F7" w:rsidRDefault="0013235A"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12.6</w:t>
            </w:r>
          </w:p>
        </w:tc>
        <w:tc>
          <w:tcPr>
            <w:tcW w:w="1146" w:type="dxa"/>
            <w:tcBorders>
              <w:top w:val="nil"/>
              <w:left w:val="nil"/>
              <w:bottom w:val="nil"/>
              <w:right w:val="nil"/>
            </w:tcBorders>
            <w:shd w:val="clear" w:color="auto" w:fill="auto"/>
            <w:vAlign w:val="center"/>
          </w:tcPr>
          <w:p w14:paraId="59A93089" w14:textId="77777777" w:rsidR="0013235A" w:rsidRPr="00CE46F7" w:rsidRDefault="0013235A" w:rsidP="00616DE1">
            <w:pPr>
              <w:keepNext/>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(7.6, 17.5)</w:t>
            </w:r>
          </w:p>
        </w:tc>
      </w:tr>
      <w:tr w:rsidR="009118DA" w:rsidRPr="00CE46F7" w14:paraId="286AF62A"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0CAB7469" w14:textId="77777777" w:rsidR="0013235A" w:rsidRPr="00CE46F7" w:rsidRDefault="0013235A" w:rsidP="007B4EF8">
            <w:pPr>
              <w:spacing w:before="20" w:after="20"/>
              <w:ind w:left="34"/>
              <w:rPr>
                <w:rFonts w:eastAsiaTheme="minorEastAsia"/>
                <w:b w:val="0"/>
                <w:sz w:val="18"/>
                <w:szCs w:val="18"/>
                <w:lang w:eastAsia="en-US"/>
              </w:rPr>
            </w:pPr>
            <w:r w:rsidRPr="00CE46F7">
              <w:rPr>
                <w:rFonts w:eastAsiaTheme="minorEastAsia"/>
                <w:b w:val="0"/>
                <w:sz w:val="18"/>
                <w:szCs w:val="18"/>
                <w:lang w:eastAsia="en-US"/>
              </w:rPr>
              <w:t>At least once a day</w:t>
            </w:r>
          </w:p>
        </w:tc>
        <w:tc>
          <w:tcPr>
            <w:tcW w:w="536" w:type="dxa"/>
            <w:tcBorders>
              <w:top w:val="nil"/>
              <w:left w:val="nil"/>
              <w:bottom w:val="nil"/>
              <w:right w:val="nil"/>
            </w:tcBorders>
            <w:shd w:val="clear" w:color="auto" w:fill="auto"/>
            <w:noWrap/>
            <w:vAlign w:val="center"/>
          </w:tcPr>
          <w:p w14:paraId="289DA00F"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49</w:t>
            </w:r>
          </w:p>
        </w:tc>
        <w:tc>
          <w:tcPr>
            <w:tcW w:w="579" w:type="dxa"/>
            <w:tcBorders>
              <w:top w:val="nil"/>
              <w:left w:val="nil"/>
              <w:bottom w:val="nil"/>
              <w:right w:val="nil"/>
            </w:tcBorders>
            <w:shd w:val="clear" w:color="auto" w:fill="auto"/>
            <w:noWrap/>
            <w:vAlign w:val="center"/>
          </w:tcPr>
          <w:p w14:paraId="421236F7"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7.7</w:t>
            </w:r>
          </w:p>
        </w:tc>
        <w:tc>
          <w:tcPr>
            <w:tcW w:w="1146" w:type="dxa"/>
            <w:tcBorders>
              <w:top w:val="nil"/>
              <w:left w:val="nil"/>
              <w:bottom w:val="nil"/>
              <w:right w:val="single" w:sz="4" w:space="0" w:color="auto"/>
            </w:tcBorders>
            <w:shd w:val="clear" w:color="auto" w:fill="auto"/>
            <w:noWrap/>
            <w:vAlign w:val="center"/>
          </w:tcPr>
          <w:p w14:paraId="4FD38190"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(5.6, 9.7)</w:t>
            </w:r>
          </w:p>
        </w:tc>
        <w:tc>
          <w:tcPr>
            <w:tcW w:w="536" w:type="dxa"/>
            <w:tcBorders>
              <w:top w:val="nil"/>
              <w:left w:val="single" w:sz="4" w:space="0" w:color="auto"/>
              <w:bottom w:val="nil"/>
              <w:right w:val="nil"/>
            </w:tcBorders>
            <w:shd w:val="clear" w:color="auto" w:fill="auto"/>
            <w:noWrap/>
            <w:vAlign w:val="center"/>
          </w:tcPr>
          <w:p w14:paraId="001E575E"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22</w:t>
            </w:r>
          </w:p>
        </w:tc>
        <w:tc>
          <w:tcPr>
            <w:tcW w:w="621" w:type="dxa"/>
            <w:tcBorders>
              <w:top w:val="nil"/>
              <w:left w:val="nil"/>
              <w:bottom w:val="nil"/>
              <w:right w:val="nil"/>
            </w:tcBorders>
            <w:shd w:val="clear" w:color="auto" w:fill="auto"/>
            <w:noWrap/>
            <w:vAlign w:val="center"/>
          </w:tcPr>
          <w:p w14:paraId="270A73C3"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5.9</w:t>
            </w:r>
          </w:p>
        </w:tc>
        <w:tc>
          <w:tcPr>
            <w:tcW w:w="1146" w:type="dxa"/>
            <w:tcBorders>
              <w:top w:val="nil"/>
              <w:left w:val="nil"/>
              <w:bottom w:val="nil"/>
              <w:right w:val="single" w:sz="4" w:space="0" w:color="000000"/>
            </w:tcBorders>
            <w:shd w:val="clear" w:color="auto" w:fill="auto"/>
            <w:noWrap/>
            <w:vAlign w:val="center"/>
          </w:tcPr>
          <w:p w14:paraId="5707C5AC"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(3.3, 8.5)</w:t>
            </w:r>
          </w:p>
        </w:tc>
        <w:tc>
          <w:tcPr>
            <w:tcW w:w="536" w:type="dxa"/>
            <w:tcBorders>
              <w:top w:val="nil"/>
              <w:left w:val="single" w:sz="4" w:space="0" w:color="000000"/>
              <w:bottom w:val="nil"/>
              <w:right w:val="nil"/>
            </w:tcBorders>
            <w:shd w:val="clear" w:color="auto" w:fill="auto"/>
            <w:vAlign w:val="center"/>
          </w:tcPr>
          <w:p w14:paraId="60374ACC"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10</w:t>
            </w:r>
          </w:p>
        </w:tc>
        <w:tc>
          <w:tcPr>
            <w:tcW w:w="567" w:type="dxa"/>
            <w:tcBorders>
              <w:top w:val="nil"/>
              <w:left w:val="nil"/>
              <w:bottom w:val="nil"/>
              <w:right w:val="nil"/>
            </w:tcBorders>
            <w:shd w:val="clear" w:color="auto" w:fill="auto"/>
            <w:vAlign w:val="center"/>
          </w:tcPr>
          <w:p w14:paraId="443D62DA"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3.2</w:t>
            </w:r>
          </w:p>
        </w:tc>
        <w:tc>
          <w:tcPr>
            <w:tcW w:w="1146" w:type="dxa"/>
            <w:tcBorders>
              <w:top w:val="nil"/>
              <w:left w:val="nil"/>
              <w:bottom w:val="nil"/>
              <w:right w:val="single" w:sz="4" w:space="0" w:color="auto"/>
            </w:tcBorders>
            <w:shd w:val="clear" w:color="auto" w:fill="auto"/>
            <w:vAlign w:val="center"/>
          </w:tcPr>
          <w:p w14:paraId="020630DF"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(1.3, 5.0)</w:t>
            </w:r>
          </w:p>
        </w:tc>
        <w:tc>
          <w:tcPr>
            <w:tcW w:w="536" w:type="dxa"/>
            <w:tcBorders>
              <w:top w:val="nil"/>
              <w:left w:val="single" w:sz="4" w:space="0" w:color="auto"/>
              <w:bottom w:val="nil"/>
              <w:right w:val="nil"/>
            </w:tcBorders>
            <w:shd w:val="clear" w:color="auto" w:fill="auto"/>
            <w:vAlign w:val="center"/>
          </w:tcPr>
          <w:p w14:paraId="428D8F29"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10</w:t>
            </w:r>
          </w:p>
        </w:tc>
        <w:tc>
          <w:tcPr>
            <w:tcW w:w="576" w:type="dxa"/>
            <w:tcBorders>
              <w:top w:val="nil"/>
              <w:left w:val="nil"/>
              <w:bottom w:val="nil"/>
              <w:right w:val="nil"/>
            </w:tcBorders>
            <w:shd w:val="clear" w:color="auto" w:fill="auto"/>
            <w:vAlign w:val="center"/>
          </w:tcPr>
          <w:p w14:paraId="4BBA01EC"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3.5</w:t>
            </w:r>
          </w:p>
        </w:tc>
        <w:tc>
          <w:tcPr>
            <w:tcW w:w="1146" w:type="dxa"/>
            <w:tcBorders>
              <w:top w:val="nil"/>
              <w:left w:val="nil"/>
              <w:bottom w:val="nil"/>
              <w:right w:val="nil"/>
            </w:tcBorders>
            <w:shd w:val="clear" w:color="auto" w:fill="auto"/>
            <w:vAlign w:val="center"/>
          </w:tcPr>
          <w:p w14:paraId="39E8860A"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(1.4, 5.5)</w:t>
            </w:r>
          </w:p>
        </w:tc>
      </w:tr>
      <w:tr w:rsidR="009118DA" w:rsidRPr="00CE46F7" w14:paraId="578E5BB5"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2A727C81" w14:textId="77777777" w:rsidR="0013235A" w:rsidRPr="00CE46F7" w:rsidRDefault="0013235A" w:rsidP="007B4EF8">
            <w:pPr>
              <w:spacing w:before="20" w:after="20"/>
              <w:ind w:left="34"/>
              <w:rPr>
                <w:rFonts w:eastAsiaTheme="minorEastAsia"/>
                <w:b w:val="0"/>
                <w:sz w:val="18"/>
                <w:szCs w:val="18"/>
                <w:lang w:eastAsia="en-US"/>
              </w:rPr>
            </w:pPr>
            <w:r w:rsidRPr="00CE46F7">
              <w:rPr>
                <w:rFonts w:eastAsiaTheme="minorEastAsia"/>
                <w:b w:val="0"/>
                <w:sz w:val="18"/>
                <w:szCs w:val="18"/>
                <w:lang w:eastAsia="en-US"/>
              </w:rPr>
              <w:t>At least once a week</w:t>
            </w:r>
          </w:p>
        </w:tc>
        <w:tc>
          <w:tcPr>
            <w:tcW w:w="536" w:type="dxa"/>
            <w:tcBorders>
              <w:top w:val="nil"/>
              <w:left w:val="nil"/>
              <w:bottom w:val="nil"/>
              <w:right w:val="nil"/>
            </w:tcBorders>
            <w:shd w:val="clear" w:color="auto" w:fill="auto"/>
            <w:noWrap/>
            <w:vAlign w:val="center"/>
          </w:tcPr>
          <w:p w14:paraId="051F3323"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8</w:t>
            </w:r>
          </w:p>
        </w:tc>
        <w:tc>
          <w:tcPr>
            <w:tcW w:w="579" w:type="dxa"/>
            <w:tcBorders>
              <w:top w:val="nil"/>
              <w:left w:val="nil"/>
              <w:bottom w:val="nil"/>
              <w:right w:val="nil"/>
            </w:tcBorders>
            <w:shd w:val="clear" w:color="auto" w:fill="auto"/>
            <w:noWrap/>
            <w:vAlign w:val="center"/>
          </w:tcPr>
          <w:p w14:paraId="18F98A21"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1.3</w:t>
            </w:r>
          </w:p>
        </w:tc>
        <w:tc>
          <w:tcPr>
            <w:tcW w:w="1146" w:type="dxa"/>
            <w:tcBorders>
              <w:top w:val="nil"/>
              <w:left w:val="nil"/>
              <w:bottom w:val="nil"/>
              <w:right w:val="single" w:sz="4" w:space="0" w:color="auto"/>
            </w:tcBorders>
            <w:shd w:val="clear" w:color="auto" w:fill="auto"/>
            <w:noWrap/>
            <w:vAlign w:val="center"/>
          </w:tcPr>
          <w:p w14:paraId="3834C13F"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(0.4, 2.2)</w:t>
            </w:r>
          </w:p>
        </w:tc>
        <w:tc>
          <w:tcPr>
            <w:tcW w:w="536" w:type="dxa"/>
            <w:tcBorders>
              <w:top w:val="nil"/>
              <w:left w:val="single" w:sz="4" w:space="0" w:color="auto"/>
              <w:bottom w:val="nil"/>
              <w:right w:val="nil"/>
            </w:tcBorders>
            <w:shd w:val="clear" w:color="auto" w:fill="auto"/>
            <w:noWrap/>
            <w:vAlign w:val="center"/>
          </w:tcPr>
          <w:p w14:paraId="5AE65CA3"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6</w:t>
            </w:r>
          </w:p>
        </w:tc>
        <w:tc>
          <w:tcPr>
            <w:tcW w:w="621" w:type="dxa"/>
            <w:tcBorders>
              <w:top w:val="nil"/>
              <w:left w:val="nil"/>
              <w:bottom w:val="nil"/>
              <w:right w:val="nil"/>
            </w:tcBorders>
            <w:shd w:val="clear" w:color="auto" w:fill="auto"/>
            <w:noWrap/>
            <w:vAlign w:val="center"/>
          </w:tcPr>
          <w:p w14:paraId="527CAF62"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1.5</w:t>
            </w:r>
          </w:p>
        </w:tc>
        <w:tc>
          <w:tcPr>
            <w:tcW w:w="1146" w:type="dxa"/>
            <w:tcBorders>
              <w:top w:val="nil"/>
              <w:left w:val="nil"/>
              <w:bottom w:val="nil"/>
              <w:right w:val="single" w:sz="4" w:space="0" w:color="000000"/>
            </w:tcBorders>
            <w:shd w:val="clear" w:color="auto" w:fill="auto"/>
            <w:noWrap/>
            <w:vAlign w:val="center"/>
          </w:tcPr>
          <w:p w14:paraId="14611819"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(0.2, 2.9)</w:t>
            </w:r>
          </w:p>
        </w:tc>
        <w:tc>
          <w:tcPr>
            <w:tcW w:w="536" w:type="dxa"/>
            <w:tcBorders>
              <w:top w:val="nil"/>
              <w:left w:val="single" w:sz="4" w:space="0" w:color="000000"/>
              <w:bottom w:val="nil"/>
              <w:right w:val="nil"/>
            </w:tcBorders>
            <w:shd w:val="clear" w:color="auto" w:fill="auto"/>
            <w:vAlign w:val="center"/>
          </w:tcPr>
          <w:p w14:paraId="6BE63439"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8</w:t>
            </w:r>
          </w:p>
        </w:tc>
        <w:tc>
          <w:tcPr>
            <w:tcW w:w="567" w:type="dxa"/>
            <w:tcBorders>
              <w:top w:val="nil"/>
              <w:left w:val="nil"/>
              <w:bottom w:val="nil"/>
              <w:right w:val="nil"/>
            </w:tcBorders>
            <w:shd w:val="clear" w:color="auto" w:fill="auto"/>
            <w:vAlign w:val="center"/>
          </w:tcPr>
          <w:p w14:paraId="796E50EF"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2.4</w:t>
            </w:r>
          </w:p>
        </w:tc>
        <w:tc>
          <w:tcPr>
            <w:tcW w:w="1146" w:type="dxa"/>
            <w:tcBorders>
              <w:top w:val="nil"/>
              <w:left w:val="nil"/>
              <w:bottom w:val="nil"/>
              <w:right w:val="single" w:sz="4" w:space="0" w:color="auto"/>
            </w:tcBorders>
            <w:shd w:val="clear" w:color="auto" w:fill="auto"/>
            <w:vAlign w:val="center"/>
          </w:tcPr>
          <w:p w14:paraId="1823E620"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(0.5, 4.4)</w:t>
            </w:r>
          </w:p>
        </w:tc>
        <w:tc>
          <w:tcPr>
            <w:tcW w:w="536" w:type="dxa"/>
            <w:tcBorders>
              <w:top w:val="nil"/>
              <w:left w:val="single" w:sz="4" w:space="0" w:color="auto"/>
              <w:bottom w:val="nil"/>
              <w:right w:val="nil"/>
            </w:tcBorders>
            <w:shd w:val="clear" w:color="auto" w:fill="auto"/>
            <w:vAlign w:val="center"/>
          </w:tcPr>
          <w:p w14:paraId="3440127F"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w:t>
            </w:r>
          </w:p>
        </w:tc>
        <w:tc>
          <w:tcPr>
            <w:tcW w:w="576" w:type="dxa"/>
            <w:tcBorders>
              <w:top w:val="nil"/>
              <w:left w:val="nil"/>
              <w:bottom w:val="nil"/>
              <w:right w:val="nil"/>
            </w:tcBorders>
            <w:shd w:val="clear" w:color="auto" w:fill="auto"/>
            <w:vAlign w:val="center"/>
          </w:tcPr>
          <w:p w14:paraId="191266CF"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0.7</w:t>
            </w:r>
          </w:p>
        </w:tc>
        <w:tc>
          <w:tcPr>
            <w:tcW w:w="1146" w:type="dxa"/>
            <w:tcBorders>
              <w:top w:val="nil"/>
              <w:left w:val="nil"/>
              <w:bottom w:val="nil"/>
              <w:right w:val="nil"/>
            </w:tcBorders>
            <w:shd w:val="clear" w:color="auto" w:fill="auto"/>
            <w:vAlign w:val="center"/>
          </w:tcPr>
          <w:p w14:paraId="71FED06A" w14:textId="77777777" w:rsidR="0013235A" w:rsidRPr="00CE46F7" w:rsidRDefault="002F172C"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CE46F7" w14:paraId="6D0C3007"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0B61097F" w14:textId="77777777" w:rsidR="0013235A" w:rsidRPr="00CE46F7" w:rsidRDefault="0013235A" w:rsidP="007B4EF8">
            <w:pPr>
              <w:spacing w:before="20" w:after="20"/>
              <w:ind w:left="34"/>
              <w:rPr>
                <w:rFonts w:eastAsiaTheme="minorEastAsia"/>
                <w:b w:val="0"/>
                <w:sz w:val="18"/>
                <w:szCs w:val="18"/>
                <w:lang w:eastAsia="en-US"/>
              </w:rPr>
            </w:pPr>
            <w:r w:rsidRPr="00CE46F7">
              <w:rPr>
                <w:rFonts w:eastAsiaTheme="minorEastAsia"/>
                <w:b w:val="0"/>
                <w:sz w:val="18"/>
                <w:szCs w:val="18"/>
                <w:lang w:eastAsia="en-US"/>
              </w:rPr>
              <w:t>At least once a month</w:t>
            </w:r>
          </w:p>
        </w:tc>
        <w:tc>
          <w:tcPr>
            <w:tcW w:w="536" w:type="dxa"/>
            <w:tcBorders>
              <w:top w:val="nil"/>
              <w:left w:val="nil"/>
              <w:bottom w:val="nil"/>
              <w:right w:val="nil"/>
            </w:tcBorders>
            <w:shd w:val="clear" w:color="auto" w:fill="auto"/>
            <w:noWrap/>
            <w:vAlign w:val="center"/>
          </w:tcPr>
          <w:p w14:paraId="24B5FF57"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w:t>
            </w:r>
          </w:p>
        </w:tc>
        <w:tc>
          <w:tcPr>
            <w:tcW w:w="579" w:type="dxa"/>
            <w:tcBorders>
              <w:top w:val="nil"/>
              <w:left w:val="nil"/>
              <w:bottom w:val="nil"/>
              <w:right w:val="nil"/>
            </w:tcBorders>
            <w:shd w:val="clear" w:color="auto" w:fill="auto"/>
            <w:noWrap/>
            <w:vAlign w:val="center"/>
          </w:tcPr>
          <w:p w14:paraId="75117AE7"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0.2</w:t>
            </w:r>
          </w:p>
        </w:tc>
        <w:tc>
          <w:tcPr>
            <w:tcW w:w="1146" w:type="dxa"/>
            <w:tcBorders>
              <w:top w:val="nil"/>
              <w:left w:val="nil"/>
              <w:bottom w:val="nil"/>
              <w:right w:val="single" w:sz="4" w:space="0" w:color="auto"/>
            </w:tcBorders>
            <w:shd w:val="clear" w:color="auto" w:fill="auto"/>
            <w:noWrap/>
            <w:vAlign w:val="center"/>
          </w:tcPr>
          <w:p w14:paraId="3AA4E901" w14:textId="77777777" w:rsidR="0013235A" w:rsidRPr="00CE46F7" w:rsidRDefault="002F172C"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auto"/>
              <w:bottom w:val="nil"/>
              <w:right w:val="nil"/>
            </w:tcBorders>
            <w:shd w:val="clear" w:color="auto" w:fill="auto"/>
            <w:noWrap/>
            <w:vAlign w:val="center"/>
          </w:tcPr>
          <w:p w14:paraId="638B9338"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0</w:t>
            </w:r>
          </w:p>
        </w:tc>
        <w:tc>
          <w:tcPr>
            <w:tcW w:w="621" w:type="dxa"/>
            <w:tcBorders>
              <w:top w:val="nil"/>
              <w:left w:val="nil"/>
              <w:bottom w:val="nil"/>
              <w:right w:val="nil"/>
            </w:tcBorders>
            <w:shd w:val="clear" w:color="auto" w:fill="auto"/>
            <w:noWrap/>
            <w:vAlign w:val="center"/>
          </w:tcPr>
          <w:p w14:paraId="7C9BAC99"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w:t>
            </w:r>
          </w:p>
        </w:tc>
        <w:tc>
          <w:tcPr>
            <w:tcW w:w="1146" w:type="dxa"/>
            <w:tcBorders>
              <w:top w:val="nil"/>
              <w:left w:val="nil"/>
              <w:bottom w:val="nil"/>
              <w:right w:val="single" w:sz="4" w:space="0" w:color="000000"/>
            </w:tcBorders>
            <w:shd w:val="clear" w:color="auto" w:fill="auto"/>
            <w:noWrap/>
            <w:vAlign w:val="center"/>
          </w:tcPr>
          <w:p w14:paraId="7B3960F1"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536" w:type="dxa"/>
            <w:tcBorders>
              <w:top w:val="nil"/>
              <w:left w:val="single" w:sz="4" w:space="0" w:color="000000"/>
              <w:bottom w:val="nil"/>
              <w:right w:val="nil"/>
            </w:tcBorders>
            <w:shd w:val="clear" w:color="auto" w:fill="auto"/>
            <w:vAlign w:val="center"/>
          </w:tcPr>
          <w:p w14:paraId="6348E506"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w:t>
            </w:r>
          </w:p>
        </w:tc>
        <w:tc>
          <w:tcPr>
            <w:tcW w:w="567" w:type="dxa"/>
            <w:tcBorders>
              <w:top w:val="nil"/>
              <w:left w:val="nil"/>
              <w:bottom w:val="nil"/>
              <w:right w:val="nil"/>
            </w:tcBorders>
            <w:shd w:val="clear" w:color="auto" w:fill="auto"/>
            <w:vAlign w:val="center"/>
          </w:tcPr>
          <w:p w14:paraId="7E871189"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0.3</w:t>
            </w:r>
          </w:p>
        </w:tc>
        <w:tc>
          <w:tcPr>
            <w:tcW w:w="1146" w:type="dxa"/>
            <w:tcBorders>
              <w:top w:val="nil"/>
              <w:left w:val="nil"/>
              <w:bottom w:val="nil"/>
              <w:right w:val="single" w:sz="4" w:space="0" w:color="auto"/>
            </w:tcBorders>
            <w:shd w:val="clear" w:color="auto" w:fill="auto"/>
            <w:vAlign w:val="center"/>
          </w:tcPr>
          <w:p w14:paraId="1EB8A65D" w14:textId="77777777" w:rsidR="0013235A" w:rsidRPr="00CE46F7" w:rsidRDefault="002F172C"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auto"/>
              <w:bottom w:val="nil"/>
              <w:right w:val="nil"/>
            </w:tcBorders>
            <w:shd w:val="clear" w:color="auto" w:fill="auto"/>
            <w:vAlign w:val="center"/>
          </w:tcPr>
          <w:p w14:paraId="2CD2FF59"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w:t>
            </w:r>
          </w:p>
        </w:tc>
        <w:tc>
          <w:tcPr>
            <w:tcW w:w="576" w:type="dxa"/>
            <w:tcBorders>
              <w:top w:val="nil"/>
              <w:left w:val="nil"/>
              <w:bottom w:val="nil"/>
              <w:right w:val="nil"/>
            </w:tcBorders>
            <w:shd w:val="clear" w:color="auto" w:fill="auto"/>
            <w:vAlign w:val="center"/>
          </w:tcPr>
          <w:p w14:paraId="359AD0B3"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0.4</w:t>
            </w:r>
          </w:p>
        </w:tc>
        <w:tc>
          <w:tcPr>
            <w:tcW w:w="1146" w:type="dxa"/>
            <w:tcBorders>
              <w:top w:val="nil"/>
              <w:left w:val="nil"/>
              <w:bottom w:val="nil"/>
              <w:right w:val="nil"/>
            </w:tcBorders>
            <w:shd w:val="clear" w:color="auto" w:fill="auto"/>
            <w:vAlign w:val="center"/>
          </w:tcPr>
          <w:p w14:paraId="0F4534ED" w14:textId="77777777" w:rsidR="0013235A" w:rsidRPr="00CE46F7" w:rsidRDefault="002F172C"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9118DA" w:rsidRPr="00CE46F7" w14:paraId="2F279B25"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nil"/>
              <w:right w:val="nil"/>
            </w:tcBorders>
            <w:shd w:val="clear" w:color="auto" w:fill="auto"/>
          </w:tcPr>
          <w:p w14:paraId="079B64C6" w14:textId="77777777" w:rsidR="0013235A" w:rsidRPr="00CE46F7" w:rsidRDefault="0013235A" w:rsidP="007B4EF8">
            <w:pPr>
              <w:spacing w:before="20" w:after="20"/>
              <w:ind w:left="34"/>
              <w:rPr>
                <w:rFonts w:eastAsiaTheme="minorEastAsia"/>
                <w:b w:val="0"/>
                <w:sz w:val="18"/>
                <w:szCs w:val="18"/>
                <w:lang w:eastAsia="en-US"/>
              </w:rPr>
            </w:pPr>
            <w:r w:rsidRPr="00CE46F7">
              <w:rPr>
                <w:rFonts w:eastAsiaTheme="minorEastAsia"/>
                <w:b w:val="0"/>
                <w:sz w:val="18"/>
                <w:szCs w:val="18"/>
                <w:lang w:eastAsia="en-US"/>
              </w:rPr>
              <w:t>Less than once a month</w:t>
            </w:r>
          </w:p>
        </w:tc>
        <w:tc>
          <w:tcPr>
            <w:tcW w:w="536" w:type="dxa"/>
            <w:tcBorders>
              <w:top w:val="nil"/>
              <w:left w:val="nil"/>
              <w:bottom w:val="nil"/>
              <w:right w:val="nil"/>
            </w:tcBorders>
            <w:shd w:val="clear" w:color="auto" w:fill="auto"/>
            <w:noWrap/>
            <w:vAlign w:val="center"/>
          </w:tcPr>
          <w:p w14:paraId="6F75A684"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w:t>
            </w:r>
          </w:p>
        </w:tc>
        <w:tc>
          <w:tcPr>
            <w:tcW w:w="579" w:type="dxa"/>
            <w:tcBorders>
              <w:top w:val="nil"/>
              <w:left w:val="nil"/>
              <w:bottom w:val="nil"/>
              <w:right w:val="nil"/>
            </w:tcBorders>
            <w:shd w:val="clear" w:color="auto" w:fill="auto"/>
            <w:noWrap/>
            <w:vAlign w:val="center"/>
          </w:tcPr>
          <w:p w14:paraId="0F8204B3"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0.4</w:t>
            </w:r>
          </w:p>
        </w:tc>
        <w:tc>
          <w:tcPr>
            <w:tcW w:w="1146" w:type="dxa"/>
            <w:tcBorders>
              <w:top w:val="nil"/>
              <w:left w:val="nil"/>
              <w:bottom w:val="nil"/>
              <w:right w:val="single" w:sz="4" w:space="0" w:color="auto"/>
            </w:tcBorders>
            <w:shd w:val="clear" w:color="auto" w:fill="auto"/>
            <w:noWrap/>
            <w:vAlign w:val="center"/>
          </w:tcPr>
          <w:p w14:paraId="09FB0C7D" w14:textId="77777777" w:rsidR="0013235A" w:rsidRPr="00CE46F7" w:rsidRDefault="002F172C"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auto"/>
              <w:bottom w:val="nil"/>
              <w:right w:val="nil"/>
            </w:tcBorders>
            <w:shd w:val="clear" w:color="auto" w:fill="auto"/>
            <w:noWrap/>
            <w:vAlign w:val="center"/>
          </w:tcPr>
          <w:p w14:paraId="7F1AD97E"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w:t>
            </w:r>
          </w:p>
        </w:tc>
        <w:tc>
          <w:tcPr>
            <w:tcW w:w="621" w:type="dxa"/>
            <w:tcBorders>
              <w:top w:val="nil"/>
              <w:left w:val="nil"/>
              <w:bottom w:val="nil"/>
              <w:right w:val="nil"/>
            </w:tcBorders>
            <w:shd w:val="clear" w:color="auto" w:fill="auto"/>
            <w:noWrap/>
            <w:vAlign w:val="center"/>
          </w:tcPr>
          <w:p w14:paraId="4416BEEB"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0.7</w:t>
            </w:r>
          </w:p>
        </w:tc>
        <w:tc>
          <w:tcPr>
            <w:tcW w:w="1146" w:type="dxa"/>
            <w:tcBorders>
              <w:top w:val="nil"/>
              <w:left w:val="nil"/>
              <w:bottom w:val="nil"/>
              <w:right w:val="single" w:sz="4" w:space="0" w:color="000000"/>
            </w:tcBorders>
            <w:shd w:val="clear" w:color="auto" w:fill="auto"/>
            <w:noWrap/>
            <w:vAlign w:val="center"/>
          </w:tcPr>
          <w:p w14:paraId="37A718DC" w14:textId="77777777" w:rsidR="0013235A" w:rsidRPr="00CE46F7" w:rsidRDefault="002F172C"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36" w:type="dxa"/>
            <w:tcBorders>
              <w:top w:val="nil"/>
              <w:left w:val="single" w:sz="4" w:space="0" w:color="000000"/>
              <w:bottom w:val="nil"/>
              <w:right w:val="nil"/>
            </w:tcBorders>
            <w:shd w:val="clear" w:color="auto" w:fill="auto"/>
            <w:vAlign w:val="center"/>
          </w:tcPr>
          <w:p w14:paraId="20718172"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4</w:t>
            </w:r>
          </w:p>
        </w:tc>
        <w:tc>
          <w:tcPr>
            <w:tcW w:w="567" w:type="dxa"/>
            <w:tcBorders>
              <w:top w:val="nil"/>
              <w:left w:val="nil"/>
              <w:bottom w:val="nil"/>
              <w:right w:val="nil"/>
            </w:tcBorders>
            <w:shd w:val="clear" w:color="auto" w:fill="auto"/>
            <w:vAlign w:val="center"/>
          </w:tcPr>
          <w:p w14:paraId="3D7FBDDE"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1.3</w:t>
            </w:r>
          </w:p>
        </w:tc>
        <w:tc>
          <w:tcPr>
            <w:tcW w:w="1146" w:type="dxa"/>
            <w:tcBorders>
              <w:top w:val="nil"/>
              <w:left w:val="nil"/>
              <w:bottom w:val="nil"/>
              <w:right w:val="single" w:sz="4" w:space="0" w:color="auto"/>
            </w:tcBorders>
            <w:shd w:val="clear" w:color="auto" w:fill="auto"/>
            <w:vAlign w:val="center"/>
          </w:tcPr>
          <w:p w14:paraId="68A3C41D"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(0.0, 2.6)</w:t>
            </w:r>
          </w:p>
        </w:tc>
        <w:tc>
          <w:tcPr>
            <w:tcW w:w="536" w:type="dxa"/>
            <w:tcBorders>
              <w:top w:val="nil"/>
              <w:left w:val="single" w:sz="4" w:space="0" w:color="auto"/>
              <w:bottom w:val="nil"/>
              <w:right w:val="nil"/>
            </w:tcBorders>
            <w:shd w:val="clear" w:color="auto" w:fill="auto"/>
            <w:vAlign w:val="center"/>
          </w:tcPr>
          <w:p w14:paraId="6DA77DE6"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0</w:t>
            </w:r>
          </w:p>
        </w:tc>
        <w:tc>
          <w:tcPr>
            <w:tcW w:w="576" w:type="dxa"/>
            <w:tcBorders>
              <w:top w:val="nil"/>
              <w:left w:val="nil"/>
              <w:bottom w:val="nil"/>
              <w:right w:val="nil"/>
            </w:tcBorders>
            <w:shd w:val="clear" w:color="auto" w:fill="auto"/>
            <w:vAlign w:val="center"/>
          </w:tcPr>
          <w:p w14:paraId="4D95D9F0"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w:t>
            </w:r>
          </w:p>
        </w:tc>
        <w:tc>
          <w:tcPr>
            <w:tcW w:w="1146" w:type="dxa"/>
            <w:tcBorders>
              <w:top w:val="nil"/>
              <w:left w:val="nil"/>
              <w:bottom w:val="nil"/>
              <w:right w:val="nil"/>
            </w:tcBorders>
            <w:shd w:val="clear" w:color="auto" w:fill="auto"/>
            <w:vAlign w:val="center"/>
          </w:tcPr>
          <w:p w14:paraId="08D6AFEC"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118DA" w:rsidRPr="00CE46F7" w14:paraId="6B7C74AE" w14:textId="77777777" w:rsidTr="00826105">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left w:val="nil"/>
              <w:bottom w:val="single" w:sz="4" w:space="0" w:color="auto"/>
              <w:right w:val="nil"/>
            </w:tcBorders>
            <w:shd w:val="clear" w:color="auto" w:fill="auto"/>
          </w:tcPr>
          <w:p w14:paraId="1D77ACF1" w14:textId="77777777" w:rsidR="0013235A" w:rsidRPr="00CE46F7" w:rsidRDefault="0013235A" w:rsidP="007B4EF8">
            <w:pPr>
              <w:spacing w:before="20" w:after="20"/>
              <w:ind w:left="34"/>
              <w:rPr>
                <w:rFonts w:eastAsiaTheme="minorEastAsia"/>
                <w:b w:val="0"/>
                <w:sz w:val="18"/>
                <w:szCs w:val="18"/>
                <w:lang w:eastAsia="en-US"/>
              </w:rPr>
            </w:pPr>
            <w:r w:rsidRPr="00CE46F7">
              <w:rPr>
                <w:rFonts w:eastAsiaTheme="minorEastAsia"/>
                <w:b w:val="0"/>
                <w:sz w:val="18"/>
                <w:szCs w:val="18"/>
                <w:lang w:eastAsia="en-US"/>
              </w:rPr>
              <w:t>Never smoked</w:t>
            </w:r>
          </w:p>
        </w:tc>
        <w:tc>
          <w:tcPr>
            <w:tcW w:w="536" w:type="dxa"/>
            <w:tcBorders>
              <w:top w:val="nil"/>
              <w:left w:val="nil"/>
              <w:bottom w:val="single" w:sz="4" w:space="0" w:color="auto"/>
              <w:right w:val="nil"/>
            </w:tcBorders>
            <w:shd w:val="clear" w:color="auto" w:fill="auto"/>
            <w:noWrap/>
            <w:vAlign w:val="center"/>
          </w:tcPr>
          <w:p w14:paraId="13324C81"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516</w:t>
            </w:r>
          </w:p>
        </w:tc>
        <w:tc>
          <w:tcPr>
            <w:tcW w:w="579" w:type="dxa"/>
            <w:tcBorders>
              <w:top w:val="nil"/>
              <w:left w:val="nil"/>
              <w:bottom w:val="single" w:sz="4" w:space="0" w:color="auto"/>
              <w:right w:val="nil"/>
            </w:tcBorders>
            <w:shd w:val="clear" w:color="auto" w:fill="auto"/>
            <w:noWrap/>
            <w:vAlign w:val="center"/>
          </w:tcPr>
          <w:p w14:paraId="0BADB820"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81.0</w:t>
            </w:r>
          </w:p>
        </w:tc>
        <w:tc>
          <w:tcPr>
            <w:tcW w:w="1146" w:type="dxa"/>
            <w:tcBorders>
              <w:top w:val="nil"/>
              <w:left w:val="nil"/>
              <w:bottom w:val="single" w:sz="4" w:space="0" w:color="auto"/>
              <w:right w:val="single" w:sz="4" w:space="0" w:color="auto"/>
            </w:tcBorders>
            <w:shd w:val="clear" w:color="auto" w:fill="auto"/>
            <w:noWrap/>
            <w:vAlign w:val="center"/>
          </w:tcPr>
          <w:p w14:paraId="227D4D23"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(77.8, 84.2)</w:t>
            </w:r>
          </w:p>
        </w:tc>
        <w:tc>
          <w:tcPr>
            <w:tcW w:w="536" w:type="dxa"/>
            <w:tcBorders>
              <w:top w:val="nil"/>
              <w:left w:val="single" w:sz="4" w:space="0" w:color="auto"/>
              <w:bottom w:val="single" w:sz="4" w:space="0" w:color="auto"/>
              <w:right w:val="nil"/>
            </w:tcBorders>
            <w:shd w:val="clear" w:color="auto" w:fill="auto"/>
            <w:noWrap/>
            <w:vAlign w:val="center"/>
          </w:tcPr>
          <w:p w14:paraId="3C050351"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308</w:t>
            </w:r>
          </w:p>
        </w:tc>
        <w:tc>
          <w:tcPr>
            <w:tcW w:w="621" w:type="dxa"/>
            <w:tcBorders>
              <w:top w:val="nil"/>
              <w:left w:val="nil"/>
              <w:bottom w:val="single" w:sz="4" w:space="0" w:color="auto"/>
              <w:right w:val="nil"/>
            </w:tcBorders>
            <w:shd w:val="clear" w:color="auto" w:fill="auto"/>
            <w:noWrap/>
            <w:vAlign w:val="center"/>
          </w:tcPr>
          <w:p w14:paraId="275D1ED5"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83.4</w:t>
            </w:r>
          </w:p>
        </w:tc>
        <w:tc>
          <w:tcPr>
            <w:tcW w:w="1146" w:type="dxa"/>
            <w:tcBorders>
              <w:top w:val="nil"/>
              <w:left w:val="nil"/>
              <w:bottom w:val="single" w:sz="4" w:space="0" w:color="auto"/>
              <w:right w:val="single" w:sz="4" w:space="0" w:color="000000"/>
            </w:tcBorders>
            <w:shd w:val="clear" w:color="auto" w:fill="auto"/>
            <w:noWrap/>
            <w:vAlign w:val="center"/>
          </w:tcPr>
          <w:p w14:paraId="3A749424"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(79.4, 87.5)</w:t>
            </w:r>
          </w:p>
        </w:tc>
        <w:tc>
          <w:tcPr>
            <w:tcW w:w="536" w:type="dxa"/>
            <w:tcBorders>
              <w:top w:val="nil"/>
              <w:left w:val="single" w:sz="4" w:space="0" w:color="000000"/>
              <w:bottom w:val="single" w:sz="4" w:space="0" w:color="auto"/>
              <w:right w:val="nil"/>
            </w:tcBorders>
            <w:shd w:val="clear" w:color="auto" w:fill="auto"/>
            <w:vAlign w:val="center"/>
          </w:tcPr>
          <w:p w14:paraId="2563FCDA"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255</w:t>
            </w:r>
          </w:p>
        </w:tc>
        <w:tc>
          <w:tcPr>
            <w:tcW w:w="567" w:type="dxa"/>
            <w:tcBorders>
              <w:top w:val="nil"/>
              <w:left w:val="nil"/>
              <w:bottom w:val="single" w:sz="4" w:space="0" w:color="auto"/>
              <w:right w:val="nil"/>
            </w:tcBorders>
            <w:shd w:val="clear" w:color="auto" w:fill="auto"/>
            <w:vAlign w:val="center"/>
          </w:tcPr>
          <w:p w14:paraId="07E7ED86"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82.3</w:t>
            </w:r>
          </w:p>
        </w:tc>
        <w:tc>
          <w:tcPr>
            <w:tcW w:w="1146" w:type="dxa"/>
            <w:tcBorders>
              <w:top w:val="nil"/>
              <w:left w:val="nil"/>
              <w:bottom w:val="single" w:sz="4" w:space="0" w:color="auto"/>
              <w:right w:val="single" w:sz="4" w:space="0" w:color="auto"/>
            </w:tcBorders>
            <w:shd w:val="clear" w:color="auto" w:fill="auto"/>
            <w:vAlign w:val="center"/>
          </w:tcPr>
          <w:p w14:paraId="678FD53D"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(77.3, 87.2)</w:t>
            </w:r>
          </w:p>
        </w:tc>
        <w:tc>
          <w:tcPr>
            <w:tcW w:w="536" w:type="dxa"/>
            <w:tcBorders>
              <w:top w:val="nil"/>
              <w:left w:val="single" w:sz="4" w:space="0" w:color="auto"/>
              <w:bottom w:val="single" w:sz="4" w:space="0" w:color="auto"/>
              <w:right w:val="nil"/>
            </w:tcBorders>
            <w:shd w:val="clear" w:color="auto" w:fill="auto"/>
            <w:vAlign w:val="center"/>
          </w:tcPr>
          <w:p w14:paraId="13F481C5"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232</w:t>
            </w:r>
          </w:p>
        </w:tc>
        <w:tc>
          <w:tcPr>
            <w:tcW w:w="576" w:type="dxa"/>
            <w:tcBorders>
              <w:top w:val="nil"/>
              <w:left w:val="nil"/>
              <w:bottom w:val="single" w:sz="4" w:space="0" w:color="auto"/>
              <w:right w:val="nil"/>
            </w:tcBorders>
            <w:shd w:val="clear" w:color="auto" w:fill="auto"/>
            <w:vAlign w:val="center"/>
          </w:tcPr>
          <w:p w14:paraId="262318AB"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82.9</w:t>
            </w:r>
          </w:p>
        </w:tc>
        <w:tc>
          <w:tcPr>
            <w:tcW w:w="1146" w:type="dxa"/>
            <w:tcBorders>
              <w:top w:val="nil"/>
              <w:left w:val="nil"/>
              <w:bottom w:val="single" w:sz="4" w:space="0" w:color="auto"/>
              <w:right w:val="nil"/>
            </w:tcBorders>
            <w:shd w:val="clear" w:color="auto" w:fill="auto"/>
            <w:vAlign w:val="center"/>
          </w:tcPr>
          <w:p w14:paraId="2B761125" w14:textId="77777777" w:rsidR="0013235A" w:rsidRPr="00CE46F7" w:rsidRDefault="0013235A" w:rsidP="007B4EF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E46F7">
              <w:rPr>
                <w:color w:val="000000"/>
                <w:sz w:val="18"/>
                <w:szCs w:val="18"/>
              </w:rPr>
              <w:t>(77.5, 88.2)</w:t>
            </w:r>
          </w:p>
        </w:tc>
      </w:tr>
    </w:tbl>
    <w:p w14:paraId="209538EA" w14:textId="77777777" w:rsidR="0013235A" w:rsidRPr="00CE46F7" w:rsidRDefault="0013235A" w:rsidP="00CE46F7">
      <w:pPr>
        <w:ind w:left="709"/>
        <w:rPr>
          <w:sz w:val="18"/>
        </w:rPr>
      </w:pPr>
      <w:r w:rsidRPr="00CE46F7">
        <w:rPr>
          <w:sz w:val="18"/>
        </w:rPr>
        <w:t>Data weighted for 2013 Census data (all waves) and attrition (Waves 2, 3 and 4)</w:t>
      </w:r>
    </w:p>
    <w:p w14:paraId="17B52CAC" w14:textId="77777777" w:rsidR="0013235A" w:rsidRDefault="0013235A" w:rsidP="00CE46F7">
      <w:pPr>
        <w:pStyle w:val="RepNormal"/>
        <w:ind w:left="709"/>
        <w:rPr>
          <w:sz w:val="18"/>
        </w:rPr>
      </w:pPr>
      <w:r w:rsidRPr="00CE46F7">
        <w:rPr>
          <w:sz w:val="18"/>
        </w:rPr>
        <w:t>Wave 1 N=6,251; Wave 2 N=3,745; Wave 3 N=3,115; Wave 4 N=2,770</w:t>
      </w:r>
    </w:p>
    <w:p w14:paraId="1C7F76C9" w14:textId="77777777" w:rsidR="002F172C" w:rsidRPr="002F172C" w:rsidRDefault="002F172C" w:rsidP="002F172C">
      <w:pPr>
        <w:spacing w:after="200" w:line="276" w:lineRule="auto"/>
        <w:ind w:left="709"/>
        <w:rPr>
          <w:sz w:val="18"/>
        </w:rPr>
      </w:pPr>
      <w:r w:rsidRPr="002F172C">
        <w:rPr>
          <w:sz w:val="18"/>
        </w:rPr>
        <w:t>! Meaningful confidence intervals not calculable due to small sample size</w:t>
      </w:r>
    </w:p>
    <w:p w14:paraId="60FCCE9D" w14:textId="77777777" w:rsidR="002F172C" w:rsidRPr="00CE46F7" w:rsidRDefault="002F172C" w:rsidP="00CE46F7">
      <w:pPr>
        <w:pStyle w:val="RepNormal"/>
        <w:ind w:left="709"/>
        <w:rPr>
          <w:sz w:val="18"/>
        </w:rPr>
      </w:pPr>
    </w:p>
    <w:p w14:paraId="5D8F55D1" w14:textId="77777777" w:rsidR="007B5A0A" w:rsidRDefault="007B5A0A">
      <w:pPr>
        <w:spacing w:after="200" w:line="276" w:lineRule="auto"/>
        <w:rPr>
          <w:rFonts w:eastAsiaTheme="majorEastAsia" w:cstheme="majorBidi"/>
          <w:b/>
          <w:bCs/>
          <w:caps/>
          <w:szCs w:val="28"/>
          <w:lang w:eastAsia="en-US"/>
        </w:rPr>
      </w:pPr>
    </w:p>
    <w:p w14:paraId="5EDC2BA2" w14:textId="77777777" w:rsidR="007B5A0A" w:rsidRDefault="007B5A0A">
      <w:pPr>
        <w:spacing w:after="200" w:line="276" w:lineRule="auto"/>
        <w:rPr>
          <w:rFonts w:eastAsiaTheme="majorEastAsia" w:cstheme="majorBidi"/>
          <w:b/>
          <w:bCs/>
          <w:caps/>
          <w:szCs w:val="28"/>
          <w:lang w:eastAsia="en-US"/>
        </w:rPr>
      </w:pPr>
    </w:p>
    <w:p w14:paraId="3F82D798" w14:textId="77777777" w:rsidR="007B4EF8" w:rsidRDefault="007B4EF8">
      <w:pPr>
        <w:spacing w:after="200" w:line="276" w:lineRule="auto"/>
        <w:rPr>
          <w:rFonts w:eastAsiaTheme="majorEastAsia" w:cstheme="majorBidi"/>
          <w:b/>
          <w:bCs/>
          <w:caps/>
          <w:szCs w:val="28"/>
          <w:lang w:eastAsia="en-US"/>
        </w:rPr>
      </w:pPr>
      <w:r>
        <w:rPr>
          <w:rFonts w:eastAsiaTheme="majorEastAsia" w:cstheme="majorBidi"/>
          <w:b/>
          <w:bCs/>
          <w:caps/>
          <w:szCs w:val="28"/>
          <w:lang w:eastAsia="en-US"/>
        </w:rPr>
        <w:br w:type="page"/>
      </w:r>
    </w:p>
    <w:p w14:paraId="1995B1B8" w14:textId="5B68E815" w:rsidR="00D9465C" w:rsidRDefault="00D9465C" w:rsidP="00D9465C">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pPr>
      <w:bookmarkStart w:id="212" w:name="_Toc504488412"/>
      <w:r>
        <w:t>APPENDIX 19:</w:t>
      </w:r>
      <w:r>
        <w:br/>
      </w:r>
      <w:r>
        <w:rPr>
          <w:caps w:val="0"/>
        </w:rPr>
        <w:t>Typical month</w:t>
      </w:r>
      <w:r w:rsidR="00BE7E11">
        <w:rPr>
          <w:caps w:val="0"/>
        </w:rPr>
        <w:t>ly</w:t>
      </w:r>
      <w:r>
        <w:rPr>
          <w:caps w:val="0"/>
        </w:rPr>
        <w:t xml:space="preserve"> EGM expenditure by gambling risk level for Waves 1, 2, 3 and 4</w:t>
      </w:r>
      <w:bookmarkEnd w:id="212"/>
    </w:p>
    <w:p w14:paraId="1ECFAEF8" w14:textId="77777777" w:rsidR="00D9465C" w:rsidRDefault="00D9465C" w:rsidP="00D9465C">
      <w:pPr>
        <w:rPr>
          <w:rFonts w:eastAsiaTheme="majorEastAsia" w:cstheme="majorBidi"/>
          <w:b/>
          <w:bCs/>
          <w:caps/>
          <w:szCs w:val="28"/>
          <w:lang w:eastAsia="en-US"/>
        </w:rPr>
      </w:pPr>
    </w:p>
    <w:tbl>
      <w:tblPr>
        <w:tblW w:w="13202" w:type="dxa"/>
        <w:tblInd w:w="142" w:type="dxa"/>
        <w:tblLayout w:type="fixed"/>
        <w:tblLook w:val="04A0" w:firstRow="1" w:lastRow="0" w:firstColumn="1" w:lastColumn="0" w:noHBand="0" w:noVBand="1"/>
      </w:tblPr>
      <w:tblGrid>
        <w:gridCol w:w="1559"/>
        <w:gridCol w:w="1090"/>
        <w:gridCol w:w="611"/>
        <w:gridCol w:w="709"/>
        <w:gridCol w:w="1361"/>
        <w:gridCol w:w="539"/>
        <w:gridCol w:w="778"/>
        <w:gridCol w:w="1361"/>
        <w:gridCol w:w="539"/>
        <w:gridCol w:w="778"/>
        <w:gridCol w:w="1280"/>
        <w:gridCol w:w="539"/>
        <w:gridCol w:w="778"/>
        <w:gridCol w:w="1280"/>
      </w:tblGrid>
      <w:tr w:rsidR="00D9465C" w:rsidRPr="00EA483D" w14:paraId="6C05D1C1" w14:textId="77777777" w:rsidTr="00DD0F28">
        <w:tc>
          <w:tcPr>
            <w:tcW w:w="1559" w:type="dxa"/>
            <w:tcBorders>
              <w:top w:val="single" w:sz="4" w:space="0" w:color="auto"/>
              <w:left w:val="nil"/>
              <w:bottom w:val="nil"/>
              <w:right w:val="nil"/>
            </w:tcBorders>
            <w:shd w:val="clear" w:color="auto" w:fill="auto"/>
            <w:noWrap/>
            <w:vAlign w:val="bottom"/>
            <w:hideMark/>
          </w:tcPr>
          <w:p w14:paraId="207832BE" w14:textId="77777777" w:rsidR="00D9465C" w:rsidRPr="00EA483D" w:rsidRDefault="00D9465C" w:rsidP="00DD0F28">
            <w:pPr>
              <w:spacing w:after="20"/>
              <w:rPr>
                <w:sz w:val="16"/>
                <w:szCs w:val="16"/>
                <w:lang w:eastAsia="en-NZ"/>
              </w:rPr>
            </w:pPr>
          </w:p>
        </w:tc>
        <w:tc>
          <w:tcPr>
            <w:tcW w:w="1090" w:type="dxa"/>
            <w:tcBorders>
              <w:top w:val="single" w:sz="4" w:space="0" w:color="auto"/>
              <w:left w:val="nil"/>
              <w:bottom w:val="nil"/>
              <w:right w:val="nil"/>
            </w:tcBorders>
            <w:shd w:val="clear" w:color="auto" w:fill="auto"/>
            <w:noWrap/>
            <w:vAlign w:val="bottom"/>
            <w:hideMark/>
          </w:tcPr>
          <w:p w14:paraId="3E3F63E9" w14:textId="77777777" w:rsidR="00D9465C" w:rsidRPr="00EA483D" w:rsidRDefault="00D9465C" w:rsidP="00DD0F28">
            <w:pPr>
              <w:spacing w:after="20"/>
              <w:rPr>
                <w:sz w:val="16"/>
                <w:szCs w:val="16"/>
                <w:lang w:eastAsia="en-NZ"/>
              </w:rPr>
            </w:pPr>
          </w:p>
        </w:tc>
        <w:tc>
          <w:tcPr>
            <w:tcW w:w="26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E8C706" w14:textId="77777777" w:rsidR="00D9465C" w:rsidRPr="00F41D43" w:rsidRDefault="00D9465C" w:rsidP="00DD0F28">
            <w:pPr>
              <w:spacing w:after="20"/>
              <w:jc w:val="center"/>
              <w:rPr>
                <w:b/>
                <w:sz w:val="16"/>
                <w:szCs w:val="16"/>
                <w:lang w:eastAsia="en-NZ"/>
              </w:rPr>
            </w:pPr>
            <w:r w:rsidRPr="00F41D43">
              <w:rPr>
                <w:b/>
                <w:color w:val="000000"/>
                <w:sz w:val="16"/>
                <w:szCs w:val="16"/>
                <w:lang w:eastAsia="en-NZ"/>
              </w:rPr>
              <w:t>Wave 1</w:t>
            </w:r>
          </w:p>
        </w:tc>
        <w:tc>
          <w:tcPr>
            <w:tcW w:w="2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801CE" w14:textId="77777777" w:rsidR="00D9465C" w:rsidRPr="00F41D43" w:rsidRDefault="00D9465C" w:rsidP="00DD0F28">
            <w:pPr>
              <w:spacing w:after="20"/>
              <w:jc w:val="center"/>
              <w:rPr>
                <w:b/>
                <w:sz w:val="16"/>
                <w:szCs w:val="16"/>
                <w:lang w:eastAsia="en-NZ"/>
              </w:rPr>
            </w:pPr>
            <w:r w:rsidRPr="00F41D43">
              <w:rPr>
                <w:b/>
                <w:color w:val="000000"/>
                <w:sz w:val="16"/>
                <w:szCs w:val="16"/>
                <w:lang w:eastAsia="en-NZ"/>
              </w:rPr>
              <w:t>Wave 2</w:t>
            </w:r>
          </w:p>
        </w:tc>
        <w:tc>
          <w:tcPr>
            <w:tcW w:w="2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A0066" w14:textId="77777777" w:rsidR="00D9465C" w:rsidRPr="00F41D43" w:rsidRDefault="00D9465C" w:rsidP="00DD0F28">
            <w:pPr>
              <w:spacing w:after="20"/>
              <w:jc w:val="center"/>
              <w:rPr>
                <w:b/>
                <w:sz w:val="16"/>
                <w:szCs w:val="16"/>
                <w:lang w:eastAsia="en-NZ"/>
              </w:rPr>
            </w:pPr>
            <w:r w:rsidRPr="00F41D43">
              <w:rPr>
                <w:b/>
                <w:color w:val="000000"/>
                <w:sz w:val="16"/>
                <w:szCs w:val="16"/>
                <w:lang w:eastAsia="en-NZ"/>
              </w:rPr>
              <w:t>Wave 3</w:t>
            </w:r>
          </w:p>
        </w:tc>
        <w:tc>
          <w:tcPr>
            <w:tcW w:w="2597" w:type="dxa"/>
            <w:gridSpan w:val="3"/>
            <w:tcBorders>
              <w:top w:val="single" w:sz="4" w:space="0" w:color="auto"/>
              <w:left w:val="single" w:sz="4" w:space="0" w:color="auto"/>
              <w:bottom w:val="single" w:sz="4" w:space="0" w:color="auto"/>
              <w:right w:val="nil"/>
            </w:tcBorders>
            <w:shd w:val="clear" w:color="auto" w:fill="auto"/>
            <w:noWrap/>
            <w:vAlign w:val="bottom"/>
            <w:hideMark/>
          </w:tcPr>
          <w:p w14:paraId="204E0440" w14:textId="77777777" w:rsidR="00D9465C" w:rsidRPr="00F41D43" w:rsidRDefault="00D9465C" w:rsidP="00DD0F28">
            <w:pPr>
              <w:spacing w:after="20"/>
              <w:jc w:val="center"/>
              <w:rPr>
                <w:b/>
                <w:sz w:val="16"/>
                <w:szCs w:val="16"/>
                <w:lang w:eastAsia="en-NZ"/>
              </w:rPr>
            </w:pPr>
            <w:r w:rsidRPr="00F41D43">
              <w:rPr>
                <w:b/>
                <w:color w:val="000000"/>
                <w:sz w:val="16"/>
                <w:szCs w:val="16"/>
                <w:lang w:eastAsia="en-NZ"/>
              </w:rPr>
              <w:t>Wave 4</w:t>
            </w:r>
          </w:p>
        </w:tc>
      </w:tr>
      <w:tr w:rsidR="00D9465C" w:rsidRPr="00EA483D" w14:paraId="7E666CCE" w14:textId="77777777" w:rsidTr="00DD0F28">
        <w:tc>
          <w:tcPr>
            <w:tcW w:w="1559" w:type="dxa"/>
            <w:tcBorders>
              <w:top w:val="nil"/>
              <w:left w:val="nil"/>
              <w:bottom w:val="single" w:sz="4" w:space="0" w:color="auto"/>
              <w:right w:val="nil"/>
            </w:tcBorders>
            <w:shd w:val="clear" w:color="auto" w:fill="auto"/>
            <w:noWrap/>
            <w:vAlign w:val="bottom"/>
            <w:hideMark/>
          </w:tcPr>
          <w:p w14:paraId="364CD665" w14:textId="77777777" w:rsidR="00D9465C" w:rsidRPr="00EA483D" w:rsidRDefault="00D9465C" w:rsidP="00DD0F28">
            <w:pPr>
              <w:spacing w:after="20"/>
              <w:rPr>
                <w:b/>
                <w:sz w:val="16"/>
                <w:szCs w:val="16"/>
                <w:lang w:eastAsia="en-NZ"/>
              </w:rPr>
            </w:pPr>
            <w:r w:rsidRPr="00EA483D">
              <w:rPr>
                <w:b/>
                <w:sz w:val="16"/>
                <w:szCs w:val="16"/>
                <w:lang w:eastAsia="en-NZ"/>
              </w:rPr>
              <w:t>Gambling risk level</w:t>
            </w:r>
          </w:p>
        </w:tc>
        <w:tc>
          <w:tcPr>
            <w:tcW w:w="1090" w:type="dxa"/>
            <w:tcBorders>
              <w:top w:val="nil"/>
              <w:left w:val="nil"/>
              <w:bottom w:val="single" w:sz="4" w:space="0" w:color="auto"/>
              <w:right w:val="nil"/>
            </w:tcBorders>
            <w:shd w:val="clear" w:color="auto" w:fill="auto"/>
            <w:noWrap/>
            <w:vAlign w:val="bottom"/>
            <w:hideMark/>
          </w:tcPr>
          <w:p w14:paraId="3CC9AF24" w14:textId="77777777" w:rsidR="00D9465C" w:rsidRPr="00EA483D" w:rsidRDefault="00D9465C" w:rsidP="00DD0F28">
            <w:pPr>
              <w:spacing w:after="20"/>
              <w:rPr>
                <w:b/>
                <w:sz w:val="16"/>
                <w:szCs w:val="16"/>
                <w:lang w:eastAsia="en-NZ"/>
              </w:rPr>
            </w:pPr>
            <w:r w:rsidRPr="00EA483D">
              <w:rPr>
                <w:b/>
                <w:sz w:val="16"/>
                <w:szCs w:val="16"/>
                <w:lang w:eastAsia="en-NZ"/>
              </w:rPr>
              <w:t>EGM venue</w:t>
            </w:r>
          </w:p>
        </w:tc>
        <w:tc>
          <w:tcPr>
            <w:tcW w:w="611" w:type="dxa"/>
            <w:tcBorders>
              <w:top w:val="single" w:sz="4" w:space="0" w:color="auto"/>
              <w:left w:val="nil"/>
              <w:bottom w:val="single" w:sz="4" w:space="0" w:color="auto"/>
              <w:right w:val="nil"/>
            </w:tcBorders>
            <w:shd w:val="clear" w:color="auto" w:fill="auto"/>
            <w:noWrap/>
            <w:vAlign w:val="center"/>
            <w:hideMark/>
          </w:tcPr>
          <w:p w14:paraId="2050D8BD" w14:textId="77777777" w:rsidR="00D9465C" w:rsidRPr="00F41D43" w:rsidRDefault="00D9465C" w:rsidP="00DD0F28">
            <w:pPr>
              <w:spacing w:after="20"/>
              <w:jc w:val="right"/>
              <w:rPr>
                <w:b/>
                <w:color w:val="000000"/>
                <w:sz w:val="16"/>
                <w:szCs w:val="16"/>
                <w:lang w:eastAsia="en-NZ"/>
              </w:rPr>
            </w:pPr>
            <w:r w:rsidRPr="00F41D43">
              <w:rPr>
                <w:b/>
                <w:color w:val="000000"/>
                <w:sz w:val="16"/>
                <w:szCs w:val="16"/>
                <w:lang w:eastAsia="en-NZ"/>
              </w:rPr>
              <w:t>n</w:t>
            </w:r>
          </w:p>
        </w:tc>
        <w:tc>
          <w:tcPr>
            <w:tcW w:w="709" w:type="dxa"/>
            <w:tcBorders>
              <w:top w:val="single" w:sz="4" w:space="0" w:color="auto"/>
              <w:left w:val="nil"/>
              <w:bottom w:val="single" w:sz="4" w:space="0" w:color="auto"/>
              <w:right w:val="nil"/>
            </w:tcBorders>
            <w:shd w:val="clear" w:color="auto" w:fill="auto"/>
            <w:noWrap/>
            <w:vAlign w:val="center"/>
            <w:hideMark/>
          </w:tcPr>
          <w:p w14:paraId="58978A46" w14:textId="77777777" w:rsidR="00D9465C" w:rsidRPr="00F41D43" w:rsidRDefault="00D9465C" w:rsidP="00DD0F28">
            <w:pPr>
              <w:spacing w:after="20"/>
              <w:jc w:val="right"/>
              <w:rPr>
                <w:b/>
                <w:color w:val="000000"/>
                <w:sz w:val="16"/>
                <w:szCs w:val="16"/>
                <w:lang w:eastAsia="en-NZ"/>
              </w:rPr>
            </w:pPr>
            <w:r w:rsidRPr="00F41D43">
              <w:rPr>
                <w:b/>
                <w:color w:val="000000"/>
                <w:sz w:val="16"/>
                <w:szCs w:val="16"/>
                <w:lang w:eastAsia="en-NZ"/>
              </w:rPr>
              <w:t>$</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48A08170" w14:textId="77777777" w:rsidR="00D9465C" w:rsidRPr="00F41D43" w:rsidRDefault="00D9465C" w:rsidP="00DD0F28">
            <w:pPr>
              <w:spacing w:after="20"/>
              <w:jc w:val="right"/>
              <w:rPr>
                <w:b/>
                <w:color w:val="000000"/>
                <w:sz w:val="16"/>
                <w:szCs w:val="16"/>
                <w:lang w:eastAsia="en-NZ"/>
              </w:rPr>
            </w:pPr>
            <w:r w:rsidRPr="00F41D43">
              <w:rPr>
                <w:b/>
                <w:color w:val="000000"/>
                <w:sz w:val="16"/>
                <w:szCs w:val="16"/>
                <w:lang w:eastAsia="en-NZ"/>
              </w:rPr>
              <w:t>(95% CI)</w:t>
            </w:r>
          </w:p>
        </w:tc>
        <w:tc>
          <w:tcPr>
            <w:tcW w:w="539" w:type="dxa"/>
            <w:tcBorders>
              <w:top w:val="single" w:sz="4" w:space="0" w:color="auto"/>
              <w:left w:val="single" w:sz="4" w:space="0" w:color="auto"/>
              <w:bottom w:val="single" w:sz="4" w:space="0" w:color="auto"/>
              <w:right w:val="nil"/>
            </w:tcBorders>
            <w:shd w:val="clear" w:color="auto" w:fill="auto"/>
            <w:noWrap/>
            <w:vAlign w:val="center"/>
            <w:hideMark/>
          </w:tcPr>
          <w:p w14:paraId="50926FA4" w14:textId="77777777" w:rsidR="00D9465C" w:rsidRPr="00F41D43" w:rsidRDefault="00D9465C" w:rsidP="00DD0F28">
            <w:pPr>
              <w:spacing w:after="20"/>
              <w:jc w:val="right"/>
              <w:rPr>
                <w:b/>
                <w:color w:val="000000"/>
                <w:sz w:val="16"/>
                <w:szCs w:val="16"/>
                <w:lang w:eastAsia="en-NZ"/>
              </w:rPr>
            </w:pPr>
            <w:r w:rsidRPr="00F41D43">
              <w:rPr>
                <w:b/>
                <w:color w:val="000000"/>
                <w:sz w:val="16"/>
                <w:szCs w:val="16"/>
                <w:lang w:eastAsia="en-NZ"/>
              </w:rPr>
              <w:t>n</w:t>
            </w:r>
          </w:p>
        </w:tc>
        <w:tc>
          <w:tcPr>
            <w:tcW w:w="778" w:type="dxa"/>
            <w:tcBorders>
              <w:top w:val="single" w:sz="4" w:space="0" w:color="auto"/>
              <w:left w:val="nil"/>
              <w:bottom w:val="single" w:sz="4" w:space="0" w:color="auto"/>
              <w:right w:val="nil"/>
            </w:tcBorders>
            <w:shd w:val="clear" w:color="auto" w:fill="auto"/>
            <w:noWrap/>
            <w:vAlign w:val="center"/>
            <w:hideMark/>
          </w:tcPr>
          <w:p w14:paraId="1CD1CB22" w14:textId="77777777" w:rsidR="00D9465C" w:rsidRPr="00F41D43" w:rsidRDefault="00D9465C" w:rsidP="00DD0F28">
            <w:pPr>
              <w:spacing w:after="20"/>
              <w:jc w:val="right"/>
              <w:rPr>
                <w:b/>
                <w:color w:val="000000"/>
                <w:sz w:val="16"/>
                <w:szCs w:val="16"/>
                <w:lang w:eastAsia="en-NZ"/>
              </w:rPr>
            </w:pPr>
            <w:r w:rsidRPr="00F41D43">
              <w:rPr>
                <w:b/>
                <w:color w:val="000000"/>
                <w:sz w:val="16"/>
                <w:szCs w:val="16"/>
                <w:lang w:eastAsia="en-NZ"/>
              </w:rPr>
              <w:t>$</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376AA80D" w14:textId="77777777" w:rsidR="00D9465C" w:rsidRPr="00F41D43" w:rsidRDefault="00D9465C" w:rsidP="00DD0F28">
            <w:pPr>
              <w:spacing w:after="20"/>
              <w:jc w:val="right"/>
              <w:rPr>
                <w:b/>
                <w:color w:val="000000"/>
                <w:sz w:val="16"/>
                <w:szCs w:val="16"/>
                <w:lang w:eastAsia="en-NZ"/>
              </w:rPr>
            </w:pPr>
            <w:r w:rsidRPr="00F41D43">
              <w:rPr>
                <w:b/>
                <w:color w:val="000000"/>
                <w:sz w:val="16"/>
                <w:szCs w:val="16"/>
                <w:lang w:eastAsia="en-NZ"/>
              </w:rPr>
              <w:t>(95% CI)</w:t>
            </w:r>
          </w:p>
        </w:tc>
        <w:tc>
          <w:tcPr>
            <w:tcW w:w="539" w:type="dxa"/>
            <w:tcBorders>
              <w:top w:val="single" w:sz="4" w:space="0" w:color="auto"/>
              <w:left w:val="single" w:sz="4" w:space="0" w:color="auto"/>
              <w:bottom w:val="single" w:sz="4" w:space="0" w:color="auto"/>
              <w:right w:val="nil"/>
            </w:tcBorders>
            <w:shd w:val="clear" w:color="auto" w:fill="auto"/>
            <w:noWrap/>
            <w:vAlign w:val="center"/>
            <w:hideMark/>
          </w:tcPr>
          <w:p w14:paraId="11BDC641" w14:textId="77777777" w:rsidR="00D9465C" w:rsidRPr="00F41D43" w:rsidRDefault="00D9465C" w:rsidP="00DD0F28">
            <w:pPr>
              <w:spacing w:after="20"/>
              <w:jc w:val="right"/>
              <w:rPr>
                <w:b/>
                <w:color w:val="000000"/>
                <w:sz w:val="16"/>
                <w:szCs w:val="16"/>
                <w:lang w:eastAsia="en-NZ"/>
              </w:rPr>
            </w:pPr>
            <w:r w:rsidRPr="00F41D43">
              <w:rPr>
                <w:b/>
                <w:color w:val="000000"/>
                <w:sz w:val="16"/>
                <w:szCs w:val="16"/>
                <w:lang w:eastAsia="en-NZ"/>
              </w:rPr>
              <w:t>n</w:t>
            </w:r>
          </w:p>
        </w:tc>
        <w:tc>
          <w:tcPr>
            <w:tcW w:w="778" w:type="dxa"/>
            <w:tcBorders>
              <w:top w:val="single" w:sz="4" w:space="0" w:color="auto"/>
              <w:left w:val="nil"/>
              <w:bottom w:val="single" w:sz="4" w:space="0" w:color="auto"/>
              <w:right w:val="nil"/>
            </w:tcBorders>
            <w:shd w:val="clear" w:color="auto" w:fill="auto"/>
            <w:noWrap/>
            <w:vAlign w:val="center"/>
            <w:hideMark/>
          </w:tcPr>
          <w:p w14:paraId="386B62B0" w14:textId="77777777" w:rsidR="00D9465C" w:rsidRPr="00F41D43" w:rsidRDefault="00D9465C" w:rsidP="00DD0F28">
            <w:pPr>
              <w:spacing w:after="20"/>
              <w:jc w:val="right"/>
              <w:rPr>
                <w:b/>
                <w:color w:val="000000"/>
                <w:sz w:val="16"/>
                <w:szCs w:val="16"/>
                <w:lang w:eastAsia="en-NZ"/>
              </w:rPr>
            </w:pPr>
            <w:r w:rsidRPr="00F41D43">
              <w:rPr>
                <w:b/>
                <w:color w:val="000000"/>
                <w:sz w:val="16"/>
                <w:szCs w:val="16"/>
                <w:lang w:eastAsia="en-NZ"/>
              </w:rPr>
              <w:t>$</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0AB5C0D3" w14:textId="77777777" w:rsidR="00D9465C" w:rsidRPr="00F41D43" w:rsidRDefault="00D9465C" w:rsidP="00DD0F28">
            <w:pPr>
              <w:spacing w:after="20"/>
              <w:jc w:val="right"/>
              <w:rPr>
                <w:b/>
                <w:color w:val="000000"/>
                <w:sz w:val="16"/>
                <w:szCs w:val="16"/>
                <w:lang w:eastAsia="en-NZ"/>
              </w:rPr>
            </w:pPr>
            <w:r w:rsidRPr="00F41D43">
              <w:rPr>
                <w:b/>
                <w:color w:val="000000"/>
                <w:sz w:val="16"/>
                <w:szCs w:val="16"/>
                <w:lang w:eastAsia="en-NZ"/>
              </w:rPr>
              <w:t>(95% CI)</w:t>
            </w:r>
          </w:p>
        </w:tc>
        <w:tc>
          <w:tcPr>
            <w:tcW w:w="539" w:type="dxa"/>
            <w:tcBorders>
              <w:top w:val="single" w:sz="4" w:space="0" w:color="auto"/>
              <w:left w:val="single" w:sz="4" w:space="0" w:color="auto"/>
              <w:bottom w:val="single" w:sz="4" w:space="0" w:color="auto"/>
              <w:right w:val="nil"/>
            </w:tcBorders>
            <w:shd w:val="clear" w:color="auto" w:fill="auto"/>
            <w:noWrap/>
            <w:vAlign w:val="center"/>
            <w:hideMark/>
          </w:tcPr>
          <w:p w14:paraId="79B30BAE" w14:textId="77777777" w:rsidR="00D9465C" w:rsidRPr="00F41D43" w:rsidRDefault="00D9465C" w:rsidP="00DD0F28">
            <w:pPr>
              <w:spacing w:after="20"/>
              <w:jc w:val="right"/>
              <w:rPr>
                <w:b/>
                <w:color w:val="000000"/>
                <w:sz w:val="16"/>
                <w:szCs w:val="16"/>
                <w:lang w:eastAsia="en-NZ"/>
              </w:rPr>
            </w:pPr>
            <w:r w:rsidRPr="00F41D43">
              <w:rPr>
                <w:b/>
                <w:color w:val="000000"/>
                <w:sz w:val="16"/>
                <w:szCs w:val="16"/>
                <w:lang w:eastAsia="en-NZ"/>
              </w:rPr>
              <w:t>n</w:t>
            </w:r>
          </w:p>
        </w:tc>
        <w:tc>
          <w:tcPr>
            <w:tcW w:w="778" w:type="dxa"/>
            <w:tcBorders>
              <w:top w:val="single" w:sz="4" w:space="0" w:color="auto"/>
              <w:left w:val="nil"/>
              <w:bottom w:val="single" w:sz="4" w:space="0" w:color="auto"/>
              <w:right w:val="nil"/>
            </w:tcBorders>
            <w:shd w:val="clear" w:color="auto" w:fill="auto"/>
            <w:noWrap/>
            <w:vAlign w:val="center"/>
            <w:hideMark/>
          </w:tcPr>
          <w:p w14:paraId="64D418C8" w14:textId="77777777" w:rsidR="00D9465C" w:rsidRPr="00F41D43" w:rsidRDefault="00D9465C" w:rsidP="00DD0F28">
            <w:pPr>
              <w:spacing w:after="20"/>
              <w:jc w:val="right"/>
              <w:rPr>
                <w:b/>
                <w:color w:val="000000"/>
                <w:sz w:val="16"/>
                <w:szCs w:val="16"/>
                <w:lang w:eastAsia="en-NZ"/>
              </w:rPr>
            </w:pPr>
            <w:r w:rsidRPr="00F41D43">
              <w:rPr>
                <w:b/>
                <w:color w:val="000000"/>
                <w:sz w:val="16"/>
                <w:szCs w:val="16"/>
                <w:lang w:eastAsia="en-NZ"/>
              </w:rPr>
              <w:t>$</w:t>
            </w:r>
          </w:p>
        </w:tc>
        <w:tc>
          <w:tcPr>
            <w:tcW w:w="1280" w:type="dxa"/>
            <w:tcBorders>
              <w:top w:val="single" w:sz="4" w:space="0" w:color="auto"/>
              <w:left w:val="nil"/>
              <w:bottom w:val="single" w:sz="4" w:space="0" w:color="auto"/>
              <w:right w:val="nil"/>
            </w:tcBorders>
            <w:shd w:val="clear" w:color="auto" w:fill="auto"/>
            <w:noWrap/>
            <w:vAlign w:val="center"/>
            <w:hideMark/>
          </w:tcPr>
          <w:p w14:paraId="37C79330" w14:textId="77777777" w:rsidR="00D9465C" w:rsidRPr="00F41D43" w:rsidRDefault="00D9465C" w:rsidP="00DD0F28">
            <w:pPr>
              <w:spacing w:after="20"/>
              <w:jc w:val="right"/>
              <w:rPr>
                <w:b/>
                <w:color w:val="000000"/>
                <w:sz w:val="16"/>
                <w:szCs w:val="16"/>
                <w:lang w:eastAsia="en-NZ"/>
              </w:rPr>
            </w:pPr>
            <w:r w:rsidRPr="00F41D43">
              <w:rPr>
                <w:b/>
                <w:color w:val="000000"/>
                <w:sz w:val="16"/>
                <w:szCs w:val="16"/>
                <w:lang w:eastAsia="en-NZ"/>
              </w:rPr>
              <w:t>(95% CI)</w:t>
            </w:r>
          </w:p>
        </w:tc>
      </w:tr>
      <w:tr w:rsidR="00D9465C" w:rsidRPr="00EA483D" w14:paraId="0652D891" w14:textId="77777777" w:rsidTr="00DD0F28">
        <w:tc>
          <w:tcPr>
            <w:tcW w:w="1559" w:type="dxa"/>
            <w:vMerge w:val="restart"/>
            <w:tcBorders>
              <w:top w:val="single" w:sz="4" w:space="0" w:color="auto"/>
              <w:left w:val="nil"/>
              <w:right w:val="nil"/>
            </w:tcBorders>
            <w:shd w:val="clear" w:color="auto" w:fill="auto"/>
            <w:noWrap/>
            <w:hideMark/>
          </w:tcPr>
          <w:p w14:paraId="3A6908E8"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Non-problem gambler</w:t>
            </w:r>
          </w:p>
        </w:tc>
        <w:tc>
          <w:tcPr>
            <w:tcW w:w="1090" w:type="dxa"/>
            <w:tcBorders>
              <w:top w:val="single" w:sz="4" w:space="0" w:color="auto"/>
              <w:left w:val="nil"/>
              <w:bottom w:val="nil"/>
              <w:right w:val="nil"/>
            </w:tcBorders>
            <w:shd w:val="clear" w:color="auto" w:fill="auto"/>
            <w:noWrap/>
            <w:vAlign w:val="center"/>
            <w:hideMark/>
          </w:tcPr>
          <w:p w14:paraId="6A877FAD"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Casino</w:t>
            </w:r>
          </w:p>
        </w:tc>
        <w:tc>
          <w:tcPr>
            <w:tcW w:w="611" w:type="dxa"/>
            <w:tcBorders>
              <w:top w:val="single" w:sz="4" w:space="0" w:color="auto"/>
              <w:left w:val="nil"/>
              <w:bottom w:val="nil"/>
              <w:right w:val="nil"/>
            </w:tcBorders>
            <w:shd w:val="clear" w:color="auto" w:fill="auto"/>
            <w:noWrap/>
            <w:vAlign w:val="center"/>
            <w:hideMark/>
          </w:tcPr>
          <w:p w14:paraId="6B39F00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380</w:t>
            </w:r>
          </w:p>
        </w:tc>
        <w:tc>
          <w:tcPr>
            <w:tcW w:w="709" w:type="dxa"/>
            <w:tcBorders>
              <w:top w:val="single" w:sz="4" w:space="0" w:color="auto"/>
              <w:left w:val="nil"/>
              <w:bottom w:val="nil"/>
              <w:right w:val="nil"/>
            </w:tcBorders>
            <w:shd w:val="clear" w:color="auto" w:fill="auto"/>
            <w:noWrap/>
            <w:vAlign w:val="center"/>
            <w:hideMark/>
          </w:tcPr>
          <w:p w14:paraId="28BB2B9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40.22 </w:t>
            </w:r>
          </w:p>
        </w:tc>
        <w:tc>
          <w:tcPr>
            <w:tcW w:w="1361" w:type="dxa"/>
            <w:tcBorders>
              <w:top w:val="single" w:sz="4" w:space="0" w:color="auto"/>
              <w:left w:val="nil"/>
              <w:bottom w:val="nil"/>
              <w:right w:val="single" w:sz="4" w:space="0" w:color="auto"/>
            </w:tcBorders>
            <w:shd w:val="clear" w:color="auto" w:fill="auto"/>
            <w:noWrap/>
            <w:vAlign w:val="center"/>
            <w:hideMark/>
          </w:tcPr>
          <w:p w14:paraId="2F8520D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(31.23, 49.21)</w:t>
            </w:r>
          </w:p>
        </w:tc>
        <w:tc>
          <w:tcPr>
            <w:tcW w:w="539" w:type="dxa"/>
            <w:tcBorders>
              <w:top w:val="single" w:sz="4" w:space="0" w:color="auto"/>
              <w:left w:val="single" w:sz="4" w:space="0" w:color="auto"/>
              <w:bottom w:val="nil"/>
              <w:right w:val="nil"/>
            </w:tcBorders>
            <w:shd w:val="clear" w:color="auto" w:fill="auto"/>
            <w:noWrap/>
            <w:vAlign w:val="center"/>
            <w:hideMark/>
          </w:tcPr>
          <w:p w14:paraId="2149CD2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155</w:t>
            </w:r>
          </w:p>
        </w:tc>
        <w:tc>
          <w:tcPr>
            <w:tcW w:w="778" w:type="dxa"/>
            <w:tcBorders>
              <w:top w:val="single" w:sz="4" w:space="0" w:color="auto"/>
              <w:left w:val="nil"/>
              <w:bottom w:val="nil"/>
              <w:right w:val="nil"/>
            </w:tcBorders>
            <w:shd w:val="clear" w:color="auto" w:fill="auto"/>
            <w:noWrap/>
            <w:vAlign w:val="center"/>
            <w:hideMark/>
          </w:tcPr>
          <w:p w14:paraId="274FD3A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34.28 </w:t>
            </w:r>
          </w:p>
        </w:tc>
        <w:tc>
          <w:tcPr>
            <w:tcW w:w="1361" w:type="dxa"/>
            <w:tcBorders>
              <w:top w:val="single" w:sz="4" w:space="0" w:color="auto"/>
              <w:left w:val="nil"/>
              <w:bottom w:val="nil"/>
              <w:right w:val="single" w:sz="4" w:space="0" w:color="auto"/>
            </w:tcBorders>
            <w:shd w:val="clear" w:color="auto" w:fill="auto"/>
            <w:noWrap/>
            <w:vAlign w:val="center"/>
            <w:hideMark/>
          </w:tcPr>
          <w:p w14:paraId="3C77143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(25.71, 42.86)</w:t>
            </w:r>
          </w:p>
        </w:tc>
        <w:tc>
          <w:tcPr>
            <w:tcW w:w="539" w:type="dxa"/>
            <w:tcBorders>
              <w:top w:val="single" w:sz="4" w:space="0" w:color="auto"/>
              <w:left w:val="single" w:sz="4" w:space="0" w:color="auto"/>
              <w:bottom w:val="nil"/>
              <w:right w:val="nil"/>
            </w:tcBorders>
            <w:shd w:val="clear" w:color="auto" w:fill="auto"/>
            <w:noWrap/>
            <w:vAlign w:val="center"/>
            <w:hideMark/>
          </w:tcPr>
          <w:p w14:paraId="3F4E7EE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154</w:t>
            </w:r>
          </w:p>
        </w:tc>
        <w:tc>
          <w:tcPr>
            <w:tcW w:w="778" w:type="dxa"/>
            <w:tcBorders>
              <w:top w:val="single" w:sz="4" w:space="0" w:color="auto"/>
              <w:left w:val="nil"/>
              <w:bottom w:val="nil"/>
              <w:right w:val="nil"/>
            </w:tcBorders>
            <w:shd w:val="clear" w:color="auto" w:fill="auto"/>
            <w:noWrap/>
            <w:vAlign w:val="center"/>
            <w:hideMark/>
          </w:tcPr>
          <w:p w14:paraId="4168563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33.58 </w:t>
            </w:r>
          </w:p>
        </w:tc>
        <w:tc>
          <w:tcPr>
            <w:tcW w:w="1280" w:type="dxa"/>
            <w:tcBorders>
              <w:top w:val="single" w:sz="4" w:space="0" w:color="auto"/>
              <w:left w:val="nil"/>
              <w:bottom w:val="nil"/>
              <w:right w:val="single" w:sz="4" w:space="0" w:color="auto"/>
            </w:tcBorders>
            <w:shd w:val="clear" w:color="auto" w:fill="auto"/>
            <w:noWrap/>
            <w:vAlign w:val="center"/>
            <w:hideMark/>
          </w:tcPr>
          <w:p w14:paraId="5AC0491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(26.67, 40.48)</w:t>
            </w:r>
          </w:p>
        </w:tc>
        <w:tc>
          <w:tcPr>
            <w:tcW w:w="539" w:type="dxa"/>
            <w:tcBorders>
              <w:top w:val="single" w:sz="4" w:space="0" w:color="auto"/>
              <w:left w:val="single" w:sz="4" w:space="0" w:color="auto"/>
              <w:bottom w:val="nil"/>
              <w:right w:val="nil"/>
            </w:tcBorders>
            <w:shd w:val="clear" w:color="auto" w:fill="auto"/>
            <w:noWrap/>
            <w:vAlign w:val="center"/>
            <w:hideMark/>
          </w:tcPr>
          <w:p w14:paraId="1DC080F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118</w:t>
            </w:r>
          </w:p>
        </w:tc>
        <w:tc>
          <w:tcPr>
            <w:tcW w:w="778" w:type="dxa"/>
            <w:tcBorders>
              <w:top w:val="single" w:sz="4" w:space="0" w:color="auto"/>
              <w:left w:val="nil"/>
              <w:bottom w:val="nil"/>
              <w:right w:val="nil"/>
            </w:tcBorders>
            <w:shd w:val="clear" w:color="auto" w:fill="auto"/>
            <w:noWrap/>
            <w:vAlign w:val="center"/>
            <w:hideMark/>
          </w:tcPr>
          <w:p w14:paraId="7D1FA75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32.81 </w:t>
            </w:r>
          </w:p>
        </w:tc>
        <w:tc>
          <w:tcPr>
            <w:tcW w:w="1280" w:type="dxa"/>
            <w:tcBorders>
              <w:top w:val="single" w:sz="4" w:space="0" w:color="auto"/>
              <w:left w:val="nil"/>
              <w:bottom w:val="nil"/>
              <w:right w:val="nil"/>
            </w:tcBorders>
            <w:shd w:val="clear" w:color="auto" w:fill="auto"/>
            <w:noWrap/>
            <w:vAlign w:val="center"/>
            <w:hideMark/>
          </w:tcPr>
          <w:p w14:paraId="4263B63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(26.13, 39.50)</w:t>
            </w:r>
          </w:p>
        </w:tc>
      </w:tr>
      <w:tr w:rsidR="00D9465C" w:rsidRPr="00EA483D" w14:paraId="31D5651C" w14:textId="77777777" w:rsidTr="00DD0F28">
        <w:tc>
          <w:tcPr>
            <w:tcW w:w="1559" w:type="dxa"/>
            <w:vMerge/>
            <w:tcBorders>
              <w:left w:val="nil"/>
              <w:bottom w:val="nil"/>
              <w:right w:val="nil"/>
            </w:tcBorders>
            <w:shd w:val="clear" w:color="auto" w:fill="auto"/>
            <w:noWrap/>
            <w:hideMark/>
          </w:tcPr>
          <w:p w14:paraId="334AF211" w14:textId="77777777" w:rsidR="00D9465C" w:rsidRPr="005E3FD2" w:rsidRDefault="00D9465C" w:rsidP="00DD0F28">
            <w:pPr>
              <w:spacing w:after="20"/>
              <w:rPr>
                <w:color w:val="000000"/>
                <w:sz w:val="16"/>
                <w:szCs w:val="16"/>
                <w:lang w:eastAsia="en-NZ"/>
              </w:rPr>
            </w:pPr>
          </w:p>
        </w:tc>
        <w:tc>
          <w:tcPr>
            <w:tcW w:w="1090" w:type="dxa"/>
            <w:tcBorders>
              <w:top w:val="nil"/>
              <w:left w:val="nil"/>
              <w:bottom w:val="nil"/>
              <w:right w:val="nil"/>
            </w:tcBorders>
            <w:shd w:val="clear" w:color="auto" w:fill="auto"/>
            <w:noWrap/>
            <w:vAlign w:val="center"/>
            <w:hideMark/>
          </w:tcPr>
          <w:p w14:paraId="5D354347"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Pub</w:t>
            </w:r>
          </w:p>
        </w:tc>
        <w:tc>
          <w:tcPr>
            <w:tcW w:w="611" w:type="dxa"/>
            <w:tcBorders>
              <w:top w:val="nil"/>
              <w:left w:val="nil"/>
              <w:bottom w:val="nil"/>
              <w:right w:val="nil"/>
            </w:tcBorders>
            <w:shd w:val="clear" w:color="auto" w:fill="auto"/>
            <w:noWrap/>
            <w:vAlign w:val="center"/>
            <w:hideMark/>
          </w:tcPr>
          <w:p w14:paraId="5F62D11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519</w:t>
            </w:r>
          </w:p>
        </w:tc>
        <w:tc>
          <w:tcPr>
            <w:tcW w:w="709" w:type="dxa"/>
            <w:tcBorders>
              <w:top w:val="nil"/>
              <w:left w:val="nil"/>
              <w:bottom w:val="nil"/>
              <w:right w:val="nil"/>
            </w:tcBorders>
            <w:shd w:val="clear" w:color="auto" w:fill="auto"/>
            <w:noWrap/>
            <w:vAlign w:val="center"/>
            <w:hideMark/>
          </w:tcPr>
          <w:p w14:paraId="6CFD029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21.80 </w:t>
            </w:r>
          </w:p>
        </w:tc>
        <w:tc>
          <w:tcPr>
            <w:tcW w:w="1361" w:type="dxa"/>
            <w:tcBorders>
              <w:top w:val="nil"/>
              <w:left w:val="nil"/>
              <w:bottom w:val="nil"/>
              <w:right w:val="single" w:sz="4" w:space="0" w:color="auto"/>
            </w:tcBorders>
            <w:shd w:val="clear" w:color="auto" w:fill="auto"/>
            <w:noWrap/>
            <w:vAlign w:val="center"/>
            <w:hideMark/>
          </w:tcPr>
          <w:p w14:paraId="4159A93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(19.19, 24.40)</w:t>
            </w:r>
          </w:p>
        </w:tc>
        <w:tc>
          <w:tcPr>
            <w:tcW w:w="539" w:type="dxa"/>
            <w:tcBorders>
              <w:top w:val="nil"/>
              <w:left w:val="single" w:sz="4" w:space="0" w:color="auto"/>
              <w:bottom w:val="nil"/>
              <w:right w:val="nil"/>
            </w:tcBorders>
            <w:shd w:val="clear" w:color="auto" w:fill="auto"/>
            <w:noWrap/>
            <w:vAlign w:val="center"/>
            <w:hideMark/>
          </w:tcPr>
          <w:p w14:paraId="27BD396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224</w:t>
            </w:r>
          </w:p>
        </w:tc>
        <w:tc>
          <w:tcPr>
            <w:tcW w:w="778" w:type="dxa"/>
            <w:tcBorders>
              <w:top w:val="nil"/>
              <w:left w:val="nil"/>
              <w:bottom w:val="nil"/>
              <w:right w:val="nil"/>
            </w:tcBorders>
            <w:shd w:val="clear" w:color="auto" w:fill="auto"/>
            <w:noWrap/>
            <w:vAlign w:val="center"/>
            <w:hideMark/>
          </w:tcPr>
          <w:p w14:paraId="214F4A5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20.04 </w:t>
            </w:r>
          </w:p>
        </w:tc>
        <w:tc>
          <w:tcPr>
            <w:tcW w:w="1361" w:type="dxa"/>
            <w:tcBorders>
              <w:top w:val="nil"/>
              <w:left w:val="nil"/>
              <w:bottom w:val="nil"/>
              <w:right w:val="single" w:sz="4" w:space="0" w:color="auto"/>
            </w:tcBorders>
            <w:shd w:val="clear" w:color="auto" w:fill="auto"/>
            <w:noWrap/>
            <w:vAlign w:val="center"/>
            <w:hideMark/>
          </w:tcPr>
          <w:p w14:paraId="79E4522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(16.31, 23.77)</w:t>
            </w:r>
          </w:p>
        </w:tc>
        <w:tc>
          <w:tcPr>
            <w:tcW w:w="539" w:type="dxa"/>
            <w:tcBorders>
              <w:top w:val="nil"/>
              <w:left w:val="single" w:sz="4" w:space="0" w:color="auto"/>
              <w:bottom w:val="nil"/>
              <w:right w:val="nil"/>
            </w:tcBorders>
            <w:shd w:val="clear" w:color="auto" w:fill="auto"/>
            <w:noWrap/>
            <w:vAlign w:val="center"/>
            <w:hideMark/>
          </w:tcPr>
          <w:p w14:paraId="4730C53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195</w:t>
            </w:r>
          </w:p>
        </w:tc>
        <w:tc>
          <w:tcPr>
            <w:tcW w:w="778" w:type="dxa"/>
            <w:tcBorders>
              <w:top w:val="nil"/>
              <w:left w:val="nil"/>
              <w:bottom w:val="nil"/>
              <w:right w:val="nil"/>
            </w:tcBorders>
            <w:shd w:val="clear" w:color="auto" w:fill="auto"/>
            <w:noWrap/>
            <w:vAlign w:val="center"/>
            <w:hideMark/>
          </w:tcPr>
          <w:p w14:paraId="350A8C0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19.24 </w:t>
            </w:r>
          </w:p>
        </w:tc>
        <w:tc>
          <w:tcPr>
            <w:tcW w:w="1280" w:type="dxa"/>
            <w:tcBorders>
              <w:top w:val="nil"/>
              <w:left w:val="nil"/>
              <w:bottom w:val="nil"/>
              <w:right w:val="single" w:sz="4" w:space="0" w:color="auto"/>
            </w:tcBorders>
            <w:shd w:val="clear" w:color="auto" w:fill="auto"/>
            <w:noWrap/>
            <w:vAlign w:val="center"/>
            <w:hideMark/>
          </w:tcPr>
          <w:p w14:paraId="70AB839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(15.26, 23.22)</w:t>
            </w:r>
          </w:p>
        </w:tc>
        <w:tc>
          <w:tcPr>
            <w:tcW w:w="539" w:type="dxa"/>
            <w:tcBorders>
              <w:top w:val="nil"/>
              <w:left w:val="single" w:sz="4" w:space="0" w:color="auto"/>
              <w:bottom w:val="nil"/>
              <w:right w:val="nil"/>
            </w:tcBorders>
            <w:shd w:val="clear" w:color="auto" w:fill="auto"/>
            <w:noWrap/>
            <w:vAlign w:val="center"/>
            <w:hideMark/>
          </w:tcPr>
          <w:p w14:paraId="7EE54DB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162</w:t>
            </w:r>
          </w:p>
        </w:tc>
        <w:tc>
          <w:tcPr>
            <w:tcW w:w="778" w:type="dxa"/>
            <w:tcBorders>
              <w:top w:val="nil"/>
              <w:left w:val="nil"/>
              <w:bottom w:val="nil"/>
              <w:right w:val="nil"/>
            </w:tcBorders>
            <w:shd w:val="clear" w:color="auto" w:fill="auto"/>
            <w:noWrap/>
            <w:vAlign w:val="center"/>
            <w:hideMark/>
          </w:tcPr>
          <w:p w14:paraId="3DE449E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24.65 </w:t>
            </w:r>
          </w:p>
        </w:tc>
        <w:tc>
          <w:tcPr>
            <w:tcW w:w="1280" w:type="dxa"/>
            <w:tcBorders>
              <w:top w:val="nil"/>
              <w:left w:val="nil"/>
              <w:bottom w:val="nil"/>
              <w:right w:val="nil"/>
            </w:tcBorders>
            <w:shd w:val="clear" w:color="auto" w:fill="auto"/>
            <w:noWrap/>
            <w:vAlign w:val="center"/>
            <w:hideMark/>
          </w:tcPr>
          <w:p w14:paraId="79F4726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(18.72, 30.59)</w:t>
            </w:r>
          </w:p>
        </w:tc>
      </w:tr>
      <w:tr w:rsidR="00D9465C" w:rsidRPr="00EA483D" w14:paraId="29193B94" w14:textId="77777777" w:rsidTr="00DD0F28">
        <w:tc>
          <w:tcPr>
            <w:tcW w:w="1559" w:type="dxa"/>
            <w:tcBorders>
              <w:top w:val="nil"/>
              <w:left w:val="nil"/>
              <w:bottom w:val="nil"/>
              <w:right w:val="nil"/>
            </w:tcBorders>
            <w:shd w:val="clear" w:color="auto" w:fill="auto"/>
            <w:noWrap/>
            <w:hideMark/>
          </w:tcPr>
          <w:p w14:paraId="6294A389" w14:textId="77777777" w:rsidR="00D9465C" w:rsidRPr="005E3FD2" w:rsidRDefault="00D9465C" w:rsidP="00DD0F28">
            <w:pPr>
              <w:spacing w:after="20"/>
              <w:rPr>
                <w:color w:val="000000"/>
                <w:sz w:val="16"/>
                <w:szCs w:val="16"/>
                <w:lang w:eastAsia="en-NZ"/>
              </w:rPr>
            </w:pPr>
          </w:p>
        </w:tc>
        <w:tc>
          <w:tcPr>
            <w:tcW w:w="1090" w:type="dxa"/>
            <w:tcBorders>
              <w:top w:val="nil"/>
              <w:left w:val="nil"/>
              <w:bottom w:val="nil"/>
              <w:right w:val="nil"/>
            </w:tcBorders>
            <w:shd w:val="clear" w:color="auto" w:fill="auto"/>
            <w:noWrap/>
            <w:vAlign w:val="center"/>
            <w:hideMark/>
          </w:tcPr>
          <w:p w14:paraId="7B5299BB"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Club</w:t>
            </w:r>
          </w:p>
        </w:tc>
        <w:tc>
          <w:tcPr>
            <w:tcW w:w="611" w:type="dxa"/>
            <w:tcBorders>
              <w:top w:val="nil"/>
              <w:left w:val="nil"/>
              <w:bottom w:val="nil"/>
              <w:right w:val="nil"/>
            </w:tcBorders>
            <w:shd w:val="clear" w:color="auto" w:fill="auto"/>
            <w:noWrap/>
            <w:vAlign w:val="center"/>
            <w:hideMark/>
          </w:tcPr>
          <w:p w14:paraId="2AE0886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267</w:t>
            </w:r>
          </w:p>
        </w:tc>
        <w:tc>
          <w:tcPr>
            <w:tcW w:w="709" w:type="dxa"/>
            <w:tcBorders>
              <w:top w:val="nil"/>
              <w:left w:val="nil"/>
              <w:bottom w:val="nil"/>
              <w:right w:val="nil"/>
            </w:tcBorders>
            <w:shd w:val="clear" w:color="auto" w:fill="auto"/>
            <w:noWrap/>
            <w:vAlign w:val="center"/>
            <w:hideMark/>
          </w:tcPr>
          <w:p w14:paraId="02DDBFC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24.15 </w:t>
            </w:r>
          </w:p>
        </w:tc>
        <w:tc>
          <w:tcPr>
            <w:tcW w:w="1361" w:type="dxa"/>
            <w:tcBorders>
              <w:top w:val="nil"/>
              <w:left w:val="nil"/>
              <w:bottom w:val="nil"/>
              <w:right w:val="single" w:sz="4" w:space="0" w:color="auto"/>
            </w:tcBorders>
            <w:shd w:val="clear" w:color="auto" w:fill="auto"/>
            <w:noWrap/>
            <w:vAlign w:val="center"/>
            <w:hideMark/>
          </w:tcPr>
          <w:p w14:paraId="1013A99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(16.79, 31.50)</w:t>
            </w:r>
          </w:p>
        </w:tc>
        <w:tc>
          <w:tcPr>
            <w:tcW w:w="539" w:type="dxa"/>
            <w:tcBorders>
              <w:top w:val="nil"/>
              <w:left w:val="single" w:sz="4" w:space="0" w:color="auto"/>
              <w:bottom w:val="nil"/>
              <w:right w:val="nil"/>
            </w:tcBorders>
            <w:shd w:val="clear" w:color="auto" w:fill="auto"/>
            <w:noWrap/>
            <w:vAlign w:val="center"/>
            <w:hideMark/>
          </w:tcPr>
          <w:p w14:paraId="5D5CB27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105</w:t>
            </w:r>
          </w:p>
        </w:tc>
        <w:tc>
          <w:tcPr>
            <w:tcW w:w="778" w:type="dxa"/>
            <w:tcBorders>
              <w:top w:val="nil"/>
              <w:left w:val="nil"/>
              <w:bottom w:val="nil"/>
              <w:right w:val="nil"/>
            </w:tcBorders>
            <w:shd w:val="clear" w:color="auto" w:fill="auto"/>
            <w:noWrap/>
            <w:vAlign w:val="center"/>
            <w:hideMark/>
          </w:tcPr>
          <w:p w14:paraId="4838203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17.58 </w:t>
            </w:r>
          </w:p>
        </w:tc>
        <w:tc>
          <w:tcPr>
            <w:tcW w:w="1361" w:type="dxa"/>
            <w:tcBorders>
              <w:top w:val="nil"/>
              <w:left w:val="nil"/>
              <w:bottom w:val="nil"/>
              <w:right w:val="single" w:sz="4" w:space="0" w:color="auto"/>
            </w:tcBorders>
            <w:shd w:val="clear" w:color="auto" w:fill="auto"/>
            <w:noWrap/>
            <w:vAlign w:val="center"/>
            <w:hideMark/>
          </w:tcPr>
          <w:p w14:paraId="2C39417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(13.82, 21.35)</w:t>
            </w:r>
          </w:p>
        </w:tc>
        <w:tc>
          <w:tcPr>
            <w:tcW w:w="539" w:type="dxa"/>
            <w:tcBorders>
              <w:top w:val="nil"/>
              <w:left w:val="single" w:sz="4" w:space="0" w:color="auto"/>
              <w:bottom w:val="nil"/>
              <w:right w:val="nil"/>
            </w:tcBorders>
            <w:shd w:val="clear" w:color="auto" w:fill="auto"/>
            <w:noWrap/>
            <w:vAlign w:val="center"/>
            <w:hideMark/>
          </w:tcPr>
          <w:p w14:paraId="2B91376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99</w:t>
            </w:r>
          </w:p>
        </w:tc>
        <w:tc>
          <w:tcPr>
            <w:tcW w:w="778" w:type="dxa"/>
            <w:tcBorders>
              <w:top w:val="nil"/>
              <w:left w:val="nil"/>
              <w:bottom w:val="nil"/>
              <w:right w:val="nil"/>
            </w:tcBorders>
            <w:shd w:val="clear" w:color="auto" w:fill="auto"/>
            <w:noWrap/>
            <w:vAlign w:val="center"/>
            <w:hideMark/>
          </w:tcPr>
          <w:p w14:paraId="7D06C3E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21.32 </w:t>
            </w:r>
          </w:p>
        </w:tc>
        <w:tc>
          <w:tcPr>
            <w:tcW w:w="1280" w:type="dxa"/>
            <w:tcBorders>
              <w:top w:val="nil"/>
              <w:left w:val="nil"/>
              <w:bottom w:val="nil"/>
              <w:right w:val="single" w:sz="4" w:space="0" w:color="auto"/>
            </w:tcBorders>
            <w:shd w:val="clear" w:color="auto" w:fill="auto"/>
            <w:noWrap/>
            <w:vAlign w:val="center"/>
            <w:hideMark/>
          </w:tcPr>
          <w:p w14:paraId="0796673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(14.56, 28.08)</w:t>
            </w:r>
          </w:p>
        </w:tc>
        <w:tc>
          <w:tcPr>
            <w:tcW w:w="539" w:type="dxa"/>
            <w:tcBorders>
              <w:top w:val="nil"/>
              <w:left w:val="single" w:sz="4" w:space="0" w:color="auto"/>
              <w:bottom w:val="nil"/>
              <w:right w:val="nil"/>
            </w:tcBorders>
            <w:shd w:val="clear" w:color="auto" w:fill="auto"/>
            <w:noWrap/>
            <w:vAlign w:val="center"/>
            <w:hideMark/>
          </w:tcPr>
          <w:p w14:paraId="3001501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79</w:t>
            </w:r>
          </w:p>
        </w:tc>
        <w:tc>
          <w:tcPr>
            <w:tcW w:w="778" w:type="dxa"/>
            <w:tcBorders>
              <w:top w:val="nil"/>
              <w:left w:val="nil"/>
              <w:bottom w:val="nil"/>
              <w:right w:val="nil"/>
            </w:tcBorders>
            <w:shd w:val="clear" w:color="auto" w:fill="auto"/>
            <w:noWrap/>
            <w:vAlign w:val="center"/>
            <w:hideMark/>
          </w:tcPr>
          <w:p w14:paraId="3D69556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22.04 </w:t>
            </w:r>
          </w:p>
        </w:tc>
        <w:tc>
          <w:tcPr>
            <w:tcW w:w="1280" w:type="dxa"/>
            <w:tcBorders>
              <w:top w:val="nil"/>
              <w:left w:val="nil"/>
              <w:bottom w:val="nil"/>
              <w:right w:val="nil"/>
            </w:tcBorders>
            <w:shd w:val="clear" w:color="auto" w:fill="auto"/>
            <w:noWrap/>
            <w:vAlign w:val="center"/>
            <w:hideMark/>
          </w:tcPr>
          <w:p w14:paraId="0CFEE16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(17.32, 26.77)</w:t>
            </w:r>
          </w:p>
        </w:tc>
      </w:tr>
      <w:tr w:rsidR="00D9465C" w:rsidRPr="00EA483D" w14:paraId="05916C48" w14:textId="77777777" w:rsidTr="00DD0F28">
        <w:tc>
          <w:tcPr>
            <w:tcW w:w="1559" w:type="dxa"/>
            <w:tcBorders>
              <w:top w:val="nil"/>
              <w:left w:val="nil"/>
              <w:bottom w:val="nil"/>
              <w:right w:val="nil"/>
            </w:tcBorders>
            <w:shd w:val="clear" w:color="auto" w:fill="auto"/>
            <w:noWrap/>
            <w:hideMark/>
          </w:tcPr>
          <w:p w14:paraId="480F617A" w14:textId="77777777" w:rsidR="00D9465C" w:rsidRPr="005E3FD2" w:rsidRDefault="00D9465C" w:rsidP="00DD0F28">
            <w:pPr>
              <w:spacing w:after="20"/>
              <w:rPr>
                <w:color w:val="000000"/>
                <w:sz w:val="16"/>
                <w:szCs w:val="16"/>
                <w:lang w:eastAsia="en-NZ"/>
              </w:rPr>
            </w:pPr>
          </w:p>
        </w:tc>
        <w:tc>
          <w:tcPr>
            <w:tcW w:w="1090" w:type="dxa"/>
            <w:tcBorders>
              <w:top w:val="nil"/>
              <w:left w:val="nil"/>
              <w:bottom w:val="nil"/>
              <w:right w:val="nil"/>
            </w:tcBorders>
            <w:shd w:val="clear" w:color="auto" w:fill="auto"/>
            <w:noWrap/>
            <w:vAlign w:val="center"/>
            <w:hideMark/>
          </w:tcPr>
          <w:p w14:paraId="111B4E74"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Pub + club</w:t>
            </w:r>
          </w:p>
        </w:tc>
        <w:tc>
          <w:tcPr>
            <w:tcW w:w="611" w:type="dxa"/>
            <w:tcBorders>
              <w:top w:val="nil"/>
              <w:left w:val="nil"/>
              <w:bottom w:val="nil"/>
              <w:right w:val="nil"/>
            </w:tcBorders>
            <w:shd w:val="clear" w:color="auto" w:fill="auto"/>
            <w:noWrap/>
            <w:vAlign w:val="center"/>
            <w:hideMark/>
          </w:tcPr>
          <w:p w14:paraId="5F9D766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640</w:t>
            </w:r>
          </w:p>
        </w:tc>
        <w:tc>
          <w:tcPr>
            <w:tcW w:w="709" w:type="dxa"/>
            <w:tcBorders>
              <w:top w:val="nil"/>
              <w:left w:val="nil"/>
              <w:bottom w:val="nil"/>
              <w:right w:val="nil"/>
            </w:tcBorders>
            <w:shd w:val="clear" w:color="auto" w:fill="auto"/>
            <w:noWrap/>
            <w:vAlign w:val="center"/>
            <w:hideMark/>
          </w:tcPr>
          <w:p w14:paraId="36D44B7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27.73 </w:t>
            </w:r>
          </w:p>
        </w:tc>
        <w:tc>
          <w:tcPr>
            <w:tcW w:w="1361" w:type="dxa"/>
            <w:tcBorders>
              <w:top w:val="nil"/>
              <w:left w:val="nil"/>
              <w:bottom w:val="nil"/>
              <w:right w:val="single" w:sz="4" w:space="0" w:color="auto"/>
            </w:tcBorders>
            <w:shd w:val="clear" w:color="auto" w:fill="auto"/>
            <w:noWrap/>
            <w:vAlign w:val="center"/>
            <w:hideMark/>
          </w:tcPr>
          <w:p w14:paraId="095F423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(23.42, 32.05)</w:t>
            </w:r>
          </w:p>
        </w:tc>
        <w:tc>
          <w:tcPr>
            <w:tcW w:w="539" w:type="dxa"/>
            <w:tcBorders>
              <w:top w:val="nil"/>
              <w:left w:val="single" w:sz="4" w:space="0" w:color="auto"/>
              <w:bottom w:val="nil"/>
              <w:right w:val="nil"/>
            </w:tcBorders>
            <w:shd w:val="clear" w:color="auto" w:fill="auto"/>
            <w:noWrap/>
            <w:vAlign w:val="center"/>
            <w:hideMark/>
          </w:tcPr>
          <w:p w14:paraId="267AE2E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281</w:t>
            </w:r>
          </w:p>
        </w:tc>
        <w:tc>
          <w:tcPr>
            <w:tcW w:w="778" w:type="dxa"/>
            <w:tcBorders>
              <w:top w:val="nil"/>
              <w:left w:val="nil"/>
              <w:bottom w:val="nil"/>
              <w:right w:val="nil"/>
            </w:tcBorders>
            <w:shd w:val="clear" w:color="auto" w:fill="auto"/>
            <w:noWrap/>
            <w:vAlign w:val="center"/>
            <w:hideMark/>
          </w:tcPr>
          <w:p w14:paraId="535EE1D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22.53 </w:t>
            </w:r>
          </w:p>
        </w:tc>
        <w:tc>
          <w:tcPr>
            <w:tcW w:w="1361" w:type="dxa"/>
            <w:tcBorders>
              <w:top w:val="nil"/>
              <w:left w:val="nil"/>
              <w:bottom w:val="nil"/>
              <w:right w:val="single" w:sz="4" w:space="0" w:color="auto"/>
            </w:tcBorders>
            <w:shd w:val="clear" w:color="auto" w:fill="auto"/>
            <w:noWrap/>
            <w:vAlign w:val="center"/>
            <w:hideMark/>
          </w:tcPr>
          <w:p w14:paraId="7A0A40C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(18.04, 27.01)</w:t>
            </w:r>
          </w:p>
        </w:tc>
        <w:tc>
          <w:tcPr>
            <w:tcW w:w="539" w:type="dxa"/>
            <w:tcBorders>
              <w:top w:val="nil"/>
              <w:left w:val="single" w:sz="4" w:space="0" w:color="auto"/>
              <w:bottom w:val="nil"/>
              <w:right w:val="nil"/>
            </w:tcBorders>
            <w:shd w:val="clear" w:color="auto" w:fill="auto"/>
            <w:noWrap/>
            <w:vAlign w:val="center"/>
            <w:hideMark/>
          </w:tcPr>
          <w:p w14:paraId="766500E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252</w:t>
            </w:r>
          </w:p>
        </w:tc>
        <w:tc>
          <w:tcPr>
            <w:tcW w:w="778" w:type="dxa"/>
            <w:tcBorders>
              <w:top w:val="nil"/>
              <w:left w:val="nil"/>
              <w:bottom w:val="nil"/>
              <w:right w:val="nil"/>
            </w:tcBorders>
            <w:shd w:val="clear" w:color="auto" w:fill="auto"/>
            <w:noWrap/>
            <w:vAlign w:val="center"/>
            <w:hideMark/>
          </w:tcPr>
          <w:p w14:paraId="1BE1085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23.25 </w:t>
            </w:r>
          </w:p>
        </w:tc>
        <w:tc>
          <w:tcPr>
            <w:tcW w:w="1280" w:type="dxa"/>
            <w:tcBorders>
              <w:top w:val="nil"/>
              <w:left w:val="nil"/>
              <w:bottom w:val="nil"/>
              <w:right w:val="single" w:sz="4" w:space="0" w:color="auto"/>
            </w:tcBorders>
            <w:shd w:val="clear" w:color="auto" w:fill="auto"/>
            <w:noWrap/>
            <w:vAlign w:val="center"/>
            <w:hideMark/>
          </w:tcPr>
          <w:p w14:paraId="230AE5A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(18.94, 27.56)</w:t>
            </w:r>
          </w:p>
        </w:tc>
        <w:tc>
          <w:tcPr>
            <w:tcW w:w="539" w:type="dxa"/>
            <w:tcBorders>
              <w:top w:val="nil"/>
              <w:left w:val="single" w:sz="4" w:space="0" w:color="auto"/>
              <w:bottom w:val="nil"/>
              <w:right w:val="nil"/>
            </w:tcBorders>
            <w:shd w:val="clear" w:color="auto" w:fill="auto"/>
            <w:noWrap/>
            <w:vAlign w:val="center"/>
            <w:hideMark/>
          </w:tcPr>
          <w:p w14:paraId="7417FF0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203</w:t>
            </w:r>
          </w:p>
        </w:tc>
        <w:tc>
          <w:tcPr>
            <w:tcW w:w="778" w:type="dxa"/>
            <w:tcBorders>
              <w:top w:val="nil"/>
              <w:left w:val="nil"/>
              <w:bottom w:val="nil"/>
              <w:right w:val="nil"/>
            </w:tcBorders>
            <w:shd w:val="clear" w:color="auto" w:fill="auto"/>
            <w:noWrap/>
            <w:vAlign w:val="center"/>
            <w:hideMark/>
          </w:tcPr>
          <w:p w14:paraId="57A0339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28.25 </w:t>
            </w:r>
          </w:p>
        </w:tc>
        <w:tc>
          <w:tcPr>
            <w:tcW w:w="1280" w:type="dxa"/>
            <w:tcBorders>
              <w:top w:val="nil"/>
              <w:left w:val="nil"/>
              <w:bottom w:val="nil"/>
              <w:right w:val="nil"/>
            </w:tcBorders>
            <w:shd w:val="clear" w:color="auto" w:fill="auto"/>
            <w:noWrap/>
            <w:vAlign w:val="center"/>
            <w:hideMark/>
          </w:tcPr>
          <w:p w14:paraId="37E9208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(22.56, 33.94)</w:t>
            </w:r>
          </w:p>
        </w:tc>
      </w:tr>
      <w:tr w:rsidR="00D9465C" w:rsidRPr="00EA483D" w14:paraId="5307BEF8" w14:textId="77777777" w:rsidTr="00DD0F28">
        <w:tc>
          <w:tcPr>
            <w:tcW w:w="1559" w:type="dxa"/>
            <w:tcBorders>
              <w:top w:val="nil"/>
              <w:left w:val="nil"/>
              <w:bottom w:val="nil"/>
              <w:right w:val="nil"/>
            </w:tcBorders>
            <w:shd w:val="clear" w:color="auto" w:fill="auto"/>
            <w:noWrap/>
            <w:hideMark/>
          </w:tcPr>
          <w:p w14:paraId="36F3B117" w14:textId="77777777" w:rsidR="00D9465C" w:rsidRPr="005E3FD2" w:rsidRDefault="00D9465C" w:rsidP="00DD0F28">
            <w:pPr>
              <w:spacing w:after="20"/>
              <w:rPr>
                <w:i/>
                <w:color w:val="000000"/>
                <w:sz w:val="16"/>
                <w:szCs w:val="16"/>
                <w:lang w:eastAsia="en-NZ"/>
              </w:rPr>
            </w:pPr>
          </w:p>
        </w:tc>
        <w:tc>
          <w:tcPr>
            <w:tcW w:w="1090" w:type="dxa"/>
            <w:tcBorders>
              <w:top w:val="nil"/>
              <w:left w:val="nil"/>
              <w:bottom w:val="nil"/>
              <w:right w:val="nil"/>
            </w:tcBorders>
            <w:shd w:val="clear" w:color="auto" w:fill="auto"/>
            <w:noWrap/>
            <w:vAlign w:val="center"/>
            <w:hideMark/>
          </w:tcPr>
          <w:p w14:paraId="3DDD9C44" w14:textId="77777777" w:rsidR="00D9465C" w:rsidRPr="005E3FD2" w:rsidRDefault="00D9465C" w:rsidP="00DD0F28">
            <w:pPr>
              <w:spacing w:after="20"/>
              <w:rPr>
                <w:i/>
                <w:color w:val="000000"/>
                <w:sz w:val="16"/>
                <w:szCs w:val="16"/>
                <w:lang w:eastAsia="en-NZ"/>
              </w:rPr>
            </w:pPr>
            <w:r w:rsidRPr="005E3FD2">
              <w:rPr>
                <w:i/>
                <w:color w:val="000000"/>
                <w:sz w:val="16"/>
                <w:szCs w:val="16"/>
                <w:lang w:eastAsia="en-NZ"/>
              </w:rPr>
              <w:t>Total</w:t>
            </w:r>
          </w:p>
        </w:tc>
        <w:tc>
          <w:tcPr>
            <w:tcW w:w="611" w:type="dxa"/>
            <w:tcBorders>
              <w:top w:val="nil"/>
              <w:left w:val="nil"/>
              <w:bottom w:val="nil"/>
              <w:right w:val="nil"/>
            </w:tcBorders>
            <w:shd w:val="clear" w:color="auto" w:fill="auto"/>
            <w:noWrap/>
            <w:vAlign w:val="center"/>
            <w:hideMark/>
          </w:tcPr>
          <w:p w14:paraId="79C0BF88"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834</w:t>
            </w:r>
          </w:p>
        </w:tc>
        <w:tc>
          <w:tcPr>
            <w:tcW w:w="709" w:type="dxa"/>
            <w:tcBorders>
              <w:top w:val="nil"/>
              <w:left w:val="nil"/>
              <w:bottom w:val="nil"/>
              <w:right w:val="nil"/>
            </w:tcBorders>
            <w:shd w:val="clear" w:color="auto" w:fill="auto"/>
            <w:noWrap/>
            <w:vAlign w:val="center"/>
            <w:hideMark/>
          </w:tcPr>
          <w:p w14:paraId="7280B4A5"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 xml:space="preserve">39.62 </w:t>
            </w:r>
          </w:p>
        </w:tc>
        <w:tc>
          <w:tcPr>
            <w:tcW w:w="1361" w:type="dxa"/>
            <w:tcBorders>
              <w:top w:val="nil"/>
              <w:left w:val="nil"/>
              <w:bottom w:val="nil"/>
              <w:right w:val="single" w:sz="4" w:space="0" w:color="auto"/>
            </w:tcBorders>
            <w:shd w:val="clear" w:color="auto" w:fill="auto"/>
            <w:noWrap/>
            <w:vAlign w:val="center"/>
            <w:hideMark/>
          </w:tcPr>
          <w:p w14:paraId="4E9F220A"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(33.63, 45.61)</w:t>
            </w:r>
          </w:p>
        </w:tc>
        <w:tc>
          <w:tcPr>
            <w:tcW w:w="539" w:type="dxa"/>
            <w:tcBorders>
              <w:top w:val="nil"/>
              <w:left w:val="single" w:sz="4" w:space="0" w:color="auto"/>
              <w:bottom w:val="nil"/>
              <w:right w:val="nil"/>
            </w:tcBorders>
            <w:shd w:val="clear" w:color="auto" w:fill="auto"/>
            <w:noWrap/>
            <w:vAlign w:val="center"/>
            <w:hideMark/>
          </w:tcPr>
          <w:p w14:paraId="49E9BC77"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383</w:t>
            </w:r>
          </w:p>
        </w:tc>
        <w:tc>
          <w:tcPr>
            <w:tcW w:w="778" w:type="dxa"/>
            <w:tcBorders>
              <w:top w:val="nil"/>
              <w:left w:val="nil"/>
              <w:bottom w:val="nil"/>
              <w:right w:val="nil"/>
            </w:tcBorders>
            <w:shd w:val="clear" w:color="auto" w:fill="auto"/>
            <w:noWrap/>
            <w:vAlign w:val="center"/>
            <w:hideMark/>
          </w:tcPr>
          <w:p w14:paraId="26EFEB1D"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 xml:space="preserve">30.43 </w:t>
            </w:r>
          </w:p>
        </w:tc>
        <w:tc>
          <w:tcPr>
            <w:tcW w:w="1361" w:type="dxa"/>
            <w:tcBorders>
              <w:top w:val="nil"/>
              <w:left w:val="nil"/>
              <w:bottom w:val="nil"/>
              <w:right w:val="single" w:sz="4" w:space="0" w:color="auto"/>
            </w:tcBorders>
            <w:shd w:val="clear" w:color="auto" w:fill="auto"/>
            <w:noWrap/>
            <w:vAlign w:val="center"/>
            <w:hideMark/>
          </w:tcPr>
          <w:p w14:paraId="5D1B6EC2"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(24.88, 35.99)</w:t>
            </w:r>
          </w:p>
        </w:tc>
        <w:tc>
          <w:tcPr>
            <w:tcW w:w="539" w:type="dxa"/>
            <w:tcBorders>
              <w:top w:val="nil"/>
              <w:left w:val="single" w:sz="4" w:space="0" w:color="auto"/>
              <w:bottom w:val="nil"/>
              <w:right w:val="nil"/>
            </w:tcBorders>
            <w:shd w:val="clear" w:color="auto" w:fill="auto"/>
            <w:noWrap/>
            <w:vAlign w:val="center"/>
            <w:hideMark/>
          </w:tcPr>
          <w:p w14:paraId="0074DD4D"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334</w:t>
            </w:r>
          </w:p>
        </w:tc>
        <w:tc>
          <w:tcPr>
            <w:tcW w:w="778" w:type="dxa"/>
            <w:tcBorders>
              <w:top w:val="nil"/>
              <w:left w:val="nil"/>
              <w:bottom w:val="nil"/>
              <w:right w:val="nil"/>
            </w:tcBorders>
            <w:shd w:val="clear" w:color="auto" w:fill="auto"/>
            <w:noWrap/>
            <w:vAlign w:val="center"/>
            <w:hideMark/>
          </w:tcPr>
          <w:p w14:paraId="1E5A77C4"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 xml:space="preserve">32.99 </w:t>
            </w:r>
          </w:p>
        </w:tc>
        <w:tc>
          <w:tcPr>
            <w:tcW w:w="1280" w:type="dxa"/>
            <w:tcBorders>
              <w:top w:val="nil"/>
              <w:left w:val="nil"/>
              <w:bottom w:val="nil"/>
              <w:right w:val="single" w:sz="4" w:space="0" w:color="auto"/>
            </w:tcBorders>
            <w:shd w:val="clear" w:color="auto" w:fill="auto"/>
            <w:noWrap/>
            <w:vAlign w:val="center"/>
            <w:hideMark/>
          </w:tcPr>
          <w:p w14:paraId="0FB154CD"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(26.89, 39.08)</w:t>
            </w:r>
          </w:p>
        </w:tc>
        <w:tc>
          <w:tcPr>
            <w:tcW w:w="539" w:type="dxa"/>
            <w:tcBorders>
              <w:top w:val="nil"/>
              <w:left w:val="single" w:sz="4" w:space="0" w:color="auto"/>
              <w:bottom w:val="nil"/>
              <w:right w:val="nil"/>
            </w:tcBorders>
            <w:shd w:val="clear" w:color="auto" w:fill="auto"/>
            <w:noWrap/>
            <w:vAlign w:val="center"/>
            <w:hideMark/>
          </w:tcPr>
          <w:p w14:paraId="210EFD1A"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265</w:t>
            </w:r>
          </w:p>
        </w:tc>
        <w:tc>
          <w:tcPr>
            <w:tcW w:w="778" w:type="dxa"/>
            <w:tcBorders>
              <w:top w:val="nil"/>
              <w:left w:val="nil"/>
              <w:bottom w:val="nil"/>
              <w:right w:val="nil"/>
            </w:tcBorders>
            <w:shd w:val="clear" w:color="auto" w:fill="auto"/>
            <w:noWrap/>
            <w:vAlign w:val="center"/>
            <w:hideMark/>
          </w:tcPr>
          <w:p w14:paraId="57108840"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 xml:space="preserve">36.25 </w:t>
            </w:r>
          </w:p>
        </w:tc>
        <w:tc>
          <w:tcPr>
            <w:tcW w:w="1280" w:type="dxa"/>
            <w:tcBorders>
              <w:top w:val="nil"/>
              <w:left w:val="nil"/>
              <w:bottom w:val="nil"/>
              <w:right w:val="nil"/>
            </w:tcBorders>
            <w:shd w:val="clear" w:color="auto" w:fill="auto"/>
            <w:noWrap/>
            <w:vAlign w:val="center"/>
            <w:hideMark/>
          </w:tcPr>
          <w:p w14:paraId="3047F17B"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(29.13, 43.37)</w:t>
            </w:r>
          </w:p>
        </w:tc>
      </w:tr>
      <w:tr w:rsidR="00D9465C" w:rsidRPr="00EA483D" w14:paraId="42B25BC7" w14:textId="77777777" w:rsidTr="00DD0F28">
        <w:tc>
          <w:tcPr>
            <w:tcW w:w="1559" w:type="dxa"/>
            <w:vMerge w:val="restart"/>
            <w:tcBorders>
              <w:top w:val="nil"/>
              <w:left w:val="nil"/>
              <w:right w:val="nil"/>
            </w:tcBorders>
            <w:shd w:val="clear" w:color="auto" w:fill="auto"/>
            <w:noWrap/>
            <w:hideMark/>
          </w:tcPr>
          <w:p w14:paraId="6B360E47"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Low-risk gambler</w:t>
            </w:r>
          </w:p>
        </w:tc>
        <w:tc>
          <w:tcPr>
            <w:tcW w:w="1090" w:type="dxa"/>
            <w:tcBorders>
              <w:top w:val="nil"/>
              <w:left w:val="nil"/>
              <w:bottom w:val="nil"/>
              <w:right w:val="nil"/>
            </w:tcBorders>
            <w:shd w:val="clear" w:color="auto" w:fill="auto"/>
            <w:noWrap/>
            <w:vAlign w:val="center"/>
            <w:hideMark/>
          </w:tcPr>
          <w:p w14:paraId="13CEA000"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Casino</w:t>
            </w:r>
          </w:p>
        </w:tc>
        <w:tc>
          <w:tcPr>
            <w:tcW w:w="611" w:type="dxa"/>
            <w:tcBorders>
              <w:top w:val="nil"/>
              <w:left w:val="nil"/>
              <w:bottom w:val="nil"/>
              <w:right w:val="nil"/>
            </w:tcBorders>
            <w:shd w:val="clear" w:color="auto" w:fill="auto"/>
            <w:noWrap/>
            <w:vAlign w:val="center"/>
            <w:hideMark/>
          </w:tcPr>
          <w:p w14:paraId="78DCCA2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77</w:t>
            </w:r>
          </w:p>
        </w:tc>
        <w:tc>
          <w:tcPr>
            <w:tcW w:w="709" w:type="dxa"/>
            <w:tcBorders>
              <w:top w:val="nil"/>
              <w:left w:val="nil"/>
              <w:bottom w:val="nil"/>
              <w:right w:val="nil"/>
            </w:tcBorders>
            <w:shd w:val="clear" w:color="auto" w:fill="auto"/>
            <w:noWrap/>
            <w:vAlign w:val="center"/>
            <w:hideMark/>
          </w:tcPr>
          <w:p w14:paraId="4945510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74.32 </w:t>
            </w:r>
          </w:p>
        </w:tc>
        <w:tc>
          <w:tcPr>
            <w:tcW w:w="1361" w:type="dxa"/>
            <w:tcBorders>
              <w:top w:val="nil"/>
              <w:left w:val="nil"/>
              <w:bottom w:val="nil"/>
              <w:right w:val="single" w:sz="4" w:space="0" w:color="auto"/>
            </w:tcBorders>
            <w:shd w:val="clear" w:color="auto" w:fill="auto"/>
            <w:noWrap/>
            <w:vAlign w:val="center"/>
            <w:hideMark/>
          </w:tcPr>
          <w:p w14:paraId="03425F6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(48.47, 100.18)</w:t>
            </w:r>
          </w:p>
        </w:tc>
        <w:tc>
          <w:tcPr>
            <w:tcW w:w="539" w:type="dxa"/>
            <w:tcBorders>
              <w:top w:val="nil"/>
              <w:left w:val="single" w:sz="4" w:space="0" w:color="auto"/>
              <w:bottom w:val="nil"/>
              <w:right w:val="nil"/>
            </w:tcBorders>
            <w:shd w:val="clear" w:color="auto" w:fill="auto"/>
            <w:noWrap/>
            <w:vAlign w:val="center"/>
            <w:hideMark/>
          </w:tcPr>
          <w:p w14:paraId="2451939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46</w:t>
            </w:r>
          </w:p>
        </w:tc>
        <w:tc>
          <w:tcPr>
            <w:tcW w:w="778" w:type="dxa"/>
            <w:tcBorders>
              <w:top w:val="nil"/>
              <w:left w:val="nil"/>
              <w:bottom w:val="nil"/>
              <w:right w:val="nil"/>
            </w:tcBorders>
            <w:shd w:val="clear" w:color="auto" w:fill="auto"/>
            <w:noWrap/>
            <w:vAlign w:val="center"/>
            <w:hideMark/>
          </w:tcPr>
          <w:p w14:paraId="68978D5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58.25 </w:t>
            </w:r>
          </w:p>
        </w:tc>
        <w:tc>
          <w:tcPr>
            <w:tcW w:w="1361" w:type="dxa"/>
            <w:tcBorders>
              <w:top w:val="nil"/>
              <w:left w:val="nil"/>
              <w:bottom w:val="nil"/>
              <w:right w:val="single" w:sz="4" w:space="0" w:color="auto"/>
            </w:tcBorders>
            <w:shd w:val="clear" w:color="auto" w:fill="auto"/>
            <w:noWrap/>
            <w:vAlign w:val="center"/>
            <w:hideMark/>
          </w:tcPr>
          <w:p w14:paraId="1915A3F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(33.92, 82.57)</w:t>
            </w:r>
          </w:p>
        </w:tc>
        <w:tc>
          <w:tcPr>
            <w:tcW w:w="539" w:type="dxa"/>
            <w:tcBorders>
              <w:top w:val="nil"/>
              <w:left w:val="single" w:sz="4" w:space="0" w:color="auto"/>
              <w:bottom w:val="nil"/>
              <w:right w:val="nil"/>
            </w:tcBorders>
            <w:shd w:val="clear" w:color="auto" w:fill="auto"/>
            <w:noWrap/>
            <w:vAlign w:val="center"/>
            <w:hideMark/>
          </w:tcPr>
          <w:p w14:paraId="6E3FE30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32</w:t>
            </w:r>
          </w:p>
        </w:tc>
        <w:tc>
          <w:tcPr>
            <w:tcW w:w="778" w:type="dxa"/>
            <w:tcBorders>
              <w:top w:val="nil"/>
              <w:left w:val="nil"/>
              <w:bottom w:val="nil"/>
              <w:right w:val="nil"/>
            </w:tcBorders>
            <w:shd w:val="clear" w:color="auto" w:fill="auto"/>
            <w:noWrap/>
            <w:vAlign w:val="center"/>
            <w:hideMark/>
          </w:tcPr>
          <w:p w14:paraId="23F5EC3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61.95 </w:t>
            </w:r>
          </w:p>
        </w:tc>
        <w:tc>
          <w:tcPr>
            <w:tcW w:w="1280" w:type="dxa"/>
            <w:tcBorders>
              <w:top w:val="nil"/>
              <w:left w:val="nil"/>
              <w:bottom w:val="nil"/>
              <w:right w:val="single" w:sz="4" w:space="0" w:color="auto"/>
            </w:tcBorders>
            <w:shd w:val="clear" w:color="auto" w:fill="auto"/>
            <w:noWrap/>
            <w:vAlign w:val="center"/>
            <w:hideMark/>
          </w:tcPr>
          <w:p w14:paraId="2C7313D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(46.46, 77.45)</w:t>
            </w:r>
          </w:p>
        </w:tc>
        <w:tc>
          <w:tcPr>
            <w:tcW w:w="539" w:type="dxa"/>
            <w:tcBorders>
              <w:top w:val="nil"/>
              <w:left w:val="single" w:sz="4" w:space="0" w:color="auto"/>
              <w:bottom w:val="nil"/>
              <w:right w:val="nil"/>
            </w:tcBorders>
            <w:shd w:val="clear" w:color="auto" w:fill="auto"/>
            <w:noWrap/>
            <w:vAlign w:val="center"/>
            <w:hideMark/>
          </w:tcPr>
          <w:p w14:paraId="55CD7C4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21</w:t>
            </w:r>
          </w:p>
        </w:tc>
        <w:tc>
          <w:tcPr>
            <w:tcW w:w="778" w:type="dxa"/>
            <w:tcBorders>
              <w:top w:val="nil"/>
              <w:left w:val="nil"/>
              <w:bottom w:val="nil"/>
              <w:right w:val="nil"/>
            </w:tcBorders>
            <w:shd w:val="clear" w:color="auto" w:fill="auto"/>
            <w:noWrap/>
            <w:vAlign w:val="center"/>
            <w:hideMark/>
          </w:tcPr>
          <w:p w14:paraId="47262AE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93.19 </w:t>
            </w:r>
          </w:p>
        </w:tc>
        <w:tc>
          <w:tcPr>
            <w:tcW w:w="1280" w:type="dxa"/>
            <w:tcBorders>
              <w:top w:val="nil"/>
              <w:left w:val="nil"/>
              <w:bottom w:val="nil"/>
              <w:right w:val="nil"/>
            </w:tcBorders>
            <w:shd w:val="clear" w:color="auto" w:fill="auto"/>
            <w:noWrap/>
            <w:vAlign w:val="center"/>
            <w:hideMark/>
          </w:tcPr>
          <w:p w14:paraId="1E47C73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(27.11, 159.28)</w:t>
            </w:r>
          </w:p>
        </w:tc>
      </w:tr>
      <w:tr w:rsidR="00D9465C" w:rsidRPr="00EA483D" w14:paraId="29D77409" w14:textId="77777777" w:rsidTr="00DD0F28">
        <w:tc>
          <w:tcPr>
            <w:tcW w:w="1559" w:type="dxa"/>
            <w:vMerge/>
            <w:tcBorders>
              <w:left w:val="nil"/>
              <w:bottom w:val="nil"/>
              <w:right w:val="nil"/>
            </w:tcBorders>
            <w:shd w:val="clear" w:color="auto" w:fill="auto"/>
            <w:noWrap/>
            <w:hideMark/>
          </w:tcPr>
          <w:p w14:paraId="4F77B01E" w14:textId="77777777" w:rsidR="00D9465C" w:rsidRPr="005E3FD2" w:rsidRDefault="00D9465C" w:rsidP="00DD0F28">
            <w:pPr>
              <w:spacing w:after="20"/>
              <w:rPr>
                <w:color w:val="000000"/>
                <w:sz w:val="16"/>
                <w:szCs w:val="16"/>
                <w:lang w:eastAsia="en-NZ"/>
              </w:rPr>
            </w:pPr>
          </w:p>
        </w:tc>
        <w:tc>
          <w:tcPr>
            <w:tcW w:w="1090" w:type="dxa"/>
            <w:tcBorders>
              <w:top w:val="nil"/>
              <w:left w:val="nil"/>
              <w:bottom w:val="nil"/>
              <w:right w:val="nil"/>
            </w:tcBorders>
            <w:shd w:val="clear" w:color="auto" w:fill="auto"/>
            <w:noWrap/>
            <w:vAlign w:val="center"/>
            <w:hideMark/>
          </w:tcPr>
          <w:p w14:paraId="3DAC4C09"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Pub</w:t>
            </w:r>
          </w:p>
        </w:tc>
        <w:tc>
          <w:tcPr>
            <w:tcW w:w="611" w:type="dxa"/>
            <w:tcBorders>
              <w:top w:val="nil"/>
              <w:left w:val="nil"/>
              <w:bottom w:val="nil"/>
              <w:right w:val="nil"/>
            </w:tcBorders>
            <w:shd w:val="clear" w:color="auto" w:fill="auto"/>
            <w:noWrap/>
            <w:vAlign w:val="center"/>
            <w:hideMark/>
          </w:tcPr>
          <w:p w14:paraId="15EDC6A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103</w:t>
            </w:r>
          </w:p>
        </w:tc>
        <w:tc>
          <w:tcPr>
            <w:tcW w:w="709" w:type="dxa"/>
            <w:tcBorders>
              <w:top w:val="nil"/>
              <w:left w:val="nil"/>
              <w:bottom w:val="nil"/>
              <w:right w:val="nil"/>
            </w:tcBorders>
            <w:shd w:val="clear" w:color="auto" w:fill="auto"/>
            <w:noWrap/>
            <w:vAlign w:val="center"/>
            <w:hideMark/>
          </w:tcPr>
          <w:p w14:paraId="5DEA657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58.14 </w:t>
            </w:r>
          </w:p>
        </w:tc>
        <w:tc>
          <w:tcPr>
            <w:tcW w:w="1361" w:type="dxa"/>
            <w:tcBorders>
              <w:top w:val="nil"/>
              <w:left w:val="nil"/>
              <w:bottom w:val="nil"/>
              <w:right w:val="single" w:sz="4" w:space="0" w:color="auto"/>
            </w:tcBorders>
            <w:shd w:val="clear" w:color="auto" w:fill="auto"/>
            <w:noWrap/>
            <w:vAlign w:val="center"/>
            <w:hideMark/>
          </w:tcPr>
          <w:p w14:paraId="0443183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(35.99, 80.29)</w:t>
            </w:r>
          </w:p>
        </w:tc>
        <w:tc>
          <w:tcPr>
            <w:tcW w:w="539" w:type="dxa"/>
            <w:tcBorders>
              <w:top w:val="nil"/>
              <w:left w:val="single" w:sz="4" w:space="0" w:color="auto"/>
              <w:bottom w:val="nil"/>
              <w:right w:val="nil"/>
            </w:tcBorders>
            <w:shd w:val="clear" w:color="auto" w:fill="auto"/>
            <w:noWrap/>
            <w:vAlign w:val="center"/>
            <w:hideMark/>
          </w:tcPr>
          <w:p w14:paraId="1D04C03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72</w:t>
            </w:r>
          </w:p>
        </w:tc>
        <w:tc>
          <w:tcPr>
            <w:tcW w:w="778" w:type="dxa"/>
            <w:tcBorders>
              <w:top w:val="nil"/>
              <w:left w:val="nil"/>
              <w:bottom w:val="nil"/>
              <w:right w:val="nil"/>
            </w:tcBorders>
            <w:shd w:val="clear" w:color="auto" w:fill="auto"/>
            <w:noWrap/>
            <w:vAlign w:val="center"/>
            <w:hideMark/>
          </w:tcPr>
          <w:p w14:paraId="5A4F97D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46.84 </w:t>
            </w:r>
          </w:p>
        </w:tc>
        <w:tc>
          <w:tcPr>
            <w:tcW w:w="1361" w:type="dxa"/>
            <w:tcBorders>
              <w:top w:val="nil"/>
              <w:left w:val="nil"/>
              <w:bottom w:val="nil"/>
              <w:right w:val="single" w:sz="4" w:space="0" w:color="auto"/>
            </w:tcBorders>
            <w:shd w:val="clear" w:color="auto" w:fill="auto"/>
            <w:noWrap/>
            <w:vAlign w:val="center"/>
            <w:hideMark/>
          </w:tcPr>
          <w:p w14:paraId="3A81B98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(35.71, 57.98)</w:t>
            </w:r>
          </w:p>
        </w:tc>
        <w:tc>
          <w:tcPr>
            <w:tcW w:w="539" w:type="dxa"/>
            <w:tcBorders>
              <w:top w:val="nil"/>
              <w:left w:val="single" w:sz="4" w:space="0" w:color="auto"/>
              <w:bottom w:val="nil"/>
              <w:right w:val="nil"/>
            </w:tcBorders>
            <w:shd w:val="clear" w:color="auto" w:fill="auto"/>
            <w:noWrap/>
            <w:vAlign w:val="center"/>
            <w:hideMark/>
          </w:tcPr>
          <w:p w14:paraId="1DB6308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37</w:t>
            </w:r>
          </w:p>
        </w:tc>
        <w:tc>
          <w:tcPr>
            <w:tcW w:w="778" w:type="dxa"/>
            <w:tcBorders>
              <w:top w:val="nil"/>
              <w:left w:val="nil"/>
              <w:bottom w:val="nil"/>
              <w:right w:val="nil"/>
            </w:tcBorders>
            <w:shd w:val="clear" w:color="auto" w:fill="auto"/>
            <w:noWrap/>
            <w:vAlign w:val="center"/>
            <w:hideMark/>
          </w:tcPr>
          <w:p w14:paraId="71707A6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48.17 </w:t>
            </w:r>
          </w:p>
        </w:tc>
        <w:tc>
          <w:tcPr>
            <w:tcW w:w="1280" w:type="dxa"/>
            <w:tcBorders>
              <w:top w:val="nil"/>
              <w:left w:val="nil"/>
              <w:bottom w:val="nil"/>
              <w:right w:val="single" w:sz="4" w:space="0" w:color="auto"/>
            </w:tcBorders>
            <w:shd w:val="clear" w:color="auto" w:fill="auto"/>
            <w:noWrap/>
            <w:vAlign w:val="center"/>
            <w:hideMark/>
          </w:tcPr>
          <w:p w14:paraId="031435E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(31.70, 64.64)</w:t>
            </w:r>
          </w:p>
        </w:tc>
        <w:tc>
          <w:tcPr>
            <w:tcW w:w="539" w:type="dxa"/>
            <w:tcBorders>
              <w:top w:val="nil"/>
              <w:left w:val="single" w:sz="4" w:space="0" w:color="auto"/>
              <w:bottom w:val="nil"/>
              <w:right w:val="nil"/>
            </w:tcBorders>
            <w:shd w:val="clear" w:color="auto" w:fill="auto"/>
            <w:noWrap/>
            <w:vAlign w:val="center"/>
            <w:hideMark/>
          </w:tcPr>
          <w:p w14:paraId="3963D3C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45</w:t>
            </w:r>
          </w:p>
        </w:tc>
        <w:tc>
          <w:tcPr>
            <w:tcW w:w="778" w:type="dxa"/>
            <w:tcBorders>
              <w:top w:val="nil"/>
              <w:left w:val="nil"/>
              <w:bottom w:val="nil"/>
              <w:right w:val="nil"/>
            </w:tcBorders>
            <w:shd w:val="clear" w:color="auto" w:fill="auto"/>
            <w:noWrap/>
            <w:vAlign w:val="center"/>
            <w:hideMark/>
          </w:tcPr>
          <w:p w14:paraId="45C0475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45.04 </w:t>
            </w:r>
          </w:p>
        </w:tc>
        <w:tc>
          <w:tcPr>
            <w:tcW w:w="1280" w:type="dxa"/>
            <w:tcBorders>
              <w:top w:val="nil"/>
              <w:left w:val="nil"/>
              <w:bottom w:val="nil"/>
              <w:right w:val="nil"/>
            </w:tcBorders>
            <w:shd w:val="clear" w:color="auto" w:fill="auto"/>
            <w:noWrap/>
            <w:vAlign w:val="center"/>
            <w:hideMark/>
          </w:tcPr>
          <w:p w14:paraId="7C7EDC5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(19.60, 70.48)</w:t>
            </w:r>
          </w:p>
        </w:tc>
      </w:tr>
      <w:tr w:rsidR="00D9465C" w:rsidRPr="00EA483D" w14:paraId="5BD47141" w14:textId="77777777" w:rsidTr="00DD0F28">
        <w:tc>
          <w:tcPr>
            <w:tcW w:w="1559" w:type="dxa"/>
            <w:tcBorders>
              <w:top w:val="nil"/>
              <w:left w:val="nil"/>
              <w:bottom w:val="nil"/>
              <w:right w:val="nil"/>
            </w:tcBorders>
            <w:shd w:val="clear" w:color="auto" w:fill="auto"/>
            <w:noWrap/>
            <w:hideMark/>
          </w:tcPr>
          <w:p w14:paraId="498B37F0" w14:textId="77777777" w:rsidR="00D9465C" w:rsidRPr="005E3FD2" w:rsidRDefault="00D9465C" w:rsidP="00DD0F28">
            <w:pPr>
              <w:spacing w:after="20"/>
              <w:rPr>
                <w:color w:val="000000"/>
                <w:sz w:val="16"/>
                <w:szCs w:val="16"/>
                <w:lang w:eastAsia="en-NZ"/>
              </w:rPr>
            </w:pPr>
          </w:p>
        </w:tc>
        <w:tc>
          <w:tcPr>
            <w:tcW w:w="1090" w:type="dxa"/>
            <w:tcBorders>
              <w:top w:val="nil"/>
              <w:left w:val="nil"/>
              <w:bottom w:val="nil"/>
              <w:right w:val="nil"/>
            </w:tcBorders>
            <w:shd w:val="clear" w:color="auto" w:fill="auto"/>
            <w:noWrap/>
            <w:vAlign w:val="center"/>
            <w:hideMark/>
          </w:tcPr>
          <w:p w14:paraId="7CEDD4A4"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Club</w:t>
            </w:r>
          </w:p>
        </w:tc>
        <w:tc>
          <w:tcPr>
            <w:tcW w:w="611" w:type="dxa"/>
            <w:tcBorders>
              <w:top w:val="nil"/>
              <w:left w:val="nil"/>
              <w:bottom w:val="nil"/>
              <w:right w:val="nil"/>
            </w:tcBorders>
            <w:shd w:val="clear" w:color="auto" w:fill="auto"/>
            <w:noWrap/>
            <w:vAlign w:val="center"/>
            <w:hideMark/>
          </w:tcPr>
          <w:p w14:paraId="4B038B5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47</w:t>
            </w:r>
          </w:p>
        </w:tc>
        <w:tc>
          <w:tcPr>
            <w:tcW w:w="709" w:type="dxa"/>
            <w:tcBorders>
              <w:top w:val="nil"/>
              <w:left w:val="nil"/>
              <w:bottom w:val="nil"/>
              <w:right w:val="nil"/>
            </w:tcBorders>
            <w:shd w:val="clear" w:color="auto" w:fill="auto"/>
            <w:noWrap/>
            <w:vAlign w:val="center"/>
            <w:hideMark/>
          </w:tcPr>
          <w:p w14:paraId="62057AD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39.95 </w:t>
            </w:r>
          </w:p>
        </w:tc>
        <w:tc>
          <w:tcPr>
            <w:tcW w:w="1361" w:type="dxa"/>
            <w:tcBorders>
              <w:top w:val="nil"/>
              <w:left w:val="nil"/>
              <w:bottom w:val="nil"/>
              <w:right w:val="single" w:sz="4" w:space="0" w:color="auto"/>
            </w:tcBorders>
            <w:shd w:val="clear" w:color="auto" w:fill="auto"/>
            <w:noWrap/>
            <w:vAlign w:val="center"/>
            <w:hideMark/>
          </w:tcPr>
          <w:p w14:paraId="074796E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(31.16, 48.73)</w:t>
            </w:r>
          </w:p>
        </w:tc>
        <w:tc>
          <w:tcPr>
            <w:tcW w:w="539" w:type="dxa"/>
            <w:tcBorders>
              <w:top w:val="nil"/>
              <w:left w:val="single" w:sz="4" w:space="0" w:color="auto"/>
              <w:bottom w:val="nil"/>
              <w:right w:val="nil"/>
            </w:tcBorders>
            <w:shd w:val="clear" w:color="auto" w:fill="auto"/>
            <w:noWrap/>
            <w:vAlign w:val="center"/>
            <w:hideMark/>
          </w:tcPr>
          <w:p w14:paraId="6075DAB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33</w:t>
            </w:r>
          </w:p>
        </w:tc>
        <w:tc>
          <w:tcPr>
            <w:tcW w:w="778" w:type="dxa"/>
            <w:tcBorders>
              <w:top w:val="nil"/>
              <w:left w:val="nil"/>
              <w:bottom w:val="nil"/>
              <w:right w:val="nil"/>
            </w:tcBorders>
            <w:shd w:val="clear" w:color="auto" w:fill="auto"/>
            <w:noWrap/>
            <w:vAlign w:val="center"/>
            <w:hideMark/>
          </w:tcPr>
          <w:p w14:paraId="245559E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29.39 </w:t>
            </w:r>
          </w:p>
        </w:tc>
        <w:tc>
          <w:tcPr>
            <w:tcW w:w="1361" w:type="dxa"/>
            <w:tcBorders>
              <w:top w:val="nil"/>
              <w:left w:val="nil"/>
              <w:bottom w:val="nil"/>
              <w:right w:val="single" w:sz="4" w:space="0" w:color="auto"/>
            </w:tcBorders>
            <w:shd w:val="clear" w:color="auto" w:fill="auto"/>
            <w:noWrap/>
            <w:vAlign w:val="center"/>
            <w:hideMark/>
          </w:tcPr>
          <w:p w14:paraId="7967CE0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(21.82, 36.96)</w:t>
            </w:r>
          </w:p>
        </w:tc>
        <w:tc>
          <w:tcPr>
            <w:tcW w:w="539" w:type="dxa"/>
            <w:tcBorders>
              <w:top w:val="nil"/>
              <w:left w:val="single" w:sz="4" w:space="0" w:color="auto"/>
              <w:bottom w:val="nil"/>
              <w:right w:val="nil"/>
            </w:tcBorders>
            <w:shd w:val="clear" w:color="auto" w:fill="auto"/>
            <w:noWrap/>
            <w:vAlign w:val="center"/>
            <w:hideMark/>
          </w:tcPr>
          <w:p w14:paraId="1E59040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20</w:t>
            </w:r>
          </w:p>
        </w:tc>
        <w:tc>
          <w:tcPr>
            <w:tcW w:w="778" w:type="dxa"/>
            <w:tcBorders>
              <w:top w:val="nil"/>
              <w:left w:val="nil"/>
              <w:bottom w:val="nil"/>
              <w:right w:val="nil"/>
            </w:tcBorders>
            <w:shd w:val="clear" w:color="auto" w:fill="auto"/>
            <w:noWrap/>
            <w:vAlign w:val="center"/>
            <w:hideMark/>
          </w:tcPr>
          <w:p w14:paraId="57FCF7B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42.36 </w:t>
            </w:r>
          </w:p>
        </w:tc>
        <w:tc>
          <w:tcPr>
            <w:tcW w:w="1280" w:type="dxa"/>
            <w:tcBorders>
              <w:top w:val="nil"/>
              <w:left w:val="nil"/>
              <w:bottom w:val="nil"/>
              <w:right w:val="single" w:sz="4" w:space="0" w:color="auto"/>
            </w:tcBorders>
            <w:shd w:val="clear" w:color="auto" w:fill="auto"/>
            <w:noWrap/>
            <w:vAlign w:val="center"/>
            <w:hideMark/>
          </w:tcPr>
          <w:p w14:paraId="1EB8A3B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(20.79, 63.93)</w:t>
            </w:r>
          </w:p>
        </w:tc>
        <w:tc>
          <w:tcPr>
            <w:tcW w:w="539" w:type="dxa"/>
            <w:tcBorders>
              <w:top w:val="nil"/>
              <w:left w:val="single" w:sz="4" w:space="0" w:color="auto"/>
              <w:bottom w:val="nil"/>
              <w:right w:val="nil"/>
            </w:tcBorders>
            <w:shd w:val="clear" w:color="auto" w:fill="auto"/>
            <w:noWrap/>
            <w:vAlign w:val="center"/>
            <w:hideMark/>
          </w:tcPr>
          <w:p w14:paraId="2C6C803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12</w:t>
            </w:r>
          </w:p>
        </w:tc>
        <w:tc>
          <w:tcPr>
            <w:tcW w:w="778" w:type="dxa"/>
            <w:tcBorders>
              <w:top w:val="nil"/>
              <w:left w:val="nil"/>
              <w:bottom w:val="nil"/>
              <w:right w:val="nil"/>
            </w:tcBorders>
            <w:shd w:val="clear" w:color="auto" w:fill="auto"/>
            <w:noWrap/>
            <w:vAlign w:val="center"/>
            <w:hideMark/>
          </w:tcPr>
          <w:p w14:paraId="597F795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65.73 </w:t>
            </w:r>
          </w:p>
        </w:tc>
        <w:tc>
          <w:tcPr>
            <w:tcW w:w="1280" w:type="dxa"/>
            <w:tcBorders>
              <w:top w:val="nil"/>
              <w:left w:val="nil"/>
              <w:bottom w:val="nil"/>
              <w:right w:val="nil"/>
            </w:tcBorders>
            <w:shd w:val="clear" w:color="auto" w:fill="auto"/>
            <w:noWrap/>
            <w:vAlign w:val="center"/>
            <w:hideMark/>
          </w:tcPr>
          <w:p w14:paraId="0A5E399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w:t>
            </w:r>
          </w:p>
        </w:tc>
      </w:tr>
      <w:tr w:rsidR="00D9465C" w:rsidRPr="00EA483D" w14:paraId="7A7FA473" w14:textId="77777777" w:rsidTr="00DD0F28">
        <w:tc>
          <w:tcPr>
            <w:tcW w:w="1559" w:type="dxa"/>
            <w:tcBorders>
              <w:top w:val="nil"/>
              <w:left w:val="nil"/>
              <w:bottom w:val="nil"/>
              <w:right w:val="nil"/>
            </w:tcBorders>
            <w:shd w:val="clear" w:color="auto" w:fill="auto"/>
            <w:noWrap/>
            <w:hideMark/>
          </w:tcPr>
          <w:p w14:paraId="0009C02E" w14:textId="77777777" w:rsidR="00D9465C" w:rsidRPr="005E3FD2" w:rsidRDefault="00D9465C" w:rsidP="00DD0F28">
            <w:pPr>
              <w:spacing w:after="20"/>
              <w:rPr>
                <w:color w:val="000000"/>
                <w:sz w:val="16"/>
                <w:szCs w:val="16"/>
                <w:lang w:eastAsia="en-NZ"/>
              </w:rPr>
            </w:pPr>
          </w:p>
        </w:tc>
        <w:tc>
          <w:tcPr>
            <w:tcW w:w="1090" w:type="dxa"/>
            <w:tcBorders>
              <w:top w:val="nil"/>
              <w:left w:val="nil"/>
              <w:bottom w:val="nil"/>
              <w:right w:val="nil"/>
            </w:tcBorders>
            <w:shd w:val="clear" w:color="auto" w:fill="auto"/>
            <w:noWrap/>
            <w:vAlign w:val="center"/>
            <w:hideMark/>
          </w:tcPr>
          <w:p w14:paraId="111E57F7"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Pub + club</w:t>
            </w:r>
          </w:p>
        </w:tc>
        <w:tc>
          <w:tcPr>
            <w:tcW w:w="611" w:type="dxa"/>
            <w:tcBorders>
              <w:top w:val="nil"/>
              <w:left w:val="nil"/>
              <w:bottom w:val="nil"/>
              <w:right w:val="nil"/>
            </w:tcBorders>
            <w:shd w:val="clear" w:color="auto" w:fill="auto"/>
            <w:noWrap/>
            <w:vAlign w:val="center"/>
            <w:hideMark/>
          </w:tcPr>
          <w:p w14:paraId="54215B7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117</w:t>
            </w:r>
          </w:p>
        </w:tc>
        <w:tc>
          <w:tcPr>
            <w:tcW w:w="709" w:type="dxa"/>
            <w:tcBorders>
              <w:top w:val="nil"/>
              <w:left w:val="nil"/>
              <w:bottom w:val="nil"/>
              <w:right w:val="nil"/>
            </w:tcBorders>
            <w:shd w:val="clear" w:color="auto" w:fill="auto"/>
            <w:noWrap/>
            <w:vAlign w:val="center"/>
            <w:hideMark/>
          </w:tcPr>
          <w:p w14:paraId="1EC00A8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67.15 </w:t>
            </w:r>
          </w:p>
        </w:tc>
        <w:tc>
          <w:tcPr>
            <w:tcW w:w="1361" w:type="dxa"/>
            <w:tcBorders>
              <w:top w:val="nil"/>
              <w:left w:val="nil"/>
              <w:bottom w:val="nil"/>
              <w:right w:val="single" w:sz="4" w:space="0" w:color="auto"/>
            </w:tcBorders>
            <w:shd w:val="clear" w:color="auto" w:fill="auto"/>
            <w:noWrap/>
            <w:vAlign w:val="center"/>
            <w:hideMark/>
          </w:tcPr>
          <w:p w14:paraId="4861645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(45.39, 88.90)</w:t>
            </w:r>
          </w:p>
        </w:tc>
        <w:tc>
          <w:tcPr>
            <w:tcW w:w="539" w:type="dxa"/>
            <w:tcBorders>
              <w:top w:val="nil"/>
              <w:left w:val="single" w:sz="4" w:space="0" w:color="auto"/>
              <w:bottom w:val="nil"/>
              <w:right w:val="nil"/>
            </w:tcBorders>
            <w:shd w:val="clear" w:color="auto" w:fill="auto"/>
            <w:noWrap/>
            <w:vAlign w:val="center"/>
            <w:hideMark/>
          </w:tcPr>
          <w:p w14:paraId="5B53426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85</w:t>
            </w:r>
          </w:p>
        </w:tc>
        <w:tc>
          <w:tcPr>
            <w:tcW w:w="778" w:type="dxa"/>
            <w:tcBorders>
              <w:top w:val="nil"/>
              <w:left w:val="nil"/>
              <w:bottom w:val="nil"/>
              <w:right w:val="nil"/>
            </w:tcBorders>
            <w:shd w:val="clear" w:color="auto" w:fill="auto"/>
            <w:noWrap/>
            <w:vAlign w:val="center"/>
            <w:hideMark/>
          </w:tcPr>
          <w:p w14:paraId="24268F3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50.89 </w:t>
            </w:r>
          </w:p>
        </w:tc>
        <w:tc>
          <w:tcPr>
            <w:tcW w:w="1361" w:type="dxa"/>
            <w:tcBorders>
              <w:top w:val="nil"/>
              <w:left w:val="nil"/>
              <w:bottom w:val="nil"/>
              <w:right w:val="single" w:sz="4" w:space="0" w:color="auto"/>
            </w:tcBorders>
            <w:shd w:val="clear" w:color="auto" w:fill="auto"/>
            <w:noWrap/>
            <w:vAlign w:val="center"/>
            <w:hideMark/>
          </w:tcPr>
          <w:p w14:paraId="7650A36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(39.30, 62.47)</w:t>
            </w:r>
          </w:p>
        </w:tc>
        <w:tc>
          <w:tcPr>
            <w:tcW w:w="539" w:type="dxa"/>
            <w:tcBorders>
              <w:top w:val="nil"/>
              <w:left w:val="single" w:sz="4" w:space="0" w:color="auto"/>
              <w:bottom w:val="nil"/>
              <w:right w:val="nil"/>
            </w:tcBorders>
            <w:shd w:val="clear" w:color="auto" w:fill="auto"/>
            <w:noWrap/>
            <w:vAlign w:val="center"/>
            <w:hideMark/>
          </w:tcPr>
          <w:p w14:paraId="0E9A1E6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44</w:t>
            </w:r>
          </w:p>
        </w:tc>
        <w:tc>
          <w:tcPr>
            <w:tcW w:w="778" w:type="dxa"/>
            <w:tcBorders>
              <w:top w:val="nil"/>
              <w:left w:val="nil"/>
              <w:bottom w:val="nil"/>
              <w:right w:val="nil"/>
            </w:tcBorders>
            <w:shd w:val="clear" w:color="auto" w:fill="auto"/>
            <w:noWrap/>
            <w:vAlign w:val="center"/>
            <w:hideMark/>
          </w:tcPr>
          <w:p w14:paraId="498E44C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59.12 </w:t>
            </w:r>
          </w:p>
        </w:tc>
        <w:tc>
          <w:tcPr>
            <w:tcW w:w="1280" w:type="dxa"/>
            <w:tcBorders>
              <w:top w:val="nil"/>
              <w:left w:val="nil"/>
              <w:bottom w:val="nil"/>
              <w:right w:val="single" w:sz="4" w:space="0" w:color="auto"/>
            </w:tcBorders>
            <w:shd w:val="clear" w:color="auto" w:fill="auto"/>
            <w:noWrap/>
            <w:vAlign w:val="center"/>
            <w:hideMark/>
          </w:tcPr>
          <w:p w14:paraId="71F1E99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(40.34, 77.90)</w:t>
            </w:r>
          </w:p>
        </w:tc>
        <w:tc>
          <w:tcPr>
            <w:tcW w:w="539" w:type="dxa"/>
            <w:tcBorders>
              <w:top w:val="nil"/>
              <w:left w:val="single" w:sz="4" w:space="0" w:color="auto"/>
              <w:bottom w:val="nil"/>
              <w:right w:val="nil"/>
            </w:tcBorders>
            <w:shd w:val="clear" w:color="auto" w:fill="auto"/>
            <w:noWrap/>
            <w:vAlign w:val="center"/>
            <w:hideMark/>
          </w:tcPr>
          <w:p w14:paraId="689C7CB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50</w:t>
            </w:r>
          </w:p>
        </w:tc>
        <w:tc>
          <w:tcPr>
            <w:tcW w:w="778" w:type="dxa"/>
            <w:tcBorders>
              <w:top w:val="nil"/>
              <w:left w:val="nil"/>
              <w:bottom w:val="nil"/>
              <w:right w:val="nil"/>
            </w:tcBorders>
            <w:shd w:val="clear" w:color="auto" w:fill="auto"/>
            <w:noWrap/>
            <w:vAlign w:val="center"/>
            <w:hideMark/>
          </w:tcPr>
          <w:p w14:paraId="5669270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57.34 </w:t>
            </w:r>
          </w:p>
        </w:tc>
        <w:tc>
          <w:tcPr>
            <w:tcW w:w="1280" w:type="dxa"/>
            <w:tcBorders>
              <w:top w:val="nil"/>
              <w:left w:val="nil"/>
              <w:bottom w:val="nil"/>
              <w:right w:val="nil"/>
            </w:tcBorders>
            <w:shd w:val="clear" w:color="auto" w:fill="auto"/>
            <w:noWrap/>
            <w:vAlign w:val="center"/>
            <w:hideMark/>
          </w:tcPr>
          <w:p w14:paraId="1B0A703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(10.73, 103.96)</w:t>
            </w:r>
          </w:p>
        </w:tc>
      </w:tr>
      <w:tr w:rsidR="00D9465C" w:rsidRPr="00EA483D" w14:paraId="590BE89B" w14:textId="77777777" w:rsidTr="00DD0F28">
        <w:tc>
          <w:tcPr>
            <w:tcW w:w="1559" w:type="dxa"/>
            <w:tcBorders>
              <w:top w:val="nil"/>
              <w:left w:val="nil"/>
              <w:bottom w:val="nil"/>
              <w:right w:val="nil"/>
            </w:tcBorders>
            <w:shd w:val="clear" w:color="auto" w:fill="auto"/>
            <w:noWrap/>
            <w:hideMark/>
          </w:tcPr>
          <w:p w14:paraId="0DD4D202" w14:textId="77777777" w:rsidR="00D9465C" w:rsidRPr="005E3FD2" w:rsidRDefault="00D9465C" w:rsidP="00DD0F28">
            <w:pPr>
              <w:spacing w:after="20"/>
              <w:rPr>
                <w:i/>
                <w:color w:val="000000"/>
                <w:sz w:val="16"/>
                <w:szCs w:val="16"/>
                <w:lang w:eastAsia="en-NZ"/>
              </w:rPr>
            </w:pPr>
          </w:p>
        </w:tc>
        <w:tc>
          <w:tcPr>
            <w:tcW w:w="1090" w:type="dxa"/>
            <w:tcBorders>
              <w:top w:val="nil"/>
              <w:left w:val="nil"/>
              <w:bottom w:val="nil"/>
              <w:right w:val="nil"/>
            </w:tcBorders>
            <w:shd w:val="clear" w:color="auto" w:fill="auto"/>
            <w:noWrap/>
            <w:vAlign w:val="center"/>
            <w:hideMark/>
          </w:tcPr>
          <w:p w14:paraId="38893E84" w14:textId="77777777" w:rsidR="00D9465C" w:rsidRPr="005E3FD2" w:rsidRDefault="00D9465C" w:rsidP="00DD0F28">
            <w:pPr>
              <w:spacing w:after="20"/>
              <w:rPr>
                <w:i/>
                <w:color w:val="000000"/>
                <w:sz w:val="16"/>
                <w:szCs w:val="16"/>
                <w:lang w:eastAsia="en-NZ"/>
              </w:rPr>
            </w:pPr>
            <w:r w:rsidRPr="005E3FD2">
              <w:rPr>
                <w:i/>
                <w:color w:val="000000"/>
                <w:sz w:val="16"/>
                <w:szCs w:val="16"/>
                <w:lang w:eastAsia="en-NZ"/>
              </w:rPr>
              <w:t>Total</w:t>
            </w:r>
          </w:p>
        </w:tc>
        <w:tc>
          <w:tcPr>
            <w:tcW w:w="611" w:type="dxa"/>
            <w:tcBorders>
              <w:top w:val="nil"/>
              <w:left w:val="nil"/>
              <w:bottom w:val="nil"/>
              <w:right w:val="nil"/>
            </w:tcBorders>
            <w:shd w:val="clear" w:color="auto" w:fill="auto"/>
            <w:noWrap/>
            <w:vAlign w:val="center"/>
            <w:hideMark/>
          </w:tcPr>
          <w:p w14:paraId="043012BE"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154</w:t>
            </w:r>
          </w:p>
        </w:tc>
        <w:tc>
          <w:tcPr>
            <w:tcW w:w="709" w:type="dxa"/>
            <w:tcBorders>
              <w:top w:val="nil"/>
              <w:left w:val="nil"/>
              <w:bottom w:val="nil"/>
              <w:right w:val="nil"/>
            </w:tcBorders>
            <w:shd w:val="clear" w:color="auto" w:fill="auto"/>
            <w:noWrap/>
            <w:vAlign w:val="center"/>
            <w:hideMark/>
          </w:tcPr>
          <w:p w14:paraId="434BACC2"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 xml:space="preserve">88.13 </w:t>
            </w:r>
          </w:p>
        </w:tc>
        <w:tc>
          <w:tcPr>
            <w:tcW w:w="1361" w:type="dxa"/>
            <w:tcBorders>
              <w:top w:val="nil"/>
              <w:left w:val="nil"/>
              <w:bottom w:val="nil"/>
              <w:right w:val="single" w:sz="4" w:space="0" w:color="auto"/>
            </w:tcBorders>
            <w:shd w:val="clear" w:color="auto" w:fill="auto"/>
            <w:noWrap/>
            <w:vAlign w:val="center"/>
            <w:hideMark/>
          </w:tcPr>
          <w:p w14:paraId="492F6EFC"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(64.32, 111.94)</w:t>
            </w:r>
          </w:p>
        </w:tc>
        <w:tc>
          <w:tcPr>
            <w:tcW w:w="539" w:type="dxa"/>
            <w:tcBorders>
              <w:top w:val="nil"/>
              <w:left w:val="single" w:sz="4" w:space="0" w:color="auto"/>
              <w:bottom w:val="nil"/>
              <w:right w:val="nil"/>
            </w:tcBorders>
            <w:shd w:val="clear" w:color="auto" w:fill="auto"/>
            <w:noWrap/>
            <w:vAlign w:val="center"/>
            <w:hideMark/>
          </w:tcPr>
          <w:p w14:paraId="3BC19197"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99</w:t>
            </w:r>
          </w:p>
        </w:tc>
        <w:tc>
          <w:tcPr>
            <w:tcW w:w="778" w:type="dxa"/>
            <w:tcBorders>
              <w:top w:val="nil"/>
              <w:left w:val="nil"/>
              <w:bottom w:val="nil"/>
              <w:right w:val="nil"/>
            </w:tcBorders>
            <w:shd w:val="clear" w:color="auto" w:fill="auto"/>
            <w:noWrap/>
            <w:vAlign w:val="center"/>
            <w:hideMark/>
          </w:tcPr>
          <w:p w14:paraId="0BFB11BE"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 xml:space="preserve">70.98 </w:t>
            </w:r>
          </w:p>
        </w:tc>
        <w:tc>
          <w:tcPr>
            <w:tcW w:w="1361" w:type="dxa"/>
            <w:tcBorders>
              <w:top w:val="nil"/>
              <w:left w:val="nil"/>
              <w:bottom w:val="nil"/>
              <w:right w:val="single" w:sz="4" w:space="0" w:color="auto"/>
            </w:tcBorders>
            <w:shd w:val="clear" w:color="auto" w:fill="auto"/>
            <w:noWrap/>
            <w:vAlign w:val="center"/>
            <w:hideMark/>
          </w:tcPr>
          <w:p w14:paraId="39E46F3B"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(52.51, 89.44)</w:t>
            </w:r>
          </w:p>
        </w:tc>
        <w:tc>
          <w:tcPr>
            <w:tcW w:w="539" w:type="dxa"/>
            <w:tcBorders>
              <w:top w:val="nil"/>
              <w:left w:val="single" w:sz="4" w:space="0" w:color="auto"/>
              <w:bottom w:val="nil"/>
              <w:right w:val="nil"/>
            </w:tcBorders>
            <w:shd w:val="clear" w:color="auto" w:fill="auto"/>
            <w:noWrap/>
            <w:vAlign w:val="center"/>
            <w:hideMark/>
          </w:tcPr>
          <w:p w14:paraId="0B8BEFAC"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58</w:t>
            </w:r>
          </w:p>
        </w:tc>
        <w:tc>
          <w:tcPr>
            <w:tcW w:w="778" w:type="dxa"/>
            <w:tcBorders>
              <w:top w:val="nil"/>
              <w:left w:val="nil"/>
              <w:bottom w:val="nil"/>
              <w:right w:val="nil"/>
            </w:tcBorders>
            <w:shd w:val="clear" w:color="auto" w:fill="auto"/>
            <w:noWrap/>
            <w:vAlign w:val="center"/>
            <w:hideMark/>
          </w:tcPr>
          <w:p w14:paraId="127646AB"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 xml:space="preserve">79.59 </w:t>
            </w:r>
          </w:p>
        </w:tc>
        <w:tc>
          <w:tcPr>
            <w:tcW w:w="1280" w:type="dxa"/>
            <w:tcBorders>
              <w:top w:val="nil"/>
              <w:left w:val="nil"/>
              <w:bottom w:val="nil"/>
              <w:right w:val="single" w:sz="4" w:space="0" w:color="auto"/>
            </w:tcBorders>
            <w:shd w:val="clear" w:color="auto" w:fill="auto"/>
            <w:noWrap/>
            <w:vAlign w:val="center"/>
            <w:hideMark/>
          </w:tcPr>
          <w:p w14:paraId="5E81D5E7"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(56.57, 102.60)</w:t>
            </w:r>
          </w:p>
        </w:tc>
        <w:tc>
          <w:tcPr>
            <w:tcW w:w="539" w:type="dxa"/>
            <w:tcBorders>
              <w:top w:val="nil"/>
              <w:left w:val="single" w:sz="4" w:space="0" w:color="auto"/>
              <w:bottom w:val="nil"/>
              <w:right w:val="nil"/>
            </w:tcBorders>
            <w:shd w:val="clear" w:color="auto" w:fill="auto"/>
            <w:noWrap/>
            <w:vAlign w:val="center"/>
            <w:hideMark/>
          </w:tcPr>
          <w:p w14:paraId="35F7D935"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51</w:t>
            </w:r>
          </w:p>
        </w:tc>
        <w:tc>
          <w:tcPr>
            <w:tcW w:w="778" w:type="dxa"/>
            <w:tcBorders>
              <w:top w:val="nil"/>
              <w:left w:val="nil"/>
              <w:bottom w:val="nil"/>
              <w:right w:val="nil"/>
            </w:tcBorders>
            <w:shd w:val="clear" w:color="auto" w:fill="auto"/>
            <w:noWrap/>
            <w:vAlign w:val="center"/>
            <w:hideMark/>
          </w:tcPr>
          <w:p w14:paraId="00549B60"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 xml:space="preserve">93.21 </w:t>
            </w:r>
          </w:p>
        </w:tc>
        <w:tc>
          <w:tcPr>
            <w:tcW w:w="1280" w:type="dxa"/>
            <w:tcBorders>
              <w:top w:val="nil"/>
              <w:left w:val="nil"/>
              <w:bottom w:val="nil"/>
              <w:right w:val="nil"/>
            </w:tcBorders>
            <w:shd w:val="clear" w:color="auto" w:fill="auto"/>
            <w:noWrap/>
            <w:vAlign w:val="center"/>
            <w:hideMark/>
          </w:tcPr>
          <w:p w14:paraId="48D9728A"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(23.63, 162.80)</w:t>
            </w:r>
          </w:p>
        </w:tc>
      </w:tr>
      <w:tr w:rsidR="00D9465C" w:rsidRPr="00EA483D" w14:paraId="5F6230B6" w14:textId="77777777" w:rsidTr="00DD0F28">
        <w:tc>
          <w:tcPr>
            <w:tcW w:w="1559" w:type="dxa"/>
            <w:vMerge w:val="restart"/>
            <w:tcBorders>
              <w:top w:val="nil"/>
              <w:left w:val="nil"/>
              <w:right w:val="nil"/>
            </w:tcBorders>
            <w:shd w:val="clear" w:color="auto" w:fill="auto"/>
            <w:noWrap/>
            <w:hideMark/>
          </w:tcPr>
          <w:p w14:paraId="38E76DAE"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Moderate-risk/</w:t>
            </w:r>
          </w:p>
          <w:p w14:paraId="21679137"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Problem gambler</w:t>
            </w:r>
          </w:p>
        </w:tc>
        <w:tc>
          <w:tcPr>
            <w:tcW w:w="1090" w:type="dxa"/>
            <w:tcBorders>
              <w:top w:val="nil"/>
              <w:left w:val="nil"/>
              <w:bottom w:val="nil"/>
              <w:right w:val="nil"/>
            </w:tcBorders>
            <w:shd w:val="clear" w:color="auto" w:fill="auto"/>
            <w:noWrap/>
            <w:vAlign w:val="center"/>
            <w:hideMark/>
          </w:tcPr>
          <w:p w14:paraId="1D3ABF21"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Casino</w:t>
            </w:r>
          </w:p>
        </w:tc>
        <w:tc>
          <w:tcPr>
            <w:tcW w:w="611" w:type="dxa"/>
            <w:tcBorders>
              <w:top w:val="nil"/>
              <w:left w:val="nil"/>
              <w:bottom w:val="nil"/>
              <w:right w:val="nil"/>
            </w:tcBorders>
            <w:shd w:val="clear" w:color="auto" w:fill="auto"/>
            <w:noWrap/>
            <w:vAlign w:val="center"/>
            <w:hideMark/>
          </w:tcPr>
          <w:p w14:paraId="71C307C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60</w:t>
            </w:r>
          </w:p>
        </w:tc>
        <w:tc>
          <w:tcPr>
            <w:tcW w:w="709" w:type="dxa"/>
            <w:tcBorders>
              <w:top w:val="nil"/>
              <w:left w:val="nil"/>
              <w:bottom w:val="nil"/>
              <w:right w:val="nil"/>
            </w:tcBorders>
            <w:shd w:val="clear" w:color="auto" w:fill="auto"/>
            <w:noWrap/>
            <w:vAlign w:val="center"/>
            <w:hideMark/>
          </w:tcPr>
          <w:p w14:paraId="620EB01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121.55 </w:t>
            </w:r>
          </w:p>
        </w:tc>
        <w:tc>
          <w:tcPr>
            <w:tcW w:w="1361" w:type="dxa"/>
            <w:tcBorders>
              <w:top w:val="nil"/>
              <w:left w:val="nil"/>
              <w:bottom w:val="nil"/>
              <w:right w:val="single" w:sz="4" w:space="0" w:color="auto"/>
            </w:tcBorders>
            <w:shd w:val="clear" w:color="auto" w:fill="auto"/>
            <w:noWrap/>
            <w:vAlign w:val="center"/>
            <w:hideMark/>
          </w:tcPr>
          <w:p w14:paraId="6885545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(87.53, 155.56)</w:t>
            </w:r>
          </w:p>
        </w:tc>
        <w:tc>
          <w:tcPr>
            <w:tcW w:w="539" w:type="dxa"/>
            <w:tcBorders>
              <w:top w:val="nil"/>
              <w:left w:val="single" w:sz="4" w:space="0" w:color="auto"/>
              <w:bottom w:val="nil"/>
              <w:right w:val="nil"/>
            </w:tcBorders>
            <w:shd w:val="clear" w:color="auto" w:fill="auto"/>
            <w:noWrap/>
            <w:vAlign w:val="center"/>
            <w:hideMark/>
          </w:tcPr>
          <w:p w14:paraId="5E026BF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25</w:t>
            </w:r>
          </w:p>
        </w:tc>
        <w:tc>
          <w:tcPr>
            <w:tcW w:w="778" w:type="dxa"/>
            <w:tcBorders>
              <w:top w:val="nil"/>
              <w:left w:val="nil"/>
              <w:bottom w:val="nil"/>
              <w:right w:val="nil"/>
            </w:tcBorders>
            <w:shd w:val="clear" w:color="auto" w:fill="auto"/>
            <w:noWrap/>
            <w:vAlign w:val="center"/>
            <w:hideMark/>
          </w:tcPr>
          <w:p w14:paraId="1DF4F06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88.31 </w:t>
            </w:r>
          </w:p>
        </w:tc>
        <w:tc>
          <w:tcPr>
            <w:tcW w:w="1361" w:type="dxa"/>
            <w:tcBorders>
              <w:top w:val="nil"/>
              <w:left w:val="nil"/>
              <w:bottom w:val="nil"/>
              <w:right w:val="single" w:sz="4" w:space="0" w:color="auto"/>
            </w:tcBorders>
            <w:shd w:val="clear" w:color="auto" w:fill="auto"/>
            <w:noWrap/>
            <w:vAlign w:val="center"/>
            <w:hideMark/>
          </w:tcPr>
          <w:p w14:paraId="58B8253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(60.31, 116.32)</w:t>
            </w:r>
          </w:p>
        </w:tc>
        <w:tc>
          <w:tcPr>
            <w:tcW w:w="539" w:type="dxa"/>
            <w:tcBorders>
              <w:top w:val="nil"/>
              <w:left w:val="single" w:sz="4" w:space="0" w:color="auto"/>
              <w:bottom w:val="nil"/>
              <w:right w:val="nil"/>
            </w:tcBorders>
            <w:shd w:val="clear" w:color="auto" w:fill="auto"/>
            <w:noWrap/>
            <w:vAlign w:val="center"/>
            <w:hideMark/>
          </w:tcPr>
          <w:p w14:paraId="2B78A1D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12</w:t>
            </w:r>
          </w:p>
        </w:tc>
        <w:tc>
          <w:tcPr>
            <w:tcW w:w="778" w:type="dxa"/>
            <w:tcBorders>
              <w:top w:val="nil"/>
              <w:left w:val="nil"/>
              <w:bottom w:val="nil"/>
              <w:right w:val="nil"/>
            </w:tcBorders>
            <w:shd w:val="clear" w:color="auto" w:fill="auto"/>
            <w:noWrap/>
            <w:vAlign w:val="center"/>
            <w:hideMark/>
          </w:tcPr>
          <w:p w14:paraId="4DE5C6C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97.05 </w:t>
            </w:r>
          </w:p>
        </w:tc>
        <w:tc>
          <w:tcPr>
            <w:tcW w:w="1280" w:type="dxa"/>
            <w:tcBorders>
              <w:top w:val="nil"/>
              <w:left w:val="nil"/>
              <w:bottom w:val="nil"/>
              <w:right w:val="single" w:sz="4" w:space="0" w:color="auto"/>
            </w:tcBorders>
            <w:shd w:val="clear" w:color="auto" w:fill="auto"/>
            <w:noWrap/>
            <w:vAlign w:val="center"/>
            <w:hideMark/>
          </w:tcPr>
          <w:p w14:paraId="03072B3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w:t>
            </w:r>
          </w:p>
        </w:tc>
        <w:tc>
          <w:tcPr>
            <w:tcW w:w="539" w:type="dxa"/>
            <w:tcBorders>
              <w:top w:val="nil"/>
              <w:left w:val="single" w:sz="4" w:space="0" w:color="auto"/>
              <w:bottom w:val="nil"/>
              <w:right w:val="nil"/>
            </w:tcBorders>
            <w:shd w:val="clear" w:color="auto" w:fill="auto"/>
            <w:noWrap/>
            <w:vAlign w:val="center"/>
            <w:hideMark/>
          </w:tcPr>
          <w:p w14:paraId="45129B6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24</w:t>
            </w:r>
          </w:p>
        </w:tc>
        <w:tc>
          <w:tcPr>
            <w:tcW w:w="778" w:type="dxa"/>
            <w:tcBorders>
              <w:top w:val="nil"/>
              <w:left w:val="nil"/>
              <w:bottom w:val="nil"/>
              <w:right w:val="nil"/>
            </w:tcBorders>
            <w:shd w:val="clear" w:color="auto" w:fill="auto"/>
            <w:noWrap/>
            <w:vAlign w:val="center"/>
            <w:hideMark/>
          </w:tcPr>
          <w:p w14:paraId="75E17D6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106.58 </w:t>
            </w:r>
          </w:p>
        </w:tc>
        <w:tc>
          <w:tcPr>
            <w:tcW w:w="1280" w:type="dxa"/>
            <w:tcBorders>
              <w:top w:val="nil"/>
              <w:left w:val="nil"/>
              <w:bottom w:val="nil"/>
              <w:right w:val="nil"/>
            </w:tcBorders>
            <w:shd w:val="clear" w:color="auto" w:fill="auto"/>
            <w:noWrap/>
            <w:vAlign w:val="center"/>
            <w:hideMark/>
          </w:tcPr>
          <w:p w14:paraId="6694392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(49.29, 163.86)</w:t>
            </w:r>
          </w:p>
        </w:tc>
      </w:tr>
      <w:tr w:rsidR="00D9465C" w:rsidRPr="00EA483D" w14:paraId="004C23D2" w14:textId="77777777" w:rsidTr="00DD0F28">
        <w:tc>
          <w:tcPr>
            <w:tcW w:w="1559" w:type="dxa"/>
            <w:vMerge/>
            <w:tcBorders>
              <w:left w:val="nil"/>
              <w:right w:val="nil"/>
            </w:tcBorders>
            <w:shd w:val="clear" w:color="auto" w:fill="auto"/>
            <w:noWrap/>
            <w:hideMark/>
          </w:tcPr>
          <w:p w14:paraId="54F3AD41" w14:textId="77777777" w:rsidR="00D9465C" w:rsidRPr="005E3FD2" w:rsidRDefault="00D9465C" w:rsidP="00DD0F28">
            <w:pPr>
              <w:spacing w:after="20"/>
              <w:rPr>
                <w:color w:val="000000"/>
                <w:sz w:val="16"/>
                <w:szCs w:val="16"/>
                <w:lang w:eastAsia="en-NZ"/>
              </w:rPr>
            </w:pPr>
          </w:p>
        </w:tc>
        <w:tc>
          <w:tcPr>
            <w:tcW w:w="1090" w:type="dxa"/>
            <w:tcBorders>
              <w:top w:val="nil"/>
              <w:left w:val="nil"/>
              <w:bottom w:val="nil"/>
              <w:right w:val="nil"/>
            </w:tcBorders>
            <w:shd w:val="clear" w:color="auto" w:fill="auto"/>
            <w:noWrap/>
            <w:vAlign w:val="center"/>
            <w:hideMark/>
          </w:tcPr>
          <w:p w14:paraId="234A691D"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Pub</w:t>
            </w:r>
          </w:p>
        </w:tc>
        <w:tc>
          <w:tcPr>
            <w:tcW w:w="611" w:type="dxa"/>
            <w:tcBorders>
              <w:top w:val="nil"/>
              <w:left w:val="nil"/>
              <w:bottom w:val="nil"/>
              <w:right w:val="nil"/>
            </w:tcBorders>
            <w:shd w:val="clear" w:color="auto" w:fill="auto"/>
            <w:noWrap/>
            <w:vAlign w:val="center"/>
            <w:hideMark/>
          </w:tcPr>
          <w:p w14:paraId="78AF307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93</w:t>
            </w:r>
          </w:p>
        </w:tc>
        <w:tc>
          <w:tcPr>
            <w:tcW w:w="709" w:type="dxa"/>
            <w:tcBorders>
              <w:top w:val="nil"/>
              <w:left w:val="nil"/>
              <w:bottom w:val="nil"/>
              <w:right w:val="nil"/>
            </w:tcBorders>
            <w:shd w:val="clear" w:color="auto" w:fill="auto"/>
            <w:noWrap/>
            <w:vAlign w:val="center"/>
            <w:hideMark/>
          </w:tcPr>
          <w:p w14:paraId="73E3F2A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135.49 </w:t>
            </w:r>
          </w:p>
        </w:tc>
        <w:tc>
          <w:tcPr>
            <w:tcW w:w="1361" w:type="dxa"/>
            <w:tcBorders>
              <w:top w:val="nil"/>
              <w:left w:val="nil"/>
              <w:bottom w:val="nil"/>
              <w:right w:val="single" w:sz="4" w:space="0" w:color="auto"/>
            </w:tcBorders>
            <w:shd w:val="clear" w:color="auto" w:fill="auto"/>
            <w:noWrap/>
            <w:vAlign w:val="center"/>
            <w:hideMark/>
          </w:tcPr>
          <w:p w14:paraId="0AE15A1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(70.99, 200.00)</w:t>
            </w:r>
          </w:p>
        </w:tc>
        <w:tc>
          <w:tcPr>
            <w:tcW w:w="539" w:type="dxa"/>
            <w:tcBorders>
              <w:top w:val="nil"/>
              <w:left w:val="single" w:sz="4" w:space="0" w:color="auto"/>
              <w:bottom w:val="nil"/>
              <w:right w:val="nil"/>
            </w:tcBorders>
            <w:shd w:val="clear" w:color="auto" w:fill="auto"/>
            <w:noWrap/>
            <w:vAlign w:val="center"/>
            <w:hideMark/>
          </w:tcPr>
          <w:p w14:paraId="0249373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36</w:t>
            </w:r>
          </w:p>
        </w:tc>
        <w:tc>
          <w:tcPr>
            <w:tcW w:w="778" w:type="dxa"/>
            <w:tcBorders>
              <w:top w:val="nil"/>
              <w:left w:val="nil"/>
              <w:bottom w:val="nil"/>
              <w:right w:val="nil"/>
            </w:tcBorders>
            <w:shd w:val="clear" w:color="auto" w:fill="auto"/>
            <w:noWrap/>
            <w:vAlign w:val="center"/>
            <w:hideMark/>
          </w:tcPr>
          <w:p w14:paraId="4DD6ED5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133.65 </w:t>
            </w:r>
          </w:p>
        </w:tc>
        <w:tc>
          <w:tcPr>
            <w:tcW w:w="1361" w:type="dxa"/>
            <w:tcBorders>
              <w:top w:val="nil"/>
              <w:left w:val="nil"/>
              <w:bottom w:val="nil"/>
              <w:right w:val="single" w:sz="4" w:space="0" w:color="auto"/>
            </w:tcBorders>
            <w:shd w:val="clear" w:color="auto" w:fill="auto"/>
            <w:noWrap/>
            <w:vAlign w:val="center"/>
            <w:hideMark/>
          </w:tcPr>
          <w:p w14:paraId="495B6E8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(82.50, 184.80)</w:t>
            </w:r>
          </w:p>
        </w:tc>
        <w:tc>
          <w:tcPr>
            <w:tcW w:w="539" w:type="dxa"/>
            <w:tcBorders>
              <w:top w:val="nil"/>
              <w:left w:val="single" w:sz="4" w:space="0" w:color="auto"/>
              <w:bottom w:val="nil"/>
              <w:right w:val="nil"/>
            </w:tcBorders>
            <w:shd w:val="clear" w:color="auto" w:fill="auto"/>
            <w:noWrap/>
            <w:vAlign w:val="center"/>
            <w:hideMark/>
          </w:tcPr>
          <w:p w14:paraId="53AC3F0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28</w:t>
            </w:r>
          </w:p>
        </w:tc>
        <w:tc>
          <w:tcPr>
            <w:tcW w:w="778" w:type="dxa"/>
            <w:tcBorders>
              <w:top w:val="nil"/>
              <w:left w:val="nil"/>
              <w:bottom w:val="nil"/>
              <w:right w:val="nil"/>
            </w:tcBorders>
            <w:shd w:val="clear" w:color="auto" w:fill="auto"/>
            <w:noWrap/>
            <w:vAlign w:val="center"/>
            <w:hideMark/>
          </w:tcPr>
          <w:p w14:paraId="11FAF7C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74.69 </w:t>
            </w:r>
          </w:p>
        </w:tc>
        <w:tc>
          <w:tcPr>
            <w:tcW w:w="1280" w:type="dxa"/>
            <w:tcBorders>
              <w:top w:val="nil"/>
              <w:left w:val="nil"/>
              <w:bottom w:val="nil"/>
              <w:right w:val="single" w:sz="4" w:space="0" w:color="auto"/>
            </w:tcBorders>
            <w:shd w:val="clear" w:color="auto" w:fill="auto"/>
            <w:noWrap/>
            <w:vAlign w:val="center"/>
            <w:hideMark/>
          </w:tcPr>
          <w:p w14:paraId="63FFD63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(57.71, 91.67)</w:t>
            </w:r>
          </w:p>
        </w:tc>
        <w:tc>
          <w:tcPr>
            <w:tcW w:w="539" w:type="dxa"/>
            <w:tcBorders>
              <w:top w:val="nil"/>
              <w:left w:val="single" w:sz="4" w:space="0" w:color="auto"/>
              <w:bottom w:val="nil"/>
              <w:right w:val="nil"/>
            </w:tcBorders>
            <w:shd w:val="clear" w:color="auto" w:fill="auto"/>
            <w:noWrap/>
            <w:vAlign w:val="center"/>
            <w:hideMark/>
          </w:tcPr>
          <w:p w14:paraId="68CA0F2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20</w:t>
            </w:r>
          </w:p>
        </w:tc>
        <w:tc>
          <w:tcPr>
            <w:tcW w:w="778" w:type="dxa"/>
            <w:tcBorders>
              <w:top w:val="nil"/>
              <w:left w:val="nil"/>
              <w:bottom w:val="nil"/>
              <w:right w:val="nil"/>
            </w:tcBorders>
            <w:shd w:val="clear" w:color="auto" w:fill="auto"/>
            <w:noWrap/>
            <w:vAlign w:val="center"/>
            <w:hideMark/>
          </w:tcPr>
          <w:p w14:paraId="2AB3A80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91.75 </w:t>
            </w:r>
          </w:p>
        </w:tc>
        <w:tc>
          <w:tcPr>
            <w:tcW w:w="1280" w:type="dxa"/>
            <w:tcBorders>
              <w:top w:val="nil"/>
              <w:left w:val="nil"/>
              <w:bottom w:val="nil"/>
              <w:right w:val="nil"/>
            </w:tcBorders>
            <w:shd w:val="clear" w:color="auto" w:fill="auto"/>
            <w:noWrap/>
            <w:vAlign w:val="center"/>
            <w:hideMark/>
          </w:tcPr>
          <w:p w14:paraId="4941E71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(46.73, 136.77)</w:t>
            </w:r>
          </w:p>
        </w:tc>
      </w:tr>
      <w:tr w:rsidR="00D9465C" w:rsidRPr="00EA483D" w14:paraId="1D14F4F3" w14:textId="77777777" w:rsidTr="00DD0F28">
        <w:tc>
          <w:tcPr>
            <w:tcW w:w="1559" w:type="dxa"/>
            <w:vMerge/>
            <w:tcBorders>
              <w:left w:val="nil"/>
              <w:bottom w:val="nil"/>
              <w:right w:val="nil"/>
            </w:tcBorders>
            <w:shd w:val="clear" w:color="auto" w:fill="auto"/>
            <w:noWrap/>
            <w:hideMark/>
          </w:tcPr>
          <w:p w14:paraId="0406F26E" w14:textId="77777777" w:rsidR="00D9465C" w:rsidRPr="005E3FD2" w:rsidRDefault="00D9465C" w:rsidP="00DD0F28">
            <w:pPr>
              <w:spacing w:after="20"/>
              <w:rPr>
                <w:color w:val="000000"/>
                <w:sz w:val="16"/>
                <w:szCs w:val="16"/>
                <w:lang w:eastAsia="en-NZ"/>
              </w:rPr>
            </w:pPr>
          </w:p>
        </w:tc>
        <w:tc>
          <w:tcPr>
            <w:tcW w:w="1090" w:type="dxa"/>
            <w:tcBorders>
              <w:top w:val="nil"/>
              <w:left w:val="nil"/>
              <w:bottom w:val="nil"/>
              <w:right w:val="nil"/>
            </w:tcBorders>
            <w:shd w:val="clear" w:color="auto" w:fill="auto"/>
            <w:noWrap/>
            <w:vAlign w:val="center"/>
            <w:hideMark/>
          </w:tcPr>
          <w:p w14:paraId="198F0FDA"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Club</w:t>
            </w:r>
          </w:p>
        </w:tc>
        <w:tc>
          <w:tcPr>
            <w:tcW w:w="611" w:type="dxa"/>
            <w:tcBorders>
              <w:top w:val="nil"/>
              <w:left w:val="nil"/>
              <w:bottom w:val="nil"/>
              <w:right w:val="nil"/>
            </w:tcBorders>
            <w:shd w:val="clear" w:color="auto" w:fill="auto"/>
            <w:noWrap/>
            <w:vAlign w:val="center"/>
            <w:hideMark/>
          </w:tcPr>
          <w:p w14:paraId="205FCE4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35</w:t>
            </w:r>
          </w:p>
        </w:tc>
        <w:tc>
          <w:tcPr>
            <w:tcW w:w="709" w:type="dxa"/>
            <w:tcBorders>
              <w:top w:val="nil"/>
              <w:left w:val="nil"/>
              <w:bottom w:val="nil"/>
              <w:right w:val="nil"/>
            </w:tcBorders>
            <w:shd w:val="clear" w:color="auto" w:fill="auto"/>
            <w:noWrap/>
            <w:vAlign w:val="center"/>
            <w:hideMark/>
          </w:tcPr>
          <w:p w14:paraId="1679A10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144.71 </w:t>
            </w:r>
          </w:p>
        </w:tc>
        <w:tc>
          <w:tcPr>
            <w:tcW w:w="1361" w:type="dxa"/>
            <w:tcBorders>
              <w:top w:val="nil"/>
              <w:left w:val="nil"/>
              <w:bottom w:val="nil"/>
              <w:right w:val="single" w:sz="4" w:space="0" w:color="auto"/>
            </w:tcBorders>
            <w:shd w:val="clear" w:color="auto" w:fill="auto"/>
            <w:noWrap/>
            <w:vAlign w:val="center"/>
            <w:hideMark/>
          </w:tcPr>
          <w:p w14:paraId="532229F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(21.05, 268.38)</w:t>
            </w:r>
          </w:p>
        </w:tc>
        <w:tc>
          <w:tcPr>
            <w:tcW w:w="539" w:type="dxa"/>
            <w:tcBorders>
              <w:top w:val="nil"/>
              <w:left w:val="single" w:sz="4" w:space="0" w:color="auto"/>
              <w:bottom w:val="nil"/>
              <w:right w:val="nil"/>
            </w:tcBorders>
            <w:shd w:val="clear" w:color="auto" w:fill="auto"/>
            <w:noWrap/>
            <w:vAlign w:val="center"/>
            <w:hideMark/>
          </w:tcPr>
          <w:p w14:paraId="60B1E52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16</w:t>
            </w:r>
          </w:p>
        </w:tc>
        <w:tc>
          <w:tcPr>
            <w:tcW w:w="778" w:type="dxa"/>
            <w:tcBorders>
              <w:top w:val="nil"/>
              <w:left w:val="nil"/>
              <w:bottom w:val="nil"/>
              <w:right w:val="nil"/>
            </w:tcBorders>
            <w:shd w:val="clear" w:color="auto" w:fill="auto"/>
            <w:noWrap/>
            <w:vAlign w:val="center"/>
            <w:hideMark/>
          </w:tcPr>
          <w:p w14:paraId="23B1E71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93.53 </w:t>
            </w:r>
          </w:p>
        </w:tc>
        <w:tc>
          <w:tcPr>
            <w:tcW w:w="1361" w:type="dxa"/>
            <w:tcBorders>
              <w:top w:val="nil"/>
              <w:left w:val="nil"/>
              <w:bottom w:val="nil"/>
              <w:right w:val="single" w:sz="4" w:space="0" w:color="auto"/>
            </w:tcBorders>
            <w:shd w:val="clear" w:color="auto" w:fill="auto"/>
            <w:noWrap/>
            <w:vAlign w:val="center"/>
            <w:hideMark/>
          </w:tcPr>
          <w:p w14:paraId="7AFAF48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(70.66, 116.40)</w:t>
            </w:r>
          </w:p>
        </w:tc>
        <w:tc>
          <w:tcPr>
            <w:tcW w:w="539" w:type="dxa"/>
            <w:tcBorders>
              <w:top w:val="nil"/>
              <w:left w:val="single" w:sz="4" w:space="0" w:color="auto"/>
              <w:bottom w:val="nil"/>
              <w:right w:val="nil"/>
            </w:tcBorders>
            <w:shd w:val="clear" w:color="auto" w:fill="auto"/>
            <w:noWrap/>
            <w:vAlign w:val="center"/>
            <w:hideMark/>
          </w:tcPr>
          <w:p w14:paraId="0882FDF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10</w:t>
            </w:r>
          </w:p>
        </w:tc>
        <w:tc>
          <w:tcPr>
            <w:tcW w:w="778" w:type="dxa"/>
            <w:tcBorders>
              <w:top w:val="nil"/>
              <w:left w:val="nil"/>
              <w:bottom w:val="nil"/>
              <w:right w:val="nil"/>
            </w:tcBorders>
            <w:shd w:val="clear" w:color="auto" w:fill="auto"/>
            <w:noWrap/>
            <w:vAlign w:val="center"/>
            <w:hideMark/>
          </w:tcPr>
          <w:p w14:paraId="2454AA7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86.72 </w:t>
            </w:r>
          </w:p>
        </w:tc>
        <w:tc>
          <w:tcPr>
            <w:tcW w:w="1280" w:type="dxa"/>
            <w:tcBorders>
              <w:top w:val="nil"/>
              <w:left w:val="nil"/>
              <w:bottom w:val="nil"/>
              <w:right w:val="single" w:sz="4" w:space="0" w:color="auto"/>
            </w:tcBorders>
            <w:shd w:val="clear" w:color="auto" w:fill="auto"/>
            <w:noWrap/>
            <w:vAlign w:val="center"/>
            <w:hideMark/>
          </w:tcPr>
          <w:p w14:paraId="5F1B8B1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w:t>
            </w:r>
          </w:p>
        </w:tc>
        <w:tc>
          <w:tcPr>
            <w:tcW w:w="539" w:type="dxa"/>
            <w:tcBorders>
              <w:top w:val="nil"/>
              <w:left w:val="single" w:sz="4" w:space="0" w:color="auto"/>
              <w:bottom w:val="nil"/>
              <w:right w:val="nil"/>
            </w:tcBorders>
            <w:shd w:val="clear" w:color="auto" w:fill="auto"/>
            <w:noWrap/>
            <w:vAlign w:val="center"/>
            <w:hideMark/>
          </w:tcPr>
          <w:p w14:paraId="3EB4BE1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11</w:t>
            </w:r>
          </w:p>
        </w:tc>
        <w:tc>
          <w:tcPr>
            <w:tcW w:w="778" w:type="dxa"/>
            <w:tcBorders>
              <w:top w:val="nil"/>
              <w:left w:val="nil"/>
              <w:bottom w:val="nil"/>
              <w:right w:val="nil"/>
            </w:tcBorders>
            <w:shd w:val="clear" w:color="auto" w:fill="auto"/>
            <w:noWrap/>
            <w:vAlign w:val="center"/>
            <w:hideMark/>
          </w:tcPr>
          <w:p w14:paraId="36EE2B9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110.16 </w:t>
            </w:r>
          </w:p>
        </w:tc>
        <w:tc>
          <w:tcPr>
            <w:tcW w:w="1280" w:type="dxa"/>
            <w:tcBorders>
              <w:top w:val="nil"/>
              <w:left w:val="nil"/>
              <w:bottom w:val="nil"/>
              <w:right w:val="nil"/>
            </w:tcBorders>
            <w:shd w:val="clear" w:color="auto" w:fill="auto"/>
            <w:noWrap/>
            <w:vAlign w:val="center"/>
            <w:hideMark/>
          </w:tcPr>
          <w:p w14:paraId="6A0A02A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w:t>
            </w:r>
          </w:p>
        </w:tc>
      </w:tr>
      <w:tr w:rsidR="00D9465C" w:rsidRPr="00EA483D" w14:paraId="7539D9A8" w14:textId="77777777" w:rsidTr="00DD0F28">
        <w:tc>
          <w:tcPr>
            <w:tcW w:w="1559" w:type="dxa"/>
            <w:tcBorders>
              <w:top w:val="nil"/>
              <w:left w:val="nil"/>
              <w:bottom w:val="nil"/>
              <w:right w:val="nil"/>
            </w:tcBorders>
            <w:shd w:val="clear" w:color="auto" w:fill="auto"/>
            <w:noWrap/>
            <w:hideMark/>
          </w:tcPr>
          <w:p w14:paraId="4805C2CD" w14:textId="77777777" w:rsidR="00D9465C" w:rsidRPr="005E3FD2" w:rsidRDefault="00D9465C" w:rsidP="00DD0F28">
            <w:pPr>
              <w:spacing w:after="20"/>
              <w:rPr>
                <w:color w:val="000000"/>
                <w:sz w:val="16"/>
                <w:szCs w:val="16"/>
                <w:lang w:eastAsia="en-NZ"/>
              </w:rPr>
            </w:pPr>
          </w:p>
        </w:tc>
        <w:tc>
          <w:tcPr>
            <w:tcW w:w="1090" w:type="dxa"/>
            <w:tcBorders>
              <w:top w:val="nil"/>
              <w:left w:val="nil"/>
              <w:bottom w:val="nil"/>
              <w:right w:val="nil"/>
            </w:tcBorders>
            <w:shd w:val="clear" w:color="auto" w:fill="auto"/>
            <w:noWrap/>
            <w:vAlign w:val="center"/>
            <w:hideMark/>
          </w:tcPr>
          <w:p w14:paraId="200F18FA"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Pub + club</w:t>
            </w:r>
          </w:p>
        </w:tc>
        <w:tc>
          <w:tcPr>
            <w:tcW w:w="611" w:type="dxa"/>
            <w:tcBorders>
              <w:top w:val="nil"/>
              <w:left w:val="nil"/>
              <w:bottom w:val="nil"/>
              <w:right w:val="nil"/>
            </w:tcBorders>
            <w:shd w:val="clear" w:color="auto" w:fill="auto"/>
            <w:noWrap/>
            <w:vAlign w:val="center"/>
            <w:hideMark/>
          </w:tcPr>
          <w:p w14:paraId="7E3DF4E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98</w:t>
            </w:r>
          </w:p>
        </w:tc>
        <w:tc>
          <w:tcPr>
            <w:tcW w:w="709" w:type="dxa"/>
            <w:tcBorders>
              <w:top w:val="nil"/>
              <w:left w:val="nil"/>
              <w:bottom w:val="nil"/>
              <w:right w:val="nil"/>
            </w:tcBorders>
            <w:shd w:val="clear" w:color="auto" w:fill="auto"/>
            <w:noWrap/>
            <w:vAlign w:val="center"/>
            <w:hideMark/>
          </w:tcPr>
          <w:p w14:paraId="29E82F3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179.83 </w:t>
            </w:r>
          </w:p>
        </w:tc>
        <w:tc>
          <w:tcPr>
            <w:tcW w:w="1361" w:type="dxa"/>
            <w:tcBorders>
              <w:top w:val="nil"/>
              <w:left w:val="nil"/>
              <w:bottom w:val="nil"/>
              <w:right w:val="single" w:sz="4" w:space="0" w:color="auto"/>
            </w:tcBorders>
            <w:shd w:val="clear" w:color="auto" w:fill="auto"/>
            <w:noWrap/>
            <w:vAlign w:val="center"/>
            <w:hideMark/>
          </w:tcPr>
          <w:p w14:paraId="4B67EB9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(97.24, 262.42)</w:t>
            </w:r>
          </w:p>
        </w:tc>
        <w:tc>
          <w:tcPr>
            <w:tcW w:w="539" w:type="dxa"/>
            <w:tcBorders>
              <w:top w:val="nil"/>
              <w:left w:val="single" w:sz="4" w:space="0" w:color="auto"/>
              <w:bottom w:val="nil"/>
              <w:right w:val="nil"/>
            </w:tcBorders>
            <w:shd w:val="clear" w:color="auto" w:fill="auto"/>
            <w:noWrap/>
            <w:vAlign w:val="center"/>
            <w:hideMark/>
          </w:tcPr>
          <w:p w14:paraId="6CC5791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39</w:t>
            </w:r>
          </w:p>
        </w:tc>
        <w:tc>
          <w:tcPr>
            <w:tcW w:w="778" w:type="dxa"/>
            <w:tcBorders>
              <w:top w:val="nil"/>
              <w:left w:val="nil"/>
              <w:bottom w:val="nil"/>
              <w:right w:val="nil"/>
            </w:tcBorders>
            <w:shd w:val="clear" w:color="auto" w:fill="auto"/>
            <w:noWrap/>
            <w:vAlign w:val="center"/>
            <w:hideMark/>
          </w:tcPr>
          <w:p w14:paraId="6EC41A0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157.50 </w:t>
            </w:r>
          </w:p>
        </w:tc>
        <w:tc>
          <w:tcPr>
            <w:tcW w:w="1361" w:type="dxa"/>
            <w:tcBorders>
              <w:top w:val="nil"/>
              <w:left w:val="nil"/>
              <w:bottom w:val="nil"/>
              <w:right w:val="single" w:sz="4" w:space="0" w:color="auto"/>
            </w:tcBorders>
            <w:shd w:val="clear" w:color="auto" w:fill="auto"/>
            <w:noWrap/>
            <w:vAlign w:val="center"/>
            <w:hideMark/>
          </w:tcPr>
          <w:p w14:paraId="7427B6A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(110.56, 204.44)</w:t>
            </w:r>
          </w:p>
        </w:tc>
        <w:tc>
          <w:tcPr>
            <w:tcW w:w="539" w:type="dxa"/>
            <w:tcBorders>
              <w:top w:val="nil"/>
              <w:left w:val="single" w:sz="4" w:space="0" w:color="auto"/>
              <w:bottom w:val="nil"/>
              <w:right w:val="nil"/>
            </w:tcBorders>
            <w:shd w:val="clear" w:color="auto" w:fill="auto"/>
            <w:noWrap/>
            <w:vAlign w:val="center"/>
            <w:hideMark/>
          </w:tcPr>
          <w:p w14:paraId="329696A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30</w:t>
            </w:r>
          </w:p>
        </w:tc>
        <w:tc>
          <w:tcPr>
            <w:tcW w:w="778" w:type="dxa"/>
            <w:tcBorders>
              <w:top w:val="nil"/>
              <w:left w:val="nil"/>
              <w:bottom w:val="nil"/>
              <w:right w:val="nil"/>
            </w:tcBorders>
            <w:shd w:val="clear" w:color="auto" w:fill="auto"/>
            <w:noWrap/>
            <w:vAlign w:val="center"/>
            <w:hideMark/>
          </w:tcPr>
          <w:p w14:paraId="561E863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99.44 </w:t>
            </w:r>
          </w:p>
        </w:tc>
        <w:tc>
          <w:tcPr>
            <w:tcW w:w="1280" w:type="dxa"/>
            <w:tcBorders>
              <w:top w:val="nil"/>
              <w:left w:val="nil"/>
              <w:bottom w:val="nil"/>
              <w:right w:val="single" w:sz="4" w:space="0" w:color="auto"/>
            </w:tcBorders>
            <w:shd w:val="clear" w:color="auto" w:fill="auto"/>
            <w:noWrap/>
            <w:vAlign w:val="center"/>
            <w:hideMark/>
          </w:tcPr>
          <w:p w14:paraId="6C0FEE5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(75.21, 123.67)</w:t>
            </w:r>
          </w:p>
        </w:tc>
        <w:tc>
          <w:tcPr>
            <w:tcW w:w="539" w:type="dxa"/>
            <w:tcBorders>
              <w:top w:val="nil"/>
              <w:left w:val="single" w:sz="4" w:space="0" w:color="auto"/>
              <w:bottom w:val="nil"/>
              <w:right w:val="nil"/>
            </w:tcBorders>
            <w:shd w:val="clear" w:color="auto" w:fill="auto"/>
            <w:noWrap/>
            <w:vAlign w:val="center"/>
            <w:hideMark/>
          </w:tcPr>
          <w:p w14:paraId="3A37F4F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27</w:t>
            </w:r>
          </w:p>
        </w:tc>
        <w:tc>
          <w:tcPr>
            <w:tcW w:w="778" w:type="dxa"/>
            <w:tcBorders>
              <w:top w:val="nil"/>
              <w:left w:val="nil"/>
              <w:bottom w:val="nil"/>
              <w:right w:val="nil"/>
            </w:tcBorders>
            <w:shd w:val="clear" w:color="auto" w:fill="auto"/>
            <w:noWrap/>
            <w:vAlign w:val="center"/>
            <w:hideMark/>
          </w:tcPr>
          <w:p w14:paraId="0FBEAFA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117.06 </w:t>
            </w:r>
          </w:p>
        </w:tc>
        <w:tc>
          <w:tcPr>
            <w:tcW w:w="1280" w:type="dxa"/>
            <w:tcBorders>
              <w:top w:val="nil"/>
              <w:left w:val="nil"/>
              <w:bottom w:val="nil"/>
              <w:right w:val="nil"/>
            </w:tcBorders>
            <w:shd w:val="clear" w:color="auto" w:fill="auto"/>
            <w:noWrap/>
            <w:vAlign w:val="center"/>
            <w:hideMark/>
          </w:tcPr>
          <w:p w14:paraId="2166864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(70.66, 163.45)</w:t>
            </w:r>
          </w:p>
        </w:tc>
      </w:tr>
      <w:tr w:rsidR="00D9465C" w:rsidRPr="00EA483D" w14:paraId="65EB4D0F" w14:textId="77777777" w:rsidTr="00DD0F28">
        <w:tc>
          <w:tcPr>
            <w:tcW w:w="1559" w:type="dxa"/>
            <w:tcBorders>
              <w:top w:val="nil"/>
              <w:left w:val="nil"/>
              <w:bottom w:val="nil"/>
              <w:right w:val="nil"/>
            </w:tcBorders>
            <w:shd w:val="clear" w:color="auto" w:fill="auto"/>
            <w:noWrap/>
            <w:hideMark/>
          </w:tcPr>
          <w:p w14:paraId="47600501" w14:textId="77777777" w:rsidR="00D9465C" w:rsidRPr="005E3FD2" w:rsidRDefault="00D9465C" w:rsidP="00DD0F28">
            <w:pPr>
              <w:spacing w:after="20"/>
              <w:rPr>
                <w:i/>
                <w:color w:val="000000"/>
                <w:sz w:val="16"/>
                <w:szCs w:val="16"/>
                <w:lang w:eastAsia="en-NZ"/>
              </w:rPr>
            </w:pPr>
          </w:p>
        </w:tc>
        <w:tc>
          <w:tcPr>
            <w:tcW w:w="1090" w:type="dxa"/>
            <w:tcBorders>
              <w:top w:val="nil"/>
              <w:left w:val="nil"/>
              <w:bottom w:val="nil"/>
              <w:right w:val="nil"/>
            </w:tcBorders>
            <w:shd w:val="clear" w:color="auto" w:fill="auto"/>
            <w:noWrap/>
            <w:vAlign w:val="center"/>
            <w:hideMark/>
          </w:tcPr>
          <w:p w14:paraId="49ACE4AF" w14:textId="77777777" w:rsidR="00D9465C" w:rsidRPr="005E3FD2" w:rsidRDefault="00D9465C" w:rsidP="00DD0F28">
            <w:pPr>
              <w:spacing w:after="20"/>
              <w:rPr>
                <w:i/>
                <w:color w:val="000000"/>
                <w:sz w:val="16"/>
                <w:szCs w:val="16"/>
                <w:lang w:eastAsia="en-NZ"/>
              </w:rPr>
            </w:pPr>
            <w:r w:rsidRPr="005E3FD2">
              <w:rPr>
                <w:i/>
                <w:color w:val="000000"/>
                <w:sz w:val="16"/>
                <w:szCs w:val="16"/>
                <w:lang w:eastAsia="en-NZ"/>
              </w:rPr>
              <w:t>Total</w:t>
            </w:r>
          </w:p>
        </w:tc>
        <w:tc>
          <w:tcPr>
            <w:tcW w:w="611" w:type="dxa"/>
            <w:tcBorders>
              <w:top w:val="nil"/>
              <w:left w:val="nil"/>
              <w:bottom w:val="nil"/>
              <w:right w:val="nil"/>
            </w:tcBorders>
            <w:shd w:val="clear" w:color="auto" w:fill="auto"/>
            <w:noWrap/>
            <w:vAlign w:val="center"/>
            <w:hideMark/>
          </w:tcPr>
          <w:p w14:paraId="08CDE7F1"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110</w:t>
            </w:r>
          </w:p>
        </w:tc>
        <w:tc>
          <w:tcPr>
            <w:tcW w:w="709" w:type="dxa"/>
            <w:tcBorders>
              <w:top w:val="nil"/>
              <w:left w:val="nil"/>
              <w:bottom w:val="nil"/>
              <w:right w:val="nil"/>
            </w:tcBorders>
            <w:shd w:val="clear" w:color="auto" w:fill="auto"/>
            <w:noWrap/>
            <w:vAlign w:val="center"/>
            <w:hideMark/>
          </w:tcPr>
          <w:p w14:paraId="5E47BE46"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 xml:space="preserve">227.06 </w:t>
            </w:r>
          </w:p>
        </w:tc>
        <w:tc>
          <w:tcPr>
            <w:tcW w:w="1361" w:type="dxa"/>
            <w:tcBorders>
              <w:top w:val="nil"/>
              <w:left w:val="nil"/>
              <w:bottom w:val="nil"/>
              <w:right w:val="single" w:sz="4" w:space="0" w:color="auto"/>
            </w:tcBorders>
            <w:shd w:val="clear" w:color="auto" w:fill="auto"/>
            <w:noWrap/>
            <w:vAlign w:val="center"/>
            <w:hideMark/>
          </w:tcPr>
          <w:p w14:paraId="015B6657"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(147.10, 307.01)</w:t>
            </w:r>
          </w:p>
        </w:tc>
        <w:tc>
          <w:tcPr>
            <w:tcW w:w="539" w:type="dxa"/>
            <w:tcBorders>
              <w:top w:val="nil"/>
              <w:left w:val="single" w:sz="4" w:space="0" w:color="auto"/>
              <w:bottom w:val="nil"/>
              <w:right w:val="nil"/>
            </w:tcBorders>
            <w:shd w:val="clear" w:color="auto" w:fill="auto"/>
            <w:noWrap/>
            <w:vAlign w:val="center"/>
            <w:hideMark/>
          </w:tcPr>
          <w:p w14:paraId="2A71C217"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46</w:t>
            </w:r>
          </w:p>
        </w:tc>
        <w:tc>
          <w:tcPr>
            <w:tcW w:w="778" w:type="dxa"/>
            <w:tcBorders>
              <w:top w:val="nil"/>
              <w:left w:val="nil"/>
              <w:bottom w:val="nil"/>
              <w:right w:val="nil"/>
            </w:tcBorders>
            <w:shd w:val="clear" w:color="auto" w:fill="auto"/>
            <w:noWrap/>
            <w:vAlign w:val="center"/>
            <w:hideMark/>
          </w:tcPr>
          <w:p w14:paraId="692FC5D2"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 xml:space="preserve">185.06 </w:t>
            </w:r>
          </w:p>
        </w:tc>
        <w:tc>
          <w:tcPr>
            <w:tcW w:w="1361" w:type="dxa"/>
            <w:tcBorders>
              <w:top w:val="nil"/>
              <w:left w:val="nil"/>
              <w:bottom w:val="nil"/>
              <w:right w:val="single" w:sz="4" w:space="0" w:color="auto"/>
            </w:tcBorders>
            <w:shd w:val="clear" w:color="auto" w:fill="auto"/>
            <w:noWrap/>
            <w:vAlign w:val="center"/>
            <w:hideMark/>
          </w:tcPr>
          <w:p w14:paraId="68C4E9FB"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(137.37, 232.74)</w:t>
            </w:r>
          </w:p>
        </w:tc>
        <w:tc>
          <w:tcPr>
            <w:tcW w:w="539" w:type="dxa"/>
            <w:tcBorders>
              <w:top w:val="nil"/>
              <w:left w:val="single" w:sz="4" w:space="0" w:color="auto"/>
              <w:bottom w:val="nil"/>
              <w:right w:val="nil"/>
            </w:tcBorders>
            <w:shd w:val="clear" w:color="auto" w:fill="auto"/>
            <w:noWrap/>
            <w:vAlign w:val="center"/>
            <w:hideMark/>
          </w:tcPr>
          <w:p w14:paraId="65513EDD"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32</w:t>
            </w:r>
          </w:p>
        </w:tc>
        <w:tc>
          <w:tcPr>
            <w:tcW w:w="778" w:type="dxa"/>
            <w:tcBorders>
              <w:top w:val="nil"/>
              <w:left w:val="nil"/>
              <w:bottom w:val="nil"/>
              <w:right w:val="nil"/>
            </w:tcBorders>
            <w:shd w:val="clear" w:color="auto" w:fill="auto"/>
            <w:noWrap/>
            <w:vAlign w:val="center"/>
            <w:hideMark/>
          </w:tcPr>
          <w:p w14:paraId="78E587B6"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 xml:space="preserve">128.72 </w:t>
            </w:r>
          </w:p>
        </w:tc>
        <w:tc>
          <w:tcPr>
            <w:tcW w:w="1280" w:type="dxa"/>
            <w:tcBorders>
              <w:top w:val="nil"/>
              <w:left w:val="nil"/>
              <w:bottom w:val="nil"/>
              <w:right w:val="single" w:sz="4" w:space="0" w:color="auto"/>
            </w:tcBorders>
            <w:shd w:val="clear" w:color="auto" w:fill="auto"/>
            <w:noWrap/>
            <w:vAlign w:val="center"/>
            <w:hideMark/>
          </w:tcPr>
          <w:p w14:paraId="189452BF"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(91.37, 166.07)</w:t>
            </w:r>
          </w:p>
        </w:tc>
        <w:tc>
          <w:tcPr>
            <w:tcW w:w="539" w:type="dxa"/>
            <w:tcBorders>
              <w:top w:val="nil"/>
              <w:left w:val="single" w:sz="4" w:space="0" w:color="auto"/>
              <w:bottom w:val="nil"/>
              <w:right w:val="nil"/>
            </w:tcBorders>
            <w:shd w:val="clear" w:color="auto" w:fill="auto"/>
            <w:noWrap/>
            <w:vAlign w:val="center"/>
            <w:hideMark/>
          </w:tcPr>
          <w:p w14:paraId="0D372628"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37</w:t>
            </w:r>
          </w:p>
        </w:tc>
        <w:tc>
          <w:tcPr>
            <w:tcW w:w="778" w:type="dxa"/>
            <w:tcBorders>
              <w:top w:val="nil"/>
              <w:left w:val="nil"/>
              <w:bottom w:val="nil"/>
              <w:right w:val="nil"/>
            </w:tcBorders>
            <w:shd w:val="clear" w:color="auto" w:fill="auto"/>
            <w:noWrap/>
            <w:vAlign w:val="center"/>
            <w:hideMark/>
          </w:tcPr>
          <w:p w14:paraId="17BF8BEC"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 xml:space="preserve">150.88 </w:t>
            </w:r>
          </w:p>
        </w:tc>
        <w:tc>
          <w:tcPr>
            <w:tcW w:w="1280" w:type="dxa"/>
            <w:tcBorders>
              <w:top w:val="nil"/>
              <w:left w:val="nil"/>
              <w:bottom w:val="nil"/>
              <w:right w:val="nil"/>
            </w:tcBorders>
            <w:shd w:val="clear" w:color="auto" w:fill="auto"/>
            <w:noWrap/>
            <w:vAlign w:val="center"/>
            <w:hideMark/>
          </w:tcPr>
          <w:p w14:paraId="2A67A9D6"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(90.36, 211.40)</w:t>
            </w:r>
          </w:p>
        </w:tc>
      </w:tr>
      <w:tr w:rsidR="00D9465C" w:rsidRPr="00EA483D" w14:paraId="43CD81A7" w14:textId="77777777" w:rsidTr="00DD0F28">
        <w:tc>
          <w:tcPr>
            <w:tcW w:w="1559" w:type="dxa"/>
            <w:tcBorders>
              <w:top w:val="nil"/>
              <w:left w:val="nil"/>
              <w:bottom w:val="nil"/>
              <w:right w:val="nil"/>
            </w:tcBorders>
            <w:shd w:val="clear" w:color="auto" w:fill="auto"/>
            <w:noWrap/>
          </w:tcPr>
          <w:p w14:paraId="0EF81BE2" w14:textId="77777777" w:rsidR="00D9465C" w:rsidRPr="005E3FD2" w:rsidRDefault="00D9465C" w:rsidP="00DD0F28">
            <w:pPr>
              <w:spacing w:after="20"/>
              <w:rPr>
                <w:color w:val="000000"/>
                <w:sz w:val="16"/>
                <w:szCs w:val="16"/>
                <w:lang w:eastAsia="en-NZ"/>
              </w:rPr>
            </w:pPr>
          </w:p>
        </w:tc>
        <w:tc>
          <w:tcPr>
            <w:tcW w:w="1090" w:type="dxa"/>
            <w:tcBorders>
              <w:top w:val="nil"/>
              <w:left w:val="nil"/>
              <w:bottom w:val="nil"/>
              <w:right w:val="nil"/>
            </w:tcBorders>
            <w:shd w:val="clear" w:color="auto" w:fill="auto"/>
            <w:noWrap/>
            <w:vAlign w:val="center"/>
          </w:tcPr>
          <w:p w14:paraId="5F526200" w14:textId="77777777" w:rsidR="00D9465C" w:rsidRPr="005E3FD2" w:rsidRDefault="00D9465C" w:rsidP="00DD0F28">
            <w:pPr>
              <w:spacing w:after="20"/>
              <w:rPr>
                <w:color w:val="000000"/>
                <w:sz w:val="16"/>
                <w:szCs w:val="16"/>
                <w:lang w:eastAsia="en-NZ"/>
              </w:rPr>
            </w:pPr>
          </w:p>
        </w:tc>
        <w:tc>
          <w:tcPr>
            <w:tcW w:w="611" w:type="dxa"/>
            <w:tcBorders>
              <w:top w:val="nil"/>
              <w:left w:val="nil"/>
              <w:bottom w:val="nil"/>
              <w:right w:val="nil"/>
            </w:tcBorders>
            <w:shd w:val="clear" w:color="auto" w:fill="auto"/>
            <w:noWrap/>
            <w:vAlign w:val="center"/>
          </w:tcPr>
          <w:p w14:paraId="76867CFA" w14:textId="77777777" w:rsidR="00D9465C" w:rsidRPr="005E3FD2" w:rsidRDefault="00D9465C" w:rsidP="00DD0F28">
            <w:pPr>
              <w:spacing w:after="20"/>
              <w:jc w:val="right"/>
              <w:rPr>
                <w:color w:val="000000"/>
                <w:sz w:val="16"/>
                <w:szCs w:val="16"/>
                <w:lang w:eastAsia="en-NZ"/>
              </w:rPr>
            </w:pPr>
          </w:p>
        </w:tc>
        <w:tc>
          <w:tcPr>
            <w:tcW w:w="709" w:type="dxa"/>
            <w:tcBorders>
              <w:top w:val="nil"/>
              <w:left w:val="nil"/>
              <w:bottom w:val="nil"/>
              <w:right w:val="nil"/>
            </w:tcBorders>
            <w:shd w:val="clear" w:color="auto" w:fill="auto"/>
            <w:noWrap/>
            <w:vAlign w:val="center"/>
          </w:tcPr>
          <w:p w14:paraId="20758100" w14:textId="77777777" w:rsidR="00D9465C" w:rsidRPr="005E3FD2" w:rsidRDefault="00D9465C" w:rsidP="00DD0F28">
            <w:pPr>
              <w:spacing w:after="20"/>
              <w:jc w:val="right"/>
              <w:rPr>
                <w:color w:val="000000"/>
                <w:sz w:val="16"/>
                <w:szCs w:val="16"/>
                <w:lang w:eastAsia="en-NZ"/>
              </w:rPr>
            </w:pPr>
          </w:p>
        </w:tc>
        <w:tc>
          <w:tcPr>
            <w:tcW w:w="1361" w:type="dxa"/>
            <w:tcBorders>
              <w:top w:val="nil"/>
              <w:left w:val="nil"/>
              <w:bottom w:val="nil"/>
              <w:right w:val="single" w:sz="4" w:space="0" w:color="auto"/>
            </w:tcBorders>
            <w:shd w:val="clear" w:color="auto" w:fill="auto"/>
            <w:noWrap/>
            <w:vAlign w:val="center"/>
          </w:tcPr>
          <w:p w14:paraId="56E2B258" w14:textId="77777777" w:rsidR="00D9465C" w:rsidRPr="005E3FD2" w:rsidRDefault="00D9465C" w:rsidP="00DD0F28">
            <w:pPr>
              <w:spacing w:after="20"/>
              <w:jc w:val="right"/>
              <w:rPr>
                <w:color w:val="000000"/>
                <w:sz w:val="16"/>
                <w:szCs w:val="16"/>
                <w:lang w:eastAsia="en-NZ"/>
              </w:rPr>
            </w:pPr>
          </w:p>
        </w:tc>
        <w:tc>
          <w:tcPr>
            <w:tcW w:w="539" w:type="dxa"/>
            <w:tcBorders>
              <w:top w:val="nil"/>
              <w:left w:val="single" w:sz="4" w:space="0" w:color="auto"/>
              <w:bottom w:val="nil"/>
              <w:right w:val="nil"/>
            </w:tcBorders>
            <w:shd w:val="clear" w:color="auto" w:fill="auto"/>
            <w:noWrap/>
            <w:vAlign w:val="center"/>
          </w:tcPr>
          <w:p w14:paraId="51E0AF89" w14:textId="77777777" w:rsidR="00D9465C" w:rsidRPr="005E3FD2" w:rsidRDefault="00D9465C" w:rsidP="00DD0F28">
            <w:pPr>
              <w:spacing w:after="20"/>
              <w:jc w:val="right"/>
              <w:rPr>
                <w:color w:val="000000"/>
                <w:sz w:val="16"/>
                <w:szCs w:val="16"/>
                <w:lang w:eastAsia="en-NZ"/>
              </w:rPr>
            </w:pPr>
          </w:p>
        </w:tc>
        <w:tc>
          <w:tcPr>
            <w:tcW w:w="778" w:type="dxa"/>
            <w:tcBorders>
              <w:top w:val="nil"/>
              <w:left w:val="nil"/>
              <w:bottom w:val="nil"/>
              <w:right w:val="nil"/>
            </w:tcBorders>
            <w:shd w:val="clear" w:color="auto" w:fill="auto"/>
            <w:noWrap/>
            <w:vAlign w:val="center"/>
          </w:tcPr>
          <w:p w14:paraId="33BB053E" w14:textId="77777777" w:rsidR="00D9465C" w:rsidRPr="005E3FD2" w:rsidRDefault="00D9465C" w:rsidP="00DD0F28">
            <w:pPr>
              <w:spacing w:after="20"/>
              <w:jc w:val="right"/>
              <w:rPr>
                <w:color w:val="000000"/>
                <w:sz w:val="16"/>
                <w:szCs w:val="16"/>
                <w:lang w:eastAsia="en-NZ"/>
              </w:rPr>
            </w:pPr>
          </w:p>
        </w:tc>
        <w:tc>
          <w:tcPr>
            <w:tcW w:w="1361" w:type="dxa"/>
            <w:tcBorders>
              <w:top w:val="nil"/>
              <w:left w:val="nil"/>
              <w:bottom w:val="nil"/>
              <w:right w:val="single" w:sz="4" w:space="0" w:color="auto"/>
            </w:tcBorders>
            <w:shd w:val="clear" w:color="auto" w:fill="auto"/>
            <w:noWrap/>
            <w:vAlign w:val="center"/>
          </w:tcPr>
          <w:p w14:paraId="28C4F9A3" w14:textId="77777777" w:rsidR="00D9465C" w:rsidRPr="005E3FD2" w:rsidRDefault="00D9465C" w:rsidP="00DD0F28">
            <w:pPr>
              <w:spacing w:after="20"/>
              <w:jc w:val="right"/>
              <w:rPr>
                <w:color w:val="000000"/>
                <w:sz w:val="16"/>
                <w:szCs w:val="16"/>
                <w:lang w:eastAsia="en-NZ"/>
              </w:rPr>
            </w:pPr>
          </w:p>
        </w:tc>
        <w:tc>
          <w:tcPr>
            <w:tcW w:w="539" w:type="dxa"/>
            <w:tcBorders>
              <w:top w:val="nil"/>
              <w:left w:val="single" w:sz="4" w:space="0" w:color="auto"/>
              <w:bottom w:val="nil"/>
              <w:right w:val="nil"/>
            </w:tcBorders>
            <w:shd w:val="clear" w:color="auto" w:fill="auto"/>
            <w:noWrap/>
            <w:vAlign w:val="center"/>
          </w:tcPr>
          <w:p w14:paraId="27A99B16" w14:textId="77777777" w:rsidR="00D9465C" w:rsidRPr="005E3FD2" w:rsidRDefault="00D9465C" w:rsidP="00DD0F28">
            <w:pPr>
              <w:spacing w:after="20"/>
              <w:jc w:val="right"/>
              <w:rPr>
                <w:color w:val="000000"/>
                <w:sz w:val="16"/>
                <w:szCs w:val="16"/>
                <w:lang w:eastAsia="en-NZ"/>
              </w:rPr>
            </w:pPr>
          </w:p>
        </w:tc>
        <w:tc>
          <w:tcPr>
            <w:tcW w:w="778" w:type="dxa"/>
            <w:tcBorders>
              <w:top w:val="nil"/>
              <w:left w:val="nil"/>
              <w:bottom w:val="nil"/>
              <w:right w:val="nil"/>
            </w:tcBorders>
            <w:shd w:val="clear" w:color="auto" w:fill="auto"/>
            <w:noWrap/>
            <w:vAlign w:val="center"/>
          </w:tcPr>
          <w:p w14:paraId="30AF6FAA" w14:textId="77777777" w:rsidR="00D9465C" w:rsidRPr="005E3FD2" w:rsidRDefault="00D9465C" w:rsidP="00DD0F28">
            <w:pPr>
              <w:spacing w:after="20"/>
              <w:jc w:val="right"/>
              <w:rPr>
                <w:color w:val="000000"/>
                <w:sz w:val="16"/>
                <w:szCs w:val="16"/>
                <w:lang w:eastAsia="en-NZ"/>
              </w:rPr>
            </w:pPr>
          </w:p>
        </w:tc>
        <w:tc>
          <w:tcPr>
            <w:tcW w:w="1280" w:type="dxa"/>
            <w:tcBorders>
              <w:top w:val="nil"/>
              <w:left w:val="nil"/>
              <w:bottom w:val="nil"/>
              <w:right w:val="single" w:sz="4" w:space="0" w:color="auto"/>
            </w:tcBorders>
            <w:shd w:val="clear" w:color="auto" w:fill="auto"/>
            <w:noWrap/>
            <w:vAlign w:val="center"/>
          </w:tcPr>
          <w:p w14:paraId="555B89F9" w14:textId="77777777" w:rsidR="00D9465C" w:rsidRPr="005E3FD2" w:rsidRDefault="00D9465C" w:rsidP="00DD0F28">
            <w:pPr>
              <w:spacing w:after="20"/>
              <w:jc w:val="right"/>
              <w:rPr>
                <w:color w:val="000000"/>
                <w:sz w:val="16"/>
                <w:szCs w:val="16"/>
                <w:lang w:eastAsia="en-NZ"/>
              </w:rPr>
            </w:pPr>
          </w:p>
        </w:tc>
        <w:tc>
          <w:tcPr>
            <w:tcW w:w="539" w:type="dxa"/>
            <w:tcBorders>
              <w:top w:val="nil"/>
              <w:left w:val="single" w:sz="4" w:space="0" w:color="auto"/>
              <w:bottom w:val="nil"/>
              <w:right w:val="nil"/>
            </w:tcBorders>
            <w:shd w:val="clear" w:color="auto" w:fill="auto"/>
            <w:noWrap/>
            <w:vAlign w:val="center"/>
          </w:tcPr>
          <w:p w14:paraId="33C8FEA8" w14:textId="77777777" w:rsidR="00D9465C" w:rsidRPr="005E3FD2" w:rsidRDefault="00D9465C" w:rsidP="00DD0F28">
            <w:pPr>
              <w:spacing w:after="20"/>
              <w:jc w:val="right"/>
              <w:rPr>
                <w:color w:val="000000"/>
                <w:sz w:val="16"/>
                <w:szCs w:val="16"/>
                <w:lang w:eastAsia="en-NZ"/>
              </w:rPr>
            </w:pPr>
          </w:p>
        </w:tc>
        <w:tc>
          <w:tcPr>
            <w:tcW w:w="778" w:type="dxa"/>
            <w:tcBorders>
              <w:top w:val="nil"/>
              <w:left w:val="nil"/>
              <w:bottom w:val="nil"/>
              <w:right w:val="nil"/>
            </w:tcBorders>
            <w:shd w:val="clear" w:color="auto" w:fill="auto"/>
            <w:noWrap/>
            <w:vAlign w:val="center"/>
          </w:tcPr>
          <w:p w14:paraId="40DE4DC5" w14:textId="77777777" w:rsidR="00D9465C" w:rsidRPr="005E3FD2" w:rsidRDefault="00D9465C" w:rsidP="00DD0F28">
            <w:pPr>
              <w:spacing w:after="20"/>
              <w:jc w:val="right"/>
              <w:rPr>
                <w:color w:val="000000"/>
                <w:sz w:val="16"/>
                <w:szCs w:val="16"/>
                <w:lang w:eastAsia="en-NZ"/>
              </w:rPr>
            </w:pPr>
          </w:p>
        </w:tc>
        <w:tc>
          <w:tcPr>
            <w:tcW w:w="1280" w:type="dxa"/>
            <w:tcBorders>
              <w:top w:val="nil"/>
              <w:left w:val="nil"/>
              <w:bottom w:val="nil"/>
              <w:right w:val="nil"/>
            </w:tcBorders>
            <w:shd w:val="clear" w:color="auto" w:fill="auto"/>
            <w:noWrap/>
            <w:vAlign w:val="center"/>
          </w:tcPr>
          <w:p w14:paraId="2B5A5722" w14:textId="77777777" w:rsidR="00D9465C" w:rsidRPr="005E3FD2" w:rsidRDefault="00D9465C" w:rsidP="00DD0F28">
            <w:pPr>
              <w:spacing w:after="20"/>
              <w:jc w:val="right"/>
              <w:rPr>
                <w:color w:val="000000"/>
                <w:sz w:val="16"/>
                <w:szCs w:val="16"/>
                <w:lang w:eastAsia="en-NZ"/>
              </w:rPr>
            </w:pPr>
          </w:p>
        </w:tc>
      </w:tr>
      <w:tr w:rsidR="00D9465C" w:rsidRPr="00EA483D" w14:paraId="2C1CC784" w14:textId="77777777" w:rsidTr="00DD0F28">
        <w:tc>
          <w:tcPr>
            <w:tcW w:w="1559" w:type="dxa"/>
            <w:tcBorders>
              <w:top w:val="nil"/>
              <w:left w:val="nil"/>
              <w:bottom w:val="nil"/>
              <w:right w:val="nil"/>
            </w:tcBorders>
            <w:shd w:val="clear" w:color="auto" w:fill="auto"/>
            <w:noWrap/>
            <w:hideMark/>
          </w:tcPr>
          <w:p w14:paraId="3DF3B664"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Total</w:t>
            </w:r>
          </w:p>
        </w:tc>
        <w:tc>
          <w:tcPr>
            <w:tcW w:w="1090" w:type="dxa"/>
            <w:tcBorders>
              <w:top w:val="nil"/>
              <w:left w:val="nil"/>
              <w:bottom w:val="nil"/>
              <w:right w:val="nil"/>
            </w:tcBorders>
            <w:shd w:val="clear" w:color="auto" w:fill="auto"/>
            <w:noWrap/>
            <w:vAlign w:val="center"/>
            <w:hideMark/>
          </w:tcPr>
          <w:p w14:paraId="49A8E22F"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Casino</w:t>
            </w:r>
          </w:p>
        </w:tc>
        <w:tc>
          <w:tcPr>
            <w:tcW w:w="611" w:type="dxa"/>
            <w:tcBorders>
              <w:top w:val="nil"/>
              <w:left w:val="nil"/>
              <w:bottom w:val="nil"/>
              <w:right w:val="nil"/>
            </w:tcBorders>
            <w:shd w:val="clear" w:color="auto" w:fill="auto"/>
            <w:noWrap/>
            <w:vAlign w:val="center"/>
            <w:hideMark/>
          </w:tcPr>
          <w:p w14:paraId="6EFA065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516</w:t>
            </w:r>
          </w:p>
        </w:tc>
        <w:tc>
          <w:tcPr>
            <w:tcW w:w="709" w:type="dxa"/>
            <w:tcBorders>
              <w:top w:val="nil"/>
              <w:left w:val="nil"/>
              <w:bottom w:val="nil"/>
              <w:right w:val="nil"/>
            </w:tcBorders>
            <w:shd w:val="clear" w:color="auto" w:fill="auto"/>
            <w:noWrap/>
            <w:vAlign w:val="center"/>
            <w:hideMark/>
          </w:tcPr>
          <w:p w14:paraId="08D1BBE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54.76 </w:t>
            </w:r>
          </w:p>
        </w:tc>
        <w:tc>
          <w:tcPr>
            <w:tcW w:w="1361" w:type="dxa"/>
            <w:tcBorders>
              <w:top w:val="nil"/>
              <w:left w:val="nil"/>
              <w:bottom w:val="nil"/>
              <w:right w:val="single" w:sz="4" w:space="0" w:color="auto"/>
            </w:tcBorders>
            <w:shd w:val="clear" w:color="auto" w:fill="auto"/>
            <w:noWrap/>
            <w:vAlign w:val="center"/>
            <w:hideMark/>
          </w:tcPr>
          <w:p w14:paraId="712167D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(45.72, 63.79)</w:t>
            </w:r>
          </w:p>
        </w:tc>
        <w:tc>
          <w:tcPr>
            <w:tcW w:w="539" w:type="dxa"/>
            <w:tcBorders>
              <w:top w:val="nil"/>
              <w:left w:val="single" w:sz="4" w:space="0" w:color="auto"/>
              <w:bottom w:val="nil"/>
              <w:right w:val="nil"/>
            </w:tcBorders>
            <w:shd w:val="clear" w:color="auto" w:fill="auto"/>
            <w:noWrap/>
            <w:vAlign w:val="center"/>
            <w:hideMark/>
          </w:tcPr>
          <w:p w14:paraId="2999EA1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227</w:t>
            </w:r>
          </w:p>
        </w:tc>
        <w:tc>
          <w:tcPr>
            <w:tcW w:w="778" w:type="dxa"/>
            <w:tcBorders>
              <w:top w:val="nil"/>
              <w:left w:val="nil"/>
              <w:bottom w:val="nil"/>
              <w:right w:val="nil"/>
            </w:tcBorders>
            <w:shd w:val="clear" w:color="auto" w:fill="auto"/>
            <w:noWrap/>
            <w:vAlign w:val="center"/>
            <w:hideMark/>
          </w:tcPr>
          <w:p w14:paraId="10B7452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45.22 </w:t>
            </w:r>
          </w:p>
        </w:tc>
        <w:tc>
          <w:tcPr>
            <w:tcW w:w="1361" w:type="dxa"/>
            <w:tcBorders>
              <w:top w:val="nil"/>
              <w:left w:val="nil"/>
              <w:bottom w:val="nil"/>
              <w:right w:val="single" w:sz="4" w:space="0" w:color="auto"/>
            </w:tcBorders>
            <w:shd w:val="clear" w:color="auto" w:fill="auto"/>
            <w:noWrap/>
            <w:vAlign w:val="center"/>
            <w:hideMark/>
          </w:tcPr>
          <w:p w14:paraId="61E4FB9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(36.58, 53.85)</w:t>
            </w:r>
          </w:p>
        </w:tc>
        <w:tc>
          <w:tcPr>
            <w:tcW w:w="539" w:type="dxa"/>
            <w:tcBorders>
              <w:top w:val="nil"/>
              <w:left w:val="single" w:sz="4" w:space="0" w:color="auto"/>
              <w:bottom w:val="nil"/>
              <w:right w:val="nil"/>
            </w:tcBorders>
            <w:shd w:val="clear" w:color="auto" w:fill="auto"/>
            <w:noWrap/>
            <w:vAlign w:val="center"/>
            <w:hideMark/>
          </w:tcPr>
          <w:p w14:paraId="289433C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198</w:t>
            </w:r>
          </w:p>
        </w:tc>
        <w:tc>
          <w:tcPr>
            <w:tcW w:w="778" w:type="dxa"/>
            <w:tcBorders>
              <w:top w:val="nil"/>
              <w:left w:val="nil"/>
              <w:bottom w:val="nil"/>
              <w:right w:val="nil"/>
            </w:tcBorders>
            <w:shd w:val="clear" w:color="auto" w:fill="auto"/>
            <w:noWrap/>
            <w:vAlign w:val="center"/>
            <w:hideMark/>
          </w:tcPr>
          <w:p w14:paraId="58926EE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42.08 </w:t>
            </w:r>
          </w:p>
        </w:tc>
        <w:tc>
          <w:tcPr>
            <w:tcW w:w="1280" w:type="dxa"/>
            <w:tcBorders>
              <w:top w:val="nil"/>
              <w:left w:val="nil"/>
              <w:bottom w:val="nil"/>
              <w:right w:val="single" w:sz="4" w:space="0" w:color="auto"/>
            </w:tcBorders>
            <w:shd w:val="clear" w:color="auto" w:fill="auto"/>
            <w:noWrap/>
            <w:vAlign w:val="center"/>
            <w:hideMark/>
          </w:tcPr>
          <w:p w14:paraId="04B523B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(35.14, 49.02)</w:t>
            </w:r>
          </w:p>
        </w:tc>
        <w:tc>
          <w:tcPr>
            <w:tcW w:w="539" w:type="dxa"/>
            <w:tcBorders>
              <w:top w:val="nil"/>
              <w:left w:val="single" w:sz="4" w:space="0" w:color="auto"/>
              <w:bottom w:val="nil"/>
              <w:right w:val="nil"/>
            </w:tcBorders>
            <w:shd w:val="clear" w:color="auto" w:fill="auto"/>
            <w:noWrap/>
            <w:vAlign w:val="center"/>
            <w:hideMark/>
          </w:tcPr>
          <w:p w14:paraId="34287CE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163</w:t>
            </w:r>
          </w:p>
        </w:tc>
        <w:tc>
          <w:tcPr>
            <w:tcW w:w="778" w:type="dxa"/>
            <w:tcBorders>
              <w:top w:val="nil"/>
              <w:left w:val="nil"/>
              <w:bottom w:val="nil"/>
              <w:right w:val="nil"/>
            </w:tcBorders>
            <w:shd w:val="clear" w:color="auto" w:fill="auto"/>
            <w:noWrap/>
            <w:vAlign w:val="center"/>
            <w:hideMark/>
          </w:tcPr>
          <w:p w14:paraId="104D483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51.18 </w:t>
            </w:r>
          </w:p>
        </w:tc>
        <w:tc>
          <w:tcPr>
            <w:tcW w:w="1280" w:type="dxa"/>
            <w:tcBorders>
              <w:top w:val="nil"/>
              <w:left w:val="nil"/>
              <w:bottom w:val="nil"/>
              <w:right w:val="nil"/>
            </w:tcBorders>
            <w:shd w:val="clear" w:color="auto" w:fill="auto"/>
            <w:noWrap/>
            <w:vAlign w:val="center"/>
            <w:hideMark/>
          </w:tcPr>
          <w:p w14:paraId="7FD8680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(33.45, 68.91)</w:t>
            </w:r>
          </w:p>
        </w:tc>
      </w:tr>
      <w:tr w:rsidR="00D9465C" w:rsidRPr="00EA483D" w14:paraId="75C4D239" w14:textId="77777777" w:rsidTr="00DD0F28">
        <w:tc>
          <w:tcPr>
            <w:tcW w:w="1559" w:type="dxa"/>
            <w:tcBorders>
              <w:top w:val="nil"/>
              <w:left w:val="nil"/>
              <w:bottom w:val="nil"/>
              <w:right w:val="nil"/>
            </w:tcBorders>
            <w:shd w:val="clear" w:color="auto" w:fill="auto"/>
            <w:noWrap/>
            <w:hideMark/>
          </w:tcPr>
          <w:p w14:paraId="671ED21E" w14:textId="77777777" w:rsidR="00D9465C" w:rsidRPr="005E3FD2" w:rsidRDefault="00D9465C" w:rsidP="00DD0F28">
            <w:pPr>
              <w:spacing w:after="20"/>
              <w:rPr>
                <w:color w:val="000000"/>
                <w:sz w:val="16"/>
                <w:szCs w:val="16"/>
                <w:lang w:eastAsia="en-NZ"/>
              </w:rPr>
            </w:pPr>
          </w:p>
        </w:tc>
        <w:tc>
          <w:tcPr>
            <w:tcW w:w="1090" w:type="dxa"/>
            <w:tcBorders>
              <w:top w:val="nil"/>
              <w:left w:val="nil"/>
              <w:bottom w:val="nil"/>
              <w:right w:val="nil"/>
            </w:tcBorders>
            <w:shd w:val="clear" w:color="auto" w:fill="auto"/>
            <w:noWrap/>
            <w:vAlign w:val="center"/>
            <w:hideMark/>
          </w:tcPr>
          <w:p w14:paraId="246FA776"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Pub</w:t>
            </w:r>
          </w:p>
        </w:tc>
        <w:tc>
          <w:tcPr>
            <w:tcW w:w="611" w:type="dxa"/>
            <w:tcBorders>
              <w:top w:val="nil"/>
              <w:left w:val="nil"/>
              <w:bottom w:val="nil"/>
              <w:right w:val="nil"/>
            </w:tcBorders>
            <w:shd w:val="clear" w:color="auto" w:fill="auto"/>
            <w:noWrap/>
            <w:vAlign w:val="center"/>
            <w:hideMark/>
          </w:tcPr>
          <w:p w14:paraId="6A78162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715</w:t>
            </w:r>
          </w:p>
        </w:tc>
        <w:tc>
          <w:tcPr>
            <w:tcW w:w="709" w:type="dxa"/>
            <w:tcBorders>
              <w:top w:val="nil"/>
              <w:left w:val="nil"/>
              <w:bottom w:val="nil"/>
              <w:right w:val="nil"/>
            </w:tcBorders>
            <w:shd w:val="clear" w:color="auto" w:fill="auto"/>
            <w:noWrap/>
            <w:vAlign w:val="center"/>
            <w:hideMark/>
          </w:tcPr>
          <w:p w14:paraId="1BF7EB6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41.80 </w:t>
            </w:r>
          </w:p>
        </w:tc>
        <w:tc>
          <w:tcPr>
            <w:tcW w:w="1361" w:type="dxa"/>
            <w:tcBorders>
              <w:top w:val="nil"/>
              <w:left w:val="nil"/>
              <w:bottom w:val="nil"/>
              <w:right w:val="single" w:sz="4" w:space="0" w:color="auto"/>
            </w:tcBorders>
            <w:shd w:val="clear" w:color="auto" w:fill="auto"/>
            <w:noWrap/>
            <w:vAlign w:val="center"/>
            <w:hideMark/>
          </w:tcPr>
          <w:p w14:paraId="110DCE1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(32.40, 51.20)</w:t>
            </w:r>
          </w:p>
        </w:tc>
        <w:tc>
          <w:tcPr>
            <w:tcW w:w="539" w:type="dxa"/>
            <w:tcBorders>
              <w:top w:val="nil"/>
              <w:left w:val="single" w:sz="4" w:space="0" w:color="auto"/>
              <w:bottom w:val="nil"/>
              <w:right w:val="nil"/>
            </w:tcBorders>
            <w:shd w:val="clear" w:color="auto" w:fill="auto"/>
            <w:noWrap/>
            <w:vAlign w:val="center"/>
            <w:hideMark/>
          </w:tcPr>
          <w:p w14:paraId="59A7363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331</w:t>
            </w:r>
          </w:p>
        </w:tc>
        <w:tc>
          <w:tcPr>
            <w:tcW w:w="778" w:type="dxa"/>
            <w:tcBorders>
              <w:top w:val="nil"/>
              <w:left w:val="nil"/>
              <w:bottom w:val="nil"/>
              <w:right w:val="nil"/>
            </w:tcBorders>
            <w:shd w:val="clear" w:color="auto" w:fill="auto"/>
            <w:noWrap/>
            <w:vAlign w:val="center"/>
            <w:hideMark/>
          </w:tcPr>
          <w:p w14:paraId="7ED8E11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38.03 </w:t>
            </w:r>
          </w:p>
        </w:tc>
        <w:tc>
          <w:tcPr>
            <w:tcW w:w="1361" w:type="dxa"/>
            <w:tcBorders>
              <w:top w:val="nil"/>
              <w:left w:val="nil"/>
              <w:bottom w:val="nil"/>
              <w:right w:val="single" w:sz="4" w:space="0" w:color="auto"/>
            </w:tcBorders>
            <w:shd w:val="clear" w:color="auto" w:fill="auto"/>
            <w:noWrap/>
            <w:vAlign w:val="center"/>
            <w:hideMark/>
          </w:tcPr>
          <w:p w14:paraId="613FC66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(30.28, 45.79)</w:t>
            </w:r>
          </w:p>
        </w:tc>
        <w:tc>
          <w:tcPr>
            <w:tcW w:w="539" w:type="dxa"/>
            <w:tcBorders>
              <w:top w:val="nil"/>
              <w:left w:val="single" w:sz="4" w:space="0" w:color="auto"/>
              <w:bottom w:val="nil"/>
              <w:right w:val="nil"/>
            </w:tcBorders>
            <w:shd w:val="clear" w:color="auto" w:fill="auto"/>
            <w:noWrap/>
            <w:vAlign w:val="center"/>
            <w:hideMark/>
          </w:tcPr>
          <w:p w14:paraId="66AC681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259</w:t>
            </w:r>
          </w:p>
        </w:tc>
        <w:tc>
          <w:tcPr>
            <w:tcW w:w="778" w:type="dxa"/>
            <w:tcBorders>
              <w:top w:val="nil"/>
              <w:left w:val="nil"/>
              <w:bottom w:val="nil"/>
              <w:right w:val="nil"/>
            </w:tcBorders>
            <w:shd w:val="clear" w:color="auto" w:fill="auto"/>
            <w:noWrap/>
            <w:vAlign w:val="center"/>
            <w:hideMark/>
          </w:tcPr>
          <w:p w14:paraId="7F21228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29.29 </w:t>
            </w:r>
          </w:p>
        </w:tc>
        <w:tc>
          <w:tcPr>
            <w:tcW w:w="1280" w:type="dxa"/>
            <w:tcBorders>
              <w:top w:val="nil"/>
              <w:left w:val="nil"/>
              <w:bottom w:val="nil"/>
              <w:right w:val="single" w:sz="4" w:space="0" w:color="auto"/>
            </w:tcBorders>
            <w:shd w:val="clear" w:color="auto" w:fill="auto"/>
            <w:noWrap/>
            <w:vAlign w:val="center"/>
            <w:hideMark/>
          </w:tcPr>
          <w:p w14:paraId="353754E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(24.39, 34.19)</w:t>
            </w:r>
          </w:p>
        </w:tc>
        <w:tc>
          <w:tcPr>
            <w:tcW w:w="539" w:type="dxa"/>
            <w:tcBorders>
              <w:top w:val="nil"/>
              <w:left w:val="single" w:sz="4" w:space="0" w:color="auto"/>
              <w:bottom w:val="nil"/>
              <w:right w:val="nil"/>
            </w:tcBorders>
            <w:shd w:val="clear" w:color="auto" w:fill="auto"/>
            <w:noWrap/>
            <w:vAlign w:val="center"/>
            <w:hideMark/>
          </w:tcPr>
          <w:p w14:paraId="26C158D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227</w:t>
            </w:r>
          </w:p>
        </w:tc>
        <w:tc>
          <w:tcPr>
            <w:tcW w:w="778" w:type="dxa"/>
            <w:tcBorders>
              <w:top w:val="nil"/>
              <w:left w:val="nil"/>
              <w:bottom w:val="nil"/>
              <w:right w:val="nil"/>
            </w:tcBorders>
            <w:shd w:val="clear" w:color="auto" w:fill="auto"/>
            <w:noWrap/>
            <w:vAlign w:val="center"/>
            <w:hideMark/>
          </w:tcPr>
          <w:p w14:paraId="6279328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34.70 </w:t>
            </w:r>
          </w:p>
        </w:tc>
        <w:tc>
          <w:tcPr>
            <w:tcW w:w="1280" w:type="dxa"/>
            <w:tcBorders>
              <w:top w:val="nil"/>
              <w:left w:val="nil"/>
              <w:bottom w:val="nil"/>
              <w:right w:val="nil"/>
            </w:tcBorders>
            <w:shd w:val="clear" w:color="auto" w:fill="auto"/>
            <w:noWrap/>
            <w:vAlign w:val="center"/>
            <w:hideMark/>
          </w:tcPr>
          <w:p w14:paraId="5E942E6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(27.04, 42.36)</w:t>
            </w:r>
          </w:p>
        </w:tc>
      </w:tr>
      <w:tr w:rsidR="00D9465C" w:rsidRPr="00EA483D" w14:paraId="19104575" w14:textId="77777777" w:rsidTr="00DD0F28">
        <w:tc>
          <w:tcPr>
            <w:tcW w:w="1559" w:type="dxa"/>
            <w:tcBorders>
              <w:top w:val="nil"/>
              <w:left w:val="nil"/>
              <w:bottom w:val="nil"/>
              <w:right w:val="nil"/>
            </w:tcBorders>
            <w:shd w:val="clear" w:color="auto" w:fill="auto"/>
            <w:noWrap/>
            <w:hideMark/>
          </w:tcPr>
          <w:p w14:paraId="1AC1C660" w14:textId="77777777" w:rsidR="00D9465C" w:rsidRPr="005E3FD2" w:rsidRDefault="00D9465C" w:rsidP="00DD0F28">
            <w:pPr>
              <w:spacing w:after="20"/>
              <w:rPr>
                <w:color w:val="000000"/>
                <w:sz w:val="16"/>
                <w:szCs w:val="16"/>
                <w:lang w:eastAsia="en-NZ"/>
              </w:rPr>
            </w:pPr>
          </w:p>
        </w:tc>
        <w:tc>
          <w:tcPr>
            <w:tcW w:w="1090" w:type="dxa"/>
            <w:tcBorders>
              <w:top w:val="nil"/>
              <w:left w:val="nil"/>
              <w:bottom w:val="nil"/>
              <w:right w:val="nil"/>
            </w:tcBorders>
            <w:shd w:val="clear" w:color="auto" w:fill="auto"/>
            <w:noWrap/>
            <w:vAlign w:val="center"/>
            <w:hideMark/>
          </w:tcPr>
          <w:p w14:paraId="16E4197C"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Club</w:t>
            </w:r>
          </w:p>
        </w:tc>
        <w:tc>
          <w:tcPr>
            <w:tcW w:w="611" w:type="dxa"/>
            <w:tcBorders>
              <w:top w:val="nil"/>
              <w:left w:val="nil"/>
              <w:bottom w:val="nil"/>
              <w:right w:val="nil"/>
            </w:tcBorders>
            <w:shd w:val="clear" w:color="auto" w:fill="auto"/>
            <w:noWrap/>
            <w:vAlign w:val="center"/>
            <w:hideMark/>
          </w:tcPr>
          <w:p w14:paraId="47B25DE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349</w:t>
            </w:r>
          </w:p>
        </w:tc>
        <w:tc>
          <w:tcPr>
            <w:tcW w:w="709" w:type="dxa"/>
            <w:tcBorders>
              <w:top w:val="nil"/>
              <w:left w:val="nil"/>
              <w:bottom w:val="nil"/>
              <w:right w:val="nil"/>
            </w:tcBorders>
            <w:shd w:val="clear" w:color="auto" w:fill="auto"/>
            <w:noWrap/>
            <w:vAlign w:val="center"/>
            <w:hideMark/>
          </w:tcPr>
          <w:p w14:paraId="20C90EB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   38.25 </w:t>
            </w:r>
          </w:p>
        </w:tc>
        <w:tc>
          <w:tcPr>
            <w:tcW w:w="1361" w:type="dxa"/>
            <w:tcBorders>
              <w:top w:val="nil"/>
              <w:left w:val="nil"/>
              <w:bottom w:val="nil"/>
              <w:right w:val="single" w:sz="4" w:space="0" w:color="auto"/>
            </w:tcBorders>
            <w:shd w:val="clear" w:color="auto" w:fill="auto"/>
            <w:noWrap/>
            <w:vAlign w:val="center"/>
            <w:hideMark/>
          </w:tcPr>
          <w:p w14:paraId="5C45FA8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(24.51, 51.99)</w:t>
            </w:r>
          </w:p>
        </w:tc>
        <w:tc>
          <w:tcPr>
            <w:tcW w:w="539" w:type="dxa"/>
            <w:tcBorders>
              <w:top w:val="nil"/>
              <w:left w:val="single" w:sz="4" w:space="0" w:color="auto"/>
              <w:bottom w:val="nil"/>
              <w:right w:val="nil"/>
            </w:tcBorders>
            <w:shd w:val="clear" w:color="auto" w:fill="auto"/>
            <w:noWrap/>
            <w:vAlign w:val="center"/>
            <w:hideMark/>
          </w:tcPr>
          <w:p w14:paraId="03A9503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154</w:t>
            </w:r>
          </w:p>
        </w:tc>
        <w:tc>
          <w:tcPr>
            <w:tcW w:w="778" w:type="dxa"/>
            <w:tcBorders>
              <w:top w:val="nil"/>
              <w:left w:val="nil"/>
              <w:bottom w:val="nil"/>
              <w:right w:val="nil"/>
            </w:tcBorders>
            <w:shd w:val="clear" w:color="auto" w:fill="auto"/>
            <w:noWrap/>
            <w:vAlign w:val="center"/>
            <w:hideMark/>
          </w:tcPr>
          <w:p w14:paraId="1177C7F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27.87 </w:t>
            </w:r>
          </w:p>
        </w:tc>
        <w:tc>
          <w:tcPr>
            <w:tcW w:w="1361" w:type="dxa"/>
            <w:tcBorders>
              <w:top w:val="nil"/>
              <w:left w:val="nil"/>
              <w:bottom w:val="nil"/>
              <w:right w:val="single" w:sz="4" w:space="0" w:color="auto"/>
            </w:tcBorders>
            <w:shd w:val="clear" w:color="auto" w:fill="auto"/>
            <w:noWrap/>
            <w:vAlign w:val="center"/>
            <w:hideMark/>
          </w:tcPr>
          <w:p w14:paraId="3B3E409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(18.17, 37.58)</w:t>
            </w:r>
          </w:p>
        </w:tc>
        <w:tc>
          <w:tcPr>
            <w:tcW w:w="539" w:type="dxa"/>
            <w:tcBorders>
              <w:top w:val="nil"/>
              <w:left w:val="single" w:sz="4" w:space="0" w:color="auto"/>
              <w:bottom w:val="nil"/>
              <w:right w:val="nil"/>
            </w:tcBorders>
            <w:shd w:val="clear" w:color="auto" w:fill="auto"/>
            <w:noWrap/>
            <w:vAlign w:val="center"/>
            <w:hideMark/>
          </w:tcPr>
          <w:p w14:paraId="5E40CB1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129</w:t>
            </w:r>
          </w:p>
        </w:tc>
        <w:tc>
          <w:tcPr>
            <w:tcW w:w="778" w:type="dxa"/>
            <w:tcBorders>
              <w:top w:val="nil"/>
              <w:left w:val="nil"/>
              <w:bottom w:val="nil"/>
              <w:right w:val="nil"/>
            </w:tcBorders>
            <w:shd w:val="clear" w:color="auto" w:fill="auto"/>
            <w:noWrap/>
            <w:vAlign w:val="center"/>
            <w:hideMark/>
          </w:tcPr>
          <w:p w14:paraId="76BC940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29.66 </w:t>
            </w:r>
          </w:p>
        </w:tc>
        <w:tc>
          <w:tcPr>
            <w:tcW w:w="1280" w:type="dxa"/>
            <w:tcBorders>
              <w:top w:val="nil"/>
              <w:left w:val="nil"/>
              <w:bottom w:val="nil"/>
              <w:right w:val="single" w:sz="4" w:space="0" w:color="auto"/>
            </w:tcBorders>
            <w:shd w:val="clear" w:color="auto" w:fill="auto"/>
            <w:noWrap/>
            <w:vAlign w:val="center"/>
            <w:hideMark/>
          </w:tcPr>
          <w:p w14:paraId="3B8722B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(22.80, 36.51)</w:t>
            </w:r>
          </w:p>
        </w:tc>
        <w:tc>
          <w:tcPr>
            <w:tcW w:w="539" w:type="dxa"/>
            <w:tcBorders>
              <w:top w:val="nil"/>
              <w:left w:val="single" w:sz="4" w:space="0" w:color="auto"/>
              <w:bottom w:val="nil"/>
              <w:right w:val="nil"/>
            </w:tcBorders>
            <w:shd w:val="clear" w:color="auto" w:fill="auto"/>
            <w:noWrap/>
            <w:vAlign w:val="center"/>
            <w:hideMark/>
          </w:tcPr>
          <w:p w14:paraId="4A4A8D7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103</w:t>
            </w:r>
          </w:p>
        </w:tc>
        <w:tc>
          <w:tcPr>
            <w:tcW w:w="778" w:type="dxa"/>
            <w:tcBorders>
              <w:top w:val="nil"/>
              <w:left w:val="nil"/>
              <w:bottom w:val="nil"/>
              <w:right w:val="nil"/>
            </w:tcBorders>
            <w:shd w:val="clear" w:color="auto" w:fill="auto"/>
            <w:noWrap/>
            <w:vAlign w:val="center"/>
            <w:hideMark/>
          </w:tcPr>
          <w:p w14:paraId="292295D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37.07 </w:t>
            </w:r>
          </w:p>
        </w:tc>
        <w:tc>
          <w:tcPr>
            <w:tcW w:w="1280" w:type="dxa"/>
            <w:tcBorders>
              <w:top w:val="nil"/>
              <w:left w:val="nil"/>
              <w:bottom w:val="nil"/>
              <w:right w:val="nil"/>
            </w:tcBorders>
            <w:shd w:val="clear" w:color="auto" w:fill="auto"/>
            <w:noWrap/>
            <w:vAlign w:val="center"/>
            <w:hideMark/>
          </w:tcPr>
          <w:p w14:paraId="2EDAC04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(22.57, 51.57)</w:t>
            </w:r>
          </w:p>
        </w:tc>
      </w:tr>
      <w:tr w:rsidR="00D9465C" w:rsidRPr="00EA483D" w14:paraId="577A1445" w14:textId="77777777" w:rsidTr="00DD0F28">
        <w:tc>
          <w:tcPr>
            <w:tcW w:w="1559" w:type="dxa"/>
            <w:tcBorders>
              <w:top w:val="nil"/>
              <w:left w:val="nil"/>
              <w:right w:val="nil"/>
            </w:tcBorders>
            <w:shd w:val="clear" w:color="auto" w:fill="auto"/>
            <w:noWrap/>
            <w:hideMark/>
          </w:tcPr>
          <w:p w14:paraId="20455A2B" w14:textId="77777777" w:rsidR="00D9465C" w:rsidRPr="005E3FD2" w:rsidRDefault="00D9465C" w:rsidP="00DD0F28">
            <w:pPr>
              <w:spacing w:after="20"/>
              <w:rPr>
                <w:color w:val="000000"/>
                <w:sz w:val="16"/>
                <w:szCs w:val="16"/>
                <w:lang w:eastAsia="en-NZ"/>
              </w:rPr>
            </w:pPr>
          </w:p>
        </w:tc>
        <w:tc>
          <w:tcPr>
            <w:tcW w:w="1090" w:type="dxa"/>
            <w:tcBorders>
              <w:top w:val="nil"/>
              <w:left w:val="nil"/>
              <w:right w:val="nil"/>
            </w:tcBorders>
            <w:shd w:val="clear" w:color="auto" w:fill="auto"/>
            <w:noWrap/>
            <w:vAlign w:val="center"/>
            <w:hideMark/>
          </w:tcPr>
          <w:p w14:paraId="1FA0F419"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Pub + club</w:t>
            </w:r>
          </w:p>
        </w:tc>
        <w:tc>
          <w:tcPr>
            <w:tcW w:w="611" w:type="dxa"/>
            <w:tcBorders>
              <w:top w:val="nil"/>
              <w:left w:val="nil"/>
              <w:right w:val="nil"/>
            </w:tcBorders>
            <w:shd w:val="clear" w:color="auto" w:fill="auto"/>
            <w:noWrap/>
            <w:vAlign w:val="center"/>
            <w:hideMark/>
          </w:tcPr>
          <w:p w14:paraId="7CC119B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855</w:t>
            </w:r>
          </w:p>
        </w:tc>
        <w:tc>
          <w:tcPr>
            <w:tcW w:w="709" w:type="dxa"/>
            <w:tcBorders>
              <w:top w:val="nil"/>
              <w:left w:val="nil"/>
              <w:right w:val="nil"/>
            </w:tcBorders>
            <w:shd w:val="clear" w:color="auto" w:fill="auto"/>
            <w:noWrap/>
            <w:vAlign w:val="center"/>
            <w:hideMark/>
          </w:tcPr>
          <w:p w14:paraId="1703F83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50.52 </w:t>
            </w:r>
          </w:p>
        </w:tc>
        <w:tc>
          <w:tcPr>
            <w:tcW w:w="1361" w:type="dxa"/>
            <w:tcBorders>
              <w:top w:val="nil"/>
              <w:left w:val="nil"/>
              <w:right w:val="single" w:sz="4" w:space="0" w:color="auto"/>
            </w:tcBorders>
            <w:shd w:val="clear" w:color="auto" w:fill="auto"/>
            <w:noWrap/>
            <w:vAlign w:val="center"/>
            <w:hideMark/>
          </w:tcPr>
          <w:p w14:paraId="0E55359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(39.74, 61.31)</w:t>
            </w:r>
          </w:p>
        </w:tc>
        <w:tc>
          <w:tcPr>
            <w:tcW w:w="539" w:type="dxa"/>
            <w:tcBorders>
              <w:top w:val="nil"/>
              <w:left w:val="single" w:sz="4" w:space="0" w:color="auto"/>
              <w:right w:val="nil"/>
            </w:tcBorders>
            <w:shd w:val="clear" w:color="auto" w:fill="auto"/>
            <w:noWrap/>
            <w:vAlign w:val="center"/>
            <w:hideMark/>
          </w:tcPr>
          <w:p w14:paraId="75F48CE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406</w:t>
            </w:r>
          </w:p>
        </w:tc>
        <w:tc>
          <w:tcPr>
            <w:tcW w:w="778" w:type="dxa"/>
            <w:tcBorders>
              <w:top w:val="nil"/>
              <w:left w:val="nil"/>
              <w:right w:val="nil"/>
            </w:tcBorders>
            <w:shd w:val="clear" w:color="auto" w:fill="auto"/>
            <w:noWrap/>
            <w:vAlign w:val="center"/>
            <w:hideMark/>
          </w:tcPr>
          <w:p w14:paraId="41CE97F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41.61 </w:t>
            </w:r>
          </w:p>
        </w:tc>
        <w:tc>
          <w:tcPr>
            <w:tcW w:w="1361" w:type="dxa"/>
            <w:tcBorders>
              <w:top w:val="nil"/>
              <w:left w:val="nil"/>
              <w:right w:val="single" w:sz="4" w:space="0" w:color="auto"/>
            </w:tcBorders>
            <w:shd w:val="clear" w:color="auto" w:fill="auto"/>
            <w:noWrap/>
            <w:vAlign w:val="center"/>
            <w:hideMark/>
          </w:tcPr>
          <w:p w14:paraId="2DA7D58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(33.40, 49.82)</w:t>
            </w:r>
          </w:p>
        </w:tc>
        <w:tc>
          <w:tcPr>
            <w:tcW w:w="539" w:type="dxa"/>
            <w:tcBorders>
              <w:top w:val="nil"/>
              <w:left w:val="single" w:sz="4" w:space="0" w:color="auto"/>
              <w:right w:val="nil"/>
            </w:tcBorders>
            <w:shd w:val="clear" w:color="auto" w:fill="auto"/>
            <w:noWrap/>
            <w:vAlign w:val="center"/>
            <w:hideMark/>
          </w:tcPr>
          <w:p w14:paraId="1AB7D29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326</w:t>
            </w:r>
          </w:p>
        </w:tc>
        <w:tc>
          <w:tcPr>
            <w:tcW w:w="778" w:type="dxa"/>
            <w:tcBorders>
              <w:top w:val="nil"/>
              <w:left w:val="nil"/>
              <w:right w:val="nil"/>
            </w:tcBorders>
            <w:shd w:val="clear" w:color="auto" w:fill="auto"/>
            <w:noWrap/>
            <w:vAlign w:val="center"/>
            <w:hideMark/>
          </w:tcPr>
          <w:p w14:paraId="1915F0C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35.04 </w:t>
            </w:r>
          </w:p>
        </w:tc>
        <w:tc>
          <w:tcPr>
            <w:tcW w:w="1280" w:type="dxa"/>
            <w:tcBorders>
              <w:top w:val="nil"/>
              <w:left w:val="nil"/>
              <w:right w:val="single" w:sz="4" w:space="0" w:color="auto"/>
            </w:tcBorders>
            <w:shd w:val="clear" w:color="auto" w:fill="auto"/>
            <w:noWrap/>
            <w:vAlign w:val="center"/>
            <w:hideMark/>
          </w:tcPr>
          <w:p w14:paraId="79C3A01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(29.54, 40.54)</w:t>
            </w:r>
          </w:p>
        </w:tc>
        <w:tc>
          <w:tcPr>
            <w:tcW w:w="539" w:type="dxa"/>
            <w:tcBorders>
              <w:top w:val="nil"/>
              <w:left w:val="single" w:sz="4" w:space="0" w:color="auto"/>
              <w:right w:val="nil"/>
            </w:tcBorders>
            <w:shd w:val="clear" w:color="auto" w:fill="auto"/>
            <w:noWrap/>
            <w:vAlign w:val="center"/>
            <w:hideMark/>
          </w:tcPr>
          <w:p w14:paraId="60E0A3D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279</w:t>
            </w:r>
          </w:p>
        </w:tc>
        <w:tc>
          <w:tcPr>
            <w:tcW w:w="778" w:type="dxa"/>
            <w:tcBorders>
              <w:top w:val="nil"/>
              <w:left w:val="nil"/>
              <w:right w:val="nil"/>
            </w:tcBorders>
            <w:shd w:val="clear" w:color="auto" w:fill="auto"/>
            <w:noWrap/>
            <w:vAlign w:val="center"/>
            <w:hideMark/>
          </w:tcPr>
          <w:p w14:paraId="24FA25B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41.90 </w:t>
            </w:r>
          </w:p>
        </w:tc>
        <w:tc>
          <w:tcPr>
            <w:tcW w:w="1280" w:type="dxa"/>
            <w:tcBorders>
              <w:top w:val="nil"/>
              <w:left w:val="nil"/>
              <w:right w:val="nil"/>
            </w:tcBorders>
            <w:shd w:val="clear" w:color="auto" w:fill="auto"/>
            <w:noWrap/>
            <w:vAlign w:val="center"/>
            <w:hideMark/>
          </w:tcPr>
          <w:p w14:paraId="2B863A5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(31.61, 52.19)</w:t>
            </w:r>
          </w:p>
        </w:tc>
      </w:tr>
      <w:tr w:rsidR="00D9465C" w:rsidRPr="00EA483D" w14:paraId="4FBA9584" w14:textId="77777777" w:rsidTr="00DD0F28">
        <w:tc>
          <w:tcPr>
            <w:tcW w:w="1559" w:type="dxa"/>
            <w:tcBorders>
              <w:top w:val="nil"/>
              <w:left w:val="nil"/>
              <w:bottom w:val="single" w:sz="4" w:space="0" w:color="auto"/>
              <w:right w:val="nil"/>
            </w:tcBorders>
            <w:shd w:val="clear" w:color="auto" w:fill="auto"/>
            <w:noWrap/>
            <w:hideMark/>
          </w:tcPr>
          <w:p w14:paraId="01687908" w14:textId="77777777" w:rsidR="00D9465C" w:rsidRPr="005E3FD2" w:rsidRDefault="00D9465C" w:rsidP="00DD0F28">
            <w:pPr>
              <w:spacing w:after="20"/>
              <w:rPr>
                <w:color w:val="000000"/>
                <w:sz w:val="16"/>
                <w:szCs w:val="16"/>
                <w:lang w:eastAsia="en-NZ"/>
              </w:rPr>
            </w:pPr>
          </w:p>
        </w:tc>
        <w:tc>
          <w:tcPr>
            <w:tcW w:w="1090" w:type="dxa"/>
            <w:tcBorders>
              <w:top w:val="nil"/>
              <w:left w:val="nil"/>
              <w:bottom w:val="single" w:sz="4" w:space="0" w:color="auto"/>
              <w:right w:val="nil"/>
            </w:tcBorders>
            <w:shd w:val="clear" w:color="auto" w:fill="auto"/>
            <w:noWrap/>
            <w:vAlign w:val="center"/>
            <w:hideMark/>
          </w:tcPr>
          <w:p w14:paraId="1FF7D2D8" w14:textId="77777777" w:rsidR="00D9465C" w:rsidRPr="005E3FD2" w:rsidRDefault="00D9465C" w:rsidP="00DD0F28">
            <w:pPr>
              <w:spacing w:after="20"/>
              <w:rPr>
                <w:i/>
                <w:color w:val="000000"/>
                <w:sz w:val="16"/>
                <w:szCs w:val="16"/>
                <w:lang w:eastAsia="en-NZ"/>
              </w:rPr>
            </w:pPr>
            <w:r w:rsidRPr="005E3FD2">
              <w:rPr>
                <w:i/>
                <w:color w:val="000000"/>
                <w:sz w:val="16"/>
                <w:szCs w:val="16"/>
                <w:lang w:eastAsia="en-NZ"/>
              </w:rPr>
              <w:t>Total</w:t>
            </w:r>
          </w:p>
        </w:tc>
        <w:tc>
          <w:tcPr>
            <w:tcW w:w="611" w:type="dxa"/>
            <w:tcBorders>
              <w:top w:val="nil"/>
              <w:left w:val="nil"/>
              <w:bottom w:val="single" w:sz="4" w:space="0" w:color="auto"/>
              <w:right w:val="nil"/>
            </w:tcBorders>
            <w:shd w:val="clear" w:color="auto" w:fill="auto"/>
            <w:noWrap/>
            <w:vAlign w:val="center"/>
            <w:hideMark/>
          </w:tcPr>
          <w:p w14:paraId="01605F06"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1097</w:t>
            </w:r>
          </w:p>
        </w:tc>
        <w:tc>
          <w:tcPr>
            <w:tcW w:w="709" w:type="dxa"/>
            <w:tcBorders>
              <w:top w:val="nil"/>
              <w:left w:val="nil"/>
              <w:bottom w:val="single" w:sz="4" w:space="0" w:color="auto"/>
              <w:right w:val="nil"/>
            </w:tcBorders>
            <w:shd w:val="clear" w:color="auto" w:fill="auto"/>
            <w:noWrap/>
            <w:vAlign w:val="center"/>
            <w:hideMark/>
          </w:tcPr>
          <w:p w14:paraId="692A0AC8"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 xml:space="preserve">65.16 </w:t>
            </w:r>
          </w:p>
        </w:tc>
        <w:tc>
          <w:tcPr>
            <w:tcW w:w="1361" w:type="dxa"/>
            <w:tcBorders>
              <w:top w:val="nil"/>
              <w:left w:val="nil"/>
              <w:bottom w:val="single" w:sz="4" w:space="0" w:color="auto"/>
              <w:right w:val="single" w:sz="4" w:space="0" w:color="auto"/>
            </w:tcBorders>
            <w:shd w:val="clear" w:color="auto" w:fill="auto"/>
            <w:noWrap/>
            <w:vAlign w:val="center"/>
            <w:hideMark/>
          </w:tcPr>
          <w:p w14:paraId="0CEC998D"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(54.83, 75.49)</w:t>
            </w:r>
          </w:p>
        </w:tc>
        <w:tc>
          <w:tcPr>
            <w:tcW w:w="539" w:type="dxa"/>
            <w:tcBorders>
              <w:top w:val="nil"/>
              <w:left w:val="single" w:sz="4" w:space="0" w:color="auto"/>
              <w:bottom w:val="single" w:sz="4" w:space="0" w:color="auto"/>
              <w:right w:val="nil"/>
            </w:tcBorders>
            <w:shd w:val="clear" w:color="auto" w:fill="auto"/>
            <w:noWrap/>
            <w:vAlign w:val="center"/>
            <w:hideMark/>
          </w:tcPr>
          <w:p w14:paraId="6BCB795B"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528</w:t>
            </w:r>
          </w:p>
        </w:tc>
        <w:tc>
          <w:tcPr>
            <w:tcW w:w="778" w:type="dxa"/>
            <w:tcBorders>
              <w:top w:val="nil"/>
              <w:left w:val="nil"/>
              <w:bottom w:val="single" w:sz="4" w:space="0" w:color="auto"/>
              <w:right w:val="nil"/>
            </w:tcBorders>
            <w:shd w:val="clear" w:color="auto" w:fill="auto"/>
            <w:noWrap/>
            <w:vAlign w:val="center"/>
            <w:hideMark/>
          </w:tcPr>
          <w:p w14:paraId="77FB8EAB"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 xml:space="preserve">51.44 </w:t>
            </w:r>
          </w:p>
        </w:tc>
        <w:tc>
          <w:tcPr>
            <w:tcW w:w="1361" w:type="dxa"/>
            <w:tcBorders>
              <w:top w:val="nil"/>
              <w:left w:val="nil"/>
              <w:bottom w:val="single" w:sz="4" w:space="0" w:color="auto"/>
              <w:right w:val="single" w:sz="4" w:space="0" w:color="auto"/>
            </w:tcBorders>
            <w:shd w:val="clear" w:color="auto" w:fill="auto"/>
            <w:noWrap/>
            <w:vAlign w:val="center"/>
            <w:hideMark/>
          </w:tcPr>
          <w:p w14:paraId="089D24A5"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(43.17, 59.72)</w:t>
            </w:r>
          </w:p>
        </w:tc>
        <w:tc>
          <w:tcPr>
            <w:tcW w:w="539" w:type="dxa"/>
            <w:tcBorders>
              <w:top w:val="nil"/>
              <w:left w:val="single" w:sz="4" w:space="0" w:color="auto"/>
              <w:bottom w:val="single" w:sz="4" w:space="0" w:color="auto"/>
              <w:right w:val="nil"/>
            </w:tcBorders>
            <w:shd w:val="clear" w:color="auto" w:fill="auto"/>
            <w:noWrap/>
            <w:vAlign w:val="center"/>
            <w:hideMark/>
          </w:tcPr>
          <w:p w14:paraId="0F937E6C"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424</w:t>
            </w:r>
          </w:p>
        </w:tc>
        <w:tc>
          <w:tcPr>
            <w:tcW w:w="778" w:type="dxa"/>
            <w:tcBorders>
              <w:top w:val="nil"/>
              <w:left w:val="nil"/>
              <w:bottom w:val="single" w:sz="4" w:space="0" w:color="auto"/>
              <w:right w:val="nil"/>
            </w:tcBorders>
            <w:shd w:val="clear" w:color="auto" w:fill="auto"/>
            <w:noWrap/>
            <w:vAlign w:val="center"/>
            <w:hideMark/>
          </w:tcPr>
          <w:p w14:paraId="2865BCB8"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 xml:space="preserve">46.59 </w:t>
            </w:r>
          </w:p>
        </w:tc>
        <w:tc>
          <w:tcPr>
            <w:tcW w:w="1280" w:type="dxa"/>
            <w:tcBorders>
              <w:top w:val="nil"/>
              <w:left w:val="nil"/>
              <w:bottom w:val="single" w:sz="4" w:space="0" w:color="auto"/>
              <w:right w:val="single" w:sz="4" w:space="0" w:color="auto"/>
            </w:tcBorders>
            <w:shd w:val="clear" w:color="auto" w:fill="auto"/>
            <w:noWrap/>
            <w:vAlign w:val="center"/>
            <w:hideMark/>
          </w:tcPr>
          <w:p w14:paraId="62059D42"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(39.71, 53.47)</w:t>
            </w:r>
          </w:p>
        </w:tc>
        <w:tc>
          <w:tcPr>
            <w:tcW w:w="539" w:type="dxa"/>
            <w:tcBorders>
              <w:top w:val="nil"/>
              <w:left w:val="single" w:sz="4" w:space="0" w:color="auto"/>
              <w:bottom w:val="single" w:sz="4" w:space="0" w:color="auto"/>
              <w:right w:val="nil"/>
            </w:tcBorders>
            <w:shd w:val="clear" w:color="auto" w:fill="auto"/>
            <w:noWrap/>
            <w:vAlign w:val="center"/>
            <w:hideMark/>
          </w:tcPr>
          <w:p w14:paraId="0C6ED295"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353</w:t>
            </w:r>
          </w:p>
        </w:tc>
        <w:tc>
          <w:tcPr>
            <w:tcW w:w="778" w:type="dxa"/>
            <w:tcBorders>
              <w:top w:val="nil"/>
              <w:left w:val="nil"/>
              <w:bottom w:val="single" w:sz="4" w:space="0" w:color="auto"/>
              <w:right w:val="nil"/>
            </w:tcBorders>
            <w:shd w:val="clear" w:color="auto" w:fill="auto"/>
            <w:noWrap/>
            <w:vAlign w:val="center"/>
            <w:hideMark/>
          </w:tcPr>
          <w:p w14:paraId="12915D4C"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 xml:space="preserve">56.58 </w:t>
            </w:r>
          </w:p>
        </w:tc>
        <w:tc>
          <w:tcPr>
            <w:tcW w:w="1280" w:type="dxa"/>
            <w:tcBorders>
              <w:top w:val="nil"/>
              <w:left w:val="nil"/>
              <w:bottom w:val="single" w:sz="4" w:space="0" w:color="auto"/>
              <w:right w:val="nil"/>
            </w:tcBorders>
            <w:shd w:val="clear" w:color="auto" w:fill="auto"/>
            <w:noWrap/>
            <w:vAlign w:val="center"/>
            <w:hideMark/>
          </w:tcPr>
          <w:p w14:paraId="6DB4E4CE" w14:textId="77777777" w:rsidR="00D9465C" w:rsidRPr="005E3FD2" w:rsidRDefault="00D9465C" w:rsidP="00DD0F28">
            <w:pPr>
              <w:spacing w:after="20"/>
              <w:jc w:val="right"/>
              <w:rPr>
                <w:i/>
                <w:color w:val="000000"/>
                <w:sz w:val="16"/>
                <w:szCs w:val="16"/>
                <w:lang w:eastAsia="en-NZ"/>
              </w:rPr>
            </w:pPr>
            <w:r w:rsidRPr="005E3FD2">
              <w:rPr>
                <w:i/>
                <w:color w:val="000000"/>
                <w:sz w:val="16"/>
                <w:szCs w:val="16"/>
                <w:lang w:eastAsia="en-NZ"/>
              </w:rPr>
              <w:t>(42.27, 70.90)</w:t>
            </w:r>
          </w:p>
        </w:tc>
      </w:tr>
    </w:tbl>
    <w:p w14:paraId="4406CB56" w14:textId="77777777" w:rsidR="00D9465C" w:rsidRDefault="00D9465C" w:rsidP="00D9465C">
      <w:pPr>
        <w:ind w:left="142"/>
        <w:rPr>
          <w:rFonts w:eastAsiaTheme="majorEastAsia"/>
          <w:sz w:val="16"/>
          <w:lang w:eastAsia="en-US"/>
        </w:rPr>
      </w:pPr>
      <w:r w:rsidRPr="00D05AB1">
        <w:rPr>
          <w:sz w:val="16"/>
          <w:szCs w:val="16"/>
        </w:rPr>
        <w:t>Data weighted for 2013 Census data (</w:t>
      </w:r>
      <w:r>
        <w:rPr>
          <w:sz w:val="16"/>
          <w:szCs w:val="16"/>
        </w:rPr>
        <w:t>all w</w:t>
      </w:r>
      <w:r w:rsidRPr="00D05AB1">
        <w:rPr>
          <w:sz w:val="16"/>
          <w:szCs w:val="16"/>
        </w:rPr>
        <w:t>aves) and attrition (Wave</w:t>
      </w:r>
      <w:r>
        <w:rPr>
          <w:sz w:val="16"/>
          <w:szCs w:val="16"/>
        </w:rPr>
        <w:t>s</w:t>
      </w:r>
      <w:r w:rsidRPr="00D05AB1">
        <w:rPr>
          <w:sz w:val="16"/>
          <w:szCs w:val="16"/>
        </w:rPr>
        <w:t xml:space="preserve"> 2</w:t>
      </w:r>
      <w:r>
        <w:rPr>
          <w:sz w:val="16"/>
          <w:szCs w:val="16"/>
        </w:rPr>
        <w:t>,</w:t>
      </w:r>
      <w:r w:rsidRPr="00D05AB1">
        <w:rPr>
          <w:sz w:val="16"/>
          <w:szCs w:val="16"/>
        </w:rPr>
        <w:t xml:space="preserve"> 3</w:t>
      </w:r>
      <w:r>
        <w:rPr>
          <w:sz w:val="16"/>
          <w:szCs w:val="16"/>
        </w:rPr>
        <w:t xml:space="preserve"> and 4</w:t>
      </w:r>
      <w:r w:rsidRPr="00D05AB1">
        <w:rPr>
          <w:sz w:val="16"/>
          <w:szCs w:val="16"/>
        </w:rPr>
        <w:t>)</w:t>
      </w:r>
    </w:p>
    <w:p w14:paraId="53B368AD" w14:textId="77777777" w:rsidR="00D9465C" w:rsidRPr="00EA483D" w:rsidRDefault="00D9465C" w:rsidP="00D9465C">
      <w:pPr>
        <w:ind w:left="142"/>
        <w:rPr>
          <w:rFonts w:eastAsiaTheme="majorEastAsia"/>
          <w:sz w:val="16"/>
          <w:lang w:eastAsia="en-US"/>
        </w:rPr>
      </w:pPr>
      <w:r w:rsidRPr="00EA483D">
        <w:rPr>
          <w:rFonts w:eastAsiaTheme="majorEastAsia"/>
          <w:sz w:val="16"/>
          <w:lang w:eastAsia="en-US"/>
        </w:rPr>
        <w:t>! Confidence interval not calculable due to small sample size and non-normal distribution</w:t>
      </w:r>
    </w:p>
    <w:p w14:paraId="24C384CC" w14:textId="77777777" w:rsidR="00D9465C" w:rsidRDefault="00D9465C">
      <w:pPr>
        <w:spacing w:after="200" w:line="276" w:lineRule="auto"/>
        <w:rPr>
          <w:rFonts w:eastAsiaTheme="majorEastAsia" w:cstheme="majorBidi"/>
          <w:b/>
          <w:bCs/>
          <w:caps/>
          <w:szCs w:val="28"/>
          <w:lang w:eastAsia="en-US"/>
        </w:rPr>
      </w:pPr>
      <w:r>
        <w:br w:type="page"/>
      </w:r>
    </w:p>
    <w:p w14:paraId="7BCA58AD" w14:textId="77777777" w:rsidR="00D9465C" w:rsidRDefault="00D9465C" w:rsidP="00D9465C">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pPr>
      <w:bookmarkStart w:id="213" w:name="_Toc504488413"/>
      <w:r>
        <w:t>APPENDIX 20:</w:t>
      </w:r>
      <w:r>
        <w:br/>
      </w:r>
      <w:r>
        <w:rPr>
          <w:caps w:val="0"/>
        </w:rPr>
        <w:t>Estimated annual EGM expenditure by gambling risk level for Waves 1, 2, 3 and 4</w:t>
      </w:r>
      <w:bookmarkEnd w:id="213"/>
    </w:p>
    <w:p w14:paraId="1CB8EB7F" w14:textId="77777777" w:rsidR="00D9465C" w:rsidRDefault="00D9465C" w:rsidP="00D9465C">
      <w:pPr>
        <w:rPr>
          <w:rFonts w:eastAsiaTheme="majorEastAsia" w:cstheme="majorBidi"/>
          <w:b/>
          <w:bCs/>
          <w:caps/>
          <w:szCs w:val="28"/>
          <w:lang w:eastAsia="en-US"/>
        </w:rPr>
      </w:pPr>
    </w:p>
    <w:tbl>
      <w:tblPr>
        <w:tblW w:w="13924" w:type="dxa"/>
        <w:tblInd w:w="142" w:type="dxa"/>
        <w:tblLayout w:type="fixed"/>
        <w:tblLook w:val="04A0" w:firstRow="1" w:lastRow="0" w:firstColumn="1" w:lastColumn="0" w:noHBand="0" w:noVBand="1"/>
      </w:tblPr>
      <w:tblGrid>
        <w:gridCol w:w="992"/>
        <w:gridCol w:w="1119"/>
        <w:gridCol w:w="582"/>
        <w:gridCol w:w="1142"/>
        <w:gridCol w:w="1268"/>
        <w:gridCol w:w="539"/>
        <w:gridCol w:w="1139"/>
        <w:gridCol w:w="1299"/>
        <w:gridCol w:w="539"/>
        <w:gridCol w:w="1162"/>
        <w:gridCol w:w="1132"/>
        <w:gridCol w:w="539"/>
        <w:gridCol w:w="1164"/>
        <w:gridCol w:w="1308"/>
      </w:tblGrid>
      <w:tr w:rsidR="00D9465C" w:rsidRPr="00EA483D" w14:paraId="11A2D204" w14:textId="77777777" w:rsidTr="00DD0F28">
        <w:trPr>
          <w:tblHeader/>
        </w:trPr>
        <w:tc>
          <w:tcPr>
            <w:tcW w:w="992" w:type="dxa"/>
            <w:tcBorders>
              <w:top w:val="single" w:sz="4" w:space="0" w:color="auto"/>
              <w:left w:val="nil"/>
              <w:bottom w:val="nil"/>
              <w:right w:val="nil"/>
            </w:tcBorders>
            <w:shd w:val="clear" w:color="auto" w:fill="auto"/>
            <w:noWrap/>
            <w:vAlign w:val="bottom"/>
            <w:hideMark/>
          </w:tcPr>
          <w:p w14:paraId="7D2F2A58" w14:textId="77777777" w:rsidR="00D9465C" w:rsidRPr="00EA483D" w:rsidRDefault="00D9465C" w:rsidP="00DD0F28">
            <w:pPr>
              <w:spacing w:after="20"/>
              <w:rPr>
                <w:sz w:val="16"/>
                <w:szCs w:val="16"/>
                <w:lang w:eastAsia="en-NZ"/>
              </w:rPr>
            </w:pPr>
          </w:p>
        </w:tc>
        <w:tc>
          <w:tcPr>
            <w:tcW w:w="1119" w:type="dxa"/>
            <w:tcBorders>
              <w:top w:val="single" w:sz="4" w:space="0" w:color="auto"/>
              <w:left w:val="nil"/>
              <w:bottom w:val="nil"/>
              <w:right w:val="nil"/>
            </w:tcBorders>
            <w:shd w:val="clear" w:color="auto" w:fill="auto"/>
            <w:noWrap/>
            <w:vAlign w:val="bottom"/>
            <w:hideMark/>
          </w:tcPr>
          <w:p w14:paraId="15786F8D" w14:textId="77777777" w:rsidR="00D9465C" w:rsidRPr="00EA483D" w:rsidRDefault="00D9465C" w:rsidP="00DD0F28">
            <w:pPr>
              <w:spacing w:after="20"/>
              <w:rPr>
                <w:sz w:val="16"/>
                <w:szCs w:val="16"/>
                <w:lang w:eastAsia="en-NZ"/>
              </w:rPr>
            </w:pPr>
          </w:p>
        </w:tc>
        <w:tc>
          <w:tcPr>
            <w:tcW w:w="2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5C382F" w14:textId="77777777" w:rsidR="00D9465C" w:rsidRPr="00F41D43" w:rsidRDefault="00D9465C" w:rsidP="00DD0F28">
            <w:pPr>
              <w:spacing w:after="20"/>
              <w:jc w:val="center"/>
              <w:rPr>
                <w:b/>
                <w:sz w:val="16"/>
                <w:szCs w:val="16"/>
                <w:lang w:eastAsia="en-NZ"/>
              </w:rPr>
            </w:pPr>
            <w:r w:rsidRPr="00F41D43">
              <w:rPr>
                <w:b/>
                <w:color w:val="000000"/>
                <w:sz w:val="16"/>
                <w:szCs w:val="16"/>
                <w:lang w:eastAsia="en-NZ"/>
              </w:rPr>
              <w:t>Wave 1</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43340" w14:textId="77777777" w:rsidR="00D9465C" w:rsidRPr="00F41D43" w:rsidRDefault="00D9465C" w:rsidP="00DD0F28">
            <w:pPr>
              <w:spacing w:after="20"/>
              <w:jc w:val="center"/>
              <w:rPr>
                <w:b/>
                <w:sz w:val="16"/>
                <w:szCs w:val="16"/>
                <w:lang w:eastAsia="en-NZ"/>
              </w:rPr>
            </w:pPr>
            <w:r w:rsidRPr="00F41D43">
              <w:rPr>
                <w:b/>
                <w:color w:val="000000"/>
                <w:sz w:val="16"/>
                <w:szCs w:val="16"/>
                <w:lang w:eastAsia="en-NZ"/>
              </w:rPr>
              <w:t>Wave 2</w:t>
            </w:r>
          </w:p>
        </w:tc>
        <w:tc>
          <w:tcPr>
            <w:tcW w:w="28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EDF5E" w14:textId="77777777" w:rsidR="00D9465C" w:rsidRPr="00F41D43" w:rsidRDefault="00D9465C" w:rsidP="00DD0F28">
            <w:pPr>
              <w:spacing w:after="20"/>
              <w:jc w:val="center"/>
              <w:rPr>
                <w:b/>
                <w:sz w:val="16"/>
                <w:szCs w:val="16"/>
                <w:lang w:eastAsia="en-NZ"/>
              </w:rPr>
            </w:pPr>
            <w:r w:rsidRPr="00F41D43">
              <w:rPr>
                <w:b/>
                <w:color w:val="000000"/>
                <w:sz w:val="16"/>
                <w:szCs w:val="16"/>
                <w:lang w:eastAsia="en-NZ"/>
              </w:rPr>
              <w:t>Wave 3</w:t>
            </w:r>
          </w:p>
        </w:tc>
        <w:tc>
          <w:tcPr>
            <w:tcW w:w="3011" w:type="dxa"/>
            <w:gridSpan w:val="3"/>
            <w:tcBorders>
              <w:top w:val="single" w:sz="4" w:space="0" w:color="auto"/>
              <w:left w:val="single" w:sz="4" w:space="0" w:color="auto"/>
              <w:bottom w:val="single" w:sz="4" w:space="0" w:color="auto"/>
              <w:right w:val="nil"/>
            </w:tcBorders>
            <w:shd w:val="clear" w:color="auto" w:fill="auto"/>
            <w:noWrap/>
            <w:vAlign w:val="bottom"/>
            <w:hideMark/>
          </w:tcPr>
          <w:p w14:paraId="311BC6B5" w14:textId="77777777" w:rsidR="00D9465C" w:rsidRPr="00F41D43" w:rsidRDefault="00D9465C" w:rsidP="00DD0F28">
            <w:pPr>
              <w:spacing w:after="20"/>
              <w:jc w:val="center"/>
              <w:rPr>
                <w:b/>
                <w:sz w:val="16"/>
                <w:szCs w:val="16"/>
                <w:lang w:eastAsia="en-NZ"/>
              </w:rPr>
            </w:pPr>
            <w:r w:rsidRPr="00F41D43">
              <w:rPr>
                <w:b/>
                <w:color w:val="000000"/>
                <w:sz w:val="16"/>
                <w:szCs w:val="16"/>
                <w:lang w:eastAsia="en-NZ"/>
              </w:rPr>
              <w:t>Wave 4</w:t>
            </w:r>
          </w:p>
        </w:tc>
      </w:tr>
      <w:tr w:rsidR="00D9465C" w:rsidRPr="00EA483D" w14:paraId="25900C28" w14:textId="77777777" w:rsidTr="00DD0F28">
        <w:trPr>
          <w:tblHeader/>
        </w:trPr>
        <w:tc>
          <w:tcPr>
            <w:tcW w:w="992" w:type="dxa"/>
            <w:tcBorders>
              <w:top w:val="nil"/>
              <w:left w:val="nil"/>
              <w:bottom w:val="single" w:sz="4" w:space="0" w:color="auto"/>
              <w:right w:val="nil"/>
            </w:tcBorders>
            <w:shd w:val="clear" w:color="auto" w:fill="auto"/>
            <w:noWrap/>
            <w:vAlign w:val="bottom"/>
            <w:hideMark/>
          </w:tcPr>
          <w:p w14:paraId="2E5FA923" w14:textId="77777777" w:rsidR="00D9465C" w:rsidRPr="00EA483D" w:rsidRDefault="00D9465C" w:rsidP="00DD0F28">
            <w:pPr>
              <w:spacing w:after="20"/>
              <w:rPr>
                <w:b/>
                <w:sz w:val="16"/>
                <w:szCs w:val="16"/>
                <w:lang w:eastAsia="en-NZ"/>
              </w:rPr>
            </w:pPr>
            <w:r w:rsidRPr="00EA483D">
              <w:rPr>
                <w:b/>
                <w:sz w:val="16"/>
                <w:szCs w:val="16"/>
                <w:lang w:eastAsia="en-NZ"/>
              </w:rPr>
              <w:t>Gambling risk level</w:t>
            </w:r>
          </w:p>
        </w:tc>
        <w:tc>
          <w:tcPr>
            <w:tcW w:w="1119" w:type="dxa"/>
            <w:tcBorders>
              <w:top w:val="nil"/>
              <w:left w:val="nil"/>
              <w:bottom w:val="single" w:sz="4" w:space="0" w:color="auto"/>
              <w:right w:val="nil"/>
            </w:tcBorders>
            <w:shd w:val="clear" w:color="auto" w:fill="auto"/>
            <w:noWrap/>
            <w:vAlign w:val="bottom"/>
            <w:hideMark/>
          </w:tcPr>
          <w:p w14:paraId="26E87AB5" w14:textId="77777777" w:rsidR="00D9465C" w:rsidRPr="00EA483D" w:rsidRDefault="00D9465C" w:rsidP="00DD0F28">
            <w:pPr>
              <w:spacing w:after="20"/>
              <w:rPr>
                <w:b/>
                <w:sz w:val="16"/>
                <w:szCs w:val="16"/>
                <w:lang w:eastAsia="en-NZ"/>
              </w:rPr>
            </w:pPr>
            <w:r w:rsidRPr="00EA483D">
              <w:rPr>
                <w:b/>
                <w:sz w:val="16"/>
                <w:szCs w:val="16"/>
                <w:lang w:eastAsia="en-NZ"/>
              </w:rPr>
              <w:t>EGM venue</w:t>
            </w:r>
          </w:p>
        </w:tc>
        <w:tc>
          <w:tcPr>
            <w:tcW w:w="582" w:type="dxa"/>
            <w:tcBorders>
              <w:top w:val="single" w:sz="4" w:space="0" w:color="auto"/>
              <w:left w:val="nil"/>
              <w:bottom w:val="single" w:sz="4" w:space="0" w:color="auto"/>
              <w:right w:val="nil"/>
            </w:tcBorders>
            <w:shd w:val="clear" w:color="auto" w:fill="auto"/>
            <w:noWrap/>
            <w:vAlign w:val="center"/>
            <w:hideMark/>
          </w:tcPr>
          <w:p w14:paraId="3FB8472C" w14:textId="77777777" w:rsidR="00D9465C" w:rsidRPr="00F41D43" w:rsidRDefault="00D9465C" w:rsidP="00DD0F28">
            <w:pPr>
              <w:spacing w:after="20"/>
              <w:jc w:val="right"/>
              <w:rPr>
                <w:b/>
                <w:color w:val="000000"/>
                <w:sz w:val="16"/>
                <w:szCs w:val="16"/>
                <w:lang w:eastAsia="en-NZ"/>
              </w:rPr>
            </w:pPr>
            <w:r w:rsidRPr="00F41D43">
              <w:rPr>
                <w:b/>
                <w:color w:val="000000"/>
                <w:sz w:val="16"/>
                <w:szCs w:val="16"/>
                <w:lang w:eastAsia="en-NZ"/>
              </w:rPr>
              <w:t>n</w:t>
            </w:r>
          </w:p>
        </w:tc>
        <w:tc>
          <w:tcPr>
            <w:tcW w:w="1142" w:type="dxa"/>
            <w:tcBorders>
              <w:top w:val="single" w:sz="4" w:space="0" w:color="auto"/>
              <w:left w:val="nil"/>
              <w:bottom w:val="single" w:sz="4" w:space="0" w:color="auto"/>
              <w:right w:val="nil"/>
            </w:tcBorders>
            <w:shd w:val="clear" w:color="auto" w:fill="auto"/>
            <w:noWrap/>
            <w:vAlign w:val="center"/>
            <w:hideMark/>
          </w:tcPr>
          <w:p w14:paraId="1B8F3F86" w14:textId="77777777" w:rsidR="00D9465C" w:rsidRPr="00F41D43" w:rsidRDefault="00D9465C" w:rsidP="00DD0F28">
            <w:pPr>
              <w:spacing w:after="20"/>
              <w:jc w:val="right"/>
              <w:rPr>
                <w:b/>
                <w:color w:val="000000"/>
                <w:sz w:val="16"/>
                <w:szCs w:val="16"/>
                <w:lang w:eastAsia="en-NZ"/>
              </w:rPr>
            </w:pPr>
            <w:r w:rsidRPr="00F41D43">
              <w:rPr>
                <w:b/>
                <w:color w:val="000000"/>
                <w:sz w:val="16"/>
                <w:szCs w:val="16"/>
                <w:lang w:eastAsia="en-NZ"/>
              </w:rPr>
              <w:t>$</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14:paraId="6184B7AB" w14:textId="77777777" w:rsidR="00D9465C" w:rsidRPr="00F41D43" w:rsidRDefault="00D9465C" w:rsidP="00DD0F28">
            <w:pPr>
              <w:spacing w:after="20"/>
              <w:jc w:val="right"/>
              <w:rPr>
                <w:b/>
                <w:color w:val="000000"/>
                <w:sz w:val="16"/>
                <w:szCs w:val="16"/>
                <w:lang w:eastAsia="en-NZ"/>
              </w:rPr>
            </w:pPr>
            <w:r w:rsidRPr="00F41D43">
              <w:rPr>
                <w:b/>
                <w:color w:val="000000"/>
                <w:sz w:val="16"/>
                <w:szCs w:val="16"/>
                <w:lang w:eastAsia="en-NZ"/>
              </w:rPr>
              <w:t>(95% CI)</w:t>
            </w:r>
          </w:p>
        </w:tc>
        <w:tc>
          <w:tcPr>
            <w:tcW w:w="539" w:type="dxa"/>
            <w:tcBorders>
              <w:top w:val="single" w:sz="4" w:space="0" w:color="auto"/>
              <w:left w:val="single" w:sz="4" w:space="0" w:color="auto"/>
              <w:bottom w:val="single" w:sz="4" w:space="0" w:color="auto"/>
              <w:right w:val="nil"/>
            </w:tcBorders>
            <w:shd w:val="clear" w:color="auto" w:fill="auto"/>
            <w:noWrap/>
            <w:vAlign w:val="center"/>
            <w:hideMark/>
          </w:tcPr>
          <w:p w14:paraId="3B86F99B" w14:textId="77777777" w:rsidR="00D9465C" w:rsidRPr="00F41D43" w:rsidRDefault="00D9465C" w:rsidP="00DD0F28">
            <w:pPr>
              <w:spacing w:after="20"/>
              <w:jc w:val="right"/>
              <w:rPr>
                <w:b/>
                <w:color w:val="000000"/>
                <w:sz w:val="16"/>
                <w:szCs w:val="16"/>
                <w:lang w:eastAsia="en-NZ"/>
              </w:rPr>
            </w:pPr>
            <w:r w:rsidRPr="00F41D43">
              <w:rPr>
                <w:b/>
                <w:color w:val="000000"/>
                <w:sz w:val="16"/>
                <w:szCs w:val="16"/>
                <w:lang w:eastAsia="en-NZ"/>
              </w:rPr>
              <w:t>n</w:t>
            </w:r>
          </w:p>
        </w:tc>
        <w:tc>
          <w:tcPr>
            <w:tcW w:w="1139" w:type="dxa"/>
            <w:tcBorders>
              <w:top w:val="single" w:sz="4" w:space="0" w:color="auto"/>
              <w:left w:val="nil"/>
              <w:bottom w:val="single" w:sz="4" w:space="0" w:color="auto"/>
              <w:right w:val="nil"/>
            </w:tcBorders>
            <w:shd w:val="clear" w:color="auto" w:fill="auto"/>
            <w:noWrap/>
            <w:vAlign w:val="center"/>
            <w:hideMark/>
          </w:tcPr>
          <w:p w14:paraId="44228B05" w14:textId="77777777" w:rsidR="00D9465C" w:rsidRPr="00F41D43" w:rsidRDefault="00D9465C" w:rsidP="00DD0F28">
            <w:pPr>
              <w:spacing w:after="20"/>
              <w:jc w:val="right"/>
              <w:rPr>
                <w:b/>
                <w:color w:val="000000"/>
                <w:sz w:val="16"/>
                <w:szCs w:val="16"/>
                <w:lang w:eastAsia="en-NZ"/>
              </w:rPr>
            </w:pPr>
            <w:r w:rsidRPr="00F41D43">
              <w:rPr>
                <w:b/>
                <w:color w:val="000000"/>
                <w:sz w:val="16"/>
                <w:szCs w:val="16"/>
                <w:lang w:eastAsia="en-NZ"/>
              </w:rPr>
              <w:t>$</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7C3C253D" w14:textId="77777777" w:rsidR="00D9465C" w:rsidRPr="00F41D43" w:rsidRDefault="00D9465C" w:rsidP="00DD0F28">
            <w:pPr>
              <w:spacing w:after="20"/>
              <w:jc w:val="right"/>
              <w:rPr>
                <w:b/>
                <w:color w:val="000000"/>
                <w:sz w:val="16"/>
                <w:szCs w:val="16"/>
                <w:lang w:eastAsia="en-NZ"/>
              </w:rPr>
            </w:pPr>
            <w:r w:rsidRPr="00F41D43">
              <w:rPr>
                <w:b/>
                <w:color w:val="000000"/>
                <w:sz w:val="16"/>
                <w:szCs w:val="16"/>
                <w:lang w:eastAsia="en-NZ"/>
              </w:rPr>
              <w:t>(95% CI)</w:t>
            </w:r>
          </w:p>
        </w:tc>
        <w:tc>
          <w:tcPr>
            <w:tcW w:w="539" w:type="dxa"/>
            <w:tcBorders>
              <w:top w:val="single" w:sz="4" w:space="0" w:color="auto"/>
              <w:left w:val="single" w:sz="4" w:space="0" w:color="auto"/>
              <w:bottom w:val="single" w:sz="4" w:space="0" w:color="auto"/>
              <w:right w:val="nil"/>
            </w:tcBorders>
            <w:shd w:val="clear" w:color="auto" w:fill="auto"/>
            <w:noWrap/>
            <w:vAlign w:val="center"/>
            <w:hideMark/>
          </w:tcPr>
          <w:p w14:paraId="2A6DA0FA" w14:textId="77777777" w:rsidR="00D9465C" w:rsidRPr="00F41D43" w:rsidRDefault="00D9465C" w:rsidP="00DD0F28">
            <w:pPr>
              <w:spacing w:after="20"/>
              <w:jc w:val="right"/>
              <w:rPr>
                <w:b/>
                <w:color w:val="000000"/>
                <w:sz w:val="16"/>
                <w:szCs w:val="16"/>
                <w:lang w:eastAsia="en-NZ"/>
              </w:rPr>
            </w:pPr>
            <w:r w:rsidRPr="00F41D43">
              <w:rPr>
                <w:b/>
                <w:color w:val="000000"/>
                <w:sz w:val="16"/>
                <w:szCs w:val="16"/>
                <w:lang w:eastAsia="en-NZ"/>
              </w:rPr>
              <w:t>n</w:t>
            </w:r>
          </w:p>
        </w:tc>
        <w:tc>
          <w:tcPr>
            <w:tcW w:w="1162" w:type="dxa"/>
            <w:tcBorders>
              <w:top w:val="single" w:sz="4" w:space="0" w:color="auto"/>
              <w:left w:val="nil"/>
              <w:bottom w:val="single" w:sz="4" w:space="0" w:color="auto"/>
              <w:right w:val="nil"/>
            </w:tcBorders>
            <w:shd w:val="clear" w:color="auto" w:fill="auto"/>
            <w:noWrap/>
            <w:vAlign w:val="center"/>
            <w:hideMark/>
          </w:tcPr>
          <w:p w14:paraId="4AC56E90" w14:textId="77777777" w:rsidR="00D9465C" w:rsidRPr="00F41D43" w:rsidRDefault="00D9465C" w:rsidP="00DD0F28">
            <w:pPr>
              <w:spacing w:after="20"/>
              <w:jc w:val="right"/>
              <w:rPr>
                <w:b/>
                <w:color w:val="000000"/>
                <w:sz w:val="16"/>
                <w:szCs w:val="16"/>
                <w:lang w:eastAsia="en-NZ"/>
              </w:rPr>
            </w:pPr>
            <w:r w:rsidRPr="00F41D43">
              <w:rPr>
                <w:b/>
                <w:color w:val="000000"/>
                <w:sz w:val="16"/>
                <w:szCs w:val="16"/>
                <w:lang w:eastAsia="en-NZ"/>
              </w:rPr>
              <w:t>$</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32F58B1" w14:textId="77777777" w:rsidR="00D9465C" w:rsidRPr="00F41D43" w:rsidRDefault="00D9465C" w:rsidP="00DD0F28">
            <w:pPr>
              <w:spacing w:after="20"/>
              <w:jc w:val="right"/>
              <w:rPr>
                <w:b/>
                <w:color w:val="000000"/>
                <w:sz w:val="16"/>
                <w:szCs w:val="16"/>
                <w:lang w:eastAsia="en-NZ"/>
              </w:rPr>
            </w:pPr>
            <w:r w:rsidRPr="00F41D43">
              <w:rPr>
                <w:b/>
                <w:color w:val="000000"/>
                <w:sz w:val="16"/>
                <w:szCs w:val="16"/>
                <w:lang w:eastAsia="en-NZ"/>
              </w:rPr>
              <w:t>(95% CI)</w:t>
            </w:r>
          </w:p>
        </w:tc>
        <w:tc>
          <w:tcPr>
            <w:tcW w:w="539" w:type="dxa"/>
            <w:tcBorders>
              <w:top w:val="single" w:sz="4" w:space="0" w:color="auto"/>
              <w:left w:val="single" w:sz="4" w:space="0" w:color="auto"/>
              <w:bottom w:val="single" w:sz="4" w:space="0" w:color="auto"/>
              <w:right w:val="nil"/>
            </w:tcBorders>
            <w:shd w:val="clear" w:color="auto" w:fill="auto"/>
            <w:noWrap/>
            <w:vAlign w:val="center"/>
            <w:hideMark/>
          </w:tcPr>
          <w:p w14:paraId="1A6A31A1" w14:textId="77777777" w:rsidR="00D9465C" w:rsidRPr="00F41D43" w:rsidRDefault="00D9465C" w:rsidP="00DD0F28">
            <w:pPr>
              <w:spacing w:after="20"/>
              <w:jc w:val="right"/>
              <w:rPr>
                <w:b/>
                <w:color w:val="000000"/>
                <w:sz w:val="16"/>
                <w:szCs w:val="16"/>
                <w:lang w:eastAsia="en-NZ"/>
              </w:rPr>
            </w:pPr>
            <w:r w:rsidRPr="00F41D43">
              <w:rPr>
                <w:b/>
                <w:color w:val="000000"/>
                <w:sz w:val="16"/>
                <w:szCs w:val="16"/>
                <w:lang w:eastAsia="en-NZ"/>
              </w:rPr>
              <w:t>n</w:t>
            </w:r>
          </w:p>
        </w:tc>
        <w:tc>
          <w:tcPr>
            <w:tcW w:w="1164" w:type="dxa"/>
            <w:tcBorders>
              <w:top w:val="single" w:sz="4" w:space="0" w:color="auto"/>
              <w:left w:val="nil"/>
              <w:bottom w:val="single" w:sz="4" w:space="0" w:color="auto"/>
              <w:right w:val="nil"/>
            </w:tcBorders>
            <w:shd w:val="clear" w:color="auto" w:fill="auto"/>
            <w:noWrap/>
            <w:vAlign w:val="center"/>
            <w:hideMark/>
          </w:tcPr>
          <w:p w14:paraId="76FEB138" w14:textId="77777777" w:rsidR="00D9465C" w:rsidRPr="00F41D43" w:rsidRDefault="00D9465C" w:rsidP="00DD0F28">
            <w:pPr>
              <w:spacing w:after="20"/>
              <w:jc w:val="right"/>
              <w:rPr>
                <w:b/>
                <w:color w:val="000000"/>
                <w:sz w:val="16"/>
                <w:szCs w:val="16"/>
                <w:lang w:eastAsia="en-NZ"/>
              </w:rPr>
            </w:pPr>
            <w:r w:rsidRPr="00F41D43">
              <w:rPr>
                <w:b/>
                <w:color w:val="000000"/>
                <w:sz w:val="16"/>
                <w:szCs w:val="16"/>
                <w:lang w:eastAsia="en-NZ"/>
              </w:rPr>
              <w:t>$</w:t>
            </w:r>
          </w:p>
        </w:tc>
        <w:tc>
          <w:tcPr>
            <w:tcW w:w="1308" w:type="dxa"/>
            <w:tcBorders>
              <w:top w:val="single" w:sz="4" w:space="0" w:color="auto"/>
              <w:left w:val="nil"/>
              <w:bottom w:val="single" w:sz="4" w:space="0" w:color="auto"/>
              <w:right w:val="nil"/>
            </w:tcBorders>
            <w:shd w:val="clear" w:color="auto" w:fill="auto"/>
            <w:noWrap/>
            <w:vAlign w:val="center"/>
            <w:hideMark/>
          </w:tcPr>
          <w:p w14:paraId="23E1B957" w14:textId="77777777" w:rsidR="00D9465C" w:rsidRPr="00F41D43" w:rsidRDefault="00D9465C" w:rsidP="00DD0F28">
            <w:pPr>
              <w:spacing w:after="20"/>
              <w:jc w:val="right"/>
              <w:rPr>
                <w:b/>
                <w:color w:val="000000"/>
                <w:sz w:val="16"/>
                <w:szCs w:val="16"/>
                <w:lang w:eastAsia="en-NZ"/>
              </w:rPr>
            </w:pPr>
            <w:r w:rsidRPr="00F41D43">
              <w:rPr>
                <w:b/>
                <w:color w:val="000000"/>
                <w:sz w:val="16"/>
                <w:szCs w:val="16"/>
                <w:lang w:eastAsia="en-NZ"/>
              </w:rPr>
              <w:t>(95% CI)</w:t>
            </w:r>
          </w:p>
        </w:tc>
      </w:tr>
      <w:tr w:rsidR="00D9465C" w:rsidRPr="00EA483D" w14:paraId="1AA7A5FC" w14:textId="77777777" w:rsidTr="00DD0F28">
        <w:tc>
          <w:tcPr>
            <w:tcW w:w="992" w:type="dxa"/>
            <w:vMerge w:val="restart"/>
            <w:tcBorders>
              <w:top w:val="single" w:sz="4" w:space="0" w:color="auto"/>
              <w:left w:val="nil"/>
              <w:right w:val="nil"/>
            </w:tcBorders>
            <w:shd w:val="clear" w:color="auto" w:fill="auto"/>
            <w:noWrap/>
            <w:hideMark/>
          </w:tcPr>
          <w:p w14:paraId="222F344C"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Non-problem gambler</w:t>
            </w:r>
          </w:p>
        </w:tc>
        <w:tc>
          <w:tcPr>
            <w:tcW w:w="1119" w:type="dxa"/>
            <w:tcBorders>
              <w:top w:val="single" w:sz="4" w:space="0" w:color="auto"/>
              <w:left w:val="nil"/>
              <w:bottom w:val="nil"/>
              <w:right w:val="nil"/>
            </w:tcBorders>
            <w:shd w:val="clear" w:color="auto" w:fill="auto"/>
            <w:noWrap/>
            <w:hideMark/>
          </w:tcPr>
          <w:p w14:paraId="07F61251"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Casino</w:t>
            </w:r>
          </w:p>
        </w:tc>
        <w:tc>
          <w:tcPr>
            <w:tcW w:w="582" w:type="dxa"/>
            <w:tcBorders>
              <w:top w:val="single" w:sz="4" w:space="0" w:color="auto"/>
              <w:left w:val="nil"/>
              <w:bottom w:val="nil"/>
              <w:right w:val="nil"/>
            </w:tcBorders>
            <w:shd w:val="clear" w:color="auto" w:fill="auto"/>
            <w:noWrap/>
          </w:tcPr>
          <w:p w14:paraId="06296494" w14:textId="77777777" w:rsidR="00D9465C" w:rsidRPr="005E3FD2" w:rsidRDefault="00D9465C" w:rsidP="00DD0F28">
            <w:pPr>
              <w:jc w:val="right"/>
              <w:rPr>
                <w:color w:val="000000"/>
                <w:sz w:val="16"/>
                <w:szCs w:val="16"/>
                <w:lang w:eastAsia="en-NZ"/>
              </w:rPr>
            </w:pPr>
            <w:r w:rsidRPr="005E3FD2">
              <w:rPr>
                <w:color w:val="000000"/>
                <w:sz w:val="16"/>
                <w:szCs w:val="16"/>
              </w:rPr>
              <w:t>380</w:t>
            </w:r>
          </w:p>
        </w:tc>
        <w:tc>
          <w:tcPr>
            <w:tcW w:w="1142" w:type="dxa"/>
            <w:tcBorders>
              <w:top w:val="single" w:sz="4" w:space="0" w:color="auto"/>
              <w:left w:val="nil"/>
              <w:bottom w:val="nil"/>
              <w:right w:val="nil"/>
            </w:tcBorders>
            <w:shd w:val="clear" w:color="auto" w:fill="auto"/>
            <w:noWrap/>
          </w:tcPr>
          <w:p w14:paraId="7D042940" w14:textId="77777777" w:rsidR="00D9465C" w:rsidRPr="005E3FD2" w:rsidRDefault="00D9465C" w:rsidP="00DD0F28">
            <w:pPr>
              <w:jc w:val="right"/>
              <w:rPr>
                <w:color w:val="000000"/>
                <w:sz w:val="16"/>
                <w:szCs w:val="16"/>
              </w:rPr>
            </w:pPr>
            <w:r w:rsidRPr="005E3FD2">
              <w:rPr>
                <w:color w:val="000000"/>
                <w:sz w:val="16"/>
                <w:szCs w:val="16"/>
              </w:rPr>
              <w:t xml:space="preserve">96,758,102 </w:t>
            </w:r>
          </w:p>
        </w:tc>
        <w:tc>
          <w:tcPr>
            <w:tcW w:w="1268" w:type="dxa"/>
            <w:tcBorders>
              <w:top w:val="single" w:sz="4" w:space="0" w:color="auto"/>
              <w:left w:val="nil"/>
              <w:bottom w:val="nil"/>
              <w:right w:val="single" w:sz="4" w:space="0" w:color="auto"/>
            </w:tcBorders>
            <w:shd w:val="clear" w:color="auto" w:fill="auto"/>
            <w:noWrap/>
            <w:vAlign w:val="center"/>
          </w:tcPr>
          <w:p w14:paraId="23AF71E4" w14:textId="77777777" w:rsidR="00D9465C" w:rsidRPr="005E3FD2" w:rsidRDefault="00D9465C" w:rsidP="00DD0F28">
            <w:pPr>
              <w:jc w:val="right"/>
              <w:rPr>
                <w:color w:val="000000"/>
                <w:sz w:val="16"/>
                <w:szCs w:val="16"/>
              </w:rPr>
            </w:pPr>
            <w:r w:rsidRPr="005E3FD2">
              <w:rPr>
                <w:color w:val="000000"/>
                <w:sz w:val="16"/>
                <w:szCs w:val="16"/>
              </w:rPr>
              <w:t>(75,160,997, 118,358,081)</w:t>
            </w:r>
          </w:p>
        </w:tc>
        <w:tc>
          <w:tcPr>
            <w:tcW w:w="539" w:type="dxa"/>
            <w:tcBorders>
              <w:top w:val="single" w:sz="4" w:space="0" w:color="auto"/>
              <w:left w:val="single" w:sz="4" w:space="0" w:color="auto"/>
              <w:bottom w:val="nil"/>
              <w:right w:val="nil"/>
            </w:tcBorders>
            <w:shd w:val="clear" w:color="auto" w:fill="auto"/>
            <w:noWrap/>
          </w:tcPr>
          <w:p w14:paraId="1CB0F233" w14:textId="77777777" w:rsidR="00D9465C" w:rsidRPr="005E3FD2" w:rsidRDefault="00D9465C" w:rsidP="00DD0F28">
            <w:pPr>
              <w:jc w:val="right"/>
              <w:rPr>
                <w:color w:val="000000"/>
                <w:sz w:val="16"/>
                <w:szCs w:val="16"/>
              </w:rPr>
            </w:pPr>
            <w:r w:rsidRPr="005E3FD2">
              <w:rPr>
                <w:color w:val="000000"/>
                <w:sz w:val="16"/>
                <w:szCs w:val="16"/>
              </w:rPr>
              <w:t>155</w:t>
            </w:r>
          </w:p>
        </w:tc>
        <w:tc>
          <w:tcPr>
            <w:tcW w:w="1139" w:type="dxa"/>
            <w:tcBorders>
              <w:top w:val="single" w:sz="4" w:space="0" w:color="auto"/>
              <w:left w:val="nil"/>
              <w:bottom w:val="nil"/>
              <w:right w:val="nil"/>
            </w:tcBorders>
            <w:shd w:val="clear" w:color="auto" w:fill="auto"/>
            <w:noWrap/>
          </w:tcPr>
          <w:p w14:paraId="4B48551C" w14:textId="77777777" w:rsidR="00D9465C" w:rsidRPr="005E3FD2" w:rsidRDefault="00D9465C" w:rsidP="00DD0F28">
            <w:pPr>
              <w:jc w:val="right"/>
              <w:rPr>
                <w:color w:val="000000"/>
                <w:sz w:val="16"/>
                <w:szCs w:val="16"/>
              </w:rPr>
            </w:pPr>
            <w:r w:rsidRPr="005E3FD2">
              <w:rPr>
                <w:color w:val="000000"/>
                <w:sz w:val="16"/>
                <w:szCs w:val="16"/>
              </w:rPr>
              <w:t xml:space="preserve">56,195,229 </w:t>
            </w:r>
          </w:p>
        </w:tc>
        <w:tc>
          <w:tcPr>
            <w:tcW w:w="1299" w:type="dxa"/>
            <w:tcBorders>
              <w:top w:val="single" w:sz="4" w:space="0" w:color="auto"/>
              <w:left w:val="nil"/>
              <w:bottom w:val="nil"/>
              <w:right w:val="single" w:sz="4" w:space="0" w:color="auto"/>
            </w:tcBorders>
            <w:shd w:val="clear" w:color="auto" w:fill="auto"/>
            <w:noWrap/>
            <w:vAlign w:val="center"/>
          </w:tcPr>
          <w:p w14:paraId="30F5F10F" w14:textId="77777777" w:rsidR="00D9465C" w:rsidRPr="005E3FD2" w:rsidRDefault="00D9465C" w:rsidP="00DD0F28">
            <w:pPr>
              <w:jc w:val="right"/>
              <w:rPr>
                <w:color w:val="000000"/>
                <w:sz w:val="16"/>
                <w:szCs w:val="16"/>
              </w:rPr>
            </w:pPr>
            <w:r w:rsidRPr="005E3FD2">
              <w:rPr>
                <w:color w:val="000000"/>
                <w:sz w:val="16"/>
                <w:szCs w:val="16"/>
              </w:rPr>
              <w:t>(41,486,595, 70,903,862)</w:t>
            </w:r>
          </w:p>
        </w:tc>
        <w:tc>
          <w:tcPr>
            <w:tcW w:w="539" w:type="dxa"/>
            <w:tcBorders>
              <w:top w:val="single" w:sz="4" w:space="0" w:color="auto"/>
              <w:left w:val="single" w:sz="4" w:space="0" w:color="auto"/>
              <w:bottom w:val="nil"/>
              <w:right w:val="nil"/>
            </w:tcBorders>
            <w:shd w:val="clear" w:color="auto" w:fill="auto"/>
            <w:noWrap/>
          </w:tcPr>
          <w:p w14:paraId="662D96C7" w14:textId="77777777" w:rsidR="00D9465C" w:rsidRPr="005E3FD2" w:rsidRDefault="00D9465C" w:rsidP="00DD0F28">
            <w:pPr>
              <w:jc w:val="right"/>
              <w:rPr>
                <w:color w:val="000000"/>
                <w:sz w:val="16"/>
                <w:szCs w:val="16"/>
              </w:rPr>
            </w:pPr>
            <w:r w:rsidRPr="005E3FD2">
              <w:rPr>
                <w:color w:val="000000"/>
                <w:sz w:val="16"/>
                <w:szCs w:val="16"/>
              </w:rPr>
              <w:t>154</w:t>
            </w:r>
          </w:p>
        </w:tc>
        <w:tc>
          <w:tcPr>
            <w:tcW w:w="1162" w:type="dxa"/>
            <w:tcBorders>
              <w:top w:val="single" w:sz="4" w:space="0" w:color="auto"/>
              <w:left w:val="nil"/>
              <w:bottom w:val="nil"/>
              <w:right w:val="nil"/>
            </w:tcBorders>
            <w:shd w:val="clear" w:color="auto" w:fill="auto"/>
            <w:noWrap/>
          </w:tcPr>
          <w:p w14:paraId="7DFE3152" w14:textId="77777777" w:rsidR="00D9465C" w:rsidRPr="005E3FD2" w:rsidRDefault="00D9465C" w:rsidP="00DD0F28">
            <w:pPr>
              <w:jc w:val="right"/>
              <w:rPr>
                <w:color w:val="000000"/>
                <w:sz w:val="16"/>
                <w:szCs w:val="16"/>
              </w:rPr>
            </w:pPr>
            <w:r w:rsidRPr="005E3FD2">
              <w:rPr>
                <w:color w:val="000000"/>
                <w:sz w:val="16"/>
                <w:szCs w:val="16"/>
              </w:rPr>
              <w:t xml:space="preserve">65,422,232 </w:t>
            </w:r>
          </w:p>
        </w:tc>
        <w:tc>
          <w:tcPr>
            <w:tcW w:w="1132" w:type="dxa"/>
            <w:tcBorders>
              <w:top w:val="single" w:sz="4" w:space="0" w:color="auto"/>
              <w:left w:val="nil"/>
              <w:bottom w:val="nil"/>
              <w:right w:val="single" w:sz="4" w:space="0" w:color="auto"/>
            </w:tcBorders>
            <w:shd w:val="clear" w:color="auto" w:fill="auto"/>
            <w:noWrap/>
            <w:vAlign w:val="center"/>
          </w:tcPr>
          <w:p w14:paraId="1BB71F9C" w14:textId="77777777" w:rsidR="00D9465C" w:rsidRPr="005E3FD2" w:rsidRDefault="00D9465C" w:rsidP="00DD0F28">
            <w:pPr>
              <w:jc w:val="right"/>
              <w:rPr>
                <w:color w:val="000000"/>
                <w:sz w:val="16"/>
                <w:szCs w:val="16"/>
              </w:rPr>
            </w:pPr>
            <w:r w:rsidRPr="005E3FD2">
              <w:rPr>
                <w:color w:val="000000"/>
                <w:sz w:val="16"/>
                <w:szCs w:val="16"/>
              </w:rPr>
              <w:t>(51,008,043, 79,836,422)</w:t>
            </w:r>
          </w:p>
        </w:tc>
        <w:tc>
          <w:tcPr>
            <w:tcW w:w="539" w:type="dxa"/>
            <w:tcBorders>
              <w:top w:val="single" w:sz="4" w:space="0" w:color="auto"/>
              <w:left w:val="single" w:sz="4" w:space="0" w:color="auto"/>
              <w:bottom w:val="nil"/>
              <w:right w:val="nil"/>
            </w:tcBorders>
            <w:shd w:val="clear" w:color="auto" w:fill="auto"/>
            <w:noWrap/>
          </w:tcPr>
          <w:p w14:paraId="5B447139" w14:textId="77777777" w:rsidR="00D9465C" w:rsidRPr="005E3FD2" w:rsidRDefault="00D9465C" w:rsidP="00DD0F28">
            <w:pPr>
              <w:jc w:val="right"/>
              <w:rPr>
                <w:color w:val="000000"/>
                <w:sz w:val="16"/>
                <w:szCs w:val="16"/>
              </w:rPr>
            </w:pPr>
            <w:r w:rsidRPr="005E3FD2">
              <w:rPr>
                <w:color w:val="000000"/>
                <w:sz w:val="16"/>
                <w:szCs w:val="16"/>
              </w:rPr>
              <w:t>118</w:t>
            </w:r>
          </w:p>
        </w:tc>
        <w:tc>
          <w:tcPr>
            <w:tcW w:w="1164" w:type="dxa"/>
            <w:tcBorders>
              <w:top w:val="single" w:sz="4" w:space="0" w:color="auto"/>
              <w:left w:val="nil"/>
              <w:bottom w:val="nil"/>
              <w:right w:val="nil"/>
            </w:tcBorders>
            <w:shd w:val="clear" w:color="auto" w:fill="auto"/>
            <w:noWrap/>
          </w:tcPr>
          <w:p w14:paraId="6BB87178" w14:textId="77777777" w:rsidR="00D9465C" w:rsidRPr="005E3FD2" w:rsidRDefault="00D9465C" w:rsidP="00DD0F28">
            <w:pPr>
              <w:jc w:val="right"/>
              <w:rPr>
                <w:color w:val="000000"/>
                <w:sz w:val="16"/>
                <w:szCs w:val="16"/>
              </w:rPr>
            </w:pPr>
            <w:r w:rsidRPr="005E3FD2">
              <w:rPr>
                <w:color w:val="000000"/>
                <w:sz w:val="16"/>
                <w:szCs w:val="16"/>
              </w:rPr>
              <w:t xml:space="preserve">55,500,311 </w:t>
            </w:r>
          </w:p>
        </w:tc>
        <w:tc>
          <w:tcPr>
            <w:tcW w:w="1308" w:type="dxa"/>
            <w:tcBorders>
              <w:top w:val="single" w:sz="4" w:space="0" w:color="auto"/>
              <w:left w:val="nil"/>
              <w:bottom w:val="nil"/>
              <w:right w:val="nil"/>
            </w:tcBorders>
            <w:shd w:val="clear" w:color="auto" w:fill="auto"/>
            <w:noWrap/>
            <w:vAlign w:val="center"/>
          </w:tcPr>
          <w:p w14:paraId="1DE5F9AA" w14:textId="77777777" w:rsidR="00D9465C" w:rsidRPr="005E3FD2" w:rsidRDefault="00D9465C" w:rsidP="00DD0F28">
            <w:pPr>
              <w:jc w:val="right"/>
              <w:rPr>
                <w:color w:val="000000"/>
                <w:sz w:val="16"/>
                <w:szCs w:val="16"/>
              </w:rPr>
            </w:pPr>
            <w:r w:rsidRPr="005E3FD2">
              <w:rPr>
                <w:color w:val="000000"/>
                <w:sz w:val="16"/>
                <w:szCs w:val="16"/>
              </w:rPr>
              <w:t>(42,906,497, 68,094,125)</w:t>
            </w:r>
          </w:p>
        </w:tc>
      </w:tr>
      <w:tr w:rsidR="00D9465C" w:rsidRPr="00EA483D" w14:paraId="33AF5321" w14:textId="77777777" w:rsidTr="00DD0F28">
        <w:tc>
          <w:tcPr>
            <w:tcW w:w="992" w:type="dxa"/>
            <w:vMerge/>
            <w:tcBorders>
              <w:left w:val="nil"/>
              <w:bottom w:val="nil"/>
              <w:right w:val="nil"/>
            </w:tcBorders>
            <w:shd w:val="clear" w:color="auto" w:fill="auto"/>
            <w:noWrap/>
            <w:hideMark/>
          </w:tcPr>
          <w:p w14:paraId="2C976301" w14:textId="77777777" w:rsidR="00D9465C" w:rsidRPr="005E3FD2" w:rsidRDefault="00D9465C" w:rsidP="00DD0F28">
            <w:pPr>
              <w:spacing w:after="20"/>
              <w:rPr>
                <w:color w:val="000000"/>
                <w:sz w:val="16"/>
                <w:szCs w:val="16"/>
                <w:lang w:eastAsia="en-NZ"/>
              </w:rPr>
            </w:pPr>
          </w:p>
        </w:tc>
        <w:tc>
          <w:tcPr>
            <w:tcW w:w="1119" w:type="dxa"/>
            <w:tcBorders>
              <w:top w:val="nil"/>
              <w:left w:val="nil"/>
              <w:bottom w:val="nil"/>
              <w:right w:val="nil"/>
            </w:tcBorders>
            <w:shd w:val="clear" w:color="auto" w:fill="auto"/>
            <w:noWrap/>
            <w:hideMark/>
          </w:tcPr>
          <w:p w14:paraId="46BDE884"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Pub</w:t>
            </w:r>
          </w:p>
        </w:tc>
        <w:tc>
          <w:tcPr>
            <w:tcW w:w="582" w:type="dxa"/>
            <w:tcBorders>
              <w:top w:val="nil"/>
              <w:left w:val="nil"/>
              <w:bottom w:val="nil"/>
              <w:right w:val="nil"/>
            </w:tcBorders>
            <w:shd w:val="clear" w:color="auto" w:fill="auto"/>
            <w:noWrap/>
          </w:tcPr>
          <w:p w14:paraId="7E8DF0E8" w14:textId="77777777" w:rsidR="00D9465C" w:rsidRPr="005E3FD2" w:rsidRDefault="00D9465C" w:rsidP="00DD0F28">
            <w:pPr>
              <w:jc w:val="right"/>
              <w:rPr>
                <w:color w:val="000000"/>
                <w:sz w:val="16"/>
                <w:szCs w:val="16"/>
              </w:rPr>
            </w:pPr>
            <w:r w:rsidRPr="005E3FD2">
              <w:rPr>
                <w:color w:val="000000"/>
                <w:sz w:val="16"/>
                <w:szCs w:val="16"/>
              </w:rPr>
              <w:t>519</w:t>
            </w:r>
          </w:p>
        </w:tc>
        <w:tc>
          <w:tcPr>
            <w:tcW w:w="1142" w:type="dxa"/>
            <w:tcBorders>
              <w:top w:val="nil"/>
              <w:left w:val="nil"/>
              <w:bottom w:val="nil"/>
              <w:right w:val="nil"/>
            </w:tcBorders>
            <w:shd w:val="clear" w:color="auto" w:fill="auto"/>
            <w:noWrap/>
          </w:tcPr>
          <w:p w14:paraId="265FF622" w14:textId="77777777" w:rsidR="00D9465C" w:rsidRPr="005E3FD2" w:rsidRDefault="00D9465C" w:rsidP="00DD0F28">
            <w:pPr>
              <w:jc w:val="right"/>
              <w:rPr>
                <w:color w:val="000000"/>
                <w:sz w:val="16"/>
                <w:szCs w:val="16"/>
              </w:rPr>
            </w:pPr>
            <w:r w:rsidRPr="005E3FD2">
              <w:rPr>
                <w:color w:val="000000"/>
                <w:sz w:val="16"/>
                <w:szCs w:val="16"/>
              </w:rPr>
              <w:t xml:space="preserve">71,708,342 </w:t>
            </w:r>
          </w:p>
        </w:tc>
        <w:tc>
          <w:tcPr>
            <w:tcW w:w="1268" w:type="dxa"/>
            <w:tcBorders>
              <w:top w:val="nil"/>
              <w:left w:val="nil"/>
              <w:bottom w:val="nil"/>
              <w:right w:val="single" w:sz="4" w:space="0" w:color="auto"/>
            </w:tcBorders>
            <w:shd w:val="clear" w:color="auto" w:fill="auto"/>
            <w:noWrap/>
            <w:vAlign w:val="center"/>
          </w:tcPr>
          <w:p w14:paraId="4A7247F3" w14:textId="77777777" w:rsidR="00D9465C" w:rsidRPr="005E3FD2" w:rsidRDefault="00D9465C" w:rsidP="00DD0F28">
            <w:pPr>
              <w:jc w:val="right"/>
              <w:rPr>
                <w:color w:val="000000"/>
                <w:sz w:val="16"/>
                <w:szCs w:val="16"/>
              </w:rPr>
            </w:pPr>
            <w:r w:rsidRPr="005E3FD2">
              <w:rPr>
                <w:color w:val="000000"/>
                <w:sz w:val="16"/>
                <w:szCs w:val="16"/>
              </w:rPr>
              <w:t>($62,596,826, $80,824,923)</w:t>
            </w:r>
          </w:p>
        </w:tc>
        <w:tc>
          <w:tcPr>
            <w:tcW w:w="539" w:type="dxa"/>
            <w:tcBorders>
              <w:top w:val="nil"/>
              <w:left w:val="single" w:sz="4" w:space="0" w:color="auto"/>
              <w:bottom w:val="nil"/>
              <w:right w:val="nil"/>
            </w:tcBorders>
            <w:shd w:val="clear" w:color="auto" w:fill="auto"/>
            <w:noWrap/>
          </w:tcPr>
          <w:p w14:paraId="1D3F07B3" w14:textId="77777777" w:rsidR="00D9465C" w:rsidRPr="005E3FD2" w:rsidRDefault="00D9465C" w:rsidP="00DD0F28">
            <w:pPr>
              <w:jc w:val="right"/>
              <w:rPr>
                <w:color w:val="000000"/>
                <w:sz w:val="16"/>
                <w:szCs w:val="16"/>
              </w:rPr>
            </w:pPr>
            <w:r w:rsidRPr="005E3FD2">
              <w:rPr>
                <w:color w:val="000000"/>
                <w:sz w:val="16"/>
                <w:szCs w:val="16"/>
              </w:rPr>
              <w:t>224</w:t>
            </w:r>
          </w:p>
        </w:tc>
        <w:tc>
          <w:tcPr>
            <w:tcW w:w="1139" w:type="dxa"/>
            <w:tcBorders>
              <w:top w:val="nil"/>
              <w:left w:val="nil"/>
              <w:bottom w:val="nil"/>
              <w:right w:val="nil"/>
            </w:tcBorders>
            <w:shd w:val="clear" w:color="auto" w:fill="auto"/>
            <w:noWrap/>
          </w:tcPr>
          <w:p w14:paraId="16173060" w14:textId="77777777" w:rsidR="00D9465C" w:rsidRPr="005E3FD2" w:rsidRDefault="00D9465C" w:rsidP="00DD0F28">
            <w:pPr>
              <w:jc w:val="right"/>
              <w:rPr>
                <w:color w:val="000000"/>
                <w:sz w:val="16"/>
                <w:szCs w:val="16"/>
              </w:rPr>
            </w:pPr>
            <w:r w:rsidRPr="005E3FD2">
              <w:rPr>
                <w:color w:val="000000"/>
                <w:sz w:val="16"/>
                <w:szCs w:val="16"/>
              </w:rPr>
              <w:t xml:space="preserve">47,476,274 </w:t>
            </w:r>
          </w:p>
        </w:tc>
        <w:tc>
          <w:tcPr>
            <w:tcW w:w="1299" w:type="dxa"/>
            <w:tcBorders>
              <w:top w:val="nil"/>
              <w:left w:val="nil"/>
              <w:bottom w:val="nil"/>
              <w:right w:val="single" w:sz="4" w:space="0" w:color="auto"/>
            </w:tcBorders>
            <w:shd w:val="clear" w:color="auto" w:fill="auto"/>
            <w:noWrap/>
            <w:vAlign w:val="center"/>
          </w:tcPr>
          <w:p w14:paraId="12A79E42" w14:textId="77777777" w:rsidR="00D9465C" w:rsidRPr="005E3FD2" w:rsidRDefault="00D9465C" w:rsidP="00DD0F28">
            <w:pPr>
              <w:jc w:val="right"/>
              <w:rPr>
                <w:color w:val="000000"/>
                <w:sz w:val="16"/>
                <w:szCs w:val="16"/>
              </w:rPr>
            </w:pPr>
            <w:r w:rsidRPr="005E3FD2">
              <w:rPr>
                <w:color w:val="000000"/>
                <w:sz w:val="16"/>
                <w:szCs w:val="16"/>
              </w:rPr>
              <w:t>($37,120,702, $57,831,846)</w:t>
            </w:r>
          </w:p>
        </w:tc>
        <w:tc>
          <w:tcPr>
            <w:tcW w:w="539" w:type="dxa"/>
            <w:tcBorders>
              <w:top w:val="nil"/>
              <w:left w:val="single" w:sz="4" w:space="0" w:color="auto"/>
              <w:bottom w:val="nil"/>
              <w:right w:val="nil"/>
            </w:tcBorders>
            <w:shd w:val="clear" w:color="auto" w:fill="auto"/>
            <w:noWrap/>
          </w:tcPr>
          <w:p w14:paraId="436EF31D" w14:textId="77777777" w:rsidR="00D9465C" w:rsidRPr="005E3FD2" w:rsidRDefault="00D9465C" w:rsidP="00DD0F28">
            <w:pPr>
              <w:jc w:val="right"/>
              <w:rPr>
                <w:color w:val="000000"/>
                <w:sz w:val="16"/>
                <w:szCs w:val="16"/>
              </w:rPr>
            </w:pPr>
            <w:r w:rsidRPr="005E3FD2">
              <w:rPr>
                <w:color w:val="000000"/>
                <w:sz w:val="16"/>
                <w:szCs w:val="16"/>
              </w:rPr>
              <w:t>195</w:t>
            </w:r>
          </w:p>
        </w:tc>
        <w:tc>
          <w:tcPr>
            <w:tcW w:w="1162" w:type="dxa"/>
            <w:tcBorders>
              <w:top w:val="nil"/>
              <w:left w:val="nil"/>
              <w:bottom w:val="nil"/>
              <w:right w:val="nil"/>
            </w:tcBorders>
            <w:shd w:val="clear" w:color="auto" w:fill="auto"/>
            <w:noWrap/>
          </w:tcPr>
          <w:p w14:paraId="12716EAA" w14:textId="77777777" w:rsidR="00D9465C" w:rsidRPr="005E3FD2" w:rsidRDefault="00D9465C" w:rsidP="00DD0F28">
            <w:pPr>
              <w:jc w:val="right"/>
              <w:rPr>
                <w:color w:val="000000"/>
                <w:sz w:val="16"/>
                <w:szCs w:val="16"/>
              </w:rPr>
            </w:pPr>
            <w:r w:rsidRPr="005E3FD2">
              <w:rPr>
                <w:color w:val="000000"/>
                <w:sz w:val="16"/>
                <w:szCs w:val="16"/>
              </w:rPr>
              <w:t xml:space="preserve">47,530,869 </w:t>
            </w:r>
          </w:p>
        </w:tc>
        <w:tc>
          <w:tcPr>
            <w:tcW w:w="1132" w:type="dxa"/>
            <w:tcBorders>
              <w:top w:val="nil"/>
              <w:left w:val="nil"/>
              <w:bottom w:val="nil"/>
              <w:right w:val="single" w:sz="4" w:space="0" w:color="auto"/>
            </w:tcBorders>
            <w:shd w:val="clear" w:color="auto" w:fill="auto"/>
            <w:noWrap/>
            <w:vAlign w:val="center"/>
          </w:tcPr>
          <w:p w14:paraId="24AF1C0B" w14:textId="77777777" w:rsidR="00D9465C" w:rsidRPr="005E3FD2" w:rsidRDefault="00D9465C" w:rsidP="00DD0F28">
            <w:pPr>
              <w:jc w:val="right"/>
              <w:rPr>
                <w:color w:val="000000"/>
                <w:sz w:val="16"/>
                <w:szCs w:val="16"/>
              </w:rPr>
            </w:pPr>
            <w:r w:rsidRPr="005E3FD2">
              <w:rPr>
                <w:color w:val="000000"/>
                <w:sz w:val="16"/>
                <w:szCs w:val="16"/>
              </w:rPr>
              <w:t>(37,474,569, 57,587,170)</w:t>
            </w:r>
          </w:p>
        </w:tc>
        <w:tc>
          <w:tcPr>
            <w:tcW w:w="539" w:type="dxa"/>
            <w:tcBorders>
              <w:top w:val="nil"/>
              <w:left w:val="single" w:sz="4" w:space="0" w:color="auto"/>
              <w:bottom w:val="nil"/>
              <w:right w:val="nil"/>
            </w:tcBorders>
            <w:shd w:val="clear" w:color="auto" w:fill="auto"/>
            <w:noWrap/>
          </w:tcPr>
          <w:p w14:paraId="6CD392E2" w14:textId="77777777" w:rsidR="00D9465C" w:rsidRPr="005E3FD2" w:rsidRDefault="00D9465C" w:rsidP="00DD0F28">
            <w:pPr>
              <w:jc w:val="right"/>
              <w:rPr>
                <w:color w:val="000000"/>
                <w:sz w:val="16"/>
                <w:szCs w:val="16"/>
              </w:rPr>
            </w:pPr>
            <w:r w:rsidRPr="005E3FD2">
              <w:rPr>
                <w:color w:val="000000"/>
                <w:sz w:val="16"/>
                <w:szCs w:val="16"/>
              </w:rPr>
              <w:t>162</w:t>
            </w:r>
          </w:p>
        </w:tc>
        <w:tc>
          <w:tcPr>
            <w:tcW w:w="1164" w:type="dxa"/>
            <w:tcBorders>
              <w:top w:val="nil"/>
              <w:left w:val="nil"/>
              <w:bottom w:val="nil"/>
              <w:right w:val="nil"/>
            </w:tcBorders>
            <w:shd w:val="clear" w:color="auto" w:fill="auto"/>
            <w:noWrap/>
          </w:tcPr>
          <w:p w14:paraId="0BB6CD7C" w14:textId="77777777" w:rsidR="00D9465C" w:rsidRPr="005E3FD2" w:rsidRDefault="00D9465C" w:rsidP="00DD0F28">
            <w:pPr>
              <w:jc w:val="right"/>
              <w:rPr>
                <w:color w:val="000000"/>
                <w:sz w:val="16"/>
                <w:szCs w:val="16"/>
              </w:rPr>
            </w:pPr>
            <w:r w:rsidRPr="005E3FD2">
              <w:rPr>
                <w:color w:val="000000"/>
                <w:sz w:val="16"/>
                <w:szCs w:val="16"/>
              </w:rPr>
              <w:t xml:space="preserve">56,993,455 </w:t>
            </w:r>
          </w:p>
        </w:tc>
        <w:tc>
          <w:tcPr>
            <w:tcW w:w="1308" w:type="dxa"/>
            <w:tcBorders>
              <w:top w:val="nil"/>
              <w:left w:val="nil"/>
              <w:bottom w:val="nil"/>
              <w:right w:val="nil"/>
            </w:tcBorders>
            <w:shd w:val="clear" w:color="auto" w:fill="auto"/>
            <w:noWrap/>
            <w:vAlign w:val="center"/>
          </w:tcPr>
          <w:p w14:paraId="7EF5B861" w14:textId="77777777" w:rsidR="00D9465C" w:rsidRPr="005E3FD2" w:rsidRDefault="00D9465C" w:rsidP="00DD0F28">
            <w:pPr>
              <w:jc w:val="right"/>
              <w:rPr>
                <w:color w:val="000000"/>
                <w:sz w:val="16"/>
                <w:szCs w:val="16"/>
              </w:rPr>
            </w:pPr>
            <w:r w:rsidRPr="005E3FD2">
              <w:rPr>
                <w:color w:val="000000"/>
                <w:sz w:val="16"/>
                <w:szCs w:val="16"/>
              </w:rPr>
              <w:t>(41,198,198, 72,788,711)</w:t>
            </w:r>
          </w:p>
        </w:tc>
      </w:tr>
      <w:tr w:rsidR="00D9465C" w:rsidRPr="00EA483D" w14:paraId="6FC44F3F" w14:textId="77777777" w:rsidTr="00DD0F28">
        <w:tc>
          <w:tcPr>
            <w:tcW w:w="992" w:type="dxa"/>
            <w:tcBorders>
              <w:top w:val="nil"/>
              <w:left w:val="nil"/>
              <w:bottom w:val="nil"/>
              <w:right w:val="nil"/>
            </w:tcBorders>
            <w:shd w:val="clear" w:color="auto" w:fill="auto"/>
            <w:noWrap/>
            <w:hideMark/>
          </w:tcPr>
          <w:p w14:paraId="6814F66C" w14:textId="77777777" w:rsidR="00D9465C" w:rsidRPr="005E3FD2" w:rsidRDefault="00D9465C" w:rsidP="00DD0F28">
            <w:pPr>
              <w:spacing w:after="20"/>
              <w:rPr>
                <w:color w:val="000000"/>
                <w:sz w:val="16"/>
                <w:szCs w:val="16"/>
                <w:lang w:eastAsia="en-NZ"/>
              </w:rPr>
            </w:pPr>
          </w:p>
        </w:tc>
        <w:tc>
          <w:tcPr>
            <w:tcW w:w="1119" w:type="dxa"/>
            <w:tcBorders>
              <w:top w:val="nil"/>
              <w:left w:val="nil"/>
              <w:bottom w:val="nil"/>
              <w:right w:val="nil"/>
            </w:tcBorders>
            <w:shd w:val="clear" w:color="auto" w:fill="auto"/>
            <w:noWrap/>
            <w:hideMark/>
          </w:tcPr>
          <w:p w14:paraId="073E7A7C"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Club</w:t>
            </w:r>
          </w:p>
        </w:tc>
        <w:tc>
          <w:tcPr>
            <w:tcW w:w="582" w:type="dxa"/>
            <w:tcBorders>
              <w:top w:val="nil"/>
              <w:left w:val="nil"/>
              <w:bottom w:val="nil"/>
              <w:right w:val="nil"/>
            </w:tcBorders>
            <w:shd w:val="clear" w:color="auto" w:fill="auto"/>
            <w:noWrap/>
          </w:tcPr>
          <w:p w14:paraId="02ED9415" w14:textId="77777777" w:rsidR="00D9465C" w:rsidRPr="005E3FD2" w:rsidRDefault="00D9465C" w:rsidP="00DD0F28">
            <w:pPr>
              <w:jc w:val="right"/>
              <w:rPr>
                <w:color w:val="000000"/>
                <w:sz w:val="16"/>
                <w:szCs w:val="16"/>
              </w:rPr>
            </w:pPr>
            <w:r w:rsidRPr="005E3FD2">
              <w:rPr>
                <w:color w:val="000000"/>
                <w:sz w:val="16"/>
                <w:szCs w:val="16"/>
              </w:rPr>
              <w:t>267</w:t>
            </w:r>
          </w:p>
        </w:tc>
        <w:tc>
          <w:tcPr>
            <w:tcW w:w="1142" w:type="dxa"/>
            <w:tcBorders>
              <w:top w:val="nil"/>
              <w:left w:val="nil"/>
              <w:bottom w:val="nil"/>
              <w:right w:val="nil"/>
            </w:tcBorders>
            <w:shd w:val="clear" w:color="auto" w:fill="auto"/>
            <w:noWrap/>
          </w:tcPr>
          <w:p w14:paraId="6F56A379" w14:textId="77777777" w:rsidR="00D9465C" w:rsidRPr="005E3FD2" w:rsidRDefault="00D9465C" w:rsidP="00DD0F28">
            <w:pPr>
              <w:jc w:val="right"/>
              <w:rPr>
                <w:color w:val="000000"/>
                <w:sz w:val="16"/>
                <w:szCs w:val="16"/>
              </w:rPr>
            </w:pPr>
            <w:r w:rsidRPr="005E3FD2">
              <w:rPr>
                <w:color w:val="000000"/>
                <w:sz w:val="16"/>
                <w:szCs w:val="16"/>
              </w:rPr>
              <w:t xml:space="preserve">40,844,513 </w:t>
            </w:r>
          </w:p>
        </w:tc>
        <w:tc>
          <w:tcPr>
            <w:tcW w:w="1268" w:type="dxa"/>
            <w:tcBorders>
              <w:top w:val="nil"/>
              <w:left w:val="nil"/>
              <w:bottom w:val="nil"/>
              <w:right w:val="single" w:sz="4" w:space="0" w:color="auto"/>
            </w:tcBorders>
            <w:shd w:val="clear" w:color="auto" w:fill="auto"/>
            <w:noWrap/>
            <w:vAlign w:val="center"/>
          </w:tcPr>
          <w:p w14:paraId="69CA3B7D" w14:textId="77777777" w:rsidR="00D9465C" w:rsidRPr="005E3FD2" w:rsidRDefault="00D9465C" w:rsidP="00DD0F28">
            <w:pPr>
              <w:jc w:val="right"/>
              <w:rPr>
                <w:color w:val="000000"/>
                <w:sz w:val="16"/>
                <w:szCs w:val="16"/>
              </w:rPr>
            </w:pPr>
            <w:r w:rsidRPr="005E3FD2">
              <w:rPr>
                <w:color w:val="000000"/>
                <w:sz w:val="16"/>
                <w:szCs w:val="16"/>
              </w:rPr>
              <w:t>($28,258,846, $53,430,181)</w:t>
            </w:r>
          </w:p>
        </w:tc>
        <w:tc>
          <w:tcPr>
            <w:tcW w:w="539" w:type="dxa"/>
            <w:tcBorders>
              <w:top w:val="nil"/>
              <w:left w:val="single" w:sz="4" w:space="0" w:color="auto"/>
              <w:bottom w:val="nil"/>
              <w:right w:val="nil"/>
            </w:tcBorders>
            <w:shd w:val="clear" w:color="auto" w:fill="auto"/>
            <w:noWrap/>
          </w:tcPr>
          <w:p w14:paraId="0E5915C9" w14:textId="77777777" w:rsidR="00D9465C" w:rsidRPr="005E3FD2" w:rsidRDefault="00D9465C" w:rsidP="00DD0F28">
            <w:pPr>
              <w:jc w:val="right"/>
              <w:rPr>
                <w:color w:val="000000"/>
                <w:sz w:val="16"/>
                <w:szCs w:val="16"/>
              </w:rPr>
            </w:pPr>
            <w:r w:rsidRPr="005E3FD2">
              <w:rPr>
                <w:color w:val="000000"/>
                <w:sz w:val="16"/>
                <w:szCs w:val="16"/>
              </w:rPr>
              <w:t>105</w:t>
            </w:r>
          </w:p>
        </w:tc>
        <w:tc>
          <w:tcPr>
            <w:tcW w:w="1139" w:type="dxa"/>
            <w:tcBorders>
              <w:top w:val="nil"/>
              <w:left w:val="nil"/>
              <w:bottom w:val="nil"/>
              <w:right w:val="nil"/>
            </w:tcBorders>
            <w:shd w:val="clear" w:color="auto" w:fill="auto"/>
            <w:noWrap/>
          </w:tcPr>
          <w:p w14:paraId="0AA57EAA" w14:textId="77777777" w:rsidR="00D9465C" w:rsidRPr="005E3FD2" w:rsidRDefault="00D9465C" w:rsidP="00DD0F28">
            <w:pPr>
              <w:jc w:val="right"/>
              <w:rPr>
                <w:color w:val="000000"/>
                <w:sz w:val="16"/>
                <w:szCs w:val="16"/>
              </w:rPr>
            </w:pPr>
            <w:r w:rsidRPr="005E3FD2">
              <w:rPr>
                <w:color w:val="000000"/>
                <w:sz w:val="16"/>
                <w:szCs w:val="16"/>
              </w:rPr>
              <w:t xml:space="preserve">19,441,438 </w:t>
            </w:r>
          </w:p>
        </w:tc>
        <w:tc>
          <w:tcPr>
            <w:tcW w:w="1299" w:type="dxa"/>
            <w:tcBorders>
              <w:top w:val="nil"/>
              <w:left w:val="nil"/>
              <w:bottom w:val="nil"/>
              <w:right w:val="single" w:sz="4" w:space="0" w:color="auto"/>
            </w:tcBorders>
            <w:shd w:val="clear" w:color="auto" w:fill="auto"/>
            <w:noWrap/>
            <w:vAlign w:val="center"/>
          </w:tcPr>
          <w:p w14:paraId="09F8ED8B" w14:textId="77777777" w:rsidR="00D9465C" w:rsidRPr="005E3FD2" w:rsidRDefault="00D9465C" w:rsidP="00DD0F28">
            <w:pPr>
              <w:jc w:val="right"/>
              <w:rPr>
                <w:color w:val="000000"/>
                <w:sz w:val="16"/>
                <w:szCs w:val="16"/>
              </w:rPr>
            </w:pPr>
            <w:r w:rsidRPr="005E3FD2">
              <w:rPr>
                <w:color w:val="000000"/>
                <w:sz w:val="16"/>
                <w:szCs w:val="16"/>
              </w:rPr>
              <w:t>($14,703,823, $24,179,053)</w:t>
            </w:r>
          </w:p>
        </w:tc>
        <w:tc>
          <w:tcPr>
            <w:tcW w:w="539" w:type="dxa"/>
            <w:tcBorders>
              <w:top w:val="nil"/>
              <w:left w:val="single" w:sz="4" w:space="0" w:color="auto"/>
              <w:bottom w:val="nil"/>
              <w:right w:val="nil"/>
            </w:tcBorders>
            <w:shd w:val="clear" w:color="auto" w:fill="auto"/>
            <w:noWrap/>
          </w:tcPr>
          <w:p w14:paraId="2DBDA04D" w14:textId="77777777" w:rsidR="00D9465C" w:rsidRPr="005E3FD2" w:rsidRDefault="00D9465C" w:rsidP="00DD0F28">
            <w:pPr>
              <w:jc w:val="right"/>
              <w:rPr>
                <w:color w:val="000000"/>
                <w:sz w:val="16"/>
                <w:szCs w:val="16"/>
              </w:rPr>
            </w:pPr>
            <w:r w:rsidRPr="005E3FD2">
              <w:rPr>
                <w:color w:val="000000"/>
                <w:sz w:val="16"/>
                <w:szCs w:val="16"/>
              </w:rPr>
              <w:t>99</w:t>
            </w:r>
          </w:p>
        </w:tc>
        <w:tc>
          <w:tcPr>
            <w:tcW w:w="1162" w:type="dxa"/>
            <w:tcBorders>
              <w:top w:val="nil"/>
              <w:left w:val="nil"/>
              <w:bottom w:val="nil"/>
              <w:right w:val="nil"/>
            </w:tcBorders>
            <w:shd w:val="clear" w:color="auto" w:fill="auto"/>
            <w:noWrap/>
          </w:tcPr>
          <w:p w14:paraId="5EBB634B" w14:textId="77777777" w:rsidR="00D9465C" w:rsidRPr="005E3FD2" w:rsidRDefault="00D9465C" w:rsidP="00DD0F28">
            <w:pPr>
              <w:jc w:val="right"/>
              <w:rPr>
                <w:color w:val="000000"/>
                <w:sz w:val="16"/>
                <w:szCs w:val="16"/>
              </w:rPr>
            </w:pPr>
            <w:r w:rsidRPr="005E3FD2">
              <w:rPr>
                <w:color w:val="000000"/>
                <w:sz w:val="16"/>
                <w:szCs w:val="16"/>
              </w:rPr>
              <w:t xml:space="preserve">26,846,016 </w:t>
            </w:r>
          </w:p>
        </w:tc>
        <w:tc>
          <w:tcPr>
            <w:tcW w:w="1132" w:type="dxa"/>
            <w:tcBorders>
              <w:top w:val="nil"/>
              <w:left w:val="nil"/>
              <w:bottom w:val="nil"/>
              <w:right w:val="single" w:sz="4" w:space="0" w:color="auto"/>
            </w:tcBorders>
            <w:shd w:val="clear" w:color="auto" w:fill="auto"/>
            <w:noWrap/>
            <w:vAlign w:val="center"/>
          </w:tcPr>
          <w:p w14:paraId="55DD0C5C" w14:textId="77777777" w:rsidR="00D9465C" w:rsidRPr="005E3FD2" w:rsidRDefault="00D9465C" w:rsidP="00DD0F28">
            <w:pPr>
              <w:jc w:val="right"/>
              <w:rPr>
                <w:color w:val="000000"/>
                <w:sz w:val="16"/>
                <w:szCs w:val="16"/>
              </w:rPr>
            </w:pPr>
            <w:r w:rsidRPr="005E3FD2">
              <w:rPr>
                <w:color w:val="000000"/>
                <w:sz w:val="16"/>
                <w:szCs w:val="16"/>
              </w:rPr>
              <w:t>(18,635,146, 35,056,886)</w:t>
            </w:r>
          </w:p>
        </w:tc>
        <w:tc>
          <w:tcPr>
            <w:tcW w:w="539" w:type="dxa"/>
            <w:tcBorders>
              <w:top w:val="nil"/>
              <w:left w:val="single" w:sz="4" w:space="0" w:color="auto"/>
              <w:bottom w:val="nil"/>
              <w:right w:val="nil"/>
            </w:tcBorders>
            <w:shd w:val="clear" w:color="auto" w:fill="auto"/>
            <w:noWrap/>
          </w:tcPr>
          <w:p w14:paraId="1C3016A4" w14:textId="77777777" w:rsidR="00D9465C" w:rsidRPr="005E3FD2" w:rsidRDefault="00D9465C" w:rsidP="00DD0F28">
            <w:pPr>
              <w:jc w:val="right"/>
              <w:rPr>
                <w:color w:val="000000"/>
                <w:sz w:val="16"/>
                <w:szCs w:val="16"/>
              </w:rPr>
            </w:pPr>
            <w:r w:rsidRPr="005E3FD2">
              <w:rPr>
                <w:color w:val="000000"/>
                <w:sz w:val="16"/>
                <w:szCs w:val="16"/>
              </w:rPr>
              <w:t>79</w:t>
            </w:r>
          </w:p>
        </w:tc>
        <w:tc>
          <w:tcPr>
            <w:tcW w:w="1164" w:type="dxa"/>
            <w:tcBorders>
              <w:top w:val="nil"/>
              <w:left w:val="nil"/>
              <w:bottom w:val="nil"/>
              <w:right w:val="nil"/>
            </w:tcBorders>
            <w:shd w:val="clear" w:color="auto" w:fill="auto"/>
            <w:noWrap/>
          </w:tcPr>
          <w:p w14:paraId="7BE156A9" w14:textId="77777777" w:rsidR="00D9465C" w:rsidRPr="005E3FD2" w:rsidRDefault="00D9465C" w:rsidP="00DD0F28">
            <w:pPr>
              <w:jc w:val="right"/>
              <w:rPr>
                <w:color w:val="000000"/>
                <w:sz w:val="16"/>
                <w:szCs w:val="16"/>
              </w:rPr>
            </w:pPr>
            <w:r w:rsidRPr="005E3FD2">
              <w:rPr>
                <w:color w:val="000000"/>
                <w:sz w:val="16"/>
                <w:szCs w:val="16"/>
              </w:rPr>
              <w:t xml:space="preserve">24,835,774 </w:t>
            </w:r>
          </w:p>
        </w:tc>
        <w:tc>
          <w:tcPr>
            <w:tcW w:w="1308" w:type="dxa"/>
            <w:tcBorders>
              <w:top w:val="nil"/>
              <w:left w:val="nil"/>
              <w:bottom w:val="nil"/>
              <w:right w:val="nil"/>
            </w:tcBorders>
            <w:shd w:val="clear" w:color="auto" w:fill="auto"/>
            <w:noWrap/>
            <w:vAlign w:val="center"/>
          </w:tcPr>
          <w:p w14:paraId="0EC67D5F" w14:textId="77777777" w:rsidR="00D9465C" w:rsidRPr="005E3FD2" w:rsidRDefault="00D9465C" w:rsidP="00DD0F28">
            <w:pPr>
              <w:jc w:val="right"/>
              <w:rPr>
                <w:color w:val="000000"/>
                <w:sz w:val="16"/>
                <w:szCs w:val="16"/>
              </w:rPr>
            </w:pPr>
            <w:r w:rsidRPr="005E3FD2">
              <w:rPr>
                <w:color w:val="000000"/>
                <w:sz w:val="16"/>
                <w:szCs w:val="16"/>
              </w:rPr>
              <w:t>(18,733,592, 30,937,956)</w:t>
            </w:r>
          </w:p>
        </w:tc>
      </w:tr>
      <w:tr w:rsidR="00D9465C" w:rsidRPr="00EA483D" w14:paraId="5F50EEF8" w14:textId="77777777" w:rsidTr="00DD0F28">
        <w:tc>
          <w:tcPr>
            <w:tcW w:w="992" w:type="dxa"/>
            <w:tcBorders>
              <w:top w:val="nil"/>
              <w:left w:val="nil"/>
              <w:bottom w:val="nil"/>
              <w:right w:val="nil"/>
            </w:tcBorders>
            <w:shd w:val="clear" w:color="auto" w:fill="auto"/>
            <w:noWrap/>
            <w:hideMark/>
          </w:tcPr>
          <w:p w14:paraId="59210465" w14:textId="77777777" w:rsidR="00D9465C" w:rsidRPr="005E3FD2" w:rsidRDefault="00D9465C" w:rsidP="00DD0F28">
            <w:pPr>
              <w:spacing w:after="20"/>
              <w:rPr>
                <w:color w:val="000000"/>
                <w:sz w:val="16"/>
                <w:szCs w:val="16"/>
                <w:lang w:eastAsia="en-NZ"/>
              </w:rPr>
            </w:pPr>
          </w:p>
        </w:tc>
        <w:tc>
          <w:tcPr>
            <w:tcW w:w="1119" w:type="dxa"/>
            <w:tcBorders>
              <w:top w:val="nil"/>
              <w:left w:val="nil"/>
              <w:bottom w:val="nil"/>
              <w:right w:val="nil"/>
            </w:tcBorders>
            <w:shd w:val="clear" w:color="auto" w:fill="auto"/>
            <w:noWrap/>
            <w:hideMark/>
          </w:tcPr>
          <w:p w14:paraId="62B26EBB"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Pub + club</w:t>
            </w:r>
          </w:p>
        </w:tc>
        <w:tc>
          <w:tcPr>
            <w:tcW w:w="582" w:type="dxa"/>
            <w:tcBorders>
              <w:top w:val="nil"/>
              <w:left w:val="nil"/>
              <w:bottom w:val="nil"/>
              <w:right w:val="nil"/>
            </w:tcBorders>
            <w:shd w:val="clear" w:color="auto" w:fill="auto"/>
            <w:noWrap/>
          </w:tcPr>
          <w:p w14:paraId="724EE62E" w14:textId="77777777" w:rsidR="00D9465C" w:rsidRPr="005E3FD2" w:rsidRDefault="00D9465C" w:rsidP="00DD0F28">
            <w:pPr>
              <w:jc w:val="right"/>
              <w:rPr>
                <w:color w:val="000000"/>
                <w:sz w:val="16"/>
                <w:szCs w:val="16"/>
              </w:rPr>
            </w:pPr>
            <w:r w:rsidRPr="005E3FD2">
              <w:rPr>
                <w:color w:val="000000"/>
                <w:sz w:val="16"/>
                <w:szCs w:val="16"/>
              </w:rPr>
              <w:t>640</w:t>
            </w:r>
          </w:p>
        </w:tc>
        <w:tc>
          <w:tcPr>
            <w:tcW w:w="1142" w:type="dxa"/>
            <w:tcBorders>
              <w:top w:val="nil"/>
              <w:left w:val="nil"/>
              <w:bottom w:val="nil"/>
              <w:right w:val="nil"/>
            </w:tcBorders>
            <w:shd w:val="clear" w:color="auto" w:fill="auto"/>
            <w:noWrap/>
          </w:tcPr>
          <w:p w14:paraId="57E16247" w14:textId="77777777" w:rsidR="00D9465C" w:rsidRPr="005E3FD2" w:rsidRDefault="00D9465C" w:rsidP="00DD0F28">
            <w:pPr>
              <w:jc w:val="right"/>
              <w:rPr>
                <w:color w:val="000000"/>
                <w:sz w:val="16"/>
                <w:szCs w:val="16"/>
              </w:rPr>
            </w:pPr>
            <w:r w:rsidRPr="005E3FD2">
              <w:rPr>
                <w:color w:val="000000"/>
                <w:sz w:val="16"/>
                <w:szCs w:val="16"/>
              </w:rPr>
              <w:t xml:space="preserve">112,555,990 </w:t>
            </w:r>
          </w:p>
        </w:tc>
        <w:tc>
          <w:tcPr>
            <w:tcW w:w="1268" w:type="dxa"/>
            <w:tcBorders>
              <w:top w:val="nil"/>
              <w:left w:val="nil"/>
              <w:bottom w:val="nil"/>
              <w:right w:val="single" w:sz="4" w:space="0" w:color="auto"/>
            </w:tcBorders>
            <w:shd w:val="clear" w:color="auto" w:fill="auto"/>
            <w:noWrap/>
            <w:vAlign w:val="center"/>
          </w:tcPr>
          <w:p w14:paraId="7C842976" w14:textId="77777777" w:rsidR="00D9465C" w:rsidRPr="005E3FD2" w:rsidRDefault="00D9465C" w:rsidP="00DD0F28">
            <w:pPr>
              <w:jc w:val="right"/>
              <w:rPr>
                <w:color w:val="000000"/>
                <w:sz w:val="16"/>
                <w:szCs w:val="16"/>
              </w:rPr>
            </w:pPr>
            <w:r w:rsidRPr="005E3FD2">
              <w:rPr>
                <w:color w:val="000000"/>
                <w:sz w:val="16"/>
                <w:szCs w:val="16"/>
              </w:rPr>
              <w:t>($94,498,695, $130,612,081)</w:t>
            </w:r>
          </w:p>
        </w:tc>
        <w:tc>
          <w:tcPr>
            <w:tcW w:w="539" w:type="dxa"/>
            <w:tcBorders>
              <w:top w:val="nil"/>
              <w:left w:val="single" w:sz="4" w:space="0" w:color="auto"/>
              <w:bottom w:val="nil"/>
              <w:right w:val="nil"/>
            </w:tcBorders>
            <w:shd w:val="clear" w:color="auto" w:fill="auto"/>
            <w:noWrap/>
          </w:tcPr>
          <w:p w14:paraId="753794BE" w14:textId="77777777" w:rsidR="00D9465C" w:rsidRPr="005E3FD2" w:rsidRDefault="00D9465C" w:rsidP="00DD0F28">
            <w:pPr>
              <w:jc w:val="right"/>
              <w:rPr>
                <w:color w:val="000000"/>
                <w:sz w:val="16"/>
                <w:szCs w:val="16"/>
              </w:rPr>
            </w:pPr>
            <w:r w:rsidRPr="005E3FD2">
              <w:rPr>
                <w:color w:val="000000"/>
                <w:sz w:val="16"/>
                <w:szCs w:val="16"/>
              </w:rPr>
              <w:t>281</w:t>
            </w:r>
          </w:p>
        </w:tc>
        <w:tc>
          <w:tcPr>
            <w:tcW w:w="1139" w:type="dxa"/>
            <w:tcBorders>
              <w:top w:val="nil"/>
              <w:left w:val="nil"/>
              <w:bottom w:val="nil"/>
              <w:right w:val="nil"/>
            </w:tcBorders>
            <w:shd w:val="clear" w:color="auto" w:fill="auto"/>
            <w:noWrap/>
          </w:tcPr>
          <w:p w14:paraId="7052270B" w14:textId="77777777" w:rsidR="00D9465C" w:rsidRPr="005E3FD2" w:rsidRDefault="00D9465C" w:rsidP="00DD0F28">
            <w:pPr>
              <w:jc w:val="right"/>
              <w:rPr>
                <w:color w:val="000000"/>
                <w:sz w:val="16"/>
                <w:szCs w:val="16"/>
              </w:rPr>
            </w:pPr>
            <w:r w:rsidRPr="005E3FD2">
              <w:rPr>
                <w:color w:val="000000"/>
                <w:sz w:val="16"/>
                <w:szCs w:val="16"/>
              </w:rPr>
              <w:t xml:space="preserve">66,917,711 </w:t>
            </w:r>
          </w:p>
        </w:tc>
        <w:tc>
          <w:tcPr>
            <w:tcW w:w="1299" w:type="dxa"/>
            <w:tcBorders>
              <w:top w:val="nil"/>
              <w:left w:val="nil"/>
              <w:bottom w:val="nil"/>
              <w:right w:val="single" w:sz="4" w:space="0" w:color="auto"/>
            </w:tcBorders>
            <w:shd w:val="clear" w:color="auto" w:fill="auto"/>
            <w:noWrap/>
            <w:vAlign w:val="center"/>
          </w:tcPr>
          <w:p w14:paraId="1AB0D21A" w14:textId="77777777" w:rsidR="00D9465C" w:rsidRPr="005E3FD2" w:rsidRDefault="00D9465C" w:rsidP="00DD0F28">
            <w:pPr>
              <w:jc w:val="right"/>
              <w:rPr>
                <w:color w:val="000000"/>
                <w:sz w:val="16"/>
                <w:szCs w:val="16"/>
              </w:rPr>
            </w:pPr>
            <w:r w:rsidRPr="005E3FD2">
              <w:rPr>
                <w:color w:val="000000"/>
                <w:sz w:val="16"/>
                <w:szCs w:val="16"/>
              </w:rPr>
              <w:t>($52,282,411, $81,553,012)</w:t>
            </w:r>
          </w:p>
        </w:tc>
        <w:tc>
          <w:tcPr>
            <w:tcW w:w="539" w:type="dxa"/>
            <w:tcBorders>
              <w:top w:val="nil"/>
              <w:left w:val="single" w:sz="4" w:space="0" w:color="auto"/>
              <w:bottom w:val="nil"/>
              <w:right w:val="nil"/>
            </w:tcBorders>
            <w:shd w:val="clear" w:color="auto" w:fill="auto"/>
            <w:noWrap/>
          </w:tcPr>
          <w:p w14:paraId="0C78E1BA" w14:textId="77777777" w:rsidR="00D9465C" w:rsidRPr="005E3FD2" w:rsidRDefault="00D9465C" w:rsidP="00DD0F28">
            <w:pPr>
              <w:jc w:val="right"/>
              <w:rPr>
                <w:color w:val="000000"/>
                <w:sz w:val="16"/>
                <w:szCs w:val="16"/>
              </w:rPr>
            </w:pPr>
            <w:r w:rsidRPr="005E3FD2">
              <w:rPr>
                <w:color w:val="000000"/>
                <w:sz w:val="16"/>
                <w:szCs w:val="16"/>
              </w:rPr>
              <w:t>252</w:t>
            </w:r>
          </w:p>
        </w:tc>
        <w:tc>
          <w:tcPr>
            <w:tcW w:w="1162" w:type="dxa"/>
            <w:tcBorders>
              <w:top w:val="nil"/>
              <w:left w:val="nil"/>
              <w:bottom w:val="nil"/>
              <w:right w:val="nil"/>
            </w:tcBorders>
            <w:shd w:val="clear" w:color="auto" w:fill="auto"/>
            <w:noWrap/>
          </w:tcPr>
          <w:p w14:paraId="14784B7A" w14:textId="77777777" w:rsidR="00D9465C" w:rsidRPr="005E3FD2" w:rsidRDefault="00D9465C" w:rsidP="00DD0F28">
            <w:pPr>
              <w:jc w:val="right"/>
              <w:rPr>
                <w:color w:val="000000"/>
                <w:sz w:val="16"/>
                <w:szCs w:val="16"/>
              </w:rPr>
            </w:pPr>
            <w:r w:rsidRPr="005E3FD2">
              <w:rPr>
                <w:color w:val="000000"/>
                <w:sz w:val="16"/>
                <w:szCs w:val="16"/>
              </w:rPr>
              <w:t xml:space="preserve">74,376,885 </w:t>
            </w:r>
          </w:p>
        </w:tc>
        <w:tc>
          <w:tcPr>
            <w:tcW w:w="1132" w:type="dxa"/>
            <w:tcBorders>
              <w:top w:val="nil"/>
              <w:left w:val="nil"/>
              <w:bottom w:val="nil"/>
              <w:right w:val="single" w:sz="4" w:space="0" w:color="auto"/>
            </w:tcBorders>
            <w:shd w:val="clear" w:color="auto" w:fill="auto"/>
            <w:noWrap/>
            <w:vAlign w:val="center"/>
          </w:tcPr>
          <w:p w14:paraId="65F455EB" w14:textId="77777777" w:rsidR="00D9465C" w:rsidRPr="005E3FD2" w:rsidRDefault="00D9465C" w:rsidP="00DD0F28">
            <w:pPr>
              <w:jc w:val="right"/>
              <w:rPr>
                <w:color w:val="000000"/>
                <w:sz w:val="16"/>
                <w:szCs w:val="16"/>
              </w:rPr>
            </w:pPr>
            <w:r w:rsidRPr="005E3FD2">
              <w:rPr>
                <w:color w:val="000000"/>
                <w:sz w:val="16"/>
                <w:szCs w:val="16"/>
              </w:rPr>
              <w:t>(60,479,896, 88,273,874)</w:t>
            </w:r>
          </w:p>
        </w:tc>
        <w:tc>
          <w:tcPr>
            <w:tcW w:w="539" w:type="dxa"/>
            <w:tcBorders>
              <w:top w:val="nil"/>
              <w:left w:val="single" w:sz="4" w:space="0" w:color="auto"/>
              <w:bottom w:val="nil"/>
              <w:right w:val="nil"/>
            </w:tcBorders>
            <w:shd w:val="clear" w:color="auto" w:fill="auto"/>
            <w:noWrap/>
          </w:tcPr>
          <w:p w14:paraId="699106F7" w14:textId="77777777" w:rsidR="00D9465C" w:rsidRPr="005E3FD2" w:rsidRDefault="00D9465C" w:rsidP="00DD0F28">
            <w:pPr>
              <w:jc w:val="right"/>
              <w:rPr>
                <w:color w:val="000000"/>
                <w:sz w:val="16"/>
                <w:szCs w:val="16"/>
              </w:rPr>
            </w:pPr>
            <w:r w:rsidRPr="005E3FD2">
              <w:rPr>
                <w:color w:val="000000"/>
                <w:sz w:val="16"/>
                <w:szCs w:val="16"/>
              </w:rPr>
              <w:t>203</w:t>
            </w:r>
          </w:p>
        </w:tc>
        <w:tc>
          <w:tcPr>
            <w:tcW w:w="1164" w:type="dxa"/>
            <w:tcBorders>
              <w:top w:val="nil"/>
              <w:left w:val="nil"/>
              <w:bottom w:val="nil"/>
              <w:right w:val="nil"/>
            </w:tcBorders>
            <w:shd w:val="clear" w:color="auto" w:fill="auto"/>
            <w:noWrap/>
          </w:tcPr>
          <w:p w14:paraId="7BC50F76" w14:textId="77777777" w:rsidR="00D9465C" w:rsidRPr="005E3FD2" w:rsidRDefault="00D9465C" w:rsidP="00DD0F28">
            <w:pPr>
              <w:jc w:val="right"/>
              <w:rPr>
                <w:color w:val="000000"/>
                <w:sz w:val="16"/>
                <w:szCs w:val="16"/>
              </w:rPr>
            </w:pPr>
            <w:r w:rsidRPr="005E3FD2">
              <w:rPr>
                <w:color w:val="000000"/>
                <w:sz w:val="16"/>
                <w:szCs w:val="16"/>
              </w:rPr>
              <w:t xml:space="preserve">81,829,229 </w:t>
            </w:r>
          </w:p>
        </w:tc>
        <w:tc>
          <w:tcPr>
            <w:tcW w:w="1308" w:type="dxa"/>
            <w:tcBorders>
              <w:top w:val="nil"/>
              <w:left w:val="nil"/>
              <w:bottom w:val="nil"/>
              <w:right w:val="nil"/>
            </w:tcBorders>
            <w:shd w:val="clear" w:color="auto" w:fill="auto"/>
            <w:noWrap/>
            <w:vAlign w:val="center"/>
          </w:tcPr>
          <w:p w14:paraId="51EF2AFC" w14:textId="77777777" w:rsidR="00D9465C" w:rsidRPr="005E3FD2" w:rsidRDefault="00D9465C" w:rsidP="00DD0F28">
            <w:pPr>
              <w:jc w:val="right"/>
              <w:rPr>
                <w:color w:val="000000"/>
                <w:sz w:val="16"/>
                <w:szCs w:val="16"/>
              </w:rPr>
            </w:pPr>
            <w:r w:rsidRPr="005E3FD2">
              <w:rPr>
                <w:color w:val="000000"/>
                <w:sz w:val="16"/>
                <w:szCs w:val="16"/>
              </w:rPr>
              <w:t>(63,080,527, 100,577,931)</w:t>
            </w:r>
          </w:p>
        </w:tc>
      </w:tr>
      <w:tr w:rsidR="00D9465C" w:rsidRPr="00EA483D" w14:paraId="17D91DA6" w14:textId="77777777" w:rsidTr="00DD0F28">
        <w:tc>
          <w:tcPr>
            <w:tcW w:w="992" w:type="dxa"/>
            <w:tcBorders>
              <w:top w:val="nil"/>
              <w:left w:val="nil"/>
              <w:bottom w:val="nil"/>
              <w:right w:val="nil"/>
            </w:tcBorders>
            <w:shd w:val="clear" w:color="auto" w:fill="auto"/>
            <w:noWrap/>
            <w:hideMark/>
          </w:tcPr>
          <w:p w14:paraId="3EEC8FBD" w14:textId="77777777" w:rsidR="00D9465C" w:rsidRPr="005E3FD2" w:rsidRDefault="00D9465C" w:rsidP="00DD0F28">
            <w:pPr>
              <w:spacing w:after="20"/>
              <w:rPr>
                <w:i/>
                <w:color w:val="000000"/>
                <w:sz w:val="16"/>
                <w:szCs w:val="16"/>
                <w:lang w:eastAsia="en-NZ"/>
              </w:rPr>
            </w:pPr>
          </w:p>
        </w:tc>
        <w:tc>
          <w:tcPr>
            <w:tcW w:w="1119" w:type="dxa"/>
            <w:tcBorders>
              <w:top w:val="nil"/>
              <w:left w:val="nil"/>
              <w:bottom w:val="nil"/>
              <w:right w:val="nil"/>
            </w:tcBorders>
            <w:shd w:val="clear" w:color="auto" w:fill="auto"/>
            <w:noWrap/>
            <w:hideMark/>
          </w:tcPr>
          <w:p w14:paraId="145311DD" w14:textId="77777777" w:rsidR="00D9465C" w:rsidRPr="005E3FD2" w:rsidRDefault="00D9465C" w:rsidP="00DD0F28">
            <w:pPr>
              <w:spacing w:after="20"/>
              <w:rPr>
                <w:i/>
                <w:color w:val="000000"/>
                <w:sz w:val="16"/>
                <w:szCs w:val="16"/>
                <w:lang w:eastAsia="en-NZ"/>
              </w:rPr>
            </w:pPr>
            <w:r w:rsidRPr="005E3FD2">
              <w:rPr>
                <w:i/>
                <w:color w:val="000000"/>
                <w:sz w:val="16"/>
                <w:szCs w:val="16"/>
                <w:lang w:eastAsia="en-NZ"/>
              </w:rPr>
              <w:t>Total</w:t>
            </w:r>
          </w:p>
        </w:tc>
        <w:tc>
          <w:tcPr>
            <w:tcW w:w="582" w:type="dxa"/>
            <w:tcBorders>
              <w:top w:val="nil"/>
              <w:left w:val="nil"/>
              <w:bottom w:val="nil"/>
              <w:right w:val="nil"/>
            </w:tcBorders>
            <w:shd w:val="clear" w:color="auto" w:fill="auto"/>
            <w:noWrap/>
          </w:tcPr>
          <w:p w14:paraId="51E11AB5" w14:textId="77777777" w:rsidR="00D9465C" w:rsidRPr="005E3FD2" w:rsidRDefault="00D9465C" w:rsidP="00DD0F28">
            <w:pPr>
              <w:jc w:val="right"/>
              <w:rPr>
                <w:color w:val="000000"/>
                <w:sz w:val="16"/>
                <w:szCs w:val="16"/>
              </w:rPr>
            </w:pPr>
            <w:r w:rsidRPr="005E3FD2">
              <w:rPr>
                <w:color w:val="000000"/>
                <w:sz w:val="16"/>
                <w:szCs w:val="16"/>
              </w:rPr>
              <w:t>834</w:t>
            </w:r>
          </w:p>
        </w:tc>
        <w:tc>
          <w:tcPr>
            <w:tcW w:w="1142" w:type="dxa"/>
            <w:tcBorders>
              <w:top w:val="nil"/>
              <w:left w:val="nil"/>
              <w:bottom w:val="nil"/>
              <w:right w:val="nil"/>
            </w:tcBorders>
            <w:shd w:val="clear" w:color="auto" w:fill="auto"/>
            <w:noWrap/>
          </w:tcPr>
          <w:p w14:paraId="43CA8046" w14:textId="77777777" w:rsidR="00D9465C" w:rsidRPr="005E3FD2" w:rsidRDefault="00D9465C" w:rsidP="00DD0F28">
            <w:pPr>
              <w:jc w:val="right"/>
              <w:rPr>
                <w:color w:val="000000"/>
                <w:sz w:val="16"/>
                <w:szCs w:val="16"/>
              </w:rPr>
            </w:pPr>
            <w:r w:rsidRPr="005E3FD2">
              <w:rPr>
                <w:color w:val="000000"/>
                <w:sz w:val="16"/>
                <w:szCs w:val="16"/>
              </w:rPr>
              <w:t xml:space="preserve">209,314,092 </w:t>
            </w:r>
          </w:p>
        </w:tc>
        <w:tc>
          <w:tcPr>
            <w:tcW w:w="1268" w:type="dxa"/>
            <w:tcBorders>
              <w:top w:val="nil"/>
              <w:left w:val="nil"/>
              <w:bottom w:val="nil"/>
              <w:right w:val="single" w:sz="4" w:space="0" w:color="auto"/>
            </w:tcBorders>
            <w:shd w:val="clear" w:color="auto" w:fill="auto"/>
            <w:noWrap/>
            <w:vAlign w:val="center"/>
          </w:tcPr>
          <w:p w14:paraId="4AA7D432" w14:textId="77777777" w:rsidR="00D9465C" w:rsidRPr="005E3FD2" w:rsidRDefault="00D9465C" w:rsidP="00DD0F28">
            <w:pPr>
              <w:jc w:val="right"/>
              <w:rPr>
                <w:color w:val="000000"/>
                <w:sz w:val="16"/>
                <w:szCs w:val="16"/>
              </w:rPr>
            </w:pPr>
            <w:r w:rsidRPr="005E3FD2">
              <w:rPr>
                <w:color w:val="000000"/>
                <w:sz w:val="16"/>
                <w:szCs w:val="16"/>
              </w:rPr>
              <w:t>($177,252,892, $241,376,962)</w:t>
            </w:r>
          </w:p>
        </w:tc>
        <w:tc>
          <w:tcPr>
            <w:tcW w:w="539" w:type="dxa"/>
            <w:tcBorders>
              <w:top w:val="nil"/>
              <w:left w:val="single" w:sz="4" w:space="0" w:color="auto"/>
              <w:bottom w:val="nil"/>
              <w:right w:val="nil"/>
            </w:tcBorders>
            <w:shd w:val="clear" w:color="auto" w:fill="auto"/>
            <w:noWrap/>
          </w:tcPr>
          <w:p w14:paraId="2384690B" w14:textId="77777777" w:rsidR="00D9465C" w:rsidRPr="005E3FD2" w:rsidRDefault="00D9465C" w:rsidP="00DD0F28">
            <w:pPr>
              <w:jc w:val="right"/>
              <w:rPr>
                <w:color w:val="000000"/>
                <w:sz w:val="16"/>
                <w:szCs w:val="16"/>
              </w:rPr>
            </w:pPr>
            <w:r w:rsidRPr="005E3FD2">
              <w:rPr>
                <w:color w:val="000000"/>
                <w:sz w:val="16"/>
                <w:szCs w:val="16"/>
              </w:rPr>
              <w:t>383</w:t>
            </w:r>
          </w:p>
        </w:tc>
        <w:tc>
          <w:tcPr>
            <w:tcW w:w="1139" w:type="dxa"/>
            <w:tcBorders>
              <w:top w:val="nil"/>
              <w:left w:val="nil"/>
              <w:bottom w:val="nil"/>
              <w:right w:val="nil"/>
            </w:tcBorders>
            <w:shd w:val="clear" w:color="auto" w:fill="auto"/>
            <w:noWrap/>
          </w:tcPr>
          <w:p w14:paraId="29BE8D89" w14:textId="77777777" w:rsidR="00D9465C" w:rsidRPr="005E3FD2" w:rsidRDefault="00D9465C" w:rsidP="00DD0F28">
            <w:pPr>
              <w:jc w:val="right"/>
              <w:rPr>
                <w:color w:val="000000"/>
                <w:sz w:val="16"/>
                <w:szCs w:val="16"/>
              </w:rPr>
            </w:pPr>
            <w:r w:rsidRPr="005E3FD2">
              <w:rPr>
                <w:color w:val="000000"/>
                <w:sz w:val="16"/>
                <w:szCs w:val="16"/>
              </w:rPr>
              <w:t xml:space="preserve">123,107,941 </w:t>
            </w:r>
          </w:p>
        </w:tc>
        <w:tc>
          <w:tcPr>
            <w:tcW w:w="1299" w:type="dxa"/>
            <w:tcBorders>
              <w:top w:val="nil"/>
              <w:left w:val="nil"/>
              <w:bottom w:val="nil"/>
              <w:right w:val="single" w:sz="4" w:space="0" w:color="auto"/>
            </w:tcBorders>
            <w:shd w:val="clear" w:color="auto" w:fill="auto"/>
            <w:noWrap/>
            <w:vAlign w:val="center"/>
          </w:tcPr>
          <w:p w14:paraId="0E487FA3" w14:textId="77777777" w:rsidR="00D9465C" w:rsidRPr="005E3FD2" w:rsidRDefault="00D9465C" w:rsidP="00DD0F28">
            <w:pPr>
              <w:jc w:val="right"/>
              <w:rPr>
                <w:color w:val="000000"/>
                <w:sz w:val="16"/>
                <w:szCs w:val="16"/>
              </w:rPr>
            </w:pPr>
            <w:r w:rsidRPr="005E3FD2">
              <w:rPr>
                <w:color w:val="000000"/>
                <w:sz w:val="16"/>
                <w:szCs w:val="16"/>
              </w:rPr>
              <w:t>($99,381,273, $146,844,606)</w:t>
            </w:r>
          </w:p>
        </w:tc>
        <w:tc>
          <w:tcPr>
            <w:tcW w:w="539" w:type="dxa"/>
            <w:tcBorders>
              <w:top w:val="nil"/>
              <w:left w:val="single" w:sz="4" w:space="0" w:color="auto"/>
              <w:bottom w:val="nil"/>
              <w:right w:val="nil"/>
            </w:tcBorders>
            <w:shd w:val="clear" w:color="auto" w:fill="auto"/>
            <w:noWrap/>
          </w:tcPr>
          <w:p w14:paraId="0E5552E8" w14:textId="77777777" w:rsidR="00D9465C" w:rsidRPr="005E3FD2" w:rsidRDefault="00D9465C" w:rsidP="00DD0F28">
            <w:pPr>
              <w:jc w:val="right"/>
              <w:rPr>
                <w:color w:val="000000"/>
                <w:sz w:val="16"/>
                <w:szCs w:val="16"/>
              </w:rPr>
            </w:pPr>
            <w:r w:rsidRPr="005E3FD2">
              <w:rPr>
                <w:color w:val="000000"/>
                <w:sz w:val="16"/>
                <w:szCs w:val="16"/>
              </w:rPr>
              <w:t>334</w:t>
            </w:r>
          </w:p>
        </w:tc>
        <w:tc>
          <w:tcPr>
            <w:tcW w:w="1162" w:type="dxa"/>
            <w:tcBorders>
              <w:top w:val="nil"/>
              <w:left w:val="nil"/>
              <w:bottom w:val="nil"/>
              <w:right w:val="nil"/>
            </w:tcBorders>
            <w:shd w:val="clear" w:color="auto" w:fill="auto"/>
            <w:noWrap/>
          </w:tcPr>
          <w:p w14:paraId="7A5A34B7" w14:textId="77777777" w:rsidR="00D9465C" w:rsidRPr="005E3FD2" w:rsidRDefault="00D9465C" w:rsidP="00DD0F28">
            <w:pPr>
              <w:jc w:val="right"/>
              <w:rPr>
                <w:color w:val="000000"/>
                <w:sz w:val="16"/>
                <w:szCs w:val="16"/>
              </w:rPr>
            </w:pPr>
            <w:r w:rsidRPr="005E3FD2">
              <w:rPr>
                <w:color w:val="000000"/>
                <w:sz w:val="16"/>
                <w:szCs w:val="16"/>
              </w:rPr>
              <w:t xml:space="preserve">139,802,413 </w:t>
            </w:r>
          </w:p>
        </w:tc>
        <w:tc>
          <w:tcPr>
            <w:tcW w:w="1132" w:type="dxa"/>
            <w:tcBorders>
              <w:top w:val="nil"/>
              <w:left w:val="nil"/>
              <w:bottom w:val="nil"/>
              <w:right w:val="single" w:sz="4" w:space="0" w:color="auto"/>
            </w:tcBorders>
            <w:shd w:val="clear" w:color="auto" w:fill="auto"/>
            <w:noWrap/>
            <w:vAlign w:val="center"/>
          </w:tcPr>
          <w:p w14:paraId="71A557A6" w14:textId="77777777" w:rsidR="00D9465C" w:rsidRPr="005E3FD2" w:rsidRDefault="00D9465C" w:rsidP="00DD0F28">
            <w:pPr>
              <w:jc w:val="right"/>
              <w:rPr>
                <w:color w:val="000000"/>
                <w:sz w:val="16"/>
                <w:szCs w:val="16"/>
              </w:rPr>
            </w:pPr>
            <w:r w:rsidRPr="005E3FD2">
              <w:rPr>
                <w:color w:val="000000"/>
                <w:sz w:val="16"/>
                <w:szCs w:val="16"/>
              </w:rPr>
              <w:t>(113,402,770, 166,195,464)</w:t>
            </w:r>
          </w:p>
        </w:tc>
        <w:tc>
          <w:tcPr>
            <w:tcW w:w="539" w:type="dxa"/>
            <w:tcBorders>
              <w:top w:val="nil"/>
              <w:left w:val="single" w:sz="4" w:space="0" w:color="auto"/>
              <w:bottom w:val="nil"/>
              <w:right w:val="nil"/>
            </w:tcBorders>
            <w:shd w:val="clear" w:color="auto" w:fill="auto"/>
            <w:noWrap/>
          </w:tcPr>
          <w:p w14:paraId="6F206F37" w14:textId="77777777" w:rsidR="00D9465C" w:rsidRPr="005E3FD2" w:rsidRDefault="00D9465C" w:rsidP="00DD0F28">
            <w:pPr>
              <w:jc w:val="right"/>
              <w:rPr>
                <w:color w:val="000000"/>
                <w:sz w:val="16"/>
                <w:szCs w:val="16"/>
              </w:rPr>
            </w:pPr>
            <w:r w:rsidRPr="005E3FD2">
              <w:rPr>
                <w:color w:val="000000"/>
                <w:sz w:val="16"/>
                <w:szCs w:val="16"/>
              </w:rPr>
              <w:t>265</w:t>
            </w:r>
          </w:p>
        </w:tc>
        <w:tc>
          <w:tcPr>
            <w:tcW w:w="1164" w:type="dxa"/>
            <w:tcBorders>
              <w:top w:val="nil"/>
              <w:left w:val="nil"/>
              <w:bottom w:val="nil"/>
              <w:right w:val="nil"/>
            </w:tcBorders>
            <w:shd w:val="clear" w:color="auto" w:fill="auto"/>
            <w:noWrap/>
          </w:tcPr>
          <w:p w14:paraId="4A57912F" w14:textId="77777777" w:rsidR="00D9465C" w:rsidRPr="005E3FD2" w:rsidRDefault="00D9465C" w:rsidP="00DD0F28">
            <w:pPr>
              <w:jc w:val="right"/>
              <w:rPr>
                <w:color w:val="000000"/>
                <w:sz w:val="16"/>
                <w:szCs w:val="16"/>
              </w:rPr>
            </w:pPr>
            <w:r w:rsidRPr="005E3FD2">
              <w:rPr>
                <w:color w:val="000000"/>
                <w:sz w:val="16"/>
                <w:szCs w:val="16"/>
              </w:rPr>
              <w:t xml:space="preserve">137,329,540 </w:t>
            </w:r>
          </w:p>
        </w:tc>
        <w:tc>
          <w:tcPr>
            <w:tcW w:w="1308" w:type="dxa"/>
            <w:tcBorders>
              <w:top w:val="nil"/>
              <w:left w:val="nil"/>
              <w:bottom w:val="nil"/>
              <w:right w:val="nil"/>
            </w:tcBorders>
            <w:shd w:val="clear" w:color="auto" w:fill="auto"/>
            <w:noWrap/>
            <w:vAlign w:val="center"/>
          </w:tcPr>
          <w:p w14:paraId="1C6989D3" w14:textId="77777777" w:rsidR="00D9465C" w:rsidRPr="005E3FD2" w:rsidRDefault="00D9465C" w:rsidP="00DD0F28">
            <w:pPr>
              <w:jc w:val="right"/>
              <w:rPr>
                <w:color w:val="000000"/>
                <w:sz w:val="16"/>
                <w:szCs w:val="16"/>
              </w:rPr>
            </w:pPr>
            <w:r w:rsidRPr="005E3FD2">
              <w:rPr>
                <w:color w:val="000000"/>
                <w:sz w:val="16"/>
                <w:szCs w:val="16"/>
              </w:rPr>
              <w:t>(107,838,042, 166,821,038)</w:t>
            </w:r>
          </w:p>
        </w:tc>
      </w:tr>
      <w:tr w:rsidR="00D9465C" w:rsidRPr="00EA483D" w14:paraId="1FEF5833" w14:textId="77777777" w:rsidTr="00DD0F28">
        <w:tc>
          <w:tcPr>
            <w:tcW w:w="992" w:type="dxa"/>
            <w:vMerge w:val="restart"/>
            <w:tcBorders>
              <w:top w:val="nil"/>
              <w:left w:val="nil"/>
              <w:right w:val="nil"/>
            </w:tcBorders>
            <w:shd w:val="clear" w:color="auto" w:fill="auto"/>
            <w:noWrap/>
            <w:hideMark/>
          </w:tcPr>
          <w:p w14:paraId="7F533368"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Low-risk gambler</w:t>
            </w:r>
          </w:p>
        </w:tc>
        <w:tc>
          <w:tcPr>
            <w:tcW w:w="1119" w:type="dxa"/>
            <w:tcBorders>
              <w:top w:val="nil"/>
              <w:left w:val="nil"/>
              <w:bottom w:val="nil"/>
              <w:right w:val="nil"/>
            </w:tcBorders>
            <w:shd w:val="clear" w:color="auto" w:fill="auto"/>
            <w:noWrap/>
            <w:hideMark/>
          </w:tcPr>
          <w:p w14:paraId="35E80F46"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Casino</w:t>
            </w:r>
          </w:p>
        </w:tc>
        <w:tc>
          <w:tcPr>
            <w:tcW w:w="582" w:type="dxa"/>
            <w:tcBorders>
              <w:top w:val="nil"/>
              <w:left w:val="nil"/>
              <w:bottom w:val="nil"/>
              <w:right w:val="nil"/>
            </w:tcBorders>
            <w:shd w:val="clear" w:color="auto" w:fill="auto"/>
            <w:noWrap/>
          </w:tcPr>
          <w:p w14:paraId="229EB8E3" w14:textId="77777777" w:rsidR="00D9465C" w:rsidRPr="005E3FD2" w:rsidRDefault="00D9465C" w:rsidP="00DD0F28">
            <w:pPr>
              <w:jc w:val="right"/>
              <w:rPr>
                <w:color w:val="000000"/>
                <w:sz w:val="16"/>
                <w:szCs w:val="16"/>
              </w:rPr>
            </w:pPr>
            <w:r w:rsidRPr="005E3FD2">
              <w:rPr>
                <w:color w:val="000000"/>
                <w:sz w:val="16"/>
                <w:szCs w:val="16"/>
              </w:rPr>
              <w:t>77</w:t>
            </w:r>
          </w:p>
        </w:tc>
        <w:tc>
          <w:tcPr>
            <w:tcW w:w="1142" w:type="dxa"/>
            <w:tcBorders>
              <w:top w:val="nil"/>
              <w:left w:val="nil"/>
              <w:bottom w:val="nil"/>
              <w:right w:val="nil"/>
            </w:tcBorders>
            <w:shd w:val="clear" w:color="auto" w:fill="auto"/>
            <w:noWrap/>
          </w:tcPr>
          <w:p w14:paraId="3E27A8BE" w14:textId="77777777" w:rsidR="00D9465C" w:rsidRPr="005E3FD2" w:rsidRDefault="00D9465C" w:rsidP="00DD0F28">
            <w:pPr>
              <w:jc w:val="right"/>
              <w:rPr>
                <w:color w:val="000000"/>
                <w:sz w:val="16"/>
                <w:szCs w:val="16"/>
              </w:rPr>
            </w:pPr>
            <w:r w:rsidRPr="005E3FD2">
              <w:rPr>
                <w:color w:val="000000"/>
                <w:sz w:val="16"/>
                <w:szCs w:val="16"/>
              </w:rPr>
              <w:t xml:space="preserve">36,057,704 </w:t>
            </w:r>
          </w:p>
        </w:tc>
        <w:tc>
          <w:tcPr>
            <w:tcW w:w="1268" w:type="dxa"/>
            <w:tcBorders>
              <w:top w:val="nil"/>
              <w:left w:val="nil"/>
              <w:bottom w:val="nil"/>
              <w:right w:val="single" w:sz="4" w:space="0" w:color="auto"/>
            </w:tcBorders>
            <w:shd w:val="clear" w:color="auto" w:fill="auto"/>
            <w:noWrap/>
            <w:vAlign w:val="center"/>
          </w:tcPr>
          <w:p w14:paraId="1281576B" w14:textId="77777777" w:rsidR="00D9465C" w:rsidRPr="005E3FD2" w:rsidRDefault="00D9465C" w:rsidP="00DD0F28">
            <w:pPr>
              <w:jc w:val="right"/>
              <w:rPr>
                <w:color w:val="000000"/>
                <w:sz w:val="16"/>
                <w:szCs w:val="16"/>
              </w:rPr>
            </w:pPr>
            <w:r w:rsidRPr="005E3FD2">
              <w:rPr>
                <w:color w:val="000000"/>
                <w:sz w:val="16"/>
                <w:szCs w:val="16"/>
              </w:rPr>
              <w:t>($23,774,323, $48,341,085)</w:t>
            </w:r>
          </w:p>
        </w:tc>
        <w:tc>
          <w:tcPr>
            <w:tcW w:w="539" w:type="dxa"/>
            <w:tcBorders>
              <w:top w:val="nil"/>
              <w:left w:val="single" w:sz="4" w:space="0" w:color="auto"/>
              <w:bottom w:val="nil"/>
              <w:right w:val="nil"/>
            </w:tcBorders>
            <w:shd w:val="clear" w:color="auto" w:fill="auto"/>
            <w:noWrap/>
          </w:tcPr>
          <w:p w14:paraId="070367E9" w14:textId="77777777" w:rsidR="00D9465C" w:rsidRPr="005E3FD2" w:rsidRDefault="00D9465C" w:rsidP="00DD0F28">
            <w:pPr>
              <w:jc w:val="right"/>
              <w:rPr>
                <w:color w:val="000000"/>
                <w:sz w:val="16"/>
                <w:szCs w:val="16"/>
              </w:rPr>
            </w:pPr>
            <w:r w:rsidRPr="005E3FD2">
              <w:rPr>
                <w:color w:val="000000"/>
                <w:sz w:val="16"/>
                <w:szCs w:val="16"/>
              </w:rPr>
              <w:t>46</w:t>
            </w:r>
          </w:p>
        </w:tc>
        <w:tc>
          <w:tcPr>
            <w:tcW w:w="1139" w:type="dxa"/>
            <w:tcBorders>
              <w:top w:val="nil"/>
              <w:left w:val="nil"/>
              <w:bottom w:val="nil"/>
              <w:right w:val="nil"/>
            </w:tcBorders>
            <w:shd w:val="clear" w:color="auto" w:fill="auto"/>
            <w:noWrap/>
          </w:tcPr>
          <w:p w14:paraId="28B6066D" w14:textId="77777777" w:rsidR="00D9465C" w:rsidRPr="005E3FD2" w:rsidRDefault="00D9465C" w:rsidP="00DD0F28">
            <w:pPr>
              <w:jc w:val="right"/>
              <w:rPr>
                <w:color w:val="000000"/>
                <w:sz w:val="16"/>
                <w:szCs w:val="16"/>
              </w:rPr>
            </w:pPr>
            <w:r w:rsidRPr="005E3FD2">
              <w:rPr>
                <w:color w:val="000000"/>
                <w:sz w:val="16"/>
                <w:szCs w:val="16"/>
              </w:rPr>
              <w:t xml:space="preserve">28,613,230 </w:t>
            </w:r>
          </w:p>
        </w:tc>
        <w:tc>
          <w:tcPr>
            <w:tcW w:w="1299" w:type="dxa"/>
            <w:tcBorders>
              <w:top w:val="nil"/>
              <w:left w:val="nil"/>
              <w:bottom w:val="nil"/>
              <w:right w:val="single" w:sz="4" w:space="0" w:color="auto"/>
            </w:tcBorders>
            <w:shd w:val="clear" w:color="auto" w:fill="auto"/>
            <w:noWrap/>
            <w:vAlign w:val="center"/>
          </w:tcPr>
          <w:p w14:paraId="6A214096" w14:textId="77777777" w:rsidR="00D9465C" w:rsidRPr="005E3FD2" w:rsidRDefault="00D9465C" w:rsidP="00DD0F28">
            <w:pPr>
              <w:jc w:val="right"/>
              <w:rPr>
                <w:color w:val="000000"/>
                <w:sz w:val="16"/>
                <w:szCs w:val="16"/>
              </w:rPr>
            </w:pPr>
            <w:r w:rsidRPr="005E3FD2">
              <w:rPr>
                <w:color w:val="000000"/>
                <w:sz w:val="16"/>
                <w:szCs w:val="16"/>
              </w:rPr>
              <w:t>($14,419,809, $42,806,651)</w:t>
            </w:r>
          </w:p>
        </w:tc>
        <w:tc>
          <w:tcPr>
            <w:tcW w:w="539" w:type="dxa"/>
            <w:tcBorders>
              <w:top w:val="nil"/>
              <w:left w:val="single" w:sz="4" w:space="0" w:color="auto"/>
              <w:bottom w:val="nil"/>
              <w:right w:val="nil"/>
            </w:tcBorders>
            <w:shd w:val="clear" w:color="auto" w:fill="auto"/>
            <w:noWrap/>
          </w:tcPr>
          <w:p w14:paraId="18B7B527" w14:textId="77777777" w:rsidR="00D9465C" w:rsidRPr="005E3FD2" w:rsidRDefault="00D9465C" w:rsidP="00DD0F28">
            <w:pPr>
              <w:jc w:val="right"/>
              <w:rPr>
                <w:color w:val="000000"/>
                <w:sz w:val="16"/>
                <w:szCs w:val="16"/>
              </w:rPr>
            </w:pPr>
            <w:r w:rsidRPr="005E3FD2">
              <w:rPr>
                <w:color w:val="000000"/>
                <w:sz w:val="16"/>
                <w:szCs w:val="16"/>
              </w:rPr>
              <w:t>32</w:t>
            </w:r>
          </w:p>
        </w:tc>
        <w:tc>
          <w:tcPr>
            <w:tcW w:w="1162" w:type="dxa"/>
            <w:tcBorders>
              <w:top w:val="nil"/>
              <w:left w:val="nil"/>
              <w:bottom w:val="nil"/>
              <w:right w:val="nil"/>
            </w:tcBorders>
            <w:shd w:val="clear" w:color="auto" w:fill="auto"/>
            <w:noWrap/>
          </w:tcPr>
          <w:p w14:paraId="5AAD59E8" w14:textId="77777777" w:rsidR="00D9465C" w:rsidRPr="005E3FD2" w:rsidRDefault="00D9465C" w:rsidP="00DD0F28">
            <w:pPr>
              <w:jc w:val="right"/>
              <w:rPr>
                <w:color w:val="000000"/>
                <w:sz w:val="16"/>
                <w:szCs w:val="16"/>
              </w:rPr>
            </w:pPr>
            <w:r w:rsidRPr="005E3FD2">
              <w:rPr>
                <w:color w:val="000000"/>
                <w:sz w:val="16"/>
                <w:szCs w:val="16"/>
              </w:rPr>
              <w:t xml:space="preserve">25,330,686 </w:t>
            </w:r>
          </w:p>
        </w:tc>
        <w:tc>
          <w:tcPr>
            <w:tcW w:w="1132" w:type="dxa"/>
            <w:tcBorders>
              <w:top w:val="nil"/>
              <w:left w:val="nil"/>
              <w:bottom w:val="nil"/>
              <w:right w:val="single" w:sz="4" w:space="0" w:color="auto"/>
            </w:tcBorders>
            <w:shd w:val="clear" w:color="auto" w:fill="auto"/>
            <w:noWrap/>
            <w:vAlign w:val="center"/>
          </w:tcPr>
          <w:p w14:paraId="475EF0B9" w14:textId="77777777" w:rsidR="00D9465C" w:rsidRPr="005E3FD2" w:rsidRDefault="00D9465C" w:rsidP="00DD0F28">
            <w:pPr>
              <w:jc w:val="right"/>
              <w:rPr>
                <w:color w:val="000000"/>
                <w:sz w:val="16"/>
                <w:szCs w:val="16"/>
              </w:rPr>
            </w:pPr>
            <w:r w:rsidRPr="005E3FD2">
              <w:rPr>
                <w:color w:val="000000"/>
                <w:sz w:val="16"/>
                <w:szCs w:val="16"/>
              </w:rPr>
              <w:t>(18,455,242, 32,206,129)</w:t>
            </w:r>
          </w:p>
        </w:tc>
        <w:tc>
          <w:tcPr>
            <w:tcW w:w="539" w:type="dxa"/>
            <w:tcBorders>
              <w:top w:val="nil"/>
              <w:left w:val="single" w:sz="4" w:space="0" w:color="auto"/>
              <w:bottom w:val="nil"/>
              <w:right w:val="nil"/>
            </w:tcBorders>
            <w:shd w:val="clear" w:color="auto" w:fill="auto"/>
            <w:noWrap/>
          </w:tcPr>
          <w:p w14:paraId="2045C213" w14:textId="77777777" w:rsidR="00D9465C" w:rsidRPr="005E3FD2" w:rsidRDefault="00D9465C" w:rsidP="00DD0F28">
            <w:pPr>
              <w:jc w:val="right"/>
              <w:rPr>
                <w:color w:val="000000"/>
                <w:sz w:val="16"/>
                <w:szCs w:val="16"/>
              </w:rPr>
            </w:pPr>
            <w:r w:rsidRPr="005E3FD2">
              <w:rPr>
                <w:color w:val="000000"/>
                <w:sz w:val="16"/>
                <w:szCs w:val="16"/>
              </w:rPr>
              <w:t>21</w:t>
            </w:r>
          </w:p>
        </w:tc>
        <w:tc>
          <w:tcPr>
            <w:tcW w:w="1164" w:type="dxa"/>
            <w:tcBorders>
              <w:top w:val="nil"/>
              <w:left w:val="nil"/>
              <w:bottom w:val="nil"/>
              <w:right w:val="nil"/>
            </w:tcBorders>
            <w:shd w:val="clear" w:color="auto" w:fill="auto"/>
            <w:noWrap/>
          </w:tcPr>
          <w:p w14:paraId="2F3316B7" w14:textId="77777777" w:rsidR="00D9465C" w:rsidRPr="005E3FD2" w:rsidRDefault="00D9465C" w:rsidP="00DD0F28">
            <w:pPr>
              <w:jc w:val="right"/>
              <w:rPr>
                <w:color w:val="000000"/>
                <w:sz w:val="16"/>
                <w:szCs w:val="16"/>
              </w:rPr>
            </w:pPr>
            <w:r w:rsidRPr="005E3FD2">
              <w:rPr>
                <w:color w:val="000000"/>
                <w:sz w:val="16"/>
                <w:szCs w:val="16"/>
              </w:rPr>
              <w:t xml:space="preserve">27,616,463 </w:t>
            </w:r>
          </w:p>
        </w:tc>
        <w:tc>
          <w:tcPr>
            <w:tcW w:w="1308" w:type="dxa"/>
            <w:tcBorders>
              <w:top w:val="nil"/>
              <w:left w:val="nil"/>
              <w:bottom w:val="nil"/>
              <w:right w:val="nil"/>
            </w:tcBorders>
            <w:shd w:val="clear" w:color="auto" w:fill="auto"/>
            <w:noWrap/>
            <w:vAlign w:val="center"/>
          </w:tcPr>
          <w:p w14:paraId="55FB2CB7" w14:textId="77777777" w:rsidR="00D9465C" w:rsidRPr="005E3FD2" w:rsidRDefault="00D9465C" w:rsidP="00DD0F28">
            <w:pPr>
              <w:jc w:val="right"/>
              <w:rPr>
                <w:color w:val="000000"/>
                <w:sz w:val="16"/>
                <w:szCs w:val="16"/>
              </w:rPr>
            </w:pPr>
            <w:r w:rsidRPr="005E3FD2">
              <w:rPr>
                <w:color w:val="000000"/>
                <w:sz w:val="16"/>
                <w:szCs w:val="16"/>
              </w:rPr>
              <w:t>(6,199,702, 49,033,223)</w:t>
            </w:r>
          </w:p>
        </w:tc>
      </w:tr>
      <w:tr w:rsidR="00D9465C" w:rsidRPr="00EA483D" w14:paraId="51F93298" w14:textId="77777777" w:rsidTr="00DD0F28">
        <w:tc>
          <w:tcPr>
            <w:tcW w:w="992" w:type="dxa"/>
            <w:vMerge/>
            <w:tcBorders>
              <w:left w:val="nil"/>
              <w:bottom w:val="nil"/>
              <w:right w:val="nil"/>
            </w:tcBorders>
            <w:shd w:val="clear" w:color="auto" w:fill="auto"/>
            <w:noWrap/>
            <w:hideMark/>
          </w:tcPr>
          <w:p w14:paraId="3C176FB3" w14:textId="77777777" w:rsidR="00D9465C" w:rsidRPr="005E3FD2" w:rsidRDefault="00D9465C" w:rsidP="00DD0F28">
            <w:pPr>
              <w:spacing w:after="20"/>
              <w:rPr>
                <w:color w:val="000000"/>
                <w:sz w:val="16"/>
                <w:szCs w:val="16"/>
                <w:lang w:eastAsia="en-NZ"/>
              </w:rPr>
            </w:pPr>
          </w:p>
        </w:tc>
        <w:tc>
          <w:tcPr>
            <w:tcW w:w="1119" w:type="dxa"/>
            <w:tcBorders>
              <w:top w:val="nil"/>
              <w:left w:val="nil"/>
              <w:bottom w:val="nil"/>
              <w:right w:val="nil"/>
            </w:tcBorders>
            <w:shd w:val="clear" w:color="auto" w:fill="auto"/>
            <w:noWrap/>
            <w:hideMark/>
          </w:tcPr>
          <w:p w14:paraId="6A24F154"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Pub</w:t>
            </w:r>
          </w:p>
        </w:tc>
        <w:tc>
          <w:tcPr>
            <w:tcW w:w="582" w:type="dxa"/>
            <w:tcBorders>
              <w:top w:val="nil"/>
              <w:left w:val="nil"/>
              <w:bottom w:val="nil"/>
              <w:right w:val="nil"/>
            </w:tcBorders>
            <w:shd w:val="clear" w:color="auto" w:fill="auto"/>
            <w:noWrap/>
          </w:tcPr>
          <w:p w14:paraId="264B1269" w14:textId="77777777" w:rsidR="00D9465C" w:rsidRPr="005E3FD2" w:rsidRDefault="00D9465C" w:rsidP="00DD0F28">
            <w:pPr>
              <w:jc w:val="right"/>
              <w:rPr>
                <w:color w:val="000000"/>
                <w:sz w:val="16"/>
                <w:szCs w:val="16"/>
              </w:rPr>
            </w:pPr>
            <w:r w:rsidRPr="005E3FD2">
              <w:rPr>
                <w:color w:val="000000"/>
                <w:sz w:val="16"/>
                <w:szCs w:val="16"/>
              </w:rPr>
              <w:t>103</w:t>
            </w:r>
          </w:p>
        </w:tc>
        <w:tc>
          <w:tcPr>
            <w:tcW w:w="1142" w:type="dxa"/>
            <w:tcBorders>
              <w:top w:val="nil"/>
              <w:left w:val="nil"/>
              <w:bottom w:val="nil"/>
              <w:right w:val="nil"/>
            </w:tcBorders>
            <w:shd w:val="clear" w:color="auto" w:fill="auto"/>
            <w:noWrap/>
          </w:tcPr>
          <w:p w14:paraId="290E1964" w14:textId="77777777" w:rsidR="00D9465C" w:rsidRPr="005E3FD2" w:rsidRDefault="00D9465C" w:rsidP="00DD0F28">
            <w:pPr>
              <w:jc w:val="right"/>
              <w:rPr>
                <w:color w:val="000000"/>
                <w:sz w:val="16"/>
                <w:szCs w:val="16"/>
              </w:rPr>
            </w:pPr>
            <w:r w:rsidRPr="005E3FD2">
              <w:rPr>
                <w:color w:val="000000"/>
                <w:sz w:val="16"/>
                <w:szCs w:val="16"/>
              </w:rPr>
              <w:t xml:space="preserve">37,887,995 </w:t>
            </w:r>
          </w:p>
        </w:tc>
        <w:tc>
          <w:tcPr>
            <w:tcW w:w="1268" w:type="dxa"/>
            <w:tcBorders>
              <w:top w:val="nil"/>
              <w:left w:val="nil"/>
              <w:bottom w:val="nil"/>
              <w:right w:val="single" w:sz="4" w:space="0" w:color="auto"/>
            </w:tcBorders>
            <w:shd w:val="clear" w:color="auto" w:fill="auto"/>
            <w:noWrap/>
            <w:vAlign w:val="center"/>
          </w:tcPr>
          <w:p w14:paraId="1CF0E39A" w14:textId="77777777" w:rsidR="00D9465C" w:rsidRPr="005E3FD2" w:rsidRDefault="00D9465C" w:rsidP="00DD0F28">
            <w:pPr>
              <w:jc w:val="right"/>
              <w:rPr>
                <w:color w:val="000000"/>
                <w:sz w:val="16"/>
                <w:szCs w:val="16"/>
              </w:rPr>
            </w:pPr>
            <w:r w:rsidRPr="005E3FD2">
              <w:rPr>
                <w:color w:val="000000"/>
                <w:sz w:val="16"/>
                <w:szCs w:val="16"/>
              </w:rPr>
              <w:t>($23,464,660, $52,311,330)</w:t>
            </w:r>
          </w:p>
        </w:tc>
        <w:tc>
          <w:tcPr>
            <w:tcW w:w="539" w:type="dxa"/>
            <w:tcBorders>
              <w:top w:val="nil"/>
              <w:left w:val="single" w:sz="4" w:space="0" w:color="auto"/>
              <w:bottom w:val="nil"/>
              <w:right w:val="nil"/>
            </w:tcBorders>
            <w:shd w:val="clear" w:color="auto" w:fill="auto"/>
            <w:noWrap/>
          </w:tcPr>
          <w:p w14:paraId="60584F5A" w14:textId="77777777" w:rsidR="00D9465C" w:rsidRPr="005E3FD2" w:rsidRDefault="00D9465C" w:rsidP="00DD0F28">
            <w:pPr>
              <w:jc w:val="right"/>
              <w:rPr>
                <w:color w:val="000000"/>
                <w:sz w:val="16"/>
                <w:szCs w:val="16"/>
              </w:rPr>
            </w:pPr>
            <w:r w:rsidRPr="005E3FD2">
              <w:rPr>
                <w:color w:val="000000"/>
                <w:sz w:val="16"/>
                <w:szCs w:val="16"/>
              </w:rPr>
              <w:t>72</w:t>
            </w:r>
          </w:p>
        </w:tc>
        <w:tc>
          <w:tcPr>
            <w:tcW w:w="1139" w:type="dxa"/>
            <w:tcBorders>
              <w:top w:val="nil"/>
              <w:left w:val="nil"/>
              <w:bottom w:val="nil"/>
              <w:right w:val="nil"/>
            </w:tcBorders>
            <w:shd w:val="clear" w:color="auto" w:fill="auto"/>
            <w:noWrap/>
          </w:tcPr>
          <w:p w14:paraId="36E929AE" w14:textId="77777777" w:rsidR="00D9465C" w:rsidRPr="005E3FD2" w:rsidRDefault="00D9465C" w:rsidP="00DD0F28">
            <w:pPr>
              <w:jc w:val="right"/>
              <w:rPr>
                <w:color w:val="000000"/>
                <w:sz w:val="16"/>
                <w:szCs w:val="16"/>
              </w:rPr>
            </w:pPr>
            <w:r w:rsidRPr="005E3FD2">
              <w:rPr>
                <w:color w:val="000000"/>
                <w:sz w:val="16"/>
                <w:szCs w:val="16"/>
              </w:rPr>
              <w:t xml:space="preserve">35,596,924 </w:t>
            </w:r>
          </w:p>
        </w:tc>
        <w:tc>
          <w:tcPr>
            <w:tcW w:w="1299" w:type="dxa"/>
            <w:tcBorders>
              <w:top w:val="nil"/>
              <w:left w:val="nil"/>
              <w:bottom w:val="nil"/>
              <w:right w:val="single" w:sz="4" w:space="0" w:color="auto"/>
            </w:tcBorders>
            <w:shd w:val="clear" w:color="auto" w:fill="auto"/>
            <w:noWrap/>
            <w:vAlign w:val="center"/>
          </w:tcPr>
          <w:p w14:paraId="29F0C6F6" w14:textId="77777777" w:rsidR="00D9465C" w:rsidRPr="005E3FD2" w:rsidRDefault="00D9465C" w:rsidP="00DD0F28">
            <w:pPr>
              <w:jc w:val="right"/>
              <w:rPr>
                <w:color w:val="000000"/>
                <w:sz w:val="16"/>
                <w:szCs w:val="16"/>
              </w:rPr>
            </w:pPr>
            <w:r w:rsidRPr="005E3FD2">
              <w:rPr>
                <w:color w:val="000000"/>
                <w:sz w:val="16"/>
                <w:szCs w:val="16"/>
              </w:rPr>
              <w:t>($26,148,651, $45,045,197)</w:t>
            </w:r>
          </w:p>
        </w:tc>
        <w:tc>
          <w:tcPr>
            <w:tcW w:w="539" w:type="dxa"/>
            <w:tcBorders>
              <w:top w:val="nil"/>
              <w:left w:val="single" w:sz="4" w:space="0" w:color="auto"/>
              <w:bottom w:val="nil"/>
              <w:right w:val="nil"/>
            </w:tcBorders>
            <w:shd w:val="clear" w:color="auto" w:fill="auto"/>
            <w:noWrap/>
          </w:tcPr>
          <w:p w14:paraId="150DA18A" w14:textId="77777777" w:rsidR="00D9465C" w:rsidRPr="005E3FD2" w:rsidRDefault="00D9465C" w:rsidP="00DD0F28">
            <w:pPr>
              <w:jc w:val="right"/>
              <w:rPr>
                <w:color w:val="000000"/>
                <w:sz w:val="16"/>
                <w:szCs w:val="16"/>
              </w:rPr>
            </w:pPr>
            <w:r w:rsidRPr="005E3FD2">
              <w:rPr>
                <w:color w:val="000000"/>
                <w:sz w:val="16"/>
                <w:szCs w:val="16"/>
              </w:rPr>
              <w:t>37</w:t>
            </w:r>
          </w:p>
        </w:tc>
        <w:tc>
          <w:tcPr>
            <w:tcW w:w="1162" w:type="dxa"/>
            <w:tcBorders>
              <w:top w:val="nil"/>
              <w:left w:val="nil"/>
              <w:bottom w:val="nil"/>
              <w:right w:val="nil"/>
            </w:tcBorders>
            <w:shd w:val="clear" w:color="auto" w:fill="auto"/>
            <w:noWrap/>
          </w:tcPr>
          <w:p w14:paraId="46FADA43" w14:textId="77777777" w:rsidR="00D9465C" w:rsidRPr="005E3FD2" w:rsidRDefault="00D9465C" w:rsidP="00DD0F28">
            <w:pPr>
              <w:jc w:val="right"/>
              <w:rPr>
                <w:color w:val="000000"/>
                <w:sz w:val="16"/>
                <w:szCs w:val="16"/>
              </w:rPr>
            </w:pPr>
            <w:r w:rsidRPr="005E3FD2">
              <w:rPr>
                <w:color w:val="000000"/>
                <w:sz w:val="16"/>
                <w:szCs w:val="16"/>
              </w:rPr>
              <w:t xml:space="preserve">22,488,784 </w:t>
            </w:r>
          </w:p>
        </w:tc>
        <w:tc>
          <w:tcPr>
            <w:tcW w:w="1132" w:type="dxa"/>
            <w:tcBorders>
              <w:top w:val="nil"/>
              <w:left w:val="nil"/>
              <w:bottom w:val="nil"/>
              <w:right w:val="single" w:sz="4" w:space="0" w:color="auto"/>
            </w:tcBorders>
            <w:shd w:val="clear" w:color="auto" w:fill="auto"/>
            <w:noWrap/>
            <w:vAlign w:val="center"/>
          </w:tcPr>
          <w:p w14:paraId="20941FD9" w14:textId="77777777" w:rsidR="00D9465C" w:rsidRPr="005E3FD2" w:rsidRDefault="00D9465C" w:rsidP="00DD0F28">
            <w:pPr>
              <w:jc w:val="right"/>
              <w:rPr>
                <w:color w:val="000000"/>
                <w:sz w:val="16"/>
                <w:szCs w:val="16"/>
              </w:rPr>
            </w:pPr>
            <w:r w:rsidRPr="005E3FD2">
              <w:rPr>
                <w:color w:val="000000"/>
                <w:sz w:val="16"/>
                <w:szCs w:val="16"/>
              </w:rPr>
              <w:t>(13,132,743, 31,844,825)</w:t>
            </w:r>
          </w:p>
        </w:tc>
        <w:tc>
          <w:tcPr>
            <w:tcW w:w="539" w:type="dxa"/>
            <w:tcBorders>
              <w:top w:val="nil"/>
              <w:left w:val="single" w:sz="4" w:space="0" w:color="auto"/>
              <w:bottom w:val="nil"/>
              <w:right w:val="nil"/>
            </w:tcBorders>
            <w:shd w:val="clear" w:color="auto" w:fill="auto"/>
            <w:noWrap/>
          </w:tcPr>
          <w:p w14:paraId="6D9683B3" w14:textId="77777777" w:rsidR="00D9465C" w:rsidRPr="005E3FD2" w:rsidRDefault="00D9465C" w:rsidP="00DD0F28">
            <w:pPr>
              <w:jc w:val="right"/>
              <w:rPr>
                <w:color w:val="000000"/>
                <w:sz w:val="16"/>
                <w:szCs w:val="16"/>
              </w:rPr>
            </w:pPr>
            <w:r w:rsidRPr="005E3FD2">
              <w:rPr>
                <w:color w:val="000000"/>
                <w:sz w:val="16"/>
                <w:szCs w:val="16"/>
              </w:rPr>
              <w:t>45</w:t>
            </w:r>
          </w:p>
        </w:tc>
        <w:tc>
          <w:tcPr>
            <w:tcW w:w="1164" w:type="dxa"/>
            <w:tcBorders>
              <w:top w:val="nil"/>
              <w:left w:val="nil"/>
              <w:bottom w:val="nil"/>
              <w:right w:val="nil"/>
            </w:tcBorders>
            <w:shd w:val="clear" w:color="auto" w:fill="auto"/>
            <w:noWrap/>
          </w:tcPr>
          <w:p w14:paraId="424748E3" w14:textId="77777777" w:rsidR="00D9465C" w:rsidRPr="005E3FD2" w:rsidRDefault="00D9465C" w:rsidP="00DD0F28">
            <w:pPr>
              <w:jc w:val="right"/>
              <w:rPr>
                <w:color w:val="000000"/>
                <w:sz w:val="16"/>
                <w:szCs w:val="16"/>
              </w:rPr>
            </w:pPr>
            <w:r w:rsidRPr="005E3FD2">
              <w:rPr>
                <w:color w:val="000000"/>
                <w:sz w:val="16"/>
                <w:szCs w:val="16"/>
              </w:rPr>
              <w:t xml:space="preserve">29,007,942 </w:t>
            </w:r>
          </w:p>
        </w:tc>
        <w:tc>
          <w:tcPr>
            <w:tcW w:w="1308" w:type="dxa"/>
            <w:tcBorders>
              <w:top w:val="nil"/>
              <w:left w:val="nil"/>
              <w:bottom w:val="nil"/>
              <w:right w:val="nil"/>
            </w:tcBorders>
            <w:shd w:val="clear" w:color="auto" w:fill="auto"/>
            <w:noWrap/>
            <w:vAlign w:val="center"/>
          </w:tcPr>
          <w:p w14:paraId="43C404CE" w14:textId="77777777" w:rsidR="00D9465C" w:rsidRPr="005E3FD2" w:rsidRDefault="00D9465C" w:rsidP="00DD0F28">
            <w:pPr>
              <w:jc w:val="right"/>
              <w:rPr>
                <w:color w:val="000000"/>
                <w:sz w:val="16"/>
                <w:szCs w:val="16"/>
              </w:rPr>
            </w:pPr>
            <w:r w:rsidRPr="005E3FD2">
              <w:rPr>
                <w:color w:val="000000"/>
                <w:sz w:val="16"/>
                <w:szCs w:val="16"/>
              </w:rPr>
              <w:t>(13,662,586, 44,353,297)</w:t>
            </w:r>
          </w:p>
        </w:tc>
      </w:tr>
      <w:tr w:rsidR="00D9465C" w:rsidRPr="00EA483D" w14:paraId="617E0266" w14:textId="77777777" w:rsidTr="00DD0F28">
        <w:tc>
          <w:tcPr>
            <w:tcW w:w="992" w:type="dxa"/>
            <w:tcBorders>
              <w:top w:val="nil"/>
              <w:left w:val="nil"/>
              <w:bottom w:val="nil"/>
              <w:right w:val="nil"/>
            </w:tcBorders>
            <w:shd w:val="clear" w:color="auto" w:fill="auto"/>
            <w:noWrap/>
            <w:hideMark/>
          </w:tcPr>
          <w:p w14:paraId="6016D04D" w14:textId="77777777" w:rsidR="00D9465C" w:rsidRPr="005E3FD2" w:rsidRDefault="00D9465C" w:rsidP="00DD0F28">
            <w:pPr>
              <w:spacing w:after="20"/>
              <w:rPr>
                <w:color w:val="000000"/>
                <w:sz w:val="16"/>
                <w:szCs w:val="16"/>
                <w:lang w:eastAsia="en-NZ"/>
              </w:rPr>
            </w:pPr>
          </w:p>
        </w:tc>
        <w:tc>
          <w:tcPr>
            <w:tcW w:w="1119" w:type="dxa"/>
            <w:tcBorders>
              <w:top w:val="nil"/>
              <w:left w:val="nil"/>
              <w:bottom w:val="nil"/>
              <w:right w:val="nil"/>
            </w:tcBorders>
            <w:shd w:val="clear" w:color="auto" w:fill="auto"/>
            <w:noWrap/>
            <w:hideMark/>
          </w:tcPr>
          <w:p w14:paraId="66420711"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Club</w:t>
            </w:r>
          </w:p>
        </w:tc>
        <w:tc>
          <w:tcPr>
            <w:tcW w:w="582" w:type="dxa"/>
            <w:tcBorders>
              <w:top w:val="nil"/>
              <w:left w:val="nil"/>
              <w:bottom w:val="nil"/>
              <w:right w:val="nil"/>
            </w:tcBorders>
            <w:shd w:val="clear" w:color="auto" w:fill="auto"/>
            <w:noWrap/>
          </w:tcPr>
          <w:p w14:paraId="0E160300" w14:textId="77777777" w:rsidR="00D9465C" w:rsidRPr="005E3FD2" w:rsidRDefault="00D9465C" w:rsidP="00DD0F28">
            <w:pPr>
              <w:jc w:val="right"/>
              <w:rPr>
                <w:color w:val="000000"/>
                <w:sz w:val="16"/>
                <w:szCs w:val="16"/>
              </w:rPr>
            </w:pPr>
            <w:r w:rsidRPr="005E3FD2">
              <w:rPr>
                <w:color w:val="000000"/>
                <w:sz w:val="16"/>
                <w:szCs w:val="16"/>
              </w:rPr>
              <w:t>47</w:t>
            </w:r>
          </w:p>
        </w:tc>
        <w:tc>
          <w:tcPr>
            <w:tcW w:w="1142" w:type="dxa"/>
            <w:tcBorders>
              <w:top w:val="nil"/>
              <w:left w:val="nil"/>
              <w:bottom w:val="nil"/>
              <w:right w:val="nil"/>
            </w:tcBorders>
            <w:shd w:val="clear" w:color="auto" w:fill="auto"/>
            <w:noWrap/>
          </w:tcPr>
          <w:p w14:paraId="7D7DD915" w14:textId="77777777" w:rsidR="00D9465C" w:rsidRPr="005E3FD2" w:rsidRDefault="00D9465C" w:rsidP="00DD0F28">
            <w:pPr>
              <w:jc w:val="right"/>
              <w:rPr>
                <w:color w:val="000000"/>
                <w:sz w:val="16"/>
                <w:szCs w:val="16"/>
              </w:rPr>
            </w:pPr>
            <w:r w:rsidRPr="005E3FD2">
              <w:rPr>
                <w:color w:val="000000"/>
                <w:sz w:val="16"/>
                <w:szCs w:val="16"/>
              </w:rPr>
              <w:t xml:space="preserve">11,930,858 </w:t>
            </w:r>
          </w:p>
        </w:tc>
        <w:tc>
          <w:tcPr>
            <w:tcW w:w="1268" w:type="dxa"/>
            <w:tcBorders>
              <w:top w:val="nil"/>
              <w:left w:val="nil"/>
              <w:bottom w:val="nil"/>
              <w:right w:val="single" w:sz="4" w:space="0" w:color="auto"/>
            </w:tcBorders>
            <w:shd w:val="clear" w:color="auto" w:fill="auto"/>
            <w:noWrap/>
            <w:vAlign w:val="center"/>
          </w:tcPr>
          <w:p w14:paraId="5FFE02C6" w14:textId="77777777" w:rsidR="00D9465C" w:rsidRPr="005E3FD2" w:rsidRDefault="00D9465C" w:rsidP="00DD0F28">
            <w:pPr>
              <w:jc w:val="right"/>
              <w:rPr>
                <w:color w:val="000000"/>
                <w:sz w:val="16"/>
                <w:szCs w:val="16"/>
              </w:rPr>
            </w:pPr>
            <w:r w:rsidRPr="005E3FD2">
              <w:rPr>
                <w:color w:val="000000"/>
                <w:sz w:val="16"/>
                <w:szCs w:val="16"/>
              </w:rPr>
              <w:t>($8,548,404, $15,313,312)</w:t>
            </w:r>
          </w:p>
        </w:tc>
        <w:tc>
          <w:tcPr>
            <w:tcW w:w="539" w:type="dxa"/>
            <w:tcBorders>
              <w:top w:val="nil"/>
              <w:left w:val="single" w:sz="4" w:space="0" w:color="auto"/>
              <w:bottom w:val="nil"/>
              <w:right w:val="nil"/>
            </w:tcBorders>
            <w:shd w:val="clear" w:color="auto" w:fill="auto"/>
            <w:noWrap/>
          </w:tcPr>
          <w:p w14:paraId="2EBD416B" w14:textId="77777777" w:rsidR="00D9465C" w:rsidRPr="005E3FD2" w:rsidRDefault="00D9465C" w:rsidP="00DD0F28">
            <w:pPr>
              <w:jc w:val="right"/>
              <w:rPr>
                <w:color w:val="000000"/>
                <w:sz w:val="16"/>
                <w:szCs w:val="16"/>
              </w:rPr>
            </w:pPr>
            <w:r w:rsidRPr="005E3FD2">
              <w:rPr>
                <w:color w:val="000000"/>
                <w:sz w:val="16"/>
                <w:szCs w:val="16"/>
              </w:rPr>
              <w:t>33</w:t>
            </w:r>
          </w:p>
        </w:tc>
        <w:tc>
          <w:tcPr>
            <w:tcW w:w="1139" w:type="dxa"/>
            <w:tcBorders>
              <w:top w:val="nil"/>
              <w:left w:val="nil"/>
              <w:bottom w:val="nil"/>
              <w:right w:val="nil"/>
            </w:tcBorders>
            <w:shd w:val="clear" w:color="auto" w:fill="auto"/>
            <w:noWrap/>
          </w:tcPr>
          <w:p w14:paraId="2D837765" w14:textId="77777777" w:rsidR="00D9465C" w:rsidRPr="005E3FD2" w:rsidRDefault="00D9465C" w:rsidP="00DD0F28">
            <w:pPr>
              <w:jc w:val="right"/>
              <w:rPr>
                <w:color w:val="000000"/>
                <w:sz w:val="16"/>
                <w:szCs w:val="16"/>
              </w:rPr>
            </w:pPr>
            <w:r w:rsidRPr="005E3FD2">
              <w:rPr>
                <w:color w:val="000000"/>
                <w:sz w:val="16"/>
                <w:szCs w:val="16"/>
              </w:rPr>
              <w:t xml:space="preserve">10,361,422 </w:t>
            </w:r>
          </w:p>
        </w:tc>
        <w:tc>
          <w:tcPr>
            <w:tcW w:w="1299" w:type="dxa"/>
            <w:tcBorders>
              <w:top w:val="nil"/>
              <w:left w:val="nil"/>
              <w:bottom w:val="nil"/>
              <w:right w:val="single" w:sz="4" w:space="0" w:color="auto"/>
            </w:tcBorders>
            <w:shd w:val="clear" w:color="auto" w:fill="auto"/>
            <w:noWrap/>
            <w:vAlign w:val="center"/>
          </w:tcPr>
          <w:p w14:paraId="27882925" w14:textId="77777777" w:rsidR="00D9465C" w:rsidRPr="005E3FD2" w:rsidRDefault="00D9465C" w:rsidP="00DD0F28">
            <w:pPr>
              <w:jc w:val="right"/>
              <w:rPr>
                <w:color w:val="000000"/>
                <w:sz w:val="16"/>
                <w:szCs w:val="16"/>
              </w:rPr>
            </w:pPr>
            <w:r w:rsidRPr="005E3FD2">
              <w:rPr>
                <w:color w:val="000000"/>
                <w:sz w:val="16"/>
                <w:szCs w:val="16"/>
              </w:rPr>
              <w:t>($7,598,108, $13,124,736)</w:t>
            </w:r>
          </w:p>
        </w:tc>
        <w:tc>
          <w:tcPr>
            <w:tcW w:w="539" w:type="dxa"/>
            <w:tcBorders>
              <w:top w:val="nil"/>
              <w:left w:val="single" w:sz="4" w:space="0" w:color="auto"/>
              <w:bottom w:val="nil"/>
              <w:right w:val="nil"/>
            </w:tcBorders>
            <w:shd w:val="clear" w:color="auto" w:fill="auto"/>
            <w:noWrap/>
          </w:tcPr>
          <w:p w14:paraId="2D9F46E9" w14:textId="77777777" w:rsidR="00D9465C" w:rsidRPr="005E3FD2" w:rsidRDefault="00D9465C" w:rsidP="00DD0F28">
            <w:pPr>
              <w:jc w:val="right"/>
              <w:rPr>
                <w:color w:val="000000"/>
                <w:sz w:val="16"/>
                <w:szCs w:val="16"/>
              </w:rPr>
            </w:pPr>
            <w:r w:rsidRPr="005E3FD2">
              <w:rPr>
                <w:color w:val="000000"/>
                <w:sz w:val="16"/>
                <w:szCs w:val="16"/>
              </w:rPr>
              <w:t>20</w:t>
            </w:r>
          </w:p>
        </w:tc>
        <w:tc>
          <w:tcPr>
            <w:tcW w:w="1162" w:type="dxa"/>
            <w:tcBorders>
              <w:top w:val="nil"/>
              <w:left w:val="nil"/>
              <w:bottom w:val="nil"/>
              <w:right w:val="nil"/>
            </w:tcBorders>
            <w:shd w:val="clear" w:color="auto" w:fill="auto"/>
            <w:noWrap/>
          </w:tcPr>
          <w:p w14:paraId="527023A6" w14:textId="77777777" w:rsidR="00D9465C" w:rsidRPr="005E3FD2" w:rsidRDefault="00D9465C" w:rsidP="00DD0F28">
            <w:pPr>
              <w:jc w:val="right"/>
              <w:rPr>
                <w:color w:val="000000"/>
                <w:sz w:val="16"/>
                <w:szCs w:val="16"/>
              </w:rPr>
            </w:pPr>
            <w:r w:rsidRPr="005E3FD2">
              <w:rPr>
                <w:color w:val="000000"/>
                <w:sz w:val="16"/>
                <w:szCs w:val="16"/>
              </w:rPr>
              <w:t xml:space="preserve">10,485,382 </w:t>
            </w:r>
          </w:p>
        </w:tc>
        <w:tc>
          <w:tcPr>
            <w:tcW w:w="1132" w:type="dxa"/>
            <w:tcBorders>
              <w:top w:val="nil"/>
              <w:left w:val="nil"/>
              <w:bottom w:val="nil"/>
              <w:right w:val="single" w:sz="4" w:space="0" w:color="auto"/>
            </w:tcBorders>
            <w:shd w:val="clear" w:color="auto" w:fill="auto"/>
            <w:noWrap/>
            <w:vAlign w:val="center"/>
          </w:tcPr>
          <w:p w14:paraId="33146A54" w14:textId="77777777" w:rsidR="00D9465C" w:rsidRPr="005E3FD2" w:rsidRDefault="00D9465C" w:rsidP="00DD0F28">
            <w:pPr>
              <w:jc w:val="right"/>
              <w:rPr>
                <w:color w:val="000000"/>
                <w:sz w:val="16"/>
                <w:szCs w:val="16"/>
              </w:rPr>
            </w:pPr>
            <w:r w:rsidRPr="005E3FD2">
              <w:rPr>
                <w:color w:val="000000"/>
                <w:sz w:val="16"/>
                <w:szCs w:val="16"/>
              </w:rPr>
              <w:t>(4,757,206, 16,213,559)</w:t>
            </w:r>
          </w:p>
        </w:tc>
        <w:tc>
          <w:tcPr>
            <w:tcW w:w="539" w:type="dxa"/>
            <w:tcBorders>
              <w:top w:val="nil"/>
              <w:left w:val="single" w:sz="4" w:space="0" w:color="auto"/>
              <w:bottom w:val="nil"/>
              <w:right w:val="nil"/>
            </w:tcBorders>
            <w:shd w:val="clear" w:color="auto" w:fill="auto"/>
            <w:noWrap/>
          </w:tcPr>
          <w:p w14:paraId="313FD5E2" w14:textId="77777777" w:rsidR="00D9465C" w:rsidRPr="005E3FD2" w:rsidRDefault="00D9465C" w:rsidP="00DD0F28">
            <w:pPr>
              <w:jc w:val="right"/>
              <w:rPr>
                <w:color w:val="000000"/>
                <w:sz w:val="16"/>
                <w:szCs w:val="16"/>
              </w:rPr>
            </w:pPr>
            <w:r w:rsidRPr="005E3FD2">
              <w:rPr>
                <w:color w:val="000000"/>
                <w:sz w:val="16"/>
                <w:szCs w:val="16"/>
              </w:rPr>
              <w:t>12</w:t>
            </w:r>
          </w:p>
        </w:tc>
        <w:tc>
          <w:tcPr>
            <w:tcW w:w="1164" w:type="dxa"/>
            <w:tcBorders>
              <w:top w:val="nil"/>
              <w:left w:val="nil"/>
              <w:bottom w:val="nil"/>
              <w:right w:val="nil"/>
            </w:tcBorders>
            <w:shd w:val="clear" w:color="auto" w:fill="auto"/>
            <w:noWrap/>
          </w:tcPr>
          <w:p w14:paraId="78FD0FDF" w14:textId="77777777" w:rsidR="00D9465C" w:rsidRPr="005E3FD2" w:rsidRDefault="00D9465C" w:rsidP="00DD0F28">
            <w:pPr>
              <w:jc w:val="right"/>
              <w:rPr>
                <w:color w:val="000000"/>
                <w:sz w:val="16"/>
                <w:szCs w:val="16"/>
              </w:rPr>
            </w:pPr>
            <w:r w:rsidRPr="005E3FD2">
              <w:rPr>
                <w:color w:val="000000"/>
                <w:sz w:val="16"/>
                <w:szCs w:val="16"/>
              </w:rPr>
              <w:t xml:space="preserve">11,678,309 </w:t>
            </w:r>
          </w:p>
        </w:tc>
        <w:tc>
          <w:tcPr>
            <w:tcW w:w="1308" w:type="dxa"/>
            <w:tcBorders>
              <w:top w:val="nil"/>
              <w:left w:val="nil"/>
              <w:bottom w:val="nil"/>
              <w:right w:val="nil"/>
            </w:tcBorders>
            <w:shd w:val="clear" w:color="auto" w:fill="auto"/>
            <w:noWrap/>
          </w:tcPr>
          <w:p w14:paraId="1F56D6E0" w14:textId="77777777" w:rsidR="00D9465C" w:rsidRPr="005E3FD2" w:rsidRDefault="00D9465C" w:rsidP="00DD0F28">
            <w:pPr>
              <w:jc w:val="right"/>
              <w:rPr>
                <w:color w:val="000000"/>
                <w:sz w:val="16"/>
                <w:szCs w:val="16"/>
              </w:rPr>
            </w:pPr>
            <w:r w:rsidRPr="005E3FD2">
              <w:rPr>
                <w:color w:val="000000"/>
                <w:sz w:val="16"/>
                <w:szCs w:val="16"/>
              </w:rPr>
              <w:t>!</w:t>
            </w:r>
          </w:p>
        </w:tc>
      </w:tr>
      <w:tr w:rsidR="00D9465C" w:rsidRPr="00EA483D" w14:paraId="64DF78A3" w14:textId="77777777" w:rsidTr="00DD0F28">
        <w:tc>
          <w:tcPr>
            <w:tcW w:w="992" w:type="dxa"/>
            <w:tcBorders>
              <w:top w:val="nil"/>
              <w:left w:val="nil"/>
              <w:bottom w:val="nil"/>
              <w:right w:val="nil"/>
            </w:tcBorders>
            <w:shd w:val="clear" w:color="auto" w:fill="auto"/>
            <w:noWrap/>
            <w:hideMark/>
          </w:tcPr>
          <w:p w14:paraId="3A2EF7A5" w14:textId="77777777" w:rsidR="00D9465C" w:rsidRPr="005E3FD2" w:rsidRDefault="00D9465C" w:rsidP="00DD0F28">
            <w:pPr>
              <w:spacing w:after="20"/>
              <w:rPr>
                <w:color w:val="000000"/>
                <w:sz w:val="16"/>
                <w:szCs w:val="16"/>
                <w:lang w:eastAsia="en-NZ"/>
              </w:rPr>
            </w:pPr>
          </w:p>
        </w:tc>
        <w:tc>
          <w:tcPr>
            <w:tcW w:w="1119" w:type="dxa"/>
            <w:tcBorders>
              <w:top w:val="nil"/>
              <w:left w:val="nil"/>
              <w:bottom w:val="nil"/>
              <w:right w:val="nil"/>
            </w:tcBorders>
            <w:shd w:val="clear" w:color="auto" w:fill="auto"/>
            <w:noWrap/>
            <w:hideMark/>
          </w:tcPr>
          <w:p w14:paraId="36DF40B2"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Pub + club</w:t>
            </w:r>
          </w:p>
        </w:tc>
        <w:tc>
          <w:tcPr>
            <w:tcW w:w="582" w:type="dxa"/>
            <w:tcBorders>
              <w:top w:val="nil"/>
              <w:left w:val="nil"/>
              <w:bottom w:val="nil"/>
              <w:right w:val="nil"/>
            </w:tcBorders>
            <w:shd w:val="clear" w:color="auto" w:fill="auto"/>
            <w:noWrap/>
          </w:tcPr>
          <w:p w14:paraId="2DC1B8A5" w14:textId="77777777" w:rsidR="00D9465C" w:rsidRPr="005E3FD2" w:rsidRDefault="00D9465C" w:rsidP="00DD0F28">
            <w:pPr>
              <w:jc w:val="right"/>
              <w:rPr>
                <w:color w:val="000000"/>
                <w:sz w:val="16"/>
                <w:szCs w:val="16"/>
              </w:rPr>
            </w:pPr>
            <w:r w:rsidRPr="005E3FD2">
              <w:rPr>
                <w:color w:val="000000"/>
                <w:sz w:val="16"/>
                <w:szCs w:val="16"/>
              </w:rPr>
              <w:t>117</w:t>
            </w:r>
          </w:p>
        </w:tc>
        <w:tc>
          <w:tcPr>
            <w:tcW w:w="1142" w:type="dxa"/>
            <w:tcBorders>
              <w:top w:val="nil"/>
              <w:left w:val="nil"/>
              <w:bottom w:val="nil"/>
              <w:right w:val="nil"/>
            </w:tcBorders>
            <w:shd w:val="clear" w:color="auto" w:fill="auto"/>
            <w:noWrap/>
          </w:tcPr>
          <w:p w14:paraId="7BD54C75" w14:textId="77777777" w:rsidR="00D9465C" w:rsidRPr="005E3FD2" w:rsidRDefault="00D9465C" w:rsidP="00DD0F28">
            <w:pPr>
              <w:jc w:val="right"/>
              <w:rPr>
                <w:color w:val="000000"/>
                <w:sz w:val="16"/>
                <w:szCs w:val="16"/>
              </w:rPr>
            </w:pPr>
            <w:r w:rsidRPr="005E3FD2">
              <w:rPr>
                <w:color w:val="000000"/>
                <w:sz w:val="16"/>
                <w:szCs w:val="16"/>
              </w:rPr>
              <w:t xml:space="preserve">49,818,853 </w:t>
            </w:r>
          </w:p>
        </w:tc>
        <w:tc>
          <w:tcPr>
            <w:tcW w:w="1268" w:type="dxa"/>
            <w:tcBorders>
              <w:top w:val="nil"/>
              <w:left w:val="nil"/>
              <w:bottom w:val="nil"/>
              <w:right w:val="single" w:sz="4" w:space="0" w:color="auto"/>
            </w:tcBorders>
            <w:shd w:val="clear" w:color="auto" w:fill="auto"/>
            <w:noWrap/>
            <w:vAlign w:val="center"/>
          </w:tcPr>
          <w:p w14:paraId="40E31F63" w14:textId="77777777" w:rsidR="00D9465C" w:rsidRPr="005E3FD2" w:rsidRDefault="00D9465C" w:rsidP="00DD0F28">
            <w:pPr>
              <w:jc w:val="right"/>
              <w:rPr>
                <w:color w:val="000000"/>
                <w:sz w:val="16"/>
                <w:szCs w:val="16"/>
              </w:rPr>
            </w:pPr>
            <w:r w:rsidRPr="005E3FD2">
              <w:rPr>
                <w:color w:val="000000"/>
                <w:sz w:val="16"/>
                <w:szCs w:val="16"/>
              </w:rPr>
              <w:t>($33,723,187, $65,914,520)</w:t>
            </w:r>
          </w:p>
        </w:tc>
        <w:tc>
          <w:tcPr>
            <w:tcW w:w="539" w:type="dxa"/>
            <w:tcBorders>
              <w:top w:val="nil"/>
              <w:left w:val="single" w:sz="4" w:space="0" w:color="auto"/>
              <w:bottom w:val="nil"/>
              <w:right w:val="nil"/>
            </w:tcBorders>
            <w:shd w:val="clear" w:color="auto" w:fill="auto"/>
            <w:noWrap/>
          </w:tcPr>
          <w:p w14:paraId="6437EE9B" w14:textId="77777777" w:rsidR="00D9465C" w:rsidRPr="005E3FD2" w:rsidRDefault="00D9465C" w:rsidP="00DD0F28">
            <w:pPr>
              <w:jc w:val="right"/>
              <w:rPr>
                <w:color w:val="000000"/>
                <w:sz w:val="16"/>
                <w:szCs w:val="16"/>
              </w:rPr>
            </w:pPr>
            <w:r w:rsidRPr="005E3FD2">
              <w:rPr>
                <w:color w:val="000000"/>
                <w:sz w:val="16"/>
                <w:szCs w:val="16"/>
              </w:rPr>
              <w:t>85</w:t>
            </w:r>
          </w:p>
        </w:tc>
        <w:tc>
          <w:tcPr>
            <w:tcW w:w="1139" w:type="dxa"/>
            <w:tcBorders>
              <w:top w:val="nil"/>
              <w:left w:val="nil"/>
              <w:bottom w:val="nil"/>
              <w:right w:val="nil"/>
            </w:tcBorders>
            <w:shd w:val="clear" w:color="auto" w:fill="auto"/>
            <w:noWrap/>
          </w:tcPr>
          <w:p w14:paraId="50C9A1C0" w14:textId="77777777" w:rsidR="00D9465C" w:rsidRPr="005E3FD2" w:rsidRDefault="00D9465C" w:rsidP="00DD0F28">
            <w:pPr>
              <w:jc w:val="right"/>
              <w:rPr>
                <w:color w:val="000000"/>
                <w:sz w:val="16"/>
                <w:szCs w:val="16"/>
              </w:rPr>
            </w:pPr>
            <w:r w:rsidRPr="005E3FD2">
              <w:rPr>
                <w:color w:val="000000"/>
                <w:sz w:val="16"/>
                <w:szCs w:val="16"/>
              </w:rPr>
              <w:t xml:space="preserve">45,958,346 </w:t>
            </w:r>
          </w:p>
        </w:tc>
        <w:tc>
          <w:tcPr>
            <w:tcW w:w="1299" w:type="dxa"/>
            <w:tcBorders>
              <w:top w:val="nil"/>
              <w:left w:val="nil"/>
              <w:bottom w:val="nil"/>
              <w:right w:val="single" w:sz="4" w:space="0" w:color="auto"/>
            </w:tcBorders>
            <w:shd w:val="clear" w:color="auto" w:fill="auto"/>
            <w:noWrap/>
            <w:vAlign w:val="center"/>
          </w:tcPr>
          <w:p w14:paraId="624F1CBD" w14:textId="77777777" w:rsidR="00D9465C" w:rsidRPr="005E3FD2" w:rsidRDefault="00D9465C" w:rsidP="00DD0F28">
            <w:pPr>
              <w:jc w:val="right"/>
              <w:rPr>
                <w:color w:val="000000"/>
                <w:sz w:val="16"/>
                <w:szCs w:val="16"/>
              </w:rPr>
            </w:pPr>
            <w:r w:rsidRPr="005E3FD2">
              <w:rPr>
                <w:color w:val="000000"/>
                <w:sz w:val="16"/>
                <w:szCs w:val="16"/>
              </w:rPr>
              <w:t>($34,538,710, $57,377,981)</w:t>
            </w:r>
          </w:p>
        </w:tc>
        <w:tc>
          <w:tcPr>
            <w:tcW w:w="539" w:type="dxa"/>
            <w:tcBorders>
              <w:top w:val="nil"/>
              <w:left w:val="single" w:sz="4" w:space="0" w:color="auto"/>
              <w:bottom w:val="nil"/>
              <w:right w:val="nil"/>
            </w:tcBorders>
            <w:shd w:val="clear" w:color="auto" w:fill="auto"/>
            <w:noWrap/>
          </w:tcPr>
          <w:p w14:paraId="100E5E46" w14:textId="77777777" w:rsidR="00D9465C" w:rsidRPr="005E3FD2" w:rsidRDefault="00D9465C" w:rsidP="00DD0F28">
            <w:pPr>
              <w:jc w:val="right"/>
              <w:rPr>
                <w:color w:val="000000"/>
                <w:sz w:val="16"/>
                <w:szCs w:val="16"/>
              </w:rPr>
            </w:pPr>
            <w:r w:rsidRPr="005E3FD2">
              <w:rPr>
                <w:color w:val="000000"/>
                <w:sz w:val="16"/>
                <w:szCs w:val="16"/>
              </w:rPr>
              <w:t>44</w:t>
            </w:r>
          </w:p>
        </w:tc>
        <w:tc>
          <w:tcPr>
            <w:tcW w:w="1162" w:type="dxa"/>
            <w:tcBorders>
              <w:top w:val="nil"/>
              <w:left w:val="nil"/>
              <w:bottom w:val="nil"/>
              <w:right w:val="nil"/>
            </w:tcBorders>
            <w:shd w:val="clear" w:color="auto" w:fill="auto"/>
            <w:noWrap/>
          </w:tcPr>
          <w:p w14:paraId="12434E38" w14:textId="77777777" w:rsidR="00D9465C" w:rsidRPr="005E3FD2" w:rsidRDefault="00D9465C" w:rsidP="00DD0F28">
            <w:pPr>
              <w:jc w:val="right"/>
              <w:rPr>
                <w:color w:val="000000"/>
                <w:sz w:val="16"/>
                <w:szCs w:val="16"/>
              </w:rPr>
            </w:pPr>
            <w:r w:rsidRPr="005E3FD2">
              <w:rPr>
                <w:color w:val="000000"/>
                <w:sz w:val="16"/>
                <w:szCs w:val="16"/>
              </w:rPr>
              <w:t xml:space="preserve">32,974,166 </w:t>
            </w:r>
          </w:p>
        </w:tc>
        <w:tc>
          <w:tcPr>
            <w:tcW w:w="1132" w:type="dxa"/>
            <w:tcBorders>
              <w:top w:val="nil"/>
              <w:left w:val="nil"/>
              <w:bottom w:val="nil"/>
              <w:right w:val="single" w:sz="4" w:space="0" w:color="auto"/>
            </w:tcBorders>
            <w:shd w:val="clear" w:color="auto" w:fill="auto"/>
            <w:noWrap/>
            <w:vAlign w:val="center"/>
          </w:tcPr>
          <w:p w14:paraId="3B1C62F5" w14:textId="77777777" w:rsidR="00D9465C" w:rsidRPr="005E3FD2" w:rsidRDefault="00D9465C" w:rsidP="00DD0F28">
            <w:pPr>
              <w:jc w:val="right"/>
              <w:rPr>
                <w:color w:val="000000"/>
                <w:sz w:val="16"/>
                <w:szCs w:val="16"/>
              </w:rPr>
            </w:pPr>
            <w:r w:rsidRPr="005E3FD2">
              <w:rPr>
                <w:color w:val="000000"/>
                <w:sz w:val="16"/>
                <w:szCs w:val="16"/>
              </w:rPr>
              <w:t>(20,779,505, 45,168,828)</w:t>
            </w:r>
          </w:p>
        </w:tc>
        <w:tc>
          <w:tcPr>
            <w:tcW w:w="539" w:type="dxa"/>
            <w:tcBorders>
              <w:top w:val="nil"/>
              <w:left w:val="single" w:sz="4" w:space="0" w:color="auto"/>
              <w:bottom w:val="nil"/>
              <w:right w:val="nil"/>
            </w:tcBorders>
            <w:shd w:val="clear" w:color="auto" w:fill="auto"/>
            <w:noWrap/>
          </w:tcPr>
          <w:p w14:paraId="4B0D15B6" w14:textId="77777777" w:rsidR="00D9465C" w:rsidRPr="005E3FD2" w:rsidRDefault="00D9465C" w:rsidP="00DD0F28">
            <w:pPr>
              <w:jc w:val="right"/>
              <w:rPr>
                <w:color w:val="000000"/>
                <w:sz w:val="16"/>
                <w:szCs w:val="16"/>
              </w:rPr>
            </w:pPr>
            <w:r w:rsidRPr="005E3FD2">
              <w:rPr>
                <w:color w:val="000000"/>
                <w:sz w:val="16"/>
                <w:szCs w:val="16"/>
              </w:rPr>
              <w:t>50</w:t>
            </w:r>
          </w:p>
        </w:tc>
        <w:tc>
          <w:tcPr>
            <w:tcW w:w="1164" w:type="dxa"/>
            <w:tcBorders>
              <w:top w:val="nil"/>
              <w:left w:val="nil"/>
              <w:bottom w:val="nil"/>
              <w:right w:val="nil"/>
            </w:tcBorders>
            <w:shd w:val="clear" w:color="auto" w:fill="auto"/>
            <w:noWrap/>
          </w:tcPr>
          <w:p w14:paraId="5006D69C" w14:textId="77777777" w:rsidR="00D9465C" w:rsidRPr="005E3FD2" w:rsidRDefault="00D9465C" w:rsidP="00DD0F28">
            <w:pPr>
              <w:jc w:val="right"/>
              <w:rPr>
                <w:color w:val="000000"/>
                <w:sz w:val="16"/>
                <w:szCs w:val="16"/>
              </w:rPr>
            </w:pPr>
            <w:r w:rsidRPr="005E3FD2">
              <w:rPr>
                <w:color w:val="000000"/>
                <w:sz w:val="16"/>
                <w:szCs w:val="16"/>
              </w:rPr>
              <w:t xml:space="preserve">40,686,250 </w:t>
            </w:r>
          </w:p>
        </w:tc>
        <w:tc>
          <w:tcPr>
            <w:tcW w:w="1308" w:type="dxa"/>
            <w:tcBorders>
              <w:top w:val="nil"/>
              <w:left w:val="nil"/>
              <w:bottom w:val="nil"/>
              <w:right w:val="nil"/>
            </w:tcBorders>
            <w:shd w:val="clear" w:color="auto" w:fill="auto"/>
            <w:noWrap/>
            <w:vAlign w:val="center"/>
          </w:tcPr>
          <w:p w14:paraId="3164034D" w14:textId="77777777" w:rsidR="00D9465C" w:rsidRPr="005E3FD2" w:rsidRDefault="00D9465C" w:rsidP="00DD0F28">
            <w:pPr>
              <w:jc w:val="right"/>
              <w:rPr>
                <w:color w:val="000000"/>
                <w:sz w:val="16"/>
                <w:szCs w:val="16"/>
              </w:rPr>
            </w:pPr>
            <w:r w:rsidRPr="005E3FD2">
              <w:rPr>
                <w:color w:val="000000"/>
                <w:sz w:val="16"/>
                <w:szCs w:val="16"/>
              </w:rPr>
              <w:t>(8,225,601, 73,146,899)</w:t>
            </w:r>
          </w:p>
        </w:tc>
      </w:tr>
      <w:tr w:rsidR="00D9465C" w:rsidRPr="00EA483D" w14:paraId="23D2F32A" w14:textId="77777777" w:rsidTr="00DD0F28">
        <w:tc>
          <w:tcPr>
            <w:tcW w:w="992" w:type="dxa"/>
            <w:tcBorders>
              <w:top w:val="nil"/>
              <w:left w:val="nil"/>
              <w:bottom w:val="nil"/>
              <w:right w:val="nil"/>
            </w:tcBorders>
            <w:shd w:val="clear" w:color="auto" w:fill="auto"/>
            <w:noWrap/>
            <w:hideMark/>
          </w:tcPr>
          <w:p w14:paraId="6C23F2FB" w14:textId="77777777" w:rsidR="00D9465C" w:rsidRPr="005E3FD2" w:rsidRDefault="00D9465C" w:rsidP="00DD0F28">
            <w:pPr>
              <w:spacing w:after="20"/>
              <w:rPr>
                <w:i/>
                <w:color w:val="000000"/>
                <w:sz w:val="16"/>
                <w:szCs w:val="16"/>
                <w:lang w:eastAsia="en-NZ"/>
              </w:rPr>
            </w:pPr>
          </w:p>
        </w:tc>
        <w:tc>
          <w:tcPr>
            <w:tcW w:w="1119" w:type="dxa"/>
            <w:tcBorders>
              <w:top w:val="nil"/>
              <w:left w:val="nil"/>
              <w:bottom w:val="nil"/>
              <w:right w:val="nil"/>
            </w:tcBorders>
            <w:shd w:val="clear" w:color="auto" w:fill="auto"/>
            <w:noWrap/>
            <w:hideMark/>
          </w:tcPr>
          <w:p w14:paraId="3A2D8B5C" w14:textId="77777777" w:rsidR="00D9465C" w:rsidRPr="005E3FD2" w:rsidRDefault="00D9465C" w:rsidP="00DD0F28">
            <w:pPr>
              <w:spacing w:after="20"/>
              <w:rPr>
                <w:i/>
                <w:color w:val="000000"/>
                <w:sz w:val="16"/>
                <w:szCs w:val="16"/>
                <w:lang w:eastAsia="en-NZ"/>
              </w:rPr>
            </w:pPr>
            <w:r w:rsidRPr="005E3FD2">
              <w:rPr>
                <w:i/>
                <w:color w:val="000000"/>
                <w:sz w:val="16"/>
                <w:szCs w:val="16"/>
                <w:lang w:eastAsia="en-NZ"/>
              </w:rPr>
              <w:t>Total</w:t>
            </w:r>
          </w:p>
        </w:tc>
        <w:tc>
          <w:tcPr>
            <w:tcW w:w="582" w:type="dxa"/>
            <w:tcBorders>
              <w:top w:val="nil"/>
              <w:left w:val="nil"/>
              <w:bottom w:val="nil"/>
              <w:right w:val="nil"/>
            </w:tcBorders>
            <w:shd w:val="clear" w:color="auto" w:fill="auto"/>
            <w:noWrap/>
          </w:tcPr>
          <w:p w14:paraId="00480BC9" w14:textId="77777777" w:rsidR="00D9465C" w:rsidRPr="005E3FD2" w:rsidRDefault="00D9465C" w:rsidP="00DD0F28">
            <w:pPr>
              <w:jc w:val="right"/>
              <w:rPr>
                <w:color w:val="000000"/>
                <w:sz w:val="16"/>
                <w:szCs w:val="16"/>
              </w:rPr>
            </w:pPr>
            <w:r w:rsidRPr="005E3FD2">
              <w:rPr>
                <w:color w:val="000000"/>
                <w:sz w:val="16"/>
                <w:szCs w:val="16"/>
              </w:rPr>
              <w:t>154</w:t>
            </w:r>
          </w:p>
        </w:tc>
        <w:tc>
          <w:tcPr>
            <w:tcW w:w="1142" w:type="dxa"/>
            <w:tcBorders>
              <w:top w:val="nil"/>
              <w:left w:val="nil"/>
              <w:bottom w:val="nil"/>
              <w:right w:val="nil"/>
            </w:tcBorders>
            <w:shd w:val="clear" w:color="auto" w:fill="auto"/>
            <w:noWrap/>
          </w:tcPr>
          <w:p w14:paraId="66F8DCCF" w14:textId="77777777" w:rsidR="00D9465C" w:rsidRPr="005E3FD2" w:rsidRDefault="00D9465C" w:rsidP="00DD0F28">
            <w:pPr>
              <w:jc w:val="right"/>
              <w:rPr>
                <w:color w:val="000000"/>
                <w:sz w:val="16"/>
                <w:szCs w:val="16"/>
              </w:rPr>
            </w:pPr>
            <w:r w:rsidRPr="005E3FD2">
              <w:rPr>
                <w:color w:val="000000"/>
                <w:sz w:val="16"/>
                <w:szCs w:val="16"/>
              </w:rPr>
              <w:t xml:space="preserve">85,877,647 </w:t>
            </w:r>
          </w:p>
        </w:tc>
        <w:tc>
          <w:tcPr>
            <w:tcW w:w="1268" w:type="dxa"/>
            <w:tcBorders>
              <w:top w:val="nil"/>
              <w:left w:val="nil"/>
              <w:bottom w:val="nil"/>
              <w:right w:val="single" w:sz="4" w:space="0" w:color="auto"/>
            </w:tcBorders>
            <w:shd w:val="clear" w:color="auto" w:fill="auto"/>
            <w:noWrap/>
            <w:vAlign w:val="center"/>
          </w:tcPr>
          <w:p w14:paraId="743BD347" w14:textId="77777777" w:rsidR="00D9465C" w:rsidRPr="005E3FD2" w:rsidRDefault="00D9465C" w:rsidP="00DD0F28">
            <w:pPr>
              <w:jc w:val="right"/>
              <w:rPr>
                <w:color w:val="000000"/>
                <w:sz w:val="16"/>
                <w:szCs w:val="16"/>
              </w:rPr>
            </w:pPr>
            <w:r w:rsidRPr="005E3FD2">
              <w:rPr>
                <w:color w:val="000000"/>
                <w:sz w:val="16"/>
                <w:szCs w:val="16"/>
              </w:rPr>
              <w:t>($63,057,133, $108,695,982)</w:t>
            </w:r>
          </w:p>
        </w:tc>
        <w:tc>
          <w:tcPr>
            <w:tcW w:w="539" w:type="dxa"/>
            <w:tcBorders>
              <w:top w:val="nil"/>
              <w:left w:val="single" w:sz="4" w:space="0" w:color="auto"/>
              <w:bottom w:val="nil"/>
              <w:right w:val="nil"/>
            </w:tcBorders>
            <w:shd w:val="clear" w:color="auto" w:fill="auto"/>
            <w:noWrap/>
          </w:tcPr>
          <w:p w14:paraId="36255077" w14:textId="77777777" w:rsidR="00D9465C" w:rsidRPr="005E3FD2" w:rsidRDefault="00D9465C" w:rsidP="00DD0F28">
            <w:pPr>
              <w:jc w:val="right"/>
              <w:rPr>
                <w:color w:val="000000"/>
                <w:sz w:val="16"/>
                <w:szCs w:val="16"/>
              </w:rPr>
            </w:pPr>
            <w:r w:rsidRPr="005E3FD2">
              <w:rPr>
                <w:color w:val="000000"/>
                <w:sz w:val="16"/>
                <w:szCs w:val="16"/>
              </w:rPr>
              <w:t>99</w:t>
            </w:r>
          </w:p>
        </w:tc>
        <w:tc>
          <w:tcPr>
            <w:tcW w:w="1139" w:type="dxa"/>
            <w:tcBorders>
              <w:top w:val="nil"/>
              <w:left w:val="nil"/>
              <w:bottom w:val="nil"/>
              <w:right w:val="nil"/>
            </w:tcBorders>
            <w:shd w:val="clear" w:color="auto" w:fill="auto"/>
            <w:noWrap/>
          </w:tcPr>
          <w:p w14:paraId="508CC0DE" w14:textId="77777777" w:rsidR="00D9465C" w:rsidRPr="005E3FD2" w:rsidRDefault="00D9465C" w:rsidP="00DD0F28">
            <w:pPr>
              <w:jc w:val="right"/>
              <w:rPr>
                <w:color w:val="000000"/>
                <w:sz w:val="16"/>
                <w:szCs w:val="16"/>
              </w:rPr>
            </w:pPr>
            <w:r w:rsidRPr="005E3FD2">
              <w:rPr>
                <w:color w:val="000000"/>
                <w:sz w:val="16"/>
                <w:szCs w:val="16"/>
              </w:rPr>
              <w:t xml:space="preserve">74,571,575 </w:t>
            </w:r>
          </w:p>
        </w:tc>
        <w:tc>
          <w:tcPr>
            <w:tcW w:w="1299" w:type="dxa"/>
            <w:tcBorders>
              <w:top w:val="nil"/>
              <w:left w:val="nil"/>
              <w:bottom w:val="nil"/>
              <w:right w:val="single" w:sz="4" w:space="0" w:color="auto"/>
            </w:tcBorders>
            <w:shd w:val="clear" w:color="auto" w:fill="auto"/>
            <w:noWrap/>
            <w:vAlign w:val="center"/>
          </w:tcPr>
          <w:p w14:paraId="42CFE41B" w14:textId="77777777" w:rsidR="00D9465C" w:rsidRPr="005E3FD2" w:rsidRDefault="00D9465C" w:rsidP="00DD0F28">
            <w:pPr>
              <w:jc w:val="right"/>
              <w:rPr>
                <w:color w:val="000000"/>
                <w:sz w:val="16"/>
                <w:szCs w:val="16"/>
              </w:rPr>
            </w:pPr>
            <w:r w:rsidRPr="005E3FD2">
              <w:rPr>
                <w:color w:val="000000"/>
                <w:sz w:val="16"/>
                <w:szCs w:val="16"/>
              </w:rPr>
              <w:t>($52,434,461, $96,708,690)</w:t>
            </w:r>
          </w:p>
        </w:tc>
        <w:tc>
          <w:tcPr>
            <w:tcW w:w="539" w:type="dxa"/>
            <w:tcBorders>
              <w:top w:val="nil"/>
              <w:left w:val="single" w:sz="4" w:space="0" w:color="auto"/>
              <w:bottom w:val="nil"/>
              <w:right w:val="nil"/>
            </w:tcBorders>
            <w:shd w:val="clear" w:color="auto" w:fill="auto"/>
            <w:noWrap/>
          </w:tcPr>
          <w:p w14:paraId="3C6EC962" w14:textId="77777777" w:rsidR="00D9465C" w:rsidRPr="005E3FD2" w:rsidRDefault="00D9465C" w:rsidP="00DD0F28">
            <w:pPr>
              <w:jc w:val="right"/>
              <w:rPr>
                <w:color w:val="000000"/>
                <w:sz w:val="16"/>
                <w:szCs w:val="16"/>
              </w:rPr>
            </w:pPr>
            <w:r w:rsidRPr="005E3FD2">
              <w:rPr>
                <w:color w:val="000000"/>
                <w:sz w:val="16"/>
                <w:szCs w:val="16"/>
              </w:rPr>
              <w:t>58</w:t>
            </w:r>
          </w:p>
        </w:tc>
        <w:tc>
          <w:tcPr>
            <w:tcW w:w="1162" w:type="dxa"/>
            <w:tcBorders>
              <w:top w:val="nil"/>
              <w:left w:val="nil"/>
              <w:bottom w:val="nil"/>
              <w:right w:val="nil"/>
            </w:tcBorders>
            <w:shd w:val="clear" w:color="auto" w:fill="auto"/>
            <w:noWrap/>
          </w:tcPr>
          <w:p w14:paraId="01308BD2" w14:textId="77777777" w:rsidR="00D9465C" w:rsidRPr="005E3FD2" w:rsidRDefault="00D9465C" w:rsidP="00DD0F28">
            <w:pPr>
              <w:jc w:val="right"/>
              <w:rPr>
                <w:color w:val="000000"/>
                <w:sz w:val="16"/>
                <w:szCs w:val="16"/>
              </w:rPr>
            </w:pPr>
            <w:r w:rsidRPr="005E3FD2">
              <w:rPr>
                <w:color w:val="000000"/>
                <w:sz w:val="16"/>
                <w:szCs w:val="16"/>
              </w:rPr>
              <w:t xml:space="preserve">58,304,852 </w:t>
            </w:r>
          </w:p>
        </w:tc>
        <w:tc>
          <w:tcPr>
            <w:tcW w:w="1132" w:type="dxa"/>
            <w:tcBorders>
              <w:top w:val="nil"/>
              <w:left w:val="nil"/>
              <w:bottom w:val="nil"/>
              <w:right w:val="single" w:sz="4" w:space="0" w:color="auto"/>
            </w:tcBorders>
            <w:shd w:val="clear" w:color="auto" w:fill="auto"/>
            <w:noWrap/>
            <w:vAlign w:val="center"/>
          </w:tcPr>
          <w:p w14:paraId="3E70BB40" w14:textId="77777777" w:rsidR="00D9465C" w:rsidRPr="005E3FD2" w:rsidRDefault="00D9465C" w:rsidP="00DD0F28">
            <w:pPr>
              <w:jc w:val="right"/>
              <w:rPr>
                <w:color w:val="000000"/>
                <w:sz w:val="16"/>
                <w:szCs w:val="16"/>
              </w:rPr>
            </w:pPr>
            <w:r w:rsidRPr="005E3FD2">
              <w:rPr>
                <w:color w:val="000000"/>
                <w:sz w:val="16"/>
                <w:szCs w:val="16"/>
              </w:rPr>
              <w:t>(39,494,001, 77,115,704)</w:t>
            </w:r>
          </w:p>
        </w:tc>
        <w:tc>
          <w:tcPr>
            <w:tcW w:w="539" w:type="dxa"/>
            <w:tcBorders>
              <w:top w:val="nil"/>
              <w:left w:val="single" w:sz="4" w:space="0" w:color="auto"/>
              <w:bottom w:val="nil"/>
              <w:right w:val="nil"/>
            </w:tcBorders>
            <w:shd w:val="clear" w:color="auto" w:fill="auto"/>
            <w:noWrap/>
          </w:tcPr>
          <w:p w14:paraId="05CC566E" w14:textId="77777777" w:rsidR="00D9465C" w:rsidRPr="005E3FD2" w:rsidRDefault="00D9465C" w:rsidP="00DD0F28">
            <w:pPr>
              <w:jc w:val="right"/>
              <w:rPr>
                <w:color w:val="000000"/>
                <w:sz w:val="16"/>
                <w:szCs w:val="16"/>
              </w:rPr>
            </w:pPr>
            <w:r w:rsidRPr="005E3FD2">
              <w:rPr>
                <w:color w:val="000000"/>
                <w:sz w:val="16"/>
                <w:szCs w:val="16"/>
              </w:rPr>
              <w:t>51</w:t>
            </w:r>
          </w:p>
        </w:tc>
        <w:tc>
          <w:tcPr>
            <w:tcW w:w="1164" w:type="dxa"/>
            <w:tcBorders>
              <w:top w:val="nil"/>
              <w:left w:val="nil"/>
              <w:bottom w:val="nil"/>
              <w:right w:val="nil"/>
            </w:tcBorders>
            <w:shd w:val="clear" w:color="auto" w:fill="auto"/>
            <w:noWrap/>
          </w:tcPr>
          <w:p w14:paraId="0B1C602E" w14:textId="77777777" w:rsidR="00D9465C" w:rsidRPr="005E3FD2" w:rsidRDefault="00D9465C" w:rsidP="00DD0F28">
            <w:pPr>
              <w:jc w:val="right"/>
              <w:rPr>
                <w:color w:val="000000"/>
                <w:sz w:val="16"/>
                <w:szCs w:val="16"/>
              </w:rPr>
            </w:pPr>
            <w:r w:rsidRPr="005E3FD2">
              <w:rPr>
                <w:color w:val="000000"/>
                <w:sz w:val="16"/>
                <w:szCs w:val="16"/>
              </w:rPr>
              <w:t xml:space="preserve">68,302,713 </w:t>
            </w:r>
          </w:p>
        </w:tc>
        <w:tc>
          <w:tcPr>
            <w:tcW w:w="1308" w:type="dxa"/>
            <w:tcBorders>
              <w:top w:val="nil"/>
              <w:left w:val="nil"/>
              <w:bottom w:val="nil"/>
              <w:right w:val="nil"/>
            </w:tcBorders>
            <w:shd w:val="clear" w:color="auto" w:fill="auto"/>
            <w:noWrap/>
            <w:vAlign w:val="center"/>
          </w:tcPr>
          <w:p w14:paraId="5AA26A40" w14:textId="77777777" w:rsidR="00D9465C" w:rsidRPr="005E3FD2" w:rsidRDefault="00D9465C" w:rsidP="00DD0F28">
            <w:pPr>
              <w:jc w:val="right"/>
              <w:rPr>
                <w:color w:val="000000"/>
                <w:sz w:val="16"/>
                <w:szCs w:val="16"/>
              </w:rPr>
            </w:pPr>
            <w:r w:rsidRPr="005E3FD2">
              <w:rPr>
                <w:color w:val="000000"/>
                <w:sz w:val="16"/>
                <w:szCs w:val="16"/>
              </w:rPr>
              <w:t>(18,031,769, 118,573,656)</w:t>
            </w:r>
          </w:p>
        </w:tc>
      </w:tr>
      <w:tr w:rsidR="00D9465C" w:rsidRPr="00EA483D" w14:paraId="767C3834" w14:textId="77777777" w:rsidTr="00DD0F28">
        <w:tc>
          <w:tcPr>
            <w:tcW w:w="992" w:type="dxa"/>
            <w:vMerge w:val="restart"/>
            <w:tcBorders>
              <w:top w:val="nil"/>
              <w:left w:val="nil"/>
              <w:right w:val="nil"/>
            </w:tcBorders>
            <w:shd w:val="clear" w:color="auto" w:fill="auto"/>
            <w:noWrap/>
            <w:hideMark/>
          </w:tcPr>
          <w:p w14:paraId="6EC76AE5"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Moderate-risk/</w:t>
            </w:r>
          </w:p>
          <w:p w14:paraId="735CCED2"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Problem gambler</w:t>
            </w:r>
          </w:p>
        </w:tc>
        <w:tc>
          <w:tcPr>
            <w:tcW w:w="1119" w:type="dxa"/>
            <w:tcBorders>
              <w:top w:val="nil"/>
              <w:left w:val="nil"/>
              <w:bottom w:val="nil"/>
              <w:right w:val="nil"/>
            </w:tcBorders>
            <w:shd w:val="clear" w:color="auto" w:fill="auto"/>
            <w:noWrap/>
            <w:hideMark/>
          </w:tcPr>
          <w:p w14:paraId="4A774367"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Casino</w:t>
            </w:r>
          </w:p>
        </w:tc>
        <w:tc>
          <w:tcPr>
            <w:tcW w:w="582" w:type="dxa"/>
            <w:tcBorders>
              <w:top w:val="nil"/>
              <w:left w:val="nil"/>
              <w:bottom w:val="nil"/>
              <w:right w:val="nil"/>
            </w:tcBorders>
            <w:shd w:val="clear" w:color="auto" w:fill="auto"/>
            <w:noWrap/>
          </w:tcPr>
          <w:p w14:paraId="5C619CA9" w14:textId="77777777" w:rsidR="00D9465C" w:rsidRPr="005E3FD2" w:rsidRDefault="00D9465C" w:rsidP="00DD0F28">
            <w:pPr>
              <w:jc w:val="right"/>
              <w:rPr>
                <w:color w:val="000000"/>
                <w:sz w:val="16"/>
                <w:szCs w:val="16"/>
              </w:rPr>
            </w:pPr>
            <w:r w:rsidRPr="005E3FD2">
              <w:rPr>
                <w:color w:val="000000"/>
                <w:sz w:val="16"/>
                <w:szCs w:val="16"/>
              </w:rPr>
              <w:t>60</w:t>
            </w:r>
          </w:p>
        </w:tc>
        <w:tc>
          <w:tcPr>
            <w:tcW w:w="1142" w:type="dxa"/>
            <w:tcBorders>
              <w:top w:val="nil"/>
              <w:left w:val="nil"/>
              <w:bottom w:val="nil"/>
              <w:right w:val="nil"/>
            </w:tcBorders>
            <w:shd w:val="clear" w:color="auto" w:fill="auto"/>
            <w:noWrap/>
          </w:tcPr>
          <w:p w14:paraId="27C3DBDC" w14:textId="77777777" w:rsidR="00D9465C" w:rsidRPr="005E3FD2" w:rsidRDefault="00D9465C" w:rsidP="00DD0F28">
            <w:pPr>
              <w:jc w:val="right"/>
              <w:rPr>
                <w:color w:val="000000"/>
                <w:sz w:val="16"/>
                <w:szCs w:val="16"/>
              </w:rPr>
            </w:pPr>
            <w:r w:rsidRPr="005E3FD2">
              <w:rPr>
                <w:color w:val="000000"/>
                <w:sz w:val="16"/>
                <w:szCs w:val="16"/>
              </w:rPr>
              <w:t xml:space="preserve">46,355,775 </w:t>
            </w:r>
          </w:p>
        </w:tc>
        <w:tc>
          <w:tcPr>
            <w:tcW w:w="1268" w:type="dxa"/>
            <w:tcBorders>
              <w:top w:val="nil"/>
              <w:left w:val="nil"/>
              <w:bottom w:val="nil"/>
              <w:right w:val="single" w:sz="4" w:space="0" w:color="auto"/>
            </w:tcBorders>
            <w:shd w:val="clear" w:color="auto" w:fill="auto"/>
            <w:noWrap/>
            <w:vAlign w:val="center"/>
          </w:tcPr>
          <w:p w14:paraId="1FD63FF2" w14:textId="77777777" w:rsidR="00D9465C" w:rsidRPr="005E3FD2" w:rsidRDefault="00D9465C" w:rsidP="00DD0F28">
            <w:pPr>
              <w:jc w:val="right"/>
              <w:rPr>
                <w:color w:val="000000"/>
                <w:sz w:val="16"/>
                <w:szCs w:val="16"/>
              </w:rPr>
            </w:pPr>
            <w:r w:rsidRPr="005E3FD2">
              <w:rPr>
                <w:color w:val="000000"/>
                <w:sz w:val="16"/>
                <w:szCs w:val="16"/>
              </w:rPr>
              <w:t>($33,708,371, $59,003,179)</w:t>
            </w:r>
          </w:p>
        </w:tc>
        <w:tc>
          <w:tcPr>
            <w:tcW w:w="539" w:type="dxa"/>
            <w:tcBorders>
              <w:top w:val="nil"/>
              <w:left w:val="single" w:sz="4" w:space="0" w:color="auto"/>
              <w:bottom w:val="nil"/>
              <w:right w:val="nil"/>
            </w:tcBorders>
            <w:shd w:val="clear" w:color="auto" w:fill="auto"/>
            <w:noWrap/>
          </w:tcPr>
          <w:p w14:paraId="795FE327" w14:textId="77777777" w:rsidR="00D9465C" w:rsidRPr="005E3FD2" w:rsidRDefault="00D9465C" w:rsidP="00DD0F28">
            <w:pPr>
              <w:jc w:val="right"/>
              <w:rPr>
                <w:color w:val="000000"/>
                <w:sz w:val="16"/>
                <w:szCs w:val="16"/>
              </w:rPr>
            </w:pPr>
            <w:r w:rsidRPr="005E3FD2">
              <w:rPr>
                <w:color w:val="000000"/>
                <w:sz w:val="16"/>
                <w:szCs w:val="16"/>
              </w:rPr>
              <w:t>25</w:t>
            </w:r>
          </w:p>
        </w:tc>
        <w:tc>
          <w:tcPr>
            <w:tcW w:w="1139" w:type="dxa"/>
            <w:tcBorders>
              <w:top w:val="nil"/>
              <w:left w:val="nil"/>
              <w:bottom w:val="nil"/>
              <w:right w:val="nil"/>
            </w:tcBorders>
            <w:shd w:val="clear" w:color="auto" w:fill="auto"/>
            <w:noWrap/>
          </w:tcPr>
          <w:p w14:paraId="6E9A50DE" w14:textId="77777777" w:rsidR="00D9465C" w:rsidRPr="005E3FD2" w:rsidRDefault="00D9465C" w:rsidP="00DD0F28">
            <w:pPr>
              <w:jc w:val="right"/>
              <w:rPr>
                <w:color w:val="000000"/>
                <w:sz w:val="16"/>
                <w:szCs w:val="16"/>
              </w:rPr>
            </w:pPr>
            <w:r w:rsidRPr="005E3FD2">
              <w:rPr>
                <w:color w:val="000000"/>
                <w:sz w:val="16"/>
                <w:szCs w:val="16"/>
              </w:rPr>
              <w:t xml:space="preserve">23,619,065 </w:t>
            </w:r>
          </w:p>
        </w:tc>
        <w:tc>
          <w:tcPr>
            <w:tcW w:w="1299" w:type="dxa"/>
            <w:tcBorders>
              <w:top w:val="nil"/>
              <w:left w:val="nil"/>
              <w:bottom w:val="nil"/>
              <w:right w:val="single" w:sz="4" w:space="0" w:color="auto"/>
            </w:tcBorders>
            <w:shd w:val="clear" w:color="auto" w:fill="auto"/>
            <w:noWrap/>
            <w:vAlign w:val="center"/>
          </w:tcPr>
          <w:p w14:paraId="311D3EAC" w14:textId="77777777" w:rsidR="00D9465C" w:rsidRPr="005E3FD2" w:rsidRDefault="00D9465C" w:rsidP="00DD0F28">
            <w:pPr>
              <w:jc w:val="right"/>
              <w:rPr>
                <w:color w:val="000000"/>
                <w:sz w:val="16"/>
                <w:szCs w:val="16"/>
              </w:rPr>
            </w:pPr>
            <w:r w:rsidRPr="005E3FD2">
              <w:rPr>
                <w:color w:val="000000"/>
                <w:sz w:val="16"/>
                <w:szCs w:val="16"/>
              </w:rPr>
              <w:t>($15,545,585, $31,692,546)</w:t>
            </w:r>
          </w:p>
        </w:tc>
        <w:tc>
          <w:tcPr>
            <w:tcW w:w="539" w:type="dxa"/>
            <w:tcBorders>
              <w:top w:val="nil"/>
              <w:left w:val="single" w:sz="4" w:space="0" w:color="auto"/>
              <w:bottom w:val="nil"/>
              <w:right w:val="nil"/>
            </w:tcBorders>
            <w:shd w:val="clear" w:color="auto" w:fill="auto"/>
            <w:noWrap/>
          </w:tcPr>
          <w:p w14:paraId="49FA2739" w14:textId="77777777" w:rsidR="00D9465C" w:rsidRPr="005E3FD2" w:rsidRDefault="00D9465C" w:rsidP="00DD0F28">
            <w:pPr>
              <w:jc w:val="right"/>
              <w:rPr>
                <w:color w:val="000000"/>
                <w:sz w:val="16"/>
                <w:szCs w:val="16"/>
              </w:rPr>
            </w:pPr>
            <w:r w:rsidRPr="005E3FD2">
              <w:rPr>
                <w:color w:val="000000"/>
                <w:sz w:val="16"/>
                <w:szCs w:val="16"/>
              </w:rPr>
              <w:t>12</w:t>
            </w:r>
          </w:p>
        </w:tc>
        <w:tc>
          <w:tcPr>
            <w:tcW w:w="1162" w:type="dxa"/>
            <w:tcBorders>
              <w:top w:val="nil"/>
              <w:left w:val="nil"/>
              <w:bottom w:val="nil"/>
              <w:right w:val="nil"/>
            </w:tcBorders>
            <w:shd w:val="clear" w:color="auto" w:fill="auto"/>
            <w:noWrap/>
          </w:tcPr>
          <w:p w14:paraId="1CBF8E46" w14:textId="77777777" w:rsidR="00D9465C" w:rsidRPr="005E3FD2" w:rsidRDefault="00D9465C" w:rsidP="00DD0F28">
            <w:pPr>
              <w:jc w:val="right"/>
              <w:rPr>
                <w:color w:val="000000"/>
                <w:sz w:val="16"/>
                <w:szCs w:val="16"/>
              </w:rPr>
            </w:pPr>
            <w:r w:rsidRPr="005E3FD2">
              <w:rPr>
                <w:color w:val="000000"/>
                <w:sz w:val="16"/>
                <w:szCs w:val="16"/>
              </w:rPr>
              <w:t xml:space="preserve">14,908,857 </w:t>
            </w:r>
          </w:p>
        </w:tc>
        <w:tc>
          <w:tcPr>
            <w:tcW w:w="1132" w:type="dxa"/>
            <w:tcBorders>
              <w:top w:val="nil"/>
              <w:left w:val="nil"/>
              <w:bottom w:val="nil"/>
              <w:right w:val="single" w:sz="4" w:space="0" w:color="auto"/>
            </w:tcBorders>
            <w:shd w:val="clear" w:color="auto" w:fill="auto"/>
            <w:noWrap/>
          </w:tcPr>
          <w:p w14:paraId="7BC1E1BA" w14:textId="77777777" w:rsidR="00D9465C" w:rsidRPr="005E3FD2" w:rsidRDefault="00D9465C" w:rsidP="00DD0F28">
            <w:pPr>
              <w:jc w:val="right"/>
              <w:rPr>
                <w:color w:val="000000"/>
                <w:sz w:val="16"/>
                <w:szCs w:val="16"/>
              </w:rPr>
            </w:pPr>
            <w:r w:rsidRPr="005E3FD2">
              <w:rPr>
                <w:color w:val="000000"/>
                <w:sz w:val="16"/>
                <w:szCs w:val="16"/>
              </w:rPr>
              <w:t>!</w:t>
            </w:r>
          </w:p>
        </w:tc>
        <w:tc>
          <w:tcPr>
            <w:tcW w:w="539" w:type="dxa"/>
            <w:tcBorders>
              <w:top w:val="nil"/>
              <w:left w:val="single" w:sz="4" w:space="0" w:color="auto"/>
              <w:bottom w:val="nil"/>
              <w:right w:val="nil"/>
            </w:tcBorders>
            <w:shd w:val="clear" w:color="auto" w:fill="auto"/>
            <w:noWrap/>
          </w:tcPr>
          <w:p w14:paraId="57FD95A7" w14:textId="77777777" w:rsidR="00D9465C" w:rsidRPr="005E3FD2" w:rsidRDefault="00D9465C" w:rsidP="00DD0F28">
            <w:pPr>
              <w:jc w:val="right"/>
              <w:rPr>
                <w:color w:val="000000"/>
                <w:sz w:val="16"/>
                <w:szCs w:val="16"/>
              </w:rPr>
            </w:pPr>
            <w:r w:rsidRPr="005E3FD2">
              <w:rPr>
                <w:color w:val="000000"/>
                <w:sz w:val="16"/>
                <w:szCs w:val="16"/>
              </w:rPr>
              <w:t>24</w:t>
            </w:r>
          </w:p>
        </w:tc>
        <w:tc>
          <w:tcPr>
            <w:tcW w:w="1164" w:type="dxa"/>
            <w:tcBorders>
              <w:top w:val="nil"/>
              <w:left w:val="nil"/>
              <w:bottom w:val="nil"/>
              <w:right w:val="nil"/>
            </w:tcBorders>
            <w:shd w:val="clear" w:color="auto" w:fill="auto"/>
            <w:noWrap/>
          </w:tcPr>
          <w:p w14:paraId="366315E3" w14:textId="77777777" w:rsidR="00D9465C" w:rsidRPr="005E3FD2" w:rsidRDefault="00D9465C" w:rsidP="00DD0F28">
            <w:pPr>
              <w:jc w:val="right"/>
              <w:rPr>
                <w:color w:val="000000"/>
                <w:sz w:val="16"/>
                <w:szCs w:val="16"/>
              </w:rPr>
            </w:pPr>
            <w:r w:rsidRPr="005E3FD2">
              <w:rPr>
                <w:color w:val="000000"/>
                <w:sz w:val="16"/>
                <w:szCs w:val="16"/>
              </w:rPr>
              <w:t xml:space="preserve">35,821,653 </w:t>
            </w:r>
          </w:p>
        </w:tc>
        <w:tc>
          <w:tcPr>
            <w:tcW w:w="1308" w:type="dxa"/>
            <w:tcBorders>
              <w:top w:val="nil"/>
              <w:left w:val="nil"/>
              <w:bottom w:val="nil"/>
              <w:right w:val="nil"/>
            </w:tcBorders>
            <w:shd w:val="clear" w:color="auto" w:fill="auto"/>
            <w:noWrap/>
            <w:vAlign w:val="center"/>
          </w:tcPr>
          <w:p w14:paraId="124B86BA" w14:textId="77777777" w:rsidR="00D9465C" w:rsidRPr="005E3FD2" w:rsidRDefault="00D9465C" w:rsidP="00DD0F28">
            <w:pPr>
              <w:jc w:val="right"/>
              <w:rPr>
                <w:color w:val="000000"/>
                <w:sz w:val="16"/>
                <w:szCs w:val="16"/>
              </w:rPr>
            </w:pPr>
            <w:r w:rsidRPr="005E3FD2">
              <w:rPr>
                <w:color w:val="000000"/>
                <w:sz w:val="16"/>
                <w:szCs w:val="16"/>
              </w:rPr>
              <w:t>(28,266,132, 43,377,174)</w:t>
            </w:r>
          </w:p>
        </w:tc>
      </w:tr>
      <w:tr w:rsidR="00D9465C" w:rsidRPr="00EA483D" w14:paraId="64FA8C57" w14:textId="77777777" w:rsidTr="00DD0F28">
        <w:tc>
          <w:tcPr>
            <w:tcW w:w="992" w:type="dxa"/>
            <w:vMerge/>
            <w:tcBorders>
              <w:left w:val="nil"/>
              <w:right w:val="nil"/>
            </w:tcBorders>
            <w:shd w:val="clear" w:color="auto" w:fill="auto"/>
            <w:noWrap/>
            <w:hideMark/>
          </w:tcPr>
          <w:p w14:paraId="16850A4B" w14:textId="77777777" w:rsidR="00D9465C" w:rsidRPr="005E3FD2" w:rsidRDefault="00D9465C" w:rsidP="00DD0F28">
            <w:pPr>
              <w:spacing w:after="20"/>
              <w:rPr>
                <w:color w:val="000000"/>
                <w:sz w:val="16"/>
                <w:szCs w:val="16"/>
                <w:lang w:eastAsia="en-NZ"/>
              </w:rPr>
            </w:pPr>
          </w:p>
        </w:tc>
        <w:tc>
          <w:tcPr>
            <w:tcW w:w="1119" w:type="dxa"/>
            <w:tcBorders>
              <w:top w:val="nil"/>
              <w:left w:val="nil"/>
              <w:bottom w:val="nil"/>
              <w:right w:val="nil"/>
            </w:tcBorders>
            <w:shd w:val="clear" w:color="auto" w:fill="auto"/>
            <w:noWrap/>
            <w:hideMark/>
          </w:tcPr>
          <w:p w14:paraId="08E8AC33"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Pub</w:t>
            </w:r>
          </w:p>
        </w:tc>
        <w:tc>
          <w:tcPr>
            <w:tcW w:w="582" w:type="dxa"/>
            <w:tcBorders>
              <w:top w:val="nil"/>
              <w:left w:val="nil"/>
              <w:bottom w:val="nil"/>
              <w:right w:val="nil"/>
            </w:tcBorders>
            <w:shd w:val="clear" w:color="auto" w:fill="auto"/>
            <w:noWrap/>
          </w:tcPr>
          <w:p w14:paraId="6122E8E8" w14:textId="77777777" w:rsidR="00D9465C" w:rsidRPr="005E3FD2" w:rsidRDefault="00D9465C" w:rsidP="00DD0F28">
            <w:pPr>
              <w:jc w:val="right"/>
              <w:rPr>
                <w:color w:val="000000"/>
                <w:sz w:val="16"/>
                <w:szCs w:val="16"/>
              </w:rPr>
            </w:pPr>
            <w:r w:rsidRPr="005E3FD2">
              <w:rPr>
                <w:color w:val="000000"/>
                <w:sz w:val="16"/>
                <w:szCs w:val="16"/>
              </w:rPr>
              <w:t>93</w:t>
            </w:r>
          </w:p>
        </w:tc>
        <w:tc>
          <w:tcPr>
            <w:tcW w:w="1142" w:type="dxa"/>
            <w:tcBorders>
              <w:top w:val="nil"/>
              <w:left w:val="nil"/>
              <w:bottom w:val="nil"/>
              <w:right w:val="nil"/>
            </w:tcBorders>
            <w:shd w:val="clear" w:color="auto" w:fill="auto"/>
            <w:noWrap/>
          </w:tcPr>
          <w:p w14:paraId="134DF7F5" w14:textId="77777777" w:rsidR="00D9465C" w:rsidRPr="005E3FD2" w:rsidRDefault="00D9465C" w:rsidP="00DD0F28">
            <w:pPr>
              <w:jc w:val="right"/>
              <w:rPr>
                <w:color w:val="000000"/>
                <w:sz w:val="16"/>
                <w:szCs w:val="16"/>
              </w:rPr>
            </w:pPr>
            <w:r w:rsidRPr="005E3FD2">
              <w:rPr>
                <w:color w:val="000000"/>
                <w:sz w:val="16"/>
                <w:szCs w:val="16"/>
              </w:rPr>
              <w:t xml:space="preserve">79,768,877 </w:t>
            </w:r>
          </w:p>
        </w:tc>
        <w:tc>
          <w:tcPr>
            <w:tcW w:w="1268" w:type="dxa"/>
            <w:tcBorders>
              <w:top w:val="nil"/>
              <w:left w:val="nil"/>
              <w:bottom w:val="nil"/>
              <w:right w:val="single" w:sz="4" w:space="0" w:color="auto"/>
            </w:tcBorders>
            <w:shd w:val="clear" w:color="auto" w:fill="auto"/>
            <w:noWrap/>
            <w:vAlign w:val="center"/>
          </w:tcPr>
          <w:p w14:paraId="312E2628" w14:textId="77777777" w:rsidR="00D9465C" w:rsidRPr="005E3FD2" w:rsidRDefault="00D9465C" w:rsidP="00DD0F28">
            <w:pPr>
              <w:jc w:val="right"/>
              <w:rPr>
                <w:color w:val="000000"/>
                <w:sz w:val="16"/>
                <w:szCs w:val="16"/>
              </w:rPr>
            </w:pPr>
            <w:r w:rsidRPr="005E3FD2">
              <w:rPr>
                <w:color w:val="000000"/>
                <w:sz w:val="16"/>
                <w:szCs w:val="16"/>
              </w:rPr>
              <w:t>($41,124,381, $118,413,907)</w:t>
            </w:r>
          </w:p>
        </w:tc>
        <w:tc>
          <w:tcPr>
            <w:tcW w:w="539" w:type="dxa"/>
            <w:tcBorders>
              <w:top w:val="nil"/>
              <w:left w:val="single" w:sz="4" w:space="0" w:color="auto"/>
              <w:bottom w:val="nil"/>
              <w:right w:val="nil"/>
            </w:tcBorders>
            <w:shd w:val="clear" w:color="auto" w:fill="auto"/>
            <w:noWrap/>
          </w:tcPr>
          <w:p w14:paraId="527A9031" w14:textId="77777777" w:rsidR="00D9465C" w:rsidRPr="005E3FD2" w:rsidRDefault="00D9465C" w:rsidP="00DD0F28">
            <w:pPr>
              <w:jc w:val="right"/>
              <w:rPr>
                <w:color w:val="000000"/>
                <w:sz w:val="16"/>
                <w:szCs w:val="16"/>
              </w:rPr>
            </w:pPr>
            <w:r w:rsidRPr="005E3FD2">
              <w:rPr>
                <w:color w:val="000000"/>
                <w:sz w:val="16"/>
                <w:szCs w:val="16"/>
              </w:rPr>
              <w:t>36</w:t>
            </w:r>
          </w:p>
        </w:tc>
        <w:tc>
          <w:tcPr>
            <w:tcW w:w="1139" w:type="dxa"/>
            <w:tcBorders>
              <w:top w:val="nil"/>
              <w:left w:val="nil"/>
              <w:bottom w:val="nil"/>
              <w:right w:val="nil"/>
            </w:tcBorders>
            <w:shd w:val="clear" w:color="auto" w:fill="auto"/>
            <w:noWrap/>
          </w:tcPr>
          <w:p w14:paraId="42FA8277" w14:textId="77777777" w:rsidR="00D9465C" w:rsidRPr="005E3FD2" w:rsidRDefault="00D9465C" w:rsidP="00DD0F28">
            <w:pPr>
              <w:jc w:val="right"/>
              <w:rPr>
                <w:color w:val="000000"/>
                <w:sz w:val="16"/>
                <w:szCs w:val="16"/>
              </w:rPr>
            </w:pPr>
            <w:r w:rsidRPr="005E3FD2">
              <w:rPr>
                <w:color w:val="000000"/>
                <w:sz w:val="16"/>
                <w:szCs w:val="16"/>
              </w:rPr>
              <w:t xml:space="preserve">50,230,453 </w:t>
            </w:r>
          </w:p>
        </w:tc>
        <w:tc>
          <w:tcPr>
            <w:tcW w:w="1299" w:type="dxa"/>
            <w:tcBorders>
              <w:top w:val="nil"/>
              <w:left w:val="nil"/>
              <w:bottom w:val="nil"/>
              <w:right w:val="single" w:sz="4" w:space="0" w:color="auto"/>
            </w:tcBorders>
            <w:shd w:val="clear" w:color="auto" w:fill="auto"/>
            <w:noWrap/>
            <w:vAlign w:val="center"/>
          </w:tcPr>
          <w:p w14:paraId="1F6BE0D4" w14:textId="77777777" w:rsidR="00D9465C" w:rsidRPr="005E3FD2" w:rsidRDefault="00D9465C" w:rsidP="00DD0F28">
            <w:pPr>
              <w:jc w:val="right"/>
              <w:rPr>
                <w:color w:val="000000"/>
                <w:sz w:val="16"/>
                <w:szCs w:val="16"/>
              </w:rPr>
            </w:pPr>
            <w:r w:rsidRPr="005E3FD2">
              <w:rPr>
                <w:color w:val="000000"/>
                <w:sz w:val="16"/>
                <w:szCs w:val="16"/>
              </w:rPr>
              <w:t>($26,607,162, $73,853,744)</w:t>
            </w:r>
          </w:p>
        </w:tc>
        <w:tc>
          <w:tcPr>
            <w:tcW w:w="539" w:type="dxa"/>
            <w:tcBorders>
              <w:top w:val="nil"/>
              <w:left w:val="single" w:sz="4" w:space="0" w:color="auto"/>
              <w:bottom w:val="nil"/>
              <w:right w:val="nil"/>
            </w:tcBorders>
            <w:shd w:val="clear" w:color="auto" w:fill="auto"/>
            <w:noWrap/>
          </w:tcPr>
          <w:p w14:paraId="089CF771" w14:textId="77777777" w:rsidR="00D9465C" w:rsidRPr="005E3FD2" w:rsidRDefault="00D9465C" w:rsidP="00DD0F28">
            <w:pPr>
              <w:jc w:val="right"/>
              <w:rPr>
                <w:color w:val="000000"/>
                <w:sz w:val="16"/>
                <w:szCs w:val="16"/>
              </w:rPr>
            </w:pPr>
            <w:r w:rsidRPr="005E3FD2">
              <w:rPr>
                <w:color w:val="000000"/>
                <w:sz w:val="16"/>
                <w:szCs w:val="16"/>
              </w:rPr>
              <w:t>28</w:t>
            </w:r>
          </w:p>
        </w:tc>
        <w:tc>
          <w:tcPr>
            <w:tcW w:w="1162" w:type="dxa"/>
            <w:tcBorders>
              <w:top w:val="nil"/>
              <w:left w:val="nil"/>
              <w:bottom w:val="nil"/>
              <w:right w:val="nil"/>
            </w:tcBorders>
            <w:shd w:val="clear" w:color="auto" w:fill="auto"/>
            <w:noWrap/>
          </w:tcPr>
          <w:p w14:paraId="08CD560A" w14:textId="77777777" w:rsidR="00D9465C" w:rsidRPr="005E3FD2" w:rsidRDefault="00D9465C" w:rsidP="00DD0F28">
            <w:pPr>
              <w:jc w:val="right"/>
              <w:rPr>
                <w:color w:val="000000"/>
                <w:sz w:val="16"/>
                <w:szCs w:val="16"/>
              </w:rPr>
            </w:pPr>
            <w:r w:rsidRPr="005E3FD2">
              <w:rPr>
                <w:color w:val="000000"/>
                <w:sz w:val="16"/>
                <w:szCs w:val="16"/>
              </w:rPr>
              <w:t xml:space="preserve">26,346,610 </w:t>
            </w:r>
          </w:p>
        </w:tc>
        <w:tc>
          <w:tcPr>
            <w:tcW w:w="1132" w:type="dxa"/>
            <w:tcBorders>
              <w:top w:val="nil"/>
              <w:left w:val="nil"/>
              <w:bottom w:val="nil"/>
              <w:right w:val="single" w:sz="4" w:space="0" w:color="auto"/>
            </w:tcBorders>
            <w:shd w:val="clear" w:color="auto" w:fill="auto"/>
            <w:noWrap/>
            <w:vAlign w:val="center"/>
          </w:tcPr>
          <w:p w14:paraId="486A62A6" w14:textId="77777777" w:rsidR="00D9465C" w:rsidRPr="005E3FD2" w:rsidRDefault="00D9465C" w:rsidP="00DD0F28">
            <w:pPr>
              <w:jc w:val="right"/>
              <w:rPr>
                <w:color w:val="000000"/>
                <w:sz w:val="16"/>
                <w:szCs w:val="16"/>
              </w:rPr>
            </w:pPr>
            <w:r w:rsidRPr="005E3FD2">
              <w:rPr>
                <w:color w:val="000000"/>
                <w:sz w:val="16"/>
                <w:szCs w:val="16"/>
              </w:rPr>
              <w:t>(20,313,732, 32,379,487)</w:t>
            </w:r>
          </w:p>
        </w:tc>
        <w:tc>
          <w:tcPr>
            <w:tcW w:w="539" w:type="dxa"/>
            <w:tcBorders>
              <w:top w:val="nil"/>
              <w:left w:val="single" w:sz="4" w:space="0" w:color="auto"/>
              <w:bottom w:val="nil"/>
              <w:right w:val="nil"/>
            </w:tcBorders>
            <w:shd w:val="clear" w:color="auto" w:fill="auto"/>
            <w:noWrap/>
          </w:tcPr>
          <w:p w14:paraId="345749CE" w14:textId="77777777" w:rsidR="00D9465C" w:rsidRPr="005E3FD2" w:rsidRDefault="00D9465C" w:rsidP="00DD0F28">
            <w:pPr>
              <w:jc w:val="right"/>
              <w:rPr>
                <w:color w:val="000000"/>
                <w:sz w:val="16"/>
                <w:szCs w:val="16"/>
              </w:rPr>
            </w:pPr>
            <w:r w:rsidRPr="005E3FD2">
              <w:rPr>
                <w:color w:val="000000"/>
                <w:sz w:val="16"/>
                <w:szCs w:val="16"/>
              </w:rPr>
              <w:t>20</w:t>
            </w:r>
          </w:p>
        </w:tc>
        <w:tc>
          <w:tcPr>
            <w:tcW w:w="1164" w:type="dxa"/>
            <w:tcBorders>
              <w:top w:val="nil"/>
              <w:left w:val="nil"/>
              <w:bottom w:val="nil"/>
              <w:right w:val="nil"/>
            </w:tcBorders>
            <w:shd w:val="clear" w:color="auto" w:fill="auto"/>
            <w:noWrap/>
          </w:tcPr>
          <w:p w14:paraId="13B732F7" w14:textId="77777777" w:rsidR="00D9465C" w:rsidRPr="005E3FD2" w:rsidRDefault="00D9465C" w:rsidP="00DD0F28">
            <w:pPr>
              <w:jc w:val="right"/>
              <w:rPr>
                <w:color w:val="000000"/>
                <w:sz w:val="16"/>
                <w:szCs w:val="16"/>
              </w:rPr>
            </w:pPr>
            <w:r w:rsidRPr="005E3FD2">
              <w:rPr>
                <w:color w:val="000000"/>
                <w:sz w:val="16"/>
                <w:szCs w:val="16"/>
              </w:rPr>
              <w:t xml:space="preserve">26,640,283 </w:t>
            </w:r>
          </w:p>
        </w:tc>
        <w:tc>
          <w:tcPr>
            <w:tcW w:w="1308" w:type="dxa"/>
            <w:tcBorders>
              <w:top w:val="nil"/>
              <w:left w:val="nil"/>
              <w:bottom w:val="nil"/>
              <w:right w:val="nil"/>
            </w:tcBorders>
            <w:shd w:val="clear" w:color="auto" w:fill="auto"/>
            <w:noWrap/>
            <w:vAlign w:val="center"/>
          </w:tcPr>
          <w:p w14:paraId="762ADA03" w14:textId="77777777" w:rsidR="00D9465C" w:rsidRPr="005E3FD2" w:rsidRDefault="00D9465C" w:rsidP="00DD0F28">
            <w:pPr>
              <w:jc w:val="right"/>
              <w:rPr>
                <w:color w:val="000000"/>
                <w:sz w:val="16"/>
                <w:szCs w:val="16"/>
              </w:rPr>
            </w:pPr>
            <w:r w:rsidRPr="005E3FD2">
              <w:rPr>
                <w:color w:val="000000"/>
                <w:sz w:val="16"/>
                <w:szCs w:val="16"/>
              </w:rPr>
              <w:t>(13,823,771, 39,456,796)</w:t>
            </w:r>
          </w:p>
        </w:tc>
      </w:tr>
      <w:tr w:rsidR="00D9465C" w:rsidRPr="00EA483D" w14:paraId="3F2569CB" w14:textId="77777777" w:rsidTr="00DD0F28">
        <w:tc>
          <w:tcPr>
            <w:tcW w:w="992" w:type="dxa"/>
            <w:vMerge/>
            <w:tcBorders>
              <w:left w:val="nil"/>
              <w:bottom w:val="nil"/>
              <w:right w:val="nil"/>
            </w:tcBorders>
            <w:shd w:val="clear" w:color="auto" w:fill="auto"/>
            <w:noWrap/>
            <w:hideMark/>
          </w:tcPr>
          <w:p w14:paraId="7AE6CB21" w14:textId="77777777" w:rsidR="00D9465C" w:rsidRPr="005E3FD2" w:rsidRDefault="00D9465C" w:rsidP="00DD0F28">
            <w:pPr>
              <w:spacing w:after="20"/>
              <w:rPr>
                <w:color w:val="000000"/>
                <w:sz w:val="16"/>
                <w:szCs w:val="16"/>
                <w:lang w:eastAsia="en-NZ"/>
              </w:rPr>
            </w:pPr>
          </w:p>
        </w:tc>
        <w:tc>
          <w:tcPr>
            <w:tcW w:w="1119" w:type="dxa"/>
            <w:tcBorders>
              <w:top w:val="nil"/>
              <w:left w:val="nil"/>
              <w:bottom w:val="nil"/>
              <w:right w:val="nil"/>
            </w:tcBorders>
            <w:shd w:val="clear" w:color="auto" w:fill="auto"/>
            <w:noWrap/>
            <w:hideMark/>
          </w:tcPr>
          <w:p w14:paraId="030BB5EA"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Club</w:t>
            </w:r>
          </w:p>
        </w:tc>
        <w:tc>
          <w:tcPr>
            <w:tcW w:w="582" w:type="dxa"/>
            <w:tcBorders>
              <w:top w:val="nil"/>
              <w:left w:val="nil"/>
              <w:bottom w:val="nil"/>
              <w:right w:val="nil"/>
            </w:tcBorders>
            <w:shd w:val="clear" w:color="auto" w:fill="auto"/>
            <w:noWrap/>
          </w:tcPr>
          <w:p w14:paraId="734E8E79" w14:textId="77777777" w:rsidR="00D9465C" w:rsidRPr="005E3FD2" w:rsidRDefault="00D9465C" w:rsidP="00DD0F28">
            <w:pPr>
              <w:jc w:val="right"/>
              <w:rPr>
                <w:color w:val="000000"/>
                <w:sz w:val="16"/>
                <w:szCs w:val="16"/>
              </w:rPr>
            </w:pPr>
            <w:r w:rsidRPr="005E3FD2">
              <w:rPr>
                <w:color w:val="000000"/>
                <w:sz w:val="16"/>
                <w:szCs w:val="16"/>
              </w:rPr>
              <w:t>35</w:t>
            </w:r>
          </w:p>
        </w:tc>
        <w:tc>
          <w:tcPr>
            <w:tcW w:w="1142" w:type="dxa"/>
            <w:tcBorders>
              <w:top w:val="nil"/>
              <w:left w:val="nil"/>
              <w:bottom w:val="nil"/>
              <w:right w:val="nil"/>
            </w:tcBorders>
            <w:shd w:val="clear" w:color="auto" w:fill="auto"/>
            <w:noWrap/>
          </w:tcPr>
          <w:p w14:paraId="27BCA834" w14:textId="77777777" w:rsidR="00D9465C" w:rsidRPr="005E3FD2" w:rsidRDefault="00D9465C" w:rsidP="00DD0F28">
            <w:pPr>
              <w:jc w:val="right"/>
              <w:rPr>
                <w:color w:val="000000"/>
                <w:sz w:val="16"/>
                <w:szCs w:val="16"/>
              </w:rPr>
            </w:pPr>
            <w:r w:rsidRPr="005E3FD2">
              <w:rPr>
                <w:color w:val="000000"/>
                <w:sz w:val="16"/>
                <w:szCs w:val="16"/>
              </w:rPr>
              <w:t xml:space="preserve">31,726,491 </w:t>
            </w:r>
          </w:p>
        </w:tc>
        <w:tc>
          <w:tcPr>
            <w:tcW w:w="1268" w:type="dxa"/>
            <w:tcBorders>
              <w:top w:val="nil"/>
              <w:left w:val="nil"/>
              <w:bottom w:val="nil"/>
              <w:right w:val="single" w:sz="4" w:space="0" w:color="auto"/>
            </w:tcBorders>
            <w:shd w:val="clear" w:color="auto" w:fill="auto"/>
            <w:noWrap/>
            <w:vAlign w:val="center"/>
          </w:tcPr>
          <w:p w14:paraId="0B8DA132" w14:textId="77777777" w:rsidR="00D9465C" w:rsidRPr="005E3FD2" w:rsidRDefault="00D9465C" w:rsidP="00DD0F28">
            <w:pPr>
              <w:jc w:val="right"/>
              <w:rPr>
                <w:color w:val="000000"/>
                <w:sz w:val="16"/>
                <w:szCs w:val="16"/>
              </w:rPr>
            </w:pPr>
            <w:r w:rsidRPr="005E3FD2">
              <w:rPr>
                <w:color w:val="000000"/>
                <w:sz w:val="16"/>
                <w:szCs w:val="16"/>
              </w:rPr>
              <w:t>($2,911,477, $60,541,505)</w:t>
            </w:r>
          </w:p>
        </w:tc>
        <w:tc>
          <w:tcPr>
            <w:tcW w:w="539" w:type="dxa"/>
            <w:tcBorders>
              <w:top w:val="nil"/>
              <w:left w:val="single" w:sz="4" w:space="0" w:color="auto"/>
              <w:bottom w:val="nil"/>
              <w:right w:val="nil"/>
            </w:tcBorders>
            <w:shd w:val="clear" w:color="auto" w:fill="auto"/>
            <w:noWrap/>
          </w:tcPr>
          <w:p w14:paraId="536DA785" w14:textId="77777777" w:rsidR="00D9465C" w:rsidRPr="005E3FD2" w:rsidRDefault="00D9465C" w:rsidP="00DD0F28">
            <w:pPr>
              <w:jc w:val="right"/>
              <w:rPr>
                <w:color w:val="000000"/>
                <w:sz w:val="16"/>
                <w:szCs w:val="16"/>
              </w:rPr>
            </w:pPr>
            <w:r w:rsidRPr="005E3FD2">
              <w:rPr>
                <w:color w:val="000000"/>
                <w:sz w:val="16"/>
                <w:szCs w:val="16"/>
              </w:rPr>
              <w:t>16</w:t>
            </w:r>
          </w:p>
        </w:tc>
        <w:tc>
          <w:tcPr>
            <w:tcW w:w="1139" w:type="dxa"/>
            <w:tcBorders>
              <w:top w:val="nil"/>
              <w:left w:val="nil"/>
              <w:bottom w:val="nil"/>
              <w:right w:val="nil"/>
            </w:tcBorders>
            <w:shd w:val="clear" w:color="auto" w:fill="auto"/>
            <w:noWrap/>
          </w:tcPr>
          <w:p w14:paraId="30C0878A" w14:textId="77777777" w:rsidR="00D9465C" w:rsidRPr="005E3FD2" w:rsidRDefault="00D9465C" w:rsidP="00DD0F28">
            <w:pPr>
              <w:jc w:val="right"/>
              <w:rPr>
                <w:color w:val="000000"/>
                <w:sz w:val="16"/>
                <w:szCs w:val="16"/>
              </w:rPr>
            </w:pPr>
            <w:r w:rsidRPr="005E3FD2">
              <w:rPr>
                <w:color w:val="000000"/>
                <w:sz w:val="16"/>
                <w:szCs w:val="16"/>
              </w:rPr>
              <w:t xml:space="preserve">15,449,984 </w:t>
            </w:r>
          </w:p>
        </w:tc>
        <w:tc>
          <w:tcPr>
            <w:tcW w:w="1299" w:type="dxa"/>
            <w:tcBorders>
              <w:top w:val="nil"/>
              <w:left w:val="nil"/>
              <w:bottom w:val="nil"/>
              <w:right w:val="single" w:sz="4" w:space="0" w:color="auto"/>
            </w:tcBorders>
            <w:shd w:val="clear" w:color="auto" w:fill="auto"/>
            <w:noWrap/>
            <w:vAlign w:val="center"/>
          </w:tcPr>
          <w:p w14:paraId="651C7406" w14:textId="77777777" w:rsidR="00D9465C" w:rsidRPr="005E3FD2" w:rsidRDefault="00D9465C" w:rsidP="00DD0F28">
            <w:pPr>
              <w:jc w:val="right"/>
              <w:rPr>
                <w:color w:val="000000"/>
                <w:sz w:val="16"/>
                <w:szCs w:val="16"/>
              </w:rPr>
            </w:pPr>
            <w:r w:rsidRPr="005E3FD2">
              <w:rPr>
                <w:color w:val="000000"/>
                <w:sz w:val="16"/>
                <w:szCs w:val="16"/>
              </w:rPr>
              <w:t>($13,078,294, $17,821,673)</w:t>
            </w:r>
          </w:p>
        </w:tc>
        <w:tc>
          <w:tcPr>
            <w:tcW w:w="539" w:type="dxa"/>
            <w:tcBorders>
              <w:top w:val="nil"/>
              <w:left w:val="single" w:sz="4" w:space="0" w:color="auto"/>
              <w:bottom w:val="nil"/>
              <w:right w:val="nil"/>
            </w:tcBorders>
            <w:shd w:val="clear" w:color="auto" w:fill="auto"/>
            <w:noWrap/>
          </w:tcPr>
          <w:p w14:paraId="0F9C018B" w14:textId="77777777" w:rsidR="00D9465C" w:rsidRPr="005E3FD2" w:rsidRDefault="00D9465C" w:rsidP="00DD0F28">
            <w:pPr>
              <w:jc w:val="right"/>
              <w:rPr>
                <w:color w:val="000000"/>
                <w:sz w:val="16"/>
                <w:szCs w:val="16"/>
              </w:rPr>
            </w:pPr>
            <w:r w:rsidRPr="005E3FD2">
              <w:rPr>
                <w:color w:val="000000"/>
                <w:sz w:val="16"/>
                <w:szCs w:val="16"/>
              </w:rPr>
              <w:t>10</w:t>
            </w:r>
          </w:p>
        </w:tc>
        <w:tc>
          <w:tcPr>
            <w:tcW w:w="1162" w:type="dxa"/>
            <w:tcBorders>
              <w:top w:val="nil"/>
              <w:left w:val="nil"/>
              <w:bottom w:val="nil"/>
              <w:right w:val="nil"/>
            </w:tcBorders>
            <w:shd w:val="clear" w:color="auto" w:fill="auto"/>
            <w:noWrap/>
          </w:tcPr>
          <w:p w14:paraId="6EF3F288" w14:textId="77777777" w:rsidR="00D9465C" w:rsidRPr="005E3FD2" w:rsidRDefault="00D9465C" w:rsidP="00DD0F28">
            <w:pPr>
              <w:jc w:val="right"/>
              <w:rPr>
                <w:color w:val="000000"/>
                <w:sz w:val="16"/>
                <w:szCs w:val="16"/>
              </w:rPr>
            </w:pPr>
            <w:r w:rsidRPr="005E3FD2">
              <w:rPr>
                <w:color w:val="000000"/>
                <w:sz w:val="16"/>
                <w:szCs w:val="16"/>
              </w:rPr>
              <w:t xml:space="preserve">11,180,516 </w:t>
            </w:r>
          </w:p>
        </w:tc>
        <w:tc>
          <w:tcPr>
            <w:tcW w:w="1132" w:type="dxa"/>
            <w:tcBorders>
              <w:top w:val="nil"/>
              <w:left w:val="nil"/>
              <w:bottom w:val="nil"/>
              <w:right w:val="single" w:sz="4" w:space="0" w:color="auto"/>
            </w:tcBorders>
            <w:shd w:val="clear" w:color="auto" w:fill="auto"/>
            <w:noWrap/>
          </w:tcPr>
          <w:p w14:paraId="1FAC3EB9" w14:textId="77777777" w:rsidR="00D9465C" w:rsidRPr="005E3FD2" w:rsidRDefault="00D9465C" w:rsidP="00DD0F28">
            <w:pPr>
              <w:jc w:val="right"/>
              <w:rPr>
                <w:color w:val="000000"/>
                <w:sz w:val="16"/>
                <w:szCs w:val="16"/>
              </w:rPr>
            </w:pPr>
            <w:r w:rsidRPr="005E3FD2">
              <w:rPr>
                <w:color w:val="000000"/>
                <w:sz w:val="16"/>
                <w:szCs w:val="16"/>
              </w:rPr>
              <w:t>!</w:t>
            </w:r>
          </w:p>
        </w:tc>
        <w:tc>
          <w:tcPr>
            <w:tcW w:w="539" w:type="dxa"/>
            <w:tcBorders>
              <w:top w:val="nil"/>
              <w:left w:val="single" w:sz="4" w:space="0" w:color="auto"/>
              <w:bottom w:val="nil"/>
              <w:right w:val="nil"/>
            </w:tcBorders>
            <w:shd w:val="clear" w:color="auto" w:fill="auto"/>
            <w:noWrap/>
          </w:tcPr>
          <w:p w14:paraId="2DEF07AA" w14:textId="77777777" w:rsidR="00D9465C" w:rsidRPr="005E3FD2" w:rsidRDefault="00D9465C" w:rsidP="00DD0F28">
            <w:pPr>
              <w:jc w:val="right"/>
              <w:rPr>
                <w:color w:val="000000"/>
                <w:sz w:val="16"/>
                <w:szCs w:val="16"/>
              </w:rPr>
            </w:pPr>
            <w:r w:rsidRPr="005E3FD2">
              <w:rPr>
                <w:color w:val="000000"/>
                <w:sz w:val="16"/>
                <w:szCs w:val="16"/>
              </w:rPr>
              <w:t>11</w:t>
            </w:r>
          </w:p>
        </w:tc>
        <w:tc>
          <w:tcPr>
            <w:tcW w:w="1164" w:type="dxa"/>
            <w:tcBorders>
              <w:top w:val="nil"/>
              <w:left w:val="nil"/>
              <w:bottom w:val="nil"/>
              <w:right w:val="nil"/>
            </w:tcBorders>
            <w:shd w:val="clear" w:color="auto" w:fill="auto"/>
            <w:noWrap/>
          </w:tcPr>
          <w:p w14:paraId="4605D109" w14:textId="77777777" w:rsidR="00D9465C" w:rsidRPr="005E3FD2" w:rsidRDefault="00D9465C" w:rsidP="00DD0F28">
            <w:pPr>
              <w:jc w:val="right"/>
              <w:rPr>
                <w:color w:val="000000"/>
                <w:sz w:val="16"/>
                <w:szCs w:val="16"/>
              </w:rPr>
            </w:pPr>
            <w:r w:rsidRPr="005E3FD2">
              <w:rPr>
                <w:color w:val="000000"/>
                <w:sz w:val="16"/>
                <w:szCs w:val="16"/>
              </w:rPr>
              <w:t xml:space="preserve">17,847,241 </w:t>
            </w:r>
          </w:p>
        </w:tc>
        <w:tc>
          <w:tcPr>
            <w:tcW w:w="1308" w:type="dxa"/>
            <w:tcBorders>
              <w:top w:val="nil"/>
              <w:left w:val="nil"/>
              <w:bottom w:val="nil"/>
              <w:right w:val="nil"/>
            </w:tcBorders>
            <w:shd w:val="clear" w:color="auto" w:fill="auto"/>
            <w:noWrap/>
          </w:tcPr>
          <w:p w14:paraId="68311CA9" w14:textId="77777777" w:rsidR="00D9465C" w:rsidRPr="005E3FD2" w:rsidRDefault="00D9465C" w:rsidP="00DD0F28">
            <w:pPr>
              <w:jc w:val="right"/>
              <w:rPr>
                <w:color w:val="000000"/>
                <w:sz w:val="16"/>
                <w:szCs w:val="16"/>
              </w:rPr>
            </w:pPr>
            <w:r w:rsidRPr="005E3FD2">
              <w:rPr>
                <w:color w:val="000000"/>
                <w:sz w:val="16"/>
                <w:szCs w:val="16"/>
              </w:rPr>
              <w:t>!</w:t>
            </w:r>
          </w:p>
        </w:tc>
      </w:tr>
      <w:tr w:rsidR="00D9465C" w:rsidRPr="00EA483D" w14:paraId="33034D75" w14:textId="77777777" w:rsidTr="00DD0F28">
        <w:tc>
          <w:tcPr>
            <w:tcW w:w="992" w:type="dxa"/>
            <w:tcBorders>
              <w:top w:val="nil"/>
              <w:left w:val="nil"/>
              <w:right w:val="nil"/>
            </w:tcBorders>
            <w:shd w:val="clear" w:color="auto" w:fill="auto"/>
            <w:noWrap/>
            <w:hideMark/>
          </w:tcPr>
          <w:p w14:paraId="195867E4" w14:textId="77777777" w:rsidR="00D9465C" w:rsidRPr="005E3FD2" w:rsidRDefault="00D9465C" w:rsidP="00DD0F28">
            <w:pPr>
              <w:spacing w:after="20"/>
              <w:rPr>
                <w:color w:val="000000"/>
                <w:sz w:val="16"/>
                <w:szCs w:val="16"/>
                <w:lang w:eastAsia="en-NZ"/>
              </w:rPr>
            </w:pPr>
          </w:p>
        </w:tc>
        <w:tc>
          <w:tcPr>
            <w:tcW w:w="1119" w:type="dxa"/>
            <w:tcBorders>
              <w:top w:val="nil"/>
              <w:left w:val="nil"/>
              <w:right w:val="nil"/>
            </w:tcBorders>
            <w:shd w:val="clear" w:color="auto" w:fill="auto"/>
            <w:noWrap/>
            <w:hideMark/>
          </w:tcPr>
          <w:p w14:paraId="6F9652D1"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Pub + club</w:t>
            </w:r>
          </w:p>
        </w:tc>
        <w:tc>
          <w:tcPr>
            <w:tcW w:w="582" w:type="dxa"/>
            <w:tcBorders>
              <w:top w:val="nil"/>
              <w:left w:val="nil"/>
              <w:right w:val="nil"/>
            </w:tcBorders>
            <w:shd w:val="clear" w:color="auto" w:fill="auto"/>
            <w:noWrap/>
          </w:tcPr>
          <w:p w14:paraId="74F41695" w14:textId="77777777" w:rsidR="00D9465C" w:rsidRPr="005E3FD2" w:rsidRDefault="00D9465C" w:rsidP="00DD0F28">
            <w:pPr>
              <w:jc w:val="right"/>
              <w:rPr>
                <w:color w:val="000000"/>
                <w:sz w:val="16"/>
                <w:szCs w:val="16"/>
              </w:rPr>
            </w:pPr>
            <w:r w:rsidRPr="005E3FD2">
              <w:rPr>
                <w:color w:val="000000"/>
                <w:sz w:val="16"/>
                <w:szCs w:val="16"/>
              </w:rPr>
              <w:t>98</w:t>
            </w:r>
          </w:p>
        </w:tc>
        <w:tc>
          <w:tcPr>
            <w:tcW w:w="1142" w:type="dxa"/>
            <w:tcBorders>
              <w:top w:val="nil"/>
              <w:left w:val="nil"/>
              <w:right w:val="nil"/>
            </w:tcBorders>
            <w:shd w:val="clear" w:color="auto" w:fill="auto"/>
            <w:noWrap/>
          </w:tcPr>
          <w:p w14:paraId="5313394E" w14:textId="77777777" w:rsidR="00D9465C" w:rsidRPr="005E3FD2" w:rsidRDefault="00D9465C" w:rsidP="00DD0F28">
            <w:pPr>
              <w:jc w:val="right"/>
              <w:rPr>
                <w:color w:val="000000"/>
                <w:sz w:val="16"/>
                <w:szCs w:val="16"/>
              </w:rPr>
            </w:pPr>
            <w:r w:rsidRPr="005E3FD2">
              <w:rPr>
                <w:color w:val="000000"/>
                <w:sz w:val="16"/>
                <w:szCs w:val="16"/>
              </w:rPr>
              <w:t xml:space="preserve">111,497,728 </w:t>
            </w:r>
          </w:p>
        </w:tc>
        <w:tc>
          <w:tcPr>
            <w:tcW w:w="1268" w:type="dxa"/>
            <w:tcBorders>
              <w:top w:val="nil"/>
              <w:left w:val="nil"/>
              <w:right w:val="single" w:sz="4" w:space="0" w:color="auto"/>
            </w:tcBorders>
            <w:shd w:val="clear" w:color="auto" w:fill="auto"/>
            <w:noWrap/>
            <w:vAlign w:val="center"/>
          </w:tcPr>
          <w:p w14:paraId="238A43D3" w14:textId="77777777" w:rsidR="00D9465C" w:rsidRPr="005E3FD2" w:rsidRDefault="00D9465C" w:rsidP="00DD0F28">
            <w:pPr>
              <w:jc w:val="right"/>
              <w:rPr>
                <w:color w:val="000000"/>
                <w:sz w:val="16"/>
                <w:szCs w:val="16"/>
              </w:rPr>
            </w:pPr>
            <w:r w:rsidRPr="005E3FD2">
              <w:rPr>
                <w:color w:val="000000"/>
                <w:sz w:val="16"/>
                <w:szCs w:val="16"/>
              </w:rPr>
              <w:t>($58,647,221, $164,344,049)</w:t>
            </w:r>
          </w:p>
        </w:tc>
        <w:tc>
          <w:tcPr>
            <w:tcW w:w="539" w:type="dxa"/>
            <w:tcBorders>
              <w:top w:val="nil"/>
              <w:left w:val="single" w:sz="4" w:space="0" w:color="auto"/>
              <w:right w:val="nil"/>
            </w:tcBorders>
            <w:shd w:val="clear" w:color="auto" w:fill="auto"/>
            <w:noWrap/>
          </w:tcPr>
          <w:p w14:paraId="0A58AB01" w14:textId="77777777" w:rsidR="00D9465C" w:rsidRPr="005E3FD2" w:rsidRDefault="00D9465C" w:rsidP="00DD0F28">
            <w:pPr>
              <w:jc w:val="right"/>
              <w:rPr>
                <w:color w:val="000000"/>
                <w:sz w:val="16"/>
                <w:szCs w:val="16"/>
              </w:rPr>
            </w:pPr>
            <w:r w:rsidRPr="005E3FD2">
              <w:rPr>
                <w:color w:val="000000"/>
                <w:sz w:val="16"/>
                <w:szCs w:val="16"/>
              </w:rPr>
              <w:t>39</w:t>
            </w:r>
          </w:p>
        </w:tc>
        <w:tc>
          <w:tcPr>
            <w:tcW w:w="1139" w:type="dxa"/>
            <w:tcBorders>
              <w:top w:val="nil"/>
              <w:left w:val="nil"/>
              <w:right w:val="nil"/>
            </w:tcBorders>
            <w:shd w:val="clear" w:color="auto" w:fill="auto"/>
            <w:noWrap/>
          </w:tcPr>
          <w:p w14:paraId="06A5056E" w14:textId="77777777" w:rsidR="00D9465C" w:rsidRPr="005E3FD2" w:rsidRDefault="00D9465C" w:rsidP="00DD0F28">
            <w:pPr>
              <w:jc w:val="right"/>
              <w:rPr>
                <w:color w:val="000000"/>
                <w:sz w:val="16"/>
                <w:szCs w:val="16"/>
              </w:rPr>
            </w:pPr>
            <w:r w:rsidRPr="005E3FD2">
              <w:rPr>
                <w:color w:val="000000"/>
                <w:sz w:val="16"/>
                <w:szCs w:val="16"/>
              </w:rPr>
              <w:t xml:space="preserve">65,680,437 </w:t>
            </w:r>
          </w:p>
        </w:tc>
        <w:tc>
          <w:tcPr>
            <w:tcW w:w="1299" w:type="dxa"/>
            <w:tcBorders>
              <w:top w:val="nil"/>
              <w:left w:val="nil"/>
              <w:right w:val="single" w:sz="4" w:space="0" w:color="auto"/>
            </w:tcBorders>
            <w:shd w:val="clear" w:color="auto" w:fill="auto"/>
            <w:noWrap/>
            <w:vAlign w:val="center"/>
          </w:tcPr>
          <w:p w14:paraId="03CE0C0E" w14:textId="77777777" w:rsidR="00D9465C" w:rsidRPr="005E3FD2" w:rsidRDefault="00D9465C" w:rsidP="00DD0F28">
            <w:pPr>
              <w:jc w:val="right"/>
              <w:rPr>
                <w:color w:val="000000"/>
                <w:sz w:val="16"/>
                <w:szCs w:val="16"/>
              </w:rPr>
            </w:pPr>
            <w:r w:rsidRPr="005E3FD2">
              <w:rPr>
                <w:color w:val="000000"/>
                <w:sz w:val="16"/>
                <w:szCs w:val="16"/>
              </w:rPr>
              <w:t>($40,933,428, $90,427,446)</w:t>
            </w:r>
          </w:p>
        </w:tc>
        <w:tc>
          <w:tcPr>
            <w:tcW w:w="539" w:type="dxa"/>
            <w:tcBorders>
              <w:top w:val="nil"/>
              <w:left w:val="single" w:sz="4" w:space="0" w:color="auto"/>
              <w:right w:val="nil"/>
            </w:tcBorders>
            <w:shd w:val="clear" w:color="auto" w:fill="auto"/>
            <w:noWrap/>
          </w:tcPr>
          <w:p w14:paraId="12B12651" w14:textId="77777777" w:rsidR="00D9465C" w:rsidRPr="005E3FD2" w:rsidRDefault="00D9465C" w:rsidP="00DD0F28">
            <w:pPr>
              <w:jc w:val="right"/>
              <w:rPr>
                <w:color w:val="000000"/>
                <w:sz w:val="16"/>
                <w:szCs w:val="16"/>
              </w:rPr>
            </w:pPr>
            <w:r w:rsidRPr="005E3FD2">
              <w:rPr>
                <w:color w:val="000000"/>
                <w:sz w:val="16"/>
                <w:szCs w:val="16"/>
              </w:rPr>
              <w:t>30</w:t>
            </w:r>
          </w:p>
        </w:tc>
        <w:tc>
          <w:tcPr>
            <w:tcW w:w="1162" w:type="dxa"/>
            <w:tcBorders>
              <w:top w:val="nil"/>
              <w:left w:val="nil"/>
              <w:right w:val="nil"/>
            </w:tcBorders>
            <w:shd w:val="clear" w:color="auto" w:fill="auto"/>
            <w:noWrap/>
          </w:tcPr>
          <w:p w14:paraId="3117B1DE" w14:textId="77777777" w:rsidR="00D9465C" w:rsidRPr="005E3FD2" w:rsidRDefault="00D9465C" w:rsidP="00DD0F28">
            <w:pPr>
              <w:jc w:val="right"/>
              <w:rPr>
                <w:color w:val="000000"/>
                <w:sz w:val="16"/>
                <w:szCs w:val="16"/>
              </w:rPr>
            </w:pPr>
            <w:r w:rsidRPr="005E3FD2">
              <w:rPr>
                <w:color w:val="000000"/>
                <w:sz w:val="16"/>
                <w:szCs w:val="16"/>
              </w:rPr>
              <w:t xml:space="preserve">37,527,126 </w:t>
            </w:r>
          </w:p>
        </w:tc>
        <w:tc>
          <w:tcPr>
            <w:tcW w:w="1132" w:type="dxa"/>
            <w:tcBorders>
              <w:top w:val="nil"/>
              <w:left w:val="nil"/>
              <w:right w:val="single" w:sz="4" w:space="0" w:color="auto"/>
            </w:tcBorders>
            <w:shd w:val="clear" w:color="auto" w:fill="auto"/>
            <w:noWrap/>
            <w:vAlign w:val="center"/>
          </w:tcPr>
          <w:p w14:paraId="750F4D37" w14:textId="77777777" w:rsidR="00D9465C" w:rsidRPr="005E3FD2" w:rsidRDefault="00D9465C" w:rsidP="00DD0F28">
            <w:pPr>
              <w:jc w:val="right"/>
              <w:rPr>
                <w:color w:val="000000"/>
                <w:sz w:val="16"/>
                <w:szCs w:val="16"/>
              </w:rPr>
            </w:pPr>
            <w:r w:rsidRPr="005E3FD2">
              <w:rPr>
                <w:color w:val="000000"/>
                <w:sz w:val="16"/>
                <w:szCs w:val="16"/>
              </w:rPr>
              <w:t>(27,289,744, 47,764,508)</w:t>
            </w:r>
          </w:p>
        </w:tc>
        <w:tc>
          <w:tcPr>
            <w:tcW w:w="539" w:type="dxa"/>
            <w:tcBorders>
              <w:top w:val="nil"/>
              <w:left w:val="single" w:sz="4" w:space="0" w:color="auto"/>
              <w:right w:val="nil"/>
            </w:tcBorders>
            <w:shd w:val="clear" w:color="auto" w:fill="auto"/>
            <w:noWrap/>
          </w:tcPr>
          <w:p w14:paraId="67122054" w14:textId="77777777" w:rsidR="00D9465C" w:rsidRPr="005E3FD2" w:rsidRDefault="00D9465C" w:rsidP="00DD0F28">
            <w:pPr>
              <w:jc w:val="right"/>
              <w:rPr>
                <w:color w:val="000000"/>
                <w:sz w:val="16"/>
                <w:szCs w:val="16"/>
              </w:rPr>
            </w:pPr>
            <w:r w:rsidRPr="005E3FD2">
              <w:rPr>
                <w:color w:val="000000"/>
                <w:sz w:val="16"/>
                <w:szCs w:val="16"/>
              </w:rPr>
              <w:t>27</w:t>
            </w:r>
          </w:p>
        </w:tc>
        <w:tc>
          <w:tcPr>
            <w:tcW w:w="1164" w:type="dxa"/>
            <w:tcBorders>
              <w:top w:val="nil"/>
              <w:left w:val="nil"/>
              <w:right w:val="nil"/>
            </w:tcBorders>
            <w:shd w:val="clear" w:color="auto" w:fill="auto"/>
            <w:noWrap/>
          </w:tcPr>
          <w:p w14:paraId="3D6F1F57" w14:textId="77777777" w:rsidR="00D9465C" w:rsidRPr="005E3FD2" w:rsidRDefault="00D9465C" w:rsidP="00DD0F28">
            <w:pPr>
              <w:jc w:val="right"/>
              <w:rPr>
                <w:color w:val="000000"/>
                <w:sz w:val="16"/>
                <w:szCs w:val="16"/>
              </w:rPr>
            </w:pPr>
            <w:r w:rsidRPr="005E3FD2">
              <w:rPr>
                <w:color w:val="000000"/>
                <w:sz w:val="16"/>
                <w:szCs w:val="16"/>
              </w:rPr>
              <w:t xml:space="preserve">44,487,524 </w:t>
            </w:r>
          </w:p>
        </w:tc>
        <w:tc>
          <w:tcPr>
            <w:tcW w:w="1308" w:type="dxa"/>
            <w:tcBorders>
              <w:top w:val="nil"/>
              <w:left w:val="nil"/>
              <w:right w:val="nil"/>
            </w:tcBorders>
            <w:shd w:val="clear" w:color="auto" w:fill="auto"/>
            <w:noWrap/>
            <w:vAlign w:val="center"/>
          </w:tcPr>
          <w:p w14:paraId="6B122ADD" w14:textId="77777777" w:rsidR="00D9465C" w:rsidRPr="005E3FD2" w:rsidRDefault="00D9465C" w:rsidP="00DD0F28">
            <w:pPr>
              <w:jc w:val="right"/>
              <w:rPr>
                <w:color w:val="000000"/>
                <w:sz w:val="16"/>
                <w:szCs w:val="16"/>
              </w:rPr>
            </w:pPr>
            <w:r w:rsidRPr="005E3FD2">
              <w:rPr>
                <w:color w:val="000000"/>
                <w:sz w:val="16"/>
                <w:szCs w:val="16"/>
              </w:rPr>
              <w:t>(25,555,446, 63,419,602)</w:t>
            </w:r>
          </w:p>
        </w:tc>
      </w:tr>
      <w:tr w:rsidR="00D9465C" w:rsidRPr="00EA483D" w14:paraId="7B7B712F" w14:textId="77777777" w:rsidTr="00DD0F28">
        <w:tc>
          <w:tcPr>
            <w:tcW w:w="992" w:type="dxa"/>
            <w:tcBorders>
              <w:top w:val="nil"/>
              <w:left w:val="nil"/>
              <w:bottom w:val="single" w:sz="4" w:space="0" w:color="auto"/>
              <w:right w:val="nil"/>
            </w:tcBorders>
            <w:shd w:val="clear" w:color="auto" w:fill="auto"/>
            <w:noWrap/>
            <w:hideMark/>
          </w:tcPr>
          <w:p w14:paraId="20BF4E02" w14:textId="77777777" w:rsidR="00D9465C" w:rsidRPr="005E3FD2" w:rsidRDefault="00D9465C" w:rsidP="00DD0F28">
            <w:pPr>
              <w:spacing w:after="20"/>
              <w:rPr>
                <w:i/>
                <w:color w:val="000000"/>
                <w:sz w:val="16"/>
                <w:szCs w:val="16"/>
                <w:lang w:eastAsia="en-NZ"/>
              </w:rPr>
            </w:pPr>
          </w:p>
        </w:tc>
        <w:tc>
          <w:tcPr>
            <w:tcW w:w="1119" w:type="dxa"/>
            <w:tcBorders>
              <w:top w:val="nil"/>
              <w:left w:val="nil"/>
              <w:bottom w:val="single" w:sz="4" w:space="0" w:color="auto"/>
              <w:right w:val="nil"/>
            </w:tcBorders>
            <w:shd w:val="clear" w:color="auto" w:fill="auto"/>
            <w:noWrap/>
            <w:hideMark/>
          </w:tcPr>
          <w:p w14:paraId="662067A9" w14:textId="77777777" w:rsidR="00D9465C" w:rsidRPr="005E3FD2" w:rsidRDefault="00D9465C" w:rsidP="00DD0F28">
            <w:pPr>
              <w:spacing w:after="20"/>
              <w:rPr>
                <w:i/>
                <w:color w:val="000000"/>
                <w:sz w:val="16"/>
                <w:szCs w:val="16"/>
                <w:lang w:eastAsia="en-NZ"/>
              </w:rPr>
            </w:pPr>
            <w:r w:rsidRPr="005E3FD2">
              <w:rPr>
                <w:i/>
                <w:color w:val="000000"/>
                <w:sz w:val="16"/>
                <w:szCs w:val="16"/>
                <w:lang w:eastAsia="en-NZ"/>
              </w:rPr>
              <w:t>Total</w:t>
            </w:r>
          </w:p>
        </w:tc>
        <w:tc>
          <w:tcPr>
            <w:tcW w:w="582" w:type="dxa"/>
            <w:tcBorders>
              <w:top w:val="nil"/>
              <w:left w:val="nil"/>
              <w:bottom w:val="single" w:sz="4" w:space="0" w:color="auto"/>
              <w:right w:val="nil"/>
            </w:tcBorders>
            <w:shd w:val="clear" w:color="auto" w:fill="auto"/>
            <w:noWrap/>
          </w:tcPr>
          <w:p w14:paraId="04359C6F" w14:textId="77777777" w:rsidR="00D9465C" w:rsidRPr="005E3FD2" w:rsidRDefault="00D9465C" w:rsidP="00DD0F28">
            <w:pPr>
              <w:jc w:val="right"/>
              <w:rPr>
                <w:color w:val="000000"/>
                <w:sz w:val="16"/>
                <w:szCs w:val="16"/>
              </w:rPr>
            </w:pPr>
            <w:r w:rsidRPr="005E3FD2">
              <w:rPr>
                <w:color w:val="000000"/>
                <w:sz w:val="16"/>
                <w:szCs w:val="16"/>
              </w:rPr>
              <w:t>110</w:t>
            </w:r>
          </w:p>
        </w:tc>
        <w:tc>
          <w:tcPr>
            <w:tcW w:w="1142" w:type="dxa"/>
            <w:tcBorders>
              <w:top w:val="nil"/>
              <w:left w:val="nil"/>
              <w:bottom w:val="single" w:sz="4" w:space="0" w:color="auto"/>
              <w:right w:val="nil"/>
            </w:tcBorders>
            <w:shd w:val="clear" w:color="auto" w:fill="auto"/>
            <w:noWrap/>
          </w:tcPr>
          <w:p w14:paraId="17BF003B" w14:textId="77777777" w:rsidR="00D9465C" w:rsidRPr="005E3FD2" w:rsidRDefault="00D9465C" w:rsidP="00DD0F28">
            <w:pPr>
              <w:jc w:val="right"/>
              <w:rPr>
                <w:color w:val="000000"/>
                <w:sz w:val="16"/>
                <w:szCs w:val="16"/>
              </w:rPr>
            </w:pPr>
            <w:r w:rsidRPr="005E3FD2">
              <w:rPr>
                <w:color w:val="000000"/>
                <w:sz w:val="16"/>
                <w:szCs w:val="16"/>
              </w:rPr>
              <w:t xml:space="preserve">157,852,140 </w:t>
            </w:r>
          </w:p>
        </w:tc>
        <w:tc>
          <w:tcPr>
            <w:tcW w:w="1268" w:type="dxa"/>
            <w:tcBorders>
              <w:top w:val="nil"/>
              <w:left w:val="nil"/>
              <w:bottom w:val="single" w:sz="4" w:space="0" w:color="auto"/>
              <w:right w:val="single" w:sz="4" w:space="0" w:color="auto"/>
            </w:tcBorders>
            <w:shd w:val="clear" w:color="auto" w:fill="auto"/>
            <w:noWrap/>
            <w:vAlign w:val="center"/>
          </w:tcPr>
          <w:p w14:paraId="157889DD" w14:textId="77777777" w:rsidR="00D9465C" w:rsidRPr="005E3FD2" w:rsidRDefault="00D9465C" w:rsidP="00DD0F28">
            <w:pPr>
              <w:jc w:val="right"/>
              <w:rPr>
                <w:color w:val="000000"/>
                <w:sz w:val="16"/>
                <w:szCs w:val="16"/>
              </w:rPr>
            </w:pPr>
            <w:r w:rsidRPr="005E3FD2">
              <w:rPr>
                <w:color w:val="000000"/>
                <w:sz w:val="16"/>
                <w:szCs w:val="16"/>
              </w:rPr>
              <w:t>($99,694,686, $216,008,133)</w:t>
            </w:r>
          </w:p>
        </w:tc>
        <w:tc>
          <w:tcPr>
            <w:tcW w:w="539" w:type="dxa"/>
            <w:tcBorders>
              <w:top w:val="nil"/>
              <w:left w:val="single" w:sz="4" w:space="0" w:color="auto"/>
              <w:bottom w:val="single" w:sz="4" w:space="0" w:color="auto"/>
              <w:right w:val="nil"/>
            </w:tcBorders>
            <w:shd w:val="clear" w:color="auto" w:fill="auto"/>
            <w:noWrap/>
          </w:tcPr>
          <w:p w14:paraId="4C4DA020" w14:textId="77777777" w:rsidR="00D9465C" w:rsidRPr="005E3FD2" w:rsidRDefault="00D9465C" w:rsidP="00DD0F28">
            <w:pPr>
              <w:jc w:val="right"/>
              <w:rPr>
                <w:color w:val="000000"/>
                <w:sz w:val="16"/>
                <w:szCs w:val="16"/>
              </w:rPr>
            </w:pPr>
            <w:r w:rsidRPr="005E3FD2">
              <w:rPr>
                <w:color w:val="000000"/>
                <w:sz w:val="16"/>
                <w:szCs w:val="16"/>
              </w:rPr>
              <w:t>46</w:t>
            </w:r>
          </w:p>
        </w:tc>
        <w:tc>
          <w:tcPr>
            <w:tcW w:w="1139" w:type="dxa"/>
            <w:tcBorders>
              <w:top w:val="nil"/>
              <w:left w:val="nil"/>
              <w:bottom w:val="single" w:sz="4" w:space="0" w:color="auto"/>
              <w:right w:val="nil"/>
            </w:tcBorders>
            <w:shd w:val="clear" w:color="auto" w:fill="auto"/>
            <w:noWrap/>
          </w:tcPr>
          <w:p w14:paraId="5904D858" w14:textId="77777777" w:rsidR="00D9465C" w:rsidRPr="005E3FD2" w:rsidRDefault="00D9465C" w:rsidP="00DD0F28">
            <w:pPr>
              <w:jc w:val="right"/>
              <w:rPr>
                <w:color w:val="000000"/>
                <w:sz w:val="16"/>
                <w:szCs w:val="16"/>
              </w:rPr>
            </w:pPr>
            <w:r w:rsidRPr="005E3FD2">
              <w:rPr>
                <w:color w:val="000000"/>
                <w:sz w:val="16"/>
                <w:szCs w:val="16"/>
              </w:rPr>
              <w:t xml:space="preserve">89,299,502 </w:t>
            </w:r>
          </w:p>
        </w:tc>
        <w:tc>
          <w:tcPr>
            <w:tcW w:w="1299" w:type="dxa"/>
            <w:tcBorders>
              <w:top w:val="nil"/>
              <w:left w:val="nil"/>
              <w:bottom w:val="single" w:sz="4" w:space="0" w:color="auto"/>
              <w:right w:val="single" w:sz="4" w:space="0" w:color="auto"/>
            </w:tcBorders>
            <w:shd w:val="clear" w:color="auto" w:fill="auto"/>
            <w:noWrap/>
            <w:vAlign w:val="center"/>
          </w:tcPr>
          <w:p w14:paraId="29EC9750" w14:textId="77777777" w:rsidR="00D9465C" w:rsidRPr="005E3FD2" w:rsidRDefault="00D9465C" w:rsidP="00DD0F28">
            <w:pPr>
              <w:jc w:val="right"/>
              <w:rPr>
                <w:color w:val="000000"/>
                <w:sz w:val="16"/>
                <w:szCs w:val="16"/>
              </w:rPr>
            </w:pPr>
            <w:r w:rsidRPr="005E3FD2">
              <w:rPr>
                <w:color w:val="000000"/>
                <w:sz w:val="16"/>
                <w:szCs w:val="16"/>
              </w:rPr>
              <w:t>($61,461,770, $117,137,234)</w:t>
            </w:r>
          </w:p>
        </w:tc>
        <w:tc>
          <w:tcPr>
            <w:tcW w:w="539" w:type="dxa"/>
            <w:tcBorders>
              <w:top w:val="nil"/>
              <w:left w:val="single" w:sz="4" w:space="0" w:color="auto"/>
              <w:bottom w:val="single" w:sz="4" w:space="0" w:color="auto"/>
              <w:right w:val="nil"/>
            </w:tcBorders>
            <w:shd w:val="clear" w:color="auto" w:fill="auto"/>
            <w:noWrap/>
          </w:tcPr>
          <w:p w14:paraId="7475AEC0" w14:textId="77777777" w:rsidR="00D9465C" w:rsidRPr="005E3FD2" w:rsidRDefault="00D9465C" w:rsidP="00DD0F28">
            <w:pPr>
              <w:jc w:val="right"/>
              <w:rPr>
                <w:color w:val="000000"/>
                <w:sz w:val="16"/>
                <w:szCs w:val="16"/>
              </w:rPr>
            </w:pPr>
            <w:r w:rsidRPr="005E3FD2">
              <w:rPr>
                <w:color w:val="000000"/>
                <w:sz w:val="16"/>
                <w:szCs w:val="16"/>
              </w:rPr>
              <w:t>32</w:t>
            </w:r>
          </w:p>
        </w:tc>
        <w:tc>
          <w:tcPr>
            <w:tcW w:w="1162" w:type="dxa"/>
            <w:tcBorders>
              <w:top w:val="nil"/>
              <w:left w:val="nil"/>
              <w:bottom w:val="single" w:sz="4" w:space="0" w:color="auto"/>
              <w:right w:val="nil"/>
            </w:tcBorders>
            <w:shd w:val="clear" w:color="auto" w:fill="auto"/>
            <w:noWrap/>
          </w:tcPr>
          <w:p w14:paraId="61BE0205" w14:textId="77777777" w:rsidR="00D9465C" w:rsidRPr="005E3FD2" w:rsidRDefault="00D9465C" w:rsidP="00DD0F28">
            <w:pPr>
              <w:jc w:val="right"/>
              <w:rPr>
                <w:color w:val="000000"/>
                <w:sz w:val="16"/>
                <w:szCs w:val="16"/>
              </w:rPr>
            </w:pPr>
            <w:r w:rsidRPr="005E3FD2">
              <w:rPr>
                <w:color w:val="000000"/>
                <w:sz w:val="16"/>
                <w:szCs w:val="16"/>
              </w:rPr>
              <w:t xml:space="preserve">52,435,983 </w:t>
            </w:r>
          </w:p>
        </w:tc>
        <w:tc>
          <w:tcPr>
            <w:tcW w:w="1132" w:type="dxa"/>
            <w:tcBorders>
              <w:top w:val="nil"/>
              <w:left w:val="nil"/>
              <w:bottom w:val="single" w:sz="4" w:space="0" w:color="auto"/>
              <w:right w:val="single" w:sz="4" w:space="0" w:color="auto"/>
            </w:tcBorders>
            <w:shd w:val="clear" w:color="auto" w:fill="auto"/>
            <w:noWrap/>
            <w:vAlign w:val="center"/>
          </w:tcPr>
          <w:p w14:paraId="516066D6" w14:textId="77777777" w:rsidR="00D9465C" w:rsidRPr="005E3FD2" w:rsidRDefault="00D9465C" w:rsidP="00DD0F28">
            <w:pPr>
              <w:jc w:val="right"/>
              <w:rPr>
                <w:color w:val="000000"/>
                <w:sz w:val="16"/>
                <w:szCs w:val="16"/>
              </w:rPr>
            </w:pPr>
            <w:r w:rsidRPr="005E3FD2">
              <w:rPr>
                <w:color w:val="000000"/>
                <w:sz w:val="16"/>
                <w:szCs w:val="16"/>
              </w:rPr>
              <w:t>(35,335,215, 69,536,750)</w:t>
            </w:r>
          </w:p>
        </w:tc>
        <w:tc>
          <w:tcPr>
            <w:tcW w:w="539" w:type="dxa"/>
            <w:tcBorders>
              <w:top w:val="nil"/>
              <w:left w:val="single" w:sz="4" w:space="0" w:color="auto"/>
              <w:bottom w:val="single" w:sz="4" w:space="0" w:color="auto"/>
              <w:right w:val="nil"/>
            </w:tcBorders>
            <w:shd w:val="clear" w:color="auto" w:fill="auto"/>
            <w:noWrap/>
          </w:tcPr>
          <w:p w14:paraId="7A560498" w14:textId="77777777" w:rsidR="00D9465C" w:rsidRPr="005E3FD2" w:rsidRDefault="00D9465C" w:rsidP="00DD0F28">
            <w:pPr>
              <w:jc w:val="right"/>
              <w:rPr>
                <w:color w:val="000000"/>
                <w:sz w:val="16"/>
                <w:szCs w:val="16"/>
              </w:rPr>
            </w:pPr>
            <w:r w:rsidRPr="005E3FD2">
              <w:rPr>
                <w:color w:val="000000"/>
                <w:sz w:val="16"/>
                <w:szCs w:val="16"/>
              </w:rPr>
              <w:t>37</w:t>
            </w:r>
          </w:p>
        </w:tc>
        <w:tc>
          <w:tcPr>
            <w:tcW w:w="1164" w:type="dxa"/>
            <w:tcBorders>
              <w:top w:val="nil"/>
              <w:left w:val="nil"/>
              <w:bottom w:val="single" w:sz="4" w:space="0" w:color="auto"/>
              <w:right w:val="nil"/>
            </w:tcBorders>
            <w:shd w:val="clear" w:color="auto" w:fill="auto"/>
            <w:noWrap/>
          </w:tcPr>
          <w:p w14:paraId="50FB27CA" w14:textId="77777777" w:rsidR="00D9465C" w:rsidRPr="005E3FD2" w:rsidRDefault="00D9465C" w:rsidP="00DD0F28">
            <w:pPr>
              <w:jc w:val="right"/>
              <w:rPr>
                <w:color w:val="000000"/>
                <w:sz w:val="16"/>
                <w:szCs w:val="16"/>
              </w:rPr>
            </w:pPr>
            <w:r w:rsidRPr="005E3FD2">
              <w:rPr>
                <w:color w:val="000000"/>
                <w:sz w:val="16"/>
                <w:szCs w:val="16"/>
              </w:rPr>
              <w:t xml:space="preserve">80,309,177 </w:t>
            </w:r>
          </w:p>
        </w:tc>
        <w:tc>
          <w:tcPr>
            <w:tcW w:w="1308" w:type="dxa"/>
            <w:tcBorders>
              <w:top w:val="nil"/>
              <w:left w:val="nil"/>
              <w:bottom w:val="single" w:sz="4" w:space="0" w:color="auto"/>
              <w:right w:val="nil"/>
            </w:tcBorders>
            <w:shd w:val="clear" w:color="auto" w:fill="auto"/>
            <w:noWrap/>
            <w:vAlign w:val="center"/>
          </w:tcPr>
          <w:p w14:paraId="4E3251DD" w14:textId="77777777" w:rsidR="00D9465C" w:rsidRPr="005E3FD2" w:rsidRDefault="00D9465C" w:rsidP="00DD0F28">
            <w:pPr>
              <w:jc w:val="right"/>
              <w:rPr>
                <w:color w:val="000000"/>
                <w:sz w:val="16"/>
                <w:szCs w:val="16"/>
              </w:rPr>
            </w:pPr>
            <w:r w:rsidRPr="005E3FD2">
              <w:rPr>
                <w:color w:val="000000"/>
                <w:sz w:val="16"/>
                <w:szCs w:val="16"/>
              </w:rPr>
              <w:t>(59,197,815, 101,420,539)</w:t>
            </w:r>
          </w:p>
        </w:tc>
      </w:tr>
      <w:tr w:rsidR="00D9465C" w:rsidRPr="005E3FD2" w14:paraId="3DD511C9" w14:textId="77777777" w:rsidTr="00DD0F28">
        <w:tc>
          <w:tcPr>
            <w:tcW w:w="992" w:type="dxa"/>
            <w:tcBorders>
              <w:top w:val="single" w:sz="4" w:space="0" w:color="auto"/>
              <w:left w:val="nil"/>
              <w:bottom w:val="nil"/>
              <w:right w:val="nil"/>
            </w:tcBorders>
            <w:shd w:val="clear" w:color="auto" w:fill="auto"/>
            <w:noWrap/>
            <w:hideMark/>
          </w:tcPr>
          <w:p w14:paraId="49B2197A" w14:textId="77777777" w:rsidR="00D9465C" w:rsidRPr="005E3FD2" w:rsidRDefault="00D9465C" w:rsidP="00DD0F28">
            <w:pPr>
              <w:keepNext/>
              <w:spacing w:after="20"/>
              <w:rPr>
                <w:color w:val="000000"/>
                <w:sz w:val="16"/>
                <w:szCs w:val="16"/>
                <w:lang w:eastAsia="en-NZ"/>
              </w:rPr>
            </w:pPr>
            <w:r w:rsidRPr="005E3FD2">
              <w:rPr>
                <w:color w:val="000000"/>
                <w:sz w:val="16"/>
                <w:szCs w:val="16"/>
                <w:lang w:eastAsia="en-NZ"/>
              </w:rPr>
              <w:t>Total</w:t>
            </w:r>
          </w:p>
        </w:tc>
        <w:tc>
          <w:tcPr>
            <w:tcW w:w="1119" w:type="dxa"/>
            <w:tcBorders>
              <w:top w:val="single" w:sz="4" w:space="0" w:color="auto"/>
              <w:left w:val="nil"/>
              <w:bottom w:val="nil"/>
              <w:right w:val="nil"/>
            </w:tcBorders>
            <w:shd w:val="clear" w:color="auto" w:fill="auto"/>
            <w:noWrap/>
            <w:hideMark/>
          </w:tcPr>
          <w:p w14:paraId="50882B78" w14:textId="77777777" w:rsidR="00D9465C" w:rsidRPr="005E3FD2" w:rsidRDefault="00D9465C" w:rsidP="00DD0F28">
            <w:pPr>
              <w:keepNext/>
              <w:spacing w:after="20"/>
              <w:rPr>
                <w:color w:val="000000"/>
                <w:sz w:val="16"/>
                <w:szCs w:val="16"/>
                <w:lang w:eastAsia="en-NZ"/>
              </w:rPr>
            </w:pPr>
            <w:r w:rsidRPr="005E3FD2">
              <w:rPr>
                <w:color w:val="000000"/>
                <w:sz w:val="16"/>
                <w:szCs w:val="16"/>
                <w:lang w:eastAsia="en-NZ"/>
              </w:rPr>
              <w:t>Casino</w:t>
            </w:r>
          </w:p>
        </w:tc>
        <w:tc>
          <w:tcPr>
            <w:tcW w:w="582" w:type="dxa"/>
            <w:tcBorders>
              <w:top w:val="single" w:sz="4" w:space="0" w:color="auto"/>
              <w:left w:val="nil"/>
              <w:bottom w:val="nil"/>
              <w:right w:val="nil"/>
            </w:tcBorders>
            <w:shd w:val="clear" w:color="auto" w:fill="auto"/>
            <w:noWrap/>
          </w:tcPr>
          <w:p w14:paraId="12F885BF" w14:textId="77777777" w:rsidR="00D9465C" w:rsidRPr="005E3FD2" w:rsidRDefault="00D9465C" w:rsidP="00DD0F28">
            <w:pPr>
              <w:keepNext/>
              <w:jc w:val="right"/>
              <w:rPr>
                <w:color w:val="000000"/>
                <w:sz w:val="16"/>
                <w:szCs w:val="16"/>
              </w:rPr>
            </w:pPr>
            <w:r w:rsidRPr="005E3FD2">
              <w:rPr>
                <w:color w:val="000000"/>
                <w:sz w:val="16"/>
                <w:szCs w:val="16"/>
              </w:rPr>
              <w:t>516</w:t>
            </w:r>
          </w:p>
        </w:tc>
        <w:tc>
          <w:tcPr>
            <w:tcW w:w="1142" w:type="dxa"/>
            <w:tcBorders>
              <w:top w:val="single" w:sz="4" w:space="0" w:color="auto"/>
              <w:left w:val="nil"/>
              <w:bottom w:val="nil"/>
              <w:right w:val="nil"/>
            </w:tcBorders>
            <w:shd w:val="clear" w:color="auto" w:fill="auto"/>
            <w:noWrap/>
          </w:tcPr>
          <w:p w14:paraId="632F9A1F" w14:textId="77777777" w:rsidR="00D9465C" w:rsidRPr="005E3FD2" w:rsidRDefault="00D9465C" w:rsidP="00DD0F28">
            <w:pPr>
              <w:keepNext/>
              <w:jc w:val="right"/>
              <w:rPr>
                <w:color w:val="000000"/>
                <w:sz w:val="16"/>
                <w:szCs w:val="16"/>
              </w:rPr>
            </w:pPr>
            <w:r w:rsidRPr="005E3FD2">
              <w:rPr>
                <w:color w:val="000000"/>
                <w:sz w:val="16"/>
                <w:szCs w:val="16"/>
              </w:rPr>
              <w:t xml:space="preserve">179,175,803 </w:t>
            </w:r>
          </w:p>
        </w:tc>
        <w:tc>
          <w:tcPr>
            <w:tcW w:w="1268" w:type="dxa"/>
            <w:tcBorders>
              <w:top w:val="single" w:sz="4" w:space="0" w:color="auto"/>
              <w:left w:val="nil"/>
              <w:bottom w:val="nil"/>
              <w:right w:val="single" w:sz="4" w:space="0" w:color="auto"/>
            </w:tcBorders>
            <w:shd w:val="clear" w:color="auto" w:fill="auto"/>
            <w:noWrap/>
            <w:vAlign w:val="center"/>
          </w:tcPr>
          <w:p w14:paraId="343877C5" w14:textId="77777777" w:rsidR="00D9465C" w:rsidRPr="005E3FD2" w:rsidRDefault="00D9465C" w:rsidP="00DD0F28">
            <w:pPr>
              <w:keepNext/>
              <w:jc w:val="right"/>
              <w:rPr>
                <w:color w:val="000000"/>
                <w:sz w:val="16"/>
                <w:szCs w:val="16"/>
              </w:rPr>
            </w:pPr>
            <w:r w:rsidRPr="005E3FD2">
              <w:rPr>
                <w:color w:val="000000"/>
                <w:sz w:val="16"/>
                <w:szCs w:val="16"/>
              </w:rPr>
              <w:t>($149,761,521, $208,584,515)</w:t>
            </w:r>
          </w:p>
        </w:tc>
        <w:tc>
          <w:tcPr>
            <w:tcW w:w="539" w:type="dxa"/>
            <w:tcBorders>
              <w:top w:val="single" w:sz="4" w:space="0" w:color="auto"/>
              <w:left w:val="single" w:sz="4" w:space="0" w:color="auto"/>
              <w:bottom w:val="nil"/>
              <w:right w:val="nil"/>
            </w:tcBorders>
            <w:shd w:val="clear" w:color="auto" w:fill="auto"/>
            <w:noWrap/>
          </w:tcPr>
          <w:p w14:paraId="7557989B" w14:textId="77777777" w:rsidR="00D9465C" w:rsidRPr="005E3FD2" w:rsidRDefault="00D9465C" w:rsidP="00DD0F28">
            <w:pPr>
              <w:keepNext/>
              <w:jc w:val="right"/>
              <w:rPr>
                <w:color w:val="000000"/>
                <w:sz w:val="16"/>
                <w:szCs w:val="16"/>
              </w:rPr>
            </w:pPr>
            <w:r w:rsidRPr="005E3FD2">
              <w:rPr>
                <w:color w:val="000000"/>
                <w:sz w:val="16"/>
                <w:szCs w:val="16"/>
              </w:rPr>
              <w:t>227</w:t>
            </w:r>
          </w:p>
        </w:tc>
        <w:tc>
          <w:tcPr>
            <w:tcW w:w="1139" w:type="dxa"/>
            <w:tcBorders>
              <w:top w:val="single" w:sz="4" w:space="0" w:color="auto"/>
              <w:left w:val="nil"/>
              <w:bottom w:val="nil"/>
              <w:right w:val="nil"/>
            </w:tcBorders>
            <w:shd w:val="clear" w:color="auto" w:fill="auto"/>
            <w:noWrap/>
          </w:tcPr>
          <w:p w14:paraId="3C865C8F" w14:textId="77777777" w:rsidR="00D9465C" w:rsidRPr="005E3FD2" w:rsidRDefault="00D9465C" w:rsidP="00DD0F28">
            <w:pPr>
              <w:keepNext/>
              <w:jc w:val="right"/>
              <w:rPr>
                <w:color w:val="000000"/>
                <w:sz w:val="16"/>
                <w:szCs w:val="16"/>
              </w:rPr>
            </w:pPr>
            <w:r w:rsidRPr="005E3FD2">
              <w:rPr>
                <w:color w:val="000000"/>
                <w:sz w:val="16"/>
                <w:szCs w:val="16"/>
              </w:rPr>
              <w:t xml:space="preserve">108,430,581 </w:t>
            </w:r>
          </w:p>
        </w:tc>
        <w:tc>
          <w:tcPr>
            <w:tcW w:w="1299" w:type="dxa"/>
            <w:tcBorders>
              <w:top w:val="single" w:sz="4" w:space="0" w:color="auto"/>
              <w:left w:val="nil"/>
              <w:bottom w:val="nil"/>
              <w:right w:val="single" w:sz="4" w:space="0" w:color="auto"/>
            </w:tcBorders>
            <w:shd w:val="clear" w:color="auto" w:fill="auto"/>
            <w:noWrap/>
            <w:vAlign w:val="center"/>
          </w:tcPr>
          <w:p w14:paraId="0999A34F" w14:textId="77777777" w:rsidR="00D9465C" w:rsidRPr="005E3FD2" w:rsidRDefault="00D9465C" w:rsidP="00DD0F28">
            <w:pPr>
              <w:keepNext/>
              <w:jc w:val="right"/>
              <w:rPr>
                <w:color w:val="000000"/>
                <w:sz w:val="16"/>
                <w:szCs w:val="16"/>
              </w:rPr>
            </w:pPr>
            <w:r w:rsidRPr="005E3FD2">
              <w:rPr>
                <w:color w:val="000000"/>
                <w:sz w:val="16"/>
                <w:szCs w:val="16"/>
              </w:rPr>
              <w:t>($86,560,344, $130,294,703)</w:t>
            </w:r>
          </w:p>
        </w:tc>
        <w:tc>
          <w:tcPr>
            <w:tcW w:w="539" w:type="dxa"/>
            <w:tcBorders>
              <w:top w:val="single" w:sz="4" w:space="0" w:color="auto"/>
              <w:left w:val="single" w:sz="4" w:space="0" w:color="auto"/>
              <w:bottom w:val="nil"/>
              <w:right w:val="nil"/>
            </w:tcBorders>
            <w:shd w:val="clear" w:color="auto" w:fill="auto"/>
            <w:noWrap/>
          </w:tcPr>
          <w:p w14:paraId="661ABA81" w14:textId="77777777" w:rsidR="00D9465C" w:rsidRPr="005E3FD2" w:rsidRDefault="00D9465C" w:rsidP="00DD0F28">
            <w:pPr>
              <w:keepNext/>
              <w:jc w:val="right"/>
              <w:rPr>
                <w:color w:val="000000"/>
                <w:sz w:val="16"/>
                <w:szCs w:val="16"/>
              </w:rPr>
            </w:pPr>
            <w:r w:rsidRPr="005E3FD2">
              <w:rPr>
                <w:color w:val="000000"/>
                <w:sz w:val="16"/>
                <w:szCs w:val="16"/>
              </w:rPr>
              <w:t>198</w:t>
            </w:r>
          </w:p>
        </w:tc>
        <w:tc>
          <w:tcPr>
            <w:tcW w:w="1162" w:type="dxa"/>
            <w:tcBorders>
              <w:top w:val="single" w:sz="4" w:space="0" w:color="auto"/>
              <w:left w:val="nil"/>
              <w:bottom w:val="nil"/>
              <w:right w:val="nil"/>
            </w:tcBorders>
            <w:shd w:val="clear" w:color="auto" w:fill="auto"/>
            <w:noWrap/>
          </w:tcPr>
          <w:p w14:paraId="2A71D888" w14:textId="77777777" w:rsidR="00D9465C" w:rsidRPr="005E3FD2" w:rsidRDefault="00D9465C" w:rsidP="00DD0F28">
            <w:pPr>
              <w:keepNext/>
              <w:jc w:val="right"/>
              <w:rPr>
                <w:color w:val="000000"/>
                <w:sz w:val="16"/>
                <w:szCs w:val="16"/>
              </w:rPr>
            </w:pPr>
            <w:r w:rsidRPr="005E3FD2">
              <w:rPr>
                <w:color w:val="000000"/>
                <w:sz w:val="16"/>
                <w:szCs w:val="16"/>
              </w:rPr>
              <w:t xml:space="preserve">105,661,775 </w:t>
            </w:r>
          </w:p>
        </w:tc>
        <w:tc>
          <w:tcPr>
            <w:tcW w:w="1132" w:type="dxa"/>
            <w:tcBorders>
              <w:top w:val="single" w:sz="4" w:space="0" w:color="auto"/>
              <w:left w:val="nil"/>
              <w:bottom w:val="nil"/>
              <w:right w:val="single" w:sz="4" w:space="0" w:color="auto"/>
            </w:tcBorders>
            <w:shd w:val="clear" w:color="auto" w:fill="auto"/>
            <w:noWrap/>
            <w:vAlign w:val="center"/>
          </w:tcPr>
          <w:p w14:paraId="6C8CA1EF" w14:textId="77777777" w:rsidR="00D9465C" w:rsidRPr="005E3FD2" w:rsidRDefault="00D9465C" w:rsidP="00DD0F28">
            <w:pPr>
              <w:keepNext/>
              <w:jc w:val="right"/>
              <w:rPr>
                <w:color w:val="000000"/>
                <w:sz w:val="16"/>
                <w:szCs w:val="16"/>
              </w:rPr>
            </w:pPr>
            <w:r w:rsidRPr="005E3FD2">
              <w:rPr>
                <w:color w:val="000000"/>
                <w:sz w:val="16"/>
                <w:szCs w:val="16"/>
              </w:rPr>
              <w:t>(86,986,949, 124,336,601)</w:t>
            </w:r>
          </w:p>
        </w:tc>
        <w:tc>
          <w:tcPr>
            <w:tcW w:w="539" w:type="dxa"/>
            <w:tcBorders>
              <w:top w:val="single" w:sz="4" w:space="0" w:color="auto"/>
              <w:left w:val="single" w:sz="4" w:space="0" w:color="auto"/>
              <w:bottom w:val="nil"/>
              <w:right w:val="nil"/>
            </w:tcBorders>
            <w:shd w:val="clear" w:color="auto" w:fill="auto"/>
            <w:noWrap/>
          </w:tcPr>
          <w:p w14:paraId="6A2D476E" w14:textId="77777777" w:rsidR="00D9465C" w:rsidRPr="005E3FD2" w:rsidRDefault="00D9465C" w:rsidP="00DD0F28">
            <w:pPr>
              <w:keepNext/>
              <w:jc w:val="right"/>
              <w:rPr>
                <w:color w:val="000000"/>
                <w:sz w:val="16"/>
                <w:szCs w:val="16"/>
              </w:rPr>
            </w:pPr>
            <w:r w:rsidRPr="005E3FD2">
              <w:rPr>
                <w:color w:val="000000"/>
                <w:sz w:val="16"/>
                <w:szCs w:val="16"/>
              </w:rPr>
              <w:t>163</w:t>
            </w:r>
          </w:p>
        </w:tc>
        <w:tc>
          <w:tcPr>
            <w:tcW w:w="1164" w:type="dxa"/>
            <w:tcBorders>
              <w:top w:val="single" w:sz="4" w:space="0" w:color="auto"/>
              <w:left w:val="nil"/>
              <w:bottom w:val="nil"/>
              <w:right w:val="nil"/>
            </w:tcBorders>
            <w:shd w:val="clear" w:color="auto" w:fill="auto"/>
            <w:noWrap/>
          </w:tcPr>
          <w:p w14:paraId="661A3FAB" w14:textId="77777777" w:rsidR="00D9465C" w:rsidRPr="005E3FD2" w:rsidRDefault="00D9465C" w:rsidP="00DD0F28">
            <w:pPr>
              <w:keepNext/>
              <w:jc w:val="right"/>
              <w:rPr>
                <w:color w:val="000000"/>
                <w:sz w:val="16"/>
                <w:szCs w:val="16"/>
              </w:rPr>
            </w:pPr>
            <w:r w:rsidRPr="005E3FD2">
              <w:rPr>
                <w:color w:val="000000"/>
                <w:sz w:val="16"/>
                <w:szCs w:val="16"/>
              </w:rPr>
              <w:t xml:space="preserve">118,938,427 </w:t>
            </w:r>
          </w:p>
        </w:tc>
        <w:tc>
          <w:tcPr>
            <w:tcW w:w="1308" w:type="dxa"/>
            <w:tcBorders>
              <w:top w:val="single" w:sz="4" w:space="0" w:color="auto"/>
              <w:left w:val="nil"/>
              <w:bottom w:val="nil"/>
              <w:right w:val="nil"/>
            </w:tcBorders>
            <w:shd w:val="clear" w:color="auto" w:fill="auto"/>
            <w:noWrap/>
            <w:vAlign w:val="center"/>
          </w:tcPr>
          <w:p w14:paraId="180974DD" w14:textId="77777777" w:rsidR="00D9465C" w:rsidRPr="005E3FD2" w:rsidRDefault="00D9465C" w:rsidP="00DD0F28">
            <w:pPr>
              <w:keepNext/>
              <w:jc w:val="right"/>
              <w:rPr>
                <w:color w:val="000000"/>
                <w:sz w:val="16"/>
                <w:szCs w:val="16"/>
              </w:rPr>
            </w:pPr>
            <w:r w:rsidRPr="005E3FD2">
              <w:rPr>
                <w:color w:val="000000"/>
                <w:sz w:val="16"/>
                <w:szCs w:val="16"/>
              </w:rPr>
              <w:t>(79,461,716, 158,415,139)</w:t>
            </w:r>
          </w:p>
        </w:tc>
      </w:tr>
      <w:tr w:rsidR="00D9465C" w:rsidRPr="005E3FD2" w14:paraId="3DE69B9B" w14:textId="77777777" w:rsidTr="00DD0F28">
        <w:tc>
          <w:tcPr>
            <w:tcW w:w="992" w:type="dxa"/>
            <w:tcBorders>
              <w:top w:val="nil"/>
              <w:left w:val="nil"/>
              <w:bottom w:val="nil"/>
              <w:right w:val="nil"/>
            </w:tcBorders>
            <w:shd w:val="clear" w:color="auto" w:fill="auto"/>
            <w:noWrap/>
            <w:hideMark/>
          </w:tcPr>
          <w:p w14:paraId="32181B25" w14:textId="77777777" w:rsidR="00D9465C" w:rsidRPr="005E3FD2" w:rsidRDefault="00D9465C" w:rsidP="00DD0F28">
            <w:pPr>
              <w:keepNext/>
              <w:spacing w:after="20"/>
              <w:rPr>
                <w:color w:val="000000"/>
                <w:sz w:val="16"/>
                <w:szCs w:val="16"/>
                <w:lang w:eastAsia="en-NZ"/>
              </w:rPr>
            </w:pPr>
          </w:p>
        </w:tc>
        <w:tc>
          <w:tcPr>
            <w:tcW w:w="1119" w:type="dxa"/>
            <w:tcBorders>
              <w:top w:val="nil"/>
              <w:left w:val="nil"/>
              <w:bottom w:val="nil"/>
              <w:right w:val="nil"/>
            </w:tcBorders>
            <w:shd w:val="clear" w:color="auto" w:fill="auto"/>
            <w:noWrap/>
            <w:hideMark/>
          </w:tcPr>
          <w:p w14:paraId="61D62D16" w14:textId="77777777" w:rsidR="00D9465C" w:rsidRPr="005E3FD2" w:rsidRDefault="00D9465C" w:rsidP="00DD0F28">
            <w:pPr>
              <w:keepNext/>
              <w:spacing w:after="20"/>
              <w:rPr>
                <w:color w:val="000000"/>
                <w:sz w:val="16"/>
                <w:szCs w:val="16"/>
                <w:lang w:eastAsia="en-NZ"/>
              </w:rPr>
            </w:pPr>
            <w:r w:rsidRPr="005E3FD2">
              <w:rPr>
                <w:color w:val="000000"/>
                <w:sz w:val="16"/>
                <w:szCs w:val="16"/>
                <w:lang w:eastAsia="en-NZ"/>
              </w:rPr>
              <w:t>Pub</w:t>
            </w:r>
          </w:p>
        </w:tc>
        <w:tc>
          <w:tcPr>
            <w:tcW w:w="582" w:type="dxa"/>
            <w:tcBorders>
              <w:top w:val="nil"/>
              <w:left w:val="nil"/>
              <w:bottom w:val="nil"/>
              <w:right w:val="nil"/>
            </w:tcBorders>
            <w:shd w:val="clear" w:color="auto" w:fill="auto"/>
            <w:noWrap/>
          </w:tcPr>
          <w:p w14:paraId="708C8C3E" w14:textId="77777777" w:rsidR="00D9465C" w:rsidRPr="005E3FD2" w:rsidRDefault="00D9465C" w:rsidP="00DD0F28">
            <w:pPr>
              <w:keepNext/>
              <w:jc w:val="right"/>
              <w:rPr>
                <w:color w:val="000000"/>
                <w:sz w:val="16"/>
                <w:szCs w:val="16"/>
              </w:rPr>
            </w:pPr>
            <w:r w:rsidRPr="005E3FD2">
              <w:rPr>
                <w:color w:val="000000"/>
                <w:sz w:val="16"/>
                <w:szCs w:val="16"/>
              </w:rPr>
              <w:t>715</w:t>
            </w:r>
          </w:p>
        </w:tc>
        <w:tc>
          <w:tcPr>
            <w:tcW w:w="1142" w:type="dxa"/>
            <w:tcBorders>
              <w:top w:val="nil"/>
              <w:left w:val="nil"/>
              <w:bottom w:val="nil"/>
              <w:right w:val="nil"/>
            </w:tcBorders>
            <w:shd w:val="clear" w:color="auto" w:fill="auto"/>
            <w:noWrap/>
          </w:tcPr>
          <w:p w14:paraId="5AED0BE6" w14:textId="77777777" w:rsidR="00D9465C" w:rsidRPr="005E3FD2" w:rsidRDefault="00D9465C" w:rsidP="00DD0F28">
            <w:pPr>
              <w:keepNext/>
              <w:jc w:val="right"/>
              <w:rPr>
                <w:color w:val="000000"/>
                <w:sz w:val="16"/>
                <w:szCs w:val="16"/>
              </w:rPr>
            </w:pPr>
            <w:r w:rsidRPr="005E3FD2">
              <w:rPr>
                <w:color w:val="000000"/>
                <w:sz w:val="16"/>
                <w:szCs w:val="16"/>
              </w:rPr>
              <w:t xml:space="preserve">189,365,535 </w:t>
            </w:r>
          </w:p>
        </w:tc>
        <w:tc>
          <w:tcPr>
            <w:tcW w:w="1268" w:type="dxa"/>
            <w:tcBorders>
              <w:top w:val="nil"/>
              <w:left w:val="nil"/>
              <w:bottom w:val="nil"/>
              <w:right w:val="single" w:sz="4" w:space="0" w:color="auto"/>
            </w:tcBorders>
            <w:shd w:val="clear" w:color="auto" w:fill="auto"/>
            <w:noWrap/>
            <w:vAlign w:val="center"/>
          </w:tcPr>
          <w:p w14:paraId="52EE6D9D" w14:textId="77777777" w:rsidR="00D9465C" w:rsidRPr="005E3FD2" w:rsidRDefault="00D9465C" w:rsidP="00DD0F28">
            <w:pPr>
              <w:keepNext/>
              <w:jc w:val="right"/>
              <w:rPr>
                <w:color w:val="000000"/>
                <w:sz w:val="16"/>
                <w:szCs w:val="16"/>
              </w:rPr>
            </w:pPr>
            <w:r w:rsidRPr="005E3FD2">
              <w:rPr>
                <w:color w:val="000000"/>
                <w:sz w:val="16"/>
                <w:szCs w:val="16"/>
              </w:rPr>
              <w:t>($146,729,426, $232,006,601)</w:t>
            </w:r>
          </w:p>
        </w:tc>
        <w:tc>
          <w:tcPr>
            <w:tcW w:w="539" w:type="dxa"/>
            <w:tcBorders>
              <w:top w:val="nil"/>
              <w:left w:val="single" w:sz="4" w:space="0" w:color="auto"/>
              <w:bottom w:val="nil"/>
              <w:right w:val="nil"/>
            </w:tcBorders>
            <w:shd w:val="clear" w:color="auto" w:fill="auto"/>
            <w:noWrap/>
          </w:tcPr>
          <w:p w14:paraId="1FF011EE" w14:textId="77777777" w:rsidR="00D9465C" w:rsidRPr="005E3FD2" w:rsidRDefault="00D9465C" w:rsidP="00DD0F28">
            <w:pPr>
              <w:keepNext/>
              <w:jc w:val="right"/>
              <w:rPr>
                <w:color w:val="000000"/>
                <w:sz w:val="16"/>
                <w:szCs w:val="16"/>
              </w:rPr>
            </w:pPr>
            <w:r w:rsidRPr="005E3FD2">
              <w:rPr>
                <w:color w:val="000000"/>
                <w:sz w:val="16"/>
                <w:szCs w:val="16"/>
              </w:rPr>
              <w:t>331</w:t>
            </w:r>
          </w:p>
        </w:tc>
        <w:tc>
          <w:tcPr>
            <w:tcW w:w="1139" w:type="dxa"/>
            <w:tcBorders>
              <w:top w:val="nil"/>
              <w:left w:val="nil"/>
              <w:bottom w:val="nil"/>
              <w:right w:val="nil"/>
            </w:tcBorders>
            <w:shd w:val="clear" w:color="auto" w:fill="auto"/>
            <w:noWrap/>
          </w:tcPr>
          <w:p w14:paraId="57EC8E88" w14:textId="77777777" w:rsidR="00D9465C" w:rsidRPr="005E3FD2" w:rsidRDefault="00D9465C" w:rsidP="00DD0F28">
            <w:pPr>
              <w:keepNext/>
              <w:jc w:val="right"/>
              <w:rPr>
                <w:color w:val="000000"/>
                <w:sz w:val="16"/>
                <w:szCs w:val="16"/>
              </w:rPr>
            </w:pPr>
            <w:r w:rsidRPr="005E3FD2">
              <w:rPr>
                <w:color w:val="000000"/>
                <w:sz w:val="16"/>
                <w:szCs w:val="16"/>
              </w:rPr>
              <w:t xml:space="preserve">133,301,726 </w:t>
            </w:r>
          </w:p>
        </w:tc>
        <w:tc>
          <w:tcPr>
            <w:tcW w:w="1299" w:type="dxa"/>
            <w:tcBorders>
              <w:top w:val="nil"/>
              <w:left w:val="nil"/>
              <w:bottom w:val="nil"/>
              <w:right w:val="single" w:sz="4" w:space="0" w:color="auto"/>
            </w:tcBorders>
            <w:shd w:val="clear" w:color="auto" w:fill="auto"/>
            <w:noWrap/>
            <w:vAlign w:val="center"/>
          </w:tcPr>
          <w:p w14:paraId="2924E4A7" w14:textId="77777777" w:rsidR="00D9465C" w:rsidRPr="005E3FD2" w:rsidRDefault="00D9465C" w:rsidP="00DD0F28">
            <w:pPr>
              <w:keepNext/>
              <w:jc w:val="right"/>
              <w:rPr>
                <w:color w:val="000000"/>
                <w:sz w:val="16"/>
                <w:szCs w:val="16"/>
              </w:rPr>
            </w:pPr>
            <w:r w:rsidRPr="005E3FD2">
              <w:rPr>
                <w:color w:val="000000"/>
                <w:sz w:val="16"/>
                <w:szCs w:val="16"/>
              </w:rPr>
              <w:t>($105,672,015, $160,935,284)</w:t>
            </w:r>
          </w:p>
        </w:tc>
        <w:tc>
          <w:tcPr>
            <w:tcW w:w="539" w:type="dxa"/>
            <w:tcBorders>
              <w:top w:val="nil"/>
              <w:left w:val="single" w:sz="4" w:space="0" w:color="auto"/>
              <w:bottom w:val="nil"/>
              <w:right w:val="nil"/>
            </w:tcBorders>
            <w:shd w:val="clear" w:color="auto" w:fill="auto"/>
            <w:noWrap/>
          </w:tcPr>
          <w:p w14:paraId="0764AE11" w14:textId="77777777" w:rsidR="00D9465C" w:rsidRPr="005E3FD2" w:rsidRDefault="00D9465C" w:rsidP="00DD0F28">
            <w:pPr>
              <w:keepNext/>
              <w:jc w:val="right"/>
              <w:rPr>
                <w:color w:val="000000"/>
                <w:sz w:val="16"/>
                <w:szCs w:val="16"/>
              </w:rPr>
            </w:pPr>
            <w:r w:rsidRPr="005E3FD2">
              <w:rPr>
                <w:color w:val="000000"/>
                <w:sz w:val="16"/>
                <w:szCs w:val="16"/>
              </w:rPr>
              <w:t>259</w:t>
            </w:r>
          </w:p>
        </w:tc>
        <w:tc>
          <w:tcPr>
            <w:tcW w:w="1162" w:type="dxa"/>
            <w:tcBorders>
              <w:top w:val="nil"/>
              <w:left w:val="nil"/>
              <w:bottom w:val="nil"/>
              <w:right w:val="nil"/>
            </w:tcBorders>
            <w:shd w:val="clear" w:color="auto" w:fill="auto"/>
            <w:noWrap/>
          </w:tcPr>
          <w:p w14:paraId="3C767C05" w14:textId="77777777" w:rsidR="00D9465C" w:rsidRPr="005E3FD2" w:rsidRDefault="00D9465C" w:rsidP="00DD0F28">
            <w:pPr>
              <w:keepNext/>
              <w:jc w:val="right"/>
              <w:rPr>
                <w:color w:val="000000"/>
                <w:sz w:val="16"/>
                <w:szCs w:val="16"/>
              </w:rPr>
            </w:pPr>
            <w:r w:rsidRPr="005E3FD2">
              <w:rPr>
                <w:color w:val="000000"/>
                <w:sz w:val="16"/>
                <w:szCs w:val="16"/>
              </w:rPr>
              <w:t xml:space="preserve">96,366,263 </w:t>
            </w:r>
          </w:p>
        </w:tc>
        <w:tc>
          <w:tcPr>
            <w:tcW w:w="1132" w:type="dxa"/>
            <w:tcBorders>
              <w:top w:val="nil"/>
              <w:left w:val="nil"/>
              <w:bottom w:val="nil"/>
              <w:right w:val="single" w:sz="4" w:space="0" w:color="auto"/>
            </w:tcBorders>
            <w:shd w:val="clear" w:color="auto" w:fill="auto"/>
            <w:noWrap/>
            <w:vAlign w:val="center"/>
          </w:tcPr>
          <w:p w14:paraId="2880AE59" w14:textId="77777777" w:rsidR="00D9465C" w:rsidRPr="005E3FD2" w:rsidRDefault="00D9465C" w:rsidP="00DD0F28">
            <w:pPr>
              <w:keepNext/>
              <w:jc w:val="right"/>
              <w:rPr>
                <w:color w:val="000000"/>
                <w:sz w:val="16"/>
                <w:szCs w:val="16"/>
              </w:rPr>
            </w:pPr>
            <w:r w:rsidRPr="005E3FD2">
              <w:rPr>
                <w:color w:val="000000"/>
                <w:sz w:val="16"/>
                <w:szCs w:val="16"/>
              </w:rPr>
              <w:t>(80,568,012, 112,164,512)</w:t>
            </w:r>
          </w:p>
        </w:tc>
        <w:tc>
          <w:tcPr>
            <w:tcW w:w="539" w:type="dxa"/>
            <w:tcBorders>
              <w:top w:val="nil"/>
              <w:left w:val="single" w:sz="4" w:space="0" w:color="auto"/>
              <w:bottom w:val="nil"/>
              <w:right w:val="nil"/>
            </w:tcBorders>
            <w:shd w:val="clear" w:color="auto" w:fill="auto"/>
            <w:noWrap/>
          </w:tcPr>
          <w:p w14:paraId="6BAD60B3" w14:textId="77777777" w:rsidR="00D9465C" w:rsidRPr="005E3FD2" w:rsidRDefault="00D9465C" w:rsidP="00DD0F28">
            <w:pPr>
              <w:keepNext/>
              <w:jc w:val="right"/>
              <w:rPr>
                <w:color w:val="000000"/>
                <w:sz w:val="16"/>
                <w:szCs w:val="16"/>
              </w:rPr>
            </w:pPr>
            <w:r w:rsidRPr="005E3FD2">
              <w:rPr>
                <w:color w:val="000000"/>
                <w:sz w:val="16"/>
                <w:szCs w:val="16"/>
              </w:rPr>
              <w:t>227</w:t>
            </w:r>
          </w:p>
        </w:tc>
        <w:tc>
          <w:tcPr>
            <w:tcW w:w="1164" w:type="dxa"/>
            <w:tcBorders>
              <w:top w:val="nil"/>
              <w:left w:val="nil"/>
              <w:bottom w:val="nil"/>
              <w:right w:val="nil"/>
            </w:tcBorders>
            <w:shd w:val="clear" w:color="auto" w:fill="auto"/>
            <w:noWrap/>
          </w:tcPr>
          <w:p w14:paraId="7563A118" w14:textId="77777777" w:rsidR="00D9465C" w:rsidRPr="005E3FD2" w:rsidRDefault="00D9465C" w:rsidP="00DD0F28">
            <w:pPr>
              <w:keepNext/>
              <w:jc w:val="right"/>
              <w:rPr>
                <w:color w:val="000000"/>
                <w:sz w:val="16"/>
                <w:szCs w:val="16"/>
              </w:rPr>
            </w:pPr>
            <w:r w:rsidRPr="005E3FD2">
              <w:rPr>
                <w:color w:val="000000"/>
                <w:sz w:val="16"/>
                <w:szCs w:val="16"/>
              </w:rPr>
              <w:t xml:space="preserve">112,641,679 </w:t>
            </w:r>
          </w:p>
        </w:tc>
        <w:tc>
          <w:tcPr>
            <w:tcW w:w="1308" w:type="dxa"/>
            <w:tcBorders>
              <w:top w:val="nil"/>
              <w:left w:val="nil"/>
              <w:bottom w:val="nil"/>
              <w:right w:val="nil"/>
            </w:tcBorders>
            <w:shd w:val="clear" w:color="auto" w:fill="auto"/>
            <w:noWrap/>
            <w:vAlign w:val="center"/>
          </w:tcPr>
          <w:p w14:paraId="0A280F7B" w14:textId="77777777" w:rsidR="00D9465C" w:rsidRPr="005E3FD2" w:rsidRDefault="00D9465C" w:rsidP="00DD0F28">
            <w:pPr>
              <w:keepNext/>
              <w:jc w:val="right"/>
              <w:rPr>
                <w:color w:val="000000"/>
                <w:sz w:val="16"/>
                <w:szCs w:val="16"/>
              </w:rPr>
            </w:pPr>
            <w:r w:rsidRPr="005E3FD2">
              <w:rPr>
                <w:color w:val="000000"/>
                <w:sz w:val="16"/>
                <w:szCs w:val="16"/>
              </w:rPr>
              <w:t>(87,117,335, 138,166,025)</w:t>
            </w:r>
          </w:p>
        </w:tc>
      </w:tr>
      <w:tr w:rsidR="00D9465C" w:rsidRPr="005E3FD2" w14:paraId="496671E0" w14:textId="77777777" w:rsidTr="00DD0F28">
        <w:tc>
          <w:tcPr>
            <w:tcW w:w="992" w:type="dxa"/>
            <w:tcBorders>
              <w:top w:val="nil"/>
              <w:left w:val="nil"/>
              <w:bottom w:val="nil"/>
              <w:right w:val="nil"/>
            </w:tcBorders>
            <w:shd w:val="clear" w:color="auto" w:fill="auto"/>
            <w:noWrap/>
            <w:hideMark/>
          </w:tcPr>
          <w:p w14:paraId="52EC4C72" w14:textId="77777777" w:rsidR="00D9465C" w:rsidRPr="005E3FD2" w:rsidRDefault="00D9465C" w:rsidP="00DD0F28">
            <w:pPr>
              <w:keepNext/>
              <w:spacing w:after="20"/>
              <w:rPr>
                <w:color w:val="000000"/>
                <w:sz w:val="16"/>
                <w:szCs w:val="16"/>
                <w:lang w:eastAsia="en-NZ"/>
              </w:rPr>
            </w:pPr>
          </w:p>
        </w:tc>
        <w:tc>
          <w:tcPr>
            <w:tcW w:w="1119" w:type="dxa"/>
            <w:tcBorders>
              <w:top w:val="nil"/>
              <w:left w:val="nil"/>
              <w:bottom w:val="nil"/>
              <w:right w:val="nil"/>
            </w:tcBorders>
            <w:shd w:val="clear" w:color="auto" w:fill="auto"/>
            <w:noWrap/>
            <w:hideMark/>
          </w:tcPr>
          <w:p w14:paraId="4E3D81A9" w14:textId="77777777" w:rsidR="00D9465C" w:rsidRPr="005E3FD2" w:rsidRDefault="00D9465C" w:rsidP="00DD0F28">
            <w:pPr>
              <w:keepNext/>
              <w:spacing w:after="20"/>
              <w:rPr>
                <w:color w:val="000000"/>
                <w:sz w:val="16"/>
                <w:szCs w:val="16"/>
                <w:lang w:eastAsia="en-NZ"/>
              </w:rPr>
            </w:pPr>
            <w:r w:rsidRPr="005E3FD2">
              <w:rPr>
                <w:color w:val="000000"/>
                <w:sz w:val="16"/>
                <w:szCs w:val="16"/>
                <w:lang w:eastAsia="en-NZ"/>
              </w:rPr>
              <w:t>Club</w:t>
            </w:r>
          </w:p>
        </w:tc>
        <w:tc>
          <w:tcPr>
            <w:tcW w:w="582" w:type="dxa"/>
            <w:tcBorders>
              <w:top w:val="nil"/>
              <w:left w:val="nil"/>
              <w:bottom w:val="nil"/>
              <w:right w:val="nil"/>
            </w:tcBorders>
            <w:shd w:val="clear" w:color="auto" w:fill="auto"/>
            <w:noWrap/>
          </w:tcPr>
          <w:p w14:paraId="28A41ED7" w14:textId="77777777" w:rsidR="00D9465C" w:rsidRPr="005E3FD2" w:rsidRDefault="00D9465C" w:rsidP="00DD0F28">
            <w:pPr>
              <w:keepNext/>
              <w:jc w:val="right"/>
              <w:rPr>
                <w:color w:val="000000"/>
                <w:sz w:val="16"/>
                <w:szCs w:val="16"/>
              </w:rPr>
            </w:pPr>
            <w:r w:rsidRPr="005E3FD2">
              <w:rPr>
                <w:color w:val="000000"/>
                <w:sz w:val="16"/>
                <w:szCs w:val="16"/>
              </w:rPr>
              <w:t>349</w:t>
            </w:r>
          </w:p>
        </w:tc>
        <w:tc>
          <w:tcPr>
            <w:tcW w:w="1142" w:type="dxa"/>
            <w:tcBorders>
              <w:top w:val="nil"/>
              <w:left w:val="nil"/>
              <w:bottom w:val="nil"/>
              <w:right w:val="nil"/>
            </w:tcBorders>
            <w:shd w:val="clear" w:color="auto" w:fill="auto"/>
            <w:noWrap/>
          </w:tcPr>
          <w:p w14:paraId="3B3FEDE8" w14:textId="77777777" w:rsidR="00D9465C" w:rsidRPr="005E3FD2" w:rsidRDefault="00D9465C" w:rsidP="00DD0F28">
            <w:pPr>
              <w:keepNext/>
              <w:jc w:val="right"/>
              <w:rPr>
                <w:color w:val="000000"/>
                <w:sz w:val="16"/>
                <w:szCs w:val="16"/>
              </w:rPr>
            </w:pPr>
            <w:r w:rsidRPr="005E3FD2">
              <w:rPr>
                <w:color w:val="000000"/>
                <w:sz w:val="16"/>
                <w:szCs w:val="16"/>
              </w:rPr>
              <w:t xml:space="preserve">84,502,540 </w:t>
            </w:r>
          </w:p>
        </w:tc>
        <w:tc>
          <w:tcPr>
            <w:tcW w:w="1268" w:type="dxa"/>
            <w:tcBorders>
              <w:top w:val="nil"/>
              <w:left w:val="nil"/>
              <w:bottom w:val="nil"/>
              <w:right w:val="single" w:sz="4" w:space="0" w:color="auto"/>
            </w:tcBorders>
            <w:shd w:val="clear" w:color="auto" w:fill="auto"/>
            <w:noWrap/>
            <w:vAlign w:val="center"/>
          </w:tcPr>
          <w:p w14:paraId="1E96A1EB" w14:textId="77777777" w:rsidR="00D9465C" w:rsidRPr="005E3FD2" w:rsidRDefault="00D9465C" w:rsidP="00DD0F28">
            <w:pPr>
              <w:keepNext/>
              <w:jc w:val="right"/>
              <w:rPr>
                <w:color w:val="000000"/>
                <w:sz w:val="16"/>
                <w:szCs w:val="16"/>
              </w:rPr>
            </w:pPr>
            <w:r w:rsidRPr="005E3FD2">
              <w:rPr>
                <w:color w:val="000000"/>
                <w:sz w:val="16"/>
                <w:szCs w:val="16"/>
              </w:rPr>
              <w:t>($53,794,704, $115,209,021)</w:t>
            </w:r>
          </w:p>
        </w:tc>
        <w:tc>
          <w:tcPr>
            <w:tcW w:w="539" w:type="dxa"/>
            <w:tcBorders>
              <w:top w:val="nil"/>
              <w:left w:val="single" w:sz="4" w:space="0" w:color="auto"/>
              <w:bottom w:val="nil"/>
              <w:right w:val="nil"/>
            </w:tcBorders>
            <w:shd w:val="clear" w:color="auto" w:fill="auto"/>
            <w:noWrap/>
          </w:tcPr>
          <w:p w14:paraId="13CE7689" w14:textId="77777777" w:rsidR="00D9465C" w:rsidRPr="005E3FD2" w:rsidRDefault="00D9465C" w:rsidP="00DD0F28">
            <w:pPr>
              <w:keepNext/>
              <w:jc w:val="right"/>
              <w:rPr>
                <w:color w:val="000000"/>
                <w:sz w:val="16"/>
                <w:szCs w:val="16"/>
              </w:rPr>
            </w:pPr>
            <w:r w:rsidRPr="005E3FD2">
              <w:rPr>
                <w:color w:val="000000"/>
                <w:sz w:val="16"/>
                <w:szCs w:val="16"/>
              </w:rPr>
              <w:t>154</w:t>
            </w:r>
          </w:p>
        </w:tc>
        <w:tc>
          <w:tcPr>
            <w:tcW w:w="1139" w:type="dxa"/>
            <w:tcBorders>
              <w:top w:val="nil"/>
              <w:left w:val="nil"/>
              <w:bottom w:val="nil"/>
              <w:right w:val="nil"/>
            </w:tcBorders>
            <w:shd w:val="clear" w:color="auto" w:fill="auto"/>
            <w:noWrap/>
          </w:tcPr>
          <w:p w14:paraId="72A62827" w14:textId="77777777" w:rsidR="00D9465C" w:rsidRPr="005E3FD2" w:rsidRDefault="00D9465C" w:rsidP="00DD0F28">
            <w:pPr>
              <w:keepNext/>
              <w:jc w:val="right"/>
              <w:rPr>
                <w:color w:val="000000"/>
                <w:sz w:val="16"/>
                <w:szCs w:val="16"/>
              </w:rPr>
            </w:pPr>
            <w:r w:rsidRPr="005E3FD2">
              <w:rPr>
                <w:color w:val="000000"/>
                <w:sz w:val="16"/>
                <w:szCs w:val="16"/>
              </w:rPr>
              <w:t xml:space="preserve">45,252,843 </w:t>
            </w:r>
          </w:p>
        </w:tc>
        <w:tc>
          <w:tcPr>
            <w:tcW w:w="1299" w:type="dxa"/>
            <w:tcBorders>
              <w:top w:val="nil"/>
              <w:left w:val="nil"/>
              <w:bottom w:val="nil"/>
              <w:right w:val="single" w:sz="4" w:space="0" w:color="auto"/>
            </w:tcBorders>
            <w:shd w:val="clear" w:color="auto" w:fill="auto"/>
            <w:noWrap/>
            <w:vAlign w:val="center"/>
          </w:tcPr>
          <w:p w14:paraId="6B5F5DD2" w14:textId="77777777" w:rsidR="00D9465C" w:rsidRPr="005E3FD2" w:rsidRDefault="00D9465C" w:rsidP="00DD0F28">
            <w:pPr>
              <w:keepNext/>
              <w:jc w:val="right"/>
              <w:rPr>
                <w:color w:val="000000"/>
                <w:sz w:val="16"/>
                <w:szCs w:val="16"/>
              </w:rPr>
            </w:pPr>
            <w:r w:rsidRPr="005E3FD2">
              <w:rPr>
                <w:color w:val="000000"/>
                <w:sz w:val="16"/>
                <w:szCs w:val="16"/>
              </w:rPr>
              <w:t>($29,660,224, $60,845,463)</w:t>
            </w:r>
          </w:p>
        </w:tc>
        <w:tc>
          <w:tcPr>
            <w:tcW w:w="539" w:type="dxa"/>
            <w:tcBorders>
              <w:top w:val="nil"/>
              <w:left w:val="single" w:sz="4" w:space="0" w:color="auto"/>
              <w:bottom w:val="nil"/>
              <w:right w:val="nil"/>
            </w:tcBorders>
            <w:shd w:val="clear" w:color="auto" w:fill="auto"/>
            <w:noWrap/>
          </w:tcPr>
          <w:p w14:paraId="449F32A8" w14:textId="77777777" w:rsidR="00D9465C" w:rsidRPr="005E3FD2" w:rsidRDefault="00D9465C" w:rsidP="00DD0F28">
            <w:pPr>
              <w:keepNext/>
              <w:jc w:val="right"/>
              <w:rPr>
                <w:color w:val="000000"/>
                <w:sz w:val="16"/>
                <w:szCs w:val="16"/>
              </w:rPr>
            </w:pPr>
            <w:r w:rsidRPr="005E3FD2">
              <w:rPr>
                <w:color w:val="000000"/>
                <w:sz w:val="16"/>
                <w:szCs w:val="16"/>
              </w:rPr>
              <w:t>129</w:t>
            </w:r>
          </w:p>
        </w:tc>
        <w:tc>
          <w:tcPr>
            <w:tcW w:w="1162" w:type="dxa"/>
            <w:tcBorders>
              <w:top w:val="nil"/>
              <w:left w:val="nil"/>
              <w:bottom w:val="nil"/>
              <w:right w:val="nil"/>
            </w:tcBorders>
            <w:shd w:val="clear" w:color="auto" w:fill="auto"/>
            <w:noWrap/>
          </w:tcPr>
          <w:p w14:paraId="2A672A21" w14:textId="77777777" w:rsidR="00D9465C" w:rsidRPr="005E3FD2" w:rsidRDefault="00D9465C" w:rsidP="00DD0F28">
            <w:pPr>
              <w:keepNext/>
              <w:jc w:val="right"/>
              <w:rPr>
                <w:color w:val="000000"/>
                <w:sz w:val="16"/>
                <w:szCs w:val="16"/>
              </w:rPr>
            </w:pPr>
            <w:r w:rsidRPr="005E3FD2">
              <w:rPr>
                <w:color w:val="000000"/>
                <w:sz w:val="16"/>
                <w:szCs w:val="16"/>
              </w:rPr>
              <w:t xml:space="preserve">48,511,915 </w:t>
            </w:r>
          </w:p>
        </w:tc>
        <w:tc>
          <w:tcPr>
            <w:tcW w:w="1132" w:type="dxa"/>
            <w:tcBorders>
              <w:top w:val="nil"/>
              <w:left w:val="nil"/>
              <w:bottom w:val="nil"/>
              <w:right w:val="single" w:sz="4" w:space="0" w:color="auto"/>
            </w:tcBorders>
            <w:shd w:val="clear" w:color="auto" w:fill="auto"/>
            <w:noWrap/>
            <w:vAlign w:val="center"/>
          </w:tcPr>
          <w:p w14:paraId="52C7F852" w14:textId="77777777" w:rsidR="00D9465C" w:rsidRPr="005E3FD2" w:rsidRDefault="00D9465C" w:rsidP="00DD0F28">
            <w:pPr>
              <w:keepNext/>
              <w:jc w:val="right"/>
              <w:rPr>
                <w:color w:val="000000"/>
                <w:sz w:val="16"/>
                <w:szCs w:val="16"/>
              </w:rPr>
            </w:pPr>
            <w:r w:rsidRPr="005E3FD2">
              <w:rPr>
                <w:color w:val="000000"/>
                <w:sz w:val="16"/>
                <w:szCs w:val="16"/>
              </w:rPr>
              <w:t>(37,641,679, 59,382,149)</w:t>
            </w:r>
          </w:p>
        </w:tc>
        <w:tc>
          <w:tcPr>
            <w:tcW w:w="539" w:type="dxa"/>
            <w:tcBorders>
              <w:top w:val="nil"/>
              <w:left w:val="single" w:sz="4" w:space="0" w:color="auto"/>
              <w:bottom w:val="nil"/>
              <w:right w:val="nil"/>
            </w:tcBorders>
            <w:shd w:val="clear" w:color="auto" w:fill="auto"/>
            <w:noWrap/>
          </w:tcPr>
          <w:p w14:paraId="5C8E54CD" w14:textId="77777777" w:rsidR="00D9465C" w:rsidRPr="005E3FD2" w:rsidRDefault="00D9465C" w:rsidP="00DD0F28">
            <w:pPr>
              <w:keepNext/>
              <w:jc w:val="right"/>
              <w:rPr>
                <w:color w:val="000000"/>
                <w:sz w:val="16"/>
                <w:szCs w:val="16"/>
              </w:rPr>
            </w:pPr>
            <w:r w:rsidRPr="005E3FD2">
              <w:rPr>
                <w:color w:val="000000"/>
                <w:sz w:val="16"/>
                <w:szCs w:val="16"/>
              </w:rPr>
              <w:t>103</w:t>
            </w:r>
          </w:p>
        </w:tc>
        <w:tc>
          <w:tcPr>
            <w:tcW w:w="1164" w:type="dxa"/>
            <w:tcBorders>
              <w:top w:val="nil"/>
              <w:left w:val="nil"/>
              <w:bottom w:val="nil"/>
              <w:right w:val="nil"/>
            </w:tcBorders>
            <w:shd w:val="clear" w:color="auto" w:fill="auto"/>
            <w:noWrap/>
          </w:tcPr>
          <w:p w14:paraId="5B5835B5" w14:textId="77777777" w:rsidR="00D9465C" w:rsidRPr="005E3FD2" w:rsidRDefault="00D9465C" w:rsidP="00DD0F28">
            <w:pPr>
              <w:keepNext/>
              <w:jc w:val="right"/>
              <w:rPr>
                <w:color w:val="000000"/>
                <w:sz w:val="16"/>
                <w:szCs w:val="16"/>
              </w:rPr>
            </w:pPr>
            <w:r w:rsidRPr="005E3FD2">
              <w:rPr>
                <w:color w:val="000000"/>
                <w:sz w:val="16"/>
                <w:szCs w:val="16"/>
              </w:rPr>
              <w:t xml:space="preserve">54,361,323 </w:t>
            </w:r>
          </w:p>
        </w:tc>
        <w:tc>
          <w:tcPr>
            <w:tcW w:w="1308" w:type="dxa"/>
            <w:tcBorders>
              <w:top w:val="nil"/>
              <w:left w:val="nil"/>
              <w:bottom w:val="nil"/>
              <w:right w:val="nil"/>
            </w:tcBorders>
            <w:shd w:val="clear" w:color="auto" w:fill="auto"/>
            <w:noWrap/>
            <w:vAlign w:val="center"/>
          </w:tcPr>
          <w:p w14:paraId="6211368C" w14:textId="77777777" w:rsidR="00D9465C" w:rsidRPr="005E3FD2" w:rsidRDefault="00D9465C" w:rsidP="00DD0F28">
            <w:pPr>
              <w:keepNext/>
              <w:jc w:val="right"/>
              <w:rPr>
                <w:color w:val="000000"/>
                <w:sz w:val="16"/>
                <w:szCs w:val="16"/>
              </w:rPr>
            </w:pPr>
            <w:r w:rsidRPr="005E3FD2">
              <w:rPr>
                <w:color w:val="000000"/>
                <w:sz w:val="16"/>
                <w:szCs w:val="16"/>
              </w:rPr>
              <w:t>(33,041,892, 75,680,754)</w:t>
            </w:r>
          </w:p>
        </w:tc>
      </w:tr>
      <w:tr w:rsidR="00D9465C" w:rsidRPr="005E3FD2" w14:paraId="0936F4F7" w14:textId="77777777" w:rsidTr="00DD0F28">
        <w:tc>
          <w:tcPr>
            <w:tcW w:w="992" w:type="dxa"/>
            <w:tcBorders>
              <w:top w:val="nil"/>
              <w:left w:val="nil"/>
              <w:right w:val="nil"/>
            </w:tcBorders>
            <w:shd w:val="clear" w:color="auto" w:fill="auto"/>
            <w:noWrap/>
            <w:hideMark/>
          </w:tcPr>
          <w:p w14:paraId="7A2B701E" w14:textId="77777777" w:rsidR="00D9465C" w:rsidRPr="005E3FD2" w:rsidRDefault="00D9465C" w:rsidP="00DD0F28">
            <w:pPr>
              <w:keepNext/>
              <w:spacing w:after="20"/>
              <w:rPr>
                <w:color w:val="000000"/>
                <w:sz w:val="16"/>
                <w:szCs w:val="16"/>
                <w:lang w:eastAsia="en-NZ"/>
              </w:rPr>
            </w:pPr>
          </w:p>
        </w:tc>
        <w:tc>
          <w:tcPr>
            <w:tcW w:w="1119" w:type="dxa"/>
            <w:tcBorders>
              <w:top w:val="nil"/>
              <w:left w:val="nil"/>
              <w:right w:val="nil"/>
            </w:tcBorders>
            <w:shd w:val="clear" w:color="auto" w:fill="auto"/>
            <w:noWrap/>
            <w:hideMark/>
          </w:tcPr>
          <w:p w14:paraId="6F79359E" w14:textId="77777777" w:rsidR="00D9465C" w:rsidRPr="005E3FD2" w:rsidRDefault="00D9465C" w:rsidP="00DD0F28">
            <w:pPr>
              <w:keepNext/>
              <w:spacing w:after="20"/>
              <w:rPr>
                <w:color w:val="000000"/>
                <w:sz w:val="16"/>
                <w:szCs w:val="16"/>
                <w:lang w:eastAsia="en-NZ"/>
              </w:rPr>
            </w:pPr>
            <w:r w:rsidRPr="005E3FD2">
              <w:rPr>
                <w:color w:val="000000"/>
                <w:sz w:val="16"/>
                <w:szCs w:val="16"/>
                <w:lang w:eastAsia="en-NZ"/>
              </w:rPr>
              <w:t>Pub + club</w:t>
            </w:r>
          </w:p>
        </w:tc>
        <w:tc>
          <w:tcPr>
            <w:tcW w:w="582" w:type="dxa"/>
            <w:tcBorders>
              <w:top w:val="nil"/>
              <w:left w:val="nil"/>
              <w:right w:val="nil"/>
            </w:tcBorders>
            <w:shd w:val="clear" w:color="auto" w:fill="auto"/>
            <w:noWrap/>
          </w:tcPr>
          <w:p w14:paraId="180ADF05" w14:textId="77777777" w:rsidR="00D9465C" w:rsidRPr="005E3FD2" w:rsidRDefault="00D9465C" w:rsidP="00DD0F28">
            <w:pPr>
              <w:keepNext/>
              <w:jc w:val="right"/>
              <w:rPr>
                <w:color w:val="000000"/>
                <w:sz w:val="16"/>
                <w:szCs w:val="16"/>
              </w:rPr>
            </w:pPr>
            <w:r w:rsidRPr="005E3FD2">
              <w:rPr>
                <w:color w:val="000000"/>
                <w:sz w:val="16"/>
                <w:szCs w:val="16"/>
              </w:rPr>
              <w:t>855</w:t>
            </w:r>
          </w:p>
        </w:tc>
        <w:tc>
          <w:tcPr>
            <w:tcW w:w="1142" w:type="dxa"/>
            <w:tcBorders>
              <w:top w:val="nil"/>
              <w:left w:val="nil"/>
              <w:right w:val="nil"/>
            </w:tcBorders>
            <w:shd w:val="clear" w:color="auto" w:fill="auto"/>
            <w:noWrap/>
          </w:tcPr>
          <w:p w14:paraId="741A7697" w14:textId="77777777" w:rsidR="00D9465C" w:rsidRPr="005E3FD2" w:rsidRDefault="00D9465C" w:rsidP="00DD0F28">
            <w:pPr>
              <w:keepNext/>
              <w:jc w:val="right"/>
              <w:rPr>
                <w:color w:val="000000"/>
                <w:sz w:val="16"/>
                <w:szCs w:val="16"/>
              </w:rPr>
            </w:pPr>
            <w:r w:rsidRPr="005E3FD2">
              <w:rPr>
                <w:color w:val="000000"/>
                <w:sz w:val="16"/>
                <w:szCs w:val="16"/>
              </w:rPr>
              <w:t xml:space="preserve">273,868,076 </w:t>
            </w:r>
          </w:p>
        </w:tc>
        <w:tc>
          <w:tcPr>
            <w:tcW w:w="1268" w:type="dxa"/>
            <w:tcBorders>
              <w:top w:val="nil"/>
              <w:left w:val="nil"/>
              <w:right w:val="single" w:sz="4" w:space="0" w:color="auto"/>
            </w:tcBorders>
            <w:shd w:val="clear" w:color="auto" w:fill="auto"/>
            <w:noWrap/>
            <w:vAlign w:val="center"/>
          </w:tcPr>
          <w:p w14:paraId="36446C67" w14:textId="77777777" w:rsidR="00D9465C" w:rsidRPr="005E3FD2" w:rsidRDefault="00D9465C" w:rsidP="00DD0F28">
            <w:pPr>
              <w:keepNext/>
              <w:jc w:val="right"/>
              <w:rPr>
                <w:color w:val="000000"/>
                <w:sz w:val="16"/>
                <w:szCs w:val="16"/>
              </w:rPr>
            </w:pPr>
            <w:r w:rsidRPr="005E3FD2">
              <w:rPr>
                <w:color w:val="000000"/>
                <w:sz w:val="16"/>
                <w:szCs w:val="16"/>
              </w:rPr>
              <w:t>($215,083,445, $332,656,307)</w:t>
            </w:r>
          </w:p>
        </w:tc>
        <w:tc>
          <w:tcPr>
            <w:tcW w:w="539" w:type="dxa"/>
            <w:tcBorders>
              <w:top w:val="nil"/>
              <w:left w:val="single" w:sz="4" w:space="0" w:color="auto"/>
              <w:right w:val="nil"/>
            </w:tcBorders>
            <w:shd w:val="clear" w:color="auto" w:fill="auto"/>
            <w:noWrap/>
          </w:tcPr>
          <w:p w14:paraId="79FF7478" w14:textId="77777777" w:rsidR="00D9465C" w:rsidRPr="005E3FD2" w:rsidRDefault="00D9465C" w:rsidP="00DD0F28">
            <w:pPr>
              <w:keepNext/>
              <w:jc w:val="right"/>
              <w:rPr>
                <w:color w:val="000000"/>
                <w:sz w:val="16"/>
                <w:szCs w:val="16"/>
              </w:rPr>
            </w:pPr>
            <w:r w:rsidRPr="005E3FD2">
              <w:rPr>
                <w:color w:val="000000"/>
                <w:sz w:val="16"/>
                <w:szCs w:val="16"/>
              </w:rPr>
              <w:t>406</w:t>
            </w:r>
          </w:p>
        </w:tc>
        <w:tc>
          <w:tcPr>
            <w:tcW w:w="1139" w:type="dxa"/>
            <w:tcBorders>
              <w:top w:val="nil"/>
              <w:left w:val="nil"/>
              <w:right w:val="nil"/>
            </w:tcBorders>
            <w:shd w:val="clear" w:color="auto" w:fill="auto"/>
            <w:noWrap/>
          </w:tcPr>
          <w:p w14:paraId="5824239E" w14:textId="77777777" w:rsidR="00D9465C" w:rsidRPr="005E3FD2" w:rsidRDefault="00D9465C" w:rsidP="00DD0F28">
            <w:pPr>
              <w:keepNext/>
              <w:jc w:val="right"/>
              <w:rPr>
                <w:color w:val="000000"/>
                <w:sz w:val="16"/>
                <w:szCs w:val="16"/>
              </w:rPr>
            </w:pPr>
            <w:r w:rsidRPr="005E3FD2">
              <w:rPr>
                <w:color w:val="000000"/>
                <w:sz w:val="16"/>
                <w:szCs w:val="16"/>
              </w:rPr>
              <w:t xml:space="preserve">178,560,444 </w:t>
            </w:r>
          </w:p>
        </w:tc>
        <w:tc>
          <w:tcPr>
            <w:tcW w:w="1299" w:type="dxa"/>
            <w:tcBorders>
              <w:top w:val="nil"/>
              <w:left w:val="nil"/>
              <w:right w:val="single" w:sz="4" w:space="0" w:color="auto"/>
            </w:tcBorders>
            <w:shd w:val="clear" w:color="auto" w:fill="auto"/>
            <w:noWrap/>
            <w:vAlign w:val="center"/>
          </w:tcPr>
          <w:p w14:paraId="7D774055" w14:textId="77777777" w:rsidR="00D9465C" w:rsidRPr="005E3FD2" w:rsidRDefault="00D9465C" w:rsidP="00DD0F28">
            <w:pPr>
              <w:keepNext/>
              <w:jc w:val="right"/>
              <w:rPr>
                <w:color w:val="000000"/>
                <w:sz w:val="16"/>
                <w:szCs w:val="16"/>
              </w:rPr>
            </w:pPr>
            <w:r w:rsidRPr="005E3FD2">
              <w:rPr>
                <w:color w:val="000000"/>
                <w:sz w:val="16"/>
                <w:szCs w:val="16"/>
              </w:rPr>
              <w:t>($143,285,935, $213,827,052)</w:t>
            </w:r>
          </w:p>
        </w:tc>
        <w:tc>
          <w:tcPr>
            <w:tcW w:w="539" w:type="dxa"/>
            <w:tcBorders>
              <w:top w:val="nil"/>
              <w:left w:val="single" w:sz="4" w:space="0" w:color="auto"/>
              <w:right w:val="nil"/>
            </w:tcBorders>
            <w:shd w:val="clear" w:color="auto" w:fill="auto"/>
            <w:noWrap/>
          </w:tcPr>
          <w:p w14:paraId="62EBF836" w14:textId="77777777" w:rsidR="00D9465C" w:rsidRPr="005E3FD2" w:rsidRDefault="00D9465C" w:rsidP="00DD0F28">
            <w:pPr>
              <w:keepNext/>
              <w:jc w:val="right"/>
              <w:rPr>
                <w:color w:val="000000"/>
                <w:sz w:val="16"/>
                <w:szCs w:val="16"/>
              </w:rPr>
            </w:pPr>
            <w:r w:rsidRPr="005E3FD2">
              <w:rPr>
                <w:color w:val="000000"/>
                <w:sz w:val="16"/>
                <w:szCs w:val="16"/>
              </w:rPr>
              <w:t>326</w:t>
            </w:r>
          </w:p>
        </w:tc>
        <w:tc>
          <w:tcPr>
            <w:tcW w:w="1162" w:type="dxa"/>
            <w:tcBorders>
              <w:top w:val="nil"/>
              <w:left w:val="nil"/>
              <w:right w:val="nil"/>
            </w:tcBorders>
            <w:shd w:val="clear" w:color="auto" w:fill="auto"/>
            <w:noWrap/>
          </w:tcPr>
          <w:p w14:paraId="119E08DC" w14:textId="77777777" w:rsidR="00D9465C" w:rsidRPr="005E3FD2" w:rsidRDefault="00D9465C" w:rsidP="00DD0F28">
            <w:pPr>
              <w:keepNext/>
              <w:jc w:val="right"/>
              <w:rPr>
                <w:color w:val="000000"/>
                <w:sz w:val="16"/>
                <w:szCs w:val="16"/>
              </w:rPr>
            </w:pPr>
            <w:r w:rsidRPr="005E3FD2">
              <w:rPr>
                <w:color w:val="000000"/>
                <w:sz w:val="16"/>
                <w:szCs w:val="16"/>
              </w:rPr>
              <w:t xml:space="preserve">144,875,990 </w:t>
            </w:r>
          </w:p>
        </w:tc>
        <w:tc>
          <w:tcPr>
            <w:tcW w:w="1132" w:type="dxa"/>
            <w:tcBorders>
              <w:top w:val="nil"/>
              <w:left w:val="nil"/>
              <w:right w:val="single" w:sz="4" w:space="0" w:color="auto"/>
            </w:tcBorders>
            <w:shd w:val="clear" w:color="auto" w:fill="auto"/>
            <w:noWrap/>
            <w:vAlign w:val="center"/>
          </w:tcPr>
          <w:p w14:paraId="76C6A035" w14:textId="77777777" w:rsidR="00D9465C" w:rsidRPr="005E3FD2" w:rsidRDefault="00D9465C" w:rsidP="00DD0F28">
            <w:pPr>
              <w:keepNext/>
              <w:jc w:val="right"/>
              <w:rPr>
                <w:color w:val="000000"/>
                <w:sz w:val="16"/>
                <w:szCs w:val="16"/>
              </w:rPr>
            </w:pPr>
            <w:r w:rsidRPr="005E3FD2">
              <w:rPr>
                <w:color w:val="000000"/>
                <w:sz w:val="16"/>
                <w:szCs w:val="16"/>
              </w:rPr>
              <w:t>(122,695,819, 167,060,536)</w:t>
            </w:r>
          </w:p>
        </w:tc>
        <w:tc>
          <w:tcPr>
            <w:tcW w:w="539" w:type="dxa"/>
            <w:tcBorders>
              <w:top w:val="nil"/>
              <w:left w:val="single" w:sz="4" w:space="0" w:color="auto"/>
              <w:right w:val="nil"/>
            </w:tcBorders>
            <w:shd w:val="clear" w:color="auto" w:fill="auto"/>
            <w:noWrap/>
          </w:tcPr>
          <w:p w14:paraId="3CFD0B9D" w14:textId="77777777" w:rsidR="00D9465C" w:rsidRPr="005E3FD2" w:rsidRDefault="00D9465C" w:rsidP="00DD0F28">
            <w:pPr>
              <w:keepNext/>
              <w:jc w:val="right"/>
              <w:rPr>
                <w:color w:val="000000"/>
                <w:sz w:val="16"/>
                <w:szCs w:val="16"/>
              </w:rPr>
            </w:pPr>
            <w:r w:rsidRPr="005E3FD2">
              <w:rPr>
                <w:color w:val="000000"/>
                <w:sz w:val="16"/>
                <w:szCs w:val="16"/>
              </w:rPr>
              <w:t>279</w:t>
            </w:r>
          </w:p>
        </w:tc>
        <w:tc>
          <w:tcPr>
            <w:tcW w:w="1164" w:type="dxa"/>
            <w:tcBorders>
              <w:top w:val="nil"/>
              <w:left w:val="nil"/>
              <w:right w:val="nil"/>
            </w:tcBorders>
            <w:shd w:val="clear" w:color="auto" w:fill="auto"/>
            <w:noWrap/>
          </w:tcPr>
          <w:p w14:paraId="52B35156" w14:textId="77777777" w:rsidR="00D9465C" w:rsidRPr="005E3FD2" w:rsidRDefault="00D9465C" w:rsidP="00DD0F28">
            <w:pPr>
              <w:keepNext/>
              <w:jc w:val="right"/>
              <w:rPr>
                <w:color w:val="000000"/>
                <w:sz w:val="16"/>
                <w:szCs w:val="16"/>
              </w:rPr>
            </w:pPr>
            <w:r w:rsidRPr="005E3FD2">
              <w:rPr>
                <w:color w:val="000000"/>
                <w:sz w:val="16"/>
                <w:szCs w:val="16"/>
              </w:rPr>
              <w:t xml:space="preserve">166,999,414 </w:t>
            </w:r>
          </w:p>
        </w:tc>
        <w:tc>
          <w:tcPr>
            <w:tcW w:w="1308" w:type="dxa"/>
            <w:tcBorders>
              <w:top w:val="nil"/>
              <w:left w:val="nil"/>
              <w:right w:val="nil"/>
            </w:tcBorders>
            <w:shd w:val="clear" w:color="auto" w:fill="auto"/>
            <w:noWrap/>
            <w:vAlign w:val="center"/>
          </w:tcPr>
          <w:p w14:paraId="44443F23" w14:textId="77777777" w:rsidR="00D9465C" w:rsidRPr="005E3FD2" w:rsidRDefault="00D9465C" w:rsidP="00DD0F28">
            <w:pPr>
              <w:keepNext/>
              <w:jc w:val="right"/>
              <w:rPr>
                <w:color w:val="000000"/>
                <w:sz w:val="16"/>
                <w:szCs w:val="16"/>
              </w:rPr>
            </w:pPr>
            <w:r w:rsidRPr="005E3FD2">
              <w:rPr>
                <w:color w:val="000000"/>
                <w:sz w:val="16"/>
                <w:szCs w:val="16"/>
              </w:rPr>
              <w:t>(125,896,997, 208,109,009)</w:t>
            </w:r>
          </w:p>
        </w:tc>
      </w:tr>
      <w:tr w:rsidR="00D9465C" w:rsidRPr="005E3FD2" w14:paraId="5BF1D64C" w14:textId="77777777" w:rsidTr="00DD0F28">
        <w:tc>
          <w:tcPr>
            <w:tcW w:w="992" w:type="dxa"/>
            <w:tcBorders>
              <w:top w:val="nil"/>
              <w:left w:val="nil"/>
              <w:bottom w:val="single" w:sz="4" w:space="0" w:color="auto"/>
              <w:right w:val="nil"/>
            </w:tcBorders>
            <w:shd w:val="clear" w:color="auto" w:fill="auto"/>
            <w:noWrap/>
            <w:hideMark/>
          </w:tcPr>
          <w:p w14:paraId="1C6053A4" w14:textId="77777777" w:rsidR="00D9465C" w:rsidRPr="005E3FD2" w:rsidRDefault="00D9465C" w:rsidP="00DD0F28">
            <w:pPr>
              <w:spacing w:after="20"/>
              <w:rPr>
                <w:color w:val="000000"/>
                <w:sz w:val="16"/>
                <w:szCs w:val="16"/>
                <w:lang w:eastAsia="en-NZ"/>
              </w:rPr>
            </w:pPr>
          </w:p>
        </w:tc>
        <w:tc>
          <w:tcPr>
            <w:tcW w:w="1119" w:type="dxa"/>
            <w:tcBorders>
              <w:top w:val="nil"/>
              <w:left w:val="nil"/>
              <w:bottom w:val="single" w:sz="4" w:space="0" w:color="auto"/>
              <w:right w:val="nil"/>
            </w:tcBorders>
            <w:shd w:val="clear" w:color="auto" w:fill="auto"/>
            <w:noWrap/>
            <w:hideMark/>
          </w:tcPr>
          <w:p w14:paraId="36757EFD" w14:textId="77777777" w:rsidR="00D9465C" w:rsidRPr="005E3FD2" w:rsidRDefault="00D9465C" w:rsidP="00DD0F28">
            <w:pPr>
              <w:spacing w:after="20"/>
              <w:rPr>
                <w:i/>
                <w:color w:val="000000"/>
                <w:sz w:val="16"/>
                <w:szCs w:val="16"/>
                <w:lang w:eastAsia="en-NZ"/>
              </w:rPr>
            </w:pPr>
            <w:r w:rsidRPr="005E3FD2">
              <w:rPr>
                <w:i/>
                <w:color w:val="000000"/>
                <w:sz w:val="16"/>
                <w:szCs w:val="16"/>
                <w:lang w:eastAsia="en-NZ"/>
              </w:rPr>
              <w:t>Total</w:t>
            </w:r>
          </w:p>
        </w:tc>
        <w:tc>
          <w:tcPr>
            <w:tcW w:w="582" w:type="dxa"/>
            <w:tcBorders>
              <w:top w:val="nil"/>
              <w:left w:val="nil"/>
              <w:bottom w:val="single" w:sz="4" w:space="0" w:color="auto"/>
              <w:right w:val="nil"/>
            </w:tcBorders>
            <w:shd w:val="clear" w:color="auto" w:fill="auto"/>
            <w:noWrap/>
          </w:tcPr>
          <w:p w14:paraId="54958387" w14:textId="77777777" w:rsidR="00D9465C" w:rsidRPr="005E3FD2" w:rsidRDefault="00D9465C" w:rsidP="00DD0F28">
            <w:pPr>
              <w:jc w:val="right"/>
              <w:rPr>
                <w:color w:val="000000"/>
                <w:sz w:val="16"/>
                <w:szCs w:val="16"/>
              </w:rPr>
            </w:pPr>
            <w:r w:rsidRPr="005E3FD2">
              <w:rPr>
                <w:color w:val="000000"/>
                <w:sz w:val="16"/>
                <w:szCs w:val="16"/>
              </w:rPr>
              <w:t>1097</w:t>
            </w:r>
          </w:p>
        </w:tc>
        <w:tc>
          <w:tcPr>
            <w:tcW w:w="1142" w:type="dxa"/>
            <w:tcBorders>
              <w:top w:val="nil"/>
              <w:left w:val="nil"/>
              <w:bottom w:val="single" w:sz="4" w:space="0" w:color="auto"/>
              <w:right w:val="nil"/>
            </w:tcBorders>
            <w:shd w:val="clear" w:color="auto" w:fill="auto"/>
            <w:noWrap/>
          </w:tcPr>
          <w:p w14:paraId="06E3C729" w14:textId="77777777" w:rsidR="00D9465C" w:rsidRPr="005E3FD2" w:rsidRDefault="00D9465C" w:rsidP="00DD0F28">
            <w:pPr>
              <w:jc w:val="right"/>
              <w:rPr>
                <w:color w:val="000000"/>
                <w:sz w:val="16"/>
                <w:szCs w:val="16"/>
              </w:rPr>
            </w:pPr>
            <w:r w:rsidRPr="005E3FD2">
              <w:rPr>
                <w:color w:val="000000"/>
                <w:sz w:val="16"/>
                <w:szCs w:val="16"/>
              </w:rPr>
              <w:t xml:space="preserve">453,043,878 </w:t>
            </w:r>
          </w:p>
        </w:tc>
        <w:tc>
          <w:tcPr>
            <w:tcW w:w="1268" w:type="dxa"/>
            <w:tcBorders>
              <w:top w:val="nil"/>
              <w:left w:val="nil"/>
              <w:bottom w:val="single" w:sz="4" w:space="0" w:color="auto"/>
              <w:right w:val="single" w:sz="4" w:space="0" w:color="auto"/>
            </w:tcBorders>
            <w:shd w:val="clear" w:color="auto" w:fill="auto"/>
            <w:noWrap/>
            <w:vAlign w:val="center"/>
          </w:tcPr>
          <w:p w14:paraId="6B5C1FB2" w14:textId="77777777" w:rsidR="00D9465C" w:rsidRPr="005E3FD2" w:rsidRDefault="00D9465C" w:rsidP="00DD0F28">
            <w:pPr>
              <w:jc w:val="right"/>
              <w:rPr>
                <w:color w:val="000000"/>
                <w:sz w:val="16"/>
                <w:szCs w:val="16"/>
              </w:rPr>
            </w:pPr>
            <w:r w:rsidRPr="005E3FD2">
              <w:rPr>
                <w:color w:val="000000"/>
                <w:sz w:val="16"/>
                <w:szCs w:val="16"/>
              </w:rPr>
              <w:t>($381,053,801, $525,031,987)</w:t>
            </w:r>
          </w:p>
        </w:tc>
        <w:tc>
          <w:tcPr>
            <w:tcW w:w="539" w:type="dxa"/>
            <w:tcBorders>
              <w:top w:val="nil"/>
              <w:left w:val="single" w:sz="4" w:space="0" w:color="auto"/>
              <w:bottom w:val="single" w:sz="4" w:space="0" w:color="auto"/>
              <w:right w:val="nil"/>
            </w:tcBorders>
            <w:shd w:val="clear" w:color="auto" w:fill="auto"/>
            <w:noWrap/>
          </w:tcPr>
          <w:p w14:paraId="4838EB85" w14:textId="77777777" w:rsidR="00D9465C" w:rsidRPr="005E3FD2" w:rsidRDefault="00D9465C" w:rsidP="00DD0F28">
            <w:pPr>
              <w:jc w:val="right"/>
              <w:rPr>
                <w:color w:val="000000"/>
                <w:sz w:val="16"/>
                <w:szCs w:val="16"/>
              </w:rPr>
            </w:pPr>
            <w:r w:rsidRPr="005E3FD2">
              <w:rPr>
                <w:color w:val="000000"/>
                <w:sz w:val="16"/>
                <w:szCs w:val="16"/>
              </w:rPr>
              <w:t>528</w:t>
            </w:r>
          </w:p>
        </w:tc>
        <w:tc>
          <w:tcPr>
            <w:tcW w:w="1139" w:type="dxa"/>
            <w:tcBorders>
              <w:top w:val="nil"/>
              <w:left w:val="nil"/>
              <w:bottom w:val="single" w:sz="4" w:space="0" w:color="auto"/>
              <w:right w:val="nil"/>
            </w:tcBorders>
            <w:shd w:val="clear" w:color="auto" w:fill="auto"/>
            <w:noWrap/>
          </w:tcPr>
          <w:p w14:paraId="4AB030E5" w14:textId="77777777" w:rsidR="00D9465C" w:rsidRPr="005E3FD2" w:rsidRDefault="00D9465C" w:rsidP="00DD0F28">
            <w:pPr>
              <w:jc w:val="right"/>
              <w:rPr>
                <w:color w:val="000000"/>
                <w:sz w:val="16"/>
                <w:szCs w:val="16"/>
              </w:rPr>
            </w:pPr>
            <w:r w:rsidRPr="005E3FD2">
              <w:rPr>
                <w:color w:val="000000"/>
                <w:sz w:val="16"/>
                <w:szCs w:val="16"/>
              </w:rPr>
              <w:t xml:space="preserve">286,980,450 </w:t>
            </w:r>
          </w:p>
        </w:tc>
        <w:tc>
          <w:tcPr>
            <w:tcW w:w="1299" w:type="dxa"/>
            <w:tcBorders>
              <w:top w:val="nil"/>
              <w:left w:val="nil"/>
              <w:bottom w:val="single" w:sz="4" w:space="0" w:color="auto"/>
              <w:right w:val="single" w:sz="4" w:space="0" w:color="auto"/>
            </w:tcBorders>
            <w:shd w:val="clear" w:color="auto" w:fill="auto"/>
            <w:noWrap/>
            <w:vAlign w:val="center"/>
          </w:tcPr>
          <w:p w14:paraId="6450AA64" w14:textId="77777777" w:rsidR="00D9465C" w:rsidRPr="005E3FD2" w:rsidRDefault="00D9465C" w:rsidP="00DD0F28">
            <w:pPr>
              <w:jc w:val="right"/>
              <w:rPr>
                <w:color w:val="000000"/>
                <w:sz w:val="16"/>
                <w:szCs w:val="16"/>
              </w:rPr>
            </w:pPr>
            <w:r w:rsidRPr="005E3FD2">
              <w:rPr>
                <w:color w:val="000000"/>
                <w:sz w:val="16"/>
                <w:szCs w:val="16"/>
              </w:rPr>
              <w:t>($240,265,779, $333,702,255)</w:t>
            </w:r>
          </w:p>
        </w:tc>
        <w:tc>
          <w:tcPr>
            <w:tcW w:w="539" w:type="dxa"/>
            <w:tcBorders>
              <w:top w:val="nil"/>
              <w:left w:val="single" w:sz="4" w:space="0" w:color="auto"/>
              <w:bottom w:val="single" w:sz="4" w:space="0" w:color="auto"/>
              <w:right w:val="nil"/>
            </w:tcBorders>
            <w:shd w:val="clear" w:color="auto" w:fill="auto"/>
            <w:noWrap/>
          </w:tcPr>
          <w:p w14:paraId="05A59912" w14:textId="77777777" w:rsidR="00D9465C" w:rsidRPr="005E3FD2" w:rsidRDefault="00D9465C" w:rsidP="00DD0F28">
            <w:pPr>
              <w:jc w:val="right"/>
              <w:rPr>
                <w:color w:val="000000"/>
                <w:sz w:val="16"/>
                <w:szCs w:val="16"/>
              </w:rPr>
            </w:pPr>
            <w:r w:rsidRPr="005E3FD2">
              <w:rPr>
                <w:color w:val="000000"/>
                <w:sz w:val="16"/>
                <w:szCs w:val="16"/>
              </w:rPr>
              <w:t>424</w:t>
            </w:r>
          </w:p>
        </w:tc>
        <w:tc>
          <w:tcPr>
            <w:tcW w:w="1162" w:type="dxa"/>
            <w:tcBorders>
              <w:top w:val="nil"/>
              <w:left w:val="nil"/>
              <w:bottom w:val="single" w:sz="4" w:space="0" w:color="auto"/>
              <w:right w:val="nil"/>
            </w:tcBorders>
            <w:shd w:val="clear" w:color="auto" w:fill="auto"/>
            <w:noWrap/>
          </w:tcPr>
          <w:p w14:paraId="3CEDF9BE" w14:textId="77777777" w:rsidR="00D9465C" w:rsidRPr="005E3FD2" w:rsidRDefault="00D9465C" w:rsidP="00DD0F28">
            <w:pPr>
              <w:jc w:val="right"/>
              <w:rPr>
                <w:color w:val="000000"/>
                <w:sz w:val="16"/>
                <w:szCs w:val="16"/>
              </w:rPr>
            </w:pPr>
            <w:r w:rsidRPr="005E3FD2">
              <w:rPr>
                <w:color w:val="000000"/>
                <w:sz w:val="16"/>
                <w:szCs w:val="16"/>
              </w:rPr>
              <w:t xml:space="preserve">250,545,913 </w:t>
            </w:r>
          </w:p>
        </w:tc>
        <w:tc>
          <w:tcPr>
            <w:tcW w:w="1132" w:type="dxa"/>
            <w:tcBorders>
              <w:top w:val="nil"/>
              <w:left w:val="nil"/>
              <w:bottom w:val="single" w:sz="4" w:space="0" w:color="auto"/>
              <w:right w:val="single" w:sz="4" w:space="0" w:color="auto"/>
            </w:tcBorders>
            <w:shd w:val="clear" w:color="auto" w:fill="auto"/>
            <w:noWrap/>
            <w:vAlign w:val="center"/>
          </w:tcPr>
          <w:p w14:paraId="1092BC54" w14:textId="77777777" w:rsidR="00D9465C" w:rsidRPr="005E3FD2" w:rsidRDefault="00D9465C" w:rsidP="00DD0F28">
            <w:pPr>
              <w:jc w:val="right"/>
              <w:rPr>
                <w:color w:val="000000"/>
                <w:sz w:val="16"/>
                <w:szCs w:val="16"/>
              </w:rPr>
            </w:pPr>
            <w:r w:rsidRPr="005E3FD2">
              <w:rPr>
                <w:color w:val="000000"/>
                <w:sz w:val="16"/>
                <w:szCs w:val="16"/>
              </w:rPr>
              <w:t>(213,391,606, 287,688,298)</w:t>
            </w:r>
          </w:p>
        </w:tc>
        <w:tc>
          <w:tcPr>
            <w:tcW w:w="539" w:type="dxa"/>
            <w:tcBorders>
              <w:top w:val="nil"/>
              <w:left w:val="single" w:sz="4" w:space="0" w:color="auto"/>
              <w:bottom w:val="single" w:sz="4" w:space="0" w:color="auto"/>
              <w:right w:val="nil"/>
            </w:tcBorders>
            <w:shd w:val="clear" w:color="auto" w:fill="auto"/>
            <w:noWrap/>
          </w:tcPr>
          <w:p w14:paraId="684F8EDF" w14:textId="77777777" w:rsidR="00D9465C" w:rsidRPr="005E3FD2" w:rsidRDefault="00D9465C" w:rsidP="00DD0F28">
            <w:pPr>
              <w:jc w:val="right"/>
              <w:rPr>
                <w:color w:val="000000"/>
                <w:sz w:val="16"/>
                <w:szCs w:val="16"/>
              </w:rPr>
            </w:pPr>
            <w:r w:rsidRPr="005E3FD2">
              <w:rPr>
                <w:color w:val="000000"/>
                <w:sz w:val="16"/>
                <w:szCs w:val="16"/>
              </w:rPr>
              <w:t>353</w:t>
            </w:r>
          </w:p>
        </w:tc>
        <w:tc>
          <w:tcPr>
            <w:tcW w:w="1164" w:type="dxa"/>
            <w:tcBorders>
              <w:top w:val="nil"/>
              <w:left w:val="nil"/>
              <w:bottom w:val="single" w:sz="4" w:space="0" w:color="auto"/>
              <w:right w:val="nil"/>
            </w:tcBorders>
            <w:shd w:val="clear" w:color="auto" w:fill="auto"/>
            <w:noWrap/>
          </w:tcPr>
          <w:p w14:paraId="4F28EF3B" w14:textId="77777777" w:rsidR="00D9465C" w:rsidRPr="005E3FD2" w:rsidRDefault="00D9465C" w:rsidP="00DD0F28">
            <w:pPr>
              <w:jc w:val="right"/>
              <w:rPr>
                <w:color w:val="000000"/>
                <w:sz w:val="16"/>
                <w:szCs w:val="16"/>
              </w:rPr>
            </w:pPr>
            <w:r w:rsidRPr="005E3FD2">
              <w:rPr>
                <w:color w:val="000000"/>
                <w:sz w:val="16"/>
                <w:szCs w:val="16"/>
              </w:rPr>
              <w:t xml:space="preserve">285,935,372 </w:t>
            </w:r>
          </w:p>
        </w:tc>
        <w:tc>
          <w:tcPr>
            <w:tcW w:w="1308" w:type="dxa"/>
            <w:tcBorders>
              <w:top w:val="nil"/>
              <w:left w:val="nil"/>
              <w:bottom w:val="single" w:sz="4" w:space="0" w:color="auto"/>
              <w:right w:val="nil"/>
            </w:tcBorders>
            <w:shd w:val="clear" w:color="auto" w:fill="auto"/>
            <w:noWrap/>
            <w:vAlign w:val="center"/>
          </w:tcPr>
          <w:p w14:paraId="706E8BB0" w14:textId="77777777" w:rsidR="00D9465C" w:rsidRPr="005E3FD2" w:rsidRDefault="00D9465C" w:rsidP="00DD0F28">
            <w:pPr>
              <w:jc w:val="right"/>
              <w:rPr>
                <w:color w:val="000000"/>
                <w:sz w:val="16"/>
                <w:szCs w:val="16"/>
              </w:rPr>
            </w:pPr>
            <w:r w:rsidRPr="005E3FD2">
              <w:rPr>
                <w:color w:val="000000"/>
                <w:sz w:val="16"/>
                <w:szCs w:val="16"/>
              </w:rPr>
              <w:t>(213,543,717, 358,339,142)</w:t>
            </w:r>
          </w:p>
        </w:tc>
      </w:tr>
    </w:tbl>
    <w:p w14:paraId="67B70915" w14:textId="77777777" w:rsidR="00D9465C" w:rsidRDefault="00D9465C" w:rsidP="00D9465C">
      <w:pPr>
        <w:ind w:left="142"/>
        <w:rPr>
          <w:rFonts w:eastAsiaTheme="majorEastAsia"/>
          <w:sz w:val="16"/>
          <w:lang w:eastAsia="en-US"/>
        </w:rPr>
      </w:pPr>
      <w:r w:rsidRPr="00D05AB1">
        <w:rPr>
          <w:sz w:val="16"/>
          <w:szCs w:val="16"/>
        </w:rPr>
        <w:t>Data weighted for 2013 Census data (</w:t>
      </w:r>
      <w:r>
        <w:rPr>
          <w:sz w:val="16"/>
          <w:szCs w:val="16"/>
        </w:rPr>
        <w:t>all w</w:t>
      </w:r>
      <w:r w:rsidRPr="00D05AB1">
        <w:rPr>
          <w:sz w:val="16"/>
          <w:szCs w:val="16"/>
        </w:rPr>
        <w:t>aves) and attrition (Wave</w:t>
      </w:r>
      <w:r>
        <w:rPr>
          <w:sz w:val="16"/>
          <w:szCs w:val="16"/>
        </w:rPr>
        <w:t>s</w:t>
      </w:r>
      <w:r w:rsidRPr="00D05AB1">
        <w:rPr>
          <w:sz w:val="16"/>
          <w:szCs w:val="16"/>
        </w:rPr>
        <w:t xml:space="preserve"> 2</w:t>
      </w:r>
      <w:r>
        <w:rPr>
          <w:sz w:val="16"/>
          <w:szCs w:val="16"/>
        </w:rPr>
        <w:t>,</w:t>
      </w:r>
      <w:r w:rsidRPr="00D05AB1">
        <w:rPr>
          <w:sz w:val="16"/>
          <w:szCs w:val="16"/>
        </w:rPr>
        <w:t xml:space="preserve"> 3</w:t>
      </w:r>
      <w:r>
        <w:rPr>
          <w:sz w:val="16"/>
          <w:szCs w:val="16"/>
        </w:rPr>
        <w:t xml:space="preserve"> and 4</w:t>
      </w:r>
      <w:r w:rsidRPr="00D05AB1">
        <w:rPr>
          <w:sz w:val="16"/>
          <w:szCs w:val="16"/>
        </w:rPr>
        <w:t>)</w:t>
      </w:r>
    </w:p>
    <w:p w14:paraId="73E464E9" w14:textId="77777777" w:rsidR="00D9465C" w:rsidRPr="00EA483D" w:rsidRDefault="00D9465C" w:rsidP="00D9465C">
      <w:pPr>
        <w:ind w:left="142"/>
        <w:rPr>
          <w:rFonts w:eastAsiaTheme="majorEastAsia"/>
          <w:sz w:val="16"/>
          <w:lang w:eastAsia="en-US"/>
        </w:rPr>
      </w:pPr>
      <w:r w:rsidRPr="00EA483D">
        <w:rPr>
          <w:rFonts w:eastAsiaTheme="majorEastAsia"/>
          <w:sz w:val="16"/>
          <w:lang w:eastAsia="en-US"/>
        </w:rPr>
        <w:t>! Confidence interval not calculable due to small sample size and non-normal distribution</w:t>
      </w:r>
    </w:p>
    <w:p w14:paraId="1C002945" w14:textId="77777777" w:rsidR="00D9465C" w:rsidRDefault="00D9465C">
      <w:pPr>
        <w:spacing w:after="200" w:line="276" w:lineRule="auto"/>
        <w:rPr>
          <w:rFonts w:eastAsiaTheme="majorEastAsia" w:cstheme="majorBidi"/>
          <w:b/>
          <w:bCs/>
          <w:caps/>
          <w:szCs w:val="28"/>
          <w:lang w:eastAsia="en-US"/>
        </w:rPr>
      </w:pPr>
      <w:r>
        <w:br w:type="page"/>
      </w:r>
    </w:p>
    <w:p w14:paraId="4D3C01D3" w14:textId="77777777" w:rsidR="00D9465C" w:rsidRDefault="00D9465C" w:rsidP="00D9465C">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bookmarkStart w:id="214" w:name="_Toc504488414"/>
      <w:r>
        <w:t>APPENDIX 21:</w:t>
      </w:r>
      <w:r>
        <w:br/>
      </w:r>
      <w:r>
        <w:rPr>
          <w:caps w:val="0"/>
        </w:rPr>
        <w:t>Typical month Class 4 expenditure by demographics for Waves 1, 2, 3 and 4</w:t>
      </w:r>
      <w:bookmarkEnd w:id="214"/>
    </w:p>
    <w:p w14:paraId="121ED99E" w14:textId="77777777" w:rsidR="00D9465C" w:rsidRPr="000848C3" w:rsidRDefault="00D9465C" w:rsidP="00D9465C">
      <w:pPr>
        <w:pStyle w:val="RepNormal"/>
      </w:pPr>
    </w:p>
    <w:tbl>
      <w:tblPr>
        <w:tblW w:w="15132" w:type="dxa"/>
        <w:tblInd w:w="-709" w:type="dxa"/>
        <w:tblLook w:val="04A0" w:firstRow="1" w:lastRow="0" w:firstColumn="1" w:lastColumn="0" w:noHBand="0" w:noVBand="1"/>
      </w:tblPr>
      <w:tblGrid>
        <w:gridCol w:w="1043"/>
        <w:gridCol w:w="460"/>
        <w:gridCol w:w="677"/>
        <w:gridCol w:w="823"/>
        <w:gridCol w:w="656"/>
        <w:gridCol w:w="501"/>
        <w:gridCol w:w="576"/>
        <w:gridCol w:w="456"/>
        <w:gridCol w:w="656"/>
        <w:gridCol w:w="741"/>
        <w:gridCol w:w="656"/>
        <w:gridCol w:w="501"/>
        <w:gridCol w:w="576"/>
        <w:gridCol w:w="456"/>
        <w:gridCol w:w="608"/>
        <w:gridCol w:w="741"/>
        <w:gridCol w:w="576"/>
        <w:gridCol w:w="501"/>
        <w:gridCol w:w="528"/>
        <w:gridCol w:w="456"/>
        <w:gridCol w:w="608"/>
        <w:gridCol w:w="741"/>
        <w:gridCol w:w="656"/>
        <w:gridCol w:w="501"/>
        <w:gridCol w:w="576"/>
      </w:tblGrid>
      <w:tr w:rsidR="00D9465C" w:rsidRPr="005E3FD2" w14:paraId="42378A1F" w14:textId="77777777" w:rsidTr="00DD0F28">
        <w:tc>
          <w:tcPr>
            <w:tcW w:w="0" w:type="auto"/>
            <w:tcBorders>
              <w:top w:val="single" w:sz="4" w:space="0" w:color="auto"/>
              <w:left w:val="nil"/>
              <w:bottom w:val="nil"/>
              <w:right w:val="nil"/>
            </w:tcBorders>
            <w:shd w:val="clear" w:color="auto" w:fill="auto"/>
            <w:noWrap/>
            <w:vAlign w:val="bottom"/>
            <w:hideMark/>
          </w:tcPr>
          <w:p w14:paraId="448F2D55" w14:textId="77777777" w:rsidR="00D9465C" w:rsidRPr="005E3FD2" w:rsidRDefault="00D9465C" w:rsidP="00DD0F28">
            <w:pPr>
              <w:spacing w:after="20"/>
              <w:jc w:val="center"/>
              <w:rPr>
                <w:sz w:val="16"/>
                <w:szCs w:val="16"/>
                <w:lang w:eastAsia="en-NZ"/>
              </w:rPr>
            </w:pPr>
          </w:p>
        </w:tc>
        <w:tc>
          <w:tcPr>
            <w:tcW w:w="3678" w:type="dxa"/>
            <w:gridSpan w:val="6"/>
            <w:tcBorders>
              <w:top w:val="single" w:sz="4" w:space="0" w:color="auto"/>
              <w:left w:val="nil"/>
              <w:bottom w:val="single" w:sz="4" w:space="0" w:color="auto"/>
              <w:right w:val="single" w:sz="4" w:space="0" w:color="auto"/>
            </w:tcBorders>
            <w:shd w:val="clear" w:color="auto" w:fill="auto"/>
            <w:noWrap/>
            <w:vAlign w:val="bottom"/>
            <w:hideMark/>
          </w:tcPr>
          <w:p w14:paraId="43CAF2CA" w14:textId="77777777" w:rsidR="00D9465C" w:rsidRPr="005E3FD2" w:rsidRDefault="00D9465C" w:rsidP="00DD0F28">
            <w:pPr>
              <w:spacing w:after="20"/>
              <w:jc w:val="center"/>
              <w:rPr>
                <w:b/>
                <w:sz w:val="16"/>
                <w:szCs w:val="16"/>
                <w:lang w:eastAsia="en-NZ"/>
              </w:rPr>
            </w:pPr>
            <w:r w:rsidRPr="005E3FD2">
              <w:rPr>
                <w:b/>
                <w:color w:val="000000"/>
                <w:sz w:val="16"/>
                <w:szCs w:val="16"/>
                <w:lang w:eastAsia="en-NZ"/>
              </w:rPr>
              <w:t>Wave 1</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11236" w14:textId="77777777" w:rsidR="00D9465C" w:rsidRPr="005E3FD2" w:rsidRDefault="00D9465C" w:rsidP="00DD0F28">
            <w:pPr>
              <w:spacing w:after="20"/>
              <w:jc w:val="center"/>
              <w:rPr>
                <w:b/>
                <w:sz w:val="16"/>
                <w:szCs w:val="16"/>
                <w:lang w:eastAsia="en-NZ"/>
              </w:rPr>
            </w:pPr>
            <w:r w:rsidRPr="005E3FD2">
              <w:rPr>
                <w:b/>
                <w:color w:val="000000"/>
                <w:sz w:val="16"/>
                <w:szCs w:val="16"/>
                <w:lang w:eastAsia="en-NZ"/>
              </w:rPr>
              <w:t>Wave 2</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491DB" w14:textId="77777777" w:rsidR="00D9465C" w:rsidRPr="005E3FD2" w:rsidRDefault="00D9465C" w:rsidP="00DD0F28">
            <w:pPr>
              <w:spacing w:after="20"/>
              <w:jc w:val="center"/>
              <w:rPr>
                <w:b/>
                <w:sz w:val="16"/>
                <w:szCs w:val="16"/>
                <w:lang w:eastAsia="en-NZ"/>
              </w:rPr>
            </w:pPr>
            <w:r w:rsidRPr="005E3FD2">
              <w:rPr>
                <w:b/>
                <w:color w:val="000000"/>
                <w:sz w:val="16"/>
                <w:szCs w:val="16"/>
                <w:lang w:eastAsia="en-NZ"/>
              </w:rPr>
              <w:t>Wave 3</w:t>
            </w:r>
          </w:p>
        </w:tc>
        <w:tc>
          <w:tcPr>
            <w:tcW w:w="0" w:type="auto"/>
            <w:gridSpan w:val="6"/>
            <w:tcBorders>
              <w:top w:val="single" w:sz="4" w:space="0" w:color="auto"/>
              <w:left w:val="single" w:sz="4" w:space="0" w:color="auto"/>
              <w:bottom w:val="single" w:sz="4" w:space="0" w:color="auto"/>
              <w:right w:val="nil"/>
            </w:tcBorders>
            <w:shd w:val="clear" w:color="auto" w:fill="auto"/>
            <w:noWrap/>
            <w:vAlign w:val="bottom"/>
            <w:hideMark/>
          </w:tcPr>
          <w:p w14:paraId="704C8281" w14:textId="77777777" w:rsidR="00D9465C" w:rsidRPr="005E3FD2" w:rsidRDefault="00D9465C" w:rsidP="00DD0F28">
            <w:pPr>
              <w:spacing w:after="20"/>
              <w:jc w:val="center"/>
              <w:rPr>
                <w:b/>
                <w:sz w:val="16"/>
                <w:szCs w:val="16"/>
                <w:lang w:eastAsia="en-NZ"/>
              </w:rPr>
            </w:pPr>
            <w:r w:rsidRPr="005E3FD2">
              <w:rPr>
                <w:b/>
                <w:color w:val="000000"/>
                <w:sz w:val="16"/>
                <w:szCs w:val="16"/>
                <w:lang w:eastAsia="en-NZ"/>
              </w:rPr>
              <w:t>Wave 4</w:t>
            </w:r>
          </w:p>
        </w:tc>
      </w:tr>
      <w:tr w:rsidR="00D9465C" w:rsidRPr="005E3FD2" w14:paraId="11E51EB1" w14:textId="77777777" w:rsidTr="00DD0F28">
        <w:tc>
          <w:tcPr>
            <w:tcW w:w="0" w:type="auto"/>
            <w:tcBorders>
              <w:top w:val="nil"/>
              <w:left w:val="nil"/>
              <w:bottom w:val="single" w:sz="4" w:space="0" w:color="auto"/>
              <w:right w:val="nil"/>
            </w:tcBorders>
            <w:shd w:val="clear" w:color="auto" w:fill="auto"/>
            <w:noWrap/>
            <w:vAlign w:val="bottom"/>
            <w:hideMark/>
          </w:tcPr>
          <w:p w14:paraId="67BA9975" w14:textId="77777777" w:rsidR="00D9465C" w:rsidRPr="005E3FD2" w:rsidRDefault="00D9465C" w:rsidP="00DD0F28">
            <w:pPr>
              <w:spacing w:after="20"/>
              <w:jc w:val="center"/>
              <w:rPr>
                <w:sz w:val="16"/>
                <w:szCs w:val="16"/>
                <w:lang w:eastAsia="en-NZ"/>
              </w:rPr>
            </w:pPr>
          </w:p>
        </w:tc>
        <w:tc>
          <w:tcPr>
            <w:tcW w:w="460" w:type="dxa"/>
            <w:tcBorders>
              <w:top w:val="single" w:sz="4" w:space="0" w:color="auto"/>
              <w:left w:val="nil"/>
              <w:bottom w:val="single" w:sz="4" w:space="0" w:color="auto"/>
              <w:right w:val="nil"/>
            </w:tcBorders>
            <w:shd w:val="clear" w:color="auto" w:fill="auto"/>
            <w:noWrap/>
            <w:vAlign w:val="center"/>
            <w:hideMark/>
          </w:tcPr>
          <w:p w14:paraId="7C9E014E"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n</w:t>
            </w:r>
          </w:p>
        </w:tc>
        <w:tc>
          <w:tcPr>
            <w:tcW w:w="677" w:type="dxa"/>
            <w:tcBorders>
              <w:top w:val="single" w:sz="4" w:space="0" w:color="auto"/>
              <w:left w:val="nil"/>
              <w:bottom w:val="single" w:sz="4" w:space="0" w:color="auto"/>
              <w:right w:val="nil"/>
            </w:tcBorders>
            <w:shd w:val="clear" w:color="auto" w:fill="auto"/>
            <w:noWrap/>
            <w:vAlign w:val="center"/>
            <w:hideMark/>
          </w:tcPr>
          <w:p w14:paraId="54A50B70"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Mean</w:t>
            </w:r>
          </w:p>
          <w:p w14:paraId="5AB4BC80"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w:t>
            </w:r>
          </w:p>
        </w:tc>
        <w:tc>
          <w:tcPr>
            <w:tcW w:w="823" w:type="dxa"/>
            <w:tcBorders>
              <w:top w:val="single" w:sz="4" w:space="0" w:color="auto"/>
              <w:left w:val="nil"/>
              <w:bottom w:val="single" w:sz="4" w:space="0" w:color="auto"/>
              <w:right w:val="nil"/>
            </w:tcBorders>
            <w:shd w:val="clear" w:color="auto" w:fill="auto"/>
            <w:noWrap/>
            <w:vAlign w:val="center"/>
            <w:hideMark/>
          </w:tcPr>
          <w:p w14:paraId="62B05B28"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Median</w:t>
            </w:r>
          </w:p>
          <w:p w14:paraId="22A5F383"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w:t>
            </w:r>
          </w:p>
        </w:tc>
        <w:tc>
          <w:tcPr>
            <w:tcW w:w="0" w:type="auto"/>
            <w:tcBorders>
              <w:top w:val="single" w:sz="4" w:space="0" w:color="auto"/>
              <w:left w:val="nil"/>
              <w:bottom w:val="single" w:sz="4" w:space="0" w:color="auto"/>
              <w:right w:val="nil"/>
            </w:tcBorders>
            <w:shd w:val="clear" w:color="auto" w:fill="auto"/>
            <w:noWrap/>
            <w:vAlign w:val="center"/>
            <w:hideMark/>
          </w:tcPr>
          <w:p w14:paraId="537BA43B"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SD</w:t>
            </w:r>
          </w:p>
          <w:p w14:paraId="49585BC0"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w:t>
            </w:r>
          </w:p>
        </w:tc>
        <w:tc>
          <w:tcPr>
            <w:tcW w:w="0" w:type="auto"/>
            <w:tcBorders>
              <w:top w:val="single" w:sz="4" w:space="0" w:color="auto"/>
              <w:left w:val="nil"/>
              <w:bottom w:val="single" w:sz="4" w:space="0" w:color="auto"/>
              <w:right w:val="nil"/>
            </w:tcBorders>
            <w:shd w:val="clear" w:color="auto" w:fill="auto"/>
            <w:noWrap/>
            <w:vAlign w:val="center"/>
            <w:hideMark/>
          </w:tcPr>
          <w:p w14:paraId="5DC4B94D"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Min</w:t>
            </w:r>
          </w:p>
          <w:p w14:paraId="5F05B608"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92542CB"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Max</w:t>
            </w:r>
          </w:p>
          <w:p w14:paraId="2580698C"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A5DE6D1"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n</w:t>
            </w:r>
          </w:p>
        </w:tc>
        <w:tc>
          <w:tcPr>
            <w:tcW w:w="0" w:type="auto"/>
            <w:tcBorders>
              <w:top w:val="single" w:sz="4" w:space="0" w:color="auto"/>
              <w:left w:val="nil"/>
              <w:bottom w:val="single" w:sz="4" w:space="0" w:color="auto"/>
              <w:right w:val="nil"/>
            </w:tcBorders>
            <w:shd w:val="clear" w:color="auto" w:fill="auto"/>
            <w:noWrap/>
            <w:vAlign w:val="center"/>
            <w:hideMark/>
          </w:tcPr>
          <w:p w14:paraId="0F6CBA4B"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Mean</w:t>
            </w:r>
          </w:p>
          <w:p w14:paraId="593384F8"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w:t>
            </w:r>
          </w:p>
        </w:tc>
        <w:tc>
          <w:tcPr>
            <w:tcW w:w="0" w:type="auto"/>
            <w:tcBorders>
              <w:top w:val="single" w:sz="4" w:space="0" w:color="auto"/>
              <w:left w:val="nil"/>
              <w:bottom w:val="single" w:sz="4" w:space="0" w:color="auto"/>
              <w:right w:val="nil"/>
            </w:tcBorders>
            <w:shd w:val="clear" w:color="auto" w:fill="auto"/>
            <w:noWrap/>
            <w:vAlign w:val="center"/>
            <w:hideMark/>
          </w:tcPr>
          <w:p w14:paraId="28810100"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Median</w:t>
            </w:r>
          </w:p>
          <w:p w14:paraId="78102DD8"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w:t>
            </w:r>
          </w:p>
        </w:tc>
        <w:tc>
          <w:tcPr>
            <w:tcW w:w="0" w:type="auto"/>
            <w:tcBorders>
              <w:top w:val="single" w:sz="4" w:space="0" w:color="auto"/>
              <w:left w:val="nil"/>
              <w:bottom w:val="single" w:sz="4" w:space="0" w:color="auto"/>
              <w:right w:val="nil"/>
            </w:tcBorders>
            <w:shd w:val="clear" w:color="auto" w:fill="auto"/>
            <w:noWrap/>
            <w:vAlign w:val="center"/>
            <w:hideMark/>
          </w:tcPr>
          <w:p w14:paraId="1FBBB74C"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SD</w:t>
            </w:r>
          </w:p>
          <w:p w14:paraId="7F73B3F3"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w:t>
            </w:r>
          </w:p>
        </w:tc>
        <w:tc>
          <w:tcPr>
            <w:tcW w:w="0" w:type="auto"/>
            <w:tcBorders>
              <w:top w:val="single" w:sz="4" w:space="0" w:color="auto"/>
              <w:left w:val="nil"/>
              <w:bottom w:val="single" w:sz="4" w:space="0" w:color="auto"/>
              <w:right w:val="nil"/>
            </w:tcBorders>
            <w:shd w:val="clear" w:color="auto" w:fill="auto"/>
            <w:noWrap/>
            <w:vAlign w:val="center"/>
            <w:hideMark/>
          </w:tcPr>
          <w:p w14:paraId="14CB6D36"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Min</w:t>
            </w:r>
          </w:p>
          <w:p w14:paraId="5B2974E0"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075A16C"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Max</w:t>
            </w:r>
          </w:p>
          <w:p w14:paraId="1BBE833B"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6BD1D7C"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n</w:t>
            </w:r>
          </w:p>
        </w:tc>
        <w:tc>
          <w:tcPr>
            <w:tcW w:w="0" w:type="auto"/>
            <w:tcBorders>
              <w:top w:val="single" w:sz="4" w:space="0" w:color="auto"/>
              <w:left w:val="nil"/>
              <w:bottom w:val="single" w:sz="4" w:space="0" w:color="auto"/>
              <w:right w:val="nil"/>
            </w:tcBorders>
            <w:shd w:val="clear" w:color="auto" w:fill="auto"/>
            <w:noWrap/>
            <w:vAlign w:val="center"/>
            <w:hideMark/>
          </w:tcPr>
          <w:p w14:paraId="502120F2"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Mean</w:t>
            </w:r>
          </w:p>
          <w:p w14:paraId="21F9CA58"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w:t>
            </w:r>
          </w:p>
        </w:tc>
        <w:tc>
          <w:tcPr>
            <w:tcW w:w="0" w:type="auto"/>
            <w:tcBorders>
              <w:top w:val="single" w:sz="4" w:space="0" w:color="auto"/>
              <w:left w:val="nil"/>
              <w:bottom w:val="single" w:sz="4" w:space="0" w:color="auto"/>
              <w:right w:val="nil"/>
            </w:tcBorders>
            <w:shd w:val="clear" w:color="auto" w:fill="auto"/>
            <w:noWrap/>
            <w:vAlign w:val="center"/>
            <w:hideMark/>
          </w:tcPr>
          <w:p w14:paraId="06D45110"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Median</w:t>
            </w:r>
          </w:p>
          <w:p w14:paraId="1A36840B"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w:t>
            </w:r>
          </w:p>
        </w:tc>
        <w:tc>
          <w:tcPr>
            <w:tcW w:w="0" w:type="auto"/>
            <w:tcBorders>
              <w:top w:val="single" w:sz="4" w:space="0" w:color="auto"/>
              <w:left w:val="nil"/>
              <w:bottom w:val="single" w:sz="4" w:space="0" w:color="auto"/>
              <w:right w:val="nil"/>
            </w:tcBorders>
            <w:shd w:val="clear" w:color="auto" w:fill="auto"/>
            <w:noWrap/>
            <w:vAlign w:val="center"/>
            <w:hideMark/>
          </w:tcPr>
          <w:p w14:paraId="38745A6F"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SD</w:t>
            </w:r>
          </w:p>
          <w:p w14:paraId="62BE3641"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w:t>
            </w:r>
          </w:p>
        </w:tc>
        <w:tc>
          <w:tcPr>
            <w:tcW w:w="0" w:type="auto"/>
            <w:tcBorders>
              <w:top w:val="single" w:sz="4" w:space="0" w:color="auto"/>
              <w:left w:val="nil"/>
              <w:bottom w:val="single" w:sz="4" w:space="0" w:color="auto"/>
              <w:right w:val="nil"/>
            </w:tcBorders>
            <w:shd w:val="clear" w:color="auto" w:fill="auto"/>
            <w:noWrap/>
            <w:vAlign w:val="center"/>
            <w:hideMark/>
          </w:tcPr>
          <w:p w14:paraId="363444F7"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Min</w:t>
            </w:r>
          </w:p>
          <w:p w14:paraId="0E467A0C"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C4C852"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Max</w:t>
            </w:r>
          </w:p>
          <w:p w14:paraId="5845C0D6"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703C3C9"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n</w:t>
            </w:r>
          </w:p>
        </w:tc>
        <w:tc>
          <w:tcPr>
            <w:tcW w:w="0" w:type="auto"/>
            <w:tcBorders>
              <w:top w:val="single" w:sz="4" w:space="0" w:color="auto"/>
              <w:left w:val="nil"/>
              <w:bottom w:val="single" w:sz="4" w:space="0" w:color="auto"/>
              <w:right w:val="nil"/>
            </w:tcBorders>
            <w:shd w:val="clear" w:color="auto" w:fill="auto"/>
            <w:noWrap/>
            <w:vAlign w:val="center"/>
            <w:hideMark/>
          </w:tcPr>
          <w:p w14:paraId="367ABB08"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Mean</w:t>
            </w:r>
          </w:p>
          <w:p w14:paraId="1D65E08C"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w:t>
            </w:r>
          </w:p>
        </w:tc>
        <w:tc>
          <w:tcPr>
            <w:tcW w:w="0" w:type="auto"/>
            <w:tcBorders>
              <w:top w:val="single" w:sz="4" w:space="0" w:color="auto"/>
              <w:left w:val="nil"/>
              <w:bottom w:val="single" w:sz="4" w:space="0" w:color="auto"/>
              <w:right w:val="nil"/>
            </w:tcBorders>
            <w:shd w:val="clear" w:color="auto" w:fill="auto"/>
            <w:noWrap/>
            <w:vAlign w:val="center"/>
            <w:hideMark/>
          </w:tcPr>
          <w:p w14:paraId="68642F00"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Median</w:t>
            </w:r>
          </w:p>
          <w:p w14:paraId="666C1287"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w:t>
            </w:r>
          </w:p>
        </w:tc>
        <w:tc>
          <w:tcPr>
            <w:tcW w:w="0" w:type="auto"/>
            <w:tcBorders>
              <w:top w:val="single" w:sz="4" w:space="0" w:color="auto"/>
              <w:left w:val="nil"/>
              <w:bottom w:val="single" w:sz="4" w:space="0" w:color="auto"/>
              <w:right w:val="nil"/>
            </w:tcBorders>
            <w:shd w:val="clear" w:color="auto" w:fill="auto"/>
            <w:noWrap/>
            <w:vAlign w:val="center"/>
            <w:hideMark/>
          </w:tcPr>
          <w:p w14:paraId="5B0FA4BA"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SD</w:t>
            </w:r>
          </w:p>
          <w:p w14:paraId="022F4BB1"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w:t>
            </w:r>
          </w:p>
        </w:tc>
        <w:tc>
          <w:tcPr>
            <w:tcW w:w="0" w:type="auto"/>
            <w:tcBorders>
              <w:top w:val="single" w:sz="4" w:space="0" w:color="auto"/>
              <w:left w:val="nil"/>
              <w:bottom w:val="single" w:sz="4" w:space="0" w:color="auto"/>
              <w:right w:val="nil"/>
            </w:tcBorders>
            <w:shd w:val="clear" w:color="auto" w:fill="auto"/>
            <w:noWrap/>
            <w:vAlign w:val="center"/>
            <w:hideMark/>
          </w:tcPr>
          <w:p w14:paraId="6B7769CA"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Min</w:t>
            </w:r>
          </w:p>
          <w:p w14:paraId="5F2255D5"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w:t>
            </w:r>
          </w:p>
        </w:tc>
        <w:tc>
          <w:tcPr>
            <w:tcW w:w="0" w:type="auto"/>
            <w:tcBorders>
              <w:top w:val="single" w:sz="4" w:space="0" w:color="auto"/>
              <w:left w:val="nil"/>
              <w:bottom w:val="single" w:sz="4" w:space="0" w:color="auto"/>
              <w:right w:val="nil"/>
            </w:tcBorders>
            <w:shd w:val="clear" w:color="auto" w:fill="auto"/>
            <w:noWrap/>
            <w:vAlign w:val="center"/>
            <w:hideMark/>
          </w:tcPr>
          <w:p w14:paraId="4343A911"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Max</w:t>
            </w:r>
          </w:p>
          <w:p w14:paraId="15B9BF1B" w14:textId="77777777" w:rsidR="00D9465C" w:rsidRPr="005E3FD2" w:rsidRDefault="00D9465C" w:rsidP="00DD0F28">
            <w:pPr>
              <w:spacing w:after="20"/>
              <w:jc w:val="right"/>
              <w:rPr>
                <w:b/>
                <w:color w:val="000000"/>
                <w:sz w:val="16"/>
                <w:szCs w:val="16"/>
                <w:lang w:eastAsia="en-NZ"/>
              </w:rPr>
            </w:pPr>
            <w:r w:rsidRPr="005E3FD2">
              <w:rPr>
                <w:b/>
                <w:color w:val="000000"/>
                <w:sz w:val="16"/>
                <w:szCs w:val="16"/>
                <w:lang w:eastAsia="en-NZ"/>
              </w:rPr>
              <w:t>$</w:t>
            </w:r>
          </w:p>
        </w:tc>
      </w:tr>
      <w:tr w:rsidR="00D9465C" w:rsidRPr="005E3FD2" w14:paraId="38F8CE79" w14:textId="77777777" w:rsidTr="00DD0F28">
        <w:tc>
          <w:tcPr>
            <w:tcW w:w="0" w:type="auto"/>
            <w:tcBorders>
              <w:top w:val="single" w:sz="4" w:space="0" w:color="auto"/>
              <w:left w:val="nil"/>
              <w:bottom w:val="nil"/>
              <w:right w:val="nil"/>
            </w:tcBorders>
            <w:shd w:val="clear" w:color="auto" w:fill="auto"/>
            <w:noWrap/>
            <w:vAlign w:val="center"/>
          </w:tcPr>
          <w:p w14:paraId="1DD72267" w14:textId="77777777" w:rsidR="00D9465C" w:rsidRPr="005E3FD2" w:rsidRDefault="00D9465C" w:rsidP="00DD0F28">
            <w:pPr>
              <w:spacing w:after="20"/>
              <w:rPr>
                <w:b/>
                <w:color w:val="000000"/>
                <w:sz w:val="16"/>
                <w:szCs w:val="16"/>
                <w:lang w:eastAsia="en-NZ"/>
              </w:rPr>
            </w:pPr>
            <w:r w:rsidRPr="005E3FD2">
              <w:rPr>
                <w:b/>
                <w:color w:val="000000"/>
                <w:sz w:val="16"/>
                <w:szCs w:val="16"/>
                <w:lang w:eastAsia="en-NZ"/>
              </w:rPr>
              <w:t>Gender</w:t>
            </w:r>
          </w:p>
        </w:tc>
        <w:tc>
          <w:tcPr>
            <w:tcW w:w="460" w:type="dxa"/>
            <w:tcBorders>
              <w:top w:val="single" w:sz="4" w:space="0" w:color="auto"/>
              <w:left w:val="nil"/>
              <w:bottom w:val="nil"/>
              <w:right w:val="nil"/>
            </w:tcBorders>
            <w:shd w:val="clear" w:color="000000" w:fill="FFFFFF"/>
            <w:vAlign w:val="center"/>
          </w:tcPr>
          <w:p w14:paraId="614F8270" w14:textId="77777777" w:rsidR="00D9465C" w:rsidRPr="005E3FD2" w:rsidRDefault="00D9465C" w:rsidP="00DD0F28">
            <w:pPr>
              <w:spacing w:after="20"/>
              <w:jc w:val="center"/>
              <w:rPr>
                <w:color w:val="000000"/>
                <w:sz w:val="16"/>
                <w:szCs w:val="16"/>
                <w:lang w:eastAsia="en-NZ"/>
              </w:rPr>
            </w:pPr>
          </w:p>
        </w:tc>
        <w:tc>
          <w:tcPr>
            <w:tcW w:w="677" w:type="dxa"/>
            <w:tcBorders>
              <w:top w:val="single" w:sz="4" w:space="0" w:color="auto"/>
              <w:left w:val="nil"/>
              <w:bottom w:val="nil"/>
              <w:right w:val="nil"/>
            </w:tcBorders>
            <w:shd w:val="clear" w:color="000000" w:fill="FFFFFF"/>
            <w:vAlign w:val="center"/>
          </w:tcPr>
          <w:p w14:paraId="424BE54B" w14:textId="77777777" w:rsidR="00D9465C" w:rsidRPr="005E3FD2" w:rsidRDefault="00D9465C" w:rsidP="00DD0F28">
            <w:pPr>
              <w:spacing w:after="20"/>
              <w:jc w:val="center"/>
              <w:rPr>
                <w:color w:val="000000"/>
                <w:sz w:val="16"/>
                <w:szCs w:val="16"/>
                <w:lang w:eastAsia="en-NZ"/>
              </w:rPr>
            </w:pPr>
          </w:p>
        </w:tc>
        <w:tc>
          <w:tcPr>
            <w:tcW w:w="823" w:type="dxa"/>
            <w:tcBorders>
              <w:top w:val="single" w:sz="4" w:space="0" w:color="auto"/>
              <w:left w:val="nil"/>
              <w:bottom w:val="nil"/>
              <w:right w:val="nil"/>
            </w:tcBorders>
            <w:shd w:val="clear" w:color="auto" w:fill="auto"/>
            <w:noWrap/>
            <w:vAlign w:val="bottom"/>
          </w:tcPr>
          <w:p w14:paraId="74A84995" w14:textId="77777777" w:rsidR="00D9465C" w:rsidRPr="005E3FD2" w:rsidRDefault="00D9465C" w:rsidP="00DD0F28">
            <w:pPr>
              <w:spacing w:after="20"/>
              <w:jc w:val="center"/>
              <w:rPr>
                <w:color w:val="000000"/>
                <w:sz w:val="16"/>
                <w:szCs w:val="16"/>
                <w:lang w:eastAsia="en-NZ"/>
              </w:rPr>
            </w:pPr>
          </w:p>
        </w:tc>
        <w:tc>
          <w:tcPr>
            <w:tcW w:w="0" w:type="auto"/>
            <w:tcBorders>
              <w:top w:val="single" w:sz="4" w:space="0" w:color="auto"/>
              <w:left w:val="nil"/>
              <w:bottom w:val="nil"/>
              <w:right w:val="nil"/>
            </w:tcBorders>
            <w:shd w:val="clear" w:color="auto" w:fill="auto"/>
            <w:noWrap/>
            <w:vAlign w:val="bottom"/>
          </w:tcPr>
          <w:p w14:paraId="771BC313" w14:textId="77777777" w:rsidR="00D9465C" w:rsidRPr="005E3FD2" w:rsidRDefault="00D9465C" w:rsidP="00DD0F28">
            <w:pPr>
              <w:spacing w:after="20"/>
              <w:jc w:val="center"/>
              <w:rPr>
                <w:color w:val="000000"/>
                <w:sz w:val="16"/>
                <w:szCs w:val="16"/>
                <w:lang w:eastAsia="en-NZ"/>
              </w:rPr>
            </w:pPr>
          </w:p>
        </w:tc>
        <w:tc>
          <w:tcPr>
            <w:tcW w:w="0" w:type="auto"/>
            <w:tcBorders>
              <w:top w:val="single" w:sz="4" w:space="0" w:color="auto"/>
              <w:left w:val="nil"/>
              <w:bottom w:val="nil"/>
              <w:right w:val="nil"/>
            </w:tcBorders>
            <w:shd w:val="clear" w:color="auto" w:fill="auto"/>
            <w:noWrap/>
            <w:vAlign w:val="bottom"/>
          </w:tcPr>
          <w:p w14:paraId="7F17AA1B" w14:textId="77777777" w:rsidR="00D9465C" w:rsidRPr="005E3FD2" w:rsidRDefault="00D9465C" w:rsidP="00DD0F28">
            <w:pPr>
              <w:spacing w:after="20"/>
              <w:jc w:val="center"/>
              <w:rPr>
                <w:color w:val="000000"/>
                <w:sz w:val="16"/>
                <w:szCs w:val="16"/>
                <w:lang w:eastAsia="en-NZ"/>
              </w:rPr>
            </w:pPr>
          </w:p>
        </w:tc>
        <w:tc>
          <w:tcPr>
            <w:tcW w:w="0" w:type="auto"/>
            <w:tcBorders>
              <w:top w:val="single" w:sz="4" w:space="0" w:color="auto"/>
              <w:left w:val="nil"/>
              <w:bottom w:val="nil"/>
              <w:right w:val="single" w:sz="4" w:space="0" w:color="auto"/>
            </w:tcBorders>
            <w:shd w:val="clear" w:color="auto" w:fill="auto"/>
            <w:noWrap/>
            <w:vAlign w:val="bottom"/>
          </w:tcPr>
          <w:p w14:paraId="49E5D7E7" w14:textId="77777777" w:rsidR="00D9465C" w:rsidRPr="005E3FD2" w:rsidRDefault="00D9465C" w:rsidP="00DD0F28">
            <w:pPr>
              <w:spacing w:after="20"/>
              <w:jc w:val="center"/>
              <w:rPr>
                <w:color w:val="000000"/>
                <w:sz w:val="16"/>
                <w:szCs w:val="16"/>
                <w:lang w:eastAsia="en-NZ"/>
              </w:rPr>
            </w:pPr>
          </w:p>
        </w:tc>
        <w:tc>
          <w:tcPr>
            <w:tcW w:w="0" w:type="auto"/>
            <w:tcBorders>
              <w:top w:val="single" w:sz="4" w:space="0" w:color="auto"/>
              <w:left w:val="single" w:sz="4" w:space="0" w:color="auto"/>
              <w:bottom w:val="nil"/>
              <w:right w:val="nil"/>
            </w:tcBorders>
            <w:shd w:val="clear" w:color="000000" w:fill="FFFFFF"/>
            <w:vAlign w:val="center"/>
          </w:tcPr>
          <w:p w14:paraId="119889C5" w14:textId="77777777" w:rsidR="00D9465C" w:rsidRPr="005E3FD2" w:rsidRDefault="00D9465C" w:rsidP="00DD0F28">
            <w:pPr>
              <w:spacing w:after="20"/>
              <w:jc w:val="center"/>
              <w:rPr>
                <w:color w:val="000000"/>
                <w:sz w:val="16"/>
                <w:szCs w:val="16"/>
                <w:lang w:eastAsia="en-NZ"/>
              </w:rPr>
            </w:pPr>
          </w:p>
        </w:tc>
        <w:tc>
          <w:tcPr>
            <w:tcW w:w="0" w:type="auto"/>
            <w:tcBorders>
              <w:top w:val="single" w:sz="4" w:space="0" w:color="auto"/>
              <w:left w:val="nil"/>
              <w:bottom w:val="nil"/>
              <w:right w:val="nil"/>
            </w:tcBorders>
            <w:shd w:val="clear" w:color="000000" w:fill="FFFFFF"/>
            <w:vAlign w:val="center"/>
          </w:tcPr>
          <w:p w14:paraId="23E9FDAB" w14:textId="77777777" w:rsidR="00D9465C" w:rsidRPr="005E3FD2" w:rsidRDefault="00D9465C" w:rsidP="00DD0F28">
            <w:pPr>
              <w:spacing w:after="20"/>
              <w:jc w:val="center"/>
              <w:rPr>
                <w:color w:val="000000"/>
                <w:sz w:val="16"/>
                <w:szCs w:val="16"/>
                <w:lang w:eastAsia="en-NZ"/>
              </w:rPr>
            </w:pPr>
          </w:p>
        </w:tc>
        <w:tc>
          <w:tcPr>
            <w:tcW w:w="0" w:type="auto"/>
            <w:tcBorders>
              <w:top w:val="single" w:sz="4" w:space="0" w:color="auto"/>
              <w:left w:val="nil"/>
              <w:bottom w:val="nil"/>
              <w:right w:val="nil"/>
            </w:tcBorders>
            <w:shd w:val="clear" w:color="auto" w:fill="auto"/>
            <w:noWrap/>
            <w:vAlign w:val="bottom"/>
          </w:tcPr>
          <w:p w14:paraId="62B55E50" w14:textId="77777777" w:rsidR="00D9465C" w:rsidRPr="005E3FD2" w:rsidRDefault="00D9465C" w:rsidP="00DD0F28">
            <w:pPr>
              <w:spacing w:after="20"/>
              <w:jc w:val="center"/>
              <w:rPr>
                <w:color w:val="000000"/>
                <w:sz w:val="16"/>
                <w:szCs w:val="16"/>
                <w:lang w:eastAsia="en-NZ"/>
              </w:rPr>
            </w:pPr>
          </w:p>
        </w:tc>
        <w:tc>
          <w:tcPr>
            <w:tcW w:w="0" w:type="auto"/>
            <w:tcBorders>
              <w:top w:val="single" w:sz="4" w:space="0" w:color="auto"/>
              <w:left w:val="nil"/>
              <w:bottom w:val="nil"/>
              <w:right w:val="nil"/>
            </w:tcBorders>
            <w:shd w:val="clear" w:color="000000" w:fill="FFFFFF"/>
            <w:vAlign w:val="center"/>
          </w:tcPr>
          <w:p w14:paraId="62F0110E" w14:textId="77777777" w:rsidR="00D9465C" w:rsidRPr="005E3FD2" w:rsidRDefault="00D9465C" w:rsidP="00DD0F28">
            <w:pPr>
              <w:spacing w:after="20"/>
              <w:jc w:val="center"/>
              <w:rPr>
                <w:color w:val="000000"/>
                <w:sz w:val="16"/>
                <w:szCs w:val="16"/>
                <w:lang w:eastAsia="en-NZ"/>
              </w:rPr>
            </w:pPr>
          </w:p>
        </w:tc>
        <w:tc>
          <w:tcPr>
            <w:tcW w:w="0" w:type="auto"/>
            <w:tcBorders>
              <w:top w:val="single" w:sz="4" w:space="0" w:color="auto"/>
              <w:left w:val="nil"/>
              <w:bottom w:val="nil"/>
              <w:right w:val="nil"/>
            </w:tcBorders>
            <w:shd w:val="clear" w:color="000000" w:fill="FFFFFF"/>
            <w:vAlign w:val="center"/>
          </w:tcPr>
          <w:p w14:paraId="2ECB38CD" w14:textId="77777777" w:rsidR="00D9465C" w:rsidRPr="005E3FD2" w:rsidRDefault="00D9465C" w:rsidP="00DD0F28">
            <w:pPr>
              <w:spacing w:after="20"/>
              <w:jc w:val="center"/>
              <w:rPr>
                <w:color w:val="000000"/>
                <w:sz w:val="16"/>
                <w:szCs w:val="16"/>
                <w:lang w:eastAsia="en-NZ"/>
              </w:rPr>
            </w:pPr>
          </w:p>
        </w:tc>
        <w:tc>
          <w:tcPr>
            <w:tcW w:w="0" w:type="auto"/>
            <w:tcBorders>
              <w:top w:val="single" w:sz="4" w:space="0" w:color="auto"/>
              <w:left w:val="nil"/>
              <w:bottom w:val="nil"/>
              <w:right w:val="single" w:sz="4" w:space="0" w:color="auto"/>
            </w:tcBorders>
            <w:shd w:val="clear" w:color="000000" w:fill="FFFFFF"/>
            <w:vAlign w:val="center"/>
          </w:tcPr>
          <w:p w14:paraId="454EEDD5" w14:textId="77777777" w:rsidR="00D9465C" w:rsidRPr="005E3FD2" w:rsidRDefault="00D9465C" w:rsidP="00DD0F28">
            <w:pPr>
              <w:spacing w:after="20"/>
              <w:jc w:val="center"/>
              <w:rPr>
                <w:color w:val="000000"/>
                <w:sz w:val="16"/>
                <w:szCs w:val="16"/>
                <w:lang w:eastAsia="en-NZ"/>
              </w:rPr>
            </w:pPr>
          </w:p>
        </w:tc>
        <w:tc>
          <w:tcPr>
            <w:tcW w:w="0" w:type="auto"/>
            <w:tcBorders>
              <w:top w:val="single" w:sz="4" w:space="0" w:color="auto"/>
              <w:left w:val="single" w:sz="4" w:space="0" w:color="auto"/>
              <w:bottom w:val="nil"/>
              <w:right w:val="nil"/>
            </w:tcBorders>
            <w:shd w:val="clear" w:color="000000" w:fill="FFFFFF"/>
            <w:vAlign w:val="center"/>
          </w:tcPr>
          <w:p w14:paraId="0006EAA9" w14:textId="77777777" w:rsidR="00D9465C" w:rsidRPr="005E3FD2" w:rsidRDefault="00D9465C" w:rsidP="00DD0F28">
            <w:pPr>
              <w:spacing w:after="20"/>
              <w:jc w:val="center"/>
              <w:rPr>
                <w:color w:val="000000"/>
                <w:sz w:val="16"/>
                <w:szCs w:val="16"/>
                <w:lang w:eastAsia="en-NZ"/>
              </w:rPr>
            </w:pPr>
          </w:p>
        </w:tc>
        <w:tc>
          <w:tcPr>
            <w:tcW w:w="0" w:type="auto"/>
            <w:tcBorders>
              <w:top w:val="single" w:sz="4" w:space="0" w:color="auto"/>
              <w:left w:val="nil"/>
              <w:bottom w:val="nil"/>
              <w:right w:val="nil"/>
            </w:tcBorders>
            <w:shd w:val="clear" w:color="000000" w:fill="FFFFFF"/>
            <w:vAlign w:val="center"/>
          </w:tcPr>
          <w:p w14:paraId="2465068D" w14:textId="77777777" w:rsidR="00D9465C" w:rsidRPr="005E3FD2" w:rsidRDefault="00D9465C" w:rsidP="00DD0F28">
            <w:pPr>
              <w:spacing w:after="20"/>
              <w:jc w:val="center"/>
              <w:rPr>
                <w:color w:val="000000"/>
                <w:sz w:val="16"/>
                <w:szCs w:val="16"/>
                <w:lang w:eastAsia="en-NZ"/>
              </w:rPr>
            </w:pPr>
          </w:p>
        </w:tc>
        <w:tc>
          <w:tcPr>
            <w:tcW w:w="0" w:type="auto"/>
            <w:tcBorders>
              <w:top w:val="single" w:sz="4" w:space="0" w:color="auto"/>
              <w:left w:val="nil"/>
              <w:bottom w:val="nil"/>
              <w:right w:val="nil"/>
            </w:tcBorders>
            <w:shd w:val="clear" w:color="auto" w:fill="auto"/>
            <w:noWrap/>
            <w:vAlign w:val="bottom"/>
          </w:tcPr>
          <w:p w14:paraId="52B908B1" w14:textId="77777777" w:rsidR="00D9465C" w:rsidRPr="005E3FD2" w:rsidRDefault="00D9465C" w:rsidP="00DD0F28">
            <w:pPr>
              <w:spacing w:after="20"/>
              <w:jc w:val="center"/>
              <w:rPr>
                <w:color w:val="000000"/>
                <w:sz w:val="16"/>
                <w:szCs w:val="16"/>
                <w:lang w:eastAsia="en-NZ"/>
              </w:rPr>
            </w:pPr>
          </w:p>
        </w:tc>
        <w:tc>
          <w:tcPr>
            <w:tcW w:w="0" w:type="auto"/>
            <w:tcBorders>
              <w:top w:val="single" w:sz="4" w:space="0" w:color="auto"/>
              <w:left w:val="nil"/>
              <w:bottom w:val="nil"/>
              <w:right w:val="nil"/>
            </w:tcBorders>
            <w:shd w:val="clear" w:color="000000" w:fill="FFFFFF"/>
            <w:vAlign w:val="center"/>
          </w:tcPr>
          <w:p w14:paraId="1F8F61FE" w14:textId="77777777" w:rsidR="00D9465C" w:rsidRPr="005E3FD2" w:rsidRDefault="00D9465C" w:rsidP="00DD0F28">
            <w:pPr>
              <w:spacing w:after="20"/>
              <w:jc w:val="center"/>
              <w:rPr>
                <w:color w:val="000000"/>
                <w:sz w:val="16"/>
                <w:szCs w:val="16"/>
                <w:lang w:eastAsia="en-NZ"/>
              </w:rPr>
            </w:pPr>
          </w:p>
        </w:tc>
        <w:tc>
          <w:tcPr>
            <w:tcW w:w="0" w:type="auto"/>
            <w:tcBorders>
              <w:top w:val="single" w:sz="4" w:space="0" w:color="auto"/>
              <w:left w:val="nil"/>
              <w:bottom w:val="nil"/>
              <w:right w:val="nil"/>
            </w:tcBorders>
            <w:shd w:val="clear" w:color="000000" w:fill="FFFFFF"/>
            <w:vAlign w:val="center"/>
          </w:tcPr>
          <w:p w14:paraId="5AAF1222" w14:textId="77777777" w:rsidR="00D9465C" w:rsidRPr="005E3FD2" w:rsidRDefault="00D9465C" w:rsidP="00DD0F28">
            <w:pPr>
              <w:spacing w:after="20"/>
              <w:jc w:val="center"/>
              <w:rPr>
                <w:color w:val="000000"/>
                <w:sz w:val="16"/>
                <w:szCs w:val="16"/>
                <w:lang w:eastAsia="en-NZ"/>
              </w:rPr>
            </w:pPr>
          </w:p>
        </w:tc>
        <w:tc>
          <w:tcPr>
            <w:tcW w:w="0" w:type="auto"/>
            <w:tcBorders>
              <w:top w:val="single" w:sz="4" w:space="0" w:color="auto"/>
              <w:left w:val="nil"/>
              <w:bottom w:val="nil"/>
              <w:right w:val="single" w:sz="4" w:space="0" w:color="auto"/>
            </w:tcBorders>
            <w:shd w:val="clear" w:color="000000" w:fill="FFFFFF"/>
            <w:vAlign w:val="center"/>
          </w:tcPr>
          <w:p w14:paraId="0957796C" w14:textId="77777777" w:rsidR="00D9465C" w:rsidRPr="005E3FD2" w:rsidRDefault="00D9465C" w:rsidP="00DD0F28">
            <w:pPr>
              <w:spacing w:after="20"/>
              <w:jc w:val="center"/>
              <w:rPr>
                <w:color w:val="000000"/>
                <w:sz w:val="16"/>
                <w:szCs w:val="16"/>
                <w:lang w:eastAsia="en-NZ"/>
              </w:rPr>
            </w:pPr>
          </w:p>
        </w:tc>
        <w:tc>
          <w:tcPr>
            <w:tcW w:w="0" w:type="auto"/>
            <w:tcBorders>
              <w:top w:val="single" w:sz="4" w:space="0" w:color="auto"/>
              <w:left w:val="single" w:sz="4" w:space="0" w:color="auto"/>
              <w:bottom w:val="nil"/>
              <w:right w:val="nil"/>
            </w:tcBorders>
            <w:shd w:val="clear" w:color="auto" w:fill="auto"/>
            <w:noWrap/>
            <w:vAlign w:val="bottom"/>
          </w:tcPr>
          <w:p w14:paraId="7BD9DA41" w14:textId="77777777" w:rsidR="00D9465C" w:rsidRPr="005E3FD2" w:rsidRDefault="00D9465C" w:rsidP="00DD0F28">
            <w:pPr>
              <w:spacing w:after="20"/>
              <w:jc w:val="center"/>
              <w:rPr>
                <w:color w:val="000000"/>
                <w:sz w:val="16"/>
                <w:szCs w:val="16"/>
                <w:lang w:eastAsia="en-NZ"/>
              </w:rPr>
            </w:pPr>
          </w:p>
        </w:tc>
        <w:tc>
          <w:tcPr>
            <w:tcW w:w="0" w:type="auto"/>
            <w:tcBorders>
              <w:top w:val="single" w:sz="4" w:space="0" w:color="auto"/>
              <w:left w:val="nil"/>
              <w:bottom w:val="nil"/>
              <w:right w:val="nil"/>
            </w:tcBorders>
            <w:shd w:val="clear" w:color="auto" w:fill="auto"/>
            <w:noWrap/>
            <w:vAlign w:val="bottom"/>
          </w:tcPr>
          <w:p w14:paraId="6F96EE64" w14:textId="77777777" w:rsidR="00D9465C" w:rsidRPr="005E3FD2" w:rsidRDefault="00D9465C" w:rsidP="00DD0F28">
            <w:pPr>
              <w:spacing w:after="20"/>
              <w:jc w:val="center"/>
              <w:rPr>
                <w:color w:val="000000"/>
                <w:sz w:val="16"/>
                <w:szCs w:val="16"/>
                <w:lang w:eastAsia="en-NZ"/>
              </w:rPr>
            </w:pPr>
          </w:p>
        </w:tc>
        <w:tc>
          <w:tcPr>
            <w:tcW w:w="0" w:type="auto"/>
            <w:tcBorders>
              <w:top w:val="single" w:sz="4" w:space="0" w:color="auto"/>
              <w:left w:val="nil"/>
              <w:bottom w:val="nil"/>
              <w:right w:val="nil"/>
            </w:tcBorders>
            <w:shd w:val="clear" w:color="auto" w:fill="auto"/>
            <w:noWrap/>
            <w:vAlign w:val="bottom"/>
          </w:tcPr>
          <w:p w14:paraId="0C44590F" w14:textId="77777777" w:rsidR="00D9465C" w:rsidRPr="005E3FD2" w:rsidRDefault="00D9465C" w:rsidP="00DD0F28">
            <w:pPr>
              <w:spacing w:after="20"/>
              <w:jc w:val="center"/>
              <w:rPr>
                <w:color w:val="000000"/>
                <w:sz w:val="16"/>
                <w:szCs w:val="16"/>
                <w:lang w:eastAsia="en-NZ"/>
              </w:rPr>
            </w:pPr>
          </w:p>
        </w:tc>
        <w:tc>
          <w:tcPr>
            <w:tcW w:w="0" w:type="auto"/>
            <w:tcBorders>
              <w:top w:val="single" w:sz="4" w:space="0" w:color="auto"/>
              <w:left w:val="nil"/>
              <w:bottom w:val="nil"/>
              <w:right w:val="nil"/>
            </w:tcBorders>
            <w:shd w:val="clear" w:color="auto" w:fill="auto"/>
            <w:noWrap/>
            <w:vAlign w:val="bottom"/>
          </w:tcPr>
          <w:p w14:paraId="35194920" w14:textId="77777777" w:rsidR="00D9465C" w:rsidRPr="005E3FD2" w:rsidRDefault="00D9465C" w:rsidP="00DD0F28">
            <w:pPr>
              <w:spacing w:after="20"/>
              <w:jc w:val="center"/>
              <w:rPr>
                <w:color w:val="000000"/>
                <w:sz w:val="16"/>
                <w:szCs w:val="16"/>
                <w:lang w:eastAsia="en-NZ"/>
              </w:rPr>
            </w:pPr>
          </w:p>
        </w:tc>
        <w:tc>
          <w:tcPr>
            <w:tcW w:w="0" w:type="auto"/>
            <w:tcBorders>
              <w:top w:val="single" w:sz="4" w:space="0" w:color="auto"/>
              <w:left w:val="nil"/>
              <w:bottom w:val="nil"/>
              <w:right w:val="nil"/>
            </w:tcBorders>
            <w:shd w:val="clear" w:color="auto" w:fill="auto"/>
            <w:noWrap/>
            <w:vAlign w:val="bottom"/>
          </w:tcPr>
          <w:p w14:paraId="26171EB4" w14:textId="77777777" w:rsidR="00D9465C" w:rsidRPr="005E3FD2" w:rsidRDefault="00D9465C" w:rsidP="00DD0F28">
            <w:pPr>
              <w:spacing w:after="20"/>
              <w:jc w:val="center"/>
              <w:rPr>
                <w:color w:val="000000"/>
                <w:sz w:val="16"/>
                <w:szCs w:val="16"/>
                <w:lang w:eastAsia="en-NZ"/>
              </w:rPr>
            </w:pPr>
          </w:p>
        </w:tc>
        <w:tc>
          <w:tcPr>
            <w:tcW w:w="0" w:type="auto"/>
            <w:tcBorders>
              <w:top w:val="single" w:sz="4" w:space="0" w:color="auto"/>
              <w:left w:val="nil"/>
              <w:bottom w:val="nil"/>
              <w:right w:val="nil"/>
            </w:tcBorders>
            <w:shd w:val="clear" w:color="auto" w:fill="auto"/>
            <w:noWrap/>
            <w:vAlign w:val="bottom"/>
          </w:tcPr>
          <w:p w14:paraId="60019D34" w14:textId="77777777" w:rsidR="00D9465C" w:rsidRPr="005E3FD2" w:rsidRDefault="00D9465C" w:rsidP="00DD0F28">
            <w:pPr>
              <w:spacing w:after="20"/>
              <w:jc w:val="center"/>
              <w:rPr>
                <w:color w:val="000000"/>
                <w:sz w:val="16"/>
                <w:szCs w:val="16"/>
                <w:lang w:eastAsia="en-NZ"/>
              </w:rPr>
            </w:pPr>
          </w:p>
        </w:tc>
      </w:tr>
      <w:tr w:rsidR="00D9465C" w:rsidRPr="005E3FD2" w14:paraId="71252EAD" w14:textId="77777777" w:rsidTr="00DD0F28">
        <w:tc>
          <w:tcPr>
            <w:tcW w:w="0" w:type="auto"/>
            <w:tcBorders>
              <w:top w:val="nil"/>
              <w:left w:val="nil"/>
              <w:bottom w:val="nil"/>
              <w:right w:val="nil"/>
            </w:tcBorders>
            <w:shd w:val="clear" w:color="auto" w:fill="auto"/>
            <w:noWrap/>
            <w:vAlign w:val="center"/>
            <w:hideMark/>
          </w:tcPr>
          <w:p w14:paraId="3C15D817"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Male</w:t>
            </w:r>
          </w:p>
        </w:tc>
        <w:tc>
          <w:tcPr>
            <w:tcW w:w="460" w:type="dxa"/>
            <w:tcBorders>
              <w:top w:val="nil"/>
              <w:left w:val="nil"/>
              <w:bottom w:val="nil"/>
              <w:right w:val="nil"/>
            </w:tcBorders>
            <w:shd w:val="clear" w:color="000000" w:fill="FFFFFF"/>
            <w:vAlign w:val="center"/>
            <w:hideMark/>
          </w:tcPr>
          <w:p w14:paraId="2D0FC5E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423</w:t>
            </w:r>
          </w:p>
        </w:tc>
        <w:tc>
          <w:tcPr>
            <w:tcW w:w="677" w:type="dxa"/>
            <w:tcBorders>
              <w:top w:val="nil"/>
              <w:left w:val="nil"/>
              <w:bottom w:val="nil"/>
              <w:right w:val="nil"/>
            </w:tcBorders>
            <w:shd w:val="clear" w:color="000000" w:fill="FFFFFF"/>
            <w:vAlign w:val="center"/>
            <w:hideMark/>
          </w:tcPr>
          <w:p w14:paraId="5128A0D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47.69 </w:t>
            </w:r>
          </w:p>
        </w:tc>
        <w:tc>
          <w:tcPr>
            <w:tcW w:w="823" w:type="dxa"/>
            <w:tcBorders>
              <w:top w:val="nil"/>
              <w:left w:val="nil"/>
              <w:bottom w:val="nil"/>
              <w:right w:val="nil"/>
            </w:tcBorders>
            <w:shd w:val="clear" w:color="auto" w:fill="auto"/>
            <w:noWrap/>
            <w:vAlign w:val="center"/>
            <w:hideMark/>
          </w:tcPr>
          <w:p w14:paraId="1EB0059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18.18 </w:t>
            </w:r>
          </w:p>
        </w:tc>
        <w:tc>
          <w:tcPr>
            <w:tcW w:w="0" w:type="auto"/>
            <w:tcBorders>
              <w:top w:val="nil"/>
              <w:left w:val="nil"/>
              <w:bottom w:val="nil"/>
              <w:right w:val="nil"/>
            </w:tcBorders>
            <w:shd w:val="clear" w:color="auto" w:fill="auto"/>
            <w:noWrap/>
            <w:vAlign w:val="center"/>
            <w:hideMark/>
          </w:tcPr>
          <w:p w14:paraId="61D4553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2002.2</w:t>
            </w:r>
          </w:p>
        </w:tc>
        <w:tc>
          <w:tcPr>
            <w:tcW w:w="0" w:type="auto"/>
            <w:tcBorders>
              <w:top w:val="nil"/>
              <w:left w:val="nil"/>
              <w:bottom w:val="nil"/>
              <w:right w:val="nil"/>
            </w:tcBorders>
            <w:shd w:val="clear" w:color="auto" w:fill="auto"/>
            <w:noWrap/>
            <w:vAlign w:val="center"/>
            <w:hideMark/>
          </w:tcPr>
          <w:p w14:paraId="29D6F30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auto" w:fill="auto"/>
            <w:noWrap/>
            <w:vAlign w:val="center"/>
            <w:hideMark/>
          </w:tcPr>
          <w:p w14:paraId="3635522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1,400 </w:t>
            </w:r>
          </w:p>
        </w:tc>
        <w:tc>
          <w:tcPr>
            <w:tcW w:w="0" w:type="auto"/>
            <w:tcBorders>
              <w:top w:val="nil"/>
              <w:left w:val="single" w:sz="4" w:space="0" w:color="auto"/>
              <w:bottom w:val="nil"/>
              <w:right w:val="nil"/>
            </w:tcBorders>
            <w:shd w:val="clear" w:color="000000" w:fill="FFFFFF"/>
            <w:vAlign w:val="center"/>
            <w:hideMark/>
          </w:tcPr>
          <w:p w14:paraId="369D14A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203</w:t>
            </w:r>
          </w:p>
        </w:tc>
        <w:tc>
          <w:tcPr>
            <w:tcW w:w="0" w:type="auto"/>
            <w:tcBorders>
              <w:top w:val="nil"/>
              <w:left w:val="nil"/>
              <w:bottom w:val="nil"/>
              <w:right w:val="nil"/>
            </w:tcBorders>
            <w:shd w:val="clear" w:color="000000" w:fill="FFFFFF"/>
            <w:vAlign w:val="center"/>
            <w:hideMark/>
          </w:tcPr>
          <w:p w14:paraId="432F3CB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43.59 </w:t>
            </w:r>
          </w:p>
        </w:tc>
        <w:tc>
          <w:tcPr>
            <w:tcW w:w="0" w:type="auto"/>
            <w:tcBorders>
              <w:top w:val="nil"/>
              <w:left w:val="nil"/>
              <w:bottom w:val="nil"/>
              <w:right w:val="nil"/>
            </w:tcBorders>
            <w:shd w:val="clear" w:color="auto" w:fill="auto"/>
            <w:noWrap/>
            <w:vAlign w:val="center"/>
            <w:hideMark/>
          </w:tcPr>
          <w:p w14:paraId="0639FD3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17.88 </w:t>
            </w:r>
          </w:p>
        </w:tc>
        <w:tc>
          <w:tcPr>
            <w:tcW w:w="0" w:type="auto"/>
            <w:tcBorders>
              <w:top w:val="nil"/>
              <w:left w:val="nil"/>
              <w:bottom w:val="nil"/>
              <w:right w:val="nil"/>
            </w:tcBorders>
            <w:shd w:val="clear" w:color="000000" w:fill="FFFFFF"/>
            <w:vAlign w:val="center"/>
            <w:hideMark/>
          </w:tcPr>
          <w:p w14:paraId="79B4300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1336.3</w:t>
            </w:r>
          </w:p>
        </w:tc>
        <w:tc>
          <w:tcPr>
            <w:tcW w:w="0" w:type="auto"/>
            <w:tcBorders>
              <w:top w:val="nil"/>
              <w:left w:val="nil"/>
              <w:bottom w:val="nil"/>
              <w:right w:val="nil"/>
            </w:tcBorders>
            <w:shd w:val="clear" w:color="000000" w:fill="FFFFFF"/>
            <w:vAlign w:val="center"/>
            <w:hideMark/>
          </w:tcPr>
          <w:p w14:paraId="10A3387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60BAD2D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800 </w:t>
            </w:r>
          </w:p>
        </w:tc>
        <w:tc>
          <w:tcPr>
            <w:tcW w:w="0" w:type="auto"/>
            <w:tcBorders>
              <w:top w:val="nil"/>
              <w:left w:val="single" w:sz="4" w:space="0" w:color="auto"/>
              <w:bottom w:val="nil"/>
              <w:right w:val="nil"/>
            </w:tcBorders>
            <w:shd w:val="clear" w:color="000000" w:fill="FFFFFF"/>
            <w:vAlign w:val="center"/>
            <w:hideMark/>
          </w:tcPr>
          <w:p w14:paraId="7A38AF7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164</w:t>
            </w:r>
          </w:p>
        </w:tc>
        <w:tc>
          <w:tcPr>
            <w:tcW w:w="0" w:type="auto"/>
            <w:tcBorders>
              <w:top w:val="nil"/>
              <w:left w:val="nil"/>
              <w:bottom w:val="nil"/>
              <w:right w:val="nil"/>
            </w:tcBorders>
            <w:shd w:val="clear" w:color="000000" w:fill="FFFFFF"/>
            <w:vAlign w:val="center"/>
            <w:hideMark/>
          </w:tcPr>
          <w:p w14:paraId="6BAF7A9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35.86 </w:t>
            </w:r>
          </w:p>
        </w:tc>
        <w:tc>
          <w:tcPr>
            <w:tcW w:w="0" w:type="auto"/>
            <w:tcBorders>
              <w:top w:val="nil"/>
              <w:left w:val="nil"/>
              <w:bottom w:val="nil"/>
              <w:right w:val="nil"/>
            </w:tcBorders>
            <w:shd w:val="clear" w:color="auto" w:fill="auto"/>
            <w:noWrap/>
            <w:vAlign w:val="center"/>
            <w:hideMark/>
          </w:tcPr>
          <w:p w14:paraId="45FF968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18.33 </w:t>
            </w:r>
          </w:p>
        </w:tc>
        <w:tc>
          <w:tcPr>
            <w:tcW w:w="0" w:type="auto"/>
            <w:tcBorders>
              <w:top w:val="nil"/>
              <w:left w:val="nil"/>
              <w:bottom w:val="nil"/>
              <w:right w:val="nil"/>
            </w:tcBorders>
            <w:shd w:val="clear" w:color="000000" w:fill="FFFFFF"/>
            <w:vAlign w:val="center"/>
            <w:hideMark/>
          </w:tcPr>
          <w:p w14:paraId="793F7E0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585.8</w:t>
            </w:r>
          </w:p>
        </w:tc>
        <w:tc>
          <w:tcPr>
            <w:tcW w:w="0" w:type="auto"/>
            <w:tcBorders>
              <w:top w:val="nil"/>
              <w:left w:val="nil"/>
              <w:bottom w:val="nil"/>
              <w:right w:val="nil"/>
            </w:tcBorders>
            <w:shd w:val="clear" w:color="000000" w:fill="FFFFFF"/>
            <w:vAlign w:val="center"/>
            <w:hideMark/>
          </w:tcPr>
          <w:p w14:paraId="13D1E3F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7622B73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400 </w:t>
            </w:r>
          </w:p>
        </w:tc>
        <w:tc>
          <w:tcPr>
            <w:tcW w:w="0" w:type="auto"/>
            <w:tcBorders>
              <w:top w:val="nil"/>
              <w:left w:val="single" w:sz="4" w:space="0" w:color="auto"/>
              <w:bottom w:val="nil"/>
              <w:right w:val="nil"/>
            </w:tcBorders>
            <w:shd w:val="clear" w:color="auto" w:fill="auto"/>
            <w:noWrap/>
            <w:vAlign w:val="center"/>
            <w:hideMark/>
          </w:tcPr>
          <w:p w14:paraId="2CDBC64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156</w:t>
            </w:r>
          </w:p>
        </w:tc>
        <w:tc>
          <w:tcPr>
            <w:tcW w:w="0" w:type="auto"/>
            <w:tcBorders>
              <w:top w:val="nil"/>
              <w:left w:val="nil"/>
              <w:bottom w:val="nil"/>
              <w:right w:val="nil"/>
            </w:tcBorders>
            <w:shd w:val="clear" w:color="auto" w:fill="auto"/>
            <w:noWrap/>
            <w:vAlign w:val="center"/>
            <w:hideMark/>
          </w:tcPr>
          <w:p w14:paraId="06531B4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39.47 </w:t>
            </w:r>
          </w:p>
        </w:tc>
        <w:tc>
          <w:tcPr>
            <w:tcW w:w="0" w:type="auto"/>
            <w:tcBorders>
              <w:top w:val="nil"/>
              <w:left w:val="nil"/>
              <w:bottom w:val="nil"/>
              <w:right w:val="nil"/>
            </w:tcBorders>
            <w:shd w:val="clear" w:color="auto" w:fill="auto"/>
            <w:noWrap/>
            <w:vAlign w:val="center"/>
            <w:hideMark/>
          </w:tcPr>
          <w:p w14:paraId="3D49C86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17.96 </w:t>
            </w:r>
          </w:p>
        </w:tc>
        <w:tc>
          <w:tcPr>
            <w:tcW w:w="0" w:type="auto"/>
            <w:tcBorders>
              <w:top w:val="nil"/>
              <w:left w:val="nil"/>
              <w:bottom w:val="nil"/>
              <w:right w:val="nil"/>
            </w:tcBorders>
            <w:shd w:val="clear" w:color="auto" w:fill="auto"/>
            <w:noWrap/>
            <w:vAlign w:val="center"/>
            <w:hideMark/>
          </w:tcPr>
          <w:p w14:paraId="529938C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778.9</w:t>
            </w:r>
          </w:p>
        </w:tc>
        <w:tc>
          <w:tcPr>
            <w:tcW w:w="0" w:type="auto"/>
            <w:tcBorders>
              <w:top w:val="nil"/>
              <w:left w:val="nil"/>
              <w:bottom w:val="nil"/>
              <w:right w:val="nil"/>
            </w:tcBorders>
            <w:shd w:val="clear" w:color="auto" w:fill="auto"/>
            <w:noWrap/>
            <w:vAlign w:val="center"/>
            <w:hideMark/>
          </w:tcPr>
          <w:p w14:paraId="5B24410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nil"/>
            </w:tcBorders>
            <w:shd w:val="clear" w:color="auto" w:fill="auto"/>
            <w:noWrap/>
            <w:vAlign w:val="center"/>
            <w:hideMark/>
          </w:tcPr>
          <w:p w14:paraId="18E054E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800 </w:t>
            </w:r>
          </w:p>
        </w:tc>
      </w:tr>
      <w:tr w:rsidR="00D9465C" w:rsidRPr="005E3FD2" w14:paraId="1C5A9F65" w14:textId="77777777" w:rsidTr="00DD0F28">
        <w:tc>
          <w:tcPr>
            <w:tcW w:w="0" w:type="auto"/>
            <w:tcBorders>
              <w:top w:val="nil"/>
              <w:left w:val="nil"/>
              <w:bottom w:val="nil"/>
              <w:right w:val="nil"/>
            </w:tcBorders>
            <w:shd w:val="clear" w:color="auto" w:fill="auto"/>
            <w:noWrap/>
            <w:vAlign w:val="center"/>
            <w:hideMark/>
          </w:tcPr>
          <w:p w14:paraId="3A7C951D"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Female</w:t>
            </w:r>
          </w:p>
        </w:tc>
        <w:tc>
          <w:tcPr>
            <w:tcW w:w="460" w:type="dxa"/>
            <w:tcBorders>
              <w:top w:val="nil"/>
              <w:left w:val="nil"/>
              <w:bottom w:val="nil"/>
              <w:right w:val="nil"/>
            </w:tcBorders>
            <w:shd w:val="clear" w:color="000000" w:fill="FFFFFF"/>
            <w:vAlign w:val="center"/>
            <w:hideMark/>
          </w:tcPr>
          <w:p w14:paraId="5871538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432</w:t>
            </w:r>
          </w:p>
        </w:tc>
        <w:tc>
          <w:tcPr>
            <w:tcW w:w="677" w:type="dxa"/>
            <w:tcBorders>
              <w:top w:val="nil"/>
              <w:left w:val="nil"/>
              <w:bottom w:val="nil"/>
              <w:right w:val="nil"/>
            </w:tcBorders>
            <w:shd w:val="clear" w:color="000000" w:fill="FFFFFF"/>
            <w:vAlign w:val="center"/>
            <w:hideMark/>
          </w:tcPr>
          <w:p w14:paraId="0E9E1B4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53.30 </w:t>
            </w:r>
          </w:p>
        </w:tc>
        <w:tc>
          <w:tcPr>
            <w:tcW w:w="823" w:type="dxa"/>
            <w:tcBorders>
              <w:top w:val="nil"/>
              <w:left w:val="nil"/>
              <w:bottom w:val="nil"/>
              <w:right w:val="nil"/>
            </w:tcBorders>
            <w:shd w:val="clear" w:color="auto" w:fill="auto"/>
            <w:noWrap/>
            <w:vAlign w:val="center"/>
            <w:hideMark/>
          </w:tcPr>
          <w:p w14:paraId="6289B70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17.66 </w:t>
            </w:r>
          </w:p>
        </w:tc>
        <w:tc>
          <w:tcPr>
            <w:tcW w:w="0" w:type="auto"/>
            <w:tcBorders>
              <w:top w:val="nil"/>
              <w:left w:val="nil"/>
              <w:bottom w:val="nil"/>
              <w:right w:val="nil"/>
            </w:tcBorders>
            <w:shd w:val="clear" w:color="auto" w:fill="auto"/>
            <w:noWrap/>
            <w:vAlign w:val="center"/>
            <w:hideMark/>
          </w:tcPr>
          <w:p w14:paraId="583F7CE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4280.9</w:t>
            </w:r>
          </w:p>
        </w:tc>
        <w:tc>
          <w:tcPr>
            <w:tcW w:w="0" w:type="auto"/>
            <w:tcBorders>
              <w:top w:val="nil"/>
              <w:left w:val="nil"/>
              <w:bottom w:val="nil"/>
              <w:right w:val="nil"/>
            </w:tcBorders>
            <w:shd w:val="clear" w:color="auto" w:fill="auto"/>
            <w:noWrap/>
            <w:vAlign w:val="center"/>
            <w:hideMark/>
          </w:tcPr>
          <w:p w14:paraId="16A6AED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auto" w:fill="auto"/>
            <w:noWrap/>
            <w:vAlign w:val="center"/>
            <w:hideMark/>
          </w:tcPr>
          <w:p w14:paraId="138D2AB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4,500 </w:t>
            </w:r>
          </w:p>
        </w:tc>
        <w:tc>
          <w:tcPr>
            <w:tcW w:w="0" w:type="auto"/>
            <w:tcBorders>
              <w:top w:val="nil"/>
              <w:left w:val="single" w:sz="4" w:space="0" w:color="auto"/>
              <w:bottom w:val="nil"/>
              <w:right w:val="nil"/>
            </w:tcBorders>
            <w:shd w:val="clear" w:color="000000" w:fill="FFFFFF"/>
            <w:vAlign w:val="center"/>
            <w:hideMark/>
          </w:tcPr>
          <w:p w14:paraId="29ABACE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202</w:t>
            </w:r>
          </w:p>
        </w:tc>
        <w:tc>
          <w:tcPr>
            <w:tcW w:w="0" w:type="auto"/>
            <w:tcBorders>
              <w:top w:val="nil"/>
              <w:left w:val="nil"/>
              <w:bottom w:val="nil"/>
              <w:right w:val="nil"/>
            </w:tcBorders>
            <w:shd w:val="clear" w:color="000000" w:fill="FFFFFF"/>
            <w:vAlign w:val="center"/>
            <w:hideMark/>
          </w:tcPr>
          <w:p w14:paraId="3A15FE2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39.63 </w:t>
            </w:r>
          </w:p>
        </w:tc>
        <w:tc>
          <w:tcPr>
            <w:tcW w:w="0" w:type="auto"/>
            <w:tcBorders>
              <w:top w:val="nil"/>
              <w:left w:val="nil"/>
              <w:bottom w:val="nil"/>
              <w:right w:val="nil"/>
            </w:tcBorders>
            <w:shd w:val="clear" w:color="auto" w:fill="auto"/>
            <w:noWrap/>
            <w:vAlign w:val="center"/>
            <w:hideMark/>
          </w:tcPr>
          <w:p w14:paraId="78C2FF6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17.22 </w:t>
            </w:r>
          </w:p>
        </w:tc>
        <w:tc>
          <w:tcPr>
            <w:tcW w:w="0" w:type="auto"/>
            <w:tcBorders>
              <w:top w:val="nil"/>
              <w:left w:val="nil"/>
              <w:bottom w:val="nil"/>
              <w:right w:val="nil"/>
            </w:tcBorders>
            <w:shd w:val="clear" w:color="000000" w:fill="FFFFFF"/>
            <w:vAlign w:val="center"/>
            <w:hideMark/>
          </w:tcPr>
          <w:p w14:paraId="6BCCA38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1010.3</w:t>
            </w:r>
          </w:p>
        </w:tc>
        <w:tc>
          <w:tcPr>
            <w:tcW w:w="0" w:type="auto"/>
            <w:tcBorders>
              <w:top w:val="nil"/>
              <w:left w:val="nil"/>
              <w:bottom w:val="nil"/>
              <w:right w:val="nil"/>
            </w:tcBorders>
            <w:shd w:val="clear" w:color="000000" w:fill="FFFFFF"/>
            <w:vAlign w:val="center"/>
            <w:hideMark/>
          </w:tcPr>
          <w:p w14:paraId="24A94F3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0E5122F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2,850 </w:t>
            </w:r>
          </w:p>
        </w:tc>
        <w:tc>
          <w:tcPr>
            <w:tcW w:w="0" w:type="auto"/>
            <w:tcBorders>
              <w:top w:val="nil"/>
              <w:left w:val="single" w:sz="4" w:space="0" w:color="auto"/>
              <w:bottom w:val="nil"/>
              <w:right w:val="nil"/>
            </w:tcBorders>
            <w:shd w:val="clear" w:color="000000" w:fill="FFFFFF"/>
            <w:vAlign w:val="center"/>
            <w:hideMark/>
          </w:tcPr>
          <w:p w14:paraId="59B613D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162</w:t>
            </w:r>
          </w:p>
        </w:tc>
        <w:tc>
          <w:tcPr>
            <w:tcW w:w="0" w:type="auto"/>
            <w:tcBorders>
              <w:top w:val="nil"/>
              <w:left w:val="nil"/>
              <w:bottom w:val="nil"/>
              <w:right w:val="nil"/>
            </w:tcBorders>
            <w:shd w:val="clear" w:color="000000" w:fill="FFFFFF"/>
            <w:vAlign w:val="center"/>
            <w:hideMark/>
          </w:tcPr>
          <w:p w14:paraId="3925452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34.21 </w:t>
            </w:r>
          </w:p>
        </w:tc>
        <w:tc>
          <w:tcPr>
            <w:tcW w:w="0" w:type="auto"/>
            <w:tcBorders>
              <w:top w:val="nil"/>
              <w:left w:val="nil"/>
              <w:bottom w:val="nil"/>
              <w:right w:val="nil"/>
            </w:tcBorders>
            <w:shd w:val="clear" w:color="auto" w:fill="auto"/>
            <w:noWrap/>
            <w:vAlign w:val="center"/>
            <w:hideMark/>
          </w:tcPr>
          <w:p w14:paraId="65DBB02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12.07 </w:t>
            </w:r>
          </w:p>
        </w:tc>
        <w:tc>
          <w:tcPr>
            <w:tcW w:w="0" w:type="auto"/>
            <w:tcBorders>
              <w:top w:val="nil"/>
              <w:left w:val="nil"/>
              <w:bottom w:val="nil"/>
              <w:right w:val="nil"/>
            </w:tcBorders>
            <w:shd w:val="clear" w:color="000000" w:fill="FFFFFF"/>
            <w:vAlign w:val="center"/>
            <w:hideMark/>
          </w:tcPr>
          <w:p w14:paraId="3801BC1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644.2</w:t>
            </w:r>
          </w:p>
        </w:tc>
        <w:tc>
          <w:tcPr>
            <w:tcW w:w="0" w:type="auto"/>
            <w:tcBorders>
              <w:top w:val="nil"/>
              <w:left w:val="nil"/>
              <w:bottom w:val="nil"/>
              <w:right w:val="nil"/>
            </w:tcBorders>
            <w:shd w:val="clear" w:color="000000" w:fill="FFFFFF"/>
            <w:vAlign w:val="center"/>
            <w:hideMark/>
          </w:tcPr>
          <w:p w14:paraId="35994B6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54EE2C6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800 </w:t>
            </w:r>
          </w:p>
        </w:tc>
        <w:tc>
          <w:tcPr>
            <w:tcW w:w="0" w:type="auto"/>
            <w:tcBorders>
              <w:top w:val="nil"/>
              <w:left w:val="single" w:sz="4" w:space="0" w:color="auto"/>
              <w:bottom w:val="nil"/>
              <w:right w:val="nil"/>
            </w:tcBorders>
            <w:shd w:val="clear" w:color="auto" w:fill="auto"/>
            <w:noWrap/>
            <w:vAlign w:val="center"/>
            <w:hideMark/>
          </w:tcPr>
          <w:p w14:paraId="5029FC3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122</w:t>
            </w:r>
          </w:p>
        </w:tc>
        <w:tc>
          <w:tcPr>
            <w:tcW w:w="0" w:type="auto"/>
            <w:tcBorders>
              <w:top w:val="nil"/>
              <w:left w:val="nil"/>
              <w:bottom w:val="nil"/>
              <w:right w:val="nil"/>
            </w:tcBorders>
            <w:shd w:val="clear" w:color="auto" w:fill="auto"/>
            <w:noWrap/>
            <w:vAlign w:val="center"/>
            <w:hideMark/>
          </w:tcPr>
          <w:p w14:paraId="75BD24B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45.01 </w:t>
            </w:r>
          </w:p>
        </w:tc>
        <w:tc>
          <w:tcPr>
            <w:tcW w:w="0" w:type="auto"/>
            <w:tcBorders>
              <w:top w:val="nil"/>
              <w:left w:val="nil"/>
              <w:bottom w:val="nil"/>
              <w:right w:val="nil"/>
            </w:tcBorders>
            <w:shd w:val="clear" w:color="auto" w:fill="auto"/>
            <w:noWrap/>
            <w:vAlign w:val="center"/>
            <w:hideMark/>
          </w:tcPr>
          <w:p w14:paraId="74375C4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17.57 </w:t>
            </w:r>
          </w:p>
        </w:tc>
        <w:tc>
          <w:tcPr>
            <w:tcW w:w="0" w:type="auto"/>
            <w:tcBorders>
              <w:top w:val="nil"/>
              <w:left w:val="nil"/>
              <w:bottom w:val="nil"/>
              <w:right w:val="nil"/>
            </w:tcBorders>
            <w:shd w:val="clear" w:color="auto" w:fill="auto"/>
            <w:noWrap/>
            <w:vAlign w:val="center"/>
            <w:hideMark/>
          </w:tcPr>
          <w:p w14:paraId="0ADCB05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1245.1</w:t>
            </w:r>
          </w:p>
        </w:tc>
        <w:tc>
          <w:tcPr>
            <w:tcW w:w="0" w:type="auto"/>
            <w:tcBorders>
              <w:top w:val="nil"/>
              <w:left w:val="nil"/>
              <w:bottom w:val="nil"/>
              <w:right w:val="nil"/>
            </w:tcBorders>
            <w:shd w:val="clear" w:color="auto" w:fill="auto"/>
            <w:noWrap/>
            <w:vAlign w:val="center"/>
            <w:hideMark/>
          </w:tcPr>
          <w:p w14:paraId="4F65E6A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nil"/>
            </w:tcBorders>
            <w:shd w:val="clear" w:color="auto" w:fill="auto"/>
            <w:noWrap/>
            <w:vAlign w:val="center"/>
            <w:hideMark/>
          </w:tcPr>
          <w:p w14:paraId="134D6CF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1,200 </w:t>
            </w:r>
          </w:p>
        </w:tc>
      </w:tr>
      <w:tr w:rsidR="00D9465C" w:rsidRPr="005E3FD2" w14:paraId="0FCFD3D7" w14:textId="77777777" w:rsidTr="00DD0F28">
        <w:tc>
          <w:tcPr>
            <w:tcW w:w="1498" w:type="dxa"/>
            <w:gridSpan w:val="2"/>
            <w:tcBorders>
              <w:top w:val="nil"/>
              <w:left w:val="nil"/>
              <w:bottom w:val="nil"/>
              <w:right w:val="nil"/>
            </w:tcBorders>
            <w:shd w:val="clear" w:color="auto" w:fill="auto"/>
            <w:noWrap/>
            <w:vAlign w:val="center"/>
          </w:tcPr>
          <w:p w14:paraId="5BA1A0BC" w14:textId="77777777" w:rsidR="00D9465C" w:rsidRPr="005E3FD2" w:rsidRDefault="00D9465C" w:rsidP="00DD0F28">
            <w:pPr>
              <w:spacing w:after="20"/>
              <w:rPr>
                <w:b/>
                <w:color w:val="000000"/>
                <w:sz w:val="16"/>
                <w:szCs w:val="16"/>
                <w:lang w:eastAsia="en-NZ"/>
              </w:rPr>
            </w:pPr>
            <w:r w:rsidRPr="005E3FD2">
              <w:rPr>
                <w:b/>
                <w:color w:val="000000"/>
                <w:sz w:val="16"/>
                <w:szCs w:val="16"/>
                <w:lang w:eastAsia="en-NZ"/>
              </w:rPr>
              <w:t>Age group (years)</w:t>
            </w:r>
          </w:p>
        </w:tc>
        <w:tc>
          <w:tcPr>
            <w:tcW w:w="677" w:type="dxa"/>
            <w:tcBorders>
              <w:top w:val="nil"/>
              <w:left w:val="nil"/>
              <w:bottom w:val="nil"/>
              <w:right w:val="nil"/>
            </w:tcBorders>
            <w:shd w:val="clear" w:color="000000" w:fill="FFFFFF"/>
            <w:vAlign w:val="center"/>
          </w:tcPr>
          <w:p w14:paraId="62A02B3B" w14:textId="77777777" w:rsidR="00D9465C" w:rsidRPr="005E3FD2" w:rsidRDefault="00D9465C" w:rsidP="00DD0F28">
            <w:pPr>
              <w:spacing w:after="20"/>
              <w:jc w:val="right"/>
              <w:rPr>
                <w:color w:val="000000"/>
                <w:sz w:val="16"/>
                <w:szCs w:val="16"/>
                <w:lang w:eastAsia="en-NZ"/>
              </w:rPr>
            </w:pPr>
          </w:p>
        </w:tc>
        <w:tc>
          <w:tcPr>
            <w:tcW w:w="823" w:type="dxa"/>
            <w:tcBorders>
              <w:top w:val="nil"/>
              <w:left w:val="nil"/>
              <w:bottom w:val="nil"/>
              <w:right w:val="nil"/>
            </w:tcBorders>
            <w:shd w:val="clear" w:color="auto" w:fill="auto"/>
            <w:noWrap/>
            <w:vAlign w:val="center"/>
          </w:tcPr>
          <w:p w14:paraId="35A75598"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6F8B75EB"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5437A012"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single" w:sz="4" w:space="0" w:color="auto"/>
            </w:tcBorders>
            <w:shd w:val="clear" w:color="auto" w:fill="auto"/>
            <w:noWrap/>
            <w:vAlign w:val="center"/>
          </w:tcPr>
          <w:p w14:paraId="7504BB5C" w14:textId="77777777" w:rsidR="00D9465C" w:rsidRPr="005E3FD2" w:rsidRDefault="00D9465C" w:rsidP="00DD0F28">
            <w:pPr>
              <w:spacing w:after="20"/>
              <w:jc w:val="right"/>
              <w:rPr>
                <w:color w:val="000000"/>
                <w:sz w:val="16"/>
                <w:szCs w:val="16"/>
                <w:lang w:eastAsia="en-NZ"/>
              </w:rPr>
            </w:pPr>
          </w:p>
        </w:tc>
        <w:tc>
          <w:tcPr>
            <w:tcW w:w="0" w:type="auto"/>
            <w:tcBorders>
              <w:top w:val="nil"/>
              <w:left w:val="single" w:sz="4" w:space="0" w:color="auto"/>
              <w:bottom w:val="nil"/>
              <w:right w:val="nil"/>
            </w:tcBorders>
            <w:shd w:val="clear" w:color="000000" w:fill="FFFFFF"/>
            <w:vAlign w:val="center"/>
          </w:tcPr>
          <w:p w14:paraId="5194BD0B"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52253C51"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7987C9C9"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69552678"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02B1AC94"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single" w:sz="4" w:space="0" w:color="auto"/>
            </w:tcBorders>
            <w:shd w:val="clear" w:color="000000" w:fill="FFFFFF"/>
            <w:vAlign w:val="center"/>
          </w:tcPr>
          <w:p w14:paraId="75365B37" w14:textId="77777777" w:rsidR="00D9465C" w:rsidRPr="005E3FD2" w:rsidRDefault="00D9465C" w:rsidP="00DD0F28">
            <w:pPr>
              <w:spacing w:after="20"/>
              <w:jc w:val="right"/>
              <w:rPr>
                <w:color w:val="000000"/>
                <w:sz w:val="16"/>
                <w:szCs w:val="16"/>
                <w:lang w:eastAsia="en-NZ"/>
              </w:rPr>
            </w:pPr>
          </w:p>
        </w:tc>
        <w:tc>
          <w:tcPr>
            <w:tcW w:w="0" w:type="auto"/>
            <w:tcBorders>
              <w:top w:val="nil"/>
              <w:left w:val="single" w:sz="4" w:space="0" w:color="auto"/>
              <w:bottom w:val="nil"/>
              <w:right w:val="nil"/>
            </w:tcBorders>
            <w:shd w:val="clear" w:color="000000" w:fill="FFFFFF"/>
            <w:vAlign w:val="center"/>
          </w:tcPr>
          <w:p w14:paraId="415648B1"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262F7483"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059580A3"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5374A5C9"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3D08EF2E"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single" w:sz="4" w:space="0" w:color="auto"/>
            </w:tcBorders>
            <w:shd w:val="clear" w:color="000000" w:fill="FFFFFF"/>
            <w:vAlign w:val="center"/>
          </w:tcPr>
          <w:p w14:paraId="1ACC856A" w14:textId="77777777" w:rsidR="00D9465C" w:rsidRPr="005E3FD2" w:rsidRDefault="00D9465C" w:rsidP="00DD0F28">
            <w:pPr>
              <w:spacing w:after="20"/>
              <w:jc w:val="right"/>
              <w:rPr>
                <w:color w:val="000000"/>
                <w:sz w:val="16"/>
                <w:szCs w:val="16"/>
                <w:lang w:eastAsia="en-NZ"/>
              </w:rPr>
            </w:pPr>
          </w:p>
        </w:tc>
        <w:tc>
          <w:tcPr>
            <w:tcW w:w="0" w:type="auto"/>
            <w:tcBorders>
              <w:top w:val="nil"/>
              <w:left w:val="single" w:sz="4" w:space="0" w:color="auto"/>
              <w:bottom w:val="nil"/>
              <w:right w:val="nil"/>
            </w:tcBorders>
            <w:shd w:val="clear" w:color="auto" w:fill="auto"/>
            <w:noWrap/>
            <w:vAlign w:val="center"/>
          </w:tcPr>
          <w:p w14:paraId="3326F4D9"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788BEB4A"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2ACE7A82"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4E3E942F"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51C7A970"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73BC09C6" w14:textId="77777777" w:rsidR="00D9465C" w:rsidRPr="005E3FD2" w:rsidRDefault="00D9465C" w:rsidP="00DD0F28">
            <w:pPr>
              <w:spacing w:after="20"/>
              <w:jc w:val="right"/>
              <w:rPr>
                <w:color w:val="000000"/>
                <w:sz w:val="16"/>
                <w:szCs w:val="16"/>
                <w:lang w:eastAsia="en-NZ"/>
              </w:rPr>
            </w:pPr>
          </w:p>
        </w:tc>
      </w:tr>
      <w:tr w:rsidR="00D9465C" w:rsidRPr="005E3FD2" w14:paraId="65E7DF49" w14:textId="77777777" w:rsidTr="00DD0F28">
        <w:tc>
          <w:tcPr>
            <w:tcW w:w="0" w:type="auto"/>
            <w:tcBorders>
              <w:top w:val="nil"/>
              <w:left w:val="nil"/>
              <w:bottom w:val="nil"/>
              <w:right w:val="nil"/>
            </w:tcBorders>
            <w:shd w:val="clear" w:color="auto" w:fill="auto"/>
            <w:noWrap/>
            <w:vAlign w:val="center"/>
            <w:hideMark/>
          </w:tcPr>
          <w:p w14:paraId="32FE8997" w14:textId="77777777" w:rsidR="00D9465C" w:rsidRPr="005E3FD2" w:rsidRDefault="00D9465C" w:rsidP="00DD0F28">
            <w:pPr>
              <w:spacing w:before="20" w:after="20"/>
              <w:rPr>
                <w:color w:val="000000"/>
                <w:sz w:val="16"/>
                <w:szCs w:val="16"/>
                <w:lang w:eastAsia="en-NZ"/>
              </w:rPr>
            </w:pPr>
            <w:r w:rsidRPr="005E3FD2">
              <w:rPr>
                <w:color w:val="000000"/>
                <w:sz w:val="16"/>
                <w:szCs w:val="16"/>
                <w:lang w:eastAsia="en-NZ"/>
              </w:rPr>
              <w:t>18 - 24</w:t>
            </w:r>
          </w:p>
        </w:tc>
        <w:tc>
          <w:tcPr>
            <w:tcW w:w="460" w:type="dxa"/>
            <w:tcBorders>
              <w:top w:val="nil"/>
              <w:left w:val="nil"/>
              <w:bottom w:val="nil"/>
              <w:right w:val="nil"/>
            </w:tcBorders>
            <w:shd w:val="clear" w:color="000000" w:fill="FFFFFF"/>
            <w:vAlign w:val="center"/>
            <w:hideMark/>
          </w:tcPr>
          <w:p w14:paraId="69F13F5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194</w:t>
            </w:r>
          </w:p>
        </w:tc>
        <w:tc>
          <w:tcPr>
            <w:tcW w:w="677" w:type="dxa"/>
            <w:tcBorders>
              <w:top w:val="nil"/>
              <w:left w:val="nil"/>
              <w:bottom w:val="nil"/>
              <w:right w:val="nil"/>
            </w:tcBorders>
            <w:shd w:val="clear" w:color="000000" w:fill="FFFFFF"/>
            <w:vAlign w:val="center"/>
            <w:hideMark/>
          </w:tcPr>
          <w:p w14:paraId="671701F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39.36 </w:t>
            </w:r>
          </w:p>
        </w:tc>
        <w:tc>
          <w:tcPr>
            <w:tcW w:w="823" w:type="dxa"/>
            <w:tcBorders>
              <w:top w:val="nil"/>
              <w:left w:val="nil"/>
              <w:bottom w:val="nil"/>
              <w:right w:val="nil"/>
            </w:tcBorders>
            <w:shd w:val="clear" w:color="auto" w:fill="auto"/>
            <w:noWrap/>
            <w:vAlign w:val="center"/>
            <w:hideMark/>
          </w:tcPr>
          <w:p w14:paraId="78B3E82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9.33 </w:t>
            </w:r>
          </w:p>
        </w:tc>
        <w:tc>
          <w:tcPr>
            <w:tcW w:w="0" w:type="auto"/>
            <w:tcBorders>
              <w:top w:val="nil"/>
              <w:left w:val="nil"/>
              <w:bottom w:val="nil"/>
              <w:right w:val="nil"/>
            </w:tcBorders>
            <w:shd w:val="clear" w:color="000000" w:fill="FFFFFF"/>
            <w:vAlign w:val="center"/>
            <w:hideMark/>
          </w:tcPr>
          <w:p w14:paraId="28DEF91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3223.6</w:t>
            </w:r>
          </w:p>
        </w:tc>
        <w:tc>
          <w:tcPr>
            <w:tcW w:w="0" w:type="auto"/>
            <w:tcBorders>
              <w:top w:val="nil"/>
              <w:left w:val="nil"/>
              <w:bottom w:val="nil"/>
              <w:right w:val="nil"/>
            </w:tcBorders>
            <w:shd w:val="clear" w:color="auto" w:fill="auto"/>
            <w:noWrap/>
            <w:vAlign w:val="center"/>
            <w:hideMark/>
          </w:tcPr>
          <w:p w14:paraId="0D05B84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auto" w:fill="auto"/>
            <w:noWrap/>
            <w:vAlign w:val="center"/>
            <w:hideMark/>
          </w:tcPr>
          <w:p w14:paraId="2F7A362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4,500 </w:t>
            </w:r>
          </w:p>
        </w:tc>
        <w:tc>
          <w:tcPr>
            <w:tcW w:w="0" w:type="auto"/>
            <w:tcBorders>
              <w:top w:val="nil"/>
              <w:left w:val="single" w:sz="4" w:space="0" w:color="auto"/>
              <w:bottom w:val="nil"/>
              <w:right w:val="nil"/>
            </w:tcBorders>
            <w:shd w:val="clear" w:color="000000" w:fill="FFFFFF"/>
            <w:vAlign w:val="center"/>
            <w:hideMark/>
          </w:tcPr>
          <w:p w14:paraId="7E7B89B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73</w:t>
            </w:r>
          </w:p>
        </w:tc>
        <w:tc>
          <w:tcPr>
            <w:tcW w:w="0" w:type="auto"/>
            <w:tcBorders>
              <w:top w:val="nil"/>
              <w:left w:val="nil"/>
              <w:bottom w:val="nil"/>
              <w:right w:val="nil"/>
            </w:tcBorders>
            <w:shd w:val="clear" w:color="000000" w:fill="FFFFFF"/>
            <w:vAlign w:val="center"/>
            <w:hideMark/>
          </w:tcPr>
          <w:p w14:paraId="6460449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27.71 </w:t>
            </w:r>
          </w:p>
        </w:tc>
        <w:tc>
          <w:tcPr>
            <w:tcW w:w="0" w:type="auto"/>
            <w:tcBorders>
              <w:top w:val="nil"/>
              <w:left w:val="nil"/>
              <w:bottom w:val="nil"/>
              <w:right w:val="nil"/>
            </w:tcBorders>
            <w:shd w:val="clear" w:color="auto" w:fill="auto"/>
            <w:noWrap/>
            <w:vAlign w:val="center"/>
            <w:hideMark/>
          </w:tcPr>
          <w:p w14:paraId="5C345DC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15.97 </w:t>
            </w:r>
          </w:p>
        </w:tc>
        <w:tc>
          <w:tcPr>
            <w:tcW w:w="0" w:type="auto"/>
            <w:tcBorders>
              <w:top w:val="nil"/>
              <w:left w:val="nil"/>
              <w:bottom w:val="nil"/>
              <w:right w:val="nil"/>
            </w:tcBorders>
            <w:shd w:val="clear" w:color="000000" w:fill="FFFFFF"/>
            <w:vAlign w:val="center"/>
            <w:hideMark/>
          </w:tcPr>
          <w:p w14:paraId="5FFD631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461.4</w:t>
            </w:r>
          </w:p>
        </w:tc>
        <w:tc>
          <w:tcPr>
            <w:tcW w:w="0" w:type="auto"/>
            <w:tcBorders>
              <w:top w:val="nil"/>
              <w:left w:val="nil"/>
              <w:bottom w:val="nil"/>
              <w:right w:val="nil"/>
            </w:tcBorders>
            <w:shd w:val="clear" w:color="000000" w:fill="FFFFFF"/>
            <w:vAlign w:val="center"/>
            <w:hideMark/>
          </w:tcPr>
          <w:p w14:paraId="16D063F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 </w:t>
            </w:r>
          </w:p>
        </w:tc>
        <w:tc>
          <w:tcPr>
            <w:tcW w:w="0" w:type="auto"/>
            <w:tcBorders>
              <w:top w:val="nil"/>
              <w:left w:val="nil"/>
              <w:bottom w:val="nil"/>
              <w:right w:val="single" w:sz="4" w:space="0" w:color="auto"/>
            </w:tcBorders>
            <w:shd w:val="clear" w:color="000000" w:fill="FFFFFF"/>
            <w:vAlign w:val="center"/>
            <w:hideMark/>
          </w:tcPr>
          <w:p w14:paraId="5397F46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320 </w:t>
            </w:r>
          </w:p>
        </w:tc>
        <w:tc>
          <w:tcPr>
            <w:tcW w:w="0" w:type="auto"/>
            <w:tcBorders>
              <w:top w:val="nil"/>
              <w:left w:val="single" w:sz="4" w:space="0" w:color="auto"/>
              <w:bottom w:val="nil"/>
              <w:right w:val="nil"/>
            </w:tcBorders>
            <w:shd w:val="clear" w:color="000000" w:fill="FFFFFF"/>
            <w:vAlign w:val="center"/>
            <w:hideMark/>
          </w:tcPr>
          <w:p w14:paraId="07885FC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45</w:t>
            </w:r>
          </w:p>
        </w:tc>
        <w:tc>
          <w:tcPr>
            <w:tcW w:w="0" w:type="auto"/>
            <w:tcBorders>
              <w:top w:val="nil"/>
              <w:left w:val="nil"/>
              <w:bottom w:val="nil"/>
              <w:right w:val="nil"/>
            </w:tcBorders>
            <w:shd w:val="clear" w:color="000000" w:fill="FFFFFF"/>
            <w:vAlign w:val="center"/>
            <w:hideMark/>
          </w:tcPr>
          <w:p w14:paraId="15CE090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23.27 </w:t>
            </w:r>
          </w:p>
        </w:tc>
        <w:tc>
          <w:tcPr>
            <w:tcW w:w="0" w:type="auto"/>
            <w:tcBorders>
              <w:top w:val="nil"/>
              <w:left w:val="nil"/>
              <w:bottom w:val="nil"/>
              <w:right w:val="nil"/>
            </w:tcBorders>
            <w:shd w:val="clear" w:color="000000" w:fill="FFFFFF"/>
            <w:vAlign w:val="center"/>
            <w:hideMark/>
          </w:tcPr>
          <w:p w14:paraId="1C3D98A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9.81 </w:t>
            </w:r>
          </w:p>
        </w:tc>
        <w:tc>
          <w:tcPr>
            <w:tcW w:w="0" w:type="auto"/>
            <w:tcBorders>
              <w:top w:val="nil"/>
              <w:left w:val="nil"/>
              <w:bottom w:val="nil"/>
              <w:right w:val="nil"/>
            </w:tcBorders>
            <w:shd w:val="clear" w:color="000000" w:fill="FFFFFF"/>
            <w:vAlign w:val="center"/>
            <w:hideMark/>
          </w:tcPr>
          <w:p w14:paraId="021523B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122.4</w:t>
            </w:r>
          </w:p>
        </w:tc>
        <w:tc>
          <w:tcPr>
            <w:tcW w:w="0" w:type="auto"/>
            <w:tcBorders>
              <w:top w:val="nil"/>
              <w:left w:val="nil"/>
              <w:bottom w:val="nil"/>
              <w:right w:val="nil"/>
            </w:tcBorders>
            <w:shd w:val="clear" w:color="000000" w:fill="FFFFFF"/>
            <w:vAlign w:val="center"/>
            <w:hideMark/>
          </w:tcPr>
          <w:p w14:paraId="00080B6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 </w:t>
            </w:r>
          </w:p>
        </w:tc>
        <w:tc>
          <w:tcPr>
            <w:tcW w:w="0" w:type="auto"/>
            <w:tcBorders>
              <w:top w:val="nil"/>
              <w:left w:val="nil"/>
              <w:bottom w:val="nil"/>
              <w:right w:val="single" w:sz="4" w:space="0" w:color="auto"/>
            </w:tcBorders>
            <w:shd w:val="clear" w:color="000000" w:fill="FFFFFF"/>
            <w:vAlign w:val="center"/>
            <w:hideMark/>
          </w:tcPr>
          <w:p w14:paraId="4FAA6C2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260 </w:t>
            </w:r>
          </w:p>
        </w:tc>
        <w:tc>
          <w:tcPr>
            <w:tcW w:w="0" w:type="auto"/>
            <w:tcBorders>
              <w:top w:val="nil"/>
              <w:left w:val="single" w:sz="4" w:space="0" w:color="auto"/>
              <w:bottom w:val="nil"/>
              <w:right w:val="nil"/>
            </w:tcBorders>
            <w:shd w:val="clear" w:color="auto" w:fill="auto"/>
            <w:noWrap/>
            <w:vAlign w:val="center"/>
            <w:hideMark/>
          </w:tcPr>
          <w:p w14:paraId="5803D6B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47</w:t>
            </w:r>
          </w:p>
        </w:tc>
        <w:tc>
          <w:tcPr>
            <w:tcW w:w="0" w:type="auto"/>
            <w:tcBorders>
              <w:top w:val="nil"/>
              <w:left w:val="nil"/>
              <w:bottom w:val="nil"/>
              <w:right w:val="nil"/>
            </w:tcBorders>
            <w:shd w:val="clear" w:color="auto" w:fill="auto"/>
            <w:noWrap/>
            <w:vAlign w:val="center"/>
            <w:hideMark/>
          </w:tcPr>
          <w:p w14:paraId="2650655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24.64 </w:t>
            </w:r>
          </w:p>
        </w:tc>
        <w:tc>
          <w:tcPr>
            <w:tcW w:w="0" w:type="auto"/>
            <w:tcBorders>
              <w:top w:val="nil"/>
              <w:left w:val="nil"/>
              <w:bottom w:val="nil"/>
              <w:right w:val="nil"/>
            </w:tcBorders>
            <w:shd w:val="clear" w:color="auto" w:fill="auto"/>
            <w:noWrap/>
            <w:vAlign w:val="center"/>
            <w:hideMark/>
          </w:tcPr>
          <w:p w14:paraId="754BE1E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11.85 </w:t>
            </w:r>
          </w:p>
        </w:tc>
        <w:tc>
          <w:tcPr>
            <w:tcW w:w="0" w:type="auto"/>
            <w:tcBorders>
              <w:top w:val="nil"/>
              <w:left w:val="nil"/>
              <w:bottom w:val="nil"/>
              <w:right w:val="nil"/>
            </w:tcBorders>
            <w:shd w:val="clear" w:color="auto" w:fill="auto"/>
            <w:noWrap/>
            <w:vAlign w:val="center"/>
            <w:hideMark/>
          </w:tcPr>
          <w:p w14:paraId="7B25BF4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340.5</w:t>
            </w:r>
          </w:p>
        </w:tc>
        <w:tc>
          <w:tcPr>
            <w:tcW w:w="0" w:type="auto"/>
            <w:tcBorders>
              <w:top w:val="nil"/>
              <w:left w:val="nil"/>
              <w:bottom w:val="nil"/>
              <w:right w:val="nil"/>
            </w:tcBorders>
            <w:shd w:val="clear" w:color="auto" w:fill="auto"/>
            <w:noWrap/>
            <w:vAlign w:val="center"/>
            <w:hideMark/>
          </w:tcPr>
          <w:p w14:paraId="7227930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 </w:t>
            </w:r>
          </w:p>
        </w:tc>
        <w:tc>
          <w:tcPr>
            <w:tcW w:w="0" w:type="auto"/>
            <w:tcBorders>
              <w:top w:val="nil"/>
              <w:left w:val="nil"/>
              <w:bottom w:val="nil"/>
              <w:right w:val="nil"/>
            </w:tcBorders>
            <w:shd w:val="clear" w:color="auto" w:fill="auto"/>
            <w:noWrap/>
            <w:vAlign w:val="center"/>
            <w:hideMark/>
          </w:tcPr>
          <w:p w14:paraId="733F7E9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400 </w:t>
            </w:r>
          </w:p>
        </w:tc>
      </w:tr>
      <w:tr w:rsidR="00D9465C" w:rsidRPr="005E3FD2" w14:paraId="1198C519" w14:textId="77777777" w:rsidTr="00DD0F28">
        <w:tc>
          <w:tcPr>
            <w:tcW w:w="0" w:type="auto"/>
            <w:tcBorders>
              <w:top w:val="nil"/>
              <w:left w:val="nil"/>
              <w:bottom w:val="nil"/>
              <w:right w:val="nil"/>
            </w:tcBorders>
            <w:shd w:val="clear" w:color="auto" w:fill="auto"/>
            <w:noWrap/>
            <w:vAlign w:val="center"/>
            <w:hideMark/>
          </w:tcPr>
          <w:p w14:paraId="0B6DE68A" w14:textId="77777777" w:rsidR="00D9465C" w:rsidRPr="005E3FD2" w:rsidRDefault="00D9465C" w:rsidP="00DD0F28">
            <w:pPr>
              <w:spacing w:before="20" w:after="20"/>
              <w:rPr>
                <w:color w:val="000000"/>
                <w:sz w:val="16"/>
                <w:szCs w:val="16"/>
                <w:lang w:eastAsia="en-NZ"/>
              </w:rPr>
            </w:pPr>
            <w:r w:rsidRPr="005E3FD2">
              <w:rPr>
                <w:color w:val="000000"/>
                <w:sz w:val="16"/>
                <w:szCs w:val="16"/>
                <w:lang w:eastAsia="en-NZ"/>
              </w:rPr>
              <w:t>25 - 34</w:t>
            </w:r>
          </w:p>
        </w:tc>
        <w:tc>
          <w:tcPr>
            <w:tcW w:w="460" w:type="dxa"/>
            <w:tcBorders>
              <w:top w:val="nil"/>
              <w:left w:val="nil"/>
              <w:bottom w:val="nil"/>
              <w:right w:val="nil"/>
            </w:tcBorders>
            <w:shd w:val="clear" w:color="000000" w:fill="FFFFFF"/>
            <w:vAlign w:val="center"/>
            <w:hideMark/>
          </w:tcPr>
          <w:p w14:paraId="1231E8A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211</w:t>
            </w:r>
          </w:p>
        </w:tc>
        <w:tc>
          <w:tcPr>
            <w:tcW w:w="677" w:type="dxa"/>
            <w:tcBorders>
              <w:top w:val="nil"/>
              <w:left w:val="nil"/>
              <w:bottom w:val="nil"/>
              <w:right w:val="nil"/>
            </w:tcBorders>
            <w:shd w:val="clear" w:color="000000" w:fill="FFFFFF"/>
            <w:vAlign w:val="center"/>
            <w:hideMark/>
          </w:tcPr>
          <w:p w14:paraId="1FB6B16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40.63 </w:t>
            </w:r>
          </w:p>
        </w:tc>
        <w:tc>
          <w:tcPr>
            <w:tcW w:w="823" w:type="dxa"/>
            <w:tcBorders>
              <w:top w:val="nil"/>
              <w:left w:val="nil"/>
              <w:bottom w:val="nil"/>
              <w:right w:val="nil"/>
            </w:tcBorders>
            <w:shd w:val="clear" w:color="auto" w:fill="auto"/>
            <w:noWrap/>
            <w:vAlign w:val="center"/>
            <w:hideMark/>
          </w:tcPr>
          <w:p w14:paraId="3EBF628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18.25 </w:t>
            </w:r>
          </w:p>
        </w:tc>
        <w:tc>
          <w:tcPr>
            <w:tcW w:w="0" w:type="auto"/>
            <w:tcBorders>
              <w:top w:val="nil"/>
              <w:left w:val="nil"/>
              <w:bottom w:val="nil"/>
              <w:right w:val="nil"/>
            </w:tcBorders>
            <w:shd w:val="clear" w:color="auto" w:fill="auto"/>
            <w:noWrap/>
            <w:vAlign w:val="center"/>
            <w:hideMark/>
          </w:tcPr>
          <w:p w14:paraId="4F33A6C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1291.1</w:t>
            </w:r>
          </w:p>
        </w:tc>
        <w:tc>
          <w:tcPr>
            <w:tcW w:w="0" w:type="auto"/>
            <w:tcBorders>
              <w:top w:val="nil"/>
              <w:left w:val="nil"/>
              <w:bottom w:val="nil"/>
              <w:right w:val="nil"/>
            </w:tcBorders>
            <w:shd w:val="clear" w:color="auto" w:fill="auto"/>
            <w:noWrap/>
            <w:vAlign w:val="center"/>
            <w:hideMark/>
          </w:tcPr>
          <w:p w14:paraId="0B9273B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auto" w:fill="auto"/>
            <w:noWrap/>
            <w:vAlign w:val="center"/>
            <w:hideMark/>
          </w:tcPr>
          <w:p w14:paraId="0C6F0A2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1,400 </w:t>
            </w:r>
          </w:p>
        </w:tc>
        <w:tc>
          <w:tcPr>
            <w:tcW w:w="0" w:type="auto"/>
            <w:tcBorders>
              <w:top w:val="nil"/>
              <w:left w:val="single" w:sz="4" w:space="0" w:color="auto"/>
              <w:bottom w:val="nil"/>
              <w:right w:val="nil"/>
            </w:tcBorders>
            <w:shd w:val="clear" w:color="000000" w:fill="FFFFFF"/>
            <w:vAlign w:val="center"/>
            <w:hideMark/>
          </w:tcPr>
          <w:p w14:paraId="1AE4601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94</w:t>
            </w:r>
          </w:p>
        </w:tc>
        <w:tc>
          <w:tcPr>
            <w:tcW w:w="0" w:type="auto"/>
            <w:tcBorders>
              <w:top w:val="nil"/>
              <w:left w:val="nil"/>
              <w:bottom w:val="nil"/>
              <w:right w:val="nil"/>
            </w:tcBorders>
            <w:shd w:val="clear" w:color="000000" w:fill="FFFFFF"/>
            <w:vAlign w:val="center"/>
            <w:hideMark/>
          </w:tcPr>
          <w:p w14:paraId="4648275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35.76 </w:t>
            </w:r>
          </w:p>
        </w:tc>
        <w:tc>
          <w:tcPr>
            <w:tcW w:w="0" w:type="auto"/>
            <w:tcBorders>
              <w:top w:val="nil"/>
              <w:left w:val="nil"/>
              <w:bottom w:val="nil"/>
              <w:right w:val="nil"/>
            </w:tcBorders>
            <w:shd w:val="clear" w:color="auto" w:fill="auto"/>
            <w:noWrap/>
            <w:vAlign w:val="center"/>
            <w:hideMark/>
          </w:tcPr>
          <w:p w14:paraId="591A9A5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18.28 </w:t>
            </w:r>
          </w:p>
        </w:tc>
        <w:tc>
          <w:tcPr>
            <w:tcW w:w="0" w:type="auto"/>
            <w:tcBorders>
              <w:top w:val="nil"/>
              <w:left w:val="nil"/>
              <w:bottom w:val="nil"/>
              <w:right w:val="nil"/>
            </w:tcBorders>
            <w:shd w:val="clear" w:color="000000" w:fill="FFFFFF"/>
            <w:vAlign w:val="center"/>
            <w:hideMark/>
          </w:tcPr>
          <w:p w14:paraId="6C9FABA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523.5</w:t>
            </w:r>
          </w:p>
        </w:tc>
        <w:tc>
          <w:tcPr>
            <w:tcW w:w="0" w:type="auto"/>
            <w:tcBorders>
              <w:top w:val="nil"/>
              <w:left w:val="nil"/>
              <w:bottom w:val="nil"/>
              <w:right w:val="nil"/>
            </w:tcBorders>
            <w:shd w:val="clear" w:color="000000" w:fill="FFFFFF"/>
            <w:vAlign w:val="center"/>
            <w:hideMark/>
          </w:tcPr>
          <w:p w14:paraId="4488504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3C7B7E6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300 </w:t>
            </w:r>
          </w:p>
        </w:tc>
        <w:tc>
          <w:tcPr>
            <w:tcW w:w="0" w:type="auto"/>
            <w:tcBorders>
              <w:top w:val="nil"/>
              <w:left w:val="single" w:sz="4" w:space="0" w:color="auto"/>
              <w:bottom w:val="nil"/>
              <w:right w:val="nil"/>
            </w:tcBorders>
            <w:shd w:val="clear" w:color="000000" w:fill="FFFFFF"/>
            <w:vAlign w:val="center"/>
            <w:hideMark/>
          </w:tcPr>
          <w:p w14:paraId="68ACA5A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84</w:t>
            </w:r>
          </w:p>
        </w:tc>
        <w:tc>
          <w:tcPr>
            <w:tcW w:w="0" w:type="auto"/>
            <w:tcBorders>
              <w:top w:val="nil"/>
              <w:left w:val="nil"/>
              <w:bottom w:val="nil"/>
              <w:right w:val="nil"/>
            </w:tcBorders>
            <w:shd w:val="clear" w:color="000000" w:fill="FFFFFF"/>
            <w:vAlign w:val="center"/>
            <w:hideMark/>
          </w:tcPr>
          <w:p w14:paraId="425CFED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36.91 </w:t>
            </w:r>
          </w:p>
        </w:tc>
        <w:tc>
          <w:tcPr>
            <w:tcW w:w="0" w:type="auto"/>
            <w:tcBorders>
              <w:top w:val="nil"/>
              <w:left w:val="nil"/>
              <w:bottom w:val="nil"/>
              <w:right w:val="nil"/>
            </w:tcBorders>
            <w:shd w:val="clear" w:color="auto" w:fill="auto"/>
            <w:noWrap/>
            <w:vAlign w:val="center"/>
            <w:hideMark/>
          </w:tcPr>
          <w:p w14:paraId="04AA71C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17.60 </w:t>
            </w:r>
          </w:p>
        </w:tc>
        <w:tc>
          <w:tcPr>
            <w:tcW w:w="0" w:type="auto"/>
            <w:tcBorders>
              <w:top w:val="nil"/>
              <w:left w:val="nil"/>
              <w:bottom w:val="nil"/>
              <w:right w:val="nil"/>
            </w:tcBorders>
            <w:shd w:val="clear" w:color="000000" w:fill="FFFFFF"/>
            <w:vAlign w:val="center"/>
            <w:hideMark/>
          </w:tcPr>
          <w:p w14:paraId="19DAAA3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497.3</w:t>
            </w:r>
          </w:p>
        </w:tc>
        <w:tc>
          <w:tcPr>
            <w:tcW w:w="0" w:type="auto"/>
            <w:tcBorders>
              <w:top w:val="nil"/>
              <w:left w:val="nil"/>
              <w:bottom w:val="nil"/>
              <w:right w:val="nil"/>
            </w:tcBorders>
            <w:shd w:val="clear" w:color="000000" w:fill="FFFFFF"/>
            <w:vAlign w:val="center"/>
            <w:hideMark/>
          </w:tcPr>
          <w:p w14:paraId="74BFF2A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02CD4DE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400 </w:t>
            </w:r>
          </w:p>
        </w:tc>
        <w:tc>
          <w:tcPr>
            <w:tcW w:w="0" w:type="auto"/>
            <w:tcBorders>
              <w:top w:val="nil"/>
              <w:left w:val="single" w:sz="4" w:space="0" w:color="auto"/>
              <w:bottom w:val="nil"/>
              <w:right w:val="nil"/>
            </w:tcBorders>
            <w:shd w:val="clear" w:color="auto" w:fill="auto"/>
            <w:noWrap/>
            <w:vAlign w:val="center"/>
            <w:hideMark/>
          </w:tcPr>
          <w:p w14:paraId="19338C2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68</w:t>
            </w:r>
          </w:p>
        </w:tc>
        <w:tc>
          <w:tcPr>
            <w:tcW w:w="0" w:type="auto"/>
            <w:tcBorders>
              <w:top w:val="nil"/>
              <w:left w:val="nil"/>
              <w:bottom w:val="nil"/>
              <w:right w:val="nil"/>
            </w:tcBorders>
            <w:shd w:val="clear" w:color="auto" w:fill="auto"/>
            <w:noWrap/>
            <w:vAlign w:val="center"/>
            <w:hideMark/>
          </w:tcPr>
          <w:p w14:paraId="6993EB0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63.43 </w:t>
            </w:r>
          </w:p>
        </w:tc>
        <w:tc>
          <w:tcPr>
            <w:tcW w:w="0" w:type="auto"/>
            <w:tcBorders>
              <w:top w:val="nil"/>
              <w:left w:val="nil"/>
              <w:bottom w:val="nil"/>
              <w:right w:val="nil"/>
            </w:tcBorders>
            <w:shd w:val="clear" w:color="auto" w:fill="auto"/>
            <w:noWrap/>
            <w:vAlign w:val="center"/>
            <w:hideMark/>
          </w:tcPr>
          <w:p w14:paraId="6AACC4A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23.57 </w:t>
            </w:r>
          </w:p>
        </w:tc>
        <w:tc>
          <w:tcPr>
            <w:tcW w:w="0" w:type="auto"/>
            <w:tcBorders>
              <w:top w:val="nil"/>
              <w:left w:val="nil"/>
              <w:bottom w:val="nil"/>
              <w:right w:val="nil"/>
            </w:tcBorders>
            <w:shd w:val="clear" w:color="auto" w:fill="auto"/>
            <w:noWrap/>
            <w:vAlign w:val="center"/>
            <w:hideMark/>
          </w:tcPr>
          <w:p w14:paraId="0102568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1068.8</w:t>
            </w:r>
          </w:p>
        </w:tc>
        <w:tc>
          <w:tcPr>
            <w:tcW w:w="0" w:type="auto"/>
            <w:tcBorders>
              <w:top w:val="nil"/>
              <w:left w:val="nil"/>
              <w:bottom w:val="nil"/>
              <w:right w:val="nil"/>
            </w:tcBorders>
            <w:shd w:val="clear" w:color="auto" w:fill="auto"/>
            <w:noWrap/>
            <w:vAlign w:val="center"/>
            <w:hideMark/>
          </w:tcPr>
          <w:p w14:paraId="51BF250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 </w:t>
            </w:r>
          </w:p>
        </w:tc>
        <w:tc>
          <w:tcPr>
            <w:tcW w:w="0" w:type="auto"/>
            <w:tcBorders>
              <w:top w:val="nil"/>
              <w:left w:val="nil"/>
              <w:bottom w:val="nil"/>
              <w:right w:val="nil"/>
            </w:tcBorders>
            <w:shd w:val="clear" w:color="auto" w:fill="auto"/>
            <w:noWrap/>
            <w:vAlign w:val="center"/>
            <w:hideMark/>
          </w:tcPr>
          <w:p w14:paraId="2CFD6F0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1,200 </w:t>
            </w:r>
          </w:p>
        </w:tc>
      </w:tr>
      <w:tr w:rsidR="00D9465C" w:rsidRPr="005E3FD2" w14:paraId="62406864" w14:textId="77777777" w:rsidTr="00DD0F28">
        <w:tc>
          <w:tcPr>
            <w:tcW w:w="0" w:type="auto"/>
            <w:tcBorders>
              <w:top w:val="nil"/>
              <w:left w:val="nil"/>
              <w:bottom w:val="nil"/>
              <w:right w:val="nil"/>
            </w:tcBorders>
            <w:shd w:val="clear" w:color="auto" w:fill="auto"/>
            <w:noWrap/>
            <w:vAlign w:val="center"/>
            <w:hideMark/>
          </w:tcPr>
          <w:p w14:paraId="2CCDFEFD" w14:textId="77777777" w:rsidR="00D9465C" w:rsidRPr="005E3FD2" w:rsidRDefault="00D9465C" w:rsidP="00DD0F28">
            <w:pPr>
              <w:spacing w:before="20" w:after="20"/>
              <w:rPr>
                <w:color w:val="000000"/>
                <w:sz w:val="16"/>
                <w:szCs w:val="16"/>
                <w:lang w:eastAsia="en-NZ"/>
              </w:rPr>
            </w:pPr>
            <w:r w:rsidRPr="005E3FD2">
              <w:rPr>
                <w:color w:val="000000"/>
                <w:sz w:val="16"/>
                <w:szCs w:val="16"/>
                <w:lang w:eastAsia="en-NZ"/>
              </w:rPr>
              <w:t>35 - 44</w:t>
            </w:r>
          </w:p>
        </w:tc>
        <w:tc>
          <w:tcPr>
            <w:tcW w:w="460" w:type="dxa"/>
            <w:tcBorders>
              <w:top w:val="nil"/>
              <w:left w:val="nil"/>
              <w:bottom w:val="nil"/>
              <w:right w:val="nil"/>
            </w:tcBorders>
            <w:shd w:val="clear" w:color="000000" w:fill="FFFFFF"/>
            <w:vAlign w:val="center"/>
            <w:hideMark/>
          </w:tcPr>
          <w:p w14:paraId="75BBFE8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136</w:t>
            </w:r>
          </w:p>
        </w:tc>
        <w:tc>
          <w:tcPr>
            <w:tcW w:w="677" w:type="dxa"/>
            <w:tcBorders>
              <w:top w:val="nil"/>
              <w:left w:val="nil"/>
              <w:bottom w:val="nil"/>
              <w:right w:val="nil"/>
            </w:tcBorders>
            <w:shd w:val="clear" w:color="000000" w:fill="FFFFFF"/>
            <w:vAlign w:val="center"/>
            <w:hideMark/>
          </w:tcPr>
          <w:p w14:paraId="481FAFD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40.08 </w:t>
            </w:r>
          </w:p>
        </w:tc>
        <w:tc>
          <w:tcPr>
            <w:tcW w:w="823" w:type="dxa"/>
            <w:tcBorders>
              <w:top w:val="nil"/>
              <w:left w:val="nil"/>
              <w:bottom w:val="nil"/>
              <w:right w:val="nil"/>
            </w:tcBorders>
            <w:shd w:val="clear" w:color="auto" w:fill="auto"/>
            <w:noWrap/>
            <w:vAlign w:val="center"/>
            <w:hideMark/>
          </w:tcPr>
          <w:p w14:paraId="02A8E90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18.89 </w:t>
            </w:r>
          </w:p>
        </w:tc>
        <w:tc>
          <w:tcPr>
            <w:tcW w:w="0" w:type="auto"/>
            <w:tcBorders>
              <w:top w:val="nil"/>
              <w:left w:val="nil"/>
              <w:bottom w:val="nil"/>
              <w:right w:val="nil"/>
            </w:tcBorders>
            <w:shd w:val="clear" w:color="000000" w:fill="FFFFFF"/>
            <w:vAlign w:val="center"/>
            <w:hideMark/>
          </w:tcPr>
          <w:p w14:paraId="25006DF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651.8</w:t>
            </w:r>
          </w:p>
        </w:tc>
        <w:tc>
          <w:tcPr>
            <w:tcW w:w="0" w:type="auto"/>
            <w:tcBorders>
              <w:top w:val="nil"/>
              <w:left w:val="nil"/>
              <w:bottom w:val="nil"/>
              <w:right w:val="nil"/>
            </w:tcBorders>
            <w:shd w:val="clear" w:color="auto" w:fill="auto"/>
            <w:noWrap/>
            <w:vAlign w:val="center"/>
            <w:hideMark/>
          </w:tcPr>
          <w:p w14:paraId="1C86531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auto" w:fill="auto"/>
            <w:noWrap/>
            <w:vAlign w:val="center"/>
            <w:hideMark/>
          </w:tcPr>
          <w:p w14:paraId="682EDEC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550 </w:t>
            </w:r>
          </w:p>
        </w:tc>
        <w:tc>
          <w:tcPr>
            <w:tcW w:w="0" w:type="auto"/>
            <w:tcBorders>
              <w:top w:val="nil"/>
              <w:left w:val="single" w:sz="4" w:space="0" w:color="auto"/>
              <w:bottom w:val="nil"/>
              <w:right w:val="nil"/>
            </w:tcBorders>
            <w:shd w:val="clear" w:color="000000" w:fill="FFFFFF"/>
            <w:vAlign w:val="center"/>
            <w:hideMark/>
          </w:tcPr>
          <w:p w14:paraId="6925DD1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73</w:t>
            </w:r>
          </w:p>
        </w:tc>
        <w:tc>
          <w:tcPr>
            <w:tcW w:w="0" w:type="auto"/>
            <w:tcBorders>
              <w:top w:val="nil"/>
              <w:left w:val="nil"/>
              <w:bottom w:val="nil"/>
              <w:right w:val="nil"/>
            </w:tcBorders>
            <w:shd w:val="clear" w:color="000000" w:fill="FFFFFF"/>
            <w:vAlign w:val="center"/>
            <w:hideMark/>
          </w:tcPr>
          <w:p w14:paraId="6CA0E41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41.03 </w:t>
            </w:r>
          </w:p>
        </w:tc>
        <w:tc>
          <w:tcPr>
            <w:tcW w:w="0" w:type="auto"/>
            <w:tcBorders>
              <w:top w:val="nil"/>
              <w:left w:val="nil"/>
              <w:bottom w:val="nil"/>
              <w:right w:val="nil"/>
            </w:tcBorders>
            <w:shd w:val="clear" w:color="auto" w:fill="auto"/>
            <w:noWrap/>
            <w:vAlign w:val="center"/>
            <w:hideMark/>
          </w:tcPr>
          <w:p w14:paraId="735C6EB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15.38 </w:t>
            </w:r>
          </w:p>
        </w:tc>
        <w:tc>
          <w:tcPr>
            <w:tcW w:w="0" w:type="auto"/>
            <w:tcBorders>
              <w:top w:val="nil"/>
              <w:left w:val="nil"/>
              <w:bottom w:val="nil"/>
              <w:right w:val="nil"/>
            </w:tcBorders>
            <w:shd w:val="clear" w:color="000000" w:fill="FFFFFF"/>
            <w:vAlign w:val="center"/>
            <w:hideMark/>
          </w:tcPr>
          <w:p w14:paraId="3C118E6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1084.7</w:t>
            </w:r>
          </w:p>
        </w:tc>
        <w:tc>
          <w:tcPr>
            <w:tcW w:w="0" w:type="auto"/>
            <w:tcBorders>
              <w:top w:val="nil"/>
              <w:left w:val="nil"/>
              <w:bottom w:val="nil"/>
              <w:right w:val="nil"/>
            </w:tcBorders>
            <w:shd w:val="clear" w:color="000000" w:fill="FFFFFF"/>
            <w:vAlign w:val="center"/>
            <w:hideMark/>
          </w:tcPr>
          <w:p w14:paraId="0890A00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 </w:t>
            </w:r>
          </w:p>
        </w:tc>
        <w:tc>
          <w:tcPr>
            <w:tcW w:w="0" w:type="auto"/>
            <w:tcBorders>
              <w:top w:val="nil"/>
              <w:left w:val="nil"/>
              <w:bottom w:val="nil"/>
              <w:right w:val="single" w:sz="4" w:space="0" w:color="auto"/>
            </w:tcBorders>
            <w:shd w:val="clear" w:color="000000" w:fill="FFFFFF"/>
            <w:vAlign w:val="center"/>
            <w:hideMark/>
          </w:tcPr>
          <w:p w14:paraId="2F57A5C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540 </w:t>
            </w:r>
          </w:p>
        </w:tc>
        <w:tc>
          <w:tcPr>
            <w:tcW w:w="0" w:type="auto"/>
            <w:tcBorders>
              <w:top w:val="nil"/>
              <w:left w:val="single" w:sz="4" w:space="0" w:color="auto"/>
              <w:bottom w:val="nil"/>
              <w:right w:val="nil"/>
            </w:tcBorders>
            <w:shd w:val="clear" w:color="000000" w:fill="FFFFFF"/>
            <w:vAlign w:val="center"/>
            <w:hideMark/>
          </w:tcPr>
          <w:p w14:paraId="508075F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45</w:t>
            </w:r>
          </w:p>
        </w:tc>
        <w:tc>
          <w:tcPr>
            <w:tcW w:w="0" w:type="auto"/>
            <w:tcBorders>
              <w:top w:val="nil"/>
              <w:left w:val="nil"/>
              <w:bottom w:val="nil"/>
              <w:right w:val="nil"/>
            </w:tcBorders>
            <w:shd w:val="clear" w:color="000000" w:fill="FFFFFF"/>
            <w:vAlign w:val="center"/>
            <w:hideMark/>
          </w:tcPr>
          <w:p w14:paraId="6B3ABCC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27.94 </w:t>
            </w:r>
          </w:p>
        </w:tc>
        <w:tc>
          <w:tcPr>
            <w:tcW w:w="0" w:type="auto"/>
            <w:tcBorders>
              <w:top w:val="nil"/>
              <w:left w:val="nil"/>
              <w:bottom w:val="nil"/>
              <w:right w:val="nil"/>
            </w:tcBorders>
            <w:shd w:val="clear" w:color="auto" w:fill="auto"/>
            <w:noWrap/>
            <w:vAlign w:val="center"/>
            <w:hideMark/>
          </w:tcPr>
          <w:p w14:paraId="4768162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14.57 </w:t>
            </w:r>
          </w:p>
        </w:tc>
        <w:tc>
          <w:tcPr>
            <w:tcW w:w="0" w:type="auto"/>
            <w:tcBorders>
              <w:top w:val="nil"/>
              <w:left w:val="nil"/>
              <w:bottom w:val="nil"/>
              <w:right w:val="nil"/>
            </w:tcBorders>
            <w:shd w:val="clear" w:color="000000" w:fill="FFFFFF"/>
            <w:vAlign w:val="center"/>
            <w:hideMark/>
          </w:tcPr>
          <w:p w14:paraId="7F26882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253.3</w:t>
            </w:r>
          </w:p>
        </w:tc>
        <w:tc>
          <w:tcPr>
            <w:tcW w:w="0" w:type="auto"/>
            <w:tcBorders>
              <w:top w:val="nil"/>
              <w:left w:val="nil"/>
              <w:bottom w:val="nil"/>
              <w:right w:val="nil"/>
            </w:tcBorders>
            <w:shd w:val="clear" w:color="000000" w:fill="FFFFFF"/>
            <w:vAlign w:val="center"/>
            <w:hideMark/>
          </w:tcPr>
          <w:p w14:paraId="0441D33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6C502AC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180 </w:t>
            </w:r>
          </w:p>
        </w:tc>
        <w:tc>
          <w:tcPr>
            <w:tcW w:w="0" w:type="auto"/>
            <w:tcBorders>
              <w:top w:val="nil"/>
              <w:left w:val="single" w:sz="4" w:space="0" w:color="auto"/>
              <w:bottom w:val="nil"/>
              <w:right w:val="nil"/>
            </w:tcBorders>
            <w:shd w:val="clear" w:color="auto" w:fill="auto"/>
            <w:noWrap/>
            <w:vAlign w:val="center"/>
            <w:hideMark/>
          </w:tcPr>
          <w:p w14:paraId="5A854F8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42</w:t>
            </w:r>
          </w:p>
        </w:tc>
        <w:tc>
          <w:tcPr>
            <w:tcW w:w="0" w:type="auto"/>
            <w:tcBorders>
              <w:top w:val="nil"/>
              <w:left w:val="nil"/>
              <w:bottom w:val="nil"/>
              <w:right w:val="nil"/>
            </w:tcBorders>
            <w:shd w:val="clear" w:color="auto" w:fill="auto"/>
            <w:noWrap/>
            <w:vAlign w:val="center"/>
            <w:hideMark/>
          </w:tcPr>
          <w:p w14:paraId="474811F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19.01 </w:t>
            </w:r>
          </w:p>
        </w:tc>
        <w:tc>
          <w:tcPr>
            <w:tcW w:w="0" w:type="auto"/>
            <w:tcBorders>
              <w:top w:val="nil"/>
              <w:left w:val="nil"/>
              <w:bottom w:val="nil"/>
              <w:right w:val="nil"/>
            </w:tcBorders>
            <w:shd w:val="clear" w:color="auto" w:fill="auto"/>
            <w:noWrap/>
            <w:vAlign w:val="center"/>
            <w:hideMark/>
          </w:tcPr>
          <w:p w14:paraId="32E5B4C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9.78 </w:t>
            </w:r>
          </w:p>
        </w:tc>
        <w:tc>
          <w:tcPr>
            <w:tcW w:w="0" w:type="auto"/>
            <w:tcBorders>
              <w:top w:val="nil"/>
              <w:left w:val="nil"/>
              <w:bottom w:val="nil"/>
              <w:right w:val="nil"/>
            </w:tcBorders>
            <w:shd w:val="clear" w:color="auto" w:fill="auto"/>
            <w:noWrap/>
            <w:vAlign w:val="center"/>
            <w:hideMark/>
          </w:tcPr>
          <w:p w14:paraId="315508C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128.0</w:t>
            </w:r>
          </w:p>
        </w:tc>
        <w:tc>
          <w:tcPr>
            <w:tcW w:w="0" w:type="auto"/>
            <w:tcBorders>
              <w:top w:val="nil"/>
              <w:left w:val="nil"/>
              <w:bottom w:val="nil"/>
              <w:right w:val="nil"/>
            </w:tcBorders>
            <w:shd w:val="clear" w:color="auto" w:fill="auto"/>
            <w:noWrap/>
            <w:vAlign w:val="center"/>
            <w:hideMark/>
          </w:tcPr>
          <w:p w14:paraId="263F06B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nil"/>
            </w:tcBorders>
            <w:shd w:val="clear" w:color="auto" w:fill="auto"/>
            <w:noWrap/>
            <w:vAlign w:val="center"/>
            <w:hideMark/>
          </w:tcPr>
          <w:p w14:paraId="5AF0C84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140 </w:t>
            </w:r>
          </w:p>
        </w:tc>
      </w:tr>
      <w:tr w:rsidR="00D9465C" w:rsidRPr="005E3FD2" w14:paraId="727A21A3" w14:textId="77777777" w:rsidTr="00DD0F28">
        <w:tc>
          <w:tcPr>
            <w:tcW w:w="0" w:type="auto"/>
            <w:tcBorders>
              <w:top w:val="nil"/>
              <w:left w:val="nil"/>
              <w:bottom w:val="nil"/>
              <w:right w:val="nil"/>
            </w:tcBorders>
            <w:shd w:val="clear" w:color="auto" w:fill="auto"/>
            <w:noWrap/>
            <w:vAlign w:val="center"/>
            <w:hideMark/>
          </w:tcPr>
          <w:p w14:paraId="5BF1B64B" w14:textId="77777777" w:rsidR="00D9465C" w:rsidRPr="005E3FD2" w:rsidRDefault="00D9465C" w:rsidP="00DD0F28">
            <w:pPr>
              <w:spacing w:before="20" w:after="20"/>
              <w:rPr>
                <w:color w:val="000000"/>
                <w:sz w:val="16"/>
                <w:szCs w:val="16"/>
                <w:lang w:eastAsia="en-NZ"/>
              </w:rPr>
            </w:pPr>
            <w:r w:rsidRPr="005E3FD2">
              <w:rPr>
                <w:color w:val="000000"/>
                <w:sz w:val="16"/>
                <w:szCs w:val="16"/>
                <w:lang w:eastAsia="en-NZ"/>
              </w:rPr>
              <w:t>45 - 54</w:t>
            </w:r>
          </w:p>
        </w:tc>
        <w:tc>
          <w:tcPr>
            <w:tcW w:w="460" w:type="dxa"/>
            <w:tcBorders>
              <w:top w:val="nil"/>
              <w:left w:val="nil"/>
              <w:bottom w:val="nil"/>
              <w:right w:val="nil"/>
            </w:tcBorders>
            <w:shd w:val="clear" w:color="000000" w:fill="FFFFFF"/>
            <w:vAlign w:val="center"/>
            <w:hideMark/>
          </w:tcPr>
          <w:p w14:paraId="62EB3FA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119</w:t>
            </w:r>
          </w:p>
        </w:tc>
        <w:tc>
          <w:tcPr>
            <w:tcW w:w="677" w:type="dxa"/>
            <w:tcBorders>
              <w:top w:val="nil"/>
              <w:left w:val="nil"/>
              <w:bottom w:val="nil"/>
              <w:right w:val="nil"/>
            </w:tcBorders>
            <w:shd w:val="clear" w:color="000000" w:fill="FFFFFF"/>
            <w:vAlign w:val="center"/>
            <w:hideMark/>
          </w:tcPr>
          <w:p w14:paraId="75F5AC6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66.20 </w:t>
            </w:r>
          </w:p>
        </w:tc>
        <w:tc>
          <w:tcPr>
            <w:tcW w:w="823" w:type="dxa"/>
            <w:tcBorders>
              <w:top w:val="nil"/>
              <w:left w:val="nil"/>
              <w:bottom w:val="nil"/>
              <w:right w:val="nil"/>
            </w:tcBorders>
            <w:shd w:val="clear" w:color="auto" w:fill="auto"/>
            <w:noWrap/>
            <w:vAlign w:val="center"/>
            <w:hideMark/>
          </w:tcPr>
          <w:p w14:paraId="6CE4CBB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18.70 </w:t>
            </w:r>
          </w:p>
        </w:tc>
        <w:tc>
          <w:tcPr>
            <w:tcW w:w="0" w:type="auto"/>
            <w:tcBorders>
              <w:top w:val="nil"/>
              <w:left w:val="nil"/>
              <w:bottom w:val="nil"/>
              <w:right w:val="nil"/>
            </w:tcBorders>
            <w:shd w:val="clear" w:color="auto" w:fill="auto"/>
            <w:noWrap/>
            <w:vAlign w:val="center"/>
            <w:hideMark/>
          </w:tcPr>
          <w:p w14:paraId="2068A1C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1256.1</w:t>
            </w:r>
          </w:p>
        </w:tc>
        <w:tc>
          <w:tcPr>
            <w:tcW w:w="0" w:type="auto"/>
            <w:tcBorders>
              <w:top w:val="nil"/>
              <w:left w:val="nil"/>
              <w:bottom w:val="nil"/>
              <w:right w:val="nil"/>
            </w:tcBorders>
            <w:shd w:val="clear" w:color="auto" w:fill="auto"/>
            <w:noWrap/>
            <w:vAlign w:val="center"/>
            <w:hideMark/>
          </w:tcPr>
          <w:p w14:paraId="6912DE8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auto" w:fill="auto"/>
            <w:noWrap/>
            <w:vAlign w:val="center"/>
            <w:hideMark/>
          </w:tcPr>
          <w:p w14:paraId="13EECFD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1,700 </w:t>
            </w:r>
          </w:p>
        </w:tc>
        <w:tc>
          <w:tcPr>
            <w:tcW w:w="0" w:type="auto"/>
            <w:tcBorders>
              <w:top w:val="nil"/>
              <w:left w:val="single" w:sz="4" w:space="0" w:color="auto"/>
              <w:bottom w:val="nil"/>
              <w:right w:val="nil"/>
            </w:tcBorders>
            <w:shd w:val="clear" w:color="000000" w:fill="FFFFFF"/>
            <w:vAlign w:val="center"/>
            <w:hideMark/>
          </w:tcPr>
          <w:p w14:paraId="4BA7F77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68</w:t>
            </w:r>
          </w:p>
        </w:tc>
        <w:tc>
          <w:tcPr>
            <w:tcW w:w="0" w:type="auto"/>
            <w:tcBorders>
              <w:top w:val="nil"/>
              <w:left w:val="nil"/>
              <w:bottom w:val="nil"/>
              <w:right w:val="nil"/>
            </w:tcBorders>
            <w:shd w:val="clear" w:color="000000" w:fill="FFFFFF"/>
            <w:vAlign w:val="center"/>
            <w:hideMark/>
          </w:tcPr>
          <w:p w14:paraId="05CD8F5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65.97 </w:t>
            </w:r>
          </w:p>
        </w:tc>
        <w:tc>
          <w:tcPr>
            <w:tcW w:w="0" w:type="auto"/>
            <w:tcBorders>
              <w:top w:val="nil"/>
              <w:left w:val="nil"/>
              <w:bottom w:val="nil"/>
              <w:right w:val="nil"/>
            </w:tcBorders>
            <w:shd w:val="clear" w:color="auto" w:fill="auto"/>
            <w:noWrap/>
            <w:vAlign w:val="center"/>
            <w:hideMark/>
          </w:tcPr>
          <w:p w14:paraId="39FFA5F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18.11 </w:t>
            </w:r>
          </w:p>
        </w:tc>
        <w:tc>
          <w:tcPr>
            <w:tcW w:w="0" w:type="auto"/>
            <w:tcBorders>
              <w:top w:val="nil"/>
              <w:left w:val="nil"/>
              <w:bottom w:val="nil"/>
              <w:right w:val="nil"/>
            </w:tcBorders>
            <w:shd w:val="clear" w:color="000000" w:fill="FFFFFF"/>
            <w:vAlign w:val="center"/>
            <w:hideMark/>
          </w:tcPr>
          <w:p w14:paraId="1F8DB2A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960.0</w:t>
            </w:r>
          </w:p>
        </w:tc>
        <w:tc>
          <w:tcPr>
            <w:tcW w:w="0" w:type="auto"/>
            <w:tcBorders>
              <w:top w:val="nil"/>
              <w:left w:val="nil"/>
              <w:bottom w:val="nil"/>
              <w:right w:val="nil"/>
            </w:tcBorders>
            <w:shd w:val="clear" w:color="000000" w:fill="FFFFFF"/>
            <w:vAlign w:val="center"/>
            <w:hideMark/>
          </w:tcPr>
          <w:p w14:paraId="1A0C12B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5C3743C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2,850 </w:t>
            </w:r>
          </w:p>
        </w:tc>
        <w:tc>
          <w:tcPr>
            <w:tcW w:w="0" w:type="auto"/>
            <w:tcBorders>
              <w:top w:val="nil"/>
              <w:left w:val="single" w:sz="4" w:space="0" w:color="auto"/>
              <w:bottom w:val="nil"/>
              <w:right w:val="nil"/>
            </w:tcBorders>
            <w:shd w:val="clear" w:color="000000" w:fill="FFFFFF"/>
            <w:vAlign w:val="center"/>
            <w:hideMark/>
          </w:tcPr>
          <w:p w14:paraId="4F30442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62</w:t>
            </w:r>
          </w:p>
        </w:tc>
        <w:tc>
          <w:tcPr>
            <w:tcW w:w="0" w:type="auto"/>
            <w:tcBorders>
              <w:top w:val="nil"/>
              <w:left w:val="nil"/>
              <w:bottom w:val="nil"/>
              <w:right w:val="nil"/>
            </w:tcBorders>
            <w:shd w:val="clear" w:color="000000" w:fill="FFFFFF"/>
            <w:vAlign w:val="center"/>
            <w:hideMark/>
          </w:tcPr>
          <w:p w14:paraId="09B410C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42.42 </w:t>
            </w:r>
          </w:p>
        </w:tc>
        <w:tc>
          <w:tcPr>
            <w:tcW w:w="0" w:type="auto"/>
            <w:tcBorders>
              <w:top w:val="nil"/>
              <w:left w:val="nil"/>
              <w:bottom w:val="nil"/>
              <w:right w:val="nil"/>
            </w:tcBorders>
            <w:shd w:val="clear" w:color="auto" w:fill="auto"/>
            <w:noWrap/>
            <w:vAlign w:val="center"/>
            <w:hideMark/>
          </w:tcPr>
          <w:p w14:paraId="5BF425A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13.98 </w:t>
            </w:r>
          </w:p>
        </w:tc>
        <w:tc>
          <w:tcPr>
            <w:tcW w:w="0" w:type="auto"/>
            <w:tcBorders>
              <w:top w:val="nil"/>
              <w:left w:val="nil"/>
              <w:bottom w:val="nil"/>
              <w:right w:val="nil"/>
            </w:tcBorders>
            <w:shd w:val="clear" w:color="000000" w:fill="FFFFFF"/>
            <w:vAlign w:val="center"/>
            <w:hideMark/>
          </w:tcPr>
          <w:p w14:paraId="4055CB4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464.3</w:t>
            </w:r>
          </w:p>
        </w:tc>
        <w:tc>
          <w:tcPr>
            <w:tcW w:w="0" w:type="auto"/>
            <w:tcBorders>
              <w:top w:val="nil"/>
              <w:left w:val="nil"/>
              <w:bottom w:val="nil"/>
              <w:right w:val="nil"/>
            </w:tcBorders>
            <w:shd w:val="clear" w:color="000000" w:fill="FFFFFF"/>
            <w:vAlign w:val="center"/>
            <w:hideMark/>
          </w:tcPr>
          <w:p w14:paraId="3663C7B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2CF2AE4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800 </w:t>
            </w:r>
          </w:p>
        </w:tc>
        <w:tc>
          <w:tcPr>
            <w:tcW w:w="0" w:type="auto"/>
            <w:tcBorders>
              <w:top w:val="nil"/>
              <w:left w:val="single" w:sz="4" w:space="0" w:color="auto"/>
              <w:bottom w:val="nil"/>
              <w:right w:val="nil"/>
            </w:tcBorders>
            <w:shd w:val="clear" w:color="auto" w:fill="auto"/>
            <w:noWrap/>
            <w:vAlign w:val="center"/>
            <w:hideMark/>
          </w:tcPr>
          <w:p w14:paraId="75147CA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42</w:t>
            </w:r>
          </w:p>
        </w:tc>
        <w:tc>
          <w:tcPr>
            <w:tcW w:w="0" w:type="auto"/>
            <w:tcBorders>
              <w:top w:val="nil"/>
              <w:left w:val="nil"/>
              <w:bottom w:val="nil"/>
              <w:right w:val="nil"/>
            </w:tcBorders>
            <w:shd w:val="clear" w:color="auto" w:fill="auto"/>
            <w:noWrap/>
            <w:vAlign w:val="center"/>
            <w:hideMark/>
          </w:tcPr>
          <w:p w14:paraId="2DFE3E7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51.03 </w:t>
            </w:r>
          </w:p>
        </w:tc>
        <w:tc>
          <w:tcPr>
            <w:tcW w:w="0" w:type="auto"/>
            <w:tcBorders>
              <w:top w:val="nil"/>
              <w:left w:val="nil"/>
              <w:bottom w:val="nil"/>
              <w:right w:val="nil"/>
            </w:tcBorders>
            <w:shd w:val="clear" w:color="auto" w:fill="auto"/>
            <w:noWrap/>
            <w:vAlign w:val="center"/>
            <w:hideMark/>
          </w:tcPr>
          <w:p w14:paraId="0DAE955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19.89 </w:t>
            </w:r>
          </w:p>
        </w:tc>
        <w:tc>
          <w:tcPr>
            <w:tcW w:w="0" w:type="auto"/>
            <w:tcBorders>
              <w:top w:val="nil"/>
              <w:left w:val="nil"/>
              <w:bottom w:val="nil"/>
              <w:right w:val="nil"/>
            </w:tcBorders>
            <w:shd w:val="clear" w:color="auto" w:fill="auto"/>
            <w:noWrap/>
            <w:vAlign w:val="center"/>
            <w:hideMark/>
          </w:tcPr>
          <w:p w14:paraId="7DA358E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467.2</w:t>
            </w:r>
          </w:p>
        </w:tc>
        <w:tc>
          <w:tcPr>
            <w:tcW w:w="0" w:type="auto"/>
            <w:tcBorders>
              <w:top w:val="nil"/>
              <w:left w:val="nil"/>
              <w:bottom w:val="nil"/>
              <w:right w:val="nil"/>
            </w:tcBorders>
            <w:shd w:val="clear" w:color="auto" w:fill="auto"/>
            <w:noWrap/>
            <w:vAlign w:val="center"/>
            <w:hideMark/>
          </w:tcPr>
          <w:p w14:paraId="7E97A31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 </w:t>
            </w:r>
          </w:p>
        </w:tc>
        <w:tc>
          <w:tcPr>
            <w:tcW w:w="0" w:type="auto"/>
            <w:tcBorders>
              <w:top w:val="nil"/>
              <w:left w:val="nil"/>
              <w:bottom w:val="nil"/>
              <w:right w:val="nil"/>
            </w:tcBorders>
            <w:shd w:val="clear" w:color="auto" w:fill="auto"/>
            <w:noWrap/>
            <w:vAlign w:val="center"/>
            <w:hideMark/>
          </w:tcPr>
          <w:p w14:paraId="1A5964B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1,000 </w:t>
            </w:r>
          </w:p>
        </w:tc>
      </w:tr>
      <w:tr w:rsidR="00D9465C" w:rsidRPr="005E3FD2" w14:paraId="65F0BC36" w14:textId="77777777" w:rsidTr="00DD0F28">
        <w:tc>
          <w:tcPr>
            <w:tcW w:w="0" w:type="auto"/>
            <w:tcBorders>
              <w:top w:val="nil"/>
              <w:left w:val="nil"/>
              <w:bottom w:val="nil"/>
              <w:right w:val="nil"/>
            </w:tcBorders>
            <w:shd w:val="clear" w:color="auto" w:fill="auto"/>
            <w:noWrap/>
            <w:vAlign w:val="center"/>
            <w:hideMark/>
          </w:tcPr>
          <w:p w14:paraId="526963E6" w14:textId="77777777" w:rsidR="00D9465C" w:rsidRPr="005E3FD2" w:rsidRDefault="00D9465C" w:rsidP="00DD0F28">
            <w:pPr>
              <w:spacing w:before="20" w:after="20"/>
              <w:rPr>
                <w:color w:val="000000"/>
                <w:sz w:val="16"/>
                <w:szCs w:val="16"/>
                <w:lang w:eastAsia="en-NZ"/>
              </w:rPr>
            </w:pPr>
            <w:r w:rsidRPr="005E3FD2">
              <w:rPr>
                <w:color w:val="000000"/>
                <w:sz w:val="16"/>
                <w:szCs w:val="16"/>
                <w:lang w:eastAsia="en-NZ"/>
              </w:rPr>
              <w:t>55 - 64</w:t>
            </w:r>
          </w:p>
        </w:tc>
        <w:tc>
          <w:tcPr>
            <w:tcW w:w="460" w:type="dxa"/>
            <w:tcBorders>
              <w:top w:val="nil"/>
              <w:left w:val="nil"/>
              <w:bottom w:val="nil"/>
              <w:right w:val="nil"/>
            </w:tcBorders>
            <w:shd w:val="clear" w:color="000000" w:fill="FFFFFF"/>
            <w:vAlign w:val="center"/>
            <w:hideMark/>
          </w:tcPr>
          <w:p w14:paraId="302A47C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96</w:t>
            </w:r>
          </w:p>
        </w:tc>
        <w:tc>
          <w:tcPr>
            <w:tcW w:w="677" w:type="dxa"/>
            <w:tcBorders>
              <w:top w:val="nil"/>
              <w:left w:val="nil"/>
              <w:bottom w:val="nil"/>
              <w:right w:val="nil"/>
            </w:tcBorders>
            <w:shd w:val="clear" w:color="000000" w:fill="FFFFFF"/>
            <w:vAlign w:val="center"/>
            <w:hideMark/>
          </w:tcPr>
          <w:p w14:paraId="61111D6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82.91 </w:t>
            </w:r>
          </w:p>
        </w:tc>
        <w:tc>
          <w:tcPr>
            <w:tcW w:w="823" w:type="dxa"/>
            <w:tcBorders>
              <w:top w:val="nil"/>
              <w:left w:val="nil"/>
              <w:bottom w:val="nil"/>
              <w:right w:val="nil"/>
            </w:tcBorders>
            <w:shd w:val="clear" w:color="auto" w:fill="auto"/>
            <w:noWrap/>
            <w:vAlign w:val="center"/>
            <w:hideMark/>
          </w:tcPr>
          <w:p w14:paraId="68A1A60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18.72 </w:t>
            </w:r>
          </w:p>
        </w:tc>
        <w:tc>
          <w:tcPr>
            <w:tcW w:w="0" w:type="auto"/>
            <w:tcBorders>
              <w:top w:val="nil"/>
              <w:left w:val="nil"/>
              <w:bottom w:val="nil"/>
              <w:right w:val="nil"/>
            </w:tcBorders>
            <w:shd w:val="clear" w:color="auto" w:fill="auto"/>
            <w:noWrap/>
            <w:vAlign w:val="center"/>
            <w:hideMark/>
          </w:tcPr>
          <w:p w14:paraId="1C6C0BF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2575.4</w:t>
            </w:r>
          </w:p>
        </w:tc>
        <w:tc>
          <w:tcPr>
            <w:tcW w:w="0" w:type="auto"/>
            <w:tcBorders>
              <w:top w:val="nil"/>
              <w:left w:val="nil"/>
              <w:bottom w:val="nil"/>
              <w:right w:val="nil"/>
            </w:tcBorders>
            <w:shd w:val="clear" w:color="auto" w:fill="auto"/>
            <w:noWrap/>
            <w:vAlign w:val="center"/>
            <w:hideMark/>
          </w:tcPr>
          <w:p w14:paraId="7813513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auto" w:fill="auto"/>
            <w:noWrap/>
            <w:vAlign w:val="center"/>
            <w:hideMark/>
          </w:tcPr>
          <w:p w14:paraId="181F0F4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1,000 </w:t>
            </w:r>
          </w:p>
        </w:tc>
        <w:tc>
          <w:tcPr>
            <w:tcW w:w="0" w:type="auto"/>
            <w:tcBorders>
              <w:top w:val="nil"/>
              <w:left w:val="single" w:sz="4" w:space="0" w:color="auto"/>
              <w:bottom w:val="nil"/>
              <w:right w:val="nil"/>
            </w:tcBorders>
            <w:shd w:val="clear" w:color="000000" w:fill="FFFFFF"/>
            <w:vAlign w:val="center"/>
            <w:hideMark/>
          </w:tcPr>
          <w:p w14:paraId="7A99290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44</w:t>
            </w:r>
          </w:p>
        </w:tc>
        <w:tc>
          <w:tcPr>
            <w:tcW w:w="0" w:type="auto"/>
            <w:tcBorders>
              <w:top w:val="nil"/>
              <w:left w:val="nil"/>
              <w:bottom w:val="nil"/>
              <w:right w:val="nil"/>
            </w:tcBorders>
            <w:shd w:val="clear" w:color="000000" w:fill="FFFFFF"/>
            <w:vAlign w:val="center"/>
            <w:hideMark/>
          </w:tcPr>
          <w:p w14:paraId="60C7A10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44.55 </w:t>
            </w:r>
          </w:p>
        </w:tc>
        <w:tc>
          <w:tcPr>
            <w:tcW w:w="0" w:type="auto"/>
            <w:tcBorders>
              <w:top w:val="nil"/>
              <w:left w:val="nil"/>
              <w:bottom w:val="nil"/>
              <w:right w:val="nil"/>
            </w:tcBorders>
            <w:shd w:val="clear" w:color="auto" w:fill="auto"/>
            <w:noWrap/>
            <w:vAlign w:val="center"/>
            <w:hideMark/>
          </w:tcPr>
          <w:p w14:paraId="657A297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17.89 </w:t>
            </w:r>
          </w:p>
        </w:tc>
        <w:tc>
          <w:tcPr>
            <w:tcW w:w="0" w:type="auto"/>
            <w:tcBorders>
              <w:top w:val="nil"/>
              <w:left w:val="nil"/>
              <w:bottom w:val="nil"/>
              <w:right w:val="nil"/>
            </w:tcBorders>
            <w:shd w:val="clear" w:color="000000" w:fill="FFFFFF"/>
            <w:vAlign w:val="center"/>
            <w:hideMark/>
          </w:tcPr>
          <w:p w14:paraId="1A96A25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418.6</w:t>
            </w:r>
          </w:p>
        </w:tc>
        <w:tc>
          <w:tcPr>
            <w:tcW w:w="0" w:type="auto"/>
            <w:tcBorders>
              <w:top w:val="nil"/>
              <w:left w:val="nil"/>
              <w:bottom w:val="nil"/>
              <w:right w:val="nil"/>
            </w:tcBorders>
            <w:shd w:val="clear" w:color="000000" w:fill="FFFFFF"/>
            <w:vAlign w:val="center"/>
            <w:hideMark/>
          </w:tcPr>
          <w:p w14:paraId="1FDE95B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392314A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500 </w:t>
            </w:r>
          </w:p>
        </w:tc>
        <w:tc>
          <w:tcPr>
            <w:tcW w:w="0" w:type="auto"/>
            <w:tcBorders>
              <w:top w:val="nil"/>
              <w:left w:val="single" w:sz="4" w:space="0" w:color="auto"/>
              <w:bottom w:val="nil"/>
              <w:right w:val="nil"/>
            </w:tcBorders>
            <w:shd w:val="clear" w:color="000000" w:fill="FFFFFF"/>
            <w:vAlign w:val="center"/>
            <w:hideMark/>
          </w:tcPr>
          <w:p w14:paraId="11DB3B5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39</w:t>
            </w:r>
          </w:p>
        </w:tc>
        <w:tc>
          <w:tcPr>
            <w:tcW w:w="0" w:type="auto"/>
            <w:tcBorders>
              <w:top w:val="nil"/>
              <w:left w:val="nil"/>
              <w:bottom w:val="nil"/>
              <w:right w:val="nil"/>
            </w:tcBorders>
            <w:shd w:val="clear" w:color="000000" w:fill="FFFFFF"/>
            <w:vAlign w:val="center"/>
            <w:hideMark/>
          </w:tcPr>
          <w:p w14:paraId="227FF35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46.53 </w:t>
            </w:r>
          </w:p>
        </w:tc>
        <w:tc>
          <w:tcPr>
            <w:tcW w:w="0" w:type="auto"/>
            <w:tcBorders>
              <w:top w:val="nil"/>
              <w:left w:val="nil"/>
              <w:bottom w:val="nil"/>
              <w:right w:val="nil"/>
            </w:tcBorders>
            <w:shd w:val="clear" w:color="auto" w:fill="auto"/>
            <w:noWrap/>
            <w:vAlign w:val="center"/>
            <w:hideMark/>
          </w:tcPr>
          <w:p w14:paraId="21A7F53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14.91 </w:t>
            </w:r>
          </w:p>
        </w:tc>
        <w:tc>
          <w:tcPr>
            <w:tcW w:w="0" w:type="auto"/>
            <w:tcBorders>
              <w:top w:val="nil"/>
              <w:left w:val="nil"/>
              <w:bottom w:val="nil"/>
              <w:right w:val="nil"/>
            </w:tcBorders>
            <w:shd w:val="clear" w:color="000000" w:fill="FFFFFF"/>
            <w:vAlign w:val="center"/>
            <w:hideMark/>
          </w:tcPr>
          <w:p w14:paraId="43768B2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408.6</w:t>
            </w:r>
          </w:p>
        </w:tc>
        <w:tc>
          <w:tcPr>
            <w:tcW w:w="0" w:type="auto"/>
            <w:tcBorders>
              <w:top w:val="nil"/>
              <w:left w:val="nil"/>
              <w:bottom w:val="nil"/>
              <w:right w:val="nil"/>
            </w:tcBorders>
            <w:shd w:val="clear" w:color="000000" w:fill="FFFFFF"/>
            <w:vAlign w:val="center"/>
            <w:hideMark/>
          </w:tcPr>
          <w:p w14:paraId="35C4568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4837E48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320 </w:t>
            </w:r>
          </w:p>
        </w:tc>
        <w:tc>
          <w:tcPr>
            <w:tcW w:w="0" w:type="auto"/>
            <w:tcBorders>
              <w:top w:val="nil"/>
              <w:left w:val="single" w:sz="4" w:space="0" w:color="auto"/>
              <w:bottom w:val="nil"/>
              <w:right w:val="nil"/>
            </w:tcBorders>
            <w:shd w:val="clear" w:color="auto" w:fill="auto"/>
            <w:noWrap/>
            <w:vAlign w:val="center"/>
            <w:hideMark/>
          </w:tcPr>
          <w:p w14:paraId="2346584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38</w:t>
            </w:r>
          </w:p>
        </w:tc>
        <w:tc>
          <w:tcPr>
            <w:tcW w:w="0" w:type="auto"/>
            <w:tcBorders>
              <w:top w:val="nil"/>
              <w:left w:val="nil"/>
              <w:bottom w:val="nil"/>
              <w:right w:val="nil"/>
            </w:tcBorders>
            <w:shd w:val="clear" w:color="auto" w:fill="auto"/>
            <w:noWrap/>
            <w:vAlign w:val="center"/>
            <w:hideMark/>
          </w:tcPr>
          <w:p w14:paraId="5CB5315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42.83 </w:t>
            </w:r>
          </w:p>
        </w:tc>
        <w:tc>
          <w:tcPr>
            <w:tcW w:w="0" w:type="auto"/>
            <w:tcBorders>
              <w:top w:val="nil"/>
              <w:left w:val="nil"/>
              <w:bottom w:val="nil"/>
              <w:right w:val="nil"/>
            </w:tcBorders>
            <w:shd w:val="clear" w:color="auto" w:fill="auto"/>
            <w:noWrap/>
            <w:vAlign w:val="center"/>
            <w:hideMark/>
          </w:tcPr>
          <w:p w14:paraId="2E33EF5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13.43 </w:t>
            </w:r>
          </w:p>
        </w:tc>
        <w:tc>
          <w:tcPr>
            <w:tcW w:w="0" w:type="auto"/>
            <w:tcBorders>
              <w:top w:val="nil"/>
              <w:left w:val="nil"/>
              <w:bottom w:val="nil"/>
              <w:right w:val="nil"/>
            </w:tcBorders>
            <w:shd w:val="clear" w:color="auto" w:fill="auto"/>
            <w:noWrap/>
            <w:vAlign w:val="center"/>
            <w:hideMark/>
          </w:tcPr>
          <w:p w14:paraId="1971B0A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246.4</w:t>
            </w:r>
          </w:p>
        </w:tc>
        <w:tc>
          <w:tcPr>
            <w:tcW w:w="0" w:type="auto"/>
            <w:tcBorders>
              <w:top w:val="nil"/>
              <w:left w:val="nil"/>
              <w:bottom w:val="nil"/>
              <w:right w:val="nil"/>
            </w:tcBorders>
            <w:shd w:val="clear" w:color="auto" w:fill="auto"/>
            <w:noWrap/>
            <w:vAlign w:val="center"/>
            <w:hideMark/>
          </w:tcPr>
          <w:p w14:paraId="3993AF0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nil"/>
            </w:tcBorders>
            <w:shd w:val="clear" w:color="auto" w:fill="auto"/>
            <w:noWrap/>
            <w:vAlign w:val="center"/>
            <w:hideMark/>
          </w:tcPr>
          <w:p w14:paraId="71AF1CC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500 </w:t>
            </w:r>
          </w:p>
        </w:tc>
      </w:tr>
      <w:tr w:rsidR="00D9465C" w:rsidRPr="005E3FD2" w14:paraId="269C399B" w14:textId="77777777" w:rsidTr="00DD0F28">
        <w:tc>
          <w:tcPr>
            <w:tcW w:w="0" w:type="auto"/>
            <w:tcBorders>
              <w:top w:val="nil"/>
              <w:left w:val="nil"/>
              <w:bottom w:val="nil"/>
              <w:right w:val="nil"/>
            </w:tcBorders>
            <w:shd w:val="clear" w:color="auto" w:fill="auto"/>
            <w:noWrap/>
            <w:vAlign w:val="center"/>
            <w:hideMark/>
          </w:tcPr>
          <w:p w14:paraId="5F71586E" w14:textId="77777777" w:rsidR="00D9465C" w:rsidRPr="005E3FD2" w:rsidRDefault="00D9465C" w:rsidP="00DD0F28">
            <w:pPr>
              <w:spacing w:before="20" w:after="20"/>
              <w:rPr>
                <w:color w:val="000000"/>
                <w:sz w:val="16"/>
                <w:szCs w:val="16"/>
                <w:lang w:eastAsia="en-NZ"/>
              </w:rPr>
            </w:pPr>
            <w:r w:rsidRPr="005E3FD2">
              <w:rPr>
                <w:color w:val="000000"/>
                <w:sz w:val="16"/>
                <w:szCs w:val="16"/>
                <w:lang w:eastAsia="en-NZ"/>
              </w:rPr>
              <w:t>65+</w:t>
            </w:r>
          </w:p>
        </w:tc>
        <w:tc>
          <w:tcPr>
            <w:tcW w:w="460" w:type="dxa"/>
            <w:tcBorders>
              <w:top w:val="nil"/>
              <w:left w:val="nil"/>
              <w:bottom w:val="nil"/>
              <w:right w:val="nil"/>
            </w:tcBorders>
            <w:shd w:val="clear" w:color="000000" w:fill="FFFFFF"/>
            <w:vAlign w:val="center"/>
            <w:hideMark/>
          </w:tcPr>
          <w:p w14:paraId="1A5A549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98</w:t>
            </w:r>
          </w:p>
        </w:tc>
        <w:tc>
          <w:tcPr>
            <w:tcW w:w="677" w:type="dxa"/>
            <w:tcBorders>
              <w:top w:val="nil"/>
              <w:left w:val="nil"/>
              <w:bottom w:val="nil"/>
              <w:right w:val="nil"/>
            </w:tcBorders>
            <w:shd w:val="clear" w:color="000000" w:fill="FFFFFF"/>
            <w:vAlign w:val="center"/>
            <w:hideMark/>
          </w:tcPr>
          <w:p w14:paraId="166D176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57.73 </w:t>
            </w:r>
          </w:p>
        </w:tc>
        <w:tc>
          <w:tcPr>
            <w:tcW w:w="823" w:type="dxa"/>
            <w:tcBorders>
              <w:top w:val="nil"/>
              <w:left w:val="nil"/>
              <w:bottom w:val="nil"/>
              <w:right w:val="nil"/>
            </w:tcBorders>
            <w:shd w:val="clear" w:color="auto" w:fill="auto"/>
            <w:noWrap/>
            <w:vAlign w:val="center"/>
            <w:hideMark/>
          </w:tcPr>
          <w:p w14:paraId="72269FE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20.44 </w:t>
            </w:r>
          </w:p>
        </w:tc>
        <w:tc>
          <w:tcPr>
            <w:tcW w:w="0" w:type="auto"/>
            <w:tcBorders>
              <w:top w:val="nil"/>
              <w:left w:val="nil"/>
              <w:bottom w:val="nil"/>
              <w:right w:val="nil"/>
            </w:tcBorders>
            <w:shd w:val="clear" w:color="auto" w:fill="auto"/>
            <w:noWrap/>
            <w:vAlign w:val="center"/>
            <w:hideMark/>
          </w:tcPr>
          <w:p w14:paraId="4ED06B0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1340.4</w:t>
            </w:r>
          </w:p>
        </w:tc>
        <w:tc>
          <w:tcPr>
            <w:tcW w:w="0" w:type="auto"/>
            <w:tcBorders>
              <w:top w:val="nil"/>
              <w:left w:val="nil"/>
              <w:bottom w:val="nil"/>
              <w:right w:val="nil"/>
            </w:tcBorders>
            <w:shd w:val="clear" w:color="auto" w:fill="auto"/>
            <w:noWrap/>
            <w:vAlign w:val="center"/>
            <w:hideMark/>
          </w:tcPr>
          <w:p w14:paraId="2CA7DCB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auto" w:fill="auto"/>
            <w:noWrap/>
            <w:vAlign w:val="center"/>
            <w:hideMark/>
          </w:tcPr>
          <w:p w14:paraId="3ECB302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900 </w:t>
            </w:r>
          </w:p>
        </w:tc>
        <w:tc>
          <w:tcPr>
            <w:tcW w:w="0" w:type="auto"/>
            <w:tcBorders>
              <w:top w:val="nil"/>
              <w:left w:val="single" w:sz="4" w:space="0" w:color="auto"/>
              <w:bottom w:val="nil"/>
              <w:right w:val="nil"/>
            </w:tcBorders>
            <w:shd w:val="clear" w:color="000000" w:fill="FFFFFF"/>
            <w:vAlign w:val="center"/>
            <w:hideMark/>
          </w:tcPr>
          <w:p w14:paraId="1402E93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54</w:t>
            </w:r>
          </w:p>
        </w:tc>
        <w:tc>
          <w:tcPr>
            <w:tcW w:w="0" w:type="auto"/>
            <w:tcBorders>
              <w:top w:val="nil"/>
              <w:left w:val="nil"/>
              <w:bottom w:val="nil"/>
              <w:right w:val="nil"/>
            </w:tcBorders>
            <w:shd w:val="clear" w:color="000000" w:fill="FFFFFF"/>
            <w:vAlign w:val="center"/>
            <w:hideMark/>
          </w:tcPr>
          <w:p w14:paraId="4EB99A6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38.45 </w:t>
            </w:r>
          </w:p>
        </w:tc>
        <w:tc>
          <w:tcPr>
            <w:tcW w:w="0" w:type="auto"/>
            <w:tcBorders>
              <w:top w:val="nil"/>
              <w:left w:val="nil"/>
              <w:bottom w:val="nil"/>
              <w:right w:val="nil"/>
            </w:tcBorders>
            <w:shd w:val="clear" w:color="auto" w:fill="auto"/>
            <w:noWrap/>
            <w:vAlign w:val="center"/>
            <w:hideMark/>
          </w:tcPr>
          <w:p w14:paraId="4166315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15.78 </w:t>
            </w:r>
          </w:p>
        </w:tc>
        <w:tc>
          <w:tcPr>
            <w:tcW w:w="0" w:type="auto"/>
            <w:tcBorders>
              <w:top w:val="nil"/>
              <w:left w:val="nil"/>
              <w:bottom w:val="nil"/>
              <w:right w:val="nil"/>
            </w:tcBorders>
            <w:shd w:val="clear" w:color="000000" w:fill="FFFFFF"/>
            <w:vAlign w:val="center"/>
            <w:hideMark/>
          </w:tcPr>
          <w:p w14:paraId="087EFBF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389.7</w:t>
            </w:r>
          </w:p>
        </w:tc>
        <w:tc>
          <w:tcPr>
            <w:tcW w:w="0" w:type="auto"/>
            <w:tcBorders>
              <w:top w:val="nil"/>
              <w:left w:val="nil"/>
              <w:bottom w:val="nil"/>
              <w:right w:val="nil"/>
            </w:tcBorders>
            <w:shd w:val="clear" w:color="000000" w:fill="FFFFFF"/>
            <w:vAlign w:val="center"/>
            <w:hideMark/>
          </w:tcPr>
          <w:p w14:paraId="0A942EA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 </w:t>
            </w:r>
          </w:p>
        </w:tc>
        <w:tc>
          <w:tcPr>
            <w:tcW w:w="0" w:type="auto"/>
            <w:tcBorders>
              <w:top w:val="nil"/>
              <w:left w:val="nil"/>
              <w:bottom w:val="nil"/>
              <w:right w:val="single" w:sz="4" w:space="0" w:color="auto"/>
            </w:tcBorders>
            <w:shd w:val="clear" w:color="000000" w:fill="FFFFFF"/>
            <w:vAlign w:val="center"/>
            <w:hideMark/>
          </w:tcPr>
          <w:p w14:paraId="71CDCDC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400 </w:t>
            </w:r>
          </w:p>
        </w:tc>
        <w:tc>
          <w:tcPr>
            <w:tcW w:w="0" w:type="auto"/>
            <w:tcBorders>
              <w:top w:val="nil"/>
              <w:left w:val="single" w:sz="4" w:space="0" w:color="auto"/>
              <w:bottom w:val="nil"/>
              <w:right w:val="nil"/>
            </w:tcBorders>
            <w:shd w:val="clear" w:color="000000" w:fill="FFFFFF"/>
            <w:vAlign w:val="center"/>
            <w:hideMark/>
          </w:tcPr>
          <w:p w14:paraId="7F5C055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52</w:t>
            </w:r>
          </w:p>
        </w:tc>
        <w:tc>
          <w:tcPr>
            <w:tcW w:w="0" w:type="auto"/>
            <w:tcBorders>
              <w:top w:val="nil"/>
              <w:left w:val="nil"/>
              <w:bottom w:val="nil"/>
              <w:right w:val="nil"/>
            </w:tcBorders>
            <w:shd w:val="clear" w:color="000000" w:fill="FFFFFF"/>
            <w:vAlign w:val="center"/>
            <w:hideMark/>
          </w:tcPr>
          <w:p w14:paraId="084691F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30.94 </w:t>
            </w:r>
          </w:p>
        </w:tc>
        <w:tc>
          <w:tcPr>
            <w:tcW w:w="0" w:type="auto"/>
            <w:tcBorders>
              <w:top w:val="nil"/>
              <w:left w:val="nil"/>
              <w:bottom w:val="nil"/>
              <w:right w:val="nil"/>
            </w:tcBorders>
            <w:shd w:val="clear" w:color="auto" w:fill="auto"/>
            <w:noWrap/>
            <w:vAlign w:val="center"/>
            <w:hideMark/>
          </w:tcPr>
          <w:p w14:paraId="16594CE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17.81 </w:t>
            </w:r>
          </w:p>
        </w:tc>
        <w:tc>
          <w:tcPr>
            <w:tcW w:w="0" w:type="auto"/>
            <w:tcBorders>
              <w:top w:val="nil"/>
              <w:left w:val="nil"/>
              <w:bottom w:val="nil"/>
              <w:right w:val="nil"/>
            </w:tcBorders>
            <w:shd w:val="clear" w:color="000000" w:fill="FFFFFF"/>
            <w:vAlign w:val="center"/>
            <w:hideMark/>
          </w:tcPr>
          <w:p w14:paraId="7AE6F90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306.2</w:t>
            </w:r>
          </w:p>
        </w:tc>
        <w:tc>
          <w:tcPr>
            <w:tcW w:w="0" w:type="auto"/>
            <w:tcBorders>
              <w:top w:val="nil"/>
              <w:left w:val="nil"/>
              <w:bottom w:val="nil"/>
              <w:right w:val="nil"/>
            </w:tcBorders>
            <w:shd w:val="clear" w:color="000000" w:fill="FFFFFF"/>
            <w:vAlign w:val="center"/>
            <w:hideMark/>
          </w:tcPr>
          <w:p w14:paraId="09ED531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7099A4C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200 </w:t>
            </w:r>
          </w:p>
        </w:tc>
        <w:tc>
          <w:tcPr>
            <w:tcW w:w="0" w:type="auto"/>
            <w:tcBorders>
              <w:top w:val="nil"/>
              <w:left w:val="single" w:sz="4" w:space="0" w:color="auto"/>
              <w:bottom w:val="nil"/>
              <w:right w:val="nil"/>
            </w:tcBorders>
            <w:shd w:val="clear" w:color="auto" w:fill="auto"/>
            <w:noWrap/>
            <w:vAlign w:val="center"/>
            <w:hideMark/>
          </w:tcPr>
          <w:p w14:paraId="5154013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41</w:t>
            </w:r>
          </w:p>
        </w:tc>
        <w:tc>
          <w:tcPr>
            <w:tcW w:w="0" w:type="auto"/>
            <w:tcBorders>
              <w:top w:val="nil"/>
              <w:left w:val="nil"/>
              <w:bottom w:val="nil"/>
              <w:right w:val="nil"/>
            </w:tcBorders>
            <w:shd w:val="clear" w:color="auto" w:fill="auto"/>
            <w:noWrap/>
            <w:vAlign w:val="center"/>
            <w:hideMark/>
          </w:tcPr>
          <w:p w14:paraId="1EBFBCC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39.63 </w:t>
            </w:r>
          </w:p>
        </w:tc>
        <w:tc>
          <w:tcPr>
            <w:tcW w:w="0" w:type="auto"/>
            <w:tcBorders>
              <w:top w:val="nil"/>
              <w:left w:val="nil"/>
              <w:bottom w:val="nil"/>
              <w:right w:val="nil"/>
            </w:tcBorders>
            <w:shd w:val="clear" w:color="auto" w:fill="auto"/>
            <w:noWrap/>
            <w:vAlign w:val="center"/>
            <w:hideMark/>
          </w:tcPr>
          <w:p w14:paraId="3CB8F1C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19.08 </w:t>
            </w:r>
          </w:p>
        </w:tc>
        <w:tc>
          <w:tcPr>
            <w:tcW w:w="0" w:type="auto"/>
            <w:tcBorders>
              <w:top w:val="nil"/>
              <w:left w:val="nil"/>
              <w:bottom w:val="nil"/>
              <w:right w:val="nil"/>
            </w:tcBorders>
            <w:shd w:val="clear" w:color="auto" w:fill="auto"/>
            <w:noWrap/>
            <w:vAlign w:val="center"/>
            <w:hideMark/>
          </w:tcPr>
          <w:p w14:paraId="1E2166C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313.0</w:t>
            </w:r>
          </w:p>
        </w:tc>
        <w:tc>
          <w:tcPr>
            <w:tcW w:w="0" w:type="auto"/>
            <w:tcBorders>
              <w:top w:val="nil"/>
              <w:left w:val="nil"/>
              <w:bottom w:val="nil"/>
              <w:right w:val="nil"/>
            </w:tcBorders>
            <w:shd w:val="clear" w:color="auto" w:fill="auto"/>
            <w:noWrap/>
            <w:vAlign w:val="center"/>
            <w:hideMark/>
          </w:tcPr>
          <w:p w14:paraId="0271565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nil"/>
            </w:tcBorders>
            <w:shd w:val="clear" w:color="auto" w:fill="auto"/>
            <w:noWrap/>
            <w:vAlign w:val="center"/>
            <w:hideMark/>
          </w:tcPr>
          <w:p w14:paraId="510ACE6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200 </w:t>
            </w:r>
          </w:p>
        </w:tc>
      </w:tr>
      <w:tr w:rsidR="00D9465C" w:rsidRPr="005E3FD2" w14:paraId="62FDEF11" w14:textId="77777777" w:rsidTr="00DD0F28">
        <w:tc>
          <w:tcPr>
            <w:tcW w:w="2175" w:type="dxa"/>
            <w:gridSpan w:val="3"/>
            <w:tcBorders>
              <w:top w:val="nil"/>
              <w:left w:val="nil"/>
              <w:bottom w:val="nil"/>
              <w:right w:val="nil"/>
            </w:tcBorders>
            <w:shd w:val="clear" w:color="auto" w:fill="auto"/>
            <w:noWrap/>
            <w:vAlign w:val="center"/>
          </w:tcPr>
          <w:p w14:paraId="525ABC09" w14:textId="77777777" w:rsidR="00D9465C" w:rsidRPr="005E3FD2" w:rsidRDefault="00D9465C" w:rsidP="00DD0F28">
            <w:pPr>
              <w:spacing w:after="20"/>
              <w:rPr>
                <w:b/>
                <w:color w:val="000000"/>
                <w:sz w:val="16"/>
                <w:szCs w:val="16"/>
                <w:lang w:eastAsia="en-NZ"/>
              </w:rPr>
            </w:pPr>
            <w:r w:rsidRPr="005E3FD2">
              <w:rPr>
                <w:b/>
                <w:color w:val="000000"/>
                <w:sz w:val="16"/>
                <w:szCs w:val="16"/>
                <w:lang w:eastAsia="en-NZ"/>
              </w:rPr>
              <w:t>Ethnic group (prioritised)</w:t>
            </w:r>
          </w:p>
        </w:tc>
        <w:tc>
          <w:tcPr>
            <w:tcW w:w="823" w:type="dxa"/>
            <w:tcBorders>
              <w:top w:val="nil"/>
              <w:left w:val="nil"/>
              <w:bottom w:val="nil"/>
              <w:right w:val="nil"/>
            </w:tcBorders>
            <w:shd w:val="clear" w:color="auto" w:fill="auto"/>
            <w:noWrap/>
            <w:vAlign w:val="center"/>
          </w:tcPr>
          <w:p w14:paraId="7DEC7F1B"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74D526D7"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30400602"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single" w:sz="4" w:space="0" w:color="auto"/>
            </w:tcBorders>
            <w:shd w:val="clear" w:color="000000" w:fill="FFFFFF"/>
            <w:vAlign w:val="center"/>
          </w:tcPr>
          <w:p w14:paraId="233356F7" w14:textId="77777777" w:rsidR="00D9465C" w:rsidRPr="005E3FD2" w:rsidRDefault="00D9465C" w:rsidP="00DD0F28">
            <w:pPr>
              <w:spacing w:after="20"/>
              <w:jc w:val="right"/>
              <w:rPr>
                <w:color w:val="000000"/>
                <w:sz w:val="16"/>
                <w:szCs w:val="16"/>
                <w:lang w:eastAsia="en-NZ"/>
              </w:rPr>
            </w:pPr>
          </w:p>
        </w:tc>
        <w:tc>
          <w:tcPr>
            <w:tcW w:w="0" w:type="auto"/>
            <w:tcBorders>
              <w:top w:val="nil"/>
              <w:left w:val="single" w:sz="4" w:space="0" w:color="auto"/>
              <w:bottom w:val="nil"/>
              <w:right w:val="nil"/>
            </w:tcBorders>
            <w:shd w:val="clear" w:color="000000" w:fill="FFFFFF"/>
            <w:vAlign w:val="center"/>
          </w:tcPr>
          <w:p w14:paraId="039C0C37"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148D3C3A"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094C30ED"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4AFD9BE2"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7E52183F"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single" w:sz="4" w:space="0" w:color="auto"/>
            </w:tcBorders>
            <w:shd w:val="clear" w:color="000000" w:fill="FFFFFF"/>
            <w:vAlign w:val="center"/>
          </w:tcPr>
          <w:p w14:paraId="2E791F5A" w14:textId="77777777" w:rsidR="00D9465C" w:rsidRPr="005E3FD2" w:rsidRDefault="00D9465C" w:rsidP="00DD0F28">
            <w:pPr>
              <w:spacing w:after="20"/>
              <w:jc w:val="right"/>
              <w:rPr>
                <w:color w:val="000000"/>
                <w:sz w:val="16"/>
                <w:szCs w:val="16"/>
                <w:lang w:eastAsia="en-NZ"/>
              </w:rPr>
            </w:pPr>
          </w:p>
        </w:tc>
        <w:tc>
          <w:tcPr>
            <w:tcW w:w="0" w:type="auto"/>
            <w:tcBorders>
              <w:top w:val="nil"/>
              <w:left w:val="single" w:sz="4" w:space="0" w:color="auto"/>
              <w:bottom w:val="nil"/>
              <w:right w:val="nil"/>
            </w:tcBorders>
            <w:shd w:val="clear" w:color="000000" w:fill="FFFFFF"/>
            <w:vAlign w:val="center"/>
          </w:tcPr>
          <w:p w14:paraId="77B479E9"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61B5E504"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1A1FB095"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4CC60DB5"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6508C0D4"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single" w:sz="4" w:space="0" w:color="auto"/>
            </w:tcBorders>
            <w:shd w:val="clear" w:color="000000" w:fill="FFFFFF"/>
            <w:vAlign w:val="center"/>
          </w:tcPr>
          <w:p w14:paraId="1BDA6A52" w14:textId="77777777" w:rsidR="00D9465C" w:rsidRPr="005E3FD2" w:rsidRDefault="00D9465C" w:rsidP="00DD0F28">
            <w:pPr>
              <w:spacing w:after="20"/>
              <w:jc w:val="right"/>
              <w:rPr>
                <w:color w:val="000000"/>
                <w:sz w:val="16"/>
                <w:szCs w:val="16"/>
                <w:lang w:eastAsia="en-NZ"/>
              </w:rPr>
            </w:pPr>
          </w:p>
        </w:tc>
        <w:tc>
          <w:tcPr>
            <w:tcW w:w="0" w:type="auto"/>
            <w:tcBorders>
              <w:top w:val="nil"/>
              <w:left w:val="single" w:sz="4" w:space="0" w:color="auto"/>
              <w:bottom w:val="nil"/>
              <w:right w:val="nil"/>
            </w:tcBorders>
            <w:shd w:val="clear" w:color="auto" w:fill="auto"/>
            <w:noWrap/>
            <w:vAlign w:val="center"/>
          </w:tcPr>
          <w:p w14:paraId="252D9572"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60CAFF18"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66A91CE6"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00C693F4"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5D26966F"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2C661344" w14:textId="77777777" w:rsidR="00D9465C" w:rsidRPr="005E3FD2" w:rsidRDefault="00D9465C" w:rsidP="00DD0F28">
            <w:pPr>
              <w:spacing w:after="20"/>
              <w:jc w:val="right"/>
              <w:rPr>
                <w:color w:val="000000"/>
                <w:sz w:val="16"/>
                <w:szCs w:val="16"/>
                <w:lang w:eastAsia="en-NZ"/>
              </w:rPr>
            </w:pPr>
          </w:p>
        </w:tc>
      </w:tr>
      <w:tr w:rsidR="00D9465C" w:rsidRPr="005E3FD2" w14:paraId="0F459BE3" w14:textId="77777777" w:rsidTr="00DD0F28">
        <w:tc>
          <w:tcPr>
            <w:tcW w:w="0" w:type="auto"/>
            <w:tcBorders>
              <w:top w:val="nil"/>
              <w:left w:val="nil"/>
              <w:bottom w:val="nil"/>
              <w:right w:val="nil"/>
            </w:tcBorders>
            <w:shd w:val="clear" w:color="auto" w:fill="auto"/>
            <w:noWrap/>
            <w:vAlign w:val="center"/>
            <w:hideMark/>
          </w:tcPr>
          <w:p w14:paraId="42C95770"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 xml:space="preserve">Māori </w:t>
            </w:r>
          </w:p>
        </w:tc>
        <w:tc>
          <w:tcPr>
            <w:tcW w:w="460" w:type="dxa"/>
            <w:tcBorders>
              <w:top w:val="nil"/>
              <w:left w:val="nil"/>
              <w:bottom w:val="nil"/>
              <w:right w:val="nil"/>
            </w:tcBorders>
            <w:shd w:val="clear" w:color="000000" w:fill="FFFFFF"/>
            <w:vAlign w:val="center"/>
            <w:hideMark/>
          </w:tcPr>
          <w:p w14:paraId="412C2B9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168</w:t>
            </w:r>
          </w:p>
        </w:tc>
        <w:tc>
          <w:tcPr>
            <w:tcW w:w="677" w:type="dxa"/>
            <w:tcBorders>
              <w:top w:val="nil"/>
              <w:left w:val="nil"/>
              <w:bottom w:val="nil"/>
              <w:right w:val="nil"/>
            </w:tcBorders>
            <w:shd w:val="clear" w:color="000000" w:fill="FFFFFF"/>
            <w:vAlign w:val="center"/>
            <w:hideMark/>
          </w:tcPr>
          <w:p w14:paraId="5692349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82.13 </w:t>
            </w:r>
          </w:p>
        </w:tc>
        <w:tc>
          <w:tcPr>
            <w:tcW w:w="823" w:type="dxa"/>
            <w:tcBorders>
              <w:top w:val="nil"/>
              <w:left w:val="nil"/>
              <w:bottom w:val="nil"/>
              <w:right w:val="nil"/>
            </w:tcBorders>
            <w:shd w:val="clear" w:color="auto" w:fill="auto"/>
            <w:noWrap/>
            <w:vAlign w:val="center"/>
            <w:hideMark/>
          </w:tcPr>
          <w:p w14:paraId="41F9AB0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19.07 </w:t>
            </w:r>
          </w:p>
        </w:tc>
        <w:tc>
          <w:tcPr>
            <w:tcW w:w="0" w:type="auto"/>
            <w:tcBorders>
              <w:top w:val="nil"/>
              <w:left w:val="nil"/>
              <w:bottom w:val="nil"/>
              <w:right w:val="nil"/>
            </w:tcBorders>
            <w:shd w:val="clear" w:color="000000" w:fill="FFFFFF"/>
            <w:vAlign w:val="center"/>
            <w:hideMark/>
          </w:tcPr>
          <w:p w14:paraId="222206C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3525.4</w:t>
            </w:r>
          </w:p>
        </w:tc>
        <w:tc>
          <w:tcPr>
            <w:tcW w:w="0" w:type="auto"/>
            <w:tcBorders>
              <w:top w:val="nil"/>
              <w:left w:val="nil"/>
              <w:bottom w:val="nil"/>
              <w:right w:val="nil"/>
            </w:tcBorders>
            <w:shd w:val="clear" w:color="000000" w:fill="FFFFFF"/>
            <w:vAlign w:val="center"/>
            <w:hideMark/>
          </w:tcPr>
          <w:p w14:paraId="0E6AC9B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31C9985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4,500 </w:t>
            </w:r>
          </w:p>
        </w:tc>
        <w:tc>
          <w:tcPr>
            <w:tcW w:w="0" w:type="auto"/>
            <w:tcBorders>
              <w:top w:val="nil"/>
              <w:left w:val="single" w:sz="4" w:space="0" w:color="auto"/>
              <w:bottom w:val="nil"/>
              <w:right w:val="nil"/>
            </w:tcBorders>
            <w:shd w:val="clear" w:color="000000" w:fill="FFFFFF"/>
            <w:vAlign w:val="center"/>
            <w:hideMark/>
          </w:tcPr>
          <w:p w14:paraId="1DE6558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81</w:t>
            </w:r>
          </w:p>
        </w:tc>
        <w:tc>
          <w:tcPr>
            <w:tcW w:w="0" w:type="auto"/>
            <w:tcBorders>
              <w:top w:val="nil"/>
              <w:left w:val="nil"/>
              <w:bottom w:val="nil"/>
              <w:right w:val="nil"/>
            </w:tcBorders>
            <w:shd w:val="clear" w:color="000000" w:fill="FFFFFF"/>
            <w:vAlign w:val="center"/>
            <w:hideMark/>
          </w:tcPr>
          <w:p w14:paraId="286B71D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58.38 </w:t>
            </w:r>
          </w:p>
        </w:tc>
        <w:tc>
          <w:tcPr>
            <w:tcW w:w="0" w:type="auto"/>
            <w:tcBorders>
              <w:top w:val="nil"/>
              <w:left w:val="nil"/>
              <w:bottom w:val="nil"/>
              <w:right w:val="nil"/>
            </w:tcBorders>
            <w:shd w:val="clear" w:color="auto" w:fill="auto"/>
            <w:noWrap/>
            <w:vAlign w:val="center"/>
            <w:hideMark/>
          </w:tcPr>
          <w:p w14:paraId="3CFBD4A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18.96 </w:t>
            </w:r>
          </w:p>
        </w:tc>
        <w:tc>
          <w:tcPr>
            <w:tcW w:w="0" w:type="auto"/>
            <w:tcBorders>
              <w:top w:val="nil"/>
              <w:left w:val="nil"/>
              <w:bottom w:val="nil"/>
              <w:right w:val="nil"/>
            </w:tcBorders>
            <w:shd w:val="clear" w:color="000000" w:fill="FFFFFF"/>
            <w:vAlign w:val="center"/>
            <w:hideMark/>
          </w:tcPr>
          <w:p w14:paraId="2419A1F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624.2</w:t>
            </w:r>
          </w:p>
        </w:tc>
        <w:tc>
          <w:tcPr>
            <w:tcW w:w="0" w:type="auto"/>
            <w:tcBorders>
              <w:top w:val="nil"/>
              <w:left w:val="nil"/>
              <w:bottom w:val="nil"/>
              <w:right w:val="nil"/>
            </w:tcBorders>
            <w:shd w:val="clear" w:color="000000" w:fill="FFFFFF"/>
            <w:vAlign w:val="center"/>
            <w:hideMark/>
          </w:tcPr>
          <w:p w14:paraId="066793B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4E9BA20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800 </w:t>
            </w:r>
          </w:p>
        </w:tc>
        <w:tc>
          <w:tcPr>
            <w:tcW w:w="0" w:type="auto"/>
            <w:tcBorders>
              <w:top w:val="nil"/>
              <w:left w:val="single" w:sz="4" w:space="0" w:color="auto"/>
              <w:bottom w:val="nil"/>
              <w:right w:val="nil"/>
            </w:tcBorders>
            <w:shd w:val="clear" w:color="000000" w:fill="FFFFFF"/>
            <w:vAlign w:val="center"/>
            <w:hideMark/>
          </w:tcPr>
          <w:p w14:paraId="43A40E1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52</w:t>
            </w:r>
          </w:p>
        </w:tc>
        <w:tc>
          <w:tcPr>
            <w:tcW w:w="0" w:type="auto"/>
            <w:tcBorders>
              <w:top w:val="nil"/>
              <w:left w:val="nil"/>
              <w:bottom w:val="nil"/>
              <w:right w:val="nil"/>
            </w:tcBorders>
            <w:shd w:val="clear" w:color="000000" w:fill="FFFFFF"/>
            <w:vAlign w:val="center"/>
            <w:hideMark/>
          </w:tcPr>
          <w:p w14:paraId="07BD1B2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52.63 </w:t>
            </w:r>
          </w:p>
        </w:tc>
        <w:tc>
          <w:tcPr>
            <w:tcW w:w="0" w:type="auto"/>
            <w:tcBorders>
              <w:top w:val="nil"/>
              <w:left w:val="nil"/>
              <w:bottom w:val="nil"/>
              <w:right w:val="nil"/>
            </w:tcBorders>
            <w:shd w:val="clear" w:color="auto" w:fill="auto"/>
            <w:noWrap/>
            <w:vAlign w:val="center"/>
            <w:hideMark/>
          </w:tcPr>
          <w:p w14:paraId="7CC7E46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18.52 </w:t>
            </w:r>
          </w:p>
        </w:tc>
        <w:tc>
          <w:tcPr>
            <w:tcW w:w="0" w:type="auto"/>
            <w:tcBorders>
              <w:top w:val="nil"/>
              <w:left w:val="nil"/>
              <w:bottom w:val="nil"/>
              <w:right w:val="nil"/>
            </w:tcBorders>
            <w:shd w:val="clear" w:color="000000" w:fill="FFFFFF"/>
            <w:vAlign w:val="center"/>
            <w:hideMark/>
          </w:tcPr>
          <w:p w14:paraId="1B936FC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486.4</w:t>
            </w:r>
          </w:p>
        </w:tc>
        <w:tc>
          <w:tcPr>
            <w:tcW w:w="0" w:type="auto"/>
            <w:tcBorders>
              <w:top w:val="nil"/>
              <w:left w:val="nil"/>
              <w:bottom w:val="nil"/>
              <w:right w:val="nil"/>
            </w:tcBorders>
            <w:shd w:val="clear" w:color="000000" w:fill="FFFFFF"/>
            <w:vAlign w:val="center"/>
            <w:hideMark/>
          </w:tcPr>
          <w:p w14:paraId="0234366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2818ED9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450 </w:t>
            </w:r>
          </w:p>
        </w:tc>
        <w:tc>
          <w:tcPr>
            <w:tcW w:w="0" w:type="auto"/>
            <w:tcBorders>
              <w:top w:val="nil"/>
              <w:left w:val="single" w:sz="4" w:space="0" w:color="auto"/>
              <w:bottom w:val="nil"/>
              <w:right w:val="nil"/>
            </w:tcBorders>
            <w:shd w:val="clear" w:color="auto" w:fill="auto"/>
            <w:noWrap/>
            <w:vAlign w:val="center"/>
            <w:hideMark/>
          </w:tcPr>
          <w:p w14:paraId="5F5F3BE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48</w:t>
            </w:r>
          </w:p>
        </w:tc>
        <w:tc>
          <w:tcPr>
            <w:tcW w:w="0" w:type="auto"/>
            <w:tcBorders>
              <w:top w:val="nil"/>
              <w:left w:val="nil"/>
              <w:bottom w:val="nil"/>
              <w:right w:val="nil"/>
            </w:tcBorders>
            <w:shd w:val="clear" w:color="auto" w:fill="auto"/>
            <w:noWrap/>
            <w:vAlign w:val="center"/>
            <w:hideMark/>
          </w:tcPr>
          <w:p w14:paraId="638913E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59.84 </w:t>
            </w:r>
          </w:p>
        </w:tc>
        <w:tc>
          <w:tcPr>
            <w:tcW w:w="0" w:type="auto"/>
            <w:tcBorders>
              <w:top w:val="nil"/>
              <w:left w:val="nil"/>
              <w:bottom w:val="nil"/>
              <w:right w:val="nil"/>
            </w:tcBorders>
            <w:shd w:val="clear" w:color="auto" w:fill="auto"/>
            <w:noWrap/>
            <w:vAlign w:val="center"/>
            <w:hideMark/>
          </w:tcPr>
          <w:p w14:paraId="1CCD9E1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18.56 </w:t>
            </w:r>
          </w:p>
        </w:tc>
        <w:tc>
          <w:tcPr>
            <w:tcW w:w="0" w:type="auto"/>
            <w:tcBorders>
              <w:top w:val="nil"/>
              <w:left w:val="nil"/>
              <w:bottom w:val="nil"/>
              <w:right w:val="nil"/>
            </w:tcBorders>
            <w:shd w:val="clear" w:color="auto" w:fill="auto"/>
            <w:noWrap/>
            <w:vAlign w:val="center"/>
            <w:hideMark/>
          </w:tcPr>
          <w:p w14:paraId="1735FCD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1144.1</w:t>
            </w:r>
          </w:p>
        </w:tc>
        <w:tc>
          <w:tcPr>
            <w:tcW w:w="0" w:type="auto"/>
            <w:tcBorders>
              <w:top w:val="nil"/>
              <w:left w:val="nil"/>
              <w:bottom w:val="nil"/>
              <w:right w:val="nil"/>
            </w:tcBorders>
            <w:shd w:val="clear" w:color="auto" w:fill="auto"/>
            <w:noWrap/>
            <w:vAlign w:val="center"/>
            <w:hideMark/>
          </w:tcPr>
          <w:p w14:paraId="0D32B2C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nil"/>
            </w:tcBorders>
            <w:shd w:val="clear" w:color="auto" w:fill="auto"/>
            <w:noWrap/>
            <w:vAlign w:val="center"/>
            <w:hideMark/>
          </w:tcPr>
          <w:p w14:paraId="6D0260B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1,200 </w:t>
            </w:r>
          </w:p>
        </w:tc>
      </w:tr>
      <w:tr w:rsidR="00D9465C" w:rsidRPr="005E3FD2" w14:paraId="414B1C8A" w14:textId="77777777" w:rsidTr="00DD0F28">
        <w:tc>
          <w:tcPr>
            <w:tcW w:w="0" w:type="auto"/>
            <w:tcBorders>
              <w:top w:val="nil"/>
              <w:left w:val="nil"/>
              <w:bottom w:val="nil"/>
              <w:right w:val="nil"/>
            </w:tcBorders>
            <w:shd w:val="clear" w:color="auto" w:fill="auto"/>
            <w:noWrap/>
            <w:vAlign w:val="center"/>
            <w:hideMark/>
          </w:tcPr>
          <w:p w14:paraId="7C79FE8C"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Pacific</w:t>
            </w:r>
          </w:p>
        </w:tc>
        <w:tc>
          <w:tcPr>
            <w:tcW w:w="460" w:type="dxa"/>
            <w:tcBorders>
              <w:top w:val="nil"/>
              <w:left w:val="nil"/>
              <w:bottom w:val="nil"/>
              <w:right w:val="nil"/>
            </w:tcBorders>
            <w:shd w:val="clear" w:color="000000" w:fill="FFFFFF"/>
            <w:vAlign w:val="center"/>
            <w:hideMark/>
          </w:tcPr>
          <w:p w14:paraId="6F272BB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45</w:t>
            </w:r>
          </w:p>
        </w:tc>
        <w:tc>
          <w:tcPr>
            <w:tcW w:w="677" w:type="dxa"/>
            <w:tcBorders>
              <w:top w:val="nil"/>
              <w:left w:val="nil"/>
              <w:bottom w:val="nil"/>
              <w:right w:val="nil"/>
            </w:tcBorders>
            <w:shd w:val="clear" w:color="000000" w:fill="FFFFFF"/>
            <w:vAlign w:val="center"/>
            <w:hideMark/>
          </w:tcPr>
          <w:p w14:paraId="4CC4997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64.97 </w:t>
            </w:r>
          </w:p>
        </w:tc>
        <w:tc>
          <w:tcPr>
            <w:tcW w:w="823" w:type="dxa"/>
            <w:tcBorders>
              <w:top w:val="nil"/>
              <w:left w:val="nil"/>
              <w:bottom w:val="nil"/>
              <w:right w:val="nil"/>
            </w:tcBorders>
            <w:shd w:val="clear" w:color="auto" w:fill="auto"/>
            <w:noWrap/>
            <w:vAlign w:val="center"/>
            <w:hideMark/>
          </w:tcPr>
          <w:p w14:paraId="2D414F6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19.33 </w:t>
            </w:r>
          </w:p>
        </w:tc>
        <w:tc>
          <w:tcPr>
            <w:tcW w:w="0" w:type="auto"/>
            <w:tcBorders>
              <w:top w:val="nil"/>
              <w:left w:val="nil"/>
              <w:bottom w:val="nil"/>
              <w:right w:val="nil"/>
            </w:tcBorders>
            <w:shd w:val="clear" w:color="auto" w:fill="auto"/>
            <w:noWrap/>
            <w:vAlign w:val="center"/>
            <w:hideMark/>
          </w:tcPr>
          <w:p w14:paraId="3D906AC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596.1</w:t>
            </w:r>
          </w:p>
        </w:tc>
        <w:tc>
          <w:tcPr>
            <w:tcW w:w="0" w:type="auto"/>
            <w:tcBorders>
              <w:top w:val="nil"/>
              <w:left w:val="nil"/>
              <w:bottom w:val="nil"/>
              <w:right w:val="nil"/>
            </w:tcBorders>
            <w:shd w:val="clear" w:color="000000" w:fill="FFFFFF"/>
            <w:vAlign w:val="center"/>
            <w:hideMark/>
          </w:tcPr>
          <w:p w14:paraId="685D22E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 </w:t>
            </w:r>
          </w:p>
        </w:tc>
        <w:tc>
          <w:tcPr>
            <w:tcW w:w="0" w:type="auto"/>
            <w:tcBorders>
              <w:top w:val="nil"/>
              <w:left w:val="nil"/>
              <w:bottom w:val="nil"/>
              <w:right w:val="single" w:sz="4" w:space="0" w:color="auto"/>
            </w:tcBorders>
            <w:shd w:val="clear" w:color="000000" w:fill="FFFFFF"/>
            <w:vAlign w:val="center"/>
            <w:hideMark/>
          </w:tcPr>
          <w:p w14:paraId="5810736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1,700 </w:t>
            </w:r>
          </w:p>
        </w:tc>
        <w:tc>
          <w:tcPr>
            <w:tcW w:w="0" w:type="auto"/>
            <w:tcBorders>
              <w:top w:val="nil"/>
              <w:left w:val="single" w:sz="4" w:space="0" w:color="auto"/>
              <w:bottom w:val="nil"/>
              <w:right w:val="nil"/>
            </w:tcBorders>
            <w:shd w:val="clear" w:color="000000" w:fill="FFFFFF"/>
            <w:vAlign w:val="center"/>
            <w:hideMark/>
          </w:tcPr>
          <w:p w14:paraId="0A28D3F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16</w:t>
            </w:r>
          </w:p>
        </w:tc>
        <w:tc>
          <w:tcPr>
            <w:tcW w:w="0" w:type="auto"/>
            <w:tcBorders>
              <w:top w:val="nil"/>
              <w:left w:val="nil"/>
              <w:bottom w:val="nil"/>
              <w:right w:val="nil"/>
            </w:tcBorders>
            <w:shd w:val="clear" w:color="000000" w:fill="FFFFFF"/>
            <w:vAlign w:val="center"/>
            <w:hideMark/>
          </w:tcPr>
          <w:p w14:paraId="5B58B3D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66.48 </w:t>
            </w:r>
          </w:p>
        </w:tc>
        <w:tc>
          <w:tcPr>
            <w:tcW w:w="0" w:type="auto"/>
            <w:tcBorders>
              <w:top w:val="nil"/>
              <w:left w:val="nil"/>
              <w:bottom w:val="nil"/>
              <w:right w:val="nil"/>
            </w:tcBorders>
            <w:shd w:val="clear" w:color="auto" w:fill="auto"/>
            <w:noWrap/>
            <w:vAlign w:val="center"/>
            <w:hideMark/>
          </w:tcPr>
          <w:p w14:paraId="74F8751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19.42 </w:t>
            </w:r>
          </w:p>
        </w:tc>
        <w:tc>
          <w:tcPr>
            <w:tcW w:w="0" w:type="auto"/>
            <w:tcBorders>
              <w:top w:val="nil"/>
              <w:left w:val="nil"/>
              <w:bottom w:val="nil"/>
              <w:right w:val="nil"/>
            </w:tcBorders>
            <w:shd w:val="clear" w:color="000000" w:fill="FFFFFF"/>
            <w:vAlign w:val="center"/>
            <w:hideMark/>
          </w:tcPr>
          <w:p w14:paraId="7AB16E8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391.7</w:t>
            </w:r>
          </w:p>
        </w:tc>
        <w:tc>
          <w:tcPr>
            <w:tcW w:w="0" w:type="auto"/>
            <w:tcBorders>
              <w:top w:val="nil"/>
              <w:left w:val="nil"/>
              <w:bottom w:val="nil"/>
              <w:right w:val="nil"/>
            </w:tcBorders>
            <w:shd w:val="clear" w:color="000000" w:fill="FFFFFF"/>
            <w:vAlign w:val="center"/>
            <w:hideMark/>
          </w:tcPr>
          <w:p w14:paraId="03E9926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 </w:t>
            </w:r>
          </w:p>
        </w:tc>
        <w:tc>
          <w:tcPr>
            <w:tcW w:w="0" w:type="auto"/>
            <w:tcBorders>
              <w:top w:val="nil"/>
              <w:left w:val="nil"/>
              <w:bottom w:val="nil"/>
              <w:right w:val="single" w:sz="4" w:space="0" w:color="auto"/>
            </w:tcBorders>
            <w:shd w:val="clear" w:color="000000" w:fill="FFFFFF"/>
            <w:vAlign w:val="center"/>
            <w:hideMark/>
          </w:tcPr>
          <w:p w14:paraId="32A221C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1,200 </w:t>
            </w:r>
          </w:p>
        </w:tc>
        <w:tc>
          <w:tcPr>
            <w:tcW w:w="0" w:type="auto"/>
            <w:tcBorders>
              <w:top w:val="nil"/>
              <w:left w:val="single" w:sz="4" w:space="0" w:color="auto"/>
              <w:bottom w:val="nil"/>
              <w:right w:val="nil"/>
            </w:tcBorders>
            <w:shd w:val="clear" w:color="000000" w:fill="FFFFFF"/>
            <w:vAlign w:val="center"/>
            <w:hideMark/>
          </w:tcPr>
          <w:p w14:paraId="10F7B20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16</w:t>
            </w:r>
          </w:p>
        </w:tc>
        <w:tc>
          <w:tcPr>
            <w:tcW w:w="0" w:type="auto"/>
            <w:tcBorders>
              <w:top w:val="nil"/>
              <w:left w:val="nil"/>
              <w:bottom w:val="nil"/>
              <w:right w:val="nil"/>
            </w:tcBorders>
            <w:shd w:val="clear" w:color="000000" w:fill="FFFFFF"/>
            <w:vAlign w:val="center"/>
            <w:hideMark/>
          </w:tcPr>
          <w:p w14:paraId="0974A5D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38.95 </w:t>
            </w:r>
          </w:p>
        </w:tc>
        <w:tc>
          <w:tcPr>
            <w:tcW w:w="0" w:type="auto"/>
            <w:tcBorders>
              <w:top w:val="nil"/>
              <w:left w:val="nil"/>
              <w:bottom w:val="nil"/>
              <w:right w:val="nil"/>
            </w:tcBorders>
            <w:shd w:val="clear" w:color="000000" w:fill="FFFFFF"/>
            <w:vAlign w:val="center"/>
            <w:hideMark/>
          </w:tcPr>
          <w:p w14:paraId="5B0BA61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23.73 </w:t>
            </w:r>
          </w:p>
        </w:tc>
        <w:tc>
          <w:tcPr>
            <w:tcW w:w="0" w:type="auto"/>
            <w:tcBorders>
              <w:top w:val="nil"/>
              <w:left w:val="nil"/>
              <w:bottom w:val="nil"/>
              <w:right w:val="nil"/>
            </w:tcBorders>
            <w:shd w:val="clear" w:color="000000" w:fill="FFFFFF"/>
            <w:vAlign w:val="center"/>
            <w:hideMark/>
          </w:tcPr>
          <w:p w14:paraId="68EE960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115.1</w:t>
            </w:r>
          </w:p>
        </w:tc>
        <w:tc>
          <w:tcPr>
            <w:tcW w:w="0" w:type="auto"/>
            <w:tcBorders>
              <w:top w:val="nil"/>
              <w:left w:val="nil"/>
              <w:bottom w:val="nil"/>
              <w:right w:val="nil"/>
            </w:tcBorders>
            <w:shd w:val="clear" w:color="000000" w:fill="FFFFFF"/>
            <w:vAlign w:val="center"/>
            <w:hideMark/>
          </w:tcPr>
          <w:p w14:paraId="23FF02D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 </w:t>
            </w:r>
          </w:p>
        </w:tc>
        <w:tc>
          <w:tcPr>
            <w:tcW w:w="0" w:type="auto"/>
            <w:tcBorders>
              <w:top w:val="nil"/>
              <w:left w:val="nil"/>
              <w:bottom w:val="nil"/>
              <w:right w:val="single" w:sz="4" w:space="0" w:color="auto"/>
            </w:tcBorders>
            <w:shd w:val="clear" w:color="000000" w:fill="FFFFFF"/>
            <w:vAlign w:val="center"/>
            <w:hideMark/>
          </w:tcPr>
          <w:p w14:paraId="091D63C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400 </w:t>
            </w:r>
          </w:p>
        </w:tc>
        <w:tc>
          <w:tcPr>
            <w:tcW w:w="0" w:type="auto"/>
            <w:tcBorders>
              <w:top w:val="nil"/>
              <w:left w:val="single" w:sz="4" w:space="0" w:color="auto"/>
              <w:bottom w:val="nil"/>
              <w:right w:val="nil"/>
            </w:tcBorders>
            <w:shd w:val="clear" w:color="auto" w:fill="auto"/>
            <w:noWrap/>
            <w:vAlign w:val="center"/>
            <w:hideMark/>
          </w:tcPr>
          <w:p w14:paraId="47888E9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15</w:t>
            </w:r>
          </w:p>
        </w:tc>
        <w:tc>
          <w:tcPr>
            <w:tcW w:w="0" w:type="auto"/>
            <w:tcBorders>
              <w:top w:val="nil"/>
              <w:left w:val="nil"/>
              <w:bottom w:val="nil"/>
              <w:right w:val="nil"/>
            </w:tcBorders>
            <w:shd w:val="clear" w:color="auto" w:fill="auto"/>
            <w:noWrap/>
            <w:vAlign w:val="center"/>
            <w:hideMark/>
          </w:tcPr>
          <w:p w14:paraId="5CD25E5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70.58 </w:t>
            </w:r>
          </w:p>
        </w:tc>
        <w:tc>
          <w:tcPr>
            <w:tcW w:w="0" w:type="auto"/>
            <w:tcBorders>
              <w:top w:val="nil"/>
              <w:left w:val="nil"/>
              <w:bottom w:val="nil"/>
              <w:right w:val="nil"/>
            </w:tcBorders>
            <w:shd w:val="clear" w:color="auto" w:fill="auto"/>
            <w:noWrap/>
            <w:vAlign w:val="center"/>
            <w:hideMark/>
          </w:tcPr>
          <w:p w14:paraId="0D7B022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16.82 </w:t>
            </w:r>
          </w:p>
        </w:tc>
        <w:tc>
          <w:tcPr>
            <w:tcW w:w="0" w:type="auto"/>
            <w:tcBorders>
              <w:top w:val="nil"/>
              <w:left w:val="nil"/>
              <w:bottom w:val="nil"/>
              <w:right w:val="nil"/>
            </w:tcBorders>
            <w:shd w:val="clear" w:color="auto" w:fill="auto"/>
            <w:noWrap/>
            <w:vAlign w:val="center"/>
            <w:hideMark/>
          </w:tcPr>
          <w:p w14:paraId="430D9ED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350.4</w:t>
            </w:r>
          </w:p>
        </w:tc>
        <w:tc>
          <w:tcPr>
            <w:tcW w:w="0" w:type="auto"/>
            <w:tcBorders>
              <w:top w:val="nil"/>
              <w:left w:val="nil"/>
              <w:bottom w:val="nil"/>
              <w:right w:val="nil"/>
            </w:tcBorders>
            <w:shd w:val="clear" w:color="auto" w:fill="auto"/>
            <w:noWrap/>
            <w:vAlign w:val="center"/>
            <w:hideMark/>
          </w:tcPr>
          <w:p w14:paraId="7C93FC7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 </w:t>
            </w:r>
          </w:p>
        </w:tc>
        <w:tc>
          <w:tcPr>
            <w:tcW w:w="0" w:type="auto"/>
            <w:tcBorders>
              <w:top w:val="nil"/>
              <w:left w:val="nil"/>
              <w:bottom w:val="nil"/>
              <w:right w:val="nil"/>
            </w:tcBorders>
            <w:shd w:val="clear" w:color="auto" w:fill="auto"/>
            <w:noWrap/>
            <w:vAlign w:val="center"/>
            <w:hideMark/>
          </w:tcPr>
          <w:p w14:paraId="544A4BC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1,000 </w:t>
            </w:r>
          </w:p>
        </w:tc>
      </w:tr>
      <w:tr w:rsidR="00D9465C" w:rsidRPr="005E3FD2" w14:paraId="238760F1" w14:textId="77777777" w:rsidTr="00DD0F28">
        <w:tc>
          <w:tcPr>
            <w:tcW w:w="0" w:type="auto"/>
            <w:tcBorders>
              <w:top w:val="nil"/>
              <w:left w:val="nil"/>
              <w:bottom w:val="nil"/>
              <w:right w:val="nil"/>
            </w:tcBorders>
            <w:shd w:val="clear" w:color="auto" w:fill="auto"/>
            <w:noWrap/>
            <w:vAlign w:val="center"/>
            <w:hideMark/>
          </w:tcPr>
          <w:p w14:paraId="7992B9E3"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Asian</w:t>
            </w:r>
          </w:p>
        </w:tc>
        <w:tc>
          <w:tcPr>
            <w:tcW w:w="460" w:type="dxa"/>
            <w:tcBorders>
              <w:top w:val="nil"/>
              <w:left w:val="nil"/>
              <w:bottom w:val="nil"/>
              <w:right w:val="nil"/>
            </w:tcBorders>
            <w:shd w:val="clear" w:color="000000" w:fill="FFFFFF"/>
            <w:vAlign w:val="center"/>
            <w:hideMark/>
          </w:tcPr>
          <w:p w14:paraId="0CF23EE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23</w:t>
            </w:r>
          </w:p>
        </w:tc>
        <w:tc>
          <w:tcPr>
            <w:tcW w:w="677" w:type="dxa"/>
            <w:tcBorders>
              <w:top w:val="nil"/>
              <w:left w:val="nil"/>
              <w:bottom w:val="nil"/>
              <w:right w:val="nil"/>
            </w:tcBorders>
            <w:shd w:val="clear" w:color="000000" w:fill="FFFFFF"/>
            <w:vAlign w:val="center"/>
            <w:hideMark/>
          </w:tcPr>
          <w:p w14:paraId="44645DD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55.12 </w:t>
            </w:r>
          </w:p>
        </w:tc>
        <w:tc>
          <w:tcPr>
            <w:tcW w:w="823" w:type="dxa"/>
            <w:tcBorders>
              <w:top w:val="nil"/>
              <w:left w:val="nil"/>
              <w:bottom w:val="nil"/>
              <w:right w:val="nil"/>
            </w:tcBorders>
            <w:shd w:val="clear" w:color="auto" w:fill="auto"/>
            <w:noWrap/>
            <w:vAlign w:val="center"/>
            <w:hideMark/>
          </w:tcPr>
          <w:p w14:paraId="596FE75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19.81 </w:t>
            </w:r>
          </w:p>
        </w:tc>
        <w:tc>
          <w:tcPr>
            <w:tcW w:w="0" w:type="auto"/>
            <w:tcBorders>
              <w:top w:val="nil"/>
              <w:left w:val="nil"/>
              <w:bottom w:val="nil"/>
              <w:right w:val="nil"/>
            </w:tcBorders>
            <w:shd w:val="clear" w:color="000000" w:fill="FFFFFF"/>
            <w:vAlign w:val="center"/>
            <w:hideMark/>
          </w:tcPr>
          <w:p w14:paraId="350B4C0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345.5</w:t>
            </w:r>
          </w:p>
        </w:tc>
        <w:tc>
          <w:tcPr>
            <w:tcW w:w="0" w:type="auto"/>
            <w:tcBorders>
              <w:top w:val="nil"/>
              <w:left w:val="nil"/>
              <w:bottom w:val="nil"/>
              <w:right w:val="nil"/>
            </w:tcBorders>
            <w:shd w:val="clear" w:color="auto" w:fill="auto"/>
            <w:noWrap/>
            <w:vAlign w:val="center"/>
            <w:hideMark/>
          </w:tcPr>
          <w:p w14:paraId="0D70645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 </w:t>
            </w:r>
          </w:p>
        </w:tc>
        <w:tc>
          <w:tcPr>
            <w:tcW w:w="0" w:type="auto"/>
            <w:tcBorders>
              <w:top w:val="nil"/>
              <w:left w:val="nil"/>
              <w:bottom w:val="nil"/>
              <w:right w:val="single" w:sz="4" w:space="0" w:color="auto"/>
            </w:tcBorders>
            <w:shd w:val="clear" w:color="auto" w:fill="auto"/>
            <w:noWrap/>
            <w:vAlign w:val="center"/>
            <w:hideMark/>
          </w:tcPr>
          <w:p w14:paraId="2BC60F2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250 </w:t>
            </w:r>
          </w:p>
        </w:tc>
        <w:tc>
          <w:tcPr>
            <w:tcW w:w="0" w:type="auto"/>
            <w:tcBorders>
              <w:top w:val="nil"/>
              <w:left w:val="single" w:sz="4" w:space="0" w:color="auto"/>
              <w:bottom w:val="nil"/>
              <w:right w:val="nil"/>
            </w:tcBorders>
            <w:shd w:val="clear" w:color="000000" w:fill="FFFFFF"/>
            <w:vAlign w:val="center"/>
            <w:hideMark/>
          </w:tcPr>
          <w:p w14:paraId="683F67A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7</w:t>
            </w:r>
          </w:p>
        </w:tc>
        <w:tc>
          <w:tcPr>
            <w:tcW w:w="0" w:type="auto"/>
            <w:tcBorders>
              <w:top w:val="nil"/>
              <w:left w:val="nil"/>
              <w:bottom w:val="nil"/>
              <w:right w:val="nil"/>
            </w:tcBorders>
            <w:shd w:val="clear" w:color="000000" w:fill="FFFFFF"/>
            <w:vAlign w:val="center"/>
            <w:hideMark/>
          </w:tcPr>
          <w:p w14:paraId="6378B63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192.75 </w:t>
            </w:r>
          </w:p>
        </w:tc>
        <w:tc>
          <w:tcPr>
            <w:tcW w:w="0" w:type="auto"/>
            <w:tcBorders>
              <w:top w:val="nil"/>
              <w:left w:val="nil"/>
              <w:bottom w:val="nil"/>
              <w:right w:val="nil"/>
            </w:tcBorders>
            <w:shd w:val="clear" w:color="auto" w:fill="auto"/>
            <w:noWrap/>
            <w:vAlign w:val="center"/>
            <w:hideMark/>
          </w:tcPr>
          <w:p w14:paraId="28F2D3B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27.05 </w:t>
            </w:r>
          </w:p>
        </w:tc>
        <w:tc>
          <w:tcPr>
            <w:tcW w:w="0" w:type="auto"/>
            <w:tcBorders>
              <w:top w:val="nil"/>
              <w:left w:val="nil"/>
              <w:bottom w:val="nil"/>
              <w:right w:val="nil"/>
            </w:tcBorders>
            <w:shd w:val="clear" w:color="000000" w:fill="FFFFFF"/>
            <w:vAlign w:val="center"/>
            <w:hideMark/>
          </w:tcPr>
          <w:p w14:paraId="06B1D44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836.0</w:t>
            </w:r>
          </w:p>
        </w:tc>
        <w:tc>
          <w:tcPr>
            <w:tcW w:w="0" w:type="auto"/>
            <w:tcBorders>
              <w:top w:val="nil"/>
              <w:left w:val="nil"/>
              <w:bottom w:val="nil"/>
              <w:right w:val="nil"/>
            </w:tcBorders>
            <w:shd w:val="clear" w:color="000000" w:fill="FFFFFF"/>
            <w:vAlign w:val="center"/>
            <w:hideMark/>
          </w:tcPr>
          <w:p w14:paraId="6F2865E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 </w:t>
            </w:r>
          </w:p>
        </w:tc>
        <w:tc>
          <w:tcPr>
            <w:tcW w:w="0" w:type="auto"/>
            <w:tcBorders>
              <w:top w:val="nil"/>
              <w:left w:val="nil"/>
              <w:bottom w:val="nil"/>
              <w:right w:val="single" w:sz="4" w:space="0" w:color="auto"/>
            </w:tcBorders>
            <w:shd w:val="clear" w:color="000000" w:fill="FFFFFF"/>
            <w:vAlign w:val="center"/>
            <w:hideMark/>
          </w:tcPr>
          <w:p w14:paraId="7BD93F4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2,850 </w:t>
            </w:r>
          </w:p>
        </w:tc>
        <w:tc>
          <w:tcPr>
            <w:tcW w:w="0" w:type="auto"/>
            <w:tcBorders>
              <w:top w:val="nil"/>
              <w:left w:val="single" w:sz="4" w:space="0" w:color="auto"/>
              <w:bottom w:val="nil"/>
              <w:right w:val="nil"/>
            </w:tcBorders>
            <w:shd w:val="clear" w:color="000000" w:fill="FFFFFF"/>
            <w:vAlign w:val="center"/>
            <w:hideMark/>
          </w:tcPr>
          <w:p w14:paraId="585D7F3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11</w:t>
            </w:r>
          </w:p>
        </w:tc>
        <w:tc>
          <w:tcPr>
            <w:tcW w:w="0" w:type="auto"/>
            <w:tcBorders>
              <w:top w:val="nil"/>
              <w:left w:val="nil"/>
              <w:bottom w:val="nil"/>
              <w:right w:val="nil"/>
            </w:tcBorders>
            <w:shd w:val="clear" w:color="000000" w:fill="FFFFFF"/>
            <w:vAlign w:val="center"/>
            <w:hideMark/>
          </w:tcPr>
          <w:p w14:paraId="15E5C3D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67.12 </w:t>
            </w:r>
          </w:p>
        </w:tc>
        <w:tc>
          <w:tcPr>
            <w:tcW w:w="0" w:type="auto"/>
            <w:tcBorders>
              <w:top w:val="nil"/>
              <w:left w:val="nil"/>
              <w:bottom w:val="nil"/>
              <w:right w:val="nil"/>
            </w:tcBorders>
            <w:shd w:val="clear" w:color="auto" w:fill="auto"/>
            <w:noWrap/>
            <w:vAlign w:val="center"/>
            <w:hideMark/>
          </w:tcPr>
          <w:p w14:paraId="2A96A95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26.09 </w:t>
            </w:r>
          </w:p>
        </w:tc>
        <w:tc>
          <w:tcPr>
            <w:tcW w:w="0" w:type="auto"/>
            <w:tcBorders>
              <w:top w:val="nil"/>
              <w:left w:val="nil"/>
              <w:bottom w:val="nil"/>
              <w:right w:val="nil"/>
            </w:tcBorders>
            <w:shd w:val="clear" w:color="000000" w:fill="FFFFFF"/>
            <w:vAlign w:val="center"/>
            <w:hideMark/>
          </w:tcPr>
          <w:p w14:paraId="70EAEB6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212.6</w:t>
            </w:r>
          </w:p>
        </w:tc>
        <w:tc>
          <w:tcPr>
            <w:tcW w:w="0" w:type="auto"/>
            <w:tcBorders>
              <w:top w:val="nil"/>
              <w:left w:val="nil"/>
              <w:bottom w:val="nil"/>
              <w:right w:val="nil"/>
            </w:tcBorders>
            <w:shd w:val="clear" w:color="000000" w:fill="FFFFFF"/>
            <w:vAlign w:val="center"/>
            <w:hideMark/>
          </w:tcPr>
          <w:p w14:paraId="7F54EFB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20 </w:t>
            </w:r>
          </w:p>
        </w:tc>
        <w:tc>
          <w:tcPr>
            <w:tcW w:w="0" w:type="auto"/>
            <w:tcBorders>
              <w:top w:val="nil"/>
              <w:left w:val="nil"/>
              <w:bottom w:val="nil"/>
              <w:right w:val="single" w:sz="4" w:space="0" w:color="auto"/>
            </w:tcBorders>
            <w:shd w:val="clear" w:color="000000" w:fill="FFFFFF"/>
            <w:vAlign w:val="center"/>
            <w:hideMark/>
          </w:tcPr>
          <w:p w14:paraId="787CDC2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800 </w:t>
            </w:r>
          </w:p>
        </w:tc>
        <w:tc>
          <w:tcPr>
            <w:tcW w:w="0" w:type="auto"/>
            <w:tcBorders>
              <w:top w:val="nil"/>
              <w:left w:val="single" w:sz="4" w:space="0" w:color="auto"/>
              <w:bottom w:val="nil"/>
              <w:right w:val="nil"/>
            </w:tcBorders>
            <w:shd w:val="clear" w:color="auto" w:fill="auto"/>
            <w:noWrap/>
            <w:vAlign w:val="center"/>
            <w:hideMark/>
          </w:tcPr>
          <w:p w14:paraId="69179A1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9</w:t>
            </w:r>
          </w:p>
        </w:tc>
        <w:tc>
          <w:tcPr>
            <w:tcW w:w="0" w:type="auto"/>
            <w:tcBorders>
              <w:top w:val="nil"/>
              <w:left w:val="nil"/>
              <w:bottom w:val="nil"/>
              <w:right w:val="nil"/>
            </w:tcBorders>
            <w:shd w:val="clear" w:color="auto" w:fill="auto"/>
            <w:noWrap/>
            <w:vAlign w:val="center"/>
            <w:hideMark/>
          </w:tcPr>
          <w:p w14:paraId="497E516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18.12 </w:t>
            </w:r>
          </w:p>
        </w:tc>
        <w:tc>
          <w:tcPr>
            <w:tcW w:w="0" w:type="auto"/>
            <w:tcBorders>
              <w:top w:val="nil"/>
              <w:left w:val="nil"/>
              <w:bottom w:val="nil"/>
              <w:right w:val="nil"/>
            </w:tcBorders>
            <w:shd w:val="clear" w:color="auto" w:fill="auto"/>
            <w:noWrap/>
            <w:vAlign w:val="center"/>
            <w:hideMark/>
          </w:tcPr>
          <w:p w14:paraId="0E066E8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11.57 </w:t>
            </w:r>
          </w:p>
        </w:tc>
        <w:tc>
          <w:tcPr>
            <w:tcW w:w="0" w:type="auto"/>
            <w:tcBorders>
              <w:top w:val="nil"/>
              <w:left w:val="nil"/>
              <w:bottom w:val="nil"/>
              <w:right w:val="nil"/>
            </w:tcBorders>
            <w:shd w:val="clear" w:color="auto" w:fill="auto"/>
            <w:noWrap/>
            <w:vAlign w:val="center"/>
            <w:hideMark/>
          </w:tcPr>
          <w:p w14:paraId="27CA35A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15.0</w:t>
            </w:r>
          </w:p>
        </w:tc>
        <w:tc>
          <w:tcPr>
            <w:tcW w:w="0" w:type="auto"/>
            <w:tcBorders>
              <w:top w:val="nil"/>
              <w:left w:val="nil"/>
              <w:bottom w:val="nil"/>
              <w:right w:val="nil"/>
            </w:tcBorders>
            <w:shd w:val="clear" w:color="auto" w:fill="auto"/>
            <w:noWrap/>
            <w:vAlign w:val="center"/>
            <w:hideMark/>
          </w:tcPr>
          <w:p w14:paraId="137881D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 </w:t>
            </w:r>
          </w:p>
        </w:tc>
        <w:tc>
          <w:tcPr>
            <w:tcW w:w="0" w:type="auto"/>
            <w:tcBorders>
              <w:top w:val="nil"/>
              <w:left w:val="nil"/>
              <w:bottom w:val="nil"/>
              <w:right w:val="nil"/>
            </w:tcBorders>
            <w:shd w:val="clear" w:color="auto" w:fill="auto"/>
            <w:noWrap/>
            <w:vAlign w:val="center"/>
            <w:hideMark/>
          </w:tcPr>
          <w:p w14:paraId="1119BD7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40 </w:t>
            </w:r>
          </w:p>
        </w:tc>
      </w:tr>
      <w:tr w:rsidR="00D9465C" w:rsidRPr="005E3FD2" w14:paraId="3AB01B77" w14:textId="77777777" w:rsidTr="00DD0F28">
        <w:tc>
          <w:tcPr>
            <w:tcW w:w="0" w:type="auto"/>
            <w:tcBorders>
              <w:top w:val="nil"/>
              <w:left w:val="nil"/>
              <w:bottom w:val="nil"/>
              <w:right w:val="nil"/>
            </w:tcBorders>
            <w:shd w:val="clear" w:color="auto" w:fill="auto"/>
            <w:noWrap/>
            <w:vAlign w:val="center"/>
            <w:hideMark/>
          </w:tcPr>
          <w:p w14:paraId="1B9ED30C"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European/</w:t>
            </w:r>
          </w:p>
          <w:p w14:paraId="37133080"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Other</w:t>
            </w:r>
          </w:p>
        </w:tc>
        <w:tc>
          <w:tcPr>
            <w:tcW w:w="460" w:type="dxa"/>
            <w:tcBorders>
              <w:top w:val="nil"/>
              <w:left w:val="nil"/>
              <w:bottom w:val="nil"/>
              <w:right w:val="nil"/>
            </w:tcBorders>
            <w:shd w:val="clear" w:color="000000" w:fill="FFFFFF"/>
            <w:vAlign w:val="center"/>
            <w:hideMark/>
          </w:tcPr>
          <w:p w14:paraId="763880B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613</w:t>
            </w:r>
          </w:p>
        </w:tc>
        <w:tc>
          <w:tcPr>
            <w:tcW w:w="677" w:type="dxa"/>
            <w:tcBorders>
              <w:top w:val="nil"/>
              <w:left w:val="nil"/>
              <w:bottom w:val="nil"/>
              <w:right w:val="nil"/>
            </w:tcBorders>
            <w:shd w:val="clear" w:color="000000" w:fill="FFFFFF"/>
            <w:vAlign w:val="center"/>
            <w:hideMark/>
          </w:tcPr>
          <w:p w14:paraId="70AF64C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40.79 </w:t>
            </w:r>
          </w:p>
        </w:tc>
        <w:tc>
          <w:tcPr>
            <w:tcW w:w="823" w:type="dxa"/>
            <w:tcBorders>
              <w:top w:val="nil"/>
              <w:left w:val="nil"/>
              <w:bottom w:val="nil"/>
              <w:right w:val="nil"/>
            </w:tcBorders>
            <w:shd w:val="clear" w:color="auto" w:fill="auto"/>
            <w:noWrap/>
            <w:vAlign w:val="center"/>
            <w:hideMark/>
          </w:tcPr>
          <w:p w14:paraId="13BA981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17.31 </w:t>
            </w:r>
          </w:p>
        </w:tc>
        <w:tc>
          <w:tcPr>
            <w:tcW w:w="0" w:type="auto"/>
            <w:tcBorders>
              <w:top w:val="nil"/>
              <w:left w:val="nil"/>
              <w:bottom w:val="nil"/>
              <w:right w:val="nil"/>
            </w:tcBorders>
            <w:shd w:val="clear" w:color="000000" w:fill="FFFFFF"/>
            <w:vAlign w:val="center"/>
            <w:hideMark/>
          </w:tcPr>
          <w:p w14:paraId="786963D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3064.2</w:t>
            </w:r>
          </w:p>
        </w:tc>
        <w:tc>
          <w:tcPr>
            <w:tcW w:w="0" w:type="auto"/>
            <w:tcBorders>
              <w:top w:val="nil"/>
              <w:left w:val="nil"/>
              <w:bottom w:val="nil"/>
              <w:right w:val="nil"/>
            </w:tcBorders>
            <w:shd w:val="clear" w:color="000000" w:fill="FFFFFF"/>
            <w:vAlign w:val="center"/>
            <w:hideMark/>
          </w:tcPr>
          <w:p w14:paraId="7E277BB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4BC1918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1,000 </w:t>
            </w:r>
          </w:p>
        </w:tc>
        <w:tc>
          <w:tcPr>
            <w:tcW w:w="0" w:type="auto"/>
            <w:tcBorders>
              <w:top w:val="nil"/>
              <w:left w:val="single" w:sz="4" w:space="0" w:color="auto"/>
              <w:bottom w:val="nil"/>
              <w:right w:val="nil"/>
            </w:tcBorders>
            <w:shd w:val="clear" w:color="000000" w:fill="FFFFFF"/>
            <w:vAlign w:val="center"/>
            <w:hideMark/>
          </w:tcPr>
          <w:p w14:paraId="5BF848C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303</w:t>
            </w:r>
          </w:p>
        </w:tc>
        <w:tc>
          <w:tcPr>
            <w:tcW w:w="0" w:type="auto"/>
            <w:tcBorders>
              <w:top w:val="nil"/>
              <w:left w:val="nil"/>
              <w:bottom w:val="nil"/>
              <w:right w:val="nil"/>
            </w:tcBorders>
            <w:shd w:val="clear" w:color="000000" w:fill="FFFFFF"/>
            <w:vAlign w:val="center"/>
            <w:hideMark/>
          </w:tcPr>
          <w:p w14:paraId="5F0D9DC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32.54 </w:t>
            </w:r>
          </w:p>
        </w:tc>
        <w:tc>
          <w:tcPr>
            <w:tcW w:w="0" w:type="auto"/>
            <w:tcBorders>
              <w:top w:val="nil"/>
              <w:left w:val="nil"/>
              <w:bottom w:val="nil"/>
              <w:right w:val="nil"/>
            </w:tcBorders>
            <w:shd w:val="clear" w:color="auto" w:fill="auto"/>
            <w:noWrap/>
            <w:vAlign w:val="center"/>
            <w:hideMark/>
          </w:tcPr>
          <w:p w14:paraId="286A320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16.56 </w:t>
            </w:r>
          </w:p>
        </w:tc>
        <w:tc>
          <w:tcPr>
            <w:tcW w:w="0" w:type="auto"/>
            <w:tcBorders>
              <w:top w:val="nil"/>
              <w:left w:val="nil"/>
              <w:bottom w:val="nil"/>
              <w:right w:val="nil"/>
            </w:tcBorders>
            <w:shd w:val="clear" w:color="000000" w:fill="FFFFFF"/>
            <w:vAlign w:val="center"/>
            <w:hideMark/>
          </w:tcPr>
          <w:p w14:paraId="0D0D4D5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1294.8</w:t>
            </w:r>
          </w:p>
        </w:tc>
        <w:tc>
          <w:tcPr>
            <w:tcW w:w="0" w:type="auto"/>
            <w:tcBorders>
              <w:top w:val="nil"/>
              <w:left w:val="nil"/>
              <w:bottom w:val="nil"/>
              <w:right w:val="nil"/>
            </w:tcBorders>
            <w:shd w:val="clear" w:color="000000" w:fill="FFFFFF"/>
            <w:vAlign w:val="center"/>
            <w:hideMark/>
          </w:tcPr>
          <w:p w14:paraId="525D01E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551F126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540 </w:t>
            </w:r>
          </w:p>
        </w:tc>
        <w:tc>
          <w:tcPr>
            <w:tcW w:w="0" w:type="auto"/>
            <w:tcBorders>
              <w:top w:val="nil"/>
              <w:left w:val="single" w:sz="4" w:space="0" w:color="auto"/>
              <w:bottom w:val="nil"/>
              <w:right w:val="nil"/>
            </w:tcBorders>
            <w:shd w:val="clear" w:color="000000" w:fill="FFFFFF"/>
            <w:vAlign w:val="center"/>
            <w:hideMark/>
          </w:tcPr>
          <w:p w14:paraId="24129DB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247</w:t>
            </w:r>
          </w:p>
        </w:tc>
        <w:tc>
          <w:tcPr>
            <w:tcW w:w="0" w:type="auto"/>
            <w:tcBorders>
              <w:top w:val="nil"/>
              <w:left w:val="nil"/>
              <w:bottom w:val="nil"/>
              <w:right w:val="nil"/>
            </w:tcBorders>
            <w:shd w:val="clear" w:color="000000" w:fill="FFFFFF"/>
            <w:vAlign w:val="center"/>
            <w:hideMark/>
          </w:tcPr>
          <w:p w14:paraId="79393F3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29.66 </w:t>
            </w:r>
          </w:p>
        </w:tc>
        <w:tc>
          <w:tcPr>
            <w:tcW w:w="0" w:type="auto"/>
            <w:tcBorders>
              <w:top w:val="nil"/>
              <w:left w:val="nil"/>
              <w:bottom w:val="nil"/>
              <w:right w:val="nil"/>
            </w:tcBorders>
            <w:shd w:val="clear" w:color="auto" w:fill="auto"/>
            <w:noWrap/>
            <w:vAlign w:val="center"/>
            <w:hideMark/>
          </w:tcPr>
          <w:p w14:paraId="243ACA4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12.68 </w:t>
            </w:r>
          </w:p>
        </w:tc>
        <w:tc>
          <w:tcPr>
            <w:tcW w:w="0" w:type="auto"/>
            <w:tcBorders>
              <w:top w:val="nil"/>
              <w:left w:val="nil"/>
              <w:bottom w:val="nil"/>
              <w:right w:val="nil"/>
            </w:tcBorders>
            <w:shd w:val="clear" w:color="000000" w:fill="FFFFFF"/>
            <w:vAlign w:val="center"/>
            <w:hideMark/>
          </w:tcPr>
          <w:p w14:paraId="7E6E6FD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674.4</w:t>
            </w:r>
          </w:p>
        </w:tc>
        <w:tc>
          <w:tcPr>
            <w:tcW w:w="0" w:type="auto"/>
            <w:tcBorders>
              <w:top w:val="nil"/>
              <w:left w:val="nil"/>
              <w:bottom w:val="nil"/>
              <w:right w:val="nil"/>
            </w:tcBorders>
            <w:shd w:val="clear" w:color="000000" w:fill="FFFFFF"/>
            <w:vAlign w:val="center"/>
            <w:hideMark/>
          </w:tcPr>
          <w:p w14:paraId="6DC55C7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4779985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320 </w:t>
            </w:r>
          </w:p>
        </w:tc>
        <w:tc>
          <w:tcPr>
            <w:tcW w:w="0" w:type="auto"/>
            <w:tcBorders>
              <w:top w:val="nil"/>
              <w:left w:val="single" w:sz="4" w:space="0" w:color="auto"/>
              <w:bottom w:val="nil"/>
              <w:right w:val="nil"/>
            </w:tcBorders>
            <w:shd w:val="clear" w:color="auto" w:fill="auto"/>
            <w:noWrap/>
            <w:vAlign w:val="center"/>
            <w:hideMark/>
          </w:tcPr>
          <w:p w14:paraId="1ED67B0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208</w:t>
            </w:r>
          </w:p>
        </w:tc>
        <w:tc>
          <w:tcPr>
            <w:tcW w:w="0" w:type="auto"/>
            <w:tcBorders>
              <w:top w:val="nil"/>
              <w:left w:val="nil"/>
              <w:bottom w:val="nil"/>
              <w:right w:val="nil"/>
            </w:tcBorders>
            <w:shd w:val="clear" w:color="auto" w:fill="auto"/>
            <w:noWrap/>
            <w:vAlign w:val="center"/>
            <w:hideMark/>
          </w:tcPr>
          <w:p w14:paraId="253B911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36.81 </w:t>
            </w:r>
          </w:p>
        </w:tc>
        <w:tc>
          <w:tcPr>
            <w:tcW w:w="0" w:type="auto"/>
            <w:tcBorders>
              <w:top w:val="nil"/>
              <w:left w:val="nil"/>
              <w:bottom w:val="nil"/>
              <w:right w:val="nil"/>
            </w:tcBorders>
            <w:shd w:val="clear" w:color="auto" w:fill="auto"/>
            <w:noWrap/>
            <w:vAlign w:val="center"/>
            <w:hideMark/>
          </w:tcPr>
          <w:p w14:paraId="79390FD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17.59 </w:t>
            </w:r>
          </w:p>
        </w:tc>
        <w:tc>
          <w:tcPr>
            <w:tcW w:w="0" w:type="auto"/>
            <w:tcBorders>
              <w:top w:val="nil"/>
              <w:left w:val="nil"/>
              <w:bottom w:val="nil"/>
              <w:right w:val="nil"/>
            </w:tcBorders>
            <w:shd w:val="clear" w:color="auto" w:fill="auto"/>
            <w:noWrap/>
            <w:vAlign w:val="center"/>
            <w:hideMark/>
          </w:tcPr>
          <w:p w14:paraId="1D22978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821.9</w:t>
            </w:r>
          </w:p>
        </w:tc>
        <w:tc>
          <w:tcPr>
            <w:tcW w:w="0" w:type="auto"/>
            <w:tcBorders>
              <w:top w:val="nil"/>
              <w:left w:val="nil"/>
              <w:bottom w:val="nil"/>
              <w:right w:val="nil"/>
            </w:tcBorders>
            <w:shd w:val="clear" w:color="auto" w:fill="auto"/>
            <w:noWrap/>
            <w:vAlign w:val="center"/>
            <w:hideMark/>
          </w:tcPr>
          <w:p w14:paraId="531D0F9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nil"/>
            </w:tcBorders>
            <w:shd w:val="clear" w:color="auto" w:fill="auto"/>
            <w:noWrap/>
            <w:vAlign w:val="center"/>
            <w:hideMark/>
          </w:tcPr>
          <w:p w14:paraId="1CEC922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500 </w:t>
            </w:r>
          </w:p>
        </w:tc>
      </w:tr>
      <w:tr w:rsidR="00D9465C" w:rsidRPr="005E3FD2" w14:paraId="00947648" w14:textId="77777777" w:rsidTr="00DD0F28">
        <w:tc>
          <w:tcPr>
            <w:tcW w:w="2175" w:type="dxa"/>
            <w:gridSpan w:val="3"/>
            <w:tcBorders>
              <w:top w:val="nil"/>
              <w:left w:val="nil"/>
              <w:bottom w:val="nil"/>
              <w:right w:val="nil"/>
            </w:tcBorders>
            <w:shd w:val="clear" w:color="auto" w:fill="auto"/>
            <w:noWrap/>
            <w:vAlign w:val="center"/>
          </w:tcPr>
          <w:p w14:paraId="111A85A4" w14:textId="77777777" w:rsidR="00D9465C" w:rsidRPr="005E3FD2" w:rsidRDefault="00D9465C" w:rsidP="00DD0F28">
            <w:pPr>
              <w:spacing w:after="20"/>
              <w:rPr>
                <w:b/>
                <w:color w:val="000000"/>
                <w:sz w:val="16"/>
                <w:szCs w:val="16"/>
                <w:lang w:eastAsia="en-NZ"/>
              </w:rPr>
            </w:pPr>
            <w:r w:rsidRPr="005E3FD2">
              <w:rPr>
                <w:b/>
                <w:color w:val="000000"/>
                <w:sz w:val="16"/>
                <w:szCs w:val="16"/>
                <w:lang w:eastAsia="en-NZ"/>
              </w:rPr>
              <w:t>Arrival in New Zealand</w:t>
            </w:r>
          </w:p>
        </w:tc>
        <w:tc>
          <w:tcPr>
            <w:tcW w:w="823" w:type="dxa"/>
            <w:tcBorders>
              <w:top w:val="nil"/>
              <w:left w:val="nil"/>
              <w:bottom w:val="nil"/>
              <w:right w:val="nil"/>
            </w:tcBorders>
            <w:shd w:val="clear" w:color="auto" w:fill="auto"/>
            <w:noWrap/>
            <w:vAlign w:val="center"/>
          </w:tcPr>
          <w:p w14:paraId="41859D26"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3DEA99F7"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6C21666E"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single" w:sz="4" w:space="0" w:color="auto"/>
            </w:tcBorders>
            <w:shd w:val="clear" w:color="000000" w:fill="FFFFFF"/>
            <w:vAlign w:val="center"/>
          </w:tcPr>
          <w:p w14:paraId="586371A9" w14:textId="77777777" w:rsidR="00D9465C" w:rsidRPr="005E3FD2" w:rsidRDefault="00D9465C" w:rsidP="00DD0F28">
            <w:pPr>
              <w:spacing w:after="20"/>
              <w:jc w:val="right"/>
              <w:rPr>
                <w:color w:val="000000"/>
                <w:sz w:val="16"/>
                <w:szCs w:val="16"/>
                <w:lang w:eastAsia="en-NZ"/>
              </w:rPr>
            </w:pPr>
          </w:p>
        </w:tc>
        <w:tc>
          <w:tcPr>
            <w:tcW w:w="0" w:type="auto"/>
            <w:tcBorders>
              <w:top w:val="nil"/>
              <w:left w:val="single" w:sz="4" w:space="0" w:color="auto"/>
              <w:bottom w:val="nil"/>
              <w:right w:val="nil"/>
            </w:tcBorders>
            <w:shd w:val="clear" w:color="000000" w:fill="FFFFFF"/>
            <w:vAlign w:val="center"/>
          </w:tcPr>
          <w:p w14:paraId="7A0C4937"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4461C79B"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76334C43"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2901A712"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3F73136A"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single" w:sz="4" w:space="0" w:color="auto"/>
            </w:tcBorders>
            <w:shd w:val="clear" w:color="000000" w:fill="FFFFFF"/>
            <w:vAlign w:val="center"/>
          </w:tcPr>
          <w:p w14:paraId="3CBC93FD" w14:textId="77777777" w:rsidR="00D9465C" w:rsidRPr="005E3FD2" w:rsidRDefault="00D9465C" w:rsidP="00DD0F28">
            <w:pPr>
              <w:spacing w:after="20"/>
              <w:jc w:val="right"/>
              <w:rPr>
                <w:color w:val="000000"/>
                <w:sz w:val="16"/>
                <w:szCs w:val="16"/>
                <w:lang w:eastAsia="en-NZ"/>
              </w:rPr>
            </w:pPr>
          </w:p>
        </w:tc>
        <w:tc>
          <w:tcPr>
            <w:tcW w:w="0" w:type="auto"/>
            <w:tcBorders>
              <w:top w:val="nil"/>
              <w:left w:val="single" w:sz="4" w:space="0" w:color="auto"/>
              <w:bottom w:val="nil"/>
              <w:right w:val="nil"/>
            </w:tcBorders>
            <w:shd w:val="clear" w:color="000000" w:fill="FFFFFF"/>
            <w:vAlign w:val="center"/>
          </w:tcPr>
          <w:p w14:paraId="29861984"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188DB72B"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0FB8BAC6"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3CE202B7"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458EF694"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single" w:sz="4" w:space="0" w:color="auto"/>
            </w:tcBorders>
            <w:shd w:val="clear" w:color="000000" w:fill="FFFFFF"/>
            <w:vAlign w:val="center"/>
          </w:tcPr>
          <w:p w14:paraId="18966C47" w14:textId="77777777" w:rsidR="00D9465C" w:rsidRPr="005E3FD2" w:rsidRDefault="00D9465C" w:rsidP="00DD0F28">
            <w:pPr>
              <w:spacing w:after="20"/>
              <w:jc w:val="right"/>
              <w:rPr>
                <w:color w:val="000000"/>
                <w:sz w:val="16"/>
                <w:szCs w:val="16"/>
                <w:lang w:eastAsia="en-NZ"/>
              </w:rPr>
            </w:pPr>
          </w:p>
        </w:tc>
        <w:tc>
          <w:tcPr>
            <w:tcW w:w="0" w:type="auto"/>
            <w:tcBorders>
              <w:top w:val="nil"/>
              <w:left w:val="single" w:sz="4" w:space="0" w:color="auto"/>
              <w:bottom w:val="nil"/>
              <w:right w:val="nil"/>
            </w:tcBorders>
            <w:shd w:val="clear" w:color="auto" w:fill="auto"/>
            <w:noWrap/>
            <w:vAlign w:val="center"/>
          </w:tcPr>
          <w:p w14:paraId="5DC49178"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590D92D7"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78C731AC"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0CC97F16"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291D1C2D"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5CCEB221" w14:textId="77777777" w:rsidR="00D9465C" w:rsidRPr="005E3FD2" w:rsidRDefault="00D9465C" w:rsidP="00DD0F28">
            <w:pPr>
              <w:spacing w:after="20"/>
              <w:jc w:val="right"/>
              <w:rPr>
                <w:color w:val="000000"/>
                <w:sz w:val="16"/>
                <w:szCs w:val="16"/>
                <w:lang w:eastAsia="en-NZ"/>
              </w:rPr>
            </w:pPr>
          </w:p>
        </w:tc>
      </w:tr>
      <w:tr w:rsidR="00D9465C" w:rsidRPr="005E3FD2" w14:paraId="33D08F05" w14:textId="77777777" w:rsidTr="00DD0F28">
        <w:tc>
          <w:tcPr>
            <w:tcW w:w="0" w:type="auto"/>
            <w:tcBorders>
              <w:top w:val="nil"/>
              <w:left w:val="nil"/>
              <w:bottom w:val="nil"/>
              <w:right w:val="nil"/>
            </w:tcBorders>
            <w:shd w:val="clear" w:color="auto" w:fill="auto"/>
            <w:noWrap/>
            <w:vAlign w:val="center"/>
            <w:hideMark/>
          </w:tcPr>
          <w:p w14:paraId="5A8A56E9"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NZ Born</w:t>
            </w:r>
          </w:p>
        </w:tc>
        <w:tc>
          <w:tcPr>
            <w:tcW w:w="460" w:type="dxa"/>
            <w:tcBorders>
              <w:top w:val="nil"/>
              <w:left w:val="nil"/>
              <w:bottom w:val="nil"/>
              <w:right w:val="nil"/>
            </w:tcBorders>
            <w:shd w:val="clear" w:color="000000" w:fill="FFFFFF"/>
            <w:vAlign w:val="center"/>
            <w:hideMark/>
          </w:tcPr>
          <w:p w14:paraId="08350FA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718</w:t>
            </w:r>
          </w:p>
        </w:tc>
        <w:tc>
          <w:tcPr>
            <w:tcW w:w="677" w:type="dxa"/>
            <w:tcBorders>
              <w:top w:val="nil"/>
              <w:left w:val="nil"/>
              <w:bottom w:val="nil"/>
              <w:right w:val="nil"/>
            </w:tcBorders>
            <w:shd w:val="clear" w:color="000000" w:fill="FFFFFF"/>
            <w:vAlign w:val="center"/>
            <w:hideMark/>
          </w:tcPr>
          <w:p w14:paraId="76A7156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49.71 </w:t>
            </w:r>
          </w:p>
        </w:tc>
        <w:tc>
          <w:tcPr>
            <w:tcW w:w="823" w:type="dxa"/>
            <w:tcBorders>
              <w:top w:val="nil"/>
              <w:left w:val="nil"/>
              <w:bottom w:val="nil"/>
              <w:right w:val="nil"/>
            </w:tcBorders>
            <w:shd w:val="clear" w:color="auto" w:fill="auto"/>
            <w:noWrap/>
            <w:vAlign w:val="center"/>
            <w:hideMark/>
          </w:tcPr>
          <w:p w14:paraId="02EDA53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17.84 </w:t>
            </w:r>
          </w:p>
        </w:tc>
        <w:tc>
          <w:tcPr>
            <w:tcW w:w="0" w:type="auto"/>
            <w:tcBorders>
              <w:top w:val="nil"/>
              <w:left w:val="nil"/>
              <w:bottom w:val="nil"/>
              <w:right w:val="nil"/>
            </w:tcBorders>
            <w:shd w:val="clear" w:color="000000" w:fill="FFFFFF"/>
            <w:vAlign w:val="center"/>
            <w:hideMark/>
          </w:tcPr>
          <w:p w14:paraId="71E7952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4386.2</w:t>
            </w:r>
          </w:p>
        </w:tc>
        <w:tc>
          <w:tcPr>
            <w:tcW w:w="0" w:type="auto"/>
            <w:tcBorders>
              <w:top w:val="nil"/>
              <w:left w:val="nil"/>
              <w:bottom w:val="nil"/>
              <w:right w:val="nil"/>
            </w:tcBorders>
            <w:shd w:val="clear" w:color="000000" w:fill="FFFFFF"/>
            <w:vAlign w:val="center"/>
            <w:hideMark/>
          </w:tcPr>
          <w:p w14:paraId="5C50F9A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2985F3A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4,500 </w:t>
            </w:r>
          </w:p>
        </w:tc>
        <w:tc>
          <w:tcPr>
            <w:tcW w:w="0" w:type="auto"/>
            <w:tcBorders>
              <w:top w:val="nil"/>
              <w:left w:val="single" w:sz="4" w:space="0" w:color="auto"/>
              <w:bottom w:val="nil"/>
              <w:right w:val="nil"/>
            </w:tcBorders>
            <w:shd w:val="clear" w:color="000000" w:fill="FFFFFF"/>
            <w:vAlign w:val="center"/>
            <w:hideMark/>
          </w:tcPr>
          <w:p w14:paraId="12E116C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348</w:t>
            </w:r>
          </w:p>
        </w:tc>
        <w:tc>
          <w:tcPr>
            <w:tcW w:w="0" w:type="auto"/>
            <w:tcBorders>
              <w:top w:val="nil"/>
              <w:left w:val="nil"/>
              <w:bottom w:val="nil"/>
              <w:right w:val="nil"/>
            </w:tcBorders>
            <w:shd w:val="clear" w:color="000000" w:fill="FFFFFF"/>
            <w:vAlign w:val="center"/>
            <w:hideMark/>
          </w:tcPr>
          <w:p w14:paraId="603474B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40.19 </w:t>
            </w:r>
          </w:p>
        </w:tc>
        <w:tc>
          <w:tcPr>
            <w:tcW w:w="0" w:type="auto"/>
            <w:tcBorders>
              <w:top w:val="nil"/>
              <w:left w:val="nil"/>
              <w:bottom w:val="nil"/>
              <w:right w:val="nil"/>
            </w:tcBorders>
            <w:shd w:val="clear" w:color="auto" w:fill="auto"/>
            <w:noWrap/>
            <w:vAlign w:val="center"/>
            <w:hideMark/>
          </w:tcPr>
          <w:p w14:paraId="576F4E5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17.68 </w:t>
            </w:r>
          </w:p>
        </w:tc>
        <w:tc>
          <w:tcPr>
            <w:tcW w:w="0" w:type="auto"/>
            <w:tcBorders>
              <w:top w:val="nil"/>
              <w:left w:val="nil"/>
              <w:bottom w:val="nil"/>
              <w:right w:val="nil"/>
            </w:tcBorders>
            <w:shd w:val="clear" w:color="000000" w:fill="FFFFFF"/>
            <w:vAlign w:val="center"/>
            <w:hideMark/>
          </w:tcPr>
          <w:p w14:paraId="641CB3E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1459.1</w:t>
            </w:r>
          </w:p>
        </w:tc>
        <w:tc>
          <w:tcPr>
            <w:tcW w:w="0" w:type="auto"/>
            <w:tcBorders>
              <w:top w:val="nil"/>
              <w:left w:val="nil"/>
              <w:bottom w:val="nil"/>
              <w:right w:val="nil"/>
            </w:tcBorders>
            <w:shd w:val="clear" w:color="000000" w:fill="FFFFFF"/>
            <w:vAlign w:val="center"/>
            <w:hideMark/>
          </w:tcPr>
          <w:p w14:paraId="3C2F428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7C18B83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1,200 </w:t>
            </w:r>
          </w:p>
        </w:tc>
        <w:tc>
          <w:tcPr>
            <w:tcW w:w="0" w:type="auto"/>
            <w:tcBorders>
              <w:top w:val="nil"/>
              <w:left w:val="single" w:sz="4" w:space="0" w:color="auto"/>
              <w:bottom w:val="nil"/>
              <w:right w:val="nil"/>
            </w:tcBorders>
            <w:shd w:val="clear" w:color="000000" w:fill="FFFFFF"/>
            <w:vAlign w:val="center"/>
            <w:hideMark/>
          </w:tcPr>
          <w:p w14:paraId="5B60217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270</w:t>
            </w:r>
          </w:p>
        </w:tc>
        <w:tc>
          <w:tcPr>
            <w:tcW w:w="0" w:type="auto"/>
            <w:tcBorders>
              <w:top w:val="nil"/>
              <w:left w:val="nil"/>
              <w:bottom w:val="nil"/>
              <w:right w:val="nil"/>
            </w:tcBorders>
            <w:shd w:val="clear" w:color="000000" w:fill="FFFFFF"/>
            <w:vAlign w:val="center"/>
            <w:hideMark/>
          </w:tcPr>
          <w:p w14:paraId="11F1E75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35.28 </w:t>
            </w:r>
          </w:p>
        </w:tc>
        <w:tc>
          <w:tcPr>
            <w:tcW w:w="0" w:type="auto"/>
            <w:tcBorders>
              <w:top w:val="nil"/>
              <w:left w:val="nil"/>
              <w:bottom w:val="nil"/>
              <w:right w:val="nil"/>
            </w:tcBorders>
            <w:shd w:val="clear" w:color="auto" w:fill="auto"/>
            <w:noWrap/>
            <w:vAlign w:val="center"/>
            <w:hideMark/>
          </w:tcPr>
          <w:p w14:paraId="0845E00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17.15 </w:t>
            </w:r>
          </w:p>
        </w:tc>
        <w:tc>
          <w:tcPr>
            <w:tcW w:w="0" w:type="auto"/>
            <w:tcBorders>
              <w:top w:val="nil"/>
              <w:left w:val="nil"/>
              <w:bottom w:val="nil"/>
              <w:right w:val="nil"/>
            </w:tcBorders>
            <w:shd w:val="clear" w:color="000000" w:fill="FFFFFF"/>
            <w:vAlign w:val="center"/>
            <w:hideMark/>
          </w:tcPr>
          <w:p w14:paraId="7BAF84E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824.4</w:t>
            </w:r>
          </w:p>
        </w:tc>
        <w:tc>
          <w:tcPr>
            <w:tcW w:w="0" w:type="auto"/>
            <w:tcBorders>
              <w:top w:val="nil"/>
              <w:left w:val="nil"/>
              <w:bottom w:val="nil"/>
              <w:right w:val="nil"/>
            </w:tcBorders>
            <w:shd w:val="clear" w:color="000000" w:fill="FFFFFF"/>
            <w:vAlign w:val="center"/>
            <w:hideMark/>
          </w:tcPr>
          <w:p w14:paraId="178AFD3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4A20282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450 </w:t>
            </w:r>
          </w:p>
        </w:tc>
        <w:tc>
          <w:tcPr>
            <w:tcW w:w="0" w:type="auto"/>
            <w:tcBorders>
              <w:top w:val="nil"/>
              <w:left w:val="single" w:sz="4" w:space="0" w:color="auto"/>
              <w:bottom w:val="nil"/>
              <w:right w:val="nil"/>
            </w:tcBorders>
            <w:shd w:val="clear" w:color="auto" w:fill="auto"/>
            <w:noWrap/>
            <w:vAlign w:val="center"/>
            <w:hideMark/>
          </w:tcPr>
          <w:p w14:paraId="4EB03FF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234</w:t>
            </w:r>
          </w:p>
        </w:tc>
        <w:tc>
          <w:tcPr>
            <w:tcW w:w="0" w:type="auto"/>
            <w:tcBorders>
              <w:top w:val="nil"/>
              <w:left w:val="nil"/>
              <w:bottom w:val="nil"/>
              <w:right w:val="nil"/>
            </w:tcBorders>
            <w:shd w:val="clear" w:color="auto" w:fill="auto"/>
            <w:noWrap/>
            <w:vAlign w:val="center"/>
            <w:hideMark/>
          </w:tcPr>
          <w:p w14:paraId="5A92FFF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42.74 </w:t>
            </w:r>
          </w:p>
        </w:tc>
        <w:tc>
          <w:tcPr>
            <w:tcW w:w="0" w:type="auto"/>
            <w:tcBorders>
              <w:top w:val="nil"/>
              <w:left w:val="nil"/>
              <w:bottom w:val="nil"/>
              <w:right w:val="nil"/>
            </w:tcBorders>
            <w:shd w:val="clear" w:color="auto" w:fill="auto"/>
            <w:noWrap/>
            <w:vAlign w:val="center"/>
            <w:hideMark/>
          </w:tcPr>
          <w:p w14:paraId="5472454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17.47 </w:t>
            </w:r>
          </w:p>
        </w:tc>
        <w:tc>
          <w:tcPr>
            <w:tcW w:w="0" w:type="auto"/>
            <w:tcBorders>
              <w:top w:val="nil"/>
              <w:left w:val="nil"/>
              <w:bottom w:val="nil"/>
              <w:right w:val="nil"/>
            </w:tcBorders>
            <w:shd w:val="clear" w:color="auto" w:fill="auto"/>
            <w:noWrap/>
            <w:vAlign w:val="center"/>
            <w:hideMark/>
          </w:tcPr>
          <w:p w14:paraId="3ED9790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1429.9</w:t>
            </w:r>
          </w:p>
        </w:tc>
        <w:tc>
          <w:tcPr>
            <w:tcW w:w="0" w:type="auto"/>
            <w:tcBorders>
              <w:top w:val="nil"/>
              <w:left w:val="nil"/>
              <w:bottom w:val="nil"/>
              <w:right w:val="nil"/>
            </w:tcBorders>
            <w:shd w:val="clear" w:color="auto" w:fill="auto"/>
            <w:noWrap/>
            <w:vAlign w:val="center"/>
            <w:hideMark/>
          </w:tcPr>
          <w:p w14:paraId="380419F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nil"/>
            </w:tcBorders>
            <w:shd w:val="clear" w:color="auto" w:fill="auto"/>
            <w:noWrap/>
            <w:vAlign w:val="center"/>
            <w:hideMark/>
          </w:tcPr>
          <w:p w14:paraId="1065FE1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1,200 </w:t>
            </w:r>
          </w:p>
        </w:tc>
      </w:tr>
      <w:tr w:rsidR="00D9465C" w:rsidRPr="005E3FD2" w14:paraId="7F239A73" w14:textId="77777777" w:rsidTr="00DD0F28">
        <w:tc>
          <w:tcPr>
            <w:tcW w:w="0" w:type="auto"/>
            <w:tcBorders>
              <w:top w:val="nil"/>
              <w:left w:val="nil"/>
              <w:bottom w:val="nil"/>
              <w:right w:val="nil"/>
            </w:tcBorders>
            <w:shd w:val="clear" w:color="auto" w:fill="auto"/>
            <w:noWrap/>
            <w:vAlign w:val="center"/>
            <w:hideMark/>
          </w:tcPr>
          <w:p w14:paraId="630B792C"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Before 2008</w:t>
            </w:r>
          </w:p>
        </w:tc>
        <w:tc>
          <w:tcPr>
            <w:tcW w:w="460" w:type="dxa"/>
            <w:tcBorders>
              <w:top w:val="nil"/>
              <w:left w:val="nil"/>
              <w:bottom w:val="nil"/>
              <w:right w:val="nil"/>
            </w:tcBorders>
            <w:shd w:val="clear" w:color="000000" w:fill="FFFFFF"/>
            <w:vAlign w:val="center"/>
            <w:hideMark/>
          </w:tcPr>
          <w:p w14:paraId="4A347C5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128</w:t>
            </w:r>
          </w:p>
        </w:tc>
        <w:tc>
          <w:tcPr>
            <w:tcW w:w="677" w:type="dxa"/>
            <w:tcBorders>
              <w:top w:val="nil"/>
              <w:left w:val="nil"/>
              <w:bottom w:val="nil"/>
              <w:right w:val="nil"/>
            </w:tcBorders>
            <w:shd w:val="clear" w:color="000000" w:fill="FFFFFF"/>
            <w:vAlign w:val="center"/>
            <w:hideMark/>
          </w:tcPr>
          <w:p w14:paraId="5A92793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54.78 </w:t>
            </w:r>
          </w:p>
        </w:tc>
        <w:tc>
          <w:tcPr>
            <w:tcW w:w="823" w:type="dxa"/>
            <w:tcBorders>
              <w:top w:val="nil"/>
              <w:left w:val="nil"/>
              <w:bottom w:val="nil"/>
              <w:right w:val="nil"/>
            </w:tcBorders>
            <w:shd w:val="clear" w:color="auto" w:fill="auto"/>
            <w:noWrap/>
            <w:vAlign w:val="center"/>
            <w:hideMark/>
          </w:tcPr>
          <w:p w14:paraId="4040C62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18.02 </w:t>
            </w:r>
          </w:p>
        </w:tc>
        <w:tc>
          <w:tcPr>
            <w:tcW w:w="0" w:type="auto"/>
            <w:tcBorders>
              <w:top w:val="nil"/>
              <w:left w:val="nil"/>
              <w:bottom w:val="nil"/>
              <w:right w:val="nil"/>
            </w:tcBorders>
            <w:shd w:val="clear" w:color="000000" w:fill="FFFFFF"/>
            <w:vAlign w:val="center"/>
            <w:hideMark/>
          </w:tcPr>
          <w:p w14:paraId="0FFEFFE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1509.2</w:t>
            </w:r>
          </w:p>
        </w:tc>
        <w:tc>
          <w:tcPr>
            <w:tcW w:w="0" w:type="auto"/>
            <w:tcBorders>
              <w:top w:val="nil"/>
              <w:left w:val="nil"/>
              <w:bottom w:val="nil"/>
              <w:right w:val="nil"/>
            </w:tcBorders>
            <w:shd w:val="clear" w:color="000000" w:fill="FFFFFF"/>
            <w:vAlign w:val="center"/>
            <w:hideMark/>
          </w:tcPr>
          <w:p w14:paraId="44AC98D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 </w:t>
            </w:r>
          </w:p>
        </w:tc>
        <w:tc>
          <w:tcPr>
            <w:tcW w:w="0" w:type="auto"/>
            <w:tcBorders>
              <w:top w:val="nil"/>
              <w:left w:val="nil"/>
              <w:bottom w:val="nil"/>
              <w:right w:val="single" w:sz="4" w:space="0" w:color="auto"/>
            </w:tcBorders>
            <w:shd w:val="clear" w:color="000000" w:fill="FFFFFF"/>
            <w:vAlign w:val="center"/>
            <w:hideMark/>
          </w:tcPr>
          <w:p w14:paraId="2C711C7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1,400 </w:t>
            </w:r>
          </w:p>
        </w:tc>
        <w:tc>
          <w:tcPr>
            <w:tcW w:w="0" w:type="auto"/>
            <w:tcBorders>
              <w:top w:val="nil"/>
              <w:left w:val="single" w:sz="4" w:space="0" w:color="auto"/>
              <w:bottom w:val="nil"/>
              <w:right w:val="nil"/>
            </w:tcBorders>
            <w:shd w:val="clear" w:color="000000" w:fill="FFFFFF"/>
            <w:vAlign w:val="center"/>
            <w:hideMark/>
          </w:tcPr>
          <w:p w14:paraId="0A5EEF2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55</w:t>
            </w:r>
          </w:p>
        </w:tc>
        <w:tc>
          <w:tcPr>
            <w:tcW w:w="0" w:type="auto"/>
            <w:tcBorders>
              <w:top w:val="nil"/>
              <w:left w:val="nil"/>
              <w:bottom w:val="nil"/>
              <w:right w:val="nil"/>
            </w:tcBorders>
            <w:shd w:val="clear" w:color="000000" w:fill="FFFFFF"/>
            <w:vAlign w:val="center"/>
            <w:hideMark/>
          </w:tcPr>
          <w:p w14:paraId="770A96A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51.81 </w:t>
            </w:r>
          </w:p>
        </w:tc>
        <w:tc>
          <w:tcPr>
            <w:tcW w:w="0" w:type="auto"/>
            <w:tcBorders>
              <w:top w:val="nil"/>
              <w:left w:val="nil"/>
              <w:bottom w:val="nil"/>
              <w:right w:val="nil"/>
            </w:tcBorders>
            <w:shd w:val="clear" w:color="auto" w:fill="auto"/>
            <w:noWrap/>
            <w:vAlign w:val="center"/>
            <w:hideMark/>
          </w:tcPr>
          <w:p w14:paraId="6C42171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15.26 </w:t>
            </w:r>
          </w:p>
        </w:tc>
        <w:tc>
          <w:tcPr>
            <w:tcW w:w="0" w:type="auto"/>
            <w:tcBorders>
              <w:top w:val="nil"/>
              <w:left w:val="nil"/>
              <w:bottom w:val="nil"/>
              <w:right w:val="nil"/>
            </w:tcBorders>
            <w:shd w:val="clear" w:color="000000" w:fill="FFFFFF"/>
            <w:vAlign w:val="center"/>
            <w:hideMark/>
          </w:tcPr>
          <w:p w14:paraId="3E7D0E4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410.2</w:t>
            </w:r>
          </w:p>
        </w:tc>
        <w:tc>
          <w:tcPr>
            <w:tcW w:w="0" w:type="auto"/>
            <w:tcBorders>
              <w:top w:val="nil"/>
              <w:left w:val="nil"/>
              <w:bottom w:val="nil"/>
              <w:right w:val="nil"/>
            </w:tcBorders>
            <w:shd w:val="clear" w:color="000000" w:fill="FFFFFF"/>
            <w:vAlign w:val="center"/>
            <w:hideMark/>
          </w:tcPr>
          <w:p w14:paraId="5E9A48F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 </w:t>
            </w:r>
          </w:p>
        </w:tc>
        <w:tc>
          <w:tcPr>
            <w:tcW w:w="0" w:type="auto"/>
            <w:tcBorders>
              <w:top w:val="nil"/>
              <w:left w:val="nil"/>
              <w:bottom w:val="nil"/>
              <w:right w:val="single" w:sz="4" w:space="0" w:color="auto"/>
            </w:tcBorders>
            <w:shd w:val="clear" w:color="000000" w:fill="FFFFFF"/>
            <w:vAlign w:val="center"/>
            <w:hideMark/>
          </w:tcPr>
          <w:p w14:paraId="5FEDC68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2,850 </w:t>
            </w:r>
          </w:p>
        </w:tc>
        <w:tc>
          <w:tcPr>
            <w:tcW w:w="0" w:type="auto"/>
            <w:tcBorders>
              <w:top w:val="nil"/>
              <w:left w:val="single" w:sz="4" w:space="0" w:color="auto"/>
              <w:bottom w:val="nil"/>
              <w:right w:val="nil"/>
            </w:tcBorders>
            <w:shd w:val="clear" w:color="000000" w:fill="FFFFFF"/>
            <w:vAlign w:val="center"/>
            <w:hideMark/>
          </w:tcPr>
          <w:p w14:paraId="3FE7107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54</w:t>
            </w:r>
          </w:p>
        </w:tc>
        <w:tc>
          <w:tcPr>
            <w:tcW w:w="0" w:type="auto"/>
            <w:tcBorders>
              <w:top w:val="nil"/>
              <w:left w:val="nil"/>
              <w:bottom w:val="nil"/>
              <w:right w:val="nil"/>
            </w:tcBorders>
            <w:shd w:val="clear" w:color="000000" w:fill="FFFFFF"/>
            <w:vAlign w:val="center"/>
            <w:hideMark/>
          </w:tcPr>
          <w:p w14:paraId="1E6FD87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34.01 </w:t>
            </w:r>
          </w:p>
        </w:tc>
        <w:tc>
          <w:tcPr>
            <w:tcW w:w="0" w:type="auto"/>
            <w:tcBorders>
              <w:top w:val="nil"/>
              <w:left w:val="nil"/>
              <w:bottom w:val="nil"/>
              <w:right w:val="nil"/>
            </w:tcBorders>
            <w:shd w:val="clear" w:color="auto" w:fill="auto"/>
            <w:noWrap/>
            <w:vAlign w:val="center"/>
            <w:hideMark/>
          </w:tcPr>
          <w:p w14:paraId="43CFECE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14.24 </w:t>
            </w:r>
          </w:p>
        </w:tc>
        <w:tc>
          <w:tcPr>
            <w:tcW w:w="0" w:type="auto"/>
            <w:tcBorders>
              <w:top w:val="nil"/>
              <w:left w:val="nil"/>
              <w:bottom w:val="nil"/>
              <w:right w:val="nil"/>
            </w:tcBorders>
            <w:shd w:val="clear" w:color="000000" w:fill="FFFFFF"/>
            <w:vAlign w:val="center"/>
            <w:hideMark/>
          </w:tcPr>
          <w:p w14:paraId="1AC1139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257.5</w:t>
            </w:r>
          </w:p>
        </w:tc>
        <w:tc>
          <w:tcPr>
            <w:tcW w:w="0" w:type="auto"/>
            <w:tcBorders>
              <w:top w:val="nil"/>
              <w:left w:val="nil"/>
              <w:bottom w:val="nil"/>
              <w:right w:val="nil"/>
            </w:tcBorders>
            <w:shd w:val="clear" w:color="000000" w:fill="FFFFFF"/>
            <w:vAlign w:val="center"/>
            <w:hideMark/>
          </w:tcPr>
          <w:p w14:paraId="7C1888D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 </w:t>
            </w:r>
          </w:p>
        </w:tc>
        <w:tc>
          <w:tcPr>
            <w:tcW w:w="0" w:type="auto"/>
            <w:tcBorders>
              <w:top w:val="nil"/>
              <w:left w:val="nil"/>
              <w:bottom w:val="nil"/>
              <w:right w:val="single" w:sz="4" w:space="0" w:color="auto"/>
            </w:tcBorders>
            <w:shd w:val="clear" w:color="000000" w:fill="FFFFFF"/>
            <w:vAlign w:val="center"/>
            <w:hideMark/>
          </w:tcPr>
          <w:p w14:paraId="5446F19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800 </w:t>
            </w:r>
          </w:p>
        </w:tc>
        <w:tc>
          <w:tcPr>
            <w:tcW w:w="0" w:type="auto"/>
            <w:tcBorders>
              <w:top w:val="nil"/>
              <w:left w:val="single" w:sz="4" w:space="0" w:color="auto"/>
              <w:bottom w:val="nil"/>
              <w:right w:val="nil"/>
            </w:tcBorders>
            <w:shd w:val="clear" w:color="auto" w:fill="auto"/>
            <w:noWrap/>
            <w:vAlign w:val="center"/>
            <w:hideMark/>
          </w:tcPr>
          <w:p w14:paraId="40AF9C0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43</w:t>
            </w:r>
          </w:p>
        </w:tc>
        <w:tc>
          <w:tcPr>
            <w:tcW w:w="0" w:type="auto"/>
            <w:tcBorders>
              <w:top w:val="nil"/>
              <w:left w:val="nil"/>
              <w:bottom w:val="nil"/>
              <w:right w:val="nil"/>
            </w:tcBorders>
            <w:shd w:val="clear" w:color="auto" w:fill="auto"/>
            <w:noWrap/>
            <w:vAlign w:val="center"/>
            <w:hideMark/>
          </w:tcPr>
          <w:p w14:paraId="2C02894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38.32 </w:t>
            </w:r>
          </w:p>
        </w:tc>
        <w:tc>
          <w:tcPr>
            <w:tcW w:w="0" w:type="auto"/>
            <w:tcBorders>
              <w:top w:val="nil"/>
              <w:left w:val="nil"/>
              <w:bottom w:val="nil"/>
              <w:right w:val="nil"/>
            </w:tcBorders>
            <w:shd w:val="clear" w:color="auto" w:fill="auto"/>
            <w:noWrap/>
            <w:vAlign w:val="center"/>
            <w:hideMark/>
          </w:tcPr>
          <w:p w14:paraId="7859012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18.76 </w:t>
            </w:r>
          </w:p>
        </w:tc>
        <w:tc>
          <w:tcPr>
            <w:tcW w:w="0" w:type="auto"/>
            <w:tcBorders>
              <w:top w:val="nil"/>
              <w:left w:val="nil"/>
              <w:bottom w:val="nil"/>
              <w:right w:val="nil"/>
            </w:tcBorders>
            <w:shd w:val="clear" w:color="auto" w:fill="auto"/>
            <w:noWrap/>
            <w:vAlign w:val="center"/>
            <w:hideMark/>
          </w:tcPr>
          <w:p w14:paraId="098DC38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252.7</w:t>
            </w:r>
          </w:p>
        </w:tc>
        <w:tc>
          <w:tcPr>
            <w:tcW w:w="0" w:type="auto"/>
            <w:tcBorders>
              <w:top w:val="nil"/>
              <w:left w:val="nil"/>
              <w:bottom w:val="nil"/>
              <w:right w:val="nil"/>
            </w:tcBorders>
            <w:shd w:val="clear" w:color="auto" w:fill="auto"/>
            <w:noWrap/>
            <w:vAlign w:val="center"/>
            <w:hideMark/>
          </w:tcPr>
          <w:p w14:paraId="1E93F3A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 </w:t>
            </w:r>
          </w:p>
        </w:tc>
        <w:tc>
          <w:tcPr>
            <w:tcW w:w="0" w:type="auto"/>
            <w:tcBorders>
              <w:top w:val="nil"/>
              <w:left w:val="nil"/>
              <w:bottom w:val="nil"/>
              <w:right w:val="nil"/>
            </w:tcBorders>
            <w:shd w:val="clear" w:color="auto" w:fill="auto"/>
            <w:noWrap/>
            <w:vAlign w:val="center"/>
            <w:hideMark/>
          </w:tcPr>
          <w:p w14:paraId="2CF6478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800 </w:t>
            </w:r>
          </w:p>
        </w:tc>
      </w:tr>
      <w:tr w:rsidR="00D9465C" w:rsidRPr="005E3FD2" w14:paraId="3A9E70A9" w14:textId="77777777" w:rsidTr="00DD0F28">
        <w:tc>
          <w:tcPr>
            <w:tcW w:w="0" w:type="auto"/>
            <w:tcBorders>
              <w:top w:val="nil"/>
              <w:left w:val="nil"/>
              <w:bottom w:val="nil"/>
              <w:right w:val="nil"/>
            </w:tcBorders>
            <w:shd w:val="clear" w:color="auto" w:fill="auto"/>
            <w:noWrap/>
            <w:vAlign w:val="center"/>
            <w:hideMark/>
          </w:tcPr>
          <w:p w14:paraId="13E930C1"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Since 2008</w:t>
            </w:r>
          </w:p>
        </w:tc>
        <w:tc>
          <w:tcPr>
            <w:tcW w:w="460" w:type="dxa"/>
            <w:tcBorders>
              <w:top w:val="nil"/>
              <w:left w:val="nil"/>
              <w:bottom w:val="nil"/>
              <w:right w:val="nil"/>
            </w:tcBorders>
            <w:shd w:val="clear" w:color="000000" w:fill="FFFFFF"/>
            <w:vAlign w:val="center"/>
            <w:hideMark/>
          </w:tcPr>
          <w:p w14:paraId="7400231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9</w:t>
            </w:r>
          </w:p>
        </w:tc>
        <w:tc>
          <w:tcPr>
            <w:tcW w:w="677" w:type="dxa"/>
            <w:tcBorders>
              <w:top w:val="nil"/>
              <w:left w:val="nil"/>
              <w:bottom w:val="nil"/>
              <w:right w:val="nil"/>
            </w:tcBorders>
            <w:shd w:val="clear" w:color="000000" w:fill="FFFFFF"/>
            <w:vAlign w:val="center"/>
            <w:hideMark/>
          </w:tcPr>
          <w:p w14:paraId="444E43E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55.28 </w:t>
            </w:r>
          </w:p>
        </w:tc>
        <w:tc>
          <w:tcPr>
            <w:tcW w:w="823" w:type="dxa"/>
            <w:tcBorders>
              <w:top w:val="nil"/>
              <w:left w:val="nil"/>
              <w:bottom w:val="nil"/>
              <w:right w:val="nil"/>
            </w:tcBorders>
            <w:shd w:val="clear" w:color="auto" w:fill="auto"/>
            <w:noWrap/>
            <w:vAlign w:val="center"/>
            <w:hideMark/>
          </w:tcPr>
          <w:p w14:paraId="098FD12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11.76 </w:t>
            </w:r>
          </w:p>
        </w:tc>
        <w:tc>
          <w:tcPr>
            <w:tcW w:w="0" w:type="auto"/>
            <w:tcBorders>
              <w:top w:val="nil"/>
              <w:left w:val="nil"/>
              <w:bottom w:val="nil"/>
              <w:right w:val="nil"/>
            </w:tcBorders>
            <w:shd w:val="clear" w:color="000000" w:fill="FFFFFF"/>
            <w:vAlign w:val="center"/>
            <w:hideMark/>
          </w:tcPr>
          <w:p w14:paraId="6D57B60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219.5</w:t>
            </w:r>
          </w:p>
        </w:tc>
        <w:tc>
          <w:tcPr>
            <w:tcW w:w="0" w:type="auto"/>
            <w:tcBorders>
              <w:top w:val="nil"/>
              <w:left w:val="nil"/>
              <w:bottom w:val="nil"/>
              <w:right w:val="nil"/>
            </w:tcBorders>
            <w:shd w:val="clear" w:color="000000" w:fill="FFFFFF"/>
            <w:vAlign w:val="center"/>
            <w:hideMark/>
          </w:tcPr>
          <w:p w14:paraId="58EE59B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 </w:t>
            </w:r>
          </w:p>
        </w:tc>
        <w:tc>
          <w:tcPr>
            <w:tcW w:w="0" w:type="auto"/>
            <w:tcBorders>
              <w:top w:val="nil"/>
              <w:left w:val="nil"/>
              <w:bottom w:val="nil"/>
              <w:right w:val="single" w:sz="4" w:space="0" w:color="auto"/>
            </w:tcBorders>
            <w:shd w:val="clear" w:color="000000" w:fill="FFFFFF"/>
            <w:vAlign w:val="center"/>
            <w:hideMark/>
          </w:tcPr>
          <w:p w14:paraId="4AF3DBF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250 </w:t>
            </w:r>
          </w:p>
        </w:tc>
        <w:tc>
          <w:tcPr>
            <w:tcW w:w="0" w:type="auto"/>
            <w:tcBorders>
              <w:top w:val="nil"/>
              <w:left w:val="single" w:sz="4" w:space="0" w:color="auto"/>
              <w:bottom w:val="nil"/>
              <w:right w:val="nil"/>
            </w:tcBorders>
            <w:shd w:val="clear" w:color="000000" w:fill="FFFFFF"/>
            <w:vAlign w:val="center"/>
            <w:hideMark/>
          </w:tcPr>
          <w:p w14:paraId="0849F4C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w:t>
            </w:r>
          </w:p>
        </w:tc>
        <w:tc>
          <w:tcPr>
            <w:tcW w:w="0" w:type="auto"/>
            <w:tcBorders>
              <w:top w:val="nil"/>
              <w:left w:val="nil"/>
              <w:bottom w:val="nil"/>
              <w:right w:val="nil"/>
            </w:tcBorders>
            <w:shd w:val="clear" w:color="000000" w:fill="FFFFFF"/>
            <w:vAlign w:val="center"/>
            <w:hideMark/>
          </w:tcPr>
          <w:p w14:paraId="183F9D8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6.56 </w:t>
            </w:r>
          </w:p>
        </w:tc>
        <w:tc>
          <w:tcPr>
            <w:tcW w:w="0" w:type="auto"/>
            <w:tcBorders>
              <w:top w:val="nil"/>
              <w:left w:val="nil"/>
              <w:bottom w:val="nil"/>
              <w:right w:val="nil"/>
            </w:tcBorders>
            <w:shd w:val="clear" w:color="000000" w:fill="FFFFFF"/>
            <w:vAlign w:val="center"/>
            <w:hideMark/>
          </w:tcPr>
          <w:p w14:paraId="5B8A2E5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5.00 </w:t>
            </w:r>
          </w:p>
        </w:tc>
        <w:tc>
          <w:tcPr>
            <w:tcW w:w="0" w:type="auto"/>
            <w:tcBorders>
              <w:top w:val="nil"/>
              <w:left w:val="nil"/>
              <w:bottom w:val="nil"/>
              <w:right w:val="nil"/>
            </w:tcBorders>
            <w:shd w:val="clear" w:color="000000" w:fill="FFFFFF"/>
            <w:vAlign w:val="center"/>
            <w:hideMark/>
          </w:tcPr>
          <w:p w14:paraId="5F20763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3.2</w:t>
            </w:r>
          </w:p>
        </w:tc>
        <w:tc>
          <w:tcPr>
            <w:tcW w:w="0" w:type="auto"/>
            <w:tcBorders>
              <w:top w:val="nil"/>
              <w:left w:val="nil"/>
              <w:bottom w:val="nil"/>
              <w:right w:val="nil"/>
            </w:tcBorders>
            <w:shd w:val="clear" w:color="000000" w:fill="FFFFFF"/>
            <w:vAlign w:val="center"/>
            <w:hideMark/>
          </w:tcPr>
          <w:p w14:paraId="7B6478D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 </w:t>
            </w:r>
          </w:p>
        </w:tc>
        <w:tc>
          <w:tcPr>
            <w:tcW w:w="0" w:type="auto"/>
            <w:tcBorders>
              <w:top w:val="nil"/>
              <w:left w:val="nil"/>
              <w:bottom w:val="nil"/>
              <w:right w:val="single" w:sz="4" w:space="0" w:color="auto"/>
            </w:tcBorders>
            <w:shd w:val="clear" w:color="000000" w:fill="FFFFFF"/>
            <w:vAlign w:val="center"/>
            <w:hideMark/>
          </w:tcPr>
          <w:p w14:paraId="587DC8C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10 </w:t>
            </w:r>
          </w:p>
        </w:tc>
        <w:tc>
          <w:tcPr>
            <w:tcW w:w="0" w:type="auto"/>
            <w:tcBorders>
              <w:top w:val="nil"/>
              <w:left w:val="single" w:sz="4" w:space="0" w:color="auto"/>
              <w:bottom w:val="nil"/>
              <w:right w:val="nil"/>
            </w:tcBorders>
            <w:shd w:val="clear" w:color="000000" w:fill="FFFFFF"/>
            <w:vAlign w:val="center"/>
            <w:hideMark/>
          </w:tcPr>
          <w:p w14:paraId="6C8C0B9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w:t>
            </w:r>
          </w:p>
        </w:tc>
        <w:tc>
          <w:tcPr>
            <w:tcW w:w="0" w:type="auto"/>
            <w:tcBorders>
              <w:top w:val="nil"/>
              <w:left w:val="nil"/>
              <w:bottom w:val="nil"/>
              <w:right w:val="nil"/>
            </w:tcBorders>
            <w:shd w:val="clear" w:color="000000" w:fill="FFFFFF"/>
            <w:vAlign w:val="center"/>
            <w:hideMark/>
          </w:tcPr>
          <w:p w14:paraId="53A5EB3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29.56 </w:t>
            </w:r>
          </w:p>
        </w:tc>
        <w:tc>
          <w:tcPr>
            <w:tcW w:w="0" w:type="auto"/>
            <w:tcBorders>
              <w:top w:val="nil"/>
              <w:left w:val="nil"/>
              <w:bottom w:val="nil"/>
              <w:right w:val="nil"/>
            </w:tcBorders>
            <w:shd w:val="clear" w:color="000000" w:fill="FFFFFF"/>
            <w:vAlign w:val="center"/>
            <w:hideMark/>
          </w:tcPr>
          <w:p w14:paraId="1F3D4F8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20.00 </w:t>
            </w:r>
          </w:p>
        </w:tc>
        <w:tc>
          <w:tcPr>
            <w:tcW w:w="0" w:type="auto"/>
            <w:tcBorders>
              <w:top w:val="nil"/>
              <w:left w:val="nil"/>
              <w:bottom w:val="nil"/>
              <w:right w:val="nil"/>
            </w:tcBorders>
            <w:shd w:val="clear" w:color="000000" w:fill="FFFFFF"/>
            <w:vAlign w:val="center"/>
            <w:hideMark/>
          </w:tcPr>
          <w:p w14:paraId="0E21EBB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w:t>
            </w:r>
          </w:p>
        </w:tc>
        <w:tc>
          <w:tcPr>
            <w:tcW w:w="0" w:type="auto"/>
            <w:tcBorders>
              <w:top w:val="nil"/>
              <w:left w:val="nil"/>
              <w:bottom w:val="nil"/>
              <w:right w:val="nil"/>
            </w:tcBorders>
            <w:shd w:val="clear" w:color="000000" w:fill="FFFFFF"/>
            <w:vAlign w:val="center"/>
            <w:hideMark/>
          </w:tcPr>
          <w:p w14:paraId="465D230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20 </w:t>
            </w:r>
          </w:p>
        </w:tc>
        <w:tc>
          <w:tcPr>
            <w:tcW w:w="0" w:type="auto"/>
            <w:tcBorders>
              <w:top w:val="nil"/>
              <w:left w:val="nil"/>
              <w:bottom w:val="nil"/>
              <w:right w:val="single" w:sz="4" w:space="0" w:color="auto"/>
            </w:tcBorders>
            <w:shd w:val="clear" w:color="000000" w:fill="FFFFFF"/>
            <w:vAlign w:val="center"/>
            <w:hideMark/>
          </w:tcPr>
          <w:p w14:paraId="7E16737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40 </w:t>
            </w:r>
          </w:p>
        </w:tc>
        <w:tc>
          <w:tcPr>
            <w:tcW w:w="0" w:type="auto"/>
            <w:tcBorders>
              <w:top w:val="nil"/>
              <w:left w:val="single" w:sz="4" w:space="0" w:color="auto"/>
              <w:bottom w:val="nil"/>
              <w:right w:val="nil"/>
            </w:tcBorders>
            <w:shd w:val="clear" w:color="auto" w:fill="auto"/>
            <w:noWrap/>
            <w:vAlign w:val="center"/>
            <w:hideMark/>
          </w:tcPr>
          <w:p w14:paraId="3E57F8C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w:t>
            </w:r>
          </w:p>
        </w:tc>
        <w:tc>
          <w:tcPr>
            <w:tcW w:w="0" w:type="auto"/>
            <w:tcBorders>
              <w:top w:val="nil"/>
              <w:left w:val="nil"/>
              <w:bottom w:val="nil"/>
              <w:right w:val="nil"/>
            </w:tcBorders>
            <w:shd w:val="clear" w:color="auto" w:fill="auto"/>
            <w:noWrap/>
            <w:vAlign w:val="center"/>
            <w:hideMark/>
          </w:tcPr>
          <w:p w14:paraId="4FF03A8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14.75 </w:t>
            </w:r>
          </w:p>
        </w:tc>
        <w:tc>
          <w:tcPr>
            <w:tcW w:w="0" w:type="auto"/>
            <w:tcBorders>
              <w:top w:val="nil"/>
              <w:left w:val="nil"/>
              <w:bottom w:val="nil"/>
              <w:right w:val="nil"/>
            </w:tcBorders>
            <w:shd w:val="clear" w:color="auto" w:fill="auto"/>
            <w:noWrap/>
            <w:vAlign w:val="center"/>
            <w:hideMark/>
          </w:tcPr>
          <w:p w14:paraId="4E01D1B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10.00 </w:t>
            </w:r>
          </w:p>
        </w:tc>
        <w:tc>
          <w:tcPr>
            <w:tcW w:w="0" w:type="auto"/>
            <w:tcBorders>
              <w:top w:val="nil"/>
              <w:left w:val="nil"/>
              <w:bottom w:val="nil"/>
              <w:right w:val="nil"/>
            </w:tcBorders>
            <w:shd w:val="clear" w:color="auto" w:fill="auto"/>
            <w:noWrap/>
            <w:vAlign w:val="center"/>
            <w:hideMark/>
          </w:tcPr>
          <w:p w14:paraId="36D630D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w:t>
            </w:r>
          </w:p>
        </w:tc>
        <w:tc>
          <w:tcPr>
            <w:tcW w:w="0" w:type="auto"/>
            <w:tcBorders>
              <w:top w:val="nil"/>
              <w:left w:val="nil"/>
              <w:bottom w:val="nil"/>
              <w:right w:val="nil"/>
            </w:tcBorders>
            <w:shd w:val="clear" w:color="auto" w:fill="auto"/>
            <w:noWrap/>
            <w:vAlign w:val="center"/>
            <w:hideMark/>
          </w:tcPr>
          <w:p w14:paraId="521BA0A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10 </w:t>
            </w:r>
          </w:p>
        </w:tc>
        <w:tc>
          <w:tcPr>
            <w:tcW w:w="0" w:type="auto"/>
            <w:tcBorders>
              <w:top w:val="nil"/>
              <w:left w:val="nil"/>
              <w:bottom w:val="nil"/>
              <w:right w:val="nil"/>
            </w:tcBorders>
            <w:shd w:val="clear" w:color="auto" w:fill="auto"/>
            <w:noWrap/>
            <w:vAlign w:val="center"/>
            <w:hideMark/>
          </w:tcPr>
          <w:p w14:paraId="08EE577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20 </w:t>
            </w:r>
          </w:p>
        </w:tc>
      </w:tr>
      <w:tr w:rsidR="00D9465C" w:rsidRPr="005E3FD2" w14:paraId="0A418E74" w14:textId="77777777" w:rsidTr="00DD0F28">
        <w:tc>
          <w:tcPr>
            <w:tcW w:w="2175" w:type="dxa"/>
            <w:gridSpan w:val="3"/>
            <w:tcBorders>
              <w:top w:val="nil"/>
              <w:left w:val="nil"/>
              <w:bottom w:val="nil"/>
              <w:right w:val="nil"/>
            </w:tcBorders>
            <w:shd w:val="clear" w:color="auto" w:fill="auto"/>
            <w:noWrap/>
            <w:vAlign w:val="center"/>
          </w:tcPr>
          <w:p w14:paraId="6B54C39B" w14:textId="77777777" w:rsidR="00D9465C" w:rsidRPr="005E3FD2" w:rsidRDefault="00D9465C" w:rsidP="00DD0F28">
            <w:pPr>
              <w:spacing w:after="20"/>
              <w:rPr>
                <w:b/>
                <w:color w:val="000000"/>
                <w:sz w:val="16"/>
                <w:szCs w:val="16"/>
                <w:lang w:eastAsia="en-NZ"/>
              </w:rPr>
            </w:pPr>
            <w:r w:rsidRPr="005E3FD2">
              <w:rPr>
                <w:b/>
                <w:color w:val="000000"/>
                <w:sz w:val="16"/>
                <w:szCs w:val="16"/>
                <w:lang w:eastAsia="en-NZ"/>
              </w:rPr>
              <w:t>Area of residence</w:t>
            </w:r>
          </w:p>
        </w:tc>
        <w:tc>
          <w:tcPr>
            <w:tcW w:w="823" w:type="dxa"/>
            <w:tcBorders>
              <w:top w:val="nil"/>
              <w:left w:val="nil"/>
              <w:bottom w:val="nil"/>
              <w:right w:val="nil"/>
            </w:tcBorders>
            <w:shd w:val="clear" w:color="auto" w:fill="auto"/>
            <w:noWrap/>
            <w:vAlign w:val="center"/>
          </w:tcPr>
          <w:p w14:paraId="2DE104B3"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2C7E1661"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7C2D486C"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single" w:sz="4" w:space="0" w:color="auto"/>
            </w:tcBorders>
            <w:shd w:val="clear" w:color="000000" w:fill="FFFFFF"/>
            <w:vAlign w:val="center"/>
          </w:tcPr>
          <w:p w14:paraId="7040587C" w14:textId="77777777" w:rsidR="00D9465C" w:rsidRPr="005E3FD2" w:rsidRDefault="00D9465C" w:rsidP="00DD0F28">
            <w:pPr>
              <w:spacing w:after="20"/>
              <w:jc w:val="right"/>
              <w:rPr>
                <w:color w:val="000000"/>
                <w:sz w:val="16"/>
                <w:szCs w:val="16"/>
                <w:lang w:eastAsia="en-NZ"/>
              </w:rPr>
            </w:pPr>
          </w:p>
        </w:tc>
        <w:tc>
          <w:tcPr>
            <w:tcW w:w="0" w:type="auto"/>
            <w:tcBorders>
              <w:top w:val="nil"/>
              <w:left w:val="single" w:sz="4" w:space="0" w:color="auto"/>
              <w:bottom w:val="nil"/>
              <w:right w:val="nil"/>
            </w:tcBorders>
            <w:shd w:val="clear" w:color="000000" w:fill="FFFFFF"/>
            <w:vAlign w:val="center"/>
          </w:tcPr>
          <w:p w14:paraId="6F8F739F"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6D538E39"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39841D77"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1C6B2258"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551141B7"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single" w:sz="4" w:space="0" w:color="auto"/>
            </w:tcBorders>
            <w:shd w:val="clear" w:color="000000" w:fill="FFFFFF"/>
            <w:vAlign w:val="center"/>
          </w:tcPr>
          <w:p w14:paraId="1212E8B8" w14:textId="77777777" w:rsidR="00D9465C" w:rsidRPr="005E3FD2" w:rsidRDefault="00D9465C" w:rsidP="00DD0F28">
            <w:pPr>
              <w:spacing w:after="20"/>
              <w:jc w:val="right"/>
              <w:rPr>
                <w:color w:val="000000"/>
                <w:sz w:val="16"/>
                <w:szCs w:val="16"/>
                <w:lang w:eastAsia="en-NZ"/>
              </w:rPr>
            </w:pPr>
          </w:p>
        </w:tc>
        <w:tc>
          <w:tcPr>
            <w:tcW w:w="0" w:type="auto"/>
            <w:tcBorders>
              <w:top w:val="nil"/>
              <w:left w:val="single" w:sz="4" w:space="0" w:color="auto"/>
              <w:bottom w:val="nil"/>
              <w:right w:val="nil"/>
            </w:tcBorders>
            <w:shd w:val="clear" w:color="000000" w:fill="FFFFFF"/>
            <w:vAlign w:val="center"/>
          </w:tcPr>
          <w:p w14:paraId="7A768925"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30785A63"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14304AE1"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1BB55516"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000000" w:fill="FFFFFF"/>
            <w:vAlign w:val="center"/>
          </w:tcPr>
          <w:p w14:paraId="168DDB13"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single" w:sz="4" w:space="0" w:color="auto"/>
            </w:tcBorders>
            <w:shd w:val="clear" w:color="000000" w:fill="FFFFFF"/>
            <w:vAlign w:val="center"/>
          </w:tcPr>
          <w:p w14:paraId="5B1A3693" w14:textId="77777777" w:rsidR="00D9465C" w:rsidRPr="005E3FD2" w:rsidRDefault="00D9465C" w:rsidP="00DD0F28">
            <w:pPr>
              <w:spacing w:after="20"/>
              <w:jc w:val="right"/>
              <w:rPr>
                <w:color w:val="000000"/>
                <w:sz w:val="16"/>
                <w:szCs w:val="16"/>
                <w:lang w:eastAsia="en-NZ"/>
              </w:rPr>
            </w:pPr>
          </w:p>
        </w:tc>
        <w:tc>
          <w:tcPr>
            <w:tcW w:w="0" w:type="auto"/>
            <w:tcBorders>
              <w:top w:val="nil"/>
              <w:left w:val="single" w:sz="4" w:space="0" w:color="auto"/>
              <w:bottom w:val="nil"/>
              <w:right w:val="nil"/>
            </w:tcBorders>
            <w:shd w:val="clear" w:color="auto" w:fill="auto"/>
            <w:noWrap/>
            <w:vAlign w:val="center"/>
          </w:tcPr>
          <w:p w14:paraId="17AC9AF8"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53C1CF58"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4D3C4619"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1C5A12D6"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469168D8" w14:textId="77777777" w:rsidR="00D9465C" w:rsidRPr="005E3FD2" w:rsidRDefault="00D9465C" w:rsidP="00DD0F28">
            <w:pPr>
              <w:spacing w:after="20"/>
              <w:jc w:val="right"/>
              <w:rPr>
                <w:color w:val="000000"/>
                <w:sz w:val="16"/>
                <w:szCs w:val="16"/>
                <w:lang w:eastAsia="en-NZ"/>
              </w:rPr>
            </w:pPr>
          </w:p>
        </w:tc>
        <w:tc>
          <w:tcPr>
            <w:tcW w:w="0" w:type="auto"/>
            <w:tcBorders>
              <w:top w:val="nil"/>
              <w:left w:val="nil"/>
              <w:bottom w:val="nil"/>
              <w:right w:val="nil"/>
            </w:tcBorders>
            <w:shd w:val="clear" w:color="auto" w:fill="auto"/>
            <w:noWrap/>
            <w:vAlign w:val="center"/>
          </w:tcPr>
          <w:p w14:paraId="536FFCC9" w14:textId="77777777" w:rsidR="00D9465C" w:rsidRPr="005E3FD2" w:rsidRDefault="00D9465C" w:rsidP="00DD0F28">
            <w:pPr>
              <w:spacing w:after="20"/>
              <w:jc w:val="right"/>
              <w:rPr>
                <w:color w:val="000000"/>
                <w:sz w:val="16"/>
                <w:szCs w:val="16"/>
                <w:lang w:eastAsia="en-NZ"/>
              </w:rPr>
            </w:pPr>
          </w:p>
        </w:tc>
      </w:tr>
      <w:tr w:rsidR="00D9465C" w:rsidRPr="005E3FD2" w14:paraId="1851AC02" w14:textId="77777777" w:rsidTr="00DD0F28">
        <w:tc>
          <w:tcPr>
            <w:tcW w:w="0" w:type="auto"/>
            <w:tcBorders>
              <w:top w:val="nil"/>
              <w:left w:val="nil"/>
              <w:bottom w:val="nil"/>
              <w:right w:val="nil"/>
            </w:tcBorders>
            <w:shd w:val="clear" w:color="auto" w:fill="auto"/>
            <w:noWrap/>
            <w:vAlign w:val="center"/>
            <w:hideMark/>
          </w:tcPr>
          <w:p w14:paraId="1002AD0B"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Auckland</w:t>
            </w:r>
          </w:p>
        </w:tc>
        <w:tc>
          <w:tcPr>
            <w:tcW w:w="460" w:type="dxa"/>
            <w:tcBorders>
              <w:top w:val="nil"/>
              <w:left w:val="nil"/>
              <w:bottom w:val="nil"/>
              <w:right w:val="nil"/>
            </w:tcBorders>
            <w:shd w:val="clear" w:color="000000" w:fill="FFFFFF"/>
            <w:vAlign w:val="center"/>
            <w:hideMark/>
          </w:tcPr>
          <w:p w14:paraId="51B53B9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179</w:t>
            </w:r>
          </w:p>
        </w:tc>
        <w:tc>
          <w:tcPr>
            <w:tcW w:w="677" w:type="dxa"/>
            <w:tcBorders>
              <w:top w:val="nil"/>
              <w:left w:val="nil"/>
              <w:bottom w:val="nil"/>
              <w:right w:val="nil"/>
            </w:tcBorders>
            <w:shd w:val="clear" w:color="000000" w:fill="FFFFFF"/>
            <w:vAlign w:val="center"/>
            <w:hideMark/>
          </w:tcPr>
          <w:p w14:paraId="30BCCDD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72.38 </w:t>
            </w:r>
          </w:p>
        </w:tc>
        <w:tc>
          <w:tcPr>
            <w:tcW w:w="823" w:type="dxa"/>
            <w:tcBorders>
              <w:top w:val="nil"/>
              <w:left w:val="nil"/>
              <w:bottom w:val="nil"/>
              <w:right w:val="nil"/>
            </w:tcBorders>
            <w:shd w:val="clear" w:color="auto" w:fill="auto"/>
            <w:noWrap/>
            <w:vAlign w:val="center"/>
            <w:hideMark/>
          </w:tcPr>
          <w:p w14:paraId="5631F98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18.31 </w:t>
            </w:r>
          </w:p>
        </w:tc>
        <w:tc>
          <w:tcPr>
            <w:tcW w:w="0" w:type="auto"/>
            <w:tcBorders>
              <w:top w:val="nil"/>
              <w:left w:val="nil"/>
              <w:bottom w:val="nil"/>
              <w:right w:val="nil"/>
            </w:tcBorders>
            <w:shd w:val="clear" w:color="000000" w:fill="FFFFFF"/>
            <w:vAlign w:val="center"/>
            <w:hideMark/>
          </w:tcPr>
          <w:p w14:paraId="563EF8B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3504.4</w:t>
            </w:r>
          </w:p>
        </w:tc>
        <w:tc>
          <w:tcPr>
            <w:tcW w:w="0" w:type="auto"/>
            <w:tcBorders>
              <w:top w:val="nil"/>
              <w:left w:val="nil"/>
              <w:bottom w:val="nil"/>
              <w:right w:val="nil"/>
            </w:tcBorders>
            <w:shd w:val="clear" w:color="000000" w:fill="FFFFFF"/>
            <w:vAlign w:val="center"/>
            <w:hideMark/>
          </w:tcPr>
          <w:p w14:paraId="48D7D58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1B266D9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4,500 </w:t>
            </w:r>
          </w:p>
        </w:tc>
        <w:tc>
          <w:tcPr>
            <w:tcW w:w="0" w:type="auto"/>
            <w:tcBorders>
              <w:top w:val="nil"/>
              <w:left w:val="single" w:sz="4" w:space="0" w:color="auto"/>
              <w:bottom w:val="nil"/>
              <w:right w:val="nil"/>
            </w:tcBorders>
            <w:shd w:val="clear" w:color="000000" w:fill="FFFFFF"/>
            <w:vAlign w:val="center"/>
            <w:hideMark/>
          </w:tcPr>
          <w:p w14:paraId="2C47D8E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87</w:t>
            </w:r>
          </w:p>
        </w:tc>
        <w:tc>
          <w:tcPr>
            <w:tcW w:w="0" w:type="auto"/>
            <w:tcBorders>
              <w:top w:val="nil"/>
              <w:left w:val="nil"/>
              <w:bottom w:val="nil"/>
              <w:right w:val="nil"/>
            </w:tcBorders>
            <w:shd w:val="clear" w:color="000000" w:fill="FFFFFF"/>
            <w:vAlign w:val="center"/>
            <w:hideMark/>
          </w:tcPr>
          <w:p w14:paraId="5B5910F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40.23 </w:t>
            </w:r>
          </w:p>
        </w:tc>
        <w:tc>
          <w:tcPr>
            <w:tcW w:w="0" w:type="auto"/>
            <w:tcBorders>
              <w:top w:val="nil"/>
              <w:left w:val="nil"/>
              <w:bottom w:val="nil"/>
              <w:right w:val="nil"/>
            </w:tcBorders>
            <w:shd w:val="clear" w:color="auto" w:fill="auto"/>
            <w:noWrap/>
            <w:vAlign w:val="center"/>
            <w:hideMark/>
          </w:tcPr>
          <w:p w14:paraId="02EC1DD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18.61 </w:t>
            </w:r>
          </w:p>
        </w:tc>
        <w:tc>
          <w:tcPr>
            <w:tcW w:w="0" w:type="auto"/>
            <w:tcBorders>
              <w:top w:val="nil"/>
              <w:left w:val="nil"/>
              <w:bottom w:val="nil"/>
              <w:right w:val="nil"/>
            </w:tcBorders>
            <w:shd w:val="clear" w:color="000000" w:fill="FFFFFF"/>
            <w:vAlign w:val="center"/>
            <w:hideMark/>
          </w:tcPr>
          <w:p w14:paraId="374243C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595.5</w:t>
            </w:r>
          </w:p>
        </w:tc>
        <w:tc>
          <w:tcPr>
            <w:tcW w:w="0" w:type="auto"/>
            <w:tcBorders>
              <w:top w:val="nil"/>
              <w:left w:val="nil"/>
              <w:bottom w:val="nil"/>
              <w:right w:val="nil"/>
            </w:tcBorders>
            <w:shd w:val="clear" w:color="000000" w:fill="FFFFFF"/>
            <w:vAlign w:val="center"/>
            <w:hideMark/>
          </w:tcPr>
          <w:p w14:paraId="042E443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7DFBE18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1,200 </w:t>
            </w:r>
          </w:p>
        </w:tc>
        <w:tc>
          <w:tcPr>
            <w:tcW w:w="0" w:type="auto"/>
            <w:tcBorders>
              <w:top w:val="nil"/>
              <w:left w:val="single" w:sz="4" w:space="0" w:color="auto"/>
              <w:bottom w:val="nil"/>
              <w:right w:val="nil"/>
            </w:tcBorders>
            <w:shd w:val="clear" w:color="000000" w:fill="FFFFFF"/>
            <w:vAlign w:val="center"/>
            <w:hideMark/>
          </w:tcPr>
          <w:p w14:paraId="4308A37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60</w:t>
            </w:r>
          </w:p>
        </w:tc>
        <w:tc>
          <w:tcPr>
            <w:tcW w:w="0" w:type="auto"/>
            <w:tcBorders>
              <w:top w:val="nil"/>
              <w:left w:val="nil"/>
              <w:bottom w:val="nil"/>
              <w:right w:val="nil"/>
            </w:tcBorders>
            <w:shd w:val="clear" w:color="000000" w:fill="FFFFFF"/>
            <w:vAlign w:val="center"/>
            <w:hideMark/>
          </w:tcPr>
          <w:p w14:paraId="3D73930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34.90 </w:t>
            </w:r>
          </w:p>
        </w:tc>
        <w:tc>
          <w:tcPr>
            <w:tcW w:w="0" w:type="auto"/>
            <w:tcBorders>
              <w:top w:val="nil"/>
              <w:left w:val="nil"/>
              <w:bottom w:val="nil"/>
              <w:right w:val="nil"/>
            </w:tcBorders>
            <w:shd w:val="clear" w:color="auto" w:fill="auto"/>
            <w:noWrap/>
            <w:vAlign w:val="center"/>
            <w:hideMark/>
          </w:tcPr>
          <w:p w14:paraId="15DD218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13.17 </w:t>
            </w:r>
          </w:p>
        </w:tc>
        <w:tc>
          <w:tcPr>
            <w:tcW w:w="0" w:type="auto"/>
            <w:tcBorders>
              <w:top w:val="nil"/>
              <w:left w:val="nil"/>
              <w:bottom w:val="nil"/>
              <w:right w:val="nil"/>
            </w:tcBorders>
            <w:shd w:val="clear" w:color="000000" w:fill="FFFFFF"/>
            <w:vAlign w:val="center"/>
            <w:hideMark/>
          </w:tcPr>
          <w:p w14:paraId="5F5B2C2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414.8</w:t>
            </w:r>
          </w:p>
        </w:tc>
        <w:tc>
          <w:tcPr>
            <w:tcW w:w="0" w:type="auto"/>
            <w:tcBorders>
              <w:top w:val="nil"/>
              <w:left w:val="nil"/>
              <w:bottom w:val="nil"/>
              <w:right w:val="nil"/>
            </w:tcBorders>
            <w:shd w:val="clear" w:color="000000" w:fill="FFFFFF"/>
            <w:vAlign w:val="center"/>
            <w:hideMark/>
          </w:tcPr>
          <w:p w14:paraId="47B9A94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38A03C8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400 </w:t>
            </w:r>
          </w:p>
        </w:tc>
        <w:tc>
          <w:tcPr>
            <w:tcW w:w="0" w:type="auto"/>
            <w:tcBorders>
              <w:top w:val="nil"/>
              <w:left w:val="single" w:sz="4" w:space="0" w:color="auto"/>
              <w:bottom w:val="nil"/>
              <w:right w:val="nil"/>
            </w:tcBorders>
            <w:shd w:val="clear" w:color="auto" w:fill="auto"/>
            <w:noWrap/>
            <w:vAlign w:val="center"/>
            <w:hideMark/>
          </w:tcPr>
          <w:p w14:paraId="763F975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60</w:t>
            </w:r>
          </w:p>
        </w:tc>
        <w:tc>
          <w:tcPr>
            <w:tcW w:w="0" w:type="auto"/>
            <w:tcBorders>
              <w:top w:val="nil"/>
              <w:left w:val="nil"/>
              <w:bottom w:val="nil"/>
              <w:right w:val="nil"/>
            </w:tcBorders>
            <w:shd w:val="clear" w:color="auto" w:fill="auto"/>
            <w:noWrap/>
            <w:vAlign w:val="center"/>
            <w:hideMark/>
          </w:tcPr>
          <w:p w14:paraId="009D74D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39.91 </w:t>
            </w:r>
          </w:p>
        </w:tc>
        <w:tc>
          <w:tcPr>
            <w:tcW w:w="0" w:type="auto"/>
            <w:tcBorders>
              <w:top w:val="nil"/>
              <w:left w:val="nil"/>
              <w:bottom w:val="nil"/>
              <w:right w:val="nil"/>
            </w:tcBorders>
            <w:shd w:val="clear" w:color="auto" w:fill="auto"/>
            <w:noWrap/>
            <w:vAlign w:val="center"/>
            <w:hideMark/>
          </w:tcPr>
          <w:p w14:paraId="33992C2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13.80 </w:t>
            </w:r>
          </w:p>
        </w:tc>
        <w:tc>
          <w:tcPr>
            <w:tcW w:w="0" w:type="auto"/>
            <w:tcBorders>
              <w:top w:val="nil"/>
              <w:left w:val="nil"/>
              <w:bottom w:val="nil"/>
              <w:right w:val="nil"/>
            </w:tcBorders>
            <w:shd w:val="clear" w:color="auto" w:fill="auto"/>
            <w:noWrap/>
            <w:vAlign w:val="center"/>
            <w:hideMark/>
          </w:tcPr>
          <w:p w14:paraId="163FEDA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457.5</w:t>
            </w:r>
          </w:p>
        </w:tc>
        <w:tc>
          <w:tcPr>
            <w:tcW w:w="0" w:type="auto"/>
            <w:tcBorders>
              <w:top w:val="nil"/>
              <w:left w:val="nil"/>
              <w:bottom w:val="nil"/>
              <w:right w:val="nil"/>
            </w:tcBorders>
            <w:shd w:val="clear" w:color="auto" w:fill="auto"/>
            <w:noWrap/>
            <w:vAlign w:val="center"/>
            <w:hideMark/>
          </w:tcPr>
          <w:p w14:paraId="2D8BD21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 </w:t>
            </w:r>
          </w:p>
        </w:tc>
        <w:tc>
          <w:tcPr>
            <w:tcW w:w="0" w:type="auto"/>
            <w:tcBorders>
              <w:top w:val="nil"/>
              <w:left w:val="nil"/>
              <w:bottom w:val="nil"/>
              <w:right w:val="nil"/>
            </w:tcBorders>
            <w:shd w:val="clear" w:color="auto" w:fill="auto"/>
            <w:noWrap/>
            <w:vAlign w:val="center"/>
            <w:hideMark/>
          </w:tcPr>
          <w:p w14:paraId="68080FC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1,000 </w:t>
            </w:r>
          </w:p>
        </w:tc>
      </w:tr>
      <w:tr w:rsidR="00D9465C" w:rsidRPr="005E3FD2" w14:paraId="5B9FD80F" w14:textId="77777777" w:rsidTr="00DD0F28">
        <w:tc>
          <w:tcPr>
            <w:tcW w:w="0" w:type="auto"/>
            <w:tcBorders>
              <w:top w:val="nil"/>
              <w:left w:val="nil"/>
              <w:bottom w:val="nil"/>
              <w:right w:val="nil"/>
            </w:tcBorders>
            <w:shd w:val="clear" w:color="auto" w:fill="auto"/>
            <w:noWrap/>
            <w:vAlign w:val="center"/>
            <w:hideMark/>
          </w:tcPr>
          <w:p w14:paraId="104083C6"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Wellington</w:t>
            </w:r>
          </w:p>
        </w:tc>
        <w:tc>
          <w:tcPr>
            <w:tcW w:w="460" w:type="dxa"/>
            <w:tcBorders>
              <w:top w:val="nil"/>
              <w:left w:val="nil"/>
              <w:bottom w:val="nil"/>
              <w:right w:val="nil"/>
            </w:tcBorders>
            <w:shd w:val="clear" w:color="000000" w:fill="FFFFFF"/>
            <w:vAlign w:val="center"/>
            <w:hideMark/>
          </w:tcPr>
          <w:p w14:paraId="160BFB8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87</w:t>
            </w:r>
          </w:p>
        </w:tc>
        <w:tc>
          <w:tcPr>
            <w:tcW w:w="677" w:type="dxa"/>
            <w:tcBorders>
              <w:top w:val="nil"/>
              <w:left w:val="nil"/>
              <w:bottom w:val="nil"/>
              <w:right w:val="nil"/>
            </w:tcBorders>
            <w:shd w:val="clear" w:color="000000" w:fill="FFFFFF"/>
            <w:vAlign w:val="center"/>
            <w:hideMark/>
          </w:tcPr>
          <w:p w14:paraId="64BC3CA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44.17 </w:t>
            </w:r>
          </w:p>
        </w:tc>
        <w:tc>
          <w:tcPr>
            <w:tcW w:w="823" w:type="dxa"/>
            <w:tcBorders>
              <w:top w:val="nil"/>
              <w:left w:val="nil"/>
              <w:bottom w:val="nil"/>
              <w:right w:val="nil"/>
            </w:tcBorders>
            <w:shd w:val="clear" w:color="auto" w:fill="auto"/>
            <w:noWrap/>
            <w:vAlign w:val="center"/>
            <w:hideMark/>
          </w:tcPr>
          <w:p w14:paraId="246FED1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19.86 </w:t>
            </w:r>
          </w:p>
        </w:tc>
        <w:tc>
          <w:tcPr>
            <w:tcW w:w="0" w:type="auto"/>
            <w:tcBorders>
              <w:top w:val="nil"/>
              <w:left w:val="nil"/>
              <w:bottom w:val="nil"/>
              <w:right w:val="nil"/>
            </w:tcBorders>
            <w:shd w:val="clear" w:color="000000" w:fill="FFFFFF"/>
            <w:vAlign w:val="center"/>
            <w:hideMark/>
          </w:tcPr>
          <w:p w14:paraId="74E7996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600.4</w:t>
            </w:r>
          </w:p>
        </w:tc>
        <w:tc>
          <w:tcPr>
            <w:tcW w:w="0" w:type="auto"/>
            <w:tcBorders>
              <w:top w:val="nil"/>
              <w:left w:val="nil"/>
              <w:bottom w:val="nil"/>
              <w:right w:val="nil"/>
            </w:tcBorders>
            <w:shd w:val="clear" w:color="000000" w:fill="FFFFFF"/>
            <w:vAlign w:val="center"/>
            <w:hideMark/>
          </w:tcPr>
          <w:p w14:paraId="73F586B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2D3D390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550 </w:t>
            </w:r>
          </w:p>
        </w:tc>
        <w:tc>
          <w:tcPr>
            <w:tcW w:w="0" w:type="auto"/>
            <w:tcBorders>
              <w:top w:val="nil"/>
              <w:left w:val="single" w:sz="4" w:space="0" w:color="auto"/>
              <w:bottom w:val="nil"/>
              <w:right w:val="nil"/>
            </w:tcBorders>
            <w:shd w:val="clear" w:color="000000" w:fill="FFFFFF"/>
            <w:vAlign w:val="center"/>
            <w:hideMark/>
          </w:tcPr>
          <w:p w14:paraId="20C082D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33</w:t>
            </w:r>
          </w:p>
        </w:tc>
        <w:tc>
          <w:tcPr>
            <w:tcW w:w="0" w:type="auto"/>
            <w:tcBorders>
              <w:top w:val="nil"/>
              <w:left w:val="nil"/>
              <w:bottom w:val="nil"/>
              <w:right w:val="nil"/>
            </w:tcBorders>
            <w:shd w:val="clear" w:color="000000" w:fill="FFFFFF"/>
            <w:vAlign w:val="center"/>
            <w:hideMark/>
          </w:tcPr>
          <w:p w14:paraId="1468B47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80.88 </w:t>
            </w:r>
          </w:p>
        </w:tc>
        <w:tc>
          <w:tcPr>
            <w:tcW w:w="0" w:type="auto"/>
            <w:tcBorders>
              <w:top w:val="nil"/>
              <w:left w:val="nil"/>
              <w:bottom w:val="nil"/>
              <w:right w:val="nil"/>
            </w:tcBorders>
            <w:shd w:val="clear" w:color="auto" w:fill="auto"/>
            <w:noWrap/>
            <w:vAlign w:val="center"/>
            <w:hideMark/>
          </w:tcPr>
          <w:p w14:paraId="0FE0402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18.32 </w:t>
            </w:r>
          </w:p>
        </w:tc>
        <w:tc>
          <w:tcPr>
            <w:tcW w:w="0" w:type="auto"/>
            <w:tcBorders>
              <w:top w:val="nil"/>
              <w:left w:val="nil"/>
              <w:bottom w:val="nil"/>
              <w:right w:val="nil"/>
            </w:tcBorders>
            <w:shd w:val="clear" w:color="000000" w:fill="FFFFFF"/>
            <w:vAlign w:val="center"/>
            <w:hideMark/>
          </w:tcPr>
          <w:p w14:paraId="290ADD5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1106.8</w:t>
            </w:r>
          </w:p>
        </w:tc>
        <w:tc>
          <w:tcPr>
            <w:tcW w:w="0" w:type="auto"/>
            <w:tcBorders>
              <w:top w:val="nil"/>
              <w:left w:val="nil"/>
              <w:bottom w:val="nil"/>
              <w:right w:val="nil"/>
            </w:tcBorders>
            <w:shd w:val="clear" w:color="000000" w:fill="FFFFFF"/>
            <w:vAlign w:val="center"/>
            <w:hideMark/>
          </w:tcPr>
          <w:p w14:paraId="20DAD23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nil"/>
              <w:right w:val="single" w:sz="4" w:space="0" w:color="auto"/>
            </w:tcBorders>
            <w:shd w:val="clear" w:color="000000" w:fill="FFFFFF"/>
            <w:vAlign w:val="center"/>
            <w:hideMark/>
          </w:tcPr>
          <w:p w14:paraId="05BE450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550 </w:t>
            </w:r>
          </w:p>
        </w:tc>
        <w:tc>
          <w:tcPr>
            <w:tcW w:w="0" w:type="auto"/>
            <w:tcBorders>
              <w:top w:val="nil"/>
              <w:left w:val="single" w:sz="4" w:space="0" w:color="auto"/>
              <w:bottom w:val="nil"/>
              <w:right w:val="nil"/>
            </w:tcBorders>
            <w:shd w:val="clear" w:color="000000" w:fill="FFFFFF"/>
            <w:vAlign w:val="center"/>
            <w:hideMark/>
          </w:tcPr>
          <w:p w14:paraId="6F6A928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32</w:t>
            </w:r>
          </w:p>
        </w:tc>
        <w:tc>
          <w:tcPr>
            <w:tcW w:w="0" w:type="auto"/>
            <w:tcBorders>
              <w:top w:val="nil"/>
              <w:left w:val="nil"/>
              <w:bottom w:val="nil"/>
              <w:right w:val="nil"/>
            </w:tcBorders>
            <w:shd w:val="clear" w:color="000000" w:fill="FFFFFF"/>
            <w:vAlign w:val="center"/>
            <w:hideMark/>
          </w:tcPr>
          <w:p w14:paraId="66842A5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41.38 </w:t>
            </w:r>
          </w:p>
        </w:tc>
        <w:tc>
          <w:tcPr>
            <w:tcW w:w="0" w:type="auto"/>
            <w:tcBorders>
              <w:top w:val="nil"/>
              <w:left w:val="nil"/>
              <w:bottom w:val="nil"/>
              <w:right w:val="nil"/>
            </w:tcBorders>
            <w:shd w:val="clear" w:color="auto" w:fill="auto"/>
            <w:noWrap/>
            <w:vAlign w:val="center"/>
            <w:hideMark/>
          </w:tcPr>
          <w:p w14:paraId="775961F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18.83 </w:t>
            </w:r>
          </w:p>
        </w:tc>
        <w:tc>
          <w:tcPr>
            <w:tcW w:w="0" w:type="auto"/>
            <w:tcBorders>
              <w:top w:val="nil"/>
              <w:left w:val="nil"/>
              <w:bottom w:val="nil"/>
              <w:right w:val="nil"/>
            </w:tcBorders>
            <w:shd w:val="clear" w:color="000000" w:fill="FFFFFF"/>
            <w:vAlign w:val="center"/>
            <w:hideMark/>
          </w:tcPr>
          <w:p w14:paraId="3B10EF9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266.1</w:t>
            </w:r>
          </w:p>
        </w:tc>
        <w:tc>
          <w:tcPr>
            <w:tcW w:w="0" w:type="auto"/>
            <w:tcBorders>
              <w:top w:val="nil"/>
              <w:left w:val="nil"/>
              <w:bottom w:val="nil"/>
              <w:right w:val="nil"/>
            </w:tcBorders>
            <w:shd w:val="clear" w:color="000000" w:fill="FFFFFF"/>
            <w:vAlign w:val="center"/>
            <w:hideMark/>
          </w:tcPr>
          <w:p w14:paraId="13C4553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 </w:t>
            </w:r>
          </w:p>
        </w:tc>
        <w:tc>
          <w:tcPr>
            <w:tcW w:w="0" w:type="auto"/>
            <w:tcBorders>
              <w:top w:val="nil"/>
              <w:left w:val="nil"/>
              <w:bottom w:val="nil"/>
              <w:right w:val="single" w:sz="4" w:space="0" w:color="auto"/>
            </w:tcBorders>
            <w:shd w:val="clear" w:color="000000" w:fill="FFFFFF"/>
            <w:vAlign w:val="center"/>
            <w:hideMark/>
          </w:tcPr>
          <w:p w14:paraId="6E04EA6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450 </w:t>
            </w:r>
          </w:p>
        </w:tc>
        <w:tc>
          <w:tcPr>
            <w:tcW w:w="0" w:type="auto"/>
            <w:tcBorders>
              <w:top w:val="nil"/>
              <w:left w:val="single" w:sz="4" w:space="0" w:color="auto"/>
              <w:bottom w:val="nil"/>
              <w:right w:val="nil"/>
            </w:tcBorders>
            <w:shd w:val="clear" w:color="auto" w:fill="auto"/>
            <w:noWrap/>
            <w:vAlign w:val="center"/>
            <w:hideMark/>
          </w:tcPr>
          <w:p w14:paraId="4DA154B3"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23</w:t>
            </w:r>
          </w:p>
        </w:tc>
        <w:tc>
          <w:tcPr>
            <w:tcW w:w="0" w:type="auto"/>
            <w:tcBorders>
              <w:top w:val="nil"/>
              <w:left w:val="nil"/>
              <w:bottom w:val="nil"/>
              <w:right w:val="nil"/>
            </w:tcBorders>
            <w:shd w:val="clear" w:color="auto" w:fill="auto"/>
            <w:noWrap/>
            <w:vAlign w:val="center"/>
            <w:hideMark/>
          </w:tcPr>
          <w:p w14:paraId="413B246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45.32 </w:t>
            </w:r>
          </w:p>
        </w:tc>
        <w:tc>
          <w:tcPr>
            <w:tcW w:w="0" w:type="auto"/>
            <w:tcBorders>
              <w:top w:val="nil"/>
              <w:left w:val="nil"/>
              <w:bottom w:val="nil"/>
              <w:right w:val="nil"/>
            </w:tcBorders>
            <w:shd w:val="clear" w:color="auto" w:fill="auto"/>
            <w:noWrap/>
            <w:vAlign w:val="center"/>
            <w:hideMark/>
          </w:tcPr>
          <w:p w14:paraId="14F15BCB"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16.40 </w:t>
            </w:r>
          </w:p>
        </w:tc>
        <w:tc>
          <w:tcPr>
            <w:tcW w:w="0" w:type="auto"/>
            <w:tcBorders>
              <w:top w:val="nil"/>
              <w:left w:val="nil"/>
              <w:bottom w:val="nil"/>
              <w:right w:val="nil"/>
            </w:tcBorders>
            <w:shd w:val="clear" w:color="auto" w:fill="auto"/>
            <w:noWrap/>
            <w:vAlign w:val="center"/>
            <w:hideMark/>
          </w:tcPr>
          <w:p w14:paraId="0A5B275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360.5</w:t>
            </w:r>
          </w:p>
        </w:tc>
        <w:tc>
          <w:tcPr>
            <w:tcW w:w="0" w:type="auto"/>
            <w:tcBorders>
              <w:top w:val="nil"/>
              <w:left w:val="nil"/>
              <w:bottom w:val="nil"/>
              <w:right w:val="nil"/>
            </w:tcBorders>
            <w:shd w:val="clear" w:color="auto" w:fill="auto"/>
            <w:noWrap/>
            <w:vAlign w:val="center"/>
            <w:hideMark/>
          </w:tcPr>
          <w:p w14:paraId="66009E4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5 </w:t>
            </w:r>
          </w:p>
        </w:tc>
        <w:tc>
          <w:tcPr>
            <w:tcW w:w="0" w:type="auto"/>
            <w:tcBorders>
              <w:top w:val="nil"/>
              <w:left w:val="nil"/>
              <w:bottom w:val="nil"/>
              <w:right w:val="nil"/>
            </w:tcBorders>
            <w:shd w:val="clear" w:color="auto" w:fill="auto"/>
            <w:noWrap/>
            <w:vAlign w:val="center"/>
            <w:hideMark/>
          </w:tcPr>
          <w:p w14:paraId="40C4DEB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300 </w:t>
            </w:r>
          </w:p>
        </w:tc>
      </w:tr>
      <w:tr w:rsidR="00D9465C" w:rsidRPr="005E3FD2" w14:paraId="32167901" w14:textId="77777777" w:rsidTr="00DD0F28">
        <w:tc>
          <w:tcPr>
            <w:tcW w:w="0" w:type="auto"/>
            <w:tcBorders>
              <w:top w:val="nil"/>
              <w:left w:val="nil"/>
              <w:right w:val="nil"/>
            </w:tcBorders>
            <w:shd w:val="clear" w:color="auto" w:fill="auto"/>
            <w:noWrap/>
            <w:vAlign w:val="center"/>
            <w:hideMark/>
          </w:tcPr>
          <w:p w14:paraId="1E30944A"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Christchurch</w:t>
            </w:r>
          </w:p>
        </w:tc>
        <w:tc>
          <w:tcPr>
            <w:tcW w:w="460" w:type="dxa"/>
            <w:tcBorders>
              <w:top w:val="nil"/>
              <w:left w:val="nil"/>
              <w:right w:val="nil"/>
            </w:tcBorders>
            <w:shd w:val="clear" w:color="000000" w:fill="FFFFFF"/>
            <w:vAlign w:val="center"/>
            <w:hideMark/>
          </w:tcPr>
          <w:p w14:paraId="48B5906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79</w:t>
            </w:r>
          </w:p>
        </w:tc>
        <w:tc>
          <w:tcPr>
            <w:tcW w:w="677" w:type="dxa"/>
            <w:tcBorders>
              <w:top w:val="nil"/>
              <w:left w:val="nil"/>
              <w:right w:val="nil"/>
            </w:tcBorders>
            <w:shd w:val="clear" w:color="000000" w:fill="FFFFFF"/>
            <w:vAlign w:val="center"/>
            <w:hideMark/>
          </w:tcPr>
          <w:p w14:paraId="7870CD9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38.84 </w:t>
            </w:r>
          </w:p>
        </w:tc>
        <w:tc>
          <w:tcPr>
            <w:tcW w:w="823" w:type="dxa"/>
            <w:tcBorders>
              <w:top w:val="nil"/>
              <w:left w:val="nil"/>
              <w:right w:val="nil"/>
            </w:tcBorders>
            <w:shd w:val="clear" w:color="auto" w:fill="auto"/>
            <w:noWrap/>
            <w:vAlign w:val="center"/>
            <w:hideMark/>
          </w:tcPr>
          <w:p w14:paraId="1A8C6A29"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13.89 </w:t>
            </w:r>
          </w:p>
        </w:tc>
        <w:tc>
          <w:tcPr>
            <w:tcW w:w="0" w:type="auto"/>
            <w:tcBorders>
              <w:top w:val="nil"/>
              <w:left w:val="nil"/>
              <w:right w:val="nil"/>
            </w:tcBorders>
            <w:shd w:val="clear" w:color="000000" w:fill="FFFFFF"/>
            <w:vAlign w:val="center"/>
            <w:hideMark/>
          </w:tcPr>
          <w:p w14:paraId="17D158E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489.5</w:t>
            </w:r>
          </w:p>
        </w:tc>
        <w:tc>
          <w:tcPr>
            <w:tcW w:w="0" w:type="auto"/>
            <w:tcBorders>
              <w:top w:val="nil"/>
              <w:left w:val="nil"/>
              <w:right w:val="nil"/>
            </w:tcBorders>
            <w:shd w:val="clear" w:color="000000" w:fill="FFFFFF"/>
            <w:vAlign w:val="center"/>
            <w:hideMark/>
          </w:tcPr>
          <w:p w14:paraId="554B42C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right w:val="single" w:sz="4" w:space="0" w:color="auto"/>
            </w:tcBorders>
            <w:shd w:val="clear" w:color="000000" w:fill="FFFFFF"/>
            <w:vAlign w:val="center"/>
            <w:hideMark/>
          </w:tcPr>
          <w:p w14:paraId="434D5EA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400 </w:t>
            </w:r>
          </w:p>
        </w:tc>
        <w:tc>
          <w:tcPr>
            <w:tcW w:w="0" w:type="auto"/>
            <w:tcBorders>
              <w:top w:val="nil"/>
              <w:left w:val="single" w:sz="4" w:space="0" w:color="auto"/>
              <w:right w:val="nil"/>
            </w:tcBorders>
            <w:shd w:val="clear" w:color="000000" w:fill="FFFFFF"/>
            <w:vAlign w:val="center"/>
            <w:hideMark/>
          </w:tcPr>
          <w:p w14:paraId="0A34F36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31</w:t>
            </w:r>
          </w:p>
        </w:tc>
        <w:tc>
          <w:tcPr>
            <w:tcW w:w="0" w:type="auto"/>
            <w:tcBorders>
              <w:top w:val="nil"/>
              <w:left w:val="nil"/>
              <w:right w:val="nil"/>
            </w:tcBorders>
            <w:shd w:val="clear" w:color="000000" w:fill="FFFFFF"/>
            <w:vAlign w:val="center"/>
            <w:hideMark/>
          </w:tcPr>
          <w:p w14:paraId="2C6A7BE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36.93 </w:t>
            </w:r>
          </w:p>
        </w:tc>
        <w:tc>
          <w:tcPr>
            <w:tcW w:w="0" w:type="auto"/>
            <w:tcBorders>
              <w:top w:val="nil"/>
              <w:left w:val="nil"/>
              <w:right w:val="nil"/>
            </w:tcBorders>
            <w:shd w:val="clear" w:color="auto" w:fill="auto"/>
            <w:noWrap/>
            <w:vAlign w:val="center"/>
            <w:hideMark/>
          </w:tcPr>
          <w:p w14:paraId="0C1F28D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16.21 </w:t>
            </w:r>
          </w:p>
        </w:tc>
        <w:tc>
          <w:tcPr>
            <w:tcW w:w="0" w:type="auto"/>
            <w:tcBorders>
              <w:top w:val="nil"/>
              <w:left w:val="nil"/>
              <w:right w:val="nil"/>
            </w:tcBorders>
            <w:shd w:val="clear" w:color="000000" w:fill="FFFFFF"/>
            <w:vAlign w:val="center"/>
            <w:hideMark/>
          </w:tcPr>
          <w:p w14:paraId="226E087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210.9</w:t>
            </w:r>
          </w:p>
        </w:tc>
        <w:tc>
          <w:tcPr>
            <w:tcW w:w="0" w:type="auto"/>
            <w:tcBorders>
              <w:top w:val="nil"/>
              <w:left w:val="nil"/>
              <w:right w:val="nil"/>
            </w:tcBorders>
            <w:shd w:val="clear" w:color="000000" w:fill="FFFFFF"/>
            <w:vAlign w:val="center"/>
            <w:hideMark/>
          </w:tcPr>
          <w:p w14:paraId="724665B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 </w:t>
            </w:r>
          </w:p>
        </w:tc>
        <w:tc>
          <w:tcPr>
            <w:tcW w:w="0" w:type="auto"/>
            <w:tcBorders>
              <w:top w:val="nil"/>
              <w:left w:val="nil"/>
              <w:right w:val="single" w:sz="4" w:space="0" w:color="auto"/>
            </w:tcBorders>
            <w:shd w:val="clear" w:color="000000" w:fill="FFFFFF"/>
            <w:vAlign w:val="center"/>
            <w:hideMark/>
          </w:tcPr>
          <w:p w14:paraId="11B9CE3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200 </w:t>
            </w:r>
          </w:p>
        </w:tc>
        <w:tc>
          <w:tcPr>
            <w:tcW w:w="0" w:type="auto"/>
            <w:tcBorders>
              <w:top w:val="nil"/>
              <w:left w:val="single" w:sz="4" w:space="0" w:color="auto"/>
              <w:right w:val="nil"/>
            </w:tcBorders>
            <w:shd w:val="clear" w:color="000000" w:fill="FFFFFF"/>
            <w:vAlign w:val="center"/>
            <w:hideMark/>
          </w:tcPr>
          <w:p w14:paraId="2028E3A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31</w:t>
            </w:r>
          </w:p>
        </w:tc>
        <w:tc>
          <w:tcPr>
            <w:tcW w:w="0" w:type="auto"/>
            <w:tcBorders>
              <w:top w:val="nil"/>
              <w:left w:val="nil"/>
              <w:right w:val="nil"/>
            </w:tcBorders>
            <w:shd w:val="clear" w:color="000000" w:fill="FFFFFF"/>
            <w:vAlign w:val="center"/>
            <w:hideMark/>
          </w:tcPr>
          <w:p w14:paraId="5BB1748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36.89 </w:t>
            </w:r>
          </w:p>
        </w:tc>
        <w:tc>
          <w:tcPr>
            <w:tcW w:w="0" w:type="auto"/>
            <w:tcBorders>
              <w:top w:val="nil"/>
              <w:left w:val="nil"/>
              <w:right w:val="nil"/>
            </w:tcBorders>
            <w:shd w:val="clear" w:color="auto" w:fill="auto"/>
            <w:noWrap/>
            <w:vAlign w:val="center"/>
            <w:hideMark/>
          </w:tcPr>
          <w:p w14:paraId="41D10FA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18.34 </w:t>
            </w:r>
          </w:p>
        </w:tc>
        <w:tc>
          <w:tcPr>
            <w:tcW w:w="0" w:type="auto"/>
            <w:tcBorders>
              <w:top w:val="nil"/>
              <w:left w:val="nil"/>
              <w:right w:val="nil"/>
            </w:tcBorders>
            <w:shd w:val="clear" w:color="000000" w:fill="FFFFFF"/>
            <w:vAlign w:val="center"/>
            <w:hideMark/>
          </w:tcPr>
          <w:p w14:paraId="0C51552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209.6</w:t>
            </w:r>
          </w:p>
        </w:tc>
        <w:tc>
          <w:tcPr>
            <w:tcW w:w="0" w:type="auto"/>
            <w:tcBorders>
              <w:top w:val="nil"/>
              <w:left w:val="nil"/>
              <w:right w:val="nil"/>
            </w:tcBorders>
            <w:shd w:val="clear" w:color="000000" w:fill="FFFFFF"/>
            <w:vAlign w:val="center"/>
            <w:hideMark/>
          </w:tcPr>
          <w:p w14:paraId="273B8AF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right w:val="single" w:sz="4" w:space="0" w:color="auto"/>
            </w:tcBorders>
            <w:shd w:val="clear" w:color="000000" w:fill="FFFFFF"/>
            <w:vAlign w:val="center"/>
            <w:hideMark/>
          </w:tcPr>
          <w:p w14:paraId="324ECD2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300 </w:t>
            </w:r>
          </w:p>
        </w:tc>
        <w:tc>
          <w:tcPr>
            <w:tcW w:w="0" w:type="auto"/>
            <w:tcBorders>
              <w:top w:val="nil"/>
              <w:left w:val="single" w:sz="4" w:space="0" w:color="auto"/>
              <w:right w:val="nil"/>
            </w:tcBorders>
            <w:shd w:val="clear" w:color="auto" w:fill="auto"/>
            <w:noWrap/>
            <w:vAlign w:val="center"/>
            <w:hideMark/>
          </w:tcPr>
          <w:p w14:paraId="1420CCC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30</w:t>
            </w:r>
          </w:p>
        </w:tc>
        <w:tc>
          <w:tcPr>
            <w:tcW w:w="0" w:type="auto"/>
            <w:tcBorders>
              <w:top w:val="nil"/>
              <w:left w:val="nil"/>
              <w:right w:val="nil"/>
            </w:tcBorders>
            <w:shd w:val="clear" w:color="auto" w:fill="auto"/>
            <w:noWrap/>
            <w:vAlign w:val="center"/>
            <w:hideMark/>
          </w:tcPr>
          <w:p w14:paraId="495BA01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44.50 </w:t>
            </w:r>
          </w:p>
        </w:tc>
        <w:tc>
          <w:tcPr>
            <w:tcW w:w="0" w:type="auto"/>
            <w:tcBorders>
              <w:top w:val="nil"/>
              <w:left w:val="nil"/>
              <w:right w:val="nil"/>
            </w:tcBorders>
            <w:shd w:val="clear" w:color="auto" w:fill="auto"/>
            <w:noWrap/>
            <w:vAlign w:val="center"/>
            <w:hideMark/>
          </w:tcPr>
          <w:p w14:paraId="5B1970F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33.13 </w:t>
            </w:r>
          </w:p>
        </w:tc>
        <w:tc>
          <w:tcPr>
            <w:tcW w:w="0" w:type="auto"/>
            <w:tcBorders>
              <w:top w:val="nil"/>
              <w:left w:val="nil"/>
              <w:right w:val="nil"/>
            </w:tcBorders>
            <w:shd w:val="clear" w:color="auto" w:fill="auto"/>
            <w:noWrap/>
            <w:vAlign w:val="center"/>
            <w:hideMark/>
          </w:tcPr>
          <w:p w14:paraId="7A10838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278.9</w:t>
            </w:r>
          </w:p>
        </w:tc>
        <w:tc>
          <w:tcPr>
            <w:tcW w:w="0" w:type="auto"/>
            <w:tcBorders>
              <w:top w:val="nil"/>
              <w:left w:val="nil"/>
              <w:right w:val="nil"/>
            </w:tcBorders>
            <w:shd w:val="clear" w:color="auto" w:fill="auto"/>
            <w:noWrap/>
            <w:vAlign w:val="center"/>
            <w:hideMark/>
          </w:tcPr>
          <w:p w14:paraId="6693E32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 </w:t>
            </w:r>
          </w:p>
        </w:tc>
        <w:tc>
          <w:tcPr>
            <w:tcW w:w="0" w:type="auto"/>
            <w:tcBorders>
              <w:top w:val="nil"/>
              <w:left w:val="nil"/>
              <w:right w:val="nil"/>
            </w:tcBorders>
            <w:shd w:val="clear" w:color="auto" w:fill="auto"/>
            <w:noWrap/>
            <w:vAlign w:val="center"/>
            <w:hideMark/>
          </w:tcPr>
          <w:p w14:paraId="527D75A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400 </w:t>
            </w:r>
          </w:p>
        </w:tc>
      </w:tr>
      <w:tr w:rsidR="00D9465C" w:rsidRPr="005E3FD2" w14:paraId="59FBD306" w14:textId="77777777" w:rsidTr="00DD0F28">
        <w:tc>
          <w:tcPr>
            <w:tcW w:w="0" w:type="auto"/>
            <w:tcBorders>
              <w:top w:val="nil"/>
              <w:left w:val="nil"/>
              <w:bottom w:val="single" w:sz="4" w:space="0" w:color="auto"/>
              <w:right w:val="nil"/>
            </w:tcBorders>
            <w:shd w:val="clear" w:color="auto" w:fill="auto"/>
            <w:noWrap/>
            <w:vAlign w:val="center"/>
            <w:hideMark/>
          </w:tcPr>
          <w:p w14:paraId="232CFB33" w14:textId="77777777" w:rsidR="00D9465C" w:rsidRPr="005E3FD2" w:rsidRDefault="00D9465C" w:rsidP="00DD0F28">
            <w:pPr>
              <w:spacing w:after="20"/>
              <w:rPr>
                <w:color w:val="000000"/>
                <w:sz w:val="16"/>
                <w:szCs w:val="16"/>
                <w:lang w:eastAsia="en-NZ"/>
              </w:rPr>
            </w:pPr>
            <w:r w:rsidRPr="005E3FD2">
              <w:rPr>
                <w:color w:val="000000"/>
                <w:sz w:val="16"/>
                <w:szCs w:val="16"/>
                <w:lang w:eastAsia="en-NZ"/>
              </w:rPr>
              <w:t>Rest of NZ</w:t>
            </w:r>
          </w:p>
        </w:tc>
        <w:tc>
          <w:tcPr>
            <w:tcW w:w="460" w:type="dxa"/>
            <w:tcBorders>
              <w:top w:val="nil"/>
              <w:left w:val="nil"/>
              <w:bottom w:val="single" w:sz="4" w:space="0" w:color="auto"/>
              <w:right w:val="nil"/>
            </w:tcBorders>
            <w:shd w:val="clear" w:color="000000" w:fill="FFFFFF"/>
            <w:vAlign w:val="center"/>
            <w:hideMark/>
          </w:tcPr>
          <w:p w14:paraId="0FAD933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510</w:t>
            </w:r>
          </w:p>
        </w:tc>
        <w:tc>
          <w:tcPr>
            <w:tcW w:w="677" w:type="dxa"/>
            <w:tcBorders>
              <w:top w:val="nil"/>
              <w:left w:val="nil"/>
              <w:bottom w:val="single" w:sz="4" w:space="0" w:color="auto"/>
              <w:right w:val="nil"/>
            </w:tcBorders>
            <w:shd w:val="clear" w:color="000000" w:fill="FFFFFF"/>
            <w:vAlign w:val="center"/>
            <w:hideMark/>
          </w:tcPr>
          <w:p w14:paraId="10F58DF5"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45.74 </w:t>
            </w:r>
          </w:p>
        </w:tc>
        <w:tc>
          <w:tcPr>
            <w:tcW w:w="823" w:type="dxa"/>
            <w:tcBorders>
              <w:top w:val="nil"/>
              <w:left w:val="nil"/>
              <w:bottom w:val="single" w:sz="4" w:space="0" w:color="auto"/>
              <w:right w:val="nil"/>
            </w:tcBorders>
            <w:shd w:val="clear" w:color="auto" w:fill="auto"/>
            <w:noWrap/>
            <w:vAlign w:val="center"/>
            <w:hideMark/>
          </w:tcPr>
          <w:p w14:paraId="3753B5D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17.48 </w:t>
            </w:r>
          </w:p>
        </w:tc>
        <w:tc>
          <w:tcPr>
            <w:tcW w:w="0" w:type="auto"/>
            <w:tcBorders>
              <w:top w:val="nil"/>
              <w:left w:val="nil"/>
              <w:bottom w:val="single" w:sz="4" w:space="0" w:color="auto"/>
              <w:right w:val="nil"/>
            </w:tcBorders>
            <w:shd w:val="clear" w:color="000000" w:fill="FFFFFF"/>
            <w:vAlign w:val="center"/>
            <w:hideMark/>
          </w:tcPr>
          <w:p w14:paraId="2173B7A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3077.6</w:t>
            </w:r>
          </w:p>
        </w:tc>
        <w:tc>
          <w:tcPr>
            <w:tcW w:w="0" w:type="auto"/>
            <w:tcBorders>
              <w:top w:val="nil"/>
              <w:left w:val="nil"/>
              <w:bottom w:val="single" w:sz="4" w:space="0" w:color="auto"/>
              <w:right w:val="nil"/>
            </w:tcBorders>
            <w:shd w:val="clear" w:color="000000" w:fill="FFFFFF"/>
            <w:vAlign w:val="center"/>
            <w:hideMark/>
          </w:tcPr>
          <w:p w14:paraId="6F5A0EA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single" w:sz="4" w:space="0" w:color="auto"/>
              <w:right w:val="single" w:sz="4" w:space="0" w:color="auto"/>
            </w:tcBorders>
            <w:shd w:val="clear" w:color="000000" w:fill="FFFFFF"/>
            <w:vAlign w:val="center"/>
            <w:hideMark/>
          </w:tcPr>
          <w:p w14:paraId="6CF146A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1,360 </w:t>
            </w:r>
          </w:p>
        </w:tc>
        <w:tc>
          <w:tcPr>
            <w:tcW w:w="0" w:type="auto"/>
            <w:tcBorders>
              <w:top w:val="nil"/>
              <w:left w:val="single" w:sz="4" w:space="0" w:color="auto"/>
              <w:bottom w:val="single" w:sz="4" w:space="0" w:color="auto"/>
              <w:right w:val="nil"/>
            </w:tcBorders>
            <w:shd w:val="clear" w:color="000000" w:fill="FFFFFF"/>
            <w:vAlign w:val="center"/>
            <w:hideMark/>
          </w:tcPr>
          <w:p w14:paraId="7F31609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254</w:t>
            </w:r>
          </w:p>
        </w:tc>
        <w:tc>
          <w:tcPr>
            <w:tcW w:w="0" w:type="auto"/>
            <w:tcBorders>
              <w:top w:val="nil"/>
              <w:left w:val="nil"/>
              <w:bottom w:val="single" w:sz="4" w:space="0" w:color="auto"/>
              <w:right w:val="nil"/>
            </w:tcBorders>
            <w:shd w:val="clear" w:color="000000" w:fill="FFFFFF"/>
            <w:vAlign w:val="center"/>
            <w:hideMark/>
          </w:tcPr>
          <w:p w14:paraId="245389E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37.55 </w:t>
            </w:r>
          </w:p>
        </w:tc>
        <w:tc>
          <w:tcPr>
            <w:tcW w:w="0" w:type="auto"/>
            <w:tcBorders>
              <w:top w:val="nil"/>
              <w:left w:val="nil"/>
              <w:bottom w:val="single" w:sz="4" w:space="0" w:color="auto"/>
              <w:right w:val="nil"/>
            </w:tcBorders>
            <w:shd w:val="clear" w:color="auto" w:fill="auto"/>
            <w:noWrap/>
            <w:vAlign w:val="center"/>
            <w:hideMark/>
          </w:tcPr>
          <w:p w14:paraId="33DE1EF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17.14 </w:t>
            </w:r>
          </w:p>
        </w:tc>
        <w:tc>
          <w:tcPr>
            <w:tcW w:w="0" w:type="auto"/>
            <w:tcBorders>
              <w:top w:val="nil"/>
              <w:left w:val="nil"/>
              <w:bottom w:val="single" w:sz="4" w:space="0" w:color="auto"/>
              <w:right w:val="nil"/>
            </w:tcBorders>
            <w:shd w:val="clear" w:color="000000" w:fill="FFFFFF"/>
            <w:vAlign w:val="center"/>
            <w:hideMark/>
          </w:tcPr>
          <w:p w14:paraId="6B55A39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1123.5</w:t>
            </w:r>
          </w:p>
        </w:tc>
        <w:tc>
          <w:tcPr>
            <w:tcW w:w="0" w:type="auto"/>
            <w:tcBorders>
              <w:top w:val="nil"/>
              <w:left w:val="nil"/>
              <w:bottom w:val="single" w:sz="4" w:space="0" w:color="auto"/>
              <w:right w:val="nil"/>
            </w:tcBorders>
            <w:shd w:val="clear" w:color="000000" w:fill="FFFFFF"/>
            <w:vAlign w:val="center"/>
            <w:hideMark/>
          </w:tcPr>
          <w:p w14:paraId="4F72DAB6"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single" w:sz="4" w:space="0" w:color="auto"/>
              <w:right w:val="single" w:sz="4" w:space="0" w:color="auto"/>
            </w:tcBorders>
            <w:shd w:val="clear" w:color="000000" w:fill="FFFFFF"/>
            <w:vAlign w:val="center"/>
            <w:hideMark/>
          </w:tcPr>
          <w:p w14:paraId="043D4AC4"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2,850 </w:t>
            </w:r>
          </w:p>
        </w:tc>
        <w:tc>
          <w:tcPr>
            <w:tcW w:w="0" w:type="auto"/>
            <w:tcBorders>
              <w:top w:val="nil"/>
              <w:left w:val="single" w:sz="4" w:space="0" w:color="auto"/>
              <w:bottom w:val="single" w:sz="4" w:space="0" w:color="auto"/>
              <w:right w:val="nil"/>
            </w:tcBorders>
            <w:shd w:val="clear" w:color="000000" w:fill="FFFFFF"/>
            <w:vAlign w:val="center"/>
            <w:hideMark/>
          </w:tcPr>
          <w:p w14:paraId="3E6A0217"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203</w:t>
            </w:r>
          </w:p>
        </w:tc>
        <w:tc>
          <w:tcPr>
            <w:tcW w:w="0" w:type="auto"/>
            <w:tcBorders>
              <w:top w:val="nil"/>
              <w:left w:val="nil"/>
              <w:bottom w:val="single" w:sz="4" w:space="0" w:color="auto"/>
              <w:right w:val="nil"/>
            </w:tcBorders>
            <w:shd w:val="clear" w:color="000000" w:fill="FFFFFF"/>
            <w:vAlign w:val="center"/>
            <w:hideMark/>
          </w:tcPr>
          <w:p w14:paraId="03DF11BD"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33.81 </w:t>
            </w:r>
          </w:p>
        </w:tc>
        <w:tc>
          <w:tcPr>
            <w:tcW w:w="0" w:type="auto"/>
            <w:tcBorders>
              <w:top w:val="nil"/>
              <w:left w:val="nil"/>
              <w:bottom w:val="single" w:sz="4" w:space="0" w:color="auto"/>
              <w:right w:val="nil"/>
            </w:tcBorders>
            <w:shd w:val="clear" w:color="auto" w:fill="auto"/>
            <w:noWrap/>
            <w:vAlign w:val="center"/>
            <w:hideMark/>
          </w:tcPr>
          <w:p w14:paraId="1FB829EC"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16.23 </w:t>
            </w:r>
          </w:p>
        </w:tc>
        <w:tc>
          <w:tcPr>
            <w:tcW w:w="0" w:type="auto"/>
            <w:tcBorders>
              <w:top w:val="nil"/>
              <w:left w:val="nil"/>
              <w:bottom w:val="single" w:sz="4" w:space="0" w:color="auto"/>
              <w:right w:val="nil"/>
            </w:tcBorders>
            <w:shd w:val="clear" w:color="000000" w:fill="FFFFFF"/>
            <w:vAlign w:val="center"/>
            <w:hideMark/>
          </w:tcPr>
          <w:p w14:paraId="772D074A"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708.7</w:t>
            </w:r>
          </w:p>
        </w:tc>
        <w:tc>
          <w:tcPr>
            <w:tcW w:w="0" w:type="auto"/>
            <w:tcBorders>
              <w:top w:val="nil"/>
              <w:left w:val="nil"/>
              <w:bottom w:val="single" w:sz="4" w:space="0" w:color="auto"/>
              <w:right w:val="nil"/>
            </w:tcBorders>
            <w:shd w:val="clear" w:color="000000" w:fill="FFFFFF"/>
            <w:vAlign w:val="center"/>
            <w:hideMark/>
          </w:tcPr>
          <w:p w14:paraId="157DA9C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single" w:sz="4" w:space="0" w:color="auto"/>
              <w:right w:val="single" w:sz="4" w:space="0" w:color="auto"/>
            </w:tcBorders>
            <w:shd w:val="clear" w:color="000000" w:fill="FFFFFF"/>
            <w:vAlign w:val="center"/>
            <w:hideMark/>
          </w:tcPr>
          <w:p w14:paraId="10E80A7F"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800 </w:t>
            </w:r>
          </w:p>
        </w:tc>
        <w:tc>
          <w:tcPr>
            <w:tcW w:w="0" w:type="auto"/>
            <w:tcBorders>
              <w:top w:val="nil"/>
              <w:left w:val="single" w:sz="4" w:space="0" w:color="auto"/>
              <w:bottom w:val="single" w:sz="4" w:space="0" w:color="auto"/>
              <w:right w:val="nil"/>
            </w:tcBorders>
            <w:shd w:val="clear" w:color="auto" w:fill="auto"/>
            <w:noWrap/>
            <w:vAlign w:val="center"/>
            <w:hideMark/>
          </w:tcPr>
          <w:p w14:paraId="30E768A1"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166</w:t>
            </w:r>
          </w:p>
        </w:tc>
        <w:tc>
          <w:tcPr>
            <w:tcW w:w="0" w:type="auto"/>
            <w:tcBorders>
              <w:top w:val="nil"/>
              <w:left w:val="nil"/>
              <w:bottom w:val="single" w:sz="4" w:space="0" w:color="auto"/>
              <w:right w:val="nil"/>
            </w:tcBorders>
            <w:shd w:val="clear" w:color="auto" w:fill="auto"/>
            <w:noWrap/>
            <w:vAlign w:val="center"/>
            <w:hideMark/>
          </w:tcPr>
          <w:p w14:paraId="38A5AEB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41.68 </w:t>
            </w:r>
          </w:p>
        </w:tc>
        <w:tc>
          <w:tcPr>
            <w:tcW w:w="0" w:type="auto"/>
            <w:tcBorders>
              <w:top w:val="nil"/>
              <w:left w:val="nil"/>
              <w:bottom w:val="single" w:sz="4" w:space="0" w:color="auto"/>
              <w:right w:val="nil"/>
            </w:tcBorders>
            <w:shd w:val="clear" w:color="auto" w:fill="auto"/>
            <w:noWrap/>
            <w:vAlign w:val="center"/>
            <w:hideMark/>
          </w:tcPr>
          <w:p w14:paraId="472BC412"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17.59 </w:t>
            </w:r>
          </w:p>
        </w:tc>
        <w:tc>
          <w:tcPr>
            <w:tcW w:w="0" w:type="auto"/>
            <w:tcBorders>
              <w:top w:val="nil"/>
              <w:left w:val="nil"/>
              <w:bottom w:val="single" w:sz="4" w:space="0" w:color="auto"/>
              <w:right w:val="nil"/>
            </w:tcBorders>
            <w:shd w:val="clear" w:color="auto" w:fill="auto"/>
            <w:noWrap/>
            <w:vAlign w:val="center"/>
            <w:hideMark/>
          </w:tcPr>
          <w:p w14:paraId="750DC578"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1308.6</w:t>
            </w:r>
          </w:p>
        </w:tc>
        <w:tc>
          <w:tcPr>
            <w:tcW w:w="0" w:type="auto"/>
            <w:tcBorders>
              <w:top w:val="nil"/>
              <w:left w:val="nil"/>
              <w:bottom w:val="single" w:sz="4" w:space="0" w:color="auto"/>
              <w:right w:val="nil"/>
            </w:tcBorders>
            <w:shd w:val="clear" w:color="auto" w:fill="auto"/>
            <w:noWrap/>
            <w:vAlign w:val="center"/>
            <w:hideMark/>
          </w:tcPr>
          <w:p w14:paraId="2C5D921E"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 </w:t>
            </w:r>
          </w:p>
        </w:tc>
        <w:tc>
          <w:tcPr>
            <w:tcW w:w="0" w:type="auto"/>
            <w:tcBorders>
              <w:top w:val="nil"/>
              <w:left w:val="nil"/>
              <w:bottom w:val="single" w:sz="4" w:space="0" w:color="auto"/>
              <w:right w:val="nil"/>
            </w:tcBorders>
            <w:shd w:val="clear" w:color="auto" w:fill="auto"/>
            <w:noWrap/>
            <w:vAlign w:val="center"/>
            <w:hideMark/>
          </w:tcPr>
          <w:p w14:paraId="1CBB56C0" w14:textId="77777777" w:rsidR="00D9465C" w:rsidRPr="005E3FD2" w:rsidRDefault="00D9465C" w:rsidP="00DD0F28">
            <w:pPr>
              <w:spacing w:after="20"/>
              <w:jc w:val="right"/>
              <w:rPr>
                <w:color w:val="000000"/>
                <w:sz w:val="16"/>
                <w:szCs w:val="16"/>
                <w:lang w:eastAsia="en-NZ"/>
              </w:rPr>
            </w:pPr>
            <w:r w:rsidRPr="005E3FD2">
              <w:rPr>
                <w:color w:val="000000"/>
                <w:sz w:val="16"/>
                <w:szCs w:val="16"/>
                <w:lang w:eastAsia="en-NZ"/>
              </w:rPr>
              <w:t xml:space="preserve">1,200 </w:t>
            </w:r>
          </w:p>
        </w:tc>
      </w:tr>
    </w:tbl>
    <w:p w14:paraId="2CDB6DC4" w14:textId="77777777" w:rsidR="00D9465C" w:rsidRDefault="00D9465C" w:rsidP="00D9465C">
      <w:pPr>
        <w:ind w:left="-709"/>
        <w:rPr>
          <w:rFonts w:eastAsiaTheme="majorEastAsia"/>
          <w:sz w:val="16"/>
          <w:lang w:eastAsia="en-US"/>
        </w:rPr>
      </w:pPr>
      <w:r w:rsidRPr="00D05AB1">
        <w:rPr>
          <w:sz w:val="16"/>
          <w:szCs w:val="16"/>
        </w:rPr>
        <w:t>Data weighted for 2013 Census data (</w:t>
      </w:r>
      <w:r>
        <w:rPr>
          <w:sz w:val="16"/>
          <w:szCs w:val="16"/>
        </w:rPr>
        <w:t>all w</w:t>
      </w:r>
      <w:r w:rsidRPr="00D05AB1">
        <w:rPr>
          <w:sz w:val="16"/>
          <w:szCs w:val="16"/>
        </w:rPr>
        <w:t>aves) and attrition (Wave</w:t>
      </w:r>
      <w:r>
        <w:rPr>
          <w:sz w:val="16"/>
          <w:szCs w:val="16"/>
        </w:rPr>
        <w:t>s</w:t>
      </w:r>
      <w:r w:rsidRPr="00D05AB1">
        <w:rPr>
          <w:sz w:val="16"/>
          <w:szCs w:val="16"/>
        </w:rPr>
        <w:t xml:space="preserve"> 2</w:t>
      </w:r>
      <w:r>
        <w:rPr>
          <w:sz w:val="16"/>
          <w:szCs w:val="16"/>
        </w:rPr>
        <w:t>,</w:t>
      </w:r>
      <w:r w:rsidRPr="00D05AB1">
        <w:rPr>
          <w:sz w:val="16"/>
          <w:szCs w:val="16"/>
        </w:rPr>
        <w:t xml:space="preserve"> 3</w:t>
      </w:r>
      <w:r>
        <w:rPr>
          <w:sz w:val="16"/>
          <w:szCs w:val="16"/>
        </w:rPr>
        <w:t xml:space="preserve"> and 4</w:t>
      </w:r>
      <w:r w:rsidRPr="00D05AB1">
        <w:rPr>
          <w:sz w:val="16"/>
          <w:szCs w:val="16"/>
        </w:rPr>
        <w:t>)</w:t>
      </w:r>
    </w:p>
    <w:p w14:paraId="790EB0D9" w14:textId="77777777" w:rsidR="00D9465C" w:rsidRDefault="00D9465C">
      <w:pPr>
        <w:spacing w:after="200" w:line="276" w:lineRule="auto"/>
        <w:rPr>
          <w:rFonts w:eastAsiaTheme="majorEastAsia" w:cstheme="majorBidi"/>
          <w:b/>
          <w:bCs/>
          <w:caps/>
          <w:szCs w:val="28"/>
          <w:lang w:eastAsia="en-US"/>
        </w:rPr>
      </w:pPr>
      <w:r>
        <w:br w:type="page"/>
      </w:r>
    </w:p>
    <w:p w14:paraId="43A35AF6" w14:textId="77777777" w:rsidR="007B4EF8" w:rsidRDefault="007B4EF8" w:rsidP="007B4EF8">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bookmarkStart w:id="215" w:name="_Toc504488415"/>
      <w:r>
        <w:t xml:space="preserve">APPENDIX </w:t>
      </w:r>
      <w:r w:rsidR="00D9465C">
        <w:t>22</w:t>
      </w:r>
      <w:r>
        <w:t>:</w:t>
      </w:r>
      <w:r>
        <w:br/>
      </w:r>
      <w:r w:rsidR="00CD1F83">
        <w:rPr>
          <w:caps w:val="0"/>
        </w:rPr>
        <w:t xml:space="preserve">Gambling risk </w:t>
      </w:r>
      <w:r w:rsidR="00DD314D">
        <w:rPr>
          <w:caps w:val="0"/>
        </w:rPr>
        <w:t>levels</w:t>
      </w:r>
      <w:r w:rsidR="00CD1F83">
        <w:rPr>
          <w:caps w:val="0"/>
        </w:rPr>
        <w:t xml:space="preserve"> by socio</w:t>
      </w:r>
      <w:r>
        <w:rPr>
          <w:caps w:val="0"/>
        </w:rPr>
        <w:t>demographic variables for Waves 1, 2, 3 and 4</w:t>
      </w:r>
      <w:bookmarkEnd w:id="215"/>
    </w:p>
    <w:p w14:paraId="6CE55905" w14:textId="77777777" w:rsidR="00D317D8" w:rsidRPr="00D317D8" w:rsidRDefault="00D317D8" w:rsidP="00D317D8">
      <w:pPr>
        <w:pStyle w:val="RepNormal"/>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gridCol w:w="2299"/>
        <w:gridCol w:w="536"/>
        <w:gridCol w:w="496"/>
        <w:gridCol w:w="963"/>
        <w:gridCol w:w="536"/>
        <w:gridCol w:w="496"/>
        <w:gridCol w:w="963"/>
        <w:gridCol w:w="536"/>
        <w:gridCol w:w="496"/>
        <w:gridCol w:w="963"/>
        <w:gridCol w:w="536"/>
        <w:gridCol w:w="496"/>
        <w:gridCol w:w="963"/>
      </w:tblGrid>
      <w:tr w:rsidR="007B4EF8" w:rsidRPr="007B4EF8" w14:paraId="674BC82D" w14:textId="77777777" w:rsidTr="00604260">
        <w:trPr>
          <w:tblHeader/>
          <w:jc w:val="center"/>
        </w:trPr>
        <w:tc>
          <w:tcPr>
            <w:tcW w:w="0" w:type="auto"/>
            <w:vMerge w:val="restart"/>
            <w:tcBorders>
              <w:top w:val="single" w:sz="4" w:space="0" w:color="auto"/>
            </w:tcBorders>
            <w:vAlign w:val="bottom"/>
          </w:tcPr>
          <w:p w14:paraId="359503DC" w14:textId="77777777" w:rsidR="007B4EF8" w:rsidRPr="001B7431" w:rsidRDefault="007B4EF8" w:rsidP="001B7431">
            <w:pPr>
              <w:spacing w:before="20" w:after="20"/>
              <w:ind w:left="34"/>
              <w:rPr>
                <w:rFonts w:eastAsiaTheme="minorEastAsia"/>
                <w:b/>
                <w:sz w:val="16"/>
                <w:szCs w:val="16"/>
                <w:lang w:eastAsia="en-US"/>
              </w:rPr>
            </w:pPr>
            <w:r w:rsidRPr="001B7431">
              <w:rPr>
                <w:rFonts w:eastAsiaTheme="minorEastAsia"/>
                <w:b/>
                <w:sz w:val="16"/>
                <w:szCs w:val="16"/>
                <w:lang w:eastAsia="en-US"/>
              </w:rPr>
              <w:t>Baseline variable</w:t>
            </w:r>
          </w:p>
        </w:tc>
        <w:tc>
          <w:tcPr>
            <w:tcW w:w="0" w:type="auto"/>
            <w:vMerge w:val="restart"/>
            <w:tcBorders>
              <w:top w:val="single" w:sz="4" w:space="0" w:color="auto"/>
            </w:tcBorders>
            <w:vAlign w:val="bottom"/>
          </w:tcPr>
          <w:p w14:paraId="30C1F041" w14:textId="77777777" w:rsidR="007B4EF8" w:rsidRPr="001B7431" w:rsidRDefault="007B4EF8" w:rsidP="001B7431">
            <w:pPr>
              <w:spacing w:before="20" w:after="20"/>
              <w:ind w:left="34"/>
              <w:rPr>
                <w:rFonts w:eastAsiaTheme="minorEastAsia"/>
                <w:b/>
                <w:sz w:val="16"/>
                <w:szCs w:val="16"/>
                <w:lang w:eastAsia="en-US"/>
              </w:rPr>
            </w:pPr>
            <w:r w:rsidRPr="001B7431">
              <w:rPr>
                <w:rFonts w:eastAsiaTheme="minorEastAsia"/>
                <w:b/>
                <w:sz w:val="16"/>
                <w:szCs w:val="16"/>
                <w:lang w:eastAsia="en-US"/>
              </w:rPr>
              <w:t>Gambling risk level</w:t>
            </w:r>
          </w:p>
        </w:tc>
        <w:tc>
          <w:tcPr>
            <w:tcW w:w="0" w:type="auto"/>
            <w:gridSpan w:val="3"/>
            <w:tcBorders>
              <w:top w:val="single" w:sz="4" w:space="0" w:color="auto"/>
              <w:bottom w:val="single" w:sz="4" w:space="0" w:color="auto"/>
              <w:right w:val="single" w:sz="4" w:space="0" w:color="auto"/>
            </w:tcBorders>
            <w:vAlign w:val="center"/>
          </w:tcPr>
          <w:p w14:paraId="1B2AC595" w14:textId="77777777" w:rsidR="007B4EF8" w:rsidRPr="001B7431" w:rsidRDefault="007B4EF8" w:rsidP="001B7431">
            <w:pPr>
              <w:spacing w:before="20" w:after="20"/>
              <w:ind w:left="34"/>
              <w:jc w:val="center"/>
              <w:rPr>
                <w:rFonts w:eastAsiaTheme="minorEastAsia"/>
                <w:b/>
                <w:sz w:val="16"/>
                <w:szCs w:val="16"/>
                <w:lang w:eastAsia="en-US"/>
              </w:rPr>
            </w:pPr>
            <w:r w:rsidRPr="001B7431">
              <w:rPr>
                <w:rFonts w:eastAsiaTheme="minorEastAsia"/>
                <w:b/>
                <w:sz w:val="16"/>
                <w:szCs w:val="16"/>
                <w:lang w:eastAsia="en-US"/>
              </w:rPr>
              <w:t>Wave 1</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52EAA20B" w14:textId="77777777" w:rsidR="007B4EF8" w:rsidRPr="001B7431" w:rsidRDefault="007B4EF8" w:rsidP="001B7431">
            <w:pPr>
              <w:spacing w:before="20" w:after="20"/>
              <w:ind w:left="34"/>
              <w:jc w:val="center"/>
              <w:rPr>
                <w:rFonts w:eastAsiaTheme="minorEastAsia"/>
                <w:b/>
                <w:sz w:val="16"/>
                <w:szCs w:val="16"/>
                <w:lang w:eastAsia="en-US"/>
              </w:rPr>
            </w:pPr>
            <w:r w:rsidRPr="001B7431">
              <w:rPr>
                <w:rFonts w:eastAsiaTheme="minorEastAsia"/>
                <w:b/>
                <w:sz w:val="16"/>
                <w:szCs w:val="16"/>
                <w:lang w:eastAsia="en-US"/>
              </w:rPr>
              <w:t>Wave 2</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E5773B0" w14:textId="77777777" w:rsidR="007B4EF8" w:rsidRPr="001B7431" w:rsidRDefault="007B4EF8" w:rsidP="001B7431">
            <w:pPr>
              <w:spacing w:before="20" w:after="20"/>
              <w:ind w:left="34"/>
              <w:jc w:val="center"/>
              <w:rPr>
                <w:rFonts w:eastAsiaTheme="minorEastAsia"/>
                <w:b/>
                <w:sz w:val="16"/>
                <w:szCs w:val="16"/>
                <w:lang w:eastAsia="en-US"/>
              </w:rPr>
            </w:pPr>
            <w:r w:rsidRPr="001B7431">
              <w:rPr>
                <w:rFonts w:eastAsiaTheme="minorEastAsia"/>
                <w:b/>
                <w:sz w:val="16"/>
                <w:szCs w:val="16"/>
                <w:lang w:eastAsia="en-US"/>
              </w:rPr>
              <w:t>Wave 3</w:t>
            </w:r>
          </w:p>
        </w:tc>
        <w:tc>
          <w:tcPr>
            <w:tcW w:w="0" w:type="auto"/>
            <w:gridSpan w:val="3"/>
            <w:tcBorders>
              <w:top w:val="single" w:sz="4" w:space="0" w:color="auto"/>
              <w:left w:val="single" w:sz="4" w:space="0" w:color="auto"/>
              <w:bottom w:val="single" w:sz="4" w:space="0" w:color="auto"/>
            </w:tcBorders>
            <w:vAlign w:val="center"/>
          </w:tcPr>
          <w:p w14:paraId="4BFDEBCC" w14:textId="77777777" w:rsidR="007B4EF8" w:rsidRPr="001B7431" w:rsidRDefault="007B4EF8" w:rsidP="001B7431">
            <w:pPr>
              <w:spacing w:before="20" w:after="20"/>
              <w:ind w:left="34"/>
              <w:jc w:val="center"/>
              <w:rPr>
                <w:rFonts w:eastAsiaTheme="minorEastAsia"/>
                <w:b/>
                <w:sz w:val="16"/>
                <w:szCs w:val="16"/>
                <w:lang w:eastAsia="en-US"/>
              </w:rPr>
            </w:pPr>
            <w:r w:rsidRPr="001B7431">
              <w:rPr>
                <w:rFonts w:eastAsiaTheme="minorEastAsia"/>
                <w:b/>
                <w:sz w:val="16"/>
                <w:szCs w:val="16"/>
                <w:lang w:eastAsia="en-US"/>
              </w:rPr>
              <w:t>Wave 4</w:t>
            </w:r>
          </w:p>
        </w:tc>
      </w:tr>
      <w:tr w:rsidR="008A7800" w:rsidRPr="007B4EF8" w14:paraId="2673B988" w14:textId="77777777" w:rsidTr="00604260">
        <w:trPr>
          <w:tblHeader/>
          <w:jc w:val="center"/>
        </w:trPr>
        <w:tc>
          <w:tcPr>
            <w:tcW w:w="0" w:type="auto"/>
            <w:vMerge/>
            <w:tcBorders>
              <w:bottom w:val="single" w:sz="4" w:space="0" w:color="auto"/>
            </w:tcBorders>
          </w:tcPr>
          <w:p w14:paraId="614B42BC" w14:textId="77777777" w:rsidR="001B7431" w:rsidRPr="001B7431" w:rsidRDefault="001B7431" w:rsidP="001B7431">
            <w:pPr>
              <w:spacing w:before="20" w:after="20"/>
              <w:ind w:left="34"/>
              <w:rPr>
                <w:rFonts w:eastAsiaTheme="minorEastAsia"/>
                <w:b/>
                <w:sz w:val="16"/>
                <w:szCs w:val="16"/>
                <w:lang w:eastAsia="en-US"/>
              </w:rPr>
            </w:pPr>
          </w:p>
        </w:tc>
        <w:tc>
          <w:tcPr>
            <w:tcW w:w="0" w:type="auto"/>
            <w:vMerge/>
            <w:tcBorders>
              <w:bottom w:val="single" w:sz="4" w:space="0" w:color="auto"/>
            </w:tcBorders>
          </w:tcPr>
          <w:p w14:paraId="1F4BFEB7" w14:textId="77777777" w:rsidR="001B7431" w:rsidRPr="001B7431" w:rsidRDefault="001B7431" w:rsidP="001B7431">
            <w:pPr>
              <w:spacing w:before="20" w:after="20"/>
              <w:ind w:left="34"/>
              <w:rPr>
                <w:rFonts w:eastAsiaTheme="minorEastAsia"/>
                <w:b/>
                <w:sz w:val="16"/>
                <w:szCs w:val="16"/>
                <w:lang w:eastAsia="en-US"/>
              </w:rPr>
            </w:pPr>
          </w:p>
        </w:tc>
        <w:tc>
          <w:tcPr>
            <w:tcW w:w="0" w:type="auto"/>
            <w:tcBorders>
              <w:top w:val="single" w:sz="4" w:space="0" w:color="auto"/>
              <w:bottom w:val="single" w:sz="4" w:space="0" w:color="auto"/>
            </w:tcBorders>
            <w:vAlign w:val="center"/>
          </w:tcPr>
          <w:p w14:paraId="417772D8" w14:textId="77777777" w:rsidR="001B7431" w:rsidRPr="001B7431" w:rsidRDefault="001B7431" w:rsidP="00E11ADB">
            <w:pPr>
              <w:spacing w:before="20" w:after="20"/>
              <w:ind w:left="34"/>
              <w:jc w:val="right"/>
              <w:rPr>
                <w:rFonts w:eastAsiaTheme="minorEastAsia"/>
                <w:b/>
                <w:sz w:val="16"/>
                <w:szCs w:val="16"/>
                <w:lang w:eastAsia="en-US"/>
              </w:rPr>
            </w:pPr>
            <w:r w:rsidRPr="001B7431">
              <w:rPr>
                <w:rFonts w:eastAsiaTheme="minorEastAsia"/>
                <w:b/>
                <w:sz w:val="16"/>
                <w:szCs w:val="16"/>
                <w:lang w:eastAsia="en-US"/>
              </w:rPr>
              <w:t>n</w:t>
            </w:r>
          </w:p>
        </w:tc>
        <w:tc>
          <w:tcPr>
            <w:tcW w:w="0" w:type="auto"/>
            <w:tcBorders>
              <w:top w:val="single" w:sz="4" w:space="0" w:color="auto"/>
              <w:bottom w:val="single" w:sz="4" w:space="0" w:color="auto"/>
            </w:tcBorders>
            <w:vAlign w:val="center"/>
          </w:tcPr>
          <w:p w14:paraId="1E7DA36F" w14:textId="77777777" w:rsidR="001B7431" w:rsidRPr="001B7431" w:rsidRDefault="001B7431" w:rsidP="00E11ADB">
            <w:pPr>
              <w:spacing w:before="20" w:after="20"/>
              <w:ind w:left="34"/>
              <w:jc w:val="right"/>
              <w:rPr>
                <w:rFonts w:eastAsiaTheme="minorEastAsia"/>
                <w:b/>
                <w:sz w:val="16"/>
                <w:szCs w:val="16"/>
                <w:lang w:eastAsia="en-US"/>
              </w:rPr>
            </w:pPr>
            <w:r w:rsidRPr="001B7431">
              <w:rPr>
                <w:rFonts w:eastAsiaTheme="minorEastAsia"/>
                <w:b/>
                <w:sz w:val="16"/>
                <w:szCs w:val="16"/>
                <w:lang w:eastAsia="en-US"/>
              </w:rPr>
              <w:t>%</w:t>
            </w:r>
          </w:p>
        </w:tc>
        <w:tc>
          <w:tcPr>
            <w:tcW w:w="0" w:type="auto"/>
            <w:tcBorders>
              <w:top w:val="single" w:sz="4" w:space="0" w:color="auto"/>
              <w:bottom w:val="single" w:sz="4" w:space="0" w:color="auto"/>
              <w:right w:val="single" w:sz="4" w:space="0" w:color="auto"/>
            </w:tcBorders>
            <w:vAlign w:val="center"/>
          </w:tcPr>
          <w:p w14:paraId="54F3A06E" w14:textId="77777777" w:rsidR="001B7431" w:rsidRPr="001B7431" w:rsidRDefault="001B7431" w:rsidP="00E11ADB">
            <w:pPr>
              <w:spacing w:before="20" w:after="20"/>
              <w:ind w:left="34"/>
              <w:jc w:val="right"/>
              <w:rPr>
                <w:rFonts w:eastAsiaTheme="minorEastAsia"/>
                <w:b/>
                <w:sz w:val="16"/>
                <w:szCs w:val="16"/>
                <w:lang w:eastAsia="en-US"/>
              </w:rPr>
            </w:pPr>
            <w:r w:rsidRPr="001B7431">
              <w:rPr>
                <w:rFonts w:eastAsiaTheme="minorEastAsia"/>
                <w:b/>
                <w:sz w:val="16"/>
                <w:szCs w:val="16"/>
                <w:lang w:eastAsia="en-US"/>
              </w:rPr>
              <w:t>(95% CI)</w:t>
            </w:r>
          </w:p>
        </w:tc>
        <w:tc>
          <w:tcPr>
            <w:tcW w:w="0" w:type="auto"/>
            <w:tcBorders>
              <w:top w:val="single" w:sz="4" w:space="0" w:color="auto"/>
              <w:left w:val="single" w:sz="4" w:space="0" w:color="auto"/>
              <w:bottom w:val="single" w:sz="4" w:space="0" w:color="auto"/>
            </w:tcBorders>
            <w:vAlign w:val="center"/>
          </w:tcPr>
          <w:p w14:paraId="215E8443" w14:textId="77777777" w:rsidR="001B7431" w:rsidRPr="001B7431" w:rsidRDefault="001B7431" w:rsidP="00E11ADB">
            <w:pPr>
              <w:spacing w:before="20" w:after="20"/>
              <w:ind w:left="34"/>
              <w:jc w:val="right"/>
              <w:rPr>
                <w:rFonts w:eastAsiaTheme="minorEastAsia"/>
                <w:b/>
                <w:sz w:val="16"/>
                <w:szCs w:val="16"/>
                <w:lang w:eastAsia="en-US"/>
              </w:rPr>
            </w:pPr>
            <w:r w:rsidRPr="001B7431">
              <w:rPr>
                <w:rFonts w:eastAsiaTheme="minorEastAsia"/>
                <w:b/>
                <w:sz w:val="16"/>
                <w:szCs w:val="16"/>
                <w:lang w:eastAsia="en-US"/>
              </w:rPr>
              <w:t>n</w:t>
            </w:r>
          </w:p>
        </w:tc>
        <w:tc>
          <w:tcPr>
            <w:tcW w:w="0" w:type="auto"/>
            <w:tcBorders>
              <w:top w:val="single" w:sz="4" w:space="0" w:color="auto"/>
              <w:bottom w:val="single" w:sz="4" w:space="0" w:color="auto"/>
            </w:tcBorders>
            <w:vAlign w:val="center"/>
          </w:tcPr>
          <w:p w14:paraId="4204D22F" w14:textId="77777777" w:rsidR="001B7431" w:rsidRPr="001B7431" w:rsidRDefault="001B7431" w:rsidP="00E11ADB">
            <w:pPr>
              <w:spacing w:before="20" w:after="20"/>
              <w:ind w:left="34"/>
              <w:jc w:val="right"/>
              <w:rPr>
                <w:rFonts w:eastAsiaTheme="minorEastAsia"/>
                <w:b/>
                <w:sz w:val="16"/>
                <w:szCs w:val="16"/>
                <w:lang w:eastAsia="en-US"/>
              </w:rPr>
            </w:pPr>
            <w:r w:rsidRPr="001B7431">
              <w:rPr>
                <w:rFonts w:eastAsiaTheme="minorEastAsia"/>
                <w:b/>
                <w:sz w:val="16"/>
                <w:szCs w:val="16"/>
                <w:lang w:eastAsia="en-US"/>
              </w:rPr>
              <w:t>%</w:t>
            </w:r>
          </w:p>
        </w:tc>
        <w:tc>
          <w:tcPr>
            <w:tcW w:w="0" w:type="auto"/>
            <w:tcBorders>
              <w:top w:val="single" w:sz="4" w:space="0" w:color="auto"/>
              <w:bottom w:val="single" w:sz="4" w:space="0" w:color="auto"/>
              <w:right w:val="single" w:sz="4" w:space="0" w:color="auto"/>
            </w:tcBorders>
            <w:vAlign w:val="center"/>
          </w:tcPr>
          <w:p w14:paraId="4E0038BA" w14:textId="77777777" w:rsidR="001B7431" w:rsidRPr="001B7431" w:rsidRDefault="001B7431" w:rsidP="00E11ADB">
            <w:pPr>
              <w:spacing w:before="20" w:after="20"/>
              <w:ind w:left="34"/>
              <w:jc w:val="right"/>
              <w:rPr>
                <w:rFonts w:eastAsiaTheme="minorEastAsia"/>
                <w:b/>
                <w:sz w:val="16"/>
                <w:szCs w:val="16"/>
                <w:lang w:eastAsia="en-US"/>
              </w:rPr>
            </w:pPr>
            <w:r w:rsidRPr="001B7431">
              <w:rPr>
                <w:rFonts w:eastAsiaTheme="minorEastAsia"/>
                <w:b/>
                <w:sz w:val="16"/>
                <w:szCs w:val="16"/>
                <w:lang w:eastAsia="en-US"/>
              </w:rPr>
              <w:t>(95% CI)</w:t>
            </w:r>
          </w:p>
        </w:tc>
        <w:tc>
          <w:tcPr>
            <w:tcW w:w="0" w:type="auto"/>
            <w:tcBorders>
              <w:top w:val="single" w:sz="4" w:space="0" w:color="auto"/>
              <w:left w:val="single" w:sz="4" w:space="0" w:color="auto"/>
              <w:bottom w:val="single" w:sz="4" w:space="0" w:color="auto"/>
            </w:tcBorders>
            <w:vAlign w:val="center"/>
          </w:tcPr>
          <w:p w14:paraId="798D27BC" w14:textId="77777777" w:rsidR="001B7431" w:rsidRPr="001B7431" w:rsidRDefault="001B7431" w:rsidP="00E11ADB">
            <w:pPr>
              <w:spacing w:before="20" w:after="20"/>
              <w:ind w:left="34"/>
              <w:jc w:val="right"/>
              <w:rPr>
                <w:rFonts w:eastAsiaTheme="minorEastAsia"/>
                <w:b/>
                <w:sz w:val="16"/>
                <w:szCs w:val="16"/>
                <w:lang w:eastAsia="en-US"/>
              </w:rPr>
            </w:pPr>
            <w:r w:rsidRPr="001B7431">
              <w:rPr>
                <w:rFonts w:eastAsiaTheme="minorEastAsia"/>
                <w:b/>
                <w:sz w:val="16"/>
                <w:szCs w:val="16"/>
                <w:lang w:eastAsia="en-US"/>
              </w:rPr>
              <w:t>n</w:t>
            </w:r>
          </w:p>
        </w:tc>
        <w:tc>
          <w:tcPr>
            <w:tcW w:w="0" w:type="auto"/>
            <w:tcBorders>
              <w:top w:val="single" w:sz="4" w:space="0" w:color="auto"/>
              <w:bottom w:val="single" w:sz="4" w:space="0" w:color="auto"/>
            </w:tcBorders>
            <w:vAlign w:val="center"/>
          </w:tcPr>
          <w:p w14:paraId="373A5447" w14:textId="77777777" w:rsidR="001B7431" w:rsidRPr="001B7431" w:rsidRDefault="001B7431" w:rsidP="00E11ADB">
            <w:pPr>
              <w:spacing w:before="20" w:after="20"/>
              <w:ind w:left="34"/>
              <w:jc w:val="right"/>
              <w:rPr>
                <w:rFonts w:eastAsiaTheme="minorEastAsia"/>
                <w:b/>
                <w:sz w:val="16"/>
                <w:szCs w:val="16"/>
                <w:lang w:eastAsia="en-US"/>
              </w:rPr>
            </w:pPr>
            <w:r w:rsidRPr="001B7431">
              <w:rPr>
                <w:rFonts w:eastAsiaTheme="minorEastAsia"/>
                <w:b/>
                <w:sz w:val="16"/>
                <w:szCs w:val="16"/>
                <w:lang w:eastAsia="en-US"/>
              </w:rPr>
              <w:t>%</w:t>
            </w:r>
          </w:p>
        </w:tc>
        <w:tc>
          <w:tcPr>
            <w:tcW w:w="0" w:type="auto"/>
            <w:tcBorders>
              <w:top w:val="single" w:sz="4" w:space="0" w:color="auto"/>
              <w:bottom w:val="single" w:sz="4" w:space="0" w:color="auto"/>
              <w:right w:val="single" w:sz="4" w:space="0" w:color="auto"/>
            </w:tcBorders>
            <w:vAlign w:val="center"/>
          </w:tcPr>
          <w:p w14:paraId="53C000BB" w14:textId="77777777" w:rsidR="001B7431" w:rsidRPr="001B7431" w:rsidRDefault="001B7431" w:rsidP="00E11ADB">
            <w:pPr>
              <w:spacing w:before="20" w:after="20"/>
              <w:ind w:left="34"/>
              <w:jc w:val="right"/>
              <w:rPr>
                <w:rFonts w:eastAsiaTheme="minorEastAsia"/>
                <w:b/>
                <w:sz w:val="16"/>
                <w:szCs w:val="16"/>
                <w:lang w:eastAsia="en-US"/>
              </w:rPr>
            </w:pPr>
            <w:r w:rsidRPr="001B7431">
              <w:rPr>
                <w:rFonts w:eastAsiaTheme="minorEastAsia"/>
                <w:b/>
                <w:sz w:val="16"/>
                <w:szCs w:val="16"/>
                <w:lang w:eastAsia="en-US"/>
              </w:rPr>
              <w:t>(95% CI)</w:t>
            </w:r>
          </w:p>
        </w:tc>
        <w:tc>
          <w:tcPr>
            <w:tcW w:w="0" w:type="auto"/>
            <w:tcBorders>
              <w:top w:val="single" w:sz="4" w:space="0" w:color="auto"/>
              <w:left w:val="single" w:sz="4" w:space="0" w:color="auto"/>
              <w:bottom w:val="single" w:sz="4" w:space="0" w:color="auto"/>
            </w:tcBorders>
            <w:vAlign w:val="center"/>
          </w:tcPr>
          <w:p w14:paraId="07E8F714" w14:textId="77777777" w:rsidR="001B7431" w:rsidRPr="001B7431" w:rsidRDefault="001B7431" w:rsidP="00E11ADB">
            <w:pPr>
              <w:spacing w:before="20" w:after="20"/>
              <w:ind w:left="34"/>
              <w:jc w:val="right"/>
              <w:rPr>
                <w:rFonts w:eastAsiaTheme="minorEastAsia"/>
                <w:b/>
                <w:sz w:val="16"/>
                <w:szCs w:val="16"/>
                <w:lang w:eastAsia="en-US"/>
              </w:rPr>
            </w:pPr>
            <w:r w:rsidRPr="001B7431">
              <w:rPr>
                <w:rFonts w:eastAsiaTheme="minorEastAsia"/>
                <w:b/>
                <w:sz w:val="16"/>
                <w:szCs w:val="16"/>
                <w:lang w:eastAsia="en-US"/>
              </w:rPr>
              <w:t>n</w:t>
            </w:r>
          </w:p>
        </w:tc>
        <w:tc>
          <w:tcPr>
            <w:tcW w:w="0" w:type="auto"/>
            <w:tcBorders>
              <w:top w:val="single" w:sz="4" w:space="0" w:color="auto"/>
              <w:bottom w:val="single" w:sz="4" w:space="0" w:color="auto"/>
            </w:tcBorders>
            <w:vAlign w:val="center"/>
          </w:tcPr>
          <w:p w14:paraId="0F5B7862" w14:textId="77777777" w:rsidR="001B7431" w:rsidRPr="001B7431" w:rsidRDefault="001B7431" w:rsidP="00E11ADB">
            <w:pPr>
              <w:spacing w:before="20" w:after="20"/>
              <w:ind w:left="34"/>
              <w:jc w:val="right"/>
              <w:rPr>
                <w:rFonts w:eastAsiaTheme="minorEastAsia"/>
                <w:b/>
                <w:sz w:val="16"/>
                <w:szCs w:val="16"/>
                <w:lang w:eastAsia="en-US"/>
              </w:rPr>
            </w:pPr>
            <w:r w:rsidRPr="001B7431">
              <w:rPr>
                <w:rFonts w:eastAsiaTheme="minorEastAsia"/>
                <w:b/>
                <w:sz w:val="16"/>
                <w:szCs w:val="16"/>
                <w:lang w:eastAsia="en-US"/>
              </w:rPr>
              <w:t>%</w:t>
            </w:r>
          </w:p>
        </w:tc>
        <w:tc>
          <w:tcPr>
            <w:tcW w:w="0" w:type="auto"/>
            <w:tcBorders>
              <w:top w:val="single" w:sz="4" w:space="0" w:color="auto"/>
              <w:bottom w:val="single" w:sz="4" w:space="0" w:color="auto"/>
            </w:tcBorders>
            <w:vAlign w:val="center"/>
          </w:tcPr>
          <w:p w14:paraId="43261155" w14:textId="77777777" w:rsidR="001B7431" w:rsidRPr="001B7431" w:rsidRDefault="001B7431" w:rsidP="00E11ADB">
            <w:pPr>
              <w:spacing w:before="20" w:after="20"/>
              <w:ind w:left="34"/>
              <w:jc w:val="right"/>
              <w:rPr>
                <w:rFonts w:eastAsiaTheme="minorEastAsia"/>
                <w:b/>
                <w:sz w:val="16"/>
                <w:szCs w:val="16"/>
                <w:lang w:eastAsia="en-US"/>
              </w:rPr>
            </w:pPr>
            <w:r w:rsidRPr="001B7431">
              <w:rPr>
                <w:rFonts w:eastAsiaTheme="minorEastAsia"/>
                <w:b/>
                <w:sz w:val="16"/>
                <w:szCs w:val="16"/>
                <w:lang w:eastAsia="en-US"/>
              </w:rPr>
              <w:t>(95% CI)</w:t>
            </w:r>
          </w:p>
        </w:tc>
      </w:tr>
      <w:tr w:rsidR="001B7431" w:rsidRPr="007B4EF8" w14:paraId="2A55A118" w14:textId="77777777" w:rsidTr="00604260">
        <w:trPr>
          <w:jc w:val="center"/>
        </w:trPr>
        <w:tc>
          <w:tcPr>
            <w:tcW w:w="0" w:type="auto"/>
            <w:tcBorders>
              <w:top w:val="single" w:sz="4" w:space="0" w:color="auto"/>
            </w:tcBorders>
          </w:tcPr>
          <w:p w14:paraId="40A14D1B" w14:textId="77777777" w:rsidR="001B7431" w:rsidRPr="001B7431" w:rsidRDefault="001B7431" w:rsidP="001B7431">
            <w:pPr>
              <w:spacing w:before="20" w:after="20"/>
              <w:ind w:left="34"/>
              <w:rPr>
                <w:rFonts w:eastAsiaTheme="minorEastAsia"/>
                <w:b/>
                <w:sz w:val="16"/>
                <w:szCs w:val="16"/>
                <w:lang w:eastAsia="en-US"/>
              </w:rPr>
            </w:pPr>
            <w:r w:rsidRPr="001B7431">
              <w:rPr>
                <w:rFonts w:eastAsiaTheme="minorEastAsia"/>
                <w:b/>
                <w:sz w:val="16"/>
                <w:szCs w:val="16"/>
                <w:lang w:eastAsia="en-US"/>
              </w:rPr>
              <w:t>Gender</w:t>
            </w:r>
          </w:p>
        </w:tc>
        <w:tc>
          <w:tcPr>
            <w:tcW w:w="0" w:type="auto"/>
            <w:tcBorders>
              <w:top w:val="single" w:sz="4" w:space="0" w:color="auto"/>
            </w:tcBorders>
          </w:tcPr>
          <w:p w14:paraId="0717CF37" w14:textId="77777777" w:rsidR="001B7431" w:rsidRPr="001B7431" w:rsidRDefault="001B7431" w:rsidP="001B7431">
            <w:pPr>
              <w:spacing w:before="20" w:after="20"/>
              <w:ind w:left="34"/>
              <w:rPr>
                <w:rFonts w:eastAsiaTheme="minorEastAsia"/>
                <w:sz w:val="16"/>
                <w:szCs w:val="16"/>
                <w:lang w:eastAsia="en-US"/>
              </w:rPr>
            </w:pPr>
          </w:p>
        </w:tc>
        <w:tc>
          <w:tcPr>
            <w:tcW w:w="0" w:type="auto"/>
            <w:tcBorders>
              <w:top w:val="single" w:sz="4" w:space="0" w:color="auto"/>
            </w:tcBorders>
            <w:vAlign w:val="center"/>
          </w:tcPr>
          <w:p w14:paraId="3775329E" w14:textId="77777777" w:rsidR="001B7431" w:rsidRDefault="001B7431" w:rsidP="001B7431">
            <w:pPr>
              <w:jc w:val="right"/>
              <w:rPr>
                <w:color w:val="000000"/>
                <w:sz w:val="16"/>
                <w:szCs w:val="16"/>
                <w:lang w:eastAsia="en-NZ"/>
              </w:rPr>
            </w:pPr>
          </w:p>
        </w:tc>
        <w:tc>
          <w:tcPr>
            <w:tcW w:w="0" w:type="auto"/>
            <w:tcBorders>
              <w:top w:val="single" w:sz="4" w:space="0" w:color="auto"/>
            </w:tcBorders>
            <w:vAlign w:val="center"/>
          </w:tcPr>
          <w:p w14:paraId="2623B5BC" w14:textId="77777777" w:rsidR="001B7431" w:rsidRDefault="001B7431" w:rsidP="001B7431">
            <w:pPr>
              <w:jc w:val="right"/>
              <w:rPr>
                <w:color w:val="000000"/>
                <w:sz w:val="16"/>
                <w:szCs w:val="16"/>
              </w:rPr>
            </w:pPr>
          </w:p>
        </w:tc>
        <w:tc>
          <w:tcPr>
            <w:tcW w:w="0" w:type="auto"/>
            <w:tcBorders>
              <w:top w:val="single" w:sz="4" w:space="0" w:color="auto"/>
              <w:right w:val="single" w:sz="4" w:space="0" w:color="auto"/>
            </w:tcBorders>
            <w:vAlign w:val="center"/>
          </w:tcPr>
          <w:p w14:paraId="42FFBB13" w14:textId="77777777" w:rsidR="001B7431" w:rsidRDefault="001B7431" w:rsidP="001B7431">
            <w:pPr>
              <w:jc w:val="right"/>
              <w:rPr>
                <w:color w:val="000000"/>
                <w:sz w:val="16"/>
                <w:szCs w:val="16"/>
              </w:rPr>
            </w:pPr>
          </w:p>
        </w:tc>
        <w:tc>
          <w:tcPr>
            <w:tcW w:w="0" w:type="auto"/>
            <w:tcBorders>
              <w:top w:val="single" w:sz="4" w:space="0" w:color="auto"/>
              <w:left w:val="single" w:sz="4" w:space="0" w:color="auto"/>
            </w:tcBorders>
            <w:vAlign w:val="center"/>
          </w:tcPr>
          <w:p w14:paraId="67B89035" w14:textId="77777777" w:rsidR="001B7431" w:rsidRDefault="001B7431" w:rsidP="001B7431">
            <w:pPr>
              <w:jc w:val="right"/>
              <w:rPr>
                <w:color w:val="000000"/>
                <w:sz w:val="16"/>
                <w:szCs w:val="16"/>
              </w:rPr>
            </w:pPr>
          </w:p>
        </w:tc>
        <w:tc>
          <w:tcPr>
            <w:tcW w:w="0" w:type="auto"/>
            <w:tcBorders>
              <w:top w:val="single" w:sz="4" w:space="0" w:color="auto"/>
            </w:tcBorders>
            <w:vAlign w:val="center"/>
          </w:tcPr>
          <w:p w14:paraId="2E8125F5" w14:textId="77777777" w:rsidR="001B7431" w:rsidRDefault="001B7431" w:rsidP="001B7431">
            <w:pPr>
              <w:jc w:val="right"/>
              <w:rPr>
                <w:color w:val="000000"/>
                <w:sz w:val="16"/>
                <w:szCs w:val="16"/>
              </w:rPr>
            </w:pPr>
          </w:p>
        </w:tc>
        <w:tc>
          <w:tcPr>
            <w:tcW w:w="0" w:type="auto"/>
            <w:tcBorders>
              <w:top w:val="single" w:sz="4" w:space="0" w:color="auto"/>
              <w:right w:val="single" w:sz="4" w:space="0" w:color="auto"/>
            </w:tcBorders>
            <w:vAlign w:val="center"/>
          </w:tcPr>
          <w:p w14:paraId="2B9A06A4" w14:textId="77777777" w:rsidR="001B7431" w:rsidRDefault="001B7431" w:rsidP="001B7431">
            <w:pPr>
              <w:jc w:val="right"/>
              <w:rPr>
                <w:color w:val="000000"/>
                <w:sz w:val="16"/>
                <w:szCs w:val="16"/>
              </w:rPr>
            </w:pPr>
          </w:p>
        </w:tc>
        <w:tc>
          <w:tcPr>
            <w:tcW w:w="0" w:type="auto"/>
            <w:tcBorders>
              <w:top w:val="single" w:sz="4" w:space="0" w:color="auto"/>
              <w:left w:val="single" w:sz="4" w:space="0" w:color="auto"/>
            </w:tcBorders>
            <w:vAlign w:val="center"/>
          </w:tcPr>
          <w:p w14:paraId="4EFD84DD" w14:textId="77777777" w:rsidR="001B7431" w:rsidRDefault="001B7431" w:rsidP="001B7431">
            <w:pPr>
              <w:jc w:val="right"/>
              <w:rPr>
                <w:color w:val="000000"/>
                <w:sz w:val="16"/>
                <w:szCs w:val="16"/>
              </w:rPr>
            </w:pPr>
          </w:p>
        </w:tc>
        <w:tc>
          <w:tcPr>
            <w:tcW w:w="0" w:type="auto"/>
            <w:tcBorders>
              <w:top w:val="single" w:sz="4" w:space="0" w:color="auto"/>
            </w:tcBorders>
            <w:vAlign w:val="center"/>
          </w:tcPr>
          <w:p w14:paraId="6EDEF078" w14:textId="77777777" w:rsidR="001B7431" w:rsidRDefault="001B7431" w:rsidP="001B7431">
            <w:pPr>
              <w:jc w:val="right"/>
              <w:rPr>
                <w:color w:val="000000"/>
                <w:sz w:val="16"/>
                <w:szCs w:val="16"/>
              </w:rPr>
            </w:pPr>
          </w:p>
        </w:tc>
        <w:tc>
          <w:tcPr>
            <w:tcW w:w="0" w:type="auto"/>
            <w:tcBorders>
              <w:top w:val="single" w:sz="4" w:space="0" w:color="auto"/>
              <w:right w:val="single" w:sz="4" w:space="0" w:color="auto"/>
            </w:tcBorders>
            <w:vAlign w:val="center"/>
          </w:tcPr>
          <w:p w14:paraId="79BC11CB" w14:textId="77777777" w:rsidR="001B7431" w:rsidRDefault="001B7431" w:rsidP="001B7431">
            <w:pPr>
              <w:jc w:val="right"/>
              <w:rPr>
                <w:color w:val="000000"/>
                <w:sz w:val="16"/>
                <w:szCs w:val="16"/>
              </w:rPr>
            </w:pPr>
          </w:p>
        </w:tc>
        <w:tc>
          <w:tcPr>
            <w:tcW w:w="0" w:type="auto"/>
            <w:tcBorders>
              <w:top w:val="single" w:sz="4" w:space="0" w:color="auto"/>
              <w:left w:val="single" w:sz="4" w:space="0" w:color="auto"/>
            </w:tcBorders>
            <w:vAlign w:val="center"/>
          </w:tcPr>
          <w:p w14:paraId="3F038FA8" w14:textId="77777777" w:rsidR="001B7431" w:rsidRDefault="001B7431" w:rsidP="001B7431">
            <w:pPr>
              <w:jc w:val="right"/>
              <w:rPr>
                <w:color w:val="000000"/>
                <w:sz w:val="16"/>
                <w:szCs w:val="16"/>
              </w:rPr>
            </w:pPr>
          </w:p>
        </w:tc>
        <w:tc>
          <w:tcPr>
            <w:tcW w:w="0" w:type="auto"/>
            <w:tcBorders>
              <w:top w:val="single" w:sz="4" w:space="0" w:color="auto"/>
            </w:tcBorders>
            <w:vAlign w:val="center"/>
          </w:tcPr>
          <w:p w14:paraId="06AB0410" w14:textId="77777777" w:rsidR="001B7431" w:rsidRDefault="001B7431" w:rsidP="001B7431">
            <w:pPr>
              <w:jc w:val="right"/>
              <w:rPr>
                <w:color w:val="000000"/>
                <w:sz w:val="16"/>
                <w:szCs w:val="16"/>
              </w:rPr>
            </w:pPr>
          </w:p>
        </w:tc>
        <w:tc>
          <w:tcPr>
            <w:tcW w:w="0" w:type="auto"/>
            <w:tcBorders>
              <w:top w:val="single" w:sz="4" w:space="0" w:color="auto"/>
            </w:tcBorders>
            <w:vAlign w:val="center"/>
          </w:tcPr>
          <w:p w14:paraId="69C7A018" w14:textId="77777777" w:rsidR="001B7431" w:rsidRDefault="001B7431" w:rsidP="001B7431">
            <w:pPr>
              <w:jc w:val="right"/>
              <w:rPr>
                <w:color w:val="000000"/>
                <w:sz w:val="16"/>
                <w:szCs w:val="16"/>
              </w:rPr>
            </w:pPr>
          </w:p>
        </w:tc>
      </w:tr>
      <w:tr w:rsidR="003C056F" w:rsidRPr="007B4EF8" w14:paraId="0760076C" w14:textId="77777777" w:rsidTr="00604260">
        <w:trPr>
          <w:jc w:val="center"/>
        </w:trPr>
        <w:tc>
          <w:tcPr>
            <w:tcW w:w="0" w:type="auto"/>
          </w:tcPr>
          <w:p w14:paraId="3211F088" w14:textId="77777777" w:rsidR="003C056F" w:rsidRPr="001B7431" w:rsidRDefault="003C056F" w:rsidP="003C056F">
            <w:pPr>
              <w:spacing w:before="20" w:after="20"/>
              <w:ind w:left="34"/>
              <w:rPr>
                <w:rFonts w:eastAsiaTheme="minorEastAsia"/>
                <w:sz w:val="16"/>
                <w:szCs w:val="16"/>
                <w:lang w:eastAsia="en-US"/>
              </w:rPr>
            </w:pPr>
            <w:r>
              <w:rPr>
                <w:rFonts w:eastAsiaTheme="minorEastAsia"/>
                <w:sz w:val="16"/>
                <w:szCs w:val="16"/>
                <w:lang w:eastAsia="en-US"/>
              </w:rPr>
              <w:t>Male</w:t>
            </w:r>
          </w:p>
        </w:tc>
        <w:tc>
          <w:tcPr>
            <w:tcW w:w="0" w:type="auto"/>
          </w:tcPr>
          <w:p w14:paraId="754570F0" w14:textId="77777777" w:rsidR="003C056F" w:rsidRPr="001B7431" w:rsidRDefault="003C056F" w:rsidP="003C056F">
            <w:pPr>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0" w:type="auto"/>
            <w:vAlign w:val="center"/>
          </w:tcPr>
          <w:p w14:paraId="040A97BC" w14:textId="77777777" w:rsidR="003C056F" w:rsidRDefault="003C056F" w:rsidP="003C056F">
            <w:pPr>
              <w:jc w:val="right"/>
              <w:rPr>
                <w:color w:val="000000"/>
                <w:sz w:val="16"/>
                <w:szCs w:val="16"/>
                <w:lang w:eastAsia="en-NZ"/>
              </w:rPr>
            </w:pPr>
            <w:r>
              <w:rPr>
                <w:color w:val="000000"/>
                <w:sz w:val="16"/>
                <w:szCs w:val="16"/>
              </w:rPr>
              <w:t>2143</w:t>
            </w:r>
          </w:p>
        </w:tc>
        <w:tc>
          <w:tcPr>
            <w:tcW w:w="0" w:type="auto"/>
            <w:vAlign w:val="center"/>
          </w:tcPr>
          <w:p w14:paraId="256BB42E" w14:textId="77777777" w:rsidR="003C056F" w:rsidRDefault="003C056F" w:rsidP="003C056F">
            <w:pPr>
              <w:jc w:val="right"/>
              <w:rPr>
                <w:color w:val="000000"/>
                <w:sz w:val="16"/>
                <w:szCs w:val="16"/>
              </w:rPr>
            </w:pPr>
            <w:r>
              <w:rPr>
                <w:color w:val="000000"/>
                <w:sz w:val="16"/>
                <w:szCs w:val="16"/>
              </w:rPr>
              <w:t>71.7</w:t>
            </w:r>
          </w:p>
        </w:tc>
        <w:tc>
          <w:tcPr>
            <w:tcW w:w="0" w:type="auto"/>
            <w:tcBorders>
              <w:right w:val="single" w:sz="4" w:space="0" w:color="auto"/>
            </w:tcBorders>
            <w:vAlign w:val="center"/>
          </w:tcPr>
          <w:p w14:paraId="2FEC1AFC" w14:textId="77777777" w:rsidR="003C056F" w:rsidRDefault="003C056F" w:rsidP="003C056F">
            <w:pPr>
              <w:jc w:val="right"/>
              <w:rPr>
                <w:color w:val="000000"/>
                <w:sz w:val="16"/>
                <w:szCs w:val="16"/>
              </w:rPr>
            </w:pPr>
            <w:r>
              <w:rPr>
                <w:color w:val="000000"/>
                <w:sz w:val="16"/>
                <w:szCs w:val="16"/>
              </w:rPr>
              <w:t>(69.7, 73.7)</w:t>
            </w:r>
          </w:p>
        </w:tc>
        <w:tc>
          <w:tcPr>
            <w:tcW w:w="0" w:type="auto"/>
            <w:tcBorders>
              <w:left w:val="single" w:sz="4" w:space="0" w:color="auto"/>
            </w:tcBorders>
            <w:vAlign w:val="center"/>
          </w:tcPr>
          <w:p w14:paraId="0FD3F9F6" w14:textId="77777777" w:rsidR="003C056F" w:rsidRDefault="003C056F" w:rsidP="003C056F">
            <w:pPr>
              <w:jc w:val="right"/>
              <w:rPr>
                <w:color w:val="000000"/>
                <w:sz w:val="16"/>
                <w:szCs w:val="16"/>
              </w:rPr>
            </w:pPr>
            <w:r>
              <w:rPr>
                <w:color w:val="000000"/>
                <w:sz w:val="16"/>
                <w:szCs w:val="16"/>
              </w:rPr>
              <w:t>1287</w:t>
            </w:r>
          </w:p>
        </w:tc>
        <w:tc>
          <w:tcPr>
            <w:tcW w:w="0" w:type="auto"/>
            <w:vAlign w:val="center"/>
          </w:tcPr>
          <w:p w14:paraId="5228FFA0" w14:textId="77777777" w:rsidR="003C056F" w:rsidRDefault="003C056F" w:rsidP="003C056F">
            <w:pPr>
              <w:jc w:val="right"/>
              <w:rPr>
                <w:color w:val="000000"/>
                <w:sz w:val="16"/>
                <w:szCs w:val="16"/>
              </w:rPr>
            </w:pPr>
            <w:r>
              <w:rPr>
                <w:color w:val="000000"/>
                <w:sz w:val="16"/>
                <w:szCs w:val="16"/>
              </w:rPr>
              <w:t>71.8</w:t>
            </w:r>
          </w:p>
        </w:tc>
        <w:tc>
          <w:tcPr>
            <w:tcW w:w="0" w:type="auto"/>
            <w:tcBorders>
              <w:right w:val="single" w:sz="4" w:space="0" w:color="auto"/>
            </w:tcBorders>
            <w:vAlign w:val="center"/>
          </w:tcPr>
          <w:p w14:paraId="09E36BE1" w14:textId="77777777" w:rsidR="003C056F" w:rsidRDefault="003C056F" w:rsidP="003C056F">
            <w:pPr>
              <w:jc w:val="right"/>
              <w:rPr>
                <w:color w:val="000000"/>
                <w:sz w:val="16"/>
                <w:szCs w:val="16"/>
              </w:rPr>
            </w:pPr>
            <w:r>
              <w:rPr>
                <w:color w:val="000000"/>
                <w:sz w:val="16"/>
                <w:szCs w:val="16"/>
              </w:rPr>
              <w:t>(69.2, 74.4)</w:t>
            </w:r>
          </w:p>
        </w:tc>
        <w:tc>
          <w:tcPr>
            <w:tcW w:w="0" w:type="auto"/>
            <w:tcBorders>
              <w:left w:val="single" w:sz="4" w:space="0" w:color="auto"/>
            </w:tcBorders>
            <w:vAlign w:val="center"/>
          </w:tcPr>
          <w:p w14:paraId="74AE468A" w14:textId="77777777" w:rsidR="003C056F" w:rsidRDefault="003C056F" w:rsidP="003C056F">
            <w:pPr>
              <w:jc w:val="right"/>
              <w:rPr>
                <w:color w:val="000000"/>
                <w:sz w:val="16"/>
                <w:szCs w:val="16"/>
              </w:rPr>
            </w:pPr>
            <w:r>
              <w:rPr>
                <w:color w:val="000000"/>
                <w:sz w:val="16"/>
                <w:szCs w:val="16"/>
              </w:rPr>
              <w:t>1064</w:t>
            </w:r>
          </w:p>
        </w:tc>
        <w:tc>
          <w:tcPr>
            <w:tcW w:w="0" w:type="auto"/>
            <w:vAlign w:val="center"/>
          </w:tcPr>
          <w:p w14:paraId="5CD517FD" w14:textId="77777777" w:rsidR="003C056F" w:rsidRDefault="003C056F" w:rsidP="003C056F">
            <w:pPr>
              <w:jc w:val="right"/>
              <w:rPr>
                <w:color w:val="000000"/>
                <w:sz w:val="16"/>
                <w:szCs w:val="16"/>
              </w:rPr>
            </w:pPr>
            <w:r>
              <w:rPr>
                <w:color w:val="000000"/>
                <w:sz w:val="16"/>
                <w:szCs w:val="16"/>
              </w:rPr>
              <w:t>71.3</w:t>
            </w:r>
          </w:p>
        </w:tc>
        <w:tc>
          <w:tcPr>
            <w:tcW w:w="0" w:type="auto"/>
            <w:tcBorders>
              <w:right w:val="single" w:sz="4" w:space="0" w:color="auto"/>
            </w:tcBorders>
            <w:vAlign w:val="center"/>
          </w:tcPr>
          <w:p w14:paraId="7606287D" w14:textId="77777777" w:rsidR="003C056F" w:rsidRDefault="003C056F" w:rsidP="003C056F">
            <w:pPr>
              <w:jc w:val="right"/>
              <w:rPr>
                <w:color w:val="000000"/>
                <w:sz w:val="16"/>
                <w:szCs w:val="16"/>
              </w:rPr>
            </w:pPr>
            <w:r>
              <w:rPr>
                <w:color w:val="000000"/>
                <w:sz w:val="16"/>
                <w:szCs w:val="16"/>
              </w:rPr>
              <w:t>(68.1, 74.5)</w:t>
            </w:r>
          </w:p>
        </w:tc>
        <w:tc>
          <w:tcPr>
            <w:tcW w:w="0" w:type="auto"/>
            <w:tcBorders>
              <w:left w:val="single" w:sz="4" w:space="0" w:color="auto"/>
            </w:tcBorders>
            <w:vAlign w:val="center"/>
          </w:tcPr>
          <w:p w14:paraId="654C2C9C" w14:textId="77777777" w:rsidR="003C056F" w:rsidRDefault="003C056F" w:rsidP="003C056F">
            <w:pPr>
              <w:jc w:val="right"/>
              <w:rPr>
                <w:color w:val="000000"/>
                <w:sz w:val="16"/>
                <w:szCs w:val="16"/>
              </w:rPr>
            </w:pPr>
            <w:r>
              <w:rPr>
                <w:color w:val="000000"/>
                <w:sz w:val="16"/>
                <w:szCs w:val="16"/>
              </w:rPr>
              <w:t>919</w:t>
            </w:r>
          </w:p>
        </w:tc>
        <w:tc>
          <w:tcPr>
            <w:tcW w:w="0" w:type="auto"/>
            <w:vAlign w:val="center"/>
          </w:tcPr>
          <w:p w14:paraId="36583769" w14:textId="77777777" w:rsidR="003C056F" w:rsidRDefault="003C056F" w:rsidP="003C056F">
            <w:pPr>
              <w:jc w:val="right"/>
              <w:rPr>
                <w:color w:val="000000"/>
                <w:sz w:val="16"/>
                <w:szCs w:val="16"/>
              </w:rPr>
            </w:pPr>
            <w:r>
              <w:rPr>
                <w:color w:val="000000"/>
                <w:sz w:val="16"/>
                <w:szCs w:val="16"/>
              </w:rPr>
              <w:t>69.1</w:t>
            </w:r>
          </w:p>
        </w:tc>
        <w:tc>
          <w:tcPr>
            <w:tcW w:w="0" w:type="auto"/>
            <w:vAlign w:val="center"/>
          </w:tcPr>
          <w:p w14:paraId="71528FB5" w14:textId="77777777" w:rsidR="003C056F" w:rsidRDefault="003C056F" w:rsidP="003C056F">
            <w:pPr>
              <w:jc w:val="right"/>
              <w:rPr>
                <w:color w:val="000000"/>
                <w:sz w:val="16"/>
                <w:szCs w:val="16"/>
              </w:rPr>
            </w:pPr>
            <w:r>
              <w:rPr>
                <w:color w:val="000000"/>
                <w:sz w:val="16"/>
                <w:szCs w:val="16"/>
              </w:rPr>
              <w:t>(65.6, 72.7)</w:t>
            </w:r>
          </w:p>
        </w:tc>
      </w:tr>
      <w:tr w:rsidR="003C056F" w:rsidRPr="007B4EF8" w14:paraId="086ECC51" w14:textId="77777777" w:rsidTr="00604260">
        <w:trPr>
          <w:jc w:val="center"/>
        </w:trPr>
        <w:tc>
          <w:tcPr>
            <w:tcW w:w="0" w:type="auto"/>
          </w:tcPr>
          <w:p w14:paraId="0A0966AC" w14:textId="77777777" w:rsidR="003C056F" w:rsidRPr="001B7431" w:rsidRDefault="003C056F" w:rsidP="003C056F">
            <w:pPr>
              <w:spacing w:before="20" w:after="20"/>
              <w:ind w:left="34"/>
              <w:rPr>
                <w:rFonts w:eastAsiaTheme="minorEastAsia"/>
                <w:sz w:val="16"/>
                <w:szCs w:val="16"/>
                <w:lang w:eastAsia="en-US"/>
              </w:rPr>
            </w:pPr>
          </w:p>
        </w:tc>
        <w:tc>
          <w:tcPr>
            <w:tcW w:w="0" w:type="auto"/>
          </w:tcPr>
          <w:p w14:paraId="25B47CF3" w14:textId="77777777" w:rsidR="003C056F" w:rsidRPr="001B7431" w:rsidRDefault="003C056F" w:rsidP="003C056F">
            <w:pPr>
              <w:spacing w:before="20" w:after="20"/>
              <w:ind w:left="34"/>
              <w:rPr>
                <w:rFonts w:eastAsiaTheme="minorEastAsia"/>
                <w:sz w:val="16"/>
                <w:szCs w:val="16"/>
                <w:lang w:eastAsia="en-US"/>
              </w:rPr>
            </w:pPr>
            <w:r>
              <w:rPr>
                <w:rFonts w:eastAsiaTheme="minorEastAsia"/>
                <w:sz w:val="16"/>
                <w:szCs w:val="16"/>
                <w:lang w:eastAsia="en-US"/>
              </w:rPr>
              <w:t>Low-risk gambler</w:t>
            </w:r>
          </w:p>
        </w:tc>
        <w:tc>
          <w:tcPr>
            <w:tcW w:w="0" w:type="auto"/>
            <w:vAlign w:val="center"/>
          </w:tcPr>
          <w:p w14:paraId="182A2D0D" w14:textId="77777777" w:rsidR="003C056F" w:rsidRDefault="003C056F" w:rsidP="003C056F">
            <w:pPr>
              <w:jc w:val="right"/>
              <w:rPr>
                <w:color w:val="000000"/>
                <w:sz w:val="16"/>
                <w:szCs w:val="16"/>
              </w:rPr>
            </w:pPr>
            <w:r>
              <w:rPr>
                <w:color w:val="000000"/>
                <w:sz w:val="16"/>
                <w:szCs w:val="16"/>
              </w:rPr>
              <w:t>164</w:t>
            </w:r>
          </w:p>
        </w:tc>
        <w:tc>
          <w:tcPr>
            <w:tcW w:w="0" w:type="auto"/>
            <w:vAlign w:val="center"/>
          </w:tcPr>
          <w:p w14:paraId="250F1D19" w14:textId="77777777" w:rsidR="003C056F" w:rsidRDefault="003C056F" w:rsidP="003C056F">
            <w:pPr>
              <w:jc w:val="right"/>
              <w:rPr>
                <w:color w:val="000000"/>
                <w:sz w:val="16"/>
                <w:szCs w:val="16"/>
              </w:rPr>
            </w:pPr>
            <w:r>
              <w:rPr>
                <w:color w:val="000000"/>
                <w:sz w:val="16"/>
                <w:szCs w:val="16"/>
              </w:rPr>
              <w:t>5.5</w:t>
            </w:r>
          </w:p>
        </w:tc>
        <w:tc>
          <w:tcPr>
            <w:tcW w:w="0" w:type="auto"/>
            <w:tcBorders>
              <w:right w:val="single" w:sz="4" w:space="0" w:color="auto"/>
            </w:tcBorders>
            <w:vAlign w:val="center"/>
          </w:tcPr>
          <w:p w14:paraId="4FDC0599" w14:textId="77777777" w:rsidR="003C056F" w:rsidRDefault="003C056F" w:rsidP="003C056F">
            <w:pPr>
              <w:jc w:val="right"/>
              <w:rPr>
                <w:color w:val="000000"/>
                <w:sz w:val="16"/>
                <w:szCs w:val="16"/>
              </w:rPr>
            </w:pPr>
            <w:r>
              <w:rPr>
                <w:color w:val="000000"/>
                <w:sz w:val="16"/>
                <w:szCs w:val="16"/>
              </w:rPr>
              <w:t>(4.4, 6.5)</w:t>
            </w:r>
          </w:p>
        </w:tc>
        <w:tc>
          <w:tcPr>
            <w:tcW w:w="0" w:type="auto"/>
            <w:tcBorders>
              <w:left w:val="single" w:sz="4" w:space="0" w:color="auto"/>
            </w:tcBorders>
            <w:vAlign w:val="center"/>
          </w:tcPr>
          <w:p w14:paraId="46CF9D4B" w14:textId="77777777" w:rsidR="003C056F" w:rsidRDefault="003C056F" w:rsidP="003C056F">
            <w:pPr>
              <w:jc w:val="right"/>
              <w:rPr>
                <w:color w:val="000000"/>
                <w:sz w:val="16"/>
                <w:szCs w:val="16"/>
              </w:rPr>
            </w:pPr>
            <w:r>
              <w:rPr>
                <w:color w:val="000000"/>
                <w:sz w:val="16"/>
                <w:szCs w:val="16"/>
              </w:rPr>
              <w:t>97</w:t>
            </w:r>
          </w:p>
        </w:tc>
        <w:tc>
          <w:tcPr>
            <w:tcW w:w="0" w:type="auto"/>
            <w:vAlign w:val="center"/>
          </w:tcPr>
          <w:p w14:paraId="25D21081" w14:textId="77777777" w:rsidR="003C056F" w:rsidRDefault="003C056F" w:rsidP="003C056F">
            <w:pPr>
              <w:jc w:val="right"/>
              <w:rPr>
                <w:color w:val="000000"/>
                <w:sz w:val="16"/>
                <w:szCs w:val="16"/>
              </w:rPr>
            </w:pPr>
            <w:r>
              <w:rPr>
                <w:color w:val="000000"/>
                <w:sz w:val="16"/>
                <w:szCs w:val="16"/>
              </w:rPr>
              <w:t>5.4</w:t>
            </w:r>
          </w:p>
        </w:tc>
        <w:tc>
          <w:tcPr>
            <w:tcW w:w="0" w:type="auto"/>
            <w:tcBorders>
              <w:right w:val="single" w:sz="4" w:space="0" w:color="auto"/>
            </w:tcBorders>
            <w:vAlign w:val="center"/>
          </w:tcPr>
          <w:p w14:paraId="06CFD891" w14:textId="77777777" w:rsidR="003C056F" w:rsidRDefault="003C056F" w:rsidP="003C056F">
            <w:pPr>
              <w:jc w:val="right"/>
              <w:rPr>
                <w:color w:val="000000"/>
                <w:sz w:val="16"/>
                <w:szCs w:val="16"/>
              </w:rPr>
            </w:pPr>
            <w:r>
              <w:rPr>
                <w:color w:val="000000"/>
                <w:sz w:val="16"/>
                <w:szCs w:val="16"/>
              </w:rPr>
              <w:t>(4.1, 6.7)</w:t>
            </w:r>
          </w:p>
        </w:tc>
        <w:tc>
          <w:tcPr>
            <w:tcW w:w="0" w:type="auto"/>
            <w:tcBorders>
              <w:left w:val="single" w:sz="4" w:space="0" w:color="auto"/>
            </w:tcBorders>
            <w:vAlign w:val="center"/>
          </w:tcPr>
          <w:p w14:paraId="6EB3F2E3" w14:textId="77777777" w:rsidR="003C056F" w:rsidRDefault="003C056F" w:rsidP="003C056F">
            <w:pPr>
              <w:jc w:val="right"/>
              <w:rPr>
                <w:color w:val="000000"/>
                <w:sz w:val="16"/>
                <w:szCs w:val="16"/>
              </w:rPr>
            </w:pPr>
            <w:r>
              <w:rPr>
                <w:color w:val="000000"/>
                <w:sz w:val="16"/>
                <w:szCs w:val="16"/>
              </w:rPr>
              <w:t>73</w:t>
            </w:r>
          </w:p>
        </w:tc>
        <w:tc>
          <w:tcPr>
            <w:tcW w:w="0" w:type="auto"/>
            <w:vAlign w:val="center"/>
          </w:tcPr>
          <w:p w14:paraId="0879E1DC" w14:textId="77777777" w:rsidR="003C056F" w:rsidRDefault="003C056F" w:rsidP="003C056F">
            <w:pPr>
              <w:jc w:val="right"/>
              <w:rPr>
                <w:color w:val="000000"/>
                <w:sz w:val="16"/>
                <w:szCs w:val="16"/>
              </w:rPr>
            </w:pPr>
            <w:r>
              <w:rPr>
                <w:color w:val="000000"/>
                <w:sz w:val="16"/>
                <w:szCs w:val="16"/>
              </w:rPr>
              <w:t>4.9</w:t>
            </w:r>
          </w:p>
        </w:tc>
        <w:tc>
          <w:tcPr>
            <w:tcW w:w="0" w:type="auto"/>
            <w:tcBorders>
              <w:right w:val="single" w:sz="4" w:space="0" w:color="auto"/>
            </w:tcBorders>
            <w:vAlign w:val="center"/>
          </w:tcPr>
          <w:p w14:paraId="46DA5DE8" w14:textId="77777777" w:rsidR="003C056F" w:rsidRDefault="003C056F" w:rsidP="003C056F">
            <w:pPr>
              <w:jc w:val="right"/>
              <w:rPr>
                <w:color w:val="000000"/>
                <w:sz w:val="16"/>
                <w:szCs w:val="16"/>
              </w:rPr>
            </w:pPr>
            <w:r>
              <w:rPr>
                <w:color w:val="000000"/>
                <w:sz w:val="16"/>
                <w:szCs w:val="16"/>
              </w:rPr>
              <w:t>(3.5, 6.3)</w:t>
            </w:r>
          </w:p>
        </w:tc>
        <w:tc>
          <w:tcPr>
            <w:tcW w:w="0" w:type="auto"/>
            <w:tcBorders>
              <w:left w:val="single" w:sz="4" w:space="0" w:color="auto"/>
            </w:tcBorders>
            <w:vAlign w:val="center"/>
          </w:tcPr>
          <w:p w14:paraId="425174D5" w14:textId="77777777" w:rsidR="003C056F" w:rsidRDefault="003C056F" w:rsidP="003C056F">
            <w:pPr>
              <w:jc w:val="right"/>
              <w:rPr>
                <w:color w:val="000000"/>
                <w:sz w:val="16"/>
                <w:szCs w:val="16"/>
              </w:rPr>
            </w:pPr>
            <w:r>
              <w:rPr>
                <w:color w:val="000000"/>
                <w:sz w:val="16"/>
                <w:szCs w:val="16"/>
              </w:rPr>
              <w:t>65</w:t>
            </w:r>
          </w:p>
        </w:tc>
        <w:tc>
          <w:tcPr>
            <w:tcW w:w="0" w:type="auto"/>
            <w:vAlign w:val="center"/>
          </w:tcPr>
          <w:p w14:paraId="49FBEA44" w14:textId="77777777" w:rsidR="003C056F" w:rsidRDefault="003C056F" w:rsidP="003C056F">
            <w:pPr>
              <w:jc w:val="right"/>
              <w:rPr>
                <w:color w:val="000000"/>
                <w:sz w:val="16"/>
                <w:szCs w:val="16"/>
              </w:rPr>
            </w:pPr>
            <w:r>
              <w:rPr>
                <w:color w:val="000000"/>
                <w:sz w:val="16"/>
                <w:szCs w:val="16"/>
              </w:rPr>
              <w:t>4.9</w:t>
            </w:r>
          </w:p>
        </w:tc>
        <w:tc>
          <w:tcPr>
            <w:tcW w:w="0" w:type="auto"/>
            <w:vAlign w:val="center"/>
          </w:tcPr>
          <w:p w14:paraId="60571934" w14:textId="77777777" w:rsidR="003C056F" w:rsidRDefault="003C056F" w:rsidP="003C056F">
            <w:pPr>
              <w:jc w:val="right"/>
              <w:rPr>
                <w:color w:val="000000"/>
                <w:sz w:val="16"/>
                <w:szCs w:val="16"/>
              </w:rPr>
            </w:pPr>
            <w:r>
              <w:rPr>
                <w:color w:val="000000"/>
                <w:sz w:val="16"/>
                <w:szCs w:val="16"/>
              </w:rPr>
              <w:t>(3.3, 6.4)</w:t>
            </w:r>
          </w:p>
        </w:tc>
      </w:tr>
      <w:tr w:rsidR="003C056F" w:rsidRPr="007B4EF8" w14:paraId="4E6397A7" w14:textId="77777777" w:rsidTr="00826105">
        <w:trPr>
          <w:jc w:val="center"/>
        </w:trPr>
        <w:tc>
          <w:tcPr>
            <w:tcW w:w="0" w:type="auto"/>
            <w:shd w:val="clear" w:color="auto" w:fill="auto"/>
          </w:tcPr>
          <w:p w14:paraId="1DA0EC89" w14:textId="77777777" w:rsidR="003C056F" w:rsidRPr="001B7431" w:rsidRDefault="003C056F" w:rsidP="003C056F">
            <w:pPr>
              <w:spacing w:before="20" w:after="20"/>
              <w:ind w:left="34"/>
              <w:rPr>
                <w:rFonts w:eastAsiaTheme="minorEastAsia"/>
                <w:sz w:val="16"/>
                <w:szCs w:val="16"/>
                <w:lang w:eastAsia="en-US"/>
              </w:rPr>
            </w:pPr>
          </w:p>
        </w:tc>
        <w:tc>
          <w:tcPr>
            <w:tcW w:w="0" w:type="auto"/>
            <w:shd w:val="clear" w:color="auto" w:fill="auto"/>
          </w:tcPr>
          <w:p w14:paraId="419F0495" w14:textId="77777777" w:rsidR="003C056F" w:rsidRPr="001B7431" w:rsidRDefault="003C056F" w:rsidP="003C056F">
            <w:pPr>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0" w:type="auto"/>
            <w:shd w:val="clear" w:color="auto" w:fill="auto"/>
            <w:vAlign w:val="center"/>
          </w:tcPr>
          <w:p w14:paraId="0C7FA68B" w14:textId="77777777" w:rsidR="003C056F" w:rsidRDefault="003C056F" w:rsidP="003C056F">
            <w:pPr>
              <w:jc w:val="right"/>
              <w:rPr>
                <w:color w:val="000000"/>
                <w:sz w:val="16"/>
                <w:szCs w:val="16"/>
              </w:rPr>
            </w:pPr>
            <w:r>
              <w:rPr>
                <w:color w:val="000000"/>
                <w:sz w:val="16"/>
                <w:szCs w:val="16"/>
              </w:rPr>
              <w:t>85</w:t>
            </w:r>
          </w:p>
        </w:tc>
        <w:tc>
          <w:tcPr>
            <w:tcW w:w="0" w:type="auto"/>
            <w:shd w:val="clear" w:color="auto" w:fill="auto"/>
            <w:vAlign w:val="center"/>
          </w:tcPr>
          <w:p w14:paraId="1824D0E1" w14:textId="77777777" w:rsidR="003C056F" w:rsidRDefault="003C056F" w:rsidP="003C056F">
            <w:pPr>
              <w:jc w:val="right"/>
              <w:rPr>
                <w:color w:val="000000"/>
                <w:sz w:val="16"/>
                <w:szCs w:val="16"/>
              </w:rPr>
            </w:pPr>
            <w:r>
              <w:rPr>
                <w:color w:val="000000"/>
                <w:sz w:val="16"/>
                <w:szCs w:val="16"/>
              </w:rPr>
              <w:t>2.8</w:t>
            </w:r>
          </w:p>
        </w:tc>
        <w:tc>
          <w:tcPr>
            <w:tcW w:w="0" w:type="auto"/>
            <w:tcBorders>
              <w:right w:val="single" w:sz="4" w:space="0" w:color="auto"/>
            </w:tcBorders>
            <w:shd w:val="clear" w:color="auto" w:fill="auto"/>
            <w:vAlign w:val="center"/>
          </w:tcPr>
          <w:p w14:paraId="576E0BEC" w14:textId="77777777" w:rsidR="003C056F" w:rsidRDefault="003C056F" w:rsidP="003C056F">
            <w:pPr>
              <w:jc w:val="right"/>
              <w:rPr>
                <w:color w:val="000000"/>
                <w:sz w:val="16"/>
                <w:szCs w:val="16"/>
              </w:rPr>
            </w:pPr>
            <w:r>
              <w:rPr>
                <w:color w:val="000000"/>
                <w:sz w:val="16"/>
                <w:szCs w:val="16"/>
              </w:rPr>
              <w:t>(2.2, 3.5)</w:t>
            </w:r>
          </w:p>
        </w:tc>
        <w:tc>
          <w:tcPr>
            <w:tcW w:w="0" w:type="auto"/>
            <w:tcBorders>
              <w:left w:val="single" w:sz="4" w:space="0" w:color="auto"/>
            </w:tcBorders>
            <w:shd w:val="clear" w:color="auto" w:fill="auto"/>
            <w:vAlign w:val="center"/>
          </w:tcPr>
          <w:p w14:paraId="33CC41D0" w14:textId="77777777" w:rsidR="003C056F" w:rsidRDefault="003C056F" w:rsidP="003C056F">
            <w:pPr>
              <w:jc w:val="right"/>
              <w:rPr>
                <w:color w:val="000000"/>
                <w:sz w:val="16"/>
                <w:szCs w:val="16"/>
              </w:rPr>
            </w:pPr>
            <w:r>
              <w:rPr>
                <w:color w:val="000000"/>
                <w:sz w:val="16"/>
                <w:szCs w:val="16"/>
              </w:rPr>
              <w:t>42</w:t>
            </w:r>
          </w:p>
        </w:tc>
        <w:tc>
          <w:tcPr>
            <w:tcW w:w="0" w:type="auto"/>
            <w:shd w:val="clear" w:color="auto" w:fill="auto"/>
            <w:vAlign w:val="center"/>
          </w:tcPr>
          <w:p w14:paraId="3E05A3AD" w14:textId="77777777" w:rsidR="003C056F" w:rsidRDefault="003C056F" w:rsidP="003C056F">
            <w:pPr>
              <w:jc w:val="right"/>
              <w:rPr>
                <w:color w:val="000000"/>
                <w:sz w:val="16"/>
                <w:szCs w:val="16"/>
              </w:rPr>
            </w:pPr>
            <w:r>
              <w:rPr>
                <w:color w:val="000000"/>
                <w:sz w:val="16"/>
                <w:szCs w:val="16"/>
              </w:rPr>
              <w:t>2.3</w:t>
            </w:r>
          </w:p>
        </w:tc>
        <w:tc>
          <w:tcPr>
            <w:tcW w:w="0" w:type="auto"/>
            <w:tcBorders>
              <w:right w:val="single" w:sz="4" w:space="0" w:color="auto"/>
            </w:tcBorders>
            <w:shd w:val="clear" w:color="auto" w:fill="auto"/>
            <w:vAlign w:val="center"/>
          </w:tcPr>
          <w:p w14:paraId="7964F8E3" w14:textId="77777777" w:rsidR="003C056F" w:rsidRDefault="003C056F" w:rsidP="003C056F">
            <w:pPr>
              <w:jc w:val="right"/>
              <w:rPr>
                <w:color w:val="000000"/>
                <w:sz w:val="16"/>
                <w:szCs w:val="16"/>
              </w:rPr>
            </w:pPr>
            <w:r>
              <w:rPr>
                <w:color w:val="000000"/>
                <w:sz w:val="16"/>
                <w:szCs w:val="16"/>
              </w:rPr>
              <w:t>(1.5, 3.2)</w:t>
            </w:r>
          </w:p>
        </w:tc>
        <w:tc>
          <w:tcPr>
            <w:tcW w:w="0" w:type="auto"/>
            <w:tcBorders>
              <w:left w:val="single" w:sz="4" w:space="0" w:color="auto"/>
            </w:tcBorders>
            <w:shd w:val="clear" w:color="auto" w:fill="auto"/>
            <w:vAlign w:val="center"/>
          </w:tcPr>
          <w:p w14:paraId="31AD22E3" w14:textId="77777777" w:rsidR="003C056F" w:rsidRDefault="003C056F" w:rsidP="003C056F">
            <w:pPr>
              <w:jc w:val="right"/>
              <w:rPr>
                <w:color w:val="000000"/>
                <w:sz w:val="16"/>
                <w:szCs w:val="16"/>
              </w:rPr>
            </w:pPr>
            <w:r>
              <w:rPr>
                <w:color w:val="000000"/>
                <w:sz w:val="16"/>
                <w:szCs w:val="16"/>
              </w:rPr>
              <w:t>26</w:t>
            </w:r>
          </w:p>
        </w:tc>
        <w:tc>
          <w:tcPr>
            <w:tcW w:w="0" w:type="auto"/>
            <w:shd w:val="clear" w:color="auto" w:fill="auto"/>
            <w:vAlign w:val="center"/>
          </w:tcPr>
          <w:p w14:paraId="5A203335" w14:textId="77777777" w:rsidR="003C056F" w:rsidRDefault="003C056F" w:rsidP="003C056F">
            <w:pPr>
              <w:jc w:val="right"/>
              <w:rPr>
                <w:color w:val="000000"/>
                <w:sz w:val="16"/>
                <w:szCs w:val="16"/>
              </w:rPr>
            </w:pPr>
            <w:r>
              <w:rPr>
                <w:color w:val="000000"/>
                <w:sz w:val="16"/>
                <w:szCs w:val="16"/>
              </w:rPr>
              <w:t>1.8</w:t>
            </w:r>
          </w:p>
        </w:tc>
        <w:tc>
          <w:tcPr>
            <w:tcW w:w="0" w:type="auto"/>
            <w:tcBorders>
              <w:right w:val="single" w:sz="4" w:space="0" w:color="auto"/>
            </w:tcBorders>
            <w:shd w:val="clear" w:color="auto" w:fill="auto"/>
            <w:vAlign w:val="center"/>
          </w:tcPr>
          <w:p w14:paraId="205962CE" w14:textId="77777777" w:rsidR="003C056F" w:rsidRDefault="003C056F" w:rsidP="003C056F">
            <w:pPr>
              <w:jc w:val="right"/>
              <w:rPr>
                <w:color w:val="000000"/>
                <w:sz w:val="16"/>
                <w:szCs w:val="16"/>
              </w:rPr>
            </w:pPr>
            <w:r>
              <w:rPr>
                <w:color w:val="000000"/>
                <w:sz w:val="16"/>
                <w:szCs w:val="16"/>
              </w:rPr>
              <w:t>(1.1, 2.4)</w:t>
            </w:r>
          </w:p>
        </w:tc>
        <w:tc>
          <w:tcPr>
            <w:tcW w:w="0" w:type="auto"/>
            <w:tcBorders>
              <w:left w:val="single" w:sz="4" w:space="0" w:color="auto"/>
            </w:tcBorders>
            <w:shd w:val="clear" w:color="auto" w:fill="auto"/>
            <w:vAlign w:val="center"/>
          </w:tcPr>
          <w:p w14:paraId="2030378E" w14:textId="77777777" w:rsidR="003C056F" w:rsidRDefault="003C056F" w:rsidP="003C056F">
            <w:pPr>
              <w:jc w:val="right"/>
              <w:rPr>
                <w:color w:val="000000"/>
                <w:sz w:val="16"/>
                <w:szCs w:val="16"/>
              </w:rPr>
            </w:pPr>
            <w:r>
              <w:rPr>
                <w:color w:val="000000"/>
                <w:sz w:val="16"/>
                <w:szCs w:val="16"/>
              </w:rPr>
              <w:t>29</w:t>
            </w:r>
          </w:p>
        </w:tc>
        <w:tc>
          <w:tcPr>
            <w:tcW w:w="0" w:type="auto"/>
            <w:shd w:val="clear" w:color="auto" w:fill="auto"/>
            <w:vAlign w:val="center"/>
          </w:tcPr>
          <w:p w14:paraId="74CFF755" w14:textId="77777777" w:rsidR="003C056F" w:rsidRDefault="003C056F" w:rsidP="003C056F">
            <w:pPr>
              <w:jc w:val="right"/>
              <w:rPr>
                <w:color w:val="000000"/>
                <w:sz w:val="16"/>
                <w:szCs w:val="16"/>
              </w:rPr>
            </w:pPr>
            <w:r>
              <w:rPr>
                <w:color w:val="000000"/>
                <w:sz w:val="16"/>
                <w:szCs w:val="16"/>
              </w:rPr>
              <w:t>2.2</w:t>
            </w:r>
          </w:p>
        </w:tc>
        <w:tc>
          <w:tcPr>
            <w:tcW w:w="0" w:type="auto"/>
            <w:shd w:val="clear" w:color="auto" w:fill="auto"/>
            <w:vAlign w:val="center"/>
          </w:tcPr>
          <w:p w14:paraId="69507349" w14:textId="77777777" w:rsidR="003C056F" w:rsidRDefault="003C056F" w:rsidP="003C056F">
            <w:pPr>
              <w:jc w:val="right"/>
              <w:rPr>
                <w:color w:val="000000"/>
                <w:sz w:val="16"/>
                <w:szCs w:val="16"/>
              </w:rPr>
            </w:pPr>
            <w:r>
              <w:rPr>
                <w:color w:val="000000"/>
                <w:sz w:val="16"/>
                <w:szCs w:val="16"/>
              </w:rPr>
              <w:t>(1.0, 3.4)</w:t>
            </w:r>
          </w:p>
        </w:tc>
      </w:tr>
      <w:tr w:rsidR="003C056F" w:rsidRPr="007B4EF8" w14:paraId="2DD21203" w14:textId="77777777" w:rsidTr="00826105">
        <w:trPr>
          <w:jc w:val="center"/>
        </w:trPr>
        <w:tc>
          <w:tcPr>
            <w:tcW w:w="0" w:type="auto"/>
            <w:shd w:val="clear" w:color="auto" w:fill="auto"/>
          </w:tcPr>
          <w:p w14:paraId="5DBDBD3B" w14:textId="77777777" w:rsidR="003C056F" w:rsidRPr="001B7431" w:rsidRDefault="003C056F" w:rsidP="003C056F">
            <w:pPr>
              <w:spacing w:before="20" w:after="20"/>
              <w:ind w:left="34"/>
              <w:rPr>
                <w:rFonts w:eastAsiaTheme="minorEastAsia"/>
                <w:sz w:val="16"/>
                <w:szCs w:val="16"/>
                <w:lang w:eastAsia="en-US"/>
              </w:rPr>
            </w:pPr>
          </w:p>
        </w:tc>
        <w:tc>
          <w:tcPr>
            <w:tcW w:w="0" w:type="auto"/>
            <w:shd w:val="clear" w:color="auto" w:fill="auto"/>
          </w:tcPr>
          <w:p w14:paraId="531158EC" w14:textId="77777777" w:rsidR="003C056F" w:rsidRPr="001B7431" w:rsidRDefault="003C056F" w:rsidP="003C056F">
            <w:pPr>
              <w:spacing w:before="20" w:after="20"/>
              <w:ind w:left="34"/>
              <w:rPr>
                <w:rFonts w:eastAsiaTheme="minorEastAsia"/>
                <w:sz w:val="16"/>
                <w:szCs w:val="16"/>
                <w:lang w:eastAsia="en-US"/>
              </w:rPr>
            </w:pPr>
            <w:r>
              <w:rPr>
                <w:rFonts w:eastAsiaTheme="minorEastAsia"/>
                <w:sz w:val="16"/>
                <w:szCs w:val="16"/>
                <w:lang w:eastAsia="en-US"/>
              </w:rPr>
              <w:t>No gambling in past year</w:t>
            </w:r>
          </w:p>
        </w:tc>
        <w:tc>
          <w:tcPr>
            <w:tcW w:w="0" w:type="auto"/>
            <w:shd w:val="clear" w:color="auto" w:fill="auto"/>
            <w:vAlign w:val="center"/>
          </w:tcPr>
          <w:p w14:paraId="5B8D436E" w14:textId="77777777" w:rsidR="003C056F" w:rsidRDefault="003C056F" w:rsidP="003C056F">
            <w:pPr>
              <w:jc w:val="right"/>
              <w:rPr>
                <w:color w:val="000000"/>
                <w:sz w:val="16"/>
                <w:szCs w:val="16"/>
              </w:rPr>
            </w:pPr>
            <w:r>
              <w:rPr>
                <w:color w:val="000000"/>
                <w:sz w:val="16"/>
                <w:szCs w:val="16"/>
              </w:rPr>
              <w:t>597</w:t>
            </w:r>
          </w:p>
        </w:tc>
        <w:tc>
          <w:tcPr>
            <w:tcW w:w="0" w:type="auto"/>
            <w:shd w:val="clear" w:color="auto" w:fill="auto"/>
            <w:vAlign w:val="center"/>
          </w:tcPr>
          <w:p w14:paraId="5560A9CD" w14:textId="77777777" w:rsidR="003C056F" w:rsidRDefault="003C056F" w:rsidP="003C056F">
            <w:pPr>
              <w:jc w:val="right"/>
              <w:rPr>
                <w:color w:val="000000"/>
                <w:sz w:val="16"/>
                <w:szCs w:val="16"/>
              </w:rPr>
            </w:pPr>
            <w:r>
              <w:rPr>
                <w:color w:val="000000"/>
                <w:sz w:val="16"/>
                <w:szCs w:val="16"/>
              </w:rPr>
              <w:t>20.0</w:t>
            </w:r>
          </w:p>
        </w:tc>
        <w:tc>
          <w:tcPr>
            <w:tcW w:w="0" w:type="auto"/>
            <w:tcBorders>
              <w:right w:val="single" w:sz="4" w:space="0" w:color="auto"/>
            </w:tcBorders>
            <w:shd w:val="clear" w:color="auto" w:fill="auto"/>
            <w:vAlign w:val="center"/>
          </w:tcPr>
          <w:p w14:paraId="785F0B50" w14:textId="77777777" w:rsidR="003C056F" w:rsidRDefault="003C056F" w:rsidP="003C056F">
            <w:pPr>
              <w:jc w:val="right"/>
              <w:rPr>
                <w:color w:val="000000"/>
                <w:sz w:val="16"/>
                <w:szCs w:val="16"/>
              </w:rPr>
            </w:pPr>
            <w:r>
              <w:rPr>
                <w:color w:val="000000"/>
                <w:sz w:val="16"/>
                <w:szCs w:val="16"/>
              </w:rPr>
              <w:t>(18.2, 21.8)</w:t>
            </w:r>
          </w:p>
        </w:tc>
        <w:tc>
          <w:tcPr>
            <w:tcW w:w="0" w:type="auto"/>
            <w:tcBorders>
              <w:left w:val="single" w:sz="4" w:space="0" w:color="auto"/>
            </w:tcBorders>
            <w:shd w:val="clear" w:color="auto" w:fill="auto"/>
            <w:vAlign w:val="center"/>
          </w:tcPr>
          <w:p w14:paraId="71420734" w14:textId="77777777" w:rsidR="003C056F" w:rsidRDefault="003C056F" w:rsidP="003C056F">
            <w:pPr>
              <w:jc w:val="right"/>
              <w:rPr>
                <w:color w:val="000000"/>
                <w:sz w:val="16"/>
                <w:szCs w:val="16"/>
              </w:rPr>
            </w:pPr>
            <w:r>
              <w:rPr>
                <w:color w:val="000000"/>
                <w:sz w:val="16"/>
                <w:szCs w:val="16"/>
              </w:rPr>
              <w:t>366</w:t>
            </w:r>
          </w:p>
        </w:tc>
        <w:tc>
          <w:tcPr>
            <w:tcW w:w="0" w:type="auto"/>
            <w:shd w:val="clear" w:color="auto" w:fill="auto"/>
            <w:vAlign w:val="center"/>
          </w:tcPr>
          <w:p w14:paraId="0D1B3B92" w14:textId="77777777" w:rsidR="003C056F" w:rsidRDefault="003C056F" w:rsidP="003C056F">
            <w:pPr>
              <w:jc w:val="right"/>
              <w:rPr>
                <w:color w:val="000000"/>
                <w:sz w:val="16"/>
                <w:szCs w:val="16"/>
              </w:rPr>
            </w:pPr>
            <w:r>
              <w:rPr>
                <w:color w:val="000000"/>
                <w:sz w:val="16"/>
                <w:szCs w:val="16"/>
              </w:rPr>
              <w:t>20.4</w:t>
            </w:r>
          </w:p>
        </w:tc>
        <w:tc>
          <w:tcPr>
            <w:tcW w:w="0" w:type="auto"/>
            <w:tcBorders>
              <w:right w:val="single" w:sz="4" w:space="0" w:color="auto"/>
            </w:tcBorders>
            <w:shd w:val="clear" w:color="auto" w:fill="auto"/>
            <w:vAlign w:val="center"/>
          </w:tcPr>
          <w:p w14:paraId="68C9163F" w14:textId="77777777" w:rsidR="003C056F" w:rsidRDefault="003C056F" w:rsidP="003C056F">
            <w:pPr>
              <w:jc w:val="right"/>
              <w:rPr>
                <w:color w:val="000000"/>
                <w:sz w:val="16"/>
                <w:szCs w:val="16"/>
              </w:rPr>
            </w:pPr>
            <w:r>
              <w:rPr>
                <w:color w:val="000000"/>
                <w:sz w:val="16"/>
                <w:szCs w:val="16"/>
              </w:rPr>
              <w:t>(18.1, 22.8)</w:t>
            </w:r>
          </w:p>
        </w:tc>
        <w:tc>
          <w:tcPr>
            <w:tcW w:w="0" w:type="auto"/>
            <w:tcBorders>
              <w:left w:val="single" w:sz="4" w:space="0" w:color="auto"/>
            </w:tcBorders>
            <w:shd w:val="clear" w:color="auto" w:fill="auto"/>
            <w:vAlign w:val="center"/>
          </w:tcPr>
          <w:p w14:paraId="0567504C" w14:textId="77777777" w:rsidR="003C056F" w:rsidRDefault="003C056F" w:rsidP="003C056F">
            <w:pPr>
              <w:jc w:val="right"/>
              <w:rPr>
                <w:color w:val="000000"/>
                <w:sz w:val="16"/>
                <w:szCs w:val="16"/>
              </w:rPr>
            </w:pPr>
            <w:r>
              <w:rPr>
                <w:color w:val="000000"/>
                <w:sz w:val="16"/>
                <w:szCs w:val="16"/>
              </w:rPr>
              <w:t>329</w:t>
            </w:r>
          </w:p>
        </w:tc>
        <w:tc>
          <w:tcPr>
            <w:tcW w:w="0" w:type="auto"/>
            <w:shd w:val="clear" w:color="auto" w:fill="auto"/>
            <w:vAlign w:val="center"/>
          </w:tcPr>
          <w:p w14:paraId="67802C2E" w14:textId="77777777" w:rsidR="003C056F" w:rsidRDefault="003C056F" w:rsidP="003C056F">
            <w:pPr>
              <w:jc w:val="right"/>
              <w:rPr>
                <w:color w:val="000000"/>
                <w:sz w:val="16"/>
                <w:szCs w:val="16"/>
              </w:rPr>
            </w:pPr>
            <w:r>
              <w:rPr>
                <w:color w:val="000000"/>
                <w:sz w:val="16"/>
                <w:szCs w:val="16"/>
              </w:rPr>
              <w:t>22.1</w:t>
            </w:r>
          </w:p>
        </w:tc>
        <w:tc>
          <w:tcPr>
            <w:tcW w:w="0" w:type="auto"/>
            <w:tcBorders>
              <w:right w:val="single" w:sz="4" w:space="0" w:color="auto"/>
            </w:tcBorders>
            <w:shd w:val="clear" w:color="auto" w:fill="auto"/>
            <w:vAlign w:val="center"/>
          </w:tcPr>
          <w:p w14:paraId="3B2BBFDF" w14:textId="77777777" w:rsidR="003C056F" w:rsidRDefault="003C056F" w:rsidP="003C056F">
            <w:pPr>
              <w:jc w:val="right"/>
              <w:rPr>
                <w:color w:val="000000"/>
                <w:sz w:val="16"/>
                <w:szCs w:val="16"/>
              </w:rPr>
            </w:pPr>
            <w:r>
              <w:rPr>
                <w:color w:val="000000"/>
                <w:sz w:val="16"/>
                <w:szCs w:val="16"/>
              </w:rPr>
              <w:t>(19.1, 25.1)</w:t>
            </w:r>
          </w:p>
        </w:tc>
        <w:tc>
          <w:tcPr>
            <w:tcW w:w="0" w:type="auto"/>
            <w:tcBorders>
              <w:left w:val="single" w:sz="4" w:space="0" w:color="auto"/>
            </w:tcBorders>
            <w:shd w:val="clear" w:color="auto" w:fill="auto"/>
            <w:vAlign w:val="center"/>
          </w:tcPr>
          <w:p w14:paraId="186C9BB7" w14:textId="77777777" w:rsidR="003C056F" w:rsidRDefault="003C056F" w:rsidP="003C056F">
            <w:pPr>
              <w:jc w:val="right"/>
              <w:rPr>
                <w:color w:val="000000"/>
                <w:sz w:val="16"/>
                <w:szCs w:val="16"/>
              </w:rPr>
            </w:pPr>
            <w:r>
              <w:rPr>
                <w:color w:val="000000"/>
                <w:sz w:val="16"/>
                <w:szCs w:val="16"/>
              </w:rPr>
              <w:t>316</w:t>
            </w:r>
          </w:p>
        </w:tc>
        <w:tc>
          <w:tcPr>
            <w:tcW w:w="0" w:type="auto"/>
            <w:shd w:val="clear" w:color="auto" w:fill="auto"/>
            <w:vAlign w:val="center"/>
          </w:tcPr>
          <w:p w14:paraId="199E7CD2" w14:textId="77777777" w:rsidR="003C056F" w:rsidRDefault="003C056F" w:rsidP="003C056F">
            <w:pPr>
              <w:jc w:val="right"/>
              <w:rPr>
                <w:color w:val="000000"/>
                <w:sz w:val="16"/>
                <w:szCs w:val="16"/>
              </w:rPr>
            </w:pPr>
            <w:r>
              <w:rPr>
                <w:color w:val="000000"/>
                <w:sz w:val="16"/>
                <w:szCs w:val="16"/>
              </w:rPr>
              <w:t>23.8</w:t>
            </w:r>
          </w:p>
        </w:tc>
        <w:tc>
          <w:tcPr>
            <w:tcW w:w="0" w:type="auto"/>
            <w:shd w:val="clear" w:color="auto" w:fill="auto"/>
            <w:vAlign w:val="center"/>
          </w:tcPr>
          <w:p w14:paraId="702746BF" w14:textId="77777777" w:rsidR="003C056F" w:rsidRDefault="003C056F" w:rsidP="003C056F">
            <w:pPr>
              <w:jc w:val="right"/>
              <w:rPr>
                <w:color w:val="000000"/>
                <w:sz w:val="16"/>
                <w:szCs w:val="16"/>
              </w:rPr>
            </w:pPr>
            <w:r>
              <w:rPr>
                <w:color w:val="000000"/>
                <w:sz w:val="16"/>
                <w:szCs w:val="16"/>
              </w:rPr>
              <w:t>(20.4, 27.1)</w:t>
            </w:r>
          </w:p>
        </w:tc>
      </w:tr>
      <w:tr w:rsidR="001B7431" w:rsidRPr="007B4EF8" w14:paraId="651FF3E8" w14:textId="77777777" w:rsidTr="00826105">
        <w:trPr>
          <w:jc w:val="center"/>
        </w:trPr>
        <w:tc>
          <w:tcPr>
            <w:tcW w:w="0" w:type="auto"/>
            <w:shd w:val="clear" w:color="auto" w:fill="auto"/>
          </w:tcPr>
          <w:p w14:paraId="6F09C40B" w14:textId="77777777" w:rsidR="001B7431" w:rsidRPr="001B7431" w:rsidRDefault="001B7431" w:rsidP="001B7431">
            <w:pPr>
              <w:spacing w:before="20" w:after="20"/>
              <w:ind w:left="34"/>
              <w:rPr>
                <w:rFonts w:eastAsiaTheme="minorEastAsia"/>
                <w:sz w:val="16"/>
                <w:szCs w:val="16"/>
                <w:lang w:eastAsia="en-US"/>
              </w:rPr>
            </w:pPr>
            <w:r>
              <w:rPr>
                <w:rFonts w:eastAsiaTheme="minorEastAsia"/>
                <w:sz w:val="16"/>
                <w:szCs w:val="16"/>
                <w:lang w:eastAsia="en-US"/>
              </w:rPr>
              <w:t>Female</w:t>
            </w:r>
          </w:p>
        </w:tc>
        <w:tc>
          <w:tcPr>
            <w:tcW w:w="0" w:type="auto"/>
            <w:shd w:val="clear" w:color="auto" w:fill="auto"/>
          </w:tcPr>
          <w:p w14:paraId="64B2DAB9" w14:textId="77777777" w:rsidR="001B7431" w:rsidRPr="001B7431" w:rsidRDefault="001B7431" w:rsidP="001B7431">
            <w:pPr>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0" w:type="auto"/>
            <w:shd w:val="clear" w:color="auto" w:fill="auto"/>
            <w:vAlign w:val="center"/>
          </w:tcPr>
          <w:p w14:paraId="3C7DC772" w14:textId="77777777" w:rsidR="001B7431" w:rsidRDefault="001B7431" w:rsidP="001B7431">
            <w:pPr>
              <w:jc w:val="right"/>
              <w:rPr>
                <w:color w:val="000000"/>
                <w:sz w:val="16"/>
                <w:szCs w:val="16"/>
                <w:lang w:eastAsia="en-NZ"/>
              </w:rPr>
            </w:pPr>
            <w:r>
              <w:rPr>
                <w:color w:val="000000"/>
                <w:sz w:val="16"/>
                <w:szCs w:val="16"/>
              </w:rPr>
              <w:t>2392</w:t>
            </w:r>
          </w:p>
        </w:tc>
        <w:tc>
          <w:tcPr>
            <w:tcW w:w="0" w:type="auto"/>
            <w:shd w:val="clear" w:color="auto" w:fill="auto"/>
            <w:vAlign w:val="center"/>
          </w:tcPr>
          <w:p w14:paraId="40592AE5" w14:textId="77777777" w:rsidR="001B7431" w:rsidRDefault="001B7431" w:rsidP="001B7431">
            <w:pPr>
              <w:jc w:val="right"/>
              <w:rPr>
                <w:color w:val="000000"/>
                <w:sz w:val="16"/>
                <w:szCs w:val="16"/>
              </w:rPr>
            </w:pPr>
            <w:r>
              <w:rPr>
                <w:color w:val="000000"/>
                <w:sz w:val="16"/>
                <w:szCs w:val="16"/>
              </w:rPr>
              <w:t>73.3</w:t>
            </w:r>
          </w:p>
        </w:tc>
        <w:tc>
          <w:tcPr>
            <w:tcW w:w="0" w:type="auto"/>
            <w:tcBorders>
              <w:right w:val="single" w:sz="4" w:space="0" w:color="auto"/>
            </w:tcBorders>
            <w:shd w:val="clear" w:color="auto" w:fill="auto"/>
            <w:vAlign w:val="center"/>
          </w:tcPr>
          <w:p w14:paraId="37CF5BCC" w14:textId="77777777" w:rsidR="001B7431" w:rsidRDefault="001B7431" w:rsidP="001B7431">
            <w:pPr>
              <w:jc w:val="right"/>
              <w:rPr>
                <w:color w:val="000000"/>
                <w:sz w:val="16"/>
                <w:szCs w:val="16"/>
              </w:rPr>
            </w:pPr>
            <w:r>
              <w:rPr>
                <w:color w:val="000000"/>
                <w:sz w:val="16"/>
                <w:szCs w:val="16"/>
              </w:rPr>
              <w:t>(71.7, 75</w:t>
            </w:r>
            <w:r w:rsidR="003C056F">
              <w:rPr>
                <w:color w:val="000000"/>
                <w:sz w:val="16"/>
                <w:szCs w:val="16"/>
              </w:rPr>
              <w:t>.0</w:t>
            </w:r>
            <w:r>
              <w:rPr>
                <w:color w:val="000000"/>
                <w:sz w:val="16"/>
                <w:szCs w:val="16"/>
              </w:rPr>
              <w:t>)</w:t>
            </w:r>
          </w:p>
        </w:tc>
        <w:tc>
          <w:tcPr>
            <w:tcW w:w="0" w:type="auto"/>
            <w:tcBorders>
              <w:left w:val="single" w:sz="4" w:space="0" w:color="auto"/>
            </w:tcBorders>
            <w:shd w:val="clear" w:color="auto" w:fill="auto"/>
            <w:vAlign w:val="center"/>
          </w:tcPr>
          <w:p w14:paraId="29017B53" w14:textId="77777777" w:rsidR="001B7431" w:rsidRDefault="001B7431" w:rsidP="001B7431">
            <w:pPr>
              <w:jc w:val="right"/>
              <w:rPr>
                <w:color w:val="000000"/>
                <w:sz w:val="16"/>
                <w:szCs w:val="16"/>
              </w:rPr>
            </w:pPr>
            <w:r>
              <w:rPr>
                <w:color w:val="000000"/>
                <w:sz w:val="16"/>
                <w:szCs w:val="16"/>
              </w:rPr>
              <w:t>1346</w:t>
            </w:r>
          </w:p>
        </w:tc>
        <w:tc>
          <w:tcPr>
            <w:tcW w:w="0" w:type="auto"/>
            <w:shd w:val="clear" w:color="auto" w:fill="auto"/>
            <w:vAlign w:val="center"/>
          </w:tcPr>
          <w:p w14:paraId="38E4ED4E" w14:textId="77777777" w:rsidR="001B7431" w:rsidRDefault="001B7431" w:rsidP="001B7431">
            <w:pPr>
              <w:jc w:val="right"/>
              <w:rPr>
                <w:color w:val="000000"/>
                <w:sz w:val="16"/>
                <w:szCs w:val="16"/>
              </w:rPr>
            </w:pPr>
            <w:r>
              <w:rPr>
                <w:color w:val="000000"/>
                <w:sz w:val="16"/>
                <w:szCs w:val="16"/>
              </w:rPr>
              <w:t>68.9</w:t>
            </w:r>
          </w:p>
        </w:tc>
        <w:tc>
          <w:tcPr>
            <w:tcW w:w="0" w:type="auto"/>
            <w:tcBorders>
              <w:right w:val="single" w:sz="4" w:space="0" w:color="auto"/>
            </w:tcBorders>
            <w:shd w:val="clear" w:color="auto" w:fill="auto"/>
            <w:vAlign w:val="center"/>
          </w:tcPr>
          <w:p w14:paraId="41708E1F" w14:textId="77777777" w:rsidR="001B7431" w:rsidRDefault="001B7431" w:rsidP="001B7431">
            <w:pPr>
              <w:jc w:val="right"/>
              <w:rPr>
                <w:color w:val="000000"/>
                <w:sz w:val="16"/>
                <w:szCs w:val="16"/>
              </w:rPr>
            </w:pPr>
            <w:r>
              <w:rPr>
                <w:color w:val="000000"/>
                <w:sz w:val="16"/>
                <w:szCs w:val="16"/>
              </w:rPr>
              <w:t>(66.5, 71.2)</w:t>
            </w:r>
          </w:p>
        </w:tc>
        <w:tc>
          <w:tcPr>
            <w:tcW w:w="0" w:type="auto"/>
            <w:tcBorders>
              <w:left w:val="single" w:sz="4" w:space="0" w:color="auto"/>
            </w:tcBorders>
            <w:shd w:val="clear" w:color="auto" w:fill="auto"/>
            <w:vAlign w:val="center"/>
          </w:tcPr>
          <w:p w14:paraId="16090B5D" w14:textId="77777777" w:rsidR="001B7431" w:rsidRDefault="001B7431" w:rsidP="001B7431">
            <w:pPr>
              <w:jc w:val="right"/>
              <w:rPr>
                <w:color w:val="000000"/>
                <w:sz w:val="16"/>
                <w:szCs w:val="16"/>
              </w:rPr>
            </w:pPr>
            <w:r>
              <w:rPr>
                <w:color w:val="000000"/>
                <w:sz w:val="16"/>
                <w:szCs w:val="16"/>
              </w:rPr>
              <w:t>1123</w:t>
            </w:r>
          </w:p>
        </w:tc>
        <w:tc>
          <w:tcPr>
            <w:tcW w:w="0" w:type="auto"/>
            <w:shd w:val="clear" w:color="auto" w:fill="auto"/>
            <w:vAlign w:val="center"/>
          </w:tcPr>
          <w:p w14:paraId="7405A8ED" w14:textId="77777777" w:rsidR="001B7431" w:rsidRDefault="001B7431" w:rsidP="001B7431">
            <w:pPr>
              <w:jc w:val="right"/>
              <w:rPr>
                <w:color w:val="000000"/>
                <w:sz w:val="16"/>
                <w:szCs w:val="16"/>
              </w:rPr>
            </w:pPr>
            <w:r>
              <w:rPr>
                <w:color w:val="000000"/>
                <w:sz w:val="16"/>
                <w:szCs w:val="16"/>
              </w:rPr>
              <w:t>68.8</w:t>
            </w:r>
          </w:p>
        </w:tc>
        <w:tc>
          <w:tcPr>
            <w:tcW w:w="0" w:type="auto"/>
            <w:tcBorders>
              <w:right w:val="single" w:sz="4" w:space="0" w:color="auto"/>
            </w:tcBorders>
            <w:shd w:val="clear" w:color="auto" w:fill="auto"/>
            <w:vAlign w:val="center"/>
          </w:tcPr>
          <w:p w14:paraId="182E8A81" w14:textId="77777777" w:rsidR="001B7431" w:rsidRDefault="001B7431" w:rsidP="001B7431">
            <w:pPr>
              <w:jc w:val="right"/>
              <w:rPr>
                <w:color w:val="000000"/>
                <w:sz w:val="16"/>
                <w:szCs w:val="16"/>
              </w:rPr>
            </w:pPr>
            <w:r>
              <w:rPr>
                <w:color w:val="000000"/>
                <w:sz w:val="16"/>
                <w:szCs w:val="16"/>
              </w:rPr>
              <w:t>(66.2, 71.5)</w:t>
            </w:r>
          </w:p>
        </w:tc>
        <w:tc>
          <w:tcPr>
            <w:tcW w:w="0" w:type="auto"/>
            <w:tcBorders>
              <w:left w:val="single" w:sz="4" w:space="0" w:color="auto"/>
            </w:tcBorders>
            <w:shd w:val="clear" w:color="auto" w:fill="auto"/>
            <w:vAlign w:val="center"/>
          </w:tcPr>
          <w:p w14:paraId="4C843AD3" w14:textId="77777777" w:rsidR="001B7431" w:rsidRDefault="001B7431" w:rsidP="001B7431">
            <w:pPr>
              <w:jc w:val="right"/>
              <w:rPr>
                <w:color w:val="000000"/>
                <w:sz w:val="16"/>
                <w:szCs w:val="16"/>
              </w:rPr>
            </w:pPr>
            <w:r>
              <w:rPr>
                <w:color w:val="000000"/>
                <w:sz w:val="16"/>
                <w:szCs w:val="16"/>
              </w:rPr>
              <w:t>971</w:t>
            </w:r>
          </w:p>
        </w:tc>
        <w:tc>
          <w:tcPr>
            <w:tcW w:w="0" w:type="auto"/>
            <w:shd w:val="clear" w:color="auto" w:fill="auto"/>
            <w:vAlign w:val="center"/>
          </w:tcPr>
          <w:p w14:paraId="07D180D4" w14:textId="77777777" w:rsidR="001B7431" w:rsidRDefault="001B7431" w:rsidP="001B7431">
            <w:pPr>
              <w:jc w:val="right"/>
              <w:rPr>
                <w:color w:val="000000"/>
                <w:sz w:val="16"/>
                <w:szCs w:val="16"/>
              </w:rPr>
            </w:pPr>
            <w:r>
              <w:rPr>
                <w:color w:val="000000"/>
                <w:sz w:val="16"/>
                <w:szCs w:val="16"/>
              </w:rPr>
              <w:t>67.4</w:t>
            </w:r>
          </w:p>
        </w:tc>
        <w:tc>
          <w:tcPr>
            <w:tcW w:w="0" w:type="auto"/>
            <w:shd w:val="clear" w:color="auto" w:fill="auto"/>
            <w:vAlign w:val="center"/>
          </w:tcPr>
          <w:p w14:paraId="0B480622" w14:textId="77777777" w:rsidR="001B7431" w:rsidRDefault="001B7431" w:rsidP="001B7431">
            <w:pPr>
              <w:jc w:val="right"/>
              <w:rPr>
                <w:color w:val="000000"/>
                <w:sz w:val="16"/>
                <w:szCs w:val="16"/>
              </w:rPr>
            </w:pPr>
            <w:r>
              <w:rPr>
                <w:color w:val="000000"/>
                <w:sz w:val="16"/>
                <w:szCs w:val="16"/>
              </w:rPr>
              <w:t>(64.6, 70.2)</w:t>
            </w:r>
          </w:p>
        </w:tc>
      </w:tr>
      <w:tr w:rsidR="001B7431" w:rsidRPr="007B4EF8" w14:paraId="4817BEDE" w14:textId="77777777" w:rsidTr="00826105">
        <w:trPr>
          <w:jc w:val="center"/>
        </w:trPr>
        <w:tc>
          <w:tcPr>
            <w:tcW w:w="0" w:type="auto"/>
            <w:shd w:val="clear" w:color="auto" w:fill="auto"/>
          </w:tcPr>
          <w:p w14:paraId="15DCF5E8" w14:textId="77777777" w:rsidR="001B7431" w:rsidRDefault="001B7431" w:rsidP="001B7431">
            <w:pPr>
              <w:spacing w:before="20" w:after="20"/>
              <w:ind w:left="34"/>
              <w:rPr>
                <w:rFonts w:eastAsiaTheme="minorEastAsia"/>
                <w:sz w:val="16"/>
                <w:szCs w:val="16"/>
                <w:lang w:eastAsia="en-US"/>
              </w:rPr>
            </w:pPr>
          </w:p>
        </w:tc>
        <w:tc>
          <w:tcPr>
            <w:tcW w:w="0" w:type="auto"/>
            <w:shd w:val="clear" w:color="auto" w:fill="auto"/>
          </w:tcPr>
          <w:p w14:paraId="58D28AF7" w14:textId="77777777" w:rsidR="001B7431" w:rsidRPr="001B7431" w:rsidRDefault="001B7431" w:rsidP="001B7431">
            <w:pPr>
              <w:spacing w:before="20" w:after="20"/>
              <w:ind w:left="34"/>
              <w:rPr>
                <w:rFonts w:eastAsiaTheme="minorEastAsia"/>
                <w:sz w:val="16"/>
                <w:szCs w:val="16"/>
                <w:lang w:eastAsia="en-US"/>
              </w:rPr>
            </w:pPr>
            <w:r>
              <w:rPr>
                <w:rFonts w:eastAsiaTheme="minorEastAsia"/>
                <w:sz w:val="16"/>
                <w:szCs w:val="16"/>
                <w:lang w:eastAsia="en-US"/>
              </w:rPr>
              <w:t>Low-risk gambler</w:t>
            </w:r>
          </w:p>
        </w:tc>
        <w:tc>
          <w:tcPr>
            <w:tcW w:w="0" w:type="auto"/>
            <w:shd w:val="clear" w:color="auto" w:fill="auto"/>
            <w:vAlign w:val="center"/>
          </w:tcPr>
          <w:p w14:paraId="2029FCB9" w14:textId="77777777" w:rsidR="001B7431" w:rsidRDefault="001B7431" w:rsidP="001B7431">
            <w:pPr>
              <w:jc w:val="right"/>
              <w:rPr>
                <w:color w:val="000000"/>
                <w:sz w:val="16"/>
                <w:szCs w:val="16"/>
              </w:rPr>
            </w:pPr>
            <w:r>
              <w:rPr>
                <w:color w:val="000000"/>
                <w:sz w:val="16"/>
                <w:szCs w:val="16"/>
              </w:rPr>
              <w:t>143</w:t>
            </w:r>
          </w:p>
        </w:tc>
        <w:tc>
          <w:tcPr>
            <w:tcW w:w="0" w:type="auto"/>
            <w:shd w:val="clear" w:color="auto" w:fill="auto"/>
            <w:vAlign w:val="center"/>
          </w:tcPr>
          <w:p w14:paraId="05D11AA1" w14:textId="77777777" w:rsidR="001B7431" w:rsidRDefault="001B7431" w:rsidP="001B7431">
            <w:pPr>
              <w:jc w:val="right"/>
              <w:rPr>
                <w:color w:val="000000"/>
                <w:sz w:val="16"/>
                <w:szCs w:val="16"/>
              </w:rPr>
            </w:pPr>
            <w:r>
              <w:rPr>
                <w:color w:val="000000"/>
                <w:sz w:val="16"/>
                <w:szCs w:val="16"/>
              </w:rPr>
              <w:t>4.4</w:t>
            </w:r>
          </w:p>
        </w:tc>
        <w:tc>
          <w:tcPr>
            <w:tcW w:w="0" w:type="auto"/>
            <w:tcBorders>
              <w:right w:val="single" w:sz="4" w:space="0" w:color="auto"/>
            </w:tcBorders>
            <w:shd w:val="clear" w:color="auto" w:fill="auto"/>
            <w:vAlign w:val="center"/>
          </w:tcPr>
          <w:p w14:paraId="41F748A9" w14:textId="77777777" w:rsidR="001B7431" w:rsidRDefault="001B7431" w:rsidP="001B7431">
            <w:pPr>
              <w:jc w:val="right"/>
              <w:rPr>
                <w:color w:val="000000"/>
                <w:sz w:val="16"/>
                <w:szCs w:val="16"/>
              </w:rPr>
            </w:pPr>
            <w:r>
              <w:rPr>
                <w:color w:val="000000"/>
                <w:sz w:val="16"/>
                <w:szCs w:val="16"/>
              </w:rPr>
              <w:t>(3.6, 5.2)</w:t>
            </w:r>
          </w:p>
        </w:tc>
        <w:tc>
          <w:tcPr>
            <w:tcW w:w="0" w:type="auto"/>
            <w:tcBorders>
              <w:left w:val="single" w:sz="4" w:space="0" w:color="auto"/>
            </w:tcBorders>
            <w:shd w:val="clear" w:color="auto" w:fill="auto"/>
            <w:vAlign w:val="center"/>
          </w:tcPr>
          <w:p w14:paraId="46AB61BF" w14:textId="77777777" w:rsidR="001B7431" w:rsidRDefault="001B7431" w:rsidP="001B7431">
            <w:pPr>
              <w:jc w:val="right"/>
              <w:rPr>
                <w:color w:val="000000"/>
                <w:sz w:val="16"/>
                <w:szCs w:val="16"/>
              </w:rPr>
            </w:pPr>
            <w:r>
              <w:rPr>
                <w:color w:val="000000"/>
                <w:sz w:val="16"/>
                <w:szCs w:val="16"/>
              </w:rPr>
              <w:t>114</w:t>
            </w:r>
          </w:p>
        </w:tc>
        <w:tc>
          <w:tcPr>
            <w:tcW w:w="0" w:type="auto"/>
            <w:shd w:val="clear" w:color="auto" w:fill="auto"/>
            <w:vAlign w:val="center"/>
          </w:tcPr>
          <w:p w14:paraId="37D1BADF" w14:textId="77777777" w:rsidR="001B7431" w:rsidRDefault="001B7431" w:rsidP="001B7431">
            <w:pPr>
              <w:jc w:val="right"/>
              <w:rPr>
                <w:color w:val="000000"/>
                <w:sz w:val="16"/>
                <w:szCs w:val="16"/>
              </w:rPr>
            </w:pPr>
            <w:r>
              <w:rPr>
                <w:color w:val="000000"/>
                <w:sz w:val="16"/>
                <w:szCs w:val="16"/>
              </w:rPr>
              <w:t>5.8</w:t>
            </w:r>
          </w:p>
        </w:tc>
        <w:tc>
          <w:tcPr>
            <w:tcW w:w="0" w:type="auto"/>
            <w:tcBorders>
              <w:right w:val="single" w:sz="4" w:space="0" w:color="auto"/>
            </w:tcBorders>
            <w:shd w:val="clear" w:color="auto" w:fill="auto"/>
            <w:vAlign w:val="center"/>
          </w:tcPr>
          <w:p w14:paraId="03FAD8BA" w14:textId="77777777" w:rsidR="001B7431" w:rsidRDefault="001B7431" w:rsidP="001B7431">
            <w:pPr>
              <w:jc w:val="right"/>
              <w:rPr>
                <w:color w:val="000000"/>
                <w:sz w:val="16"/>
                <w:szCs w:val="16"/>
              </w:rPr>
            </w:pPr>
            <w:r>
              <w:rPr>
                <w:color w:val="000000"/>
                <w:sz w:val="16"/>
                <w:szCs w:val="16"/>
              </w:rPr>
              <w:t>(4.7, 6.9)</w:t>
            </w:r>
          </w:p>
        </w:tc>
        <w:tc>
          <w:tcPr>
            <w:tcW w:w="0" w:type="auto"/>
            <w:tcBorders>
              <w:left w:val="single" w:sz="4" w:space="0" w:color="auto"/>
            </w:tcBorders>
            <w:shd w:val="clear" w:color="auto" w:fill="auto"/>
            <w:vAlign w:val="center"/>
          </w:tcPr>
          <w:p w14:paraId="495917A2" w14:textId="77777777" w:rsidR="001B7431" w:rsidRDefault="001B7431" w:rsidP="001B7431">
            <w:pPr>
              <w:jc w:val="right"/>
              <w:rPr>
                <w:color w:val="000000"/>
                <w:sz w:val="16"/>
                <w:szCs w:val="16"/>
              </w:rPr>
            </w:pPr>
            <w:r>
              <w:rPr>
                <w:color w:val="000000"/>
                <w:sz w:val="16"/>
                <w:szCs w:val="16"/>
              </w:rPr>
              <w:t>82</w:t>
            </w:r>
          </w:p>
        </w:tc>
        <w:tc>
          <w:tcPr>
            <w:tcW w:w="0" w:type="auto"/>
            <w:shd w:val="clear" w:color="auto" w:fill="auto"/>
            <w:vAlign w:val="center"/>
          </w:tcPr>
          <w:p w14:paraId="79EC874D" w14:textId="77777777" w:rsidR="001B7431" w:rsidRDefault="001B7431" w:rsidP="001B7431">
            <w:pPr>
              <w:jc w:val="right"/>
              <w:rPr>
                <w:color w:val="000000"/>
                <w:sz w:val="16"/>
                <w:szCs w:val="16"/>
              </w:rPr>
            </w:pPr>
            <w:r>
              <w:rPr>
                <w:color w:val="000000"/>
                <w:sz w:val="16"/>
                <w:szCs w:val="16"/>
              </w:rPr>
              <w:t>5.0</w:t>
            </w:r>
          </w:p>
        </w:tc>
        <w:tc>
          <w:tcPr>
            <w:tcW w:w="0" w:type="auto"/>
            <w:tcBorders>
              <w:right w:val="single" w:sz="4" w:space="0" w:color="auto"/>
            </w:tcBorders>
            <w:shd w:val="clear" w:color="auto" w:fill="auto"/>
            <w:vAlign w:val="center"/>
          </w:tcPr>
          <w:p w14:paraId="020F92EE" w14:textId="77777777" w:rsidR="001B7431" w:rsidRDefault="001B7431" w:rsidP="001B7431">
            <w:pPr>
              <w:jc w:val="right"/>
              <w:rPr>
                <w:color w:val="000000"/>
                <w:sz w:val="16"/>
                <w:szCs w:val="16"/>
              </w:rPr>
            </w:pPr>
            <w:r>
              <w:rPr>
                <w:color w:val="000000"/>
                <w:sz w:val="16"/>
                <w:szCs w:val="16"/>
              </w:rPr>
              <w:t>(3.9, 6.2)</w:t>
            </w:r>
          </w:p>
        </w:tc>
        <w:tc>
          <w:tcPr>
            <w:tcW w:w="0" w:type="auto"/>
            <w:tcBorders>
              <w:left w:val="single" w:sz="4" w:space="0" w:color="auto"/>
            </w:tcBorders>
            <w:shd w:val="clear" w:color="auto" w:fill="auto"/>
            <w:vAlign w:val="center"/>
          </w:tcPr>
          <w:p w14:paraId="2A8474FA" w14:textId="77777777" w:rsidR="001B7431" w:rsidRDefault="001B7431" w:rsidP="001B7431">
            <w:pPr>
              <w:jc w:val="right"/>
              <w:rPr>
                <w:color w:val="000000"/>
                <w:sz w:val="16"/>
                <w:szCs w:val="16"/>
              </w:rPr>
            </w:pPr>
            <w:r>
              <w:rPr>
                <w:color w:val="000000"/>
                <w:sz w:val="16"/>
                <w:szCs w:val="16"/>
              </w:rPr>
              <w:t>63</w:t>
            </w:r>
          </w:p>
        </w:tc>
        <w:tc>
          <w:tcPr>
            <w:tcW w:w="0" w:type="auto"/>
            <w:shd w:val="clear" w:color="auto" w:fill="auto"/>
            <w:vAlign w:val="center"/>
          </w:tcPr>
          <w:p w14:paraId="36885D5C" w14:textId="77777777" w:rsidR="001B7431" w:rsidRDefault="001B7431" w:rsidP="001B7431">
            <w:pPr>
              <w:jc w:val="right"/>
              <w:rPr>
                <w:color w:val="000000"/>
                <w:sz w:val="16"/>
                <w:szCs w:val="16"/>
              </w:rPr>
            </w:pPr>
            <w:r>
              <w:rPr>
                <w:color w:val="000000"/>
                <w:sz w:val="16"/>
                <w:szCs w:val="16"/>
              </w:rPr>
              <w:t>4.3</w:t>
            </w:r>
          </w:p>
        </w:tc>
        <w:tc>
          <w:tcPr>
            <w:tcW w:w="0" w:type="auto"/>
            <w:shd w:val="clear" w:color="auto" w:fill="auto"/>
            <w:vAlign w:val="center"/>
          </w:tcPr>
          <w:p w14:paraId="2872684B" w14:textId="77777777" w:rsidR="001B7431" w:rsidRDefault="001B7431" w:rsidP="001B7431">
            <w:pPr>
              <w:jc w:val="right"/>
              <w:rPr>
                <w:color w:val="000000"/>
                <w:sz w:val="16"/>
                <w:szCs w:val="16"/>
              </w:rPr>
            </w:pPr>
            <w:r>
              <w:rPr>
                <w:color w:val="000000"/>
                <w:sz w:val="16"/>
                <w:szCs w:val="16"/>
              </w:rPr>
              <w:t>(3.3, 5.4)</w:t>
            </w:r>
          </w:p>
        </w:tc>
      </w:tr>
      <w:tr w:rsidR="001B7431" w:rsidRPr="007B4EF8" w14:paraId="75A8E7AE" w14:textId="77777777" w:rsidTr="00826105">
        <w:trPr>
          <w:jc w:val="center"/>
        </w:trPr>
        <w:tc>
          <w:tcPr>
            <w:tcW w:w="0" w:type="auto"/>
            <w:shd w:val="clear" w:color="auto" w:fill="auto"/>
          </w:tcPr>
          <w:p w14:paraId="52021846" w14:textId="77777777" w:rsidR="001B7431" w:rsidRDefault="001B7431" w:rsidP="001B7431">
            <w:pPr>
              <w:spacing w:before="20" w:after="20"/>
              <w:ind w:left="34"/>
              <w:rPr>
                <w:rFonts w:eastAsiaTheme="minorEastAsia"/>
                <w:sz w:val="16"/>
                <w:szCs w:val="16"/>
                <w:lang w:eastAsia="en-US"/>
              </w:rPr>
            </w:pPr>
          </w:p>
        </w:tc>
        <w:tc>
          <w:tcPr>
            <w:tcW w:w="0" w:type="auto"/>
            <w:shd w:val="clear" w:color="auto" w:fill="auto"/>
          </w:tcPr>
          <w:p w14:paraId="356A162A" w14:textId="77777777" w:rsidR="001B7431" w:rsidRPr="001B7431" w:rsidRDefault="001B7431" w:rsidP="001B7431">
            <w:pPr>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0" w:type="auto"/>
            <w:shd w:val="clear" w:color="auto" w:fill="auto"/>
            <w:vAlign w:val="center"/>
          </w:tcPr>
          <w:p w14:paraId="41E10FD7" w14:textId="77777777" w:rsidR="001B7431" w:rsidRDefault="001B7431" w:rsidP="001B7431">
            <w:pPr>
              <w:jc w:val="right"/>
              <w:rPr>
                <w:color w:val="000000"/>
                <w:sz w:val="16"/>
                <w:szCs w:val="16"/>
              </w:rPr>
            </w:pPr>
            <w:r>
              <w:rPr>
                <w:color w:val="000000"/>
                <w:sz w:val="16"/>
                <w:szCs w:val="16"/>
              </w:rPr>
              <w:t>63</w:t>
            </w:r>
          </w:p>
        </w:tc>
        <w:tc>
          <w:tcPr>
            <w:tcW w:w="0" w:type="auto"/>
            <w:shd w:val="clear" w:color="auto" w:fill="auto"/>
            <w:vAlign w:val="center"/>
          </w:tcPr>
          <w:p w14:paraId="722988FD" w14:textId="77777777" w:rsidR="001B7431" w:rsidRDefault="001B7431" w:rsidP="001B7431">
            <w:pPr>
              <w:jc w:val="right"/>
              <w:rPr>
                <w:color w:val="000000"/>
                <w:sz w:val="16"/>
                <w:szCs w:val="16"/>
              </w:rPr>
            </w:pPr>
            <w:r>
              <w:rPr>
                <w:color w:val="000000"/>
                <w:sz w:val="16"/>
                <w:szCs w:val="16"/>
              </w:rPr>
              <w:t>1.9</w:t>
            </w:r>
          </w:p>
        </w:tc>
        <w:tc>
          <w:tcPr>
            <w:tcW w:w="0" w:type="auto"/>
            <w:tcBorders>
              <w:right w:val="single" w:sz="4" w:space="0" w:color="auto"/>
            </w:tcBorders>
            <w:shd w:val="clear" w:color="auto" w:fill="auto"/>
            <w:vAlign w:val="center"/>
          </w:tcPr>
          <w:p w14:paraId="3E79429A" w14:textId="77777777" w:rsidR="001B7431" w:rsidRDefault="001B7431" w:rsidP="001B7431">
            <w:pPr>
              <w:jc w:val="right"/>
              <w:rPr>
                <w:color w:val="000000"/>
                <w:sz w:val="16"/>
                <w:szCs w:val="16"/>
              </w:rPr>
            </w:pPr>
            <w:r>
              <w:rPr>
                <w:color w:val="000000"/>
                <w:sz w:val="16"/>
                <w:szCs w:val="16"/>
              </w:rPr>
              <w:t>(1.4, 2.4)</w:t>
            </w:r>
          </w:p>
        </w:tc>
        <w:tc>
          <w:tcPr>
            <w:tcW w:w="0" w:type="auto"/>
            <w:tcBorders>
              <w:left w:val="single" w:sz="4" w:space="0" w:color="auto"/>
            </w:tcBorders>
            <w:shd w:val="clear" w:color="auto" w:fill="auto"/>
            <w:vAlign w:val="center"/>
          </w:tcPr>
          <w:p w14:paraId="4CFCEEFA" w14:textId="77777777" w:rsidR="001B7431" w:rsidRDefault="001B7431" w:rsidP="001B7431">
            <w:pPr>
              <w:jc w:val="right"/>
              <w:rPr>
                <w:color w:val="000000"/>
                <w:sz w:val="16"/>
                <w:szCs w:val="16"/>
              </w:rPr>
            </w:pPr>
            <w:r>
              <w:rPr>
                <w:color w:val="000000"/>
                <w:sz w:val="16"/>
                <w:szCs w:val="16"/>
              </w:rPr>
              <w:t>33</w:t>
            </w:r>
          </w:p>
        </w:tc>
        <w:tc>
          <w:tcPr>
            <w:tcW w:w="0" w:type="auto"/>
            <w:shd w:val="clear" w:color="auto" w:fill="auto"/>
            <w:vAlign w:val="center"/>
          </w:tcPr>
          <w:p w14:paraId="1E68CF47" w14:textId="77777777" w:rsidR="001B7431" w:rsidRDefault="001B7431" w:rsidP="001B7431">
            <w:pPr>
              <w:jc w:val="right"/>
              <w:rPr>
                <w:color w:val="000000"/>
                <w:sz w:val="16"/>
                <w:szCs w:val="16"/>
              </w:rPr>
            </w:pPr>
            <w:r>
              <w:rPr>
                <w:color w:val="000000"/>
                <w:sz w:val="16"/>
                <w:szCs w:val="16"/>
              </w:rPr>
              <w:t>1.7</w:t>
            </w:r>
          </w:p>
        </w:tc>
        <w:tc>
          <w:tcPr>
            <w:tcW w:w="0" w:type="auto"/>
            <w:tcBorders>
              <w:right w:val="single" w:sz="4" w:space="0" w:color="auto"/>
            </w:tcBorders>
            <w:shd w:val="clear" w:color="auto" w:fill="auto"/>
            <w:vAlign w:val="center"/>
          </w:tcPr>
          <w:p w14:paraId="35E4A432" w14:textId="77777777" w:rsidR="001B7431" w:rsidRDefault="001B7431" w:rsidP="001B7431">
            <w:pPr>
              <w:jc w:val="right"/>
              <w:rPr>
                <w:color w:val="000000"/>
                <w:sz w:val="16"/>
                <w:szCs w:val="16"/>
              </w:rPr>
            </w:pPr>
            <w:r>
              <w:rPr>
                <w:color w:val="000000"/>
                <w:sz w:val="16"/>
                <w:szCs w:val="16"/>
              </w:rPr>
              <w:t>(1.2, 2.2)</w:t>
            </w:r>
          </w:p>
        </w:tc>
        <w:tc>
          <w:tcPr>
            <w:tcW w:w="0" w:type="auto"/>
            <w:tcBorders>
              <w:left w:val="single" w:sz="4" w:space="0" w:color="auto"/>
            </w:tcBorders>
            <w:shd w:val="clear" w:color="auto" w:fill="auto"/>
            <w:vAlign w:val="center"/>
          </w:tcPr>
          <w:p w14:paraId="1F7BDDFE" w14:textId="77777777" w:rsidR="001B7431" w:rsidRDefault="001B7431" w:rsidP="001B7431">
            <w:pPr>
              <w:jc w:val="right"/>
              <w:rPr>
                <w:color w:val="000000"/>
                <w:sz w:val="16"/>
                <w:szCs w:val="16"/>
              </w:rPr>
            </w:pPr>
            <w:r>
              <w:rPr>
                <w:color w:val="000000"/>
                <w:sz w:val="16"/>
                <w:szCs w:val="16"/>
              </w:rPr>
              <w:t>29</w:t>
            </w:r>
          </w:p>
        </w:tc>
        <w:tc>
          <w:tcPr>
            <w:tcW w:w="0" w:type="auto"/>
            <w:shd w:val="clear" w:color="auto" w:fill="auto"/>
            <w:vAlign w:val="center"/>
          </w:tcPr>
          <w:p w14:paraId="6E002C37" w14:textId="77777777" w:rsidR="001B7431" w:rsidRDefault="001B7431" w:rsidP="001B7431">
            <w:pPr>
              <w:jc w:val="right"/>
              <w:rPr>
                <w:color w:val="000000"/>
                <w:sz w:val="16"/>
                <w:szCs w:val="16"/>
              </w:rPr>
            </w:pPr>
            <w:r>
              <w:rPr>
                <w:color w:val="000000"/>
                <w:sz w:val="16"/>
                <w:szCs w:val="16"/>
              </w:rPr>
              <w:t>1.8</w:t>
            </w:r>
          </w:p>
        </w:tc>
        <w:tc>
          <w:tcPr>
            <w:tcW w:w="0" w:type="auto"/>
            <w:tcBorders>
              <w:right w:val="single" w:sz="4" w:space="0" w:color="auto"/>
            </w:tcBorders>
            <w:shd w:val="clear" w:color="auto" w:fill="auto"/>
            <w:vAlign w:val="center"/>
          </w:tcPr>
          <w:p w14:paraId="17AD3D1C" w14:textId="77777777" w:rsidR="001B7431" w:rsidRDefault="001B7431" w:rsidP="001B7431">
            <w:pPr>
              <w:jc w:val="right"/>
              <w:rPr>
                <w:color w:val="000000"/>
                <w:sz w:val="16"/>
                <w:szCs w:val="16"/>
              </w:rPr>
            </w:pPr>
            <w:r>
              <w:rPr>
                <w:color w:val="000000"/>
                <w:sz w:val="16"/>
                <w:szCs w:val="16"/>
              </w:rPr>
              <w:t>(1.2, 2.3)</w:t>
            </w:r>
          </w:p>
        </w:tc>
        <w:tc>
          <w:tcPr>
            <w:tcW w:w="0" w:type="auto"/>
            <w:tcBorders>
              <w:left w:val="single" w:sz="4" w:space="0" w:color="auto"/>
            </w:tcBorders>
            <w:shd w:val="clear" w:color="auto" w:fill="auto"/>
            <w:vAlign w:val="center"/>
          </w:tcPr>
          <w:p w14:paraId="6C0E09DA" w14:textId="77777777" w:rsidR="001B7431" w:rsidRDefault="001B7431" w:rsidP="001B7431">
            <w:pPr>
              <w:jc w:val="right"/>
              <w:rPr>
                <w:color w:val="000000"/>
                <w:sz w:val="16"/>
                <w:szCs w:val="16"/>
              </w:rPr>
            </w:pPr>
            <w:r>
              <w:rPr>
                <w:color w:val="000000"/>
                <w:sz w:val="16"/>
                <w:szCs w:val="16"/>
              </w:rPr>
              <w:t>28</w:t>
            </w:r>
          </w:p>
        </w:tc>
        <w:tc>
          <w:tcPr>
            <w:tcW w:w="0" w:type="auto"/>
            <w:shd w:val="clear" w:color="auto" w:fill="auto"/>
            <w:vAlign w:val="center"/>
          </w:tcPr>
          <w:p w14:paraId="719CD040" w14:textId="77777777" w:rsidR="001B7431" w:rsidRDefault="001B7431" w:rsidP="001B7431">
            <w:pPr>
              <w:jc w:val="right"/>
              <w:rPr>
                <w:color w:val="000000"/>
                <w:sz w:val="16"/>
                <w:szCs w:val="16"/>
              </w:rPr>
            </w:pPr>
            <w:r>
              <w:rPr>
                <w:color w:val="000000"/>
                <w:sz w:val="16"/>
                <w:szCs w:val="16"/>
              </w:rPr>
              <w:t>1.9</w:t>
            </w:r>
          </w:p>
        </w:tc>
        <w:tc>
          <w:tcPr>
            <w:tcW w:w="0" w:type="auto"/>
            <w:shd w:val="clear" w:color="auto" w:fill="auto"/>
            <w:vAlign w:val="center"/>
          </w:tcPr>
          <w:p w14:paraId="27EE225C" w14:textId="77777777" w:rsidR="001B7431" w:rsidRDefault="001B7431" w:rsidP="001B7431">
            <w:pPr>
              <w:jc w:val="right"/>
              <w:rPr>
                <w:color w:val="000000"/>
                <w:sz w:val="16"/>
                <w:szCs w:val="16"/>
              </w:rPr>
            </w:pPr>
            <w:r>
              <w:rPr>
                <w:color w:val="000000"/>
                <w:sz w:val="16"/>
                <w:szCs w:val="16"/>
              </w:rPr>
              <w:t>(1.2, 2.7)</w:t>
            </w:r>
          </w:p>
        </w:tc>
      </w:tr>
      <w:tr w:rsidR="008A7800" w:rsidRPr="007B4EF8" w14:paraId="2F3CC30E" w14:textId="77777777" w:rsidTr="00826105">
        <w:trPr>
          <w:jc w:val="center"/>
        </w:trPr>
        <w:tc>
          <w:tcPr>
            <w:tcW w:w="0" w:type="auto"/>
            <w:shd w:val="clear" w:color="auto" w:fill="auto"/>
          </w:tcPr>
          <w:p w14:paraId="6BCCEA41" w14:textId="77777777" w:rsidR="008A7800" w:rsidRDefault="008A7800" w:rsidP="008A7800">
            <w:pPr>
              <w:spacing w:before="20" w:after="20"/>
              <w:ind w:left="34"/>
              <w:rPr>
                <w:rFonts w:eastAsiaTheme="minorEastAsia"/>
                <w:sz w:val="16"/>
                <w:szCs w:val="16"/>
                <w:lang w:eastAsia="en-US"/>
              </w:rPr>
            </w:pPr>
          </w:p>
        </w:tc>
        <w:tc>
          <w:tcPr>
            <w:tcW w:w="0" w:type="auto"/>
            <w:shd w:val="clear" w:color="auto" w:fill="auto"/>
          </w:tcPr>
          <w:p w14:paraId="2F43BD1F" w14:textId="77777777" w:rsidR="008A7800" w:rsidRPr="001B7431" w:rsidRDefault="008A7800" w:rsidP="008A7800">
            <w:pPr>
              <w:spacing w:before="20" w:after="20"/>
              <w:ind w:left="34"/>
              <w:rPr>
                <w:rFonts w:eastAsiaTheme="minorEastAsia"/>
                <w:sz w:val="16"/>
                <w:szCs w:val="16"/>
                <w:lang w:eastAsia="en-US"/>
              </w:rPr>
            </w:pPr>
            <w:r>
              <w:rPr>
                <w:rFonts w:eastAsiaTheme="minorEastAsia"/>
                <w:sz w:val="16"/>
                <w:szCs w:val="16"/>
                <w:lang w:eastAsia="en-US"/>
              </w:rPr>
              <w:t>No gambling in past year</w:t>
            </w:r>
          </w:p>
        </w:tc>
        <w:tc>
          <w:tcPr>
            <w:tcW w:w="0" w:type="auto"/>
            <w:shd w:val="clear" w:color="auto" w:fill="auto"/>
            <w:vAlign w:val="center"/>
          </w:tcPr>
          <w:p w14:paraId="54BB0B54" w14:textId="77777777" w:rsidR="008A7800" w:rsidRDefault="008A7800" w:rsidP="008A7800">
            <w:pPr>
              <w:jc w:val="right"/>
              <w:rPr>
                <w:color w:val="000000"/>
                <w:sz w:val="16"/>
                <w:szCs w:val="16"/>
              </w:rPr>
            </w:pPr>
            <w:r>
              <w:rPr>
                <w:color w:val="000000"/>
                <w:sz w:val="16"/>
                <w:szCs w:val="16"/>
              </w:rPr>
              <w:t>664</w:t>
            </w:r>
          </w:p>
        </w:tc>
        <w:tc>
          <w:tcPr>
            <w:tcW w:w="0" w:type="auto"/>
            <w:shd w:val="clear" w:color="auto" w:fill="auto"/>
            <w:vAlign w:val="center"/>
          </w:tcPr>
          <w:p w14:paraId="26AE70C8" w14:textId="77777777" w:rsidR="008A7800" w:rsidRDefault="008A7800" w:rsidP="008A7800">
            <w:pPr>
              <w:jc w:val="right"/>
              <w:rPr>
                <w:color w:val="000000"/>
                <w:sz w:val="16"/>
                <w:szCs w:val="16"/>
              </w:rPr>
            </w:pPr>
            <w:r>
              <w:rPr>
                <w:color w:val="000000"/>
                <w:sz w:val="16"/>
                <w:szCs w:val="16"/>
              </w:rPr>
              <w:t>20.4</w:t>
            </w:r>
          </w:p>
        </w:tc>
        <w:tc>
          <w:tcPr>
            <w:tcW w:w="0" w:type="auto"/>
            <w:tcBorders>
              <w:right w:val="single" w:sz="4" w:space="0" w:color="auto"/>
            </w:tcBorders>
            <w:shd w:val="clear" w:color="auto" w:fill="auto"/>
            <w:vAlign w:val="center"/>
          </w:tcPr>
          <w:p w14:paraId="0D296547" w14:textId="77777777" w:rsidR="008A7800" w:rsidRDefault="008A7800" w:rsidP="008A7800">
            <w:pPr>
              <w:jc w:val="right"/>
              <w:rPr>
                <w:color w:val="000000"/>
                <w:sz w:val="16"/>
                <w:szCs w:val="16"/>
              </w:rPr>
            </w:pPr>
            <w:r>
              <w:rPr>
                <w:color w:val="000000"/>
                <w:sz w:val="16"/>
                <w:szCs w:val="16"/>
              </w:rPr>
              <w:t>(18.8, 21.9)</w:t>
            </w:r>
          </w:p>
        </w:tc>
        <w:tc>
          <w:tcPr>
            <w:tcW w:w="0" w:type="auto"/>
            <w:tcBorders>
              <w:left w:val="single" w:sz="4" w:space="0" w:color="auto"/>
            </w:tcBorders>
            <w:shd w:val="clear" w:color="auto" w:fill="auto"/>
            <w:vAlign w:val="center"/>
          </w:tcPr>
          <w:p w14:paraId="081F0640" w14:textId="77777777" w:rsidR="008A7800" w:rsidRDefault="008A7800" w:rsidP="008A7800">
            <w:pPr>
              <w:jc w:val="right"/>
              <w:rPr>
                <w:color w:val="000000"/>
                <w:sz w:val="16"/>
                <w:szCs w:val="16"/>
              </w:rPr>
            </w:pPr>
            <w:r>
              <w:rPr>
                <w:color w:val="000000"/>
                <w:sz w:val="16"/>
                <w:szCs w:val="16"/>
              </w:rPr>
              <w:t>462</w:t>
            </w:r>
          </w:p>
        </w:tc>
        <w:tc>
          <w:tcPr>
            <w:tcW w:w="0" w:type="auto"/>
            <w:shd w:val="clear" w:color="auto" w:fill="auto"/>
            <w:vAlign w:val="center"/>
          </w:tcPr>
          <w:p w14:paraId="293F743B" w14:textId="77777777" w:rsidR="008A7800" w:rsidRDefault="008A7800" w:rsidP="008A7800">
            <w:pPr>
              <w:jc w:val="right"/>
              <w:rPr>
                <w:color w:val="000000"/>
                <w:sz w:val="16"/>
                <w:szCs w:val="16"/>
              </w:rPr>
            </w:pPr>
            <w:r>
              <w:rPr>
                <w:color w:val="000000"/>
                <w:sz w:val="16"/>
                <w:szCs w:val="16"/>
              </w:rPr>
              <w:t>23.6</w:t>
            </w:r>
          </w:p>
        </w:tc>
        <w:tc>
          <w:tcPr>
            <w:tcW w:w="0" w:type="auto"/>
            <w:tcBorders>
              <w:right w:val="single" w:sz="4" w:space="0" w:color="auto"/>
            </w:tcBorders>
            <w:shd w:val="clear" w:color="auto" w:fill="auto"/>
            <w:vAlign w:val="center"/>
          </w:tcPr>
          <w:p w14:paraId="025AD101" w14:textId="77777777" w:rsidR="008A7800" w:rsidRDefault="008A7800" w:rsidP="008A7800">
            <w:pPr>
              <w:jc w:val="right"/>
              <w:rPr>
                <w:color w:val="000000"/>
                <w:sz w:val="16"/>
                <w:szCs w:val="16"/>
              </w:rPr>
            </w:pPr>
            <w:r>
              <w:rPr>
                <w:color w:val="000000"/>
                <w:sz w:val="16"/>
                <w:szCs w:val="16"/>
              </w:rPr>
              <w:t>(21.4, 25.8)</w:t>
            </w:r>
          </w:p>
        </w:tc>
        <w:tc>
          <w:tcPr>
            <w:tcW w:w="0" w:type="auto"/>
            <w:tcBorders>
              <w:left w:val="single" w:sz="4" w:space="0" w:color="auto"/>
            </w:tcBorders>
            <w:shd w:val="clear" w:color="auto" w:fill="auto"/>
            <w:vAlign w:val="center"/>
          </w:tcPr>
          <w:p w14:paraId="7110D778" w14:textId="77777777" w:rsidR="008A7800" w:rsidRDefault="008A7800" w:rsidP="008A7800">
            <w:pPr>
              <w:jc w:val="right"/>
              <w:rPr>
                <w:color w:val="000000"/>
                <w:sz w:val="16"/>
                <w:szCs w:val="16"/>
              </w:rPr>
            </w:pPr>
            <w:r>
              <w:rPr>
                <w:color w:val="000000"/>
                <w:sz w:val="16"/>
                <w:szCs w:val="16"/>
              </w:rPr>
              <w:t>398</w:t>
            </w:r>
          </w:p>
        </w:tc>
        <w:tc>
          <w:tcPr>
            <w:tcW w:w="0" w:type="auto"/>
            <w:shd w:val="clear" w:color="auto" w:fill="auto"/>
            <w:vAlign w:val="center"/>
          </w:tcPr>
          <w:p w14:paraId="2E271B12" w14:textId="77777777" w:rsidR="008A7800" w:rsidRDefault="008A7800" w:rsidP="008A7800">
            <w:pPr>
              <w:jc w:val="right"/>
              <w:rPr>
                <w:color w:val="000000"/>
                <w:sz w:val="16"/>
                <w:szCs w:val="16"/>
              </w:rPr>
            </w:pPr>
            <w:r>
              <w:rPr>
                <w:color w:val="000000"/>
                <w:sz w:val="16"/>
                <w:szCs w:val="16"/>
              </w:rPr>
              <w:t>24.4</w:t>
            </w:r>
          </w:p>
        </w:tc>
        <w:tc>
          <w:tcPr>
            <w:tcW w:w="0" w:type="auto"/>
            <w:tcBorders>
              <w:right w:val="single" w:sz="4" w:space="0" w:color="auto"/>
            </w:tcBorders>
            <w:shd w:val="clear" w:color="auto" w:fill="auto"/>
            <w:vAlign w:val="center"/>
          </w:tcPr>
          <w:p w14:paraId="2D46517D" w14:textId="77777777" w:rsidR="008A7800" w:rsidRDefault="008A7800" w:rsidP="008A7800">
            <w:pPr>
              <w:jc w:val="right"/>
              <w:rPr>
                <w:color w:val="000000"/>
                <w:sz w:val="16"/>
                <w:szCs w:val="16"/>
              </w:rPr>
            </w:pPr>
            <w:r>
              <w:rPr>
                <w:color w:val="000000"/>
                <w:sz w:val="16"/>
                <w:szCs w:val="16"/>
              </w:rPr>
              <w:t>(21.9, 26.9)</w:t>
            </w:r>
          </w:p>
        </w:tc>
        <w:tc>
          <w:tcPr>
            <w:tcW w:w="0" w:type="auto"/>
            <w:tcBorders>
              <w:left w:val="single" w:sz="4" w:space="0" w:color="auto"/>
            </w:tcBorders>
            <w:shd w:val="clear" w:color="auto" w:fill="auto"/>
            <w:vAlign w:val="center"/>
          </w:tcPr>
          <w:p w14:paraId="7DB0FAFA" w14:textId="77777777" w:rsidR="008A7800" w:rsidRDefault="008A7800" w:rsidP="008A7800">
            <w:pPr>
              <w:jc w:val="right"/>
              <w:rPr>
                <w:color w:val="000000"/>
                <w:sz w:val="16"/>
                <w:szCs w:val="16"/>
              </w:rPr>
            </w:pPr>
            <w:r>
              <w:rPr>
                <w:color w:val="000000"/>
                <w:sz w:val="16"/>
                <w:szCs w:val="16"/>
              </w:rPr>
              <w:t>379</w:t>
            </w:r>
          </w:p>
        </w:tc>
        <w:tc>
          <w:tcPr>
            <w:tcW w:w="0" w:type="auto"/>
            <w:shd w:val="clear" w:color="auto" w:fill="auto"/>
            <w:vAlign w:val="center"/>
          </w:tcPr>
          <w:p w14:paraId="09994F78" w14:textId="77777777" w:rsidR="008A7800" w:rsidRDefault="008A7800" w:rsidP="008A7800">
            <w:pPr>
              <w:jc w:val="right"/>
              <w:rPr>
                <w:color w:val="000000"/>
                <w:sz w:val="16"/>
                <w:szCs w:val="16"/>
              </w:rPr>
            </w:pPr>
            <w:r>
              <w:rPr>
                <w:color w:val="000000"/>
                <w:sz w:val="16"/>
                <w:szCs w:val="16"/>
              </w:rPr>
              <w:t>26.3</w:t>
            </w:r>
          </w:p>
        </w:tc>
        <w:tc>
          <w:tcPr>
            <w:tcW w:w="0" w:type="auto"/>
            <w:shd w:val="clear" w:color="auto" w:fill="auto"/>
            <w:vAlign w:val="center"/>
          </w:tcPr>
          <w:p w14:paraId="598A71CE" w14:textId="77777777" w:rsidR="008A7800" w:rsidRDefault="008A7800" w:rsidP="008A7800">
            <w:pPr>
              <w:jc w:val="right"/>
              <w:rPr>
                <w:color w:val="000000"/>
                <w:sz w:val="16"/>
                <w:szCs w:val="16"/>
              </w:rPr>
            </w:pPr>
            <w:r>
              <w:rPr>
                <w:color w:val="000000"/>
                <w:sz w:val="16"/>
                <w:szCs w:val="16"/>
              </w:rPr>
              <w:t>(23.6, 29</w:t>
            </w:r>
            <w:r w:rsidR="003C056F">
              <w:rPr>
                <w:color w:val="000000"/>
                <w:sz w:val="16"/>
                <w:szCs w:val="16"/>
              </w:rPr>
              <w:t>.0</w:t>
            </w:r>
            <w:r>
              <w:rPr>
                <w:color w:val="000000"/>
                <w:sz w:val="16"/>
                <w:szCs w:val="16"/>
              </w:rPr>
              <w:t>)</w:t>
            </w:r>
          </w:p>
        </w:tc>
      </w:tr>
      <w:tr w:rsidR="001B7431" w:rsidRPr="007B4EF8" w14:paraId="0134CC8D" w14:textId="77777777" w:rsidTr="00826105">
        <w:trPr>
          <w:jc w:val="center"/>
        </w:trPr>
        <w:tc>
          <w:tcPr>
            <w:tcW w:w="0" w:type="auto"/>
            <w:shd w:val="clear" w:color="auto" w:fill="auto"/>
          </w:tcPr>
          <w:p w14:paraId="4913B40C" w14:textId="77777777" w:rsidR="001B7431" w:rsidRPr="008A7800" w:rsidRDefault="008A7800" w:rsidP="009A1B9E">
            <w:pPr>
              <w:spacing w:before="20" w:after="20"/>
              <w:ind w:left="34"/>
              <w:rPr>
                <w:rFonts w:eastAsiaTheme="minorEastAsia"/>
                <w:b/>
                <w:sz w:val="16"/>
                <w:szCs w:val="16"/>
                <w:lang w:eastAsia="en-US"/>
              </w:rPr>
            </w:pPr>
            <w:r>
              <w:rPr>
                <w:rFonts w:eastAsiaTheme="minorEastAsia"/>
                <w:b/>
                <w:sz w:val="16"/>
                <w:szCs w:val="16"/>
                <w:lang w:eastAsia="en-US"/>
              </w:rPr>
              <w:t>Age group (years)</w:t>
            </w:r>
            <w:r w:rsidR="00302A4C">
              <w:rPr>
                <w:rFonts w:eastAsiaTheme="minorEastAsia"/>
                <w:b/>
                <w:sz w:val="16"/>
                <w:szCs w:val="16"/>
                <w:lang w:eastAsia="en-US"/>
              </w:rPr>
              <w:t xml:space="preserve"> </w:t>
            </w:r>
          </w:p>
        </w:tc>
        <w:tc>
          <w:tcPr>
            <w:tcW w:w="0" w:type="auto"/>
            <w:shd w:val="clear" w:color="auto" w:fill="auto"/>
          </w:tcPr>
          <w:p w14:paraId="13EF0089" w14:textId="77777777" w:rsidR="001B7431" w:rsidRPr="001B7431" w:rsidRDefault="001B7431" w:rsidP="001B7431">
            <w:pPr>
              <w:spacing w:before="20" w:after="20"/>
              <w:ind w:left="34"/>
              <w:rPr>
                <w:rFonts w:eastAsiaTheme="minorEastAsia"/>
                <w:sz w:val="16"/>
                <w:szCs w:val="16"/>
                <w:lang w:eastAsia="en-US"/>
              </w:rPr>
            </w:pPr>
          </w:p>
        </w:tc>
        <w:tc>
          <w:tcPr>
            <w:tcW w:w="0" w:type="auto"/>
            <w:shd w:val="clear" w:color="auto" w:fill="auto"/>
            <w:vAlign w:val="center"/>
          </w:tcPr>
          <w:p w14:paraId="52F448E2" w14:textId="77777777" w:rsidR="001B7431" w:rsidRPr="001B7431" w:rsidRDefault="001B7431" w:rsidP="001B7431">
            <w:pPr>
              <w:spacing w:before="20" w:after="20"/>
              <w:ind w:left="34"/>
              <w:jc w:val="right"/>
              <w:rPr>
                <w:rFonts w:eastAsiaTheme="minorEastAsia"/>
                <w:sz w:val="16"/>
                <w:szCs w:val="16"/>
                <w:lang w:eastAsia="en-US"/>
              </w:rPr>
            </w:pPr>
          </w:p>
        </w:tc>
        <w:tc>
          <w:tcPr>
            <w:tcW w:w="0" w:type="auto"/>
            <w:shd w:val="clear" w:color="auto" w:fill="auto"/>
            <w:vAlign w:val="center"/>
          </w:tcPr>
          <w:p w14:paraId="009CDA07" w14:textId="77777777" w:rsidR="001B7431" w:rsidRPr="001B7431" w:rsidRDefault="001B7431" w:rsidP="001B7431">
            <w:pPr>
              <w:spacing w:before="20" w:after="20"/>
              <w:ind w:left="34"/>
              <w:jc w:val="right"/>
              <w:rPr>
                <w:rFonts w:eastAsiaTheme="minorEastAsia"/>
                <w:sz w:val="16"/>
                <w:szCs w:val="16"/>
                <w:lang w:eastAsia="en-US"/>
              </w:rPr>
            </w:pPr>
          </w:p>
        </w:tc>
        <w:tc>
          <w:tcPr>
            <w:tcW w:w="0" w:type="auto"/>
            <w:tcBorders>
              <w:right w:val="single" w:sz="4" w:space="0" w:color="auto"/>
            </w:tcBorders>
            <w:shd w:val="clear" w:color="auto" w:fill="auto"/>
            <w:vAlign w:val="center"/>
          </w:tcPr>
          <w:p w14:paraId="1C64DC71" w14:textId="77777777" w:rsidR="001B7431" w:rsidRPr="001B7431" w:rsidRDefault="001B7431" w:rsidP="001B7431">
            <w:pPr>
              <w:spacing w:before="20" w:after="20"/>
              <w:ind w:left="34"/>
              <w:jc w:val="right"/>
              <w:rPr>
                <w:rFonts w:eastAsiaTheme="minorEastAsia"/>
                <w:sz w:val="16"/>
                <w:szCs w:val="16"/>
                <w:lang w:eastAsia="en-US"/>
              </w:rPr>
            </w:pPr>
          </w:p>
        </w:tc>
        <w:tc>
          <w:tcPr>
            <w:tcW w:w="0" w:type="auto"/>
            <w:tcBorders>
              <w:left w:val="single" w:sz="4" w:space="0" w:color="auto"/>
            </w:tcBorders>
            <w:shd w:val="clear" w:color="auto" w:fill="auto"/>
            <w:vAlign w:val="center"/>
          </w:tcPr>
          <w:p w14:paraId="6469A0BC" w14:textId="77777777" w:rsidR="001B7431" w:rsidRPr="001B7431" w:rsidRDefault="001B7431" w:rsidP="001B7431">
            <w:pPr>
              <w:spacing w:before="20" w:after="20"/>
              <w:ind w:left="34"/>
              <w:jc w:val="right"/>
              <w:rPr>
                <w:rFonts w:eastAsiaTheme="minorEastAsia"/>
                <w:sz w:val="16"/>
                <w:szCs w:val="16"/>
                <w:lang w:eastAsia="en-US"/>
              </w:rPr>
            </w:pPr>
          </w:p>
        </w:tc>
        <w:tc>
          <w:tcPr>
            <w:tcW w:w="0" w:type="auto"/>
            <w:shd w:val="clear" w:color="auto" w:fill="auto"/>
            <w:vAlign w:val="center"/>
          </w:tcPr>
          <w:p w14:paraId="43482ECA" w14:textId="77777777" w:rsidR="001B7431" w:rsidRPr="001B7431" w:rsidRDefault="001B7431" w:rsidP="001B7431">
            <w:pPr>
              <w:spacing w:before="20" w:after="20"/>
              <w:ind w:left="34"/>
              <w:jc w:val="right"/>
              <w:rPr>
                <w:rFonts w:eastAsiaTheme="minorEastAsia"/>
                <w:sz w:val="16"/>
                <w:szCs w:val="16"/>
                <w:lang w:eastAsia="en-US"/>
              </w:rPr>
            </w:pPr>
          </w:p>
        </w:tc>
        <w:tc>
          <w:tcPr>
            <w:tcW w:w="0" w:type="auto"/>
            <w:tcBorders>
              <w:right w:val="single" w:sz="4" w:space="0" w:color="auto"/>
            </w:tcBorders>
            <w:shd w:val="clear" w:color="auto" w:fill="auto"/>
            <w:vAlign w:val="center"/>
          </w:tcPr>
          <w:p w14:paraId="4337DF7D" w14:textId="77777777" w:rsidR="001B7431" w:rsidRPr="001B7431" w:rsidRDefault="001B7431" w:rsidP="001B7431">
            <w:pPr>
              <w:spacing w:before="20" w:after="20"/>
              <w:ind w:left="34"/>
              <w:jc w:val="right"/>
              <w:rPr>
                <w:rFonts w:eastAsiaTheme="minorEastAsia"/>
                <w:sz w:val="16"/>
                <w:szCs w:val="16"/>
                <w:lang w:eastAsia="en-US"/>
              </w:rPr>
            </w:pPr>
          </w:p>
        </w:tc>
        <w:tc>
          <w:tcPr>
            <w:tcW w:w="0" w:type="auto"/>
            <w:tcBorders>
              <w:left w:val="single" w:sz="4" w:space="0" w:color="auto"/>
            </w:tcBorders>
            <w:shd w:val="clear" w:color="auto" w:fill="auto"/>
            <w:vAlign w:val="center"/>
          </w:tcPr>
          <w:p w14:paraId="51858BA9" w14:textId="77777777" w:rsidR="001B7431" w:rsidRPr="001B7431" w:rsidRDefault="001B7431" w:rsidP="001B7431">
            <w:pPr>
              <w:spacing w:before="20" w:after="20"/>
              <w:ind w:left="34"/>
              <w:jc w:val="right"/>
              <w:rPr>
                <w:rFonts w:eastAsiaTheme="minorEastAsia"/>
                <w:sz w:val="16"/>
                <w:szCs w:val="16"/>
                <w:lang w:eastAsia="en-US"/>
              </w:rPr>
            </w:pPr>
          </w:p>
        </w:tc>
        <w:tc>
          <w:tcPr>
            <w:tcW w:w="0" w:type="auto"/>
            <w:shd w:val="clear" w:color="auto" w:fill="auto"/>
            <w:vAlign w:val="center"/>
          </w:tcPr>
          <w:p w14:paraId="0B4BB6A7" w14:textId="77777777" w:rsidR="001B7431" w:rsidRPr="001B7431" w:rsidRDefault="001B7431" w:rsidP="001B7431">
            <w:pPr>
              <w:spacing w:before="20" w:after="20"/>
              <w:ind w:left="34"/>
              <w:jc w:val="right"/>
              <w:rPr>
                <w:rFonts w:eastAsiaTheme="minorEastAsia"/>
                <w:sz w:val="16"/>
                <w:szCs w:val="16"/>
                <w:lang w:eastAsia="en-US"/>
              </w:rPr>
            </w:pPr>
          </w:p>
        </w:tc>
        <w:tc>
          <w:tcPr>
            <w:tcW w:w="0" w:type="auto"/>
            <w:tcBorders>
              <w:right w:val="single" w:sz="4" w:space="0" w:color="auto"/>
            </w:tcBorders>
            <w:shd w:val="clear" w:color="auto" w:fill="auto"/>
            <w:vAlign w:val="center"/>
          </w:tcPr>
          <w:p w14:paraId="72AAD97D" w14:textId="77777777" w:rsidR="001B7431" w:rsidRPr="001B7431" w:rsidRDefault="001B7431" w:rsidP="001B7431">
            <w:pPr>
              <w:spacing w:before="20" w:after="20"/>
              <w:ind w:left="34"/>
              <w:jc w:val="right"/>
              <w:rPr>
                <w:rFonts w:eastAsiaTheme="minorEastAsia"/>
                <w:sz w:val="16"/>
                <w:szCs w:val="16"/>
                <w:lang w:eastAsia="en-US"/>
              </w:rPr>
            </w:pPr>
          </w:p>
        </w:tc>
        <w:tc>
          <w:tcPr>
            <w:tcW w:w="0" w:type="auto"/>
            <w:tcBorders>
              <w:left w:val="single" w:sz="4" w:space="0" w:color="auto"/>
            </w:tcBorders>
            <w:shd w:val="clear" w:color="auto" w:fill="auto"/>
            <w:vAlign w:val="center"/>
          </w:tcPr>
          <w:p w14:paraId="1F6692CA" w14:textId="77777777" w:rsidR="001B7431" w:rsidRPr="001B7431" w:rsidRDefault="001B7431" w:rsidP="001B7431">
            <w:pPr>
              <w:spacing w:before="20" w:after="20"/>
              <w:ind w:left="34"/>
              <w:jc w:val="right"/>
              <w:rPr>
                <w:rFonts w:eastAsiaTheme="minorEastAsia"/>
                <w:sz w:val="16"/>
                <w:szCs w:val="16"/>
                <w:lang w:eastAsia="en-US"/>
              </w:rPr>
            </w:pPr>
          </w:p>
        </w:tc>
        <w:tc>
          <w:tcPr>
            <w:tcW w:w="0" w:type="auto"/>
            <w:shd w:val="clear" w:color="auto" w:fill="auto"/>
            <w:vAlign w:val="center"/>
          </w:tcPr>
          <w:p w14:paraId="3D1A04F5" w14:textId="77777777" w:rsidR="001B7431" w:rsidRPr="001B7431" w:rsidRDefault="001B7431" w:rsidP="001B7431">
            <w:pPr>
              <w:spacing w:before="20" w:after="20"/>
              <w:ind w:left="34"/>
              <w:jc w:val="right"/>
              <w:rPr>
                <w:rFonts w:eastAsiaTheme="minorEastAsia"/>
                <w:sz w:val="16"/>
                <w:szCs w:val="16"/>
                <w:lang w:eastAsia="en-US"/>
              </w:rPr>
            </w:pPr>
          </w:p>
        </w:tc>
        <w:tc>
          <w:tcPr>
            <w:tcW w:w="0" w:type="auto"/>
            <w:shd w:val="clear" w:color="auto" w:fill="auto"/>
            <w:vAlign w:val="center"/>
          </w:tcPr>
          <w:p w14:paraId="2A3CFFF9" w14:textId="77777777" w:rsidR="001B7431" w:rsidRPr="001B7431" w:rsidRDefault="001B7431" w:rsidP="001B7431">
            <w:pPr>
              <w:spacing w:before="20" w:after="20"/>
              <w:ind w:left="34"/>
              <w:jc w:val="right"/>
              <w:rPr>
                <w:rFonts w:eastAsiaTheme="minorEastAsia"/>
                <w:sz w:val="16"/>
                <w:szCs w:val="16"/>
                <w:lang w:eastAsia="en-US"/>
              </w:rPr>
            </w:pPr>
          </w:p>
        </w:tc>
      </w:tr>
      <w:tr w:rsidR="008A7800" w:rsidRPr="007B4EF8" w14:paraId="183126A8" w14:textId="77777777" w:rsidTr="00826105">
        <w:trPr>
          <w:jc w:val="center"/>
        </w:trPr>
        <w:tc>
          <w:tcPr>
            <w:tcW w:w="0" w:type="auto"/>
            <w:shd w:val="clear" w:color="auto" w:fill="auto"/>
          </w:tcPr>
          <w:p w14:paraId="6197EF93" w14:textId="77777777" w:rsidR="008A7800" w:rsidRDefault="008A7800" w:rsidP="008A7800">
            <w:pPr>
              <w:spacing w:before="20" w:after="20"/>
              <w:ind w:left="34"/>
              <w:rPr>
                <w:rFonts w:eastAsiaTheme="minorEastAsia"/>
                <w:sz w:val="16"/>
                <w:szCs w:val="16"/>
                <w:lang w:eastAsia="en-US"/>
              </w:rPr>
            </w:pPr>
            <w:r>
              <w:rPr>
                <w:rFonts w:eastAsiaTheme="minorEastAsia"/>
                <w:sz w:val="16"/>
                <w:szCs w:val="16"/>
                <w:lang w:eastAsia="en-US"/>
              </w:rPr>
              <w:t>18 - 39</w:t>
            </w:r>
          </w:p>
        </w:tc>
        <w:tc>
          <w:tcPr>
            <w:tcW w:w="0" w:type="auto"/>
            <w:shd w:val="clear" w:color="auto" w:fill="auto"/>
          </w:tcPr>
          <w:p w14:paraId="1CCEB6A5" w14:textId="77777777" w:rsidR="008A7800" w:rsidRPr="001B7431" w:rsidRDefault="008A7800" w:rsidP="008A7800">
            <w:pPr>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0" w:type="auto"/>
            <w:shd w:val="clear" w:color="auto" w:fill="auto"/>
            <w:vAlign w:val="center"/>
          </w:tcPr>
          <w:p w14:paraId="41418785" w14:textId="77777777" w:rsidR="008A7800" w:rsidRDefault="008A7800" w:rsidP="008A7800">
            <w:pPr>
              <w:jc w:val="right"/>
              <w:rPr>
                <w:color w:val="000000"/>
                <w:sz w:val="16"/>
                <w:szCs w:val="16"/>
                <w:lang w:eastAsia="en-NZ"/>
              </w:rPr>
            </w:pPr>
            <w:r>
              <w:rPr>
                <w:color w:val="000000"/>
                <w:sz w:val="16"/>
                <w:szCs w:val="16"/>
              </w:rPr>
              <w:t>1564</w:t>
            </w:r>
          </w:p>
        </w:tc>
        <w:tc>
          <w:tcPr>
            <w:tcW w:w="0" w:type="auto"/>
            <w:shd w:val="clear" w:color="auto" w:fill="auto"/>
            <w:vAlign w:val="center"/>
          </w:tcPr>
          <w:p w14:paraId="09F8E046" w14:textId="77777777" w:rsidR="008A7800" w:rsidRDefault="008A7800" w:rsidP="008A7800">
            <w:pPr>
              <w:jc w:val="right"/>
              <w:rPr>
                <w:color w:val="000000"/>
                <w:sz w:val="16"/>
                <w:szCs w:val="16"/>
              </w:rPr>
            </w:pPr>
            <w:r>
              <w:rPr>
                <w:color w:val="000000"/>
                <w:sz w:val="16"/>
                <w:szCs w:val="16"/>
              </w:rPr>
              <w:t>67.3</w:t>
            </w:r>
          </w:p>
        </w:tc>
        <w:tc>
          <w:tcPr>
            <w:tcW w:w="0" w:type="auto"/>
            <w:tcBorders>
              <w:right w:val="single" w:sz="4" w:space="0" w:color="auto"/>
            </w:tcBorders>
            <w:shd w:val="clear" w:color="auto" w:fill="auto"/>
            <w:vAlign w:val="center"/>
          </w:tcPr>
          <w:p w14:paraId="2BC08093" w14:textId="77777777" w:rsidR="008A7800" w:rsidRDefault="008A7800" w:rsidP="008A7800">
            <w:pPr>
              <w:jc w:val="right"/>
              <w:rPr>
                <w:color w:val="000000"/>
                <w:sz w:val="16"/>
                <w:szCs w:val="16"/>
              </w:rPr>
            </w:pPr>
            <w:r>
              <w:rPr>
                <w:color w:val="000000"/>
                <w:sz w:val="16"/>
                <w:szCs w:val="16"/>
              </w:rPr>
              <w:t>(64.8, 69.7)</w:t>
            </w:r>
          </w:p>
        </w:tc>
        <w:tc>
          <w:tcPr>
            <w:tcW w:w="0" w:type="auto"/>
            <w:tcBorders>
              <w:left w:val="single" w:sz="4" w:space="0" w:color="auto"/>
            </w:tcBorders>
            <w:shd w:val="clear" w:color="auto" w:fill="auto"/>
            <w:vAlign w:val="center"/>
          </w:tcPr>
          <w:p w14:paraId="13114226" w14:textId="77777777" w:rsidR="008A7800" w:rsidRDefault="008A7800" w:rsidP="008A7800">
            <w:pPr>
              <w:jc w:val="right"/>
              <w:rPr>
                <w:color w:val="000000"/>
                <w:sz w:val="16"/>
                <w:szCs w:val="16"/>
              </w:rPr>
            </w:pPr>
            <w:r>
              <w:rPr>
                <w:color w:val="000000"/>
                <w:sz w:val="16"/>
                <w:szCs w:val="16"/>
              </w:rPr>
              <w:t>847</w:t>
            </w:r>
          </w:p>
        </w:tc>
        <w:tc>
          <w:tcPr>
            <w:tcW w:w="0" w:type="auto"/>
            <w:shd w:val="clear" w:color="auto" w:fill="auto"/>
            <w:vAlign w:val="center"/>
          </w:tcPr>
          <w:p w14:paraId="18236EDE" w14:textId="77777777" w:rsidR="008A7800" w:rsidRDefault="008A7800" w:rsidP="008A7800">
            <w:pPr>
              <w:jc w:val="right"/>
              <w:rPr>
                <w:color w:val="000000"/>
                <w:sz w:val="16"/>
                <w:szCs w:val="16"/>
              </w:rPr>
            </w:pPr>
            <w:r>
              <w:rPr>
                <w:color w:val="000000"/>
                <w:sz w:val="16"/>
                <w:szCs w:val="16"/>
              </w:rPr>
              <w:t>62.9</w:t>
            </w:r>
          </w:p>
        </w:tc>
        <w:tc>
          <w:tcPr>
            <w:tcW w:w="0" w:type="auto"/>
            <w:tcBorders>
              <w:right w:val="single" w:sz="4" w:space="0" w:color="auto"/>
            </w:tcBorders>
            <w:shd w:val="clear" w:color="auto" w:fill="auto"/>
            <w:vAlign w:val="center"/>
          </w:tcPr>
          <w:p w14:paraId="226103EE" w14:textId="77777777" w:rsidR="008A7800" w:rsidRDefault="008A7800" w:rsidP="008A7800">
            <w:pPr>
              <w:jc w:val="right"/>
              <w:rPr>
                <w:color w:val="000000"/>
                <w:sz w:val="16"/>
                <w:szCs w:val="16"/>
              </w:rPr>
            </w:pPr>
            <w:r>
              <w:rPr>
                <w:color w:val="000000"/>
                <w:sz w:val="16"/>
                <w:szCs w:val="16"/>
              </w:rPr>
              <w:t>(59.4, 66.3)</w:t>
            </w:r>
          </w:p>
        </w:tc>
        <w:tc>
          <w:tcPr>
            <w:tcW w:w="0" w:type="auto"/>
            <w:tcBorders>
              <w:left w:val="single" w:sz="4" w:space="0" w:color="auto"/>
            </w:tcBorders>
            <w:shd w:val="clear" w:color="auto" w:fill="auto"/>
            <w:vAlign w:val="center"/>
          </w:tcPr>
          <w:p w14:paraId="7EE08DA9" w14:textId="77777777" w:rsidR="008A7800" w:rsidRDefault="008A7800" w:rsidP="008A7800">
            <w:pPr>
              <w:jc w:val="right"/>
              <w:rPr>
                <w:color w:val="000000"/>
                <w:sz w:val="16"/>
                <w:szCs w:val="16"/>
              </w:rPr>
            </w:pPr>
            <w:r>
              <w:rPr>
                <w:color w:val="000000"/>
                <w:sz w:val="16"/>
                <w:szCs w:val="16"/>
              </w:rPr>
              <w:t>719</w:t>
            </w:r>
          </w:p>
        </w:tc>
        <w:tc>
          <w:tcPr>
            <w:tcW w:w="0" w:type="auto"/>
            <w:shd w:val="clear" w:color="auto" w:fill="auto"/>
            <w:vAlign w:val="center"/>
          </w:tcPr>
          <w:p w14:paraId="07A78230" w14:textId="77777777" w:rsidR="008A7800" w:rsidRDefault="008A7800" w:rsidP="008A7800">
            <w:pPr>
              <w:jc w:val="right"/>
              <w:rPr>
                <w:color w:val="000000"/>
                <w:sz w:val="16"/>
                <w:szCs w:val="16"/>
              </w:rPr>
            </w:pPr>
            <w:r>
              <w:rPr>
                <w:color w:val="000000"/>
                <w:sz w:val="16"/>
                <w:szCs w:val="16"/>
              </w:rPr>
              <w:t>63.9</w:t>
            </w:r>
          </w:p>
        </w:tc>
        <w:tc>
          <w:tcPr>
            <w:tcW w:w="0" w:type="auto"/>
            <w:tcBorders>
              <w:right w:val="single" w:sz="4" w:space="0" w:color="auto"/>
            </w:tcBorders>
            <w:shd w:val="clear" w:color="auto" w:fill="auto"/>
            <w:vAlign w:val="center"/>
          </w:tcPr>
          <w:p w14:paraId="403A0D3B" w14:textId="77777777" w:rsidR="008A7800" w:rsidRDefault="008A7800" w:rsidP="008A7800">
            <w:pPr>
              <w:jc w:val="right"/>
              <w:rPr>
                <w:color w:val="000000"/>
                <w:sz w:val="16"/>
                <w:szCs w:val="16"/>
              </w:rPr>
            </w:pPr>
            <w:r>
              <w:rPr>
                <w:color w:val="000000"/>
                <w:sz w:val="16"/>
                <w:szCs w:val="16"/>
              </w:rPr>
              <w:t>(59.7, 68.1)</w:t>
            </w:r>
          </w:p>
        </w:tc>
        <w:tc>
          <w:tcPr>
            <w:tcW w:w="0" w:type="auto"/>
            <w:tcBorders>
              <w:left w:val="single" w:sz="4" w:space="0" w:color="auto"/>
            </w:tcBorders>
            <w:shd w:val="clear" w:color="auto" w:fill="auto"/>
            <w:vAlign w:val="center"/>
          </w:tcPr>
          <w:p w14:paraId="0E1A6734" w14:textId="77777777" w:rsidR="008A7800" w:rsidRDefault="008A7800" w:rsidP="008A7800">
            <w:pPr>
              <w:jc w:val="right"/>
              <w:rPr>
                <w:color w:val="000000"/>
                <w:sz w:val="16"/>
                <w:szCs w:val="16"/>
              </w:rPr>
            </w:pPr>
            <w:r>
              <w:rPr>
                <w:color w:val="000000"/>
                <w:sz w:val="16"/>
                <w:szCs w:val="16"/>
              </w:rPr>
              <w:t>602</w:t>
            </w:r>
          </w:p>
        </w:tc>
        <w:tc>
          <w:tcPr>
            <w:tcW w:w="0" w:type="auto"/>
            <w:shd w:val="clear" w:color="auto" w:fill="auto"/>
            <w:vAlign w:val="center"/>
          </w:tcPr>
          <w:p w14:paraId="25F5F668" w14:textId="77777777" w:rsidR="008A7800" w:rsidRDefault="008A7800" w:rsidP="008A7800">
            <w:pPr>
              <w:jc w:val="right"/>
              <w:rPr>
                <w:color w:val="000000"/>
                <w:sz w:val="16"/>
                <w:szCs w:val="16"/>
              </w:rPr>
            </w:pPr>
            <w:r>
              <w:rPr>
                <w:color w:val="000000"/>
                <w:sz w:val="16"/>
                <w:szCs w:val="16"/>
              </w:rPr>
              <w:t>60.4</w:t>
            </w:r>
          </w:p>
        </w:tc>
        <w:tc>
          <w:tcPr>
            <w:tcW w:w="0" w:type="auto"/>
            <w:shd w:val="clear" w:color="auto" w:fill="auto"/>
            <w:vAlign w:val="center"/>
          </w:tcPr>
          <w:p w14:paraId="67FAB651" w14:textId="77777777" w:rsidR="008A7800" w:rsidRDefault="008A7800" w:rsidP="008A7800">
            <w:pPr>
              <w:jc w:val="right"/>
              <w:rPr>
                <w:color w:val="000000"/>
                <w:sz w:val="16"/>
                <w:szCs w:val="16"/>
              </w:rPr>
            </w:pPr>
            <w:r>
              <w:rPr>
                <w:color w:val="000000"/>
                <w:sz w:val="16"/>
                <w:szCs w:val="16"/>
              </w:rPr>
              <w:t>(55.6, 65.1)</w:t>
            </w:r>
          </w:p>
        </w:tc>
      </w:tr>
      <w:tr w:rsidR="008A7800" w:rsidRPr="007B4EF8" w14:paraId="643A8C2B" w14:textId="77777777" w:rsidTr="00826105">
        <w:trPr>
          <w:jc w:val="center"/>
        </w:trPr>
        <w:tc>
          <w:tcPr>
            <w:tcW w:w="0" w:type="auto"/>
            <w:shd w:val="clear" w:color="auto" w:fill="auto"/>
          </w:tcPr>
          <w:p w14:paraId="30A4BDB8" w14:textId="77777777" w:rsidR="008A7800" w:rsidRDefault="008A7800" w:rsidP="008A7800">
            <w:pPr>
              <w:spacing w:before="20" w:after="20"/>
              <w:ind w:left="34"/>
              <w:rPr>
                <w:rFonts w:eastAsiaTheme="minorEastAsia"/>
                <w:sz w:val="16"/>
                <w:szCs w:val="16"/>
                <w:lang w:eastAsia="en-US"/>
              </w:rPr>
            </w:pPr>
          </w:p>
        </w:tc>
        <w:tc>
          <w:tcPr>
            <w:tcW w:w="0" w:type="auto"/>
            <w:shd w:val="clear" w:color="auto" w:fill="auto"/>
          </w:tcPr>
          <w:p w14:paraId="3B0F08A5" w14:textId="77777777" w:rsidR="008A7800" w:rsidRPr="001B7431" w:rsidRDefault="008A7800" w:rsidP="008A7800">
            <w:pPr>
              <w:spacing w:before="20" w:after="20"/>
              <w:ind w:left="34"/>
              <w:rPr>
                <w:rFonts w:eastAsiaTheme="minorEastAsia"/>
                <w:sz w:val="16"/>
                <w:szCs w:val="16"/>
                <w:lang w:eastAsia="en-US"/>
              </w:rPr>
            </w:pPr>
            <w:r>
              <w:rPr>
                <w:rFonts w:eastAsiaTheme="minorEastAsia"/>
                <w:sz w:val="16"/>
                <w:szCs w:val="16"/>
                <w:lang w:eastAsia="en-US"/>
              </w:rPr>
              <w:t>Low-risk gambler</w:t>
            </w:r>
          </w:p>
        </w:tc>
        <w:tc>
          <w:tcPr>
            <w:tcW w:w="0" w:type="auto"/>
            <w:shd w:val="clear" w:color="auto" w:fill="auto"/>
            <w:vAlign w:val="center"/>
          </w:tcPr>
          <w:p w14:paraId="4ACB82C0" w14:textId="77777777" w:rsidR="008A7800" w:rsidRDefault="008A7800" w:rsidP="008A7800">
            <w:pPr>
              <w:jc w:val="right"/>
              <w:rPr>
                <w:color w:val="000000"/>
                <w:sz w:val="16"/>
                <w:szCs w:val="16"/>
              </w:rPr>
            </w:pPr>
            <w:r>
              <w:rPr>
                <w:color w:val="000000"/>
                <w:sz w:val="16"/>
                <w:szCs w:val="16"/>
              </w:rPr>
              <w:t>154</w:t>
            </w:r>
          </w:p>
        </w:tc>
        <w:tc>
          <w:tcPr>
            <w:tcW w:w="0" w:type="auto"/>
            <w:shd w:val="clear" w:color="auto" w:fill="auto"/>
            <w:vAlign w:val="center"/>
          </w:tcPr>
          <w:p w14:paraId="7C63CD4C" w14:textId="77777777" w:rsidR="008A7800" w:rsidRDefault="008A7800" w:rsidP="008A7800">
            <w:pPr>
              <w:jc w:val="right"/>
              <w:rPr>
                <w:color w:val="000000"/>
                <w:sz w:val="16"/>
                <w:szCs w:val="16"/>
              </w:rPr>
            </w:pPr>
            <w:r>
              <w:rPr>
                <w:color w:val="000000"/>
                <w:sz w:val="16"/>
                <w:szCs w:val="16"/>
              </w:rPr>
              <w:t>6.6</w:t>
            </w:r>
          </w:p>
        </w:tc>
        <w:tc>
          <w:tcPr>
            <w:tcW w:w="0" w:type="auto"/>
            <w:tcBorders>
              <w:right w:val="single" w:sz="4" w:space="0" w:color="auto"/>
            </w:tcBorders>
            <w:shd w:val="clear" w:color="auto" w:fill="auto"/>
            <w:vAlign w:val="center"/>
          </w:tcPr>
          <w:p w14:paraId="1BC7DCBD" w14:textId="77777777" w:rsidR="008A7800" w:rsidRDefault="008A7800" w:rsidP="008A7800">
            <w:pPr>
              <w:jc w:val="right"/>
              <w:rPr>
                <w:color w:val="000000"/>
                <w:sz w:val="16"/>
                <w:szCs w:val="16"/>
              </w:rPr>
            </w:pPr>
            <w:r>
              <w:rPr>
                <w:color w:val="000000"/>
                <w:sz w:val="16"/>
                <w:szCs w:val="16"/>
              </w:rPr>
              <w:t>(5.3, 8.0)</w:t>
            </w:r>
          </w:p>
        </w:tc>
        <w:tc>
          <w:tcPr>
            <w:tcW w:w="0" w:type="auto"/>
            <w:tcBorders>
              <w:left w:val="single" w:sz="4" w:space="0" w:color="auto"/>
            </w:tcBorders>
            <w:shd w:val="clear" w:color="auto" w:fill="auto"/>
            <w:vAlign w:val="center"/>
          </w:tcPr>
          <w:p w14:paraId="5D6C0983" w14:textId="77777777" w:rsidR="008A7800" w:rsidRDefault="008A7800" w:rsidP="008A7800">
            <w:pPr>
              <w:jc w:val="right"/>
              <w:rPr>
                <w:color w:val="000000"/>
                <w:sz w:val="16"/>
                <w:szCs w:val="16"/>
              </w:rPr>
            </w:pPr>
            <w:r>
              <w:rPr>
                <w:color w:val="000000"/>
                <w:sz w:val="16"/>
                <w:szCs w:val="16"/>
              </w:rPr>
              <w:t>104</w:t>
            </w:r>
          </w:p>
        </w:tc>
        <w:tc>
          <w:tcPr>
            <w:tcW w:w="0" w:type="auto"/>
            <w:shd w:val="clear" w:color="auto" w:fill="auto"/>
            <w:vAlign w:val="center"/>
          </w:tcPr>
          <w:p w14:paraId="14B5D20A" w14:textId="77777777" w:rsidR="008A7800" w:rsidRDefault="008A7800" w:rsidP="008A7800">
            <w:pPr>
              <w:jc w:val="right"/>
              <w:rPr>
                <w:color w:val="000000"/>
                <w:sz w:val="16"/>
                <w:szCs w:val="16"/>
              </w:rPr>
            </w:pPr>
            <w:r>
              <w:rPr>
                <w:color w:val="000000"/>
                <w:sz w:val="16"/>
                <w:szCs w:val="16"/>
              </w:rPr>
              <w:t>7.7</w:t>
            </w:r>
          </w:p>
        </w:tc>
        <w:tc>
          <w:tcPr>
            <w:tcW w:w="0" w:type="auto"/>
            <w:tcBorders>
              <w:right w:val="single" w:sz="4" w:space="0" w:color="auto"/>
            </w:tcBorders>
            <w:shd w:val="clear" w:color="auto" w:fill="auto"/>
            <w:vAlign w:val="center"/>
          </w:tcPr>
          <w:p w14:paraId="1E478F3E" w14:textId="77777777" w:rsidR="008A7800" w:rsidRDefault="008A7800" w:rsidP="008A7800">
            <w:pPr>
              <w:jc w:val="right"/>
              <w:rPr>
                <w:color w:val="000000"/>
                <w:sz w:val="16"/>
                <w:szCs w:val="16"/>
              </w:rPr>
            </w:pPr>
            <w:r>
              <w:rPr>
                <w:color w:val="000000"/>
                <w:sz w:val="16"/>
                <w:szCs w:val="16"/>
              </w:rPr>
              <w:t>(5.9, 9.5)</w:t>
            </w:r>
          </w:p>
        </w:tc>
        <w:tc>
          <w:tcPr>
            <w:tcW w:w="0" w:type="auto"/>
            <w:tcBorders>
              <w:left w:val="single" w:sz="4" w:space="0" w:color="auto"/>
            </w:tcBorders>
            <w:shd w:val="clear" w:color="auto" w:fill="auto"/>
            <w:vAlign w:val="center"/>
          </w:tcPr>
          <w:p w14:paraId="3A4F0D8C" w14:textId="77777777" w:rsidR="008A7800" w:rsidRDefault="008A7800" w:rsidP="008A7800">
            <w:pPr>
              <w:jc w:val="right"/>
              <w:rPr>
                <w:color w:val="000000"/>
                <w:sz w:val="16"/>
                <w:szCs w:val="16"/>
              </w:rPr>
            </w:pPr>
            <w:r>
              <w:rPr>
                <w:color w:val="000000"/>
                <w:sz w:val="16"/>
                <w:szCs w:val="16"/>
              </w:rPr>
              <w:t>63</w:t>
            </w:r>
          </w:p>
        </w:tc>
        <w:tc>
          <w:tcPr>
            <w:tcW w:w="0" w:type="auto"/>
            <w:shd w:val="clear" w:color="auto" w:fill="auto"/>
            <w:vAlign w:val="center"/>
          </w:tcPr>
          <w:p w14:paraId="05C78D67" w14:textId="77777777" w:rsidR="008A7800" w:rsidRDefault="008A7800" w:rsidP="008A7800">
            <w:pPr>
              <w:jc w:val="right"/>
              <w:rPr>
                <w:color w:val="000000"/>
                <w:sz w:val="16"/>
                <w:szCs w:val="16"/>
              </w:rPr>
            </w:pPr>
            <w:r>
              <w:rPr>
                <w:color w:val="000000"/>
                <w:sz w:val="16"/>
                <w:szCs w:val="16"/>
              </w:rPr>
              <w:t>5.6</w:t>
            </w:r>
          </w:p>
        </w:tc>
        <w:tc>
          <w:tcPr>
            <w:tcW w:w="0" w:type="auto"/>
            <w:tcBorders>
              <w:right w:val="single" w:sz="4" w:space="0" w:color="auto"/>
            </w:tcBorders>
            <w:shd w:val="clear" w:color="auto" w:fill="auto"/>
            <w:vAlign w:val="center"/>
          </w:tcPr>
          <w:p w14:paraId="53885E37" w14:textId="77777777" w:rsidR="008A7800" w:rsidRDefault="008A7800" w:rsidP="008A7800">
            <w:pPr>
              <w:jc w:val="right"/>
              <w:rPr>
                <w:color w:val="000000"/>
                <w:sz w:val="16"/>
                <w:szCs w:val="16"/>
              </w:rPr>
            </w:pPr>
            <w:r>
              <w:rPr>
                <w:color w:val="000000"/>
                <w:sz w:val="16"/>
                <w:szCs w:val="16"/>
              </w:rPr>
              <w:t>(3.8, 7.4)</w:t>
            </w:r>
          </w:p>
        </w:tc>
        <w:tc>
          <w:tcPr>
            <w:tcW w:w="0" w:type="auto"/>
            <w:tcBorders>
              <w:left w:val="single" w:sz="4" w:space="0" w:color="auto"/>
            </w:tcBorders>
            <w:shd w:val="clear" w:color="auto" w:fill="auto"/>
            <w:vAlign w:val="center"/>
          </w:tcPr>
          <w:p w14:paraId="31934DDB" w14:textId="77777777" w:rsidR="008A7800" w:rsidRDefault="008A7800" w:rsidP="008A7800">
            <w:pPr>
              <w:jc w:val="right"/>
              <w:rPr>
                <w:color w:val="000000"/>
                <w:sz w:val="16"/>
                <w:szCs w:val="16"/>
              </w:rPr>
            </w:pPr>
            <w:r>
              <w:rPr>
                <w:color w:val="000000"/>
                <w:sz w:val="16"/>
                <w:szCs w:val="16"/>
              </w:rPr>
              <w:t>64</w:t>
            </w:r>
          </w:p>
        </w:tc>
        <w:tc>
          <w:tcPr>
            <w:tcW w:w="0" w:type="auto"/>
            <w:shd w:val="clear" w:color="auto" w:fill="auto"/>
            <w:vAlign w:val="center"/>
          </w:tcPr>
          <w:p w14:paraId="7B1E9748" w14:textId="77777777" w:rsidR="008A7800" w:rsidRDefault="008A7800" w:rsidP="008A7800">
            <w:pPr>
              <w:jc w:val="right"/>
              <w:rPr>
                <w:color w:val="000000"/>
                <w:sz w:val="16"/>
                <w:szCs w:val="16"/>
              </w:rPr>
            </w:pPr>
            <w:r>
              <w:rPr>
                <w:color w:val="000000"/>
                <w:sz w:val="16"/>
                <w:szCs w:val="16"/>
              </w:rPr>
              <w:t>6.4</w:t>
            </w:r>
          </w:p>
        </w:tc>
        <w:tc>
          <w:tcPr>
            <w:tcW w:w="0" w:type="auto"/>
            <w:shd w:val="clear" w:color="auto" w:fill="auto"/>
            <w:vAlign w:val="center"/>
          </w:tcPr>
          <w:p w14:paraId="5F9EA55B" w14:textId="77777777" w:rsidR="008A7800" w:rsidRDefault="008A7800" w:rsidP="008A7800">
            <w:pPr>
              <w:jc w:val="right"/>
              <w:rPr>
                <w:color w:val="000000"/>
                <w:sz w:val="16"/>
                <w:szCs w:val="16"/>
              </w:rPr>
            </w:pPr>
            <w:r>
              <w:rPr>
                <w:color w:val="000000"/>
                <w:sz w:val="16"/>
                <w:szCs w:val="16"/>
              </w:rPr>
              <w:t>(4.3, 8.5)</w:t>
            </w:r>
          </w:p>
        </w:tc>
      </w:tr>
      <w:tr w:rsidR="008A7800" w:rsidRPr="007B4EF8" w14:paraId="36DF3318" w14:textId="77777777" w:rsidTr="00826105">
        <w:trPr>
          <w:jc w:val="center"/>
        </w:trPr>
        <w:tc>
          <w:tcPr>
            <w:tcW w:w="0" w:type="auto"/>
            <w:shd w:val="clear" w:color="auto" w:fill="auto"/>
          </w:tcPr>
          <w:p w14:paraId="35202DFB" w14:textId="77777777" w:rsidR="008A7800" w:rsidRDefault="008A7800" w:rsidP="008A7800">
            <w:pPr>
              <w:spacing w:before="20" w:after="20"/>
              <w:ind w:left="34"/>
              <w:rPr>
                <w:rFonts w:eastAsiaTheme="minorEastAsia"/>
                <w:sz w:val="16"/>
                <w:szCs w:val="16"/>
                <w:lang w:eastAsia="en-US"/>
              </w:rPr>
            </w:pPr>
          </w:p>
        </w:tc>
        <w:tc>
          <w:tcPr>
            <w:tcW w:w="0" w:type="auto"/>
            <w:shd w:val="clear" w:color="auto" w:fill="auto"/>
          </w:tcPr>
          <w:p w14:paraId="2E90C04A" w14:textId="77777777" w:rsidR="008A7800" w:rsidRPr="001B7431" w:rsidRDefault="008A7800" w:rsidP="008A7800">
            <w:pPr>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0" w:type="auto"/>
            <w:shd w:val="clear" w:color="auto" w:fill="auto"/>
            <w:vAlign w:val="center"/>
          </w:tcPr>
          <w:p w14:paraId="022DA304" w14:textId="77777777" w:rsidR="008A7800" w:rsidRDefault="008A7800" w:rsidP="008A7800">
            <w:pPr>
              <w:jc w:val="right"/>
              <w:rPr>
                <w:color w:val="000000"/>
                <w:sz w:val="16"/>
                <w:szCs w:val="16"/>
              </w:rPr>
            </w:pPr>
            <w:r>
              <w:rPr>
                <w:color w:val="000000"/>
                <w:sz w:val="16"/>
                <w:szCs w:val="16"/>
              </w:rPr>
              <w:t>88</w:t>
            </w:r>
          </w:p>
        </w:tc>
        <w:tc>
          <w:tcPr>
            <w:tcW w:w="0" w:type="auto"/>
            <w:shd w:val="clear" w:color="auto" w:fill="auto"/>
            <w:vAlign w:val="center"/>
          </w:tcPr>
          <w:p w14:paraId="2BD3728C" w14:textId="77777777" w:rsidR="008A7800" w:rsidRDefault="008A7800" w:rsidP="008A7800">
            <w:pPr>
              <w:jc w:val="right"/>
              <w:rPr>
                <w:color w:val="000000"/>
                <w:sz w:val="16"/>
                <w:szCs w:val="16"/>
              </w:rPr>
            </w:pPr>
            <w:r>
              <w:rPr>
                <w:color w:val="000000"/>
                <w:sz w:val="16"/>
                <w:szCs w:val="16"/>
              </w:rPr>
              <w:t>3.8</w:t>
            </w:r>
          </w:p>
        </w:tc>
        <w:tc>
          <w:tcPr>
            <w:tcW w:w="0" w:type="auto"/>
            <w:tcBorders>
              <w:right w:val="single" w:sz="4" w:space="0" w:color="auto"/>
            </w:tcBorders>
            <w:shd w:val="clear" w:color="auto" w:fill="auto"/>
            <w:vAlign w:val="center"/>
          </w:tcPr>
          <w:p w14:paraId="69DE3123" w14:textId="77777777" w:rsidR="008A7800" w:rsidRDefault="008A7800" w:rsidP="008A7800">
            <w:pPr>
              <w:jc w:val="right"/>
              <w:rPr>
                <w:color w:val="000000"/>
                <w:sz w:val="16"/>
                <w:szCs w:val="16"/>
              </w:rPr>
            </w:pPr>
            <w:r>
              <w:rPr>
                <w:color w:val="000000"/>
                <w:sz w:val="16"/>
                <w:szCs w:val="16"/>
              </w:rPr>
              <w:t>(2.9, 4.7)</w:t>
            </w:r>
          </w:p>
        </w:tc>
        <w:tc>
          <w:tcPr>
            <w:tcW w:w="0" w:type="auto"/>
            <w:tcBorders>
              <w:left w:val="single" w:sz="4" w:space="0" w:color="auto"/>
            </w:tcBorders>
            <w:shd w:val="clear" w:color="auto" w:fill="auto"/>
            <w:vAlign w:val="center"/>
          </w:tcPr>
          <w:p w14:paraId="0C0FF91D" w14:textId="77777777" w:rsidR="008A7800" w:rsidRDefault="008A7800" w:rsidP="008A7800">
            <w:pPr>
              <w:jc w:val="right"/>
              <w:rPr>
                <w:color w:val="000000"/>
                <w:sz w:val="16"/>
                <w:szCs w:val="16"/>
              </w:rPr>
            </w:pPr>
            <w:r>
              <w:rPr>
                <w:color w:val="000000"/>
                <w:sz w:val="16"/>
                <w:szCs w:val="16"/>
              </w:rPr>
              <w:t>34</w:t>
            </w:r>
          </w:p>
        </w:tc>
        <w:tc>
          <w:tcPr>
            <w:tcW w:w="0" w:type="auto"/>
            <w:shd w:val="clear" w:color="auto" w:fill="auto"/>
            <w:vAlign w:val="center"/>
          </w:tcPr>
          <w:p w14:paraId="5BD48881" w14:textId="77777777" w:rsidR="008A7800" w:rsidRDefault="008A7800" w:rsidP="008A7800">
            <w:pPr>
              <w:jc w:val="right"/>
              <w:rPr>
                <w:color w:val="000000"/>
                <w:sz w:val="16"/>
                <w:szCs w:val="16"/>
              </w:rPr>
            </w:pPr>
            <w:r>
              <w:rPr>
                <w:color w:val="000000"/>
                <w:sz w:val="16"/>
                <w:szCs w:val="16"/>
              </w:rPr>
              <w:t>2.5</w:t>
            </w:r>
          </w:p>
        </w:tc>
        <w:tc>
          <w:tcPr>
            <w:tcW w:w="0" w:type="auto"/>
            <w:tcBorders>
              <w:right w:val="single" w:sz="4" w:space="0" w:color="auto"/>
            </w:tcBorders>
            <w:shd w:val="clear" w:color="auto" w:fill="auto"/>
            <w:vAlign w:val="center"/>
          </w:tcPr>
          <w:p w14:paraId="038594D5" w14:textId="77777777" w:rsidR="008A7800" w:rsidRDefault="008A7800" w:rsidP="008A7800">
            <w:pPr>
              <w:jc w:val="right"/>
              <w:rPr>
                <w:color w:val="000000"/>
                <w:sz w:val="16"/>
                <w:szCs w:val="16"/>
              </w:rPr>
            </w:pPr>
            <w:r>
              <w:rPr>
                <w:color w:val="000000"/>
                <w:sz w:val="16"/>
                <w:szCs w:val="16"/>
              </w:rPr>
              <w:t>(1.6, 3.4)</w:t>
            </w:r>
          </w:p>
        </w:tc>
        <w:tc>
          <w:tcPr>
            <w:tcW w:w="0" w:type="auto"/>
            <w:tcBorders>
              <w:left w:val="single" w:sz="4" w:space="0" w:color="auto"/>
            </w:tcBorders>
            <w:shd w:val="clear" w:color="auto" w:fill="auto"/>
            <w:vAlign w:val="center"/>
          </w:tcPr>
          <w:p w14:paraId="36AB6C4C" w14:textId="77777777" w:rsidR="008A7800" w:rsidRDefault="008A7800" w:rsidP="008A7800">
            <w:pPr>
              <w:jc w:val="right"/>
              <w:rPr>
                <w:color w:val="000000"/>
                <w:sz w:val="16"/>
                <w:szCs w:val="16"/>
              </w:rPr>
            </w:pPr>
            <w:r>
              <w:rPr>
                <w:color w:val="000000"/>
                <w:sz w:val="16"/>
                <w:szCs w:val="16"/>
              </w:rPr>
              <w:t>22</w:t>
            </w:r>
          </w:p>
        </w:tc>
        <w:tc>
          <w:tcPr>
            <w:tcW w:w="0" w:type="auto"/>
            <w:shd w:val="clear" w:color="auto" w:fill="auto"/>
            <w:vAlign w:val="center"/>
          </w:tcPr>
          <w:p w14:paraId="69666CEF" w14:textId="77777777" w:rsidR="008A7800" w:rsidRDefault="008A7800" w:rsidP="008A7800">
            <w:pPr>
              <w:jc w:val="right"/>
              <w:rPr>
                <w:color w:val="000000"/>
                <w:sz w:val="16"/>
                <w:szCs w:val="16"/>
              </w:rPr>
            </w:pPr>
            <w:r>
              <w:rPr>
                <w:color w:val="000000"/>
                <w:sz w:val="16"/>
                <w:szCs w:val="16"/>
              </w:rPr>
              <w:t>1.9</w:t>
            </w:r>
          </w:p>
        </w:tc>
        <w:tc>
          <w:tcPr>
            <w:tcW w:w="0" w:type="auto"/>
            <w:tcBorders>
              <w:right w:val="single" w:sz="4" w:space="0" w:color="auto"/>
            </w:tcBorders>
            <w:shd w:val="clear" w:color="auto" w:fill="auto"/>
            <w:vAlign w:val="center"/>
          </w:tcPr>
          <w:p w14:paraId="196DF80D" w14:textId="77777777" w:rsidR="008A7800" w:rsidRDefault="008A7800" w:rsidP="008A7800">
            <w:pPr>
              <w:jc w:val="right"/>
              <w:rPr>
                <w:color w:val="000000"/>
                <w:sz w:val="16"/>
                <w:szCs w:val="16"/>
              </w:rPr>
            </w:pPr>
            <w:r>
              <w:rPr>
                <w:color w:val="000000"/>
                <w:sz w:val="16"/>
                <w:szCs w:val="16"/>
              </w:rPr>
              <w:t>(1.2, 2.7)</w:t>
            </w:r>
          </w:p>
        </w:tc>
        <w:tc>
          <w:tcPr>
            <w:tcW w:w="0" w:type="auto"/>
            <w:tcBorders>
              <w:left w:val="single" w:sz="4" w:space="0" w:color="auto"/>
            </w:tcBorders>
            <w:shd w:val="clear" w:color="auto" w:fill="auto"/>
            <w:vAlign w:val="center"/>
          </w:tcPr>
          <w:p w14:paraId="2AD1BB6D" w14:textId="77777777" w:rsidR="008A7800" w:rsidRDefault="008A7800" w:rsidP="008A7800">
            <w:pPr>
              <w:jc w:val="right"/>
              <w:rPr>
                <w:color w:val="000000"/>
                <w:sz w:val="16"/>
                <w:szCs w:val="16"/>
              </w:rPr>
            </w:pPr>
            <w:r>
              <w:rPr>
                <w:color w:val="000000"/>
                <w:sz w:val="16"/>
                <w:szCs w:val="16"/>
              </w:rPr>
              <w:t>32</w:t>
            </w:r>
          </w:p>
        </w:tc>
        <w:tc>
          <w:tcPr>
            <w:tcW w:w="0" w:type="auto"/>
            <w:shd w:val="clear" w:color="auto" w:fill="auto"/>
            <w:vAlign w:val="center"/>
          </w:tcPr>
          <w:p w14:paraId="4B1020FC" w14:textId="77777777" w:rsidR="008A7800" w:rsidRDefault="008A7800" w:rsidP="008A7800">
            <w:pPr>
              <w:jc w:val="right"/>
              <w:rPr>
                <w:color w:val="000000"/>
                <w:sz w:val="16"/>
                <w:szCs w:val="16"/>
              </w:rPr>
            </w:pPr>
            <w:r>
              <w:rPr>
                <w:color w:val="000000"/>
                <w:sz w:val="16"/>
                <w:szCs w:val="16"/>
              </w:rPr>
              <w:t>3.2</w:t>
            </w:r>
          </w:p>
        </w:tc>
        <w:tc>
          <w:tcPr>
            <w:tcW w:w="0" w:type="auto"/>
            <w:shd w:val="clear" w:color="auto" w:fill="auto"/>
            <w:vAlign w:val="center"/>
          </w:tcPr>
          <w:p w14:paraId="44CE3BF6" w14:textId="77777777" w:rsidR="008A7800" w:rsidRDefault="008A7800" w:rsidP="008A7800">
            <w:pPr>
              <w:jc w:val="right"/>
              <w:rPr>
                <w:color w:val="000000"/>
                <w:sz w:val="16"/>
                <w:szCs w:val="16"/>
              </w:rPr>
            </w:pPr>
            <w:r>
              <w:rPr>
                <w:color w:val="000000"/>
                <w:sz w:val="16"/>
                <w:szCs w:val="16"/>
              </w:rPr>
              <w:t>(1.6, 4.9)</w:t>
            </w:r>
          </w:p>
        </w:tc>
      </w:tr>
      <w:tr w:rsidR="008A7800" w:rsidRPr="007B4EF8" w14:paraId="5C48C453" w14:textId="77777777" w:rsidTr="00826105">
        <w:trPr>
          <w:jc w:val="center"/>
        </w:trPr>
        <w:tc>
          <w:tcPr>
            <w:tcW w:w="0" w:type="auto"/>
            <w:shd w:val="clear" w:color="auto" w:fill="auto"/>
          </w:tcPr>
          <w:p w14:paraId="2BB7FAAF" w14:textId="77777777" w:rsidR="008A7800" w:rsidRDefault="008A7800" w:rsidP="008A7800">
            <w:pPr>
              <w:spacing w:before="20" w:after="20"/>
              <w:ind w:left="34"/>
              <w:rPr>
                <w:rFonts w:eastAsiaTheme="minorEastAsia"/>
                <w:sz w:val="16"/>
                <w:szCs w:val="16"/>
                <w:lang w:eastAsia="en-US"/>
              </w:rPr>
            </w:pPr>
          </w:p>
        </w:tc>
        <w:tc>
          <w:tcPr>
            <w:tcW w:w="0" w:type="auto"/>
            <w:shd w:val="clear" w:color="auto" w:fill="auto"/>
          </w:tcPr>
          <w:p w14:paraId="4C18D2AE" w14:textId="77777777" w:rsidR="008A7800" w:rsidRPr="001B7431" w:rsidRDefault="008A7800" w:rsidP="008A7800">
            <w:pPr>
              <w:spacing w:before="20" w:after="20"/>
              <w:ind w:left="34"/>
              <w:rPr>
                <w:rFonts w:eastAsiaTheme="minorEastAsia"/>
                <w:sz w:val="16"/>
                <w:szCs w:val="16"/>
                <w:lang w:eastAsia="en-US"/>
              </w:rPr>
            </w:pPr>
            <w:r>
              <w:rPr>
                <w:rFonts w:eastAsiaTheme="minorEastAsia"/>
                <w:sz w:val="16"/>
                <w:szCs w:val="16"/>
                <w:lang w:eastAsia="en-US"/>
              </w:rPr>
              <w:t>No gambling in past year</w:t>
            </w:r>
          </w:p>
        </w:tc>
        <w:tc>
          <w:tcPr>
            <w:tcW w:w="0" w:type="auto"/>
            <w:shd w:val="clear" w:color="auto" w:fill="auto"/>
            <w:vAlign w:val="center"/>
          </w:tcPr>
          <w:p w14:paraId="6F574582" w14:textId="77777777" w:rsidR="008A7800" w:rsidRDefault="008A7800" w:rsidP="008A7800">
            <w:pPr>
              <w:jc w:val="right"/>
              <w:rPr>
                <w:color w:val="000000"/>
                <w:sz w:val="16"/>
                <w:szCs w:val="16"/>
              </w:rPr>
            </w:pPr>
            <w:r>
              <w:rPr>
                <w:color w:val="000000"/>
                <w:sz w:val="16"/>
                <w:szCs w:val="16"/>
              </w:rPr>
              <w:t>518</w:t>
            </w:r>
          </w:p>
        </w:tc>
        <w:tc>
          <w:tcPr>
            <w:tcW w:w="0" w:type="auto"/>
            <w:shd w:val="clear" w:color="auto" w:fill="auto"/>
            <w:vAlign w:val="center"/>
          </w:tcPr>
          <w:p w14:paraId="02128670" w14:textId="77777777" w:rsidR="008A7800" w:rsidRDefault="008A7800" w:rsidP="008A7800">
            <w:pPr>
              <w:jc w:val="right"/>
              <w:rPr>
                <w:color w:val="000000"/>
                <w:sz w:val="16"/>
                <w:szCs w:val="16"/>
              </w:rPr>
            </w:pPr>
            <w:r>
              <w:rPr>
                <w:color w:val="000000"/>
                <w:sz w:val="16"/>
                <w:szCs w:val="16"/>
              </w:rPr>
              <w:t>22.3</w:t>
            </w:r>
          </w:p>
        </w:tc>
        <w:tc>
          <w:tcPr>
            <w:tcW w:w="0" w:type="auto"/>
            <w:tcBorders>
              <w:right w:val="single" w:sz="4" w:space="0" w:color="auto"/>
            </w:tcBorders>
            <w:shd w:val="clear" w:color="auto" w:fill="auto"/>
            <w:vAlign w:val="center"/>
          </w:tcPr>
          <w:p w14:paraId="1BBC340E" w14:textId="77777777" w:rsidR="008A7800" w:rsidRDefault="008A7800" w:rsidP="008A7800">
            <w:pPr>
              <w:jc w:val="right"/>
              <w:rPr>
                <w:color w:val="000000"/>
                <w:sz w:val="16"/>
                <w:szCs w:val="16"/>
              </w:rPr>
            </w:pPr>
            <w:r>
              <w:rPr>
                <w:color w:val="000000"/>
                <w:sz w:val="16"/>
                <w:szCs w:val="16"/>
              </w:rPr>
              <w:t>(20.1, 24.5)</w:t>
            </w:r>
          </w:p>
        </w:tc>
        <w:tc>
          <w:tcPr>
            <w:tcW w:w="0" w:type="auto"/>
            <w:tcBorders>
              <w:left w:val="single" w:sz="4" w:space="0" w:color="auto"/>
            </w:tcBorders>
            <w:shd w:val="clear" w:color="auto" w:fill="auto"/>
            <w:vAlign w:val="center"/>
          </w:tcPr>
          <w:p w14:paraId="1E25CDDD" w14:textId="77777777" w:rsidR="008A7800" w:rsidRDefault="008A7800" w:rsidP="008A7800">
            <w:pPr>
              <w:jc w:val="right"/>
              <w:rPr>
                <w:color w:val="000000"/>
                <w:sz w:val="16"/>
                <w:szCs w:val="16"/>
              </w:rPr>
            </w:pPr>
            <w:r>
              <w:rPr>
                <w:color w:val="000000"/>
                <w:sz w:val="16"/>
                <w:szCs w:val="16"/>
              </w:rPr>
              <w:t>363</w:t>
            </w:r>
          </w:p>
        </w:tc>
        <w:tc>
          <w:tcPr>
            <w:tcW w:w="0" w:type="auto"/>
            <w:shd w:val="clear" w:color="auto" w:fill="auto"/>
            <w:vAlign w:val="center"/>
          </w:tcPr>
          <w:p w14:paraId="2B575A6C" w14:textId="77777777" w:rsidR="008A7800" w:rsidRDefault="008A7800" w:rsidP="008A7800">
            <w:pPr>
              <w:jc w:val="right"/>
              <w:rPr>
                <w:color w:val="000000"/>
                <w:sz w:val="16"/>
                <w:szCs w:val="16"/>
              </w:rPr>
            </w:pPr>
            <w:r>
              <w:rPr>
                <w:color w:val="000000"/>
                <w:sz w:val="16"/>
                <w:szCs w:val="16"/>
              </w:rPr>
              <w:t>26.9</w:t>
            </w:r>
          </w:p>
        </w:tc>
        <w:tc>
          <w:tcPr>
            <w:tcW w:w="0" w:type="auto"/>
            <w:tcBorders>
              <w:right w:val="single" w:sz="4" w:space="0" w:color="auto"/>
            </w:tcBorders>
            <w:shd w:val="clear" w:color="auto" w:fill="auto"/>
            <w:vAlign w:val="center"/>
          </w:tcPr>
          <w:p w14:paraId="5134B17B" w14:textId="77777777" w:rsidR="008A7800" w:rsidRDefault="008A7800" w:rsidP="008A7800">
            <w:pPr>
              <w:jc w:val="right"/>
              <w:rPr>
                <w:color w:val="000000"/>
                <w:sz w:val="16"/>
                <w:szCs w:val="16"/>
              </w:rPr>
            </w:pPr>
            <w:r>
              <w:rPr>
                <w:color w:val="000000"/>
                <w:sz w:val="16"/>
                <w:szCs w:val="16"/>
              </w:rPr>
              <w:t>(23.7, 30.1)</w:t>
            </w:r>
          </w:p>
        </w:tc>
        <w:tc>
          <w:tcPr>
            <w:tcW w:w="0" w:type="auto"/>
            <w:tcBorders>
              <w:left w:val="single" w:sz="4" w:space="0" w:color="auto"/>
            </w:tcBorders>
            <w:shd w:val="clear" w:color="auto" w:fill="auto"/>
            <w:vAlign w:val="center"/>
          </w:tcPr>
          <w:p w14:paraId="6D89AA20" w14:textId="77777777" w:rsidR="008A7800" w:rsidRDefault="008A7800" w:rsidP="008A7800">
            <w:pPr>
              <w:jc w:val="right"/>
              <w:rPr>
                <w:color w:val="000000"/>
                <w:sz w:val="16"/>
                <w:szCs w:val="16"/>
              </w:rPr>
            </w:pPr>
            <w:r>
              <w:rPr>
                <w:color w:val="000000"/>
                <w:sz w:val="16"/>
                <w:szCs w:val="16"/>
              </w:rPr>
              <w:t>321</w:t>
            </w:r>
          </w:p>
        </w:tc>
        <w:tc>
          <w:tcPr>
            <w:tcW w:w="0" w:type="auto"/>
            <w:shd w:val="clear" w:color="auto" w:fill="auto"/>
            <w:vAlign w:val="center"/>
          </w:tcPr>
          <w:p w14:paraId="555083C9" w14:textId="77777777" w:rsidR="008A7800" w:rsidRDefault="008A7800" w:rsidP="008A7800">
            <w:pPr>
              <w:jc w:val="right"/>
              <w:rPr>
                <w:color w:val="000000"/>
                <w:sz w:val="16"/>
                <w:szCs w:val="16"/>
              </w:rPr>
            </w:pPr>
            <w:r>
              <w:rPr>
                <w:color w:val="000000"/>
                <w:sz w:val="16"/>
                <w:szCs w:val="16"/>
              </w:rPr>
              <w:t>28.5</w:t>
            </w:r>
          </w:p>
        </w:tc>
        <w:tc>
          <w:tcPr>
            <w:tcW w:w="0" w:type="auto"/>
            <w:tcBorders>
              <w:right w:val="single" w:sz="4" w:space="0" w:color="auto"/>
            </w:tcBorders>
            <w:shd w:val="clear" w:color="auto" w:fill="auto"/>
            <w:vAlign w:val="center"/>
          </w:tcPr>
          <w:p w14:paraId="0CDCA118" w14:textId="77777777" w:rsidR="008A7800" w:rsidRDefault="008A7800" w:rsidP="008A7800">
            <w:pPr>
              <w:jc w:val="right"/>
              <w:rPr>
                <w:color w:val="000000"/>
                <w:sz w:val="16"/>
                <w:szCs w:val="16"/>
              </w:rPr>
            </w:pPr>
            <w:r>
              <w:rPr>
                <w:color w:val="000000"/>
                <w:sz w:val="16"/>
                <w:szCs w:val="16"/>
              </w:rPr>
              <w:t>(24.5, 32.6)</w:t>
            </w:r>
          </w:p>
        </w:tc>
        <w:tc>
          <w:tcPr>
            <w:tcW w:w="0" w:type="auto"/>
            <w:tcBorders>
              <w:left w:val="single" w:sz="4" w:space="0" w:color="auto"/>
            </w:tcBorders>
            <w:shd w:val="clear" w:color="auto" w:fill="auto"/>
            <w:vAlign w:val="center"/>
          </w:tcPr>
          <w:p w14:paraId="071CDEDA" w14:textId="77777777" w:rsidR="008A7800" w:rsidRDefault="008A7800" w:rsidP="008A7800">
            <w:pPr>
              <w:jc w:val="right"/>
              <w:rPr>
                <w:color w:val="000000"/>
                <w:sz w:val="16"/>
                <w:szCs w:val="16"/>
              </w:rPr>
            </w:pPr>
            <w:r>
              <w:rPr>
                <w:color w:val="000000"/>
                <w:sz w:val="16"/>
                <w:szCs w:val="16"/>
              </w:rPr>
              <w:t>299</w:t>
            </w:r>
          </w:p>
        </w:tc>
        <w:tc>
          <w:tcPr>
            <w:tcW w:w="0" w:type="auto"/>
            <w:shd w:val="clear" w:color="auto" w:fill="auto"/>
            <w:vAlign w:val="center"/>
          </w:tcPr>
          <w:p w14:paraId="799E0F75" w14:textId="77777777" w:rsidR="008A7800" w:rsidRDefault="008A7800" w:rsidP="008A7800">
            <w:pPr>
              <w:jc w:val="right"/>
              <w:rPr>
                <w:color w:val="000000"/>
                <w:sz w:val="16"/>
                <w:szCs w:val="16"/>
              </w:rPr>
            </w:pPr>
            <w:r>
              <w:rPr>
                <w:color w:val="000000"/>
                <w:sz w:val="16"/>
                <w:szCs w:val="16"/>
              </w:rPr>
              <w:t>30.0</w:t>
            </w:r>
          </w:p>
        </w:tc>
        <w:tc>
          <w:tcPr>
            <w:tcW w:w="0" w:type="auto"/>
            <w:shd w:val="clear" w:color="auto" w:fill="auto"/>
            <w:vAlign w:val="center"/>
          </w:tcPr>
          <w:p w14:paraId="3FC3F989" w14:textId="77777777" w:rsidR="008A7800" w:rsidRDefault="008A7800" w:rsidP="008A7800">
            <w:pPr>
              <w:jc w:val="right"/>
              <w:rPr>
                <w:color w:val="000000"/>
                <w:sz w:val="16"/>
                <w:szCs w:val="16"/>
              </w:rPr>
            </w:pPr>
            <w:r>
              <w:rPr>
                <w:color w:val="000000"/>
                <w:sz w:val="16"/>
                <w:szCs w:val="16"/>
              </w:rPr>
              <w:t>(25.4, 34.6)</w:t>
            </w:r>
          </w:p>
        </w:tc>
      </w:tr>
      <w:tr w:rsidR="008A7800" w:rsidRPr="007B4EF8" w14:paraId="3A159BB9" w14:textId="77777777" w:rsidTr="00826105">
        <w:trPr>
          <w:jc w:val="center"/>
        </w:trPr>
        <w:tc>
          <w:tcPr>
            <w:tcW w:w="0" w:type="auto"/>
            <w:shd w:val="clear" w:color="auto" w:fill="auto"/>
          </w:tcPr>
          <w:p w14:paraId="6EA08FE6" w14:textId="77777777" w:rsidR="008A7800" w:rsidRDefault="008A7800" w:rsidP="008A7800">
            <w:pPr>
              <w:spacing w:before="20" w:after="20"/>
              <w:ind w:left="34"/>
              <w:rPr>
                <w:rFonts w:eastAsiaTheme="minorEastAsia"/>
                <w:sz w:val="16"/>
                <w:szCs w:val="16"/>
                <w:lang w:eastAsia="en-US"/>
              </w:rPr>
            </w:pPr>
            <w:r>
              <w:rPr>
                <w:rFonts w:eastAsiaTheme="minorEastAsia"/>
                <w:sz w:val="16"/>
                <w:szCs w:val="16"/>
                <w:lang w:eastAsia="en-US"/>
              </w:rPr>
              <w:t>40 - 59</w:t>
            </w:r>
          </w:p>
        </w:tc>
        <w:tc>
          <w:tcPr>
            <w:tcW w:w="0" w:type="auto"/>
            <w:shd w:val="clear" w:color="auto" w:fill="auto"/>
          </w:tcPr>
          <w:p w14:paraId="20BD4C0A" w14:textId="77777777" w:rsidR="008A7800" w:rsidRPr="001B7431" w:rsidRDefault="008A7800" w:rsidP="008A7800">
            <w:pPr>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0" w:type="auto"/>
            <w:shd w:val="clear" w:color="auto" w:fill="auto"/>
            <w:vAlign w:val="center"/>
          </w:tcPr>
          <w:p w14:paraId="191ADB40" w14:textId="77777777" w:rsidR="008A7800" w:rsidRDefault="008A7800" w:rsidP="008A7800">
            <w:pPr>
              <w:jc w:val="right"/>
              <w:rPr>
                <w:color w:val="000000"/>
                <w:sz w:val="16"/>
                <w:szCs w:val="16"/>
              </w:rPr>
            </w:pPr>
            <w:r>
              <w:rPr>
                <w:color w:val="000000"/>
                <w:sz w:val="16"/>
                <w:szCs w:val="16"/>
              </w:rPr>
              <w:t>2092</w:t>
            </w:r>
          </w:p>
        </w:tc>
        <w:tc>
          <w:tcPr>
            <w:tcW w:w="0" w:type="auto"/>
            <w:shd w:val="clear" w:color="auto" w:fill="auto"/>
            <w:vAlign w:val="center"/>
          </w:tcPr>
          <w:p w14:paraId="3659E1E5" w14:textId="77777777" w:rsidR="008A7800" w:rsidRDefault="008A7800" w:rsidP="008A7800">
            <w:pPr>
              <w:jc w:val="right"/>
              <w:rPr>
                <w:color w:val="000000"/>
                <w:sz w:val="16"/>
                <w:szCs w:val="16"/>
              </w:rPr>
            </w:pPr>
            <w:r>
              <w:rPr>
                <w:color w:val="000000"/>
                <w:sz w:val="16"/>
                <w:szCs w:val="16"/>
              </w:rPr>
              <w:t>76.8</w:t>
            </w:r>
          </w:p>
        </w:tc>
        <w:tc>
          <w:tcPr>
            <w:tcW w:w="0" w:type="auto"/>
            <w:tcBorders>
              <w:right w:val="single" w:sz="4" w:space="0" w:color="auto"/>
            </w:tcBorders>
            <w:shd w:val="clear" w:color="auto" w:fill="auto"/>
            <w:vAlign w:val="center"/>
          </w:tcPr>
          <w:p w14:paraId="313BD826" w14:textId="77777777" w:rsidR="008A7800" w:rsidRDefault="008A7800" w:rsidP="008A7800">
            <w:pPr>
              <w:jc w:val="right"/>
              <w:rPr>
                <w:color w:val="000000"/>
                <w:sz w:val="16"/>
                <w:szCs w:val="16"/>
              </w:rPr>
            </w:pPr>
            <w:r>
              <w:rPr>
                <w:color w:val="000000"/>
                <w:sz w:val="16"/>
                <w:szCs w:val="16"/>
              </w:rPr>
              <w:t>(75.0, 78.6)</w:t>
            </w:r>
          </w:p>
        </w:tc>
        <w:tc>
          <w:tcPr>
            <w:tcW w:w="0" w:type="auto"/>
            <w:tcBorders>
              <w:left w:val="single" w:sz="4" w:space="0" w:color="auto"/>
            </w:tcBorders>
            <w:shd w:val="clear" w:color="auto" w:fill="auto"/>
            <w:vAlign w:val="center"/>
          </w:tcPr>
          <w:p w14:paraId="5FDFE7FE" w14:textId="77777777" w:rsidR="008A7800" w:rsidRDefault="008A7800" w:rsidP="008A7800">
            <w:pPr>
              <w:jc w:val="right"/>
              <w:rPr>
                <w:color w:val="000000"/>
                <w:sz w:val="16"/>
                <w:szCs w:val="16"/>
              </w:rPr>
            </w:pPr>
            <w:r>
              <w:rPr>
                <w:color w:val="000000"/>
                <w:sz w:val="16"/>
                <w:szCs w:val="16"/>
              </w:rPr>
              <w:t>1260</w:t>
            </w:r>
          </w:p>
        </w:tc>
        <w:tc>
          <w:tcPr>
            <w:tcW w:w="0" w:type="auto"/>
            <w:shd w:val="clear" w:color="auto" w:fill="auto"/>
            <w:vAlign w:val="center"/>
          </w:tcPr>
          <w:p w14:paraId="2BD3F256" w14:textId="77777777" w:rsidR="008A7800" w:rsidRDefault="008A7800" w:rsidP="008A7800">
            <w:pPr>
              <w:jc w:val="right"/>
              <w:rPr>
                <w:color w:val="000000"/>
                <w:sz w:val="16"/>
                <w:szCs w:val="16"/>
              </w:rPr>
            </w:pPr>
            <w:r>
              <w:rPr>
                <w:color w:val="000000"/>
                <w:sz w:val="16"/>
                <w:szCs w:val="16"/>
              </w:rPr>
              <w:t>75.8</w:t>
            </w:r>
          </w:p>
        </w:tc>
        <w:tc>
          <w:tcPr>
            <w:tcW w:w="0" w:type="auto"/>
            <w:tcBorders>
              <w:right w:val="single" w:sz="4" w:space="0" w:color="auto"/>
            </w:tcBorders>
            <w:shd w:val="clear" w:color="auto" w:fill="auto"/>
            <w:vAlign w:val="center"/>
          </w:tcPr>
          <w:p w14:paraId="7D0498C4" w14:textId="77777777" w:rsidR="008A7800" w:rsidRDefault="008A7800" w:rsidP="008A7800">
            <w:pPr>
              <w:jc w:val="right"/>
              <w:rPr>
                <w:color w:val="000000"/>
                <w:sz w:val="16"/>
                <w:szCs w:val="16"/>
              </w:rPr>
            </w:pPr>
            <w:r>
              <w:rPr>
                <w:color w:val="000000"/>
                <w:sz w:val="16"/>
                <w:szCs w:val="16"/>
              </w:rPr>
              <w:t>(73.6, 78.1)</w:t>
            </w:r>
          </w:p>
        </w:tc>
        <w:tc>
          <w:tcPr>
            <w:tcW w:w="0" w:type="auto"/>
            <w:tcBorders>
              <w:left w:val="single" w:sz="4" w:space="0" w:color="auto"/>
            </w:tcBorders>
            <w:shd w:val="clear" w:color="auto" w:fill="auto"/>
            <w:vAlign w:val="center"/>
          </w:tcPr>
          <w:p w14:paraId="34659B01" w14:textId="77777777" w:rsidR="008A7800" w:rsidRDefault="008A7800" w:rsidP="008A7800">
            <w:pPr>
              <w:jc w:val="right"/>
              <w:rPr>
                <w:color w:val="000000"/>
                <w:sz w:val="16"/>
                <w:szCs w:val="16"/>
              </w:rPr>
            </w:pPr>
            <w:r>
              <w:rPr>
                <w:color w:val="000000"/>
                <w:sz w:val="16"/>
                <w:szCs w:val="16"/>
              </w:rPr>
              <w:t>1041</w:t>
            </w:r>
          </w:p>
        </w:tc>
        <w:tc>
          <w:tcPr>
            <w:tcW w:w="0" w:type="auto"/>
            <w:shd w:val="clear" w:color="auto" w:fill="auto"/>
            <w:vAlign w:val="center"/>
          </w:tcPr>
          <w:p w14:paraId="38F83C52" w14:textId="77777777" w:rsidR="008A7800" w:rsidRDefault="008A7800" w:rsidP="008A7800">
            <w:pPr>
              <w:jc w:val="right"/>
              <w:rPr>
                <w:color w:val="000000"/>
                <w:sz w:val="16"/>
                <w:szCs w:val="16"/>
              </w:rPr>
            </w:pPr>
            <w:r>
              <w:rPr>
                <w:color w:val="000000"/>
                <w:sz w:val="16"/>
                <w:szCs w:val="16"/>
              </w:rPr>
              <w:t>75.5</w:t>
            </w:r>
          </w:p>
        </w:tc>
        <w:tc>
          <w:tcPr>
            <w:tcW w:w="0" w:type="auto"/>
            <w:tcBorders>
              <w:right w:val="single" w:sz="4" w:space="0" w:color="auto"/>
            </w:tcBorders>
            <w:shd w:val="clear" w:color="auto" w:fill="auto"/>
            <w:vAlign w:val="center"/>
          </w:tcPr>
          <w:p w14:paraId="262EF028" w14:textId="77777777" w:rsidR="008A7800" w:rsidRDefault="008A7800" w:rsidP="008A7800">
            <w:pPr>
              <w:jc w:val="right"/>
              <w:rPr>
                <w:color w:val="000000"/>
                <w:sz w:val="16"/>
                <w:szCs w:val="16"/>
              </w:rPr>
            </w:pPr>
            <w:r>
              <w:rPr>
                <w:color w:val="000000"/>
                <w:sz w:val="16"/>
                <w:szCs w:val="16"/>
              </w:rPr>
              <w:t>(73.1, 78.0)</w:t>
            </w:r>
          </w:p>
        </w:tc>
        <w:tc>
          <w:tcPr>
            <w:tcW w:w="0" w:type="auto"/>
            <w:tcBorders>
              <w:left w:val="single" w:sz="4" w:space="0" w:color="auto"/>
            </w:tcBorders>
            <w:shd w:val="clear" w:color="auto" w:fill="auto"/>
            <w:vAlign w:val="center"/>
          </w:tcPr>
          <w:p w14:paraId="71BFE441" w14:textId="77777777" w:rsidR="008A7800" w:rsidRDefault="008A7800" w:rsidP="008A7800">
            <w:pPr>
              <w:jc w:val="right"/>
              <w:rPr>
                <w:color w:val="000000"/>
                <w:sz w:val="16"/>
                <w:szCs w:val="16"/>
              </w:rPr>
            </w:pPr>
            <w:r>
              <w:rPr>
                <w:color w:val="000000"/>
                <w:sz w:val="16"/>
                <w:szCs w:val="16"/>
              </w:rPr>
              <w:t>912</w:t>
            </w:r>
          </w:p>
        </w:tc>
        <w:tc>
          <w:tcPr>
            <w:tcW w:w="0" w:type="auto"/>
            <w:shd w:val="clear" w:color="auto" w:fill="auto"/>
            <w:vAlign w:val="center"/>
          </w:tcPr>
          <w:p w14:paraId="69A47484" w14:textId="77777777" w:rsidR="008A7800" w:rsidRDefault="008A7800" w:rsidP="008A7800">
            <w:pPr>
              <w:jc w:val="right"/>
              <w:rPr>
                <w:color w:val="000000"/>
                <w:sz w:val="16"/>
                <w:szCs w:val="16"/>
              </w:rPr>
            </w:pPr>
            <w:r>
              <w:rPr>
                <w:color w:val="000000"/>
                <w:sz w:val="16"/>
                <w:szCs w:val="16"/>
              </w:rPr>
              <w:t>74.5</w:t>
            </w:r>
          </w:p>
        </w:tc>
        <w:tc>
          <w:tcPr>
            <w:tcW w:w="0" w:type="auto"/>
            <w:shd w:val="clear" w:color="auto" w:fill="auto"/>
            <w:vAlign w:val="center"/>
          </w:tcPr>
          <w:p w14:paraId="6516E329" w14:textId="77777777" w:rsidR="008A7800" w:rsidRDefault="008A7800" w:rsidP="008A7800">
            <w:pPr>
              <w:jc w:val="right"/>
              <w:rPr>
                <w:color w:val="000000"/>
                <w:sz w:val="16"/>
                <w:szCs w:val="16"/>
              </w:rPr>
            </w:pPr>
            <w:r>
              <w:rPr>
                <w:color w:val="000000"/>
                <w:sz w:val="16"/>
                <w:szCs w:val="16"/>
              </w:rPr>
              <w:t>(71.9, 77.1)</w:t>
            </w:r>
          </w:p>
        </w:tc>
      </w:tr>
      <w:tr w:rsidR="008A7800" w:rsidRPr="007B4EF8" w14:paraId="6B0F8D69" w14:textId="77777777" w:rsidTr="00604260">
        <w:trPr>
          <w:jc w:val="center"/>
        </w:trPr>
        <w:tc>
          <w:tcPr>
            <w:tcW w:w="0" w:type="auto"/>
          </w:tcPr>
          <w:p w14:paraId="6A03DD66" w14:textId="77777777" w:rsidR="008A7800" w:rsidRDefault="008A7800" w:rsidP="008A7800">
            <w:pPr>
              <w:spacing w:before="20" w:after="20"/>
              <w:ind w:left="34"/>
              <w:rPr>
                <w:rFonts w:eastAsiaTheme="minorEastAsia"/>
                <w:sz w:val="16"/>
                <w:szCs w:val="16"/>
                <w:lang w:eastAsia="en-US"/>
              </w:rPr>
            </w:pPr>
          </w:p>
        </w:tc>
        <w:tc>
          <w:tcPr>
            <w:tcW w:w="0" w:type="auto"/>
          </w:tcPr>
          <w:p w14:paraId="3151800D" w14:textId="77777777" w:rsidR="008A7800" w:rsidRPr="001B7431" w:rsidRDefault="008A7800" w:rsidP="008A7800">
            <w:pPr>
              <w:spacing w:before="20" w:after="20"/>
              <w:ind w:left="34"/>
              <w:rPr>
                <w:rFonts w:eastAsiaTheme="minorEastAsia"/>
                <w:sz w:val="16"/>
                <w:szCs w:val="16"/>
                <w:lang w:eastAsia="en-US"/>
              </w:rPr>
            </w:pPr>
            <w:r>
              <w:rPr>
                <w:rFonts w:eastAsiaTheme="minorEastAsia"/>
                <w:sz w:val="16"/>
                <w:szCs w:val="16"/>
                <w:lang w:eastAsia="en-US"/>
              </w:rPr>
              <w:t>Low-risk gambler</w:t>
            </w:r>
          </w:p>
        </w:tc>
        <w:tc>
          <w:tcPr>
            <w:tcW w:w="0" w:type="auto"/>
            <w:vAlign w:val="center"/>
          </w:tcPr>
          <w:p w14:paraId="1EAA3F14" w14:textId="77777777" w:rsidR="008A7800" w:rsidRDefault="008A7800" w:rsidP="008A7800">
            <w:pPr>
              <w:jc w:val="right"/>
              <w:rPr>
                <w:color w:val="000000"/>
                <w:sz w:val="16"/>
                <w:szCs w:val="16"/>
              </w:rPr>
            </w:pPr>
            <w:r>
              <w:rPr>
                <w:color w:val="000000"/>
                <w:sz w:val="16"/>
                <w:szCs w:val="16"/>
              </w:rPr>
              <w:t>112</w:t>
            </w:r>
          </w:p>
        </w:tc>
        <w:tc>
          <w:tcPr>
            <w:tcW w:w="0" w:type="auto"/>
            <w:vAlign w:val="center"/>
          </w:tcPr>
          <w:p w14:paraId="04429944" w14:textId="77777777" w:rsidR="008A7800" w:rsidRDefault="008A7800" w:rsidP="008A7800">
            <w:pPr>
              <w:jc w:val="right"/>
              <w:rPr>
                <w:color w:val="000000"/>
                <w:sz w:val="16"/>
                <w:szCs w:val="16"/>
              </w:rPr>
            </w:pPr>
            <w:r>
              <w:rPr>
                <w:color w:val="000000"/>
                <w:sz w:val="16"/>
                <w:szCs w:val="16"/>
              </w:rPr>
              <w:t>4.1</w:t>
            </w:r>
          </w:p>
        </w:tc>
        <w:tc>
          <w:tcPr>
            <w:tcW w:w="0" w:type="auto"/>
            <w:tcBorders>
              <w:right w:val="single" w:sz="4" w:space="0" w:color="auto"/>
            </w:tcBorders>
            <w:vAlign w:val="center"/>
          </w:tcPr>
          <w:p w14:paraId="09FE859F" w14:textId="77777777" w:rsidR="008A7800" w:rsidRDefault="008A7800" w:rsidP="008A7800">
            <w:pPr>
              <w:jc w:val="right"/>
              <w:rPr>
                <w:color w:val="000000"/>
                <w:sz w:val="16"/>
                <w:szCs w:val="16"/>
              </w:rPr>
            </w:pPr>
            <w:r>
              <w:rPr>
                <w:color w:val="000000"/>
                <w:sz w:val="16"/>
                <w:szCs w:val="16"/>
              </w:rPr>
              <w:t>(3.3, 4.9)</w:t>
            </w:r>
          </w:p>
        </w:tc>
        <w:tc>
          <w:tcPr>
            <w:tcW w:w="0" w:type="auto"/>
            <w:tcBorders>
              <w:left w:val="single" w:sz="4" w:space="0" w:color="auto"/>
            </w:tcBorders>
            <w:vAlign w:val="center"/>
          </w:tcPr>
          <w:p w14:paraId="0458D5EB" w14:textId="77777777" w:rsidR="008A7800" w:rsidRDefault="008A7800" w:rsidP="008A7800">
            <w:pPr>
              <w:jc w:val="right"/>
              <w:rPr>
                <w:color w:val="000000"/>
                <w:sz w:val="16"/>
                <w:szCs w:val="16"/>
              </w:rPr>
            </w:pPr>
            <w:r>
              <w:rPr>
                <w:color w:val="000000"/>
                <w:sz w:val="16"/>
                <w:szCs w:val="16"/>
              </w:rPr>
              <w:t>81</w:t>
            </w:r>
          </w:p>
        </w:tc>
        <w:tc>
          <w:tcPr>
            <w:tcW w:w="0" w:type="auto"/>
            <w:vAlign w:val="center"/>
          </w:tcPr>
          <w:p w14:paraId="5F1351D7" w14:textId="77777777" w:rsidR="008A7800" w:rsidRDefault="008A7800" w:rsidP="008A7800">
            <w:pPr>
              <w:jc w:val="right"/>
              <w:rPr>
                <w:color w:val="000000"/>
                <w:sz w:val="16"/>
                <w:szCs w:val="16"/>
              </w:rPr>
            </w:pPr>
            <w:r>
              <w:rPr>
                <w:color w:val="000000"/>
                <w:sz w:val="16"/>
                <w:szCs w:val="16"/>
              </w:rPr>
              <w:t>4.9</w:t>
            </w:r>
          </w:p>
        </w:tc>
        <w:tc>
          <w:tcPr>
            <w:tcW w:w="0" w:type="auto"/>
            <w:tcBorders>
              <w:right w:val="single" w:sz="4" w:space="0" w:color="auto"/>
            </w:tcBorders>
            <w:vAlign w:val="center"/>
          </w:tcPr>
          <w:p w14:paraId="03378B29" w14:textId="77777777" w:rsidR="008A7800" w:rsidRDefault="008A7800" w:rsidP="008A7800">
            <w:pPr>
              <w:jc w:val="right"/>
              <w:rPr>
                <w:color w:val="000000"/>
                <w:sz w:val="16"/>
                <w:szCs w:val="16"/>
              </w:rPr>
            </w:pPr>
            <w:r>
              <w:rPr>
                <w:color w:val="000000"/>
                <w:sz w:val="16"/>
                <w:szCs w:val="16"/>
              </w:rPr>
              <w:t>(3.8, 5.9)</w:t>
            </w:r>
          </w:p>
        </w:tc>
        <w:tc>
          <w:tcPr>
            <w:tcW w:w="0" w:type="auto"/>
            <w:tcBorders>
              <w:left w:val="single" w:sz="4" w:space="0" w:color="auto"/>
            </w:tcBorders>
            <w:vAlign w:val="center"/>
          </w:tcPr>
          <w:p w14:paraId="04E26682" w14:textId="77777777" w:rsidR="008A7800" w:rsidRDefault="008A7800" w:rsidP="008A7800">
            <w:pPr>
              <w:jc w:val="right"/>
              <w:rPr>
                <w:color w:val="000000"/>
                <w:sz w:val="16"/>
                <w:szCs w:val="16"/>
              </w:rPr>
            </w:pPr>
            <w:r>
              <w:rPr>
                <w:color w:val="000000"/>
                <w:sz w:val="16"/>
                <w:szCs w:val="16"/>
              </w:rPr>
              <w:t>70</w:t>
            </w:r>
          </w:p>
        </w:tc>
        <w:tc>
          <w:tcPr>
            <w:tcW w:w="0" w:type="auto"/>
            <w:vAlign w:val="center"/>
          </w:tcPr>
          <w:p w14:paraId="7C834F0F" w14:textId="77777777" w:rsidR="008A7800" w:rsidRDefault="008A7800" w:rsidP="008A7800">
            <w:pPr>
              <w:jc w:val="right"/>
              <w:rPr>
                <w:color w:val="000000"/>
                <w:sz w:val="16"/>
                <w:szCs w:val="16"/>
              </w:rPr>
            </w:pPr>
            <w:r>
              <w:rPr>
                <w:color w:val="000000"/>
                <w:sz w:val="16"/>
                <w:szCs w:val="16"/>
              </w:rPr>
              <w:t>5.0</w:t>
            </w:r>
          </w:p>
        </w:tc>
        <w:tc>
          <w:tcPr>
            <w:tcW w:w="0" w:type="auto"/>
            <w:tcBorders>
              <w:right w:val="single" w:sz="4" w:space="0" w:color="auto"/>
            </w:tcBorders>
            <w:vAlign w:val="center"/>
          </w:tcPr>
          <w:p w14:paraId="547CEE5F" w14:textId="77777777" w:rsidR="008A7800" w:rsidRDefault="008A7800" w:rsidP="008A7800">
            <w:pPr>
              <w:jc w:val="right"/>
              <w:rPr>
                <w:color w:val="000000"/>
                <w:sz w:val="16"/>
                <w:szCs w:val="16"/>
              </w:rPr>
            </w:pPr>
            <w:r>
              <w:rPr>
                <w:color w:val="000000"/>
                <w:sz w:val="16"/>
                <w:szCs w:val="16"/>
              </w:rPr>
              <w:t>(3.8, 6.3)</w:t>
            </w:r>
          </w:p>
        </w:tc>
        <w:tc>
          <w:tcPr>
            <w:tcW w:w="0" w:type="auto"/>
            <w:tcBorders>
              <w:left w:val="single" w:sz="4" w:space="0" w:color="auto"/>
            </w:tcBorders>
            <w:vAlign w:val="center"/>
          </w:tcPr>
          <w:p w14:paraId="57D18DD9" w14:textId="77777777" w:rsidR="008A7800" w:rsidRDefault="008A7800" w:rsidP="008A7800">
            <w:pPr>
              <w:jc w:val="right"/>
              <w:rPr>
                <w:color w:val="000000"/>
                <w:sz w:val="16"/>
                <w:szCs w:val="16"/>
              </w:rPr>
            </w:pPr>
            <w:r>
              <w:rPr>
                <w:color w:val="000000"/>
                <w:sz w:val="16"/>
                <w:szCs w:val="16"/>
              </w:rPr>
              <w:t>51</w:t>
            </w:r>
          </w:p>
        </w:tc>
        <w:tc>
          <w:tcPr>
            <w:tcW w:w="0" w:type="auto"/>
            <w:vAlign w:val="center"/>
          </w:tcPr>
          <w:p w14:paraId="1D3BA7C8" w14:textId="77777777" w:rsidR="008A7800" w:rsidRDefault="008A7800" w:rsidP="008A7800">
            <w:pPr>
              <w:jc w:val="right"/>
              <w:rPr>
                <w:color w:val="000000"/>
                <w:sz w:val="16"/>
                <w:szCs w:val="16"/>
              </w:rPr>
            </w:pPr>
            <w:r>
              <w:rPr>
                <w:color w:val="000000"/>
                <w:sz w:val="16"/>
                <w:szCs w:val="16"/>
              </w:rPr>
              <w:t>4.1</w:t>
            </w:r>
          </w:p>
        </w:tc>
        <w:tc>
          <w:tcPr>
            <w:tcW w:w="0" w:type="auto"/>
            <w:vAlign w:val="center"/>
          </w:tcPr>
          <w:p w14:paraId="14A0775B" w14:textId="77777777" w:rsidR="008A7800" w:rsidRDefault="008A7800" w:rsidP="008A7800">
            <w:pPr>
              <w:jc w:val="right"/>
              <w:rPr>
                <w:color w:val="000000"/>
                <w:sz w:val="16"/>
                <w:szCs w:val="16"/>
              </w:rPr>
            </w:pPr>
            <w:r>
              <w:rPr>
                <w:color w:val="000000"/>
                <w:sz w:val="16"/>
                <w:szCs w:val="16"/>
              </w:rPr>
              <w:t>(3.1, 5.2)</w:t>
            </w:r>
          </w:p>
        </w:tc>
      </w:tr>
      <w:tr w:rsidR="008A7800" w:rsidRPr="007B4EF8" w14:paraId="50DE2D16" w14:textId="77777777" w:rsidTr="00604260">
        <w:trPr>
          <w:jc w:val="center"/>
        </w:trPr>
        <w:tc>
          <w:tcPr>
            <w:tcW w:w="0" w:type="auto"/>
          </w:tcPr>
          <w:p w14:paraId="4EB0ED8E" w14:textId="77777777" w:rsidR="008A7800" w:rsidRDefault="008A7800" w:rsidP="008A7800">
            <w:pPr>
              <w:spacing w:before="20" w:after="20"/>
              <w:ind w:left="34"/>
              <w:rPr>
                <w:rFonts w:eastAsiaTheme="minorEastAsia"/>
                <w:sz w:val="16"/>
                <w:szCs w:val="16"/>
                <w:lang w:eastAsia="en-US"/>
              </w:rPr>
            </w:pPr>
          </w:p>
        </w:tc>
        <w:tc>
          <w:tcPr>
            <w:tcW w:w="0" w:type="auto"/>
          </w:tcPr>
          <w:p w14:paraId="74963687" w14:textId="77777777" w:rsidR="008A7800" w:rsidRPr="001B7431" w:rsidRDefault="008A7800" w:rsidP="008A7800">
            <w:pPr>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0" w:type="auto"/>
            <w:vAlign w:val="center"/>
          </w:tcPr>
          <w:p w14:paraId="41B6BFFF" w14:textId="77777777" w:rsidR="008A7800" w:rsidRDefault="008A7800" w:rsidP="008A7800">
            <w:pPr>
              <w:jc w:val="right"/>
              <w:rPr>
                <w:color w:val="000000"/>
                <w:sz w:val="16"/>
                <w:szCs w:val="16"/>
              </w:rPr>
            </w:pPr>
            <w:r>
              <w:rPr>
                <w:color w:val="000000"/>
                <w:sz w:val="16"/>
                <w:szCs w:val="16"/>
              </w:rPr>
              <w:t>53</w:t>
            </w:r>
          </w:p>
        </w:tc>
        <w:tc>
          <w:tcPr>
            <w:tcW w:w="0" w:type="auto"/>
            <w:vAlign w:val="center"/>
          </w:tcPr>
          <w:p w14:paraId="1AF0634B" w14:textId="77777777" w:rsidR="008A7800" w:rsidRDefault="008A7800" w:rsidP="008A7800">
            <w:pPr>
              <w:jc w:val="right"/>
              <w:rPr>
                <w:color w:val="000000"/>
                <w:sz w:val="16"/>
                <w:szCs w:val="16"/>
              </w:rPr>
            </w:pPr>
            <w:r>
              <w:rPr>
                <w:color w:val="000000"/>
                <w:sz w:val="16"/>
                <w:szCs w:val="16"/>
              </w:rPr>
              <w:t>1.9</w:t>
            </w:r>
          </w:p>
        </w:tc>
        <w:tc>
          <w:tcPr>
            <w:tcW w:w="0" w:type="auto"/>
            <w:tcBorders>
              <w:right w:val="single" w:sz="4" w:space="0" w:color="auto"/>
            </w:tcBorders>
            <w:vAlign w:val="center"/>
          </w:tcPr>
          <w:p w14:paraId="131DFCEE" w14:textId="77777777" w:rsidR="008A7800" w:rsidRDefault="008A7800" w:rsidP="008A7800">
            <w:pPr>
              <w:jc w:val="right"/>
              <w:rPr>
                <w:color w:val="000000"/>
                <w:sz w:val="16"/>
                <w:szCs w:val="16"/>
              </w:rPr>
            </w:pPr>
            <w:r>
              <w:rPr>
                <w:color w:val="000000"/>
                <w:sz w:val="16"/>
                <w:szCs w:val="16"/>
              </w:rPr>
              <w:t>(1.4, 2.5)</w:t>
            </w:r>
          </w:p>
        </w:tc>
        <w:tc>
          <w:tcPr>
            <w:tcW w:w="0" w:type="auto"/>
            <w:tcBorders>
              <w:left w:val="single" w:sz="4" w:space="0" w:color="auto"/>
            </w:tcBorders>
            <w:vAlign w:val="center"/>
          </w:tcPr>
          <w:p w14:paraId="007CF149" w14:textId="77777777" w:rsidR="008A7800" w:rsidRDefault="008A7800" w:rsidP="008A7800">
            <w:pPr>
              <w:jc w:val="right"/>
              <w:rPr>
                <w:color w:val="000000"/>
                <w:sz w:val="16"/>
                <w:szCs w:val="16"/>
              </w:rPr>
            </w:pPr>
            <w:r>
              <w:rPr>
                <w:color w:val="000000"/>
                <w:sz w:val="16"/>
                <w:szCs w:val="16"/>
              </w:rPr>
              <w:t>32</w:t>
            </w:r>
          </w:p>
        </w:tc>
        <w:tc>
          <w:tcPr>
            <w:tcW w:w="0" w:type="auto"/>
            <w:vAlign w:val="center"/>
          </w:tcPr>
          <w:p w14:paraId="5441212F" w14:textId="77777777" w:rsidR="008A7800" w:rsidRDefault="008A7800" w:rsidP="008A7800">
            <w:pPr>
              <w:jc w:val="right"/>
              <w:rPr>
                <w:color w:val="000000"/>
                <w:sz w:val="16"/>
                <w:szCs w:val="16"/>
              </w:rPr>
            </w:pPr>
            <w:r>
              <w:rPr>
                <w:color w:val="000000"/>
                <w:sz w:val="16"/>
                <w:szCs w:val="16"/>
              </w:rPr>
              <w:t>1.9</w:t>
            </w:r>
          </w:p>
        </w:tc>
        <w:tc>
          <w:tcPr>
            <w:tcW w:w="0" w:type="auto"/>
            <w:tcBorders>
              <w:right w:val="single" w:sz="4" w:space="0" w:color="auto"/>
            </w:tcBorders>
            <w:vAlign w:val="center"/>
          </w:tcPr>
          <w:p w14:paraId="61A2F399" w14:textId="77777777" w:rsidR="008A7800" w:rsidRDefault="008A7800" w:rsidP="008A7800">
            <w:pPr>
              <w:jc w:val="right"/>
              <w:rPr>
                <w:color w:val="000000"/>
                <w:sz w:val="16"/>
                <w:szCs w:val="16"/>
              </w:rPr>
            </w:pPr>
            <w:r>
              <w:rPr>
                <w:color w:val="000000"/>
                <w:sz w:val="16"/>
                <w:szCs w:val="16"/>
              </w:rPr>
              <w:t>(1.2, 2.6)</w:t>
            </w:r>
          </w:p>
        </w:tc>
        <w:tc>
          <w:tcPr>
            <w:tcW w:w="0" w:type="auto"/>
            <w:tcBorders>
              <w:left w:val="single" w:sz="4" w:space="0" w:color="auto"/>
            </w:tcBorders>
            <w:vAlign w:val="center"/>
          </w:tcPr>
          <w:p w14:paraId="43680C9F" w14:textId="77777777" w:rsidR="008A7800" w:rsidRDefault="008A7800" w:rsidP="008A7800">
            <w:pPr>
              <w:jc w:val="right"/>
              <w:rPr>
                <w:color w:val="000000"/>
                <w:sz w:val="16"/>
                <w:szCs w:val="16"/>
              </w:rPr>
            </w:pPr>
            <w:r>
              <w:rPr>
                <w:color w:val="000000"/>
                <w:sz w:val="16"/>
                <w:szCs w:val="16"/>
              </w:rPr>
              <w:t>23</w:t>
            </w:r>
          </w:p>
        </w:tc>
        <w:tc>
          <w:tcPr>
            <w:tcW w:w="0" w:type="auto"/>
            <w:vAlign w:val="center"/>
          </w:tcPr>
          <w:p w14:paraId="09B91A04" w14:textId="77777777" w:rsidR="008A7800" w:rsidRDefault="008A7800" w:rsidP="008A7800">
            <w:pPr>
              <w:jc w:val="right"/>
              <w:rPr>
                <w:color w:val="000000"/>
                <w:sz w:val="16"/>
                <w:szCs w:val="16"/>
              </w:rPr>
            </w:pPr>
            <w:r>
              <w:rPr>
                <w:color w:val="000000"/>
                <w:sz w:val="16"/>
                <w:szCs w:val="16"/>
              </w:rPr>
              <w:t>1.7</w:t>
            </w:r>
          </w:p>
        </w:tc>
        <w:tc>
          <w:tcPr>
            <w:tcW w:w="0" w:type="auto"/>
            <w:tcBorders>
              <w:right w:val="single" w:sz="4" w:space="0" w:color="auto"/>
            </w:tcBorders>
            <w:vAlign w:val="center"/>
          </w:tcPr>
          <w:p w14:paraId="1D27AE4C" w14:textId="77777777" w:rsidR="008A7800" w:rsidRDefault="008A7800" w:rsidP="008A7800">
            <w:pPr>
              <w:jc w:val="right"/>
              <w:rPr>
                <w:color w:val="000000"/>
                <w:sz w:val="16"/>
                <w:szCs w:val="16"/>
              </w:rPr>
            </w:pPr>
            <w:r>
              <w:rPr>
                <w:color w:val="000000"/>
                <w:sz w:val="16"/>
                <w:szCs w:val="16"/>
              </w:rPr>
              <w:t>(1.1, 2.2)</w:t>
            </w:r>
          </w:p>
        </w:tc>
        <w:tc>
          <w:tcPr>
            <w:tcW w:w="0" w:type="auto"/>
            <w:tcBorders>
              <w:left w:val="single" w:sz="4" w:space="0" w:color="auto"/>
            </w:tcBorders>
            <w:vAlign w:val="center"/>
          </w:tcPr>
          <w:p w14:paraId="16565ED9" w14:textId="77777777" w:rsidR="008A7800" w:rsidRDefault="008A7800" w:rsidP="008A7800">
            <w:pPr>
              <w:jc w:val="right"/>
              <w:rPr>
                <w:color w:val="000000"/>
                <w:sz w:val="16"/>
                <w:szCs w:val="16"/>
              </w:rPr>
            </w:pPr>
            <w:r>
              <w:rPr>
                <w:color w:val="000000"/>
                <w:sz w:val="16"/>
                <w:szCs w:val="16"/>
              </w:rPr>
              <w:t>20</w:t>
            </w:r>
          </w:p>
        </w:tc>
        <w:tc>
          <w:tcPr>
            <w:tcW w:w="0" w:type="auto"/>
            <w:vAlign w:val="center"/>
          </w:tcPr>
          <w:p w14:paraId="0A815804" w14:textId="77777777" w:rsidR="008A7800" w:rsidRDefault="008A7800" w:rsidP="008A7800">
            <w:pPr>
              <w:jc w:val="right"/>
              <w:rPr>
                <w:color w:val="000000"/>
                <w:sz w:val="16"/>
                <w:szCs w:val="16"/>
              </w:rPr>
            </w:pPr>
            <w:r>
              <w:rPr>
                <w:color w:val="000000"/>
                <w:sz w:val="16"/>
                <w:szCs w:val="16"/>
              </w:rPr>
              <w:t>1.6</w:t>
            </w:r>
          </w:p>
        </w:tc>
        <w:tc>
          <w:tcPr>
            <w:tcW w:w="0" w:type="auto"/>
            <w:vAlign w:val="center"/>
          </w:tcPr>
          <w:p w14:paraId="1F1A593D" w14:textId="77777777" w:rsidR="008A7800" w:rsidRDefault="008A7800" w:rsidP="008A7800">
            <w:pPr>
              <w:jc w:val="right"/>
              <w:rPr>
                <w:color w:val="000000"/>
                <w:sz w:val="16"/>
                <w:szCs w:val="16"/>
              </w:rPr>
            </w:pPr>
            <w:r>
              <w:rPr>
                <w:color w:val="000000"/>
                <w:sz w:val="16"/>
                <w:szCs w:val="16"/>
              </w:rPr>
              <w:t>(0.9, 2.3)</w:t>
            </w:r>
          </w:p>
        </w:tc>
      </w:tr>
      <w:tr w:rsidR="008A7800" w:rsidRPr="007B4EF8" w14:paraId="4F5F2FE4" w14:textId="77777777" w:rsidTr="00604260">
        <w:trPr>
          <w:jc w:val="center"/>
        </w:trPr>
        <w:tc>
          <w:tcPr>
            <w:tcW w:w="0" w:type="auto"/>
          </w:tcPr>
          <w:p w14:paraId="76747A1C" w14:textId="77777777" w:rsidR="008A7800" w:rsidRDefault="008A7800" w:rsidP="008A7800">
            <w:pPr>
              <w:spacing w:before="20" w:after="20"/>
              <w:ind w:left="34"/>
              <w:rPr>
                <w:rFonts w:eastAsiaTheme="minorEastAsia"/>
                <w:sz w:val="16"/>
                <w:szCs w:val="16"/>
                <w:lang w:eastAsia="en-US"/>
              </w:rPr>
            </w:pPr>
          </w:p>
        </w:tc>
        <w:tc>
          <w:tcPr>
            <w:tcW w:w="0" w:type="auto"/>
          </w:tcPr>
          <w:p w14:paraId="6D7D6B32" w14:textId="77777777" w:rsidR="008A7800" w:rsidRPr="001B7431" w:rsidRDefault="008A7800" w:rsidP="008A7800">
            <w:pPr>
              <w:spacing w:before="20" w:after="20"/>
              <w:ind w:left="34"/>
              <w:rPr>
                <w:rFonts w:eastAsiaTheme="minorEastAsia"/>
                <w:sz w:val="16"/>
                <w:szCs w:val="16"/>
                <w:lang w:eastAsia="en-US"/>
              </w:rPr>
            </w:pPr>
            <w:r>
              <w:rPr>
                <w:rFonts w:eastAsiaTheme="minorEastAsia"/>
                <w:sz w:val="16"/>
                <w:szCs w:val="16"/>
                <w:lang w:eastAsia="en-US"/>
              </w:rPr>
              <w:t>No gambling in past year</w:t>
            </w:r>
          </w:p>
        </w:tc>
        <w:tc>
          <w:tcPr>
            <w:tcW w:w="0" w:type="auto"/>
            <w:vAlign w:val="center"/>
          </w:tcPr>
          <w:p w14:paraId="7F865412" w14:textId="77777777" w:rsidR="008A7800" w:rsidRDefault="008A7800" w:rsidP="008A7800">
            <w:pPr>
              <w:jc w:val="right"/>
              <w:rPr>
                <w:color w:val="000000"/>
                <w:sz w:val="16"/>
                <w:szCs w:val="16"/>
              </w:rPr>
            </w:pPr>
            <w:r>
              <w:rPr>
                <w:color w:val="000000"/>
                <w:sz w:val="16"/>
                <w:szCs w:val="16"/>
              </w:rPr>
              <w:t>466</w:t>
            </w:r>
          </w:p>
        </w:tc>
        <w:tc>
          <w:tcPr>
            <w:tcW w:w="0" w:type="auto"/>
            <w:vAlign w:val="center"/>
          </w:tcPr>
          <w:p w14:paraId="5F5440EE" w14:textId="77777777" w:rsidR="008A7800" w:rsidRDefault="008A7800" w:rsidP="008A7800">
            <w:pPr>
              <w:jc w:val="right"/>
              <w:rPr>
                <w:color w:val="000000"/>
                <w:sz w:val="16"/>
                <w:szCs w:val="16"/>
              </w:rPr>
            </w:pPr>
            <w:r>
              <w:rPr>
                <w:color w:val="000000"/>
                <w:sz w:val="16"/>
                <w:szCs w:val="16"/>
              </w:rPr>
              <w:t>17.1</w:t>
            </w:r>
          </w:p>
        </w:tc>
        <w:tc>
          <w:tcPr>
            <w:tcW w:w="0" w:type="auto"/>
            <w:tcBorders>
              <w:right w:val="single" w:sz="4" w:space="0" w:color="auto"/>
            </w:tcBorders>
            <w:vAlign w:val="center"/>
          </w:tcPr>
          <w:p w14:paraId="3E4BD72F" w14:textId="77777777" w:rsidR="008A7800" w:rsidRDefault="008A7800" w:rsidP="008A7800">
            <w:pPr>
              <w:jc w:val="right"/>
              <w:rPr>
                <w:color w:val="000000"/>
                <w:sz w:val="16"/>
                <w:szCs w:val="16"/>
              </w:rPr>
            </w:pPr>
            <w:r>
              <w:rPr>
                <w:color w:val="000000"/>
                <w:sz w:val="16"/>
                <w:szCs w:val="16"/>
              </w:rPr>
              <w:t>(15.5, 18.7)</w:t>
            </w:r>
          </w:p>
        </w:tc>
        <w:tc>
          <w:tcPr>
            <w:tcW w:w="0" w:type="auto"/>
            <w:tcBorders>
              <w:left w:val="single" w:sz="4" w:space="0" w:color="auto"/>
            </w:tcBorders>
            <w:vAlign w:val="center"/>
          </w:tcPr>
          <w:p w14:paraId="7E8AEF0D" w14:textId="77777777" w:rsidR="008A7800" w:rsidRDefault="008A7800" w:rsidP="008A7800">
            <w:pPr>
              <w:jc w:val="right"/>
              <w:rPr>
                <w:color w:val="000000"/>
                <w:sz w:val="16"/>
                <w:szCs w:val="16"/>
              </w:rPr>
            </w:pPr>
            <w:r>
              <w:rPr>
                <w:color w:val="000000"/>
                <w:sz w:val="16"/>
                <w:szCs w:val="16"/>
              </w:rPr>
              <w:t>289</w:t>
            </w:r>
          </w:p>
        </w:tc>
        <w:tc>
          <w:tcPr>
            <w:tcW w:w="0" w:type="auto"/>
            <w:vAlign w:val="center"/>
          </w:tcPr>
          <w:p w14:paraId="3301C2C7" w14:textId="77777777" w:rsidR="008A7800" w:rsidRDefault="008A7800" w:rsidP="008A7800">
            <w:pPr>
              <w:jc w:val="right"/>
              <w:rPr>
                <w:color w:val="000000"/>
                <w:sz w:val="16"/>
                <w:szCs w:val="16"/>
              </w:rPr>
            </w:pPr>
            <w:r>
              <w:rPr>
                <w:color w:val="000000"/>
                <w:sz w:val="16"/>
                <w:szCs w:val="16"/>
              </w:rPr>
              <w:t>17.4</w:t>
            </w:r>
          </w:p>
        </w:tc>
        <w:tc>
          <w:tcPr>
            <w:tcW w:w="0" w:type="auto"/>
            <w:tcBorders>
              <w:right w:val="single" w:sz="4" w:space="0" w:color="auto"/>
            </w:tcBorders>
            <w:vAlign w:val="center"/>
          </w:tcPr>
          <w:p w14:paraId="659A2C46" w14:textId="77777777" w:rsidR="008A7800" w:rsidRDefault="008A7800" w:rsidP="008A7800">
            <w:pPr>
              <w:jc w:val="right"/>
              <w:rPr>
                <w:color w:val="000000"/>
                <w:sz w:val="16"/>
                <w:szCs w:val="16"/>
              </w:rPr>
            </w:pPr>
            <w:r>
              <w:rPr>
                <w:color w:val="000000"/>
                <w:sz w:val="16"/>
                <w:szCs w:val="16"/>
              </w:rPr>
              <w:t>(15.3, 19.4)</w:t>
            </w:r>
          </w:p>
        </w:tc>
        <w:tc>
          <w:tcPr>
            <w:tcW w:w="0" w:type="auto"/>
            <w:tcBorders>
              <w:left w:val="single" w:sz="4" w:space="0" w:color="auto"/>
            </w:tcBorders>
            <w:vAlign w:val="center"/>
          </w:tcPr>
          <w:p w14:paraId="66A16D6B" w14:textId="77777777" w:rsidR="008A7800" w:rsidRDefault="008A7800" w:rsidP="008A7800">
            <w:pPr>
              <w:jc w:val="right"/>
              <w:rPr>
                <w:color w:val="000000"/>
                <w:sz w:val="16"/>
                <w:szCs w:val="16"/>
              </w:rPr>
            </w:pPr>
            <w:r>
              <w:rPr>
                <w:color w:val="000000"/>
                <w:sz w:val="16"/>
                <w:szCs w:val="16"/>
              </w:rPr>
              <w:t>245</w:t>
            </w:r>
          </w:p>
        </w:tc>
        <w:tc>
          <w:tcPr>
            <w:tcW w:w="0" w:type="auto"/>
            <w:vAlign w:val="center"/>
          </w:tcPr>
          <w:p w14:paraId="59EF829A" w14:textId="77777777" w:rsidR="008A7800" w:rsidRDefault="008A7800" w:rsidP="008A7800">
            <w:pPr>
              <w:jc w:val="right"/>
              <w:rPr>
                <w:color w:val="000000"/>
                <w:sz w:val="16"/>
                <w:szCs w:val="16"/>
              </w:rPr>
            </w:pPr>
            <w:r>
              <w:rPr>
                <w:color w:val="000000"/>
                <w:sz w:val="16"/>
                <w:szCs w:val="16"/>
              </w:rPr>
              <w:t>17.8</w:t>
            </w:r>
          </w:p>
        </w:tc>
        <w:tc>
          <w:tcPr>
            <w:tcW w:w="0" w:type="auto"/>
            <w:tcBorders>
              <w:right w:val="single" w:sz="4" w:space="0" w:color="auto"/>
            </w:tcBorders>
            <w:vAlign w:val="center"/>
          </w:tcPr>
          <w:p w14:paraId="54723AE4" w14:textId="77777777" w:rsidR="008A7800" w:rsidRDefault="008A7800" w:rsidP="008A7800">
            <w:pPr>
              <w:jc w:val="right"/>
              <w:rPr>
                <w:color w:val="000000"/>
                <w:sz w:val="16"/>
                <w:szCs w:val="16"/>
              </w:rPr>
            </w:pPr>
            <w:r>
              <w:rPr>
                <w:color w:val="000000"/>
                <w:sz w:val="16"/>
                <w:szCs w:val="16"/>
              </w:rPr>
              <w:t>(15.6, 20.0)</w:t>
            </w:r>
          </w:p>
        </w:tc>
        <w:tc>
          <w:tcPr>
            <w:tcW w:w="0" w:type="auto"/>
            <w:tcBorders>
              <w:left w:val="single" w:sz="4" w:space="0" w:color="auto"/>
            </w:tcBorders>
            <w:vAlign w:val="center"/>
          </w:tcPr>
          <w:p w14:paraId="3D4A1AB7" w14:textId="77777777" w:rsidR="008A7800" w:rsidRDefault="008A7800" w:rsidP="008A7800">
            <w:pPr>
              <w:jc w:val="right"/>
              <w:rPr>
                <w:color w:val="000000"/>
                <w:sz w:val="16"/>
                <w:szCs w:val="16"/>
              </w:rPr>
            </w:pPr>
            <w:r>
              <w:rPr>
                <w:color w:val="000000"/>
                <w:sz w:val="16"/>
                <w:szCs w:val="16"/>
              </w:rPr>
              <w:t>242</w:t>
            </w:r>
          </w:p>
        </w:tc>
        <w:tc>
          <w:tcPr>
            <w:tcW w:w="0" w:type="auto"/>
            <w:vAlign w:val="center"/>
          </w:tcPr>
          <w:p w14:paraId="5EEFA8CF" w14:textId="77777777" w:rsidR="008A7800" w:rsidRDefault="008A7800" w:rsidP="008A7800">
            <w:pPr>
              <w:jc w:val="right"/>
              <w:rPr>
                <w:color w:val="000000"/>
                <w:sz w:val="16"/>
                <w:szCs w:val="16"/>
              </w:rPr>
            </w:pPr>
            <w:r>
              <w:rPr>
                <w:color w:val="000000"/>
                <w:sz w:val="16"/>
                <w:szCs w:val="16"/>
              </w:rPr>
              <w:t>19.7</w:t>
            </w:r>
          </w:p>
        </w:tc>
        <w:tc>
          <w:tcPr>
            <w:tcW w:w="0" w:type="auto"/>
            <w:vAlign w:val="center"/>
          </w:tcPr>
          <w:p w14:paraId="2B2BEE3C" w14:textId="77777777" w:rsidR="008A7800" w:rsidRDefault="008A7800" w:rsidP="008A7800">
            <w:pPr>
              <w:jc w:val="right"/>
              <w:rPr>
                <w:color w:val="000000"/>
                <w:sz w:val="16"/>
                <w:szCs w:val="16"/>
              </w:rPr>
            </w:pPr>
            <w:r>
              <w:rPr>
                <w:color w:val="000000"/>
                <w:sz w:val="16"/>
                <w:szCs w:val="16"/>
              </w:rPr>
              <w:t>(17.3, 22.2)</w:t>
            </w:r>
          </w:p>
        </w:tc>
      </w:tr>
      <w:tr w:rsidR="008A7800" w:rsidRPr="007B4EF8" w14:paraId="4CCFE4CD" w14:textId="77777777" w:rsidTr="00604260">
        <w:trPr>
          <w:jc w:val="center"/>
        </w:trPr>
        <w:tc>
          <w:tcPr>
            <w:tcW w:w="0" w:type="auto"/>
          </w:tcPr>
          <w:p w14:paraId="11BD0B3B" w14:textId="77777777" w:rsidR="008A7800" w:rsidRDefault="008A7800" w:rsidP="008A7800">
            <w:pPr>
              <w:spacing w:before="20" w:after="20"/>
              <w:ind w:left="34"/>
              <w:rPr>
                <w:rFonts w:eastAsiaTheme="minorEastAsia"/>
                <w:sz w:val="16"/>
                <w:szCs w:val="16"/>
                <w:lang w:eastAsia="en-US"/>
              </w:rPr>
            </w:pPr>
            <w:r>
              <w:rPr>
                <w:rFonts w:eastAsiaTheme="minorEastAsia"/>
                <w:sz w:val="16"/>
                <w:szCs w:val="16"/>
                <w:lang w:eastAsia="en-US"/>
              </w:rPr>
              <w:t>60+</w:t>
            </w:r>
          </w:p>
        </w:tc>
        <w:tc>
          <w:tcPr>
            <w:tcW w:w="0" w:type="auto"/>
          </w:tcPr>
          <w:p w14:paraId="1C64A243" w14:textId="77777777" w:rsidR="008A7800" w:rsidRPr="001B7431" w:rsidRDefault="008A7800" w:rsidP="008A7800">
            <w:pPr>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0" w:type="auto"/>
            <w:vAlign w:val="center"/>
          </w:tcPr>
          <w:p w14:paraId="5BB1B749" w14:textId="77777777" w:rsidR="008A7800" w:rsidRDefault="008A7800" w:rsidP="008A7800">
            <w:pPr>
              <w:jc w:val="right"/>
              <w:rPr>
                <w:color w:val="000000"/>
                <w:sz w:val="16"/>
                <w:szCs w:val="16"/>
              </w:rPr>
            </w:pPr>
            <w:r>
              <w:rPr>
                <w:color w:val="000000"/>
                <w:sz w:val="16"/>
                <w:szCs w:val="16"/>
              </w:rPr>
              <w:t>873</w:t>
            </w:r>
          </w:p>
        </w:tc>
        <w:tc>
          <w:tcPr>
            <w:tcW w:w="0" w:type="auto"/>
            <w:vAlign w:val="center"/>
          </w:tcPr>
          <w:p w14:paraId="4BD14848" w14:textId="77777777" w:rsidR="008A7800" w:rsidRDefault="008A7800" w:rsidP="008A7800">
            <w:pPr>
              <w:jc w:val="right"/>
              <w:rPr>
                <w:color w:val="000000"/>
                <w:sz w:val="16"/>
                <w:szCs w:val="16"/>
              </w:rPr>
            </w:pPr>
            <w:r>
              <w:rPr>
                <w:color w:val="000000"/>
                <w:sz w:val="16"/>
                <w:szCs w:val="16"/>
              </w:rPr>
              <w:t>73.0</w:t>
            </w:r>
          </w:p>
        </w:tc>
        <w:tc>
          <w:tcPr>
            <w:tcW w:w="0" w:type="auto"/>
            <w:tcBorders>
              <w:right w:val="single" w:sz="4" w:space="0" w:color="auto"/>
            </w:tcBorders>
            <w:vAlign w:val="center"/>
          </w:tcPr>
          <w:p w14:paraId="36CEC70D" w14:textId="77777777" w:rsidR="008A7800" w:rsidRDefault="008A7800" w:rsidP="008A7800">
            <w:pPr>
              <w:jc w:val="right"/>
              <w:rPr>
                <w:color w:val="000000"/>
                <w:sz w:val="16"/>
                <w:szCs w:val="16"/>
              </w:rPr>
            </w:pPr>
            <w:r>
              <w:rPr>
                <w:color w:val="000000"/>
                <w:sz w:val="16"/>
                <w:szCs w:val="16"/>
              </w:rPr>
              <w:t>(70.2, 75.8)</w:t>
            </w:r>
          </w:p>
        </w:tc>
        <w:tc>
          <w:tcPr>
            <w:tcW w:w="0" w:type="auto"/>
            <w:tcBorders>
              <w:left w:val="single" w:sz="4" w:space="0" w:color="auto"/>
            </w:tcBorders>
            <w:vAlign w:val="center"/>
          </w:tcPr>
          <w:p w14:paraId="35B70FD8" w14:textId="77777777" w:rsidR="008A7800" w:rsidRDefault="008A7800" w:rsidP="008A7800">
            <w:pPr>
              <w:jc w:val="right"/>
              <w:rPr>
                <w:color w:val="000000"/>
                <w:sz w:val="16"/>
                <w:szCs w:val="16"/>
              </w:rPr>
            </w:pPr>
            <w:r>
              <w:rPr>
                <w:color w:val="000000"/>
                <w:sz w:val="16"/>
                <w:szCs w:val="16"/>
              </w:rPr>
              <w:t>524</w:t>
            </w:r>
          </w:p>
        </w:tc>
        <w:tc>
          <w:tcPr>
            <w:tcW w:w="0" w:type="auto"/>
            <w:vAlign w:val="center"/>
          </w:tcPr>
          <w:p w14:paraId="4AE7AE4E" w14:textId="77777777" w:rsidR="008A7800" w:rsidRDefault="008A7800" w:rsidP="008A7800">
            <w:pPr>
              <w:jc w:val="right"/>
              <w:rPr>
                <w:color w:val="000000"/>
                <w:sz w:val="16"/>
                <w:szCs w:val="16"/>
              </w:rPr>
            </w:pPr>
            <w:r>
              <w:rPr>
                <w:color w:val="000000"/>
                <w:sz w:val="16"/>
                <w:szCs w:val="16"/>
              </w:rPr>
              <w:t>71.2</w:t>
            </w:r>
          </w:p>
        </w:tc>
        <w:tc>
          <w:tcPr>
            <w:tcW w:w="0" w:type="auto"/>
            <w:tcBorders>
              <w:right w:val="single" w:sz="4" w:space="0" w:color="auto"/>
            </w:tcBorders>
            <w:vAlign w:val="center"/>
          </w:tcPr>
          <w:p w14:paraId="3516C233" w14:textId="77777777" w:rsidR="008A7800" w:rsidRDefault="008A7800" w:rsidP="008A7800">
            <w:pPr>
              <w:jc w:val="right"/>
              <w:rPr>
                <w:color w:val="000000"/>
                <w:sz w:val="16"/>
                <w:szCs w:val="16"/>
              </w:rPr>
            </w:pPr>
            <w:r>
              <w:rPr>
                <w:color w:val="000000"/>
                <w:sz w:val="16"/>
                <w:szCs w:val="16"/>
              </w:rPr>
              <w:t>(67.7, 74.8)</w:t>
            </w:r>
          </w:p>
        </w:tc>
        <w:tc>
          <w:tcPr>
            <w:tcW w:w="0" w:type="auto"/>
            <w:tcBorders>
              <w:left w:val="single" w:sz="4" w:space="0" w:color="auto"/>
            </w:tcBorders>
            <w:vAlign w:val="center"/>
          </w:tcPr>
          <w:p w14:paraId="4524EC87" w14:textId="77777777" w:rsidR="008A7800" w:rsidRDefault="008A7800" w:rsidP="008A7800">
            <w:pPr>
              <w:jc w:val="right"/>
              <w:rPr>
                <w:color w:val="000000"/>
                <w:sz w:val="16"/>
                <w:szCs w:val="16"/>
              </w:rPr>
            </w:pPr>
            <w:r>
              <w:rPr>
                <w:color w:val="000000"/>
                <w:sz w:val="16"/>
                <w:szCs w:val="16"/>
              </w:rPr>
              <w:t>424</w:t>
            </w:r>
          </w:p>
        </w:tc>
        <w:tc>
          <w:tcPr>
            <w:tcW w:w="0" w:type="auto"/>
            <w:vAlign w:val="center"/>
          </w:tcPr>
          <w:p w14:paraId="3492D441" w14:textId="77777777" w:rsidR="008A7800" w:rsidRDefault="008A7800" w:rsidP="008A7800">
            <w:pPr>
              <w:jc w:val="right"/>
              <w:rPr>
                <w:color w:val="000000"/>
                <w:sz w:val="16"/>
                <w:szCs w:val="16"/>
              </w:rPr>
            </w:pPr>
            <w:r>
              <w:rPr>
                <w:color w:val="000000"/>
                <w:sz w:val="16"/>
                <w:szCs w:val="16"/>
              </w:rPr>
              <w:t>68.7</w:t>
            </w:r>
          </w:p>
        </w:tc>
        <w:tc>
          <w:tcPr>
            <w:tcW w:w="0" w:type="auto"/>
            <w:tcBorders>
              <w:right w:val="single" w:sz="4" w:space="0" w:color="auto"/>
            </w:tcBorders>
            <w:vAlign w:val="center"/>
          </w:tcPr>
          <w:p w14:paraId="7FE599F3" w14:textId="77777777" w:rsidR="008A7800" w:rsidRDefault="008A7800" w:rsidP="008A7800">
            <w:pPr>
              <w:jc w:val="right"/>
              <w:rPr>
                <w:color w:val="000000"/>
                <w:sz w:val="16"/>
                <w:szCs w:val="16"/>
              </w:rPr>
            </w:pPr>
            <w:r>
              <w:rPr>
                <w:color w:val="000000"/>
                <w:sz w:val="16"/>
                <w:szCs w:val="16"/>
              </w:rPr>
              <w:t>(64.7, 72.7)</w:t>
            </w:r>
          </w:p>
        </w:tc>
        <w:tc>
          <w:tcPr>
            <w:tcW w:w="0" w:type="auto"/>
            <w:tcBorders>
              <w:left w:val="single" w:sz="4" w:space="0" w:color="auto"/>
            </w:tcBorders>
            <w:vAlign w:val="center"/>
          </w:tcPr>
          <w:p w14:paraId="26500567" w14:textId="77777777" w:rsidR="008A7800" w:rsidRDefault="008A7800" w:rsidP="008A7800">
            <w:pPr>
              <w:jc w:val="right"/>
              <w:rPr>
                <w:color w:val="000000"/>
                <w:sz w:val="16"/>
                <w:szCs w:val="16"/>
              </w:rPr>
            </w:pPr>
            <w:r>
              <w:rPr>
                <w:color w:val="000000"/>
                <w:sz w:val="16"/>
                <w:szCs w:val="16"/>
              </w:rPr>
              <w:t>375</w:t>
            </w:r>
          </w:p>
        </w:tc>
        <w:tc>
          <w:tcPr>
            <w:tcW w:w="0" w:type="auto"/>
            <w:vAlign w:val="center"/>
          </w:tcPr>
          <w:p w14:paraId="66EBF949" w14:textId="77777777" w:rsidR="008A7800" w:rsidRDefault="008A7800" w:rsidP="008A7800">
            <w:pPr>
              <w:jc w:val="right"/>
              <w:rPr>
                <w:color w:val="000000"/>
                <w:sz w:val="16"/>
                <w:szCs w:val="16"/>
              </w:rPr>
            </w:pPr>
            <w:r>
              <w:rPr>
                <w:color w:val="000000"/>
                <w:sz w:val="16"/>
                <w:szCs w:val="16"/>
              </w:rPr>
              <w:t>68.9</w:t>
            </w:r>
          </w:p>
        </w:tc>
        <w:tc>
          <w:tcPr>
            <w:tcW w:w="0" w:type="auto"/>
            <w:vAlign w:val="center"/>
          </w:tcPr>
          <w:p w14:paraId="05C7608E" w14:textId="77777777" w:rsidR="008A7800" w:rsidRDefault="008A7800" w:rsidP="008A7800">
            <w:pPr>
              <w:jc w:val="right"/>
              <w:rPr>
                <w:color w:val="000000"/>
                <w:sz w:val="16"/>
                <w:szCs w:val="16"/>
              </w:rPr>
            </w:pPr>
            <w:r>
              <w:rPr>
                <w:color w:val="000000"/>
                <w:sz w:val="16"/>
                <w:szCs w:val="16"/>
              </w:rPr>
              <w:t>(64.8, 73.0)</w:t>
            </w:r>
          </w:p>
        </w:tc>
      </w:tr>
      <w:tr w:rsidR="008A7800" w:rsidRPr="007B4EF8" w14:paraId="0AB3948D" w14:textId="77777777" w:rsidTr="00604260">
        <w:trPr>
          <w:jc w:val="center"/>
        </w:trPr>
        <w:tc>
          <w:tcPr>
            <w:tcW w:w="0" w:type="auto"/>
          </w:tcPr>
          <w:p w14:paraId="5E8975AC" w14:textId="77777777" w:rsidR="008A7800" w:rsidRDefault="008A7800" w:rsidP="008A7800">
            <w:pPr>
              <w:spacing w:before="20" w:after="20"/>
              <w:ind w:left="34"/>
              <w:rPr>
                <w:rFonts w:eastAsiaTheme="minorEastAsia"/>
                <w:sz w:val="16"/>
                <w:szCs w:val="16"/>
                <w:lang w:eastAsia="en-US"/>
              </w:rPr>
            </w:pPr>
          </w:p>
        </w:tc>
        <w:tc>
          <w:tcPr>
            <w:tcW w:w="0" w:type="auto"/>
          </w:tcPr>
          <w:p w14:paraId="5A742239" w14:textId="77777777" w:rsidR="008A7800" w:rsidRPr="001B7431" w:rsidRDefault="008A7800" w:rsidP="008A7800">
            <w:pPr>
              <w:spacing w:before="20" w:after="20"/>
              <w:ind w:left="34"/>
              <w:rPr>
                <w:rFonts w:eastAsiaTheme="minorEastAsia"/>
                <w:sz w:val="16"/>
                <w:szCs w:val="16"/>
                <w:lang w:eastAsia="en-US"/>
              </w:rPr>
            </w:pPr>
            <w:r>
              <w:rPr>
                <w:rFonts w:eastAsiaTheme="minorEastAsia"/>
                <w:sz w:val="16"/>
                <w:szCs w:val="16"/>
                <w:lang w:eastAsia="en-US"/>
              </w:rPr>
              <w:t>Low-risk gambler</w:t>
            </w:r>
          </w:p>
        </w:tc>
        <w:tc>
          <w:tcPr>
            <w:tcW w:w="0" w:type="auto"/>
            <w:vAlign w:val="center"/>
          </w:tcPr>
          <w:p w14:paraId="3451BD46" w14:textId="77777777" w:rsidR="008A7800" w:rsidRDefault="008A7800" w:rsidP="008A7800">
            <w:pPr>
              <w:jc w:val="right"/>
              <w:rPr>
                <w:color w:val="000000"/>
                <w:sz w:val="16"/>
                <w:szCs w:val="16"/>
              </w:rPr>
            </w:pPr>
            <w:r>
              <w:rPr>
                <w:color w:val="000000"/>
                <w:sz w:val="16"/>
                <w:szCs w:val="16"/>
              </w:rPr>
              <w:t>41</w:t>
            </w:r>
          </w:p>
        </w:tc>
        <w:tc>
          <w:tcPr>
            <w:tcW w:w="0" w:type="auto"/>
            <w:vAlign w:val="center"/>
          </w:tcPr>
          <w:p w14:paraId="3ED6F4BB" w14:textId="77777777" w:rsidR="008A7800" w:rsidRDefault="008A7800" w:rsidP="008A7800">
            <w:pPr>
              <w:jc w:val="right"/>
              <w:rPr>
                <w:color w:val="000000"/>
                <w:sz w:val="16"/>
                <w:szCs w:val="16"/>
              </w:rPr>
            </w:pPr>
            <w:r>
              <w:rPr>
                <w:color w:val="000000"/>
                <w:sz w:val="16"/>
                <w:szCs w:val="16"/>
              </w:rPr>
              <w:t>3.4</w:t>
            </w:r>
          </w:p>
        </w:tc>
        <w:tc>
          <w:tcPr>
            <w:tcW w:w="0" w:type="auto"/>
            <w:tcBorders>
              <w:right w:val="single" w:sz="4" w:space="0" w:color="auto"/>
            </w:tcBorders>
            <w:vAlign w:val="center"/>
          </w:tcPr>
          <w:p w14:paraId="57777CA7" w14:textId="77777777" w:rsidR="008A7800" w:rsidRDefault="008A7800" w:rsidP="008A7800">
            <w:pPr>
              <w:jc w:val="right"/>
              <w:rPr>
                <w:color w:val="000000"/>
                <w:sz w:val="16"/>
                <w:szCs w:val="16"/>
              </w:rPr>
            </w:pPr>
            <w:r>
              <w:rPr>
                <w:color w:val="000000"/>
                <w:sz w:val="16"/>
                <w:szCs w:val="16"/>
              </w:rPr>
              <w:t>(2.2, 4.6)</w:t>
            </w:r>
          </w:p>
        </w:tc>
        <w:tc>
          <w:tcPr>
            <w:tcW w:w="0" w:type="auto"/>
            <w:tcBorders>
              <w:left w:val="single" w:sz="4" w:space="0" w:color="auto"/>
            </w:tcBorders>
            <w:vAlign w:val="center"/>
          </w:tcPr>
          <w:p w14:paraId="1DF600E4" w14:textId="77777777" w:rsidR="008A7800" w:rsidRDefault="008A7800" w:rsidP="008A7800">
            <w:pPr>
              <w:jc w:val="right"/>
              <w:rPr>
                <w:color w:val="000000"/>
                <w:sz w:val="16"/>
                <w:szCs w:val="16"/>
              </w:rPr>
            </w:pPr>
            <w:r>
              <w:rPr>
                <w:color w:val="000000"/>
                <w:sz w:val="16"/>
                <w:szCs w:val="16"/>
              </w:rPr>
              <w:t>26</w:t>
            </w:r>
          </w:p>
        </w:tc>
        <w:tc>
          <w:tcPr>
            <w:tcW w:w="0" w:type="auto"/>
            <w:vAlign w:val="center"/>
          </w:tcPr>
          <w:p w14:paraId="018CE5BA" w14:textId="77777777" w:rsidR="008A7800" w:rsidRDefault="008A7800" w:rsidP="008A7800">
            <w:pPr>
              <w:jc w:val="right"/>
              <w:rPr>
                <w:color w:val="000000"/>
                <w:sz w:val="16"/>
                <w:szCs w:val="16"/>
              </w:rPr>
            </w:pPr>
            <w:r>
              <w:rPr>
                <w:color w:val="000000"/>
                <w:sz w:val="16"/>
                <w:szCs w:val="16"/>
              </w:rPr>
              <w:t>3.5</w:t>
            </w:r>
          </w:p>
        </w:tc>
        <w:tc>
          <w:tcPr>
            <w:tcW w:w="0" w:type="auto"/>
            <w:tcBorders>
              <w:right w:val="single" w:sz="4" w:space="0" w:color="auto"/>
            </w:tcBorders>
            <w:vAlign w:val="center"/>
          </w:tcPr>
          <w:p w14:paraId="1555BB35" w14:textId="77777777" w:rsidR="008A7800" w:rsidRDefault="008A7800" w:rsidP="008A7800">
            <w:pPr>
              <w:jc w:val="right"/>
              <w:rPr>
                <w:color w:val="000000"/>
                <w:sz w:val="16"/>
                <w:szCs w:val="16"/>
              </w:rPr>
            </w:pPr>
            <w:r>
              <w:rPr>
                <w:color w:val="000000"/>
                <w:sz w:val="16"/>
                <w:szCs w:val="16"/>
              </w:rPr>
              <w:t>(2.1, 4.8)</w:t>
            </w:r>
          </w:p>
        </w:tc>
        <w:tc>
          <w:tcPr>
            <w:tcW w:w="0" w:type="auto"/>
            <w:tcBorders>
              <w:left w:val="single" w:sz="4" w:space="0" w:color="auto"/>
            </w:tcBorders>
            <w:vAlign w:val="center"/>
          </w:tcPr>
          <w:p w14:paraId="14FBA14C" w14:textId="77777777" w:rsidR="008A7800" w:rsidRDefault="008A7800" w:rsidP="008A7800">
            <w:pPr>
              <w:jc w:val="right"/>
              <w:rPr>
                <w:color w:val="000000"/>
                <w:sz w:val="16"/>
                <w:szCs w:val="16"/>
              </w:rPr>
            </w:pPr>
            <w:r>
              <w:rPr>
                <w:color w:val="000000"/>
                <w:sz w:val="16"/>
                <w:szCs w:val="16"/>
              </w:rPr>
              <w:t>22</w:t>
            </w:r>
          </w:p>
        </w:tc>
        <w:tc>
          <w:tcPr>
            <w:tcW w:w="0" w:type="auto"/>
            <w:vAlign w:val="center"/>
          </w:tcPr>
          <w:p w14:paraId="146792B4" w14:textId="77777777" w:rsidR="008A7800" w:rsidRDefault="008A7800" w:rsidP="008A7800">
            <w:pPr>
              <w:jc w:val="right"/>
              <w:rPr>
                <w:color w:val="000000"/>
                <w:sz w:val="16"/>
                <w:szCs w:val="16"/>
              </w:rPr>
            </w:pPr>
            <w:r>
              <w:rPr>
                <w:color w:val="000000"/>
                <w:sz w:val="16"/>
                <w:szCs w:val="16"/>
              </w:rPr>
              <w:t>3.6</w:t>
            </w:r>
          </w:p>
        </w:tc>
        <w:tc>
          <w:tcPr>
            <w:tcW w:w="0" w:type="auto"/>
            <w:tcBorders>
              <w:right w:val="single" w:sz="4" w:space="0" w:color="auto"/>
            </w:tcBorders>
            <w:vAlign w:val="center"/>
          </w:tcPr>
          <w:p w14:paraId="6473B40E" w14:textId="77777777" w:rsidR="008A7800" w:rsidRDefault="008A7800" w:rsidP="008A7800">
            <w:pPr>
              <w:jc w:val="right"/>
              <w:rPr>
                <w:color w:val="000000"/>
                <w:sz w:val="16"/>
                <w:szCs w:val="16"/>
              </w:rPr>
            </w:pPr>
            <w:r>
              <w:rPr>
                <w:color w:val="000000"/>
                <w:sz w:val="16"/>
                <w:szCs w:val="16"/>
              </w:rPr>
              <w:t>(2.1, 5.1)</w:t>
            </w:r>
          </w:p>
        </w:tc>
        <w:tc>
          <w:tcPr>
            <w:tcW w:w="0" w:type="auto"/>
            <w:tcBorders>
              <w:left w:val="single" w:sz="4" w:space="0" w:color="auto"/>
            </w:tcBorders>
            <w:vAlign w:val="center"/>
          </w:tcPr>
          <w:p w14:paraId="45CF692C" w14:textId="77777777" w:rsidR="008A7800" w:rsidRDefault="008A7800" w:rsidP="008A7800">
            <w:pPr>
              <w:jc w:val="right"/>
              <w:rPr>
                <w:color w:val="000000"/>
                <w:sz w:val="16"/>
                <w:szCs w:val="16"/>
              </w:rPr>
            </w:pPr>
            <w:r>
              <w:rPr>
                <w:color w:val="000000"/>
                <w:sz w:val="16"/>
                <w:szCs w:val="16"/>
              </w:rPr>
              <w:t>12</w:t>
            </w:r>
          </w:p>
        </w:tc>
        <w:tc>
          <w:tcPr>
            <w:tcW w:w="0" w:type="auto"/>
            <w:vAlign w:val="center"/>
          </w:tcPr>
          <w:p w14:paraId="41028451" w14:textId="77777777" w:rsidR="008A7800" w:rsidRDefault="008A7800" w:rsidP="008A7800">
            <w:pPr>
              <w:jc w:val="right"/>
              <w:rPr>
                <w:color w:val="000000"/>
                <w:sz w:val="16"/>
                <w:szCs w:val="16"/>
              </w:rPr>
            </w:pPr>
            <w:r>
              <w:rPr>
                <w:color w:val="000000"/>
                <w:sz w:val="16"/>
                <w:szCs w:val="16"/>
              </w:rPr>
              <w:t>2.3</w:t>
            </w:r>
          </w:p>
        </w:tc>
        <w:tc>
          <w:tcPr>
            <w:tcW w:w="0" w:type="auto"/>
            <w:vAlign w:val="center"/>
          </w:tcPr>
          <w:p w14:paraId="189AEE45" w14:textId="77777777" w:rsidR="008A7800" w:rsidRDefault="008A7800" w:rsidP="008A7800">
            <w:pPr>
              <w:jc w:val="right"/>
              <w:rPr>
                <w:color w:val="000000"/>
                <w:sz w:val="16"/>
                <w:szCs w:val="16"/>
              </w:rPr>
            </w:pPr>
            <w:r>
              <w:rPr>
                <w:color w:val="000000"/>
                <w:sz w:val="16"/>
                <w:szCs w:val="16"/>
              </w:rPr>
              <w:t>(1.0, 3.5)</w:t>
            </w:r>
          </w:p>
        </w:tc>
      </w:tr>
      <w:tr w:rsidR="008A7800" w:rsidRPr="007B4EF8" w14:paraId="7738DBD7" w14:textId="77777777" w:rsidTr="00604260">
        <w:trPr>
          <w:jc w:val="center"/>
        </w:trPr>
        <w:tc>
          <w:tcPr>
            <w:tcW w:w="0" w:type="auto"/>
          </w:tcPr>
          <w:p w14:paraId="2656A3A4" w14:textId="77777777" w:rsidR="008A7800" w:rsidRDefault="008A7800" w:rsidP="008A7800">
            <w:pPr>
              <w:spacing w:before="20" w:after="20"/>
              <w:ind w:left="34"/>
              <w:rPr>
                <w:rFonts w:eastAsiaTheme="minorEastAsia"/>
                <w:sz w:val="16"/>
                <w:szCs w:val="16"/>
                <w:lang w:eastAsia="en-US"/>
              </w:rPr>
            </w:pPr>
          </w:p>
        </w:tc>
        <w:tc>
          <w:tcPr>
            <w:tcW w:w="0" w:type="auto"/>
          </w:tcPr>
          <w:p w14:paraId="64D089D1" w14:textId="77777777" w:rsidR="008A7800" w:rsidRPr="001B7431" w:rsidRDefault="008A7800" w:rsidP="008A7800">
            <w:pPr>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0" w:type="auto"/>
            <w:vAlign w:val="center"/>
          </w:tcPr>
          <w:p w14:paraId="2F43FC74" w14:textId="77777777" w:rsidR="008A7800" w:rsidRDefault="008A7800" w:rsidP="008A7800">
            <w:pPr>
              <w:jc w:val="right"/>
              <w:rPr>
                <w:color w:val="000000"/>
                <w:sz w:val="16"/>
                <w:szCs w:val="16"/>
              </w:rPr>
            </w:pPr>
            <w:r>
              <w:rPr>
                <w:color w:val="000000"/>
                <w:sz w:val="16"/>
                <w:szCs w:val="16"/>
              </w:rPr>
              <w:t>7</w:t>
            </w:r>
          </w:p>
        </w:tc>
        <w:tc>
          <w:tcPr>
            <w:tcW w:w="0" w:type="auto"/>
            <w:vAlign w:val="center"/>
          </w:tcPr>
          <w:p w14:paraId="5E38CCB3" w14:textId="77777777" w:rsidR="008A7800" w:rsidRDefault="008A7800" w:rsidP="008A7800">
            <w:pPr>
              <w:jc w:val="right"/>
              <w:rPr>
                <w:color w:val="000000"/>
                <w:sz w:val="16"/>
                <w:szCs w:val="16"/>
              </w:rPr>
            </w:pPr>
            <w:r>
              <w:rPr>
                <w:color w:val="000000"/>
                <w:sz w:val="16"/>
                <w:szCs w:val="16"/>
              </w:rPr>
              <w:t>0.6</w:t>
            </w:r>
          </w:p>
        </w:tc>
        <w:tc>
          <w:tcPr>
            <w:tcW w:w="0" w:type="auto"/>
            <w:tcBorders>
              <w:right w:val="single" w:sz="4" w:space="0" w:color="auto"/>
            </w:tcBorders>
            <w:vAlign w:val="center"/>
          </w:tcPr>
          <w:p w14:paraId="4411D1B5" w14:textId="77777777" w:rsidR="008A7800" w:rsidRDefault="008A7800" w:rsidP="008A7800">
            <w:pPr>
              <w:jc w:val="right"/>
              <w:rPr>
                <w:color w:val="000000"/>
                <w:sz w:val="16"/>
                <w:szCs w:val="16"/>
              </w:rPr>
            </w:pPr>
            <w:r>
              <w:rPr>
                <w:color w:val="000000"/>
                <w:sz w:val="16"/>
                <w:szCs w:val="16"/>
              </w:rPr>
              <w:t>(0.1, 1.0)</w:t>
            </w:r>
          </w:p>
        </w:tc>
        <w:tc>
          <w:tcPr>
            <w:tcW w:w="0" w:type="auto"/>
            <w:tcBorders>
              <w:left w:val="single" w:sz="4" w:space="0" w:color="auto"/>
            </w:tcBorders>
            <w:vAlign w:val="center"/>
          </w:tcPr>
          <w:p w14:paraId="7AA6EF0E" w14:textId="77777777" w:rsidR="008A7800" w:rsidRDefault="008A7800" w:rsidP="008A7800">
            <w:pPr>
              <w:jc w:val="right"/>
              <w:rPr>
                <w:color w:val="000000"/>
                <w:sz w:val="16"/>
                <w:szCs w:val="16"/>
              </w:rPr>
            </w:pPr>
            <w:r>
              <w:rPr>
                <w:color w:val="000000"/>
                <w:sz w:val="16"/>
                <w:szCs w:val="16"/>
              </w:rPr>
              <w:t>9</w:t>
            </w:r>
          </w:p>
        </w:tc>
        <w:tc>
          <w:tcPr>
            <w:tcW w:w="0" w:type="auto"/>
            <w:vAlign w:val="center"/>
          </w:tcPr>
          <w:p w14:paraId="712DF846" w14:textId="77777777" w:rsidR="008A7800" w:rsidRDefault="008A7800" w:rsidP="008A7800">
            <w:pPr>
              <w:jc w:val="right"/>
              <w:rPr>
                <w:color w:val="000000"/>
                <w:sz w:val="16"/>
                <w:szCs w:val="16"/>
              </w:rPr>
            </w:pPr>
            <w:r>
              <w:rPr>
                <w:color w:val="000000"/>
                <w:sz w:val="16"/>
                <w:szCs w:val="16"/>
              </w:rPr>
              <w:t>1.3</w:t>
            </w:r>
          </w:p>
        </w:tc>
        <w:tc>
          <w:tcPr>
            <w:tcW w:w="0" w:type="auto"/>
            <w:tcBorders>
              <w:right w:val="single" w:sz="4" w:space="0" w:color="auto"/>
            </w:tcBorders>
            <w:vAlign w:val="center"/>
          </w:tcPr>
          <w:p w14:paraId="0B9A8FF1" w14:textId="77777777" w:rsidR="008A7800" w:rsidRDefault="008A7800" w:rsidP="008A7800">
            <w:pPr>
              <w:jc w:val="right"/>
              <w:rPr>
                <w:color w:val="000000"/>
                <w:sz w:val="16"/>
                <w:szCs w:val="16"/>
              </w:rPr>
            </w:pPr>
            <w:r>
              <w:rPr>
                <w:color w:val="000000"/>
                <w:sz w:val="16"/>
                <w:szCs w:val="16"/>
              </w:rPr>
              <w:t>(0.4, 2.1)</w:t>
            </w:r>
          </w:p>
        </w:tc>
        <w:tc>
          <w:tcPr>
            <w:tcW w:w="0" w:type="auto"/>
            <w:tcBorders>
              <w:left w:val="single" w:sz="4" w:space="0" w:color="auto"/>
            </w:tcBorders>
            <w:vAlign w:val="center"/>
          </w:tcPr>
          <w:p w14:paraId="4390C36D" w14:textId="77777777" w:rsidR="008A7800" w:rsidRDefault="008A7800" w:rsidP="008A7800">
            <w:pPr>
              <w:jc w:val="right"/>
              <w:rPr>
                <w:color w:val="000000"/>
                <w:sz w:val="16"/>
                <w:szCs w:val="16"/>
              </w:rPr>
            </w:pPr>
            <w:r>
              <w:rPr>
                <w:color w:val="000000"/>
                <w:sz w:val="16"/>
                <w:szCs w:val="16"/>
              </w:rPr>
              <w:t>10</w:t>
            </w:r>
          </w:p>
        </w:tc>
        <w:tc>
          <w:tcPr>
            <w:tcW w:w="0" w:type="auto"/>
            <w:vAlign w:val="center"/>
          </w:tcPr>
          <w:p w14:paraId="23A61340" w14:textId="77777777" w:rsidR="008A7800" w:rsidRDefault="008A7800" w:rsidP="008A7800">
            <w:pPr>
              <w:jc w:val="right"/>
              <w:rPr>
                <w:color w:val="000000"/>
                <w:sz w:val="16"/>
                <w:szCs w:val="16"/>
              </w:rPr>
            </w:pPr>
            <w:r>
              <w:rPr>
                <w:color w:val="000000"/>
                <w:sz w:val="16"/>
                <w:szCs w:val="16"/>
              </w:rPr>
              <w:t>1.6</w:t>
            </w:r>
          </w:p>
        </w:tc>
        <w:tc>
          <w:tcPr>
            <w:tcW w:w="0" w:type="auto"/>
            <w:tcBorders>
              <w:right w:val="single" w:sz="4" w:space="0" w:color="auto"/>
            </w:tcBorders>
            <w:vAlign w:val="center"/>
          </w:tcPr>
          <w:p w14:paraId="353D523F" w14:textId="77777777" w:rsidR="008A7800" w:rsidRDefault="008A7800" w:rsidP="008A7800">
            <w:pPr>
              <w:jc w:val="right"/>
              <w:rPr>
                <w:color w:val="000000"/>
                <w:sz w:val="16"/>
                <w:szCs w:val="16"/>
              </w:rPr>
            </w:pPr>
            <w:r>
              <w:rPr>
                <w:color w:val="000000"/>
                <w:sz w:val="16"/>
                <w:szCs w:val="16"/>
              </w:rPr>
              <w:t>(0.6, 2.7)</w:t>
            </w:r>
          </w:p>
        </w:tc>
        <w:tc>
          <w:tcPr>
            <w:tcW w:w="0" w:type="auto"/>
            <w:tcBorders>
              <w:left w:val="single" w:sz="4" w:space="0" w:color="auto"/>
            </w:tcBorders>
            <w:vAlign w:val="center"/>
          </w:tcPr>
          <w:p w14:paraId="0C89061E" w14:textId="77777777" w:rsidR="008A7800" w:rsidRDefault="008A7800" w:rsidP="008A7800">
            <w:pPr>
              <w:jc w:val="right"/>
              <w:rPr>
                <w:color w:val="000000"/>
                <w:sz w:val="16"/>
                <w:szCs w:val="16"/>
              </w:rPr>
            </w:pPr>
            <w:r>
              <w:rPr>
                <w:color w:val="000000"/>
                <w:sz w:val="16"/>
                <w:szCs w:val="16"/>
              </w:rPr>
              <w:t>5</w:t>
            </w:r>
          </w:p>
        </w:tc>
        <w:tc>
          <w:tcPr>
            <w:tcW w:w="0" w:type="auto"/>
            <w:vAlign w:val="center"/>
          </w:tcPr>
          <w:p w14:paraId="7FBC6E75" w14:textId="77777777" w:rsidR="008A7800" w:rsidRDefault="008A7800" w:rsidP="008A7800">
            <w:pPr>
              <w:jc w:val="right"/>
              <w:rPr>
                <w:color w:val="000000"/>
                <w:sz w:val="16"/>
                <w:szCs w:val="16"/>
              </w:rPr>
            </w:pPr>
            <w:r>
              <w:rPr>
                <w:color w:val="000000"/>
                <w:sz w:val="16"/>
                <w:szCs w:val="16"/>
              </w:rPr>
              <w:t>1.0</w:t>
            </w:r>
          </w:p>
        </w:tc>
        <w:tc>
          <w:tcPr>
            <w:tcW w:w="0" w:type="auto"/>
            <w:vAlign w:val="center"/>
          </w:tcPr>
          <w:p w14:paraId="7AE67C3B" w14:textId="77777777" w:rsidR="008A7800" w:rsidRDefault="008A7800" w:rsidP="008A7800">
            <w:pPr>
              <w:jc w:val="right"/>
              <w:rPr>
                <w:color w:val="000000"/>
                <w:sz w:val="16"/>
                <w:szCs w:val="16"/>
              </w:rPr>
            </w:pPr>
            <w:r>
              <w:rPr>
                <w:color w:val="000000"/>
                <w:sz w:val="16"/>
                <w:szCs w:val="16"/>
              </w:rPr>
              <w:t>(0.2, 1.7)</w:t>
            </w:r>
          </w:p>
        </w:tc>
      </w:tr>
      <w:tr w:rsidR="008A7800" w:rsidRPr="007B4EF8" w14:paraId="3F7B0953" w14:textId="77777777" w:rsidTr="00604260">
        <w:trPr>
          <w:jc w:val="center"/>
        </w:trPr>
        <w:tc>
          <w:tcPr>
            <w:tcW w:w="0" w:type="auto"/>
          </w:tcPr>
          <w:p w14:paraId="5B56C369" w14:textId="77777777" w:rsidR="008A7800" w:rsidRDefault="008A7800" w:rsidP="008A7800">
            <w:pPr>
              <w:spacing w:before="20" w:after="20"/>
              <w:ind w:left="34"/>
              <w:rPr>
                <w:rFonts w:eastAsiaTheme="minorEastAsia"/>
                <w:sz w:val="16"/>
                <w:szCs w:val="16"/>
                <w:lang w:eastAsia="en-US"/>
              </w:rPr>
            </w:pPr>
          </w:p>
        </w:tc>
        <w:tc>
          <w:tcPr>
            <w:tcW w:w="0" w:type="auto"/>
          </w:tcPr>
          <w:p w14:paraId="2A937A2C" w14:textId="77777777" w:rsidR="008A7800" w:rsidRPr="001B7431" w:rsidRDefault="008A7800" w:rsidP="008A7800">
            <w:pPr>
              <w:spacing w:before="20" w:after="20"/>
              <w:ind w:left="34"/>
              <w:rPr>
                <w:rFonts w:eastAsiaTheme="minorEastAsia"/>
                <w:sz w:val="16"/>
                <w:szCs w:val="16"/>
                <w:lang w:eastAsia="en-US"/>
              </w:rPr>
            </w:pPr>
            <w:r>
              <w:rPr>
                <w:rFonts w:eastAsiaTheme="minorEastAsia"/>
                <w:sz w:val="16"/>
                <w:szCs w:val="16"/>
                <w:lang w:eastAsia="en-US"/>
              </w:rPr>
              <w:t>No gambling in past year</w:t>
            </w:r>
          </w:p>
        </w:tc>
        <w:tc>
          <w:tcPr>
            <w:tcW w:w="0" w:type="auto"/>
            <w:vAlign w:val="center"/>
          </w:tcPr>
          <w:p w14:paraId="76C2BA74" w14:textId="77777777" w:rsidR="008A7800" w:rsidRDefault="008A7800" w:rsidP="008A7800">
            <w:pPr>
              <w:jc w:val="right"/>
              <w:rPr>
                <w:color w:val="000000"/>
                <w:sz w:val="16"/>
                <w:szCs w:val="16"/>
              </w:rPr>
            </w:pPr>
            <w:r>
              <w:rPr>
                <w:color w:val="000000"/>
                <w:sz w:val="16"/>
                <w:szCs w:val="16"/>
              </w:rPr>
              <w:t>276</w:t>
            </w:r>
          </w:p>
        </w:tc>
        <w:tc>
          <w:tcPr>
            <w:tcW w:w="0" w:type="auto"/>
            <w:vAlign w:val="center"/>
          </w:tcPr>
          <w:p w14:paraId="2777F77E" w14:textId="77777777" w:rsidR="008A7800" w:rsidRDefault="008A7800" w:rsidP="008A7800">
            <w:pPr>
              <w:jc w:val="right"/>
              <w:rPr>
                <w:color w:val="000000"/>
                <w:sz w:val="16"/>
                <w:szCs w:val="16"/>
              </w:rPr>
            </w:pPr>
            <w:r>
              <w:rPr>
                <w:color w:val="000000"/>
                <w:sz w:val="16"/>
                <w:szCs w:val="16"/>
              </w:rPr>
              <w:t>23.1</w:t>
            </w:r>
          </w:p>
        </w:tc>
        <w:tc>
          <w:tcPr>
            <w:tcW w:w="0" w:type="auto"/>
            <w:tcBorders>
              <w:right w:val="single" w:sz="4" w:space="0" w:color="auto"/>
            </w:tcBorders>
            <w:vAlign w:val="center"/>
          </w:tcPr>
          <w:p w14:paraId="405E6049" w14:textId="77777777" w:rsidR="008A7800" w:rsidRDefault="008A7800" w:rsidP="008A7800">
            <w:pPr>
              <w:jc w:val="right"/>
              <w:rPr>
                <w:color w:val="000000"/>
                <w:sz w:val="16"/>
                <w:szCs w:val="16"/>
              </w:rPr>
            </w:pPr>
            <w:r>
              <w:rPr>
                <w:color w:val="000000"/>
                <w:sz w:val="16"/>
                <w:szCs w:val="16"/>
              </w:rPr>
              <w:t>(20.5, 25.7)</w:t>
            </w:r>
          </w:p>
        </w:tc>
        <w:tc>
          <w:tcPr>
            <w:tcW w:w="0" w:type="auto"/>
            <w:tcBorders>
              <w:left w:val="single" w:sz="4" w:space="0" w:color="auto"/>
            </w:tcBorders>
            <w:vAlign w:val="center"/>
          </w:tcPr>
          <w:p w14:paraId="7FA09D3E" w14:textId="77777777" w:rsidR="008A7800" w:rsidRDefault="008A7800" w:rsidP="008A7800">
            <w:pPr>
              <w:jc w:val="right"/>
              <w:rPr>
                <w:color w:val="000000"/>
                <w:sz w:val="16"/>
                <w:szCs w:val="16"/>
              </w:rPr>
            </w:pPr>
            <w:r>
              <w:rPr>
                <w:color w:val="000000"/>
                <w:sz w:val="16"/>
                <w:szCs w:val="16"/>
              </w:rPr>
              <w:t>177</w:t>
            </w:r>
          </w:p>
        </w:tc>
        <w:tc>
          <w:tcPr>
            <w:tcW w:w="0" w:type="auto"/>
            <w:vAlign w:val="center"/>
          </w:tcPr>
          <w:p w14:paraId="4FBD53BA" w14:textId="77777777" w:rsidR="008A7800" w:rsidRDefault="008A7800" w:rsidP="008A7800">
            <w:pPr>
              <w:jc w:val="right"/>
              <w:rPr>
                <w:color w:val="000000"/>
                <w:sz w:val="16"/>
                <w:szCs w:val="16"/>
              </w:rPr>
            </w:pPr>
            <w:r>
              <w:rPr>
                <w:color w:val="000000"/>
                <w:sz w:val="16"/>
                <w:szCs w:val="16"/>
              </w:rPr>
              <w:t>24.0</w:t>
            </w:r>
          </w:p>
        </w:tc>
        <w:tc>
          <w:tcPr>
            <w:tcW w:w="0" w:type="auto"/>
            <w:tcBorders>
              <w:right w:val="single" w:sz="4" w:space="0" w:color="auto"/>
            </w:tcBorders>
            <w:vAlign w:val="center"/>
          </w:tcPr>
          <w:p w14:paraId="2D41D852" w14:textId="77777777" w:rsidR="008A7800" w:rsidRDefault="008A7800" w:rsidP="008A7800">
            <w:pPr>
              <w:jc w:val="right"/>
              <w:rPr>
                <w:color w:val="000000"/>
                <w:sz w:val="16"/>
                <w:szCs w:val="16"/>
              </w:rPr>
            </w:pPr>
            <w:r>
              <w:rPr>
                <w:color w:val="000000"/>
                <w:sz w:val="16"/>
                <w:szCs w:val="16"/>
              </w:rPr>
              <w:t>(20.6, 27.4)</w:t>
            </w:r>
          </w:p>
        </w:tc>
        <w:tc>
          <w:tcPr>
            <w:tcW w:w="0" w:type="auto"/>
            <w:tcBorders>
              <w:left w:val="single" w:sz="4" w:space="0" w:color="auto"/>
            </w:tcBorders>
            <w:vAlign w:val="center"/>
          </w:tcPr>
          <w:p w14:paraId="52147BC8" w14:textId="77777777" w:rsidR="008A7800" w:rsidRDefault="008A7800" w:rsidP="008A7800">
            <w:pPr>
              <w:jc w:val="right"/>
              <w:rPr>
                <w:color w:val="000000"/>
                <w:sz w:val="16"/>
                <w:szCs w:val="16"/>
              </w:rPr>
            </w:pPr>
            <w:r>
              <w:rPr>
                <w:color w:val="000000"/>
                <w:sz w:val="16"/>
                <w:szCs w:val="16"/>
              </w:rPr>
              <w:t>161</w:t>
            </w:r>
          </w:p>
        </w:tc>
        <w:tc>
          <w:tcPr>
            <w:tcW w:w="0" w:type="auto"/>
            <w:vAlign w:val="center"/>
          </w:tcPr>
          <w:p w14:paraId="76DD981F" w14:textId="77777777" w:rsidR="008A7800" w:rsidRDefault="008A7800" w:rsidP="008A7800">
            <w:pPr>
              <w:jc w:val="right"/>
              <w:rPr>
                <w:color w:val="000000"/>
                <w:sz w:val="16"/>
                <w:szCs w:val="16"/>
              </w:rPr>
            </w:pPr>
            <w:r>
              <w:rPr>
                <w:color w:val="000000"/>
                <w:sz w:val="16"/>
                <w:szCs w:val="16"/>
              </w:rPr>
              <w:t>26.1</w:t>
            </w:r>
          </w:p>
        </w:tc>
        <w:tc>
          <w:tcPr>
            <w:tcW w:w="0" w:type="auto"/>
            <w:tcBorders>
              <w:right w:val="single" w:sz="4" w:space="0" w:color="auto"/>
            </w:tcBorders>
            <w:vAlign w:val="center"/>
          </w:tcPr>
          <w:p w14:paraId="2E21CFC1" w14:textId="77777777" w:rsidR="008A7800" w:rsidRDefault="008A7800" w:rsidP="008A7800">
            <w:pPr>
              <w:jc w:val="right"/>
              <w:rPr>
                <w:color w:val="000000"/>
                <w:sz w:val="16"/>
                <w:szCs w:val="16"/>
              </w:rPr>
            </w:pPr>
            <w:r>
              <w:rPr>
                <w:color w:val="000000"/>
                <w:sz w:val="16"/>
                <w:szCs w:val="16"/>
              </w:rPr>
              <w:t>(22.3, 29.8)</w:t>
            </w:r>
          </w:p>
        </w:tc>
        <w:tc>
          <w:tcPr>
            <w:tcW w:w="0" w:type="auto"/>
            <w:tcBorders>
              <w:left w:val="single" w:sz="4" w:space="0" w:color="auto"/>
            </w:tcBorders>
            <w:vAlign w:val="center"/>
          </w:tcPr>
          <w:p w14:paraId="622BE791" w14:textId="77777777" w:rsidR="008A7800" w:rsidRDefault="008A7800" w:rsidP="008A7800">
            <w:pPr>
              <w:jc w:val="right"/>
              <w:rPr>
                <w:color w:val="000000"/>
                <w:sz w:val="16"/>
                <w:szCs w:val="16"/>
              </w:rPr>
            </w:pPr>
            <w:r>
              <w:rPr>
                <w:color w:val="000000"/>
                <w:sz w:val="16"/>
                <w:szCs w:val="16"/>
              </w:rPr>
              <w:t>152</w:t>
            </w:r>
          </w:p>
        </w:tc>
        <w:tc>
          <w:tcPr>
            <w:tcW w:w="0" w:type="auto"/>
            <w:vAlign w:val="center"/>
          </w:tcPr>
          <w:p w14:paraId="495F9851" w14:textId="77777777" w:rsidR="008A7800" w:rsidRDefault="008A7800" w:rsidP="008A7800">
            <w:pPr>
              <w:jc w:val="right"/>
              <w:rPr>
                <w:color w:val="000000"/>
                <w:sz w:val="16"/>
                <w:szCs w:val="16"/>
              </w:rPr>
            </w:pPr>
            <w:r>
              <w:rPr>
                <w:color w:val="000000"/>
                <w:sz w:val="16"/>
                <w:szCs w:val="16"/>
              </w:rPr>
              <w:t>27.8</w:t>
            </w:r>
          </w:p>
        </w:tc>
        <w:tc>
          <w:tcPr>
            <w:tcW w:w="0" w:type="auto"/>
            <w:vAlign w:val="center"/>
          </w:tcPr>
          <w:p w14:paraId="736331D1" w14:textId="77777777" w:rsidR="008A7800" w:rsidRDefault="008A7800" w:rsidP="008A7800">
            <w:pPr>
              <w:jc w:val="right"/>
              <w:rPr>
                <w:color w:val="000000"/>
                <w:sz w:val="16"/>
                <w:szCs w:val="16"/>
              </w:rPr>
            </w:pPr>
            <w:r>
              <w:rPr>
                <w:color w:val="000000"/>
                <w:sz w:val="16"/>
                <w:szCs w:val="16"/>
              </w:rPr>
              <w:t>(23.9, 31.8)</w:t>
            </w:r>
          </w:p>
        </w:tc>
      </w:tr>
      <w:tr w:rsidR="008A7800" w:rsidRPr="007B4EF8" w14:paraId="1F60BB76" w14:textId="77777777" w:rsidTr="00604260">
        <w:trPr>
          <w:jc w:val="center"/>
        </w:trPr>
        <w:tc>
          <w:tcPr>
            <w:tcW w:w="0" w:type="auto"/>
          </w:tcPr>
          <w:p w14:paraId="6E218C4B" w14:textId="77777777" w:rsidR="008A7800" w:rsidRPr="008A7800" w:rsidRDefault="008A7800" w:rsidP="008A7800">
            <w:pPr>
              <w:spacing w:before="20" w:after="20"/>
              <w:ind w:left="34"/>
              <w:rPr>
                <w:rFonts w:eastAsiaTheme="minorEastAsia"/>
                <w:b/>
                <w:sz w:val="16"/>
                <w:szCs w:val="16"/>
                <w:lang w:eastAsia="en-US"/>
              </w:rPr>
            </w:pPr>
            <w:r>
              <w:rPr>
                <w:rFonts w:eastAsiaTheme="minorEastAsia"/>
                <w:b/>
                <w:sz w:val="16"/>
                <w:szCs w:val="16"/>
                <w:lang w:eastAsia="en-US"/>
              </w:rPr>
              <w:t>Ethnic group (prioritised</w:t>
            </w:r>
            <w:r w:rsidR="009A1B9E">
              <w:rPr>
                <w:rFonts w:eastAsiaTheme="minorEastAsia"/>
                <w:b/>
                <w:sz w:val="16"/>
                <w:szCs w:val="16"/>
                <w:lang w:eastAsia="en-US"/>
              </w:rPr>
              <w:t>)</w:t>
            </w:r>
          </w:p>
        </w:tc>
        <w:tc>
          <w:tcPr>
            <w:tcW w:w="0" w:type="auto"/>
          </w:tcPr>
          <w:p w14:paraId="180FFC9B" w14:textId="77777777" w:rsidR="008A7800" w:rsidRPr="001B7431" w:rsidRDefault="008A7800" w:rsidP="008A7800">
            <w:pPr>
              <w:spacing w:before="20" w:after="20"/>
              <w:ind w:left="34"/>
              <w:rPr>
                <w:rFonts w:eastAsiaTheme="minorEastAsia"/>
                <w:sz w:val="16"/>
                <w:szCs w:val="16"/>
                <w:lang w:eastAsia="en-US"/>
              </w:rPr>
            </w:pPr>
          </w:p>
        </w:tc>
        <w:tc>
          <w:tcPr>
            <w:tcW w:w="0" w:type="auto"/>
            <w:vAlign w:val="center"/>
          </w:tcPr>
          <w:p w14:paraId="385A7464" w14:textId="77777777" w:rsidR="008A7800" w:rsidRPr="001B7431" w:rsidRDefault="008A7800" w:rsidP="008A7800">
            <w:pPr>
              <w:spacing w:before="20" w:after="20"/>
              <w:ind w:left="34"/>
              <w:jc w:val="right"/>
              <w:rPr>
                <w:rFonts w:eastAsiaTheme="minorEastAsia"/>
                <w:sz w:val="16"/>
                <w:szCs w:val="16"/>
                <w:lang w:eastAsia="en-US"/>
              </w:rPr>
            </w:pPr>
          </w:p>
        </w:tc>
        <w:tc>
          <w:tcPr>
            <w:tcW w:w="0" w:type="auto"/>
            <w:vAlign w:val="center"/>
          </w:tcPr>
          <w:p w14:paraId="012FEF02" w14:textId="77777777" w:rsidR="008A7800" w:rsidRPr="001B7431" w:rsidRDefault="008A7800" w:rsidP="008A7800">
            <w:pPr>
              <w:spacing w:before="20" w:after="20"/>
              <w:ind w:left="34"/>
              <w:jc w:val="right"/>
              <w:rPr>
                <w:rFonts w:eastAsiaTheme="minorEastAsia"/>
                <w:sz w:val="16"/>
                <w:szCs w:val="16"/>
                <w:lang w:eastAsia="en-US"/>
              </w:rPr>
            </w:pPr>
          </w:p>
        </w:tc>
        <w:tc>
          <w:tcPr>
            <w:tcW w:w="0" w:type="auto"/>
            <w:tcBorders>
              <w:right w:val="single" w:sz="4" w:space="0" w:color="auto"/>
            </w:tcBorders>
            <w:vAlign w:val="center"/>
          </w:tcPr>
          <w:p w14:paraId="26F0C890" w14:textId="77777777" w:rsidR="008A7800" w:rsidRPr="001B7431" w:rsidRDefault="008A7800" w:rsidP="008A7800">
            <w:pPr>
              <w:spacing w:before="20" w:after="20"/>
              <w:ind w:left="34"/>
              <w:jc w:val="right"/>
              <w:rPr>
                <w:rFonts w:eastAsiaTheme="minorEastAsia"/>
                <w:sz w:val="16"/>
                <w:szCs w:val="16"/>
                <w:lang w:eastAsia="en-US"/>
              </w:rPr>
            </w:pPr>
          </w:p>
        </w:tc>
        <w:tc>
          <w:tcPr>
            <w:tcW w:w="0" w:type="auto"/>
            <w:tcBorders>
              <w:left w:val="single" w:sz="4" w:space="0" w:color="auto"/>
            </w:tcBorders>
            <w:vAlign w:val="center"/>
          </w:tcPr>
          <w:p w14:paraId="7E4B15ED" w14:textId="77777777" w:rsidR="008A7800" w:rsidRPr="001B7431" w:rsidRDefault="008A7800" w:rsidP="008A7800">
            <w:pPr>
              <w:spacing w:before="20" w:after="20"/>
              <w:ind w:left="34"/>
              <w:jc w:val="right"/>
              <w:rPr>
                <w:rFonts w:eastAsiaTheme="minorEastAsia"/>
                <w:sz w:val="16"/>
                <w:szCs w:val="16"/>
                <w:lang w:eastAsia="en-US"/>
              </w:rPr>
            </w:pPr>
          </w:p>
        </w:tc>
        <w:tc>
          <w:tcPr>
            <w:tcW w:w="0" w:type="auto"/>
            <w:vAlign w:val="center"/>
          </w:tcPr>
          <w:p w14:paraId="219513BB" w14:textId="77777777" w:rsidR="008A7800" w:rsidRPr="001B7431" w:rsidRDefault="008A7800" w:rsidP="008A7800">
            <w:pPr>
              <w:spacing w:before="20" w:after="20"/>
              <w:ind w:left="34"/>
              <w:jc w:val="right"/>
              <w:rPr>
                <w:rFonts w:eastAsiaTheme="minorEastAsia"/>
                <w:sz w:val="16"/>
                <w:szCs w:val="16"/>
                <w:lang w:eastAsia="en-US"/>
              </w:rPr>
            </w:pPr>
          </w:p>
        </w:tc>
        <w:tc>
          <w:tcPr>
            <w:tcW w:w="0" w:type="auto"/>
            <w:tcBorders>
              <w:right w:val="single" w:sz="4" w:space="0" w:color="auto"/>
            </w:tcBorders>
            <w:vAlign w:val="center"/>
          </w:tcPr>
          <w:p w14:paraId="6F22BB15" w14:textId="77777777" w:rsidR="008A7800" w:rsidRPr="001B7431" w:rsidRDefault="008A7800" w:rsidP="008A7800">
            <w:pPr>
              <w:spacing w:before="20" w:after="20"/>
              <w:ind w:left="34"/>
              <w:jc w:val="right"/>
              <w:rPr>
                <w:rFonts w:eastAsiaTheme="minorEastAsia"/>
                <w:sz w:val="16"/>
                <w:szCs w:val="16"/>
                <w:lang w:eastAsia="en-US"/>
              </w:rPr>
            </w:pPr>
          </w:p>
        </w:tc>
        <w:tc>
          <w:tcPr>
            <w:tcW w:w="0" w:type="auto"/>
            <w:tcBorders>
              <w:left w:val="single" w:sz="4" w:space="0" w:color="auto"/>
            </w:tcBorders>
            <w:vAlign w:val="center"/>
          </w:tcPr>
          <w:p w14:paraId="226FFFC7" w14:textId="77777777" w:rsidR="008A7800" w:rsidRPr="001B7431" w:rsidRDefault="008A7800" w:rsidP="008A7800">
            <w:pPr>
              <w:spacing w:before="20" w:after="20"/>
              <w:ind w:left="34"/>
              <w:jc w:val="right"/>
              <w:rPr>
                <w:rFonts w:eastAsiaTheme="minorEastAsia"/>
                <w:sz w:val="16"/>
                <w:szCs w:val="16"/>
                <w:lang w:eastAsia="en-US"/>
              </w:rPr>
            </w:pPr>
          </w:p>
        </w:tc>
        <w:tc>
          <w:tcPr>
            <w:tcW w:w="0" w:type="auto"/>
            <w:vAlign w:val="center"/>
          </w:tcPr>
          <w:p w14:paraId="3DB4458B" w14:textId="77777777" w:rsidR="008A7800" w:rsidRPr="001B7431" w:rsidRDefault="008A7800" w:rsidP="008A7800">
            <w:pPr>
              <w:spacing w:before="20" w:after="20"/>
              <w:ind w:left="34"/>
              <w:jc w:val="right"/>
              <w:rPr>
                <w:rFonts w:eastAsiaTheme="minorEastAsia"/>
                <w:sz w:val="16"/>
                <w:szCs w:val="16"/>
                <w:lang w:eastAsia="en-US"/>
              </w:rPr>
            </w:pPr>
          </w:p>
        </w:tc>
        <w:tc>
          <w:tcPr>
            <w:tcW w:w="0" w:type="auto"/>
            <w:tcBorders>
              <w:right w:val="single" w:sz="4" w:space="0" w:color="auto"/>
            </w:tcBorders>
            <w:vAlign w:val="center"/>
          </w:tcPr>
          <w:p w14:paraId="47DCAD94" w14:textId="77777777" w:rsidR="008A7800" w:rsidRPr="001B7431" w:rsidRDefault="008A7800" w:rsidP="008A7800">
            <w:pPr>
              <w:spacing w:before="20" w:after="20"/>
              <w:ind w:left="34"/>
              <w:jc w:val="right"/>
              <w:rPr>
                <w:rFonts w:eastAsiaTheme="minorEastAsia"/>
                <w:sz w:val="16"/>
                <w:szCs w:val="16"/>
                <w:lang w:eastAsia="en-US"/>
              </w:rPr>
            </w:pPr>
          </w:p>
        </w:tc>
        <w:tc>
          <w:tcPr>
            <w:tcW w:w="0" w:type="auto"/>
            <w:tcBorders>
              <w:left w:val="single" w:sz="4" w:space="0" w:color="auto"/>
            </w:tcBorders>
            <w:vAlign w:val="center"/>
          </w:tcPr>
          <w:p w14:paraId="77FBD690" w14:textId="77777777" w:rsidR="008A7800" w:rsidRPr="001B7431" w:rsidRDefault="008A7800" w:rsidP="008A7800">
            <w:pPr>
              <w:spacing w:before="20" w:after="20"/>
              <w:ind w:left="34"/>
              <w:jc w:val="right"/>
              <w:rPr>
                <w:rFonts w:eastAsiaTheme="minorEastAsia"/>
                <w:sz w:val="16"/>
                <w:szCs w:val="16"/>
                <w:lang w:eastAsia="en-US"/>
              </w:rPr>
            </w:pPr>
          </w:p>
        </w:tc>
        <w:tc>
          <w:tcPr>
            <w:tcW w:w="0" w:type="auto"/>
            <w:vAlign w:val="center"/>
          </w:tcPr>
          <w:p w14:paraId="13633D50" w14:textId="77777777" w:rsidR="008A7800" w:rsidRPr="001B7431" w:rsidRDefault="008A7800" w:rsidP="008A7800">
            <w:pPr>
              <w:spacing w:before="20" w:after="20"/>
              <w:ind w:left="34"/>
              <w:jc w:val="right"/>
              <w:rPr>
                <w:rFonts w:eastAsiaTheme="minorEastAsia"/>
                <w:sz w:val="16"/>
                <w:szCs w:val="16"/>
                <w:lang w:eastAsia="en-US"/>
              </w:rPr>
            </w:pPr>
          </w:p>
        </w:tc>
        <w:tc>
          <w:tcPr>
            <w:tcW w:w="0" w:type="auto"/>
            <w:vAlign w:val="center"/>
          </w:tcPr>
          <w:p w14:paraId="6133E839" w14:textId="77777777" w:rsidR="008A7800" w:rsidRPr="001B7431" w:rsidRDefault="008A7800" w:rsidP="008A7800">
            <w:pPr>
              <w:spacing w:before="20" w:after="20"/>
              <w:ind w:left="34"/>
              <w:jc w:val="right"/>
              <w:rPr>
                <w:rFonts w:eastAsiaTheme="minorEastAsia"/>
                <w:sz w:val="16"/>
                <w:szCs w:val="16"/>
                <w:lang w:eastAsia="en-US"/>
              </w:rPr>
            </w:pPr>
          </w:p>
        </w:tc>
      </w:tr>
      <w:tr w:rsidR="007F3FD9" w:rsidRPr="007B4EF8" w14:paraId="39109765" w14:textId="77777777" w:rsidTr="00604260">
        <w:trPr>
          <w:jc w:val="center"/>
        </w:trPr>
        <w:tc>
          <w:tcPr>
            <w:tcW w:w="0" w:type="auto"/>
          </w:tcPr>
          <w:p w14:paraId="5D044ECB" w14:textId="77777777" w:rsidR="007F3FD9" w:rsidRDefault="007F3FD9" w:rsidP="007F3FD9">
            <w:pPr>
              <w:spacing w:before="20" w:after="20"/>
              <w:ind w:left="34"/>
              <w:rPr>
                <w:rFonts w:eastAsiaTheme="minorEastAsia"/>
                <w:sz w:val="16"/>
                <w:szCs w:val="16"/>
                <w:lang w:eastAsia="en-US"/>
              </w:rPr>
            </w:pPr>
            <w:r>
              <w:rPr>
                <w:rFonts w:eastAsiaTheme="minorEastAsia"/>
                <w:sz w:val="16"/>
                <w:szCs w:val="16"/>
                <w:lang w:eastAsia="en-US"/>
              </w:rPr>
              <w:t>Māori</w:t>
            </w:r>
          </w:p>
        </w:tc>
        <w:tc>
          <w:tcPr>
            <w:tcW w:w="0" w:type="auto"/>
          </w:tcPr>
          <w:p w14:paraId="094FB30B" w14:textId="77777777" w:rsidR="007F3FD9" w:rsidRPr="001B7431" w:rsidRDefault="007F3FD9" w:rsidP="007F3FD9">
            <w:pPr>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0" w:type="auto"/>
            <w:vAlign w:val="center"/>
          </w:tcPr>
          <w:p w14:paraId="519452AF" w14:textId="77777777" w:rsidR="007F3FD9" w:rsidRDefault="007F3FD9" w:rsidP="007F3FD9">
            <w:pPr>
              <w:jc w:val="right"/>
              <w:rPr>
                <w:color w:val="000000"/>
                <w:sz w:val="16"/>
                <w:szCs w:val="16"/>
                <w:lang w:eastAsia="en-NZ"/>
              </w:rPr>
            </w:pPr>
            <w:r>
              <w:rPr>
                <w:color w:val="000000"/>
                <w:sz w:val="16"/>
                <w:szCs w:val="16"/>
              </w:rPr>
              <w:t>466</w:t>
            </w:r>
          </w:p>
        </w:tc>
        <w:tc>
          <w:tcPr>
            <w:tcW w:w="0" w:type="auto"/>
            <w:vAlign w:val="center"/>
          </w:tcPr>
          <w:p w14:paraId="4234EB6D" w14:textId="77777777" w:rsidR="007F3FD9" w:rsidRDefault="007F3FD9" w:rsidP="007F3FD9">
            <w:pPr>
              <w:jc w:val="right"/>
              <w:rPr>
                <w:color w:val="000000"/>
                <w:sz w:val="16"/>
                <w:szCs w:val="16"/>
              </w:rPr>
            </w:pPr>
            <w:r>
              <w:rPr>
                <w:color w:val="000000"/>
                <w:sz w:val="16"/>
                <w:szCs w:val="16"/>
              </w:rPr>
              <w:t>71.6</w:t>
            </w:r>
          </w:p>
        </w:tc>
        <w:tc>
          <w:tcPr>
            <w:tcW w:w="0" w:type="auto"/>
            <w:tcBorders>
              <w:right w:val="single" w:sz="4" w:space="0" w:color="auto"/>
            </w:tcBorders>
            <w:vAlign w:val="center"/>
          </w:tcPr>
          <w:p w14:paraId="03388500" w14:textId="77777777" w:rsidR="007F3FD9" w:rsidRDefault="007F3FD9" w:rsidP="007F3FD9">
            <w:pPr>
              <w:jc w:val="right"/>
              <w:rPr>
                <w:color w:val="000000"/>
                <w:sz w:val="16"/>
                <w:szCs w:val="16"/>
              </w:rPr>
            </w:pPr>
            <w:r>
              <w:rPr>
                <w:color w:val="000000"/>
                <w:sz w:val="16"/>
                <w:szCs w:val="16"/>
              </w:rPr>
              <w:t>(68.6, 74.5)</w:t>
            </w:r>
          </w:p>
        </w:tc>
        <w:tc>
          <w:tcPr>
            <w:tcW w:w="0" w:type="auto"/>
            <w:tcBorders>
              <w:left w:val="single" w:sz="4" w:space="0" w:color="auto"/>
            </w:tcBorders>
            <w:vAlign w:val="center"/>
          </w:tcPr>
          <w:p w14:paraId="2A5300A8" w14:textId="77777777" w:rsidR="007F3FD9" w:rsidRDefault="007F3FD9" w:rsidP="007F3FD9">
            <w:pPr>
              <w:jc w:val="right"/>
              <w:rPr>
                <w:color w:val="000000"/>
                <w:sz w:val="16"/>
                <w:szCs w:val="16"/>
              </w:rPr>
            </w:pPr>
            <w:r>
              <w:rPr>
                <w:color w:val="000000"/>
                <w:sz w:val="16"/>
                <w:szCs w:val="16"/>
              </w:rPr>
              <w:t>254</w:t>
            </w:r>
          </w:p>
        </w:tc>
        <w:tc>
          <w:tcPr>
            <w:tcW w:w="0" w:type="auto"/>
            <w:vAlign w:val="center"/>
          </w:tcPr>
          <w:p w14:paraId="4D4CF497" w14:textId="77777777" w:rsidR="007F3FD9" w:rsidRDefault="007F3FD9" w:rsidP="007F3FD9">
            <w:pPr>
              <w:jc w:val="right"/>
              <w:rPr>
                <w:color w:val="000000"/>
                <w:sz w:val="16"/>
                <w:szCs w:val="16"/>
              </w:rPr>
            </w:pPr>
            <w:r>
              <w:rPr>
                <w:color w:val="000000"/>
                <w:sz w:val="16"/>
                <w:szCs w:val="16"/>
              </w:rPr>
              <w:t>65.7</w:t>
            </w:r>
          </w:p>
        </w:tc>
        <w:tc>
          <w:tcPr>
            <w:tcW w:w="0" w:type="auto"/>
            <w:tcBorders>
              <w:right w:val="single" w:sz="4" w:space="0" w:color="auto"/>
            </w:tcBorders>
            <w:vAlign w:val="center"/>
          </w:tcPr>
          <w:p w14:paraId="1C50213F" w14:textId="77777777" w:rsidR="007F3FD9" w:rsidRDefault="007F3FD9" w:rsidP="007F3FD9">
            <w:pPr>
              <w:jc w:val="right"/>
              <w:rPr>
                <w:color w:val="000000"/>
                <w:sz w:val="16"/>
                <w:szCs w:val="16"/>
              </w:rPr>
            </w:pPr>
            <w:r>
              <w:rPr>
                <w:color w:val="000000"/>
                <w:sz w:val="16"/>
                <w:szCs w:val="16"/>
              </w:rPr>
              <w:t>(61.3, 70.1)</w:t>
            </w:r>
          </w:p>
        </w:tc>
        <w:tc>
          <w:tcPr>
            <w:tcW w:w="0" w:type="auto"/>
            <w:tcBorders>
              <w:left w:val="single" w:sz="4" w:space="0" w:color="auto"/>
            </w:tcBorders>
            <w:vAlign w:val="center"/>
          </w:tcPr>
          <w:p w14:paraId="49181FF0" w14:textId="77777777" w:rsidR="007F3FD9" w:rsidRDefault="007F3FD9" w:rsidP="007F3FD9">
            <w:pPr>
              <w:jc w:val="right"/>
              <w:rPr>
                <w:color w:val="000000"/>
                <w:sz w:val="16"/>
                <w:szCs w:val="16"/>
              </w:rPr>
            </w:pPr>
            <w:r>
              <w:rPr>
                <w:color w:val="000000"/>
                <w:sz w:val="16"/>
                <w:szCs w:val="16"/>
              </w:rPr>
              <w:t>206</w:t>
            </w:r>
          </w:p>
        </w:tc>
        <w:tc>
          <w:tcPr>
            <w:tcW w:w="0" w:type="auto"/>
            <w:vAlign w:val="center"/>
          </w:tcPr>
          <w:p w14:paraId="3D8E20EA" w14:textId="77777777" w:rsidR="007F3FD9" w:rsidRDefault="007F3FD9" w:rsidP="007F3FD9">
            <w:pPr>
              <w:jc w:val="right"/>
              <w:rPr>
                <w:color w:val="000000"/>
                <w:sz w:val="16"/>
                <w:szCs w:val="16"/>
              </w:rPr>
            </w:pPr>
            <w:r>
              <w:rPr>
                <w:color w:val="000000"/>
                <w:sz w:val="16"/>
                <w:szCs w:val="16"/>
              </w:rPr>
              <w:t>63.0</w:t>
            </w:r>
          </w:p>
        </w:tc>
        <w:tc>
          <w:tcPr>
            <w:tcW w:w="0" w:type="auto"/>
            <w:tcBorders>
              <w:right w:val="single" w:sz="4" w:space="0" w:color="auto"/>
            </w:tcBorders>
            <w:vAlign w:val="center"/>
          </w:tcPr>
          <w:p w14:paraId="10918BF9" w14:textId="77777777" w:rsidR="007F3FD9" w:rsidRDefault="007F3FD9" w:rsidP="007F3FD9">
            <w:pPr>
              <w:jc w:val="right"/>
              <w:rPr>
                <w:color w:val="000000"/>
                <w:sz w:val="16"/>
                <w:szCs w:val="16"/>
              </w:rPr>
            </w:pPr>
            <w:r>
              <w:rPr>
                <w:color w:val="000000"/>
                <w:sz w:val="16"/>
                <w:szCs w:val="16"/>
              </w:rPr>
              <w:t>(56.5, 69.4)</w:t>
            </w:r>
          </w:p>
        </w:tc>
        <w:tc>
          <w:tcPr>
            <w:tcW w:w="0" w:type="auto"/>
            <w:tcBorders>
              <w:left w:val="single" w:sz="4" w:space="0" w:color="auto"/>
            </w:tcBorders>
            <w:vAlign w:val="center"/>
          </w:tcPr>
          <w:p w14:paraId="3AB39691" w14:textId="77777777" w:rsidR="007F3FD9" w:rsidRDefault="007F3FD9" w:rsidP="007F3FD9">
            <w:pPr>
              <w:jc w:val="right"/>
              <w:rPr>
                <w:color w:val="000000"/>
                <w:sz w:val="16"/>
                <w:szCs w:val="16"/>
              </w:rPr>
            </w:pPr>
            <w:r>
              <w:rPr>
                <w:color w:val="000000"/>
                <w:sz w:val="16"/>
                <w:szCs w:val="16"/>
              </w:rPr>
              <w:t>190</w:t>
            </w:r>
          </w:p>
        </w:tc>
        <w:tc>
          <w:tcPr>
            <w:tcW w:w="0" w:type="auto"/>
            <w:vAlign w:val="center"/>
          </w:tcPr>
          <w:p w14:paraId="16A3FA9E" w14:textId="77777777" w:rsidR="007F3FD9" w:rsidRDefault="007F3FD9" w:rsidP="007F3FD9">
            <w:pPr>
              <w:jc w:val="right"/>
              <w:rPr>
                <w:color w:val="000000"/>
                <w:sz w:val="16"/>
                <w:szCs w:val="16"/>
              </w:rPr>
            </w:pPr>
            <w:r>
              <w:rPr>
                <w:color w:val="000000"/>
                <w:sz w:val="16"/>
                <w:szCs w:val="16"/>
              </w:rPr>
              <w:t>64.8</w:t>
            </w:r>
          </w:p>
        </w:tc>
        <w:tc>
          <w:tcPr>
            <w:tcW w:w="0" w:type="auto"/>
            <w:vAlign w:val="center"/>
          </w:tcPr>
          <w:p w14:paraId="2BD22CE2" w14:textId="77777777" w:rsidR="007F3FD9" w:rsidRDefault="007F3FD9" w:rsidP="007F3FD9">
            <w:pPr>
              <w:jc w:val="right"/>
              <w:rPr>
                <w:color w:val="000000"/>
                <w:sz w:val="16"/>
                <w:szCs w:val="16"/>
              </w:rPr>
            </w:pPr>
            <w:r>
              <w:rPr>
                <w:color w:val="000000"/>
                <w:sz w:val="16"/>
                <w:szCs w:val="16"/>
              </w:rPr>
              <w:t>(57.2, 72.4)</w:t>
            </w:r>
          </w:p>
        </w:tc>
      </w:tr>
      <w:tr w:rsidR="007F3FD9" w:rsidRPr="007B4EF8" w14:paraId="5D12A7D5" w14:textId="77777777" w:rsidTr="00604260">
        <w:trPr>
          <w:jc w:val="center"/>
        </w:trPr>
        <w:tc>
          <w:tcPr>
            <w:tcW w:w="0" w:type="auto"/>
          </w:tcPr>
          <w:p w14:paraId="4C8CC77F" w14:textId="77777777" w:rsidR="007F3FD9" w:rsidRDefault="007F3FD9" w:rsidP="007F3FD9">
            <w:pPr>
              <w:spacing w:before="20" w:after="20"/>
              <w:ind w:left="34"/>
              <w:rPr>
                <w:rFonts w:eastAsiaTheme="minorEastAsia"/>
                <w:sz w:val="16"/>
                <w:szCs w:val="16"/>
                <w:lang w:eastAsia="en-US"/>
              </w:rPr>
            </w:pPr>
          </w:p>
        </w:tc>
        <w:tc>
          <w:tcPr>
            <w:tcW w:w="0" w:type="auto"/>
          </w:tcPr>
          <w:p w14:paraId="4FCE29C1" w14:textId="77777777" w:rsidR="007F3FD9" w:rsidRPr="001B7431" w:rsidRDefault="007F3FD9" w:rsidP="007F3FD9">
            <w:pPr>
              <w:spacing w:before="20" w:after="20"/>
              <w:ind w:left="34"/>
              <w:rPr>
                <w:rFonts w:eastAsiaTheme="minorEastAsia"/>
                <w:sz w:val="16"/>
                <w:szCs w:val="16"/>
                <w:lang w:eastAsia="en-US"/>
              </w:rPr>
            </w:pPr>
            <w:r>
              <w:rPr>
                <w:rFonts w:eastAsiaTheme="minorEastAsia"/>
                <w:sz w:val="16"/>
                <w:szCs w:val="16"/>
                <w:lang w:eastAsia="en-US"/>
              </w:rPr>
              <w:t>Low-risk gambler</w:t>
            </w:r>
          </w:p>
        </w:tc>
        <w:tc>
          <w:tcPr>
            <w:tcW w:w="0" w:type="auto"/>
            <w:vAlign w:val="center"/>
          </w:tcPr>
          <w:p w14:paraId="3324AA0E" w14:textId="77777777" w:rsidR="007F3FD9" w:rsidRDefault="007F3FD9" w:rsidP="007F3FD9">
            <w:pPr>
              <w:jc w:val="right"/>
              <w:rPr>
                <w:color w:val="000000"/>
                <w:sz w:val="16"/>
                <w:szCs w:val="16"/>
              </w:rPr>
            </w:pPr>
            <w:r>
              <w:rPr>
                <w:color w:val="000000"/>
                <w:sz w:val="16"/>
                <w:szCs w:val="16"/>
              </w:rPr>
              <w:t>51</w:t>
            </w:r>
          </w:p>
        </w:tc>
        <w:tc>
          <w:tcPr>
            <w:tcW w:w="0" w:type="auto"/>
            <w:vAlign w:val="center"/>
          </w:tcPr>
          <w:p w14:paraId="209CA5DE" w14:textId="77777777" w:rsidR="007F3FD9" w:rsidRDefault="007F3FD9" w:rsidP="007F3FD9">
            <w:pPr>
              <w:jc w:val="right"/>
              <w:rPr>
                <w:color w:val="000000"/>
                <w:sz w:val="16"/>
                <w:szCs w:val="16"/>
              </w:rPr>
            </w:pPr>
            <w:r>
              <w:rPr>
                <w:color w:val="000000"/>
                <w:sz w:val="16"/>
                <w:szCs w:val="16"/>
              </w:rPr>
              <w:t>7.8</w:t>
            </w:r>
          </w:p>
        </w:tc>
        <w:tc>
          <w:tcPr>
            <w:tcW w:w="0" w:type="auto"/>
            <w:tcBorders>
              <w:right w:val="single" w:sz="4" w:space="0" w:color="auto"/>
            </w:tcBorders>
            <w:vAlign w:val="center"/>
          </w:tcPr>
          <w:p w14:paraId="3493F3C4" w14:textId="77777777" w:rsidR="007F3FD9" w:rsidRDefault="007F3FD9" w:rsidP="007F3FD9">
            <w:pPr>
              <w:jc w:val="right"/>
              <w:rPr>
                <w:color w:val="000000"/>
                <w:sz w:val="16"/>
                <w:szCs w:val="16"/>
              </w:rPr>
            </w:pPr>
            <w:r>
              <w:rPr>
                <w:color w:val="000000"/>
                <w:sz w:val="16"/>
                <w:szCs w:val="16"/>
              </w:rPr>
              <w:t>(6.0, 9.6)</w:t>
            </w:r>
          </w:p>
        </w:tc>
        <w:tc>
          <w:tcPr>
            <w:tcW w:w="0" w:type="auto"/>
            <w:tcBorders>
              <w:left w:val="single" w:sz="4" w:space="0" w:color="auto"/>
            </w:tcBorders>
            <w:vAlign w:val="center"/>
          </w:tcPr>
          <w:p w14:paraId="2AFB6FEF" w14:textId="77777777" w:rsidR="007F3FD9" w:rsidRDefault="007F3FD9" w:rsidP="007F3FD9">
            <w:pPr>
              <w:jc w:val="right"/>
              <w:rPr>
                <w:color w:val="000000"/>
                <w:sz w:val="16"/>
                <w:szCs w:val="16"/>
              </w:rPr>
            </w:pPr>
            <w:r>
              <w:rPr>
                <w:color w:val="000000"/>
                <w:sz w:val="16"/>
                <w:szCs w:val="16"/>
              </w:rPr>
              <w:t>46</w:t>
            </w:r>
          </w:p>
        </w:tc>
        <w:tc>
          <w:tcPr>
            <w:tcW w:w="0" w:type="auto"/>
            <w:vAlign w:val="center"/>
          </w:tcPr>
          <w:p w14:paraId="0B01F37A" w14:textId="77777777" w:rsidR="007F3FD9" w:rsidRDefault="007F3FD9" w:rsidP="007F3FD9">
            <w:pPr>
              <w:jc w:val="right"/>
              <w:rPr>
                <w:color w:val="000000"/>
                <w:sz w:val="16"/>
                <w:szCs w:val="16"/>
              </w:rPr>
            </w:pPr>
            <w:r>
              <w:rPr>
                <w:color w:val="000000"/>
                <w:sz w:val="16"/>
                <w:szCs w:val="16"/>
              </w:rPr>
              <w:t>11.9</w:t>
            </w:r>
          </w:p>
        </w:tc>
        <w:tc>
          <w:tcPr>
            <w:tcW w:w="0" w:type="auto"/>
            <w:tcBorders>
              <w:right w:val="single" w:sz="4" w:space="0" w:color="auto"/>
            </w:tcBorders>
            <w:vAlign w:val="center"/>
          </w:tcPr>
          <w:p w14:paraId="64E64604" w14:textId="77777777" w:rsidR="007F3FD9" w:rsidRDefault="007F3FD9" w:rsidP="007F3FD9">
            <w:pPr>
              <w:jc w:val="right"/>
              <w:rPr>
                <w:color w:val="000000"/>
                <w:sz w:val="16"/>
                <w:szCs w:val="16"/>
              </w:rPr>
            </w:pPr>
            <w:r>
              <w:rPr>
                <w:color w:val="000000"/>
                <w:sz w:val="16"/>
                <w:szCs w:val="16"/>
              </w:rPr>
              <w:t>(8.9, 14.9)</w:t>
            </w:r>
          </w:p>
        </w:tc>
        <w:tc>
          <w:tcPr>
            <w:tcW w:w="0" w:type="auto"/>
            <w:tcBorders>
              <w:left w:val="single" w:sz="4" w:space="0" w:color="auto"/>
            </w:tcBorders>
            <w:vAlign w:val="center"/>
          </w:tcPr>
          <w:p w14:paraId="7118F838" w14:textId="77777777" w:rsidR="007F3FD9" w:rsidRDefault="007F3FD9" w:rsidP="007F3FD9">
            <w:pPr>
              <w:jc w:val="right"/>
              <w:rPr>
                <w:color w:val="000000"/>
                <w:sz w:val="16"/>
                <w:szCs w:val="16"/>
              </w:rPr>
            </w:pPr>
            <w:r>
              <w:rPr>
                <w:color w:val="000000"/>
                <w:sz w:val="16"/>
                <w:szCs w:val="16"/>
              </w:rPr>
              <w:t>31</w:t>
            </w:r>
          </w:p>
        </w:tc>
        <w:tc>
          <w:tcPr>
            <w:tcW w:w="0" w:type="auto"/>
            <w:vAlign w:val="center"/>
          </w:tcPr>
          <w:p w14:paraId="65F76458" w14:textId="77777777" w:rsidR="007F3FD9" w:rsidRDefault="007F3FD9" w:rsidP="007F3FD9">
            <w:pPr>
              <w:jc w:val="right"/>
              <w:rPr>
                <w:color w:val="000000"/>
                <w:sz w:val="16"/>
                <w:szCs w:val="16"/>
              </w:rPr>
            </w:pPr>
            <w:r>
              <w:rPr>
                <w:color w:val="000000"/>
                <w:sz w:val="16"/>
                <w:szCs w:val="16"/>
              </w:rPr>
              <w:t>9.5</w:t>
            </w:r>
          </w:p>
        </w:tc>
        <w:tc>
          <w:tcPr>
            <w:tcW w:w="0" w:type="auto"/>
            <w:tcBorders>
              <w:right w:val="single" w:sz="4" w:space="0" w:color="auto"/>
            </w:tcBorders>
            <w:vAlign w:val="center"/>
          </w:tcPr>
          <w:p w14:paraId="5ED1624D" w14:textId="77777777" w:rsidR="007F3FD9" w:rsidRDefault="007F3FD9" w:rsidP="007F3FD9">
            <w:pPr>
              <w:jc w:val="right"/>
              <w:rPr>
                <w:color w:val="000000"/>
                <w:sz w:val="16"/>
                <w:szCs w:val="16"/>
              </w:rPr>
            </w:pPr>
            <w:r>
              <w:rPr>
                <w:color w:val="000000"/>
                <w:sz w:val="16"/>
                <w:szCs w:val="16"/>
              </w:rPr>
              <w:t>(5.2, 13.7)</w:t>
            </w:r>
          </w:p>
        </w:tc>
        <w:tc>
          <w:tcPr>
            <w:tcW w:w="0" w:type="auto"/>
            <w:tcBorders>
              <w:left w:val="single" w:sz="4" w:space="0" w:color="auto"/>
            </w:tcBorders>
            <w:vAlign w:val="center"/>
          </w:tcPr>
          <w:p w14:paraId="21B5181D" w14:textId="77777777" w:rsidR="007F3FD9" w:rsidRDefault="007F3FD9" w:rsidP="007F3FD9">
            <w:pPr>
              <w:jc w:val="right"/>
              <w:rPr>
                <w:color w:val="000000"/>
                <w:sz w:val="16"/>
                <w:szCs w:val="16"/>
              </w:rPr>
            </w:pPr>
            <w:r>
              <w:rPr>
                <w:color w:val="000000"/>
                <w:sz w:val="16"/>
                <w:szCs w:val="16"/>
              </w:rPr>
              <w:t>19</w:t>
            </w:r>
          </w:p>
        </w:tc>
        <w:tc>
          <w:tcPr>
            <w:tcW w:w="0" w:type="auto"/>
            <w:vAlign w:val="center"/>
          </w:tcPr>
          <w:p w14:paraId="3B6AD8D7" w14:textId="77777777" w:rsidR="007F3FD9" w:rsidRDefault="007F3FD9" w:rsidP="007F3FD9">
            <w:pPr>
              <w:jc w:val="right"/>
              <w:rPr>
                <w:color w:val="000000"/>
                <w:sz w:val="16"/>
                <w:szCs w:val="16"/>
              </w:rPr>
            </w:pPr>
            <w:r>
              <w:rPr>
                <w:color w:val="000000"/>
                <w:sz w:val="16"/>
                <w:szCs w:val="16"/>
              </w:rPr>
              <w:t>6.4</w:t>
            </w:r>
          </w:p>
        </w:tc>
        <w:tc>
          <w:tcPr>
            <w:tcW w:w="0" w:type="auto"/>
            <w:vAlign w:val="center"/>
          </w:tcPr>
          <w:p w14:paraId="0D0D94D0" w14:textId="77777777" w:rsidR="007F3FD9" w:rsidRDefault="007F3FD9" w:rsidP="007F3FD9">
            <w:pPr>
              <w:jc w:val="right"/>
              <w:rPr>
                <w:color w:val="000000"/>
                <w:sz w:val="16"/>
                <w:szCs w:val="16"/>
              </w:rPr>
            </w:pPr>
            <w:r>
              <w:rPr>
                <w:color w:val="000000"/>
                <w:sz w:val="16"/>
                <w:szCs w:val="16"/>
              </w:rPr>
              <w:t>(4.0, 8.9)</w:t>
            </w:r>
          </w:p>
        </w:tc>
      </w:tr>
      <w:tr w:rsidR="007F3FD9" w:rsidRPr="007B4EF8" w14:paraId="52682B39" w14:textId="77777777" w:rsidTr="00604260">
        <w:trPr>
          <w:jc w:val="center"/>
        </w:trPr>
        <w:tc>
          <w:tcPr>
            <w:tcW w:w="0" w:type="auto"/>
          </w:tcPr>
          <w:p w14:paraId="2FBD8007" w14:textId="77777777" w:rsidR="007F3FD9" w:rsidRDefault="007F3FD9" w:rsidP="007F3FD9">
            <w:pPr>
              <w:spacing w:before="20" w:after="20"/>
              <w:ind w:left="34"/>
              <w:rPr>
                <w:rFonts w:eastAsiaTheme="minorEastAsia"/>
                <w:sz w:val="16"/>
                <w:szCs w:val="16"/>
                <w:lang w:eastAsia="en-US"/>
              </w:rPr>
            </w:pPr>
          </w:p>
        </w:tc>
        <w:tc>
          <w:tcPr>
            <w:tcW w:w="0" w:type="auto"/>
          </w:tcPr>
          <w:p w14:paraId="13E56ABB" w14:textId="77777777" w:rsidR="007F3FD9" w:rsidRPr="001B7431" w:rsidRDefault="007F3FD9" w:rsidP="007F3FD9">
            <w:pPr>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0" w:type="auto"/>
            <w:vAlign w:val="center"/>
          </w:tcPr>
          <w:p w14:paraId="633C47C5" w14:textId="77777777" w:rsidR="007F3FD9" w:rsidRDefault="007F3FD9" w:rsidP="007F3FD9">
            <w:pPr>
              <w:jc w:val="right"/>
              <w:rPr>
                <w:color w:val="000000"/>
                <w:sz w:val="16"/>
                <w:szCs w:val="16"/>
              </w:rPr>
            </w:pPr>
            <w:r>
              <w:rPr>
                <w:color w:val="000000"/>
                <w:sz w:val="16"/>
                <w:szCs w:val="16"/>
              </w:rPr>
              <w:t>39</w:t>
            </w:r>
          </w:p>
        </w:tc>
        <w:tc>
          <w:tcPr>
            <w:tcW w:w="0" w:type="auto"/>
            <w:vAlign w:val="center"/>
          </w:tcPr>
          <w:p w14:paraId="1A9A477B" w14:textId="77777777" w:rsidR="007F3FD9" w:rsidRDefault="007F3FD9" w:rsidP="007F3FD9">
            <w:pPr>
              <w:jc w:val="right"/>
              <w:rPr>
                <w:color w:val="000000"/>
                <w:sz w:val="16"/>
                <w:szCs w:val="16"/>
              </w:rPr>
            </w:pPr>
            <w:r>
              <w:rPr>
                <w:color w:val="000000"/>
                <w:sz w:val="16"/>
                <w:szCs w:val="16"/>
              </w:rPr>
              <w:t>6.0</w:t>
            </w:r>
          </w:p>
        </w:tc>
        <w:tc>
          <w:tcPr>
            <w:tcW w:w="0" w:type="auto"/>
            <w:tcBorders>
              <w:right w:val="single" w:sz="4" w:space="0" w:color="auto"/>
            </w:tcBorders>
            <w:vAlign w:val="center"/>
          </w:tcPr>
          <w:p w14:paraId="2BB4F747" w14:textId="77777777" w:rsidR="007F3FD9" w:rsidRDefault="007F3FD9" w:rsidP="007F3FD9">
            <w:pPr>
              <w:jc w:val="right"/>
              <w:rPr>
                <w:color w:val="000000"/>
                <w:sz w:val="16"/>
                <w:szCs w:val="16"/>
              </w:rPr>
            </w:pPr>
            <w:r>
              <w:rPr>
                <w:color w:val="000000"/>
                <w:sz w:val="16"/>
                <w:szCs w:val="16"/>
              </w:rPr>
              <w:t>(4.5, 7.5)</w:t>
            </w:r>
          </w:p>
        </w:tc>
        <w:tc>
          <w:tcPr>
            <w:tcW w:w="0" w:type="auto"/>
            <w:tcBorders>
              <w:left w:val="single" w:sz="4" w:space="0" w:color="auto"/>
            </w:tcBorders>
            <w:vAlign w:val="center"/>
          </w:tcPr>
          <w:p w14:paraId="587F1E1B" w14:textId="77777777" w:rsidR="007F3FD9" w:rsidRDefault="007F3FD9" w:rsidP="007F3FD9">
            <w:pPr>
              <w:jc w:val="right"/>
              <w:rPr>
                <w:color w:val="000000"/>
                <w:sz w:val="16"/>
                <w:szCs w:val="16"/>
              </w:rPr>
            </w:pPr>
            <w:r>
              <w:rPr>
                <w:color w:val="000000"/>
                <w:sz w:val="16"/>
                <w:szCs w:val="16"/>
              </w:rPr>
              <w:t>23</w:t>
            </w:r>
          </w:p>
        </w:tc>
        <w:tc>
          <w:tcPr>
            <w:tcW w:w="0" w:type="auto"/>
            <w:vAlign w:val="center"/>
          </w:tcPr>
          <w:p w14:paraId="1FB2DE4F" w14:textId="77777777" w:rsidR="007F3FD9" w:rsidRDefault="007F3FD9" w:rsidP="007F3FD9">
            <w:pPr>
              <w:jc w:val="right"/>
              <w:rPr>
                <w:color w:val="000000"/>
                <w:sz w:val="16"/>
                <w:szCs w:val="16"/>
              </w:rPr>
            </w:pPr>
            <w:r>
              <w:rPr>
                <w:color w:val="000000"/>
                <w:sz w:val="16"/>
                <w:szCs w:val="16"/>
              </w:rPr>
              <w:t>6.0</w:t>
            </w:r>
          </w:p>
        </w:tc>
        <w:tc>
          <w:tcPr>
            <w:tcW w:w="0" w:type="auto"/>
            <w:tcBorders>
              <w:right w:val="single" w:sz="4" w:space="0" w:color="auto"/>
            </w:tcBorders>
            <w:vAlign w:val="center"/>
          </w:tcPr>
          <w:p w14:paraId="2C0730C7" w14:textId="77777777" w:rsidR="007F3FD9" w:rsidRDefault="007F3FD9" w:rsidP="007F3FD9">
            <w:pPr>
              <w:jc w:val="right"/>
              <w:rPr>
                <w:color w:val="000000"/>
                <w:sz w:val="16"/>
                <w:szCs w:val="16"/>
              </w:rPr>
            </w:pPr>
            <w:r>
              <w:rPr>
                <w:color w:val="000000"/>
                <w:sz w:val="16"/>
                <w:szCs w:val="16"/>
              </w:rPr>
              <w:t>(3.8, 8.2)</w:t>
            </w:r>
          </w:p>
        </w:tc>
        <w:tc>
          <w:tcPr>
            <w:tcW w:w="0" w:type="auto"/>
            <w:tcBorders>
              <w:left w:val="single" w:sz="4" w:space="0" w:color="auto"/>
            </w:tcBorders>
            <w:vAlign w:val="center"/>
          </w:tcPr>
          <w:p w14:paraId="2AE6FEFD" w14:textId="77777777" w:rsidR="007F3FD9" w:rsidRDefault="007F3FD9" w:rsidP="007F3FD9">
            <w:pPr>
              <w:jc w:val="right"/>
              <w:rPr>
                <w:color w:val="000000"/>
                <w:sz w:val="16"/>
                <w:szCs w:val="16"/>
              </w:rPr>
            </w:pPr>
            <w:r>
              <w:rPr>
                <w:color w:val="000000"/>
                <w:sz w:val="16"/>
                <w:szCs w:val="16"/>
              </w:rPr>
              <w:t>21</w:t>
            </w:r>
          </w:p>
        </w:tc>
        <w:tc>
          <w:tcPr>
            <w:tcW w:w="0" w:type="auto"/>
            <w:vAlign w:val="center"/>
          </w:tcPr>
          <w:p w14:paraId="7AD0E854" w14:textId="77777777" w:rsidR="007F3FD9" w:rsidRDefault="007F3FD9" w:rsidP="007F3FD9">
            <w:pPr>
              <w:jc w:val="right"/>
              <w:rPr>
                <w:color w:val="000000"/>
                <w:sz w:val="16"/>
                <w:szCs w:val="16"/>
              </w:rPr>
            </w:pPr>
            <w:r>
              <w:rPr>
                <w:color w:val="000000"/>
                <w:sz w:val="16"/>
                <w:szCs w:val="16"/>
              </w:rPr>
              <w:t>6.3</w:t>
            </w:r>
          </w:p>
        </w:tc>
        <w:tc>
          <w:tcPr>
            <w:tcW w:w="0" w:type="auto"/>
            <w:tcBorders>
              <w:right w:val="single" w:sz="4" w:space="0" w:color="auto"/>
            </w:tcBorders>
            <w:vAlign w:val="center"/>
          </w:tcPr>
          <w:p w14:paraId="3B6DD61A" w14:textId="77777777" w:rsidR="007F3FD9" w:rsidRDefault="007F3FD9" w:rsidP="007F3FD9">
            <w:pPr>
              <w:jc w:val="right"/>
              <w:rPr>
                <w:color w:val="000000"/>
                <w:sz w:val="16"/>
                <w:szCs w:val="16"/>
              </w:rPr>
            </w:pPr>
            <w:r>
              <w:rPr>
                <w:color w:val="000000"/>
                <w:sz w:val="16"/>
                <w:szCs w:val="16"/>
              </w:rPr>
              <w:t>(4.0, 8.5)</w:t>
            </w:r>
          </w:p>
        </w:tc>
        <w:tc>
          <w:tcPr>
            <w:tcW w:w="0" w:type="auto"/>
            <w:tcBorders>
              <w:left w:val="single" w:sz="4" w:space="0" w:color="auto"/>
            </w:tcBorders>
            <w:vAlign w:val="center"/>
          </w:tcPr>
          <w:p w14:paraId="7FBB7962" w14:textId="77777777" w:rsidR="007F3FD9" w:rsidRDefault="007F3FD9" w:rsidP="007F3FD9">
            <w:pPr>
              <w:jc w:val="right"/>
              <w:rPr>
                <w:color w:val="000000"/>
                <w:sz w:val="16"/>
                <w:szCs w:val="16"/>
              </w:rPr>
            </w:pPr>
            <w:r>
              <w:rPr>
                <w:color w:val="000000"/>
                <w:sz w:val="16"/>
                <w:szCs w:val="16"/>
              </w:rPr>
              <w:t>25</w:t>
            </w:r>
          </w:p>
        </w:tc>
        <w:tc>
          <w:tcPr>
            <w:tcW w:w="0" w:type="auto"/>
            <w:vAlign w:val="center"/>
          </w:tcPr>
          <w:p w14:paraId="562CB1EA" w14:textId="77777777" w:rsidR="007F3FD9" w:rsidRDefault="007F3FD9" w:rsidP="007F3FD9">
            <w:pPr>
              <w:jc w:val="right"/>
              <w:rPr>
                <w:color w:val="000000"/>
                <w:sz w:val="16"/>
                <w:szCs w:val="16"/>
              </w:rPr>
            </w:pPr>
            <w:r>
              <w:rPr>
                <w:color w:val="000000"/>
                <w:sz w:val="16"/>
                <w:szCs w:val="16"/>
              </w:rPr>
              <w:t>8.6</w:t>
            </w:r>
          </w:p>
        </w:tc>
        <w:tc>
          <w:tcPr>
            <w:tcW w:w="0" w:type="auto"/>
            <w:vAlign w:val="center"/>
          </w:tcPr>
          <w:p w14:paraId="0BB24E07" w14:textId="77777777" w:rsidR="007F3FD9" w:rsidRDefault="007F3FD9" w:rsidP="007F3FD9">
            <w:pPr>
              <w:jc w:val="right"/>
              <w:rPr>
                <w:color w:val="000000"/>
                <w:sz w:val="16"/>
                <w:szCs w:val="16"/>
              </w:rPr>
            </w:pPr>
            <w:r>
              <w:rPr>
                <w:color w:val="000000"/>
                <w:sz w:val="16"/>
                <w:szCs w:val="16"/>
              </w:rPr>
              <w:t>(3.6, 13.6)</w:t>
            </w:r>
          </w:p>
        </w:tc>
      </w:tr>
      <w:tr w:rsidR="007F3FD9" w:rsidRPr="007B4EF8" w14:paraId="2D229C82" w14:textId="77777777" w:rsidTr="00604260">
        <w:trPr>
          <w:jc w:val="center"/>
        </w:trPr>
        <w:tc>
          <w:tcPr>
            <w:tcW w:w="0" w:type="auto"/>
            <w:tcBorders>
              <w:bottom w:val="single" w:sz="4" w:space="0" w:color="auto"/>
            </w:tcBorders>
          </w:tcPr>
          <w:p w14:paraId="014F0AE5" w14:textId="77777777" w:rsidR="007F3FD9" w:rsidRDefault="007F3FD9" w:rsidP="007F3FD9">
            <w:pPr>
              <w:spacing w:before="20" w:after="20"/>
              <w:ind w:left="34"/>
              <w:rPr>
                <w:rFonts w:eastAsiaTheme="minorEastAsia"/>
                <w:sz w:val="16"/>
                <w:szCs w:val="16"/>
                <w:lang w:eastAsia="en-US"/>
              </w:rPr>
            </w:pPr>
          </w:p>
        </w:tc>
        <w:tc>
          <w:tcPr>
            <w:tcW w:w="0" w:type="auto"/>
            <w:tcBorders>
              <w:bottom w:val="single" w:sz="4" w:space="0" w:color="auto"/>
            </w:tcBorders>
          </w:tcPr>
          <w:p w14:paraId="506196DB" w14:textId="77777777" w:rsidR="007F3FD9" w:rsidRPr="001B7431" w:rsidRDefault="007F3FD9" w:rsidP="007F3FD9">
            <w:pPr>
              <w:spacing w:before="20" w:after="20"/>
              <w:ind w:left="34"/>
              <w:rPr>
                <w:rFonts w:eastAsiaTheme="minorEastAsia"/>
                <w:sz w:val="16"/>
                <w:szCs w:val="16"/>
                <w:lang w:eastAsia="en-US"/>
              </w:rPr>
            </w:pPr>
            <w:r>
              <w:rPr>
                <w:rFonts w:eastAsiaTheme="minorEastAsia"/>
                <w:sz w:val="16"/>
                <w:szCs w:val="16"/>
                <w:lang w:eastAsia="en-US"/>
              </w:rPr>
              <w:t>No gambling in past year</w:t>
            </w:r>
          </w:p>
        </w:tc>
        <w:tc>
          <w:tcPr>
            <w:tcW w:w="0" w:type="auto"/>
            <w:tcBorders>
              <w:bottom w:val="single" w:sz="4" w:space="0" w:color="auto"/>
            </w:tcBorders>
            <w:vAlign w:val="center"/>
          </w:tcPr>
          <w:p w14:paraId="4AE53B15" w14:textId="77777777" w:rsidR="007F3FD9" w:rsidRDefault="007F3FD9" w:rsidP="007F3FD9">
            <w:pPr>
              <w:jc w:val="right"/>
              <w:rPr>
                <w:color w:val="000000"/>
                <w:sz w:val="16"/>
                <w:szCs w:val="16"/>
              </w:rPr>
            </w:pPr>
            <w:r>
              <w:rPr>
                <w:color w:val="000000"/>
                <w:sz w:val="16"/>
                <w:szCs w:val="16"/>
              </w:rPr>
              <w:t>95</w:t>
            </w:r>
          </w:p>
        </w:tc>
        <w:tc>
          <w:tcPr>
            <w:tcW w:w="0" w:type="auto"/>
            <w:tcBorders>
              <w:bottom w:val="single" w:sz="4" w:space="0" w:color="auto"/>
            </w:tcBorders>
            <w:vAlign w:val="center"/>
          </w:tcPr>
          <w:p w14:paraId="57186CAB" w14:textId="77777777" w:rsidR="007F3FD9" w:rsidRDefault="007F3FD9" w:rsidP="007F3FD9">
            <w:pPr>
              <w:jc w:val="right"/>
              <w:rPr>
                <w:color w:val="000000"/>
                <w:sz w:val="16"/>
                <w:szCs w:val="16"/>
              </w:rPr>
            </w:pPr>
            <w:r>
              <w:rPr>
                <w:color w:val="000000"/>
                <w:sz w:val="16"/>
                <w:szCs w:val="16"/>
              </w:rPr>
              <w:t>14.6</w:t>
            </w:r>
          </w:p>
        </w:tc>
        <w:tc>
          <w:tcPr>
            <w:tcW w:w="0" w:type="auto"/>
            <w:tcBorders>
              <w:bottom w:val="single" w:sz="4" w:space="0" w:color="auto"/>
              <w:right w:val="single" w:sz="4" w:space="0" w:color="auto"/>
            </w:tcBorders>
            <w:vAlign w:val="center"/>
          </w:tcPr>
          <w:p w14:paraId="5F0DC65E" w14:textId="77777777" w:rsidR="007F3FD9" w:rsidRDefault="007F3FD9" w:rsidP="007F3FD9">
            <w:pPr>
              <w:jc w:val="right"/>
              <w:rPr>
                <w:color w:val="000000"/>
                <w:sz w:val="16"/>
                <w:szCs w:val="16"/>
              </w:rPr>
            </w:pPr>
            <w:r>
              <w:rPr>
                <w:color w:val="000000"/>
                <w:sz w:val="16"/>
                <w:szCs w:val="16"/>
              </w:rPr>
              <w:t>(12.3, 17.0)</w:t>
            </w:r>
          </w:p>
        </w:tc>
        <w:tc>
          <w:tcPr>
            <w:tcW w:w="0" w:type="auto"/>
            <w:tcBorders>
              <w:left w:val="single" w:sz="4" w:space="0" w:color="auto"/>
              <w:bottom w:val="single" w:sz="4" w:space="0" w:color="auto"/>
            </w:tcBorders>
            <w:vAlign w:val="center"/>
          </w:tcPr>
          <w:p w14:paraId="2E7FF3B8" w14:textId="77777777" w:rsidR="007F3FD9" w:rsidRDefault="007F3FD9" w:rsidP="007F3FD9">
            <w:pPr>
              <w:jc w:val="right"/>
              <w:rPr>
                <w:color w:val="000000"/>
                <w:sz w:val="16"/>
                <w:szCs w:val="16"/>
              </w:rPr>
            </w:pPr>
            <w:r>
              <w:rPr>
                <w:color w:val="000000"/>
                <w:sz w:val="16"/>
                <w:szCs w:val="16"/>
              </w:rPr>
              <w:t>63</w:t>
            </w:r>
          </w:p>
        </w:tc>
        <w:tc>
          <w:tcPr>
            <w:tcW w:w="0" w:type="auto"/>
            <w:tcBorders>
              <w:bottom w:val="single" w:sz="4" w:space="0" w:color="auto"/>
            </w:tcBorders>
            <w:vAlign w:val="center"/>
          </w:tcPr>
          <w:p w14:paraId="7DB59F13" w14:textId="77777777" w:rsidR="007F3FD9" w:rsidRDefault="007F3FD9" w:rsidP="007F3FD9">
            <w:pPr>
              <w:jc w:val="right"/>
              <w:rPr>
                <w:color w:val="000000"/>
                <w:sz w:val="16"/>
                <w:szCs w:val="16"/>
              </w:rPr>
            </w:pPr>
            <w:r>
              <w:rPr>
                <w:color w:val="000000"/>
                <w:sz w:val="16"/>
                <w:szCs w:val="16"/>
              </w:rPr>
              <w:t>16.3</w:t>
            </w:r>
          </w:p>
        </w:tc>
        <w:tc>
          <w:tcPr>
            <w:tcW w:w="0" w:type="auto"/>
            <w:tcBorders>
              <w:bottom w:val="single" w:sz="4" w:space="0" w:color="auto"/>
              <w:right w:val="single" w:sz="4" w:space="0" w:color="auto"/>
            </w:tcBorders>
            <w:vAlign w:val="center"/>
          </w:tcPr>
          <w:p w14:paraId="3BA495D0" w14:textId="77777777" w:rsidR="007F3FD9" w:rsidRDefault="007F3FD9" w:rsidP="007F3FD9">
            <w:pPr>
              <w:jc w:val="right"/>
              <w:rPr>
                <w:color w:val="000000"/>
                <w:sz w:val="16"/>
                <w:szCs w:val="16"/>
              </w:rPr>
            </w:pPr>
            <w:r>
              <w:rPr>
                <w:color w:val="000000"/>
                <w:sz w:val="16"/>
                <w:szCs w:val="16"/>
              </w:rPr>
              <w:t>(12.8, 19.8)</w:t>
            </w:r>
          </w:p>
        </w:tc>
        <w:tc>
          <w:tcPr>
            <w:tcW w:w="0" w:type="auto"/>
            <w:tcBorders>
              <w:left w:val="single" w:sz="4" w:space="0" w:color="auto"/>
              <w:bottom w:val="single" w:sz="4" w:space="0" w:color="auto"/>
            </w:tcBorders>
            <w:vAlign w:val="center"/>
          </w:tcPr>
          <w:p w14:paraId="3414146B" w14:textId="77777777" w:rsidR="007F3FD9" w:rsidRDefault="007F3FD9" w:rsidP="007F3FD9">
            <w:pPr>
              <w:jc w:val="right"/>
              <w:rPr>
                <w:color w:val="000000"/>
                <w:sz w:val="16"/>
                <w:szCs w:val="16"/>
              </w:rPr>
            </w:pPr>
            <w:r>
              <w:rPr>
                <w:color w:val="000000"/>
                <w:sz w:val="16"/>
                <w:szCs w:val="16"/>
              </w:rPr>
              <w:t>70</w:t>
            </w:r>
          </w:p>
        </w:tc>
        <w:tc>
          <w:tcPr>
            <w:tcW w:w="0" w:type="auto"/>
            <w:tcBorders>
              <w:bottom w:val="single" w:sz="4" w:space="0" w:color="auto"/>
            </w:tcBorders>
            <w:vAlign w:val="center"/>
          </w:tcPr>
          <w:p w14:paraId="01602E22" w14:textId="77777777" w:rsidR="007F3FD9" w:rsidRDefault="007F3FD9" w:rsidP="007F3FD9">
            <w:pPr>
              <w:jc w:val="right"/>
              <w:rPr>
                <w:color w:val="000000"/>
                <w:sz w:val="16"/>
                <w:szCs w:val="16"/>
              </w:rPr>
            </w:pPr>
            <w:r>
              <w:rPr>
                <w:color w:val="000000"/>
                <w:sz w:val="16"/>
                <w:szCs w:val="16"/>
              </w:rPr>
              <w:t>21.3</w:t>
            </w:r>
          </w:p>
        </w:tc>
        <w:tc>
          <w:tcPr>
            <w:tcW w:w="0" w:type="auto"/>
            <w:tcBorders>
              <w:bottom w:val="single" w:sz="4" w:space="0" w:color="auto"/>
              <w:right w:val="single" w:sz="4" w:space="0" w:color="auto"/>
            </w:tcBorders>
            <w:vAlign w:val="center"/>
          </w:tcPr>
          <w:p w14:paraId="61D678FC" w14:textId="77777777" w:rsidR="007F3FD9" w:rsidRDefault="007F3FD9" w:rsidP="007F3FD9">
            <w:pPr>
              <w:jc w:val="right"/>
              <w:rPr>
                <w:color w:val="000000"/>
                <w:sz w:val="16"/>
                <w:szCs w:val="16"/>
              </w:rPr>
            </w:pPr>
            <w:r>
              <w:rPr>
                <w:color w:val="000000"/>
                <w:sz w:val="16"/>
                <w:szCs w:val="16"/>
              </w:rPr>
              <w:t>(15.0, 27.6)</w:t>
            </w:r>
          </w:p>
        </w:tc>
        <w:tc>
          <w:tcPr>
            <w:tcW w:w="0" w:type="auto"/>
            <w:tcBorders>
              <w:left w:val="single" w:sz="4" w:space="0" w:color="auto"/>
              <w:bottom w:val="single" w:sz="4" w:space="0" w:color="auto"/>
            </w:tcBorders>
            <w:vAlign w:val="center"/>
          </w:tcPr>
          <w:p w14:paraId="7BEC42F2" w14:textId="77777777" w:rsidR="007F3FD9" w:rsidRDefault="007F3FD9" w:rsidP="007F3FD9">
            <w:pPr>
              <w:jc w:val="right"/>
              <w:rPr>
                <w:color w:val="000000"/>
                <w:sz w:val="16"/>
                <w:szCs w:val="16"/>
              </w:rPr>
            </w:pPr>
            <w:r>
              <w:rPr>
                <w:color w:val="000000"/>
                <w:sz w:val="16"/>
                <w:szCs w:val="16"/>
              </w:rPr>
              <w:t>59</w:t>
            </w:r>
          </w:p>
        </w:tc>
        <w:tc>
          <w:tcPr>
            <w:tcW w:w="0" w:type="auto"/>
            <w:tcBorders>
              <w:bottom w:val="single" w:sz="4" w:space="0" w:color="auto"/>
            </w:tcBorders>
            <w:vAlign w:val="center"/>
          </w:tcPr>
          <w:p w14:paraId="31D13CB2" w14:textId="77777777" w:rsidR="007F3FD9" w:rsidRDefault="007F3FD9" w:rsidP="007F3FD9">
            <w:pPr>
              <w:jc w:val="right"/>
              <w:rPr>
                <w:color w:val="000000"/>
                <w:sz w:val="16"/>
                <w:szCs w:val="16"/>
              </w:rPr>
            </w:pPr>
            <w:r>
              <w:rPr>
                <w:color w:val="000000"/>
                <w:sz w:val="16"/>
                <w:szCs w:val="16"/>
              </w:rPr>
              <w:t>20.2</w:t>
            </w:r>
          </w:p>
        </w:tc>
        <w:tc>
          <w:tcPr>
            <w:tcW w:w="0" w:type="auto"/>
            <w:tcBorders>
              <w:bottom w:val="single" w:sz="4" w:space="0" w:color="auto"/>
            </w:tcBorders>
            <w:vAlign w:val="center"/>
          </w:tcPr>
          <w:p w14:paraId="43123907" w14:textId="77777777" w:rsidR="007F3FD9" w:rsidRDefault="007F3FD9" w:rsidP="007F3FD9">
            <w:pPr>
              <w:jc w:val="right"/>
              <w:rPr>
                <w:color w:val="000000"/>
                <w:sz w:val="16"/>
                <w:szCs w:val="16"/>
              </w:rPr>
            </w:pPr>
            <w:r>
              <w:rPr>
                <w:color w:val="000000"/>
                <w:sz w:val="16"/>
                <w:szCs w:val="16"/>
              </w:rPr>
              <w:t>(12.7, 27.7)</w:t>
            </w:r>
          </w:p>
        </w:tc>
      </w:tr>
      <w:tr w:rsidR="007F3FD9" w:rsidRPr="007B4EF8" w14:paraId="505CB673" w14:textId="77777777" w:rsidTr="00604260">
        <w:trPr>
          <w:jc w:val="center"/>
        </w:trPr>
        <w:tc>
          <w:tcPr>
            <w:tcW w:w="0" w:type="auto"/>
            <w:tcBorders>
              <w:top w:val="single" w:sz="4" w:space="0" w:color="auto"/>
            </w:tcBorders>
          </w:tcPr>
          <w:p w14:paraId="23DAEE56" w14:textId="77777777" w:rsidR="007F3FD9" w:rsidRDefault="007F3FD9" w:rsidP="00221FB6">
            <w:pPr>
              <w:keepNext/>
              <w:spacing w:before="20" w:after="20"/>
              <w:ind w:left="34"/>
              <w:rPr>
                <w:rFonts w:eastAsiaTheme="minorEastAsia"/>
                <w:sz w:val="16"/>
                <w:szCs w:val="16"/>
                <w:lang w:eastAsia="en-US"/>
              </w:rPr>
            </w:pPr>
            <w:r>
              <w:rPr>
                <w:rFonts w:eastAsiaTheme="minorEastAsia"/>
                <w:sz w:val="16"/>
                <w:szCs w:val="16"/>
                <w:lang w:eastAsia="en-US"/>
              </w:rPr>
              <w:t>Pacific</w:t>
            </w:r>
          </w:p>
        </w:tc>
        <w:tc>
          <w:tcPr>
            <w:tcW w:w="0" w:type="auto"/>
            <w:tcBorders>
              <w:top w:val="single" w:sz="4" w:space="0" w:color="auto"/>
            </w:tcBorders>
          </w:tcPr>
          <w:p w14:paraId="20F61B2E" w14:textId="77777777" w:rsidR="007F3FD9" w:rsidRPr="001B7431" w:rsidRDefault="007F3FD9" w:rsidP="00221FB6">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0" w:type="auto"/>
            <w:tcBorders>
              <w:top w:val="single" w:sz="4" w:space="0" w:color="auto"/>
            </w:tcBorders>
            <w:vAlign w:val="center"/>
          </w:tcPr>
          <w:p w14:paraId="1C7D878F" w14:textId="77777777" w:rsidR="007F3FD9" w:rsidRDefault="007F3FD9" w:rsidP="00221FB6">
            <w:pPr>
              <w:keepNext/>
              <w:jc w:val="right"/>
              <w:rPr>
                <w:color w:val="000000"/>
                <w:sz w:val="16"/>
                <w:szCs w:val="16"/>
              </w:rPr>
            </w:pPr>
            <w:r>
              <w:rPr>
                <w:color w:val="000000"/>
                <w:sz w:val="16"/>
                <w:szCs w:val="16"/>
              </w:rPr>
              <w:t>178</w:t>
            </w:r>
          </w:p>
        </w:tc>
        <w:tc>
          <w:tcPr>
            <w:tcW w:w="0" w:type="auto"/>
            <w:tcBorders>
              <w:top w:val="single" w:sz="4" w:space="0" w:color="auto"/>
            </w:tcBorders>
            <w:vAlign w:val="center"/>
          </w:tcPr>
          <w:p w14:paraId="16C6363E" w14:textId="77777777" w:rsidR="007F3FD9" w:rsidRDefault="007F3FD9" w:rsidP="00221FB6">
            <w:pPr>
              <w:keepNext/>
              <w:jc w:val="right"/>
              <w:rPr>
                <w:color w:val="000000"/>
                <w:sz w:val="16"/>
                <w:szCs w:val="16"/>
              </w:rPr>
            </w:pPr>
            <w:r>
              <w:rPr>
                <w:color w:val="000000"/>
                <w:sz w:val="16"/>
                <w:szCs w:val="16"/>
              </w:rPr>
              <w:t>57.5</w:t>
            </w:r>
          </w:p>
        </w:tc>
        <w:tc>
          <w:tcPr>
            <w:tcW w:w="0" w:type="auto"/>
            <w:tcBorders>
              <w:top w:val="single" w:sz="4" w:space="0" w:color="auto"/>
              <w:right w:val="single" w:sz="4" w:space="0" w:color="auto"/>
            </w:tcBorders>
            <w:vAlign w:val="center"/>
          </w:tcPr>
          <w:p w14:paraId="4D1BB254" w14:textId="77777777" w:rsidR="007F3FD9" w:rsidRDefault="007F3FD9" w:rsidP="00221FB6">
            <w:pPr>
              <w:keepNext/>
              <w:jc w:val="right"/>
              <w:rPr>
                <w:color w:val="000000"/>
                <w:sz w:val="16"/>
                <w:szCs w:val="16"/>
              </w:rPr>
            </w:pPr>
            <w:r>
              <w:rPr>
                <w:color w:val="000000"/>
                <w:sz w:val="16"/>
                <w:szCs w:val="16"/>
              </w:rPr>
              <w:t>(53.4, 61.7)</w:t>
            </w:r>
          </w:p>
        </w:tc>
        <w:tc>
          <w:tcPr>
            <w:tcW w:w="0" w:type="auto"/>
            <w:tcBorders>
              <w:top w:val="single" w:sz="4" w:space="0" w:color="auto"/>
              <w:left w:val="single" w:sz="4" w:space="0" w:color="auto"/>
            </w:tcBorders>
            <w:vAlign w:val="center"/>
          </w:tcPr>
          <w:p w14:paraId="3A951722" w14:textId="77777777" w:rsidR="007F3FD9" w:rsidRDefault="007F3FD9" w:rsidP="00221FB6">
            <w:pPr>
              <w:keepNext/>
              <w:jc w:val="right"/>
              <w:rPr>
                <w:color w:val="000000"/>
                <w:sz w:val="16"/>
                <w:szCs w:val="16"/>
              </w:rPr>
            </w:pPr>
            <w:r>
              <w:rPr>
                <w:color w:val="000000"/>
                <w:sz w:val="16"/>
                <w:szCs w:val="16"/>
              </w:rPr>
              <w:t>103</w:t>
            </w:r>
          </w:p>
        </w:tc>
        <w:tc>
          <w:tcPr>
            <w:tcW w:w="0" w:type="auto"/>
            <w:tcBorders>
              <w:top w:val="single" w:sz="4" w:space="0" w:color="auto"/>
            </w:tcBorders>
            <w:vAlign w:val="center"/>
          </w:tcPr>
          <w:p w14:paraId="04A54C4C" w14:textId="77777777" w:rsidR="007F3FD9" w:rsidRDefault="007F3FD9" w:rsidP="00221FB6">
            <w:pPr>
              <w:keepNext/>
              <w:jc w:val="right"/>
              <w:rPr>
                <w:color w:val="000000"/>
                <w:sz w:val="16"/>
                <w:szCs w:val="16"/>
              </w:rPr>
            </w:pPr>
            <w:r>
              <w:rPr>
                <w:color w:val="000000"/>
                <w:sz w:val="16"/>
                <w:szCs w:val="16"/>
              </w:rPr>
              <w:t>55.4</w:t>
            </w:r>
          </w:p>
        </w:tc>
        <w:tc>
          <w:tcPr>
            <w:tcW w:w="0" w:type="auto"/>
            <w:tcBorders>
              <w:top w:val="single" w:sz="4" w:space="0" w:color="auto"/>
              <w:right w:val="single" w:sz="4" w:space="0" w:color="auto"/>
            </w:tcBorders>
            <w:vAlign w:val="center"/>
          </w:tcPr>
          <w:p w14:paraId="546CA406" w14:textId="77777777" w:rsidR="007F3FD9" w:rsidRDefault="007F3FD9" w:rsidP="00221FB6">
            <w:pPr>
              <w:keepNext/>
              <w:jc w:val="right"/>
              <w:rPr>
                <w:color w:val="000000"/>
                <w:sz w:val="16"/>
                <w:szCs w:val="16"/>
              </w:rPr>
            </w:pPr>
            <w:r>
              <w:rPr>
                <w:color w:val="000000"/>
                <w:sz w:val="16"/>
                <w:szCs w:val="16"/>
              </w:rPr>
              <w:t>(50</w:t>
            </w:r>
            <w:r w:rsidR="00454B56">
              <w:rPr>
                <w:color w:val="000000"/>
                <w:sz w:val="16"/>
                <w:szCs w:val="16"/>
              </w:rPr>
              <w:t>.0</w:t>
            </w:r>
            <w:r>
              <w:rPr>
                <w:color w:val="000000"/>
                <w:sz w:val="16"/>
                <w:szCs w:val="16"/>
              </w:rPr>
              <w:t>, 60.8)</w:t>
            </w:r>
          </w:p>
        </w:tc>
        <w:tc>
          <w:tcPr>
            <w:tcW w:w="0" w:type="auto"/>
            <w:tcBorders>
              <w:top w:val="single" w:sz="4" w:space="0" w:color="auto"/>
              <w:left w:val="single" w:sz="4" w:space="0" w:color="auto"/>
            </w:tcBorders>
            <w:vAlign w:val="center"/>
          </w:tcPr>
          <w:p w14:paraId="66DD5EA8" w14:textId="77777777" w:rsidR="007F3FD9" w:rsidRDefault="007F3FD9" w:rsidP="00221FB6">
            <w:pPr>
              <w:keepNext/>
              <w:jc w:val="right"/>
              <w:rPr>
                <w:color w:val="000000"/>
                <w:sz w:val="16"/>
                <w:szCs w:val="16"/>
              </w:rPr>
            </w:pPr>
            <w:r>
              <w:rPr>
                <w:color w:val="000000"/>
                <w:sz w:val="16"/>
                <w:szCs w:val="16"/>
              </w:rPr>
              <w:t>80</w:t>
            </w:r>
          </w:p>
        </w:tc>
        <w:tc>
          <w:tcPr>
            <w:tcW w:w="0" w:type="auto"/>
            <w:tcBorders>
              <w:top w:val="single" w:sz="4" w:space="0" w:color="auto"/>
            </w:tcBorders>
            <w:vAlign w:val="center"/>
          </w:tcPr>
          <w:p w14:paraId="5585431F" w14:textId="77777777" w:rsidR="007F3FD9" w:rsidRDefault="007F3FD9" w:rsidP="00221FB6">
            <w:pPr>
              <w:keepNext/>
              <w:jc w:val="right"/>
              <w:rPr>
                <w:color w:val="000000"/>
                <w:sz w:val="16"/>
                <w:szCs w:val="16"/>
              </w:rPr>
            </w:pPr>
            <w:r>
              <w:rPr>
                <w:color w:val="000000"/>
                <w:sz w:val="16"/>
                <w:szCs w:val="16"/>
              </w:rPr>
              <w:t>53.8</w:t>
            </w:r>
          </w:p>
        </w:tc>
        <w:tc>
          <w:tcPr>
            <w:tcW w:w="0" w:type="auto"/>
            <w:tcBorders>
              <w:top w:val="single" w:sz="4" w:space="0" w:color="auto"/>
              <w:right w:val="single" w:sz="4" w:space="0" w:color="auto"/>
            </w:tcBorders>
            <w:vAlign w:val="center"/>
          </w:tcPr>
          <w:p w14:paraId="746CF245" w14:textId="77777777" w:rsidR="007F3FD9" w:rsidRDefault="007F3FD9" w:rsidP="00221FB6">
            <w:pPr>
              <w:keepNext/>
              <w:jc w:val="right"/>
              <w:rPr>
                <w:color w:val="000000"/>
                <w:sz w:val="16"/>
                <w:szCs w:val="16"/>
              </w:rPr>
            </w:pPr>
            <w:r>
              <w:rPr>
                <w:color w:val="000000"/>
                <w:sz w:val="16"/>
                <w:szCs w:val="16"/>
              </w:rPr>
              <w:t>(47.5, 60.1)</w:t>
            </w:r>
          </w:p>
        </w:tc>
        <w:tc>
          <w:tcPr>
            <w:tcW w:w="0" w:type="auto"/>
            <w:tcBorders>
              <w:top w:val="single" w:sz="4" w:space="0" w:color="auto"/>
              <w:left w:val="single" w:sz="4" w:space="0" w:color="auto"/>
            </w:tcBorders>
            <w:vAlign w:val="center"/>
          </w:tcPr>
          <w:p w14:paraId="1297447E" w14:textId="77777777" w:rsidR="007F3FD9" w:rsidRDefault="007F3FD9" w:rsidP="00221FB6">
            <w:pPr>
              <w:keepNext/>
              <w:jc w:val="right"/>
              <w:rPr>
                <w:color w:val="000000"/>
                <w:sz w:val="16"/>
                <w:szCs w:val="16"/>
              </w:rPr>
            </w:pPr>
            <w:r>
              <w:rPr>
                <w:color w:val="000000"/>
                <w:sz w:val="16"/>
                <w:szCs w:val="16"/>
              </w:rPr>
              <w:t>70</w:t>
            </w:r>
          </w:p>
        </w:tc>
        <w:tc>
          <w:tcPr>
            <w:tcW w:w="0" w:type="auto"/>
            <w:tcBorders>
              <w:top w:val="single" w:sz="4" w:space="0" w:color="auto"/>
            </w:tcBorders>
            <w:vAlign w:val="center"/>
          </w:tcPr>
          <w:p w14:paraId="502B6054" w14:textId="77777777" w:rsidR="007F3FD9" w:rsidRDefault="007F3FD9" w:rsidP="00221FB6">
            <w:pPr>
              <w:keepNext/>
              <w:jc w:val="right"/>
              <w:rPr>
                <w:color w:val="000000"/>
                <w:sz w:val="16"/>
                <w:szCs w:val="16"/>
              </w:rPr>
            </w:pPr>
            <w:r>
              <w:rPr>
                <w:color w:val="000000"/>
                <w:sz w:val="16"/>
                <w:szCs w:val="16"/>
              </w:rPr>
              <w:t>53.1</w:t>
            </w:r>
          </w:p>
        </w:tc>
        <w:tc>
          <w:tcPr>
            <w:tcW w:w="0" w:type="auto"/>
            <w:tcBorders>
              <w:top w:val="single" w:sz="4" w:space="0" w:color="auto"/>
            </w:tcBorders>
            <w:vAlign w:val="center"/>
          </w:tcPr>
          <w:p w14:paraId="2B1B4617" w14:textId="77777777" w:rsidR="007F3FD9" w:rsidRDefault="007F3FD9" w:rsidP="00221FB6">
            <w:pPr>
              <w:keepNext/>
              <w:jc w:val="right"/>
              <w:rPr>
                <w:color w:val="000000"/>
                <w:sz w:val="16"/>
                <w:szCs w:val="16"/>
              </w:rPr>
            </w:pPr>
            <w:r>
              <w:rPr>
                <w:color w:val="000000"/>
                <w:sz w:val="16"/>
                <w:szCs w:val="16"/>
              </w:rPr>
              <w:t>(46.7, 59.5)</w:t>
            </w:r>
          </w:p>
        </w:tc>
      </w:tr>
      <w:tr w:rsidR="007F3FD9" w:rsidRPr="007B4EF8" w14:paraId="55BFCC46" w14:textId="77777777" w:rsidTr="00604260">
        <w:trPr>
          <w:jc w:val="center"/>
        </w:trPr>
        <w:tc>
          <w:tcPr>
            <w:tcW w:w="0" w:type="auto"/>
          </w:tcPr>
          <w:p w14:paraId="0FD0284E" w14:textId="77777777" w:rsidR="007F3FD9" w:rsidRDefault="007F3FD9" w:rsidP="00221FB6">
            <w:pPr>
              <w:keepNext/>
              <w:spacing w:before="20" w:after="20"/>
              <w:ind w:left="34"/>
              <w:rPr>
                <w:rFonts w:eastAsiaTheme="minorEastAsia"/>
                <w:sz w:val="16"/>
                <w:szCs w:val="16"/>
                <w:lang w:eastAsia="en-US"/>
              </w:rPr>
            </w:pPr>
          </w:p>
        </w:tc>
        <w:tc>
          <w:tcPr>
            <w:tcW w:w="0" w:type="auto"/>
          </w:tcPr>
          <w:p w14:paraId="3FA6F999" w14:textId="77777777" w:rsidR="007F3FD9" w:rsidRPr="001B7431" w:rsidRDefault="007F3FD9" w:rsidP="00221FB6">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0" w:type="auto"/>
            <w:vAlign w:val="center"/>
          </w:tcPr>
          <w:p w14:paraId="03C24471" w14:textId="77777777" w:rsidR="007F3FD9" w:rsidRDefault="007F3FD9" w:rsidP="00221FB6">
            <w:pPr>
              <w:keepNext/>
              <w:jc w:val="right"/>
              <w:rPr>
                <w:color w:val="000000"/>
                <w:sz w:val="16"/>
                <w:szCs w:val="16"/>
              </w:rPr>
            </w:pPr>
            <w:r>
              <w:rPr>
                <w:color w:val="000000"/>
                <w:sz w:val="16"/>
                <w:szCs w:val="16"/>
              </w:rPr>
              <w:t>29</w:t>
            </w:r>
          </w:p>
        </w:tc>
        <w:tc>
          <w:tcPr>
            <w:tcW w:w="0" w:type="auto"/>
            <w:vAlign w:val="center"/>
          </w:tcPr>
          <w:p w14:paraId="4EC85F11" w14:textId="77777777" w:rsidR="007F3FD9" w:rsidRDefault="007F3FD9" w:rsidP="00221FB6">
            <w:pPr>
              <w:keepNext/>
              <w:jc w:val="right"/>
              <w:rPr>
                <w:color w:val="000000"/>
                <w:sz w:val="16"/>
                <w:szCs w:val="16"/>
              </w:rPr>
            </w:pPr>
            <w:r>
              <w:rPr>
                <w:color w:val="000000"/>
                <w:sz w:val="16"/>
                <w:szCs w:val="16"/>
              </w:rPr>
              <w:t>9.4</w:t>
            </w:r>
          </w:p>
        </w:tc>
        <w:tc>
          <w:tcPr>
            <w:tcW w:w="0" w:type="auto"/>
            <w:tcBorders>
              <w:right w:val="single" w:sz="4" w:space="0" w:color="auto"/>
            </w:tcBorders>
            <w:vAlign w:val="center"/>
          </w:tcPr>
          <w:p w14:paraId="77F3FBF8" w14:textId="77777777" w:rsidR="007F3FD9" w:rsidRDefault="007F3FD9" w:rsidP="00221FB6">
            <w:pPr>
              <w:keepNext/>
              <w:jc w:val="right"/>
              <w:rPr>
                <w:color w:val="000000"/>
                <w:sz w:val="16"/>
                <w:szCs w:val="16"/>
              </w:rPr>
            </w:pPr>
            <w:r>
              <w:rPr>
                <w:color w:val="000000"/>
                <w:sz w:val="16"/>
                <w:szCs w:val="16"/>
              </w:rPr>
              <w:t>(6.9, 11.9)</w:t>
            </w:r>
          </w:p>
        </w:tc>
        <w:tc>
          <w:tcPr>
            <w:tcW w:w="0" w:type="auto"/>
            <w:tcBorders>
              <w:left w:val="single" w:sz="4" w:space="0" w:color="auto"/>
            </w:tcBorders>
            <w:vAlign w:val="center"/>
          </w:tcPr>
          <w:p w14:paraId="66164F67" w14:textId="77777777" w:rsidR="007F3FD9" w:rsidRDefault="007F3FD9" w:rsidP="00221FB6">
            <w:pPr>
              <w:keepNext/>
              <w:jc w:val="right"/>
              <w:rPr>
                <w:color w:val="000000"/>
                <w:sz w:val="16"/>
                <w:szCs w:val="16"/>
              </w:rPr>
            </w:pPr>
            <w:r>
              <w:rPr>
                <w:color w:val="000000"/>
                <w:sz w:val="16"/>
                <w:szCs w:val="16"/>
              </w:rPr>
              <w:t>17</w:t>
            </w:r>
          </w:p>
        </w:tc>
        <w:tc>
          <w:tcPr>
            <w:tcW w:w="0" w:type="auto"/>
            <w:vAlign w:val="center"/>
          </w:tcPr>
          <w:p w14:paraId="00F11B6E" w14:textId="77777777" w:rsidR="007F3FD9" w:rsidRDefault="007F3FD9" w:rsidP="00221FB6">
            <w:pPr>
              <w:keepNext/>
              <w:jc w:val="right"/>
              <w:rPr>
                <w:color w:val="000000"/>
                <w:sz w:val="16"/>
                <w:szCs w:val="16"/>
              </w:rPr>
            </w:pPr>
            <w:r>
              <w:rPr>
                <w:color w:val="000000"/>
                <w:sz w:val="16"/>
                <w:szCs w:val="16"/>
              </w:rPr>
              <w:t>9.0</w:t>
            </w:r>
          </w:p>
        </w:tc>
        <w:tc>
          <w:tcPr>
            <w:tcW w:w="0" w:type="auto"/>
            <w:tcBorders>
              <w:right w:val="single" w:sz="4" w:space="0" w:color="auto"/>
            </w:tcBorders>
            <w:vAlign w:val="center"/>
          </w:tcPr>
          <w:p w14:paraId="3CB60BD9" w14:textId="77777777" w:rsidR="007F3FD9" w:rsidRDefault="007F3FD9" w:rsidP="00221FB6">
            <w:pPr>
              <w:keepNext/>
              <w:jc w:val="right"/>
              <w:rPr>
                <w:color w:val="000000"/>
                <w:sz w:val="16"/>
                <w:szCs w:val="16"/>
              </w:rPr>
            </w:pPr>
            <w:r>
              <w:rPr>
                <w:color w:val="000000"/>
                <w:sz w:val="16"/>
                <w:szCs w:val="16"/>
              </w:rPr>
              <w:t>(6.1, 11.9)</w:t>
            </w:r>
          </w:p>
        </w:tc>
        <w:tc>
          <w:tcPr>
            <w:tcW w:w="0" w:type="auto"/>
            <w:tcBorders>
              <w:left w:val="single" w:sz="4" w:space="0" w:color="auto"/>
            </w:tcBorders>
            <w:vAlign w:val="center"/>
          </w:tcPr>
          <w:p w14:paraId="2EF16936" w14:textId="77777777" w:rsidR="007F3FD9" w:rsidRDefault="007F3FD9" w:rsidP="00221FB6">
            <w:pPr>
              <w:keepNext/>
              <w:jc w:val="right"/>
              <w:rPr>
                <w:color w:val="000000"/>
                <w:sz w:val="16"/>
                <w:szCs w:val="16"/>
              </w:rPr>
            </w:pPr>
            <w:r>
              <w:rPr>
                <w:color w:val="000000"/>
                <w:sz w:val="16"/>
                <w:szCs w:val="16"/>
              </w:rPr>
              <w:t>15</w:t>
            </w:r>
          </w:p>
        </w:tc>
        <w:tc>
          <w:tcPr>
            <w:tcW w:w="0" w:type="auto"/>
            <w:vAlign w:val="center"/>
          </w:tcPr>
          <w:p w14:paraId="7E5E18B3" w14:textId="77777777" w:rsidR="007F3FD9" w:rsidRDefault="007F3FD9" w:rsidP="00221FB6">
            <w:pPr>
              <w:keepNext/>
              <w:jc w:val="right"/>
              <w:rPr>
                <w:color w:val="000000"/>
                <w:sz w:val="16"/>
                <w:szCs w:val="16"/>
              </w:rPr>
            </w:pPr>
            <w:r>
              <w:rPr>
                <w:color w:val="000000"/>
                <w:sz w:val="16"/>
                <w:szCs w:val="16"/>
              </w:rPr>
              <w:t>10.2</w:t>
            </w:r>
          </w:p>
        </w:tc>
        <w:tc>
          <w:tcPr>
            <w:tcW w:w="0" w:type="auto"/>
            <w:tcBorders>
              <w:right w:val="single" w:sz="4" w:space="0" w:color="auto"/>
            </w:tcBorders>
            <w:vAlign w:val="center"/>
          </w:tcPr>
          <w:p w14:paraId="7AE6944B" w14:textId="77777777" w:rsidR="007F3FD9" w:rsidRDefault="007F3FD9" w:rsidP="00221FB6">
            <w:pPr>
              <w:keepNext/>
              <w:jc w:val="right"/>
              <w:rPr>
                <w:color w:val="000000"/>
                <w:sz w:val="16"/>
                <w:szCs w:val="16"/>
              </w:rPr>
            </w:pPr>
            <w:r>
              <w:rPr>
                <w:color w:val="000000"/>
                <w:sz w:val="16"/>
                <w:szCs w:val="16"/>
              </w:rPr>
              <w:t>(6.6, 13.7)</w:t>
            </w:r>
          </w:p>
        </w:tc>
        <w:tc>
          <w:tcPr>
            <w:tcW w:w="0" w:type="auto"/>
            <w:tcBorders>
              <w:left w:val="single" w:sz="4" w:space="0" w:color="auto"/>
            </w:tcBorders>
            <w:vAlign w:val="center"/>
          </w:tcPr>
          <w:p w14:paraId="7AD3F874" w14:textId="77777777" w:rsidR="007F3FD9" w:rsidRDefault="007F3FD9" w:rsidP="00221FB6">
            <w:pPr>
              <w:keepNext/>
              <w:jc w:val="right"/>
              <w:rPr>
                <w:color w:val="000000"/>
                <w:sz w:val="16"/>
                <w:szCs w:val="16"/>
              </w:rPr>
            </w:pPr>
            <w:r>
              <w:rPr>
                <w:color w:val="000000"/>
                <w:sz w:val="16"/>
                <w:szCs w:val="16"/>
              </w:rPr>
              <w:t>12</w:t>
            </w:r>
          </w:p>
        </w:tc>
        <w:tc>
          <w:tcPr>
            <w:tcW w:w="0" w:type="auto"/>
            <w:vAlign w:val="center"/>
          </w:tcPr>
          <w:p w14:paraId="30EF7A0B" w14:textId="77777777" w:rsidR="007F3FD9" w:rsidRDefault="007F3FD9" w:rsidP="00221FB6">
            <w:pPr>
              <w:keepNext/>
              <w:jc w:val="right"/>
              <w:rPr>
                <w:color w:val="000000"/>
                <w:sz w:val="16"/>
                <w:szCs w:val="16"/>
              </w:rPr>
            </w:pPr>
            <w:r>
              <w:rPr>
                <w:color w:val="000000"/>
                <w:sz w:val="16"/>
                <w:szCs w:val="16"/>
              </w:rPr>
              <w:t>8.8</w:t>
            </w:r>
          </w:p>
        </w:tc>
        <w:tc>
          <w:tcPr>
            <w:tcW w:w="0" w:type="auto"/>
            <w:vAlign w:val="center"/>
          </w:tcPr>
          <w:p w14:paraId="6E29D43B" w14:textId="77777777" w:rsidR="007F3FD9" w:rsidRDefault="007F3FD9" w:rsidP="00221FB6">
            <w:pPr>
              <w:keepNext/>
              <w:jc w:val="right"/>
              <w:rPr>
                <w:color w:val="000000"/>
                <w:sz w:val="16"/>
                <w:szCs w:val="16"/>
              </w:rPr>
            </w:pPr>
            <w:r>
              <w:rPr>
                <w:color w:val="000000"/>
                <w:sz w:val="16"/>
                <w:szCs w:val="16"/>
              </w:rPr>
              <w:t>(5.4, 12.2)</w:t>
            </w:r>
          </w:p>
        </w:tc>
      </w:tr>
      <w:tr w:rsidR="007F3FD9" w:rsidRPr="007B4EF8" w14:paraId="6F06A45E" w14:textId="77777777" w:rsidTr="00604260">
        <w:trPr>
          <w:jc w:val="center"/>
        </w:trPr>
        <w:tc>
          <w:tcPr>
            <w:tcW w:w="0" w:type="auto"/>
          </w:tcPr>
          <w:p w14:paraId="3A0C888D" w14:textId="77777777" w:rsidR="007F3FD9" w:rsidRDefault="007F3FD9" w:rsidP="00221FB6">
            <w:pPr>
              <w:keepNext/>
              <w:spacing w:before="20" w:after="20"/>
              <w:ind w:left="34"/>
              <w:rPr>
                <w:rFonts w:eastAsiaTheme="minorEastAsia"/>
                <w:sz w:val="16"/>
                <w:szCs w:val="16"/>
                <w:lang w:eastAsia="en-US"/>
              </w:rPr>
            </w:pPr>
          </w:p>
        </w:tc>
        <w:tc>
          <w:tcPr>
            <w:tcW w:w="0" w:type="auto"/>
          </w:tcPr>
          <w:p w14:paraId="0DDF4B03" w14:textId="77777777" w:rsidR="007F3FD9" w:rsidRPr="001B7431" w:rsidRDefault="007F3FD9" w:rsidP="00221FB6">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0" w:type="auto"/>
            <w:vAlign w:val="center"/>
          </w:tcPr>
          <w:p w14:paraId="4A4D77FF" w14:textId="77777777" w:rsidR="007F3FD9" w:rsidRDefault="007F3FD9" w:rsidP="00221FB6">
            <w:pPr>
              <w:keepNext/>
              <w:jc w:val="right"/>
              <w:rPr>
                <w:color w:val="000000"/>
                <w:sz w:val="16"/>
                <w:szCs w:val="16"/>
              </w:rPr>
            </w:pPr>
            <w:r>
              <w:rPr>
                <w:color w:val="000000"/>
                <w:sz w:val="16"/>
                <w:szCs w:val="16"/>
              </w:rPr>
              <w:t>23</w:t>
            </w:r>
          </w:p>
        </w:tc>
        <w:tc>
          <w:tcPr>
            <w:tcW w:w="0" w:type="auto"/>
            <w:vAlign w:val="center"/>
          </w:tcPr>
          <w:p w14:paraId="19015D89" w14:textId="77777777" w:rsidR="007F3FD9" w:rsidRDefault="007F3FD9" w:rsidP="00221FB6">
            <w:pPr>
              <w:keepNext/>
              <w:jc w:val="right"/>
              <w:rPr>
                <w:color w:val="000000"/>
                <w:sz w:val="16"/>
                <w:szCs w:val="16"/>
              </w:rPr>
            </w:pPr>
            <w:r>
              <w:rPr>
                <w:color w:val="000000"/>
                <w:sz w:val="16"/>
                <w:szCs w:val="16"/>
              </w:rPr>
              <w:t>7.4</w:t>
            </w:r>
          </w:p>
        </w:tc>
        <w:tc>
          <w:tcPr>
            <w:tcW w:w="0" w:type="auto"/>
            <w:tcBorders>
              <w:right w:val="single" w:sz="4" w:space="0" w:color="auto"/>
            </w:tcBorders>
            <w:vAlign w:val="center"/>
          </w:tcPr>
          <w:p w14:paraId="646E19D3" w14:textId="77777777" w:rsidR="007F3FD9" w:rsidRDefault="007F3FD9" w:rsidP="00221FB6">
            <w:pPr>
              <w:keepNext/>
              <w:jc w:val="right"/>
              <w:rPr>
                <w:color w:val="000000"/>
                <w:sz w:val="16"/>
                <w:szCs w:val="16"/>
              </w:rPr>
            </w:pPr>
            <w:r>
              <w:rPr>
                <w:color w:val="000000"/>
                <w:sz w:val="16"/>
                <w:szCs w:val="16"/>
              </w:rPr>
              <w:t>(4.9, 9.9)</w:t>
            </w:r>
          </w:p>
        </w:tc>
        <w:tc>
          <w:tcPr>
            <w:tcW w:w="0" w:type="auto"/>
            <w:tcBorders>
              <w:left w:val="single" w:sz="4" w:space="0" w:color="auto"/>
            </w:tcBorders>
            <w:vAlign w:val="center"/>
          </w:tcPr>
          <w:p w14:paraId="6EE1914F" w14:textId="77777777" w:rsidR="007F3FD9" w:rsidRDefault="007F3FD9" w:rsidP="00221FB6">
            <w:pPr>
              <w:keepNext/>
              <w:jc w:val="right"/>
              <w:rPr>
                <w:color w:val="000000"/>
                <w:sz w:val="16"/>
                <w:szCs w:val="16"/>
              </w:rPr>
            </w:pPr>
            <w:r>
              <w:rPr>
                <w:color w:val="000000"/>
                <w:sz w:val="16"/>
                <w:szCs w:val="16"/>
              </w:rPr>
              <w:t>13</w:t>
            </w:r>
          </w:p>
        </w:tc>
        <w:tc>
          <w:tcPr>
            <w:tcW w:w="0" w:type="auto"/>
            <w:vAlign w:val="center"/>
          </w:tcPr>
          <w:p w14:paraId="5E9085D9" w14:textId="77777777" w:rsidR="007F3FD9" w:rsidRDefault="007F3FD9" w:rsidP="00221FB6">
            <w:pPr>
              <w:keepNext/>
              <w:jc w:val="right"/>
              <w:rPr>
                <w:color w:val="000000"/>
                <w:sz w:val="16"/>
                <w:szCs w:val="16"/>
              </w:rPr>
            </w:pPr>
            <w:r>
              <w:rPr>
                <w:color w:val="000000"/>
                <w:sz w:val="16"/>
                <w:szCs w:val="16"/>
              </w:rPr>
              <w:t>6.9</w:t>
            </w:r>
          </w:p>
        </w:tc>
        <w:tc>
          <w:tcPr>
            <w:tcW w:w="0" w:type="auto"/>
            <w:tcBorders>
              <w:right w:val="single" w:sz="4" w:space="0" w:color="auto"/>
            </w:tcBorders>
            <w:vAlign w:val="center"/>
          </w:tcPr>
          <w:p w14:paraId="696BC34D" w14:textId="77777777" w:rsidR="007F3FD9" w:rsidRDefault="007F3FD9" w:rsidP="00221FB6">
            <w:pPr>
              <w:keepNext/>
              <w:jc w:val="right"/>
              <w:rPr>
                <w:color w:val="000000"/>
                <w:sz w:val="16"/>
                <w:szCs w:val="16"/>
              </w:rPr>
            </w:pPr>
            <w:r>
              <w:rPr>
                <w:color w:val="000000"/>
                <w:sz w:val="16"/>
                <w:szCs w:val="16"/>
              </w:rPr>
              <w:t>(4.3, 9.5)</w:t>
            </w:r>
          </w:p>
        </w:tc>
        <w:tc>
          <w:tcPr>
            <w:tcW w:w="0" w:type="auto"/>
            <w:tcBorders>
              <w:left w:val="single" w:sz="4" w:space="0" w:color="auto"/>
            </w:tcBorders>
            <w:vAlign w:val="center"/>
          </w:tcPr>
          <w:p w14:paraId="66304945" w14:textId="77777777" w:rsidR="007F3FD9" w:rsidRDefault="007F3FD9" w:rsidP="00221FB6">
            <w:pPr>
              <w:keepNext/>
              <w:jc w:val="right"/>
              <w:rPr>
                <w:color w:val="000000"/>
                <w:sz w:val="16"/>
                <w:szCs w:val="16"/>
              </w:rPr>
            </w:pPr>
            <w:r>
              <w:rPr>
                <w:color w:val="000000"/>
                <w:sz w:val="16"/>
                <w:szCs w:val="16"/>
              </w:rPr>
              <w:t>11</w:t>
            </w:r>
          </w:p>
        </w:tc>
        <w:tc>
          <w:tcPr>
            <w:tcW w:w="0" w:type="auto"/>
            <w:vAlign w:val="center"/>
          </w:tcPr>
          <w:p w14:paraId="6577D646" w14:textId="77777777" w:rsidR="007F3FD9" w:rsidRDefault="007F3FD9" w:rsidP="00221FB6">
            <w:pPr>
              <w:keepNext/>
              <w:jc w:val="right"/>
              <w:rPr>
                <w:color w:val="000000"/>
                <w:sz w:val="16"/>
                <w:szCs w:val="16"/>
              </w:rPr>
            </w:pPr>
            <w:r>
              <w:rPr>
                <w:color w:val="000000"/>
                <w:sz w:val="16"/>
                <w:szCs w:val="16"/>
              </w:rPr>
              <w:t>7.6</w:t>
            </w:r>
          </w:p>
        </w:tc>
        <w:tc>
          <w:tcPr>
            <w:tcW w:w="0" w:type="auto"/>
            <w:tcBorders>
              <w:right w:val="single" w:sz="4" w:space="0" w:color="auto"/>
            </w:tcBorders>
            <w:vAlign w:val="center"/>
          </w:tcPr>
          <w:p w14:paraId="41641F16" w14:textId="77777777" w:rsidR="007F3FD9" w:rsidRDefault="007F3FD9" w:rsidP="00221FB6">
            <w:pPr>
              <w:keepNext/>
              <w:jc w:val="right"/>
              <w:rPr>
                <w:color w:val="000000"/>
                <w:sz w:val="16"/>
                <w:szCs w:val="16"/>
              </w:rPr>
            </w:pPr>
            <w:r>
              <w:rPr>
                <w:color w:val="000000"/>
                <w:sz w:val="16"/>
                <w:szCs w:val="16"/>
              </w:rPr>
              <w:t>(4.1, 11.2)</w:t>
            </w:r>
          </w:p>
        </w:tc>
        <w:tc>
          <w:tcPr>
            <w:tcW w:w="0" w:type="auto"/>
            <w:tcBorders>
              <w:left w:val="single" w:sz="4" w:space="0" w:color="auto"/>
            </w:tcBorders>
            <w:vAlign w:val="center"/>
          </w:tcPr>
          <w:p w14:paraId="390958CC" w14:textId="77777777" w:rsidR="007F3FD9" w:rsidRDefault="007F3FD9" w:rsidP="00221FB6">
            <w:pPr>
              <w:keepNext/>
              <w:jc w:val="right"/>
              <w:rPr>
                <w:color w:val="000000"/>
                <w:sz w:val="16"/>
                <w:szCs w:val="16"/>
              </w:rPr>
            </w:pPr>
            <w:r>
              <w:rPr>
                <w:color w:val="000000"/>
                <w:sz w:val="16"/>
                <w:szCs w:val="16"/>
              </w:rPr>
              <w:t>10</w:t>
            </w:r>
          </w:p>
        </w:tc>
        <w:tc>
          <w:tcPr>
            <w:tcW w:w="0" w:type="auto"/>
            <w:vAlign w:val="center"/>
          </w:tcPr>
          <w:p w14:paraId="36A060BA" w14:textId="77777777" w:rsidR="007F3FD9" w:rsidRDefault="007F3FD9" w:rsidP="00221FB6">
            <w:pPr>
              <w:keepNext/>
              <w:jc w:val="right"/>
              <w:rPr>
                <w:color w:val="000000"/>
                <w:sz w:val="16"/>
                <w:szCs w:val="16"/>
              </w:rPr>
            </w:pPr>
            <w:r>
              <w:rPr>
                <w:color w:val="000000"/>
                <w:sz w:val="16"/>
                <w:szCs w:val="16"/>
              </w:rPr>
              <w:t>7.6</w:t>
            </w:r>
          </w:p>
        </w:tc>
        <w:tc>
          <w:tcPr>
            <w:tcW w:w="0" w:type="auto"/>
            <w:vAlign w:val="center"/>
          </w:tcPr>
          <w:p w14:paraId="41AB9883" w14:textId="77777777" w:rsidR="007F3FD9" w:rsidRDefault="007F3FD9" w:rsidP="00221FB6">
            <w:pPr>
              <w:keepNext/>
              <w:jc w:val="right"/>
              <w:rPr>
                <w:color w:val="000000"/>
                <w:sz w:val="16"/>
                <w:szCs w:val="16"/>
              </w:rPr>
            </w:pPr>
            <w:r>
              <w:rPr>
                <w:color w:val="000000"/>
                <w:sz w:val="16"/>
                <w:szCs w:val="16"/>
              </w:rPr>
              <w:t>(4.4, 10.8)</w:t>
            </w:r>
          </w:p>
        </w:tc>
      </w:tr>
      <w:tr w:rsidR="007F3FD9" w:rsidRPr="007B4EF8" w14:paraId="4F99FC0F" w14:textId="77777777" w:rsidTr="00604260">
        <w:trPr>
          <w:jc w:val="center"/>
        </w:trPr>
        <w:tc>
          <w:tcPr>
            <w:tcW w:w="0" w:type="auto"/>
          </w:tcPr>
          <w:p w14:paraId="6CDC8EA0" w14:textId="77777777" w:rsidR="007F3FD9" w:rsidRDefault="007F3FD9" w:rsidP="00221FB6">
            <w:pPr>
              <w:keepNext/>
              <w:spacing w:before="20" w:after="20"/>
              <w:ind w:left="34"/>
              <w:rPr>
                <w:rFonts w:eastAsiaTheme="minorEastAsia"/>
                <w:sz w:val="16"/>
                <w:szCs w:val="16"/>
                <w:lang w:eastAsia="en-US"/>
              </w:rPr>
            </w:pPr>
          </w:p>
        </w:tc>
        <w:tc>
          <w:tcPr>
            <w:tcW w:w="0" w:type="auto"/>
          </w:tcPr>
          <w:p w14:paraId="6458804A" w14:textId="77777777" w:rsidR="007F3FD9" w:rsidRPr="001B7431" w:rsidRDefault="007F3FD9" w:rsidP="00221FB6">
            <w:pPr>
              <w:keepNext/>
              <w:spacing w:before="20" w:after="20"/>
              <w:ind w:left="34"/>
              <w:rPr>
                <w:rFonts w:eastAsiaTheme="minorEastAsia"/>
                <w:sz w:val="16"/>
                <w:szCs w:val="16"/>
                <w:lang w:eastAsia="en-US"/>
              </w:rPr>
            </w:pPr>
            <w:r>
              <w:rPr>
                <w:rFonts w:eastAsiaTheme="minorEastAsia"/>
                <w:sz w:val="16"/>
                <w:szCs w:val="16"/>
                <w:lang w:eastAsia="en-US"/>
              </w:rPr>
              <w:t>No gambling in past year</w:t>
            </w:r>
          </w:p>
        </w:tc>
        <w:tc>
          <w:tcPr>
            <w:tcW w:w="0" w:type="auto"/>
            <w:vAlign w:val="center"/>
          </w:tcPr>
          <w:p w14:paraId="323E93F0" w14:textId="77777777" w:rsidR="007F3FD9" w:rsidRDefault="007F3FD9" w:rsidP="00221FB6">
            <w:pPr>
              <w:keepNext/>
              <w:jc w:val="right"/>
              <w:rPr>
                <w:color w:val="000000"/>
                <w:sz w:val="16"/>
                <w:szCs w:val="16"/>
              </w:rPr>
            </w:pPr>
            <w:r>
              <w:rPr>
                <w:color w:val="000000"/>
                <w:sz w:val="16"/>
                <w:szCs w:val="16"/>
              </w:rPr>
              <w:t>79</w:t>
            </w:r>
          </w:p>
        </w:tc>
        <w:tc>
          <w:tcPr>
            <w:tcW w:w="0" w:type="auto"/>
            <w:vAlign w:val="center"/>
          </w:tcPr>
          <w:p w14:paraId="25BE3E19" w14:textId="77777777" w:rsidR="007F3FD9" w:rsidRDefault="007F3FD9" w:rsidP="00221FB6">
            <w:pPr>
              <w:keepNext/>
              <w:jc w:val="right"/>
              <w:rPr>
                <w:color w:val="000000"/>
                <w:sz w:val="16"/>
                <w:szCs w:val="16"/>
              </w:rPr>
            </w:pPr>
            <w:r>
              <w:rPr>
                <w:color w:val="000000"/>
                <w:sz w:val="16"/>
                <w:szCs w:val="16"/>
              </w:rPr>
              <w:t>25.7</w:t>
            </w:r>
          </w:p>
        </w:tc>
        <w:tc>
          <w:tcPr>
            <w:tcW w:w="0" w:type="auto"/>
            <w:tcBorders>
              <w:right w:val="single" w:sz="4" w:space="0" w:color="auto"/>
            </w:tcBorders>
            <w:vAlign w:val="center"/>
          </w:tcPr>
          <w:p w14:paraId="0E610BBE" w14:textId="77777777" w:rsidR="007F3FD9" w:rsidRDefault="007F3FD9" w:rsidP="00221FB6">
            <w:pPr>
              <w:keepNext/>
              <w:jc w:val="right"/>
              <w:rPr>
                <w:color w:val="000000"/>
                <w:sz w:val="16"/>
                <w:szCs w:val="16"/>
              </w:rPr>
            </w:pPr>
            <w:r>
              <w:rPr>
                <w:color w:val="000000"/>
                <w:sz w:val="16"/>
                <w:szCs w:val="16"/>
              </w:rPr>
              <w:t>(22.1, 29.3)</w:t>
            </w:r>
          </w:p>
        </w:tc>
        <w:tc>
          <w:tcPr>
            <w:tcW w:w="0" w:type="auto"/>
            <w:tcBorders>
              <w:left w:val="single" w:sz="4" w:space="0" w:color="auto"/>
            </w:tcBorders>
            <w:vAlign w:val="center"/>
          </w:tcPr>
          <w:p w14:paraId="3C0C3684" w14:textId="77777777" w:rsidR="007F3FD9" w:rsidRDefault="007F3FD9" w:rsidP="00221FB6">
            <w:pPr>
              <w:keepNext/>
              <w:jc w:val="right"/>
              <w:rPr>
                <w:color w:val="000000"/>
                <w:sz w:val="16"/>
                <w:szCs w:val="16"/>
              </w:rPr>
            </w:pPr>
            <w:r>
              <w:rPr>
                <w:color w:val="000000"/>
                <w:sz w:val="16"/>
                <w:szCs w:val="16"/>
              </w:rPr>
              <w:t>53</w:t>
            </w:r>
          </w:p>
        </w:tc>
        <w:tc>
          <w:tcPr>
            <w:tcW w:w="0" w:type="auto"/>
            <w:vAlign w:val="center"/>
          </w:tcPr>
          <w:p w14:paraId="3B942C29" w14:textId="77777777" w:rsidR="007F3FD9" w:rsidRDefault="007F3FD9" w:rsidP="00221FB6">
            <w:pPr>
              <w:keepNext/>
              <w:jc w:val="right"/>
              <w:rPr>
                <w:color w:val="000000"/>
                <w:sz w:val="16"/>
                <w:szCs w:val="16"/>
              </w:rPr>
            </w:pPr>
            <w:r>
              <w:rPr>
                <w:color w:val="000000"/>
                <w:sz w:val="16"/>
                <w:szCs w:val="16"/>
              </w:rPr>
              <w:t>28.7</w:t>
            </w:r>
          </w:p>
        </w:tc>
        <w:tc>
          <w:tcPr>
            <w:tcW w:w="0" w:type="auto"/>
            <w:tcBorders>
              <w:right w:val="single" w:sz="4" w:space="0" w:color="auto"/>
            </w:tcBorders>
            <w:vAlign w:val="center"/>
          </w:tcPr>
          <w:p w14:paraId="3E6F024D" w14:textId="77777777" w:rsidR="007F3FD9" w:rsidRDefault="007F3FD9" w:rsidP="00221FB6">
            <w:pPr>
              <w:keepNext/>
              <w:jc w:val="right"/>
              <w:rPr>
                <w:color w:val="000000"/>
                <w:sz w:val="16"/>
                <w:szCs w:val="16"/>
              </w:rPr>
            </w:pPr>
            <w:r>
              <w:rPr>
                <w:color w:val="000000"/>
                <w:sz w:val="16"/>
                <w:szCs w:val="16"/>
              </w:rPr>
              <w:t>(23.6, 33.8)</w:t>
            </w:r>
          </w:p>
        </w:tc>
        <w:tc>
          <w:tcPr>
            <w:tcW w:w="0" w:type="auto"/>
            <w:tcBorders>
              <w:left w:val="single" w:sz="4" w:space="0" w:color="auto"/>
            </w:tcBorders>
            <w:vAlign w:val="center"/>
          </w:tcPr>
          <w:p w14:paraId="43B822E8" w14:textId="77777777" w:rsidR="007F3FD9" w:rsidRDefault="007F3FD9" w:rsidP="00221FB6">
            <w:pPr>
              <w:keepNext/>
              <w:jc w:val="right"/>
              <w:rPr>
                <w:color w:val="000000"/>
                <w:sz w:val="16"/>
                <w:szCs w:val="16"/>
              </w:rPr>
            </w:pPr>
            <w:r>
              <w:rPr>
                <w:color w:val="000000"/>
                <w:sz w:val="16"/>
                <w:szCs w:val="16"/>
              </w:rPr>
              <w:t>42</w:t>
            </w:r>
          </w:p>
        </w:tc>
        <w:tc>
          <w:tcPr>
            <w:tcW w:w="0" w:type="auto"/>
            <w:vAlign w:val="center"/>
          </w:tcPr>
          <w:p w14:paraId="0A1FFD72" w14:textId="77777777" w:rsidR="007F3FD9" w:rsidRDefault="007F3FD9" w:rsidP="00221FB6">
            <w:pPr>
              <w:keepNext/>
              <w:jc w:val="right"/>
              <w:rPr>
                <w:color w:val="000000"/>
                <w:sz w:val="16"/>
                <w:szCs w:val="16"/>
              </w:rPr>
            </w:pPr>
            <w:r>
              <w:rPr>
                <w:color w:val="000000"/>
                <w:sz w:val="16"/>
                <w:szCs w:val="16"/>
              </w:rPr>
              <w:t>28.4</w:t>
            </w:r>
          </w:p>
        </w:tc>
        <w:tc>
          <w:tcPr>
            <w:tcW w:w="0" w:type="auto"/>
            <w:tcBorders>
              <w:right w:val="single" w:sz="4" w:space="0" w:color="auto"/>
            </w:tcBorders>
            <w:vAlign w:val="center"/>
          </w:tcPr>
          <w:p w14:paraId="084AA5C1" w14:textId="77777777" w:rsidR="007F3FD9" w:rsidRDefault="007F3FD9" w:rsidP="00221FB6">
            <w:pPr>
              <w:keepNext/>
              <w:jc w:val="right"/>
              <w:rPr>
                <w:color w:val="000000"/>
                <w:sz w:val="16"/>
                <w:szCs w:val="16"/>
              </w:rPr>
            </w:pPr>
            <w:r>
              <w:rPr>
                <w:color w:val="000000"/>
                <w:sz w:val="16"/>
                <w:szCs w:val="16"/>
              </w:rPr>
              <w:t>(22.6, 34.2)</w:t>
            </w:r>
          </w:p>
        </w:tc>
        <w:tc>
          <w:tcPr>
            <w:tcW w:w="0" w:type="auto"/>
            <w:tcBorders>
              <w:left w:val="single" w:sz="4" w:space="0" w:color="auto"/>
            </w:tcBorders>
            <w:vAlign w:val="center"/>
          </w:tcPr>
          <w:p w14:paraId="32C59E74" w14:textId="77777777" w:rsidR="007F3FD9" w:rsidRDefault="007F3FD9" w:rsidP="00221FB6">
            <w:pPr>
              <w:keepNext/>
              <w:jc w:val="right"/>
              <w:rPr>
                <w:color w:val="000000"/>
                <w:sz w:val="16"/>
                <w:szCs w:val="16"/>
              </w:rPr>
            </w:pPr>
            <w:r>
              <w:rPr>
                <w:color w:val="000000"/>
                <w:sz w:val="16"/>
                <w:szCs w:val="16"/>
              </w:rPr>
              <w:t>40</w:t>
            </w:r>
          </w:p>
        </w:tc>
        <w:tc>
          <w:tcPr>
            <w:tcW w:w="0" w:type="auto"/>
            <w:vAlign w:val="center"/>
          </w:tcPr>
          <w:p w14:paraId="625C8A9A" w14:textId="77777777" w:rsidR="007F3FD9" w:rsidRDefault="007F3FD9" w:rsidP="00221FB6">
            <w:pPr>
              <w:keepNext/>
              <w:jc w:val="right"/>
              <w:rPr>
                <w:color w:val="000000"/>
                <w:sz w:val="16"/>
                <w:szCs w:val="16"/>
              </w:rPr>
            </w:pPr>
            <w:r>
              <w:rPr>
                <w:color w:val="000000"/>
                <w:sz w:val="16"/>
                <w:szCs w:val="16"/>
              </w:rPr>
              <w:t>30.5</w:t>
            </w:r>
          </w:p>
        </w:tc>
        <w:tc>
          <w:tcPr>
            <w:tcW w:w="0" w:type="auto"/>
            <w:vAlign w:val="center"/>
          </w:tcPr>
          <w:p w14:paraId="133E1435" w14:textId="77777777" w:rsidR="007F3FD9" w:rsidRDefault="007F3FD9" w:rsidP="00221FB6">
            <w:pPr>
              <w:keepNext/>
              <w:jc w:val="right"/>
              <w:rPr>
                <w:color w:val="000000"/>
                <w:sz w:val="16"/>
                <w:szCs w:val="16"/>
              </w:rPr>
            </w:pPr>
            <w:r>
              <w:rPr>
                <w:color w:val="000000"/>
                <w:sz w:val="16"/>
                <w:szCs w:val="16"/>
              </w:rPr>
              <w:t>(24.4, 36.6)</w:t>
            </w:r>
          </w:p>
        </w:tc>
      </w:tr>
      <w:tr w:rsidR="007F3FD9" w:rsidRPr="007B4EF8" w14:paraId="5269F6D7" w14:textId="77777777" w:rsidTr="00604260">
        <w:trPr>
          <w:jc w:val="center"/>
        </w:trPr>
        <w:tc>
          <w:tcPr>
            <w:tcW w:w="0" w:type="auto"/>
          </w:tcPr>
          <w:p w14:paraId="6167BE3D" w14:textId="77777777" w:rsidR="007F3FD9" w:rsidRDefault="007F3FD9" w:rsidP="007F3FD9">
            <w:pPr>
              <w:spacing w:before="20" w:after="20"/>
              <w:ind w:left="34"/>
              <w:rPr>
                <w:rFonts w:eastAsiaTheme="minorEastAsia"/>
                <w:sz w:val="16"/>
                <w:szCs w:val="16"/>
                <w:lang w:eastAsia="en-US"/>
              </w:rPr>
            </w:pPr>
            <w:r>
              <w:rPr>
                <w:rFonts w:eastAsiaTheme="minorEastAsia"/>
                <w:sz w:val="16"/>
                <w:szCs w:val="16"/>
                <w:lang w:eastAsia="en-US"/>
              </w:rPr>
              <w:t>Asian</w:t>
            </w:r>
          </w:p>
        </w:tc>
        <w:tc>
          <w:tcPr>
            <w:tcW w:w="0" w:type="auto"/>
          </w:tcPr>
          <w:p w14:paraId="63FA0E7D" w14:textId="77777777" w:rsidR="007F3FD9" w:rsidRPr="001B7431" w:rsidRDefault="007F3FD9" w:rsidP="007F3FD9">
            <w:pPr>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0" w:type="auto"/>
            <w:vAlign w:val="center"/>
          </w:tcPr>
          <w:p w14:paraId="0B0AB392" w14:textId="77777777" w:rsidR="007F3FD9" w:rsidRDefault="007F3FD9" w:rsidP="007F3FD9">
            <w:pPr>
              <w:jc w:val="right"/>
              <w:rPr>
                <w:color w:val="000000"/>
                <w:sz w:val="16"/>
                <w:szCs w:val="16"/>
              </w:rPr>
            </w:pPr>
            <w:r>
              <w:rPr>
                <w:color w:val="000000"/>
                <w:sz w:val="16"/>
                <w:szCs w:val="16"/>
              </w:rPr>
              <w:t>329</w:t>
            </w:r>
          </w:p>
        </w:tc>
        <w:tc>
          <w:tcPr>
            <w:tcW w:w="0" w:type="auto"/>
            <w:vAlign w:val="center"/>
          </w:tcPr>
          <w:p w14:paraId="34979991" w14:textId="77777777" w:rsidR="007F3FD9" w:rsidRDefault="007F3FD9" w:rsidP="007F3FD9">
            <w:pPr>
              <w:jc w:val="right"/>
              <w:rPr>
                <w:color w:val="000000"/>
                <w:sz w:val="16"/>
                <w:szCs w:val="16"/>
              </w:rPr>
            </w:pPr>
            <w:r>
              <w:rPr>
                <w:color w:val="000000"/>
                <w:sz w:val="16"/>
                <w:szCs w:val="16"/>
              </w:rPr>
              <w:t>51.6</w:t>
            </w:r>
          </w:p>
        </w:tc>
        <w:tc>
          <w:tcPr>
            <w:tcW w:w="0" w:type="auto"/>
            <w:tcBorders>
              <w:right w:val="single" w:sz="4" w:space="0" w:color="auto"/>
            </w:tcBorders>
            <w:vAlign w:val="center"/>
          </w:tcPr>
          <w:p w14:paraId="36EB2BFD" w14:textId="77777777" w:rsidR="007F3FD9" w:rsidRDefault="007F3FD9" w:rsidP="007F3FD9">
            <w:pPr>
              <w:jc w:val="right"/>
              <w:rPr>
                <w:color w:val="000000"/>
                <w:sz w:val="16"/>
                <w:szCs w:val="16"/>
              </w:rPr>
            </w:pPr>
            <w:r>
              <w:rPr>
                <w:color w:val="000000"/>
                <w:sz w:val="16"/>
                <w:szCs w:val="16"/>
              </w:rPr>
              <w:t>(47.7, 55.5)</w:t>
            </w:r>
          </w:p>
        </w:tc>
        <w:tc>
          <w:tcPr>
            <w:tcW w:w="0" w:type="auto"/>
            <w:tcBorders>
              <w:left w:val="single" w:sz="4" w:space="0" w:color="auto"/>
            </w:tcBorders>
            <w:vAlign w:val="center"/>
          </w:tcPr>
          <w:p w14:paraId="77035A5B" w14:textId="77777777" w:rsidR="007F3FD9" w:rsidRDefault="007F3FD9" w:rsidP="007F3FD9">
            <w:pPr>
              <w:jc w:val="right"/>
              <w:rPr>
                <w:color w:val="000000"/>
                <w:sz w:val="16"/>
                <w:szCs w:val="16"/>
              </w:rPr>
            </w:pPr>
            <w:r>
              <w:rPr>
                <w:color w:val="000000"/>
                <w:sz w:val="16"/>
                <w:szCs w:val="16"/>
              </w:rPr>
              <w:t>182</w:t>
            </w:r>
          </w:p>
        </w:tc>
        <w:tc>
          <w:tcPr>
            <w:tcW w:w="0" w:type="auto"/>
            <w:vAlign w:val="center"/>
          </w:tcPr>
          <w:p w14:paraId="56AE3FE8" w14:textId="77777777" w:rsidR="007F3FD9" w:rsidRDefault="007F3FD9" w:rsidP="007F3FD9">
            <w:pPr>
              <w:jc w:val="right"/>
              <w:rPr>
                <w:color w:val="000000"/>
                <w:sz w:val="16"/>
                <w:szCs w:val="16"/>
              </w:rPr>
            </w:pPr>
            <w:r>
              <w:rPr>
                <w:color w:val="000000"/>
                <w:sz w:val="16"/>
                <w:szCs w:val="16"/>
              </w:rPr>
              <w:t>49.4</w:t>
            </w:r>
          </w:p>
        </w:tc>
        <w:tc>
          <w:tcPr>
            <w:tcW w:w="0" w:type="auto"/>
            <w:tcBorders>
              <w:right w:val="single" w:sz="4" w:space="0" w:color="auto"/>
            </w:tcBorders>
            <w:vAlign w:val="center"/>
          </w:tcPr>
          <w:p w14:paraId="75D68204" w14:textId="77777777" w:rsidR="007F3FD9" w:rsidRDefault="007F3FD9" w:rsidP="007F3FD9">
            <w:pPr>
              <w:jc w:val="right"/>
              <w:rPr>
                <w:color w:val="000000"/>
                <w:sz w:val="16"/>
                <w:szCs w:val="16"/>
              </w:rPr>
            </w:pPr>
            <w:r>
              <w:rPr>
                <w:color w:val="000000"/>
                <w:sz w:val="16"/>
                <w:szCs w:val="16"/>
              </w:rPr>
              <w:t>(44.0, 54.8)</w:t>
            </w:r>
          </w:p>
        </w:tc>
        <w:tc>
          <w:tcPr>
            <w:tcW w:w="0" w:type="auto"/>
            <w:tcBorders>
              <w:left w:val="single" w:sz="4" w:space="0" w:color="auto"/>
            </w:tcBorders>
            <w:vAlign w:val="center"/>
          </w:tcPr>
          <w:p w14:paraId="4146D262" w14:textId="77777777" w:rsidR="007F3FD9" w:rsidRDefault="007F3FD9" w:rsidP="007F3FD9">
            <w:pPr>
              <w:jc w:val="right"/>
              <w:rPr>
                <w:color w:val="000000"/>
                <w:sz w:val="16"/>
                <w:szCs w:val="16"/>
              </w:rPr>
            </w:pPr>
            <w:r>
              <w:rPr>
                <w:color w:val="000000"/>
                <w:sz w:val="16"/>
                <w:szCs w:val="16"/>
              </w:rPr>
              <w:t>160</w:t>
            </w:r>
          </w:p>
        </w:tc>
        <w:tc>
          <w:tcPr>
            <w:tcW w:w="0" w:type="auto"/>
            <w:vAlign w:val="center"/>
          </w:tcPr>
          <w:p w14:paraId="5501C80D" w14:textId="77777777" w:rsidR="007F3FD9" w:rsidRDefault="007F3FD9" w:rsidP="007F3FD9">
            <w:pPr>
              <w:jc w:val="right"/>
              <w:rPr>
                <w:color w:val="000000"/>
                <w:sz w:val="16"/>
                <w:szCs w:val="16"/>
              </w:rPr>
            </w:pPr>
            <w:r>
              <w:rPr>
                <w:color w:val="000000"/>
                <w:sz w:val="16"/>
                <w:szCs w:val="16"/>
              </w:rPr>
              <w:t>51.5</w:t>
            </w:r>
          </w:p>
        </w:tc>
        <w:tc>
          <w:tcPr>
            <w:tcW w:w="0" w:type="auto"/>
            <w:tcBorders>
              <w:right w:val="single" w:sz="4" w:space="0" w:color="auto"/>
            </w:tcBorders>
            <w:vAlign w:val="center"/>
          </w:tcPr>
          <w:p w14:paraId="40647B61" w14:textId="77777777" w:rsidR="007F3FD9" w:rsidRDefault="007F3FD9" w:rsidP="007F3FD9">
            <w:pPr>
              <w:jc w:val="right"/>
              <w:rPr>
                <w:color w:val="000000"/>
                <w:sz w:val="16"/>
                <w:szCs w:val="16"/>
              </w:rPr>
            </w:pPr>
            <w:r>
              <w:rPr>
                <w:color w:val="000000"/>
                <w:sz w:val="16"/>
                <w:szCs w:val="16"/>
              </w:rPr>
              <w:t>(45.3, 57.8)</w:t>
            </w:r>
          </w:p>
        </w:tc>
        <w:tc>
          <w:tcPr>
            <w:tcW w:w="0" w:type="auto"/>
            <w:tcBorders>
              <w:left w:val="single" w:sz="4" w:space="0" w:color="auto"/>
            </w:tcBorders>
            <w:vAlign w:val="center"/>
          </w:tcPr>
          <w:p w14:paraId="69DE1E37" w14:textId="77777777" w:rsidR="007F3FD9" w:rsidRDefault="007F3FD9" w:rsidP="007F3FD9">
            <w:pPr>
              <w:jc w:val="right"/>
              <w:rPr>
                <w:color w:val="000000"/>
                <w:sz w:val="16"/>
                <w:szCs w:val="16"/>
              </w:rPr>
            </w:pPr>
            <w:r>
              <w:rPr>
                <w:color w:val="000000"/>
                <w:sz w:val="16"/>
                <w:szCs w:val="16"/>
              </w:rPr>
              <w:t>149</w:t>
            </w:r>
          </w:p>
        </w:tc>
        <w:tc>
          <w:tcPr>
            <w:tcW w:w="0" w:type="auto"/>
            <w:vAlign w:val="center"/>
          </w:tcPr>
          <w:p w14:paraId="093A05FE" w14:textId="77777777" w:rsidR="007F3FD9" w:rsidRDefault="007F3FD9" w:rsidP="007F3FD9">
            <w:pPr>
              <w:jc w:val="right"/>
              <w:rPr>
                <w:color w:val="000000"/>
                <w:sz w:val="16"/>
                <w:szCs w:val="16"/>
              </w:rPr>
            </w:pPr>
            <w:r>
              <w:rPr>
                <w:color w:val="000000"/>
                <w:sz w:val="16"/>
                <w:szCs w:val="16"/>
              </w:rPr>
              <w:t>53.5</w:t>
            </w:r>
          </w:p>
        </w:tc>
        <w:tc>
          <w:tcPr>
            <w:tcW w:w="0" w:type="auto"/>
            <w:vAlign w:val="center"/>
          </w:tcPr>
          <w:p w14:paraId="120484DE" w14:textId="77777777" w:rsidR="007F3FD9" w:rsidRDefault="007F3FD9" w:rsidP="007F3FD9">
            <w:pPr>
              <w:jc w:val="right"/>
              <w:rPr>
                <w:color w:val="000000"/>
                <w:sz w:val="16"/>
                <w:szCs w:val="16"/>
              </w:rPr>
            </w:pPr>
            <w:r>
              <w:rPr>
                <w:color w:val="000000"/>
                <w:sz w:val="16"/>
                <w:szCs w:val="16"/>
              </w:rPr>
              <w:t>(46.7, 60.2)</w:t>
            </w:r>
          </w:p>
        </w:tc>
      </w:tr>
      <w:tr w:rsidR="007F3FD9" w:rsidRPr="007B4EF8" w14:paraId="5A6F371D" w14:textId="77777777" w:rsidTr="00604260">
        <w:trPr>
          <w:jc w:val="center"/>
        </w:trPr>
        <w:tc>
          <w:tcPr>
            <w:tcW w:w="0" w:type="auto"/>
          </w:tcPr>
          <w:p w14:paraId="462F66CE" w14:textId="77777777" w:rsidR="007F3FD9" w:rsidRDefault="007F3FD9" w:rsidP="007F3FD9">
            <w:pPr>
              <w:spacing w:before="20" w:after="20"/>
              <w:ind w:left="34"/>
              <w:rPr>
                <w:rFonts w:eastAsiaTheme="minorEastAsia"/>
                <w:sz w:val="16"/>
                <w:szCs w:val="16"/>
                <w:lang w:eastAsia="en-US"/>
              </w:rPr>
            </w:pPr>
          </w:p>
        </w:tc>
        <w:tc>
          <w:tcPr>
            <w:tcW w:w="0" w:type="auto"/>
          </w:tcPr>
          <w:p w14:paraId="2387B85E" w14:textId="77777777" w:rsidR="007F3FD9" w:rsidRPr="001B7431" w:rsidRDefault="007F3FD9" w:rsidP="007F3FD9">
            <w:pPr>
              <w:spacing w:before="20" w:after="20"/>
              <w:ind w:left="34"/>
              <w:rPr>
                <w:rFonts w:eastAsiaTheme="minorEastAsia"/>
                <w:sz w:val="16"/>
                <w:szCs w:val="16"/>
                <w:lang w:eastAsia="en-US"/>
              </w:rPr>
            </w:pPr>
            <w:r>
              <w:rPr>
                <w:rFonts w:eastAsiaTheme="minorEastAsia"/>
                <w:sz w:val="16"/>
                <w:szCs w:val="16"/>
                <w:lang w:eastAsia="en-US"/>
              </w:rPr>
              <w:t>Low-risk gambler</w:t>
            </w:r>
          </w:p>
        </w:tc>
        <w:tc>
          <w:tcPr>
            <w:tcW w:w="0" w:type="auto"/>
            <w:vAlign w:val="center"/>
          </w:tcPr>
          <w:p w14:paraId="28B8A539" w14:textId="77777777" w:rsidR="007F3FD9" w:rsidRDefault="007F3FD9" w:rsidP="007F3FD9">
            <w:pPr>
              <w:jc w:val="right"/>
              <w:rPr>
                <w:color w:val="000000"/>
                <w:sz w:val="16"/>
                <w:szCs w:val="16"/>
              </w:rPr>
            </w:pPr>
            <w:r>
              <w:rPr>
                <w:color w:val="000000"/>
                <w:sz w:val="16"/>
                <w:szCs w:val="16"/>
              </w:rPr>
              <w:t>37</w:t>
            </w:r>
          </w:p>
        </w:tc>
        <w:tc>
          <w:tcPr>
            <w:tcW w:w="0" w:type="auto"/>
            <w:vAlign w:val="center"/>
          </w:tcPr>
          <w:p w14:paraId="4EA74297" w14:textId="77777777" w:rsidR="007F3FD9" w:rsidRDefault="007F3FD9" w:rsidP="007F3FD9">
            <w:pPr>
              <w:jc w:val="right"/>
              <w:rPr>
                <w:color w:val="000000"/>
                <w:sz w:val="16"/>
                <w:szCs w:val="16"/>
              </w:rPr>
            </w:pPr>
            <w:r>
              <w:rPr>
                <w:color w:val="000000"/>
                <w:sz w:val="16"/>
                <w:szCs w:val="16"/>
              </w:rPr>
              <w:t>5.8</w:t>
            </w:r>
          </w:p>
        </w:tc>
        <w:tc>
          <w:tcPr>
            <w:tcW w:w="0" w:type="auto"/>
            <w:tcBorders>
              <w:right w:val="single" w:sz="4" w:space="0" w:color="auto"/>
            </w:tcBorders>
            <w:vAlign w:val="center"/>
          </w:tcPr>
          <w:p w14:paraId="01B26E41" w14:textId="77777777" w:rsidR="007F3FD9" w:rsidRDefault="007F3FD9" w:rsidP="007F3FD9">
            <w:pPr>
              <w:jc w:val="right"/>
              <w:rPr>
                <w:color w:val="000000"/>
                <w:sz w:val="16"/>
                <w:szCs w:val="16"/>
              </w:rPr>
            </w:pPr>
            <w:r>
              <w:rPr>
                <w:color w:val="000000"/>
                <w:sz w:val="16"/>
                <w:szCs w:val="16"/>
              </w:rPr>
              <w:t>(3.8, 7.8)</w:t>
            </w:r>
          </w:p>
        </w:tc>
        <w:tc>
          <w:tcPr>
            <w:tcW w:w="0" w:type="auto"/>
            <w:tcBorders>
              <w:left w:val="single" w:sz="4" w:space="0" w:color="auto"/>
            </w:tcBorders>
            <w:vAlign w:val="center"/>
          </w:tcPr>
          <w:p w14:paraId="353C6D75" w14:textId="77777777" w:rsidR="007F3FD9" w:rsidRDefault="007F3FD9" w:rsidP="007F3FD9">
            <w:pPr>
              <w:jc w:val="right"/>
              <w:rPr>
                <w:color w:val="000000"/>
                <w:sz w:val="16"/>
                <w:szCs w:val="16"/>
              </w:rPr>
            </w:pPr>
            <w:r>
              <w:rPr>
                <w:color w:val="000000"/>
                <w:sz w:val="16"/>
                <w:szCs w:val="16"/>
              </w:rPr>
              <w:t>19</w:t>
            </w:r>
          </w:p>
        </w:tc>
        <w:tc>
          <w:tcPr>
            <w:tcW w:w="0" w:type="auto"/>
            <w:vAlign w:val="center"/>
          </w:tcPr>
          <w:p w14:paraId="6A400409" w14:textId="77777777" w:rsidR="007F3FD9" w:rsidRDefault="007F3FD9" w:rsidP="007F3FD9">
            <w:pPr>
              <w:jc w:val="right"/>
              <w:rPr>
                <w:color w:val="000000"/>
                <w:sz w:val="16"/>
                <w:szCs w:val="16"/>
              </w:rPr>
            </w:pPr>
            <w:r>
              <w:rPr>
                <w:color w:val="000000"/>
                <w:sz w:val="16"/>
                <w:szCs w:val="16"/>
              </w:rPr>
              <w:t>5.1</w:t>
            </w:r>
          </w:p>
        </w:tc>
        <w:tc>
          <w:tcPr>
            <w:tcW w:w="0" w:type="auto"/>
            <w:tcBorders>
              <w:right w:val="single" w:sz="4" w:space="0" w:color="auto"/>
            </w:tcBorders>
            <w:vAlign w:val="center"/>
          </w:tcPr>
          <w:p w14:paraId="34E7B8A5" w14:textId="77777777" w:rsidR="007F3FD9" w:rsidRDefault="007F3FD9" w:rsidP="007F3FD9">
            <w:pPr>
              <w:jc w:val="right"/>
              <w:rPr>
                <w:color w:val="000000"/>
                <w:sz w:val="16"/>
                <w:szCs w:val="16"/>
              </w:rPr>
            </w:pPr>
            <w:r>
              <w:rPr>
                <w:color w:val="000000"/>
                <w:sz w:val="16"/>
                <w:szCs w:val="16"/>
              </w:rPr>
              <w:t>(2.8, 7.4)</w:t>
            </w:r>
          </w:p>
        </w:tc>
        <w:tc>
          <w:tcPr>
            <w:tcW w:w="0" w:type="auto"/>
            <w:tcBorders>
              <w:left w:val="single" w:sz="4" w:space="0" w:color="auto"/>
            </w:tcBorders>
            <w:vAlign w:val="center"/>
          </w:tcPr>
          <w:p w14:paraId="38A35095" w14:textId="77777777" w:rsidR="007F3FD9" w:rsidRDefault="007F3FD9" w:rsidP="007F3FD9">
            <w:pPr>
              <w:jc w:val="right"/>
              <w:rPr>
                <w:color w:val="000000"/>
                <w:sz w:val="16"/>
                <w:szCs w:val="16"/>
              </w:rPr>
            </w:pPr>
            <w:r>
              <w:rPr>
                <w:color w:val="000000"/>
                <w:sz w:val="16"/>
                <w:szCs w:val="16"/>
              </w:rPr>
              <w:t>16</w:t>
            </w:r>
          </w:p>
        </w:tc>
        <w:tc>
          <w:tcPr>
            <w:tcW w:w="0" w:type="auto"/>
            <w:vAlign w:val="center"/>
          </w:tcPr>
          <w:p w14:paraId="6C573845" w14:textId="77777777" w:rsidR="007F3FD9" w:rsidRDefault="007F3FD9" w:rsidP="007F3FD9">
            <w:pPr>
              <w:jc w:val="right"/>
              <w:rPr>
                <w:color w:val="000000"/>
                <w:sz w:val="16"/>
                <w:szCs w:val="16"/>
              </w:rPr>
            </w:pPr>
            <w:r>
              <w:rPr>
                <w:color w:val="000000"/>
                <w:sz w:val="16"/>
                <w:szCs w:val="16"/>
              </w:rPr>
              <w:t>5.2</w:t>
            </w:r>
          </w:p>
        </w:tc>
        <w:tc>
          <w:tcPr>
            <w:tcW w:w="0" w:type="auto"/>
            <w:tcBorders>
              <w:right w:val="single" w:sz="4" w:space="0" w:color="auto"/>
            </w:tcBorders>
            <w:vAlign w:val="center"/>
          </w:tcPr>
          <w:p w14:paraId="6916AE98" w14:textId="77777777" w:rsidR="007F3FD9" w:rsidRDefault="007F3FD9" w:rsidP="007F3FD9">
            <w:pPr>
              <w:jc w:val="right"/>
              <w:rPr>
                <w:color w:val="000000"/>
                <w:sz w:val="16"/>
                <w:szCs w:val="16"/>
              </w:rPr>
            </w:pPr>
            <w:r>
              <w:rPr>
                <w:color w:val="000000"/>
                <w:sz w:val="16"/>
                <w:szCs w:val="16"/>
              </w:rPr>
              <w:t>(2.9, 7.5)</w:t>
            </w:r>
          </w:p>
        </w:tc>
        <w:tc>
          <w:tcPr>
            <w:tcW w:w="0" w:type="auto"/>
            <w:tcBorders>
              <w:left w:val="single" w:sz="4" w:space="0" w:color="auto"/>
            </w:tcBorders>
            <w:vAlign w:val="center"/>
          </w:tcPr>
          <w:p w14:paraId="2634DD0E" w14:textId="77777777" w:rsidR="007F3FD9" w:rsidRDefault="007F3FD9" w:rsidP="007F3FD9">
            <w:pPr>
              <w:jc w:val="right"/>
              <w:rPr>
                <w:color w:val="000000"/>
                <w:sz w:val="16"/>
                <w:szCs w:val="16"/>
              </w:rPr>
            </w:pPr>
            <w:r>
              <w:rPr>
                <w:color w:val="000000"/>
                <w:sz w:val="16"/>
                <w:szCs w:val="16"/>
              </w:rPr>
              <w:t>13</w:t>
            </w:r>
          </w:p>
        </w:tc>
        <w:tc>
          <w:tcPr>
            <w:tcW w:w="0" w:type="auto"/>
            <w:vAlign w:val="center"/>
          </w:tcPr>
          <w:p w14:paraId="551121C6" w14:textId="77777777" w:rsidR="007F3FD9" w:rsidRDefault="007F3FD9" w:rsidP="007F3FD9">
            <w:pPr>
              <w:jc w:val="right"/>
              <w:rPr>
                <w:color w:val="000000"/>
                <w:sz w:val="16"/>
                <w:szCs w:val="16"/>
              </w:rPr>
            </w:pPr>
            <w:r>
              <w:rPr>
                <w:color w:val="000000"/>
                <w:sz w:val="16"/>
                <w:szCs w:val="16"/>
              </w:rPr>
              <w:t>4.5</w:t>
            </w:r>
          </w:p>
        </w:tc>
        <w:tc>
          <w:tcPr>
            <w:tcW w:w="0" w:type="auto"/>
            <w:vAlign w:val="center"/>
          </w:tcPr>
          <w:p w14:paraId="0D4991E8" w14:textId="77777777" w:rsidR="007F3FD9" w:rsidRDefault="007F3FD9" w:rsidP="007F3FD9">
            <w:pPr>
              <w:jc w:val="right"/>
              <w:rPr>
                <w:color w:val="000000"/>
                <w:sz w:val="16"/>
                <w:szCs w:val="16"/>
              </w:rPr>
            </w:pPr>
            <w:r>
              <w:rPr>
                <w:color w:val="000000"/>
                <w:sz w:val="16"/>
                <w:szCs w:val="16"/>
              </w:rPr>
              <w:t>(2.2, 6.9)</w:t>
            </w:r>
          </w:p>
        </w:tc>
      </w:tr>
      <w:tr w:rsidR="007F3FD9" w:rsidRPr="007B4EF8" w14:paraId="28D9C911" w14:textId="77777777" w:rsidTr="00826105">
        <w:trPr>
          <w:jc w:val="center"/>
        </w:trPr>
        <w:tc>
          <w:tcPr>
            <w:tcW w:w="0" w:type="auto"/>
            <w:shd w:val="clear" w:color="auto" w:fill="auto"/>
          </w:tcPr>
          <w:p w14:paraId="77A23876" w14:textId="77777777" w:rsidR="007F3FD9" w:rsidRDefault="007F3FD9" w:rsidP="007F3FD9">
            <w:pPr>
              <w:spacing w:before="20" w:after="20"/>
              <w:ind w:left="34"/>
              <w:rPr>
                <w:rFonts w:eastAsiaTheme="minorEastAsia"/>
                <w:sz w:val="16"/>
                <w:szCs w:val="16"/>
                <w:lang w:eastAsia="en-US"/>
              </w:rPr>
            </w:pPr>
          </w:p>
        </w:tc>
        <w:tc>
          <w:tcPr>
            <w:tcW w:w="0" w:type="auto"/>
            <w:shd w:val="clear" w:color="auto" w:fill="auto"/>
          </w:tcPr>
          <w:p w14:paraId="255CFA69" w14:textId="77777777" w:rsidR="007F3FD9" w:rsidRPr="001B7431" w:rsidRDefault="007F3FD9" w:rsidP="007F3FD9">
            <w:pPr>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0" w:type="auto"/>
            <w:shd w:val="clear" w:color="auto" w:fill="auto"/>
            <w:vAlign w:val="center"/>
          </w:tcPr>
          <w:p w14:paraId="7AFF4537" w14:textId="77777777" w:rsidR="007F3FD9" w:rsidRDefault="007F3FD9" w:rsidP="007F3FD9">
            <w:pPr>
              <w:jc w:val="right"/>
              <w:rPr>
                <w:color w:val="000000"/>
                <w:sz w:val="16"/>
                <w:szCs w:val="16"/>
              </w:rPr>
            </w:pPr>
            <w:r>
              <w:rPr>
                <w:color w:val="000000"/>
                <w:sz w:val="16"/>
                <w:szCs w:val="16"/>
              </w:rPr>
              <w:t>18</w:t>
            </w:r>
          </w:p>
        </w:tc>
        <w:tc>
          <w:tcPr>
            <w:tcW w:w="0" w:type="auto"/>
            <w:shd w:val="clear" w:color="auto" w:fill="auto"/>
            <w:vAlign w:val="center"/>
          </w:tcPr>
          <w:p w14:paraId="2E0F3C3A" w14:textId="77777777" w:rsidR="007F3FD9" w:rsidRDefault="007F3FD9" w:rsidP="007F3FD9">
            <w:pPr>
              <w:jc w:val="right"/>
              <w:rPr>
                <w:color w:val="000000"/>
                <w:sz w:val="16"/>
                <w:szCs w:val="16"/>
              </w:rPr>
            </w:pPr>
            <w:r>
              <w:rPr>
                <w:color w:val="000000"/>
                <w:sz w:val="16"/>
                <w:szCs w:val="16"/>
              </w:rPr>
              <w:t>2.8</w:t>
            </w:r>
          </w:p>
        </w:tc>
        <w:tc>
          <w:tcPr>
            <w:tcW w:w="0" w:type="auto"/>
            <w:tcBorders>
              <w:right w:val="single" w:sz="4" w:space="0" w:color="auto"/>
            </w:tcBorders>
            <w:shd w:val="clear" w:color="auto" w:fill="auto"/>
            <w:vAlign w:val="center"/>
          </w:tcPr>
          <w:p w14:paraId="1986509E" w14:textId="77777777" w:rsidR="007F3FD9" w:rsidRDefault="007F3FD9" w:rsidP="007F3FD9">
            <w:pPr>
              <w:jc w:val="right"/>
              <w:rPr>
                <w:color w:val="000000"/>
                <w:sz w:val="16"/>
                <w:szCs w:val="16"/>
              </w:rPr>
            </w:pPr>
            <w:r>
              <w:rPr>
                <w:color w:val="000000"/>
                <w:sz w:val="16"/>
                <w:szCs w:val="16"/>
              </w:rPr>
              <w:t>(1.4, 4.2)</w:t>
            </w:r>
          </w:p>
        </w:tc>
        <w:tc>
          <w:tcPr>
            <w:tcW w:w="0" w:type="auto"/>
            <w:tcBorders>
              <w:left w:val="single" w:sz="4" w:space="0" w:color="auto"/>
            </w:tcBorders>
            <w:shd w:val="clear" w:color="auto" w:fill="auto"/>
            <w:vAlign w:val="center"/>
          </w:tcPr>
          <w:p w14:paraId="50CF852E" w14:textId="77777777" w:rsidR="007F3FD9" w:rsidRDefault="007F3FD9" w:rsidP="007F3FD9">
            <w:pPr>
              <w:jc w:val="right"/>
              <w:rPr>
                <w:color w:val="000000"/>
                <w:sz w:val="16"/>
                <w:szCs w:val="16"/>
              </w:rPr>
            </w:pPr>
            <w:r>
              <w:rPr>
                <w:color w:val="000000"/>
                <w:sz w:val="16"/>
                <w:szCs w:val="16"/>
              </w:rPr>
              <w:t>6</w:t>
            </w:r>
          </w:p>
        </w:tc>
        <w:tc>
          <w:tcPr>
            <w:tcW w:w="0" w:type="auto"/>
            <w:shd w:val="clear" w:color="auto" w:fill="auto"/>
            <w:vAlign w:val="center"/>
          </w:tcPr>
          <w:p w14:paraId="44351000" w14:textId="77777777" w:rsidR="007F3FD9" w:rsidRDefault="007F3FD9" w:rsidP="007F3FD9">
            <w:pPr>
              <w:jc w:val="right"/>
              <w:rPr>
                <w:color w:val="000000"/>
                <w:sz w:val="16"/>
                <w:szCs w:val="16"/>
              </w:rPr>
            </w:pPr>
            <w:r>
              <w:rPr>
                <w:color w:val="000000"/>
                <w:sz w:val="16"/>
                <w:szCs w:val="16"/>
              </w:rPr>
              <w:t>1.7</w:t>
            </w:r>
          </w:p>
        </w:tc>
        <w:tc>
          <w:tcPr>
            <w:tcW w:w="0" w:type="auto"/>
            <w:tcBorders>
              <w:right w:val="single" w:sz="4" w:space="0" w:color="auto"/>
            </w:tcBorders>
            <w:shd w:val="clear" w:color="auto" w:fill="auto"/>
            <w:vAlign w:val="center"/>
          </w:tcPr>
          <w:p w14:paraId="42B3A51E" w14:textId="77777777" w:rsidR="007F3FD9" w:rsidRDefault="007F3FD9" w:rsidP="007F3FD9">
            <w:pPr>
              <w:jc w:val="right"/>
              <w:rPr>
                <w:color w:val="000000"/>
                <w:sz w:val="16"/>
                <w:szCs w:val="16"/>
              </w:rPr>
            </w:pPr>
            <w:r>
              <w:rPr>
                <w:color w:val="000000"/>
                <w:sz w:val="16"/>
                <w:szCs w:val="16"/>
              </w:rPr>
              <w:t>(0.3, 3.0)</w:t>
            </w:r>
          </w:p>
        </w:tc>
        <w:tc>
          <w:tcPr>
            <w:tcW w:w="0" w:type="auto"/>
            <w:tcBorders>
              <w:left w:val="single" w:sz="4" w:space="0" w:color="auto"/>
            </w:tcBorders>
            <w:shd w:val="clear" w:color="auto" w:fill="auto"/>
            <w:vAlign w:val="center"/>
          </w:tcPr>
          <w:p w14:paraId="00D256EE" w14:textId="77777777" w:rsidR="007F3FD9" w:rsidRDefault="007F3FD9" w:rsidP="007F3FD9">
            <w:pPr>
              <w:jc w:val="right"/>
              <w:rPr>
                <w:color w:val="000000"/>
                <w:sz w:val="16"/>
                <w:szCs w:val="16"/>
              </w:rPr>
            </w:pPr>
            <w:r>
              <w:rPr>
                <w:color w:val="000000"/>
                <w:sz w:val="16"/>
                <w:szCs w:val="16"/>
              </w:rPr>
              <w:t>4</w:t>
            </w:r>
          </w:p>
        </w:tc>
        <w:tc>
          <w:tcPr>
            <w:tcW w:w="0" w:type="auto"/>
            <w:shd w:val="clear" w:color="auto" w:fill="auto"/>
            <w:vAlign w:val="center"/>
          </w:tcPr>
          <w:p w14:paraId="205D9293" w14:textId="77777777" w:rsidR="007F3FD9" w:rsidRDefault="007F3FD9" w:rsidP="007F3FD9">
            <w:pPr>
              <w:jc w:val="right"/>
              <w:rPr>
                <w:color w:val="000000"/>
                <w:sz w:val="16"/>
                <w:szCs w:val="16"/>
              </w:rPr>
            </w:pPr>
            <w:r>
              <w:rPr>
                <w:color w:val="000000"/>
                <w:sz w:val="16"/>
                <w:szCs w:val="16"/>
              </w:rPr>
              <w:t>1.4</w:t>
            </w:r>
          </w:p>
        </w:tc>
        <w:tc>
          <w:tcPr>
            <w:tcW w:w="0" w:type="auto"/>
            <w:tcBorders>
              <w:right w:val="single" w:sz="4" w:space="0" w:color="auto"/>
            </w:tcBorders>
            <w:shd w:val="clear" w:color="auto" w:fill="auto"/>
            <w:vAlign w:val="center"/>
          </w:tcPr>
          <w:p w14:paraId="40CCC807" w14:textId="77777777" w:rsidR="007F3FD9" w:rsidRDefault="007F3FD9" w:rsidP="007F3FD9">
            <w:pPr>
              <w:jc w:val="right"/>
              <w:rPr>
                <w:color w:val="000000"/>
                <w:sz w:val="16"/>
                <w:szCs w:val="16"/>
              </w:rPr>
            </w:pPr>
            <w:r>
              <w:rPr>
                <w:color w:val="000000"/>
                <w:sz w:val="16"/>
                <w:szCs w:val="16"/>
              </w:rPr>
              <w:t>(0.1, 2.7)</w:t>
            </w:r>
          </w:p>
        </w:tc>
        <w:tc>
          <w:tcPr>
            <w:tcW w:w="0" w:type="auto"/>
            <w:tcBorders>
              <w:left w:val="single" w:sz="4" w:space="0" w:color="auto"/>
            </w:tcBorders>
            <w:shd w:val="clear" w:color="auto" w:fill="auto"/>
            <w:vAlign w:val="center"/>
          </w:tcPr>
          <w:p w14:paraId="0B22837C" w14:textId="77777777" w:rsidR="007F3FD9" w:rsidRDefault="007F3FD9" w:rsidP="007F3FD9">
            <w:pPr>
              <w:jc w:val="right"/>
              <w:rPr>
                <w:color w:val="000000"/>
                <w:sz w:val="16"/>
                <w:szCs w:val="16"/>
              </w:rPr>
            </w:pPr>
            <w:r>
              <w:rPr>
                <w:color w:val="000000"/>
                <w:sz w:val="16"/>
                <w:szCs w:val="16"/>
              </w:rPr>
              <w:t>3</w:t>
            </w:r>
          </w:p>
        </w:tc>
        <w:tc>
          <w:tcPr>
            <w:tcW w:w="0" w:type="auto"/>
            <w:shd w:val="clear" w:color="auto" w:fill="auto"/>
            <w:vAlign w:val="center"/>
          </w:tcPr>
          <w:p w14:paraId="461ADA0E" w14:textId="77777777" w:rsidR="007F3FD9" w:rsidRDefault="007F3FD9" w:rsidP="007F3FD9">
            <w:pPr>
              <w:jc w:val="right"/>
              <w:rPr>
                <w:color w:val="000000"/>
                <w:sz w:val="16"/>
                <w:szCs w:val="16"/>
              </w:rPr>
            </w:pPr>
            <w:r>
              <w:rPr>
                <w:color w:val="000000"/>
                <w:sz w:val="16"/>
                <w:szCs w:val="16"/>
              </w:rPr>
              <w:t>1.2</w:t>
            </w:r>
          </w:p>
        </w:tc>
        <w:tc>
          <w:tcPr>
            <w:tcW w:w="0" w:type="auto"/>
            <w:shd w:val="clear" w:color="auto" w:fill="auto"/>
            <w:vAlign w:val="center"/>
          </w:tcPr>
          <w:p w14:paraId="0F2C12CC" w14:textId="77777777" w:rsidR="007F3FD9" w:rsidRDefault="007F3FD9" w:rsidP="007F3FD9">
            <w:pPr>
              <w:jc w:val="right"/>
              <w:rPr>
                <w:color w:val="000000"/>
                <w:sz w:val="16"/>
                <w:szCs w:val="16"/>
              </w:rPr>
            </w:pPr>
            <w:r>
              <w:rPr>
                <w:color w:val="000000"/>
                <w:sz w:val="16"/>
                <w:szCs w:val="16"/>
              </w:rPr>
              <w:t>(0.1, 2.3)</w:t>
            </w:r>
          </w:p>
        </w:tc>
      </w:tr>
      <w:tr w:rsidR="007F3FD9" w:rsidRPr="007B4EF8" w14:paraId="3275C3FF" w14:textId="77777777" w:rsidTr="00826105">
        <w:trPr>
          <w:jc w:val="center"/>
        </w:trPr>
        <w:tc>
          <w:tcPr>
            <w:tcW w:w="0" w:type="auto"/>
            <w:shd w:val="clear" w:color="auto" w:fill="auto"/>
          </w:tcPr>
          <w:p w14:paraId="46036A6A" w14:textId="77777777" w:rsidR="007F3FD9" w:rsidRDefault="007F3FD9" w:rsidP="007F3FD9">
            <w:pPr>
              <w:spacing w:before="20" w:after="20"/>
              <w:ind w:left="34"/>
              <w:rPr>
                <w:rFonts w:eastAsiaTheme="minorEastAsia"/>
                <w:sz w:val="16"/>
                <w:szCs w:val="16"/>
                <w:lang w:eastAsia="en-US"/>
              </w:rPr>
            </w:pPr>
          </w:p>
        </w:tc>
        <w:tc>
          <w:tcPr>
            <w:tcW w:w="0" w:type="auto"/>
            <w:shd w:val="clear" w:color="auto" w:fill="auto"/>
          </w:tcPr>
          <w:p w14:paraId="0C164B2A" w14:textId="77777777" w:rsidR="007F3FD9" w:rsidRPr="001B7431" w:rsidRDefault="007F3FD9" w:rsidP="007F3FD9">
            <w:pPr>
              <w:spacing w:before="20" w:after="20"/>
              <w:ind w:left="34"/>
              <w:rPr>
                <w:rFonts w:eastAsiaTheme="minorEastAsia"/>
                <w:sz w:val="16"/>
                <w:szCs w:val="16"/>
                <w:lang w:eastAsia="en-US"/>
              </w:rPr>
            </w:pPr>
            <w:r>
              <w:rPr>
                <w:rFonts w:eastAsiaTheme="minorEastAsia"/>
                <w:sz w:val="16"/>
                <w:szCs w:val="16"/>
                <w:lang w:eastAsia="en-US"/>
              </w:rPr>
              <w:t>No gambling in past year</w:t>
            </w:r>
          </w:p>
        </w:tc>
        <w:tc>
          <w:tcPr>
            <w:tcW w:w="0" w:type="auto"/>
            <w:shd w:val="clear" w:color="auto" w:fill="auto"/>
            <w:vAlign w:val="center"/>
          </w:tcPr>
          <w:p w14:paraId="4E4E37E3" w14:textId="77777777" w:rsidR="007F3FD9" w:rsidRDefault="007F3FD9" w:rsidP="007F3FD9">
            <w:pPr>
              <w:jc w:val="right"/>
              <w:rPr>
                <w:color w:val="000000"/>
                <w:sz w:val="16"/>
                <w:szCs w:val="16"/>
              </w:rPr>
            </w:pPr>
            <w:r>
              <w:rPr>
                <w:color w:val="000000"/>
                <w:sz w:val="16"/>
                <w:szCs w:val="16"/>
              </w:rPr>
              <w:t>254</w:t>
            </w:r>
          </w:p>
        </w:tc>
        <w:tc>
          <w:tcPr>
            <w:tcW w:w="0" w:type="auto"/>
            <w:shd w:val="clear" w:color="auto" w:fill="auto"/>
            <w:vAlign w:val="center"/>
          </w:tcPr>
          <w:p w14:paraId="29C2F10F" w14:textId="77777777" w:rsidR="007F3FD9" w:rsidRDefault="007F3FD9" w:rsidP="007F3FD9">
            <w:pPr>
              <w:jc w:val="right"/>
              <w:rPr>
                <w:color w:val="000000"/>
                <w:sz w:val="16"/>
                <w:szCs w:val="16"/>
              </w:rPr>
            </w:pPr>
            <w:r>
              <w:rPr>
                <w:color w:val="000000"/>
                <w:sz w:val="16"/>
                <w:szCs w:val="16"/>
              </w:rPr>
              <w:t>39.8</w:t>
            </w:r>
          </w:p>
        </w:tc>
        <w:tc>
          <w:tcPr>
            <w:tcW w:w="0" w:type="auto"/>
            <w:tcBorders>
              <w:right w:val="single" w:sz="4" w:space="0" w:color="auto"/>
            </w:tcBorders>
            <w:shd w:val="clear" w:color="auto" w:fill="auto"/>
            <w:vAlign w:val="center"/>
          </w:tcPr>
          <w:p w14:paraId="36A68E03" w14:textId="77777777" w:rsidR="007F3FD9" w:rsidRDefault="007F3FD9" w:rsidP="007F3FD9">
            <w:pPr>
              <w:jc w:val="right"/>
              <w:rPr>
                <w:color w:val="000000"/>
                <w:sz w:val="16"/>
                <w:szCs w:val="16"/>
              </w:rPr>
            </w:pPr>
            <w:r>
              <w:rPr>
                <w:color w:val="000000"/>
                <w:sz w:val="16"/>
                <w:szCs w:val="16"/>
              </w:rPr>
              <w:t>(36</w:t>
            </w:r>
            <w:r w:rsidR="00454B56">
              <w:rPr>
                <w:color w:val="000000"/>
                <w:sz w:val="16"/>
                <w:szCs w:val="16"/>
              </w:rPr>
              <w:t>.0</w:t>
            </w:r>
            <w:r>
              <w:rPr>
                <w:color w:val="000000"/>
                <w:sz w:val="16"/>
                <w:szCs w:val="16"/>
              </w:rPr>
              <w:t>, 43.6)</w:t>
            </w:r>
          </w:p>
        </w:tc>
        <w:tc>
          <w:tcPr>
            <w:tcW w:w="0" w:type="auto"/>
            <w:tcBorders>
              <w:left w:val="single" w:sz="4" w:space="0" w:color="auto"/>
            </w:tcBorders>
            <w:shd w:val="clear" w:color="auto" w:fill="auto"/>
            <w:vAlign w:val="center"/>
          </w:tcPr>
          <w:p w14:paraId="2EA2E075" w14:textId="77777777" w:rsidR="007F3FD9" w:rsidRDefault="007F3FD9" w:rsidP="007F3FD9">
            <w:pPr>
              <w:jc w:val="right"/>
              <w:rPr>
                <w:color w:val="000000"/>
                <w:sz w:val="16"/>
                <w:szCs w:val="16"/>
              </w:rPr>
            </w:pPr>
            <w:r>
              <w:rPr>
                <w:color w:val="000000"/>
                <w:sz w:val="16"/>
                <w:szCs w:val="16"/>
              </w:rPr>
              <w:t>162</w:t>
            </w:r>
          </w:p>
        </w:tc>
        <w:tc>
          <w:tcPr>
            <w:tcW w:w="0" w:type="auto"/>
            <w:shd w:val="clear" w:color="auto" w:fill="auto"/>
            <w:vAlign w:val="center"/>
          </w:tcPr>
          <w:p w14:paraId="3989BA67" w14:textId="77777777" w:rsidR="007F3FD9" w:rsidRDefault="007F3FD9" w:rsidP="007F3FD9">
            <w:pPr>
              <w:jc w:val="right"/>
              <w:rPr>
                <w:color w:val="000000"/>
                <w:sz w:val="16"/>
                <w:szCs w:val="16"/>
              </w:rPr>
            </w:pPr>
            <w:r>
              <w:rPr>
                <w:color w:val="000000"/>
                <w:sz w:val="16"/>
                <w:szCs w:val="16"/>
              </w:rPr>
              <w:t>43.9</w:t>
            </w:r>
          </w:p>
        </w:tc>
        <w:tc>
          <w:tcPr>
            <w:tcW w:w="0" w:type="auto"/>
            <w:tcBorders>
              <w:right w:val="single" w:sz="4" w:space="0" w:color="auto"/>
            </w:tcBorders>
            <w:shd w:val="clear" w:color="auto" w:fill="auto"/>
            <w:vAlign w:val="center"/>
          </w:tcPr>
          <w:p w14:paraId="73C0C959" w14:textId="77777777" w:rsidR="007F3FD9" w:rsidRDefault="007F3FD9" w:rsidP="007F3FD9">
            <w:pPr>
              <w:jc w:val="right"/>
              <w:rPr>
                <w:color w:val="000000"/>
                <w:sz w:val="16"/>
                <w:szCs w:val="16"/>
              </w:rPr>
            </w:pPr>
            <w:r>
              <w:rPr>
                <w:color w:val="000000"/>
                <w:sz w:val="16"/>
                <w:szCs w:val="16"/>
              </w:rPr>
              <w:t>(38.4, 49.4)</w:t>
            </w:r>
          </w:p>
        </w:tc>
        <w:tc>
          <w:tcPr>
            <w:tcW w:w="0" w:type="auto"/>
            <w:tcBorders>
              <w:left w:val="single" w:sz="4" w:space="0" w:color="auto"/>
            </w:tcBorders>
            <w:shd w:val="clear" w:color="auto" w:fill="auto"/>
            <w:vAlign w:val="center"/>
          </w:tcPr>
          <w:p w14:paraId="45F9438F" w14:textId="77777777" w:rsidR="007F3FD9" w:rsidRDefault="007F3FD9" w:rsidP="007F3FD9">
            <w:pPr>
              <w:jc w:val="right"/>
              <w:rPr>
                <w:color w:val="000000"/>
                <w:sz w:val="16"/>
                <w:szCs w:val="16"/>
              </w:rPr>
            </w:pPr>
            <w:r>
              <w:rPr>
                <w:color w:val="000000"/>
                <w:sz w:val="16"/>
                <w:szCs w:val="16"/>
              </w:rPr>
              <w:t>130</w:t>
            </w:r>
          </w:p>
        </w:tc>
        <w:tc>
          <w:tcPr>
            <w:tcW w:w="0" w:type="auto"/>
            <w:shd w:val="clear" w:color="auto" w:fill="auto"/>
            <w:vAlign w:val="center"/>
          </w:tcPr>
          <w:p w14:paraId="06A191E8" w14:textId="77777777" w:rsidR="007F3FD9" w:rsidRDefault="007F3FD9" w:rsidP="007F3FD9">
            <w:pPr>
              <w:jc w:val="right"/>
              <w:rPr>
                <w:color w:val="000000"/>
                <w:sz w:val="16"/>
                <w:szCs w:val="16"/>
              </w:rPr>
            </w:pPr>
            <w:r>
              <w:rPr>
                <w:color w:val="000000"/>
                <w:sz w:val="16"/>
                <w:szCs w:val="16"/>
              </w:rPr>
              <w:t>41.9</w:t>
            </w:r>
          </w:p>
        </w:tc>
        <w:tc>
          <w:tcPr>
            <w:tcW w:w="0" w:type="auto"/>
            <w:tcBorders>
              <w:right w:val="single" w:sz="4" w:space="0" w:color="auto"/>
            </w:tcBorders>
            <w:shd w:val="clear" w:color="auto" w:fill="auto"/>
            <w:vAlign w:val="center"/>
          </w:tcPr>
          <w:p w14:paraId="7F67134C" w14:textId="77777777" w:rsidR="007F3FD9" w:rsidRDefault="007F3FD9" w:rsidP="007F3FD9">
            <w:pPr>
              <w:jc w:val="right"/>
              <w:rPr>
                <w:color w:val="000000"/>
                <w:sz w:val="16"/>
                <w:szCs w:val="16"/>
              </w:rPr>
            </w:pPr>
            <w:r>
              <w:rPr>
                <w:color w:val="000000"/>
                <w:sz w:val="16"/>
                <w:szCs w:val="16"/>
              </w:rPr>
              <w:t>(35.6, 48.2)</w:t>
            </w:r>
          </w:p>
        </w:tc>
        <w:tc>
          <w:tcPr>
            <w:tcW w:w="0" w:type="auto"/>
            <w:tcBorders>
              <w:left w:val="single" w:sz="4" w:space="0" w:color="auto"/>
            </w:tcBorders>
            <w:shd w:val="clear" w:color="auto" w:fill="auto"/>
            <w:vAlign w:val="center"/>
          </w:tcPr>
          <w:p w14:paraId="305C3648" w14:textId="77777777" w:rsidR="007F3FD9" w:rsidRDefault="007F3FD9" w:rsidP="007F3FD9">
            <w:pPr>
              <w:jc w:val="right"/>
              <w:rPr>
                <w:color w:val="000000"/>
                <w:sz w:val="16"/>
                <w:szCs w:val="16"/>
              </w:rPr>
            </w:pPr>
            <w:r>
              <w:rPr>
                <w:color w:val="000000"/>
                <w:sz w:val="16"/>
                <w:szCs w:val="16"/>
              </w:rPr>
              <w:t>114</w:t>
            </w:r>
          </w:p>
        </w:tc>
        <w:tc>
          <w:tcPr>
            <w:tcW w:w="0" w:type="auto"/>
            <w:shd w:val="clear" w:color="auto" w:fill="auto"/>
            <w:vAlign w:val="center"/>
          </w:tcPr>
          <w:p w14:paraId="5C9B42BE" w14:textId="77777777" w:rsidR="007F3FD9" w:rsidRDefault="007F3FD9" w:rsidP="007F3FD9">
            <w:pPr>
              <w:jc w:val="right"/>
              <w:rPr>
                <w:color w:val="000000"/>
                <w:sz w:val="16"/>
                <w:szCs w:val="16"/>
              </w:rPr>
            </w:pPr>
            <w:r>
              <w:rPr>
                <w:color w:val="000000"/>
                <w:sz w:val="16"/>
                <w:szCs w:val="16"/>
              </w:rPr>
              <w:t>40.8</w:t>
            </w:r>
          </w:p>
        </w:tc>
        <w:tc>
          <w:tcPr>
            <w:tcW w:w="0" w:type="auto"/>
            <w:shd w:val="clear" w:color="auto" w:fill="auto"/>
            <w:vAlign w:val="center"/>
          </w:tcPr>
          <w:p w14:paraId="4B5C6404" w14:textId="77777777" w:rsidR="007F3FD9" w:rsidRDefault="007F3FD9" w:rsidP="007F3FD9">
            <w:pPr>
              <w:jc w:val="right"/>
              <w:rPr>
                <w:color w:val="000000"/>
                <w:sz w:val="16"/>
                <w:szCs w:val="16"/>
              </w:rPr>
            </w:pPr>
            <w:r>
              <w:rPr>
                <w:color w:val="000000"/>
                <w:sz w:val="16"/>
                <w:szCs w:val="16"/>
              </w:rPr>
              <w:t>(34.1, 47.6)</w:t>
            </w:r>
          </w:p>
        </w:tc>
      </w:tr>
      <w:tr w:rsidR="007F3FD9" w:rsidRPr="007B4EF8" w14:paraId="5D52ADBA" w14:textId="77777777" w:rsidTr="00826105">
        <w:trPr>
          <w:jc w:val="center"/>
        </w:trPr>
        <w:tc>
          <w:tcPr>
            <w:tcW w:w="0" w:type="auto"/>
            <w:shd w:val="clear" w:color="auto" w:fill="auto"/>
          </w:tcPr>
          <w:p w14:paraId="6AECDF9B" w14:textId="77777777" w:rsidR="007F3FD9" w:rsidRDefault="007F3FD9" w:rsidP="007F3FD9">
            <w:pPr>
              <w:spacing w:before="20" w:after="20"/>
              <w:ind w:left="34"/>
              <w:rPr>
                <w:rFonts w:eastAsiaTheme="minorEastAsia"/>
                <w:sz w:val="16"/>
                <w:szCs w:val="16"/>
                <w:lang w:eastAsia="en-US"/>
              </w:rPr>
            </w:pPr>
            <w:r>
              <w:rPr>
                <w:rFonts w:eastAsiaTheme="minorEastAsia"/>
                <w:sz w:val="16"/>
                <w:szCs w:val="16"/>
                <w:lang w:eastAsia="en-US"/>
              </w:rPr>
              <w:t>European/Other</w:t>
            </w:r>
          </w:p>
        </w:tc>
        <w:tc>
          <w:tcPr>
            <w:tcW w:w="0" w:type="auto"/>
            <w:shd w:val="clear" w:color="auto" w:fill="auto"/>
          </w:tcPr>
          <w:p w14:paraId="1C4B3293" w14:textId="77777777" w:rsidR="007F3FD9" w:rsidRPr="001B7431" w:rsidRDefault="007F3FD9" w:rsidP="007F3FD9">
            <w:pPr>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0" w:type="auto"/>
            <w:shd w:val="clear" w:color="auto" w:fill="auto"/>
            <w:vAlign w:val="center"/>
          </w:tcPr>
          <w:p w14:paraId="0BDFEF39" w14:textId="77777777" w:rsidR="007F3FD9" w:rsidRDefault="007F3FD9" w:rsidP="007F3FD9">
            <w:pPr>
              <w:jc w:val="right"/>
              <w:rPr>
                <w:color w:val="000000"/>
                <w:sz w:val="16"/>
                <w:szCs w:val="16"/>
              </w:rPr>
            </w:pPr>
            <w:r>
              <w:rPr>
                <w:color w:val="000000"/>
                <w:sz w:val="16"/>
                <w:szCs w:val="16"/>
              </w:rPr>
              <w:t>3499</w:t>
            </w:r>
          </w:p>
        </w:tc>
        <w:tc>
          <w:tcPr>
            <w:tcW w:w="0" w:type="auto"/>
            <w:shd w:val="clear" w:color="auto" w:fill="auto"/>
            <w:vAlign w:val="center"/>
          </w:tcPr>
          <w:p w14:paraId="28E90B91" w14:textId="77777777" w:rsidR="007F3FD9" w:rsidRDefault="007F3FD9" w:rsidP="007F3FD9">
            <w:pPr>
              <w:jc w:val="right"/>
              <w:rPr>
                <w:color w:val="000000"/>
                <w:sz w:val="16"/>
                <w:szCs w:val="16"/>
              </w:rPr>
            </w:pPr>
            <w:r>
              <w:rPr>
                <w:color w:val="000000"/>
                <w:sz w:val="16"/>
                <w:szCs w:val="16"/>
              </w:rPr>
              <w:t>76.7</w:t>
            </w:r>
          </w:p>
        </w:tc>
        <w:tc>
          <w:tcPr>
            <w:tcW w:w="0" w:type="auto"/>
            <w:tcBorders>
              <w:right w:val="single" w:sz="4" w:space="0" w:color="auto"/>
            </w:tcBorders>
            <w:shd w:val="clear" w:color="auto" w:fill="auto"/>
            <w:vAlign w:val="center"/>
          </w:tcPr>
          <w:p w14:paraId="0F6D7373" w14:textId="77777777" w:rsidR="007F3FD9" w:rsidRDefault="007F3FD9" w:rsidP="007F3FD9">
            <w:pPr>
              <w:jc w:val="right"/>
              <w:rPr>
                <w:color w:val="000000"/>
                <w:sz w:val="16"/>
                <w:szCs w:val="16"/>
              </w:rPr>
            </w:pPr>
            <w:r>
              <w:rPr>
                <w:color w:val="000000"/>
                <w:sz w:val="16"/>
                <w:szCs w:val="16"/>
              </w:rPr>
              <w:t>(75.1, 78.3)</w:t>
            </w:r>
          </w:p>
        </w:tc>
        <w:tc>
          <w:tcPr>
            <w:tcW w:w="0" w:type="auto"/>
            <w:tcBorders>
              <w:left w:val="single" w:sz="4" w:space="0" w:color="auto"/>
            </w:tcBorders>
            <w:shd w:val="clear" w:color="auto" w:fill="auto"/>
            <w:vAlign w:val="center"/>
          </w:tcPr>
          <w:p w14:paraId="74F2B7F9" w14:textId="77777777" w:rsidR="007F3FD9" w:rsidRDefault="007F3FD9" w:rsidP="007F3FD9">
            <w:pPr>
              <w:jc w:val="right"/>
              <w:rPr>
                <w:color w:val="000000"/>
                <w:sz w:val="16"/>
                <w:szCs w:val="16"/>
              </w:rPr>
            </w:pPr>
            <w:r>
              <w:rPr>
                <w:color w:val="000000"/>
                <w:sz w:val="16"/>
                <w:szCs w:val="16"/>
              </w:rPr>
              <w:t>2062</w:t>
            </w:r>
          </w:p>
        </w:tc>
        <w:tc>
          <w:tcPr>
            <w:tcW w:w="0" w:type="auto"/>
            <w:shd w:val="clear" w:color="auto" w:fill="auto"/>
            <w:vAlign w:val="center"/>
          </w:tcPr>
          <w:p w14:paraId="1E88CA50" w14:textId="77777777" w:rsidR="007F3FD9" w:rsidRDefault="007F3FD9" w:rsidP="007F3FD9">
            <w:pPr>
              <w:jc w:val="right"/>
              <w:rPr>
                <w:color w:val="000000"/>
                <w:sz w:val="16"/>
                <w:szCs w:val="16"/>
              </w:rPr>
            </w:pPr>
            <w:r>
              <w:rPr>
                <w:color w:val="000000"/>
                <w:sz w:val="16"/>
                <w:szCs w:val="16"/>
              </w:rPr>
              <w:t>74.6</w:t>
            </w:r>
          </w:p>
        </w:tc>
        <w:tc>
          <w:tcPr>
            <w:tcW w:w="0" w:type="auto"/>
            <w:tcBorders>
              <w:right w:val="single" w:sz="4" w:space="0" w:color="auto"/>
            </w:tcBorders>
            <w:shd w:val="clear" w:color="auto" w:fill="auto"/>
            <w:vAlign w:val="center"/>
          </w:tcPr>
          <w:p w14:paraId="00C62679" w14:textId="77777777" w:rsidR="007F3FD9" w:rsidRDefault="007F3FD9" w:rsidP="007F3FD9">
            <w:pPr>
              <w:jc w:val="right"/>
              <w:rPr>
                <w:color w:val="000000"/>
                <w:sz w:val="16"/>
                <w:szCs w:val="16"/>
              </w:rPr>
            </w:pPr>
            <w:r>
              <w:rPr>
                <w:color w:val="000000"/>
                <w:sz w:val="16"/>
                <w:szCs w:val="16"/>
              </w:rPr>
              <w:t>(72.5, 76.6)</w:t>
            </w:r>
          </w:p>
        </w:tc>
        <w:tc>
          <w:tcPr>
            <w:tcW w:w="0" w:type="auto"/>
            <w:tcBorders>
              <w:left w:val="single" w:sz="4" w:space="0" w:color="auto"/>
            </w:tcBorders>
            <w:shd w:val="clear" w:color="auto" w:fill="auto"/>
            <w:vAlign w:val="center"/>
          </w:tcPr>
          <w:p w14:paraId="4CBEA767" w14:textId="77777777" w:rsidR="007F3FD9" w:rsidRDefault="007F3FD9" w:rsidP="007F3FD9">
            <w:pPr>
              <w:jc w:val="right"/>
              <w:rPr>
                <w:color w:val="000000"/>
                <w:sz w:val="16"/>
                <w:szCs w:val="16"/>
              </w:rPr>
            </w:pPr>
            <w:r>
              <w:rPr>
                <w:color w:val="000000"/>
                <w:sz w:val="16"/>
                <w:szCs w:val="16"/>
              </w:rPr>
              <w:t>1722</w:t>
            </w:r>
          </w:p>
        </w:tc>
        <w:tc>
          <w:tcPr>
            <w:tcW w:w="0" w:type="auto"/>
            <w:shd w:val="clear" w:color="auto" w:fill="auto"/>
            <w:vAlign w:val="center"/>
          </w:tcPr>
          <w:p w14:paraId="49290425" w14:textId="77777777" w:rsidR="007F3FD9" w:rsidRDefault="007F3FD9" w:rsidP="007F3FD9">
            <w:pPr>
              <w:jc w:val="right"/>
              <w:rPr>
                <w:color w:val="000000"/>
                <w:sz w:val="16"/>
                <w:szCs w:val="16"/>
              </w:rPr>
            </w:pPr>
            <w:r>
              <w:rPr>
                <w:color w:val="000000"/>
                <w:sz w:val="16"/>
                <w:szCs w:val="16"/>
              </w:rPr>
              <w:t>74.7</w:t>
            </w:r>
          </w:p>
        </w:tc>
        <w:tc>
          <w:tcPr>
            <w:tcW w:w="0" w:type="auto"/>
            <w:tcBorders>
              <w:right w:val="single" w:sz="4" w:space="0" w:color="auto"/>
            </w:tcBorders>
            <w:shd w:val="clear" w:color="auto" w:fill="auto"/>
            <w:vAlign w:val="center"/>
          </w:tcPr>
          <w:p w14:paraId="4590C9B2" w14:textId="77777777" w:rsidR="007F3FD9" w:rsidRDefault="007F3FD9" w:rsidP="007F3FD9">
            <w:pPr>
              <w:jc w:val="right"/>
              <w:rPr>
                <w:color w:val="000000"/>
                <w:sz w:val="16"/>
                <w:szCs w:val="16"/>
              </w:rPr>
            </w:pPr>
            <w:r>
              <w:rPr>
                <w:color w:val="000000"/>
                <w:sz w:val="16"/>
                <w:szCs w:val="16"/>
              </w:rPr>
              <w:t>(72.3, 77</w:t>
            </w:r>
            <w:r w:rsidR="00454B56">
              <w:rPr>
                <w:color w:val="000000"/>
                <w:sz w:val="16"/>
                <w:szCs w:val="16"/>
              </w:rPr>
              <w:t>.0</w:t>
            </w:r>
            <w:r>
              <w:rPr>
                <w:color w:val="000000"/>
                <w:sz w:val="16"/>
                <w:szCs w:val="16"/>
              </w:rPr>
              <w:t>)</w:t>
            </w:r>
          </w:p>
        </w:tc>
        <w:tc>
          <w:tcPr>
            <w:tcW w:w="0" w:type="auto"/>
            <w:tcBorders>
              <w:left w:val="single" w:sz="4" w:space="0" w:color="auto"/>
            </w:tcBorders>
            <w:shd w:val="clear" w:color="auto" w:fill="auto"/>
            <w:vAlign w:val="center"/>
          </w:tcPr>
          <w:p w14:paraId="5E968BBA" w14:textId="77777777" w:rsidR="007F3FD9" w:rsidRDefault="007F3FD9" w:rsidP="007F3FD9">
            <w:pPr>
              <w:jc w:val="right"/>
              <w:rPr>
                <w:color w:val="000000"/>
                <w:sz w:val="16"/>
                <w:szCs w:val="16"/>
              </w:rPr>
            </w:pPr>
            <w:r>
              <w:rPr>
                <w:color w:val="000000"/>
                <w:sz w:val="16"/>
                <w:szCs w:val="16"/>
              </w:rPr>
              <w:t>1463</w:t>
            </w:r>
          </w:p>
        </w:tc>
        <w:tc>
          <w:tcPr>
            <w:tcW w:w="0" w:type="auto"/>
            <w:shd w:val="clear" w:color="auto" w:fill="auto"/>
            <w:vAlign w:val="center"/>
          </w:tcPr>
          <w:p w14:paraId="507B4525" w14:textId="77777777" w:rsidR="007F3FD9" w:rsidRDefault="007F3FD9" w:rsidP="007F3FD9">
            <w:pPr>
              <w:jc w:val="right"/>
              <w:rPr>
                <w:color w:val="000000"/>
                <w:sz w:val="16"/>
                <w:szCs w:val="16"/>
              </w:rPr>
            </w:pPr>
            <w:r>
              <w:rPr>
                <w:color w:val="000000"/>
                <w:sz w:val="16"/>
                <w:szCs w:val="16"/>
              </w:rPr>
              <w:t>71.7</w:t>
            </w:r>
          </w:p>
        </w:tc>
        <w:tc>
          <w:tcPr>
            <w:tcW w:w="0" w:type="auto"/>
            <w:shd w:val="clear" w:color="auto" w:fill="auto"/>
            <w:vAlign w:val="center"/>
          </w:tcPr>
          <w:p w14:paraId="24188FD5" w14:textId="77777777" w:rsidR="007F3FD9" w:rsidRDefault="007F3FD9" w:rsidP="007F3FD9">
            <w:pPr>
              <w:jc w:val="right"/>
              <w:rPr>
                <w:color w:val="000000"/>
                <w:sz w:val="16"/>
                <w:szCs w:val="16"/>
              </w:rPr>
            </w:pPr>
            <w:r>
              <w:rPr>
                <w:color w:val="000000"/>
                <w:sz w:val="16"/>
                <w:szCs w:val="16"/>
              </w:rPr>
              <w:t>(69.0, 74.3)</w:t>
            </w:r>
          </w:p>
        </w:tc>
      </w:tr>
      <w:tr w:rsidR="007F3FD9" w:rsidRPr="007B4EF8" w14:paraId="73F0ED72" w14:textId="77777777" w:rsidTr="00826105">
        <w:trPr>
          <w:jc w:val="center"/>
        </w:trPr>
        <w:tc>
          <w:tcPr>
            <w:tcW w:w="0" w:type="auto"/>
            <w:shd w:val="clear" w:color="auto" w:fill="auto"/>
          </w:tcPr>
          <w:p w14:paraId="47DFA01F" w14:textId="77777777" w:rsidR="007F3FD9" w:rsidRDefault="007F3FD9" w:rsidP="007F3FD9">
            <w:pPr>
              <w:spacing w:before="20" w:after="20"/>
              <w:ind w:left="34"/>
              <w:rPr>
                <w:rFonts w:eastAsiaTheme="minorEastAsia"/>
                <w:sz w:val="16"/>
                <w:szCs w:val="16"/>
                <w:lang w:eastAsia="en-US"/>
              </w:rPr>
            </w:pPr>
          </w:p>
        </w:tc>
        <w:tc>
          <w:tcPr>
            <w:tcW w:w="0" w:type="auto"/>
            <w:shd w:val="clear" w:color="auto" w:fill="auto"/>
          </w:tcPr>
          <w:p w14:paraId="690EA026" w14:textId="77777777" w:rsidR="007F3FD9" w:rsidRPr="001B7431" w:rsidRDefault="007F3FD9" w:rsidP="007F3FD9">
            <w:pPr>
              <w:spacing w:before="20" w:after="20"/>
              <w:ind w:left="34"/>
              <w:rPr>
                <w:rFonts w:eastAsiaTheme="minorEastAsia"/>
                <w:sz w:val="16"/>
                <w:szCs w:val="16"/>
                <w:lang w:eastAsia="en-US"/>
              </w:rPr>
            </w:pPr>
            <w:r>
              <w:rPr>
                <w:rFonts w:eastAsiaTheme="minorEastAsia"/>
                <w:sz w:val="16"/>
                <w:szCs w:val="16"/>
                <w:lang w:eastAsia="en-US"/>
              </w:rPr>
              <w:t>Low-risk gambler</w:t>
            </w:r>
          </w:p>
        </w:tc>
        <w:tc>
          <w:tcPr>
            <w:tcW w:w="0" w:type="auto"/>
            <w:shd w:val="clear" w:color="auto" w:fill="auto"/>
            <w:vAlign w:val="center"/>
          </w:tcPr>
          <w:p w14:paraId="7122B84E" w14:textId="77777777" w:rsidR="007F3FD9" w:rsidRDefault="007F3FD9" w:rsidP="007F3FD9">
            <w:pPr>
              <w:jc w:val="right"/>
              <w:rPr>
                <w:color w:val="000000"/>
                <w:sz w:val="16"/>
                <w:szCs w:val="16"/>
              </w:rPr>
            </w:pPr>
            <w:r>
              <w:rPr>
                <w:color w:val="000000"/>
                <w:sz w:val="16"/>
                <w:szCs w:val="16"/>
              </w:rPr>
              <w:t>189</w:t>
            </w:r>
          </w:p>
        </w:tc>
        <w:tc>
          <w:tcPr>
            <w:tcW w:w="0" w:type="auto"/>
            <w:shd w:val="clear" w:color="auto" w:fill="auto"/>
            <w:vAlign w:val="center"/>
          </w:tcPr>
          <w:p w14:paraId="5C0574C1" w14:textId="77777777" w:rsidR="007F3FD9" w:rsidRDefault="007F3FD9" w:rsidP="007F3FD9">
            <w:pPr>
              <w:jc w:val="right"/>
              <w:rPr>
                <w:color w:val="000000"/>
                <w:sz w:val="16"/>
                <w:szCs w:val="16"/>
              </w:rPr>
            </w:pPr>
            <w:r>
              <w:rPr>
                <w:color w:val="000000"/>
                <w:sz w:val="16"/>
                <w:szCs w:val="16"/>
              </w:rPr>
              <w:t>4.1</w:t>
            </w:r>
          </w:p>
        </w:tc>
        <w:tc>
          <w:tcPr>
            <w:tcW w:w="0" w:type="auto"/>
            <w:tcBorders>
              <w:right w:val="single" w:sz="4" w:space="0" w:color="auto"/>
            </w:tcBorders>
            <w:shd w:val="clear" w:color="auto" w:fill="auto"/>
            <w:vAlign w:val="center"/>
          </w:tcPr>
          <w:p w14:paraId="585D0A05" w14:textId="77777777" w:rsidR="007F3FD9" w:rsidRDefault="007F3FD9" w:rsidP="007F3FD9">
            <w:pPr>
              <w:jc w:val="right"/>
              <w:rPr>
                <w:color w:val="000000"/>
                <w:sz w:val="16"/>
                <w:szCs w:val="16"/>
              </w:rPr>
            </w:pPr>
            <w:r>
              <w:rPr>
                <w:color w:val="000000"/>
                <w:sz w:val="16"/>
                <w:szCs w:val="16"/>
              </w:rPr>
              <w:t>(3.3, 4.9)</w:t>
            </w:r>
          </w:p>
        </w:tc>
        <w:tc>
          <w:tcPr>
            <w:tcW w:w="0" w:type="auto"/>
            <w:tcBorders>
              <w:left w:val="single" w:sz="4" w:space="0" w:color="auto"/>
            </w:tcBorders>
            <w:shd w:val="clear" w:color="auto" w:fill="auto"/>
            <w:vAlign w:val="center"/>
          </w:tcPr>
          <w:p w14:paraId="04564FF7" w14:textId="77777777" w:rsidR="007F3FD9" w:rsidRDefault="007F3FD9" w:rsidP="007F3FD9">
            <w:pPr>
              <w:jc w:val="right"/>
              <w:rPr>
                <w:color w:val="000000"/>
                <w:sz w:val="16"/>
                <w:szCs w:val="16"/>
              </w:rPr>
            </w:pPr>
            <w:r>
              <w:rPr>
                <w:color w:val="000000"/>
                <w:sz w:val="16"/>
                <w:szCs w:val="16"/>
              </w:rPr>
              <w:t>129</w:t>
            </w:r>
          </w:p>
        </w:tc>
        <w:tc>
          <w:tcPr>
            <w:tcW w:w="0" w:type="auto"/>
            <w:shd w:val="clear" w:color="auto" w:fill="auto"/>
            <w:vAlign w:val="center"/>
          </w:tcPr>
          <w:p w14:paraId="7E466AA7" w14:textId="77777777" w:rsidR="007F3FD9" w:rsidRDefault="007F3FD9" w:rsidP="007F3FD9">
            <w:pPr>
              <w:jc w:val="right"/>
              <w:rPr>
                <w:color w:val="000000"/>
                <w:sz w:val="16"/>
                <w:szCs w:val="16"/>
              </w:rPr>
            </w:pPr>
            <w:r>
              <w:rPr>
                <w:color w:val="000000"/>
                <w:sz w:val="16"/>
                <w:szCs w:val="16"/>
              </w:rPr>
              <w:t>4.6</w:t>
            </w:r>
          </w:p>
        </w:tc>
        <w:tc>
          <w:tcPr>
            <w:tcW w:w="0" w:type="auto"/>
            <w:tcBorders>
              <w:right w:val="single" w:sz="4" w:space="0" w:color="auto"/>
            </w:tcBorders>
            <w:shd w:val="clear" w:color="auto" w:fill="auto"/>
            <w:vAlign w:val="center"/>
          </w:tcPr>
          <w:p w14:paraId="6E768426" w14:textId="77777777" w:rsidR="007F3FD9" w:rsidRDefault="007F3FD9" w:rsidP="007F3FD9">
            <w:pPr>
              <w:jc w:val="right"/>
              <w:rPr>
                <w:color w:val="000000"/>
                <w:sz w:val="16"/>
                <w:szCs w:val="16"/>
              </w:rPr>
            </w:pPr>
            <w:r>
              <w:rPr>
                <w:color w:val="000000"/>
                <w:sz w:val="16"/>
                <w:szCs w:val="16"/>
              </w:rPr>
              <w:t>(3.7, 5.6)</w:t>
            </w:r>
          </w:p>
        </w:tc>
        <w:tc>
          <w:tcPr>
            <w:tcW w:w="0" w:type="auto"/>
            <w:tcBorders>
              <w:left w:val="single" w:sz="4" w:space="0" w:color="auto"/>
            </w:tcBorders>
            <w:shd w:val="clear" w:color="auto" w:fill="auto"/>
            <w:vAlign w:val="center"/>
          </w:tcPr>
          <w:p w14:paraId="53B88CD5" w14:textId="77777777" w:rsidR="007F3FD9" w:rsidRDefault="007F3FD9" w:rsidP="007F3FD9">
            <w:pPr>
              <w:jc w:val="right"/>
              <w:rPr>
                <w:color w:val="000000"/>
                <w:sz w:val="16"/>
                <w:szCs w:val="16"/>
              </w:rPr>
            </w:pPr>
            <w:r>
              <w:rPr>
                <w:color w:val="000000"/>
                <w:sz w:val="16"/>
                <w:szCs w:val="16"/>
              </w:rPr>
              <w:t>93</w:t>
            </w:r>
          </w:p>
        </w:tc>
        <w:tc>
          <w:tcPr>
            <w:tcW w:w="0" w:type="auto"/>
            <w:shd w:val="clear" w:color="auto" w:fill="auto"/>
            <w:vAlign w:val="center"/>
          </w:tcPr>
          <w:p w14:paraId="69FF97ED" w14:textId="77777777" w:rsidR="007F3FD9" w:rsidRDefault="007F3FD9" w:rsidP="007F3FD9">
            <w:pPr>
              <w:jc w:val="right"/>
              <w:rPr>
                <w:color w:val="000000"/>
                <w:sz w:val="16"/>
                <w:szCs w:val="16"/>
              </w:rPr>
            </w:pPr>
            <w:r>
              <w:rPr>
                <w:color w:val="000000"/>
                <w:sz w:val="16"/>
                <w:szCs w:val="16"/>
              </w:rPr>
              <w:t>4.0</w:t>
            </w:r>
          </w:p>
        </w:tc>
        <w:tc>
          <w:tcPr>
            <w:tcW w:w="0" w:type="auto"/>
            <w:tcBorders>
              <w:right w:val="single" w:sz="4" w:space="0" w:color="auto"/>
            </w:tcBorders>
            <w:shd w:val="clear" w:color="auto" w:fill="auto"/>
            <w:vAlign w:val="center"/>
          </w:tcPr>
          <w:p w14:paraId="0D74430E" w14:textId="77777777" w:rsidR="007F3FD9" w:rsidRDefault="007F3FD9" w:rsidP="007F3FD9">
            <w:pPr>
              <w:jc w:val="right"/>
              <w:rPr>
                <w:color w:val="000000"/>
                <w:sz w:val="16"/>
                <w:szCs w:val="16"/>
              </w:rPr>
            </w:pPr>
            <w:r>
              <w:rPr>
                <w:color w:val="000000"/>
                <w:sz w:val="16"/>
                <w:szCs w:val="16"/>
              </w:rPr>
              <w:t>(3.1, 5.0)</w:t>
            </w:r>
          </w:p>
        </w:tc>
        <w:tc>
          <w:tcPr>
            <w:tcW w:w="0" w:type="auto"/>
            <w:tcBorders>
              <w:left w:val="single" w:sz="4" w:space="0" w:color="auto"/>
            </w:tcBorders>
            <w:shd w:val="clear" w:color="auto" w:fill="auto"/>
            <w:vAlign w:val="center"/>
          </w:tcPr>
          <w:p w14:paraId="403D2F67" w14:textId="77777777" w:rsidR="007F3FD9" w:rsidRDefault="007F3FD9" w:rsidP="007F3FD9">
            <w:pPr>
              <w:jc w:val="right"/>
              <w:rPr>
                <w:color w:val="000000"/>
                <w:sz w:val="16"/>
                <w:szCs w:val="16"/>
              </w:rPr>
            </w:pPr>
            <w:r>
              <w:rPr>
                <w:color w:val="000000"/>
                <w:sz w:val="16"/>
                <w:szCs w:val="16"/>
              </w:rPr>
              <w:t>84</w:t>
            </w:r>
          </w:p>
        </w:tc>
        <w:tc>
          <w:tcPr>
            <w:tcW w:w="0" w:type="auto"/>
            <w:shd w:val="clear" w:color="auto" w:fill="auto"/>
            <w:vAlign w:val="center"/>
          </w:tcPr>
          <w:p w14:paraId="0650488E" w14:textId="77777777" w:rsidR="007F3FD9" w:rsidRDefault="007F3FD9" w:rsidP="007F3FD9">
            <w:pPr>
              <w:jc w:val="right"/>
              <w:rPr>
                <w:color w:val="000000"/>
                <w:sz w:val="16"/>
                <w:szCs w:val="16"/>
              </w:rPr>
            </w:pPr>
            <w:r>
              <w:rPr>
                <w:color w:val="000000"/>
                <w:sz w:val="16"/>
                <w:szCs w:val="16"/>
              </w:rPr>
              <w:t>4.1</w:t>
            </w:r>
          </w:p>
        </w:tc>
        <w:tc>
          <w:tcPr>
            <w:tcW w:w="0" w:type="auto"/>
            <w:shd w:val="clear" w:color="auto" w:fill="auto"/>
            <w:vAlign w:val="center"/>
          </w:tcPr>
          <w:p w14:paraId="50FC23A9" w14:textId="77777777" w:rsidR="007F3FD9" w:rsidRDefault="007F3FD9" w:rsidP="007F3FD9">
            <w:pPr>
              <w:jc w:val="right"/>
              <w:rPr>
                <w:color w:val="000000"/>
                <w:sz w:val="16"/>
                <w:szCs w:val="16"/>
              </w:rPr>
            </w:pPr>
            <w:r>
              <w:rPr>
                <w:color w:val="000000"/>
                <w:sz w:val="16"/>
                <w:szCs w:val="16"/>
              </w:rPr>
              <w:t>(3.0, 5.3)</w:t>
            </w:r>
          </w:p>
        </w:tc>
      </w:tr>
      <w:tr w:rsidR="007F3FD9" w:rsidRPr="007B4EF8" w14:paraId="38374029" w14:textId="77777777" w:rsidTr="00826105">
        <w:trPr>
          <w:jc w:val="center"/>
        </w:trPr>
        <w:tc>
          <w:tcPr>
            <w:tcW w:w="0" w:type="auto"/>
            <w:shd w:val="clear" w:color="auto" w:fill="auto"/>
          </w:tcPr>
          <w:p w14:paraId="7CD2338F" w14:textId="77777777" w:rsidR="007F3FD9" w:rsidRDefault="007F3FD9" w:rsidP="007F3FD9">
            <w:pPr>
              <w:spacing w:before="20" w:after="20"/>
              <w:ind w:left="34"/>
              <w:rPr>
                <w:rFonts w:eastAsiaTheme="minorEastAsia"/>
                <w:sz w:val="16"/>
                <w:szCs w:val="16"/>
                <w:lang w:eastAsia="en-US"/>
              </w:rPr>
            </w:pPr>
          </w:p>
        </w:tc>
        <w:tc>
          <w:tcPr>
            <w:tcW w:w="0" w:type="auto"/>
            <w:shd w:val="clear" w:color="auto" w:fill="auto"/>
          </w:tcPr>
          <w:p w14:paraId="2710EC9D" w14:textId="77777777" w:rsidR="007F3FD9" w:rsidRPr="001B7431" w:rsidRDefault="007F3FD9" w:rsidP="007F3FD9">
            <w:pPr>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0" w:type="auto"/>
            <w:shd w:val="clear" w:color="auto" w:fill="auto"/>
            <w:vAlign w:val="center"/>
          </w:tcPr>
          <w:p w14:paraId="4F51F9A8" w14:textId="77777777" w:rsidR="007F3FD9" w:rsidRDefault="007F3FD9" w:rsidP="007F3FD9">
            <w:pPr>
              <w:jc w:val="right"/>
              <w:rPr>
                <w:color w:val="000000"/>
                <w:sz w:val="16"/>
                <w:szCs w:val="16"/>
              </w:rPr>
            </w:pPr>
            <w:r>
              <w:rPr>
                <w:color w:val="000000"/>
                <w:sz w:val="16"/>
                <w:szCs w:val="16"/>
              </w:rPr>
              <w:t>68</w:t>
            </w:r>
          </w:p>
        </w:tc>
        <w:tc>
          <w:tcPr>
            <w:tcW w:w="0" w:type="auto"/>
            <w:shd w:val="clear" w:color="auto" w:fill="auto"/>
            <w:vAlign w:val="center"/>
          </w:tcPr>
          <w:p w14:paraId="16E38BD5" w14:textId="77777777" w:rsidR="007F3FD9" w:rsidRDefault="007F3FD9" w:rsidP="007F3FD9">
            <w:pPr>
              <w:jc w:val="right"/>
              <w:rPr>
                <w:color w:val="000000"/>
                <w:sz w:val="16"/>
                <w:szCs w:val="16"/>
              </w:rPr>
            </w:pPr>
            <w:r>
              <w:rPr>
                <w:color w:val="000000"/>
                <w:sz w:val="16"/>
                <w:szCs w:val="16"/>
              </w:rPr>
              <w:t>1.5</w:t>
            </w:r>
          </w:p>
        </w:tc>
        <w:tc>
          <w:tcPr>
            <w:tcW w:w="0" w:type="auto"/>
            <w:tcBorders>
              <w:right w:val="single" w:sz="4" w:space="0" w:color="auto"/>
            </w:tcBorders>
            <w:shd w:val="clear" w:color="auto" w:fill="auto"/>
            <w:vAlign w:val="center"/>
          </w:tcPr>
          <w:p w14:paraId="32783023" w14:textId="77777777" w:rsidR="007F3FD9" w:rsidRDefault="007F3FD9" w:rsidP="007F3FD9">
            <w:pPr>
              <w:jc w:val="right"/>
              <w:rPr>
                <w:color w:val="000000"/>
                <w:sz w:val="16"/>
                <w:szCs w:val="16"/>
              </w:rPr>
            </w:pPr>
            <w:r>
              <w:rPr>
                <w:color w:val="000000"/>
                <w:sz w:val="16"/>
                <w:szCs w:val="16"/>
              </w:rPr>
              <w:t>(1.0, 2.0)</w:t>
            </w:r>
          </w:p>
        </w:tc>
        <w:tc>
          <w:tcPr>
            <w:tcW w:w="0" w:type="auto"/>
            <w:tcBorders>
              <w:left w:val="single" w:sz="4" w:space="0" w:color="auto"/>
            </w:tcBorders>
            <w:shd w:val="clear" w:color="auto" w:fill="auto"/>
            <w:vAlign w:val="center"/>
          </w:tcPr>
          <w:p w14:paraId="47DB8CAD" w14:textId="77777777" w:rsidR="007F3FD9" w:rsidRDefault="007F3FD9" w:rsidP="007F3FD9">
            <w:pPr>
              <w:jc w:val="right"/>
              <w:rPr>
                <w:color w:val="000000"/>
                <w:sz w:val="16"/>
                <w:szCs w:val="16"/>
              </w:rPr>
            </w:pPr>
            <w:r>
              <w:rPr>
                <w:color w:val="000000"/>
                <w:sz w:val="16"/>
                <w:szCs w:val="16"/>
              </w:rPr>
              <w:t>32</w:t>
            </w:r>
          </w:p>
        </w:tc>
        <w:tc>
          <w:tcPr>
            <w:tcW w:w="0" w:type="auto"/>
            <w:shd w:val="clear" w:color="auto" w:fill="auto"/>
            <w:vAlign w:val="center"/>
          </w:tcPr>
          <w:p w14:paraId="4CB09A25" w14:textId="77777777" w:rsidR="007F3FD9" w:rsidRDefault="007F3FD9" w:rsidP="007F3FD9">
            <w:pPr>
              <w:jc w:val="right"/>
              <w:rPr>
                <w:color w:val="000000"/>
                <w:sz w:val="16"/>
                <w:szCs w:val="16"/>
              </w:rPr>
            </w:pPr>
            <w:r>
              <w:rPr>
                <w:color w:val="000000"/>
                <w:sz w:val="16"/>
                <w:szCs w:val="16"/>
              </w:rPr>
              <w:t>1.2</w:t>
            </w:r>
          </w:p>
        </w:tc>
        <w:tc>
          <w:tcPr>
            <w:tcW w:w="0" w:type="auto"/>
            <w:tcBorders>
              <w:right w:val="single" w:sz="4" w:space="0" w:color="auto"/>
            </w:tcBorders>
            <w:shd w:val="clear" w:color="auto" w:fill="auto"/>
            <w:vAlign w:val="center"/>
          </w:tcPr>
          <w:p w14:paraId="2E165A5B" w14:textId="77777777" w:rsidR="007F3FD9" w:rsidRDefault="007F3FD9" w:rsidP="007F3FD9">
            <w:pPr>
              <w:jc w:val="right"/>
              <w:rPr>
                <w:color w:val="000000"/>
                <w:sz w:val="16"/>
                <w:szCs w:val="16"/>
              </w:rPr>
            </w:pPr>
            <w:r>
              <w:rPr>
                <w:color w:val="000000"/>
                <w:sz w:val="16"/>
                <w:szCs w:val="16"/>
              </w:rPr>
              <w:t>(0.7, 1.7)</w:t>
            </w:r>
          </w:p>
        </w:tc>
        <w:tc>
          <w:tcPr>
            <w:tcW w:w="0" w:type="auto"/>
            <w:tcBorders>
              <w:left w:val="single" w:sz="4" w:space="0" w:color="auto"/>
            </w:tcBorders>
            <w:shd w:val="clear" w:color="auto" w:fill="auto"/>
            <w:vAlign w:val="center"/>
          </w:tcPr>
          <w:p w14:paraId="2A951187" w14:textId="77777777" w:rsidR="007F3FD9" w:rsidRDefault="007F3FD9" w:rsidP="007F3FD9">
            <w:pPr>
              <w:jc w:val="right"/>
              <w:rPr>
                <w:color w:val="000000"/>
                <w:sz w:val="16"/>
                <w:szCs w:val="16"/>
              </w:rPr>
            </w:pPr>
            <w:r>
              <w:rPr>
                <w:color w:val="000000"/>
                <w:sz w:val="16"/>
                <w:szCs w:val="16"/>
              </w:rPr>
              <w:t>18</w:t>
            </w:r>
          </w:p>
        </w:tc>
        <w:tc>
          <w:tcPr>
            <w:tcW w:w="0" w:type="auto"/>
            <w:shd w:val="clear" w:color="auto" w:fill="auto"/>
            <w:vAlign w:val="center"/>
          </w:tcPr>
          <w:p w14:paraId="33CE31EC" w14:textId="77777777" w:rsidR="007F3FD9" w:rsidRDefault="007F3FD9" w:rsidP="007F3FD9">
            <w:pPr>
              <w:jc w:val="right"/>
              <w:rPr>
                <w:color w:val="000000"/>
                <w:sz w:val="16"/>
                <w:szCs w:val="16"/>
              </w:rPr>
            </w:pPr>
            <w:r>
              <w:rPr>
                <w:color w:val="000000"/>
                <w:sz w:val="16"/>
                <w:szCs w:val="16"/>
              </w:rPr>
              <w:t>0.8</w:t>
            </w:r>
          </w:p>
        </w:tc>
        <w:tc>
          <w:tcPr>
            <w:tcW w:w="0" w:type="auto"/>
            <w:tcBorders>
              <w:right w:val="single" w:sz="4" w:space="0" w:color="auto"/>
            </w:tcBorders>
            <w:shd w:val="clear" w:color="auto" w:fill="auto"/>
            <w:vAlign w:val="center"/>
          </w:tcPr>
          <w:p w14:paraId="085E0853" w14:textId="77777777" w:rsidR="007F3FD9" w:rsidRDefault="007F3FD9" w:rsidP="007F3FD9">
            <w:pPr>
              <w:jc w:val="right"/>
              <w:rPr>
                <w:color w:val="000000"/>
                <w:sz w:val="16"/>
                <w:szCs w:val="16"/>
              </w:rPr>
            </w:pPr>
            <w:r>
              <w:rPr>
                <w:color w:val="000000"/>
                <w:sz w:val="16"/>
                <w:szCs w:val="16"/>
              </w:rPr>
              <w:t>(0.4, 1.2)</w:t>
            </w:r>
          </w:p>
        </w:tc>
        <w:tc>
          <w:tcPr>
            <w:tcW w:w="0" w:type="auto"/>
            <w:tcBorders>
              <w:left w:val="single" w:sz="4" w:space="0" w:color="auto"/>
            </w:tcBorders>
            <w:shd w:val="clear" w:color="auto" w:fill="auto"/>
            <w:vAlign w:val="center"/>
          </w:tcPr>
          <w:p w14:paraId="1A72069C" w14:textId="77777777" w:rsidR="007F3FD9" w:rsidRDefault="007F3FD9" w:rsidP="007F3FD9">
            <w:pPr>
              <w:jc w:val="right"/>
              <w:rPr>
                <w:color w:val="000000"/>
                <w:sz w:val="16"/>
                <w:szCs w:val="16"/>
              </w:rPr>
            </w:pPr>
            <w:r>
              <w:rPr>
                <w:color w:val="000000"/>
                <w:sz w:val="16"/>
                <w:szCs w:val="16"/>
              </w:rPr>
              <w:t>19</w:t>
            </w:r>
          </w:p>
        </w:tc>
        <w:tc>
          <w:tcPr>
            <w:tcW w:w="0" w:type="auto"/>
            <w:shd w:val="clear" w:color="auto" w:fill="auto"/>
            <w:vAlign w:val="center"/>
          </w:tcPr>
          <w:p w14:paraId="237459D4" w14:textId="77777777" w:rsidR="007F3FD9" w:rsidRDefault="007F3FD9" w:rsidP="007F3FD9">
            <w:pPr>
              <w:jc w:val="right"/>
              <w:rPr>
                <w:color w:val="000000"/>
                <w:sz w:val="16"/>
                <w:szCs w:val="16"/>
              </w:rPr>
            </w:pPr>
            <w:r>
              <w:rPr>
                <w:color w:val="000000"/>
                <w:sz w:val="16"/>
                <w:szCs w:val="16"/>
              </w:rPr>
              <w:t>0.9</w:t>
            </w:r>
          </w:p>
        </w:tc>
        <w:tc>
          <w:tcPr>
            <w:tcW w:w="0" w:type="auto"/>
            <w:shd w:val="clear" w:color="auto" w:fill="auto"/>
            <w:vAlign w:val="center"/>
          </w:tcPr>
          <w:p w14:paraId="41A6D49C" w14:textId="77777777" w:rsidR="007F3FD9" w:rsidRDefault="007F3FD9" w:rsidP="007F3FD9">
            <w:pPr>
              <w:jc w:val="right"/>
              <w:rPr>
                <w:color w:val="000000"/>
                <w:sz w:val="16"/>
                <w:szCs w:val="16"/>
              </w:rPr>
            </w:pPr>
            <w:r>
              <w:rPr>
                <w:color w:val="000000"/>
                <w:sz w:val="16"/>
                <w:szCs w:val="16"/>
              </w:rPr>
              <w:t>(0.5, 1.4)</w:t>
            </w:r>
          </w:p>
        </w:tc>
      </w:tr>
      <w:tr w:rsidR="007F3FD9" w:rsidRPr="007B4EF8" w14:paraId="0AC75C6E" w14:textId="77777777" w:rsidTr="00826105">
        <w:trPr>
          <w:jc w:val="center"/>
        </w:trPr>
        <w:tc>
          <w:tcPr>
            <w:tcW w:w="0" w:type="auto"/>
            <w:shd w:val="clear" w:color="auto" w:fill="auto"/>
          </w:tcPr>
          <w:p w14:paraId="3AA5366B" w14:textId="77777777" w:rsidR="007F3FD9" w:rsidRDefault="007F3FD9" w:rsidP="007F3FD9">
            <w:pPr>
              <w:spacing w:before="20" w:after="20"/>
              <w:ind w:left="34"/>
              <w:rPr>
                <w:rFonts w:eastAsiaTheme="minorEastAsia"/>
                <w:sz w:val="16"/>
                <w:szCs w:val="16"/>
                <w:lang w:eastAsia="en-US"/>
              </w:rPr>
            </w:pPr>
          </w:p>
        </w:tc>
        <w:tc>
          <w:tcPr>
            <w:tcW w:w="0" w:type="auto"/>
            <w:shd w:val="clear" w:color="auto" w:fill="auto"/>
          </w:tcPr>
          <w:p w14:paraId="6F257252" w14:textId="77777777" w:rsidR="007F3FD9" w:rsidRPr="001B7431" w:rsidRDefault="007F3FD9" w:rsidP="007F3FD9">
            <w:pPr>
              <w:spacing w:before="20" w:after="20"/>
              <w:ind w:left="34"/>
              <w:rPr>
                <w:rFonts w:eastAsiaTheme="minorEastAsia"/>
                <w:sz w:val="16"/>
                <w:szCs w:val="16"/>
                <w:lang w:eastAsia="en-US"/>
              </w:rPr>
            </w:pPr>
            <w:r>
              <w:rPr>
                <w:rFonts w:eastAsiaTheme="minorEastAsia"/>
                <w:sz w:val="16"/>
                <w:szCs w:val="16"/>
                <w:lang w:eastAsia="en-US"/>
              </w:rPr>
              <w:t>No gambling in past year</w:t>
            </w:r>
          </w:p>
        </w:tc>
        <w:tc>
          <w:tcPr>
            <w:tcW w:w="0" w:type="auto"/>
            <w:shd w:val="clear" w:color="auto" w:fill="auto"/>
            <w:vAlign w:val="center"/>
          </w:tcPr>
          <w:p w14:paraId="0A9FB0A0" w14:textId="77777777" w:rsidR="007F3FD9" w:rsidRDefault="007F3FD9" w:rsidP="007F3FD9">
            <w:pPr>
              <w:jc w:val="right"/>
              <w:rPr>
                <w:color w:val="000000"/>
                <w:sz w:val="16"/>
                <w:szCs w:val="16"/>
              </w:rPr>
            </w:pPr>
            <w:r>
              <w:rPr>
                <w:color w:val="000000"/>
                <w:sz w:val="16"/>
                <w:szCs w:val="16"/>
              </w:rPr>
              <w:t>806</w:t>
            </w:r>
          </w:p>
        </w:tc>
        <w:tc>
          <w:tcPr>
            <w:tcW w:w="0" w:type="auto"/>
            <w:shd w:val="clear" w:color="auto" w:fill="auto"/>
            <w:vAlign w:val="center"/>
          </w:tcPr>
          <w:p w14:paraId="2B478EEB" w14:textId="77777777" w:rsidR="007F3FD9" w:rsidRDefault="007F3FD9" w:rsidP="007F3FD9">
            <w:pPr>
              <w:jc w:val="right"/>
              <w:rPr>
                <w:color w:val="000000"/>
                <w:sz w:val="16"/>
                <w:szCs w:val="16"/>
              </w:rPr>
            </w:pPr>
            <w:r>
              <w:rPr>
                <w:color w:val="000000"/>
                <w:sz w:val="16"/>
                <w:szCs w:val="16"/>
              </w:rPr>
              <w:t>17.7</w:t>
            </w:r>
          </w:p>
        </w:tc>
        <w:tc>
          <w:tcPr>
            <w:tcW w:w="0" w:type="auto"/>
            <w:tcBorders>
              <w:right w:val="single" w:sz="4" w:space="0" w:color="auto"/>
            </w:tcBorders>
            <w:shd w:val="clear" w:color="auto" w:fill="auto"/>
            <w:vAlign w:val="center"/>
          </w:tcPr>
          <w:p w14:paraId="734287F6" w14:textId="77777777" w:rsidR="007F3FD9" w:rsidRDefault="007F3FD9" w:rsidP="007F3FD9">
            <w:pPr>
              <w:jc w:val="right"/>
              <w:rPr>
                <w:color w:val="000000"/>
                <w:sz w:val="16"/>
                <w:szCs w:val="16"/>
              </w:rPr>
            </w:pPr>
            <w:r>
              <w:rPr>
                <w:color w:val="000000"/>
                <w:sz w:val="16"/>
                <w:szCs w:val="16"/>
              </w:rPr>
              <w:t>(16.3, 19.1)</w:t>
            </w:r>
          </w:p>
        </w:tc>
        <w:tc>
          <w:tcPr>
            <w:tcW w:w="0" w:type="auto"/>
            <w:tcBorders>
              <w:left w:val="single" w:sz="4" w:space="0" w:color="auto"/>
            </w:tcBorders>
            <w:shd w:val="clear" w:color="auto" w:fill="auto"/>
            <w:vAlign w:val="center"/>
          </w:tcPr>
          <w:p w14:paraId="5A66EA37" w14:textId="77777777" w:rsidR="007F3FD9" w:rsidRDefault="007F3FD9" w:rsidP="007F3FD9">
            <w:pPr>
              <w:jc w:val="right"/>
              <w:rPr>
                <w:color w:val="000000"/>
                <w:sz w:val="16"/>
                <w:szCs w:val="16"/>
              </w:rPr>
            </w:pPr>
            <w:r>
              <w:rPr>
                <w:color w:val="000000"/>
                <w:sz w:val="16"/>
                <w:szCs w:val="16"/>
              </w:rPr>
              <w:t>543</w:t>
            </w:r>
          </w:p>
        </w:tc>
        <w:tc>
          <w:tcPr>
            <w:tcW w:w="0" w:type="auto"/>
            <w:shd w:val="clear" w:color="auto" w:fill="auto"/>
            <w:vAlign w:val="center"/>
          </w:tcPr>
          <w:p w14:paraId="393437F1" w14:textId="77777777" w:rsidR="007F3FD9" w:rsidRDefault="007F3FD9" w:rsidP="007F3FD9">
            <w:pPr>
              <w:jc w:val="right"/>
              <w:rPr>
                <w:color w:val="000000"/>
                <w:sz w:val="16"/>
                <w:szCs w:val="16"/>
              </w:rPr>
            </w:pPr>
            <w:r>
              <w:rPr>
                <w:color w:val="000000"/>
                <w:sz w:val="16"/>
                <w:szCs w:val="16"/>
              </w:rPr>
              <w:t>19.6</w:t>
            </w:r>
          </w:p>
        </w:tc>
        <w:tc>
          <w:tcPr>
            <w:tcW w:w="0" w:type="auto"/>
            <w:tcBorders>
              <w:right w:val="single" w:sz="4" w:space="0" w:color="auto"/>
            </w:tcBorders>
            <w:shd w:val="clear" w:color="auto" w:fill="auto"/>
            <w:vAlign w:val="center"/>
          </w:tcPr>
          <w:p w14:paraId="2352EAF9" w14:textId="77777777" w:rsidR="007F3FD9" w:rsidRDefault="007F3FD9" w:rsidP="007F3FD9">
            <w:pPr>
              <w:jc w:val="right"/>
              <w:rPr>
                <w:color w:val="000000"/>
                <w:sz w:val="16"/>
                <w:szCs w:val="16"/>
              </w:rPr>
            </w:pPr>
            <w:r>
              <w:rPr>
                <w:color w:val="000000"/>
                <w:sz w:val="16"/>
                <w:szCs w:val="16"/>
              </w:rPr>
              <w:t>(17.7, 21.6)</w:t>
            </w:r>
          </w:p>
        </w:tc>
        <w:tc>
          <w:tcPr>
            <w:tcW w:w="0" w:type="auto"/>
            <w:tcBorders>
              <w:left w:val="single" w:sz="4" w:space="0" w:color="auto"/>
            </w:tcBorders>
            <w:shd w:val="clear" w:color="auto" w:fill="auto"/>
            <w:vAlign w:val="center"/>
          </w:tcPr>
          <w:p w14:paraId="3F0D24CE" w14:textId="77777777" w:rsidR="007F3FD9" w:rsidRDefault="007F3FD9" w:rsidP="007F3FD9">
            <w:pPr>
              <w:jc w:val="right"/>
              <w:rPr>
                <w:color w:val="000000"/>
                <w:sz w:val="16"/>
                <w:szCs w:val="16"/>
              </w:rPr>
            </w:pPr>
            <w:r>
              <w:rPr>
                <w:color w:val="000000"/>
                <w:sz w:val="16"/>
                <w:szCs w:val="16"/>
              </w:rPr>
              <w:t>473</w:t>
            </w:r>
          </w:p>
        </w:tc>
        <w:tc>
          <w:tcPr>
            <w:tcW w:w="0" w:type="auto"/>
            <w:shd w:val="clear" w:color="auto" w:fill="auto"/>
            <w:vAlign w:val="center"/>
          </w:tcPr>
          <w:p w14:paraId="7649BE36" w14:textId="77777777" w:rsidR="007F3FD9" w:rsidRDefault="007F3FD9" w:rsidP="007F3FD9">
            <w:pPr>
              <w:jc w:val="right"/>
              <w:rPr>
                <w:color w:val="000000"/>
                <w:sz w:val="16"/>
                <w:szCs w:val="16"/>
              </w:rPr>
            </w:pPr>
            <w:r>
              <w:rPr>
                <w:color w:val="000000"/>
                <w:sz w:val="16"/>
                <w:szCs w:val="16"/>
              </w:rPr>
              <w:t>20.5</w:t>
            </w:r>
          </w:p>
        </w:tc>
        <w:tc>
          <w:tcPr>
            <w:tcW w:w="0" w:type="auto"/>
            <w:tcBorders>
              <w:right w:val="single" w:sz="4" w:space="0" w:color="auto"/>
            </w:tcBorders>
            <w:shd w:val="clear" w:color="auto" w:fill="auto"/>
            <w:vAlign w:val="center"/>
          </w:tcPr>
          <w:p w14:paraId="0613137C" w14:textId="77777777" w:rsidR="007F3FD9" w:rsidRDefault="007F3FD9" w:rsidP="007F3FD9">
            <w:pPr>
              <w:jc w:val="right"/>
              <w:rPr>
                <w:color w:val="000000"/>
                <w:sz w:val="16"/>
                <w:szCs w:val="16"/>
              </w:rPr>
            </w:pPr>
            <w:r>
              <w:rPr>
                <w:color w:val="000000"/>
                <w:sz w:val="16"/>
                <w:szCs w:val="16"/>
              </w:rPr>
              <w:t>(18.3, 22.8)</w:t>
            </w:r>
          </w:p>
        </w:tc>
        <w:tc>
          <w:tcPr>
            <w:tcW w:w="0" w:type="auto"/>
            <w:tcBorders>
              <w:left w:val="single" w:sz="4" w:space="0" w:color="auto"/>
            </w:tcBorders>
            <w:shd w:val="clear" w:color="auto" w:fill="auto"/>
            <w:vAlign w:val="center"/>
          </w:tcPr>
          <w:p w14:paraId="24DF24E3" w14:textId="77777777" w:rsidR="007F3FD9" w:rsidRDefault="007F3FD9" w:rsidP="007F3FD9">
            <w:pPr>
              <w:jc w:val="right"/>
              <w:rPr>
                <w:color w:val="000000"/>
                <w:sz w:val="16"/>
                <w:szCs w:val="16"/>
              </w:rPr>
            </w:pPr>
            <w:r>
              <w:rPr>
                <w:color w:val="000000"/>
                <w:sz w:val="16"/>
                <w:szCs w:val="16"/>
              </w:rPr>
              <w:t>475</w:t>
            </w:r>
          </w:p>
        </w:tc>
        <w:tc>
          <w:tcPr>
            <w:tcW w:w="0" w:type="auto"/>
            <w:shd w:val="clear" w:color="auto" w:fill="auto"/>
            <w:vAlign w:val="center"/>
          </w:tcPr>
          <w:p w14:paraId="1F96CBB8" w14:textId="77777777" w:rsidR="007F3FD9" w:rsidRDefault="007F3FD9" w:rsidP="007F3FD9">
            <w:pPr>
              <w:jc w:val="right"/>
              <w:rPr>
                <w:color w:val="000000"/>
                <w:sz w:val="16"/>
                <w:szCs w:val="16"/>
              </w:rPr>
            </w:pPr>
            <w:r>
              <w:rPr>
                <w:color w:val="000000"/>
                <w:sz w:val="16"/>
                <w:szCs w:val="16"/>
              </w:rPr>
              <w:t>23.3</w:t>
            </w:r>
          </w:p>
        </w:tc>
        <w:tc>
          <w:tcPr>
            <w:tcW w:w="0" w:type="auto"/>
            <w:shd w:val="clear" w:color="auto" w:fill="auto"/>
            <w:vAlign w:val="center"/>
          </w:tcPr>
          <w:p w14:paraId="77120E9C" w14:textId="77777777" w:rsidR="007F3FD9" w:rsidRDefault="007F3FD9" w:rsidP="007F3FD9">
            <w:pPr>
              <w:jc w:val="right"/>
              <w:rPr>
                <w:color w:val="000000"/>
                <w:sz w:val="16"/>
                <w:szCs w:val="16"/>
              </w:rPr>
            </w:pPr>
            <w:r>
              <w:rPr>
                <w:color w:val="000000"/>
                <w:sz w:val="16"/>
                <w:szCs w:val="16"/>
              </w:rPr>
              <w:t>(20.8, 25.8)</w:t>
            </w:r>
          </w:p>
        </w:tc>
      </w:tr>
      <w:tr w:rsidR="007F3FD9" w:rsidRPr="007B4EF8" w14:paraId="777AE7D5" w14:textId="77777777" w:rsidTr="00826105">
        <w:trPr>
          <w:jc w:val="center"/>
        </w:trPr>
        <w:tc>
          <w:tcPr>
            <w:tcW w:w="0" w:type="auto"/>
            <w:shd w:val="clear" w:color="auto" w:fill="auto"/>
          </w:tcPr>
          <w:p w14:paraId="1D318EDA" w14:textId="77777777" w:rsidR="007F3FD9" w:rsidRPr="007F3FD9" w:rsidRDefault="007F3FD9" w:rsidP="007F3FD9">
            <w:pPr>
              <w:spacing w:before="20" w:after="20"/>
              <w:ind w:left="34"/>
              <w:rPr>
                <w:rFonts w:eastAsiaTheme="minorEastAsia"/>
                <w:b/>
                <w:sz w:val="16"/>
                <w:szCs w:val="16"/>
                <w:lang w:eastAsia="en-US"/>
              </w:rPr>
            </w:pPr>
            <w:r>
              <w:rPr>
                <w:rFonts w:eastAsiaTheme="minorEastAsia"/>
                <w:b/>
                <w:sz w:val="16"/>
                <w:szCs w:val="16"/>
                <w:lang w:eastAsia="en-US"/>
              </w:rPr>
              <w:t>Arrival in New Zealand</w:t>
            </w:r>
          </w:p>
        </w:tc>
        <w:tc>
          <w:tcPr>
            <w:tcW w:w="0" w:type="auto"/>
            <w:shd w:val="clear" w:color="auto" w:fill="auto"/>
          </w:tcPr>
          <w:p w14:paraId="1141FF17" w14:textId="77777777" w:rsidR="007F3FD9" w:rsidRPr="001B7431" w:rsidRDefault="007F3FD9" w:rsidP="007F3FD9">
            <w:pPr>
              <w:spacing w:before="20" w:after="20"/>
              <w:ind w:left="34"/>
              <w:rPr>
                <w:rFonts w:eastAsiaTheme="minorEastAsia"/>
                <w:sz w:val="16"/>
                <w:szCs w:val="16"/>
                <w:lang w:eastAsia="en-US"/>
              </w:rPr>
            </w:pPr>
          </w:p>
        </w:tc>
        <w:tc>
          <w:tcPr>
            <w:tcW w:w="0" w:type="auto"/>
            <w:shd w:val="clear" w:color="auto" w:fill="auto"/>
            <w:vAlign w:val="center"/>
          </w:tcPr>
          <w:p w14:paraId="2BE3CA2E" w14:textId="77777777" w:rsidR="007F3FD9" w:rsidRPr="001B7431" w:rsidRDefault="007F3FD9" w:rsidP="007F3FD9">
            <w:pPr>
              <w:spacing w:before="20" w:after="20"/>
              <w:ind w:left="34"/>
              <w:jc w:val="right"/>
              <w:rPr>
                <w:rFonts w:eastAsiaTheme="minorEastAsia"/>
                <w:sz w:val="16"/>
                <w:szCs w:val="16"/>
                <w:lang w:eastAsia="en-US"/>
              </w:rPr>
            </w:pPr>
          </w:p>
        </w:tc>
        <w:tc>
          <w:tcPr>
            <w:tcW w:w="0" w:type="auto"/>
            <w:shd w:val="clear" w:color="auto" w:fill="auto"/>
            <w:vAlign w:val="center"/>
          </w:tcPr>
          <w:p w14:paraId="5CD022B9" w14:textId="77777777" w:rsidR="007F3FD9" w:rsidRPr="001B7431" w:rsidRDefault="007F3FD9" w:rsidP="007F3FD9">
            <w:pPr>
              <w:spacing w:before="20" w:after="20"/>
              <w:ind w:left="34"/>
              <w:jc w:val="right"/>
              <w:rPr>
                <w:rFonts w:eastAsiaTheme="minorEastAsia"/>
                <w:sz w:val="16"/>
                <w:szCs w:val="16"/>
                <w:lang w:eastAsia="en-US"/>
              </w:rPr>
            </w:pPr>
          </w:p>
        </w:tc>
        <w:tc>
          <w:tcPr>
            <w:tcW w:w="0" w:type="auto"/>
            <w:tcBorders>
              <w:right w:val="single" w:sz="4" w:space="0" w:color="auto"/>
            </w:tcBorders>
            <w:shd w:val="clear" w:color="auto" w:fill="auto"/>
            <w:vAlign w:val="center"/>
          </w:tcPr>
          <w:p w14:paraId="37D0EF25" w14:textId="77777777" w:rsidR="007F3FD9" w:rsidRPr="001B7431" w:rsidRDefault="007F3FD9" w:rsidP="007F3FD9">
            <w:pPr>
              <w:spacing w:before="20" w:after="20"/>
              <w:ind w:left="34"/>
              <w:jc w:val="right"/>
              <w:rPr>
                <w:rFonts w:eastAsiaTheme="minorEastAsia"/>
                <w:sz w:val="16"/>
                <w:szCs w:val="16"/>
                <w:lang w:eastAsia="en-US"/>
              </w:rPr>
            </w:pPr>
          </w:p>
        </w:tc>
        <w:tc>
          <w:tcPr>
            <w:tcW w:w="0" w:type="auto"/>
            <w:tcBorders>
              <w:left w:val="single" w:sz="4" w:space="0" w:color="auto"/>
            </w:tcBorders>
            <w:shd w:val="clear" w:color="auto" w:fill="auto"/>
            <w:vAlign w:val="center"/>
          </w:tcPr>
          <w:p w14:paraId="65733368" w14:textId="77777777" w:rsidR="007F3FD9" w:rsidRPr="001B7431" w:rsidRDefault="007F3FD9" w:rsidP="007F3FD9">
            <w:pPr>
              <w:spacing w:before="20" w:after="20"/>
              <w:ind w:left="34"/>
              <w:jc w:val="right"/>
              <w:rPr>
                <w:rFonts w:eastAsiaTheme="minorEastAsia"/>
                <w:sz w:val="16"/>
                <w:szCs w:val="16"/>
                <w:lang w:eastAsia="en-US"/>
              </w:rPr>
            </w:pPr>
          </w:p>
        </w:tc>
        <w:tc>
          <w:tcPr>
            <w:tcW w:w="0" w:type="auto"/>
            <w:shd w:val="clear" w:color="auto" w:fill="auto"/>
            <w:vAlign w:val="center"/>
          </w:tcPr>
          <w:p w14:paraId="0F881C3D" w14:textId="77777777" w:rsidR="007F3FD9" w:rsidRPr="001B7431" w:rsidRDefault="007F3FD9" w:rsidP="007F3FD9">
            <w:pPr>
              <w:spacing w:before="20" w:after="20"/>
              <w:ind w:left="34"/>
              <w:jc w:val="right"/>
              <w:rPr>
                <w:rFonts w:eastAsiaTheme="minorEastAsia"/>
                <w:sz w:val="16"/>
                <w:szCs w:val="16"/>
                <w:lang w:eastAsia="en-US"/>
              </w:rPr>
            </w:pPr>
          </w:p>
        </w:tc>
        <w:tc>
          <w:tcPr>
            <w:tcW w:w="0" w:type="auto"/>
            <w:tcBorders>
              <w:right w:val="single" w:sz="4" w:space="0" w:color="auto"/>
            </w:tcBorders>
            <w:shd w:val="clear" w:color="auto" w:fill="auto"/>
            <w:vAlign w:val="center"/>
          </w:tcPr>
          <w:p w14:paraId="73B00282" w14:textId="77777777" w:rsidR="007F3FD9" w:rsidRPr="001B7431" w:rsidRDefault="007F3FD9" w:rsidP="007F3FD9">
            <w:pPr>
              <w:spacing w:before="20" w:after="20"/>
              <w:ind w:left="34"/>
              <w:jc w:val="right"/>
              <w:rPr>
                <w:rFonts w:eastAsiaTheme="minorEastAsia"/>
                <w:sz w:val="16"/>
                <w:szCs w:val="16"/>
                <w:lang w:eastAsia="en-US"/>
              </w:rPr>
            </w:pPr>
          </w:p>
        </w:tc>
        <w:tc>
          <w:tcPr>
            <w:tcW w:w="0" w:type="auto"/>
            <w:tcBorders>
              <w:left w:val="single" w:sz="4" w:space="0" w:color="auto"/>
            </w:tcBorders>
            <w:shd w:val="clear" w:color="auto" w:fill="auto"/>
            <w:vAlign w:val="center"/>
          </w:tcPr>
          <w:p w14:paraId="425D37D4" w14:textId="77777777" w:rsidR="007F3FD9" w:rsidRPr="001B7431" w:rsidRDefault="007F3FD9" w:rsidP="007F3FD9">
            <w:pPr>
              <w:spacing w:before="20" w:after="20"/>
              <w:ind w:left="34"/>
              <w:jc w:val="right"/>
              <w:rPr>
                <w:rFonts w:eastAsiaTheme="minorEastAsia"/>
                <w:sz w:val="16"/>
                <w:szCs w:val="16"/>
                <w:lang w:eastAsia="en-US"/>
              </w:rPr>
            </w:pPr>
          </w:p>
        </w:tc>
        <w:tc>
          <w:tcPr>
            <w:tcW w:w="0" w:type="auto"/>
            <w:shd w:val="clear" w:color="auto" w:fill="auto"/>
            <w:vAlign w:val="center"/>
          </w:tcPr>
          <w:p w14:paraId="0D338A93" w14:textId="77777777" w:rsidR="007F3FD9" w:rsidRPr="001B7431" w:rsidRDefault="007F3FD9" w:rsidP="007F3FD9">
            <w:pPr>
              <w:spacing w:before="20" w:after="20"/>
              <w:ind w:left="34"/>
              <w:jc w:val="right"/>
              <w:rPr>
                <w:rFonts w:eastAsiaTheme="minorEastAsia"/>
                <w:sz w:val="16"/>
                <w:szCs w:val="16"/>
                <w:lang w:eastAsia="en-US"/>
              </w:rPr>
            </w:pPr>
          </w:p>
        </w:tc>
        <w:tc>
          <w:tcPr>
            <w:tcW w:w="0" w:type="auto"/>
            <w:tcBorders>
              <w:right w:val="single" w:sz="4" w:space="0" w:color="auto"/>
            </w:tcBorders>
            <w:shd w:val="clear" w:color="auto" w:fill="auto"/>
            <w:vAlign w:val="center"/>
          </w:tcPr>
          <w:p w14:paraId="0D57D29E" w14:textId="77777777" w:rsidR="007F3FD9" w:rsidRPr="001B7431" w:rsidRDefault="007F3FD9" w:rsidP="007F3FD9">
            <w:pPr>
              <w:spacing w:before="20" w:after="20"/>
              <w:ind w:left="34"/>
              <w:jc w:val="right"/>
              <w:rPr>
                <w:rFonts w:eastAsiaTheme="minorEastAsia"/>
                <w:sz w:val="16"/>
                <w:szCs w:val="16"/>
                <w:lang w:eastAsia="en-US"/>
              </w:rPr>
            </w:pPr>
          </w:p>
        </w:tc>
        <w:tc>
          <w:tcPr>
            <w:tcW w:w="0" w:type="auto"/>
            <w:tcBorders>
              <w:left w:val="single" w:sz="4" w:space="0" w:color="auto"/>
            </w:tcBorders>
            <w:shd w:val="clear" w:color="auto" w:fill="auto"/>
            <w:vAlign w:val="center"/>
          </w:tcPr>
          <w:p w14:paraId="7D37A720" w14:textId="77777777" w:rsidR="007F3FD9" w:rsidRPr="001B7431" w:rsidRDefault="007F3FD9" w:rsidP="007F3FD9">
            <w:pPr>
              <w:spacing w:before="20" w:after="20"/>
              <w:ind w:left="34"/>
              <w:jc w:val="right"/>
              <w:rPr>
                <w:rFonts w:eastAsiaTheme="minorEastAsia"/>
                <w:sz w:val="16"/>
                <w:szCs w:val="16"/>
                <w:lang w:eastAsia="en-US"/>
              </w:rPr>
            </w:pPr>
          </w:p>
        </w:tc>
        <w:tc>
          <w:tcPr>
            <w:tcW w:w="0" w:type="auto"/>
            <w:shd w:val="clear" w:color="auto" w:fill="auto"/>
            <w:vAlign w:val="center"/>
          </w:tcPr>
          <w:p w14:paraId="5B136B83" w14:textId="77777777" w:rsidR="007F3FD9" w:rsidRPr="001B7431" w:rsidRDefault="007F3FD9" w:rsidP="007F3FD9">
            <w:pPr>
              <w:spacing w:before="20" w:after="20"/>
              <w:ind w:left="34"/>
              <w:jc w:val="right"/>
              <w:rPr>
                <w:rFonts w:eastAsiaTheme="minorEastAsia"/>
                <w:sz w:val="16"/>
                <w:szCs w:val="16"/>
                <w:lang w:eastAsia="en-US"/>
              </w:rPr>
            </w:pPr>
          </w:p>
        </w:tc>
        <w:tc>
          <w:tcPr>
            <w:tcW w:w="0" w:type="auto"/>
            <w:shd w:val="clear" w:color="auto" w:fill="auto"/>
            <w:vAlign w:val="center"/>
          </w:tcPr>
          <w:p w14:paraId="13106838" w14:textId="77777777" w:rsidR="007F3FD9" w:rsidRPr="001B7431" w:rsidRDefault="007F3FD9" w:rsidP="007F3FD9">
            <w:pPr>
              <w:spacing w:before="20" w:after="20"/>
              <w:ind w:left="34"/>
              <w:jc w:val="right"/>
              <w:rPr>
                <w:rFonts w:eastAsiaTheme="minorEastAsia"/>
                <w:sz w:val="16"/>
                <w:szCs w:val="16"/>
                <w:lang w:eastAsia="en-US"/>
              </w:rPr>
            </w:pPr>
          </w:p>
        </w:tc>
      </w:tr>
      <w:tr w:rsidR="007F3FD9" w:rsidRPr="007B4EF8" w14:paraId="7CD8AC80" w14:textId="77777777" w:rsidTr="00826105">
        <w:trPr>
          <w:jc w:val="center"/>
        </w:trPr>
        <w:tc>
          <w:tcPr>
            <w:tcW w:w="0" w:type="auto"/>
            <w:shd w:val="clear" w:color="auto" w:fill="auto"/>
          </w:tcPr>
          <w:p w14:paraId="411CDF20" w14:textId="77777777" w:rsidR="007F3FD9" w:rsidRDefault="007F3FD9" w:rsidP="007F3FD9">
            <w:pPr>
              <w:spacing w:before="20" w:after="20"/>
              <w:ind w:left="34"/>
              <w:rPr>
                <w:rFonts w:eastAsiaTheme="minorEastAsia"/>
                <w:sz w:val="16"/>
                <w:szCs w:val="16"/>
                <w:lang w:eastAsia="en-US"/>
              </w:rPr>
            </w:pPr>
            <w:r>
              <w:rPr>
                <w:rFonts w:eastAsiaTheme="minorEastAsia"/>
                <w:sz w:val="16"/>
                <w:szCs w:val="16"/>
                <w:lang w:eastAsia="en-US"/>
              </w:rPr>
              <w:t>NZ born</w:t>
            </w:r>
          </w:p>
        </w:tc>
        <w:tc>
          <w:tcPr>
            <w:tcW w:w="0" w:type="auto"/>
            <w:shd w:val="clear" w:color="auto" w:fill="auto"/>
          </w:tcPr>
          <w:p w14:paraId="0BA89523" w14:textId="77777777" w:rsidR="007F3FD9" w:rsidRPr="001B7431" w:rsidRDefault="007F3FD9" w:rsidP="007F3FD9">
            <w:pPr>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0" w:type="auto"/>
            <w:shd w:val="clear" w:color="auto" w:fill="auto"/>
            <w:vAlign w:val="center"/>
          </w:tcPr>
          <w:p w14:paraId="5D6E1044" w14:textId="77777777" w:rsidR="007F3FD9" w:rsidRDefault="007F3FD9" w:rsidP="007F3FD9">
            <w:pPr>
              <w:jc w:val="right"/>
              <w:rPr>
                <w:color w:val="000000"/>
                <w:sz w:val="16"/>
                <w:szCs w:val="16"/>
                <w:lang w:eastAsia="en-NZ"/>
              </w:rPr>
            </w:pPr>
            <w:r>
              <w:rPr>
                <w:color w:val="000000"/>
                <w:sz w:val="16"/>
                <w:szCs w:val="16"/>
              </w:rPr>
              <w:t>3375</w:t>
            </w:r>
          </w:p>
        </w:tc>
        <w:tc>
          <w:tcPr>
            <w:tcW w:w="0" w:type="auto"/>
            <w:shd w:val="clear" w:color="auto" w:fill="auto"/>
            <w:vAlign w:val="center"/>
          </w:tcPr>
          <w:p w14:paraId="6272F584" w14:textId="77777777" w:rsidR="007F3FD9" w:rsidRDefault="007F3FD9" w:rsidP="007F3FD9">
            <w:pPr>
              <w:jc w:val="right"/>
              <w:rPr>
                <w:color w:val="000000"/>
                <w:sz w:val="16"/>
                <w:szCs w:val="16"/>
              </w:rPr>
            </w:pPr>
            <w:r>
              <w:rPr>
                <w:color w:val="000000"/>
                <w:sz w:val="16"/>
                <w:szCs w:val="16"/>
              </w:rPr>
              <w:t>76.2</w:t>
            </w:r>
          </w:p>
        </w:tc>
        <w:tc>
          <w:tcPr>
            <w:tcW w:w="0" w:type="auto"/>
            <w:tcBorders>
              <w:right w:val="single" w:sz="4" w:space="0" w:color="auto"/>
            </w:tcBorders>
            <w:shd w:val="clear" w:color="auto" w:fill="auto"/>
            <w:vAlign w:val="center"/>
          </w:tcPr>
          <w:p w14:paraId="6F41A99C" w14:textId="77777777" w:rsidR="007F3FD9" w:rsidRDefault="007F3FD9" w:rsidP="007F3FD9">
            <w:pPr>
              <w:jc w:val="right"/>
              <w:rPr>
                <w:color w:val="000000"/>
                <w:sz w:val="16"/>
                <w:szCs w:val="16"/>
              </w:rPr>
            </w:pPr>
            <w:r>
              <w:rPr>
                <w:color w:val="000000"/>
                <w:sz w:val="16"/>
                <w:szCs w:val="16"/>
              </w:rPr>
              <w:t>(74.6, 77.7)</w:t>
            </w:r>
          </w:p>
        </w:tc>
        <w:tc>
          <w:tcPr>
            <w:tcW w:w="0" w:type="auto"/>
            <w:tcBorders>
              <w:left w:val="single" w:sz="4" w:space="0" w:color="auto"/>
            </w:tcBorders>
            <w:shd w:val="clear" w:color="auto" w:fill="auto"/>
            <w:vAlign w:val="center"/>
          </w:tcPr>
          <w:p w14:paraId="4514ABA6" w14:textId="77777777" w:rsidR="007F3FD9" w:rsidRDefault="007F3FD9" w:rsidP="007F3FD9">
            <w:pPr>
              <w:jc w:val="right"/>
              <w:rPr>
                <w:color w:val="000000"/>
                <w:sz w:val="16"/>
                <w:szCs w:val="16"/>
              </w:rPr>
            </w:pPr>
            <w:r>
              <w:rPr>
                <w:color w:val="000000"/>
                <w:sz w:val="16"/>
                <w:szCs w:val="16"/>
              </w:rPr>
              <w:t>1985</w:t>
            </w:r>
          </w:p>
        </w:tc>
        <w:tc>
          <w:tcPr>
            <w:tcW w:w="0" w:type="auto"/>
            <w:shd w:val="clear" w:color="auto" w:fill="auto"/>
            <w:vAlign w:val="center"/>
          </w:tcPr>
          <w:p w14:paraId="4509E163" w14:textId="77777777" w:rsidR="007F3FD9" w:rsidRDefault="007F3FD9" w:rsidP="007F3FD9">
            <w:pPr>
              <w:jc w:val="right"/>
              <w:rPr>
                <w:color w:val="000000"/>
                <w:sz w:val="16"/>
                <w:szCs w:val="16"/>
              </w:rPr>
            </w:pPr>
            <w:r>
              <w:rPr>
                <w:color w:val="000000"/>
                <w:sz w:val="16"/>
                <w:szCs w:val="16"/>
              </w:rPr>
              <w:t>73.7</w:t>
            </w:r>
          </w:p>
        </w:tc>
        <w:tc>
          <w:tcPr>
            <w:tcW w:w="0" w:type="auto"/>
            <w:tcBorders>
              <w:right w:val="single" w:sz="4" w:space="0" w:color="auto"/>
            </w:tcBorders>
            <w:shd w:val="clear" w:color="auto" w:fill="auto"/>
            <w:vAlign w:val="center"/>
          </w:tcPr>
          <w:p w14:paraId="271863E4" w14:textId="77777777" w:rsidR="007F3FD9" w:rsidRDefault="007F3FD9" w:rsidP="007F3FD9">
            <w:pPr>
              <w:jc w:val="right"/>
              <w:rPr>
                <w:color w:val="000000"/>
                <w:sz w:val="16"/>
                <w:szCs w:val="16"/>
              </w:rPr>
            </w:pPr>
            <w:r>
              <w:rPr>
                <w:color w:val="000000"/>
                <w:sz w:val="16"/>
                <w:szCs w:val="16"/>
              </w:rPr>
              <w:t>(71.7, 75.8)</w:t>
            </w:r>
          </w:p>
        </w:tc>
        <w:tc>
          <w:tcPr>
            <w:tcW w:w="0" w:type="auto"/>
            <w:tcBorders>
              <w:left w:val="single" w:sz="4" w:space="0" w:color="auto"/>
            </w:tcBorders>
            <w:shd w:val="clear" w:color="auto" w:fill="auto"/>
            <w:vAlign w:val="center"/>
          </w:tcPr>
          <w:p w14:paraId="6DBCDBE5" w14:textId="77777777" w:rsidR="007F3FD9" w:rsidRDefault="007F3FD9" w:rsidP="007F3FD9">
            <w:pPr>
              <w:jc w:val="right"/>
              <w:rPr>
                <w:color w:val="000000"/>
                <w:sz w:val="16"/>
                <w:szCs w:val="16"/>
              </w:rPr>
            </w:pPr>
            <w:r>
              <w:rPr>
                <w:color w:val="000000"/>
                <w:sz w:val="16"/>
                <w:szCs w:val="16"/>
              </w:rPr>
              <w:t>1654</w:t>
            </w:r>
          </w:p>
        </w:tc>
        <w:tc>
          <w:tcPr>
            <w:tcW w:w="0" w:type="auto"/>
            <w:shd w:val="clear" w:color="auto" w:fill="auto"/>
            <w:vAlign w:val="center"/>
          </w:tcPr>
          <w:p w14:paraId="014CD7A2" w14:textId="77777777" w:rsidR="007F3FD9" w:rsidRDefault="007F3FD9" w:rsidP="007F3FD9">
            <w:pPr>
              <w:jc w:val="right"/>
              <w:rPr>
                <w:color w:val="000000"/>
                <w:sz w:val="16"/>
                <w:szCs w:val="16"/>
              </w:rPr>
            </w:pPr>
            <w:r>
              <w:rPr>
                <w:color w:val="000000"/>
                <w:sz w:val="16"/>
                <w:szCs w:val="16"/>
              </w:rPr>
              <w:t>73.2</w:t>
            </w:r>
          </w:p>
        </w:tc>
        <w:tc>
          <w:tcPr>
            <w:tcW w:w="0" w:type="auto"/>
            <w:tcBorders>
              <w:right w:val="single" w:sz="4" w:space="0" w:color="auto"/>
            </w:tcBorders>
            <w:shd w:val="clear" w:color="auto" w:fill="auto"/>
            <w:vAlign w:val="center"/>
          </w:tcPr>
          <w:p w14:paraId="7BF903A4" w14:textId="77777777" w:rsidR="007F3FD9" w:rsidRDefault="007F3FD9" w:rsidP="007F3FD9">
            <w:pPr>
              <w:jc w:val="right"/>
              <w:rPr>
                <w:color w:val="000000"/>
                <w:sz w:val="16"/>
                <w:szCs w:val="16"/>
              </w:rPr>
            </w:pPr>
            <w:r>
              <w:rPr>
                <w:color w:val="000000"/>
                <w:sz w:val="16"/>
                <w:szCs w:val="16"/>
              </w:rPr>
              <w:t>(70.8, 75.6)</w:t>
            </w:r>
          </w:p>
        </w:tc>
        <w:tc>
          <w:tcPr>
            <w:tcW w:w="0" w:type="auto"/>
            <w:tcBorders>
              <w:left w:val="single" w:sz="4" w:space="0" w:color="auto"/>
            </w:tcBorders>
            <w:shd w:val="clear" w:color="auto" w:fill="auto"/>
            <w:vAlign w:val="center"/>
          </w:tcPr>
          <w:p w14:paraId="1B0DA7B6" w14:textId="77777777" w:rsidR="007F3FD9" w:rsidRDefault="007F3FD9" w:rsidP="007F3FD9">
            <w:pPr>
              <w:jc w:val="right"/>
              <w:rPr>
                <w:color w:val="000000"/>
                <w:sz w:val="16"/>
                <w:szCs w:val="16"/>
              </w:rPr>
            </w:pPr>
            <w:r>
              <w:rPr>
                <w:color w:val="000000"/>
                <w:sz w:val="16"/>
                <w:szCs w:val="16"/>
              </w:rPr>
              <w:t>1444</w:t>
            </w:r>
          </w:p>
        </w:tc>
        <w:tc>
          <w:tcPr>
            <w:tcW w:w="0" w:type="auto"/>
            <w:shd w:val="clear" w:color="auto" w:fill="auto"/>
            <w:vAlign w:val="center"/>
          </w:tcPr>
          <w:p w14:paraId="75E7BD2B" w14:textId="77777777" w:rsidR="007F3FD9" w:rsidRDefault="007F3FD9" w:rsidP="007F3FD9">
            <w:pPr>
              <w:jc w:val="right"/>
              <w:rPr>
                <w:color w:val="000000"/>
                <w:sz w:val="16"/>
                <w:szCs w:val="16"/>
              </w:rPr>
            </w:pPr>
            <w:r>
              <w:rPr>
                <w:color w:val="000000"/>
                <w:sz w:val="16"/>
                <w:szCs w:val="16"/>
              </w:rPr>
              <w:t>71.8</w:t>
            </w:r>
          </w:p>
        </w:tc>
        <w:tc>
          <w:tcPr>
            <w:tcW w:w="0" w:type="auto"/>
            <w:shd w:val="clear" w:color="auto" w:fill="auto"/>
            <w:vAlign w:val="center"/>
          </w:tcPr>
          <w:p w14:paraId="56510278" w14:textId="77777777" w:rsidR="007F3FD9" w:rsidRDefault="007F3FD9" w:rsidP="007F3FD9">
            <w:pPr>
              <w:jc w:val="right"/>
              <w:rPr>
                <w:color w:val="000000"/>
                <w:sz w:val="16"/>
                <w:szCs w:val="16"/>
              </w:rPr>
            </w:pPr>
            <w:r>
              <w:rPr>
                <w:color w:val="000000"/>
                <w:sz w:val="16"/>
                <w:szCs w:val="16"/>
              </w:rPr>
              <w:t>(69.2, 74.3)</w:t>
            </w:r>
          </w:p>
        </w:tc>
      </w:tr>
      <w:tr w:rsidR="007F3FD9" w:rsidRPr="007B4EF8" w14:paraId="42ED5FCF" w14:textId="77777777" w:rsidTr="00826105">
        <w:trPr>
          <w:jc w:val="center"/>
        </w:trPr>
        <w:tc>
          <w:tcPr>
            <w:tcW w:w="0" w:type="auto"/>
            <w:shd w:val="clear" w:color="auto" w:fill="auto"/>
          </w:tcPr>
          <w:p w14:paraId="1F5EB4D2" w14:textId="77777777" w:rsidR="007F3FD9" w:rsidRDefault="007F3FD9" w:rsidP="007F3FD9">
            <w:pPr>
              <w:spacing w:before="20" w:after="20"/>
              <w:ind w:left="34"/>
              <w:rPr>
                <w:rFonts w:eastAsiaTheme="minorEastAsia"/>
                <w:sz w:val="16"/>
                <w:szCs w:val="16"/>
                <w:lang w:eastAsia="en-US"/>
              </w:rPr>
            </w:pPr>
          </w:p>
        </w:tc>
        <w:tc>
          <w:tcPr>
            <w:tcW w:w="0" w:type="auto"/>
            <w:shd w:val="clear" w:color="auto" w:fill="auto"/>
          </w:tcPr>
          <w:p w14:paraId="0F4B9BC2" w14:textId="77777777" w:rsidR="007F3FD9" w:rsidRPr="001B7431" w:rsidRDefault="007F3FD9" w:rsidP="007F3FD9">
            <w:pPr>
              <w:spacing w:before="20" w:after="20"/>
              <w:ind w:left="34"/>
              <w:rPr>
                <w:rFonts w:eastAsiaTheme="minorEastAsia"/>
                <w:sz w:val="16"/>
                <w:szCs w:val="16"/>
                <w:lang w:eastAsia="en-US"/>
              </w:rPr>
            </w:pPr>
            <w:r>
              <w:rPr>
                <w:rFonts w:eastAsiaTheme="minorEastAsia"/>
                <w:sz w:val="16"/>
                <w:szCs w:val="16"/>
                <w:lang w:eastAsia="en-US"/>
              </w:rPr>
              <w:t>Low-risk gambler</w:t>
            </w:r>
          </w:p>
        </w:tc>
        <w:tc>
          <w:tcPr>
            <w:tcW w:w="0" w:type="auto"/>
            <w:shd w:val="clear" w:color="auto" w:fill="auto"/>
            <w:vAlign w:val="center"/>
          </w:tcPr>
          <w:p w14:paraId="62A30F2E" w14:textId="77777777" w:rsidR="007F3FD9" w:rsidRDefault="007F3FD9" w:rsidP="007F3FD9">
            <w:pPr>
              <w:jc w:val="right"/>
              <w:rPr>
                <w:color w:val="000000"/>
                <w:sz w:val="16"/>
                <w:szCs w:val="16"/>
              </w:rPr>
            </w:pPr>
            <w:r>
              <w:rPr>
                <w:color w:val="000000"/>
                <w:sz w:val="16"/>
                <w:szCs w:val="16"/>
              </w:rPr>
              <w:t>223</w:t>
            </w:r>
          </w:p>
        </w:tc>
        <w:tc>
          <w:tcPr>
            <w:tcW w:w="0" w:type="auto"/>
            <w:shd w:val="clear" w:color="auto" w:fill="auto"/>
            <w:vAlign w:val="center"/>
          </w:tcPr>
          <w:p w14:paraId="248A5046" w14:textId="77777777" w:rsidR="007F3FD9" w:rsidRDefault="007F3FD9" w:rsidP="007F3FD9">
            <w:pPr>
              <w:jc w:val="right"/>
              <w:rPr>
                <w:color w:val="000000"/>
                <w:sz w:val="16"/>
                <w:szCs w:val="16"/>
              </w:rPr>
            </w:pPr>
            <w:r>
              <w:rPr>
                <w:color w:val="000000"/>
                <w:sz w:val="16"/>
                <w:szCs w:val="16"/>
              </w:rPr>
              <w:t>5.0</w:t>
            </w:r>
          </w:p>
        </w:tc>
        <w:tc>
          <w:tcPr>
            <w:tcW w:w="0" w:type="auto"/>
            <w:tcBorders>
              <w:right w:val="single" w:sz="4" w:space="0" w:color="auto"/>
            </w:tcBorders>
            <w:shd w:val="clear" w:color="auto" w:fill="auto"/>
            <w:vAlign w:val="center"/>
          </w:tcPr>
          <w:p w14:paraId="69364ADE" w14:textId="77777777" w:rsidR="007F3FD9" w:rsidRDefault="007F3FD9" w:rsidP="007F3FD9">
            <w:pPr>
              <w:jc w:val="right"/>
              <w:rPr>
                <w:color w:val="000000"/>
                <w:sz w:val="16"/>
                <w:szCs w:val="16"/>
              </w:rPr>
            </w:pPr>
            <w:r>
              <w:rPr>
                <w:color w:val="000000"/>
                <w:sz w:val="16"/>
                <w:szCs w:val="16"/>
              </w:rPr>
              <w:t>(4.2, 5.9)</w:t>
            </w:r>
          </w:p>
        </w:tc>
        <w:tc>
          <w:tcPr>
            <w:tcW w:w="0" w:type="auto"/>
            <w:tcBorders>
              <w:left w:val="single" w:sz="4" w:space="0" w:color="auto"/>
            </w:tcBorders>
            <w:shd w:val="clear" w:color="auto" w:fill="auto"/>
            <w:vAlign w:val="center"/>
          </w:tcPr>
          <w:p w14:paraId="62E324C0" w14:textId="77777777" w:rsidR="007F3FD9" w:rsidRDefault="007F3FD9" w:rsidP="007F3FD9">
            <w:pPr>
              <w:jc w:val="right"/>
              <w:rPr>
                <w:color w:val="000000"/>
                <w:sz w:val="16"/>
                <w:szCs w:val="16"/>
              </w:rPr>
            </w:pPr>
            <w:r>
              <w:rPr>
                <w:color w:val="000000"/>
                <w:sz w:val="16"/>
                <w:szCs w:val="16"/>
              </w:rPr>
              <w:t>160</w:t>
            </w:r>
          </w:p>
        </w:tc>
        <w:tc>
          <w:tcPr>
            <w:tcW w:w="0" w:type="auto"/>
            <w:shd w:val="clear" w:color="auto" w:fill="auto"/>
            <w:vAlign w:val="center"/>
          </w:tcPr>
          <w:p w14:paraId="3F05CE7D" w14:textId="77777777" w:rsidR="007F3FD9" w:rsidRDefault="007F3FD9" w:rsidP="007F3FD9">
            <w:pPr>
              <w:jc w:val="right"/>
              <w:rPr>
                <w:color w:val="000000"/>
                <w:sz w:val="16"/>
                <w:szCs w:val="16"/>
              </w:rPr>
            </w:pPr>
            <w:r>
              <w:rPr>
                <w:color w:val="000000"/>
                <w:sz w:val="16"/>
                <w:szCs w:val="16"/>
              </w:rPr>
              <w:t>6.0</w:t>
            </w:r>
          </w:p>
        </w:tc>
        <w:tc>
          <w:tcPr>
            <w:tcW w:w="0" w:type="auto"/>
            <w:tcBorders>
              <w:right w:val="single" w:sz="4" w:space="0" w:color="auto"/>
            </w:tcBorders>
            <w:shd w:val="clear" w:color="auto" w:fill="auto"/>
            <w:vAlign w:val="center"/>
          </w:tcPr>
          <w:p w14:paraId="5CCF6B19" w14:textId="77777777" w:rsidR="007F3FD9" w:rsidRDefault="007F3FD9" w:rsidP="007F3FD9">
            <w:pPr>
              <w:jc w:val="right"/>
              <w:rPr>
                <w:color w:val="000000"/>
                <w:sz w:val="16"/>
                <w:szCs w:val="16"/>
              </w:rPr>
            </w:pPr>
            <w:r>
              <w:rPr>
                <w:color w:val="000000"/>
                <w:sz w:val="16"/>
                <w:szCs w:val="16"/>
              </w:rPr>
              <w:t>(4.9, 7.0)</w:t>
            </w:r>
          </w:p>
        </w:tc>
        <w:tc>
          <w:tcPr>
            <w:tcW w:w="0" w:type="auto"/>
            <w:tcBorders>
              <w:left w:val="single" w:sz="4" w:space="0" w:color="auto"/>
            </w:tcBorders>
            <w:shd w:val="clear" w:color="auto" w:fill="auto"/>
            <w:vAlign w:val="center"/>
          </w:tcPr>
          <w:p w14:paraId="1C4C882F" w14:textId="77777777" w:rsidR="007F3FD9" w:rsidRDefault="007F3FD9" w:rsidP="007F3FD9">
            <w:pPr>
              <w:jc w:val="right"/>
              <w:rPr>
                <w:color w:val="000000"/>
                <w:sz w:val="16"/>
                <w:szCs w:val="16"/>
              </w:rPr>
            </w:pPr>
            <w:r>
              <w:rPr>
                <w:color w:val="000000"/>
                <w:sz w:val="16"/>
                <w:szCs w:val="16"/>
              </w:rPr>
              <w:t>114</w:t>
            </w:r>
          </w:p>
        </w:tc>
        <w:tc>
          <w:tcPr>
            <w:tcW w:w="0" w:type="auto"/>
            <w:shd w:val="clear" w:color="auto" w:fill="auto"/>
            <w:vAlign w:val="center"/>
          </w:tcPr>
          <w:p w14:paraId="3F112E58" w14:textId="77777777" w:rsidR="007F3FD9" w:rsidRDefault="007F3FD9" w:rsidP="007F3FD9">
            <w:pPr>
              <w:jc w:val="right"/>
              <w:rPr>
                <w:color w:val="000000"/>
                <w:sz w:val="16"/>
                <w:szCs w:val="16"/>
              </w:rPr>
            </w:pPr>
            <w:r>
              <w:rPr>
                <w:color w:val="000000"/>
                <w:sz w:val="16"/>
                <w:szCs w:val="16"/>
              </w:rPr>
              <w:t>5.1</w:t>
            </w:r>
          </w:p>
        </w:tc>
        <w:tc>
          <w:tcPr>
            <w:tcW w:w="0" w:type="auto"/>
            <w:tcBorders>
              <w:right w:val="single" w:sz="4" w:space="0" w:color="auto"/>
            </w:tcBorders>
            <w:shd w:val="clear" w:color="auto" w:fill="auto"/>
            <w:vAlign w:val="center"/>
          </w:tcPr>
          <w:p w14:paraId="112BB373" w14:textId="77777777" w:rsidR="007F3FD9" w:rsidRDefault="007F3FD9" w:rsidP="007F3FD9">
            <w:pPr>
              <w:jc w:val="right"/>
              <w:rPr>
                <w:color w:val="000000"/>
                <w:sz w:val="16"/>
                <w:szCs w:val="16"/>
              </w:rPr>
            </w:pPr>
            <w:r>
              <w:rPr>
                <w:color w:val="000000"/>
                <w:sz w:val="16"/>
                <w:szCs w:val="16"/>
              </w:rPr>
              <w:t>(3.9, 6.2)</w:t>
            </w:r>
          </w:p>
        </w:tc>
        <w:tc>
          <w:tcPr>
            <w:tcW w:w="0" w:type="auto"/>
            <w:tcBorders>
              <w:left w:val="single" w:sz="4" w:space="0" w:color="auto"/>
            </w:tcBorders>
            <w:shd w:val="clear" w:color="auto" w:fill="auto"/>
            <w:vAlign w:val="center"/>
          </w:tcPr>
          <w:p w14:paraId="548FEF35" w14:textId="77777777" w:rsidR="007F3FD9" w:rsidRDefault="007F3FD9" w:rsidP="007F3FD9">
            <w:pPr>
              <w:jc w:val="right"/>
              <w:rPr>
                <w:color w:val="000000"/>
                <w:sz w:val="16"/>
                <w:szCs w:val="16"/>
              </w:rPr>
            </w:pPr>
            <w:r>
              <w:rPr>
                <w:color w:val="000000"/>
                <w:sz w:val="16"/>
                <w:szCs w:val="16"/>
              </w:rPr>
              <w:t>93</w:t>
            </w:r>
          </w:p>
        </w:tc>
        <w:tc>
          <w:tcPr>
            <w:tcW w:w="0" w:type="auto"/>
            <w:shd w:val="clear" w:color="auto" w:fill="auto"/>
            <w:vAlign w:val="center"/>
          </w:tcPr>
          <w:p w14:paraId="30D8B971" w14:textId="77777777" w:rsidR="007F3FD9" w:rsidRDefault="007F3FD9" w:rsidP="007F3FD9">
            <w:pPr>
              <w:jc w:val="right"/>
              <w:rPr>
                <w:color w:val="000000"/>
                <w:sz w:val="16"/>
                <w:szCs w:val="16"/>
              </w:rPr>
            </w:pPr>
            <w:r>
              <w:rPr>
                <w:color w:val="000000"/>
                <w:sz w:val="16"/>
                <w:szCs w:val="16"/>
              </w:rPr>
              <w:t>4.6</w:t>
            </w:r>
          </w:p>
        </w:tc>
        <w:tc>
          <w:tcPr>
            <w:tcW w:w="0" w:type="auto"/>
            <w:shd w:val="clear" w:color="auto" w:fill="auto"/>
            <w:vAlign w:val="center"/>
          </w:tcPr>
          <w:p w14:paraId="054F0131" w14:textId="77777777" w:rsidR="007F3FD9" w:rsidRDefault="007F3FD9" w:rsidP="007F3FD9">
            <w:pPr>
              <w:jc w:val="right"/>
              <w:rPr>
                <w:color w:val="000000"/>
                <w:sz w:val="16"/>
                <w:szCs w:val="16"/>
              </w:rPr>
            </w:pPr>
            <w:r>
              <w:rPr>
                <w:color w:val="000000"/>
                <w:sz w:val="16"/>
                <w:szCs w:val="16"/>
              </w:rPr>
              <w:t>(3.4, 5.8)</w:t>
            </w:r>
          </w:p>
        </w:tc>
      </w:tr>
      <w:tr w:rsidR="007F3FD9" w:rsidRPr="007B4EF8" w14:paraId="3AB88D26" w14:textId="77777777" w:rsidTr="00826105">
        <w:trPr>
          <w:jc w:val="center"/>
        </w:trPr>
        <w:tc>
          <w:tcPr>
            <w:tcW w:w="0" w:type="auto"/>
            <w:shd w:val="clear" w:color="auto" w:fill="auto"/>
          </w:tcPr>
          <w:p w14:paraId="27816C15" w14:textId="77777777" w:rsidR="007F3FD9" w:rsidRDefault="007F3FD9" w:rsidP="007F3FD9">
            <w:pPr>
              <w:spacing w:before="20" w:after="20"/>
              <w:ind w:left="34"/>
              <w:rPr>
                <w:rFonts w:eastAsiaTheme="minorEastAsia"/>
                <w:sz w:val="16"/>
                <w:szCs w:val="16"/>
                <w:lang w:eastAsia="en-US"/>
              </w:rPr>
            </w:pPr>
          </w:p>
        </w:tc>
        <w:tc>
          <w:tcPr>
            <w:tcW w:w="0" w:type="auto"/>
            <w:shd w:val="clear" w:color="auto" w:fill="auto"/>
          </w:tcPr>
          <w:p w14:paraId="2B1C19FA" w14:textId="77777777" w:rsidR="007F3FD9" w:rsidRPr="001B7431" w:rsidRDefault="007F3FD9" w:rsidP="007F3FD9">
            <w:pPr>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0" w:type="auto"/>
            <w:shd w:val="clear" w:color="auto" w:fill="auto"/>
            <w:vAlign w:val="center"/>
          </w:tcPr>
          <w:p w14:paraId="701D5612" w14:textId="77777777" w:rsidR="007F3FD9" w:rsidRDefault="007F3FD9" w:rsidP="007F3FD9">
            <w:pPr>
              <w:jc w:val="right"/>
              <w:rPr>
                <w:color w:val="000000"/>
                <w:sz w:val="16"/>
                <w:szCs w:val="16"/>
              </w:rPr>
            </w:pPr>
            <w:r>
              <w:rPr>
                <w:color w:val="000000"/>
                <w:sz w:val="16"/>
                <w:szCs w:val="16"/>
              </w:rPr>
              <w:t>102</w:t>
            </w:r>
          </w:p>
        </w:tc>
        <w:tc>
          <w:tcPr>
            <w:tcW w:w="0" w:type="auto"/>
            <w:shd w:val="clear" w:color="auto" w:fill="auto"/>
            <w:vAlign w:val="center"/>
          </w:tcPr>
          <w:p w14:paraId="307BF0F8" w14:textId="77777777" w:rsidR="007F3FD9" w:rsidRDefault="007F3FD9" w:rsidP="007F3FD9">
            <w:pPr>
              <w:jc w:val="right"/>
              <w:rPr>
                <w:color w:val="000000"/>
                <w:sz w:val="16"/>
                <w:szCs w:val="16"/>
              </w:rPr>
            </w:pPr>
            <w:r>
              <w:rPr>
                <w:color w:val="000000"/>
                <w:sz w:val="16"/>
                <w:szCs w:val="16"/>
              </w:rPr>
              <w:t>2.3</w:t>
            </w:r>
          </w:p>
        </w:tc>
        <w:tc>
          <w:tcPr>
            <w:tcW w:w="0" w:type="auto"/>
            <w:tcBorders>
              <w:right w:val="single" w:sz="4" w:space="0" w:color="auto"/>
            </w:tcBorders>
            <w:shd w:val="clear" w:color="auto" w:fill="auto"/>
            <w:vAlign w:val="center"/>
          </w:tcPr>
          <w:p w14:paraId="1DD81A76" w14:textId="77777777" w:rsidR="007F3FD9" w:rsidRDefault="007F3FD9" w:rsidP="007F3FD9">
            <w:pPr>
              <w:jc w:val="right"/>
              <w:rPr>
                <w:color w:val="000000"/>
                <w:sz w:val="16"/>
                <w:szCs w:val="16"/>
              </w:rPr>
            </w:pPr>
            <w:r>
              <w:rPr>
                <w:color w:val="000000"/>
                <w:sz w:val="16"/>
                <w:szCs w:val="16"/>
              </w:rPr>
              <w:t>(1.8, 2.8)</w:t>
            </w:r>
          </w:p>
        </w:tc>
        <w:tc>
          <w:tcPr>
            <w:tcW w:w="0" w:type="auto"/>
            <w:tcBorders>
              <w:left w:val="single" w:sz="4" w:space="0" w:color="auto"/>
            </w:tcBorders>
            <w:shd w:val="clear" w:color="auto" w:fill="auto"/>
            <w:vAlign w:val="center"/>
          </w:tcPr>
          <w:p w14:paraId="067BD578" w14:textId="77777777" w:rsidR="007F3FD9" w:rsidRDefault="007F3FD9" w:rsidP="007F3FD9">
            <w:pPr>
              <w:jc w:val="right"/>
              <w:rPr>
                <w:color w:val="000000"/>
                <w:sz w:val="16"/>
                <w:szCs w:val="16"/>
              </w:rPr>
            </w:pPr>
            <w:r>
              <w:rPr>
                <w:color w:val="000000"/>
                <w:sz w:val="16"/>
                <w:szCs w:val="16"/>
              </w:rPr>
              <w:t>54</w:t>
            </w:r>
          </w:p>
        </w:tc>
        <w:tc>
          <w:tcPr>
            <w:tcW w:w="0" w:type="auto"/>
            <w:shd w:val="clear" w:color="auto" w:fill="auto"/>
            <w:vAlign w:val="center"/>
          </w:tcPr>
          <w:p w14:paraId="57B923B3" w14:textId="77777777" w:rsidR="007F3FD9" w:rsidRDefault="007F3FD9" w:rsidP="007F3FD9">
            <w:pPr>
              <w:jc w:val="right"/>
              <w:rPr>
                <w:color w:val="000000"/>
                <w:sz w:val="16"/>
                <w:szCs w:val="16"/>
              </w:rPr>
            </w:pPr>
            <w:r>
              <w:rPr>
                <w:color w:val="000000"/>
                <w:sz w:val="16"/>
                <w:szCs w:val="16"/>
              </w:rPr>
              <w:t>2.0</w:t>
            </w:r>
          </w:p>
        </w:tc>
        <w:tc>
          <w:tcPr>
            <w:tcW w:w="0" w:type="auto"/>
            <w:tcBorders>
              <w:right w:val="single" w:sz="4" w:space="0" w:color="auto"/>
            </w:tcBorders>
            <w:shd w:val="clear" w:color="auto" w:fill="auto"/>
            <w:vAlign w:val="center"/>
          </w:tcPr>
          <w:p w14:paraId="749B7253" w14:textId="77777777" w:rsidR="007F3FD9" w:rsidRDefault="007F3FD9" w:rsidP="007F3FD9">
            <w:pPr>
              <w:jc w:val="right"/>
              <w:rPr>
                <w:color w:val="000000"/>
                <w:sz w:val="16"/>
                <w:szCs w:val="16"/>
              </w:rPr>
            </w:pPr>
            <w:r>
              <w:rPr>
                <w:color w:val="000000"/>
                <w:sz w:val="16"/>
                <w:szCs w:val="16"/>
              </w:rPr>
              <w:t>(1.4, 2.6)</w:t>
            </w:r>
          </w:p>
        </w:tc>
        <w:tc>
          <w:tcPr>
            <w:tcW w:w="0" w:type="auto"/>
            <w:tcBorders>
              <w:left w:val="single" w:sz="4" w:space="0" w:color="auto"/>
            </w:tcBorders>
            <w:shd w:val="clear" w:color="auto" w:fill="auto"/>
            <w:vAlign w:val="center"/>
          </w:tcPr>
          <w:p w14:paraId="0A7DD45D" w14:textId="77777777" w:rsidR="007F3FD9" w:rsidRDefault="007F3FD9" w:rsidP="007F3FD9">
            <w:pPr>
              <w:jc w:val="right"/>
              <w:rPr>
                <w:color w:val="000000"/>
                <w:sz w:val="16"/>
                <w:szCs w:val="16"/>
              </w:rPr>
            </w:pPr>
            <w:r>
              <w:rPr>
                <w:color w:val="000000"/>
                <w:sz w:val="16"/>
                <w:szCs w:val="16"/>
              </w:rPr>
              <w:t>42</w:t>
            </w:r>
          </w:p>
        </w:tc>
        <w:tc>
          <w:tcPr>
            <w:tcW w:w="0" w:type="auto"/>
            <w:shd w:val="clear" w:color="auto" w:fill="auto"/>
            <w:vAlign w:val="center"/>
          </w:tcPr>
          <w:p w14:paraId="1848B127" w14:textId="77777777" w:rsidR="007F3FD9" w:rsidRDefault="007F3FD9" w:rsidP="007F3FD9">
            <w:pPr>
              <w:jc w:val="right"/>
              <w:rPr>
                <w:color w:val="000000"/>
                <w:sz w:val="16"/>
                <w:szCs w:val="16"/>
              </w:rPr>
            </w:pPr>
            <w:r>
              <w:rPr>
                <w:color w:val="000000"/>
                <w:sz w:val="16"/>
                <w:szCs w:val="16"/>
              </w:rPr>
              <w:t>1.9</w:t>
            </w:r>
          </w:p>
        </w:tc>
        <w:tc>
          <w:tcPr>
            <w:tcW w:w="0" w:type="auto"/>
            <w:tcBorders>
              <w:right w:val="single" w:sz="4" w:space="0" w:color="auto"/>
            </w:tcBorders>
            <w:shd w:val="clear" w:color="auto" w:fill="auto"/>
            <w:vAlign w:val="center"/>
          </w:tcPr>
          <w:p w14:paraId="37C0F5F1" w14:textId="77777777" w:rsidR="007F3FD9" w:rsidRDefault="007F3FD9" w:rsidP="007F3FD9">
            <w:pPr>
              <w:jc w:val="right"/>
              <w:rPr>
                <w:color w:val="000000"/>
                <w:sz w:val="16"/>
                <w:szCs w:val="16"/>
              </w:rPr>
            </w:pPr>
            <w:r>
              <w:rPr>
                <w:color w:val="000000"/>
                <w:sz w:val="16"/>
                <w:szCs w:val="16"/>
              </w:rPr>
              <w:t>(1.3, 2.4)</w:t>
            </w:r>
          </w:p>
        </w:tc>
        <w:tc>
          <w:tcPr>
            <w:tcW w:w="0" w:type="auto"/>
            <w:tcBorders>
              <w:left w:val="single" w:sz="4" w:space="0" w:color="auto"/>
            </w:tcBorders>
            <w:shd w:val="clear" w:color="auto" w:fill="auto"/>
            <w:vAlign w:val="center"/>
          </w:tcPr>
          <w:p w14:paraId="00A7F10D" w14:textId="77777777" w:rsidR="007F3FD9" w:rsidRDefault="007F3FD9" w:rsidP="007F3FD9">
            <w:pPr>
              <w:jc w:val="right"/>
              <w:rPr>
                <w:color w:val="000000"/>
                <w:sz w:val="16"/>
                <w:szCs w:val="16"/>
              </w:rPr>
            </w:pPr>
            <w:r>
              <w:rPr>
                <w:color w:val="000000"/>
                <w:sz w:val="16"/>
                <w:szCs w:val="16"/>
              </w:rPr>
              <w:t>48</w:t>
            </w:r>
          </w:p>
        </w:tc>
        <w:tc>
          <w:tcPr>
            <w:tcW w:w="0" w:type="auto"/>
            <w:shd w:val="clear" w:color="auto" w:fill="auto"/>
            <w:vAlign w:val="center"/>
          </w:tcPr>
          <w:p w14:paraId="45D732AD" w14:textId="77777777" w:rsidR="007F3FD9" w:rsidRDefault="007F3FD9" w:rsidP="007F3FD9">
            <w:pPr>
              <w:jc w:val="right"/>
              <w:rPr>
                <w:color w:val="000000"/>
                <w:sz w:val="16"/>
                <w:szCs w:val="16"/>
              </w:rPr>
            </w:pPr>
            <w:r>
              <w:rPr>
                <w:color w:val="000000"/>
                <w:sz w:val="16"/>
                <w:szCs w:val="16"/>
              </w:rPr>
              <w:t>2.4</w:t>
            </w:r>
          </w:p>
        </w:tc>
        <w:tc>
          <w:tcPr>
            <w:tcW w:w="0" w:type="auto"/>
            <w:shd w:val="clear" w:color="auto" w:fill="auto"/>
            <w:vAlign w:val="center"/>
          </w:tcPr>
          <w:p w14:paraId="6BBFDE1A" w14:textId="77777777" w:rsidR="007F3FD9" w:rsidRDefault="007F3FD9" w:rsidP="007F3FD9">
            <w:pPr>
              <w:jc w:val="right"/>
              <w:rPr>
                <w:color w:val="000000"/>
                <w:sz w:val="16"/>
                <w:szCs w:val="16"/>
              </w:rPr>
            </w:pPr>
            <w:r>
              <w:rPr>
                <w:color w:val="000000"/>
                <w:sz w:val="16"/>
                <w:szCs w:val="16"/>
              </w:rPr>
              <w:t>(1.5, 3.3)</w:t>
            </w:r>
          </w:p>
        </w:tc>
      </w:tr>
      <w:tr w:rsidR="007F3FD9" w:rsidRPr="007B4EF8" w14:paraId="6E79B17E" w14:textId="77777777" w:rsidTr="00826105">
        <w:trPr>
          <w:jc w:val="center"/>
        </w:trPr>
        <w:tc>
          <w:tcPr>
            <w:tcW w:w="0" w:type="auto"/>
            <w:shd w:val="clear" w:color="auto" w:fill="auto"/>
          </w:tcPr>
          <w:p w14:paraId="550BAE77" w14:textId="77777777" w:rsidR="007F3FD9" w:rsidRDefault="007F3FD9" w:rsidP="007F3FD9">
            <w:pPr>
              <w:spacing w:before="20" w:after="20"/>
              <w:ind w:left="34"/>
              <w:rPr>
                <w:rFonts w:eastAsiaTheme="minorEastAsia"/>
                <w:sz w:val="16"/>
                <w:szCs w:val="16"/>
                <w:lang w:eastAsia="en-US"/>
              </w:rPr>
            </w:pPr>
          </w:p>
        </w:tc>
        <w:tc>
          <w:tcPr>
            <w:tcW w:w="0" w:type="auto"/>
            <w:shd w:val="clear" w:color="auto" w:fill="auto"/>
          </w:tcPr>
          <w:p w14:paraId="3C30E5E5" w14:textId="77777777" w:rsidR="007F3FD9" w:rsidRPr="001B7431" w:rsidRDefault="007F3FD9" w:rsidP="007F3FD9">
            <w:pPr>
              <w:spacing w:before="20" w:after="20"/>
              <w:ind w:left="34"/>
              <w:rPr>
                <w:rFonts w:eastAsiaTheme="minorEastAsia"/>
                <w:sz w:val="16"/>
                <w:szCs w:val="16"/>
                <w:lang w:eastAsia="en-US"/>
              </w:rPr>
            </w:pPr>
            <w:r>
              <w:rPr>
                <w:rFonts w:eastAsiaTheme="minorEastAsia"/>
                <w:sz w:val="16"/>
                <w:szCs w:val="16"/>
                <w:lang w:eastAsia="en-US"/>
              </w:rPr>
              <w:t>No gambling in past year</w:t>
            </w:r>
          </w:p>
        </w:tc>
        <w:tc>
          <w:tcPr>
            <w:tcW w:w="0" w:type="auto"/>
            <w:shd w:val="clear" w:color="auto" w:fill="auto"/>
            <w:vAlign w:val="center"/>
          </w:tcPr>
          <w:p w14:paraId="3AF053CA" w14:textId="77777777" w:rsidR="007F3FD9" w:rsidRDefault="007F3FD9" w:rsidP="007F3FD9">
            <w:pPr>
              <w:jc w:val="right"/>
              <w:rPr>
                <w:color w:val="000000"/>
                <w:sz w:val="16"/>
                <w:szCs w:val="16"/>
              </w:rPr>
            </w:pPr>
            <w:r>
              <w:rPr>
                <w:color w:val="000000"/>
                <w:sz w:val="16"/>
                <w:szCs w:val="16"/>
              </w:rPr>
              <w:t>731</w:t>
            </w:r>
          </w:p>
        </w:tc>
        <w:tc>
          <w:tcPr>
            <w:tcW w:w="0" w:type="auto"/>
            <w:shd w:val="clear" w:color="auto" w:fill="auto"/>
            <w:vAlign w:val="center"/>
          </w:tcPr>
          <w:p w14:paraId="30CB3ECE" w14:textId="77777777" w:rsidR="007F3FD9" w:rsidRDefault="007F3FD9" w:rsidP="007F3FD9">
            <w:pPr>
              <w:jc w:val="right"/>
              <w:rPr>
                <w:color w:val="000000"/>
                <w:sz w:val="16"/>
                <w:szCs w:val="16"/>
              </w:rPr>
            </w:pPr>
            <w:r>
              <w:rPr>
                <w:color w:val="000000"/>
                <w:sz w:val="16"/>
                <w:szCs w:val="16"/>
              </w:rPr>
              <w:t>16.5</w:t>
            </w:r>
          </w:p>
        </w:tc>
        <w:tc>
          <w:tcPr>
            <w:tcW w:w="0" w:type="auto"/>
            <w:tcBorders>
              <w:right w:val="single" w:sz="4" w:space="0" w:color="auto"/>
            </w:tcBorders>
            <w:shd w:val="clear" w:color="auto" w:fill="auto"/>
            <w:vAlign w:val="center"/>
          </w:tcPr>
          <w:p w14:paraId="00353730" w14:textId="77777777" w:rsidR="007F3FD9" w:rsidRDefault="007F3FD9" w:rsidP="007F3FD9">
            <w:pPr>
              <w:jc w:val="right"/>
              <w:rPr>
                <w:color w:val="000000"/>
                <w:sz w:val="16"/>
                <w:szCs w:val="16"/>
              </w:rPr>
            </w:pPr>
            <w:r>
              <w:rPr>
                <w:color w:val="000000"/>
                <w:sz w:val="16"/>
                <w:szCs w:val="16"/>
              </w:rPr>
              <w:t>(15.2, 17.8)</w:t>
            </w:r>
          </w:p>
        </w:tc>
        <w:tc>
          <w:tcPr>
            <w:tcW w:w="0" w:type="auto"/>
            <w:tcBorders>
              <w:left w:val="single" w:sz="4" w:space="0" w:color="auto"/>
            </w:tcBorders>
            <w:shd w:val="clear" w:color="auto" w:fill="auto"/>
            <w:vAlign w:val="center"/>
          </w:tcPr>
          <w:p w14:paraId="1492D174" w14:textId="77777777" w:rsidR="007F3FD9" w:rsidRDefault="007F3FD9" w:rsidP="007F3FD9">
            <w:pPr>
              <w:jc w:val="right"/>
              <w:rPr>
                <w:color w:val="000000"/>
                <w:sz w:val="16"/>
                <w:szCs w:val="16"/>
              </w:rPr>
            </w:pPr>
            <w:r>
              <w:rPr>
                <w:color w:val="000000"/>
                <w:sz w:val="16"/>
                <w:szCs w:val="16"/>
              </w:rPr>
              <w:t>493</w:t>
            </w:r>
          </w:p>
        </w:tc>
        <w:tc>
          <w:tcPr>
            <w:tcW w:w="0" w:type="auto"/>
            <w:shd w:val="clear" w:color="auto" w:fill="auto"/>
            <w:vAlign w:val="center"/>
          </w:tcPr>
          <w:p w14:paraId="5F7A1EA4" w14:textId="77777777" w:rsidR="007F3FD9" w:rsidRDefault="007F3FD9" w:rsidP="007F3FD9">
            <w:pPr>
              <w:jc w:val="right"/>
              <w:rPr>
                <w:color w:val="000000"/>
                <w:sz w:val="16"/>
                <w:szCs w:val="16"/>
              </w:rPr>
            </w:pPr>
            <w:r>
              <w:rPr>
                <w:color w:val="000000"/>
                <w:sz w:val="16"/>
                <w:szCs w:val="16"/>
              </w:rPr>
              <w:t>18.3</w:t>
            </w:r>
          </w:p>
        </w:tc>
        <w:tc>
          <w:tcPr>
            <w:tcW w:w="0" w:type="auto"/>
            <w:tcBorders>
              <w:right w:val="single" w:sz="4" w:space="0" w:color="auto"/>
            </w:tcBorders>
            <w:shd w:val="clear" w:color="auto" w:fill="auto"/>
            <w:vAlign w:val="center"/>
          </w:tcPr>
          <w:p w14:paraId="6AF65711" w14:textId="77777777" w:rsidR="007F3FD9" w:rsidRDefault="007F3FD9" w:rsidP="007F3FD9">
            <w:pPr>
              <w:jc w:val="right"/>
              <w:rPr>
                <w:color w:val="000000"/>
                <w:sz w:val="16"/>
                <w:szCs w:val="16"/>
              </w:rPr>
            </w:pPr>
            <w:r>
              <w:rPr>
                <w:color w:val="000000"/>
                <w:sz w:val="16"/>
                <w:szCs w:val="16"/>
              </w:rPr>
              <w:t>(16.5, 20.1)</w:t>
            </w:r>
          </w:p>
        </w:tc>
        <w:tc>
          <w:tcPr>
            <w:tcW w:w="0" w:type="auto"/>
            <w:tcBorders>
              <w:left w:val="single" w:sz="4" w:space="0" w:color="auto"/>
            </w:tcBorders>
            <w:shd w:val="clear" w:color="auto" w:fill="auto"/>
            <w:vAlign w:val="center"/>
          </w:tcPr>
          <w:p w14:paraId="07772343" w14:textId="77777777" w:rsidR="007F3FD9" w:rsidRDefault="007F3FD9" w:rsidP="007F3FD9">
            <w:pPr>
              <w:jc w:val="right"/>
              <w:rPr>
                <w:color w:val="000000"/>
                <w:sz w:val="16"/>
                <w:szCs w:val="16"/>
              </w:rPr>
            </w:pPr>
            <w:r>
              <w:rPr>
                <w:color w:val="000000"/>
                <w:sz w:val="16"/>
                <w:szCs w:val="16"/>
              </w:rPr>
              <w:t>449</w:t>
            </w:r>
          </w:p>
        </w:tc>
        <w:tc>
          <w:tcPr>
            <w:tcW w:w="0" w:type="auto"/>
            <w:shd w:val="clear" w:color="auto" w:fill="auto"/>
            <w:vAlign w:val="center"/>
          </w:tcPr>
          <w:p w14:paraId="00906D07" w14:textId="77777777" w:rsidR="007F3FD9" w:rsidRDefault="007F3FD9" w:rsidP="007F3FD9">
            <w:pPr>
              <w:jc w:val="right"/>
              <w:rPr>
                <w:color w:val="000000"/>
                <w:sz w:val="16"/>
                <w:szCs w:val="16"/>
              </w:rPr>
            </w:pPr>
            <w:r>
              <w:rPr>
                <w:color w:val="000000"/>
                <w:sz w:val="16"/>
                <w:szCs w:val="16"/>
              </w:rPr>
              <w:t>19.9</w:t>
            </w:r>
          </w:p>
        </w:tc>
        <w:tc>
          <w:tcPr>
            <w:tcW w:w="0" w:type="auto"/>
            <w:tcBorders>
              <w:right w:val="single" w:sz="4" w:space="0" w:color="auto"/>
            </w:tcBorders>
            <w:shd w:val="clear" w:color="auto" w:fill="auto"/>
            <w:vAlign w:val="center"/>
          </w:tcPr>
          <w:p w14:paraId="3FB3550C" w14:textId="77777777" w:rsidR="007F3FD9" w:rsidRDefault="007F3FD9" w:rsidP="007F3FD9">
            <w:pPr>
              <w:jc w:val="right"/>
              <w:rPr>
                <w:color w:val="000000"/>
                <w:sz w:val="16"/>
                <w:szCs w:val="16"/>
              </w:rPr>
            </w:pPr>
            <w:r>
              <w:rPr>
                <w:color w:val="000000"/>
                <w:sz w:val="16"/>
                <w:szCs w:val="16"/>
              </w:rPr>
              <w:t>(17.6, 22.1)</w:t>
            </w:r>
          </w:p>
        </w:tc>
        <w:tc>
          <w:tcPr>
            <w:tcW w:w="0" w:type="auto"/>
            <w:tcBorders>
              <w:left w:val="single" w:sz="4" w:space="0" w:color="auto"/>
            </w:tcBorders>
            <w:shd w:val="clear" w:color="auto" w:fill="auto"/>
            <w:vAlign w:val="center"/>
          </w:tcPr>
          <w:p w14:paraId="5DD28D58" w14:textId="77777777" w:rsidR="007F3FD9" w:rsidRDefault="007F3FD9" w:rsidP="007F3FD9">
            <w:pPr>
              <w:jc w:val="right"/>
              <w:rPr>
                <w:color w:val="000000"/>
                <w:sz w:val="16"/>
                <w:szCs w:val="16"/>
              </w:rPr>
            </w:pPr>
            <w:r>
              <w:rPr>
                <w:color w:val="000000"/>
                <w:sz w:val="16"/>
                <w:szCs w:val="16"/>
              </w:rPr>
              <w:t>428</w:t>
            </w:r>
          </w:p>
        </w:tc>
        <w:tc>
          <w:tcPr>
            <w:tcW w:w="0" w:type="auto"/>
            <w:shd w:val="clear" w:color="auto" w:fill="auto"/>
            <w:vAlign w:val="center"/>
          </w:tcPr>
          <w:p w14:paraId="7185420E" w14:textId="77777777" w:rsidR="007F3FD9" w:rsidRDefault="007F3FD9" w:rsidP="007F3FD9">
            <w:pPr>
              <w:jc w:val="right"/>
              <w:rPr>
                <w:color w:val="000000"/>
                <w:sz w:val="16"/>
                <w:szCs w:val="16"/>
              </w:rPr>
            </w:pPr>
            <w:r>
              <w:rPr>
                <w:color w:val="000000"/>
                <w:sz w:val="16"/>
                <w:szCs w:val="16"/>
              </w:rPr>
              <w:t>21.3</w:t>
            </w:r>
          </w:p>
        </w:tc>
        <w:tc>
          <w:tcPr>
            <w:tcW w:w="0" w:type="auto"/>
            <w:shd w:val="clear" w:color="auto" w:fill="auto"/>
            <w:vAlign w:val="center"/>
          </w:tcPr>
          <w:p w14:paraId="2044122B" w14:textId="77777777" w:rsidR="007F3FD9" w:rsidRDefault="007F3FD9" w:rsidP="007F3FD9">
            <w:pPr>
              <w:jc w:val="right"/>
              <w:rPr>
                <w:color w:val="000000"/>
                <w:sz w:val="16"/>
                <w:szCs w:val="16"/>
              </w:rPr>
            </w:pPr>
            <w:r>
              <w:rPr>
                <w:color w:val="000000"/>
                <w:sz w:val="16"/>
                <w:szCs w:val="16"/>
              </w:rPr>
              <w:t>(18.9, 23.7)</w:t>
            </w:r>
          </w:p>
        </w:tc>
      </w:tr>
      <w:tr w:rsidR="007F3FD9" w:rsidRPr="007B4EF8" w14:paraId="5C167964" w14:textId="77777777" w:rsidTr="00826105">
        <w:trPr>
          <w:jc w:val="center"/>
        </w:trPr>
        <w:tc>
          <w:tcPr>
            <w:tcW w:w="0" w:type="auto"/>
            <w:shd w:val="clear" w:color="auto" w:fill="auto"/>
          </w:tcPr>
          <w:p w14:paraId="4D9B1F9D" w14:textId="77777777" w:rsidR="007F3FD9" w:rsidRDefault="007F3FD9" w:rsidP="007F3FD9">
            <w:pPr>
              <w:spacing w:before="20" w:after="20"/>
              <w:ind w:left="34"/>
              <w:rPr>
                <w:rFonts w:eastAsiaTheme="minorEastAsia"/>
                <w:sz w:val="16"/>
                <w:szCs w:val="16"/>
                <w:lang w:eastAsia="en-US"/>
              </w:rPr>
            </w:pPr>
            <w:r>
              <w:rPr>
                <w:rFonts w:eastAsiaTheme="minorEastAsia"/>
                <w:sz w:val="16"/>
                <w:szCs w:val="16"/>
                <w:lang w:eastAsia="en-US"/>
              </w:rPr>
              <w:t>Before 2008</w:t>
            </w:r>
          </w:p>
        </w:tc>
        <w:tc>
          <w:tcPr>
            <w:tcW w:w="0" w:type="auto"/>
            <w:shd w:val="clear" w:color="auto" w:fill="auto"/>
          </w:tcPr>
          <w:p w14:paraId="5318B927" w14:textId="77777777" w:rsidR="007F3FD9" w:rsidRPr="001B7431" w:rsidRDefault="007F3FD9" w:rsidP="007F3FD9">
            <w:pPr>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0" w:type="auto"/>
            <w:shd w:val="clear" w:color="auto" w:fill="auto"/>
            <w:vAlign w:val="center"/>
          </w:tcPr>
          <w:p w14:paraId="7683F551" w14:textId="77777777" w:rsidR="007F3FD9" w:rsidRDefault="007F3FD9" w:rsidP="007F3FD9">
            <w:pPr>
              <w:jc w:val="right"/>
              <w:rPr>
                <w:color w:val="000000"/>
                <w:sz w:val="16"/>
                <w:szCs w:val="16"/>
              </w:rPr>
            </w:pPr>
            <w:r>
              <w:rPr>
                <w:color w:val="000000"/>
                <w:sz w:val="16"/>
                <w:szCs w:val="16"/>
              </w:rPr>
              <w:t>1007</w:t>
            </w:r>
          </w:p>
        </w:tc>
        <w:tc>
          <w:tcPr>
            <w:tcW w:w="0" w:type="auto"/>
            <w:shd w:val="clear" w:color="auto" w:fill="auto"/>
            <w:vAlign w:val="center"/>
          </w:tcPr>
          <w:p w14:paraId="3F6710B3" w14:textId="77777777" w:rsidR="007F3FD9" w:rsidRDefault="007F3FD9" w:rsidP="007F3FD9">
            <w:pPr>
              <w:jc w:val="right"/>
              <w:rPr>
                <w:color w:val="000000"/>
                <w:sz w:val="16"/>
                <w:szCs w:val="16"/>
              </w:rPr>
            </w:pPr>
            <w:r>
              <w:rPr>
                <w:color w:val="000000"/>
                <w:sz w:val="16"/>
                <w:szCs w:val="16"/>
              </w:rPr>
              <w:t>66.9</w:t>
            </w:r>
          </w:p>
        </w:tc>
        <w:tc>
          <w:tcPr>
            <w:tcW w:w="0" w:type="auto"/>
            <w:tcBorders>
              <w:right w:val="single" w:sz="4" w:space="0" w:color="auto"/>
            </w:tcBorders>
            <w:shd w:val="clear" w:color="auto" w:fill="auto"/>
            <w:vAlign w:val="center"/>
          </w:tcPr>
          <w:p w14:paraId="6FF868A2" w14:textId="77777777" w:rsidR="007F3FD9" w:rsidRDefault="007F3FD9" w:rsidP="007F3FD9">
            <w:pPr>
              <w:jc w:val="right"/>
              <w:rPr>
                <w:color w:val="000000"/>
                <w:sz w:val="16"/>
                <w:szCs w:val="16"/>
              </w:rPr>
            </w:pPr>
            <w:r>
              <w:rPr>
                <w:color w:val="000000"/>
                <w:sz w:val="16"/>
                <w:szCs w:val="16"/>
              </w:rPr>
              <w:t>(64.2, 69.5)</w:t>
            </w:r>
          </w:p>
        </w:tc>
        <w:tc>
          <w:tcPr>
            <w:tcW w:w="0" w:type="auto"/>
            <w:tcBorders>
              <w:left w:val="single" w:sz="4" w:space="0" w:color="auto"/>
            </w:tcBorders>
            <w:shd w:val="clear" w:color="auto" w:fill="auto"/>
            <w:vAlign w:val="center"/>
          </w:tcPr>
          <w:p w14:paraId="27D3053D" w14:textId="77777777" w:rsidR="007F3FD9" w:rsidRDefault="007F3FD9" w:rsidP="007F3FD9">
            <w:pPr>
              <w:jc w:val="right"/>
              <w:rPr>
                <w:color w:val="000000"/>
                <w:sz w:val="16"/>
                <w:szCs w:val="16"/>
              </w:rPr>
            </w:pPr>
            <w:r>
              <w:rPr>
                <w:color w:val="000000"/>
                <w:sz w:val="16"/>
                <w:szCs w:val="16"/>
              </w:rPr>
              <w:t>567</w:t>
            </w:r>
          </w:p>
        </w:tc>
        <w:tc>
          <w:tcPr>
            <w:tcW w:w="0" w:type="auto"/>
            <w:shd w:val="clear" w:color="auto" w:fill="auto"/>
            <w:vAlign w:val="center"/>
          </w:tcPr>
          <w:p w14:paraId="657CCEB3" w14:textId="77777777" w:rsidR="007F3FD9" w:rsidRDefault="007F3FD9" w:rsidP="007F3FD9">
            <w:pPr>
              <w:jc w:val="right"/>
              <w:rPr>
                <w:color w:val="000000"/>
                <w:sz w:val="16"/>
                <w:szCs w:val="16"/>
              </w:rPr>
            </w:pPr>
            <w:r>
              <w:rPr>
                <w:color w:val="000000"/>
                <w:sz w:val="16"/>
                <w:szCs w:val="16"/>
              </w:rPr>
              <w:t>65.0</w:t>
            </w:r>
          </w:p>
        </w:tc>
        <w:tc>
          <w:tcPr>
            <w:tcW w:w="0" w:type="auto"/>
            <w:tcBorders>
              <w:right w:val="single" w:sz="4" w:space="0" w:color="auto"/>
            </w:tcBorders>
            <w:shd w:val="clear" w:color="auto" w:fill="auto"/>
            <w:vAlign w:val="center"/>
          </w:tcPr>
          <w:p w14:paraId="00128532" w14:textId="77777777" w:rsidR="007F3FD9" w:rsidRDefault="007F3FD9" w:rsidP="007F3FD9">
            <w:pPr>
              <w:jc w:val="right"/>
              <w:rPr>
                <w:color w:val="000000"/>
                <w:sz w:val="16"/>
                <w:szCs w:val="16"/>
              </w:rPr>
            </w:pPr>
            <w:r>
              <w:rPr>
                <w:color w:val="000000"/>
                <w:sz w:val="16"/>
                <w:szCs w:val="16"/>
              </w:rPr>
              <w:t>(61.5, 68.5)</w:t>
            </w:r>
          </w:p>
        </w:tc>
        <w:tc>
          <w:tcPr>
            <w:tcW w:w="0" w:type="auto"/>
            <w:tcBorders>
              <w:left w:val="single" w:sz="4" w:space="0" w:color="auto"/>
            </w:tcBorders>
            <w:shd w:val="clear" w:color="auto" w:fill="auto"/>
            <w:vAlign w:val="center"/>
          </w:tcPr>
          <w:p w14:paraId="618C6C4F" w14:textId="77777777" w:rsidR="007F3FD9" w:rsidRDefault="007F3FD9" w:rsidP="007F3FD9">
            <w:pPr>
              <w:jc w:val="right"/>
              <w:rPr>
                <w:color w:val="000000"/>
                <w:sz w:val="16"/>
                <w:szCs w:val="16"/>
              </w:rPr>
            </w:pPr>
            <w:r>
              <w:rPr>
                <w:color w:val="000000"/>
                <w:sz w:val="16"/>
                <w:szCs w:val="16"/>
              </w:rPr>
              <w:t>462</w:t>
            </w:r>
          </w:p>
        </w:tc>
        <w:tc>
          <w:tcPr>
            <w:tcW w:w="0" w:type="auto"/>
            <w:shd w:val="clear" w:color="auto" w:fill="auto"/>
            <w:vAlign w:val="center"/>
          </w:tcPr>
          <w:p w14:paraId="632405CA" w14:textId="77777777" w:rsidR="007F3FD9" w:rsidRDefault="007F3FD9" w:rsidP="007F3FD9">
            <w:pPr>
              <w:jc w:val="right"/>
              <w:rPr>
                <w:color w:val="000000"/>
                <w:sz w:val="16"/>
                <w:szCs w:val="16"/>
              </w:rPr>
            </w:pPr>
            <w:r>
              <w:rPr>
                <w:color w:val="000000"/>
                <w:sz w:val="16"/>
                <w:szCs w:val="16"/>
              </w:rPr>
              <w:t>64.7</w:t>
            </w:r>
          </w:p>
        </w:tc>
        <w:tc>
          <w:tcPr>
            <w:tcW w:w="0" w:type="auto"/>
            <w:tcBorders>
              <w:right w:val="single" w:sz="4" w:space="0" w:color="auto"/>
            </w:tcBorders>
            <w:shd w:val="clear" w:color="auto" w:fill="auto"/>
            <w:vAlign w:val="center"/>
          </w:tcPr>
          <w:p w14:paraId="77FEFDDB" w14:textId="77777777" w:rsidR="007F3FD9" w:rsidRDefault="007F3FD9" w:rsidP="007F3FD9">
            <w:pPr>
              <w:jc w:val="right"/>
              <w:rPr>
                <w:color w:val="000000"/>
                <w:sz w:val="16"/>
                <w:szCs w:val="16"/>
              </w:rPr>
            </w:pPr>
            <w:r>
              <w:rPr>
                <w:color w:val="000000"/>
                <w:sz w:val="16"/>
                <w:szCs w:val="16"/>
              </w:rPr>
              <w:t>(60.6, 68.8)</w:t>
            </w:r>
          </w:p>
        </w:tc>
        <w:tc>
          <w:tcPr>
            <w:tcW w:w="0" w:type="auto"/>
            <w:tcBorders>
              <w:left w:val="single" w:sz="4" w:space="0" w:color="auto"/>
            </w:tcBorders>
            <w:shd w:val="clear" w:color="auto" w:fill="auto"/>
            <w:vAlign w:val="center"/>
          </w:tcPr>
          <w:p w14:paraId="0C5DB4D8" w14:textId="77777777" w:rsidR="007F3FD9" w:rsidRDefault="007F3FD9" w:rsidP="007F3FD9">
            <w:pPr>
              <w:jc w:val="right"/>
              <w:rPr>
                <w:color w:val="000000"/>
                <w:sz w:val="16"/>
                <w:szCs w:val="16"/>
              </w:rPr>
            </w:pPr>
            <w:r>
              <w:rPr>
                <w:color w:val="000000"/>
                <w:sz w:val="16"/>
                <w:szCs w:val="16"/>
              </w:rPr>
              <w:t>383</w:t>
            </w:r>
          </w:p>
        </w:tc>
        <w:tc>
          <w:tcPr>
            <w:tcW w:w="0" w:type="auto"/>
            <w:shd w:val="clear" w:color="auto" w:fill="auto"/>
            <w:vAlign w:val="center"/>
          </w:tcPr>
          <w:p w14:paraId="01EF86BC" w14:textId="77777777" w:rsidR="007F3FD9" w:rsidRDefault="007F3FD9" w:rsidP="007F3FD9">
            <w:pPr>
              <w:jc w:val="right"/>
              <w:rPr>
                <w:color w:val="000000"/>
                <w:sz w:val="16"/>
                <w:szCs w:val="16"/>
              </w:rPr>
            </w:pPr>
            <w:r>
              <w:rPr>
                <w:color w:val="000000"/>
                <w:sz w:val="16"/>
                <w:szCs w:val="16"/>
              </w:rPr>
              <w:t>61.3</w:t>
            </w:r>
          </w:p>
        </w:tc>
        <w:tc>
          <w:tcPr>
            <w:tcW w:w="0" w:type="auto"/>
            <w:shd w:val="clear" w:color="auto" w:fill="auto"/>
            <w:vAlign w:val="center"/>
          </w:tcPr>
          <w:p w14:paraId="5D10799E" w14:textId="77777777" w:rsidR="007F3FD9" w:rsidRDefault="007F3FD9" w:rsidP="007F3FD9">
            <w:pPr>
              <w:jc w:val="right"/>
              <w:rPr>
                <w:color w:val="000000"/>
                <w:sz w:val="16"/>
                <w:szCs w:val="16"/>
              </w:rPr>
            </w:pPr>
            <w:r>
              <w:rPr>
                <w:color w:val="000000"/>
                <w:sz w:val="16"/>
                <w:szCs w:val="16"/>
              </w:rPr>
              <w:t>(56.6, 66.1)</w:t>
            </w:r>
          </w:p>
        </w:tc>
      </w:tr>
      <w:tr w:rsidR="007F3FD9" w:rsidRPr="007B4EF8" w14:paraId="2E91F128" w14:textId="77777777" w:rsidTr="00826105">
        <w:trPr>
          <w:jc w:val="center"/>
        </w:trPr>
        <w:tc>
          <w:tcPr>
            <w:tcW w:w="0" w:type="auto"/>
            <w:shd w:val="clear" w:color="auto" w:fill="auto"/>
          </w:tcPr>
          <w:p w14:paraId="653BDDBF" w14:textId="77777777" w:rsidR="007F3FD9" w:rsidRDefault="007F3FD9" w:rsidP="007F3FD9">
            <w:pPr>
              <w:spacing w:before="20" w:after="20"/>
              <w:ind w:left="34"/>
              <w:rPr>
                <w:rFonts w:eastAsiaTheme="minorEastAsia"/>
                <w:sz w:val="16"/>
                <w:szCs w:val="16"/>
                <w:lang w:eastAsia="en-US"/>
              </w:rPr>
            </w:pPr>
          </w:p>
        </w:tc>
        <w:tc>
          <w:tcPr>
            <w:tcW w:w="0" w:type="auto"/>
            <w:shd w:val="clear" w:color="auto" w:fill="auto"/>
          </w:tcPr>
          <w:p w14:paraId="44B6E238" w14:textId="77777777" w:rsidR="007F3FD9" w:rsidRPr="001B7431" w:rsidRDefault="007F3FD9" w:rsidP="007F3FD9">
            <w:pPr>
              <w:spacing w:before="20" w:after="20"/>
              <w:ind w:left="34"/>
              <w:rPr>
                <w:rFonts w:eastAsiaTheme="minorEastAsia"/>
                <w:sz w:val="16"/>
                <w:szCs w:val="16"/>
                <w:lang w:eastAsia="en-US"/>
              </w:rPr>
            </w:pPr>
            <w:r>
              <w:rPr>
                <w:rFonts w:eastAsiaTheme="minorEastAsia"/>
                <w:sz w:val="16"/>
                <w:szCs w:val="16"/>
                <w:lang w:eastAsia="en-US"/>
              </w:rPr>
              <w:t>Low-risk gambler</w:t>
            </w:r>
          </w:p>
        </w:tc>
        <w:tc>
          <w:tcPr>
            <w:tcW w:w="0" w:type="auto"/>
            <w:shd w:val="clear" w:color="auto" w:fill="auto"/>
            <w:vAlign w:val="center"/>
          </w:tcPr>
          <w:p w14:paraId="37116585" w14:textId="77777777" w:rsidR="007F3FD9" w:rsidRDefault="007F3FD9" w:rsidP="007F3FD9">
            <w:pPr>
              <w:jc w:val="right"/>
              <w:rPr>
                <w:color w:val="000000"/>
                <w:sz w:val="16"/>
                <w:szCs w:val="16"/>
              </w:rPr>
            </w:pPr>
            <w:r>
              <w:rPr>
                <w:color w:val="000000"/>
                <w:sz w:val="16"/>
                <w:szCs w:val="16"/>
              </w:rPr>
              <w:t>69</w:t>
            </w:r>
          </w:p>
        </w:tc>
        <w:tc>
          <w:tcPr>
            <w:tcW w:w="0" w:type="auto"/>
            <w:shd w:val="clear" w:color="auto" w:fill="auto"/>
            <w:vAlign w:val="center"/>
          </w:tcPr>
          <w:p w14:paraId="31707DBA" w14:textId="77777777" w:rsidR="007F3FD9" w:rsidRDefault="007F3FD9" w:rsidP="007F3FD9">
            <w:pPr>
              <w:jc w:val="right"/>
              <w:rPr>
                <w:color w:val="000000"/>
                <w:sz w:val="16"/>
                <w:szCs w:val="16"/>
              </w:rPr>
            </w:pPr>
            <w:r>
              <w:rPr>
                <w:color w:val="000000"/>
                <w:sz w:val="16"/>
                <w:szCs w:val="16"/>
              </w:rPr>
              <w:t>4.6</w:t>
            </w:r>
          </w:p>
        </w:tc>
        <w:tc>
          <w:tcPr>
            <w:tcW w:w="0" w:type="auto"/>
            <w:tcBorders>
              <w:right w:val="single" w:sz="4" w:space="0" w:color="auto"/>
            </w:tcBorders>
            <w:shd w:val="clear" w:color="auto" w:fill="auto"/>
            <w:vAlign w:val="center"/>
          </w:tcPr>
          <w:p w14:paraId="43941D50" w14:textId="77777777" w:rsidR="007F3FD9" w:rsidRDefault="007F3FD9" w:rsidP="007F3FD9">
            <w:pPr>
              <w:jc w:val="right"/>
              <w:rPr>
                <w:color w:val="000000"/>
                <w:sz w:val="16"/>
                <w:szCs w:val="16"/>
              </w:rPr>
            </w:pPr>
            <w:r>
              <w:rPr>
                <w:color w:val="000000"/>
                <w:sz w:val="16"/>
                <w:szCs w:val="16"/>
              </w:rPr>
              <w:t>(3.4, 5.7)</w:t>
            </w:r>
          </w:p>
        </w:tc>
        <w:tc>
          <w:tcPr>
            <w:tcW w:w="0" w:type="auto"/>
            <w:tcBorders>
              <w:left w:val="single" w:sz="4" w:space="0" w:color="auto"/>
            </w:tcBorders>
            <w:shd w:val="clear" w:color="auto" w:fill="auto"/>
            <w:vAlign w:val="center"/>
          </w:tcPr>
          <w:p w14:paraId="2435709D" w14:textId="77777777" w:rsidR="007F3FD9" w:rsidRDefault="007F3FD9" w:rsidP="007F3FD9">
            <w:pPr>
              <w:jc w:val="right"/>
              <w:rPr>
                <w:color w:val="000000"/>
                <w:sz w:val="16"/>
                <w:szCs w:val="16"/>
              </w:rPr>
            </w:pPr>
            <w:r>
              <w:rPr>
                <w:color w:val="000000"/>
                <w:sz w:val="16"/>
                <w:szCs w:val="16"/>
              </w:rPr>
              <w:t>41</w:t>
            </w:r>
          </w:p>
        </w:tc>
        <w:tc>
          <w:tcPr>
            <w:tcW w:w="0" w:type="auto"/>
            <w:shd w:val="clear" w:color="auto" w:fill="auto"/>
            <w:vAlign w:val="center"/>
          </w:tcPr>
          <w:p w14:paraId="312DF5C0" w14:textId="77777777" w:rsidR="007F3FD9" w:rsidRDefault="007F3FD9" w:rsidP="007F3FD9">
            <w:pPr>
              <w:jc w:val="right"/>
              <w:rPr>
                <w:color w:val="000000"/>
                <w:sz w:val="16"/>
                <w:szCs w:val="16"/>
              </w:rPr>
            </w:pPr>
            <w:r>
              <w:rPr>
                <w:color w:val="000000"/>
                <w:sz w:val="16"/>
                <w:szCs w:val="16"/>
              </w:rPr>
              <w:t>4.7</w:t>
            </w:r>
          </w:p>
        </w:tc>
        <w:tc>
          <w:tcPr>
            <w:tcW w:w="0" w:type="auto"/>
            <w:tcBorders>
              <w:right w:val="single" w:sz="4" w:space="0" w:color="auto"/>
            </w:tcBorders>
            <w:shd w:val="clear" w:color="auto" w:fill="auto"/>
            <w:vAlign w:val="center"/>
          </w:tcPr>
          <w:p w14:paraId="4B39A1DD" w14:textId="77777777" w:rsidR="007F3FD9" w:rsidRDefault="007F3FD9" w:rsidP="007F3FD9">
            <w:pPr>
              <w:jc w:val="right"/>
              <w:rPr>
                <w:color w:val="000000"/>
                <w:sz w:val="16"/>
                <w:szCs w:val="16"/>
              </w:rPr>
            </w:pPr>
            <w:r>
              <w:rPr>
                <w:color w:val="000000"/>
                <w:sz w:val="16"/>
                <w:szCs w:val="16"/>
              </w:rPr>
              <w:t>(3.3, 6.0)</w:t>
            </w:r>
          </w:p>
        </w:tc>
        <w:tc>
          <w:tcPr>
            <w:tcW w:w="0" w:type="auto"/>
            <w:tcBorders>
              <w:left w:val="single" w:sz="4" w:space="0" w:color="auto"/>
            </w:tcBorders>
            <w:shd w:val="clear" w:color="auto" w:fill="auto"/>
            <w:vAlign w:val="center"/>
          </w:tcPr>
          <w:p w14:paraId="7D037053" w14:textId="77777777" w:rsidR="007F3FD9" w:rsidRDefault="007F3FD9" w:rsidP="007F3FD9">
            <w:pPr>
              <w:jc w:val="right"/>
              <w:rPr>
                <w:color w:val="000000"/>
                <w:sz w:val="16"/>
                <w:szCs w:val="16"/>
              </w:rPr>
            </w:pPr>
            <w:r>
              <w:rPr>
                <w:color w:val="000000"/>
                <w:sz w:val="16"/>
                <w:szCs w:val="16"/>
              </w:rPr>
              <w:t>35</w:t>
            </w:r>
          </w:p>
        </w:tc>
        <w:tc>
          <w:tcPr>
            <w:tcW w:w="0" w:type="auto"/>
            <w:shd w:val="clear" w:color="auto" w:fill="auto"/>
            <w:vAlign w:val="center"/>
          </w:tcPr>
          <w:p w14:paraId="07F92694" w14:textId="77777777" w:rsidR="007F3FD9" w:rsidRDefault="007F3FD9" w:rsidP="007F3FD9">
            <w:pPr>
              <w:jc w:val="right"/>
              <w:rPr>
                <w:color w:val="000000"/>
                <w:sz w:val="16"/>
                <w:szCs w:val="16"/>
              </w:rPr>
            </w:pPr>
            <w:r>
              <w:rPr>
                <w:color w:val="000000"/>
                <w:sz w:val="16"/>
                <w:szCs w:val="16"/>
              </w:rPr>
              <w:t>4.8</w:t>
            </w:r>
          </w:p>
        </w:tc>
        <w:tc>
          <w:tcPr>
            <w:tcW w:w="0" w:type="auto"/>
            <w:tcBorders>
              <w:right w:val="single" w:sz="4" w:space="0" w:color="auto"/>
            </w:tcBorders>
            <w:shd w:val="clear" w:color="auto" w:fill="auto"/>
            <w:vAlign w:val="center"/>
          </w:tcPr>
          <w:p w14:paraId="7C49AA25" w14:textId="77777777" w:rsidR="007F3FD9" w:rsidRDefault="007F3FD9" w:rsidP="007F3FD9">
            <w:pPr>
              <w:jc w:val="right"/>
              <w:rPr>
                <w:color w:val="000000"/>
                <w:sz w:val="16"/>
                <w:szCs w:val="16"/>
              </w:rPr>
            </w:pPr>
            <w:r>
              <w:rPr>
                <w:color w:val="000000"/>
                <w:sz w:val="16"/>
                <w:szCs w:val="16"/>
              </w:rPr>
              <w:t>(3.3, 6.4)</w:t>
            </w:r>
          </w:p>
        </w:tc>
        <w:tc>
          <w:tcPr>
            <w:tcW w:w="0" w:type="auto"/>
            <w:tcBorders>
              <w:left w:val="single" w:sz="4" w:space="0" w:color="auto"/>
            </w:tcBorders>
            <w:shd w:val="clear" w:color="auto" w:fill="auto"/>
            <w:vAlign w:val="center"/>
          </w:tcPr>
          <w:p w14:paraId="311137FE" w14:textId="77777777" w:rsidR="007F3FD9" w:rsidRDefault="007F3FD9" w:rsidP="007F3FD9">
            <w:pPr>
              <w:jc w:val="right"/>
              <w:rPr>
                <w:color w:val="000000"/>
                <w:sz w:val="16"/>
                <w:szCs w:val="16"/>
              </w:rPr>
            </w:pPr>
            <w:r>
              <w:rPr>
                <w:color w:val="000000"/>
                <w:sz w:val="16"/>
                <w:szCs w:val="16"/>
              </w:rPr>
              <w:t>32</w:t>
            </w:r>
          </w:p>
        </w:tc>
        <w:tc>
          <w:tcPr>
            <w:tcW w:w="0" w:type="auto"/>
            <w:shd w:val="clear" w:color="auto" w:fill="auto"/>
            <w:vAlign w:val="center"/>
          </w:tcPr>
          <w:p w14:paraId="7C9DCA23" w14:textId="77777777" w:rsidR="007F3FD9" w:rsidRDefault="007F3FD9" w:rsidP="007F3FD9">
            <w:pPr>
              <w:jc w:val="right"/>
              <w:rPr>
                <w:color w:val="000000"/>
                <w:sz w:val="16"/>
                <w:szCs w:val="16"/>
              </w:rPr>
            </w:pPr>
            <w:r>
              <w:rPr>
                <w:color w:val="000000"/>
                <w:sz w:val="16"/>
                <w:szCs w:val="16"/>
              </w:rPr>
              <w:t>5.1</w:t>
            </w:r>
          </w:p>
        </w:tc>
        <w:tc>
          <w:tcPr>
            <w:tcW w:w="0" w:type="auto"/>
            <w:shd w:val="clear" w:color="auto" w:fill="auto"/>
            <w:vAlign w:val="center"/>
          </w:tcPr>
          <w:p w14:paraId="4C6089C4" w14:textId="77777777" w:rsidR="007F3FD9" w:rsidRDefault="007F3FD9" w:rsidP="007F3FD9">
            <w:pPr>
              <w:jc w:val="right"/>
              <w:rPr>
                <w:color w:val="000000"/>
                <w:sz w:val="16"/>
                <w:szCs w:val="16"/>
              </w:rPr>
            </w:pPr>
            <w:r>
              <w:rPr>
                <w:color w:val="000000"/>
                <w:sz w:val="16"/>
                <w:szCs w:val="16"/>
              </w:rPr>
              <w:t>(3.4, 6.8)</w:t>
            </w:r>
          </w:p>
        </w:tc>
      </w:tr>
      <w:tr w:rsidR="007F3FD9" w:rsidRPr="007B4EF8" w14:paraId="606922FB" w14:textId="77777777" w:rsidTr="00826105">
        <w:trPr>
          <w:jc w:val="center"/>
        </w:trPr>
        <w:tc>
          <w:tcPr>
            <w:tcW w:w="0" w:type="auto"/>
            <w:shd w:val="clear" w:color="auto" w:fill="auto"/>
          </w:tcPr>
          <w:p w14:paraId="2FDD53EA" w14:textId="77777777" w:rsidR="007F3FD9" w:rsidRDefault="007F3FD9" w:rsidP="007F3FD9">
            <w:pPr>
              <w:spacing w:before="20" w:after="20"/>
              <w:ind w:left="34"/>
              <w:rPr>
                <w:rFonts w:eastAsiaTheme="minorEastAsia"/>
                <w:sz w:val="16"/>
                <w:szCs w:val="16"/>
                <w:lang w:eastAsia="en-US"/>
              </w:rPr>
            </w:pPr>
          </w:p>
        </w:tc>
        <w:tc>
          <w:tcPr>
            <w:tcW w:w="0" w:type="auto"/>
            <w:shd w:val="clear" w:color="auto" w:fill="auto"/>
          </w:tcPr>
          <w:p w14:paraId="58E8FD51" w14:textId="77777777" w:rsidR="007F3FD9" w:rsidRPr="001B7431" w:rsidRDefault="007F3FD9" w:rsidP="007F3FD9">
            <w:pPr>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0" w:type="auto"/>
            <w:shd w:val="clear" w:color="auto" w:fill="auto"/>
            <w:vAlign w:val="center"/>
          </w:tcPr>
          <w:p w14:paraId="7D4AE6F0" w14:textId="77777777" w:rsidR="007F3FD9" w:rsidRDefault="007F3FD9" w:rsidP="007F3FD9">
            <w:pPr>
              <w:jc w:val="right"/>
              <w:rPr>
                <w:color w:val="000000"/>
                <w:sz w:val="16"/>
                <w:szCs w:val="16"/>
              </w:rPr>
            </w:pPr>
            <w:r>
              <w:rPr>
                <w:color w:val="000000"/>
                <w:sz w:val="16"/>
                <w:szCs w:val="16"/>
              </w:rPr>
              <w:t>36</w:t>
            </w:r>
          </w:p>
        </w:tc>
        <w:tc>
          <w:tcPr>
            <w:tcW w:w="0" w:type="auto"/>
            <w:shd w:val="clear" w:color="auto" w:fill="auto"/>
            <w:vAlign w:val="center"/>
          </w:tcPr>
          <w:p w14:paraId="3D8A6F36" w14:textId="77777777" w:rsidR="007F3FD9" w:rsidRDefault="007F3FD9" w:rsidP="007F3FD9">
            <w:pPr>
              <w:jc w:val="right"/>
              <w:rPr>
                <w:color w:val="000000"/>
                <w:sz w:val="16"/>
                <w:szCs w:val="16"/>
              </w:rPr>
            </w:pPr>
            <w:r>
              <w:rPr>
                <w:color w:val="000000"/>
                <w:sz w:val="16"/>
                <w:szCs w:val="16"/>
              </w:rPr>
              <w:t>2.4</w:t>
            </w:r>
          </w:p>
        </w:tc>
        <w:tc>
          <w:tcPr>
            <w:tcW w:w="0" w:type="auto"/>
            <w:tcBorders>
              <w:right w:val="single" w:sz="4" w:space="0" w:color="auto"/>
            </w:tcBorders>
            <w:shd w:val="clear" w:color="auto" w:fill="auto"/>
            <w:vAlign w:val="center"/>
          </w:tcPr>
          <w:p w14:paraId="02D9455C" w14:textId="77777777" w:rsidR="007F3FD9" w:rsidRDefault="007F3FD9" w:rsidP="007F3FD9">
            <w:pPr>
              <w:jc w:val="right"/>
              <w:rPr>
                <w:color w:val="000000"/>
                <w:sz w:val="16"/>
                <w:szCs w:val="16"/>
              </w:rPr>
            </w:pPr>
            <w:r>
              <w:rPr>
                <w:color w:val="000000"/>
                <w:sz w:val="16"/>
                <w:szCs w:val="16"/>
              </w:rPr>
              <w:t>(1.5, 3.3)</w:t>
            </w:r>
          </w:p>
        </w:tc>
        <w:tc>
          <w:tcPr>
            <w:tcW w:w="0" w:type="auto"/>
            <w:tcBorders>
              <w:left w:val="single" w:sz="4" w:space="0" w:color="auto"/>
            </w:tcBorders>
            <w:shd w:val="clear" w:color="auto" w:fill="auto"/>
            <w:vAlign w:val="center"/>
          </w:tcPr>
          <w:p w14:paraId="64468C9F" w14:textId="77777777" w:rsidR="007F3FD9" w:rsidRDefault="007F3FD9" w:rsidP="007F3FD9">
            <w:pPr>
              <w:jc w:val="right"/>
              <w:rPr>
                <w:color w:val="000000"/>
                <w:sz w:val="16"/>
                <w:szCs w:val="16"/>
              </w:rPr>
            </w:pPr>
            <w:r>
              <w:rPr>
                <w:color w:val="000000"/>
                <w:sz w:val="16"/>
                <w:szCs w:val="16"/>
              </w:rPr>
              <w:t>19</w:t>
            </w:r>
          </w:p>
        </w:tc>
        <w:tc>
          <w:tcPr>
            <w:tcW w:w="0" w:type="auto"/>
            <w:shd w:val="clear" w:color="auto" w:fill="auto"/>
            <w:vAlign w:val="center"/>
          </w:tcPr>
          <w:p w14:paraId="018DA46E" w14:textId="77777777" w:rsidR="007F3FD9" w:rsidRDefault="007F3FD9" w:rsidP="007F3FD9">
            <w:pPr>
              <w:jc w:val="right"/>
              <w:rPr>
                <w:color w:val="000000"/>
                <w:sz w:val="16"/>
                <w:szCs w:val="16"/>
              </w:rPr>
            </w:pPr>
            <w:r>
              <w:rPr>
                <w:color w:val="000000"/>
                <w:sz w:val="16"/>
                <w:szCs w:val="16"/>
              </w:rPr>
              <w:t>2.2</w:t>
            </w:r>
          </w:p>
        </w:tc>
        <w:tc>
          <w:tcPr>
            <w:tcW w:w="0" w:type="auto"/>
            <w:tcBorders>
              <w:right w:val="single" w:sz="4" w:space="0" w:color="auto"/>
            </w:tcBorders>
            <w:shd w:val="clear" w:color="auto" w:fill="auto"/>
            <w:vAlign w:val="center"/>
          </w:tcPr>
          <w:p w14:paraId="31E9D353" w14:textId="77777777" w:rsidR="007F3FD9" w:rsidRDefault="007F3FD9" w:rsidP="007F3FD9">
            <w:pPr>
              <w:jc w:val="right"/>
              <w:rPr>
                <w:color w:val="000000"/>
                <w:sz w:val="16"/>
                <w:szCs w:val="16"/>
              </w:rPr>
            </w:pPr>
            <w:r>
              <w:rPr>
                <w:color w:val="000000"/>
                <w:sz w:val="16"/>
                <w:szCs w:val="16"/>
              </w:rPr>
              <w:t>(1.2, 3.1)</w:t>
            </w:r>
          </w:p>
        </w:tc>
        <w:tc>
          <w:tcPr>
            <w:tcW w:w="0" w:type="auto"/>
            <w:tcBorders>
              <w:left w:val="single" w:sz="4" w:space="0" w:color="auto"/>
            </w:tcBorders>
            <w:shd w:val="clear" w:color="auto" w:fill="auto"/>
            <w:vAlign w:val="center"/>
          </w:tcPr>
          <w:p w14:paraId="725CD5F1" w14:textId="77777777" w:rsidR="007F3FD9" w:rsidRDefault="007F3FD9" w:rsidP="007F3FD9">
            <w:pPr>
              <w:jc w:val="right"/>
              <w:rPr>
                <w:color w:val="000000"/>
                <w:sz w:val="16"/>
                <w:szCs w:val="16"/>
              </w:rPr>
            </w:pPr>
            <w:r>
              <w:rPr>
                <w:color w:val="000000"/>
                <w:sz w:val="16"/>
                <w:szCs w:val="16"/>
              </w:rPr>
              <w:t>12</w:t>
            </w:r>
          </w:p>
        </w:tc>
        <w:tc>
          <w:tcPr>
            <w:tcW w:w="0" w:type="auto"/>
            <w:shd w:val="clear" w:color="auto" w:fill="auto"/>
            <w:vAlign w:val="center"/>
          </w:tcPr>
          <w:p w14:paraId="6E886C22" w14:textId="77777777" w:rsidR="007F3FD9" w:rsidRDefault="007F3FD9" w:rsidP="007F3FD9">
            <w:pPr>
              <w:jc w:val="right"/>
              <w:rPr>
                <w:color w:val="000000"/>
                <w:sz w:val="16"/>
                <w:szCs w:val="16"/>
              </w:rPr>
            </w:pPr>
            <w:r>
              <w:rPr>
                <w:color w:val="000000"/>
                <w:sz w:val="16"/>
                <w:szCs w:val="16"/>
              </w:rPr>
              <w:t>1.7</w:t>
            </w:r>
          </w:p>
        </w:tc>
        <w:tc>
          <w:tcPr>
            <w:tcW w:w="0" w:type="auto"/>
            <w:tcBorders>
              <w:right w:val="single" w:sz="4" w:space="0" w:color="auto"/>
            </w:tcBorders>
            <w:shd w:val="clear" w:color="auto" w:fill="auto"/>
            <w:vAlign w:val="center"/>
          </w:tcPr>
          <w:p w14:paraId="02A9340A" w14:textId="77777777" w:rsidR="007F3FD9" w:rsidRDefault="007F3FD9" w:rsidP="007F3FD9">
            <w:pPr>
              <w:jc w:val="right"/>
              <w:rPr>
                <w:color w:val="000000"/>
                <w:sz w:val="16"/>
                <w:szCs w:val="16"/>
              </w:rPr>
            </w:pPr>
            <w:r>
              <w:rPr>
                <w:color w:val="000000"/>
                <w:sz w:val="16"/>
                <w:szCs w:val="16"/>
              </w:rPr>
              <w:t>(0.8, 2.5)</w:t>
            </w:r>
          </w:p>
        </w:tc>
        <w:tc>
          <w:tcPr>
            <w:tcW w:w="0" w:type="auto"/>
            <w:tcBorders>
              <w:left w:val="single" w:sz="4" w:space="0" w:color="auto"/>
            </w:tcBorders>
            <w:shd w:val="clear" w:color="auto" w:fill="auto"/>
            <w:vAlign w:val="center"/>
          </w:tcPr>
          <w:p w14:paraId="303E1576" w14:textId="77777777" w:rsidR="007F3FD9" w:rsidRDefault="007F3FD9" w:rsidP="007F3FD9">
            <w:pPr>
              <w:jc w:val="right"/>
              <w:rPr>
                <w:color w:val="000000"/>
                <w:sz w:val="16"/>
                <w:szCs w:val="16"/>
              </w:rPr>
            </w:pPr>
            <w:r>
              <w:rPr>
                <w:color w:val="000000"/>
                <w:sz w:val="16"/>
                <w:szCs w:val="16"/>
              </w:rPr>
              <w:t>8</w:t>
            </w:r>
          </w:p>
        </w:tc>
        <w:tc>
          <w:tcPr>
            <w:tcW w:w="0" w:type="auto"/>
            <w:shd w:val="clear" w:color="auto" w:fill="auto"/>
            <w:vAlign w:val="center"/>
          </w:tcPr>
          <w:p w14:paraId="58CA21B1" w14:textId="77777777" w:rsidR="007F3FD9" w:rsidRDefault="007F3FD9" w:rsidP="007F3FD9">
            <w:pPr>
              <w:jc w:val="right"/>
              <w:rPr>
                <w:color w:val="000000"/>
                <w:sz w:val="16"/>
                <w:szCs w:val="16"/>
              </w:rPr>
            </w:pPr>
            <w:r>
              <w:rPr>
                <w:color w:val="000000"/>
                <w:sz w:val="16"/>
                <w:szCs w:val="16"/>
              </w:rPr>
              <w:t>1.2</w:t>
            </w:r>
          </w:p>
        </w:tc>
        <w:tc>
          <w:tcPr>
            <w:tcW w:w="0" w:type="auto"/>
            <w:shd w:val="clear" w:color="auto" w:fill="auto"/>
            <w:vAlign w:val="center"/>
          </w:tcPr>
          <w:p w14:paraId="5D7B5B44" w14:textId="77777777" w:rsidR="007F3FD9" w:rsidRDefault="007F3FD9" w:rsidP="007F3FD9">
            <w:pPr>
              <w:jc w:val="right"/>
              <w:rPr>
                <w:color w:val="000000"/>
                <w:sz w:val="16"/>
                <w:szCs w:val="16"/>
              </w:rPr>
            </w:pPr>
            <w:r>
              <w:rPr>
                <w:color w:val="000000"/>
                <w:sz w:val="16"/>
                <w:szCs w:val="16"/>
              </w:rPr>
              <w:t>(0.5, 2.0)</w:t>
            </w:r>
          </w:p>
        </w:tc>
      </w:tr>
      <w:tr w:rsidR="007F3FD9" w:rsidRPr="007B4EF8" w14:paraId="79D6E749" w14:textId="77777777" w:rsidTr="00826105">
        <w:trPr>
          <w:jc w:val="center"/>
        </w:trPr>
        <w:tc>
          <w:tcPr>
            <w:tcW w:w="0" w:type="auto"/>
            <w:shd w:val="clear" w:color="auto" w:fill="auto"/>
          </w:tcPr>
          <w:p w14:paraId="3C6FEAE0" w14:textId="77777777" w:rsidR="007F3FD9" w:rsidRDefault="007F3FD9" w:rsidP="007F3FD9">
            <w:pPr>
              <w:spacing w:before="20" w:after="20"/>
              <w:ind w:left="34"/>
              <w:rPr>
                <w:rFonts w:eastAsiaTheme="minorEastAsia"/>
                <w:sz w:val="16"/>
                <w:szCs w:val="16"/>
                <w:lang w:eastAsia="en-US"/>
              </w:rPr>
            </w:pPr>
          </w:p>
        </w:tc>
        <w:tc>
          <w:tcPr>
            <w:tcW w:w="0" w:type="auto"/>
            <w:shd w:val="clear" w:color="auto" w:fill="auto"/>
          </w:tcPr>
          <w:p w14:paraId="2C92583C" w14:textId="77777777" w:rsidR="007F3FD9" w:rsidRPr="001B7431" w:rsidRDefault="007F3FD9" w:rsidP="007F3FD9">
            <w:pPr>
              <w:spacing w:before="20" w:after="20"/>
              <w:ind w:left="34"/>
              <w:rPr>
                <w:rFonts w:eastAsiaTheme="minorEastAsia"/>
                <w:sz w:val="16"/>
                <w:szCs w:val="16"/>
                <w:lang w:eastAsia="en-US"/>
              </w:rPr>
            </w:pPr>
            <w:r>
              <w:rPr>
                <w:rFonts w:eastAsiaTheme="minorEastAsia"/>
                <w:sz w:val="16"/>
                <w:szCs w:val="16"/>
                <w:lang w:eastAsia="en-US"/>
              </w:rPr>
              <w:t>No gambling in past year</w:t>
            </w:r>
          </w:p>
        </w:tc>
        <w:tc>
          <w:tcPr>
            <w:tcW w:w="0" w:type="auto"/>
            <w:shd w:val="clear" w:color="auto" w:fill="auto"/>
            <w:vAlign w:val="center"/>
          </w:tcPr>
          <w:p w14:paraId="054FCCDE" w14:textId="77777777" w:rsidR="007F3FD9" w:rsidRDefault="007F3FD9" w:rsidP="007F3FD9">
            <w:pPr>
              <w:jc w:val="right"/>
              <w:rPr>
                <w:color w:val="000000"/>
                <w:sz w:val="16"/>
                <w:szCs w:val="16"/>
              </w:rPr>
            </w:pPr>
            <w:r>
              <w:rPr>
                <w:color w:val="000000"/>
                <w:sz w:val="16"/>
                <w:szCs w:val="16"/>
              </w:rPr>
              <w:t>394</w:t>
            </w:r>
          </w:p>
        </w:tc>
        <w:tc>
          <w:tcPr>
            <w:tcW w:w="0" w:type="auto"/>
            <w:shd w:val="clear" w:color="auto" w:fill="auto"/>
            <w:vAlign w:val="center"/>
          </w:tcPr>
          <w:p w14:paraId="617316AC" w14:textId="77777777" w:rsidR="007F3FD9" w:rsidRDefault="007F3FD9" w:rsidP="007F3FD9">
            <w:pPr>
              <w:jc w:val="right"/>
              <w:rPr>
                <w:color w:val="000000"/>
                <w:sz w:val="16"/>
                <w:szCs w:val="16"/>
              </w:rPr>
            </w:pPr>
            <w:r>
              <w:rPr>
                <w:color w:val="000000"/>
                <w:sz w:val="16"/>
                <w:szCs w:val="16"/>
              </w:rPr>
              <w:t>26.2</w:t>
            </w:r>
          </w:p>
        </w:tc>
        <w:tc>
          <w:tcPr>
            <w:tcW w:w="0" w:type="auto"/>
            <w:tcBorders>
              <w:right w:val="single" w:sz="4" w:space="0" w:color="auto"/>
            </w:tcBorders>
            <w:shd w:val="clear" w:color="auto" w:fill="auto"/>
            <w:vAlign w:val="center"/>
          </w:tcPr>
          <w:p w14:paraId="17399CE7" w14:textId="77777777" w:rsidR="007F3FD9" w:rsidRDefault="007F3FD9" w:rsidP="007F3FD9">
            <w:pPr>
              <w:jc w:val="right"/>
              <w:rPr>
                <w:color w:val="000000"/>
                <w:sz w:val="16"/>
                <w:szCs w:val="16"/>
              </w:rPr>
            </w:pPr>
            <w:r>
              <w:rPr>
                <w:color w:val="000000"/>
                <w:sz w:val="16"/>
                <w:szCs w:val="16"/>
              </w:rPr>
              <w:t>(23.7, 28.6)</w:t>
            </w:r>
          </w:p>
        </w:tc>
        <w:tc>
          <w:tcPr>
            <w:tcW w:w="0" w:type="auto"/>
            <w:tcBorders>
              <w:left w:val="single" w:sz="4" w:space="0" w:color="auto"/>
            </w:tcBorders>
            <w:shd w:val="clear" w:color="auto" w:fill="auto"/>
            <w:vAlign w:val="center"/>
          </w:tcPr>
          <w:p w14:paraId="18450A49" w14:textId="77777777" w:rsidR="007F3FD9" w:rsidRDefault="007F3FD9" w:rsidP="007F3FD9">
            <w:pPr>
              <w:jc w:val="right"/>
              <w:rPr>
                <w:color w:val="000000"/>
                <w:sz w:val="16"/>
                <w:szCs w:val="16"/>
              </w:rPr>
            </w:pPr>
            <w:r>
              <w:rPr>
                <w:color w:val="000000"/>
                <w:sz w:val="16"/>
                <w:szCs w:val="16"/>
              </w:rPr>
              <w:t>246</w:t>
            </w:r>
          </w:p>
        </w:tc>
        <w:tc>
          <w:tcPr>
            <w:tcW w:w="0" w:type="auto"/>
            <w:shd w:val="clear" w:color="auto" w:fill="auto"/>
            <w:vAlign w:val="center"/>
          </w:tcPr>
          <w:p w14:paraId="2BA8471F" w14:textId="77777777" w:rsidR="007F3FD9" w:rsidRDefault="007F3FD9" w:rsidP="007F3FD9">
            <w:pPr>
              <w:jc w:val="right"/>
              <w:rPr>
                <w:color w:val="000000"/>
                <w:sz w:val="16"/>
                <w:szCs w:val="16"/>
              </w:rPr>
            </w:pPr>
            <w:r>
              <w:rPr>
                <w:color w:val="000000"/>
                <w:sz w:val="16"/>
                <w:szCs w:val="16"/>
              </w:rPr>
              <w:t>28.2</w:t>
            </w:r>
          </w:p>
        </w:tc>
        <w:tc>
          <w:tcPr>
            <w:tcW w:w="0" w:type="auto"/>
            <w:tcBorders>
              <w:right w:val="single" w:sz="4" w:space="0" w:color="auto"/>
            </w:tcBorders>
            <w:shd w:val="clear" w:color="auto" w:fill="auto"/>
            <w:vAlign w:val="center"/>
          </w:tcPr>
          <w:p w14:paraId="71BD375E" w14:textId="77777777" w:rsidR="007F3FD9" w:rsidRDefault="007F3FD9" w:rsidP="007F3FD9">
            <w:pPr>
              <w:jc w:val="right"/>
              <w:rPr>
                <w:color w:val="000000"/>
                <w:sz w:val="16"/>
                <w:szCs w:val="16"/>
              </w:rPr>
            </w:pPr>
            <w:r>
              <w:rPr>
                <w:color w:val="000000"/>
                <w:sz w:val="16"/>
                <w:szCs w:val="16"/>
              </w:rPr>
              <w:t>(24.8, 31.5)</w:t>
            </w:r>
          </w:p>
        </w:tc>
        <w:tc>
          <w:tcPr>
            <w:tcW w:w="0" w:type="auto"/>
            <w:tcBorders>
              <w:left w:val="single" w:sz="4" w:space="0" w:color="auto"/>
            </w:tcBorders>
            <w:shd w:val="clear" w:color="auto" w:fill="auto"/>
            <w:vAlign w:val="center"/>
          </w:tcPr>
          <w:p w14:paraId="0301F974" w14:textId="77777777" w:rsidR="007F3FD9" w:rsidRDefault="007F3FD9" w:rsidP="007F3FD9">
            <w:pPr>
              <w:jc w:val="right"/>
              <w:rPr>
                <w:color w:val="000000"/>
                <w:sz w:val="16"/>
                <w:szCs w:val="16"/>
              </w:rPr>
            </w:pPr>
            <w:r>
              <w:rPr>
                <w:color w:val="000000"/>
                <w:sz w:val="16"/>
                <w:szCs w:val="16"/>
              </w:rPr>
              <w:t>205</w:t>
            </w:r>
          </w:p>
        </w:tc>
        <w:tc>
          <w:tcPr>
            <w:tcW w:w="0" w:type="auto"/>
            <w:shd w:val="clear" w:color="auto" w:fill="auto"/>
            <w:vAlign w:val="center"/>
          </w:tcPr>
          <w:p w14:paraId="7DCB849E" w14:textId="77777777" w:rsidR="007F3FD9" w:rsidRDefault="007F3FD9" w:rsidP="007F3FD9">
            <w:pPr>
              <w:jc w:val="right"/>
              <w:rPr>
                <w:color w:val="000000"/>
                <w:sz w:val="16"/>
                <w:szCs w:val="16"/>
              </w:rPr>
            </w:pPr>
            <w:r>
              <w:rPr>
                <w:color w:val="000000"/>
                <w:sz w:val="16"/>
                <w:szCs w:val="16"/>
              </w:rPr>
              <w:t>28.8</w:t>
            </w:r>
          </w:p>
        </w:tc>
        <w:tc>
          <w:tcPr>
            <w:tcW w:w="0" w:type="auto"/>
            <w:tcBorders>
              <w:right w:val="single" w:sz="4" w:space="0" w:color="auto"/>
            </w:tcBorders>
            <w:shd w:val="clear" w:color="auto" w:fill="auto"/>
            <w:vAlign w:val="center"/>
          </w:tcPr>
          <w:p w14:paraId="03ABAB6C" w14:textId="77777777" w:rsidR="007F3FD9" w:rsidRDefault="007F3FD9" w:rsidP="007F3FD9">
            <w:pPr>
              <w:jc w:val="right"/>
              <w:rPr>
                <w:color w:val="000000"/>
                <w:sz w:val="16"/>
                <w:szCs w:val="16"/>
              </w:rPr>
            </w:pPr>
            <w:r>
              <w:rPr>
                <w:color w:val="000000"/>
                <w:sz w:val="16"/>
                <w:szCs w:val="16"/>
              </w:rPr>
              <w:t>(24.7, 32.8)</w:t>
            </w:r>
          </w:p>
        </w:tc>
        <w:tc>
          <w:tcPr>
            <w:tcW w:w="0" w:type="auto"/>
            <w:tcBorders>
              <w:left w:val="single" w:sz="4" w:space="0" w:color="auto"/>
            </w:tcBorders>
            <w:shd w:val="clear" w:color="auto" w:fill="auto"/>
            <w:vAlign w:val="center"/>
          </w:tcPr>
          <w:p w14:paraId="6BDC08C0" w14:textId="77777777" w:rsidR="007F3FD9" w:rsidRDefault="007F3FD9" w:rsidP="007F3FD9">
            <w:pPr>
              <w:jc w:val="right"/>
              <w:rPr>
                <w:color w:val="000000"/>
                <w:sz w:val="16"/>
                <w:szCs w:val="16"/>
              </w:rPr>
            </w:pPr>
            <w:r>
              <w:rPr>
                <w:color w:val="000000"/>
                <w:sz w:val="16"/>
                <w:szCs w:val="16"/>
              </w:rPr>
              <w:t>202</w:t>
            </w:r>
          </w:p>
        </w:tc>
        <w:tc>
          <w:tcPr>
            <w:tcW w:w="0" w:type="auto"/>
            <w:shd w:val="clear" w:color="auto" w:fill="auto"/>
            <w:vAlign w:val="center"/>
          </w:tcPr>
          <w:p w14:paraId="7348A8A1" w14:textId="77777777" w:rsidR="007F3FD9" w:rsidRDefault="007F3FD9" w:rsidP="007F3FD9">
            <w:pPr>
              <w:jc w:val="right"/>
              <w:rPr>
                <w:color w:val="000000"/>
                <w:sz w:val="16"/>
                <w:szCs w:val="16"/>
              </w:rPr>
            </w:pPr>
            <w:r>
              <w:rPr>
                <w:color w:val="000000"/>
                <w:sz w:val="16"/>
                <w:szCs w:val="16"/>
              </w:rPr>
              <w:t>32.3</w:t>
            </w:r>
          </w:p>
        </w:tc>
        <w:tc>
          <w:tcPr>
            <w:tcW w:w="0" w:type="auto"/>
            <w:shd w:val="clear" w:color="auto" w:fill="auto"/>
            <w:vAlign w:val="center"/>
          </w:tcPr>
          <w:p w14:paraId="457A247F" w14:textId="77777777" w:rsidR="007F3FD9" w:rsidRDefault="007F3FD9" w:rsidP="007F3FD9">
            <w:pPr>
              <w:jc w:val="right"/>
              <w:rPr>
                <w:color w:val="000000"/>
                <w:sz w:val="16"/>
                <w:szCs w:val="16"/>
              </w:rPr>
            </w:pPr>
            <w:r>
              <w:rPr>
                <w:color w:val="000000"/>
                <w:sz w:val="16"/>
                <w:szCs w:val="16"/>
              </w:rPr>
              <w:t>(27.6, 37.1)</w:t>
            </w:r>
          </w:p>
        </w:tc>
      </w:tr>
      <w:tr w:rsidR="007F3FD9" w:rsidRPr="007B4EF8" w14:paraId="75FEABBC" w14:textId="77777777" w:rsidTr="00826105">
        <w:trPr>
          <w:jc w:val="center"/>
        </w:trPr>
        <w:tc>
          <w:tcPr>
            <w:tcW w:w="0" w:type="auto"/>
            <w:shd w:val="clear" w:color="auto" w:fill="auto"/>
          </w:tcPr>
          <w:p w14:paraId="4473E2D7" w14:textId="77777777" w:rsidR="007F3FD9" w:rsidRDefault="007F3FD9" w:rsidP="007F3FD9">
            <w:pPr>
              <w:spacing w:before="20" w:after="20"/>
              <w:ind w:left="34"/>
              <w:rPr>
                <w:rFonts w:eastAsiaTheme="minorEastAsia"/>
                <w:sz w:val="16"/>
                <w:szCs w:val="16"/>
                <w:lang w:eastAsia="en-US"/>
              </w:rPr>
            </w:pPr>
            <w:r>
              <w:rPr>
                <w:rFonts w:eastAsiaTheme="minorEastAsia"/>
                <w:sz w:val="16"/>
                <w:szCs w:val="16"/>
                <w:lang w:eastAsia="en-US"/>
              </w:rPr>
              <w:t>Since 2008</w:t>
            </w:r>
          </w:p>
        </w:tc>
        <w:tc>
          <w:tcPr>
            <w:tcW w:w="0" w:type="auto"/>
            <w:shd w:val="clear" w:color="auto" w:fill="auto"/>
          </w:tcPr>
          <w:p w14:paraId="2CD22DBF" w14:textId="77777777" w:rsidR="007F3FD9" w:rsidRPr="001B7431" w:rsidRDefault="007F3FD9" w:rsidP="007F3FD9">
            <w:pPr>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0" w:type="auto"/>
            <w:shd w:val="clear" w:color="auto" w:fill="auto"/>
            <w:vAlign w:val="center"/>
          </w:tcPr>
          <w:p w14:paraId="1631B17C" w14:textId="77777777" w:rsidR="007F3FD9" w:rsidRDefault="007F3FD9" w:rsidP="007F3FD9">
            <w:pPr>
              <w:jc w:val="right"/>
              <w:rPr>
                <w:color w:val="000000"/>
                <w:sz w:val="16"/>
                <w:szCs w:val="16"/>
              </w:rPr>
            </w:pPr>
            <w:r>
              <w:rPr>
                <w:color w:val="000000"/>
                <w:sz w:val="16"/>
                <w:szCs w:val="16"/>
              </w:rPr>
              <w:t>153</w:t>
            </w:r>
          </w:p>
        </w:tc>
        <w:tc>
          <w:tcPr>
            <w:tcW w:w="0" w:type="auto"/>
            <w:shd w:val="clear" w:color="auto" w:fill="auto"/>
            <w:vAlign w:val="center"/>
          </w:tcPr>
          <w:p w14:paraId="0B72A543" w14:textId="77777777" w:rsidR="007F3FD9" w:rsidRDefault="007F3FD9" w:rsidP="007F3FD9">
            <w:pPr>
              <w:jc w:val="right"/>
              <w:rPr>
                <w:color w:val="000000"/>
                <w:sz w:val="16"/>
                <w:szCs w:val="16"/>
              </w:rPr>
            </w:pPr>
            <w:r>
              <w:rPr>
                <w:color w:val="000000"/>
                <w:sz w:val="16"/>
                <w:szCs w:val="16"/>
              </w:rPr>
              <w:t>48.7</w:t>
            </w:r>
          </w:p>
        </w:tc>
        <w:tc>
          <w:tcPr>
            <w:tcW w:w="0" w:type="auto"/>
            <w:tcBorders>
              <w:right w:val="single" w:sz="4" w:space="0" w:color="auto"/>
            </w:tcBorders>
            <w:shd w:val="clear" w:color="auto" w:fill="auto"/>
            <w:vAlign w:val="center"/>
          </w:tcPr>
          <w:p w14:paraId="483AAC31" w14:textId="77777777" w:rsidR="007F3FD9" w:rsidRDefault="007F3FD9" w:rsidP="007F3FD9">
            <w:pPr>
              <w:jc w:val="right"/>
              <w:rPr>
                <w:color w:val="000000"/>
                <w:sz w:val="16"/>
                <w:szCs w:val="16"/>
              </w:rPr>
            </w:pPr>
            <w:r>
              <w:rPr>
                <w:color w:val="000000"/>
                <w:sz w:val="16"/>
                <w:szCs w:val="16"/>
              </w:rPr>
              <w:t>(41.9, 55.6)</w:t>
            </w:r>
          </w:p>
        </w:tc>
        <w:tc>
          <w:tcPr>
            <w:tcW w:w="0" w:type="auto"/>
            <w:tcBorders>
              <w:left w:val="single" w:sz="4" w:space="0" w:color="auto"/>
            </w:tcBorders>
            <w:shd w:val="clear" w:color="auto" w:fill="auto"/>
            <w:vAlign w:val="center"/>
          </w:tcPr>
          <w:p w14:paraId="0DECBE21" w14:textId="77777777" w:rsidR="007F3FD9" w:rsidRDefault="007F3FD9" w:rsidP="007F3FD9">
            <w:pPr>
              <w:jc w:val="right"/>
              <w:rPr>
                <w:color w:val="000000"/>
                <w:sz w:val="16"/>
                <w:szCs w:val="16"/>
              </w:rPr>
            </w:pPr>
            <w:r>
              <w:rPr>
                <w:color w:val="000000"/>
                <w:sz w:val="16"/>
                <w:szCs w:val="16"/>
              </w:rPr>
              <w:t>81</w:t>
            </w:r>
          </w:p>
        </w:tc>
        <w:tc>
          <w:tcPr>
            <w:tcW w:w="0" w:type="auto"/>
            <w:shd w:val="clear" w:color="auto" w:fill="auto"/>
            <w:vAlign w:val="center"/>
          </w:tcPr>
          <w:p w14:paraId="4E46A1CC" w14:textId="77777777" w:rsidR="007F3FD9" w:rsidRDefault="007F3FD9" w:rsidP="007F3FD9">
            <w:pPr>
              <w:jc w:val="right"/>
              <w:rPr>
                <w:color w:val="000000"/>
                <w:sz w:val="16"/>
                <w:szCs w:val="16"/>
              </w:rPr>
            </w:pPr>
            <w:r>
              <w:rPr>
                <w:color w:val="000000"/>
                <w:sz w:val="16"/>
                <w:szCs w:val="16"/>
              </w:rPr>
              <w:t>44.7</w:t>
            </w:r>
          </w:p>
        </w:tc>
        <w:tc>
          <w:tcPr>
            <w:tcW w:w="0" w:type="auto"/>
            <w:tcBorders>
              <w:right w:val="single" w:sz="4" w:space="0" w:color="auto"/>
            </w:tcBorders>
            <w:shd w:val="clear" w:color="auto" w:fill="auto"/>
            <w:vAlign w:val="center"/>
          </w:tcPr>
          <w:p w14:paraId="06B9F697" w14:textId="77777777" w:rsidR="007F3FD9" w:rsidRDefault="007F3FD9" w:rsidP="007F3FD9">
            <w:pPr>
              <w:jc w:val="right"/>
              <w:rPr>
                <w:color w:val="000000"/>
                <w:sz w:val="16"/>
                <w:szCs w:val="16"/>
              </w:rPr>
            </w:pPr>
            <w:r>
              <w:rPr>
                <w:color w:val="000000"/>
                <w:sz w:val="16"/>
                <w:szCs w:val="16"/>
              </w:rPr>
              <w:t>(35.6, 53.9)</w:t>
            </w:r>
          </w:p>
        </w:tc>
        <w:tc>
          <w:tcPr>
            <w:tcW w:w="0" w:type="auto"/>
            <w:tcBorders>
              <w:left w:val="single" w:sz="4" w:space="0" w:color="auto"/>
            </w:tcBorders>
            <w:shd w:val="clear" w:color="auto" w:fill="auto"/>
            <w:vAlign w:val="center"/>
          </w:tcPr>
          <w:p w14:paraId="2735AC6A" w14:textId="77777777" w:rsidR="007F3FD9" w:rsidRDefault="007F3FD9" w:rsidP="007F3FD9">
            <w:pPr>
              <w:jc w:val="right"/>
              <w:rPr>
                <w:color w:val="000000"/>
                <w:sz w:val="16"/>
                <w:szCs w:val="16"/>
              </w:rPr>
            </w:pPr>
            <w:r>
              <w:rPr>
                <w:color w:val="000000"/>
                <w:sz w:val="16"/>
                <w:szCs w:val="16"/>
              </w:rPr>
              <w:t>70</w:t>
            </w:r>
          </w:p>
        </w:tc>
        <w:tc>
          <w:tcPr>
            <w:tcW w:w="0" w:type="auto"/>
            <w:shd w:val="clear" w:color="auto" w:fill="auto"/>
            <w:vAlign w:val="center"/>
          </w:tcPr>
          <w:p w14:paraId="512422C4" w14:textId="77777777" w:rsidR="007F3FD9" w:rsidRDefault="007F3FD9" w:rsidP="007F3FD9">
            <w:pPr>
              <w:jc w:val="right"/>
              <w:rPr>
                <w:color w:val="000000"/>
                <w:sz w:val="16"/>
                <w:szCs w:val="16"/>
              </w:rPr>
            </w:pPr>
            <w:r>
              <w:rPr>
                <w:color w:val="000000"/>
                <w:sz w:val="16"/>
                <w:szCs w:val="16"/>
              </w:rPr>
              <w:t>46.9</w:t>
            </w:r>
          </w:p>
        </w:tc>
        <w:tc>
          <w:tcPr>
            <w:tcW w:w="0" w:type="auto"/>
            <w:tcBorders>
              <w:right w:val="single" w:sz="4" w:space="0" w:color="auto"/>
            </w:tcBorders>
            <w:shd w:val="clear" w:color="auto" w:fill="auto"/>
            <w:vAlign w:val="center"/>
          </w:tcPr>
          <w:p w14:paraId="7256A53F" w14:textId="77777777" w:rsidR="007F3FD9" w:rsidRDefault="007F3FD9" w:rsidP="007F3FD9">
            <w:pPr>
              <w:jc w:val="right"/>
              <w:rPr>
                <w:color w:val="000000"/>
                <w:sz w:val="16"/>
                <w:szCs w:val="16"/>
              </w:rPr>
            </w:pPr>
            <w:r>
              <w:rPr>
                <w:color w:val="000000"/>
                <w:sz w:val="16"/>
                <w:szCs w:val="16"/>
              </w:rPr>
              <w:t>(37</w:t>
            </w:r>
            <w:r w:rsidR="00454B56">
              <w:rPr>
                <w:color w:val="000000"/>
                <w:sz w:val="16"/>
                <w:szCs w:val="16"/>
              </w:rPr>
              <w:t>.0</w:t>
            </w:r>
            <w:r>
              <w:rPr>
                <w:color w:val="000000"/>
                <w:sz w:val="16"/>
                <w:szCs w:val="16"/>
              </w:rPr>
              <w:t>, 56.8)</w:t>
            </w:r>
          </w:p>
        </w:tc>
        <w:tc>
          <w:tcPr>
            <w:tcW w:w="0" w:type="auto"/>
            <w:tcBorders>
              <w:left w:val="single" w:sz="4" w:space="0" w:color="auto"/>
            </w:tcBorders>
            <w:shd w:val="clear" w:color="auto" w:fill="auto"/>
            <w:vAlign w:val="center"/>
          </w:tcPr>
          <w:p w14:paraId="010E5F3F" w14:textId="77777777" w:rsidR="007F3FD9" w:rsidRDefault="007F3FD9" w:rsidP="007F3FD9">
            <w:pPr>
              <w:jc w:val="right"/>
              <w:rPr>
                <w:color w:val="000000"/>
                <w:sz w:val="16"/>
                <w:szCs w:val="16"/>
              </w:rPr>
            </w:pPr>
            <w:r>
              <w:rPr>
                <w:color w:val="000000"/>
                <w:sz w:val="16"/>
                <w:szCs w:val="16"/>
              </w:rPr>
              <w:t>63</w:t>
            </w:r>
          </w:p>
        </w:tc>
        <w:tc>
          <w:tcPr>
            <w:tcW w:w="0" w:type="auto"/>
            <w:shd w:val="clear" w:color="auto" w:fill="auto"/>
            <w:vAlign w:val="center"/>
          </w:tcPr>
          <w:p w14:paraId="1F68A305" w14:textId="77777777" w:rsidR="007F3FD9" w:rsidRDefault="007F3FD9" w:rsidP="007F3FD9">
            <w:pPr>
              <w:jc w:val="right"/>
              <w:rPr>
                <w:color w:val="000000"/>
                <w:sz w:val="16"/>
                <w:szCs w:val="16"/>
              </w:rPr>
            </w:pPr>
            <w:r>
              <w:rPr>
                <w:color w:val="000000"/>
                <w:sz w:val="16"/>
                <w:szCs w:val="16"/>
              </w:rPr>
              <w:t>47.3</w:t>
            </w:r>
          </w:p>
        </w:tc>
        <w:tc>
          <w:tcPr>
            <w:tcW w:w="0" w:type="auto"/>
            <w:shd w:val="clear" w:color="auto" w:fill="auto"/>
            <w:vAlign w:val="center"/>
          </w:tcPr>
          <w:p w14:paraId="0C42B3F6" w14:textId="77777777" w:rsidR="007F3FD9" w:rsidRDefault="007F3FD9" w:rsidP="007F3FD9">
            <w:pPr>
              <w:jc w:val="right"/>
              <w:rPr>
                <w:color w:val="000000"/>
                <w:sz w:val="16"/>
                <w:szCs w:val="16"/>
              </w:rPr>
            </w:pPr>
            <w:r>
              <w:rPr>
                <w:color w:val="000000"/>
                <w:sz w:val="16"/>
                <w:szCs w:val="16"/>
              </w:rPr>
              <w:t>(36</w:t>
            </w:r>
            <w:r w:rsidR="00454B56">
              <w:rPr>
                <w:color w:val="000000"/>
                <w:sz w:val="16"/>
                <w:szCs w:val="16"/>
              </w:rPr>
              <w:t>.0</w:t>
            </w:r>
            <w:r>
              <w:rPr>
                <w:color w:val="000000"/>
                <w:sz w:val="16"/>
                <w:szCs w:val="16"/>
              </w:rPr>
              <w:t>, 58.6)</w:t>
            </w:r>
          </w:p>
        </w:tc>
      </w:tr>
      <w:tr w:rsidR="007F3FD9" w:rsidRPr="007B4EF8" w14:paraId="3880B8B2" w14:textId="77777777" w:rsidTr="00826105">
        <w:trPr>
          <w:jc w:val="center"/>
        </w:trPr>
        <w:tc>
          <w:tcPr>
            <w:tcW w:w="0" w:type="auto"/>
            <w:shd w:val="clear" w:color="auto" w:fill="auto"/>
          </w:tcPr>
          <w:p w14:paraId="460F38CE" w14:textId="77777777" w:rsidR="007F3FD9" w:rsidRDefault="007F3FD9" w:rsidP="007F3FD9">
            <w:pPr>
              <w:spacing w:before="20" w:after="20"/>
              <w:ind w:left="34"/>
              <w:rPr>
                <w:rFonts w:eastAsiaTheme="minorEastAsia"/>
                <w:sz w:val="16"/>
                <w:szCs w:val="16"/>
                <w:lang w:eastAsia="en-US"/>
              </w:rPr>
            </w:pPr>
          </w:p>
        </w:tc>
        <w:tc>
          <w:tcPr>
            <w:tcW w:w="0" w:type="auto"/>
            <w:shd w:val="clear" w:color="auto" w:fill="auto"/>
          </w:tcPr>
          <w:p w14:paraId="51030F7A" w14:textId="77777777" w:rsidR="007F3FD9" w:rsidRPr="001B7431" w:rsidRDefault="007F3FD9" w:rsidP="007F3FD9">
            <w:pPr>
              <w:spacing w:before="20" w:after="20"/>
              <w:ind w:left="34"/>
              <w:rPr>
                <w:rFonts w:eastAsiaTheme="minorEastAsia"/>
                <w:sz w:val="16"/>
                <w:szCs w:val="16"/>
                <w:lang w:eastAsia="en-US"/>
              </w:rPr>
            </w:pPr>
            <w:r>
              <w:rPr>
                <w:rFonts w:eastAsiaTheme="minorEastAsia"/>
                <w:sz w:val="16"/>
                <w:szCs w:val="16"/>
                <w:lang w:eastAsia="en-US"/>
              </w:rPr>
              <w:t>Low-risk gambler</w:t>
            </w:r>
          </w:p>
        </w:tc>
        <w:tc>
          <w:tcPr>
            <w:tcW w:w="0" w:type="auto"/>
            <w:shd w:val="clear" w:color="auto" w:fill="auto"/>
            <w:vAlign w:val="center"/>
          </w:tcPr>
          <w:p w14:paraId="7D759096" w14:textId="77777777" w:rsidR="007F3FD9" w:rsidRDefault="007F3FD9" w:rsidP="007F3FD9">
            <w:pPr>
              <w:jc w:val="right"/>
              <w:rPr>
                <w:color w:val="000000"/>
                <w:sz w:val="16"/>
                <w:szCs w:val="16"/>
              </w:rPr>
            </w:pPr>
            <w:r>
              <w:rPr>
                <w:color w:val="000000"/>
                <w:sz w:val="16"/>
                <w:szCs w:val="16"/>
              </w:rPr>
              <w:t>16</w:t>
            </w:r>
          </w:p>
        </w:tc>
        <w:tc>
          <w:tcPr>
            <w:tcW w:w="0" w:type="auto"/>
            <w:shd w:val="clear" w:color="auto" w:fill="auto"/>
            <w:vAlign w:val="center"/>
          </w:tcPr>
          <w:p w14:paraId="2238BF75" w14:textId="77777777" w:rsidR="007F3FD9" w:rsidRDefault="007F3FD9" w:rsidP="007F3FD9">
            <w:pPr>
              <w:jc w:val="right"/>
              <w:rPr>
                <w:color w:val="000000"/>
                <w:sz w:val="16"/>
                <w:szCs w:val="16"/>
              </w:rPr>
            </w:pPr>
            <w:r>
              <w:rPr>
                <w:color w:val="000000"/>
                <w:sz w:val="16"/>
                <w:szCs w:val="16"/>
              </w:rPr>
              <w:t>5.0</w:t>
            </w:r>
          </w:p>
        </w:tc>
        <w:tc>
          <w:tcPr>
            <w:tcW w:w="0" w:type="auto"/>
            <w:tcBorders>
              <w:right w:val="single" w:sz="4" w:space="0" w:color="auto"/>
            </w:tcBorders>
            <w:shd w:val="clear" w:color="auto" w:fill="auto"/>
            <w:vAlign w:val="center"/>
          </w:tcPr>
          <w:p w14:paraId="7615B3CF" w14:textId="77777777" w:rsidR="007F3FD9" w:rsidRDefault="007F3FD9" w:rsidP="007F3FD9">
            <w:pPr>
              <w:jc w:val="right"/>
              <w:rPr>
                <w:color w:val="000000"/>
                <w:sz w:val="16"/>
                <w:szCs w:val="16"/>
              </w:rPr>
            </w:pPr>
            <w:r>
              <w:rPr>
                <w:color w:val="000000"/>
                <w:sz w:val="16"/>
                <w:szCs w:val="16"/>
              </w:rPr>
              <w:t>(2.3, 7.7)</w:t>
            </w:r>
          </w:p>
        </w:tc>
        <w:tc>
          <w:tcPr>
            <w:tcW w:w="0" w:type="auto"/>
            <w:tcBorders>
              <w:left w:val="single" w:sz="4" w:space="0" w:color="auto"/>
            </w:tcBorders>
            <w:shd w:val="clear" w:color="auto" w:fill="auto"/>
            <w:vAlign w:val="center"/>
          </w:tcPr>
          <w:p w14:paraId="399FF0E7" w14:textId="77777777" w:rsidR="007F3FD9" w:rsidRDefault="007F3FD9" w:rsidP="007F3FD9">
            <w:pPr>
              <w:jc w:val="right"/>
              <w:rPr>
                <w:color w:val="000000"/>
                <w:sz w:val="16"/>
                <w:szCs w:val="16"/>
              </w:rPr>
            </w:pPr>
            <w:r>
              <w:rPr>
                <w:color w:val="000000"/>
                <w:sz w:val="16"/>
                <w:szCs w:val="16"/>
              </w:rPr>
              <w:t>9</w:t>
            </w:r>
          </w:p>
        </w:tc>
        <w:tc>
          <w:tcPr>
            <w:tcW w:w="0" w:type="auto"/>
            <w:shd w:val="clear" w:color="auto" w:fill="auto"/>
            <w:vAlign w:val="center"/>
          </w:tcPr>
          <w:p w14:paraId="47E9AC8D" w14:textId="77777777" w:rsidR="007F3FD9" w:rsidRDefault="007F3FD9" w:rsidP="007F3FD9">
            <w:pPr>
              <w:jc w:val="right"/>
              <w:rPr>
                <w:color w:val="000000"/>
                <w:sz w:val="16"/>
                <w:szCs w:val="16"/>
              </w:rPr>
            </w:pPr>
            <w:r>
              <w:rPr>
                <w:color w:val="000000"/>
                <w:sz w:val="16"/>
                <w:szCs w:val="16"/>
              </w:rPr>
              <w:t>5.0</w:t>
            </w:r>
          </w:p>
        </w:tc>
        <w:tc>
          <w:tcPr>
            <w:tcW w:w="0" w:type="auto"/>
            <w:tcBorders>
              <w:right w:val="single" w:sz="4" w:space="0" w:color="auto"/>
            </w:tcBorders>
            <w:shd w:val="clear" w:color="auto" w:fill="auto"/>
            <w:vAlign w:val="center"/>
          </w:tcPr>
          <w:p w14:paraId="6A8D86DF" w14:textId="77777777" w:rsidR="007F3FD9" w:rsidRDefault="007F3FD9" w:rsidP="007F3FD9">
            <w:pPr>
              <w:jc w:val="right"/>
              <w:rPr>
                <w:color w:val="000000"/>
                <w:sz w:val="16"/>
                <w:szCs w:val="16"/>
              </w:rPr>
            </w:pPr>
            <w:r>
              <w:rPr>
                <w:color w:val="000000"/>
                <w:sz w:val="16"/>
                <w:szCs w:val="16"/>
              </w:rPr>
              <w:t>(1.6, 8.5)</w:t>
            </w:r>
          </w:p>
        </w:tc>
        <w:tc>
          <w:tcPr>
            <w:tcW w:w="0" w:type="auto"/>
            <w:tcBorders>
              <w:left w:val="single" w:sz="4" w:space="0" w:color="auto"/>
            </w:tcBorders>
            <w:shd w:val="clear" w:color="auto" w:fill="auto"/>
            <w:vAlign w:val="center"/>
          </w:tcPr>
          <w:p w14:paraId="527BF732" w14:textId="77777777" w:rsidR="007F3FD9" w:rsidRDefault="007F3FD9" w:rsidP="007F3FD9">
            <w:pPr>
              <w:jc w:val="right"/>
              <w:rPr>
                <w:color w:val="000000"/>
                <w:sz w:val="16"/>
                <w:szCs w:val="16"/>
              </w:rPr>
            </w:pPr>
            <w:r>
              <w:rPr>
                <w:color w:val="000000"/>
                <w:sz w:val="16"/>
                <w:szCs w:val="16"/>
              </w:rPr>
              <w:t>6</w:t>
            </w:r>
          </w:p>
        </w:tc>
        <w:tc>
          <w:tcPr>
            <w:tcW w:w="0" w:type="auto"/>
            <w:shd w:val="clear" w:color="auto" w:fill="auto"/>
            <w:vAlign w:val="center"/>
          </w:tcPr>
          <w:p w14:paraId="78C71F5D" w14:textId="77777777" w:rsidR="007F3FD9" w:rsidRDefault="007F3FD9" w:rsidP="007F3FD9">
            <w:pPr>
              <w:jc w:val="right"/>
              <w:rPr>
                <w:color w:val="000000"/>
                <w:sz w:val="16"/>
                <w:szCs w:val="16"/>
              </w:rPr>
            </w:pPr>
            <w:r>
              <w:rPr>
                <w:color w:val="000000"/>
                <w:sz w:val="16"/>
                <w:szCs w:val="16"/>
              </w:rPr>
              <w:t>4.1</w:t>
            </w:r>
          </w:p>
        </w:tc>
        <w:tc>
          <w:tcPr>
            <w:tcW w:w="0" w:type="auto"/>
            <w:tcBorders>
              <w:right w:val="single" w:sz="4" w:space="0" w:color="auto"/>
            </w:tcBorders>
            <w:shd w:val="clear" w:color="auto" w:fill="auto"/>
            <w:vAlign w:val="center"/>
          </w:tcPr>
          <w:p w14:paraId="0A0B29B3" w14:textId="77777777" w:rsidR="007F3FD9" w:rsidRDefault="007F3FD9" w:rsidP="007F3FD9">
            <w:pPr>
              <w:jc w:val="right"/>
              <w:rPr>
                <w:color w:val="000000"/>
                <w:sz w:val="16"/>
                <w:szCs w:val="16"/>
              </w:rPr>
            </w:pPr>
            <w:r>
              <w:rPr>
                <w:color w:val="000000"/>
                <w:sz w:val="16"/>
                <w:szCs w:val="16"/>
              </w:rPr>
              <w:t>(1.0, 7.1)</w:t>
            </w:r>
          </w:p>
        </w:tc>
        <w:tc>
          <w:tcPr>
            <w:tcW w:w="0" w:type="auto"/>
            <w:tcBorders>
              <w:left w:val="single" w:sz="4" w:space="0" w:color="auto"/>
            </w:tcBorders>
            <w:shd w:val="clear" w:color="auto" w:fill="auto"/>
            <w:vAlign w:val="center"/>
          </w:tcPr>
          <w:p w14:paraId="694B75B1" w14:textId="77777777" w:rsidR="007F3FD9" w:rsidRDefault="007F3FD9" w:rsidP="007F3FD9">
            <w:pPr>
              <w:jc w:val="right"/>
              <w:rPr>
                <w:color w:val="000000"/>
                <w:sz w:val="16"/>
                <w:szCs w:val="16"/>
              </w:rPr>
            </w:pPr>
            <w:r>
              <w:rPr>
                <w:color w:val="000000"/>
                <w:sz w:val="16"/>
                <w:szCs w:val="16"/>
              </w:rPr>
              <w:t>3</w:t>
            </w:r>
          </w:p>
        </w:tc>
        <w:tc>
          <w:tcPr>
            <w:tcW w:w="0" w:type="auto"/>
            <w:shd w:val="clear" w:color="auto" w:fill="auto"/>
            <w:vAlign w:val="center"/>
          </w:tcPr>
          <w:p w14:paraId="0EEEF3F3" w14:textId="77777777" w:rsidR="007F3FD9" w:rsidRDefault="007F3FD9" w:rsidP="007F3FD9">
            <w:pPr>
              <w:jc w:val="right"/>
              <w:rPr>
                <w:color w:val="000000"/>
                <w:sz w:val="16"/>
                <w:szCs w:val="16"/>
              </w:rPr>
            </w:pPr>
            <w:r>
              <w:rPr>
                <w:color w:val="000000"/>
                <w:sz w:val="16"/>
                <w:szCs w:val="16"/>
              </w:rPr>
              <w:t>2.2</w:t>
            </w:r>
          </w:p>
        </w:tc>
        <w:tc>
          <w:tcPr>
            <w:tcW w:w="0" w:type="auto"/>
            <w:shd w:val="clear" w:color="auto" w:fill="auto"/>
            <w:vAlign w:val="center"/>
          </w:tcPr>
          <w:p w14:paraId="0011734B" w14:textId="77777777" w:rsidR="007F3FD9" w:rsidRDefault="007F3FD9" w:rsidP="007F3FD9">
            <w:pPr>
              <w:jc w:val="right"/>
              <w:rPr>
                <w:color w:val="000000"/>
                <w:sz w:val="16"/>
                <w:szCs w:val="16"/>
              </w:rPr>
            </w:pPr>
            <w:r>
              <w:rPr>
                <w:color w:val="000000"/>
                <w:sz w:val="16"/>
                <w:szCs w:val="16"/>
              </w:rPr>
              <w:t>(0.5, 3.8)</w:t>
            </w:r>
          </w:p>
        </w:tc>
      </w:tr>
      <w:tr w:rsidR="007F3FD9" w:rsidRPr="007B4EF8" w14:paraId="0F8A8E49" w14:textId="77777777" w:rsidTr="00826105">
        <w:trPr>
          <w:jc w:val="center"/>
        </w:trPr>
        <w:tc>
          <w:tcPr>
            <w:tcW w:w="0" w:type="auto"/>
            <w:shd w:val="clear" w:color="auto" w:fill="auto"/>
          </w:tcPr>
          <w:p w14:paraId="3D3A6433" w14:textId="77777777" w:rsidR="007F3FD9" w:rsidRDefault="007F3FD9" w:rsidP="007F3FD9">
            <w:pPr>
              <w:spacing w:before="20" w:after="20"/>
              <w:ind w:left="34"/>
              <w:rPr>
                <w:rFonts w:eastAsiaTheme="minorEastAsia"/>
                <w:sz w:val="16"/>
                <w:szCs w:val="16"/>
                <w:lang w:eastAsia="en-US"/>
              </w:rPr>
            </w:pPr>
          </w:p>
        </w:tc>
        <w:tc>
          <w:tcPr>
            <w:tcW w:w="0" w:type="auto"/>
            <w:shd w:val="clear" w:color="auto" w:fill="auto"/>
          </w:tcPr>
          <w:p w14:paraId="0422D059" w14:textId="77777777" w:rsidR="007F3FD9" w:rsidRPr="001B7431" w:rsidRDefault="007F3FD9" w:rsidP="007F3FD9">
            <w:pPr>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0" w:type="auto"/>
            <w:shd w:val="clear" w:color="auto" w:fill="auto"/>
            <w:vAlign w:val="center"/>
          </w:tcPr>
          <w:p w14:paraId="469F9550" w14:textId="77777777" w:rsidR="007F3FD9" w:rsidRDefault="007F3FD9" w:rsidP="007F3FD9">
            <w:pPr>
              <w:jc w:val="right"/>
              <w:rPr>
                <w:color w:val="000000"/>
                <w:sz w:val="16"/>
                <w:szCs w:val="16"/>
              </w:rPr>
            </w:pPr>
            <w:r>
              <w:rPr>
                <w:color w:val="000000"/>
                <w:sz w:val="16"/>
                <w:szCs w:val="16"/>
              </w:rPr>
              <w:t>10</w:t>
            </w:r>
          </w:p>
        </w:tc>
        <w:tc>
          <w:tcPr>
            <w:tcW w:w="0" w:type="auto"/>
            <w:shd w:val="clear" w:color="auto" w:fill="auto"/>
            <w:vAlign w:val="center"/>
          </w:tcPr>
          <w:p w14:paraId="732FF3A1" w14:textId="77777777" w:rsidR="007F3FD9" w:rsidRDefault="007F3FD9" w:rsidP="007F3FD9">
            <w:pPr>
              <w:jc w:val="right"/>
              <w:rPr>
                <w:color w:val="000000"/>
                <w:sz w:val="16"/>
                <w:szCs w:val="16"/>
              </w:rPr>
            </w:pPr>
            <w:r>
              <w:rPr>
                <w:color w:val="000000"/>
                <w:sz w:val="16"/>
                <w:szCs w:val="16"/>
              </w:rPr>
              <w:t>3.2</w:t>
            </w:r>
          </w:p>
        </w:tc>
        <w:tc>
          <w:tcPr>
            <w:tcW w:w="0" w:type="auto"/>
            <w:tcBorders>
              <w:right w:val="single" w:sz="4" w:space="0" w:color="auto"/>
            </w:tcBorders>
            <w:shd w:val="clear" w:color="auto" w:fill="auto"/>
            <w:vAlign w:val="center"/>
          </w:tcPr>
          <w:p w14:paraId="11A251F7" w14:textId="77777777" w:rsidR="007F3FD9" w:rsidRDefault="007F3FD9" w:rsidP="007F3FD9">
            <w:pPr>
              <w:jc w:val="right"/>
              <w:rPr>
                <w:color w:val="000000"/>
                <w:sz w:val="16"/>
                <w:szCs w:val="16"/>
              </w:rPr>
            </w:pPr>
            <w:r>
              <w:rPr>
                <w:color w:val="000000"/>
                <w:sz w:val="16"/>
                <w:szCs w:val="16"/>
              </w:rPr>
              <w:t>(0.9, 5.5)</w:t>
            </w:r>
          </w:p>
        </w:tc>
        <w:tc>
          <w:tcPr>
            <w:tcW w:w="0" w:type="auto"/>
            <w:tcBorders>
              <w:left w:val="single" w:sz="4" w:space="0" w:color="auto"/>
            </w:tcBorders>
            <w:shd w:val="clear" w:color="auto" w:fill="auto"/>
            <w:vAlign w:val="center"/>
          </w:tcPr>
          <w:p w14:paraId="1B2F288E" w14:textId="77777777" w:rsidR="007F3FD9" w:rsidRDefault="007F3FD9" w:rsidP="007F3FD9">
            <w:pPr>
              <w:jc w:val="right"/>
              <w:rPr>
                <w:color w:val="000000"/>
                <w:sz w:val="16"/>
                <w:szCs w:val="16"/>
              </w:rPr>
            </w:pPr>
            <w:r>
              <w:rPr>
                <w:color w:val="000000"/>
                <w:sz w:val="16"/>
                <w:szCs w:val="16"/>
              </w:rPr>
              <w:t>2</w:t>
            </w:r>
          </w:p>
        </w:tc>
        <w:tc>
          <w:tcPr>
            <w:tcW w:w="0" w:type="auto"/>
            <w:shd w:val="clear" w:color="auto" w:fill="auto"/>
            <w:vAlign w:val="center"/>
          </w:tcPr>
          <w:p w14:paraId="7B338F6C" w14:textId="77777777" w:rsidR="007F3FD9" w:rsidRDefault="007F3FD9" w:rsidP="007F3FD9">
            <w:pPr>
              <w:jc w:val="right"/>
              <w:rPr>
                <w:color w:val="000000"/>
                <w:sz w:val="16"/>
                <w:szCs w:val="16"/>
              </w:rPr>
            </w:pPr>
            <w:r>
              <w:rPr>
                <w:color w:val="000000"/>
                <w:sz w:val="16"/>
                <w:szCs w:val="16"/>
              </w:rPr>
              <w:t>0.9</w:t>
            </w:r>
          </w:p>
        </w:tc>
        <w:tc>
          <w:tcPr>
            <w:tcW w:w="0" w:type="auto"/>
            <w:tcBorders>
              <w:right w:val="single" w:sz="4" w:space="0" w:color="auto"/>
            </w:tcBorders>
            <w:shd w:val="clear" w:color="auto" w:fill="auto"/>
            <w:vAlign w:val="center"/>
          </w:tcPr>
          <w:p w14:paraId="04121926" w14:textId="77777777" w:rsidR="007F3FD9" w:rsidRDefault="002F172C" w:rsidP="007F3FD9">
            <w:pPr>
              <w:jc w:val="right"/>
              <w:rPr>
                <w:color w:val="000000"/>
                <w:sz w:val="16"/>
                <w:szCs w:val="16"/>
              </w:rPr>
            </w:pPr>
            <w:r>
              <w:rPr>
                <w:color w:val="000000"/>
                <w:sz w:val="16"/>
                <w:szCs w:val="16"/>
              </w:rPr>
              <w:t>!</w:t>
            </w:r>
          </w:p>
        </w:tc>
        <w:tc>
          <w:tcPr>
            <w:tcW w:w="0" w:type="auto"/>
            <w:tcBorders>
              <w:left w:val="single" w:sz="4" w:space="0" w:color="auto"/>
            </w:tcBorders>
            <w:shd w:val="clear" w:color="auto" w:fill="auto"/>
            <w:vAlign w:val="center"/>
          </w:tcPr>
          <w:p w14:paraId="455B8478" w14:textId="77777777" w:rsidR="007F3FD9" w:rsidRDefault="007F3FD9" w:rsidP="007F3FD9">
            <w:pPr>
              <w:jc w:val="right"/>
              <w:rPr>
                <w:color w:val="000000"/>
                <w:sz w:val="16"/>
                <w:szCs w:val="16"/>
              </w:rPr>
            </w:pPr>
            <w:r>
              <w:rPr>
                <w:color w:val="000000"/>
                <w:sz w:val="16"/>
                <w:szCs w:val="16"/>
              </w:rPr>
              <w:t>1</w:t>
            </w:r>
          </w:p>
        </w:tc>
        <w:tc>
          <w:tcPr>
            <w:tcW w:w="0" w:type="auto"/>
            <w:shd w:val="clear" w:color="auto" w:fill="auto"/>
            <w:vAlign w:val="center"/>
          </w:tcPr>
          <w:p w14:paraId="62F5DC3D" w14:textId="77777777" w:rsidR="007F3FD9" w:rsidRDefault="007F3FD9" w:rsidP="007F3FD9">
            <w:pPr>
              <w:jc w:val="right"/>
              <w:rPr>
                <w:color w:val="000000"/>
                <w:sz w:val="16"/>
                <w:szCs w:val="16"/>
              </w:rPr>
            </w:pPr>
            <w:r>
              <w:rPr>
                <w:color w:val="000000"/>
                <w:sz w:val="16"/>
                <w:szCs w:val="16"/>
              </w:rPr>
              <w:t>0.5</w:t>
            </w:r>
          </w:p>
        </w:tc>
        <w:tc>
          <w:tcPr>
            <w:tcW w:w="0" w:type="auto"/>
            <w:tcBorders>
              <w:right w:val="single" w:sz="4" w:space="0" w:color="auto"/>
            </w:tcBorders>
            <w:shd w:val="clear" w:color="auto" w:fill="auto"/>
            <w:vAlign w:val="center"/>
          </w:tcPr>
          <w:p w14:paraId="0D0EF88A" w14:textId="77777777" w:rsidR="007F3FD9" w:rsidRDefault="002F172C" w:rsidP="007F3FD9">
            <w:pPr>
              <w:jc w:val="right"/>
              <w:rPr>
                <w:color w:val="000000"/>
                <w:sz w:val="16"/>
                <w:szCs w:val="16"/>
              </w:rPr>
            </w:pPr>
            <w:r>
              <w:rPr>
                <w:color w:val="000000"/>
                <w:sz w:val="16"/>
                <w:szCs w:val="16"/>
              </w:rPr>
              <w:t>!</w:t>
            </w:r>
          </w:p>
        </w:tc>
        <w:tc>
          <w:tcPr>
            <w:tcW w:w="0" w:type="auto"/>
            <w:tcBorders>
              <w:left w:val="single" w:sz="4" w:space="0" w:color="auto"/>
            </w:tcBorders>
            <w:shd w:val="clear" w:color="auto" w:fill="auto"/>
            <w:vAlign w:val="center"/>
          </w:tcPr>
          <w:p w14:paraId="12617A96" w14:textId="77777777" w:rsidR="007F3FD9" w:rsidRDefault="007F3FD9" w:rsidP="007F3FD9">
            <w:pPr>
              <w:jc w:val="right"/>
              <w:rPr>
                <w:color w:val="000000"/>
                <w:sz w:val="16"/>
                <w:szCs w:val="16"/>
              </w:rPr>
            </w:pPr>
            <w:r>
              <w:rPr>
                <w:color w:val="000000"/>
                <w:sz w:val="16"/>
                <w:szCs w:val="16"/>
              </w:rPr>
              <w:t>2</w:t>
            </w:r>
          </w:p>
        </w:tc>
        <w:tc>
          <w:tcPr>
            <w:tcW w:w="0" w:type="auto"/>
            <w:shd w:val="clear" w:color="auto" w:fill="auto"/>
            <w:vAlign w:val="center"/>
          </w:tcPr>
          <w:p w14:paraId="40A885AA" w14:textId="77777777" w:rsidR="007F3FD9" w:rsidRDefault="007F3FD9" w:rsidP="007F3FD9">
            <w:pPr>
              <w:jc w:val="right"/>
              <w:rPr>
                <w:color w:val="000000"/>
                <w:sz w:val="16"/>
                <w:szCs w:val="16"/>
              </w:rPr>
            </w:pPr>
            <w:r>
              <w:rPr>
                <w:color w:val="000000"/>
                <w:sz w:val="16"/>
                <w:szCs w:val="16"/>
              </w:rPr>
              <w:t>1.6</w:t>
            </w:r>
          </w:p>
        </w:tc>
        <w:tc>
          <w:tcPr>
            <w:tcW w:w="0" w:type="auto"/>
            <w:shd w:val="clear" w:color="auto" w:fill="auto"/>
            <w:vAlign w:val="center"/>
          </w:tcPr>
          <w:p w14:paraId="1C1C94F0" w14:textId="77777777" w:rsidR="007F3FD9" w:rsidRDefault="002F172C" w:rsidP="007F3FD9">
            <w:pPr>
              <w:jc w:val="right"/>
              <w:rPr>
                <w:color w:val="000000"/>
                <w:sz w:val="16"/>
                <w:szCs w:val="16"/>
              </w:rPr>
            </w:pPr>
            <w:r>
              <w:rPr>
                <w:color w:val="000000"/>
                <w:sz w:val="16"/>
                <w:szCs w:val="16"/>
              </w:rPr>
              <w:t>!</w:t>
            </w:r>
          </w:p>
        </w:tc>
      </w:tr>
      <w:tr w:rsidR="007F3FD9" w:rsidRPr="007B4EF8" w14:paraId="5BA9E8DF" w14:textId="77777777" w:rsidTr="00826105">
        <w:trPr>
          <w:jc w:val="center"/>
        </w:trPr>
        <w:tc>
          <w:tcPr>
            <w:tcW w:w="0" w:type="auto"/>
            <w:shd w:val="clear" w:color="auto" w:fill="auto"/>
          </w:tcPr>
          <w:p w14:paraId="51814ADA" w14:textId="77777777" w:rsidR="007F3FD9" w:rsidRDefault="007F3FD9" w:rsidP="007F3FD9">
            <w:pPr>
              <w:spacing w:before="20" w:after="20"/>
              <w:ind w:left="34"/>
              <w:rPr>
                <w:rFonts w:eastAsiaTheme="minorEastAsia"/>
                <w:sz w:val="16"/>
                <w:szCs w:val="16"/>
                <w:lang w:eastAsia="en-US"/>
              </w:rPr>
            </w:pPr>
          </w:p>
        </w:tc>
        <w:tc>
          <w:tcPr>
            <w:tcW w:w="0" w:type="auto"/>
            <w:shd w:val="clear" w:color="auto" w:fill="auto"/>
          </w:tcPr>
          <w:p w14:paraId="68218035" w14:textId="77777777" w:rsidR="007F3FD9" w:rsidRPr="001B7431" w:rsidRDefault="007F3FD9" w:rsidP="007F3FD9">
            <w:pPr>
              <w:spacing w:before="20" w:after="20"/>
              <w:ind w:left="34"/>
              <w:rPr>
                <w:rFonts w:eastAsiaTheme="minorEastAsia"/>
                <w:sz w:val="16"/>
                <w:szCs w:val="16"/>
                <w:lang w:eastAsia="en-US"/>
              </w:rPr>
            </w:pPr>
            <w:r>
              <w:rPr>
                <w:rFonts w:eastAsiaTheme="minorEastAsia"/>
                <w:sz w:val="16"/>
                <w:szCs w:val="16"/>
                <w:lang w:eastAsia="en-US"/>
              </w:rPr>
              <w:t>No gambling in past year</w:t>
            </w:r>
          </w:p>
        </w:tc>
        <w:tc>
          <w:tcPr>
            <w:tcW w:w="0" w:type="auto"/>
            <w:shd w:val="clear" w:color="auto" w:fill="auto"/>
            <w:vAlign w:val="center"/>
          </w:tcPr>
          <w:p w14:paraId="68406A7C" w14:textId="77777777" w:rsidR="007F3FD9" w:rsidRDefault="007F3FD9" w:rsidP="007F3FD9">
            <w:pPr>
              <w:jc w:val="right"/>
              <w:rPr>
                <w:color w:val="000000"/>
                <w:sz w:val="16"/>
                <w:szCs w:val="16"/>
              </w:rPr>
            </w:pPr>
            <w:r>
              <w:rPr>
                <w:color w:val="000000"/>
                <w:sz w:val="16"/>
                <w:szCs w:val="16"/>
              </w:rPr>
              <w:t>135</w:t>
            </w:r>
          </w:p>
        </w:tc>
        <w:tc>
          <w:tcPr>
            <w:tcW w:w="0" w:type="auto"/>
            <w:shd w:val="clear" w:color="auto" w:fill="auto"/>
            <w:vAlign w:val="center"/>
          </w:tcPr>
          <w:p w14:paraId="0A421335" w14:textId="77777777" w:rsidR="007F3FD9" w:rsidRDefault="007F3FD9" w:rsidP="007F3FD9">
            <w:pPr>
              <w:jc w:val="right"/>
              <w:rPr>
                <w:color w:val="000000"/>
                <w:sz w:val="16"/>
                <w:szCs w:val="16"/>
              </w:rPr>
            </w:pPr>
            <w:r>
              <w:rPr>
                <w:color w:val="000000"/>
                <w:sz w:val="16"/>
                <w:szCs w:val="16"/>
              </w:rPr>
              <w:t>43.1</w:t>
            </w:r>
          </w:p>
        </w:tc>
        <w:tc>
          <w:tcPr>
            <w:tcW w:w="0" w:type="auto"/>
            <w:tcBorders>
              <w:right w:val="single" w:sz="4" w:space="0" w:color="auto"/>
            </w:tcBorders>
            <w:shd w:val="clear" w:color="auto" w:fill="auto"/>
            <w:vAlign w:val="center"/>
          </w:tcPr>
          <w:p w14:paraId="23E78AE8" w14:textId="77777777" w:rsidR="007F3FD9" w:rsidRDefault="007F3FD9" w:rsidP="007F3FD9">
            <w:pPr>
              <w:jc w:val="right"/>
              <w:rPr>
                <w:color w:val="000000"/>
                <w:sz w:val="16"/>
                <w:szCs w:val="16"/>
              </w:rPr>
            </w:pPr>
            <w:r>
              <w:rPr>
                <w:color w:val="000000"/>
                <w:sz w:val="16"/>
                <w:szCs w:val="16"/>
              </w:rPr>
              <w:t>(36.4, 49.8)</w:t>
            </w:r>
          </w:p>
        </w:tc>
        <w:tc>
          <w:tcPr>
            <w:tcW w:w="0" w:type="auto"/>
            <w:tcBorders>
              <w:left w:val="single" w:sz="4" w:space="0" w:color="auto"/>
            </w:tcBorders>
            <w:shd w:val="clear" w:color="auto" w:fill="auto"/>
            <w:vAlign w:val="center"/>
          </w:tcPr>
          <w:p w14:paraId="04C8B808" w14:textId="77777777" w:rsidR="007F3FD9" w:rsidRDefault="007F3FD9" w:rsidP="007F3FD9">
            <w:pPr>
              <w:jc w:val="right"/>
              <w:rPr>
                <w:color w:val="000000"/>
                <w:sz w:val="16"/>
                <w:szCs w:val="16"/>
              </w:rPr>
            </w:pPr>
            <w:r>
              <w:rPr>
                <w:color w:val="000000"/>
                <w:sz w:val="16"/>
                <w:szCs w:val="16"/>
              </w:rPr>
              <w:t>89</w:t>
            </w:r>
          </w:p>
        </w:tc>
        <w:tc>
          <w:tcPr>
            <w:tcW w:w="0" w:type="auto"/>
            <w:shd w:val="clear" w:color="auto" w:fill="auto"/>
            <w:vAlign w:val="center"/>
          </w:tcPr>
          <w:p w14:paraId="2348C4E7" w14:textId="77777777" w:rsidR="007F3FD9" w:rsidRDefault="007F3FD9" w:rsidP="007F3FD9">
            <w:pPr>
              <w:jc w:val="right"/>
              <w:rPr>
                <w:color w:val="000000"/>
                <w:sz w:val="16"/>
                <w:szCs w:val="16"/>
              </w:rPr>
            </w:pPr>
            <w:r>
              <w:rPr>
                <w:color w:val="000000"/>
                <w:sz w:val="16"/>
                <w:szCs w:val="16"/>
              </w:rPr>
              <w:t>49.4</w:t>
            </w:r>
          </w:p>
        </w:tc>
        <w:tc>
          <w:tcPr>
            <w:tcW w:w="0" w:type="auto"/>
            <w:tcBorders>
              <w:right w:val="single" w:sz="4" w:space="0" w:color="auto"/>
            </w:tcBorders>
            <w:shd w:val="clear" w:color="auto" w:fill="auto"/>
            <w:vAlign w:val="center"/>
          </w:tcPr>
          <w:p w14:paraId="39B69C06" w14:textId="77777777" w:rsidR="007F3FD9" w:rsidRDefault="007F3FD9" w:rsidP="007F3FD9">
            <w:pPr>
              <w:jc w:val="right"/>
              <w:rPr>
                <w:color w:val="000000"/>
                <w:sz w:val="16"/>
                <w:szCs w:val="16"/>
              </w:rPr>
            </w:pPr>
            <w:r>
              <w:rPr>
                <w:color w:val="000000"/>
                <w:sz w:val="16"/>
                <w:szCs w:val="16"/>
              </w:rPr>
              <w:t>(40.1, 58.6)</w:t>
            </w:r>
          </w:p>
        </w:tc>
        <w:tc>
          <w:tcPr>
            <w:tcW w:w="0" w:type="auto"/>
            <w:tcBorders>
              <w:left w:val="single" w:sz="4" w:space="0" w:color="auto"/>
            </w:tcBorders>
            <w:shd w:val="clear" w:color="auto" w:fill="auto"/>
            <w:vAlign w:val="center"/>
          </w:tcPr>
          <w:p w14:paraId="2D8C5E4F" w14:textId="77777777" w:rsidR="007F3FD9" w:rsidRDefault="007F3FD9" w:rsidP="007F3FD9">
            <w:pPr>
              <w:jc w:val="right"/>
              <w:rPr>
                <w:color w:val="000000"/>
                <w:sz w:val="16"/>
                <w:szCs w:val="16"/>
              </w:rPr>
            </w:pPr>
            <w:r>
              <w:rPr>
                <w:color w:val="000000"/>
                <w:sz w:val="16"/>
                <w:szCs w:val="16"/>
              </w:rPr>
              <w:t>73</w:t>
            </w:r>
          </w:p>
        </w:tc>
        <w:tc>
          <w:tcPr>
            <w:tcW w:w="0" w:type="auto"/>
            <w:shd w:val="clear" w:color="auto" w:fill="auto"/>
            <w:vAlign w:val="center"/>
          </w:tcPr>
          <w:p w14:paraId="7D0AC527" w14:textId="77777777" w:rsidR="007F3FD9" w:rsidRDefault="007F3FD9" w:rsidP="007F3FD9">
            <w:pPr>
              <w:jc w:val="right"/>
              <w:rPr>
                <w:color w:val="000000"/>
                <w:sz w:val="16"/>
                <w:szCs w:val="16"/>
              </w:rPr>
            </w:pPr>
            <w:r>
              <w:rPr>
                <w:color w:val="000000"/>
                <w:sz w:val="16"/>
                <w:szCs w:val="16"/>
              </w:rPr>
              <w:t>48.5</w:t>
            </w:r>
          </w:p>
        </w:tc>
        <w:tc>
          <w:tcPr>
            <w:tcW w:w="0" w:type="auto"/>
            <w:tcBorders>
              <w:right w:val="single" w:sz="4" w:space="0" w:color="auto"/>
            </w:tcBorders>
            <w:shd w:val="clear" w:color="auto" w:fill="auto"/>
            <w:vAlign w:val="center"/>
          </w:tcPr>
          <w:p w14:paraId="213A5BCF" w14:textId="77777777" w:rsidR="007F3FD9" w:rsidRDefault="007F3FD9" w:rsidP="007F3FD9">
            <w:pPr>
              <w:jc w:val="right"/>
              <w:rPr>
                <w:color w:val="000000"/>
                <w:sz w:val="16"/>
                <w:szCs w:val="16"/>
              </w:rPr>
            </w:pPr>
            <w:r>
              <w:rPr>
                <w:color w:val="000000"/>
                <w:sz w:val="16"/>
                <w:szCs w:val="16"/>
              </w:rPr>
              <w:t>(38.7, 58.4)</w:t>
            </w:r>
          </w:p>
        </w:tc>
        <w:tc>
          <w:tcPr>
            <w:tcW w:w="0" w:type="auto"/>
            <w:tcBorders>
              <w:left w:val="single" w:sz="4" w:space="0" w:color="auto"/>
            </w:tcBorders>
            <w:shd w:val="clear" w:color="auto" w:fill="auto"/>
            <w:vAlign w:val="center"/>
          </w:tcPr>
          <w:p w14:paraId="56E0EABE" w14:textId="77777777" w:rsidR="007F3FD9" w:rsidRDefault="007F3FD9" w:rsidP="007F3FD9">
            <w:pPr>
              <w:jc w:val="right"/>
              <w:rPr>
                <w:color w:val="000000"/>
                <w:sz w:val="16"/>
                <w:szCs w:val="16"/>
              </w:rPr>
            </w:pPr>
            <w:r>
              <w:rPr>
                <w:color w:val="000000"/>
                <w:sz w:val="16"/>
                <w:szCs w:val="16"/>
              </w:rPr>
              <w:t>65</w:t>
            </w:r>
          </w:p>
        </w:tc>
        <w:tc>
          <w:tcPr>
            <w:tcW w:w="0" w:type="auto"/>
            <w:shd w:val="clear" w:color="auto" w:fill="auto"/>
            <w:vAlign w:val="center"/>
          </w:tcPr>
          <w:p w14:paraId="0D9A4D00" w14:textId="77777777" w:rsidR="007F3FD9" w:rsidRDefault="007F3FD9" w:rsidP="007F3FD9">
            <w:pPr>
              <w:jc w:val="right"/>
              <w:rPr>
                <w:color w:val="000000"/>
                <w:sz w:val="16"/>
                <w:szCs w:val="16"/>
              </w:rPr>
            </w:pPr>
            <w:r>
              <w:rPr>
                <w:color w:val="000000"/>
                <w:sz w:val="16"/>
                <w:szCs w:val="16"/>
              </w:rPr>
              <w:t>49.0</w:t>
            </w:r>
          </w:p>
        </w:tc>
        <w:tc>
          <w:tcPr>
            <w:tcW w:w="0" w:type="auto"/>
            <w:shd w:val="clear" w:color="auto" w:fill="auto"/>
            <w:vAlign w:val="center"/>
          </w:tcPr>
          <w:p w14:paraId="7388A189" w14:textId="77777777" w:rsidR="007F3FD9" w:rsidRDefault="007F3FD9" w:rsidP="007F3FD9">
            <w:pPr>
              <w:jc w:val="right"/>
              <w:rPr>
                <w:color w:val="000000"/>
                <w:sz w:val="16"/>
                <w:szCs w:val="16"/>
              </w:rPr>
            </w:pPr>
            <w:r>
              <w:rPr>
                <w:color w:val="000000"/>
                <w:sz w:val="16"/>
                <w:szCs w:val="16"/>
              </w:rPr>
              <w:t>(37.8, 60.1)</w:t>
            </w:r>
          </w:p>
        </w:tc>
      </w:tr>
      <w:tr w:rsidR="007F3FD9" w:rsidRPr="007B4EF8" w14:paraId="325781AA" w14:textId="77777777" w:rsidTr="00826105">
        <w:trPr>
          <w:jc w:val="center"/>
        </w:trPr>
        <w:tc>
          <w:tcPr>
            <w:tcW w:w="0" w:type="auto"/>
            <w:shd w:val="clear" w:color="auto" w:fill="auto"/>
          </w:tcPr>
          <w:p w14:paraId="2057A6A1" w14:textId="77777777" w:rsidR="007F3FD9" w:rsidRPr="007F3FD9" w:rsidRDefault="007F3FD9" w:rsidP="007F3FD9">
            <w:pPr>
              <w:spacing w:before="20" w:after="20"/>
              <w:ind w:left="34"/>
              <w:rPr>
                <w:rFonts w:eastAsiaTheme="minorEastAsia"/>
                <w:b/>
                <w:sz w:val="16"/>
                <w:szCs w:val="16"/>
                <w:lang w:eastAsia="en-US"/>
              </w:rPr>
            </w:pPr>
            <w:r>
              <w:rPr>
                <w:rFonts w:eastAsiaTheme="minorEastAsia"/>
                <w:b/>
                <w:sz w:val="16"/>
                <w:szCs w:val="16"/>
                <w:lang w:eastAsia="en-US"/>
              </w:rPr>
              <w:t>Labour force status</w:t>
            </w:r>
          </w:p>
        </w:tc>
        <w:tc>
          <w:tcPr>
            <w:tcW w:w="0" w:type="auto"/>
            <w:shd w:val="clear" w:color="auto" w:fill="auto"/>
          </w:tcPr>
          <w:p w14:paraId="5DA02C61" w14:textId="77777777" w:rsidR="007F3FD9" w:rsidRPr="001B7431" w:rsidRDefault="007F3FD9" w:rsidP="007F3FD9">
            <w:pPr>
              <w:spacing w:before="20" w:after="20"/>
              <w:ind w:left="34"/>
              <w:rPr>
                <w:rFonts w:eastAsiaTheme="minorEastAsia"/>
                <w:sz w:val="16"/>
                <w:szCs w:val="16"/>
                <w:lang w:eastAsia="en-US"/>
              </w:rPr>
            </w:pPr>
          </w:p>
        </w:tc>
        <w:tc>
          <w:tcPr>
            <w:tcW w:w="0" w:type="auto"/>
            <w:shd w:val="clear" w:color="auto" w:fill="auto"/>
            <w:vAlign w:val="center"/>
          </w:tcPr>
          <w:p w14:paraId="64D3606D" w14:textId="77777777" w:rsidR="007F3FD9" w:rsidRPr="001B7431" w:rsidRDefault="007F3FD9" w:rsidP="007F3FD9">
            <w:pPr>
              <w:spacing w:before="20" w:after="20"/>
              <w:ind w:left="34"/>
              <w:jc w:val="right"/>
              <w:rPr>
                <w:rFonts w:eastAsiaTheme="minorEastAsia"/>
                <w:sz w:val="16"/>
                <w:szCs w:val="16"/>
                <w:lang w:eastAsia="en-US"/>
              </w:rPr>
            </w:pPr>
          </w:p>
        </w:tc>
        <w:tc>
          <w:tcPr>
            <w:tcW w:w="0" w:type="auto"/>
            <w:shd w:val="clear" w:color="auto" w:fill="auto"/>
            <w:vAlign w:val="center"/>
          </w:tcPr>
          <w:p w14:paraId="1C27119D" w14:textId="77777777" w:rsidR="007F3FD9" w:rsidRPr="001B7431" w:rsidRDefault="007F3FD9" w:rsidP="007F3FD9">
            <w:pPr>
              <w:spacing w:before="20" w:after="20"/>
              <w:ind w:left="34"/>
              <w:jc w:val="right"/>
              <w:rPr>
                <w:rFonts w:eastAsiaTheme="minorEastAsia"/>
                <w:sz w:val="16"/>
                <w:szCs w:val="16"/>
                <w:lang w:eastAsia="en-US"/>
              </w:rPr>
            </w:pPr>
          </w:p>
        </w:tc>
        <w:tc>
          <w:tcPr>
            <w:tcW w:w="0" w:type="auto"/>
            <w:tcBorders>
              <w:right w:val="single" w:sz="4" w:space="0" w:color="auto"/>
            </w:tcBorders>
            <w:shd w:val="clear" w:color="auto" w:fill="auto"/>
            <w:vAlign w:val="center"/>
          </w:tcPr>
          <w:p w14:paraId="21DB699C" w14:textId="77777777" w:rsidR="007F3FD9" w:rsidRPr="001B7431" w:rsidRDefault="007F3FD9" w:rsidP="007F3FD9">
            <w:pPr>
              <w:spacing w:before="20" w:after="20"/>
              <w:ind w:left="34"/>
              <w:jc w:val="right"/>
              <w:rPr>
                <w:rFonts w:eastAsiaTheme="minorEastAsia"/>
                <w:sz w:val="16"/>
                <w:szCs w:val="16"/>
                <w:lang w:eastAsia="en-US"/>
              </w:rPr>
            </w:pPr>
          </w:p>
        </w:tc>
        <w:tc>
          <w:tcPr>
            <w:tcW w:w="0" w:type="auto"/>
            <w:tcBorders>
              <w:left w:val="single" w:sz="4" w:space="0" w:color="auto"/>
            </w:tcBorders>
            <w:shd w:val="clear" w:color="auto" w:fill="auto"/>
            <w:vAlign w:val="center"/>
          </w:tcPr>
          <w:p w14:paraId="796F5AA3" w14:textId="77777777" w:rsidR="007F3FD9" w:rsidRPr="001B7431" w:rsidRDefault="007F3FD9" w:rsidP="007F3FD9">
            <w:pPr>
              <w:spacing w:before="20" w:after="20"/>
              <w:ind w:left="34"/>
              <w:jc w:val="right"/>
              <w:rPr>
                <w:rFonts w:eastAsiaTheme="minorEastAsia"/>
                <w:sz w:val="16"/>
                <w:szCs w:val="16"/>
                <w:lang w:eastAsia="en-US"/>
              </w:rPr>
            </w:pPr>
          </w:p>
        </w:tc>
        <w:tc>
          <w:tcPr>
            <w:tcW w:w="0" w:type="auto"/>
            <w:shd w:val="clear" w:color="auto" w:fill="auto"/>
            <w:vAlign w:val="center"/>
          </w:tcPr>
          <w:p w14:paraId="3FF51EAB" w14:textId="77777777" w:rsidR="007F3FD9" w:rsidRPr="001B7431" w:rsidRDefault="007F3FD9" w:rsidP="007F3FD9">
            <w:pPr>
              <w:spacing w:before="20" w:after="20"/>
              <w:ind w:left="34"/>
              <w:jc w:val="right"/>
              <w:rPr>
                <w:rFonts w:eastAsiaTheme="minorEastAsia"/>
                <w:sz w:val="16"/>
                <w:szCs w:val="16"/>
                <w:lang w:eastAsia="en-US"/>
              </w:rPr>
            </w:pPr>
          </w:p>
        </w:tc>
        <w:tc>
          <w:tcPr>
            <w:tcW w:w="0" w:type="auto"/>
            <w:tcBorders>
              <w:right w:val="single" w:sz="4" w:space="0" w:color="auto"/>
            </w:tcBorders>
            <w:shd w:val="clear" w:color="auto" w:fill="auto"/>
            <w:vAlign w:val="center"/>
          </w:tcPr>
          <w:p w14:paraId="39A65EE9" w14:textId="77777777" w:rsidR="007F3FD9" w:rsidRPr="001B7431" w:rsidRDefault="007F3FD9" w:rsidP="007F3FD9">
            <w:pPr>
              <w:spacing w:before="20" w:after="20"/>
              <w:ind w:left="34"/>
              <w:jc w:val="right"/>
              <w:rPr>
                <w:rFonts w:eastAsiaTheme="minorEastAsia"/>
                <w:sz w:val="16"/>
                <w:szCs w:val="16"/>
                <w:lang w:eastAsia="en-US"/>
              </w:rPr>
            </w:pPr>
          </w:p>
        </w:tc>
        <w:tc>
          <w:tcPr>
            <w:tcW w:w="0" w:type="auto"/>
            <w:tcBorders>
              <w:left w:val="single" w:sz="4" w:space="0" w:color="auto"/>
            </w:tcBorders>
            <w:shd w:val="clear" w:color="auto" w:fill="auto"/>
            <w:vAlign w:val="center"/>
          </w:tcPr>
          <w:p w14:paraId="3E93F3DA" w14:textId="77777777" w:rsidR="007F3FD9" w:rsidRPr="001B7431" w:rsidRDefault="007F3FD9" w:rsidP="007F3FD9">
            <w:pPr>
              <w:spacing w:before="20" w:after="20"/>
              <w:ind w:left="34"/>
              <w:jc w:val="right"/>
              <w:rPr>
                <w:rFonts w:eastAsiaTheme="minorEastAsia"/>
                <w:sz w:val="16"/>
                <w:szCs w:val="16"/>
                <w:lang w:eastAsia="en-US"/>
              </w:rPr>
            </w:pPr>
          </w:p>
        </w:tc>
        <w:tc>
          <w:tcPr>
            <w:tcW w:w="0" w:type="auto"/>
            <w:shd w:val="clear" w:color="auto" w:fill="auto"/>
            <w:vAlign w:val="center"/>
          </w:tcPr>
          <w:p w14:paraId="4CFEB88D" w14:textId="77777777" w:rsidR="007F3FD9" w:rsidRPr="001B7431" w:rsidRDefault="007F3FD9" w:rsidP="007F3FD9">
            <w:pPr>
              <w:spacing w:before="20" w:after="20"/>
              <w:ind w:left="34"/>
              <w:jc w:val="right"/>
              <w:rPr>
                <w:rFonts w:eastAsiaTheme="minorEastAsia"/>
                <w:sz w:val="16"/>
                <w:szCs w:val="16"/>
                <w:lang w:eastAsia="en-US"/>
              </w:rPr>
            </w:pPr>
          </w:p>
        </w:tc>
        <w:tc>
          <w:tcPr>
            <w:tcW w:w="0" w:type="auto"/>
            <w:tcBorders>
              <w:right w:val="single" w:sz="4" w:space="0" w:color="auto"/>
            </w:tcBorders>
            <w:shd w:val="clear" w:color="auto" w:fill="auto"/>
            <w:vAlign w:val="center"/>
          </w:tcPr>
          <w:p w14:paraId="62FAE890" w14:textId="77777777" w:rsidR="007F3FD9" w:rsidRPr="001B7431" w:rsidRDefault="007F3FD9" w:rsidP="007F3FD9">
            <w:pPr>
              <w:spacing w:before="20" w:after="20"/>
              <w:ind w:left="34"/>
              <w:jc w:val="right"/>
              <w:rPr>
                <w:rFonts w:eastAsiaTheme="minorEastAsia"/>
                <w:sz w:val="16"/>
                <w:szCs w:val="16"/>
                <w:lang w:eastAsia="en-US"/>
              </w:rPr>
            </w:pPr>
          </w:p>
        </w:tc>
        <w:tc>
          <w:tcPr>
            <w:tcW w:w="0" w:type="auto"/>
            <w:tcBorders>
              <w:left w:val="single" w:sz="4" w:space="0" w:color="auto"/>
            </w:tcBorders>
            <w:shd w:val="clear" w:color="auto" w:fill="auto"/>
            <w:vAlign w:val="center"/>
          </w:tcPr>
          <w:p w14:paraId="4EB8D95E" w14:textId="77777777" w:rsidR="007F3FD9" w:rsidRPr="001B7431" w:rsidRDefault="007F3FD9" w:rsidP="007F3FD9">
            <w:pPr>
              <w:spacing w:before="20" w:after="20"/>
              <w:ind w:left="34"/>
              <w:jc w:val="right"/>
              <w:rPr>
                <w:rFonts w:eastAsiaTheme="minorEastAsia"/>
                <w:sz w:val="16"/>
                <w:szCs w:val="16"/>
                <w:lang w:eastAsia="en-US"/>
              </w:rPr>
            </w:pPr>
          </w:p>
        </w:tc>
        <w:tc>
          <w:tcPr>
            <w:tcW w:w="0" w:type="auto"/>
            <w:shd w:val="clear" w:color="auto" w:fill="auto"/>
            <w:vAlign w:val="center"/>
          </w:tcPr>
          <w:p w14:paraId="2477CB0F" w14:textId="77777777" w:rsidR="007F3FD9" w:rsidRPr="001B7431" w:rsidRDefault="007F3FD9" w:rsidP="007F3FD9">
            <w:pPr>
              <w:spacing w:before="20" w:after="20"/>
              <w:ind w:left="34"/>
              <w:jc w:val="right"/>
              <w:rPr>
                <w:rFonts w:eastAsiaTheme="minorEastAsia"/>
                <w:sz w:val="16"/>
                <w:szCs w:val="16"/>
                <w:lang w:eastAsia="en-US"/>
              </w:rPr>
            </w:pPr>
          </w:p>
        </w:tc>
        <w:tc>
          <w:tcPr>
            <w:tcW w:w="0" w:type="auto"/>
            <w:shd w:val="clear" w:color="auto" w:fill="auto"/>
            <w:vAlign w:val="center"/>
          </w:tcPr>
          <w:p w14:paraId="22B5C51C" w14:textId="77777777" w:rsidR="007F3FD9" w:rsidRPr="001B7431" w:rsidRDefault="007F3FD9" w:rsidP="007F3FD9">
            <w:pPr>
              <w:spacing w:before="20" w:after="20"/>
              <w:ind w:left="34"/>
              <w:jc w:val="right"/>
              <w:rPr>
                <w:rFonts w:eastAsiaTheme="minorEastAsia"/>
                <w:sz w:val="16"/>
                <w:szCs w:val="16"/>
                <w:lang w:eastAsia="en-US"/>
              </w:rPr>
            </w:pPr>
          </w:p>
        </w:tc>
      </w:tr>
      <w:tr w:rsidR="00221FB6" w:rsidRPr="007B4EF8" w14:paraId="32E7ADDB" w14:textId="77777777" w:rsidTr="00826105">
        <w:trPr>
          <w:jc w:val="center"/>
        </w:trPr>
        <w:tc>
          <w:tcPr>
            <w:tcW w:w="0" w:type="auto"/>
            <w:shd w:val="clear" w:color="auto" w:fill="auto"/>
          </w:tcPr>
          <w:p w14:paraId="62161CF7" w14:textId="77777777" w:rsidR="00221FB6" w:rsidRDefault="00221FB6" w:rsidP="00221FB6">
            <w:pPr>
              <w:spacing w:before="20" w:after="20"/>
              <w:ind w:left="34"/>
              <w:rPr>
                <w:rFonts w:eastAsiaTheme="minorEastAsia"/>
                <w:sz w:val="16"/>
                <w:szCs w:val="16"/>
                <w:lang w:eastAsia="en-US"/>
              </w:rPr>
            </w:pPr>
            <w:r>
              <w:rPr>
                <w:rFonts w:eastAsiaTheme="minorEastAsia"/>
                <w:sz w:val="16"/>
                <w:szCs w:val="16"/>
                <w:lang w:eastAsia="en-US"/>
              </w:rPr>
              <w:t>Employed</w:t>
            </w:r>
          </w:p>
        </w:tc>
        <w:tc>
          <w:tcPr>
            <w:tcW w:w="0" w:type="auto"/>
            <w:shd w:val="clear" w:color="auto" w:fill="auto"/>
          </w:tcPr>
          <w:p w14:paraId="05621124"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0" w:type="auto"/>
            <w:shd w:val="clear" w:color="auto" w:fill="auto"/>
            <w:vAlign w:val="center"/>
          </w:tcPr>
          <w:p w14:paraId="1E384AA7" w14:textId="77777777" w:rsidR="00221FB6" w:rsidRDefault="00221FB6" w:rsidP="00221FB6">
            <w:pPr>
              <w:jc w:val="right"/>
              <w:rPr>
                <w:color w:val="000000"/>
                <w:sz w:val="16"/>
                <w:szCs w:val="16"/>
                <w:lang w:eastAsia="en-NZ"/>
              </w:rPr>
            </w:pPr>
            <w:r>
              <w:rPr>
                <w:color w:val="000000"/>
                <w:sz w:val="16"/>
                <w:szCs w:val="16"/>
              </w:rPr>
              <w:t>3019</w:t>
            </w:r>
          </w:p>
        </w:tc>
        <w:tc>
          <w:tcPr>
            <w:tcW w:w="0" w:type="auto"/>
            <w:shd w:val="clear" w:color="auto" w:fill="auto"/>
            <w:vAlign w:val="center"/>
          </w:tcPr>
          <w:p w14:paraId="7094A176" w14:textId="77777777" w:rsidR="00221FB6" w:rsidRDefault="00221FB6" w:rsidP="00221FB6">
            <w:pPr>
              <w:jc w:val="right"/>
              <w:rPr>
                <w:color w:val="000000"/>
                <w:sz w:val="16"/>
                <w:szCs w:val="16"/>
              </w:rPr>
            </w:pPr>
            <w:r>
              <w:rPr>
                <w:color w:val="000000"/>
                <w:sz w:val="16"/>
                <w:szCs w:val="16"/>
              </w:rPr>
              <w:t>75.4</w:t>
            </w:r>
          </w:p>
        </w:tc>
        <w:tc>
          <w:tcPr>
            <w:tcW w:w="0" w:type="auto"/>
            <w:tcBorders>
              <w:right w:val="single" w:sz="4" w:space="0" w:color="auto"/>
            </w:tcBorders>
            <w:shd w:val="clear" w:color="auto" w:fill="auto"/>
            <w:vAlign w:val="center"/>
          </w:tcPr>
          <w:p w14:paraId="11031FEF" w14:textId="77777777" w:rsidR="00221FB6" w:rsidRDefault="00221FB6" w:rsidP="00221FB6">
            <w:pPr>
              <w:jc w:val="right"/>
              <w:rPr>
                <w:color w:val="000000"/>
                <w:sz w:val="16"/>
                <w:szCs w:val="16"/>
              </w:rPr>
            </w:pPr>
            <w:r>
              <w:rPr>
                <w:color w:val="000000"/>
                <w:sz w:val="16"/>
                <w:szCs w:val="16"/>
              </w:rPr>
              <w:t>(73.8, 77</w:t>
            </w:r>
            <w:r w:rsidR="00454B56">
              <w:rPr>
                <w:color w:val="000000"/>
                <w:sz w:val="16"/>
                <w:szCs w:val="16"/>
              </w:rPr>
              <w:t>.0</w:t>
            </w:r>
            <w:r>
              <w:rPr>
                <w:color w:val="000000"/>
                <w:sz w:val="16"/>
                <w:szCs w:val="16"/>
              </w:rPr>
              <w:t>)</w:t>
            </w:r>
          </w:p>
        </w:tc>
        <w:tc>
          <w:tcPr>
            <w:tcW w:w="0" w:type="auto"/>
            <w:tcBorders>
              <w:left w:val="single" w:sz="4" w:space="0" w:color="auto"/>
            </w:tcBorders>
            <w:shd w:val="clear" w:color="auto" w:fill="auto"/>
            <w:vAlign w:val="center"/>
          </w:tcPr>
          <w:p w14:paraId="3FECD53D" w14:textId="77777777" w:rsidR="00221FB6" w:rsidRDefault="00221FB6" w:rsidP="00221FB6">
            <w:pPr>
              <w:jc w:val="right"/>
              <w:rPr>
                <w:color w:val="000000"/>
                <w:sz w:val="16"/>
                <w:szCs w:val="16"/>
              </w:rPr>
            </w:pPr>
            <w:r>
              <w:rPr>
                <w:color w:val="000000"/>
                <w:sz w:val="16"/>
                <w:szCs w:val="16"/>
              </w:rPr>
              <w:t>1787</w:t>
            </w:r>
          </w:p>
        </w:tc>
        <w:tc>
          <w:tcPr>
            <w:tcW w:w="0" w:type="auto"/>
            <w:shd w:val="clear" w:color="auto" w:fill="auto"/>
            <w:vAlign w:val="center"/>
          </w:tcPr>
          <w:p w14:paraId="7BBD4E96" w14:textId="77777777" w:rsidR="00221FB6" w:rsidRDefault="00221FB6" w:rsidP="00221FB6">
            <w:pPr>
              <w:jc w:val="right"/>
              <w:rPr>
                <w:color w:val="000000"/>
                <w:sz w:val="16"/>
                <w:szCs w:val="16"/>
              </w:rPr>
            </w:pPr>
            <w:r>
              <w:rPr>
                <w:color w:val="000000"/>
                <w:sz w:val="16"/>
                <w:szCs w:val="16"/>
              </w:rPr>
              <w:t>72.3</w:t>
            </w:r>
          </w:p>
        </w:tc>
        <w:tc>
          <w:tcPr>
            <w:tcW w:w="0" w:type="auto"/>
            <w:tcBorders>
              <w:right w:val="single" w:sz="4" w:space="0" w:color="auto"/>
            </w:tcBorders>
            <w:shd w:val="clear" w:color="auto" w:fill="auto"/>
            <w:vAlign w:val="center"/>
          </w:tcPr>
          <w:p w14:paraId="287CD0FF" w14:textId="77777777" w:rsidR="00221FB6" w:rsidRDefault="00221FB6" w:rsidP="00221FB6">
            <w:pPr>
              <w:jc w:val="right"/>
              <w:rPr>
                <w:color w:val="000000"/>
                <w:sz w:val="16"/>
                <w:szCs w:val="16"/>
              </w:rPr>
            </w:pPr>
            <w:r>
              <w:rPr>
                <w:color w:val="000000"/>
                <w:sz w:val="16"/>
                <w:szCs w:val="16"/>
              </w:rPr>
              <w:t>(70.1, 74.5)</w:t>
            </w:r>
          </w:p>
        </w:tc>
        <w:tc>
          <w:tcPr>
            <w:tcW w:w="0" w:type="auto"/>
            <w:tcBorders>
              <w:left w:val="single" w:sz="4" w:space="0" w:color="auto"/>
            </w:tcBorders>
            <w:shd w:val="clear" w:color="auto" w:fill="auto"/>
            <w:vAlign w:val="center"/>
          </w:tcPr>
          <w:p w14:paraId="576A8DE4" w14:textId="77777777" w:rsidR="00221FB6" w:rsidRDefault="00221FB6" w:rsidP="00221FB6">
            <w:pPr>
              <w:jc w:val="right"/>
              <w:rPr>
                <w:color w:val="000000"/>
                <w:sz w:val="16"/>
                <w:szCs w:val="16"/>
              </w:rPr>
            </w:pPr>
            <w:r>
              <w:rPr>
                <w:color w:val="000000"/>
                <w:sz w:val="16"/>
                <w:szCs w:val="16"/>
              </w:rPr>
              <w:t>1521</w:t>
            </w:r>
          </w:p>
        </w:tc>
        <w:tc>
          <w:tcPr>
            <w:tcW w:w="0" w:type="auto"/>
            <w:shd w:val="clear" w:color="auto" w:fill="auto"/>
            <w:vAlign w:val="center"/>
          </w:tcPr>
          <w:p w14:paraId="2DD25A11" w14:textId="77777777" w:rsidR="00221FB6" w:rsidRDefault="00221FB6" w:rsidP="00221FB6">
            <w:pPr>
              <w:jc w:val="right"/>
              <w:rPr>
                <w:color w:val="000000"/>
                <w:sz w:val="16"/>
                <w:szCs w:val="16"/>
              </w:rPr>
            </w:pPr>
            <w:r>
              <w:rPr>
                <w:color w:val="000000"/>
                <w:sz w:val="16"/>
                <w:szCs w:val="16"/>
              </w:rPr>
              <w:t>73.1</w:t>
            </w:r>
          </w:p>
        </w:tc>
        <w:tc>
          <w:tcPr>
            <w:tcW w:w="0" w:type="auto"/>
            <w:tcBorders>
              <w:right w:val="single" w:sz="4" w:space="0" w:color="auto"/>
            </w:tcBorders>
            <w:shd w:val="clear" w:color="auto" w:fill="auto"/>
            <w:vAlign w:val="center"/>
          </w:tcPr>
          <w:p w14:paraId="79D609C6" w14:textId="77777777" w:rsidR="00221FB6" w:rsidRDefault="00221FB6" w:rsidP="00221FB6">
            <w:pPr>
              <w:jc w:val="right"/>
              <w:rPr>
                <w:color w:val="000000"/>
                <w:sz w:val="16"/>
                <w:szCs w:val="16"/>
              </w:rPr>
            </w:pPr>
            <w:r>
              <w:rPr>
                <w:color w:val="000000"/>
                <w:sz w:val="16"/>
                <w:szCs w:val="16"/>
              </w:rPr>
              <w:t>(70.6, 75.7)</w:t>
            </w:r>
          </w:p>
        </w:tc>
        <w:tc>
          <w:tcPr>
            <w:tcW w:w="0" w:type="auto"/>
            <w:tcBorders>
              <w:left w:val="single" w:sz="4" w:space="0" w:color="auto"/>
            </w:tcBorders>
            <w:shd w:val="clear" w:color="auto" w:fill="auto"/>
            <w:vAlign w:val="center"/>
          </w:tcPr>
          <w:p w14:paraId="2341FBB3" w14:textId="77777777" w:rsidR="00221FB6" w:rsidRDefault="00221FB6" w:rsidP="00221FB6">
            <w:pPr>
              <w:jc w:val="right"/>
              <w:rPr>
                <w:color w:val="000000"/>
                <w:sz w:val="16"/>
                <w:szCs w:val="16"/>
              </w:rPr>
            </w:pPr>
            <w:r>
              <w:rPr>
                <w:color w:val="000000"/>
                <w:sz w:val="16"/>
                <w:szCs w:val="16"/>
              </w:rPr>
              <w:t>1307</w:t>
            </w:r>
          </w:p>
        </w:tc>
        <w:tc>
          <w:tcPr>
            <w:tcW w:w="0" w:type="auto"/>
            <w:shd w:val="clear" w:color="auto" w:fill="auto"/>
            <w:vAlign w:val="center"/>
          </w:tcPr>
          <w:p w14:paraId="3561C4CA" w14:textId="77777777" w:rsidR="00221FB6" w:rsidRDefault="00221FB6" w:rsidP="00221FB6">
            <w:pPr>
              <w:jc w:val="right"/>
              <w:rPr>
                <w:color w:val="000000"/>
                <w:sz w:val="16"/>
                <w:szCs w:val="16"/>
              </w:rPr>
            </w:pPr>
            <w:r>
              <w:rPr>
                <w:color w:val="000000"/>
                <w:sz w:val="16"/>
                <w:szCs w:val="16"/>
              </w:rPr>
              <w:t>70.9</w:t>
            </w:r>
          </w:p>
        </w:tc>
        <w:tc>
          <w:tcPr>
            <w:tcW w:w="0" w:type="auto"/>
            <w:shd w:val="clear" w:color="auto" w:fill="auto"/>
            <w:vAlign w:val="center"/>
          </w:tcPr>
          <w:p w14:paraId="02C74D28" w14:textId="77777777" w:rsidR="00221FB6" w:rsidRDefault="00221FB6" w:rsidP="00221FB6">
            <w:pPr>
              <w:jc w:val="right"/>
              <w:rPr>
                <w:color w:val="000000"/>
                <w:sz w:val="16"/>
                <w:szCs w:val="16"/>
              </w:rPr>
            </w:pPr>
            <w:r>
              <w:rPr>
                <w:color w:val="000000"/>
                <w:sz w:val="16"/>
                <w:szCs w:val="16"/>
              </w:rPr>
              <w:t>(68</w:t>
            </w:r>
            <w:r w:rsidR="00454B56">
              <w:rPr>
                <w:color w:val="000000"/>
                <w:sz w:val="16"/>
                <w:szCs w:val="16"/>
              </w:rPr>
              <w:t>.0</w:t>
            </w:r>
            <w:r>
              <w:rPr>
                <w:color w:val="000000"/>
                <w:sz w:val="16"/>
                <w:szCs w:val="16"/>
              </w:rPr>
              <w:t>, 73.7)</w:t>
            </w:r>
          </w:p>
        </w:tc>
      </w:tr>
      <w:tr w:rsidR="00221FB6" w:rsidRPr="007B4EF8" w14:paraId="2F6C1871" w14:textId="77777777" w:rsidTr="00826105">
        <w:trPr>
          <w:jc w:val="center"/>
        </w:trPr>
        <w:tc>
          <w:tcPr>
            <w:tcW w:w="0" w:type="auto"/>
            <w:shd w:val="clear" w:color="auto" w:fill="auto"/>
          </w:tcPr>
          <w:p w14:paraId="7D05787C" w14:textId="77777777" w:rsidR="00221FB6" w:rsidRDefault="00221FB6" w:rsidP="00221FB6">
            <w:pPr>
              <w:spacing w:before="20" w:after="20"/>
              <w:ind w:left="34"/>
              <w:rPr>
                <w:rFonts w:eastAsiaTheme="minorEastAsia"/>
                <w:sz w:val="16"/>
                <w:szCs w:val="16"/>
                <w:lang w:eastAsia="en-US"/>
              </w:rPr>
            </w:pPr>
          </w:p>
        </w:tc>
        <w:tc>
          <w:tcPr>
            <w:tcW w:w="0" w:type="auto"/>
            <w:shd w:val="clear" w:color="auto" w:fill="auto"/>
          </w:tcPr>
          <w:p w14:paraId="55EC1A4B"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Low-risk gambler</w:t>
            </w:r>
          </w:p>
        </w:tc>
        <w:tc>
          <w:tcPr>
            <w:tcW w:w="0" w:type="auto"/>
            <w:shd w:val="clear" w:color="auto" w:fill="auto"/>
            <w:vAlign w:val="center"/>
          </w:tcPr>
          <w:p w14:paraId="5DB982CA" w14:textId="77777777" w:rsidR="00221FB6" w:rsidRDefault="00221FB6" w:rsidP="00221FB6">
            <w:pPr>
              <w:jc w:val="right"/>
              <w:rPr>
                <w:color w:val="000000"/>
                <w:sz w:val="16"/>
                <w:szCs w:val="16"/>
              </w:rPr>
            </w:pPr>
            <w:r>
              <w:rPr>
                <w:color w:val="000000"/>
                <w:sz w:val="16"/>
                <w:szCs w:val="16"/>
              </w:rPr>
              <w:t>196</w:t>
            </w:r>
          </w:p>
        </w:tc>
        <w:tc>
          <w:tcPr>
            <w:tcW w:w="0" w:type="auto"/>
            <w:shd w:val="clear" w:color="auto" w:fill="auto"/>
            <w:vAlign w:val="center"/>
          </w:tcPr>
          <w:p w14:paraId="30DB6D87" w14:textId="77777777" w:rsidR="00221FB6" w:rsidRDefault="00221FB6" w:rsidP="00221FB6">
            <w:pPr>
              <w:jc w:val="right"/>
              <w:rPr>
                <w:color w:val="000000"/>
                <w:sz w:val="16"/>
                <w:szCs w:val="16"/>
              </w:rPr>
            </w:pPr>
            <w:r>
              <w:rPr>
                <w:color w:val="000000"/>
                <w:sz w:val="16"/>
                <w:szCs w:val="16"/>
              </w:rPr>
              <w:t>4.9</w:t>
            </w:r>
          </w:p>
        </w:tc>
        <w:tc>
          <w:tcPr>
            <w:tcW w:w="0" w:type="auto"/>
            <w:tcBorders>
              <w:right w:val="single" w:sz="4" w:space="0" w:color="auto"/>
            </w:tcBorders>
            <w:shd w:val="clear" w:color="auto" w:fill="auto"/>
            <w:vAlign w:val="center"/>
          </w:tcPr>
          <w:p w14:paraId="6D05AE54" w14:textId="77777777" w:rsidR="00221FB6" w:rsidRDefault="00221FB6" w:rsidP="00221FB6">
            <w:pPr>
              <w:jc w:val="right"/>
              <w:rPr>
                <w:color w:val="000000"/>
                <w:sz w:val="16"/>
                <w:szCs w:val="16"/>
              </w:rPr>
            </w:pPr>
            <w:r>
              <w:rPr>
                <w:color w:val="000000"/>
                <w:sz w:val="16"/>
                <w:szCs w:val="16"/>
              </w:rPr>
              <w:t>(4.1, 5.7)</w:t>
            </w:r>
          </w:p>
        </w:tc>
        <w:tc>
          <w:tcPr>
            <w:tcW w:w="0" w:type="auto"/>
            <w:tcBorders>
              <w:left w:val="single" w:sz="4" w:space="0" w:color="auto"/>
            </w:tcBorders>
            <w:shd w:val="clear" w:color="auto" w:fill="auto"/>
            <w:vAlign w:val="center"/>
          </w:tcPr>
          <w:p w14:paraId="0DFDC800" w14:textId="77777777" w:rsidR="00221FB6" w:rsidRDefault="00221FB6" w:rsidP="00221FB6">
            <w:pPr>
              <w:jc w:val="right"/>
              <w:rPr>
                <w:color w:val="000000"/>
                <w:sz w:val="16"/>
                <w:szCs w:val="16"/>
              </w:rPr>
            </w:pPr>
            <w:r>
              <w:rPr>
                <w:color w:val="000000"/>
                <w:sz w:val="16"/>
                <w:szCs w:val="16"/>
              </w:rPr>
              <w:t>132</w:t>
            </w:r>
          </w:p>
        </w:tc>
        <w:tc>
          <w:tcPr>
            <w:tcW w:w="0" w:type="auto"/>
            <w:shd w:val="clear" w:color="auto" w:fill="auto"/>
            <w:vAlign w:val="center"/>
          </w:tcPr>
          <w:p w14:paraId="5BEE68A9" w14:textId="77777777" w:rsidR="00221FB6" w:rsidRDefault="00221FB6" w:rsidP="00221FB6">
            <w:pPr>
              <w:jc w:val="right"/>
              <w:rPr>
                <w:color w:val="000000"/>
                <w:sz w:val="16"/>
                <w:szCs w:val="16"/>
              </w:rPr>
            </w:pPr>
            <w:r>
              <w:rPr>
                <w:color w:val="000000"/>
                <w:sz w:val="16"/>
                <w:szCs w:val="16"/>
              </w:rPr>
              <w:t>5.3</w:t>
            </w:r>
          </w:p>
        </w:tc>
        <w:tc>
          <w:tcPr>
            <w:tcW w:w="0" w:type="auto"/>
            <w:tcBorders>
              <w:right w:val="single" w:sz="4" w:space="0" w:color="auto"/>
            </w:tcBorders>
            <w:shd w:val="clear" w:color="auto" w:fill="auto"/>
            <w:vAlign w:val="center"/>
          </w:tcPr>
          <w:p w14:paraId="6432123B" w14:textId="77777777" w:rsidR="00221FB6" w:rsidRDefault="00221FB6" w:rsidP="00221FB6">
            <w:pPr>
              <w:jc w:val="right"/>
              <w:rPr>
                <w:color w:val="000000"/>
                <w:sz w:val="16"/>
                <w:szCs w:val="16"/>
              </w:rPr>
            </w:pPr>
            <w:r>
              <w:rPr>
                <w:color w:val="000000"/>
                <w:sz w:val="16"/>
                <w:szCs w:val="16"/>
              </w:rPr>
              <w:t>(4.3, 6.4)</w:t>
            </w:r>
          </w:p>
        </w:tc>
        <w:tc>
          <w:tcPr>
            <w:tcW w:w="0" w:type="auto"/>
            <w:tcBorders>
              <w:left w:val="single" w:sz="4" w:space="0" w:color="auto"/>
            </w:tcBorders>
            <w:shd w:val="clear" w:color="auto" w:fill="auto"/>
            <w:vAlign w:val="center"/>
          </w:tcPr>
          <w:p w14:paraId="6FF23E6B" w14:textId="77777777" w:rsidR="00221FB6" w:rsidRDefault="00221FB6" w:rsidP="00221FB6">
            <w:pPr>
              <w:jc w:val="right"/>
              <w:rPr>
                <w:color w:val="000000"/>
                <w:sz w:val="16"/>
                <w:szCs w:val="16"/>
              </w:rPr>
            </w:pPr>
            <w:r>
              <w:rPr>
                <w:color w:val="000000"/>
                <w:sz w:val="16"/>
                <w:szCs w:val="16"/>
              </w:rPr>
              <w:t>109</w:t>
            </w:r>
          </w:p>
        </w:tc>
        <w:tc>
          <w:tcPr>
            <w:tcW w:w="0" w:type="auto"/>
            <w:shd w:val="clear" w:color="auto" w:fill="auto"/>
            <w:vAlign w:val="center"/>
          </w:tcPr>
          <w:p w14:paraId="3B5178AC" w14:textId="77777777" w:rsidR="00221FB6" w:rsidRDefault="00221FB6" w:rsidP="00221FB6">
            <w:pPr>
              <w:jc w:val="right"/>
              <w:rPr>
                <w:color w:val="000000"/>
                <w:sz w:val="16"/>
                <w:szCs w:val="16"/>
              </w:rPr>
            </w:pPr>
            <w:r>
              <w:rPr>
                <w:color w:val="000000"/>
                <w:sz w:val="16"/>
                <w:szCs w:val="16"/>
              </w:rPr>
              <w:t>5.2</w:t>
            </w:r>
          </w:p>
        </w:tc>
        <w:tc>
          <w:tcPr>
            <w:tcW w:w="0" w:type="auto"/>
            <w:tcBorders>
              <w:right w:val="single" w:sz="4" w:space="0" w:color="auto"/>
            </w:tcBorders>
            <w:shd w:val="clear" w:color="auto" w:fill="auto"/>
            <w:vAlign w:val="center"/>
          </w:tcPr>
          <w:p w14:paraId="3F8F243E" w14:textId="77777777" w:rsidR="00221FB6" w:rsidRDefault="00221FB6" w:rsidP="00221FB6">
            <w:pPr>
              <w:jc w:val="right"/>
              <w:rPr>
                <w:color w:val="000000"/>
                <w:sz w:val="16"/>
                <w:szCs w:val="16"/>
              </w:rPr>
            </w:pPr>
            <w:r>
              <w:rPr>
                <w:color w:val="000000"/>
                <w:sz w:val="16"/>
                <w:szCs w:val="16"/>
              </w:rPr>
              <w:t>(4.1, 6.4)</w:t>
            </w:r>
          </w:p>
        </w:tc>
        <w:tc>
          <w:tcPr>
            <w:tcW w:w="0" w:type="auto"/>
            <w:tcBorders>
              <w:left w:val="single" w:sz="4" w:space="0" w:color="auto"/>
            </w:tcBorders>
            <w:shd w:val="clear" w:color="auto" w:fill="auto"/>
            <w:vAlign w:val="center"/>
          </w:tcPr>
          <w:p w14:paraId="716E3C7B" w14:textId="77777777" w:rsidR="00221FB6" w:rsidRDefault="00221FB6" w:rsidP="00221FB6">
            <w:pPr>
              <w:jc w:val="right"/>
              <w:rPr>
                <w:color w:val="000000"/>
                <w:sz w:val="16"/>
                <w:szCs w:val="16"/>
              </w:rPr>
            </w:pPr>
            <w:r>
              <w:rPr>
                <w:color w:val="000000"/>
                <w:sz w:val="16"/>
                <w:szCs w:val="16"/>
              </w:rPr>
              <w:t>88</w:t>
            </w:r>
          </w:p>
        </w:tc>
        <w:tc>
          <w:tcPr>
            <w:tcW w:w="0" w:type="auto"/>
            <w:shd w:val="clear" w:color="auto" w:fill="auto"/>
            <w:vAlign w:val="center"/>
          </w:tcPr>
          <w:p w14:paraId="2D133258" w14:textId="77777777" w:rsidR="00221FB6" w:rsidRDefault="00221FB6" w:rsidP="00221FB6">
            <w:pPr>
              <w:jc w:val="right"/>
              <w:rPr>
                <w:color w:val="000000"/>
                <w:sz w:val="16"/>
                <w:szCs w:val="16"/>
              </w:rPr>
            </w:pPr>
            <w:r>
              <w:rPr>
                <w:color w:val="000000"/>
                <w:sz w:val="16"/>
                <w:szCs w:val="16"/>
              </w:rPr>
              <w:t>4.7</w:t>
            </w:r>
          </w:p>
        </w:tc>
        <w:tc>
          <w:tcPr>
            <w:tcW w:w="0" w:type="auto"/>
            <w:shd w:val="clear" w:color="auto" w:fill="auto"/>
            <w:vAlign w:val="center"/>
          </w:tcPr>
          <w:p w14:paraId="547F36F4" w14:textId="77777777" w:rsidR="00221FB6" w:rsidRDefault="00221FB6" w:rsidP="00221FB6">
            <w:pPr>
              <w:jc w:val="right"/>
              <w:rPr>
                <w:color w:val="000000"/>
                <w:sz w:val="16"/>
                <w:szCs w:val="16"/>
              </w:rPr>
            </w:pPr>
            <w:r>
              <w:rPr>
                <w:color w:val="000000"/>
                <w:sz w:val="16"/>
                <w:szCs w:val="16"/>
              </w:rPr>
              <w:t>(3.6, 5.9)</w:t>
            </w:r>
          </w:p>
        </w:tc>
      </w:tr>
      <w:tr w:rsidR="00221FB6" w:rsidRPr="007B4EF8" w14:paraId="4BF15A01" w14:textId="77777777" w:rsidTr="00826105">
        <w:trPr>
          <w:jc w:val="center"/>
        </w:trPr>
        <w:tc>
          <w:tcPr>
            <w:tcW w:w="0" w:type="auto"/>
            <w:shd w:val="clear" w:color="auto" w:fill="auto"/>
          </w:tcPr>
          <w:p w14:paraId="60F26CCF" w14:textId="77777777" w:rsidR="00221FB6" w:rsidRDefault="00221FB6" w:rsidP="00221FB6">
            <w:pPr>
              <w:spacing w:before="20" w:after="20"/>
              <w:ind w:left="34"/>
              <w:rPr>
                <w:rFonts w:eastAsiaTheme="minorEastAsia"/>
                <w:sz w:val="16"/>
                <w:szCs w:val="16"/>
                <w:lang w:eastAsia="en-US"/>
              </w:rPr>
            </w:pPr>
          </w:p>
        </w:tc>
        <w:tc>
          <w:tcPr>
            <w:tcW w:w="0" w:type="auto"/>
            <w:shd w:val="clear" w:color="auto" w:fill="auto"/>
          </w:tcPr>
          <w:p w14:paraId="4F451F29"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0" w:type="auto"/>
            <w:shd w:val="clear" w:color="auto" w:fill="auto"/>
            <w:vAlign w:val="center"/>
          </w:tcPr>
          <w:p w14:paraId="29C93932" w14:textId="77777777" w:rsidR="00221FB6" w:rsidRDefault="00221FB6" w:rsidP="00221FB6">
            <w:pPr>
              <w:jc w:val="right"/>
              <w:rPr>
                <w:color w:val="000000"/>
                <w:sz w:val="16"/>
                <w:szCs w:val="16"/>
              </w:rPr>
            </w:pPr>
            <w:r>
              <w:rPr>
                <w:color w:val="000000"/>
                <w:sz w:val="16"/>
                <w:szCs w:val="16"/>
              </w:rPr>
              <w:t>83</w:t>
            </w:r>
          </w:p>
        </w:tc>
        <w:tc>
          <w:tcPr>
            <w:tcW w:w="0" w:type="auto"/>
            <w:shd w:val="clear" w:color="auto" w:fill="auto"/>
            <w:vAlign w:val="center"/>
          </w:tcPr>
          <w:p w14:paraId="27A3E9B7" w14:textId="77777777" w:rsidR="00221FB6" w:rsidRDefault="00221FB6" w:rsidP="00221FB6">
            <w:pPr>
              <w:jc w:val="right"/>
              <w:rPr>
                <w:color w:val="000000"/>
                <w:sz w:val="16"/>
                <w:szCs w:val="16"/>
              </w:rPr>
            </w:pPr>
            <w:r>
              <w:rPr>
                <w:color w:val="000000"/>
                <w:sz w:val="16"/>
                <w:szCs w:val="16"/>
              </w:rPr>
              <w:t>2.1</w:t>
            </w:r>
          </w:p>
        </w:tc>
        <w:tc>
          <w:tcPr>
            <w:tcW w:w="0" w:type="auto"/>
            <w:tcBorders>
              <w:right w:val="single" w:sz="4" w:space="0" w:color="auto"/>
            </w:tcBorders>
            <w:shd w:val="clear" w:color="auto" w:fill="auto"/>
            <w:vAlign w:val="center"/>
          </w:tcPr>
          <w:p w14:paraId="5649CDF2" w14:textId="77777777" w:rsidR="00221FB6" w:rsidRDefault="00221FB6" w:rsidP="00221FB6">
            <w:pPr>
              <w:jc w:val="right"/>
              <w:rPr>
                <w:color w:val="000000"/>
                <w:sz w:val="16"/>
                <w:szCs w:val="16"/>
              </w:rPr>
            </w:pPr>
            <w:r>
              <w:rPr>
                <w:color w:val="000000"/>
                <w:sz w:val="16"/>
                <w:szCs w:val="16"/>
              </w:rPr>
              <w:t>(1.6, 2.5)</w:t>
            </w:r>
          </w:p>
        </w:tc>
        <w:tc>
          <w:tcPr>
            <w:tcW w:w="0" w:type="auto"/>
            <w:tcBorders>
              <w:left w:val="single" w:sz="4" w:space="0" w:color="auto"/>
            </w:tcBorders>
            <w:shd w:val="clear" w:color="auto" w:fill="auto"/>
            <w:vAlign w:val="center"/>
          </w:tcPr>
          <w:p w14:paraId="686EAD28" w14:textId="77777777" w:rsidR="00221FB6" w:rsidRDefault="00221FB6" w:rsidP="00221FB6">
            <w:pPr>
              <w:jc w:val="right"/>
              <w:rPr>
                <w:color w:val="000000"/>
                <w:sz w:val="16"/>
                <w:szCs w:val="16"/>
              </w:rPr>
            </w:pPr>
            <w:r>
              <w:rPr>
                <w:color w:val="000000"/>
                <w:sz w:val="16"/>
                <w:szCs w:val="16"/>
              </w:rPr>
              <w:t>47</w:t>
            </w:r>
          </w:p>
        </w:tc>
        <w:tc>
          <w:tcPr>
            <w:tcW w:w="0" w:type="auto"/>
            <w:shd w:val="clear" w:color="auto" w:fill="auto"/>
            <w:vAlign w:val="center"/>
          </w:tcPr>
          <w:p w14:paraId="78F5B51D" w14:textId="77777777" w:rsidR="00221FB6" w:rsidRDefault="00221FB6" w:rsidP="00221FB6">
            <w:pPr>
              <w:jc w:val="right"/>
              <w:rPr>
                <w:color w:val="000000"/>
                <w:sz w:val="16"/>
                <w:szCs w:val="16"/>
              </w:rPr>
            </w:pPr>
            <w:r>
              <w:rPr>
                <w:color w:val="000000"/>
                <w:sz w:val="16"/>
                <w:szCs w:val="16"/>
              </w:rPr>
              <w:t>1.9</w:t>
            </w:r>
          </w:p>
        </w:tc>
        <w:tc>
          <w:tcPr>
            <w:tcW w:w="0" w:type="auto"/>
            <w:tcBorders>
              <w:right w:val="single" w:sz="4" w:space="0" w:color="auto"/>
            </w:tcBorders>
            <w:shd w:val="clear" w:color="auto" w:fill="auto"/>
            <w:vAlign w:val="center"/>
          </w:tcPr>
          <w:p w14:paraId="053214B9" w14:textId="77777777" w:rsidR="00221FB6" w:rsidRDefault="00221FB6" w:rsidP="00221FB6">
            <w:pPr>
              <w:jc w:val="right"/>
              <w:rPr>
                <w:color w:val="000000"/>
                <w:sz w:val="16"/>
                <w:szCs w:val="16"/>
              </w:rPr>
            </w:pPr>
            <w:r>
              <w:rPr>
                <w:color w:val="000000"/>
                <w:sz w:val="16"/>
                <w:szCs w:val="16"/>
              </w:rPr>
              <w:t>(1.3, 2.5)</w:t>
            </w:r>
          </w:p>
        </w:tc>
        <w:tc>
          <w:tcPr>
            <w:tcW w:w="0" w:type="auto"/>
            <w:tcBorders>
              <w:left w:val="single" w:sz="4" w:space="0" w:color="auto"/>
            </w:tcBorders>
            <w:shd w:val="clear" w:color="auto" w:fill="auto"/>
            <w:vAlign w:val="center"/>
          </w:tcPr>
          <w:p w14:paraId="6D51A1FF" w14:textId="77777777" w:rsidR="00221FB6" w:rsidRDefault="00221FB6" w:rsidP="00221FB6">
            <w:pPr>
              <w:jc w:val="right"/>
              <w:rPr>
                <w:color w:val="000000"/>
                <w:sz w:val="16"/>
                <w:szCs w:val="16"/>
              </w:rPr>
            </w:pPr>
            <w:r>
              <w:rPr>
                <w:color w:val="000000"/>
                <w:sz w:val="16"/>
                <w:szCs w:val="16"/>
              </w:rPr>
              <w:t>33</w:t>
            </w:r>
          </w:p>
        </w:tc>
        <w:tc>
          <w:tcPr>
            <w:tcW w:w="0" w:type="auto"/>
            <w:shd w:val="clear" w:color="auto" w:fill="auto"/>
            <w:vAlign w:val="center"/>
          </w:tcPr>
          <w:p w14:paraId="6FC09497" w14:textId="77777777" w:rsidR="00221FB6" w:rsidRDefault="00221FB6" w:rsidP="00221FB6">
            <w:pPr>
              <w:jc w:val="right"/>
              <w:rPr>
                <w:color w:val="000000"/>
                <w:sz w:val="16"/>
                <w:szCs w:val="16"/>
              </w:rPr>
            </w:pPr>
            <w:r>
              <w:rPr>
                <w:color w:val="000000"/>
                <w:sz w:val="16"/>
                <w:szCs w:val="16"/>
              </w:rPr>
              <w:t>1.6</w:t>
            </w:r>
          </w:p>
        </w:tc>
        <w:tc>
          <w:tcPr>
            <w:tcW w:w="0" w:type="auto"/>
            <w:tcBorders>
              <w:right w:val="single" w:sz="4" w:space="0" w:color="auto"/>
            </w:tcBorders>
            <w:shd w:val="clear" w:color="auto" w:fill="auto"/>
            <w:vAlign w:val="center"/>
          </w:tcPr>
          <w:p w14:paraId="4A1166DB" w14:textId="77777777" w:rsidR="00221FB6" w:rsidRDefault="00221FB6" w:rsidP="00221FB6">
            <w:pPr>
              <w:jc w:val="right"/>
              <w:rPr>
                <w:color w:val="000000"/>
                <w:sz w:val="16"/>
                <w:szCs w:val="16"/>
              </w:rPr>
            </w:pPr>
            <w:r>
              <w:rPr>
                <w:color w:val="000000"/>
                <w:sz w:val="16"/>
                <w:szCs w:val="16"/>
              </w:rPr>
              <w:t>(1.1, 2.1)</w:t>
            </w:r>
          </w:p>
        </w:tc>
        <w:tc>
          <w:tcPr>
            <w:tcW w:w="0" w:type="auto"/>
            <w:tcBorders>
              <w:left w:val="single" w:sz="4" w:space="0" w:color="auto"/>
            </w:tcBorders>
            <w:shd w:val="clear" w:color="auto" w:fill="auto"/>
            <w:vAlign w:val="center"/>
          </w:tcPr>
          <w:p w14:paraId="18A3BF18" w14:textId="77777777" w:rsidR="00221FB6" w:rsidRDefault="00221FB6" w:rsidP="00221FB6">
            <w:pPr>
              <w:jc w:val="right"/>
              <w:rPr>
                <w:color w:val="000000"/>
                <w:sz w:val="16"/>
                <w:szCs w:val="16"/>
              </w:rPr>
            </w:pPr>
            <w:r>
              <w:rPr>
                <w:color w:val="000000"/>
                <w:sz w:val="16"/>
                <w:szCs w:val="16"/>
              </w:rPr>
              <w:t>33</w:t>
            </w:r>
          </w:p>
        </w:tc>
        <w:tc>
          <w:tcPr>
            <w:tcW w:w="0" w:type="auto"/>
            <w:shd w:val="clear" w:color="auto" w:fill="auto"/>
            <w:vAlign w:val="center"/>
          </w:tcPr>
          <w:p w14:paraId="5CE6C5E5" w14:textId="77777777" w:rsidR="00221FB6" w:rsidRDefault="00221FB6" w:rsidP="00221FB6">
            <w:pPr>
              <w:jc w:val="right"/>
              <w:rPr>
                <w:color w:val="000000"/>
                <w:sz w:val="16"/>
                <w:szCs w:val="16"/>
              </w:rPr>
            </w:pPr>
            <w:r>
              <w:rPr>
                <w:color w:val="000000"/>
                <w:sz w:val="16"/>
                <w:szCs w:val="16"/>
              </w:rPr>
              <w:t>1.8</w:t>
            </w:r>
          </w:p>
        </w:tc>
        <w:tc>
          <w:tcPr>
            <w:tcW w:w="0" w:type="auto"/>
            <w:shd w:val="clear" w:color="auto" w:fill="auto"/>
            <w:vAlign w:val="center"/>
          </w:tcPr>
          <w:p w14:paraId="1C42DBA7" w14:textId="77777777" w:rsidR="00221FB6" w:rsidRDefault="00221FB6" w:rsidP="00221FB6">
            <w:pPr>
              <w:jc w:val="right"/>
              <w:rPr>
                <w:color w:val="000000"/>
                <w:sz w:val="16"/>
                <w:szCs w:val="16"/>
              </w:rPr>
            </w:pPr>
            <w:r>
              <w:rPr>
                <w:color w:val="000000"/>
                <w:sz w:val="16"/>
                <w:szCs w:val="16"/>
              </w:rPr>
              <w:t>(1.2, 2.4)</w:t>
            </w:r>
          </w:p>
        </w:tc>
      </w:tr>
      <w:tr w:rsidR="00221FB6" w:rsidRPr="007B4EF8" w14:paraId="67188F08" w14:textId="77777777" w:rsidTr="00826105">
        <w:trPr>
          <w:jc w:val="center"/>
        </w:trPr>
        <w:tc>
          <w:tcPr>
            <w:tcW w:w="0" w:type="auto"/>
            <w:shd w:val="clear" w:color="auto" w:fill="auto"/>
          </w:tcPr>
          <w:p w14:paraId="0516A505" w14:textId="77777777" w:rsidR="00221FB6" w:rsidRDefault="00221FB6" w:rsidP="00221FB6">
            <w:pPr>
              <w:spacing w:before="20" w:after="20"/>
              <w:ind w:left="34"/>
              <w:rPr>
                <w:rFonts w:eastAsiaTheme="minorEastAsia"/>
                <w:sz w:val="16"/>
                <w:szCs w:val="16"/>
                <w:lang w:eastAsia="en-US"/>
              </w:rPr>
            </w:pPr>
          </w:p>
        </w:tc>
        <w:tc>
          <w:tcPr>
            <w:tcW w:w="0" w:type="auto"/>
            <w:shd w:val="clear" w:color="auto" w:fill="auto"/>
          </w:tcPr>
          <w:p w14:paraId="50C55D53"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No gambling in past year</w:t>
            </w:r>
          </w:p>
        </w:tc>
        <w:tc>
          <w:tcPr>
            <w:tcW w:w="0" w:type="auto"/>
            <w:shd w:val="clear" w:color="auto" w:fill="auto"/>
            <w:vAlign w:val="center"/>
          </w:tcPr>
          <w:p w14:paraId="3E9A0EF2" w14:textId="77777777" w:rsidR="00221FB6" w:rsidRDefault="00221FB6" w:rsidP="00221FB6">
            <w:pPr>
              <w:jc w:val="right"/>
              <w:rPr>
                <w:color w:val="000000"/>
                <w:sz w:val="16"/>
                <w:szCs w:val="16"/>
              </w:rPr>
            </w:pPr>
            <w:r>
              <w:rPr>
                <w:color w:val="000000"/>
                <w:sz w:val="16"/>
                <w:szCs w:val="16"/>
              </w:rPr>
              <w:t>707</w:t>
            </w:r>
          </w:p>
        </w:tc>
        <w:tc>
          <w:tcPr>
            <w:tcW w:w="0" w:type="auto"/>
            <w:shd w:val="clear" w:color="auto" w:fill="auto"/>
            <w:vAlign w:val="center"/>
          </w:tcPr>
          <w:p w14:paraId="373C32EE" w14:textId="77777777" w:rsidR="00221FB6" w:rsidRDefault="00221FB6" w:rsidP="00221FB6">
            <w:pPr>
              <w:jc w:val="right"/>
              <w:rPr>
                <w:color w:val="000000"/>
                <w:sz w:val="16"/>
                <w:szCs w:val="16"/>
              </w:rPr>
            </w:pPr>
            <w:r>
              <w:rPr>
                <w:color w:val="000000"/>
                <w:sz w:val="16"/>
                <w:szCs w:val="16"/>
              </w:rPr>
              <w:t>17.7</w:t>
            </w:r>
          </w:p>
        </w:tc>
        <w:tc>
          <w:tcPr>
            <w:tcW w:w="0" w:type="auto"/>
            <w:tcBorders>
              <w:right w:val="single" w:sz="4" w:space="0" w:color="auto"/>
            </w:tcBorders>
            <w:shd w:val="clear" w:color="auto" w:fill="auto"/>
            <w:vAlign w:val="center"/>
          </w:tcPr>
          <w:p w14:paraId="1B7AA636" w14:textId="77777777" w:rsidR="00221FB6" w:rsidRDefault="00221FB6" w:rsidP="00221FB6">
            <w:pPr>
              <w:jc w:val="right"/>
              <w:rPr>
                <w:color w:val="000000"/>
                <w:sz w:val="16"/>
                <w:szCs w:val="16"/>
              </w:rPr>
            </w:pPr>
            <w:r>
              <w:rPr>
                <w:color w:val="000000"/>
                <w:sz w:val="16"/>
                <w:szCs w:val="16"/>
              </w:rPr>
              <w:t>(16.2, 19.1)</w:t>
            </w:r>
          </w:p>
        </w:tc>
        <w:tc>
          <w:tcPr>
            <w:tcW w:w="0" w:type="auto"/>
            <w:tcBorders>
              <w:left w:val="single" w:sz="4" w:space="0" w:color="auto"/>
            </w:tcBorders>
            <w:shd w:val="clear" w:color="auto" w:fill="auto"/>
            <w:vAlign w:val="center"/>
          </w:tcPr>
          <w:p w14:paraId="4B471F9C" w14:textId="77777777" w:rsidR="00221FB6" w:rsidRDefault="00221FB6" w:rsidP="00221FB6">
            <w:pPr>
              <w:jc w:val="right"/>
              <w:rPr>
                <w:color w:val="000000"/>
                <w:sz w:val="16"/>
                <w:szCs w:val="16"/>
              </w:rPr>
            </w:pPr>
            <w:r>
              <w:rPr>
                <w:color w:val="000000"/>
                <w:sz w:val="16"/>
                <w:szCs w:val="16"/>
              </w:rPr>
              <w:t>507</w:t>
            </w:r>
          </w:p>
        </w:tc>
        <w:tc>
          <w:tcPr>
            <w:tcW w:w="0" w:type="auto"/>
            <w:shd w:val="clear" w:color="auto" w:fill="auto"/>
            <w:vAlign w:val="center"/>
          </w:tcPr>
          <w:p w14:paraId="02949425" w14:textId="77777777" w:rsidR="00221FB6" w:rsidRDefault="00221FB6" w:rsidP="00221FB6">
            <w:pPr>
              <w:jc w:val="right"/>
              <w:rPr>
                <w:color w:val="000000"/>
                <w:sz w:val="16"/>
                <w:szCs w:val="16"/>
              </w:rPr>
            </w:pPr>
            <w:r>
              <w:rPr>
                <w:color w:val="000000"/>
                <w:sz w:val="16"/>
                <w:szCs w:val="16"/>
              </w:rPr>
              <w:t>20.5</w:t>
            </w:r>
          </w:p>
        </w:tc>
        <w:tc>
          <w:tcPr>
            <w:tcW w:w="0" w:type="auto"/>
            <w:tcBorders>
              <w:right w:val="single" w:sz="4" w:space="0" w:color="auto"/>
            </w:tcBorders>
            <w:shd w:val="clear" w:color="auto" w:fill="auto"/>
            <w:vAlign w:val="center"/>
          </w:tcPr>
          <w:p w14:paraId="1903F535" w14:textId="77777777" w:rsidR="00221FB6" w:rsidRDefault="00221FB6" w:rsidP="00221FB6">
            <w:pPr>
              <w:jc w:val="right"/>
              <w:rPr>
                <w:color w:val="000000"/>
                <w:sz w:val="16"/>
                <w:szCs w:val="16"/>
              </w:rPr>
            </w:pPr>
            <w:r>
              <w:rPr>
                <w:color w:val="000000"/>
                <w:sz w:val="16"/>
                <w:szCs w:val="16"/>
              </w:rPr>
              <w:t>(18.5, 22.5)</w:t>
            </w:r>
          </w:p>
        </w:tc>
        <w:tc>
          <w:tcPr>
            <w:tcW w:w="0" w:type="auto"/>
            <w:tcBorders>
              <w:left w:val="single" w:sz="4" w:space="0" w:color="auto"/>
            </w:tcBorders>
            <w:shd w:val="clear" w:color="auto" w:fill="auto"/>
            <w:vAlign w:val="center"/>
          </w:tcPr>
          <w:p w14:paraId="47E2BAB6" w14:textId="77777777" w:rsidR="00221FB6" w:rsidRDefault="00221FB6" w:rsidP="00221FB6">
            <w:pPr>
              <w:jc w:val="right"/>
              <w:rPr>
                <w:color w:val="000000"/>
                <w:sz w:val="16"/>
                <w:szCs w:val="16"/>
              </w:rPr>
            </w:pPr>
            <w:r>
              <w:rPr>
                <w:color w:val="000000"/>
                <w:sz w:val="16"/>
                <w:szCs w:val="16"/>
              </w:rPr>
              <w:t>416</w:t>
            </w:r>
          </w:p>
        </w:tc>
        <w:tc>
          <w:tcPr>
            <w:tcW w:w="0" w:type="auto"/>
            <w:shd w:val="clear" w:color="auto" w:fill="auto"/>
            <w:vAlign w:val="center"/>
          </w:tcPr>
          <w:p w14:paraId="6021BB65" w14:textId="77777777" w:rsidR="00221FB6" w:rsidRDefault="00221FB6" w:rsidP="00221FB6">
            <w:pPr>
              <w:jc w:val="right"/>
              <w:rPr>
                <w:color w:val="000000"/>
                <w:sz w:val="16"/>
                <w:szCs w:val="16"/>
              </w:rPr>
            </w:pPr>
            <w:r>
              <w:rPr>
                <w:color w:val="000000"/>
                <w:sz w:val="16"/>
                <w:szCs w:val="16"/>
              </w:rPr>
              <w:t>20.0</w:t>
            </w:r>
          </w:p>
        </w:tc>
        <w:tc>
          <w:tcPr>
            <w:tcW w:w="0" w:type="auto"/>
            <w:tcBorders>
              <w:right w:val="single" w:sz="4" w:space="0" w:color="auto"/>
            </w:tcBorders>
            <w:shd w:val="clear" w:color="auto" w:fill="auto"/>
            <w:vAlign w:val="center"/>
          </w:tcPr>
          <w:p w14:paraId="091F0562" w14:textId="77777777" w:rsidR="00221FB6" w:rsidRDefault="00221FB6" w:rsidP="00221FB6">
            <w:pPr>
              <w:jc w:val="right"/>
              <w:rPr>
                <w:color w:val="000000"/>
                <w:sz w:val="16"/>
                <w:szCs w:val="16"/>
              </w:rPr>
            </w:pPr>
            <w:r>
              <w:rPr>
                <w:color w:val="000000"/>
                <w:sz w:val="16"/>
                <w:szCs w:val="16"/>
              </w:rPr>
              <w:t>(17.6, 22.4)</w:t>
            </w:r>
          </w:p>
        </w:tc>
        <w:tc>
          <w:tcPr>
            <w:tcW w:w="0" w:type="auto"/>
            <w:tcBorders>
              <w:left w:val="single" w:sz="4" w:space="0" w:color="auto"/>
            </w:tcBorders>
            <w:shd w:val="clear" w:color="auto" w:fill="auto"/>
            <w:vAlign w:val="center"/>
          </w:tcPr>
          <w:p w14:paraId="061E4577" w14:textId="77777777" w:rsidR="00221FB6" w:rsidRDefault="00221FB6" w:rsidP="00221FB6">
            <w:pPr>
              <w:jc w:val="right"/>
              <w:rPr>
                <w:color w:val="000000"/>
                <w:sz w:val="16"/>
                <w:szCs w:val="16"/>
              </w:rPr>
            </w:pPr>
            <w:r>
              <w:rPr>
                <w:color w:val="000000"/>
                <w:sz w:val="16"/>
                <w:szCs w:val="16"/>
              </w:rPr>
              <w:t>417</w:t>
            </w:r>
          </w:p>
        </w:tc>
        <w:tc>
          <w:tcPr>
            <w:tcW w:w="0" w:type="auto"/>
            <w:shd w:val="clear" w:color="auto" w:fill="auto"/>
            <w:vAlign w:val="center"/>
          </w:tcPr>
          <w:p w14:paraId="525B96EF" w14:textId="77777777" w:rsidR="00221FB6" w:rsidRDefault="00221FB6" w:rsidP="00221FB6">
            <w:pPr>
              <w:jc w:val="right"/>
              <w:rPr>
                <w:color w:val="000000"/>
                <w:sz w:val="16"/>
                <w:szCs w:val="16"/>
              </w:rPr>
            </w:pPr>
            <w:r>
              <w:rPr>
                <w:color w:val="000000"/>
                <w:sz w:val="16"/>
                <w:szCs w:val="16"/>
              </w:rPr>
              <w:t>22.6</w:t>
            </w:r>
          </w:p>
        </w:tc>
        <w:tc>
          <w:tcPr>
            <w:tcW w:w="0" w:type="auto"/>
            <w:shd w:val="clear" w:color="auto" w:fill="auto"/>
            <w:vAlign w:val="center"/>
          </w:tcPr>
          <w:p w14:paraId="1EBA2B37" w14:textId="77777777" w:rsidR="00221FB6" w:rsidRDefault="00221FB6" w:rsidP="00221FB6">
            <w:pPr>
              <w:jc w:val="right"/>
              <w:rPr>
                <w:color w:val="000000"/>
                <w:sz w:val="16"/>
                <w:szCs w:val="16"/>
              </w:rPr>
            </w:pPr>
            <w:r>
              <w:rPr>
                <w:color w:val="000000"/>
                <w:sz w:val="16"/>
                <w:szCs w:val="16"/>
              </w:rPr>
              <w:t>(19.8, 25.3)</w:t>
            </w:r>
          </w:p>
        </w:tc>
      </w:tr>
      <w:tr w:rsidR="00221FB6" w:rsidRPr="007B4EF8" w14:paraId="09B9EFE9" w14:textId="77777777" w:rsidTr="00826105">
        <w:trPr>
          <w:jc w:val="center"/>
        </w:trPr>
        <w:tc>
          <w:tcPr>
            <w:tcW w:w="0" w:type="auto"/>
            <w:shd w:val="clear" w:color="auto" w:fill="auto"/>
          </w:tcPr>
          <w:p w14:paraId="34340CA2" w14:textId="77777777" w:rsidR="00221FB6" w:rsidRDefault="00221FB6" w:rsidP="00221FB6">
            <w:pPr>
              <w:keepNext/>
              <w:spacing w:before="20" w:after="20"/>
              <w:ind w:left="34"/>
              <w:rPr>
                <w:rFonts w:eastAsiaTheme="minorEastAsia"/>
                <w:sz w:val="16"/>
                <w:szCs w:val="16"/>
                <w:lang w:eastAsia="en-US"/>
              </w:rPr>
            </w:pPr>
            <w:r>
              <w:rPr>
                <w:rFonts w:eastAsiaTheme="minorEastAsia"/>
                <w:sz w:val="16"/>
                <w:szCs w:val="16"/>
                <w:lang w:eastAsia="en-US"/>
              </w:rPr>
              <w:t>Unemployed</w:t>
            </w:r>
          </w:p>
        </w:tc>
        <w:tc>
          <w:tcPr>
            <w:tcW w:w="0" w:type="auto"/>
            <w:shd w:val="clear" w:color="auto" w:fill="auto"/>
          </w:tcPr>
          <w:p w14:paraId="4BD57DD0" w14:textId="77777777" w:rsidR="00221FB6" w:rsidRPr="001B7431" w:rsidRDefault="00221FB6" w:rsidP="00221FB6">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0" w:type="auto"/>
            <w:shd w:val="clear" w:color="auto" w:fill="auto"/>
            <w:vAlign w:val="center"/>
          </w:tcPr>
          <w:p w14:paraId="58488208" w14:textId="77777777" w:rsidR="00221FB6" w:rsidRDefault="00221FB6" w:rsidP="00221FB6">
            <w:pPr>
              <w:keepNext/>
              <w:jc w:val="right"/>
              <w:rPr>
                <w:color w:val="000000"/>
                <w:sz w:val="16"/>
                <w:szCs w:val="16"/>
              </w:rPr>
            </w:pPr>
            <w:r>
              <w:rPr>
                <w:color w:val="000000"/>
                <w:sz w:val="16"/>
                <w:szCs w:val="16"/>
              </w:rPr>
              <w:t>350</w:t>
            </w:r>
          </w:p>
        </w:tc>
        <w:tc>
          <w:tcPr>
            <w:tcW w:w="0" w:type="auto"/>
            <w:shd w:val="clear" w:color="auto" w:fill="auto"/>
            <w:vAlign w:val="center"/>
          </w:tcPr>
          <w:p w14:paraId="70B15534" w14:textId="77777777" w:rsidR="00221FB6" w:rsidRDefault="00221FB6" w:rsidP="00221FB6">
            <w:pPr>
              <w:keepNext/>
              <w:jc w:val="right"/>
              <w:rPr>
                <w:color w:val="000000"/>
                <w:sz w:val="16"/>
                <w:szCs w:val="16"/>
              </w:rPr>
            </w:pPr>
            <w:r>
              <w:rPr>
                <w:color w:val="000000"/>
                <w:sz w:val="16"/>
                <w:szCs w:val="16"/>
              </w:rPr>
              <w:t>64.9</w:t>
            </w:r>
          </w:p>
        </w:tc>
        <w:tc>
          <w:tcPr>
            <w:tcW w:w="0" w:type="auto"/>
            <w:tcBorders>
              <w:right w:val="single" w:sz="4" w:space="0" w:color="auto"/>
            </w:tcBorders>
            <w:shd w:val="clear" w:color="auto" w:fill="auto"/>
            <w:vAlign w:val="center"/>
          </w:tcPr>
          <w:p w14:paraId="5E1EA619" w14:textId="77777777" w:rsidR="00221FB6" w:rsidRDefault="00221FB6" w:rsidP="00221FB6">
            <w:pPr>
              <w:keepNext/>
              <w:jc w:val="right"/>
              <w:rPr>
                <w:color w:val="000000"/>
                <w:sz w:val="16"/>
                <w:szCs w:val="16"/>
              </w:rPr>
            </w:pPr>
            <w:r>
              <w:rPr>
                <w:color w:val="000000"/>
                <w:sz w:val="16"/>
                <w:szCs w:val="16"/>
              </w:rPr>
              <w:t>(60.5, 69.3)</w:t>
            </w:r>
          </w:p>
        </w:tc>
        <w:tc>
          <w:tcPr>
            <w:tcW w:w="0" w:type="auto"/>
            <w:tcBorders>
              <w:left w:val="single" w:sz="4" w:space="0" w:color="auto"/>
            </w:tcBorders>
            <w:shd w:val="clear" w:color="auto" w:fill="auto"/>
            <w:vAlign w:val="center"/>
          </w:tcPr>
          <w:p w14:paraId="58D6F0CF" w14:textId="77777777" w:rsidR="00221FB6" w:rsidRDefault="00221FB6" w:rsidP="00221FB6">
            <w:pPr>
              <w:keepNext/>
              <w:jc w:val="right"/>
              <w:rPr>
                <w:color w:val="000000"/>
                <w:sz w:val="16"/>
                <w:szCs w:val="16"/>
              </w:rPr>
            </w:pPr>
            <w:r>
              <w:rPr>
                <w:color w:val="000000"/>
                <w:sz w:val="16"/>
                <w:szCs w:val="16"/>
              </w:rPr>
              <w:t>173</w:t>
            </w:r>
          </w:p>
        </w:tc>
        <w:tc>
          <w:tcPr>
            <w:tcW w:w="0" w:type="auto"/>
            <w:shd w:val="clear" w:color="auto" w:fill="auto"/>
            <w:vAlign w:val="center"/>
          </w:tcPr>
          <w:p w14:paraId="48E12C56" w14:textId="77777777" w:rsidR="00221FB6" w:rsidRDefault="00221FB6" w:rsidP="00221FB6">
            <w:pPr>
              <w:keepNext/>
              <w:jc w:val="right"/>
              <w:rPr>
                <w:color w:val="000000"/>
                <w:sz w:val="16"/>
                <w:szCs w:val="16"/>
              </w:rPr>
            </w:pPr>
            <w:r>
              <w:rPr>
                <w:color w:val="000000"/>
                <w:sz w:val="16"/>
                <w:szCs w:val="16"/>
              </w:rPr>
              <w:t>60.5</w:t>
            </w:r>
          </w:p>
        </w:tc>
        <w:tc>
          <w:tcPr>
            <w:tcW w:w="0" w:type="auto"/>
            <w:tcBorders>
              <w:right w:val="single" w:sz="4" w:space="0" w:color="auto"/>
            </w:tcBorders>
            <w:shd w:val="clear" w:color="auto" w:fill="auto"/>
            <w:vAlign w:val="center"/>
          </w:tcPr>
          <w:p w14:paraId="016EB1BE" w14:textId="77777777" w:rsidR="00221FB6" w:rsidRDefault="00221FB6" w:rsidP="00221FB6">
            <w:pPr>
              <w:keepNext/>
              <w:jc w:val="right"/>
              <w:rPr>
                <w:color w:val="000000"/>
                <w:sz w:val="16"/>
                <w:szCs w:val="16"/>
              </w:rPr>
            </w:pPr>
            <w:r>
              <w:rPr>
                <w:color w:val="000000"/>
                <w:sz w:val="16"/>
                <w:szCs w:val="16"/>
              </w:rPr>
              <w:t>(53.7, 67.3)</w:t>
            </w:r>
          </w:p>
        </w:tc>
        <w:tc>
          <w:tcPr>
            <w:tcW w:w="0" w:type="auto"/>
            <w:tcBorders>
              <w:left w:val="single" w:sz="4" w:space="0" w:color="auto"/>
            </w:tcBorders>
            <w:shd w:val="clear" w:color="auto" w:fill="auto"/>
            <w:vAlign w:val="center"/>
          </w:tcPr>
          <w:p w14:paraId="0EA578FA" w14:textId="77777777" w:rsidR="00221FB6" w:rsidRDefault="00221FB6" w:rsidP="00221FB6">
            <w:pPr>
              <w:keepNext/>
              <w:jc w:val="right"/>
              <w:rPr>
                <w:color w:val="000000"/>
                <w:sz w:val="16"/>
                <w:szCs w:val="16"/>
              </w:rPr>
            </w:pPr>
            <w:r>
              <w:rPr>
                <w:color w:val="000000"/>
                <w:sz w:val="16"/>
                <w:szCs w:val="16"/>
              </w:rPr>
              <w:t>106</w:t>
            </w:r>
          </w:p>
        </w:tc>
        <w:tc>
          <w:tcPr>
            <w:tcW w:w="0" w:type="auto"/>
            <w:shd w:val="clear" w:color="auto" w:fill="auto"/>
            <w:vAlign w:val="center"/>
          </w:tcPr>
          <w:p w14:paraId="7D1ED613" w14:textId="77777777" w:rsidR="00221FB6" w:rsidRDefault="00221FB6" w:rsidP="00221FB6">
            <w:pPr>
              <w:keepNext/>
              <w:jc w:val="right"/>
              <w:rPr>
                <w:color w:val="000000"/>
                <w:sz w:val="16"/>
                <w:szCs w:val="16"/>
              </w:rPr>
            </w:pPr>
            <w:r>
              <w:rPr>
                <w:color w:val="000000"/>
                <w:sz w:val="16"/>
                <w:szCs w:val="16"/>
              </w:rPr>
              <w:t>52.6</w:t>
            </w:r>
          </w:p>
        </w:tc>
        <w:tc>
          <w:tcPr>
            <w:tcW w:w="0" w:type="auto"/>
            <w:tcBorders>
              <w:right w:val="single" w:sz="4" w:space="0" w:color="auto"/>
            </w:tcBorders>
            <w:shd w:val="clear" w:color="auto" w:fill="auto"/>
            <w:vAlign w:val="center"/>
          </w:tcPr>
          <w:p w14:paraId="230798A5" w14:textId="77777777" w:rsidR="00221FB6" w:rsidRDefault="00221FB6" w:rsidP="00221FB6">
            <w:pPr>
              <w:keepNext/>
              <w:jc w:val="right"/>
              <w:rPr>
                <w:color w:val="000000"/>
                <w:sz w:val="16"/>
                <w:szCs w:val="16"/>
              </w:rPr>
            </w:pPr>
            <w:r>
              <w:rPr>
                <w:color w:val="000000"/>
                <w:sz w:val="16"/>
                <w:szCs w:val="16"/>
              </w:rPr>
              <w:t>(44.8, 60.4)</w:t>
            </w:r>
          </w:p>
        </w:tc>
        <w:tc>
          <w:tcPr>
            <w:tcW w:w="0" w:type="auto"/>
            <w:tcBorders>
              <w:left w:val="single" w:sz="4" w:space="0" w:color="auto"/>
            </w:tcBorders>
            <w:shd w:val="clear" w:color="auto" w:fill="auto"/>
            <w:vAlign w:val="center"/>
          </w:tcPr>
          <w:p w14:paraId="7577A5DD" w14:textId="77777777" w:rsidR="00221FB6" w:rsidRDefault="00221FB6" w:rsidP="00221FB6">
            <w:pPr>
              <w:keepNext/>
              <w:jc w:val="right"/>
              <w:rPr>
                <w:color w:val="000000"/>
                <w:sz w:val="16"/>
                <w:szCs w:val="16"/>
              </w:rPr>
            </w:pPr>
            <w:r>
              <w:rPr>
                <w:color w:val="000000"/>
                <w:sz w:val="16"/>
                <w:szCs w:val="16"/>
              </w:rPr>
              <w:t>87</w:t>
            </w:r>
          </w:p>
        </w:tc>
        <w:tc>
          <w:tcPr>
            <w:tcW w:w="0" w:type="auto"/>
            <w:shd w:val="clear" w:color="auto" w:fill="auto"/>
            <w:vAlign w:val="center"/>
          </w:tcPr>
          <w:p w14:paraId="0A230AC5" w14:textId="77777777" w:rsidR="00221FB6" w:rsidRDefault="00221FB6" w:rsidP="00221FB6">
            <w:pPr>
              <w:keepNext/>
              <w:jc w:val="right"/>
              <w:rPr>
                <w:color w:val="000000"/>
                <w:sz w:val="16"/>
                <w:szCs w:val="16"/>
              </w:rPr>
            </w:pPr>
            <w:r>
              <w:rPr>
                <w:color w:val="000000"/>
                <w:sz w:val="16"/>
                <w:szCs w:val="16"/>
              </w:rPr>
              <w:t>48.9</w:t>
            </w:r>
          </w:p>
        </w:tc>
        <w:tc>
          <w:tcPr>
            <w:tcW w:w="0" w:type="auto"/>
            <w:shd w:val="clear" w:color="auto" w:fill="auto"/>
            <w:vAlign w:val="center"/>
          </w:tcPr>
          <w:p w14:paraId="7D60E83A" w14:textId="77777777" w:rsidR="00221FB6" w:rsidRDefault="00221FB6" w:rsidP="00221FB6">
            <w:pPr>
              <w:keepNext/>
              <w:jc w:val="right"/>
              <w:rPr>
                <w:color w:val="000000"/>
                <w:sz w:val="16"/>
                <w:szCs w:val="16"/>
              </w:rPr>
            </w:pPr>
            <w:r>
              <w:rPr>
                <w:color w:val="000000"/>
                <w:sz w:val="16"/>
                <w:szCs w:val="16"/>
              </w:rPr>
              <w:t>(39.8, 58.1)</w:t>
            </w:r>
          </w:p>
        </w:tc>
      </w:tr>
      <w:tr w:rsidR="00221FB6" w:rsidRPr="007B4EF8" w14:paraId="6F5556A8" w14:textId="77777777" w:rsidTr="00826105">
        <w:trPr>
          <w:jc w:val="center"/>
        </w:trPr>
        <w:tc>
          <w:tcPr>
            <w:tcW w:w="0" w:type="auto"/>
            <w:shd w:val="clear" w:color="auto" w:fill="auto"/>
          </w:tcPr>
          <w:p w14:paraId="3D35746B" w14:textId="77777777" w:rsidR="00221FB6" w:rsidRDefault="00221FB6" w:rsidP="00221FB6">
            <w:pPr>
              <w:keepNext/>
              <w:spacing w:before="20" w:after="20"/>
              <w:ind w:left="34"/>
              <w:rPr>
                <w:rFonts w:eastAsiaTheme="minorEastAsia"/>
                <w:sz w:val="16"/>
                <w:szCs w:val="16"/>
                <w:lang w:eastAsia="en-US"/>
              </w:rPr>
            </w:pPr>
          </w:p>
        </w:tc>
        <w:tc>
          <w:tcPr>
            <w:tcW w:w="0" w:type="auto"/>
            <w:shd w:val="clear" w:color="auto" w:fill="auto"/>
          </w:tcPr>
          <w:p w14:paraId="46BFFE3E" w14:textId="77777777" w:rsidR="00221FB6" w:rsidRPr="001B7431" w:rsidRDefault="00221FB6" w:rsidP="00221FB6">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0" w:type="auto"/>
            <w:shd w:val="clear" w:color="auto" w:fill="auto"/>
            <w:vAlign w:val="center"/>
          </w:tcPr>
          <w:p w14:paraId="4E897467" w14:textId="77777777" w:rsidR="00221FB6" w:rsidRDefault="00221FB6" w:rsidP="00221FB6">
            <w:pPr>
              <w:keepNext/>
              <w:jc w:val="right"/>
              <w:rPr>
                <w:color w:val="000000"/>
                <w:sz w:val="16"/>
                <w:szCs w:val="16"/>
              </w:rPr>
            </w:pPr>
            <w:r>
              <w:rPr>
                <w:color w:val="000000"/>
                <w:sz w:val="16"/>
                <w:szCs w:val="16"/>
              </w:rPr>
              <w:t>44</w:t>
            </w:r>
          </w:p>
        </w:tc>
        <w:tc>
          <w:tcPr>
            <w:tcW w:w="0" w:type="auto"/>
            <w:shd w:val="clear" w:color="auto" w:fill="auto"/>
            <w:vAlign w:val="center"/>
          </w:tcPr>
          <w:p w14:paraId="0A437222" w14:textId="77777777" w:rsidR="00221FB6" w:rsidRDefault="00221FB6" w:rsidP="00221FB6">
            <w:pPr>
              <w:keepNext/>
              <w:jc w:val="right"/>
              <w:rPr>
                <w:color w:val="000000"/>
                <w:sz w:val="16"/>
                <w:szCs w:val="16"/>
              </w:rPr>
            </w:pPr>
            <w:r>
              <w:rPr>
                <w:color w:val="000000"/>
                <w:sz w:val="16"/>
                <w:szCs w:val="16"/>
              </w:rPr>
              <w:t>8.2</w:t>
            </w:r>
          </w:p>
        </w:tc>
        <w:tc>
          <w:tcPr>
            <w:tcW w:w="0" w:type="auto"/>
            <w:tcBorders>
              <w:right w:val="single" w:sz="4" w:space="0" w:color="auto"/>
            </w:tcBorders>
            <w:shd w:val="clear" w:color="auto" w:fill="auto"/>
            <w:vAlign w:val="center"/>
          </w:tcPr>
          <w:p w14:paraId="587E263E" w14:textId="77777777" w:rsidR="00221FB6" w:rsidRDefault="00221FB6" w:rsidP="00221FB6">
            <w:pPr>
              <w:keepNext/>
              <w:jc w:val="right"/>
              <w:rPr>
                <w:color w:val="000000"/>
                <w:sz w:val="16"/>
                <w:szCs w:val="16"/>
              </w:rPr>
            </w:pPr>
            <w:r>
              <w:rPr>
                <w:color w:val="000000"/>
                <w:sz w:val="16"/>
                <w:szCs w:val="16"/>
              </w:rPr>
              <w:t>(5.4, 11.0)</w:t>
            </w:r>
          </w:p>
        </w:tc>
        <w:tc>
          <w:tcPr>
            <w:tcW w:w="0" w:type="auto"/>
            <w:tcBorders>
              <w:left w:val="single" w:sz="4" w:space="0" w:color="auto"/>
            </w:tcBorders>
            <w:shd w:val="clear" w:color="auto" w:fill="auto"/>
            <w:vAlign w:val="center"/>
          </w:tcPr>
          <w:p w14:paraId="7A8DF296" w14:textId="77777777" w:rsidR="00221FB6" w:rsidRDefault="00221FB6" w:rsidP="00221FB6">
            <w:pPr>
              <w:keepNext/>
              <w:jc w:val="right"/>
              <w:rPr>
                <w:color w:val="000000"/>
                <w:sz w:val="16"/>
                <w:szCs w:val="16"/>
              </w:rPr>
            </w:pPr>
            <w:r>
              <w:rPr>
                <w:color w:val="000000"/>
                <w:sz w:val="16"/>
                <w:szCs w:val="16"/>
              </w:rPr>
              <w:t>26</w:t>
            </w:r>
          </w:p>
        </w:tc>
        <w:tc>
          <w:tcPr>
            <w:tcW w:w="0" w:type="auto"/>
            <w:shd w:val="clear" w:color="auto" w:fill="auto"/>
            <w:vAlign w:val="center"/>
          </w:tcPr>
          <w:p w14:paraId="32A04B12" w14:textId="77777777" w:rsidR="00221FB6" w:rsidRDefault="00221FB6" w:rsidP="00221FB6">
            <w:pPr>
              <w:keepNext/>
              <w:jc w:val="right"/>
              <w:rPr>
                <w:color w:val="000000"/>
                <w:sz w:val="16"/>
                <w:szCs w:val="16"/>
              </w:rPr>
            </w:pPr>
            <w:r>
              <w:rPr>
                <w:color w:val="000000"/>
                <w:sz w:val="16"/>
                <w:szCs w:val="16"/>
              </w:rPr>
              <w:t>9.2</w:t>
            </w:r>
          </w:p>
        </w:tc>
        <w:tc>
          <w:tcPr>
            <w:tcW w:w="0" w:type="auto"/>
            <w:tcBorders>
              <w:right w:val="single" w:sz="4" w:space="0" w:color="auto"/>
            </w:tcBorders>
            <w:shd w:val="clear" w:color="auto" w:fill="auto"/>
            <w:vAlign w:val="center"/>
          </w:tcPr>
          <w:p w14:paraId="4A6CBEA4" w14:textId="77777777" w:rsidR="00221FB6" w:rsidRDefault="00221FB6" w:rsidP="00221FB6">
            <w:pPr>
              <w:keepNext/>
              <w:jc w:val="right"/>
              <w:rPr>
                <w:color w:val="000000"/>
                <w:sz w:val="16"/>
                <w:szCs w:val="16"/>
              </w:rPr>
            </w:pPr>
            <w:r>
              <w:rPr>
                <w:color w:val="000000"/>
                <w:sz w:val="16"/>
                <w:szCs w:val="16"/>
              </w:rPr>
              <w:t>(5.3, 13.1)</w:t>
            </w:r>
          </w:p>
        </w:tc>
        <w:tc>
          <w:tcPr>
            <w:tcW w:w="0" w:type="auto"/>
            <w:tcBorders>
              <w:left w:val="single" w:sz="4" w:space="0" w:color="auto"/>
            </w:tcBorders>
            <w:shd w:val="clear" w:color="auto" w:fill="auto"/>
            <w:vAlign w:val="center"/>
          </w:tcPr>
          <w:p w14:paraId="48DA6FE5" w14:textId="77777777" w:rsidR="00221FB6" w:rsidRDefault="00221FB6" w:rsidP="00221FB6">
            <w:pPr>
              <w:keepNext/>
              <w:jc w:val="right"/>
              <w:rPr>
                <w:color w:val="000000"/>
                <w:sz w:val="16"/>
                <w:szCs w:val="16"/>
              </w:rPr>
            </w:pPr>
            <w:r>
              <w:rPr>
                <w:color w:val="000000"/>
                <w:sz w:val="16"/>
                <w:szCs w:val="16"/>
              </w:rPr>
              <w:t>15</w:t>
            </w:r>
          </w:p>
        </w:tc>
        <w:tc>
          <w:tcPr>
            <w:tcW w:w="0" w:type="auto"/>
            <w:shd w:val="clear" w:color="auto" w:fill="auto"/>
            <w:vAlign w:val="center"/>
          </w:tcPr>
          <w:p w14:paraId="7F03879E" w14:textId="77777777" w:rsidR="00221FB6" w:rsidRDefault="00221FB6" w:rsidP="00221FB6">
            <w:pPr>
              <w:keepNext/>
              <w:jc w:val="right"/>
              <w:rPr>
                <w:color w:val="000000"/>
                <w:sz w:val="16"/>
                <w:szCs w:val="16"/>
              </w:rPr>
            </w:pPr>
            <w:r>
              <w:rPr>
                <w:color w:val="000000"/>
                <w:sz w:val="16"/>
                <w:szCs w:val="16"/>
              </w:rPr>
              <w:t>7.6</w:t>
            </w:r>
          </w:p>
        </w:tc>
        <w:tc>
          <w:tcPr>
            <w:tcW w:w="0" w:type="auto"/>
            <w:tcBorders>
              <w:right w:val="single" w:sz="4" w:space="0" w:color="auto"/>
            </w:tcBorders>
            <w:shd w:val="clear" w:color="auto" w:fill="auto"/>
            <w:vAlign w:val="center"/>
          </w:tcPr>
          <w:p w14:paraId="4576BA06" w14:textId="77777777" w:rsidR="00221FB6" w:rsidRDefault="00221FB6" w:rsidP="00221FB6">
            <w:pPr>
              <w:keepNext/>
              <w:jc w:val="right"/>
              <w:rPr>
                <w:color w:val="000000"/>
                <w:sz w:val="16"/>
                <w:szCs w:val="16"/>
              </w:rPr>
            </w:pPr>
            <w:r>
              <w:rPr>
                <w:color w:val="000000"/>
                <w:sz w:val="16"/>
                <w:szCs w:val="16"/>
              </w:rPr>
              <w:t>(3.9, 11.4)</w:t>
            </w:r>
          </w:p>
        </w:tc>
        <w:tc>
          <w:tcPr>
            <w:tcW w:w="0" w:type="auto"/>
            <w:tcBorders>
              <w:left w:val="single" w:sz="4" w:space="0" w:color="auto"/>
            </w:tcBorders>
            <w:shd w:val="clear" w:color="auto" w:fill="auto"/>
            <w:vAlign w:val="center"/>
          </w:tcPr>
          <w:p w14:paraId="76CB5B4F" w14:textId="77777777" w:rsidR="00221FB6" w:rsidRDefault="00221FB6" w:rsidP="00221FB6">
            <w:pPr>
              <w:keepNext/>
              <w:jc w:val="right"/>
              <w:rPr>
                <w:color w:val="000000"/>
                <w:sz w:val="16"/>
                <w:szCs w:val="16"/>
              </w:rPr>
            </w:pPr>
            <w:r>
              <w:rPr>
                <w:color w:val="000000"/>
                <w:sz w:val="16"/>
                <w:szCs w:val="16"/>
              </w:rPr>
              <w:t>19</w:t>
            </w:r>
          </w:p>
        </w:tc>
        <w:tc>
          <w:tcPr>
            <w:tcW w:w="0" w:type="auto"/>
            <w:shd w:val="clear" w:color="auto" w:fill="auto"/>
            <w:vAlign w:val="center"/>
          </w:tcPr>
          <w:p w14:paraId="727ACB73" w14:textId="77777777" w:rsidR="00221FB6" w:rsidRDefault="00221FB6" w:rsidP="00221FB6">
            <w:pPr>
              <w:keepNext/>
              <w:jc w:val="right"/>
              <w:rPr>
                <w:color w:val="000000"/>
                <w:sz w:val="16"/>
                <w:szCs w:val="16"/>
              </w:rPr>
            </w:pPr>
            <w:r>
              <w:rPr>
                <w:color w:val="000000"/>
                <w:sz w:val="16"/>
                <w:szCs w:val="16"/>
              </w:rPr>
              <w:t>10.8</w:t>
            </w:r>
          </w:p>
        </w:tc>
        <w:tc>
          <w:tcPr>
            <w:tcW w:w="0" w:type="auto"/>
            <w:shd w:val="clear" w:color="auto" w:fill="auto"/>
            <w:vAlign w:val="center"/>
          </w:tcPr>
          <w:p w14:paraId="6BDBEE64" w14:textId="77777777" w:rsidR="00221FB6" w:rsidRDefault="00221FB6" w:rsidP="00221FB6">
            <w:pPr>
              <w:keepNext/>
              <w:jc w:val="right"/>
              <w:rPr>
                <w:color w:val="000000"/>
                <w:sz w:val="16"/>
                <w:szCs w:val="16"/>
              </w:rPr>
            </w:pPr>
            <w:r>
              <w:rPr>
                <w:color w:val="000000"/>
                <w:sz w:val="16"/>
                <w:szCs w:val="16"/>
              </w:rPr>
              <w:t>(4.0, 17.7)</w:t>
            </w:r>
          </w:p>
        </w:tc>
      </w:tr>
      <w:tr w:rsidR="00221FB6" w:rsidRPr="007B4EF8" w14:paraId="7AD8C5AE" w14:textId="77777777" w:rsidTr="005E3FD2">
        <w:trPr>
          <w:jc w:val="center"/>
        </w:trPr>
        <w:tc>
          <w:tcPr>
            <w:tcW w:w="0" w:type="auto"/>
          </w:tcPr>
          <w:p w14:paraId="37EA4D43" w14:textId="77777777" w:rsidR="00221FB6" w:rsidRDefault="00221FB6" w:rsidP="00221FB6">
            <w:pPr>
              <w:keepNext/>
              <w:spacing w:before="20" w:after="20"/>
              <w:ind w:left="34"/>
              <w:rPr>
                <w:rFonts w:eastAsiaTheme="minorEastAsia"/>
                <w:sz w:val="16"/>
                <w:szCs w:val="16"/>
                <w:lang w:eastAsia="en-US"/>
              </w:rPr>
            </w:pPr>
          </w:p>
        </w:tc>
        <w:tc>
          <w:tcPr>
            <w:tcW w:w="0" w:type="auto"/>
          </w:tcPr>
          <w:p w14:paraId="32A2E246" w14:textId="77777777" w:rsidR="00221FB6" w:rsidRPr="001B7431" w:rsidRDefault="00221FB6" w:rsidP="00221FB6">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0" w:type="auto"/>
            <w:vAlign w:val="center"/>
          </w:tcPr>
          <w:p w14:paraId="2DCF7697" w14:textId="77777777" w:rsidR="00221FB6" w:rsidRDefault="00221FB6" w:rsidP="00221FB6">
            <w:pPr>
              <w:keepNext/>
              <w:jc w:val="right"/>
              <w:rPr>
                <w:color w:val="000000"/>
                <w:sz w:val="16"/>
                <w:szCs w:val="16"/>
              </w:rPr>
            </w:pPr>
            <w:r>
              <w:rPr>
                <w:color w:val="000000"/>
                <w:sz w:val="16"/>
                <w:szCs w:val="16"/>
              </w:rPr>
              <w:t>32</w:t>
            </w:r>
          </w:p>
        </w:tc>
        <w:tc>
          <w:tcPr>
            <w:tcW w:w="0" w:type="auto"/>
            <w:vAlign w:val="center"/>
          </w:tcPr>
          <w:p w14:paraId="0B054C8F" w14:textId="77777777" w:rsidR="00221FB6" w:rsidRDefault="00221FB6" w:rsidP="00221FB6">
            <w:pPr>
              <w:keepNext/>
              <w:jc w:val="right"/>
              <w:rPr>
                <w:color w:val="000000"/>
                <w:sz w:val="16"/>
                <w:szCs w:val="16"/>
              </w:rPr>
            </w:pPr>
            <w:r>
              <w:rPr>
                <w:color w:val="000000"/>
                <w:sz w:val="16"/>
                <w:szCs w:val="16"/>
              </w:rPr>
              <w:t>5.9</w:t>
            </w:r>
          </w:p>
        </w:tc>
        <w:tc>
          <w:tcPr>
            <w:tcW w:w="0" w:type="auto"/>
            <w:tcBorders>
              <w:right w:val="single" w:sz="4" w:space="0" w:color="auto"/>
            </w:tcBorders>
            <w:vAlign w:val="center"/>
          </w:tcPr>
          <w:p w14:paraId="6556CB49" w14:textId="77777777" w:rsidR="00221FB6" w:rsidRDefault="00221FB6" w:rsidP="00221FB6">
            <w:pPr>
              <w:keepNext/>
              <w:jc w:val="right"/>
              <w:rPr>
                <w:color w:val="000000"/>
                <w:sz w:val="16"/>
                <w:szCs w:val="16"/>
              </w:rPr>
            </w:pPr>
            <w:r>
              <w:rPr>
                <w:color w:val="000000"/>
                <w:sz w:val="16"/>
                <w:szCs w:val="16"/>
              </w:rPr>
              <w:t>(3.7, 8.1)</w:t>
            </w:r>
          </w:p>
        </w:tc>
        <w:tc>
          <w:tcPr>
            <w:tcW w:w="0" w:type="auto"/>
            <w:tcBorders>
              <w:left w:val="single" w:sz="4" w:space="0" w:color="auto"/>
            </w:tcBorders>
            <w:vAlign w:val="center"/>
          </w:tcPr>
          <w:p w14:paraId="4DC19858" w14:textId="77777777" w:rsidR="00221FB6" w:rsidRDefault="00221FB6" w:rsidP="00221FB6">
            <w:pPr>
              <w:keepNext/>
              <w:jc w:val="right"/>
              <w:rPr>
                <w:color w:val="000000"/>
                <w:sz w:val="16"/>
                <w:szCs w:val="16"/>
              </w:rPr>
            </w:pPr>
            <w:r>
              <w:rPr>
                <w:color w:val="000000"/>
                <w:sz w:val="16"/>
                <w:szCs w:val="16"/>
              </w:rPr>
              <w:t>14</w:t>
            </w:r>
          </w:p>
        </w:tc>
        <w:tc>
          <w:tcPr>
            <w:tcW w:w="0" w:type="auto"/>
            <w:vAlign w:val="center"/>
          </w:tcPr>
          <w:p w14:paraId="16FE463B" w14:textId="77777777" w:rsidR="00221FB6" w:rsidRDefault="00221FB6" w:rsidP="00221FB6">
            <w:pPr>
              <w:keepNext/>
              <w:jc w:val="right"/>
              <w:rPr>
                <w:color w:val="000000"/>
                <w:sz w:val="16"/>
                <w:szCs w:val="16"/>
              </w:rPr>
            </w:pPr>
            <w:r>
              <w:rPr>
                <w:color w:val="000000"/>
                <w:sz w:val="16"/>
                <w:szCs w:val="16"/>
              </w:rPr>
              <w:t>4.8</w:t>
            </w:r>
          </w:p>
        </w:tc>
        <w:tc>
          <w:tcPr>
            <w:tcW w:w="0" w:type="auto"/>
            <w:tcBorders>
              <w:right w:val="single" w:sz="4" w:space="0" w:color="auto"/>
            </w:tcBorders>
            <w:vAlign w:val="center"/>
          </w:tcPr>
          <w:p w14:paraId="33D90C3E" w14:textId="77777777" w:rsidR="00221FB6" w:rsidRDefault="00221FB6" w:rsidP="00221FB6">
            <w:pPr>
              <w:keepNext/>
              <w:jc w:val="right"/>
              <w:rPr>
                <w:color w:val="000000"/>
                <w:sz w:val="16"/>
                <w:szCs w:val="16"/>
              </w:rPr>
            </w:pPr>
            <w:r>
              <w:rPr>
                <w:color w:val="000000"/>
                <w:sz w:val="16"/>
                <w:szCs w:val="16"/>
              </w:rPr>
              <w:t>(2.4, 7.2)</w:t>
            </w:r>
          </w:p>
        </w:tc>
        <w:tc>
          <w:tcPr>
            <w:tcW w:w="0" w:type="auto"/>
            <w:tcBorders>
              <w:left w:val="single" w:sz="4" w:space="0" w:color="auto"/>
            </w:tcBorders>
            <w:vAlign w:val="center"/>
          </w:tcPr>
          <w:p w14:paraId="28B772F4" w14:textId="77777777" w:rsidR="00221FB6" w:rsidRDefault="00221FB6" w:rsidP="00221FB6">
            <w:pPr>
              <w:keepNext/>
              <w:jc w:val="right"/>
              <w:rPr>
                <w:color w:val="000000"/>
                <w:sz w:val="16"/>
                <w:szCs w:val="16"/>
              </w:rPr>
            </w:pPr>
            <w:r>
              <w:rPr>
                <w:color w:val="000000"/>
                <w:sz w:val="16"/>
                <w:szCs w:val="16"/>
              </w:rPr>
              <w:t>10</w:t>
            </w:r>
          </w:p>
        </w:tc>
        <w:tc>
          <w:tcPr>
            <w:tcW w:w="0" w:type="auto"/>
            <w:vAlign w:val="center"/>
          </w:tcPr>
          <w:p w14:paraId="20C1B89C" w14:textId="77777777" w:rsidR="00221FB6" w:rsidRDefault="00221FB6" w:rsidP="00221FB6">
            <w:pPr>
              <w:keepNext/>
              <w:jc w:val="right"/>
              <w:rPr>
                <w:color w:val="000000"/>
                <w:sz w:val="16"/>
                <w:szCs w:val="16"/>
              </w:rPr>
            </w:pPr>
            <w:r>
              <w:rPr>
                <w:color w:val="000000"/>
                <w:sz w:val="16"/>
                <w:szCs w:val="16"/>
              </w:rPr>
              <w:t>4.8</w:t>
            </w:r>
          </w:p>
        </w:tc>
        <w:tc>
          <w:tcPr>
            <w:tcW w:w="0" w:type="auto"/>
            <w:tcBorders>
              <w:right w:val="single" w:sz="4" w:space="0" w:color="auto"/>
            </w:tcBorders>
            <w:vAlign w:val="center"/>
          </w:tcPr>
          <w:p w14:paraId="42D3F477" w14:textId="77777777" w:rsidR="00221FB6" w:rsidRDefault="00221FB6" w:rsidP="00221FB6">
            <w:pPr>
              <w:keepNext/>
              <w:jc w:val="right"/>
              <w:rPr>
                <w:color w:val="000000"/>
                <w:sz w:val="16"/>
                <w:szCs w:val="16"/>
              </w:rPr>
            </w:pPr>
            <w:r>
              <w:rPr>
                <w:color w:val="000000"/>
                <w:sz w:val="16"/>
                <w:szCs w:val="16"/>
              </w:rPr>
              <w:t>(2.4, 7.3)</w:t>
            </w:r>
          </w:p>
        </w:tc>
        <w:tc>
          <w:tcPr>
            <w:tcW w:w="0" w:type="auto"/>
            <w:tcBorders>
              <w:left w:val="single" w:sz="4" w:space="0" w:color="auto"/>
            </w:tcBorders>
            <w:vAlign w:val="center"/>
          </w:tcPr>
          <w:p w14:paraId="5856511F" w14:textId="77777777" w:rsidR="00221FB6" w:rsidRDefault="00221FB6" w:rsidP="00221FB6">
            <w:pPr>
              <w:keepNext/>
              <w:jc w:val="right"/>
              <w:rPr>
                <w:color w:val="000000"/>
                <w:sz w:val="16"/>
                <w:szCs w:val="16"/>
              </w:rPr>
            </w:pPr>
            <w:r>
              <w:rPr>
                <w:color w:val="000000"/>
                <w:sz w:val="16"/>
                <w:szCs w:val="16"/>
              </w:rPr>
              <w:t>15</w:t>
            </w:r>
          </w:p>
        </w:tc>
        <w:tc>
          <w:tcPr>
            <w:tcW w:w="0" w:type="auto"/>
            <w:vAlign w:val="center"/>
          </w:tcPr>
          <w:p w14:paraId="0272EE94" w14:textId="77777777" w:rsidR="00221FB6" w:rsidRDefault="00221FB6" w:rsidP="00221FB6">
            <w:pPr>
              <w:keepNext/>
              <w:jc w:val="right"/>
              <w:rPr>
                <w:color w:val="000000"/>
                <w:sz w:val="16"/>
                <w:szCs w:val="16"/>
              </w:rPr>
            </w:pPr>
            <w:r>
              <w:rPr>
                <w:color w:val="000000"/>
                <w:sz w:val="16"/>
                <w:szCs w:val="16"/>
              </w:rPr>
              <w:t>8.2</w:t>
            </w:r>
          </w:p>
        </w:tc>
        <w:tc>
          <w:tcPr>
            <w:tcW w:w="0" w:type="auto"/>
            <w:vAlign w:val="center"/>
          </w:tcPr>
          <w:p w14:paraId="0E374EDA" w14:textId="77777777" w:rsidR="00221FB6" w:rsidRDefault="00221FB6" w:rsidP="00221FB6">
            <w:pPr>
              <w:keepNext/>
              <w:jc w:val="right"/>
              <w:rPr>
                <w:color w:val="000000"/>
                <w:sz w:val="16"/>
                <w:szCs w:val="16"/>
              </w:rPr>
            </w:pPr>
            <w:r>
              <w:rPr>
                <w:color w:val="000000"/>
                <w:sz w:val="16"/>
                <w:szCs w:val="16"/>
              </w:rPr>
              <w:t>(0.7, 15.7)</w:t>
            </w:r>
          </w:p>
        </w:tc>
      </w:tr>
      <w:tr w:rsidR="00221FB6" w:rsidRPr="007B4EF8" w14:paraId="33927D9D" w14:textId="77777777" w:rsidTr="005E3FD2">
        <w:trPr>
          <w:jc w:val="center"/>
        </w:trPr>
        <w:tc>
          <w:tcPr>
            <w:tcW w:w="0" w:type="auto"/>
            <w:tcBorders>
              <w:bottom w:val="single" w:sz="4" w:space="0" w:color="auto"/>
            </w:tcBorders>
          </w:tcPr>
          <w:p w14:paraId="692495CD" w14:textId="77777777" w:rsidR="00221FB6" w:rsidRDefault="00221FB6" w:rsidP="00221FB6">
            <w:pPr>
              <w:spacing w:before="20" w:after="20"/>
              <w:ind w:left="34"/>
              <w:rPr>
                <w:rFonts w:eastAsiaTheme="minorEastAsia"/>
                <w:sz w:val="16"/>
                <w:szCs w:val="16"/>
                <w:lang w:eastAsia="en-US"/>
              </w:rPr>
            </w:pPr>
          </w:p>
        </w:tc>
        <w:tc>
          <w:tcPr>
            <w:tcW w:w="0" w:type="auto"/>
            <w:tcBorders>
              <w:bottom w:val="single" w:sz="4" w:space="0" w:color="auto"/>
            </w:tcBorders>
          </w:tcPr>
          <w:p w14:paraId="3B93C166"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No gambling in past year</w:t>
            </w:r>
          </w:p>
        </w:tc>
        <w:tc>
          <w:tcPr>
            <w:tcW w:w="0" w:type="auto"/>
            <w:tcBorders>
              <w:bottom w:val="single" w:sz="4" w:space="0" w:color="auto"/>
            </w:tcBorders>
            <w:vAlign w:val="center"/>
          </w:tcPr>
          <w:p w14:paraId="2E6F3D6C" w14:textId="77777777" w:rsidR="00221FB6" w:rsidRDefault="00221FB6" w:rsidP="00221FB6">
            <w:pPr>
              <w:jc w:val="right"/>
              <w:rPr>
                <w:color w:val="000000"/>
                <w:sz w:val="16"/>
                <w:szCs w:val="16"/>
              </w:rPr>
            </w:pPr>
            <w:r>
              <w:rPr>
                <w:color w:val="000000"/>
                <w:sz w:val="16"/>
                <w:szCs w:val="16"/>
              </w:rPr>
              <w:t>113</w:t>
            </w:r>
          </w:p>
        </w:tc>
        <w:tc>
          <w:tcPr>
            <w:tcW w:w="0" w:type="auto"/>
            <w:tcBorders>
              <w:bottom w:val="single" w:sz="4" w:space="0" w:color="auto"/>
            </w:tcBorders>
            <w:vAlign w:val="center"/>
          </w:tcPr>
          <w:p w14:paraId="7C942A21" w14:textId="77777777" w:rsidR="00221FB6" w:rsidRDefault="00221FB6" w:rsidP="00221FB6">
            <w:pPr>
              <w:jc w:val="right"/>
              <w:rPr>
                <w:color w:val="000000"/>
                <w:sz w:val="16"/>
                <w:szCs w:val="16"/>
              </w:rPr>
            </w:pPr>
            <w:r>
              <w:rPr>
                <w:color w:val="000000"/>
                <w:sz w:val="16"/>
                <w:szCs w:val="16"/>
              </w:rPr>
              <w:t>21.0</w:t>
            </w:r>
          </w:p>
        </w:tc>
        <w:tc>
          <w:tcPr>
            <w:tcW w:w="0" w:type="auto"/>
            <w:tcBorders>
              <w:bottom w:val="single" w:sz="4" w:space="0" w:color="auto"/>
              <w:right w:val="single" w:sz="4" w:space="0" w:color="auto"/>
            </w:tcBorders>
            <w:vAlign w:val="center"/>
          </w:tcPr>
          <w:p w14:paraId="5B212248" w14:textId="77777777" w:rsidR="00221FB6" w:rsidRDefault="00221FB6" w:rsidP="00221FB6">
            <w:pPr>
              <w:jc w:val="right"/>
              <w:rPr>
                <w:color w:val="000000"/>
                <w:sz w:val="16"/>
                <w:szCs w:val="16"/>
              </w:rPr>
            </w:pPr>
            <w:r>
              <w:rPr>
                <w:color w:val="000000"/>
                <w:sz w:val="16"/>
                <w:szCs w:val="16"/>
              </w:rPr>
              <w:t>(17.3, 24.6)</w:t>
            </w:r>
          </w:p>
        </w:tc>
        <w:tc>
          <w:tcPr>
            <w:tcW w:w="0" w:type="auto"/>
            <w:tcBorders>
              <w:left w:val="single" w:sz="4" w:space="0" w:color="auto"/>
              <w:bottom w:val="single" w:sz="4" w:space="0" w:color="auto"/>
            </w:tcBorders>
            <w:vAlign w:val="center"/>
          </w:tcPr>
          <w:p w14:paraId="212D0C62" w14:textId="77777777" w:rsidR="00221FB6" w:rsidRDefault="00221FB6" w:rsidP="00221FB6">
            <w:pPr>
              <w:jc w:val="right"/>
              <w:rPr>
                <w:color w:val="000000"/>
                <w:sz w:val="16"/>
                <w:szCs w:val="16"/>
              </w:rPr>
            </w:pPr>
            <w:r>
              <w:rPr>
                <w:color w:val="000000"/>
                <w:sz w:val="16"/>
                <w:szCs w:val="16"/>
              </w:rPr>
              <w:t>73</w:t>
            </w:r>
          </w:p>
        </w:tc>
        <w:tc>
          <w:tcPr>
            <w:tcW w:w="0" w:type="auto"/>
            <w:tcBorders>
              <w:bottom w:val="single" w:sz="4" w:space="0" w:color="auto"/>
            </w:tcBorders>
            <w:vAlign w:val="center"/>
          </w:tcPr>
          <w:p w14:paraId="5840D87A" w14:textId="77777777" w:rsidR="00221FB6" w:rsidRDefault="00221FB6" w:rsidP="00221FB6">
            <w:pPr>
              <w:jc w:val="right"/>
              <w:rPr>
                <w:color w:val="000000"/>
                <w:sz w:val="16"/>
                <w:szCs w:val="16"/>
              </w:rPr>
            </w:pPr>
            <w:r>
              <w:rPr>
                <w:color w:val="000000"/>
                <w:sz w:val="16"/>
                <w:szCs w:val="16"/>
              </w:rPr>
              <w:t>25.5</w:t>
            </w:r>
          </w:p>
        </w:tc>
        <w:tc>
          <w:tcPr>
            <w:tcW w:w="0" w:type="auto"/>
            <w:tcBorders>
              <w:bottom w:val="single" w:sz="4" w:space="0" w:color="auto"/>
              <w:right w:val="single" w:sz="4" w:space="0" w:color="auto"/>
            </w:tcBorders>
            <w:vAlign w:val="center"/>
          </w:tcPr>
          <w:p w14:paraId="4ABDA818" w14:textId="77777777" w:rsidR="00221FB6" w:rsidRDefault="00221FB6" w:rsidP="00221FB6">
            <w:pPr>
              <w:jc w:val="right"/>
              <w:rPr>
                <w:color w:val="000000"/>
                <w:sz w:val="16"/>
                <w:szCs w:val="16"/>
              </w:rPr>
            </w:pPr>
            <w:r>
              <w:rPr>
                <w:color w:val="000000"/>
                <w:sz w:val="16"/>
                <w:szCs w:val="16"/>
              </w:rPr>
              <w:t>(19.8, 31.1)</w:t>
            </w:r>
          </w:p>
        </w:tc>
        <w:tc>
          <w:tcPr>
            <w:tcW w:w="0" w:type="auto"/>
            <w:tcBorders>
              <w:left w:val="single" w:sz="4" w:space="0" w:color="auto"/>
              <w:bottom w:val="single" w:sz="4" w:space="0" w:color="auto"/>
            </w:tcBorders>
            <w:vAlign w:val="center"/>
          </w:tcPr>
          <w:p w14:paraId="68E69082" w14:textId="77777777" w:rsidR="00221FB6" w:rsidRDefault="00221FB6" w:rsidP="00221FB6">
            <w:pPr>
              <w:jc w:val="right"/>
              <w:rPr>
                <w:color w:val="000000"/>
                <w:sz w:val="16"/>
                <w:szCs w:val="16"/>
              </w:rPr>
            </w:pPr>
            <w:r>
              <w:rPr>
                <w:color w:val="000000"/>
                <w:sz w:val="16"/>
                <w:szCs w:val="16"/>
              </w:rPr>
              <w:t>70</w:t>
            </w:r>
          </w:p>
        </w:tc>
        <w:tc>
          <w:tcPr>
            <w:tcW w:w="0" w:type="auto"/>
            <w:tcBorders>
              <w:bottom w:val="single" w:sz="4" w:space="0" w:color="auto"/>
            </w:tcBorders>
            <w:vAlign w:val="center"/>
          </w:tcPr>
          <w:p w14:paraId="7042CBBA" w14:textId="77777777" w:rsidR="00221FB6" w:rsidRDefault="00221FB6" w:rsidP="00221FB6">
            <w:pPr>
              <w:jc w:val="right"/>
              <w:rPr>
                <w:color w:val="000000"/>
                <w:sz w:val="16"/>
                <w:szCs w:val="16"/>
              </w:rPr>
            </w:pPr>
            <w:r>
              <w:rPr>
                <w:color w:val="000000"/>
                <w:sz w:val="16"/>
                <w:szCs w:val="16"/>
              </w:rPr>
              <w:t>34.9</w:t>
            </w:r>
          </w:p>
        </w:tc>
        <w:tc>
          <w:tcPr>
            <w:tcW w:w="0" w:type="auto"/>
            <w:tcBorders>
              <w:bottom w:val="single" w:sz="4" w:space="0" w:color="auto"/>
              <w:right w:val="single" w:sz="4" w:space="0" w:color="auto"/>
            </w:tcBorders>
            <w:vAlign w:val="center"/>
          </w:tcPr>
          <w:p w14:paraId="4D8E8C1D" w14:textId="77777777" w:rsidR="00221FB6" w:rsidRDefault="00221FB6" w:rsidP="00221FB6">
            <w:pPr>
              <w:jc w:val="right"/>
              <w:rPr>
                <w:color w:val="000000"/>
                <w:sz w:val="16"/>
                <w:szCs w:val="16"/>
              </w:rPr>
            </w:pPr>
            <w:r>
              <w:rPr>
                <w:color w:val="000000"/>
                <w:sz w:val="16"/>
                <w:szCs w:val="16"/>
              </w:rPr>
              <w:t>(27.5, 42.4)</w:t>
            </w:r>
          </w:p>
        </w:tc>
        <w:tc>
          <w:tcPr>
            <w:tcW w:w="0" w:type="auto"/>
            <w:tcBorders>
              <w:left w:val="single" w:sz="4" w:space="0" w:color="auto"/>
              <w:bottom w:val="single" w:sz="4" w:space="0" w:color="auto"/>
            </w:tcBorders>
            <w:vAlign w:val="center"/>
          </w:tcPr>
          <w:p w14:paraId="70A223F3" w14:textId="77777777" w:rsidR="00221FB6" w:rsidRDefault="00221FB6" w:rsidP="00221FB6">
            <w:pPr>
              <w:jc w:val="right"/>
              <w:rPr>
                <w:color w:val="000000"/>
                <w:sz w:val="16"/>
                <w:szCs w:val="16"/>
              </w:rPr>
            </w:pPr>
            <w:r>
              <w:rPr>
                <w:color w:val="000000"/>
                <w:sz w:val="16"/>
                <w:szCs w:val="16"/>
              </w:rPr>
              <w:t>57</w:t>
            </w:r>
          </w:p>
        </w:tc>
        <w:tc>
          <w:tcPr>
            <w:tcW w:w="0" w:type="auto"/>
            <w:tcBorders>
              <w:bottom w:val="single" w:sz="4" w:space="0" w:color="auto"/>
            </w:tcBorders>
            <w:vAlign w:val="center"/>
          </w:tcPr>
          <w:p w14:paraId="174A254E" w14:textId="77777777" w:rsidR="00221FB6" w:rsidRDefault="00221FB6" w:rsidP="00221FB6">
            <w:pPr>
              <w:jc w:val="right"/>
              <w:rPr>
                <w:color w:val="000000"/>
                <w:sz w:val="16"/>
                <w:szCs w:val="16"/>
              </w:rPr>
            </w:pPr>
            <w:r>
              <w:rPr>
                <w:color w:val="000000"/>
                <w:sz w:val="16"/>
                <w:szCs w:val="16"/>
              </w:rPr>
              <w:t>32.0</w:t>
            </w:r>
          </w:p>
        </w:tc>
        <w:tc>
          <w:tcPr>
            <w:tcW w:w="0" w:type="auto"/>
            <w:tcBorders>
              <w:bottom w:val="single" w:sz="4" w:space="0" w:color="auto"/>
            </w:tcBorders>
            <w:vAlign w:val="center"/>
          </w:tcPr>
          <w:p w14:paraId="1285D6EA" w14:textId="77777777" w:rsidR="00221FB6" w:rsidRDefault="00221FB6" w:rsidP="00221FB6">
            <w:pPr>
              <w:jc w:val="right"/>
              <w:rPr>
                <w:color w:val="000000"/>
                <w:sz w:val="16"/>
                <w:szCs w:val="16"/>
              </w:rPr>
            </w:pPr>
            <w:r>
              <w:rPr>
                <w:color w:val="000000"/>
                <w:sz w:val="16"/>
                <w:szCs w:val="16"/>
              </w:rPr>
              <w:t>(23.9, 40.2)</w:t>
            </w:r>
          </w:p>
        </w:tc>
      </w:tr>
      <w:tr w:rsidR="00221FB6" w:rsidRPr="007B4EF8" w14:paraId="15102FBB" w14:textId="77777777" w:rsidTr="005E3FD2">
        <w:trPr>
          <w:jc w:val="center"/>
        </w:trPr>
        <w:tc>
          <w:tcPr>
            <w:tcW w:w="0" w:type="auto"/>
            <w:tcBorders>
              <w:top w:val="single" w:sz="4" w:space="0" w:color="auto"/>
            </w:tcBorders>
          </w:tcPr>
          <w:p w14:paraId="15E9C921" w14:textId="77777777" w:rsidR="00221FB6" w:rsidRDefault="00221FB6" w:rsidP="00221FB6">
            <w:pPr>
              <w:spacing w:before="20" w:after="20"/>
              <w:ind w:left="34"/>
              <w:rPr>
                <w:rFonts w:eastAsiaTheme="minorEastAsia"/>
                <w:sz w:val="16"/>
                <w:szCs w:val="16"/>
                <w:lang w:eastAsia="en-US"/>
              </w:rPr>
            </w:pPr>
            <w:r>
              <w:rPr>
                <w:rFonts w:eastAsiaTheme="minorEastAsia"/>
                <w:sz w:val="16"/>
                <w:szCs w:val="16"/>
                <w:lang w:eastAsia="en-US"/>
              </w:rPr>
              <w:t>Student/Homemaker/Retired</w:t>
            </w:r>
          </w:p>
        </w:tc>
        <w:tc>
          <w:tcPr>
            <w:tcW w:w="0" w:type="auto"/>
            <w:tcBorders>
              <w:top w:val="single" w:sz="4" w:space="0" w:color="auto"/>
            </w:tcBorders>
          </w:tcPr>
          <w:p w14:paraId="44D5A957"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0" w:type="auto"/>
            <w:tcBorders>
              <w:top w:val="single" w:sz="4" w:space="0" w:color="auto"/>
            </w:tcBorders>
            <w:vAlign w:val="center"/>
          </w:tcPr>
          <w:p w14:paraId="53CE4AD7" w14:textId="77777777" w:rsidR="00221FB6" w:rsidRDefault="00221FB6" w:rsidP="00221FB6">
            <w:pPr>
              <w:jc w:val="right"/>
              <w:rPr>
                <w:color w:val="000000"/>
                <w:sz w:val="16"/>
                <w:szCs w:val="16"/>
              </w:rPr>
            </w:pPr>
            <w:r>
              <w:rPr>
                <w:color w:val="000000"/>
                <w:sz w:val="16"/>
                <w:szCs w:val="16"/>
              </w:rPr>
              <w:t>1165</w:t>
            </w:r>
          </w:p>
        </w:tc>
        <w:tc>
          <w:tcPr>
            <w:tcW w:w="0" w:type="auto"/>
            <w:tcBorders>
              <w:top w:val="single" w:sz="4" w:space="0" w:color="auto"/>
            </w:tcBorders>
            <w:vAlign w:val="center"/>
          </w:tcPr>
          <w:p w14:paraId="2C1A0AF3" w14:textId="77777777" w:rsidR="00221FB6" w:rsidRDefault="00221FB6" w:rsidP="00221FB6">
            <w:pPr>
              <w:jc w:val="right"/>
              <w:rPr>
                <w:color w:val="000000"/>
                <w:sz w:val="16"/>
                <w:szCs w:val="16"/>
              </w:rPr>
            </w:pPr>
            <w:r>
              <w:rPr>
                <w:color w:val="000000"/>
                <w:sz w:val="16"/>
                <w:szCs w:val="16"/>
              </w:rPr>
              <w:t>68.3</w:t>
            </w:r>
          </w:p>
        </w:tc>
        <w:tc>
          <w:tcPr>
            <w:tcW w:w="0" w:type="auto"/>
            <w:tcBorders>
              <w:top w:val="single" w:sz="4" w:space="0" w:color="auto"/>
              <w:right w:val="single" w:sz="4" w:space="0" w:color="auto"/>
            </w:tcBorders>
            <w:vAlign w:val="center"/>
          </w:tcPr>
          <w:p w14:paraId="7E22D4E1" w14:textId="77777777" w:rsidR="00221FB6" w:rsidRDefault="00221FB6" w:rsidP="00221FB6">
            <w:pPr>
              <w:jc w:val="right"/>
              <w:rPr>
                <w:color w:val="000000"/>
                <w:sz w:val="16"/>
                <w:szCs w:val="16"/>
              </w:rPr>
            </w:pPr>
            <w:r>
              <w:rPr>
                <w:color w:val="000000"/>
                <w:sz w:val="16"/>
                <w:szCs w:val="16"/>
              </w:rPr>
              <w:t>(65.8, 70.9)</w:t>
            </w:r>
          </w:p>
        </w:tc>
        <w:tc>
          <w:tcPr>
            <w:tcW w:w="0" w:type="auto"/>
            <w:tcBorders>
              <w:top w:val="single" w:sz="4" w:space="0" w:color="auto"/>
              <w:left w:val="single" w:sz="4" w:space="0" w:color="auto"/>
            </w:tcBorders>
            <w:vAlign w:val="center"/>
          </w:tcPr>
          <w:p w14:paraId="194DBC51" w14:textId="77777777" w:rsidR="00221FB6" w:rsidRDefault="00221FB6" w:rsidP="00221FB6">
            <w:pPr>
              <w:jc w:val="right"/>
              <w:rPr>
                <w:color w:val="000000"/>
                <w:sz w:val="16"/>
                <w:szCs w:val="16"/>
              </w:rPr>
            </w:pPr>
            <w:r>
              <w:rPr>
                <w:color w:val="000000"/>
                <w:sz w:val="16"/>
                <w:szCs w:val="16"/>
              </w:rPr>
              <w:t>673</w:t>
            </w:r>
          </w:p>
        </w:tc>
        <w:tc>
          <w:tcPr>
            <w:tcW w:w="0" w:type="auto"/>
            <w:tcBorders>
              <w:top w:val="single" w:sz="4" w:space="0" w:color="auto"/>
            </w:tcBorders>
            <w:vAlign w:val="center"/>
          </w:tcPr>
          <w:p w14:paraId="563E3D93" w14:textId="77777777" w:rsidR="00221FB6" w:rsidRDefault="00221FB6" w:rsidP="00221FB6">
            <w:pPr>
              <w:jc w:val="right"/>
              <w:rPr>
                <w:color w:val="000000"/>
                <w:sz w:val="16"/>
                <w:szCs w:val="16"/>
              </w:rPr>
            </w:pPr>
            <w:r>
              <w:rPr>
                <w:color w:val="000000"/>
                <w:sz w:val="16"/>
                <w:szCs w:val="16"/>
              </w:rPr>
              <w:t>68.2</w:t>
            </w:r>
          </w:p>
        </w:tc>
        <w:tc>
          <w:tcPr>
            <w:tcW w:w="0" w:type="auto"/>
            <w:tcBorders>
              <w:top w:val="single" w:sz="4" w:space="0" w:color="auto"/>
              <w:right w:val="single" w:sz="4" w:space="0" w:color="auto"/>
            </w:tcBorders>
            <w:vAlign w:val="center"/>
          </w:tcPr>
          <w:p w14:paraId="2CCD1B8D" w14:textId="77777777" w:rsidR="00221FB6" w:rsidRDefault="00221FB6" w:rsidP="00221FB6">
            <w:pPr>
              <w:jc w:val="right"/>
              <w:rPr>
                <w:color w:val="000000"/>
                <w:sz w:val="16"/>
                <w:szCs w:val="16"/>
              </w:rPr>
            </w:pPr>
            <w:r>
              <w:rPr>
                <w:color w:val="000000"/>
                <w:sz w:val="16"/>
                <w:szCs w:val="16"/>
              </w:rPr>
              <w:t>(65</w:t>
            </w:r>
            <w:r w:rsidR="00454B56">
              <w:rPr>
                <w:color w:val="000000"/>
                <w:sz w:val="16"/>
                <w:szCs w:val="16"/>
              </w:rPr>
              <w:t>.0</w:t>
            </w:r>
            <w:r>
              <w:rPr>
                <w:color w:val="000000"/>
                <w:sz w:val="16"/>
                <w:szCs w:val="16"/>
              </w:rPr>
              <w:t>, 71.4)</w:t>
            </w:r>
          </w:p>
        </w:tc>
        <w:tc>
          <w:tcPr>
            <w:tcW w:w="0" w:type="auto"/>
            <w:tcBorders>
              <w:top w:val="single" w:sz="4" w:space="0" w:color="auto"/>
              <w:left w:val="single" w:sz="4" w:space="0" w:color="auto"/>
            </w:tcBorders>
            <w:vAlign w:val="center"/>
          </w:tcPr>
          <w:p w14:paraId="53A6C052" w14:textId="77777777" w:rsidR="00221FB6" w:rsidRDefault="00221FB6" w:rsidP="00221FB6">
            <w:pPr>
              <w:jc w:val="right"/>
              <w:rPr>
                <w:color w:val="000000"/>
                <w:sz w:val="16"/>
                <w:szCs w:val="16"/>
              </w:rPr>
            </w:pPr>
            <w:r>
              <w:rPr>
                <w:color w:val="000000"/>
                <w:sz w:val="16"/>
                <w:szCs w:val="16"/>
              </w:rPr>
              <w:t>560</w:t>
            </w:r>
          </w:p>
        </w:tc>
        <w:tc>
          <w:tcPr>
            <w:tcW w:w="0" w:type="auto"/>
            <w:tcBorders>
              <w:top w:val="single" w:sz="4" w:space="0" w:color="auto"/>
            </w:tcBorders>
            <w:vAlign w:val="center"/>
          </w:tcPr>
          <w:p w14:paraId="3F2CEA4C" w14:textId="77777777" w:rsidR="00221FB6" w:rsidRDefault="00221FB6" w:rsidP="00221FB6">
            <w:pPr>
              <w:jc w:val="right"/>
              <w:rPr>
                <w:color w:val="000000"/>
                <w:sz w:val="16"/>
                <w:szCs w:val="16"/>
              </w:rPr>
            </w:pPr>
            <w:r>
              <w:rPr>
                <w:color w:val="000000"/>
                <w:sz w:val="16"/>
                <w:szCs w:val="16"/>
              </w:rPr>
              <w:t>66.5</w:t>
            </w:r>
          </w:p>
        </w:tc>
        <w:tc>
          <w:tcPr>
            <w:tcW w:w="0" w:type="auto"/>
            <w:tcBorders>
              <w:top w:val="single" w:sz="4" w:space="0" w:color="auto"/>
              <w:right w:val="single" w:sz="4" w:space="0" w:color="auto"/>
            </w:tcBorders>
            <w:vAlign w:val="center"/>
          </w:tcPr>
          <w:p w14:paraId="39253DA7" w14:textId="77777777" w:rsidR="00221FB6" w:rsidRDefault="00221FB6" w:rsidP="00221FB6">
            <w:pPr>
              <w:jc w:val="right"/>
              <w:rPr>
                <w:color w:val="000000"/>
                <w:sz w:val="16"/>
                <w:szCs w:val="16"/>
              </w:rPr>
            </w:pPr>
            <w:r>
              <w:rPr>
                <w:color w:val="000000"/>
                <w:sz w:val="16"/>
                <w:szCs w:val="16"/>
              </w:rPr>
              <w:t>(62.8, 70.1)</w:t>
            </w:r>
          </w:p>
        </w:tc>
        <w:tc>
          <w:tcPr>
            <w:tcW w:w="0" w:type="auto"/>
            <w:tcBorders>
              <w:top w:val="single" w:sz="4" w:space="0" w:color="auto"/>
              <w:left w:val="single" w:sz="4" w:space="0" w:color="auto"/>
            </w:tcBorders>
            <w:vAlign w:val="center"/>
          </w:tcPr>
          <w:p w14:paraId="64BAF38D" w14:textId="77777777" w:rsidR="00221FB6" w:rsidRDefault="00221FB6" w:rsidP="00221FB6">
            <w:pPr>
              <w:jc w:val="right"/>
              <w:rPr>
                <w:color w:val="000000"/>
                <w:sz w:val="16"/>
                <w:szCs w:val="16"/>
              </w:rPr>
            </w:pPr>
            <w:r>
              <w:rPr>
                <w:color w:val="000000"/>
                <w:sz w:val="16"/>
                <w:szCs w:val="16"/>
              </w:rPr>
              <w:t>487</w:t>
            </w:r>
          </w:p>
        </w:tc>
        <w:tc>
          <w:tcPr>
            <w:tcW w:w="0" w:type="auto"/>
            <w:tcBorders>
              <w:top w:val="single" w:sz="4" w:space="0" w:color="auto"/>
            </w:tcBorders>
            <w:vAlign w:val="center"/>
          </w:tcPr>
          <w:p w14:paraId="731E57CA" w14:textId="77777777" w:rsidR="00221FB6" w:rsidRDefault="00221FB6" w:rsidP="00221FB6">
            <w:pPr>
              <w:jc w:val="right"/>
              <w:rPr>
                <w:color w:val="000000"/>
                <w:sz w:val="16"/>
                <w:szCs w:val="16"/>
              </w:rPr>
            </w:pPr>
            <w:r>
              <w:rPr>
                <w:color w:val="000000"/>
                <w:sz w:val="16"/>
                <w:szCs w:val="16"/>
              </w:rPr>
              <w:t>66.2</w:t>
            </w:r>
          </w:p>
        </w:tc>
        <w:tc>
          <w:tcPr>
            <w:tcW w:w="0" w:type="auto"/>
            <w:tcBorders>
              <w:top w:val="single" w:sz="4" w:space="0" w:color="auto"/>
            </w:tcBorders>
            <w:vAlign w:val="center"/>
          </w:tcPr>
          <w:p w14:paraId="6E1ACBFA" w14:textId="77777777" w:rsidR="00221FB6" w:rsidRDefault="00221FB6" w:rsidP="00221FB6">
            <w:pPr>
              <w:jc w:val="right"/>
              <w:rPr>
                <w:color w:val="000000"/>
                <w:sz w:val="16"/>
                <w:szCs w:val="16"/>
              </w:rPr>
            </w:pPr>
            <w:r>
              <w:rPr>
                <w:color w:val="000000"/>
                <w:sz w:val="16"/>
                <w:szCs w:val="16"/>
              </w:rPr>
              <w:t>(62.4, 69.9)</w:t>
            </w:r>
          </w:p>
        </w:tc>
      </w:tr>
      <w:tr w:rsidR="00221FB6" w:rsidRPr="007B4EF8" w14:paraId="3B171F6A" w14:textId="77777777" w:rsidTr="00604260">
        <w:trPr>
          <w:jc w:val="center"/>
        </w:trPr>
        <w:tc>
          <w:tcPr>
            <w:tcW w:w="0" w:type="auto"/>
          </w:tcPr>
          <w:p w14:paraId="2903E0CB" w14:textId="77777777" w:rsidR="00221FB6" w:rsidRDefault="00221FB6" w:rsidP="00221FB6">
            <w:pPr>
              <w:spacing w:before="20" w:after="20"/>
              <w:ind w:left="34"/>
              <w:rPr>
                <w:rFonts w:eastAsiaTheme="minorEastAsia"/>
                <w:sz w:val="16"/>
                <w:szCs w:val="16"/>
                <w:lang w:eastAsia="en-US"/>
              </w:rPr>
            </w:pPr>
          </w:p>
        </w:tc>
        <w:tc>
          <w:tcPr>
            <w:tcW w:w="0" w:type="auto"/>
          </w:tcPr>
          <w:p w14:paraId="14D386A5"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Low-risk gambler</w:t>
            </w:r>
          </w:p>
        </w:tc>
        <w:tc>
          <w:tcPr>
            <w:tcW w:w="0" w:type="auto"/>
            <w:vAlign w:val="center"/>
          </w:tcPr>
          <w:p w14:paraId="11E11294" w14:textId="77777777" w:rsidR="00221FB6" w:rsidRDefault="00221FB6" w:rsidP="00221FB6">
            <w:pPr>
              <w:jc w:val="right"/>
              <w:rPr>
                <w:color w:val="000000"/>
                <w:sz w:val="16"/>
                <w:szCs w:val="16"/>
              </w:rPr>
            </w:pPr>
            <w:r>
              <w:rPr>
                <w:color w:val="000000"/>
                <w:sz w:val="16"/>
                <w:szCs w:val="16"/>
              </w:rPr>
              <w:t>67</w:t>
            </w:r>
          </w:p>
        </w:tc>
        <w:tc>
          <w:tcPr>
            <w:tcW w:w="0" w:type="auto"/>
            <w:vAlign w:val="center"/>
          </w:tcPr>
          <w:p w14:paraId="029278CF" w14:textId="77777777" w:rsidR="00221FB6" w:rsidRDefault="00221FB6" w:rsidP="00221FB6">
            <w:pPr>
              <w:jc w:val="right"/>
              <w:rPr>
                <w:color w:val="000000"/>
                <w:sz w:val="16"/>
                <w:szCs w:val="16"/>
              </w:rPr>
            </w:pPr>
            <w:r>
              <w:rPr>
                <w:color w:val="000000"/>
                <w:sz w:val="16"/>
                <w:szCs w:val="16"/>
              </w:rPr>
              <w:t>3.9</w:t>
            </w:r>
          </w:p>
        </w:tc>
        <w:tc>
          <w:tcPr>
            <w:tcW w:w="0" w:type="auto"/>
            <w:tcBorders>
              <w:right w:val="single" w:sz="4" w:space="0" w:color="auto"/>
            </w:tcBorders>
            <w:vAlign w:val="center"/>
          </w:tcPr>
          <w:p w14:paraId="483143CA" w14:textId="77777777" w:rsidR="00221FB6" w:rsidRDefault="00221FB6" w:rsidP="00221FB6">
            <w:pPr>
              <w:jc w:val="right"/>
              <w:rPr>
                <w:color w:val="000000"/>
                <w:sz w:val="16"/>
                <w:szCs w:val="16"/>
              </w:rPr>
            </w:pPr>
            <w:r>
              <w:rPr>
                <w:color w:val="000000"/>
                <w:sz w:val="16"/>
                <w:szCs w:val="16"/>
              </w:rPr>
              <w:t>(2.7, 5.2)</w:t>
            </w:r>
          </w:p>
        </w:tc>
        <w:tc>
          <w:tcPr>
            <w:tcW w:w="0" w:type="auto"/>
            <w:tcBorders>
              <w:left w:val="single" w:sz="4" w:space="0" w:color="auto"/>
            </w:tcBorders>
            <w:vAlign w:val="center"/>
          </w:tcPr>
          <w:p w14:paraId="250264C5" w14:textId="77777777" w:rsidR="00221FB6" w:rsidRDefault="00221FB6" w:rsidP="00221FB6">
            <w:pPr>
              <w:jc w:val="right"/>
              <w:rPr>
                <w:color w:val="000000"/>
                <w:sz w:val="16"/>
                <w:szCs w:val="16"/>
              </w:rPr>
            </w:pPr>
            <w:r>
              <w:rPr>
                <w:color w:val="000000"/>
                <w:sz w:val="16"/>
                <w:szCs w:val="16"/>
              </w:rPr>
              <w:t>52</w:t>
            </w:r>
          </w:p>
        </w:tc>
        <w:tc>
          <w:tcPr>
            <w:tcW w:w="0" w:type="auto"/>
            <w:vAlign w:val="center"/>
          </w:tcPr>
          <w:p w14:paraId="67E08F83" w14:textId="77777777" w:rsidR="00221FB6" w:rsidRDefault="00221FB6" w:rsidP="00221FB6">
            <w:pPr>
              <w:jc w:val="right"/>
              <w:rPr>
                <w:color w:val="000000"/>
                <w:sz w:val="16"/>
                <w:szCs w:val="16"/>
              </w:rPr>
            </w:pPr>
            <w:r>
              <w:rPr>
                <w:color w:val="000000"/>
                <w:sz w:val="16"/>
                <w:szCs w:val="16"/>
              </w:rPr>
              <w:t>5.3</w:t>
            </w:r>
          </w:p>
        </w:tc>
        <w:tc>
          <w:tcPr>
            <w:tcW w:w="0" w:type="auto"/>
            <w:tcBorders>
              <w:right w:val="single" w:sz="4" w:space="0" w:color="auto"/>
            </w:tcBorders>
            <w:vAlign w:val="center"/>
          </w:tcPr>
          <w:p w14:paraId="2CEE8C67" w14:textId="77777777" w:rsidR="00221FB6" w:rsidRDefault="00221FB6" w:rsidP="00221FB6">
            <w:pPr>
              <w:jc w:val="right"/>
              <w:rPr>
                <w:color w:val="000000"/>
                <w:sz w:val="16"/>
                <w:szCs w:val="16"/>
              </w:rPr>
            </w:pPr>
            <w:r>
              <w:rPr>
                <w:color w:val="000000"/>
                <w:sz w:val="16"/>
                <w:szCs w:val="16"/>
              </w:rPr>
              <w:t>(3.7, 6.8)</w:t>
            </w:r>
          </w:p>
        </w:tc>
        <w:tc>
          <w:tcPr>
            <w:tcW w:w="0" w:type="auto"/>
            <w:tcBorders>
              <w:left w:val="single" w:sz="4" w:space="0" w:color="auto"/>
            </w:tcBorders>
            <w:vAlign w:val="center"/>
          </w:tcPr>
          <w:p w14:paraId="568D0FE7" w14:textId="77777777" w:rsidR="00221FB6" w:rsidRDefault="00221FB6" w:rsidP="00221FB6">
            <w:pPr>
              <w:jc w:val="right"/>
              <w:rPr>
                <w:color w:val="000000"/>
                <w:sz w:val="16"/>
                <w:szCs w:val="16"/>
              </w:rPr>
            </w:pPr>
            <w:r>
              <w:rPr>
                <w:color w:val="000000"/>
                <w:sz w:val="16"/>
                <w:szCs w:val="16"/>
              </w:rPr>
              <w:t>31</w:t>
            </w:r>
          </w:p>
        </w:tc>
        <w:tc>
          <w:tcPr>
            <w:tcW w:w="0" w:type="auto"/>
            <w:vAlign w:val="center"/>
          </w:tcPr>
          <w:p w14:paraId="7CA7EB81" w14:textId="77777777" w:rsidR="00221FB6" w:rsidRDefault="00221FB6" w:rsidP="00221FB6">
            <w:pPr>
              <w:jc w:val="right"/>
              <w:rPr>
                <w:color w:val="000000"/>
                <w:sz w:val="16"/>
                <w:szCs w:val="16"/>
              </w:rPr>
            </w:pPr>
            <w:r>
              <w:rPr>
                <w:color w:val="000000"/>
                <w:sz w:val="16"/>
                <w:szCs w:val="16"/>
              </w:rPr>
              <w:t>3.7</w:t>
            </w:r>
          </w:p>
        </w:tc>
        <w:tc>
          <w:tcPr>
            <w:tcW w:w="0" w:type="auto"/>
            <w:tcBorders>
              <w:right w:val="single" w:sz="4" w:space="0" w:color="auto"/>
            </w:tcBorders>
            <w:vAlign w:val="center"/>
          </w:tcPr>
          <w:p w14:paraId="5102A4DB" w14:textId="77777777" w:rsidR="00221FB6" w:rsidRDefault="00221FB6" w:rsidP="00221FB6">
            <w:pPr>
              <w:jc w:val="right"/>
              <w:rPr>
                <w:color w:val="000000"/>
                <w:sz w:val="16"/>
                <w:szCs w:val="16"/>
              </w:rPr>
            </w:pPr>
            <w:r>
              <w:rPr>
                <w:color w:val="000000"/>
                <w:sz w:val="16"/>
                <w:szCs w:val="16"/>
              </w:rPr>
              <w:t>(2.3, 5.0)</w:t>
            </w:r>
          </w:p>
        </w:tc>
        <w:tc>
          <w:tcPr>
            <w:tcW w:w="0" w:type="auto"/>
            <w:tcBorders>
              <w:left w:val="single" w:sz="4" w:space="0" w:color="auto"/>
            </w:tcBorders>
            <w:vAlign w:val="center"/>
          </w:tcPr>
          <w:p w14:paraId="6D7B3C19" w14:textId="77777777" w:rsidR="00221FB6" w:rsidRDefault="00221FB6" w:rsidP="00221FB6">
            <w:pPr>
              <w:jc w:val="right"/>
              <w:rPr>
                <w:color w:val="000000"/>
                <w:sz w:val="16"/>
                <w:szCs w:val="16"/>
              </w:rPr>
            </w:pPr>
            <w:r>
              <w:rPr>
                <w:color w:val="000000"/>
                <w:sz w:val="16"/>
                <w:szCs w:val="16"/>
              </w:rPr>
              <w:t>20</w:t>
            </w:r>
          </w:p>
        </w:tc>
        <w:tc>
          <w:tcPr>
            <w:tcW w:w="0" w:type="auto"/>
            <w:vAlign w:val="center"/>
          </w:tcPr>
          <w:p w14:paraId="2BBD836B" w14:textId="77777777" w:rsidR="00221FB6" w:rsidRDefault="00221FB6" w:rsidP="00221FB6">
            <w:pPr>
              <w:jc w:val="right"/>
              <w:rPr>
                <w:color w:val="000000"/>
                <w:sz w:val="16"/>
                <w:szCs w:val="16"/>
              </w:rPr>
            </w:pPr>
            <w:r>
              <w:rPr>
                <w:color w:val="000000"/>
                <w:sz w:val="16"/>
                <w:szCs w:val="16"/>
              </w:rPr>
              <w:t>2.7</w:t>
            </w:r>
          </w:p>
        </w:tc>
        <w:tc>
          <w:tcPr>
            <w:tcW w:w="0" w:type="auto"/>
            <w:vAlign w:val="center"/>
          </w:tcPr>
          <w:p w14:paraId="20676EEC" w14:textId="77777777" w:rsidR="00221FB6" w:rsidRDefault="00221FB6" w:rsidP="00221FB6">
            <w:pPr>
              <w:jc w:val="right"/>
              <w:rPr>
                <w:color w:val="000000"/>
                <w:sz w:val="16"/>
                <w:szCs w:val="16"/>
              </w:rPr>
            </w:pPr>
            <w:r>
              <w:rPr>
                <w:color w:val="000000"/>
                <w:sz w:val="16"/>
                <w:szCs w:val="16"/>
              </w:rPr>
              <w:t>(1.5, 3.8)</w:t>
            </w:r>
          </w:p>
        </w:tc>
      </w:tr>
      <w:tr w:rsidR="00221FB6" w:rsidRPr="007B4EF8" w14:paraId="66B8D12E" w14:textId="77777777" w:rsidTr="00604260">
        <w:trPr>
          <w:jc w:val="center"/>
        </w:trPr>
        <w:tc>
          <w:tcPr>
            <w:tcW w:w="0" w:type="auto"/>
          </w:tcPr>
          <w:p w14:paraId="011CEA85" w14:textId="77777777" w:rsidR="00221FB6" w:rsidRDefault="00221FB6" w:rsidP="00221FB6">
            <w:pPr>
              <w:spacing w:before="20" w:after="20"/>
              <w:ind w:left="34"/>
              <w:rPr>
                <w:rFonts w:eastAsiaTheme="minorEastAsia"/>
                <w:sz w:val="16"/>
                <w:szCs w:val="16"/>
                <w:lang w:eastAsia="en-US"/>
              </w:rPr>
            </w:pPr>
          </w:p>
        </w:tc>
        <w:tc>
          <w:tcPr>
            <w:tcW w:w="0" w:type="auto"/>
          </w:tcPr>
          <w:p w14:paraId="4D5DAEF5"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0" w:type="auto"/>
            <w:vAlign w:val="center"/>
          </w:tcPr>
          <w:p w14:paraId="1E0DC127" w14:textId="77777777" w:rsidR="00221FB6" w:rsidRDefault="00221FB6" w:rsidP="00221FB6">
            <w:pPr>
              <w:jc w:val="right"/>
              <w:rPr>
                <w:color w:val="000000"/>
                <w:sz w:val="16"/>
                <w:szCs w:val="16"/>
              </w:rPr>
            </w:pPr>
            <w:r>
              <w:rPr>
                <w:color w:val="000000"/>
                <w:sz w:val="16"/>
                <w:szCs w:val="16"/>
              </w:rPr>
              <w:t>33</w:t>
            </w:r>
          </w:p>
        </w:tc>
        <w:tc>
          <w:tcPr>
            <w:tcW w:w="0" w:type="auto"/>
            <w:vAlign w:val="center"/>
          </w:tcPr>
          <w:p w14:paraId="10B7B370" w14:textId="77777777" w:rsidR="00221FB6" w:rsidRDefault="00221FB6" w:rsidP="00221FB6">
            <w:pPr>
              <w:jc w:val="right"/>
              <w:rPr>
                <w:color w:val="000000"/>
                <w:sz w:val="16"/>
                <w:szCs w:val="16"/>
              </w:rPr>
            </w:pPr>
            <w:r>
              <w:rPr>
                <w:color w:val="000000"/>
                <w:sz w:val="16"/>
                <w:szCs w:val="16"/>
              </w:rPr>
              <w:t>2.0</w:t>
            </w:r>
          </w:p>
        </w:tc>
        <w:tc>
          <w:tcPr>
            <w:tcW w:w="0" w:type="auto"/>
            <w:tcBorders>
              <w:right w:val="single" w:sz="4" w:space="0" w:color="auto"/>
            </w:tcBorders>
            <w:vAlign w:val="center"/>
          </w:tcPr>
          <w:p w14:paraId="726B80FD" w14:textId="77777777" w:rsidR="00221FB6" w:rsidRDefault="00221FB6" w:rsidP="00221FB6">
            <w:pPr>
              <w:jc w:val="right"/>
              <w:rPr>
                <w:color w:val="000000"/>
                <w:sz w:val="16"/>
                <w:szCs w:val="16"/>
              </w:rPr>
            </w:pPr>
            <w:r>
              <w:rPr>
                <w:color w:val="000000"/>
                <w:sz w:val="16"/>
                <w:szCs w:val="16"/>
              </w:rPr>
              <w:t>(1.2, 2.7)</w:t>
            </w:r>
          </w:p>
        </w:tc>
        <w:tc>
          <w:tcPr>
            <w:tcW w:w="0" w:type="auto"/>
            <w:tcBorders>
              <w:left w:val="single" w:sz="4" w:space="0" w:color="auto"/>
            </w:tcBorders>
            <w:vAlign w:val="center"/>
          </w:tcPr>
          <w:p w14:paraId="214057AF" w14:textId="77777777" w:rsidR="00221FB6" w:rsidRDefault="00221FB6" w:rsidP="00221FB6">
            <w:pPr>
              <w:jc w:val="right"/>
              <w:rPr>
                <w:color w:val="000000"/>
                <w:sz w:val="16"/>
                <w:szCs w:val="16"/>
              </w:rPr>
            </w:pPr>
            <w:r>
              <w:rPr>
                <w:color w:val="000000"/>
                <w:sz w:val="16"/>
                <w:szCs w:val="16"/>
              </w:rPr>
              <w:t>14</w:t>
            </w:r>
          </w:p>
        </w:tc>
        <w:tc>
          <w:tcPr>
            <w:tcW w:w="0" w:type="auto"/>
            <w:vAlign w:val="center"/>
          </w:tcPr>
          <w:p w14:paraId="3C708C19" w14:textId="77777777" w:rsidR="00221FB6" w:rsidRDefault="00221FB6" w:rsidP="00221FB6">
            <w:pPr>
              <w:jc w:val="right"/>
              <w:rPr>
                <w:color w:val="000000"/>
                <w:sz w:val="16"/>
                <w:szCs w:val="16"/>
              </w:rPr>
            </w:pPr>
            <w:r>
              <w:rPr>
                <w:color w:val="000000"/>
                <w:sz w:val="16"/>
                <w:szCs w:val="16"/>
              </w:rPr>
              <w:t>1.5</w:t>
            </w:r>
          </w:p>
        </w:tc>
        <w:tc>
          <w:tcPr>
            <w:tcW w:w="0" w:type="auto"/>
            <w:tcBorders>
              <w:right w:val="single" w:sz="4" w:space="0" w:color="auto"/>
            </w:tcBorders>
            <w:vAlign w:val="center"/>
          </w:tcPr>
          <w:p w14:paraId="44BB6569" w14:textId="77777777" w:rsidR="00221FB6" w:rsidRDefault="00221FB6" w:rsidP="00221FB6">
            <w:pPr>
              <w:jc w:val="right"/>
              <w:rPr>
                <w:color w:val="000000"/>
                <w:sz w:val="16"/>
                <w:szCs w:val="16"/>
              </w:rPr>
            </w:pPr>
            <w:r>
              <w:rPr>
                <w:color w:val="000000"/>
                <w:sz w:val="16"/>
                <w:szCs w:val="16"/>
              </w:rPr>
              <w:t>(0.7, 2.2)</w:t>
            </w:r>
          </w:p>
        </w:tc>
        <w:tc>
          <w:tcPr>
            <w:tcW w:w="0" w:type="auto"/>
            <w:tcBorders>
              <w:left w:val="single" w:sz="4" w:space="0" w:color="auto"/>
            </w:tcBorders>
            <w:vAlign w:val="center"/>
          </w:tcPr>
          <w:p w14:paraId="642E4E2D" w14:textId="77777777" w:rsidR="00221FB6" w:rsidRDefault="00221FB6" w:rsidP="00221FB6">
            <w:pPr>
              <w:jc w:val="right"/>
              <w:rPr>
                <w:color w:val="000000"/>
                <w:sz w:val="16"/>
                <w:szCs w:val="16"/>
              </w:rPr>
            </w:pPr>
            <w:r>
              <w:rPr>
                <w:color w:val="000000"/>
                <w:sz w:val="16"/>
                <w:szCs w:val="16"/>
              </w:rPr>
              <w:t>12</w:t>
            </w:r>
          </w:p>
        </w:tc>
        <w:tc>
          <w:tcPr>
            <w:tcW w:w="0" w:type="auto"/>
            <w:vAlign w:val="center"/>
          </w:tcPr>
          <w:p w14:paraId="5F79F6CD" w14:textId="77777777" w:rsidR="00221FB6" w:rsidRDefault="00221FB6" w:rsidP="00221FB6">
            <w:pPr>
              <w:jc w:val="right"/>
              <w:rPr>
                <w:color w:val="000000"/>
                <w:sz w:val="16"/>
                <w:szCs w:val="16"/>
              </w:rPr>
            </w:pPr>
            <w:r>
              <w:rPr>
                <w:color w:val="000000"/>
                <w:sz w:val="16"/>
                <w:szCs w:val="16"/>
              </w:rPr>
              <w:t>1.4</w:t>
            </w:r>
          </w:p>
        </w:tc>
        <w:tc>
          <w:tcPr>
            <w:tcW w:w="0" w:type="auto"/>
            <w:tcBorders>
              <w:right w:val="single" w:sz="4" w:space="0" w:color="auto"/>
            </w:tcBorders>
            <w:vAlign w:val="center"/>
          </w:tcPr>
          <w:p w14:paraId="64FE0A3C" w14:textId="77777777" w:rsidR="00221FB6" w:rsidRDefault="00221FB6" w:rsidP="00221FB6">
            <w:pPr>
              <w:jc w:val="right"/>
              <w:rPr>
                <w:color w:val="000000"/>
                <w:sz w:val="16"/>
                <w:szCs w:val="16"/>
              </w:rPr>
            </w:pPr>
            <w:r>
              <w:rPr>
                <w:color w:val="000000"/>
                <w:sz w:val="16"/>
                <w:szCs w:val="16"/>
              </w:rPr>
              <w:t>(0.6, 2.2)</w:t>
            </w:r>
          </w:p>
        </w:tc>
        <w:tc>
          <w:tcPr>
            <w:tcW w:w="0" w:type="auto"/>
            <w:tcBorders>
              <w:left w:val="single" w:sz="4" w:space="0" w:color="auto"/>
            </w:tcBorders>
            <w:vAlign w:val="center"/>
          </w:tcPr>
          <w:p w14:paraId="00DB91FE" w14:textId="77777777" w:rsidR="00221FB6" w:rsidRDefault="00221FB6" w:rsidP="00221FB6">
            <w:pPr>
              <w:jc w:val="right"/>
              <w:rPr>
                <w:color w:val="000000"/>
                <w:sz w:val="16"/>
                <w:szCs w:val="16"/>
              </w:rPr>
            </w:pPr>
            <w:r>
              <w:rPr>
                <w:color w:val="000000"/>
                <w:sz w:val="16"/>
                <w:szCs w:val="16"/>
              </w:rPr>
              <w:t>10</w:t>
            </w:r>
          </w:p>
        </w:tc>
        <w:tc>
          <w:tcPr>
            <w:tcW w:w="0" w:type="auto"/>
            <w:vAlign w:val="center"/>
          </w:tcPr>
          <w:p w14:paraId="027C69DC" w14:textId="77777777" w:rsidR="00221FB6" w:rsidRDefault="00221FB6" w:rsidP="00221FB6">
            <w:pPr>
              <w:jc w:val="right"/>
              <w:rPr>
                <w:color w:val="000000"/>
                <w:sz w:val="16"/>
                <w:szCs w:val="16"/>
              </w:rPr>
            </w:pPr>
            <w:r>
              <w:rPr>
                <w:color w:val="000000"/>
                <w:sz w:val="16"/>
                <w:szCs w:val="16"/>
              </w:rPr>
              <w:t>1.3</w:t>
            </w:r>
          </w:p>
        </w:tc>
        <w:tc>
          <w:tcPr>
            <w:tcW w:w="0" w:type="auto"/>
            <w:vAlign w:val="center"/>
          </w:tcPr>
          <w:p w14:paraId="79F5D351" w14:textId="77777777" w:rsidR="00221FB6" w:rsidRDefault="00221FB6" w:rsidP="00221FB6">
            <w:pPr>
              <w:jc w:val="right"/>
              <w:rPr>
                <w:color w:val="000000"/>
                <w:sz w:val="16"/>
                <w:szCs w:val="16"/>
              </w:rPr>
            </w:pPr>
            <w:r>
              <w:rPr>
                <w:color w:val="000000"/>
                <w:sz w:val="16"/>
                <w:szCs w:val="16"/>
              </w:rPr>
              <w:t>(0.5, 2.1)</w:t>
            </w:r>
          </w:p>
        </w:tc>
      </w:tr>
      <w:tr w:rsidR="00221FB6" w:rsidRPr="007B4EF8" w14:paraId="2184C855" w14:textId="77777777" w:rsidTr="00604260">
        <w:trPr>
          <w:jc w:val="center"/>
        </w:trPr>
        <w:tc>
          <w:tcPr>
            <w:tcW w:w="0" w:type="auto"/>
          </w:tcPr>
          <w:p w14:paraId="5B3DC1E1" w14:textId="77777777" w:rsidR="00221FB6" w:rsidRDefault="00221FB6" w:rsidP="00221FB6">
            <w:pPr>
              <w:spacing w:before="20" w:after="20"/>
              <w:ind w:left="34"/>
              <w:rPr>
                <w:rFonts w:eastAsiaTheme="minorEastAsia"/>
                <w:sz w:val="16"/>
                <w:szCs w:val="16"/>
                <w:lang w:eastAsia="en-US"/>
              </w:rPr>
            </w:pPr>
          </w:p>
        </w:tc>
        <w:tc>
          <w:tcPr>
            <w:tcW w:w="0" w:type="auto"/>
          </w:tcPr>
          <w:p w14:paraId="6B43AB5A"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No gambling in past year</w:t>
            </w:r>
          </w:p>
        </w:tc>
        <w:tc>
          <w:tcPr>
            <w:tcW w:w="0" w:type="auto"/>
            <w:vAlign w:val="center"/>
          </w:tcPr>
          <w:p w14:paraId="1E119B00" w14:textId="77777777" w:rsidR="00221FB6" w:rsidRDefault="00221FB6" w:rsidP="00221FB6">
            <w:pPr>
              <w:jc w:val="right"/>
              <w:rPr>
                <w:color w:val="000000"/>
                <w:sz w:val="16"/>
                <w:szCs w:val="16"/>
              </w:rPr>
            </w:pPr>
            <w:r>
              <w:rPr>
                <w:color w:val="000000"/>
                <w:sz w:val="16"/>
                <w:szCs w:val="16"/>
              </w:rPr>
              <w:t>439</w:t>
            </w:r>
          </w:p>
        </w:tc>
        <w:tc>
          <w:tcPr>
            <w:tcW w:w="0" w:type="auto"/>
            <w:vAlign w:val="center"/>
          </w:tcPr>
          <w:p w14:paraId="247419DB" w14:textId="77777777" w:rsidR="00221FB6" w:rsidRDefault="00221FB6" w:rsidP="00221FB6">
            <w:pPr>
              <w:jc w:val="right"/>
              <w:rPr>
                <w:color w:val="000000"/>
                <w:sz w:val="16"/>
                <w:szCs w:val="16"/>
              </w:rPr>
            </w:pPr>
            <w:r>
              <w:rPr>
                <w:color w:val="000000"/>
                <w:sz w:val="16"/>
                <w:szCs w:val="16"/>
              </w:rPr>
              <w:t>25.8</w:t>
            </w:r>
          </w:p>
        </w:tc>
        <w:tc>
          <w:tcPr>
            <w:tcW w:w="0" w:type="auto"/>
            <w:tcBorders>
              <w:right w:val="single" w:sz="4" w:space="0" w:color="auto"/>
            </w:tcBorders>
            <w:vAlign w:val="center"/>
          </w:tcPr>
          <w:p w14:paraId="1510ABA5" w14:textId="77777777" w:rsidR="00221FB6" w:rsidRDefault="00221FB6" w:rsidP="00221FB6">
            <w:pPr>
              <w:jc w:val="right"/>
              <w:rPr>
                <w:color w:val="000000"/>
                <w:sz w:val="16"/>
                <w:szCs w:val="16"/>
              </w:rPr>
            </w:pPr>
            <w:r>
              <w:rPr>
                <w:color w:val="000000"/>
                <w:sz w:val="16"/>
                <w:szCs w:val="16"/>
              </w:rPr>
              <w:t>(23.4, 28.1)</w:t>
            </w:r>
          </w:p>
        </w:tc>
        <w:tc>
          <w:tcPr>
            <w:tcW w:w="0" w:type="auto"/>
            <w:tcBorders>
              <w:left w:val="single" w:sz="4" w:space="0" w:color="auto"/>
            </w:tcBorders>
            <w:vAlign w:val="center"/>
          </w:tcPr>
          <w:p w14:paraId="3B959E8D" w14:textId="77777777" w:rsidR="00221FB6" w:rsidRDefault="00221FB6" w:rsidP="00221FB6">
            <w:pPr>
              <w:jc w:val="right"/>
              <w:rPr>
                <w:color w:val="000000"/>
                <w:sz w:val="16"/>
                <w:szCs w:val="16"/>
              </w:rPr>
            </w:pPr>
            <w:r>
              <w:rPr>
                <w:color w:val="000000"/>
                <w:sz w:val="16"/>
                <w:szCs w:val="16"/>
              </w:rPr>
              <w:t>248</w:t>
            </w:r>
          </w:p>
        </w:tc>
        <w:tc>
          <w:tcPr>
            <w:tcW w:w="0" w:type="auto"/>
            <w:vAlign w:val="center"/>
          </w:tcPr>
          <w:p w14:paraId="75F0573E" w14:textId="77777777" w:rsidR="00221FB6" w:rsidRDefault="00221FB6" w:rsidP="00221FB6">
            <w:pPr>
              <w:jc w:val="right"/>
              <w:rPr>
                <w:color w:val="000000"/>
                <w:sz w:val="16"/>
                <w:szCs w:val="16"/>
              </w:rPr>
            </w:pPr>
            <w:r>
              <w:rPr>
                <w:color w:val="000000"/>
                <w:sz w:val="16"/>
                <w:szCs w:val="16"/>
              </w:rPr>
              <w:t>25.1</w:t>
            </w:r>
          </w:p>
        </w:tc>
        <w:tc>
          <w:tcPr>
            <w:tcW w:w="0" w:type="auto"/>
            <w:tcBorders>
              <w:right w:val="single" w:sz="4" w:space="0" w:color="auto"/>
            </w:tcBorders>
            <w:vAlign w:val="center"/>
          </w:tcPr>
          <w:p w14:paraId="204FE56E" w14:textId="77777777" w:rsidR="00221FB6" w:rsidRDefault="00221FB6" w:rsidP="00221FB6">
            <w:pPr>
              <w:jc w:val="right"/>
              <w:rPr>
                <w:color w:val="000000"/>
                <w:sz w:val="16"/>
                <w:szCs w:val="16"/>
              </w:rPr>
            </w:pPr>
            <w:r>
              <w:rPr>
                <w:color w:val="000000"/>
                <w:sz w:val="16"/>
                <w:szCs w:val="16"/>
              </w:rPr>
              <w:t>(22.1, 28.1)</w:t>
            </w:r>
          </w:p>
        </w:tc>
        <w:tc>
          <w:tcPr>
            <w:tcW w:w="0" w:type="auto"/>
            <w:tcBorders>
              <w:left w:val="single" w:sz="4" w:space="0" w:color="auto"/>
            </w:tcBorders>
            <w:vAlign w:val="center"/>
          </w:tcPr>
          <w:p w14:paraId="342162D6" w14:textId="77777777" w:rsidR="00221FB6" w:rsidRDefault="00221FB6" w:rsidP="00221FB6">
            <w:pPr>
              <w:jc w:val="right"/>
              <w:rPr>
                <w:color w:val="000000"/>
                <w:sz w:val="16"/>
                <w:szCs w:val="16"/>
              </w:rPr>
            </w:pPr>
            <w:r>
              <w:rPr>
                <w:color w:val="000000"/>
                <w:sz w:val="16"/>
                <w:szCs w:val="16"/>
              </w:rPr>
              <w:t>240</w:t>
            </w:r>
          </w:p>
        </w:tc>
        <w:tc>
          <w:tcPr>
            <w:tcW w:w="0" w:type="auto"/>
            <w:vAlign w:val="center"/>
          </w:tcPr>
          <w:p w14:paraId="7FD97638" w14:textId="77777777" w:rsidR="00221FB6" w:rsidRDefault="00221FB6" w:rsidP="00221FB6">
            <w:pPr>
              <w:jc w:val="right"/>
              <w:rPr>
                <w:color w:val="000000"/>
                <w:sz w:val="16"/>
                <w:szCs w:val="16"/>
              </w:rPr>
            </w:pPr>
            <w:r>
              <w:rPr>
                <w:color w:val="000000"/>
                <w:sz w:val="16"/>
                <w:szCs w:val="16"/>
              </w:rPr>
              <w:t>28.5</w:t>
            </w:r>
          </w:p>
        </w:tc>
        <w:tc>
          <w:tcPr>
            <w:tcW w:w="0" w:type="auto"/>
            <w:tcBorders>
              <w:right w:val="single" w:sz="4" w:space="0" w:color="auto"/>
            </w:tcBorders>
            <w:vAlign w:val="center"/>
          </w:tcPr>
          <w:p w14:paraId="54993150" w14:textId="77777777" w:rsidR="00221FB6" w:rsidRDefault="00221FB6" w:rsidP="00221FB6">
            <w:pPr>
              <w:jc w:val="right"/>
              <w:rPr>
                <w:color w:val="000000"/>
                <w:sz w:val="16"/>
                <w:szCs w:val="16"/>
              </w:rPr>
            </w:pPr>
            <w:r>
              <w:rPr>
                <w:color w:val="000000"/>
                <w:sz w:val="16"/>
                <w:szCs w:val="16"/>
              </w:rPr>
              <w:t>(24.9, 32.1)</w:t>
            </w:r>
          </w:p>
        </w:tc>
        <w:tc>
          <w:tcPr>
            <w:tcW w:w="0" w:type="auto"/>
            <w:tcBorders>
              <w:left w:val="single" w:sz="4" w:space="0" w:color="auto"/>
            </w:tcBorders>
            <w:vAlign w:val="center"/>
          </w:tcPr>
          <w:p w14:paraId="1405A45B" w14:textId="77777777" w:rsidR="00221FB6" w:rsidRDefault="00221FB6" w:rsidP="00221FB6">
            <w:pPr>
              <w:jc w:val="right"/>
              <w:rPr>
                <w:color w:val="000000"/>
                <w:sz w:val="16"/>
                <w:szCs w:val="16"/>
              </w:rPr>
            </w:pPr>
            <w:r>
              <w:rPr>
                <w:color w:val="000000"/>
                <w:sz w:val="16"/>
                <w:szCs w:val="16"/>
              </w:rPr>
              <w:t>220</w:t>
            </w:r>
          </w:p>
        </w:tc>
        <w:tc>
          <w:tcPr>
            <w:tcW w:w="0" w:type="auto"/>
            <w:vAlign w:val="center"/>
          </w:tcPr>
          <w:p w14:paraId="377EE5D1" w14:textId="77777777" w:rsidR="00221FB6" w:rsidRDefault="00221FB6" w:rsidP="00221FB6">
            <w:pPr>
              <w:jc w:val="right"/>
              <w:rPr>
                <w:color w:val="000000"/>
                <w:sz w:val="16"/>
                <w:szCs w:val="16"/>
              </w:rPr>
            </w:pPr>
            <w:r>
              <w:rPr>
                <w:color w:val="000000"/>
                <w:sz w:val="16"/>
                <w:szCs w:val="16"/>
              </w:rPr>
              <w:t>29.9</w:t>
            </w:r>
          </w:p>
        </w:tc>
        <w:tc>
          <w:tcPr>
            <w:tcW w:w="0" w:type="auto"/>
            <w:vAlign w:val="center"/>
          </w:tcPr>
          <w:p w14:paraId="1A434397" w14:textId="77777777" w:rsidR="00221FB6" w:rsidRDefault="00221FB6" w:rsidP="00221FB6">
            <w:pPr>
              <w:jc w:val="right"/>
              <w:rPr>
                <w:color w:val="000000"/>
                <w:sz w:val="16"/>
                <w:szCs w:val="16"/>
              </w:rPr>
            </w:pPr>
            <w:r>
              <w:rPr>
                <w:color w:val="000000"/>
                <w:sz w:val="16"/>
                <w:szCs w:val="16"/>
              </w:rPr>
              <w:t>(26.2, 33.5)</w:t>
            </w:r>
          </w:p>
        </w:tc>
      </w:tr>
      <w:tr w:rsidR="00221FB6" w:rsidRPr="007B4EF8" w14:paraId="70CD1BE4" w14:textId="77777777" w:rsidTr="00604260">
        <w:trPr>
          <w:jc w:val="center"/>
        </w:trPr>
        <w:tc>
          <w:tcPr>
            <w:tcW w:w="0" w:type="auto"/>
          </w:tcPr>
          <w:p w14:paraId="7E061B80" w14:textId="77777777" w:rsidR="00221FB6" w:rsidRPr="00221FB6" w:rsidRDefault="00221FB6" w:rsidP="00221FB6">
            <w:pPr>
              <w:spacing w:before="20" w:after="20"/>
              <w:ind w:left="34"/>
              <w:rPr>
                <w:rFonts w:eastAsiaTheme="minorEastAsia"/>
                <w:b/>
                <w:sz w:val="16"/>
                <w:szCs w:val="16"/>
                <w:lang w:eastAsia="en-US"/>
              </w:rPr>
            </w:pPr>
            <w:r>
              <w:rPr>
                <w:rFonts w:eastAsiaTheme="minorEastAsia"/>
                <w:b/>
                <w:sz w:val="16"/>
                <w:szCs w:val="16"/>
                <w:lang w:eastAsia="en-US"/>
              </w:rPr>
              <w:t>NZ Individual Deprivation Index</w:t>
            </w:r>
          </w:p>
        </w:tc>
        <w:tc>
          <w:tcPr>
            <w:tcW w:w="0" w:type="auto"/>
          </w:tcPr>
          <w:p w14:paraId="4B59E74C" w14:textId="77777777" w:rsidR="00221FB6" w:rsidRPr="001B7431" w:rsidRDefault="00221FB6" w:rsidP="00221FB6">
            <w:pPr>
              <w:spacing w:before="20" w:after="20"/>
              <w:ind w:left="34"/>
              <w:rPr>
                <w:rFonts w:eastAsiaTheme="minorEastAsia"/>
                <w:sz w:val="16"/>
                <w:szCs w:val="16"/>
                <w:lang w:eastAsia="en-US"/>
              </w:rPr>
            </w:pPr>
          </w:p>
        </w:tc>
        <w:tc>
          <w:tcPr>
            <w:tcW w:w="0" w:type="auto"/>
            <w:vAlign w:val="center"/>
          </w:tcPr>
          <w:p w14:paraId="530B3ABB" w14:textId="77777777" w:rsidR="00221FB6" w:rsidRPr="001B7431" w:rsidRDefault="00221FB6" w:rsidP="00221FB6">
            <w:pPr>
              <w:spacing w:before="20" w:after="20"/>
              <w:ind w:left="34"/>
              <w:jc w:val="right"/>
              <w:rPr>
                <w:rFonts w:eastAsiaTheme="minorEastAsia"/>
                <w:sz w:val="16"/>
                <w:szCs w:val="16"/>
                <w:lang w:eastAsia="en-US"/>
              </w:rPr>
            </w:pPr>
          </w:p>
        </w:tc>
        <w:tc>
          <w:tcPr>
            <w:tcW w:w="0" w:type="auto"/>
            <w:vAlign w:val="center"/>
          </w:tcPr>
          <w:p w14:paraId="70D8F5E4" w14:textId="77777777" w:rsidR="00221FB6" w:rsidRPr="001B7431" w:rsidRDefault="00221FB6" w:rsidP="00221FB6">
            <w:pPr>
              <w:spacing w:before="20" w:after="20"/>
              <w:ind w:left="34"/>
              <w:jc w:val="right"/>
              <w:rPr>
                <w:rFonts w:eastAsiaTheme="minorEastAsia"/>
                <w:sz w:val="16"/>
                <w:szCs w:val="16"/>
                <w:lang w:eastAsia="en-US"/>
              </w:rPr>
            </w:pPr>
          </w:p>
        </w:tc>
        <w:tc>
          <w:tcPr>
            <w:tcW w:w="0" w:type="auto"/>
            <w:tcBorders>
              <w:right w:val="single" w:sz="4" w:space="0" w:color="auto"/>
            </w:tcBorders>
            <w:vAlign w:val="center"/>
          </w:tcPr>
          <w:p w14:paraId="4E5E237D" w14:textId="77777777" w:rsidR="00221FB6" w:rsidRPr="001B7431" w:rsidRDefault="00221FB6" w:rsidP="00221FB6">
            <w:pPr>
              <w:spacing w:before="20" w:after="20"/>
              <w:ind w:left="34"/>
              <w:jc w:val="right"/>
              <w:rPr>
                <w:rFonts w:eastAsiaTheme="minorEastAsia"/>
                <w:sz w:val="16"/>
                <w:szCs w:val="16"/>
                <w:lang w:eastAsia="en-US"/>
              </w:rPr>
            </w:pPr>
          </w:p>
        </w:tc>
        <w:tc>
          <w:tcPr>
            <w:tcW w:w="0" w:type="auto"/>
            <w:tcBorders>
              <w:left w:val="single" w:sz="4" w:space="0" w:color="auto"/>
            </w:tcBorders>
            <w:vAlign w:val="center"/>
          </w:tcPr>
          <w:p w14:paraId="0C844F66" w14:textId="77777777" w:rsidR="00221FB6" w:rsidRPr="001B7431" w:rsidRDefault="00221FB6" w:rsidP="00221FB6">
            <w:pPr>
              <w:spacing w:before="20" w:after="20"/>
              <w:ind w:left="34"/>
              <w:jc w:val="right"/>
              <w:rPr>
                <w:rFonts w:eastAsiaTheme="minorEastAsia"/>
                <w:sz w:val="16"/>
                <w:szCs w:val="16"/>
                <w:lang w:eastAsia="en-US"/>
              </w:rPr>
            </w:pPr>
          </w:p>
        </w:tc>
        <w:tc>
          <w:tcPr>
            <w:tcW w:w="0" w:type="auto"/>
            <w:vAlign w:val="center"/>
          </w:tcPr>
          <w:p w14:paraId="4AE6BF7D" w14:textId="77777777" w:rsidR="00221FB6" w:rsidRPr="001B7431" w:rsidRDefault="00221FB6" w:rsidP="00221FB6">
            <w:pPr>
              <w:spacing w:before="20" w:after="20"/>
              <w:ind w:left="34"/>
              <w:jc w:val="right"/>
              <w:rPr>
                <w:rFonts w:eastAsiaTheme="minorEastAsia"/>
                <w:sz w:val="16"/>
                <w:szCs w:val="16"/>
                <w:lang w:eastAsia="en-US"/>
              </w:rPr>
            </w:pPr>
          </w:p>
        </w:tc>
        <w:tc>
          <w:tcPr>
            <w:tcW w:w="0" w:type="auto"/>
            <w:tcBorders>
              <w:right w:val="single" w:sz="4" w:space="0" w:color="auto"/>
            </w:tcBorders>
            <w:vAlign w:val="center"/>
          </w:tcPr>
          <w:p w14:paraId="114D0A89" w14:textId="77777777" w:rsidR="00221FB6" w:rsidRPr="001B7431" w:rsidRDefault="00221FB6" w:rsidP="00221FB6">
            <w:pPr>
              <w:spacing w:before="20" w:after="20"/>
              <w:ind w:left="34"/>
              <w:jc w:val="right"/>
              <w:rPr>
                <w:rFonts w:eastAsiaTheme="minorEastAsia"/>
                <w:sz w:val="16"/>
                <w:szCs w:val="16"/>
                <w:lang w:eastAsia="en-US"/>
              </w:rPr>
            </w:pPr>
          </w:p>
        </w:tc>
        <w:tc>
          <w:tcPr>
            <w:tcW w:w="0" w:type="auto"/>
            <w:tcBorders>
              <w:left w:val="single" w:sz="4" w:space="0" w:color="auto"/>
            </w:tcBorders>
            <w:vAlign w:val="center"/>
          </w:tcPr>
          <w:p w14:paraId="5399E15E" w14:textId="77777777" w:rsidR="00221FB6" w:rsidRPr="001B7431" w:rsidRDefault="00221FB6" w:rsidP="00221FB6">
            <w:pPr>
              <w:spacing w:before="20" w:after="20"/>
              <w:ind w:left="34"/>
              <w:jc w:val="right"/>
              <w:rPr>
                <w:rFonts w:eastAsiaTheme="minorEastAsia"/>
                <w:sz w:val="16"/>
                <w:szCs w:val="16"/>
                <w:lang w:eastAsia="en-US"/>
              </w:rPr>
            </w:pPr>
          </w:p>
        </w:tc>
        <w:tc>
          <w:tcPr>
            <w:tcW w:w="0" w:type="auto"/>
            <w:vAlign w:val="center"/>
          </w:tcPr>
          <w:p w14:paraId="5167A472" w14:textId="77777777" w:rsidR="00221FB6" w:rsidRPr="001B7431" w:rsidRDefault="00221FB6" w:rsidP="00221FB6">
            <w:pPr>
              <w:spacing w:before="20" w:after="20"/>
              <w:ind w:left="34"/>
              <w:jc w:val="right"/>
              <w:rPr>
                <w:rFonts w:eastAsiaTheme="minorEastAsia"/>
                <w:sz w:val="16"/>
                <w:szCs w:val="16"/>
                <w:lang w:eastAsia="en-US"/>
              </w:rPr>
            </w:pPr>
          </w:p>
        </w:tc>
        <w:tc>
          <w:tcPr>
            <w:tcW w:w="0" w:type="auto"/>
            <w:tcBorders>
              <w:right w:val="single" w:sz="4" w:space="0" w:color="auto"/>
            </w:tcBorders>
            <w:vAlign w:val="center"/>
          </w:tcPr>
          <w:p w14:paraId="101C8654" w14:textId="77777777" w:rsidR="00221FB6" w:rsidRPr="001B7431" w:rsidRDefault="00221FB6" w:rsidP="00221FB6">
            <w:pPr>
              <w:spacing w:before="20" w:after="20"/>
              <w:ind w:left="34"/>
              <w:jc w:val="right"/>
              <w:rPr>
                <w:rFonts w:eastAsiaTheme="minorEastAsia"/>
                <w:sz w:val="16"/>
                <w:szCs w:val="16"/>
                <w:lang w:eastAsia="en-US"/>
              </w:rPr>
            </w:pPr>
          </w:p>
        </w:tc>
        <w:tc>
          <w:tcPr>
            <w:tcW w:w="0" w:type="auto"/>
            <w:tcBorders>
              <w:left w:val="single" w:sz="4" w:space="0" w:color="auto"/>
            </w:tcBorders>
            <w:vAlign w:val="center"/>
          </w:tcPr>
          <w:p w14:paraId="315A00FC" w14:textId="77777777" w:rsidR="00221FB6" w:rsidRPr="001B7431" w:rsidRDefault="00221FB6" w:rsidP="00221FB6">
            <w:pPr>
              <w:spacing w:before="20" w:after="20"/>
              <w:ind w:left="34"/>
              <w:jc w:val="right"/>
              <w:rPr>
                <w:rFonts w:eastAsiaTheme="minorEastAsia"/>
                <w:sz w:val="16"/>
                <w:szCs w:val="16"/>
                <w:lang w:eastAsia="en-US"/>
              </w:rPr>
            </w:pPr>
          </w:p>
        </w:tc>
        <w:tc>
          <w:tcPr>
            <w:tcW w:w="0" w:type="auto"/>
            <w:vAlign w:val="center"/>
          </w:tcPr>
          <w:p w14:paraId="64E48D6D" w14:textId="77777777" w:rsidR="00221FB6" w:rsidRPr="001B7431" w:rsidRDefault="00221FB6" w:rsidP="00221FB6">
            <w:pPr>
              <w:spacing w:before="20" w:after="20"/>
              <w:ind w:left="34"/>
              <w:jc w:val="right"/>
              <w:rPr>
                <w:rFonts w:eastAsiaTheme="minorEastAsia"/>
                <w:sz w:val="16"/>
                <w:szCs w:val="16"/>
                <w:lang w:eastAsia="en-US"/>
              </w:rPr>
            </w:pPr>
          </w:p>
        </w:tc>
        <w:tc>
          <w:tcPr>
            <w:tcW w:w="0" w:type="auto"/>
            <w:vAlign w:val="center"/>
          </w:tcPr>
          <w:p w14:paraId="2F126C2F" w14:textId="77777777" w:rsidR="00221FB6" w:rsidRPr="001B7431" w:rsidRDefault="00221FB6" w:rsidP="00221FB6">
            <w:pPr>
              <w:spacing w:before="20" w:after="20"/>
              <w:ind w:left="34"/>
              <w:jc w:val="right"/>
              <w:rPr>
                <w:rFonts w:eastAsiaTheme="minorEastAsia"/>
                <w:sz w:val="16"/>
                <w:szCs w:val="16"/>
                <w:lang w:eastAsia="en-US"/>
              </w:rPr>
            </w:pPr>
          </w:p>
        </w:tc>
      </w:tr>
      <w:tr w:rsidR="00221FB6" w:rsidRPr="007B4EF8" w14:paraId="6A0C59C2" w14:textId="77777777" w:rsidTr="00604260">
        <w:trPr>
          <w:jc w:val="center"/>
        </w:trPr>
        <w:tc>
          <w:tcPr>
            <w:tcW w:w="0" w:type="auto"/>
          </w:tcPr>
          <w:p w14:paraId="07B3EB59" w14:textId="77777777" w:rsidR="00221FB6" w:rsidRDefault="00221FB6" w:rsidP="00221FB6">
            <w:pPr>
              <w:spacing w:before="20" w:after="20"/>
              <w:ind w:left="34"/>
              <w:rPr>
                <w:rFonts w:eastAsiaTheme="minorEastAsia"/>
                <w:sz w:val="16"/>
                <w:szCs w:val="16"/>
                <w:lang w:eastAsia="en-US"/>
              </w:rPr>
            </w:pPr>
            <w:r>
              <w:rPr>
                <w:rFonts w:eastAsiaTheme="minorEastAsia"/>
                <w:sz w:val="16"/>
                <w:szCs w:val="16"/>
                <w:lang w:eastAsia="en-US"/>
              </w:rPr>
              <w:t>0</w:t>
            </w:r>
          </w:p>
        </w:tc>
        <w:tc>
          <w:tcPr>
            <w:tcW w:w="0" w:type="auto"/>
          </w:tcPr>
          <w:p w14:paraId="1C587001"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0" w:type="auto"/>
            <w:vAlign w:val="center"/>
          </w:tcPr>
          <w:p w14:paraId="07CD9276" w14:textId="77777777" w:rsidR="00221FB6" w:rsidRDefault="00221FB6" w:rsidP="00221FB6">
            <w:pPr>
              <w:jc w:val="right"/>
              <w:rPr>
                <w:color w:val="000000"/>
                <w:sz w:val="16"/>
                <w:szCs w:val="16"/>
                <w:lang w:eastAsia="en-NZ"/>
              </w:rPr>
            </w:pPr>
            <w:r>
              <w:rPr>
                <w:color w:val="000000"/>
                <w:sz w:val="16"/>
                <w:szCs w:val="16"/>
              </w:rPr>
              <w:t>2703</w:t>
            </w:r>
          </w:p>
        </w:tc>
        <w:tc>
          <w:tcPr>
            <w:tcW w:w="0" w:type="auto"/>
            <w:vAlign w:val="center"/>
          </w:tcPr>
          <w:p w14:paraId="74785FE7" w14:textId="77777777" w:rsidR="00221FB6" w:rsidRDefault="00221FB6" w:rsidP="00221FB6">
            <w:pPr>
              <w:jc w:val="right"/>
              <w:rPr>
                <w:color w:val="000000"/>
                <w:sz w:val="16"/>
                <w:szCs w:val="16"/>
              </w:rPr>
            </w:pPr>
            <w:r>
              <w:rPr>
                <w:color w:val="000000"/>
                <w:sz w:val="16"/>
                <w:szCs w:val="16"/>
              </w:rPr>
              <w:t>76.4</w:t>
            </w:r>
          </w:p>
        </w:tc>
        <w:tc>
          <w:tcPr>
            <w:tcW w:w="0" w:type="auto"/>
            <w:tcBorders>
              <w:right w:val="single" w:sz="4" w:space="0" w:color="auto"/>
            </w:tcBorders>
            <w:vAlign w:val="center"/>
          </w:tcPr>
          <w:p w14:paraId="4904131C" w14:textId="77777777" w:rsidR="00221FB6" w:rsidRDefault="00221FB6" w:rsidP="00221FB6">
            <w:pPr>
              <w:jc w:val="right"/>
              <w:rPr>
                <w:color w:val="000000"/>
                <w:sz w:val="16"/>
                <w:szCs w:val="16"/>
              </w:rPr>
            </w:pPr>
            <w:r>
              <w:rPr>
                <w:color w:val="000000"/>
                <w:sz w:val="16"/>
                <w:szCs w:val="16"/>
              </w:rPr>
              <w:t>(74.7, 78.0)</w:t>
            </w:r>
          </w:p>
        </w:tc>
        <w:tc>
          <w:tcPr>
            <w:tcW w:w="0" w:type="auto"/>
            <w:tcBorders>
              <w:left w:val="single" w:sz="4" w:space="0" w:color="auto"/>
            </w:tcBorders>
            <w:vAlign w:val="center"/>
          </w:tcPr>
          <w:p w14:paraId="3C5DEC1E" w14:textId="77777777" w:rsidR="00221FB6" w:rsidRDefault="00221FB6" w:rsidP="00221FB6">
            <w:pPr>
              <w:jc w:val="right"/>
              <w:rPr>
                <w:color w:val="000000"/>
                <w:sz w:val="16"/>
                <w:szCs w:val="16"/>
              </w:rPr>
            </w:pPr>
            <w:r>
              <w:rPr>
                <w:color w:val="000000"/>
                <w:sz w:val="16"/>
                <w:szCs w:val="16"/>
              </w:rPr>
              <w:t>1689</w:t>
            </w:r>
          </w:p>
        </w:tc>
        <w:tc>
          <w:tcPr>
            <w:tcW w:w="0" w:type="auto"/>
            <w:vAlign w:val="center"/>
          </w:tcPr>
          <w:p w14:paraId="7A3817A8" w14:textId="77777777" w:rsidR="00221FB6" w:rsidRDefault="00221FB6" w:rsidP="00221FB6">
            <w:pPr>
              <w:jc w:val="right"/>
              <w:rPr>
                <w:color w:val="000000"/>
                <w:sz w:val="16"/>
                <w:szCs w:val="16"/>
              </w:rPr>
            </w:pPr>
            <w:r>
              <w:rPr>
                <w:color w:val="000000"/>
                <w:sz w:val="16"/>
                <w:szCs w:val="16"/>
              </w:rPr>
              <w:t>74.2</w:t>
            </w:r>
          </w:p>
        </w:tc>
        <w:tc>
          <w:tcPr>
            <w:tcW w:w="0" w:type="auto"/>
            <w:tcBorders>
              <w:right w:val="single" w:sz="4" w:space="0" w:color="auto"/>
            </w:tcBorders>
            <w:vAlign w:val="center"/>
          </w:tcPr>
          <w:p w14:paraId="54F0834A" w14:textId="77777777" w:rsidR="00221FB6" w:rsidRDefault="00221FB6" w:rsidP="00221FB6">
            <w:pPr>
              <w:jc w:val="right"/>
              <w:rPr>
                <w:color w:val="000000"/>
                <w:sz w:val="16"/>
                <w:szCs w:val="16"/>
              </w:rPr>
            </w:pPr>
            <w:r>
              <w:rPr>
                <w:color w:val="000000"/>
                <w:sz w:val="16"/>
                <w:szCs w:val="16"/>
              </w:rPr>
              <w:t>(72.1, 76.3)</w:t>
            </w:r>
          </w:p>
        </w:tc>
        <w:tc>
          <w:tcPr>
            <w:tcW w:w="0" w:type="auto"/>
            <w:tcBorders>
              <w:left w:val="single" w:sz="4" w:space="0" w:color="auto"/>
            </w:tcBorders>
            <w:vAlign w:val="center"/>
          </w:tcPr>
          <w:p w14:paraId="29E98015" w14:textId="77777777" w:rsidR="00221FB6" w:rsidRDefault="00221FB6" w:rsidP="00221FB6">
            <w:pPr>
              <w:jc w:val="right"/>
              <w:rPr>
                <w:color w:val="000000"/>
                <w:sz w:val="16"/>
                <w:szCs w:val="16"/>
              </w:rPr>
            </w:pPr>
            <w:r>
              <w:rPr>
                <w:color w:val="000000"/>
                <w:sz w:val="16"/>
                <w:szCs w:val="16"/>
              </w:rPr>
              <w:t>1479</w:t>
            </w:r>
          </w:p>
        </w:tc>
        <w:tc>
          <w:tcPr>
            <w:tcW w:w="0" w:type="auto"/>
            <w:vAlign w:val="center"/>
          </w:tcPr>
          <w:p w14:paraId="7DE36311" w14:textId="77777777" w:rsidR="00221FB6" w:rsidRDefault="00221FB6" w:rsidP="00221FB6">
            <w:pPr>
              <w:jc w:val="right"/>
              <w:rPr>
                <w:color w:val="000000"/>
                <w:sz w:val="16"/>
                <w:szCs w:val="16"/>
              </w:rPr>
            </w:pPr>
            <w:r>
              <w:rPr>
                <w:color w:val="000000"/>
                <w:sz w:val="16"/>
                <w:szCs w:val="16"/>
              </w:rPr>
              <w:t>74.0</w:t>
            </w:r>
          </w:p>
        </w:tc>
        <w:tc>
          <w:tcPr>
            <w:tcW w:w="0" w:type="auto"/>
            <w:tcBorders>
              <w:right w:val="single" w:sz="4" w:space="0" w:color="auto"/>
            </w:tcBorders>
            <w:vAlign w:val="center"/>
          </w:tcPr>
          <w:p w14:paraId="175C8148" w14:textId="77777777" w:rsidR="00221FB6" w:rsidRDefault="00221FB6" w:rsidP="00221FB6">
            <w:pPr>
              <w:jc w:val="right"/>
              <w:rPr>
                <w:color w:val="000000"/>
                <w:sz w:val="16"/>
                <w:szCs w:val="16"/>
              </w:rPr>
            </w:pPr>
            <w:r>
              <w:rPr>
                <w:color w:val="000000"/>
                <w:sz w:val="16"/>
                <w:szCs w:val="16"/>
              </w:rPr>
              <w:t>(71.8, 76.3)</w:t>
            </w:r>
          </w:p>
        </w:tc>
        <w:tc>
          <w:tcPr>
            <w:tcW w:w="0" w:type="auto"/>
            <w:tcBorders>
              <w:left w:val="single" w:sz="4" w:space="0" w:color="auto"/>
            </w:tcBorders>
            <w:vAlign w:val="center"/>
          </w:tcPr>
          <w:p w14:paraId="52D8759B" w14:textId="77777777" w:rsidR="00221FB6" w:rsidRDefault="00221FB6" w:rsidP="00221FB6">
            <w:pPr>
              <w:jc w:val="right"/>
              <w:rPr>
                <w:color w:val="000000"/>
                <w:sz w:val="16"/>
                <w:szCs w:val="16"/>
              </w:rPr>
            </w:pPr>
            <w:r>
              <w:rPr>
                <w:color w:val="000000"/>
                <w:sz w:val="16"/>
                <w:szCs w:val="16"/>
              </w:rPr>
              <w:t>1361</w:t>
            </w:r>
          </w:p>
        </w:tc>
        <w:tc>
          <w:tcPr>
            <w:tcW w:w="0" w:type="auto"/>
            <w:vAlign w:val="center"/>
          </w:tcPr>
          <w:p w14:paraId="55249BF7" w14:textId="77777777" w:rsidR="00221FB6" w:rsidRDefault="00221FB6" w:rsidP="00221FB6">
            <w:pPr>
              <w:jc w:val="right"/>
              <w:rPr>
                <w:color w:val="000000"/>
                <w:sz w:val="16"/>
                <w:szCs w:val="16"/>
              </w:rPr>
            </w:pPr>
            <w:r>
              <w:rPr>
                <w:color w:val="000000"/>
                <w:sz w:val="16"/>
                <w:szCs w:val="16"/>
              </w:rPr>
              <w:t>72.9</w:t>
            </w:r>
          </w:p>
        </w:tc>
        <w:tc>
          <w:tcPr>
            <w:tcW w:w="0" w:type="auto"/>
            <w:vAlign w:val="center"/>
          </w:tcPr>
          <w:p w14:paraId="788038B4" w14:textId="77777777" w:rsidR="00221FB6" w:rsidRDefault="00221FB6" w:rsidP="00221FB6">
            <w:pPr>
              <w:jc w:val="right"/>
              <w:rPr>
                <w:color w:val="000000"/>
                <w:sz w:val="16"/>
                <w:szCs w:val="16"/>
              </w:rPr>
            </w:pPr>
            <w:r>
              <w:rPr>
                <w:color w:val="000000"/>
                <w:sz w:val="16"/>
                <w:szCs w:val="16"/>
              </w:rPr>
              <w:t>(70.5, 75.4)</w:t>
            </w:r>
          </w:p>
        </w:tc>
      </w:tr>
      <w:tr w:rsidR="00221FB6" w:rsidRPr="007B4EF8" w14:paraId="4D3778DA" w14:textId="77777777" w:rsidTr="00604260">
        <w:trPr>
          <w:jc w:val="center"/>
        </w:trPr>
        <w:tc>
          <w:tcPr>
            <w:tcW w:w="0" w:type="auto"/>
          </w:tcPr>
          <w:p w14:paraId="76DC57CB" w14:textId="77777777" w:rsidR="00221FB6" w:rsidRDefault="00221FB6" w:rsidP="00221FB6">
            <w:pPr>
              <w:spacing w:before="20" w:after="20"/>
              <w:ind w:left="34"/>
              <w:rPr>
                <w:rFonts w:eastAsiaTheme="minorEastAsia"/>
                <w:sz w:val="16"/>
                <w:szCs w:val="16"/>
                <w:lang w:eastAsia="en-US"/>
              </w:rPr>
            </w:pPr>
          </w:p>
        </w:tc>
        <w:tc>
          <w:tcPr>
            <w:tcW w:w="0" w:type="auto"/>
          </w:tcPr>
          <w:p w14:paraId="7E20EB4C"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Low-risk gambler</w:t>
            </w:r>
          </w:p>
        </w:tc>
        <w:tc>
          <w:tcPr>
            <w:tcW w:w="0" w:type="auto"/>
            <w:vAlign w:val="center"/>
          </w:tcPr>
          <w:p w14:paraId="4FEFB9D2" w14:textId="77777777" w:rsidR="00221FB6" w:rsidRDefault="00221FB6" w:rsidP="00221FB6">
            <w:pPr>
              <w:jc w:val="right"/>
              <w:rPr>
                <w:color w:val="000000"/>
                <w:sz w:val="16"/>
                <w:szCs w:val="16"/>
              </w:rPr>
            </w:pPr>
            <w:r>
              <w:rPr>
                <w:color w:val="000000"/>
                <w:sz w:val="16"/>
                <w:szCs w:val="16"/>
              </w:rPr>
              <w:t>124</w:t>
            </w:r>
          </w:p>
        </w:tc>
        <w:tc>
          <w:tcPr>
            <w:tcW w:w="0" w:type="auto"/>
            <w:vAlign w:val="center"/>
          </w:tcPr>
          <w:p w14:paraId="3AB886D4" w14:textId="77777777" w:rsidR="00221FB6" w:rsidRDefault="00221FB6" w:rsidP="00221FB6">
            <w:pPr>
              <w:jc w:val="right"/>
              <w:rPr>
                <w:color w:val="000000"/>
                <w:sz w:val="16"/>
                <w:szCs w:val="16"/>
              </w:rPr>
            </w:pPr>
            <w:r>
              <w:rPr>
                <w:color w:val="000000"/>
                <w:sz w:val="16"/>
                <w:szCs w:val="16"/>
              </w:rPr>
              <w:t>3.5</w:t>
            </w:r>
          </w:p>
        </w:tc>
        <w:tc>
          <w:tcPr>
            <w:tcW w:w="0" w:type="auto"/>
            <w:tcBorders>
              <w:right w:val="single" w:sz="4" w:space="0" w:color="auto"/>
            </w:tcBorders>
            <w:vAlign w:val="center"/>
          </w:tcPr>
          <w:p w14:paraId="54194F2D" w14:textId="77777777" w:rsidR="00221FB6" w:rsidRDefault="00221FB6" w:rsidP="00221FB6">
            <w:pPr>
              <w:jc w:val="right"/>
              <w:rPr>
                <w:color w:val="000000"/>
                <w:sz w:val="16"/>
                <w:szCs w:val="16"/>
              </w:rPr>
            </w:pPr>
            <w:r>
              <w:rPr>
                <w:color w:val="000000"/>
                <w:sz w:val="16"/>
                <w:szCs w:val="16"/>
              </w:rPr>
              <w:t>(2.8, 4.2)</w:t>
            </w:r>
          </w:p>
        </w:tc>
        <w:tc>
          <w:tcPr>
            <w:tcW w:w="0" w:type="auto"/>
            <w:tcBorders>
              <w:left w:val="single" w:sz="4" w:space="0" w:color="auto"/>
            </w:tcBorders>
            <w:vAlign w:val="center"/>
          </w:tcPr>
          <w:p w14:paraId="69FF5B38" w14:textId="77777777" w:rsidR="00221FB6" w:rsidRDefault="00221FB6" w:rsidP="00221FB6">
            <w:pPr>
              <w:jc w:val="right"/>
              <w:rPr>
                <w:color w:val="000000"/>
                <w:sz w:val="16"/>
                <w:szCs w:val="16"/>
              </w:rPr>
            </w:pPr>
            <w:r>
              <w:rPr>
                <w:color w:val="000000"/>
                <w:sz w:val="16"/>
                <w:szCs w:val="16"/>
              </w:rPr>
              <w:t>91</w:t>
            </w:r>
          </w:p>
        </w:tc>
        <w:tc>
          <w:tcPr>
            <w:tcW w:w="0" w:type="auto"/>
            <w:vAlign w:val="center"/>
          </w:tcPr>
          <w:p w14:paraId="045B6670" w14:textId="77777777" w:rsidR="00221FB6" w:rsidRDefault="00221FB6" w:rsidP="00221FB6">
            <w:pPr>
              <w:jc w:val="right"/>
              <w:rPr>
                <w:color w:val="000000"/>
                <w:sz w:val="16"/>
                <w:szCs w:val="16"/>
              </w:rPr>
            </w:pPr>
            <w:r>
              <w:rPr>
                <w:color w:val="000000"/>
                <w:sz w:val="16"/>
                <w:szCs w:val="16"/>
              </w:rPr>
              <w:t>4.0</w:t>
            </w:r>
          </w:p>
        </w:tc>
        <w:tc>
          <w:tcPr>
            <w:tcW w:w="0" w:type="auto"/>
            <w:tcBorders>
              <w:right w:val="single" w:sz="4" w:space="0" w:color="auto"/>
            </w:tcBorders>
            <w:vAlign w:val="center"/>
          </w:tcPr>
          <w:p w14:paraId="41758A2A" w14:textId="77777777" w:rsidR="00221FB6" w:rsidRDefault="00221FB6" w:rsidP="00221FB6">
            <w:pPr>
              <w:jc w:val="right"/>
              <w:rPr>
                <w:color w:val="000000"/>
                <w:sz w:val="16"/>
                <w:szCs w:val="16"/>
              </w:rPr>
            </w:pPr>
            <w:r>
              <w:rPr>
                <w:color w:val="000000"/>
                <w:sz w:val="16"/>
                <w:szCs w:val="16"/>
              </w:rPr>
              <w:t>(3.1, 4.9)</w:t>
            </w:r>
          </w:p>
        </w:tc>
        <w:tc>
          <w:tcPr>
            <w:tcW w:w="0" w:type="auto"/>
            <w:tcBorders>
              <w:left w:val="single" w:sz="4" w:space="0" w:color="auto"/>
            </w:tcBorders>
            <w:vAlign w:val="center"/>
          </w:tcPr>
          <w:p w14:paraId="55423EEE" w14:textId="77777777" w:rsidR="00221FB6" w:rsidRDefault="00221FB6" w:rsidP="00221FB6">
            <w:pPr>
              <w:jc w:val="right"/>
              <w:rPr>
                <w:color w:val="000000"/>
                <w:sz w:val="16"/>
                <w:szCs w:val="16"/>
              </w:rPr>
            </w:pPr>
            <w:r>
              <w:rPr>
                <w:color w:val="000000"/>
                <w:sz w:val="16"/>
                <w:szCs w:val="16"/>
              </w:rPr>
              <w:t>81</w:t>
            </w:r>
          </w:p>
        </w:tc>
        <w:tc>
          <w:tcPr>
            <w:tcW w:w="0" w:type="auto"/>
            <w:vAlign w:val="center"/>
          </w:tcPr>
          <w:p w14:paraId="697509D9" w14:textId="77777777" w:rsidR="00221FB6" w:rsidRDefault="00221FB6" w:rsidP="00221FB6">
            <w:pPr>
              <w:jc w:val="right"/>
              <w:rPr>
                <w:color w:val="000000"/>
                <w:sz w:val="16"/>
                <w:szCs w:val="16"/>
              </w:rPr>
            </w:pPr>
            <w:r>
              <w:rPr>
                <w:color w:val="000000"/>
                <w:sz w:val="16"/>
                <w:szCs w:val="16"/>
              </w:rPr>
              <w:t>4.1</w:t>
            </w:r>
          </w:p>
        </w:tc>
        <w:tc>
          <w:tcPr>
            <w:tcW w:w="0" w:type="auto"/>
            <w:tcBorders>
              <w:right w:val="single" w:sz="4" w:space="0" w:color="auto"/>
            </w:tcBorders>
            <w:vAlign w:val="center"/>
          </w:tcPr>
          <w:p w14:paraId="4A07BE6C" w14:textId="77777777" w:rsidR="00221FB6" w:rsidRDefault="00221FB6" w:rsidP="00221FB6">
            <w:pPr>
              <w:jc w:val="right"/>
              <w:rPr>
                <w:color w:val="000000"/>
                <w:sz w:val="16"/>
                <w:szCs w:val="16"/>
              </w:rPr>
            </w:pPr>
            <w:r>
              <w:rPr>
                <w:color w:val="000000"/>
                <w:sz w:val="16"/>
                <w:szCs w:val="16"/>
              </w:rPr>
              <w:t>(3.0, 5.1)</w:t>
            </w:r>
          </w:p>
        </w:tc>
        <w:tc>
          <w:tcPr>
            <w:tcW w:w="0" w:type="auto"/>
            <w:tcBorders>
              <w:left w:val="single" w:sz="4" w:space="0" w:color="auto"/>
            </w:tcBorders>
            <w:vAlign w:val="center"/>
          </w:tcPr>
          <w:p w14:paraId="262100FD" w14:textId="77777777" w:rsidR="00221FB6" w:rsidRDefault="00221FB6" w:rsidP="00221FB6">
            <w:pPr>
              <w:jc w:val="right"/>
              <w:rPr>
                <w:color w:val="000000"/>
                <w:sz w:val="16"/>
                <w:szCs w:val="16"/>
              </w:rPr>
            </w:pPr>
            <w:r>
              <w:rPr>
                <w:color w:val="000000"/>
                <w:sz w:val="16"/>
                <w:szCs w:val="16"/>
              </w:rPr>
              <w:t>57</w:t>
            </w:r>
          </w:p>
        </w:tc>
        <w:tc>
          <w:tcPr>
            <w:tcW w:w="0" w:type="auto"/>
            <w:vAlign w:val="center"/>
          </w:tcPr>
          <w:p w14:paraId="5B2FB5E3" w14:textId="77777777" w:rsidR="00221FB6" w:rsidRDefault="00221FB6" w:rsidP="00221FB6">
            <w:pPr>
              <w:jc w:val="right"/>
              <w:rPr>
                <w:color w:val="000000"/>
                <w:sz w:val="16"/>
                <w:szCs w:val="16"/>
              </w:rPr>
            </w:pPr>
            <w:r>
              <w:rPr>
                <w:color w:val="000000"/>
                <w:sz w:val="16"/>
                <w:szCs w:val="16"/>
              </w:rPr>
              <w:t>3.1</w:t>
            </w:r>
          </w:p>
        </w:tc>
        <w:tc>
          <w:tcPr>
            <w:tcW w:w="0" w:type="auto"/>
            <w:vAlign w:val="center"/>
          </w:tcPr>
          <w:p w14:paraId="5061A659" w14:textId="77777777" w:rsidR="00221FB6" w:rsidRDefault="00221FB6" w:rsidP="00221FB6">
            <w:pPr>
              <w:jc w:val="right"/>
              <w:rPr>
                <w:color w:val="000000"/>
                <w:sz w:val="16"/>
                <w:szCs w:val="16"/>
              </w:rPr>
            </w:pPr>
            <w:r>
              <w:rPr>
                <w:color w:val="000000"/>
                <w:sz w:val="16"/>
                <w:szCs w:val="16"/>
              </w:rPr>
              <w:t>(2.2, 3.9)</w:t>
            </w:r>
          </w:p>
        </w:tc>
      </w:tr>
      <w:tr w:rsidR="00221FB6" w:rsidRPr="007B4EF8" w14:paraId="2B80F063" w14:textId="77777777" w:rsidTr="00604260">
        <w:trPr>
          <w:jc w:val="center"/>
        </w:trPr>
        <w:tc>
          <w:tcPr>
            <w:tcW w:w="0" w:type="auto"/>
          </w:tcPr>
          <w:p w14:paraId="642418D6" w14:textId="77777777" w:rsidR="00221FB6" w:rsidRDefault="00221FB6" w:rsidP="00221FB6">
            <w:pPr>
              <w:spacing w:before="20" w:after="20"/>
              <w:ind w:left="34"/>
              <w:rPr>
                <w:rFonts w:eastAsiaTheme="minorEastAsia"/>
                <w:sz w:val="16"/>
                <w:szCs w:val="16"/>
                <w:lang w:eastAsia="en-US"/>
              </w:rPr>
            </w:pPr>
          </w:p>
        </w:tc>
        <w:tc>
          <w:tcPr>
            <w:tcW w:w="0" w:type="auto"/>
          </w:tcPr>
          <w:p w14:paraId="57D9BB2F"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0" w:type="auto"/>
            <w:vAlign w:val="center"/>
          </w:tcPr>
          <w:p w14:paraId="56EED410" w14:textId="77777777" w:rsidR="00221FB6" w:rsidRDefault="00221FB6" w:rsidP="00221FB6">
            <w:pPr>
              <w:jc w:val="right"/>
              <w:rPr>
                <w:color w:val="000000"/>
                <w:sz w:val="16"/>
                <w:szCs w:val="16"/>
              </w:rPr>
            </w:pPr>
            <w:r>
              <w:rPr>
                <w:color w:val="000000"/>
                <w:sz w:val="16"/>
                <w:szCs w:val="16"/>
              </w:rPr>
              <w:t>35</w:t>
            </w:r>
          </w:p>
        </w:tc>
        <w:tc>
          <w:tcPr>
            <w:tcW w:w="0" w:type="auto"/>
            <w:vAlign w:val="center"/>
          </w:tcPr>
          <w:p w14:paraId="234A496C" w14:textId="77777777" w:rsidR="00221FB6" w:rsidRDefault="00221FB6" w:rsidP="00221FB6">
            <w:pPr>
              <w:jc w:val="right"/>
              <w:rPr>
                <w:color w:val="000000"/>
                <w:sz w:val="16"/>
                <w:szCs w:val="16"/>
              </w:rPr>
            </w:pPr>
            <w:r>
              <w:rPr>
                <w:color w:val="000000"/>
                <w:sz w:val="16"/>
                <w:szCs w:val="16"/>
              </w:rPr>
              <w:t>1.0</w:t>
            </w:r>
          </w:p>
        </w:tc>
        <w:tc>
          <w:tcPr>
            <w:tcW w:w="0" w:type="auto"/>
            <w:tcBorders>
              <w:right w:val="single" w:sz="4" w:space="0" w:color="auto"/>
            </w:tcBorders>
            <w:vAlign w:val="center"/>
          </w:tcPr>
          <w:p w14:paraId="73EF8561" w14:textId="77777777" w:rsidR="00221FB6" w:rsidRDefault="00221FB6" w:rsidP="00221FB6">
            <w:pPr>
              <w:jc w:val="right"/>
              <w:rPr>
                <w:color w:val="000000"/>
                <w:sz w:val="16"/>
                <w:szCs w:val="16"/>
              </w:rPr>
            </w:pPr>
            <w:r>
              <w:rPr>
                <w:color w:val="000000"/>
                <w:sz w:val="16"/>
                <w:szCs w:val="16"/>
              </w:rPr>
              <w:t>(0.6, 1.3)</w:t>
            </w:r>
          </w:p>
        </w:tc>
        <w:tc>
          <w:tcPr>
            <w:tcW w:w="0" w:type="auto"/>
            <w:tcBorders>
              <w:left w:val="single" w:sz="4" w:space="0" w:color="auto"/>
            </w:tcBorders>
            <w:vAlign w:val="center"/>
          </w:tcPr>
          <w:p w14:paraId="46DCCF93" w14:textId="77777777" w:rsidR="00221FB6" w:rsidRDefault="00221FB6" w:rsidP="00221FB6">
            <w:pPr>
              <w:jc w:val="right"/>
              <w:rPr>
                <w:color w:val="000000"/>
                <w:sz w:val="16"/>
                <w:szCs w:val="16"/>
              </w:rPr>
            </w:pPr>
            <w:r>
              <w:rPr>
                <w:color w:val="000000"/>
                <w:sz w:val="16"/>
                <w:szCs w:val="16"/>
              </w:rPr>
              <w:t>26</w:t>
            </w:r>
          </w:p>
        </w:tc>
        <w:tc>
          <w:tcPr>
            <w:tcW w:w="0" w:type="auto"/>
            <w:vAlign w:val="center"/>
          </w:tcPr>
          <w:p w14:paraId="201425A1" w14:textId="77777777" w:rsidR="00221FB6" w:rsidRDefault="00221FB6" w:rsidP="00221FB6">
            <w:pPr>
              <w:jc w:val="right"/>
              <w:rPr>
                <w:color w:val="000000"/>
                <w:sz w:val="16"/>
                <w:szCs w:val="16"/>
              </w:rPr>
            </w:pPr>
            <w:r>
              <w:rPr>
                <w:color w:val="000000"/>
                <w:sz w:val="16"/>
                <w:szCs w:val="16"/>
              </w:rPr>
              <w:t>1.1</w:t>
            </w:r>
          </w:p>
        </w:tc>
        <w:tc>
          <w:tcPr>
            <w:tcW w:w="0" w:type="auto"/>
            <w:tcBorders>
              <w:right w:val="single" w:sz="4" w:space="0" w:color="auto"/>
            </w:tcBorders>
            <w:vAlign w:val="center"/>
          </w:tcPr>
          <w:p w14:paraId="3FF44231" w14:textId="77777777" w:rsidR="00221FB6" w:rsidRDefault="00221FB6" w:rsidP="00221FB6">
            <w:pPr>
              <w:jc w:val="right"/>
              <w:rPr>
                <w:color w:val="000000"/>
                <w:sz w:val="16"/>
                <w:szCs w:val="16"/>
              </w:rPr>
            </w:pPr>
            <w:r>
              <w:rPr>
                <w:color w:val="000000"/>
                <w:sz w:val="16"/>
                <w:szCs w:val="16"/>
              </w:rPr>
              <w:t>(0.7, 1.6)</w:t>
            </w:r>
          </w:p>
        </w:tc>
        <w:tc>
          <w:tcPr>
            <w:tcW w:w="0" w:type="auto"/>
            <w:tcBorders>
              <w:left w:val="single" w:sz="4" w:space="0" w:color="auto"/>
            </w:tcBorders>
            <w:vAlign w:val="center"/>
          </w:tcPr>
          <w:p w14:paraId="189C2E31" w14:textId="77777777" w:rsidR="00221FB6" w:rsidRDefault="00221FB6" w:rsidP="00221FB6">
            <w:pPr>
              <w:jc w:val="right"/>
              <w:rPr>
                <w:color w:val="000000"/>
                <w:sz w:val="16"/>
                <w:szCs w:val="16"/>
              </w:rPr>
            </w:pPr>
            <w:r>
              <w:rPr>
                <w:color w:val="000000"/>
                <w:sz w:val="16"/>
                <w:szCs w:val="16"/>
              </w:rPr>
              <w:t>19</w:t>
            </w:r>
          </w:p>
        </w:tc>
        <w:tc>
          <w:tcPr>
            <w:tcW w:w="0" w:type="auto"/>
            <w:vAlign w:val="center"/>
          </w:tcPr>
          <w:p w14:paraId="3AA4BFDB" w14:textId="77777777" w:rsidR="00221FB6" w:rsidRDefault="00221FB6" w:rsidP="00221FB6">
            <w:pPr>
              <w:jc w:val="right"/>
              <w:rPr>
                <w:color w:val="000000"/>
                <w:sz w:val="16"/>
                <w:szCs w:val="16"/>
              </w:rPr>
            </w:pPr>
            <w:r>
              <w:rPr>
                <w:color w:val="000000"/>
                <w:sz w:val="16"/>
                <w:szCs w:val="16"/>
              </w:rPr>
              <w:t>1.0</w:t>
            </w:r>
          </w:p>
        </w:tc>
        <w:tc>
          <w:tcPr>
            <w:tcW w:w="0" w:type="auto"/>
            <w:tcBorders>
              <w:right w:val="single" w:sz="4" w:space="0" w:color="auto"/>
            </w:tcBorders>
            <w:vAlign w:val="center"/>
          </w:tcPr>
          <w:p w14:paraId="5D60F4EC" w14:textId="77777777" w:rsidR="00221FB6" w:rsidRDefault="00221FB6" w:rsidP="00221FB6">
            <w:pPr>
              <w:jc w:val="right"/>
              <w:rPr>
                <w:color w:val="000000"/>
                <w:sz w:val="16"/>
                <w:szCs w:val="16"/>
              </w:rPr>
            </w:pPr>
            <w:r>
              <w:rPr>
                <w:color w:val="000000"/>
                <w:sz w:val="16"/>
                <w:szCs w:val="16"/>
              </w:rPr>
              <w:t>(0.6, 1.4)</w:t>
            </w:r>
          </w:p>
        </w:tc>
        <w:tc>
          <w:tcPr>
            <w:tcW w:w="0" w:type="auto"/>
            <w:tcBorders>
              <w:left w:val="single" w:sz="4" w:space="0" w:color="auto"/>
            </w:tcBorders>
            <w:vAlign w:val="center"/>
          </w:tcPr>
          <w:p w14:paraId="6BA0DCB2" w14:textId="77777777" w:rsidR="00221FB6" w:rsidRDefault="00221FB6" w:rsidP="00221FB6">
            <w:pPr>
              <w:jc w:val="right"/>
              <w:rPr>
                <w:color w:val="000000"/>
                <w:sz w:val="16"/>
                <w:szCs w:val="16"/>
              </w:rPr>
            </w:pPr>
            <w:r>
              <w:rPr>
                <w:color w:val="000000"/>
                <w:sz w:val="16"/>
                <w:szCs w:val="16"/>
              </w:rPr>
              <w:t>19</w:t>
            </w:r>
          </w:p>
        </w:tc>
        <w:tc>
          <w:tcPr>
            <w:tcW w:w="0" w:type="auto"/>
            <w:vAlign w:val="center"/>
          </w:tcPr>
          <w:p w14:paraId="153F8623" w14:textId="77777777" w:rsidR="00221FB6" w:rsidRDefault="00221FB6" w:rsidP="00221FB6">
            <w:pPr>
              <w:jc w:val="right"/>
              <w:rPr>
                <w:color w:val="000000"/>
                <w:sz w:val="16"/>
                <w:szCs w:val="16"/>
              </w:rPr>
            </w:pPr>
            <w:r>
              <w:rPr>
                <w:color w:val="000000"/>
                <w:sz w:val="16"/>
                <w:szCs w:val="16"/>
              </w:rPr>
              <w:t>1.0</w:t>
            </w:r>
          </w:p>
        </w:tc>
        <w:tc>
          <w:tcPr>
            <w:tcW w:w="0" w:type="auto"/>
            <w:vAlign w:val="center"/>
          </w:tcPr>
          <w:p w14:paraId="4109AEBA" w14:textId="77777777" w:rsidR="00221FB6" w:rsidRDefault="00221FB6" w:rsidP="00221FB6">
            <w:pPr>
              <w:jc w:val="right"/>
              <w:rPr>
                <w:color w:val="000000"/>
                <w:sz w:val="16"/>
                <w:szCs w:val="16"/>
              </w:rPr>
            </w:pPr>
            <w:r>
              <w:rPr>
                <w:color w:val="000000"/>
                <w:sz w:val="16"/>
                <w:szCs w:val="16"/>
              </w:rPr>
              <w:t>(0.6, 1.5)</w:t>
            </w:r>
          </w:p>
        </w:tc>
      </w:tr>
      <w:tr w:rsidR="00221FB6" w:rsidRPr="007B4EF8" w14:paraId="34FAC35A" w14:textId="77777777" w:rsidTr="00604260">
        <w:trPr>
          <w:jc w:val="center"/>
        </w:trPr>
        <w:tc>
          <w:tcPr>
            <w:tcW w:w="0" w:type="auto"/>
          </w:tcPr>
          <w:p w14:paraId="0C92BF23" w14:textId="77777777" w:rsidR="00221FB6" w:rsidRDefault="00221FB6" w:rsidP="00221FB6">
            <w:pPr>
              <w:spacing w:before="20" w:after="20"/>
              <w:ind w:left="34"/>
              <w:rPr>
                <w:rFonts w:eastAsiaTheme="minorEastAsia"/>
                <w:sz w:val="16"/>
                <w:szCs w:val="16"/>
                <w:lang w:eastAsia="en-US"/>
              </w:rPr>
            </w:pPr>
          </w:p>
        </w:tc>
        <w:tc>
          <w:tcPr>
            <w:tcW w:w="0" w:type="auto"/>
          </w:tcPr>
          <w:p w14:paraId="74BB6BE4"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No gambling in past year</w:t>
            </w:r>
          </w:p>
        </w:tc>
        <w:tc>
          <w:tcPr>
            <w:tcW w:w="0" w:type="auto"/>
            <w:vAlign w:val="center"/>
          </w:tcPr>
          <w:p w14:paraId="55270349" w14:textId="77777777" w:rsidR="00221FB6" w:rsidRDefault="00221FB6" w:rsidP="00221FB6">
            <w:pPr>
              <w:jc w:val="right"/>
              <w:rPr>
                <w:color w:val="000000"/>
                <w:sz w:val="16"/>
                <w:szCs w:val="16"/>
              </w:rPr>
            </w:pPr>
            <w:r>
              <w:rPr>
                <w:color w:val="000000"/>
                <w:sz w:val="16"/>
                <w:szCs w:val="16"/>
              </w:rPr>
              <w:t>678</w:t>
            </w:r>
          </w:p>
        </w:tc>
        <w:tc>
          <w:tcPr>
            <w:tcW w:w="0" w:type="auto"/>
            <w:vAlign w:val="center"/>
          </w:tcPr>
          <w:p w14:paraId="54B5F24B" w14:textId="77777777" w:rsidR="00221FB6" w:rsidRDefault="00221FB6" w:rsidP="00221FB6">
            <w:pPr>
              <w:jc w:val="right"/>
              <w:rPr>
                <w:color w:val="000000"/>
                <w:sz w:val="16"/>
                <w:szCs w:val="16"/>
              </w:rPr>
            </w:pPr>
            <w:r>
              <w:rPr>
                <w:color w:val="000000"/>
                <w:sz w:val="16"/>
                <w:szCs w:val="16"/>
              </w:rPr>
              <w:t>19.1</w:t>
            </w:r>
          </w:p>
        </w:tc>
        <w:tc>
          <w:tcPr>
            <w:tcW w:w="0" w:type="auto"/>
            <w:tcBorders>
              <w:right w:val="single" w:sz="4" w:space="0" w:color="auto"/>
            </w:tcBorders>
            <w:vAlign w:val="center"/>
          </w:tcPr>
          <w:p w14:paraId="631CFADD" w14:textId="77777777" w:rsidR="00221FB6" w:rsidRDefault="00221FB6" w:rsidP="00221FB6">
            <w:pPr>
              <w:jc w:val="right"/>
              <w:rPr>
                <w:color w:val="000000"/>
                <w:sz w:val="16"/>
                <w:szCs w:val="16"/>
              </w:rPr>
            </w:pPr>
            <w:r>
              <w:rPr>
                <w:color w:val="000000"/>
                <w:sz w:val="16"/>
                <w:szCs w:val="16"/>
              </w:rPr>
              <w:t>(17.6, 20.7)</w:t>
            </w:r>
          </w:p>
        </w:tc>
        <w:tc>
          <w:tcPr>
            <w:tcW w:w="0" w:type="auto"/>
            <w:tcBorders>
              <w:left w:val="single" w:sz="4" w:space="0" w:color="auto"/>
            </w:tcBorders>
            <w:vAlign w:val="center"/>
          </w:tcPr>
          <w:p w14:paraId="69D0E565" w14:textId="77777777" w:rsidR="00221FB6" w:rsidRDefault="00221FB6" w:rsidP="00221FB6">
            <w:pPr>
              <w:jc w:val="right"/>
              <w:rPr>
                <w:color w:val="000000"/>
                <w:sz w:val="16"/>
                <w:szCs w:val="16"/>
              </w:rPr>
            </w:pPr>
            <w:r>
              <w:rPr>
                <w:color w:val="000000"/>
                <w:sz w:val="16"/>
                <w:szCs w:val="16"/>
              </w:rPr>
              <w:t>470</w:t>
            </w:r>
          </w:p>
        </w:tc>
        <w:tc>
          <w:tcPr>
            <w:tcW w:w="0" w:type="auto"/>
            <w:vAlign w:val="center"/>
          </w:tcPr>
          <w:p w14:paraId="0DFD503A" w14:textId="77777777" w:rsidR="00221FB6" w:rsidRDefault="00221FB6" w:rsidP="00221FB6">
            <w:pPr>
              <w:jc w:val="right"/>
              <w:rPr>
                <w:color w:val="000000"/>
                <w:sz w:val="16"/>
                <w:szCs w:val="16"/>
              </w:rPr>
            </w:pPr>
            <w:r>
              <w:rPr>
                <w:color w:val="000000"/>
                <w:sz w:val="16"/>
                <w:szCs w:val="16"/>
              </w:rPr>
              <w:t>20.7</w:t>
            </w:r>
          </w:p>
        </w:tc>
        <w:tc>
          <w:tcPr>
            <w:tcW w:w="0" w:type="auto"/>
            <w:tcBorders>
              <w:right w:val="single" w:sz="4" w:space="0" w:color="auto"/>
            </w:tcBorders>
            <w:vAlign w:val="center"/>
          </w:tcPr>
          <w:p w14:paraId="49FB7033" w14:textId="77777777" w:rsidR="00221FB6" w:rsidRDefault="00221FB6" w:rsidP="00221FB6">
            <w:pPr>
              <w:jc w:val="right"/>
              <w:rPr>
                <w:color w:val="000000"/>
                <w:sz w:val="16"/>
                <w:szCs w:val="16"/>
              </w:rPr>
            </w:pPr>
            <w:r>
              <w:rPr>
                <w:color w:val="000000"/>
                <w:sz w:val="16"/>
                <w:szCs w:val="16"/>
              </w:rPr>
              <w:t>(18.7, 22.6)</w:t>
            </w:r>
          </w:p>
        </w:tc>
        <w:tc>
          <w:tcPr>
            <w:tcW w:w="0" w:type="auto"/>
            <w:tcBorders>
              <w:left w:val="single" w:sz="4" w:space="0" w:color="auto"/>
            </w:tcBorders>
            <w:vAlign w:val="center"/>
          </w:tcPr>
          <w:p w14:paraId="4E0C3808" w14:textId="77777777" w:rsidR="00221FB6" w:rsidRDefault="00221FB6" w:rsidP="00221FB6">
            <w:pPr>
              <w:jc w:val="right"/>
              <w:rPr>
                <w:color w:val="000000"/>
                <w:sz w:val="16"/>
                <w:szCs w:val="16"/>
              </w:rPr>
            </w:pPr>
            <w:r>
              <w:rPr>
                <w:color w:val="000000"/>
                <w:sz w:val="16"/>
                <w:szCs w:val="16"/>
              </w:rPr>
              <w:t>418</w:t>
            </w:r>
          </w:p>
        </w:tc>
        <w:tc>
          <w:tcPr>
            <w:tcW w:w="0" w:type="auto"/>
            <w:vAlign w:val="center"/>
          </w:tcPr>
          <w:p w14:paraId="45CE6D23" w14:textId="77777777" w:rsidR="00221FB6" w:rsidRDefault="00221FB6" w:rsidP="00221FB6">
            <w:pPr>
              <w:jc w:val="right"/>
              <w:rPr>
                <w:color w:val="000000"/>
                <w:sz w:val="16"/>
                <w:szCs w:val="16"/>
              </w:rPr>
            </w:pPr>
            <w:r>
              <w:rPr>
                <w:color w:val="000000"/>
                <w:sz w:val="16"/>
                <w:szCs w:val="16"/>
              </w:rPr>
              <w:t>20.9</w:t>
            </w:r>
          </w:p>
        </w:tc>
        <w:tc>
          <w:tcPr>
            <w:tcW w:w="0" w:type="auto"/>
            <w:tcBorders>
              <w:right w:val="single" w:sz="4" w:space="0" w:color="auto"/>
            </w:tcBorders>
            <w:vAlign w:val="center"/>
          </w:tcPr>
          <w:p w14:paraId="1B3DB694" w14:textId="77777777" w:rsidR="00221FB6" w:rsidRDefault="00221FB6" w:rsidP="00221FB6">
            <w:pPr>
              <w:jc w:val="right"/>
              <w:rPr>
                <w:color w:val="000000"/>
                <w:sz w:val="16"/>
                <w:szCs w:val="16"/>
              </w:rPr>
            </w:pPr>
            <w:r>
              <w:rPr>
                <w:color w:val="000000"/>
                <w:sz w:val="16"/>
                <w:szCs w:val="16"/>
              </w:rPr>
              <w:t>(18.8, 23.1)</w:t>
            </w:r>
          </w:p>
        </w:tc>
        <w:tc>
          <w:tcPr>
            <w:tcW w:w="0" w:type="auto"/>
            <w:tcBorders>
              <w:left w:val="single" w:sz="4" w:space="0" w:color="auto"/>
            </w:tcBorders>
            <w:vAlign w:val="center"/>
          </w:tcPr>
          <w:p w14:paraId="2991FD98" w14:textId="77777777" w:rsidR="00221FB6" w:rsidRDefault="00221FB6" w:rsidP="00221FB6">
            <w:pPr>
              <w:jc w:val="right"/>
              <w:rPr>
                <w:color w:val="000000"/>
                <w:sz w:val="16"/>
                <w:szCs w:val="16"/>
              </w:rPr>
            </w:pPr>
            <w:r>
              <w:rPr>
                <w:color w:val="000000"/>
                <w:sz w:val="16"/>
                <w:szCs w:val="16"/>
              </w:rPr>
              <w:t>428</w:t>
            </w:r>
          </w:p>
        </w:tc>
        <w:tc>
          <w:tcPr>
            <w:tcW w:w="0" w:type="auto"/>
            <w:vAlign w:val="center"/>
          </w:tcPr>
          <w:p w14:paraId="60BA820A" w14:textId="77777777" w:rsidR="00221FB6" w:rsidRDefault="00221FB6" w:rsidP="00221FB6">
            <w:pPr>
              <w:jc w:val="right"/>
              <w:rPr>
                <w:color w:val="000000"/>
                <w:sz w:val="16"/>
                <w:szCs w:val="16"/>
              </w:rPr>
            </w:pPr>
            <w:r>
              <w:rPr>
                <w:color w:val="000000"/>
                <w:sz w:val="16"/>
                <w:szCs w:val="16"/>
              </w:rPr>
              <w:t>22.9</w:t>
            </w:r>
          </w:p>
        </w:tc>
        <w:tc>
          <w:tcPr>
            <w:tcW w:w="0" w:type="auto"/>
            <w:vAlign w:val="center"/>
          </w:tcPr>
          <w:p w14:paraId="6E1BA0F5" w14:textId="77777777" w:rsidR="00221FB6" w:rsidRDefault="00221FB6" w:rsidP="00221FB6">
            <w:pPr>
              <w:jc w:val="right"/>
              <w:rPr>
                <w:color w:val="000000"/>
                <w:sz w:val="16"/>
                <w:szCs w:val="16"/>
              </w:rPr>
            </w:pPr>
            <w:r>
              <w:rPr>
                <w:color w:val="000000"/>
                <w:sz w:val="16"/>
                <w:szCs w:val="16"/>
              </w:rPr>
              <w:t>(20.6, 25.3)</w:t>
            </w:r>
          </w:p>
        </w:tc>
      </w:tr>
      <w:tr w:rsidR="00221FB6" w:rsidRPr="007B4EF8" w14:paraId="6D86C309" w14:textId="77777777" w:rsidTr="00604260">
        <w:trPr>
          <w:jc w:val="center"/>
        </w:trPr>
        <w:tc>
          <w:tcPr>
            <w:tcW w:w="0" w:type="auto"/>
          </w:tcPr>
          <w:p w14:paraId="1325205A" w14:textId="77777777" w:rsidR="00221FB6" w:rsidRDefault="00221FB6" w:rsidP="00221FB6">
            <w:pPr>
              <w:spacing w:before="20" w:after="20"/>
              <w:ind w:left="34"/>
              <w:rPr>
                <w:rFonts w:eastAsiaTheme="minorEastAsia"/>
                <w:sz w:val="16"/>
                <w:szCs w:val="16"/>
                <w:lang w:eastAsia="en-US"/>
              </w:rPr>
            </w:pPr>
            <w:r>
              <w:rPr>
                <w:rFonts w:eastAsiaTheme="minorEastAsia"/>
                <w:sz w:val="16"/>
                <w:szCs w:val="16"/>
                <w:lang w:eastAsia="en-US"/>
              </w:rPr>
              <w:t>1</w:t>
            </w:r>
          </w:p>
        </w:tc>
        <w:tc>
          <w:tcPr>
            <w:tcW w:w="0" w:type="auto"/>
          </w:tcPr>
          <w:p w14:paraId="1256C935"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0" w:type="auto"/>
            <w:vAlign w:val="center"/>
          </w:tcPr>
          <w:p w14:paraId="2671A5AF" w14:textId="77777777" w:rsidR="00221FB6" w:rsidRDefault="00221FB6" w:rsidP="00221FB6">
            <w:pPr>
              <w:jc w:val="right"/>
              <w:rPr>
                <w:color w:val="000000"/>
                <w:sz w:val="16"/>
                <w:szCs w:val="16"/>
              </w:rPr>
            </w:pPr>
            <w:r>
              <w:rPr>
                <w:color w:val="000000"/>
                <w:sz w:val="16"/>
                <w:szCs w:val="16"/>
              </w:rPr>
              <w:t>950</w:t>
            </w:r>
          </w:p>
        </w:tc>
        <w:tc>
          <w:tcPr>
            <w:tcW w:w="0" w:type="auto"/>
            <w:vAlign w:val="center"/>
          </w:tcPr>
          <w:p w14:paraId="70EE0396" w14:textId="77777777" w:rsidR="00221FB6" w:rsidRDefault="00221FB6" w:rsidP="00221FB6">
            <w:pPr>
              <w:jc w:val="right"/>
              <w:rPr>
                <w:color w:val="000000"/>
                <w:sz w:val="16"/>
                <w:szCs w:val="16"/>
              </w:rPr>
            </w:pPr>
            <w:r>
              <w:rPr>
                <w:color w:val="000000"/>
                <w:sz w:val="16"/>
                <w:szCs w:val="16"/>
              </w:rPr>
              <w:t>70.5</w:t>
            </w:r>
          </w:p>
        </w:tc>
        <w:tc>
          <w:tcPr>
            <w:tcW w:w="0" w:type="auto"/>
            <w:tcBorders>
              <w:right w:val="single" w:sz="4" w:space="0" w:color="auto"/>
            </w:tcBorders>
            <w:vAlign w:val="center"/>
          </w:tcPr>
          <w:p w14:paraId="760C8999" w14:textId="77777777" w:rsidR="00221FB6" w:rsidRDefault="00221FB6" w:rsidP="00221FB6">
            <w:pPr>
              <w:jc w:val="right"/>
              <w:rPr>
                <w:color w:val="000000"/>
                <w:sz w:val="16"/>
                <w:szCs w:val="16"/>
              </w:rPr>
            </w:pPr>
            <w:r>
              <w:rPr>
                <w:color w:val="000000"/>
                <w:sz w:val="16"/>
                <w:szCs w:val="16"/>
              </w:rPr>
              <w:t>(67.5, 73.5)</w:t>
            </w:r>
          </w:p>
        </w:tc>
        <w:tc>
          <w:tcPr>
            <w:tcW w:w="0" w:type="auto"/>
            <w:tcBorders>
              <w:left w:val="single" w:sz="4" w:space="0" w:color="auto"/>
            </w:tcBorders>
            <w:vAlign w:val="center"/>
          </w:tcPr>
          <w:p w14:paraId="5A07B960" w14:textId="77777777" w:rsidR="00221FB6" w:rsidRDefault="00221FB6" w:rsidP="00221FB6">
            <w:pPr>
              <w:jc w:val="right"/>
              <w:rPr>
                <w:color w:val="000000"/>
                <w:sz w:val="16"/>
                <w:szCs w:val="16"/>
              </w:rPr>
            </w:pPr>
            <w:r>
              <w:rPr>
                <w:color w:val="000000"/>
                <w:sz w:val="16"/>
                <w:szCs w:val="16"/>
              </w:rPr>
              <w:t>513</w:t>
            </w:r>
          </w:p>
        </w:tc>
        <w:tc>
          <w:tcPr>
            <w:tcW w:w="0" w:type="auto"/>
            <w:vAlign w:val="center"/>
          </w:tcPr>
          <w:p w14:paraId="755F8F62" w14:textId="77777777" w:rsidR="00221FB6" w:rsidRDefault="00221FB6" w:rsidP="00221FB6">
            <w:pPr>
              <w:jc w:val="right"/>
              <w:rPr>
                <w:color w:val="000000"/>
                <w:sz w:val="16"/>
                <w:szCs w:val="16"/>
              </w:rPr>
            </w:pPr>
            <w:r>
              <w:rPr>
                <w:color w:val="000000"/>
                <w:sz w:val="16"/>
                <w:szCs w:val="16"/>
              </w:rPr>
              <w:t>68.2</w:t>
            </w:r>
          </w:p>
        </w:tc>
        <w:tc>
          <w:tcPr>
            <w:tcW w:w="0" w:type="auto"/>
            <w:tcBorders>
              <w:right w:val="single" w:sz="4" w:space="0" w:color="auto"/>
            </w:tcBorders>
            <w:vAlign w:val="center"/>
          </w:tcPr>
          <w:p w14:paraId="6E0C97F0" w14:textId="77777777" w:rsidR="00221FB6" w:rsidRDefault="00221FB6" w:rsidP="00221FB6">
            <w:pPr>
              <w:jc w:val="right"/>
              <w:rPr>
                <w:color w:val="000000"/>
                <w:sz w:val="16"/>
                <w:szCs w:val="16"/>
              </w:rPr>
            </w:pPr>
            <w:r>
              <w:rPr>
                <w:color w:val="000000"/>
                <w:sz w:val="16"/>
                <w:szCs w:val="16"/>
              </w:rPr>
              <w:t>(64.0, 72.4)</w:t>
            </w:r>
          </w:p>
        </w:tc>
        <w:tc>
          <w:tcPr>
            <w:tcW w:w="0" w:type="auto"/>
            <w:tcBorders>
              <w:left w:val="single" w:sz="4" w:space="0" w:color="auto"/>
            </w:tcBorders>
            <w:vAlign w:val="center"/>
          </w:tcPr>
          <w:p w14:paraId="742DBD68" w14:textId="77777777" w:rsidR="00221FB6" w:rsidRDefault="00221FB6" w:rsidP="00221FB6">
            <w:pPr>
              <w:jc w:val="right"/>
              <w:rPr>
                <w:color w:val="000000"/>
                <w:sz w:val="16"/>
                <w:szCs w:val="16"/>
              </w:rPr>
            </w:pPr>
            <w:r>
              <w:rPr>
                <w:color w:val="000000"/>
                <w:sz w:val="16"/>
                <w:szCs w:val="16"/>
              </w:rPr>
              <w:t>402</w:t>
            </w:r>
          </w:p>
        </w:tc>
        <w:tc>
          <w:tcPr>
            <w:tcW w:w="0" w:type="auto"/>
            <w:vAlign w:val="center"/>
          </w:tcPr>
          <w:p w14:paraId="19C83C4A" w14:textId="77777777" w:rsidR="00221FB6" w:rsidRDefault="00221FB6" w:rsidP="00221FB6">
            <w:pPr>
              <w:jc w:val="right"/>
              <w:rPr>
                <w:color w:val="000000"/>
                <w:sz w:val="16"/>
                <w:szCs w:val="16"/>
              </w:rPr>
            </w:pPr>
            <w:r>
              <w:rPr>
                <w:color w:val="000000"/>
                <w:sz w:val="16"/>
                <w:szCs w:val="16"/>
              </w:rPr>
              <w:t>71.8</w:t>
            </w:r>
          </w:p>
        </w:tc>
        <w:tc>
          <w:tcPr>
            <w:tcW w:w="0" w:type="auto"/>
            <w:tcBorders>
              <w:right w:val="single" w:sz="4" w:space="0" w:color="auto"/>
            </w:tcBorders>
            <w:vAlign w:val="center"/>
          </w:tcPr>
          <w:p w14:paraId="31BD9FF3" w14:textId="77777777" w:rsidR="00221FB6" w:rsidRDefault="00221FB6" w:rsidP="00221FB6">
            <w:pPr>
              <w:jc w:val="right"/>
              <w:rPr>
                <w:color w:val="000000"/>
                <w:sz w:val="16"/>
                <w:szCs w:val="16"/>
              </w:rPr>
            </w:pPr>
            <w:r>
              <w:rPr>
                <w:color w:val="000000"/>
                <w:sz w:val="16"/>
                <w:szCs w:val="16"/>
              </w:rPr>
              <w:t>(66.9, 76.7)</w:t>
            </w:r>
          </w:p>
        </w:tc>
        <w:tc>
          <w:tcPr>
            <w:tcW w:w="0" w:type="auto"/>
            <w:tcBorders>
              <w:left w:val="single" w:sz="4" w:space="0" w:color="auto"/>
            </w:tcBorders>
            <w:vAlign w:val="center"/>
          </w:tcPr>
          <w:p w14:paraId="52AE088A" w14:textId="77777777" w:rsidR="00221FB6" w:rsidRDefault="00221FB6" w:rsidP="00221FB6">
            <w:pPr>
              <w:jc w:val="right"/>
              <w:rPr>
                <w:color w:val="000000"/>
                <w:sz w:val="16"/>
                <w:szCs w:val="16"/>
              </w:rPr>
            </w:pPr>
            <w:r>
              <w:rPr>
                <w:color w:val="000000"/>
                <w:sz w:val="16"/>
                <w:szCs w:val="16"/>
              </w:rPr>
              <w:t>300</w:t>
            </w:r>
          </w:p>
        </w:tc>
        <w:tc>
          <w:tcPr>
            <w:tcW w:w="0" w:type="auto"/>
            <w:vAlign w:val="center"/>
          </w:tcPr>
          <w:p w14:paraId="798A791C" w14:textId="77777777" w:rsidR="00221FB6" w:rsidRDefault="00221FB6" w:rsidP="00221FB6">
            <w:pPr>
              <w:jc w:val="right"/>
              <w:rPr>
                <w:color w:val="000000"/>
                <w:sz w:val="16"/>
                <w:szCs w:val="16"/>
              </w:rPr>
            </w:pPr>
            <w:r>
              <w:rPr>
                <w:color w:val="000000"/>
                <w:sz w:val="16"/>
                <w:szCs w:val="16"/>
              </w:rPr>
              <w:t>61.9</w:t>
            </w:r>
          </w:p>
        </w:tc>
        <w:tc>
          <w:tcPr>
            <w:tcW w:w="0" w:type="auto"/>
            <w:vAlign w:val="center"/>
          </w:tcPr>
          <w:p w14:paraId="5055255A" w14:textId="77777777" w:rsidR="00221FB6" w:rsidRDefault="00221FB6" w:rsidP="00221FB6">
            <w:pPr>
              <w:jc w:val="right"/>
              <w:rPr>
                <w:color w:val="000000"/>
                <w:sz w:val="16"/>
                <w:szCs w:val="16"/>
              </w:rPr>
            </w:pPr>
            <w:r>
              <w:rPr>
                <w:color w:val="000000"/>
                <w:sz w:val="16"/>
                <w:szCs w:val="16"/>
              </w:rPr>
              <w:t>(55.2, 68.6)</w:t>
            </w:r>
          </w:p>
        </w:tc>
      </w:tr>
      <w:tr w:rsidR="00221FB6" w:rsidRPr="007B4EF8" w14:paraId="3280F299" w14:textId="77777777" w:rsidTr="00604260">
        <w:trPr>
          <w:jc w:val="center"/>
        </w:trPr>
        <w:tc>
          <w:tcPr>
            <w:tcW w:w="0" w:type="auto"/>
          </w:tcPr>
          <w:p w14:paraId="65F52C33" w14:textId="77777777" w:rsidR="00221FB6" w:rsidRDefault="00221FB6" w:rsidP="00221FB6">
            <w:pPr>
              <w:spacing w:before="20" w:after="20"/>
              <w:ind w:left="34"/>
              <w:rPr>
                <w:rFonts w:eastAsiaTheme="minorEastAsia"/>
                <w:sz w:val="16"/>
                <w:szCs w:val="16"/>
                <w:lang w:eastAsia="en-US"/>
              </w:rPr>
            </w:pPr>
          </w:p>
        </w:tc>
        <w:tc>
          <w:tcPr>
            <w:tcW w:w="0" w:type="auto"/>
          </w:tcPr>
          <w:p w14:paraId="09AD8B27"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Low-risk gambler</w:t>
            </w:r>
          </w:p>
        </w:tc>
        <w:tc>
          <w:tcPr>
            <w:tcW w:w="0" w:type="auto"/>
            <w:vAlign w:val="center"/>
          </w:tcPr>
          <w:p w14:paraId="61C01CD9" w14:textId="77777777" w:rsidR="00221FB6" w:rsidRDefault="00221FB6" w:rsidP="00221FB6">
            <w:pPr>
              <w:jc w:val="right"/>
              <w:rPr>
                <w:color w:val="000000"/>
                <w:sz w:val="16"/>
                <w:szCs w:val="16"/>
              </w:rPr>
            </w:pPr>
            <w:r>
              <w:rPr>
                <w:color w:val="000000"/>
                <w:sz w:val="16"/>
                <w:szCs w:val="16"/>
              </w:rPr>
              <w:t>77</w:t>
            </w:r>
          </w:p>
        </w:tc>
        <w:tc>
          <w:tcPr>
            <w:tcW w:w="0" w:type="auto"/>
            <w:vAlign w:val="center"/>
          </w:tcPr>
          <w:p w14:paraId="221FAE30" w14:textId="77777777" w:rsidR="00221FB6" w:rsidRDefault="00221FB6" w:rsidP="00221FB6">
            <w:pPr>
              <w:jc w:val="right"/>
              <w:rPr>
                <w:color w:val="000000"/>
                <w:sz w:val="16"/>
                <w:szCs w:val="16"/>
              </w:rPr>
            </w:pPr>
            <w:r>
              <w:rPr>
                <w:color w:val="000000"/>
                <w:sz w:val="16"/>
                <w:szCs w:val="16"/>
              </w:rPr>
              <w:t>5.7</w:t>
            </w:r>
          </w:p>
        </w:tc>
        <w:tc>
          <w:tcPr>
            <w:tcW w:w="0" w:type="auto"/>
            <w:tcBorders>
              <w:right w:val="single" w:sz="4" w:space="0" w:color="auto"/>
            </w:tcBorders>
            <w:vAlign w:val="center"/>
          </w:tcPr>
          <w:p w14:paraId="346A3CDB" w14:textId="77777777" w:rsidR="00221FB6" w:rsidRDefault="00221FB6" w:rsidP="00221FB6">
            <w:pPr>
              <w:jc w:val="right"/>
              <w:rPr>
                <w:color w:val="000000"/>
                <w:sz w:val="16"/>
                <w:szCs w:val="16"/>
              </w:rPr>
            </w:pPr>
            <w:r>
              <w:rPr>
                <w:color w:val="000000"/>
                <w:sz w:val="16"/>
                <w:szCs w:val="16"/>
              </w:rPr>
              <w:t>(4.0, 7.4)</w:t>
            </w:r>
          </w:p>
        </w:tc>
        <w:tc>
          <w:tcPr>
            <w:tcW w:w="0" w:type="auto"/>
            <w:tcBorders>
              <w:left w:val="single" w:sz="4" w:space="0" w:color="auto"/>
            </w:tcBorders>
            <w:vAlign w:val="center"/>
          </w:tcPr>
          <w:p w14:paraId="6AAD7A18" w14:textId="77777777" w:rsidR="00221FB6" w:rsidRDefault="00221FB6" w:rsidP="00221FB6">
            <w:pPr>
              <w:jc w:val="right"/>
              <w:rPr>
                <w:color w:val="000000"/>
                <w:sz w:val="16"/>
                <w:szCs w:val="16"/>
              </w:rPr>
            </w:pPr>
            <w:r>
              <w:rPr>
                <w:color w:val="000000"/>
                <w:sz w:val="16"/>
                <w:szCs w:val="16"/>
              </w:rPr>
              <w:t>45</w:t>
            </w:r>
          </w:p>
        </w:tc>
        <w:tc>
          <w:tcPr>
            <w:tcW w:w="0" w:type="auto"/>
            <w:vAlign w:val="center"/>
          </w:tcPr>
          <w:p w14:paraId="1C31D113" w14:textId="77777777" w:rsidR="00221FB6" w:rsidRDefault="00221FB6" w:rsidP="00221FB6">
            <w:pPr>
              <w:jc w:val="right"/>
              <w:rPr>
                <w:color w:val="000000"/>
                <w:sz w:val="16"/>
                <w:szCs w:val="16"/>
              </w:rPr>
            </w:pPr>
            <w:r>
              <w:rPr>
                <w:color w:val="000000"/>
                <w:sz w:val="16"/>
                <w:szCs w:val="16"/>
              </w:rPr>
              <w:t>6.0</w:t>
            </w:r>
          </w:p>
        </w:tc>
        <w:tc>
          <w:tcPr>
            <w:tcW w:w="0" w:type="auto"/>
            <w:tcBorders>
              <w:right w:val="single" w:sz="4" w:space="0" w:color="auto"/>
            </w:tcBorders>
            <w:vAlign w:val="center"/>
          </w:tcPr>
          <w:p w14:paraId="3E2E7E06" w14:textId="77777777" w:rsidR="00221FB6" w:rsidRDefault="00221FB6" w:rsidP="00221FB6">
            <w:pPr>
              <w:jc w:val="right"/>
              <w:rPr>
                <w:color w:val="000000"/>
                <w:sz w:val="16"/>
                <w:szCs w:val="16"/>
              </w:rPr>
            </w:pPr>
            <w:r>
              <w:rPr>
                <w:color w:val="000000"/>
                <w:sz w:val="16"/>
                <w:szCs w:val="16"/>
              </w:rPr>
              <w:t>(4.0, 8.0)</w:t>
            </w:r>
          </w:p>
        </w:tc>
        <w:tc>
          <w:tcPr>
            <w:tcW w:w="0" w:type="auto"/>
            <w:tcBorders>
              <w:left w:val="single" w:sz="4" w:space="0" w:color="auto"/>
            </w:tcBorders>
            <w:vAlign w:val="center"/>
          </w:tcPr>
          <w:p w14:paraId="18A587E5" w14:textId="77777777" w:rsidR="00221FB6" w:rsidRDefault="00221FB6" w:rsidP="00221FB6">
            <w:pPr>
              <w:jc w:val="right"/>
              <w:rPr>
                <w:color w:val="000000"/>
                <w:sz w:val="16"/>
                <w:szCs w:val="16"/>
              </w:rPr>
            </w:pPr>
            <w:r>
              <w:rPr>
                <w:color w:val="000000"/>
                <w:sz w:val="16"/>
                <w:szCs w:val="16"/>
              </w:rPr>
              <w:t>29</w:t>
            </w:r>
          </w:p>
        </w:tc>
        <w:tc>
          <w:tcPr>
            <w:tcW w:w="0" w:type="auto"/>
            <w:vAlign w:val="center"/>
          </w:tcPr>
          <w:p w14:paraId="215B1C42" w14:textId="77777777" w:rsidR="00221FB6" w:rsidRDefault="00221FB6" w:rsidP="00221FB6">
            <w:pPr>
              <w:jc w:val="right"/>
              <w:rPr>
                <w:color w:val="000000"/>
                <w:sz w:val="16"/>
                <w:szCs w:val="16"/>
              </w:rPr>
            </w:pPr>
            <w:r>
              <w:rPr>
                <w:color w:val="000000"/>
                <w:sz w:val="16"/>
                <w:szCs w:val="16"/>
              </w:rPr>
              <w:t>5.2</w:t>
            </w:r>
          </w:p>
        </w:tc>
        <w:tc>
          <w:tcPr>
            <w:tcW w:w="0" w:type="auto"/>
            <w:tcBorders>
              <w:right w:val="single" w:sz="4" w:space="0" w:color="auto"/>
            </w:tcBorders>
            <w:vAlign w:val="center"/>
          </w:tcPr>
          <w:p w14:paraId="3F57CF11" w14:textId="77777777" w:rsidR="00221FB6" w:rsidRDefault="00221FB6" w:rsidP="00221FB6">
            <w:pPr>
              <w:jc w:val="right"/>
              <w:rPr>
                <w:color w:val="000000"/>
                <w:sz w:val="16"/>
                <w:szCs w:val="16"/>
              </w:rPr>
            </w:pPr>
            <w:r>
              <w:rPr>
                <w:color w:val="000000"/>
                <w:sz w:val="16"/>
                <w:szCs w:val="16"/>
              </w:rPr>
              <w:t>(2.7, 7.6)</w:t>
            </w:r>
          </w:p>
        </w:tc>
        <w:tc>
          <w:tcPr>
            <w:tcW w:w="0" w:type="auto"/>
            <w:tcBorders>
              <w:left w:val="single" w:sz="4" w:space="0" w:color="auto"/>
            </w:tcBorders>
            <w:vAlign w:val="center"/>
          </w:tcPr>
          <w:p w14:paraId="26AF96C5" w14:textId="77777777" w:rsidR="00221FB6" w:rsidRDefault="00221FB6" w:rsidP="00221FB6">
            <w:pPr>
              <w:jc w:val="right"/>
              <w:rPr>
                <w:color w:val="000000"/>
                <w:sz w:val="16"/>
                <w:szCs w:val="16"/>
              </w:rPr>
            </w:pPr>
            <w:r>
              <w:rPr>
                <w:color w:val="000000"/>
                <w:sz w:val="16"/>
                <w:szCs w:val="16"/>
              </w:rPr>
              <w:t>26</w:t>
            </w:r>
          </w:p>
        </w:tc>
        <w:tc>
          <w:tcPr>
            <w:tcW w:w="0" w:type="auto"/>
            <w:vAlign w:val="center"/>
          </w:tcPr>
          <w:p w14:paraId="3937C401" w14:textId="77777777" w:rsidR="00221FB6" w:rsidRDefault="00221FB6" w:rsidP="00221FB6">
            <w:pPr>
              <w:jc w:val="right"/>
              <w:rPr>
                <w:color w:val="000000"/>
                <w:sz w:val="16"/>
                <w:szCs w:val="16"/>
              </w:rPr>
            </w:pPr>
            <w:r>
              <w:rPr>
                <w:color w:val="000000"/>
                <w:sz w:val="16"/>
                <w:szCs w:val="16"/>
              </w:rPr>
              <w:t>5.3</w:t>
            </w:r>
          </w:p>
        </w:tc>
        <w:tc>
          <w:tcPr>
            <w:tcW w:w="0" w:type="auto"/>
            <w:vAlign w:val="center"/>
          </w:tcPr>
          <w:p w14:paraId="2B673C4C" w14:textId="77777777" w:rsidR="00221FB6" w:rsidRDefault="00221FB6" w:rsidP="00221FB6">
            <w:pPr>
              <w:jc w:val="right"/>
              <w:rPr>
                <w:color w:val="000000"/>
                <w:sz w:val="16"/>
                <w:szCs w:val="16"/>
              </w:rPr>
            </w:pPr>
            <w:r>
              <w:rPr>
                <w:color w:val="000000"/>
                <w:sz w:val="16"/>
                <w:szCs w:val="16"/>
              </w:rPr>
              <w:t>(2.6, 8.1)</w:t>
            </w:r>
          </w:p>
        </w:tc>
      </w:tr>
      <w:tr w:rsidR="00221FB6" w:rsidRPr="007B4EF8" w14:paraId="162B12E8" w14:textId="77777777" w:rsidTr="00604260">
        <w:trPr>
          <w:jc w:val="center"/>
        </w:trPr>
        <w:tc>
          <w:tcPr>
            <w:tcW w:w="0" w:type="auto"/>
          </w:tcPr>
          <w:p w14:paraId="17E799E5" w14:textId="77777777" w:rsidR="00221FB6" w:rsidRDefault="00221FB6" w:rsidP="00221FB6">
            <w:pPr>
              <w:spacing w:before="20" w:after="20"/>
              <w:ind w:left="34"/>
              <w:rPr>
                <w:rFonts w:eastAsiaTheme="minorEastAsia"/>
                <w:sz w:val="16"/>
                <w:szCs w:val="16"/>
                <w:lang w:eastAsia="en-US"/>
              </w:rPr>
            </w:pPr>
          </w:p>
        </w:tc>
        <w:tc>
          <w:tcPr>
            <w:tcW w:w="0" w:type="auto"/>
          </w:tcPr>
          <w:p w14:paraId="2B07B684"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0" w:type="auto"/>
            <w:vAlign w:val="center"/>
          </w:tcPr>
          <w:p w14:paraId="61F1B500" w14:textId="77777777" w:rsidR="00221FB6" w:rsidRDefault="00221FB6" w:rsidP="00221FB6">
            <w:pPr>
              <w:jc w:val="right"/>
              <w:rPr>
                <w:color w:val="000000"/>
                <w:sz w:val="16"/>
                <w:szCs w:val="16"/>
              </w:rPr>
            </w:pPr>
            <w:r>
              <w:rPr>
                <w:color w:val="000000"/>
                <w:sz w:val="16"/>
                <w:szCs w:val="16"/>
              </w:rPr>
              <w:t>45</w:t>
            </w:r>
          </w:p>
        </w:tc>
        <w:tc>
          <w:tcPr>
            <w:tcW w:w="0" w:type="auto"/>
            <w:vAlign w:val="center"/>
          </w:tcPr>
          <w:p w14:paraId="10B9B30B" w14:textId="77777777" w:rsidR="00221FB6" w:rsidRDefault="00221FB6" w:rsidP="00221FB6">
            <w:pPr>
              <w:jc w:val="right"/>
              <w:rPr>
                <w:color w:val="000000"/>
                <w:sz w:val="16"/>
                <w:szCs w:val="16"/>
              </w:rPr>
            </w:pPr>
            <w:r>
              <w:rPr>
                <w:color w:val="000000"/>
                <w:sz w:val="16"/>
                <w:szCs w:val="16"/>
              </w:rPr>
              <w:t>3.3</w:t>
            </w:r>
          </w:p>
        </w:tc>
        <w:tc>
          <w:tcPr>
            <w:tcW w:w="0" w:type="auto"/>
            <w:tcBorders>
              <w:right w:val="single" w:sz="4" w:space="0" w:color="auto"/>
            </w:tcBorders>
            <w:vAlign w:val="center"/>
          </w:tcPr>
          <w:p w14:paraId="3F167201" w14:textId="77777777" w:rsidR="00221FB6" w:rsidRDefault="00221FB6" w:rsidP="00221FB6">
            <w:pPr>
              <w:jc w:val="right"/>
              <w:rPr>
                <w:color w:val="000000"/>
                <w:sz w:val="16"/>
                <w:szCs w:val="16"/>
              </w:rPr>
            </w:pPr>
            <w:r>
              <w:rPr>
                <w:color w:val="000000"/>
                <w:sz w:val="16"/>
                <w:szCs w:val="16"/>
              </w:rPr>
              <w:t>(2.2, 4.5)</w:t>
            </w:r>
          </w:p>
        </w:tc>
        <w:tc>
          <w:tcPr>
            <w:tcW w:w="0" w:type="auto"/>
            <w:tcBorders>
              <w:left w:val="single" w:sz="4" w:space="0" w:color="auto"/>
            </w:tcBorders>
            <w:vAlign w:val="center"/>
          </w:tcPr>
          <w:p w14:paraId="5B20755E" w14:textId="77777777" w:rsidR="00221FB6" w:rsidRDefault="00221FB6" w:rsidP="00221FB6">
            <w:pPr>
              <w:jc w:val="right"/>
              <w:rPr>
                <w:color w:val="000000"/>
                <w:sz w:val="16"/>
                <w:szCs w:val="16"/>
              </w:rPr>
            </w:pPr>
            <w:r>
              <w:rPr>
                <w:color w:val="000000"/>
                <w:sz w:val="16"/>
                <w:szCs w:val="16"/>
              </w:rPr>
              <w:t>23</w:t>
            </w:r>
          </w:p>
        </w:tc>
        <w:tc>
          <w:tcPr>
            <w:tcW w:w="0" w:type="auto"/>
            <w:vAlign w:val="center"/>
          </w:tcPr>
          <w:p w14:paraId="07436B4C" w14:textId="77777777" w:rsidR="00221FB6" w:rsidRDefault="00221FB6" w:rsidP="00221FB6">
            <w:pPr>
              <w:jc w:val="right"/>
              <w:rPr>
                <w:color w:val="000000"/>
                <w:sz w:val="16"/>
                <w:szCs w:val="16"/>
              </w:rPr>
            </w:pPr>
            <w:r>
              <w:rPr>
                <w:color w:val="000000"/>
                <w:sz w:val="16"/>
                <w:szCs w:val="16"/>
              </w:rPr>
              <w:t>3.1</w:t>
            </w:r>
          </w:p>
        </w:tc>
        <w:tc>
          <w:tcPr>
            <w:tcW w:w="0" w:type="auto"/>
            <w:tcBorders>
              <w:right w:val="single" w:sz="4" w:space="0" w:color="auto"/>
            </w:tcBorders>
            <w:vAlign w:val="center"/>
          </w:tcPr>
          <w:p w14:paraId="4077F569" w14:textId="77777777" w:rsidR="00221FB6" w:rsidRDefault="00221FB6" w:rsidP="00221FB6">
            <w:pPr>
              <w:jc w:val="right"/>
              <w:rPr>
                <w:color w:val="000000"/>
                <w:sz w:val="16"/>
                <w:szCs w:val="16"/>
              </w:rPr>
            </w:pPr>
            <w:r>
              <w:rPr>
                <w:color w:val="000000"/>
                <w:sz w:val="16"/>
                <w:szCs w:val="16"/>
              </w:rPr>
              <w:t>(1.5, 4.6)</w:t>
            </w:r>
          </w:p>
        </w:tc>
        <w:tc>
          <w:tcPr>
            <w:tcW w:w="0" w:type="auto"/>
            <w:tcBorders>
              <w:left w:val="single" w:sz="4" w:space="0" w:color="auto"/>
            </w:tcBorders>
            <w:vAlign w:val="center"/>
          </w:tcPr>
          <w:p w14:paraId="550E9CD4" w14:textId="77777777" w:rsidR="00221FB6" w:rsidRDefault="00221FB6" w:rsidP="00221FB6">
            <w:pPr>
              <w:jc w:val="right"/>
              <w:rPr>
                <w:color w:val="000000"/>
                <w:sz w:val="16"/>
                <w:szCs w:val="16"/>
              </w:rPr>
            </w:pPr>
            <w:r>
              <w:rPr>
                <w:color w:val="000000"/>
                <w:sz w:val="16"/>
                <w:szCs w:val="16"/>
              </w:rPr>
              <w:t>8</w:t>
            </w:r>
          </w:p>
        </w:tc>
        <w:tc>
          <w:tcPr>
            <w:tcW w:w="0" w:type="auto"/>
            <w:vAlign w:val="center"/>
          </w:tcPr>
          <w:p w14:paraId="2CA34922" w14:textId="77777777" w:rsidR="00221FB6" w:rsidRDefault="00221FB6" w:rsidP="00221FB6">
            <w:pPr>
              <w:jc w:val="right"/>
              <w:rPr>
                <w:color w:val="000000"/>
                <w:sz w:val="16"/>
                <w:szCs w:val="16"/>
              </w:rPr>
            </w:pPr>
            <w:r>
              <w:rPr>
                <w:color w:val="000000"/>
                <w:sz w:val="16"/>
                <w:szCs w:val="16"/>
              </w:rPr>
              <w:t>1.3</w:t>
            </w:r>
          </w:p>
        </w:tc>
        <w:tc>
          <w:tcPr>
            <w:tcW w:w="0" w:type="auto"/>
            <w:tcBorders>
              <w:right w:val="single" w:sz="4" w:space="0" w:color="auto"/>
            </w:tcBorders>
            <w:vAlign w:val="center"/>
          </w:tcPr>
          <w:p w14:paraId="0F396835" w14:textId="77777777" w:rsidR="00221FB6" w:rsidRDefault="00221FB6" w:rsidP="00221FB6">
            <w:pPr>
              <w:jc w:val="right"/>
              <w:rPr>
                <w:color w:val="000000"/>
                <w:sz w:val="16"/>
                <w:szCs w:val="16"/>
              </w:rPr>
            </w:pPr>
            <w:r>
              <w:rPr>
                <w:color w:val="000000"/>
                <w:sz w:val="16"/>
                <w:szCs w:val="16"/>
              </w:rPr>
              <w:t>(0.4, 2.3)</w:t>
            </w:r>
          </w:p>
        </w:tc>
        <w:tc>
          <w:tcPr>
            <w:tcW w:w="0" w:type="auto"/>
            <w:tcBorders>
              <w:left w:val="single" w:sz="4" w:space="0" w:color="auto"/>
            </w:tcBorders>
            <w:vAlign w:val="center"/>
          </w:tcPr>
          <w:p w14:paraId="285F7E57" w14:textId="77777777" w:rsidR="00221FB6" w:rsidRDefault="00221FB6" w:rsidP="00221FB6">
            <w:pPr>
              <w:jc w:val="right"/>
              <w:rPr>
                <w:color w:val="000000"/>
                <w:sz w:val="16"/>
                <w:szCs w:val="16"/>
              </w:rPr>
            </w:pPr>
            <w:r>
              <w:rPr>
                <w:color w:val="000000"/>
                <w:sz w:val="16"/>
                <w:szCs w:val="16"/>
              </w:rPr>
              <w:t>18</w:t>
            </w:r>
          </w:p>
        </w:tc>
        <w:tc>
          <w:tcPr>
            <w:tcW w:w="0" w:type="auto"/>
            <w:vAlign w:val="center"/>
          </w:tcPr>
          <w:p w14:paraId="727E9536" w14:textId="77777777" w:rsidR="00221FB6" w:rsidRDefault="00221FB6" w:rsidP="00221FB6">
            <w:pPr>
              <w:jc w:val="right"/>
              <w:rPr>
                <w:color w:val="000000"/>
                <w:sz w:val="16"/>
                <w:szCs w:val="16"/>
              </w:rPr>
            </w:pPr>
            <w:r>
              <w:rPr>
                <w:color w:val="000000"/>
                <w:sz w:val="16"/>
                <w:szCs w:val="16"/>
              </w:rPr>
              <w:t>3.8</w:t>
            </w:r>
          </w:p>
        </w:tc>
        <w:tc>
          <w:tcPr>
            <w:tcW w:w="0" w:type="auto"/>
            <w:vAlign w:val="center"/>
          </w:tcPr>
          <w:p w14:paraId="7D2F2F00" w14:textId="77777777" w:rsidR="00221FB6" w:rsidRDefault="00221FB6" w:rsidP="00221FB6">
            <w:pPr>
              <w:jc w:val="right"/>
              <w:rPr>
                <w:color w:val="000000"/>
                <w:sz w:val="16"/>
                <w:szCs w:val="16"/>
              </w:rPr>
            </w:pPr>
            <w:r>
              <w:rPr>
                <w:color w:val="000000"/>
                <w:sz w:val="16"/>
                <w:szCs w:val="16"/>
              </w:rPr>
              <w:t>(0.8, 6.8)</w:t>
            </w:r>
          </w:p>
        </w:tc>
      </w:tr>
      <w:tr w:rsidR="00221FB6" w:rsidRPr="007B4EF8" w14:paraId="4DA92A6A" w14:textId="77777777" w:rsidTr="00604260">
        <w:trPr>
          <w:jc w:val="center"/>
        </w:trPr>
        <w:tc>
          <w:tcPr>
            <w:tcW w:w="0" w:type="auto"/>
          </w:tcPr>
          <w:p w14:paraId="0D810428" w14:textId="77777777" w:rsidR="00221FB6" w:rsidRDefault="00221FB6" w:rsidP="00221FB6">
            <w:pPr>
              <w:spacing w:before="20" w:after="20"/>
              <w:ind w:left="34"/>
              <w:rPr>
                <w:rFonts w:eastAsiaTheme="minorEastAsia"/>
                <w:sz w:val="16"/>
                <w:szCs w:val="16"/>
                <w:lang w:eastAsia="en-US"/>
              </w:rPr>
            </w:pPr>
          </w:p>
        </w:tc>
        <w:tc>
          <w:tcPr>
            <w:tcW w:w="0" w:type="auto"/>
          </w:tcPr>
          <w:p w14:paraId="29893D03"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No gambling in past year</w:t>
            </w:r>
          </w:p>
        </w:tc>
        <w:tc>
          <w:tcPr>
            <w:tcW w:w="0" w:type="auto"/>
            <w:vAlign w:val="center"/>
          </w:tcPr>
          <w:p w14:paraId="10F664B3" w14:textId="77777777" w:rsidR="00221FB6" w:rsidRDefault="00221FB6" w:rsidP="00221FB6">
            <w:pPr>
              <w:jc w:val="right"/>
              <w:rPr>
                <w:color w:val="000000"/>
                <w:sz w:val="16"/>
                <w:szCs w:val="16"/>
              </w:rPr>
            </w:pPr>
            <w:r>
              <w:rPr>
                <w:color w:val="000000"/>
                <w:sz w:val="16"/>
                <w:szCs w:val="16"/>
              </w:rPr>
              <w:t>276</w:t>
            </w:r>
          </w:p>
        </w:tc>
        <w:tc>
          <w:tcPr>
            <w:tcW w:w="0" w:type="auto"/>
            <w:vAlign w:val="center"/>
          </w:tcPr>
          <w:p w14:paraId="5781DAE0" w14:textId="77777777" w:rsidR="00221FB6" w:rsidRDefault="00221FB6" w:rsidP="00221FB6">
            <w:pPr>
              <w:jc w:val="right"/>
              <w:rPr>
                <w:color w:val="000000"/>
                <w:sz w:val="16"/>
                <w:szCs w:val="16"/>
              </w:rPr>
            </w:pPr>
            <w:r>
              <w:rPr>
                <w:color w:val="000000"/>
                <w:sz w:val="16"/>
                <w:szCs w:val="16"/>
              </w:rPr>
              <w:t>20.5</w:t>
            </w:r>
          </w:p>
        </w:tc>
        <w:tc>
          <w:tcPr>
            <w:tcW w:w="0" w:type="auto"/>
            <w:tcBorders>
              <w:right w:val="single" w:sz="4" w:space="0" w:color="auto"/>
            </w:tcBorders>
            <w:vAlign w:val="center"/>
          </w:tcPr>
          <w:p w14:paraId="2BB6B7E4" w14:textId="77777777" w:rsidR="00221FB6" w:rsidRDefault="00221FB6" w:rsidP="00221FB6">
            <w:pPr>
              <w:jc w:val="right"/>
              <w:rPr>
                <w:color w:val="000000"/>
                <w:sz w:val="16"/>
                <w:szCs w:val="16"/>
              </w:rPr>
            </w:pPr>
            <w:r>
              <w:rPr>
                <w:color w:val="000000"/>
                <w:sz w:val="16"/>
                <w:szCs w:val="16"/>
              </w:rPr>
              <w:t>(17.9, 23.1)</w:t>
            </w:r>
          </w:p>
        </w:tc>
        <w:tc>
          <w:tcPr>
            <w:tcW w:w="0" w:type="auto"/>
            <w:tcBorders>
              <w:left w:val="single" w:sz="4" w:space="0" w:color="auto"/>
            </w:tcBorders>
            <w:vAlign w:val="center"/>
          </w:tcPr>
          <w:p w14:paraId="1BB96A9D" w14:textId="77777777" w:rsidR="00221FB6" w:rsidRDefault="00221FB6" w:rsidP="00221FB6">
            <w:pPr>
              <w:jc w:val="right"/>
              <w:rPr>
                <w:color w:val="000000"/>
                <w:sz w:val="16"/>
                <w:szCs w:val="16"/>
              </w:rPr>
            </w:pPr>
            <w:r>
              <w:rPr>
                <w:color w:val="000000"/>
                <w:sz w:val="16"/>
                <w:szCs w:val="16"/>
              </w:rPr>
              <w:t>171</w:t>
            </w:r>
          </w:p>
        </w:tc>
        <w:tc>
          <w:tcPr>
            <w:tcW w:w="0" w:type="auto"/>
            <w:vAlign w:val="center"/>
          </w:tcPr>
          <w:p w14:paraId="333BD922" w14:textId="77777777" w:rsidR="00221FB6" w:rsidRDefault="00221FB6" w:rsidP="00221FB6">
            <w:pPr>
              <w:jc w:val="right"/>
              <w:rPr>
                <w:color w:val="000000"/>
                <w:sz w:val="16"/>
                <w:szCs w:val="16"/>
              </w:rPr>
            </w:pPr>
            <w:r>
              <w:rPr>
                <w:color w:val="000000"/>
                <w:sz w:val="16"/>
                <w:szCs w:val="16"/>
              </w:rPr>
              <w:t>22.7</w:t>
            </w:r>
          </w:p>
        </w:tc>
        <w:tc>
          <w:tcPr>
            <w:tcW w:w="0" w:type="auto"/>
            <w:tcBorders>
              <w:right w:val="single" w:sz="4" w:space="0" w:color="auto"/>
            </w:tcBorders>
            <w:vAlign w:val="center"/>
          </w:tcPr>
          <w:p w14:paraId="1A05CDDD" w14:textId="77777777" w:rsidR="00221FB6" w:rsidRDefault="00221FB6" w:rsidP="00221FB6">
            <w:pPr>
              <w:jc w:val="right"/>
              <w:rPr>
                <w:color w:val="000000"/>
                <w:sz w:val="16"/>
                <w:szCs w:val="16"/>
              </w:rPr>
            </w:pPr>
            <w:r>
              <w:rPr>
                <w:color w:val="000000"/>
                <w:sz w:val="16"/>
                <w:szCs w:val="16"/>
              </w:rPr>
              <w:t>(18.9, 26.6)</w:t>
            </w:r>
          </w:p>
        </w:tc>
        <w:tc>
          <w:tcPr>
            <w:tcW w:w="0" w:type="auto"/>
            <w:tcBorders>
              <w:left w:val="single" w:sz="4" w:space="0" w:color="auto"/>
            </w:tcBorders>
            <w:vAlign w:val="center"/>
          </w:tcPr>
          <w:p w14:paraId="6BB748F6" w14:textId="77777777" w:rsidR="00221FB6" w:rsidRDefault="00221FB6" w:rsidP="00221FB6">
            <w:pPr>
              <w:jc w:val="right"/>
              <w:rPr>
                <w:color w:val="000000"/>
                <w:sz w:val="16"/>
                <w:szCs w:val="16"/>
              </w:rPr>
            </w:pPr>
            <w:r>
              <w:rPr>
                <w:color w:val="000000"/>
                <w:sz w:val="16"/>
                <w:szCs w:val="16"/>
              </w:rPr>
              <w:t>122</w:t>
            </w:r>
          </w:p>
        </w:tc>
        <w:tc>
          <w:tcPr>
            <w:tcW w:w="0" w:type="auto"/>
            <w:vAlign w:val="center"/>
          </w:tcPr>
          <w:p w14:paraId="7176EF9D" w14:textId="77777777" w:rsidR="00221FB6" w:rsidRDefault="00221FB6" w:rsidP="00221FB6">
            <w:pPr>
              <w:jc w:val="right"/>
              <w:rPr>
                <w:color w:val="000000"/>
                <w:sz w:val="16"/>
                <w:szCs w:val="16"/>
              </w:rPr>
            </w:pPr>
            <w:r>
              <w:rPr>
                <w:color w:val="000000"/>
                <w:sz w:val="16"/>
                <w:szCs w:val="16"/>
              </w:rPr>
              <w:t>21.7</w:t>
            </w:r>
          </w:p>
        </w:tc>
        <w:tc>
          <w:tcPr>
            <w:tcW w:w="0" w:type="auto"/>
            <w:tcBorders>
              <w:right w:val="single" w:sz="4" w:space="0" w:color="auto"/>
            </w:tcBorders>
            <w:vAlign w:val="center"/>
          </w:tcPr>
          <w:p w14:paraId="7AD349C0" w14:textId="77777777" w:rsidR="00221FB6" w:rsidRDefault="00221FB6" w:rsidP="00221FB6">
            <w:pPr>
              <w:jc w:val="right"/>
              <w:rPr>
                <w:color w:val="000000"/>
                <w:sz w:val="16"/>
                <w:szCs w:val="16"/>
              </w:rPr>
            </w:pPr>
            <w:r>
              <w:rPr>
                <w:color w:val="000000"/>
                <w:sz w:val="16"/>
                <w:szCs w:val="16"/>
              </w:rPr>
              <w:t>(17.1, 26.3)</w:t>
            </w:r>
          </w:p>
        </w:tc>
        <w:tc>
          <w:tcPr>
            <w:tcW w:w="0" w:type="auto"/>
            <w:tcBorders>
              <w:left w:val="single" w:sz="4" w:space="0" w:color="auto"/>
            </w:tcBorders>
            <w:vAlign w:val="center"/>
          </w:tcPr>
          <w:p w14:paraId="16C1445D" w14:textId="77777777" w:rsidR="00221FB6" w:rsidRDefault="00221FB6" w:rsidP="00221FB6">
            <w:pPr>
              <w:jc w:val="right"/>
              <w:rPr>
                <w:color w:val="000000"/>
                <w:sz w:val="16"/>
                <w:szCs w:val="16"/>
              </w:rPr>
            </w:pPr>
            <w:r>
              <w:rPr>
                <w:color w:val="000000"/>
                <w:sz w:val="16"/>
                <w:szCs w:val="16"/>
              </w:rPr>
              <w:t>141</w:t>
            </w:r>
          </w:p>
        </w:tc>
        <w:tc>
          <w:tcPr>
            <w:tcW w:w="0" w:type="auto"/>
            <w:vAlign w:val="center"/>
          </w:tcPr>
          <w:p w14:paraId="0F684FC5" w14:textId="77777777" w:rsidR="00221FB6" w:rsidRDefault="00221FB6" w:rsidP="00221FB6">
            <w:pPr>
              <w:jc w:val="right"/>
              <w:rPr>
                <w:color w:val="000000"/>
                <w:sz w:val="16"/>
                <w:szCs w:val="16"/>
              </w:rPr>
            </w:pPr>
            <w:r>
              <w:rPr>
                <w:color w:val="000000"/>
                <w:sz w:val="16"/>
                <w:szCs w:val="16"/>
              </w:rPr>
              <w:t>29.0</w:t>
            </w:r>
          </w:p>
        </w:tc>
        <w:tc>
          <w:tcPr>
            <w:tcW w:w="0" w:type="auto"/>
            <w:vAlign w:val="center"/>
          </w:tcPr>
          <w:p w14:paraId="2FC903F2" w14:textId="77777777" w:rsidR="00221FB6" w:rsidRDefault="00221FB6" w:rsidP="00221FB6">
            <w:pPr>
              <w:jc w:val="right"/>
              <w:rPr>
                <w:color w:val="000000"/>
                <w:sz w:val="16"/>
                <w:szCs w:val="16"/>
              </w:rPr>
            </w:pPr>
            <w:r>
              <w:rPr>
                <w:color w:val="000000"/>
                <w:sz w:val="16"/>
                <w:szCs w:val="16"/>
              </w:rPr>
              <w:t>(22.4, 35.6)</w:t>
            </w:r>
          </w:p>
        </w:tc>
      </w:tr>
      <w:tr w:rsidR="00221FB6" w:rsidRPr="007B4EF8" w14:paraId="518A48E0" w14:textId="77777777" w:rsidTr="00604260">
        <w:trPr>
          <w:jc w:val="center"/>
        </w:trPr>
        <w:tc>
          <w:tcPr>
            <w:tcW w:w="0" w:type="auto"/>
          </w:tcPr>
          <w:p w14:paraId="6DCCF3A1" w14:textId="77777777" w:rsidR="00221FB6" w:rsidRDefault="00221FB6" w:rsidP="00221FB6">
            <w:pPr>
              <w:spacing w:before="20" w:after="20"/>
              <w:ind w:left="34"/>
              <w:rPr>
                <w:rFonts w:eastAsiaTheme="minorEastAsia"/>
                <w:sz w:val="16"/>
                <w:szCs w:val="16"/>
                <w:lang w:eastAsia="en-US"/>
              </w:rPr>
            </w:pPr>
            <w:r>
              <w:rPr>
                <w:rFonts w:eastAsiaTheme="minorEastAsia"/>
                <w:sz w:val="16"/>
                <w:szCs w:val="16"/>
                <w:lang w:eastAsia="en-US"/>
              </w:rPr>
              <w:t>2</w:t>
            </w:r>
          </w:p>
        </w:tc>
        <w:tc>
          <w:tcPr>
            <w:tcW w:w="0" w:type="auto"/>
          </w:tcPr>
          <w:p w14:paraId="6AAB607F"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0" w:type="auto"/>
            <w:vAlign w:val="center"/>
          </w:tcPr>
          <w:p w14:paraId="4BA1CF76" w14:textId="77777777" w:rsidR="00221FB6" w:rsidRDefault="00221FB6" w:rsidP="00221FB6">
            <w:pPr>
              <w:jc w:val="right"/>
              <w:rPr>
                <w:color w:val="000000"/>
                <w:sz w:val="16"/>
                <w:szCs w:val="16"/>
              </w:rPr>
            </w:pPr>
            <w:r>
              <w:rPr>
                <w:color w:val="000000"/>
                <w:sz w:val="16"/>
                <w:szCs w:val="16"/>
              </w:rPr>
              <w:t>459</w:t>
            </w:r>
          </w:p>
        </w:tc>
        <w:tc>
          <w:tcPr>
            <w:tcW w:w="0" w:type="auto"/>
            <w:vAlign w:val="center"/>
          </w:tcPr>
          <w:p w14:paraId="19A0CE37" w14:textId="77777777" w:rsidR="00221FB6" w:rsidRDefault="00221FB6" w:rsidP="00221FB6">
            <w:pPr>
              <w:jc w:val="right"/>
              <w:rPr>
                <w:color w:val="000000"/>
                <w:sz w:val="16"/>
                <w:szCs w:val="16"/>
              </w:rPr>
            </w:pPr>
            <w:r>
              <w:rPr>
                <w:color w:val="000000"/>
                <w:sz w:val="16"/>
                <w:szCs w:val="16"/>
              </w:rPr>
              <w:t>67.2</w:t>
            </w:r>
          </w:p>
        </w:tc>
        <w:tc>
          <w:tcPr>
            <w:tcW w:w="0" w:type="auto"/>
            <w:tcBorders>
              <w:right w:val="single" w:sz="4" w:space="0" w:color="auto"/>
            </w:tcBorders>
            <w:vAlign w:val="center"/>
          </w:tcPr>
          <w:p w14:paraId="4913E07B" w14:textId="77777777" w:rsidR="00221FB6" w:rsidRDefault="00221FB6" w:rsidP="00221FB6">
            <w:pPr>
              <w:jc w:val="right"/>
              <w:rPr>
                <w:color w:val="000000"/>
                <w:sz w:val="16"/>
                <w:szCs w:val="16"/>
              </w:rPr>
            </w:pPr>
            <w:r>
              <w:rPr>
                <w:color w:val="000000"/>
                <w:sz w:val="16"/>
                <w:szCs w:val="16"/>
              </w:rPr>
              <w:t>(63</w:t>
            </w:r>
            <w:r w:rsidR="00454B56">
              <w:rPr>
                <w:color w:val="000000"/>
                <w:sz w:val="16"/>
                <w:szCs w:val="16"/>
              </w:rPr>
              <w:t>.0</w:t>
            </w:r>
            <w:r>
              <w:rPr>
                <w:color w:val="000000"/>
                <w:sz w:val="16"/>
                <w:szCs w:val="16"/>
              </w:rPr>
              <w:t>, 71.5)</w:t>
            </w:r>
          </w:p>
        </w:tc>
        <w:tc>
          <w:tcPr>
            <w:tcW w:w="0" w:type="auto"/>
            <w:tcBorders>
              <w:left w:val="single" w:sz="4" w:space="0" w:color="auto"/>
            </w:tcBorders>
            <w:vAlign w:val="center"/>
          </w:tcPr>
          <w:p w14:paraId="1A97B9FC" w14:textId="77777777" w:rsidR="00221FB6" w:rsidRDefault="00221FB6" w:rsidP="00221FB6">
            <w:pPr>
              <w:jc w:val="right"/>
              <w:rPr>
                <w:color w:val="000000"/>
                <w:sz w:val="16"/>
                <w:szCs w:val="16"/>
              </w:rPr>
            </w:pPr>
            <w:r>
              <w:rPr>
                <w:color w:val="000000"/>
                <w:sz w:val="16"/>
                <w:szCs w:val="16"/>
              </w:rPr>
              <w:t>219</w:t>
            </w:r>
          </w:p>
        </w:tc>
        <w:tc>
          <w:tcPr>
            <w:tcW w:w="0" w:type="auto"/>
            <w:vAlign w:val="center"/>
          </w:tcPr>
          <w:p w14:paraId="49C6B038" w14:textId="77777777" w:rsidR="00221FB6" w:rsidRDefault="00221FB6" w:rsidP="00221FB6">
            <w:pPr>
              <w:jc w:val="right"/>
              <w:rPr>
                <w:color w:val="000000"/>
                <w:sz w:val="16"/>
                <w:szCs w:val="16"/>
              </w:rPr>
            </w:pPr>
            <w:r>
              <w:rPr>
                <w:color w:val="000000"/>
                <w:sz w:val="16"/>
                <w:szCs w:val="16"/>
              </w:rPr>
              <w:t>65.2</w:t>
            </w:r>
          </w:p>
        </w:tc>
        <w:tc>
          <w:tcPr>
            <w:tcW w:w="0" w:type="auto"/>
            <w:tcBorders>
              <w:right w:val="single" w:sz="4" w:space="0" w:color="auto"/>
            </w:tcBorders>
            <w:vAlign w:val="center"/>
          </w:tcPr>
          <w:p w14:paraId="66632C9B" w14:textId="77777777" w:rsidR="00221FB6" w:rsidRDefault="00221FB6" w:rsidP="00221FB6">
            <w:pPr>
              <w:jc w:val="right"/>
              <w:rPr>
                <w:color w:val="000000"/>
                <w:sz w:val="16"/>
                <w:szCs w:val="16"/>
              </w:rPr>
            </w:pPr>
            <w:r>
              <w:rPr>
                <w:color w:val="000000"/>
                <w:sz w:val="16"/>
                <w:szCs w:val="16"/>
              </w:rPr>
              <w:t>(59.1, 71.4)</w:t>
            </w:r>
          </w:p>
        </w:tc>
        <w:tc>
          <w:tcPr>
            <w:tcW w:w="0" w:type="auto"/>
            <w:tcBorders>
              <w:left w:val="single" w:sz="4" w:space="0" w:color="auto"/>
            </w:tcBorders>
            <w:vAlign w:val="center"/>
          </w:tcPr>
          <w:p w14:paraId="05B33577" w14:textId="77777777" w:rsidR="00221FB6" w:rsidRDefault="00221FB6" w:rsidP="00221FB6">
            <w:pPr>
              <w:jc w:val="right"/>
              <w:rPr>
                <w:color w:val="000000"/>
                <w:sz w:val="16"/>
                <w:szCs w:val="16"/>
              </w:rPr>
            </w:pPr>
            <w:r>
              <w:rPr>
                <w:color w:val="000000"/>
                <w:sz w:val="16"/>
                <w:szCs w:val="16"/>
              </w:rPr>
              <w:t>141</w:t>
            </w:r>
          </w:p>
        </w:tc>
        <w:tc>
          <w:tcPr>
            <w:tcW w:w="0" w:type="auto"/>
            <w:vAlign w:val="center"/>
          </w:tcPr>
          <w:p w14:paraId="4716D312" w14:textId="77777777" w:rsidR="00221FB6" w:rsidRDefault="00221FB6" w:rsidP="00221FB6">
            <w:pPr>
              <w:jc w:val="right"/>
              <w:rPr>
                <w:color w:val="000000"/>
                <w:sz w:val="16"/>
                <w:szCs w:val="16"/>
              </w:rPr>
            </w:pPr>
            <w:r>
              <w:rPr>
                <w:color w:val="000000"/>
                <w:sz w:val="16"/>
                <w:szCs w:val="16"/>
              </w:rPr>
              <w:t>53.9</w:t>
            </w:r>
          </w:p>
        </w:tc>
        <w:tc>
          <w:tcPr>
            <w:tcW w:w="0" w:type="auto"/>
            <w:tcBorders>
              <w:right w:val="single" w:sz="4" w:space="0" w:color="auto"/>
            </w:tcBorders>
            <w:vAlign w:val="center"/>
          </w:tcPr>
          <w:p w14:paraId="51AC4642" w14:textId="77777777" w:rsidR="00221FB6" w:rsidRDefault="00221FB6" w:rsidP="00221FB6">
            <w:pPr>
              <w:jc w:val="right"/>
              <w:rPr>
                <w:color w:val="000000"/>
                <w:sz w:val="16"/>
                <w:szCs w:val="16"/>
              </w:rPr>
            </w:pPr>
            <w:r>
              <w:rPr>
                <w:color w:val="000000"/>
                <w:sz w:val="16"/>
                <w:szCs w:val="16"/>
              </w:rPr>
              <w:t>(45.4, 62.4)</w:t>
            </w:r>
          </w:p>
        </w:tc>
        <w:tc>
          <w:tcPr>
            <w:tcW w:w="0" w:type="auto"/>
            <w:tcBorders>
              <w:left w:val="single" w:sz="4" w:space="0" w:color="auto"/>
            </w:tcBorders>
            <w:vAlign w:val="center"/>
          </w:tcPr>
          <w:p w14:paraId="59104152" w14:textId="77777777" w:rsidR="00221FB6" w:rsidRDefault="00221FB6" w:rsidP="00221FB6">
            <w:pPr>
              <w:jc w:val="right"/>
              <w:rPr>
                <w:color w:val="000000"/>
                <w:sz w:val="16"/>
                <w:szCs w:val="16"/>
              </w:rPr>
            </w:pPr>
            <w:r>
              <w:rPr>
                <w:color w:val="000000"/>
                <w:sz w:val="16"/>
                <w:szCs w:val="16"/>
              </w:rPr>
              <w:t>109</w:t>
            </w:r>
          </w:p>
        </w:tc>
        <w:tc>
          <w:tcPr>
            <w:tcW w:w="0" w:type="auto"/>
            <w:vAlign w:val="center"/>
          </w:tcPr>
          <w:p w14:paraId="5FA6BD7B" w14:textId="77777777" w:rsidR="00221FB6" w:rsidRDefault="00221FB6" w:rsidP="00221FB6">
            <w:pPr>
              <w:jc w:val="right"/>
              <w:rPr>
                <w:color w:val="000000"/>
                <w:sz w:val="16"/>
                <w:szCs w:val="16"/>
              </w:rPr>
            </w:pPr>
            <w:r>
              <w:rPr>
                <w:color w:val="000000"/>
                <w:sz w:val="16"/>
                <w:szCs w:val="16"/>
              </w:rPr>
              <w:t>55.1</w:t>
            </w:r>
          </w:p>
        </w:tc>
        <w:tc>
          <w:tcPr>
            <w:tcW w:w="0" w:type="auto"/>
            <w:vAlign w:val="center"/>
          </w:tcPr>
          <w:p w14:paraId="1ABFF798" w14:textId="77777777" w:rsidR="00221FB6" w:rsidRDefault="00221FB6" w:rsidP="00221FB6">
            <w:pPr>
              <w:jc w:val="right"/>
              <w:rPr>
                <w:color w:val="000000"/>
                <w:sz w:val="16"/>
                <w:szCs w:val="16"/>
              </w:rPr>
            </w:pPr>
            <w:r>
              <w:rPr>
                <w:color w:val="000000"/>
                <w:sz w:val="16"/>
                <w:szCs w:val="16"/>
              </w:rPr>
              <w:t>(46.6, 63.6)</w:t>
            </w:r>
          </w:p>
        </w:tc>
      </w:tr>
      <w:tr w:rsidR="00221FB6" w:rsidRPr="007B4EF8" w14:paraId="26AD9609" w14:textId="77777777" w:rsidTr="00604260">
        <w:trPr>
          <w:jc w:val="center"/>
        </w:trPr>
        <w:tc>
          <w:tcPr>
            <w:tcW w:w="0" w:type="auto"/>
          </w:tcPr>
          <w:p w14:paraId="411A9E3B" w14:textId="77777777" w:rsidR="00221FB6" w:rsidRDefault="00221FB6" w:rsidP="00221FB6">
            <w:pPr>
              <w:spacing w:before="20" w:after="20"/>
              <w:ind w:left="34"/>
              <w:rPr>
                <w:rFonts w:eastAsiaTheme="minorEastAsia"/>
                <w:sz w:val="16"/>
                <w:szCs w:val="16"/>
                <w:lang w:eastAsia="en-US"/>
              </w:rPr>
            </w:pPr>
          </w:p>
        </w:tc>
        <w:tc>
          <w:tcPr>
            <w:tcW w:w="0" w:type="auto"/>
          </w:tcPr>
          <w:p w14:paraId="353503A4"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Low-risk gambler</w:t>
            </w:r>
          </w:p>
        </w:tc>
        <w:tc>
          <w:tcPr>
            <w:tcW w:w="0" w:type="auto"/>
            <w:vAlign w:val="center"/>
          </w:tcPr>
          <w:p w14:paraId="4DD98BFC" w14:textId="77777777" w:rsidR="00221FB6" w:rsidRDefault="00221FB6" w:rsidP="00221FB6">
            <w:pPr>
              <w:jc w:val="right"/>
              <w:rPr>
                <w:color w:val="000000"/>
                <w:sz w:val="16"/>
                <w:szCs w:val="16"/>
              </w:rPr>
            </w:pPr>
            <w:r>
              <w:rPr>
                <w:color w:val="000000"/>
                <w:sz w:val="16"/>
                <w:szCs w:val="16"/>
              </w:rPr>
              <w:t>49</w:t>
            </w:r>
          </w:p>
        </w:tc>
        <w:tc>
          <w:tcPr>
            <w:tcW w:w="0" w:type="auto"/>
            <w:vAlign w:val="center"/>
          </w:tcPr>
          <w:p w14:paraId="2DDC217C" w14:textId="77777777" w:rsidR="00221FB6" w:rsidRDefault="00221FB6" w:rsidP="00221FB6">
            <w:pPr>
              <w:jc w:val="right"/>
              <w:rPr>
                <w:color w:val="000000"/>
                <w:sz w:val="16"/>
                <w:szCs w:val="16"/>
              </w:rPr>
            </w:pPr>
            <w:r>
              <w:rPr>
                <w:color w:val="000000"/>
                <w:sz w:val="16"/>
                <w:szCs w:val="16"/>
              </w:rPr>
              <w:t>7.2</w:t>
            </w:r>
          </w:p>
        </w:tc>
        <w:tc>
          <w:tcPr>
            <w:tcW w:w="0" w:type="auto"/>
            <w:tcBorders>
              <w:right w:val="single" w:sz="4" w:space="0" w:color="auto"/>
            </w:tcBorders>
            <w:vAlign w:val="center"/>
          </w:tcPr>
          <w:p w14:paraId="70FD4AD7" w14:textId="77777777" w:rsidR="00221FB6" w:rsidRDefault="00221FB6" w:rsidP="00221FB6">
            <w:pPr>
              <w:jc w:val="right"/>
              <w:rPr>
                <w:color w:val="000000"/>
                <w:sz w:val="16"/>
                <w:szCs w:val="16"/>
              </w:rPr>
            </w:pPr>
            <w:r>
              <w:rPr>
                <w:color w:val="000000"/>
                <w:sz w:val="16"/>
                <w:szCs w:val="16"/>
              </w:rPr>
              <w:t>(4.8, 9.5)</w:t>
            </w:r>
          </w:p>
        </w:tc>
        <w:tc>
          <w:tcPr>
            <w:tcW w:w="0" w:type="auto"/>
            <w:tcBorders>
              <w:left w:val="single" w:sz="4" w:space="0" w:color="auto"/>
            </w:tcBorders>
            <w:vAlign w:val="center"/>
          </w:tcPr>
          <w:p w14:paraId="402D0E2B" w14:textId="77777777" w:rsidR="00221FB6" w:rsidRDefault="00221FB6" w:rsidP="00221FB6">
            <w:pPr>
              <w:jc w:val="right"/>
              <w:rPr>
                <w:color w:val="000000"/>
                <w:sz w:val="16"/>
                <w:szCs w:val="16"/>
              </w:rPr>
            </w:pPr>
            <w:r>
              <w:rPr>
                <w:color w:val="000000"/>
                <w:sz w:val="16"/>
                <w:szCs w:val="16"/>
              </w:rPr>
              <w:t>34</w:t>
            </w:r>
          </w:p>
        </w:tc>
        <w:tc>
          <w:tcPr>
            <w:tcW w:w="0" w:type="auto"/>
            <w:vAlign w:val="center"/>
          </w:tcPr>
          <w:p w14:paraId="1B856F66" w14:textId="77777777" w:rsidR="00221FB6" w:rsidRDefault="00221FB6" w:rsidP="00221FB6">
            <w:pPr>
              <w:jc w:val="right"/>
              <w:rPr>
                <w:color w:val="000000"/>
                <w:sz w:val="16"/>
                <w:szCs w:val="16"/>
              </w:rPr>
            </w:pPr>
            <w:r>
              <w:rPr>
                <w:color w:val="000000"/>
                <w:sz w:val="16"/>
                <w:szCs w:val="16"/>
              </w:rPr>
              <w:t>10.2</w:t>
            </w:r>
          </w:p>
        </w:tc>
        <w:tc>
          <w:tcPr>
            <w:tcW w:w="0" w:type="auto"/>
            <w:tcBorders>
              <w:right w:val="single" w:sz="4" w:space="0" w:color="auto"/>
            </w:tcBorders>
            <w:vAlign w:val="center"/>
          </w:tcPr>
          <w:p w14:paraId="690F657B" w14:textId="77777777" w:rsidR="00221FB6" w:rsidRDefault="00221FB6" w:rsidP="00221FB6">
            <w:pPr>
              <w:jc w:val="right"/>
              <w:rPr>
                <w:color w:val="000000"/>
                <w:sz w:val="16"/>
                <w:szCs w:val="16"/>
              </w:rPr>
            </w:pPr>
            <w:r>
              <w:rPr>
                <w:color w:val="000000"/>
                <w:sz w:val="16"/>
                <w:szCs w:val="16"/>
              </w:rPr>
              <w:t>(6.3, 14.0)</w:t>
            </w:r>
          </w:p>
        </w:tc>
        <w:tc>
          <w:tcPr>
            <w:tcW w:w="0" w:type="auto"/>
            <w:tcBorders>
              <w:left w:val="single" w:sz="4" w:space="0" w:color="auto"/>
            </w:tcBorders>
            <w:vAlign w:val="center"/>
          </w:tcPr>
          <w:p w14:paraId="0EB52030" w14:textId="77777777" w:rsidR="00221FB6" w:rsidRDefault="00221FB6" w:rsidP="00221FB6">
            <w:pPr>
              <w:jc w:val="right"/>
              <w:rPr>
                <w:color w:val="000000"/>
                <w:sz w:val="16"/>
                <w:szCs w:val="16"/>
              </w:rPr>
            </w:pPr>
            <w:r>
              <w:rPr>
                <w:color w:val="000000"/>
                <w:sz w:val="16"/>
                <w:szCs w:val="16"/>
              </w:rPr>
              <w:t>26</w:t>
            </w:r>
          </w:p>
        </w:tc>
        <w:tc>
          <w:tcPr>
            <w:tcW w:w="0" w:type="auto"/>
            <w:vAlign w:val="center"/>
          </w:tcPr>
          <w:p w14:paraId="55A0989E" w14:textId="77777777" w:rsidR="00221FB6" w:rsidRDefault="00221FB6" w:rsidP="00221FB6">
            <w:pPr>
              <w:jc w:val="right"/>
              <w:rPr>
                <w:color w:val="000000"/>
                <w:sz w:val="16"/>
                <w:szCs w:val="16"/>
              </w:rPr>
            </w:pPr>
            <w:r>
              <w:rPr>
                <w:color w:val="000000"/>
                <w:sz w:val="16"/>
                <w:szCs w:val="16"/>
              </w:rPr>
              <w:t>9.8</w:t>
            </w:r>
          </w:p>
        </w:tc>
        <w:tc>
          <w:tcPr>
            <w:tcW w:w="0" w:type="auto"/>
            <w:tcBorders>
              <w:right w:val="single" w:sz="4" w:space="0" w:color="auto"/>
            </w:tcBorders>
            <w:vAlign w:val="center"/>
          </w:tcPr>
          <w:p w14:paraId="0D0BD4AC" w14:textId="77777777" w:rsidR="00221FB6" w:rsidRDefault="00221FB6" w:rsidP="00221FB6">
            <w:pPr>
              <w:jc w:val="right"/>
              <w:rPr>
                <w:color w:val="000000"/>
                <w:sz w:val="16"/>
                <w:szCs w:val="16"/>
              </w:rPr>
            </w:pPr>
            <w:r>
              <w:rPr>
                <w:color w:val="000000"/>
                <w:sz w:val="16"/>
                <w:szCs w:val="16"/>
              </w:rPr>
              <w:t>(5.5, 14</w:t>
            </w:r>
            <w:r w:rsidR="00454B56">
              <w:rPr>
                <w:color w:val="000000"/>
                <w:sz w:val="16"/>
                <w:szCs w:val="16"/>
              </w:rPr>
              <w:t>.0</w:t>
            </w:r>
            <w:r>
              <w:rPr>
                <w:color w:val="000000"/>
                <w:sz w:val="16"/>
                <w:szCs w:val="16"/>
              </w:rPr>
              <w:t>)</w:t>
            </w:r>
          </w:p>
        </w:tc>
        <w:tc>
          <w:tcPr>
            <w:tcW w:w="0" w:type="auto"/>
            <w:tcBorders>
              <w:left w:val="single" w:sz="4" w:space="0" w:color="auto"/>
            </w:tcBorders>
            <w:vAlign w:val="center"/>
          </w:tcPr>
          <w:p w14:paraId="19EA73D9" w14:textId="77777777" w:rsidR="00221FB6" w:rsidRDefault="00221FB6" w:rsidP="00221FB6">
            <w:pPr>
              <w:jc w:val="right"/>
              <w:rPr>
                <w:color w:val="000000"/>
                <w:sz w:val="16"/>
                <w:szCs w:val="16"/>
              </w:rPr>
            </w:pPr>
            <w:r>
              <w:rPr>
                <w:color w:val="000000"/>
                <w:sz w:val="16"/>
                <w:szCs w:val="16"/>
              </w:rPr>
              <w:t>18</w:t>
            </w:r>
          </w:p>
        </w:tc>
        <w:tc>
          <w:tcPr>
            <w:tcW w:w="0" w:type="auto"/>
            <w:vAlign w:val="center"/>
          </w:tcPr>
          <w:p w14:paraId="526B097F" w14:textId="77777777" w:rsidR="00221FB6" w:rsidRDefault="00221FB6" w:rsidP="00221FB6">
            <w:pPr>
              <w:jc w:val="right"/>
              <w:rPr>
                <w:color w:val="000000"/>
                <w:sz w:val="16"/>
                <w:szCs w:val="16"/>
              </w:rPr>
            </w:pPr>
            <w:r>
              <w:rPr>
                <w:color w:val="000000"/>
                <w:sz w:val="16"/>
                <w:szCs w:val="16"/>
              </w:rPr>
              <w:t>8.9</w:t>
            </w:r>
          </w:p>
        </w:tc>
        <w:tc>
          <w:tcPr>
            <w:tcW w:w="0" w:type="auto"/>
            <w:vAlign w:val="center"/>
          </w:tcPr>
          <w:p w14:paraId="6F5839C8" w14:textId="77777777" w:rsidR="00221FB6" w:rsidRDefault="00221FB6" w:rsidP="00221FB6">
            <w:pPr>
              <w:jc w:val="right"/>
              <w:rPr>
                <w:color w:val="000000"/>
                <w:sz w:val="16"/>
                <w:szCs w:val="16"/>
              </w:rPr>
            </w:pPr>
            <w:r>
              <w:rPr>
                <w:color w:val="000000"/>
                <w:sz w:val="16"/>
                <w:szCs w:val="16"/>
              </w:rPr>
              <w:t>(4.8, 12.9)</w:t>
            </w:r>
          </w:p>
        </w:tc>
      </w:tr>
      <w:tr w:rsidR="00221FB6" w:rsidRPr="007B4EF8" w14:paraId="718472E4" w14:textId="77777777" w:rsidTr="00604260">
        <w:trPr>
          <w:jc w:val="center"/>
        </w:trPr>
        <w:tc>
          <w:tcPr>
            <w:tcW w:w="0" w:type="auto"/>
          </w:tcPr>
          <w:p w14:paraId="6C618BCB" w14:textId="77777777" w:rsidR="00221FB6" w:rsidRDefault="00221FB6" w:rsidP="00221FB6">
            <w:pPr>
              <w:spacing w:before="20" w:after="20"/>
              <w:ind w:left="34"/>
              <w:rPr>
                <w:rFonts w:eastAsiaTheme="minorEastAsia"/>
                <w:sz w:val="16"/>
                <w:szCs w:val="16"/>
                <w:lang w:eastAsia="en-US"/>
              </w:rPr>
            </w:pPr>
          </w:p>
        </w:tc>
        <w:tc>
          <w:tcPr>
            <w:tcW w:w="0" w:type="auto"/>
          </w:tcPr>
          <w:p w14:paraId="753CD13F"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0" w:type="auto"/>
            <w:vAlign w:val="center"/>
          </w:tcPr>
          <w:p w14:paraId="39344A4F" w14:textId="77777777" w:rsidR="00221FB6" w:rsidRDefault="00221FB6" w:rsidP="00221FB6">
            <w:pPr>
              <w:jc w:val="right"/>
              <w:rPr>
                <w:color w:val="000000"/>
                <w:sz w:val="16"/>
                <w:szCs w:val="16"/>
              </w:rPr>
            </w:pPr>
            <w:r>
              <w:rPr>
                <w:color w:val="000000"/>
                <w:sz w:val="16"/>
                <w:szCs w:val="16"/>
              </w:rPr>
              <w:t>22</w:t>
            </w:r>
          </w:p>
        </w:tc>
        <w:tc>
          <w:tcPr>
            <w:tcW w:w="0" w:type="auto"/>
            <w:vAlign w:val="center"/>
          </w:tcPr>
          <w:p w14:paraId="26138C3F" w14:textId="77777777" w:rsidR="00221FB6" w:rsidRDefault="00221FB6" w:rsidP="00221FB6">
            <w:pPr>
              <w:jc w:val="right"/>
              <w:rPr>
                <w:color w:val="000000"/>
                <w:sz w:val="16"/>
                <w:szCs w:val="16"/>
              </w:rPr>
            </w:pPr>
            <w:r>
              <w:rPr>
                <w:color w:val="000000"/>
                <w:sz w:val="16"/>
                <w:szCs w:val="16"/>
              </w:rPr>
              <w:t>3.2</w:t>
            </w:r>
          </w:p>
        </w:tc>
        <w:tc>
          <w:tcPr>
            <w:tcW w:w="0" w:type="auto"/>
            <w:tcBorders>
              <w:right w:val="single" w:sz="4" w:space="0" w:color="auto"/>
            </w:tcBorders>
            <w:vAlign w:val="center"/>
          </w:tcPr>
          <w:p w14:paraId="56F814AB" w14:textId="77777777" w:rsidR="00221FB6" w:rsidRDefault="00221FB6" w:rsidP="00221FB6">
            <w:pPr>
              <w:jc w:val="right"/>
              <w:rPr>
                <w:color w:val="000000"/>
                <w:sz w:val="16"/>
                <w:szCs w:val="16"/>
              </w:rPr>
            </w:pPr>
            <w:r>
              <w:rPr>
                <w:color w:val="000000"/>
                <w:sz w:val="16"/>
                <w:szCs w:val="16"/>
              </w:rPr>
              <w:t>(1.8, 4.7)</w:t>
            </w:r>
          </w:p>
        </w:tc>
        <w:tc>
          <w:tcPr>
            <w:tcW w:w="0" w:type="auto"/>
            <w:tcBorders>
              <w:left w:val="single" w:sz="4" w:space="0" w:color="auto"/>
            </w:tcBorders>
            <w:vAlign w:val="center"/>
          </w:tcPr>
          <w:p w14:paraId="063DBE6A" w14:textId="77777777" w:rsidR="00221FB6" w:rsidRDefault="00221FB6" w:rsidP="00221FB6">
            <w:pPr>
              <w:jc w:val="right"/>
              <w:rPr>
                <w:color w:val="000000"/>
                <w:sz w:val="16"/>
                <w:szCs w:val="16"/>
              </w:rPr>
            </w:pPr>
            <w:r>
              <w:rPr>
                <w:color w:val="000000"/>
                <w:sz w:val="16"/>
                <w:szCs w:val="16"/>
              </w:rPr>
              <w:t>5</w:t>
            </w:r>
          </w:p>
        </w:tc>
        <w:tc>
          <w:tcPr>
            <w:tcW w:w="0" w:type="auto"/>
            <w:vAlign w:val="center"/>
          </w:tcPr>
          <w:p w14:paraId="09BE9744" w14:textId="77777777" w:rsidR="00221FB6" w:rsidRDefault="00221FB6" w:rsidP="00221FB6">
            <w:pPr>
              <w:jc w:val="right"/>
              <w:rPr>
                <w:color w:val="000000"/>
                <w:sz w:val="16"/>
                <w:szCs w:val="16"/>
              </w:rPr>
            </w:pPr>
            <w:r>
              <w:rPr>
                <w:color w:val="000000"/>
                <w:sz w:val="16"/>
                <w:szCs w:val="16"/>
              </w:rPr>
              <w:t>1.4</w:t>
            </w:r>
          </w:p>
        </w:tc>
        <w:tc>
          <w:tcPr>
            <w:tcW w:w="0" w:type="auto"/>
            <w:tcBorders>
              <w:right w:val="single" w:sz="4" w:space="0" w:color="auto"/>
            </w:tcBorders>
            <w:vAlign w:val="center"/>
          </w:tcPr>
          <w:p w14:paraId="6FBDCC5D" w14:textId="77777777" w:rsidR="00221FB6" w:rsidRDefault="00221FB6" w:rsidP="00221FB6">
            <w:pPr>
              <w:jc w:val="right"/>
              <w:rPr>
                <w:color w:val="000000"/>
                <w:sz w:val="16"/>
                <w:szCs w:val="16"/>
              </w:rPr>
            </w:pPr>
            <w:r>
              <w:rPr>
                <w:color w:val="000000"/>
                <w:sz w:val="16"/>
                <w:szCs w:val="16"/>
              </w:rPr>
              <w:t>(0.5, 2.4)</w:t>
            </w:r>
          </w:p>
        </w:tc>
        <w:tc>
          <w:tcPr>
            <w:tcW w:w="0" w:type="auto"/>
            <w:tcBorders>
              <w:left w:val="single" w:sz="4" w:space="0" w:color="auto"/>
            </w:tcBorders>
            <w:vAlign w:val="center"/>
          </w:tcPr>
          <w:p w14:paraId="5F56029F" w14:textId="77777777" w:rsidR="00221FB6" w:rsidRDefault="00221FB6" w:rsidP="00221FB6">
            <w:pPr>
              <w:jc w:val="right"/>
              <w:rPr>
                <w:color w:val="000000"/>
                <w:sz w:val="16"/>
                <w:szCs w:val="16"/>
              </w:rPr>
            </w:pPr>
            <w:r>
              <w:rPr>
                <w:color w:val="000000"/>
                <w:sz w:val="16"/>
                <w:szCs w:val="16"/>
              </w:rPr>
              <w:t>9</w:t>
            </w:r>
          </w:p>
        </w:tc>
        <w:tc>
          <w:tcPr>
            <w:tcW w:w="0" w:type="auto"/>
            <w:vAlign w:val="center"/>
          </w:tcPr>
          <w:p w14:paraId="01AF6AE7" w14:textId="77777777" w:rsidR="00221FB6" w:rsidRDefault="00221FB6" w:rsidP="00221FB6">
            <w:pPr>
              <w:jc w:val="right"/>
              <w:rPr>
                <w:color w:val="000000"/>
                <w:sz w:val="16"/>
                <w:szCs w:val="16"/>
              </w:rPr>
            </w:pPr>
            <w:r>
              <w:rPr>
                <w:color w:val="000000"/>
                <w:sz w:val="16"/>
                <w:szCs w:val="16"/>
              </w:rPr>
              <w:t>3.5</w:t>
            </w:r>
          </w:p>
        </w:tc>
        <w:tc>
          <w:tcPr>
            <w:tcW w:w="0" w:type="auto"/>
            <w:tcBorders>
              <w:right w:val="single" w:sz="4" w:space="0" w:color="auto"/>
            </w:tcBorders>
            <w:vAlign w:val="center"/>
          </w:tcPr>
          <w:p w14:paraId="41A4CAED" w14:textId="77777777" w:rsidR="00221FB6" w:rsidRDefault="00221FB6" w:rsidP="00221FB6">
            <w:pPr>
              <w:jc w:val="right"/>
              <w:rPr>
                <w:color w:val="000000"/>
                <w:sz w:val="16"/>
                <w:szCs w:val="16"/>
              </w:rPr>
            </w:pPr>
            <w:r>
              <w:rPr>
                <w:color w:val="000000"/>
                <w:sz w:val="16"/>
                <w:szCs w:val="16"/>
              </w:rPr>
              <w:t>(1.3, 5.7)</w:t>
            </w:r>
          </w:p>
        </w:tc>
        <w:tc>
          <w:tcPr>
            <w:tcW w:w="0" w:type="auto"/>
            <w:tcBorders>
              <w:left w:val="single" w:sz="4" w:space="0" w:color="auto"/>
            </w:tcBorders>
            <w:vAlign w:val="center"/>
          </w:tcPr>
          <w:p w14:paraId="6A09C9FA" w14:textId="77777777" w:rsidR="00221FB6" w:rsidRDefault="00221FB6" w:rsidP="00221FB6">
            <w:pPr>
              <w:jc w:val="right"/>
              <w:rPr>
                <w:color w:val="000000"/>
                <w:sz w:val="16"/>
                <w:szCs w:val="16"/>
              </w:rPr>
            </w:pPr>
            <w:r>
              <w:rPr>
                <w:color w:val="000000"/>
                <w:sz w:val="16"/>
                <w:szCs w:val="16"/>
              </w:rPr>
              <w:t>6</w:t>
            </w:r>
          </w:p>
        </w:tc>
        <w:tc>
          <w:tcPr>
            <w:tcW w:w="0" w:type="auto"/>
            <w:vAlign w:val="center"/>
          </w:tcPr>
          <w:p w14:paraId="14967189" w14:textId="77777777" w:rsidR="00221FB6" w:rsidRDefault="00221FB6" w:rsidP="00221FB6">
            <w:pPr>
              <w:jc w:val="right"/>
              <w:rPr>
                <w:color w:val="000000"/>
                <w:sz w:val="16"/>
                <w:szCs w:val="16"/>
              </w:rPr>
            </w:pPr>
            <w:r>
              <w:rPr>
                <w:color w:val="000000"/>
                <w:sz w:val="16"/>
                <w:szCs w:val="16"/>
              </w:rPr>
              <w:t>2.8</w:t>
            </w:r>
          </w:p>
        </w:tc>
        <w:tc>
          <w:tcPr>
            <w:tcW w:w="0" w:type="auto"/>
            <w:vAlign w:val="center"/>
          </w:tcPr>
          <w:p w14:paraId="6A8E55F4" w14:textId="77777777" w:rsidR="00221FB6" w:rsidRDefault="00221FB6" w:rsidP="00221FB6">
            <w:pPr>
              <w:jc w:val="right"/>
              <w:rPr>
                <w:color w:val="000000"/>
                <w:sz w:val="16"/>
                <w:szCs w:val="16"/>
              </w:rPr>
            </w:pPr>
            <w:r>
              <w:rPr>
                <w:color w:val="000000"/>
                <w:sz w:val="16"/>
                <w:szCs w:val="16"/>
              </w:rPr>
              <w:t>(0.5, 5.1)</w:t>
            </w:r>
          </w:p>
        </w:tc>
      </w:tr>
      <w:tr w:rsidR="00221FB6" w:rsidRPr="007B4EF8" w14:paraId="2BAD8AEA" w14:textId="77777777" w:rsidTr="00604260">
        <w:trPr>
          <w:jc w:val="center"/>
        </w:trPr>
        <w:tc>
          <w:tcPr>
            <w:tcW w:w="0" w:type="auto"/>
          </w:tcPr>
          <w:p w14:paraId="01387B56" w14:textId="77777777" w:rsidR="00221FB6" w:rsidRDefault="00221FB6" w:rsidP="00221FB6">
            <w:pPr>
              <w:spacing w:before="20" w:after="20"/>
              <w:ind w:left="34"/>
              <w:rPr>
                <w:rFonts w:eastAsiaTheme="minorEastAsia"/>
                <w:sz w:val="16"/>
                <w:szCs w:val="16"/>
                <w:lang w:eastAsia="en-US"/>
              </w:rPr>
            </w:pPr>
          </w:p>
        </w:tc>
        <w:tc>
          <w:tcPr>
            <w:tcW w:w="0" w:type="auto"/>
          </w:tcPr>
          <w:p w14:paraId="6EE031EF"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No gambling in past year</w:t>
            </w:r>
          </w:p>
        </w:tc>
        <w:tc>
          <w:tcPr>
            <w:tcW w:w="0" w:type="auto"/>
            <w:vAlign w:val="center"/>
          </w:tcPr>
          <w:p w14:paraId="29E897A9" w14:textId="77777777" w:rsidR="00221FB6" w:rsidRDefault="00221FB6" w:rsidP="00221FB6">
            <w:pPr>
              <w:jc w:val="right"/>
              <w:rPr>
                <w:color w:val="000000"/>
                <w:sz w:val="16"/>
                <w:szCs w:val="16"/>
              </w:rPr>
            </w:pPr>
            <w:r>
              <w:rPr>
                <w:color w:val="000000"/>
                <w:sz w:val="16"/>
                <w:szCs w:val="16"/>
              </w:rPr>
              <w:t>153</w:t>
            </w:r>
          </w:p>
        </w:tc>
        <w:tc>
          <w:tcPr>
            <w:tcW w:w="0" w:type="auto"/>
            <w:vAlign w:val="center"/>
          </w:tcPr>
          <w:p w14:paraId="5B0EFABF" w14:textId="77777777" w:rsidR="00221FB6" w:rsidRDefault="00221FB6" w:rsidP="00221FB6">
            <w:pPr>
              <w:jc w:val="right"/>
              <w:rPr>
                <w:color w:val="000000"/>
                <w:sz w:val="16"/>
                <w:szCs w:val="16"/>
              </w:rPr>
            </w:pPr>
            <w:r>
              <w:rPr>
                <w:color w:val="000000"/>
                <w:sz w:val="16"/>
                <w:szCs w:val="16"/>
              </w:rPr>
              <w:t>22.4</w:t>
            </w:r>
          </w:p>
        </w:tc>
        <w:tc>
          <w:tcPr>
            <w:tcW w:w="0" w:type="auto"/>
            <w:tcBorders>
              <w:right w:val="single" w:sz="4" w:space="0" w:color="auto"/>
            </w:tcBorders>
            <w:vAlign w:val="center"/>
          </w:tcPr>
          <w:p w14:paraId="68B64EBF" w14:textId="77777777" w:rsidR="00221FB6" w:rsidRDefault="00221FB6" w:rsidP="00221FB6">
            <w:pPr>
              <w:jc w:val="right"/>
              <w:rPr>
                <w:color w:val="000000"/>
                <w:sz w:val="16"/>
                <w:szCs w:val="16"/>
              </w:rPr>
            </w:pPr>
            <w:r>
              <w:rPr>
                <w:color w:val="000000"/>
                <w:sz w:val="16"/>
                <w:szCs w:val="16"/>
              </w:rPr>
              <w:t>(18.6, 26.1)</w:t>
            </w:r>
          </w:p>
        </w:tc>
        <w:tc>
          <w:tcPr>
            <w:tcW w:w="0" w:type="auto"/>
            <w:tcBorders>
              <w:left w:val="single" w:sz="4" w:space="0" w:color="auto"/>
            </w:tcBorders>
            <w:vAlign w:val="center"/>
          </w:tcPr>
          <w:p w14:paraId="34F7DBAA" w14:textId="77777777" w:rsidR="00221FB6" w:rsidRDefault="00221FB6" w:rsidP="00221FB6">
            <w:pPr>
              <w:jc w:val="right"/>
              <w:rPr>
                <w:color w:val="000000"/>
                <w:sz w:val="16"/>
                <w:szCs w:val="16"/>
              </w:rPr>
            </w:pPr>
            <w:r>
              <w:rPr>
                <w:color w:val="000000"/>
                <w:sz w:val="16"/>
                <w:szCs w:val="16"/>
              </w:rPr>
              <w:t>78</w:t>
            </w:r>
          </w:p>
        </w:tc>
        <w:tc>
          <w:tcPr>
            <w:tcW w:w="0" w:type="auto"/>
            <w:vAlign w:val="center"/>
          </w:tcPr>
          <w:p w14:paraId="23B2E047" w14:textId="77777777" w:rsidR="00221FB6" w:rsidRDefault="00221FB6" w:rsidP="00221FB6">
            <w:pPr>
              <w:jc w:val="right"/>
              <w:rPr>
                <w:color w:val="000000"/>
                <w:sz w:val="16"/>
                <w:szCs w:val="16"/>
              </w:rPr>
            </w:pPr>
            <w:r>
              <w:rPr>
                <w:color w:val="000000"/>
                <w:sz w:val="16"/>
                <w:szCs w:val="16"/>
              </w:rPr>
              <w:t>23.2</w:t>
            </w:r>
          </w:p>
        </w:tc>
        <w:tc>
          <w:tcPr>
            <w:tcW w:w="0" w:type="auto"/>
            <w:tcBorders>
              <w:right w:val="single" w:sz="4" w:space="0" w:color="auto"/>
            </w:tcBorders>
            <w:vAlign w:val="center"/>
          </w:tcPr>
          <w:p w14:paraId="2052BD44" w14:textId="77777777" w:rsidR="00221FB6" w:rsidRDefault="00221FB6" w:rsidP="00221FB6">
            <w:pPr>
              <w:jc w:val="right"/>
              <w:rPr>
                <w:color w:val="000000"/>
                <w:sz w:val="16"/>
                <w:szCs w:val="16"/>
              </w:rPr>
            </w:pPr>
            <w:r>
              <w:rPr>
                <w:color w:val="000000"/>
                <w:sz w:val="16"/>
                <w:szCs w:val="16"/>
              </w:rPr>
              <w:t>(17.8, 28.6)</w:t>
            </w:r>
          </w:p>
        </w:tc>
        <w:tc>
          <w:tcPr>
            <w:tcW w:w="0" w:type="auto"/>
            <w:tcBorders>
              <w:left w:val="single" w:sz="4" w:space="0" w:color="auto"/>
            </w:tcBorders>
            <w:vAlign w:val="center"/>
          </w:tcPr>
          <w:p w14:paraId="21339965" w14:textId="77777777" w:rsidR="00221FB6" w:rsidRDefault="00221FB6" w:rsidP="00221FB6">
            <w:pPr>
              <w:jc w:val="right"/>
              <w:rPr>
                <w:color w:val="000000"/>
                <w:sz w:val="16"/>
                <w:szCs w:val="16"/>
              </w:rPr>
            </w:pPr>
            <w:r>
              <w:rPr>
                <w:color w:val="000000"/>
                <w:sz w:val="16"/>
                <w:szCs w:val="16"/>
              </w:rPr>
              <w:t>86</w:t>
            </w:r>
          </w:p>
        </w:tc>
        <w:tc>
          <w:tcPr>
            <w:tcW w:w="0" w:type="auto"/>
            <w:vAlign w:val="center"/>
          </w:tcPr>
          <w:p w14:paraId="53907A4D" w14:textId="77777777" w:rsidR="00221FB6" w:rsidRDefault="00221FB6" w:rsidP="00221FB6">
            <w:pPr>
              <w:jc w:val="right"/>
              <w:rPr>
                <w:color w:val="000000"/>
                <w:sz w:val="16"/>
                <w:szCs w:val="16"/>
              </w:rPr>
            </w:pPr>
            <w:r>
              <w:rPr>
                <w:color w:val="000000"/>
                <w:sz w:val="16"/>
                <w:szCs w:val="16"/>
              </w:rPr>
              <w:t>32.9</w:t>
            </w:r>
          </w:p>
        </w:tc>
        <w:tc>
          <w:tcPr>
            <w:tcW w:w="0" w:type="auto"/>
            <w:tcBorders>
              <w:right w:val="single" w:sz="4" w:space="0" w:color="auto"/>
            </w:tcBorders>
            <w:vAlign w:val="center"/>
          </w:tcPr>
          <w:p w14:paraId="68B0C82B" w14:textId="77777777" w:rsidR="00221FB6" w:rsidRDefault="00221FB6" w:rsidP="00221FB6">
            <w:pPr>
              <w:jc w:val="right"/>
              <w:rPr>
                <w:color w:val="000000"/>
                <w:sz w:val="16"/>
                <w:szCs w:val="16"/>
              </w:rPr>
            </w:pPr>
            <w:r>
              <w:rPr>
                <w:color w:val="000000"/>
                <w:sz w:val="16"/>
                <w:szCs w:val="16"/>
              </w:rPr>
              <w:t>(24</w:t>
            </w:r>
            <w:r w:rsidR="00454B56">
              <w:rPr>
                <w:color w:val="000000"/>
                <w:sz w:val="16"/>
                <w:szCs w:val="16"/>
              </w:rPr>
              <w:t>.0</w:t>
            </w:r>
            <w:r>
              <w:rPr>
                <w:color w:val="000000"/>
                <w:sz w:val="16"/>
                <w:szCs w:val="16"/>
              </w:rPr>
              <w:t>, 41.8)</w:t>
            </w:r>
          </w:p>
        </w:tc>
        <w:tc>
          <w:tcPr>
            <w:tcW w:w="0" w:type="auto"/>
            <w:tcBorders>
              <w:left w:val="single" w:sz="4" w:space="0" w:color="auto"/>
            </w:tcBorders>
            <w:vAlign w:val="center"/>
          </w:tcPr>
          <w:p w14:paraId="60FBFE8C" w14:textId="77777777" w:rsidR="00221FB6" w:rsidRDefault="00221FB6" w:rsidP="00221FB6">
            <w:pPr>
              <w:jc w:val="right"/>
              <w:rPr>
                <w:color w:val="000000"/>
                <w:sz w:val="16"/>
                <w:szCs w:val="16"/>
              </w:rPr>
            </w:pPr>
            <w:r>
              <w:rPr>
                <w:color w:val="000000"/>
                <w:sz w:val="16"/>
                <w:szCs w:val="16"/>
              </w:rPr>
              <w:t>66</w:t>
            </w:r>
          </w:p>
        </w:tc>
        <w:tc>
          <w:tcPr>
            <w:tcW w:w="0" w:type="auto"/>
            <w:vAlign w:val="center"/>
          </w:tcPr>
          <w:p w14:paraId="3E613466" w14:textId="77777777" w:rsidR="00221FB6" w:rsidRDefault="00221FB6" w:rsidP="00221FB6">
            <w:pPr>
              <w:jc w:val="right"/>
              <w:rPr>
                <w:color w:val="000000"/>
                <w:sz w:val="16"/>
                <w:szCs w:val="16"/>
              </w:rPr>
            </w:pPr>
            <w:r>
              <w:rPr>
                <w:color w:val="000000"/>
                <w:sz w:val="16"/>
                <w:szCs w:val="16"/>
              </w:rPr>
              <w:t>33.2</w:t>
            </w:r>
          </w:p>
        </w:tc>
        <w:tc>
          <w:tcPr>
            <w:tcW w:w="0" w:type="auto"/>
            <w:vAlign w:val="center"/>
          </w:tcPr>
          <w:p w14:paraId="32240A57" w14:textId="77777777" w:rsidR="00221FB6" w:rsidRDefault="00221FB6" w:rsidP="00221FB6">
            <w:pPr>
              <w:jc w:val="right"/>
              <w:rPr>
                <w:color w:val="000000"/>
                <w:sz w:val="16"/>
                <w:szCs w:val="16"/>
              </w:rPr>
            </w:pPr>
            <w:r>
              <w:rPr>
                <w:color w:val="000000"/>
                <w:sz w:val="16"/>
                <w:szCs w:val="16"/>
              </w:rPr>
              <w:t>(25.1, 41.3)</w:t>
            </w:r>
          </w:p>
        </w:tc>
      </w:tr>
      <w:tr w:rsidR="00221FB6" w:rsidRPr="007B4EF8" w14:paraId="69A7A5B4" w14:textId="77777777" w:rsidTr="00604260">
        <w:trPr>
          <w:jc w:val="center"/>
        </w:trPr>
        <w:tc>
          <w:tcPr>
            <w:tcW w:w="0" w:type="auto"/>
          </w:tcPr>
          <w:p w14:paraId="3BB70EA5" w14:textId="77777777" w:rsidR="00221FB6" w:rsidRDefault="00221FB6" w:rsidP="00221FB6">
            <w:pPr>
              <w:spacing w:before="20" w:after="20"/>
              <w:ind w:left="34"/>
              <w:rPr>
                <w:rFonts w:eastAsiaTheme="minorEastAsia"/>
                <w:sz w:val="16"/>
                <w:szCs w:val="16"/>
                <w:lang w:eastAsia="en-US"/>
              </w:rPr>
            </w:pPr>
            <w:r>
              <w:rPr>
                <w:rFonts w:eastAsiaTheme="minorEastAsia"/>
                <w:sz w:val="16"/>
                <w:szCs w:val="16"/>
                <w:lang w:eastAsia="en-US"/>
              </w:rPr>
              <w:t>3</w:t>
            </w:r>
          </w:p>
        </w:tc>
        <w:tc>
          <w:tcPr>
            <w:tcW w:w="0" w:type="auto"/>
          </w:tcPr>
          <w:p w14:paraId="78B9AF66"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0" w:type="auto"/>
            <w:vAlign w:val="center"/>
          </w:tcPr>
          <w:p w14:paraId="068AC5A2" w14:textId="77777777" w:rsidR="00221FB6" w:rsidRDefault="00221FB6" w:rsidP="00221FB6">
            <w:pPr>
              <w:jc w:val="right"/>
              <w:rPr>
                <w:color w:val="000000"/>
                <w:sz w:val="16"/>
                <w:szCs w:val="16"/>
              </w:rPr>
            </w:pPr>
            <w:r>
              <w:rPr>
                <w:color w:val="000000"/>
                <w:sz w:val="16"/>
                <w:szCs w:val="16"/>
              </w:rPr>
              <w:t>173</w:t>
            </w:r>
          </w:p>
        </w:tc>
        <w:tc>
          <w:tcPr>
            <w:tcW w:w="0" w:type="auto"/>
            <w:vAlign w:val="center"/>
          </w:tcPr>
          <w:p w14:paraId="14CC88C8" w14:textId="77777777" w:rsidR="00221FB6" w:rsidRDefault="00221FB6" w:rsidP="00221FB6">
            <w:pPr>
              <w:jc w:val="right"/>
              <w:rPr>
                <w:color w:val="000000"/>
                <w:sz w:val="16"/>
                <w:szCs w:val="16"/>
              </w:rPr>
            </w:pPr>
            <w:r>
              <w:rPr>
                <w:color w:val="000000"/>
                <w:sz w:val="16"/>
                <w:szCs w:val="16"/>
              </w:rPr>
              <w:t>63.7</w:t>
            </w:r>
          </w:p>
        </w:tc>
        <w:tc>
          <w:tcPr>
            <w:tcW w:w="0" w:type="auto"/>
            <w:tcBorders>
              <w:right w:val="single" w:sz="4" w:space="0" w:color="auto"/>
            </w:tcBorders>
            <w:vAlign w:val="center"/>
          </w:tcPr>
          <w:p w14:paraId="05A82B97" w14:textId="77777777" w:rsidR="00221FB6" w:rsidRDefault="00221FB6" w:rsidP="00221FB6">
            <w:pPr>
              <w:jc w:val="right"/>
              <w:rPr>
                <w:color w:val="000000"/>
                <w:sz w:val="16"/>
                <w:szCs w:val="16"/>
              </w:rPr>
            </w:pPr>
            <w:r>
              <w:rPr>
                <w:color w:val="000000"/>
                <w:sz w:val="16"/>
                <w:szCs w:val="16"/>
              </w:rPr>
              <w:t>(57.3, 70.2)</w:t>
            </w:r>
          </w:p>
        </w:tc>
        <w:tc>
          <w:tcPr>
            <w:tcW w:w="0" w:type="auto"/>
            <w:tcBorders>
              <w:left w:val="single" w:sz="4" w:space="0" w:color="auto"/>
            </w:tcBorders>
            <w:vAlign w:val="center"/>
          </w:tcPr>
          <w:p w14:paraId="1F9CE58C" w14:textId="77777777" w:rsidR="00221FB6" w:rsidRDefault="00221FB6" w:rsidP="00221FB6">
            <w:pPr>
              <w:jc w:val="right"/>
              <w:rPr>
                <w:color w:val="000000"/>
                <w:sz w:val="16"/>
                <w:szCs w:val="16"/>
              </w:rPr>
            </w:pPr>
            <w:r>
              <w:rPr>
                <w:color w:val="000000"/>
                <w:sz w:val="16"/>
                <w:szCs w:val="16"/>
              </w:rPr>
              <w:t>102</w:t>
            </w:r>
          </w:p>
        </w:tc>
        <w:tc>
          <w:tcPr>
            <w:tcW w:w="0" w:type="auto"/>
            <w:vAlign w:val="center"/>
          </w:tcPr>
          <w:p w14:paraId="611EED58" w14:textId="77777777" w:rsidR="00221FB6" w:rsidRDefault="00221FB6" w:rsidP="00221FB6">
            <w:pPr>
              <w:jc w:val="right"/>
              <w:rPr>
                <w:color w:val="000000"/>
                <w:sz w:val="16"/>
                <w:szCs w:val="16"/>
              </w:rPr>
            </w:pPr>
            <w:r>
              <w:rPr>
                <w:color w:val="000000"/>
                <w:sz w:val="16"/>
                <w:szCs w:val="16"/>
              </w:rPr>
              <w:t>55.4</w:t>
            </w:r>
          </w:p>
        </w:tc>
        <w:tc>
          <w:tcPr>
            <w:tcW w:w="0" w:type="auto"/>
            <w:tcBorders>
              <w:right w:val="single" w:sz="4" w:space="0" w:color="auto"/>
            </w:tcBorders>
            <w:vAlign w:val="center"/>
          </w:tcPr>
          <w:p w14:paraId="7A843FBA" w14:textId="77777777" w:rsidR="00221FB6" w:rsidRDefault="00221FB6" w:rsidP="00221FB6">
            <w:pPr>
              <w:jc w:val="right"/>
              <w:rPr>
                <w:color w:val="000000"/>
                <w:sz w:val="16"/>
                <w:szCs w:val="16"/>
              </w:rPr>
            </w:pPr>
            <w:r>
              <w:rPr>
                <w:color w:val="000000"/>
                <w:sz w:val="16"/>
                <w:szCs w:val="16"/>
              </w:rPr>
              <w:t>(46.5, 64.3)</w:t>
            </w:r>
          </w:p>
        </w:tc>
        <w:tc>
          <w:tcPr>
            <w:tcW w:w="0" w:type="auto"/>
            <w:tcBorders>
              <w:left w:val="single" w:sz="4" w:space="0" w:color="auto"/>
            </w:tcBorders>
            <w:vAlign w:val="center"/>
          </w:tcPr>
          <w:p w14:paraId="3E8DBEF4" w14:textId="77777777" w:rsidR="00221FB6" w:rsidRDefault="00221FB6" w:rsidP="00221FB6">
            <w:pPr>
              <w:jc w:val="right"/>
              <w:rPr>
                <w:color w:val="000000"/>
                <w:sz w:val="16"/>
                <w:szCs w:val="16"/>
              </w:rPr>
            </w:pPr>
            <w:r>
              <w:rPr>
                <w:color w:val="000000"/>
                <w:sz w:val="16"/>
                <w:szCs w:val="16"/>
              </w:rPr>
              <w:t>86</w:t>
            </w:r>
          </w:p>
        </w:tc>
        <w:tc>
          <w:tcPr>
            <w:tcW w:w="0" w:type="auto"/>
            <w:vAlign w:val="center"/>
          </w:tcPr>
          <w:p w14:paraId="5EE35E32" w14:textId="77777777" w:rsidR="00221FB6" w:rsidRDefault="00221FB6" w:rsidP="00221FB6">
            <w:pPr>
              <w:jc w:val="right"/>
              <w:rPr>
                <w:color w:val="000000"/>
                <w:sz w:val="16"/>
                <w:szCs w:val="16"/>
              </w:rPr>
            </w:pPr>
            <w:r>
              <w:rPr>
                <w:color w:val="000000"/>
                <w:sz w:val="16"/>
                <w:szCs w:val="16"/>
              </w:rPr>
              <w:t>56.2</w:t>
            </w:r>
          </w:p>
        </w:tc>
        <w:tc>
          <w:tcPr>
            <w:tcW w:w="0" w:type="auto"/>
            <w:tcBorders>
              <w:right w:val="single" w:sz="4" w:space="0" w:color="auto"/>
            </w:tcBorders>
            <w:vAlign w:val="center"/>
          </w:tcPr>
          <w:p w14:paraId="53A18FE9" w14:textId="77777777" w:rsidR="00221FB6" w:rsidRDefault="00221FB6" w:rsidP="00221FB6">
            <w:pPr>
              <w:jc w:val="right"/>
              <w:rPr>
                <w:color w:val="000000"/>
                <w:sz w:val="16"/>
                <w:szCs w:val="16"/>
              </w:rPr>
            </w:pPr>
            <w:r>
              <w:rPr>
                <w:color w:val="000000"/>
                <w:sz w:val="16"/>
                <w:szCs w:val="16"/>
              </w:rPr>
              <w:t>(45.5, 66.8)</w:t>
            </w:r>
          </w:p>
        </w:tc>
        <w:tc>
          <w:tcPr>
            <w:tcW w:w="0" w:type="auto"/>
            <w:tcBorders>
              <w:left w:val="single" w:sz="4" w:space="0" w:color="auto"/>
            </w:tcBorders>
            <w:vAlign w:val="center"/>
          </w:tcPr>
          <w:p w14:paraId="781ABF20" w14:textId="77777777" w:rsidR="00221FB6" w:rsidRDefault="00221FB6" w:rsidP="00221FB6">
            <w:pPr>
              <w:jc w:val="right"/>
              <w:rPr>
                <w:color w:val="000000"/>
                <w:sz w:val="16"/>
                <w:szCs w:val="16"/>
              </w:rPr>
            </w:pPr>
            <w:r>
              <w:rPr>
                <w:color w:val="000000"/>
                <w:sz w:val="16"/>
                <w:szCs w:val="16"/>
              </w:rPr>
              <w:t>66</w:t>
            </w:r>
          </w:p>
        </w:tc>
        <w:tc>
          <w:tcPr>
            <w:tcW w:w="0" w:type="auto"/>
            <w:vAlign w:val="center"/>
          </w:tcPr>
          <w:p w14:paraId="35231487" w14:textId="77777777" w:rsidR="00221FB6" w:rsidRDefault="00221FB6" w:rsidP="00221FB6">
            <w:pPr>
              <w:jc w:val="right"/>
              <w:rPr>
                <w:color w:val="000000"/>
                <w:sz w:val="16"/>
                <w:szCs w:val="16"/>
              </w:rPr>
            </w:pPr>
            <w:r>
              <w:rPr>
                <w:color w:val="000000"/>
                <w:sz w:val="16"/>
                <w:szCs w:val="16"/>
              </w:rPr>
              <w:t>62.9</w:t>
            </w:r>
          </w:p>
        </w:tc>
        <w:tc>
          <w:tcPr>
            <w:tcW w:w="0" w:type="auto"/>
            <w:vAlign w:val="center"/>
          </w:tcPr>
          <w:p w14:paraId="1DD75A15" w14:textId="77777777" w:rsidR="00221FB6" w:rsidRDefault="00221FB6" w:rsidP="00221FB6">
            <w:pPr>
              <w:jc w:val="right"/>
              <w:rPr>
                <w:color w:val="000000"/>
                <w:sz w:val="16"/>
                <w:szCs w:val="16"/>
              </w:rPr>
            </w:pPr>
            <w:r>
              <w:rPr>
                <w:color w:val="000000"/>
                <w:sz w:val="16"/>
                <w:szCs w:val="16"/>
              </w:rPr>
              <w:t>(50.6, 75.3)</w:t>
            </w:r>
          </w:p>
        </w:tc>
      </w:tr>
      <w:tr w:rsidR="00221FB6" w:rsidRPr="007B4EF8" w14:paraId="2ADAE2DD" w14:textId="77777777" w:rsidTr="00604260">
        <w:trPr>
          <w:jc w:val="center"/>
        </w:trPr>
        <w:tc>
          <w:tcPr>
            <w:tcW w:w="0" w:type="auto"/>
          </w:tcPr>
          <w:p w14:paraId="5F8CCE91" w14:textId="77777777" w:rsidR="00221FB6" w:rsidRDefault="00221FB6" w:rsidP="00221FB6">
            <w:pPr>
              <w:spacing w:before="20" w:after="20"/>
              <w:ind w:left="34"/>
              <w:rPr>
                <w:rFonts w:eastAsiaTheme="minorEastAsia"/>
                <w:sz w:val="16"/>
                <w:szCs w:val="16"/>
                <w:lang w:eastAsia="en-US"/>
              </w:rPr>
            </w:pPr>
          </w:p>
        </w:tc>
        <w:tc>
          <w:tcPr>
            <w:tcW w:w="0" w:type="auto"/>
          </w:tcPr>
          <w:p w14:paraId="37DD8B42"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Low-risk gambler</w:t>
            </w:r>
          </w:p>
        </w:tc>
        <w:tc>
          <w:tcPr>
            <w:tcW w:w="0" w:type="auto"/>
            <w:vAlign w:val="center"/>
          </w:tcPr>
          <w:p w14:paraId="4934431C" w14:textId="77777777" w:rsidR="00221FB6" w:rsidRDefault="00221FB6" w:rsidP="00221FB6">
            <w:pPr>
              <w:jc w:val="right"/>
              <w:rPr>
                <w:color w:val="000000"/>
                <w:sz w:val="16"/>
                <w:szCs w:val="16"/>
              </w:rPr>
            </w:pPr>
            <w:r>
              <w:rPr>
                <w:color w:val="000000"/>
                <w:sz w:val="16"/>
                <w:szCs w:val="16"/>
              </w:rPr>
              <w:t>20</w:t>
            </w:r>
          </w:p>
        </w:tc>
        <w:tc>
          <w:tcPr>
            <w:tcW w:w="0" w:type="auto"/>
            <w:vAlign w:val="center"/>
          </w:tcPr>
          <w:p w14:paraId="74FF64BB" w14:textId="77777777" w:rsidR="00221FB6" w:rsidRDefault="00221FB6" w:rsidP="00221FB6">
            <w:pPr>
              <w:jc w:val="right"/>
              <w:rPr>
                <w:color w:val="000000"/>
                <w:sz w:val="16"/>
                <w:szCs w:val="16"/>
              </w:rPr>
            </w:pPr>
            <w:r>
              <w:rPr>
                <w:color w:val="000000"/>
                <w:sz w:val="16"/>
                <w:szCs w:val="16"/>
              </w:rPr>
              <w:t>7.4</w:t>
            </w:r>
          </w:p>
        </w:tc>
        <w:tc>
          <w:tcPr>
            <w:tcW w:w="0" w:type="auto"/>
            <w:tcBorders>
              <w:right w:val="single" w:sz="4" w:space="0" w:color="auto"/>
            </w:tcBorders>
            <w:vAlign w:val="center"/>
          </w:tcPr>
          <w:p w14:paraId="04C858CB" w14:textId="77777777" w:rsidR="00221FB6" w:rsidRDefault="00221FB6" w:rsidP="00221FB6">
            <w:pPr>
              <w:jc w:val="right"/>
              <w:rPr>
                <w:color w:val="000000"/>
                <w:sz w:val="16"/>
                <w:szCs w:val="16"/>
              </w:rPr>
            </w:pPr>
            <w:r>
              <w:rPr>
                <w:color w:val="000000"/>
                <w:sz w:val="16"/>
                <w:szCs w:val="16"/>
              </w:rPr>
              <w:t>(4.5, 10.4)</w:t>
            </w:r>
          </w:p>
        </w:tc>
        <w:tc>
          <w:tcPr>
            <w:tcW w:w="0" w:type="auto"/>
            <w:tcBorders>
              <w:left w:val="single" w:sz="4" w:space="0" w:color="auto"/>
            </w:tcBorders>
            <w:vAlign w:val="center"/>
          </w:tcPr>
          <w:p w14:paraId="150304CB" w14:textId="77777777" w:rsidR="00221FB6" w:rsidRDefault="00221FB6" w:rsidP="00221FB6">
            <w:pPr>
              <w:jc w:val="right"/>
              <w:rPr>
                <w:color w:val="000000"/>
                <w:sz w:val="16"/>
                <w:szCs w:val="16"/>
              </w:rPr>
            </w:pPr>
            <w:r>
              <w:rPr>
                <w:color w:val="000000"/>
                <w:sz w:val="16"/>
                <w:szCs w:val="16"/>
              </w:rPr>
              <w:t>19</w:t>
            </w:r>
          </w:p>
        </w:tc>
        <w:tc>
          <w:tcPr>
            <w:tcW w:w="0" w:type="auto"/>
            <w:vAlign w:val="center"/>
          </w:tcPr>
          <w:p w14:paraId="2FDB9732" w14:textId="77777777" w:rsidR="00221FB6" w:rsidRDefault="00221FB6" w:rsidP="00221FB6">
            <w:pPr>
              <w:jc w:val="right"/>
              <w:rPr>
                <w:color w:val="000000"/>
                <w:sz w:val="16"/>
                <w:szCs w:val="16"/>
              </w:rPr>
            </w:pPr>
            <w:r>
              <w:rPr>
                <w:color w:val="000000"/>
                <w:sz w:val="16"/>
                <w:szCs w:val="16"/>
              </w:rPr>
              <w:t>10.1</w:t>
            </w:r>
          </w:p>
        </w:tc>
        <w:tc>
          <w:tcPr>
            <w:tcW w:w="0" w:type="auto"/>
            <w:tcBorders>
              <w:right w:val="single" w:sz="4" w:space="0" w:color="auto"/>
            </w:tcBorders>
            <w:vAlign w:val="center"/>
          </w:tcPr>
          <w:p w14:paraId="16441C87" w14:textId="77777777" w:rsidR="00221FB6" w:rsidRDefault="00221FB6" w:rsidP="00221FB6">
            <w:pPr>
              <w:jc w:val="right"/>
              <w:rPr>
                <w:color w:val="000000"/>
                <w:sz w:val="16"/>
                <w:szCs w:val="16"/>
              </w:rPr>
            </w:pPr>
            <w:r>
              <w:rPr>
                <w:color w:val="000000"/>
                <w:sz w:val="16"/>
                <w:szCs w:val="16"/>
              </w:rPr>
              <w:t>(4.8, 15.5)</w:t>
            </w:r>
          </w:p>
        </w:tc>
        <w:tc>
          <w:tcPr>
            <w:tcW w:w="0" w:type="auto"/>
            <w:tcBorders>
              <w:left w:val="single" w:sz="4" w:space="0" w:color="auto"/>
            </w:tcBorders>
            <w:vAlign w:val="center"/>
          </w:tcPr>
          <w:p w14:paraId="4E0725D5" w14:textId="77777777" w:rsidR="00221FB6" w:rsidRDefault="00221FB6" w:rsidP="00221FB6">
            <w:pPr>
              <w:jc w:val="right"/>
              <w:rPr>
                <w:color w:val="000000"/>
                <w:sz w:val="16"/>
                <w:szCs w:val="16"/>
              </w:rPr>
            </w:pPr>
            <w:r>
              <w:rPr>
                <w:color w:val="000000"/>
                <w:sz w:val="16"/>
                <w:szCs w:val="16"/>
              </w:rPr>
              <w:t>8</w:t>
            </w:r>
          </w:p>
        </w:tc>
        <w:tc>
          <w:tcPr>
            <w:tcW w:w="0" w:type="auto"/>
            <w:vAlign w:val="center"/>
          </w:tcPr>
          <w:p w14:paraId="03433E77" w14:textId="77777777" w:rsidR="00221FB6" w:rsidRDefault="00221FB6" w:rsidP="00221FB6">
            <w:pPr>
              <w:jc w:val="right"/>
              <w:rPr>
                <w:color w:val="000000"/>
                <w:sz w:val="16"/>
                <w:szCs w:val="16"/>
              </w:rPr>
            </w:pPr>
            <w:r>
              <w:rPr>
                <w:color w:val="000000"/>
                <w:sz w:val="16"/>
                <w:szCs w:val="16"/>
              </w:rPr>
              <w:t>5.2</w:t>
            </w:r>
          </w:p>
        </w:tc>
        <w:tc>
          <w:tcPr>
            <w:tcW w:w="0" w:type="auto"/>
            <w:tcBorders>
              <w:right w:val="single" w:sz="4" w:space="0" w:color="auto"/>
            </w:tcBorders>
            <w:vAlign w:val="center"/>
          </w:tcPr>
          <w:p w14:paraId="45C005CA" w14:textId="77777777" w:rsidR="00221FB6" w:rsidRDefault="00221FB6" w:rsidP="00221FB6">
            <w:pPr>
              <w:jc w:val="right"/>
              <w:rPr>
                <w:color w:val="000000"/>
                <w:sz w:val="16"/>
                <w:szCs w:val="16"/>
              </w:rPr>
            </w:pPr>
            <w:r>
              <w:rPr>
                <w:color w:val="000000"/>
                <w:sz w:val="16"/>
                <w:szCs w:val="16"/>
              </w:rPr>
              <w:t>(2.0, 8.3)</w:t>
            </w:r>
          </w:p>
        </w:tc>
        <w:tc>
          <w:tcPr>
            <w:tcW w:w="0" w:type="auto"/>
            <w:tcBorders>
              <w:left w:val="single" w:sz="4" w:space="0" w:color="auto"/>
            </w:tcBorders>
            <w:vAlign w:val="center"/>
          </w:tcPr>
          <w:p w14:paraId="72AAF6D1" w14:textId="77777777" w:rsidR="00221FB6" w:rsidRDefault="00221FB6" w:rsidP="00221FB6">
            <w:pPr>
              <w:jc w:val="right"/>
              <w:rPr>
                <w:color w:val="000000"/>
                <w:sz w:val="16"/>
                <w:szCs w:val="16"/>
              </w:rPr>
            </w:pPr>
            <w:r>
              <w:rPr>
                <w:color w:val="000000"/>
                <w:sz w:val="16"/>
                <w:szCs w:val="16"/>
              </w:rPr>
              <w:t>9</w:t>
            </w:r>
          </w:p>
        </w:tc>
        <w:tc>
          <w:tcPr>
            <w:tcW w:w="0" w:type="auto"/>
            <w:vAlign w:val="center"/>
          </w:tcPr>
          <w:p w14:paraId="23CB9801" w14:textId="77777777" w:rsidR="00221FB6" w:rsidRDefault="00221FB6" w:rsidP="00221FB6">
            <w:pPr>
              <w:jc w:val="right"/>
              <w:rPr>
                <w:color w:val="000000"/>
                <w:sz w:val="16"/>
                <w:szCs w:val="16"/>
              </w:rPr>
            </w:pPr>
            <w:r>
              <w:rPr>
                <w:color w:val="000000"/>
                <w:sz w:val="16"/>
                <w:szCs w:val="16"/>
              </w:rPr>
              <w:t>8.5</w:t>
            </w:r>
          </w:p>
        </w:tc>
        <w:tc>
          <w:tcPr>
            <w:tcW w:w="0" w:type="auto"/>
            <w:vAlign w:val="center"/>
          </w:tcPr>
          <w:p w14:paraId="54931D61" w14:textId="77777777" w:rsidR="00221FB6" w:rsidRDefault="00221FB6" w:rsidP="00221FB6">
            <w:pPr>
              <w:jc w:val="right"/>
              <w:rPr>
                <w:color w:val="000000"/>
                <w:sz w:val="16"/>
                <w:szCs w:val="16"/>
              </w:rPr>
            </w:pPr>
            <w:r>
              <w:rPr>
                <w:color w:val="000000"/>
                <w:sz w:val="16"/>
                <w:szCs w:val="16"/>
              </w:rPr>
              <w:t>(2.7, 14.3)</w:t>
            </w:r>
          </w:p>
        </w:tc>
      </w:tr>
      <w:tr w:rsidR="00221FB6" w:rsidRPr="007B4EF8" w14:paraId="2F5A3C44" w14:textId="77777777" w:rsidTr="00604260">
        <w:trPr>
          <w:jc w:val="center"/>
        </w:trPr>
        <w:tc>
          <w:tcPr>
            <w:tcW w:w="0" w:type="auto"/>
          </w:tcPr>
          <w:p w14:paraId="2A3DFCD9" w14:textId="77777777" w:rsidR="00221FB6" w:rsidRDefault="00221FB6" w:rsidP="00221FB6">
            <w:pPr>
              <w:spacing w:before="20" w:after="20"/>
              <w:ind w:left="34"/>
              <w:rPr>
                <w:rFonts w:eastAsiaTheme="minorEastAsia"/>
                <w:sz w:val="16"/>
                <w:szCs w:val="16"/>
                <w:lang w:eastAsia="en-US"/>
              </w:rPr>
            </w:pPr>
          </w:p>
        </w:tc>
        <w:tc>
          <w:tcPr>
            <w:tcW w:w="0" w:type="auto"/>
          </w:tcPr>
          <w:p w14:paraId="2719CC07"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0" w:type="auto"/>
            <w:vAlign w:val="center"/>
          </w:tcPr>
          <w:p w14:paraId="23B4EF0D" w14:textId="77777777" w:rsidR="00221FB6" w:rsidRDefault="00221FB6" w:rsidP="00221FB6">
            <w:pPr>
              <w:jc w:val="right"/>
              <w:rPr>
                <w:color w:val="000000"/>
                <w:sz w:val="16"/>
                <w:szCs w:val="16"/>
              </w:rPr>
            </w:pPr>
            <w:r>
              <w:rPr>
                <w:color w:val="000000"/>
                <w:sz w:val="16"/>
                <w:szCs w:val="16"/>
              </w:rPr>
              <w:t>16</w:t>
            </w:r>
          </w:p>
        </w:tc>
        <w:tc>
          <w:tcPr>
            <w:tcW w:w="0" w:type="auto"/>
            <w:vAlign w:val="center"/>
          </w:tcPr>
          <w:p w14:paraId="6F439CA3" w14:textId="77777777" w:rsidR="00221FB6" w:rsidRDefault="00221FB6" w:rsidP="00221FB6">
            <w:pPr>
              <w:jc w:val="right"/>
              <w:rPr>
                <w:color w:val="000000"/>
                <w:sz w:val="16"/>
                <w:szCs w:val="16"/>
              </w:rPr>
            </w:pPr>
            <w:r>
              <w:rPr>
                <w:color w:val="000000"/>
                <w:sz w:val="16"/>
                <w:szCs w:val="16"/>
              </w:rPr>
              <w:t>6.0</w:t>
            </w:r>
          </w:p>
        </w:tc>
        <w:tc>
          <w:tcPr>
            <w:tcW w:w="0" w:type="auto"/>
            <w:tcBorders>
              <w:right w:val="single" w:sz="4" w:space="0" w:color="auto"/>
            </w:tcBorders>
            <w:vAlign w:val="center"/>
          </w:tcPr>
          <w:p w14:paraId="0FDD0E08" w14:textId="77777777" w:rsidR="00221FB6" w:rsidRDefault="00221FB6" w:rsidP="00221FB6">
            <w:pPr>
              <w:jc w:val="right"/>
              <w:rPr>
                <w:color w:val="000000"/>
                <w:sz w:val="16"/>
                <w:szCs w:val="16"/>
              </w:rPr>
            </w:pPr>
            <w:r>
              <w:rPr>
                <w:color w:val="000000"/>
                <w:sz w:val="16"/>
                <w:szCs w:val="16"/>
              </w:rPr>
              <w:t>(2.7, 9.3)</w:t>
            </w:r>
          </w:p>
        </w:tc>
        <w:tc>
          <w:tcPr>
            <w:tcW w:w="0" w:type="auto"/>
            <w:tcBorders>
              <w:left w:val="single" w:sz="4" w:space="0" w:color="auto"/>
            </w:tcBorders>
            <w:vAlign w:val="center"/>
          </w:tcPr>
          <w:p w14:paraId="2E700347" w14:textId="77777777" w:rsidR="00221FB6" w:rsidRDefault="00221FB6" w:rsidP="00221FB6">
            <w:pPr>
              <w:jc w:val="right"/>
              <w:rPr>
                <w:color w:val="000000"/>
                <w:sz w:val="16"/>
                <w:szCs w:val="16"/>
              </w:rPr>
            </w:pPr>
            <w:r>
              <w:rPr>
                <w:color w:val="000000"/>
                <w:sz w:val="16"/>
                <w:szCs w:val="16"/>
              </w:rPr>
              <w:t>12</w:t>
            </w:r>
          </w:p>
        </w:tc>
        <w:tc>
          <w:tcPr>
            <w:tcW w:w="0" w:type="auto"/>
            <w:vAlign w:val="center"/>
          </w:tcPr>
          <w:p w14:paraId="1A3A8161" w14:textId="77777777" w:rsidR="00221FB6" w:rsidRDefault="00221FB6" w:rsidP="00221FB6">
            <w:pPr>
              <w:jc w:val="right"/>
              <w:rPr>
                <w:color w:val="000000"/>
                <w:sz w:val="16"/>
                <w:szCs w:val="16"/>
              </w:rPr>
            </w:pPr>
            <w:r>
              <w:rPr>
                <w:color w:val="000000"/>
                <w:sz w:val="16"/>
                <w:szCs w:val="16"/>
              </w:rPr>
              <w:t>6.6</w:t>
            </w:r>
          </w:p>
        </w:tc>
        <w:tc>
          <w:tcPr>
            <w:tcW w:w="0" w:type="auto"/>
            <w:tcBorders>
              <w:right w:val="single" w:sz="4" w:space="0" w:color="auto"/>
            </w:tcBorders>
            <w:vAlign w:val="center"/>
          </w:tcPr>
          <w:p w14:paraId="51821DC2" w14:textId="77777777" w:rsidR="00221FB6" w:rsidRDefault="00221FB6" w:rsidP="00221FB6">
            <w:pPr>
              <w:jc w:val="right"/>
              <w:rPr>
                <w:color w:val="000000"/>
                <w:sz w:val="16"/>
                <w:szCs w:val="16"/>
              </w:rPr>
            </w:pPr>
            <w:r>
              <w:rPr>
                <w:color w:val="000000"/>
                <w:sz w:val="16"/>
                <w:szCs w:val="16"/>
              </w:rPr>
              <w:t>(2.6, 10.7)</w:t>
            </w:r>
          </w:p>
        </w:tc>
        <w:tc>
          <w:tcPr>
            <w:tcW w:w="0" w:type="auto"/>
            <w:tcBorders>
              <w:left w:val="single" w:sz="4" w:space="0" w:color="auto"/>
            </w:tcBorders>
            <w:vAlign w:val="center"/>
          </w:tcPr>
          <w:p w14:paraId="07BC8C2C" w14:textId="77777777" w:rsidR="00221FB6" w:rsidRDefault="00221FB6" w:rsidP="00221FB6">
            <w:pPr>
              <w:jc w:val="right"/>
              <w:rPr>
                <w:color w:val="000000"/>
                <w:sz w:val="16"/>
                <w:szCs w:val="16"/>
              </w:rPr>
            </w:pPr>
            <w:r>
              <w:rPr>
                <w:color w:val="000000"/>
                <w:sz w:val="16"/>
                <w:szCs w:val="16"/>
              </w:rPr>
              <w:t>7</w:t>
            </w:r>
          </w:p>
        </w:tc>
        <w:tc>
          <w:tcPr>
            <w:tcW w:w="0" w:type="auto"/>
            <w:vAlign w:val="center"/>
          </w:tcPr>
          <w:p w14:paraId="675A2EA7" w14:textId="77777777" w:rsidR="00221FB6" w:rsidRDefault="00221FB6" w:rsidP="00221FB6">
            <w:pPr>
              <w:jc w:val="right"/>
              <w:rPr>
                <w:color w:val="000000"/>
                <w:sz w:val="16"/>
                <w:szCs w:val="16"/>
              </w:rPr>
            </w:pPr>
            <w:r>
              <w:rPr>
                <w:color w:val="000000"/>
                <w:sz w:val="16"/>
                <w:szCs w:val="16"/>
              </w:rPr>
              <w:t>4.6</w:t>
            </w:r>
          </w:p>
        </w:tc>
        <w:tc>
          <w:tcPr>
            <w:tcW w:w="0" w:type="auto"/>
            <w:tcBorders>
              <w:right w:val="single" w:sz="4" w:space="0" w:color="auto"/>
            </w:tcBorders>
            <w:vAlign w:val="center"/>
          </w:tcPr>
          <w:p w14:paraId="09BC9F21" w14:textId="77777777" w:rsidR="00221FB6" w:rsidRDefault="00221FB6" w:rsidP="00221FB6">
            <w:pPr>
              <w:jc w:val="right"/>
              <w:rPr>
                <w:color w:val="000000"/>
                <w:sz w:val="16"/>
                <w:szCs w:val="16"/>
              </w:rPr>
            </w:pPr>
            <w:r>
              <w:rPr>
                <w:color w:val="000000"/>
                <w:sz w:val="16"/>
                <w:szCs w:val="16"/>
              </w:rPr>
              <w:t>(1.9, 7.4)</w:t>
            </w:r>
          </w:p>
        </w:tc>
        <w:tc>
          <w:tcPr>
            <w:tcW w:w="0" w:type="auto"/>
            <w:tcBorders>
              <w:left w:val="single" w:sz="4" w:space="0" w:color="auto"/>
            </w:tcBorders>
            <w:vAlign w:val="center"/>
          </w:tcPr>
          <w:p w14:paraId="24315C07" w14:textId="77777777" w:rsidR="00221FB6" w:rsidRDefault="00221FB6" w:rsidP="00221FB6">
            <w:pPr>
              <w:jc w:val="right"/>
              <w:rPr>
                <w:color w:val="000000"/>
                <w:sz w:val="16"/>
                <w:szCs w:val="16"/>
              </w:rPr>
            </w:pPr>
            <w:r>
              <w:rPr>
                <w:color w:val="000000"/>
                <w:sz w:val="16"/>
                <w:szCs w:val="16"/>
              </w:rPr>
              <w:t>4</w:t>
            </w:r>
          </w:p>
        </w:tc>
        <w:tc>
          <w:tcPr>
            <w:tcW w:w="0" w:type="auto"/>
            <w:vAlign w:val="center"/>
          </w:tcPr>
          <w:p w14:paraId="14A44460" w14:textId="77777777" w:rsidR="00221FB6" w:rsidRDefault="00221FB6" w:rsidP="00221FB6">
            <w:pPr>
              <w:jc w:val="right"/>
              <w:rPr>
                <w:color w:val="000000"/>
                <w:sz w:val="16"/>
                <w:szCs w:val="16"/>
              </w:rPr>
            </w:pPr>
            <w:r>
              <w:rPr>
                <w:color w:val="000000"/>
                <w:sz w:val="16"/>
                <w:szCs w:val="16"/>
              </w:rPr>
              <w:t>3.8</w:t>
            </w:r>
          </w:p>
        </w:tc>
        <w:tc>
          <w:tcPr>
            <w:tcW w:w="0" w:type="auto"/>
            <w:vAlign w:val="center"/>
          </w:tcPr>
          <w:p w14:paraId="7CDFC374" w14:textId="77777777" w:rsidR="00221FB6" w:rsidRDefault="00221FB6" w:rsidP="00221FB6">
            <w:pPr>
              <w:jc w:val="right"/>
              <w:rPr>
                <w:color w:val="000000"/>
                <w:sz w:val="16"/>
                <w:szCs w:val="16"/>
              </w:rPr>
            </w:pPr>
            <w:r>
              <w:rPr>
                <w:color w:val="000000"/>
                <w:sz w:val="16"/>
                <w:szCs w:val="16"/>
              </w:rPr>
              <w:t>(0.8, 6.9)</w:t>
            </w:r>
          </w:p>
        </w:tc>
      </w:tr>
      <w:tr w:rsidR="00221FB6" w:rsidRPr="007B4EF8" w14:paraId="5856A61A" w14:textId="77777777" w:rsidTr="00604260">
        <w:trPr>
          <w:jc w:val="center"/>
        </w:trPr>
        <w:tc>
          <w:tcPr>
            <w:tcW w:w="0" w:type="auto"/>
          </w:tcPr>
          <w:p w14:paraId="33C6D1BF" w14:textId="77777777" w:rsidR="00221FB6" w:rsidRDefault="00221FB6" w:rsidP="00221FB6">
            <w:pPr>
              <w:spacing w:before="20" w:after="20"/>
              <w:ind w:left="34"/>
              <w:rPr>
                <w:rFonts w:eastAsiaTheme="minorEastAsia"/>
                <w:sz w:val="16"/>
                <w:szCs w:val="16"/>
                <w:lang w:eastAsia="en-US"/>
              </w:rPr>
            </w:pPr>
          </w:p>
        </w:tc>
        <w:tc>
          <w:tcPr>
            <w:tcW w:w="0" w:type="auto"/>
          </w:tcPr>
          <w:p w14:paraId="6D696C71"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No gambling in past year</w:t>
            </w:r>
          </w:p>
        </w:tc>
        <w:tc>
          <w:tcPr>
            <w:tcW w:w="0" w:type="auto"/>
            <w:vAlign w:val="center"/>
          </w:tcPr>
          <w:p w14:paraId="00722603" w14:textId="77777777" w:rsidR="00221FB6" w:rsidRDefault="00221FB6" w:rsidP="00221FB6">
            <w:pPr>
              <w:jc w:val="right"/>
              <w:rPr>
                <w:color w:val="000000"/>
                <w:sz w:val="16"/>
                <w:szCs w:val="16"/>
              </w:rPr>
            </w:pPr>
            <w:r>
              <w:rPr>
                <w:color w:val="000000"/>
                <w:sz w:val="16"/>
                <w:szCs w:val="16"/>
              </w:rPr>
              <w:t>62</w:t>
            </w:r>
          </w:p>
        </w:tc>
        <w:tc>
          <w:tcPr>
            <w:tcW w:w="0" w:type="auto"/>
            <w:vAlign w:val="center"/>
          </w:tcPr>
          <w:p w14:paraId="3628F76A" w14:textId="77777777" w:rsidR="00221FB6" w:rsidRDefault="00221FB6" w:rsidP="00221FB6">
            <w:pPr>
              <w:jc w:val="right"/>
              <w:rPr>
                <w:color w:val="000000"/>
                <w:sz w:val="16"/>
                <w:szCs w:val="16"/>
              </w:rPr>
            </w:pPr>
            <w:r>
              <w:rPr>
                <w:color w:val="000000"/>
                <w:sz w:val="16"/>
                <w:szCs w:val="16"/>
              </w:rPr>
              <w:t>22.8</w:t>
            </w:r>
          </w:p>
        </w:tc>
        <w:tc>
          <w:tcPr>
            <w:tcW w:w="0" w:type="auto"/>
            <w:tcBorders>
              <w:right w:val="single" w:sz="4" w:space="0" w:color="auto"/>
            </w:tcBorders>
            <w:vAlign w:val="center"/>
          </w:tcPr>
          <w:p w14:paraId="5CA86B6F" w14:textId="77777777" w:rsidR="00221FB6" w:rsidRDefault="00221FB6" w:rsidP="00221FB6">
            <w:pPr>
              <w:jc w:val="right"/>
              <w:rPr>
                <w:color w:val="000000"/>
                <w:sz w:val="16"/>
                <w:szCs w:val="16"/>
              </w:rPr>
            </w:pPr>
            <w:r>
              <w:rPr>
                <w:color w:val="000000"/>
                <w:sz w:val="16"/>
                <w:szCs w:val="16"/>
              </w:rPr>
              <w:t>(17.2, 28.4)</w:t>
            </w:r>
          </w:p>
        </w:tc>
        <w:tc>
          <w:tcPr>
            <w:tcW w:w="0" w:type="auto"/>
            <w:tcBorders>
              <w:left w:val="single" w:sz="4" w:space="0" w:color="auto"/>
            </w:tcBorders>
            <w:vAlign w:val="center"/>
          </w:tcPr>
          <w:p w14:paraId="442E6308" w14:textId="77777777" w:rsidR="00221FB6" w:rsidRDefault="00221FB6" w:rsidP="00221FB6">
            <w:pPr>
              <w:jc w:val="right"/>
              <w:rPr>
                <w:color w:val="000000"/>
                <w:sz w:val="16"/>
                <w:szCs w:val="16"/>
              </w:rPr>
            </w:pPr>
            <w:r>
              <w:rPr>
                <w:color w:val="000000"/>
                <w:sz w:val="16"/>
                <w:szCs w:val="16"/>
              </w:rPr>
              <w:t>51</w:t>
            </w:r>
          </w:p>
        </w:tc>
        <w:tc>
          <w:tcPr>
            <w:tcW w:w="0" w:type="auto"/>
            <w:vAlign w:val="center"/>
          </w:tcPr>
          <w:p w14:paraId="4299FE5A" w14:textId="77777777" w:rsidR="00221FB6" w:rsidRDefault="00221FB6" w:rsidP="00221FB6">
            <w:pPr>
              <w:jc w:val="right"/>
              <w:rPr>
                <w:color w:val="000000"/>
                <w:sz w:val="16"/>
                <w:szCs w:val="16"/>
              </w:rPr>
            </w:pPr>
            <w:r>
              <w:rPr>
                <w:color w:val="000000"/>
                <w:sz w:val="16"/>
                <w:szCs w:val="16"/>
              </w:rPr>
              <w:t>27.8</w:t>
            </w:r>
          </w:p>
        </w:tc>
        <w:tc>
          <w:tcPr>
            <w:tcW w:w="0" w:type="auto"/>
            <w:tcBorders>
              <w:right w:val="single" w:sz="4" w:space="0" w:color="auto"/>
            </w:tcBorders>
            <w:vAlign w:val="center"/>
          </w:tcPr>
          <w:p w14:paraId="28BF915F" w14:textId="77777777" w:rsidR="00221FB6" w:rsidRDefault="00221FB6" w:rsidP="00221FB6">
            <w:pPr>
              <w:jc w:val="right"/>
              <w:rPr>
                <w:color w:val="000000"/>
                <w:sz w:val="16"/>
                <w:szCs w:val="16"/>
              </w:rPr>
            </w:pPr>
            <w:r>
              <w:rPr>
                <w:color w:val="000000"/>
                <w:sz w:val="16"/>
                <w:szCs w:val="16"/>
              </w:rPr>
              <w:t>(19.5, 36.1)</w:t>
            </w:r>
          </w:p>
        </w:tc>
        <w:tc>
          <w:tcPr>
            <w:tcW w:w="0" w:type="auto"/>
            <w:tcBorders>
              <w:left w:val="single" w:sz="4" w:space="0" w:color="auto"/>
            </w:tcBorders>
            <w:vAlign w:val="center"/>
          </w:tcPr>
          <w:p w14:paraId="5838B8B6" w14:textId="77777777" w:rsidR="00221FB6" w:rsidRDefault="00221FB6" w:rsidP="00221FB6">
            <w:pPr>
              <w:jc w:val="right"/>
              <w:rPr>
                <w:color w:val="000000"/>
                <w:sz w:val="16"/>
                <w:szCs w:val="16"/>
              </w:rPr>
            </w:pPr>
            <w:r>
              <w:rPr>
                <w:color w:val="000000"/>
                <w:sz w:val="16"/>
                <w:szCs w:val="16"/>
              </w:rPr>
              <w:t>52</w:t>
            </w:r>
          </w:p>
        </w:tc>
        <w:tc>
          <w:tcPr>
            <w:tcW w:w="0" w:type="auto"/>
            <w:vAlign w:val="center"/>
          </w:tcPr>
          <w:p w14:paraId="1312F7BC" w14:textId="77777777" w:rsidR="00221FB6" w:rsidRDefault="00221FB6" w:rsidP="00221FB6">
            <w:pPr>
              <w:jc w:val="right"/>
              <w:rPr>
                <w:color w:val="000000"/>
                <w:sz w:val="16"/>
                <w:szCs w:val="16"/>
              </w:rPr>
            </w:pPr>
            <w:r>
              <w:rPr>
                <w:color w:val="000000"/>
                <w:sz w:val="16"/>
                <w:szCs w:val="16"/>
              </w:rPr>
              <w:t>34.0</w:t>
            </w:r>
          </w:p>
        </w:tc>
        <w:tc>
          <w:tcPr>
            <w:tcW w:w="0" w:type="auto"/>
            <w:tcBorders>
              <w:right w:val="single" w:sz="4" w:space="0" w:color="auto"/>
            </w:tcBorders>
            <w:vAlign w:val="center"/>
          </w:tcPr>
          <w:p w14:paraId="59B6A410" w14:textId="77777777" w:rsidR="00221FB6" w:rsidRDefault="00221FB6" w:rsidP="00221FB6">
            <w:pPr>
              <w:jc w:val="right"/>
              <w:rPr>
                <w:color w:val="000000"/>
                <w:sz w:val="16"/>
                <w:szCs w:val="16"/>
              </w:rPr>
            </w:pPr>
            <w:r>
              <w:rPr>
                <w:color w:val="000000"/>
                <w:sz w:val="16"/>
                <w:szCs w:val="16"/>
              </w:rPr>
              <w:t>(23.1, 44.9)</w:t>
            </w:r>
          </w:p>
        </w:tc>
        <w:tc>
          <w:tcPr>
            <w:tcW w:w="0" w:type="auto"/>
            <w:tcBorders>
              <w:left w:val="single" w:sz="4" w:space="0" w:color="auto"/>
            </w:tcBorders>
            <w:vAlign w:val="center"/>
          </w:tcPr>
          <w:p w14:paraId="4EC0DF91" w14:textId="77777777" w:rsidR="00221FB6" w:rsidRDefault="00221FB6" w:rsidP="00221FB6">
            <w:pPr>
              <w:jc w:val="right"/>
              <w:rPr>
                <w:color w:val="000000"/>
                <w:sz w:val="16"/>
                <w:szCs w:val="16"/>
              </w:rPr>
            </w:pPr>
            <w:r>
              <w:rPr>
                <w:color w:val="000000"/>
                <w:sz w:val="16"/>
                <w:szCs w:val="16"/>
              </w:rPr>
              <w:t>26</w:t>
            </w:r>
          </w:p>
        </w:tc>
        <w:tc>
          <w:tcPr>
            <w:tcW w:w="0" w:type="auto"/>
            <w:vAlign w:val="center"/>
          </w:tcPr>
          <w:p w14:paraId="584D8AC7" w14:textId="77777777" w:rsidR="00221FB6" w:rsidRDefault="00221FB6" w:rsidP="00221FB6">
            <w:pPr>
              <w:jc w:val="right"/>
              <w:rPr>
                <w:color w:val="000000"/>
                <w:sz w:val="16"/>
                <w:szCs w:val="16"/>
              </w:rPr>
            </w:pPr>
            <w:r>
              <w:rPr>
                <w:color w:val="000000"/>
                <w:sz w:val="16"/>
                <w:szCs w:val="16"/>
              </w:rPr>
              <w:t>24.7</w:t>
            </w:r>
          </w:p>
        </w:tc>
        <w:tc>
          <w:tcPr>
            <w:tcW w:w="0" w:type="auto"/>
            <w:vAlign w:val="center"/>
          </w:tcPr>
          <w:p w14:paraId="31D1CA9D" w14:textId="77777777" w:rsidR="00221FB6" w:rsidRDefault="00221FB6" w:rsidP="00221FB6">
            <w:pPr>
              <w:jc w:val="right"/>
              <w:rPr>
                <w:color w:val="000000"/>
                <w:sz w:val="16"/>
                <w:szCs w:val="16"/>
              </w:rPr>
            </w:pPr>
            <w:r>
              <w:rPr>
                <w:color w:val="000000"/>
                <w:sz w:val="16"/>
                <w:szCs w:val="16"/>
              </w:rPr>
              <w:t>(14.8, 34.7)</w:t>
            </w:r>
          </w:p>
        </w:tc>
      </w:tr>
      <w:tr w:rsidR="00221FB6" w:rsidRPr="007B4EF8" w14:paraId="55D40C53" w14:textId="77777777" w:rsidTr="00604260">
        <w:trPr>
          <w:jc w:val="center"/>
        </w:trPr>
        <w:tc>
          <w:tcPr>
            <w:tcW w:w="0" w:type="auto"/>
          </w:tcPr>
          <w:p w14:paraId="0F2F0EB6" w14:textId="77777777" w:rsidR="00221FB6" w:rsidRDefault="00221FB6" w:rsidP="00221FB6">
            <w:pPr>
              <w:spacing w:before="20" w:after="20"/>
              <w:ind w:left="34"/>
              <w:rPr>
                <w:rFonts w:eastAsiaTheme="minorEastAsia"/>
                <w:sz w:val="16"/>
                <w:szCs w:val="16"/>
                <w:lang w:eastAsia="en-US"/>
              </w:rPr>
            </w:pPr>
            <w:r>
              <w:rPr>
                <w:rFonts w:eastAsiaTheme="minorEastAsia"/>
                <w:sz w:val="16"/>
                <w:szCs w:val="16"/>
                <w:lang w:eastAsia="en-US"/>
              </w:rPr>
              <w:t>4</w:t>
            </w:r>
          </w:p>
        </w:tc>
        <w:tc>
          <w:tcPr>
            <w:tcW w:w="0" w:type="auto"/>
          </w:tcPr>
          <w:p w14:paraId="1B5418BD"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0" w:type="auto"/>
            <w:vAlign w:val="center"/>
          </w:tcPr>
          <w:p w14:paraId="0445BC1E" w14:textId="77777777" w:rsidR="00221FB6" w:rsidRDefault="00221FB6" w:rsidP="00221FB6">
            <w:pPr>
              <w:jc w:val="right"/>
              <w:rPr>
                <w:color w:val="000000"/>
                <w:sz w:val="16"/>
                <w:szCs w:val="16"/>
              </w:rPr>
            </w:pPr>
            <w:r>
              <w:rPr>
                <w:color w:val="000000"/>
                <w:sz w:val="16"/>
                <w:szCs w:val="16"/>
              </w:rPr>
              <w:t>123</w:t>
            </w:r>
          </w:p>
        </w:tc>
        <w:tc>
          <w:tcPr>
            <w:tcW w:w="0" w:type="auto"/>
            <w:vAlign w:val="center"/>
          </w:tcPr>
          <w:p w14:paraId="024E79E2" w14:textId="77777777" w:rsidR="00221FB6" w:rsidRDefault="00221FB6" w:rsidP="00221FB6">
            <w:pPr>
              <w:jc w:val="right"/>
              <w:rPr>
                <w:color w:val="000000"/>
                <w:sz w:val="16"/>
                <w:szCs w:val="16"/>
              </w:rPr>
            </w:pPr>
            <w:r>
              <w:rPr>
                <w:color w:val="000000"/>
                <w:sz w:val="16"/>
                <w:szCs w:val="16"/>
              </w:rPr>
              <w:t>61.0</w:t>
            </w:r>
          </w:p>
        </w:tc>
        <w:tc>
          <w:tcPr>
            <w:tcW w:w="0" w:type="auto"/>
            <w:tcBorders>
              <w:right w:val="single" w:sz="4" w:space="0" w:color="auto"/>
            </w:tcBorders>
            <w:vAlign w:val="center"/>
          </w:tcPr>
          <w:p w14:paraId="17A6824F" w14:textId="77777777" w:rsidR="00221FB6" w:rsidRDefault="00221FB6" w:rsidP="00221FB6">
            <w:pPr>
              <w:jc w:val="right"/>
              <w:rPr>
                <w:color w:val="000000"/>
                <w:sz w:val="16"/>
                <w:szCs w:val="16"/>
              </w:rPr>
            </w:pPr>
            <w:r>
              <w:rPr>
                <w:color w:val="000000"/>
                <w:sz w:val="16"/>
                <w:szCs w:val="16"/>
              </w:rPr>
              <w:t>(52.9, 69.1)</w:t>
            </w:r>
          </w:p>
        </w:tc>
        <w:tc>
          <w:tcPr>
            <w:tcW w:w="0" w:type="auto"/>
            <w:tcBorders>
              <w:left w:val="single" w:sz="4" w:space="0" w:color="auto"/>
            </w:tcBorders>
            <w:vAlign w:val="center"/>
          </w:tcPr>
          <w:p w14:paraId="69E1D4CF" w14:textId="77777777" w:rsidR="00221FB6" w:rsidRDefault="00221FB6" w:rsidP="00221FB6">
            <w:pPr>
              <w:jc w:val="right"/>
              <w:rPr>
                <w:color w:val="000000"/>
                <w:sz w:val="16"/>
                <w:szCs w:val="16"/>
              </w:rPr>
            </w:pPr>
            <w:r>
              <w:rPr>
                <w:color w:val="000000"/>
                <w:sz w:val="16"/>
                <w:szCs w:val="16"/>
              </w:rPr>
              <w:t>39</w:t>
            </w:r>
          </w:p>
        </w:tc>
        <w:tc>
          <w:tcPr>
            <w:tcW w:w="0" w:type="auto"/>
            <w:vAlign w:val="center"/>
          </w:tcPr>
          <w:p w14:paraId="17ADFE51" w14:textId="77777777" w:rsidR="00221FB6" w:rsidRDefault="00221FB6" w:rsidP="00221FB6">
            <w:pPr>
              <w:jc w:val="right"/>
              <w:rPr>
                <w:color w:val="000000"/>
                <w:sz w:val="16"/>
                <w:szCs w:val="16"/>
              </w:rPr>
            </w:pPr>
            <w:r>
              <w:rPr>
                <w:color w:val="000000"/>
                <w:sz w:val="16"/>
                <w:szCs w:val="16"/>
              </w:rPr>
              <w:t>52.6</w:t>
            </w:r>
          </w:p>
        </w:tc>
        <w:tc>
          <w:tcPr>
            <w:tcW w:w="0" w:type="auto"/>
            <w:tcBorders>
              <w:right w:val="single" w:sz="4" w:space="0" w:color="auto"/>
            </w:tcBorders>
            <w:vAlign w:val="center"/>
          </w:tcPr>
          <w:p w14:paraId="0902193C" w14:textId="77777777" w:rsidR="00221FB6" w:rsidRDefault="00221FB6" w:rsidP="00221FB6">
            <w:pPr>
              <w:jc w:val="right"/>
              <w:rPr>
                <w:color w:val="000000"/>
                <w:sz w:val="16"/>
                <w:szCs w:val="16"/>
              </w:rPr>
            </w:pPr>
            <w:r>
              <w:rPr>
                <w:color w:val="000000"/>
                <w:sz w:val="16"/>
                <w:szCs w:val="16"/>
              </w:rPr>
              <w:t>(40.5, 64.7)</w:t>
            </w:r>
          </w:p>
        </w:tc>
        <w:tc>
          <w:tcPr>
            <w:tcW w:w="0" w:type="auto"/>
            <w:tcBorders>
              <w:left w:val="single" w:sz="4" w:space="0" w:color="auto"/>
            </w:tcBorders>
            <w:vAlign w:val="center"/>
          </w:tcPr>
          <w:p w14:paraId="308EC1EE" w14:textId="77777777" w:rsidR="00221FB6" w:rsidRDefault="00221FB6" w:rsidP="00221FB6">
            <w:pPr>
              <w:jc w:val="right"/>
              <w:rPr>
                <w:color w:val="000000"/>
                <w:sz w:val="16"/>
                <w:szCs w:val="16"/>
              </w:rPr>
            </w:pPr>
            <w:r>
              <w:rPr>
                <w:color w:val="000000"/>
                <w:sz w:val="16"/>
                <w:szCs w:val="16"/>
              </w:rPr>
              <w:t>45</w:t>
            </w:r>
          </w:p>
        </w:tc>
        <w:tc>
          <w:tcPr>
            <w:tcW w:w="0" w:type="auto"/>
            <w:vAlign w:val="center"/>
          </w:tcPr>
          <w:p w14:paraId="6FB2849A" w14:textId="77777777" w:rsidR="00221FB6" w:rsidRDefault="00221FB6" w:rsidP="00221FB6">
            <w:pPr>
              <w:jc w:val="right"/>
              <w:rPr>
                <w:color w:val="000000"/>
                <w:sz w:val="16"/>
                <w:szCs w:val="16"/>
              </w:rPr>
            </w:pPr>
            <w:r>
              <w:rPr>
                <w:color w:val="000000"/>
                <w:sz w:val="16"/>
                <w:szCs w:val="16"/>
              </w:rPr>
              <w:t>62.6</w:t>
            </w:r>
          </w:p>
        </w:tc>
        <w:tc>
          <w:tcPr>
            <w:tcW w:w="0" w:type="auto"/>
            <w:tcBorders>
              <w:right w:val="single" w:sz="4" w:space="0" w:color="auto"/>
            </w:tcBorders>
            <w:vAlign w:val="center"/>
          </w:tcPr>
          <w:p w14:paraId="2E95EA2D" w14:textId="77777777" w:rsidR="00221FB6" w:rsidRDefault="00221FB6" w:rsidP="00221FB6">
            <w:pPr>
              <w:jc w:val="right"/>
              <w:rPr>
                <w:color w:val="000000"/>
                <w:sz w:val="16"/>
                <w:szCs w:val="16"/>
              </w:rPr>
            </w:pPr>
            <w:r>
              <w:rPr>
                <w:color w:val="000000"/>
                <w:sz w:val="16"/>
                <w:szCs w:val="16"/>
              </w:rPr>
              <w:t>(46.9, 78.3)</w:t>
            </w:r>
          </w:p>
        </w:tc>
        <w:tc>
          <w:tcPr>
            <w:tcW w:w="0" w:type="auto"/>
            <w:tcBorders>
              <w:left w:val="single" w:sz="4" w:space="0" w:color="auto"/>
            </w:tcBorders>
            <w:vAlign w:val="center"/>
          </w:tcPr>
          <w:p w14:paraId="48459F48" w14:textId="77777777" w:rsidR="00221FB6" w:rsidRDefault="00221FB6" w:rsidP="00221FB6">
            <w:pPr>
              <w:jc w:val="right"/>
              <w:rPr>
                <w:color w:val="000000"/>
                <w:sz w:val="16"/>
                <w:szCs w:val="16"/>
              </w:rPr>
            </w:pPr>
            <w:r>
              <w:rPr>
                <w:color w:val="000000"/>
                <w:sz w:val="16"/>
                <w:szCs w:val="16"/>
              </w:rPr>
              <w:t>28</w:t>
            </w:r>
          </w:p>
        </w:tc>
        <w:tc>
          <w:tcPr>
            <w:tcW w:w="0" w:type="auto"/>
            <w:vAlign w:val="center"/>
          </w:tcPr>
          <w:p w14:paraId="31FC6C51" w14:textId="77777777" w:rsidR="00221FB6" w:rsidRDefault="00221FB6" w:rsidP="00221FB6">
            <w:pPr>
              <w:jc w:val="right"/>
              <w:rPr>
                <w:color w:val="000000"/>
                <w:sz w:val="16"/>
                <w:szCs w:val="16"/>
              </w:rPr>
            </w:pPr>
            <w:r>
              <w:rPr>
                <w:color w:val="000000"/>
                <w:sz w:val="16"/>
                <w:szCs w:val="16"/>
              </w:rPr>
              <w:t>50.8</w:t>
            </w:r>
          </w:p>
        </w:tc>
        <w:tc>
          <w:tcPr>
            <w:tcW w:w="0" w:type="auto"/>
            <w:vAlign w:val="center"/>
          </w:tcPr>
          <w:p w14:paraId="3BD42D21" w14:textId="77777777" w:rsidR="00221FB6" w:rsidRDefault="00221FB6" w:rsidP="00221FB6">
            <w:pPr>
              <w:jc w:val="right"/>
              <w:rPr>
                <w:color w:val="000000"/>
                <w:sz w:val="16"/>
                <w:szCs w:val="16"/>
              </w:rPr>
            </w:pPr>
            <w:r>
              <w:rPr>
                <w:color w:val="000000"/>
                <w:sz w:val="16"/>
                <w:szCs w:val="16"/>
              </w:rPr>
              <w:t>(36.4, 65.3)</w:t>
            </w:r>
          </w:p>
        </w:tc>
      </w:tr>
      <w:tr w:rsidR="00221FB6" w:rsidRPr="007B4EF8" w14:paraId="610E8D58" w14:textId="77777777" w:rsidTr="00604260">
        <w:trPr>
          <w:jc w:val="center"/>
        </w:trPr>
        <w:tc>
          <w:tcPr>
            <w:tcW w:w="0" w:type="auto"/>
          </w:tcPr>
          <w:p w14:paraId="42E9B4FA" w14:textId="77777777" w:rsidR="00221FB6" w:rsidRDefault="00221FB6" w:rsidP="00221FB6">
            <w:pPr>
              <w:spacing w:before="20" w:after="20"/>
              <w:ind w:left="34"/>
              <w:rPr>
                <w:rFonts w:eastAsiaTheme="minorEastAsia"/>
                <w:sz w:val="16"/>
                <w:szCs w:val="16"/>
                <w:lang w:eastAsia="en-US"/>
              </w:rPr>
            </w:pPr>
          </w:p>
        </w:tc>
        <w:tc>
          <w:tcPr>
            <w:tcW w:w="0" w:type="auto"/>
          </w:tcPr>
          <w:p w14:paraId="1AD0B915"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Low-risk gambler</w:t>
            </w:r>
          </w:p>
        </w:tc>
        <w:tc>
          <w:tcPr>
            <w:tcW w:w="0" w:type="auto"/>
            <w:vAlign w:val="center"/>
          </w:tcPr>
          <w:p w14:paraId="5459216F" w14:textId="77777777" w:rsidR="00221FB6" w:rsidRDefault="00221FB6" w:rsidP="00221FB6">
            <w:pPr>
              <w:jc w:val="right"/>
              <w:rPr>
                <w:color w:val="000000"/>
                <w:sz w:val="16"/>
                <w:szCs w:val="16"/>
              </w:rPr>
            </w:pPr>
            <w:r>
              <w:rPr>
                <w:color w:val="000000"/>
                <w:sz w:val="16"/>
                <w:szCs w:val="16"/>
              </w:rPr>
              <w:t>26</w:t>
            </w:r>
          </w:p>
        </w:tc>
        <w:tc>
          <w:tcPr>
            <w:tcW w:w="0" w:type="auto"/>
            <w:vAlign w:val="center"/>
          </w:tcPr>
          <w:p w14:paraId="7A64921C" w14:textId="77777777" w:rsidR="00221FB6" w:rsidRDefault="00221FB6" w:rsidP="00221FB6">
            <w:pPr>
              <w:jc w:val="right"/>
              <w:rPr>
                <w:color w:val="000000"/>
                <w:sz w:val="16"/>
                <w:szCs w:val="16"/>
              </w:rPr>
            </w:pPr>
            <w:r>
              <w:rPr>
                <w:color w:val="000000"/>
                <w:sz w:val="16"/>
                <w:szCs w:val="16"/>
              </w:rPr>
              <w:t>12.7</w:t>
            </w:r>
          </w:p>
        </w:tc>
        <w:tc>
          <w:tcPr>
            <w:tcW w:w="0" w:type="auto"/>
            <w:tcBorders>
              <w:right w:val="single" w:sz="4" w:space="0" w:color="auto"/>
            </w:tcBorders>
            <w:vAlign w:val="center"/>
          </w:tcPr>
          <w:p w14:paraId="7F4646DC" w14:textId="77777777" w:rsidR="00221FB6" w:rsidRDefault="00221FB6" w:rsidP="00221FB6">
            <w:pPr>
              <w:jc w:val="right"/>
              <w:rPr>
                <w:color w:val="000000"/>
                <w:sz w:val="16"/>
                <w:szCs w:val="16"/>
              </w:rPr>
            </w:pPr>
            <w:r>
              <w:rPr>
                <w:color w:val="000000"/>
                <w:sz w:val="16"/>
                <w:szCs w:val="16"/>
              </w:rPr>
              <w:t>(6.4, 19.0)</w:t>
            </w:r>
          </w:p>
        </w:tc>
        <w:tc>
          <w:tcPr>
            <w:tcW w:w="0" w:type="auto"/>
            <w:tcBorders>
              <w:left w:val="single" w:sz="4" w:space="0" w:color="auto"/>
            </w:tcBorders>
            <w:vAlign w:val="center"/>
          </w:tcPr>
          <w:p w14:paraId="46196E84" w14:textId="77777777" w:rsidR="00221FB6" w:rsidRDefault="00221FB6" w:rsidP="00221FB6">
            <w:pPr>
              <w:jc w:val="right"/>
              <w:rPr>
                <w:color w:val="000000"/>
                <w:sz w:val="16"/>
                <w:szCs w:val="16"/>
              </w:rPr>
            </w:pPr>
            <w:r>
              <w:rPr>
                <w:color w:val="000000"/>
                <w:sz w:val="16"/>
                <w:szCs w:val="16"/>
              </w:rPr>
              <w:t>10</w:t>
            </w:r>
          </w:p>
        </w:tc>
        <w:tc>
          <w:tcPr>
            <w:tcW w:w="0" w:type="auto"/>
            <w:vAlign w:val="center"/>
          </w:tcPr>
          <w:p w14:paraId="58B19CE3" w14:textId="77777777" w:rsidR="00221FB6" w:rsidRDefault="00221FB6" w:rsidP="00221FB6">
            <w:pPr>
              <w:jc w:val="right"/>
              <w:rPr>
                <w:color w:val="000000"/>
                <w:sz w:val="16"/>
                <w:szCs w:val="16"/>
              </w:rPr>
            </w:pPr>
            <w:r>
              <w:rPr>
                <w:color w:val="000000"/>
                <w:sz w:val="16"/>
                <w:szCs w:val="16"/>
              </w:rPr>
              <w:t>14.0</w:t>
            </w:r>
          </w:p>
        </w:tc>
        <w:tc>
          <w:tcPr>
            <w:tcW w:w="0" w:type="auto"/>
            <w:tcBorders>
              <w:right w:val="single" w:sz="4" w:space="0" w:color="auto"/>
            </w:tcBorders>
            <w:vAlign w:val="center"/>
          </w:tcPr>
          <w:p w14:paraId="30DC8FA0" w14:textId="77777777" w:rsidR="00221FB6" w:rsidRDefault="00221FB6" w:rsidP="00221FB6">
            <w:pPr>
              <w:jc w:val="right"/>
              <w:rPr>
                <w:color w:val="000000"/>
                <w:sz w:val="16"/>
                <w:szCs w:val="16"/>
              </w:rPr>
            </w:pPr>
            <w:r>
              <w:rPr>
                <w:color w:val="000000"/>
                <w:sz w:val="16"/>
                <w:szCs w:val="16"/>
              </w:rPr>
              <w:t>(5.5, 22.5)</w:t>
            </w:r>
          </w:p>
        </w:tc>
        <w:tc>
          <w:tcPr>
            <w:tcW w:w="0" w:type="auto"/>
            <w:tcBorders>
              <w:left w:val="single" w:sz="4" w:space="0" w:color="auto"/>
            </w:tcBorders>
            <w:vAlign w:val="center"/>
          </w:tcPr>
          <w:p w14:paraId="187EBAD4" w14:textId="77777777" w:rsidR="00221FB6" w:rsidRDefault="00221FB6" w:rsidP="00221FB6">
            <w:pPr>
              <w:jc w:val="right"/>
              <w:rPr>
                <w:color w:val="000000"/>
                <w:sz w:val="16"/>
                <w:szCs w:val="16"/>
              </w:rPr>
            </w:pPr>
            <w:r>
              <w:rPr>
                <w:color w:val="000000"/>
                <w:sz w:val="16"/>
                <w:szCs w:val="16"/>
              </w:rPr>
              <w:t>4</w:t>
            </w:r>
          </w:p>
        </w:tc>
        <w:tc>
          <w:tcPr>
            <w:tcW w:w="0" w:type="auto"/>
            <w:vAlign w:val="center"/>
          </w:tcPr>
          <w:p w14:paraId="50D2185A" w14:textId="77777777" w:rsidR="00221FB6" w:rsidRDefault="00221FB6" w:rsidP="00221FB6">
            <w:pPr>
              <w:jc w:val="right"/>
              <w:rPr>
                <w:color w:val="000000"/>
                <w:sz w:val="16"/>
                <w:szCs w:val="16"/>
              </w:rPr>
            </w:pPr>
            <w:r>
              <w:rPr>
                <w:color w:val="000000"/>
                <w:sz w:val="16"/>
                <w:szCs w:val="16"/>
              </w:rPr>
              <w:t>6.1</w:t>
            </w:r>
          </w:p>
        </w:tc>
        <w:tc>
          <w:tcPr>
            <w:tcW w:w="0" w:type="auto"/>
            <w:tcBorders>
              <w:right w:val="single" w:sz="4" w:space="0" w:color="auto"/>
            </w:tcBorders>
            <w:vAlign w:val="center"/>
          </w:tcPr>
          <w:p w14:paraId="26FD1D86" w14:textId="77777777" w:rsidR="00221FB6" w:rsidRDefault="00221FB6" w:rsidP="00221FB6">
            <w:pPr>
              <w:jc w:val="right"/>
              <w:rPr>
                <w:color w:val="000000"/>
                <w:sz w:val="16"/>
                <w:szCs w:val="16"/>
              </w:rPr>
            </w:pPr>
            <w:r>
              <w:rPr>
                <w:color w:val="000000"/>
                <w:sz w:val="16"/>
                <w:szCs w:val="16"/>
              </w:rPr>
              <w:t>(1.0, 11.1)</w:t>
            </w:r>
          </w:p>
        </w:tc>
        <w:tc>
          <w:tcPr>
            <w:tcW w:w="0" w:type="auto"/>
            <w:tcBorders>
              <w:left w:val="single" w:sz="4" w:space="0" w:color="auto"/>
            </w:tcBorders>
            <w:vAlign w:val="center"/>
          </w:tcPr>
          <w:p w14:paraId="57625593" w14:textId="77777777" w:rsidR="00221FB6" w:rsidRDefault="00221FB6" w:rsidP="00221FB6">
            <w:pPr>
              <w:jc w:val="right"/>
              <w:rPr>
                <w:color w:val="000000"/>
                <w:sz w:val="16"/>
                <w:szCs w:val="16"/>
              </w:rPr>
            </w:pPr>
            <w:r>
              <w:rPr>
                <w:color w:val="000000"/>
                <w:sz w:val="16"/>
                <w:szCs w:val="16"/>
              </w:rPr>
              <w:t>6</w:t>
            </w:r>
          </w:p>
        </w:tc>
        <w:tc>
          <w:tcPr>
            <w:tcW w:w="0" w:type="auto"/>
            <w:vAlign w:val="center"/>
          </w:tcPr>
          <w:p w14:paraId="7279D592" w14:textId="77777777" w:rsidR="00221FB6" w:rsidRDefault="00221FB6" w:rsidP="00221FB6">
            <w:pPr>
              <w:jc w:val="right"/>
              <w:rPr>
                <w:color w:val="000000"/>
                <w:sz w:val="16"/>
                <w:szCs w:val="16"/>
              </w:rPr>
            </w:pPr>
            <w:r>
              <w:rPr>
                <w:color w:val="000000"/>
                <w:sz w:val="16"/>
                <w:szCs w:val="16"/>
              </w:rPr>
              <w:t>10.0</w:t>
            </w:r>
          </w:p>
        </w:tc>
        <w:tc>
          <w:tcPr>
            <w:tcW w:w="0" w:type="auto"/>
            <w:vAlign w:val="center"/>
          </w:tcPr>
          <w:p w14:paraId="470334D4" w14:textId="77777777" w:rsidR="00221FB6" w:rsidRDefault="00221FB6" w:rsidP="00221FB6">
            <w:pPr>
              <w:jc w:val="right"/>
              <w:rPr>
                <w:color w:val="000000"/>
                <w:sz w:val="16"/>
                <w:szCs w:val="16"/>
              </w:rPr>
            </w:pPr>
            <w:r>
              <w:rPr>
                <w:color w:val="000000"/>
                <w:sz w:val="16"/>
                <w:szCs w:val="16"/>
              </w:rPr>
              <w:t>(1.1, 19.0)</w:t>
            </w:r>
          </w:p>
        </w:tc>
      </w:tr>
      <w:tr w:rsidR="00221FB6" w:rsidRPr="007B4EF8" w14:paraId="30059E10" w14:textId="77777777" w:rsidTr="005E3FD2">
        <w:trPr>
          <w:jc w:val="center"/>
        </w:trPr>
        <w:tc>
          <w:tcPr>
            <w:tcW w:w="0" w:type="auto"/>
          </w:tcPr>
          <w:p w14:paraId="06514B21" w14:textId="77777777" w:rsidR="00221FB6" w:rsidRDefault="00221FB6" w:rsidP="00221FB6">
            <w:pPr>
              <w:spacing w:before="20" w:after="20"/>
              <w:ind w:left="34"/>
              <w:rPr>
                <w:rFonts w:eastAsiaTheme="minorEastAsia"/>
                <w:sz w:val="16"/>
                <w:szCs w:val="16"/>
                <w:lang w:eastAsia="en-US"/>
              </w:rPr>
            </w:pPr>
          </w:p>
        </w:tc>
        <w:tc>
          <w:tcPr>
            <w:tcW w:w="0" w:type="auto"/>
          </w:tcPr>
          <w:p w14:paraId="77BBE283"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0" w:type="auto"/>
            <w:vAlign w:val="center"/>
          </w:tcPr>
          <w:p w14:paraId="7DEDBE43" w14:textId="77777777" w:rsidR="00221FB6" w:rsidRDefault="00221FB6" w:rsidP="00221FB6">
            <w:pPr>
              <w:jc w:val="right"/>
              <w:rPr>
                <w:color w:val="000000"/>
                <w:sz w:val="16"/>
                <w:szCs w:val="16"/>
              </w:rPr>
            </w:pPr>
            <w:r>
              <w:rPr>
                <w:color w:val="000000"/>
                <w:sz w:val="16"/>
                <w:szCs w:val="16"/>
              </w:rPr>
              <w:t>11</w:t>
            </w:r>
          </w:p>
        </w:tc>
        <w:tc>
          <w:tcPr>
            <w:tcW w:w="0" w:type="auto"/>
            <w:vAlign w:val="center"/>
          </w:tcPr>
          <w:p w14:paraId="24A90827" w14:textId="77777777" w:rsidR="00221FB6" w:rsidRDefault="00221FB6" w:rsidP="00221FB6">
            <w:pPr>
              <w:jc w:val="right"/>
              <w:rPr>
                <w:color w:val="000000"/>
                <w:sz w:val="16"/>
                <w:szCs w:val="16"/>
              </w:rPr>
            </w:pPr>
            <w:r>
              <w:rPr>
                <w:color w:val="000000"/>
                <w:sz w:val="16"/>
                <w:szCs w:val="16"/>
              </w:rPr>
              <w:t>5.4</w:t>
            </w:r>
          </w:p>
        </w:tc>
        <w:tc>
          <w:tcPr>
            <w:tcW w:w="0" w:type="auto"/>
            <w:tcBorders>
              <w:right w:val="single" w:sz="4" w:space="0" w:color="auto"/>
            </w:tcBorders>
            <w:vAlign w:val="center"/>
          </w:tcPr>
          <w:p w14:paraId="03AA84BB" w14:textId="77777777" w:rsidR="00221FB6" w:rsidRDefault="00221FB6" w:rsidP="00221FB6">
            <w:pPr>
              <w:jc w:val="right"/>
              <w:rPr>
                <w:color w:val="000000"/>
                <w:sz w:val="16"/>
                <w:szCs w:val="16"/>
              </w:rPr>
            </w:pPr>
            <w:r>
              <w:rPr>
                <w:color w:val="000000"/>
                <w:sz w:val="16"/>
                <w:szCs w:val="16"/>
              </w:rPr>
              <w:t>(2.3, 8.5)</w:t>
            </w:r>
          </w:p>
        </w:tc>
        <w:tc>
          <w:tcPr>
            <w:tcW w:w="0" w:type="auto"/>
            <w:tcBorders>
              <w:left w:val="single" w:sz="4" w:space="0" w:color="auto"/>
            </w:tcBorders>
            <w:vAlign w:val="center"/>
          </w:tcPr>
          <w:p w14:paraId="3FB2B521" w14:textId="77777777" w:rsidR="00221FB6" w:rsidRDefault="00221FB6" w:rsidP="00221FB6">
            <w:pPr>
              <w:jc w:val="right"/>
              <w:rPr>
                <w:color w:val="000000"/>
                <w:sz w:val="16"/>
                <w:szCs w:val="16"/>
              </w:rPr>
            </w:pPr>
            <w:r>
              <w:rPr>
                <w:color w:val="000000"/>
                <w:sz w:val="16"/>
                <w:szCs w:val="16"/>
              </w:rPr>
              <w:t>3</w:t>
            </w:r>
          </w:p>
        </w:tc>
        <w:tc>
          <w:tcPr>
            <w:tcW w:w="0" w:type="auto"/>
            <w:vAlign w:val="center"/>
          </w:tcPr>
          <w:p w14:paraId="45DB797F" w14:textId="77777777" w:rsidR="00221FB6" w:rsidRDefault="00221FB6" w:rsidP="00221FB6">
            <w:pPr>
              <w:jc w:val="right"/>
              <w:rPr>
                <w:color w:val="000000"/>
                <w:sz w:val="16"/>
                <w:szCs w:val="16"/>
              </w:rPr>
            </w:pPr>
            <w:r>
              <w:rPr>
                <w:color w:val="000000"/>
                <w:sz w:val="16"/>
                <w:szCs w:val="16"/>
              </w:rPr>
              <w:t>4.4</w:t>
            </w:r>
          </w:p>
        </w:tc>
        <w:tc>
          <w:tcPr>
            <w:tcW w:w="0" w:type="auto"/>
            <w:tcBorders>
              <w:right w:val="single" w:sz="4" w:space="0" w:color="auto"/>
            </w:tcBorders>
            <w:vAlign w:val="center"/>
          </w:tcPr>
          <w:p w14:paraId="0FD0D40F" w14:textId="77777777" w:rsidR="00221FB6" w:rsidRDefault="00221FB6" w:rsidP="00221FB6">
            <w:pPr>
              <w:jc w:val="right"/>
              <w:rPr>
                <w:color w:val="000000"/>
                <w:sz w:val="16"/>
                <w:szCs w:val="16"/>
              </w:rPr>
            </w:pPr>
            <w:r>
              <w:rPr>
                <w:color w:val="000000"/>
                <w:sz w:val="16"/>
                <w:szCs w:val="16"/>
              </w:rPr>
              <w:t>(1.6, 7.3)</w:t>
            </w:r>
          </w:p>
        </w:tc>
        <w:tc>
          <w:tcPr>
            <w:tcW w:w="0" w:type="auto"/>
            <w:tcBorders>
              <w:left w:val="single" w:sz="4" w:space="0" w:color="auto"/>
            </w:tcBorders>
            <w:vAlign w:val="center"/>
          </w:tcPr>
          <w:p w14:paraId="5963EB89" w14:textId="77777777" w:rsidR="00221FB6" w:rsidRDefault="00221FB6" w:rsidP="00221FB6">
            <w:pPr>
              <w:jc w:val="right"/>
              <w:rPr>
                <w:color w:val="000000"/>
                <w:sz w:val="16"/>
                <w:szCs w:val="16"/>
              </w:rPr>
            </w:pPr>
            <w:r>
              <w:rPr>
                <w:color w:val="000000"/>
                <w:sz w:val="16"/>
                <w:szCs w:val="16"/>
              </w:rPr>
              <w:t>4</w:t>
            </w:r>
          </w:p>
        </w:tc>
        <w:tc>
          <w:tcPr>
            <w:tcW w:w="0" w:type="auto"/>
            <w:vAlign w:val="center"/>
          </w:tcPr>
          <w:p w14:paraId="694FC76D" w14:textId="77777777" w:rsidR="00221FB6" w:rsidRDefault="00221FB6" w:rsidP="00221FB6">
            <w:pPr>
              <w:jc w:val="right"/>
              <w:rPr>
                <w:color w:val="000000"/>
                <w:sz w:val="16"/>
                <w:szCs w:val="16"/>
              </w:rPr>
            </w:pPr>
            <w:r>
              <w:rPr>
                <w:color w:val="000000"/>
                <w:sz w:val="16"/>
                <w:szCs w:val="16"/>
              </w:rPr>
              <w:t>6.2</w:t>
            </w:r>
          </w:p>
        </w:tc>
        <w:tc>
          <w:tcPr>
            <w:tcW w:w="0" w:type="auto"/>
            <w:tcBorders>
              <w:right w:val="single" w:sz="4" w:space="0" w:color="auto"/>
            </w:tcBorders>
            <w:vAlign w:val="center"/>
          </w:tcPr>
          <w:p w14:paraId="34A28693" w14:textId="77777777" w:rsidR="00221FB6" w:rsidRDefault="00221FB6" w:rsidP="00221FB6">
            <w:pPr>
              <w:jc w:val="right"/>
              <w:rPr>
                <w:color w:val="000000"/>
                <w:sz w:val="16"/>
                <w:szCs w:val="16"/>
              </w:rPr>
            </w:pPr>
            <w:r>
              <w:rPr>
                <w:color w:val="000000"/>
                <w:sz w:val="16"/>
                <w:szCs w:val="16"/>
              </w:rPr>
              <w:t>(0.0, 12.4)</w:t>
            </w:r>
          </w:p>
        </w:tc>
        <w:tc>
          <w:tcPr>
            <w:tcW w:w="0" w:type="auto"/>
            <w:tcBorders>
              <w:left w:val="single" w:sz="4" w:space="0" w:color="auto"/>
            </w:tcBorders>
            <w:vAlign w:val="center"/>
          </w:tcPr>
          <w:p w14:paraId="5A119768" w14:textId="77777777" w:rsidR="00221FB6" w:rsidRDefault="00221FB6" w:rsidP="00221FB6">
            <w:pPr>
              <w:jc w:val="right"/>
              <w:rPr>
                <w:color w:val="000000"/>
                <w:sz w:val="16"/>
                <w:szCs w:val="16"/>
              </w:rPr>
            </w:pPr>
            <w:r>
              <w:rPr>
                <w:color w:val="000000"/>
                <w:sz w:val="16"/>
                <w:szCs w:val="16"/>
              </w:rPr>
              <w:t>3</w:t>
            </w:r>
          </w:p>
        </w:tc>
        <w:tc>
          <w:tcPr>
            <w:tcW w:w="0" w:type="auto"/>
            <w:vAlign w:val="center"/>
          </w:tcPr>
          <w:p w14:paraId="6FEA6119" w14:textId="77777777" w:rsidR="00221FB6" w:rsidRDefault="00221FB6" w:rsidP="00221FB6">
            <w:pPr>
              <w:jc w:val="right"/>
              <w:rPr>
                <w:color w:val="000000"/>
                <w:sz w:val="16"/>
                <w:szCs w:val="16"/>
              </w:rPr>
            </w:pPr>
            <w:r>
              <w:rPr>
                <w:color w:val="000000"/>
                <w:sz w:val="16"/>
                <w:szCs w:val="16"/>
              </w:rPr>
              <w:t>6.2</w:t>
            </w:r>
          </w:p>
        </w:tc>
        <w:tc>
          <w:tcPr>
            <w:tcW w:w="0" w:type="auto"/>
            <w:vAlign w:val="center"/>
          </w:tcPr>
          <w:p w14:paraId="0D9BE0A4" w14:textId="77777777" w:rsidR="00221FB6" w:rsidRDefault="00221FB6" w:rsidP="00221FB6">
            <w:pPr>
              <w:jc w:val="right"/>
              <w:rPr>
                <w:color w:val="000000"/>
                <w:sz w:val="16"/>
                <w:szCs w:val="16"/>
              </w:rPr>
            </w:pPr>
            <w:r>
              <w:rPr>
                <w:color w:val="000000"/>
                <w:sz w:val="16"/>
                <w:szCs w:val="16"/>
              </w:rPr>
              <w:t>(0.7, 11.6)</w:t>
            </w:r>
          </w:p>
        </w:tc>
      </w:tr>
      <w:tr w:rsidR="00221FB6" w:rsidRPr="007B4EF8" w14:paraId="27F3A9AE" w14:textId="77777777" w:rsidTr="005E3FD2">
        <w:trPr>
          <w:jc w:val="center"/>
        </w:trPr>
        <w:tc>
          <w:tcPr>
            <w:tcW w:w="0" w:type="auto"/>
          </w:tcPr>
          <w:p w14:paraId="628DA546" w14:textId="77777777" w:rsidR="00221FB6" w:rsidRDefault="00221FB6" w:rsidP="00221FB6">
            <w:pPr>
              <w:spacing w:before="20" w:after="20"/>
              <w:ind w:left="34"/>
              <w:rPr>
                <w:rFonts w:eastAsiaTheme="minorEastAsia"/>
                <w:sz w:val="16"/>
                <w:szCs w:val="16"/>
                <w:lang w:eastAsia="en-US"/>
              </w:rPr>
            </w:pPr>
          </w:p>
        </w:tc>
        <w:tc>
          <w:tcPr>
            <w:tcW w:w="0" w:type="auto"/>
          </w:tcPr>
          <w:p w14:paraId="6F0A69FC" w14:textId="77777777" w:rsidR="00221FB6" w:rsidRPr="001B7431" w:rsidRDefault="00221FB6" w:rsidP="00221FB6">
            <w:pPr>
              <w:spacing w:before="20" w:after="20"/>
              <w:ind w:left="34"/>
              <w:rPr>
                <w:rFonts w:eastAsiaTheme="minorEastAsia"/>
                <w:sz w:val="16"/>
                <w:szCs w:val="16"/>
                <w:lang w:eastAsia="en-US"/>
              </w:rPr>
            </w:pPr>
            <w:r>
              <w:rPr>
                <w:rFonts w:eastAsiaTheme="minorEastAsia"/>
                <w:sz w:val="16"/>
                <w:szCs w:val="16"/>
                <w:lang w:eastAsia="en-US"/>
              </w:rPr>
              <w:t>No gambling in past year</w:t>
            </w:r>
          </w:p>
        </w:tc>
        <w:tc>
          <w:tcPr>
            <w:tcW w:w="0" w:type="auto"/>
            <w:vAlign w:val="center"/>
          </w:tcPr>
          <w:p w14:paraId="7D90D68A" w14:textId="77777777" w:rsidR="00221FB6" w:rsidRDefault="00221FB6" w:rsidP="00221FB6">
            <w:pPr>
              <w:jc w:val="right"/>
              <w:rPr>
                <w:color w:val="000000"/>
                <w:sz w:val="16"/>
                <w:szCs w:val="16"/>
              </w:rPr>
            </w:pPr>
            <w:r>
              <w:rPr>
                <w:color w:val="000000"/>
                <w:sz w:val="16"/>
                <w:szCs w:val="16"/>
              </w:rPr>
              <w:t>42</w:t>
            </w:r>
          </w:p>
        </w:tc>
        <w:tc>
          <w:tcPr>
            <w:tcW w:w="0" w:type="auto"/>
            <w:vAlign w:val="center"/>
          </w:tcPr>
          <w:p w14:paraId="38835ED9" w14:textId="77777777" w:rsidR="00221FB6" w:rsidRDefault="00221FB6" w:rsidP="00221FB6">
            <w:pPr>
              <w:jc w:val="right"/>
              <w:rPr>
                <w:color w:val="000000"/>
                <w:sz w:val="16"/>
                <w:szCs w:val="16"/>
              </w:rPr>
            </w:pPr>
            <w:r>
              <w:rPr>
                <w:color w:val="000000"/>
                <w:sz w:val="16"/>
                <w:szCs w:val="16"/>
              </w:rPr>
              <w:t>20.9</w:t>
            </w:r>
          </w:p>
        </w:tc>
        <w:tc>
          <w:tcPr>
            <w:tcW w:w="0" w:type="auto"/>
            <w:tcBorders>
              <w:right w:val="single" w:sz="4" w:space="0" w:color="auto"/>
            </w:tcBorders>
            <w:vAlign w:val="center"/>
          </w:tcPr>
          <w:p w14:paraId="22DA8845" w14:textId="77777777" w:rsidR="00221FB6" w:rsidRDefault="00221FB6" w:rsidP="00221FB6">
            <w:pPr>
              <w:jc w:val="right"/>
              <w:rPr>
                <w:color w:val="000000"/>
                <w:sz w:val="16"/>
                <w:szCs w:val="16"/>
              </w:rPr>
            </w:pPr>
            <w:r>
              <w:rPr>
                <w:color w:val="000000"/>
                <w:sz w:val="16"/>
                <w:szCs w:val="16"/>
              </w:rPr>
              <w:t>(14.2, 27.7)</w:t>
            </w:r>
          </w:p>
        </w:tc>
        <w:tc>
          <w:tcPr>
            <w:tcW w:w="0" w:type="auto"/>
            <w:tcBorders>
              <w:left w:val="single" w:sz="4" w:space="0" w:color="auto"/>
            </w:tcBorders>
            <w:vAlign w:val="center"/>
          </w:tcPr>
          <w:p w14:paraId="34AA85F3" w14:textId="77777777" w:rsidR="00221FB6" w:rsidRDefault="00221FB6" w:rsidP="00221FB6">
            <w:pPr>
              <w:jc w:val="right"/>
              <w:rPr>
                <w:color w:val="000000"/>
                <w:sz w:val="16"/>
                <w:szCs w:val="16"/>
              </w:rPr>
            </w:pPr>
            <w:r>
              <w:rPr>
                <w:color w:val="000000"/>
                <w:sz w:val="16"/>
                <w:szCs w:val="16"/>
              </w:rPr>
              <w:t>21</w:t>
            </w:r>
          </w:p>
        </w:tc>
        <w:tc>
          <w:tcPr>
            <w:tcW w:w="0" w:type="auto"/>
            <w:vAlign w:val="center"/>
          </w:tcPr>
          <w:p w14:paraId="0CE18EAD" w14:textId="77777777" w:rsidR="00221FB6" w:rsidRDefault="00221FB6" w:rsidP="00221FB6">
            <w:pPr>
              <w:jc w:val="right"/>
              <w:rPr>
                <w:color w:val="000000"/>
                <w:sz w:val="16"/>
                <w:szCs w:val="16"/>
              </w:rPr>
            </w:pPr>
            <w:r>
              <w:rPr>
                <w:color w:val="000000"/>
                <w:sz w:val="16"/>
                <w:szCs w:val="16"/>
              </w:rPr>
              <w:t>29.0</w:t>
            </w:r>
          </w:p>
        </w:tc>
        <w:tc>
          <w:tcPr>
            <w:tcW w:w="0" w:type="auto"/>
            <w:tcBorders>
              <w:right w:val="single" w:sz="4" w:space="0" w:color="auto"/>
            </w:tcBorders>
            <w:vAlign w:val="center"/>
          </w:tcPr>
          <w:p w14:paraId="442B3CB1" w14:textId="77777777" w:rsidR="00221FB6" w:rsidRDefault="00221FB6" w:rsidP="00221FB6">
            <w:pPr>
              <w:jc w:val="right"/>
              <w:rPr>
                <w:color w:val="000000"/>
                <w:sz w:val="16"/>
                <w:szCs w:val="16"/>
              </w:rPr>
            </w:pPr>
            <w:r>
              <w:rPr>
                <w:color w:val="000000"/>
                <w:sz w:val="16"/>
                <w:szCs w:val="16"/>
              </w:rPr>
              <w:t>(18.1, 39.8)</w:t>
            </w:r>
          </w:p>
        </w:tc>
        <w:tc>
          <w:tcPr>
            <w:tcW w:w="0" w:type="auto"/>
            <w:tcBorders>
              <w:left w:val="single" w:sz="4" w:space="0" w:color="auto"/>
            </w:tcBorders>
            <w:vAlign w:val="center"/>
          </w:tcPr>
          <w:p w14:paraId="49C434D5" w14:textId="77777777" w:rsidR="00221FB6" w:rsidRDefault="00221FB6" w:rsidP="00221FB6">
            <w:pPr>
              <w:jc w:val="right"/>
              <w:rPr>
                <w:color w:val="000000"/>
                <w:sz w:val="16"/>
                <w:szCs w:val="16"/>
              </w:rPr>
            </w:pPr>
            <w:r>
              <w:rPr>
                <w:color w:val="000000"/>
                <w:sz w:val="16"/>
                <w:szCs w:val="16"/>
              </w:rPr>
              <w:t>18</w:t>
            </w:r>
          </w:p>
        </w:tc>
        <w:tc>
          <w:tcPr>
            <w:tcW w:w="0" w:type="auto"/>
            <w:vAlign w:val="center"/>
          </w:tcPr>
          <w:p w14:paraId="072BA3C1" w14:textId="77777777" w:rsidR="00221FB6" w:rsidRDefault="00221FB6" w:rsidP="00221FB6">
            <w:pPr>
              <w:jc w:val="right"/>
              <w:rPr>
                <w:color w:val="000000"/>
                <w:sz w:val="16"/>
                <w:szCs w:val="16"/>
              </w:rPr>
            </w:pPr>
            <w:r>
              <w:rPr>
                <w:color w:val="000000"/>
                <w:sz w:val="16"/>
                <w:szCs w:val="16"/>
              </w:rPr>
              <w:t>25.2</w:t>
            </w:r>
          </w:p>
        </w:tc>
        <w:tc>
          <w:tcPr>
            <w:tcW w:w="0" w:type="auto"/>
            <w:tcBorders>
              <w:right w:val="single" w:sz="4" w:space="0" w:color="auto"/>
            </w:tcBorders>
            <w:vAlign w:val="center"/>
          </w:tcPr>
          <w:p w14:paraId="3035C475" w14:textId="77777777" w:rsidR="00221FB6" w:rsidRDefault="00221FB6" w:rsidP="00221FB6">
            <w:pPr>
              <w:jc w:val="right"/>
              <w:rPr>
                <w:color w:val="000000"/>
                <w:sz w:val="16"/>
                <w:szCs w:val="16"/>
              </w:rPr>
            </w:pPr>
            <w:r>
              <w:rPr>
                <w:color w:val="000000"/>
                <w:sz w:val="16"/>
                <w:szCs w:val="16"/>
              </w:rPr>
              <w:t>(12.3, 38.1)</w:t>
            </w:r>
          </w:p>
        </w:tc>
        <w:tc>
          <w:tcPr>
            <w:tcW w:w="0" w:type="auto"/>
            <w:tcBorders>
              <w:left w:val="single" w:sz="4" w:space="0" w:color="auto"/>
            </w:tcBorders>
            <w:vAlign w:val="center"/>
          </w:tcPr>
          <w:p w14:paraId="19BE8FD4" w14:textId="77777777" w:rsidR="00221FB6" w:rsidRDefault="00221FB6" w:rsidP="00221FB6">
            <w:pPr>
              <w:jc w:val="right"/>
              <w:rPr>
                <w:color w:val="000000"/>
                <w:sz w:val="16"/>
                <w:szCs w:val="16"/>
              </w:rPr>
            </w:pPr>
            <w:r>
              <w:rPr>
                <w:color w:val="000000"/>
                <w:sz w:val="16"/>
                <w:szCs w:val="16"/>
              </w:rPr>
              <w:t>18</w:t>
            </w:r>
          </w:p>
        </w:tc>
        <w:tc>
          <w:tcPr>
            <w:tcW w:w="0" w:type="auto"/>
            <w:vAlign w:val="center"/>
          </w:tcPr>
          <w:p w14:paraId="3EA06AE4" w14:textId="77777777" w:rsidR="00221FB6" w:rsidRDefault="00221FB6" w:rsidP="00221FB6">
            <w:pPr>
              <w:jc w:val="right"/>
              <w:rPr>
                <w:color w:val="000000"/>
                <w:sz w:val="16"/>
                <w:szCs w:val="16"/>
              </w:rPr>
            </w:pPr>
            <w:r>
              <w:rPr>
                <w:color w:val="000000"/>
                <w:sz w:val="16"/>
                <w:szCs w:val="16"/>
              </w:rPr>
              <w:t>33.0</w:t>
            </w:r>
          </w:p>
        </w:tc>
        <w:tc>
          <w:tcPr>
            <w:tcW w:w="0" w:type="auto"/>
            <w:vAlign w:val="center"/>
          </w:tcPr>
          <w:p w14:paraId="2B31937B" w14:textId="77777777" w:rsidR="00221FB6" w:rsidRDefault="00221FB6" w:rsidP="00221FB6">
            <w:pPr>
              <w:jc w:val="right"/>
              <w:rPr>
                <w:color w:val="000000"/>
                <w:sz w:val="16"/>
                <w:szCs w:val="16"/>
              </w:rPr>
            </w:pPr>
            <w:r>
              <w:rPr>
                <w:color w:val="000000"/>
                <w:sz w:val="16"/>
                <w:szCs w:val="16"/>
              </w:rPr>
              <w:t>(18.2, 47.8)</w:t>
            </w:r>
          </w:p>
        </w:tc>
      </w:tr>
      <w:tr w:rsidR="00221FB6" w:rsidRPr="007B4EF8" w14:paraId="5111C53D" w14:textId="77777777" w:rsidTr="005E3FD2">
        <w:trPr>
          <w:jc w:val="center"/>
        </w:trPr>
        <w:tc>
          <w:tcPr>
            <w:tcW w:w="0" w:type="auto"/>
          </w:tcPr>
          <w:p w14:paraId="49C14370" w14:textId="77777777" w:rsidR="00221FB6" w:rsidRDefault="00221FB6" w:rsidP="00221FB6">
            <w:pPr>
              <w:keepNext/>
              <w:spacing w:before="20" w:after="20"/>
              <w:ind w:left="34"/>
              <w:rPr>
                <w:rFonts w:eastAsiaTheme="minorEastAsia"/>
                <w:sz w:val="16"/>
                <w:szCs w:val="16"/>
                <w:lang w:eastAsia="en-US"/>
              </w:rPr>
            </w:pPr>
            <w:r>
              <w:rPr>
                <w:rFonts w:eastAsiaTheme="minorEastAsia"/>
                <w:sz w:val="16"/>
                <w:szCs w:val="16"/>
                <w:lang w:eastAsia="en-US"/>
              </w:rPr>
              <w:t>5+</w:t>
            </w:r>
          </w:p>
        </w:tc>
        <w:tc>
          <w:tcPr>
            <w:tcW w:w="0" w:type="auto"/>
          </w:tcPr>
          <w:p w14:paraId="1645079E" w14:textId="77777777" w:rsidR="00221FB6" w:rsidRPr="001B7431" w:rsidRDefault="00221FB6" w:rsidP="00221FB6">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0" w:type="auto"/>
            <w:vAlign w:val="center"/>
          </w:tcPr>
          <w:p w14:paraId="7141E966" w14:textId="77777777" w:rsidR="00221FB6" w:rsidRDefault="00221FB6" w:rsidP="00221FB6">
            <w:pPr>
              <w:keepNext/>
              <w:jc w:val="right"/>
              <w:rPr>
                <w:color w:val="000000"/>
                <w:sz w:val="16"/>
                <w:szCs w:val="16"/>
              </w:rPr>
            </w:pPr>
            <w:r>
              <w:rPr>
                <w:color w:val="000000"/>
                <w:sz w:val="16"/>
                <w:szCs w:val="16"/>
              </w:rPr>
              <w:t>126</w:t>
            </w:r>
          </w:p>
        </w:tc>
        <w:tc>
          <w:tcPr>
            <w:tcW w:w="0" w:type="auto"/>
            <w:vAlign w:val="center"/>
          </w:tcPr>
          <w:p w14:paraId="08A3E651" w14:textId="77777777" w:rsidR="00221FB6" w:rsidRDefault="00221FB6" w:rsidP="00221FB6">
            <w:pPr>
              <w:keepNext/>
              <w:jc w:val="right"/>
              <w:rPr>
                <w:color w:val="000000"/>
                <w:sz w:val="16"/>
                <w:szCs w:val="16"/>
              </w:rPr>
            </w:pPr>
            <w:r>
              <w:rPr>
                <w:color w:val="000000"/>
                <w:sz w:val="16"/>
                <w:szCs w:val="16"/>
              </w:rPr>
              <w:t>61.4</w:t>
            </w:r>
          </w:p>
        </w:tc>
        <w:tc>
          <w:tcPr>
            <w:tcW w:w="0" w:type="auto"/>
            <w:tcBorders>
              <w:right w:val="single" w:sz="4" w:space="0" w:color="auto"/>
            </w:tcBorders>
            <w:vAlign w:val="center"/>
          </w:tcPr>
          <w:p w14:paraId="12C7796F" w14:textId="77777777" w:rsidR="00221FB6" w:rsidRDefault="00221FB6" w:rsidP="00221FB6">
            <w:pPr>
              <w:keepNext/>
              <w:jc w:val="right"/>
              <w:rPr>
                <w:color w:val="000000"/>
                <w:sz w:val="16"/>
                <w:szCs w:val="16"/>
              </w:rPr>
            </w:pPr>
            <w:r>
              <w:rPr>
                <w:color w:val="000000"/>
                <w:sz w:val="16"/>
                <w:szCs w:val="16"/>
              </w:rPr>
              <w:t>(54.6, 68.2)</w:t>
            </w:r>
          </w:p>
        </w:tc>
        <w:tc>
          <w:tcPr>
            <w:tcW w:w="0" w:type="auto"/>
            <w:tcBorders>
              <w:left w:val="single" w:sz="4" w:space="0" w:color="auto"/>
            </w:tcBorders>
            <w:vAlign w:val="center"/>
          </w:tcPr>
          <w:p w14:paraId="098A6028" w14:textId="77777777" w:rsidR="00221FB6" w:rsidRDefault="00221FB6" w:rsidP="00221FB6">
            <w:pPr>
              <w:keepNext/>
              <w:jc w:val="right"/>
              <w:rPr>
                <w:color w:val="000000"/>
                <w:sz w:val="16"/>
                <w:szCs w:val="16"/>
              </w:rPr>
            </w:pPr>
            <w:r>
              <w:rPr>
                <w:color w:val="000000"/>
                <w:sz w:val="16"/>
                <w:szCs w:val="16"/>
              </w:rPr>
              <w:t>71</w:t>
            </w:r>
          </w:p>
        </w:tc>
        <w:tc>
          <w:tcPr>
            <w:tcW w:w="0" w:type="auto"/>
            <w:vAlign w:val="center"/>
          </w:tcPr>
          <w:p w14:paraId="1C97A74A" w14:textId="77777777" w:rsidR="00221FB6" w:rsidRDefault="00221FB6" w:rsidP="00221FB6">
            <w:pPr>
              <w:keepNext/>
              <w:jc w:val="right"/>
              <w:rPr>
                <w:color w:val="000000"/>
                <w:sz w:val="16"/>
                <w:szCs w:val="16"/>
              </w:rPr>
            </w:pPr>
            <w:r>
              <w:rPr>
                <w:color w:val="000000"/>
                <w:sz w:val="16"/>
                <w:szCs w:val="16"/>
              </w:rPr>
              <w:t>58.0</w:t>
            </w:r>
          </w:p>
        </w:tc>
        <w:tc>
          <w:tcPr>
            <w:tcW w:w="0" w:type="auto"/>
            <w:tcBorders>
              <w:right w:val="single" w:sz="4" w:space="0" w:color="auto"/>
            </w:tcBorders>
            <w:vAlign w:val="center"/>
          </w:tcPr>
          <w:p w14:paraId="00F983AD" w14:textId="77777777" w:rsidR="00221FB6" w:rsidRDefault="00221FB6" w:rsidP="00221FB6">
            <w:pPr>
              <w:keepNext/>
              <w:jc w:val="right"/>
              <w:rPr>
                <w:color w:val="000000"/>
                <w:sz w:val="16"/>
                <w:szCs w:val="16"/>
              </w:rPr>
            </w:pPr>
            <w:r>
              <w:rPr>
                <w:color w:val="000000"/>
                <w:sz w:val="16"/>
                <w:szCs w:val="16"/>
              </w:rPr>
              <w:t>(46.9, 69.1)</w:t>
            </w:r>
          </w:p>
        </w:tc>
        <w:tc>
          <w:tcPr>
            <w:tcW w:w="0" w:type="auto"/>
            <w:tcBorders>
              <w:left w:val="single" w:sz="4" w:space="0" w:color="auto"/>
            </w:tcBorders>
            <w:vAlign w:val="center"/>
          </w:tcPr>
          <w:p w14:paraId="7F3D2364" w14:textId="77777777" w:rsidR="00221FB6" w:rsidRDefault="00221FB6" w:rsidP="00221FB6">
            <w:pPr>
              <w:keepNext/>
              <w:jc w:val="right"/>
              <w:rPr>
                <w:color w:val="000000"/>
                <w:sz w:val="16"/>
                <w:szCs w:val="16"/>
              </w:rPr>
            </w:pPr>
            <w:r>
              <w:rPr>
                <w:color w:val="000000"/>
                <w:sz w:val="16"/>
                <w:szCs w:val="16"/>
              </w:rPr>
              <w:t>33</w:t>
            </w:r>
          </w:p>
        </w:tc>
        <w:tc>
          <w:tcPr>
            <w:tcW w:w="0" w:type="auto"/>
            <w:vAlign w:val="center"/>
          </w:tcPr>
          <w:p w14:paraId="67839F39" w14:textId="77777777" w:rsidR="00221FB6" w:rsidRDefault="00221FB6" w:rsidP="00221FB6">
            <w:pPr>
              <w:keepNext/>
              <w:jc w:val="right"/>
              <w:rPr>
                <w:color w:val="000000"/>
                <w:sz w:val="16"/>
                <w:szCs w:val="16"/>
              </w:rPr>
            </w:pPr>
            <w:r>
              <w:rPr>
                <w:color w:val="000000"/>
                <w:sz w:val="16"/>
                <w:szCs w:val="16"/>
              </w:rPr>
              <w:t>42.0</w:t>
            </w:r>
          </w:p>
        </w:tc>
        <w:tc>
          <w:tcPr>
            <w:tcW w:w="0" w:type="auto"/>
            <w:tcBorders>
              <w:right w:val="single" w:sz="4" w:space="0" w:color="auto"/>
            </w:tcBorders>
            <w:vAlign w:val="center"/>
          </w:tcPr>
          <w:p w14:paraId="3F8048AA" w14:textId="77777777" w:rsidR="00221FB6" w:rsidRDefault="00221FB6" w:rsidP="00221FB6">
            <w:pPr>
              <w:keepNext/>
              <w:jc w:val="right"/>
              <w:rPr>
                <w:color w:val="000000"/>
                <w:sz w:val="16"/>
                <w:szCs w:val="16"/>
              </w:rPr>
            </w:pPr>
            <w:r>
              <w:rPr>
                <w:color w:val="000000"/>
                <w:sz w:val="16"/>
                <w:szCs w:val="16"/>
              </w:rPr>
              <w:t>(31.5, 52.4)</w:t>
            </w:r>
          </w:p>
        </w:tc>
        <w:tc>
          <w:tcPr>
            <w:tcW w:w="0" w:type="auto"/>
            <w:tcBorders>
              <w:left w:val="single" w:sz="4" w:space="0" w:color="auto"/>
            </w:tcBorders>
            <w:vAlign w:val="center"/>
          </w:tcPr>
          <w:p w14:paraId="37707E5F" w14:textId="77777777" w:rsidR="00221FB6" w:rsidRDefault="00221FB6" w:rsidP="00221FB6">
            <w:pPr>
              <w:keepNext/>
              <w:jc w:val="right"/>
              <w:rPr>
                <w:color w:val="000000"/>
                <w:sz w:val="16"/>
                <w:szCs w:val="16"/>
              </w:rPr>
            </w:pPr>
            <w:r>
              <w:rPr>
                <w:color w:val="000000"/>
                <w:sz w:val="16"/>
                <w:szCs w:val="16"/>
              </w:rPr>
              <w:t>25</w:t>
            </w:r>
          </w:p>
        </w:tc>
        <w:tc>
          <w:tcPr>
            <w:tcW w:w="0" w:type="auto"/>
            <w:vAlign w:val="center"/>
          </w:tcPr>
          <w:p w14:paraId="71ACC977" w14:textId="77777777" w:rsidR="00221FB6" w:rsidRDefault="00221FB6" w:rsidP="00221FB6">
            <w:pPr>
              <w:keepNext/>
              <w:jc w:val="right"/>
              <w:rPr>
                <w:color w:val="000000"/>
                <w:sz w:val="16"/>
                <w:szCs w:val="16"/>
              </w:rPr>
            </w:pPr>
            <w:r>
              <w:rPr>
                <w:color w:val="000000"/>
                <w:sz w:val="16"/>
                <w:szCs w:val="16"/>
              </w:rPr>
              <w:t>41.9</w:t>
            </w:r>
          </w:p>
        </w:tc>
        <w:tc>
          <w:tcPr>
            <w:tcW w:w="0" w:type="auto"/>
            <w:vAlign w:val="center"/>
          </w:tcPr>
          <w:p w14:paraId="0CB9DAF6" w14:textId="77777777" w:rsidR="00221FB6" w:rsidRDefault="00221FB6" w:rsidP="00221FB6">
            <w:pPr>
              <w:keepNext/>
              <w:jc w:val="right"/>
              <w:rPr>
                <w:color w:val="000000"/>
                <w:sz w:val="16"/>
                <w:szCs w:val="16"/>
              </w:rPr>
            </w:pPr>
            <w:r>
              <w:rPr>
                <w:color w:val="000000"/>
                <w:sz w:val="16"/>
                <w:szCs w:val="16"/>
              </w:rPr>
              <w:t>(28.8, 55.0)</w:t>
            </w:r>
          </w:p>
        </w:tc>
      </w:tr>
      <w:tr w:rsidR="00221FB6" w:rsidRPr="007B4EF8" w14:paraId="11CE3F8D" w14:textId="77777777" w:rsidTr="00604260">
        <w:trPr>
          <w:jc w:val="center"/>
        </w:trPr>
        <w:tc>
          <w:tcPr>
            <w:tcW w:w="0" w:type="auto"/>
          </w:tcPr>
          <w:p w14:paraId="31C8A601" w14:textId="77777777" w:rsidR="00221FB6" w:rsidRDefault="00221FB6" w:rsidP="00221FB6">
            <w:pPr>
              <w:keepNext/>
              <w:spacing w:before="20" w:after="20"/>
              <w:ind w:left="34"/>
              <w:rPr>
                <w:rFonts w:eastAsiaTheme="minorEastAsia"/>
                <w:sz w:val="16"/>
                <w:szCs w:val="16"/>
                <w:lang w:eastAsia="en-US"/>
              </w:rPr>
            </w:pPr>
          </w:p>
        </w:tc>
        <w:tc>
          <w:tcPr>
            <w:tcW w:w="0" w:type="auto"/>
          </w:tcPr>
          <w:p w14:paraId="79953CF7" w14:textId="77777777" w:rsidR="00221FB6" w:rsidRPr="001B7431" w:rsidRDefault="00221FB6" w:rsidP="00221FB6">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0" w:type="auto"/>
            <w:vAlign w:val="center"/>
          </w:tcPr>
          <w:p w14:paraId="6D50D04E" w14:textId="77777777" w:rsidR="00221FB6" w:rsidRDefault="00221FB6" w:rsidP="00221FB6">
            <w:pPr>
              <w:keepNext/>
              <w:jc w:val="right"/>
              <w:rPr>
                <w:color w:val="000000"/>
                <w:sz w:val="16"/>
                <w:szCs w:val="16"/>
              </w:rPr>
            </w:pPr>
            <w:r>
              <w:rPr>
                <w:color w:val="000000"/>
                <w:sz w:val="16"/>
                <w:szCs w:val="16"/>
              </w:rPr>
              <w:t>11</w:t>
            </w:r>
          </w:p>
        </w:tc>
        <w:tc>
          <w:tcPr>
            <w:tcW w:w="0" w:type="auto"/>
            <w:vAlign w:val="center"/>
          </w:tcPr>
          <w:p w14:paraId="505434D9" w14:textId="77777777" w:rsidR="00221FB6" w:rsidRDefault="00221FB6" w:rsidP="00221FB6">
            <w:pPr>
              <w:keepNext/>
              <w:jc w:val="right"/>
              <w:rPr>
                <w:color w:val="000000"/>
                <w:sz w:val="16"/>
                <w:szCs w:val="16"/>
              </w:rPr>
            </w:pPr>
            <w:r>
              <w:rPr>
                <w:color w:val="000000"/>
                <w:sz w:val="16"/>
                <w:szCs w:val="16"/>
              </w:rPr>
              <w:t>5.6</w:t>
            </w:r>
          </w:p>
        </w:tc>
        <w:tc>
          <w:tcPr>
            <w:tcW w:w="0" w:type="auto"/>
            <w:tcBorders>
              <w:right w:val="single" w:sz="4" w:space="0" w:color="auto"/>
            </w:tcBorders>
            <w:vAlign w:val="center"/>
          </w:tcPr>
          <w:p w14:paraId="497C540E" w14:textId="77777777" w:rsidR="00221FB6" w:rsidRDefault="00221FB6" w:rsidP="00221FB6">
            <w:pPr>
              <w:keepNext/>
              <w:jc w:val="right"/>
              <w:rPr>
                <w:color w:val="000000"/>
                <w:sz w:val="16"/>
                <w:szCs w:val="16"/>
              </w:rPr>
            </w:pPr>
            <w:r>
              <w:rPr>
                <w:color w:val="000000"/>
                <w:sz w:val="16"/>
                <w:szCs w:val="16"/>
              </w:rPr>
              <w:t>(2.4, 8.7)</w:t>
            </w:r>
          </w:p>
        </w:tc>
        <w:tc>
          <w:tcPr>
            <w:tcW w:w="0" w:type="auto"/>
            <w:tcBorders>
              <w:left w:val="single" w:sz="4" w:space="0" w:color="auto"/>
            </w:tcBorders>
            <w:vAlign w:val="center"/>
          </w:tcPr>
          <w:p w14:paraId="41B17427" w14:textId="77777777" w:rsidR="00221FB6" w:rsidRDefault="00221FB6" w:rsidP="00221FB6">
            <w:pPr>
              <w:keepNext/>
              <w:jc w:val="right"/>
              <w:rPr>
                <w:color w:val="000000"/>
                <w:sz w:val="16"/>
                <w:szCs w:val="16"/>
              </w:rPr>
            </w:pPr>
            <w:r>
              <w:rPr>
                <w:color w:val="000000"/>
                <w:sz w:val="16"/>
                <w:szCs w:val="16"/>
              </w:rPr>
              <w:t>11</w:t>
            </w:r>
          </w:p>
        </w:tc>
        <w:tc>
          <w:tcPr>
            <w:tcW w:w="0" w:type="auto"/>
            <w:vAlign w:val="center"/>
          </w:tcPr>
          <w:p w14:paraId="4FC1D88E" w14:textId="77777777" w:rsidR="00221FB6" w:rsidRDefault="00221FB6" w:rsidP="00221FB6">
            <w:pPr>
              <w:keepNext/>
              <w:jc w:val="right"/>
              <w:rPr>
                <w:color w:val="000000"/>
                <w:sz w:val="16"/>
                <w:szCs w:val="16"/>
              </w:rPr>
            </w:pPr>
            <w:r>
              <w:rPr>
                <w:color w:val="000000"/>
                <w:sz w:val="16"/>
                <w:szCs w:val="16"/>
              </w:rPr>
              <w:t>9.2</w:t>
            </w:r>
          </w:p>
        </w:tc>
        <w:tc>
          <w:tcPr>
            <w:tcW w:w="0" w:type="auto"/>
            <w:tcBorders>
              <w:right w:val="single" w:sz="4" w:space="0" w:color="auto"/>
            </w:tcBorders>
            <w:vAlign w:val="center"/>
          </w:tcPr>
          <w:p w14:paraId="5A9D9800" w14:textId="77777777" w:rsidR="00221FB6" w:rsidRDefault="00221FB6" w:rsidP="00221FB6">
            <w:pPr>
              <w:keepNext/>
              <w:jc w:val="right"/>
              <w:rPr>
                <w:color w:val="000000"/>
                <w:sz w:val="16"/>
                <w:szCs w:val="16"/>
              </w:rPr>
            </w:pPr>
            <w:r>
              <w:rPr>
                <w:color w:val="000000"/>
                <w:sz w:val="16"/>
                <w:szCs w:val="16"/>
              </w:rPr>
              <w:t>(3.6, 14.7)</w:t>
            </w:r>
          </w:p>
        </w:tc>
        <w:tc>
          <w:tcPr>
            <w:tcW w:w="0" w:type="auto"/>
            <w:tcBorders>
              <w:left w:val="single" w:sz="4" w:space="0" w:color="auto"/>
            </w:tcBorders>
            <w:vAlign w:val="center"/>
          </w:tcPr>
          <w:p w14:paraId="6ADD1EB9" w14:textId="77777777" w:rsidR="00221FB6" w:rsidRDefault="00221FB6" w:rsidP="00221FB6">
            <w:pPr>
              <w:keepNext/>
              <w:jc w:val="right"/>
              <w:rPr>
                <w:color w:val="000000"/>
                <w:sz w:val="16"/>
                <w:szCs w:val="16"/>
              </w:rPr>
            </w:pPr>
            <w:r>
              <w:rPr>
                <w:color w:val="000000"/>
                <w:sz w:val="16"/>
                <w:szCs w:val="16"/>
              </w:rPr>
              <w:t>7</w:t>
            </w:r>
          </w:p>
        </w:tc>
        <w:tc>
          <w:tcPr>
            <w:tcW w:w="0" w:type="auto"/>
            <w:vAlign w:val="center"/>
          </w:tcPr>
          <w:p w14:paraId="3FF0A089" w14:textId="77777777" w:rsidR="00221FB6" w:rsidRDefault="00221FB6" w:rsidP="00221FB6">
            <w:pPr>
              <w:keepNext/>
              <w:jc w:val="right"/>
              <w:rPr>
                <w:color w:val="000000"/>
                <w:sz w:val="16"/>
                <w:szCs w:val="16"/>
              </w:rPr>
            </w:pPr>
            <w:r>
              <w:rPr>
                <w:color w:val="000000"/>
                <w:sz w:val="16"/>
                <w:szCs w:val="16"/>
              </w:rPr>
              <w:t>9.3</w:t>
            </w:r>
          </w:p>
        </w:tc>
        <w:tc>
          <w:tcPr>
            <w:tcW w:w="0" w:type="auto"/>
            <w:tcBorders>
              <w:right w:val="single" w:sz="4" w:space="0" w:color="auto"/>
            </w:tcBorders>
            <w:vAlign w:val="center"/>
          </w:tcPr>
          <w:p w14:paraId="0D4B6F08" w14:textId="77777777" w:rsidR="00221FB6" w:rsidRDefault="00221FB6" w:rsidP="00221FB6">
            <w:pPr>
              <w:keepNext/>
              <w:jc w:val="right"/>
              <w:rPr>
                <w:color w:val="000000"/>
                <w:sz w:val="16"/>
                <w:szCs w:val="16"/>
              </w:rPr>
            </w:pPr>
            <w:r>
              <w:rPr>
                <w:color w:val="000000"/>
                <w:sz w:val="16"/>
                <w:szCs w:val="16"/>
              </w:rPr>
              <w:t>(3.1, 15.4)</w:t>
            </w:r>
          </w:p>
        </w:tc>
        <w:tc>
          <w:tcPr>
            <w:tcW w:w="0" w:type="auto"/>
            <w:tcBorders>
              <w:left w:val="single" w:sz="4" w:space="0" w:color="auto"/>
            </w:tcBorders>
            <w:vAlign w:val="center"/>
          </w:tcPr>
          <w:p w14:paraId="21EF2F6B" w14:textId="77777777" w:rsidR="00221FB6" w:rsidRDefault="00221FB6" w:rsidP="00221FB6">
            <w:pPr>
              <w:keepNext/>
              <w:jc w:val="right"/>
              <w:rPr>
                <w:color w:val="000000"/>
                <w:sz w:val="16"/>
                <w:szCs w:val="16"/>
              </w:rPr>
            </w:pPr>
            <w:r>
              <w:rPr>
                <w:color w:val="000000"/>
                <w:sz w:val="16"/>
                <w:szCs w:val="16"/>
              </w:rPr>
              <w:t>12</w:t>
            </w:r>
          </w:p>
        </w:tc>
        <w:tc>
          <w:tcPr>
            <w:tcW w:w="0" w:type="auto"/>
            <w:vAlign w:val="center"/>
          </w:tcPr>
          <w:p w14:paraId="6FFAE779" w14:textId="77777777" w:rsidR="00221FB6" w:rsidRDefault="00221FB6" w:rsidP="00221FB6">
            <w:pPr>
              <w:keepNext/>
              <w:jc w:val="right"/>
              <w:rPr>
                <w:color w:val="000000"/>
                <w:sz w:val="16"/>
                <w:szCs w:val="16"/>
              </w:rPr>
            </w:pPr>
            <w:r>
              <w:rPr>
                <w:color w:val="000000"/>
                <w:sz w:val="16"/>
                <w:szCs w:val="16"/>
              </w:rPr>
              <w:t>20.3</w:t>
            </w:r>
          </w:p>
        </w:tc>
        <w:tc>
          <w:tcPr>
            <w:tcW w:w="0" w:type="auto"/>
            <w:vAlign w:val="center"/>
          </w:tcPr>
          <w:p w14:paraId="078EF15D" w14:textId="77777777" w:rsidR="00221FB6" w:rsidRDefault="00221FB6" w:rsidP="00221FB6">
            <w:pPr>
              <w:keepNext/>
              <w:jc w:val="right"/>
              <w:rPr>
                <w:color w:val="000000"/>
                <w:sz w:val="16"/>
                <w:szCs w:val="16"/>
              </w:rPr>
            </w:pPr>
            <w:r>
              <w:rPr>
                <w:color w:val="000000"/>
                <w:sz w:val="16"/>
                <w:szCs w:val="16"/>
              </w:rPr>
              <w:t>(4.8, 35.8)</w:t>
            </w:r>
          </w:p>
        </w:tc>
      </w:tr>
      <w:tr w:rsidR="00221FB6" w:rsidRPr="007B4EF8" w14:paraId="107C8E19" w14:textId="77777777" w:rsidTr="00604260">
        <w:trPr>
          <w:jc w:val="center"/>
        </w:trPr>
        <w:tc>
          <w:tcPr>
            <w:tcW w:w="0" w:type="auto"/>
          </w:tcPr>
          <w:p w14:paraId="3068B1A1" w14:textId="77777777" w:rsidR="00221FB6" w:rsidRDefault="00221FB6" w:rsidP="00221FB6">
            <w:pPr>
              <w:keepNext/>
              <w:spacing w:before="20" w:after="20"/>
              <w:ind w:left="34"/>
              <w:rPr>
                <w:rFonts w:eastAsiaTheme="minorEastAsia"/>
                <w:sz w:val="16"/>
                <w:szCs w:val="16"/>
                <w:lang w:eastAsia="en-US"/>
              </w:rPr>
            </w:pPr>
          </w:p>
        </w:tc>
        <w:tc>
          <w:tcPr>
            <w:tcW w:w="0" w:type="auto"/>
          </w:tcPr>
          <w:p w14:paraId="3B734A2D" w14:textId="77777777" w:rsidR="00221FB6" w:rsidRPr="001B7431" w:rsidRDefault="00221FB6" w:rsidP="00221FB6">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0" w:type="auto"/>
            <w:vAlign w:val="center"/>
          </w:tcPr>
          <w:p w14:paraId="50F16E46" w14:textId="77777777" w:rsidR="00221FB6" w:rsidRDefault="00221FB6" w:rsidP="00221FB6">
            <w:pPr>
              <w:keepNext/>
              <w:jc w:val="right"/>
              <w:rPr>
                <w:color w:val="000000"/>
                <w:sz w:val="16"/>
                <w:szCs w:val="16"/>
              </w:rPr>
            </w:pPr>
            <w:r>
              <w:rPr>
                <w:color w:val="000000"/>
                <w:sz w:val="16"/>
                <w:szCs w:val="16"/>
              </w:rPr>
              <w:t>19</w:t>
            </w:r>
          </w:p>
        </w:tc>
        <w:tc>
          <w:tcPr>
            <w:tcW w:w="0" w:type="auto"/>
            <w:vAlign w:val="center"/>
          </w:tcPr>
          <w:p w14:paraId="592049AC" w14:textId="77777777" w:rsidR="00221FB6" w:rsidRDefault="00221FB6" w:rsidP="00221FB6">
            <w:pPr>
              <w:keepNext/>
              <w:jc w:val="right"/>
              <w:rPr>
                <w:color w:val="000000"/>
                <w:sz w:val="16"/>
                <w:szCs w:val="16"/>
              </w:rPr>
            </w:pPr>
            <w:r>
              <w:rPr>
                <w:color w:val="000000"/>
                <w:sz w:val="16"/>
                <w:szCs w:val="16"/>
              </w:rPr>
              <w:t>9.0</w:t>
            </w:r>
          </w:p>
        </w:tc>
        <w:tc>
          <w:tcPr>
            <w:tcW w:w="0" w:type="auto"/>
            <w:tcBorders>
              <w:right w:val="single" w:sz="4" w:space="0" w:color="auto"/>
            </w:tcBorders>
            <w:vAlign w:val="center"/>
          </w:tcPr>
          <w:p w14:paraId="46B727F2" w14:textId="77777777" w:rsidR="00221FB6" w:rsidRDefault="00221FB6" w:rsidP="00221FB6">
            <w:pPr>
              <w:keepNext/>
              <w:jc w:val="right"/>
              <w:rPr>
                <w:color w:val="000000"/>
                <w:sz w:val="16"/>
                <w:szCs w:val="16"/>
              </w:rPr>
            </w:pPr>
            <w:r>
              <w:rPr>
                <w:color w:val="000000"/>
                <w:sz w:val="16"/>
                <w:szCs w:val="16"/>
              </w:rPr>
              <w:t>(5.2, 12.8)</w:t>
            </w:r>
          </w:p>
        </w:tc>
        <w:tc>
          <w:tcPr>
            <w:tcW w:w="0" w:type="auto"/>
            <w:tcBorders>
              <w:left w:val="single" w:sz="4" w:space="0" w:color="auto"/>
            </w:tcBorders>
            <w:vAlign w:val="center"/>
          </w:tcPr>
          <w:p w14:paraId="7B844E4B" w14:textId="77777777" w:rsidR="00221FB6" w:rsidRDefault="00221FB6" w:rsidP="00221FB6">
            <w:pPr>
              <w:keepNext/>
              <w:jc w:val="right"/>
              <w:rPr>
                <w:color w:val="000000"/>
                <w:sz w:val="16"/>
                <w:szCs w:val="16"/>
              </w:rPr>
            </w:pPr>
            <w:r>
              <w:rPr>
                <w:color w:val="000000"/>
                <w:sz w:val="16"/>
                <w:szCs w:val="16"/>
              </w:rPr>
              <w:t>5</w:t>
            </w:r>
          </w:p>
        </w:tc>
        <w:tc>
          <w:tcPr>
            <w:tcW w:w="0" w:type="auto"/>
            <w:vAlign w:val="center"/>
          </w:tcPr>
          <w:p w14:paraId="1DBC9C38" w14:textId="77777777" w:rsidR="00221FB6" w:rsidRDefault="00221FB6" w:rsidP="00221FB6">
            <w:pPr>
              <w:keepNext/>
              <w:jc w:val="right"/>
              <w:rPr>
                <w:color w:val="000000"/>
                <w:sz w:val="16"/>
                <w:szCs w:val="16"/>
              </w:rPr>
            </w:pPr>
            <w:r>
              <w:rPr>
                <w:color w:val="000000"/>
                <w:sz w:val="16"/>
                <w:szCs w:val="16"/>
              </w:rPr>
              <w:t>4.3</w:t>
            </w:r>
          </w:p>
        </w:tc>
        <w:tc>
          <w:tcPr>
            <w:tcW w:w="0" w:type="auto"/>
            <w:tcBorders>
              <w:right w:val="single" w:sz="4" w:space="0" w:color="auto"/>
            </w:tcBorders>
            <w:vAlign w:val="center"/>
          </w:tcPr>
          <w:p w14:paraId="67C1C551" w14:textId="77777777" w:rsidR="00221FB6" w:rsidRDefault="00221FB6" w:rsidP="00221FB6">
            <w:pPr>
              <w:keepNext/>
              <w:jc w:val="right"/>
              <w:rPr>
                <w:color w:val="000000"/>
                <w:sz w:val="16"/>
                <w:szCs w:val="16"/>
              </w:rPr>
            </w:pPr>
            <w:r>
              <w:rPr>
                <w:color w:val="000000"/>
                <w:sz w:val="16"/>
                <w:szCs w:val="16"/>
              </w:rPr>
              <w:t>(1.9, 6.7)</w:t>
            </w:r>
          </w:p>
        </w:tc>
        <w:tc>
          <w:tcPr>
            <w:tcW w:w="0" w:type="auto"/>
            <w:tcBorders>
              <w:left w:val="single" w:sz="4" w:space="0" w:color="auto"/>
            </w:tcBorders>
            <w:vAlign w:val="center"/>
          </w:tcPr>
          <w:p w14:paraId="0FBB9E61" w14:textId="77777777" w:rsidR="00221FB6" w:rsidRDefault="00221FB6" w:rsidP="00221FB6">
            <w:pPr>
              <w:keepNext/>
              <w:jc w:val="right"/>
              <w:rPr>
                <w:color w:val="000000"/>
                <w:sz w:val="16"/>
                <w:szCs w:val="16"/>
              </w:rPr>
            </w:pPr>
            <w:r>
              <w:rPr>
                <w:color w:val="000000"/>
                <w:sz w:val="16"/>
                <w:szCs w:val="16"/>
              </w:rPr>
              <w:t>7</w:t>
            </w:r>
          </w:p>
        </w:tc>
        <w:tc>
          <w:tcPr>
            <w:tcW w:w="0" w:type="auto"/>
            <w:vAlign w:val="center"/>
          </w:tcPr>
          <w:p w14:paraId="2BB79C92" w14:textId="77777777" w:rsidR="00221FB6" w:rsidRDefault="00221FB6" w:rsidP="00221FB6">
            <w:pPr>
              <w:keepNext/>
              <w:jc w:val="right"/>
              <w:rPr>
                <w:color w:val="000000"/>
                <w:sz w:val="16"/>
                <w:szCs w:val="16"/>
              </w:rPr>
            </w:pPr>
            <w:r>
              <w:rPr>
                <w:color w:val="000000"/>
                <w:sz w:val="16"/>
                <w:szCs w:val="16"/>
              </w:rPr>
              <w:t>9.5</w:t>
            </w:r>
          </w:p>
        </w:tc>
        <w:tc>
          <w:tcPr>
            <w:tcW w:w="0" w:type="auto"/>
            <w:tcBorders>
              <w:right w:val="single" w:sz="4" w:space="0" w:color="auto"/>
            </w:tcBorders>
            <w:vAlign w:val="center"/>
          </w:tcPr>
          <w:p w14:paraId="3DFE62C2" w14:textId="77777777" w:rsidR="00221FB6" w:rsidRDefault="00221FB6" w:rsidP="00221FB6">
            <w:pPr>
              <w:keepNext/>
              <w:jc w:val="right"/>
              <w:rPr>
                <w:color w:val="000000"/>
                <w:sz w:val="16"/>
                <w:szCs w:val="16"/>
              </w:rPr>
            </w:pPr>
            <w:r>
              <w:rPr>
                <w:color w:val="000000"/>
                <w:sz w:val="16"/>
                <w:szCs w:val="16"/>
              </w:rPr>
              <w:t>(4.2, 14.8)</w:t>
            </w:r>
          </w:p>
        </w:tc>
        <w:tc>
          <w:tcPr>
            <w:tcW w:w="0" w:type="auto"/>
            <w:tcBorders>
              <w:left w:val="single" w:sz="4" w:space="0" w:color="auto"/>
            </w:tcBorders>
            <w:vAlign w:val="center"/>
          </w:tcPr>
          <w:p w14:paraId="631F7E85" w14:textId="77777777" w:rsidR="00221FB6" w:rsidRDefault="00221FB6" w:rsidP="00221FB6">
            <w:pPr>
              <w:keepNext/>
              <w:jc w:val="right"/>
              <w:rPr>
                <w:color w:val="000000"/>
                <w:sz w:val="16"/>
                <w:szCs w:val="16"/>
              </w:rPr>
            </w:pPr>
            <w:r>
              <w:rPr>
                <w:color w:val="000000"/>
                <w:sz w:val="16"/>
                <w:szCs w:val="16"/>
              </w:rPr>
              <w:t>7</w:t>
            </w:r>
          </w:p>
        </w:tc>
        <w:tc>
          <w:tcPr>
            <w:tcW w:w="0" w:type="auto"/>
            <w:vAlign w:val="center"/>
          </w:tcPr>
          <w:p w14:paraId="4A45B08C" w14:textId="77777777" w:rsidR="00221FB6" w:rsidRDefault="00221FB6" w:rsidP="00221FB6">
            <w:pPr>
              <w:keepNext/>
              <w:jc w:val="right"/>
              <w:rPr>
                <w:color w:val="000000"/>
                <w:sz w:val="16"/>
                <w:szCs w:val="16"/>
              </w:rPr>
            </w:pPr>
            <w:r>
              <w:rPr>
                <w:color w:val="000000"/>
                <w:sz w:val="16"/>
                <w:szCs w:val="16"/>
              </w:rPr>
              <w:t>11.1</w:t>
            </w:r>
          </w:p>
        </w:tc>
        <w:tc>
          <w:tcPr>
            <w:tcW w:w="0" w:type="auto"/>
            <w:vAlign w:val="center"/>
          </w:tcPr>
          <w:p w14:paraId="6E92CAD7" w14:textId="77777777" w:rsidR="00221FB6" w:rsidRDefault="00221FB6" w:rsidP="00221FB6">
            <w:pPr>
              <w:keepNext/>
              <w:jc w:val="right"/>
              <w:rPr>
                <w:color w:val="000000"/>
                <w:sz w:val="16"/>
                <w:szCs w:val="16"/>
              </w:rPr>
            </w:pPr>
            <w:r>
              <w:rPr>
                <w:color w:val="000000"/>
                <w:sz w:val="16"/>
                <w:szCs w:val="16"/>
              </w:rPr>
              <w:t>(3.5, 18.7)</w:t>
            </w:r>
          </w:p>
        </w:tc>
      </w:tr>
      <w:tr w:rsidR="00221FB6" w:rsidRPr="007B4EF8" w14:paraId="2862DFF1" w14:textId="77777777" w:rsidTr="00604260">
        <w:trPr>
          <w:jc w:val="center"/>
        </w:trPr>
        <w:tc>
          <w:tcPr>
            <w:tcW w:w="0" w:type="auto"/>
            <w:tcBorders>
              <w:bottom w:val="single" w:sz="4" w:space="0" w:color="auto"/>
            </w:tcBorders>
          </w:tcPr>
          <w:p w14:paraId="15640F74" w14:textId="77777777" w:rsidR="00221FB6" w:rsidRDefault="00221FB6" w:rsidP="00221FB6">
            <w:pPr>
              <w:keepNext/>
              <w:spacing w:before="20" w:after="20"/>
              <w:ind w:left="34"/>
              <w:rPr>
                <w:rFonts w:eastAsiaTheme="minorEastAsia"/>
                <w:sz w:val="16"/>
                <w:szCs w:val="16"/>
                <w:lang w:eastAsia="en-US"/>
              </w:rPr>
            </w:pPr>
          </w:p>
        </w:tc>
        <w:tc>
          <w:tcPr>
            <w:tcW w:w="0" w:type="auto"/>
            <w:tcBorders>
              <w:bottom w:val="single" w:sz="4" w:space="0" w:color="auto"/>
            </w:tcBorders>
          </w:tcPr>
          <w:p w14:paraId="3AB19BB9" w14:textId="77777777" w:rsidR="00221FB6" w:rsidRPr="001B7431" w:rsidRDefault="00221FB6" w:rsidP="00221FB6">
            <w:pPr>
              <w:keepNext/>
              <w:spacing w:before="20" w:after="20"/>
              <w:ind w:left="34"/>
              <w:rPr>
                <w:rFonts w:eastAsiaTheme="minorEastAsia"/>
                <w:sz w:val="16"/>
                <w:szCs w:val="16"/>
                <w:lang w:eastAsia="en-US"/>
              </w:rPr>
            </w:pPr>
            <w:r>
              <w:rPr>
                <w:rFonts w:eastAsiaTheme="minorEastAsia"/>
                <w:sz w:val="16"/>
                <w:szCs w:val="16"/>
                <w:lang w:eastAsia="en-US"/>
              </w:rPr>
              <w:t>No gambling in past year</w:t>
            </w:r>
          </w:p>
        </w:tc>
        <w:tc>
          <w:tcPr>
            <w:tcW w:w="0" w:type="auto"/>
            <w:tcBorders>
              <w:bottom w:val="single" w:sz="4" w:space="0" w:color="auto"/>
            </w:tcBorders>
            <w:vAlign w:val="center"/>
          </w:tcPr>
          <w:p w14:paraId="4AAFE618" w14:textId="77777777" w:rsidR="00221FB6" w:rsidRDefault="00221FB6" w:rsidP="00221FB6">
            <w:pPr>
              <w:keepNext/>
              <w:jc w:val="right"/>
              <w:rPr>
                <w:color w:val="000000"/>
                <w:sz w:val="16"/>
                <w:szCs w:val="16"/>
              </w:rPr>
            </w:pPr>
            <w:r>
              <w:rPr>
                <w:color w:val="000000"/>
                <w:sz w:val="16"/>
                <w:szCs w:val="16"/>
              </w:rPr>
              <w:t>49</w:t>
            </w:r>
          </w:p>
        </w:tc>
        <w:tc>
          <w:tcPr>
            <w:tcW w:w="0" w:type="auto"/>
            <w:tcBorders>
              <w:bottom w:val="single" w:sz="4" w:space="0" w:color="auto"/>
            </w:tcBorders>
            <w:vAlign w:val="center"/>
          </w:tcPr>
          <w:p w14:paraId="591AF10C" w14:textId="77777777" w:rsidR="00221FB6" w:rsidRDefault="00221FB6" w:rsidP="00221FB6">
            <w:pPr>
              <w:keepNext/>
              <w:jc w:val="right"/>
              <w:rPr>
                <w:color w:val="000000"/>
                <w:sz w:val="16"/>
                <w:szCs w:val="16"/>
              </w:rPr>
            </w:pPr>
            <w:r>
              <w:rPr>
                <w:color w:val="000000"/>
                <w:sz w:val="16"/>
                <w:szCs w:val="16"/>
              </w:rPr>
              <w:t>24.0</w:t>
            </w:r>
          </w:p>
        </w:tc>
        <w:tc>
          <w:tcPr>
            <w:tcW w:w="0" w:type="auto"/>
            <w:tcBorders>
              <w:bottom w:val="single" w:sz="4" w:space="0" w:color="auto"/>
              <w:right w:val="single" w:sz="4" w:space="0" w:color="auto"/>
            </w:tcBorders>
            <w:vAlign w:val="center"/>
          </w:tcPr>
          <w:p w14:paraId="799E3A63" w14:textId="77777777" w:rsidR="00221FB6" w:rsidRDefault="00221FB6" w:rsidP="00221FB6">
            <w:pPr>
              <w:keepNext/>
              <w:jc w:val="right"/>
              <w:rPr>
                <w:color w:val="000000"/>
                <w:sz w:val="16"/>
                <w:szCs w:val="16"/>
              </w:rPr>
            </w:pPr>
            <w:r>
              <w:rPr>
                <w:color w:val="000000"/>
                <w:sz w:val="16"/>
                <w:szCs w:val="16"/>
              </w:rPr>
              <w:t>(17.9, 30.1)</w:t>
            </w:r>
          </w:p>
        </w:tc>
        <w:tc>
          <w:tcPr>
            <w:tcW w:w="0" w:type="auto"/>
            <w:tcBorders>
              <w:left w:val="single" w:sz="4" w:space="0" w:color="auto"/>
              <w:bottom w:val="single" w:sz="4" w:space="0" w:color="auto"/>
            </w:tcBorders>
            <w:vAlign w:val="center"/>
          </w:tcPr>
          <w:p w14:paraId="4632F0C9" w14:textId="77777777" w:rsidR="00221FB6" w:rsidRDefault="00221FB6" w:rsidP="00221FB6">
            <w:pPr>
              <w:keepNext/>
              <w:jc w:val="right"/>
              <w:rPr>
                <w:color w:val="000000"/>
                <w:sz w:val="16"/>
                <w:szCs w:val="16"/>
              </w:rPr>
            </w:pPr>
            <w:r>
              <w:rPr>
                <w:color w:val="000000"/>
                <w:sz w:val="16"/>
                <w:szCs w:val="16"/>
              </w:rPr>
              <w:t>35</w:t>
            </w:r>
          </w:p>
        </w:tc>
        <w:tc>
          <w:tcPr>
            <w:tcW w:w="0" w:type="auto"/>
            <w:tcBorders>
              <w:bottom w:val="single" w:sz="4" w:space="0" w:color="auto"/>
            </w:tcBorders>
            <w:vAlign w:val="center"/>
          </w:tcPr>
          <w:p w14:paraId="2B4C1C92" w14:textId="77777777" w:rsidR="00221FB6" w:rsidRDefault="00221FB6" w:rsidP="00221FB6">
            <w:pPr>
              <w:keepNext/>
              <w:jc w:val="right"/>
              <w:rPr>
                <w:color w:val="000000"/>
                <w:sz w:val="16"/>
                <w:szCs w:val="16"/>
              </w:rPr>
            </w:pPr>
            <w:r>
              <w:rPr>
                <w:color w:val="000000"/>
                <w:sz w:val="16"/>
                <w:szCs w:val="16"/>
              </w:rPr>
              <w:t>28.5</w:t>
            </w:r>
          </w:p>
        </w:tc>
        <w:tc>
          <w:tcPr>
            <w:tcW w:w="0" w:type="auto"/>
            <w:tcBorders>
              <w:bottom w:val="single" w:sz="4" w:space="0" w:color="auto"/>
              <w:right w:val="single" w:sz="4" w:space="0" w:color="auto"/>
            </w:tcBorders>
            <w:vAlign w:val="center"/>
          </w:tcPr>
          <w:p w14:paraId="21F0E6CE" w14:textId="77777777" w:rsidR="00221FB6" w:rsidRDefault="00221FB6" w:rsidP="00221FB6">
            <w:pPr>
              <w:keepNext/>
              <w:jc w:val="right"/>
              <w:rPr>
                <w:color w:val="000000"/>
                <w:sz w:val="16"/>
                <w:szCs w:val="16"/>
              </w:rPr>
            </w:pPr>
            <w:r>
              <w:rPr>
                <w:color w:val="000000"/>
                <w:sz w:val="16"/>
                <w:szCs w:val="16"/>
              </w:rPr>
              <w:t>(18.4, 38.6)</w:t>
            </w:r>
          </w:p>
        </w:tc>
        <w:tc>
          <w:tcPr>
            <w:tcW w:w="0" w:type="auto"/>
            <w:tcBorders>
              <w:left w:val="single" w:sz="4" w:space="0" w:color="auto"/>
              <w:bottom w:val="single" w:sz="4" w:space="0" w:color="auto"/>
            </w:tcBorders>
            <w:vAlign w:val="center"/>
          </w:tcPr>
          <w:p w14:paraId="31D3378A" w14:textId="77777777" w:rsidR="00221FB6" w:rsidRDefault="00221FB6" w:rsidP="00221FB6">
            <w:pPr>
              <w:keepNext/>
              <w:jc w:val="right"/>
              <w:rPr>
                <w:color w:val="000000"/>
                <w:sz w:val="16"/>
                <w:szCs w:val="16"/>
              </w:rPr>
            </w:pPr>
            <w:r>
              <w:rPr>
                <w:color w:val="000000"/>
                <w:sz w:val="16"/>
                <w:szCs w:val="16"/>
              </w:rPr>
              <w:t>31</w:t>
            </w:r>
          </w:p>
        </w:tc>
        <w:tc>
          <w:tcPr>
            <w:tcW w:w="0" w:type="auto"/>
            <w:tcBorders>
              <w:bottom w:val="single" w:sz="4" w:space="0" w:color="auto"/>
            </w:tcBorders>
            <w:vAlign w:val="center"/>
          </w:tcPr>
          <w:p w14:paraId="0F0686A6" w14:textId="77777777" w:rsidR="00221FB6" w:rsidRDefault="00221FB6" w:rsidP="00221FB6">
            <w:pPr>
              <w:keepNext/>
              <w:jc w:val="right"/>
              <w:rPr>
                <w:color w:val="000000"/>
                <w:sz w:val="16"/>
                <w:szCs w:val="16"/>
              </w:rPr>
            </w:pPr>
            <w:r>
              <w:rPr>
                <w:color w:val="000000"/>
                <w:sz w:val="16"/>
                <w:szCs w:val="16"/>
              </w:rPr>
              <w:t>39.3</w:t>
            </w:r>
          </w:p>
        </w:tc>
        <w:tc>
          <w:tcPr>
            <w:tcW w:w="0" w:type="auto"/>
            <w:tcBorders>
              <w:bottom w:val="single" w:sz="4" w:space="0" w:color="auto"/>
              <w:right w:val="single" w:sz="4" w:space="0" w:color="auto"/>
            </w:tcBorders>
            <w:vAlign w:val="center"/>
          </w:tcPr>
          <w:p w14:paraId="086835CC" w14:textId="77777777" w:rsidR="00221FB6" w:rsidRDefault="00221FB6" w:rsidP="00221FB6">
            <w:pPr>
              <w:keepNext/>
              <w:jc w:val="right"/>
              <w:rPr>
                <w:color w:val="000000"/>
                <w:sz w:val="16"/>
                <w:szCs w:val="16"/>
              </w:rPr>
            </w:pPr>
            <w:r>
              <w:rPr>
                <w:color w:val="000000"/>
                <w:sz w:val="16"/>
                <w:szCs w:val="16"/>
              </w:rPr>
              <w:t>(27.9, 50.6)</w:t>
            </w:r>
          </w:p>
        </w:tc>
        <w:tc>
          <w:tcPr>
            <w:tcW w:w="0" w:type="auto"/>
            <w:tcBorders>
              <w:left w:val="single" w:sz="4" w:space="0" w:color="auto"/>
              <w:bottom w:val="single" w:sz="4" w:space="0" w:color="auto"/>
            </w:tcBorders>
            <w:vAlign w:val="center"/>
          </w:tcPr>
          <w:p w14:paraId="20E47C06" w14:textId="77777777" w:rsidR="00221FB6" w:rsidRDefault="00221FB6" w:rsidP="00221FB6">
            <w:pPr>
              <w:keepNext/>
              <w:jc w:val="right"/>
              <w:rPr>
                <w:color w:val="000000"/>
                <w:sz w:val="16"/>
                <w:szCs w:val="16"/>
              </w:rPr>
            </w:pPr>
            <w:r>
              <w:rPr>
                <w:color w:val="000000"/>
                <w:sz w:val="16"/>
                <w:szCs w:val="16"/>
              </w:rPr>
              <w:t>16</w:t>
            </w:r>
          </w:p>
        </w:tc>
        <w:tc>
          <w:tcPr>
            <w:tcW w:w="0" w:type="auto"/>
            <w:tcBorders>
              <w:bottom w:val="single" w:sz="4" w:space="0" w:color="auto"/>
            </w:tcBorders>
            <w:vAlign w:val="center"/>
          </w:tcPr>
          <w:p w14:paraId="7876AC65" w14:textId="77777777" w:rsidR="00221FB6" w:rsidRDefault="00221FB6" w:rsidP="00221FB6">
            <w:pPr>
              <w:keepNext/>
              <w:jc w:val="right"/>
              <w:rPr>
                <w:color w:val="000000"/>
                <w:sz w:val="16"/>
                <w:szCs w:val="16"/>
              </w:rPr>
            </w:pPr>
            <w:r>
              <w:rPr>
                <w:color w:val="000000"/>
                <w:sz w:val="16"/>
                <w:szCs w:val="16"/>
              </w:rPr>
              <w:t>26.8</w:t>
            </w:r>
          </w:p>
        </w:tc>
        <w:tc>
          <w:tcPr>
            <w:tcW w:w="0" w:type="auto"/>
            <w:tcBorders>
              <w:bottom w:val="single" w:sz="4" w:space="0" w:color="auto"/>
            </w:tcBorders>
            <w:vAlign w:val="center"/>
          </w:tcPr>
          <w:p w14:paraId="7BC0A40F" w14:textId="77777777" w:rsidR="00221FB6" w:rsidRDefault="00221FB6" w:rsidP="00221FB6">
            <w:pPr>
              <w:keepNext/>
              <w:jc w:val="right"/>
              <w:rPr>
                <w:color w:val="000000"/>
                <w:sz w:val="16"/>
                <w:szCs w:val="16"/>
              </w:rPr>
            </w:pPr>
            <w:r>
              <w:rPr>
                <w:color w:val="000000"/>
                <w:sz w:val="16"/>
                <w:szCs w:val="16"/>
              </w:rPr>
              <w:t>(16.2, 37.3)</w:t>
            </w:r>
          </w:p>
        </w:tc>
      </w:tr>
    </w:tbl>
    <w:p w14:paraId="7435EA34" w14:textId="77777777" w:rsidR="00F679B7" w:rsidRDefault="00F679B7" w:rsidP="00F679B7">
      <w:pPr>
        <w:ind w:left="567"/>
        <w:rPr>
          <w:sz w:val="16"/>
          <w:szCs w:val="16"/>
        </w:rPr>
      </w:pPr>
      <w:r w:rsidRPr="00D05AB1">
        <w:rPr>
          <w:sz w:val="16"/>
          <w:szCs w:val="16"/>
        </w:rPr>
        <w:t>Data weighted for 2013 Census data (</w:t>
      </w:r>
      <w:r>
        <w:rPr>
          <w:sz w:val="16"/>
          <w:szCs w:val="16"/>
        </w:rPr>
        <w:t>all w</w:t>
      </w:r>
      <w:r w:rsidRPr="00D05AB1">
        <w:rPr>
          <w:sz w:val="16"/>
          <w:szCs w:val="16"/>
        </w:rPr>
        <w:t>aves) and attrition (Wave</w:t>
      </w:r>
      <w:r>
        <w:rPr>
          <w:sz w:val="16"/>
          <w:szCs w:val="16"/>
        </w:rPr>
        <w:t>s</w:t>
      </w:r>
      <w:r w:rsidRPr="00D05AB1">
        <w:rPr>
          <w:sz w:val="16"/>
          <w:szCs w:val="16"/>
        </w:rPr>
        <w:t xml:space="preserve"> 2</w:t>
      </w:r>
      <w:r>
        <w:rPr>
          <w:sz w:val="16"/>
          <w:szCs w:val="16"/>
        </w:rPr>
        <w:t>,</w:t>
      </w:r>
      <w:r w:rsidRPr="00D05AB1">
        <w:rPr>
          <w:sz w:val="16"/>
          <w:szCs w:val="16"/>
        </w:rPr>
        <w:t xml:space="preserve"> 3</w:t>
      </w:r>
      <w:r>
        <w:rPr>
          <w:sz w:val="16"/>
          <w:szCs w:val="16"/>
        </w:rPr>
        <w:t xml:space="preserve"> and 4</w:t>
      </w:r>
      <w:r w:rsidRPr="00D05AB1">
        <w:rPr>
          <w:sz w:val="16"/>
          <w:szCs w:val="16"/>
        </w:rPr>
        <w:t>)</w:t>
      </w:r>
    </w:p>
    <w:p w14:paraId="5366BBEF" w14:textId="77777777" w:rsidR="002F172C" w:rsidRPr="00B63F83" w:rsidRDefault="002F172C" w:rsidP="002F172C">
      <w:pPr>
        <w:spacing w:after="200" w:line="276" w:lineRule="auto"/>
        <w:ind w:left="567"/>
        <w:rPr>
          <w:sz w:val="16"/>
        </w:rPr>
      </w:pPr>
      <w:r w:rsidRPr="00B63F83">
        <w:rPr>
          <w:sz w:val="16"/>
        </w:rPr>
        <w:t>! Meaningful confidence intervals not calculable due to small sample size</w:t>
      </w:r>
    </w:p>
    <w:p w14:paraId="2744A128" w14:textId="77777777" w:rsidR="002F172C" w:rsidRPr="00D05AB1" w:rsidRDefault="002F172C" w:rsidP="00F679B7">
      <w:pPr>
        <w:ind w:left="567"/>
        <w:rPr>
          <w:sz w:val="16"/>
          <w:szCs w:val="16"/>
        </w:rPr>
      </w:pPr>
    </w:p>
    <w:p w14:paraId="0EE75380" w14:textId="77777777" w:rsidR="00E11ADB" w:rsidRDefault="00E11ADB">
      <w:pPr>
        <w:spacing w:after="200" w:line="276" w:lineRule="auto"/>
        <w:rPr>
          <w:rFonts w:eastAsiaTheme="majorEastAsia" w:cstheme="majorBidi"/>
          <w:b/>
          <w:bCs/>
          <w:caps/>
          <w:szCs w:val="28"/>
          <w:lang w:eastAsia="en-US"/>
        </w:rPr>
      </w:pPr>
      <w:r>
        <w:rPr>
          <w:rFonts w:eastAsiaTheme="majorEastAsia" w:cstheme="majorBidi"/>
          <w:b/>
          <w:bCs/>
          <w:caps/>
          <w:szCs w:val="28"/>
          <w:lang w:eastAsia="en-US"/>
        </w:rPr>
        <w:br w:type="page"/>
      </w:r>
    </w:p>
    <w:p w14:paraId="5B7B126A" w14:textId="77777777" w:rsidR="0008676D" w:rsidRDefault="0008676D" w:rsidP="0008676D">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bookmarkStart w:id="216" w:name="_Toc504488416"/>
      <w:r>
        <w:t>APPENDIX 2</w:t>
      </w:r>
      <w:r w:rsidR="00D9465C">
        <w:t>3</w:t>
      </w:r>
      <w:r>
        <w:t>:</w:t>
      </w:r>
      <w:r>
        <w:br/>
      </w:r>
      <w:r>
        <w:rPr>
          <w:caps w:val="0"/>
        </w:rPr>
        <w:t xml:space="preserve">Gambling risk </w:t>
      </w:r>
      <w:r w:rsidR="00DD314D">
        <w:rPr>
          <w:caps w:val="0"/>
        </w:rPr>
        <w:t>levels</w:t>
      </w:r>
      <w:r>
        <w:rPr>
          <w:caps w:val="0"/>
        </w:rPr>
        <w:t xml:space="preserve"> by gambling </w:t>
      </w:r>
      <w:r w:rsidR="00D317D8">
        <w:rPr>
          <w:caps w:val="0"/>
        </w:rPr>
        <w:t>behaviour</w:t>
      </w:r>
      <w:r>
        <w:rPr>
          <w:caps w:val="0"/>
        </w:rPr>
        <w:t xml:space="preserve"> for Waves 1, 2, 3 and 4</w:t>
      </w:r>
      <w:bookmarkEnd w:id="216"/>
    </w:p>
    <w:p w14:paraId="1B7E6033" w14:textId="77777777" w:rsidR="00D317D8" w:rsidRPr="00D317D8" w:rsidRDefault="00D317D8" w:rsidP="00D317D8">
      <w:pPr>
        <w:pStyle w:val="RepNormal"/>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379"/>
        <w:gridCol w:w="616"/>
        <w:gridCol w:w="496"/>
        <w:gridCol w:w="1043"/>
        <w:gridCol w:w="569"/>
        <w:gridCol w:w="567"/>
        <w:gridCol w:w="1123"/>
        <w:gridCol w:w="536"/>
        <w:gridCol w:w="576"/>
        <w:gridCol w:w="1123"/>
        <w:gridCol w:w="536"/>
        <w:gridCol w:w="567"/>
        <w:gridCol w:w="1123"/>
      </w:tblGrid>
      <w:tr w:rsidR="00D317D8" w:rsidRPr="007B4EF8" w14:paraId="2BEDC462" w14:textId="77777777" w:rsidTr="00793719">
        <w:trPr>
          <w:tblHeader/>
          <w:jc w:val="center"/>
        </w:trPr>
        <w:tc>
          <w:tcPr>
            <w:tcW w:w="2127" w:type="dxa"/>
            <w:vMerge w:val="restart"/>
            <w:tcBorders>
              <w:top w:val="single" w:sz="4" w:space="0" w:color="auto"/>
            </w:tcBorders>
            <w:vAlign w:val="bottom"/>
          </w:tcPr>
          <w:p w14:paraId="5A3D4963" w14:textId="77777777" w:rsidR="00D317D8" w:rsidRPr="00D317D8" w:rsidRDefault="00D317D8" w:rsidP="00D317D8">
            <w:pPr>
              <w:spacing w:before="20" w:after="20"/>
              <w:rPr>
                <w:rFonts w:eastAsiaTheme="minorEastAsia"/>
                <w:b/>
                <w:sz w:val="18"/>
                <w:szCs w:val="18"/>
                <w:lang w:eastAsia="en-US"/>
              </w:rPr>
            </w:pPr>
            <w:r w:rsidRPr="00D317D8">
              <w:rPr>
                <w:rFonts w:eastAsiaTheme="minorEastAsia"/>
                <w:b/>
                <w:sz w:val="18"/>
                <w:szCs w:val="18"/>
              </w:rPr>
              <w:t>Gambling participation-related variables</w:t>
            </w:r>
          </w:p>
        </w:tc>
        <w:tc>
          <w:tcPr>
            <w:tcW w:w="2379" w:type="dxa"/>
            <w:vMerge w:val="restart"/>
            <w:tcBorders>
              <w:top w:val="single" w:sz="4" w:space="0" w:color="auto"/>
            </w:tcBorders>
            <w:vAlign w:val="bottom"/>
          </w:tcPr>
          <w:p w14:paraId="7C353207" w14:textId="77777777" w:rsidR="00D317D8" w:rsidRPr="001B7431" w:rsidRDefault="00D317D8" w:rsidP="00D317D8">
            <w:pPr>
              <w:spacing w:before="20" w:after="20"/>
              <w:ind w:left="34"/>
              <w:rPr>
                <w:rFonts w:eastAsiaTheme="minorEastAsia"/>
                <w:b/>
                <w:sz w:val="16"/>
                <w:szCs w:val="16"/>
                <w:lang w:eastAsia="en-US"/>
              </w:rPr>
            </w:pPr>
            <w:r w:rsidRPr="001B7431">
              <w:rPr>
                <w:rFonts w:eastAsiaTheme="minorEastAsia"/>
                <w:b/>
                <w:sz w:val="16"/>
                <w:szCs w:val="16"/>
                <w:lang w:eastAsia="en-US"/>
              </w:rPr>
              <w:t>Gambling risk level</w:t>
            </w:r>
          </w:p>
        </w:tc>
        <w:tc>
          <w:tcPr>
            <w:tcW w:w="2155" w:type="dxa"/>
            <w:gridSpan w:val="3"/>
            <w:tcBorders>
              <w:top w:val="single" w:sz="4" w:space="0" w:color="auto"/>
              <w:bottom w:val="single" w:sz="4" w:space="0" w:color="auto"/>
              <w:right w:val="single" w:sz="4" w:space="0" w:color="auto"/>
            </w:tcBorders>
            <w:vAlign w:val="center"/>
          </w:tcPr>
          <w:p w14:paraId="1FCD394C" w14:textId="77777777" w:rsidR="00D317D8" w:rsidRPr="001B7431" w:rsidRDefault="00D317D8" w:rsidP="00D317D8">
            <w:pPr>
              <w:spacing w:before="20" w:after="20"/>
              <w:ind w:left="34"/>
              <w:jc w:val="center"/>
              <w:rPr>
                <w:rFonts w:eastAsiaTheme="minorEastAsia"/>
                <w:b/>
                <w:sz w:val="16"/>
                <w:szCs w:val="16"/>
                <w:lang w:eastAsia="en-US"/>
              </w:rPr>
            </w:pPr>
            <w:r w:rsidRPr="001B7431">
              <w:rPr>
                <w:rFonts w:eastAsiaTheme="minorEastAsia"/>
                <w:b/>
                <w:sz w:val="16"/>
                <w:szCs w:val="16"/>
                <w:lang w:eastAsia="en-US"/>
              </w:rPr>
              <w:t>Wave 1</w:t>
            </w:r>
          </w:p>
        </w:tc>
        <w:tc>
          <w:tcPr>
            <w:tcW w:w="2259" w:type="dxa"/>
            <w:gridSpan w:val="3"/>
            <w:tcBorders>
              <w:top w:val="single" w:sz="4" w:space="0" w:color="auto"/>
              <w:left w:val="single" w:sz="4" w:space="0" w:color="auto"/>
              <w:bottom w:val="single" w:sz="4" w:space="0" w:color="auto"/>
              <w:right w:val="single" w:sz="4" w:space="0" w:color="auto"/>
            </w:tcBorders>
            <w:vAlign w:val="center"/>
          </w:tcPr>
          <w:p w14:paraId="1F1BCABD" w14:textId="77777777" w:rsidR="00D317D8" w:rsidRPr="001B7431" w:rsidRDefault="00D317D8" w:rsidP="00D317D8">
            <w:pPr>
              <w:spacing w:before="20" w:after="20"/>
              <w:ind w:left="34"/>
              <w:jc w:val="center"/>
              <w:rPr>
                <w:rFonts w:eastAsiaTheme="minorEastAsia"/>
                <w:b/>
                <w:sz w:val="16"/>
                <w:szCs w:val="16"/>
                <w:lang w:eastAsia="en-US"/>
              </w:rPr>
            </w:pPr>
            <w:r w:rsidRPr="001B7431">
              <w:rPr>
                <w:rFonts w:eastAsiaTheme="minorEastAsia"/>
                <w:b/>
                <w:sz w:val="16"/>
                <w:szCs w:val="16"/>
                <w:lang w:eastAsia="en-US"/>
              </w:rPr>
              <w:t>Wave 2</w:t>
            </w:r>
          </w:p>
        </w:tc>
        <w:tc>
          <w:tcPr>
            <w:tcW w:w="2235" w:type="dxa"/>
            <w:gridSpan w:val="3"/>
            <w:tcBorders>
              <w:top w:val="single" w:sz="4" w:space="0" w:color="auto"/>
              <w:left w:val="single" w:sz="4" w:space="0" w:color="auto"/>
              <w:bottom w:val="single" w:sz="4" w:space="0" w:color="auto"/>
              <w:right w:val="single" w:sz="4" w:space="0" w:color="auto"/>
            </w:tcBorders>
            <w:vAlign w:val="center"/>
          </w:tcPr>
          <w:p w14:paraId="083D7BFF" w14:textId="77777777" w:rsidR="00D317D8" w:rsidRPr="001B7431" w:rsidRDefault="00D317D8" w:rsidP="00D317D8">
            <w:pPr>
              <w:spacing w:before="20" w:after="20"/>
              <w:ind w:left="34"/>
              <w:jc w:val="center"/>
              <w:rPr>
                <w:rFonts w:eastAsiaTheme="minorEastAsia"/>
                <w:b/>
                <w:sz w:val="16"/>
                <w:szCs w:val="16"/>
                <w:lang w:eastAsia="en-US"/>
              </w:rPr>
            </w:pPr>
            <w:r w:rsidRPr="001B7431">
              <w:rPr>
                <w:rFonts w:eastAsiaTheme="minorEastAsia"/>
                <w:b/>
                <w:sz w:val="16"/>
                <w:szCs w:val="16"/>
                <w:lang w:eastAsia="en-US"/>
              </w:rPr>
              <w:t>Wave 3</w:t>
            </w:r>
          </w:p>
        </w:tc>
        <w:tc>
          <w:tcPr>
            <w:tcW w:w="2226" w:type="dxa"/>
            <w:gridSpan w:val="3"/>
            <w:tcBorders>
              <w:top w:val="single" w:sz="4" w:space="0" w:color="auto"/>
              <w:left w:val="single" w:sz="4" w:space="0" w:color="auto"/>
              <w:bottom w:val="single" w:sz="4" w:space="0" w:color="auto"/>
            </w:tcBorders>
            <w:vAlign w:val="center"/>
          </w:tcPr>
          <w:p w14:paraId="39CA961E" w14:textId="77777777" w:rsidR="00D317D8" w:rsidRPr="001B7431" w:rsidRDefault="00D317D8" w:rsidP="00D317D8">
            <w:pPr>
              <w:spacing w:before="20" w:after="20"/>
              <w:ind w:left="34"/>
              <w:jc w:val="center"/>
              <w:rPr>
                <w:rFonts w:eastAsiaTheme="minorEastAsia"/>
                <w:b/>
                <w:sz w:val="16"/>
                <w:szCs w:val="16"/>
                <w:lang w:eastAsia="en-US"/>
              </w:rPr>
            </w:pPr>
            <w:r w:rsidRPr="001B7431">
              <w:rPr>
                <w:rFonts w:eastAsiaTheme="minorEastAsia"/>
                <w:b/>
                <w:sz w:val="16"/>
                <w:szCs w:val="16"/>
                <w:lang w:eastAsia="en-US"/>
              </w:rPr>
              <w:t>Wave 4</w:t>
            </w:r>
          </w:p>
        </w:tc>
      </w:tr>
      <w:tr w:rsidR="00D317D8" w:rsidRPr="007B4EF8" w14:paraId="224B1CB2" w14:textId="77777777" w:rsidTr="00793719">
        <w:trPr>
          <w:tblHeader/>
          <w:jc w:val="center"/>
        </w:trPr>
        <w:tc>
          <w:tcPr>
            <w:tcW w:w="2127" w:type="dxa"/>
            <w:vMerge/>
            <w:tcBorders>
              <w:bottom w:val="single" w:sz="4" w:space="0" w:color="auto"/>
            </w:tcBorders>
            <w:vAlign w:val="center"/>
          </w:tcPr>
          <w:p w14:paraId="5B93A204" w14:textId="77777777" w:rsidR="00D317D8" w:rsidRPr="001B7431" w:rsidRDefault="00D317D8" w:rsidP="00D317D8">
            <w:pPr>
              <w:spacing w:before="20" w:after="20"/>
              <w:ind w:left="34"/>
              <w:rPr>
                <w:rFonts w:eastAsiaTheme="minorEastAsia"/>
                <w:b/>
                <w:sz w:val="16"/>
                <w:szCs w:val="16"/>
                <w:lang w:eastAsia="en-US"/>
              </w:rPr>
            </w:pPr>
          </w:p>
        </w:tc>
        <w:tc>
          <w:tcPr>
            <w:tcW w:w="2379" w:type="dxa"/>
            <w:vMerge/>
            <w:tcBorders>
              <w:bottom w:val="single" w:sz="4" w:space="0" w:color="auto"/>
            </w:tcBorders>
          </w:tcPr>
          <w:p w14:paraId="49BB590E" w14:textId="77777777" w:rsidR="00D317D8" w:rsidRPr="001B7431" w:rsidRDefault="00D317D8" w:rsidP="00D317D8">
            <w:pPr>
              <w:spacing w:before="20" w:after="20"/>
              <w:ind w:left="34"/>
              <w:rPr>
                <w:rFonts w:eastAsiaTheme="minorEastAsia"/>
                <w:b/>
                <w:sz w:val="16"/>
                <w:szCs w:val="16"/>
                <w:lang w:eastAsia="en-US"/>
              </w:rPr>
            </w:pPr>
          </w:p>
        </w:tc>
        <w:tc>
          <w:tcPr>
            <w:tcW w:w="616" w:type="dxa"/>
            <w:tcBorders>
              <w:top w:val="single" w:sz="4" w:space="0" w:color="auto"/>
              <w:bottom w:val="single" w:sz="4" w:space="0" w:color="auto"/>
            </w:tcBorders>
            <w:vAlign w:val="center"/>
          </w:tcPr>
          <w:p w14:paraId="3354539D" w14:textId="77777777" w:rsidR="00D317D8" w:rsidRPr="001B7431" w:rsidRDefault="00D317D8" w:rsidP="00D317D8">
            <w:pPr>
              <w:spacing w:before="20" w:after="20"/>
              <w:ind w:left="34"/>
              <w:jc w:val="right"/>
              <w:rPr>
                <w:rFonts w:eastAsiaTheme="minorEastAsia"/>
                <w:b/>
                <w:sz w:val="16"/>
                <w:szCs w:val="16"/>
                <w:lang w:eastAsia="en-US"/>
              </w:rPr>
            </w:pPr>
            <w:r w:rsidRPr="001B7431">
              <w:rPr>
                <w:rFonts w:eastAsiaTheme="minorEastAsia"/>
                <w:b/>
                <w:sz w:val="16"/>
                <w:szCs w:val="16"/>
                <w:lang w:eastAsia="en-US"/>
              </w:rPr>
              <w:t>n</w:t>
            </w:r>
          </w:p>
        </w:tc>
        <w:tc>
          <w:tcPr>
            <w:tcW w:w="496" w:type="dxa"/>
            <w:tcBorders>
              <w:top w:val="single" w:sz="4" w:space="0" w:color="auto"/>
              <w:bottom w:val="single" w:sz="4" w:space="0" w:color="auto"/>
            </w:tcBorders>
            <w:vAlign w:val="center"/>
          </w:tcPr>
          <w:p w14:paraId="45188C98" w14:textId="77777777" w:rsidR="00D317D8" w:rsidRPr="001B7431" w:rsidRDefault="00D317D8" w:rsidP="00D317D8">
            <w:pPr>
              <w:spacing w:before="20" w:after="20"/>
              <w:ind w:left="34"/>
              <w:jc w:val="right"/>
              <w:rPr>
                <w:rFonts w:eastAsiaTheme="minorEastAsia"/>
                <w:b/>
                <w:sz w:val="16"/>
                <w:szCs w:val="16"/>
                <w:lang w:eastAsia="en-US"/>
              </w:rPr>
            </w:pPr>
            <w:r w:rsidRPr="001B7431">
              <w:rPr>
                <w:rFonts w:eastAsiaTheme="minorEastAsia"/>
                <w:b/>
                <w:sz w:val="16"/>
                <w:szCs w:val="16"/>
                <w:lang w:eastAsia="en-US"/>
              </w:rPr>
              <w:t>%</w:t>
            </w:r>
          </w:p>
        </w:tc>
        <w:tc>
          <w:tcPr>
            <w:tcW w:w="1043" w:type="dxa"/>
            <w:tcBorders>
              <w:top w:val="single" w:sz="4" w:space="0" w:color="auto"/>
              <w:bottom w:val="single" w:sz="4" w:space="0" w:color="auto"/>
              <w:right w:val="single" w:sz="4" w:space="0" w:color="auto"/>
            </w:tcBorders>
            <w:vAlign w:val="center"/>
          </w:tcPr>
          <w:p w14:paraId="59D685E6" w14:textId="77777777" w:rsidR="00D317D8" w:rsidRPr="001B7431" w:rsidRDefault="00D317D8" w:rsidP="00D317D8">
            <w:pPr>
              <w:spacing w:before="20" w:after="20"/>
              <w:ind w:left="34"/>
              <w:jc w:val="right"/>
              <w:rPr>
                <w:rFonts w:eastAsiaTheme="minorEastAsia"/>
                <w:b/>
                <w:sz w:val="16"/>
                <w:szCs w:val="16"/>
                <w:lang w:eastAsia="en-US"/>
              </w:rPr>
            </w:pPr>
            <w:r w:rsidRPr="001B7431">
              <w:rPr>
                <w:rFonts w:eastAsiaTheme="minorEastAsia"/>
                <w:b/>
                <w:sz w:val="16"/>
                <w:szCs w:val="16"/>
                <w:lang w:eastAsia="en-US"/>
              </w:rPr>
              <w:t>(95% CI)</w:t>
            </w:r>
          </w:p>
        </w:tc>
        <w:tc>
          <w:tcPr>
            <w:tcW w:w="569" w:type="dxa"/>
            <w:tcBorders>
              <w:top w:val="single" w:sz="4" w:space="0" w:color="auto"/>
              <w:left w:val="single" w:sz="4" w:space="0" w:color="auto"/>
              <w:bottom w:val="single" w:sz="4" w:space="0" w:color="auto"/>
            </w:tcBorders>
            <w:vAlign w:val="center"/>
          </w:tcPr>
          <w:p w14:paraId="15DBAADD" w14:textId="77777777" w:rsidR="00D317D8" w:rsidRPr="001B7431" w:rsidRDefault="00D317D8" w:rsidP="00D317D8">
            <w:pPr>
              <w:spacing w:before="20" w:after="20"/>
              <w:ind w:left="34"/>
              <w:jc w:val="right"/>
              <w:rPr>
                <w:rFonts w:eastAsiaTheme="minorEastAsia"/>
                <w:b/>
                <w:sz w:val="16"/>
                <w:szCs w:val="16"/>
                <w:lang w:eastAsia="en-US"/>
              </w:rPr>
            </w:pPr>
            <w:r w:rsidRPr="001B7431">
              <w:rPr>
                <w:rFonts w:eastAsiaTheme="minorEastAsia"/>
                <w:b/>
                <w:sz w:val="16"/>
                <w:szCs w:val="16"/>
                <w:lang w:eastAsia="en-US"/>
              </w:rPr>
              <w:t>n</w:t>
            </w:r>
          </w:p>
        </w:tc>
        <w:tc>
          <w:tcPr>
            <w:tcW w:w="567" w:type="dxa"/>
            <w:tcBorders>
              <w:top w:val="single" w:sz="4" w:space="0" w:color="auto"/>
              <w:bottom w:val="single" w:sz="4" w:space="0" w:color="auto"/>
            </w:tcBorders>
            <w:vAlign w:val="center"/>
          </w:tcPr>
          <w:p w14:paraId="27369FC0" w14:textId="77777777" w:rsidR="00D317D8" w:rsidRPr="001B7431" w:rsidRDefault="00D317D8" w:rsidP="00D317D8">
            <w:pPr>
              <w:spacing w:before="20" w:after="20"/>
              <w:ind w:left="34"/>
              <w:jc w:val="right"/>
              <w:rPr>
                <w:rFonts w:eastAsiaTheme="minorEastAsia"/>
                <w:b/>
                <w:sz w:val="16"/>
                <w:szCs w:val="16"/>
                <w:lang w:eastAsia="en-US"/>
              </w:rPr>
            </w:pPr>
            <w:r w:rsidRPr="001B7431">
              <w:rPr>
                <w:rFonts w:eastAsiaTheme="minorEastAsia"/>
                <w:b/>
                <w:sz w:val="16"/>
                <w:szCs w:val="16"/>
                <w:lang w:eastAsia="en-US"/>
              </w:rPr>
              <w:t>%</w:t>
            </w:r>
          </w:p>
        </w:tc>
        <w:tc>
          <w:tcPr>
            <w:tcW w:w="1123" w:type="dxa"/>
            <w:tcBorders>
              <w:top w:val="single" w:sz="4" w:space="0" w:color="auto"/>
              <w:bottom w:val="single" w:sz="4" w:space="0" w:color="auto"/>
              <w:right w:val="single" w:sz="4" w:space="0" w:color="auto"/>
            </w:tcBorders>
            <w:vAlign w:val="center"/>
          </w:tcPr>
          <w:p w14:paraId="759B5CD1" w14:textId="77777777" w:rsidR="00D317D8" w:rsidRPr="001B7431" w:rsidRDefault="00D317D8" w:rsidP="00D317D8">
            <w:pPr>
              <w:spacing w:before="20" w:after="20"/>
              <w:ind w:left="34"/>
              <w:jc w:val="right"/>
              <w:rPr>
                <w:rFonts w:eastAsiaTheme="minorEastAsia"/>
                <w:b/>
                <w:sz w:val="16"/>
                <w:szCs w:val="16"/>
                <w:lang w:eastAsia="en-US"/>
              </w:rPr>
            </w:pPr>
            <w:r w:rsidRPr="001B7431">
              <w:rPr>
                <w:rFonts w:eastAsiaTheme="minorEastAsia"/>
                <w:b/>
                <w:sz w:val="16"/>
                <w:szCs w:val="16"/>
                <w:lang w:eastAsia="en-US"/>
              </w:rPr>
              <w:t>(95% CI)</w:t>
            </w:r>
          </w:p>
        </w:tc>
        <w:tc>
          <w:tcPr>
            <w:tcW w:w="536" w:type="dxa"/>
            <w:tcBorders>
              <w:top w:val="single" w:sz="4" w:space="0" w:color="auto"/>
              <w:left w:val="single" w:sz="4" w:space="0" w:color="auto"/>
              <w:bottom w:val="single" w:sz="4" w:space="0" w:color="auto"/>
            </w:tcBorders>
            <w:vAlign w:val="center"/>
          </w:tcPr>
          <w:p w14:paraId="6444B67C" w14:textId="77777777" w:rsidR="00D317D8" w:rsidRPr="001B7431" w:rsidRDefault="00D317D8" w:rsidP="00D317D8">
            <w:pPr>
              <w:spacing w:before="20" w:after="20"/>
              <w:ind w:left="34"/>
              <w:jc w:val="right"/>
              <w:rPr>
                <w:rFonts w:eastAsiaTheme="minorEastAsia"/>
                <w:b/>
                <w:sz w:val="16"/>
                <w:szCs w:val="16"/>
                <w:lang w:eastAsia="en-US"/>
              </w:rPr>
            </w:pPr>
            <w:r w:rsidRPr="001B7431">
              <w:rPr>
                <w:rFonts w:eastAsiaTheme="minorEastAsia"/>
                <w:b/>
                <w:sz w:val="16"/>
                <w:szCs w:val="16"/>
                <w:lang w:eastAsia="en-US"/>
              </w:rPr>
              <w:t>n</w:t>
            </w:r>
          </w:p>
        </w:tc>
        <w:tc>
          <w:tcPr>
            <w:tcW w:w="576" w:type="dxa"/>
            <w:tcBorders>
              <w:top w:val="single" w:sz="4" w:space="0" w:color="auto"/>
              <w:bottom w:val="single" w:sz="4" w:space="0" w:color="auto"/>
            </w:tcBorders>
            <w:vAlign w:val="center"/>
          </w:tcPr>
          <w:p w14:paraId="3B1996ED" w14:textId="77777777" w:rsidR="00D317D8" w:rsidRPr="001B7431" w:rsidRDefault="00D317D8" w:rsidP="00D317D8">
            <w:pPr>
              <w:spacing w:before="20" w:after="20"/>
              <w:ind w:left="34"/>
              <w:jc w:val="right"/>
              <w:rPr>
                <w:rFonts w:eastAsiaTheme="minorEastAsia"/>
                <w:b/>
                <w:sz w:val="16"/>
                <w:szCs w:val="16"/>
                <w:lang w:eastAsia="en-US"/>
              </w:rPr>
            </w:pPr>
            <w:r w:rsidRPr="001B7431">
              <w:rPr>
                <w:rFonts w:eastAsiaTheme="minorEastAsia"/>
                <w:b/>
                <w:sz w:val="16"/>
                <w:szCs w:val="16"/>
                <w:lang w:eastAsia="en-US"/>
              </w:rPr>
              <w:t>%</w:t>
            </w:r>
          </w:p>
        </w:tc>
        <w:tc>
          <w:tcPr>
            <w:tcW w:w="1123" w:type="dxa"/>
            <w:tcBorders>
              <w:top w:val="single" w:sz="4" w:space="0" w:color="auto"/>
              <w:bottom w:val="single" w:sz="4" w:space="0" w:color="auto"/>
              <w:right w:val="single" w:sz="4" w:space="0" w:color="auto"/>
            </w:tcBorders>
            <w:vAlign w:val="center"/>
          </w:tcPr>
          <w:p w14:paraId="5FBFE0CE" w14:textId="77777777" w:rsidR="00D317D8" w:rsidRPr="001B7431" w:rsidRDefault="00D317D8" w:rsidP="00D317D8">
            <w:pPr>
              <w:spacing w:before="20" w:after="20"/>
              <w:ind w:left="34"/>
              <w:jc w:val="right"/>
              <w:rPr>
                <w:rFonts w:eastAsiaTheme="minorEastAsia"/>
                <w:b/>
                <w:sz w:val="16"/>
                <w:szCs w:val="16"/>
                <w:lang w:eastAsia="en-US"/>
              </w:rPr>
            </w:pPr>
            <w:r w:rsidRPr="001B7431">
              <w:rPr>
                <w:rFonts w:eastAsiaTheme="minorEastAsia"/>
                <w:b/>
                <w:sz w:val="16"/>
                <w:szCs w:val="16"/>
                <w:lang w:eastAsia="en-US"/>
              </w:rPr>
              <w:t>(95% CI)</w:t>
            </w:r>
          </w:p>
        </w:tc>
        <w:tc>
          <w:tcPr>
            <w:tcW w:w="536" w:type="dxa"/>
            <w:tcBorders>
              <w:top w:val="single" w:sz="4" w:space="0" w:color="auto"/>
              <w:left w:val="single" w:sz="4" w:space="0" w:color="auto"/>
              <w:bottom w:val="single" w:sz="4" w:space="0" w:color="auto"/>
            </w:tcBorders>
            <w:vAlign w:val="center"/>
          </w:tcPr>
          <w:p w14:paraId="5F202F74" w14:textId="77777777" w:rsidR="00D317D8" w:rsidRPr="001B7431" w:rsidRDefault="00D317D8" w:rsidP="00D317D8">
            <w:pPr>
              <w:spacing w:before="20" w:after="20"/>
              <w:ind w:left="34"/>
              <w:jc w:val="right"/>
              <w:rPr>
                <w:rFonts w:eastAsiaTheme="minorEastAsia"/>
                <w:b/>
                <w:sz w:val="16"/>
                <w:szCs w:val="16"/>
                <w:lang w:eastAsia="en-US"/>
              </w:rPr>
            </w:pPr>
            <w:r w:rsidRPr="001B7431">
              <w:rPr>
                <w:rFonts w:eastAsiaTheme="minorEastAsia"/>
                <w:b/>
                <w:sz w:val="16"/>
                <w:szCs w:val="16"/>
                <w:lang w:eastAsia="en-US"/>
              </w:rPr>
              <w:t>n</w:t>
            </w:r>
          </w:p>
        </w:tc>
        <w:tc>
          <w:tcPr>
            <w:tcW w:w="567" w:type="dxa"/>
            <w:tcBorders>
              <w:top w:val="single" w:sz="4" w:space="0" w:color="auto"/>
              <w:bottom w:val="single" w:sz="4" w:space="0" w:color="auto"/>
            </w:tcBorders>
            <w:vAlign w:val="center"/>
          </w:tcPr>
          <w:p w14:paraId="70C94F34" w14:textId="77777777" w:rsidR="00D317D8" w:rsidRPr="001B7431" w:rsidRDefault="00D317D8" w:rsidP="00D317D8">
            <w:pPr>
              <w:spacing w:before="20" w:after="20"/>
              <w:ind w:left="34"/>
              <w:jc w:val="right"/>
              <w:rPr>
                <w:rFonts w:eastAsiaTheme="minorEastAsia"/>
                <w:b/>
                <w:sz w:val="16"/>
                <w:szCs w:val="16"/>
                <w:lang w:eastAsia="en-US"/>
              </w:rPr>
            </w:pPr>
            <w:r w:rsidRPr="001B7431">
              <w:rPr>
                <w:rFonts w:eastAsiaTheme="minorEastAsia"/>
                <w:b/>
                <w:sz w:val="16"/>
                <w:szCs w:val="16"/>
                <w:lang w:eastAsia="en-US"/>
              </w:rPr>
              <w:t>%</w:t>
            </w:r>
          </w:p>
        </w:tc>
        <w:tc>
          <w:tcPr>
            <w:tcW w:w="1123" w:type="dxa"/>
            <w:tcBorders>
              <w:top w:val="single" w:sz="4" w:space="0" w:color="auto"/>
              <w:bottom w:val="single" w:sz="4" w:space="0" w:color="auto"/>
            </w:tcBorders>
            <w:vAlign w:val="center"/>
          </w:tcPr>
          <w:p w14:paraId="75F06477" w14:textId="77777777" w:rsidR="00D317D8" w:rsidRPr="001B7431" w:rsidRDefault="00D317D8" w:rsidP="00D317D8">
            <w:pPr>
              <w:spacing w:before="20" w:after="20"/>
              <w:ind w:left="34"/>
              <w:jc w:val="right"/>
              <w:rPr>
                <w:rFonts w:eastAsiaTheme="minorEastAsia"/>
                <w:b/>
                <w:sz w:val="16"/>
                <w:szCs w:val="16"/>
                <w:lang w:eastAsia="en-US"/>
              </w:rPr>
            </w:pPr>
            <w:r w:rsidRPr="001B7431">
              <w:rPr>
                <w:rFonts w:eastAsiaTheme="minorEastAsia"/>
                <w:b/>
                <w:sz w:val="16"/>
                <w:szCs w:val="16"/>
                <w:lang w:eastAsia="en-US"/>
              </w:rPr>
              <w:t>(95% CI)</w:t>
            </w:r>
          </w:p>
        </w:tc>
      </w:tr>
      <w:tr w:rsidR="00D317D8" w:rsidRPr="007B4EF8" w14:paraId="547ACF8D" w14:textId="77777777" w:rsidTr="00793719">
        <w:trPr>
          <w:jc w:val="center"/>
        </w:trPr>
        <w:tc>
          <w:tcPr>
            <w:tcW w:w="4506" w:type="dxa"/>
            <w:gridSpan w:val="2"/>
            <w:tcBorders>
              <w:top w:val="single" w:sz="4" w:space="0" w:color="auto"/>
            </w:tcBorders>
            <w:vAlign w:val="center"/>
          </w:tcPr>
          <w:p w14:paraId="3698AF0F" w14:textId="77777777" w:rsidR="00D317D8" w:rsidRPr="001B7431" w:rsidRDefault="00D317D8" w:rsidP="00D317D8">
            <w:pPr>
              <w:spacing w:before="20" w:after="20"/>
              <w:ind w:left="34"/>
              <w:rPr>
                <w:rFonts w:eastAsiaTheme="minorEastAsia"/>
                <w:sz w:val="16"/>
                <w:szCs w:val="16"/>
                <w:lang w:eastAsia="en-US"/>
              </w:rPr>
            </w:pPr>
            <w:r w:rsidRPr="009A1B9E">
              <w:rPr>
                <w:rFonts w:eastAsiaTheme="minorEastAsia"/>
                <w:b/>
                <w:sz w:val="16"/>
                <w:szCs w:val="18"/>
                <w:lang w:eastAsia="en-US"/>
              </w:rPr>
              <w:t>Number of gambling activities participated in</w:t>
            </w:r>
          </w:p>
        </w:tc>
        <w:tc>
          <w:tcPr>
            <w:tcW w:w="616" w:type="dxa"/>
            <w:tcBorders>
              <w:top w:val="single" w:sz="4" w:space="0" w:color="auto"/>
            </w:tcBorders>
            <w:vAlign w:val="center"/>
          </w:tcPr>
          <w:p w14:paraId="1A80967D" w14:textId="77777777" w:rsidR="00D317D8" w:rsidRDefault="00D317D8" w:rsidP="00D317D8">
            <w:pPr>
              <w:jc w:val="right"/>
              <w:rPr>
                <w:color w:val="000000"/>
                <w:sz w:val="16"/>
                <w:szCs w:val="16"/>
                <w:lang w:eastAsia="en-NZ"/>
              </w:rPr>
            </w:pPr>
          </w:p>
        </w:tc>
        <w:tc>
          <w:tcPr>
            <w:tcW w:w="496" w:type="dxa"/>
            <w:tcBorders>
              <w:top w:val="single" w:sz="4" w:space="0" w:color="auto"/>
            </w:tcBorders>
            <w:vAlign w:val="center"/>
          </w:tcPr>
          <w:p w14:paraId="5219EA30" w14:textId="77777777" w:rsidR="00D317D8" w:rsidRDefault="00D317D8" w:rsidP="00D317D8">
            <w:pPr>
              <w:jc w:val="right"/>
              <w:rPr>
                <w:color w:val="000000"/>
                <w:sz w:val="16"/>
                <w:szCs w:val="16"/>
              </w:rPr>
            </w:pPr>
          </w:p>
        </w:tc>
        <w:tc>
          <w:tcPr>
            <w:tcW w:w="1043" w:type="dxa"/>
            <w:tcBorders>
              <w:top w:val="single" w:sz="4" w:space="0" w:color="auto"/>
              <w:right w:val="single" w:sz="4" w:space="0" w:color="auto"/>
            </w:tcBorders>
            <w:vAlign w:val="center"/>
          </w:tcPr>
          <w:p w14:paraId="473A16CB" w14:textId="77777777" w:rsidR="00D317D8" w:rsidRDefault="00D317D8" w:rsidP="00D317D8">
            <w:pPr>
              <w:jc w:val="right"/>
              <w:rPr>
                <w:color w:val="000000"/>
                <w:sz w:val="16"/>
                <w:szCs w:val="16"/>
              </w:rPr>
            </w:pPr>
          </w:p>
        </w:tc>
        <w:tc>
          <w:tcPr>
            <w:tcW w:w="569" w:type="dxa"/>
            <w:tcBorders>
              <w:top w:val="single" w:sz="4" w:space="0" w:color="auto"/>
              <w:left w:val="single" w:sz="4" w:space="0" w:color="auto"/>
            </w:tcBorders>
            <w:vAlign w:val="center"/>
          </w:tcPr>
          <w:p w14:paraId="1A893E0B" w14:textId="77777777" w:rsidR="00D317D8" w:rsidRDefault="00D317D8" w:rsidP="00D317D8">
            <w:pPr>
              <w:jc w:val="right"/>
              <w:rPr>
                <w:color w:val="000000"/>
                <w:sz w:val="16"/>
                <w:szCs w:val="16"/>
              </w:rPr>
            </w:pPr>
          </w:p>
        </w:tc>
        <w:tc>
          <w:tcPr>
            <w:tcW w:w="567" w:type="dxa"/>
            <w:tcBorders>
              <w:top w:val="single" w:sz="4" w:space="0" w:color="auto"/>
            </w:tcBorders>
            <w:vAlign w:val="center"/>
          </w:tcPr>
          <w:p w14:paraId="1E1DECBD" w14:textId="77777777" w:rsidR="00D317D8" w:rsidRDefault="00D317D8" w:rsidP="00D317D8">
            <w:pPr>
              <w:jc w:val="right"/>
              <w:rPr>
                <w:color w:val="000000"/>
                <w:sz w:val="16"/>
                <w:szCs w:val="16"/>
              </w:rPr>
            </w:pPr>
          </w:p>
        </w:tc>
        <w:tc>
          <w:tcPr>
            <w:tcW w:w="1123" w:type="dxa"/>
            <w:tcBorders>
              <w:top w:val="single" w:sz="4" w:space="0" w:color="auto"/>
              <w:right w:val="single" w:sz="4" w:space="0" w:color="auto"/>
            </w:tcBorders>
            <w:vAlign w:val="center"/>
          </w:tcPr>
          <w:p w14:paraId="7D0FBFBC" w14:textId="77777777" w:rsidR="00D317D8" w:rsidRDefault="00D317D8" w:rsidP="00D317D8">
            <w:pPr>
              <w:jc w:val="right"/>
              <w:rPr>
                <w:color w:val="000000"/>
                <w:sz w:val="16"/>
                <w:szCs w:val="16"/>
              </w:rPr>
            </w:pPr>
          </w:p>
        </w:tc>
        <w:tc>
          <w:tcPr>
            <w:tcW w:w="536" w:type="dxa"/>
            <w:tcBorders>
              <w:top w:val="single" w:sz="4" w:space="0" w:color="auto"/>
              <w:left w:val="single" w:sz="4" w:space="0" w:color="auto"/>
            </w:tcBorders>
            <w:vAlign w:val="center"/>
          </w:tcPr>
          <w:p w14:paraId="603B8E86" w14:textId="77777777" w:rsidR="00D317D8" w:rsidRDefault="00D317D8" w:rsidP="00D317D8">
            <w:pPr>
              <w:jc w:val="right"/>
              <w:rPr>
                <w:color w:val="000000"/>
                <w:sz w:val="16"/>
                <w:szCs w:val="16"/>
              </w:rPr>
            </w:pPr>
          </w:p>
        </w:tc>
        <w:tc>
          <w:tcPr>
            <w:tcW w:w="576" w:type="dxa"/>
            <w:tcBorders>
              <w:top w:val="single" w:sz="4" w:space="0" w:color="auto"/>
            </w:tcBorders>
            <w:vAlign w:val="center"/>
          </w:tcPr>
          <w:p w14:paraId="67D79500" w14:textId="77777777" w:rsidR="00D317D8" w:rsidRDefault="00D317D8" w:rsidP="00D317D8">
            <w:pPr>
              <w:jc w:val="right"/>
              <w:rPr>
                <w:color w:val="000000"/>
                <w:sz w:val="16"/>
                <w:szCs w:val="16"/>
              </w:rPr>
            </w:pPr>
          </w:p>
        </w:tc>
        <w:tc>
          <w:tcPr>
            <w:tcW w:w="1123" w:type="dxa"/>
            <w:tcBorders>
              <w:top w:val="single" w:sz="4" w:space="0" w:color="auto"/>
              <w:right w:val="single" w:sz="4" w:space="0" w:color="auto"/>
            </w:tcBorders>
            <w:vAlign w:val="center"/>
          </w:tcPr>
          <w:p w14:paraId="547C1789" w14:textId="77777777" w:rsidR="00D317D8" w:rsidRDefault="00D317D8" w:rsidP="00D317D8">
            <w:pPr>
              <w:jc w:val="right"/>
              <w:rPr>
                <w:color w:val="000000"/>
                <w:sz w:val="16"/>
                <w:szCs w:val="16"/>
              </w:rPr>
            </w:pPr>
          </w:p>
        </w:tc>
        <w:tc>
          <w:tcPr>
            <w:tcW w:w="536" w:type="dxa"/>
            <w:tcBorders>
              <w:top w:val="single" w:sz="4" w:space="0" w:color="auto"/>
              <w:left w:val="single" w:sz="4" w:space="0" w:color="auto"/>
            </w:tcBorders>
            <w:vAlign w:val="center"/>
          </w:tcPr>
          <w:p w14:paraId="379FCA3F" w14:textId="77777777" w:rsidR="00D317D8" w:rsidRDefault="00D317D8" w:rsidP="00D317D8">
            <w:pPr>
              <w:jc w:val="right"/>
              <w:rPr>
                <w:color w:val="000000"/>
                <w:sz w:val="16"/>
                <w:szCs w:val="16"/>
              </w:rPr>
            </w:pPr>
          </w:p>
        </w:tc>
        <w:tc>
          <w:tcPr>
            <w:tcW w:w="567" w:type="dxa"/>
            <w:tcBorders>
              <w:top w:val="single" w:sz="4" w:space="0" w:color="auto"/>
            </w:tcBorders>
            <w:vAlign w:val="center"/>
          </w:tcPr>
          <w:p w14:paraId="081EA6CF" w14:textId="77777777" w:rsidR="00D317D8" w:rsidRDefault="00D317D8" w:rsidP="00D317D8">
            <w:pPr>
              <w:jc w:val="right"/>
              <w:rPr>
                <w:color w:val="000000"/>
                <w:sz w:val="16"/>
                <w:szCs w:val="16"/>
              </w:rPr>
            </w:pPr>
          </w:p>
        </w:tc>
        <w:tc>
          <w:tcPr>
            <w:tcW w:w="1123" w:type="dxa"/>
            <w:tcBorders>
              <w:top w:val="single" w:sz="4" w:space="0" w:color="auto"/>
            </w:tcBorders>
            <w:vAlign w:val="center"/>
          </w:tcPr>
          <w:p w14:paraId="1AF21776" w14:textId="77777777" w:rsidR="00D317D8" w:rsidRDefault="00D317D8" w:rsidP="00D317D8">
            <w:pPr>
              <w:jc w:val="right"/>
              <w:rPr>
                <w:color w:val="000000"/>
                <w:sz w:val="16"/>
                <w:szCs w:val="16"/>
              </w:rPr>
            </w:pPr>
          </w:p>
        </w:tc>
      </w:tr>
      <w:tr w:rsidR="00D317D8" w:rsidRPr="007B4EF8" w14:paraId="4074472D" w14:textId="77777777" w:rsidTr="00793719">
        <w:trPr>
          <w:jc w:val="center"/>
        </w:trPr>
        <w:tc>
          <w:tcPr>
            <w:tcW w:w="2127" w:type="dxa"/>
          </w:tcPr>
          <w:p w14:paraId="06792B38" w14:textId="77777777" w:rsidR="00D317D8" w:rsidRPr="00D317D8" w:rsidRDefault="00D317D8" w:rsidP="00D317D8">
            <w:pPr>
              <w:tabs>
                <w:tab w:val="left" w:pos="176"/>
              </w:tabs>
              <w:spacing w:before="20" w:after="20"/>
              <w:rPr>
                <w:rFonts w:eastAsiaTheme="minorEastAsia"/>
                <w:sz w:val="18"/>
                <w:szCs w:val="18"/>
                <w:lang w:eastAsia="en-US"/>
              </w:rPr>
            </w:pPr>
            <w:r w:rsidRPr="00D317D8">
              <w:rPr>
                <w:rFonts w:eastAsiaTheme="minorEastAsia"/>
                <w:sz w:val="18"/>
                <w:szCs w:val="18"/>
                <w:lang w:eastAsia="en-US"/>
              </w:rPr>
              <w:t>1</w:t>
            </w:r>
          </w:p>
        </w:tc>
        <w:tc>
          <w:tcPr>
            <w:tcW w:w="2379" w:type="dxa"/>
          </w:tcPr>
          <w:p w14:paraId="717BB265" w14:textId="77777777" w:rsidR="00D317D8" w:rsidRPr="001B7431" w:rsidRDefault="00D317D8" w:rsidP="00D317D8">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vAlign w:val="center"/>
          </w:tcPr>
          <w:p w14:paraId="3177CF98" w14:textId="77777777" w:rsidR="00D317D8" w:rsidRDefault="00D317D8" w:rsidP="00D317D8">
            <w:pPr>
              <w:jc w:val="right"/>
              <w:rPr>
                <w:color w:val="000000"/>
                <w:sz w:val="16"/>
                <w:szCs w:val="16"/>
                <w:lang w:eastAsia="en-NZ"/>
              </w:rPr>
            </w:pPr>
            <w:r>
              <w:rPr>
                <w:color w:val="000000"/>
                <w:sz w:val="16"/>
                <w:szCs w:val="16"/>
              </w:rPr>
              <w:t>1325</w:t>
            </w:r>
          </w:p>
        </w:tc>
        <w:tc>
          <w:tcPr>
            <w:tcW w:w="496" w:type="dxa"/>
            <w:vAlign w:val="center"/>
          </w:tcPr>
          <w:p w14:paraId="5C63BA48" w14:textId="77777777" w:rsidR="00D317D8" w:rsidRDefault="00D317D8" w:rsidP="00D317D8">
            <w:pPr>
              <w:jc w:val="right"/>
              <w:rPr>
                <w:color w:val="000000"/>
                <w:sz w:val="16"/>
                <w:szCs w:val="16"/>
              </w:rPr>
            </w:pPr>
            <w:r>
              <w:rPr>
                <w:color w:val="000000"/>
                <w:sz w:val="16"/>
                <w:szCs w:val="16"/>
              </w:rPr>
              <w:t>96.3</w:t>
            </w:r>
          </w:p>
        </w:tc>
        <w:tc>
          <w:tcPr>
            <w:tcW w:w="1043" w:type="dxa"/>
            <w:tcBorders>
              <w:right w:val="single" w:sz="4" w:space="0" w:color="auto"/>
            </w:tcBorders>
            <w:vAlign w:val="center"/>
          </w:tcPr>
          <w:p w14:paraId="78EE419B" w14:textId="77777777" w:rsidR="00D317D8" w:rsidRDefault="00D317D8" w:rsidP="00D317D8">
            <w:pPr>
              <w:jc w:val="right"/>
              <w:rPr>
                <w:color w:val="000000"/>
                <w:sz w:val="16"/>
                <w:szCs w:val="16"/>
              </w:rPr>
            </w:pPr>
            <w:r>
              <w:rPr>
                <w:color w:val="000000"/>
                <w:sz w:val="16"/>
                <w:szCs w:val="16"/>
              </w:rPr>
              <w:t>(95</w:t>
            </w:r>
            <w:r w:rsidR="004860AB">
              <w:rPr>
                <w:color w:val="000000"/>
                <w:sz w:val="16"/>
                <w:szCs w:val="16"/>
              </w:rPr>
              <w:t>.0</w:t>
            </w:r>
            <w:r>
              <w:rPr>
                <w:color w:val="000000"/>
                <w:sz w:val="16"/>
                <w:szCs w:val="16"/>
              </w:rPr>
              <w:t>, 97.6)</w:t>
            </w:r>
          </w:p>
        </w:tc>
        <w:tc>
          <w:tcPr>
            <w:tcW w:w="569" w:type="dxa"/>
            <w:tcBorders>
              <w:left w:val="single" w:sz="4" w:space="0" w:color="auto"/>
            </w:tcBorders>
            <w:vAlign w:val="center"/>
          </w:tcPr>
          <w:p w14:paraId="6757D543" w14:textId="77777777" w:rsidR="00D317D8" w:rsidRDefault="00D317D8" w:rsidP="00D317D8">
            <w:pPr>
              <w:jc w:val="right"/>
              <w:rPr>
                <w:color w:val="000000"/>
                <w:sz w:val="16"/>
                <w:szCs w:val="16"/>
              </w:rPr>
            </w:pPr>
            <w:r>
              <w:rPr>
                <w:color w:val="000000"/>
                <w:sz w:val="16"/>
                <w:szCs w:val="16"/>
              </w:rPr>
              <w:t>770</w:t>
            </w:r>
          </w:p>
        </w:tc>
        <w:tc>
          <w:tcPr>
            <w:tcW w:w="567" w:type="dxa"/>
            <w:vAlign w:val="center"/>
          </w:tcPr>
          <w:p w14:paraId="2F9D5238" w14:textId="77777777" w:rsidR="00D317D8" w:rsidRDefault="00D317D8" w:rsidP="00D317D8">
            <w:pPr>
              <w:jc w:val="right"/>
              <w:rPr>
                <w:color w:val="000000"/>
                <w:sz w:val="16"/>
                <w:szCs w:val="16"/>
              </w:rPr>
            </w:pPr>
            <w:r>
              <w:rPr>
                <w:color w:val="000000"/>
                <w:sz w:val="16"/>
                <w:szCs w:val="16"/>
              </w:rPr>
              <w:t>95.8</w:t>
            </w:r>
          </w:p>
        </w:tc>
        <w:tc>
          <w:tcPr>
            <w:tcW w:w="1123" w:type="dxa"/>
            <w:tcBorders>
              <w:right w:val="single" w:sz="4" w:space="0" w:color="auto"/>
            </w:tcBorders>
            <w:vAlign w:val="center"/>
          </w:tcPr>
          <w:p w14:paraId="4167F0E1" w14:textId="77777777" w:rsidR="00D317D8" w:rsidRDefault="00D317D8" w:rsidP="00D317D8">
            <w:pPr>
              <w:jc w:val="right"/>
              <w:rPr>
                <w:color w:val="000000"/>
                <w:sz w:val="16"/>
                <w:szCs w:val="16"/>
              </w:rPr>
            </w:pPr>
            <w:r>
              <w:rPr>
                <w:color w:val="000000"/>
                <w:sz w:val="16"/>
                <w:szCs w:val="16"/>
              </w:rPr>
              <w:t>(94.2, 97.3)</w:t>
            </w:r>
          </w:p>
        </w:tc>
        <w:tc>
          <w:tcPr>
            <w:tcW w:w="536" w:type="dxa"/>
            <w:tcBorders>
              <w:left w:val="single" w:sz="4" w:space="0" w:color="auto"/>
            </w:tcBorders>
            <w:vAlign w:val="center"/>
          </w:tcPr>
          <w:p w14:paraId="4B90CCF7" w14:textId="77777777" w:rsidR="00D317D8" w:rsidRDefault="00D317D8" w:rsidP="00D317D8">
            <w:pPr>
              <w:jc w:val="right"/>
              <w:rPr>
                <w:color w:val="000000"/>
                <w:sz w:val="16"/>
                <w:szCs w:val="16"/>
              </w:rPr>
            </w:pPr>
            <w:r>
              <w:rPr>
                <w:color w:val="000000"/>
                <w:sz w:val="16"/>
                <w:szCs w:val="16"/>
              </w:rPr>
              <w:t>660</w:t>
            </w:r>
          </w:p>
        </w:tc>
        <w:tc>
          <w:tcPr>
            <w:tcW w:w="576" w:type="dxa"/>
            <w:vAlign w:val="center"/>
          </w:tcPr>
          <w:p w14:paraId="0D1408C9" w14:textId="77777777" w:rsidR="00D317D8" w:rsidRDefault="00D317D8" w:rsidP="00D317D8">
            <w:pPr>
              <w:jc w:val="right"/>
              <w:rPr>
                <w:color w:val="000000"/>
                <w:sz w:val="16"/>
                <w:szCs w:val="16"/>
              </w:rPr>
            </w:pPr>
            <w:r>
              <w:rPr>
                <w:color w:val="000000"/>
                <w:sz w:val="16"/>
                <w:szCs w:val="16"/>
              </w:rPr>
              <w:t>95.3</w:t>
            </w:r>
          </w:p>
        </w:tc>
        <w:tc>
          <w:tcPr>
            <w:tcW w:w="1123" w:type="dxa"/>
            <w:tcBorders>
              <w:right w:val="single" w:sz="4" w:space="0" w:color="auto"/>
            </w:tcBorders>
            <w:vAlign w:val="center"/>
          </w:tcPr>
          <w:p w14:paraId="54A1AD75" w14:textId="77777777" w:rsidR="00D317D8" w:rsidRDefault="00D317D8" w:rsidP="00D317D8">
            <w:pPr>
              <w:jc w:val="right"/>
              <w:rPr>
                <w:color w:val="000000"/>
                <w:sz w:val="16"/>
                <w:szCs w:val="16"/>
              </w:rPr>
            </w:pPr>
            <w:r>
              <w:rPr>
                <w:color w:val="000000"/>
                <w:sz w:val="16"/>
                <w:szCs w:val="16"/>
              </w:rPr>
              <w:t>(93.5, 97)</w:t>
            </w:r>
          </w:p>
        </w:tc>
        <w:tc>
          <w:tcPr>
            <w:tcW w:w="536" w:type="dxa"/>
            <w:tcBorders>
              <w:left w:val="single" w:sz="4" w:space="0" w:color="auto"/>
            </w:tcBorders>
            <w:vAlign w:val="center"/>
          </w:tcPr>
          <w:p w14:paraId="5988424F" w14:textId="77777777" w:rsidR="00D317D8" w:rsidRDefault="00D317D8" w:rsidP="00D317D8">
            <w:pPr>
              <w:jc w:val="right"/>
              <w:rPr>
                <w:color w:val="000000"/>
                <w:sz w:val="16"/>
                <w:szCs w:val="16"/>
              </w:rPr>
            </w:pPr>
            <w:r>
              <w:rPr>
                <w:color w:val="000000"/>
                <w:sz w:val="16"/>
                <w:szCs w:val="16"/>
              </w:rPr>
              <w:t>595</w:t>
            </w:r>
          </w:p>
        </w:tc>
        <w:tc>
          <w:tcPr>
            <w:tcW w:w="567" w:type="dxa"/>
            <w:vAlign w:val="center"/>
          </w:tcPr>
          <w:p w14:paraId="5B64C49D" w14:textId="77777777" w:rsidR="00D317D8" w:rsidRDefault="00D317D8" w:rsidP="00D317D8">
            <w:pPr>
              <w:jc w:val="right"/>
              <w:rPr>
                <w:color w:val="000000"/>
                <w:sz w:val="16"/>
                <w:szCs w:val="16"/>
              </w:rPr>
            </w:pPr>
            <w:r>
              <w:rPr>
                <w:color w:val="000000"/>
                <w:sz w:val="16"/>
                <w:szCs w:val="16"/>
              </w:rPr>
              <w:t>95.7</w:t>
            </w:r>
          </w:p>
        </w:tc>
        <w:tc>
          <w:tcPr>
            <w:tcW w:w="1123" w:type="dxa"/>
            <w:vAlign w:val="center"/>
          </w:tcPr>
          <w:p w14:paraId="43D794CD" w14:textId="77777777" w:rsidR="00D317D8" w:rsidRDefault="00D317D8" w:rsidP="00D317D8">
            <w:pPr>
              <w:jc w:val="right"/>
              <w:rPr>
                <w:color w:val="000000"/>
                <w:sz w:val="16"/>
                <w:szCs w:val="16"/>
              </w:rPr>
            </w:pPr>
            <w:r>
              <w:rPr>
                <w:color w:val="000000"/>
                <w:sz w:val="16"/>
                <w:szCs w:val="16"/>
              </w:rPr>
              <w:t>(94.1, 97.3)</w:t>
            </w:r>
          </w:p>
        </w:tc>
      </w:tr>
      <w:tr w:rsidR="00D317D8" w:rsidRPr="007B4EF8" w14:paraId="35FC45C8" w14:textId="77777777" w:rsidTr="00793719">
        <w:trPr>
          <w:jc w:val="center"/>
        </w:trPr>
        <w:tc>
          <w:tcPr>
            <w:tcW w:w="2127" w:type="dxa"/>
          </w:tcPr>
          <w:p w14:paraId="47DB66DC" w14:textId="77777777" w:rsidR="00D317D8" w:rsidRPr="00D317D8" w:rsidRDefault="00D317D8" w:rsidP="00D317D8">
            <w:pPr>
              <w:tabs>
                <w:tab w:val="left" w:pos="176"/>
              </w:tabs>
              <w:spacing w:before="20" w:after="20"/>
              <w:rPr>
                <w:rFonts w:eastAsiaTheme="minorEastAsia"/>
                <w:sz w:val="18"/>
                <w:szCs w:val="18"/>
                <w:lang w:eastAsia="en-US"/>
              </w:rPr>
            </w:pPr>
          </w:p>
        </w:tc>
        <w:tc>
          <w:tcPr>
            <w:tcW w:w="2379" w:type="dxa"/>
          </w:tcPr>
          <w:p w14:paraId="4705D3C6" w14:textId="77777777" w:rsidR="00D317D8" w:rsidRPr="001B7431" w:rsidRDefault="00D317D8" w:rsidP="00D317D8">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vAlign w:val="center"/>
          </w:tcPr>
          <w:p w14:paraId="459A2234" w14:textId="77777777" w:rsidR="00D317D8" w:rsidRDefault="00D317D8" w:rsidP="00D317D8">
            <w:pPr>
              <w:jc w:val="right"/>
              <w:rPr>
                <w:color w:val="000000"/>
                <w:sz w:val="16"/>
                <w:szCs w:val="16"/>
              </w:rPr>
            </w:pPr>
            <w:r>
              <w:rPr>
                <w:color w:val="000000"/>
                <w:sz w:val="16"/>
                <w:szCs w:val="16"/>
              </w:rPr>
              <w:t>47</w:t>
            </w:r>
          </w:p>
        </w:tc>
        <w:tc>
          <w:tcPr>
            <w:tcW w:w="496" w:type="dxa"/>
            <w:vAlign w:val="center"/>
          </w:tcPr>
          <w:p w14:paraId="451F0579" w14:textId="77777777" w:rsidR="00D317D8" w:rsidRDefault="00D317D8" w:rsidP="00D317D8">
            <w:pPr>
              <w:jc w:val="right"/>
              <w:rPr>
                <w:color w:val="000000"/>
                <w:sz w:val="16"/>
                <w:szCs w:val="16"/>
              </w:rPr>
            </w:pPr>
            <w:r>
              <w:rPr>
                <w:color w:val="000000"/>
                <w:sz w:val="16"/>
                <w:szCs w:val="16"/>
              </w:rPr>
              <w:t>3.4</w:t>
            </w:r>
          </w:p>
        </w:tc>
        <w:tc>
          <w:tcPr>
            <w:tcW w:w="1043" w:type="dxa"/>
            <w:tcBorders>
              <w:right w:val="single" w:sz="4" w:space="0" w:color="auto"/>
            </w:tcBorders>
            <w:vAlign w:val="center"/>
          </w:tcPr>
          <w:p w14:paraId="5221D1F7" w14:textId="77777777" w:rsidR="00D317D8" w:rsidRDefault="00D317D8" w:rsidP="00D317D8">
            <w:pPr>
              <w:jc w:val="right"/>
              <w:rPr>
                <w:color w:val="000000"/>
                <w:sz w:val="16"/>
                <w:szCs w:val="16"/>
              </w:rPr>
            </w:pPr>
            <w:r>
              <w:rPr>
                <w:color w:val="000000"/>
                <w:sz w:val="16"/>
                <w:szCs w:val="16"/>
              </w:rPr>
              <w:t>(2.2, 4.7)</w:t>
            </w:r>
          </w:p>
        </w:tc>
        <w:tc>
          <w:tcPr>
            <w:tcW w:w="569" w:type="dxa"/>
            <w:tcBorders>
              <w:left w:val="single" w:sz="4" w:space="0" w:color="auto"/>
            </w:tcBorders>
            <w:vAlign w:val="center"/>
          </w:tcPr>
          <w:p w14:paraId="7680D6DB" w14:textId="77777777" w:rsidR="00D317D8" w:rsidRDefault="00D317D8" w:rsidP="00D317D8">
            <w:pPr>
              <w:jc w:val="right"/>
              <w:rPr>
                <w:color w:val="000000"/>
                <w:sz w:val="16"/>
                <w:szCs w:val="16"/>
              </w:rPr>
            </w:pPr>
            <w:r>
              <w:rPr>
                <w:color w:val="000000"/>
                <w:sz w:val="16"/>
                <w:szCs w:val="16"/>
              </w:rPr>
              <w:t>28</w:t>
            </w:r>
          </w:p>
        </w:tc>
        <w:tc>
          <w:tcPr>
            <w:tcW w:w="567" w:type="dxa"/>
            <w:vAlign w:val="center"/>
          </w:tcPr>
          <w:p w14:paraId="47BF7F80" w14:textId="77777777" w:rsidR="00D317D8" w:rsidRDefault="00D317D8" w:rsidP="00D317D8">
            <w:pPr>
              <w:jc w:val="right"/>
              <w:rPr>
                <w:color w:val="000000"/>
                <w:sz w:val="16"/>
                <w:szCs w:val="16"/>
              </w:rPr>
            </w:pPr>
            <w:r>
              <w:rPr>
                <w:color w:val="000000"/>
                <w:sz w:val="16"/>
                <w:szCs w:val="16"/>
              </w:rPr>
              <w:t>3.5</w:t>
            </w:r>
          </w:p>
        </w:tc>
        <w:tc>
          <w:tcPr>
            <w:tcW w:w="1123" w:type="dxa"/>
            <w:tcBorders>
              <w:right w:val="single" w:sz="4" w:space="0" w:color="auto"/>
            </w:tcBorders>
            <w:vAlign w:val="center"/>
          </w:tcPr>
          <w:p w14:paraId="188B39BA" w14:textId="77777777" w:rsidR="00D317D8" w:rsidRDefault="00D317D8" w:rsidP="00D317D8">
            <w:pPr>
              <w:jc w:val="right"/>
              <w:rPr>
                <w:color w:val="000000"/>
                <w:sz w:val="16"/>
                <w:szCs w:val="16"/>
              </w:rPr>
            </w:pPr>
            <w:r>
              <w:rPr>
                <w:color w:val="000000"/>
                <w:sz w:val="16"/>
                <w:szCs w:val="16"/>
              </w:rPr>
              <w:t>(2.0, 5.0)</w:t>
            </w:r>
          </w:p>
        </w:tc>
        <w:tc>
          <w:tcPr>
            <w:tcW w:w="536" w:type="dxa"/>
            <w:tcBorders>
              <w:left w:val="single" w:sz="4" w:space="0" w:color="auto"/>
            </w:tcBorders>
            <w:vAlign w:val="center"/>
          </w:tcPr>
          <w:p w14:paraId="30326173" w14:textId="77777777" w:rsidR="00D317D8" w:rsidRDefault="00D317D8" w:rsidP="00D317D8">
            <w:pPr>
              <w:jc w:val="right"/>
              <w:rPr>
                <w:color w:val="000000"/>
                <w:sz w:val="16"/>
                <w:szCs w:val="16"/>
              </w:rPr>
            </w:pPr>
            <w:r>
              <w:rPr>
                <w:color w:val="000000"/>
                <w:sz w:val="16"/>
                <w:szCs w:val="16"/>
              </w:rPr>
              <w:t>28</w:t>
            </w:r>
          </w:p>
        </w:tc>
        <w:tc>
          <w:tcPr>
            <w:tcW w:w="576" w:type="dxa"/>
            <w:vAlign w:val="center"/>
          </w:tcPr>
          <w:p w14:paraId="17D13A31" w14:textId="77777777" w:rsidR="00D317D8" w:rsidRDefault="00D317D8" w:rsidP="00D317D8">
            <w:pPr>
              <w:jc w:val="right"/>
              <w:rPr>
                <w:color w:val="000000"/>
                <w:sz w:val="16"/>
                <w:szCs w:val="16"/>
              </w:rPr>
            </w:pPr>
            <w:r>
              <w:rPr>
                <w:color w:val="000000"/>
                <w:sz w:val="16"/>
                <w:szCs w:val="16"/>
              </w:rPr>
              <w:t>4.0</w:t>
            </w:r>
          </w:p>
        </w:tc>
        <w:tc>
          <w:tcPr>
            <w:tcW w:w="1123" w:type="dxa"/>
            <w:tcBorders>
              <w:right w:val="single" w:sz="4" w:space="0" w:color="auto"/>
            </w:tcBorders>
            <w:vAlign w:val="center"/>
          </w:tcPr>
          <w:p w14:paraId="50B2333B" w14:textId="77777777" w:rsidR="00D317D8" w:rsidRDefault="00D317D8" w:rsidP="00D317D8">
            <w:pPr>
              <w:jc w:val="right"/>
              <w:rPr>
                <w:color w:val="000000"/>
                <w:sz w:val="16"/>
                <w:szCs w:val="16"/>
              </w:rPr>
            </w:pPr>
            <w:r>
              <w:rPr>
                <w:color w:val="000000"/>
                <w:sz w:val="16"/>
                <w:szCs w:val="16"/>
              </w:rPr>
              <w:t>(2.3, 5.6)</w:t>
            </w:r>
          </w:p>
        </w:tc>
        <w:tc>
          <w:tcPr>
            <w:tcW w:w="536" w:type="dxa"/>
            <w:tcBorders>
              <w:left w:val="single" w:sz="4" w:space="0" w:color="auto"/>
            </w:tcBorders>
            <w:vAlign w:val="center"/>
          </w:tcPr>
          <w:p w14:paraId="5F643892" w14:textId="77777777" w:rsidR="00D317D8" w:rsidRDefault="00D317D8" w:rsidP="00D317D8">
            <w:pPr>
              <w:jc w:val="right"/>
              <w:rPr>
                <w:color w:val="000000"/>
                <w:sz w:val="16"/>
                <w:szCs w:val="16"/>
              </w:rPr>
            </w:pPr>
            <w:r>
              <w:rPr>
                <w:color w:val="000000"/>
                <w:sz w:val="16"/>
                <w:szCs w:val="16"/>
              </w:rPr>
              <w:t>22</w:t>
            </w:r>
          </w:p>
        </w:tc>
        <w:tc>
          <w:tcPr>
            <w:tcW w:w="567" w:type="dxa"/>
            <w:vAlign w:val="center"/>
          </w:tcPr>
          <w:p w14:paraId="22DB2696" w14:textId="77777777" w:rsidR="00D317D8" w:rsidRDefault="00D317D8" w:rsidP="00D317D8">
            <w:pPr>
              <w:jc w:val="right"/>
              <w:rPr>
                <w:color w:val="000000"/>
                <w:sz w:val="16"/>
                <w:szCs w:val="16"/>
              </w:rPr>
            </w:pPr>
            <w:r>
              <w:rPr>
                <w:color w:val="000000"/>
                <w:sz w:val="16"/>
                <w:szCs w:val="16"/>
              </w:rPr>
              <w:t>3.5</w:t>
            </w:r>
          </w:p>
        </w:tc>
        <w:tc>
          <w:tcPr>
            <w:tcW w:w="1123" w:type="dxa"/>
            <w:vAlign w:val="center"/>
          </w:tcPr>
          <w:p w14:paraId="4C641166" w14:textId="77777777" w:rsidR="00D317D8" w:rsidRDefault="00D317D8" w:rsidP="00D317D8">
            <w:pPr>
              <w:jc w:val="right"/>
              <w:rPr>
                <w:color w:val="000000"/>
                <w:sz w:val="16"/>
                <w:szCs w:val="16"/>
              </w:rPr>
            </w:pPr>
            <w:r>
              <w:rPr>
                <w:color w:val="000000"/>
                <w:sz w:val="16"/>
                <w:szCs w:val="16"/>
              </w:rPr>
              <w:t>(2.1, 4.9)</w:t>
            </w:r>
          </w:p>
        </w:tc>
      </w:tr>
      <w:tr w:rsidR="00D317D8" w:rsidRPr="007B4EF8" w14:paraId="2DA4B28A" w14:textId="77777777" w:rsidTr="00793719">
        <w:trPr>
          <w:jc w:val="center"/>
        </w:trPr>
        <w:tc>
          <w:tcPr>
            <w:tcW w:w="2127" w:type="dxa"/>
          </w:tcPr>
          <w:p w14:paraId="2A0DC753" w14:textId="77777777" w:rsidR="00D317D8" w:rsidRPr="00D317D8" w:rsidRDefault="00D317D8" w:rsidP="00D317D8">
            <w:pPr>
              <w:tabs>
                <w:tab w:val="left" w:pos="176"/>
              </w:tabs>
              <w:spacing w:before="20" w:after="20"/>
              <w:rPr>
                <w:rFonts w:eastAsiaTheme="minorEastAsia"/>
                <w:sz w:val="18"/>
                <w:szCs w:val="18"/>
                <w:lang w:eastAsia="en-US"/>
              </w:rPr>
            </w:pPr>
          </w:p>
        </w:tc>
        <w:tc>
          <w:tcPr>
            <w:tcW w:w="2379" w:type="dxa"/>
          </w:tcPr>
          <w:p w14:paraId="6DA4816F" w14:textId="77777777" w:rsidR="00D317D8" w:rsidRPr="001B7431" w:rsidRDefault="00D317D8" w:rsidP="00D317D8">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vAlign w:val="center"/>
          </w:tcPr>
          <w:p w14:paraId="5B0667B3" w14:textId="77777777" w:rsidR="00D317D8" w:rsidRDefault="00D317D8" w:rsidP="00D317D8">
            <w:pPr>
              <w:jc w:val="right"/>
              <w:rPr>
                <w:color w:val="000000"/>
                <w:sz w:val="16"/>
                <w:szCs w:val="16"/>
              </w:rPr>
            </w:pPr>
            <w:r>
              <w:rPr>
                <w:color w:val="000000"/>
                <w:sz w:val="16"/>
                <w:szCs w:val="16"/>
              </w:rPr>
              <w:t>4</w:t>
            </w:r>
          </w:p>
        </w:tc>
        <w:tc>
          <w:tcPr>
            <w:tcW w:w="496" w:type="dxa"/>
            <w:vAlign w:val="center"/>
          </w:tcPr>
          <w:p w14:paraId="1FC518EB" w14:textId="77777777" w:rsidR="00D317D8" w:rsidRDefault="00D317D8" w:rsidP="00D317D8">
            <w:pPr>
              <w:jc w:val="right"/>
              <w:rPr>
                <w:color w:val="000000"/>
                <w:sz w:val="16"/>
                <w:szCs w:val="16"/>
              </w:rPr>
            </w:pPr>
            <w:r>
              <w:rPr>
                <w:color w:val="000000"/>
                <w:sz w:val="16"/>
                <w:szCs w:val="16"/>
              </w:rPr>
              <w:t>0.3</w:t>
            </w:r>
          </w:p>
        </w:tc>
        <w:tc>
          <w:tcPr>
            <w:tcW w:w="1043" w:type="dxa"/>
            <w:tcBorders>
              <w:right w:val="single" w:sz="4" w:space="0" w:color="auto"/>
            </w:tcBorders>
            <w:vAlign w:val="center"/>
          </w:tcPr>
          <w:p w14:paraId="6759AF82" w14:textId="77777777" w:rsidR="00D317D8" w:rsidRDefault="00D317D8" w:rsidP="00D317D8">
            <w:pPr>
              <w:jc w:val="right"/>
              <w:rPr>
                <w:color w:val="000000"/>
                <w:sz w:val="16"/>
                <w:szCs w:val="16"/>
              </w:rPr>
            </w:pPr>
            <w:r>
              <w:rPr>
                <w:color w:val="000000"/>
                <w:sz w:val="16"/>
                <w:szCs w:val="16"/>
              </w:rPr>
              <w:t>(0.0, 0.6)</w:t>
            </w:r>
          </w:p>
        </w:tc>
        <w:tc>
          <w:tcPr>
            <w:tcW w:w="569" w:type="dxa"/>
            <w:tcBorders>
              <w:left w:val="single" w:sz="4" w:space="0" w:color="auto"/>
            </w:tcBorders>
            <w:vAlign w:val="center"/>
          </w:tcPr>
          <w:p w14:paraId="76AEFAA5" w14:textId="77777777" w:rsidR="00D317D8" w:rsidRDefault="00D317D8" w:rsidP="00D317D8">
            <w:pPr>
              <w:jc w:val="right"/>
              <w:rPr>
                <w:color w:val="000000"/>
                <w:sz w:val="16"/>
                <w:szCs w:val="16"/>
              </w:rPr>
            </w:pPr>
            <w:r>
              <w:rPr>
                <w:color w:val="000000"/>
                <w:sz w:val="16"/>
                <w:szCs w:val="16"/>
              </w:rPr>
              <w:t>6</w:t>
            </w:r>
          </w:p>
        </w:tc>
        <w:tc>
          <w:tcPr>
            <w:tcW w:w="567" w:type="dxa"/>
            <w:vAlign w:val="center"/>
          </w:tcPr>
          <w:p w14:paraId="31D285C7" w14:textId="77777777" w:rsidR="00D317D8" w:rsidRDefault="00D317D8" w:rsidP="00D317D8">
            <w:pPr>
              <w:jc w:val="right"/>
              <w:rPr>
                <w:color w:val="000000"/>
                <w:sz w:val="16"/>
                <w:szCs w:val="16"/>
              </w:rPr>
            </w:pPr>
            <w:r>
              <w:rPr>
                <w:color w:val="000000"/>
                <w:sz w:val="16"/>
                <w:szCs w:val="16"/>
              </w:rPr>
              <w:t>0.8</w:t>
            </w:r>
          </w:p>
        </w:tc>
        <w:tc>
          <w:tcPr>
            <w:tcW w:w="1123" w:type="dxa"/>
            <w:tcBorders>
              <w:right w:val="single" w:sz="4" w:space="0" w:color="auto"/>
            </w:tcBorders>
            <w:vAlign w:val="center"/>
          </w:tcPr>
          <w:p w14:paraId="7462E441" w14:textId="77777777" w:rsidR="00D317D8" w:rsidRDefault="00D317D8" w:rsidP="00D317D8">
            <w:pPr>
              <w:jc w:val="right"/>
              <w:rPr>
                <w:color w:val="000000"/>
                <w:sz w:val="16"/>
                <w:szCs w:val="16"/>
              </w:rPr>
            </w:pPr>
            <w:r>
              <w:rPr>
                <w:color w:val="000000"/>
                <w:sz w:val="16"/>
                <w:szCs w:val="16"/>
              </w:rPr>
              <w:t>(0.3, 1.3)</w:t>
            </w:r>
          </w:p>
        </w:tc>
        <w:tc>
          <w:tcPr>
            <w:tcW w:w="536" w:type="dxa"/>
            <w:tcBorders>
              <w:left w:val="single" w:sz="4" w:space="0" w:color="auto"/>
            </w:tcBorders>
            <w:vAlign w:val="center"/>
          </w:tcPr>
          <w:p w14:paraId="10DB7DF6" w14:textId="77777777" w:rsidR="00D317D8" w:rsidRDefault="00D317D8" w:rsidP="00D317D8">
            <w:pPr>
              <w:jc w:val="right"/>
              <w:rPr>
                <w:color w:val="000000"/>
                <w:sz w:val="16"/>
                <w:szCs w:val="16"/>
              </w:rPr>
            </w:pPr>
            <w:r>
              <w:rPr>
                <w:color w:val="000000"/>
                <w:sz w:val="16"/>
                <w:szCs w:val="16"/>
              </w:rPr>
              <w:t>5</w:t>
            </w:r>
          </w:p>
        </w:tc>
        <w:tc>
          <w:tcPr>
            <w:tcW w:w="576" w:type="dxa"/>
            <w:vAlign w:val="center"/>
          </w:tcPr>
          <w:p w14:paraId="4F7C1305" w14:textId="77777777" w:rsidR="00D317D8" w:rsidRDefault="00D317D8" w:rsidP="00D317D8">
            <w:pPr>
              <w:jc w:val="right"/>
              <w:rPr>
                <w:color w:val="000000"/>
                <w:sz w:val="16"/>
                <w:szCs w:val="16"/>
              </w:rPr>
            </w:pPr>
            <w:r>
              <w:rPr>
                <w:color w:val="000000"/>
                <w:sz w:val="16"/>
                <w:szCs w:val="16"/>
              </w:rPr>
              <w:t>0.8</w:t>
            </w:r>
          </w:p>
        </w:tc>
        <w:tc>
          <w:tcPr>
            <w:tcW w:w="1123" w:type="dxa"/>
            <w:tcBorders>
              <w:right w:val="single" w:sz="4" w:space="0" w:color="auto"/>
            </w:tcBorders>
            <w:vAlign w:val="center"/>
          </w:tcPr>
          <w:p w14:paraId="65F279AF" w14:textId="77777777" w:rsidR="00D317D8" w:rsidRDefault="00D317D8" w:rsidP="00D317D8">
            <w:pPr>
              <w:jc w:val="right"/>
              <w:rPr>
                <w:color w:val="000000"/>
                <w:sz w:val="16"/>
                <w:szCs w:val="16"/>
              </w:rPr>
            </w:pPr>
            <w:r>
              <w:rPr>
                <w:color w:val="000000"/>
                <w:sz w:val="16"/>
                <w:szCs w:val="16"/>
              </w:rPr>
              <w:t>(0.2, 1.3)</w:t>
            </w:r>
          </w:p>
        </w:tc>
        <w:tc>
          <w:tcPr>
            <w:tcW w:w="536" w:type="dxa"/>
            <w:tcBorders>
              <w:left w:val="single" w:sz="4" w:space="0" w:color="auto"/>
            </w:tcBorders>
            <w:vAlign w:val="center"/>
          </w:tcPr>
          <w:p w14:paraId="22332ABC" w14:textId="77777777" w:rsidR="00D317D8" w:rsidRDefault="00D317D8" w:rsidP="00D317D8">
            <w:pPr>
              <w:jc w:val="right"/>
              <w:rPr>
                <w:color w:val="000000"/>
                <w:sz w:val="16"/>
                <w:szCs w:val="16"/>
              </w:rPr>
            </w:pPr>
            <w:r>
              <w:rPr>
                <w:color w:val="000000"/>
                <w:sz w:val="16"/>
                <w:szCs w:val="16"/>
              </w:rPr>
              <w:t>3</w:t>
            </w:r>
          </w:p>
        </w:tc>
        <w:tc>
          <w:tcPr>
            <w:tcW w:w="567" w:type="dxa"/>
            <w:vAlign w:val="center"/>
          </w:tcPr>
          <w:p w14:paraId="1FFB20F3" w14:textId="77777777" w:rsidR="00D317D8" w:rsidRDefault="00D317D8" w:rsidP="00D317D8">
            <w:pPr>
              <w:jc w:val="right"/>
              <w:rPr>
                <w:color w:val="000000"/>
                <w:sz w:val="16"/>
                <w:szCs w:val="16"/>
              </w:rPr>
            </w:pPr>
            <w:r>
              <w:rPr>
                <w:color w:val="000000"/>
                <w:sz w:val="16"/>
                <w:szCs w:val="16"/>
              </w:rPr>
              <w:t>0.4</w:t>
            </w:r>
          </w:p>
        </w:tc>
        <w:tc>
          <w:tcPr>
            <w:tcW w:w="1123" w:type="dxa"/>
            <w:vAlign w:val="center"/>
          </w:tcPr>
          <w:p w14:paraId="002BDC07" w14:textId="77777777" w:rsidR="00D317D8" w:rsidRDefault="00D317D8" w:rsidP="00D317D8">
            <w:pPr>
              <w:jc w:val="right"/>
              <w:rPr>
                <w:color w:val="000000"/>
                <w:sz w:val="16"/>
                <w:szCs w:val="16"/>
              </w:rPr>
            </w:pPr>
            <w:r>
              <w:rPr>
                <w:color w:val="000000"/>
                <w:sz w:val="16"/>
                <w:szCs w:val="16"/>
              </w:rPr>
              <w:t>(0.1, 0.8)</w:t>
            </w:r>
          </w:p>
        </w:tc>
      </w:tr>
      <w:tr w:rsidR="00D317D8" w:rsidRPr="007B4EF8" w14:paraId="5135B84C" w14:textId="77777777" w:rsidTr="00793719">
        <w:trPr>
          <w:jc w:val="center"/>
        </w:trPr>
        <w:tc>
          <w:tcPr>
            <w:tcW w:w="2127" w:type="dxa"/>
            <w:shd w:val="clear" w:color="auto" w:fill="auto"/>
          </w:tcPr>
          <w:p w14:paraId="2262223E" w14:textId="77777777" w:rsidR="00D317D8" w:rsidRPr="00D317D8" w:rsidRDefault="00D317D8" w:rsidP="00D317D8">
            <w:pPr>
              <w:tabs>
                <w:tab w:val="left" w:pos="176"/>
              </w:tabs>
              <w:spacing w:before="20" w:after="20"/>
              <w:rPr>
                <w:rFonts w:eastAsiaTheme="minorEastAsia"/>
                <w:sz w:val="18"/>
                <w:szCs w:val="18"/>
                <w:lang w:eastAsia="en-US"/>
              </w:rPr>
            </w:pPr>
            <w:r>
              <w:rPr>
                <w:rFonts w:eastAsiaTheme="minorEastAsia"/>
                <w:sz w:val="18"/>
                <w:szCs w:val="18"/>
                <w:lang w:eastAsia="en-US"/>
              </w:rPr>
              <w:t>2</w:t>
            </w:r>
          </w:p>
        </w:tc>
        <w:tc>
          <w:tcPr>
            <w:tcW w:w="2379" w:type="dxa"/>
            <w:shd w:val="clear" w:color="auto" w:fill="auto"/>
          </w:tcPr>
          <w:p w14:paraId="29C858AD" w14:textId="77777777" w:rsidR="00D317D8" w:rsidRPr="001B7431" w:rsidRDefault="00D317D8" w:rsidP="00D317D8">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shd w:val="clear" w:color="auto" w:fill="auto"/>
            <w:vAlign w:val="center"/>
          </w:tcPr>
          <w:p w14:paraId="05FEA883" w14:textId="77777777" w:rsidR="00D317D8" w:rsidRDefault="00D317D8" w:rsidP="00D317D8">
            <w:pPr>
              <w:jc w:val="right"/>
              <w:rPr>
                <w:color w:val="000000"/>
                <w:sz w:val="16"/>
                <w:szCs w:val="16"/>
                <w:lang w:eastAsia="en-NZ"/>
              </w:rPr>
            </w:pPr>
            <w:r>
              <w:rPr>
                <w:color w:val="000000"/>
                <w:sz w:val="16"/>
                <w:szCs w:val="16"/>
              </w:rPr>
              <w:t>1260</w:t>
            </w:r>
          </w:p>
        </w:tc>
        <w:tc>
          <w:tcPr>
            <w:tcW w:w="496" w:type="dxa"/>
            <w:shd w:val="clear" w:color="auto" w:fill="auto"/>
            <w:vAlign w:val="center"/>
          </w:tcPr>
          <w:p w14:paraId="15935DE5" w14:textId="77777777" w:rsidR="00D317D8" w:rsidRDefault="00D317D8" w:rsidP="00D317D8">
            <w:pPr>
              <w:jc w:val="right"/>
              <w:rPr>
                <w:color w:val="000000"/>
                <w:sz w:val="16"/>
                <w:szCs w:val="16"/>
              </w:rPr>
            </w:pPr>
            <w:r>
              <w:rPr>
                <w:color w:val="000000"/>
                <w:sz w:val="16"/>
                <w:szCs w:val="16"/>
              </w:rPr>
              <w:t>95.6</w:t>
            </w:r>
          </w:p>
        </w:tc>
        <w:tc>
          <w:tcPr>
            <w:tcW w:w="1043" w:type="dxa"/>
            <w:tcBorders>
              <w:right w:val="single" w:sz="4" w:space="0" w:color="auto"/>
            </w:tcBorders>
            <w:shd w:val="clear" w:color="auto" w:fill="auto"/>
            <w:vAlign w:val="center"/>
          </w:tcPr>
          <w:p w14:paraId="5185C56D" w14:textId="77777777" w:rsidR="00D317D8" w:rsidRDefault="00D317D8" w:rsidP="00D317D8">
            <w:pPr>
              <w:jc w:val="right"/>
              <w:rPr>
                <w:color w:val="000000"/>
                <w:sz w:val="16"/>
                <w:szCs w:val="16"/>
              </w:rPr>
            </w:pPr>
            <w:r>
              <w:rPr>
                <w:color w:val="000000"/>
                <w:sz w:val="16"/>
                <w:szCs w:val="16"/>
              </w:rPr>
              <w:t>(94.3, 96.8)</w:t>
            </w:r>
          </w:p>
        </w:tc>
        <w:tc>
          <w:tcPr>
            <w:tcW w:w="569" w:type="dxa"/>
            <w:tcBorders>
              <w:left w:val="single" w:sz="4" w:space="0" w:color="auto"/>
            </w:tcBorders>
            <w:shd w:val="clear" w:color="auto" w:fill="auto"/>
            <w:vAlign w:val="center"/>
          </w:tcPr>
          <w:p w14:paraId="13F3B906" w14:textId="77777777" w:rsidR="00D317D8" w:rsidRDefault="00D317D8" w:rsidP="00D317D8">
            <w:pPr>
              <w:jc w:val="right"/>
              <w:rPr>
                <w:color w:val="000000"/>
                <w:sz w:val="16"/>
                <w:szCs w:val="16"/>
              </w:rPr>
            </w:pPr>
            <w:r>
              <w:rPr>
                <w:color w:val="000000"/>
                <w:sz w:val="16"/>
                <w:szCs w:val="16"/>
              </w:rPr>
              <w:t>785</w:t>
            </w:r>
          </w:p>
        </w:tc>
        <w:tc>
          <w:tcPr>
            <w:tcW w:w="567" w:type="dxa"/>
            <w:shd w:val="clear" w:color="auto" w:fill="auto"/>
            <w:vAlign w:val="center"/>
          </w:tcPr>
          <w:p w14:paraId="080DC72B" w14:textId="77777777" w:rsidR="00D317D8" w:rsidRDefault="00D317D8" w:rsidP="00D317D8">
            <w:pPr>
              <w:jc w:val="right"/>
              <w:rPr>
                <w:color w:val="000000"/>
                <w:sz w:val="16"/>
                <w:szCs w:val="16"/>
              </w:rPr>
            </w:pPr>
            <w:r>
              <w:rPr>
                <w:color w:val="000000"/>
                <w:sz w:val="16"/>
                <w:szCs w:val="16"/>
              </w:rPr>
              <w:t>94.8</w:t>
            </w:r>
          </w:p>
        </w:tc>
        <w:tc>
          <w:tcPr>
            <w:tcW w:w="1123" w:type="dxa"/>
            <w:tcBorders>
              <w:right w:val="single" w:sz="4" w:space="0" w:color="auto"/>
            </w:tcBorders>
            <w:shd w:val="clear" w:color="auto" w:fill="auto"/>
            <w:vAlign w:val="center"/>
          </w:tcPr>
          <w:p w14:paraId="139E61A4" w14:textId="77777777" w:rsidR="00D317D8" w:rsidRDefault="00D317D8" w:rsidP="00D317D8">
            <w:pPr>
              <w:jc w:val="right"/>
              <w:rPr>
                <w:color w:val="000000"/>
                <w:sz w:val="16"/>
                <w:szCs w:val="16"/>
              </w:rPr>
            </w:pPr>
            <w:r>
              <w:rPr>
                <w:color w:val="000000"/>
                <w:sz w:val="16"/>
                <w:szCs w:val="16"/>
              </w:rPr>
              <w:t>(93</w:t>
            </w:r>
            <w:r w:rsidR="004860AB">
              <w:rPr>
                <w:color w:val="000000"/>
                <w:sz w:val="16"/>
                <w:szCs w:val="16"/>
              </w:rPr>
              <w:t>.0</w:t>
            </w:r>
            <w:r>
              <w:rPr>
                <w:color w:val="000000"/>
                <w:sz w:val="16"/>
                <w:szCs w:val="16"/>
              </w:rPr>
              <w:t>, 96.6)</w:t>
            </w:r>
          </w:p>
        </w:tc>
        <w:tc>
          <w:tcPr>
            <w:tcW w:w="536" w:type="dxa"/>
            <w:tcBorders>
              <w:left w:val="single" w:sz="4" w:space="0" w:color="auto"/>
            </w:tcBorders>
            <w:shd w:val="clear" w:color="auto" w:fill="auto"/>
            <w:vAlign w:val="center"/>
          </w:tcPr>
          <w:p w14:paraId="3E1479B7" w14:textId="77777777" w:rsidR="00D317D8" w:rsidRDefault="00D317D8" w:rsidP="00D317D8">
            <w:pPr>
              <w:jc w:val="right"/>
              <w:rPr>
                <w:color w:val="000000"/>
                <w:sz w:val="16"/>
                <w:szCs w:val="16"/>
              </w:rPr>
            </w:pPr>
            <w:r>
              <w:rPr>
                <w:color w:val="000000"/>
                <w:sz w:val="16"/>
                <w:szCs w:val="16"/>
              </w:rPr>
              <w:t>651</w:t>
            </w:r>
          </w:p>
        </w:tc>
        <w:tc>
          <w:tcPr>
            <w:tcW w:w="576" w:type="dxa"/>
            <w:shd w:val="clear" w:color="auto" w:fill="auto"/>
            <w:vAlign w:val="center"/>
          </w:tcPr>
          <w:p w14:paraId="328E309B" w14:textId="77777777" w:rsidR="00D317D8" w:rsidRDefault="00D317D8" w:rsidP="00D317D8">
            <w:pPr>
              <w:jc w:val="right"/>
              <w:rPr>
                <w:color w:val="000000"/>
                <w:sz w:val="16"/>
                <w:szCs w:val="16"/>
              </w:rPr>
            </w:pPr>
            <w:r>
              <w:rPr>
                <w:color w:val="000000"/>
                <w:sz w:val="16"/>
                <w:szCs w:val="16"/>
              </w:rPr>
              <w:t>95.2</w:t>
            </w:r>
          </w:p>
        </w:tc>
        <w:tc>
          <w:tcPr>
            <w:tcW w:w="1123" w:type="dxa"/>
            <w:tcBorders>
              <w:right w:val="single" w:sz="4" w:space="0" w:color="auto"/>
            </w:tcBorders>
            <w:shd w:val="clear" w:color="auto" w:fill="auto"/>
            <w:vAlign w:val="center"/>
          </w:tcPr>
          <w:p w14:paraId="13EB7CF5" w14:textId="77777777" w:rsidR="00D317D8" w:rsidRDefault="00D317D8" w:rsidP="00D317D8">
            <w:pPr>
              <w:jc w:val="right"/>
              <w:rPr>
                <w:color w:val="000000"/>
                <w:sz w:val="16"/>
                <w:szCs w:val="16"/>
              </w:rPr>
            </w:pPr>
            <w:r>
              <w:rPr>
                <w:color w:val="000000"/>
                <w:sz w:val="16"/>
                <w:szCs w:val="16"/>
              </w:rPr>
              <w:t>(93.7, 96.7)</w:t>
            </w:r>
          </w:p>
        </w:tc>
        <w:tc>
          <w:tcPr>
            <w:tcW w:w="536" w:type="dxa"/>
            <w:tcBorders>
              <w:left w:val="single" w:sz="4" w:space="0" w:color="auto"/>
            </w:tcBorders>
            <w:shd w:val="clear" w:color="auto" w:fill="auto"/>
            <w:vAlign w:val="center"/>
          </w:tcPr>
          <w:p w14:paraId="4C2583E4" w14:textId="77777777" w:rsidR="00D317D8" w:rsidRDefault="00D317D8" w:rsidP="00D317D8">
            <w:pPr>
              <w:jc w:val="right"/>
              <w:rPr>
                <w:color w:val="000000"/>
                <w:sz w:val="16"/>
                <w:szCs w:val="16"/>
              </w:rPr>
            </w:pPr>
            <w:r>
              <w:rPr>
                <w:color w:val="000000"/>
                <w:sz w:val="16"/>
                <w:szCs w:val="16"/>
              </w:rPr>
              <w:t>561</w:t>
            </w:r>
          </w:p>
        </w:tc>
        <w:tc>
          <w:tcPr>
            <w:tcW w:w="567" w:type="dxa"/>
            <w:shd w:val="clear" w:color="auto" w:fill="auto"/>
            <w:vAlign w:val="center"/>
          </w:tcPr>
          <w:p w14:paraId="5641A734" w14:textId="77777777" w:rsidR="00D317D8" w:rsidRDefault="00D317D8" w:rsidP="00D317D8">
            <w:pPr>
              <w:jc w:val="right"/>
              <w:rPr>
                <w:color w:val="000000"/>
                <w:sz w:val="16"/>
                <w:szCs w:val="16"/>
              </w:rPr>
            </w:pPr>
            <w:r>
              <w:rPr>
                <w:color w:val="000000"/>
                <w:sz w:val="16"/>
                <w:szCs w:val="16"/>
              </w:rPr>
              <w:t>95.7</w:t>
            </w:r>
          </w:p>
        </w:tc>
        <w:tc>
          <w:tcPr>
            <w:tcW w:w="1123" w:type="dxa"/>
            <w:shd w:val="clear" w:color="auto" w:fill="auto"/>
            <w:vAlign w:val="center"/>
          </w:tcPr>
          <w:p w14:paraId="2FB86CE1" w14:textId="77777777" w:rsidR="00D317D8" w:rsidRDefault="00D317D8" w:rsidP="00D317D8">
            <w:pPr>
              <w:jc w:val="right"/>
              <w:rPr>
                <w:color w:val="000000"/>
                <w:sz w:val="16"/>
                <w:szCs w:val="16"/>
              </w:rPr>
            </w:pPr>
            <w:r>
              <w:rPr>
                <w:color w:val="000000"/>
                <w:sz w:val="16"/>
                <w:szCs w:val="16"/>
              </w:rPr>
              <w:t>(94</w:t>
            </w:r>
            <w:r w:rsidR="004860AB">
              <w:rPr>
                <w:color w:val="000000"/>
                <w:sz w:val="16"/>
                <w:szCs w:val="16"/>
              </w:rPr>
              <w:t>.0</w:t>
            </w:r>
            <w:r>
              <w:rPr>
                <w:color w:val="000000"/>
                <w:sz w:val="16"/>
                <w:szCs w:val="16"/>
              </w:rPr>
              <w:t>, 97.5)</w:t>
            </w:r>
          </w:p>
        </w:tc>
      </w:tr>
      <w:tr w:rsidR="00D317D8" w:rsidRPr="007B4EF8" w14:paraId="64CEAF20" w14:textId="77777777" w:rsidTr="00793719">
        <w:trPr>
          <w:jc w:val="center"/>
        </w:trPr>
        <w:tc>
          <w:tcPr>
            <w:tcW w:w="2127" w:type="dxa"/>
            <w:shd w:val="clear" w:color="auto" w:fill="auto"/>
          </w:tcPr>
          <w:p w14:paraId="14EC1D2B" w14:textId="77777777" w:rsidR="00D317D8" w:rsidRPr="00D317D8" w:rsidRDefault="00D317D8" w:rsidP="00D317D8">
            <w:pPr>
              <w:tabs>
                <w:tab w:val="left" w:pos="176"/>
              </w:tabs>
              <w:spacing w:before="20" w:after="20"/>
              <w:rPr>
                <w:rFonts w:eastAsiaTheme="minorEastAsia"/>
                <w:sz w:val="18"/>
                <w:szCs w:val="18"/>
                <w:lang w:eastAsia="en-US"/>
              </w:rPr>
            </w:pPr>
          </w:p>
        </w:tc>
        <w:tc>
          <w:tcPr>
            <w:tcW w:w="2379" w:type="dxa"/>
            <w:shd w:val="clear" w:color="auto" w:fill="auto"/>
          </w:tcPr>
          <w:p w14:paraId="4127C121" w14:textId="77777777" w:rsidR="00D317D8" w:rsidRPr="001B7431" w:rsidRDefault="00D317D8" w:rsidP="00D317D8">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shd w:val="clear" w:color="auto" w:fill="auto"/>
            <w:vAlign w:val="center"/>
          </w:tcPr>
          <w:p w14:paraId="2D28E5E8" w14:textId="77777777" w:rsidR="00D317D8" w:rsidRDefault="00D317D8" w:rsidP="00D317D8">
            <w:pPr>
              <w:jc w:val="right"/>
              <w:rPr>
                <w:color w:val="000000"/>
                <w:sz w:val="16"/>
                <w:szCs w:val="16"/>
              </w:rPr>
            </w:pPr>
            <w:r>
              <w:rPr>
                <w:color w:val="000000"/>
                <w:sz w:val="16"/>
                <w:szCs w:val="16"/>
              </w:rPr>
              <w:t>42</w:t>
            </w:r>
          </w:p>
        </w:tc>
        <w:tc>
          <w:tcPr>
            <w:tcW w:w="496" w:type="dxa"/>
            <w:shd w:val="clear" w:color="auto" w:fill="auto"/>
            <w:vAlign w:val="center"/>
          </w:tcPr>
          <w:p w14:paraId="1508C3BC" w14:textId="77777777" w:rsidR="00D317D8" w:rsidRDefault="00D317D8" w:rsidP="00D317D8">
            <w:pPr>
              <w:jc w:val="right"/>
              <w:rPr>
                <w:color w:val="000000"/>
                <w:sz w:val="16"/>
                <w:szCs w:val="16"/>
              </w:rPr>
            </w:pPr>
            <w:r>
              <w:rPr>
                <w:color w:val="000000"/>
                <w:sz w:val="16"/>
                <w:szCs w:val="16"/>
              </w:rPr>
              <w:t>3.2</w:t>
            </w:r>
          </w:p>
        </w:tc>
        <w:tc>
          <w:tcPr>
            <w:tcW w:w="1043" w:type="dxa"/>
            <w:tcBorders>
              <w:right w:val="single" w:sz="4" w:space="0" w:color="auto"/>
            </w:tcBorders>
            <w:shd w:val="clear" w:color="auto" w:fill="auto"/>
            <w:vAlign w:val="center"/>
          </w:tcPr>
          <w:p w14:paraId="0C49BD98" w14:textId="77777777" w:rsidR="00D317D8" w:rsidRDefault="00D317D8" w:rsidP="00D317D8">
            <w:pPr>
              <w:jc w:val="right"/>
              <w:rPr>
                <w:color w:val="000000"/>
                <w:sz w:val="16"/>
                <w:szCs w:val="16"/>
              </w:rPr>
            </w:pPr>
            <w:r>
              <w:rPr>
                <w:color w:val="000000"/>
                <w:sz w:val="16"/>
                <w:szCs w:val="16"/>
              </w:rPr>
              <w:t>(2.2, 4.2)</w:t>
            </w:r>
          </w:p>
        </w:tc>
        <w:tc>
          <w:tcPr>
            <w:tcW w:w="569" w:type="dxa"/>
            <w:tcBorders>
              <w:left w:val="single" w:sz="4" w:space="0" w:color="auto"/>
            </w:tcBorders>
            <w:shd w:val="clear" w:color="auto" w:fill="auto"/>
            <w:vAlign w:val="center"/>
          </w:tcPr>
          <w:p w14:paraId="03FB2FD6" w14:textId="77777777" w:rsidR="00D317D8" w:rsidRDefault="00D317D8" w:rsidP="00D317D8">
            <w:pPr>
              <w:jc w:val="right"/>
              <w:rPr>
                <w:color w:val="000000"/>
                <w:sz w:val="16"/>
                <w:szCs w:val="16"/>
              </w:rPr>
            </w:pPr>
            <w:r>
              <w:rPr>
                <w:color w:val="000000"/>
                <w:sz w:val="16"/>
                <w:szCs w:val="16"/>
              </w:rPr>
              <w:t>29</w:t>
            </w:r>
          </w:p>
        </w:tc>
        <w:tc>
          <w:tcPr>
            <w:tcW w:w="567" w:type="dxa"/>
            <w:shd w:val="clear" w:color="auto" w:fill="auto"/>
            <w:vAlign w:val="center"/>
          </w:tcPr>
          <w:p w14:paraId="5666E062" w14:textId="77777777" w:rsidR="00D317D8" w:rsidRDefault="00D317D8" w:rsidP="00D317D8">
            <w:pPr>
              <w:jc w:val="right"/>
              <w:rPr>
                <w:color w:val="000000"/>
                <w:sz w:val="16"/>
                <w:szCs w:val="16"/>
              </w:rPr>
            </w:pPr>
            <w:r>
              <w:rPr>
                <w:color w:val="000000"/>
                <w:sz w:val="16"/>
                <w:szCs w:val="16"/>
              </w:rPr>
              <w:t>3.5</w:t>
            </w:r>
          </w:p>
        </w:tc>
        <w:tc>
          <w:tcPr>
            <w:tcW w:w="1123" w:type="dxa"/>
            <w:tcBorders>
              <w:right w:val="single" w:sz="4" w:space="0" w:color="auto"/>
            </w:tcBorders>
            <w:shd w:val="clear" w:color="auto" w:fill="auto"/>
            <w:vAlign w:val="center"/>
          </w:tcPr>
          <w:p w14:paraId="43BAFFEB" w14:textId="77777777" w:rsidR="00D317D8" w:rsidRDefault="00D317D8" w:rsidP="00D317D8">
            <w:pPr>
              <w:jc w:val="right"/>
              <w:rPr>
                <w:color w:val="000000"/>
                <w:sz w:val="16"/>
                <w:szCs w:val="16"/>
              </w:rPr>
            </w:pPr>
            <w:r>
              <w:rPr>
                <w:color w:val="000000"/>
                <w:sz w:val="16"/>
                <w:szCs w:val="16"/>
              </w:rPr>
              <w:t>(2.0, 5.0)</w:t>
            </w:r>
          </w:p>
        </w:tc>
        <w:tc>
          <w:tcPr>
            <w:tcW w:w="536" w:type="dxa"/>
            <w:tcBorders>
              <w:left w:val="single" w:sz="4" w:space="0" w:color="auto"/>
            </w:tcBorders>
            <w:shd w:val="clear" w:color="auto" w:fill="auto"/>
            <w:vAlign w:val="center"/>
          </w:tcPr>
          <w:p w14:paraId="77F8BEEC" w14:textId="77777777" w:rsidR="00D317D8" w:rsidRDefault="00D317D8" w:rsidP="00D317D8">
            <w:pPr>
              <w:jc w:val="right"/>
              <w:rPr>
                <w:color w:val="000000"/>
                <w:sz w:val="16"/>
                <w:szCs w:val="16"/>
              </w:rPr>
            </w:pPr>
            <w:r>
              <w:rPr>
                <w:color w:val="000000"/>
                <w:sz w:val="16"/>
                <w:szCs w:val="16"/>
              </w:rPr>
              <w:t>24</w:t>
            </w:r>
          </w:p>
        </w:tc>
        <w:tc>
          <w:tcPr>
            <w:tcW w:w="576" w:type="dxa"/>
            <w:shd w:val="clear" w:color="auto" w:fill="auto"/>
            <w:vAlign w:val="center"/>
          </w:tcPr>
          <w:p w14:paraId="1CC15ACC" w14:textId="77777777" w:rsidR="00D317D8" w:rsidRDefault="00D317D8" w:rsidP="00D317D8">
            <w:pPr>
              <w:jc w:val="right"/>
              <w:rPr>
                <w:color w:val="000000"/>
                <w:sz w:val="16"/>
                <w:szCs w:val="16"/>
              </w:rPr>
            </w:pPr>
            <w:r>
              <w:rPr>
                <w:color w:val="000000"/>
                <w:sz w:val="16"/>
                <w:szCs w:val="16"/>
              </w:rPr>
              <w:t>3.5</w:t>
            </w:r>
          </w:p>
        </w:tc>
        <w:tc>
          <w:tcPr>
            <w:tcW w:w="1123" w:type="dxa"/>
            <w:tcBorders>
              <w:right w:val="single" w:sz="4" w:space="0" w:color="auto"/>
            </w:tcBorders>
            <w:shd w:val="clear" w:color="auto" w:fill="auto"/>
            <w:vAlign w:val="center"/>
          </w:tcPr>
          <w:p w14:paraId="40C50FB6" w14:textId="77777777" w:rsidR="00D317D8" w:rsidRDefault="00D317D8" w:rsidP="00D317D8">
            <w:pPr>
              <w:jc w:val="right"/>
              <w:rPr>
                <w:color w:val="000000"/>
                <w:sz w:val="16"/>
                <w:szCs w:val="16"/>
              </w:rPr>
            </w:pPr>
            <w:r>
              <w:rPr>
                <w:color w:val="000000"/>
                <w:sz w:val="16"/>
                <w:szCs w:val="16"/>
              </w:rPr>
              <w:t>(2.3, 4.8)</w:t>
            </w:r>
          </w:p>
        </w:tc>
        <w:tc>
          <w:tcPr>
            <w:tcW w:w="536" w:type="dxa"/>
            <w:tcBorders>
              <w:left w:val="single" w:sz="4" w:space="0" w:color="auto"/>
            </w:tcBorders>
            <w:shd w:val="clear" w:color="auto" w:fill="auto"/>
            <w:vAlign w:val="center"/>
          </w:tcPr>
          <w:p w14:paraId="62F89D85" w14:textId="77777777" w:rsidR="00D317D8" w:rsidRDefault="00D317D8" w:rsidP="00D317D8">
            <w:pPr>
              <w:jc w:val="right"/>
              <w:rPr>
                <w:color w:val="000000"/>
                <w:sz w:val="16"/>
                <w:szCs w:val="16"/>
              </w:rPr>
            </w:pPr>
            <w:r>
              <w:rPr>
                <w:color w:val="000000"/>
                <w:sz w:val="16"/>
                <w:szCs w:val="16"/>
              </w:rPr>
              <w:t>17</w:t>
            </w:r>
          </w:p>
        </w:tc>
        <w:tc>
          <w:tcPr>
            <w:tcW w:w="567" w:type="dxa"/>
            <w:shd w:val="clear" w:color="auto" w:fill="auto"/>
            <w:vAlign w:val="center"/>
          </w:tcPr>
          <w:p w14:paraId="76BFE070" w14:textId="77777777" w:rsidR="00D317D8" w:rsidRDefault="00D317D8" w:rsidP="00D317D8">
            <w:pPr>
              <w:jc w:val="right"/>
              <w:rPr>
                <w:color w:val="000000"/>
                <w:sz w:val="16"/>
                <w:szCs w:val="16"/>
              </w:rPr>
            </w:pPr>
            <w:r>
              <w:rPr>
                <w:color w:val="000000"/>
                <w:sz w:val="16"/>
                <w:szCs w:val="16"/>
              </w:rPr>
              <w:t>3.0</w:t>
            </w:r>
          </w:p>
        </w:tc>
        <w:tc>
          <w:tcPr>
            <w:tcW w:w="1123" w:type="dxa"/>
            <w:shd w:val="clear" w:color="auto" w:fill="auto"/>
            <w:vAlign w:val="center"/>
          </w:tcPr>
          <w:p w14:paraId="3A1222D2" w14:textId="77777777" w:rsidR="00D317D8" w:rsidRDefault="00D317D8" w:rsidP="00D317D8">
            <w:pPr>
              <w:jc w:val="right"/>
              <w:rPr>
                <w:color w:val="000000"/>
                <w:sz w:val="16"/>
                <w:szCs w:val="16"/>
              </w:rPr>
            </w:pPr>
            <w:r>
              <w:rPr>
                <w:color w:val="000000"/>
                <w:sz w:val="16"/>
                <w:szCs w:val="16"/>
              </w:rPr>
              <w:t>(1.4, 4.5)</w:t>
            </w:r>
          </w:p>
        </w:tc>
      </w:tr>
      <w:tr w:rsidR="00D317D8" w:rsidRPr="007B4EF8" w14:paraId="2F0F4059" w14:textId="77777777" w:rsidTr="00793719">
        <w:trPr>
          <w:jc w:val="center"/>
        </w:trPr>
        <w:tc>
          <w:tcPr>
            <w:tcW w:w="2127" w:type="dxa"/>
            <w:shd w:val="clear" w:color="auto" w:fill="auto"/>
          </w:tcPr>
          <w:p w14:paraId="68213A7C" w14:textId="77777777" w:rsidR="00D317D8" w:rsidRPr="00D317D8" w:rsidRDefault="00D317D8" w:rsidP="00D317D8">
            <w:pPr>
              <w:tabs>
                <w:tab w:val="left" w:pos="176"/>
              </w:tabs>
              <w:spacing w:before="20" w:after="40"/>
              <w:rPr>
                <w:rFonts w:eastAsiaTheme="minorEastAsia"/>
                <w:sz w:val="18"/>
                <w:szCs w:val="18"/>
                <w:lang w:eastAsia="en-US"/>
              </w:rPr>
            </w:pPr>
          </w:p>
        </w:tc>
        <w:tc>
          <w:tcPr>
            <w:tcW w:w="2379" w:type="dxa"/>
            <w:shd w:val="clear" w:color="auto" w:fill="auto"/>
          </w:tcPr>
          <w:p w14:paraId="5DCD9B69" w14:textId="77777777" w:rsidR="00D317D8" w:rsidRPr="001B7431" w:rsidRDefault="00D317D8" w:rsidP="00D317D8">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shd w:val="clear" w:color="auto" w:fill="auto"/>
            <w:vAlign w:val="center"/>
          </w:tcPr>
          <w:p w14:paraId="33CFE85B" w14:textId="77777777" w:rsidR="00D317D8" w:rsidRDefault="00D317D8" w:rsidP="00D317D8">
            <w:pPr>
              <w:jc w:val="right"/>
              <w:rPr>
                <w:color w:val="000000"/>
                <w:sz w:val="16"/>
                <w:szCs w:val="16"/>
              </w:rPr>
            </w:pPr>
            <w:r>
              <w:rPr>
                <w:color w:val="000000"/>
                <w:sz w:val="16"/>
                <w:szCs w:val="16"/>
              </w:rPr>
              <w:t>16</w:t>
            </w:r>
          </w:p>
        </w:tc>
        <w:tc>
          <w:tcPr>
            <w:tcW w:w="496" w:type="dxa"/>
            <w:shd w:val="clear" w:color="auto" w:fill="auto"/>
            <w:vAlign w:val="center"/>
          </w:tcPr>
          <w:p w14:paraId="4A11C366" w14:textId="77777777" w:rsidR="00D317D8" w:rsidRDefault="00D317D8" w:rsidP="00D317D8">
            <w:pPr>
              <w:jc w:val="right"/>
              <w:rPr>
                <w:color w:val="000000"/>
                <w:sz w:val="16"/>
                <w:szCs w:val="16"/>
              </w:rPr>
            </w:pPr>
            <w:r>
              <w:rPr>
                <w:color w:val="000000"/>
                <w:sz w:val="16"/>
                <w:szCs w:val="16"/>
              </w:rPr>
              <w:t>1.2</w:t>
            </w:r>
          </w:p>
        </w:tc>
        <w:tc>
          <w:tcPr>
            <w:tcW w:w="1043" w:type="dxa"/>
            <w:tcBorders>
              <w:right w:val="single" w:sz="4" w:space="0" w:color="auto"/>
            </w:tcBorders>
            <w:shd w:val="clear" w:color="auto" w:fill="auto"/>
            <w:vAlign w:val="center"/>
          </w:tcPr>
          <w:p w14:paraId="2681FFD1" w14:textId="77777777" w:rsidR="00D317D8" w:rsidRDefault="00D317D8" w:rsidP="00D317D8">
            <w:pPr>
              <w:jc w:val="right"/>
              <w:rPr>
                <w:color w:val="000000"/>
                <w:sz w:val="16"/>
                <w:szCs w:val="16"/>
              </w:rPr>
            </w:pPr>
            <w:r>
              <w:rPr>
                <w:color w:val="000000"/>
                <w:sz w:val="16"/>
                <w:szCs w:val="16"/>
              </w:rPr>
              <w:t>(0.6, 1.9)</w:t>
            </w:r>
          </w:p>
        </w:tc>
        <w:tc>
          <w:tcPr>
            <w:tcW w:w="569" w:type="dxa"/>
            <w:tcBorders>
              <w:left w:val="single" w:sz="4" w:space="0" w:color="auto"/>
            </w:tcBorders>
            <w:shd w:val="clear" w:color="auto" w:fill="auto"/>
            <w:vAlign w:val="center"/>
          </w:tcPr>
          <w:p w14:paraId="643FADA5" w14:textId="77777777" w:rsidR="00D317D8" w:rsidRDefault="00D317D8" w:rsidP="00D317D8">
            <w:pPr>
              <w:jc w:val="right"/>
              <w:rPr>
                <w:color w:val="000000"/>
                <w:sz w:val="16"/>
                <w:szCs w:val="16"/>
              </w:rPr>
            </w:pPr>
            <w:r>
              <w:rPr>
                <w:color w:val="000000"/>
                <w:sz w:val="16"/>
                <w:szCs w:val="16"/>
              </w:rPr>
              <w:t>14</w:t>
            </w:r>
          </w:p>
        </w:tc>
        <w:tc>
          <w:tcPr>
            <w:tcW w:w="567" w:type="dxa"/>
            <w:shd w:val="clear" w:color="auto" w:fill="auto"/>
            <w:vAlign w:val="center"/>
          </w:tcPr>
          <w:p w14:paraId="79F58009" w14:textId="77777777" w:rsidR="00D317D8" w:rsidRDefault="00D317D8" w:rsidP="00D317D8">
            <w:pPr>
              <w:jc w:val="right"/>
              <w:rPr>
                <w:color w:val="000000"/>
                <w:sz w:val="16"/>
                <w:szCs w:val="16"/>
              </w:rPr>
            </w:pPr>
            <w:r>
              <w:rPr>
                <w:color w:val="000000"/>
                <w:sz w:val="16"/>
                <w:szCs w:val="16"/>
              </w:rPr>
              <w:t>1.7</w:t>
            </w:r>
          </w:p>
        </w:tc>
        <w:tc>
          <w:tcPr>
            <w:tcW w:w="1123" w:type="dxa"/>
            <w:tcBorders>
              <w:right w:val="single" w:sz="4" w:space="0" w:color="auto"/>
            </w:tcBorders>
            <w:shd w:val="clear" w:color="auto" w:fill="auto"/>
            <w:vAlign w:val="center"/>
          </w:tcPr>
          <w:p w14:paraId="5A3DC517" w14:textId="77777777" w:rsidR="00D317D8" w:rsidRDefault="00D317D8" w:rsidP="00D317D8">
            <w:pPr>
              <w:jc w:val="right"/>
              <w:rPr>
                <w:color w:val="000000"/>
                <w:sz w:val="16"/>
                <w:szCs w:val="16"/>
              </w:rPr>
            </w:pPr>
            <w:r>
              <w:rPr>
                <w:color w:val="000000"/>
                <w:sz w:val="16"/>
                <w:szCs w:val="16"/>
              </w:rPr>
              <w:t>(0.7, 2.8)</w:t>
            </w:r>
          </w:p>
        </w:tc>
        <w:tc>
          <w:tcPr>
            <w:tcW w:w="536" w:type="dxa"/>
            <w:tcBorders>
              <w:left w:val="single" w:sz="4" w:space="0" w:color="auto"/>
            </w:tcBorders>
            <w:shd w:val="clear" w:color="auto" w:fill="auto"/>
            <w:vAlign w:val="center"/>
          </w:tcPr>
          <w:p w14:paraId="0EBEEBE2" w14:textId="77777777" w:rsidR="00D317D8" w:rsidRDefault="00D317D8" w:rsidP="00D317D8">
            <w:pPr>
              <w:jc w:val="right"/>
              <w:rPr>
                <w:color w:val="000000"/>
                <w:sz w:val="16"/>
                <w:szCs w:val="16"/>
              </w:rPr>
            </w:pPr>
            <w:r>
              <w:rPr>
                <w:color w:val="000000"/>
                <w:sz w:val="16"/>
                <w:szCs w:val="16"/>
              </w:rPr>
              <w:t>9</w:t>
            </w:r>
          </w:p>
        </w:tc>
        <w:tc>
          <w:tcPr>
            <w:tcW w:w="576" w:type="dxa"/>
            <w:shd w:val="clear" w:color="auto" w:fill="auto"/>
            <w:vAlign w:val="center"/>
          </w:tcPr>
          <w:p w14:paraId="4D6BFF7D" w14:textId="77777777" w:rsidR="00D317D8" w:rsidRDefault="00D317D8" w:rsidP="00D317D8">
            <w:pPr>
              <w:jc w:val="right"/>
              <w:rPr>
                <w:color w:val="000000"/>
                <w:sz w:val="16"/>
                <w:szCs w:val="16"/>
              </w:rPr>
            </w:pPr>
            <w:r>
              <w:rPr>
                <w:color w:val="000000"/>
                <w:sz w:val="16"/>
                <w:szCs w:val="16"/>
              </w:rPr>
              <w:t>1.3</w:t>
            </w:r>
          </w:p>
        </w:tc>
        <w:tc>
          <w:tcPr>
            <w:tcW w:w="1123" w:type="dxa"/>
            <w:tcBorders>
              <w:right w:val="single" w:sz="4" w:space="0" w:color="auto"/>
            </w:tcBorders>
            <w:shd w:val="clear" w:color="auto" w:fill="auto"/>
            <w:vAlign w:val="center"/>
          </w:tcPr>
          <w:p w14:paraId="433535B4" w14:textId="77777777" w:rsidR="00D317D8" w:rsidRDefault="00D317D8" w:rsidP="00D317D8">
            <w:pPr>
              <w:jc w:val="right"/>
              <w:rPr>
                <w:color w:val="000000"/>
                <w:sz w:val="16"/>
                <w:szCs w:val="16"/>
              </w:rPr>
            </w:pPr>
            <w:r>
              <w:rPr>
                <w:color w:val="000000"/>
                <w:sz w:val="16"/>
                <w:szCs w:val="16"/>
              </w:rPr>
              <w:t>(0.5, 2.1)</w:t>
            </w:r>
          </w:p>
        </w:tc>
        <w:tc>
          <w:tcPr>
            <w:tcW w:w="536" w:type="dxa"/>
            <w:tcBorders>
              <w:left w:val="single" w:sz="4" w:space="0" w:color="auto"/>
            </w:tcBorders>
            <w:shd w:val="clear" w:color="auto" w:fill="auto"/>
            <w:vAlign w:val="center"/>
          </w:tcPr>
          <w:p w14:paraId="6B5A0551" w14:textId="77777777" w:rsidR="00D317D8" w:rsidRDefault="00D317D8" w:rsidP="00D317D8">
            <w:pPr>
              <w:jc w:val="right"/>
              <w:rPr>
                <w:color w:val="000000"/>
                <w:sz w:val="16"/>
                <w:szCs w:val="16"/>
              </w:rPr>
            </w:pPr>
            <w:r>
              <w:rPr>
                <w:color w:val="000000"/>
                <w:sz w:val="16"/>
                <w:szCs w:val="16"/>
              </w:rPr>
              <w:t>8</w:t>
            </w:r>
          </w:p>
        </w:tc>
        <w:tc>
          <w:tcPr>
            <w:tcW w:w="567" w:type="dxa"/>
            <w:shd w:val="clear" w:color="auto" w:fill="auto"/>
            <w:vAlign w:val="center"/>
          </w:tcPr>
          <w:p w14:paraId="778AE6D7" w14:textId="77777777" w:rsidR="00D317D8" w:rsidRDefault="00D317D8" w:rsidP="00D317D8">
            <w:pPr>
              <w:jc w:val="right"/>
              <w:rPr>
                <w:color w:val="000000"/>
                <w:sz w:val="16"/>
                <w:szCs w:val="16"/>
              </w:rPr>
            </w:pPr>
            <w:r>
              <w:rPr>
                <w:color w:val="000000"/>
                <w:sz w:val="16"/>
                <w:szCs w:val="16"/>
              </w:rPr>
              <w:t>1.3</w:t>
            </w:r>
          </w:p>
        </w:tc>
        <w:tc>
          <w:tcPr>
            <w:tcW w:w="1123" w:type="dxa"/>
            <w:shd w:val="clear" w:color="auto" w:fill="auto"/>
            <w:vAlign w:val="center"/>
          </w:tcPr>
          <w:p w14:paraId="26C6AE08" w14:textId="77777777" w:rsidR="00D317D8" w:rsidRDefault="00D317D8" w:rsidP="00D317D8">
            <w:pPr>
              <w:jc w:val="right"/>
              <w:rPr>
                <w:color w:val="000000"/>
                <w:sz w:val="16"/>
                <w:szCs w:val="16"/>
              </w:rPr>
            </w:pPr>
            <w:r>
              <w:rPr>
                <w:color w:val="000000"/>
                <w:sz w:val="16"/>
                <w:szCs w:val="16"/>
              </w:rPr>
              <w:t>(0.5, 2.1)</w:t>
            </w:r>
          </w:p>
        </w:tc>
      </w:tr>
      <w:tr w:rsidR="00D317D8" w:rsidRPr="007B4EF8" w14:paraId="1B14C157" w14:textId="77777777" w:rsidTr="00793719">
        <w:trPr>
          <w:jc w:val="center"/>
        </w:trPr>
        <w:tc>
          <w:tcPr>
            <w:tcW w:w="2127" w:type="dxa"/>
            <w:shd w:val="clear" w:color="auto" w:fill="auto"/>
          </w:tcPr>
          <w:p w14:paraId="77246F32" w14:textId="77777777" w:rsidR="00D317D8" w:rsidRPr="00D317D8" w:rsidRDefault="00D317D8" w:rsidP="00D317D8">
            <w:pPr>
              <w:tabs>
                <w:tab w:val="left" w:pos="176"/>
              </w:tabs>
              <w:spacing w:before="20" w:after="20"/>
              <w:rPr>
                <w:rFonts w:eastAsiaTheme="minorEastAsia"/>
                <w:sz w:val="18"/>
                <w:szCs w:val="18"/>
                <w:lang w:eastAsia="en-US"/>
              </w:rPr>
            </w:pPr>
            <w:r>
              <w:rPr>
                <w:rFonts w:eastAsiaTheme="minorEastAsia"/>
                <w:sz w:val="18"/>
                <w:szCs w:val="18"/>
                <w:lang w:eastAsia="en-US"/>
              </w:rPr>
              <w:t>3</w:t>
            </w:r>
          </w:p>
        </w:tc>
        <w:tc>
          <w:tcPr>
            <w:tcW w:w="2379" w:type="dxa"/>
            <w:shd w:val="clear" w:color="auto" w:fill="auto"/>
          </w:tcPr>
          <w:p w14:paraId="4BCABB56" w14:textId="77777777" w:rsidR="00D317D8" w:rsidRPr="001B7431" w:rsidRDefault="00D317D8" w:rsidP="00D317D8">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shd w:val="clear" w:color="auto" w:fill="auto"/>
            <w:vAlign w:val="center"/>
          </w:tcPr>
          <w:p w14:paraId="3B81BAEB" w14:textId="77777777" w:rsidR="00D317D8" w:rsidRDefault="00D317D8" w:rsidP="00D317D8">
            <w:pPr>
              <w:jc w:val="right"/>
              <w:rPr>
                <w:color w:val="000000"/>
                <w:sz w:val="16"/>
                <w:szCs w:val="16"/>
              </w:rPr>
            </w:pPr>
            <w:r>
              <w:rPr>
                <w:color w:val="000000"/>
                <w:sz w:val="16"/>
                <w:szCs w:val="16"/>
              </w:rPr>
              <w:t>877</w:t>
            </w:r>
          </w:p>
        </w:tc>
        <w:tc>
          <w:tcPr>
            <w:tcW w:w="496" w:type="dxa"/>
            <w:shd w:val="clear" w:color="auto" w:fill="auto"/>
            <w:vAlign w:val="center"/>
          </w:tcPr>
          <w:p w14:paraId="7AEC99B1" w14:textId="77777777" w:rsidR="00D317D8" w:rsidRDefault="00D317D8" w:rsidP="00D317D8">
            <w:pPr>
              <w:jc w:val="right"/>
              <w:rPr>
                <w:color w:val="000000"/>
                <w:sz w:val="16"/>
                <w:szCs w:val="16"/>
              </w:rPr>
            </w:pPr>
            <w:r>
              <w:rPr>
                <w:color w:val="000000"/>
                <w:sz w:val="16"/>
                <w:szCs w:val="16"/>
              </w:rPr>
              <w:t>91.0</w:t>
            </w:r>
          </w:p>
        </w:tc>
        <w:tc>
          <w:tcPr>
            <w:tcW w:w="1043" w:type="dxa"/>
            <w:tcBorders>
              <w:right w:val="single" w:sz="4" w:space="0" w:color="auto"/>
            </w:tcBorders>
            <w:shd w:val="clear" w:color="auto" w:fill="auto"/>
            <w:vAlign w:val="center"/>
          </w:tcPr>
          <w:p w14:paraId="61D110B6" w14:textId="77777777" w:rsidR="00D317D8" w:rsidRDefault="00D317D8" w:rsidP="00D317D8">
            <w:pPr>
              <w:jc w:val="right"/>
              <w:rPr>
                <w:color w:val="000000"/>
                <w:sz w:val="16"/>
                <w:szCs w:val="16"/>
              </w:rPr>
            </w:pPr>
            <w:r>
              <w:rPr>
                <w:color w:val="000000"/>
                <w:sz w:val="16"/>
                <w:szCs w:val="16"/>
              </w:rPr>
              <w:t>(89</w:t>
            </w:r>
            <w:r w:rsidR="004860AB">
              <w:rPr>
                <w:color w:val="000000"/>
                <w:sz w:val="16"/>
                <w:szCs w:val="16"/>
              </w:rPr>
              <w:t>.0</w:t>
            </w:r>
            <w:r>
              <w:rPr>
                <w:color w:val="000000"/>
                <w:sz w:val="16"/>
                <w:szCs w:val="16"/>
              </w:rPr>
              <w:t>, 93.1)</w:t>
            </w:r>
          </w:p>
        </w:tc>
        <w:tc>
          <w:tcPr>
            <w:tcW w:w="569" w:type="dxa"/>
            <w:tcBorders>
              <w:left w:val="single" w:sz="4" w:space="0" w:color="auto"/>
            </w:tcBorders>
            <w:shd w:val="clear" w:color="auto" w:fill="auto"/>
            <w:vAlign w:val="center"/>
          </w:tcPr>
          <w:p w14:paraId="2C7B083C" w14:textId="77777777" w:rsidR="00D317D8" w:rsidRDefault="00D317D8" w:rsidP="00D317D8">
            <w:pPr>
              <w:jc w:val="right"/>
              <w:rPr>
                <w:color w:val="000000"/>
                <w:sz w:val="16"/>
                <w:szCs w:val="16"/>
              </w:rPr>
            </w:pPr>
            <w:r>
              <w:rPr>
                <w:color w:val="000000"/>
                <w:sz w:val="16"/>
                <w:szCs w:val="16"/>
              </w:rPr>
              <w:t>558</w:t>
            </w:r>
          </w:p>
        </w:tc>
        <w:tc>
          <w:tcPr>
            <w:tcW w:w="567" w:type="dxa"/>
            <w:shd w:val="clear" w:color="auto" w:fill="auto"/>
            <w:vAlign w:val="center"/>
          </w:tcPr>
          <w:p w14:paraId="06F7B1C7" w14:textId="77777777" w:rsidR="00D317D8" w:rsidRDefault="00D317D8" w:rsidP="00D317D8">
            <w:pPr>
              <w:jc w:val="right"/>
              <w:rPr>
                <w:color w:val="000000"/>
                <w:sz w:val="16"/>
                <w:szCs w:val="16"/>
              </w:rPr>
            </w:pPr>
            <w:r>
              <w:rPr>
                <w:color w:val="000000"/>
                <w:sz w:val="16"/>
                <w:szCs w:val="16"/>
              </w:rPr>
              <w:t>89.0</w:t>
            </w:r>
          </w:p>
        </w:tc>
        <w:tc>
          <w:tcPr>
            <w:tcW w:w="1123" w:type="dxa"/>
            <w:tcBorders>
              <w:right w:val="single" w:sz="4" w:space="0" w:color="auto"/>
            </w:tcBorders>
            <w:shd w:val="clear" w:color="auto" w:fill="auto"/>
            <w:vAlign w:val="center"/>
          </w:tcPr>
          <w:p w14:paraId="676BD9CF" w14:textId="77777777" w:rsidR="00D317D8" w:rsidRDefault="00D317D8" w:rsidP="00D317D8">
            <w:pPr>
              <w:jc w:val="right"/>
              <w:rPr>
                <w:color w:val="000000"/>
                <w:sz w:val="16"/>
                <w:szCs w:val="16"/>
              </w:rPr>
            </w:pPr>
            <w:r>
              <w:rPr>
                <w:color w:val="000000"/>
                <w:sz w:val="16"/>
                <w:szCs w:val="16"/>
              </w:rPr>
              <w:t>(86.2, 91.9)</w:t>
            </w:r>
          </w:p>
        </w:tc>
        <w:tc>
          <w:tcPr>
            <w:tcW w:w="536" w:type="dxa"/>
            <w:tcBorders>
              <w:left w:val="single" w:sz="4" w:space="0" w:color="auto"/>
            </w:tcBorders>
            <w:shd w:val="clear" w:color="auto" w:fill="auto"/>
            <w:vAlign w:val="center"/>
          </w:tcPr>
          <w:p w14:paraId="2F8FD515" w14:textId="77777777" w:rsidR="00D317D8" w:rsidRDefault="00D317D8" w:rsidP="00D317D8">
            <w:pPr>
              <w:jc w:val="right"/>
              <w:rPr>
                <w:color w:val="000000"/>
                <w:sz w:val="16"/>
                <w:szCs w:val="16"/>
              </w:rPr>
            </w:pPr>
            <w:r>
              <w:rPr>
                <w:color w:val="000000"/>
                <w:sz w:val="16"/>
                <w:szCs w:val="16"/>
              </w:rPr>
              <w:t>430</w:t>
            </w:r>
          </w:p>
        </w:tc>
        <w:tc>
          <w:tcPr>
            <w:tcW w:w="576" w:type="dxa"/>
            <w:shd w:val="clear" w:color="auto" w:fill="auto"/>
            <w:vAlign w:val="center"/>
          </w:tcPr>
          <w:p w14:paraId="3BEE5C46" w14:textId="77777777" w:rsidR="00D317D8" w:rsidRDefault="00D317D8" w:rsidP="00D317D8">
            <w:pPr>
              <w:jc w:val="right"/>
              <w:rPr>
                <w:color w:val="000000"/>
                <w:sz w:val="16"/>
                <w:szCs w:val="16"/>
              </w:rPr>
            </w:pPr>
            <w:r>
              <w:rPr>
                <w:color w:val="000000"/>
                <w:sz w:val="16"/>
                <w:szCs w:val="16"/>
              </w:rPr>
              <w:t>92.6</w:t>
            </w:r>
          </w:p>
        </w:tc>
        <w:tc>
          <w:tcPr>
            <w:tcW w:w="1123" w:type="dxa"/>
            <w:tcBorders>
              <w:right w:val="single" w:sz="4" w:space="0" w:color="auto"/>
            </w:tcBorders>
            <w:shd w:val="clear" w:color="auto" w:fill="auto"/>
            <w:vAlign w:val="center"/>
          </w:tcPr>
          <w:p w14:paraId="4256B482" w14:textId="77777777" w:rsidR="00D317D8" w:rsidRDefault="00D317D8" w:rsidP="00D317D8">
            <w:pPr>
              <w:jc w:val="right"/>
              <w:rPr>
                <w:color w:val="000000"/>
                <w:sz w:val="16"/>
                <w:szCs w:val="16"/>
              </w:rPr>
            </w:pPr>
            <w:r>
              <w:rPr>
                <w:color w:val="000000"/>
                <w:sz w:val="16"/>
                <w:szCs w:val="16"/>
              </w:rPr>
              <w:t>(89.9, 95.2)</w:t>
            </w:r>
          </w:p>
        </w:tc>
        <w:tc>
          <w:tcPr>
            <w:tcW w:w="536" w:type="dxa"/>
            <w:tcBorders>
              <w:left w:val="single" w:sz="4" w:space="0" w:color="auto"/>
            </w:tcBorders>
            <w:shd w:val="clear" w:color="auto" w:fill="auto"/>
            <w:vAlign w:val="center"/>
          </w:tcPr>
          <w:p w14:paraId="1357B938" w14:textId="77777777" w:rsidR="00D317D8" w:rsidRDefault="00D317D8" w:rsidP="00D317D8">
            <w:pPr>
              <w:jc w:val="right"/>
              <w:rPr>
                <w:color w:val="000000"/>
                <w:sz w:val="16"/>
                <w:szCs w:val="16"/>
              </w:rPr>
            </w:pPr>
            <w:r>
              <w:rPr>
                <w:color w:val="000000"/>
                <w:sz w:val="16"/>
                <w:szCs w:val="16"/>
              </w:rPr>
              <w:t>387</w:t>
            </w:r>
          </w:p>
        </w:tc>
        <w:tc>
          <w:tcPr>
            <w:tcW w:w="567" w:type="dxa"/>
            <w:shd w:val="clear" w:color="auto" w:fill="auto"/>
            <w:vAlign w:val="center"/>
          </w:tcPr>
          <w:p w14:paraId="27695297" w14:textId="77777777" w:rsidR="00D317D8" w:rsidRDefault="00D317D8" w:rsidP="00D317D8">
            <w:pPr>
              <w:jc w:val="right"/>
              <w:rPr>
                <w:color w:val="000000"/>
                <w:sz w:val="16"/>
                <w:szCs w:val="16"/>
              </w:rPr>
            </w:pPr>
            <w:r>
              <w:rPr>
                <w:color w:val="000000"/>
                <w:sz w:val="16"/>
                <w:szCs w:val="16"/>
              </w:rPr>
              <w:t>90.6</w:t>
            </w:r>
          </w:p>
        </w:tc>
        <w:tc>
          <w:tcPr>
            <w:tcW w:w="1123" w:type="dxa"/>
            <w:shd w:val="clear" w:color="auto" w:fill="auto"/>
            <w:vAlign w:val="center"/>
          </w:tcPr>
          <w:p w14:paraId="0E923C02" w14:textId="77777777" w:rsidR="00D317D8" w:rsidRDefault="00D317D8" w:rsidP="00D317D8">
            <w:pPr>
              <w:jc w:val="right"/>
              <w:rPr>
                <w:color w:val="000000"/>
                <w:sz w:val="16"/>
                <w:szCs w:val="16"/>
              </w:rPr>
            </w:pPr>
            <w:r>
              <w:rPr>
                <w:color w:val="000000"/>
                <w:sz w:val="16"/>
                <w:szCs w:val="16"/>
              </w:rPr>
              <w:t>(87.7, 93.6)</w:t>
            </w:r>
          </w:p>
        </w:tc>
      </w:tr>
      <w:tr w:rsidR="00D317D8" w:rsidRPr="007B4EF8" w14:paraId="3A533075" w14:textId="77777777" w:rsidTr="00793719">
        <w:trPr>
          <w:jc w:val="center"/>
        </w:trPr>
        <w:tc>
          <w:tcPr>
            <w:tcW w:w="2127" w:type="dxa"/>
            <w:shd w:val="clear" w:color="auto" w:fill="auto"/>
          </w:tcPr>
          <w:p w14:paraId="0649EB52" w14:textId="77777777" w:rsidR="00D317D8" w:rsidRPr="00D317D8" w:rsidRDefault="00D317D8" w:rsidP="00D317D8">
            <w:pPr>
              <w:tabs>
                <w:tab w:val="left" w:pos="176"/>
              </w:tabs>
              <w:spacing w:before="20" w:after="20"/>
              <w:rPr>
                <w:rFonts w:eastAsiaTheme="minorEastAsia"/>
                <w:sz w:val="18"/>
                <w:szCs w:val="18"/>
                <w:lang w:eastAsia="en-US"/>
              </w:rPr>
            </w:pPr>
          </w:p>
        </w:tc>
        <w:tc>
          <w:tcPr>
            <w:tcW w:w="2379" w:type="dxa"/>
            <w:shd w:val="clear" w:color="auto" w:fill="auto"/>
          </w:tcPr>
          <w:p w14:paraId="5CD54B8E" w14:textId="77777777" w:rsidR="00D317D8" w:rsidRPr="001B7431" w:rsidRDefault="00D317D8" w:rsidP="00D317D8">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shd w:val="clear" w:color="auto" w:fill="auto"/>
            <w:vAlign w:val="center"/>
          </w:tcPr>
          <w:p w14:paraId="7DC06B36" w14:textId="77777777" w:rsidR="00D317D8" w:rsidRDefault="00D317D8" w:rsidP="00D317D8">
            <w:pPr>
              <w:jc w:val="right"/>
              <w:rPr>
                <w:color w:val="000000"/>
                <w:sz w:val="16"/>
                <w:szCs w:val="16"/>
              </w:rPr>
            </w:pPr>
            <w:r>
              <w:rPr>
                <w:color w:val="000000"/>
                <w:sz w:val="16"/>
                <w:szCs w:val="16"/>
              </w:rPr>
              <w:t>66</w:t>
            </w:r>
          </w:p>
        </w:tc>
        <w:tc>
          <w:tcPr>
            <w:tcW w:w="496" w:type="dxa"/>
            <w:shd w:val="clear" w:color="auto" w:fill="auto"/>
            <w:vAlign w:val="center"/>
          </w:tcPr>
          <w:p w14:paraId="59DDF4A5" w14:textId="77777777" w:rsidR="00D317D8" w:rsidRDefault="00D317D8" w:rsidP="00D317D8">
            <w:pPr>
              <w:jc w:val="right"/>
              <w:rPr>
                <w:color w:val="000000"/>
                <w:sz w:val="16"/>
                <w:szCs w:val="16"/>
              </w:rPr>
            </w:pPr>
            <w:r>
              <w:rPr>
                <w:color w:val="000000"/>
                <w:sz w:val="16"/>
                <w:szCs w:val="16"/>
              </w:rPr>
              <w:t>6.8</w:t>
            </w:r>
          </w:p>
        </w:tc>
        <w:tc>
          <w:tcPr>
            <w:tcW w:w="1043" w:type="dxa"/>
            <w:tcBorders>
              <w:right w:val="single" w:sz="4" w:space="0" w:color="auto"/>
            </w:tcBorders>
            <w:shd w:val="clear" w:color="auto" w:fill="auto"/>
            <w:vAlign w:val="center"/>
          </w:tcPr>
          <w:p w14:paraId="32FF4BDD" w14:textId="77777777" w:rsidR="00D317D8" w:rsidRDefault="00D317D8" w:rsidP="00D317D8">
            <w:pPr>
              <w:jc w:val="right"/>
              <w:rPr>
                <w:color w:val="000000"/>
                <w:sz w:val="16"/>
                <w:szCs w:val="16"/>
              </w:rPr>
            </w:pPr>
            <w:r>
              <w:rPr>
                <w:color w:val="000000"/>
                <w:sz w:val="16"/>
                <w:szCs w:val="16"/>
              </w:rPr>
              <w:t>(4.9, 8.7)</w:t>
            </w:r>
          </w:p>
        </w:tc>
        <w:tc>
          <w:tcPr>
            <w:tcW w:w="569" w:type="dxa"/>
            <w:tcBorders>
              <w:left w:val="single" w:sz="4" w:space="0" w:color="auto"/>
            </w:tcBorders>
            <w:shd w:val="clear" w:color="auto" w:fill="auto"/>
            <w:vAlign w:val="center"/>
          </w:tcPr>
          <w:p w14:paraId="070E22AC" w14:textId="77777777" w:rsidR="00D317D8" w:rsidRDefault="00D317D8" w:rsidP="00D317D8">
            <w:pPr>
              <w:jc w:val="right"/>
              <w:rPr>
                <w:color w:val="000000"/>
                <w:sz w:val="16"/>
                <w:szCs w:val="16"/>
              </w:rPr>
            </w:pPr>
            <w:r>
              <w:rPr>
                <w:color w:val="000000"/>
                <w:sz w:val="16"/>
                <w:szCs w:val="16"/>
              </w:rPr>
              <w:t>53</w:t>
            </w:r>
          </w:p>
        </w:tc>
        <w:tc>
          <w:tcPr>
            <w:tcW w:w="567" w:type="dxa"/>
            <w:shd w:val="clear" w:color="auto" w:fill="auto"/>
            <w:vAlign w:val="center"/>
          </w:tcPr>
          <w:p w14:paraId="4454DB9A" w14:textId="77777777" w:rsidR="00D317D8" w:rsidRDefault="00D317D8" w:rsidP="00D317D8">
            <w:pPr>
              <w:jc w:val="right"/>
              <w:rPr>
                <w:color w:val="000000"/>
                <w:sz w:val="16"/>
                <w:szCs w:val="16"/>
              </w:rPr>
            </w:pPr>
            <w:r>
              <w:rPr>
                <w:color w:val="000000"/>
                <w:sz w:val="16"/>
                <w:szCs w:val="16"/>
              </w:rPr>
              <w:t>8.4</w:t>
            </w:r>
          </w:p>
        </w:tc>
        <w:tc>
          <w:tcPr>
            <w:tcW w:w="1123" w:type="dxa"/>
            <w:tcBorders>
              <w:right w:val="single" w:sz="4" w:space="0" w:color="auto"/>
            </w:tcBorders>
            <w:shd w:val="clear" w:color="auto" w:fill="auto"/>
            <w:vAlign w:val="center"/>
          </w:tcPr>
          <w:p w14:paraId="067988DA" w14:textId="77777777" w:rsidR="00D317D8" w:rsidRDefault="00D317D8" w:rsidP="00D317D8">
            <w:pPr>
              <w:jc w:val="right"/>
              <w:rPr>
                <w:color w:val="000000"/>
                <w:sz w:val="16"/>
                <w:szCs w:val="16"/>
              </w:rPr>
            </w:pPr>
            <w:r>
              <w:rPr>
                <w:color w:val="000000"/>
                <w:sz w:val="16"/>
                <w:szCs w:val="16"/>
              </w:rPr>
              <w:t>(5.9, 10.9)</w:t>
            </w:r>
          </w:p>
        </w:tc>
        <w:tc>
          <w:tcPr>
            <w:tcW w:w="536" w:type="dxa"/>
            <w:tcBorders>
              <w:left w:val="single" w:sz="4" w:space="0" w:color="auto"/>
            </w:tcBorders>
            <w:shd w:val="clear" w:color="auto" w:fill="auto"/>
            <w:vAlign w:val="center"/>
          </w:tcPr>
          <w:p w14:paraId="7F83C7DE" w14:textId="77777777" w:rsidR="00D317D8" w:rsidRDefault="00D317D8" w:rsidP="00D317D8">
            <w:pPr>
              <w:jc w:val="right"/>
              <w:rPr>
                <w:color w:val="000000"/>
                <w:sz w:val="16"/>
                <w:szCs w:val="16"/>
              </w:rPr>
            </w:pPr>
            <w:r>
              <w:rPr>
                <w:color w:val="000000"/>
                <w:sz w:val="16"/>
                <w:szCs w:val="16"/>
              </w:rPr>
              <w:t>27</w:t>
            </w:r>
          </w:p>
        </w:tc>
        <w:tc>
          <w:tcPr>
            <w:tcW w:w="576" w:type="dxa"/>
            <w:shd w:val="clear" w:color="auto" w:fill="auto"/>
            <w:vAlign w:val="center"/>
          </w:tcPr>
          <w:p w14:paraId="7D978415" w14:textId="77777777" w:rsidR="00D317D8" w:rsidRDefault="00D317D8" w:rsidP="00D317D8">
            <w:pPr>
              <w:jc w:val="right"/>
              <w:rPr>
                <w:color w:val="000000"/>
                <w:sz w:val="16"/>
                <w:szCs w:val="16"/>
              </w:rPr>
            </w:pPr>
            <w:r>
              <w:rPr>
                <w:color w:val="000000"/>
                <w:sz w:val="16"/>
                <w:szCs w:val="16"/>
              </w:rPr>
              <w:t>5.8</w:t>
            </w:r>
          </w:p>
        </w:tc>
        <w:tc>
          <w:tcPr>
            <w:tcW w:w="1123" w:type="dxa"/>
            <w:tcBorders>
              <w:right w:val="single" w:sz="4" w:space="0" w:color="auto"/>
            </w:tcBorders>
            <w:shd w:val="clear" w:color="auto" w:fill="auto"/>
            <w:vAlign w:val="center"/>
          </w:tcPr>
          <w:p w14:paraId="38B32452" w14:textId="77777777" w:rsidR="00D317D8" w:rsidRDefault="00D317D8" w:rsidP="00D317D8">
            <w:pPr>
              <w:jc w:val="right"/>
              <w:rPr>
                <w:color w:val="000000"/>
                <w:sz w:val="16"/>
                <w:szCs w:val="16"/>
              </w:rPr>
            </w:pPr>
            <w:r>
              <w:rPr>
                <w:color w:val="000000"/>
                <w:sz w:val="16"/>
                <w:szCs w:val="16"/>
              </w:rPr>
              <w:t>(3.3, 8.2)</w:t>
            </w:r>
          </w:p>
        </w:tc>
        <w:tc>
          <w:tcPr>
            <w:tcW w:w="536" w:type="dxa"/>
            <w:tcBorders>
              <w:left w:val="single" w:sz="4" w:space="0" w:color="auto"/>
            </w:tcBorders>
            <w:shd w:val="clear" w:color="auto" w:fill="auto"/>
            <w:vAlign w:val="center"/>
          </w:tcPr>
          <w:p w14:paraId="4B854005" w14:textId="77777777" w:rsidR="00D317D8" w:rsidRDefault="00D317D8" w:rsidP="00D317D8">
            <w:pPr>
              <w:jc w:val="right"/>
              <w:rPr>
                <w:color w:val="000000"/>
                <w:sz w:val="16"/>
                <w:szCs w:val="16"/>
              </w:rPr>
            </w:pPr>
            <w:r>
              <w:rPr>
                <w:color w:val="000000"/>
                <w:sz w:val="16"/>
                <w:szCs w:val="16"/>
              </w:rPr>
              <w:t>25</w:t>
            </w:r>
          </w:p>
        </w:tc>
        <w:tc>
          <w:tcPr>
            <w:tcW w:w="567" w:type="dxa"/>
            <w:shd w:val="clear" w:color="auto" w:fill="auto"/>
            <w:vAlign w:val="center"/>
          </w:tcPr>
          <w:p w14:paraId="51F5DEAD" w14:textId="77777777" w:rsidR="00D317D8" w:rsidRDefault="00D317D8" w:rsidP="00D317D8">
            <w:pPr>
              <w:jc w:val="right"/>
              <w:rPr>
                <w:color w:val="000000"/>
                <w:sz w:val="16"/>
                <w:szCs w:val="16"/>
              </w:rPr>
            </w:pPr>
            <w:r>
              <w:rPr>
                <w:color w:val="000000"/>
                <w:sz w:val="16"/>
                <w:szCs w:val="16"/>
              </w:rPr>
              <w:t>5.9</w:t>
            </w:r>
          </w:p>
        </w:tc>
        <w:tc>
          <w:tcPr>
            <w:tcW w:w="1123" w:type="dxa"/>
            <w:shd w:val="clear" w:color="auto" w:fill="auto"/>
            <w:vAlign w:val="center"/>
          </w:tcPr>
          <w:p w14:paraId="606C6B09" w14:textId="77777777" w:rsidR="00D317D8" w:rsidRDefault="00D317D8" w:rsidP="00D317D8">
            <w:pPr>
              <w:jc w:val="right"/>
              <w:rPr>
                <w:color w:val="000000"/>
                <w:sz w:val="16"/>
                <w:szCs w:val="16"/>
              </w:rPr>
            </w:pPr>
            <w:r>
              <w:rPr>
                <w:color w:val="000000"/>
                <w:sz w:val="16"/>
                <w:szCs w:val="16"/>
              </w:rPr>
              <w:t>(3.5, 8.4)</w:t>
            </w:r>
          </w:p>
        </w:tc>
      </w:tr>
      <w:tr w:rsidR="00D317D8" w:rsidRPr="007B4EF8" w14:paraId="3B23A6AF" w14:textId="77777777" w:rsidTr="00793719">
        <w:trPr>
          <w:jc w:val="center"/>
        </w:trPr>
        <w:tc>
          <w:tcPr>
            <w:tcW w:w="2127" w:type="dxa"/>
            <w:shd w:val="clear" w:color="auto" w:fill="auto"/>
          </w:tcPr>
          <w:p w14:paraId="2476B978" w14:textId="77777777" w:rsidR="00D317D8" w:rsidRPr="00D317D8" w:rsidRDefault="00D317D8" w:rsidP="00D317D8">
            <w:pPr>
              <w:tabs>
                <w:tab w:val="left" w:pos="176"/>
              </w:tabs>
              <w:spacing w:before="20" w:after="20"/>
              <w:rPr>
                <w:rFonts w:eastAsiaTheme="minorEastAsia"/>
                <w:sz w:val="18"/>
                <w:szCs w:val="18"/>
                <w:lang w:eastAsia="en-US"/>
              </w:rPr>
            </w:pPr>
          </w:p>
        </w:tc>
        <w:tc>
          <w:tcPr>
            <w:tcW w:w="2379" w:type="dxa"/>
            <w:shd w:val="clear" w:color="auto" w:fill="auto"/>
          </w:tcPr>
          <w:p w14:paraId="79B5F693" w14:textId="77777777" w:rsidR="00D317D8" w:rsidRPr="001B7431" w:rsidRDefault="00D317D8" w:rsidP="00D317D8">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shd w:val="clear" w:color="auto" w:fill="auto"/>
            <w:vAlign w:val="center"/>
          </w:tcPr>
          <w:p w14:paraId="54C15844" w14:textId="77777777" w:rsidR="00D317D8" w:rsidRDefault="00D317D8" w:rsidP="00D317D8">
            <w:pPr>
              <w:jc w:val="right"/>
              <w:rPr>
                <w:color w:val="000000"/>
                <w:sz w:val="16"/>
                <w:szCs w:val="16"/>
              </w:rPr>
            </w:pPr>
            <w:r>
              <w:rPr>
                <w:color w:val="000000"/>
                <w:sz w:val="16"/>
                <w:szCs w:val="16"/>
              </w:rPr>
              <w:t>21</w:t>
            </w:r>
          </w:p>
        </w:tc>
        <w:tc>
          <w:tcPr>
            <w:tcW w:w="496" w:type="dxa"/>
            <w:shd w:val="clear" w:color="auto" w:fill="auto"/>
            <w:vAlign w:val="center"/>
          </w:tcPr>
          <w:p w14:paraId="18641414" w14:textId="77777777" w:rsidR="00D317D8" w:rsidRDefault="00D317D8" w:rsidP="00D317D8">
            <w:pPr>
              <w:jc w:val="right"/>
              <w:rPr>
                <w:color w:val="000000"/>
                <w:sz w:val="16"/>
                <w:szCs w:val="16"/>
              </w:rPr>
            </w:pPr>
            <w:r>
              <w:rPr>
                <w:color w:val="000000"/>
                <w:sz w:val="16"/>
                <w:szCs w:val="16"/>
              </w:rPr>
              <w:t>2.2</w:t>
            </w:r>
          </w:p>
        </w:tc>
        <w:tc>
          <w:tcPr>
            <w:tcW w:w="1043" w:type="dxa"/>
            <w:tcBorders>
              <w:right w:val="single" w:sz="4" w:space="0" w:color="auto"/>
            </w:tcBorders>
            <w:shd w:val="clear" w:color="auto" w:fill="auto"/>
            <w:vAlign w:val="center"/>
          </w:tcPr>
          <w:p w14:paraId="526301E8" w14:textId="77777777" w:rsidR="00D317D8" w:rsidRDefault="00D317D8" w:rsidP="00D317D8">
            <w:pPr>
              <w:jc w:val="right"/>
              <w:rPr>
                <w:color w:val="000000"/>
                <w:sz w:val="16"/>
                <w:szCs w:val="16"/>
              </w:rPr>
            </w:pPr>
            <w:r>
              <w:rPr>
                <w:color w:val="000000"/>
                <w:sz w:val="16"/>
                <w:szCs w:val="16"/>
              </w:rPr>
              <w:t>(1.2, 3.1)</w:t>
            </w:r>
          </w:p>
        </w:tc>
        <w:tc>
          <w:tcPr>
            <w:tcW w:w="569" w:type="dxa"/>
            <w:tcBorders>
              <w:left w:val="single" w:sz="4" w:space="0" w:color="auto"/>
            </w:tcBorders>
            <w:shd w:val="clear" w:color="auto" w:fill="auto"/>
            <w:vAlign w:val="center"/>
          </w:tcPr>
          <w:p w14:paraId="3B4CF56D" w14:textId="77777777" w:rsidR="00D317D8" w:rsidRDefault="00D317D8" w:rsidP="00D317D8">
            <w:pPr>
              <w:jc w:val="right"/>
              <w:rPr>
                <w:color w:val="000000"/>
                <w:sz w:val="16"/>
                <w:szCs w:val="16"/>
              </w:rPr>
            </w:pPr>
            <w:r>
              <w:rPr>
                <w:color w:val="000000"/>
                <w:sz w:val="16"/>
                <w:szCs w:val="16"/>
              </w:rPr>
              <w:t>16</w:t>
            </w:r>
          </w:p>
        </w:tc>
        <w:tc>
          <w:tcPr>
            <w:tcW w:w="567" w:type="dxa"/>
            <w:shd w:val="clear" w:color="auto" w:fill="auto"/>
            <w:vAlign w:val="center"/>
          </w:tcPr>
          <w:p w14:paraId="12702FC4" w14:textId="77777777" w:rsidR="00D317D8" w:rsidRDefault="00D317D8" w:rsidP="00D317D8">
            <w:pPr>
              <w:jc w:val="right"/>
              <w:rPr>
                <w:color w:val="000000"/>
                <w:sz w:val="16"/>
                <w:szCs w:val="16"/>
              </w:rPr>
            </w:pPr>
            <w:r>
              <w:rPr>
                <w:color w:val="000000"/>
                <w:sz w:val="16"/>
                <w:szCs w:val="16"/>
              </w:rPr>
              <w:t>2.5</w:t>
            </w:r>
          </w:p>
        </w:tc>
        <w:tc>
          <w:tcPr>
            <w:tcW w:w="1123" w:type="dxa"/>
            <w:tcBorders>
              <w:right w:val="single" w:sz="4" w:space="0" w:color="auto"/>
            </w:tcBorders>
            <w:shd w:val="clear" w:color="auto" w:fill="auto"/>
            <w:vAlign w:val="center"/>
          </w:tcPr>
          <w:p w14:paraId="74E52B85" w14:textId="77777777" w:rsidR="00D317D8" w:rsidRDefault="00D317D8" w:rsidP="00D317D8">
            <w:pPr>
              <w:jc w:val="right"/>
              <w:rPr>
                <w:color w:val="000000"/>
                <w:sz w:val="16"/>
                <w:szCs w:val="16"/>
              </w:rPr>
            </w:pPr>
            <w:r>
              <w:rPr>
                <w:color w:val="000000"/>
                <w:sz w:val="16"/>
                <w:szCs w:val="16"/>
              </w:rPr>
              <w:t>(1.0, 4.1)</w:t>
            </w:r>
          </w:p>
        </w:tc>
        <w:tc>
          <w:tcPr>
            <w:tcW w:w="536" w:type="dxa"/>
            <w:tcBorders>
              <w:left w:val="single" w:sz="4" w:space="0" w:color="auto"/>
            </w:tcBorders>
            <w:shd w:val="clear" w:color="auto" w:fill="auto"/>
            <w:vAlign w:val="center"/>
          </w:tcPr>
          <w:p w14:paraId="16C38BCC" w14:textId="77777777" w:rsidR="00D317D8" w:rsidRDefault="00D317D8" w:rsidP="00D317D8">
            <w:pPr>
              <w:jc w:val="right"/>
              <w:rPr>
                <w:color w:val="000000"/>
                <w:sz w:val="16"/>
                <w:szCs w:val="16"/>
              </w:rPr>
            </w:pPr>
            <w:r>
              <w:rPr>
                <w:color w:val="000000"/>
                <w:sz w:val="16"/>
                <w:szCs w:val="16"/>
              </w:rPr>
              <w:t>8</w:t>
            </w:r>
          </w:p>
        </w:tc>
        <w:tc>
          <w:tcPr>
            <w:tcW w:w="576" w:type="dxa"/>
            <w:shd w:val="clear" w:color="auto" w:fill="auto"/>
            <w:vAlign w:val="center"/>
          </w:tcPr>
          <w:p w14:paraId="66D6DBF6" w14:textId="77777777" w:rsidR="00D317D8" w:rsidRDefault="00D317D8" w:rsidP="00D317D8">
            <w:pPr>
              <w:jc w:val="right"/>
              <w:rPr>
                <w:color w:val="000000"/>
                <w:sz w:val="16"/>
                <w:szCs w:val="16"/>
              </w:rPr>
            </w:pPr>
            <w:r>
              <w:rPr>
                <w:color w:val="000000"/>
                <w:sz w:val="16"/>
                <w:szCs w:val="16"/>
              </w:rPr>
              <w:t>1.7</w:t>
            </w:r>
          </w:p>
        </w:tc>
        <w:tc>
          <w:tcPr>
            <w:tcW w:w="1123" w:type="dxa"/>
            <w:tcBorders>
              <w:right w:val="single" w:sz="4" w:space="0" w:color="auto"/>
            </w:tcBorders>
            <w:shd w:val="clear" w:color="auto" w:fill="auto"/>
            <w:vAlign w:val="center"/>
          </w:tcPr>
          <w:p w14:paraId="5BC157D0" w14:textId="77777777" w:rsidR="00D317D8" w:rsidRDefault="00D317D8" w:rsidP="00D317D8">
            <w:pPr>
              <w:jc w:val="right"/>
              <w:rPr>
                <w:color w:val="000000"/>
                <w:sz w:val="16"/>
                <w:szCs w:val="16"/>
              </w:rPr>
            </w:pPr>
            <w:r>
              <w:rPr>
                <w:color w:val="000000"/>
                <w:sz w:val="16"/>
                <w:szCs w:val="16"/>
              </w:rPr>
              <w:t>(0.6, 2.7)</w:t>
            </w:r>
          </w:p>
        </w:tc>
        <w:tc>
          <w:tcPr>
            <w:tcW w:w="536" w:type="dxa"/>
            <w:tcBorders>
              <w:left w:val="single" w:sz="4" w:space="0" w:color="auto"/>
            </w:tcBorders>
            <w:shd w:val="clear" w:color="auto" w:fill="auto"/>
            <w:vAlign w:val="center"/>
          </w:tcPr>
          <w:p w14:paraId="2352B289" w14:textId="77777777" w:rsidR="00D317D8" w:rsidRDefault="00D317D8" w:rsidP="00D317D8">
            <w:pPr>
              <w:jc w:val="right"/>
              <w:rPr>
                <w:color w:val="000000"/>
                <w:sz w:val="16"/>
                <w:szCs w:val="16"/>
              </w:rPr>
            </w:pPr>
            <w:r>
              <w:rPr>
                <w:color w:val="000000"/>
                <w:sz w:val="16"/>
                <w:szCs w:val="16"/>
              </w:rPr>
              <w:t>15</w:t>
            </w:r>
          </w:p>
        </w:tc>
        <w:tc>
          <w:tcPr>
            <w:tcW w:w="567" w:type="dxa"/>
            <w:shd w:val="clear" w:color="auto" w:fill="auto"/>
            <w:vAlign w:val="center"/>
          </w:tcPr>
          <w:p w14:paraId="369801CB" w14:textId="77777777" w:rsidR="00D317D8" w:rsidRDefault="00D317D8" w:rsidP="00D317D8">
            <w:pPr>
              <w:jc w:val="right"/>
              <w:rPr>
                <w:color w:val="000000"/>
                <w:sz w:val="16"/>
                <w:szCs w:val="16"/>
              </w:rPr>
            </w:pPr>
            <w:r>
              <w:rPr>
                <w:color w:val="000000"/>
                <w:sz w:val="16"/>
                <w:szCs w:val="16"/>
              </w:rPr>
              <w:t>3.4</w:t>
            </w:r>
          </w:p>
        </w:tc>
        <w:tc>
          <w:tcPr>
            <w:tcW w:w="1123" w:type="dxa"/>
            <w:shd w:val="clear" w:color="auto" w:fill="auto"/>
            <w:vAlign w:val="center"/>
          </w:tcPr>
          <w:p w14:paraId="0089A24A" w14:textId="77777777" w:rsidR="00D317D8" w:rsidRDefault="00D317D8" w:rsidP="00D317D8">
            <w:pPr>
              <w:jc w:val="right"/>
              <w:rPr>
                <w:color w:val="000000"/>
                <w:sz w:val="16"/>
                <w:szCs w:val="16"/>
              </w:rPr>
            </w:pPr>
            <w:r>
              <w:rPr>
                <w:color w:val="000000"/>
                <w:sz w:val="16"/>
                <w:szCs w:val="16"/>
              </w:rPr>
              <w:t>(1.7, 5.2)</w:t>
            </w:r>
          </w:p>
        </w:tc>
      </w:tr>
      <w:tr w:rsidR="00D317D8" w:rsidRPr="007B4EF8" w14:paraId="0207EEFA" w14:textId="77777777" w:rsidTr="00793719">
        <w:trPr>
          <w:jc w:val="center"/>
        </w:trPr>
        <w:tc>
          <w:tcPr>
            <w:tcW w:w="2127" w:type="dxa"/>
            <w:shd w:val="clear" w:color="auto" w:fill="auto"/>
          </w:tcPr>
          <w:p w14:paraId="61BE4B16" w14:textId="77777777" w:rsidR="00D317D8" w:rsidRPr="00D317D8" w:rsidRDefault="00D317D8" w:rsidP="00D317D8">
            <w:pPr>
              <w:tabs>
                <w:tab w:val="left" w:pos="318"/>
              </w:tabs>
              <w:spacing w:before="20" w:after="20"/>
              <w:ind w:left="176" w:hanging="176"/>
              <w:rPr>
                <w:rFonts w:eastAsiaTheme="minorEastAsia"/>
                <w:sz w:val="18"/>
                <w:szCs w:val="18"/>
                <w:lang w:eastAsia="en-US"/>
              </w:rPr>
            </w:pPr>
            <w:r>
              <w:rPr>
                <w:rFonts w:eastAsiaTheme="minorEastAsia"/>
                <w:sz w:val="18"/>
                <w:szCs w:val="18"/>
                <w:lang w:eastAsia="en-US"/>
              </w:rPr>
              <w:t>4 - 6</w:t>
            </w:r>
          </w:p>
        </w:tc>
        <w:tc>
          <w:tcPr>
            <w:tcW w:w="2379" w:type="dxa"/>
            <w:shd w:val="clear" w:color="auto" w:fill="auto"/>
          </w:tcPr>
          <w:p w14:paraId="5C53632E" w14:textId="77777777" w:rsidR="00D317D8" w:rsidRPr="001B7431" w:rsidRDefault="00D317D8" w:rsidP="00D317D8">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shd w:val="clear" w:color="auto" w:fill="auto"/>
            <w:vAlign w:val="center"/>
          </w:tcPr>
          <w:p w14:paraId="0610D3E6" w14:textId="77777777" w:rsidR="00D317D8" w:rsidRDefault="00D317D8" w:rsidP="00D317D8">
            <w:pPr>
              <w:jc w:val="right"/>
              <w:rPr>
                <w:color w:val="000000"/>
                <w:sz w:val="16"/>
                <w:szCs w:val="16"/>
              </w:rPr>
            </w:pPr>
            <w:r>
              <w:rPr>
                <w:color w:val="000000"/>
                <w:sz w:val="16"/>
                <w:szCs w:val="16"/>
              </w:rPr>
              <w:t>917</w:t>
            </w:r>
          </w:p>
        </w:tc>
        <w:tc>
          <w:tcPr>
            <w:tcW w:w="496" w:type="dxa"/>
            <w:shd w:val="clear" w:color="auto" w:fill="auto"/>
            <w:vAlign w:val="center"/>
          </w:tcPr>
          <w:p w14:paraId="4E9DDF84" w14:textId="77777777" w:rsidR="00D317D8" w:rsidRDefault="00D317D8" w:rsidP="00D317D8">
            <w:pPr>
              <w:jc w:val="right"/>
              <w:rPr>
                <w:color w:val="000000"/>
                <w:sz w:val="16"/>
                <w:szCs w:val="16"/>
              </w:rPr>
            </w:pPr>
            <w:r>
              <w:rPr>
                <w:color w:val="000000"/>
                <w:sz w:val="16"/>
                <w:szCs w:val="16"/>
              </w:rPr>
              <w:t>83.6</w:t>
            </w:r>
          </w:p>
        </w:tc>
        <w:tc>
          <w:tcPr>
            <w:tcW w:w="1043" w:type="dxa"/>
            <w:tcBorders>
              <w:right w:val="single" w:sz="4" w:space="0" w:color="auto"/>
            </w:tcBorders>
            <w:shd w:val="clear" w:color="auto" w:fill="auto"/>
            <w:vAlign w:val="center"/>
          </w:tcPr>
          <w:p w14:paraId="1994B74D" w14:textId="77777777" w:rsidR="00D317D8" w:rsidRDefault="00D317D8" w:rsidP="00D317D8">
            <w:pPr>
              <w:jc w:val="right"/>
              <w:rPr>
                <w:color w:val="000000"/>
                <w:sz w:val="16"/>
                <w:szCs w:val="16"/>
              </w:rPr>
            </w:pPr>
            <w:r>
              <w:rPr>
                <w:color w:val="000000"/>
                <w:sz w:val="16"/>
                <w:szCs w:val="16"/>
              </w:rPr>
              <w:t>(80.9, 86.3)</w:t>
            </w:r>
          </w:p>
        </w:tc>
        <w:tc>
          <w:tcPr>
            <w:tcW w:w="569" w:type="dxa"/>
            <w:tcBorders>
              <w:left w:val="single" w:sz="4" w:space="0" w:color="auto"/>
            </w:tcBorders>
            <w:shd w:val="clear" w:color="auto" w:fill="auto"/>
            <w:vAlign w:val="center"/>
          </w:tcPr>
          <w:p w14:paraId="7948D179" w14:textId="77777777" w:rsidR="00D317D8" w:rsidRDefault="00D317D8" w:rsidP="00D317D8">
            <w:pPr>
              <w:jc w:val="right"/>
              <w:rPr>
                <w:color w:val="000000"/>
                <w:sz w:val="16"/>
                <w:szCs w:val="16"/>
              </w:rPr>
            </w:pPr>
            <w:r>
              <w:rPr>
                <w:color w:val="000000"/>
                <w:sz w:val="16"/>
                <w:szCs w:val="16"/>
              </w:rPr>
              <w:t>475</w:t>
            </w:r>
          </w:p>
        </w:tc>
        <w:tc>
          <w:tcPr>
            <w:tcW w:w="567" w:type="dxa"/>
            <w:shd w:val="clear" w:color="auto" w:fill="auto"/>
            <w:vAlign w:val="center"/>
          </w:tcPr>
          <w:p w14:paraId="7998FA40" w14:textId="77777777" w:rsidR="00D317D8" w:rsidRDefault="00D317D8" w:rsidP="00D317D8">
            <w:pPr>
              <w:jc w:val="right"/>
              <w:rPr>
                <w:color w:val="000000"/>
                <w:sz w:val="16"/>
                <w:szCs w:val="16"/>
              </w:rPr>
            </w:pPr>
            <w:r>
              <w:rPr>
                <w:color w:val="000000"/>
                <w:sz w:val="16"/>
                <w:szCs w:val="16"/>
              </w:rPr>
              <w:t>81.9</w:t>
            </w:r>
          </w:p>
        </w:tc>
        <w:tc>
          <w:tcPr>
            <w:tcW w:w="1123" w:type="dxa"/>
            <w:tcBorders>
              <w:right w:val="single" w:sz="4" w:space="0" w:color="auto"/>
            </w:tcBorders>
            <w:shd w:val="clear" w:color="auto" w:fill="auto"/>
            <w:vAlign w:val="center"/>
          </w:tcPr>
          <w:p w14:paraId="7CC56DA5" w14:textId="77777777" w:rsidR="00D317D8" w:rsidRDefault="00D317D8" w:rsidP="00D317D8">
            <w:pPr>
              <w:jc w:val="right"/>
              <w:rPr>
                <w:color w:val="000000"/>
                <w:sz w:val="16"/>
                <w:szCs w:val="16"/>
              </w:rPr>
            </w:pPr>
            <w:r>
              <w:rPr>
                <w:color w:val="000000"/>
                <w:sz w:val="16"/>
                <w:szCs w:val="16"/>
              </w:rPr>
              <w:t>(78.4, 85.3)</w:t>
            </w:r>
          </w:p>
        </w:tc>
        <w:tc>
          <w:tcPr>
            <w:tcW w:w="536" w:type="dxa"/>
            <w:tcBorders>
              <w:left w:val="single" w:sz="4" w:space="0" w:color="auto"/>
            </w:tcBorders>
            <w:shd w:val="clear" w:color="auto" w:fill="auto"/>
            <w:vAlign w:val="center"/>
          </w:tcPr>
          <w:p w14:paraId="3D0C51A5" w14:textId="77777777" w:rsidR="00D317D8" w:rsidRDefault="00D317D8" w:rsidP="00D317D8">
            <w:pPr>
              <w:jc w:val="right"/>
              <w:rPr>
                <w:color w:val="000000"/>
                <w:sz w:val="16"/>
                <w:szCs w:val="16"/>
              </w:rPr>
            </w:pPr>
            <w:r>
              <w:rPr>
                <w:color w:val="000000"/>
                <w:sz w:val="16"/>
                <w:szCs w:val="16"/>
              </w:rPr>
              <w:t>401</w:t>
            </w:r>
          </w:p>
        </w:tc>
        <w:tc>
          <w:tcPr>
            <w:tcW w:w="576" w:type="dxa"/>
            <w:shd w:val="clear" w:color="auto" w:fill="auto"/>
            <w:vAlign w:val="center"/>
          </w:tcPr>
          <w:p w14:paraId="1CA506C7" w14:textId="77777777" w:rsidR="00D317D8" w:rsidRDefault="00D317D8" w:rsidP="00D317D8">
            <w:pPr>
              <w:jc w:val="right"/>
              <w:rPr>
                <w:color w:val="000000"/>
                <w:sz w:val="16"/>
                <w:szCs w:val="16"/>
              </w:rPr>
            </w:pPr>
            <w:r>
              <w:rPr>
                <w:color w:val="000000"/>
                <w:sz w:val="16"/>
                <w:szCs w:val="16"/>
              </w:rPr>
              <w:t>82.3</w:t>
            </w:r>
          </w:p>
        </w:tc>
        <w:tc>
          <w:tcPr>
            <w:tcW w:w="1123" w:type="dxa"/>
            <w:tcBorders>
              <w:right w:val="single" w:sz="4" w:space="0" w:color="auto"/>
            </w:tcBorders>
            <w:shd w:val="clear" w:color="auto" w:fill="auto"/>
            <w:vAlign w:val="center"/>
          </w:tcPr>
          <w:p w14:paraId="0201BFFC" w14:textId="77777777" w:rsidR="00D317D8" w:rsidRDefault="00D317D8" w:rsidP="00D317D8">
            <w:pPr>
              <w:jc w:val="right"/>
              <w:rPr>
                <w:color w:val="000000"/>
                <w:sz w:val="16"/>
                <w:szCs w:val="16"/>
              </w:rPr>
            </w:pPr>
            <w:r>
              <w:rPr>
                <w:color w:val="000000"/>
                <w:sz w:val="16"/>
                <w:szCs w:val="16"/>
              </w:rPr>
              <w:t>(78.3, 86.2)</w:t>
            </w:r>
          </w:p>
        </w:tc>
        <w:tc>
          <w:tcPr>
            <w:tcW w:w="536" w:type="dxa"/>
            <w:tcBorders>
              <w:left w:val="single" w:sz="4" w:space="0" w:color="auto"/>
            </w:tcBorders>
            <w:shd w:val="clear" w:color="auto" w:fill="auto"/>
            <w:vAlign w:val="center"/>
          </w:tcPr>
          <w:p w14:paraId="182EE929" w14:textId="77777777" w:rsidR="00D317D8" w:rsidRDefault="00D317D8" w:rsidP="00D317D8">
            <w:pPr>
              <w:jc w:val="right"/>
              <w:rPr>
                <w:color w:val="000000"/>
                <w:sz w:val="16"/>
                <w:szCs w:val="16"/>
              </w:rPr>
            </w:pPr>
            <w:r>
              <w:rPr>
                <w:color w:val="000000"/>
                <w:sz w:val="16"/>
                <w:szCs w:val="16"/>
              </w:rPr>
              <w:t>320</w:t>
            </w:r>
          </w:p>
        </w:tc>
        <w:tc>
          <w:tcPr>
            <w:tcW w:w="567" w:type="dxa"/>
            <w:shd w:val="clear" w:color="auto" w:fill="auto"/>
            <w:vAlign w:val="center"/>
          </w:tcPr>
          <w:p w14:paraId="5AB38FBB" w14:textId="77777777" w:rsidR="00D317D8" w:rsidRDefault="00D317D8" w:rsidP="00D317D8">
            <w:pPr>
              <w:jc w:val="right"/>
              <w:rPr>
                <w:color w:val="000000"/>
                <w:sz w:val="16"/>
                <w:szCs w:val="16"/>
              </w:rPr>
            </w:pPr>
            <w:r>
              <w:rPr>
                <w:color w:val="000000"/>
                <w:sz w:val="16"/>
                <w:szCs w:val="16"/>
              </w:rPr>
              <w:t>81.1</w:t>
            </w:r>
          </w:p>
        </w:tc>
        <w:tc>
          <w:tcPr>
            <w:tcW w:w="1123" w:type="dxa"/>
            <w:shd w:val="clear" w:color="auto" w:fill="auto"/>
            <w:vAlign w:val="center"/>
          </w:tcPr>
          <w:p w14:paraId="359DCE81" w14:textId="77777777" w:rsidR="00D317D8" w:rsidRDefault="00D317D8" w:rsidP="00D317D8">
            <w:pPr>
              <w:jc w:val="right"/>
              <w:rPr>
                <w:color w:val="000000"/>
                <w:sz w:val="16"/>
                <w:szCs w:val="16"/>
              </w:rPr>
            </w:pPr>
            <w:r>
              <w:rPr>
                <w:color w:val="000000"/>
                <w:sz w:val="16"/>
                <w:szCs w:val="16"/>
              </w:rPr>
              <w:t>(75.6, 86.5)</w:t>
            </w:r>
          </w:p>
        </w:tc>
      </w:tr>
      <w:tr w:rsidR="00D317D8" w:rsidRPr="007B4EF8" w14:paraId="57503526" w14:textId="77777777" w:rsidTr="00793719">
        <w:trPr>
          <w:jc w:val="center"/>
        </w:trPr>
        <w:tc>
          <w:tcPr>
            <w:tcW w:w="2127" w:type="dxa"/>
            <w:shd w:val="clear" w:color="auto" w:fill="auto"/>
          </w:tcPr>
          <w:p w14:paraId="0567A492" w14:textId="77777777" w:rsidR="00D317D8" w:rsidRPr="00D317D8" w:rsidRDefault="00D317D8" w:rsidP="00D317D8">
            <w:pPr>
              <w:spacing w:before="20" w:after="40"/>
              <w:ind w:left="176"/>
              <w:rPr>
                <w:rFonts w:eastAsiaTheme="minorEastAsia"/>
                <w:sz w:val="18"/>
                <w:szCs w:val="18"/>
                <w:lang w:eastAsia="en-US"/>
              </w:rPr>
            </w:pPr>
          </w:p>
        </w:tc>
        <w:tc>
          <w:tcPr>
            <w:tcW w:w="2379" w:type="dxa"/>
            <w:shd w:val="clear" w:color="auto" w:fill="auto"/>
          </w:tcPr>
          <w:p w14:paraId="74212DE9" w14:textId="77777777" w:rsidR="00D317D8" w:rsidRPr="001B7431" w:rsidRDefault="00D317D8" w:rsidP="00D317D8">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shd w:val="clear" w:color="auto" w:fill="auto"/>
            <w:vAlign w:val="center"/>
          </w:tcPr>
          <w:p w14:paraId="37EB2F4F" w14:textId="77777777" w:rsidR="00D317D8" w:rsidRDefault="00D317D8" w:rsidP="00D317D8">
            <w:pPr>
              <w:jc w:val="right"/>
              <w:rPr>
                <w:color w:val="000000"/>
                <w:sz w:val="16"/>
                <w:szCs w:val="16"/>
              </w:rPr>
            </w:pPr>
            <w:r>
              <w:rPr>
                <w:color w:val="000000"/>
                <w:sz w:val="16"/>
                <w:szCs w:val="16"/>
              </w:rPr>
              <w:t>107</w:t>
            </w:r>
          </w:p>
        </w:tc>
        <w:tc>
          <w:tcPr>
            <w:tcW w:w="496" w:type="dxa"/>
            <w:shd w:val="clear" w:color="auto" w:fill="auto"/>
            <w:vAlign w:val="center"/>
          </w:tcPr>
          <w:p w14:paraId="5482B500" w14:textId="77777777" w:rsidR="00D317D8" w:rsidRDefault="00D317D8" w:rsidP="00D317D8">
            <w:pPr>
              <w:jc w:val="right"/>
              <w:rPr>
                <w:color w:val="000000"/>
                <w:sz w:val="16"/>
                <w:szCs w:val="16"/>
              </w:rPr>
            </w:pPr>
            <w:r>
              <w:rPr>
                <w:color w:val="000000"/>
                <w:sz w:val="16"/>
                <w:szCs w:val="16"/>
              </w:rPr>
              <w:t>9.8</w:t>
            </w:r>
          </w:p>
        </w:tc>
        <w:tc>
          <w:tcPr>
            <w:tcW w:w="1043" w:type="dxa"/>
            <w:tcBorders>
              <w:right w:val="single" w:sz="4" w:space="0" w:color="auto"/>
            </w:tcBorders>
            <w:shd w:val="clear" w:color="auto" w:fill="auto"/>
            <w:vAlign w:val="center"/>
          </w:tcPr>
          <w:p w14:paraId="3566AFE5" w14:textId="77777777" w:rsidR="00D317D8" w:rsidRDefault="00D317D8" w:rsidP="00D317D8">
            <w:pPr>
              <w:jc w:val="right"/>
              <w:rPr>
                <w:color w:val="000000"/>
                <w:sz w:val="16"/>
                <w:szCs w:val="16"/>
              </w:rPr>
            </w:pPr>
            <w:r>
              <w:rPr>
                <w:color w:val="000000"/>
                <w:sz w:val="16"/>
                <w:szCs w:val="16"/>
              </w:rPr>
              <w:t>(7.6, 12.0)</w:t>
            </w:r>
          </w:p>
        </w:tc>
        <w:tc>
          <w:tcPr>
            <w:tcW w:w="569" w:type="dxa"/>
            <w:tcBorders>
              <w:left w:val="single" w:sz="4" w:space="0" w:color="auto"/>
            </w:tcBorders>
            <w:shd w:val="clear" w:color="auto" w:fill="auto"/>
            <w:vAlign w:val="center"/>
          </w:tcPr>
          <w:p w14:paraId="3F76B770" w14:textId="77777777" w:rsidR="00D317D8" w:rsidRDefault="00D317D8" w:rsidP="00D317D8">
            <w:pPr>
              <w:jc w:val="right"/>
              <w:rPr>
                <w:color w:val="000000"/>
                <w:sz w:val="16"/>
                <w:szCs w:val="16"/>
              </w:rPr>
            </w:pPr>
            <w:r>
              <w:rPr>
                <w:color w:val="000000"/>
                <w:sz w:val="16"/>
                <w:szCs w:val="16"/>
              </w:rPr>
              <w:t>77</w:t>
            </w:r>
          </w:p>
        </w:tc>
        <w:tc>
          <w:tcPr>
            <w:tcW w:w="567" w:type="dxa"/>
            <w:shd w:val="clear" w:color="auto" w:fill="auto"/>
            <w:vAlign w:val="center"/>
          </w:tcPr>
          <w:p w14:paraId="486815F5" w14:textId="77777777" w:rsidR="00D317D8" w:rsidRDefault="00D317D8" w:rsidP="00D317D8">
            <w:pPr>
              <w:jc w:val="right"/>
              <w:rPr>
                <w:color w:val="000000"/>
                <w:sz w:val="16"/>
                <w:szCs w:val="16"/>
              </w:rPr>
            </w:pPr>
            <w:r>
              <w:rPr>
                <w:color w:val="000000"/>
                <w:sz w:val="16"/>
                <w:szCs w:val="16"/>
              </w:rPr>
              <w:t>13.3</w:t>
            </w:r>
          </w:p>
        </w:tc>
        <w:tc>
          <w:tcPr>
            <w:tcW w:w="1123" w:type="dxa"/>
            <w:tcBorders>
              <w:right w:val="single" w:sz="4" w:space="0" w:color="auto"/>
            </w:tcBorders>
            <w:shd w:val="clear" w:color="auto" w:fill="auto"/>
            <w:vAlign w:val="center"/>
          </w:tcPr>
          <w:p w14:paraId="5C1F42C6" w14:textId="77777777" w:rsidR="00D317D8" w:rsidRDefault="00D317D8" w:rsidP="00D317D8">
            <w:pPr>
              <w:jc w:val="right"/>
              <w:rPr>
                <w:color w:val="000000"/>
                <w:sz w:val="16"/>
                <w:szCs w:val="16"/>
              </w:rPr>
            </w:pPr>
            <w:r>
              <w:rPr>
                <w:color w:val="000000"/>
                <w:sz w:val="16"/>
                <w:szCs w:val="16"/>
              </w:rPr>
              <w:t>(10.2, 16.3)</w:t>
            </w:r>
          </w:p>
        </w:tc>
        <w:tc>
          <w:tcPr>
            <w:tcW w:w="536" w:type="dxa"/>
            <w:tcBorders>
              <w:left w:val="single" w:sz="4" w:space="0" w:color="auto"/>
            </w:tcBorders>
            <w:shd w:val="clear" w:color="auto" w:fill="auto"/>
            <w:vAlign w:val="center"/>
          </w:tcPr>
          <w:p w14:paraId="36519FEA" w14:textId="77777777" w:rsidR="00D317D8" w:rsidRDefault="00D317D8" w:rsidP="00D317D8">
            <w:pPr>
              <w:jc w:val="right"/>
              <w:rPr>
                <w:color w:val="000000"/>
                <w:sz w:val="16"/>
                <w:szCs w:val="16"/>
              </w:rPr>
            </w:pPr>
            <w:r>
              <w:rPr>
                <w:color w:val="000000"/>
                <w:sz w:val="16"/>
                <w:szCs w:val="16"/>
              </w:rPr>
              <w:t>62</w:t>
            </w:r>
          </w:p>
        </w:tc>
        <w:tc>
          <w:tcPr>
            <w:tcW w:w="576" w:type="dxa"/>
            <w:shd w:val="clear" w:color="auto" w:fill="auto"/>
            <w:vAlign w:val="center"/>
          </w:tcPr>
          <w:p w14:paraId="7470A2C1" w14:textId="77777777" w:rsidR="00D317D8" w:rsidRDefault="00D317D8" w:rsidP="00D317D8">
            <w:pPr>
              <w:jc w:val="right"/>
              <w:rPr>
                <w:color w:val="000000"/>
                <w:sz w:val="16"/>
                <w:szCs w:val="16"/>
              </w:rPr>
            </w:pPr>
            <w:r>
              <w:rPr>
                <w:color w:val="000000"/>
                <w:sz w:val="16"/>
                <w:szCs w:val="16"/>
              </w:rPr>
              <w:t>12.8</w:t>
            </w:r>
          </w:p>
        </w:tc>
        <w:tc>
          <w:tcPr>
            <w:tcW w:w="1123" w:type="dxa"/>
            <w:tcBorders>
              <w:right w:val="single" w:sz="4" w:space="0" w:color="auto"/>
            </w:tcBorders>
            <w:shd w:val="clear" w:color="auto" w:fill="auto"/>
            <w:vAlign w:val="center"/>
          </w:tcPr>
          <w:p w14:paraId="2020C2A5" w14:textId="77777777" w:rsidR="00D317D8" w:rsidRDefault="00D317D8" w:rsidP="00D317D8">
            <w:pPr>
              <w:jc w:val="right"/>
              <w:rPr>
                <w:color w:val="000000"/>
                <w:sz w:val="16"/>
                <w:szCs w:val="16"/>
              </w:rPr>
            </w:pPr>
            <w:r>
              <w:rPr>
                <w:color w:val="000000"/>
                <w:sz w:val="16"/>
                <w:szCs w:val="16"/>
              </w:rPr>
              <w:t>(9.1, 16.4)</w:t>
            </w:r>
          </w:p>
        </w:tc>
        <w:tc>
          <w:tcPr>
            <w:tcW w:w="536" w:type="dxa"/>
            <w:tcBorders>
              <w:left w:val="single" w:sz="4" w:space="0" w:color="auto"/>
            </w:tcBorders>
            <w:shd w:val="clear" w:color="auto" w:fill="auto"/>
            <w:vAlign w:val="center"/>
          </w:tcPr>
          <w:p w14:paraId="23D80996" w14:textId="77777777" w:rsidR="00D317D8" w:rsidRDefault="00D317D8" w:rsidP="00D317D8">
            <w:pPr>
              <w:jc w:val="right"/>
              <w:rPr>
                <w:color w:val="000000"/>
                <w:sz w:val="16"/>
                <w:szCs w:val="16"/>
              </w:rPr>
            </w:pPr>
            <w:r>
              <w:rPr>
                <w:color w:val="000000"/>
                <w:sz w:val="16"/>
                <w:szCs w:val="16"/>
              </w:rPr>
              <w:t>49</w:t>
            </w:r>
          </w:p>
        </w:tc>
        <w:tc>
          <w:tcPr>
            <w:tcW w:w="567" w:type="dxa"/>
            <w:shd w:val="clear" w:color="auto" w:fill="auto"/>
            <w:vAlign w:val="center"/>
          </w:tcPr>
          <w:p w14:paraId="31F48A92" w14:textId="77777777" w:rsidR="00D317D8" w:rsidRDefault="00D317D8" w:rsidP="00D317D8">
            <w:pPr>
              <w:jc w:val="right"/>
              <w:rPr>
                <w:color w:val="000000"/>
                <w:sz w:val="16"/>
                <w:szCs w:val="16"/>
              </w:rPr>
            </w:pPr>
            <w:r>
              <w:rPr>
                <w:color w:val="000000"/>
                <w:sz w:val="16"/>
                <w:szCs w:val="16"/>
              </w:rPr>
              <w:t>12.4</w:t>
            </w:r>
          </w:p>
        </w:tc>
        <w:tc>
          <w:tcPr>
            <w:tcW w:w="1123" w:type="dxa"/>
            <w:shd w:val="clear" w:color="auto" w:fill="auto"/>
            <w:vAlign w:val="center"/>
          </w:tcPr>
          <w:p w14:paraId="0D74DD08" w14:textId="77777777" w:rsidR="00D317D8" w:rsidRDefault="00D317D8" w:rsidP="00D317D8">
            <w:pPr>
              <w:jc w:val="right"/>
              <w:rPr>
                <w:color w:val="000000"/>
                <w:sz w:val="16"/>
                <w:szCs w:val="16"/>
              </w:rPr>
            </w:pPr>
            <w:r>
              <w:rPr>
                <w:color w:val="000000"/>
                <w:sz w:val="16"/>
                <w:szCs w:val="16"/>
              </w:rPr>
              <w:t>(7.9, 16.9)</w:t>
            </w:r>
          </w:p>
        </w:tc>
      </w:tr>
      <w:tr w:rsidR="00D317D8" w:rsidRPr="007B4EF8" w14:paraId="31DB3984" w14:textId="77777777" w:rsidTr="00793719">
        <w:trPr>
          <w:jc w:val="center"/>
        </w:trPr>
        <w:tc>
          <w:tcPr>
            <w:tcW w:w="2127" w:type="dxa"/>
            <w:shd w:val="clear" w:color="auto" w:fill="auto"/>
          </w:tcPr>
          <w:p w14:paraId="3B13EA51" w14:textId="77777777" w:rsidR="00D317D8" w:rsidRPr="00D317D8" w:rsidRDefault="00D317D8" w:rsidP="00D317D8">
            <w:pPr>
              <w:spacing w:before="20" w:after="20"/>
              <w:rPr>
                <w:rFonts w:eastAsiaTheme="minorEastAsia"/>
                <w:sz w:val="18"/>
                <w:szCs w:val="18"/>
                <w:lang w:eastAsia="en-US"/>
              </w:rPr>
            </w:pPr>
          </w:p>
        </w:tc>
        <w:tc>
          <w:tcPr>
            <w:tcW w:w="2379" w:type="dxa"/>
            <w:shd w:val="clear" w:color="auto" w:fill="auto"/>
          </w:tcPr>
          <w:p w14:paraId="0610F467" w14:textId="77777777" w:rsidR="00D317D8" w:rsidRPr="001B7431" w:rsidRDefault="00D317D8" w:rsidP="00D317D8">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shd w:val="clear" w:color="auto" w:fill="auto"/>
            <w:vAlign w:val="center"/>
          </w:tcPr>
          <w:p w14:paraId="537CD820" w14:textId="77777777" w:rsidR="00D317D8" w:rsidRDefault="00D317D8" w:rsidP="00D317D8">
            <w:pPr>
              <w:jc w:val="right"/>
              <w:rPr>
                <w:color w:val="000000"/>
                <w:sz w:val="16"/>
                <w:szCs w:val="16"/>
              </w:rPr>
            </w:pPr>
            <w:r>
              <w:rPr>
                <w:color w:val="000000"/>
                <w:sz w:val="16"/>
                <w:szCs w:val="16"/>
              </w:rPr>
              <w:t>73</w:t>
            </w:r>
          </w:p>
        </w:tc>
        <w:tc>
          <w:tcPr>
            <w:tcW w:w="496" w:type="dxa"/>
            <w:shd w:val="clear" w:color="auto" w:fill="auto"/>
            <w:vAlign w:val="center"/>
          </w:tcPr>
          <w:p w14:paraId="777C331E" w14:textId="77777777" w:rsidR="00D317D8" w:rsidRDefault="00D317D8" w:rsidP="00D317D8">
            <w:pPr>
              <w:jc w:val="right"/>
              <w:rPr>
                <w:color w:val="000000"/>
                <w:sz w:val="16"/>
                <w:szCs w:val="16"/>
              </w:rPr>
            </w:pPr>
            <w:r>
              <w:rPr>
                <w:color w:val="000000"/>
                <w:sz w:val="16"/>
                <w:szCs w:val="16"/>
              </w:rPr>
              <w:t>6.6</w:t>
            </w:r>
          </w:p>
        </w:tc>
        <w:tc>
          <w:tcPr>
            <w:tcW w:w="1043" w:type="dxa"/>
            <w:tcBorders>
              <w:right w:val="single" w:sz="4" w:space="0" w:color="auto"/>
            </w:tcBorders>
            <w:shd w:val="clear" w:color="auto" w:fill="auto"/>
            <w:vAlign w:val="center"/>
          </w:tcPr>
          <w:p w14:paraId="72C1EA86" w14:textId="77777777" w:rsidR="00D317D8" w:rsidRDefault="00D317D8" w:rsidP="00D317D8">
            <w:pPr>
              <w:jc w:val="right"/>
              <w:rPr>
                <w:color w:val="000000"/>
                <w:sz w:val="16"/>
                <w:szCs w:val="16"/>
              </w:rPr>
            </w:pPr>
            <w:r>
              <w:rPr>
                <w:color w:val="000000"/>
                <w:sz w:val="16"/>
                <w:szCs w:val="16"/>
              </w:rPr>
              <w:t>(4.9, 8.4)</w:t>
            </w:r>
          </w:p>
        </w:tc>
        <w:tc>
          <w:tcPr>
            <w:tcW w:w="569" w:type="dxa"/>
            <w:tcBorders>
              <w:left w:val="single" w:sz="4" w:space="0" w:color="auto"/>
            </w:tcBorders>
            <w:shd w:val="clear" w:color="auto" w:fill="auto"/>
            <w:vAlign w:val="center"/>
          </w:tcPr>
          <w:p w14:paraId="144F14C9" w14:textId="77777777" w:rsidR="00D317D8" w:rsidRDefault="00D317D8" w:rsidP="00D317D8">
            <w:pPr>
              <w:jc w:val="right"/>
              <w:rPr>
                <w:color w:val="000000"/>
                <w:sz w:val="16"/>
                <w:szCs w:val="16"/>
              </w:rPr>
            </w:pPr>
            <w:r>
              <w:rPr>
                <w:color w:val="000000"/>
                <w:sz w:val="16"/>
                <w:szCs w:val="16"/>
              </w:rPr>
              <w:t>28</w:t>
            </w:r>
          </w:p>
        </w:tc>
        <w:tc>
          <w:tcPr>
            <w:tcW w:w="567" w:type="dxa"/>
            <w:shd w:val="clear" w:color="auto" w:fill="auto"/>
            <w:vAlign w:val="center"/>
          </w:tcPr>
          <w:p w14:paraId="38DD3178" w14:textId="77777777" w:rsidR="00D317D8" w:rsidRDefault="00D317D8" w:rsidP="00D317D8">
            <w:pPr>
              <w:jc w:val="right"/>
              <w:rPr>
                <w:color w:val="000000"/>
                <w:sz w:val="16"/>
                <w:szCs w:val="16"/>
              </w:rPr>
            </w:pPr>
            <w:r>
              <w:rPr>
                <w:color w:val="000000"/>
                <w:sz w:val="16"/>
                <w:szCs w:val="16"/>
              </w:rPr>
              <w:t>4.9</w:t>
            </w:r>
          </w:p>
        </w:tc>
        <w:tc>
          <w:tcPr>
            <w:tcW w:w="1123" w:type="dxa"/>
            <w:tcBorders>
              <w:right w:val="single" w:sz="4" w:space="0" w:color="auto"/>
            </w:tcBorders>
            <w:shd w:val="clear" w:color="auto" w:fill="auto"/>
            <w:vAlign w:val="center"/>
          </w:tcPr>
          <w:p w14:paraId="18BFA941" w14:textId="77777777" w:rsidR="00D317D8" w:rsidRDefault="00D317D8" w:rsidP="00D317D8">
            <w:pPr>
              <w:jc w:val="right"/>
              <w:rPr>
                <w:color w:val="000000"/>
                <w:sz w:val="16"/>
                <w:szCs w:val="16"/>
              </w:rPr>
            </w:pPr>
            <w:r>
              <w:rPr>
                <w:color w:val="000000"/>
                <w:sz w:val="16"/>
                <w:szCs w:val="16"/>
              </w:rPr>
              <w:t>(3.1, 6.6)</w:t>
            </w:r>
          </w:p>
        </w:tc>
        <w:tc>
          <w:tcPr>
            <w:tcW w:w="536" w:type="dxa"/>
            <w:tcBorders>
              <w:left w:val="single" w:sz="4" w:space="0" w:color="auto"/>
            </w:tcBorders>
            <w:shd w:val="clear" w:color="auto" w:fill="auto"/>
            <w:vAlign w:val="center"/>
          </w:tcPr>
          <w:p w14:paraId="0BCCE23B" w14:textId="77777777" w:rsidR="00D317D8" w:rsidRDefault="00D317D8" w:rsidP="00D317D8">
            <w:pPr>
              <w:jc w:val="right"/>
              <w:rPr>
                <w:color w:val="000000"/>
                <w:sz w:val="16"/>
                <w:szCs w:val="16"/>
              </w:rPr>
            </w:pPr>
            <w:r>
              <w:rPr>
                <w:color w:val="000000"/>
                <w:sz w:val="16"/>
                <w:szCs w:val="16"/>
              </w:rPr>
              <w:t>24</w:t>
            </w:r>
          </w:p>
        </w:tc>
        <w:tc>
          <w:tcPr>
            <w:tcW w:w="576" w:type="dxa"/>
            <w:shd w:val="clear" w:color="auto" w:fill="auto"/>
            <w:vAlign w:val="center"/>
          </w:tcPr>
          <w:p w14:paraId="4E0FAD13" w14:textId="77777777" w:rsidR="00D317D8" w:rsidRDefault="00D317D8" w:rsidP="00D317D8">
            <w:pPr>
              <w:jc w:val="right"/>
              <w:rPr>
                <w:color w:val="000000"/>
                <w:sz w:val="16"/>
                <w:szCs w:val="16"/>
              </w:rPr>
            </w:pPr>
            <w:r>
              <w:rPr>
                <w:color w:val="000000"/>
                <w:sz w:val="16"/>
                <w:szCs w:val="16"/>
              </w:rPr>
              <w:t>5.0</w:t>
            </w:r>
          </w:p>
        </w:tc>
        <w:tc>
          <w:tcPr>
            <w:tcW w:w="1123" w:type="dxa"/>
            <w:tcBorders>
              <w:right w:val="single" w:sz="4" w:space="0" w:color="auto"/>
            </w:tcBorders>
            <w:shd w:val="clear" w:color="auto" w:fill="auto"/>
            <w:vAlign w:val="center"/>
          </w:tcPr>
          <w:p w14:paraId="4A6FA238" w14:textId="77777777" w:rsidR="00D317D8" w:rsidRDefault="00D317D8" w:rsidP="00D317D8">
            <w:pPr>
              <w:jc w:val="right"/>
              <w:rPr>
                <w:color w:val="000000"/>
                <w:sz w:val="16"/>
                <w:szCs w:val="16"/>
              </w:rPr>
            </w:pPr>
            <w:r>
              <w:rPr>
                <w:color w:val="000000"/>
                <w:sz w:val="16"/>
                <w:szCs w:val="16"/>
              </w:rPr>
              <w:t>(3.1, 6.8)</w:t>
            </w:r>
          </w:p>
        </w:tc>
        <w:tc>
          <w:tcPr>
            <w:tcW w:w="536" w:type="dxa"/>
            <w:tcBorders>
              <w:left w:val="single" w:sz="4" w:space="0" w:color="auto"/>
            </w:tcBorders>
            <w:shd w:val="clear" w:color="auto" w:fill="auto"/>
            <w:vAlign w:val="center"/>
          </w:tcPr>
          <w:p w14:paraId="37AF22E6" w14:textId="77777777" w:rsidR="00D317D8" w:rsidRDefault="00D317D8" w:rsidP="00D317D8">
            <w:pPr>
              <w:jc w:val="right"/>
              <w:rPr>
                <w:color w:val="000000"/>
                <w:sz w:val="16"/>
                <w:szCs w:val="16"/>
              </w:rPr>
            </w:pPr>
            <w:r>
              <w:rPr>
                <w:color w:val="000000"/>
                <w:sz w:val="16"/>
                <w:szCs w:val="16"/>
              </w:rPr>
              <w:t>26</w:t>
            </w:r>
          </w:p>
        </w:tc>
        <w:tc>
          <w:tcPr>
            <w:tcW w:w="567" w:type="dxa"/>
            <w:shd w:val="clear" w:color="auto" w:fill="auto"/>
            <w:vAlign w:val="center"/>
          </w:tcPr>
          <w:p w14:paraId="54DAA240" w14:textId="77777777" w:rsidR="00D317D8" w:rsidRDefault="00D317D8" w:rsidP="00D317D8">
            <w:pPr>
              <w:jc w:val="right"/>
              <w:rPr>
                <w:color w:val="000000"/>
                <w:sz w:val="16"/>
                <w:szCs w:val="16"/>
              </w:rPr>
            </w:pPr>
            <w:r>
              <w:rPr>
                <w:color w:val="000000"/>
                <w:sz w:val="16"/>
                <w:szCs w:val="16"/>
              </w:rPr>
              <w:t>6.5</w:t>
            </w:r>
          </w:p>
        </w:tc>
        <w:tc>
          <w:tcPr>
            <w:tcW w:w="1123" w:type="dxa"/>
            <w:shd w:val="clear" w:color="auto" w:fill="auto"/>
            <w:vAlign w:val="center"/>
          </w:tcPr>
          <w:p w14:paraId="628F6324" w14:textId="77777777" w:rsidR="00D317D8" w:rsidRDefault="00D317D8" w:rsidP="00D317D8">
            <w:pPr>
              <w:jc w:val="right"/>
              <w:rPr>
                <w:color w:val="000000"/>
                <w:sz w:val="16"/>
                <w:szCs w:val="16"/>
              </w:rPr>
            </w:pPr>
            <w:r>
              <w:rPr>
                <w:color w:val="000000"/>
                <w:sz w:val="16"/>
                <w:szCs w:val="16"/>
              </w:rPr>
              <w:t>(2.7, 10.3)</w:t>
            </w:r>
          </w:p>
        </w:tc>
      </w:tr>
      <w:tr w:rsidR="00D317D8" w:rsidRPr="007B4EF8" w14:paraId="6AC84BB6" w14:textId="77777777" w:rsidTr="00793719">
        <w:trPr>
          <w:jc w:val="center"/>
        </w:trPr>
        <w:tc>
          <w:tcPr>
            <w:tcW w:w="2127" w:type="dxa"/>
            <w:shd w:val="clear" w:color="auto" w:fill="auto"/>
          </w:tcPr>
          <w:p w14:paraId="423A43D6" w14:textId="77777777" w:rsidR="00D317D8" w:rsidRPr="00D317D8" w:rsidRDefault="00D317D8" w:rsidP="00D317D8">
            <w:pPr>
              <w:tabs>
                <w:tab w:val="left" w:pos="205"/>
              </w:tabs>
              <w:spacing w:before="20" w:after="20"/>
              <w:rPr>
                <w:rFonts w:eastAsiaTheme="minorEastAsia"/>
                <w:sz w:val="18"/>
                <w:szCs w:val="18"/>
                <w:lang w:eastAsia="en-US"/>
              </w:rPr>
            </w:pPr>
            <w:r>
              <w:rPr>
                <w:rFonts w:eastAsiaTheme="minorEastAsia"/>
                <w:sz w:val="18"/>
                <w:szCs w:val="18"/>
                <w:lang w:eastAsia="en-US"/>
              </w:rPr>
              <w:t>7 - 9</w:t>
            </w:r>
          </w:p>
        </w:tc>
        <w:tc>
          <w:tcPr>
            <w:tcW w:w="2379" w:type="dxa"/>
            <w:shd w:val="clear" w:color="auto" w:fill="auto"/>
          </w:tcPr>
          <w:p w14:paraId="50493C23" w14:textId="77777777" w:rsidR="00D317D8" w:rsidRPr="001B7431" w:rsidRDefault="00D317D8" w:rsidP="00D317D8">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shd w:val="clear" w:color="auto" w:fill="auto"/>
            <w:vAlign w:val="center"/>
          </w:tcPr>
          <w:p w14:paraId="2494EAED" w14:textId="77777777" w:rsidR="00D317D8" w:rsidRDefault="00D317D8" w:rsidP="00D317D8">
            <w:pPr>
              <w:jc w:val="right"/>
              <w:rPr>
                <w:color w:val="000000"/>
                <w:sz w:val="16"/>
                <w:szCs w:val="16"/>
              </w:rPr>
            </w:pPr>
            <w:r>
              <w:rPr>
                <w:color w:val="000000"/>
                <w:sz w:val="16"/>
                <w:szCs w:val="16"/>
              </w:rPr>
              <w:t>143</w:t>
            </w:r>
          </w:p>
        </w:tc>
        <w:tc>
          <w:tcPr>
            <w:tcW w:w="496" w:type="dxa"/>
            <w:shd w:val="clear" w:color="auto" w:fill="auto"/>
            <w:vAlign w:val="center"/>
          </w:tcPr>
          <w:p w14:paraId="00054245" w14:textId="77777777" w:rsidR="00D317D8" w:rsidRDefault="00D317D8" w:rsidP="00D317D8">
            <w:pPr>
              <w:jc w:val="right"/>
              <w:rPr>
                <w:color w:val="000000"/>
                <w:sz w:val="16"/>
                <w:szCs w:val="16"/>
              </w:rPr>
            </w:pPr>
            <w:r>
              <w:rPr>
                <w:color w:val="000000"/>
                <w:sz w:val="16"/>
                <w:szCs w:val="16"/>
              </w:rPr>
              <w:t>69.2</w:t>
            </w:r>
          </w:p>
        </w:tc>
        <w:tc>
          <w:tcPr>
            <w:tcW w:w="1043" w:type="dxa"/>
            <w:tcBorders>
              <w:right w:val="single" w:sz="4" w:space="0" w:color="auto"/>
            </w:tcBorders>
            <w:shd w:val="clear" w:color="auto" w:fill="auto"/>
            <w:vAlign w:val="center"/>
          </w:tcPr>
          <w:p w14:paraId="64CBFF12" w14:textId="77777777" w:rsidR="00D317D8" w:rsidRDefault="00D317D8" w:rsidP="00D317D8">
            <w:pPr>
              <w:jc w:val="right"/>
              <w:rPr>
                <w:color w:val="000000"/>
                <w:sz w:val="16"/>
                <w:szCs w:val="16"/>
              </w:rPr>
            </w:pPr>
            <w:r>
              <w:rPr>
                <w:color w:val="000000"/>
                <w:sz w:val="16"/>
                <w:szCs w:val="16"/>
              </w:rPr>
              <w:t>(62.1, 76.3)</w:t>
            </w:r>
          </w:p>
        </w:tc>
        <w:tc>
          <w:tcPr>
            <w:tcW w:w="569" w:type="dxa"/>
            <w:tcBorders>
              <w:left w:val="single" w:sz="4" w:space="0" w:color="auto"/>
            </w:tcBorders>
            <w:shd w:val="clear" w:color="auto" w:fill="auto"/>
            <w:vAlign w:val="center"/>
          </w:tcPr>
          <w:p w14:paraId="0105439D" w14:textId="77777777" w:rsidR="00D317D8" w:rsidRDefault="00D317D8" w:rsidP="00D317D8">
            <w:pPr>
              <w:jc w:val="right"/>
              <w:rPr>
                <w:color w:val="000000"/>
                <w:sz w:val="16"/>
                <w:szCs w:val="16"/>
              </w:rPr>
            </w:pPr>
            <w:r>
              <w:rPr>
                <w:color w:val="000000"/>
                <w:sz w:val="16"/>
                <w:szCs w:val="16"/>
              </w:rPr>
              <w:t>44</w:t>
            </w:r>
          </w:p>
        </w:tc>
        <w:tc>
          <w:tcPr>
            <w:tcW w:w="567" w:type="dxa"/>
            <w:shd w:val="clear" w:color="auto" w:fill="auto"/>
            <w:vAlign w:val="center"/>
          </w:tcPr>
          <w:p w14:paraId="41FF98DB" w14:textId="77777777" w:rsidR="00D317D8" w:rsidRDefault="00D317D8" w:rsidP="00D317D8">
            <w:pPr>
              <w:jc w:val="right"/>
              <w:rPr>
                <w:color w:val="000000"/>
                <w:sz w:val="16"/>
                <w:szCs w:val="16"/>
              </w:rPr>
            </w:pPr>
            <w:r>
              <w:rPr>
                <w:color w:val="000000"/>
                <w:sz w:val="16"/>
                <w:szCs w:val="16"/>
              </w:rPr>
              <w:t>59.5</w:t>
            </w:r>
          </w:p>
        </w:tc>
        <w:tc>
          <w:tcPr>
            <w:tcW w:w="1123" w:type="dxa"/>
            <w:tcBorders>
              <w:right w:val="single" w:sz="4" w:space="0" w:color="auto"/>
            </w:tcBorders>
            <w:shd w:val="clear" w:color="auto" w:fill="auto"/>
            <w:vAlign w:val="center"/>
          </w:tcPr>
          <w:p w14:paraId="0597D398" w14:textId="77777777" w:rsidR="00D317D8" w:rsidRDefault="00D317D8" w:rsidP="00D317D8">
            <w:pPr>
              <w:jc w:val="right"/>
              <w:rPr>
                <w:color w:val="000000"/>
                <w:sz w:val="16"/>
                <w:szCs w:val="16"/>
              </w:rPr>
            </w:pPr>
            <w:r>
              <w:rPr>
                <w:color w:val="000000"/>
                <w:sz w:val="16"/>
                <w:szCs w:val="16"/>
              </w:rPr>
              <w:t>(45.9, 73.2)</w:t>
            </w:r>
          </w:p>
        </w:tc>
        <w:tc>
          <w:tcPr>
            <w:tcW w:w="536" w:type="dxa"/>
            <w:tcBorders>
              <w:left w:val="single" w:sz="4" w:space="0" w:color="auto"/>
            </w:tcBorders>
            <w:shd w:val="clear" w:color="auto" w:fill="auto"/>
            <w:vAlign w:val="center"/>
          </w:tcPr>
          <w:p w14:paraId="2C9D187B" w14:textId="77777777" w:rsidR="00D317D8" w:rsidRDefault="00D317D8" w:rsidP="00D317D8">
            <w:pPr>
              <w:jc w:val="right"/>
              <w:rPr>
                <w:color w:val="000000"/>
                <w:sz w:val="16"/>
                <w:szCs w:val="16"/>
              </w:rPr>
            </w:pPr>
            <w:r>
              <w:rPr>
                <w:color w:val="000000"/>
                <w:sz w:val="16"/>
                <w:szCs w:val="16"/>
              </w:rPr>
              <w:t>44</w:t>
            </w:r>
          </w:p>
        </w:tc>
        <w:tc>
          <w:tcPr>
            <w:tcW w:w="576" w:type="dxa"/>
            <w:shd w:val="clear" w:color="auto" w:fill="auto"/>
            <w:vAlign w:val="center"/>
          </w:tcPr>
          <w:p w14:paraId="21C0EB3F" w14:textId="77777777" w:rsidR="00D317D8" w:rsidRDefault="00D317D8" w:rsidP="00D317D8">
            <w:pPr>
              <w:jc w:val="right"/>
              <w:rPr>
                <w:color w:val="000000"/>
                <w:sz w:val="16"/>
                <w:szCs w:val="16"/>
              </w:rPr>
            </w:pPr>
            <w:r>
              <w:rPr>
                <w:color w:val="000000"/>
                <w:sz w:val="16"/>
                <w:szCs w:val="16"/>
              </w:rPr>
              <w:t>68.8</w:t>
            </w:r>
          </w:p>
        </w:tc>
        <w:tc>
          <w:tcPr>
            <w:tcW w:w="1123" w:type="dxa"/>
            <w:tcBorders>
              <w:right w:val="single" w:sz="4" w:space="0" w:color="auto"/>
            </w:tcBorders>
            <w:shd w:val="clear" w:color="auto" w:fill="auto"/>
            <w:vAlign w:val="center"/>
          </w:tcPr>
          <w:p w14:paraId="010D8B16" w14:textId="77777777" w:rsidR="00D317D8" w:rsidRDefault="00D317D8" w:rsidP="00D317D8">
            <w:pPr>
              <w:jc w:val="right"/>
              <w:rPr>
                <w:color w:val="000000"/>
                <w:sz w:val="16"/>
                <w:szCs w:val="16"/>
              </w:rPr>
            </w:pPr>
            <w:r>
              <w:rPr>
                <w:color w:val="000000"/>
                <w:sz w:val="16"/>
                <w:szCs w:val="16"/>
              </w:rPr>
              <w:t>(55.7, 81.8)</w:t>
            </w:r>
          </w:p>
        </w:tc>
        <w:tc>
          <w:tcPr>
            <w:tcW w:w="536" w:type="dxa"/>
            <w:tcBorders>
              <w:left w:val="single" w:sz="4" w:space="0" w:color="auto"/>
            </w:tcBorders>
            <w:shd w:val="clear" w:color="auto" w:fill="auto"/>
            <w:vAlign w:val="center"/>
          </w:tcPr>
          <w:p w14:paraId="7F9D6B22" w14:textId="77777777" w:rsidR="00D317D8" w:rsidRDefault="00D317D8" w:rsidP="00D317D8">
            <w:pPr>
              <w:jc w:val="right"/>
              <w:rPr>
                <w:color w:val="000000"/>
                <w:sz w:val="16"/>
                <w:szCs w:val="16"/>
              </w:rPr>
            </w:pPr>
            <w:r>
              <w:rPr>
                <w:color w:val="000000"/>
                <w:sz w:val="16"/>
                <w:szCs w:val="16"/>
              </w:rPr>
              <w:t>25</w:t>
            </w:r>
          </w:p>
        </w:tc>
        <w:tc>
          <w:tcPr>
            <w:tcW w:w="567" w:type="dxa"/>
            <w:shd w:val="clear" w:color="auto" w:fill="auto"/>
            <w:vAlign w:val="center"/>
          </w:tcPr>
          <w:p w14:paraId="5523F4A2" w14:textId="77777777" w:rsidR="00D317D8" w:rsidRDefault="00D317D8" w:rsidP="00D317D8">
            <w:pPr>
              <w:jc w:val="right"/>
              <w:rPr>
                <w:color w:val="000000"/>
                <w:sz w:val="16"/>
                <w:szCs w:val="16"/>
              </w:rPr>
            </w:pPr>
            <w:r>
              <w:rPr>
                <w:color w:val="000000"/>
                <w:sz w:val="16"/>
                <w:szCs w:val="16"/>
              </w:rPr>
              <w:t>57.5</w:t>
            </w:r>
          </w:p>
        </w:tc>
        <w:tc>
          <w:tcPr>
            <w:tcW w:w="1123" w:type="dxa"/>
            <w:shd w:val="clear" w:color="auto" w:fill="auto"/>
            <w:vAlign w:val="center"/>
          </w:tcPr>
          <w:p w14:paraId="5F6CC4D7" w14:textId="77777777" w:rsidR="00D317D8" w:rsidRDefault="00D317D8" w:rsidP="00D317D8">
            <w:pPr>
              <w:jc w:val="right"/>
              <w:rPr>
                <w:color w:val="000000"/>
                <w:sz w:val="16"/>
                <w:szCs w:val="16"/>
              </w:rPr>
            </w:pPr>
            <w:r>
              <w:rPr>
                <w:color w:val="000000"/>
                <w:sz w:val="16"/>
                <w:szCs w:val="16"/>
              </w:rPr>
              <w:t>(42.7, 72.3)</w:t>
            </w:r>
          </w:p>
        </w:tc>
      </w:tr>
      <w:tr w:rsidR="00D317D8" w:rsidRPr="007B4EF8" w14:paraId="7CB069A0" w14:textId="77777777" w:rsidTr="00793719">
        <w:trPr>
          <w:jc w:val="center"/>
        </w:trPr>
        <w:tc>
          <w:tcPr>
            <w:tcW w:w="2127" w:type="dxa"/>
            <w:shd w:val="clear" w:color="auto" w:fill="auto"/>
          </w:tcPr>
          <w:p w14:paraId="210D7CA1" w14:textId="77777777" w:rsidR="00D317D8" w:rsidRPr="00D317D8" w:rsidRDefault="00D317D8" w:rsidP="00D317D8">
            <w:pPr>
              <w:tabs>
                <w:tab w:val="left" w:pos="205"/>
              </w:tabs>
              <w:spacing w:before="20" w:after="20"/>
              <w:rPr>
                <w:rFonts w:eastAsiaTheme="minorEastAsia"/>
                <w:sz w:val="18"/>
                <w:szCs w:val="18"/>
                <w:lang w:eastAsia="en-US"/>
              </w:rPr>
            </w:pPr>
          </w:p>
        </w:tc>
        <w:tc>
          <w:tcPr>
            <w:tcW w:w="2379" w:type="dxa"/>
            <w:shd w:val="clear" w:color="auto" w:fill="auto"/>
          </w:tcPr>
          <w:p w14:paraId="1D72FB8A" w14:textId="77777777" w:rsidR="00D317D8" w:rsidRPr="001B7431" w:rsidRDefault="00D317D8" w:rsidP="00D317D8">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shd w:val="clear" w:color="auto" w:fill="auto"/>
            <w:vAlign w:val="center"/>
          </w:tcPr>
          <w:p w14:paraId="5F28A8CF" w14:textId="77777777" w:rsidR="00D317D8" w:rsidRDefault="00D317D8" w:rsidP="00D317D8">
            <w:pPr>
              <w:jc w:val="right"/>
              <w:rPr>
                <w:color w:val="000000"/>
                <w:sz w:val="16"/>
                <w:szCs w:val="16"/>
              </w:rPr>
            </w:pPr>
            <w:r>
              <w:rPr>
                <w:color w:val="000000"/>
                <w:sz w:val="16"/>
                <w:szCs w:val="16"/>
              </w:rPr>
              <w:t>37</w:t>
            </w:r>
          </w:p>
        </w:tc>
        <w:tc>
          <w:tcPr>
            <w:tcW w:w="496" w:type="dxa"/>
            <w:shd w:val="clear" w:color="auto" w:fill="auto"/>
            <w:vAlign w:val="center"/>
          </w:tcPr>
          <w:p w14:paraId="35E0F893" w14:textId="77777777" w:rsidR="00D317D8" w:rsidRDefault="00D317D8" w:rsidP="00D317D8">
            <w:pPr>
              <w:jc w:val="right"/>
              <w:rPr>
                <w:color w:val="000000"/>
                <w:sz w:val="16"/>
                <w:szCs w:val="16"/>
              </w:rPr>
            </w:pPr>
            <w:r>
              <w:rPr>
                <w:color w:val="000000"/>
                <w:sz w:val="16"/>
                <w:szCs w:val="16"/>
              </w:rPr>
              <w:t>18.1</w:t>
            </w:r>
          </w:p>
        </w:tc>
        <w:tc>
          <w:tcPr>
            <w:tcW w:w="1043" w:type="dxa"/>
            <w:tcBorders>
              <w:right w:val="single" w:sz="4" w:space="0" w:color="auto"/>
            </w:tcBorders>
            <w:shd w:val="clear" w:color="auto" w:fill="auto"/>
            <w:vAlign w:val="center"/>
          </w:tcPr>
          <w:p w14:paraId="12ACDE0C" w14:textId="77777777" w:rsidR="00D317D8" w:rsidRDefault="00D317D8" w:rsidP="00D317D8">
            <w:pPr>
              <w:jc w:val="right"/>
              <w:rPr>
                <w:color w:val="000000"/>
                <w:sz w:val="16"/>
                <w:szCs w:val="16"/>
              </w:rPr>
            </w:pPr>
            <w:r>
              <w:rPr>
                <w:color w:val="000000"/>
                <w:sz w:val="16"/>
                <w:szCs w:val="16"/>
              </w:rPr>
              <w:t>(12.2, 24.1)</w:t>
            </w:r>
          </w:p>
        </w:tc>
        <w:tc>
          <w:tcPr>
            <w:tcW w:w="569" w:type="dxa"/>
            <w:tcBorders>
              <w:left w:val="single" w:sz="4" w:space="0" w:color="auto"/>
            </w:tcBorders>
            <w:shd w:val="clear" w:color="auto" w:fill="auto"/>
            <w:vAlign w:val="center"/>
          </w:tcPr>
          <w:p w14:paraId="0CCF2025" w14:textId="77777777" w:rsidR="00D317D8" w:rsidRDefault="00D317D8" w:rsidP="00D317D8">
            <w:pPr>
              <w:jc w:val="right"/>
              <w:rPr>
                <w:color w:val="000000"/>
                <w:sz w:val="16"/>
                <w:szCs w:val="16"/>
              </w:rPr>
            </w:pPr>
            <w:r>
              <w:rPr>
                <w:color w:val="000000"/>
                <w:sz w:val="16"/>
                <w:szCs w:val="16"/>
              </w:rPr>
              <w:t>21</w:t>
            </w:r>
          </w:p>
        </w:tc>
        <w:tc>
          <w:tcPr>
            <w:tcW w:w="567" w:type="dxa"/>
            <w:shd w:val="clear" w:color="auto" w:fill="auto"/>
            <w:vAlign w:val="center"/>
          </w:tcPr>
          <w:p w14:paraId="0110DE3F" w14:textId="77777777" w:rsidR="00D317D8" w:rsidRDefault="00D317D8" w:rsidP="00D317D8">
            <w:pPr>
              <w:jc w:val="right"/>
              <w:rPr>
                <w:color w:val="000000"/>
                <w:sz w:val="16"/>
                <w:szCs w:val="16"/>
              </w:rPr>
            </w:pPr>
            <w:r>
              <w:rPr>
                <w:color w:val="000000"/>
                <w:sz w:val="16"/>
                <w:szCs w:val="16"/>
              </w:rPr>
              <w:t>28.9</w:t>
            </w:r>
          </w:p>
        </w:tc>
        <w:tc>
          <w:tcPr>
            <w:tcW w:w="1123" w:type="dxa"/>
            <w:tcBorders>
              <w:right w:val="single" w:sz="4" w:space="0" w:color="auto"/>
            </w:tcBorders>
            <w:shd w:val="clear" w:color="auto" w:fill="auto"/>
            <w:vAlign w:val="center"/>
          </w:tcPr>
          <w:p w14:paraId="7F2AD034" w14:textId="77777777" w:rsidR="00D317D8" w:rsidRDefault="00D317D8" w:rsidP="00D317D8">
            <w:pPr>
              <w:jc w:val="right"/>
              <w:rPr>
                <w:color w:val="000000"/>
                <w:sz w:val="16"/>
                <w:szCs w:val="16"/>
              </w:rPr>
            </w:pPr>
            <w:r>
              <w:rPr>
                <w:color w:val="000000"/>
                <w:sz w:val="16"/>
                <w:szCs w:val="16"/>
              </w:rPr>
              <w:t>(16.7, 41.1)</w:t>
            </w:r>
          </w:p>
        </w:tc>
        <w:tc>
          <w:tcPr>
            <w:tcW w:w="536" w:type="dxa"/>
            <w:tcBorders>
              <w:left w:val="single" w:sz="4" w:space="0" w:color="auto"/>
            </w:tcBorders>
            <w:shd w:val="clear" w:color="auto" w:fill="auto"/>
            <w:vAlign w:val="center"/>
          </w:tcPr>
          <w:p w14:paraId="2882595F" w14:textId="77777777" w:rsidR="00D317D8" w:rsidRDefault="00D317D8" w:rsidP="00D317D8">
            <w:pPr>
              <w:jc w:val="right"/>
              <w:rPr>
                <w:color w:val="000000"/>
                <w:sz w:val="16"/>
                <w:szCs w:val="16"/>
              </w:rPr>
            </w:pPr>
            <w:r>
              <w:rPr>
                <w:color w:val="000000"/>
                <w:sz w:val="16"/>
                <w:szCs w:val="16"/>
              </w:rPr>
              <w:t>13</w:t>
            </w:r>
          </w:p>
        </w:tc>
        <w:tc>
          <w:tcPr>
            <w:tcW w:w="576" w:type="dxa"/>
            <w:shd w:val="clear" w:color="auto" w:fill="auto"/>
            <w:vAlign w:val="center"/>
          </w:tcPr>
          <w:p w14:paraId="2BAB67E8" w14:textId="77777777" w:rsidR="00D317D8" w:rsidRDefault="00D317D8" w:rsidP="00D317D8">
            <w:pPr>
              <w:jc w:val="right"/>
              <w:rPr>
                <w:color w:val="000000"/>
                <w:sz w:val="16"/>
                <w:szCs w:val="16"/>
              </w:rPr>
            </w:pPr>
            <w:r>
              <w:rPr>
                <w:color w:val="000000"/>
                <w:sz w:val="16"/>
                <w:szCs w:val="16"/>
              </w:rPr>
              <w:t>20.4</w:t>
            </w:r>
          </w:p>
        </w:tc>
        <w:tc>
          <w:tcPr>
            <w:tcW w:w="1123" w:type="dxa"/>
            <w:tcBorders>
              <w:right w:val="single" w:sz="4" w:space="0" w:color="auto"/>
            </w:tcBorders>
            <w:shd w:val="clear" w:color="auto" w:fill="auto"/>
            <w:vAlign w:val="center"/>
          </w:tcPr>
          <w:p w14:paraId="69BDF350" w14:textId="77777777" w:rsidR="00D317D8" w:rsidRDefault="00D317D8" w:rsidP="00D317D8">
            <w:pPr>
              <w:jc w:val="right"/>
              <w:rPr>
                <w:color w:val="000000"/>
                <w:sz w:val="16"/>
                <w:szCs w:val="16"/>
              </w:rPr>
            </w:pPr>
            <w:r>
              <w:rPr>
                <w:color w:val="000000"/>
                <w:sz w:val="16"/>
                <w:szCs w:val="16"/>
              </w:rPr>
              <w:t>(7.5, 33.2)</w:t>
            </w:r>
          </w:p>
        </w:tc>
        <w:tc>
          <w:tcPr>
            <w:tcW w:w="536" w:type="dxa"/>
            <w:tcBorders>
              <w:left w:val="single" w:sz="4" w:space="0" w:color="auto"/>
            </w:tcBorders>
            <w:shd w:val="clear" w:color="auto" w:fill="auto"/>
            <w:vAlign w:val="center"/>
          </w:tcPr>
          <w:p w14:paraId="372C4191" w14:textId="77777777" w:rsidR="00D317D8" w:rsidRDefault="00D317D8" w:rsidP="00D317D8">
            <w:pPr>
              <w:jc w:val="right"/>
              <w:rPr>
                <w:color w:val="000000"/>
                <w:sz w:val="16"/>
                <w:szCs w:val="16"/>
              </w:rPr>
            </w:pPr>
            <w:r>
              <w:rPr>
                <w:color w:val="000000"/>
                <w:sz w:val="16"/>
                <w:szCs w:val="16"/>
              </w:rPr>
              <w:t>12</w:t>
            </w:r>
          </w:p>
        </w:tc>
        <w:tc>
          <w:tcPr>
            <w:tcW w:w="567" w:type="dxa"/>
            <w:shd w:val="clear" w:color="auto" w:fill="auto"/>
            <w:vAlign w:val="center"/>
          </w:tcPr>
          <w:p w14:paraId="37DC3B08" w14:textId="77777777" w:rsidR="00D317D8" w:rsidRDefault="00D317D8" w:rsidP="00D317D8">
            <w:pPr>
              <w:jc w:val="right"/>
              <w:rPr>
                <w:color w:val="000000"/>
                <w:sz w:val="16"/>
                <w:szCs w:val="16"/>
              </w:rPr>
            </w:pPr>
            <w:r>
              <w:rPr>
                <w:color w:val="000000"/>
                <w:sz w:val="16"/>
                <w:szCs w:val="16"/>
              </w:rPr>
              <w:t>27.5</w:t>
            </w:r>
          </w:p>
        </w:tc>
        <w:tc>
          <w:tcPr>
            <w:tcW w:w="1123" w:type="dxa"/>
            <w:shd w:val="clear" w:color="auto" w:fill="auto"/>
            <w:vAlign w:val="center"/>
          </w:tcPr>
          <w:p w14:paraId="16D17634" w14:textId="77777777" w:rsidR="00D317D8" w:rsidRDefault="00D317D8" w:rsidP="00D317D8">
            <w:pPr>
              <w:jc w:val="right"/>
              <w:rPr>
                <w:color w:val="000000"/>
                <w:sz w:val="16"/>
                <w:szCs w:val="16"/>
              </w:rPr>
            </w:pPr>
            <w:r>
              <w:rPr>
                <w:color w:val="000000"/>
                <w:sz w:val="16"/>
                <w:szCs w:val="16"/>
              </w:rPr>
              <w:t>(13.8, 41.2)</w:t>
            </w:r>
          </w:p>
        </w:tc>
      </w:tr>
      <w:tr w:rsidR="00D317D8" w:rsidRPr="007B4EF8" w14:paraId="7B302249" w14:textId="77777777" w:rsidTr="00793719">
        <w:trPr>
          <w:jc w:val="center"/>
        </w:trPr>
        <w:tc>
          <w:tcPr>
            <w:tcW w:w="2127" w:type="dxa"/>
          </w:tcPr>
          <w:p w14:paraId="16D11CEF" w14:textId="77777777" w:rsidR="00D317D8" w:rsidRPr="00D317D8" w:rsidRDefault="00D317D8" w:rsidP="00D317D8">
            <w:pPr>
              <w:tabs>
                <w:tab w:val="left" w:pos="205"/>
              </w:tabs>
              <w:spacing w:before="20" w:after="20"/>
              <w:rPr>
                <w:rFonts w:eastAsiaTheme="minorEastAsia"/>
                <w:sz w:val="18"/>
                <w:szCs w:val="18"/>
              </w:rPr>
            </w:pPr>
          </w:p>
        </w:tc>
        <w:tc>
          <w:tcPr>
            <w:tcW w:w="2379" w:type="dxa"/>
          </w:tcPr>
          <w:p w14:paraId="6F4FAF66" w14:textId="77777777" w:rsidR="00D317D8" w:rsidRPr="001B7431" w:rsidRDefault="00D317D8" w:rsidP="00D317D8">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vAlign w:val="center"/>
          </w:tcPr>
          <w:p w14:paraId="5F08CD32" w14:textId="77777777" w:rsidR="00D317D8" w:rsidRDefault="00D317D8" w:rsidP="00D317D8">
            <w:pPr>
              <w:jc w:val="right"/>
              <w:rPr>
                <w:color w:val="000000"/>
                <w:sz w:val="16"/>
                <w:szCs w:val="16"/>
              </w:rPr>
            </w:pPr>
            <w:r>
              <w:rPr>
                <w:color w:val="000000"/>
                <w:sz w:val="16"/>
                <w:szCs w:val="16"/>
              </w:rPr>
              <w:t>26</w:t>
            </w:r>
          </w:p>
        </w:tc>
        <w:tc>
          <w:tcPr>
            <w:tcW w:w="496" w:type="dxa"/>
            <w:vAlign w:val="center"/>
          </w:tcPr>
          <w:p w14:paraId="6FB4DBCA" w14:textId="77777777" w:rsidR="00D317D8" w:rsidRDefault="00D317D8" w:rsidP="00D317D8">
            <w:pPr>
              <w:jc w:val="right"/>
              <w:rPr>
                <w:color w:val="000000"/>
                <w:sz w:val="16"/>
                <w:szCs w:val="16"/>
              </w:rPr>
            </w:pPr>
            <w:r>
              <w:rPr>
                <w:color w:val="000000"/>
                <w:sz w:val="16"/>
                <w:szCs w:val="16"/>
              </w:rPr>
              <w:t>12.7</w:t>
            </w:r>
          </w:p>
        </w:tc>
        <w:tc>
          <w:tcPr>
            <w:tcW w:w="1043" w:type="dxa"/>
            <w:tcBorders>
              <w:right w:val="single" w:sz="4" w:space="0" w:color="auto"/>
            </w:tcBorders>
            <w:vAlign w:val="center"/>
          </w:tcPr>
          <w:p w14:paraId="0860D26A" w14:textId="77777777" w:rsidR="00D317D8" w:rsidRDefault="00D317D8" w:rsidP="00D317D8">
            <w:pPr>
              <w:jc w:val="right"/>
              <w:rPr>
                <w:color w:val="000000"/>
                <w:sz w:val="16"/>
                <w:szCs w:val="16"/>
              </w:rPr>
            </w:pPr>
            <w:r>
              <w:rPr>
                <w:color w:val="000000"/>
                <w:sz w:val="16"/>
                <w:szCs w:val="16"/>
              </w:rPr>
              <w:t>(8.3, 17.1)</w:t>
            </w:r>
          </w:p>
        </w:tc>
        <w:tc>
          <w:tcPr>
            <w:tcW w:w="569" w:type="dxa"/>
            <w:tcBorders>
              <w:left w:val="single" w:sz="4" w:space="0" w:color="auto"/>
            </w:tcBorders>
            <w:vAlign w:val="center"/>
          </w:tcPr>
          <w:p w14:paraId="0574F411" w14:textId="77777777" w:rsidR="00D317D8" w:rsidRDefault="00D317D8" w:rsidP="00D317D8">
            <w:pPr>
              <w:jc w:val="right"/>
              <w:rPr>
                <w:color w:val="000000"/>
                <w:sz w:val="16"/>
                <w:szCs w:val="16"/>
              </w:rPr>
            </w:pPr>
            <w:r>
              <w:rPr>
                <w:color w:val="000000"/>
                <w:sz w:val="16"/>
                <w:szCs w:val="16"/>
              </w:rPr>
              <w:t>8</w:t>
            </w:r>
          </w:p>
        </w:tc>
        <w:tc>
          <w:tcPr>
            <w:tcW w:w="567" w:type="dxa"/>
            <w:vAlign w:val="center"/>
          </w:tcPr>
          <w:p w14:paraId="72C3F58E" w14:textId="77777777" w:rsidR="00D317D8" w:rsidRDefault="00D317D8" w:rsidP="00D317D8">
            <w:pPr>
              <w:jc w:val="right"/>
              <w:rPr>
                <w:color w:val="000000"/>
                <w:sz w:val="16"/>
                <w:szCs w:val="16"/>
              </w:rPr>
            </w:pPr>
            <w:r>
              <w:rPr>
                <w:color w:val="000000"/>
                <w:sz w:val="16"/>
                <w:szCs w:val="16"/>
              </w:rPr>
              <w:t>11.6</w:t>
            </w:r>
          </w:p>
        </w:tc>
        <w:tc>
          <w:tcPr>
            <w:tcW w:w="1123" w:type="dxa"/>
            <w:tcBorders>
              <w:right w:val="single" w:sz="4" w:space="0" w:color="auto"/>
            </w:tcBorders>
            <w:vAlign w:val="center"/>
          </w:tcPr>
          <w:p w14:paraId="62B0506E" w14:textId="77777777" w:rsidR="00D317D8" w:rsidRDefault="00D317D8" w:rsidP="00D317D8">
            <w:pPr>
              <w:jc w:val="right"/>
              <w:rPr>
                <w:color w:val="000000"/>
                <w:sz w:val="16"/>
                <w:szCs w:val="16"/>
              </w:rPr>
            </w:pPr>
            <w:r>
              <w:rPr>
                <w:color w:val="000000"/>
                <w:sz w:val="16"/>
                <w:szCs w:val="16"/>
              </w:rPr>
              <w:t>(4.8, 18.4)</w:t>
            </w:r>
          </w:p>
        </w:tc>
        <w:tc>
          <w:tcPr>
            <w:tcW w:w="536" w:type="dxa"/>
            <w:tcBorders>
              <w:left w:val="single" w:sz="4" w:space="0" w:color="auto"/>
            </w:tcBorders>
            <w:vAlign w:val="center"/>
          </w:tcPr>
          <w:p w14:paraId="210A71F1" w14:textId="77777777" w:rsidR="00D317D8" w:rsidRDefault="00D317D8" w:rsidP="00D317D8">
            <w:pPr>
              <w:jc w:val="right"/>
              <w:rPr>
                <w:color w:val="000000"/>
                <w:sz w:val="16"/>
                <w:szCs w:val="16"/>
              </w:rPr>
            </w:pPr>
            <w:r>
              <w:rPr>
                <w:color w:val="000000"/>
                <w:sz w:val="16"/>
                <w:szCs w:val="16"/>
              </w:rPr>
              <w:t>7</w:t>
            </w:r>
          </w:p>
        </w:tc>
        <w:tc>
          <w:tcPr>
            <w:tcW w:w="576" w:type="dxa"/>
            <w:vAlign w:val="center"/>
          </w:tcPr>
          <w:p w14:paraId="28C1E632" w14:textId="77777777" w:rsidR="00D317D8" w:rsidRDefault="00D317D8" w:rsidP="00D317D8">
            <w:pPr>
              <w:jc w:val="right"/>
              <w:rPr>
                <w:color w:val="000000"/>
                <w:sz w:val="16"/>
                <w:szCs w:val="16"/>
              </w:rPr>
            </w:pPr>
            <w:r>
              <w:rPr>
                <w:color w:val="000000"/>
                <w:sz w:val="16"/>
                <w:szCs w:val="16"/>
              </w:rPr>
              <w:t>10.9</w:t>
            </w:r>
          </w:p>
        </w:tc>
        <w:tc>
          <w:tcPr>
            <w:tcW w:w="1123" w:type="dxa"/>
            <w:tcBorders>
              <w:right w:val="single" w:sz="4" w:space="0" w:color="auto"/>
            </w:tcBorders>
            <w:vAlign w:val="center"/>
          </w:tcPr>
          <w:p w14:paraId="31A8D61F" w14:textId="77777777" w:rsidR="00D317D8" w:rsidRDefault="00D317D8" w:rsidP="00D317D8">
            <w:pPr>
              <w:jc w:val="right"/>
              <w:rPr>
                <w:color w:val="000000"/>
                <w:sz w:val="16"/>
                <w:szCs w:val="16"/>
              </w:rPr>
            </w:pPr>
            <w:r>
              <w:rPr>
                <w:color w:val="000000"/>
                <w:sz w:val="16"/>
                <w:szCs w:val="16"/>
              </w:rPr>
              <w:t>(4.3, 17.5)</w:t>
            </w:r>
          </w:p>
        </w:tc>
        <w:tc>
          <w:tcPr>
            <w:tcW w:w="536" w:type="dxa"/>
            <w:tcBorders>
              <w:left w:val="single" w:sz="4" w:space="0" w:color="auto"/>
            </w:tcBorders>
            <w:vAlign w:val="center"/>
          </w:tcPr>
          <w:p w14:paraId="352B2174" w14:textId="77777777" w:rsidR="00D317D8" w:rsidRDefault="00D317D8" w:rsidP="00D317D8">
            <w:pPr>
              <w:jc w:val="right"/>
              <w:rPr>
                <w:color w:val="000000"/>
                <w:sz w:val="16"/>
                <w:szCs w:val="16"/>
              </w:rPr>
            </w:pPr>
            <w:r>
              <w:rPr>
                <w:color w:val="000000"/>
                <w:sz w:val="16"/>
                <w:szCs w:val="16"/>
              </w:rPr>
              <w:t>6</w:t>
            </w:r>
          </w:p>
        </w:tc>
        <w:tc>
          <w:tcPr>
            <w:tcW w:w="567" w:type="dxa"/>
            <w:vAlign w:val="center"/>
          </w:tcPr>
          <w:p w14:paraId="52AF2FD6" w14:textId="77777777" w:rsidR="00D317D8" w:rsidRDefault="00D317D8" w:rsidP="00D317D8">
            <w:pPr>
              <w:jc w:val="right"/>
              <w:rPr>
                <w:color w:val="000000"/>
                <w:sz w:val="16"/>
                <w:szCs w:val="16"/>
              </w:rPr>
            </w:pPr>
            <w:r>
              <w:rPr>
                <w:color w:val="000000"/>
                <w:sz w:val="16"/>
                <w:szCs w:val="16"/>
              </w:rPr>
              <w:t>15.1</w:t>
            </w:r>
          </w:p>
        </w:tc>
        <w:tc>
          <w:tcPr>
            <w:tcW w:w="1123" w:type="dxa"/>
            <w:vAlign w:val="center"/>
          </w:tcPr>
          <w:p w14:paraId="25CB16A3" w14:textId="77777777" w:rsidR="00D317D8" w:rsidRDefault="00D317D8" w:rsidP="00D317D8">
            <w:pPr>
              <w:jc w:val="right"/>
              <w:rPr>
                <w:color w:val="000000"/>
                <w:sz w:val="16"/>
                <w:szCs w:val="16"/>
              </w:rPr>
            </w:pPr>
            <w:r>
              <w:rPr>
                <w:color w:val="000000"/>
                <w:sz w:val="16"/>
                <w:szCs w:val="16"/>
              </w:rPr>
              <w:t>(6.3, 23.8)</w:t>
            </w:r>
          </w:p>
        </w:tc>
      </w:tr>
      <w:tr w:rsidR="00D317D8" w:rsidRPr="007B4EF8" w14:paraId="1392ADCE" w14:textId="77777777" w:rsidTr="00793719">
        <w:trPr>
          <w:jc w:val="center"/>
        </w:trPr>
        <w:tc>
          <w:tcPr>
            <w:tcW w:w="2127" w:type="dxa"/>
          </w:tcPr>
          <w:p w14:paraId="00A037C5" w14:textId="77777777" w:rsidR="00D317D8" w:rsidRPr="00D317D8" w:rsidRDefault="00D317D8" w:rsidP="00D317D8">
            <w:pPr>
              <w:tabs>
                <w:tab w:val="left" w:pos="205"/>
              </w:tabs>
              <w:spacing w:before="20" w:after="20"/>
              <w:rPr>
                <w:rFonts w:eastAsiaTheme="minorEastAsia"/>
                <w:sz w:val="18"/>
                <w:szCs w:val="18"/>
                <w:lang w:eastAsia="en-US"/>
              </w:rPr>
            </w:pPr>
            <w:r>
              <w:rPr>
                <w:rFonts w:eastAsiaTheme="minorEastAsia"/>
                <w:sz w:val="18"/>
                <w:szCs w:val="18"/>
                <w:lang w:eastAsia="en-US"/>
              </w:rPr>
              <w:t>10+</w:t>
            </w:r>
          </w:p>
        </w:tc>
        <w:tc>
          <w:tcPr>
            <w:tcW w:w="2379" w:type="dxa"/>
          </w:tcPr>
          <w:p w14:paraId="1D882DC0" w14:textId="77777777" w:rsidR="00D317D8" w:rsidRPr="001B7431" w:rsidRDefault="00D317D8" w:rsidP="00D317D8">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vAlign w:val="center"/>
          </w:tcPr>
          <w:p w14:paraId="0C4FE689" w14:textId="77777777" w:rsidR="00D317D8" w:rsidRDefault="00D317D8" w:rsidP="00D317D8">
            <w:pPr>
              <w:jc w:val="right"/>
              <w:rPr>
                <w:color w:val="000000"/>
                <w:sz w:val="16"/>
                <w:szCs w:val="16"/>
              </w:rPr>
            </w:pPr>
            <w:r>
              <w:rPr>
                <w:color w:val="000000"/>
                <w:sz w:val="16"/>
                <w:szCs w:val="16"/>
              </w:rPr>
              <w:t>13</w:t>
            </w:r>
          </w:p>
        </w:tc>
        <w:tc>
          <w:tcPr>
            <w:tcW w:w="496" w:type="dxa"/>
            <w:vAlign w:val="center"/>
          </w:tcPr>
          <w:p w14:paraId="704BD532" w14:textId="77777777" w:rsidR="00D317D8" w:rsidRDefault="00D317D8" w:rsidP="00D317D8">
            <w:pPr>
              <w:jc w:val="right"/>
              <w:rPr>
                <w:color w:val="000000"/>
                <w:sz w:val="16"/>
                <w:szCs w:val="16"/>
              </w:rPr>
            </w:pPr>
            <w:r>
              <w:rPr>
                <w:color w:val="000000"/>
                <w:sz w:val="16"/>
                <w:szCs w:val="16"/>
              </w:rPr>
              <w:t>45.2</w:t>
            </w:r>
          </w:p>
        </w:tc>
        <w:tc>
          <w:tcPr>
            <w:tcW w:w="1043" w:type="dxa"/>
            <w:tcBorders>
              <w:right w:val="single" w:sz="4" w:space="0" w:color="auto"/>
            </w:tcBorders>
            <w:vAlign w:val="center"/>
          </w:tcPr>
          <w:p w14:paraId="283EC2EF" w14:textId="77777777" w:rsidR="00D317D8" w:rsidRDefault="00D317D8" w:rsidP="00D317D8">
            <w:pPr>
              <w:jc w:val="right"/>
              <w:rPr>
                <w:color w:val="000000"/>
                <w:sz w:val="16"/>
                <w:szCs w:val="16"/>
              </w:rPr>
            </w:pPr>
            <w:r>
              <w:rPr>
                <w:color w:val="000000"/>
                <w:sz w:val="16"/>
                <w:szCs w:val="16"/>
              </w:rPr>
              <w:t>(18.4, 72.0)</w:t>
            </w:r>
          </w:p>
        </w:tc>
        <w:tc>
          <w:tcPr>
            <w:tcW w:w="569" w:type="dxa"/>
            <w:tcBorders>
              <w:left w:val="single" w:sz="4" w:space="0" w:color="auto"/>
            </w:tcBorders>
            <w:vAlign w:val="center"/>
          </w:tcPr>
          <w:p w14:paraId="0AC90BF1" w14:textId="77777777" w:rsidR="00D317D8" w:rsidRDefault="00D317D8" w:rsidP="00D317D8">
            <w:pPr>
              <w:jc w:val="right"/>
              <w:rPr>
                <w:color w:val="000000"/>
                <w:sz w:val="16"/>
                <w:szCs w:val="16"/>
              </w:rPr>
            </w:pPr>
            <w:r>
              <w:rPr>
                <w:color w:val="000000"/>
                <w:sz w:val="16"/>
                <w:szCs w:val="16"/>
              </w:rPr>
              <w:t>1</w:t>
            </w:r>
          </w:p>
        </w:tc>
        <w:tc>
          <w:tcPr>
            <w:tcW w:w="567" w:type="dxa"/>
            <w:vAlign w:val="center"/>
          </w:tcPr>
          <w:p w14:paraId="5DDBCA1B" w14:textId="77777777" w:rsidR="00D317D8" w:rsidRDefault="00D317D8" w:rsidP="00D317D8">
            <w:pPr>
              <w:jc w:val="right"/>
              <w:rPr>
                <w:color w:val="000000"/>
                <w:sz w:val="16"/>
                <w:szCs w:val="16"/>
              </w:rPr>
            </w:pPr>
            <w:r>
              <w:rPr>
                <w:color w:val="000000"/>
                <w:sz w:val="16"/>
                <w:szCs w:val="16"/>
              </w:rPr>
              <w:t>20.1</w:t>
            </w:r>
          </w:p>
        </w:tc>
        <w:tc>
          <w:tcPr>
            <w:tcW w:w="1123" w:type="dxa"/>
            <w:tcBorders>
              <w:right w:val="single" w:sz="4" w:space="0" w:color="auto"/>
            </w:tcBorders>
            <w:vAlign w:val="center"/>
          </w:tcPr>
          <w:p w14:paraId="53E5586E" w14:textId="77777777" w:rsidR="00D317D8" w:rsidRDefault="00B63F83" w:rsidP="00D317D8">
            <w:pPr>
              <w:jc w:val="right"/>
              <w:rPr>
                <w:color w:val="000000"/>
                <w:sz w:val="16"/>
                <w:szCs w:val="16"/>
              </w:rPr>
            </w:pPr>
            <w:r>
              <w:rPr>
                <w:color w:val="000000"/>
                <w:sz w:val="16"/>
                <w:szCs w:val="16"/>
              </w:rPr>
              <w:t>!</w:t>
            </w:r>
          </w:p>
        </w:tc>
        <w:tc>
          <w:tcPr>
            <w:tcW w:w="536" w:type="dxa"/>
            <w:tcBorders>
              <w:left w:val="single" w:sz="4" w:space="0" w:color="auto"/>
            </w:tcBorders>
            <w:vAlign w:val="center"/>
          </w:tcPr>
          <w:p w14:paraId="207E6003" w14:textId="77777777" w:rsidR="00D317D8" w:rsidRDefault="00B63F83" w:rsidP="00D317D8">
            <w:pPr>
              <w:jc w:val="right"/>
              <w:rPr>
                <w:color w:val="000000"/>
                <w:sz w:val="16"/>
                <w:szCs w:val="16"/>
              </w:rPr>
            </w:pPr>
            <w:r>
              <w:rPr>
                <w:color w:val="000000"/>
                <w:sz w:val="16"/>
                <w:szCs w:val="16"/>
              </w:rPr>
              <w:t>-</w:t>
            </w:r>
          </w:p>
        </w:tc>
        <w:tc>
          <w:tcPr>
            <w:tcW w:w="576" w:type="dxa"/>
            <w:vAlign w:val="center"/>
          </w:tcPr>
          <w:p w14:paraId="2B3603B8" w14:textId="77777777" w:rsidR="00D317D8" w:rsidRDefault="00D317D8" w:rsidP="00D317D8">
            <w:pPr>
              <w:jc w:val="right"/>
              <w:rPr>
                <w:color w:val="000000"/>
                <w:sz w:val="16"/>
                <w:szCs w:val="16"/>
              </w:rPr>
            </w:pPr>
          </w:p>
        </w:tc>
        <w:tc>
          <w:tcPr>
            <w:tcW w:w="1123" w:type="dxa"/>
            <w:tcBorders>
              <w:right w:val="single" w:sz="4" w:space="0" w:color="auto"/>
            </w:tcBorders>
            <w:vAlign w:val="center"/>
          </w:tcPr>
          <w:p w14:paraId="52397F43" w14:textId="77777777" w:rsidR="00D317D8" w:rsidRDefault="00D317D8" w:rsidP="00D317D8">
            <w:pPr>
              <w:jc w:val="right"/>
              <w:rPr>
                <w:color w:val="000000"/>
                <w:sz w:val="16"/>
                <w:szCs w:val="16"/>
              </w:rPr>
            </w:pPr>
          </w:p>
        </w:tc>
        <w:tc>
          <w:tcPr>
            <w:tcW w:w="536" w:type="dxa"/>
            <w:tcBorders>
              <w:left w:val="single" w:sz="4" w:space="0" w:color="auto"/>
            </w:tcBorders>
            <w:vAlign w:val="center"/>
          </w:tcPr>
          <w:p w14:paraId="02D409E1" w14:textId="77777777" w:rsidR="00D317D8" w:rsidRDefault="00D317D8" w:rsidP="00D317D8">
            <w:pPr>
              <w:jc w:val="right"/>
              <w:rPr>
                <w:color w:val="000000"/>
                <w:sz w:val="16"/>
                <w:szCs w:val="16"/>
              </w:rPr>
            </w:pPr>
            <w:r>
              <w:rPr>
                <w:color w:val="000000"/>
                <w:sz w:val="16"/>
                <w:szCs w:val="16"/>
              </w:rPr>
              <w:t>2</w:t>
            </w:r>
          </w:p>
        </w:tc>
        <w:tc>
          <w:tcPr>
            <w:tcW w:w="567" w:type="dxa"/>
            <w:vAlign w:val="center"/>
          </w:tcPr>
          <w:p w14:paraId="1B8BBCBB" w14:textId="77777777" w:rsidR="00D317D8" w:rsidRDefault="00D317D8" w:rsidP="00D317D8">
            <w:pPr>
              <w:jc w:val="right"/>
              <w:rPr>
                <w:color w:val="000000"/>
                <w:sz w:val="16"/>
                <w:szCs w:val="16"/>
              </w:rPr>
            </w:pPr>
            <w:r>
              <w:rPr>
                <w:color w:val="000000"/>
                <w:sz w:val="16"/>
                <w:szCs w:val="16"/>
              </w:rPr>
              <w:t>41.8</w:t>
            </w:r>
          </w:p>
        </w:tc>
        <w:tc>
          <w:tcPr>
            <w:tcW w:w="1123" w:type="dxa"/>
            <w:vAlign w:val="center"/>
          </w:tcPr>
          <w:p w14:paraId="5AD40A0E" w14:textId="77777777" w:rsidR="00D317D8" w:rsidRDefault="00B63F83" w:rsidP="00D317D8">
            <w:pPr>
              <w:jc w:val="right"/>
              <w:rPr>
                <w:color w:val="000000"/>
                <w:sz w:val="16"/>
                <w:szCs w:val="16"/>
              </w:rPr>
            </w:pPr>
            <w:r>
              <w:rPr>
                <w:color w:val="000000"/>
                <w:sz w:val="16"/>
                <w:szCs w:val="16"/>
              </w:rPr>
              <w:t>!</w:t>
            </w:r>
          </w:p>
        </w:tc>
      </w:tr>
      <w:tr w:rsidR="00D317D8" w:rsidRPr="007B4EF8" w14:paraId="6C435820" w14:textId="77777777" w:rsidTr="00793719">
        <w:trPr>
          <w:jc w:val="center"/>
        </w:trPr>
        <w:tc>
          <w:tcPr>
            <w:tcW w:w="2127" w:type="dxa"/>
          </w:tcPr>
          <w:p w14:paraId="7D226ED4" w14:textId="77777777" w:rsidR="00D317D8" w:rsidRPr="00D317D8" w:rsidRDefault="00D317D8" w:rsidP="00D317D8">
            <w:pPr>
              <w:tabs>
                <w:tab w:val="left" w:pos="176"/>
              </w:tabs>
              <w:spacing w:before="20" w:after="20"/>
              <w:rPr>
                <w:rFonts w:eastAsiaTheme="minorEastAsia"/>
                <w:sz w:val="18"/>
                <w:szCs w:val="18"/>
                <w:lang w:eastAsia="en-US"/>
              </w:rPr>
            </w:pPr>
          </w:p>
        </w:tc>
        <w:tc>
          <w:tcPr>
            <w:tcW w:w="2379" w:type="dxa"/>
          </w:tcPr>
          <w:p w14:paraId="2D02C7A8" w14:textId="77777777" w:rsidR="00D317D8" w:rsidRPr="001B7431" w:rsidRDefault="00D317D8" w:rsidP="00D317D8">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vAlign w:val="center"/>
          </w:tcPr>
          <w:p w14:paraId="5EB24F9F" w14:textId="77777777" w:rsidR="00D317D8" w:rsidRDefault="00D317D8" w:rsidP="00D317D8">
            <w:pPr>
              <w:jc w:val="right"/>
              <w:rPr>
                <w:color w:val="000000"/>
                <w:sz w:val="16"/>
                <w:szCs w:val="16"/>
              </w:rPr>
            </w:pPr>
            <w:r>
              <w:rPr>
                <w:color w:val="000000"/>
                <w:sz w:val="16"/>
                <w:szCs w:val="16"/>
              </w:rPr>
              <w:t>8</w:t>
            </w:r>
          </w:p>
        </w:tc>
        <w:tc>
          <w:tcPr>
            <w:tcW w:w="496" w:type="dxa"/>
            <w:vAlign w:val="center"/>
          </w:tcPr>
          <w:p w14:paraId="79A56D8F" w14:textId="77777777" w:rsidR="00D317D8" w:rsidRDefault="00D317D8" w:rsidP="00D317D8">
            <w:pPr>
              <w:jc w:val="right"/>
              <w:rPr>
                <w:color w:val="000000"/>
                <w:sz w:val="16"/>
                <w:szCs w:val="16"/>
              </w:rPr>
            </w:pPr>
            <w:r>
              <w:rPr>
                <w:color w:val="000000"/>
                <w:sz w:val="16"/>
                <w:szCs w:val="16"/>
              </w:rPr>
              <w:t>28.5</w:t>
            </w:r>
          </w:p>
        </w:tc>
        <w:tc>
          <w:tcPr>
            <w:tcW w:w="1043" w:type="dxa"/>
            <w:tcBorders>
              <w:right w:val="single" w:sz="4" w:space="0" w:color="auto"/>
            </w:tcBorders>
            <w:vAlign w:val="center"/>
          </w:tcPr>
          <w:p w14:paraId="5A690F3E" w14:textId="77777777" w:rsidR="00D317D8" w:rsidRDefault="00D317D8" w:rsidP="00D317D8">
            <w:pPr>
              <w:jc w:val="right"/>
              <w:rPr>
                <w:color w:val="000000"/>
                <w:sz w:val="16"/>
                <w:szCs w:val="16"/>
              </w:rPr>
            </w:pPr>
            <w:r>
              <w:rPr>
                <w:color w:val="000000"/>
                <w:sz w:val="16"/>
                <w:szCs w:val="16"/>
              </w:rPr>
              <w:t>(0.0, 57.1)</w:t>
            </w:r>
          </w:p>
        </w:tc>
        <w:tc>
          <w:tcPr>
            <w:tcW w:w="569" w:type="dxa"/>
            <w:tcBorders>
              <w:left w:val="single" w:sz="4" w:space="0" w:color="auto"/>
            </w:tcBorders>
            <w:vAlign w:val="center"/>
          </w:tcPr>
          <w:p w14:paraId="0B7AA6F3" w14:textId="77777777" w:rsidR="00D317D8" w:rsidRDefault="00D317D8" w:rsidP="00D317D8">
            <w:pPr>
              <w:jc w:val="right"/>
              <w:rPr>
                <w:color w:val="000000"/>
                <w:sz w:val="16"/>
                <w:szCs w:val="16"/>
              </w:rPr>
            </w:pPr>
            <w:r>
              <w:rPr>
                <w:color w:val="000000"/>
                <w:sz w:val="16"/>
                <w:szCs w:val="16"/>
              </w:rPr>
              <w:t>2</w:t>
            </w:r>
          </w:p>
        </w:tc>
        <w:tc>
          <w:tcPr>
            <w:tcW w:w="567" w:type="dxa"/>
            <w:vAlign w:val="center"/>
          </w:tcPr>
          <w:p w14:paraId="7B63818E" w14:textId="77777777" w:rsidR="00D317D8" w:rsidRDefault="00D317D8" w:rsidP="00D317D8">
            <w:pPr>
              <w:jc w:val="right"/>
              <w:rPr>
                <w:color w:val="000000"/>
                <w:sz w:val="16"/>
                <w:szCs w:val="16"/>
              </w:rPr>
            </w:pPr>
            <w:r>
              <w:rPr>
                <w:color w:val="000000"/>
                <w:sz w:val="16"/>
                <w:szCs w:val="16"/>
              </w:rPr>
              <w:t>48.0</w:t>
            </w:r>
          </w:p>
        </w:tc>
        <w:tc>
          <w:tcPr>
            <w:tcW w:w="1123" w:type="dxa"/>
            <w:tcBorders>
              <w:right w:val="single" w:sz="4" w:space="0" w:color="auto"/>
            </w:tcBorders>
            <w:vAlign w:val="center"/>
          </w:tcPr>
          <w:p w14:paraId="336E1727" w14:textId="77777777" w:rsidR="00D317D8" w:rsidRDefault="00B63F83" w:rsidP="00D317D8">
            <w:pPr>
              <w:jc w:val="right"/>
              <w:rPr>
                <w:color w:val="000000"/>
                <w:sz w:val="16"/>
                <w:szCs w:val="16"/>
              </w:rPr>
            </w:pPr>
            <w:r>
              <w:rPr>
                <w:color w:val="000000"/>
                <w:sz w:val="16"/>
                <w:szCs w:val="16"/>
              </w:rPr>
              <w:t>!</w:t>
            </w:r>
          </w:p>
        </w:tc>
        <w:tc>
          <w:tcPr>
            <w:tcW w:w="536" w:type="dxa"/>
            <w:tcBorders>
              <w:left w:val="single" w:sz="4" w:space="0" w:color="auto"/>
            </w:tcBorders>
            <w:vAlign w:val="center"/>
          </w:tcPr>
          <w:p w14:paraId="217B02AB" w14:textId="77777777" w:rsidR="00D317D8" w:rsidRDefault="00D317D8" w:rsidP="00D317D8">
            <w:pPr>
              <w:jc w:val="right"/>
              <w:rPr>
                <w:color w:val="000000"/>
                <w:sz w:val="16"/>
                <w:szCs w:val="16"/>
              </w:rPr>
            </w:pPr>
            <w:r>
              <w:rPr>
                <w:color w:val="000000"/>
                <w:sz w:val="16"/>
                <w:szCs w:val="16"/>
              </w:rPr>
              <w:t>1</w:t>
            </w:r>
          </w:p>
        </w:tc>
        <w:tc>
          <w:tcPr>
            <w:tcW w:w="576" w:type="dxa"/>
            <w:vAlign w:val="center"/>
          </w:tcPr>
          <w:p w14:paraId="07222940" w14:textId="77777777" w:rsidR="00D317D8" w:rsidRDefault="00D317D8" w:rsidP="00D317D8">
            <w:pPr>
              <w:jc w:val="right"/>
              <w:rPr>
                <w:color w:val="000000"/>
                <w:sz w:val="16"/>
                <w:szCs w:val="16"/>
              </w:rPr>
            </w:pPr>
            <w:r>
              <w:rPr>
                <w:color w:val="000000"/>
                <w:sz w:val="16"/>
                <w:szCs w:val="16"/>
              </w:rPr>
              <w:t>38.4</w:t>
            </w:r>
          </w:p>
        </w:tc>
        <w:tc>
          <w:tcPr>
            <w:tcW w:w="1123" w:type="dxa"/>
            <w:tcBorders>
              <w:right w:val="single" w:sz="4" w:space="0" w:color="auto"/>
            </w:tcBorders>
            <w:vAlign w:val="center"/>
          </w:tcPr>
          <w:p w14:paraId="44952888" w14:textId="77777777" w:rsidR="00D317D8" w:rsidRDefault="00B63F83" w:rsidP="00D317D8">
            <w:pPr>
              <w:jc w:val="right"/>
              <w:rPr>
                <w:color w:val="000000"/>
                <w:sz w:val="16"/>
                <w:szCs w:val="16"/>
              </w:rPr>
            </w:pPr>
            <w:r>
              <w:rPr>
                <w:color w:val="000000"/>
                <w:sz w:val="16"/>
                <w:szCs w:val="16"/>
              </w:rPr>
              <w:t>!</w:t>
            </w:r>
          </w:p>
        </w:tc>
        <w:tc>
          <w:tcPr>
            <w:tcW w:w="536" w:type="dxa"/>
            <w:tcBorders>
              <w:left w:val="single" w:sz="4" w:space="0" w:color="auto"/>
            </w:tcBorders>
            <w:vAlign w:val="center"/>
          </w:tcPr>
          <w:p w14:paraId="2940D0A9" w14:textId="77777777" w:rsidR="00D317D8" w:rsidRDefault="00D317D8" w:rsidP="00D317D8">
            <w:pPr>
              <w:jc w:val="right"/>
              <w:rPr>
                <w:color w:val="000000"/>
                <w:sz w:val="16"/>
                <w:szCs w:val="16"/>
              </w:rPr>
            </w:pPr>
            <w:r>
              <w:rPr>
                <w:color w:val="000000"/>
                <w:sz w:val="16"/>
                <w:szCs w:val="16"/>
              </w:rPr>
              <w:t>2</w:t>
            </w:r>
          </w:p>
        </w:tc>
        <w:tc>
          <w:tcPr>
            <w:tcW w:w="567" w:type="dxa"/>
            <w:vAlign w:val="center"/>
          </w:tcPr>
          <w:p w14:paraId="3691A269" w14:textId="77777777" w:rsidR="00D317D8" w:rsidRDefault="00D317D8" w:rsidP="00D317D8">
            <w:pPr>
              <w:jc w:val="right"/>
              <w:rPr>
                <w:color w:val="000000"/>
                <w:sz w:val="16"/>
                <w:szCs w:val="16"/>
              </w:rPr>
            </w:pPr>
            <w:r>
              <w:rPr>
                <w:color w:val="000000"/>
                <w:sz w:val="16"/>
                <w:szCs w:val="16"/>
              </w:rPr>
              <w:t>51.2</w:t>
            </w:r>
          </w:p>
        </w:tc>
        <w:tc>
          <w:tcPr>
            <w:tcW w:w="1123" w:type="dxa"/>
            <w:vAlign w:val="center"/>
          </w:tcPr>
          <w:p w14:paraId="0C1066C5" w14:textId="77777777" w:rsidR="00D317D8" w:rsidRDefault="00B63F83" w:rsidP="00D317D8">
            <w:pPr>
              <w:jc w:val="right"/>
              <w:rPr>
                <w:color w:val="000000"/>
                <w:sz w:val="16"/>
                <w:szCs w:val="16"/>
              </w:rPr>
            </w:pPr>
            <w:r>
              <w:rPr>
                <w:color w:val="000000"/>
                <w:sz w:val="16"/>
                <w:szCs w:val="16"/>
              </w:rPr>
              <w:t>!</w:t>
            </w:r>
          </w:p>
        </w:tc>
      </w:tr>
      <w:tr w:rsidR="00D317D8" w:rsidRPr="007B4EF8" w14:paraId="25A0D6AD" w14:textId="77777777" w:rsidTr="00793719">
        <w:trPr>
          <w:jc w:val="center"/>
        </w:trPr>
        <w:tc>
          <w:tcPr>
            <w:tcW w:w="2127" w:type="dxa"/>
          </w:tcPr>
          <w:p w14:paraId="6E98A52E" w14:textId="77777777" w:rsidR="00D317D8" w:rsidRPr="00D317D8" w:rsidRDefault="00D317D8" w:rsidP="00D317D8">
            <w:pPr>
              <w:tabs>
                <w:tab w:val="left" w:pos="176"/>
              </w:tabs>
              <w:spacing w:before="20" w:after="40"/>
              <w:rPr>
                <w:rFonts w:eastAsiaTheme="minorEastAsia"/>
                <w:sz w:val="18"/>
                <w:szCs w:val="18"/>
                <w:lang w:eastAsia="en-US"/>
              </w:rPr>
            </w:pPr>
          </w:p>
        </w:tc>
        <w:tc>
          <w:tcPr>
            <w:tcW w:w="2379" w:type="dxa"/>
          </w:tcPr>
          <w:p w14:paraId="7105C2BB" w14:textId="77777777" w:rsidR="00D317D8" w:rsidRPr="001B7431" w:rsidRDefault="00D317D8" w:rsidP="00D317D8">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vAlign w:val="center"/>
          </w:tcPr>
          <w:p w14:paraId="050C64DE" w14:textId="77777777" w:rsidR="00D317D8" w:rsidRDefault="00D317D8" w:rsidP="00D317D8">
            <w:pPr>
              <w:jc w:val="right"/>
              <w:rPr>
                <w:color w:val="000000"/>
                <w:sz w:val="16"/>
                <w:szCs w:val="16"/>
              </w:rPr>
            </w:pPr>
            <w:r>
              <w:rPr>
                <w:color w:val="000000"/>
                <w:sz w:val="16"/>
                <w:szCs w:val="16"/>
              </w:rPr>
              <w:t>7</w:t>
            </w:r>
          </w:p>
        </w:tc>
        <w:tc>
          <w:tcPr>
            <w:tcW w:w="496" w:type="dxa"/>
            <w:vAlign w:val="center"/>
          </w:tcPr>
          <w:p w14:paraId="47863F89" w14:textId="77777777" w:rsidR="00D317D8" w:rsidRDefault="00D317D8" w:rsidP="00D317D8">
            <w:pPr>
              <w:jc w:val="right"/>
              <w:rPr>
                <w:color w:val="000000"/>
                <w:sz w:val="16"/>
                <w:szCs w:val="16"/>
              </w:rPr>
            </w:pPr>
            <w:r>
              <w:rPr>
                <w:color w:val="000000"/>
                <w:sz w:val="16"/>
                <w:szCs w:val="16"/>
              </w:rPr>
              <w:t>26.3</w:t>
            </w:r>
          </w:p>
        </w:tc>
        <w:tc>
          <w:tcPr>
            <w:tcW w:w="1043" w:type="dxa"/>
            <w:tcBorders>
              <w:right w:val="single" w:sz="4" w:space="0" w:color="auto"/>
            </w:tcBorders>
            <w:vAlign w:val="center"/>
          </w:tcPr>
          <w:p w14:paraId="04404F07" w14:textId="77777777" w:rsidR="00D317D8" w:rsidRDefault="00D317D8" w:rsidP="00D317D8">
            <w:pPr>
              <w:jc w:val="right"/>
              <w:rPr>
                <w:color w:val="000000"/>
                <w:sz w:val="16"/>
                <w:szCs w:val="16"/>
              </w:rPr>
            </w:pPr>
            <w:r>
              <w:rPr>
                <w:color w:val="000000"/>
                <w:sz w:val="16"/>
                <w:szCs w:val="16"/>
              </w:rPr>
              <w:t>(6.1, 46.5)</w:t>
            </w:r>
          </w:p>
        </w:tc>
        <w:tc>
          <w:tcPr>
            <w:tcW w:w="569" w:type="dxa"/>
            <w:tcBorders>
              <w:left w:val="single" w:sz="4" w:space="0" w:color="auto"/>
            </w:tcBorders>
            <w:vAlign w:val="center"/>
          </w:tcPr>
          <w:p w14:paraId="3224745E" w14:textId="77777777" w:rsidR="00D317D8" w:rsidRDefault="00D317D8" w:rsidP="00D317D8">
            <w:pPr>
              <w:jc w:val="right"/>
              <w:rPr>
                <w:color w:val="000000"/>
                <w:sz w:val="16"/>
                <w:szCs w:val="16"/>
              </w:rPr>
            </w:pPr>
            <w:r>
              <w:rPr>
                <w:color w:val="000000"/>
                <w:sz w:val="16"/>
                <w:szCs w:val="16"/>
              </w:rPr>
              <w:t>2</w:t>
            </w:r>
          </w:p>
        </w:tc>
        <w:tc>
          <w:tcPr>
            <w:tcW w:w="567" w:type="dxa"/>
            <w:vAlign w:val="center"/>
          </w:tcPr>
          <w:p w14:paraId="3B911629" w14:textId="77777777" w:rsidR="00D317D8" w:rsidRDefault="00D317D8" w:rsidP="00D317D8">
            <w:pPr>
              <w:jc w:val="right"/>
              <w:rPr>
                <w:color w:val="000000"/>
                <w:sz w:val="16"/>
                <w:szCs w:val="16"/>
              </w:rPr>
            </w:pPr>
            <w:r>
              <w:rPr>
                <w:color w:val="000000"/>
                <w:sz w:val="16"/>
                <w:szCs w:val="16"/>
              </w:rPr>
              <w:t>31.9</w:t>
            </w:r>
          </w:p>
        </w:tc>
        <w:tc>
          <w:tcPr>
            <w:tcW w:w="1123" w:type="dxa"/>
            <w:tcBorders>
              <w:right w:val="single" w:sz="4" w:space="0" w:color="auto"/>
            </w:tcBorders>
            <w:vAlign w:val="center"/>
          </w:tcPr>
          <w:p w14:paraId="480BFED5" w14:textId="77777777" w:rsidR="00D317D8" w:rsidRDefault="00B63F83" w:rsidP="00D317D8">
            <w:pPr>
              <w:jc w:val="right"/>
              <w:rPr>
                <w:color w:val="000000"/>
                <w:sz w:val="16"/>
                <w:szCs w:val="16"/>
              </w:rPr>
            </w:pPr>
            <w:r>
              <w:rPr>
                <w:color w:val="000000"/>
                <w:sz w:val="16"/>
                <w:szCs w:val="16"/>
              </w:rPr>
              <w:t>!</w:t>
            </w:r>
          </w:p>
        </w:tc>
        <w:tc>
          <w:tcPr>
            <w:tcW w:w="536" w:type="dxa"/>
            <w:tcBorders>
              <w:left w:val="single" w:sz="4" w:space="0" w:color="auto"/>
            </w:tcBorders>
            <w:vAlign w:val="center"/>
          </w:tcPr>
          <w:p w14:paraId="0F3C065A" w14:textId="77777777" w:rsidR="00D317D8" w:rsidRDefault="00D317D8" w:rsidP="00D317D8">
            <w:pPr>
              <w:jc w:val="right"/>
              <w:rPr>
                <w:color w:val="000000"/>
                <w:sz w:val="16"/>
                <w:szCs w:val="16"/>
              </w:rPr>
            </w:pPr>
            <w:r>
              <w:rPr>
                <w:color w:val="000000"/>
                <w:sz w:val="16"/>
                <w:szCs w:val="16"/>
              </w:rPr>
              <w:t>2</w:t>
            </w:r>
          </w:p>
        </w:tc>
        <w:tc>
          <w:tcPr>
            <w:tcW w:w="576" w:type="dxa"/>
            <w:vAlign w:val="center"/>
          </w:tcPr>
          <w:p w14:paraId="0CCC5D6D" w14:textId="77777777" w:rsidR="00D317D8" w:rsidRDefault="00D317D8" w:rsidP="00D317D8">
            <w:pPr>
              <w:jc w:val="right"/>
              <w:rPr>
                <w:color w:val="000000"/>
                <w:sz w:val="16"/>
                <w:szCs w:val="16"/>
              </w:rPr>
            </w:pPr>
            <w:r>
              <w:rPr>
                <w:color w:val="000000"/>
                <w:sz w:val="16"/>
                <w:szCs w:val="16"/>
              </w:rPr>
              <w:t>61.6</w:t>
            </w:r>
          </w:p>
        </w:tc>
        <w:tc>
          <w:tcPr>
            <w:tcW w:w="1123" w:type="dxa"/>
            <w:tcBorders>
              <w:right w:val="single" w:sz="4" w:space="0" w:color="auto"/>
            </w:tcBorders>
            <w:vAlign w:val="center"/>
          </w:tcPr>
          <w:p w14:paraId="1728D0F4" w14:textId="77777777" w:rsidR="00D317D8" w:rsidRDefault="00B63F83" w:rsidP="00D317D8">
            <w:pPr>
              <w:jc w:val="right"/>
              <w:rPr>
                <w:color w:val="000000"/>
                <w:sz w:val="16"/>
                <w:szCs w:val="16"/>
              </w:rPr>
            </w:pPr>
            <w:r>
              <w:rPr>
                <w:color w:val="000000"/>
                <w:sz w:val="16"/>
                <w:szCs w:val="16"/>
              </w:rPr>
              <w:t>!</w:t>
            </w:r>
          </w:p>
        </w:tc>
        <w:tc>
          <w:tcPr>
            <w:tcW w:w="536" w:type="dxa"/>
            <w:tcBorders>
              <w:left w:val="single" w:sz="4" w:space="0" w:color="auto"/>
            </w:tcBorders>
            <w:vAlign w:val="center"/>
          </w:tcPr>
          <w:p w14:paraId="13E4D684" w14:textId="77777777" w:rsidR="00D317D8" w:rsidRDefault="00D317D8" w:rsidP="00D317D8">
            <w:pPr>
              <w:jc w:val="right"/>
              <w:rPr>
                <w:color w:val="000000"/>
                <w:sz w:val="16"/>
                <w:szCs w:val="16"/>
              </w:rPr>
            </w:pPr>
            <w:r>
              <w:rPr>
                <w:color w:val="000000"/>
                <w:sz w:val="16"/>
                <w:szCs w:val="16"/>
              </w:rPr>
              <w:t>0</w:t>
            </w:r>
          </w:p>
        </w:tc>
        <w:tc>
          <w:tcPr>
            <w:tcW w:w="567" w:type="dxa"/>
            <w:vAlign w:val="center"/>
          </w:tcPr>
          <w:p w14:paraId="4D06506E" w14:textId="77777777" w:rsidR="00D317D8" w:rsidRDefault="00D317D8" w:rsidP="00D317D8">
            <w:pPr>
              <w:jc w:val="right"/>
              <w:rPr>
                <w:color w:val="000000"/>
                <w:sz w:val="16"/>
                <w:szCs w:val="16"/>
              </w:rPr>
            </w:pPr>
            <w:r>
              <w:rPr>
                <w:color w:val="000000"/>
                <w:sz w:val="16"/>
                <w:szCs w:val="16"/>
              </w:rPr>
              <w:t>7.0</w:t>
            </w:r>
          </w:p>
        </w:tc>
        <w:tc>
          <w:tcPr>
            <w:tcW w:w="1123" w:type="dxa"/>
            <w:vAlign w:val="center"/>
          </w:tcPr>
          <w:p w14:paraId="06487AEF" w14:textId="77777777" w:rsidR="00D317D8" w:rsidRDefault="00DD2977" w:rsidP="00D317D8">
            <w:pPr>
              <w:jc w:val="right"/>
              <w:rPr>
                <w:color w:val="000000"/>
                <w:sz w:val="16"/>
                <w:szCs w:val="16"/>
              </w:rPr>
            </w:pPr>
            <w:r>
              <w:rPr>
                <w:color w:val="000000"/>
                <w:sz w:val="16"/>
                <w:szCs w:val="16"/>
              </w:rPr>
              <w:t>!</w:t>
            </w:r>
          </w:p>
        </w:tc>
      </w:tr>
      <w:tr w:rsidR="004860AB" w:rsidRPr="007B4EF8" w14:paraId="009EF260" w14:textId="77777777" w:rsidTr="00793719">
        <w:trPr>
          <w:jc w:val="center"/>
        </w:trPr>
        <w:tc>
          <w:tcPr>
            <w:tcW w:w="2127" w:type="dxa"/>
          </w:tcPr>
          <w:p w14:paraId="26587900" w14:textId="77777777" w:rsidR="004860AB" w:rsidRPr="004860AB" w:rsidRDefault="004860AB" w:rsidP="004860AB">
            <w:pPr>
              <w:spacing w:before="20" w:after="20"/>
              <w:ind w:left="34"/>
              <w:rPr>
                <w:rFonts w:eastAsiaTheme="minorEastAsia"/>
                <w:b/>
                <w:sz w:val="16"/>
                <w:szCs w:val="16"/>
                <w:lang w:eastAsia="en-US"/>
              </w:rPr>
            </w:pPr>
            <w:r>
              <w:rPr>
                <w:rFonts w:eastAsiaTheme="minorEastAsia"/>
                <w:b/>
                <w:sz w:val="16"/>
                <w:szCs w:val="16"/>
                <w:lang w:eastAsia="en-US"/>
              </w:rPr>
              <w:t>Gambling frequency</w:t>
            </w:r>
          </w:p>
        </w:tc>
        <w:tc>
          <w:tcPr>
            <w:tcW w:w="2379" w:type="dxa"/>
          </w:tcPr>
          <w:p w14:paraId="2B26B9C9" w14:textId="77777777" w:rsidR="004860AB" w:rsidRPr="001B7431" w:rsidRDefault="004860AB" w:rsidP="004860AB">
            <w:pPr>
              <w:keepNext/>
              <w:spacing w:before="20" w:after="20"/>
              <w:ind w:left="34"/>
              <w:rPr>
                <w:rFonts w:eastAsiaTheme="minorEastAsia"/>
                <w:sz w:val="16"/>
                <w:szCs w:val="16"/>
                <w:lang w:eastAsia="en-US"/>
              </w:rPr>
            </w:pPr>
          </w:p>
        </w:tc>
        <w:tc>
          <w:tcPr>
            <w:tcW w:w="616" w:type="dxa"/>
            <w:vAlign w:val="center"/>
          </w:tcPr>
          <w:p w14:paraId="07B2241F" w14:textId="77777777" w:rsidR="004860AB" w:rsidRDefault="004860AB" w:rsidP="004860AB">
            <w:pPr>
              <w:jc w:val="right"/>
              <w:rPr>
                <w:color w:val="000000"/>
                <w:sz w:val="16"/>
                <w:szCs w:val="16"/>
              </w:rPr>
            </w:pPr>
          </w:p>
        </w:tc>
        <w:tc>
          <w:tcPr>
            <w:tcW w:w="496" w:type="dxa"/>
            <w:vAlign w:val="center"/>
          </w:tcPr>
          <w:p w14:paraId="58207368" w14:textId="77777777" w:rsidR="004860AB" w:rsidRDefault="004860AB" w:rsidP="004860AB">
            <w:pPr>
              <w:jc w:val="right"/>
              <w:rPr>
                <w:color w:val="000000"/>
                <w:sz w:val="16"/>
                <w:szCs w:val="16"/>
              </w:rPr>
            </w:pPr>
          </w:p>
        </w:tc>
        <w:tc>
          <w:tcPr>
            <w:tcW w:w="1043" w:type="dxa"/>
            <w:tcBorders>
              <w:right w:val="single" w:sz="4" w:space="0" w:color="auto"/>
            </w:tcBorders>
            <w:vAlign w:val="center"/>
          </w:tcPr>
          <w:p w14:paraId="6FF834D2" w14:textId="77777777" w:rsidR="004860AB" w:rsidRDefault="004860AB" w:rsidP="004860AB">
            <w:pPr>
              <w:jc w:val="right"/>
              <w:rPr>
                <w:color w:val="000000"/>
                <w:sz w:val="16"/>
                <w:szCs w:val="16"/>
              </w:rPr>
            </w:pPr>
          </w:p>
        </w:tc>
        <w:tc>
          <w:tcPr>
            <w:tcW w:w="569" w:type="dxa"/>
            <w:tcBorders>
              <w:left w:val="single" w:sz="4" w:space="0" w:color="auto"/>
            </w:tcBorders>
            <w:vAlign w:val="center"/>
          </w:tcPr>
          <w:p w14:paraId="200F468A" w14:textId="77777777" w:rsidR="004860AB" w:rsidRDefault="004860AB" w:rsidP="004860AB">
            <w:pPr>
              <w:jc w:val="right"/>
              <w:rPr>
                <w:color w:val="000000"/>
                <w:sz w:val="16"/>
                <w:szCs w:val="16"/>
              </w:rPr>
            </w:pPr>
          </w:p>
        </w:tc>
        <w:tc>
          <w:tcPr>
            <w:tcW w:w="567" w:type="dxa"/>
            <w:vAlign w:val="center"/>
          </w:tcPr>
          <w:p w14:paraId="0511E57E" w14:textId="77777777" w:rsidR="004860AB" w:rsidRDefault="004860AB" w:rsidP="004860AB">
            <w:pPr>
              <w:jc w:val="right"/>
              <w:rPr>
                <w:color w:val="000000"/>
                <w:sz w:val="16"/>
                <w:szCs w:val="16"/>
              </w:rPr>
            </w:pPr>
          </w:p>
        </w:tc>
        <w:tc>
          <w:tcPr>
            <w:tcW w:w="1123" w:type="dxa"/>
            <w:tcBorders>
              <w:right w:val="single" w:sz="4" w:space="0" w:color="auto"/>
            </w:tcBorders>
            <w:vAlign w:val="center"/>
          </w:tcPr>
          <w:p w14:paraId="1A9DBF95" w14:textId="77777777" w:rsidR="004860AB" w:rsidRDefault="004860AB" w:rsidP="004860AB">
            <w:pPr>
              <w:jc w:val="right"/>
              <w:rPr>
                <w:color w:val="000000"/>
                <w:sz w:val="16"/>
                <w:szCs w:val="16"/>
              </w:rPr>
            </w:pPr>
          </w:p>
        </w:tc>
        <w:tc>
          <w:tcPr>
            <w:tcW w:w="536" w:type="dxa"/>
            <w:tcBorders>
              <w:left w:val="single" w:sz="4" w:space="0" w:color="auto"/>
            </w:tcBorders>
            <w:vAlign w:val="center"/>
          </w:tcPr>
          <w:p w14:paraId="30CB826F" w14:textId="77777777" w:rsidR="004860AB" w:rsidRDefault="004860AB" w:rsidP="004860AB">
            <w:pPr>
              <w:jc w:val="right"/>
              <w:rPr>
                <w:color w:val="000000"/>
                <w:sz w:val="16"/>
                <w:szCs w:val="16"/>
              </w:rPr>
            </w:pPr>
          </w:p>
        </w:tc>
        <w:tc>
          <w:tcPr>
            <w:tcW w:w="576" w:type="dxa"/>
            <w:vAlign w:val="center"/>
          </w:tcPr>
          <w:p w14:paraId="0A57A4DC" w14:textId="77777777" w:rsidR="004860AB" w:rsidRDefault="004860AB" w:rsidP="004860AB">
            <w:pPr>
              <w:jc w:val="right"/>
              <w:rPr>
                <w:color w:val="000000"/>
                <w:sz w:val="16"/>
                <w:szCs w:val="16"/>
              </w:rPr>
            </w:pPr>
          </w:p>
        </w:tc>
        <w:tc>
          <w:tcPr>
            <w:tcW w:w="1123" w:type="dxa"/>
            <w:tcBorders>
              <w:right w:val="single" w:sz="4" w:space="0" w:color="auto"/>
            </w:tcBorders>
            <w:vAlign w:val="center"/>
          </w:tcPr>
          <w:p w14:paraId="5F5C38CD" w14:textId="77777777" w:rsidR="004860AB" w:rsidRDefault="004860AB" w:rsidP="004860AB">
            <w:pPr>
              <w:jc w:val="right"/>
              <w:rPr>
                <w:color w:val="000000"/>
                <w:sz w:val="16"/>
                <w:szCs w:val="16"/>
              </w:rPr>
            </w:pPr>
          </w:p>
        </w:tc>
        <w:tc>
          <w:tcPr>
            <w:tcW w:w="536" w:type="dxa"/>
            <w:tcBorders>
              <w:left w:val="single" w:sz="4" w:space="0" w:color="auto"/>
            </w:tcBorders>
            <w:vAlign w:val="center"/>
          </w:tcPr>
          <w:p w14:paraId="6FFC091B" w14:textId="77777777" w:rsidR="004860AB" w:rsidRDefault="004860AB" w:rsidP="004860AB">
            <w:pPr>
              <w:jc w:val="right"/>
              <w:rPr>
                <w:color w:val="000000"/>
                <w:sz w:val="16"/>
                <w:szCs w:val="16"/>
              </w:rPr>
            </w:pPr>
          </w:p>
        </w:tc>
        <w:tc>
          <w:tcPr>
            <w:tcW w:w="567" w:type="dxa"/>
            <w:vAlign w:val="center"/>
          </w:tcPr>
          <w:p w14:paraId="32F63B95" w14:textId="77777777" w:rsidR="004860AB" w:rsidRDefault="004860AB" w:rsidP="004860AB">
            <w:pPr>
              <w:jc w:val="right"/>
              <w:rPr>
                <w:color w:val="000000"/>
                <w:sz w:val="16"/>
                <w:szCs w:val="16"/>
              </w:rPr>
            </w:pPr>
          </w:p>
        </w:tc>
        <w:tc>
          <w:tcPr>
            <w:tcW w:w="1123" w:type="dxa"/>
            <w:vAlign w:val="center"/>
          </w:tcPr>
          <w:p w14:paraId="2B5896D3" w14:textId="77777777" w:rsidR="004860AB" w:rsidRDefault="004860AB" w:rsidP="004860AB">
            <w:pPr>
              <w:jc w:val="right"/>
              <w:rPr>
                <w:color w:val="000000"/>
                <w:sz w:val="16"/>
                <w:szCs w:val="16"/>
              </w:rPr>
            </w:pPr>
          </w:p>
        </w:tc>
      </w:tr>
      <w:tr w:rsidR="004860AB" w:rsidRPr="007B4EF8" w14:paraId="7ADABFE6" w14:textId="77777777" w:rsidTr="00793719">
        <w:trPr>
          <w:jc w:val="center"/>
        </w:trPr>
        <w:tc>
          <w:tcPr>
            <w:tcW w:w="2127" w:type="dxa"/>
          </w:tcPr>
          <w:p w14:paraId="6CC4F88E" w14:textId="77777777" w:rsidR="004860AB" w:rsidRDefault="004860AB" w:rsidP="004860AB">
            <w:pPr>
              <w:spacing w:before="20" w:after="20"/>
              <w:ind w:left="34"/>
              <w:rPr>
                <w:rFonts w:eastAsiaTheme="minorEastAsia"/>
                <w:sz w:val="16"/>
                <w:szCs w:val="16"/>
                <w:lang w:eastAsia="en-US"/>
              </w:rPr>
            </w:pPr>
            <w:r>
              <w:rPr>
                <w:rFonts w:eastAsiaTheme="minorEastAsia"/>
                <w:sz w:val="16"/>
                <w:szCs w:val="16"/>
                <w:lang w:eastAsia="en-US"/>
              </w:rPr>
              <w:t>At least weekly</w:t>
            </w:r>
          </w:p>
        </w:tc>
        <w:tc>
          <w:tcPr>
            <w:tcW w:w="2379" w:type="dxa"/>
          </w:tcPr>
          <w:p w14:paraId="5B805BD1" w14:textId="77777777" w:rsidR="004860AB" w:rsidRPr="001B7431" w:rsidRDefault="004860AB" w:rsidP="004860AB">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vAlign w:val="center"/>
          </w:tcPr>
          <w:p w14:paraId="664F4C72" w14:textId="77777777" w:rsidR="004860AB" w:rsidRDefault="004860AB" w:rsidP="004860AB">
            <w:pPr>
              <w:jc w:val="right"/>
              <w:rPr>
                <w:color w:val="000000"/>
                <w:sz w:val="16"/>
                <w:szCs w:val="16"/>
                <w:lang w:eastAsia="en-NZ"/>
              </w:rPr>
            </w:pPr>
            <w:r>
              <w:rPr>
                <w:color w:val="000000"/>
                <w:sz w:val="16"/>
                <w:szCs w:val="16"/>
              </w:rPr>
              <w:t>1204</w:t>
            </w:r>
          </w:p>
        </w:tc>
        <w:tc>
          <w:tcPr>
            <w:tcW w:w="496" w:type="dxa"/>
            <w:vAlign w:val="center"/>
          </w:tcPr>
          <w:p w14:paraId="0B34A45C" w14:textId="77777777" w:rsidR="004860AB" w:rsidRDefault="004860AB" w:rsidP="004860AB">
            <w:pPr>
              <w:jc w:val="right"/>
              <w:rPr>
                <w:color w:val="000000"/>
                <w:sz w:val="16"/>
                <w:szCs w:val="16"/>
              </w:rPr>
            </w:pPr>
            <w:r>
              <w:rPr>
                <w:color w:val="000000"/>
                <w:sz w:val="16"/>
                <w:szCs w:val="16"/>
              </w:rPr>
              <w:t>84.5</w:t>
            </w:r>
          </w:p>
        </w:tc>
        <w:tc>
          <w:tcPr>
            <w:tcW w:w="1043" w:type="dxa"/>
            <w:tcBorders>
              <w:right w:val="single" w:sz="4" w:space="0" w:color="auto"/>
            </w:tcBorders>
            <w:vAlign w:val="center"/>
          </w:tcPr>
          <w:p w14:paraId="7D9202F5" w14:textId="77777777" w:rsidR="004860AB" w:rsidRDefault="004860AB" w:rsidP="004860AB">
            <w:pPr>
              <w:jc w:val="right"/>
              <w:rPr>
                <w:color w:val="000000"/>
                <w:sz w:val="16"/>
                <w:szCs w:val="16"/>
              </w:rPr>
            </w:pPr>
            <w:r>
              <w:rPr>
                <w:color w:val="000000"/>
                <w:sz w:val="16"/>
                <w:szCs w:val="16"/>
              </w:rPr>
              <w:t>(82.5, 86.6)</w:t>
            </w:r>
          </w:p>
        </w:tc>
        <w:tc>
          <w:tcPr>
            <w:tcW w:w="569" w:type="dxa"/>
            <w:tcBorders>
              <w:left w:val="single" w:sz="4" w:space="0" w:color="auto"/>
            </w:tcBorders>
            <w:vAlign w:val="center"/>
          </w:tcPr>
          <w:p w14:paraId="65887147" w14:textId="77777777" w:rsidR="004860AB" w:rsidRDefault="004860AB" w:rsidP="004860AB">
            <w:pPr>
              <w:jc w:val="right"/>
              <w:rPr>
                <w:color w:val="000000"/>
                <w:sz w:val="16"/>
                <w:szCs w:val="16"/>
              </w:rPr>
            </w:pPr>
            <w:r>
              <w:rPr>
                <w:color w:val="000000"/>
                <w:sz w:val="16"/>
                <w:szCs w:val="16"/>
              </w:rPr>
              <w:t>648</w:t>
            </w:r>
          </w:p>
        </w:tc>
        <w:tc>
          <w:tcPr>
            <w:tcW w:w="567" w:type="dxa"/>
            <w:vAlign w:val="center"/>
          </w:tcPr>
          <w:p w14:paraId="3E6EAFCC" w14:textId="77777777" w:rsidR="004860AB" w:rsidRDefault="004860AB" w:rsidP="004860AB">
            <w:pPr>
              <w:jc w:val="right"/>
              <w:rPr>
                <w:color w:val="000000"/>
                <w:sz w:val="16"/>
                <w:szCs w:val="16"/>
              </w:rPr>
            </w:pPr>
            <w:r>
              <w:rPr>
                <w:color w:val="000000"/>
                <w:sz w:val="16"/>
                <w:szCs w:val="16"/>
              </w:rPr>
              <w:t>82.3</w:t>
            </w:r>
          </w:p>
        </w:tc>
        <w:tc>
          <w:tcPr>
            <w:tcW w:w="1123" w:type="dxa"/>
            <w:tcBorders>
              <w:right w:val="single" w:sz="4" w:space="0" w:color="auto"/>
            </w:tcBorders>
            <w:vAlign w:val="center"/>
          </w:tcPr>
          <w:p w14:paraId="375AFA61" w14:textId="77777777" w:rsidR="004860AB" w:rsidRDefault="004860AB" w:rsidP="004860AB">
            <w:pPr>
              <w:jc w:val="right"/>
              <w:rPr>
                <w:color w:val="000000"/>
                <w:sz w:val="16"/>
                <w:szCs w:val="16"/>
              </w:rPr>
            </w:pPr>
            <w:r>
              <w:rPr>
                <w:color w:val="000000"/>
                <w:sz w:val="16"/>
                <w:szCs w:val="16"/>
              </w:rPr>
              <w:t>(79.4, 85.2)</w:t>
            </w:r>
          </w:p>
        </w:tc>
        <w:tc>
          <w:tcPr>
            <w:tcW w:w="536" w:type="dxa"/>
            <w:tcBorders>
              <w:left w:val="single" w:sz="4" w:space="0" w:color="auto"/>
            </w:tcBorders>
            <w:vAlign w:val="center"/>
          </w:tcPr>
          <w:p w14:paraId="384429D7" w14:textId="77777777" w:rsidR="004860AB" w:rsidRDefault="004860AB" w:rsidP="004860AB">
            <w:pPr>
              <w:jc w:val="right"/>
              <w:rPr>
                <w:color w:val="000000"/>
                <w:sz w:val="16"/>
                <w:szCs w:val="16"/>
              </w:rPr>
            </w:pPr>
            <w:r>
              <w:rPr>
                <w:color w:val="000000"/>
                <w:sz w:val="16"/>
                <w:szCs w:val="16"/>
              </w:rPr>
              <w:t>536</w:t>
            </w:r>
          </w:p>
        </w:tc>
        <w:tc>
          <w:tcPr>
            <w:tcW w:w="576" w:type="dxa"/>
            <w:vAlign w:val="center"/>
          </w:tcPr>
          <w:p w14:paraId="2A05E557" w14:textId="77777777" w:rsidR="004860AB" w:rsidRDefault="004860AB" w:rsidP="004860AB">
            <w:pPr>
              <w:jc w:val="right"/>
              <w:rPr>
                <w:color w:val="000000"/>
                <w:sz w:val="16"/>
                <w:szCs w:val="16"/>
              </w:rPr>
            </w:pPr>
            <w:r>
              <w:rPr>
                <w:color w:val="000000"/>
                <w:sz w:val="16"/>
                <w:szCs w:val="16"/>
              </w:rPr>
              <w:t>84.4</w:t>
            </w:r>
          </w:p>
        </w:tc>
        <w:tc>
          <w:tcPr>
            <w:tcW w:w="1123" w:type="dxa"/>
            <w:tcBorders>
              <w:right w:val="single" w:sz="4" w:space="0" w:color="auto"/>
            </w:tcBorders>
            <w:vAlign w:val="center"/>
          </w:tcPr>
          <w:p w14:paraId="3F3BF1FA" w14:textId="77777777" w:rsidR="004860AB" w:rsidRDefault="004860AB" w:rsidP="004860AB">
            <w:pPr>
              <w:jc w:val="right"/>
              <w:rPr>
                <w:color w:val="000000"/>
                <w:sz w:val="16"/>
                <w:szCs w:val="16"/>
              </w:rPr>
            </w:pPr>
            <w:r>
              <w:rPr>
                <w:color w:val="000000"/>
                <w:sz w:val="16"/>
                <w:szCs w:val="16"/>
              </w:rPr>
              <w:t>(81.5, 87.3)</w:t>
            </w:r>
          </w:p>
        </w:tc>
        <w:tc>
          <w:tcPr>
            <w:tcW w:w="536" w:type="dxa"/>
            <w:tcBorders>
              <w:left w:val="single" w:sz="4" w:space="0" w:color="auto"/>
            </w:tcBorders>
            <w:vAlign w:val="center"/>
          </w:tcPr>
          <w:p w14:paraId="79BEE693" w14:textId="77777777" w:rsidR="004860AB" w:rsidRDefault="004860AB" w:rsidP="004860AB">
            <w:pPr>
              <w:jc w:val="right"/>
              <w:rPr>
                <w:color w:val="000000"/>
                <w:sz w:val="16"/>
                <w:szCs w:val="16"/>
              </w:rPr>
            </w:pPr>
            <w:r>
              <w:rPr>
                <w:color w:val="000000"/>
                <w:sz w:val="16"/>
                <w:szCs w:val="16"/>
              </w:rPr>
              <w:t>427</w:t>
            </w:r>
          </w:p>
        </w:tc>
        <w:tc>
          <w:tcPr>
            <w:tcW w:w="567" w:type="dxa"/>
            <w:vAlign w:val="center"/>
          </w:tcPr>
          <w:p w14:paraId="2BA07EAE" w14:textId="77777777" w:rsidR="004860AB" w:rsidRDefault="004860AB" w:rsidP="004860AB">
            <w:pPr>
              <w:jc w:val="right"/>
              <w:rPr>
                <w:color w:val="000000"/>
                <w:sz w:val="16"/>
                <w:szCs w:val="16"/>
              </w:rPr>
            </w:pPr>
            <w:r>
              <w:rPr>
                <w:color w:val="000000"/>
                <w:sz w:val="16"/>
                <w:szCs w:val="16"/>
              </w:rPr>
              <w:t>82.9</w:t>
            </w:r>
          </w:p>
        </w:tc>
        <w:tc>
          <w:tcPr>
            <w:tcW w:w="1123" w:type="dxa"/>
            <w:vAlign w:val="center"/>
          </w:tcPr>
          <w:p w14:paraId="472894A1" w14:textId="77777777" w:rsidR="004860AB" w:rsidRDefault="004860AB" w:rsidP="004860AB">
            <w:pPr>
              <w:jc w:val="right"/>
              <w:rPr>
                <w:color w:val="000000"/>
                <w:sz w:val="16"/>
                <w:szCs w:val="16"/>
              </w:rPr>
            </w:pPr>
            <w:r>
              <w:rPr>
                <w:color w:val="000000"/>
                <w:sz w:val="16"/>
                <w:szCs w:val="16"/>
              </w:rPr>
              <w:t>(79.6, 86.2)</w:t>
            </w:r>
          </w:p>
        </w:tc>
      </w:tr>
      <w:tr w:rsidR="004860AB" w:rsidRPr="007B4EF8" w14:paraId="55043E01" w14:textId="77777777" w:rsidTr="00793719">
        <w:trPr>
          <w:jc w:val="center"/>
        </w:trPr>
        <w:tc>
          <w:tcPr>
            <w:tcW w:w="2127" w:type="dxa"/>
          </w:tcPr>
          <w:p w14:paraId="3500CB79" w14:textId="77777777" w:rsidR="004860AB" w:rsidRPr="008A7800" w:rsidRDefault="004860AB" w:rsidP="004860AB">
            <w:pPr>
              <w:spacing w:before="20" w:after="20"/>
              <w:ind w:left="34"/>
              <w:rPr>
                <w:rFonts w:eastAsiaTheme="minorEastAsia"/>
                <w:b/>
                <w:sz w:val="16"/>
                <w:szCs w:val="16"/>
                <w:lang w:eastAsia="en-US"/>
              </w:rPr>
            </w:pPr>
          </w:p>
        </w:tc>
        <w:tc>
          <w:tcPr>
            <w:tcW w:w="2379" w:type="dxa"/>
          </w:tcPr>
          <w:p w14:paraId="7A8AB09A" w14:textId="77777777" w:rsidR="004860AB" w:rsidRPr="001B7431" w:rsidRDefault="004860AB" w:rsidP="004860AB">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vAlign w:val="center"/>
          </w:tcPr>
          <w:p w14:paraId="35A6075F" w14:textId="77777777" w:rsidR="004860AB" w:rsidRDefault="004860AB" w:rsidP="004860AB">
            <w:pPr>
              <w:jc w:val="right"/>
              <w:rPr>
                <w:color w:val="000000"/>
                <w:sz w:val="16"/>
                <w:szCs w:val="16"/>
              </w:rPr>
            </w:pPr>
            <w:r>
              <w:rPr>
                <w:color w:val="000000"/>
                <w:sz w:val="16"/>
                <w:szCs w:val="16"/>
              </w:rPr>
              <w:t>137</w:t>
            </w:r>
          </w:p>
        </w:tc>
        <w:tc>
          <w:tcPr>
            <w:tcW w:w="496" w:type="dxa"/>
            <w:vAlign w:val="center"/>
          </w:tcPr>
          <w:p w14:paraId="3D759211" w14:textId="77777777" w:rsidR="004860AB" w:rsidRDefault="004860AB" w:rsidP="004860AB">
            <w:pPr>
              <w:jc w:val="right"/>
              <w:rPr>
                <w:color w:val="000000"/>
                <w:sz w:val="16"/>
                <w:szCs w:val="16"/>
              </w:rPr>
            </w:pPr>
            <w:r>
              <w:rPr>
                <w:color w:val="000000"/>
                <w:sz w:val="16"/>
                <w:szCs w:val="16"/>
              </w:rPr>
              <w:t>9.6</w:t>
            </w:r>
          </w:p>
        </w:tc>
        <w:tc>
          <w:tcPr>
            <w:tcW w:w="1043" w:type="dxa"/>
            <w:tcBorders>
              <w:right w:val="single" w:sz="4" w:space="0" w:color="auto"/>
            </w:tcBorders>
            <w:vAlign w:val="center"/>
          </w:tcPr>
          <w:p w14:paraId="627165BF" w14:textId="77777777" w:rsidR="004860AB" w:rsidRDefault="004860AB" w:rsidP="004860AB">
            <w:pPr>
              <w:jc w:val="right"/>
              <w:rPr>
                <w:color w:val="000000"/>
                <w:sz w:val="16"/>
                <w:szCs w:val="16"/>
              </w:rPr>
            </w:pPr>
            <w:r>
              <w:rPr>
                <w:color w:val="000000"/>
                <w:sz w:val="16"/>
                <w:szCs w:val="16"/>
              </w:rPr>
              <w:t>(7.9, 11.4)</w:t>
            </w:r>
          </w:p>
        </w:tc>
        <w:tc>
          <w:tcPr>
            <w:tcW w:w="569" w:type="dxa"/>
            <w:tcBorders>
              <w:left w:val="single" w:sz="4" w:space="0" w:color="auto"/>
            </w:tcBorders>
            <w:vAlign w:val="center"/>
          </w:tcPr>
          <w:p w14:paraId="33594CD8" w14:textId="77777777" w:rsidR="004860AB" w:rsidRDefault="004860AB" w:rsidP="004860AB">
            <w:pPr>
              <w:jc w:val="right"/>
              <w:rPr>
                <w:color w:val="000000"/>
                <w:sz w:val="16"/>
                <w:szCs w:val="16"/>
              </w:rPr>
            </w:pPr>
            <w:r>
              <w:rPr>
                <w:color w:val="000000"/>
                <w:sz w:val="16"/>
                <w:szCs w:val="16"/>
              </w:rPr>
              <w:t>95</w:t>
            </w:r>
          </w:p>
        </w:tc>
        <w:tc>
          <w:tcPr>
            <w:tcW w:w="567" w:type="dxa"/>
            <w:vAlign w:val="center"/>
          </w:tcPr>
          <w:p w14:paraId="03E5C8FF" w14:textId="77777777" w:rsidR="004860AB" w:rsidRDefault="004860AB" w:rsidP="004860AB">
            <w:pPr>
              <w:jc w:val="right"/>
              <w:rPr>
                <w:color w:val="000000"/>
                <w:sz w:val="16"/>
                <w:szCs w:val="16"/>
              </w:rPr>
            </w:pPr>
            <w:r>
              <w:rPr>
                <w:color w:val="000000"/>
                <w:sz w:val="16"/>
                <w:szCs w:val="16"/>
              </w:rPr>
              <w:t>12.0</w:t>
            </w:r>
          </w:p>
        </w:tc>
        <w:tc>
          <w:tcPr>
            <w:tcW w:w="1123" w:type="dxa"/>
            <w:tcBorders>
              <w:right w:val="single" w:sz="4" w:space="0" w:color="auto"/>
            </w:tcBorders>
            <w:vAlign w:val="center"/>
          </w:tcPr>
          <w:p w14:paraId="215C9FE7" w14:textId="77777777" w:rsidR="004860AB" w:rsidRDefault="004860AB" w:rsidP="004860AB">
            <w:pPr>
              <w:jc w:val="right"/>
              <w:rPr>
                <w:color w:val="000000"/>
                <w:sz w:val="16"/>
                <w:szCs w:val="16"/>
              </w:rPr>
            </w:pPr>
            <w:r>
              <w:rPr>
                <w:color w:val="000000"/>
                <w:sz w:val="16"/>
                <w:szCs w:val="16"/>
              </w:rPr>
              <w:t>(9.5, 14.6)</w:t>
            </w:r>
          </w:p>
        </w:tc>
        <w:tc>
          <w:tcPr>
            <w:tcW w:w="536" w:type="dxa"/>
            <w:tcBorders>
              <w:left w:val="single" w:sz="4" w:space="0" w:color="auto"/>
            </w:tcBorders>
            <w:vAlign w:val="center"/>
          </w:tcPr>
          <w:p w14:paraId="796F1C68" w14:textId="77777777" w:rsidR="004860AB" w:rsidRDefault="004860AB" w:rsidP="004860AB">
            <w:pPr>
              <w:jc w:val="right"/>
              <w:rPr>
                <w:color w:val="000000"/>
                <w:sz w:val="16"/>
                <w:szCs w:val="16"/>
              </w:rPr>
            </w:pPr>
            <w:r>
              <w:rPr>
                <w:color w:val="000000"/>
                <w:sz w:val="16"/>
                <w:szCs w:val="16"/>
              </w:rPr>
              <w:t>63</w:t>
            </w:r>
          </w:p>
        </w:tc>
        <w:tc>
          <w:tcPr>
            <w:tcW w:w="576" w:type="dxa"/>
            <w:vAlign w:val="center"/>
          </w:tcPr>
          <w:p w14:paraId="36A1CA87" w14:textId="77777777" w:rsidR="004860AB" w:rsidRDefault="004860AB" w:rsidP="004860AB">
            <w:pPr>
              <w:jc w:val="right"/>
              <w:rPr>
                <w:color w:val="000000"/>
                <w:sz w:val="16"/>
                <w:szCs w:val="16"/>
              </w:rPr>
            </w:pPr>
            <w:r>
              <w:rPr>
                <w:color w:val="000000"/>
                <w:sz w:val="16"/>
                <w:szCs w:val="16"/>
              </w:rPr>
              <w:t>10.0</w:t>
            </w:r>
          </w:p>
        </w:tc>
        <w:tc>
          <w:tcPr>
            <w:tcW w:w="1123" w:type="dxa"/>
            <w:tcBorders>
              <w:right w:val="single" w:sz="4" w:space="0" w:color="auto"/>
            </w:tcBorders>
            <w:vAlign w:val="center"/>
          </w:tcPr>
          <w:p w14:paraId="77E3638C" w14:textId="77777777" w:rsidR="004860AB" w:rsidRDefault="004860AB" w:rsidP="004860AB">
            <w:pPr>
              <w:jc w:val="right"/>
              <w:rPr>
                <w:color w:val="000000"/>
                <w:sz w:val="16"/>
                <w:szCs w:val="16"/>
              </w:rPr>
            </w:pPr>
            <w:r>
              <w:rPr>
                <w:color w:val="000000"/>
                <w:sz w:val="16"/>
                <w:szCs w:val="16"/>
              </w:rPr>
              <w:t>(7.6, 12.4)</w:t>
            </w:r>
          </w:p>
        </w:tc>
        <w:tc>
          <w:tcPr>
            <w:tcW w:w="536" w:type="dxa"/>
            <w:tcBorders>
              <w:left w:val="single" w:sz="4" w:space="0" w:color="auto"/>
            </w:tcBorders>
            <w:vAlign w:val="center"/>
          </w:tcPr>
          <w:p w14:paraId="696EEF23" w14:textId="77777777" w:rsidR="004860AB" w:rsidRDefault="004860AB" w:rsidP="004860AB">
            <w:pPr>
              <w:jc w:val="right"/>
              <w:rPr>
                <w:color w:val="000000"/>
                <w:sz w:val="16"/>
                <w:szCs w:val="16"/>
              </w:rPr>
            </w:pPr>
            <w:r>
              <w:rPr>
                <w:color w:val="000000"/>
                <w:sz w:val="16"/>
                <w:szCs w:val="16"/>
              </w:rPr>
              <w:t>56</w:t>
            </w:r>
          </w:p>
        </w:tc>
        <w:tc>
          <w:tcPr>
            <w:tcW w:w="567" w:type="dxa"/>
            <w:vAlign w:val="center"/>
          </w:tcPr>
          <w:p w14:paraId="5FD90687" w14:textId="77777777" w:rsidR="004860AB" w:rsidRDefault="004860AB" w:rsidP="004860AB">
            <w:pPr>
              <w:jc w:val="right"/>
              <w:rPr>
                <w:color w:val="000000"/>
                <w:sz w:val="16"/>
                <w:szCs w:val="16"/>
              </w:rPr>
            </w:pPr>
            <w:r>
              <w:rPr>
                <w:color w:val="000000"/>
                <w:sz w:val="16"/>
                <w:szCs w:val="16"/>
              </w:rPr>
              <w:t>10.9</w:t>
            </w:r>
          </w:p>
        </w:tc>
        <w:tc>
          <w:tcPr>
            <w:tcW w:w="1123" w:type="dxa"/>
            <w:vAlign w:val="center"/>
          </w:tcPr>
          <w:p w14:paraId="23DC49B4" w14:textId="77777777" w:rsidR="004860AB" w:rsidRDefault="004860AB" w:rsidP="004860AB">
            <w:pPr>
              <w:jc w:val="right"/>
              <w:rPr>
                <w:color w:val="000000"/>
                <w:sz w:val="16"/>
                <w:szCs w:val="16"/>
              </w:rPr>
            </w:pPr>
            <w:r>
              <w:rPr>
                <w:color w:val="000000"/>
                <w:sz w:val="16"/>
                <w:szCs w:val="16"/>
              </w:rPr>
              <w:t>(8.1, 13.6)</w:t>
            </w:r>
          </w:p>
        </w:tc>
      </w:tr>
      <w:tr w:rsidR="004860AB" w:rsidRPr="007B4EF8" w14:paraId="36655033" w14:textId="77777777" w:rsidTr="00793719">
        <w:trPr>
          <w:jc w:val="center"/>
        </w:trPr>
        <w:tc>
          <w:tcPr>
            <w:tcW w:w="2127" w:type="dxa"/>
          </w:tcPr>
          <w:p w14:paraId="1ECB8E5F" w14:textId="77777777" w:rsidR="004860AB" w:rsidRDefault="004860AB" w:rsidP="004860AB">
            <w:pPr>
              <w:spacing w:before="20" w:after="20"/>
              <w:ind w:left="34"/>
              <w:rPr>
                <w:rFonts w:eastAsiaTheme="minorEastAsia"/>
                <w:sz w:val="16"/>
                <w:szCs w:val="16"/>
                <w:lang w:eastAsia="en-US"/>
              </w:rPr>
            </w:pPr>
          </w:p>
        </w:tc>
        <w:tc>
          <w:tcPr>
            <w:tcW w:w="2379" w:type="dxa"/>
          </w:tcPr>
          <w:p w14:paraId="02219C78" w14:textId="77777777" w:rsidR="004860AB" w:rsidRPr="001B7431" w:rsidRDefault="004860AB" w:rsidP="004860AB">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vAlign w:val="center"/>
          </w:tcPr>
          <w:p w14:paraId="5E7C65C8" w14:textId="77777777" w:rsidR="004860AB" w:rsidRDefault="004860AB" w:rsidP="004860AB">
            <w:pPr>
              <w:jc w:val="right"/>
              <w:rPr>
                <w:color w:val="000000"/>
                <w:sz w:val="16"/>
                <w:szCs w:val="16"/>
              </w:rPr>
            </w:pPr>
            <w:r>
              <w:rPr>
                <w:color w:val="000000"/>
                <w:sz w:val="16"/>
                <w:szCs w:val="16"/>
              </w:rPr>
              <w:t>83</w:t>
            </w:r>
          </w:p>
        </w:tc>
        <w:tc>
          <w:tcPr>
            <w:tcW w:w="496" w:type="dxa"/>
            <w:vAlign w:val="center"/>
          </w:tcPr>
          <w:p w14:paraId="6559A0B8" w14:textId="77777777" w:rsidR="004860AB" w:rsidRDefault="004860AB" w:rsidP="004860AB">
            <w:pPr>
              <w:jc w:val="right"/>
              <w:rPr>
                <w:color w:val="000000"/>
                <w:sz w:val="16"/>
                <w:szCs w:val="16"/>
              </w:rPr>
            </w:pPr>
            <w:r>
              <w:rPr>
                <w:color w:val="000000"/>
                <w:sz w:val="16"/>
                <w:szCs w:val="16"/>
              </w:rPr>
              <w:t>5.8</w:t>
            </w:r>
          </w:p>
        </w:tc>
        <w:tc>
          <w:tcPr>
            <w:tcW w:w="1043" w:type="dxa"/>
            <w:tcBorders>
              <w:right w:val="single" w:sz="4" w:space="0" w:color="auto"/>
            </w:tcBorders>
            <w:vAlign w:val="center"/>
          </w:tcPr>
          <w:p w14:paraId="3A779560" w14:textId="77777777" w:rsidR="004860AB" w:rsidRDefault="004860AB" w:rsidP="004860AB">
            <w:pPr>
              <w:jc w:val="right"/>
              <w:rPr>
                <w:color w:val="000000"/>
                <w:sz w:val="16"/>
                <w:szCs w:val="16"/>
              </w:rPr>
            </w:pPr>
            <w:r>
              <w:rPr>
                <w:color w:val="000000"/>
                <w:sz w:val="16"/>
                <w:szCs w:val="16"/>
              </w:rPr>
              <w:t>(4.5, 7.1)</w:t>
            </w:r>
          </w:p>
        </w:tc>
        <w:tc>
          <w:tcPr>
            <w:tcW w:w="569" w:type="dxa"/>
            <w:tcBorders>
              <w:left w:val="single" w:sz="4" w:space="0" w:color="auto"/>
            </w:tcBorders>
            <w:vAlign w:val="center"/>
          </w:tcPr>
          <w:p w14:paraId="18AA583F" w14:textId="77777777" w:rsidR="004860AB" w:rsidRDefault="004860AB" w:rsidP="004860AB">
            <w:pPr>
              <w:jc w:val="right"/>
              <w:rPr>
                <w:color w:val="000000"/>
                <w:sz w:val="16"/>
                <w:szCs w:val="16"/>
              </w:rPr>
            </w:pPr>
            <w:r>
              <w:rPr>
                <w:color w:val="000000"/>
                <w:sz w:val="16"/>
                <w:szCs w:val="16"/>
              </w:rPr>
              <w:t>44</w:t>
            </w:r>
          </w:p>
        </w:tc>
        <w:tc>
          <w:tcPr>
            <w:tcW w:w="567" w:type="dxa"/>
            <w:vAlign w:val="center"/>
          </w:tcPr>
          <w:p w14:paraId="5A083098" w14:textId="77777777" w:rsidR="004860AB" w:rsidRDefault="004860AB" w:rsidP="004860AB">
            <w:pPr>
              <w:jc w:val="right"/>
              <w:rPr>
                <w:color w:val="000000"/>
                <w:sz w:val="16"/>
                <w:szCs w:val="16"/>
              </w:rPr>
            </w:pPr>
            <w:r>
              <w:rPr>
                <w:color w:val="000000"/>
                <w:sz w:val="16"/>
                <w:szCs w:val="16"/>
              </w:rPr>
              <w:t>5.6</w:t>
            </w:r>
          </w:p>
        </w:tc>
        <w:tc>
          <w:tcPr>
            <w:tcW w:w="1123" w:type="dxa"/>
            <w:tcBorders>
              <w:right w:val="single" w:sz="4" w:space="0" w:color="auto"/>
            </w:tcBorders>
            <w:vAlign w:val="center"/>
          </w:tcPr>
          <w:p w14:paraId="073D0A8B" w14:textId="77777777" w:rsidR="004860AB" w:rsidRDefault="004860AB" w:rsidP="004860AB">
            <w:pPr>
              <w:jc w:val="right"/>
              <w:rPr>
                <w:color w:val="000000"/>
                <w:sz w:val="16"/>
                <w:szCs w:val="16"/>
              </w:rPr>
            </w:pPr>
            <w:r>
              <w:rPr>
                <w:color w:val="000000"/>
                <w:sz w:val="16"/>
                <w:szCs w:val="16"/>
              </w:rPr>
              <w:t>(4.0, 7.3)</w:t>
            </w:r>
          </w:p>
        </w:tc>
        <w:tc>
          <w:tcPr>
            <w:tcW w:w="536" w:type="dxa"/>
            <w:tcBorders>
              <w:left w:val="single" w:sz="4" w:space="0" w:color="auto"/>
            </w:tcBorders>
            <w:vAlign w:val="center"/>
          </w:tcPr>
          <w:p w14:paraId="4BCA295F" w14:textId="77777777" w:rsidR="004860AB" w:rsidRDefault="004860AB" w:rsidP="004860AB">
            <w:pPr>
              <w:jc w:val="right"/>
              <w:rPr>
                <w:color w:val="000000"/>
                <w:sz w:val="16"/>
                <w:szCs w:val="16"/>
              </w:rPr>
            </w:pPr>
            <w:r>
              <w:rPr>
                <w:color w:val="000000"/>
                <w:sz w:val="16"/>
                <w:szCs w:val="16"/>
              </w:rPr>
              <w:t>36</w:t>
            </w:r>
          </w:p>
        </w:tc>
        <w:tc>
          <w:tcPr>
            <w:tcW w:w="576" w:type="dxa"/>
            <w:vAlign w:val="center"/>
          </w:tcPr>
          <w:p w14:paraId="25A2082A" w14:textId="77777777" w:rsidR="004860AB" w:rsidRDefault="004860AB" w:rsidP="004860AB">
            <w:pPr>
              <w:jc w:val="right"/>
              <w:rPr>
                <w:color w:val="000000"/>
                <w:sz w:val="16"/>
                <w:szCs w:val="16"/>
              </w:rPr>
            </w:pPr>
            <w:r>
              <w:rPr>
                <w:color w:val="000000"/>
                <w:sz w:val="16"/>
                <w:szCs w:val="16"/>
              </w:rPr>
              <w:t>5.6</w:t>
            </w:r>
          </w:p>
        </w:tc>
        <w:tc>
          <w:tcPr>
            <w:tcW w:w="1123" w:type="dxa"/>
            <w:tcBorders>
              <w:right w:val="single" w:sz="4" w:space="0" w:color="auto"/>
            </w:tcBorders>
            <w:vAlign w:val="center"/>
          </w:tcPr>
          <w:p w14:paraId="54200740" w14:textId="77777777" w:rsidR="004860AB" w:rsidRDefault="004860AB" w:rsidP="004860AB">
            <w:pPr>
              <w:jc w:val="right"/>
              <w:rPr>
                <w:color w:val="000000"/>
                <w:sz w:val="16"/>
                <w:szCs w:val="16"/>
              </w:rPr>
            </w:pPr>
            <w:r>
              <w:rPr>
                <w:color w:val="000000"/>
                <w:sz w:val="16"/>
                <w:szCs w:val="16"/>
              </w:rPr>
              <w:t>(3.9, 7.4)</w:t>
            </w:r>
          </w:p>
        </w:tc>
        <w:tc>
          <w:tcPr>
            <w:tcW w:w="536" w:type="dxa"/>
            <w:tcBorders>
              <w:left w:val="single" w:sz="4" w:space="0" w:color="auto"/>
            </w:tcBorders>
            <w:vAlign w:val="center"/>
          </w:tcPr>
          <w:p w14:paraId="6BC313D7" w14:textId="77777777" w:rsidR="004860AB" w:rsidRDefault="004860AB" w:rsidP="004860AB">
            <w:pPr>
              <w:jc w:val="right"/>
              <w:rPr>
                <w:color w:val="000000"/>
                <w:sz w:val="16"/>
                <w:szCs w:val="16"/>
              </w:rPr>
            </w:pPr>
            <w:r>
              <w:rPr>
                <w:color w:val="000000"/>
                <w:sz w:val="16"/>
                <w:szCs w:val="16"/>
              </w:rPr>
              <w:t>32</w:t>
            </w:r>
          </w:p>
        </w:tc>
        <w:tc>
          <w:tcPr>
            <w:tcW w:w="567" w:type="dxa"/>
            <w:vAlign w:val="center"/>
          </w:tcPr>
          <w:p w14:paraId="35DD0708" w14:textId="77777777" w:rsidR="004860AB" w:rsidRDefault="004860AB" w:rsidP="004860AB">
            <w:pPr>
              <w:jc w:val="right"/>
              <w:rPr>
                <w:color w:val="000000"/>
                <w:sz w:val="16"/>
                <w:szCs w:val="16"/>
              </w:rPr>
            </w:pPr>
            <w:r>
              <w:rPr>
                <w:color w:val="000000"/>
                <w:sz w:val="16"/>
                <w:szCs w:val="16"/>
              </w:rPr>
              <w:t>6.2</w:t>
            </w:r>
          </w:p>
        </w:tc>
        <w:tc>
          <w:tcPr>
            <w:tcW w:w="1123" w:type="dxa"/>
            <w:vAlign w:val="center"/>
          </w:tcPr>
          <w:p w14:paraId="7B639558" w14:textId="77777777" w:rsidR="004860AB" w:rsidRDefault="004860AB" w:rsidP="004860AB">
            <w:pPr>
              <w:jc w:val="right"/>
              <w:rPr>
                <w:color w:val="000000"/>
                <w:sz w:val="16"/>
                <w:szCs w:val="16"/>
              </w:rPr>
            </w:pPr>
            <w:r>
              <w:rPr>
                <w:color w:val="000000"/>
                <w:sz w:val="16"/>
                <w:szCs w:val="16"/>
              </w:rPr>
              <w:t>(4.2, 8.3)</w:t>
            </w:r>
          </w:p>
        </w:tc>
      </w:tr>
      <w:tr w:rsidR="004860AB" w:rsidRPr="007B4EF8" w14:paraId="742CD784" w14:textId="77777777" w:rsidTr="00793719">
        <w:trPr>
          <w:jc w:val="center"/>
        </w:trPr>
        <w:tc>
          <w:tcPr>
            <w:tcW w:w="2127" w:type="dxa"/>
          </w:tcPr>
          <w:p w14:paraId="67C2787C" w14:textId="77777777" w:rsidR="004860AB" w:rsidRDefault="004860AB" w:rsidP="004860AB">
            <w:pPr>
              <w:spacing w:before="20" w:after="20"/>
              <w:ind w:left="34"/>
              <w:rPr>
                <w:rFonts w:eastAsiaTheme="minorEastAsia"/>
                <w:sz w:val="16"/>
                <w:szCs w:val="16"/>
                <w:lang w:eastAsia="en-US"/>
              </w:rPr>
            </w:pPr>
            <w:r>
              <w:rPr>
                <w:rFonts w:eastAsiaTheme="minorEastAsia"/>
                <w:sz w:val="16"/>
                <w:szCs w:val="16"/>
                <w:lang w:eastAsia="en-US"/>
              </w:rPr>
              <w:t>At least monthly</w:t>
            </w:r>
          </w:p>
        </w:tc>
        <w:tc>
          <w:tcPr>
            <w:tcW w:w="2379" w:type="dxa"/>
          </w:tcPr>
          <w:p w14:paraId="2A952396" w14:textId="77777777" w:rsidR="004860AB" w:rsidRPr="001B7431" w:rsidRDefault="004860AB" w:rsidP="004860AB">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vAlign w:val="center"/>
          </w:tcPr>
          <w:p w14:paraId="3682F29B" w14:textId="77777777" w:rsidR="004860AB" w:rsidRDefault="004860AB" w:rsidP="004860AB">
            <w:pPr>
              <w:jc w:val="right"/>
              <w:rPr>
                <w:color w:val="000000"/>
                <w:sz w:val="16"/>
                <w:szCs w:val="16"/>
              </w:rPr>
            </w:pPr>
            <w:r>
              <w:rPr>
                <w:color w:val="000000"/>
                <w:sz w:val="16"/>
                <w:szCs w:val="16"/>
              </w:rPr>
              <w:t>1228</w:t>
            </w:r>
          </w:p>
        </w:tc>
        <w:tc>
          <w:tcPr>
            <w:tcW w:w="496" w:type="dxa"/>
            <w:vAlign w:val="center"/>
          </w:tcPr>
          <w:p w14:paraId="58A1F83A" w14:textId="77777777" w:rsidR="004860AB" w:rsidRDefault="004860AB" w:rsidP="004860AB">
            <w:pPr>
              <w:jc w:val="right"/>
              <w:rPr>
                <w:color w:val="000000"/>
                <w:sz w:val="16"/>
                <w:szCs w:val="16"/>
              </w:rPr>
            </w:pPr>
            <w:r>
              <w:rPr>
                <w:color w:val="000000"/>
                <w:sz w:val="16"/>
                <w:szCs w:val="16"/>
              </w:rPr>
              <w:t>89.8</w:t>
            </w:r>
          </w:p>
        </w:tc>
        <w:tc>
          <w:tcPr>
            <w:tcW w:w="1043" w:type="dxa"/>
            <w:tcBorders>
              <w:right w:val="single" w:sz="4" w:space="0" w:color="auto"/>
            </w:tcBorders>
            <w:vAlign w:val="center"/>
          </w:tcPr>
          <w:p w14:paraId="58BCB3B1" w14:textId="77777777" w:rsidR="004860AB" w:rsidRDefault="004860AB" w:rsidP="004860AB">
            <w:pPr>
              <w:jc w:val="right"/>
              <w:rPr>
                <w:color w:val="000000"/>
                <w:sz w:val="16"/>
                <w:szCs w:val="16"/>
              </w:rPr>
            </w:pPr>
            <w:r>
              <w:rPr>
                <w:color w:val="000000"/>
                <w:sz w:val="16"/>
                <w:szCs w:val="16"/>
              </w:rPr>
              <w:t>(87.7, 91.8)</w:t>
            </w:r>
          </w:p>
        </w:tc>
        <w:tc>
          <w:tcPr>
            <w:tcW w:w="569" w:type="dxa"/>
            <w:tcBorders>
              <w:left w:val="single" w:sz="4" w:space="0" w:color="auto"/>
            </w:tcBorders>
            <w:vAlign w:val="center"/>
          </w:tcPr>
          <w:p w14:paraId="5A467959" w14:textId="77777777" w:rsidR="004860AB" w:rsidRDefault="004860AB" w:rsidP="004860AB">
            <w:pPr>
              <w:jc w:val="right"/>
              <w:rPr>
                <w:color w:val="000000"/>
                <w:sz w:val="16"/>
                <w:szCs w:val="16"/>
              </w:rPr>
            </w:pPr>
            <w:r>
              <w:rPr>
                <w:color w:val="000000"/>
                <w:sz w:val="16"/>
                <w:szCs w:val="16"/>
              </w:rPr>
              <w:t>702</w:t>
            </w:r>
          </w:p>
        </w:tc>
        <w:tc>
          <w:tcPr>
            <w:tcW w:w="567" w:type="dxa"/>
            <w:vAlign w:val="center"/>
          </w:tcPr>
          <w:p w14:paraId="5CAA2253" w14:textId="77777777" w:rsidR="004860AB" w:rsidRDefault="004860AB" w:rsidP="004860AB">
            <w:pPr>
              <w:jc w:val="right"/>
              <w:rPr>
                <w:color w:val="000000"/>
                <w:sz w:val="16"/>
                <w:szCs w:val="16"/>
              </w:rPr>
            </w:pPr>
            <w:r>
              <w:rPr>
                <w:color w:val="000000"/>
                <w:sz w:val="16"/>
                <w:szCs w:val="16"/>
              </w:rPr>
              <w:t>89.4</w:t>
            </w:r>
          </w:p>
        </w:tc>
        <w:tc>
          <w:tcPr>
            <w:tcW w:w="1123" w:type="dxa"/>
            <w:tcBorders>
              <w:right w:val="single" w:sz="4" w:space="0" w:color="auto"/>
            </w:tcBorders>
            <w:vAlign w:val="center"/>
          </w:tcPr>
          <w:p w14:paraId="05F39F93" w14:textId="77777777" w:rsidR="004860AB" w:rsidRDefault="004860AB" w:rsidP="004860AB">
            <w:pPr>
              <w:jc w:val="right"/>
              <w:rPr>
                <w:color w:val="000000"/>
                <w:sz w:val="16"/>
                <w:szCs w:val="16"/>
              </w:rPr>
            </w:pPr>
            <w:r>
              <w:rPr>
                <w:color w:val="000000"/>
                <w:sz w:val="16"/>
                <w:szCs w:val="16"/>
              </w:rPr>
              <w:t>(87.0, 91.8)</w:t>
            </w:r>
          </w:p>
        </w:tc>
        <w:tc>
          <w:tcPr>
            <w:tcW w:w="536" w:type="dxa"/>
            <w:tcBorders>
              <w:left w:val="single" w:sz="4" w:space="0" w:color="auto"/>
            </w:tcBorders>
            <w:vAlign w:val="center"/>
          </w:tcPr>
          <w:p w14:paraId="6E3D8093" w14:textId="77777777" w:rsidR="004860AB" w:rsidRDefault="004860AB" w:rsidP="004860AB">
            <w:pPr>
              <w:jc w:val="right"/>
              <w:rPr>
                <w:color w:val="000000"/>
                <w:sz w:val="16"/>
                <w:szCs w:val="16"/>
              </w:rPr>
            </w:pPr>
            <w:r>
              <w:rPr>
                <w:color w:val="000000"/>
                <w:sz w:val="16"/>
                <w:szCs w:val="16"/>
              </w:rPr>
              <w:t>558</w:t>
            </w:r>
          </w:p>
        </w:tc>
        <w:tc>
          <w:tcPr>
            <w:tcW w:w="576" w:type="dxa"/>
            <w:vAlign w:val="center"/>
          </w:tcPr>
          <w:p w14:paraId="487A6DC1" w14:textId="77777777" w:rsidR="004860AB" w:rsidRDefault="004860AB" w:rsidP="004860AB">
            <w:pPr>
              <w:jc w:val="right"/>
              <w:rPr>
                <w:color w:val="000000"/>
                <w:sz w:val="16"/>
                <w:szCs w:val="16"/>
              </w:rPr>
            </w:pPr>
            <w:r>
              <w:rPr>
                <w:color w:val="000000"/>
                <w:sz w:val="16"/>
                <w:szCs w:val="16"/>
              </w:rPr>
              <w:t>88.2</w:t>
            </w:r>
          </w:p>
        </w:tc>
        <w:tc>
          <w:tcPr>
            <w:tcW w:w="1123" w:type="dxa"/>
            <w:tcBorders>
              <w:right w:val="single" w:sz="4" w:space="0" w:color="auto"/>
            </w:tcBorders>
            <w:vAlign w:val="center"/>
          </w:tcPr>
          <w:p w14:paraId="1BD163C0" w14:textId="77777777" w:rsidR="004860AB" w:rsidRDefault="004860AB" w:rsidP="004860AB">
            <w:pPr>
              <w:jc w:val="right"/>
              <w:rPr>
                <w:color w:val="000000"/>
                <w:sz w:val="16"/>
                <w:szCs w:val="16"/>
              </w:rPr>
            </w:pPr>
            <w:r>
              <w:rPr>
                <w:color w:val="000000"/>
                <w:sz w:val="16"/>
                <w:szCs w:val="16"/>
              </w:rPr>
              <w:t>(85.0, 91.4)</w:t>
            </w:r>
          </w:p>
        </w:tc>
        <w:tc>
          <w:tcPr>
            <w:tcW w:w="536" w:type="dxa"/>
            <w:tcBorders>
              <w:left w:val="single" w:sz="4" w:space="0" w:color="auto"/>
            </w:tcBorders>
            <w:vAlign w:val="center"/>
          </w:tcPr>
          <w:p w14:paraId="4AEC8009" w14:textId="77777777" w:rsidR="004860AB" w:rsidRDefault="004860AB" w:rsidP="004860AB">
            <w:pPr>
              <w:jc w:val="right"/>
              <w:rPr>
                <w:color w:val="000000"/>
                <w:sz w:val="16"/>
                <w:szCs w:val="16"/>
              </w:rPr>
            </w:pPr>
            <w:r>
              <w:rPr>
                <w:color w:val="000000"/>
                <w:sz w:val="16"/>
                <w:szCs w:val="16"/>
              </w:rPr>
              <w:t>465</w:t>
            </w:r>
          </w:p>
        </w:tc>
        <w:tc>
          <w:tcPr>
            <w:tcW w:w="567" w:type="dxa"/>
            <w:vAlign w:val="center"/>
          </w:tcPr>
          <w:p w14:paraId="6DF8B774" w14:textId="77777777" w:rsidR="004860AB" w:rsidRDefault="004860AB" w:rsidP="004860AB">
            <w:pPr>
              <w:jc w:val="right"/>
              <w:rPr>
                <w:color w:val="000000"/>
                <w:sz w:val="16"/>
                <w:szCs w:val="16"/>
              </w:rPr>
            </w:pPr>
            <w:r>
              <w:rPr>
                <w:color w:val="000000"/>
                <w:sz w:val="16"/>
                <w:szCs w:val="16"/>
              </w:rPr>
              <w:t>90.1</w:t>
            </w:r>
          </w:p>
        </w:tc>
        <w:tc>
          <w:tcPr>
            <w:tcW w:w="1123" w:type="dxa"/>
            <w:vAlign w:val="center"/>
          </w:tcPr>
          <w:p w14:paraId="79A2C357" w14:textId="77777777" w:rsidR="004860AB" w:rsidRDefault="004860AB" w:rsidP="004860AB">
            <w:pPr>
              <w:jc w:val="right"/>
              <w:rPr>
                <w:color w:val="000000"/>
                <w:sz w:val="16"/>
                <w:szCs w:val="16"/>
              </w:rPr>
            </w:pPr>
            <w:r>
              <w:rPr>
                <w:color w:val="000000"/>
                <w:sz w:val="16"/>
                <w:szCs w:val="16"/>
              </w:rPr>
              <w:t>(86.6, 93.6)</w:t>
            </w:r>
          </w:p>
        </w:tc>
      </w:tr>
      <w:tr w:rsidR="004860AB" w:rsidRPr="007B4EF8" w14:paraId="7972ABA6" w14:textId="77777777" w:rsidTr="00793719">
        <w:trPr>
          <w:jc w:val="center"/>
        </w:trPr>
        <w:tc>
          <w:tcPr>
            <w:tcW w:w="2127" w:type="dxa"/>
          </w:tcPr>
          <w:p w14:paraId="7754C6FB" w14:textId="77777777" w:rsidR="004860AB" w:rsidRDefault="004860AB" w:rsidP="004860AB">
            <w:pPr>
              <w:spacing w:before="20" w:after="20"/>
              <w:ind w:left="34"/>
              <w:rPr>
                <w:rFonts w:eastAsiaTheme="minorEastAsia"/>
                <w:sz w:val="16"/>
                <w:szCs w:val="16"/>
                <w:lang w:eastAsia="en-US"/>
              </w:rPr>
            </w:pPr>
          </w:p>
        </w:tc>
        <w:tc>
          <w:tcPr>
            <w:tcW w:w="2379" w:type="dxa"/>
          </w:tcPr>
          <w:p w14:paraId="0A6277E8" w14:textId="77777777" w:rsidR="004860AB" w:rsidRPr="001B7431" w:rsidRDefault="004860AB" w:rsidP="004860AB">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vAlign w:val="center"/>
          </w:tcPr>
          <w:p w14:paraId="7E9EC855" w14:textId="77777777" w:rsidR="004860AB" w:rsidRDefault="004860AB" w:rsidP="004860AB">
            <w:pPr>
              <w:jc w:val="right"/>
              <w:rPr>
                <w:color w:val="000000"/>
                <w:sz w:val="16"/>
                <w:szCs w:val="16"/>
              </w:rPr>
            </w:pPr>
            <w:r>
              <w:rPr>
                <w:color w:val="000000"/>
                <w:sz w:val="16"/>
                <w:szCs w:val="16"/>
              </w:rPr>
              <w:t>92</w:t>
            </w:r>
          </w:p>
        </w:tc>
        <w:tc>
          <w:tcPr>
            <w:tcW w:w="496" w:type="dxa"/>
            <w:vAlign w:val="center"/>
          </w:tcPr>
          <w:p w14:paraId="2C7868E7" w14:textId="77777777" w:rsidR="004860AB" w:rsidRDefault="004860AB" w:rsidP="004860AB">
            <w:pPr>
              <w:jc w:val="right"/>
              <w:rPr>
                <w:color w:val="000000"/>
                <w:sz w:val="16"/>
                <w:szCs w:val="16"/>
              </w:rPr>
            </w:pPr>
            <w:r>
              <w:rPr>
                <w:color w:val="000000"/>
                <w:sz w:val="16"/>
                <w:szCs w:val="16"/>
              </w:rPr>
              <w:t>6.7</w:t>
            </w:r>
          </w:p>
        </w:tc>
        <w:tc>
          <w:tcPr>
            <w:tcW w:w="1043" w:type="dxa"/>
            <w:tcBorders>
              <w:right w:val="single" w:sz="4" w:space="0" w:color="auto"/>
            </w:tcBorders>
            <w:vAlign w:val="center"/>
          </w:tcPr>
          <w:p w14:paraId="225D41DB" w14:textId="77777777" w:rsidR="004860AB" w:rsidRDefault="004860AB" w:rsidP="004860AB">
            <w:pPr>
              <w:jc w:val="right"/>
              <w:rPr>
                <w:color w:val="000000"/>
                <w:sz w:val="16"/>
                <w:szCs w:val="16"/>
              </w:rPr>
            </w:pPr>
            <w:r>
              <w:rPr>
                <w:color w:val="000000"/>
                <w:sz w:val="16"/>
                <w:szCs w:val="16"/>
              </w:rPr>
              <w:t>(5.0, 8.5)</w:t>
            </w:r>
          </w:p>
        </w:tc>
        <w:tc>
          <w:tcPr>
            <w:tcW w:w="569" w:type="dxa"/>
            <w:tcBorders>
              <w:left w:val="single" w:sz="4" w:space="0" w:color="auto"/>
            </w:tcBorders>
            <w:vAlign w:val="center"/>
          </w:tcPr>
          <w:p w14:paraId="6EB44386" w14:textId="77777777" w:rsidR="004860AB" w:rsidRDefault="004860AB" w:rsidP="004860AB">
            <w:pPr>
              <w:jc w:val="right"/>
              <w:rPr>
                <w:color w:val="000000"/>
                <w:sz w:val="16"/>
                <w:szCs w:val="16"/>
              </w:rPr>
            </w:pPr>
            <w:r>
              <w:rPr>
                <w:color w:val="000000"/>
                <w:sz w:val="16"/>
                <w:szCs w:val="16"/>
              </w:rPr>
              <w:t>65</w:t>
            </w:r>
          </w:p>
        </w:tc>
        <w:tc>
          <w:tcPr>
            <w:tcW w:w="567" w:type="dxa"/>
            <w:vAlign w:val="center"/>
          </w:tcPr>
          <w:p w14:paraId="148F6B23" w14:textId="77777777" w:rsidR="004860AB" w:rsidRDefault="004860AB" w:rsidP="004860AB">
            <w:pPr>
              <w:jc w:val="right"/>
              <w:rPr>
                <w:color w:val="000000"/>
                <w:sz w:val="16"/>
                <w:szCs w:val="16"/>
              </w:rPr>
            </w:pPr>
            <w:r>
              <w:rPr>
                <w:color w:val="000000"/>
                <w:sz w:val="16"/>
                <w:szCs w:val="16"/>
              </w:rPr>
              <w:t>8.2</w:t>
            </w:r>
          </w:p>
        </w:tc>
        <w:tc>
          <w:tcPr>
            <w:tcW w:w="1123" w:type="dxa"/>
            <w:tcBorders>
              <w:right w:val="single" w:sz="4" w:space="0" w:color="auto"/>
            </w:tcBorders>
            <w:vAlign w:val="center"/>
          </w:tcPr>
          <w:p w14:paraId="5D0DD024" w14:textId="77777777" w:rsidR="004860AB" w:rsidRDefault="004860AB" w:rsidP="004860AB">
            <w:pPr>
              <w:jc w:val="right"/>
              <w:rPr>
                <w:color w:val="000000"/>
                <w:sz w:val="16"/>
                <w:szCs w:val="16"/>
              </w:rPr>
            </w:pPr>
            <w:r>
              <w:rPr>
                <w:color w:val="000000"/>
                <w:sz w:val="16"/>
                <w:szCs w:val="16"/>
              </w:rPr>
              <w:t>(6.1, 10.4)</w:t>
            </w:r>
          </w:p>
        </w:tc>
        <w:tc>
          <w:tcPr>
            <w:tcW w:w="536" w:type="dxa"/>
            <w:tcBorders>
              <w:left w:val="single" w:sz="4" w:space="0" w:color="auto"/>
            </w:tcBorders>
            <w:vAlign w:val="center"/>
          </w:tcPr>
          <w:p w14:paraId="75F6D848" w14:textId="77777777" w:rsidR="004860AB" w:rsidRDefault="004860AB" w:rsidP="004860AB">
            <w:pPr>
              <w:jc w:val="right"/>
              <w:rPr>
                <w:color w:val="000000"/>
                <w:sz w:val="16"/>
                <w:szCs w:val="16"/>
              </w:rPr>
            </w:pPr>
            <w:r>
              <w:rPr>
                <w:color w:val="000000"/>
                <w:sz w:val="16"/>
                <w:szCs w:val="16"/>
              </w:rPr>
              <w:t>64</w:t>
            </w:r>
          </w:p>
        </w:tc>
        <w:tc>
          <w:tcPr>
            <w:tcW w:w="576" w:type="dxa"/>
            <w:vAlign w:val="center"/>
          </w:tcPr>
          <w:p w14:paraId="19D42EE1" w14:textId="77777777" w:rsidR="004860AB" w:rsidRDefault="004860AB" w:rsidP="004860AB">
            <w:pPr>
              <w:jc w:val="right"/>
              <w:rPr>
                <w:color w:val="000000"/>
                <w:sz w:val="16"/>
                <w:szCs w:val="16"/>
              </w:rPr>
            </w:pPr>
            <w:r>
              <w:rPr>
                <w:color w:val="000000"/>
                <w:sz w:val="16"/>
                <w:szCs w:val="16"/>
              </w:rPr>
              <w:t>10.0</w:t>
            </w:r>
          </w:p>
        </w:tc>
        <w:tc>
          <w:tcPr>
            <w:tcW w:w="1123" w:type="dxa"/>
            <w:tcBorders>
              <w:right w:val="single" w:sz="4" w:space="0" w:color="auto"/>
            </w:tcBorders>
            <w:vAlign w:val="center"/>
          </w:tcPr>
          <w:p w14:paraId="7C1736CA" w14:textId="77777777" w:rsidR="004860AB" w:rsidRDefault="004860AB" w:rsidP="004860AB">
            <w:pPr>
              <w:jc w:val="right"/>
              <w:rPr>
                <w:color w:val="000000"/>
                <w:sz w:val="16"/>
                <w:szCs w:val="16"/>
              </w:rPr>
            </w:pPr>
            <w:r>
              <w:rPr>
                <w:color w:val="000000"/>
                <w:sz w:val="16"/>
                <w:szCs w:val="16"/>
              </w:rPr>
              <w:t>(6.9, 13.1)</w:t>
            </w:r>
          </w:p>
        </w:tc>
        <w:tc>
          <w:tcPr>
            <w:tcW w:w="536" w:type="dxa"/>
            <w:tcBorders>
              <w:left w:val="single" w:sz="4" w:space="0" w:color="auto"/>
            </w:tcBorders>
            <w:vAlign w:val="center"/>
          </w:tcPr>
          <w:p w14:paraId="219DE769" w14:textId="77777777" w:rsidR="004860AB" w:rsidRDefault="004860AB" w:rsidP="004860AB">
            <w:pPr>
              <w:jc w:val="right"/>
              <w:rPr>
                <w:color w:val="000000"/>
                <w:sz w:val="16"/>
                <w:szCs w:val="16"/>
              </w:rPr>
            </w:pPr>
            <w:r>
              <w:rPr>
                <w:color w:val="000000"/>
                <w:sz w:val="16"/>
                <w:szCs w:val="16"/>
              </w:rPr>
              <w:t>40</w:t>
            </w:r>
          </w:p>
        </w:tc>
        <w:tc>
          <w:tcPr>
            <w:tcW w:w="567" w:type="dxa"/>
            <w:vAlign w:val="center"/>
          </w:tcPr>
          <w:p w14:paraId="41C35CB8" w14:textId="77777777" w:rsidR="004860AB" w:rsidRDefault="004860AB" w:rsidP="004860AB">
            <w:pPr>
              <w:jc w:val="right"/>
              <w:rPr>
                <w:color w:val="000000"/>
                <w:sz w:val="16"/>
                <w:szCs w:val="16"/>
              </w:rPr>
            </w:pPr>
            <w:r>
              <w:rPr>
                <w:color w:val="000000"/>
                <w:sz w:val="16"/>
                <w:szCs w:val="16"/>
              </w:rPr>
              <w:t>7.7</w:t>
            </w:r>
          </w:p>
        </w:tc>
        <w:tc>
          <w:tcPr>
            <w:tcW w:w="1123" w:type="dxa"/>
            <w:vAlign w:val="center"/>
          </w:tcPr>
          <w:p w14:paraId="7EC8D3CF" w14:textId="77777777" w:rsidR="004860AB" w:rsidRDefault="004860AB" w:rsidP="004860AB">
            <w:pPr>
              <w:jc w:val="right"/>
              <w:rPr>
                <w:color w:val="000000"/>
                <w:sz w:val="16"/>
                <w:szCs w:val="16"/>
              </w:rPr>
            </w:pPr>
            <w:r>
              <w:rPr>
                <w:color w:val="000000"/>
                <w:sz w:val="16"/>
                <w:szCs w:val="16"/>
              </w:rPr>
              <w:t>(4.4, 11)</w:t>
            </w:r>
          </w:p>
        </w:tc>
      </w:tr>
      <w:tr w:rsidR="004860AB" w:rsidRPr="007B4EF8" w14:paraId="1BA2ED98" w14:textId="77777777" w:rsidTr="00793719">
        <w:trPr>
          <w:jc w:val="center"/>
        </w:trPr>
        <w:tc>
          <w:tcPr>
            <w:tcW w:w="2127" w:type="dxa"/>
            <w:tcBorders>
              <w:bottom w:val="single" w:sz="4" w:space="0" w:color="auto"/>
            </w:tcBorders>
          </w:tcPr>
          <w:p w14:paraId="3F2FFE75" w14:textId="77777777" w:rsidR="004860AB" w:rsidRDefault="004860AB" w:rsidP="004860AB">
            <w:pPr>
              <w:spacing w:before="20" w:after="20"/>
              <w:ind w:left="34"/>
              <w:rPr>
                <w:rFonts w:eastAsiaTheme="minorEastAsia"/>
                <w:sz w:val="16"/>
                <w:szCs w:val="16"/>
                <w:lang w:eastAsia="en-US"/>
              </w:rPr>
            </w:pPr>
          </w:p>
        </w:tc>
        <w:tc>
          <w:tcPr>
            <w:tcW w:w="2379" w:type="dxa"/>
            <w:tcBorders>
              <w:bottom w:val="single" w:sz="4" w:space="0" w:color="auto"/>
            </w:tcBorders>
          </w:tcPr>
          <w:p w14:paraId="2F41B1C9" w14:textId="77777777" w:rsidR="004860AB" w:rsidRPr="001B7431" w:rsidRDefault="004860AB" w:rsidP="004860AB">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tcBorders>
              <w:bottom w:val="single" w:sz="4" w:space="0" w:color="auto"/>
            </w:tcBorders>
            <w:vAlign w:val="center"/>
          </w:tcPr>
          <w:p w14:paraId="064E3959" w14:textId="77777777" w:rsidR="004860AB" w:rsidRDefault="004860AB" w:rsidP="004860AB">
            <w:pPr>
              <w:jc w:val="right"/>
              <w:rPr>
                <w:color w:val="000000"/>
                <w:sz w:val="16"/>
                <w:szCs w:val="16"/>
              </w:rPr>
            </w:pPr>
            <w:r>
              <w:rPr>
                <w:color w:val="000000"/>
                <w:sz w:val="16"/>
                <w:szCs w:val="16"/>
              </w:rPr>
              <w:t>48</w:t>
            </w:r>
          </w:p>
        </w:tc>
        <w:tc>
          <w:tcPr>
            <w:tcW w:w="496" w:type="dxa"/>
            <w:tcBorders>
              <w:bottom w:val="single" w:sz="4" w:space="0" w:color="auto"/>
            </w:tcBorders>
            <w:vAlign w:val="center"/>
          </w:tcPr>
          <w:p w14:paraId="01FAD032" w14:textId="77777777" w:rsidR="004860AB" w:rsidRDefault="004860AB" w:rsidP="004860AB">
            <w:pPr>
              <w:jc w:val="right"/>
              <w:rPr>
                <w:color w:val="000000"/>
                <w:sz w:val="16"/>
                <w:szCs w:val="16"/>
              </w:rPr>
            </w:pPr>
            <w:r>
              <w:rPr>
                <w:color w:val="000000"/>
                <w:sz w:val="16"/>
                <w:szCs w:val="16"/>
              </w:rPr>
              <w:t>3.5</w:t>
            </w:r>
          </w:p>
        </w:tc>
        <w:tc>
          <w:tcPr>
            <w:tcW w:w="1043" w:type="dxa"/>
            <w:tcBorders>
              <w:bottom w:val="single" w:sz="4" w:space="0" w:color="auto"/>
              <w:right w:val="single" w:sz="4" w:space="0" w:color="auto"/>
            </w:tcBorders>
            <w:vAlign w:val="center"/>
          </w:tcPr>
          <w:p w14:paraId="0E11BEDF" w14:textId="77777777" w:rsidR="004860AB" w:rsidRDefault="004860AB" w:rsidP="004860AB">
            <w:pPr>
              <w:jc w:val="right"/>
              <w:rPr>
                <w:color w:val="000000"/>
                <w:sz w:val="16"/>
                <w:szCs w:val="16"/>
              </w:rPr>
            </w:pPr>
            <w:r>
              <w:rPr>
                <w:color w:val="000000"/>
                <w:sz w:val="16"/>
                <w:szCs w:val="16"/>
              </w:rPr>
              <w:t>(2.3, 4.7)</w:t>
            </w:r>
          </w:p>
        </w:tc>
        <w:tc>
          <w:tcPr>
            <w:tcW w:w="569" w:type="dxa"/>
            <w:tcBorders>
              <w:left w:val="single" w:sz="4" w:space="0" w:color="auto"/>
              <w:bottom w:val="single" w:sz="4" w:space="0" w:color="auto"/>
            </w:tcBorders>
            <w:vAlign w:val="center"/>
          </w:tcPr>
          <w:p w14:paraId="59D42709" w14:textId="77777777" w:rsidR="004860AB" w:rsidRDefault="004860AB" w:rsidP="004860AB">
            <w:pPr>
              <w:jc w:val="right"/>
              <w:rPr>
                <w:color w:val="000000"/>
                <w:sz w:val="16"/>
                <w:szCs w:val="16"/>
              </w:rPr>
            </w:pPr>
            <w:r>
              <w:rPr>
                <w:color w:val="000000"/>
                <w:sz w:val="16"/>
                <w:szCs w:val="16"/>
              </w:rPr>
              <w:t>19</w:t>
            </w:r>
          </w:p>
        </w:tc>
        <w:tc>
          <w:tcPr>
            <w:tcW w:w="567" w:type="dxa"/>
            <w:tcBorders>
              <w:bottom w:val="single" w:sz="4" w:space="0" w:color="auto"/>
            </w:tcBorders>
            <w:vAlign w:val="center"/>
          </w:tcPr>
          <w:p w14:paraId="3AEA73B0" w14:textId="77777777" w:rsidR="004860AB" w:rsidRDefault="004860AB" w:rsidP="004860AB">
            <w:pPr>
              <w:jc w:val="right"/>
              <w:rPr>
                <w:color w:val="000000"/>
                <w:sz w:val="16"/>
                <w:szCs w:val="16"/>
              </w:rPr>
            </w:pPr>
            <w:r>
              <w:rPr>
                <w:color w:val="000000"/>
                <w:sz w:val="16"/>
                <w:szCs w:val="16"/>
              </w:rPr>
              <w:t>2.4</w:t>
            </w:r>
          </w:p>
        </w:tc>
        <w:tc>
          <w:tcPr>
            <w:tcW w:w="1123" w:type="dxa"/>
            <w:tcBorders>
              <w:bottom w:val="single" w:sz="4" w:space="0" w:color="auto"/>
              <w:right w:val="single" w:sz="4" w:space="0" w:color="auto"/>
            </w:tcBorders>
            <w:vAlign w:val="center"/>
          </w:tcPr>
          <w:p w14:paraId="4F650499" w14:textId="77777777" w:rsidR="004860AB" w:rsidRDefault="004860AB" w:rsidP="004860AB">
            <w:pPr>
              <w:jc w:val="right"/>
              <w:rPr>
                <w:color w:val="000000"/>
                <w:sz w:val="16"/>
                <w:szCs w:val="16"/>
              </w:rPr>
            </w:pPr>
            <w:r>
              <w:rPr>
                <w:color w:val="000000"/>
                <w:sz w:val="16"/>
                <w:szCs w:val="16"/>
              </w:rPr>
              <w:t>(1.3, 3.4)</w:t>
            </w:r>
          </w:p>
        </w:tc>
        <w:tc>
          <w:tcPr>
            <w:tcW w:w="536" w:type="dxa"/>
            <w:tcBorders>
              <w:left w:val="single" w:sz="4" w:space="0" w:color="auto"/>
              <w:bottom w:val="single" w:sz="4" w:space="0" w:color="auto"/>
            </w:tcBorders>
            <w:vAlign w:val="center"/>
          </w:tcPr>
          <w:p w14:paraId="716E3D5E" w14:textId="77777777" w:rsidR="004860AB" w:rsidRDefault="004860AB" w:rsidP="004860AB">
            <w:pPr>
              <w:jc w:val="right"/>
              <w:rPr>
                <w:color w:val="000000"/>
                <w:sz w:val="16"/>
                <w:szCs w:val="16"/>
              </w:rPr>
            </w:pPr>
            <w:r>
              <w:rPr>
                <w:color w:val="000000"/>
                <w:sz w:val="16"/>
                <w:szCs w:val="16"/>
              </w:rPr>
              <w:t>11</w:t>
            </w:r>
          </w:p>
        </w:tc>
        <w:tc>
          <w:tcPr>
            <w:tcW w:w="576" w:type="dxa"/>
            <w:tcBorders>
              <w:bottom w:val="single" w:sz="4" w:space="0" w:color="auto"/>
            </w:tcBorders>
            <w:vAlign w:val="center"/>
          </w:tcPr>
          <w:p w14:paraId="2D352C8C" w14:textId="77777777" w:rsidR="004860AB" w:rsidRDefault="004860AB" w:rsidP="004860AB">
            <w:pPr>
              <w:jc w:val="right"/>
              <w:rPr>
                <w:color w:val="000000"/>
                <w:sz w:val="16"/>
                <w:szCs w:val="16"/>
              </w:rPr>
            </w:pPr>
            <w:r>
              <w:rPr>
                <w:color w:val="000000"/>
                <w:sz w:val="16"/>
                <w:szCs w:val="16"/>
              </w:rPr>
              <w:t>1.8</w:t>
            </w:r>
          </w:p>
        </w:tc>
        <w:tc>
          <w:tcPr>
            <w:tcW w:w="1123" w:type="dxa"/>
            <w:tcBorders>
              <w:bottom w:val="single" w:sz="4" w:space="0" w:color="auto"/>
              <w:right w:val="single" w:sz="4" w:space="0" w:color="auto"/>
            </w:tcBorders>
            <w:vAlign w:val="center"/>
          </w:tcPr>
          <w:p w14:paraId="6BFAB1D3" w14:textId="77777777" w:rsidR="004860AB" w:rsidRDefault="004860AB" w:rsidP="004860AB">
            <w:pPr>
              <w:jc w:val="right"/>
              <w:rPr>
                <w:color w:val="000000"/>
                <w:sz w:val="16"/>
                <w:szCs w:val="16"/>
              </w:rPr>
            </w:pPr>
            <w:r>
              <w:rPr>
                <w:color w:val="000000"/>
                <w:sz w:val="16"/>
                <w:szCs w:val="16"/>
              </w:rPr>
              <w:t>(0.9, 2.6)</w:t>
            </w:r>
          </w:p>
        </w:tc>
        <w:tc>
          <w:tcPr>
            <w:tcW w:w="536" w:type="dxa"/>
            <w:tcBorders>
              <w:left w:val="single" w:sz="4" w:space="0" w:color="auto"/>
              <w:bottom w:val="single" w:sz="4" w:space="0" w:color="auto"/>
            </w:tcBorders>
            <w:vAlign w:val="center"/>
          </w:tcPr>
          <w:p w14:paraId="0B84E9FC" w14:textId="77777777" w:rsidR="004860AB" w:rsidRDefault="004860AB" w:rsidP="004860AB">
            <w:pPr>
              <w:jc w:val="right"/>
              <w:rPr>
                <w:color w:val="000000"/>
                <w:sz w:val="16"/>
                <w:szCs w:val="16"/>
              </w:rPr>
            </w:pPr>
            <w:r>
              <w:rPr>
                <w:color w:val="000000"/>
                <w:sz w:val="16"/>
                <w:szCs w:val="16"/>
              </w:rPr>
              <w:t>11</w:t>
            </w:r>
          </w:p>
        </w:tc>
        <w:tc>
          <w:tcPr>
            <w:tcW w:w="567" w:type="dxa"/>
            <w:tcBorders>
              <w:bottom w:val="single" w:sz="4" w:space="0" w:color="auto"/>
            </w:tcBorders>
            <w:vAlign w:val="center"/>
          </w:tcPr>
          <w:p w14:paraId="0511259E" w14:textId="77777777" w:rsidR="004860AB" w:rsidRDefault="004860AB" w:rsidP="004860AB">
            <w:pPr>
              <w:jc w:val="right"/>
              <w:rPr>
                <w:color w:val="000000"/>
                <w:sz w:val="16"/>
                <w:szCs w:val="16"/>
              </w:rPr>
            </w:pPr>
            <w:r>
              <w:rPr>
                <w:color w:val="000000"/>
                <w:sz w:val="16"/>
                <w:szCs w:val="16"/>
              </w:rPr>
              <w:t>2.2</w:t>
            </w:r>
          </w:p>
        </w:tc>
        <w:tc>
          <w:tcPr>
            <w:tcW w:w="1123" w:type="dxa"/>
            <w:tcBorders>
              <w:bottom w:val="single" w:sz="4" w:space="0" w:color="auto"/>
            </w:tcBorders>
            <w:vAlign w:val="center"/>
          </w:tcPr>
          <w:p w14:paraId="7DDCD34B" w14:textId="77777777" w:rsidR="004860AB" w:rsidRDefault="004860AB" w:rsidP="004860AB">
            <w:pPr>
              <w:jc w:val="right"/>
              <w:rPr>
                <w:color w:val="000000"/>
                <w:sz w:val="16"/>
                <w:szCs w:val="16"/>
              </w:rPr>
            </w:pPr>
            <w:r>
              <w:rPr>
                <w:color w:val="000000"/>
                <w:sz w:val="16"/>
                <w:szCs w:val="16"/>
              </w:rPr>
              <w:t>(0.8, 3.5)</w:t>
            </w:r>
          </w:p>
        </w:tc>
      </w:tr>
      <w:tr w:rsidR="004860AB" w:rsidRPr="007B4EF8" w14:paraId="5A5F3524" w14:textId="77777777" w:rsidTr="00793719">
        <w:trPr>
          <w:jc w:val="center"/>
        </w:trPr>
        <w:tc>
          <w:tcPr>
            <w:tcW w:w="2127" w:type="dxa"/>
            <w:tcBorders>
              <w:top w:val="single" w:sz="4" w:space="0" w:color="auto"/>
            </w:tcBorders>
          </w:tcPr>
          <w:p w14:paraId="548191BF" w14:textId="77777777" w:rsidR="004860AB" w:rsidRDefault="004860AB" w:rsidP="004860AB">
            <w:pPr>
              <w:keepNext/>
              <w:spacing w:before="20" w:after="20"/>
              <w:ind w:left="34"/>
              <w:rPr>
                <w:rFonts w:eastAsiaTheme="minorEastAsia"/>
                <w:sz w:val="16"/>
                <w:szCs w:val="16"/>
                <w:lang w:eastAsia="en-US"/>
              </w:rPr>
            </w:pPr>
            <w:r>
              <w:rPr>
                <w:rFonts w:eastAsiaTheme="minorEastAsia"/>
                <w:sz w:val="16"/>
                <w:szCs w:val="16"/>
                <w:lang w:eastAsia="en-US"/>
              </w:rPr>
              <w:t>At least 6 monthly</w:t>
            </w:r>
          </w:p>
        </w:tc>
        <w:tc>
          <w:tcPr>
            <w:tcW w:w="2379" w:type="dxa"/>
            <w:tcBorders>
              <w:top w:val="single" w:sz="4" w:space="0" w:color="auto"/>
            </w:tcBorders>
          </w:tcPr>
          <w:p w14:paraId="09C128B4" w14:textId="77777777" w:rsidR="004860AB" w:rsidRPr="001B7431" w:rsidRDefault="004860AB" w:rsidP="004860AB">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tcBorders>
              <w:top w:val="single" w:sz="4" w:space="0" w:color="auto"/>
            </w:tcBorders>
            <w:vAlign w:val="center"/>
          </w:tcPr>
          <w:p w14:paraId="52432C79" w14:textId="77777777" w:rsidR="004860AB" w:rsidRDefault="004860AB" w:rsidP="004860AB">
            <w:pPr>
              <w:jc w:val="right"/>
              <w:rPr>
                <w:color w:val="000000"/>
                <w:sz w:val="16"/>
                <w:szCs w:val="16"/>
              </w:rPr>
            </w:pPr>
            <w:r>
              <w:rPr>
                <w:color w:val="000000"/>
                <w:sz w:val="16"/>
                <w:szCs w:val="16"/>
              </w:rPr>
              <w:t>1626</w:t>
            </w:r>
          </w:p>
        </w:tc>
        <w:tc>
          <w:tcPr>
            <w:tcW w:w="496" w:type="dxa"/>
            <w:tcBorders>
              <w:top w:val="single" w:sz="4" w:space="0" w:color="auto"/>
            </w:tcBorders>
            <w:vAlign w:val="center"/>
          </w:tcPr>
          <w:p w14:paraId="760E08CD" w14:textId="77777777" w:rsidR="004860AB" w:rsidRDefault="004860AB" w:rsidP="004860AB">
            <w:pPr>
              <w:jc w:val="right"/>
              <w:rPr>
                <w:color w:val="000000"/>
                <w:sz w:val="16"/>
                <w:szCs w:val="16"/>
              </w:rPr>
            </w:pPr>
            <w:r>
              <w:rPr>
                <w:color w:val="000000"/>
                <w:sz w:val="16"/>
                <w:szCs w:val="16"/>
              </w:rPr>
              <w:t>95.4</w:t>
            </w:r>
          </w:p>
        </w:tc>
        <w:tc>
          <w:tcPr>
            <w:tcW w:w="1043" w:type="dxa"/>
            <w:tcBorders>
              <w:top w:val="single" w:sz="4" w:space="0" w:color="auto"/>
              <w:right w:val="single" w:sz="4" w:space="0" w:color="auto"/>
            </w:tcBorders>
            <w:vAlign w:val="center"/>
          </w:tcPr>
          <w:p w14:paraId="1374A16D" w14:textId="77777777" w:rsidR="004860AB" w:rsidRDefault="004860AB" w:rsidP="004860AB">
            <w:pPr>
              <w:jc w:val="right"/>
              <w:rPr>
                <w:color w:val="000000"/>
                <w:sz w:val="16"/>
                <w:szCs w:val="16"/>
              </w:rPr>
            </w:pPr>
            <w:r>
              <w:rPr>
                <w:color w:val="000000"/>
                <w:sz w:val="16"/>
                <w:szCs w:val="16"/>
              </w:rPr>
              <w:t>(94.1, 96.7)</w:t>
            </w:r>
          </w:p>
        </w:tc>
        <w:tc>
          <w:tcPr>
            <w:tcW w:w="569" w:type="dxa"/>
            <w:tcBorders>
              <w:top w:val="single" w:sz="4" w:space="0" w:color="auto"/>
              <w:left w:val="single" w:sz="4" w:space="0" w:color="auto"/>
            </w:tcBorders>
            <w:vAlign w:val="center"/>
          </w:tcPr>
          <w:p w14:paraId="7C619D4C" w14:textId="77777777" w:rsidR="004860AB" w:rsidRDefault="004860AB" w:rsidP="004860AB">
            <w:pPr>
              <w:jc w:val="right"/>
              <w:rPr>
                <w:color w:val="000000"/>
                <w:sz w:val="16"/>
                <w:szCs w:val="16"/>
              </w:rPr>
            </w:pPr>
            <w:r>
              <w:rPr>
                <w:color w:val="000000"/>
                <w:sz w:val="16"/>
                <w:szCs w:val="16"/>
              </w:rPr>
              <w:t>1013</w:t>
            </w:r>
          </w:p>
        </w:tc>
        <w:tc>
          <w:tcPr>
            <w:tcW w:w="567" w:type="dxa"/>
            <w:tcBorders>
              <w:top w:val="single" w:sz="4" w:space="0" w:color="auto"/>
            </w:tcBorders>
            <w:vAlign w:val="center"/>
          </w:tcPr>
          <w:p w14:paraId="47DC707C" w14:textId="77777777" w:rsidR="004860AB" w:rsidRDefault="004860AB" w:rsidP="004860AB">
            <w:pPr>
              <w:jc w:val="right"/>
              <w:rPr>
                <w:color w:val="000000"/>
                <w:sz w:val="16"/>
                <w:szCs w:val="16"/>
              </w:rPr>
            </w:pPr>
            <w:r>
              <w:rPr>
                <w:color w:val="000000"/>
                <w:sz w:val="16"/>
                <w:szCs w:val="16"/>
              </w:rPr>
              <w:t>95.0</w:t>
            </w:r>
          </w:p>
        </w:tc>
        <w:tc>
          <w:tcPr>
            <w:tcW w:w="1123" w:type="dxa"/>
            <w:tcBorders>
              <w:top w:val="single" w:sz="4" w:space="0" w:color="auto"/>
              <w:right w:val="single" w:sz="4" w:space="0" w:color="auto"/>
            </w:tcBorders>
            <w:vAlign w:val="center"/>
          </w:tcPr>
          <w:p w14:paraId="6ED412E5" w14:textId="77777777" w:rsidR="004860AB" w:rsidRDefault="004860AB" w:rsidP="004860AB">
            <w:pPr>
              <w:jc w:val="right"/>
              <w:rPr>
                <w:color w:val="000000"/>
                <w:sz w:val="16"/>
                <w:szCs w:val="16"/>
              </w:rPr>
            </w:pPr>
            <w:r>
              <w:rPr>
                <w:color w:val="000000"/>
                <w:sz w:val="16"/>
                <w:szCs w:val="16"/>
              </w:rPr>
              <w:t>(93.4, 96.5)</w:t>
            </w:r>
          </w:p>
        </w:tc>
        <w:tc>
          <w:tcPr>
            <w:tcW w:w="536" w:type="dxa"/>
            <w:tcBorders>
              <w:top w:val="single" w:sz="4" w:space="0" w:color="auto"/>
              <w:left w:val="single" w:sz="4" w:space="0" w:color="auto"/>
            </w:tcBorders>
            <w:vAlign w:val="center"/>
          </w:tcPr>
          <w:p w14:paraId="58E5D0D4" w14:textId="77777777" w:rsidR="004860AB" w:rsidRDefault="004860AB" w:rsidP="004860AB">
            <w:pPr>
              <w:jc w:val="right"/>
              <w:rPr>
                <w:color w:val="000000"/>
                <w:sz w:val="16"/>
                <w:szCs w:val="16"/>
              </w:rPr>
            </w:pPr>
            <w:r>
              <w:rPr>
                <w:color w:val="000000"/>
                <w:sz w:val="16"/>
                <w:szCs w:val="16"/>
              </w:rPr>
              <w:t>853</w:t>
            </w:r>
          </w:p>
        </w:tc>
        <w:tc>
          <w:tcPr>
            <w:tcW w:w="576" w:type="dxa"/>
            <w:tcBorders>
              <w:top w:val="single" w:sz="4" w:space="0" w:color="auto"/>
            </w:tcBorders>
            <w:vAlign w:val="center"/>
          </w:tcPr>
          <w:p w14:paraId="038935C1" w14:textId="77777777" w:rsidR="004860AB" w:rsidRDefault="004860AB" w:rsidP="004860AB">
            <w:pPr>
              <w:jc w:val="right"/>
              <w:rPr>
                <w:color w:val="000000"/>
                <w:sz w:val="16"/>
                <w:szCs w:val="16"/>
              </w:rPr>
            </w:pPr>
            <w:r>
              <w:rPr>
                <w:color w:val="000000"/>
                <w:sz w:val="16"/>
                <w:szCs w:val="16"/>
              </w:rPr>
              <w:t>96.5</w:t>
            </w:r>
          </w:p>
        </w:tc>
        <w:tc>
          <w:tcPr>
            <w:tcW w:w="1123" w:type="dxa"/>
            <w:tcBorders>
              <w:top w:val="single" w:sz="4" w:space="0" w:color="auto"/>
              <w:right w:val="single" w:sz="4" w:space="0" w:color="auto"/>
            </w:tcBorders>
            <w:vAlign w:val="center"/>
          </w:tcPr>
          <w:p w14:paraId="41DFCD55" w14:textId="77777777" w:rsidR="004860AB" w:rsidRDefault="004860AB" w:rsidP="004860AB">
            <w:pPr>
              <w:jc w:val="right"/>
              <w:rPr>
                <w:color w:val="000000"/>
                <w:sz w:val="16"/>
                <w:szCs w:val="16"/>
              </w:rPr>
            </w:pPr>
            <w:r>
              <w:rPr>
                <w:color w:val="000000"/>
                <w:sz w:val="16"/>
                <w:szCs w:val="16"/>
              </w:rPr>
              <w:t>(95.2, 97.8)</w:t>
            </w:r>
          </w:p>
        </w:tc>
        <w:tc>
          <w:tcPr>
            <w:tcW w:w="536" w:type="dxa"/>
            <w:tcBorders>
              <w:top w:val="single" w:sz="4" w:space="0" w:color="auto"/>
              <w:left w:val="single" w:sz="4" w:space="0" w:color="auto"/>
            </w:tcBorders>
            <w:vAlign w:val="center"/>
          </w:tcPr>
          <w:p w14:paraId="41D513C4" w14:textId="77777777" w:rsidR="004860AB" w:rsidRDefault="004860AB" w:rsidP="004860AB">
            <w:pPr>
              <w:jc w:val="right"/>
              <w:rPr>
                <w:color w:val="000000"/>
                <w:sz w:val="16"/>
                <w:szCs w:val="16"/>
              </w:rPr>
            </w:pPr>
            <w:r>
              <w:rPr>
                <w:color w:val="000000"/>
                <w:sz w:val="16"/>
                <w:szCs w:val="16"/>
              </w:rPr>
              <w:t>772</w:t>
            </w:r>
          </w:p>
        </w:tc>
        <w:tc>
          <w:tcPr>
            <w:tcW w:w="567" w:type="dxa"/>
            <w:tcBorders>
              <w:top w:val="single" w:sz="4" w:space="0" w:color="auto"/>
            </w:tcBorders>
            <w:vAlign w:val="center"/>
          </w:tcPr>
          <w:p w14:paraId="26641089" w14:textId="77777777" w:rsidR="004860AB" w:rsidRDefault="004860AB" w:rsidP="004860AB">
            <w:pPr>
              <w:jc w:val="right"/>
              <w:rPr>
                <w:color w:val="000000"/>
                <w:sz w:val="16"/>
                <w:szCs w:val="16"/>
              </w:rPr>
            </w:pPr>
            <w:r>
              <w:rPr>
                <w:color w:val="000000"/>
                <w:sz w:val="16"/>
                <w:szCs w:val="16"/>
              </w:rPr>
              <w:t>94.9</w:t>
            </w:r>
          </w:p>
        </w:tc>
        <w:tc>
          <w:tcPr>
            <w:tcW w:w="1123" w:type="dxa"/>
            <w:tcBorders>
              <w:top w:val="single" w:sz="4" w:space="0" w:color="auto"/>
            </w:tcBorders>
            <w:vAlign w:val="center"/>
          </w:tcPr>
          <w:p w14:paraId="67DB1270" w14:textId="77777777" w:rsidR="004860AB" w:rsidRDefault="004860AB" w:rsidP="004860AB">
            <w:pPr>
              <w:jc w:val="right"/>
              <w:rPr>
                <w:color w:val="000000"/>
                <w:sz w:val="16"/>
                <w:szCs w:val="16"/>
              </w:rPr>
            </w:pPr>
            <w:r>
              <w:rPr>
                <w:color w:val="000000"/>
                <w:sz w:val="16"/>
                <w:szCs w:val="16"/>
              </w:rPr>
              <w:t>(92.6, 97.1)</w:t>
            </w:r>
          </w:p>
        </w:tc>
      </w:tr>
      <w:tr w:rsidR="004860AB" w:rsidRPr="007B4EF8" w14:paraId="36B5252E" w14:textId="77777777" w:rsidTr="00793719">
        <w:trPr>
          <w:jc w:val="center"/>
        </w:trPr>
        <w:tc>
          <w:tcPr>
            <w:tcW w:w="2127" w:type="dxa"/>
          </w:tcPr>
          <w:p w14:paraId="118699D8" w14:textId="77777777" w:rsidR="004860AB" w:rsidRDefault="004860AB" w:rsidP="004860AB">
            <w:pPr>
              <w:keepNext/>
              <w:spacing w:before="20" w:after="20"/>
              <w:ind w:left="34"/>
              <w:rPr>
                <w:rFonts w:eastAsiaTheme="minorEastAsia"/>
                <w:sz w:val="16"/>
                <w:szCs w:val="16"/>
                <w:lang w:eastAsia="en-US"/>
              </w:rPr>
            </w:pPr>
          </w:p>
        </w:tc>
        <w:tc>
          <w:tcPr>
            <w:tcW w:w="2379" w:type="dxa"/>
          </w:tcPr>
          <w:p w14:paraId="73C8BF4B" w14:textId="77777777" w:rsidR="004860AB" w:rsidRPr="001B7431" w:rsidRDefault="004860AB" w:rsidP="004860AB">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vAlign w:val="center"/>
          </w:tcPr>
          <w:p w14:paraId="775F998D" w14:textId="77777777" w:rsidR="004860AB" w:rsidRDefault="004860AB" w:rsidP="004860AB">
            <w:pPr>
              <w:jc w:val="right"/>
              <w:rPr>
                <w:color w:val="000000"/>
                <w:sz w:val="16"/>
                <w:szCs w:val="16"/>
              </w:rPr>
            </w:pPr>
            <w:r>
              <w:rPr>
                <w:color w:val="000000"/>
                <w:sz w:val="16"/>
                <w:szCs w:val="16"/>
              </w:rPr>
              <w:t>66</w:t>
            </w:r>
          </w:p>
        </w:tc>
        <w:tc>
          <w:tcPr>
            <w:tcW w:w="496" w:type="dxa"/>
            <w:vAlign w:val="center"/>
          </w:tcPr>
          <w:p w14:paraId="2992B96C" w14:textId="77777777" w:rsidR="004860AB" w:rsidRDefault="004860AB" w:rsidP="004860AB">
            <w:pPr>
              <w:jc w:val="right"/>
              <w:rPr>
                <w:color w:val="000000"/>
                <w:sz w:val="16"/>
                <w:szCs w:val="16"/>
              </w:rPr>
            </w:pPr>
            <w:r>
              <w:rPr>
                <w:color w:val="000000"/>
                <w:sz w:val="16"/>
                <w:szCs w:val="16"/>
              </w:rPr>
              <w:t>3.9</w:t>
            </w:r>
          </w:p>
        </w:tc>
        <w:tc>
          <w:tcPr>
            <w:tcW w:w="1043" w:type="dxa"/>
            <w:tcBorders>
              <w:right w:val="single" w:sz="4" w:space="0" w:color="auto"/>
            </w:tcBorders>
            <w:vAlign w:val="center"/>
          </w:tcPr>
          <w:p w14:paraId="7CE0402B" w14:textId="77777777" w:rsidR="004860AB" w:rsidRDefault="004860AB" w:rsidP="004860AB">
            <w:pPr>
              <w:jc w:val="right"/>
              <w:rPr>
                <w:color w:val="000000"/>
                <w:sz w:val="16"/>
                <w:szCs w:val="16"/>
              </w:rPr>
            </w:pPr>
            <w:r>
              <w:rPr>
                <w:color w:val="000000"/>
                <w:sz w:val="16"/>
                <w:szCs w:val="16"/>
              </w:rPr>
              <w:t>(2.6, 5.1)</w:t>
            </w:r>
          </w:p>
        </w:tc>
        <w:tc>
          <w:tcPr>
            <w:tcW w:w="569" w:type="dxa"/>
            <w:tcBorders>
              <w:left w:val="single" w:sz="4" w:space="0" w:color="auto"/>
            </w:tcBorders>
            <w:vAlign w:val="center"/>
          </w:tcPr>
          <w:p w14:paraId="420AACF4" w14:textId="77777777" w:rsidR="004860AB" w:rsidRDefault="004860AB" w:rsidP="004860AB">
            <w:pPr>
              <w:jc w:val="right"/>
              <w:rPr>
                <w:color w:val="000000"/>
                <w:sz w:val="16"/>
                <w:szCs w:val="16"/>
              </w:rPr>
            </w:pPr>
            <w:r>
              <w:rPr>
                <w:color w:val="000000"/>
                <w:sz w:val="16"/>
                <w:szCs w:val="16"/>
              </w:rPr>
              <w:t>45</w:t>
            </w:r>
          </w:p>
        </w:tc>
        <w:tc>
          <w:tcPr>
            <w:tcW w:w="567" w:type="dxa"/>
            <w:vAlign w:val="center"/>
          </w:tcPr>
          <w:p w14:paraId="2E99E5E2" w14:textId="77777777" w:rsidR="004860AB" w:rsidRDefault="004860AB" w:rsidP="004860AB">
            <w:pPr>
              <w:jc w:val="right"/>
              <w:rPr>
                <w:color w:val="000000"/>
                <w:sz w:val="16"/>
                <w:szCs w:val="16"/>
              </w:rPr>
            </w:pPr>
            <w:r>
              <w:rPr>
                <w:color w:val="000000"/>
                <w:sz w:val="16"/>
                <w:szCs w:val="16"/>
              </w:rPr>
              <w:t>4.2</w:t>
            </w:r>
          </w:p>
        </w:tc>
        <w:tc>
          <w:tcPr>
            <w:tcW w:w="1123" w:type="dxa"/>
            <w:tcBorders>
              <w:right w:val="single" w:sz="4" w:space="0" w:color="auto"/>
            </w:tcBorders>
            <w:vAlign w:val="center"/>
          </w:tcPr>
          <w:p w14:paraId="6114CF63" w14:textId="77777777" w:rsidR="004860AB" w:rsidRDefault="004860AB" w:rsidP="004860AB">
            <w:pPr>
              <w:jc w:val="right"/>
              <w:rPr>
                <w:color w:val="000000"/>
                <w:sz w:val="16"/>
                <w:szCs w:val="16"/>
              </w:rPr>
            </w:pPr>
            <w:r>
              <w:rPr>
                <w:color w:val="000000"/>
                <w:sz w:val="16"/>
                <w:szCs w:val="16"/>
              </w:rPr>
              <w:t>(2.8, 5.6)</w:t>
            </w:r>
          </w:p>
        </w:tc>
        <w:tc>
          <w:tcPr>
            <w:tcW w:w="536" w:type="dxa"/>
            <w:tcBorders>
              <w:left w:val="single" w:sz="4" w:space="0" w:color="auto"/>
            </w:tcBorders>
            <w:vAlign w:val="center"/>
          </w:tcPr>
          <w:p w14:paraId="76650352" w14:textId="77777777" w:rsidR="004860AB" w:rsidRDefault="004860AB" w:rsidP="004860AB">
            <w:pPr>
              <w:jc w:val="right"/>
              <w:rPr>
                <w:color w:val="000000"/>
                <w:sz w:val="16"/>
                <w:szCs w:val="16"/>
              </w:rPr>
            </w:pPr>
            <w:r>
              <w:rPr>
                <w:color w:val="000000"/>
                <w:sz w:val="16"/>
                <w:szCs w:val="16"/>
              </w:rPr>
              <w:t>26</w:t>
            </w:r>
          </w:p>
        </w:tc>
        <w:tc>
          <w:tcPr>
            <w:tcW w:w="576" w:type="dxa"/>
            <w:vAlign w:val="center"/>
          </w:tcPr>
          <w:p w14:paraId="1C3D5262" w14:textId="77777777" w:rsidR="004860AB" w:rsidRDefault="004860AB" w:rsidP="004860AB">
            <w:pPr>
              <w:jc w:val="right"/>
              <w:rPr>
                <w:color w:val="000000"/>
                <w:sz w:val="16"/>
                <w:szCs w:val="16"/>
              </w:rPr>
            </w:pPr>
            <w:r>
              <w:rPr>
                <w:color w:val="000000"/>
                <w:sz w:val="16"/>
                <w:szCs w:val="16"/>
              </w:rPr>
              <w:t>3.0</w:t>
            </w:r>
          </w:p>
        </w:tc>
        <w:tc>
          <w:tcPr>
            <w:tcW w:w="1123" w:type="dxa"/>
            <w:tcBorders>
              <w:right w:val="single" w:sz="4" w:space="0" w:color="auto"/>
            </w:tcBorders>
            <w:vAlign w:val="center"/>
          </w:tcPr>
          <w:p w14:paraId="778E3B29" w14:textId="77777777" w:rsidR="004860AB" w:rsidRDefault="004860AB" w:rsidP="004860AB">
            <w:pPr>
              <w:jc w:val="right"/>
              <w:rPr>
                <w:color w:val="000000"/>
                <w:sz w:val="16"/>
                <w:szCs w:val="16"/>
              </w:rPr>
            </w:pPr>
            <w:r>
              <w:rPr>
                <w:color w:val="000000"/>
                <w:sz w:val="16"/>
                <w:szCs w:val="16"/>
              </w:rPr>
              <w:t>(1.7, 4.2)</w:t>
            </w:r>
          </w:p>
        </w:tc>
        <w:tc>
          <w:tcPr>
            <w:tcW w:w="536" w:type="dxa"/>
            <w:tcBorders>
              <w:left w:val="single" w:sz="4" w:space="0" w:color="auto"/>
            </w:tcBorders>
            <w:vAlign w:val="center"/>
          </w:tcPr>
          <w:p w14:paraId="268091A0" w14:textId="77777777" w:rsidR="004860AB" w:rsidRDefault="004860AB" w:rsidP="004860AB">
            <w:pPr>
              <w:jc w:val="right"/>
              <w:rPr>
                <w:color w:val="000000"/>
                <w:sz w:val="16"/>
                <w:szCs w:val="16"/>
              </w:rPr>
            </w:pPr>
            <w:r>
              <w:rPr>
                <w:color w:val="000000"/>
                <w:sz w:val="16"/>
                <w:szCs w:val="16"/>
              </w:rPr>
              <w:t>29</w:t>
            </w:r>
          </w:p>
        </w:tc>
        <w:tc>
          <w:tcPr>
            <w:tcW w:w="567" w:type="dxa"/>
            <w:vAlign w:val="center"/>
          </w:tcPr>
          <w:p w14:paraId="2D5F792C" w14:textId="77777777" w:rsidR="004860AB" w:rsidRDefault="004860AB" w:rsidP="004860AB">
            <w:pPr>
              <w:jc w:val="right"/>
              <w:rPr>
                <w:color w:val="000000"/>
                <w:sz w:val="16"/>
                <w:szCs w:val="16"/>
              </w:rPr>
            </w:pPr>
            <w:r>
              <w:rPr>
                <w:color w:val="000000"/>
                <w:sz w:val="16"/>
                <w:szCs w:val="16"/>
              </w:rPr>
              <w:t>3.5</w:t>
            </w:r>
          </w:p>
        </w:tc>
        <w:tc>
          <w:tcPr>
            <w:tcW w:w="1123" w:type="dxa"/>
            <w:vAlign w:val="center"/>
          </w:tcPr>
          <w:p w14:paraId="42B862DA" w14:textId="77777777" w:rsidR="004860AB" w:rsidRDefault="004860AB" w:rsidP="004860AB">
            <w:pPr>
              <w:jc w:val="right"/>
              <w:rPr>
                <w:color w:val="000000"/>
                <w:sz w:val="16"/>
                <w:szCs w:val="16"/>
              </w:rPr>
            </w:pPr>
            <w:r>
              <w:rPr>
                <w:color w:val="000000"/>
                <w:sz w:val="16"/>
                <w:szCs w:val="16"/>
              </w:rPr>
              <w:t>(2.0, 5.0)</w:t>
            </w:r>
          </w:p>
        </w:tc>
      </w:tr>
      <w:tr w:rsidR="004860AB" w:rsidRPr="007B4EF8" w14:paraId="5A43091F" w14:textId="77777777" w:rsidTr="00793719">
        <w:trPr>
          <w:jc w:val="center"/>
        </w:trPr>
        <w:tc>
          <w:tcPr>
            <w:tcW w:w="2127" w:type="dxa"/>
          </w:tcPr>
          <w:p w14:paraId="5E602356" w14:textId="77777777" w:rsidR="004860AB" w:rsidRDefault="004860AB" w:rsidP="004860AB">
            <w:pPr>
              <w:keepNext/>
              <w:spacing w:before="20" w:after="20"/>
              <w:ind w:left="34"/>
              <w:rPr>
                <w:rFonts w:eastAsiaTheme="minorEastAsia"/>
                <w:sz w:val="16"/>
                <w:szCs w:val="16"/>
                <w:lang w:eastAsia="en-US"/>
              </w:rPr>
            </w:pPr>
          </w:p>
        </w:tc>
        <w:tc>
          <w:tcPr>
            <w:tcW w:w="2379" w:type="dxa"/>
          </w:tcPr>
          <w:p w14:paraId="29387AFA" w14:textId="77777777" w:rsidR="004860AB" w:rsidRPr="001B7431" w:rsidRDefault="004860AB" w:rsidP="004860AB">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vAlign w:val="center"/>
          </w:tcPr>
          <w:p w14:paraId="76D28F66" w14:textId="77777777" w:rsidR="004860AB" w:rsidRDefault="004860AB" w:rsidP="004860AB">
            <w:pPr>
              <w:jc w:val="right"/>
              <w:rPr>
                <w:color w:val="000000"/>
                <w:sz w:val="16"/>
                <w:szCs w:val="16"/>
              </w:rPr>
            </w:pPr>
            <w:r>
              <w:rPr>
                <w:color w:val="000000"/>
                <w:sz w:val="16"/>
                <w:szCs w:val="16"/>
              </w:rPr>
              <w:t>12</w:t>
            </w:r>
          </w:p>
        </w:tc>
        <w:tc>
          <w:tcPr>
            <w:tcW w:w="496" w:type="dxa"/>
            <w:vAlign w:val="center"/>
          </w:tcPr>
          <w:p w14:paraId="06D4404F" w14:textId="77777777" w:rsidR="004860AB" w:rsidRDefault="004860AB" w:rsidP="004860AB">
            <w:pPr>
              <w:jc w:val="right"/>
              <w:rPr>
                <w:color w:val="000000"/>
                <w:sz w:val="16"/>
                <w:szCs w:val="16"/>
              </w:rPr>
            </w:pPr>
            <w:r>
              <w:rPr>
                <w:color w:val="000000"/>
                <w:sz w:val="16"/>
                <w:szCs w:val="16"/>
              </w:rPr>
              <w:t>0.7</w:t>
            </w:r>
          </w:p>
        </w:tc>
        <w:tc>
          <w:tcPr>
            <w:tcW w:w="1043" w:type="dxa"/>
            <w:tcBorders>
              <w:right w:val="single" w:sz="4" w:space="0" w:color="auto"/>
            </w:tcBorders>
            <w:vAlign w:val="center"/>
          </w:tcPr>
          <w:p w14:paraId="17B3BABE" w14:textId="77777777" w:rsidR="004860AB" w:rsidRDefault="004860AB" w:rsidP="004860AB">
            <w:pPr>
              <w:jc w:val="right"/>
              <w:rPr>
                <w:color w:val="000000"/>
                <w:sz w:val="16"/>
                <w:szCs w:val="16"/>
              </w:rPr>
            </w:pPr>
            <w:r>
              <w:rPr>
                <w:color w:val="000000"/>
                <w:sz w:val="16"/>
                <w:szCs w:val="16"/>
              </w:rPr>
              <w:t>(0.3, 1.1)</w:t>
            </w:r>
          </w:p>
        </w:tc>
        <w:tc>
          <w:tcPr>
            <w:tcW w:w="569" w:type="dxa"/>
            <w:tcBorders>
              <w:left w:val="single" w:sz="4" w:space="0" w:color="auto"/>
            </w:tcBorders>
            <w:vAlign w:val="center"/>
          </w:tcPr>
          <w:p w14:paraId="650FCCA9" w14:textId="77777777" w:rsidR="004860AB" w:rsidRDefault="004860AB" w:rsidP="004860AB">
            <w:pPr>
              <w:jc w:val="right"/>
              <w:rPr>
                <w:color w:val="000000"/>
                <w:sz w:val="16"/>
                <w:szCs w:val="16"/>
              </w:rPr>
            </w:pPr>
            <w:r>
              <w:rPr>
                <w:color w:val="000000"/>
                <w:sz w:val="16"/>
                <w:szCs w:val="16"/>
              </w:rPr>
              <w:t>9</w:t>
            </w:r>
          </w:p>
        </w:tc>
        <w:tc>
          <w:tcPr>
            <w:tcW w:w="567" w:type="dxa"/>
            <w:vAlign w:val="center"/>
          </w:tcPr>
          <w:p w14:paraId="2A2B4DBB" w14:textId="77777777" w:rsidR="004860AB" w:rsidRDefault="004860AB" w:rsidP="004860AB">
            <w:pPr>
              <w:jc w:val="right"/>
              <w:rPr>
                <w:color w:val="000000"/>
                <w:sz w:val="16"/>
                <w:szCs w:val="16"/>
              </w:rPr>
            </w:pPr>
            <w:r>
              <w:rPr>
                <w:color w:val="000000"/>
                <w:sz w:val="16"/>
                <w:szCs w:val="16"/>
              </w:rPr>
              <w:t>0.8</w:t>
            </w:r>
          </w:p>
        </w:tc>
        <w:tc>
          <w:tcPr>
            <w:tcW w:w="1123" w:type="dxa"/>
            <w:tcBorders>
              <w:right w:val="single" w:sz="4" w:space="0" w:color="auto"/>
            </w:tcBorders>
            <w:vAlign w:val="center"/>
          </w:tcPr>
          <w:p w14:paraId="5A51CCB5" w14:textId="77777777" w:rsidR="004860AB" w:rsidRDefault="004860AB" w:rsidP="004860AB">
            <w:pPr>
              <w:jc w:val="right"/>
              <w:rPr>
                <w:color w:val="000000"/>
                <w:sz w:val="16"/>
                <w:szCs w:val="16"/>
              </w:rPr>
            </w:pPr>
            <w:r>
              <w:rPr>
                <w:color w:val="000000"/>
                <w:sz w:val="16"/>
                <w:szCs w:val="16"/>
              </w:rPr>
              <w:t>(0.2, 1.4)</w:t>
            </w:r>
          </w:p>
        </w:tc>
        <w:tc>
          <w:tcPr>
            <w:tcW w:w="536" w:type="dxa"/>
            <w:tcBorders>
              <w:left w:val="single" w:sz="4" w:space="0" w:color="auto"/>
            </w:tcBorders>
            <w:vAlign w:val="center"/>
          </w:tcPr>
          <w:p w14:paraId="0F272A6D" w14:textId="77777777" w:rsidR="004860AB" w:rsidRDefault="004860AB" w:rsidP="004860AB">
            <w:pPr>
              <w:jc w:val="right"/>
              <w:rPr>
                <w:color w:val="000000"/>
                <w:sz w:val="16"/>
                <w:szCs w:val="16"/>
              </w:rPr>
            </w:pPr>
            <w:r>
              <w:rPr>
                <w:color w:val="000000"/>
                <w:sz w:val="16"/>
                <w:szCs w:val="16"/>
              </w:rPr>
              <w:t>5</w:t>
            </w:r>
          </w:p>
        </w:tc>
        <w:tc>
          <w:tcPr>
            <w:tcW w:w="576" w:type="dxa"/>
            <w:vAlign w:val="center"/>
          </w:tcPr>
          <w:p w14:paraId="6C9355F0" w14:textId="77777777" w:rsidR="004860AB" w:rsidRDefault="004860AB" w:rsidP="004860AB">
            <w:pPr>
              <w:jc w:val="right"/>
              <w:rPr>
                <w:color w:val="000000"/>
                <w:sz w:val="16"/>
                <w:szCs w:val="16"/>
              </w:rPr>
            </w:pPr>
            <w:r>
              <w:rPr>
                <w:color w:val="000000"/>
                <w:sz w:val="16"/>
                <w:szCs w:val="16"/>
              </w:rPr>
              <w:t>0.6</w:t>
            </w:r>
          </w:p>
        </w:tc>
        <w:tc>
          <w:tcPr>
            <w:tcW w:w="1123" w:type="dxa"/>
            <w:tcBorders>
              <w:right w:val="single" w:sz="4" w:space="0" w:color="auto"/>
            </w:tcBorders>
            <w:vAlign w:val="center"/>
          </w:tcPr>
          <w:p w14:paraId="6B54B6D2" w14:textId="77777777" w:rsidR="004860AB" w:rsidRDefault="004860AB" w:rsidP="004860AB">
            <w:pPr>
              <w:jc w:val="right"/>
              <w:rPr>
                <w:color w:val="000000"/>
                <w:sz w:val="16"/>
                <w:szCs w:val="16"/>
              </w:rPr>
            </w:pPr>
            <w:r>
              <w:rPr>
                <w:color w:val="000000"/>
                <w:sz w:val="16"/>
                <w:szCs w:val="16"/>
              </w:rPr>
              <w:t>(0.1, 1.0)</w:t>
            </w:r>
          </w:p>
        </w:tc>
        <w:tc>
          <w:tcPr>
            <w:tcW w:w="536" w:type="dxa"/>
            <w:tcBorders>
              <w:left w:val="single" w:sz="4" w:space="0" w:color="auto"/>
            </w:tcBorders>
            <w:vAlign w:val="center"/>
          </w:tcPr>
          <w:p w14:paraId="2BF68004" w14:textId="77777777" w:rsidR="004860AB" w:rsidRDefault="004860AB" w:rsidP="004860AB">
            <w:pPr>
              <w:jc w:val="right"/>
              <w:rPr>
                <w:color w:val="000000"/>
                <w:sz w:val="16"/>
                <w:szCs w:val="16"/>
              </w:rPr>
            </w:pPr>
            <w:r>
              <w:rPr>
                <w:color w:val="000000"/>
                <w:sz w:val="16"/>
                <w:szCs w:val="16"/>
              </w:rPr>
              <w:t>13</w:t>
            </w:r>
          </w:p>
        </w:tc>
        <w:tc>
          <w:tcPr>
            <w:tcW w:w="567" w:type="dxa"/>
            <w:vAlign w:val="center"/>
          </w:tcPr>
          <w:p w14:paraId="2A99D852" w14:textId="77777777" w:rsidR="004860AB" w:rsidRDefault="004860AB" w:rsidP="004860AB">
            <w:pPr>
              <w:jc w:val="right"/>
              <w:rPr>
                <w:color w:val="000000"/>
                <w:sz w:val="16"/>
                <w:szCs w:val="16"/>
              </w:rPr>
            </w:pPr>
            <w:r>
              <w:rPr>
                <w:color w:val="000000"/>
                <w:sz w:val="16"/>
                <w:szCs w:val="16"/>
              </w:rPr>
              <w:t>1.6</w:t>
            </w:r>
          </w:p>
        </w:tc>
        <w:tc>
          <w:tcPr>
            <w:tcW w:w="1123" w:type="dxa"/>
            <w:vAlign w:val="center"/>
          </w:tcPr>
          <w:p w14:paraId="6B0C8479" w14:textId="77777777" w:rsidR="004860AB" w:rsidRDefault="004860AB" w:rsidP="004860AB">
            <w:pPr>
              <w:jc w:val="right"/>
              <w:rPr>
                <w:color w:val="000000"/>
                <w:sz w:val="16"/>
                <w:szCs w:val="16"/>
              </w:rPr>
            </w:pPr>
            <w:r>
              <w:rPr>
                <w:color w:val="000000"/>
                <w:sz w:val="16"/>
                <w:szCs w:val="16"/>
              </w:rPr>
              <w:t>(0.0, 3.3)</w:t>
            </w:r>
          </w:p>
        </w:tc>
      </w:tr>
      <w:tr w:rsidR="004860AB" w:rsidRPr="007B4EF8" w14:paraId="01FE5230" w14:textId="77777777" w:rsidTr="00793719">
        <w:trPr>
          <w:jc w:val="center"/>
        </w:trPr>
        <w:tc>
          <w:tcPr>
            <w:tcW w:w="2127" w:type="dxa"/>
          </w:tcPr>
          <w:p w14:paraId="58C1CB25" w14:textId="77777777" w:rsidR="004860AB" w:rsidRDefault="004860AB" w:rsidP="004860AB">
            <w:pPr>
              <w:keepNext/>
              <w:spacing w:before="20" w:after="20"/>
              <w:ind w:left="34"/>
              <w:rPr>
                <w:rFonts w:eastAsiaTheme="minorEastAsia"/>
                <w:sz w:val="16"/>
                <w:szCs w:val="16"/>
                <w:lang w:eastAsia="en-US"/>
              </w:rPr>
            </w:pPr>
            <w:r>
              <w:rPr>
                <w:rFonts w:eastAsiaTheme="minorEastAsia"/>
                <w:sz w:val="16"/>
                <w:szCs w:val="16"/>
                <w:lang w:eastAsia="en-US"/>
              </w:rPr>
              <w:t>At least once in past year</w:t>
            </w:r>
          </w:p>
        </w:tc>
        <w:tc>
          <w:tcPr>
            <w:tcW w:w="2379" w:type="dxa"/>
          </w:tcPr>
          <w:p w14:paraId="1D9B1EF7" w14:textId="77777777" w:rsidR="004860AB" w:rsidRPr="001B7431" w:rsidRDefault="004860AB" w:rsidP="004860AB">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vAlign w:val="center"/>
          </w:tcPr>
          <w:p w14:paraId="62FF9902" w14:textId="77777777" w:rsidR="004860AB" w:rsidRDefault="004860AB" w:rsidP="004860AB">
            <w:pPr>
              <w:jc w:val="right"/>
              <w:rPr>
                <w:color w:val="000000"/>
                <w:sz w:val="16"/>
                <w:szCs w:val="16"/>
              </w:rPr>
            </w:pPr>
            <w:r>
              <w:rPr>
                <w:color w:val="000000"/>
                <w:sz w:val="16"/>
                <w:szCs w:val="16"/>
              </w:rPr>
              <w:t>467</w:t>
            </w:r>
          </w:p>
        </w:tc>
        <w:tc>
          <w:tcPr>
            <w:tcW w:w="496" w:type="dxa"/>
            <w:vAlign w:val="center"/>
          </w:tcPr>
          <w:p w14:paraId="029DD32C" w14:textId="77777777" w:rsidR="004860AB" w:rsidRDefault="004860AB" w:rsidP="004860AB">
            <w:pPr>
              <w:jc w:val="right"/>
              <w:rPr>
                <w:color w:val="000000"/>
                <w:sz w:val="16"/>
                <w:szCs w:val="16"/>
              </w:rPr>
            </w:pPr>
            <w:r>
              <w:rPr>
                <w:color w:val="000000"/>
                <w:sz w:val="16"/>
                <w:szCs w:val="16"/>
              </w:rPr>
              <w:t>96.7</w:t>
            </w:r>
          </w:p>
        </w:tc>
        <w:tc>
          <w:tcPr>
            <w:tcW w:w="1043" w:type="dxa"/>
            <w:tcBorders>
              <w:right w:val="single" w:sz="4" w:space="0" w:color="auto"/>
            </w:tcBorders>
            <w:vAlign w:val="center"/>
          </w:tcPr>
          <w:p w14:paraId="7BBAF29B" w14:textId="77777777" w:rsidR="004860AB" w:rsidRDefault="004860AB" w:rsidP="004860AB">
            <w:pPr>
              <w:jc w:val="right"/>
              <w:rPr>
                <w:color w:val="000000"/>
                <w:sz w:val="16"/>
                <w:szCs w:val="16"/>
              </w:rPr>
            </w:pPr>
            <w:r>
              <w:rPr>
                <w:color w:val="000000"/>
                <w:sz w:val="16"/>
                <w:szCs w:val="16"/>
              </w:rPr>
              <w:t>(95.0, 98.4)</w:t>
            </w:r>
          </w:p>
        </w:tc>
        <w:tc>
          <w:tcPr>
            <w:tcW w:w="569" w:type="dxa"/>
            <w:tcBorders>
              <w:left w:val="single" w:sz="4" w:space="0" w:color="auto"/>
            </w:tcBorders>
            <w:vAlign w:val="center"/>
          </w:tcPr>
          <w:p w14:paraId="4DFA2A48" w14:textId="77777777" w:rsidR="004860AB" w:rsidRDefault="004860AB" w:rsidP="004860AB">
            <w:pPr>
              <w:jc w:val="right"/>
              <w:rPr>
                <w:color w:val="000000"/>
                <w:sz w:val="16"/>
                <w:szCs w:val="16"/>
              </w:rPr>
            </w:pPr>
            <w:r>
              <w:rPr>
                <w:color w:val="000000"/>
                <w:sz w:val="16"/>
                <w:szCs w:val="16"/>
              </w:rPr>
              <w:t>260</w:t>
            </w:r>
          </w:p>
        </w:tc>
        <w:tc>
          <w:tcPr>
            <w:tcW w:w="567" w:type="dxa"/>
            <w:vAlign w:val="center"/>
          </w:tcPr>
          <w:p w14:paraId="1134F462" w14:textId="77777777" w:rsidR="004860AB" w:rsidRDefault="004860AB" w:rsidP="004860AB">
            <w:pPr>
              <w:jc w:val="right"/>
              <w:rPr>
                <w:color w:val="000000"/>
                <w:sz w:val="16"/>
                <w:szCs w:val="16"/>
              </w:rPr>
            </w:pPr>
            <w:r>
              <w:rPr>
                <w:color w:val="000000"/>
                <w:sz w:val="16"/>
                <w:szCs w:val="16"/>
              </w:rPr>
              <w:t>97.1</w:t>
            </w:r>
          </w:p>
        </w:tc>
        <w:tc>
          <w:tcPr>
            <w:tcW w:w="1123" w:type="dxa"/>
            <w:tcBorders>
              <w:right w:val="single" w:sz="4" w:space="0" w:color="auto"/>
            </w:tcBorders>
            <w:vAlign w:val="center"/>
          </w:tcPr>
          <w:p w14:paraId="3790207B" w14:textId="77777777" w:rsidR="004860AB" w:rsidRDefault="004860AB" w:rsidP="004860AB">
            <w:pPr>
              <w:jc w:val="right"/>
              <w:rPr>
                <w:color w:val="000000"/>
                <w:sz w:val="16"/>
                <w:szCs w:val="16"/>
              </w:rPr>
            </w:pPr>
            <w:r>
              <w:rPr>
                <w:color w:val="000000"/>
                <w:sz w:val="16"/>
                <w:szCs w:val="16"/>
              </w:rPr>
              <w:t>(93.7, 100.0)</w:t>
            </w:r>
          </w:p>
        </w:tc>
        <w:tc>
          <w:tcPr>
            <w:tcW w:w="536" w:type="dxa"/>
            <w:tcBorders>
              <w:left w:val="single" w:sz="4" w:space="0" w:color="auto"/>
            </w:tcBorders>
            <w:vAlign w:val="center"/>
          </w:tcPr>
          <w:p w14:paraId="2F3AD019" w14:textId="77777777" w:rsidR="004860AB" w:rsidRDefault="004860AB" w:rsidP="004860AB">
            <w:pPr>
              <w:jc w:val="right"/>
              <w:rPr>
                <w:color w:val="000000"/>
                <w:sz w:val="16"/>
                <w:szCs w:val="16"/>
              </w:rPr>
            </w:pPr>
            <w:r>
              <w:rPr>
                <w:color w:val="000000"/>
                <w:sz w:val="16"/>
                <w:szCs w:val="16"/>
              </w:rPr>
              <w:t>236</w:t>
            </w:r>
          </w:p>
        </w:tc>
        <w:tc>
          <w:tcPr>
            <w:tcW w:w="576" w:type="dxa"/>
            <w:vAlign w:val="center"/>
          </w:tcPr>
          <w:p w14:paraId="7E4E1882" w14:textId="77777777" w:rsidR="004860AB" w:rsidRDefault="004860AB" w:rsidP="004860AB">
            <w:pPr>
              <w:jc w:val="right"/>
              <w:rPr>
                <w:color w:val="000000"/>
                <w:sz w:val="16"/>
                <w:szCs w:val="16"/>
              </w:rPr>
            </w:pPr>
            <w:r>
              <w:rPr>
                <w:color w:val="000000"/>
                <w:sz w:val="16"/>
                <w:szCs w:val="16"/>
              </w:rPr>
              <w:t>98.3</w:t>
            </w:r>
          </w:p>
        </w:tc>
        <w:tc>
          <w:tcPr>
            <w:tcW w:w="1123" w:type="dxa"/>
            <w:tcBorders>
              <w:right w:val="single" w:sz="4" w:space="0" w:color="auto"/>
            </w:tcBorders>
            <w:vAlign w:val="center"/>
          </w:tcPr>
          <w:p w14:paraId="150F33BB" w14:textId="77777777" w:rsidR="004860AB" w:rsidRDefault="004860AB" w:rsidP="004860AB">
            <w:pPr>
              <w:jc w:val="right"/>
              <w:rPr>
                <w:color w:val="000000"/>
                <w:sz w:val="16"/>
                <w:szCs w:val="16"/>
              </w:rPr>
            </w:pPr>
            <w:r>
              <w:rPr>
                <w:color w:val="000000"/>
                <w:sz w:val="16"/>
                <w:szCs w:val="16"/>
              </w:rPr>
              <w:t>(96.7, 99.8)</w:t>
            </w:r>
          </w:p>
        </w:tc>
        <w:tc>
          <w:tcPr>
            <w:tcW w:w="536" w:type="dxa"/>
            <w:tcBorders>
              <w:left w:val="single" w:sz="4" w:space="0" w:color="auto"/>
            </w:tcBorders>
            <w:vAlign w:val="center"/>
          </w:tcPr>
          <w:p w14:paraId="03405432" w14:textId="77777777" w:rsidR="004860AB" w:rsidRDefault="004860AB" w:rsidP="004860AB">
            <w:pPr>
              <w:jc w:val="right"/>
              <w:rPr>
                <w:color w:val="000000"/>
                <w:sz w:val="16"/>
                <w:szCs w:val="16"/>
              </w:rPr>
            </w:pPr>
            <w:r>
              <w:rPr>
                <w:color w:val="000000"/>
                <w:sz w:val="16"/>
                <w:szCs w:val="16"/>
              </w:rPr>
              <w:t>222</w:t>
            </w:r>
          </w:p>
        </w:tc>
        <w:tc>
          <w:tcPr>
            <w:tcW w:w="567" w:type="dxa"/>
            <w:vAlign w:val="center"/>
          </w:tcPr>
          <w:p w14:paraId="55EAABAC" w14:textId="77777777" w:rsidR="004860AB" w:rsidRDefault="004860AB" w:rsidP="004860AB">
            <w:pPr>
              <w:jc w:val="right"/>
              <w:rPr>
                <w:color w:val="000000"/>
                <w:sz w:val="16"/>
                <w:szCs w:val="16"/>
              </w:rPr>
            </w:pPr>
            <w:r>
              <w:rPr>
                <w:color w:val="000000"/>
                <w:sz w:val="16"/>
                <w:szCs w:val="16"/>
              </w:rPr>
              <w:t>98.3</w:t>
            </w:r>
          </w:p>
        </w:tc>
        <w:tc>
          <w:tcPr>
            <w:tcW w:w="1123" w:type="dxa"/>
            <w:vAlign w:val="center"/>
          </w:tcPr>
          <w:p w14:paraId="26C8D774" w14:textId="77777777" w:rsidR="004860AB" w:rsidRDefault="004860AB" w:rsidP="004860AB">
            <w:pPr>
              <w:jc w:val="right"/>
              <w:rPr>
                <w:color w:val="000000"/>
                <w:sz w:val="16"/>
                <w:szCs w:val="16"/>
              </w:rPr>
            </w:pPr>
            <w:r>
              <w:rPr>
                <w:color w:val="000000"/>
                <w:sz w:val="16"/>
                <w:szCs w:val="16"/>
              </w:rPr>
              <w:t>(96.7, 99.9)</w:t>
            </w:r>
          </w:p>
        </w:tc>
      </w:tr>
      <w:tr w:rsidR="004860AB" w:rsidRPr="007B4EF8" w14:paraId="4CA0751D" w14:textId="77777777" w:rsidTr="00793719">
        <w:trPr>
          <w:jc w:val="center"/>
        </w:trPr>
        <w:tc>
          <w:tcPr>
            <w:tcW w:w="2127" w:type="dxa"/>
          </w:tcPr>
          <w:p w14:paraId="14A3B523" w14:textId="77777777" w:rsidR="004860AB" w:rsidRDefault="004860AB" w:rsidP="004860AB">
            <w:pPr>
              <w:spacing w:before="20" w:after="20"/>
              <w:ind w:left="34"/>
              <w:rPr>
                <w:rFonts w:eastAsiaTheme="minorEastAsia"/>
                <w:sz w:val="16"/>
                <w:szCs w:val="16"/>
                <w:lang w:eastAsia="en-US"/>
              </w:rPr>
            </w:pPr>
          </w:p>
        </w:tc>
        <w:tc>
          <w:tcPr>
            <w:tcW w:w="2379" w:type="dxa"/>
          </w:tcPr>
          <w:p w14:paraId="6768ADF2" w14:textId="77777777" w:rsidR="004860AB" w:rsidRPr="001B7431" w:rsidRDefault="004860AB" w:rsidP="004860AB">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vAlign w:val="center"/>
          </w:tcPr>
          <w:p w14:paraId="35E61088" w14:textId="77777777" w:rsidR="004860AB" w:rsidRDefault="004860AB" w:rsidP="004860AB">
            <w:pPr>
              <w:jc w:val="right"/>
              <w:rPr>
                <w:color w:val="000000"/>
                <w:sz w:val="16"/>
                <w:szCs w:val="16"/>
              </w:rPr>
            </w:pPr>
            <w:r>
              <w:rPr>
                <w:color w:val="000000"/>
                <w:sz w:val="16"/>
                <w:szCs w:val="16"/>
              </w:rPr>
              <w:t>11</w:t>
            </w:r>
          </w:p>
        </w:tc>
        <w:tc>
          <w:tcPr>
            <w:tcW w:w="496" w:type="dxa"/>
            <w:vAlign w:val="center"/>
          </w:tcPr>
          <w:p w14:paraId="5614EF4C" w14:textId="77777777" w:rsidR="004860AB" w:rsidRDefault="004860AB" w:rsidP="004860AB">
            <w:pPr>
              <w:jc w:val="right"/>
              <w:rPr>
                <w:color w:val="000000"/>
                <w:sz w:val="16"/>
                <w:szCs w:val="16"/>
              </w:rPr>
            </w:pPr>
            <w:r>
              <w:rPr>
                <w:color w:val="000000"/>
                <w:sz w:val="16"/>
                <w:szCs w:val="16"/>
              </w:rPr>
              <w:t>2.3</w:t>
            </w:r>
          </w:p>
        </w:tc>
        <w:tc>
          <w:tcPr>
            <w:tcW w:w="1043" w:type="dxa"/>
            <w:tcBorders>
              <w:right w:val="single" w:sz="4" w:space="0" w:color="auto"/>
            </w:tcBorders>
            <w:vAlign w:val="center"/>
          </w:tcPr>
          <w:p w14:paraId="7C2D11CB" w14:textId="77777777" w:rsidR="004860AB" w:rsidRDefault="004860AB" w:rsidP="004860AB">
            <w:pPr>
              <w:jc w:val="right"/>
              <w:rPr>
                <w:color w:val="000000"/>
                <w:sz w:val="16"/>
                <w:szCs w:val="16"/>
              </w:rPr>
            </w:pPr>
            <w:r>
              <w:rPr>
                <w:color w:val="000000"/>
                <w:sz w:val="16"/>
                <w:szCs w:val="16"/>
              </w:rPr>
              <w:t>(1.0, 3.6)</w:t>
            </w:r>
          </w:p>
        </w:tc>
        <w:tc>
          <w:tcPr>
            <w:tcW w:w="569" w:type="dxa"/>
            <w:tcBorders>
              <w:left w:val="single" w:sz="4" w:space="0" w:color="auto"/>
            </w:tcBorders>
            <w:vAlign w:val="center"/>
          </w:tcPr>
          <w:p w14:paraId="68109B1F" w14:textId="77777777" w:rsidR="004860AB" w:rsidRDefault="004860AB" w:rsidP="004860AB">
            <w:pPr>
              <w:jc w:val="right"/>
              <w:rPr>
                <w:color w:val="000000"/>
                <w:sz w:val="16"/>
                <w:szCs w:val="16"/>
              </w:rPr>
            </w:pPr>
            <w:r>
              <w:rPr>
                <w:color w:val="000000"/>
                <w:sz w:val="16"/>
                <w:szCs w:val="16"/>
              </w:rPr>
              <w:t>5</w:t>
            </w:r>
          </w:p>
        </w:tc>
        <w:tc>
          <w:tcPr>
            <w:tcW w:w="567" w:type="dxa"/>
            <w:vAlign w:val="center"/>
          </w:tcPr>
          <w:p w14:paraId="601BD032" w14:textId="77777777" w:rsidR="004860AB" w:rsidRDefault="004860AB" w:rsidP="004860AB">
            <w:pPr>
              <w:jc w:val="right"/>
              <w:rPr>
                <w:color w:val="000000"/>
                <w:sz w:val="16"/>
                <w:szCs w:val="16"/>
              </w:rPr>
            </w:pPr>
            <w:r>
              <w:rPr>
                <w:color w:val="000000"/>
                <w:sz w:val="16"/>
                <w:szCs w:val="16"/>
              </w:rPr>
              <w:t>1.8</w:t>
            </w:r>
          </w:p>
        </w:tc>
        <w:tc>
          <w:tcPr>
            <w:tcW w:w="1123" w:type="dxa"/>
            <w:tcBorders>
              <w:right w:val="single" w:sz="4" w:space="0" w:color="auto"/>
            </w:tcBorders>
            <w:vAlign w:val="center"/>
          </w:tcPr>
          <w:p w14:paraId="260F097F" w14:textId="77777777" w:rsidR="004860AB" w:rsidRDefault="004860AB" w:rsidP="004860AB">
            <w:pPr>
              <w:jc w:val="right"/>
              <w:rPr>
                <w:color w:val="000000"/>
                <w:sz w:val="16"/>
                <w:szCs w:val="16"/>
              </w:rPr>
            </w:pPr>
            <w:r>
              <w:rPr>
                <w:color w:val="000000"/>
                <w:sz w:val="16"/>
                <w:szCs w:val="16"/>
              </w:rPr>
              <w:t>(0.0, 4.4)</w:t>
            </w:r>
          </w:p>
        </w:tc>
        <w:tc>
          <w:tcPr>
            <w:tcW w:w="536" w:type="dxa"/>
            <w:tcBorders>
              <w:left w:val="single" w:sz="4" w:space="0" w:color="auto"/>
            </w:tcBorders>
            <w:vAlign w:val="center"/>
          </w:tcPr>
          <w:p w14:paraId="29EC263A" w14:textId="77777777" w:rsidR="004860AB" w:rsidRDefault="004860AB" w:rsidP="004860AB">
            <w:pPr>
              <w:jc w:val="right"/>
              <w:rPr>
                <w:color w:val="000000"/>
                <w:sz w:val="16"/>
                <w:szCs w:val="16"/>
              </w:rPr>
            </w:pPr>
            <w:r>
              <w:rPr>
                <w:color w:val="000000"/>
                <w:sz w:val="16"/>
                <w:szCs w:val="16"/>
              </w:rPr>
              <w:t>2</w:t>
            </w:r>
          </w:p>
        </w:tc>
        <w:tc>
          <w:tcPr>
            <w:tcW w:w="576" w:type="dxa"/>
            <w:vAlign w:val="center"/>
          </w:tcPr>
          <w:p w14:paraId="638357C9" w14:textId="77777777" w:rsidR="004860AB" w:rsidRDefault="004860AB" w:rsidP="004860AB">
            <w:pPr>
              <w:jc w:val="right"/>
              <w:rPr>
                <w:color w:val="000000"/>
                <w:sz w:val="16"/>
                <w:szCs w:val="16"/>
              </w:rPr>
            </w:pPr>
            <w:r>
              <w:rPr>
                <w:color w:val="000000"/>
                <w:sz w:val="16"/>
                <w:szCs w:val="16"/>
              </w:rPr>
              <w:t>0.7</w:t>
            </w:r>
          </w:p>
        </w:tc>
        <w:tc>
          <w:tcPr>
            <w:tcW w:w="1123" w:type="dxa"/>
            <w:tcBorders>
              <w:right w:val="single" w:sz="4" w:space="0" w:color="auto"/>
            </w:tcBorders>
            <w:vAlign w:val="center"/>
          </w:tcPr>
          <w:p w14:paraId="40CB9642" w14:textId="77777777" w:rsidR="004860AB" w:rsidRDefault="002F172C" w:rsidP="004860AB">
            <w:pPr>
              <w:jc w:val="right"/>
              <w:rPr>
                <w:color w:val="000000"/>
                <w:sz w:val="16"/>
                <w:szCs w:val="16"/>
              </w:rPr>
            </w:pPr>
            <w:r>
              <w:rPr>
                <w:color w:val="000000"/>
                <w:sz w:val="16"/>
                <w:szCs w:val="16"/>
              </w:rPr>
              <w:t>!</w:t>
            </w:r>
          </w:p>
        </w:tc>
        <w:tc>
          <w:tcPr>
            <w:tcW w:w="536" w:type="dxa"/>
            <w:tcBorders>
              <w:left w:val="single" w:sz="4" w:space="0" w:color="auto"/>
            </w:tcBorders>
            <w:vAlign w:val="center"/>
          </w:tcPr>
          <w:p w14:paraId="5D502C74" w14:textId="77777777" w:rsidR="004860AB" w:rsidRDefault="004860AB" w:rsidP="004860AB">
            <w:pPr>
              <w:jc w:val="right"/>
              <w:rPr>
                <w:color w:val="000000"/>
                <w:sz w:val="16"/>
                <w:szCs w:val="16"/>
              </w:rPr>
            </w:pPr>
            <w:r>
              <w:rPr>
                <w:color w:val="000000"/>
                <w:sz w:val="16"/>
                <w:szCs w:val="16"/>
              </w:rPr>
              <w:t>3</w:t>
            </w:r>
          </w:p>
        </w:tc>
        <w:tc>
          <w:tcPr>
            <w:tcW w:w="567" w:type="dxa"/>
            <w:vAlign w:val="center"/>
          </w:tcPr>
          <w:p w14:paraId="67C64D1B" w14:textId="77777777" w:rsidR="004860AB" w:rsidRDefault="004860AB" w:rsidP="004860AB">
            <w:pPr>
              <w:jc w:val="right"/>
              <w:rPr>
                <w:color w:val="000000"/>
                <w:sz w:val="16"/>
                <w:szCs w:val="16"/>
              </w:rPr>
            </w:pPr>
            <w:r>
              <w:rPr>
                <w:color w:val="000000"/>
                <w:sz w:val="16"/>
                <w:szCs w:val="16"/>
              </w:rPr>
              <w:t>1.3</w:t>
            </w:r>
          </w:p>
        </w:tc>
        <w:tc>
          <w:tcPr>
            <w:tcW w:w="1123" w:type="dxa"/>
            <w:vAlign w:val="center"/>
          </w:tcPr>
          <w:p w14:paraId="3D890563" w14:textId="77777777" w:rsidR="004860AB" w:rsidRDefault="004860AB" w:rsidP="004860AB">
            <w:pPr>
              <w:jc w:val="right"/>
              <w:rPr>
                <w:color w:val="000000"/>
                <w:sz w:val="16"/>
                <w:szCs w:val="16"/>
              </w:rPr>
            </w:pPr>
            <w:r>
              <w:rPr>
                <w:color w:val="000000"/>
                <w:sz w:val="16"/>
                <w:szCs w:val="16"/>
              </w:rPr>
              <w:t>(0.0, 2.8)</w:t>
            </w:r>
          </w:p>
        </w:tc>
      </w:tr>
      <w:tr w:rsidR="004860AB" w:rsidRPr="007B4EF8" w14:paraId="669B923A" w14:textId="77777777" w:rsidTr="00793719">
        <w:trPr>
          <w:jc w:val="center"/>
        </w:trPr>
        <w:tc>
          <w:tcPr>
            <w:tcW w:w="2127" w:type="dxa"/>
          </w:tcPr>
          <w:p w14:paraId="42B9C4AF" w14:textId="77777777" w:rsidR="004860AB" w:rsidRDefault="004860AB" w:rsidP="004860AB">
            <w:pPr>
              <w:spacing w:before="20" w:after="20"/>
              <w:ind w:left="34"/>
              <w:rPr>
                <w:rFonts w:eastAsiaTheme="minorEastAsia"/>
                <w:sz w:val="16"/>
                <w:szCs w:val="16"/>
                <w:lang w:eastAsia="en-US"/>
              </w:rPr>
            </w:pPr>
          </w:p>
        </w:tc>
        <w:tc>
          <w:tcPr>
            <w:tcW w:w="2379" w:type="dxa"/>
          </w:tcPr>
          <w:p w14:paraId="6BBB3DAC" w14:textId="77777777" w:rsidR="004860AB" w:rsidRPr="001B7431" w:rsidRDefault="004860AB" w:rsidP="004860AB">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vAlign w:val="center"/>
          </w:tcPr>
          <w:p w14:paraId="0939CFFF" w14:textId="77777777" w:rsidR="004860AB" w:rsidRDefault="004860AB" w:rsidP="004860AB">
            <w:pPr>
              <w:jc w:val="right"/>
              <w:rPr>
                <w:color w:val="000000"/>
                <w:sz w:val="16"/>
                <w:szCs w:val="16"/>
              </w:rPr>
            </w:pPr>
            <w:r>
              <w:rPr>
                <w:color w:val="000000"/>
                <w:sz w:val="16"/>
                <w:szCs w:val="16"/>
              </w:rPr>
              <w:t>5</w:t>
            </w:r>
          </w:p>
        </w:tc>
        <w:tc>
          <w:tcPr>
            <w:tcW w:w="496" w:type="dxa"/>
            <w:vAlign w:val="center"/>
          </w:tcPr>
          <w:p w14:paraId="09ED1B51" w14:textId="77777777" w:rsidR="004860AB" w:rsidRDefault="004860AB" w:rsidP="004860AB">
            <w:pPr>
              <w:jc w:val="right"/>
              <w:rPr>
                <w:color w:val="000000"/>
                <w:sz w:val="16"/>
                <w:szCs w:val="16"/>
              </w:rPr>
            </w:pPr>
            <w:r>
              <w:rPr>
                <w:color w:val="000000"/>
                <w:sz w:val="16"/>
                <w:szCs w:val="16"/>
              </w:rPr>
              <w:t>1.0</w:t>
            </w:r>
          </w:p>
        </w:tc>
        <w:tc>
          <w:tcPr>
            <w:tcW w:w="1043" w:type="dxa"/>
            <w:tcBorders>
              <w:right w:val="single" w:sz="4" w:space="0" w:color="auto"/>
            </w:tcBorders>
            <w:vAlign w:val="center"/>
          </w:tcPr>
          <w:p w14:paraId="683DB64F" w14:textId="77777777" w:rsidR="004860AB" w:rsidRDefault="004860AB" w:rsidP="004860AB">
            <w:pPr>
              <w:jc w:val="right"/>
              <w:rPr>
                <w:color w:val="000000"/>
                <w:sz w:val="16"/>
                <w:szCs w:val="16"/>
              </w:rPr>
            </w:pPr>
            <w:r>
              <w:rPr>
                <w:color w:val="000000"/>
                <w:sz w:val="16"/>
                <w:szCs w:val="16"/>
              </w:rPr>
              <w:t>(0.0, 2.2)</w:t>
            </w:r>
          </w:p>
        </w:tc>
        <w:tc>
          <w:tcPr>
            <w:tcW w:w="569" w:type="dxa"/>
            <w:tcBorders>
              <w:left w:val="single" w:sz="4" w:space="0" w:color="auto"/>
            </w:tcBorders>
            <w:vAlign w:val="center"/>
          </w:tcPr>
          <w:p w14:paraId="2287E445" w14:textId="77777777" w:rsidR="004860AB" w:rsidRDefault="004860AB" w:rsidP="004860AB">
            <w:pPr>
              <w:jc w:val="right"/>
              <w:rPr>
                <w:color w:val="000000"/>
                <w:sz w:val="16"/>
                <w:szCs w:val="16"/>
              </w:rPr>
            </w:pPr>
            <w:r>
              <w:rPr>
                <w:color w:val="000000"/>
                <w:sz w:val="16"/>
                <w:szCs w:val="16"/>
              </w:rPr>
              <w:t>3</w:t>
            </w:r>
          </w:p>
        </w:tc>
        <w:tc>
          <w:tcPr>
            <w:tcW w:w="567" w:type="dxa"/>
            <w:vAlign w:val="center"/>
          </w:tcPr>
          <w:p w14:paraId="524CF04D" w14:textId="77777777" w:rsidR="004860AB" w:rsidRDefault="004860AB" w:rsidP="004860AB">
            <w:pPr>
              <w:jc w:val="right"/>
              <w:rPr>
                <w:color w:val="000000"/>
                <w:sz w:val="16"/>
                <w:szCs w:val="16"/>
              </w:rPr>
            </w:pPr>
            <w:r>
              <w:rPr>
                <w:color w:val="000000"/>
                <w:sz w:val="16"/>
                <w:szCs w:val="16"/>
              </w:rPr>
              <w:t>1.2</w:t>
            </w:r>
          </w:p>
        </w:tc>
        <w:tc>
          <w:tcPr>
            <w:tcW w:w="1123" w:type="dxa"/>
            <w:tcBorders>
              <w:right w:val="single" w:sz="4" w:space="0" w:color="auto"/>
            </w:tcBorders>
            <w:vAlign w:val="center"/>
          </w:tcPr>
          <w:p w14:paraId="6CAB8D84" w14:textId="77777777" w:rsidR="004860AB" w:rsidRDefault="004860AB" w:rsidP="004860AB">
            <w:pPr>
              <w:jc w:val="right"/>
              <w:rPr>
                <w:color w:val="000000"/>
                <w:sz w:val="16"/>
                <w:szCs w:val="16"/>
              </w:rPr>
            </w:pPr>
            <w:r>
              <w:rPr>
                <w:color w:val="000000"/>
                <w:sz w:val="16"/>
                <w:szCs w:val="16"/>
              </w:rPr>
              <w:t>(0.0, 3.4)</w:t>
            </w:r>
          </w:p>
        </w:tc>
        <w:tc>
          <w:tcPr>
            <w:tcW w:w="536" w:type="dxa"/>
            <w:tcBorders>
              <w:left w:val="single" w:sz="4" w:space="0" w:color="auto"/>
            </w:tcBorders>
            <w:vAlign w:val="center"/>
          </w:tcPr>
          <w:p w14:paraId="0C60EF1A" w14:textId="77777777" w:rsidR="004860AB" w:rsidRDefault="004860AB" w:rsidP="004860AB">
            <w:pPr>
              <w:jc w:val="right"/>
              <w:rPr>
                <w:color w:val="000000"/>
                <w:sz w:val="16"/>
                <w:szCs w:val="16"/>
              </w:rPr>
            </w:pPr>
            <w:r>
              <w:rPr>
                <w:color w:val="000000"/>
                <w:sz w:val="16"/>
                <w:szCs w:val="16"/>
              </w:rPr>
              <w:t>2</w:t>
            </w:r>
          </w:p>
        </w:tc>
        <w:tc>
          <w:tcPr>
            <w:tcW w:w="576" w:type="dxa"/>
            <w:vAlign w:val="center"/>
          </w:tcPr>
          <w:p w14:paraId="7DC16C84" w14:textId="77777777" w:rsidR="004860AB" w:rsidRDefault="004860AB" w:rsidP="004860AB">
            <w:pPr>
              <w:jc w:val="right"/>
              <w:rPr>
                <w:color w:val="000000"/>
                <w:sz w:val="16"/>
                <w:szCs w:val="16"/>
              </w:rPr>
            </w:pPr>
            <w:r>
              <w:rPr>
                <w:color w:val="000000"/>
                <w:sz w:val="16"/>
                <w:szCs w:val="16"/>
              </w:rPr>
              <w:t>1.0</w:t>
            </w:r>
          </w:p>
        </w:tc>
        <w:tc>
          <w:tcPr>
            <w:tcW w:w="1123" w:type="dxa"/>
            <w:tcBorders>
              <w:right w:val="single" w:sz="4" w:space="0" w:color="auto"/>
            </w:tcBorders>
            <w:vAlign w:val="center"/>
          </w:tcPr>
          <w:p w14:paraId="006D0D60" w14:textId="77777777" w:rsidR="004860AB" w:rsidRDefault="002F172C" w:rsidP="004860AB">
            <w:pPr>
              <w:jc w:val="right"/>
              <w:rPr>
                <w:color w:val="000000"/>
                <w:sz w:val="16"/>
                <w:szCs w:val="16"/>
              </w:rPr>
            </w:pPr>
            <w:r>
              <w:rPr>
                <w:color w:val="000000"/>
                <w:sz w:val="16"/>
                <w:szCs w:val="16"/>
              </w:rPr>
              <w:t>!</w:t>
            </w:r>
          </w:p>
        </w:tc>
        <w:tc>
          <w:tcPr>
            <w:tcW w:w="536" w:type="dxa"/>
            <w:tcBorders>
              <w:left w:val="single" w:sz="4" w:space="0" w:color="auto"/>
            </w:tcBorders>
            <w:vAlign w:val="center"/>
          </w:tcPr>
          <w:p w14:paraId="72A6D471" w14:textId="77777777" w:rsidR="004860AB" w:rsidRDefault="004860AB" w:rsidP="004860AB">
            <w:pPr>
              <w:jc w:val="right"/>
              <w:rPr>
                <w:color w:val="000000"/>
                <w:sz w:val="16"/>
                <w:szCs w:val="16"/>
              </w:rPr>
            </w:pPr>
            <w:r>
              <w:rPr>
                <w:color w:val="000000"/>
                <w:sz w:val="16"/>
                <w:szCs w:val="16"/>
              </w:rPr>
              <w:t>1</w:t>
            </w:r>
          </w:p>
        </w:tc>
        <w:tc>
          <w:tcPr>
            <w:tcW w:w="567" w:type="dxa"/>
            <w:vAlign w:val="center"/>
          </w:tcPr>
          <w:p w14:paraId="0530F894" w14:textId="77777777" w:rsidR="004860AB" w:rsidRDefault="004860AB" w:rsidP="004860AB">
            <w:pPr>
              <w:jc w:val="right"/>
              <w:rPr>
                <w:color w:val="000000"/>
                <w:sz w:val="16"/>
                <w:szCs w:val="16"/>
              </w:rPr>
            </w:pPr>
            <w:r>
              <w:rPr>
                <w:color w:val="000000"/>
                <w:sz w:val="16"/>
                <w:szCs w:val="16"/>
              </w:rPr>
              <w:t>0.4</w:t>
            </w:r>
          </w:p>
        </w:tc>
        <w:tc>
          <w:tcPr>
            <w:tcW w:w="1123" w:type="dxa"/>
            <w:vAlign w:val="center"/>
          </w:tcPr>
          <w:p w14:paraId="42BCF8A4" w14:textId="77777777" w:rsidR="004860AB" w:rsidRDefault="002F172C" w:rsidP="004860AB">
            <w:pPr>
              <w:jc w:val="right"/>
              <w:rPr>
                <w:color w:val="000000"/>
                <w:sz w:val="16"/>
                <w:szCs w:val="16"/>
              </w:rPr>
            </w:pPr>
            <w:r>
              <w:rPr>
                <w:color w:val="000000"/>
                <w:sz w:val="16"/>
                <w:szCs w:val="16"/>
              </w:rPr>
              <w:t>!</w:t>
            </w:r>
          </w:p>
        </w:tc>
      </w:tr>
      <w:tr w:rsidR="004860AB" w:rsidRPr="007B4EF8" w14:paraId="19F28272" w14:textId="77777777" w:rsidTr="00793719">
        <w:trPr>
          <w:jc w:val="center"/>
        </w:trPr>
        <w:tc>
          <w:tcPr>
            <w:tcW w:w="2127" w:type="dxa"/>
          </w:tcPr>
          <w:p w14:paraId="7945B56D" w14:textId="77777777" w:rsidR="004860AB" w:rsidRPr="00EE2E25" w:rsidRDefault="00EE2E25" w:rsidP="004860AB">
            <w:pPr>
              <w:spacing w:before="20" w:after="20"/>
              <w:ind w:left="34"/>
              <w:rPr>
                <w:rFonts w:eastAsiaTheme="minorEastAsia"/>
                <w:b/>
                <w:sz w:val="16"/>
                <w:szCs w:val="16"/>
                <w:lang w:eastAsia="en-US"/>
              </w:rPr>
            </w:pPr>
            <w:r>
              <w:rPr>
                <w:rFonts w:eastAsiaTheme="minorEastAsia"/>
                <w:b/>
                <w:sz w:val="16"/>
                <w:szCs w:val="16"/>
                <w:lang w:eastAsia="en-US"/>
              </w:rPr>
              <w:t>Pattern of participation</w:t>
            </w:r>
          </w:p>
        </w:tc>
        <w:tc>
          <w:tcPr>
            <w:tcW w:w="2379" w:type="dxa"/>
          </w:tcPr>
          <w:p w14:paraId="024E0831" w14:textId="77777777" w:rsidR="004860AB" w:rsidRPr="001B7431" w:rsidRDefault="004860AB" w:rsidP="004860AB">
            <w:pPr>
              <w:spacing w:before="20" w:after="20"/>
              <w:ind w:left="34"/>
              <w:rPr>
                <w:rFonts w:eastAsiaTheme="minorEastAsia"/>
                <w:sz w:val="16"/>
                <w:szCs w:val="16"/>
                <w:lang w:eastAsia="en-US"/>
              </w:rPr>
            </w:pPr>
          </w:p>
        </w:tc>
        <w:tc>
          <w:tcPr>
            <w:tcW w:w="616" w:type="dxa"/>
            <w:vAlign w:val="center"/>
          </w:tcPr>
          <w:p w14:paraId="069D015E" w14:textId="77777777" w:rsidR="004860AB" w:rsidRDefault="004860AB" w:rsidP="004860AB">
            <w:pPr>
              <w:jc w:val="right"/>
              <w:rPr>
                <w:color w:val="000000"/>
                <w:sz w:val="16"/>
                <w:szCs w:val="16"/>
              </w:rPr>
            </w:pPr>
          </w:p>
        </w:tc>
        <w:tc>
          <w:tcPr>
            <w:tcW w:w="496" w:type="dxa"/>
            <w:vAlign w:val="center"/>
          </w:tcPr>
          <w:p w14:paraId="504A2427" w14:textId="77777777" w:rsidR="004860AB" w:rsidRDefault="004860AB" w:rsidP="004860AB">
            <w:pPr>
              <w:jc w:val="right"/>
              <w:rPr>
                <w:color w:val="000000"/>
                <w:sz w:val="16"/>
                <w:szCs w:val="16"/>
              </w:rPr>
            </w:pPr>
          </w:p>
        </w:tc>
        <w:tc>
          <w:tcPr>
            <w:tcW w:w="1043" w:type="dxa"/>
            <w:tcBorders>
              <w:right w:val="single" w:sz="4" w:space="0" w:color="auto"/>
            </w:tcBorders>
            <w:vAlign w:val="center"/>
          </w:tcPr>
          <w:p w14:paraId="4759D50F" w14:textId="77777777" w:rsidR="004860AB" w:rsidRDefault="004860AB" w:rsidP="004860AB">
            <w:pPr>
              <w:jc w:val="right"/>
              <w:rPr>
                <w:color w:val="000000"/>
                <w:sz w:val="16"/>
                <w:szCs w:val="16"/>
              </w:rPr>
            </w:pPr>
          </w:p>
        </w:tc>
        <w:tc>
          <w:tcPr>
            <w:tcW w:w="569" w:type="dxa"/>
            <w:tcBorders>
              <w:left w:val="single" w:sz="4" w:space="0" w:color="auto"/>
            </w:tcBorders>
            <w:vAlign w:val="center"/>
          </w:tcPr>
          <w:p w14:paraId="5C4F7664" w14:textId="77777777" w:rsidR="004860AB" w:rsidRDefault="004860AB" w:rsidP="004860AB">
            <w:pPr>
              <w:jc w:val="right"/>
              <w:rPr>
                <w:color w:val="000000"/>
                <w:sz w:val="16"/>
                <w:szCs w:val="16"/>
              </w:rPr>
            </w:pPr>
          </w:p>
        </w:tc>
        <w:tc>
          <w:tcPr>
            <w:tcW w:w="567" w:type="dxa"/>
            <w:vAlign w:val="center"/>
          </w:tcPr>
          <w:p w14:paraId="6F7DC147" w14:textId="77777777" w:rsidR="004860AB" w:rsidRDefault="004860AB" w:rsidP="004860AB">
            <w:pPr>
              <w:jc w:val="right"/>
              <w:rPr>
                <w:color w:val="000000"/>
                <w:sz w:val="16"/>
                <w:szCs w:val="16"/>
              </w:rPr>
            </w:pPr>
          </w:p>
        </w:tc>
        <w:tc>
          <w:tcPr>
            <w:tcW w:w="1123" w:type="dxa"/>
            <w:tcBorders>
              <w:right w:val="single" w:sz="4" w:space="0" w:color="auto"/>
            </w:tcBorders>
            <w:vAlign w:val="center"/>
          </w:tcPr>
          <w:p w14:paraId="466CB0A9" w14:textId="77777777" w:rsidR="004860AB" w:rsidRDefault="004860AB" w:rsidP="004860AB">
            <w:pPr>
              <w:jc w:val="right"/>
              <w:rPr>
                <w:color w:val="000000"/>
                <w:sz w:val="16"/>
                <w:szCs w:val="16"/>
              </w:rPr>
            </w:pPr>
          </w:p>
        </w:tc>
        <w:tc>
          <w:tcPr>
            <w:tcW w:w="536" w:type="dxa"/>
            <w:tcBorders>
              <w:left w:val="single" w:sz="4" w:space="0" w:color="auto"/>
            </w:tcBorders>
            <w:vAlign w:val="center"/>
          </w:tcPr>
          <w:p w14:paraId="52C22493" w14:textId="77777777" w:rsidR="004860AB" w:rsidRDefault="004860AB" w:rsidP="004860AB">
            <w:pPr>
              <w:jc w:val="right"/>
              <w:rPr>
                <w:color w:val="000000"/>
                <w:sz w:val="16"/>
                <w:szCs w:val="16"/>
              </w:rPr>
            </w:pPr>
          </w:p>
        </w:tc>
        <w:tc>
          <w:tcPr>
            <w:tcW w:w="576" w:type="dxa"/>
            <w:vAlign w:val="center"/>
          </w:tcPr>
          <w:p w14:paraId="7D020BCB" w14:textId="77777777" w:rsidR="004860AB" w:rsidRDefault="004860AB" w:rsidP="004860AB">
            <w:pPr>
              <w:jc w:val="right"/>
              <w:rPr>
                <w:color w:val="000000"/>
                <w:sz w:val="16"/>
                <w:szCs w:val="16"/>
              </w:rPr>
            </w:pPr>
          </w:p>
        </w:tc>
        <w:tc>
          <w:tcPr>
            <w:tcW w:w="1123" w:type="dxa"/>
            <w:tcBorders>
              <w:right w:val="single" w:sz="4" w:space="0" w:color="auto"/>
            </w:tcBorders>
            <w:vAlign w:val="center"/>
          </w:tcPr>
          <w:p w14:paraId="528B5644" w14:textId="77777777" w:rsidR="004860AB" w:rsidRDefault="004860AB" w:rsidP="004860AB">
            <w:pPr>
              <w:jc w:val="right"/>
              <w:rPr>
                <w:color w:val="000000"/>
                <w:sz w:val="16"/>
                <w:szCs w:val="16"/>
              </w:rPr>
            </w:pPr>
          </w:p>
        </w:tc>
        <w:tc>
          <w:tcPr>
            <w:tcW w:w="536" w:type="dxa"/>
            <w:tcBorders>
              <w:left w:val="single" w:sz="4" w:space="0" w:color="auto"/>
            </w:tcBorders>
            <w:vAlign w:val="center"/>
          </w:tcPr>
          <w:p w14:paraId="467961B8" w14:textId="77777777" w:rsidR="004860AB" w:rsidRDefault="004860AB" w:rsidP="004860AB">
            <w:pPr>
              <w:jc w:val="right"/>
              <w:rPr>
                <w:color w:val="000000"/>
                <w:sz w:val="16"/>
                <w:szCs w:val="16"/>
              </w:rPr>
            </w:pPr>
          </w:p>
        </w:tc>
        <w:tc>
          <w:tcPr>
            <w:tcW w:w="567" w:type="dxa"/>
            <w:vAlign w:val="center"/>
          </w:tcPr>
          <w:p w14:paraId="39A6A2B7" w14:textId="77777777" w:rsidR="004860AB" w:rsidRDefault="004860AB" w:rsidP="004860AB">
            <w:pPr>
              <w:jc w:val="right"/>
              <w:rPr>
                <w:color w:val="000000"/>
                <w:sz w:val="16"/>
                <w:szCs w:val="16"/>
              </w:rPr>
            </w:pPr>
          </w:p>
        </w:tc>
        <w:tc>
          <w:tcPr>
            <w:tcW w:w="1123" w:type="dxa"/>
            <w:vAlign w:val="center"/>
          </w:tcPr>
          <w:p w14:paraId="48BD1C46" w14:textId="77777777" w:rsidR="004860AB" w:rsidRDefault="004860AB" w:rsidP="004860AB">
            <w:pPr>
              <w:jc w:val="right"/>
              <w:rPr>
                <w:color w:val="000000"/>
                <w:sz w:val="16"/>
                <w:szCs w:val="16"/>
              </w:rPr>
            </w:pPr>
          </w:p>
        </w:tc>
      </w:tr>
      <w:tr w:rsidR="00EE2E25" w:rsidRPr="007B4EF8" w14:paraId="36C16596" w14:textId="77777777" w:rsidTr="00793719">
        <w:trPr>
          <w:jc w:val="center"/>
        </w:trPr>
        <w:tc>
          <w:tcPr>
            <w:tcW w:w="2127" w:type="dxa"/>
          </w:tcPr>
          <w:p w14:paraId="0783212A" w14:textId="77777777" w:rsidR="00EE2E25" w:rsidRPr="00EE2E25" w:rsidRDefault="00EE2E25" w:rsidP="00EE2E25">
            <w:pPr>
              <w:keepNext/>
              <w:spacing w:before="20" w:after="20"/>
              <w:ind w:left="34"/>
              <w:rPr>
                <w:rFonts w:eastAsiaTheme="minorEastAsia"/>
                <w:sz w:val="16"/>
                <w:szCs w:val="16"/>
                <w:lang w:eastAsia="en-US"/>
              </w:rPr>
            </w:pPr>
            <w:r w:rsidRPr="00EE2E25">
              <w:rPr>
                <w:rFonts w:eastAsiaTheme="minorEastAsia"/>
                <w:sz w:val="16"/>
                <w:szCs w:val="16"/>
                <w:lang w:eastAsia="en-US"/>
              </w:rPr>
              <w:t>Infrequent gambler</w:t>
            </w:r>
          </w:p>
        </w:tc>
        <w:tc>
          <w:tcPr>
            <w:tcW w:w="2379" w:type="dxa"/>
          </w:tcPr>
          <w:p w14:paraId="4C9C0240" w14:textId="77777777" w:rsidR="00EE2E25" w:rsidRPr="001B7431" w:rsidRDefault="00EE2E25" w:rsidP="00EE2E25">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vAlign w:val="center"/>
          </w:tcPr>
          <w:p w14:paraId="180F41B8" w14:textId="77777777" w:rsidR="00EE2E25" w:rsidRDefault="00EE2E25" w:rsidP="00EE2E25">
            <w:pPr>
              <w:jc w:val="right"/>
              <w:rPr>
                <w:color w:val="000000"/>
                <w:sz w:val="16"/>
                <w:szCs w:val="16"/>
                <w:lang w:eastAsia="en-NZ"/>
              </w:rPr>
            </w:pPr>
            <w:r>
              <w:rPr>
                <w:color w:val="000000"/>
                <w:sz w:val="16"/>
                <w:szCs w:val="16"/>
              </w:rPr>
              <w:t>3347</w:t>
            </w:r>
          </w:p>
        </w:tc>
        <w:tc>
          <w:tcPr>
            <w:tcW w:w="496" w:type="dxa"/>
            <w:vAlign w:val="center"/>
          </w:tcPr>
          <w:p w14:paraId="1C58FBF9" w14:textId="77777777" w:rsidR="00EE2E25" w:rsidRDefault="00EE2E25" w:rsidP="00EE2E25">
            <w:pPr>
              <w:jc w:val="right"/>
              <w:rPr>
                <w:color w:val="000000"/>
                <w:sz w:val="16"/>
                <w:szCs w:val="16"/>
              </w:rPr>
            </w:pPr>
            <w:r>
              <w:rPr>
                <w:color w:val="000000"/>
                <w:sz w:val="16"/>
                <w:szCs w:val="16"/>
              </w:rPr>
              <w:t>93.2</w:t>
            </w:r>
          </w:p>
        </w:tc>
        <w:tc>
          <w:tcPr>
            <w:tcW w:w="1043" w:type="dxa"/>
            <w:tcBorders>
              <w:right w:val="single" w:sz="4" w:space="0" w:color="auto"/>
            </w:tcBorders>
            <w:vAlign w:val="center"/>
          </w:tcPr>
          <w:p w14:paraId="1CC747EA" w14:textId="77777777" w:rsidR="00EE2E25" w:rsidRDefault="00EE2E25" w:rsidP="00EE2E25">
            <w:pPr>
              <w:jc w:val="right"/>
              <w:rPr>
                <w:color w:val="000000"/>
                <w:sz w:val="16"/>
                <w:szCs w:val="16"/>
              </w:rPr>
            </w:pPr>
            <w:r>
              <w:rPr>
                <w:color w:val="000000"/>
                <w:sz w:val="16"/>
                <w:szCs w:val="16"/>
              </w:rPr>
              <w:t>(92.2, 94.3)</w:t>
            </w:r>
          </w:p>
        </w:tc>
        <w:tc>
          <w:tcPr>
            <w:tcW w:w="569" w:type="dxa"/>
            <w:tcBorders>
              <w:left w:val="single" w:sz="4" w:space="0" w:color="auto"/>
            </w:tcBorders>
            <w:vAlign w:val="center"/>
          </w:tcPr>
          <w:p w14:paraId="241EA849" w14:textId="77777777" w:rsidR="00EE2E25" w:rsidRDefault="00EE2E25" w:rsidP="00EE2E25">
            <w:pPr>
              <w:jc w:val="right"/>
              <w:rPr>
                <w:color w:val="000000"/>
                <w:sz w:val="16"/>
                <w:szCs w:val="16"/>
              </w:rPr>
            </w:pPr>
            <w:r>
              <w:rPr>
                <w:color w:val="000000"/>
                <w:sz w:val="16"/>
                <w:szCs w:val="16"/>
              </w:rPr>
              <w:t>1992</w:t>
            </w:r>
          </w:p>
        </w:tc>
        <w:tc>
          <w:tcPr>
            <w:tcW w:w="567" w:type="dxa"/>
            <w:vAlign w:val="center"/>
          </w:tcPr>
          <w:p w14:paraId="472ACEE9" w14:textId="77777777" w:rsidR="00EE2E25" w:rsidRDefault="00EE2E25" w:rsidP="00EE2E25">
            <w:pPr>
              <w:jc w:val="right"/>
              <w:rPr>
                <w:color w:val="000000"/>
                <w:sz w:val="16"/>
                <w:szCs w:val="16"/>
              </w:rPr>
            </w:pPr>
            <w:r>
              <w:rPr>
                <w:color w:val="000000"/>
                <w:sz w:val="16"/>
                <w:szCs w:val="16"/>
              </w:rPr>
              <w:t>93.0</w:t>
            </w:r>
          </w:p>
        </w:tc>
        <w:tc>
          <w:tcPr>
            <w:tcW w:w="1123" w:type="dxa"/>
            <w:tcBorders>
              <w:right w:val="single" w:sz="4" w:space="0" w:color="auto"/>
            </w:tcBorders>
            <w:vAlign w:val="center"/>
          </w:tcPr>
          <w:p w14:paraId="5050AB0B" w14:textId="77777777" w:rsidR="00EE2E25" w:rsidRDefault="00EE2E25" w:rsidP="00EE2E25">
            <w:pPr>
              <w:jc w:val="right"/>
              <w:rPr>
                <w:color w:val="000000"/>
                <w:sz w:val="16"/>
                <w:szCs w:val="16"/>
              </w:rPr>
            </w:pPr>
            <w:r>
              <w:rPr>
                <w:color w:val="000000"/>
                <w:sz w:val="16"/>
                <w:szCs w:val="16"/>
              </w:rPr>
              <w:t>(91.8, 94.3)</w:t>
            </w:r>
          </w:p>
        </w:tc>
        <w:tc>
          <w:tcPr>
            <w:tcW w:w="536" w:type="dxa"/>
            <w:tcBorders>
              <w:left w:val="single" w:sz="4" w:space="0" w:color="auto"/>
            </w:tcBorders>
            <w:vAlign w:val="center"/>
          </w:tcPr>
          <w:p w14:paraId="41BE9C23" w14:textId="77777777" w:rsidR="00EE2E25" w:rsidRDefault="00EE2E25" w:rsidP="00EE2E25">
            <w:pPr>
              <w:jc w:val="right"/>
              <w:rPr>
                <w:color w:val="000000"/>
                <w:sz w:val="16"/>
                <w:szCs w:val="16"/>
              </w:rPr>
            </w:pPr>
            <w:r>
              <w:rPr>
                <w:color w:val="000000"/>
                <w:sz w:val="16"/>
                <w:szCs w:val="16"/>
              </w:rPr>
              <w:t>1651</w:t>
            </w:r>
          </w:p>
        </w:tc>
        <w:tc>
          <w:tcPr>
            <w:tcW w:w="576" w:type="dxa"/>
            <w:vAlign w:val="center"/>
          </w:tcPr>
          <w:p w14:paraId="4878CE12" w14:textId="77777777" w:rsidR="00EE2E25" w:rsidRDefault="00EE2E25" w:rsidP="00EE2E25">
            <w:pPr>
              <w:jc w:val="right"/>
              <w:rPr>
                <w:color w:val="000000"/>
                <w:sz w:val="16"/>
                <w:szCs w:val="16"/>
              </w:rPr>
            </w:pPr>
            <w:r>
              <w:rPr>
                <w:color w:val="000000"/>
                <w:sz w:val="16"/>
                <w:szCs w:val="16"/>
              </w:rPr>
              <w:t>93.6</w:t>
            </w:r>
          </w:p>
        </w:tc>
        <w:tc>
          <w:tcPr>
            <w:tcW w:w="1123" w:type="dxa"/>
            <w:tcBorders>
              <w:right w:val="single" w:sz="4" w:space="0" w:color="auto"/>
            </w:tcBorders>
            <w:vAlign w:val="center"/>
          </w:tcPr>
          <w:p w14:paraId="5D865CD5" w14:textId="77777777" w:rsidR="00EE2E25" w:rsidRDefault="00EE2E25" w:rsidP="00EE2E25">
            <w:pPr>
              <w:jc w:val="right"/>
              <w:rPr>
                <w:color w:val="000000"/>
                <w:sz w:val="16"/>
                <w:szCs w:val="16"/>
              </w:rPr>
            </w:pPr>
            <w:r>
              <w:rPr>
                <w:color w:val="000000"/>
                <w:sz w:val="16"/>
                <w:szCs w:val="16"/>
              </w:rPr>
              <w:t>(92.2, 94.9)</w:t>
            </w:r>
          </w:p>
        </w:tc>
        <w:tc>
          <w:tcPr>
            <w:tcW w:w="536" w:type="dxa"/>
            <w:tcBorders>
              <w:left w:val="single" w:sz="4" w:space="0" w:color="auto"/>
            </w:tcBorders>
            <w:vAlign w:val="center"/>
          </w:tcPr>
          <w:p w14:paraId="06A43E7C" w14:textId="77777777" w:rsidR="00EE2E25" w:rsidRDefault="00EE2E25" w:rsidP="00EE2E25">
            <w:pPr>
              <w:jc w:val="right"/>
              <w:rPr>
                <w:color w:val="000000"/>
                <w:sz w:val="16"/>
                <w:szCs w:val="16"/>
              </w:rPr>
            </w:pPr>
            <w:r>
              <w:rPr>
                <w:color w:val="000000"/>
                <w:sz w:val="16"/>
                <w:szCs w:val="16"/>
              </w:rPr>
              <w:t>1465</w:t>
            </w:r>
          </w:p>
        </w:tc>
        <w:tc>
          <w:tcPr>
            <w:tcW w:w="567" w:type="dxa"/>
            <w:vAlign w:val="center"/>
          </w:tcPr>
          <w:p w14:paraId="65FDCC1F" w14:textId="77777777" w:rsidR="00EE2E25" w:rsidRDefault="00EE2E25" w:rsidP="00EE2E25">
            <w:pPr>
              <w:jc w:val="right"/>
              <w:rPr>
                <w:color w:val="000000"/>
                <w:sz w:val="16"/>
                <w:szCs w:val="16"/>
              </w:rPr>
            </w:pPr>
            <w:r>
              <w:rPr>
                <w:color w:val="000000"/>
                <w:sz w:val="16"/>
                <w:szCs w:val="16"/>
              </w:rPr>
              <w:t>93.8</w:t>
            </w:r>
          </w:p>
        </w:tc>
        <w:tc>
          <w:tcPr>
            <w:tcW w:w="1123" w:type="dxa"/>
            <w:vAlign w:val="center"/>
          </w:tcPr>
          <w:p w14:paraId="548CC07D" w14:textId="77777777" w:rsidR="00EE2E25" w:rsidRDefault="00EE2E25" w:rsidP="00EE2E25">
            <w:pPr>
              <w:jc w:val="right"/>
              <w:rPr>
                <w:color w:val="000000"/>
                <w:sz w:val="16"/>
                <w:szCs w:val="16"/>
              </w:rPr>
            </w:pPr>
            <w:r>
              <w:rPr>
                <w:color w:val="000000"/>
                <w:sz w:val="16"/>
                <w:szCs w:val="16"/>
              </w:rPr>
              <w:t>(92.1, 95.4)</w:t>
            </w:r>
          </w:p>
        </w:tc>
      </w:tr>
      <w:tr w:rsidR="00EE2E25" w:rsidRPr="007B4EF8" w14:paraId="79C2A90D" w14:textId="77777777" w:rsidTr="00793719">
        <w:trPr>
          <w:jc w:val="center"/>
        </w:trPr>
        <w:tc>
          <w:tcPr>
            <w:tcW w:w="2127" w:type="dxa"/>
          </w:tcPr>
          <w:p w14:paraId="3462EDBB" w14:textId="77777777" w:rsidR="00EE2E25" w:rsidRPr="00EE2E25" w:rsidRDefault="00EE2E25" w:rsidP="00EE2E25">
            <w:pPr>
              <w:keepNext/>
              <w:spacing w:before="20" w:after="20"/>
              <w:ind w:left="34"/>
              <w:rPr>
                <w:rFonts w:eastAsiaTheme="minorEastAsia"/>
                <w:sz w:val="16"/>
                <w:szCs w:val="16"/>
                <w:lang w:eastAsia="en-US"/>
              </w:rPr>
            </w:pPr>
          </w:p>
        </w:tc>
        <w:tc>
          <w:tcPr>
            <w:tcW w:w="2379" w:type="dxa"/>
            <w:shd w:val="clear" w:color="auto" w:fill="auto"/>
          </w:tcPr>
          <w:p w14:paraId="5246E84A" w14:textId="77777777" w:rsidR="00EE2E25" w:rsidRPr="001B7431" w:rsidRDefault="00EE2E25" w:rsidP="00EE2E25">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shd w:val="clear" w:color="auto" w:fill="auto"/>
            <w:vAlign w:val="center"/>
          </w:tcPr>
          <w:p w14:paraId="054A320F" w14:textId="77777777" w:rsidR="00EE2E25" w:rsidRDefault="00EE2E25" w:rsidP="00EE2E25">
            <w:pPr>
              <w:jc w:val="right"/>
              <w:rPr>
                <w:color w:val="000000"/>
                <w:sz w:val="16"/>
                <w:szCs w:val="16"/>
              </w:rPr>
            </w:pPr>
            <w:r>
              <w:rPr>
                <w:color w:val="000000"/>
                <w:sz w:val="16"/>
                <w:szCs w:val="16"/>
              </w:rPr>
              <w:t>171</w:t>
            </w:r>
          </w:p>
        </w:tc>
        <w:tc>
          <w:tcPr>
            <w:tcW w:w="496" w:type="dxa"/>
            <w:shd w:val="clear" w:color="auto" w:fill="auto"/>
            <w:vAlign w:val="center"/>
          </w:tcPr>
          <w:p w14:paraId="0A6F0E64" w14:textId="77777777" w:rsidR="00EE2E25" w:rsidRDefault="00EE2E25" w:rsidP="00EE2E25">
            <w:pPr>
              <w:jc w:val="right"/>
              <w:rPr>
                <w:color w:val="000000"/>
                <w:sz w:val="16"/>
                <w:szCs w:val="16"/>
              </w:rPr>
            </w:pPr>
            <w:r>
              <w:rPr>
                <w:color w:val="000000"/>
                <w:sz w:val="16"/>
                <w:szCs w:val="16"/>
              </w:rPr>
              <w:t>4.8</w:t>
            </w:r>
          </w:p>
        </w:tc>
        <w:tc>
          <w:tcPr>
            <w:tcW w:w="1043" w:type="dxa"/>
            <w:tcBorders>
              <w:right w:val="single" w:sz="4" w:space="0" w:color="auto"/>
            </w:tcBorders>
            <w:shd w:val="clear" w:color="auto" w:fill="auto"/>
            <w:vAlign w:val="center"/>
          </w:tcPr>
          <w:p w14:paraId="6187DADB" w14:textId="77777777" w:rsidR="00EE2E25" w:rsidRDefault="00EE2E25" w:rsidP="00EE2E25">
            <w:pPr>
              <w:jc w:val="right"/>
              <w:rPr>
                <w:color w:val="000000"/>
                <w:sz w:val="16"/>
                <w:szCs w:val="16"/>
              </w:rPr>
            </w:pPr>
            <w:r>
              <w:rPr>
                <w:color w:val="000000"/>
                <w:sz w:val="16"/>
                <w:szCs w:val="16"/>
              </w:rPr>
              <w:t>(3.9, 5.7)</w:t>
            </w:r>
          </w:p>
        </w:tc>
        <w:tc>
          <w:tcPr>
            <w:tcW w:w="569" w:type="dxa"/>
            <w:tcBorders>
              <w:left w:val="single" w:sz="4" w:space="0" w:color="auto"/>
            </w:tcBorders>
            <w:shd w:val="clear" w:color="auto" w:fill="auto"/>
            <w:vAlign w:val="center"/>
          </w:tcPr>
          <w:p w14:paraId="33E3FD2B" w14:textId="77777777" w:rsidR="00EE2E25" w:rsidRDefault="00EE2E25" w:rsidP="00EE2E25">
            <w:pPr>
              <w:jc w:val="right"/>
              <w:rPr>
                <w:color w:val="000000"/>
                <w:sz w:val="16"/>
                <w:szCs w:val="16"/>
              </w:rPr>
            </w:pPr>
            <w:r>
              <w:rPr>
                <w:color w:val="000000"/>
                <w:sz w:val="16"/>
                <w:szCs w:val="16"/>
              </w:rPr>
              <w:t>118</w:t>
            </w:r>
          </w:p>
        </w:tc>
        <w:tc>
          <w:tcPr>
            <w:tcW w:w="567" w:type="dxa"/>
            <w:shd w:val="clear" w:color="auto" w:fill="auto"/>
            <w:vAlign w:val="center"/>
          </w:tcPr>
          <w:p w14:paraId="4C742CE4" w14:textId="77777777" w:rsidR="00EE2E25" w:rsidRDefault="00EE2E25" w:rsidP="00EE2E25">
            <w:pPr>
              <w:jc w:val="right"/>
              <w:rPr>
                <w:color w:val="000000"/>
                <w:sz w:val="16"/>
                <w:szCs w:val="16"/>
              </w:rPr>
            </w:pPr>
            <w:r>
              <w:rPr>
                <w:color w:val="000000"/>
                <w:sz w:val="16"/>
                <w:szCs w:val="16"/>
              </w:rPr>
              <w:t>5.5</w:t>
            </w:r>
          </w:p>
        </w:tc>
        <w:tc>
          <w:tcPr>
            <w:tcW w:w="1123" w:type="dxa"/>
            <w:tcBorders>
              <w:right w:val="single" w:sz="4" w:space="0" w:color="auto"/>
            </w:tcBorders>
            <w:shd w:val="clear" w:color="auto" w:fill="auto"/>
            <w:vAlign w:val="center"/>
          </w:tcPr>
          <w:p w14:paraId="1FEB119A" w14:textId="77777777" w:rsidR="00EE2E25" w:rsidRDefault="00EE2E25" w:rsidP="00EE2E25">
            <w:pPr>
              <w:jc w:val="right"/>
              <w:rPr>
                <w:color w:val="000000"/>
                <w:sz w:val="16"/>
                <w:szCs w:val="16"/>
              </w:rPr>
            </w:pPr>
            <w:r>
              <w:rPr>
                <w:color w:val="000000"/>
                <w:sz w:val="16"/>
                <w:szCs w:val="16"/>
              </w:rPr>
              <w:t>(4.4, 6.6)</w:t>
            </w:r>
          </w:p>
        </w:tc>
        <w:tc>
          <w:tcPr>
            <w:tcW w:w="536" w:type="dxa"/>
            <w:tcBorders>
              <w:left w:val="single" w:sz="4" w:space="0" w:color="auto"/>
            </w:tcBorders>
            <w:shd w:val="clear" w:color="auto" w:fill="auto"/>
            <w:vAlign w:val="center"/>
          </w:tcPr>
          <w:p w14:paraId="180F1491" w14:textId="77777777" w:rsidR="00EE2E25" w:rsidRDefault="00EE2E25" w:rsidP="00EE2E25">
            <w:pPr>
              <w:jc w:val="right"/>
              <w:rPr>
                <w:color w:val="000000"/>
                <w:sz w:val="16"/>
                <w:szCs w:val="16"/>
              </w:rPr>
            </w:pPr>
            <w:r>
              <w:rPr>
                <w:color w:val="000000"/>
                <w:sz w:val="16"/>
                <w:szCs w:val="16"/>
              </w:rPr>
              <w:t>92</w:t>
            </w:r>
          </w:p>
        </w:tc>
        <w:tc>
          <w:tcPr>
            <w:tcW w:w="576" w:type="dxa"/>
            <w:shd w:val="clear" w:color="auto" w:fill="auto"/>
            <w:vAlign w:val="center"/>
          </w:tcPr>
          <w:p w14:paraId="1594CD6E" w14:textId="77777777" w:rsidR="00EE2E25" w:rsidRDefault="00EE2E25" w:rsidP="00EE2E25">
            <w:pPr>
              <w:jc w:val="right"/>
              <w:rPr>
                <w:color w:val="000000"/>
                <w:sz w:val="16"/>
                <w:szCs w:val="16"/>
              </w:rPr>
            </w:pPr>
            <w:r>
              <w:rPr>
                <w:color w:val="000000"/>
                <w:sz w:val="16"/>
                <w:szCs w:val="16"/>
              </w:rPr>
              <w:t>5.2</w:t>
            </w:r>
          </w:p>
        </w:tc>
        <w:tc>
          <w:tcPr>
            <w:tcW w:w="1123" w:type="dxa"/>
            <w:tcBorders>
              <w:right w:val="single" w:sz="4" w:space="0" w:color="auto"/>
            </w:tcBorders>
            <w:shd w:val="clear" w:color="auto" w:fill="auto"/>
            <w:vAlign w:val="center"/>
          </w:tcPr>
          <w:p w14:paraId="0899A4C5" w14:textId="77777777" w:rsidR="00EE2E25" w:rsidRDefault="00EE2E25" w:rsidP="00EE2E25">
            <w:pPr>
              <w:jc w:val="right"/>
              <w:rPr>
                <w:color w:val="000000"/>
                <w:sz w:val="16"/>
                <w:szCs w:val="16"/>
              </w:rPr>
            </w:pPr>
            <w:r>
              <w:rPr>
                <w:color w:val="000000"/>
                <w:sz w:val="16"/>
                <w:szCs w:val="16"/>
              </w:rPr>
              <w:t>(3.9, 6.5)</w:t>
            </w:r>
          </w:p>
        </w:tc>
        <w:tc>
          <w:tcPr>
            <w:tcW w:w="536" w:type="dxa"/>
            <w:tcBorders>
              <w:left w:val="single" w:sz="4" w:space="0" w:color="auto"/>
            </w:tcBorders>
            <w:shd w:val="clear" w:color="auto" w:fill="auto"/>
            <w:vAlign w:val="center"/>
          </w:tcPr>
          <w:p w14:paraId="0952C8B3" w14:textId="77777777" w:rsidR="00EE2E25" w:rsidRDefault="00EE2E25" w:rsidP="00EE2E25">
            <w:pPr>
              <w:jc w:val="right"/>
              <w:rPr>
                <w:color w:val="000000"/>
                <w:sz w:val="16"/>
                <w:szCs w:val="16"/>
              </w:rPr>
            </w:pPr>
            <w:r>
              <w:rPr>
                <w:color w:val="000000"/>
                <w:sz w:val="16"/>
                <w:szCs w:val="16"/>
              </w:rPr>
              <w:t>72</w:t>
            </w:r>
          </w:p>
        </w:tc>
        <w:tc>
          <w:tcPr>
            <w:tcW w:w="567" w:type="dxa"/>
            <w:shd w:val="clear" w:color="auto" w:fill="auto"/>
            <w:vAlign w:val="center"/>
          </w:tcPr>
          <w:p w14:paraId="47EA382B" w14:textId="77777777" w:rsidR="00EE2E25" w:rsidRDefault="00EE2E25" w:rsidP="00EE2E25">
            <w:pPr>
              <w:jc w:val="right"/>
              <w:rPr>
                <w:color w:val="000000"/>
                <w:sz w:val="16"/>
                <w:szCs w:val="16"/>
              </w:rPr>
            </w:pPr>
            <w:r>
              <w:rPr>
                <w:color w:val="000000"/>
                <w:sz w:val="16"/>
                <w:szCs w:val="16"/>
              </w:rPr>
              <w:t>4.6</w:t>
            </w:r>
          </w:p>
        </w:tc>
        <w:tc>
          <w:tcPr>
            <w:tcW w:w="1123" w:type="dxa"/>
            <w:shd w:val="clear" w:color="auto" w:fill="auto"/>
            <w:vAlign w:val="center"/>
          </w:tcPr>
          <w:p w14:paraId="7F79ABD9" w14:textId="77777777" w:rsidR="00EE2E25" w:rsidRDefault="00EE2E25" w:rsidP="00EE2E25">
            <w:pPr>
              <w:jc w:val="right"/>
              <w:rPr>
                <w:color w:val="000000"/>
                <w:sz w:val="16"/>
                <w:szCs w:val="16"/>
              </w:rPr>
            </w:pPr>
            <w:r>
              <w:rPr>
                <w:color w:val="000000"/>
                <w:sz w:val="16"/>
                <w:szCs w:val="16"/>
              </w:rPr>
              <w:t>(3.3, 6.0)</w:t>
            </w:r>
          </w:p>
        </w:tc>
      </w:tr>
      <w:tr w:rsidR="00EE2E25" w:rsidRPr="007B4EF8" w14:paraId="27E77ED7" w14:textId="77777777" w:rsidTr="00793719">
        <w:trPr>
          <w:jc w:val="center"/>
        </w:trPr>
        <w:tc>
          <w:tcPr>
            <w:tcW w:w="2127" w:type="dxa"/>
          </w:tcPr>
          <w:p w14:paraId="3BDC566D" w14:textId="77777777" w:rsidR="00EE2E25" w:rsidRPr="00EE2E25" w:rsidRDefault="00EE2E25" w:rsidP="00EE2E25">
            <w:pPr>
              <w:keepNext/>
              <w:spacing w:before="20" w:after="20"/>
              <w:ind w:left="34"/>
              <w:rPr>
                <w:rFonts w:eastAsiaTheme="minorEastAsia"/>
                <w:sz w:val="16"/>
                <w:szCs w:val="16"/>
                <w:lang w:eastAsia="en-US"/>
              </w:rPr>
            </w:pPr>
          </w:p>
        </w:tc>
        <w:tc>
          <w:tcPr>
            <w:tcW w:w="2379" w:type="dxa"/>
            <w:shd w:val="clear" w:color="auto" w:fill="auto"/>
          </w:tcPr>
          <w:p w14:paraId="0EEC736F" w14:textId="77777777" w:rsidR="00EE2E25" w:rsidRPr="001B7431" w:rsidRDefault="00EE2E25" w:rsidP="00EE2E25">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shd w:val="clear" w:color="auto" w:fill="auto"/>
            <w:vAlign w:val="center"/>
          </w:tcPr>
          <w:p w14:paraId="20152904" w14:textId="77777777" w:rsidR="00EE2E25" w:rsidRDefault="00EE2E25" w:rsidP="00EE2E25">
            <w:pPr>
              <w:jc w:val="right"/>
              <w:rPr>
                <w:color w:val="000000"/>
                <w:sz w:val="16"/>
                <w:szCs w:val="16"/>
              </w:rPr>
            </w:pPr>
            <w:r>
              <w:rPr>
                <w:color w:val="000000"/>
                <w:sz w:val="16"/>
                <w:szCs w:val="16"/>
              </w:rPr>
              <w:t>72</w:t>
            </w:r>
          </w:p>
        </w:tc>
        <w:tc>
          <w:tcPr>
            <w:tcW w:w="496" w:type="dxa"/>
            <w:shd w:val="clear" w:color="auto" w:fill="auto"/>
            <w:vAlign w:val="center"/>
          </w:tcPr>
          <w:p w14:paraId="66D34110" w14:textId="77777777" w:rsidR="00EE2E25" w:rsidRDefault="00EE2E25" w:rsidP="00EE2E25">
            <w:pPr>
              <w:jc w:val="right"/>
              <w:rPr>
                <w:color w:val="000000"/>
                <w:sz w:val="16"/>
                <w:szCs w:val="16"/>
              </w:rPr>
            </w:pPr>
            <w:r>
              <w:rPr>
                <w:color w:val="000000"/>
                <w:sz w:val="16"/>
                <w:szCs w:val="16"/>
              </w:rPr>
              <w:t>2.0</w:t>
            </w:r>
          </w:p>
        </w:tc>
        <w:tc>
          <w:tcPr>
            <w:tcW w:w="1043" w:type="dxa"/>
            <w:tcBorders>
              <w:right w:val="single" w:sz="4" w:space="0" w:color="auto"/>
            </w:tcBorders>
            <w:shd w:val="clear" w:color="auto" w:fill="auto"/>
            <w:vAlign w:val="center"/>
          </w:tcPr>
          <w:p w14:paraId="5173EF02" w14:textId="77777777" w:rsidR="00EE2E25" w:rsidRDefault="00EE2E25" w:rsidP="00EE2E25">
            <w:pPr>
              <w:jc w:val="right"/>
              <w:rPr>
                <w:color w:val="000000"/>
                <w:sz w:val="16"/>
                <w:szCs w:val="16"/>
              </w:rPr>
            </w:pPr>
            <w:r>
              <w:rPr>
                <w:color w:val="000000"/>
                <w:sz w:val="16"/>
                <w:szCs w:val="16"/>
              </w:rPr>
              <w:t>(1.5, 2.6)</w:t>
            </w:r>
          </w:p>
        </w:tc>
        <w:tc>
          <w:tcPr>
            <w:tcW w:w="569" w:type="dxa"/>
            <w:tcBorders>
              <w:left w:val="single" w:sz="4" w:space="0" w:color="auto"/>
            </w:tcBorders>
            <w:shd w:val="clear" w:color="auto" w:fill="auto"/>
            <w:vAlign w:val="center"/>
          </w:tcPr>
          <w:p w14:paraId="67A504A7" w14:textId="77777777" w:rsidR="00EE2E25" w:rsidRDefault="00EE2E25" w:rsidP="00EE2E25">
            <w:pPr>
              <w:jc w:val="right"/>
              <w:rPr>
                <w:color w:val="000000"/>
                <w:sz w:val="16"/>
                <w:szCs w:val="16"/>
              </w:rPr>
            </w:pPr>
            <w:r>
              <w:rPr>
                <w:color w:val="000000"/>
                <w:sz w:val="16"/>
                <w:szCs w:val="16"/>
              </w:rPr>
              <w:t>31</w:t>
            </w:r>
          </w:p>
        </w:tc>
        <w:tc>
          <w:tcPr>
            <w:tcW w:w="567" w:type="dxa"/>
            <w:shd w:val="clear" w:color="auto" w:fill="auto"/>
            <w:vAlign w:val="center"/>
          </w:tcPr>
          <w:p w14:paraId="40B06E35" w14:textId="77777777" w:rsidR="00EE2E25" w:rsidRDefault="00EE2E25" w:rsidP="00EE2E25">
            <w:pPr>
              <w:jc w:val="right"/>
              <w:rPr>
                <w:color w:val="000000"/>
                <w:sz w:val="16"/>
                <w:szCs w:val="16"/>
              </w:rPr>
            </w:pPr>
            <w:r>
              <w:rPr>
                <w:color w:val="000000"/>
                <w:sz w:val="16"/>
                <w:szCs w:val="16"/>
              </w:rPr>
              <w:t>1.5</w:t>
            </w:r>
          </w:p>
        </w:tc>
        <w:tc>
          <w:tcPr>
            <w:tcW w:w="1123" w:type="dxa"/>
            <w:tcBorders>
              <w:right w:val="single" w:sz="4" w:space="0" w:color="auto"/>
            </w:tcBorders>
            <w:shd w:val="clear" w:color="auto" w:fill="auto"/>
            <w:vAlign w:val="center"/>
          </w:tcPr>
          <w:p w14:paraId="4B80C48A" w14:textId="77777777" w:rsidR="00EE2E25" w:rsidRDefault="00EE2E25" w:rsidP="00EE2E25">
            <w:pPr>
              <w:jc w:val="right"/>
              <w:rPr>
                <w:color w:val="000000"/>
                <w:sz w:val="16"/>
                <w:szCs w:val="16"/>
              </w:rPr>
            </w:pPr>
            <w:r>
              <w:rPr>
                <w:color w:val="000000"/>
                <w:sz w:val="16"/>
                <w:szCs w:val="16"/>
              </w:rPr>
              <w:t>(0.9, 2.0)</w:t>
            </w:r>
          </w:p>
        </w:tc>
        <w:tc>
          <w:tcPr>
            <w:tcW w:w="536" w:type="dxa"/>
            <w:tcBorders>
              <w:left w:val="single" w:sz="4" w:space="0" w:color="auto"/>
            </w:tcBorders>
            <w:shd w:val="clear" w:color="auto" w:fill="auto"/>
            <w:vAlign w:val="center"/>
          </w:tcPr>
          <w:p w14:paraId="2600C172" w14:textId="77777777" w:rsidR="00EE2E25" w:rsidRDefault="00EE2E25" w:rsidP="00EE2E25">
            <w:pPr>
              <w:jc w:val="right"/>
              <w:rPr>
                <w:color w:val="000000"/>
                <w:sz w:val="16"/>
                <w:szCs w:val="16"/>
              </w:rPr>
            </w:pPr>
            <w:r>
              <w:rPr>
                <w:color w:val="000000"/>
                <w:sz w:val="16"/>
                <w:szCs w:val="16"/>
              </w:rPr>
              <w:t>21</w:t>
            </w:r>
          </w:p>
        </w:tc>
        <w:tc>
          <w:tcPr>
            <w:tcW w:w="576" w:type="dxa"/>
            <w:shd w:val="clear" w:color="auto" w:fill="auto"/>
            <w:vAlign w:val="center"/>
          </w:tcPr>
          <w:p w14:paraId="0609E7B1" w14:textId="77777777" w:rsidR="00EE2E25" w:rsidRDefault="00EE2E25" w:rsidP="00EE2E25">
            <w:pPr>
              <w:jc w:val="right"/>
              <w:rPr>
                <w:color w:val="000000"/>
                <w:sz w:val="16"/>
                <w:szCs w:val="16"/>
              </w:rPr>
            </w:pPr>
            <w:r>
              <w:rPr>
                <w:color w:val="000000"/>
                <w:sz w:val="16"/>
                <w:szCs w:val="16"/>
              </w:rPr>
              <w:t>1.2</w:t>
            </w:r>
          </w:p>
        </w:tc>
        <w:tc>
          <w:tcPr>
            <w:tcW w:w="1123" w:type="dxa"/>
            <w:tcBorders>
              <w:right w:val="single" w:sz="4" w:space="0" w:color="auto"/>
            </w:tcBorders>
            <w:shd w:val="clear" w:color="auto" w:fill="auto"/>
            <w:vAlign w:val="center"/>
          </w:tcPr>
          <w:p w14:paraId="450A2A65" w14:textId="77777777" w:rsidR="00EE2E25" w:rsidRDefault="00EE2E25" w:rsidP="00EE2E25">
            <w:pPr>
              <w:jc w:val="right"/>
              <w:rPr>
                <w:color w:val="000000"/>
                <w:sz w:val="16"/>
                <w:szCs w:val="16"/>
              </w:rPr>
            </w:pPr>
            <w:r>
              <w:rPr>
                <w:color w:val="000000"/>
                <w:sz w:val="16"/>
                <w:szCs w:val="16"/>
              </w:rPr>
              <w:t>(0.7, 1.6)</w:t>
            </w:r>
          </w:p>
        </w:tc>
        <w:tc>
          <w:tcPr>
            <w:tcW w:w="536" w:type="dxa"/>
            <w:tcBorders>
              <w:left w:val="single" w:sz="4" w:space="0" w:color="auto"/>
            </w:tcBorders>
            <w:shd w:val="clear" w:color="auto" w:fill="auto"/>
            <w:vAlign w:val="center"/>
          </w:tcPr>
          <w:p w14:paraId="32094E44" w14:textId="77777777" w:rsidR="00EE2E25" w:rsidRDefault="00EE2E25" w:rsidP="00EE2E25">
            <w:pPr>
              <w:jc w:val="right"/>
              <w:rPr>
                <w:color w:val="000000"/>
                <w:sz w:val="16"/>
                <w:szCs w:val="16"/>
              </w:rPr>
            </w:pPr>
            <w:r>
              <w:rPr>
                <w:color w:val="000000"/>
                <w:sz w:val="16"/>
                <w:szCs w:val="16"/>
              </w:rPr>
              <w:t>25</w:t>
            </w:r>
          </w:p>
        </w:tc>
        <w:tc>
          <w:tcPr>
            <w:tcW w:w="567" w:type="dxa"/>
            <w:shd w:val="clear" w:color="auto" w:fill="auto"/>
            <w:vAlign w:val="center"/>
          </w:tcPr>
          <w:p w14:paraId="2A0C5DEC" w14:textId="77777777" w:rsidR="00EE2E25" w:rsidRDefault="00EE2E25" w:rsidP="00EE2E25">
            <w:pPr>
              <w:jc w:val="right"/>
              <w:rPr>
                <w:color w:val="000000"/>
                <w:sz w:val="16"/>
                <w:szCs w:val="16"/>
              </w:rPr>
            </w:pPr>
            <w:r>
              <w:rPr>
                <w:color w:val="000000"/>
                <w:sz w:val="16"/>
                <w:szCs w:val="16"/>
              </w:rPr>
              <w:t>1.6</w:t>
            </w:r>
          </w:p>
        </w:tc>
        <w:tc>
          <w:tcPr>
            <w:tcW w:w="1123" w:type="dxa"/>
            <w:shd w:val="clear" w:color="auto" w:fill="auto"/>
            <w:vAlign w:val="center"/>
          </w:tcPr>
          <w:p w14:paraId="377BEAB2" w14:textId="77777777" w:rsidR="00EE2E25" w:rsidRDefault="00EE2E25" w:rsidP="00EE2E25">
            <w:pPr>
              <w:jc w:val="right"/>
              <w:rPr>
                <w:color w:val="000000"/>
                <w:sz w:val="16"/>
                <w:szCs w:val="16"/>
              </w:rPr>
            </w:pPr>
            <w:r>
              <w:rPr>
                <w:color w:val="000000"/>
                <w:sz w:val="16"/>
                <w:szCs w:val="16"/>
              </w:rPr>
              <w:t>(0.6, 2.6)</w:t>
            </w:r>
          </w:p>
        </w:tc>
      </w:tr>
      <w:tr w:rsidR="00EE2E25" w:rsidRPr="007B4EF8" w14:paraId="3735FC53" w14:textId="77777777" w:rsidTr="00793719">
        <w:trPr>
          <w:jc w:val="center"/>
        </w:trPr>
        <w:tc>
          <w:tcPr>
            <w:tcW w:w="2127" w:type="dxa"/>
          </w:tcPr>
          <w:p w14:paraId="76F9BF37" w14:textId="77777777" w:rsidR="00EE2E25" w:rsidRDefault="00EE2E25" w:rsidP="00EE2E25">
            <w:pPr>
              <w:spacing w:before="20" w:after="20"/>
              <w:ind w:left="34"/>
              <w:rPr>
                <w:rFonts w:eastAsiaTheme="minorEastAsia"/>
                <w:sz w:val="16"/>
                <w:szCs w:val="16"/>
                <w:lang w:eastAsia="en-US"/>
              </w:rPr>
            </w:pPr>
            <w:r w:rsidRPr="00EE2E25">
              <w:rPr>
                <w:rFonts w:eastAsiaTheme="minorEastAsia"/>
                <w:sz w:val="16"/>
                <w:szCs w:val="16"/>
                <w:lang w:eastAsia="en-US"/>
              </w:rPr>
              <w:t>Regular non-continuous gambler</w:t>
            </w:r>
          </w:p>
        </w:tc>
        <w:tc>
          <w:tcPr>
            <w:tcW w:w="2379" w:type="dxa"/>
            <w:shd w:val="clear" w:color="auto" w:fill="auto"/>
            <w:vAlign w:val="center"/>
          </w:tcPr>
          <w:p w14:paraId="66299B43" w14:textId="77777777" w:rsidR="00EE2E25" w:rsidRPr="001B7431" w:rsidRDefault="00EE2E25" w:rsidP="00EE2E25">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shd w:val="clear" w:color="auto" w:fill="auto"/>
            <w:vAlign w:val="center"/>
          </w:tcPr>
          <w:p w14:paraId="653643F6" w14:textId="77777777" w:rsidR="00EE2E25" w:rsidRDefault="00EE2E25" w:rsidP="00EE2E25">
            <w:pPr>
              <w:jc w:val="right"/>
              <w:rPr>
                <w:color w:val="000000"/>
                <w:sz w:val="16"/>
                <w:szCs w:val="16"/>
              </w:rPr>
            </w:pPr>
            <w:r>
              <w:rPr>
                <w:color w:val="000000"/>
                <w:sz w:val="16"/>
                <w:szCs w:val="16"/>
              </w:rPr>
              <w:t>927</w:t>
            </w:r>
          </w:p>
        </w:tc>
        <w:tc>
          <w:tcPr>
            <w:tcW w:w="496" w:type="dxa"/>
            <w:shd w:val="clear" w:color="auto" w:fill="auto"/>
            <w:vAlign w:val="center"/>
          </w:tcPr>
          <w:p w14:paraId="6DDA2069" w14:textId="77777777" w:rsidR="00EE2E25" w:rsidRDefault="00EE2E25" w:rsidP="00EE2E25">
            <w:pPr>
              <w:jc w:val="right"/>
              <w:rPr>
                <w:color w:val="000000"/>
                <w:sz w:val="16"/>
                <w:szCs w:val="16"/>
              </w:rPr>
            </w:pPr>
            <w:r>
              <w:rPr>
                <w:color w:val="000000"/>
                <w:sz w:val="16"/>
                <w:szCs w:val="16"/>
              </w:rPr>
              <w:t>92.1</w:t>
            </w:r>
          </w:p>
        </w:tc>
        <w:tc>
          <w:tcPr>
            <w:tcW w:w="1043" w:type="dxa"/>
            <w:tcBorders>
              <w:right w:val="single" w:sz="4" w:space="0" w:color="auto"/>
            </w:tcBorders>
            <w:shd w:val="clear" w:color="auto" w:fill="auto"/>
            <w:vAlign w:val="center"/>
          </w:tcPr>
          <w:p w14:paraId="641A597F" w14:textId="77777777" w:rsidR="00EE2E25" w:rsidRDefault="00EE2E25" w:rsidP="00EE2E25">
            <w:pPr>
              <w:jc w:val="right"/>
              <w:rPr>
                <w:color w:val="000000"/>
                <w:sz w:val="16"/>
                <w:szCs w:val="16"/>
              </w:rPr>
            </w:pPr>
            <w:r>
              <w:rPr>
                <w:color w:val="000000"/>
                <w:sz w:val="16"/>
                <w:szCs w:val="16"/>
              </w:rPr>
              <w:t>(90.4, 93.7)</w:t>
            </w:r>
          </w:p>
        </w:tc>
        <w:tc>
          <w:tcPr>
            <w:tcW w:w="569" w:type="dxa"/>
            <w:tcBorders>
              <w:left w:val="single" w:sz="4" w:space="0" w:color="auto"/>
            </w:tcBorders>
            <w:shd w:val="clear" w:color="auto" w:fill="auto"/>
            <w:vAlign w:val="center"/>
          </w:tcPr>
          <w:p w14:paraId="61E858FE" w14:textId="77777777" w:rsidR="00EE2E25" w:rsidRDefault="00EE2E25" w:rsidP="00EE2E25">
            <w:pPr>
              <w:jc w:val="right"/>
              <w:rPr>
                <w:color w:val="000000"/>
                <w:sz w:val="16"/>
                <w:szCs w:val="16"/>
              </w:rPr>
            </w:pPr>
            <w:r>
              <w:rPr>
                <w:color w:val="000000"/>
                <w:sz w:val="16"/>
                <w:szCs w:val="16"/>
              </w:rPr>
              <w:t>485</w:t>
            </w:r>
          </w:p>
        </w:tc>
        <w:tc>
          <w:tcPr>
            <w:tcW w:w="567" w:type="dxa"/>
            <w:shd w:val="clear" w:color="auto" w:fill="auto"/>
            <w:vAlign w:val="center"/>
          </w:tcPr>
          <w:p w14:paraId="29AAEBC8" w14:textId="77777777" w:rsidR="00EE2E25" w:rsidRDefault="00EE2E25" w:rsidP="00EE2E25">
            <w:pPr>
              <w:jc w:val="right"/>
              <w:rPr>
                <w:color w:val="000000"/>
                <w:sz w:val="16"/>
                <w:szCs w:val="16"/>
              </w:rPr>
            </w:pPr>
            <w:r>
              <w:rPr>
                <w:color w:val="000000"/>
                <w:sz w:val="16"/>
                <w:szCs w:val="16"/>
              </w:rPr>
              <w:t>88.5</w:t>
            </w:r>
          </w:p>
        </w:tc>
        <w:tc>
          <w:tcPr>
            <w:tcW w:w="1123" w:type="dxa"/>
            <w:tcBorders>
              <w:right w:val="single" w:sz="4" w:space="0" w:color="auto"/>
            </w:tcBorders>
            <w:shd w:val="clear" w:color="auto" w:fill="auto"/>
            <w:vAlign w:val="center"/>
          </w:tcPr>
          <w:p w14:paraId="1D241387" w14:textId="77777777" w:rsidR="00EE2E25" w:rsidRDefault="00EE2E25" w:rsidP="00EE2E25">
            <w:pPr>
              <w:jc w:val="right"/>
              <w:rPr>
                <w:color w:val="000000"/>
                <w:sz w:val="16"/>
                <w:szCs w:val="16"/>
              </w:rPr>
            </w:pPr>
            <w:r>
              <w:rPr>
                <w:color w:val="000000"/>
                <w:sz w:val="16"/>
                <w:szCs w:val="16"/>
              </w:rPr>
              <w:t>(85.6, 91.4)</w:t>
            </w:r>
          </w:p>
        </w:tc>
        <w:tc>
          <w:tcPr>
            <w:tcW w:w="536" w:type="dxa"/>
            <w:tcBorders>
              <w:left w:val="single" w:sz="4" w:space="0" w:color="auto"/>
            </w:tcBorders>
            <w:shd w:val="clear" w:color="auto" w:fill="auto"/>
            <w:vAlign w:val="center"/>
          </w:tcPr>
          <w:p w14:paraId="0C0DDA8B" w14:textId="77777777" w:rsidR="00EE2E25" w:rsidRDefault="00EE2E25" w:rsidP="00EE2E25">
            <w:pPr>
              <w:jc w:val="right"/>
              <w:rPr>
                <w:color w:val="000000"/>
                <w:sz w:val="16"/>
                <w:szCs w:val="16"/>
              </w:rPr>
            </w:pPr>
            <w:r>
              <w:rPr>
                <w:color w:val="000000"/>
                <w:sz w:val="16"/>
                <w:szCs w:val="16"/>
              </w:rPr>
              <w:t>428</w:t>
            </w:r>
          </w:p>
        </w:tc>
        <w:tc>
          <w:tcPr>
            <w:tcW w:w="576" w:type="dxa"/>
            <w:shd w:val="clear" w:color="auto" w:fill="auto"/>
            <w:vAlign w:val="center"/>
          </w:tcPr>
          <w:p w14:paraId="0A85B854" w14:textId="77777777" w:rsidR="00EE2E25" w:rsidRDefault="00EE2E25" w:rsidP="00EE2E25">
            <w:pPr>
              <w:jc w:val="right"/>
              <w:rPr>
                <w:color w:val="000000"/>
                <w:sz w:val="16"/>
                <w:szCs w:val="16"/>
              </w:rPr>
            </w:pPr>
            <w:r>
              <w:rPr>
                <w:color w:val="000000"/>
                <w:sz w:val="16"/>
                <w:szCs w:val="16"/>
              </w:rPr>
              <w:t>89.7</w:t>
            </w:r>
          </w:p>
        </w:tc>
        <w:tc>
          <w:tcPr>
            <w:tcW w:w="1123" w:type="dxa"/>
            <w:tcBorders>
              <w:right w:val="single" w:sz="4" w:space="0" w:color="auto"/>
            </w:tcBorders>
            <w:shd w:val="clear" w:color="auto" w:fill="auto"/>
            <w:vAlign w:val="center"/>
          </w:tcPr>
          <w:p w14:paraId="46FD19F9" w14:textId="77777777" w:rsidR="00EE2E25" w:rsidRDefault="00EE2E25" w:rsidP="00EE2E25">
            <w:pPr>
              <w:jc w:val="right"/>
              <w:rPr>
                <w:color w:val="000000"/>
                <w:sz w:val="16"/>
                <w:szCs w:val="16"/>
              </w:rPr>
            </w:pPr>
            <w:r>
              <w:rPr>
                <w:color w:val="000000"/>
                <w:sz w:val="16"/>
                <w:szCs w:val="16"/>
              </w:rPr>
              <w:t>(86.9, 92.5)</w:t>
            </w:r>
          </w:p>
        </w:tc>
        <w:tc>
          <w:tcPr>
            <w:tcW w:w="536" w:type="dxa"/>
            <w:tcBorders>
              <w:left w:val="single" w:sz="4" w:space="0" w:color="auto"/>
            </w:tcBorders>
            <w:shd w:val="clear" w:color="auto" w:fill="auto"/>
            <w:vAlign w:val="center"/>
          </w:tcPr>
          <w:p w14:paraId="76DA4CC8" w14:textId="77777777" w:rsidR="00EE2E25" w:rsidRDefault="00EE2E25" w:rsidP="00EE2E25">
            <w:pPr>
              <w:jc w:val="right"/>
              <w:rPr>
                <w:color w:val="000000"/>
                <w:sz w:val="16"/>
                <w:szCs w:val="16"/>
              </w:rPr>
            </w:pPr>
            <w:r>
              <w:rPr>
                <w:color w:val="000000"/>
                <w:sz w:val="16"/>
                <w:szCs w:val="16"/>
              </w:rPr>
              <w:t>333</w:t>
            </w:r>
          </w:p>
        </w:tc>
        <w:tc>
          <w:tcPr>
            <w:tcW w:w="567" w:type="dxa"/>
            <w:shd w:val="clear" w:color="auto" w:fill="auto"/>
            <w:vAlign w:val="center"/>
          </w:tcPr>
          <w:p w14:paraId="2FC08101" w14:textId="77777777" w:rsidR="00EE2E25" w:rsidRDefault="00EE2E25" w:rsidP="00EE2E25">
            <w:pPr>
              <w:jc w:val="right"/>
              <w:rPr>
                <w:color w:val="000000"/>
                <w:sz w:val="16"/>
                <w:szCs w:val="16"/>
              </w:rPr>
            </w:pPr>
            <w:r>
              <w:rPr>
                <w:color w:val="000000"/>
                <w:sz w:val="16"/>
                <w:szCs w:val="16"/>
              </w:rPr>
              <w:t>88.7</w:t>
            </w:r>
          </w:p>
        </w:tc>
        <w:tc>
          <w:tcPr>
            <w:tcW w:w="1123" w:type="dxa"/>
            <w:shd w:val="clear" w:color="auto" w:fill="auto"/>
            <w:vAlign w:val="center"/>
          </w:tcPr>
          <w:p w14:paraId="0721D005" w14:textId="77777777" w:rsidR="00EE2E25" w:rsidRDefault="00EE2E25" w:rsidP="00EE2E25">
            <w:pPr>
              <w:jc w:val="right"/>
              <w:rPr>
                <w:color w:val="000000"/>
                <w:sz w:val="16"/>
                <w:szCs w:val="16"/>
              </w:rPr>
            </w:pPr>
            <w:r>
              <w:rPr>
                <w:color w:val="000000"/>
                <w:sz w:val="16"/>
                <w:szCs w:val="16"/>
              </w:rPr>
              <w:t>(85.4, 92</w:t>
            </w:r>
            <w:r w:rsidR="00EC6DEA">
              <w:rPr>
                <w:color w:val="000000"/>
                <w:sz w:val="16"/>
                <w:szCs w:val="16"/>
              </w:rPr>
              <w:t>.0</w:t>
            </w:r>
            <w:r>
              <w:rPr>
                <w:color w:val="000000"/>
                <w:sz w:val="16"/>
                <w:szCs w:val="16"/>
              </w:rPr>
              <w:t>)</w:t>
            </w:r>
          </w:p>
        </w:tc>
      </w:tr>
      <w:tr w:rsidR="00EE2E25" w:rsidRPr="007B4EF8" w14:paraId="25585AE5" w14:textId="77777777" w:rsidTr="00793719">
        <w:trPr>
          <w:jc w:val="center"/>
        </w:trPr>
        <w:tc>
          <w:tcPr>
            <w:tcW w:w="2127" w:type="dxa"/>
          </w:tcPr>
          <w:p w14:paraId="2D1DD1F2" w14:textId="77777777" w:rsidR="00EE2E25" w:rsidRDefault="00EE2E25" w:rsidP="00EE2E25">
            <w:pPr>
              <w:spacing w:before="20" w:after="20"/>
              <w:ind w:left="34"/>
              <w:rPr>
                <w:rFonts w:eastAsiaTheme="minorEastAsia"/>
                <w:sz w:val="16"/>
                <w:szCs w:val="16"/>
                <w:lang w:eastAsia="en-US"/>
              </w:rPr>
            </w:pPr>
          </w:p>
        </w:tc>
        <w:tc>
          <w:tcPr>
            <w:tcW w:w="2379" w:type="dxa"/>
            <w:shd w:val="clear" w:color="auto" w:fill="auto"/>
          </w:tcPr>
          <w:p w14:paraId="6C0C09ED" w14:textId="77777777" w:rsidR="00EE2E25" w:rsidRPr="001B7431" w:rsidRDefault="00EE2E25" w:rsidP="00EE2E25">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shd w:val="clear" w:color="auto" w:fill="auto"/>
            <w:vAlign w:val="center"/>
          </w:tcPr>
          <w:p w14:paraId="24E5C136" w14:textId="77777777" w:rsidR="00EE2E25" w:rsidRDefault="00EE2E25" w:rsidP="00EE2E25">
            <w:pPr>
              <w:jc w:val="right"/>
              <w:rPr>
                <w:color w:val="000000"/>
                <w:sz w:val="16"/>
                <w:szCs w:val="16"/>
              </w:rPr>
            </w:pPr>
            <w:r>
              <w:rPr>
                <w:color w:val="000000"/>
                <w:sz w:val="16"/>
                <w:szCs w:val="16"/>
              </w:rPr>
              <w:t>54</w:t>
            </w:r>
          </w:p>
        </w:tc>
        <w:tc>
          <w:tcPr>
            <w:tcW w:w="496" w:type="dxa"/>
            <w:shd w:val="clear" w:color="auto" w:fill="auto"/>
            <w:vAlign w:val="center"/>
          </w:tcPr>
          <w:p w14:paraId="1D31EEB0" w14:textId="77777777" w:rsidR="00EE2E25" w:rsidRDefault="00EE2E25" w:rsidP="00EE2E25">
            <w:pPr>
              <w:jc w:val="right"/>
              <w:rPr>
                <w:color w:val="000000"/>
                <w:sz w:val="16"/>
                <w:szCs w:val="16"/>
              </w:rPr>
            </w:pPr>
            <w:r>
              <w:rPr>
                <w:color w:val="000000"/>
                <w:sz w:val="16"/>
                <w:szCs w:val="16"/>
              </w:rPr>
              <w:t>5.4</w:t>
            </w:r>
          </w:p>
        </w:tc>
        <w:tc>
          <w:tcPr>
            <w:tcW w:w="1043" w:type="dxa"/>
            <w:tcBorders>
              <w:right w:val="single" w:sz="4" w:space="0" w:color="auto"/>
            </w:tcBorders>
            <w:shd w:val="clear" w:color="auto" w:fill="auto"/>
            <w:vAlign w:val="center"/>
          </w:tcPr>
          <w:p w14:paraId="1F9EA703" w14:textId="77777777" w:rsidR="00EE2E25" w:rsidRDefault="00EE2E25" w:rsidP="00EE2E25">
            <w:pPr>
              <w:jc w:val="right"/>
              <w:rPr>
                <w:color w:val="000000"/>
                <w:sz w:val="16"/>
                <w:szCs w:val="16"/>
              </w:rPr>
            </w:pPr>
            <w:r>
              <w:rPr>
                <w:color w:val="000000"/>
                <w:sz w:val="16"/>
                <w:szCs w:val="16"/>
              </w:rPr>
              <w:t>(3.9, 6.8)</w:t>
            </w:r>
          </w:p>
        </w:tc>
        <w:tc>
          <w:tcPr>
            <w:tcW w:w="569" w:type="dxa"/>
            <w:tcBorders>
              <w:left w:val="single" w:sz="4" w:space="0" w:color="auto"/>
            </w:tcBorders>
            <w:shd w:val="clear" w:color="auto" w:fill="auto"/>
            <w:vAlign w:val="center"/>
          </w:tcPr>
          <w:p w14:paraId="2479E619" w14:textId="77777777" w:rsidR="00EE2E25" w:rsidRDefault="00EE2E25" w:rsidP="00EE2E25">
            <w:pPr>
              <w:jc w:val="right"/>
              <w:rPr>
                <w:color w:val="000000"/>
                <w:sz w:val="16"/>
                <w:szCs w:val="16"/>
              </w:rPr>
            </w:pPr>
            <w:r>
              <w:rPr>
                <w:color w:val="000000"/>
                <w:sz w:val="16"/>
                <w:szCs w:val="16"/>
              </w:rPr>
              <w:t>48</w:t>
            </w:r>
          </w:p>
        </w:tc>
        <w:tc>
          <w:tcPr>
            <w:tcW w:w="567" w:type="dxa"/>
            <w:shd w:val="clear" w:color="auto" w:fill="auto"/>
            <w:vAlign w:val="center"/>
          </w:tcPr>
          <w:p w14:paraId="737D15E9" w14:textId="77777777" w:rsidR="00EE2E25" w:rsidRDefault="00EE2E25" w:rsidP="00EE2E25">
            <w:pPr>
              <w:jc w:val="right"/>
              <w:rPr>
                <w:color w:val="000000"/>
                <w:sz w:val="16"/>
                <w:szCs w:val="16"/>
              </w:rPr>
            </w:pPr>
            <w:r>
              <w:rPr>
                <w:color w:val="000000"/>
                <w:sz w:val="16"/>
                <w:szCs w:val="16"/>
              </w:rPr>
              <w:t>8.8</w:t>
            </w:r>
          </w:p>
        </w:tc>
        <w:tc>
          <w:tcPr>
            <w:tcW w:w="1123" w:type="dxa"/>
            <w:tcBorders>
              <w:right w:val="single" w:sz="4" w:space="0" w:color="auto"/>
            </w:tcBorders>
            <w:shd w:val="clear" w:color="auto" w:fill="auto"/>
            <w:vAlign w:val="center"/>
          </w:tcPr>
          <w:p w14:paraId="20BE7AC4" w14:textId="77777777" w:rsidR="00EE2E25" w:rsidRDefault="00EE2E25" w:rsidP="00EE2E25">
            <w:pPr>
              <w:jc w:val="right"/>
              <w:rPr>
                <w:color w:val="000000"/>
                <w:sz w:val="16"/>
                <w:szCs w:val="16"/>
              </w:rPr>
            </w:pPr>
            <w:r>
              <w:rPr>
                <w:color w:val="000000"/>
                <w:sz w:val="16"/>
                <w:szCs w:val="16"/>
              </w:rPr>
              <w:t>(6.1, 11.4)</w:t>
            </w:r>
          </w:p>
        </w:tc>
        <w:tc>
          <w:tcPr>
            <w:tcW w:w="536" w:type="dxa"/>
            <w:tcBorders>
              <w:left w:val="single" w:sz="4" w:space="0" w:color="auto"/>
            </w:tcBorders>
            <w:shd w:val="clear" w:color="auto" w:fill="auto"/>
            <w:vAlign w:val="center"/>
          </w:tcPr>
          <w:p w14:paraId="46787311" w14:textId="77777777" w:rsidR="00EE2E25" w:rsidRDefault="00EE2E25" w:rsidP="00EE2E25">
            <w:pPr>
              <w:jc w:val="right"/>
              <w:rPr>
                <w:color w:val="000000"/>
                <w:sz w:val="16"/>
                <w:szCs w:val="16"/>
              </w:rPr>
            </w:pPr>
            <w:r>
              <w:rPr>
                <w:color w:val="000000"/>
                <w:sz w:val="16"/>
                <w:szCs w:val="16"/>
              </w:rPr>
              <w:t>37</w:t>
            </w:r>
          </w:p>
        </w:tc>
        <w:tc>
          <w:tcPr>
            <w:tcW w:w="576" w:type="dxa"/>
            <w:shd w:val="clear" w:color="auto" w:fill="auto"/>
            <w:vAlign w:val="center"/>
          </w:tcPr>
          <w:p w14:paraId="15E3200E" w14:textId="77777777" w:rsidR="00EE2E25" w:rsidRDefault="00EE2E25" w:rsidP="00EE2E25">
            <w:pPr>
              <w:jc w:val="right"/>
              <w:rPr>
                <w:color w:val="000000"/>
                <w:sz w:val="16"/>
                <w:szCs w:val="16"/>
              </w:rPr>
            </w:pPr>
            <w:r>
              <w:rPr>
                <w:color w:val="000000"/>
                <w:sz w:val="16"/>
                <w:szCs w:val="16"/>
              </w:rPr>
              <w:t>7.7</w:t>
            </w:r>
          </w:p>
        </w:tc>
        <w:tc>
          <w:tcPr>
            <w:tcW w:w="1123" w:type="dxa"/>
            <w:tcBorders>
              <w:right w:val="single" w:sz="4" w:space="0" w:color="auto"/>
            </w:tcBorders>
            <w:shd w:val="clear" w:color="auto" w:fill="auto"/>
            <w:vAlign w:val="center"/>
          </w:tcPr>
          <w:p w14:paraId="45517A80" w14:textId="77777777" w:rsidR="00EE2E25" w:rsidRDefault="00EE2E25" w:rsidP="00EE2E25">
            <w:pPr>
              <w:jc w:val="right"/>
              <w:rPr>
                <w:color w:val="000000"/>
                <w:sz w:val="16"/>
                <w:szCs w:val="16"/>
              </w:rPr>
            </w:pPr>
            <w:r>
              <w:rPr>
                <w:color w:val="000000"/>
                <w:sz w:val="16"/>
                <w:szCs w:val="16"/>
              </w:rPr>
              <w:t>(5.2, 10.2)</w:t>
            </w:r>
          </w:p>
        </w:tc>
        <w:tc>
          <w:tcPr>
            <w:tcW w:w="536" w:type="dxa"/>
            <w:tcBorders>
              <w:left w:val="single" w:sz="4" w:space="0" w:color="auto"/>
            </w:tcBorders>
            <w:shd w:val="clear" w:color="auto" w:fill="auto"/>
            <w:vAlign w:val="center"/>
          </w:tcPr>
          <w:p w14:paraId="61D549EE" w14:textId="77777777" w:rsidR="00EE2E25" w:rsidRDefault="00EE2E25" w:rsidP="00EE2E25">
            <w:pPr>
              <w:jc w:val="right"/>
              <w:rPr>
                <w:color w:val="000000"/>
                <w:sz w:val="16"/>
                <w:szCs w:val="16"/>
              </w:rPr>
            </w:pPr>
            <w:r>
              <w:rPr>
                <w:color w:val="000000"/>
                <w:sz w:val="16"/>
                <w:szCs w:val="16"/>
              </w:rPr>
              <w:t>31</w:t>
            </w:r>
          </w:p>
        </w:tc>
        <w:tc>
          <w:tcPr>
            <w:tcW w:w="567" w:type="dxa"/>
            <w:shd w:val="clear" w:color="auto" w:fill="auto"/>
            <w:vAlign w:val="center"/>
          </w:tcPr>
          <w:p w14:paraId="4E820999" w14:textId="77777777" w:rsidR="00EE2E25" w:rsidRDefault="00EE2E25" w:rsidP="00EE2E25">
            <w:pPr>
              <w:jc w:val="right"/>
              <w:rPr>
                <w:color w:val="000000"/>
                <w:sz w:val="16"/>
                <w:szCs w:val="16"/>
              </w:rPr>
            </w:pPr>
            <w:r>
              <w:rPr>
                <w:color w:val="000000"/>
                <w:sz w:val="16"/>
                <w:szCs w:val="16"/>
              </w:rPr>
              <w:t>8.3</w:t>
            </w:r>
          </w:p>
        </w:tc>
        <w:tc>
          <w:tcPr>
            <w:tcW w:w="1123" w:type="dxa"/>
            <w:shd w:val="clear" w:color="auto" w:fill="auto"/>
            <w:vAlign w:val="center"/>
          </w:tcPr>
          <w:p w14:paraId="6DB72020" w14:textId="77777777" w:rsidR="00EE2E25" w:rsidRDefault="00EE2E25" w:rsidP="00EE2E25">
            <w:pPr>
              <w:jc w:val="right"/>
              <w:rPr>
                <w:color w:val="000000"/>
                <w:sz w:val="16"/>
                <w:szCs w:val="16"/>
              </w:rPr>
            </w:pPr>
            <w:r>
              <w:rPr>
                <w:color w:val="000000"/>
                <w:sz w:val="16"/>
                <w:szCs w:val="16"/>
              </w:rPr>
              <w:t>(5.4, 11.1)</w:t>
            </w:r>
          </w:p>
        </w:tc>
      </w:tr>
      <w:tr w:rsidR="00EE2E25" w:rsidRPr="007B4EF8" w14:paraId="22A860DC" w14:textId="77777777" w:rsidTr="00793719">
        <w:trPr>
          <w:jc w:val="center"/>
        </w:trPr>
        <w:tc>
          <w:tcPr>
            <w:tcW w:w="2127" w:type="dxa"/>
          </w:tcPr>
          <w:p w14:paraId="49A3D2FD" w14:textId="77777777" w:rsidR="00EE2E25" w:rsidRPr="00EE2E25" w:rsidRDefault="00EE2E25" w:rsidP="00EE2E25">
            <w:pPr>
              <w:keepNext/>
              <w:spacing w:before="20" w:after="20"/>
              <w:ind w:left="34"/>
              <w:rPr>
                <w:rFonts w:eastAsiaTheme="minorEastAsia"/>
                <w:sz w:val="16"/>
                <w:szCs w:val="16"/>
                <w:lang w:eastAsia="en-US"/>
              </w:rPr>
            </w:pPr>
          </w:p>
        </w:tc>
        <w:tc>
          <w:tcPr>
            <w:tcW w:w="2379" w:type="dxa"/>
            <w:shd w:val="clear" w:color="auto" w:fill="auto"/>
          </w:tcPr>
          <w:p w14:paraId="2CE21EE9" w14:textId="77777777" w:rsidR="00EE2E25" w:rsidRPr="001B7431" w:rsidRDefault="00EE2E25" w:rsidP="00EE2E25">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shd w:val="clear" w:color="auto" w:fill="auto"/>
            <w:vAlign w:val="center"/>
          </w:tcPr>
          <w:p w14:paraId="79C892CE" w14:textId="77777777" w:rsidR="00EE2E25" w:rsidRDefault="00EE2E25" w:rsidP="00EE2E25">
            <w:pPr>
              <w:jc w:val="right"/>
              <w:rPr>
                <w:color w:val="000000"/>
                <w:sz w:val="16"/>
                <w:szCs w:val="16"/>
              </w:rPr>
            </w:pPr>
            <w:r>
              <w:rPr>
                <w:color w:val="000000"/>
                <w:sz w:val="16"/>
                <w:szCs w:val="16"/>
              </w:rPr>
              <w:t>26</w:t>
            </w:r>
          </w:p>
        </w:tc>
        <w:tc>
          <w:tcPr>
            <w:tcW w:w="496" w:type="dxa"/>
            <w:shd w:val="clear" w:color="auto" w:fill="auto"/>
            <w:vAlign w:val="center"/>
          </w:tcPr>
          <w:p w14:paraId="1EB4D197" w14:textId="77777777" w:rsidR="00EE2E25" w:rsidRDefault="00EE2E25" w:rsidP="00EE2E25">
            <w:pPr>
              <w:jc w:val="right"/>
              <w:rPr>
                <w:color w:val="000000"/>
                <w:sz w:val="16"/>
                <w:szCs w:val="16"/>
              </w:rPr>
            </w:pPr>
            <w:r>
              <w:rPr>
                <w:color w:val="000000"/>
                <w:sz w:val="16"/>
                <w:szCs w:val="16"/>
              </w:rPr>
              <w:t>2.6</w:t>
            </w:r>
          </w:p>
        </w:tc>
        <w:tc>
          <w:tcPr>
            <w:tcW w:w="1043" w:type="dxa"/>
            <w:tcBorders>
              <w:right w:val="single" w:sz="4" w:space="0" w:color="auto"/>
            </w:tcBorders>
            <w:shd w:val="clear" w:color="auto" w:fill="auto"/>
            <w:vAlign w:val="center"/>
          </w:tcPr>
          <w:p w14:paraId="19D93EF0" w14:textId="77777777" w:rsidR="00EE2E25" w:rsidRDefault="00EE2E25" w:rsidP="00EE2E25">
            <w:pPr>
              <w:jc w:val="right"/>
              <w:rPr>
                <w:color w:val="000000"/>
                <w:sz w:val="16"/>
                <w:szCs w:val="16"/>
              </w:rPr>
            </w:pPr>
            <w:r>
              <w:rPr>
                <w:color w:val="000000"/>
                <w:sz w:val="16"/>
                <w:szCs w:val="16"/>
              </w:rPr>
              <w:t>(1.6, 3.5)</w:t>
            </w:r>
          </w:p>
        </w:tc>
        <w:tc>
          <w:tcPr>
            <w:tcW w:w="569" w:type="dxa"/>
            <w:tcBorders>
              <w:left w:val="single" w:sz="4" w:space="0" w:color="auto"/>
            </w:tcBorders>
            <w:shd w:val="clear" w:color="auto" w:fill="auto"/>
            <w:vAlign w:val="center"/>
          </w:tcPr>
          <w:p w14:paraId="3E502FB1" w14:textId="77777777" w:rsidR="00EE2E25" w:rsidRDefault="00EE2E25" w:rsidP="00EE2E25">
            <w:pPr>
              <w:jc w:val="right"/>
              <w:rPr>
                <w:color w:val="000000"/>
                <w:sz w:val="16"/>
                <w:szCs w:val="16"/>
              </w:rPr>
            </w:pPr>
            <w:r>
              <w:rPr>
                <w:color w:val="000000"/>
                <w:sz w:val="16"/>
                <w:szCs w:val="16"/>
              </w:rPr>
              <w:t>15</w:t>
            </w:r>
          </w:p>
        </w:tc>
        <w:tc>
          <w:tcPr>
            <w:tcW w:w="567" w:type="dxa"/>
            <w:shd w:val="clear" w:color="auto" w:fill="auto"/>
            <w:vAlign w:val="center"/>
          </w:tcPr>
          <w:p w14:paraId="25425D1D" w14:textId="77777777" w:rsidR="00EE2E25" w:rsidRDefault="00EE2E25" w:rsidP="00EE2E25">
            <w:pPr>
              <w:jc w:val="right"/>
              <w:rPr>
                <w:color w:val="000000"/>
                <w:sz w:val="16"/>
                <w:szCs w:val="16"/>
              </w:rPr>
            </w:pPr>
            <w:r>
              <w:rPr>
                <w:color w:val="000000"/>
                <w:sz w:val="16"/>
                <w:szCs w:val="16"/>
              </w:rPr>
              <w:t>2.7</w:t>
            </w:r>
          </w:p>
        </w:tc>
        <w:tc>
          <w:tcPr>
            <w:tcW w:w="1123" w:type="dxa"/>
            <w:tcBorders>
              <w:right w:val="single" w:sz="4" w:space="0" w:color="auto"/>
            </w:tcBorders>
            <w:shd w:val="clear" w:color="auto" w:fill="auto"/>
            <w:vAlign w:val="center"/>
          </w:tcPr>
          <w:p w14:paraId="7DFAE3C5" w14:textId="77777777" w:rsidR="00EE2E25" w:rsidRDefault="00EE2E25" w:rsidP="00EE2E25">
            <w:pPr>
              <w:jc w:val="right"/>
              <w:rPr>
                <w:color w:val="000000"/>
                <w:sz w:val="16"/>
                <w:szCs w:val="16"/>
              </w:rPr>
            </w:pPr>
            <w:r>
              <w:rPr>
                <w:color w:val="000000"/>
                <w:sz w:val="16"/>
                <w:szCs w:val="16"/>
              </w:rPr>
              <w:t>(1.4, 4.0)</w:t>
            </w:r>
          </w:p>
        </w:tc>
        <w:tc>
          <w:tcPr>
            <w:tcW w:w="536" w:type="dxa"/>
            <w:tcBorders>
              <w:left w:val="single" w:sz="4" w:space="0" w:color="auto"/>
            </w:tcBorders>
            <w:shd w:val="clear" w:color="auto" w:fill="auto"/>
            <w:vAlign w:val="center"/>
          </w:tcPr>
          <w:p w14:paraId="1D00EC49" w14:textId="77777777" w:rsidR="00EE2E25" w:rsidRDefault="00EE2E25" w:rsidP="00EE2E25">
            <w:pPr>
              <w:jc w:val="right"/>
              <w:rPr>
                <w:color w:val="000000"/>
                <w:sz w:val="16"/>
                <w:szCs w:val="16"/>
              </w:rPr>
            </w:pPr>
            <w:r>
              <w:rPr>
                <w:color w:val="000000"/>
                <w:sz w:val="16"/>
                <w:szCs w:val="16"/>
              </w:rPr>
              <w:t>12</w:t>
            </w:r>
          </w:p>
        </w:tc>
        <w:tc>
          <w:tcPr>
            <w:tcW w:w="576" w:type="dxa"/>
            <w:shd w:val="clear" w:color="auto" w:fill="auto"/>
            <w:vAlign w:val="center"/>
          </w:tcPr>
          <w:p w14:paraId="47757FC4" w14:textId="77777777" w:rsidR="00EE2E25" w:rsidRDefault="00EE2E25" w:rsidP="00EE2E25">
            <w:pPr>
              <w:jc w:val="right"/>
              <w:rPr>
                <w:color w:val="000000"/>
                <w:sz w:val="16"/>
                <w:szCs w:val="16"/>
              </w:rPr>
            </w:pPr>
            <w:r>
              <w:rPr>
                <w:color w:val="000000"/>
                <w:sz w:val="16"/>
                <w:szCs w:val="16"/>
              </w:rPr>
              <w:t>2.6</w:t>
            </w:r>
          </w:p>
        </w:tc>
        <w:tc>
          <w:tcPr>
            <w:tcW w:w="1123" w:type="dxa"/>
            <w:tcBorders>
              <w:right w:val="single" w:sz="4" w:space="0" w:color="auto"/>
            </w:tcBorders>
            <w:shd w:val="clear" w:color="auto" w:fill="auto"/>
            <w:vAlign w:val="center"/>
          </w:tcPr>
          <w:p w14:paraId="01B3547B" w14:textId="77777777" w:rsidR="00EE2E25" w:rsidRDefault="00EE2E25" w:rsidP="00EE2E25">
            <w:pPr>
              <w:jc w:val="right"/>
              <w:rPr>
                <w:color w:val="000000"/>
                <w:sz w:val="16"/>
                <w:szCs w:val="16"/>
              </w:rPr>
            </w:pPr>
            <w:r>
              <w:rPr>
                <w:color w:val="000000"/>
                <w:sz w:val="16"/>
                <w:szCs w:val="16"/>
              </w:rPr>
              <w:t>(1.2, 4.0)</w:t>
            </w:r>
          </w:p>
        </w:tc>
        <w:tc>
          <w:tcPr>
            <w:tcW w:w="536" w:type="dxa"/>
            <w:tcBorders>
              <w:left w:val="single" w:sz="4" w:space="0" w:color="auto"/>
            </w:tcBorders>
            <w:shd w:val="clear" w:color="auto" w:fill="auto"/>
            <w:vAlign w:val="center"/>
          </w:tcPr>
          <w:p w14:paraId="57BC90BB" w14:textId="77777777" w:rsidR="00EE2E25" w:rsidRDefault="00EE2E25" w:rsidP="00EE2E25">
            <w:pPr>
              <w:jc w:val="right"/>
              <w:rPr>
                <w:color w:val="000000"/>
                <w:sz w:val="16"/>
                <w:szCs w:val="16"/>
              </w:rPr>
            </w:pPr>
            <w:r>
              <w:rPr>
                <w:color w:val="000000"/>
                <w:sz w:val="16"/>
                <w:szCs w:val="16"/>
              </w:rPr>
              <w:t>11</w:t>
            </w:r>
          </w:p>
        </w:tc>
        <w:tc>
          <w:tcPr>
            <w:tcW w:w="567" w:type="dxa"/>
            <w:shd w:val="clear" w:color="auto" w:fill="auto"/>
            <w:vAlign w:val="center"/>
          </w:tcPr>
          <w:p w14:paraId="7809298E" w14:textId="77777777" w:rsidR="00EE2E25" w:rsidRDefault="00EE2E25" w:rsidP="00EE2E25">
            <w:pPr>
              <w:jc w:val="right"/>
              <w:rPr>
                <w:color w:val="000000"/>
                <w:sz w:val="16"/>
                <w:szCs w:val="16"/>
              </w:rPr>
            </w:pPr>
            <w:r>
              <w:rPr>
                <w:color w:val="000000"/>
                <w:sz w:val="16"/>
                <w:szCs w:val="16"/>
              </w:rPr>
              <w:t>3.1</w:t>
            </w:r>
          </w:p>
        </w:tc>
        <w:tc>
          <w:tcPr>
            <w:tcW w:w="1123" w:type="dxa"/>
            <w:shd w:val="clear" w:color="auto" w:fill="auto"/>
            <w:vAlign w:val="center"/>
          </w:tcPr>
          <w:p w14:paraId="128C1257" w14:textId="77777777" w:rsidR="00EE2E25" w:rsidRDefault="00EE2E25" w:rsidP="00EE2E25">
            <w:pPr>
              <w:jc w:val="right"/>
              <w:rPr>
                <w:color w:val="000000"/>
                <w:sz w:val="16"/>
                <w:szCs w:val="16"/>
              </w:rPr>
            </w:pPr>
            <w:r>
              <w:rPr>
                <w:color w:val="000000"/>
                <w:sz w:val="16"/>
                <w:szCs w:val="16"/>
              </w:rPr>
              <w:t>(1.2, 4.9)</w:t>
            </w:r>
          </w:p>
        </w:tc>
      </w:tr>
      <w:tr w:rsidR="00EE2E25" w:rsidRPr="007B4EF8" w14:paraId="5DA68CA9" w14:textId="77777777" w:rsidTr="00793719">
        <w:trPr>
          <w:jc w:val="center"/>
        </w:trPr>
        <w:tc>
          <w:tcPr>
            <w:tcW w:w="2127" w:type="dxa"/>
          </w:tcPr>
          <w:p w14:paraId="309895D0" w14:textId="77777777" w:rsidR="00EE2E25" w:rsidRPr="00EE2E25" w:rsidRDefault="00EE2E25" w:rsidP="00EE2E25">
            <w:pPr>
              <w:keepNext/>
              <w:spacing w:before="20" w:after="20"/>
              <w:ind w:left="34"/>
              <w:rPr>
                <w:rFonts w:eastAsiaTheme="minorEastAsia"/>
                <w:sz w:val="16"/>
                <w:szCs w:val="16"/>
                <w:lang w:eastAsia="en-US"/>
              </w:rPr>
            </w:pPr>
            <w:r w:rsidRPr="00EE2E25">
              <w:rPr>
                <w:rFonts w:eastAsiaTheme="minorEastAsia"/>
                <w:sz w:val="16"/>
                <w:szCs w:val="16"/>
                <w:lang w:eastAsia="en-US"/>
              </w:rPr>
              <w:t>Regular continuous gambler</w:t>
            </w:r>
          </w:p>
        </w:tc>
        <w:tc>
          <w:tcPr>
            <w:tcW w:w="2379" w:type="dxa"/>
            <w:shd w:val="clear" w:color="auto" w:fill="auto"/>
          </w:tcPr>
          <w:p w14:paraId="68B827C0" w14:textId="77777777" w:rsidR="00EE2E25" w:rsidRPr="001B7431" w:rsidRDefault="00EE2E25" w:rsidP="00EE2E25">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shd w:val="clear" w:color="auto" w:fill="auto"/>
            <w:vAlign w:val="center"/>
          </w:tcPr>
          <w:p w14:paraId="7BD9CCC2" w14:textId="77777777" w:rsidR="00EE2E25" w:rsidRDefault="00EE2E25" w:rsidP="00EE2E25">
            <w:pPr>
              <w:jc w:val="right"/>
              <w:rPr>
                <w:color w:val="000000"/>
                <w:sz w:val="16"/>
                <w:szCs w:val="16"/>
              </w:rPr>
            </w:pPr>
            <w:r>
              <w:rPr>
                <w:color w:val="000000"/>
                <w:sz w:val="16"/>
                <w:szCs w:val="16"/>
              </w:rPr>
              <w:t>261</w:t>
            </w:r>
          </w:p>
        </w:tc>
        <w:tc>
          <w:tcPr>
            <w:tcW w:w="496" w:type="dxa"/>
            <w:shd w:val="clear" w:color="auto" w:fill="auto"/>
            <w:vAlign w:val="center"/>
          </w:tcPr>
          <w:p w14:paraId="6D9130C6" w14:textId="77777777" w:rsidR="00EE2E25" w:rsidRDefault="00EE2E25" w:rsidP="00EE2E25">
            <w:pPr>
              <w:jc w:val="right"/>
              <w:rPr>
                <w:color w:val="000000"/>
                <w:sz w:val="16"/>
                <w:szCs w:val="16"/>
              </w:rPr>
            </w:pPr>
            <w:r>
              <w:rPr>
                <w:color w:val="000000"/>
                <w:sz w:val="16"/>
                <w:szCs w:val="16"/>
              </w:rPr>
              <w:t>66.4</w:t>
            </w:r>
          </w:p>
        </w:tc>
        <w:tc>
          <w:tcPr>
            <w:tcW w:w="1043" w:type="dxa"/>
            <w:tcBorders>
              <w:right w:val="single" w:sz="4" w:space="0" w:color="auto"/>
            </w:tcBorders>
            <w:shd w:val="clear" w:color="auto" w:fill="auto"/>
            <w:vAlign w:val="center"/>
          </w:tcPr>
          <w:p w14:paraId="76091755" w14:textId="77777777" w:rsidR="00EE2E25" w:rsidRDefault="00EE2E25" w:rsidP="00EE2E25">
            <w:pPr>
              <w:jc w:val="right"/>
              <w:rPr>
                <w:color w:val="000000"/>
                <w:sz w:val="16"/>
                <w:szCs w:val="16"/>
              </w:rPr>
            </w:pPr>
            <w:r>
              <w:rPr>
                <w:color w:val="000000"/>
                <w:sz w:val="16"/>
                <w:szCs w:val="16"/>
              </w:rPr>
              <w:t>(61.1, 71.8)</w:t>
            </w:r>
          </w:p>
        </w:tc>
        <w:tc>
          <w:tcPr>
            <w:tcW w:w="569" w:type="dxa"/>
            <w:tcBorders>
              <w:left w:val="single" w:sz="4" w:space="0" w:color="auto"/>
            </w:tcBorders>
            <w:shd w:val="clear" w:color="auto" w:fill="auto"/>
            <w:vAlign w:val="center"/>
          </w:tcPr>
          <w:p w14:paraId="55D11E60" w14:textId="77777777" w:rsidR="00EE2E25" w:rsidRDefault="00EE2E25" w:rsidP="00EE2E25">
            <w:pPr>
              <w:jc w:val="right"/>
              <w:rPr>
                <w:color w:val="000000"/>
                <w:sz w:val="16"/>
                <w:szCs w:val="16"/>
              </w:rPr>
            </w:pPr>
            <w:r>
              <w:rPr>
                <w:color w:val="000000"/>
                <w:sz w:val="16"/>
                <w:szCs w:val="16"/>
              </w:rPr>
              <w:t>156</w:t>
            </w:r>
          </w:p>
        </w:tc>
        <w:tc>
          <w:tcPr>
            <w:tcW w:w="567" w:type="dxa"/>
            <w:shd w:val="clear" w:color="auto" w:fill="auto"/>
            <w:vAlign w:val="center"/>
          </w:tcPr>
          <w:p w14:paraId="52872483" w14:textId="77777777" w:rsidR="00EE2E25" w:rsidRDefault="00EE2E25" w:rsidP="00EE2E25">
            <w:pPr>
              <w:jc w:val="right"/>
              <w:rPr>
                <w:color w:val="000000"/>
                <w:sz w:val="16"/>
                <w:szCs w:val="16"/>
              </w:rPr>
            </w:pPr>
            <w:r>
              <w:rPr>
                <w:color w:val="000000"/>
                <w:sz w:val="16"/>
                <w:szCs w:val="16"/>
              </w:rPr>
              <w:t>68.1</w:t>
            </w:r>
          </w:p>
        </w:tc>
        <w:tc>
          <w:tcPr>
            <w:tcW w:w="1123" w:type="dxa"/>
            <w:tcBorders>
              <w:right w:val="single" w:sz="4" w:space="0" w:color="auto"/>
            </w:tcBorders>
            <w:shd w:val="clear" w:color="auto" w:fill="auto"/>
            <w:vAlign w:val="center"/>
          </w:tcPr>
          <w:p w14:paraId="2590950D" w14:textId="77777777" w:rsidR="00EE2E25" w:rsidRDefault="00EE2E25" w:rsidP="00EE2E25">
            <w:pPr>
              <w:jc w:val="right"/>
              <w:rPr>
                <w:color w:val="000000"/>
                <w:sz w:val="16"/>
                <w:szCs w:val="16"/>
              </w:rPr>
            </w:pPr>
            <w:r>
              <w:rPr>
                <w:color w:val="000000"/>
                <w:sz w:val="16"/>
                <w:szCs w:val="16"/>
              </w:rPr>
              <w:t>(61.3, 74.9)</w:t>
            </w:r>
          </w:p>
        </w:tc>
        <w:tc>
          <w:tcPr>
            <w:tcW w:w="536" w:type="dxa"/>
            <w:tcBorders>
              <w:left w:val="single" w:sz="4" w:space="0" w:color="auto"/>
            </w:tcBorders>
            <w:shd w:val="clear" w:color="auto" w:fill="auto"/>
            <w:vAlign w:val="center"/>
          </w:tcPr>
          <w:p w14:paraId="36B2D6EF" w14:textId="77777777" w:rsidR="00EE2E25" w:rsidRDefault="00EE2E25" w:rsidP="00EE2E25">
            <w:pPr>
              <w:jc w:val="right"/>
              <w:rPr>
                <w:color w:val="000000"/>
                <w:sz w:val="16"/>
                <w:szCs w:val="16"/>
              </w:rPr>
            </w:pPr>
            <w:r>
              <w:rPr>
                <w:color w:val="000000"/>
                <w:sz w:val="16"/>
                <w:szCs w:val="16"/>
              </w:rPr>
              <w:t>107</w:t>
            </w:r>
          </w:p>
        </w:tc>
        <w:tc>
          <w:tcPr>
            <w:tcW w:w="576" w:type="dxa"/>
            <w:shd w:val="clear" w:color="auto" w:fill="auto"/>
            <w:vAlign w:val="center"/>
          </w:tcPr>
          <w:p w14:paraId="05EC660B" w14:textId="77777777" w:rsidR="00EE2E25" w:rsidRDefault="00EE2E25" w:rsidP="00EE2E25">
            <w:pPr>
              <w:jc w:val="right"/>
              <w:rPr>
                <w:color w:val="000000"/>
                <w:sz w:val="16"/>
                <w:szCs w:val="16"/>
              </w:rPr>
            </w:pPr>
            <w:r>
              <w:rPr>
                <w:color w:val="000000"/>
                <w:sz w:val="16"/>
                <w:szCs w:val="16"/>
              </w:rPr>
              <w:t>69.7</w:t>
            </w:r>
          </w:p>
        </w:tc>
        <w:tc>
          <w:tcPr>
            <w:tcW w:w="1123" w:type="dxa"/>
            <w:tcBorders>
              <w:right w:val="single" w:sz="4" w:space="0" w:color="auto"/>
            </w:tcBorders>
            <w:shd w:val="clear" w:color="auto" w:fill="auto"/>
            <w:vAlign w:val="center"/>
          </w:tcPr>
          <w:p w14:paraId="591377F4" w14:textId="77777777" w:rsidR="00EE2E25" w:rsidRDefault="00EE2E25" w:rsidP="00EE2E25">
            <w:pPr>
              <w:jc w:val="right"/>
              <w:rPr>
                <w:color w:val="000000"/>
                <w:sz w:val="16"/>
                <w:szCs w:val="16"/>
              </w:rPr>
            </w:pPr>
            <w:r>
              <w:rPr>
                <w:color w:val="000000"/>
                <w:sz w:val="16"/>
                <w:szCs w:val="16"/>
              </w:rPr>
              <w:t>(62</w:t>
            </w:r>
            <w:r w:rsidR="00421EC9">
              <w:rPr>
                <w:color w:val="000000"/>
                <w:sz w:val="16"/>
                <w:szCs w:val="16"/>
              </w:rPr>
              <w:t>.0</w:t>
            </w:r>
            <w:r>
              <w:rPr>
                <w:color w:val="000000"/>
                <w:sz w:val="16"/>
                <w:szCs w:val="16"/>
              </w:rPr>
              <w:t>, 77.4)</w:t>
            </w:r>
          </w:p>
        </w:tc>
        <w:tc>
          <w:tcPr>
            <w:tcW w:w="536" w:type="dxa"/>
            <w:tcBorders>
              <w:left w:val="single" w:sz="4" w:space="0" w:color="auto"/>
            </w:tcBorders>
            <w:shd w:val="clear" w:color="auto" w:fill="auto"/>
            <w:vAlign w:val="center"/>
          </w:tcPr>
          <w:p w14:paraId="5AEDC22D" w14:textId="77777777" w:rsidR="00EE2E25" w:rsidRDefault="00EE2E25" w:rsidP="00EE2E25">
            <w:pPr>
              <w:jc w:val="right"/>
              <w:rPr>
                <w:color w:val="000000"/>
                <w:sz w:val="16"/>
                <w:szCs w:val="16"/>
              </w:rPr>
            </w:pPr>
            <w:r>
              <w:rPr>
                <w:color w:val="000000"/>
                <w:sz w:val="16"/>
                <w:szCs w:val="16"/>
              </w:rPr>
              <w:t>92</w:t>
            </w:r>
          </w:p>
        </w:tc>
        <w:tc>
          <w:tcPr>
            <w:tcW w:w="567" w:type="dxa"/>
            <w:shd w:val="clear" w:color="auto" w:fill="auto"/>
            <w:vAlign w:val="center"/>
          </w:tcPr>
          <w:p w14:paraId="6E3F1FD2" w14:textId="77777777" w:rsidR="00EE2E25" w:rsidRDefault="00EE2E25" w:rsidP="00EE2E25">
            <w:pPr>
              <w:jc w:val="right"/>
              <w:rPr>
                <w:color w:val="000000"/>
                <w:sz w:val="16"/>
                <w:szCs w:val="16"/>
              </w:rPr>
            </w:pPr>
            <w:r>
              <w:rPr>
                <w:color w:val="000000"/>
                <w:sz w:val="16"/>
                <w:szCs w:val="16"/>
              </w:rPr>
              <w:t>67.3</w:t>
            </w:r>
          </w:p>
        </w:tc>
        <w:tc>
          <w:tcPr>
            <w:tcW w:w="1123" w:type="dxa"/>
            <w:shd w:val="clear" w:color="auto" w:fill="auto"/>
            <w:vAlign w:val="center"/>
          </w:tcPr>
          <w:p w14:paraId="06B4B593" w14:textId="77777777" w:rsidR="00EE2E25" w:rsidRDefault="00EE2E25" w:rsidP="00EE2E25">
            <w:pPr>
              <w:jc w:val="right"/>
              <w:rPr>
                <w:color w:val="000000"/>
                <w:sz w:val="16"/>
                <w:szCs w:val="16"/>
              </w:rPr>
            </w:pPr>
            <w:r>
              <w:rPr>
                <w:color w:val="000000"/>
                <w:sz w:val="16"/>
                <w:szCs w:val="16"/>
              </w:rPr>
              <w:t>(58.9, 75.8)</w:t>
            </w:r>
          </w:p>
        </w:tc>
      </w:tr>
      <w:tr w:rsidR="00EE2E25" w:rsidRPr="007B4EF8" w14:paraId="58EDB875" w14:textId="77777777" w:rsidTr="00793719">
        <w:trPr>
          <w:jc w:val="center"/>
        </w:trPr>
        <w:tc>
          <w:tcPr>
            <w:tcW w:w="2127" w:type="dxa"/>
          </w:tcPr>
          <w:p w14:paraId="596F1B71" w14:textId="77777777" w:rsidR="00EE2E25" w:rsidRDefault="00EE2E25" w:rsidP="00EE2E25">
            <w:pPr>
              <w:spacing w:before="20" w:after="20"/>
              <w:ind w:left="34"/>
              <w:rPr>
                <w:rFonts w:eastAsiaTheme="minorEastAsia"/>
                <w:sz w:val="16"/>
                <w:szCs w:val="16"/>
                <w:lang w:eastAsia="en-US"/>
              </w:rPr>
            </w:pPr>
          </w:p>
        </w:tc>
        <w:tc>
          <w:tcPr>
            <w:tcW w:w="2379" w:type="dxa"/>
            <w:shd w:val="clear" w:color="auto" w:fill="auto"/>
          </w:tcPr>
          <w:p w14:paraId="167C950C" w14:textId="77777777" w:rsidR="00EE2E25" w:rsidRPr="001B7431" w:rsidRDefault="00EE2E25" w:rsidP="00EE2E25">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shd w:val="clear" w:color="auto" w:fill="auto"/>
            <w:vAlign w:val="center"/>
          </w:tcPr>
          <w:p w14:paraId="446E9C6A" w14:textId="77777777" w:rsidR="00EE2E25" w:rsidRDefault="00EE2E25" w:rsidP="00EE2E25">
            <w:pPr>
              <w:jc w:val="right"/>
              <w:rPr>
                <w:color w:val="000000"/>
                <w:sz w:val="16"/>
                <w:szCs w:val="16"/>
              </w:rPr>
            </w:pPr>
            <w:r>
              <w:rPr>
                <w:color w:val="000000"/>
                <w:sz w:val="16"/>
                <w:szCs w:val="16"/>
              </w:rPr>
              <w:t>82</w:t>
            </w:r>
          </w:p>
        </w:tc>
        <w:tc>
          <w:tcPr>
            <w:tcW w:w="496" w:type="dxa"/>
            <w:shd w:val="clear" w:color="auto" w:fill="auto"/>
            <w:vAlign w:val="center"/>
          </w:tcPr>
          <w:p w14:paraId="62736B0B" w14:textId="77777777" w:rsidR="00EE2E25" w:rsidRDefault="00EE2E25" w:rsidP="00EE2E25">
            <w:pPr>
              <w:jc w:val="right"/>
              <w:rPr>
                <w:color w:val="000000"/>
                <w:sz w:val="16"/>
                <w:szCs w:val="16"/>
              </w:rPr>
            </w:pPr>
            <w:r>
              <w:rPr>
                <w:color w:val="000000"/>
                <w:sz w:val="16"/>
                <w:szCs w:val="16"/>
              </w:rPr>
              <w:t>20.9</w:t>
            </w:r>
          </w:p>
        </w:tc>
        <w:tc>
          <w:tcPr>
            <w:tcW w:w="1043" w:type="dxa"/>
            <w:tcBorders>
              <w:right w:val="single" w:sz="4" w:space="0" w:color="auto"/>
            </w:tcBorders>
            <w:shd w:val="clear" w:color="auto" w:fill="auto"/>
            <w:vAlign w:val="center"/>
          </w:tcPr>
          <w:p w14:paraId="00DE6B5A" w14:textId="77777777" w:rsidR="00EE2E25" w:rsidRDefault="00EE2E25" w:rsidP="00EE2E25">
            <w:pPr>
              <w:jc w:val="right"/>
              <w:rPr>
                <w:color w:val="000000"/>
                <w:sz w:val="16"/>
                <w:szCs w:val="16"/>
              </w:rPr>
            </w:pPr>
            <w:r>
              <w:rPr>
                <w:color w:val="000000"/>
                <w:sz w:val="16"/>
                <w:szCs w:val="16"/>
              </w:rPr>
              <w:t>(16.2, 25.6)</w:t>
            </w:r>
          </w:p>
        </w:tc>
        <w:tc>
          <w:tcPr>
            <w:tcW w:w="569" w:type="dxa"/>
            <w:tcBorders>
              <w:left w:val="single" w:sz="4" w:space="0" w:color="auto"/>
            </w:tcBorders>
            <w:shd w:val="clear" w:color="auto" w:fill="auto"/>
            <w:vAlign w:val="center"/>
          </w:tcPr>
          <w:p w14:paraId="6FC913D0" w14:textId="77777777" w:rsidR="00EE2E25" w:rsidRDefault="00EE2E25" w:rsidP="00EE2E25">
            <w:pPr>
              <w:jc w:val="right"/>
              <w:rPr>
                <w:color w:val="000000"/>
                <w:sz w:val="16"/>
                <w:szCs w:val="16"/>
              </w:rPr>
            </w:pPr>
            <w:r>
              <w:rPr>
                <w:color w:val="000000"/>
                <w:sz w:val="16"/>
                <w:szCs w:val="16"/>
              </w:rPr>
              <w:t>45</w:t>
            </w:r>
          </w:p>
        </w:tc>
        <w:tc>
          <w:tcPr>
            <w:tcW w:w="567" w:type="dxa"/>
            <w:shd w:val="clear" w:color="auto" w:fill="auto"/>
            <w:vAlign w:val="center"/>
          </w:tcPr>
          <w:p w14:paraId="100A14A4" w14:textId="77777777" w:rsidR="00EE2E25" w:rsidRDefault="00EE2E25" w:rsidP="00EE2E25">
            <w:pPr>
              <w:jc w:val="right"/>
              <w:rPr>
                <w:color w:val="000000"/>
                <w:sz w:val="16"/>
                <w:szCs w:val="16"/>
              </w:rPr>
            </w:pPr>
            <w:r>
              <w:rPr>
                <w:color w:val="000000"/>
                <w:sz w:val="16"/>
                <w:szCs w:val="16"/>
              </w:rPr>
              <w:t>19.4</w:t>
            </w:r>
          </w:p>
        </w:tc>
        <w:tc>
          <w:tcPr>
            <w:tcW w:w="1123" w:type="dxa"/>
            <w:tcBorders>
              <w:right w:val="single" w:sz="4" w:space="0" w:color="auto"/>
            </w:tcBorders>
            <w:shd w:val="clear" w:color="auto" w:fill="auto"/>
            <w:vAlign w:val="center"/>
          </w:tcPr>
          <w:p w14:paraId="6DC6A32E" w14:textId="77777777" w:rsidR="00EE2E25" w:rsidRDefault="00EE2E25" w:rsidP="00EE2E25">
            <w:pPr>
              <w:jc w:val="right"/>
              <w:rPr>
                <w:color w:val="000000"/>
                <w:sz w:val="16"/>
                <w:szCs w:val="16"/>
              </w:rPr>
            </w:pPr>
            <w:r>
              <w:rPr>
                <w:color w:val="000000"/>
                <w:sz w:val="16"/>
                <w:szCs w:val="16"/>
              </w:rPr>
              <w:t>(13.7, 25.2)</w:t>
            </w:r>
          </w:p>
        </w:tc>
        <w:tc>
          <w:tcPr>
            <w:tcW w:w="536" w:type="dxa"/>
            <w:tcBorders>
              <w:left w:val="single" w:sz="4" w:space="0" w:color="auto"/>
            </w:tcBorders>
            <w:shd w:val="clear" w:color="auto" w:fill="auto"/>
            <w:vAlign w:val="center"/>
          </w:tcPr>
          <w:p w14:paraId="786F001D" w14:textId="77777777" w:rsidR="00EE2E25" w:rsidRDefault="00EE2E25" w:rsidP="00EE2E25">
            <w:pPr>
              <w:jc w:val="right"/>
              <w:rPr>
                <w:color w:val="000000"/>
                <w:sz w:val="16"/>
                <w:szCs w:val="16"/>
              </w:rPr>
            </w:pPr>
            <w:r>
              <w:rPr>
                <w:color w:val="000000"/>
                <w:sz w:val="16"/>
                <w:szCs w:val="16"/>
              </w:rPr>
              <w:t>26</w:t>
            </w:r>
          </w:p>
        </w:tc>
        <w:tc>
          <w:tcPr>
            <w:tcW w:w="576" w:type="dxa"/>
            <w:shd w:val="clear" w:color="auto" w:fill="auto"/>
            <w:vAlign w:val="center"/>
          </w:tcPr>
          <w:p w14:paraId="556441A9" w14:textId="77777777" w:rsidR="00EE2E25" w:rsidRDefault="00EE2E25" w:rsidP="00EE2E25">
            <w:pPr>
              <w:jc w:val="right"/>
              <w:rPr>
                <w:color w:val="000000"/>
                <w:sz w:val="16"/>
                <w:szCs w:val="16"/>
              </w:rPr>
            </w:pPr>
            <w:r>
              <w:rPr>
                <w:color w:val="000000"/>
                <w:sz w:val="16"/>
                <w:szCs w:val="16"/>
              </w:rPr>
              <w:t>16.8</w:t>
            </w:r>
          </w:p>
        </w:tc>
        <w:tc>
          <w:tcPr>
            <w:tcW w:w="1123" w:type="dxa"/>
            <w:tcBorders>
              <w:right w:val="single" w:sz="4" w:space="0" w:color="auto"/>
            </w:tcBorders>
            <w:shd w:val="clear" w:color="auto" w:fill="auto"/>
            <w:vAlign w:val="center"/>
          </w:tcPr>
          <w:p w14:paraId="0237C43E" w14:textId="77777777" w:rsidR="00EE2E25" w:rsidRDefault="00EE2E25" w:rsidP="00EE2E25">
            <w:pPr>
              <w:jc w:val="right"/>
              <w:rPr>
                <w:color w:val="000000"/>
                <w:sz w:val="16"/>
                <w:szCs w:val="16"/>
              </w:rPr>
            </w:pPr>
            <w:r>
              <w:rPr>
                <w:color w:val="000000"/>
                <w:sz w:val="16"/>
                <w:szCs w:val="16"/>
              </w:rPr>
              <w:t>(10.6, 23.0)</w:t>
            </w:r>
          </w:p>
        </w:tc>
        <w:tc>
          <w:tcPr>
            <w:tcW w:w="536" w:type="dxa"/>
            <w:tcBorders>
              <w:left w:val="single" w:sz="4" w:space="0" w:color="auto"/>
            </w:tcBorders>
            <w:shd w:val="clear" w:color="auto" w:fill="auto"/>
            <w:vAlign w:val="center"/>
          </w:tcPr>
          <w:p w14:paraId="30703BD1" w14:textId="77777777" w:rsidR="00EE2E25" w:rsidRDefault="00EE2E25" w:rsidP="00EE2E25">
            <w:pPr>
              <w:jc w:val="right"/>
              <w:rPr>
                <w:color w:val="000000"/>
                <w:sz w:val="16"/>
                <w:szCs w:val="16"/>
              </w:rPr>
            </w:pPr>
            <w:r>
              <w:rPr>
                <w:color w:val="000000"/>
                <w:sz w:val="16"/>
                <w:szCs w:val="16"/>
              </w:rPr>
              <w:t>24</w:t>
            </w:r>
          </w:p>
        </w:tc>
        <w:tc>
          <w:tcPr>
            <w:tcW w:w="567" w:type="dxa"/>
            <w:shd w:val="clear" w:color="auto" w:fill="auto"/>
            <w:vAlign w:val="center"/>
          </w:tcPr>
          <w:p w14:paraId="5CB38ABB" w14:textId="77777777" w:rsidR="00EE2E25" w:rsidRDefault="00EE2E25" w:rsidP="00EE2E25">
            <w:pPr>
              <w:jc w:val="right"/>
              <w:rPr>
                <w:color w:val="000000"/>
                <w:sz w:val="16"/>
                <w:szCs w:val="16"/>
              </w:rPr>
            </w:pPr>
            <w:r>
              <w:rPr>
                <w:color w:val="000000"/>
                <w:sz w:val="16"/>
                <w:szCs w:val="16"/>
              </w:rPr>
              <w:t>17.6</w:t>
            </w:r>
          </w:p>
        </w:tc>
        <w:tc>
          <w:tcPr>
            <w:tcW w:w="1123" w:type="dxa"/>
            <w:shd w:val="clear" w:color="auto" w:fill="auto"/>
            <w:vAlign w:val="center"/>
          </w:tcPr>
          <w:p w14:paraId="6EDE158D" w14:textId="77777777" w:rsidR="00EE2E25" w:rsidRDefault="00EE2E25" w:rsidP="00EE2E25">
            <w:pPr>
              <w:jc w:val="right"/>
              <w:rPr>
                <w:color w:val="000000"/>
                <w:sz w:val="16"/>
                <w:szCs w:val="16"/>
              </w:rPr>
            </w:pPr>
            <w:r>
              <w:rPr>
                <w:color w:val="000000"/>
                <w:sz w:val="16"/>
                <w:szCs w:val="16"/>
              </w:rPr>
              <w:t>(11.1, 24.0)</w:t>
            </w:r>
          </w:p>
        </w:tc>
      </w:tr>
      <w:tr w:rsidR="00EE2E25" w:rsidRPr="007B4EF8" w14:paraId="44389241" w14:textId="77777777" w:rsidTr="00793719">
        <w:trPr>
          <w:jc w:val="center"/>
        </w:trPr>
        <w:tc>
          <w:tcPr>
            <w:tcW w:w="2127" w:type="dxa"/>
          </w:tcPr>
          <w:p w14:paraId="32CA529F" w14:textId="77777777" w:rsidR="00EE2E25" w:rsidRDefault="00EE2E25" w:rsidP="00EE2E25">
            <w:pPr>
              <w:spacing w:before="20" w:after="20"/>
              <w:ind w:left="34"/>
              <w:rPr>
                <w:rFonts w:eastAsiaTheme="minorEastAsia"/>
                <w:sz w:val="16"/>
                <w:szCs w:val="16"/>
                <w:lang w:eastAsia="en-US"/>
              </w:rPr>
            </w:pPr>
          </w:p>
        </w:tc>
        <w:tc>
          <w:tcPr>
            <w:tcW w:w="2379" w:type="dxa"/>
            <w:shd w:val="clear" w:color="auto" w:fill="auto"/>
          </w:tcPr>
          <w:p w14:paraId="16D069BE" w14:textId="77777777" w:rsidR="00EE2E25" w:rsidRPr="001B7431" w:rsidRDefault="00EE2E25" w:rsidP="00EE2E25">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shd w:val="clear" w:color="auto" w:fill="auto"/>
            <w:vAlign w:val="center"/>
          </w:tcPr>
          <w:p w14:paraId="5475588B" w14:textId="77777777" w:rsidR="00EE2E25" w:rsidRDefault="00EE2E25" w:rsidP="00EE2E25">
            <w:pPr>
              <w:jc w:val="right"/>
              <w:rPr>
                <w:color w:val="000000"/>
                <w:sz w:val="16"/>
                <w:szCs w:val="16"/>
              </w:rPr>
            </w:pPr>
            <w:r>
              <w:rPr>
                <w:color w:val="000000"/>
                <w:sz w:val="16"/>
                <w:szCs w:val="16"/>
              </w:rPr>
              <w:t>50</w:t>
            </w:r>
          </w:p>
        </w:tc>
        <w:tc>
          <w:tcPr>
            <w:tcW w:w="496" w:type="dxa"/>
            <w:shd w:val="clear" w:color="auto" w:fill="auto"/>
            <w:vAlign w:val="center"/>
          </w:tcPr>
          <w:p w14:paraId="34D2A104" w14:textId="77777777" w:rsidR="00EE2E25" w:rsidRDefault="00EE2E25" w:rsidP="00EE2E25">
            <w:pPr>
              <w:jc w:val="right"/>
              <w:rPr>
                <w:color w:val="000000"/>
                <w:sz w:val="16"/>
                <w:szCs w:val="16"/>
              </w:rPr>
            </w:pPr>
            <w:r>
              <w:rPr>
                <w:color w:val="000000"/>
                <w:sz w:val="16"/>
                <w:szCs w:val="16"/>
              </w:rPr>
              <w:t>12.6</w:t>
            </w:r>
          </w:p>
        </w:tc>
        <w:tc>
          <w:tcPr>
            <w:tcW w:w="1043" w:type="dxa"/>
            <w:tcBorders>
              <w:right w:val="single" w:sz="4" w:space="0" w:color="auto"/>
            </w:tcBorders>
            <w:shd w:val="clear" w:color="auto" w:fill="auto"/>
            <w:vAlign w:val="center"/>
          </w:tcPr>
          <w:p w14:paraId="0F77EC19" w14:textId="77777777" w:rsidR="00EE2E25" w:rsidRDefault="00EE2E25" w:rsidP="00EE2E25">
            <w:pPr>
              <w:jc w:val="right"/>
              <w:rPr>
                <w:color w:val="000000"/>
                <w:sz w:val="16"/>
                <w:szCs w:val="16"/>
              </w:rPr>
            </w:pPr>
            <w:r>
              <w:rPr>
                <w:color w:val="000000"/>
                <w:sz w:val="16"/>
                <w:szCs w:val="16"/>
              </w:rPr>
              <w:t>(9.2, 16.1)</w:t>
            </w:r>
          </w:p>
        </w:tc>
        <w:tc>
          <w:tcPr>
            <w:tcW w:w="569" w:type="dxa"/>
            <w:tcBorders>
              <w:left w:val="single" w:sz="4" w:space="0" w:color="auto"/>
            </w:tcBorders>
            <w:shd w:val="clear" w:color="auto" w:fill="auto"/>
            <w:vAlign w:val="center"/>
          </w:tcPr>
          <w:p w14:paraId="06A9462A" w14:textId="77777777" w:rsidR="00EE2E25" w:rsidRDefault="00EE2E25" w:rsidP="00EE2E25">
            <w:pPr>
              <w:jc w:val="right"/>
              <w:rPr>
                <w:color w:val="000000"/>
                <w:sz w:val="16"/>
                <w:szCs w:val="16"/>
              </w:rPr>
            </w:pPr>
            <w:r>
              <w:rPr>
                <w:color w:val="000000"/>
                <w:sz w:val="16"/>
                <w:szCs w:val="16"/>
              </w:rPr>
              <w:t>29</w:t>
            </w:r>
          </w:p>
        </w:tc>
        <w:tc>
          <w:tcPr>
            <w:tcW w:w="567" w:type="dxa"/>
            <w:shd w:val="clear" w:color="auto" w:fill="auto"/>
            <w:vAlign w:val="center"/>
          </w:tcPr>
          <w:p w14:paraId="26F56CE3" w14:textId="77777777" w:rsidR="00EE2E25" w:rsidRDefault="00EE2E25" w:rsidP="00EE2E25">
            <w:pPr>
              <w:jc w:val="right"/>
              <w:rPr>
                <w:color w:val="000000"/>
                <w:sz w:val="16"/>
                <w:szCs w:val="16"/>
              </w:rPr>
            </w:pPr>
            <w:r>
              <w:rPr>
                <w:color w:val="000000"/>
                <w:sz w:val="16"/>
                <w:szCs w:val="16"/>
              </w:rPr>
              <w:t>12.5</w:t>
            </w:r>
          </w:p>
        </w:tc>
        <w:tc>
          <w:tcPr>
            <w:tcW w:w="1123" w:type="dxa"/>
            <w:tcBorders>
              <w:right w:val="single" w:sz="4" w:space="0" w:color="auto"/>
            </w:tcBorders>
            <w:shd w:val="clear" w:color="auto" w:fill="auto"/>
            <w:vAlign w:val="center"/>
          </w:tcPr>
          <w:p w14:paraId="305EF9B6" w14:textId="77777777" w:rsidR="00EE2E25" w:rsidRDefault="00EE2E25" w:rsidP="00EE2E25">
            <w:pPr>
              <w:jc w:val="right"/>
              <w:rPr>
                <w:color w:val="000000"/>
                <w:sz w:val="16"/>
                <w:szCs w:val="16"/>
              </w:rPr>
            </w:pPr>
            <w:r>
              <w:rPr>
                <w:color w:val="000000"/>
                <w:sz w:val="16"/>
                <w:szCs w:val="16"/>
              </w:rPr>
              <w:t>(7.9, 17.0)</w:t>
            </w:r>
          </w:p>
        </w:tc>
        <w:tc>
          <w:tcPr>
            <w:tcW w:w="536" w:type="dxa"/>
            <w:tcBorders>
              <w:left w:val="single" w:sz="4" w:space="0" w:color="auto"/>
            </w:tcBorders>
            <w:shd w:val="clear" w:color="auto" w:fill="auto"/>
            <w:vAlign w:val="center"/>
          </w:tcPr>
          <w:p w14:paraId="469E8C44" w14:textId="77777777" w:rsidR="00EE2E25" w:rsidRDefault="00EE2E25" w:rsidP="00EE2E25">
            <w:pPr>
              <w:jc w:val="right"/>
              <w:rPr>
                <w:color w:val="000000"/>
                <w:sz w:val="16"/>
                <w:szCs w:val="16"/>
              </w:rPr>
            </w:pPr>
            <w:r>
              <w:rPr>
                <w:color w:val="000000"/>
                <w:sz w:val="16"/>
                <w:szCs w:val="16"/>
              </w:rPr>
              <w:t>21</w:t>
            </w:r>
          </w:p>
        </w:tc>
        <w:tc>
          <w:tcPr>
            <w:tcW w:w="576" w:type="dxa"/>
            <w:shd w:val="clear" w:color="auto" w:fill="auto"/>
            <w:vAlign w:val="center"/>
          </w:tcPr>
          <w:p w14:paraId="4B77DBAD" w14:textId="77777777" w:rsidR="00EE2E25" w:rsidRDefault="00EE2E25" w:rsidP="00EE2E25">
            <w:pPr>
              <w:jc w:val="right"/>
              <w:rPr>
                <w:color w:val="000000"/>
                <w:sz w:val="16"/>
                <w:szCs w:val="16"/>
              </w:rPr>
            </w:pPr>
            <w:r>
              <w:rPr>
                <w:color w:val="000000"/>
                <w:sz w:val="16"/>
                <w:szCs w:val="16"/>
              </w:rPr>
              <w:t>13.6</w:t>
            </w:r>
          </w:p>
        </w:tc>
        <w:tc>
          <w:tcPr>
            <w:tcW w:w="1123" w:type="dxa"/>
            <w:tcBorders>
              <w:right w:val="single" w:sz="4" w:space="0" w:color="auto"/>
            </w:tcBorders>
            <w:shd w:val="clear" w:color="auto" w:fill="auto"/>
            <w:vAlign w:val="center"/>
          </w:tcPr>
          <w:p w14:paraId="503366EB" w14:textId="77777777" w:rsidR="00EE2E25" w:rsidRDefault="00EE2E25" w:rsidP="00EE2E25">
            <w:pPr>
              <w:jc w:val="right"/>
              <w:rPr>
                <w:color w:val="000000"/>
                <w:sz w:val="16"/>
                <w:szCs w:val="16"/>
              </w:rPr>
            </w:pPr>
            <w:r>
              <w:rPr>
                <w:color w:val="000000"/>
                <w:sz w:val="16"/>
                <w:szCs w:val="16"/>
              </w:rPr>
              <w:t>(8.3, 18.9)</w:t>
            </w:r>
          </w:p>
        </w:tc>
        <w:tc>
          <w:tcPr>
            <w:tcW w:w="536" w:type="dxa"/>
            <w:tcBorders>
              <w:left w:val="single" w:sz="4" w:space="0" w:color="auto"/>
            </w:tcBorders>
            <w:shd w:val="clear" w:color="auto" w:fill="auto"/>
            <w:vAlign w:val="center"/>
          </w:tcPr>
          <w:p w14:paraId="5F0034DD" w14:textId="77777777" w:rsidR="00EE2E25" w:rsidRDefault="00EE2E25" w:rsidP="00EE2E25">
            <w:pPr>
              <w:jc w:val="right"/>
              <w:rPr>
                <w:color w:val="000000"/>
                <w:sz w:val="16"/>
                <w:szCs w:val="16"/>
              </w:rPr>
            </w:pPr>
            <w:r>
              <w:rPr>
                <w:color w:val="000000"/>
                <w:sz w:val="16"/>
                <w:szCs w:val="16"/>
              </w:rPr>
              <w:t>21</w:t>
            </w:r>
          </w:p>
        </w:tc>
        <w:tc>
          <w:tcPr>
            <w:tcW w:w="567" w:type="dxa"/>
            <w:shd w:val="clear" w:color="auto" w:fill="auto"/>
            <w:vAlign w:val="center"/>
          </w:tcPr>
          <w:p w14:paraId="25F8E6EA" w14:textId="77777777" w:rsidR="00EE2E25" w:rsidRDefault="00EE2E25" w:rsidP="00EE2E25">
            <w:pPr>
              <w:jc w:val="right"/>
              <w:rPr>
                <w:color w:val="000000"/>
                <w:sz w:val="16"/>
                <w:szCs w:val="16"/>
              </w:rPr>
            </w:pPr>
            <w:r>
              <w:rPr>
                <w:color w:val="000000"/>
                <w:sz w:val="16"/>
                <w:szCs w:val="16"/>
              </w:rPr>
              <w:t>15.1</w:t>
            </w:r>
          </w:p>
        </w:tc>
        <w:tc>
          <w:tcPr>
            <w:tcW w:w="1123" w:type="dxa"/>
            <w:shd w:val="clear" w:color="auto" w:fill="auto"/>
            <w:vAlign w:val="center"/>
          </w:tcPr>
          <w:p w14:paraId="58BF76AC" w14:textId="77777777" w:rsidR="00EE2E25" w:rsidRDefault="00EE2E25" w:rsidP="00EE2E25">
            <w:pPr>
              <w:jc w:val="right"/>
              <w:rPr>
                <w:color w:val="000000"/>
                <w:sz w:val="16"/>
                <w:szCs w:val="16"/>
              </w:rPr>
            </w:pPr>
            <w:r>
              <w:rPr>
                <w:color w:val="000000"/>
                <w:sz w:val="16"/>
                <w:szCs w:val="16"/>
              </w:rPr>
              <w:t>(9.3, 20.8)</w:t>
            </w:r>
          </w:p>
        </w:tc>
      </w:tr>
      <w:tr w:rsidR="001F52AF" w:rsidRPr="007B4EF8" w14:paraId="7A2A0A6B" w14:textId="77777777" w:rsidTr="00793719">
        <w:trPr>
          <w:jc w:val="center"/>
        </w:trPr>
        <w:tc>
          <w:tcPr>
            <w:tcW w:w="4506" w:type="dxa"/>
            <w:gridSpan w:val="2"/>
            <w:vAlign w:val="center"/>
          </w:tcPr>
          <w:p w14:paraId="494FA56C" w14:textId="77777777" w:rsidR="001F52AF" w:rsidRPr="001B7431" w:rsidRDefault="001F52AF" w:rsidP="001F52AF">
            <w:pPr>
              <w:spacing w:before="20" w:after="20"/>
              <w:ind w:left="34"/>
              <w:rPr>
                <w:rFonts w:eastAsiaTheme="minorEastAsia"/>
                <w:sz w:val="16"/>
                <w:szCs w:val="16"/>
                <w:lang w:eastAsia="en-US"/>
              </w:rPr>
            </w:pPr>
            <w:r w:rsidRPr="001F52AF">
              <w:rPr>
                <w:rFonts w:eastAsiaTheme="minorEastAsia"/>
                <w:b/>
                <w:sz w:val="16"/>
                <w:szCs w:val="18"/>
                <w:lang w:eastAsia="en-US"/>
              </w:rPr>
              <w:t>Typical monthly gambling expenditure</w:t>
            </w:r>
          </w:p>
        </w:tc>
        <w:tc>
          <w:tcPr>
            <w:tcW w:w="616" w:type="dxa"/>
            <w:shd w:val="clear" w:color="auto" w:fill="auto"/>
            <w:vAlign w:val="center"/>
          </w:tcPr>
          <w:p w14:paraId="0F8A09F6" w14:textId="77777777" w:rsidR="001F52AF" w:rsidRDefault="001F52AF" w:rsidP="00EE2E25">
            <w:pPr>
              <w:jc w:val="right"/>
              <w:rPr>
                <w:color w:val="000000"/>
                <w:sz w:val="16"/>
                <w:szCs w:val="16"/>
              </w:rPr>
            </w:pPr>
          </w:p>
        </w:tc>
        <w:tc>
          <w:tcPr>
            <w:tcW w:w="496" w:type="dxa"/>
            <w:shd w:val="clear" w:color="auto" w:fill="auto"/>
            <w:vAlign w:val="center"/>
          </w:tcPr>
          <w:p w14:paraId="3DACE128" w14:textId="77777777" w:rsidR="001F52AF" w:rsidRDefault="001F52AF" w:rsidP="00EE2E25">
            <w:pPr>
              <w:jc w:val="right"/>
              <w:rPr>
                <w:color w:val="000000"/>
                <w:sz w:val="16"/>
                <w:szCs w:val="16"/>
              </w:rPr>
            </w:pPr>
          </w:p>
        </w:tc>
        <w:tc>
          <w:tcPr>
            <w:tcW w:w="1043" w:type="dxa"/>
            <w:tcBorders>
              <w:right w:val="single" w:sz="4" w:space="0" w:color="auto"/>
            </w:tcBorders>
            <w:shd w:val="clear" w:color="auto" w:fill="auto"/>
            <w:vAlign w:val="center"/>
          </w:tcPr>
          <w:p w14:paraId="2C469D9D" w14:textId="77777777" w:rsidR="001F52AF" w:rsidRDefault="001F52AF" w:rsidP="00EE2E25">
            <w:pPr>
              <w:jc w:val="right"/>
              <w:rPr>
                <w:color w:val="000000"/>
                <w:sz w:val="16"/>
                <w:szCs w:val="16"/>
              </w:rPr>
            </w:pPr>
          </w:p>
        </w:tc>
        <w:tc>
          <w:tcPr>
            <w:tcW w:w="569" w:type="dxa"/>
            <w:tcBorders>
              <w:left w:val="single" w:sz="4" w:space="0" w:color="auto"/>
            </w:tcBorders>
            <w:shd w:val="clear" w:color="auto" w:fill="auto"/>
            <w:vAlign w:val="center"/>
          </w:tcPr>
          <w:p w14:paraId="2C1960F6" w14:textId="77777777" w:rsidR="001F52AF" w:rsidRDefault="001F52AF" w:rsidP="00EE2E25">
            <w:pPr>
              <w:jc w:val="right"/>
              <w:rPr>
                <w:color w:val="000000"/>
                <w:sz w:val="16"/>
                <w:szCs w:val="16"/>
              </w:rPr>
            </w:pPr>
          </w:p>
        </w:tc>
        <w:tc>
          <w:tcPr>
            <w:tcW w:w="567" w:type="dxa"/>
            <w:shd w:val="clear" w:color="auto" w:fill="auto"/>
            <w:vAlign w:val="center"/>
          </w:tcPr>
          <w:p w14:paraId="64A9776F" w14:textId="77777777" w:rsidR="001F52AF" w:rsidRDefault="001F52AF" w:rsidP="00EE2E25">
            <w:pPr>
              <w:jc w:val="right"/>
              <w:rPr>
                <w:color w:val="000000"/>
                <w:sz w:val="16"/>
                <w:szCs w:val="16"/>
              </w:rPr>
            </w:pPr>
          </w:p>
        </w:tc>
        <w:tc>
          <w:tcPr>
            <w:tcW w:w="1123" w:type="dxa"/>
            <w:tcBorders>
              <w:right w:val="single" w:sz="4" w:space="0" w:color="auto"/>
            </w:tcBorders>
            <w:shd w:val="clear" w:color="auto" w:fill="auto"/>
            <w:vAlign w:val="center"/>
          </w:tcPr>
          <w:p w14:paraId="5457D4C2" w14:textId="77777777" w:rsidR="001F52AF" w:rsidRDefault="001F52AF" w:rsidP="00EE2E25">
            <w:pPr>
              <w:jc w:val="right"/>
              <w:rPr>
                <w:color w:val="000000"/>
                <w:sz w:val="16"/>
                <w:szCs w:val="16"/>
              </w:rPr>
            </w:pPr>
          </w:p>
        </w:tc>
        <w:tc>
          <w:tcPr>
            <w:tcW w:w="536" w:type="dxa"/>
            <w:tcBorders>
              <w:left w:val="single" w:sz="4" w:space="0" w:color="auto"/>
            </w:tcBorders>
            <w:shd w:val="clear" w:color="auto" w:fill="auto"/>
            <w:vAlign w:val="center"/>
          </w:tcPr>
          <w:p w14:paraId="488A04D9" w14:textId="77777777" w:rsidR="001F52AF" w:rsidRDefault="001F52AF" w:rsidP="00EE2E25">
            <w:pPr>
              <w:jc w:val="right"/>
              <w:rPr>
                <w:color w:val="000000"/>
                <w:sz w:val="16"/>
                <w:szCs w:val="16"/>
              </w:rPr>
            </w:pPr>
          </w:p>
        </w:tc>
        <w:tc>
          <w:tcPr>
            <w:tcW w:w="576" w:type="dxa"/>
            <w:shd w:val="clear" w:color="auto" w:fill="auto"/>
            <w:vAlign w:val="center"/>
          </w:tcPr>
          <w:p w14:paraId="71E8C1A9" w14:textId="77777777" w:rsidR="001F52AF" w:rsidRDefault="001F52AF" w:rsidP="00EE2E25">
            <w:pPr>
              <w:jc w:val="right"/>
              <w:rPr>
                <w:color w:val="000000"/>
                <w:sz w:val="16"/>
                <w:szCs w:val="16"/>
              </w:rPr>
            </w:pPr>
          </w:p>
        </w:tc>
        <w:tc>
          <w:tcPr>
            <w:tcW w:w="1123" w:type="dxa"/>
            <w:tcBorders>
              <w:right w:val="single" w:sz="4" w:space="0" w:color="auto"/>
            </w:tcBorders>
            <w:shd w:val="clear" w:color="auto" w:fill="auto"/>
            <w:vAlign w:val="center"/>
          </w:tcPr>
          <w:p w14:paraId="095A5F84" w14:textId="77777777" w:rsidR="001F52AF" w:rsidRDefault="001F52AF" w:rsidP="00EE2E25">
            <w:pPr>
              <w:jc w:val="right"/>
              <w:rPr>
                <w:color w:val="000000"/>
                <w:sz w:val="16"/>
                <w:szCs w:val="16"/>
              </w:rPr>
            </w:pPr>
          </w:p>
        </w:tc>
        <w:tc>
          <w:tcPr>
            <w:tcW w:w="536" w:type="dxa"/>
            <w:tcBorders>
              <w:left w:val="single" w:sz="4" w:space="0" w:color="auto"/>
            </w:tcBorders>
            <w:shd w:val="clear" w:color="auto" w:fill="auto"/>
            <w:vAlign w:val="center"/>
          </w:tcPr>
          <w:p w14:paraId="6B0F0CD0" w14:textId="77777777" w:rsidR="001F52AF" w:rsidRDefault="001F52AF" w:rsidP="00EE2E25">
            <w:pPr>
              <w:jc w:val="right"/>
              <w:rPr>
                <w:color w:val="000000"/>
                <w:sz w:val="16"/>
                <w:szCs w:val="16"/>
              </w:rPr>
            </w:pPr>
          </w:p>
        </w:tc>
        <w:tc>
          <w:tcPr>
            <w:tcW w:w="567" w:type="dxa"/>
            <w:shd w:val="clear" w:color="auto" w:fill="auto"/>
            <w:vAlign w:val="center"/>
          </w:tcPr>
          <w:p w14:paraId="3B6B7ACE" w14:textId="77777777" w:rsidR="001F52AF" w:rsidRDefault="001F52AF" w:rsidP="00EE2E25">
            <w:pPr>
              <w:jc w:val="right"/>
              <w:rPr>
                <w:color w:val="000000"/>
                <w:sz w:val="16"/>
                <w:szCs w:val="16"/>
              </w:rPr>
            </w:pPr>
          </w:p>
        </w:tc>
        <w:tc>
          <w:tcPr>
            <w:tcW w:w="1123" w:type="dxa"/>
            <w:shd w:val="clear" w:color="auto" w:fill="auto"/>
            <w:vAlign w:val="center"/>
          </w:tcPr>
          <w:p w14:paraId="2552F266" w14:textId="77777777" w:rsidR="001F52AF" w:rsidRDefault="001F52AF" w:rsidP="00EE2E25">
            <w:pPr>
              <w:jc w:val="right"/>
              <w:rPr>
                <w:color w:val="000000"/>
                <w:sz w:val="16"/>
                <w:szCs w:val="16"/>
              </w:rPr>
            </w:pPr>
          </w:p>
        </w:tc>
      </w:tr>
      <w:tr w:rsidR="00C110AE" w:rsidRPr="007B4EF8" w14:paraId="7B7D79BA" w14:textId="77777777" w:rsidTr="00793719">
        <w:trPr>
          <w:jc w:val="center"/>
        </w:trPr>
        <w:tc>
          <w:tcPr>
            <w:tcW w:w="2127" w:type="dxa"/>
          </w:tcPr>
          <w:p w14:paraId="39DEA322" w14:textId="77777777" w:rsidR="00C110AE" w:rsidRDefault="00C110AE" w:rsidP="00C110AE">
            <w:pPr>
              <w:spacing w:before="20" w:after="20"/>
              <w:ind w:left="34"/>
              <w:rPr>
                <w:rFonts w:eastAsiaTheme="minorEastAsia"/>
                <w:sz w:val="16"/>
                <w:szCs w:val="16"/>
                <w:lang w:eastAsia="en-US"/>
              </w:rPr>
            </w:pPr>
            <w:r>
              <w:rPr>
                <w:rFonts w:eastAsiaTheme="minorEastAsia"/>
                <w:sz w:val="16"/>
                <w:szCs w:val="16"/>
                <w:lang w:eastAsia="en-US"/>
              </w:rPr>
              <w:t>$1 - $10</w:t>
            </w:r>
          </w:p>
        </w:tc>
        <w:tc>
          <w:tcPr>
            <w:tcW w:w="2379" w:type="dxa"/>
            <w:shd w:val="clear" w:color="auto" w:fill="auto"/>
          </w:tcPr>
          <w:p w14:paraId="2D25175C" w14:textId="77777777" w:rsidR="00C110AE" w:rsidRPr="001B7431" w:rsidRDefault="00C110AE" w:rsidP="00C110AE">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shd w:val="clear" w:color="auto" w:fill="auto"/>
            <w:vAlign w:val="center"/>
          </w:tcPr>
          <w:p w14:paraId="02FDED42" w14:textId="77777777" w:rsidR="00C110AE" w:rsidRDefault="00C110AE" w:rsidP="00C110AE">
            <w:pPr>
              <w:jc w:val="right"/>
              <w:rPr>
                <w:color w:val="000000"/>
                <w:sz w:val="16"/>
                <w:szCs w:val="16"/>
                <w:lang w:eastAsia="en-NZ"/>
              </w:rPr>
            </w:pPr>
            <w:r>
              <w:rPr>
                <w:color w:val="000000"/>
                <w:sz w:val="16"/>
                <w:szCs w:val="16"/>
              </w:rPr>
              <w:t>987</w:t>
            </w:r>
          </w:p>
        </w:tc>
        <w:tc>
          <w:tcPr>
            <w:tcW w:w="496" w:type="dxa"/>
            <w:shd w:val="clear" w:color="auto" w:fill="auto"/>
            <w:vAlign w:val="center"/>
          </w:tcPr>
          <w:p w14:paraId="62839F5E" w14:textId="77777777" w:rsidR="00C110AE" w:rsidRDefault="00C110AE" w:rsidP="00C110AE">
            <w:pPr>
              <w:jc w:val="right"/>
              <w:rPr>
                <w:color w:val="000000"/>
                <w:sz w:val="16"/>
                <w:szCs w:val="16"/>
              </w:rPr>
            </w:pPr>
            <w:r>
              <w:rPr>
                <w:color w:val="000000"/>
                <w:sz w:val="16"/>
                <w:szCs w:val="16"/>
              </w:rPr>
              <w:t>96.9</w:t>
            </w:r>
          </w:p>
        </w:tc>
        <w:tc>
          <w:tcPr>
            <w:tcW w:w="1043" w:type="dxa"/>
            <w:tcBorders>
              <w:right w:val="single" w:sz="4" w:space="0" w:color="auto"/>
            </w:tcBorders>
            <w:shd w:val="clear" w:color="auto" w:fill="auto"/>
            <w:vAlign w:val="center"/>
          </w:tcPr>
          <w:p w14:paraId="6E85C14C" w14:textId="77777777" w:rsidR="00C110AE" w:rsidRDefault="00C110AE" w:rsidP="00C110AE">
            <w:pPr>
              <w:jc w:val="right"/>
              <w:rPr>
                <w:color w:val="000000"/>
                <w:sz w:val="16"/>
                <w:szCs w:val="16"/>
              </w:rPr>
            </w:pPr>
            <w:r>
              <w:rPr>
                <w:color w:val="000000"/>
                <w:sz w:val="16"/>
                <w:szCs w:val="16"/>
              </w:rPr>
              <w:t>(95.6, 98.2)</w:t>
            </w:r>
          </w:p>
        </w:tc>
        <w:tc>
          <w:tcPr>
            <w:tcW w:w="569" w:type="dxa"/>
            <w:tcBorders>
              <w:left w:val="single" w:sz="4" w:space="0" w:color="auto"/>
            </w:tcBorders>
            <w:shd w:val="clear" w:color="auto" w:fill="auto"/>
            <w:vAlign w:val="center"/>
          </w:tcPr>
          <w:p w14:paraId="1C5583E3" w14:textId="77777777" w:rsidR="00C110AE" w:rsidRDefault="00C110AE" w:rsidP="00C110AE">
            <w:pPr>
              <w:jc w:val="right"/>
              <w:rPr>
                <w:color w:val="000000"/>
                <w:sz w:val="16"/>
                <w:szCs w:val="16"/>
              </w:rPr>
            </w:pPr>
            <w:r>
              <w:rPr>
                <w:color w:val="000000"/>
                <w:sz w:val="16"/>
                <w:szCs w:val="16"/>
              </w:rPr>
              <w:t>636</w:t>
            </w:r>
          </w:p>
        </w:tc>
        <w:tc>
          <w:tcPr>
            <w:tcW w:w="567" w:type="dxa"/>
            <w:shd w:val="clear" w:color="auto" w:fill="auto"/>
            <w:vAlign w:val="center"/>
          </w:tcPr>
          <w:p w14:paraId="17B157EF" w14:textId="77777777" w:rsidR="00C110AE" w:rsidRDefault="00C110AE" w:rsidP="00C110AE">
            <w:pPr>
              <w:jc w:val="right"/>
              <w:rPr>
                <w:color w:val="000000"/>
                <w:sz w:val="16"/>
                <w:szCs w:val="16"/>
              </w:rPr>
            </w:pPr>
            <w:r>
              <w:rPr>
                <w:color w:val="000000"/>
                <w:sz w:val="16"/>
                <w:szCs w:val="16"/>
              </w:rPr>
              <w:t>97.3</w:t>
            </w:r>
          </w:p>
        </w:tc>
        <w:tc>
          <w:tcPr>
            <w:tcW w:w="1123" w:type="dxa"/>
            <w:tcBorders>
              <w:right w:val="single" w:sz="4" w:space="0" w:color="auto"/>
            </w:tcBorders>
            <w:shd w:val="clear" w:color="auto" w:fill="auto"/>
            <w:vAlign w:val="center"/>
          </w:tcPr>
          <w:p w14:paraId="098735B5" w14:textId="77777777" w:rsidR="00C110AE" w:rsidRDefault="00C110AE" w:rsidP="00C110AE">
            <w:pPr>
              <w:jc w:val="right"/>
              <w:rPr>
                <w:color w:val="000000"/>
                <w:sz w:val="16"/>
                <w:szCs w:val="16"/>
              </w:rPr>
            </w:pPr>
            <w:r>
              <w:rPr>
                <w:color w:val="000000"/>
                <w:sz w:val="16"/>
                <w:szCs w:val="16"/>
              </w:rPr>
              <w:t>(95.7, 98.9)</w:t>
            </w:r>
          </w:p>
        </w:tc>
        <w:tc>
          <w:tcPr>
            <w:tcW w:w="536" w:type="dxa"/>
            <w:tcBorders>
              <w:left w:val="single" w:sz="4" w:space="0" w:color="auto"/>
            </w:tcBorders>
            <w:shd w:val="clear" w:color="auto" w:fill="auto"/>
            <w:vAlign w:val="center"/>
          </w:tcPr>
          <w:p w14:paraId="232417FA" w14:textId="77777777" w:rsidR="00C110AE" w:rsidRDefault="00C110AE" w:rsidP="00C110AE">
            <w:pPr>
              <w:jc w:val="right"/>
              <w:rPr>
                <w:color w:val="000000"/>
                <w:sz w:val="16"/>
                <w:szCs w:val="16"/>
              </w:rPr>
            </w:pPr>
            <w:r>
              <w:rPr>
                <w:color w:val="000000"/>
                <w:sz w:val="16"/>
                <w:szCs w:val="16"/>
              </w:rPr>
              <w:t>498</w:t>
            </w:r>
          </w:p>
        </w:tc>
        <w:tc>
          <w:tcPr>
            <w:tcW w:w="576" w:type="dxa"/>
            <w:shd w:val="clear" w:color="auto" w:fill="auto"/>
            <w:vAlign w:val="center"/>
          </w:tcPr>
          <w:p w14:paraId="3AB8A6A4" w14:textId="77777777" w:rsidR="00C110AE" w:rsidRDefault="00C110AE" w:rsidP="00C110AE">
            <w:pPr>
              <w:jc w:val="right"/>
              <w:rPr>
                <w:color w:val="000000"/>
                <w:sz w:val="16"/>
                <w:szCs w:val="16"/>
              </w:rPr>
            </w:pPr>
            <w:r>
              <w:rPr>
                <w:color w:val="000000"/>
                <w:sz w:val="16"/>
                <w:szCs w:val="16"/>
              </w:rPr>
              <w:t>97.4</w:t>
            </w:r>
          </w:p>
        </w:tc>
        <w:tc>
          <w:tcPr>
            <w:tcW w:w="1123" w:type="dxa"/>
            <w:tcBorders>
              <w:right w:val="single" w:sz="4" w:space="0" w:color="auto"/>
            </w:tcBorders>
            <w:shd w:val="clear" w:color="auto" w:fill="auto"/>
            <w:vAlign w:val="center"/>
          </w:tcPr>
          <w:p w14:paraId="58DDACBB" w14:textId="77777777" w:rsidR="00C110AE" w:rsidRDefault="00C110AE" w:rsidP="00C110AE">
            <w:pPr>
              <w:jc w:val="right"/>
              <w:rPr>
                <w:color w:val="000000"/>
                <w:sz w:val="16"/>
                <w:szCs w:val="16"/>
              </w:rPr>
            </w:pPr>
            <w:r>
              <w:rPr>
                <w:color w:val="000000"/>
                <w:sz w:val="16"/>
                <w:szCs w:val="16"/>
              </w:rPr>
              <w:t>(96.0, 98.9)</w:t>
            </w:r>
          </w:p>
        </w:tc>
        <w:tc>
          <w:tcPr>
            <w:tcW w:w="536" w:type="dxa"/>
            <w:tcBorders>
              <w:left w:val="single" w:sz="4" w:space="0" w:color="auto"/>
            </w:tcBorders>
            <w:shd w:val="clear" w:color="auto" w:fill="auto"/>
            <w:vAlign w:val="center"/>
          </w:tcPr>
          <w:p w14:paraId="4B3862E4" w14:textId="77777777" w:rsidR="00C110AE" w:rsidRDefault="00C110AE" w:rsidP="00C110AE">
            <w:pPr>
              <w:jc w:val="right"/>
              <w:rPr>
                <w:color w:val="000000"/>
                <w:sz w:val="16"/>
                <w:szCs w:val="16"/>
              </w:rPr>
            </w:pPr>
            <w:r>
              <w:rPr>
                <w:color w:val="000000"/>
                <w:sz w:val="16"/>
                <w:szCs w:val="16"/>
              </w:rPr>
              <w:t>454</w:t>
            </w:r>
          </w:p>
        </w:tc>
        <w:tc>
          <w:tcPr>
            <w:tcW w:w="567" w:type="dxa"/>
            <w:shd w:val="clear" w:color="auto" w:fill="auto"/>
            <w:vAlign w:val="center"/>
          </w:tcPr>
          <w:p w14:paraId="4D36A051" w14:textId="77777777" w:rsidR="00C110AE" w:rsidRDefault="00C110AE" w:rsidP="00C110AE">
            <w:pPr>
              <w:jc w:val="right"/>
              <w:rPr>
                <w:color w:val="000000"/>
                <w:sz w:val="16"/>
                <w:szCs w:val="16"/>
              </w:rPr>
            </w:pPr>
            <w:r>
              <w:rPr>
                <w:color w:val="000000"/>
                <w:sz w:val="16"/>
                <w:szCs w:val="16"/>
              </w:rPr>
              <w:t>98.0</w:t>
            </w:r>
          </w:p>
        </w:tc>
        <w:tc>
          <w:tcPr>
            <w:tcW w:w="1123" w:type="dxa"/>
            <w:shd w:val="clear" w:color="auto" w:fill="auto"/>
            <w:vAlign w:val="center"/>
          </w:tcPr>
          <w:p w14:paraId="43B114F3" w14:textId="77777777" w:rsidR="00C110AE" w:rsidRDefault="00C110AE" w:rsidP="00C110AE">
            <w:pPr>
              <w:jc w:val="right"/>
              <w:rPr>
                <w:color w:val="000000"/>
                <w:sz w:val="16"/>
                <w:szCs w:val="16"/>
              </w:rPr>
            </w:pPr>
            <w:r>
              <w:rPr>
                <w:color w:val="000000"/>
                <w:sz w:val="16"/>
                <w:szCs w:val="16"/>
              </w:rPr>
              <w:t>(96.8, 99.2)</w:t>
            </w:r>
          </w:p>
        </w:tc>
      </w:tr>
      <w:tr w:rsidR="00C110AE" w:rsidRPr="007B4EF8" w14:paraId="45D33030" w14:textId="77777777" w:rsidTr="00793719">
        <w:trPr>
          <w:jc w:val="center"/>
        </w:trPr>
        <w:tc>
          <w:tcPr>
            <w:tcW w:w="2127" w:type="dxa"/>
          </w:tcPr>
          <w:p w14:paraId="17B3D167" w14:textId="77777777" w:rsidR="00C110AE" w:rsidRPr="00D317D8" w:rsidRDefault="00C110AE" w:rsidP="00C110AE">
            <w:pPr>
              <w:tabs>
                <w:tab w:val="left" w:pos="176"/>
              </w:tabs>
              <w:spacing w:before="20" w:after="20"/>
              <w:rPr>
                <w:rFonts w:eastAsiaTheme="minorEastAsia"/>
                <w:sz w:val="18"/>
                <w:szCs w:val="18"/>
                <w:lang w:eastAsia="en-US"/>
              </w:rPr>
            </w:pPr>
          </w:p>
        </w:tc>
        <w:tc>
          <w:tcPr>
            <w:tcW w:w="2379" w:type="dxa"/>
            <w:shd w:val="clear" w:color="auto" w:fill="auto"/>
          </w:tcPr>
          <w:p w14:paraId="68752792" w14:textId="77777777" w:rsidR="00C110AE" w:rsidRPr="001B7431" w:rsidRDefault="00C110AE" w:rsidP="00C110AE">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shd w:val="clear" w:color="auto" w:fill="auto"/>
            <w:vAlign w:val="center"/>
          </w:tcPr>
          <w:p w14:paraId="717BECFE" w14:textId="77777777" w:rsidR="00C110AE" w:rsidRDefault="00C110AE" w:rsidP="00C110AE">
            <w:pPr>
              <w:jc w:val="right"/>
              <w:rPr>
                <w:color w:val="000000"/>
                <w:sz w:val="16"/>
                <w:szCs w:val="16"/>
              </w:rPr>
            </w:pPr>
            <w:r>
              <w:rPr>
                <w:color w:val="000000"/>
                <w:sz w:val="16"/>
                <w:szCs w:val="16"/>
              </w:rPr>
              <w:t>29</w:t>
            </w:r>
          </w:p>
        </w:tc>
        <w:tc>
          <w:tcPr>
            <w:tcW w:w="496" w:type="dxa"/>
            <w:shd w:val="clear" w:color="auto" w:fill="auto"/>
            <w:vAlign w:val="center"/>
          </w:tcPr>
          <w:p w14:paraId="3A3FCE20" w14:textId="77777777" w:rsidR="00C110AE" w:rsidRDefault="00C110AE" w:rsidP="00C110AE">
            <w:pPr>
              <w:jc w:val="right"/>
              <w:rPr>
                <w:color w:val="000000"/>
                <w:sz w:val="16"/>
                <w:szCs w:val="16"/>
              </w:rPr>
            </w:pPr>
            <w:r>
              <w:rPr>
                <w:color w:val="000000"/>
                <w:sz w:val="16"/>
                <w:szCs w:val="16"/>
              </w:rPr>
              <w:t>2.8</w:t>
            </w:r>
          </w:p>
        </w:tc>
        <w:tc>
          <w:tcPr>
            <w:tcW w:w="1043" w:type="dxa"/>
            <w:tcBorders>
              <w:right w:val="single" w:sz="4" w:space="0" w:color="auto"/>
            </w:tcBorders>
            <w:shd w:val="clear" w:color="auto" w:fill="auto"/>
            <w:vAlign w:val="center"/>
          </w:tcPr>
          <w:p w14:paraId="3CD37339" w14:textId="77777777" w:rsidR="00C110AE" w:rsidRDefault="00C110AE" w:rsidP="00C110AE">
            <w:pPr>
              <w:jc w:val="right"/>
              <w:rPr>
                <w:color w:val="000000"/>
                <w:sz w:val="16"/>
                <w:szCs w:val="16"/>
              </w:rPr>
            </w:pPr>
            <w:r>
              <w:rPr>
                <w:color w:val="000000"/>
                <w:sz w:val="16"/>
                <w:szCs w:val="16"/>
              </w:rPr>
              <w:t>(1.6, 4.1)</w:t>
            </w:r>
          </w:p>
        </w:tc>
        <w:tc>
          <w:tcPr>
            <w:tcW w:w="569" w:type="dxa"/>
            <w:tcBorders>
              <w:left w:val="single" w:sz="4" w:space="0" w:color="auto"/>
            </w:tcBorders>
            <w:shd w:val="clear" w:color="auto" w:fill="auto"/>
            <w:vAlign w:val="center"/>
          </w:tcPr>
          <w:p w14:paraId="16F82422" w14:textId="77777777" w:rsidR="00C110AE" w:rsidRDefault="00C110AE" w:rsidP="00C110AE">
            <w:pPr>
              <w:jc w:val="right"/>
              <w:rPr>
                <w:color w:val="000000"/>
                <w:sz w:val="16"/>
                <w:szCs w:val="16"/>
              </w:rPr>
            </w:pPr>
            <w:r>
              <w:rPr>
                <w:color w:val="000000"/>
                <w:sz w:val="16"/>
                <w:szCs w:val="16"/>
              </w:rPr>
              <w:t>17</w:t>
            </w:r>
          </w:p>
        </w:tc>
        <w:tc>
          <w:tcPr>
            <w:tcW w:w="567" w:type="dxa"/>
            <w:shd w:val="clear" w:color="auto" w:fill="auto"/>
            <w:vAlign w:val="center"/>
          </w:tcPr>
          <w:p w14:paraId="488ED856" w14:textId="77777777" w:rsidR="00C110AE" w:rsidRDefault="00C110AE" w:rsidP="00C110AE">
            <w:pPr>
              <w:jc w:val="right"/>
              <w:rPr>
                <w:color w:val="000000"/>
                <w:sz w:val="16"/>
                <w:szCs w:val="16"/>
              </w:rPr>
            </w:pPr>
            <w:r>
              <w:rPr>
                <w:color w:val="000000"/>
                <w:sz w:val="16"/>
                <w:szCs w:val="16"/>
              </w:rPr>
              <w:t>2.5</w:t>
            </w:r>
          </w:p>
        </w:tc>
        <w:tc>
          <w:tcPr>
            <w:tcW w:w="1123" w:type="dxa"/>
            <w:tcBorders>
              <w:right w:val="single" w:sz="4" w:space="0" w:color="auto"/>
            </w:tcBorders>
            <w:shd w:val="clear" w:color="auto" w:fill="auto"/>
            <w:vAlign w:val="center"/>
          </w:tcPr>
          <w:p w14:paraId="2B0E269F" w14:textId="77777777" w:rsidR="00C110AE" w:rsidRDefault="00C110AE" w:rsidP="00C110AE">
            <w:pPr>
              <w:jc w:val="right"/>
              <w:rPr>
                <w:color w:val="000000"/>
                <w:sz w:val="16"/>
                <w:szCs w:val="16"/>
              </w:rPr>
            </w:pPr>
            <w:r>
              <w:rPr>
                <w:color w:val="000000"/>
                <w:sz w:val="16"/>
                <w:szCs w:val="16"/>
              </w:rPr>
              <w:t>(1.0, 4.1)</w:t>
            </w:r>
          </w:p>
        </w:tc>
        <w:tc>
          <w:tcPr>
            <w:tcW w:w="536" w:type="dxa"/>
            <w:tcBorders>
              <w:left w:val="single" w:sz="4" w:space="0" w:color="auto"/>
            </w:tcBorders>
            <w:shd w:val="clear" w:color="auto" w:fill="auto"/>
            <w:vAlign w:val="center"/>
          </w:tcPr>
          <w:p w14:paraId="58EC7142" w14:textId="77777777" w:rsidR="00C110AE" w:rsidRDefault="00C110AE" w:rsidP="00C110AE">
            <w:pPr>
              <w:jc w:val="right"/>
              <w:rPr>
                <w:color w:val="000000"/>
                <w:sz w:val="16"/>
                <w:szCs w:val="16"/>
              </w:rPr>
            </w:pPr>
            <w:r>
              <w:rPr>
                <w:color w:val="000000"/>
                <w:sz w:val="16"/>
                <w:szCs w:val="16"/>
              </w:rPr>
              <w:t>10</w:t>
            </w:r>
          </w:p>
        </w:tc>
        <w:tc>
          <w:tcPr>
            <w:tcW w:w="576" w:type="dxa"/>
            <w:shd w:val="clear" w:color="auto" w:fill="auto"/>
            <w:vAlign w:val="center"/>
          </w:tcPr>
          <w:p w14:paraId="01C1E678" w14:textId="77777777" w:rsidR="00C110AE" w:rsidRDefault="00C110AE" w:rsidP="00C110AE">
            <w:pPr>
              <w:jc w:val="right"/>
              <w:rPr>
                <w:color w:val="000000"/>
                <w:sz w:val="16"/>
                <w:szCs w:val="16"/>
              </w:rPr>
            </w:pPr>
            <w:r>
              <w:rPr>
                <w:color w:val="000000"/>
                <w:sz w:val="16"/>
                <w:szCs w:val="16"/>
              </w:rPr>
              <w:t>2.0</w:t>
            </w:r>
          </w:p>
        </w:tc>
        <w:tc>
          <w:tcPr>
            <w:tcW w:w="1123" w:type="dxa"/>
            <w:tcBorders>
              <w:right w:val="single" w:sz="4" w:space="0" w:color="auto"/>
            </w:tcBorders>
            <w:shd w:val="clear" w:color="auto" w:fill="auto"/>
            <w:vAlign w:val="center"/>
          </w:tcPr>
          <w:p w14:paraId="06B335E1" w14:textId="77777777" w:rsidR="00C110AE" w:rsidRDefault="00C110AE" w:rsidP="00C110AE">
            <w:pPr>
              <w:jc w:val="right"/>
              <w:rPr>
                <w:color w:val="000000"/>
                <w:sz w:val="16"/>
                <w:szCs w:val="16"/>
              </w:rPr>
            </w:pPr>
            <w:r>
              <w:rPr>
                <w:color w:val="000000"/>
                <w:sz w:val="16"/>
                <w:szCs w:val="16"/>
              </w:rPr>
              <w:t>(0.7, 3.3)</w:t>
            </w:r>
          </w:p>
        </w:tc>
        <w:tc>
          <w:tcPr>
            <w:tcW w:w="536" w:type="dxa"/>
            <w:tcBorders>
              <w:left w:val="single" w:sz="4" w:space="0" w:color="auto"/>
            </w:tcBorders>
            <w:shd w:val="clear" w:color="auto" w:fill="auto"/>
            <w:vAlign w:val="center"/>
          </w:tcPr>
          <w:p w14:paraId="2426B9A1" w14:textId="77777777" w:rsidR="00C110AE" w:rsidRDefault="00C110AE" w:rsidP="00C110AE">
            <w:pPr>
              <w:jc w:val="right"/>
              <w:rPr>
                <w:color w:val="000000"/>
                <w:sz w:val="16"/>
                <w:szCs w:val="16"/>
              </w:rPr>
            </w:pPr>
            <w:r>
              <w:rPr>
                <w:color w:val="000000"/>
                <w:sz w:val="16"/>
                <w:szCs w:val="16"/>
              </w:rPr>
              <w:t>8</w:t>
            </w:r>
          </w:p>
        </w:tc>
        <w:tc>
          <w:tcPr>
            <w:tcW w:w="567" w:type="dxa"/>
            <w:shd w:val="clear" w:color="auto" w:fill="auto"/>
            <w:vAlign w:val="center"/>
          </w:tcPr>
          <w:p w14:paraId="7CAC2B7E" w14:textId="77777777" w:rsidR="00C110AE" w:rsidRDefault="00C110AE" w:rsidP="00C110AE">
            <w:pPr>
              <w:jc w:val="right"/>
              <w:rPr>
                <w:color w:val="000000"/>
                <w:sz w:val="16"/>
                <w:szCs w:val="16"/>
              </w:rPr>
            </w:pPr>
            <w:r>
              <w:rPr>
                <w:color w:val="000000"/>
                <w:sz w:val="16"/>
                <w:szCs w:val="16"/>
              </w:rPr>
              <w:t>1.7</w:t>
            </w:r>
          </w:p>
        </w:tc>
        <w:tc>
          <w:tcPr>
            <w:tcW w:w="1123" w:type="dxa"/>
            <w:shd w:val="clear" w:color="auto" w:fill="auto"/>
            <w:vAlign w:val="center"/>
          </w:tcPr>
          <w:p w14:paraId="740D85CE" w14:textId="77777777" w:rsidR="00C110AE" w:rsidRDefault="00C110AE" w:rsidP="00C110AE">
            <w:pPr>
              <w:jc w:val="right"/>
              <w:rPr>
                <w:color w:val="000000"/>
                <w:sz w:val="16"/>
                <w:szCs w:val="16"/>
              </w:rPr>
            </w:pPr>
            <w:r>
              <w:rPr>
                <w:color w:val="000000"/>
                <w:sz w:val="16"/>
                <w:szCs w:val="16"/>
              </w:rPr>
              <w:t>(0.6, 2.8)</w:t>
            </w:r>
          </w:p>
        </w:tc>
      </w:tr>
      <w:tr w:rsidR="00C110AE" w:rsidRPr="007B4EF8" w14:paraId="23DC0C84" w14:textId="77777777" w:rsidTr="00793719">
        <w:trPr>
          <w:jc w:val="center"/>
        </w:trPr>
        <w:tc>
          <w:tcPr>
            <w:tcW w:w="2127" w:type="dxa"/>
          </w:tcPr>
          <w:p w14:paraId="51EC811F" w14:textId="77777777" w:rsidR="00C110AE" w:rsidRPr="00D317D8" w:rsidRDefault="00C110AE" w:rsidP="00C110AE">
            <w:pPr>
              <w:tabs>
                <w:tab w:val="left" w:pos="176"/>
              </w:tabs>
              <w:spacing w:before="20" w:after="20"/>
              <w:rPr>
                <w:rFonts w:eastAsiaTheme="minorEastAsia"/>
                <w:sz w:val="18"/>
                <w:szCs w:val="18"/>
                <w:lang w:eastAsia="en-US"/>
              </w:rPr>
            </w:pPr>
          </w:p>
        </w:tc>
        <w:tc>
          <w:tcPr>
            <w:tcW w:w="2379" w:type="dxa"/>
            <w:shd w:val="clear" w:color="auto" w:fill="auto"/>
          </w:tcPr>
          <w:p w14:paraId="79225A60" w14:textId="77777777" w:rsidR="00C110AE" w:rsidRPr="001B7431" w:rsidRDefault="00C110AE" w:rsidP="00C110AE">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shd w:val="clear" w:color="auto" w:fill="auto"/>
            <w:vAlign w:val="center"/>
          </w:tcPr>
          <w:p w14:paraId="35F20618" w14:textId="77777777" w:rsidR="00C110AE" w:rsidRDefault="00C110AE" w:rsidP="00C110AE">
            <w:pPr>
              <w:jc w:val="right"/>
              <w:rPr>
                <w:color w:val="000000"/>
                <w:sz w:val="16"/>
                <w:szCs w:val="16"/>
              </w:rPr>
            </w:pPr>
            <w:r>
              <w:rPr>
                <w:color w:val="000000"/>
                <w:sz w:val="16"/>
                <w:szCs w:val="16"/>
              </w:rPr>
              <w:t>3</w:t>
            </w:r>
          </w:p>
        </w:tc>
        <w:tc>
          <w:tcPr>
            <w:tcW w:w="496" w:type="dxa"/>
            <w:shd w:val="clear" w:color="auto" w:fill="auto"/>
            <w:vAlign w:val="center"/>
          </w:tcPr>
          <w:p w14:paraId="20E08BE1" w14:textId="77777777" w:rsidR="00C110AE" w:rsidRDefault="00C110AE" w:rsidP="00C110AE">
            <w:pPr>
              <w:jc w:val="right"/>
              <w:rPr>
                <w:color w:val="000000"/>
                <w:sz w:val="16"/>
                <w:szCs w:val="16"/>
              </w:rPr>
            </w:pPr>
            <w:r>
              <w:rPr>
                <w:color w:val="000000"/>
                <w:sz w:val="16"/>
                <w:szCs w:val="16"/>
              </w:rPr>
              <w:t>0.2</w:t>
            </w:r>
          </w:p>
        </w:tc>
        <w:tc>
          <w:tcPr>
            <w:tcW w:w="1043" w:type="dxa"/>
            <w:tcBorders>
              <w:right w:val="single" w:sz="4" w:space="0" w:color="auto"/>
            </w:tcBorders>
            <w:shd w:val="clear" w:color="auto" w:fill="auto"/>
            <w:vAlign w:val="center"/>
          </w:tcPr>
          <w:p w14:paraId="61630350" w14:textId="77777777" w:rsidR="00C110AE" w:rsidRDefault="00C110AE" w:rsidP="00C110AE">
            <w:pPr>
              <w:jc w:val="right"/>
              <w:rPr>
                <w:color w:val="000000"/>
                <w:sz w:val="16"/>
                <w:szCs w:val="16"/>
              </w:rPr>
            </w:pPr>
            <w:r>
              <w:rPr>
                <w:color w:val="000000"/>
                <w:sz w:val="16"/>
                <w:szCs w:val="16"/>
              </w:rPr>
              <w:t>(0.0, 0.6)</w:t>
            </w:r>
          </w:p>
        </w:tc>
        <w:tc>
          <w:tcPr>
            <w:tcW w:w="569" w:type="dxa"/>
            <w:tcBorders>
              <w:left w:val="single" w:sz="4" w:space="0" w:color="auto"/>
            </w:tcBorders>
            <w:shd w:val="clear" w:color="auto" w:fill="auto"/>
            <w:vAlign w:val="center"/>
          </w:tcPr>
          <w:p w14:paraId="2E830654" w14:textId="77777777" w:rsidR="00C110AE" w:rsidRDefault="00C110AE" w:rsidP="00C110AE">
            <w:pPr>
              <w:jc w:val="right"/>
              <w:rPr>
                <w:color w:val="000000"/>
                <w:sz w:val="16"/>
                <w:szCs w:val="16"/>
              </w:rPr>
            </w:pPr>
            <w:r>
              <w:rPr>
                <w:color w:val="000000"/>
                <w:sz w:val="16"/>
                <w:szCs w:val="16"/>
              </w:rPr>
              <w:t>1</w:t>
            </w:r>
          </w:p>
        </w:tc>
        <w:tc>
          <w:tcPr>
            <w:tcW w:w="567" w:type="dxa"/>
            <w:shd w:val="clear" w:color="auto" w:fill="auto"/>
            <w:vAlign w:val="center"/>
          </w:tcPr>
          <w:p w14:paraId="73969E6D" w14:textId="77777777" w:rsidR="00C110AE" w:rsidRDefault="00C110AE" w:rsidP="00C110AE">
            <w:pPr>
              <w:jc w:val="right"/>
              <w:rPr>
                <w:color w:val="000000"/>
                <w:sz w:val="16"/>
                <w:szCs w:val="16"/>
              </w:rPr>
            </w:pPr>
            <w:r>
              <w:rPr>
                <w:color w:val="000000"/>
                <w:sz w:val="16"/>
                <w:szCs w:val="16"/>
              </w:rPr>
              <w:t>0.2</w:t>
            </w:r>
          </w:p>
        </w:tc>
        <w:tc>
          <w:tcPr>
            <w:tcW w:w="1123" w:type="dxa"/>
            <w:tcBorders>
              <w:right w:val="single" w:sz="4" w:space="0" w:color="auto"/>
            </w:tcBorders>
            <w:shd w:val="clear" w:color="auto" w:fill="auto"/>
            <w:vAlign w:val="center"/>
          </w:tcPr>
          <w:p w14:paraId="7448BA99" w14:textId="77777777" w:rsidR="00C110AE" w:rsidRDefault="002F172C" w:rsidP="00C110AE">
            <w:pPr>
              <w:jc w:val="right"/>
              <w:rPr>
                <w:color w:val="000000"/>
                <w:sz w:val="16"/>
                <w:szCs w:val="16"/>
              </w:rPr>
            </w:pPr>
            <w:r>
              <w:rPr>
                <w:color w:val="000000"/>
                <w:sz w:val="16"/>
                <w:szCs w:val="16"/>
              </w:rPr>
              <w:t>!</w:t>
            </w:r>
          </w:p>
        </w:tc>
        <w:tc>
          <w:tcPr>
            <w:tcW w:w="536" w:type="dxa"/>
            <w:tcBorders>
              <w:left w:val="single" w:sz="4" w:space="0" w:color="auto"/>
            </w:tcBorders>
            <w:shd w:val="clear" w:color="auto" w:fill="auto"/>
            <w:vAlign w:val="center"/>
          </w:tcPr>
          <w:p w14:paraId="252B7B4A" w14:textId="77777777" w:rsidR="00C110AE" w:rsidRDefault="00C110AE" w:rsidP="00C110AE">
            <w:pPr>
              <w:jc w:val="right"/>
              <w:rPr>
                <w:color w:val="000000"/>
                <w:sz w:val="16"/>
                <w:szCs w:val="16"/>
              </w:rPr>
            </w:pPr>
            <w:r>
              <w:rPr>
                <w:color w:val="000000"/>
                <w:sz w:val="16"/>
                <w:szCs w:val="16"/>
              </w:rPr>
              <w:t>3</w:t>
            </w:r>
          </w:p>
        </w:tc>
        <w:tc>
          <w:tcPr>
            <w:tcW w:w="576" w:type="dxa"/>
            <w:shd w:val="clear" w:color="auto" w:fill="auto"/>
            <w:vAlign w:val="center"/>
          </w:tcPr>
          <w:p w14:paraId="10259B87" w14:textId="77777777" w:rsidR="00C110AE" w:rsidRDefault="00C110AE" w:rsidP="00C110AE">
            <w:pPr>
              <w:jc w:val="right"/>
              <w:rPr>
                <w:color w:val="000000"/>
                <w:sz w:val="16"/>
                <w:szCs w:val="16"/>
              </w:rPr>
            </w:pPr>
            <w:r>
              <w:rPr>
                <w:color w:val="000000"/>
                <w:sz w:val="16"/>
                <w:szCs w:val="16"/>
              </w:rPr>
              <w:t>0.6</w:t>
            </w:r>
          </w:p>
        </w:tc>
        <w:tc>
          <w:tcPr>
            <w:tcW w:w="1123" w:type="dxa"/>
            <w:tcBorders>
              <w:right w:val="single" w:sz="4" w:space="0" w:color="auto"/>
            </w:tcBorders>
            <w:shd w:val="clear" w:color="auto" w:fill="auto"/>
            <w:vAlign w:val="center"/>
          </w:tcPr>
          <w:p w14:paraId="0DCC5520" w14:textId="77777777" w:rsidR="00C110AE" w:rsidRDefault="00C110AE" w:rsidP="00C110AE">
            <w:pPr>
              <w:jc w:val="right"/>
              <w:rPr>
                <w:color w:val="000000"/>
                <w:sz w:val="16"/>
                <w:szCs w:val="16"/>
              </w:rPr>
            </w:pPr>
            <w:r>
              <w:rPr>
                <w:color w:val="000000"/>
                <w:sz w:val="16"/>
                <w:szCs w:val="16"/>
              </w:rPr>
              <w:t>(0.0, 1.2)</w:t>
            </w:r>
          </w:p>
        </w:tc>
        <w:tc>
          <w:tcPr>
            <w:tcW w:w="536" w:type="dxa"/>
            <w:tcBorders>
              <w:left w:val="single" w:sz="4" w:space="0" w:color="auto"/>
            </w:tcBorders>
            <w:shd w:val="clear" w:color="auto" w:fill="auto"/>
            <w:vAlign w:val="center"/>
          </w:tcPr>
          <w:p w14:paraId="72EA603F" w14:textId="77777777" w:rsidR="00C110AE" w:rsidRDefault="00C110AE" w:rsidP="00C110AE">
            <w:pPr>
              <w:jc w:val="right"/>
              <w:rPr>
                <w:color w:val="000000"/>
                <w:sz w:val="16"/>
                <w:szCs w:val="16"/>
              </w:rPr>
            </w:pPr>
            <w:r>
              <w:rPr>
                <w:color w:val="000000"/>
                <w:sz w:val="16"/>
                <w:szCs w:val="16"/>
              </w:rPr>
              <w:t>1</w:t>
            </w:r>
          </w:p>
        </w:tc>
        <w:tc>
          <w:tcPr>
            <w:tcW w:w="567" w:type="dxa"/>
            <w:shd w:val="clear" w:color="auto" w:fill="auto"/>
            <w:vAlign w:val="center"/>
          </w:tcPr>
          <w:p w14:paraId="247B56DC" w14:textId="77777777" w:rsidR="00C110AE" w:rsidRDefault="00C110AE" w:rsidP="00C110AE">
            <w:pPr>
              <w:jc w:val="right"/>
              <w:rPr>
                <w:color w:val="000000"/>
                <w:sz w:val="16"/>
                <w:szCs w:val="16"/>
              </w:rPr>
            </w:pPr>
            <w:r>
              <w:rPr>
                <w:color w:val="000000"/>
                <w:sz w:val="16"/>
                <w:szCs w:val="16"/>
              </w:rPr>
              <w:t>0.3</w:t>
            </w:r>
          </w:p>
        </w:tc>
        <w:tc>
          <w:tcPr>
            <w:tcW w:w="1123" w:type="dxa"/>
            <w:shd w:val="clear" w:color="auto" w:fill="auto"/>
            <w:vAlign w:val="center"/>
          </w:tcPr>
          <w:p w14:paraId="2AC00712" w14:textId="77777777" w:rsidR="00C110AE" w:rsidRDefault="002F172C" w:rsidP="00C110AE">
            <w:pPr>
              <w:jc w:val="right"/>
              <w:rPr>
                <w:color w:val="000000"/>
                <w:sz w:val="16"/>
                <w:szCs w:val="16"/>
              </w:rPr>
            </w:pPr>
            <w:r>
              <w:rPr>
                <w:color w:val="000000"/>
                <w:sz w:val="16"/>
                <w:szCs w:val="16"/>
              </w:rPr>
              <w:t>!</w:t>
            </w:r>
          </w:p>
        </w:tc>
      </w:tr>
      <w:tr w:rsidR="00C110AE" w:rsidRPr="007B4EF8" w14:paraId="127025D5" w14:textId="77777777" w:rsidTr="00793719">
        <w:trPr>
          <w:jc w:val="center"/>
        </w:trPr>
        <w:tc>
          <w:tcPr>
            <w:tcW w:w="2127" w:type="dxa"/>
          </w:tcPr>
          <w:p w14:paraId="4BD8E8A9" w14:textId="77777777" w:rsidR="00C110AE" w:rsidRPr="00D317D8" w:rsidRDefault="00C110AE" w:rsidP="00C110AE">
            <w:pPr>
              <w:tabs>
                <w:tab w:val="left" w:pos="176"/>
              </w:tabs>
              <w:spacing w:before="20" w:after="20"/>
              <w:rPr>
                <w:rFonts w:eastAsiaTheme="minorEastAsia"/>
                <w:sz w:val="18"/>
                <w:szCs w:val="18"/>
                <w:lang w:eastAsia="en-US"/>
              </w:rPr>
            </w:pPr>
            <w:r>
              <w:rPr>
                <w:rFonts w:eastAsiaTheme="minorEastAsia"/>
                <w:sz w:val="18"/>
                <w:szCs w:val="18"/>
                <w:lang w:eastAsia="en-US"/>
              </w:rPr>
              <w:t>$11 - $20</w:t>
            </w:r>
          </w:p>
        </w:tc>
        <w:tc>
          <w:tcPr>
            <w:tcW w:w="2379" w:type="dxa"/>
            <w:shd w:val="clear" w:color="auto" w:fill="auto"/>
          </w:tcPr>
          <w:p w14:paraId="5B628AE3" w14:textId="77777777" w:rsidR="00C110AE" w:rsidRPr="001B7431" w:rsidRDefault="00C110AE" w:rsidP="00C110AE">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shd w:val="clear" w:color="auto" w:fill="auto"/>
            <w:vAlign w:val="center"/>
          </w:tcPr>
          <w:p w14:paraId="6E770B17" w14:textId="77777777" w:rsidR="00C110AE" w:rsidRDefault="00C110AE" w:rsidP="00C110AE">
            <w:pPr>
              <w:jc w:val="right"/>
              <w:rPr>
                <w:color w:val="000000"/>
                <w:sz w:val="16"/>
                <w:szCs w:val="16"/>
              </w:rPr>
            </w:pPr>
            <w:r>
              <w:rPr>
                <w:color w:val="000000"/>
                <w:sz w:val="16"/>
                <w:szCs w:val="16"/>
              </w:rPr>
              <w:t>960</w:t>
            </w:r>
          </w:p>
        </w:tc>
        <w:tc>
          <w:tcPr>
            <w:tcW w:w="496" w:type="dxa"/>
            <w:shd w:val="clear" w:color="auto" w:fill="auto"/>
            <w:vAlign w:val="center"/>
          </w:tcPr>
          <w:p w14:paraId="67F16F62" w14:textId="77777777" w:rsidR="00C110AE" w:rsidRDefault="00C110AE" w:rsidP="00C110AE">
            <w:pPr>
              <w:jc w:val="right"/>
              <w:rPr>
                <w:color w:val="000000"/>
                <w:sz w:val="16"/>
                <w:szCs w:val="16"/>
              </w:rPr>
            </w:pPr>
            <w:r>
              <w:rPr>
                <w:color w:val="000000"/>
                <w:sz w:val="16"/>
                <w:szCs w:val="16"/>
              </w:rPr>
              <w:t>95.7</w:t>
            </w:r>
          </w:p>
        </w:tc>
        <w:tc>
          <w:tcPr>
            <w:tcW w:w="1043" w:type="dxa"/>
            <w:tcBorders>
              <w:right w:val="single" w:sz="4" w:space="0" w:color="auto"/>
            </w:tcBorders>
            <w:shd w:val="clear" w:color="auto" w:fill="auto"/>
            <w:vAlign w:val="center"/>
          </w:tcPr>
          <w:p w14:paraId="344AF086" w14:textId="77777777" w:rsidR="00C110AE" w:rsidRDefault="00C110AE" w:rsidP="00C110AE">
            <w:pPr>
              <w:jc w:val="right"/>
              <w:rPr>
                <w:color w:val="000000"/>
                <w:sz w:val="16"/>
                <w:szCs w:val="16"/>
              </w:rPr>
            </w:pPr>
            <w:r>
              <w:rPr>
                <w:color w:val="000000"/>
                <w:sz w:val="16"/>
                <w:szCs w:val="16"/>
              </w:rPr>
              <w:t>(94.1, 97.3)</w:t>
            </w:r>
          </w:p>
        </w:tc>
        <w:tc>
          <w:tcPr>
            <w:tcW w:w="569" w:type="dxa"/>
            <w:tcBorders>
              <w:left w:val="single" w:sz="4" w:space="0" w:color="auto"/>
            </w:tcBorders>
            <w:shd w:val="clear" w:color="auto" w:fill="auto"/>
            <w:vAlign w:val="center"/>
          </w:tcPr>
          <w:p w14:paraId="39FA0A10" w14:textId="77777777" w:rsidR="00C110AE" w:rsidRDefault="00C110AE" w:rsidP="00C110AE">
            <w:pPr>
              <w:jc w:val="right"/>
              <w:rPr>
                <w:color w:val="000000"/>
                <w:sz w:val="16"/>
                <w:szCs w:val="16"/>
              </w:rPr>
            </w:pPr>
            <w:r>
              <w:rPr>
                <w:color w:val="000000"/>
                <w:sz w:val="16"/>
                <w:szCs w:val="16"/>
              </w:rPr>
              <w:t>569</w:t>
            </w:r>
          </w:p>
        </w:tc>
        <w:tc>
          <w:tcPr>
            <w:tcW w:w="567" w:type="dxa"/>
            <w:shd w:val="clear" w:color="auto" w:fill="auto"/>
            <w:vAlign w:val="center"/>
          </w:tcPr>
          <w:p w14:paraId="4860E94B" w14:textId="77777777" w:rsidR="00C110AE" w:rsidRDefault="00C110AE" w:rsidP="00C110AE">
            <w:pPr>
              <w:jc w:val="right"/>
              <w:rPr>
                <w:color w:val="000000"/>
                <w:sz w:val="16"/>
                <w:szCs w:val="16"/>
              </w:rPr>
            </w:pPr>
            <w:r>
              <w:rPr>
                <w:color w:val="000000"/>
                <w:sz w:val="16"/>
                <w:szCs w:val="16"/>
              </w:rPr>
              <w:t>96.0</w:t>
            </w:r>
          </w:p>
        </w:tc>
        <w:tc>
          <w:tcPr>
            <w:tcW w:w="1123" w:type="dxa"/>
            <w:tcBorders>
              <w:right w:val="single" w:sz="4" w:space="0" w:color="auto"/>
            </w:tcBorders>
            <w:shd w:val="clear" w:color="auto" w:fill="auto"/>
            <w:vAlign w:val="center"/>
          </w:tcPr>
          <w:p w14:paraId="48E2C826" w14:textId="77777777" w:rsidR="00C110AE" w:rsidRDefault="00C110AE" w:rsidP="00C110AE">
            <w:pPr>
              <w:jc w:val="right"/>
              <w:rPr>
                <w:color w:val="000000"/>
                <w:sz w:val="16"/>
                <w:szCs w:val="16"/>
              </w:rPr>
            </w:pPr>
            <w:r>
              <w:rPr>
                <w:color w:val="000000"/>
                <w:sz w:val="16"/>
                <w:szCs w:val="16"/>
              </w:rPr>
              <w:t>(94.5, 97.6)</w:t>
            </w:r>
          </w:p>
        </w:tc>
        <w:tc>
          <w:tcPr>
            <w:tcW w:w="536" w:type="dxa"/>
            <w:tcBorders>
              <w:left w:val="single" w:sz="4" w:space="0" w:color="auto"/>
            </w:tcBorders>
            <w:shd w:val="clear" w:color="auto" w:fill="auto"/>
            <w:vAlign w:val="center"/>
          </w:tcPr>
          <w:p w14:paraId="3F2534D8" w14:textId="77777777" w:rsidR="00C110AE" w:rsidRDefault="00C110AE" w:rsidP="00C110AE">
            <w:pPr>
              <w:jc w:val="right"/>
              <w:rPr>
                <w:color w:val="000000"/>
                <w:sz w:val="16"/>
                <w:szCs w:val="16"/>
              </w:rPr>
            </w:pPr>
            <w:r>
              <w:rPr>
                <w:color w:val="000000"/>
                <w:sz w:val="16"/>
                <w:szCs w:val="16"/>
              </w:rPr>
              <w:t>458</w:t>
            </w:r>
          </w:p>
        </w:tc>
        <w:tc>
          <w:tcPr>
            <w:tcW w:w="576" w:type="dxa"/>
            <w:shd w:val="clear" w:color="auto" w:fill="auto"/>
            <w:vAlign w:val="center"/>
          </w:tcPr>
          <w:p w14:paraId="1169108C" w14:textId="77777777" w:rsidR="00C110AE" w:rsidRDefault="00C110AE" w:rsidP="00C110AE">
            <w:pPr>
              <w:jc w:val="right"/>
              <w:rPr>
                <w:color w:val="000000"/>
                <w:sz w:val="16"/>
                <w:szCs w:val="16"/>
              </w:rPr>
            </w:pPr>
            <w:r>
              <w:rPr>
                <w:color w:val="000000"/>
                <w:sz w:val="16"/>
                <w:szCs w:val="16"/>
              </w:rPr>
              <w:t>96.0</w:t>
            </w:r>
          </w:p>
        </w:tc>
        <w:tc>
          <w:tcPr>
            <w:tcW w:w="1123" w:type="dxa"/>
            <w:tcBorders>
              <w:right w:val="single" w:sz="4" w:space="0" w:color="auto"/>
            </w:tcBorders>
            <w:shd w:val="clear" w:color="auto" w:fill="auto"/>
            <w:vAlign w:val="center"/>
          </w:tcPr>
          <w:p w14:paraId="06AC88AE" w14:textId="77777777" w:rsidR="00C110AE" w:rsidRDefault="00C110AE" w:rsidP="00C110AE">
            <w:pPr>
              <w:jc w:val="right"/>
              <w:rPr>
                <w:color w:val="000000"/>
                <w:sz w:val="16"/>
                <w:szCs w:val="16"/>
              </w:rPr>
            </w:pPr>
            <w:r>
              <w:rPr>
                <w:color w:val="000000"/>
                <w:sz w:val="16"/>
                <w:szCs w:val="16"/>
              </w:rPr>
              <w:t>(94.2, 97.8)</w:t>
            </w:r>
          </w:p>
        </w:tc>
        <w:tc>
          <w:tcPr>
            <w:tcW w:w="536" w:type="dxa"/>
            <w:tcBorders>
              <w:left w:val="single" w:sz="4" w:space="0" w:color="auto"/>
            </w:tcBorders>
            <w:shd w:val="clear" w:color="auto" w:fill="auto"/>
            <w:vAlign w:val="center"/>
          </w:tcPr>
          <w:p w14:paraId="24042912" w14:textId="77777777" w:rsidR="00C110AE" w:rsidRDefault="00C110AE" w:rsidP="00C110AE">
            <w:pPr>
              <w:jc w:val="right"/>
              <w:rPr>
                <w:color w:val="000000"/>
                <w:sz w:val="16"/>
                <w:szCs w:val="16"/>
              </w:rPr>
            </w:pPr>
            <w:r>
              <w:rPr>
                <w:color w:val="000000"/>
                <w:sz w:val="16"/>
                <w:szCs w:val="16"/>
              </w:rPr>
              <w:t>365</w:t>
            </w:r>
          </w:p>
        </w:tc>
        <w:tc>
          <w:tcPr>
            <w:tcW w:w="567" w:type="dxa"/>
            <w:shd w:val="clear" w:color="auto" w:fill="auto"/>
            <w:vAlign w:val="center"/>
          </w:tcPr>
          <w:p w14:paraId="4EA8514F" w14:textId="77777777" w:rsidR="00C110AE" w:rsidRDefault="00C110AE" w:rsidP="00C110AE">
            <w:pPr>
              <w:jc w:val="right"/>
              <w:rPr>
                <w:color w:val="000000"/>
                <w:sz w:val="16"/>
                <w:szCs w:val="16"/>
              </w:rPr>
            </w:pPr>
            <w:r>
              <w:rPr>
                <w:color w:val="000000"/>
                <w:sz w:val="16"/>
                <w:szCs w:val="16"/>
              </w:rPr>
              <w:t>95.0</w:t>
            </w:r>
          </w:p>
        </w:tc>
        <w:tc>
          <w:tcPr>
            <w:tcW w:w="1123" w:type="dxa"/>
            <w:shd w:val="clear" w:color="auto" w:fill="auto"/>
            <w:vAlign w:val="center"/>
          </w:tcPr>
          <w:p w14:paraId="2A441F43" w14:textId="77777777" w:rsidR="00C110AE" w:rsidRDefault="00C110AE" w:rsidP="00C110AE">
            <w:pPr>
              <w:jc w:val="right"/>
              <w:rPr>
                <w:color w:val="000000"/>
                <w:sz w:val="16"/>
                <w:szCs w:val="16"/>
              </w:rPr>
            </w:pPr>
            <w:r>
              <w:rPr>
                <w:color w:val="000000"/>
                <w:sz w:val="16"/>
                <w:szCs w:val="16"/>
              </w:rPr>
              <w:t>(92.8, 97.2)</w:t>
            </w:r>
          </w:p>
        </w:tc>
      </w:tr>
      <w:tr w:rsidR="00C110AE" w:rsidRPr="007B4EF8" w14:paraId="47CE7E56" w14:textId="77777777" w:rsidTr="00793719">
        <w:trPr>
          <w:jc w:val="center"/>
        </w:trPr>
        <w:tc>
          <w:tcPr>
            <w:tcW w:w="2127" w:type="dxa"/>
          </w:tcPr>
          <w:p w14:paraId="736823B5" w14:textId="77777777" w:rsidR="00C110AE" w:rsidRPr="00D317D8" w:rsidRDefault="00C110AE" w:rsidP="00C110AE">
            <w:pPr>
              <w:tabs>
                <w:tab w:val="left" w:pos="176"/>
              </w:tabs>
              <w:spacing w:before="20" w:after="20"/>
              <w:rPr>
                <w:rFonts w:eastAsiaTheme="minorEastAsia"/>
                <w:sz w:val="18"/>
                <w:szCs w:val="18"/>
                <w:lang w:eastAsia="en-US"/>
              </w:rPr>
            </w:pPr>
          </w:p>
        </w:tc>
        <w:tc>
          <w:tcPr>
            <w:tcW w:w="2379" w:type="dxa"/>
            <w:shd w:val="clear" w:color="auto" w:fill="auto"/>
          </w:tcPr>
          <w:p w14:paraId="7D2ED3F5" w14:textId="77777777" w:rsidR="00C110AE" w:rsidRPr="001B7431" w:rsidRDefault="00C110AE" w:rsidP="00C110AE">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shd w:val="clear" w:color="auto" w:fill="auto"/>
            <w:vAlign w:val="center"/>
          </w:tcPr>
          <w:p w14:paraId="08864BED" w14:textId="77777777" w:rsidR="00C110AE" w:rsidRDefault="00C110AE" w:rsidP="00C110AE">
            <w:pPr>
              <w:jc w:val="right"/>
              <w:rPr>
                <w:color w:val="000000"/>
                <w:sz w:val="16"/>
                <w:szCs w:val="16"/>
              </w:rPr>
            </w:pPr>
            <w:r>
              <w:rPr>
                <w:color w:val="000000"/>
                <w:sz w:val="16"/>
                <w:szCs w:val="16"/>
              </w:rPr>
              <w:t>35</w:t>
            </w:r>
          </w:p>
        </w:tc>
        <w:tc>
          <w:tcPr>
            <w:tcW w:w="496" w:type="dxa"/>
            <w:shd w:val="clear" w:color="auto" w:fill="auto"/>
            <w:vAlign w:val="center"/>
          </w:tcPr>
          <w:p w14:paraId="231B888F" w14:textId="77777777" w:rsidR="00C110AE" w:rsidRDefault="00C110AE" w:rsidP="00C110AE">
            <w:pPr>
              <w:jc w:val="right"/>
              <w:rPr>
                <w:color w:val="000000"/>
                <w:sz w:val="16"/>
                <w:szCs w:val="16"/>
              </w:rPr>
            </w:pPr>
            <w:r>
              <w:rPr>
                <w:color w:val="000000"/>
                <w:sz w:val="16"/>
                <w:szCs w:val="16"/>
              </w:rPr>
              <w:t>3.5</w:t>
            </w:r>
          </w:p>
        </w:tc>
        <w:tc>
          <w:tcPr>
            <w:tcW w:w="1043" w:type="dxa"/>
            <w:tcBorders>
              <w:right w:val="single" w:sz="4" w:space="0" w:color="auto"/>
            </w:tcBorders>
            <w:shd w:val="clear" w:color="auto" w:fill="auto"/>
            <w:vAlign w:val="center"/>
          </w:tcPr>
          <w:p w14:paraId="72529809" w14:textId="77777777" w:rsidR="00C110AE" w:rsidRDefault="00C110AE" w:rsidP="00C110AE">
            <w:pPr>
              <w:jc w:val="right"/>
              <w:rPr>
                <w:color w:val="000000"/>
                <w:sz w:val="16"/>
                <w:szCs w:val="16"/>
              </w:rPr>
            </w:pPr>
            <w:r>
              <w:rPr>
                <w:color w:val="000000"/>
                <w:sz w:val="16"/>
                <w:szCs w:val="16"/>
              </w:rPr>
              <w:t>(2.0, 5.0)</w:t>
            </w:r>
          </w:p>
        </w:tc>
        <w:tc>
          <w:tcPr>
            <w:tcW w:w="569" w:type="dxa"/>
            <w:tcBorders>
              <w:left w:val="single" w:sz="4" w:space="0" w:color="auto"/>
            </w:tcBorders>
            <w:shd w:val="clear" w:color="auto" w:fill="auto"/>
            <w:vAlign w:val="center"/>
          </w:tcPr>
          <w:p w14:paraId="659F730D" w14:textId="77777777" w:rsidR="00C110AE" w:rsidRDefault="00C110AE" w:rsidP="00C110AE">
            <w:pPr>
              <w:jc w:val="right"/>
              <w:rPr>
                <w:color w:val="000000"/>
                <w:sz w:val="16"/>
                <w:szCs w:val="16"/>
              </w:rPr>
            </w:pPr>
            <w:r>
              <w:rPr>
                <w:color w:val="000000"/>
                <w:sz w:val="16"/>
                <w:szCs w:val="16"/>
              </w:rPr>
              <w:t>20</w:t>
            </w:r>
          </w:p>
        </w:tc>
        <w:tc>
          <w:tcPr>
            <w:tcW w:w="567" w:type="dxa"/>
            <w:shd w:val="clear" w:color="auto" w:fill="auto"/>
            <w:vAlign w:val="center"/>
          </w:tcPr>
          <w:p w14:paraId="310D9536" w14:textId="77777777" w:rsidR="00C110AE" w:rsidRDefault="00C110AE" w:rsidP="00C110AE">
            <w:pPr>
              <w:jc w:val="right"/>
              <w:rPr>
                <w:color w:val="000000"/>
                <w:sz w:val="16"/>
                <w:szCs w:val="16"/>
              </w:rPr>
            </w:pPr>
            <w:r>
              <w:rPr>
                <w:color w:val="000000"/>
                <w:sz w:val="16"/>
                <w:szCs w:val="16"/>
              </w:rPr>
              <w:t>3.3</w:t>
            </w:r>
          </w:p>
        </w:tc>
        <w:tc>
          <w:tcPr>
            <w:tcW w:w="1123" w:type="dxa"/>
            <w:tcBorders>
              <w:right w:val="single" w:sz="4" w:space="0" w:color="auto"/>
            </w:tcBorders>
            <w:shd w:val="clear" w:color="auto" w:fill="auto"/>
            <w:vAlign w:val="center"/>
          </w:tcPr>
          <w:p w14:paraId="71220A23" w14:textId="77777777" w:rsidR="00C110AE" w:rsidRDefault="00C110AE" w:rsidP="00C110AE">
            <w:pPr>
              <w:jc w:val="right"/>
              <w:rPr>
                <w:color w:val="000000"/>
                <w:sz w:val="16"/>
                <w:szCs w:val="16"/>
              </w:rPr>
            </w:pPr>
            <w:r>
              <w:rPr>
                <w:color w:val="000000"/>
                <w:sz w:val="16"/>
                <w:szCs w:val="16"/>
              </w:rPr>
              <w:t>(1.9, 4.8)</w:t>
            </w:r>
          </w:p>
        </w:tc>
        <w:tc>
          <w:tcPr>
            <w:tcW w:w="536" w:type="dxa"/>
            <w:tcBorders>
              <w:left w:val="single" w:sz="4" w:space="0" w:color="auto"/>
            </w:tcBorders>
            <w:shd w:val="clear" w:color="auto" w:fill="auto"/>
            <w:vAlign w:val="center"/>
          </w:tcPr>
          <w:p w14:paraId="41EBD288" w14:textId="77777777" w:rsidR="00C110AE" w:rsidRDefault="00C110AE" w:rsidP="00C110AE">
            <w:pPr>
              <w:jc w:val="right"/>
              <w:rPr>
                <w:color w:val="000000"/>
                <w:sz w:val="16"/>
                <w:szCs w:val="16"/>
              </w:rPr>
            </w:pPr>
            <w:r>
              <w:rPr>
                <w:color w:val="000000"/>
                <w:sz w:val="16"/>
                <w:szCs w:val="16"/>
              </w:rPr>
              <w:t>17</w:t>
            </w:r>
          </w:p>
        </w:tc>
        <w:tc>
          <w:tcPr>
            <w:tcW w:w="576" w:type="dxa"/>
            <w:shd w:val="clear" w:color="auto" w:fill="auto"/>
            <w:vAlign w:val="center"/>
          </w:tcPr>
          <w:p w14:paraId="0EF881F4" w14:textId="77777777" w:rsidR="00C110AE" w:rsidRDefault="00C110AE" w:rsidP="00C110AE">
            <w:pPr>
              <w:jc w:val="right"/>
              <w:rPr>
                <w:color w:val="000000"/>
                <w:sz w:val="16"/>
                <w:szCs w:val="16"/>
              </w:rPr>
            </w:pPr>
            <w:r>
              <w:rPr>
                <w:color w:val="000000"/>
                <w:sz w:val="16"/>
                <w:szCs w:val="16"/>
              </w:rPr>
              <w:t>3.6</w:t>
            </w:r>
          </w:p>
        </w:tc>
        <w:tc>
          <w:tcPr>
            <w:tcW w:w="1123" w:type="dxa"/>
            <w:tcBorders>
              <w:right w:val="single" w:sz="4" w:space="0" w:color="auto"/>
            </w:tcBorders>
            <w:shd w:val="clear" w:color="auto" w:fill="auto"/>
            <w:vAlign w:val="center"/>
          </w:tcPr>
          <w:p w14:paraId="6E9E193F" w14:textId="77777777" w:rsidR="00C110AE" w:rsidRDefault="00C110AE" w:rsidP="00C110AE">
            <w:pPr>
              <w:jc w:val="right"/>
              <w:rPr>
                <w:color w:val="000000"/>
                <w:sz w:val="16"/>
                <w:szCs w:val="16"/>
              </w:rPr>
            </w:pPr>
            <w:r>
              <w:rPr>
                <w:color w:val="000000"/>
                <w:sz w:val="16"/>
                <w:szCs w:val="16"/>
              </w:rPr>
              <w:t>(1.9, 5.3)</w:t>
            </w:r>
          </w:p>
        </w:tc>
        <w:tc>
          <w:tcPr>
            <w:tcW w:w="536" w:type="dxa"/>
            <w:tcBorders>
              <w:left w:val="single" w:sz="4" w:space="0" w:color="auto"/>
            </w:tcBorders>
            <w:shd w:val="clear" w:color="auto" w:fill="auto"/>
            <w:vAlign w:val="center"/>
          </w:tcPr>
          <w:p w14:paraId="423B7B26" w14:textId="77777777" w:rsidR="00C110AE" w:rsidRDefault="00C110AE" w:rsidP="00C110AE">
            <w:pPr>
              <w:jc w:val="right"/>
              <w:rPr>
                <w:color w:val="000000"/>
                <w:sz w:val="16"/>
                <w:szCs w:val="16"/>
              </w:rPr>
            </w:pPr>
            <w:r>
              <w:rPr>
                <w:color w:val="000000"/>
                <w:sz w:val="16"/>
                <w:szCs w:val="16"/>
              </w:rPr>
              <w:t>15</w:t>
            </w:r>
          </w:p>
        </w:tc>
        <w:tc>
          <w:tcPr>
            <w:tcW w:w="567" w:type="dxa"/>
            <w:shd w:val="clear" w:color="auto" w:fill="auto"/>
            <w:vAlign w:val="center"/>
          </w:tcPr>
          <w:p w14:paraId="7EF044FB" w14:textId="77777777" w:rsidR="00C110AE" w:rsidRDefault="00C110AE" w:rsidP="00C110AE">
            <w:pPr>
              <w:jc w:val="right"/>
              <w:rPr>
                <w:color w:val="000000"/>
                <w:sz w:val="16"/>
                <w:szCs w:val="16"/>
              </w:rPr>
            </w:pPr>
            <w:r>
              <w:rPr>
                <w:color w:val="000000"/>
                <w:sz w:val="16"/>
                <w:szCs w:val="16"/>
              </w:rPr>
              <w:t>3.8</w:t>
            </w:r>
          </w:p>
        </w:tc>
        <w:tc>
          <w:tcPr>
            <w:tcW w:w="1123" w:type="dxa"/>
            <w:shd w:val="clear" w:color="auto" w:fill="auto"/>
            <w:vAlign w:val="center"/>
          </w:tcPr>
          <w:p w14:paraId="62934BC4" w14:textId="77777777" w:rsidR="00C110AE" w:rsidRDefault="00C110AE" w:rsidP="00C110AE">
            <w:pPr>
              <w:jc w:val="right"/>
              <w:rPr>
                <w:color w:val="000000"/>
                <w:sz w:val="16"/>
                <w:szCs w:val="16"/>
              </w:rPr>
            </w:pPr>
            <w:r>
              <w:rPr>
                <w:color w:val="000000"/>
                <w:sz w:val="16"/>
                <w:szCs w:val="16"/>
              </w:rPr>
              <w:t>(1.8, 5.8)</w:t>
            </w:r>
          </w:p>
        </w:tc>
      </w:tr>
      <w:tr w:rsidR="00C110AE" w:rsidRPr="007B4EF8" w14:paraId="36DC4D43" w14:textId="77777777" w:rsidTr="00793719">
        <w:trPr>
          <w:jc w:val="center"/>
        </w:trPr>
        <w:tc>
          <w:tcPr>
            <w:tcW w:w="2127" w:type="dxa"/>
          </w:tcPr>
          <w:p w14:paraId="57D184CE" w14:textId="77777777" w:rsidR="00C110AE" w:rsidRPr="00D317D8" w:rsidRDefault="00C110AE" w:rsidP="00C110AE">
            <w:pPr>
              <w:tabs>
                <w:tab w:val="left" w:pos="176"/>
              </w:tabs>
              <w:spacing w:before="20" w:after="40"/>
              <w:rPr>
                <w:rFonts w:eastAsiaTheme="minorEastAsia"/>
                <w:sz w:val="18"/>
                <w:szCs w:val="18"/>
                <w:lang w:eastAsia="en-US"/>
              </w:rPr>
            </w:pPr>
          </w:p>
        </w:tc>
        <w:tc>
          <w:tcPr>
            <w:tcW w:w="2379" w:type="dxa"/>
            <w:shd w:val="clear" w:color="auto" w:fill="auto"/>
          </w:tcPr>
          <w:p w14:paraId="1BE0AB54" w14:textId="77777777" w:rsidR="00C110AE" w:rsidRPr="001B7431" w:rsidRDefault="00C110AE" w:rsidP="00C110AE">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shd w:val="clear" w:color="auto" w:fill="auto"/>
            <w:vAlign w:val="center"/>
          </w:tcPr>
          <w:p w14:paraId="15197CDA" w14:textId="77777777" w:rsidR="00C110AE" w:rsidRDefault="00C110AE" w:rsidP="00C110AE">
            <w:pPr>
              <w:jc w:val="right"/>
              <w:rPr>
                <w:color w:val="000000"/>
                <w:sz w:val="16"/>
                <w:szCs w:val="16"/>
              </w:rPr>
            </w:pPr>
            <w:r>
              <w:rPr>
                <w:color w:val="000000"/>
                <w:sz w:val="16"/>
                <w:szCs w:val="16"/>
              </w:rPr>
              <w:t>8</w:t>
            </w:r>
          </w:p>
        </w:tc>
        <w:tc>
          <w:tcPr>
            <w:tcW w:w="496" w:type="dxa"/>
            <w:shd w:val="clear" w:color="auto" w:fill="auto"/>
            <w:vAlign w:val="center"/>
          </w:tcPr>
          <w:p w14:paraId="0DD767AD" w14:textId="77777777" w:rsidR="00C110AE" w:rsidRDefault="00C110AE" w:rsidP="00C110AE">
            <w:pPr>
              <w:jc w:val="right"/>
              <w:rPr>
                <w:color w:val="000000"/>
                <w:sz w:val="16"/>
                <w:szCs w:val="16"/>
              </w:rPr>
            </w:pPr>
            <w:r>
              <w:rPr>
                <w:color w:val="000000"/>
                <w:sz w:val="16"/>
                <w:szCs w:val="16"/>
              </w:rPr>
              <w:t>0.8</w:t>
            </w:r>
          </w:p>
        </w:tc>
        <w:tc>
          <w:tcPr>
            <w:tcW w:w="1043" w:type="dxa"/>
            <w:tcBorders>
              <w:right w:val="single" w:sz="4" w:space="0" w:color="auto"/>
            </w:tcBorders>
            <w:shd w:val="clear" w:color="auto" w:fill="auto"/>
            <w:vAlign w:val="center"/>
          </w:tcPr>
          <w:p w14:paraId="1BB11F55" w14:textId="77777777" w:rsidR="00C110AE" w:rsidRDefault="00C110AE" w:rsidP="00C110AE">
            <w:pPr>
              <w:jc w:val="right"/>
              <w:rPr>
                <w:color w:val="000000"/>
                <w:sz w:val="16"/>
                <w:szCs w:val="16"/>
              </w:rPr>
            </w:pPr>
            <w:r>
              <w:rPr>
                <w:color w:val="000000"/>
                <w:sz w:val="16"/>
                <w:szCs w:val="16"/>
              </w:rPr>
              <w:t>(0.3, 1.3)</w:t>
            </w:r>
          </w:p>
        </w:tc>
        <w:tc>
          <w:tcPr>
            <w:tcW w:w="569" w:type="dxa"/>
            <w:tcBorders>
              <w:left w:val="single" w:sz="4" w:space="0" w:color="auto"/>
            </w:tcBorders>
            <w:shd w:val="clear" w:color="auto" w:fill="auto"/>
            <w:vAlign w:val="center"/>
          </w:tcPr>
          <w:p w14:paraId="750BBE4B" w14:textId="77777777" w:rsidR="00C110AE" w:rsidRDefault="00C110AE" w:rsidP="00C110AE">
            <w:pPr>
              <w:jc w:val="right"/>
              <w:rPr>
                <w:color w:val="000000"/>
                <w:sz w:val="16"/>
                <w:szCs w:val="16"/>
              </w:rPr>
            </w:pPr>
            <w:r>
              <w:rPr>
                <w:color w:val="000000"/>
                <w:sz w:val="16"/>
                <w:szCs w:val="16"/>
              </w:rPr>
              <w:t>4</w:t>
            </w:r>
          </w:p>
        </w:tc>
        <w:tc>
          <w:tcPr>
            <w:tcW w:w="567" w:type="dxa"/>
            <w:shd w:val="clear" w:color="auto" w:fill="auto"/>
            <w:vAlign w:val="center"/>
          </w:tcPr>
          <w:p w14:paraId="5E9028D9" w14:textId="77777777" w:rsidR="00C110AE" w:rsidRDefault="00C110AE" w:rsidP="00C110AE">
            <w:pPr>
              <w:jc w:val="right"/>
              <w:rPr>
                <w:color w:val="000000"/>
                <w:sz w:val="16"/>
                <w:szCs w:val="16"/>
              </w:rPr>
            </w:pPr>
            <w:r>
              <w:rPr>
                <w:color w:val="000000"/>
                <w:sz w:val="16"/>
                <w:szCs w:val="16"/>
              </w:rPr>
              <w:t>0.7</w:t>
            </w:r>
          </w:p>
        </w:tc>
        <w:tc>
          <w:tcPr>
            <w:tcW w:w="1123" w:type="dxa"/>
            <w:tcBorders>
              <w:right w:val="single" w:sz="4" w:space="0" w:color="auto"/>
            </w:tcBorders>
            <w:shd w:val="clear" w:color="auto" w:fill="auto"/>
            <w:vAlign w:val="center"/>
          </w:tcPr>
          <w:p w14:paraId="5B7BF25C" w14:textId="77777777" w:rsidR="00C110AE" w:rsidRDefault="00C110AE" w:rsidP="00C110AE">
            <w:pPr>
              <w:jc w:val="right"/>
              <w:rPr>
                <w:color w:val="000000"/>
                <w:sz w:val="16"/>
                <w:szCs w:val="16"/>
              </w:rPr>
            </w:pPr>
            <w:r>
              <w:rPr>
                <w:color w:val="000000"/>
                <w:sz w:val="16"/>
                <w:szCs w:val="16"/>
              </w:rPr>
              <w:t>(0.2, 1.2)</w:t>
            </w:r>
          </w:p>
        </w:tc>
        <w:tc>
          <w:tcPr>
            <w:tcW w:w="536" w:type="dxa"/>
            <w:tcBorders>
              <w:left w:val="single" w:sz="4" w:space="0" w:color="auto"/>
            </w:tcBorders>
            <w:shd w:val="clear" w:color="auto" w:fill="auto"/>
            <w:vAlign w:val="center"/>
          </w:tcPr>
          <w:p w14:paraId="3D0D91FB" w14:textId="77777777" w:rsidR="00C110AE" w:rsidRDefault="00C110AE" w:rsidP="00C110AE">
            <w:pPr>
              <w:jc w:val="right"/>
              <w:rPr>
                <w:color w:val="000000"/>
                <w:sz w:val="16"/>
                <w:szCs w:val="16"/>
              </w:rPr>
            </w:pPr>
            <w:r>
              <w:rPr>
                <w:color w:val="000000"/>
                <w:sz w:val="16"/>
                <w:szCs w:val="16"/>
              </w:rPr>
              <w:t>2</w:t>
            </w:r>
          </w:p>
        </w:tc>
        <w:tc>
          <w:tcPr>
            <w:tcW w:w="576" w:type="dxa"/>
            <w:shd w:val="clear" w:color="auto" w:fill="auto"/>
            <w:vAlign w:val="center"/>
          </w:tcPr>
          <w:p w14:paraId="4CA62CDD" w14:textId="77777777" w:rsidR="00C110AE" w:rsidRDefault="00C110AE" w:rsidP="00C110AE">
            <w:pPr>
              <w:jc w:val="right"/>
              <w:rPr>
                <w:color w:val="000000"/>
                <w:sz w:val="16"/>
                <w:szCs w:val="16"/>
              </w:rPr>
            </w:pPr>
            <w:r>
              <w:rPr>
                <w:color w:val="000000"/>
                <w:sz w:val="16"/>
                <w:szCs w:val="16"/>
              </w:rPr>
              <w:t>0.4</w:t>
            </w:r>
          </w:p>
        </w:tc>
        <w:tc>
          <w:tcPr>
            <w:tcW w:w="1123" w:type="dxa"/>
            <w:tcBorders>
              <w:right w:val="single" w:sz="4" w:space="0" w:color="auto"/>
            </w:tcBorders>
            <w:shd w:val="clear" w:color="auto" w:fill="auto"/>
            <w:vAlign w:val="center"/>
          </w:tcPr>
          <w:p w14:paraId="1E13FC98" w14:textId="77777777" w:rsidR="00C110AE" w:rsidRDefault="002F172C" w:rsidP="00C110AE">
            <w:pPr>
              <w:jc w:val="right"/>
              <w:rPr>
                <w:color w:val="000000"/>
                <w:sz w:val="16"/>
                <w:szCs w:val="16"/>
              </w:rPr>
            </w:pPr>
            <w:r>
              <w:rPr>
                <w:color w:val="000000"/>
                <w:sz w:val="16"/>
                <w:szCs w:val="16"/>
              </w:rPr>
              <w:t>!</w:t>
            </w:r>
          </w:p>
        </w:tc>
        <w:tc>
          <w:tcPr>
            <w:tcW w:w="536" w:type="dxa"/>
            <w:tcBorders>
              <w:left w:val="single" w:sz="4" w:space="0" w:color="auto"/>
            </w:tcBorders>
            <w:shd w:val="clear" w:color="auto" w:fill="auto"/>
            <w:vAlign w:val="center"/>
          </w:tcPr>
          <w:p w14:paraId="7FCE12AE" w14:textId="77777777" w:rsidR="00C110AE" w:rsidRDefault="00C110AE" w:rsidP="00C110AE">
            <w:pPr>
              <w:jc w:val="right"/>
              <w:rPr>
                <w:color w:val="000000"/>
                <w:sz w:val="16"/>
                <w:szCs w:val="16"/>
              </w:rPr>
            </w:pPr>
            <w:r>
              <w:rPr>
                <w:color w:val="000000"/>
                <w:sz w:val="16"/>
                <w:szCs w:val="16"/>
              </w:rPr>
              <w:t>5</w:t>
            </w:r>
          </w:p>
        </w:tc>
        <w:tc>
          <w:tcPr>
            <w:tcW w:w="567" w:type="dxa"/>
            <w:shd w:val="clear" w:color="auto" w:fill="auto"/>
            <w:vAlign w:val="center"/>
          </w:tcPr>
          <w:p w14:paraId="1FAF97A5" w14:textId="77777777" w:rsidR="00C110AE" w:rsidRDefault="00C110AE" w:rsidP="00C110AE">
            <w:pPr>
              <w:jc w:val="right"/>
              <w:rPr>
                <w:color w:val="000000"/>
                <w:sz w:val="16"/>
                <w:szCs w:val="16"/>
              </w:rPr>
            </w:pPr>
            <w:r>
              <w:rPr>
                <w:color w:val="000000"/>
                <w:sz w:val="16"/>
                <w:szCs w:val="16"/>
              </w:rPr>
              <w:t>1.2</w:t>
            </w:r>
          </w:p>
        </w:tc>
        <w:tc>
          <w:tcPr>
            <w:tcW w:w="1123" w:type="dxa"/>
            <w:shd w:val="clear" w:color="auto" w:fill="auto"/>
            <w:vAlign w:val="center"/>
          </w:tcPr>
          <w:p w14:paraId="2E59674A" w14:textId="77777777" w:rsidR="00C110AE" w:rsidRDefault="00C110AE" w:rsidP="00C110AE">
            <w:pPr>
              <w:jc w:val="right"/>
              <w:rPr>
                <w:color w:val="000000"/>
                <w:sz w:val="16"/>
                <w:szCs w:val="16"/>
              </w:rPr>
            </w:pPr>
            <w:r>
              <w:rPr>
                <w:color w:val="000000"/>
                <w:sz w:val="16"/>
                <w:szCs w:val="16"/>
              </w:rPr>
              <w:t>(0.2, 2.2)</w:t>
            </w:r>
          </w:p>
        </w:tc>
      </w:tr>
      <w:tr w:rsidR="00C110AE" w:rsidRPr="007B4EF8" w14:paraId="070179FD" w14:textId="77777777" w:rsidTr="00793719">
        <w:trPr>
          <w:jc w:val="center"/>
        </w:trPr>
        <w:tc>
          <w:tcPr>
            <w:tcW w:w="2127" w:type="dxa"/>
          </w:tcPr>
          <w:p w14:paraId="3C8CD2D7" w14:textId="77777777" w:rsidR="00C110AE" w:rsidRPr="00D317D8" w:rsidRDefault="00C110AE" w:rsidP="00C110AE">
            <w:pPr>
              <w:tabs>
                <w:tab w:val="left" w:pos="176"/>
              </w:tabs>
              <w:spacing w:before="20" w:after="20"/>
              <w:rPr>
                <w:rFonts w:eastAsiaTheme="minorEastAsia"/>
                <w:sz w:val="18"/>
                <w:szCs w:val="18"/>
                <w:lang w:eastAsia="en-US"/>
              </w:rPr>
            </w:pPr>
            <w:r>
              <w:rPr>
                <w:rFonts w:eastAsiaTheme="minorEastAsia"/>
                <w:sz w:val="18"/>
                <w:szCs w:val="18"/>
                <w:lang w:eastAsia="en-US"/>
              </w:rPr>
              <w:t>$21 - $30</w:t>
            </w:r>
          </w:p>
        </w:tc>
        <w:tc>
          <w:tcPr>
            <w:tcW w:w="2379" w:type="dxa"/>
            <w:shd w:val="clear" w:color="auto" w:fill="auto"/>
          </w:tcPr>
          <w:p w14:paraId="0181513C" w14:textId="77777777" w:rsidR="00C110AE" w:rsidRPr="001B7431" w:rsidRDefault="00C110AE" w:rsidP="00C110AE">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shd w:val="clear" w:color="auto" w:fill="auto"/>
            <w:vAlign w:val="center"/>
          </w:tcPr>
          <w:p w14:paraId="59161714" w14:textId="77777777" w:rsidR="00C110AE" w:rsidRDefault="00C110AE" w:rsidP="00C110AE">
            <w:pPr>
              <w:jc w:val="right"/>
              <w:rPr>
                <w:color w:val="000000"/>
                <w:sz w:val="16"/>
                <w:szCs w:val="16"/>
              </w:rPr>
            </w:pPr>
            <w:r>
              <w:rPr>
                <w:color w:val="000000"/>
                <w:sz w:val="16"/>
                <w:szCs w:val="16"/>
              </w:rPr>
              <w:t>595</w:t>
            </w:r>
          </w:p>
        </w:tc>
        <w:tc>
          <w:tcPr>
            <w:tcW w:w="496" w:type="dxa"/>
            <w:shd w:val="clear" w:color="auto" w:fill="auto"/>
            <w:vAlign w:val="center"/>
          </w:tcPr>
          <w:p w14:paraId="3F804185" w14:textId="77777777" w:rsidR="00C110AE" w:rsidRDefault="00C110AE" w:rsidP="00C110AE">
            <w:pPr>
              <w:jc w:val="right"/>
              <w:rPr>
                <w:color w:val="000000"/>
                <w:sz w:val="16"/>
                <w:szCs w:val="16"/>
              </w:rPr>
            </w:pPr>
            <w:r>
              <w:rPr>
                <w:color w:val="000000"/>
                <w:sz w:val="16"/>
                <w:szCs w:val="16"/>
              </w:rPr>
              <w:t>95.1</w:t>
            </w:r>
          </w:p>
        </w:tc>
        <w:tc>
          <w:tcPr>
            <w:tcW w:w="1043" w:type="dxa"/>
            <w:tcBorders>
              <w:right w:val="single" w:sz="4" w:space="0" w:color="auto"/>
            </w:tcBorders>
            <w:shd w:val="clear" w:color="auto" w:fill="auto"/>
            <w:vAlign w:val="center"/>
          </w:tcPr>
          <w:p w14:paraId="365E55CC" w14:textId="77777777" w:rsidR="00C110AE" w:rsidRDefault="00C110AE" w:rsidP="00C110AE">
            <w:pPr>
              <w:jc w:val="right"/>
              <w:rPr>
                <w:color w:val="000000"/>
                <w:sz w:val="16"/>
                <w:szCs w:val="16"/>
              </w:rPr>
            </w:pPr>
            <w:r>
              <w:rPr>
                <w:color w:val="000000"/>
                <w:sz w:val="16"/>
                <w:szCs w:val="16"/>
              </w:rPr>
              <w:t>(93.1, 97.2)</w:t>
            </w:r>
          </w:p>
        </w:tc>
        <w:tc>
          <w:tcPr>
            <w:tcW w:w="569" w:type="dxa"/>
            <w:tcBorders>
              <w:left w:val="single" w:sz="4" w:space="0" w:color="auto"/>
            </w:tcBorders>
            <w:shd w:val="clear" w:color="auto" w:fill="auto"/>
            <w:vAlign w:val="center"/>
          </w:tcPr>
          <w:p w14:paraId="5C0E3BB7" w14:textId="77777777" w:rsidR="00C110AE" w:rsidRDefault="00C110AE" w:rsidP="00C110AE">
            <w:pPr>
              <w:jc w:val="right"/>
              <w:rPr>
                <w:color w:val="000000"/>
                <w:sz w:val="16"/>
                <w:szCs w:val="16"/>
              </w:rPr>
            </w:pPr>
            <w:r>
              <w:rPr>
                <w:color w:val="000000"/>
                <w:sz w:val="16"/>
                <w:szCs w:val="16"/>
              </w:rPr>
              <w:t>338</w:t>
            </w:r>
          </w:p>
        </w:tc>
        <w:tc>
          <w:tcPr>
            <w:tcW w:w="567" w:type="dxa"/>
            <w:shd w:val="clear" w:color="auto" w:fill="auto"/>
            <w:vAlign w:val="center"/>
          </w:tcPr>
          <w:p w14:paraId="2915B5B2" w14:textId="77777777" w:rsidR="00C110AE" w:rsidRDefault="00C110AE" w:rsidP="00C110AE">
            <w:pPr>
              <w:jc w:val="right"/>
              <w:rPr>
                <w:color w:val="000000"/>
                <w:sz w:val="16"/>
                <w:szCs w:val="16"/>
              </w:rPr>
            </w:pPr>
            <w:r>
              <w:rPr>
                <w:color w:val="000000"/>
                <w:sz w:val="16"/>
                <w:szCs w:val="16"/>
              </w:rPr>
              <w:t>92.8</w:t>
            </w:r>
          </w:p>
        </w:tc>
        <w:tc>
          <w:tcPr>
            <w:tcW w:w="1123" w:type="dxa"/>
            <w:tcBorders>
              <w:right w:val="single" w:sz="4" w:space="0" w:color="auto"/>
            </w:tcBorders>
            <w:shd w:val="clear" w:color="auto" w:fill="auto"/>
            <w:vAlign w:val="center"/>
          </w:tcPr>
          <w:p w14:paraId="40E83BD1" w14:textId="77777777" w:rsidR="00C110AE" w:rsidRDefault="00C110AE" w:rsidP="00C110AE">
            <w:pPr>
              <w:jc w:val="right"/>
              <w:rPr>
                <w:color w:val="000000"/>
                <w:sz w:val="16"/>
                <w:szCs w:val="16"/>
              </w:rPr>
            </w:pPr>
            <w:r>
              <w:rPr>
                <w:color w:val="000000"/>
                <w:sz w:val="16"/>
                <w:szCs w:val="16"/>
              </w:rPr>
              <w:t>(89.5, 96)</w:t>
            </w:r>
          </w:p>
        </w:tc>
        <w:tc>
          <w:tcPr>
            <w:tcW w:w="536" w:type="dxa"/>
            <w:tcBorders>
              <w:left w:val="single" w:sz="4" w:space="0" w:color="auto"/>
            </w:tcBorders>
            <w:shd w:val="clear" w:color="auto" w:fill="auto"/>
            <w:vAlign w:val="center"/>
          </w:tcPr>
          <w:p w14:paraId="284B85B6" w14:textId="77777777" w:rsidR="00C110AE" w:rsidRDefault="00C110AE" w:rsidP="00C110AE">
            <w:pPr>
              <w:jc w:val="right"/>
              <w:rPr>
                <w:color w:val="000000"/>
                <w:sz w:val="16"/>
                <w:szCs w:val="16"/>
              </w:rPr>
            </w:pPr>
            <w:r>
              <w:rPr>
                <w:color w:val="000000"/>
                <w:sz w:val="16"/>
                <w:szCs w:val="16"/>
              </w:rPr>
              <w:t>323</w:t>
            </w:r>
          </w:p>
        </w:tc>
        <w:tc>
          <w:tcPr>
            <w:tcW w:w="576" w:type="dxa"/>
            <w:shd w:val="clear" w:color="auto" w:fill="auto"/>
            <w:vAlign w:val="center"/>
          </w:tcPr>
          <w:p w14:paraId="74556736" w14:textId="77777777" w:rsidR="00C110AE" w:rsidRDefault="00C110AE" w:rsidP="00C110AE">
            <w:pPr>
              <w:jc w:val="right"/>
              <w:rPr>
                <w:color w:val="000000"/>
                <w:sz w:val="16"/>
                <w:szCs w:val="16"/>
              </w:rPr>
            </w:pPr>
            <w:r>
              <w:rPr>
                <w:color w:val="000000"/>
                <w:sz w:val="16"/>
                <w:szCs w:val="16"/>
              </w:rPr>
              <w:t>95.9</w:t>
            </w:r>
          </w:p>
        </w:tc>
        <w:tc>
          <w:tcPr>
            <w:tcW w:w="1123" w:type="dxa"/>
            <w:tcBorders>
              <w:right w:val="single" w:sz="4" w:space="0" w:color="auto"/>
            </w:tcBorders>
            <w:shd w:val="clear" w:color="auto" w:fill="auto"/>
            <w:vAlign w:val="center"/>
          </w:tcPr>
          <w:p w14:paraId="0B65897E" w14:textId="77777777" w:rsidR="00C110AE" w:rsidRDefault="00C110AE" w:rsidP="00C110AE">
            <w:pPr>
              <w:jc w:val="right"/>
              <w:rPr>
                <w:color w:val="000000"/>
                <w:sz w:val="16"/>
                <w:szCs w:val="16"/>
              </w:rPr>
            </w:pPr>
            <w:r>
              <w:rPr>
                <w:color w:val="000000"/>
                <w:sz w:val="16"/>
                <w:szCs w:val="16"/>
              </w:rPr>
              <w:t>(93.5, 98.3)</w:t>
            </w:r>
          </w:p>
        </w:tc>
        <w:tc>
          <w:tcPr>
            <w:tcW w:w="536" w:type="dxa"/>
            <w:tcBorders>
              <w:left w:val="single" w:sz="4" w:space="0" w:color="auto"/>
            </w:tcBorders>
            <w:shd w:val="clear" w:color="auto" w:fill="auto"/>
            <w:vAlign w:val="center"/>
          </w:tcPr>
          <w:p w14:paraId="51585873" w14:textId="77777777" w:rsidR="00C110AE" w:rsidRDefault="00C110AE" w:rsidP="00C110AE">
            <w:pPr>
              <w:jc w:val="right"/>
              <w:rPr>
                <w:color w:val="000000"/>
                <w:sz w:val="16"/>
                <w:szCs w:val="16"/>
              </w:rPr>
            </w:pPr>
            <w:r>
              <w:rPr>
                <w:color w:val="000000"/>
                <w:sz w:val="16"/>
                <w:szCs w:val="16"/>
              </w:rPr>
              <w:t>278</w:t>
            </w:r>
          </w:p>
        </w:tc>
        <w:tc>
          <w:tcPr>
            <w:tcW w:w="567" w:type="dxa"/>
            <w:shd w:val="clear" w:color="auto" w:fill="auto"/>
            <w:vAlign w:val="center"/>
          </w:tcPr>
          <w:p w14:paraId="45461E07" w14:textId="77777777" w:rsidR="00C110AE" w:rsidRDefault="00C110AE" w:rsidP="00C110AE">
            <w:pPr>
              <w:jc w:val="right"/>
              <w:rPr>
                <w:color w:val="000000"/>
                <w:sz w:val="16"/>
                <w:szCs w:val="16"/>
              </w:rPr>
            </w:pPr>
            <w:r>
              <w:rPr>
                <w:color w:val="000000"/>
                <w:sz w:val="16"/>
                <w:szCs w:val="16"/>
              </w:rPr>
              <w:t>93.5</w:t>
            </w:r>
          </w:p>
        </w:tc>
        <w:tc>
          <w:tcPr>
            <w:tcW w:w="1123" w:type="dxa"/>
            <w:shd w:val="clear" w:color="auto" w:fill="auto"/>
            <w:vAlign w:val="center"/>
          </w:tcPr>
          <w:p w14:paraId="2DFABBC0" w14:textId="77777777" w:rsidR="00C110AE" w:rsidRDefault="00C110AE" w:rsidP="00C110AE">
            <w:pPr>
              <w:jc w:val="right"/>
              <w:rPr>
                <w:color w:val="000000"/>
                <w:sz w:val="16"/>
                <w:szCs w:val="16"/>
              </w:rPr>
            </w:pPr>
            <w:r>
              <w:rPr>
                <w:color w:val="000000"/>
                <w:sz w:val="16"/>
                <w:szCs w:val="16"/>
              </w:rPr>
              <w:t>(89.6, 97.5)</w:t>
            </w:r>
          </w:p>
        </w:tc>
      </w:tr>
      <w:tr w:rsidR="00C110AE" w:rsidRPr="007B4EF8" w14:paraId="71B39E32" w14:textId="77777777" w:rsidTr="00793719">
        <w:trPr>
          <w:jc w:val="center"/>
        </w:trPr>
        <w:tc>
          <w:tcPr>
            <w:tcW w:w="2127" w:type="dxa"/>
          </w:tcPr>
          <w:p w14:paraId="5EB18C17" w14:textId="77777777" w:rsidR="00C110AE" w:rsidRPr="00D317D8" w:rsidRDefault="00C110AE" w:rsidP="00C110AE">
            <w:pPr>
              <w:tabs>
                <w:tab w:val="left" w:pos="176"/>
              </w:tabs>
              <w:spacing w:before="20" w:after="20"/>
              <w:rPr>
                <w:rFonts w:eastAsiaTheme="minorEastAsia"/>
                <w:sz w:val="18"/>
                <w:szCs w:val="18"/>
                <w:lang w:eastAsia="en-US"/>
              </w:rPr>
            </w:pPr>
          </w:p>
        </w:tc>
        <w:tc>
          <w:tcPr>
            <w:tcW w:w="2379" w:type="dxa"/>
            <w:shd w:val="clear" w:color="auto" w:fill="auto"/>
          </w:tcPr>
          <w:p w14:paraId="5C583C80" w14:textId="77777777" w:rsidR="00C110AE" w:rsidRPr="001B7431" w:rsidRDefault="00C110AE" w:rsidP="00C110AE">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shd w:val="clear" w:color="auto" w:fill="auto"/>
            <w:vAlign w:val="center"/>
          </w:tcPr>
          <w:p w14:paraId="4015D4CA" w14:textId="77777777" w:rsidR="00C110AE" w:rsidRDefault="00C110AE" w:rsidP="00C110AE">
            <w:pPr>
              <w:jc w:val="right"/>
              <w:rPr>
                <w:color w:val="000000"/>
                <w:sz w:val="16"/>
                <w:szCs w:val="16"/>
              </w:rPr>
            </w:pPr>
            <w:r>
              <w:rPr>
                <w:color w:val="000000"/>
                <w:sz w:val="16"/>
                <w:szCs w:val="16"/>
              </w:rPr>
              <w:t>27</w:t>
            </w:r>
          </w:p>
        </w:tc>
        <w:tc>
          <w:tcPr>
            <w:tcW w:w="496" w:type="dxa"/>
            <w:shd w:val="clear" w:color="auto" w:fill="auto"/>
            <w:vAlign w:val="center"/>
          </w:tcPr>
          <w:p w14:paraId="20911E81" w14:textId="77777777" w:rsidR="00C110AE" w:rsidRDefault="00C110AE" w:rsidP="00C110AE">
            <w:pPr>
              <w:jc w:val="right"/>
              <w:rPr>
                <w:color w:val="000000"/>
                <w:sz w:val="16"/>
                <w:szCs w:val="16"/>
              </w:rPr>
            </w:pPr>
            <w:r>
              <w:rPr>
                <w:color w:val="000000"/>
                <w:sz w:val="16"/>
                <w:szCs w:val="16"/>
              </w:rPr>
              <w:t>4.3</w:t>
            </w:r>
          </w:p>
        </w:tc>
        <w:tc>
          <w:tcPr>
            <w:tcW w:w="1043" w:type="dxa"/>
            <w:tcBorders>
              <w:right w:val="single" w:sz="4" w:space="0" w:color="auto"/>
            </w:tcBorders>
            <w:shd w:val="clear" w:color="auto" w:fill="auto"/>
            <w:vAlign w:val="center"/>
          </w:tcPr>
          <w:p w14:paraId="7A4BFB86" w14:textId="77777777" w:rsidR="00C110AE" w:rsidRDefault="00C110AE" w:rsidP="00C110AE">
            <w:pPr>
              <w:jc w:val="right"/>
              <w:rPr>
                <w:color w:val="000000"/>
                <w:sz w:val="16"/>
                <w:szCs w:val="16"/>
              </w:rPr>
            </w:pPr>
            <w:r>
              <w:rPr>
                <w:color w:val="000000"/>
                <w:sz w:val="16"/>
                <w:szCs w:val="16"/>
              </w:rPr>
              <w:t>(2.3, 6.3)</w:t>
            </w:r>
          </w:p>
        </w:tc>
        <w:tc>
          <w:tcPr>
            <w:tcW w:w="569" w:type="dxa"/>
            <w:tcBorders>
              <w:left w:val="single" w:sz="4" w:space="0" w:color="auto"/>
            </w:tcBorders>
            <w:shd w:val="clear" w:color="auto" w:fill="auto"/>
            <w:vAlign w:val="center"/>
          </w:tcPr>
          <w:p w14:paraId="4FFD3A84" w14:textId="77777777" w:rsidR="00C110AE" w:rsidRDefault="00C110AE" w:rsidP="00C110AE">
            <w:pPr>
              <w:jc w:val="right"/>
              <w:rPr>
                <w:color w:val="000000"/>
                <w:sz w:val="16"/>
                <w:szCs w:val="16"/>
              </w:rPr>
            </w:pPr>
            <w:r>
              <w:rPr>
                <w:color w:val="000000"/>
                <w:sz w:val="16"/>
                <w:szCs w:val="16"/>
              </w:rPr>
              <w:t>22</w:t>
            </w:r>
          </w:p>
        </w:tc>
        <w:tc>
          <w:tcPr>
            <w:tcW w:w="567" w:type="dxa"/>
            <w:shd w:val="clear" w:color="auto" w:fill="auto"/>
            <w:vAlign w:val="center"/>
          </w:tcPr>
          <w:p w14:paraId="40BAB717" w14:textId="77777777" w:rsidR="00C110AE" w:rsidRDefault="00C110AE" w:rsidP="00C110AE">
            <w:pPr>
              <w:jc w:val="right"/>
              <w:rPr>
                <w:color w:val="000000"/>
                <w:sz w:val="16"/>
                <w:szCs w:val="16"/>
              </w:rPr>
            </w:pPr>
            <w:r>
              <w:rPr>
                <w:color w:val="000000"/>
                <w:sz w:val="16"/>
                <w:szCs w:val="16"/>
              </w:rPr>
              <w:t>6.0</w:t>
            </w:r>
          </w:p>
        </w:tc>
        <w:tc>
          <w:tcPr>
            <w:tcW w:w="1123" w:type="dxa"/>
            <w:tcBorders>
              <w:right w:val="single" w:sz="4" w:space="0" w:color="auto"/>
            </w:tcBorders>
            <w:shd w:val="clear" w:color="auto" w:fill="auto"/>
            <w:vAlign w:val="center"/>
          </w:tcPr>
          <w:p w14:paraId="560EBEBA" w14:textId="77777777" w:rsidR="00C110AE" w:rsidRDefault="00C110AE" w:rsidP="00C110AE">
            <w:pPr>
              <w:jc w:val="right"/>
              <w:rPr>
                <w:color w:val="000000"/>
                <w:sz w:val="16"/>
                <w:szCs w:val="16"/>
              </w:rPr>
            </w:pPr>
            <w:r>
              <w:rPr>
                <w:color w:val="000000"/>
                <w:sz w:val="16"/>
                <w:szCs w:val="16"/>
              </w:rPr>
              <w:t>(3.0, 9.0)</w:t>
            </w:r>
          </w:p>
        </w:tc>
        <w:tc>
          <w:tcPr>
            <w:tcW w:w="536" w:type="dxa"/>
            <w:tcBorders>
              <w:left w:val="single" w:sz="4" w:space="0" w:color="auto"/>
            </w:tcBorders>
            <w:shd w:val="clear" w:color="auto" w:fill="auto"/>
            <w:vAlign w:val="center"/>
          </w:tcPr>
          <w:p w14:paraId="0EB7C974" w14:textId="77777777" w:rsidR="00C110AE" w:rsidRDefault="00C110AE" w:rsidP="00C110AE">
            <w:pPr>
              <w:jc w:val="right"/>
              <w:rPr>
                <w:color w:val="000000"/>
                <w:sz w:val="16"/>
                <w:szCs w:val="16"/>
              </w:rPr>
            </w:pPr>
            <w:r>
              <w:rPr>
                <w:color w:val="000000"/>
                <w:sz w:val="16"/>
                <w:szCs w:val="16"/>
              </w:rPr>
              <w:t>14</w:t>
            </w:r>
          </w:p>
        </w:tc>
        <w:tc>
          <w:tcPr>
            <w:tcW w:w="576" w:type="dxa"/>
            <w:shd w:val="clear" w:color="auto" w:fill="auto"/>
            <w:vAlign w:val="center"/>
          </w:tcPr>
          <w:p w14:paraId="3BB81F7D" w14:textId="77777777" w:rsidR="00C110AE" w:rsidRDefault="00C110AE" w:rsidP="00C110AE">
            <w:pPr>
              <w:jc w:val="right"/>
              <w:rPr>
                <w:color w:val="000000"/>
                <w:sz w:val="16"/>
                <w:szCs w:val="16"/>
              </w:rPr>
            </w:pPr>
            <w:r>
              <w:rPr>
                <w:color w:val="000000"/>
                <w:sz w:val="16"/>
                <w:szCs w:val="16"/>
              </w:rPr>
              <w:t>4.1</w:t>
            </w:r>
          </w:p>
        </w:tc>
        <w:tc>
          <w:tcPr>
            <w:tcW w:w="1123" w:type="dxa"/>
            <w:tcBorders>
              <w:right w:val="single" w:sz="4" w:space="0" w:color="auto"/>
            </w:tcBorders>
            <w:shd w:val="clear" w:color="auto" w:fill="auto"/>
            <w:vAlign w:val="center"/>
          </w:tcPr>
          <w:p w14:paraId="219CC8AB" w14:textId="77777777" w:rsidR="00C110AE" w:rsidRDefault="00C110AE" w:rsidP="00C110AE">
            <w:pPr>
              <w:jc w:val="right"/>
              <w:rPr>
                <w:color w:val="000000"/>
                <w:sz w:val="16"/>
                <w:szCs w:val="16"/>
              </w:rPr>
            </w:pPr>
            <w:r>
              <w:rPr>
                <w:color w:val="000000"/>
                <w:sz w:val="16"/>
                <w:szCs w:val="16"/>
              </w:rPr>
              <w:t>(1.7, 6.5)</w:t>
            </w:r>
          </w:p>
        </w:tc>
        <w:tc>
          <w:tcPr>
            <w:tcW w:w="536" w:type="dxa"/>
            <w:tcBorders>
              <w:left w:val="single" w:sz="4" w:space="0" w:color="auto"/>
            </w:tcBorders>
            <w:shd w:val="clear" w:color="auto" w:fill="auto"/>
            <w:vAlign w:val="center"/>
          </w:tcPr>
          <w:p w14:paraId="16CAFBD3" w14:textId="77777777" w:rsidR="00C110AE" w:rsidRDefault="00C110AE" w:rsidP="00C110AE">
            <w:pPr>
              <w:jc w:val="right"/>
              <w:rPr>
                <w:color w:val="000000"/>
                <w:sz w:val="16"/>
                <w:szCs w:val="16"/>
              </w:rPr>
            </w:pPr>
            <w:r>
              <w:rPr>
                <w:color w:val="000000"/>
                <w:sz w:val="16"/>
                <w:szCs w:val="16"/>
              </w:rPr>
              <w:t>17</w:t>
            </w:r>
          </w:p>
        </w:tc>
        <w:tc>
          <w:tcPr>
            <w:tcW w:w="567" w:type="dxa"/>
            <w:shd w:val="clear" w:color="auto" w:fill="auto"/>
            <w:vAlign w:val="center"/>
          </w:tcPr>
          <w:p w14:paraId="042B8DDF" w14:textId="77777777" w:rsidR="00C110AE" w:rsidRDefault="00C110AE" w:rsidP="00C110AE">
            <w:pPr>
              <w:jc w:val="right"/>
              <w:rPr>
                <w:color w:val="000000"/>
                <w:sz w:val="16"/>
                <w:szCs w:val="16"/>
              </w:rPr>
            </w:pPr>
            <w:r>
              <w:rPr>
                <w:color w:val="000000"/>
                <w:sz w:val="16"/>
                <w:szCs w:val="16"/>
              </w:rPr>
              <w:t>5.6</w:t>
            </w:r>
          </w:p>
        </w:tc>
        <w:tc>
          <w:tcPr>
            <w:tcW w:w="1123" w:type="dxa"/>
            <w:shd w:val="clear" w:color="auto" w:fill="auto"/>
            <w:vAlign w:val="center"/>
          </w:tcPr>
          <w:p w14:paraId="15EE4AAD" w14:textId="77777777" w:rsidR="00C110AE" w:rsidRDefault="00C110AE" w:rsidP="00C110AE">
            <w:pPr>
              <w:jc w:val="right"/>
              <w:rPr>
                <w:color w:val="000000"/>
                <w:sz w:val="16"/>
                <w:szCs w:val="16"/>
              </w:rPr>
            </w:pPr>
            <w:r>
              <w:rPr>
                <w:color w:val="000000"/>
                <w:sz w:val="16"/>
                <w:szCs w:val="16"/>
              </w:rPr>
              <w:t>(1.7, 9.5)</w:t>
            </w:r>
          </w:p>
        </w:tc>
      </w:tr>
      <w:tr w:rsidR="00C110AE" w:rsidRPr="007B4EF8" w14:paraId="45CD523D" w14:textId="77777777" w:rsidTr="00793719">
        <w:trPr>
          <w:jc w:val="center"/>
        </w:trPr>
        <w:tc>
          <w:tcPr>
            <w:tcW w:w="2127" w:type="dxa"/>
          </w:tcPr>
          <w:p w14:paraId="12C8CBB8" w14:textId="77777777" w:rsidR="00C110AE" w:rsidRPr="00D317D8" w:rsidRDefault="00C110AE" w:rsidP="00C110AE">
            <w:pPr>
              <w:tabs>
                <w:tab w:val="left" w:pos="176"/>
              </w:tabs>
              <w:spacing w:before="20" w:after="20"/>
              <w:rPr>
                <w:rFonts w:eastAsiaTheme="minorEastAsia"/>
                <w:sz w:val="18"/>
                <w:szCs w:val="18"/>
                <w:lang w:eastAsia="en-US"/>
              </w:rPr>
            </w:pPr>
          </w:p>
        </w:tc>
        <w:tc>
          <w:tcPr>
            <w:tcW w:w="2379" w:type="dxa"/>
            <w:shd w:val="clear" w:color="auto" w:fill="auto"/>
          </w:tcPr>
          <w:p w14:paraId="3C3C0685" w14:textId="77777777" w:rsidR="00C110AE" w:rsidRPr="001B7431" w:rsidRDefault="00C110AE" w:rsidP="00C110AE">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shd w:val="clear" w:color="auto" w:fill="auto"/>
            <w:vAlign w:val="center"/>
          </w:tcPr>
          <w:p w14:paraId="65D2EA64" w14:textId="77777777" w:rsidR="00C110AE" w:rsidRDefault="00C110AE" w:rsidP="00C110AE">
            <w:pPr>
              <w:jc w:val="right"/>
              <w:rPr>
                <w:color w:val="000000"/>
                <w:sz w:val="16"/>
                <w:szCs w:val="16"/>
              </w:rPr>
            </w:pPr>
            <w:r>
              <w:rPr>
                <w:color w:val="000000"/>
                <w:sz w:val="16"/>
                <w:szCs w:val="16"/>
              </w:rPr>
              <w:t>4</w:t>
            </w:r>
          </w:p>
        </w:tc>
        <w:tc>
          <w:tcPr>
            <w:tcW w:w="496" w:type="dxa"/>
            <w:shd w:val="clear" w:color="auto" w:fill="auto"/>
            <w:vAlign w:val="center"/>
          </w:tcPr>
          <w:p w14:paraId="6776E281" w14:textId="77777777" w:rsidR="00C110AE" w:rsidRDefault="00C110AE" w:rsidP="00C110AE">
            <w:pPr>
              <w:jc w:val="right"/>
              <w:rPr>
                <w:color w:val="000000"/>
                <w:sz w:val="16"/>
                <w:szCs w:val="16"/>
              </w:rPr>
            </w:pPr>
            <w:r>
              <w:rPr>
                <w:color w:val="000000"/>
                <w:sz w:val="16"/>
                <w:szCs w:val="16"/>
              </w:rPr>
              <w:t>0.6</w:t>
            </w:r>
          </w:p>
        </w:tc>
        <w:tc>
          <w:tcPr>
            <w:tcW w:w="1043" w:type="dxa"/>
            <w:tcBorders>
              <w:right w:val="single" w:sz="4" w:space="0" w:color="auto"/>
            </w:tcBorders>
            <w:shd w:val="clear" w:color="auto" w:fill="auto"/>
            <w:vAlign w:val="center"/>
          </w:tcPr>
          <w:p w14:paraId="56DC6972" w14:textId="77777777" w:rsidR="00C110AE" w:rsidRDefault="00C110AE" w:rsidP="00C110AE">
            <w:pPr>
              <w:jc w:val="right"/>
              <w:rPr>
                <w:color w:val="000000"/>
                <w:sz w:val="16"/>
                <w:szCs w:val="16"/>
              </w:rPr>
            </w:pPr>
            <w:r>
              <w:rPr>
                <w:color w:val="000000"/>
                <w:sz w:val="16"/>
                <w:szCs w:val="16"/>
              </w:rPr>
              <w:t>(0.1, 1.2)</w:t>
            </w:r>
          </w:p>
        </w:tc>
        <w:tc>
          <w:tcPr>
            <w:tcW w:w="569" w:type="dxa"/>
            <w:tcBorders>
              <w:left w:val="single" w:sz="4" w:space="0" w:color="auto"/>
            </w:tcBorders>
            <w:shd w:val="clear" w:color="auto" w:fill="auto"/>
            <w:vAlign w:val="center"/>
          </w:tcPr>
          <w:p w14:paraId="60C61A8C" w14:textId="77777777" w:rsidR="00C110AE" w:rsidRDefault="00C110AE" w:rsidP="00C110AE">
            <w:pPr>
              <w:jc w:val="right"/>
              <w:rPr>
                <w:color w:val="000000"/>
                <w:sz w:val="16"/>
                <w:szCs w:val="16"/>
              </w:rPr>
            </w:pPr>
            <w:r>
              <w:rPr>
                <w:color w:val="000000"/>
                <w:sz w:val="16"/>
                <w:szCs w:val="16"/>
              </w:rPr>
              <w:t>5</w:t>
            </w:r>
          </w:p>
        </w:tc>
        <w:tc>
          <w:tcPr>
            <w:tcW w:w="567" w:type="dxa"/>
            <w:shd w:val="clear" w:color="auto" w:fill="auto"/>
            <w:vAlign w:val="center"/>
          </w:tcPr>
          <w:p w14:paraId="2AF5486C" w14:textId="77777777" w:rsidR="00C110AE" w:rsidRDefault="00C110AE" w:rsidP="00C110AE">
            <w:pPr>
              <w:jc w:val="right"/>
              <w:rPr>
                <w:color w:val="000000"/>
                <w:sz w:val="16"/>
                <w:szCs w:val="16"/>
              </w:rPr>
            </w:pPr>
            <w:r>
              <w:rPr>
                <w:color w:val="000000"/>
                <w:sz w:val="16"/>
                <w:szCs w:val="16"/>
              </w:rPr>
              <w:t>1.3</w:t>
            </w:r>
          </w:p>
        </w:tc>
        <w:tc>
          <w:tcPr>
            <w:tcW w:w="1123" w:type="dxa"/>
            <w:tcBorders>
              <w:right w:val="single" w:sz="4" w:space="0" w:color="auto"/>
            </w:tcBorders>
            <w:shd w:val="clear" w:color="auto" w:fill="auto"/>
            <w:vAlign w:val="center"/>
          </w:tcPr>
          <w:p w14:paraId="1EE82FBA" w14:textId="77777777" w:rsidR="00C110AE" w:rsidRDefault="00C110AE" w:rsidP="00C110AE">
            <w:pPr>
              <w:jc w:val="right"/>
              <w:rPr>
                <w:color w:val="000000"/>
                <w:sz w:val="16"/>
                <w:szCs w:val="16"/>
              </w:rPr>
            </w:pPr>
            <w:r>
              <w:rPr>
                <w:color w:val="000000"/>
                <w:sz w:val="16"/>
                <w:szCs w:val="16"/>
              </w:rPr>
              <w:t>(0.0, 2.6)</w:t>
            </w:r>
          </w:p>
        </w:tc>
        <w:tc>
          <w:tcPr>
            <w:tcW w:w="536" w:type="dxa"/>
            <w:tcBorders>
              <w:left w:val="single" w:sz="4" w:space="0" w:color="auto"/>
            </w:tcBorders>
            <w:shd w:val="clear" w:color="auto" w:fill="auto"/>
            <w:vAlign w:val="center"/>
          </w:tcPr>
          <w:p w14:paraId="4C7BB9E7" w14:textId="77777777" w:rsidR="00C110AE" w:rsidRDefault="00C110AE" w:rsidP="00C110AE">
            <w:pPr>
              <w:jc w:val="right"/>
              <w:rPr>
                <w:color w:val="000000"/>
                <w:sz w:val="16"/>
                <w:szCs w:val="16"/>
              </w:rPr>
            </w:pPr>
            <w:r>
              <w:rPr>
                <w:color w:val="000000"/>
                <w:sz w:val="16"/>
                <w:szCs w:val="16"/>
              </w:rPr>
              <w:t>-</w:t>
            </w:r>
          </w:p>
        </w:tc>
        <w:tc>
          <w:tcPr>
            <w:tcW w:w="576" w:type="dxa"/>
            <w:shd w:val="clear" w:color="auto" w:fill="auto"/>
            <w:vAlign w:val="center"/>
          </w:tcPr>
          <w:p w14:paraId="4197A9C3" w14:textId="77777777" w:rsidR="00C110AE" w:rsidRDefault="00C110AE" w:rsidP="00C110AE">
            <w:pPr>
              <w:jc w:val="right"/>
              <w:rPr>
                <w:color w:val="000000"/>
                <w:sz w:val="16"/>
                <w:szCs w:val="16"/>
              </w:rPr>
            </w:pPr>
            <w:r>
              <w:rPr>
                <w:color w:val="000000"/>
                <w:sz w:val="16"/>
                <w:szCs w:val="16"/>
              </w:rPr>
              <w:t xml:space="preserve"> </w:t>
            </w:r>
          </w:p>
        </w:tc>
        <w:tc>
          <w:tcPr>
            <w:tcW w:w="1123" w:type="dxa"/>
            <w:tcBorders>
              <w:right w:val="single" w:sz="4" w:space="0" w:color="auto"/>
            </w:tcBorders>
            <w:shd w:val="clear" w:color="auto" w:fill="auto"/>
            <w:vAlign w:val="center"/>
          </w:tcPr>
          <w:p w14:paraId="72586552" w14:textId="77777777" w:rsidR="00C110AE" w:rsidRDefault="00C110AE" w:rsidP="00C110AE">
            <w:pPr>
              <w:jc w:val="right"/>
              <w:rPr>
                <w:color w:val="000000"/>
                <w:sz w:val="16"/>
                <w:szCs w:val="16"/>
              </w:rPr>
            </w:pPr>
          </w:p>
        </w:tc>
        <w:tc>
          <w:tcPr>
            <w:tcW w:w="536" w:type="dxa"/>
            <w:tcBorders>
              <w:left w:val="single" w:sz="4" w:space="0" w:color="auto"/>
            </w:tcBorders>
            <w:shd w:val="clear" w:color="auto" w:fill="auto"/>
            <w:vAlign w:val="center"/>
          </w:tcPr>
          <w:p w14:paraId="4433DF91" w14:textId="77777777" w:rsidR="00C110AE" w:rsidRDefault="00C110AE" w:rsidP="00C110AE">
            <w:pPr>
              <w:jc w:val="right"/>
              <w:rPr>
                <w:color w:val="000000"/>
                <w:sz w:val="16"/>
                <w:szCs w:val="16"/>
              </w:rPr>
            </w:pPr>
            <w:r>
              <w:rPr>
                <w:color w:val="000000"/>
                <w:sz w:val="16"/>
                <w:szCs w:val="16"/>
              </w:rPr>
              <w:t>2</w:t>
            </w:r>
          </w:p>
        </w:tc>
        <w:tc>
          <w:tcPr>
            <w:tcW w:w="567" w:type="dxa"/>
            <w:shd w:val="clear" w:color="auto" w:fill="auto"/>
            <w:vAlign w:val="center"/>
          </w:tcPr>
          <w:p w14:paraId="1514A35B" w14:textId="77777777" w:rsidR="00C110AE" w:rsidRDefault="00C110AE" w:rsidP="00C110AE">
            <w:pPr>
              <w:jc w:val="right"/>
              <w:rPr>
                <w:color w:val="000000"/>
                <w:sz w:val="16"/>
                <w:szCs w:val="16"/>
              </w:rPr>
            </w:pPr>
            <w:r>
              <w:rPr>
                <w:color w:val="000000"/>
                <w:sz w:val="16"/>
                <w:szCs w:val="16"/>
              </w:rPr>
              <w:t>0.8</w:t>
            </w:r>
          </w:p>
        </w:tc>
        <w:tc>
          <w:tcPr>
            <w:tcW w:w="1123" w:type="dxa"/>
            <w:shd w:val="clear" w:color="auto" w:fill="auto"/>
            <w:vAlign w:val="center"/>
          </w:tcPr>
          <w:p w14:paraId="53CBA031" w14:textId="77777777" w:rsidR="00C110AE" w:rsidRDefault="002F172C" w:rsidP="00C110AE">
            <w:pPr>
              <w:jc w:val="right"/>
              <w:rPr>
                <w:color w:val="000000"/>
                <w:sz w:val="16"/>
                <w:szCs w:val="16"/>
              </w:rPr>
            </w:pPr>
            <w:r>
              <w:rPr>
                <w:color w:val="000000"/>
                <w:sz w:val="16"/>
                <w:szCs w:val="16"/>
              </w:rPr>
              <w:t>!</w:t>
            </w:r>
          </w:p>
        </w:tc>
      </w:tr>
      <w:tr w:rsidR="00C110AE" w:rsidRPr="007B4EF8" w14:paraId="3B92F7EF" w14:textId="77777777" w:rsidTr="00793719">
        <w:trPr>
          <w:jc w:val="center"/>
        </w:trPr>
        <w:tc>
          <w:tcPr>
            <w:tcW w:w="2127" w:type="dxa"/>
          </w:tcPr>
          <w:p w14:paraId="70D8D136" w14:textId="77777777" w:rsidR="00C110AE" w:rsidRPr="00D317D8" w:rsidRDefault="00C110AE" w:rsidP="00C110AE">
            <w:pPr>
              <w:tabs>
                <w:tab w:val="left" w:pos="318"/>
              </w:tabs>
              <w:spacing w:before="20" w:after="20"/>
              <w:ind w:left="176" w:hanging="176"/>
              <w:rPr>
                <w:rFonts w:eastAsiaTheme="minorEastAsia"/>
                <w:sz w:val="18"/>
                <w:szCs w:val="18"/>
                <w:lang w:eastAsia="en-US"/>
              </w:rPr>
            </w:pPr>
            <w:r>
              <w:rPr>
                <w:rFonts w:eastAsiaTheme="minorEastAsia"/>
                <w:sz w:val="18"/>
                <w:szCs w:val="18"/>
                <w:lang w:eastAsia="en-US"/>
              </w:rPr>
              <w:t>$31 - $50</w:t>
            </w:r>
          </w:p>
        </w:tc>
        <w:tc>
          <w:tcPr>
            <w:tcW w:w="2379" w:type="dxa"/>
            <w:shd w:val="clear" w:color="auto" w:fill="auto"/>
          </w:tcPr>
          <w:p w14:paraId="48DF09C4" w14:textId="77777777" w:rsidR="00C110AE" w:rsidRPr="001B7431" w:rsidRDefault="00C110AE" w:rsidP="00C110AE">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shd w:val="clear" w:color="auto" w:fill="auto"/>
            <w:vAlign w:val="center"/>
          </w:tcPr>
          <w:p w14:paraId="2F867580" w14:textId="77777777" w:rsidR="00C110AE" w:rsidRDefault="00C110AE" w:rsidP="00C110AE">
            <w:pPr>
              <w:jc w:val="right"/>
              <w:rPr>
                <w:color w:val="000000"/>
                <w:sz w:val="16"/>
                <w:szCs w:val="16"/>
              </w:rPr>
            </w:pPr>
            <w:r>
              <w:rPr>
                <w:color w:val="000000"/>
                <w:sz w:val="16"/>
                <w:szCs w:val="16"/>
              </w:rPr>
              <w:t>678</w:t>
            </w:r>
          </w:p>
        </w:tc>
        <w:tc>
          <w:tcPr>
            <w:tcW w:w="496" w:type="dxa"/>
            <w:shd w:val="clear" w:color="auto" w:fill="auto"/>
            <w:vAlign w:val="center"/>
          </w:tcPr>
          <w:p w14:paraId="54568C69" w14:textId="77777777" w:rsidR="00C110AE" w:rsidRDefault="00C110AE" w:rsidP="00C110AE">
            <w:pPr>
              <w:jc w:val="right"/>
              <w:rPr>
                <w:color w:val="000000"/>
                <w:sz w:val="16"/>
                <w:szCs w:val="16"/>
              </w:rPr>
            </w:pPr>
            <w:r>
              <w:rPr>
                <w:color w:val="000000"/>
                <w:sz w:val="16"/>
                <w:szCs w:val="16"/>
              </w:rPr>
              <w:t>95.7</w:t>
            </w:r>
          </w:p>
        </w:tc>
        <w:tc>
          <w:tcPr>
            <w:tcW w:w="1043" w:type="dxa"/>
            <w:tcBorders>
              <w:right w:val="single" w:sz="4" w:space="0" w:color="auto"/>
            </w:tcBorders>
            <w:shd w:val="clear" w:color="auto" w:fill="auto"/>
            <w:vAlign w:val="center"/>
          </w:tcPr>
          <w:p w14:paraId="17557AFA" w14:textId="77777777" w:rsidR="00C110AE" w:rsidRDefault="00C110AE" w:rsidP="00C110AE">
            <w:pPr>
              <w:jc w:val="right"/>
              <w:rPr>
                <w:color w:val="000000"/>
                <w:sz w:val="16"/>
                <w:szCs w:val="16"/>
              </w:rPr>
            </w:pPr>
            <w:r>
              <w:rPr>
                <w:color w:val="000000"/>
                <w:sz w:val="16"/>
                <w:szCs w:val="16"/>
              </w:rPr>
              <w:t>(93.7, 97.7)</w:t>
            </w:r>
          </w:p>
        </w:tc>
        <w:tc>
          <w:tcPr>
            <w:tcW w:w="569" w:type="dxa"/>
            <w:tcBorders>
              <w:left w:val="single" w:sz="4" w:space="0" w:color="auto"/>
            </w:tcBorders>
            <w:shd w:val="clear" w:color="auto" w:fill="auto"/>
            <w:vAlign w:val="center"/>
          </w:tcPr>
          <w:p w14:paraId="455B92B3" w14:textId="77777777" w:rsidR="00C110AE" w:rsidRDefault="00C110AE" w:rsidP="00C110AE">
            <w:pPr>
              <w:jc w:val="right"/>
              <w:rPr>
                <w:color w:val="000000"/>
                <w:sz w:val="16"/>
                <w:szCs w:val="16"/>
              </w:rPr>
            </w:pPr>
            <w:r>
              <w:rPr>
                <w:color w:val="000000"/>
                <w:sz w:val="16"/>
                <w:szCs w:val="16"/>
              </w:rPr>
              <w:t>367</w:t>
            </w:r>
          </w:p>
        </w:tc>
        <w:tc>
          <w:tcPr>
            <w:tcW w:w="567" w:type="dxa"/>
            <w:shd w:val="clear" w:color="auto" w:fill="auto"/>
            <w:vAlign w:val="center"/>
          </w:tcPr>
          <w:p w14:paraId="6517BA9C" w14:textId="77777777" w:rsidR="00C110AE" w:rsidRDefault="00C110AE" w:rsidP="00C110AE">
            <w:pPr>
              <w:jc w:val="right"/>
              <w:rPr>
                <w:color w:val="000000"/>
                <w:sz w:val="16"/>
                <w:szCs w:val="16"/>
              </w:rPr>
            </w:pPr>
            <w:r>
              <w:rPr>
                <w:color w:val="000000"/>
                <w:sz w:val="16"/>
                <w:szCs w:val="16"/>
              </w:rPr>
              <w:t>93.0</w:t>
            </w:r>
          </w:p>
        </w:tc>
        <w:tc>
          <w:tcPr>
            <w:tcW w:w="1123" w:type="dxa"/>
            <w:tcBorders>
              <w:right w:val="single" w:sz="4" w:space="0" w:color="auto"/>
            </w:tcBorders>
            <w:shd w:val="clear" w:color="auto" w:fill="auto"/>
            <w:vAlign w:val="center"/>
          </w:tcPr>
          <w:p w14:paraId="5A5EEDDA" w14:textId="77777777" w:rsidR="00C110AE" w:rsidRDefault="00C110AE" w:rsidP="00C110AE">
            <w:pPr>
              <w:jc w:val="right"/>
              <w:rPr>
                <w:color w:val="000000"/>
                <w:sz w:val="16"/>
                <w:szCs w:val="16"/>
              </w:rPr>
            </w:pPr>
            <w:r>
              <w:rPr>
                <w:color w:val="000000"/>
                <w:sz w:val="16"/>
                <w:szCs w:val="16"/>
              </w:rPr>
              <w:t>(90.3, 95.8)</w:t>
            </w:r>
          </w:p>
        </w:tc>
        <w:tc>
          <w:tcPr>
            <w:tcW w:w="536" w:type="dxa"/>
            <w:tcBorders>
              <w:left w:val="single" w:sz="4" w:space="0" w:color="auto"/>
            </w:tcBorders>
            <w:shd w:val="clear" w:color="auto" w:fill="auto"/>
            <w:vAlign w:val="center"/>
          </w:tcPr>
          <w:p w14:paraId="06D7B5B7" w14:textId="77777777" w:rsidR="00C110AE" w:rsidRDefault="00C110AE" w:rsidP="00C110AE">
            <w:pPr>
              <w:jc w:val="right"/>
              <w:rPr>
                <w:color w:val="000000"/>
                <w:sz w:val="16"/>
                <w:szCs w:val="16"/>
              </w:rPr>
            </w:pPr>
            <w:r>
              <w:rPr>
                <w:color w:val="000000"/>
                <w:sz w:val="16"/>
                <w:szCs w:val="16"/>
              </w:rPr>
              <w:t>318</w:t>
            </w:r>
          </w:p>
        </w:tc>
        <w:tc>
          <w:tcPr>
            <w:tcW w:w="576" w:type="dxa"/>
            <w:shd w:val="clear" w:color="auto" w:fill="auto"/>
            <w:vAlign w:val="center"/>
          </w:tcPr>
          <w:p w14:paraId="1C62E814" w14:textId="77777777" w:rsidR="00C110AE" w:rsidRDefault="00C110AE" w:rsidP="00C110AE">
            <w:pPr>
              <w:jc w:val="right"/>
              <w:rPr>
                <w:color w:val="000000"/>
                <w:sz w:val="16"/>
                <w:szCs w:val="16"/>
              </w:rPr>
            </w:pPr>
            <w:r>
              <w:rPr>
                <w:color w:val="000000"/>
                <w:sz w:val="16"/>
                <w:szCs w:val="16"/>
              </w:rPr>
              <w:t>92.3</w:t>
            </w:r>
          </w:p>
        </w:tc>
        <w:tc>
          <w:tcPr>
            <w:tcW w:w="1123" w:type="dxa"/>
            <w:tcBorders>
              <w:right w:val="single" w:sz="4" w:space="0" w:color="auto"/>
            </w:tcBorders>
            <w:shd w:val="clear" w:color="auto" w:fill="auto"/>
            <w:vAlign w:val="center"/>
          </w:tcPr>
          <w:p w14:paraId="196DFC64" w14:textId="77777777" w:rsidR="00C110AE" w:rsidRDefault="00C110AE" w:rsidP="00C110AE">
            <w:pPr>
              <w:jc w:val="right"/>
              <w:rPr>
                <w:color w:val="000000"/>
                <w:sz w:val="16"/>
                <w:szCs w:val="16"/>
              </w:rPr>
            </w:pPr>
            <w:r>
              <w:rPr>
                <w:color w:val="000000"/>
                <w:sz w:val="16"/>
                <w:szCs w:val="16"/>
              </w:rPr>
              <w:t>(89.3, 95.3)</w:t>
            </w:r>
          </w:p>
        </w:tc>
        <w:tc>
          <w:tcPr>
            <w:tcW w:w="536" w:type="dxa"/>
            <w:tcBorders>
              <w:left w:val="single" w:sz="4" w:space="0" w:color="auto"/>
            </w:tcBorders>
            <w:shd w:val="clear" w:color="auto" w:fill="auto"/>
            <w:vAlign w:val="center"/>
          </w:tcPr>
          <w:p w14:paraId="2B7859DA" w14:textId="77777777" w:rsidR="00C110AE" w:rsidRDefault="00C110AE" w:rsidP="00C110AE">
            <w:pPr>
              <w:jc w:val="right"/>
              <w:rPr>
                <w:color w:val="000000"/>
                <w:sz w:val="16"/>
                <w:szCs w:val="16"/>
              </w:rPr>
            </w:pPr>
            <w:r>
              <w:rPr>
                <w:color w:val="000000"/>
                <w:sz w:val="16"/>
                <w:szCs w:val="16"/>
              </w:rPr>
              <w:t>265</w:t>
            </w:r>
          </w:p>
        </w:tc>
        <w:tc>
          <w:tcPr>
            <w:tcW w:w="567" w:type="dxa"/>
            <w:shd w:val="clear" w:color="auto" w:fill="auto"/>
            <w:vAlign w:val="center"/>
          </w:tcPr>
          <w:p w14:paraId="431BCBA6" w14:textId="77777777" w:rsidR="00C110AE" w:rsidRDefault="00C110AE" w:rsidP="00C110AE">
            <w:pPr>
              <w:jc w:val="right"/>
              <w:rPr>
                <w:color w:val="000000"/>
                <w:sz w:val="16"/>
                <w:szCs w:val="16"/>
              </w:rPr>
            </w:pPr>
            <w:r>
              <w:rPr>
                <w:color w:val="000000"/>
                <w:sz w:val="16"/>
                <w:szCs w:val="16"/>
              </w:rPr>
              <w:t>90.8</w:t>
            </w:r>
          </w:p>
        </w:tc>
        <w:tc>
          <w:tcPr>
            <w:tcW w:w="1123" w:type="dxa"/>
            <w:shd w:val="clear" w:color="auto" w:fill="auto"/>
            <w:vAlign w:val="center"/>
          </w:tcPr>
          <w:p w14:paraId="1C6075C6" w14:textId="77777777" w:rsidR="00C110AE" w:rsidRDefault="00C110AE" w:rsidP="00C110AE">
            <w:pPr>
              <w:jc w:val="right"/>
              <w:rPr>
                <w:color w:val="000000"/>
                <w:sz w:val="16"/>
                <w:szCs w:val="16"/>
              </w:rPr>
            </w:pPr>
            <w:r>
              <w:rPr>
                <w:color w:val="000000"/>
                <w:sz w:val="16"/>
                <w:szCs w:val="16"/>
              </w:rPr>
              <w:t>(85.4, 96.2)</w:t>
            </w:r>
          </w:p>
        </w:tc>
      </w:tr>
      <w:tr w:rsidR="00C110AE" w:rsidRPr="007B4EF8" w14:paraId="5403C7FA" w14:textId="77777777" w:rsidTr="005E3FD2">
        <w:trPr>
          <w:jc w:val="center"/>
        </w:trPr>
        <w:tc>
          <w:tcPr>
            <w:tcW w:w="2127" w:type="dxa"/>
          </w:tcPr>
          <w:p w14:paraId="103E5ED9" w14:textId="77777777" w:rsidR="00C110AE" w:rsidRPr="00D317D8" w:rsidRDefault="00C110AE" w:rsidP="00C110AE">
            <w:pPr>
              <w:spacing w:before="20" w:after="40"/>
              <w:ind w:left="176"/>
              <w:rPr>
                <w:rFonts w:eastAsiaTheme="minorEastAsia"/>
                <w:sz w:val="18"/>
                <w:szCs w:val="18"/>
                <w:lang w:eastAsia="en-US"/>
              </w:rPr>
            </w:pPr>
          </w:p>
        </w:tc>
        <w:tc>
          <w:tcPr>
            <w:tcW w:w="2379" w:type="dxa"/>
          </w:tcPr>
          <w:p w14:paraId="43C96833" w14:textId="77777777" w:rsidR="00C110AE" w:rsidRPr="001B7431" w:rsidRDefault="00C110AE" w:rsidP="00C110AE">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vAlign w:val="center"/>
          </w:tcPr>
          <w:p w14:paraId="20AF3D4D" w14:textId="77777777" w:rsidR="00C110AE" w:rsidRDefault="00C110AE" w:rsidP="00C110AE">
            <w:pPr>
              <w:jc w:val="right"/>
              <w:rPr>
                <w:color w:val="000000"/>
                <w:sz w:val="16"/>
                <w:szCs w:val="16"/>
              </w:rPr>
            </w:pPr>
            <w:r>
              <w:rPr>
                <w:color w:val="000000"/>
                <w:sz w:val="16"/>
                <w:szCs w:val="16"/>
              </w:rPr>
              <w:t>24</w:t>
            </w:r>
          </w:p>
        </w:tc>
        <w:tc>
          <w:tcPr>
            <w:tcW w:w="496" w:type="dxa"/>
            <w:vAlign w:val="center"/>
          </w:tcPr>
          <w:p w14:paraId="7DCF8577" w14:textId="77777777" w:rsidR="00C110AE" w:rsidRDefault="00C110AE" w:rsidP="00C110AE">
            <w:pPr>
              <w:jc w:val="right"/>
              <w:rPr>
                <w:color w:val="000000"/>
                <w:sz w:val="16"/>
                <w:szCs w:val="16"/>
              </w:rPr>
            </w:pPr>
            <w:r>
              <w:rPr>
                <w:color w:val="000000"/>
                <w:sz w:val="16"/>
                <w:szCs w:val="16"/>
              </w:rPr>
              <w:t>3.4</w:t>
            </w:r>
          </w:p>
        </w:tc>
        <w:tc>
          <w:tcPr>
            <w:tcW w:w="1043" w:type="dxa"/>
            <w:tcBorders>
              <w:right w:val="single" w:sz="4" w:space="0" w:color="auto"/>
            </w:tcBorders>
            <w:vAlign w:val="center"/>
          </w:tcPr>
          <w:p w14:paraId="1D4025E9" w14:textId="77777777" w:rsidR="00C110AE" w:rsidRDefault="00C110AE" w:rsidP="00C110AE">
            <w:pPr>
              <w:jc w:val="right"/>
              <w:rPr>
                <w:color w:val="000000"/>
                <w:sz w:val="16"/>
                <w:szCs w:val="16"/>
              </w:rPr>
            </w:pPr>
            <w:r>
              <w:rPr>
                <w:color w:val="000000"/>
                <w:sz w:val="16"/>
                <w:szCs w:val="16"/>
              </w:rPr>
              <w:t>(1.5, 5.4)</w:t>
            </w:r>
          </w:p>
        </w:tc>
        <w:tc>
          <w:tcPr>
            <w:tcW w:w="569" w:type="dxa"/>
            <w:tcBorders>
              <w:left w:val="single" w:sz="4" w:space="0" w:color="auto"/>
            </w:tcBorders>
            <w:vAlign w:val="center"/>
          </w:tcPr>
          <w:p w14:paraId="40FB22E7" w14:textId="77777777" w:rsidR="00C110AE" w:rsidRDefault="00C110AE" w:rsidP="00C110AE">
            <w:pPr>
              <w:jc w:val="right"/>
              <w:rPr>
                <w:color w:val="000000"/>
                <w:sz w:val="16"/>
                <w:szCs w:val="16"/>
              </w:rPr>
            </w:pPr>
            <w:r>
              <w:rPr>
                <w:color w:val="000000"/>
                <w:sz w:val="16"/>
                <w:szCs w:val="16"/>
              </w:rPr>
              <w:t>22</w:t>
            </w:r>
          </w:p>
        </w:tc>
        <w:tc>
          <w:tcPr>
            <w:tcW w:w="567" w:type="dxa"/>
            <w:vAlign w:val="center"/>
          </w:tcPr>
          <w:p w14:paraId="7D76C7CA" w14:textId="77777777" w:rsidR="00C110AE" w:rsidRDefault="00C110AE" w:rsidP="00C110AE">
            <w:pPr>
              <w:jc w:val="right"/>
              <w:rPr>
                <w:color w:val="000000"/>
                <w:sz w:val="16"/>
                <w:szCs w:val="16"/>
              </w:rPr>
            </w:pPr>
            <w:r>
              <w:rPr>
                <w:color w:val="000000"/>
                <w:sz w:val="16"/>
                <w:szCs w:val="16"/>
              </w:rPr>
              <w:t>5.5</w:t>
            </w:r>
          </w:p>
        </w:tc>
        <w:tc>
          <w:tcPr>
            <w:tcW w:w="1123" w:type="dxa"/>
            <w:tcBorders>
              <w:right w:val="single" w:sz="4" w:space="0" w:color="auto"/>
            </w:tcBorders>
            <w:vAlign w:val="center"/>
          </w:tcPr>
          <w:p w14:paraId="50DB8259" w14:textId="77777777" w:rsidR="00C110AE" w:rsidRDefault="00C110AE" w:rsidP="00C110AE">
            <w:pPr>
              <w:jc w:val="right"/>
              <w:rPr>
                <w:color w:val="000000"/>
                <w:sz w:val="16"/>
                <w:szCs w:val="16"/>
              </w:rPr>
            </w:pPr>
            <w:r>
              <w:rPr>
                <w:color w:val="000000"/>
                <w:sz w:val="16"/>
                <w:szCs w:val="16"/>
              </w:rPr>
              <w:t>(3.0, 7.9)</w:t>
            </w:r>
          </w:p>
        </w:tc>
        <w:tc>
          <w:tcPr>
            <w:tcW w:w="536" w:type="dxa"/>
            <w:tcBorders>
              <w:left w:val="single" w:sz="4" w:space="0" w:color="auto"/>
            </w:tcBorders>
            <w:vAlign w:val="center"/>
          </w:tcPr>
          <w:p w14:paraId="102474D0" w14:textId="77777777" w:rsidR="00C110AE" w:rsidRDefault="00C110AE" w:rsidP="00C110AE">
            <w:pPr>
              <w:jc w:val="right"/>
              <w:rPr>
                <w:color w:val="000000"/>
                <w:sz w:val="16"/>
                <w:szCs w:val="16"/>
              </w:rPr>
            </w:pPr>
            <w:r>
              <w:rPr>
                <w:color w:val="000000"/>
                <w:sz w:val="16"/>
                <w:szCs w:val="16"/>
              </w:rPr>
              <w:t>23</w:t>
            </w:r>
          </w:p>
        </w:tc>
        <w:tc>
          <w:tcPr>
            <w:tcW w:w="576" w:type="dxa"/>
            <w:vAlign w:val="center"/>
          </w:tcPr>
          <w:p w14:paraId="61A2194A" w14:textId="77777777" w:rsidR="00C110AE" w:rsidRDefault="00C110AE" w:rsidP="00C110AE">
            <w:pPr>
              <w:jc w:val="right"/>
              <w:rPr>
                <w:color w:val="000000"/>
                <w:sz w:val="16"/>
                <w:szCs w:val="16"/>
              </w:rPr>
            </w:pPr>
            <w:r>
              <w:rPr>
                <w:color w:val="000000"/>
                <w:sz w:val="16"/>
                <w:szCs w:val="16"/>
              </w:rPr>
              <w:t>6.6</w:t>
            </w:r>
          </w:p>
        </w:tc>
        <w:tc>
          <w:tcPr>
            <w:tcW w:w="1123" w:type="dxa"/>
            <w:tcBorders>
              <w:right w:val="single" w:sz="4" w:space="0" w:color="auto"/>
            </w:tcBorders>
            <w:vAlign w:val="center"/>
          </w:tcPr>
          <w:p w14:paraId="22B121E6" w14:textId="77777777" w:rsidR="00C110AE" w:rsidRDefault="00C110AE" w:rsidP="00C110AE">
            <w:pPr>
              <w:jc w:val="right"/>
              <w:rPr>
                <w:color w:val="000000"/>
                <w:sz w:val="16"/>
                <w:szCs w:val="16"/>
              </w:rPr>
            </w:pPr>
            <w:r>
              <w:rPr>
                <w:color w:val="000000"/>
                <w:sz w:val="16"/>
                <w:szCs w:val="16"/>
              </w:rPr>
              <w:t>(3.7, 9.4)</w:t>
            </w:r>
          </w:p>
        </w:tc>
        <w:tc>
          <w:tcPr>
            <w:tcW w:w="536" w:type="dxa"/>
            <w:tcBorders>
              <w:left w:val="single" w:sz="4" w:space="0" w:color="auto"/>
            </w:tcBorders>
            <w:vAlign w:val="center"/>
          </w:tcPr>
          <w:p w14:paraId="006E2B42" w14:textId="77777777" w:rsidR="00C110AE" w:rsidRDefault="00C110AE" w:rsidP="00C110AE">
            <w:pPr>
              <w:jc w:val="right"/>
              <w:rPr>
                <w:color w:val="000000"/>
                <w:sz w:val="16"/>
                <w:szCs w:val="16"/>
              </w:rPr>
            </w:pPr>
            <w:r>
              <w:rPr>
                <w:color w:val="000000"/>
                <w:sz w:val="16"/>
                <w:szCs w:val="16"/>
              </w:rPr>
              <w:t>17</w:t>
            </w:r>
          </w:p>
        </w:tc>
        <w:tc>
          <w:tcPr>
            <w:tcW w:w="567" w:type="dxa"/>
            <w:vAlign w:val="center"/>
          </w:tcPr>
          <w:p w14:paraId="1D7E2705" w14:textId="77777777" w:rsidR="00C110AE" w:rsidRDefault="00C110AE" w:rsidP="00C110AE">
            <w:pPr>
              <w:jc w:val="right"/>
              <w:rPr>
                <w:color w:val="000000"/>
                <w:sz w:val="16"/>
                <w:szCs w:val="16"/>
              </w:rPr>
            </w:pPr>
            <w:r>
              <w:rPr>
                <w:color w:val="000000"/>
                <w:sz w:val="16"/>
                <w:szCs w:val="16"/>
              </w:rPr>
              <w:t>5.9</w:t>
            </w:r>
          </w:p>
        </w:tc>
        <w:tc>
          <w:tcPr>
            <w:tcW w:w="1123" w:type="dxa"/>
            <w:vAlign w:val="center"/>
          </w:tcPr>
          <w:p w14:paraId="0BABAC75" w14:textId="77777777" w:rsidR="00C110AE" w:rsidRDefault="00C110AE" w:rsidP="00C110AE">
            <w:pPr>
              <w:jc w:val="right"/>
              <w:rPr>
                <w:color w:val="000000"/>
                <w:sz w:val="16"/>
                <w:szCs w:val="16"/>
              </w:rPr>
            </w:pPr>
            <w:r>
              <w:rPr>
                <w:color w:val="000000"/>
                <w:sz w:val="16"/>
                <w:szCs w:val="16"/>
              </w:rPr>
              <w:t>(2.8, 8.9)</w:t>
            </w:r>
          </w:p>
        </w:tc>
      </w:tr>
      <w:tr w:rsidR="00C110AE" w:rsidRPr="007B4EF8" w14:paraId="42FAA81C" w14:textId="77777777" w:rsidTr="005E3FD2">
        <w:trPr>
          <w:jc w:val="center"/>
        </w:trPr>
        <w:tc>
          <w:tcPr>
            <w:tcW w:w="2127" w:type="dxa"/>
          </w:tcPr>
          <w:p w14:paraId="301B9E3F" w14:textId="77777777" w:rsidR="00C110AE" w:rsidRPr="00D317D8" w:rsidRDefault="00C110AE" w:rsidP="00C110AE">
            <w:pPr>
              <w:spacing w:before="20" w:after="20"/>
              <w:rPr>
                <w:rFonts w:eastAsiaTheme="minorEastAsia"/>
                <w:sz w:val="18"/>
                <w:szCs w:val="18"/>
                <w:lang w:eastAsia="en-US"/>
              </w:rPr>
            </w:pPr>
          </w:p>
        </w:tc>
        <w:tc>
          <w:tcPr>
            <w:tcW w:w="2379" w:type="dxa"/>
          </w:tcPr>
          <w:p w14:paraId="2E929F92" w14:textId="77777777" w:rsidR="00C110AE" w:rsidRPr="001B7431" w:rsidRDefault="00C110AE" w:rsidP="00C110AE">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vAlign w:val="center"/>
          </w:tcPr>
          <w:p w14:paraId="4A005EDC" w14:textId="77777777" w:rsidR="00C110AE" w:rsidRDefault="00C110AE" w:rsidP="00C110AE">
            <w:pPr>
              <w:jc w:val="right"/>
              <w:rPr>
                <w:color w:val="000000"/>
                <w:sz w:val="16"/>
                <w:szCs w:val="16"/>
              </w:rPr>
            </w:pPr>
            <w:r>
              <w:rPr>
                <w:color w:val="000000"/>
                <w:sz w:val="16"/>
                <w:szCs w:val="16"/>
              </w:rPr>
              <w:t>6</w:t>
            </w:r>
          </w:p>
        </w:tc>
        <w:tc>
          <w:tcPr>
            <w:tcW w:w="496" w:type="dxa"/>
            <w:vAlign w:val="center"/>
          </w:tcPr>
          <w:p w14:paraId="0B43E7F4" w14:textId="77777777" w:rsidR="00C110AE" w:rsidRDefault="00C110AE" w:rsidP="00C110AE">
            <w:pPr>
              <w:jc w:val="right"/>
              <w:rPr>
                <w:color w:val="000000"/>
                <w:sz w:val="16"/>
                <w:szCs w:val="16"/>
              </w:rPr>
            </w:pPr>
            <w:r>
              <w:rPr>
                <w:color w:val="000000"/>
                <w:sz w:val="16"/>
                <w:szCs w:val="16"/>
              </w:rPr>
              <w:t>0.8</w:t>
            </w:r>
          </w:p>
        </w:tc>
        <w:tc>
          <w:tcPr>
            <w:tcW w:w="1043" w:type="dxa"/>
            <w:tcBorders>
              <w:right w:val="single" w:sz="4" w:space="0" w:color="auto"/>
            </w:tcBorders>
            <w:vAlign w:val="center"/>
          </w:tcPr>
          <w:p w14:paraId="472640CD" w14:textId="77777777" w:rsidR="00C110AE" w:rsidRDefault="00C110AE" w:rsidP="00C110AE">
            <w:pPr>
              <w:jc w:val="right"/>
              <w:rPr>
                <w:color w:val="000000"/>
                <w:sz w:val="16"/>
                <w:szCs w:val="16"/>
              </w:rPr>
            </w:pPr>
            <w:r>
              <w:rPr>
                <w:color w:val="000000"/>
                <w:sz w:val="16"/>
                <w:szCs w:val="16"/>
              </w:rPr>
              <w:t>(0.2, 1.5)</w:t>
            </w:r>
          </w:p>
        </w:tc>
        <w:tc>
          <w:tcPr>
            <w:tcW w:w="569" w:type="dxa"/>
            <w:tcBorders>
              <w:left w:val="single" w:sz="4" w:space="0" w:color="auto"/>
            </w:tcBorders>
            <w:vAlign w:val="center"/>
          </w:tcPr>
          <w:p w14:paraId="2190C50D" w14:textId="77777777" w:rsidR="00C110AE" w:rsidRDefault="00C110AE" w:rsidP="00C110AE">
            <w:pPr>
              <w:jc w:val="right"/>
              <w:rPr>
                <w:color w:val="000000"/>
                <w:sz w:val="16"/>
                <w:szCs w:val="16"/>
              </w:rPr>
            </w:pPr>
            <w:r>
              <w:rPr>
                <w:color w:val="000000"/>
                <w:sz w:val="16"/>
                <w:szCs w:val="16"/>
              </w:rPr>
              <w:t>6</w:t>
            </w:r>
          </w:p>
        </w:tc>
        <w:tc>
          <w:tcPr>
            <w:tcW w:w="567" w:type="dxa"/>
            <w:vAlign w:val="center"/>
          </w:tcPr>
          <w:p w14:paraId="49E44FA0" w14:textId="77777777" w:rsidR="00C110AE" w:rsidRDefault="00C110AE" w:rsidP="00C110AE">
            <w:pPr>
              <w:jc w:val="right"/>
              <w:rPr>
                <w:color w:val="000000"/>
                <w:sz w:val="16"/>
                <w:szCs w:val="16"/>
              </w:rPr>
            </w:pPr>
            <w:r>
              <w:rPr>
                <w:color w:val="000000"/>
                <w:sz w:val="16"/>
                <w:szCs w:val="16"/>
              </w:rPr>
              <w:t>1.5</w:t>
            </w:r>
          </w:p>
        </w:tc>
        <w:tc>
          <w:tcPr>
            <w:tcW w:w="1123" w:type="dxa"/>
            <w:tcBorders>
              <w:right w:val="single" w:sz="4" w:space="0" w:color="auto"/>
            </w:tcBorders>
            <w:vAlign w:val="center"/>
          </w:tcPr>
          <w:p w14:paraId="56CF870A" w14:textId="77777777" w:rsidR="00C110AE" w:rsidRDefault="00C110AE" w:rsidP="00C110AE">
            <w:pPr>
              <w:jc w:val="right"/>
              <w:rPr>
                <w:color w:val="000000"/>
                <w:sz w:val="16"/>
                <w:szCs w:val="16"/>
              </w:rPr>
            </w:pPr>
            <w:r>
              <w:rPr>
                <w:color w:val="000000"/>
                <w:sz w:val="16"/>
                <w:szCs w:val="16"/>
              </w:rPr>
              <w:t>(0.2, 2.8)</w:t>
            </w:r>
          </w:p>
        </w:tc>
        <w:tc>
          <w:tcPr>
            <w:tcW w:w="536" w:type="dxa"/>
            <w:tcBorders>
              <w:left w:val="single" w:sz="4" w:space="0" w:color="auto"/>
            </w:tcBorders>
            <w:vAlign w:val="center"/>
          </w:tcPr>
          <w:p w14:paraId="727C6345" w14:textId="77777777" w:rsidR="00C110AE" w:rsidRDefault="00C110AE" w:rsidP="00C110AE">
            <w:pPr>
              <w:jc w:val="right"/>
              <w:rPr>
                <w:color w:val="000000"/>
                <w:sz w:val="16"/>
                <w:szCs w:val="16"/>
              </w:rPr>
            </w:pPr>
            <w:r>
              <w:rPr>
                <w:color w:val="000000"/>
                <w:sz w:val="16"/>
                <w:szCs w:val="16"/>
              </w:rPr>
              <w:t>4</w:t>
            </w:r>
          </w:p>
        </w:tc>
        <w:tc>
          <w:tcPr>
            <w:tcW w:w="576" w:type="dxa"/>
            <w:vAlign w:val="center"/>
          </w:tcPr>
          <w:p w14:paraId="28F949B3" w14:textId="77777777" w:rsidR="00C110AE" w:rsidRDefault="00C110AE" w:rsidP="00C110AE">
            <w:pPr>
              <w:jc w:val="right"/>
              <w:rPr>
                <w:color w:val="000000"/>
                <w:sz w:val="16"/>
                <w:szCs w:val="16"/>
              </w:rPr>
            </w:pPr>
            <w:r>
              <w:rPr>
                <w:color w:val="000000"/>
                <w:sz w:val="16"/>
                <w:szCs w:val="16"/>
              </w:rPr>
              <w:t>1.1</w:t>
            </w:r>
          </w:p>
        </w:tc>
        <w:tc>
          <w:tcPr>
            <w:tcW w:w="1123" w:type="dxa"/>
            <w:tcBorders>
              <w:right w:val="single" w:sz="4" w:space="0" w:color="auto"/>
            </w:tcBorders>
            <w:vAlign w:val="center"/>
          </w:tcPr>
          <w:p w14:paraId="7E8D26C6" w14:textId="77777777" w:rsidR="00C110AE" w:rsidRDefault="00C110AE" w:rsidP="00C110AE">
            <w:pPr>
              <w:jc w:val="right"/>
              <w:rPr>
                <w:color w:val="000000"/>
                <w:sz w:val="16"/>
                <w:szCs w:val="16"/>
              </w:rPr>
            </w:pPr>
            <w:r>
              <w:rPr>
                <w:color w:val="000000"/>
                <w:sz w:val="16"/>
                <w:szCs w:val="16"/>
              </w:rPr>
              <w:t>(0.2, 2.1)</w:t>
            </w:r>
          </w:p>
        </w:tc>
        <w:tc>
          <w:tcPr>
            <w:tcW w:w="536" w:type="dxa"/>
            <w:tcBorders>
              <w:left w:val="single" w:sz="4" w:space="0" w:color="auto"/>
            </w:tcBorders>
            <w:vAlign w:val="center"/>
          </w:tcPr>
          <w:p w14:paraId="08157677" w14:textId="77777777" w:rsidR="00C110AE" w:rsidRDefault="00C110AE" w:rsidP="00C110AE">
            <w:pPr>
              <w:jc w:val="right"/>
              <w:rPr>
                <w:color w:val="000000"/>
                <w:sz w:val="16"/>
                <w:szCs w:val="16"/>
              </w:rPr>
            </w:pPr>
            <w:r>
              <w:rPr>
                <w:color w:val="000000"/>
                <w:sz w:val="16"/>
                <w:szCs w:val="16"/>
              </w:rPr>
              <w:t>10</w:t>
            </w:r>
          </w:p>
        </w:tc>
        <w:tc>
          <w:tcPr>
            <w:tcW w:w="567" w:type="dxa"/>
            <w:vAlign w:val="center"/>
          </w:tcPr>
          <w:p w14:paraId="3A6E6283" w14:textId="77777777" w:rsidR="00C110AE" w:rsidRDefault="00C110AE" w:rsidP="00C110AE">
            <w:pPr>
              <w:jc w:val="right"/>
              <w:rPr>
                <w:color w:val="000000"/>
                <w:sz w:val="16"/>
                <w:szCs w:val="16"/>
              </w:rPr>
            </w:pPr>
            <w:r>
              <w:rPr>
                <w:color w:val="000000"/>
                <w:sz w:val="16"/>
                <w:szCs w:val="16"/>
              </w:rPr>
              <w:t>3.3</w:t>
            </w:r>
          </w:p>
        </w:tc>
        <w:tc>
          <w:tcPr>
            <w:tcW w:w="1123" w:type="dxa"/>
            <w:vAlign w:val="center"/>
          </w:tcPr>
          <w:p w14:paraId="37C606AB" w14:textId="77777777" w:rsidR="00C110AE" w:rsidRDefault="00C110AE" w:rsidP="00C110AE">
            <w:pPr>
              <w:jc w:val="right"/>
              <w:rPr>
                <w:color w:val="000000"/>
                <w:sz w:val="16"/>
                <w:szCs w:val="16"/>
              </w:rPr>
            </w:pPr>
            <w:r>
              <w:rPr>
                <w:color w:val="000000"/>
                <w:sz w:val="16"/>
                <w:szCs w:val="16"/>
              </w:rPr>
              <w:t>(0.0, 8.1)</w:t>
            </w:r>
          </w:p>
        </w:tc>
      </w:tr>
      <w:tr w:rsidR="00C110AE" w:rsidRPr="007B4EF8" w14:paraId="1FF18855" w14:textId="77777777" w:rsidTr="005E3FD2">
        <w:trPr>
          <w:jc w:val="center"/>
        </w:trPr>
        <w:tc>
          <w:tcPr>
            <w:tcW w:w="2127" w:type="dxa"/>
          </w:tcPr>
          <w:p w14:paraId="251019C8" w14:textId="77777777" w:rsidR="00C110AE" w:rsidRPr="00D317D8" w:rsidRDefault="00C110AE" w:rsidP="0050574B">
            <w:pPr>
              <w:keepNext/>
              <w:tabs>
                <w:tab w:val="left" w:pos="205"/>
              </w:tabs>
              <w:spacing w:before="20" w:after="20"/>
              <w:rPr>
                <w:rFonts w:eastAsiaTheme="minorEastAsia"/>
                <w:sz w:val="18"/>
                <w:szCs w:val="18"/>
                <w:lang w:eastAsia="en-US"/>
              </w:rPr>
            </w:pPr>
            <w:r>
              <w:rPr>
                <w:rFonts w:eastAsiaTheme="minorEastAsia"/>
                <w:sz w:val="18"/>
                <w:szCs w:val="18"/>
                <w:lang w:eastAsia="en-US"/>
              </w:rPr>
              <w:t>$51 - $100</w:t>
            </w:r>
          </w:p>
        </w:tc>
        <w:tc>
          <w:tcPr>
            <w:tcW w:w="2379" w:type="dxa"/>
          </w:tcPr>
          <w:p w14:paraId="75B9DECD" w14:textId="77777777" w:rsidR="00C110AE" w:rsidRPr="001B7431" w:rsidRDefault="00C110AE" w:rsidP="0050574B">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vAlign w:val="center"/>
          </w:tcPr>
          <w:p w14:paraId="76A553CF" w14:textId="77777777" w:rsidR="00C110AE" w:rsidRDefault="00C110AE" w:rsidP="0050574B">
            <w:pPr>
              <w:keepNext/>
              <w:jc w:val="right"/>
              <w:rPr>
                <w:color w:val="000000"/>
                <w:sz w:val="16"/>
                <w:szCs w:val="16"/>
              </w:rPr>
            </w:pPr>
            <w:r>
              <w:rPr>
                <w:color w:val="000000"/>
                <w:sz w:val="16"/>
                <w:szCs w:val="16"/>
              </w:rPr>
              <w:t>716</w:t>
            </w:r>
          </w:p>
        </w:tc>
        <w:tc>
          <w:tcPr>
            <w:tcW w:w="496" w:type="dxa"/>
            <w:vAlign w:val="center"/>
          </w:tcPr>
          <w:p w14:paraId="3F8D176C" w14:textId="77777777" w:rsidR="00C110AE" w:rsidRDefault="00C110AE" w:rsidP="0050574B">
            <w:pPr>
              <w:keepNext/>
              <w:jc w:val="right"/>
              <w:rPr>
                <w:color w:val="000000"/>
                <w:sz w:val="16"/>
                <w:szCs w:val="16"/>
              </w:rPr>
            </w:pPr>
            <w:r>
              <w:rPr>
                <w:color w:val="000000"/>
                <w:sz w:val="16"/>
                <w:szCs w:val="16"/>
              </w:rPr>
              <w:t>89.7</w:t>
            </w:r>
          </w:p>
        </w:tc>
        <w:tc>
          <w:tcPr>
            <w:tcW w:w="1043" w:type="dxa"/>
            <w:tcBorders>
              <w:right w:val="single" w:sz="4" w:space="0" w:color="auto"/>
            </w:tcBorders>
            <w:vAlign w:val="center"/>
          </w:tcPr>
          <w:p w14:paraId="22C86161" w14:textId="77777777" w:rsidR="00C110AE" w:rsidRDefault="00C110AE" w:rsidP="0050574B">
            <w:pPr>
              <w:keepNext/>
              <w:jc w:val="right"/>
              <w:rPr>
                <w:color w:val="000000"/>
                <w:sz w:val="16"/>
                <w:szCs w:val="16"/>
              </w:rPr>
            </w:pPr>
            <w:r>
              <w:rPr>
                <w:color w:val="000000"/>
                <w:sz w:val="16"/>
                <w:szCs w:val="16"/>
              </w:rPr>
              <w:t>(87.2, 92.3)</w:t>
            </w:r>
          </w:p>
        </w:tc>
        <w:tc>
          <w:tcPr>
            <w:tcW w:w="569" w:type="dxa"/>
            <w:tcBorders>
              <w:left w:val="single" w:sz="4" w:space="0" w:color="auto"/>
            </w:tcBorders>
            <w:vAlign w:val="center"/>
          </w:tcPr>
          <w:p w14:paraId="7C4C833A" w14:textId="77777777" w:rsidR="00C110AE" w:rsidRDefault="00C110AE" w:rsidP="0050574B">
            <w:pPr>
              <w:keepNext/>
              <w:jc w:val="right"/>
              <w:rPr>
                <w:color w:val="000000"/>
                <w:sz w:val="16"/>
                <w:szCs w:val="16"/>
              </w:rPr>
            </w:pPr>
            <w:r>
              <w:rPr>
                <w:color w:val="000000"/>
                <w:sz w:val="16"/>
                <w:szCs w:val="16"/>
              </w:rPr>
              <w:t>410</w:t>
            </w:r>
          </w:p>
        </w:tc>
        <w:tc>
          <w:tcPr>
            <w:tcW w:w="567" w:type="dxa"/>
            <w:vAlign w:val="center"/>
          </w:tcPr>
          <w:p w14:paraId="1E5342BB" w14:textId="77777777" w:rsidR="00C110AE" w:rsidRDefault="00C110AE" w:rsidP="0050574B">
            <w:pPr>
              <w:keepNext/>
              <w:jc w:val="right"/>
              <w:rPr>
                <w:color w:val="000000"/>
                <w:sz w:val="16"/>
                <w:szCs w:val="16"/>
              </w:rPr>
            </w:pPr>
            <w:r>
              <w:rPr>
                <w:color w:val="000000"/>
                <w:sz w:val="16"/>
                <w:szCs w:val="16"/>
              </w:rPr>
              <w:t>86.7</w:t>
            </w:r>
          </w:p>
        </w:tc>
        <w:tc>
          <w:tcPr>
            <w:tcW w:w="1123" w:type="dxa"/>
            <w:tcBorders>
              <w:right w:val="single" w:sz="4" w:space="0" w:color="auto"/>
            </w:tcBorders>
            <w:vAlign w:val="center"/>
          </w:tcPr>
          <w:p w14:paraId="7B33C0BE" w14:textId="77777777" w:rsidR="00C110AE" w:rsidRDefault="00C110AE" w:rsidP="0050574B">
            <w:pPr>
              <w:keepNext/>
              <w:jc w:val="right"/>
              <w:rPr>
                <w:color w:val="000000"/>
                <w:sz w:val="16"/>
                <w:szCs w:val="16"/>
              </w:rPr>
            </w:pPr>
            <w:r>
              <w:rPr>
                <w:color w:val="000000"/>
                <w:sz w:val="16"/>
                <w:szCs w:val="16"/>
              </w:rPr>
              <w:t>(83.2, 90.3)</w:t>
            </w:r>
          </w:p>
        </w:tc>
        <w:tc>
          <w:tcPr>
            <w:tcW w:w="536" w:type="dxa"/>
            <w:tcBorders>
              <w:left w:val="single" w:sz="4" w:space="0" w:color="auto"/>
            </w:tcBorders>
            <w:vAlign w:val="center"/>
          </w:tcPr>
          <w:p w14:paraId="0B763DCD" w14:textId="77777777" w:rsidR="00C110AE" w:rsidRDefault="00C110AE" w:rsidP="0050574B">
            <w:pPr>
              <w:keepNext/>
              <w:jc w:val="right"/>
              <w:rPr>
                <w:color w:val="000000"/>
                <w:sz w:val="16"/>
                <w:szCs w:val="16"/>
              </w:rPr>
            </w:pPr>
            <w:r>
              <w:rPr>
                <w:color w:val="000000"/>
                <w:sz w:val="16"/>
                <w:szCs w:val="16"/>
              </w:rPr>
              <w:t>341</w:t>
            </w:r>
          </w:p>
        </w:tc>
        <w:tc>
          <w:tcPr>
            <w:tcW w:w="576" w:type="dxa"/>
            <w:vAlign w:val="center"/>
          </w:tcPr>
          <w:p w14:paraId="522D8FDA" w14:textId="77777777" w:rsidR="00C110AE" w:rsidRDefault="00C110AE" w:rsidP="0050574B">
            <w:pPr>
              <w:keepNext/>
              <w:jc w:val="right"/>
              <w:rPr>
                <w:color w:val="000000"/>
                <w:sz w:val="16"/>
                <w:szCs w:val="16"/>
              </w:rPr>
            </w:pPr>
            <w:r>
              <w:rPr>
                <w:color w:val="000000"/>
                <w:sz w:val="16"/>
                <w:szCs w:val="16"/>
              </w:rPr>
              <w:t>87.2</w:t>
            </w:r>
          </w:p>
        </w:tc>
        <w:tc>
          <w:tcPr>
            <w:tcW w:w="1123" w:type="dxa"/>
            <w:tcBorders>
              <w:right w:val="single" w:sz="4" w:space="0" w:color="auto"/>
            </w:tcBorders>
            <w:vAlign w:val="center"/>
          </w:tcPr>
          <w:p w14:paraId="38F488BE" w14:textId="77777777" w:rsidR="00C110AE" w:rsidRDefault="00C110AE" w:rsidP="0050574B">
            <w:pPr>
              <w:keepNext/>
              <w:jc w:val="right"/>
              <w:rPr>
                <w:color w:val="000000"/>
                <w:sz w:val="16"/>
                <w:szCs w:val="16"/>
              </w:rPr>
            </w:pPr>
            <w:r>
              <w:rPr>
                <w:color w:val="000000"/>
                <w:sz w:val="16"/>
                <w:szCs w:val="16"/>
              </w:rPr>
              <w:t>(83.2, 91.2)</w:t>
            </w:r>
          </w:p>
        </w:tc>
        <w:tc>
          <w:tcPr>
            <w:tcW w:w="536" w:type="dxa"/>
            <w:tcBorders>
              <w:left w:val="single" w:sz="4" w:space="0" w:color="auto"/>
            </w:tcBorders>
            <w:vAlign w:val="center"/>
          </w:tcPr>
          <w:p w14:paraId="182EC61B" w14:textId="77777777" w:rsidR="00C110AE" w:rsidRDefault="00C110AE" w:rsidP="0050574B">
            <w:pPr>
              <w:keepNext/>
              <w:jc w:val="right"/>
              <w:rPr>
                <w:color w:val="000000"/>
                <w:sz w:val="16"/>
                <w:szCs w:val="16"/>
              </w:rPr>
            </w:pPr>
            <w:r>
              <w:rPr>
                <w:color w:val="000000"/>
                <w:sz w:val="16"/>
                <w:szCs w:val="16"/>
              </w:rPr>
              <w:t>318</w:t>
            </w:r>
          </w:p>
        </w:tc>
        <w:tc>
          <w:tcPr>
            <w:tcW w:w="567" w:type="dxa"/>
            <w:vAlign w:val="center"/>
          </w:tcPr>
          <w:p w14:paraId="5572AE8F" w14:textId="77777777" w:rsidR="00C110AE" w:rsidRDefault="00C110AE" w:rsidP="0050574B">
            <w:pPr>
              <w:keepNext/>
              <w:jc w:val="right"/>
              <w:rPr>
                <w:color w:val="000000"/>
                <w:sz w:val="16"/>
                <w:szCs w:val="16"/>
              </w:rPr>
            </w:pPr>
            <w:r>
              <w:rPr>
                <w:color w:val="000000"/>
                <w:sz w:val="16"/>
                <w:szCs w:val="16"/>
              </w:rPr>
              <w:t>90.5</w:t>
            </w:r>
          </w:p>
        </w:tc>
        <w:tc>
          <w:tcPr>
            <w:tcW w:w="1123" w:type="dxa"/>
            <w:vAlign w:val="center"/>
          </w:tcPr>
          <w:p w14:paraId="2B9F78FF" w14:textId="77777777" w:rsidR="00C110AE" w:rsidRDefault="00C110AE" w:rsidP="0050574B">
            <w:pPr>
              <w:keepNext/>
              <w:jc w:val="right"/>
              <w:rPr>
                <w:color w:val="000000"/>
                <w:sz w:val="16"/>
                <w:szCs w:val="16"/>
              </w:rPr>
            </w:pPr>
            <w:r>
              <w:rPr>
                <w:color w:val="000000"/>
                <w:sz w:val="16"/>
                <w:szCs w:val="16"/>
              </w:rPr>
              <w:t>(86.5, 94.5)</w:t>
            </w:r>
          </w:p>
        </w:tc>
      </w:tr>
      <w:tr w:rsidR="00C110AE" w:rsidRPr="007B4EF8" w14:paraId="26F4447B" w14:textId="77777777" w:rsidTr="005E3FD2">
        <w:trPr>
          <w:jc w:val="center"/>
        </w:trPr>
        <w:tc>
          <w:tcPr>
            <w:tcW w:w="2127" w:type="dxa"/>
            <w:shd w:val="clear" w:color="auto" w:fill="auto"/>
          </w:tcPr>
          <w:p w14:paraId="1007F97A" w14:textId="77777777" w:rsidR="00C110AE" w:rsidRPr="00D317D8" w:rsidRDefault="00C110AE" w:rsidP="0050574B">
            <w:pPr>
              <w:keepNext/>
              <w:tabs>
                <w:tab w:val="left" w:pos="205"/>
              </w:tabs>
              <w:spacing w:before="20" w:after="20"/>
              <w:rPr>
                <w:rFonts w:eastAsiaTheme="minorEastAsia"/>
                <w:sz w:val="18"/>
                <w:szCs w:val="18"/>
                <w:lang w:eastAsia="en-US"/>
              </w:rPr>
            </w:pPr>
          </w:p>
        </w:tc>
        <w:tc>
          <w:tcPr>
            <w:tcW w:w="2379" w:type="dxa"/>
            <w:shd w:val="clear" w:color="auto" w:fill="auto"/>
          </w:tcPr>
          <w:p w14:paraId="1CFA7392" w14:textId="77777777" w:rsidR="00C110AE" w:rsidRPr="001B7431" w:rsidRDefault="00C110AE" w:rsidP="0050574B">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shd w:val="clear" w:color="auto" w:fill="auto"/>
            <w:vAlign w:val="center"/>
          </w:tcPr>
          <w:p w14:paraId="4F306EFF" w14:textId="77777777" w:rsidR="00C110AE" w:rsidRDefault="00C110AE" w:rsidP="0050574B">
            <w:pPr>
              <w:keepNext/>
              <w:jc w:val="right"/>
              <w:rPr>
                <w:color w:val="000000"/>
                <w:sz w:val="16"/>
                <w:szCs w:val="16"/>
              </w:rPr>
            </w:pPr>
            <w:r>
              <w:rPr>
                <w:color w:val="000000"/>
                <w:sz w:val="16"/>
                <w:szCs w:val="16"/>
              </w:rPr>
              <w:t>56</w:t>
            </w:r>
          </w:p>
        </w:tc>
        <w:tc>
          <w:tcPr>
            <w:tcW w:w="496" w:type="dxa"/>
            <w:shd w:val="clear" w:color="auto" w:fill="auto"/>
            <w:vAlign w:val="center"/>
          </w:tcPr>
          <w:p w14:paraId="101F0701" w14:textId="77777777" w:rsidR="00C110AE" w:rsidRDefault="00C110AE" w:rsidP="0050574B">
            <w:pPr>
              <w:keepNext/>
              <w:jc w:val="right"/>
              <w:rPr>
                <w:color w:val="000000"/>
                <w:sz w:val="16"/>
                <w:szCs w:val="16"/>
              </w:rPr>
            </w:pPr>
            <w:r>
              <w:rPr>
                <w:color w:val="000000"/>
                <w:sz w:val="16"/>
                <w:szCs w:val="16"/>
              </w:rPr>
              <w:t>7.0</w:t>
            </w:r>
          </w:p>
        </w:tc>
        <w:tc>
          <w:tcPr>
            <w:tcW w:w="1043" w:type="dxa"/>
            <w:tcBorders>
              <w:right w:val="single" w:sz="4" w:space="0" w:color="auto"/>
            </w:tcBorders>
            <w:shd w:val="clear" w:color="auto" w:fill="auto"/>
            <w:vAlign w:val="center"/>
          </w:tcPr>
          <w:p w14:paraId="115C6717" w14:textId="77777777" w:rsidR="00C110AE" w:rsidRDefault="00C110AE" w:rsidP="0050574B">
            <w:pPr>
              <w:keepNext/>
              <w:jc w:val="right"/>
              <w:rPr>
                <w:color w:val="000000"/>
                <w:sz w:val="16"/>
                <w:szCs w:val="16"/>
              </w:rPr>
            </w:pPr>
            <w:r>
              <w:rPr>
                <w:color w:val="000000"/>
                <w:sz w:val="16"/>
                <w:szCs w:val="16"/>
              </w:rPr>
              <w:t>(5.0, 9.0)</w:t>
            </w:r>
          </w:p>
        </w:tc>
        <w:tc>
          <w:tcPr>
            <w:tcW w:w="569" w:type="dxa"/>
            <w:tcBorders>
              <w:left w:val="single" w:sz="4" w:space="0" w:color="auto"/>
            </w:tcBorders>
            <w:shd w:val="clear" w:color="auto" w:fill="auto"/>
            <w:vAlign w:val="center"/>
          </w:tcPr>
          <w:p w14:paraId="20EB99E6" w14:textId="77777777" w:rsidR="00C110AE" w:rsidRDefault="00C110AE" w:rsidP="0050574B">
            <w:pPr>
              <w:keepNext/>
              <w:jc w:val="right"/>
              <w:rPr>
                <w:color w:val="000000"/>
                <w:sz w:val="16"/>
                <w:szCs w:val="16"/>
              </w:rPr>
            </w:pPr>
            <w:r>
              <w:rPr>
                <w:color w:val="000000"/>
                <w:sz w:val="16"/>
                <w:szCs w:val="16"/>
              </w:rPr>
              <w:t>54</w:t>
            </w:r>
          </w:p>
        </w:tc>
        <w:tc>
          <w:tcPr>
            <w:tcW w:w="567" w:type="dxa"/>
            <w:shd w:val="clear" w:color="auto" w:fill="auto"/>
            <w:vAlign w:val="center"/>
          </w:tcPr>
          <w:p w14:paraId="097BDD68" w14:textId="77777777" w:rsidR="00C110AE" w:rsidRDefault="00C110AE" w:rsidP="0050574B">
            <w:pPr>
              <w:keepNext/>
              <w:jc w:val="right"/>
              <w:rPr>
                <w:color w:val="000000"/>
                <w:sz w:val="16"/>
                <w:szCs w:val="16"/>
              </w:rPr>
            </w:pPr>
            <w:r>
              <w:rPr>
                <w:color w:val="000000"/>
                <w:sz w:val="16"/>
                <w:szCs w:val="16"/>
              </w:rPr>
              <w:t>11.4</w:t>
            </w:r>
          </w:p>
        </w:tc>
        <w:tc>
          <w:tcPr>
            <w:tcW w:w="1123" w:type="dxa"/>
            <w:tcBorders>
              <w:right w:val="single" w:sz="4" w:space="0" w:color="auto"/>
            </w:tcBorders>
            <w:shd w:val="clear" w:color="auto" w:fill="auto"/>
            <w:vAlign w:val="center"/>
          </w:tcPr>
          <w:p w14:paraId="6FE991E1" w14:textId="77777777" w:rsidR="00C110AE" w:rsidRDefault="00C110AE" w:rsidP="0050574B">
            <w:pPr>
              <w:keepNext/>
              <w:jc w:val="right"/>
              <w:rPr>
                <w:color w:val="000000"/>
                <w:sz w:val="16"/>
                <w:szCs w:val="16"/>
              </w:rPr>
            </w:pPr>
            <w:r>
              <w:rPr>
                <w:color w:val="000000"/>
                <w:sz w:val="16"/>
                <w:szCs w:val="16"/>
              </w:rPr>
              <w:t>(8.0, 14.7)</w:t>
            </w:r>
          </w:p>
        </w:tc>
        <w:tc>
          <w:tcPr>
            <w:tcW w:w="536" w:type="dxa"/>
            <w:tcBorders>
              <w:left w:val="single" w:sz="4" w:space="0" w:color="auto"/>
            </w:tcBorders>
            <w:shd w:val="clear" w:color="auto" w:fill="auto"/>
            <w:vAlign w:val="center"/>
          </w:tcPr>
          <w:p w14:paraId="6E8E604B" w14:textId="77777777" w:rsidR="00C110AE" w:rsidRDefault="00C110AE" w:rsidP="0050574B">
            <w:pPr>
              <w:keepNext/>
              <w:jc w:val="right"/>
              <w:rPr>
                <w:color w:val="000000"/>
                <w:sz w:val="16"/>
                <w:szCs w:val="16"/>
              </w:rPr>
            </w:pPr>
            <w:r>
              <w:rPr>
                <w:color w:val="000000"/>
                <w:sz w:val="16"/>
                <w:szCs w:val="16"/>
              </w:rPr>
              <w:t>39</w:t>
            </w:r>
          </w:p>
        </w:tc>
        <w:tc>
          <w:tcPr>
            <w:tcW w:w="576" w:type="dxa"/>
            <w:shd w:val="clear" w:color="auto" w:fill="auto"/>
            <w:vAlign w:val="center"/>
          </w:tcPr>
          <w:p w14:paraId="67110B50" w14:textId="77777777" w:rsidR="00C110AE" w:rsidRDefault="00C110AE" w:rsidP="0050574B">
            <w:pPr>
              <w:keepNext/>
              <w:jc w:val="right"/>
              <w:rPr>
                <w:color w:val="000000"/>
                <w:sz w:val="16"/>
                <w:szCs w:val="16"/>
              </w:rPr>
            </w:pPr>
            <w:r>
              <w:rPr>
                <w:color w:val="000000"/>
                <w:sz w:val="16"/>
                <w:szCs w:val="16"/>
              </w:rPr>
              <w:t>9.9</w:t>
            </w:r>
          </w:p>
        </w:tc>
        <w:tc>
          <w:tcPr>
            <w:tcW w:w="1123" w:type="dxa"/>
            <w:tcBorders>
              <w:right w:val="single" w:sz="4" w:space="0" w:color="auto"/>
            </w:tcBorders>
            <w:shd w:val="clear" w:color="auto" w:fill="auto"/>
            <w:vAlign w:val="center"/>
          </w:tcPr>
          <w:p w14:paraId="13EBF5D3" w14:textId="77777777" w:rsidR="00C110AE" w:rsidRDefault="00C110AE" w:rsidP="0050574B">
            <w:pPr>
              <w:keepNext/>
              <w:jc w:val="right"/>
              <w:rPr>
                <w:color w:val="000000"/>
                <w:sz w:val="16"/>
                <w:szCs w:val="16"/>
              </w:rPr>
            </w:pPr>
            <w:r>
              <w:rPr>
                <w:color w:val="000000"/>
                <w:sz w:val="16"/>
                <w:szCs w:val="16"/>
              </w:rPr>
              <w:t>(6.2, 13.7)</w:t>
            </w:r>
          </w:p>
        </w:tc>
        <w:tc>
          <w:tcPr>
            <w:tcW w:w="536" w:type="dxa"/>
            <w:tcBorders>
              <w:left w:val="single" w:sz="4" w:space="0" w:color="auto"/>
            </w:tcBorders>
            <w:shd w:val="clear" w:color="auto" w:fill="auto"/>
            <w:vAlign w:val="center"/>
          </w:tcPr>
          <w:p w14:paraId="5E42597F" w14:textId="77777777" w:rsidR="00C110AE" w:rsidRDefault="00C110AE" w:rsidP="0050574B">
            <w:pPr>
              <w:keepNext/>
              <w:jc w:val="right"/>
              <w:rPr>
                <w:color w:val="000000"/>
                <w:sz w:val="16"/>
                <w:szCs w:val="16"/>
              </w:rPr>
            </w:pPr>
            <w:r>
              <w:rPr>
                <w:color w:val="000000"/>
                <w:sz w:val="16"/>
                <w:szCs w:val="16"/>
              </w:rPr>
              <w:t>28</w:t>
            </w:r>
          </w:p>
        </w:tc>
        <w:tc>
          <w:tcPr>
            <w:tcW w:w="567" w:type="dxa"/>
            <w:shd w:val="clear" w:color="auto" w:fill="auto"/>
            <w:vAlign w:val="center"/>
          </w:tcPr>
          <w:p w14:paraId="32703FAB" w14:textId="77777777" w:rsidR="00C110AE" w:rsidRDefault="00C110AE" w:rsidP="0050574B">
            <w:pPr>
              <w:keepNext/>
              <w:jc w:val="right"/>
              <w:rPr>
                <w:color w:val="000000"/>
                <w:sz w:val="16"/>
                <w:szCs w:val="16"/>
              </w:rPr>
            </w:pPr>
            <w:r>
              <w:rPr>
                <w:color w:val="000000"/>
                <w:sz w:val="16"/>
                <w:szCs w:val="16"/>
              </w:rPr>
              <w:t>7.9</w:t>
            </w:r>
          </w:p>
        </w:tc>
        <w:tc>
          <w:tcPr>
            <w:tcW w:w="1123" w:type="dxa"/>
            <w:shd w:val="clear" w:color="auto" w:fill="auto"/>
            <w:vAlign w:val="center"/>
          </w:tcPr>
          <w:p w14:paraId="1747577E" w14:textId="77777777" w:rsidR="00C110AE" w:rsidRDefault="00C110AE" w:rsidP="0050574B">
            <w:pPr>
              <w:keepNext/>
              <w:jc w:val="right"/>
              <w:rPr>
                <w:color w:val="000000"/>
                <w:sz w:val="16"/>
                <w:szCs w:val="16"/>
              </w:rPr>
            </w:pPr>
            <w:r>
              <w:rPr>
                <w:color w:val="000000"/>
                <w:sz w:val="16"/>
                <w:szCs w:val="16"/>
              </w:rPr>
              <w:t>(4.0, 11.7)</w:t>
            </w:r>
          </w:p>
        </w:tc>
      </w:tr>
      <w:tr w:rsidR="00C110AE" w:rsidRPr="007B4EF8" w14:paraId="0943765F" w14:textId="77777777" w:rsidTr="005E3FD2">
        <w:trPr>
          <w:jc w:val="center"/>
        </w:trPr>
        <w:tc>
          <w:tcPr>
            <w:tcW w:w="2127" w:type="dxa"/>
            <w:tcBorders>
              <w:bottom w:val="single" w:sz="4" w:space="0" w:color="auto"/>
            </w:tcBorders>
          </w:tcPr>
          <w:p w14:paraId="03F3F602" w14:textId="77777777" w:rsidR="00C110AE" w:rsidRPr="00D317D8" w:rsidRDefault="00C110AE" w:rsidP="00C110AE">
            <w:pPr>
              <w:tabs>
                <w:tab w:val="left" w:pos="205"/>
              </w:tabs>
              <w:spacing w:before="20" w:after="20"/>
              <w:rPr>
                <w:rFonts w:eastAsiaTheme="minorEastAsia"/>
                <w:sz w:val="18"/>
                <w:szCs w:val="18"/>
              </w:rPr>
            </w:pPr>
          </w:p>
        </w:tc>
        <w:tc>
          <w:tcPr>
            <w:tcW w:w="2379" w:type="dxa"/>
            <w:tcBorders>
              <w:bottom w:val="single" w:sz="4" w:space="0" w:color="auto"/>
            </w:tcBorders>
          </w:tcPr>
          <w:p w14:paraId="41315D9A" w14:textId="77777777" w:rsidR="00C110AE" w:rsidRPr="001B7431" w:rsidRDefault="00C110AE" w:rsidP="00C110AE">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tcBorders>
              <w:bottom w:val="single" w:sz="4" w:space="0" w:color="auto"/>
            </w:tcBorders>
            <w:vAlign w:val="center"/>
          </w:tcPr>
          <w:p w14:paraId="1DE0C399" w14:textId="77777777" w:rsidR="00C110AE" w:rsidRDefault="00C110AE" w:rsidP="00C110AE">
            <w:pPr>
              <w:jc w:val="right"/>
              <w:rPr>
                <w:color w:val="000000"/>
                <w:sz w:val="16"/>
                <w:szCs w:val="16"/>
              </w:rPr>
            </w:pPr>
            <w:r>
              <w:rPr>
                <w:color w:val="000000"/>
                <w:sz w:val="16"/>
                <w:szCs w:val="16"/>
              </w:rPr>
              <w:t>26</w:t>
            </w:r>
          </w:p>
        </w:tc>
        <w:tc>
          <w:tcPr>
            <w:tcW w:w="496" w:type="dxa"/>
            <w:tcBorders>
              <w:bottom w:val="single" w:sz="4" w:space="0" w:color="auto"/>
            </w:tcBorders>
            <w:vAlign w:val="center"/>
          </w:tcPr>
          <w:p w14:paraId="52BC9893" w14:textId="77777777" w:rsidR="00C110AE" w:rsidRDefault="00C110AE" w:rsidP="00C110AE">
            <w:pPr>
              <w:jc w:val="right"/>
              <w:rPr>
                <w:color w:val="000000"/>
                <w:sz w:val="16"/>
                <w:szCs w:val="16"/>
              </w:rPr>
            </w:pPr>
            <w:r>
              <w:rPr>
                <w:color w:val="000000"/>
                <w:sz w:val="16"/>
                <w:szCs w:val="16"/>
              </w:rPr>
              <w:t>3.2</w:t>
            </w:r>
          </w:p>
        </w:tc>
        <w:tc>
          <w:tcPr>
            <w:tcW w:w="1043" w:type="dxa"/>
            <w:tcBorders>
              <w:bottom w:val="single" w:sz="4" w:space="0" w:color="auto"/>
              <w:right w:val="single" w:sz="4" w:space="0" w:color="auto"/>
            </w:tcBorders>
            <w:vAlign w:val="center"/>
          </w:tcPr>
          <w:p w14:paraId="283630FF" w14:textId="77777777" w:rsidR="00C110AE" w:rsidRDefault="00C110AE" w:rsidP="00C110AE">
            <w:pPr>
              <w:jc w:val="right"/>
              <w:rPr>
                <w:color w:val="000000"/>
                <w:sz w:val="16"/>
                <w:szCs w:val="16"/>
              </w:rPr>
            </w:pPr>
            <w:r>
              <w:rPr>
                <w:color w:val="000000"/>
                <w:sz w:val="16"/>
                <w:szCs w:val="16"/>
              </w:rPr>
              <w:t>(1.6, 4.9)</w:t>
            </w:r>
          </w:p>
        </w:tc>
        <w:tc>
          <w:tcPr>
            <w:tcW w:w="569" w:type="dxa"/>
            <w:tcBorders>
              <w:left w:val="single" w:sz="4" w:space="0" w:color="auto"/>
              <w:bottom w:val="single" w:sz="4" w:space="0" w:color="auto"/>
            </w:tcBorders>
            <w:vAlign w:val="center"/>
          </w:tcPr>
          <w:p w14:paraId="42026833" w14:textId="77777777" w:rsidR="00C110AE" w:rsidRDefault="00C110AE" w:rsidP="00C110AE">
            <w:pPr>
              <w:jc w:val="right"/>
              <w:rPr>
                <w:color w:val="000000"/>
                <w:sz w:val="16"/>
                <w:szCs w:val="16"/>
              </w:rPr>
            </w:pPr>
            <w:r>
              <w:rPr>
                <w:color w:val="000000"/>
                <w:sz w:val="16"/>
                <w:szCs w:val="16"/>
              </w:rPr>
              <w:t>9</w:t>
            </w:r>
          </w:p>
        </w:tc>
        <w:tc>
          <w:tcPr>
            <w:tcW w:w="567" w:type="dxa"/>
            <w:tcBorders>
              <w:bottom w:val="single" w:sz="4" w:space="0" w:color="auto"/>
            </w:tcBorders>
            <w:vAlign w:val="center"/>
          </w:tcPr>
          <w:p w14:paraId="716443E4" w14:textId="77777777" w:rsidR="00C110AE" w:rsidRDefault="00C110AE" w:rsidP="00C110AE">
            <w:pPr>
              <w:jc w:val="right"/>
              <w:rPr>
                <w:color w:val="000000"/>
                <w:sz w:val="16"/>
                <w:szCs w:val="16"/>
              </w:rPr>
            </w:pPr>
            <w:r>
              <w:rPr>
                <w:color w:val="000000"/>
                <w:sz w:val="16"/>
                <w:szCs w:val="16"/>
              </w:rPr>
              <w:t>1.9</w:t>
            </w:r>
          </w:p>
        </w:tc>
        <w:tc>
          <w:tcPr>
            <w:tcW w:w="1123" w:type="dxa"/>
            <w:tcBorders>
              <w:bottom w:val="single" w:sz="4" w:space="0" w:color="auto"/>
              <w:right w:val="single" w:sz="4" w:space="0" w:color="auto"/>
            </w:tcBorders>
            <w:vAlign w:val="center"/>
          </w:tcPr>
          <w:p w14:paraId="2E8D7A17" w14:textId="77777777" w:rsidR="00C110AE" w:rsidRDefault="00C110AE" w:rsidP="00C110AE">
            <w:pPr>
              <w:jc w:val="right"/>
              <w:rPr>
                <w:color w:val="000000"/>
                <w:sz w:val="16"/>
                <w:szCs w:val="16"/>
              </w:rPr>
            </w:pPr>
            <w:r>
              <w:rPr>
                <w:color w:val="000000"/>
                <w:sz w:val="16"/>
                <w:szCs w:val="16"/>
              </w:rPr>
              <w:t>(0.7, 3.1)</w:t>
            </w:r>
          </w:p>
        </w:tc>
        <w:tc>
          <w:tcPr>
            <w:tcW w:w="536" w:type="dxa"/>
            <w:tcBorders>
              <w:left w:val="single" w:sz="4" w:space="0" w:color="auto"/>
              <w:bottom w:val="single" w:sz="4" w:space="0" w:color="auto"/>
            </w:tcBorders>
            <w:vAlign w:val="center"/>
          </w:tcPr>
          <w:p w14:paraId="04918C5E" w14:textId="77777777" w:rsidR="00C110AE" w:rsidRDefault="00C110AE" w:rsidP="00C110AE">
            <w:pPr>
              <w:jc w:val="right"/>
              <w:rPr>
                <w:color w:val="000000"/>
                <w:sz w:val="16"/>
                <w:szCs w:val="16"/>
              </w:rPr>
            </w:pPr>
            <w:r>
              <w:rPr>
                <w:color w:val="000000"/>
                <w:sz w:val="16"/>
                <w:szCs w:val="16"/>
              </w:rPr>
              <w:t>11</w:t>
            </w:r>
          </w:p>
        </w:tc>
        <w:tc>
          <w:tcPr>
            <w:tcW w:w="576" w:type="dxa"/>
            <w:tcBorders>
              <w:bottom w:val="single" w:sz="4" w:space="0" w:color="auto"/>
            </w:tcBorders>
            <w:vAlign w:val="center"/>
          </w:tcPr>
          <w:p w14:paraId="5EC2949D" w14:textId="77777777" w:rsidR="00C110AE" w:rsidRDefault="00C110AE" w:rsidP="00C110AE">
            <w:pPr>
              <w:jc w:val="right"/>
              <w:rPr>
                <w:color w:val="000000"/>
                <w:sz w:val="16"/>
                <w:szCs w:val="16"/>
              </w:rPr>
            </w:pPr>
            <w:r>
              <w:rPr>
                <w:color w:val="000000"/>
                <w:sz w:val="16"/>
                <w:szCs w:val="16"/>
              </w:rPr>
              <w:t>2.9</w:t>
            </w:r>
          </w:p>
        </w:tc>
        <w:tc>
          <w:tcPr>
            <w:tcW w:w="1123" w:type="dxa"/>
            <w:tcBorders>
              <w:bottom w:val="single" w:sz="4" w:space="0" w:color="auto"/>
              <w:right w:val="single" w:sz="4" w:space="0" w:color="auto"/>
            </w:tcBorders>
            <w:vAlign w:val="center"/>
          </w:tcPr>
          <w:p w14:paraId="69CC3A27" w14:textId="77777777" w:rsidR="00C110AE" w:rsidRDefault="00C110AE" w:rsidP="00C110AE">
            <w:pPr>
              <w:jc w:val="right"/>
              <w:rPr>
                <w:color w:val="000000"/>
                <w:sz w:val="16"/>
                <w:szCs w:val="16"/>
              </w:rPr>
            </w:pPr>
            <w:r>
              <w:rPr>
                <w:color w:val="000000"/>
                <w:sz w:val="16"/>
                <w:szCs w:val="16"/>
              </w:rPr>
              <w:t>(1.4, 4.4)</w:t>
            </w:r>
          </w:p>
        </w:tc>
        <w:tc>
          <w:tcPr>
            <w:tcW w:w="536" w:type="dxa"/>
            <w:tcBorders>
              <w:left w:val="single" w:sz="4" w:space="0" w:color="auto"/>
              <w:bottom w:val="single" w:sz="4" w:space="0" w:color="auto"/>
            </w:tcBorders>
            <w:vAlign w:val="center"/>
          </w:tcPr>
          <w:p w14:paraId="5ADFD251" w14:textId="77777777" w:rsidR="00C110AE" w:rsidRDefault="00C110AE" w:rsidP="00C110AE">
            <w:pPr>
              <w:jc w:val="right"/>
              <w:rPr>
                <w:color w:val="000000"/>
                <w:sz w:val="16"/>
                <w:szCs w:val="16"/>
              </w:rPr>
            </w:pPr>
            <w:r>
              <w:rPr>
                <w:color w:val="000000"/>
                <w:sz w:val="16"/>
                <w:szCs w:val="16"/>
              </w:rPr>
              <w:t>6</w:t>
            </w:r>
          </w:p>
        </w:tc>
        <w:tc>
          <w:tcPr>
            <w:tcW w:w="567" w:type="dxa"/>
            <w:tcBorders>
              <w:bottom w:val="single" w:sz="4" w:space="0" w:color="auto"/>
            </w:tcBorders>
            <w:vAlign w:val="center"/>
          </w:tcPr>
          <w:p w14:paraId="579459B2" w14:textId="77777777" w:rsidR="00C110AE" w:rsidRDefault="00C110AE" w:rsidP="00C110AE">
            <w:pPr>
              <w:jc w:val="right"/>
              <w:rPr>
                <w:color w:val="000000"/>
                <w:sz w:val="16"/>
                <w:szCs w:val="16"/>
              </w:rPr>
            </w:pPr>
            <w:r>
              <w:rPr>
                <w:color w:val="000000"/>
                <w:sz w:val="16"/>
                <w:szCs w:val="16"/>
              </w:rPr>
              <w:t>1.7</w:t>
            </w:r>
          </w:p>
        </w:tc>
        <w:tc>
          <w:tcPr>
            <w:tcW w:w="1123" w:type="dxa"/>
            <w:tcBorders>
              <w:bottom w:val="single" w:sz="4" w:space="0" w:color="auto"/>
            </w:tcBorders>
            <w:vAlign w:val="center"/>
          </w:tcPr>
          <w:p w14:paraId="7141ED8F" w14:textId="77777777" w:rsidR="00C110AE" w:rsidRDefault="00C110AE" w:rsidP="00C110AE">
            <w:pPr>
              <w:jc w:val="right"/>
              <w:rPr>
                <w:color w:val="000000"/>
                <w:sz w:val="16"/>
                <w:szCs w:val="16"/>
              </w:rPr>
            </w:pPr>
            <w:r>
              <w:rPr>
                <w:color w:val="000000"/>
                <w:sz w:val="16"/>
                <w:szCs w:val="16"/>
              </w:rPr>
              <w:t>(0.5, 2.8)</w:t>
            </w:r>
          </w:p>
        </w:tc>
      </w:tr>
      <w:tr w:rsidR="00C110AE" w:rsidRPr="007B4EF8" w14:paraId="57002E31" w14:textId="77777777" w:rsidTr="005E3FD2">
        <w:trPr>
          <w:jc w:val="center"/>
        </w:trPr>
        <w:tc>
          <w:tcPr>
            <w:tcW w:w="2127" w:type="dxa"/>
            <w:tcBorders>
              <w:top w:val="single" w:sz="4" w:space="0" w:color="auto"/>
            </w:tcBorders>
          </w:tcPr>
          <w:p w14:paraId="7C20D1E1" w14:textId="77777777" w:rsidR="00C110AE" w:rsidRPr="00D317D8" w:rsidRDefault="00C110AE" w:rsidP="00C110AE">
            <w:pPr>
              <w:tabs>
                <w:tab w:val="left" w:pos="205"/>
              </w:tabs>
              <w:spacing w:before="20" w:after="20"/>
              <w:rPr>
                <w:rFonts w:eastAsiaTheme="minorEastAsia"/>
                <w:sz w:val="18"/>
                <w:szCs w:val="18"/>
                <w:lang w:eastAsia="en-US"/>
              </w:rPr>
            </w:pPr>
            <w:r>
              <w:rPr>
                <w:rFonts w:eastAsiaTheme="minorEastAsia"/>
                <w:sz w:val="18"/>
                <w:szCs w:val="18"/>
                <w:lang w:eastAsia="en-US"/>
              </w:rPr>
              <w:t>$101 - $500</w:t>
            </w:r>
          </w:p>
        </w:tc>
        <w:tc>
          <w:tcPr>
            <w:tcW w:w="2379" w:type="dxa"/>
            <w:tcBorders>
              <w:top w:val="single" w:sz="4" w:space="0" w:color="auto"/>
            </w:tcBorders>
          </w:tcPr>
          <w:p w14:paraId="1220ADDC" w14:textId="77777777" w:rsidR="00C110AE" w:rsidRPr="001B7431" w:rsidRDefault="00C110AE" w:rsidP="00C110AE">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tcBorders>
              <w:top w:val="single" w:sz="4" w:space="0" w:color="auto"/>
            </w:tcBorders>
            <w:vAlign w:val="center"/>
          </w:tcPr>
          <w:p w14:paraId="0ABA93FC" w14:textId="77777777" w:rsidR="00C110AE" w:rsidRDefault="00C110AE" w:rsidP="00C110AE">
            <w:pPr>
              <w:jc w:val="right"/>
              <w:rPr>
                <w:color w:val="000000"/>
                <w:sz w:val="16"/>
                <w:szCs w:val="16"/>
              </w:rPr>
            </w:pPr>
            <w:r>
              <w:rPr>
                <w:color w:val="000000"/>
                <w:sz w:val="16"/>
                <w:szCs w:val="16"/>
              </w:rPr>
              <w:t>509</w:t>
            </w:r>
          </w:p>
        </w:tc>
        <w:tc>
          <w:tcPr>
            <w:tcW w:w="496" w:type="dxa"/>
            <w:tcBorders>
              <w:top w:val="single" w:sz="4" w:space="0" w:color="auto"/>
            </w:tcBorders>
            <w:vAlign w:val="center"/>
          </w:tcPr>
          <w:p w14:paraId="32CBF3D4" w14:textId="77777777" w:rsidR="00C110AE" w:rsidRDefault="00C110AE" w:rsidP="00C110AE">
            <w:pPr>
              <w:jc w:val="right"/>
              <w:rPr>
                <w:color w:val="000000"/>
                <w:sz w:val="16"/>
                <w:szCs w:val="16"/>
              </w:rPr>
            </w:pPr>
            <w:r>
              <w:rPr>
                <w:color w:val="000000"/>
                <w:sz w:val="16"/>
                <w:szCs w:val="16"/>
              </w:rPr>
              <w:t>74.0</w:t>
            </w:r>
          </w:p>
        </w:tc>
        <w:tc>
          <w:tcPr>
            <w:tcW w:w="1043" w:type="dxa"/>
            <w:tcBorders>
              <w:top w:val="single" w:sz="4" w:space="0" w:color="auto"/>
              <w:right w:val="single" w:sz="4" w:space="0" w:color="auto"/>
            </w:tcBorders>
            <w:vAlign w:val="center"/>
          </w:tcPr>
          <w:p w14:paraId="5555D837" w14:textId="77777777" w:rsidR="00C110AE" w:rsidRDefault="00C110AE" w:rsidP="00C110AE">
            <w:pPr>
              <w:jc w:val="right"/>
              <w:rPr>
                <w:color w:val="000000"/>
                <w:sz w:val="16"/>
                <w:szCs w:val="16"/>
              </w:rPr>
            </w:pPr>
            <w:r>
              <w:rPr>
                <w:color w:val="000000"/>
                <w:sz w:val="16"/>
                <w:szCs w:val="16"/>
              </w:rPr>
              <w:t>(70.2, 77.8)</w:t>
            </w:r>
          </w:p>
        </w:tc>
        <w:tc>
          <w:tcPr>
            <w:tcW w:w="569" w:type="dxa"/>
            <w:tcBorders>
              <w:top w:val="single" w:sz="4" w:space="0" w:color="auto"/>
              <w:left w:val="single" w:sz="4" w:space="0" w:color="auto"/>
            </w:tcBorders>
            <w:vAlign w:val="center"/>
          </w:tcPr>
          <w:p w14:paraId="5954ABC4" w14:textId="77777777" w:rsidR="00C110AE" w:rsidRDefault="00C110AE" w:rsidP="00C110AE">
            <w:pPr>
              <w:jc w:val="right"/>
              <w:rPr>
                <w:color w:val="000000"/>
                <w:sz w:val="16"/>
                <w:szCs w:val="16"/>
              </w:rPr>
            </w:pPr>
            <w:r>
              <w:rPr>
                <w:color w:val="000000"/>
                <w:sz w:val="16"/>
                <w:szCs w:val="16"/>
              </w:rPr>
              <w:t>263</w:t>
            </w:r>
          </w:p>
        </w:tc>
        <w:tc>
          <w:tcPr>
            <w:tcW w:w="567" w:type="dxa"/>
            <w:tcBorders>
              <w:top w:val="single" w:sz="4" w:space="0" w:color="auto"/>
            </w:tcBorders>
            <w:vAlign w:val="center"/>
          </w:tcPr>
          <w:p w14:paraId="204E6CBA" w14:textId="77777777" w:rsidR="00C110AE" w:rsidRDefault="00C110AE" w:rsidP="00C110AE">
            <w:pPr>
              <w:jc w:val="right"/>
              <w:rPr>
                <w:color w:val="000000"/>
                <w:sz w:val="16"/>
                <w:szCs w:val="16"/>
              </w:rPr>
            </w:pPr>
            <w:r>
              <w:rPr>
                <w:color w:val="000000"/>
                <w:sz w:val="16"/>
                <w:szCs w:val="16"/>
              </w:rPr>
              <w:t>72.1</w:t>
            </w:r>
          </w:p>
        </w:tc>
        <w:tc>
          <w:tcPr>
            <w:tcW w:w="1123" w:type="dxa"/>
            <w:tcBorders>
              <w:top w:val="single" w:sz="4" w:space="0" w:color="auto"/>
              <w:right w:val="single" w:sz="4" w:space="0" w:color="auto"/>
            </w:tcBorders>
            <w:vAlign w:val="center"/>
          </w:tcPr>
          <w:p w14:paraId="7BADCBF8" w14:textId="77777777" w:rsidR="00C110AE" w:rsidRDefault="00C110AE" w:rsidP="00C110AE">
            <w:pPr>
              <w:jc w:val="right"/>
              <w:rPr>
                <w:color w:val="000000"/>
                <w:sz w:val="16"/>
                <w:szCs w:val="16"/>
              </w:rPr>
            </w:pPr>
            <w:r>
              <w:rPr>
                <w:color w:val="000000"/>
                <w:sz w:val="16"/>
                <w:szCs w:val="16"/>
              </w:rPr>
              <w:t>(66.7, 77.5)</w:t>
            </w:r>
          </w:p>
        </w:tc>
        <w:tc>
          <w:tcPr>
            <w:tcW w:w="536" w:type="dxa"/>
            <w:tcBorders>
              <w:top w:val="single" w:sz="4" w:space="0" w:color="auto"/>
              <w:left w:val="single" w:sz="4" w:space="0" w:color="auto"/>
            </w:tcBorders>
            <w:vAlign w:val="center"/>
          </w:tcPr>
          <w:p w14:paraId="5576F655" w14:textId="77777777" w:rsidR="00C110AE" w:rsidRDefault="00C110AE" w:rsidP="00C110AE">
            <w:pPr>
              <w:jc w:val="right"/>
              <w:rPr>
                <w:color w:val="000000"/>
                <w:sz w:val="16"/>
                <w:szCs w:val="16"/>
              </w:rPr>
            </w:pPr>
            <w:r>
              <w:rPr>
                <w:color w:val="000000"/>
                <w:sz w:val="16"/>
                <w:szCs w:val="16"/>
              </w:rPr>
              <w:t>202</w:t>
            </w:r>
          </w:p>
        </w:tc>
        <w:tc>
          <w:tcPr>
            <w:tcW w:w="576" w:type="dxa"/>
            <w:tcBorders>
              <w:top w:val="single" w:sz="4" w:space="0" w:color="auto"/>
            </w:tcBorders>
            <w:vAlign w:val="center"/>
          </w:tcPr>
          <w:p w14:paraId="4FD503DA" w14:textId="77777777" w:rsidR="00C110AE" w:rsidRDefault="00C110AE" w:rsidP="00C110AE">
            <w:pPr>
              <w:jc w:val="right"/>
              <w:rPr>
                <w:color w:val="000000"/>
                <w:sz w:val="16"/>
                <w:szCs w:val="16"/>
              </w:rPr>
            </w:pPr>
            <w:r>
              <w:rPr>
                <w:color w:val="000000"/>
                <w:sz w:val="16"/>
                <w:szCs w:val="16"/>
              </w:rPr>
              <w:t>74.4</w:t>
            </w:r>
          </w:p>
        </w:tc>
        <w:tc>
          <w:tcPr>
            <w:tcW w:w="1123" w:type="dxa"/>
            <w:tcBorders>
              <w:top w:val="single" w:sz="4" w:space="0" w:color="auto"/>
              <w:right w:val="single" w:sz="4" w:space="0" w:color="auto"/>
            </w:tcBorders>
            <w:vAlign w:val="center"/>
          </w:tcPr>
          <w:p w14:paraId="3A01AE64" w14:textId="77777777" w:rsidR="00C110AE" w:rsidRDefault="00C110AE" w:rsidP="00C110AE">
            <w:pPr>
              <w:jc w:val="right"/>
              <w:rPr>
                <w:color w:val="000000"/>
                <w:sz w:val="16"/>
                <w:szCs w:val="16"/>
              </w:rPr>
            </w:pPr>
            <w:r>
              <w:rPr>
                <w:color w:val="000000"/>
                <w:sz w:val="16"/>
                <w:szCs w:val="16"/>
              </w:rPr>
              <w:t>(68.5, 80.2)</w:t>
            </w:r>
          </w:p>
        </w:tc>
        <w:tc>
          <w:tcPr>
            <w:tcW w:w="536" w:type="dxa"/>
            <w:tcBorders>
              <w:top w:val="single" w:sz="4" w:space="0" w:color="auto"/>
              <w:left w:val="single" w:sz="4" w:space="0" w:color="auto"/>
            </w:tcBorders>
            <w:vAlign w:val="center"/>
          </w:tcPr>
          <w:p w14:paraId="6D8C1741" w14:textId="77777777" w:rsidR="00C110AE" w:rsidRDefault="00C110AE" w:rsidP="00C110AE">
            <w:pPr>
              <w:jc w:val="right"/>
              <w:rPr>
                <w:color w:val="000000"/>
                <w:sz w:val="16"/>
                <w:szCs w:val="16"/>
              </w:rPr>
            </w:pPr>
            <w:r>
              <w:rPr>
                <w:color w:val="000000"/>
                <w:sz w:val="16"/>
                <w:szCs w:val="16"/>
              </w:rPr>
              <w:t>186</w:t>
            </w:r>
          </w:p>
        </w:tc>
        <w:tc>
          <w:tcPr>
            <w:tcW w:w="567" w:type="dxa"/>
            <w:tcBorders>
              <w:top w:val="single" w:sz="4" w:space="0" w:color="auto"/>
            </w:tcBorders>
            <w:vAlign w:val="center"/>
          </w:tcPr>
          <w:p w14:paraId="32650C27" w14:textId="77777777" w:rsidR="00C110AE" w:rsidRDefault="00C110AE" w:rsidP="00C110AE">
            <w:pPr>
              <w:jc w:val="right"/>
              <w:rPr>
                <w:color w:val="000000"/>
                <w:sz w:val="16"/>
                <w:szCs w:val="16"/>
              </w:rPr>
            </w:pPr>
            <w:r>
              <w:rPr>
                <w:color w:val="000000"/>
                <w:sz w:val="16"/>
                <w:szCs w:val="16"/>
              </w:rPr>
              <w:t>74.3</w:t>
            </w:r>
          </w:p>
        </w:tc>
        <w:tc>
          <w:tcPr>
            <w:tcW w:w="1123" w:type="dxa"/>
            <w:tcBorders>
              <w:top w:val="single" w:sz="4" w:space="0" w:color="auto"/>
            </w:tcBorders>
            <w:vAlign w:val="center"/>
          </w:tcPr>
          <w:p w14:paraId="6990119A" w14:textId="77777777" w:rsidR="00C110AE" w:rsidRDefault="00C110AE" w:rsidP="00C110AE">
            <w:pPr>
              <w:jc w:val="right"/>
              <w:rPr>
                <w:color w:val="000000"/>
                <w:sz w:val="16"/>
                <w:szCs w:val="16"/>
              </w:rPr>
            </w:pPr>
            <w:r>
              <w:rPr>
                <w:color w:val="000000"/>
                <w:sz w:val="16"/>
                <w:szCs w:val="16"/>
              </w:rPr>
              <w:t>(68.4, 80.2)</w:t>
            </w:r>
          </w:p>
        </w:tc>
      </w:tr>
      <w:tr w:rsidR="00C110AE" w:rsidRPr="007B4EF8" w14:paraId="3874B42E" w14:textId="77777777" w:rsidTr="00793719">
        <w:trPr>
          <w:jc w:val="center"/>
        </w:trPr>
        <w:tc>
          <w:tcPr>
            <w:tcW w:w="2127" w:type="dxa"/>
          </w:tcPr>
          <w:p w14:paraId="3CF8E132" w14:textId="77777777" w:rsidR="00C110AE" w:rsidRPr="00D317D8" w:rsidRDefault="00C110AE" w:rsidP="00C110AE">
            <w:pPr>
              <w:tabs>
                <w:tab w:val="left" w:pos="176"/>
              </w:tabs>
              <w:spacing w:before="20" w:after="20"/>
              <w:rPr>
                <w:rFonts w:eastAsiaTheme="minorEastAsia"/>
                <w:sz w:val="18"/>
                <w:szCs w:val="18"/>
                <w:lang w:eastAsia="en-US"/>
              </w:rPr>
            </w:pPr>
          </w:p>
        </w:tc>
        <w:tc>
          <w:tcPr>
            <w:tcW w:w="2379" w:type="dxa"/>
          </w:tcPr>
          <w:p w14:paraId="32E41B60" w14:textId="77777777" w:rsidR="00C110AE" w:rsidRPr="001B7431" w:rsidRDefault="00C110AE" w:rsidP="00C110AE">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vAlign w:val="center"/>
          </w:tcPr>
          <w:p w14:paraId="73FAEE0A" w14:textId="77777777" w:rsidR="00C110AE" w:rsidRDefault="00C110AE" w:rsidP="00C110AE">
            <w:pPr>
              <w:jc w:val="right"/>
              <w:rPr>
                <w:color w:val="000000"/>
                <w:sz w:val="16"/>
                <w:szCs w:val="16"/>
              </w:rPr>
            </w:pPr>
            <w:r>
              <w:rPr>
                <w:color w:val="000000"/>
                <w:sz w:val="16"/>
                <w:szCs w:val="16"/>
              </w:rPr>
              <w:t>104</w:t>
            </w:r>
          </w:p>
        </w:tc>
        <w:tc>
          <w:tcPr>
            <w:tcW w:w="496" w:type="dxa"/>
            <w:vAlign w:val="center"/>
          </w:tcPr>
          <w:p w14:paraId="7C8AF05D" w14:textId="77777777" w:rsidR="00C110AE" w:rsidRDefault="00C110AE" w:rsidP="00C110AE">
            <w:pPr>
              <w:jc w:val="right"/>
              <w:rPr>
                <w:color w:val="000000"/>
                <w:sz w:val="16"/>
                <w:szCs w:val="16"/>
              </w:rPr>
            </w:pPr>
            <w:r>
              <w:rPr>
                <w:color w:val="000000"/>
                <w:sz w:val="16"/>
                <w:szCs w:val="16"/>
              </w:rPr>
              <w:t>15.2</w:t>
            </w:r>
          </w:p>
        </w:tc>
        <w:tc>
          <w:tcPr>
            <w:tcW w:w="1043" w:type="dxa"/>
            <w:tcBorders>
              <w:right w:val="single" w:sz="4" w:space="0" w:color="auto"/>
            </w:tcBorders>
            <w:vAlign w:val="center"/>
          </w:tcPr>
          <w:p w14:paraId="79340E00" w14:textId="77777777" w:rsidR="00C110AE" w:rsidRDefault="00C110AE" w:rsidP="00C110AE">
            <w:pPr>
              <w:jc w:val="right"/>
              <w:rPr>
                <w:color w:val="000000"/>
                <w:sz w:val="16"/>
                <w:szCs w:val="16"/>
              </w:rPr>
            </w:pPr>
            <w:r>
              <w:rPr>
                <w:color w:val="000000"/>
                <w:sz w:val="16"/>
                <w:szCs w:val="16"/>
              </w:rPr>
              <w:t>(11.9, 18.5)</w:t>
            </w:r>
          </w:p>
        </w:tc>
        <w:tc>
          <w:tcPr>
            <w:tcW w:w="569" w:type="dxa"/>
            <w:tcBorders>
              <w:left w:val="single" w:sz="4" w:space="0" w:color="auto"/>
            </w:tcBorders>
            <w:vAlign w:val="center"/>
          </w:tcPr>
          <w:p w14:paraId="5D0A1DB2" w14:textId="77777777" w:rsidR="00C110AE" w:rsidRDefault="00C110AE" w:rsidP="00C110AE">
            <w:pPr>
              <w:jc w:val="right"/>
              <w:rPr>
                <w:color w:val="000000"/>
                <w:sz w:val="16"/>
                <w:szCs w:val="16"/>
              </w:rPr>
            </w:pPr>
            <w:r>
              <w:rPr>
                <w:color w:val="000000"/>
                <w:sz w:val="16"/>
                <w:szCs w:val="16"/>
              </w:rPr>
              <w:t>65</w:t>
            </w:r>
          </w:p>
        </w:tc>
        <w:tc>
          <w:tcPr>
            <w:tcW w:w="567" w:type="dxa"/>
            <w:vAlign w:val="center"/>
          </w:tcPr>
          <w:p w14:paraId="68220DB4" w14:textId="77777777" w:rsidR="00C110AE" w:rsidRDefault="00C110AE" w:rsidP="00C110AE">
            <w:pPr>
              <w:jc w:val="right"/>
              <w:rPr>
                <w:color w:val="000000"/>
                <w:sz w:val="16"/>
                <w:szCs w:val="16"/>
              </w:rPr>
            </w:pPr>
            <w:r>
              <w:rPr>
                <w:color w:val="000000"/>
                <w:sz w:val="16"/>
                <w:szCs w:val="16"/>
              </w:rPr>
              <w:t>17.8</w:t>
            </w:r>
          </w:p>
        </w:tc>
        <w:tc>
          <w:tcPr>
            <w:tcW w:w="1123" w:type="dxa"/>
            <w:tcBorders>
              <w:right w:val="single" w:sz="4" w:space="0" w:color="auto"/>
            </w:tcBorders>
            <w:vAlign w:val="center"/>
          </w:tcPr>
          <w:p w14:paraId="7D749CA3" w14:textId="77777777" w:rsidR="00C110AE" w:rsidRDefault="00C110AE" w:rsidP="00C110AE">
            <w:pPr>
              <w:jc w:val="right"/>
              <w:rPr>
                <w:color w:val="000000"/>
                <w:sz w:val="16"/>
                <w:szCs w:val="16"/>
              </w:rPr>
            </w:pPr>
            <w:r>
              <w:rPr>
                <w:color w:val="000000"/>
                <w:sz w:val="16"/>
                <w:szCs w:val="16"/>
              </w:rPr>
              <w:t>(13.3, 22.4)</w:t>
            </w:r>
          </w:p>
        </w:tc>
        <w:tc>
          <w:tcPr>
            <w:tcW w:w="536" w:type="dxa"/>
            <w:tcBorders>
              <w:left w:val="single" w:sz="4" w:space="0" w:color="auto"/>
            </w:tcBorders>
            <w:vAlign w:val="center"/>
          </w:tcPr>
          <w:p w14:paraId="7DAA08C8" w14:textId="77777777" w:rsidR="00C110AE" w:rsidRDefault="00C110AE" w:rsidP="00C110AE">
            <w:pPr>
              <w:jc w:val="right"/>
              <w:rPr>
                <w:color w:val="000000"/>
                <w:sz w:val="16"/>
                <w:szCs w:val="16"/>
              </w:rPr>
            </w:pPr>
            <w:r>
              <w:rPr>
                <w:color w:val="000000"/>
                <w:sz w:val="16"/>
                <w:szCs w:val="16"/>
              </w:rPr>
              <w:t>44</w:t>
            </w:r>
          </w:p>
        </w:tc>
        <w:tc>
          <w:tcPr>
            <w:tcW w:w="576" w:type="dxa"/>
            <w:vAlign w:val="center"/>
          </w:tcPr>
          <w:p w14:paraId="7F1FCC53" w14:textId="77777777" w:rsidR="00C110AE" w:rsidRDefault="00C110AE" w:rsidP="00C110AE">
            <w:pPr>
              <w:jc w:val="right"/>
              <w:rPr>
                <w:color w:val="000000"/>
                <w:sz w:val="16"/>
                <w:szCs w:val="16"/>
              </w:rPr>
            </w:pPr>
            <w:r>
              <w:rPr>
                <w:color w:val="000000"/>
                <w:sz w:val="16"/>
                <w:szCs w:val="16"/>
              </w:rPr>
              <w:t>16.2</w:t>
            </w:r>
          </w:p>
        </w:tc>
        <w:tc>
          <w:tcPr>
            <w:tcW w:w="1123" w:type="dxa"/>
            <w:tcBorders>
              <w:right w:val="single" w:sz="4" w:space="0" w:color="auto"/>
            </w:tcBorders>
            <w:vAlign w:val="center"/>
          </w:tcPr>
          <w:p w14:paraId="01EE8D1C" w14:textId="77777777" w:rsidR="00C110AE" w:rsidRDefault="00C110AE" w:rsidP="00C110AE">
            <w:pPr>
              <w:jc w:val="right"/>
              <w:rPr>
                <w:color w:val="000000"/>
                <w:sz w:val="16"/>
                <w:szCs w:val="16"/>
              </w:rPr>
            </w:pPr>
            <w:r>
              <w:rPr>
                <w:color w:val="000000"/>
                <w:sz w:val="16"/>
                <w:szCs w:val="16"/>
              </w:rPr>
              <w:t>(11.0, 21.4)</w:t>
            </w:r>
          </w:p>
        </w:tc>
        <w:tc>
          <w:tcPr>
            <w:tcW w:w="536" w:type="dxa"/>
            <w:tcBorders>
              <w:left w:val="single" w:sz="4" w:space="0" w:color="auto"/>
            </w:tcBorders>
            <w:vAlign w:val="center"/>
          </w:tcPr>
          <w:p w14:paraId="37A80F83" w14:textId="77777777" w:rsidR="00C110AE" w:rsidRDefault="00C110AE" w:rsidP="00C110AE">
            <w:pPr>
              <w:jc w:val="right"/>
              <w:rPr>
                <w:color w:val="000000"/>
                <w:sz w:val="16"/>
                <w:szCs w:val="16"/>
              </w:rPr>
            </w:pPr>
            <w:r>
              <w:rPr>
                <w:color w:val="000000"/>
                <w:sz w:val="16"/>
                <w:szCs w:val="16"/>
              </w:rPr>
              <w:t>40</w:t>
            </w:r>
          </w:p>
        </w:tc>
        <w:tc>
          <w:tcPr>
            <w:tcW w:w="567" w:type="dxa"/>
            <w:vAlign w:val="center"/>
          </w:tcPr>
          <w:p w14:paraId="4567F21A" w14:textId="77777777" w:rsidR="00C110AE" w:rsidRDefault="00C110AE" w:rsidP="00C110AE">
            <w:pPr>
              <w:jc w:val="right"/>
              <w:rPr>
                <w:color w:val="000000"/>
                <w:sz w:val="16"/>
                <w:szCs w:val="16"/>
              </w:rPr>
            </w:pPr>
            <w:r>
              <w:rPr>
                <w:color w:val="000000"/>
                <w:sz w:val="16"/>
                <w:szCs w:val="16"/>
              </w:rPr>
              <w:t>16.1</w:t>
            </w:r>
          </w:p>
        </w:tc>
        <w:tc>
          <w:tcPr>
            <w:tcW w:w="1123" w:type="dxa"/>
            <w:vAlign w:val="center"/>
          </w:tcPr>
          <w:p w14:paraId="3FBFB44D" w14:textId="77777777" w:rsidR="00C110AE" w:rsidRDefault="00C110AE" w:rsidP="00C110AE">
            <w:pPr>
              <w:jc w:val="right"/>
              <w:rPr>
                <w:color w:val="000000"/>
                <w:sz w:val="16"/>
                <w:szCs w:val="16"/>
              </w:rPr>
            </w:pPr>
            <w:r>
              <w:rPr>
                <w:color w:val="000000"/>
                <w:sz w:val="16"/>
                <w:szCs w:val="16"/>
              </w:rPr>
              <w:t>(11.1, 21.2)</w:t>
            </w:r>
          </w:p>
        </w:tc>
      </w:tr>
      <w:tr w:rsidR="00C110AE" w:rsidRPr="007B4EF8" w14:paraId="0A04490E" w14:textId="77777777" w:rsidTr="00793719">
        <w:trPr>
          <w:jc w:val="center"/>
        </w:trPr>
        <w:tc>
          <w:tcPr>
            <w:tcW w:w="2127" w:type="dxa"/>
          </w:tcPr>
          <w:p w14:paraId="70312A1D" w14:textId="77777777" w:rsidR="00C110AE" w:rsidRPr="00D317D8" w:rsidRDefault="00C110AE" w:rsidP="00C110AE">
            <w:pPr>
              <w:tabs>
                <w:tab w:val="left" w:pos="176"/>
              </w:tabs>
              <w:spacing w:before="20" w:after="40"/>
              <w:rPr>
                <w:rFonts w:eastAsiaTheme="minorEastAsia"/>
                <w:sz w:val="18"/>
                <w:szCs w:val="18"/>
                <w:lang w:eastAsia="en-US"/>
              </w:rPr>
            </w:pPr>
          </w:p>
        </w:tc>
        <w:tc>
          <w:tcPr>
            <w:tcW w:w="2379" w:type="dxa"/>
          </w:tcPr>
          <w:p w14:paraId="29299FD6" w14:textId="77777777" w:rsidR="00C110AE" w:rsidRPr="001B7431" w:rsidRDefault="00C110AE" w:rsidP="00C110AE">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vAlign w:val="center"/>
          </w:tcPr>
          <w:p w14:paraId="3CE58D9D" w14:textId="77777777" w:rsidR="00C110AE" w:rsidRDefault="00C110AE" w:rsidP="00C110AE">
            <w:pPr>
              <w:jc w:val="right"/>
              <w:rPr>
                <w:color w:val="000000"/>
                <w:sz w:val="16"/>
                <w:szCs w:val="16"/>
              </w:rPr>
            </w:pPr>
            <w:r>
              <w:rPr>
                <w:color w:val="000000"/>
                <w:sz w:val="16"/>
                <w:szCs w:val="16"/>
              </w:rPr>
              <w:t>75</w:t>
            </w:r>
          </w:p>
        </w:tc>
        <w:tc>
          <w:tcPr>
            <w:tcW w:w="496" w:type="dxa"/>
            <w:vAlign w:val="center"/>
          </w:tcPr>
          <w:p w14:paraId="4D7694B4" w14:textId="77777777" w:rsidR="00C110AE" w:rsidRDefault="00C110AE" w:rsidP="00C110AE">
            <w:pPr>
              <w:jc w:val="right"/>
              <w:rPr>
                <w:color w:val="000000"/>
                <w:sz w:val="16"/>
                <w:szCs w:val="16"/>
              </w:rPr>
            </w:pPr>
            <w:r>
              <w:rPr>
                <w:color w:val="000000"/>
                <w:sz w:val="16"/>
                <w:szCs w:val="16"/>
              </w:rPr>
              <w:t>10.9</w:t>
            </w:r>
          </w:p>
        </w:tc>
        <w:tc>
          <w:tcPr>
            <w:tcW w:w="1043" w:type="dxa"/>
            <w:tcBorders>
              <w:right w:val="single" w:sz="4" w:space="0" w:color="auto"/>
            </w:tcBorders>
            <w:vAlign w:val="center"/>
          </w:tcPr>
          <w:p w14:paraId="5933A0F8" w14:textId="77777777" w:rsidR="00C110AE" w:rsidRDefault="00C110AE" w:rsidP="00C110AE">
            <w:pPr>
              <w:jc w:val="right"/>
              <w:rPr>
                <w:color w:val="000000"/>
                <w:sz w:val="16"/>
                <w:szCs w:val="16"/>
              </w:rPr>
            </w:pPr>
            <w:r>
              <w:rPr>
                <w:color w:val="000000"/>
                <w:sz w:val="16"/>
                <w:szCs w:val="16"/>
              </w:rPr>
              <w:t>(8.4, 13.4)</w:t>
            </w:r>
          </w:p>
        </w:tc>
        <w:tc>
          <w:tcPr>
            <w:tcW w:w="569" w:type="dxa"/>
            <w:tcBorders>
              <w:left w:val="single" w:sz="4" w:space="0" w:color="auto"/>
            </w:tcBorders>
            <w:vAlign w:val="center"/>
          </w:tcPr>
          <w:p w14:paraId="2CB3334B" w14:textId="77777777" w:rsidR="00C110AE" w:rsidRDefault="00C110AE" w:rsidP="00C110AE">
            <w:pPr>
              <w:jc w:val="right"/>
              <w:rPr>
                <w:color w:val="000000"/>
                <w:sz w:val="16"/>
                <w:szCs w:val="16"/>
              </w:rPr>
            </w:pPr>
            <w:r>
              <w:rPr>
                <w:color w:val="000000"/>
                <w:sz w:val="16"/>
                <w:szCs w:val="16"/>
              </w:rPr>
              <w:t>37</w:t>
            </w:r>
          </w:p>
        </w:tc>
        <w:tc>
          <w:tcPr>
            <w:tcW w:w="567" w:type="dxa"/>
            <w:vAlign w:val="center"/>
          </w:tcPr>
          <w:p w14:paraId="71C39EFB" w14:textId="77777777" w:rsidR="00C110AE" w:rsidRDefault="00C110AE" w:rsidP="00C110AE">
            <w:pPr>
              <w:jc w:val="right"/>
              <w:rPr>
                <w:color w:val="000000"/>
                <w:sz w:val="16"/>
                <w:szCs w:val="16"/>
              </w:rPr>
            </w:pPr>
            <w:r>
              <w:rPr>
                <w:color w:val="000000"/>
                <w:sz w:val="16"/>
                <w:szCs w:val="16"/>
              </w:rPr>
              <w:t>10.1</w:t>
            </w:r>
          </w:p>
        </w:tc>
        <w:tc>
          <w:tcPr>
            <w:tcW w:w="1123" w:type="dxa"/>
            <w:tcBorders>
              <w:right w:val="single" w:sz="4" w:space="0" w:color="auto"/>
            </w:tcBorders>
            <w:vAlign w:val="center"/>
          </w:tcPr>
          <w:p w14:paraId="78B7021C" w14:textId="77777777" w:rsidR="00C110AE" w:rsidRDefault="00C110AE" w:rsidP="00C110AE">
            <w:pPr>
              <w:jc w:val="right"/>
              <w:rPr>
                <w:color w:val="000000"/>
                <w:sz w:val="16"/>
                <w:szCs w:val="16"/>
              </w:rPr>
            </w:pPr>
            <w:r>
              <w:rPr>
                <w:color w:val="000000"/>
                <w:sz w:val="16"/>
                <w:szCs w:val="16"/>
              </w:rPr>
              <w:t>(6.6, 13.6)</w:t>
            </w:r>
          </w:p>
        </w:tc>
        <w:tc>
          <w:tcPr>
            <w:tcW w:w="536" w:type="dxa"/>
            <w:tcBorders>
              <w:left w:val="single" w:sz="4" w:space="0" w:color="auto"/>
            </w:tcBorders>
            <w:vAlign w:val="center"/>
          </w:tcPr>
          <w:p w14:paraId="1FD8E0FD" w14:textId="77777777" w:rsidR="00C110AE" w:rsidRDefault="00C110AE" w:rsidP="00C110AE">
            <w:pPr>
              <w:jc w:val="right"/>
              <w:rPr>
                <w:color w:val="000000"/>
                <w:sz w:val="16"/>
                <w:szCs w:val="16"/>
              </w:rPr>
            </w:pPr>
            <w:r>
              <w:rPr>
                <w:color w:val="000000"/>
                <w:sz w:val="16"/>
                <w:szCs w:val="16"/>
              </w:rPr>
              <w:t>26</w:t>
            </w:r>
          </w:p>
        </w:tc>
        <w:tc>
          <w:tcPr>
            <w:tcW w:w="576" w:type="dxa"/>
            <w:vAlign w:val="center"/>
          </w:tcPr>
          <w:p w14:paraId="5E3C0447" w14:textId="77777777" w:rsidR="00C110AE" w:rsidRDefault="00C110AE" w:rsidP="00C110AE">
            <w:pPr>
              <w:jc w:val="right"/>
              <w:rPr>
                <w:color w:val="000000"/>
                <w:sz w:val="16"/>
                <w:szCs w:val="16"/>
              </w:rPr>
            </w:pPr>
            <w:r>
              <w:rPr>
                <w:color w:val="000000"/>
                <w:sz w:val="16"/>
                <w:szCs w:val="16"/>
              </w:rPr>
              <w:t>9.4</w:t>
            </w:r>
          </w:p>
        </w:tc>
        <w:tc>
          <w:tcPr>
            <w:tcW w:w="1123" w:type="dxa"/>
            <w:tcBorders>
              <w:right w:val="single" w:sz="4" w:space="0" w:color="auto"/>
            </w:tcBorders>
            <w:vAlign w:val="center"/>
          </w:tcPr>
          <w:p w14:paraId="3F7D04BD" w14:textId="77777777" w:rsidR="00C110AE" w:rsidRDefault="00C110AE" w:rsidP="00C110AE">
            <w:pPr>
              <w:jc w:val="right"/>
              <w:rPr>
                <w:color w:val="000000"/>
                <w:sz w:val="16"/>
                <w:szCs w:val="16"/>
              </w:rPr>
            </w:pPr>
            <w:r>
              <w:rPr>
                <w:color w:val="000000"/>
                <w:sz w:val="16"/>
                <w:szCs w:val="16"/>
              </w:rPr>
              <w:t>(6.1, 12.8)</w:t>
            </w:r>
          </w:p>
        </w:tc>
        <w:tc>
          <w:tcPr>
            <w:tcW w:w="536" w:type="dxa"/>
            <w:tcBorders>
              <w:left w:val="single" w:sz="4" w:space="0" w:color="auto"/>
            </w:tcBorders>
            <w:vAlign w:val="center"/>
          </w:tcPr>
          <w:p w14:paraId="3A2BA48C" w14:textId="77777777" w:rsidR="00C110AE" w:rsidRDefault="00C110AE" w:rsidP="00C110AE">
            <w:pPr>
              <w:jc w:val="right"/>
              <w:rPr>
                <w:color w:val="000000"/>
                <w:sz w:val="16"/>
                <w:szCs w:val="16"/>
              </w:rPr>
            </w:pPr>
            <w:r>
              <w:rPr>
                <w:color w:val="000000"/>
                <w:sz w:val="16"/>
                <w:szCs w:val="16"/>
              </w:rPr>
              <w:t>24</w:t>
            </w:r>
          </w:p>
        </w:tc>
        <w:tc>
          <w:tcPr>
            <w:tcW w:w="567" w:type="dxa"/>
            <w:vAlign w:val="center"/>
          </w:tcPr>
          <w:p w14:paraId="37545930" w14:textId="77777777" w:rsidR="00C110AE" w:rsidRDefault="00C110AE" w:rsidP="00C110AE">
            <w:pPr>
              <w:jc w:val="right"/>
              <w:rPr>
                <w:color w:val="000000"/>
                <w:sz w:val="16"/>
                <w:szCs w:val="16"/>
              </w:rPr>
            </w:pPr>
            <w:r>
              <w:rPr>
                <w:color w:val="000000"/>
                <w:sz w:val="16"/>
                <w:szCs w:val="16"/>
              </w:rPr>
              <w:t>9.5</w:t>
            </w:r>
          </w:p>
        </w:tc>
        <w:tc>
          <w:tcPr>
            <w:tcW w:w="1123" w:type="dxa"/>
            <w:vAlign w:val="center"/>
          </w:tcPr>
          <w:p w14:paraId="39EE6778" w14:textId="77777777" w:rsidR="00C110AE" w:rsidRDefault="00C110AE" w:rsidP="00C110AE">
            <w:pPr>
              <w:jc w:val="right"/>
              <w:rPr>
                <w:color w:val="000000"/>
                <w:sz w:val="16"/>
                <w:szCs w:val="16"/>
              </w:rPr>
            </w:pPr>
            <w:r>
              <w:rPr>
                <w:color w:val="000000"/>
                <w:sz w:val="16"/>
                <w:szCs w:val="16"/>
              </w:rPr>
              <w:t>(5.9, 13.2)</w:t>
            </w:r>
          </w:p>
        </w:tc>
      </w:tr>
      <w:tr w:rsidR="00C110AE" w:rsidRPr="007B4EF8" w14:paraId="1AD408C3" w14:textId="77777777" w:rsidTr="00793719">
        <w:trPr>
          <w:jc w:val="center"/>
        </w:trPr>
        <w:tc>
          <w:tcPr>
            <w:tcW w:w="2127" w:type="dxa"/>
          </w:tcPr>
          <w:p w14:paraId="6173451F" w14:textId="77777777" w:rsidR="00C110AE" w:rsidRPr="001F52AF" w:rsidRDefault="00C110AE" w:rsidP="00C110AE">
            <w:pPr>
              <w:spacing w:before="20" w:after="20"/>
              <w:ind w:left="34"/>
              <w:rPr>
                <w:rFonts w:eastAsiaTheme="minorEastAsia"/>
                <w:sz w:val="16"/>
                <w:szCs w:val="16"/>
                <w:lang w:eastAsia="en-US"/>
              </w:rPr>
            </w:pPr>
            <w:r w:rsidRPr="001F52AF">
              <w:rPr>
                <w:rFonts w:eastAsiaTheme="minorEastAsia"/>
                <w:sz w:val="16"/>
                <w:szCs w:val="18"/>
                <w:lang w:eastAsia="en-US"/>
              </w:rPr>
              <w:t>&gt;$500</w:t>
            </w:r>
          </w:p>
        </w:tc>
        <w:tc>
          <w:tcPr>
            <w:tcW w:w="2379" w:type="dxa"/>
          </w:tcPr>
          <w:p w14:paraId="1E2FA874" w14:textId="77777777" w:rsidR="00C110AE" w:rsidRPr="001B7431" w:rsidRDefault="00C110AE" w:rsidP="00C110AE">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vAlign w:val="center"/>
          </w:tcPr>
          <w:p w14:paraId="255E3D17" w14:textId="77777777" w:rsidR="00C110AE" w:rsidRDefault="00C110AE" w:rsidP="00C110AE">
            <w:pPr>
              <w:jc w:val="right"/>
              <w:rPr>
                <w:color w:val="000000"/>
                <w:sz w:val="16"/>
                <w:szCs w:val="16"/>
              </w:rPr>
            </w:pPr>
            <w:r>
              <w:rPr>
                <w:color w:val="000000"/>
                <w:sz w:val="16"/>
                <w:szCs w:val="16"/>
              </w:rPr>
              <w:t>73</w:t>
            </w:r>
          </w:p>
        </w:tc>
        <w:tc>
          <w:tcPr>
            <w:tcW w:w="496" w:type="dxa"/>
            <w:vAlign w:val="center"/>
          </w:tcPr>
          <w:p w14:paraId="2B5A51C1" w14:textId="77777777" w:rsidR="00C110AE" w:rsidRDefault="00C110AE" w:rsidP="00C110AE">
            <w:pPr>
              <w:jc w:val="right"/>
              <w:rPr>
                <w:color w:val="000000"/>
                <w:sz w:val="16"/>
                <w:szCs w:val="16"/>
              </w:rPr>
            </w:pPr>
            <w:r>
              <w:rPr>
                <w:color w:val="000000"/>
                <w:sz w:val="16"/>
                <w:szCs w:val="16"/>
              </w:rPr>
              <w:t>56.8</w:t>
            </w:r>
          </w:p>
        </w:tc>
        <w:tc>
          <w:tcPr>
            <w:tcW w:w="1043" w:type="dxa"/>
            <w:tcBorders>
              <w:right w:val="single" w:sz="4" w:space="0" w:color="auto"/>
            </w:tcBorders>
            <w:vAlign w:val="center"/>
          </w:tcPr>
          <w:p w14:paraId="42FF2E02" w14:textId="77777777" w:rsidR="00C110AE" w:rsidRDefault="00C110AE" w:rsidP="00C110AE">
            <w:pPr>
              <w:jc w:val="right"/>
              <w:rPr>
                <w:color w:val="000000"/>
                <w:sz w:val="16"/>
                <w:szCs w:val="16"/>
              </w:rPr>
            </w:pPr>
            <w:r>
              <w:rPr>
                <w:color w:val="000000"/>
                <w:sz w:val="16"/>
                <w:szCs w:val="16"/>
              </w:rPr>
              <w:t>(46.7, 66.9)</w:t>
            </w:r>
          </w:p>
        </w:tc>
        <w:tc>
          <w:tcPr>
            <w:tcW w:w="569" w:type="dxa"/>
            <w:tcBorders>
              <w:left w:val="single" w:sz="4" w:space="0" w:color="auto"/>
            </w:tcBorders>
            <w:vAlign w:val="center"/>
          </w:tcPr>
          <w:p w14:paraId="5294D4D9" w14:textId="77777777" w:rsidR="00C110AE" w:rsidRDefault="00C110AE" w:rsidP="00C110AE">
            <w:pPr>
              <w:jc w:val="right"/>
              <w:rPr>
                <w:color w:val="000000"/>
                <w:sz w:val="16"/>
                <w:szCs w:val="16"/>
              </w:rPr>
            </w:pPr>
            <w:r>
              <w:rPr>
                <w:color w:val="000000"/>
                <w:sz w:val="16"/>
                <w:szCs w:val="16"/>
              </w:rPr>
              <w:t>42</w:t>
            </w:r>
          </w:p>
        </w:tc>
        <w:tc>
          <w:tcPr>
            <w:tcW w:w="567" w:type="dxa"/>
            <w:vAlign w:val="center"/>
          </w:tcPr>
          <w:p w14:paraId="32B665AB" w14:textId="77777777" w:rsidR="00C110AE" w:rsidRDefault="00C110AE" w:rsidP="00C110AE">
            <w:pPr>
              <w:jc w:val="right"/>
              <w:rPr>
                <w:color w:val="000000"/>
                <w:sz w:val="16"/>
                <w:szCs w:val="16"/>
              </w:rPr>
            </w:pPr>
            <w:r>
              <w:rPr>
                <w:color w:val="000000"/>
                <w:sz w:val="16"/>
                <w:szCs w:val="16"/>
              </w:rPr>
              <w:t>65.5</w:t>
            </w:r>
          </w:p>
        </w:tc>
        <w:tc>
          <w:tcPr>
            <w:tcW w:w="1123" w:type="dxa"/>
            <w:tcBorders>
              <w:right w:val="single" w:sz="4" w:space="0" w:color="auto"/>
            </w:tcBorders>
            <w:vAlign w:val="center"/>
          </w:tcPr>
          <w:p w14:paraId="1A672CFC" w14:textId="77777777" w:rsidR="00C110AE" w:rsidRDefault="00C110AE" w:rsidP="00C110AE">
            <w:pPr>
              <w:jc w:val="right"/>
              <w:rPr>
                <w:color w:val="000000"/>
                <w:sz w:val="16"/>
                <w:szCs w:val="16"/>
              </w:rPr>
            </w:pPr>
            <w:r>
              <w:rPr>
                <w:color w:val="000000"/>
                <w:sz w:val="16"/>
                <w:szCs w:val="16"/>
              </w:rPr>
              <w:t>(51.6, 79.3)</w:t>
            </w:r>
          </w:p>
        </w:tc>
        <w:tc>
          <w:tcPr>
            <w:tcW w:w="536" w:type="dxa"/>
            <w:tcBorders>
              <w:left w:val="single" w:sz="4" w:space="0" w:color="auto"/>
            </w:tcBorders>
            <w:vAlign w:val="center"/>
          </w:tcPr>
          <w:p w14:paraId="03358D8D" w14:textId="77777777" w:rsidR="00C110AE" w:rsidRDefault="00C110AE" w:rsidP="00C110AE">
            <w:pPr>
              <w:jc w:val="right"/>
              <w:rPr>
                <w:color w:val="000000"/>
                <w:sz w:val="16"/>
                <w:szCs w:val="16"/>
              </w:rPr>
            </w:pPr>
            <w:r>
              <w:rPr>
                <w:color w:val="000000"/>
                <w:sz w:val="16"/>
                <w:szCs w:val="16"/>
              </w:rPr>
              <w:t>38</w:t>
            </w:r>
          </w:p>
        </w:tc>
        <w:tc>
          <w:tcPr>
            <w:tcW w:w="576" w:type="dxa"/>
            <w:vAlign w:val="center"/>
          </w:tcPr>
          <w:p w14:paraId="38841112" w14:textId="77777777" w:rsidR="00C110AE" w:rsidRDefault="00C110AE" w:rsidP="00C110AE">
            <w:pPr>
              <w:jc w:val="right"/>
              <w:rPr>
                <w:color w:val="000000"/>
                <w:sz w:val="16"/>
                <w:szCs w:val="16"/>
              </w:rPr>
            </w:pPr>
            <w:r>
              <w:rPr>
                <w:color w:val="000000"/>
                <w:sz w:val="16"/>
                <w:szCs w:val="16"/>
              </w:rPr>
              <w:t>69.5</w:t>
            </w:r>
          </w:p>
        </w:tc>
        <w:tc>
          <w:tcPr>
            <w:tcW w:w="1123" w:type="dxa"/>
            <w:tcBorders>
              <w:right w:val="single" w:sz="4" w:space="0" w:color="auto"/>
            </w:tcBorders>
            <w:vAlign w:val="center"/>
          </w:tcPr>
          <w:p w14:paraId="3D8FB7E2" w14:textId="77777777" w:rsidR="00C110AE" w:rsidRDefault="00C110AE" w:rsidP="00C110AE">
            <w:pPr>
              <w:jc w:val="right"/>
              <w:rPr>
                <w:color w:val="000000"/>
                <w:sz w:val="16"/>
                <w:szCs w:val="16"/>
              </w:rPr>
            </w:pPr>
            <w:r>
              <w:rPr>
                <w:color w:val="000000"/>
                <w:sz w:val="16"/>
                <w:szCs w:val="16"/>
              </w:rPr>
              <w:t>(55.6, 83.4)</w:t>
            </w:r>
          </w:p>
        </w:tc>
        <w:tc>
          <w:tcPr>
            <w:tcW w:w="536" w:type="dxa"/>
            <w:tcBorders>
              <w:left w:val="single" w:sz="4" w:space="0" w:color="auto"/>
            </w:tcBorders>
            <w:vAlign w:val="center"/>
          </w:tcPr>
          <w:p w14:paraId="4D8E2980" w14:textId="77777777" w:rsidR="00C110AE" w:rsidRDefault="00C110AE" w:rsidP="00C110AE">
            <w:pPr>
              <w:jc w:val="right"/>
              <w:rPr>
                <w:color w:val="000000"/>
                <w:sz w:val="16"/>
                <w:szCs w:val="16"/>
              </w:rPr>
            </w:pPr>
            <w:r>
              <w:rPr>
                <w:color w:val="000000"/>
                <w:sz w:val="16"/>
                <w:szCs w:val="16"/>
              </w:rPr>
              <w:t>19</w:t>
            </w:r>
          </w:p>
        </w:tc>
        <w:tc>
          <w:tcPr>
            <w:tcW w:w="567" w:type="dxa"/>
            <w:vAlign w:val="center"/>
          </w:tcPr>
          <w:p w14:paraId="61DAE984" w14:textId="77777777" w:rsidR="00C110AE" w:rsidRDefault="00C110AE" w:rsidP="00C110AE">
            <w:pPr>
              <w:jc w:val="right"/>
              <w:rPr>
                <w:color w:val="000000"/>
                <w:sz w:val="16"/>
                <w:szCs w:val="16"/>
              </w:rPr>
            </w:pPr>
            <w:r>
              <w:rPr>
                <w:color w:val="000000"/>
                <w:sz w:val="16"/>
                <w:szCs w:val="16"/>
              </w:rPr>
              <w:t>60.7</w:t>
            </w:r>
          </w:p>
        </w:tc>
        <w:tc>
          <w:tcPr>
            <w:tcW w:w="1123" w:type="dxa"/>
            <w:vAlign w:val="center"/>
          </w:tcPr>
          <w:p w14:paraId="263D5AE0" w14:textId="77777777" w:rsidR="00C110AE" w:rsidRDefault="00C110AE" w:rsidP="00C110AE">
            <w:pPr>
              <w:jc w:val="right"/>
              <w:rPr>
                <w:color w:val="000000"/>
                <w:sz w:val="16"/>
                <w:szCs w:val="16"/>
              </w:rPr>
            </w:pPr>
            <w:r>
              <w:rPr>
                <w:color w:val="000000"/>
                <w:sz w:val="16"/>
                <w:szCs w:val="16"/>
              </w:rPr>
              <w:t>(41.4, 80.1)</w:t>
            </w:r>
          </w:p>
        </w:tc>
      </w:tr>
      <w:tr w:rsidR="00C110AE" w:rsidRPr="007B4EF8" w14:paraId="12871BD0" w14:textId="77777777" w:rsidTr="00793719">
        <w:trPr>
          <w:jc w:val="center"/>
        </w:trPr>
        <w:tc>
          <w:tcPr>
            <w:tcW w:w="2127" w:type="dxa"/>
          </w:tcPr>
          <w:p w14:paraId="5360DBF5" w14:textId="77777777" w:rsidR="00C110AE" w:rsidRDefault="00C110AE" w:rsidP="00C110AE">
            <w:pPr>
              <w:spacing w:before="20" w:after="20"/>
              <w:ind w:left="34"/>
              <w:rPr>
                <w:rFonts w:eastAsiaTheme="minorEastAsia"/>
                <w:sz w:val="16"/>
                <w:szCs w:val="16"/>
                <w:lang w:eastAsia="en-US"/>
              </w:rPr>
            </w:pPr>
          </w:p>
        </w:tc>
        <w:tc>
          <w:tcPr>
            <w:tcW w:w="2379" w:type="dxa"/>
          </w:tcPr>
          <w:p w14:paraId="45E32BE8" w14:textId="77777777" w:rsidR="00C110AE" w:rsidRPr="001B7431" w:rsidRDefault="00C110AE" w:rsidP="00C110AE">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vAlign w:val="center"/>
          </w:tcPr>
          <w:p w14:paraId="37183E52" w14:textId="77777777" w:rsidR="00C110AE" w:rsidRDefault="00C110AE" w:rsidP="00C110AE">
            <w:pPr>
              <w:jc w:val="right"/>
              <w:rPr>
                <w:color w:val="000000"/>
                <w:sz w:val="16"/>
                <w:szCs w:val="16"/>
              </w:rPr>
            </w:pPr>
            <w:r>
              <w:rPr>
                <w:color w:val="000000"/>
                <w:sz w:val="16"/>
                <w:szCs w:val="16"/>
              </w:rPr>
              <w:t>29</w:t>
            </w:r>
          </w:p>
        </w:tc>
        <w:tc>
          <w:tcPr>
            <w:tcW w:w="496" w:type="dxa"/>
            <w:vAlign w:val="center"/>
          </w:tcPr>
          <w:p w14:paraId="381B9DDD" w14:textId="77777777" w:rsidR="00C110AE" w:rsidRDefault="00C110AE" w:rsidP="00C110AE">
            <w:pPr>
              <w:jc w:val="right"/>
              <w:rPr>
                <w:color w:val="000000"/>
                <w:sz w:val="16"/>
                <w:szCs w:val="16"/>
              </w:rPr>
            </w:pPr>
            <w:r>
              <w:rPr>
                <w:color w:val="000000"/>
                <w:sz w:val="16"/>
                <w:szCs w:val="16"/>
              </w:rPr>
              <w:t>22.7</w:t>
            </w:r>
          </w:p>
        </w:tc>
        <w:tc>
          <w:tcPr>
            <w:tcW w:w="1043" w:type="dxa"/>
            <w:tcBorders>
              <w:right w:val="single" w:sz="4" w:space="0" w:color="auto"/>
            </w:tcBorders>
            <w:vAlign w:val="center"/>
          </w:tcPr>
          <w:p w14:paraId="16840B78" w14:textId="77777777" w:rsidR="00C110AE" w:rsidRDefault="00C110AE" w:rsidP="00C110AE">
            <w:pPr>
              <w:jc w:val="right"/>
              <w:rPr>
                <w:color w:val="000000"/>
                <w:sz w:val="16"/>
                <w:szCs w:val="16"/>
              </w:rPr>
            </w:pPr>
            <w:r>
              <w:rPr>
                <w:color w:val="000000"/>
                <w:sz w:val="16"/>
                <w:szCs w:val="16"/>
              </w:rPr>
              <w:t>(14.3, 31.2)</w:t>
            </w:r>
          </w:p>
        </w:tc>
        <w:tc>
          <w:tcPr>
            <w:tcW w:w="569" w:type="dxa"/>
            <w:tcBorders>
              <w:left w:val="single" w:sz="4" w:space="0" w:color="auto"/>
            </w:tcBorders>
            <w:vAlign w:val="center"/>
          </w:tcPr>
          <w:p w14:paraId="62B8A873" w14:textId="77777777" w:rsidR="00C110AE" w:rsidRDefault="00C110AE" w:rsidP="00C110AE">
            <w:pPr>
              <w:jc w:val="right"/>
              <w:rPr>
                <w:color w:val="000000"/>
                <w:sz w:val="16"/>
                <w:szCs w:val="16"/>
              </w:rPr>
            </w:pPr>
            <w:r>
              <w:rPr>
                <w:color w:val="000000"/>
                <w:sz w:val="16"/>
                <w:szCs w:val="16"/>
              </w:rPr>
              <w:t>9</w:t>
            </w:r>
          </w:p>
        </w:tc>
        <w:tc>
          <w:tcPr>
            <w:tcW w:w="567" w:type="dxa"/>
            <w:vAlign w:val="center"/>
          </w:tcPr>
          <w:p w14:paraId="612323E9" w14:textId="77777777" w:rsidR="00C110AE" w:rsidRDefault="00C110AE" w:rsidP="00C110AE">
            <w:pPr>
              <w:jc w:val="right"/>
              <w:rPr>
                <w:color w:val="000000"/>
                <w:sz w:val="16"/>
                <w:szCs w:val="16"/>
              </w:rPr>
            </w:pPr>
            <w:r>
              <w:rPr>
                <w:color w:val="000000"/>
                <w:sz w:val="16"/>
                <w:szCs w:val="16"/>
              </w:rPr>
              <w:t>13.6</w:t>
            </w:r>
          </w:p>
        </w:tc>
        <w:tc>
          <w:tcPr>
            <w:tcW w:w="1123" w:type="dxa"/>
            <w:tcBorders>
              <w:right w:val="single" w:sz="4" w:space="0" w:color="auto"/>
            </w:tcBorders>
            <w:vAlign w:val="center"/>
          </w:tcPr>
          <w:p w14:paraId="1C257D36" w14:textId="77777777" w:rsidR="00C110AE" w:rsidRDefault="00C110AE" w:rsidP="00C110AE">
            <w:pPr>
              <w:jc w:val="right"/>
              <w:rPr>
                <w:color w:val="000000"/>
                <w:sz w:val="16"/>
                <w:szCs w:val="16"/>
              </w:rPr>
            </w:pPr>
            <w:r>
              <w:rPr>
                <w:color w:val="000000"/>
                <w:sz w:val="16"/>
                <w:szCs w:val="16"/>
              </w:rPr>
              <w:t>(4.2, 23.0)</w:t>
            </w:r>
          </w:p>
        </w:tc>
        <w:tc>
          <w:tcPr>
            <w:tcW w:w="536" w:type="dxa"/>
            <w:tcBorders>
              <w:left w:val="single" w:sz="4" w:space="0" w:color="auto"/>
            </w:tcBorders>
            <w:vAlign w:val="center"/>
          </w:tcPr>
          <w:p w14:paraId="654132BE" w14:textId="77777777" w:rsidR="00C110AE" w:rsidRDefault="00C110AE" w:rsidP="00C110AE">
            <w:pPr>
              <w:jc w:val="right"/>
              <w:rPr>
                <w:color w:val="000000"/>
                <w:sz w:val="16"/>
                <w:szCs w:val="16"/>
              </w:rPr>
            </w:pPr>
            <w:r>
              <w:rPr>
                <w:color w:val="000000"/>
                <w:sz w:val="16"/>
                <w:szCs w:val="16"/>
              </w:rPr>
              <w:t>8</w:t>
            </w:r>
          </w:p>
        </w:tc>
        <w:tc>
          <w:tcPr>
            <w:tcW w:w="576" w:type="dxa"/>
            <w:vAlign w:val="center"/>
          </w:tcPr>
          <w:p w14:paraId="114490B9" w14:textId="77777777" w:rsidR="00C110AE" w:rsidRDefault="00C110AE" w:rsidP="00C110AE">
            <w:pPr>
              <w:jc w:val="right"/>
              <w:rPr>
                <w:color w:val="000000"/>
                <w:sz w:val="16"/>
                <w:szCs w:val="16"/>
              </w:rPr>
            </w:pPr>
            <w:r>
              <w:rPr>
                <w:color w:val="000000"/>
                <w:sz w:val="16"/>
                <w:szCs w:val="16"/>
              </w:rPr>
              <w:t>15.0</w:t>
            </w:r>
          </w:p>
        </w:tc>
        <w:tc>
          <w:tcPr>
            <w:tcW w:w="1123" w:type="dxa"/>
            <w:tcBorders>
              <w:right w:val="single" w:sz="4" w:space="0" w:color="auto"/>
            </w:tcBorders>
            <w:vAlign w:val="center"/>
          </w:tcPr>
          <w:p w14:paraId="0E70B9B0" w14:textId="77777777" w:rsidR="00C110AE" w:rsidRDefault="00C110AE" w:rsidP="00C110AE">
            <w:pPr>
              <w:jc w:val="right"/>
              <w:rPr>
                <w:color w:val="000000"/>
                <w:sz w:val="16"/>
                <w:szCs w:val="16"/>
              </w:rPr>
            </w:pPr>
            <w:r>
              <w:rPr>
                <w:color w:val="000000"/>
                <w:sz w:val="16"/>
                <w:szCs w:val="16"/>
              </w:rPr>
              <w:t>(2.9, 27.1)</w:t>
            </w:r>
          </w:p>
        </w:tc>
        <w:tc>
          <w:tcPr>
            <w:tcW w:w="536" w:type="dxa"/>
            <w:tcBorders>
              <w:left w:val="single" w:sz="4" w:space="0" w:color="auto"/>
            </w:tcBorders>
            <w:vAlign w:val="center"/>
          </w:tcPr>
          <w:p w14:paraId="15905C6C" w14:textId="77777777" w:rsidR="00C110AE" w:rsidRDefault="00C110AE" w:rsidP="00C110AE">
            <w:pPr>
              <w:jc w:val="right"/>
              <w:rPr>
                <w:color w:val="000000"/>
                <w:sz w:val="16"/>
                <w:szCs w:val="16"/>
              </w:rPr>
            </w:pPr>
            <w:r>
              <w:rPr>
                <w:color w:val="000000"/>
                <w:sz w:val="16"/>
                <w:szCs w:val="16"/>
              </w:rPr>
              <w:t>3</w:t>
            </w:r>
          </w:p>
        </w:tc>
        <w:tc>
          <w:tcPr>
            <w:tcW w:w="567" w:type="dxa"/>
            <w:vAlign w:val="center"/>
          </w:tcPr>
          <w:p w14:paraId="5E3659A6" w14:textId="77777777" w:rsidR="00C110AE" w:rsidRDefault="00C110AE" w:rsidP="00C110AE">
            <w:pPr>
              <w:jc w:val="right"/>
              <w:rPr>
                <w:color w:val="000000"/>
                <w:sz w:val="16"/>
                <w:szCs w:val="16"/>
              </w:rPr>
            </w:pPr>
            <w:r>
              <w:rPr>
                <w:color w:val="000000"/>
                <w:sz w:val="16"/>
                <w:szCs w:val="16"/>
              </w:rPr>
              <w:t>9.6</w:t>
            </w:r>
          </w:p>
        </w:tc>
        <w:tc>
          <w:tcPr>
            <w:tcW w:w="1123" w:type="dxa"/>
            <w:vAlign w:val="center"/>
          </w:tcPr>
          <w:p w14:paraId="661A1AE8" w14:textId="77777777" w:rsidR="00C110AE" w:rsidRDefault="00C110AE" w:rsidP="00C110AE">
            <w:pPr>
              <w:jc w:val="right"/>
              <w:rPr>
                <w:color w:val="000000"/>
                <w:sz w:val="16"/>
                <w:szCs w:val="16"/>
              </w:rPr>
            </w:pPr>
            <w:r>
              <w:rPr>
                <w:color w:val="000000"/>
                <w:sz w:val="16"/>
                <w:szCs w:val="16"/>
              </w:rPr>
              <w:t>(2.4, 16.8)</w:t>
            </w:r>
          </w:p>
        </w:tc>
      </w:tr>
      <w:tr w:rsidR="00C110AE" w:rsidRPr="007B4EF8" w14:paraId="52C96C64" w14:textId="77777777" w:rsidTr="00793719">
        <w:trPr>
          <w:jc w:val="center"/>
        </w:trPr>
        <w:tc>
          <w:tcPr>
            <w:tcW w:w="2127" w:type="dxa"/>
          </w:tcPr>
          <w:p w14:paraId="6442B2C2" w14:textId="77777777" w:rsidR="00C110AE" w:rsidRDefault="00C110AE" w:rsidP="00C110AE">
            <w:pPr>
              <w:spacing w:before="20" w:after="20"/>
              <w:ind w:left="34"/>
              <w:rPr>
                <w:rFonts w:eastAsiaTheme="minorEastAsia"/>
                <w:sz w:val="16"/>
                <w:szCs w:val="16"/>
                <w:lang w:eastAsia="en-US"/>
              </w:rPr>
            </w:pPr>
          </w:p>
        </w:tc>
        <w:tc>
          <w:tcPr>
            <w:tcW w:w="2379" w:type="dxa"/>
          </w:tcPr>
          <w:p w14:paraId="6DD09F28" w14:textId="77777777" w:rsidR="00C110AE" w:rsidRPr="001B7431" w:rsidRDefault="00C110AE" w:rsidP="00C110AE">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vAlign w:val="center"/>
          </w:tcPr>
          <w:p w14:paraId="7776A3D6" w14:textId="77777777" w:rsidR="00C110AE" w:rsidRDefault="00C110AE" w:rsidP="00C110AE">
            <w:pPr>
              <w:jc w:val="right"/>
              <w:rPr>
                <w:color w:val="000000"/>
                <w:sz w:val="16"/>
                <w:szCs w:val="16"/>
              </w:rPr>
            </w:pPr>
            <w:r>
              <w:rPr>
                <w:color w:val="000000"/>
                <w:sz w:val="16"/>
                <w:szCs w:val="16"/>
              </w:rPr>
              <w:t>26</w:t>
            </w:r>
          </w:p>
        </w:tc>
        <w:tc>
          <w:tcPr>
            <w:tcW w:w="496" w:type="dxa"/>
            <w:vAlign w:val="center"/>
          </w:tcPr>
          <w:p w14:paraId="1D782E92" w14:textId="77777777" w:rsidR="00C110AE" w:rsidRDefault="00C110AE" w:rsidP="00C110AE">
            <w:pPr>
              <w:jc w:val="right"/>
              <w:rPr>
                <w:color w:val="000000"/>
                <w:sz w:val="16"/>
                <w:szCs w:val="16"/>
              </w:rPr>
            </w:pPr>
            <w:r>
              <w:rPr>
                <w:color w:val="000000"/>
                <w:sz w:val="16"/>
                <w:szCs w:val="16"/>
              </w:rPr>
              <w:t>20.5</w:t>
            </w:r>
          </w:p>
        </w:tc>
        <w:tc>
          <w:tcPr>
            <w:tcW w:w="1043" w:type="dxa"/>
            <w:tcBorders>
              <w:right w:val="single" w:sz="4" w:space="0" w:color="auto"/>
            </w:tcBorders>
            <w:vAlign w:val="center"/>
          </w:tcPr>
          <w:p w14:paraId="269F6B2F" w14:textId="77777777" w:rsidR="00C110AE" w:rsidRDefault="00C110AE" w:rsidP="00C110AE">
            <w:pPr>
              <w:jc w:val="right"/>
              <w:rPr>
                <w:color w:val="000000"/>
                <w:sz w:val="16"/>
                <w:szCs w:val="16"/>
              </w:rPr>
            </w:pPr>
            <w:r>
              <w:rPr>
                <w:color w:val="000000"/>
                <w:sz w:val="16"/>
                <w:szCs w:val="16"/>
              </w:rPr>
              <w:t>(12.6, 28.4)</w:t>
            </w:r>
          </w:p>
        </w:tc>
        <w:tc>
          <w:tcPr>
            <w:tcW w:w="569" w:type="dxa"/>
            <w:tcBorders>
              <w:left w:val="single" w:sz="4" w:space="0" w:color="auto"/>
            </w:tcBorders>
            <w:vAlign w:val="center"/>
          </w:tcPr>
          <w:p w14:paraId="4CDFC33D" w14:textId="77777777" w:rsidR="00C110AE" w:rsidRDefault="00C110AE" w:rsidP="00C110AE">
            <w:pPr>
              <w:jc w:val="right"/>
              <w:rPr>
                <w:color w:val="000000"/>
                <w:sz w:val="16"/>
                <w:szCs w:val="16"/>
              </w:rPr>
            </w:pPr>
            <w:r>
              <w:rPr>
                <w:color w:val="000000"/>
                <w:sz w:val="16"/>
                <w:szCs w:val="16"/>
              </w:rPr>
              <w:t>13</w:t>
            </w:r>
          </w:p>
        </w:tc>
        <w:tc>
          <w:tcPr>
            <w:tcW w:w="567" w:type="dxa"/>
            <w:vAlign w:val="center"/>
          </w:tcPr>
          <w:p w14:paraId="3F51DAD8" w14:textId="77777777" w:rsidR="00C110AE" w:rsidRDefault="00C110AE" w:rsidP="00C110AE">
            <w:pPr>
              <w:jc w:val="right"/>
              <w:rPr>
                <w:color w:val="000000"/>
                <w:sz w:val="16"/>
                <w:szCs w:val="16"/>
              </w:rPr>
            </w:pPr>
            <w:r>
              <w:rPr>
                <w:color w:val="000000"/>
                <w:sz w:val="16"/>
                <w:szCs w:val="16"/>
              </w:rPr>
              <w:t>21.0</w:t>
            </w:r>
          </w:p>
        </w:tc>
        <w:tc>
          <w:tcPr>
            <w:tcW w:w="1123" w:type="dxa"/>
            <w:tcBorders>
              <w:right w:val="single" w:sz="4" w:space="0" w:color="auto"/>
            </w:tcBorders>
            <w:vAlign w:val="center"/>
          </w:tcPr>
          <w:p w14:paraId="42456896" w14:textId="77777777" w:rsidR="00C110AE" w:rsidRDefault="00C110AE" w:rsidP="00C110AE">
            <w:pPr>
              <w:jc w:val="right"/>
              <w:rPr>
                <w:color w:val="000000"/>
                <w:sz w:val="16"/>
                <w:szCs w:val="16"/>
              </w:rPr>
            </w:pPr>
            <w:r>
              <w:rPr>
                <w:color w:val="000000"/>
                <w:sz w:val="16"/>
                <w:szCs w:val="16"/>
              </w:rPr>
              <w:t>(10.1, 31.9)</w:t>
            </w:r>
          </w:p>
        </w:tc>
        <w:tc>
          <w:tcPr>
            <w:tcW w:w="536" w:type="dxa"/>
            <w:tcBorders>
              <w:left w:val="single" w:sz="4" w:space="0" w:color="auto"/>
            </w:tcBorders>
            <w:vAlign w:val="center"/>
          </w:tcPr>
          <w:p w14:paraId="7BCA0D58" w14:textId="77777777" w:rsidR="00C110AE" w:rsidRDefault="00C110AE" w:rsidP="00C110AE">
            <w:pPr>
              <w:jc w:val="right"/>
              <w:rPr>
                <w:color w:val="000000"/>
                <w:sz w:val="16"/>
                <w:szCs w:val="16"/>
              </w:rPr>
            </w:pPr>
            <w:r>
              <w:rPr>
                <w:color w:val="000000"/>
                <w:sz w:val="16"/>
                <w:szCs w:val="16"/>
              </w:rPr>
              <w:t>9</w:t>
            </w:r>
          </w:p>
        </w:tc>
        <w:tc>
          <w:tcPr>
            <w:tcW w:w="576" w:type="dxa"/>
            <w:vAlign w:val="center"/>
          </w:tcPr>
          <w:p w14:paraId="116ED46B" w14:textId="77777777" w:rsidR="00C110AE" w:rsidRDefault="00C110AE" w:rsidP="00C110AE">
            <w:pPr>
              <w:jc w:val="right"/>
              <w:rPr>
                <w:color w:val="000000"/>
                <w:sz w:val="16"/>
                <w:szCs w:val="16"/>
              </w:rPr>
            </w:pPr>
            <w:r>
              <w:rPr>
                <w:color w:val="000000"/>
                <w:sz w:val="16"/>
                <w:szCs w:val="16"/>
              </w:rPr>
              <w:t>15.5</w:t>
            </w:r>
          </w:p>
        </w:tc>
        <w:tc>
          <w:tcPr>
            <w:tcW w:w="1123" w:type="dxa"/>
            <w:tcBorders>
              <w:right w:val="single" w:sz="4" w:space="0" w:color="auto"/>
            </w:tcBorders>
            <w:vAlign w:val="center"/>
          </w:tcPr>
          <w:p w14:paraId="63D7D2A1" w14:textId="77777777" w:rsidR="00C110AE" w:rsidRDefault="00C110AE" w:rsidP="00C110AE">
            <w:pPr>
              <w:jc w:val="right"/>
              <w:rPr>
                <w:color w:val="000000"/>
                <w:sz w:val="16"/>
                <w:szCs w:val="16"/>
              </w:rPr>
            </w:pPr>
            <w:r>
              <w:rPr>
                <w:color w:val="000000"/>
                <w:sz w:val="16"/>
                <w:szCs w:val="16"/>
              </w:rPr>
              <w:t>(5.8, 25.1)</w:t>
            </w:r>
          </w:p>
        </w:tc>
        <w:tc>
          <w:tcPr>
            <w:tcW w:w="536" w:type="dxa"/>
            <w:tcBorders>
              <w:left w:val="single" w:sz="4" w:space="0" w:color="auto"/>
            </w:tcBorders>
            <w:vAlign w:val="center"/>
          </w:tcPr>
          <w:p w14:paraId="69B84872" w14:textId="77777777" w:rsidR="00C110AE" w:rsidRDefault="00C110AE" w:rsidP="00C110AE">
            <w:pPr>
              <w:jc w:val="right"/>
              <w:rPr>
                <w:color w:val="000000"/>
                <w:sz w:val="16"/>
                <w:szCs w:val="16"/>
              </w:rPr>
            </w:pPr>
            <w:r>
              <w:rPr>
                <w:color w:val="000000"/>
                <w:sz w:val="16"/>
                <w:szCs w:val="16"/>
              </w:rPr>
              <w:t>10</w:t>
            </w:r>
          </w:p>
        </w:tc>
        <w:tc>
          <w:tcPr>
            <w:tcW w:w="567" w:type="dxa"/>
            <w:vAlign w:val="center"/>
          </w:tcPr>
          <w:p w14:paraId="5DC03513" w14:textId="77777777" w:rsidR="00C110AE" w:rsidRDefault="00C110AE" w:rsidP="00C110AE">
            <w:pPr>
              <w:jc w:val="right"/>
              <w:rPr>
                <w:color w:val="000000"/>
                <w:sz w:val="16"/>
                <w:szCs w:val="16"/>
              </w:rPr>
            </w:pPr>
            <w:r>
              <w:rPr>
                <w:color w:val="000000"/>
                <w:sz w:val="16"/>
                <w:szCs w:val="16"/>
              </w:rPr>
              <w:t>29.6</w:t>
            </w:r>
          </w:p>
        </w:tc>
        <w:tc>
          <w:tcPr>
            <w:tcW w:w="1123" w:type="dxa"/>
            <w:vAlign w:val="center"/>
          </w:tcPr>
          <w:p w14:paraId="31C0F6D1" w14:textId="77777777" w:rsidR="00C110AE" w:rsidRDefault="00C110AE" w:rsidP="00C110AE">
            <w:pPr>
              <w:jc w:val="right"/>
              <w:rPr>
                <w:color w:val="000000"/>
                <w:sz w:val="16"/>
                <w:szCs w:val="16"/>
              </w:rPr>
            </w:pPr>
            <w:r>
              <w:rPr>
                <w:color w:val="000000"/>
                <w:sz w:val="16"/>
                <w:szCs w:val="16"/>
              </w:rPr>
              <w:t>(11.3, 48)</w:t>
            </w:r>
          </w:p>
        </w:tc>
      </w:tr>
      <w:tr w:rsidR="00793719" w:rsidRPr="007B4EF8" w14:paraId="2BCF5DF1" w14:textId="77777777" w:rsidTr="00793719">
        <w:trPr>
          <w:jc w:val="center"/>
        </w:trPr>
        <w:tc>
          <w:tcPr>
            <w:tcW w:w="4506" w:type="dxa"/>
            <w:gridSpan w:val="2"/>
            <w:vAlign w:val="center"/>
          </w:tcPr>
          <w:p w14:paraId="14502893" w14:textId="77777777" w:rsidR="00793719" w:rsidRPr="001B7431" w:rsidRDefault="00793719" w:rsidP="00793719">
            <w:pPr>
              <w:spacing w:before="20" w:after="20"/>
              <w:ind w:left="34"/>
              <w:rPr>
                <w:rFonts w:eastAsiaTheme="minorEastAsia"/>
                <w:sz w:val="16"/>
                <w:szCs w:val="16"/>
                <w:lang w:eastAsia="en-US"/>
              </w:rPr>
            </w:pPr>
            <w:r w:rsidRPr="00793719">
              <w:rPr>
                <w:rFonts w:eastAsiaTheme="minorEastAsia"/>
                <w:b/>
                <w:sz w:val="16"/>
                <w:szCs w:val="16"/>
                <w:lang w:eastAsia="en-US"/>
              </w:rPr>
              <w:t>NZ casino</w:t>
            </w:r>
            <w:r>
              <w:rPr>
                <w:rFonts w:eastAsiaTheme="minorEastAsia"/>
                <w:b/>
                <w:sz w:val="16"/>
                <w:szCs w:val="16"/>
                <w:lang w:eastAsia="en-US"/>
              </w:rPr>
              <w:t xml:space="preserve"> EGMS (time gambling in average day)</w:t>
            </w:r>
          </w:p>
        </w:tc>
        <w:tc>
          <w:tcPr>
            <w:tcW w:w="616" w:type="dxa"/>
            <w:vAlign w:val="center"/>
          </w:tcPr>
          <w:p w14:paraId="6231469F" w14:textId="77777777" w:rsidR="00793719" w:rsidRDefault="00793719" w:rsidP="001F52AF">
            <w:pPr>
              <w:jc w:val="right"/>
              <w:rPr>
                <w:color w:val="000000"/>
                <w:sz w:val="16"/>
                <w:szCs w:val="16"/>
                <w:lang w:eastAsia="en-NZ"/>
              </w:rPr>
            </w:pPr>
          </w:p>
        </w:tc>
        <w:tc>
          <w:tcPr>
            <w:tcW w:w="496" w:type="dxa"/>
            <w:vAlign w:val="center"/>
          </w:tcPr>
          <w:p w14:paraId="176F3CF2" w14:textId="77777777" w:rsidR="00793719" w:rsidRDefault="00793719" w:rsidP="001F52AF">
            <w:pPr>
              <w:jc w:val="right"/>
              <w:rPr>
                <w:color w:val="000000"/>
                <w:sz w:val="16"/>
                <w:szCs w:val="16"/>
              </w:rPr>
            </w:pPr>
          </w:p>
        </w:tc>
        <w:tc>
          <w:tcPr>
            <w:tcW w:w="1043" w:type="dxa"/>
            <w:tcBorders>
              <w:right w:val="single" w:sz="4" w:space="0" w:color="auto"/>
            </w:tcBorders>
            <w:vAlign w:val="center"/>
          </w:tcPr>
          <w:p w14:paraId="2181DB12" w14:textId="77777777" w:rsidR="00793719" w:rsidRDefault="00793719" w:rsidP="001F52AF">
            <w:pPr>
              <w:jc w:val="right"/>
              <w:rPr>
                <w:color w:val="000000"/>
                <w:sz w:val="16"/>
                <w:szCs w:val="16"/>
              </w:rPr>
            </w:pPr>
          </w:p>
        </w:tc>
        <w:tc>
          <w:tcPr>
            <w:tcW w:w="569" w:type="dxa"/>
            <w:tcBorders>
              <w:left w:val="single" w:sz="4" w:space="0" w:color="auto"/>
            </w:tcBorders>
            <w:vAlign w:val="center"/>
          </w:tcPr>
          <w:p w14:paraId="0DBDFC23" w14:textId="77777777" w:rsidR="00793719" w:rsidRDefault="00793719" w:rsidP="001F52AF">
            <w:pPr>
              <w:jc w:val="right"/>
              <w:rPr>
                <w:color w:val="000000"/>
                <w:sz w:val="16"/>
                <w:szCs w:val="16"/>
              </w:rPr>
            </w:pPr>
          </w:p>
        </w:tc>
        <w:tc>
          <w:tcPr>
            <w:tcW w:w="567" w:type="dxa"/>
            <w:vAlign w:val="center"/>
          </w:tcPr>
          <w:p w14:paraId="4C7E7FD7" w14:textId="77777777" w:rsidR="00793719" w:rsidRDefault="00793719" w:rsidP="001F52AF">
            <w:pPr>
              <w:jc w:val="right"/>
              <w:rPr>
                <w:color w:val="000000"/>
                <w:sz w:val="16"/>
                <w:szCs w:val="16"/>
              </w:rPr>
            </w:pPr>
          </w:p>
        </w:tc>
        <w:tc>
          <w:tcPr>
            <w:tcW w:w="1123" w:type="dxa"/>
            <w:tcBorders>
              <w:right w:val="single" w:sz="4" w:space="0" w:color="auto"/>
            </w:tcBorders>
            <w:vAlign w:val="center"/>
          </w:tcPr>
          <w:p w14:paraId="2BFB2CA1" w14:textId="77777777" w:rsidR="00793719" w:rsidRDefault="00793719" w:rsidP="001F52AF">
            <w:pPr>
              <w:jc w:val="right"/>
              <w:rPr>
                <w:color w:val="000000"/>
                <w:sz w:val="16"/>
                <w:szCs w:val="16"/>
              </w:rPr>
            </w:pPr>
          </w:p>
        </w:tc>
        <w:tc>
          <w:tcPr>
            <w:tcW w:w="536" w:type="dxa"/>
            <w:tcBorders>
              <w:left w:val="single" w:sz="4" w:space="0" w:color="auto"/>
            </w:tcBorders>
            <w:vAlign w:val="center"/>
          </w:tcPr>
          <w:p w14:paraId="5DEBE7F1" w14:textId="77777777" w:rsidR="00793719" w:rsidRDefault="00793719" w:rsidP="001F52AF">
            <w:pPr>
              <w:jc w:val="right"/>
              <w:rPr>
                <w:color w:val="000000"/>
                <w:sz w:val="16"/>
                <w:szCs w:val="16"/>
              </w:rPr>
            </w:pPr>
          </w:p>
        </w:tc>
        <w:tc>
          <w:tcPr>
            <w:tcW w:w="576" w:type="dxa"/>
            <w:vAlign w:val="center"/>
          </w:tcPr>
          <w:p w14:paraId="3E2DDF05" w14:textId="77777777" w:rsidR="00793719" w:rsidRDefault="00793719" w:rsidP="001F52AF">
            <w:pPr>
              <w:jc w:val="right"/>
              <w:rPr>
                <w:color w:val="000000"/>
                <w:sz w:val="16"/>
                <w:szCs w:val="16"/>
              </w:rPr>
            </w:pPr>
          </w:p>
        </w:tc>
        <w:tc>
          <w:tcPr>
            <w:tcW w:w="1123" w:type="dxa"/>
            <w:tcBorders>
              <w:right w:val="single" w:sz="4" w:space="0" w:color="auto"/>
            </w:tcBorders>
            <w:vAlign w:val="center"/>
          </w:tcPr>
          <w:p w14:paraId="00D18DD3" w14:textId="77777777" w:rsidR="00793719" w:rsidRDefault="00793719" w:rsidP="001F52AF">
            <w:pPr>
              <w:jc w:val="right"/>
              <w:rPr>
                <w:color w:val="000000"/>
                <w:sz w:val="16"/>
                <w:szCs w:val="16"/>
              </w:rPr>
            </w:pPr>
          </w:p>
        </w:tc>
        <w:tc>
          <w:tcPr>
            <w:tcW w:w="536" w:type="dxa"/>
            <w:tcBorders>
              <w:left w:val="single" w:sz="4" w:space="0" w:color="auto"/>
            </w:tcBorders>
            <w:vAlign w:val="center"/>
          </w:tcPr>
          <w:p w14:paraId="023A8450" w14:textId="77777777" w:rsidR="00793719" w:rsidRDefault="00793719" w:rsidP="001F52AF">
            <w:pPr>
              <w:jc w:val="right"/>
              <w:rPr>
                <w:color w:val="000000"/>
                <w:sz w:val="16"/>
                <w:szCs w:val="16"/>
              </w:rPr>
            </w:pPr>
          </w:p>
        </w:tc>
        <w:tc>
          <w:tcPr>
            <w:tcW w:w="567" w:type="dxa"/>
            <w:vAlign w:val="center"/>
          </w:tcPr>
          <w:p w14:paraId="19F2AE6F" w14:textId="77777777" w:rsidR="00793719" w:rsidRDefault="00793719" w:rsidP="001F52AF">
            <w:pPr>
              <w:jc w:val="right"/>
              <w:rPr>
                <w:color w:val="000000"/>
                <w:sz w:val="16"/>
                <w:szCs w:val="16"/>
              </w:rPr>
            </w:pPr>
          </w:p>
        </w:tc>
        <w:tc>
          <w:tcPr>
            <w:tcW w:w="1123" w:type="dxa"/>
            <w:vAlign w:val="center"/>
          </w:tcPr>
          <w:p w14:paraId="0E1A8E3C" w14:textId="77777777" w:rsidR="00793719" w:rsidRDefault="00793719" w:rsidP="001F52AF">
            <w:pPr>
              <w:jc w:val="right"/>
              <w:rPr>
                <w:color w:val="000000"/>
                <w:sz w:val="16"/>
                <w:szCs w:val="16"/>
              </w:rPr>
            </w:pPr>
          </w:p>
        </w:tc>
      </w:tr>
      <w:tr w:rsidR="00793719" w:rsidRPr="007B4EF8" w14:paraId="106AB7DD" w14:textId="77777777" w:rsidTr="00793719">
        <w:trPr>
          <w:jc w:val="center"/>
        </w:trPr>
        <w:tc>
          <w:tcPr>
            <w:tcW w:w="2127" w:type="dxa"/>
          </w:tcPr>
          <w:p w14:paraId="4D53A2FB" w14:textId="77777777" w:rsidR="00793719" w:rsidRDefault="00793719" w:rsidP="00793719">
            <w:pPr>
              <w:spacing w:before="20" w:after="20"/>
              <w:ind w:left="34"/>
              <w:rPr>
                <w:rFonts w:eastAsiaTheme="minorEastAsia"/>
                <w:sz w:val="16"/>
                <w:szCs w:val="16"/>
                <w:lang w:eastAsia="en-US"/>
              </w:rPr>
            </w:pPr>
            <w:r>
              <w:rPr>
                <w:rFonts w:eastAsiaTheme="minorEastAsia"/>
                <w:sz w:val="16"/>
                <w:szCs w:val="16"/>
                <w:lang w:eastAsia="en-US"/>
              </w:rPr>
              <w:t>Up to 15 minutes</w:t>
            </w:r>
          </w:p>
        </w:tc>
        <w:tc>
          <w:tcPr>
            <w:tcW w:w="2379" w:type="dxa"/>
          </w:tcPr>
          <w:p w14:paraId="1CA050C3"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vAlign w:val="center"/>
          </w:tcPr>
          <w:p w14:paraId="4D471544" w14:textId="77777777" w:rsidR="00793719" w:rsidRDefault="00793719" w:rsidP="00793719">
            <w:pPr>
              <w:jc w:val="right"/>
              <w:rPr>
                <w:color w:val="000000"/>
                <w:sz w:val="16"/>
                <w:szCs w:val="16"/>
                <w:lang w:eastAsia="en-NZ"/>
              </w:rPr>
            </w:pPr>
            <w:r>
              <w:rPr>
                <w:color w:val="000000"/>
                <w:sz w:val="16"/>
                <w:szCs w:val="16"/>
              </w:rPr>
              <w:t>104</w:t>
            </w:r>
          </w:p>
        </w:tc>
        <w:tc>
          <w:tcPr>
            <w:tcW w:w="496" w:type="dxa"/>
            <w:vAlign w:val="center"/>
          </w:tcPr>
          <w:p w14:paraId="3B07B608" w14:textId="77777777" w:rsidR="00793719" w:rsidRDefault="00793719" w:rsidP="00793719">
            <w:pPr>
              <w:jc w:val="right"/>
              <w:rPr>
                <w:color w:val="000000"/>
                <w:sz w:val="16"/>
                <w:szCs w:val="16"/>
              </w:rPr>
            </w:pPr>
            <w:r>
              <w:rPr>
                <w:color w:val="000000"/>
                <w:sz w:val="16"/>
                <w:szCs w:val="16"/>
              </w:rPr>
              <w:t>86.9</w:t>
            </w:r>
          </w:p>
        </w:tc>
        <w:tc>
          <w:tcPr>
            <w:tcW w:w="1043" w:type="dxa"/>
            <w:tcBorders>
              <w:right w:val="single" w:sz="4" w:space="0" w:color="auto"/>
            </w:tcBorders>
            <w:vAlign w:val="center"/>
          </w:tcPr>
          <w:p w14:paraId="31DF3310" w14:textId="77777777" w:rsidR="00793719" w:rsidRDefault="00793719" w:rsidP="00793719">
            <w:pPr>
              <w:jc w:val="right"/>
              <w:rPr>
                <w:color w:val="000000"/>
                <w:sz w:val="16"/>
                <w:szCs w:val="16"/>
              </w:rPr>
            </w:pPr>
            <w:r>
              <w:rPr>
                <w:color w:val="000000"/>
                <w:sz w:val="16"/>
                <w:szCs w:val="16"/>
              </w:rPr>
              <w:t>(78.2, 95.7)</w:t>
            </w:r>
          </w:p>
        </w:tc>
        <w:tc>
          <w:tcPr>
            <w:tcW w:w="569" w:type="dxa"/>
            <w:tcBorders>
              <w:left w:val="single" w:sz="4" w:space="0" w:color="auto"/>
            </w:tcBorders>
            <w:vAlign w:val="center"/>
          </w:tcPr>
          <w:p w14:paraId="5AB6C4B4" w14:textId="77777777" w:rsidR="00793719" w:rsidRDefault="00793719" w:rsidP="00793719">
            <w:pPr>
              <w:jc w:val="right"/>
              <w:rPr>
                <w:color w:val="000000"/>
                <w:sz w:val="16"/>
                <w:szCs w:val="16"/>
              </w:rPr>
            </w:pPr>
            <w:r>
              <w:rPr>
                <w:color w:val="000000"/>
                <w:sz w:val="16"/>
                <w:szCs w:val="16"/>
              </w:rPr>
              <w:t>32</w:t>
            </w:r>
          </w:p>
        </w:tc>
        <w:tc>
          <w:tcPr>
            <w:tcW w:w="567" w:type="dxa"/>
            <w:vAlign w:val="center"/>
          </w:tcPr>
          <w:p w14:paraId="30A509B4" w14:textId="77777777" w:rsidR="00793719" w:rsidRDefault="00793719" w:rsidP="00793719">
            <w:pPr>
              <w:jc w:val="right"/>
              <w:rPr>
                <w:color w:val="000000"/>
                <w:sz w:val="16"/>
                <w:szCs w:val="16"/>
              </w:rPr>
            </w:pPr>
            <w:r>
              <w:rPr>
                <w:color w:val="000000"/>
                <w:sz w:val="16"/>
                <w:szCs w:val="16"/>
              </w:rPr>
              <w:t>74.0</w:t>
            </w:r>
          </w:p>
        </w:tc>
        <w:tc>
          <w:tcPr>
            <w:tcW w:w="1123" w:type="dxa"/>
            <w:tcBorders>
              <w:right w:val="single" w:sz="4" w:space="0" w:color="auto"/>
            </w:tcBorders>
            <w:vAlign w:val="center"/>
          </w:tcPr>
          <w:p w14:paraId="46720FD6" w14:textId="77777777" w:rsidR="00793719" w:rsidRDefault="00793719" w:rsidP="00793719">
            <w:pPr>
              <w:jc w:val="right"/>
              <w:rPr>
                <w:color w:val="000000"/>
                <w:sz w:val="16"/>
                <w:szCs w:val="16"/>
              </w:rPr>
            </w:pPr>
            <w:r>
              <w:rPr>
                <w:color w:val="000000"/>
                <w:sz w:val="16"/>
                <w:szCs w:val="16"/>
              </w:rPr>
              <w:t>(55.1, 92.9)</w:t>
            </w:r>
          </w:p>
        </w:tc>
        <w:tc>
          <w:tcPr>
            <w:tcW w:w="536" w:type="dxa"/>
            <w:tcBorders>
              <w:left w:val="single" w:sz="4" w:space="0" w:color="auto"/>
            </w:tcBorders>
            <w:vAlign w:val="center"/>
          </w:tcPr>
          <w:p w14:paraId="20D66F98" w14:textId="77777777" w:rsidR="00793719" w:rsidRDefault="00793719" w:rsidP="00793719">
            <w:pPr>
              <w:jc w:val="right"/>
              <w:rPr>
                <w:color w:val="000000"/>
                <w:sz w:val="16"/>
                <w:szCs w:val="16"/>
              </w:rPr>
            </w:pPr>
            <w:r>
              <w:rPr>
                <w:color w:val="000000"/>
                <w:sz w:val="16"/>
                <w:szCs w:val="16"/>
              </w:rPr>
              <w:t>38</w:t>
            </w:r>
          </w:p>
        </w:tc>
        <w:tc>
          <w:tcPr>
            <w:tcW w:w="576" w:type="dxa"/>
            <w:vAlign w:val="center"/>
          </w:tcPr>
          <w:p w14:paraId="5D83CE71" w14:textId="77777777" w:rsidR="00793719" w:rsidRDefault="00793719" w:rsidP="00793719">
            <w:pPr>
              <w:jc w:val="right"/>
              <w:rPr>
                <w:color w:val="000000"/>
                <w:sz w:val="16"/>
                <w:szCs w:val="16"/>
              </w:rPr>
            </w:pPr>
            <w:r>
              <w:rPr>
                <w:color w:val="000000"/>
                <w:sz w:val="16"/>
                <w:szCs w:val="16"/>
              </w:rPr>
              <w:t>96.7</w:t>
            </w:r>
          </w:p>
        </w:tc>
        <w:tc>
          <w:tcPr>
            <w:tcW w:w="1123" w:type="dxa"/>
            <w:tcBorders>
              <w:right w:val="single" w:sz="4" w:space="0" w:color="auto"/>
            </w:tcBorders>
            <w:vAlign w:val="center"/>
          </w:tcPr>
          <w:p w14:paraId="2493B60B" w14:textId="77777777" w:rsidR="00793719" w:rsidRDefault="00793719" w:rsidP="00793719">
            <w:pPr>
              <w:jc w:val="right"/>
              <w:rPr>
                <w:color w:val="000000"/>
                <w:sz w:val="16"/>
                <w:szCs w:val="16"/>
              </w:rPr>
            </w:pPr>
            <w:r>
              <w:rPr>
                <w:color w:val="000000"/>
                <w:sz w:val="16"/>
                <w:szCs w:val="16"/>
              </w:rPr>
              <w:t>(93.2, 100.0)</w:t>
            </w:r>
          </w:p>
        </w:tc>
        <w:tc>
          <w:tcPr>
            <w:tcW w:w="536" w:type="dxa"/>
            <w:tcBorders>
              <w:left w:val="single" w:sz="4" w:space="0" w:color="auto"/>
            </w:tcBorders>
            <w:vAlign w:val="center"/>
          </w:tcPr>
          <w:p w14:paraId="51BB9A8A" w14:textId="77777777" w:rsidR="00793719" w:rsidRDefault="00793719" w:rsidP="00793719">
            <w:pPr>
              <w:jc w:val="right"/>
              <w:rPr>
                <w:color w:val="000000"/>
                <w:sz w:val="16"/>
                <w:szCs w:val="16"/>
              </w:rPr>
            </w:pPr>
            <w:r>
              <w:rPr>
                <w:color w:val="000000"/>
                <w:sz w:val="16"/>
                <w:szCs w:val="16"/>
              </w:rPr>
              <w:t>23</w:t>
            </w:r>
          </w:p>
        </w:tc>
        <w:tc>
          <w:tcPr>
            <w:tcW w:w="567" w:type="dxa"/>
            <w:vAlign w:val="center"/>
          </w:tcPr>
          <w:p w14:paraId="2524721B" w14:textId="77777777" w:rsidR="00793719" w:rsidRDefault="00793719" w:rsidP="00793719">
            <w:pPr>
              <w:jc w:val="right"/>
              <w:rPr>
                <w:color w:val="000000"/>
                <w:sz w:val="16"/>
                <w:szCs w:val="16"/>
              </w:rPr>
            </w:pPr>
            <w:r>
              <w:rPr>
                <w:color w:val="000000"/>
                <w:sz w:val="16"/>
                <w:szCs w:val="16"/>
              </w:rPr>
              <w:t>77.0</w:t>
            </w:r>
          </w:p>
        </w:tc>
        <w:tc>
          <w:tcPr>
            <w:tcW w:w="1123" w:type="dxa"/>
            <w:vAlign w:val="center"/>
          </w:tcPr>
          <w:p w14:paraId="023A44B6" w14:textId="77777777" w:rsidR="00793719" w:rsidRDefault="00793719" w:rsidP="00793719">
            <w:pPr>
              <w:jc w:val="right"/>
              <w:rPr>
                <w:color w:val="000000"/>
                <w:sz w:val="16"/>
                <w:szCs w:val="16"/>
              </w:rPr>
            </w:pPr>
            <w:r>
              <w:rPr>
                <w:color w:val="000000"/>
                <w:sz w:val="16"/>
                <w:szCs w:val="16"/>
              </w:rPr>
              <w:t>(35.5, 100.0)</w:t>
            </w:r>
          </w:p>
        </w:tc>
      </w:tr>
      <w:tr w:rsidR="00793719" w:rsidRPr="007B4EF8" w14:paraId="1E70746E" w14:textId="77777777" w:rsidTr="00793719">
        <w:trPr>
          <w:jc w:val="center"/>
        </w:trPr>
        <w:tc>
          <w:tcPr>
            <w:tcW w:w="2127" w:type="dxa"/>
          </w:tcPr>
          <w:p w14:paraId="691C402C" w14:textId="77777777" w:rsidR="00793719" w:rsidRDefault="00793719" w:rsidP="00793719">
            <w:pPr>
              <w:spacing w:before="20" w:after="20"/>
              <w:ind w:left="34"/>
              <w:rPr>
                <w:rFonts w:eastAsiaTheme="minorEastAsia"/>
                <w:sz w:val="16"/>
                <w:szCs w:val="16"/>
                <w:lang w:eastAsia="en-US"/>
              </w:rPr>
            </w:pPr>
          </w:p>
        </w:tc>
        <w:tc>
          <w:tcPr>
            <w:tcW w:w="2379" w:type="dxa"/>
          </w:tcPr>
          <w:p w14:paraId="7BD6D33D"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vAlign w:val="center"/>
          </w:tcPr>
          <w:p w14:paraId="7B72C3A4" w14:textId="77777777" w:rsidR="00793719" w:rsidRDefault="00793719" w:rsidP="00793719">
            <w:pPr>
              <w:jc w:val="right"/>
              <w:rPr>
                <w:color w:val="000000"/>
                <w:sz w:val="16"/>
                <w:szCs w:val="16"/>
              </w:rPr>
            </w:pPr>
            <w:r>
              <w:rPr>
                <w:color w:val="000000"/>
                <w:sz w:val="16"/>
                <w:szCs w:val="16"/>
              </w:rPr>
              <w:t>7</w:t>
            </w:r>
          </w:p>
        </w:tc>
        <w:tc>
          <w:tcPr>
            <w:tcW w:w="496" w:type="dxa"/>
            <w:vAlign w:val="center"/>
          </w:tcPr>
          <w:p w14:paraId="7CC86DC6" w14:textId="77777777" w:rsidR="00793719" w:rsidRDefault="00793719" w:rsidP="00793719">
            <w:pPr>
              <w:jc w:val="right"/>
              <w:rPr>
                <w:color w:val="000000"/>
                <w:sz w:val="16"/>
                <w:szCs w:val="16"/>
              </w:rPr>
            </w:pPr>
            <w:r>
              <w:rPr>
                <w:color w:val="000000"/>
                <w:sz w:val="16"/>
                <w:szCs w:val="16"/>
              </w:rPr>
              <w:t>5.4</w:t>
            </w:r>
          </w:p>
        </w:tc>
        <w:tc>
          <w:tcPr>
            <w:tcW w:w="1043" w:type="dxa"/>
            <w:tcBorders>
              <w:right w:val="single" w:sz="4" w:space="0" w:color="auto"/>
            </w:tcBorders>
            <w:vAlign w:val="center"/>
          </w:tcPr>
          <w:p w14:paraId="3028473B" w14:textId="77777777" w:rsidR="00793719" w:rsidRDefault="00793719" w:rsidP="00793719">
            <w:pPr>
              <w:jc w:val="right"/>
              <w:rPr>
                <w:color w:val="000000"/>
                <w:sz w:val="16"/>
                <w:szCs w:val="16"/>
              </w:rPr>
            </w:pPr>
            <w:r>
              <w:rPr>
                <w:color w:val="000000"/>
                <w:sz w:val="16"/>
                <w:szCs w:val="16"/>
              </w:rPr>
              <w:t>(0.7, 10.2)</w:t>
            </w:r>
          </w:p>
        </w:tc>
        <w:tc>
          <w:tcPr>
            <w:tcW w:w="569" w:type="dxa"/>
            <w:tcBorders>
              <w:left w:val="single" w:sz="4" w:space="0" w:color="auto"/>
            </w:tcBorders>
            <w:vAlign w:val="center"/>
          </w:tcPr>
          <w:p w14:paraId="1441777B" w14:textId="77777777" w:rsidR="00793719" w:rsidRDefault="00793719" w:rsidP="00793719">
            <w:pPr>
              <w:jc w:val="right"/>
              <w:rPr>
                <w:color w:val="000000"/>
                <w:sz w:val="16"/>
                <w:szCs w:val="16"/>
              </w:rPr>
            </w:pPr>
            <w:r>
              <w:rPr>
                <w:color w:val="000000"/>
                <w:sz w:val="16"/>
                <w:szCs w:val="16"/>
              </w:rPr>
              <w:t>6</w:t>
            </w:r>
          </w:p>
        </w:tc>
        <w:tc>
          <w:tcPr>
            <w:tcW w:w="567" w:type="dxa"/>
            <w:vAlign w:val="center"/>
          </w:tcPr>
          <w:p w14:paraId="2E916361" w14:textId="77777777" w:rsidR="00793719" w:rsidRDefault="00793719" w:rsidP="00793719">
            <w:pPr>
              <w:jc w:val="right"/>
              <w:rPr>
                <w:color w:val="000000"/>
                <w:sz w:val="16"/>
                <w:szCs w:val="16"/>
              </w:rPr>
            </w:pPr>
            <w:r>
              <w:rPr>
                <w:color w:val="000000"/>
                <w:sz w:val="16"/>
                <w:szCs w:val="16"/>
              </w:rPr>
              <w:t>12.9</w:t>
            </w:r>
          </w:p>
        </w:tc>
        <w:tc>
          <w:tcPr>
            <w:tcW w:w="1123" w:type="dxa"/>
            <w:tcBorders>
              <w:right w:val="single" w:sz="4" w:space="0" w:color="auto"/>
            </w:tcBorders>
            <w:vAlign w:val="center"/>
          </w:tcPr>
          <w:p w14:paraId="1A9E54D6" w14:textId="77777777" w:rsidR="00793719" w:rsidRDefault="00793719" w:rsidP="00793719">
            <w:pPr>
              <w:jc w:val="right"/>
              <w:rPr>
                <w:color w:val="000000"/>
                <w:sz w:val="16"/>
                <w:szCs w:val="16"/>
              </w:rPr>
            </w:pPr>
            <w:r>
              <w:rPr>
                <w:color w:val="000000"/>
                <w:sz w:val="16"/>
                <w:szCs w:val="16"/>
              </w:rPr>
              <w:t>(0.8, 25.0)</w:t>
            </w:r>
          </w:p>
        </w:tc>
        <w:tc>
          <w:tcPr>
            <w:tcW w:w="536" w:type="dxa"/>
            <w:tcBorders>
              <w:left w:val="single" w:sz="4" w:space="0" w:color="auto"/>
            </w:tcBorders>
            <w:vAlign w:val="center"/>
          </w:tcPr>
          <w:p w14:paraId="47294BFD" w14:textId="77777777" w:rsidR="00793719" w:rsidRDefault="00793719" w:rsidP="00793719">
            <w:pPr>
              <w:jc w:val="right"/>
              <w:rPr>
                <w:color w:val="000000"/>
                <w:sz w:val="16"/>
                <w:szCs w:val="16"/>
              </w:rPr>
            </w:pPr>
            <w:r>
              <w:rPr>
                <w:color w:val="000000"/>
                <w:sz w:val="16"/>
                <w:szCs w:val="16"/>
              </w:rPr>
              <w:t>1</w:t>
            </w:r>
          </w:p>
        </w:tc>
        <w:tc>
          <w:tcPr>
            <w:tcW w:w="576" w:type="dxa"/>
            <w:vAlign w:val="center"/>
          </w:tcPr>
          <w:p w14:paraId="1655163C" w14:textId="77777777" w:rsidR="00793719" w:rsidRDefault="00793719" w:rsidP="00793719">
            <w:pPr>
              <w:jc w:val="right"/>
              <w:rPr>
                <w:color w:val="000000"/>
                <w:sz w:val="16"/>
                <w:szCs w:val="16"/>
              </w:rPr>
            </w:pPr>
            <w:r>
              <w:rPr>
                <w:color w:val="000000"/>
                <w:sz w:val="16"/>
                <w:szCs w:val="16"/>
              </w:rPr>
              <w:t>2.4</w:t>
            </w:r>
          </w:p>
        </w:tc>
        <w:tc>
          <w:tcPr>
            <w:tcW w:w="1123" w:type="dxa"/>
            <w:tcBorders>
              <w:right w:val="single" w:sz="4" w:space="0" w:color="auto"/>
            </w:tcBorders>
            <w:vAlign w:val="center"/>
          </w:tcPr>
          <w:p w14:paraId="5942AFCC" w14:textId="77777777" w:rsidR="00793719" w:rsidRDefault="002F172C" w:rsidP="00793719">
            <w:pPr>
              <w:jc w:val="right"/>
              <w:rPr>
                <w:color w:val="000000"/>
                <w:sz w:val="16"/>
                <w:szCs w:val="16"/>
              </w:rPr>
            </w:pPr>
            <w:r>
              <w:rPr>
                <w:color w:val="000000"/>
                <w:sz w:val="16"/>
                <w:szCs w:val="16"/>
              </w:rPr>
              <w:t>!</w:t>
            </w:r>
          </w:p>
        </w:tc>
        <w:tc>
          <w:tcPr>
            <w:tcW w:w="536" w:type="dxa"/>
            <w:tcBorders>
              <w:left w:val="single" w:sz="4" w:space="0" w:color="auto"/>
            </w:tcBorders>
            <w:vAlign w:val="center"/>
          </w:tcPr>
          <w:p w14:paraId="6E5F0132" w14:textId="77777777" w:rsidR="00793719" w:rsidRDefault="00793719" w:rsidP="00793719">
            <w:pPr>
              <w:jc w:val="right"/>
              <w:rPr>
                <w:color w:val="000000"/>
                <w:sz w:val="16"/>
                <w:szCs w:val="16"/>
              </w:rPr>
            </w:pPr>
            <w:r>
              <w:rPr>
                <w:color w:val="000000"/>
                <w:sz w:val="16"/>
                <w:szCs w:val="16"/>
              </w:rPr>
              <w:t>-</w:t>
            </w:r>
          </w:p>
        </w:tc>
        <w:tc>
          <w:tcPr>
            <w:tcW w:w="567" w:type="dxa"/>
            <w:vAlign w:val="center"/>
          </w:tcPr>
          <w:p w14:paraId="4DBDBE12" w14:textId="77777777" w:rsidR="00793719" w:rsidRDefault="00793719" w:rsidP="00793719">
            <w:pPr>
              <w:jc w:val="right"/>
              <w:rPr>
                <w:color w:val="000000"/>
                <w:sz w:val="16"/>
                <w:szCs w:val="16"/>
              </w:rPr>
            </w:pPr>
            <w:r>
              <w:rPr>
                <w:color w:val="000000"/>
                <w:sz w:val="16"/>
                <w:szCs w:val="16"/>
              </w:rPr>
              <w:t xml:space="preserve"> </w:t>
            </w:r>
          </w:p>
        </w:tc>
        <w:tc>
          <w:tcPr>
            <w:tcW w:w="1123" w:type="dxa"/>
            <w:vAlign w:val="center"/>
          </w:tcPr>
          <w:p w14:paraId="03318964" w14:textId="77777777" w:rsidR="00793719" w:rsidRDefault="00793719" w:rsidP="00793719">
            <w:pPr>
              <w:jc w:val="right"/>
              <w:rPr>
                <w:color w:val="000000"/>
                <w:sz w:val="16"/>
                <w:szCs w:val="16"/>
              </w:rPr>
            </w:pPr>
            <w:r>
              <w:rPr>
                <w:color w:val="000000"/>
                <w:sz w:val="16"/>
                <w:szCs w:val="16"/>
              </w:rPr>
              <w:t xml:space="preserve"> </w:t>
            </w:r>
          </w:p>
        </w:tc>
      </w:tr>
      <w:tr w:rsidR="00793719" w:rsidRPr="007B4EF8" w14:paraId="5102B14F" w14:textId="77777777" w:rsidTr="00793719">
        <w:trPr>
          <w:jc w:val="center"/>
        </w:trPr>
        <w:tc>
          <w:tcPr>
            <w:tcW w:w="2127" w:type="dxa"/>
          </w:tcPr>
          <w:p w14:paraId="5B2F7528" w14:textId="77777777" w:rsidR="00793719" w:rsidRDefault="00793719" w:rsidP="00793719">
            <w:pPr>
              <w:spacing w:before="20" w:after="20"/>
              <w:ind w:left="34"/>
              <w:rPr>
                <w:rFonts w:eastAsiaTheme="minorEastAsia"/>
                <w:sz w:val="16"/>
                <w:szCs w:val="16"/>
                <w:lang w:eastAsia="en-US"/>
              </w:rPr>
            </w:pPr>
          </w:p>
        </w:tc>
        <w:tc>
          <w:tcPr>
            <w:tcW w:w="2379" w:type="dxa"/>
          </w:tcPr>
          <w:p w14:paraId="46AE5E2A"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vAlign w:val="center"/>
          </w:tcPr>
          <w:p w14:paraId="2A5F5AE9" w14:textId="77777777" w:rsidR="00793719" w:rsidRDefault="00793719" w:rsidP="00793719">
            <w:pPr>
              <w:jc w:val="right"/>
              <w:rPr>
                <w:color w:val="000000"/>
                <w:sz w:val="16"/>
                <w:szCs w:val="16"/>
              </w:rPr>
            </w:pPr>
            <w:r>
              <w:rPr>
                <w:color w:val="000000"/>
                <w:sz w:val="16"/>
                <w:szCs w:val="16"/>
              </w:rPr>
              <w:t>9</w:t>
            </w:r>
          </w:p>
        </w:tc>
        <w:tc>
          <w:tcPr>
            <w:tcW w:w="496" w:type="dxa"/>
            <w:vAlign w:val="center"/>
          </w:tcPr>
          <w:p w14:paraId="272F5478" w14:textId="77777777" w:rsidR="00793719" w:rsidRDefault="00793719" w:rsidP="00793719">
            <w:pPr>
              <w:jc w:val="right"/>
              <w:rPr>
                <w:color w:val="000000"/>
                <w:sz w:val="16"/>
                <w:szCs w:val="16"/>
              </w:rPr>
            </w:pPr>
            <w:r>
              <w:rPr>
                <w:color w:val="000000"/>
                <w:sz w:val="16"/>
                <w:szCs w:val="16"/>
              </w:rPr>
              <w:t>7.6</w:t>
            </w:r>
          </w:p>
        </w:tc>
        <w:tc>
          <w:tcPr>
            <w:tcW w:w="1043" w:type="dxa"/>
            <w:tcBorders>
              <w:right w:val="single" w:sz="4" w:space="0" w:color="auto"/>
            </w:tcBorders>
            <w:vAlign w:val="center"/>
          </w:tcPr>
          <w:p w14:paraId="5DC83F6E" w14:textId="77777777" w:rsidR="00793719" w:rsidRDefault="00793719" w:rsidP="00793719">
            <w:pPr>
              <w:jc w:val="right"/>
              <w:rPr>
                <w:color w:val="000000"/>
                <w:sz w:val="16"/>
                <w:szCs w:val="16"/>
              </w:rPr>
            </w:pPr>
            <w:r>
              <w:rPr>
                <w:color w:val="000000"/>
                <w:sz w:val="16"/>
                <w:szCs w:val="16"/>
              </w:rPr>
              <w:t>(0.0, 15.3)</w:t>
            </w:r>
          </w:p>
        </w:tc>
        <w:tc>
          <w:tcPr>
            <w:tcW w:w="569" w:type="dxa"/>
            <w:tcBorders>
              <w:left w:val="single" w:sz="4" w:space="0" w:color="auto"/>
            </w:tcBorders>
            <w:vAlign w:val="center"/>
          </w:tcPr>
          <w:p w14:paraId="663655DF" w14:textId="77777777" w:rsidR="00793719" w:rsidRDefault="00793719" w:rsidP="00793719">
            <w:pPr>
              <w:jc w:val="right"/>
              <w:rPr>
                <w:color w:val="000000"/>
                <w:sz w:val="16"/>
                <w:szCs w:val="16"/>
              </w:rPr>
            </w:pPr>
            <w:r>
              <w:rPr>
                <w:color w:val="000000"/>
                <w:sz w:val="16"/>
                <w:szCs w:val="16"/>
              </w:rPr>
              <w:t>6</w:t>
            </w:r>
          </w:p>
        </w:tc>
        <w:tc>
          <w:tcPr>
            <w:tcW w:w="567" w:type="dxa"/>
            <w:vAlign w:val="center"/>
          </w:tcPr>
          <w:p w14:paraId="4D892FF7" w14:textId="77777777" w:rsidR="00793719" w:rsidRDefault="00793719" w:rsidP="00793719">
            <w:pPr>
              <w:jc w:val="right"/>
              <w:rPr>
                <w:color w:val="000000"/>
                <w:sz w:val="16"/>
                <w:szCs w:val="16"/>
              </w:rPr>
            </w:pPr>
            <w:r>
              <w:rPr>
                <w:color w:val="000000"/>
                <w:sz w:val="16"/>
                <w:szCs w:val="16"/>
              </w:rPr>
              <w:t>13.1</w:t>
            </w:r>
          </w:p>
        </w:tc>
        <w:tc>
          <w:tcPr>
            <w:tcW w:w="1123" w:type="dxa"/>
            <w:tcBorders>
              <w:right w:val="single" w:sz="4" w:space="0" w:color="auto"/>
            </w:tcBorders>
            <w:vAlign w:val="center"/>
          </w:tcPr>
          <w:p w14:paraId="2301FC69" w14:textId="77777777" w:rsidR="00793719" w:rsidRDefault="00793719" w:rsidP="00793719">
            <w:pPr>
              <w:jc w:val="right"/>
              <w:rPr>
                <w:color w:val="000000"/>
                <w:sz w:val="16"/>
                <w:szCs w:val="16"/>
              </w:rPr>
            </w:pPr>
            <w:r>
              <w:rPr>
                <w:color w:val="000000"/>
                <w:sz w:val="16"/>
                <w:szCs w:val="16"/>
              </w:rPr>
              <w:t>(0.0, 29.3)</w:t>
            </w:r>
          </w:p>
        </w:tc>
        <w:tc>
          <w:tcPr>
            <w:tcW w:w="536" w:type="dxa"/>
            <w:tcBorders>
              <w:left w:val="single" w:sz="4" w:space="0" w:color="auto"/>
            </w:tcBorders>
            <w:vAlign w:val="center"/>
          </w:tcPr>
          <w:p w14:paraId="1E3D0E48" w14:textId="77777777" w:rsidR="00793719" w:rsidRDefault="00793719" w:rsidP="00793719">
            <w:pPr>
              <w:jc w:val="right"/>
              <w:rPr>
                <w:color w:val="000000"/>
                <w:sz w:val="16"/>
                <w:szCs w:val="16"/>
              </w:rPr>
            </w:pPr>
            <w:r>
              <w:rPr>
                <w:color w:val="000000"/>
                <w:sz w:val="16"/>
                <w:szCs w:val="16"/>
              </w:rPr>
              <w:t>0</w:t>
            </w:r>
          </w:p>
        </w:tc>
        <w:tc>
          <w:tcPr>
            <w:tcW w:w="576" w:type="dxa"/>
            <w:vAlign w:val="center"/>
          </w:tcPr>
          <w:p w14:paraId="2759943C" w14:textId="77777777" w:rsidR="00793719" w:rsidRDefault="00793719" w:rsidP="00793719">
            <w:pPr>
              <w:jc w:val="right"/>
              <w:rPr>
                <w:color w:val="000000"/>
                <w:sz w:val="16"/>
                <w:szCs w:val="16"/>
              </w:rPr>
            </w:pPr>
            <w:r>
              <w:rPr>
                <w:color w:val="000000"/>
                <w:sz w:val="16"/>
                <w:szCs w:val="16"/>
              </w:rPr>
              <w:t>0.9</w:t>
            </w:r>
          </w:p>
        </w:tc>
        <w:tc>
          <w:tcPr>
            <w:tcW w:w="1123" w:type="dxa"/>
            <w:tcBorders>
              <w:right w:val="single" w:sz="4" w:space="0" w:color="auto"/>
            </w:tcBorders>
            <w:vAlign w:val="center"/>
          </w:tcPr>
          <w:p w14:paraId="32987E7D" w14:textId="77777777" w:rsidR="00793719" w:rsidRDefault="002F172C" w:rsidP="00793719">
            <w:pPr>
              <w:jc w:val="right"/>
              <w:rPr>
                <w:color w:val="000000"/>
                <w:sz w:val="16"/>
                <w:szCs w:val="16"/>
              </w:rPr>
            </w:pPr>
            <w:r>
              <w:rPr>
                <w:color w:val="000000"/>
                <w:sz w:val="16"/>
                <w:szCs w:val="16"/>
              </w:rPr>
              <w:t>!</w:t>
            </w:r>
          </w:p>
        </w:tc>
        <w:tc>
          <w:tcPr>
            <w:tcW w:w="536" w:type="dxa"/>
            <w:tcBorders>
              <w:left w:val="single" w:sz="4" w:space="0" w:color="auto"/>
            </w:tcBorders>
            <w:vAlign w:val="center"/>
          </w:tcPr>
          <w:p w14:paraId="1F396032" w14:textId="77777777" w:rsidR="00793719" w:rsidRDefault="00793719" w:rsidP="00793719">
            <w:pPr>
              <w:jc w:val="right"/>
              <w:rPr>
                <w:color w:val="000000"/>
                <w:sz w:val="16"/>
                <w:szCs w:val="16"/>
              </w:rPr>
            </w:pPr>
            <w:r>
              <w:rPr>
                <w:color w:val="000000"/>
                <w:sz w:val="16"/>
                <w:szCs w:val="16"/>
              </w:rPr>
              <w:t>7</w:t>
            </w:r>
          </w:p>
        </w:tc>
        <w:tc>
          <w:tcPr>
            <w:tcW w:w="567" w:type="dxa"/>
            <w:vAlign w:val="center"/>
          </w:tcPr>
          <w:p w14:paraId="772C2F62" w14:textId="77777777" w:rsidR="00793719" w:rsidRDefault="00793719" w:rsidP="00793719">
            <w:pPr>
              <w:jc w:val="right"/>
              <w:rPr>
                <w:color w:val="000000"/>
                <w:sz w:val="16"/>
                <w:szCs w:val="16"/>
              </w:rPr>
            </w:pPr>
            <w:r>
              <w:rPr>
                <w:color w:val="000000"/>
                <w:sz w:val="16"/>
                <w:szCs w:val="16"/>
              </w:rPr>
              <w:t>23.0</w:t>
            </w:r>
          </w:p>
        </w:tc>
        <w:tc>
          <w:tcPr>
            <w:tcW w:w="1123" w:type="dxa"/>
            <w:vAlign w:val="center"/>
          </w:tcPr>
          <w:p w14:paraId="7522BEE8" w14:textId="77777777" w:rsidR="00793719" w:rsidRDefault="00793719" w:rsidP="00793719">
            <w:pPr>
              <w:jc w:val="right"/>
              <w:rPr>
                <w:color w:val="000000"/>
                <w:sz w:val="16"/>
                <w:szCs w:val="16"/>
              </w:rPr>
            </w:pPr>
            <w:r>
              <w:rPr>
                <w:color w:val="000000"/>
                <w:sz w:val="16"/>
                <w:szCs w:val="16"/>
              </w:rPr>
              <w:t>(0.0, 64.5)</w:t>
            </w:r>
          </w:p>
        </w:tc>
      </w:tr>
      <w:tr w:rsidR="00793719" w:rsidRPr="007B4EF8" w14:paraId="7D4AABF2" w14:textId="77777777" w:rsidTr="00793719">
        <w:trPr>
          <w:jc w:val="center"/>
        </w:trPr>
        <w:tc>
          <w:tcPr>
            <w:tcW w:w="2127" w:type="dxa"/>
          </w:tcPr>
          <w:p w14:paraId="6F58F43F" w14:textId="77777777" w:rsidR="00793719" w:rsidRDefault="00793719" w:rsidP="00793719">
            <w:pPr>
              <w:spacing w:before="20" w:after="20"/>
              <w:ind w:left="34"/>
              <w:rPr>
                <w:rFonts w:eastAsiaTheme="minorEastAsia"/>
                <w:sz w:val="16"/>
                <w:szCs w:val="16"/>
                <w:lang w:eastAsia="en-US"/>
              </w:rPr>
            </w:pPr>
            <w:r>
              <w:rPr>
                <w:rFonts w:eastAsiaTheme="minorEastAsia"/>
                <w:sz w:val="16"/>
                <w:szCs w:val="16"/>
                <w:lang w:eastAsia="en-US"/>
              </w:rPr>
              <w:t>16 - 30 minutes</w:t>
            </w:r>
          </w:p>
        </w:tc>
        <w:tc>
          <w:tcPr>
            <w:tcW w:w="2379" w:type="dxa"/>
          </w:tcPr>
          <w:p w14:paraId="429EF8D7"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vAlign w:val="center"/>
          </w:tcPr>
          <w:p w14:paraId="67BD35EE" w14:textId="77777777" w:rsidR="00793719" w:rsidRDefault="00793719" w:rsidP="00793719">
            <w:pPr>
              <w:jc w:val="right"/>
              <w:rPr>
                <w:color w:val="000000"/>
                <w:sz w:val="16"/>
                <w:szCs w:val="16"/>
              </w:rPr>
            </w:pPr>
            <w:r>
              <w:rPr>
                <w:color w:val="000000"/>
                <w:sz w:val="16"/>
                <w:szCs w:val="16"/>
              </w:rPr>
              <w:t>92</w:t>
            </w:r>
          </w:p>
        </w:tc>
        <w:tc>
          <w:tcPr>
            <w:tcW w:w="496" w:type="dxa"/>
            <w:vAlign w:val="center"/>
          </w:tcPr>
          <w:p w14:paraId="60CAE5E4" w14:textId="77777777" w:rsidR="00793719" w:rsidRDefault="00793719" w:rsidP="00793719">
            <w:pPr>
              <w:jc w:val="right"/>
              <w:rPr>
                <w:color w:val="000000"/>
                <w:sz w:val="16"/>
                <w:szCs w:val="16"/>
              </w:rPr>
            </w:pPr>
            <w:r>
              <w:rPr>
                <w:color w:val="000000"/>
                <w:sz w:val="16"/>
                <w:szCs w:val="16"/>
              </w:rPr>
              <w:t>77.6</w:t>
            </w:r>
          </w:p>
        </w:tc>
        <w:tc>
          <w:tcPr>
            <w:tcW w:w="1043" w:type="dxa"/>
            <w:tcBorders>
              <w:right w:val="single" w:sz="4" w:space="0" w:color="auto"/>
            </w:tcBorders>
            <w:vAlign w:val="center"/>
          </w:tcPr>
          <w:p w14:paraId="62E25463" w14:textId="77777777" w:rsidR="00793719" w:rsidRDefault="00793719" w:rsidP="00793719">
            <w:pPr>
              <w:jc w:val="right"/>
              <w:rPr>
                <w:color w:val="000000"/>
                <w:sz w:val="16"/>
                <w:szCs w:val="16"/>
              </w:rPr>
            </w:pPr>
            <w:r>
              <w:rPr>
                <w:color w:val="000000"/>
                <w:sz w:val="16"/>
                <w:szCs w:val="16"/>
              </w:rPr>
              <w:t>(66.2, 89.0)</w:t>
            </w:r>
          </w:p>
        </w:tc>
        <w:tc>
          <w:tcPr>
            <w:tcW w:w="569" w:type="dxa"/>
            <w:tcBorders>
              <w:left w:val="single" w:sz="4" w:space="0" w:color="auto"/>
            </w:tcBorders>
            <w:vAlign w:val="center"/>
          </w:tcPr>
          <w:p w14:paraId="1FCC3DC6" w14:textId="77777777" w:rsidR="00793719" w:rsidRDefault="00793719" w:rsidP="00793719">
            <w:pPr>
              <w:jc w:val="right"/>
              <w:rPr>
                <w:color w:val="000000"/>
                <w:sz w:val="16"/>
                <w:szCs w:val="16"/>
              </w:rPr>
            </w:pPr>
            <w:r>
              <w:rPr>
                <w:color w:val="000000"/>
                <w:sz w:val="16"/>
                <w:szCs w:val="16"/>
              </w:rPr>
              <w:t>47</w:t>
            </w:r>
          </w:p>
        </w:tc>
        <w:tc>
          <w:tcPr>
            <w:tcW w:w="567" w:type="dxa"/>
            <w:vAlign w:val="center"/>
          </w:tcPr>
          <w:p w14:paraId="796A864E" w14:textId="77777777" w:rsidR="00793719" w:rsidRDefault="00793719" w:rsidP="00793719">
            <w:pPr>
              <w:jc w:val="right"/>
              <w:rPr>
                <w:color w:val="000000"/>
                <w:sz w:val="16"/>
                <w:szCs w:val="16"/>
              </w:rPr>
            </w:pPr>
            <w:r>
              <w:rPr>
                <w:color w:val="000000"/>
                <w:sz w:val="16"/>
                <w:szCs w:val="16"/>
              </w:rPr>
              <w:t>87.3</w:t>
            </w:r>
          </w:p>
        </w:tc>
        <w:tc>
          <w:tcPr>
            <w:tcW w:w="1123" w:type="dxa"/>
            <w:tcBorders>
              <w:right w:val="single" w:sz="4" w:space="0" w:color="auto"/>
            </w:tcBorders>
            <w:vAlign w:val="center"/>
          </w:tcPr>
          <w:p w14:paraId="06AF5314" w14:textId="77777777" w:rsidR="00793719" w:rsidRDefault="00793719" w:rsidP="00793719">
            <w:pPr>
              <w:jc w:val="right"/>
              <w:rPr>
                <w:color w:val="000000"/>
                <w:sz w:val="16"/>
                <w:szCs w:val="16"/>
              </w:rPr>
            </w:pPr>
            <w:r>
              <w:rPr>
                <w:color w:val="000000"/>
                <w:sz w:val="16"/>
                <w:szCs w:val="16"/>
              </w:rPr>
              <w:t>(76.2, 98.4)</w:t>
            </w:r>
          </w:p>
        </w:tc>
        <w:tc>
          <w:tcPr>
            <w:tcW w:w="536" w:type="dxa"/>
            <w:tcBorders>
              <w:left w:val="single" w:sz="4" w:space="0" w:color="auto"/>
            </w:tcBorders>
            <w:vAlign w:val="center"/>
          </w:tcPr>
          <w:p w14:paraId="0F12D9BF" w14:textId="77777777" w:rsidR="00793719" w:rsidRDefault="00793719" w:rsidP="00793719">
            <w:pPr>
              <w:jc w:val="right"/>
              <w:rPr>
                <w:color w:val="000000"/>
                <w:sz w:val="16"/>
                <w:szCs w:val="16"/>
              </w:rPr>
            </w:pPr>
            <w:r>
              <w:rPr>
                <w:color w:val="000000"/>
                <w:sz w:val="16"/>
                <w:szCs w:val="16"/>
              </w:rPr>
              <w:t>40</w:t>
            </w:r>
          </w:p>
        </w:tc>
        <w:tc>
          <w:tcPr>
            <w:tcW w:w="576" w:type="dxa"/>
            <w:vAlign w:val="center"/>
          </w:tcPr>
          <w:p w14:paraId="61381FB2" w14:textId="77777777" w:rsidR="00793719" w:rsidRDefault="00793719" w:rsidP="00793719">
            <w:pPr>
              <w:jc w:val="right"/>
              <w:rPr>
                <w:color w:val="000000"/>
                <w:sz w:val="16"/>
                <w:szCs w:val="16"/>
              </w:rPr>
            </w:pPr>
            <w:r>
              <w:rPr>
                <w:color w:val="000000"/>
                <w:sz w:val="16"/>
                <w:szCs w:val="16"/>
              </w:rPr>
              <w:t>77.3</w:t>
            </w:r>
          </w:p>
        </w:tc>
        <w:tc>
          <w:tcPr>
            <w:tcW w:w="1123" w:type="dxa"/>
            <w:tcBorders>
              <w:right w:val="single" w:sz="4" w:space="0" w:color="auto"/>
            </w:tcBorders>
            <w:vAlign w:val="center"/>
          </w:tcPr>
          <w:p w14:paraId="4124C90E" w14:textId="77777777" w:rsidR="00793719" w:rsidRDefault="00793719" w:rsidP="00793719">
            <w:pPr>
              <w:jc w:val="right"/>
              <w:rPr>
                <w:color w:val="000000"/>
                <w:sz w:val="16"/>
                <w:szCs w:val="16"/>
              </w:rPr>
            </w:pPr>
            <w:r>
              <w:rPr>
                <w:color w:val="000000"/>
                <w:sz w:val="16"/>
                <w:szCs w:val="16"/>
              </w:rPr>
              <w:t>(63.6, 90.9)</w:t>
            </w:r>
          </w:p>
        </w:tc>
        <w:tc>
          <w:tcPr>
            <w:tcW w:w="536" w:type="dxa"/>
            <w:tcBorders>
              <w:left w:val="single" w:sz="4" w:space="0" w:color="auto"/>
            </w:tcBorders>
            <w:vAlign w:val="center"/>
          </w:tcPr>
          <w:p w14:paraId="3B41EC50" w14:textId="77777777" w:rsidR="00793719" w:rsidRDefault="00793719" w:rsidP="00793719">
            <w:pPr>
              <w:jc w:val="right"/>
              <w:rPr>
                <w:color w:val="000000"/>
                <w:sz w:val="16"/>
                <w:szCs w:val="16"/>
              </w:rPr>
            </w:pPr>
            <w:r>
              <w:rPr>
                <w:color w:val="000000"/>
                <w:sz w:val="16"/>
                <w:szCs w:val="16"/>
              </w:rPr>
              <w:t>32</w:t>
            </w:r>
          </w:p>
        </w:tc>
        <w:tc>
          <w:tcPr>
            <w:tcW w:w="567" w:type="dxa"/>
            <w:vAlign w:val="center"/>
          </w:tcPr>
          <w:p w14:paraId="6B1384D0" w14:textId="77777777" w:rsidR="00793719" w:rsidRDefault="00793719" w:rsidP="00793719">
            <w:pPr>
              <w:jc w:val="right"/>
              <w:rPr>
                <w:color w:val="000000"/>
                <w:sz w:val="16"/>
                <w:szCs w:val="16"/>
              </w:rPr>
            </w:pPr>
            <w:r>
              <w:rPr>
                <w:color w:val="000000"/>
                <w:sz w:val="16"/>
                <w:szCs w:val="16"/>
              </w:rPr>
              <w:t>77.8</w:t>
            </w:r>
          </w:p>
        </w:tc>
        <w:tc>
          <w:tcPr>
            <w:tcW w:w="1123" w:type="dxa"/>
            <w:vAlign w:val="center"/>
          </w:tcPr>
          <w:p w14:paraId="66DB11E7" w14:textId="77777777" w:rsidR="00793719" w:rsidRDefault="00793719" w:rsidP="00793719">
            <w:pPr>
              <w:jc w:val="right"/>
              <w:rPr>
                <w:color w:val="000000"/>
                <w:sz w:val="16"/>
                <w:szCs w:val="16"/>
              </w:rPr>
            </w:pPr>
            <w:r>
              <w:rPr>
                <w:color w:val="000000"/>
                <w:sz w:val="16"/>
                <w:szCs w:val="16"/>
              </w:rPr>
              <w:t>(66.2, 89.3)</w:t>
            </w:r>
          </w:p>
        </w:tc>
      </w:tr>
      <w:tr w:rsidR="00793719" w:rsidRPr="007B4EF8" w14:paraId="6CA3799B" w14:textId="77777777" w:rsidTr="00793719">
        <w:trPr>
          <w:jc w:val="center"/>
        </w:trPr>
        <w:tc>
          <w:tcPr>
            <w:tcW w:w="2127" w:type="dxa"/>
          </w:tcPr>
          <w:p w14:paraId="34B36BBC" w14:textId="77777777" w:rsidR="00793719" w:rsidRDefault="00793719" w:rsidP="00793719">
            <w:pPr>
              <w:spacing w:before="20" w:after="20"/>
              <w:ind w:left="34"/>
              <w:rPr>
                <w:rFonts w:eastAsiaTheme="minorEastAsia"/>
                <w:sz w:val="16"/>
                <w:szCs w:val="16"/>
                <w:lang w:eastAsia="en-US"/>
              </w:rPr>
            </w:pPr>
          </w:p>
        </w:tc>
        <w:tc>
          <w:tcPr>
            <w:tcW w:w="2379" w:type="dxa"/>
          </w:tcPr>
          <w:p w14:paraId="6238D8D9"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vAlign w:val="center"/>
          </w:tcPr>
          <w:p w14:paraId="39E3D699" w14:textId="77777777" w:rsidR="00793719" w:rsidRDefault="00793719" w:rsidP="00793719">
            <w:pPr>
              <w:jc w:val="right"/>
              <w:rPr>
                <w:color w:val="000000"/>
                <w:sz w:val="16"/>
                <w:szCs w:val="16"/>
              </w:rPr>
            </w:pPr>
            <w:r>
              <w:rPr>
                <w:color w:val="000000"/>
                <w:sz w:val="16"/>
                <w:szCs w:val="16"/>
              </w:rPr>
              <w:t>21</w:t>
            </w:r>
          </w:p>
        </w:tc>
        <w:tc>
          <w:tcPr>
            <w:tcW w:w="496" w:type="dxa"/>
            <w:vAlign w:val="center"/>
          </w:tcPr>
          <w:p w14:paraId="74AC7648" w14:textId="77777777" w:rsidR="00793719" w:rsidRDefault="00793719" w:rsidP="00793719">
            <w:pPr>
              <w:jc w:val="right"/>
              <w:rPr>
                <w:color w:val="000000"/>
                <w:sz w:val="16"/>
                <w:szCs w:val="16"/>
              </w:rPr>
            </w:pPr>
            <w:r>
              <w:rPr>
                <w:color w:val="000000"/>
                <w:sz w:val="16"/>
                <w:szCs w:val="16"/>
              </w:rPr>
              <w:t>17.5</w:t>
            </w:r>
          </w:p>
        </w:tc>
        <w:tc>
          <w:tcPr>
            <w:tcW w:w="1043" w:type="dxa"/>
            <w:tcBorders>
              <w:right w:val="single" w:sz="4" w:space="0" w:color="auto"/>
            </w:tcBorders>
            <w:vAlign w:val="center"/>
          </w:tcPr>
          <w:p w14:paraId="1742AC08" w14:textId="77777777" w:rsidR="00793719" w:rsidRDefault="00793719" w:rsidP="00793719">
            <w:pPr>
              <w:jc w:val="right"/>
              <w:rPr>
                <w:color w:val="000000"/>
                <w:sz w:val="16"/>
                <w:szCs w:val="16"/>
              </w:rPr>
            </w:pPr>
            <w:r>
              <w:rPr>
                <w:color w:val="000000"/>
                <w:sz w:val="16"/>
                <w:szCs w:val="16"/>
              </w:rPr>
              <w:t>(6.6, 28.4)</w:t>
            </w:r>
          </w:p>
        </w:tc>
        <w:tc>
          <w:tcPr>
            <w:tcW w:w="569" w:type="dxa"/>
            <w:tcBorders>
              <w:left w:val="single" w:sz="4" w:space="0" w:color="auto"/>
            </w:tcBorders>
            <w:vAlign w:val="center"/>
          </w:tcPr>
          <w:p w14:paraId="73CE7CC1" w14:textId="77777777" w:rsidR="00793719" w:rsidRDefault="00793719" w:rsidP="00793719">
            <w:pPr>
              <w:jc w:val="right"/>
              <w:rPr>
                <w:color w:val="000000"/>
                <w:sz w:val="16"/>
                <w:szCs w:val="16"/>
              </w:rPr>
            </w:pPr>
            <w:r>
              <w:rPr>
                <w:color w:val="000000"/>
                <w:sz w:val="16"/>
                <w:szCs w:val="16"/>
              </w:rPr>
              <w:t>5</w:t>
            </w:r>
          </w:p>
        </w:tc>
        <w:tc>
          <w:tcPr>
            <w:tcW w:w="567" w:type="dxa"/>
            <w:vAlign w:val="center"/>
          </w:tcPr>
          <w:p w14:paraId="5394EDC0" w14:textId="77777777" w:rsidR="00793719" w:rsidRDefault="00793719" w:rsidP="00793719">
            <w:pPr>
              <w:jc w:val="right"/>
              <w:rPr>
                <w:color w:val="000000"/>
                <w:sz w:val="16"/>
                <w:szCs w:val="16"/>
              </w:rPr>
            </w:pPr>
            <w:r>
              <w:rPr>
                <w:color w:val="000000"/>
                <w:sz w:val="16"/>
                <w:szCs w:val="16"/>
              </w:rPr>
              <w:t>9.9</w:t>
            </w:r>
          </w:p>
        </w:tc>
        <w:tc>
          <w:tcPr>
            <w:tcW w:w="1123" w:type="dxa"/>
            <w:tcBorders>
              <w:right w:val="single" w:sz="4" w:space="0" w:color="auto"/>
            </w:tcBorders>
            <w:vAlign w:val="center"/>
          </w:tcPr>
          <w:p w14:paraId="1371BF7C" w14:textId="77777777" w:rsidR="00793719" w:rsidRDefault="00793719" w:rsidP="00793719">
            <w:pPr>
              <w:jc w:val="right"/>
              <w:rPr>
                <w:color w:val="000000"/>
                <w:sz w:val="16"/>
                <w:szCs w:val="16"/>
              </w:rPr>
            </w:pPr>
            <w:r>
              <w:rPr>
                <w:color w:val="000000"/>
                <w:sz w:val="16"/>
                <w:szCs w:val="16"/>
              </w:rPr>
              <w:t>(0.0, 20.1)</w:t>
            </w:r>
          </w:p>
        </w:tc>
        <w:tc>
          <w:tcPr>
            <w:tcW w:w="536" w:type="dxa"/>
            <w:tcBorders>
              <w:left w:val="single" w:sz="4" w:space="0" w:color="auto"/>
            </w:tcBorders>
            <w:vAlign w:val="center"/>
          </w:tcPr>
          <w:p w14:paraId="0DCBBEA2" w14:textId="77777777" w:rsidR="00793719" w:rsidRDefault="00793719" w:rsidP="00793719">
            <w:pPr>
              <w:jc w:val="right"/>
              <w:rPr>
                <w:color w:val="000000"/>
                <w:sz w:val="16"/>
                <w:szCs w:val="16"/>
              </w:rPr>
            </w:pPr>
            <w:r>
              <w:rPr>
                <w:color w:val="000000"/>
                <w:sz w:val="16"/>
                <w:szCs w:val="16"/>
              </w:rPr>
              <w:t>10</w:t>
            </w:r>
          </w:p>
        </w:tc>
        <w:tc>
          <w:tcPr>
            <w:tcW w:w="576" w:type="dxa"/>
            <w:vAlign w:val="center"/>
          </w:tcPr>
          <w:p w14:paraId="5C5D045F" w14:textId="77777777" w:rsidR="00793719" w:rsidRDefault="00793719" w:rsidP="00793719">
            <w:pPr>
              <w:jc w:val="right"/>
              <w:rPr>
                <w:color w:val="000000"/>
                <w:sz w:val="16"/>
                <w:szCs w:val="16"/>
              </w:rPr>
            </w:pPr>
            <w:r>
              <w:rPr>
                <w:color w:val="000000"/>
                <w:sz w:val="16"/>
                <w:szCs w:val="16"/>
              </w:rPr>
              <w:t>19.6</w:t>
            </w:r>
          </w:p>
        </w:tc>
        <w:tc>
          <w:tcPr>
            <w:tcW w:w="1123" w:type="dxa"/>
            <w:tcBorders>
              <w:right w:val="single" w:sz="4" w:space="0" w:color="auto"/>
            </w:tcBorders>
            <w:vAlign w:val="center"/>
          </w:tcPr>
          <w:p w14:paraId="777DA133" w14:textId="77777777" w:rsidR="00793719" w:rsidRDefault="00793719" w:rsidP="00793719">
            <w:pPr>
              <w:jc w:val="right"/>
              <w:rPr>
                <w:color w:val="000000"/>
                <w:sz w:val="16"/>
                <w:szCs w:val="16"/>
              </w:rPr>
            </w:pPr>
            <w:r>
              <w:rPr>
                <w:color w:val="000000"/>
                <w:sz w:val="16"/>
                <w:szCs w:val="16"/>
              </w:rPr>
              <w:t>(6.5, 32.6)</w:t>
            </w:r>
          </w:p>
        </w:tc>
        <w:tc>
          <w:tcPr>
            <w:tcW w:w="536" w:type="dxa"/>
            <w:tcBorders>
              <w:left w:val="single" w:sz="4" w:space="0" w:color="auto"/>
            </w:tcBorders>
            <w:vAlign w:val="center"/>
          </w:tcPr>
          <w:p w14:paraId="299E28ED" w14:textId="77777777" w:rsidR="00793719" w:rsidRDefault="00793719" w:rsidP="00793719">
            <w:pPr>
              <w:jc w:val="right"/>
              <w:rPr>
                <w:color w:val="000000"/>
                <w:sz w:val="16"/>
                <w:szCs w:val="16"/>
              </w:rPr>
            </w:pPr>
            <w:r>
              <w:rPr>
                <w:color w:val="000000"/>
                <w:sz w:val="16"/>
                <w:szCs w:val="16"/>
              </w:rPr>
              <w:t>6</w:t>
            </w:r>
          </w:p>
        </w:tc>
        <w:tc>
          <w:tcPr>
            <w:tcW w:w="567" w:type="dxa"/>
            <w:vAlign w:val="center"/>
          </w:tcPr>
          <w:p w14:paraId="3394C844" w14:textId="77777777" w:rsidR="00793719" w:rsidRDefault="00793719" w:rsidP="00793719">
            <w:pPr>
              <w:jc w:val="right"/>
              <w:rPr>
                <w:color w:val="000000"/>
                <w:sz w:val="16"/>
                <w:szCs w:val="16"/>
              </w:rPr>
            </w:pPr>
            <w:r>
              <w:rPr>
                <w:color w:val="000000"/>
                <w:sz w:val="16"/>
                <w:szCs w:val="16"/>
              </w:rPr>
              <w:t>14.3</w:t>
            </w:r>
          </w:p>
        </w:tc>
        <w:tc>
          <w:tcPr>
            <w:tcW w:w="1123" w:type="dxa"/>
            <w:vAlign w:val="center"/>
          </w:tcPr>
          <w:p w14:paraId="6DD3AD12" w14:textId="77777777" w:rsidR="00793719" w:rsidRDefault="00793719" w:rsidP="00793719">
            <w:pPr>
              <w:jc w:val="right"/>
              <w:rPr>
                <w:color w:val="000000"/>
                <w:sz w:val="16"/>
                <w:szCs w:val="16"/>
              </w:rPr>
            </w:pPr>
            <w:r>
              <w:rPr>
                <w:color w:val="000000"/>
                <w:sz w:val="16"/>
                <w:szCs w:val="16"/>
              </w:rPr>
              <w:t>(2.7, 25.8)</w:t>
            </w:r>
          </w:p>
        </w:tc>
      </w:tr>
      <w:tr w:rsidR="00793719" w:rsidRPr="007B4EF8" w14:paraId="0B3EAD94" w14:textId="77777777" w:rsidTr="00793719">
        <w:trPr>
          <w:jc w:val="center"/>
        </w:trPr>
        <w:tc>
          <w:tcPr>
            <w:tcW w:w="2127" w:type="dxa"/>
          </w:tcPr>
          <w:p w14:paraId="567D2911" w14:textId="77777777" w:rsidR="00793719" w:rsidRDefault="00793719" w:rsidP="00793719">
            <w:pPr>
              <w:spacing w:before="20" w:after="20"/>
              <w:ind w:left="34"/>
              <w:rPr>
                <w:rFonts w:eastAsiaTheme="minorEastAsia"/>
                <w:sz w:val="16"/>
                <w:szCs w:val="16"/>
                <w:lang w:eastAsia="en-US"/>
              </w:rPr>
            </w:pPr>
          </w:p>
        </w:tc>
        <w:tc>
          <w:tcPr>
            <w:tcW w:w="2379" w:type="dxa"/>
          </w:tcPr>
          <w:p w14:paraId="1A9D5176"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vAlign w:val="center"/>
          </w:tcPr>
          <w:p w14:paraId="204ADF01" w14:textId="77777777" w:rsidR="00793719" w:rsidRDefault="00793719" w:rsidP="00793719">
            <w:pPr>
              <w:jc w:val="right"/>
              <w:rPr>
                <w:color w:val="000000"/>
                <w:sz w:val="16"/>
                <w:szCs w:val="16"/>
              </w:rPr>
            </w:pPr>
            <w:r>
              <w:rPr>
                <w:color w:val="000000"/>
                <w:sz w:val="16"/>
                <w:szCs w:val="16"/>
              </w:rPr>
              <w:t>6</w:t>
            </w:r>
          </w:p>
        </w:tc>
        <w:tc>
          <w:tcPr>
            <w:tcW w:w="496" w:type="dxa"/>
            <w:vAlign w:val="center"/>
          </w:tcPr>
          <w:p w14:paraId="7359F99C" w14:textId="77777777" w:rsidR="00793719" w:rsidRDefault="00793719" w:rsidP="00793719">
            <w:pPr>
              <w:jc w:val="right"/>
              <w:rPr>
                <w:color w:val="000000"/>
                <w:sz w:val="16"/>
                <w:szCs w:val="16"/>
              </w:rPr>
            </w:pPr>
            <w:r>
              <w:rPr>
                <w:color w:val="000000"/>
                <w:sz w:val="16"/>
                <w:szCs w:val="16"/>
              </w:rPr>
              <w:t>4.9</w:t>
            </w:r>
          </w:p>
        </w:tc>
        <w:tc>
          <w:tcPr>
            <w:tcW w:w="1043" w:type="dxa"/>
            <w:tcBorders>
              <w:right w:val="single" w:sz="4" w:space="0" w:color="auto"/>
            </w:tcBorders>
            <w:vAlign w:val="center"/>
          </w:tcPr>
          <w:p w14:paraId="5DC9C41D" w14:textId="77777777" w:rsidR="00793719" w:rsidRDefault="00793719" w:rsidP="00793719">
            <w:pPr>
              <w:jc w:val="right"/>
              <w:rPr>
                <w:color w:val="000000"/>
                <w:sz w:val="16"/>
                <w:szCs w:val="16"/>
              </w:rPr>
            </w:pPr>
            <w:r>
              <w:rPr>
                <w:color w:val="000000"/>
                <w:sz w:val="16"/>
                <w:szCs w:val="16"/>
              </w:rPr>
              <w:t>(0.0, 9.8)</w:t>
            </w:r>
          </w:p>
        </w:tc>
        <w:tc>
          <w:tcPr>
            <w:tcW w:w="569" w:type="dxa"/>
            <w:tcBorders>
              <w:left w:val="single" w:sz="4" w:space="0" w:color="auto"/>
            </w:tcBorders>
            <w:vAlign w:val="center"/>
          </w:tcPr>
          <w:p w14:paraId="207582D9" w14:textId="77777777" w:rsidR="00793719" w:rsidRDefault="00793719" w:rsidP="00793719">
            <w:pPr>
              <w:jc w:val="right"/>
              <w:rPr>
                <w:color w:val="000000"/>
                <w:sz w:val="16"/>
                <w:szCs w:val="16"/>
              </w:rPr>
            </w:pPr>
            <w:r>
              <w:rPr>
                <w:color w:val="000000"/>
                <w:sz w:val="16"/>
                <w:szCs w:val="16"/>
              </w:rPr>
              <w:t>1</w:t>
            </w:r>
          </w:p>
        </w:tc>
        <w:tc>
          <w:tcPr>
            <w:tcW w:w="567" w:type="dxa"/>
            <w:vAlign w:val="center"/>
          </w:tcPr>
          <w:p w14:paraId="57299167" w14:textId="77777777" w:rsidR="00793719" w:rsidRDefault="00793719" w:rsidP="00793719">
            <w:pPr>
              <w:jc w:val="right"/>
              <w:rPr>
                <w:color w:val="000000"/>
                <w:sz w:val="16"/>
                <w:szCs w:val="16"/>
              </w:rPr>
            </w:pPr>
            <w:r>
              <w:rPr>
                <w:color w:val="000000"/>
                <w:sz w:val="16"/>
                <w:szCs w:val="16"/>
              </w:rPr>
              <w:t>2.8</w:t>
            </w:r>
          </w:p>
        </w:tc>
        <w:tc>
          <w:tcPr>
            <w:tcW w:w="1123" w:type="dxa"/>
            <w:tcBorders>
              <w:right w:val="single" w:sz="4" w:space="0" w:color="auto"/>
            </w:tcBorders>
            <w:vAlign w:val="center"/>
          </w:tcPr>
          <w:p w14:paraId="70BBFCB3" w14:textId="77777777" w:rsidR="00793719" w:rsidRDefault="002F172C" w:rsidP="00793719">
            <w:pPr>
              <w:jc w:val="right"/>
              <w:rPr>
                <w:color w:val="000000"/>
                <w:sz w:val="16"/>
                <w:szCs w:val="16"/>
              </w:rPr>
            </w:pPr>
            <w:r>
              <w:rPr>
                <w:color w:val="000000"/>
                <w:sz w:val="16"/>
                <w:szCs w:val="16"/>
              </w:rPr>
              <w:t>!</w:t>
            </w:r>
          </w:p>
        </w:tc>
        <w:tc>
          <w:tcPr>
            <w:tcW w:w="536" w:type="dxa"/>
            <w:tcBorders>
              <w:left w:val="single" w:sz="4" w:space="0" w:color="auto"/>
            </w:tcBorders>
            <w:vAlign w:val="center"/>
          </w:tcPr>
          <w:p w14:paraId="76DA4886" w14:textId="77777777" w:rsidR="00793719" w:rsidRDefault="00793719" w:rsidP="00793719">
            <w:pPr>
              <w:jc w:val="right"/>
              <w:rPr>
                <w:color w:val="000000"/>
                <w:sz w:val="16"/>
                <w:szCs w:val="16"/>
              </w:rPr>
            </w:pPr>
            <w:r>
              <w:rPr>
                <w:color w:val="000000"/>
                <w:sz w:val="16"/>
                <w:szCs w:val="16"/>
              </w:rPr>
              <w:t>2</w:t>
            </w:r>
          </w:p>
        </w:tc>
        <w:tc>
          <w:tcPr>
            <w:tcW w:w="576" w:type="dxa"/>
            <w:vAlign w:val="center"/>
          </w:tcPr>
          <w:p w14:paraId="2F1D334B" w14:textId="77777777" w:rsidR="00793719" w:rsidRDefault="00793719" w:rsidP="00793719">
            <w:pPr>
              <w:jc w:val="right"/>
              <w:rPr>
                <w:color w:val="000000"/>
                <w:sz w:val="16"/>
                <w:szCs w:val="16"/>
              </w:rPr>
            </w:pPr>
            <w:r>
              <w:rPr>
                <w:color w:val="000000"/>
                <w:sz w:val="16"/>
                <w:szCs w:val="16"/>
              </w:rPr>
              <w:t>3.2</w:t>
            </w:r>
          </w:p>
        </w:tc>
        <w:tc>
          <w:tcPr>
            <w:tcW w:w="1123" w:type="dxa"/>
            <w:tcBorders>
              <w:right w:val="single" w:sz="4" w:space="0" w:color="auto"/>
            </w:tcBorders>
            <w:vAlign w:val="center"/>
          </w:tcPr>
          <w:p w14:paraId="0E458C68" w14:textId="77777777" w:rsidR="00793719" w:rsidRDefault="002F172C" w:rsidP="00793719">
            <w:pPr>
              <w:jc w:val="right"/>
              <w:rPr>
                <w:color w:val="000000"/>
                <w:sz w:val="16"/>
                <w:szCs w:val="16"/>
              </w:rPr>
            </w:pPr>
            <w:r>
              <w:rPr>
                <w:color w:val="000000"/>
                <w:sz w:val="16"/>
                <w:szCs w:val="16"/>
              </w:rPr>
              <w:t>!</w:t>
            </w:r>
          </w:p>
        </w:tc>
        <w:tc>
          <w:tcPr>
            <w:tcW w:w="536" w:type="dxa"/>
            <w:tcBorders>
              <w:left w:val="single" w:sz="4" w:space="0" w:color="auto"/>
            </w:tcBorders>
            <w:vAlign w:val="center"/>
          </w:tcPr>
          <w:p w14:paraId="1D282230" w14:textId="77777777" w:rsidR="00793719" w:rsidRDefault="00793719" w:rsidP="00793719">
            <w:pPr>
              <w:jc w:val="right"/>
              <w:rPr>
                <w:color w:val="000000"/>
                <w:sz w:val="16"/>
                <w:szCs w:val="16"/>
              </w:rPr>
            </w:pPr>
            <w:r>
              <w:rPr>
                <w:color w:val="000000"/>
                <w:sz w:val="16"/>
                <w:szCs w:val="16"/>
              </w:rPr>
              <w:t>3</w:t>
            </w:r>
          </w:p>
        </w:tc>
        <w:tc>
          <w:tcPr>
            <w:tcW w:w="567" w:type="dxa"/>
            <w:vAlign w:val="center"/>
          </w:tcPr>
          <w:p w14:paraId="27B44BF4" w14:textId="77777777" w:rsidR="00793719" w:rsidRDefault="00793719" w:rsidP="00793719">
            <w:pPr>
              <w:jc w:val="right"/>
              <w:rPr>
                <w:color w:val="000000"/>
                <w:sz w:val="16"/>
                <w:szCs w:val="16"/>
              </w:rPr>
            </w:pPr>
            <w:r>
              <w:rPr>
                <w:color w:val="000000"/>
                <w:sz w:val="16"/>
                <w:szCs w:val="16"/>
              </w:rPr>
              <w:t>7.9</w:t>
            </w:r>
          </w:p>
        </w:tc>
        <w:tc>
          <w:tcPr>
            <w:tcW w:w="1123" w:type="dxa"/>
            <w:vAlign w:val="center"/>
          </w:tcPr>
          <w:p w14:paraId="4AD2922D" w14:textId="77777777" w:rsidR="00793719" w:rsidRDefault="00793719" w:rsidP="00793719">
            <w:pPr>
              <w:jc w:val="right"/>
              <w:rPr>
                <w:color w:val="000000"/>
                <w:sz w:val="16"/>
                <w:szCs w:val="16"/>
              </w:rPr>
            </w:pPr>
            <w:r>
              <w:rPr>
                <w:color w:val="000000"/>
                <w:sz w:val="16"/>
                <w:szCs w:val="16"/>
              </w:rPr>
              <w:t>(3.9, 11.9)</w:t>
            </w:r>
          </w:p>
        </w:tc>
      </w:tr>
      <w:tr w:rsidR="00793719" w:rsidRPr="007B4EF8" w14:paraId="2EF12D6A" w14:textId="77777777" w:rsidTr="00793719">
        <w:trPr>
          <w:jc w:val="center"/>
        </w:trPr>
        <w:tc>
          <w:tcPr>
            <w:tcW w:w="2127" w:type="dxa"/>
          </w:tcPr>
          <w:p w14:paraId="7E95C973" w14:textId="77777777" w:rsidR="00793719" w:rsidRDefault="00793719" w:rsidP="00793719">
            <w:pPr>
              <w:spacing w:before="20" w:after="20"/>
              <w:ind w:left="34"/>
              <w:rPr>
                <w:rFonts w:eastAsiaTheme="minorEastAsia"/>
                <w:sz w:val="16"/>
                <w:szCs w:val="16"/>
                <w:lang w:eastAsia="en-US"/>
              </w:rPr>
            </w:pPr>
            <w:r>
              <w:rPr>
                <w:rFonts w:eastAsiaTheme="minorEastAsia"/>
                <w:sz w:val="16"/>
                <w:szCs w:val="16"/>
                <w:lang w:eastAsia="en-US"/>
              </w:rPr>
              <w:t>31 - 60 minutes</w:t>
            </w:r>
          </w:p>
        </w:tc>
        <w:tc>
          <w:tcPr>
            <w:tcW w:w="2379" w:type="dxa"/>
          </w:tcPr>
          <w:p w14:paraId="535E33F1"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vAlign w:val="center"/>
          </w:tcPr>
          <w:p w14:paraId="5FFB856E" w14:textId="77777777" w:rsidR="00793719" w:rsidRDefault="00793719" w:rsidP="00793719">
            <w:pPr>
              <w:jc w:val="right"/>
              <w:rPr>
                <w:color w:val="000000"/>
                <w:sz w:val="16"/>
                <w:szCs w:val="16"/>
              </w:rPr>
            </w:pPr>
            <w:r>
              <w:rPr>
                <w:color w:val="000000"/>
                <w:sz w:val="16"/>
                <w:szCs w:val="16"/>
              </w:rPr>
              <w:t>83</w:t>
            </w:r>
          </w:p>
        </w:tc>
        <w:tc>
          <w:tcPr>
            <w:tcW w:w="496" w:type="dxa"/>
            <w:vAlign w:val="center"/>
          </w:tcPr>
          <w:p w14:paraId="4F3AC7D8" w14:textId="77777777" w:rsidR="00793719" w:rsidRDefault="00793719" w:rsidP="00793719">
            <w:pPr>
              <w:jc w:val="right"/>
              <w:rPr>
                <w:color w:val="000000"/>
                <w:sz w:val="16"/>
                <w:szCs w:val="16"/>
              </w:rPr>
            </w:pPr>
            <w:r>
              <w:rPr>
                <w:color w:val="000000"/>
                <w:sz w:val="16"/>
                <w:szCs w:val="16"/>
              </w:rPr>
              <w:t>73.3</w:t>
            </w:r>
          </w:p>
        </w:tc>
        <w:tc>
          <w:tcPr>
            <w:tcW w:w="1043" w:type="dxa"/>
            <w:tcBorders>
              <w:right w:val="single" w:sz="4" w:space="0" w:color="auto"/>
            </w:tcBorders>
            <w:vAlign w:val="center"/>
          </w:tcPr>
          <w:p w14:paraId="1D117F1D" w14:textId="77777777" w:rsidR="00793719" w:rsidRDefault="00793719" w:rsidP="00793719">
            <w:pPr>
              <w:jc w:val="right"/>
              <w:rPr>
                <w:color w:val="000000"/>
                <w:sz w:val="16"/>
                <w:szCs w:val="16"/>
              </w:rPr>
            </w:pPr>
            <w:r>
              <w:rPr>
                <w:color w:val="000000"/>
                <w:sz w:val="16"/>
                <w:szCs w:val="16"/>
              </w:rPr>
              <w:t>(63.5, 83.1)</w:t>
            </w:r>
          </w:p>
        </w:tc>
        <w:tc>
          <w:tcPr>
            <w:tcW w:w="569" w:type="dxa"/>
            <w:tcBorders>
              <w:left w:val="single" w:sz="4" w:space="0" w:color="auto"/>
            </w:tcBorders>
            <w:vAlign w:val="center"/>
          </w:tcPr>
          <w:p w14:paraId="4346469D" w14:textId="77777777" w:rsidR="00793719" w:rsidRDefault="00793719" w:rsidP="00793719">
            <w:pPr>
              <w:jc w:val="right"/>
              <w:rPr>
                <w:color w:val="000000"/>
                <w:sz w:val="16"/>
                <w:szCs w:val="16"/>
              </w:rPr>
            </w:pPr>
            <w:r>
              <w:rPr>
                <w:color w:val="000000"/>
                <w:sz w:val="16"/>
                <w:szCs w:val="16"/>
              </w:rPr>
              <w:t>33</w:t>
            </w:r>
          </w:p>
        </w:tc>
        <w:tc>
          <w:tcPr>
            <w:tcW w:w="567" w:type="dxa"/>
            <w:vAlign w:val="center"/>
          </w:tcPr>
          <w:p w14:paraId="7A0FCF05" w14:textId="77777777" w:rsidR="00793719" w:rsidRDefault="00793719" w:rsidP="00793719">
            <w:pPr>
              <w:jc w:val="right"/>
              <w:rPr>
                <w:color w:val="000000"/>
                <w:sz w:val="16"/>
                <w:szCs w:val="16"/>
              </w:rPr>
            </w:pPr>
            <w:r>
              <w:rPr>
                <w:color w:val="000000"/>
                <w:sz w:val="16"/>
                <w:szCs w:val="16"/>
              </w:rPr>
              <w:t>70.3</w:t>
            </w:r>
          </w:p>
        </w:tc>
        <w:tc>
          <w:tcPr>
            <w:tcW w:w="1123" w:type="dxa"/>
            <w:tcBorders>
              <w:right w:val="single" w:sz="4" w:space="0" w:color="auto"/>
            </w:tcBorders>
            <w:vAlign w:val="center"/>
          </w:tcPr>
          <w:p w14:paraId="4B85F8CA" w14:textId="77777777" w:rsidR="00793719" w:rsidRDefault="00793719" w:rsidP="00793719">
            <w:pPr>
              <w:jc w:val="right"/>
              <w:rPr>
                <w:color w:val="000000"/>
                <w:sz w:val="16"/>
                <w:szCs w:val="16"/>
              </w:rPr>
            </w:pPr>
            <w:r>
              <w:rPr>
                <w:color w:val="000000"/>
                <w:sz w:val="16"/>
                <w:szCs w:val="16"/>
              </w:rPr>
              <w:t>(57.1, 83.5)</w:t>
            </w:r>
          </w:p>
        </w:tc>
        <w:tc>
          <w:tcPr>
            <w:tcW w:w="536" w:type="dxa"/>
            <w:tcBorders>
              <w:left w:val="single" w:sz="4" w:space="0" w:color="auto"/>
            </w:tcBorders>
            <w:vAlign w:val="center"/>
          </w:tcPr>
          <w:p w14:paraId="6DA62E87" w14:textId="77777777" w:rsidR="00793719" w:rsidRDefault="00793719" w:rsidP="00793719">
            <w:pPr>
              <w:jc w:val="right"/>
              <w:rPr>
                <w:color w:val="000000"/>
                <w:sz w:val="16"/>
                <w:szCs w:val="16"/>
              </w:rPr>
            </w:pPr>
            <w:r>
              <w:rPr>
                <w:color w:val="000000"/>
                <w:sz w:val="16"/>
                <w:szCs w:val="16"/>
              </w:rPr>
              <w:t>37</w:t>
            </w:r>
          </w:p>
        </w:tc>
        <w:tc>
          <w:tcPr>
            <w:tcW w:w="576" w:type="dxa"/>
            <w:vAlign w:val="center"/>
          </w:tcPr>
          <w:p w14:paraId="1B53E662" w14:textId="77777777" w:rsidR="00793719" w:rsidRDefault="00793719" w:rsidP="00793719">
            <w:pPr>
              <w:jc w:val="right"/>
              <w:rPr>
                <w:color w:val="000000"/>
                <w:sz w:val="16"/>
                <w:szCs w:val="16"/>
              </w:rPr>
            </w:pPr>
            <w:r>
              <w:rPr>
                <w:color w:val="000000"/>
                <w:sz w:val="16"/>
                <w:szCs w:val="16"/>
              </w:rPr>
              <w:t>79.5</w:t>
            </w:r>
          </w:p>
        </w:tc>
        <w:tc>
          <w:tcPr>
            <w:tcW w:w="1123" w:type="dxa"/>
            <w:tcBorders>
              <w:right w:val="single" w:sz="4" w:space="0" w:color="auto"/>
            </w:tcBorders>
            <w:vAlign w:val="center"/>
          </w:tcPr>
          <w:p w14:paraId="7CBA0275" w14:textId="77777777" w:rsidR="00793719" w:rsidRDefault="00793719" w:rsidP="00793719">
            <w:pPr>
              <w:jc w:val="right"/>
              <w:rPr>
                <w:color w:val="000000"/>
                <w:sz w:val="16"/>
                <w:szCs w:val="16"/>
              </w:rPr>
            </w:pPr>
            <w:r>
              <w:rPr>
                <w:color w:val="000000"/>
                <w:sz w:val="16"/>
                <w:szCs w:val="16"/>
              </w:rPr>
              <w:t>(64.1, 95)</w:t>
            </w:r>
          </w:p>
        </w:tc>
        <w:tc>
          <w:tcPr>
            <w:tcW w:w="536" w:type="dxa"/>
            <w:tcBorders>
              <w:left w:val="single" w:sz="4" w:space="0" w:color="auto"/>
            </w:tcBorders>
            <w:vAlign w:val="center"/>
          </w:tcPr>
          <w:p w14:paraId="06FD3FF0" w14:textId="77777777" w:rsidR="00793719" w:rsidRDefault="00793719" w:rsidP="00793719">
            <w:pPr>
              <w:jc w:val="right"/>
              <w:rPr>
                <w:color w:val="000000"/>
                <w:sz w:val="16"/>
                <w:szCs w:val="16"/>
              </w:rPr>
            </w:pPr>
            <w:r>
              <w:rPr>
                <w:color w:val="000000"/>
                <w:sz w:val="16"/>
                <w:szCs w:val="16"/>
              </w:rPr>
              <w:t>23</w:t>
            </w:r>
          </w:p>
        </w:tc>
        <w:tc>
          <w:tcPr>
            <w:tcW w:w="567" w:type="dxa"/>
            <w:vAlign w:val="center"/>
          </w:tcPr>
          <w:p w14:paraId="3C8A905C" w14:textId="77777777" w:rsidR="00793719" w:rsidRDefault="00793719" w:rsidP="00793719">
            <w:pPr>
              <w:jc w:val="right"/>
              <w:rPr>
                <w:color w:val="000000"/>
                <w:sz w:val="16"/>
                <w:szCs w:val="16"/>
              </w:rPr>
            </w:pPr>
            <w:r>
              <w:rPr>
                <w:color w:val="000000"/>
                <w:sz w:val="16"/>
                <w:szCs w:val="16"/>
              </w:rPr>
              <w:t>82.1</w:t>
            </w:r>
          </w:p>
        </w:tc>
        <w:tc>
          <w:tcPr>
            <w:tcW w:w="1123" w:type="dxa"/>
            <w:vAlign w:val="center"/>
          </w:tcPr>
          <w:p w14:paraId="2AD0FFC7" w14:textId="77777777" w:rsidR="00793719" w:rsidRDefault="00793719" w:rsidP="00793719">
            <w:pPr>
              <w:jc w:val="right"/>
              <w:rPr>
                <w:color w:val="000000"/>
                <w:sz w:val="16"/>
                <w:szCs w:val="16"/>
              </w:rPr>
            </w:pPr>
            <w:r>
              <w:rPr>
                <w:color w:val="000000"/>
                <w:sz w:val="16"/>
                <w:szCs w:val="16"/>
              </w:rPr>
              <w:t>(68.3, 95.8)</w:t>
            </w:r>
          </w:p>
        </w:tc>
      </w:tr>
      <w:tr w:rsidR="00793719" w:rsidRPr="007B4EF8" w14:paraId="742F6E01" w14:textId="77777777" w:rsidTr="00793719">
        <w:trPr>
          <w:jc w:val="center"/>
        </w:trPr>
        <w:tc>
          <w:tcPr>
            <w:tcW w:w="2127" w:type="dxa"/>
          </w:tcPr>
          <w:p w14:paraId="75681738" w14:textId="77777777" w:rsidR="00793719" w:rsidRDefault="00793719" w:rsidP="00793719">
            <w:pPr>
              <w:spacing w:before="20" w:after="20"/>
              <w:ind w:left="34"/>
              <w:rPr>
                <w:rFonts w:eastAsiaTheme="minorEastAsia"/>
                <w:sz w:val="16"/>
                <w:szCs w:val="16"/>
                <w:lang w:eastAsia="en-US"/>
              </w:rPr>
            </w:pPr>
          </w:p>
        </w:tc>
        <w:tc>
          <w:tcPr>
            <w:tcW w:w="2379" w:type="dxa"/>
          </w:tcPr>
          <w:p w14:paraId="354FA5C6"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vAlign w:val="center"/>
          </w:tcPr>
          <w:p w14:paraId="4B975C18" w14:textId="77777777" w:rsidR="00793719" w:rsidRDefault="00793719" w:rsidP="00793719">
            <w:pPr>
              <w:jc w:val="right"/>
              <w:rPr>
                <w:color w:val="000000"/>
                <w:sz w:val="16"/>
                <w:szCs w:val="16"/>
              </w:rPr>
            </w:pPr>
            <w:r>
              <w:rPr>
                <w:color w:val="000000"/>
                <w:sz w:val="16"/>
                <w:szCs w:val="16"/>
              </w:rPr>
              <w:t>21</w:t>
            </w:r>
          </w:p>
        </w:tc>
        <w:tc>
          <w:tcPr>
            <w:tcW w:w="496" w:type="dxa"/>
            <w:vAlign w:val="center"/>
          </w:tcPr>
          <w:p w14:paraId="08B4E348" w14:textId="77777777" w:rsidR="00793719" w:rsidRDefault="00793719" w:rsidP="00793719">
            <w:pPr>
              <w:jc w:val="right"/>
              <w:rPr>
                <w:color w:val="000000"/>
                <w:sz w:val="16"/>
                <w:szCs w:val="16"/>
              </w:rPr>
            </w:pPr>
            <w:r>
              <w:rPr>
                <w:color w:val="000000"/>
                <w:sz w:val="16"/>
                <w:szCs w:val="16"/>
              </w:rPr>
              <w:t>18.2</w:t>
            </w:r>
          </w:p>
        </w:tc>
        <w:tc>
          <w:tcPr>
            <w:tcW w:w="1043" w:type="dxa"/>
            <w:tcBorders>
              <w:right w:val="single" w:sz="4" w:space="0" w:color="auto"/>
            </w:tcBorders>
            <w:vAlign w:val="center"/>
          </w:tcPr>
          <w:p w14:paraId="1E7FFD7A" w14:textId="77777777" w:rsidR="00793719" w:rsidRDefault="00793719" w:rsidP="00793719">
            <w:pPr>
              <w:jc w:val="right"/>
              <w:rPr>
                <w:color w:val="000000"/>
                <w:sz w:val="16"/>
                <w:szCs w:val="16"/>
              </w:rPr>
            </w:pPr>
            <w:r>
              <w:rPr>
                <w:color w:val="000000"/>
                <w:sz w:val="16"/>
                <w:szCs w:val="16"/>
              </w:rPr>
              <w:t>(9.5, 26.9)</w:t>
            </w:r>
          </w:p>
        </w:tc>
        <w:tc>
          <w:tcPr>
            <w:tcW w:w="569" w:type="dxa"/>
            <w:tcBorders>
              <w:left w:val="single" w:sz="4" w:space="0" w:color="auto"/>
            </w:tcBorders>
            <w:vAlign w:val="center"/>
          </w:tcPr>
          <w:p w14:paraId="2F2BED44" w14:textId="77777777" w:rsidR="00793719" w:rsidRDefault="00793719" w:rsidP="00793719">
            <w:pPr>
              <w:jc w:val="right"/>
              <w:rPr>
                <w:color w:val="000000"/>
                <w:sz w:val="16"/>
                <w:szCs w:val="16"/>
              </w:rPr>
            </w:pPr>
            <w:r>
              <w:rPr>
                <w:color w:val="000000"/>
                <w:sz w:val="16"/>
                <w:szCs w:val="16"/>
              </w:rPr>
              <w:t>12</w:t>
            </w:r>
          </w:p>
        </w:tc>
        <w:tc>
          <w:tcPr>
            <w:tcW w:w="567" w:type="dxa"/>
            <w:vAlign w:val="center"/>
          </w:tcPr>
          <w:p w14:paraId="433A092B" w14:textId="77777777" w:rsidR="00793719" w:rsidRDefault="00793719" w:rsidP="00793719">
            <w:pPr>
              <w:jc w:val="right"/>
              <w:rPr>
                <w:color w:val="000000"/>
                <w:sz w:val="16"/>
                <w:szCs w:val="16"/>
              </w:rPr>
            </w:pPr>
            <w:r>
              <w:rPr>
                <w:color w:val="000000"/>
                <w:sz w:val="16"/>
                <w:szCs w:val="16"/>
              </w:rPr>
              <w:t>25.1</w:t>
            </w:r>
          </w:p>
        </w:tc>
        <w:tc>
          <w:tcPr>
            <w:tcW w:w="1123" w:type="dxa"/>
            <w:tcBorders>
              <w:right w:val="single" w:sz="4" w:space="0" w:color="auto"/>
            </w:tcBorders>
            <w:vAlign w:val="center"/>
          </w:tcPr>
          <w:p w14:paraId="247E8AB1" w14:textId="77777777" w:rsidR="00793719" w:rsidRDefault="00793719" w:rsidP="00793719">
            <w:pPr>
              <w:jc w:val="right"/>
              <w:rPr>
                <w:color w:val="000000"/>
                <w:sz w:val="16"/>
                <w:szCs w:val="16"/>
              </w:rPr>
            </w:pPr>
            <w:r>
              <w:rPr>
                <w:color w:val="000000"/>
                <w:sz w:val="16"/>
                <w:szCs w:val="16"/>
              </w:rPr>
              <w:t>(12.8, 37.4)</w:t>
            </w:r>
          </w:p>
        </w:tc>
        <w:tc>
          <w:tcPr>
            <w:tcW w:w="536" w:type="dxa"/>
            <w:tcBorders>
              <w:left w:val="single" w:sz="4" w:space="0" w:color="auto"/>
            </w:tcBorders>
            <w:vAlign w:val="center"/>
          </w:tcPr>
          <w:p w14:paraId="259B7A80" w14:textId="77777777" w:rsidR="00793719" w:rsidRDefault="00793719" w:rsidP="00793719">
            <w:pPr>
              <w:jc w:val="right"/>
              <w:rPr>
                <w:color w:val="000000"/>
                <w:sz w:val="16"/>
                <w:szCs w:val="16"/>
              </w:rPr>
            </w:pPr>
            <w:r>
              <w:rPr>
                <w:color w:val="000000"/>
                <w:sz w:val="16"/>
                <w:szCs w:val="16"/>
              </w:rPr>
              <w:t>7</w:t>
            </w:r>
          </w:p>
        </w:tc>
        <w:tc>
          <w:tcPr>
            <w:tcW w:w="576" w:type="dxa"/>
            <w:vAlign w:val="center"/>
          </w:tcPr>
          <w:p w14:paraId="58B73DF1" w14:textId="77777777" w:rsidR="00793719" w:rsidRDefault="00793719" w:rsidP="00793719">
            <w:pPr>
              <w:jc w:val="right"/>
              <w:rPr>
                <w:color w:val="000000"/>
                <w:sz w:val="16"/>
                <w:szCs w:val="16"/>
              </w:rPr>
            </w:pPr>
            <w:r>
              <w:rPr>
                <w:color w:val="000000"/>
                <w:sz w:val="16"/>
                <w:szCs w:val="16"/>
              </w:rPr>
              <w:t>15.0</w:t>
            </w:r>
          </w:p>
        </w:tc>
        <w:tc>
          <w:tcPr>
            <w:tcW w:w="1123" w:type="dxa"/>
            <w:tcBorders>
              <w:right w:val="single" w:sz="4" w:space="0" w:color="auto"/>
            </w:tcBorders>
            <w:vAlign w:val="center"/>
          </w:tcPr>
          <w:p w14:paraId="08D01E4C" w14:textId="77777777" w:rsidR="00793719" w:rsidRDefault="00793719" w:rsidP="00793719">
            <w:pPr>
              <w:jc w:val="right"/>
              <w:rPr>
                <w:color w:val="000000"/>
                <w:sz w:val="16"/>
                <w:szCs w:val="16"/>
              </w:rPr>
            </w:pPr>
            <w:r>
              <w:rPr>
                <w:color w:val="000000"/>
                <w:sz w:val="16"/>
                <w:szCs w:val="16"/>
              </w:rPr>
              <w:t>(0.1, 29.9)</w:t>
            </w:r>
          </w:p>
        </w:tc>
        <w:tc>
          <w:tcPr>
            <w:tcW w:w="536" w:type="dxa"/>
            <w:tcBorders>
              <w:left w:val="single" w:sz="4" w:space="0" w:color="auto"/>
            </w:tcBorders>
            <w:vAlign w:val="center"/>
          </w:tcPr>
          <w:p w14:paraId="3326F19F" w14:textId="77777777" w:rsidR="00793719" w:rsidRDefault="00793719" w:rsidP="00793719">
            <w:pPr>
              <w:jc w:val="right"/>
              <w:rPr>
                <w:color w:val="000000"/>
                <w:sz w:val="16"/>
                <w:szCs w:val="16"/>
              </w:rPr>
            </w:pPr>
            <w:r>
              <w:rPr>
                <w:color w:val="000000"/>
                <w:sz w:val="16"/>
                <w:szCs w:val="16"/>
              </w:rPr>
              <w:t>2</w:t>
            </w:r>
          </w:p>
        </w:tc>
        <w:tc>
          <w:tcPr>
            <w:tcW w:w="567" w:type="dxa"/>
            <w:vAlign w:val="center"/>
          </w:tcPr>
          <w:p w14:paraId="78103A73" w14:textId="77777777" w:rsidR="00793719" w:rsidRDefault="00793719" w:rsidP="00793719">
            <w:pPr>
              <w:jc w:val="right"/>
              <w:rPr>
                <w:color w:val="000000"/>
                <w:sz w:val="16"/>
                <w:szCs w:val="16"/>
              </w:rPr>
            </w:pPr>
            <w:r>
              <w:rPr>
                <w:color w:val="000000"/>
                <w:sz w:val="16"/>
                <w:szCs w:val="16"/>
              </w:rPr>
              <w:t>6.2</w:t>
            </w:r>
          </w:p>
        </w:tc>
        <w:tc>
          <w:tcPr>
            <w:tcW w:w="1123" w:type="dxa"/>
            <w:vAlign w:val="center"/>
          </w:tcPr>
          <w:p w14:paraId="219F37E1" w14:textId="77777777" w:rsidR="00793719" w:rsidRDefault="002F172C" w:rsidP="00793719">
            <w:pPr>
              <w:jc w:val="right"/>
              <w:rPr>
                <w:color w:val="000000"/>
                <w:sz w:val="16"/>
                <w:szCs w:val="16"/>
              </w:rPr>
            </w:pPr>
            <w:r>
              <w:rPr>
                <w:color w:val="000000"/>
                <w:sz w:val="16"/>
                <w:szCs w:val="16"/>
              </w:rPr>
              <w:t>!</w:t>
            </w:r>
          </w:p>
        </w:tc>
      </w:tr>
      <w:tr w:rsidR="00793719" w:rsidRPr="007B4EF8" w14:paraId="7F48BDD4" w14:textId="77777777" w:rsidTr="00793719">
        <w:trPr>
          <w:jc w:val="center"/>
        </w:trPr>
        <w:tc>
          <w:tcPr>
            <w:tcW w:w="2127" w:type="dxa"/>
          </w:tcPr>
          <w:p w14:paraId="5A9C1033" w14:textId="77777777" w:rsidR="00793719" w:rsidRDefault="00793719" w:rsidP="00793719">
            <w:pPr>
              <w:spacing w:before="20" w:after="20"/>
              <w:ind w:left="34"/>
              <w:rPr>
                <w:rFonts w:eastAsiaTheme="minorEastAsia"/>
                <w:sz w:val="16"/>
                <w:szCs w:val="16"/>
                <w:lang w:eastAsia="en-US"/>
              </w:rPr>
            </w:pPr>
          </w:p>
        </w:tc>
        <w:tc>
          <w:tcPr>
            <w:tcW w:w="2379" w:type="dxa"/>
          </w:tcPr>
          <w:p w14:paraId="30266DD6"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vAlign w:val="center"/>
          </w:tcPr>
          <w:p w14:paraId="4D508781" w14:textId="77777777" w:rsidR="00793719" w:rsidRDefault="00793719" w:rsidP="00793719">
            <w:pPr>
              <w:jc w:val="right"/>
              <w:rPr>
                <w:color w:val="000000"/>
                <w:sz w:val="16"/>
                <w:szCs w:val="16"/>
              </w:rPr>
            </w:pPr>
            <w:r>
              <w:rPr>
                <w:color w:val="000000"/>
                <w:sz w:val="16"/>
                <w:szCs w:val="16"/>
              </w:rPr>
              <w:t>10</w:t>
            </w:r>
          </w:p>
        </w:tc>
        <w:tc>
          <w:tcPr>
            <w:tcW w:w="496" w:type="dxa"/>
            <w:vAlign w:val="center"/>
          </w:tcPr>
          <w:p w14:paraId="256B34C2" w14:textId="77777777" w:rsidR="00793719" w:rsidRDefault="00793719" w:rsidP="00793719">
            <w:pPr>
              <w:jc w:val="right"/>
              <w:rPr>
                <w:color w:val="000000"/>
                <w:sz w:val="16"/>
                <w:szCs w:val="16"/>
              </w:rPr>
            </w:pPr>
            <w:r>
              <w:rPr>
                <w:color w:val="000000"/>
                <w:sz w:val="16"/>
                <w:szCs w:val="16"/>
              </w:rPr>
              <w:t>8.5</w:t>
            </w:r>
          </w:p>
        </w:tc>
        <w:tc>
          <w:tcPr>
            <w:tcW w:w="1043" w:type="dxa"/>
            <w:tcBorders>
              <w:right w:val="single" w:sz="4" w:space="0" w:color="auto"/>
            </w:tcBorders>
            <w:vAlign w:val="center"/>
          </w:tcPr>
          <w:p w14:paraId="1CD3C89A" w14:textId="77777777" w:rsidR="00793719" w:rsidRDefault="00793719" w:rsidP="00793719">
            <w:pPr>
              <w:jc w:val="right"/>
              <w:rPr>
                <w:color w:val="000000"/>
                <w:sz w:val="16"/>
                <w:szCs w:val="16"/>
              </w:rPr>
            </w:pPr>
            <w:r>
              <w:rPr>
                <w:color w:val="000000"/>
                <w:sz w:val="16"/>
                <w:szCs w:val="16"/>
              </w:rPr>
              <w:t>(2.2, 14.8)</w:t>
            </w:r>
          </w:p>
        </w:tc>
        <w:tc>
          <w:tcPr>
            <w:tcW w:w="569" w:type="dxa"/>
            <w:tcBorders>
              <w:left w:val="single" w:sz="4" w:space="0" w:color="auto"/>
            </w:tcBorders>
            <w:vAlign w:val="center"/>
          </w:tcPr>
          <w:p w14:paraId="03C3726C" w14:textId="77777777" w:rsidR="00793719" w:rsidRDefault="00793719" w:rsidP="00793719">
            <w:pPr>
              <w:jc w:val="right"/>
              <w:rPr>
                <w:color w:val="000000"/>
                <w:sz w:val="16"/>
                <w:szCs w:val="16"/>
              </w:rPr>
            </w:pPr>
            <w:r>
              <w:rPr>
                <w:color w:val="000000"/>
                <w:sz w:val="16"/>
                <w:szCs w:val="16"/>
              </w:rPr>
              <w:t>2</w:t>
            </w:r>
          </w:p>
        </w:tc>
        <w:tc>
          <w:tcPr>
            <w:tcW w:w="567" w:type="dxa"/>
            <w:vAlign w:val="center"/>
          </w:tcPr>
          <w:p w14:paraId="7C094EBB" w14:textId="77777777" w:rsidR="00793719" w:rsidRDefault="00793719" w:rsidP="00793719">
            <w:pPr>
              <w:jc w:val="right"/>
              <w:rPr>
                <w:color w:val="000000"/>
                <w:sz w:val="16"/>
                <w:szCs w:val="16"/>
              </w:rPr>
            </w:pPr>
            <w:r>
              <w:rPr>
                <w:color w:val="000000"/>
                <w:sz w:val="16"/>
                <w:szCs w:val="16"/>
              </w:rPr>
              <w:t>4.6</w:t>
            </w:r>
          </w:p>
        </w:tc>
        <w:tc>
          <w:tcPr>
            <w:tcW w:w="1123" w:type="dxa"/>
            <w:tcBorders>
              <w:right w:val="single" w:sz="4" w:space="0" w:color="auto"/>
            </w:tcBorders>
            <w:vAlign w:val="center"/>
          </w:tcPr>
          <w:p w14:paraId="0C1E504D" w14:textId="77777777" w:rsidR="00793719" w:rsidRDefault="002F172C" w:rsidP="00793719">
            <w:pPr>
              <w:jc w:val="right"/>
              <w:rPr>
                <w:color w:val="000000"/>
                <w:sz w:val="16"/>
                <w:szCs w:val="16"/>
              </w:rPr>
            </w:pPr>
            <w:r>
              <w:rPr>
                <w:color w:val="000000"/>
                <w:sz w:val="16"/>
                <w:szCs w:val="16"/>
              </w:rPr>
              <w:t>!</w:t>
            </w:r>
          </w:p>
        </w:tc>
        <w:tc>
          <w:tcPr>
            <w:tcW w:w="536" w:type="dxa"/>
            <w:tcBorders>
              <w:left w:val="single" w:sz="4" w:space="0" w:color="auto"/>
            </w:tcBorders>
            <w:vAlign w:val="center"/>
          </w:tcPr>
          <w:p w14:paraId="01FB50E6" w14:textId="77777777" w:rsidR="00793719" w:rsidRDefault="00793719" w:rsidP="00793719">
            <w:pPr>
              <w:jc w:val="right"/>
              <w:rPr>
                <w:color w:val="000000"/>
                <w:sz w:val="16"/>
                <w:szCs w:val="16"/>
              </w:rPr>
            </w:pPr>
            <w:r>
              <w:rPr>
                <w:color w:val="000000"/>
                <w:sz w:val="16"/>
                <w:szCs w:val="16"/>
              </w:rPr>
              <w:t>3</w:t>
            </w:r>
          </w:p>
        </w:tc>
        <w:tc>
          <w:tcPr>
            <w:tcW w:w="576" w:type="dxa"/>
            <w:vAlign w:val="center"/>
          </w:tcPr>
          <w:p w14:paraId="215B4081" w14:textId="77777777" w:rsidR="00793719" w:rsidRDefault="00793719" w:rsidP="00793719">
            <w:pPr>
              <w:jc w:val="right"/>
              <w:rPr>
                <w:color w:val="000000"/>
                <w:sz w:val="16"/>
                <w:szCs w:val="16"/>
              </w:rPr>
            </w:pPr>
            <w:r>
              <w:rPr>
                <w:color w:val="000000"/>
                <w:sz w:val="16"/>
                <w:szCs w:val="16"/>
              </w:rPr>
              <w:t>5.5</w:t>
            </w:r>
          </w:p>
        </w:tc>
        <w:tc>
          <w:tcPr>
            <w:tcW w:w="1123" w:type="dxa"/>
            <w:tcBorders>
              <w:right w:val="single" w:sz="4" w:space="0" w:color="auto"/>
            </w:tcBorders>
            <w:vAlign w:val="center"/>
          </w:tcPr>
          <w:p w14:paraId="44C64A24" w14:textId="77777777" w:rsidR="00793719" w:rsidRDefault="00793719" w:rsidP="00793719">
            <w:pPr>
              <w:jc w:val="right"/>
              <w:rPr>
                <w:color w:val="000000"/>
                <w:sz w:val="16"/>
                <w:szCs w:val="16"/>
              </w:rPr>
            </w:pPr>
            <w:r>
              <w:rPr>
                <w:color w:val="000000"/>
                <w:sz w:val="16"/>
                <w:szCs w:val="16"/>
              </w:rPr>
              <w:t>(0.0, 11.0)</w:t>
            </w:r>
          </w:p>
        </w:tc>
        <w:tc>
          <w:tcPr>
            <w:tcW w:w="536" w:type="dxa"/>
            <w:tcBorders>
              <w:left w:val="single" w:sz="4" w:space="0" w:color="auto"/>
            </w:tcBorders>
            <w:vAlign w:val="center"/>
          </w:tcPr>
          <w:p w14:paraId="0617172E" w14:textId="77777777" w:rsidR="00793719" w:rsidRDefault="00793719" w:rsidP="00793719">
            <w:pPr>
              <w:jc w:val="right"/>
              <w:rPr>
                <w:color w:val="000000"/>
                <w:sz w:val="16"/>
                <w:szCs w:val="16"/>
              </w:rPr>
            </w:pPr>
            <w:r>
              <w:rPr>
                <w:color w:val="000000"/>
                <w:sz w:val="16"/>
                <w:szCs w:val="16"/>
              </w:rPr>
              <w:t>3</w:t>
            </w:r>
          </w:p>
        </w:tc>
        <w:tc>
          <w:tcPr>
            <w:tcW w:w="567" w:type="dxa"/>
            <w:vAlign w:val="center"/>
          </w:tcPr>
          <w:p w14:paraId="3EE0F9DB" w14:textId="77777777" w:rsidR="00793719" w:rsidRDefault="00793719" w:rsidP="00793719">
            <w:pPr>
              <w:jc w:val="right"/>
              <w:rPr>
                <w:color w:val="000000"/>
                <w:sz w:val="16"/>
                <w:szCs w:val="16"/>
              </w:rPr>
            </w:pPr>
            <w:r>
              <w:rPr>
                <w:color w:val="000000"/>
                <w:sz w:val="16"/>
                <w:szCs w:val="16"/>
              </w:rPr>
              <w:t>11.8</w:t>
            </w:r>
          </w:p>
        </w:tc>
        <w:tc>
          <w:tcPr>
            <w:tcW w:w="1123" w:type="dxa"/>
            <w:vAlign w:val="center"/>
          </w:tcPr>
          <w:p w14:paraId="57DE1E99" w14:textId="77777777" w:rsidR="00793719" w:rsidRDefault="00793719" w:rsidP="00793719">
            <w:pPr>
              <w:jc w:val="right"/>
              <w:rPr>
                <w:color w:val="000000"/>
                <w:sz w:val="16"/>
                <w:szCs w:val="16"/>
              </w:rPr>
            </w:pPr>
            <w:r>
              <w:rPr>
                <w:color w:val="000000"/>
                <w:sz w:val="16"/>
                <w:szCs w:val="16"/>
              </w:rPr>
              <w:t>(0.0, 24.6)</w:t>
            </w:r>
          </w:p>
        </w:tc>
      </w:tr>
      <w:tr w:rsidR="00793719" w:rsidRPr="007B4EF8" w14:paraId="3AC1E348" w14:textId="77777777" w:rsidTr="00793719">
        <w:trPr>
          <w:jc w:val="center"/>
        </w:trPr>
        <w:tc>
          <w:tcPr>
            <w:tcW w:w="2127" w:type="dxa"/>
          </w:tcPr>
          <w:p w14:paraId="24A75D96" w14:textId="77777777" w:rsidR="00793719" w:rsidRDefault="00793719" w:rsidP="00793719">
            <w:pPr>
              <w:spacing w:before="20" w:after="20"/>
              <w:ind w:left="34"/>
              <w:rPr>
                <w:rFonts w:eastAsiaTheme="minorEastAsia"/>
                <w:sz w:val="16"/>
                <w:szCs w:val="16"/>
                <w:lang w:eastAsia="en-US"/>
              </w:rPr>
            </w:pPr>
            <w:r w:rsidRPr="00793719">
              <w:rPr>
                <w:rFonts w:eastAsiaTheme="minorEastAsia"/>
                <w:sz w:val="16"/>
                <w:szCs w:val="16"/>
                <w:lang w:eastAsia="en-US"/>
              </w:rPr>
              <w:t>&gt; 60 minutes</w:t>
            </w:r>
          </w:p>
        </w:tc>
        <w:tc>
          <w:tcPr>
            <w:tcW w:w="2379" w:type="dxa"/>
          </w:tcPr>
          <w:p w14:paraId="43BE08CD"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vAlign w:val="center"/>
          </w:tcPr>
          <w:p w14:paraId="6C647AFC" w14:textId="77777777" w:rsidR="00793719" w:rsidRDefault="00793719" w:rsidP="00793719">
            <w:pPr>
              <w:jc w:val="right"/>
              <w:rPr>
                <w:color w:val="000000"/>
                <w:sz w:val="16"/>
                <w:szCs w:val="16"/>
              </w:rPr>
            </w:pPr>
            <w:r>
              <w:rPr>
                <w:color w:val="000000"/>
                <w:sz w:val="16"/>
                <w:szCs w:val="16"/>
              </w:rPr>
              <w:t>98</w:t>
            </w:r>
          </w:p>
        </w:tc>
        <w:tc>
          <w:tcPr>
            <w:tcW w:w="496" w:type="dxa"/>
            <w:vAlign w:val="center"/>
          </w:tcPr>
          <w:p w14:paraId="65CEFF92" w14:textId="77777777" w:rsidR="00793719" w:rsidRDefault="00793719" w:rsidP="00793719">
            <w:pPr>
              <w:jc w:val="right"/>
              <w:rPr>
                <w:color w:val="000000"/>
                <w:sz w:val="16"/>
                <w:szCs w:val="16"/>
              </w:rPr>
            </w:pPr>
            <w:r>
              <w:rPr>
                <w:color w:val="000000"/>
                <w:sz w:val="16"/>
                <w:szCs w:val="16"/>
              </w:rPr>
              <w:t>60.7</w:t>
            </w:r>
          </w:p>
        </w:tc>
        <w:tc>
          <w:tcPr>
            <w:tcW w:w="1043" w:type="dxa"/>
            <w:tcBorders>
              <w:right w:val="single" w:sz="4" w:space="0" w:color="auto"/>
            </w:tcBorders>
            <w:vAlign w:val="center"/>
          </w:tcPr>
          <w:p w14:paraId="512F5EC7" w14:textId="77777777" w:rsidR="00793719" w:rsidRDefault="00793719" w:rsidP="00793719">
            <w:pPr>
              <w:jc w:val="right"/>
              <w:rPr>
                <w:color w:val="000000"/>
                <w:sz w:val="16"/>
                <w:szCs w:val="16"/>
              </w:rPr>
            </w:pPr>
            <w:r>
              <w:rPr>
                <w:color w:val="000000"/>
                <w:sz w:val="16"/>
                <w:szCs w:val="16"/>
              </w:rPr>
              <w:t>(52.5, 68.9)</w:t>
            </w:r>
          </w:p>
        </w:tc>
        <w:tc>
          <w:tcPr>
            <w:tcW w:w="569" w:type="dxa"/>
            <w:tcBorders>
              <w:left w:val="single" w:sz="4" w:space="0" w:color="auto"/>
            </w:tcBorders>
            <w:vAlign w:val="center"/>
          </w:tcPr>
          <w:p w14:paraId="2153D0DC" w14:textId="77777777" w:rsidR="00793719" w:rsidRDefault="00793719" w:rsidP="00793719">
            <w:pPr>
              <w:jc w:val="right"/>
              <w:rPr>
                <w:color w:val="000000"/>
                <w:sz w:val="16"/>
                <w:szCs w:val="16"/>
              </w:rPr>
            </w:pPr>
            <w:r>
              <w:rPr>
                <w:color w:val="000000"/>
                <w:sz w:val="16"/>
                <w:szCs w:val="16"/>
              </w:rPr>
              <w:t>43</w:t>
            </w:r>
          </w:p>
        </w:tc>
        <w:tc>
          <w:tcPr>
            <w:tcW w:w="567" w:type="dxa"/>
            <w:vAlign w:val="center"/>
          </w:tcPr>
          <w:p w14:paraId="27805639" w14:textId="77777777" w:rsidR="00793719" w:rsidRDefault="00793719" w:rsidP="00793719">
            <w:pPr>
              <w:jc w:val="right"/>
              <w:rPr>
                <w:color w:val="000000"/>
                <w:sz w:val="16"/>
                <w:szCs w:val="16"/>
              </w:rPr>
            </w:pPr>
            <w:r>
              <w:rPr>
                <w:color w:val="000000"/>
                <w:sz w:val="16"/>
                <w:szCs w:val="16"/>
              </w:rPr>
              <w:t>51.7</w:t>
            </w:r>
          </w:p>
        </w:tc>
        <w:tc>
          <w:tcPr>
            <w:tcW w:w="1123" w:type="dxa"/>
            <w:tcBorders>
              <w:right w:val="single" w:sz="4" w:space="0" w:color="auto"/>
            </w:tcBorders>
            <w:vAlign w:val="center"/>
          </w:tcPr>
          <w:p w14:paraId="01789B6F" w14:textId="77777777" w:rsidR="00793719" w:rsidRDefault="00793719" w:rsidP="00793719">
            <w:pPr>
              <w:jc w:val="right"/>
              <w:rPr>
                <w:color w:val="000000"/>
                <w:sz w:val="16"/>
                <w:szCs w:val="16"/>
              </w:rPr>
            </w:pPr>
            <w:r>
              <w:rPr>
                <w:color w:val="000000"/>
                <w:sz w:val="16"/>
                <w:szCs w:val="16"/>
              </w:rPr>
              <w:t>(39.5, 63.9)</w:t>
            </w:r>
          </w:p>
        </w:tc>
        <w:tc>
          <w:tcPr>
            <w:tcW w:w="536" w:type="dxa"/>
            <w:tcBorders>
              <w:left w:val="single" w:sz="4" w:space="0" w:color="auto"/>
            </w:tcBorders>
            <w:vAlign w:val="center"/>
          </w:tcPr>
          <w:p w14:paraId="0AEF92D2" w14:textId="77777777" w:rsidR="00793719" w:rsidRDefault="00793719" w:rsidP="00793719">
            <w:pPr>
              <w:jc w:val="right"/>
              <w:rPr>
                <w:color w:val="000000"/>
                <w:sz w:val="16"/>
                <w:szCs w:val="16"/>
              </w:rPr>
            </w:pPr>
            <w:r>
              <w:rPr>
                <w:color w:val="000000"/>
                <w:sz w:val="16"/>
                <w:szCs w:val="16"/>
              </w:rPr>
              <w:t>38</w:t>
            </w:r>
          </w:p>
        </w:tc>
        <w:tc>
          <w:tcPr>
            <w:tcW w:w="576" w:type="dxa"/>
            <w:vAlign w:val="center"/>
          </w:tcPr>
          <w:p w14:paraId="23E03D30" w14:textId="77777777" w:rsidR="00793719" w:rsidRDefault="00793719" w:rsidP="00793719">
            <w:pPr>
              <w:jc w:val="right"/>
              <w:rPr>
                <w:color w:val="000000"/>
                <w:sz w:val="16"/>
                <w:szCs w:val="16"/>
              </w:rPr>
            </w:pPr>
            <w:r>
              <w:rPr>
                <w:color w:val="000000"/>
                <w:sz w:val="16"/>
                <w:szCs w:val="16"/>
              </w:rPr>
              <w:t>64.0</w:t>
            </w:r>
          </w:p>
        </w:tc>
        <w:tc>
          <w:tcPr>
            <w:tcW w:w="1123" w:type="dxa"/>
            <w:tcBorders>
              <w:right w:val="single" w:sz="4" w:space="0" w:color="auto"/>
            </w:tcBorders>
            <w:vAlign w:val="center"/>
          </w:tcPr>
          <w:p w14:paraId="6C981092" w14:textId="77777777" w:rsidR="00793719" w:rsidRDefault="00793719" w:rsidP="00793719">
            <w:pPr>
              <w:jc w:val="right"/>
              <w:rPr>
                <w:color w:val="000000"/>
                <w:sz w:val="16"/>
                <w:szCs w:val="16"/>
              </w:rPr>
            </w:pPr>
            <w:r>
              <w:rPr>
                <w:color w:val="000000"/>
                <w:sz w:val="16"/>
                <w:szCs w:val="16"/>
              </w:rPr>
              <w:t>(50.3, 77.6)</w:t>
            </w:r>
          </w:p>
        </w:tc>
        <w:tc>
          <w:tcPr>
            <w:tcW w:w="536" w:type="dxa"/>
            <w:tcBorders>
              <w:left w:val="single" w:sz="4" w:space="0" w:color="auto"/>
            </w:tcBorders>
            <w:vAlign w:val="center"/>
          </w:tcPr>
          <w:p w14:paraId="20C0A717" w14:textId="77777777" w:rsidR="00793719" w:rsidRDefault="00793719" w:rsidP="00793719">
            <w:pPr>
              <w:jc w:val="right"/>
              <w:rPr>
                <w:color w:val="000000"/>
                <w:sz w:val="16"/>
                <w:szCs w:val="16"/>
              </w:rPr>
            </w:pPr>
            <w:r>
              <w:rPr>
                <w:color w:val="000000"/>
                <w:sz w:val="16"/>
                <w:szCs w:val="16"/>
              </w:rPr>
              <w:t>40</w:t>
            </w:r>
          </w:p>
        </w:tc>
        <w:tc>
          <w:tcPr>
            <w:tcW w:w="567" w:type="dxa"/>
            <w:vAlign w:val="center"/>
          </w:tcPr>
          <w:p w14:paraId="19D6EAC2" w14:textId="77777777" w:rsidR="00793719" w:rsidRDefault="00793719" w:rsidP="00793719">
            <w:pPr>
              <w:jc w:val="right"/>
              <w:rPr>
                <w:color w:val="000000"/>
                <w:sz w:val="16"/>
                <w:szCs w:val="16"/>
              </w:rPr>
            </w:pPr>
            <w:r>
              <w:rPr>
                <w:color w:val="000000"/>
                <w:sz w:val="16"/>
                <w:szCs w:val="16"/>
              </w:rPr>
              <w:t>63.4</w:t>
            </w:r>
          </w:p>
        </w:tc>
        <w:tc>
          <w:tcPr>
            <w:tcW w:w="1123" w:type="dxa"/>
            <w:vAlign w:val="center"/>
          </w:tcPr>
          <w:p w14:paraId="64F8E04D" w14:textId="77777777" w:rsidR="00793719" w:rsidRDefault="00793719" w:rsidP="00793719">
            <w:pPr>
              <w:jc w:val="right"/>
              <w:rPr>
                <w:color w:val="000000"/>
                <w:sz w:val="16"/>
                <w:szCs w:val="16"/>
              </w:rPr>
            </w:pPr>
            <w:r>
              <w:rPr>
                <w:color w:val="000000"/>
                <w:sz w:val="16"/>
                <w:szCs w:val="16"/>
              </w:rPr>
              <w:t>(51.2, 75.6)</w:t>
            </w:r>
          </w:p>
        </w:tc>
      </w:tr>
      <w:tr w:rsidR="00793719" w:rsidRPr="007B4EF8" w14:paraId="6015DF40" w14:textId="77777777" w:rsidTr="00793719">
        <w:trPr>
          <w:jc w:val="center"/>
        </w:trPr>
        <w:tc>
          <w:tcPr>
            <w:tcW w:w="2127" w:type="dxa"/>
          </w:tcPr>
          <w:p w14:paraId="3B391DEB" w14:textId="77777777" w:rsidR="00793719" w:rsidRDefault="00793719" w:rsidP="00793719">
            <w:pPr>
              <w:spacing w:before="20" w:after="20"/>
              <w:ind w:left="34"/>
              <w:rPr>
                <w:rFonts w:eastAsiaTheme="minorEastAsia"/>
                <w:sz w:val="16"/>
                <w:szCs w:val="16"/>
                <w:lang w:eastAsia="en-US"/>
              </w:rPr>
            </w:pPr>
          </w:p>
        </w:tc>
        <w:tc>
          <w:tcPr>
            <w:tcW w:w="2379" w:type="dxa"/>
          </w:tcPr>
          <w:p w14:paraId="193D9544"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vAlign w:val="center"/>
          </w:tcPr>
          <w:p w14:paraId="6A9423D2" w14:textId="77777777" w:rsidR="00793719" w:rsidRDefault="00793719" w:rsidP="00793719">
            <w:pPr>
              <w:jc w:val="right"/>
              <w:rPr>
                <w:color w:val="000000"/>
                <w:sz w:val="16"/>
                <w:szCs w:val="16"/>
              </w:rPr>
            </w:pPr>
            <w:r>
              <w:rPr>
                <w:color w:val="000000"/>
                <w:sz w:val="16"/>
                <w:szCs w:val="16"/>
              </w:rPr>
              <w:t>28</w:t>
            </w:r>
          </w:p>
        </w:tc>
        <w:tc>
          <w:tcPr>
            <w:tcW w:w="496" w:type="dxa"/>
            <w:vAlign w:val="center"/>
          </w:tcPr>
          <w:p w14:paraId="502F327D" w14:textId="77777777" w:rsidR="00793719" w:rsidRDefault="00793719" w:rsidP="00793719">
            <w:pPr>
              <w:jc w:val="right"/>
              <w:rPr>
                <w:color w:val="000000"/>
                <w:sz w:val="16"/>
                <w:szCs w:val="16"/>
              </w:rPr>
            </w:pPr>
            <w:r>
              <w:rPr>
                <w:color w:val="000000"/>
                <w:sz w:val="16"/>
                <w:szCs w:val="16"/>
              </w:rPr>
              <w:t>17.2</w:t>
            </w:r>
          </w:p>
        </w:tc>
        <w:tc>
          <w:tcPr>
            <w:tcW w:w="1043" w:type="dxa"/>
            <w:tcBorders>
              <w:right w:val="single" w:sz="4" w:space="0" w:color="auto"/>
            </w:tcBorders>
            <w:vAlign w:val="center"/>
          </w:tcPr>
          <w:p w14:paraId="3DB0C146" w14:textId="77777777" w:rsidR="00793719" w:rsidRDefault="00793719" w:rsidP="00793719">
            <w:pPr>
              <w:jc w:val="right"/>
              <w:rPr>
                <w:color w:val="000000"/>
                <w:sz w:val="16"/>
                <w:szCs w:val="16"/>
              </w:rPr>
            </w:pPr>
            <w:r>
              <w:rPr>
                <w:color w:val="000000"/>
                <w:sz w:val="16"/>
                <w:szCs w:val="16"/>
              </w:rPr>
              <w:t>(10.9, 23.5)</w:t>
            </w:r>
          </w:p>
        </w:tc>
        <w:tc>
          <w:tcPr>
            <w:tcW w:w="569" w:type="dxa"/>
            <w:tcBorders>
              <w:left w:val="single" w:sz="4" w:space="0" w:color="auto"/>
            </w:tcBorders>
            <w:vAlign w:val="center"/>
          </w:tcPr>
          <w:p w14:paraId="40F3686E" w14:textId="77777777" w:rsidR="00793719" w:rsidRDefault="00793719" w:rsidP="00793719">
            <w:pPr>
              <w:jc w:val="right"/>
              <w:rPr>
                <w:color w:val="000000"/>
                <w:sz w:val="16"/>
                <w:szCs w:val="16"/>
              </w:rPr>
            </w:pPr>
            <w:r>
              <w:rPr>
                <w:color w:val="000000"/>
                <w:sz w:val="16"/>
                <w:szCs w:val="16"/>
              </w:rPr>
              <w:t>24</w:t>
            </w:r>
          </w:p>
        </w:tc>
        <w:tc>
          <w:tcPr>
            <w:tcW w:w="567" w:type="dxa"/>
            <w:vAlign w:val="center"/>
          </w:tcPr>
          <w:p w14:paraId="54FA212C" w14:textId="77777777" w:rsidR="00793719" w:rsidRDefault="00793719" w:rsidP="00793719">
            <w:pPr>
              <w:jc w:val="right"/>
              <w:rPr>
                <w:color w:val="000000"/>
                <w:sz w:val="16"/>
                <w:szCs w:val="16"/>
              </w:rPr>
            </w:pPr>
            <w:r>
              <w:rPr>
                <w:color w:val="000000"/>
                <w:sz w:val="16"/>
                <w:szCs w:val="16"/>
              </w:rPr>
              <w:t>28.8</w:t>
            </w:r>
          </w:p>
        </w:tc>
        <w:tc>
          <w:tcPr>
            <w:tcW w:w="1123" w:type="dxa"/>
            <w:tcBorders>
              <w:right w:val="single" w:sz="4" w:space="0" w:color="auto"/>
            </w:tcBorders>
            <w:vAlign w:val="center"/>
          </w:tcPr>
          <w:p w14:paraId="1AD76D54" w14:textId="77777777" w:rsidR="00793719" w:rsidRDefault="00793719" w:rsidP="00793719">
            <w:pPr>
              <w:jc w:val="right"/>
              <w:rPr>
                <w:color w:val="000000"/>
                <w:sz w:val="16"/>
                <w:szCs w:val="16"/>
              </w:rPr>
            </w:pPr>
            <w:r>
              <w:rPr>
                <w:color w:val="000000"/>
                <w:sz w:val="16"/>
                <w:szCs w:val="16"/>
              </w:rPr>
              <w:t>(17.8, 39.9)</w:t>
            </w:r>
          </w:p>
        </w:tc>
        <w:tc>
          <w:tcPr>
            <w:tcW w:w="536" w:type="dxa"/>
            <w:tcBorders>
              <w:left w:val="single" w:sz="4" w:space="0" w:color="auto"/>
            </w:tcBorders>
            <w:vAlign w:val="center"/>
          </w:tcPr>
          <w:p w14:paraId="5589E8E9" w14:textId="77777777" w:rsidR="00793719" w:rsidRDefault="00793719" w:rsidP="00793719">
            <w:pPr>
              <w:jc w:val="right"/>
              <w:rPr>
                <w:color w:val="000000"/>
                <w:sz w:val="16"/>
                <w:szCs w:val="16"/>
              </w:rPr>
            </w:pPr>
            <w:r>
              <w:rPr>
                <w:color w:val="000000"/>
                <w:sz w:val="16"/>
                <w:szCs w:val="16"/>
              </w:rPr>
              <w:t>14</w:t>
            </w:r>
          </w:p>
        </w:tc>
        <w:tc>
          <w:tcPr>
            <w:tcW w:w="576" w:type="dxa"/>
            <w:vAlign w:val="center"/>
          </w:tcPr>
          <w:p w14:paraId="26B911BB" w14:textId="77777777" w:rsidR="00793719" w:rsidRDefault="00793719" w:rsidP="00793719">
            <w:pPr>
              <w:jc w:val="right"/>
              <w:rPr>
                <w:color w:val="000000"/>
                <w:sz w:val="16"/>
                <w:szCs w:val="16"/>
              </w:rPr>
            </w:pPr>
            <w:r>
              <w:rPr>
                <w:color w:val="000000"/>
                <w:sz w:val="16"/>
                <w:szCs w:val="16"/>
              </w:rPr>
              <w:t>23.4</w:t>
            </w:r>
          </w:p>
        </w:tc>
        <w:tc>
          <w:tcPr>
            <w:tcW w:w="1123" w:type="dxa"/>
            <w:tcBorders>
              <w:right w:val="single" w:sz="4" w:space="0" w:color="auto"/>
            </w:tcBorders>
            <w:vAlign w:val="center"/>
          </w:tcPr>
          <w:p w14:paraId="24E9F9AB" w14:textId="77777777" w:rsidR="00793719" w:rsidRDefault="00793719" w:rsidP="00793719">
            <w:pPr>
              <w:jc w:val="right"/>
              <w:rPr>
                <w:color w:val="000000"/>
                <w:sz w:val="16"/>
                <w:szCs w:val="16"/>
              </w:rPr>
            </w:pPr>
            <w:r>
              <w:rPr>
                <w:color w:val="000000"/>
                <w:sz w:val="16"/>
                <w:szCs w:val="16"/>
              </w:rPr>
              <w:t>(11.2, 35.6)</w:t>
            </w:r>
          </w:p>
        </w:tc>
        <w:tc>
          <w:tcPr>
            <w:tcW w:w="536" w:type="dxa"/>
            <w:tcBorders>
              <w:left w:val="single" w:sz="4" w:space="0" w:color="auto"/>
            </w:tcBorders>
            <w:vAlign w:val="center"/>
          </w:tcPr>
          <w:p w14:paraId="3F1BDA94" w14:textId="77777777" w:rsidR="00793719" w:rsidRDefault="00793719" w:rsidP="00793719">
            <w:pPr>
              <w:jc w:val="right"/>
              <w:rPr>
                <w:color w:val="000000"/>
                <w:sz w:val="16"/>
                <w:szCs w:val="16"/>
              </w:rPr>
            </w:pPr>
            <w:r>
              <w:rPr>
                <w:color w:val="000000"/>
                <w:sz w:val="16"/>
                <w:szCs w:val="16"/>
              </w:rPr>
              <w:t>13</w:t>
            </w:r>
          </w:p>
        </w:tc>
        <w:tc>
          <w:tcPr>
            <w:tcW w:w="567" w:type="dxa"/>
            <w:vAlign w:val="center"/>
          </w:tcPr>
          <w:p w14:paraId="2A9D4838" w14:textId="77777777" w:rsidR="00793719" w:rsidRDefault="00793719" w:rsidP="00793719">
            <w:pPr>
              <w:jc w:val="right"/>
              <w:rPr>
                <w:color w:val="000000"/>
                <w:sz w:val="16"/>
                <w:szCs w:val="16"/>
              </w:rPr>
            </w:pPr>
            <w:r>
              <w:rPr>
                <w:color w:val="000000"/>
                <w:sz w:val="16"/>
                <w:szCs w:val="16"/>
              </w:rPr>
              <w:t>20.7</w:t>
            </w:r>
          </w:p>
        </w:tc>
        <w:tc>
          <w:tcPr>
            <w:tcW w:w="1123" w:type="dxa"/>
            <w:vAlign w:val="center"/>
          </w:tcPr>
          <w:p w14:paraId="6EE847C2" w14:textId="77777777" w:rsidR="00793719" w:rsidRDefault="00793719" w:rsidP="00793719">
            <w:pPr>
              <w:jc w:val="right"/>
              <w:rPr>
                <w:color w:val="000000"/>
                <w:sz w:val="16"/>
                <w:szCs w:val="16"/>
              </w:rPr>
            </w:pPr>
            <w:r>
              <w:rPr>
                <w:color w:val="000000"/>
                <w:sz w:val="16"/>
                <w:szCs w:val="16"/>
              </w:rPr>
              <w:t>(12.9, 28.5)</w:t>
            </w:r>
          </w:p>
        </w:tc>
      </w:tr>
      <w:tr w:rsidR="00793719" w:rsidRPr="007B4EF8" w14:paraId="273D212C" w14:textId="77777777" w:rsidTr="00793719">
        <w:trPr>
          <w:jc w:val="center"/>
        </w:trPr>
        <w:tc>
          <w:tcPr>
            <w:tcW w:w="2127" w:type="dxa"/>
          </w:tcPr>
          <w:p w14:paraId="42228B2B" w14:textId="77777777" w:rsidR="00793719" w:rsidRDefault="00793719" w:rsidP="00793719">
            <w:pPr>
              <w:spacing w:before="20" w:after="20"/>
              <w:ind w:left="34"/>
              <w:rPr>
                <w:rFonts w:eastAsiaTheme="minorEastAsia"/>
                <w:sz w:val="16"/>
                <w:szCs w:val="16"/>
                <w:lang w:eastAsia="en-US"/>
              </w:rPr>
            </w:pPr>
          </w:p>
        </w:tc>
        <w:tc>
          <w:tcPr>
            <w:tcW w:w="2379" w:type="dxa"/>
          </w:tcPr>
          <w:p w14:paraId="4241C032"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vAlign w:val="center"/>
          </w:tcPr>
          <w:p w14:paraId="6F771441" w14:textId="77777777" w:rsidR="00793719" w:rsidRDefault="00793719" w:rsidP="00793719">
            <w:pPr>
              <w:jc w:val="right"/>
              <w:rPr>
                <w:color w:val="000000"/>
                <w:sz w:val="16"/>
                <w:szCs w:val="16"/>
              </w:rPr>
            </w:pPr>
            <w:r>
              <w:rPr>
                <w:color w:val="000000"/>
                <w:sz w:val="16"/>
                <w:szCs w:val="16"/>
              </w:rPr>
              <w:t>36</w:t>
            </w:r>
          </w:p>
        </w:tc>
        <w:tc>
          <w:tcPr>
            <w:tcW w:w="496" w:type="dxa"/>
            <w:vAlign w:val="center"/>
          </w:tcPr>
          <w:p w14:paraId="4650F680" w14:textId="77777777" w:rsidR="00793719" w:rsidRDefault="00793719" w:rsidP="00793719">
            <w:pPr>
              <w:jc w:val="right"/>
              <w:rPr>
                <w:color w:val="000000"/>
                <w:sz w:val="16"/>
                <w:szCs w:val="16"/>
              </w:rPr>
            </w:pPr>
            <w:r>
              <w:rPr>
                <w:color w:val="000000"/>
                <w:sz w:val="16"/>
                <w:szCs w:val="16"/>
              </w:rPr>
              <w:t>22.1</w:t>
            </w:r>
          </w:p>
        </w:tc>
        <w:tc>
          <w:tcPr>
            <w:tcW w:w="1043" w:type="dxa"/>
            <w:tcBorders>
              <w:right w:val="single" w:sz="4" w:space="0" w:color="auto"/>
            </w:tcBorders>
            <w:vAlign w:val="center"/>
          </w:tcPr>
          <w:p w14:paraId="2B0D7421" w14:textId="77777777" w:rsidR="00793719" w:rsidRDefault="00793719" w:rsidP="00793719">
            <w:pPr>
              <w:jc w:val="right"/>
              <w:rPr>
                <w:color w:val="000000"/>
                <w:sz w:val="16"/>
                <w:szCs w:val="16"/>
              </w:rPr>
            </w:pPr>
            <w:r>
              <w:rPr>
                <w:color w:val="000000"/>
                <w:sz w:val="16"/>
                <w:szCs w:val="16"/>
              </w:rPr>
              <w:t>(15.0, 29.1)</w:t>
            </w:r>
          </w:p>
        </w:tc>
        <w:tc>
          <w:tcPr>
            <w:tcW w:w="569" w:type="dxa"/>
            <w:tcBorders>
              <w:left w:val="single" w:sz="4" w:space="0" w:color="auto"/>
            </w:tcBorders>
            <w:vAlign w:val="center"/>
          </w:tcPr>
          <w:p w14:paraId="3E2CD17B" w14:textId="77777777" w:rsidR="00793719" w:rsidRDefault="00793719" w:rsidP="00793719">
            <w:pPr>
              <w:jc w:val="right"/>
              <w:rPr>
                <w:color w:val="000000"/>
                <w:sz w:val="16"/>
                <w:szCs w:val="16"/>
              </w:rPr>
            </w:pPr>
            <w:r>
              <w:rPr>
                <w:color w:val="000000"/>
                <w:sz w:val="16"/>
                <w:szCs w:val="16"/>
              </w:rPr>
              <w:t>16</w:t>
            </w:r>
          </w:p>
        </w:tc>
        <w:tc>
          <w:tcPr>
            <w:tcW w:w="567" w:type="dxa"/>
            <w:vAlign w:val="center"/>
          </w:tcPr>
          <w:p w14:paraId="586D3E10" w14:textId="77777777" w:rsidR="00793719" w:rsidRDefault="00793719" w:rsidP="00793719">
            <w:pPr>
              <w:jc w:val="right"/>
              <w:rPr>
                <w:color w:val="000000"/>
                <w:sz w:val="16"/>
                <w:szCs w:val="16"/>
              </w:rPr>
            </w:pPr>
            <w:r>
              <w:rPr>
                <w:color w:val="000000"/>
                <w:sz w:val="16"/>
                <w:szCs w:val="16"/>
              </w:rPr>
              <w:t>19.4</w:t>
            </w:r>
          </w:p>
        </w:tc>
        <w:tc>
          <w:tcPr>
            <w:tcW w:w="1123" w:type="dxa"/>
            <w:tcBorders>
              <w:right w:val="single" w:sz="4" w:space="0" w:color="auto"/>
            </w:tcBorders>
            <w:vAlign w:val="center"/>
          </w:tcPr>
          <w:p w14:paraId="71F2D89B" w14:textId="77777777" w:rsidR="00793719" w:rsidRDefault="00793719" w:rsidP="00793719">
            <w:pPr>
              <w:jc w:val="right"/>
              <w:rPr>
                <w:color w:val="000000"/>
                <w:sz w:val="16"/>
                <w:szCs w:val="16"/>
              </w:rPr>
            </w:pPr>
            <w:r>
              <w:rPr>
                <w:color w:val="000000"/>
                <w:sz w:val="16"/>
                <w:szCs w:val="16"/>
              </w:rPr>
              <w:t>(10.5, 28.3)</w:t>
            </w:r>
          </w:p>
        </w:tc>
        <w:tc>
          <w:tcPr>
            <w:tcW w:w="536" w:type="dxa"/>
            <w:tcBorders>
              <w:left w:val="single" w:sz="4" w:space="0" w:color="auto"/>
            </w:tcBorders>
            <w:vAlign w:val="center"/>
          </w:tcPr>
          <w:p w14:paraId="0C6CA8A0" w14:textId="77777777" w:rsidR="00793719" w:rsidRDefault="00793719" w:rsidP="00793719">
            <w:pPr>
              <w:jc w:val="right"/>
              <w:rPr>
                <w:color w:val="000000"/>
                <w:sz w:val="16"/>
                <w:szCs w:val="16"/>
              </w:rPr>
            </w:pPr>
            <w:r>
              <w:rPr>
                <w:color w:val="000000"/>
                <w:sz w:val="16"/>
                <w:szCs w:val="16"/>
              </w:rPr>
              <w:t>8</w:t>
            </w:r>
          </w:p>
        </w:tc>
        <w:tc>
          <w:tcPr>
            <w:tcW w:w="576" w:type="dxa"/>
            <w:vAlign w:val="center"/>
          </w:tcPr>
          <w:p w14:paraId="3F8DAE68" w14:textId="77777777" w:rsidR="00793719" w:rsidRDefault="00793719" w:rsidP="00793719">
            <w:pPr>
              <w:jc w:val="right"/>
              <w:rPr>
                <w:color w:val="000000"/>
                <w:sz w:val="16"/>
                <w:szCs w:val="16"/>
              </w:rPr>
            </w:pPr>
            <w:r>
              <w:rPr>
                <w:color w:val="000000"/>
                <w:sz w:val="16"/>
                <w:szCs w:val="16"/>
              </w:rPr>
              <w:t>12.6</w:t>
            </w:r>
          </w:p>
        </w:tc>
        <w:tc>
          <w:tcPr>
            <w:tcW w:w="1123" w:type="dxa"/>
            <w:tcBorders>
              <w:right w:val="single" w:sz="4" w:space="0" w:color="auto"/>
            </w:tcBorders>
            <w:vAlign w:val="center"/>
          </w:tcPr>
          <w:p w14:paraId="3968B308" w14:textId="77777777" w:rsidR="00793719" w:rsidRDefault="00793719" w:rsidP="00793719">
            <w:pPr>
              <w:jc w:val="right"/>
              <w:rPr>
                <w:color w:val="000000"/>
                <w:sz w:val="16"/>
                <w:szCs w:val="16"/>
              </w:rPr>
            </w:pPr>
            <w:r>
              <w:rPr>
                <w:color w:val="000000"/>
                <w:sz w:val="16"/>
                <w:szCs w:val="16"/>
              </w:rPr>
              <w:t>(4.0, 21.2)</w:t>
            </w:r>
          </w:p>
        </w:tc>
        <w:tc>
          <w:tcPr>
            <w:tcW w:w="536" w:type="dxa"/>
            <w:tcBorders>
              <w:left w:val="single" w:sz="4" w:space="0" w:color="auto"/>
            </w:tcBorders>
            <w:vAlign w:val="center"/>
          </w:tcPr>
          <w:p w14:paraId="00A91F4A" w14:textId="77777777" w:rsidR="00793719" w:rsidRDefault="00793719" w:rsidP="00793719">
            <w:pPr>
              <w:jc w:val="right"/>
              <w:rPr>
                <w:color w:val="000000"/>
                <w:sz w:val="16"/>
                <w:szCs w:val="16"/>
              </w:rPr>
            </w:pPr>
            <w:r>
              <w:rPr>
                <w:color w:val="000000"/>
                <w:sz w:val="16"/>
                <w:szCs w:val="16"/>
              </w:rPr>
              <w:t>10</w:t>
            </w:r>
          </w:p>
        </w:tc>
        <w:tc>
          <w:tcPr>
            <w:tcW w:w="567" w:type="dxa"/>
            <w:vAlign w:val="center"/>
          </w:tcPr>
          <w:p w14:paraId="73220424" w14:textId="77777777" w:rsidR="00793719" w:rsidRDefault="00793719" w:rsidP="00793719">
            <w:pPr>
              <w:jc w:val="right"/>
              <w:rPr>
                <w:color w:val="000000"/>
                <w:sz w:val="16"/>
                <w:szCs w:val="16"/>
              </w:rPr>
            </w:pPr>
            <w:r>
              <w:rPr>
                <w:color w:val="000000"/>
                <w:sz w:val="16"/>
                <w:szCs w:val="16"/>
              </w:rPr>
              <w:t>15.9</w:t>
            </w:r>
          </w:p>
        </w:tc>
        <w:tc>
          <w:tcPr>
            <w:tcW w:w="1123" w:type="dxa"/>
            <w:vAlign w:val="center"/>
          </w:tcPr>
          <w:p w14:paraId="7B05C400" w14:textId="77777777" w:rsidR="00793719" w:rsidRDefault="00793719" w:rsidP="00793719">
            <w:pPr>
              <w:jc w:val="right"/>
              <w:rPr>
                <w:color w:val="000000"/>
                <w:sz w:val="16"/>
                <w:szCs w:val="16"/>
              </w:rPr>
            </w:pPr>
            <w:r>
              <w:rPr>
                <w:color w:val="000000"/>
                <w:sz w:val="16"/>
                <w:szCs w:val="16"/>
              </w:rPr>
              <w:t>(6.1, 25.6)</w:t>
            </w:r>
          </w:p>
        </w:tc>
      </w:tr>
      <w:tr w:rsidR="00793719" w:rsidRPr="007B4EF8" w14:paraId="5844820F" w14:textId="77777777" w:rsidTr="00793719">
        <w:trPr>
          <w:jc w:val="center"/>
        </w:trPr>
        <w:tc>
          <w:tcPr>
            <w:tcW w:w="4506" w:type="dxa"/>
            <w:gridSpan w:val="2"/>
            <w:vAlign w:val="center"/>
          </w:tcPr>
          <w:p w14:paraId="6F2E617C" w14:textId="77777777" w:rsidR="00793719" w:rsidRPr="001B7431" w:rsidRDefault="00793719" w:rsidP="00793719">
            <w:pPr>
              <w:spacing w:before="20" w:after="20"/>
              <w:ind w:left="34"/>
              <w:rPr>
                <w:rFonts w:eastAsiaTheme="minorEastAsia"/>
                <w:sz w:val="16"/>
                <w:szCs w:val="16"/>
                <w:lang w:eastAsia="en-US"/>
              </w:rPr>
            </w:pPr>
            <w:r>
              <w:rPr>
                <w:rFonts w:eastAsiaTheme="minorEastAsia"/>
                <w:b/>
                <w:sz w:val="16"/>
                <w:szCs w:val="16"/>
                <w:lang w:eastAsia="en-US"/>
              </w:rPr>
              <w:t>Pub EGMS (time gambling in average day)</w:t>
            </w:r>
          </w:p>
        </w:tc>
        <w:tc>
          <w:tcPr>
            <w:tcW w:w="616" w:type="dxa"/>
            <w:vAlign w:val="center"/>
          </w:tcPr>
          <w:p w14:paraId="615EBD58" w14:textId="77777777" w:rsidR="00793719" w:rsidRDefault="00793719" w:rsidP="00793719">
            <w:pPr>
              <w:jc w:val="right"/>
              <w:rPr>
                <w:color w:val="000000"/>
                <w:sz w:val="16"/>
                <w:szCs w:val="16"/>
              </w:rPr>
            </w:pPr>
          </w:p>
        </w:tc>
        <w:tc>
          <w:tcPr>
            <w:tcW w:w="496" w:type="dxa"/>
            <w:vAlign w:val="center"/>
          </w:tcPr>
          <w:p w14:paraId="0A92B702" w14:textId="77777777" w:rsidR="00793719" w:rsidRDefault="00793719" w:rsidP="00793719">
            <w:pPr>
              <w:jc w:val="right"/>
              <w:rPr>
                <w:color w:val="000000"/>
                <w:sz w:val="16"/>
                <w:szCs w:val="16"/>
              </w:rPr>
            </w:pPr>
          </w:p>
        </w:tc>
        <w:tc>
          <w:tcPr>
            <w:tcW w:w="1043" w:type="dxa"/>
            <w:tcBorders>
              <w:right w:val="single" w:sz="4" w:space="0" w:color="auto"/>
            </w:tcBorders>
            <w:vAlign w:val="center"/>
          </w:tcPr>
          <w:p w14:paraId="398379A1" w14:textId="77777777" w:rsidR="00793719" w:rsidRDefault="00793719" w:rsidP="00793719">
            <w:pPr>
              <w:jc w:val="right"/>
              <w:rPr>
                <w:color w:val="000000"/>
                <w:sz w:val="16"/>
                <w:szCs w:val="16"/>
              </w:rPr>
            </w:pPr>
          </w:p>
        </w:tc>
        <w:tc>
          <w:tcPr>
            <w:tcW w:w="569" w:type="dxa"/>
            <w:tcBorders>
              <w:left w:val="single" w:sz="4" w:space="0" w:color="auto"/>
            </w:tcBorders>
            <w:vAlign w:val="center"/>
          </w:tcPr>
          <w:p w14:paraId="03DDEE48" w14:textId="77777777" w:rsidR="00793719" w:rsidRDefault="00793719" w:rsidP="00793719">
            <w:pPr>
              <w:jc w:val="right"/>
              <w:rPr>
                <w:color w:val="000000"/>
                <w:sz w:val="16"/>
                <w:szCs w:val="16"/>
              </w:rPr>
            </w:pPr>
          </w:p>
        </w:tc>
        <w:tc>
          <w:tcPr>
            <w:tcW w:w="567" w:type="dxa"/>
            <w:vAlign w:val="center"/>
          </w:tcPr>
          <w:p w14:paraId="740AFCFF" w14:textId="77777777" w:rsidR="00793719" w:rsidRDefault="00793719" w:rsidP="00793719">
            <w:pPr>
              <w:jc w:val="right"/>
              <w:rPr>
                <w:color w:val="000000"/>
                <w:sz w:val="16"/>
                <w:szCs w:val="16"/>
              </w:rPr>
            </w:pPr>
          </w:p>
        </w:tc>
        <w:tc>
          <w:tcPr>
            <w:tcW w:w="1123" w:type="dxa"/>
            <w:tcBorders>
              <w:right w:val="single" w:sz="4" w:space="0" w:color="auto"/>
            </w:tcBorders>
            <w:vAlign w:val="center"/>
          </w:tcPr>
          <w:p w14:paraId="6498AF5B" w14:textId="77777777" w:rsidR="00793719" w:rsidRDefault="00793719" w:rsidP="00793719">
            <w:pPr>
              <w:jc w:val="right"/>
              <w:rPr>
                <w:color w:val="000000"/>
                <w:sz w:val="16"/>
                <w:szCs w:val="16"/>
              </w:rPr>
            </w:pPr>
          </w:p>
        </w:tc>
        <w:tc>
          <w:tcPr>
            <w:tcW w:w="536" w:type="dxa"/>
            <w:tcBorders>
              <w:left w:val="single" w:sz="4" w:space="0" w:color="auto"/>
            </w:tcBorders>
            <w:vAlign w:val="center"/>
          </w:tcPr>
          <w:p w14:paraId="508C257A" w14:textId="77777777" w:rsidR="00793719" w:rsidRDefault="00793719" w:rsidP="00793719">
            <w:pPr>
              <w:jc w:val="right"/>
              <w:rPr>
                <w:color w:val="000000"/>
                <w:sz w:val="16"/>
                <w:szCs w:val="16"/>
              </w:rPr>
            </w:pPr>
          </w:p>
        </w:tc>
        <w:tc>
          <w:tcPr>
            <w:tcW w:w="576" w:type="dxa"/>
            <w:vAlign w:val="center"/>
          </w:tcPr>
          <w:p w14:paraId="2B8696FB" w14:textId="77777777" w:rsidR="00793719" w:rsidRDefault="00793719" w:rsidP="00793719">
            <w:pPr>
              <w:jc w:val="right"/>
              <w:rPr>
                <w:color w:val="000000"/>
                <w:sz w:val="16"/>
                <w:szCs w:val="16"/>
              </w:rPr>
            </w:pPr>
          </w:p>
        </w:tc>
        <w:tc>
          <w:tcPr>
            <w:tcW w:w="1123" w:type="dxa"/>
            <w:tcBorders>
              <w:right w:val="single" w:sz="4" w:space="0" w:color="auto"/>
            </w:tcBorders>
            <w:vAlign w:val="center"/>
          </w:tcPr>
          <w:p w14:paraId="655AF6F8" w14:textId="77777777" w:rsidR="00793719" w:rsidRDefault="00793719" w:rsidP="00793719">
            <w:pPr>
              <w:jc w:val="right"/>
              <w:rPr>
                <w:color w:val="000000"/>
                <w:sz w:val="16"/>
                <w:szCs w:val="16"/>
              </w:rPr>
            </w:pPr>
          </w:p>
        </w:tc>
        <w:tc>
          <w:tcPr>
            <w:tcW w:w="536" w:type="dxa"/>
            <w:tcBorders>
              <w:left w:val="single" w:sz="4" w:space="0" w:color="auto"/>
            </w:tcBorders>
            <w:vAlign w:val="center"/>
          </w:tcPr>
          <w:p w14:paraId="6DC1757D" w14:textId="77777777" w:rsidR="00793719" w:rsidRDefault="00793719" w:rsidP="00793719">
            <w:pPr>
              <w:jc w:val="right"/>
              <w:rPr>
                <w:color w:val="000000"/>
                <w:sz w:val="16"/>
                <w:szCs w:val="16"/>
              </w:rPr>
            </w:pPr>
          </w:p>
        </w:tc>
        <w:tc>
          <w:tcPr>
            <w:tcW w:w="567" w:type="dxa"/>
            <w:vAlign w:val="center"/>
          </w:tcPr>
          <w:p w14:paraId="31C51DBE" w14:textId="77777777" w:rsidR="00793719" w:rsidRDefault="00793719" w:rsidP="00793719">
            <w:pPr>
              <w:jc w:val="right"/>
              <w:rPr>
                <w:color w:val="000000"/>
                <w:sz w:val="16"/>
                <w:szCs w:val="16"/>
              </w:rPr>
            </w:pPr>
          </w:p>
        </w:tc>
        <w:tc>
          <w:tcPr>
            <w:tcW w:w="1123" w:type="dxa"/>
            <w:vAlign w:val="center"/>
          </w:tcPr>
          <w:p w14:paraId="7212DA10" w14:textId="77777777" w:rsidR="00793719" w:rsidRDefault="00793719" w:rsidP="00793719">
            <w:pPr>
              <w:jc w:val="right"/>
              <w:rPr>
                <w:color w:val="000000"/>
                <w:sz w:val="16"/>
                <w:szCs w:val="16"/>
              </w:rPr>
            </w:pPr>
          </w:p>
        </w:tc>
      </w:tr>
      <w:tr w:rsidR="00793719" w:rsidRPr="007B4EF8" w14:paraId="3B038A84" w14:textId="77777777" w:rsidTr="00793719">
        <w:trPr>
          <w:jc w:val="center"/>
        </w:trPr>
        <w:tc>
          <w:tcPr>
            <w:tcW w:w="2127" w:type="dxa"/>
          </w:tcPr>
          <w:p w14:paraId="573E692B" w14:textId="77777777" w:rsidR="00793719" w:rsidRDefault="00793719" w:rsidP="00793719">
            <w:pPr>
              <w:spacing w:before="20" w:after="20"/>
              <w:ind w:left="34"/>
              <w:rPr>
                <w:rFonts w:eastAsiaTheme="minorEastAsia"/>
                <w:sz w:val="16"/>
                <w:szCs w:val="16"/>
                <w:lang w:eastAsia="en-US"/>
              </w:rPr>
            </w:pPr>
            <w:r>
              <w:rPr>
                <w:rFonts w:eastAsiaTheme="minorEastAsia"/>
                <w:sz w:val="16"/>
                <w:szCs w:val="16"/>
                <w:lang w:eastAsia="en-US"/>
              </w:rPr>
              <w:t>Up to 15 minutes</w:t>
            </w:r>
          </w:p>
        </w:tc>
        <w:tc>
          <w:tcPr>
            <w:tcW w:w="2379" w:type="dxa"/>
          </w:tcPr>
          <w:p w14:paraId="105569CB"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vAlign w:val="center"/>
          </w:tcPr>
          <w:p w14:paraId="37C85C0D" w14:textId="77777777" w:rsidR="00793719" w:rsidRDefault="00793719" w:rsidP="00793719">
            <w:pPr>
              <w:jc w:val="right"/>
              <w:rPr>
                <w:color w:val="000000"/>
                <w:sz w:val="16"/>
                <w:szCs w:val="16"/>
                <w:lang w:eastAsia="en-NZ"/>
              </w:rPr>
            </w:pPr>
            <w:r>
              <w:rPr>
                <w:color w:val="000000"/>
                <w:sz w:val="16"/>
                <w:szCs w:val="16"/>
              </w:rPr>
              <w:t>209</w:t>
            </w:r>
          </w:p>
        </w:tc>
        <w:tc>
          <w:tcPr>
            <w:tcW w:w="496" w:type="dxa"/>
            <w:vAlign w:val="center"/>
          </w:tcPr>
          <w:p w14:paraId="1C802741" w14:textId="77777777" w:rsidR="00793719" w:rsidRDefault="00793719" w:rsidP="00793719">
            <w:pPr>
              <w:jc w:val="right"/>
              <w:rPr>
                <w:color w:val="000000"/>
                <w:sz w:val="16"/>
                <w:szCs w:val="16"/>
              </w:rPr>
            </w:pPr>
            <w:r>
              <w:rPr>
                <w:color w:val="000000"/>
                <w:sz w:val="16"/>
                <w:szCs w:val="16"/>
              </w:rPr>
              <w:t>82.8</w:t>
            </w:r>
          </w:p>
        </w:tc>
        <w:tc>
          <w:tcPr>
            <w:tcW w:w="1043" w:type="dxa"/>
            <w:tcBorders>
              <w:right w:val="single" w:sz="4" w:space="0" w:color="auto"/>
            </w:tcBorders>
            <w:vAlign w:val="center"/>
          </w:tcPr>
          <w:p w14:paraId="7B6EBBDB" w14:textId="77777777" w:rsidR="00793719" w:rsidRDefault="00793719" w:rsidP="00793719">
            <w:pPr>
              <w:jc w:val="right"/>
              <w:rPr>
                <w:color w:val="000000"/>
                <w:sz w:val="16"/>
                <w:szCs w:val="16"/>
              </w:rPr>
            </w:pPr>
            <w:r>
              <w:rPr>
                <w:color w:val="000000"/>
                <w:sz w:val="16"/>
                <w:szCs w:val="16"/>
              </w:rPr>
              <w:t>(75.8, 89.7)</w:t>
            </w:r>
          </w:p>
        </w:tc>
        <w:tc>
          <w:tcPr>
            <w:tcW w:w="569" w:type="dxa"/>
            <w:tcBorders>
              <w:left w:val="single" w:sz="4" w:space="0" w:color="auto"/>
            </w:tcBorders>
            <w:vAlign w:val="center"/>
          </w:tcPr>
          <w:p w14:paraId="6229B931" w14:textId="77777777" w:rsidR="00793719" w:rsidRDefault="00793719" w:rsidP="00793719">
            <w:pPr>
              <w:jc w:val="right"/>
              <w:rPr>
                <w:color w:val="000000"/>
                <w:sz w:val="16"/>
                <w:szCs w:val="16"/>
              </w:rPr>
            </w:pPr>
            <w:r>
              <w:rPr>
                <w:color w:val="000000"/>
                <w:sz w:val="16"/>
                <w:szCs w:val="16"/>
              </w:rPr>
              <w:t>102</w:t>
            </w:r>
          </w:p>
        </w:tc>
        <w:tc>
          <w:tcPr>
            <w:tcW w:w="567" w:type="dxa"/>
            <w:vAlign w:val="center"/>
          </w:tcPr>
          <w:p w14:paraId="75B277B8" w14:textId="77777777" w:rsidR="00793719" w:rsidRDefault="00793719" w:rsidP="00793719">
            <w:pPr>
              <w:jc w:val="right"/>
              <w:rPr>
                <w:color w:val="000000"/>
                <w:sz w:val="16"/>
                <w:szCs w:val="16"/>
              </w:rPr>
            </w:pPr>
            <w:r>
              <w:rPr>
                <w:color w:val="000000"/>
                <w:sz w:val="16"/>
                <w:szCs w:val="16"/>
              </w:rPr>
              <w:t>86.0</w:t>
            </w:r>
          </w:p>
        </w:tc>
        <w:tc>
          <w:tcPr>
            <w:tcW w:w="1123" w:type="dxa"/>
            <w:tcBorders>
              <w:right w:val="single" w:sz="4" w:space="0" w:color="auto"/>
            </w:tcBorders>
            <w:vAlign w:val="center"/>
          </w:tcPr>
          <w:p w14:paraId="5AA7D5C3" w14:textId="77777777" w:rsidR="00793719" w:rsidRDefault="00793719" w:rsidP="00793719">
            <w:pPr>
              <w:jc w:val="right"/>
              <w:rPr>
                <w:color w:val="000000"/>
                <w:sz w:val="16"/>
                <w:szCs w:val="16"/>
              </w:rPr>
            </w:pPr>
            <w:r>
              <w:rPr>
                <w:color w:val="000000"/>
                <w:sz w:val="16"/>
                <w:szCs w:val="16"/>
              </w:rPr>
              <w:t>(78.8, 93.3)</w:t>
            </w:r>
          </w:p>
        </w:tc>
        <w:tc>
          <w:tcPr>
            <w:tcW w:w="536" w:type="dxa"/>
            <w:tcBorders>
              <w:left w:val="single" w:sz="4" w:space="0" w:color="auto"/>
            </w:tcBorders>
            <w:vAlign w:val="center"/>
          </w:tcPr>
          <w:p w14:paraId="73C086DC" w14:textId="77777777" w:rsidR="00793719" w:rsidRDefault="00793719" w:rsidP="00793719">
            <w:pPr>
              <w:jc w:val="right"/>
              <w:rPr>
                <w:color w:val="000000"/>
                <w:sz w:val="16"/>
                <w:szCs w:val="16"/>
              </w:rPr>
            </w:pPr>
            <w:r>
              <w:rPr>
                <w:color w:val="000000"/>
                <w:sz w:val="16"/>
                <w:szCs w:val="16"/>
              </w:rPr>
              <w:t>78</w:t>
            </w:r>
          </w:p>
        </w:tc>
        <w:tc>
          <w:tcPr>
            <w:tcW w:w="576" w:type="dxa"/>
            <w:vAlign w:val="center"/>
          </w:tcPr>
          <w:p w14:paraId="3C028AC7" w14:textId="77777777" w:rsidR="00793719" w:rsidRDefault="00793719" w:rsidP="00793719">
            <w:pPr>
              <w:jc w:val="right"/>
              <w:rPr>
                <w:color w:val="000000"/>
                <w:sz w:val="16"/>
                <w:szCs w:val="16"/>
              </w:rPr>
            </w:pPr>
            <w:r>
              <w:rPr>
                <w:color w:val="000000"/>
                <w:sz w:val="16"/>
                <w:szCs w:val="16"/>
              </w:rPr>
              <w:t>86.8</w:t>
            </w:r>
          </w:p>
        </w:tc>
        <w:tc>
          <w:tcPr>
            <w:tcW w:w="1123" w:type="dxa"/>
            <w:tcBorders>
              <w:right w:val="single" w:sz="4" w:space="0" w:color="auto"/>
            </w:tcBorders>
            <w:vAlign w:val="center"/>
          </w:tcPr>
          <w:p w14:paraId="4892BAA7" w14:textId="77777777" w:rsidR="00793719" w:rsidRDefault="00793719" w:rsidP="00793719">
            <w:pPr>
              <w:jc w:val="right"/>
              <w:rPr>
                <w:color w:val="000000"/>
                <w:sz w:val="16"/>
                <w:szCs w:val="16"/>
              </w:rPr>
            </w:pPr>
            <w:r>
              <w:rPr>
                <w:color w:val="000000"/>
                <w:sz w:val="16"/>
                <w:szCs w:val="16"/>
              </w:rPr>
              <w:t>(78.5, 95.2)</w:t>
            </w:r>
          </w:p>
        </w:tc>
        <w:tc>
          <w:tcPr>
            <w:tcW w:w="536" w:type="dxa"/>
            <w:tcBorders>
              <w:left w:val="single" w:sz="4" w:space="0" w:color="auto"/>
            </w:tcBorders>
            <w:vAlign w:val="center"/>
          </w:tcPr>
          <w:p w14:paraId="400F61A6" w14:textId="77777777" w:rsidR="00793719" w:rsidRDefault="00793719" w:rsidP="00793719">
            <w:pPr>
              <w:jc w:val="right"/>
              <w:rPr>
                <w:color w:val="000000"/>
                <w:sz w:val="16"/>
                <w:szCs w:val="16"/>
              </w:rPr>
            </w:pPr>
            <w:r>
              <w:rPr>
                <w:color w:val="000000"/>
                <w:sz w:val="16"/>
                <w:szCs w:val="16"/>
              </w:rPr>
              <w:t>65</w:t>
            </w:r>
          </w:p>
        </w:tc>
        <w:tc>
          <w:tcPr>
            <w:tcW w:w="567" w:type="dxa"/>
            <w:vAlign w:val="center"/>
          </w:tcPr>
          <w:p w14:paraId="2921F400" w14:textId="77777777" w:rsidR="00793719" w:rsidRDefault="00793719" w:rsidP="00793719">
            <w:pPr>
              <w:jc w:val="right"/>
              <w:rPr>
                <w:color w:val="000000"/>
                <w:sz w:val="16"/>
                <w:szCs w:val="16"/>
              </w:rPr>
            </w:pPr>
            <w:r>
              <w:rPr>
                <w:color w:val="000000"/>
                <w:sz w:val="16"/>
                <w:szCs w:val="16"/>
              </w:rPr>
              <w:t>90.4</w:t>
            </w:r>
          </w:p>
        </w:tc>
        <w:tc>
          <w:tcPr>
            <w:tcW w:w="1123" w:type="dxa"/>
            <w:vAlign w:val="center"/>
          </w:tcPr>
          <w:p w14:paraId="169A5D8C" w14:textId="77777777" w:rsidR="00793719" w:rsidRDefault="00793719" w:rsidP="00793719">
            <w:pPr>
              <w:jc w:val="right"/>
              <w:rPr>
                <w:color w:val="000000"/>
                <w:sz w:val="16"/>
                <w:szCs w:val="16"/>
              </w:rPr>
            </w:pPr>
            <w:r>
              <w:rPr>
                <w:color w:val="000000"/>
                <w:sz w:val="16"/>
                <w:szCs w:val="16"/>
              </w:rPr>
              <w:t>(82.6, 98.2)</w:t>
            </w:r>
          </w:p>
        </w:tc>
      </w:tr>
      <w:tr w:rsidR="00793719" w:rsidRPr="007B4EF8" w14:paraId="0659D08C" w14:textId="77777777" w:rsidTr="00793719">
        <w:trPr>
          <w:jc w:val="center"/>
        </w:trPr>
        <w:tc>
          <w:tcPr>
            <w:tcW w:w="2127" w:type="dxa"/>
          </w:tcPr>
          <w:p w14:paraId="11E5CECF" w14:textId="77777777" w:rsidR="00793719" w:rsidRDefault="00793719" w:rsidP="00793719">
            <w:pPr>
              <w:spacing w:before="20" w:after="20"/>
              <w:ind w:left="34"/>
              <w:rPr>
                <w:rFonts w:eastAsiaTheme="minorEastAsia"/>
                <w:sz w:val="16"/>
                <w:szCs w:val="16"/>
                <w:lang w:eastAsia="en-US"/>
              </w:rPr>
            </w:pPr>
          </w:p>
        </w:tc>
        <w:tc>
          <w:tcPr>
            <w:tcW w:w="2379" w:type="dxa"/>
          </w:tcPr>
          <w:p w14:paraId="383BA168"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vAlign w:val="center"/>
          </w:tcPr>
          <w:p w14:paraId="62ABF430" w14:textId="77777777" w:rsidR="00793719" w:rsidRDefault="00793719" w:rsidP="00793719">
            <w:pPr>
              <w:jc w:val="right"/>
              <w:rPr>
                <w:color w:val="000000"/>
                <w:sz w:val="16"/>
                <w:szCs w:val="16"/>
              </w:rPr>
            </w:pPr>
            <w:r>
              <w:rPr>
                <w:color w:val="000000"/>
                <w:sz w:val="16"/>
                <w:szCs w:val="16"/>
              </w:rPr>
              <w:t>24</w:t>
            </w:r>
          </w:p>
        </w:tc>
        <w:tc>
          <w:tcPr>
            <w:tcW w:w="496" w:type="dxa"/>
            <w:vAlign w:val="center"/>
          </w:tcPr>
          <w:p w14:paraId="79C3B45E" w14:textId="77777777" w:rsidR="00793719" w:rsidRDefault="00793719" w:rsidP="00793719">
            <w:pPr>
              <w:jc w:val="right"/>
              <w:rPr>
                <w:color w:val="000000"/>
                <w:sz w:val="16"/>
                <w:szCs w:val="16"/>
              </w:rPr>
            </w:pPr>
            <w:r>
              <w:rPr>
                <w:color w:val="000000"/>
                <w:sz w:val="16"/>
                <w:szCs w:val="16"/>
              </w:rPr>
              <w:t>9.5</w:t>
            </w:r>
          </w:p>
        </w:tc>
        <w:tc>
          <w:tcPr>
            <w:tcW w:w="1043" w:type="dxa"/>
            <w:tcBorders>
              <w:right w:val="single" w:sz="4" w:space="0" w:color="auto"/>
            </w:tcBorders>
            <w:vAlign w:val="center"/>
          </w:tcPr>
          <w:p w14:paraId="63EB7FAB" w14:textId="77777777" w:rsidR="00793719" w:rsidRDefault="00793719" w:rsidP="00793719">
            <w:pPr>
              <w:jc w:val="right"/>
              <w:rPr>
                <w:color w:val="000000"/>
                <w:sz w:val="16"/>
                <w:szCs w:val="16"/>
              </w:rPr>
            </w:pPr>
            <w:r>
              <w:rPr>
                <w:color w:val="000000"/>
                <w:sz w:val="16"/>
                <w:szCs w:val="16"/>
              </w:rPr>
              <w:t>(3.8, 15.1)</w:t>
            </w:r>
          </w:p>
        </w:tc>
        <w:tc>
          <w:tcPr>
            <w:tcW w:w="569" w:type="dxa"/>
            <w:tcBorders>
              <w:left w:val="single" w:sz="4" w:space="0" w:color="auto"/>
            </w:tcBorders>
            <w:vAlign w:val="center"/>
          </w:tcPr>
          <w:p w14:paraId="5C8DB755" w14:textId="77777777" w:rsidR="00793719" w:rsidRDefault="00793719" w:rsidP="00793719">
            <w:pPr>
              <w:jc w:val="right"/>
              <w:rPr>
                <w:color w:val="000000"/>
                <w:sz w:val="16"/>
                <w:szCs w:val="16"/>
              </w:rPr>
            </w:pPr>
            <w:r>
              <w:rPr>
                <w:color w:val="000000"/>
                <w:sz w:val="16"/>
                <w:szCs w:val="16"/>
              </w:rPr>
              <w:t>15</w:t>
            </w:r>
          </w:p>
        </w:tc>
        <w:tc>
          <w:tcPr>
            <w:tcW w:w="567" w:type="dxa"/>
            <w:vAlign w:val="center"/>
          </w:tcPr>
          <w:p w14:paraId="43BF2D84" w14:textId="77777777" w:rsidR="00793719" w:rsidRDefault="00793719" w:rsidP="00793719">
            <w:pPr>
              <w:jc w:val="right"/>
              <w:rPr>
                <w:color w:val="000000"/>
                <w:sz w:val="16"/>
                <w:szCs w:val="16"/>
              </w:rPr>
            </w:pPr>
            <w:r>
              <w:rPr>
                <w:color w:val="000000"/>
                <w:sz w:val="16"/>
                <w:szCs w:val="16"/>
              </w:rPr>
              <w:t>12.3</w:t>
            </w:r>
          </w:p>
        </w:tc>
        <w:tc>
          <w:tcPr>
            <w:tcW w:w="1123" w:type="dxa"/>
            <w:tcBorders>
              <w:right w:val="single" w:sz="4" w:space="0" w:color="auto"/>
            </w:tcBorders>
            <w:vAlign w:val="center"/>
          </w:tcPr>
          <w:p w14:paraId="1842018A" w14:textId="77777777" w:rsidR="00793719" w:rsidRDefault="00793719" w:rsidP="00793719">
            <w:pPr>
              <w:jc w:val="right"/>
              <w:rPr>
                <w:color w:val="000000"/>
                <w:sz w:val="16"/>
                <w:szCs w:val="16"/>
              </w:rPr>
            </w:pPr>
            <w:r>
              <w:rPr>
                <w:color w:val="000000"/>
                <w:sz w:val="16"/>
                <w:szCs w:val="16"/>
              </w:rPr>
              <w:t>(5.2, 19.4)</w:t>
            </w:r>
          </w:p>
        </w:tc>
        <w:tc>
          <w:tcPr>
            <w:tcW w:w="536" w:type="dxa"/>
            <w:tcBorders>
              <w:left w:val="single" w:sz="4" w:space="0" w:color="auto"/>
            </w:tcBorders>
            <w:vAlign w:val="center"/>
          </w:tcPr>
          <w:p w14:paraId="3741C3C8" w14:textId="77777777" w:rsidR="00793719" w:rsidRDefault="00793719" w:rsidP="00793719">
            <w:pPr>
              <w:jc w:val="right"/>
              <w:rPr>
                <w:color w:val="000000"/>
                <w:sz w:val="16"/>
                <w:szCs w:val="16"/>
              </w:rPr>
            </w:pPr>
            <w:r>
              <w:rPr>
                <w:color w:val="000000"/>
                <w:sz w:val="16"/>
                <w:szCs w:val="16"/>
              </w:rPr>
              <w:t>8</w:t>
            </w:r>
          </w:p>
        </w:tc>
        <w:tc>
          <w:tcPr>
            <w:tcW w:w="576" w:type="dxa"/>
            <w:vAlign w:val="center"/>
          </w:tcPr>
          <w:p w14:paraId="71008F6B" w14:textId="77777777" w:rsidR="00793719" w:rsidRDefault="00793719" w:rsidP="00793719">
            <w:pPr>
              <w:jc w:val="right"/>
              <w:rPr>
                <w:color w:val="000000"/>
                <w:sz w:val="16"/>
                <w:szCs w:val="16"/>
              </w:rPr>
            </w:pPr>
            <w:r>
              <w:rPr>
                <w:color w:val="000000"/>
                <w:sz w:val="16"/>
                <w:szCs w:val="16"/>
              </w:rPr>
              <w:t>8.5</w:t>
            </w:r>
          </w:p>
        </w:tc>
        <w:tc>
          <w:tcPr>
            <w:tcW w:w="1123" w:type="dxa"/>
            <w:tcBorders>
              <w:right w:val="single" w:sz="4" w:space="0" w:color="auto"/>
            </w:tcBorders>
            <w:vAlign w:val="center"/>
          </w:tcPr>
          <w:p w14:paraId="3D8AEBD0" w14:textId="77777777" w:rsidR="00793719" w:rsidRDefault="00793719" w:rsidP="00793719">
            <w:pPr>
              <w:jc w:val="right"/>
              <w:rPr>
                <w:color w:val="000000"/>
                <w:sz w:val="16"/>
                <w:szCs w:val="16"/>
              </w:rPr>
            </w:pPr>
            <w:r>
              <w:rPr>
                <w:color w:val="000000"/>
                <w:sz w:val="16"/>
                <w:szCs w:val="16"/>
              </w:rPr>
              <w:t>(1.8, 15.3)</w:t>
            </w:r>
          </w:p>
        </w:tc>
        <w:tc>
          <w:tcPr>
            <w:tcW w:w="536" w:type="dxa"/>
            <w:tcBorders>
              <w:left w:val="single" w:sz="4" w:space="0" w:color="auto"/>
            </w:tcBorders>
            <w:vAlign w:val="center"/>
          </w:tcPr>
          <w:p w14:paraId="158572CA" w14:textId="77777777" w:rsidR="00793719" w:rsidRDefault="00793719" w:rsidP="00793719">
            <w:pPr>
              <w:jc w:val="right"/>
              <w:rPr>
                <w:color w:val="000000"/>
                <w:sz w:val="16"/>
                <w:szCs w:val="16"/>
              </w:rPr>
            </w:pPr>
            <w:r>
              <w:rPr>
                <w:color w:val="000000"/>
                <w:sz w:val="16"/>
                <w:szCs w:val="16"/>
              </w:rPr>
              <w:t>6</w:t>
            </w:r>
          </w:p>
        </w:tc>
        <w:tc>
          <w:tcPr>
            <w:tcW w:w="567" w:type="dxa"/>
            <w:vAlign w:val="center"/>
          </w:tcPr>
          <w:p w14:paraId="3B917C43" w14:textId="77777777" w:rsidR="00793719" w:rsidRDefault="00793719" w:rsidP="00793719">
            <w:pPr>
              <w:jc w:val="right"/>
              <w:rPr>
                <w:color w:val="000000"/>
                <w:sz w:val="16"/>
                <w:szCs w:val="16"/>
              </w:rPr>
            </w:pPr>
            <w:r>
              <w:rPr>
                <w:color w:val="000000"/>
                <w:sz w:val="16"/>
                <w:szCs w:val="16"/>
              </w:rPr>
              <w:t>7.9</w:t>
            </w:r>
          </w:p>
        </w:tc>
        <w:tc>
          <w:tcPr>
            <w:tcW w:w="1123" w:type="dxa"/>
            <w:vAlign w:val="center"/>
          </w:tcPr>
          <w:p w14:paraId="5758D7C0" w14:textId="77777777" w:rsidR="00793719" w:rsidRDefault="00793719" w:rsidP="00793719">
            <w:pPr>
              <w:jc w:val="right"/>
              <w:rPr>
                <w:color w:val="000000"/>
                <w:sz w:val="16"/>
                <w:szCs w:val="16"/>
              </w:rPr>
            </w:pPr>
            <w:r>
              <w:rPr>
                <w:color w:val="000000"/>
                <w:sz w:val="16"/>
                <w:szCs w:val="16"/>
              </w:rPr>
              <w:t>(0.8, 15.1)</w:t>
            </w:r>
          </w:p>
        </w:tc>
      </w:tr>
      <w:tr w:rsidR="00793719" w:rsidRPr="007B4EF8" w14:paraId="1CB28FA7" w14:textId="77777777" w:rsidTr="00793719">
        <w:trPr>
          <w:jc w:val="center"/>
        </w:trPr>
        <w:tc>
          <w:tcPr>
            <w:tcW w:w="2127" w:type="dxa"/>
          </w:tcPr>
          <w:p w14:paraId="3EA23EA3" w14:textId="77777777" w:rsidR="00793719" w:rsidRDefault="00793719" w:rsidP="00793719">
            <w:pPr>
              <w:spacing w:before="20" w:after="20"/>
              <w:ind w:left="34"/>
              <w:rPr>
                <w:rFonts w:eastAsiaTheme="minorEastAsia"/>
                <w:sz w:val="16"/>
                <w:szCs w:val="16"/>
                <w:lang w:eastAsia="en-US"/>
              </w:rPr>
            </w:pPr>
          </w:p>
        </w:tc>
        <w:tc>
          <w:tcPr>
            <w:tcW w:w="2379" w:type="dxa"/>
          </w:tcPr>
          <w:p w14:paraId="7149BA65"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vAlign w:val="center"/>
          </w:tcPr>
          <w:p w14:paraId="3480A3F6" w14:textId="77777777" w:rsidR="00793719" w:rsidRDefault="00793719" w:rsidP="00793719">
            <w:pPr>
              <w:jc w:val="right"/>
              <w:rPr>
                <w:color w:val="000000"/>
                <w:sz w:val="16"/>
                <w:szCs w:val="16"/>
              </w:rPr>
            </w:pPr>
            <w:r>
              <w:rPr>
                <w:color w:val="000000"/>
                <w:sz w:val="16"/>
                <w:szCs w:val="16"/>
              </w:rPr>
              <w:t>20</w:t>
            </w:r>
          </w:p>
        </w:tc>
        <w:tc>
          <w:tcPr>
            <w:tcW w:w="496" w:type="dxa"/>
            <w:vAlign w:val="center"/>
          </w:tcPr>
          <w:p w14:paraId="461EE42A" w14:textId="77777777" w:rsidR="00793719" w:rsidRDefault="00793719" w:rsidP="00793719">
            <w:pPr>
              <w:jc w:val="right"/>
              <w:rPr>
                <w:color w:val="000000"/>
                <w:sz w:val="16"/>
                <w:szCs w:val="16"/>
              </w:rPr>
            </w:pPr>
            <w:r>
              <w:rPr>
                <w:color w:val="000000"/>
                <w:sz w:val="16"/>
                <w:szCs w:val="16"/>
              </w:rPr>
              <w:t>7.8</w:t>
            </w:r>
          </w:p>
        </w:tc>
        <w:tc>
          <w:tcPr>
            <w:tcW w:w="1043" w:type="dxa"/>
            <w:tcBorders>
              <w:right w:val="single" w:sz="4" w:space="0" w:color="auto"/>
            </w:tcBorders>
            <w:vAlign w:val="center"/>
          </w:tcPr>
          <w:p w14:paraId="2A240A42" w14:textId="77777777" w:rsidR="00793719" w:rsidRDefault="00793719" w:rsidP="00793719">
            <w:pPr>
              <w:jc w:val="right"/>
              <w:rPr>
                <w:color w:val="000000"/>
                <w:sz w:val="16"/>
                <w:szCs w:val="16"/>
              </w:rPr>
            </w:pPr>
            <w:r>
              <w:rPr>
                <w:color w:val="000000"/>
                <w:sz w:val="16"/>
                <w:szCs w:val="16"/>
              </w:rPr>
              <w:t>(3.2, 12.4)</w:t>
            </w:r>
          </w:p>
        </w:tc>
        <w:tc>
          <w:tcPr>
            <w:tcW w:w="569" w:type="dxa"/>
            <w:tcBorders>
              <w:left w:val="single" w:sz="4" w:space="0" w:color="auto"/>
            </w:tcBorders>
            <w:vAlign w:val="center"/>
          </w:tcPr>
          <w:p w14:paraId="43AA4823" w14:textId="77777777" w:rsidR="00793719" w:rsidRDefault="00793719" w:rsidP="00793719">
            <w:pPr>
              <w:jc w:val="right"/>
              <w:rPr>
                <w:color w:val="000000"/>
                <w:sz w:val="16"/>
                <w:szCs w:val="16"/>
              </w:rPr>
            </w:pPr>
            <w:r>
              <w:rPr>
                <w:color w:val="000000"/>
                <w:sz w:val="16"/>
                <w:szCs w:val="16"/>
              </w:rPr>
              <w:t>2</w:t>
            </w:r>
          </w:p>
        </w:tc>
        <w:tc>
          <w:tcPr>
            <w:tcW w:w="567" w:type="dxa"/>
            <w:vAlign w:val="center"/>
          </w:tcPr>
          <w:p w14:paraId="769E4F76" w14:textId="77777777" w:rsidR="00793719" w:rsidRDefault="00793719" w:rsidP="00793719">
            <w:pPr>
              <w:jc w:val="right"/>
              <w:rPr>
                <w:color w:val="000000"/>
                <w:sz w:val="16"/>
                <w:szCs w:val="16"/>
              </w:rPr>
            </w:pPr>
            <w:r>
              <w:rPr>
                <w:color w:val="000000"/>
                <w:sz w:val="16"/>
                <w:szCs w:val="16"/>
              </w:rPr>
              <w:t>1.7</w:t>
            </w:r>
          </w:p>
        </w:tc>
        <w:tc>
          <w:tcPr>
            <w:tcW w:w="1123" w:type="dxa"/>
            <w:tcBorders>
              <w:right w:val="single" w:sz="4" w:space="0" w:color="auto"/>
            </w:tcBorders>
            <w:vAlign w:val="center"/>
          </w:tcPr>
          <w:p w14:paraId="325B5F86" w14:textId="77777777" w:rsidR="00793719" w:rsidRDefault="002F172C" w:rsidP="00793719">
            <w:pPr>
              <w:jc w:val="right"/>
              <w:rPr>
                <w:color w:val="000000"/>
                <w:sz w:val="16"/>
                <w:szCs w:val="16"/>
              </w:rPr>
            </w:pPr>
            <w:r>
              <w:rPr>
                <w:color w:val="000000"/>
                <w:sz w:val="16"/>
                <w:szCs w:val="16"/>
              </w:rPr>
              <w:t>!</w:t>
            </w:r>
          </w:p>
        </w:tc>
        <w:tc>
          <w:tcPr>
            <w:tcW w:w="536" w:type="dxa"/>
            <w:tcBorders>
              <w:left w:val="single" w:sz="4" w:space="0" w:color="auto"/>
            </w:tcBorders>
            <w:vAlign w:val="center"/>
          </w:tcPr>
          <w:p w14:paraId="766C62AE" w14:textId="77777777" w:rsidR="00793719" w:rsidRDefault="00793719" w:rsidP="00793719">
            <w:pPr>
              <w:jc w:val="right"/>
              <w:rPr>
                <w:color w:val="000000"/>
                <w:sz w:val="16"/>
                <w:szCs w:val="16"/>
              </w:rPr>
            </w:pPr>
            <w:r>
              <w:rPr>
                <w:color w:val="000000"/>
                <w:sz w:val="16"/>
                <w:szCs w:val="16"/>
              </w:rPr>
              <w:t>4</w:t>
            </w:r>
          </w:p>
        </w:tc>
        <w:tc>
          <w:tcPr>
            <w:tcW w:w="576" w:type="dxa"/>
            <w:vAlign w:val="center"/>
          </w:tcPr>
          <w:p w14:paraId="3712A698" w14:textId="77777777" w:rsidR="00793719" w:rsidRDefault="00793719" w:rsidP="00793719">
            <w:pPr>
              <w:jc w:val="right"/>
              <w:rPr>
                <w:color w:val="000000"/>
                <w:sz w:val="16"/>
                <w:szCs w:val="16"/>
              </w:rPr>
            </w:pPr>
            <w:r>
              <w:rPr>
                <w:color w:val="000000"/>
                <w:sz w:val="16"/>
                <w:szCs w:val="16"/>
              </w:rPr>
              <w:t>4.6</w:t>
            </w:r>
          </w:p>
        </w:tc>
        <w:tc>
          <w:tcPr>
            <w:tcW w:w="1123" w:type="dxa"/>
            <w:tcBorders>
              <w:right w:val="single" w:sz="4" w:space="0" w:color="auto"/>
            </w:tcBorders>
            <w:vAlign w:val="center"/>
          </w:tcPr>
          <w:p w14:paraId="618DF8F2" w14:textId="77777777" w:rsidR="00793719" w:rsidRDefault="00793719" w:rsidP="00793719">
            <w:pPr>
              <w:jc w:val="right"/>
              <w:rPr>
                <w:color w:val="000000"/>
                <w:sz w:val="16"/>
                <w:szCs w:val="16"/>
              </w:rPr>
            </w:pPr>
            <w:r>
              <w:rPr>
                <w:color w:val="000000"/>
                <w:sz w:val="16"/>
                <w:szCs w:val="16"/>
              </w:rPr>
              <w:t>(0.0, 9.5)</w:t>
            </w:r>
          </w:p>
        </w:tc>
        <w:tc>
          <w:tcPr>
            <w:tcW w:w="536" w:type="dxa"/>
            <w:tcBorders>
              <w:left w:val="single" w:sz="4" w:space="0" w:color="auto"/>
            </w:tcBorders>
            <w:vAlign w:val="center"/>
          </w:tcPr>
          <w:p w14:paraId="1E94530D" w14:textId="77777777" w:rsidR="00793719" w:rsidRDefault="00793719" w:rsidP="00793719">
            <w:pPr>
              <w:jc w:val="right"/>
              <w:rPr>
                <w:color w:val="000000"/>
                <w:sz w:val="16"/>
                <w:szCs w:val="16"/>
              </w:rPr>
            </w:pPr>
            <w:r>
              <w:rPr>
                <w:color w:val="000000"/>
                <w:sz w:val="16"/>
                <w:szCs w:val="16"/>
              </w:rPr>
              <w:t>1</w:t>
            </w:r>
          </w:p>
        </w:tc>
        <w:tc>
          <w:tcPr>
            <w:tcW w:w="567" w:type="dxa"/>
            <w:vAlign w:val="center"/>
          </w:tcPr>
          <w:p w14:paraId="3B42EC38" w14:textId="77777777" w:rsidR="00793719" w:rsidRDefault="00793719" w:rsidP="00793719">
            <w:pPr>
              <w:jc w:val="right"/>
              <w:rPr>
                <w:color w:val="000000"/>
                <w:sz w:val="16"/>
                <w:szCs w:val="16"/>
              </w:rPr>
            </w:pPr>
            <w:r>
              <w:rPr>
                <w:color w:val="000000"/>
                <w:sz w:val="16"/>
                <w:szCs w:val="16"/>
              </w:rPr>
              <w:t>1.7</w:t>
            </w:r>
          </w:p>
        </w:tc>
        <w:tc>
          <w:tcPr>
            <w:tcW w:w="1123" w:type="dxa"/>
            <w:vAlign w:val="center"/>
          </w:tcPr>
          <w:p w14:paraId="116CF9A9" w14:textId="77777777" w:rsidR="00793719" w:rsidRDefault="002F172C" w:rsidP="00793719">
            <w:pPr>
              <w:jc w:val="right"/>
              <w:rPr>
                <w:color w:val="000000"/>
                <w:sz w:val="16"/>
                <w:szCs w:val="16"/>
              </w:rPr>
            </w:pPr>
            <w:r>
              <w:rPr>
                <w:color w:val="000000"/>
                <w:sz w:val="16"/>
                <w:szCs w:val="16"/>
              </w:rPr>
              <w:t>!</w:t>
            </w:r>
          </w:p>
        </w:tc>
      </w:tr>
      <w:tr w:rsidR="00793719" w:rsidRPr="007B4EF8" w14:paraId="2630EDEB" w14:textId="77777777" w:rsidTr="00793719">
        <w:trPr>
          <w:jc w:val="center"/>
        </w:trPr>
        <w:tc>
          <w:tcPr>
            <w:tcW w:w="2127" w:type="dxa"/>
          </w:tcPr>
          <w:p w14:paraId="093DC98C" w14:textId="77777777" w:rsidR="00793719" w:rsidRDefault="00793719" w:rsidP="00793719">
            <w:pPr>
              <w:spacing w:before="20" w:after="20"/>
              <w:ind w:left="34"/>
              <w:rPr>
                <w:rFonts w:eastAsiaTheme="minorEastAsia"/>
                <w:sz w:val="16"/>
                <w:szCs w:val="16"/>
                <w:lang w:eastAsia="en-US"/>
              </w:rPr>
            </w:pPr>
            <w:r>
              <w:rPr>
                <w:rFonts w:eastAsiaTheme="minorEastAsia"/>
                <w:sz w:val="16"/>
                <w:szCs w:val="16"/>
                <w:lang w:eastAsia="en-US"/>
              </w:rPr>
              <w:t>16 - 30 minutes</w:t>
            </w:r>
          </w:p>
        </w:tc>
        <w:tc>
          <w:tcPr>
            <w:tcW w:w="2379" w:type="dxa"/>
          </w:tcPr>
          <w:p w14:paraId="2269A51A"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vAlign w:val="center"/>
          </w:tcPr>
          <w:p w14:paraId="49EF947C" w14:textId="77777777" w:rsidR="00793719" w:rsidRDefault="00793719" w:rsidP="00793719">
            <w:pPr>
              <w:jc w:val="right"/>
              <w:rPr>
                <w:color w:val="000000"/>
                <w:sz w:val="16"/>
                <w:szCs w:val="16"/>
              </w:rPr>
            </w:pPr>
            <w:r>
              <w:rPr>
                <w:color w:val="000000"/>
                <w:sz w:val="16"/>
                <w:szCs w:val="16"/>
              </w:rPr>
              <w:t>167</w:t>
            </w:r>
          </w:p>
        </w:tc>
        <w:tc>
          <w:tcPr>
            <w:tcW w:w="496" w:type="dxa"/>
            <w:vAlign w:val="center"/>
          </w:tcPr>
          <w:p w14:paraId="0720422D" w14:textId="77777777" w:rsidR="00793719" w:rsidRDefault="00793719" w:rsidP="00793719">
            <w:pPr>
              <w:jc w:val="right"/>
              <w:rPr>
                <w:color w:val="000000"/>
                <w:sz w:val="16"/>
                <w:szCs w:val="16"/>
              </w:rPr>
            </w:pPr>
            <w:r>
              <w:rPr>
                <w:color w:val="000000"/>
                <w:sz w:val="16"/>
                <w:szCs w:val="16"/>
              </w:rPr>
              <w:t>79.7</w:t>
            </w:r>
          </w:p>
        </w:tc>
        <w:tc>
          <w:tcPr>
            <w:tcW w:w="1043" w:type="dxa"/>
            <w:tcBorders>
              <w:right w:val="single" w:sz="4" w:space="0" w:color="auto"/>
            </w:tcBorders>
            <w:vAlign w:val="center"/>
          </w:tcPr>
          <w:p w14:paraId="7B9765C0" w14:textId="77777777" w:rsidR="00793719" w:rsidRDefault="00793719" w:rsidP="00793719">
            <w:pPr>
              <w:jc w:val="right"/>
              <w:rPr>
                <w:color w:val="000000"/>
                <w:sz w:val="16"/>
                <w:szCs w:val="16"/>
              </w:rPr>
            </w:pPr>
            <w:r>
              <w:rPr>
                <w:color w:val="000000"/>
                <w:sz w:val="16"/>
                <w:szCs w:val="16"/>
              </w:rPr>
              <w:t>(72.5, 87.0)</w:t>
            </w:r>
          </w:p>
        </w:tc>
        <w:tc>
          <w:tcPr>
            <w:tcW w:w="569" w:type="dxa"/>
            <w:tcBorders>
              <w:left w:val="single" w:sz="4" w:space="0" w:color="auto"/>
            </w:tcBorders>
            <w:vAlign w:val="center"/>
          </w:tcPr>
          <w:p w14:paraId="7A2779CC" w14:textId="77777777" w:rsidR="00793719" w:rsidRDefault="00793719" w:rsidP="00793719">
            <w:pPr>
              <w:jc w:val="right"/>
              <w:rPr>
                <w:color w:val="000000"/>
                <w:sz w:val="16"/>
                <w:szCs w:val="16"/>
              </w:rPr>
            </w:pPr>
            <w:r>
              <w:rPr>
                <w:color w:val="000000"/>
                <w:sz w:val="16"/>
                <w:szCs w:val="16"/>
              </w:rPr>
              <w:t>65</w:t>
            </w:r>
          </w:p>
        </w:tc>
        <w:tc>
          <w:tcPr>
            <w:tcW w:w="567" w:type="dxa"/>
            <w:vAlign w:val="center"/>
          </w:tcPr>
          <w:p w14:paraId="57787B79" w14:textId="77777777" w:rsidR="00793719" w:rsidRDefault="00793719" w:rsidP="00793719">
            <w:pPr>
              <w:jc w:val="right"/>
              <w:rPr>
                <w:color w:val="000000"/>
                <w:sz w:val="16"/>
                <w:szCs w:val="16"/>
              </w:rPr>
            </w:pPr>
            <w:r>
              <w:rPr>
                <w:color w:val="000000"/>
                <w:sz w:val="16"/>
                <w:szCs w:val="16"/>
              </w:rPr>
              <w:t>67.1</w:t>
            </w:r>
          </w:p>
        </w:tc>
        <w:tc>
          <w:tcPr>
            <w:tcW w:w="1123" w:type="dxa"/>
            <w:tcBorders>
              <w:right w:val="single" w:sz="4" w:space="0" w:color="auto"/>
            </w:tcBorders>
            <w:vAlign w:val="center"/>
          </w:tcPr>
          <w:p w14:paraId="4425AE3E" w14:textId="77777777" w:rsidR="00793719" w:rsidRDefault="00793719" w:rsidP="00793719">
            <w:pPr>
              <w:jc w:val="right"/>
              <w:rPr>
                <w:color w:val="000000"/>
                <w:sz w:val="16"/>
                <w:szCs w:val="16"/>
              </w:rPr>
            </w:pPr>
            <w:r>
              <w:rPr>
                <w:color w:val="000000"/>
                <w:sz w:val="16"/>
                <w:szCs w:val="16"/>
              </w:rPr>
              <w:t>(56.0, 78.2)</w:t>
            </w:r>
          </w:p>
        </w:tc>
        <w:tc>
          <w:tcPr>
            <w:tcW w:w="536" w:type="dxa"/>
            <w:tcBorders>
              <w:left w:val="single" w:sz="4" w:space="0" w:color="auto"/>
            </w:tcBorders>
            <w:vAlign w:val="center"/>
          </w:tcPr>
          <w:p w14:paraId="749A5FD4" w14:textId="77777777" w:rsidR="00793719" w:rsidRDefault="00793719" w:rsidP="00793719">
            <w:pPr>
              <w:jc w:val="right"/>
              <w:rPr>
                <w:color w:val="000000"/>
                <w:sz w:val="16"/>
                <w:szCs w:val="16"/>
              </w:rPr>
            </w:pPr>
            <w:r>
              <w:rPr>
                <w:color w:val="000000"/>
                <w:sz w:val="16"/>
                <w:szCs w:val="16"/>
              </w:rPr>
              <w:t>63</w:t>
            </w:r>
          </w:p>
        </w:tc>
        <w:tc>
          <w:tcPr>
            <w:tcW w:w="576" w:type="dxa"/>
            <w:vAlign w:val="center"/>
          </w:tcPr>
          <w:p w14:paraId="615B4A04" w14:textId="77777777" w:rsidR="00793719" w:rsidRDefault="00793719" w:rsidP="00793719">
            <w:pPr>
              <w:jc w:val="right"/>
              <w:rPr>
                <w:color w:val="000000"/>
                <w:sz w:val="16"/>
                <w:szCs w:val="16"/>
              </w:rPr>
            </w:pPr>
            <w:r>
              <w:rPr>
                <w:color w:val="000000"/>
                <w:sz w:val="16"/>
                <w:szCs w:val="16"/>
              </w:rPr>
              <w:t>76.9</w:t>
            </w:r>
          </w:p>
        </w:tc>
        <w:tc>
          <w:tcPr>
            <w:tcW w:w="1123" w:type="dxa"/>
            <w:tcBorders>
              <w:right w:val="single" w:sz="4" w:space="0" w:color="auto"/>
            </w:tcBorders>
            <w:vAlign w:val="center"/>
          </w:tcPr>
          <w:p w14:paraId="06335AFE" w14:textId="77777777" w:rsidR="00793719" w:rsidRDefault="00793719" w:rsidP="00793719">
            <w:pPr>
              <w:jc w:val="right"/>
              <w:rPr>
                <w:color w:val="000000"/>
                <w:sz w:val="16"/>
                <w:szCs w:val="16"/>
              </w:rPr>
            </w:pPr>
            <w:r>
              <w:rPr>
                <w:color w:val="000000"/>
                <w:sz w:val="16"/>
                <w:szCs w:val="16"/>
              </w:rPr>
              <w:t>(67.7, 86.2)</w:t>
            </w:r>
          </w:p>
        </w:tc>
        <w:tc>
          <w:tcPr>
            <w:tcW w:w="536" w:type="dxa"/>
            <w:tcBorders>
              <w:left w:val="single" w:sz="4" w:space="0" w:color="auto"/>
            </w:tcBorders>
            <w:vAlign w:val="center"/>
          </w:tcPr>
          <w:p w14:paraId="7B366616" w14:textId="77777777" w:rsidR="00793719" w:rsidRDefault="00793719" w:rsidP="00793719">
            <w:pPr>
              <w:jc w:val="right"/>
              <w:rPr>
                <w:color w:val="000000"/>
                <w:sz w:val="16"/>
                <w:szCs w:val="16"/>
              </w:rPr>
            </w:pPr>
            <w:r>
              <w:rPr>
                <w:color w:val="000000"/>
                <w:sz w:val="16"/>
                <w:szCs w:val="16"/>
              </w:rPr>
              <w:t>48</w:t>
            </w:r>
          </w:p>
        </w:tc>
        <w:tc>
          <w:tcPr>
            <w:tcW w:w="567" w:type="dxa"/>
            <w:vAlign w:val="center"/>
          </w:tcPr>
          <w:p w14:paraId="70F75373" w14:textId="77777777" w:rsidR="00793719" w:rsidRDefault="00793719" w:rsidP="00793719">
            <w:pPr>
              <w:jc w:val="right"/>
              <w:rPr>
                <w:color w:val="000000"/>
                <w:sz w:val="16"/>
                <w:szCs w:val="16"/>
              </w:rPr>
            </w:pPr>
            <w:r>
              <w:rPr>
                <w:color w:val="000000"/>
                <w:sz w:val="16"/>
                <w:szCs w:val="16"/>
              </w:rPr>
              <w:t>68.9</w:t>
            </w:r>
          </w:p>
        </w:tc>
        <w:tc>
          <w:tcPr>
            <w:tcW w:w="1123" w:type="dxa"/>
            <w:vAlign w:val="center"/>
          </w:tcPr>
          <w:p w14:paraId="5B494D8C" w14:textId="77777777" w:rsidR="00793719" w:rsidRDefault="00793719" w:rsidP="00793719">
            <w:pPr>
              <w:jc w:val="right"/>
              <w:rPr>
                <w:color w:val="000000"/>
                <w:sz w:val="16"/>
                <w:szCs w:val="16"/>
              </w:rPr>
            </w:pPr>
            <w:r>
              <w:rPr>
                <w:color w:val="000000"/>
                <w:sz w:val="16"/>
                <w:szCs w:val="16"/>
              </w:rPr>
              <w:t>(54.0, 83.7)</w:t>
            </w:r>
          </w:p>
        </w:tc>
      </w:tr>
      <w:tr w:rsidR="00793719" w:rsidRPr="007B4EF8" w14:paraId="6649CB3E" w14:textId="77777777" w:rsidTr="00793719">
        <w:trPr>
          <w:jc w:val="center"/>
        </w:trPr>
        <w:tc>
          <w:tcPr>
            <w:tcW w:w="2127" w:type="dxa"/>
          </w:tcPr>
          <w:p w14:paraId="3E242617" w14:textId="77777777" w:rsidR="00793719" w:rsidRDefault="00793719" w:rsidP="00793719">
            <w:pPr>
              <w:spacing w:before="20" w:after="20"/>
              <w:ind w:left="34"/>
              <w:rPr>
                <w:rFonts w:eastAsiaTheme="minorEastAsia"/>
                <w:sz w:val="16"/>
                <w:szCs w:val="16"/>
                <w:lang w:eastAsia="en-US"/>
              </w:rPr>
            </w:pPr>
          </w:p>
        </w:tc>
        <w:tc>
          <w:tcPr>
            <w:tcW w:w="2379" w:type="dxa"/>
          </w:tcPr>
          <w:p w14:paraId="0BD61268"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vAlign w:val="center"/>
          </w:tcPr>
          <w:p w14:paraId="2E8CCF4A" w14:textId="77777777" w:rsidR="00793719" w:rsidRDefault="00793719" w:rsidP="00793719">
            <w:pPr>
              <w:jc w:val="right"/>
              <w:rPr>
                <w:color w:val="000000"/>
                <w:sz w:val="16"/>
                <w:szCs w:val="16"/>
              </w:rPr>
            </w:pPr>
            <w:r>
              <w:rPr>
                <w:color w:val="000000"/>
                <w:sz w:val="16"/>
                <w:szCs w:val="16"/>
              </w:rPr>
              <w:t>24</w:t>
            </w:r>
          </w:p>
        </w:tc>
        <w:tc>
          <w:tcPr>
            <w:tcW w:w="496" w:type="dxa"/>
            <w:vAlign w:val="center"/>
          </w:tcPr>
          <w:p w14:paraId="6AF90380" w14:textId="77777777" w:rsidR="00793719" w:rsidRDefault="00793719" w:rsidP="00793719">
            <w:pPr>
              <w:jc w:val="right"/>
              <w:rPr>
                <w:color w:val="000000"/>
                <w:sz w:val="16"/>
                <w:szCs w:val="16"/>
              </w:rPr>
            </w:pPr>
            <w:r>
              <w:rPr>
                <w:color w:val="000000"/>
                <w:sz w:val="16"/>
                <w:szCs w:val="16"/>
              </w:rPr>
              <w:t>11.6</w:t>
            </w:r>
          </w:p>
        </w:tc>
        <w:tc>
          <w:tcPr>
            <w:tcW w:w="1043" w:type="dxa"/>
            <w:tcBorders>
              <w:right w:val="single" w:sz="4" w:space="0" w:color="auto"/>
            </w:tcBorders>
            <w:vAlign w:val="center"/>
          </w:tcPr>
          <w:p w14:paraId="6E08397D" w14:textId="77777777" w:rsidR="00793719" w:rsidRDefault="00793719" w:rsidP="00793719">
            <w:pPr>
              <w:jc w:val="right"/>
              <w:rPr>
                <w:color w:val="000000"/>
                <w:sz w:val="16"/>
                <w:szCs w:val="16"/>
              </w:rPr>
            </w:pPr>
            <w:r>
              <w:rPr>
                <w:color w:val="000000"/>
                <w:sz w:val="16"/>
                <w:szCs w:val="16"/>
              </w:rPr>
              <w:t>(5.5, 17.7)</w:t>
            </w:r>
          </w:p>
        </w:tc>
        <w:tc>
          <w:tcPr>
            <w:tcW w:w="569" w:type="dxa"/>
            <w:tcBorders>
              <w:left w:val="single" w:sz="4" w:space="0" w:color="auto"/>
            </w:tcBorders>
            <w:vAlign w:val="center"/>
          </w:tcPr>
          <w:p w14:paraId="4C925124" w14:textId="77777777" w:rsidR="00793719" w:rsidRDefault="00793719" w:rsidP="00793719">
            <w:pPr>
              <w:jc w:val="right"/>
              <w:rPr>
                <w:color w:val="000000"/>
                <w:sz w:val="16"/>
                <w:szCs w:val="16"/>
              </w:rPr>
            </w:pPr>
            <w:r>
              <w:rPr>
                <w:color w:val="000000"/>
                <w:sz w:val="16"/>
                <w:szCs w:val="16"/>
              </w:rPr>
              <w:t>24</w:t>
            </w:r>
          </w:p>
        </w:tc>
        <w:tc>
          <w:tcPr>
            <w:tcW w:w="567" w:type="dxa"/>
            <w:vAlign w:val="center"/>
          </w:tcPr>
          <w:p w14:paraId="243FBF1A" w14:textId="77777777" w:rsidR="00793719" w:rsidRDefault="00793719" w:rsidP="00793719">
            <w:pPr>
              <w:jc w:val="right"/>
              <w:rPr>
                <w:color w:val="000000"/>
                <w:sz w:val="16"/>
                <w:szCs w:val="16"/>
              </w:rPr>
            </w:pPr>
            <w:r>
              <w:rPr>
                <w:color w:val="000000"/>
                <w:sz w:val="16"/>
                <w:szCs w:val="16"/>
              </w:rPr>
              <w:t>24.3</w:t>
            </w:r>
          </w:p>
        </w:tc>
        <w:tc>
          <w:tcPr>
            <w:tcW w:w="1123" w:type="dxa"/>
            <w:tcBorders>
              <w:right w:val="single" w:sz="4" w:space="0" w:color="auto"/>
            </w:tcBorders>
            <w:vAlign w:val="center"/>
          </w:tcPr>
          <w:p w14:paraId="3C9306F0" w14:textId="77777777" w:rsidR="00793719" w:rsidRDefault="00793719" w:rsidP="00793719">
            <w:pPr>
              <w:jc w:val="right"/>
              <w:rPr>
                <w:color w:val="000000"/>
                <w:sz w:val="16"/>
                <w:szCs w:val="16"/>
              </w:rPr>
            </w:pPr>
            <w:r>
              <w:rPr>
                <w:color w:val="000000"/>
                <w:sz w:val="16"/>
                <w:szCs w:val="16"/>
              </w:rPr>
              <w:t>(13.5, 35.1)</w:t>
            </w:r>
          </w:p>
        </w:tc>
        <w:tc>
          <w:tcPr>
            <w:tcW w:w="536" w:type="dxa"/>
            <w:tcBorders>
              <w:left w:val="single" w:sz="4" w:space="0" w:color="auto"/>
            </w:tcBorders>
            <w:vAlign w:val="center"/>
          </w:tcPr>
          <w:p w14:paraId="6F7DEB65" w14:textId="77777777" w:rsidR="00793719" w:rsidRDefault="00793719" w:rsidP="00793719">
            <w:pPr>
              <w:jc w:val="right"/>
              <w:rPr>
                <w:color w:val="000000"/>
                <w:sz w:val="16"/>
                <w:szCs w:val="16"/>
              </w:rPr>
            </w:pPr>
            <w:r>
              <w:rPr>
                <w:color w:val="000000"/>
                <w:sz w:val="16"/>
                <w:szCs w:val="16"/>
              </w:rPr>
              <w:t>13</w:t>
            </w:r>
          </w:p>
        </w:tc>
        <w:tc>
          <w:tcPr>
            <w:tcW w:w="576" w:type="dxa"/>
            <w:vAlign w:val="center"/>
          </w:tcPr>
          <w:p w14:paraId="4CBC6319" w14:textId="77777777" w:rsidR="00793719" w:rsidRDefault="00793719" w:rsidP="00793719">
            <w:pPr>
              <w:jc w:val="right"/>
              <w:rPr>
                <w:color w:val="000000"/>
                <w:sz w:val="16"/>
                <w:szCs w:val="16"/>
              </w:rPr>
            </w:pPr>
            <w:r>
              <w:rPr>
                <w:color w:val="000000"/>
                <w:sz w:val="16"/>
                <w:szCs w:val="16"/>
              </w:rPr>
              <w:t>15.7</w:t>
            </w:r>
          </w:p>
        </w:tc>
        <w:tc>
          <w:tcPr>
            <w:tcW w:w="1123" w:type="dxa"/>
            <w:tcBorders>
              <w:right w:val="single" w:sz="4" w:space="0" w:color="auto"/>
            </w:tcBorders>
            <w:vAlign w:val="center"/>
          </w:tcPr>
          <w:p w14:paraId="72329503" w14:textId="77777777" w:rsidR="00793719" w:rsidRDefault="00793719" w:rsidP="00793719">
            <w:pPr>
              <w:jc w:val="right"/>
              <w:rPr>
                <w:color w:val="000000"/>
                <w:sz w:val="16"/>
                <w:szCs w:val="16"/>
              </w:rPr>
            </w:pPr>
            <w:r>
              <w:rPr>
                <w:color w:val="000000"/>
                <w:sz w:val="16"/>
                <w:szCs w:val="16"/>
              </w:rPr>
              <w:t>(7.1, 24.2)</w:t>
            </w:r>
          </w:p>
        </w:tc>
        <w:tc>
          <w:tcPr>
            <w:tcW w:w="536" w:type="dxa"/>
            <w:tcBorders>
              <w:left w:val="single" w:sz="4" w:space="0" w:color="auto"/>
            </w:tcBorders>
            <w:vAlign w:val="center"/>
          </w:tcPr>
          <w:p w14:paraId="198B999D" w14:textId="77777777" w:rsidR="00793719" w:rsidRDefault="00793719" w:rsidP="00793719">
            <w:pPr>
              <w:jc w:val="right"/>
              <w:rPr>
                <w:color w:val="000000"/>
                <w:sz w:val="16"/>
                <w:szCs w:val="16"/>
              </w:rPr>
            </w:pPr>
            <w:r>
              <w:rPr>
                <w:color w:val="000000"/>
                <w:sz w:val="16"/>
                <w:szCs w:val="16"/>
              </w:rPr>
              <w:t>17</w:t>
            </w:r>
          </w:p>
        </w:tc>
        <w:tc>
          <w:tcPr>
            <w:tcW w:w="567" w:type="dxa"/>
            <w:vAlign w:val="center"/>
          </w:tcPr>
          <w:p w14:paraId="1B90E9E3" w14:textId="77777777" w:rsidR="00793719" w:rsidRDefault="00793719" w:rsidP="00793719">
            <w:pPr>
              <w:jc w:val="right"/>
              <w:rPr>
                <w:color w:val="000000"/>
                <w:sz w:val="16"/>
                <w:szCs w:val="16"/>
              </w:rPr>
            </w:pPr>
            <w:r>
              <w:rPr>
                <w:color w:val="000000"/>
                <w:sz w:val="16"/>
                <w:szCs w:val="16"/>
              </w:rPr>
              <w:t>23.7</w:t>
            </w:r>
          </w:p>
        </w:tc>
        <w:tc>
          <w:tcPr>
            <w:tcW w:w="1123" w:type="dxa"/>
            <w:vAlign w:val="center"/>
          </w:tcPr>
          <w:p w14:paraId="216978BE" w14:textId="77777777" w:rsidR="00793719" w:rsidRDefault="00793719" w:rsidP="00793719">
            <w:pPr>
              <w:jc w:val="right"/>
              <w:rPr>
                <w:color w:val="000000"/>
                <w:sz w:val="16"/>
                <w:szCs w:val="16"/>
              </w:rPr>
            </w:pPr>
            <w:r>
              <w:rPr>
                <w:color w:val="000000"/>
                <w:sz w:val="16"/>
                <w:szCs w:val="16"/>
              </w:rPr>
              <w:t>(9.9, 37.6)</w:t>
            </w:r>
          </w:p>
        </w:tc>
      </w:tr>
      <w:tr w:rsidR="00793719" w:rsidRPr="007B4EF8" w14:paraId="0C2DCA6A" w14:textId="77777777" w:rsidTr="00793719">
        <w:trPr>
          <w:jc w:val="center"/>
        </w:trPr>
        <w:tc>
          <w:tcPr>
            <w:tcW w:w="2127" w:type="dxa"/>
          </w:tcPr>
          <w:p w14:paraId="3806E889" w14:textId="77777777" w:rsidR="00793719" w:rsidRDefault="00793719" w:rsidP="00793719">
            <w:pPr>
              <w:spacing w:before="20" w:after="20"/>
              <w:ind w:left="34"/>
              <w:rPr>
                <w:rFonts w:eastAsiaTheme="minorEastAsia"/>
                <w:sz w:val="16"/>
                <w:szCs w:val="16"/>
                <w:lang w:eastAsia="en-US"/>
              </w:rPr>
            </w:pPr>
          </w:p>
        </w:tc>
        <w:tc>
          <w:tcPr>
            <w:tcW w:w="2379" w:type="dxa"/>
          </w:tcPr>
          <w:p w14:paraId="7C138F88"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vAlign w:val="center"/>
          </w:tcPr>
          <w:p w14:paraId="1576445A" w14:textId="77777777" w:rsidR="00793719" w:rsidRDefault="00793719" w:rsidP="00793719">
            <w:pPr>
              <w:jc w:val="right"/>
              <w:rPr>
                <w:color w:val="000000"/>
                <w:sz w:val="16"/>
                <w:szCs w:val="16"/>
              </w:rPr>
            </w:pPr>
            <w:r>
              <w:rPr>
                <w:color w:val="000000"/>
                <w:sz w:val="16"/>
                <w:szCs w:val="16"/>
              </w:rPr>
              <w:t>18</w:t>
            </w:r>
          </w:p>
        </w:tc>
        <w:tc>
          <w:tcPr>
            <w:tcW w:w="496" w:type="dxa"/>
            <w:vAlign w:val="center"/>
          </w:tcPr>
          <w:p w14:paraId="7528F28E" w14:textId="77777777" w:rsidR="00793719" w:rsidRDefault="00793719" w:rsidP="00793719">
            <w:pPr>
              <w:jc w:val="right"/>
              <w:rPr>
                <w:color w:val="000000"/>
                <w:sz w:val="16"/>
                <w:szCs w:val="16"/>
              </w:rPr>
            </w:pPr>
            <w:r>
              <w:rPr>
                <w:color w:val="000000"/>
                <w:sz w:val="16"/>
                <w:szCs w:val="16"/>
              </w:rPr>
              <w:t>8.6</w:t>
            </w:r>
          </w:p>
        </w:tc>
        <w:tc>
          <w:tcPr>
            <w:tcW w:w="1043" w:type="dxa"/>
            <w:tcBorders>
              <w:right w:val="single" w:sz="4" w:space="0" w:color="auto"/>
            </w:tcBorders>
            <w:vAlign w:val="center"/>
          </w:tcPr>
          <w:p w14:paraId="3EEE24D3" w14:textId="77777777" w:rsidR="00793719" w:rsidRDefault="00793719" w:rsidP="00793719">
            <w:pPr>
              <w:jc w:val="right"/>
              <w:rPr>
                <w:color w:val="000000"/>
                <w:sz w:val="16"/>
                <w:szCs w:val="16"/>
              </w:rPr>
            </w:pPr>
            <w:r>
              <w:rPr>
                <w:color w:val="000000"/>
                <w:sz w:val="16"/>
                <w:szCs w:val="16"/>
              </w:rPr>
              <w:t>(4.0, 13.3)</w:t>
            </w:r>
          </w:p>
        </w:tc>
        <w:tc>
          <w:tcPr>
            <w:tcW w:w="569" w:type="dxa"/>
            <w:tcBorders>
              <w:left w:val="single" w:sz="4" w:space="0" w:color="auto"/>
            </w:tcBorders>
            <w:vAlign w:val="center"/>
          </w:tcPr>
          <w:p w14:paraId="51079A94" w14:textId="77777777" w:rsidR="00793719" w:rsidRDefault="00793719" w:rsidP="00793719">
            <w:pPr>
              <w:jc w:val="right"/>
              <w:rPr>
                <w:color w:val="000000"/>
                <w:sz w:val="16"/>
                <w:szCs w:val="16"/>
              </w:rPr>
            </w:pPr>
            <w:r>
              <w:rPr>
                <w:color w:val="000000"/>
                <w:sz w:val="16"/>
                <w:szCs w:val="16"/>
              </w:rPr>
              <w:t>8</w:t>
            </w:r>
          </w:p>
        </w:tc>
        <w:tc>
          <w:tcPr>
            <w:tcW w:w="567" w:type="dxa"/>
            <w:vAlign w:val="center"/>
          </w:tcPr>
          <w:p w14:paraId="2BC1F722" w14:textId="77777777" w:rsidR="00793719" w:rsidRDefault="00793719" w:rsidP="00793719">
            <w:pPr>
              <w:jc w:val="right"/>
              <w:rPr>
                <w:color w:val="000000"/>
                <w:sz w:val="16"/>
                <w:szCs w:val="16"/>
              </w:rPr>
            </w:pPr>
            <w:r>
              <w:rPr>
                <w:color w:val="000000"/>
                <w:sz w:val="16"/>
                <w:szCs w:val="16"/>
              </w:rPr>
              <w:t>8.6</w:t>
            </w:r>
          </w:p>
        </w:tc>
        <w:tc>
          <w:tcPr>
            <w:tcW w:w="1123" w:type="dxa"/>
            <w:tcBorders>
              <w:right w:val="single" w:sz="4" w:space="0" w:color="auto"/>
            </w:tcBorders>
            <w:vAlign w:val="center"/>
          </w:tcPr>
          <w:p w14:paraId="4B32A53F" w14:textId="77777777" w:rsidR="00793719" w:rsidRDefault="00793719" w:rsidP="00793719">
            <w:pPr>
              <w:jc w:val="right"/>
              <w:rPr>
                <w:color w:val="000000"/>
                <w:sz w:val="16"/>
                <w:szCs w:val="16"/>
              </w:rPr>
            </w:pPr>
            <w:r>
              <w:rPr>
                <w:color w:val="000000"/>
                <w:sz w:val="16"/>
                <w:szCs w:val="16"/>
              </w:rPr>
              <w:t>(1.8, 15.4)</w:t>
            </w:r>
          </w:p>
        </w:tc>
        <w:tc>
          <w:tcPr>
            <w:tcW w:w="536" w:type="dxa"/>
            <w:tcBorders>
              <w:left w:val="single" w:sz="4" w:space="0" w:color="auto"/>
            </w:tcBorders>
            <w:vAlign w:val="center"/>
          </w:tcPr>
          <w:p w14:paraId="70FA502E" w14:textId="77777777" w:rsidR="00793719" w:rsidRDefault="00793719" w:rsidP="00793719">
            <w:pPr>
              <w:jc w:val="right"/>
              <w:rPr>
                <w:color w:val="000000"/>
                <w:sz w:val="16"/>
                <w:szCs w:val="16"/>
              </w:rPr>
            </w:pPr>
            <w:r>
              <w:rPr>
                <w:color w:val="000000"/>
                <w:sz w:val="16"/>
                <w:szCs w:val="16"/>
              </w:rPr>
              <w:t>6</w:t>
            </w:r>
          </w:p>
        </w:tc>
        <w:tc>
          <w:tcPr>
            <w:tcW w:w="576" w:type="dxa"/>
            <w:vAlign w:val="center"/>
          </w:tcPr>
          <w:p w14:paraId="4DE2DCF0" w14:textId="77777777" w:rsidR="00793719" w:rsidRDefault="00793719" w:rsidP="00793719">
            <w:pPr>
              <w:jc w:val="right"/>
              <w:rPr>
                <w:color w:val="000000"/>
                <w:sz w:val="16"/>
                <w:szCs w:val="16"/>
              </w:rPr>
            </w:pPr>
            <w:r>
              <w:rPr>
                <w:color w:val="000000"/>
                <w:sz w:val="16"/>
                <w:szCs w:val="16"/>
              </w:rPr>
              <w:t>7.4</w:t>
            </w:r>
          </w:p>
        </w:tc>
        <w:tc>
          <w:tcPr>
            <w:tcW w:w="1123" w:type="dxa"/>
            <w:tcBorders>
              <w:right w:val="single" w:sz="4" w:space="0" w:color="auto"/>
            </w:tcBorders>
            <w:vAlign w:val="center"/>
          </w:tcPr>
          <w:p w14:paraId="1342B024" w14:textId="77777777" w:rsidR="00793719" w:rsidRDefault="00793719" w:rsidP="00793719">
            <w:pPr>
              <w:jc w:val="right"/>
              <w:rPr>
                <w:color w:val="000000"/>
                <w:sz w:val="16"/>
                <w:szCs w:val="16"/>
              </w:rPr>
            </w:pPr>
            <w:r>
              <w:rPr>
                <w:color w:val="000000"/>
                <w:sz w:val="16"/>
                <w:szCs w:val="16"/>
              </w:rPr>
              <w:t>(2.8, 11.9)</w:t>
            </w:r>
          </w:p>
        </w:tc>
        <w:tc>
          <w:tcPr>
            <w:tcW w:w="536" w:type="dxa"/>
            <w:tcBorders>
              <w:left w:val="single" w:sz="4" w:space="0" w:color="auto"/>
            </w:tcBorders>
            <w:vAlign w:val="center"/>
          </w:tcPr>
          <w:p w14:paraId="006C1D77" w14:textId="77777777" w:rsidR="00793719" w:rsidRDefault="00793719" w:rsidP="00793719">
            <w:pPr>
              <w:jc w:val="right"/>
              <w:rPr>
                <w:color w:val="000000"/>
                <w:sz w:val="16"/>
                <w:szCs w:val="16"/>
              </w:rPr>
            </w:pPr>
            <w:r>
              <w:rPr>
                <w:color w:val="000000"/>
                <w:sz w:val="16"/>
                <w:szCs w:val="16"/>
              </w:rPr>
              <w:t>5</w:t>
            </w:r>
          </w:p>
        </w:tc>
        <w:tc>
          <w:tcPr>
            <w:tcW w:w="567" w:type="dxa"/>
            <w:vAlign w:val="center"/>
          </w:tcPr>
          <w:p w14:paraId="4EB2FD2D" w14:textId="77777777" w:rsidR="00793719" w:rsidRDefault="00793719" w:rsidP="00793719">
            <w:pPr>
              <w:jc w:val="right"/>
              <w:rPr>
                <w:color w:val="000000"/>
                <w:sz w:val="16"/>
                <w:szCs w:val="16"/>
              </w:rPr>
            </w:pPr>
            <w:r>
              <w:rPr>
                <w:color w:val="000000"/>
                <w:sz w:val="16"/>
                <w:szCs w:val="16"/>
              </w:rPr>
              <w:t>7.4</w:t>
            </w:r>
          </w:p>
        </w:tc>
        <w:tc>
          <w:tcPr>
            <w:tcW w:w="1123" w:type="dxa"/>
            <w:vAlign w:val="center"/>
          </w:tcPr>
          <w:p w14:paraId="43A781DD" w14:textId="77777777" w:rsidR="00793719" w:rsidRDefault="00793719" w:rsidP="00793719">
            <w:pPr>
              <w:jc w:val="right"/>
              <w:rPr>
                <w:color w:val="000000"/>
                <w:sz w:val="16"/>
                <w:szCs w:val="16"/>
              </w:rPr>
            </w:pPr>
            <w:r>
              <w:rPr>
                <w:color w:val="000000"/>
                <w:sz w:val="16"/>
                <w:szCs w:val="16"/>
              </w:rPr>
              <w:t>(0.4, 14.4)</w:t>
            </w:r>
          </w:p>
        </w:tc>
      </w:tr>
      <w:tr w:rsidR="00793719" w:rsidRPr="007B4EF8" w14:paraId="05F51E62" w14:textId="77777777" w:rsidTr="00793719">
        <w:trPr>
          <w:jc w:val="center"/>
        </w:trPr>
        <w:tc>
          <w:tcPr>
            <w:tcW w:w="2127" w:type="dxa"/>
          </w:tcPr>
          <w:p w14:paraId="53BAF0CA" w14:textId="77777777" w:rsidR="00793719" w:rsidRDefault="00793719" w:rsidP="00793719">
            <w:pPr>
              <w:spacing w:before="20" w:after="20"/>
              <w:ind w:left="34"/>
              <w:rPr>
                <w:rFonts w:eastAsiaTheme="minorEastAsia"/>
                <w:sz w:val="16"/>
                <w:szCs w:val="16"/>
                <w:lang w:eastAsia="en-US"/>
              </w:rPr>
            </w:pPr>
            <w:r>
              <w:rPr>
                <w:rFonts w:eastAsiaTheme="minorEastAsia"/>
                <w:sz w:val="16"/>
                <w:szCs w:val="16"/>
                <w:lang w:eastAsia="en-US"/>
              </w:rPr>
              <w:t>31 - 60 minutes</w:t>
            </w:r>
          </w:p>
        </w:tc>
        <w:tc>
          <w:tcPr>
            <w:tcW w:w="2379" w:type="dxa"/>
          </w:tcPr>
          <w:p w14:paraId="45B45CA2"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vAlign w:val="center"/>
          </w:tcPr>
          <w:p w14:paraId="3352983B" w14:textId="77777777" w:rsidR="00793719" w:rsidRDefault="00793719" w:rsidP="00793719">
            <w:pPr>
              <w:jc w:val="right"/>
              <w:rPr>
                <w:color w:val="000000"/>
                <w:sz w:val="16"/>
                <w:szCs w:val="16"/>
              </w:rPr>
            </w:pPr>
            <w:r>
              <w:rPr>
                <w:color w:val="000000"/>
                <w:sz w:val="16"/>
                <w:szCs w:val="16"/>
              </w:rPr>
              <w:t>95</w:t>
            </w:r>
          </w:p>
        </w:tc>
        <w:tc>
          <w:tcPr>
            <w:tcW w:w="496" w:type="dxa"/>
            <w:vAlign w:val="center"/>
          </w:tcPr>
          <w:p w14:paraId="02A6E00F" w14:textId="77777777" w:rsidR="00793719" w:rsidRDefault="00793719" w:rsidP="00793719">
            <w:pPr>
              <w:jc w:val="right"/>
              <w:rPr>
                <w:color w:val="000000"/>
                <w:sz w:val="16"/>
                <w:szCs w:val="16"/>
              </w:rPr>
            </w:pPr>
            <w:r>
              <w:rPr>
                <w:color w:val="000000"/>
                <w:sz w:val="16"/>
                <w:szCs w:val="16"/>
              </w:rPr>
              <w:t>64.4</w:t>
            </w:r>
          </w:p>
        </w:tc>
        <w:tc>
          <w:tcPr>
            <w:tcW w:w="1043" w:type="dxa"/>
            <w:tcBorders>
              <w:right w:val="single" w:sz="4" w:space="0" w:color="auto"/>
            </w:tcBorders>
            <w:vAlign w:val="center"/>
          </w:tcPr>
          <w:p w14:paraId="56EE6402" w14:textId="77777777" w:rsidR="00793719" w:rsidRDefault="00793719" w:rsidP="00793719">
            <w:pPr>
              <w:jc w:val="right"/>
              <w:rPr>
                <w:color w:val="000000"/>
                <w:sz w:val="16"/>
                <w:szCs w:val="16"/>
              </w:rPr>
            </w:pPr>
            <w:r>
              <w:rPr>
                <w:color w:val="000000"/>
                <w:sz w:val="16"/>
                <w:szCs w:val="16"/>
              </w:rPr>
              <w:t>(55.6, 73.2)</w:t>
            </w:r>
          </w:p>
        </w:tc>
        <w:tc>
          <w:tcPr>
            <w:tcW w:w="569" w:type="dxa"/>
            <w:tcBorders>
              <w:left w:val="single" w:sz="4" w:space="0" w:color="auto"/>
            </w:tcBorders>
            <w:vAlign w:val="center"/>
          </w:tcPr>
          <w:p w14:paraId="127F824A" w14:textId="77777777" w:rsidR="00793719" w:rsidRDefault="00793719" w:rsidP="00793719">
            <w:pPr>
              <w:jc w:val="right"/>
              <w:rPr>
                <w:color w:val="000000"/>
                <w:sz w:val="16"/>
                <w:szCs w:val="16"/>
              </w:rPr>
            </w:pPr>
            <w:r>
              <w:rPr>
                <w:color w:val="000000"/>
                <w:sz w:val="16"/>
                <w:szCs w:val="16"/>
              </w:rPr>
              <w:t>48</w:t>
            </w:r>
          </w:p>
        </w:tc>
        <w:tc>
          <w:tcPr>
            <w:tcW w:w="567" w:type="dxa"/>
            <w:vAlign w:val="center"/>
          </w:tcPr>
          <w:p w14:paraId="40B60808" w14:textId="77777777" w:rsidR="00793719" w:rsidRDefault="00793719" w:rsidP="00793719">
            <w:pPr>
              <w:jc w:val="right"/>
              <w:rPr>
                <w:color w:val="000000"/>
                <w:sz w:val="16"/>
                <w:szCs w:val="16"/>
              </w:rPr>
            </w:pPr>
            <w:r>
              <w:rPr>
                <w:color w:val="000000"/>
                <w:sz w:val="16"/>
                <w:szCs w:val="16"/>
              </w:rPr>
              <w:t>64.2</w:t>
            </w:r>
          </w:p>
        </w:tc>
        <w:tc>
          <w:tcPr>
            <w:tcW w:w="1123" w:type="dxa"/>
            <w:tcBorders>
              <w:right w:val="single" w:sz="4" w:space="0" w:color="auto"/>
            </w:tcBorders>
            <w:vAlign w:val="center"/>
          </w:tcPr>
          <w:p w14:paraId="225EE8C2" w14:textId="77777777" w:rsidR="00793719" w:rsidRDefault="00793719" w:rsidP="00793719">
            <w:pPr>
              <w:jc w:val="right"/>
              <w:rPr>
                <w:color w:val="000000"/>
                <w:sz w:val="16"/>
                <w:szCs w:val="16"/>
              </w:rPr>
            </w:pPr>
            <w:r>
              <w:rPr>
                <w:color w:val="000000"/>
                <w:sz w:val="16"/>
                <w:szCs w:val="16"/>
              </w:rPr>
              <w:t>(49.9, 78.4)</w:t>
            </w:r>
          </w:p>
        </w:tc>
        <w:tc>
          <w:tcPr>
            <w:tcW w:w="536" w:type="dxa"/>
            <w:tcBorders>
              <w:left w:val="single" w:sz="4" w:space="0" w:color="auto"/>
            </w:tcBorders>
            <w:vAlign w:val="center"/>
          </w:tcPr>
          <w:p w14:paraId="2E1429C1" w14:textId="77777777" w:rsidR="00793719" w:rsidRDefault="00793719" w:rsidP="00793719">
            <w:pPr>
              <w:jc w:val="right"/>
              <w:rPr>
                <w:color w:val="000000"/>
                <w:sz w:val="16"/>
                <w:szCs w:val="16"/>
              </w:rPr>
            </w:pPr>
            <w:r>
              <w:rPr>
                <w:color w:val="000000"/>
                <w:sz w:val="16"/>
                <w:szCs w:val="16"/>
              </w:rPr>
              <w:t>35</w:t>
            </w:r>
          </w:p>
        </w:tc>
        <w:tc>
          <w:tcPr>
            <w:tcW w:w="576" w:type="dxa"/>
            <w:vAlign w:val="center"/>
          </w:tcPr>
          <w:p w14:paraId="56928B55" w14:textId="77777777" w:rsidR="00793719" w:rsidRDefault="00793719" w:rsidP="00793719">
            <w:pPr>
              <w:jc w:val="right"/>
              <w:rPr>
                <w:color w:val="000000"/>
                <w:sz w:val="16"/>
                <w:szCs w:val="16"/>
              </w:rPr>
            </w:pPr>
            <w:r>
              <w:rPr>
                <w:color w:val="000000"/>
                <w:sz w:val="16"/>
                <w:szCs w:val="16"/>
              </w:rPr>
              <w:t>65.3</w:t>
            </w:r>
          </w:p>
        </w:tc>
        <w:tc>
          <w:tcPr>
            <w:tcW w:w="1123" w:type="dxa"/>
            <w:tcBorders>
              <w:right w:val="single" w:sz="4" w:space="0" w:color="auto"/>
            </w:tcBorders>
            <w:vAlign w:val="center"/>
          </w:tcPr>
          <w:p w14:paraId="4EF81AE3" w14:textId="77777777" w:rsidR="00793719" w:rsidRDefault="00793719" w:rsidP="00793719">
            <w:pPr>
              <w:jc w:val="right"/>
              <w:rPr>
                <w:color w:val="000000"/>
                <w:sz w:val="16"/>
                <w:szCs w:val="16"/>
              </w:rPr>
            </w:pPr>
            <w:r>
              <w:rPr>
                <w:color w:val="000000"/>
                <w:sz w:val="16"/>
                <w:szCs w:val="16"/>
              </w:rPr>
              <w:t>(52.5, 78.1)</w:t>
            </w:r>
          </w:p>
        </w:tc>
        <w:tc>
          <w:tcPr>
            <w:tcW w:w="536" w:type="dxa"/>
            <w:tcBorders>
              <w:left w:val="single" w:sz="4" w:space="0" w:color="auto"/>
            </w:tcBorders>
            <w:vAlign w:val="center"/>
          </w:tcPr>
          <w:p w14:paraId="1F2C5C98" w14:textId="77777777" w:rsidR="00793719" w:rsidRDefault="00793719" w:rsidP="00793719">
            <w:pPr>
              <w:jc w:val="right"/>
              <w:rPr>
                <w:color w:val="000000"/>
                <w:sz w:val="16"/>
                <w:szCs w:val="16"/>
              </w:rPr>
            </w:pPr>
            <w:r>
              <w:rPr>
                <w:color w:val="000000"/>
                <w:sz w:val="16"/>
                <w:szCs w:val="16"/>
              </w:rPr>
              <w:t>37</w:t>
            </w:r>
          </w:p>
        </w:tc>
        <w:tc>
          <w:tcPr>
            <w:tcW w:w="567" w:type="dxa"/>
            <w:vAlign w:val="center"/>
          </w:tcPr>
          <w:p w14:paraId="03E8FCCD" w14:textId="77777777" w:rsidR="00793719" w:rsidRDefault="00793719" w:rsidP="00793719">
            <w:pPr>
              <w:jc w:val="right"/>
              <w:rPr>
                <w:color w:val="000000"/>
                <w:sz w:val="16"/>
                <w:szCs w:val="16"/>
              </w:rPr>
            </w:pPr>
            <w:r>
              <w:rPr>
                <w:color w:val="000000"/>
                <w:sz w:val="16"/>
                <w:szCs w:val="16"/>
              </w:rPr>
              <w:t>64.0</w:t>
            </w:r>
          </w:p>
        </w:tc>
        <w:tc>
          <w:tcPr>
            <w:tcW w:w="1123" w:type="dxa"/>
            <w:vAlign w:val="center"/>
          </w:tcPr>
          <w:p w14:paraId="1C370630" w14:textId="77777777" w:rsidR="00793719" w:rsidRDefault="00793719" w:rsidP="00793719">
            <w:pPr>
              <w:jc w:val="right"/>
              <w:rPr>
                <w:color w:val="000000"/>
                <w:sz w:val="16"/>
                <w:szCs w:val="16"/>
              </w:rPr>
            </w:pPr>
            <w:r>
              <w:rPr>
                <w:color w:val="000000"/>
                <w:sz w:val="16"/>
                <w:szCs w:val="16"/>
              </w:rPr>
              <w:t>(46.5, 81.6)</w:t>
            </w:r>
          </w:p>
        </w:tc>
      </w:tr>
      <w:tr w:rsidR="00793719" w:rsidRPr="007B4EF8" w14:paraId="3DAD5475" w14:textId="77777777" w:rsidTr="005E3FD2">
        <w:trPr>
          <w:jc w:val="center"/>
        </w:trPr>
        <w:tc>
          <w:tcPr>
            <w:tcW w:w="2127" w:type="dxa"/>
          </w:tcPr>
          <w:p w14:paraId="279B38E5" w14:textId="77777777" w:rsidR="00793719" w:rsidRDefault="00793719" w:rsidP="00793719">
            <w:pPr>
              <w:spacing w:before="20" w:after="20"/>
              <w:ind w:left="34"/>
              <w:rPr>
                <w:rFonts w:eastAsiaTheme="minorEastAsia"/>
                <w:sz w:val="16"/>
                <w:szCs w:val="16"/>
                <w:lang w:eastAsia="en-US"/>
              </w:rPr>
            </w:pPr>
          </w:p>
        </w:tc>
        <w:tc>
          <w:tcPr>
            <w:tcW w:w="2379" w:type="dxa"/>
          </w:tcPr>
          <w:p w14:paraId="08E271E0"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vAlign w:val="center"/>
          </w:tcPr>
          <w:p w14:paraId="72375931" w14:textId="77777777" w:rsidR="00793719" w:rsidRDefault="00793719" w:rsidP="00793719">
            <w:pPr>
              <w:jc w:val="right"/>
              <w:rPr>
                <w:color w:val="000000"/>
                <w:sz w:val="16"/>
                <w:szCs w:val="16"/>
              </w:rPr>
            </w:pPr>
            <w:r>
              <w:rPr>
                <w:color w:val="000000"/>
                <w:sz w:val="16"/>
                <w:szCs w:val="16"/>
              </w:rPr>
              <w:t>34</w:t>
            </w:r>
          </w:p>
        </w:tc>
        <w:tc>
          <w:tcPr>
            <w:tcW w:w="496" w:type="dxa"/>
            <w:vAlign w:val="center"/>
          </w:tcPr>
          <w:p w14:paraId="50659D31" w14:textId="77777777" w:rsidR="00793719" w:rsidRDefault="00793719" w:rsidP="00793719">
            <w:pPr>
              <w:jc w:val="right"/>
              <w:rPr>
                <w:color w:val="000000"/>
                <w:sz w:val="16"/>
                <w:szCs w:val="16"/>
              </w:rPr>
            </w:pPr>
            <w:r>
              <w:rPr>
                <w:color w:val="000000"/>
                <w:sz w:val="16"/>
                <w:szCs w:val="16"/>
              </w:rPr>
              <w:t>23.0</w:t>
            </w:r>
          </w:p>
        </w:tc>
        <w:tc>
          <w:tcPr>
            <w:tcW w:w="1043" w:type="dxa"/>
            <w:tcBorders>
              <w:right w:val="single" w:sz="4" w:space="0" w:color="auto"/>
            </w:tcBorders>
            <w:vAlign w:val="center"/>
          </w:tcPr>
          <w:p w14:paraId="654C4C52" w14:textId="77777777" w:rsidR="00793719" w:rsidRDefault="00793719" w:rsidP="00793719">
            <w:pPr>
              <w:jc w:val="right"/>
              <w:rPr>
                <w:color w:val="000000"/>
                <w:sz w:val="16"/>
                <w:szCs w:val="16"/>
              </w:rPr>
            </w:pPr>
            <w:r>
              <w:rPr>
                <w:color w:val="000000"/>
                <w:sz w:val="16"/>
                <w:szCs w:val="16"/>
              </w:rPr>
              <w:t>(14.8, 31.2)</w:t>
            </w:r>
          </w:p>
        </w:tc>
        <w:tc>
          <w:tcPr>
            <w:tcW w:w="569" w:type="dxa"/>
            <w:tcBorders>
              <w:left w:val="single" w:sz="4" w:space="0" w:color="auto"/>
            </w:tcBorders>
            <w:vAlign w:val="center"/>
          </w:tcPr>
          <w:p w14:paraId="3B18D8BB" w14:textId="77777777" w:rsidR="00793719" w:rsidRDefault="00793719" w:rsidP="00793719">
            <w:pPr>
              <w:jc w:val="right"/>
              <w:rPr>
                <w:color w:val="000000"/>
                <w:sz w:val="16"/>
                <w:szCs w:val="16"/>
              </w:rPr>
            </w:pPr>
            <w:r>
              <w:rPr>
                <w:color w:val="000000"/>
                <w:sz w:val="16"/>
                <w:szCs w:val="16"/>
              </w:rPr>
              <w:t>18</w:t>
            </w:r>
          </w:p>
        </w:tc>
        <w:tc>
          <w:tcPr>
            <w:tcW w:w="567" w:type="dxa"/>
            <w:vAlign w:val="center"/>
          </w:tcPr>
          <w:p w14:paraId="433F49D6" w14:textId="77777777" w:rsidR="00793719" w:rsidRDefault="00793719" w:rsidP="00793719">
            <w:pPr>
              <w:jc w:val="right"/>
              <w:rPr>
                <w:color w:val="000000"/>
                <w:sz w:val="16"/>
                <w:szCs w:val="16"/>
              </w:rPr>
            </w:pPr>
            <w:r>
              <w:rPr>
                <w:color w:val="000000"/>
                <w:sz w:val="16"/>
                <w:szCs w:val="16"/>
              </w:rPr>
              <w:t>23.7</w:t>
            </w:r>
          </w:p>
        </w:tc>
        <w:tc>
          <w:tcPr>
            <w:tcW w:w="1123" w:type="dxa"/>
            <w:tcBorders>
              <w:right w:val="single" w:sz="4" w:space="0" w:color="auto"/>
            </w:tcBorders>
            <w:vAlign w:val="center"/>
          </w:tcPr>
          <w:p w14:paraId="6E0070A7" w14:textId="77777777" w:rsidR="00793719" w:rsidRDefault="00793719" w:rsidP="00793719">
            <w:pPr>
              <w:jc w:val="right"/>
              <w:rPr>
                <w:color w:val="000000"/>
                <w:sz w:val="16"/>
                <w:szCs w:val="16"/>
              </w:rPr>
            </w:pPr>
            <w:r>
              <w:rPr>
                <w:color w:val="000000"/>
                <w:sz w:val="16"/>
                <w:szCs w:val="16"/>
              </w:rPr>
              <w:t>(12.5, 35)</w:t>
            </w:r>
          </w:p>
        </w:tc>
        <w:tc>
          <w:tcPr>
            <w:tcW w:w="536" w:type="dxa"/>
            <w:tcBorders>
              <w:left w:val="single" w:sz="4" w:space="0" w:color="auto"/>
            </w:tcBorders>
            <w:vAlign w:val="center"/>
          </w:tcPr>
          <w:p w14:paraId="21EEB5AC" w14:textId="77777777" w:rsidR="00793719" w:rsidRDefault="00793719" w:rsidP="00793719">
            <w:pPr>
              <w:jc w:val="right"/>
              <w:rPr>
                <w:color w:val="000000"/>
                <w:sz w:val="16"/>
                <w:szCs w:val="16"/>
              </w:rPr>
            </w:pPr>
            <w:r>
              <w:rPr>
                <w:color w:val="000000"/>
                <w:sz w:val="16"/>
                <w:szCs w:val="16"/>
              </w:rPr>
              <w:t>8</w:t>
            </w:r>
          </w:p>
        </w:tc>
        <w:tc>
          <w:tcPr>
            <w:tcW w:w="576" w:type="dxa"/>
            <w:vAlign w:val="center"/>
          </w:tcPr>
          <w:p w14:paraId="5DBC5CD4" w14:textId="77777777" w:rsidR="00793719" w:rsidRDefault="00793719" w:rsidP="00793719">
            <w:pPr>
              <w:jc w:val="right"/>
              <w:rPr>
                <w:color w:val="000000"/>
                <w:sz w:val="16"/>
                <w:szCs w:val="16"/>
              </w:rPr>
            </w:pPr>
            <w:r>
              <w:rPr>
                <w:color w:val="000000"/>
                <w:sz w:val="16"/>
                <w:szCs w:val="16"/>
              </w:rPr>
              <w:t>15.9</w:t>
            </w:r>
          </w:p>
        </w:tc>
        <w:tc>
          <w:tcPr>
            <w:tcW w:w="1123" w:type="dxa"/>
            <w:tcBorders>
              <w:right w:val="single" w:sz="4" w:space="0" w:color="auto"/>
            </w:tcBorders>
            <w:vAlign w:val="center"/>
          </w:tcPr>
          <w:p w14:paraId="1E420696" w14:textId="77777777" w:rsidR="00793719" w:rsidRDefault="00793719" w:rsidP="00793719">
            <w:pPr>
              <w:jc w:val="right"/>
              <w:rPr>
                <w:color w:val="000000"/>
                <w:sz w:val="16"/>
                <w:szCs w:val="16"/>
              </w:rPr>
            </w:pPr>
            <w:r>
              <w:rPr>
                <w:color w:val="000000"/>
                <w:sz w:val="16"/>
                <w:szCs w:val="16"/>
              </w:rPr>
              <w:t>(6.2, 25.6)</w:t>
            </w:r>
          </w:p>
        </w:tc>
        <w:tc>
          <w:tcPr>
            <w:tcW w:w="536" w:type="dxa"/>
            <w:tcBorders>
              <w:left w:val="single" w:sz="4" w:space="0" w:color="auto"/>
            </w:tcBorders>
            <w:vAlign w:val="center"/>
          </w:tcPr>
          <w:p w14:paraId="66036C9A" w14:textId="77777777" w:rsidR="00793719" w:rsidRDefault="00793719" w:rsidP="00793719">
            <w:pPr>
              <w:jc w:val="right"/>
              <w:rPr>
                <w:color w:val="000000"/>
                <w:sz w:val="16"/>
                <w:szCs w:val="16"/>
              </w:rPr>
            </w:pPr>
            <w:r>
              <w:rPr>
                <w:color w:val="000000"/>
                <w:sz w:val="16"/>
                <w:szCs w:val="16"/>
              </w:rPr>
              <w:t>16</w:t>
            </w:r>
          </w:p>
        </w:tc>
        <w:tc>
          <w:tcPr>
            <w:tcW w:w="567" w:type="dxa"/>
            <w:vAlign w:val="center"/>
          </w:tcPr>
          <w:p w14:paraId="2C6A2E0F" w14:textId="77777777" w:rsidR="00793719" w:rsidRDefault="00793719" w:rsidP="00793719">
            <w:pPr>
              <w:jc w:val="right"/>
              <w:rPr>
                <w:color w:val="000000"/>
                <w:sz w:val="16"/>
                <w:szCs w:val="16"/>
              </w:rPr>
            </w:pPr>
            <w:r>
              <w:rPr>
                <w:color w:val="000000"/>
                <w:sz w:val="16"/>
                <w:szCs w:val="16"/>
              </w:rPr>
              <w:t>26.6</w:t>
            </w:r>
          </w:p>
        </w:tc>
        <w:tc>
          <w:tcPr>
            <w:tcW w:w="1123" w:type="dxa"/>
            <w:vAlign w:val="center"/>
          </w:tcPr>
          <w:p w14:paraId="0075AE53" w14:textId="77777777" w:rsidR="00793719" w:rsidRDefault="00793719" w:rsidP="00793719">
            <w:pPr>
              <w:jc w:val="right"/>
              <w:rPr>
                <w:color w:val="000000"/>
                <w:sz w:val="16"/>
                <w:szCs w:val="16"/>
              </w:rPr>
            </w:pPr>
            <w:r>
              <w:rPr>
                <w:color w:val="000000"/>
                <w:sz w:val="16"/>
                <w:szCs w:val="16"/>
              </w:rPr>
              <w:t>(9.4, 43.7)</w:t>
            </w:r>
          </w:p>
        </w:tc>
      </w:tr>
      <w:tr w:rsidR="00793719" w:rsidRPr="007B4EF8" w14:paraId="466CA2F0" w14:textId="77777777" w:rsidTr="005E3FD2">
        <w:trPr>
          <w:jc w:val="center"/>
        </w:trPr>
        <w:tc>
          <w:tcPr>
            <w:tcW w:w="2127" w:type="dxa"/>
          </w:tcPr>
          <w:p w14:paraId="3D8DF016" w14:textId="77777777" w:rsidR="00793719" w:rsidRDefault="00793719" w:rsidP="00793719">
            <w:pPr>
              <w:spacing w:before="20" w:after="20"/>
              <w:ind w:left="34"/>
              <w:rPr>
                <w:rFonts w:eastAsiaTheme="minorEastAsia"/>
                <w:sz w:val="16"/>
                <w:szCs w:val="16"/>
                <w:lang w:eastAsia="en-US"/>
              </w:rPr>
            </w:pPr>
          </w:p>
        </w:tc>
        <w:tc>
          <w:tcPr>
            <w:tcW w:w="2379" w:type="dxa"/>
          </w:tcPr>
          <w:p w14:paraId="09404A4C"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vAlign w:val="center"/>
          </w:tcPr>
          <w:p w14:paraId="026EF1F9" w14:textId="77777777" w:rsidR="00793719" w:rsidRDefault="00793719" w:rsidP="00793719">
            <w:pPr>
              <w:jc w:val="right"/>
              <w:rPr>
                <w:color w:val="000000"/>
                <w:sz w:val="16"/>
                <w:szCs w:val="16"/>
              </w:rPr>
            </w:pPr>
            <w:r>
              <w:rPr>
                <w:color w:val="000000"/>
                <w:sz w:val="16"/>
                <w:szCs w:val="16"/>
              </w:rPr>
              <w:t>19</w:t>
            </w:r>
          </w:p>
        </w:tc>
        <w:tc>
          <w:tcPr>
            <w:tcW w:w="496" w:type="dxa"/>
            <w:vAlign w:val="center"/>
          </w:tcPr>
          <w:p w14:paraId="75457EF2" w14:textId="77777777" w:rsidR="00793719" w:rsidRDefault="00793719" w:rsidP="00793719">
            <w:pPr>
              <w:jc w:val="right"/>
              <w:rPr>
                <w:color w:val="000000"/>
                <w:sz w:val="16"/>
                <w:szCs w:val="16"/>
              </w:rPr>
            </w:pPr>
            <w:r>
              <w:rPr>
                <w:color w:val="000000"/>
                <w:sz w:val="16"/>
                <w:szCs w:val="16"/>
              </w:rPr>
              <w:t>12.6</w:t>
            </w:r>
          </w:p>
        </w:tc>
        <w:tc>
          <w:tcPr>
            <w:tcW w:w="1043" w:type="dxa"/>
            <w:tcBorders>
              <w:right w:val="single" w:sz="4" w:space="0" w:color="auto"/>
            </w:tcBorders>
            <w:vAlign w:val="center"/>
          </w:tcPr>
          <w:p w14:paraId="0624118A" w14:textId="77777777" w:rsidR="00793719" w:rsidRDefault="00793719" w:rsidP="00793719">
            <w:pPr>
              <w:jc w:val="right"/>
              <w:rPr>
                <w:color w:val="000000"/>
                <w:sz w:val="16"/>
                <w:szCs w:val="16"/>
              </w:rPr>
            </w:pPr>
            <w:r>
              <w:rPr>
                <w:color w:val="000000"/>
                <w:sz w:val="16"/>
                <w:szCs w:val="16"/>
              </w:rPr>
              <w:t>(6.6, 18.6)</w:t>
            </w:r>
          </w:p>
        </w:tc>
        <w:tc>
          <w:tcPr>
            <w:tcW w:w="569" w:type="dxa"/>
            <w:tcBorders>
              <w:left w:val="single" w:sz="4" w:space="0" w:color="auto"/>
            </w:tcBorders>
            <w:vAlign w:val="center"/>
          </w:tcPr>
          <w:p w14:paraId="30C19CD9" w14:textId="77777777" w:rsidR="00793719" w:rsidRDefault="00793719" w:rsidP="00793719">
            <w:pPr>
              <w:jc w:val="right"/>
              <w:rPr>
                <w:color w:val="000000"/>
                <w:sz w:val="16"/>
                <w:szCs w:val="16"/>
              </w:rPr>
            </w:pPr>
            <w:r>
              <w:rPr>
                <w:color w:val="000000"/>
                <w:sz w:val="16"/>
                <w:szCs w:val="16"/>
              </w:rPr>
              <w:t>9</w:t>
            </w:r>
          </w:p>
        </w:tc>
        <w:tc>
          <w:tcPr>
            <w:tcW w:w="567" w:type="dxa"/>
            <w:vAlign w:val="center"/>
          </w:tcPr>
          <w:p w14:paraId="0EAAEFC6" w14:textId="77777777" w:rsidR="00793719" w:rsidRDefault="00793719" w:rsidP="00793719">
            <w:pPr>
              <w:jc w:val="right"/>
              <w:rPr>
                <w:color w:val="000000"/>
                <w:sz w:val="16"/>
                <w:szCs w:val="16"/>
              </w:rPr>
            </w:pPr>
            <w:r>
              <w:rPr>
                <w:color w:val="000000"/>
                <w:sz w:val="16"/>
                <w:szCs w:val="16"/>
              </w:rPr>
              <w:t>12.1</w:t>
            </w:r>
          </w:p>
        </w:tc>
        <w:tc>
          <w:tcPr>
            <w:tcW w:w="1123" w:type="dxa"/>
            <w:tcBorders>
              <w:right w:val="single" w:sz="4" w:space="0" w:color="auto"/>
            </w:tcBorders>
            <w:vAlign w:val="center"/>
          </w:tcPr>
          <w:p w14:paraId="4EBD4895" w14:textId="77777777" w:rsidR="00793719" w:rsidRDefault="00793719" w:rsidP="00793719">
            <w:pPr>
              <w:jc w:val="right"/>
              <w:rPr>
                <w:color w:val="000000"/>
                <w:sz w:val="16"/>
                <w:szCs w:val="16"/>
              </w:rPr>
            </w:pPr>
            <w:r>
              <w:rPr>
                <w:color w:val="000000"/>
                <w:sz w:val="16"/>
                <w:szCs w:val="16"/>
              </w:rPr>
              <w:t>(3.9, 20.3)</w:t>
            </w:r>
          </w:p>
        </w:tc>
        <w:tc>
          <w:tcPr>
            <w:tcW w:w="536" w:type="dxa"/>
            <w:tcBorders>
              <w:left w:val="single" w:sz="4" w:space="0" w:color="auto"/>
            </w:tcBorders>
            <w:vAlign w:val="center"/>
          </w:tcPr>
          <w:p w14:paraId="4E966B2C" w14:textId="77777777" w:rsidR="00793719" w:rsidRDefault="00793719" w:rsidP="00793719">
            <w:pPr>
              <w:jc w:val="right"/>
              <w:rPr>
                <w:color w:val="000000"/>
                <w:sz w:val="16"/>
                <w:szCs w:val="16"/>
              </w:rPr>
            </w:pPr>
            <w:r>
              <w:rPr>
                <w:color w:val="000000"/>
                <w:sz w:val="16"/>
                <w:szCs w:val="16"/>
              </w:rPr>
              <w:t>10</w:t>
            </w:r>
          </w:p>
        </w:tc>
        <w:tc>
          <w:tcPr>
            <w:tcW w:w="576" w:type="dxa"/>
            <w:vAlign w:val="center"/>
          </w:tcPr>
          <w:p w14:paraId="7B9A582A" w14:textId="77777777" w:rsidR="00793719" w:rsidRDefault="00793719" w:rsidP="00793719">
            <w:pPr>
              <w:jc w:val="right"/>
              <w:rPr>
                <w:color w:val="000000"/>
                <w:sz w:val="16"/>
                <w:szCs w:val="16"/>
              </w:rPr>
            </w:pPr>
            <w:r>
              <w:rPr>
                <w:color w:val="000000"/>
                <w:sz w:val="16"/>
                <w:szCs w:val="16"/>
              </w:rPr>
              <w:t>18.8</w:t>
            </w:r>
          </w:p>
        </w:tc>
        <w:tc>
          <w:tcPr>
            <w:tcW w:w="1123" w:type="dxa"/>
            <w:tcBorders>
              <w:right w:val="single" w:sz="4" w:space="0" w:color="auto"/>
            </w:tcBorders>
            <w:vAlign w:val="center"/>
          </w:tcPr>
          <w:p w14:paraId="6B3533A6" w14:textId="77777777" w:rsidR="00793719" w:rsidRDefault="00793719" w:rsidP="00793719">
            <w:pPr>
              <w:jc w:val="right"/>
              <w:rPr>
                <w:color w:val="000000"/>
                <w:sz w:val="16"/>
                <w:szCs w:val="16"/>
              </w:rPr>
            </w:pPr>
            <w:r>
              <w:rPr>
                <w:color w:val="000000"/>
                <w:sz w:val="16"/>
                <w:szCs w:val="16"/>
              </w:rPr>
              <w:t>(9.5, 28.2)</w:t>
            </w:r>
          </w:p>
        </w:tc>
        <w:tc>
          <w:tcPr>
            <w:tcW w:w="536" w:type="dxa"/>
            <w:tcBorders>
              <w:left w:val="single" w:sz="4" w:space="0" w:color="auto"/>
            </w:tcBorders>
            <w:vAlign w:val="center"/>
          </w:tcPr>
          <w:p w14:paraId="730B52D3" w14:textId="77777777" w:rsidR="00793719" w:rsidRDefault="00793719" w:rsidP="00793719">
            <w:pPr>
              <w:jc w:val="right"/>
              <w:rPr>
                <w:color w:val="000000"/>
                <w:sz w:val="16"/>
                <w:szCs w:val="16"/>
              </w:rPr>
            </w:pPr>
            <w:r>
              <w:rPr>
                <w:color w:val="000000"/>
                <w:sz w:val="16"/>
                <w:szCs w:val="16"/>
              </w:rPr>
              <w:t>5</w:t>
            </w:r>
          </w:p>
        </w:tc>
        <w:tc>
          <w:tcPr>
            <w:tcW w:w="567" w:type="dxa"/>
            <w:vAlign w:val="center"/>
          </w:tcPr>
          <w:p w14:paraId="14755BAC" w14:textId="77777777" w:rsidR="00793719" w:rsidRDefault="00793719" w:rsidP="00793719">
            <w:pPr>
              <w:jc w:val="right"/>
              <w:rPr>
                <w:color w:val="000000"/>
                <w:sz w:val="16"/>
                <w:szCs w:val="16"/>
              </w:rPr>
            </w:pPr>
            <w:r>
              <w:rPr>
                <w:color w:val="000000"/>
                <w:sz w:val="16"/>
                <w:szCs w:val="16"/>
              </w:rPr>
              <w:t>9.4</w:t>
            </w:r>
          </w:p>
        </w:tc>
        <w:tc>
          <w:tcPr>
            <w:tcW w:w="1123" w:type="dxa"/>
            <w:vAlign w:val="center"/>
          </w:tcPr>
          <w:p w14:paraId="754A8210" w14:textId="77777777" w:rsidR="00793719" w:rsidRDefault="00793719" w:rsidP="00793719">
            <w:pPr>
              <w:jc w:val="right"/>
              <w:rPr>
                <w:color w:val="000000"/>
                <w:sz w:val="16"/>
                <w:szCs w:val="16"/>
              </w:rPr>
            </w:pPr>
            <w:r>
              <w:rPr>
                <w:color w:val="000000"/>
                <w:sz w:val="16"/>
                <w:szCs w:val="16"/>
              </w:rPr>
              <w:t>(1.1, 17.7)</w:t>
            </w:r>
          </w:p>
        </w:tc>
      </w:tr>
      <w:tr w:rsidR="00793719" w:rsidRPr="007B4EF8" w14:paraId="23C195F3" w14:textId="77777777" w:rsidTr="005E3FD2">
        <w:trPr>
          <w:jc w:val="center"/>
        </w:trPr>
        <w:tc>
          <w:tcPr>
            <w:tcW w:w="2127" w:type="dxa"/>
          </w:tcPr>
          <w:p w14:paraId="50B3A63B" w14:textId="77777777" w:rsidR="00793719" w:rsidRDefault="00793719" w:rsidP="00793719">
            <w:pPr>
              <w:spacing w:before="20" w:after="20"/>
              <w:ind w:left="34"/>
              <w:rPr>
                <w:rFonts w:eastAsiaTheme="minorEastAsia"/>
                <w:sz w:val="16"/>
                <w:szCs w:val="16"/>
                <w:lang w:eastAsia="en-US"/>
              </w:rPr>
            </w:pPr>
            <w:r w:rsidRPr="00793719">
              <w:rPr>
                <w:rFonts w:eastAsiaTheme="minorEastAsia"/>
                <w:sz w:val="16"/>
                <w:szCs w:val="16"/>
                <w:lang w:eastAsia="en-US"/>
              </w:rPr>
              <w:t>&gt; 60 minutes</w:t>
            </w:r>
          </w:p>
        </w:tc>
        <w:tc>
          <w:tcPr>
            <w:tcW w:w="2379" w:type="dxa"/>
          </w:tcPr>
          <w:p w14:paraId="16FD057F"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vAlign w:val="center"/>
          </w:tcPr>
          <w:p w14:paraId="03C8875F" w14:textId="77777777" w:rsidR="00793719" w:rsidRDefault="00793719" w:rsidP="00793719">
            <w:pPr>
              <w:jc w:val="right"/>
              <w:rPr>
                <w:color w:val="000000"/>
                <w:sz w:val="16"/>
                <w:szCs w:val="16"/>
              </w:rPr>
            </w:pPr>
            <w:r>
              <w:rPr>
                <w:color w:val="000000"/>
                <w:sz w:val="16"/>
                <w:szCs w:val="16"/>
              </w:rPr>
              <w:t>47</w:t>
            </w:r>
          </w:p>
        </w:tc>
        <w:tc>
          <w:tcPr>
            <w:tcW w:w="496" w:type="dxa"/>
            <w:vAlign w:val="center"/>
          </w:tcPr>
          <w:p w14:paraId="3EFDFDC3" w14:textId="77777777" w:rsidR="00793719" w:rsidRDefault="00793719" w:rsidP="00793719">
            <w:pPr>
              <w:jc w:val="right"/>
              <w:rPr>
                <w:color w:val="000000"/>
                <w:sz w:val="16"/>
                <w:szCs w:val="16"/>
              </w:rPr>
            </w:pPr>
            <w:r>
              <w:rPr>
                <w:color w:val="000000"/>
                <w:sz w:val="16"/>
                <w:szCs w:val="16"/>
              </w:rPr>
              <w:t>45.3</w:t>
            </w:r>
          </w:p>
        </w:tc>
        <w:tc>
          <w:tcPr>
            <w:tcW w:w="1043" w:type="dxa"/>
            <w:tcBorders>
              <w:right w:val="single" w:sz="4" w:space="0" w:color="auto"/>
            </w:tcBorders>
            <w:vAlign w:val="center"/>
          </w:tcPr>
          <w:p w14:paraId="30FCE8CC" w14:textId="77777777" w:rsidR="00793719" w:rsidRDefault="00793719" w:rsidP="00793719">
            <w:pPr>
              <w:jc w:val="right"/>
              <w:rPr>
                <w:color w:val="000000"/>
                <w:sz w:val="16"/>
                <w:szCs w:val="16"/>
              </w:rPr>
            </w:pPr>
            <w:r>
              <w:rPr>
                <w:color w:val="000000"/>
                <w:sz w:val="16"/>
                <w:szCs w:val="16"/>
              </w:rPr>
              <w:t>(34.8, 55.8)</w:t>
            </w:r>
          </w:p>
        </w:tc>
        <w:tc>
          <w:tcPr>
            <w:tcW w:w="569" w:type="dxa"/>
            <w:tcBorders>
              <w:left w:val="single" w:sz="4" w:space="0" w:color="auto"/>
            </w:tcBorders>
            <w:vAlign w:val="center"/>
          </w:tcPr>
          <w:p w14:paraId="717BB478" w14:textId="77777777" w:rsidR="00793719" w:rsidRDefault="00793719" w:rsidP="00793719">
            <w:pPr>
              <w:jc w:val="right"/>
              <w:rPr>
                <w:color w:val="000000"/>
                <w:sz w:val="16"/>
                <w:szCs w:val="16"/>
              </w:rPr>
            </w:pPr>
            <w:r>
              <w:rPr>
                <w:color w:val="000000"/>
                <w:sz w:val="16"/>
                <w:szCs w:val="16"/>
              </w:rPr>
              <w:t>9</w:t>
            </w:r>
          </w:p>
        </w:tc>
        <w:tc>
          <w:tcPr>
            <w:tcW w:w="567" w:type="dxa"/>
            <w:vAlign w:val="center"/>
          </w:tcPr>
          <w:p w14:paraId="31C7620C" w14:textId="77777777" w:rsidR="00793719" w:rsidRDefault="00793719" w:rsidP="00793719">
            <w:pPr>
              <w:jc w:val="right"/>
              <w:rPr>
                <w:color w:val="000000"/>
                <w:sz w:val="16"/>
                <w:szCs w:val="16"/>
              </w:rPr>
            </w:pPr>
            <w:r>
              <w:rPr>
                <w:color w:val="000000"/>
                <w:sz w:val="16"/>
                <w:szCs w:val="16"/>
              </w:rPr>
              <w:t>21.9</w:t>
            </w:r>
          </w:p>
        </w:tc>
        <w:tc>
          <w:tcPr>
            <w:tcW w:w="1123" w:type="dxa"/>
            <w:tcBorders>
              <w:right w:val="single" w:sz="4" w:space="0" w:color="auto"/>
            </w:tcBorders>
            <w:vAlign w:val="center"/>
          </w:tcPr>
          <w:p w14:paraId="490922FA" w14:textId="77777777" w:rsidR="00793719" w:rsidRDefault="00793719" w:rsidP="00793719">
            <w:pPr>
              <w:jc w:val="right"/>
              <w:rPr>
                <w:color w:val="000000"/>
                <w:sz w:val="16"/>
                <w:szCs w:val="16"/>
              </w:rPr>
            </w:pPr>
            <w:r>
              <w:rPr>
                <w:color w:val="000000"/>
                <w:sz w:val="16"/>
                <w:szCs w:val="16"/>
              </w:rPr>
              <w:t>(8.8, 35.0)</w:t>
            </w:r>
          </w:p>
        </w:tc>
        <w:tc>
          <w:tcPr>
            <w:tcW w:w="536" w:type="dxa"/>
            <w:tcBorders>
              <w:left w:val="single" w:sz="4" w:space="0" w:color="auto"/>
            </w:tcBorders>
            <w:vAlign w:val="center"/>
          </w:tcPr>
          <w:p w14:paraId="7E8FA8A2" w14:textId="77777777" w:rsidR="00793719" w:rsidRDefault="00793719" w:rsidP="00793719">
            <w:pPr>
              <w:jc w:val="right"/>
              <w:rPr>
                <w:color w:val="000000"/>
                <w:sz w:val="16"/>
                <w:szCs w:val="16"/>
              </w:rPr>
            </w:pPr>
            <w:r>
              <w:rPr>
                <w:color w:val="000000"/>
                <w:sz w:val="16"/>
                <w:szCs w:val="16"/>
              </w:rPr>
              <w:t>19</w:t>
            </w:r>
          </w:p>
        </w:tc>
        <w:tc>
          <w:tcPr>
            <w:tcW w:w="576" w:type="dxa"/>
            <w:vAlign w:val="center"/>
          </w:tcPr>
          <w:p w14:paraId="68454A8E" w14:textId="77777777" w:rsidR="00793719" w:rsidRDefault="00793719" w:rsidP="00793719">
            <w:pPr>
              <w:jc w:val="right"/>
              <w:rPr>
                <w:color w:val="000000"/>
                <w:sz w:val="16"/>
                <w:szCs w:val="16"/>
              </w:rPr>
            </w:pPr>
            <w:r>
              <w:rPr>
                <w:color w:val="000000"/>
                <w:sz w:val="16"/>
                <w:szCs w:val="16"/>
              </w:rPr>
              <w:t>55.2</w:t>
            </w:r>
          </w:p>
        </w:tc>
        <w:tc>
          <w:tcPr>
            <w:tcW w:w="1123" w:type="dxa"/>
            <w:tcBorders>
              <w:right w:val="single" w:sz="4" w:space="0" w:color="auto"/>
            </w:tcBorders>
            <w:vAlign w:val="center"/>
          </w:tcPr>
          <w:p w14:paraId="454A2598" w14:textId="77777777" w:rsidR="00793719" w:rsidRDefault="00793719" w:rsidP="00793719">
            <w:pPr>
              <w:jc w:val="right"/>
              <w:rPr>
                <w:color w:val="000000"/>
                <w:sz w:val="16"/>
                <w:szCs w:val="16"/>
              </w:rPr>
            </w:pPr>
            <w:r>
              <w:rPr>
                <w:color w:val="000000"/>
                <w:sz w:val="16"/>
                <w:szCs w:val="16"/>
              </w:rPr>
              <w:t>(37.6, 72.8)</w:t>
            </w:r>
          </w:p>
        </w:tc>
        <w:tc>
          <w:tcPr>
            <w:tcW w:w="536" w:type="dxa"/>
            <w:tcBorders>
              <w:left w:val="single" w:sz="4" w:space="0" w:color="auto"/>
            </w:tcBorders>
            <w:vAlign w:val="center"/>
          </w:tcPr>
          <w:p w14:paraId="4891034C" w14:textId="77777777" w:rsidR="00793719" w:rsidRDefault="00793719" w:rsidP="00793719">
            <w:pPr>
              <w:jc w:val="right"/>
              <w:rPr>
                <w:color w:val="000000"/>
                <w:sz w:val="16"/>
                <w:szCs w:val="16"/>
              </w:rPr>
            </w:pPr>
            <w:r>
              <w:rPr>
                <w:color w:val="000000"/>
                <w:sz w:val="16"/>
                <w:szCs w:val="16"/>
              </w:rPr>
              <w:t>11</w:t>
            </w:r>
          </w:p>
        </w:tc>
        <w:tc>
          <w:tcPr>
            <w:tcW w:w="567" w:type="dxa"/>
            <w:vAlign w:val="center"/>
          </w:tcPr>
          <w:p w14:paraId="7E385498" w14:textId="77777777" w:rsidR="00793719" w:rsidRDefault="00793719" w:rsidP="00793719">
            <w:pPr>
              <w:jc w:val="right"/>
              <w:rPr>
                <w:color w:val="000000"/>
                <w:sz w:val="16"/>
                <w:szCs w:val="16"/>
              </w:rPr>
            </w:pPr>
            <w:r>
              <w:rPr>
                <w:color w:val="000000"/>
                <w:sz w:val="16"/>
                <w:szCs w:val="16"/>
              </w:rPr>
              <w:t>40.4</w:t>
            </w:r>
          </w:p>
        </w:tc>
        <w:tc>
          <w:tcPr>
            <w:tcW w:w="1123" w:type="dxa"/>
            <w:vAlign w:val="center"/>
          </w:tcPr>
          <w:p w14:paraId="52125131" w14:textId="77777777" w:rsidR="00793719" w:rsidRDefault="00793719" w:rsidP="00793719">
            <w:pPr>
              <w:jc w:val="right"/>
              <w:rPr>
                <w:color w:val="000000"/>
                <w:sz w:val="16"/>
                <w:szCs w:val="16"/>
              </w:rPr>
            </w:pPr>
            <w:r>
              <w:rPr>
                <w:color w:val="000000"/>
                <w:sz w:val="16"/>
                <w:szCs w:val="16"/>
              </w:rPr>
              <w:t>(21.5, 59.3)</w:t>
            </w:r>
          </w:p>
        </w:tc>
      </w:tr>
      <w:tr w:rsidR="00793719" w:rsidRPr="007B4EF8" w14:paraId="1D0CDB42" w14:textId="77777777" w:rsidTr="005E3FD2">
        <w:trPr>
          <w:jc w:val="center"/>
        </w:trPr>
        <w:tc>
          <w:tcPr>
            <w:tcW w:w="2127" w:type="dxa"/>
          </w:tcPr>
          <w:p w14:paraId="54A25A40" w14:textId="77777777" w:rsidR="00793719" w:rsidRDefault="00793719" w:rsidP="00793719">
            <w:pPr>
              <w:spacing w:before="20" w:after="20"/>
              <w:ind w:left="34"/>
              <w:rPr>
                <w:rFonts w:eastAsiaTheme="minorEastAsia"/>
                <w:sz w:val="16"/>
                <w:szCs w:val="16"/>
                <w:lang w:eastAsia="en-US"/>
              </w:rPr>
            </w:pPr>
          </w:p>
        </w:tc>
        <w:tc>
          <w:tcPr>
            <w:tcW w:w="2379" w:type="dxa"/>
          </w:tcPr>
          <w:p w14:paraId="736D3452"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vAlign w:val="center"/>
          </w:tcPr>
          <w:p w14:paraId="3F7D1D48" w14:textId="77777777" w:rsidR="00793719" w:rsidRDefault="00793719" w:rsidP="00793719">
            <w:pPr>
              <w:jc w:val="right"/>
              <w:rPr>
                <w:color w:val="000000"/>
                <w:sz w:val="16"/>
                <w:szCs w:val="16"/>
              </w:rPr>
            </w:pPr>
            <w:r>
              <w:rPr>
                <w:color w:val="000000"/>
                <w:sz w:val="16"/>
                <w:szCs w:val="16"/>
              </w:rPr>
              <w:t>20</w:t>
            </w:r>
          </w:p>
        </w:tc>
        <w:tc>
          <w:tcPr>
            <w:tcW w:w="496" w:type="dxa"/>
            <w:vAlign w:val="center"/>
          </w:tcPr>
          <w:p w14:paraId="3DD937C9" w14:textId="77777777" w:rsidR="00793719" w:rsidRDefault="00793719" w:rsidP="00793719">
            <w:pPr>
              <w:jc w:val="right"/>
              <w:rPr>
                <w:color w:val="000000"/>
                <w:sz w:val="16"/>
                <w:szCs w:val="16"/>
              </w:rPr>
            </w:pPr>
            <w:r>
              <w:rPr>
                <w:color w:val="000000"/>
                <w:sz w:val="16"/>
                <w:szCs w:val="16"/>
              </w:rPr>
              <w:t>19.0</w:t>
            </w:r>
          </w:p>
        </w:tc>
        <w:tc>
          <w:tcPr>
            <w:tcW w:w="1043" w:type="dxa"/>
            <w:tcBorders>
              <w:right w:val="single" w:sz="4" w:space="0" w:color="auto"/>
            </w:tcBorders>
            <w:vAlign w:val="center"/>
          </w:tcPr>
          <w:p w14:paraId="513DF1AF" w14:textId="77777777" w:rsidR="00793719" w:rsidRDefault="00793719" w:rsidP="00793719">
            <w:pPr>
              <w:jc w:val="right"/>
              <w:rPr>
                <w:color w:val="000000"/>
                <w:sz w:val="16"/>
                <w:szCs w:val="16"/>
              </w:rPr>
            </w:pPr>
            <w:r>
              <w:rPr>
                <w:color w:val="000000"/>
                <w:sz w:val="16"/>
                <w:szCs w:val="16"/>
              </w:rPr>
              <w:t>(11.3, 26.8)</w:t>
            </w:r>
          </w:p>
        </w:tc>
        <w:tc>
          <w:tcPr>
            <w:tcW w:w="569" w:type="dxa"/>
            <w:tcBorders>
              <w:left w:val="single" w:sz="4" w:space="0" w:color="auto"/>
            </w:tcBorders>
            <w:vAlign w:val="center"/>
          </w:tcPr>
          <w:p w14:paraId="506DB458" w14:textId="77777777" w:rsidR="00793719" w:rsidRDefault="00793719" w:rsidP="00793719">
            <w:pPr>
              <w:jc w:val="right"/>
              <w:rPr>
                <w:color w:val="000000"/>
                <w:sz w:val="16"/>
                <w:szCs w:val="16"/>
              </w:rPr>
            </w:pPr>
            <w:r>
              <w:rPr>
                <w:color w:val="000000"/>
                <w:sz w:val="16"/>
                <w:szCs w:val="16"/>
              </w:rPr>
              <w:t>16</w:t>
            </w:r>
          </w:p>
        </w:tc>
        <w:tc>
          <w:tcPr>
            <w:tcW w:w="567" w:type="dxa"/>
            <w:vAlign w:val="center"/>
          </w:tcPr>
          <w:p w14:paraId="1BAC71C8" w14:textId="77777777" w:rsidR="00793719" w:rsidRDefault="00793719" w:rsidP="00793719">
            <w:pPr>
              <w:jc w:val="right"/>
              <w:rPr>
                <w:color w:val="000000"/>
                <w:sz w:val="16"/>
                <w:szCs w:val="16"/>
              </w:rPr>
            </w:pPr>
            <w:r>
              <w:rPr>
                <w:color w:val="000000"/>
                <w:sz w:val="16"/>
                <w:szCs w:val="16"/>
              </w:rPr>
              <w:t>38.8</w:t>
            </w:r>
          </w:p>
        </w:tc>
        <w:tc>
          <w:tcPr>
            <w:tcW w:w="1123" w:type="dxa"/>
            <w:tcBorders>
              <w:right w:val="single" w:sz="4" w:space="0" w:color="auto"/>
            </w:tcBorders>
            <w:vAlign w:val="center"/>
          </w:tcPr>
          <w:p w14:paraId="4195C904" w14:textId="77777777" w:rsidR="00793719" w:rsidRDefault="00793719" w:rsidP="00793719">
            <w:pPr>
              <w:jc w:val="right"/>
              <w:rPr>
                <w:color w:val="000000"/>
                <w:sz w:val="16"/>
                <w:szCs w:val="16"/>
              </w:rPr>
            </w:pPr>
            <w:r>
              <w:rPr>
                <w:color w:val="000000"/>
                <w:sz w:val="16"/>
                <w:szCs w:val="16"/>
              </w:rPr>
              <w:t>(22.2, 55.5)</w:t>
            </w:r>
          </w:p>
        </w:tc>
        <w:tc>
          <w:tcPr>
            <w:tcW w:w="536" w:type="dxa"/>
            <w:tcBorders>
              <w:left w:val="single" w:sz="4" w:space="0" w:color="auto"/>
            </w:tcBorders>
            <w:vAlign w:val="center"/>
          </w:tcPr>
          <w:p w14:paraId="2A4D839C" w14:textId="77777777" w:rsidR="00793719" w:rsidRDefault="00793719" w:rsidP="00793719">
            <w:pPr>
              <w:jc w:val="right"/>
              <w:rPr>
                <w:color w:val="000000"/>
                <w:sz w:val="16"/>
                <w:szCs w:val="16"/>
              </w:rPr>
            </w:pPr>
            <w:r>
              <w:rPr>
                <w:color w:val="000000"/>
                <w:sz w:val="16"/>
                <w:szCs w:val="16"/>
              </w:rPr>
              <w:t>8</w:t>
            </w:r>
          </w:p>
        </w:tc>
        <w:tc>
          <w:tcPr>
            <w:tcW w:w="576" w:type="dxa"/>
            <w:vAlign w:val="center"/>
          </w:tcPr>
          <w:p w14:paraId="7ABEB363" w14:textId="77777777" w:rsidR="00793719" w:rsidRDefault="00793719" w:rsidP="00793719">
            <w:pPr>
              <w:jc w:val="right"/>
              <w:rPr>
                <w:color w:val="000000"/>
                <w:sz w:val="16"/>
                <w:szCs w:val="16"/>
              </w:rPr>
            </w:pPr>
            <w:r>
              <w:rPr>
                <w:color w:val="000000"/>
                <w:sz w:val="16"/>
                <w:szCs w:val="16"/>
              </w:rPr>
              <w:t>22.8</w:t>
            </w:r>
          </w:p>
        </w:tc>
        <w:tc>
          <w:tcPr>
            <w:tcW w:w="1123" w:type="dxa"/>
            <w:tcBorders>
              <w:right w:val="single" w:sz="4" w:space="0" w:color="auto"/>
            </w:tcBorders>
            <w:vAlign w:val="center"/>
          </w:tcPr>
          <w:p w14:paraId="00F4D441" w14:textId="77777777" w:rsidR="00793719" w:rsidRDefault="00793719" w:rsidP="00793719">
            <w:pPr>
              <w:jc w:val="right"/>
              <w:rPr>
                <w:color w:val="000000"/>
                <w:sz w:val="16"/>
                <w:szCs w:val="16"/>
              </w:rPr>
            </w:pPr>
            <w:r>
              <w:rPr>
                <w:color w:val="000000"/>
                <w:sz w:val="16"/>
                <w:szCs w:val="16"/>
              </w:rPr>
              <w:t>(6.4, 39.2)</w:t>
            </w:r>
          </w:p>
        </w:tc>
        <w:tc>
          <w:tcPr>
            <w:tcW w:w="536" w:type="dxa"/>
            <w:tcBorders>
              <w:left w:val="single" w:sz="4" w:space="0" w:color="auto"/>
            </w:tcBorders>
            <w:vAlign w:val="center"/>
          </w:tcPr>
          <w:p w14:paraId="4B7F7BAF" w14:textId="77777777" w:rsidR="00793719" w:rsidRDefault="00793719" w:rsidP="00793719">
            <w:pPr>
              <w:jc w:val="right"/>
              <w:rPr>
                <w:color w:val="000000"/>
                <w:sz w:val="16"/>
                <w:szCs w:val="16"/>
              </w:rPr>
            </w:pPr>
            <w:r>
              <w:rPr>
                <w:color w:val="000000"/>
                <w:sz w:val="16"/>
                <w:szCs w:val="16"/>
              </w:rPr>
              <w:t>7</w:t>
            </w:r>
          </w:p>
        </w:tc>
        <w:tc>
          <w:tcPr>
            <w:tcW w:w="567" w:type="dxa"/>
            <w:vAlign w:val="center"/>
          </w:tcPr>
          <w:p w14:paraId="74B8B9A5" w14:textId="77777777" w:rsidR="00793719" w:rsidRDefault="00793719" w:rsidP="00793719">
            <w:pPr>
              <w:jc w:val="right"/>
              <w:rPr>
                <w:color w:val="000000"/>
                <w:sz w:val="16"/>
                <w:szCs w:val="16"/>
              </w:rPr>
            </w:pPr>
            <w:r>
              <w:rPr>
                <w:color w:val="000000"/>
                <w:sz w:val="16"/>
                <w:szCs w:val="16"/>
              </w:rPr>
              <w:t>27.4</w:t>
            </w:r>
          </w:p>
        </w:tc>
        <w:tc>
          <w:tcPr>
            <w:tcW w:w="1123" w:type="dxa"/>
            <w:vAlign w:val="center"/>
          </w:tcPr>
          <w:p w14:paraId="6DB6E8C6" w14:textId="77777777" w:rsidR="00793719" w:rsidRDefault="00793719" w:rsidP="00793719">
            <w:pPr>
              <w:jc w:val="right"/>
              <w:rPr>
                <w:color w:val="000000"/>
                <w:sz w:val="16"/>
                <w:szCs w:val="16"/>
              </w:rPr>
            </w:pPr>
            <w:r>
              <w:rPr>
                <w:color w:val="000000"/>
                <w:sz w:val="16"/>
                <w:szCs w:val="16"/>
              </w:rPr>
              <w:t>(9.1, 45.7)</w:t>
            </w:r>
          </w:p>
        </w:tc>
      </w:tr>
      <w:tr w:rsidR="00793719" w:rsidRPr="007B4EF8" w14:paraId="78D9602F" w14:textId="77777777" w:rsidTr="005E3FD2">
        <w:trPr>
          <w:jc w:val="center"/>
        </w:trPr>
        <w:tc>
          <w:tcPr>
            <w:tcW w:w="2127" w:type="dxa"/>
            <w:tcBorders>
              <w:bottom w:val="single" w:sz="4" w:space="0" w:color="auto"/>
            </w:tcBorders>
          </w:tcPr>
          <w:p w14:paraId="1144390A" w14:textId="77777777" w:rsidR="00793719" w:rsidRDefault="00793719" w:rsidP="00793719">
            <w:pPr>
              <w:spacing w:before="20" w:after="20"/>
              <w:ind w:left="34"/>
              <w:rPr>
                <w:rFonts w:eastAsiaTheme="minorEastAsia"/>
                <w:sz w:val="16"/>
                <w:szCs w:val="16"/>
                <w:lang w:eastAsia="en-US"/>
              </w:rPr>
            </w:pPr>
          </w:p>
        </w:tc>
        <w:tc>
          <w:tcPr>
            <w:tcW w:w="2379" w:type="dxa"/>
            <w:tcBorders>
              <w:bottom w:val="single" w:sz="4" w:space="0" w:color="auto"/>
            </w:tcBorders>
          </w:tcPr>
          <w:p w14:paraId="014CE1BE"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tcBorders>
              <w:bottom w:val="single" w:sz="4" w:space="0" w:color="auto"/>
            </w:tcBorders>
            <w:vAlign w:val="center"/>
          </w:tcPr>
          <w:p w14:paraId="7D7CF6D5" w14:textId="77777777" w:rsidR="00793719" w:rsidRDefault="00793719" w:rsidP="00793719">
            <w:pPr>
              <w:jc w:val="right"/>
              <w:rPr>
                <w:color w:val="000000"/>
                <w:sz w:val="16"/>
                <w:szCs w:val="16"/>
              </w:rPr>
            </w:pPr>
            <w:r>
              <w:rPr>
                <w:color w:val="000000"/>
                <w:sz w:val="16"/>
                <w:szCs w:val="16"/>
              </w:rPr>
              <w:t>37</w:t>
            </w:r>
          </w:p>
        </w:tc>
        <w:tc>
          <w:tcPr>
            <w:tcW w:w="496" w:type="dxa"/>
            <w:tcBorders>
              <w:bottom w:val="single" w:sz="4" w:space="0" w:color="auto"/>
            </w:tcBorders>
            <w:vAlign w:val="center"/>
          </w:tcPr>
          <w:p w14:paraId="3E164E27" w14:textId="77777777" w:rsidR="00793719" w:rsidRDefault="00793719" w:rsidP="00793719">
            <w:pPr>
              <w:jc w:val="right"/>
              <w:rPr>
                <w:color w:val="000000"/>
                <w:sz w:val="16"/>
                <w:szCs w:val="16"/>
              </w:rPr>
            </w:pPr>
            <w:r>
              <w:rPr>
                <w:color w:val="000000"/>
                <w:sz w:val="16"/>
                <w:szCs w:val="16"/>
              </w:rPr>
              <w:t>35.6</w:t>
            </w:r>
          </w:p>
        </w:tc>
        <w:tc>
          <w:tcPr>
            <w:tcW w:w="1043" w:type="dxa"/>
            <w:tcBorders>
              <w:bottom w:val="single" w:sz="4" w:space="0" w:color="auto"/>
              <w:right w:val="single" w:sz="4" w:space="0" w:color="auto"/>
            </w:tcBorders>
            <w:vAlign w:val="center"/>
          </w:tcPr>
          <w:p w14:paraId="78C10E73" w14:textId="77777777" w:rsidR="00793719" w:rsidRDefault="00793719" w:rsidP="00793719">
            <w:pPr>
              <w:jc w:val="right"/>
              <w:rPr>
                <w:color w:val="000000"/>
                <w:sz w:val="16"/>
                <w:szCs w:val="16"/>
              </w:rPr>
            </w:pPr>
            <w:r>
              <w:rPr>
                <w:color w:val="000000"/>
                <w:sz w:val="16"/>
                <w:szCs w:val="16"/>
              </w:rPr>
              <w:t>(26.2, 45.0)</w:t>
            </w:r>
          </w:p>
        </w:tc>
        <w:tc>
          <w:tcPr>
            <w:tcW w:w="569" w:type="dxa"/>
            <w:tcBorders>
              <w:left w:val="single" w:sz="4" w:space="0" w:color="auto"/>
              <w:bottom w:val="single" w:sz="4" w:space="0" w:color="auto"/>
            </w:tcBorders>
            <w:vAlign w:val="center"/>
          </w:tcPr>
          <w:p w14:paraId="21543B47" w14:textId="77777777" w:rsidR="00793719" w:rsidRDefault="00793719" w:rsidP="00793719">
            <w:pPr>
              <w:jc w:val="right"/>
              <w:rPr>
                <w:color w:val="000000"/>
                <w:sz w:val="16"/>
                <w:szCs w:val="16"/>
              </w:rPr>
            </w:pPr>
            <w:r>
              <w:rPr>
                <w:color w:val="000000"/>
                <w:sz w:val="16"/>
                <w:szCs w:val="16"/>
              </w:rPr>
              <w:t>16</w:t>
            </w:r>
          </w:p>
        </w:tc>
        <w:tc>
          <w:tcPr>
            <w:tcW w:w="567" w:type="dxa"/>
            <w:tcBorders>
              <w:bottom w:val="single" w:sz="4" w:space="0" w:color="auto"/>
            </w:tcBorders>
            <w:vAlign w:val="center"/>
          </w:tcPr>
          <w:p w14:paraId="3772E30B" w14:textId="77777777" w:rsidR="00793719" w:rsidRDefault="00793719" w:rsidP="00793719">
            <w:pPr>
              <w:jc w:val="right"/>
              <w:rPr>
                <w:color w:val="000000"/>
                <w:sz w:val="16"/>
                <w:szCs w:val="16"/>
              </w:rPr>
            </w:pPr>
            <w:r>
              <w:rPr>
                <w:color w:val="000000"/>
                <w:sz w:val="16"/>
                <w:szCs w:val="16"/>
              </w:rPr>
              <w:t>39.3</w:t>
            </w:r>
          </w:p>
        </w:tc>
        <w:tc>
          <w:tcPr>
            <w:tcW w:w="1123" w:type="dxa"/>
            <w:tcBorders>
              <w:bottom w:val="single" w:sz="4" w:space="0" w:color="auto"/>
              <w:right w:val="single" w:sz="4" w:space="0" w:color="auto"/>
            </w:tcBorders>
            <w:vAlign w:val="center"/>
          </w:tcPr>
          <w:p w14:paraId="4D7CE514" w14:textId="77777777" w:rsidR="00793719" w:rsidRDefault="00793719" w:rsidP="00793719">
            <w:pPr>
              <w:jc w:val="right"/>
              <w:rPr>
                <w:color w:val="000000"/>
                <w:sz w:val="16"/>
                <w:szCs w:val="16"/>
              </w:rPr>
            </w:pPr>
            <w:r>
              <w:rPr>
                <w:color w:val="000000"/>
                <w:sz w:val="16"/>
                <w:szCs w:val="16"/>
              </w:rPr>
              <w:t>(24.5, 54.1)</w:t>
            </w:r>
          </w:p>
        </w:tc>
        <w:tc>
          <w:tcPr>
            <w:tcW w:w="536" w:type="dxa"/>
            <w:tcBorders>
              <w:left w:val="single" w:sz="4" w:space="0" w:color="auto"/>
              <w:bottom w:val="single" w:sz="4" w:space="0" w:color="auto"/>
            </w:tcBorders>
            <w:vAlign w:val="center"/>
          </w:tcPr>
          <w:p w14:paraId="4B6D0010" w14:textId="77777777" w:rsidR="00793719" w:rsidRDefault="00793719" w:rsidP="00793719">
            <w:pPr>
              <w:jc w:val="right"/>
              <w:rPr>
                <w:color w:val="000000"/>
                <w:sz w:val="16"/>
                <w:szCs w:val="16"/>
              </w:rPr>
            </w:pPr>
            <w:r>
              <w:rPr>
                <w:color w:val="000000"/>
                <w:sz w:val="16"/>
                <w:szCs w:val="16"/>
              </w:rPr>
              <w:t>8</w:t>
            </w:r>
          </w:p>
        </w:tc>
        <w:tc>
          <w:tcPr>
            <w:tcW w:w="576" w:type="dxa"/>
            <w:tcBorders>
              <w:bottom w:val="single" w:sz="4" w:space="0" w:color="auto"/>
            </w:tcBorders>
            <w:vAlign w:val="center"/>
          </w:tcPr>
          <w:p w14:paraId="2FA850D0" w14:textId="77777777" w:rsidR="00793719" w:rsidRDefault="00793719" w:rsidP="00793719">
            <w:pPr>
              <w:jc w:val="right"/>
              <w:rPr>
                <w:color w:val="000000"/>
                <w:sz w:val="16"/>
                <w:szCs w:val="16"/>
              </w:rPr>
            </w:pPr>
            <w:r>
              <w:rPr>
                <w:color w:val="000000"/>
                <w:sz w:val="16"/>
                <w:szCs w:val="16"/>
              </w:rPr>
              <w:t>22.0</w:t>
            </w:r>
          </w:p>
        </w:tc>
        <w:tc>
          <w:tcPr>
            <w:tcW w:w="1123" w:type="dxa"/>
            <w:tcBorders>
              <w:bottom w:val="single" w:sz="4" w:space="0" w:color="auto"/>
              <w:right w:val="single" w:sz="4" w:space="0" w:color="auto"/>
            </w:tcBorders>
            <w:vAlign w:val="center"/>
          </w:tcPr>
          <w:p w14:paraId="6730FDB9" w14:textId="77777777" w:rsidR="00793719" w:rsidRDefault="00793719" w:rsidP="00793719">
            <w:pPr>
              <w:jc w:val="right"/>
              <w:rPr>
                <w:color w:val="000000"/>
                <w:sz w:val="16"/>
                <w:szCs w:val="16"/>
              </w:rPr>
            </w:pPr>
            <w:r>
              <w:rPr>
                <w:color w:val="000000"/>
                <w:sz w:val="16"/>
                <w:szCs w:val="16"/>
              </w:rPr>
              <w:t>(9.3, 34.7)</w:t>
            </w:r>
          </w:p>
        </w:tc>
        <w:tc>
          <w:tcPr>
            <w:tcW w:w="536" w:type="dxa"/>
            <w:tcBorders>
              <w:left w:val="single" w:sz="4" w:space="0" w:color="auto"/>
              <w:bottom w:val="single" w:sz="4" w:space="0" w:color="auto"/>
            </w:tcBorders>
            <w:vAlign w:val="center"/>
          </w:tcPr>
          <w:p w14:paraId="5D828AF5" w14:textId="77777777" w:rsidR="00793719" w:rsidRDefault="00793719" w:rsidP="00793719">
            <w:pPr>
              <w:jc w:val="right"/>
              <w:rPr>
                <w:color w:val="000000"/>
                <w:sz w:val="16"/>
                <w:szCs w:val="16"/>
              </w:rPr>
            </w:pPr>
            <w:r>
              <w:rPr>
                <w:color w:val="000000"/>
                <w:sz w:val="16"/>
                <w:szCs w:val="16"/>
              </w:rPr>
              <w:t>8</w:t>
            </w:r>
          </w:p>
        </w:tc>
        <w:tc>
          <w:tcPr>
            <w:tcW w:w="567" w:type="dxa"/>
            <w:tcBorders>
              <w:bottom w:val="single" w:sz="4" w:space="0" w:color="auto"/>
            </w:tcBorders>
            <w:vAlign w:val="center"/>
          </w:tcPr>
          <w:p w14:paraId="7419B04B" w14:textId="77777777" w:rsidR="00793719" w:rsidRDefault="00793719" w:rsidP="00793719">
            <w:pPr>
              <w:jc w:val="right"/>
              <w:rPr>
                <w:color w:val="000000"/>
                <w:sz w:val="16"/>
                <w:szCs w:val="16"/>
              </w:rPr>
            </w:pPr>
            <w:r>
              <w:rPr>
                <w:color w:val="000000"/>
                <w:sz w:val="16"/>
                <w:szCs w:val="16"/>
              </w:rPr>
              <w:t>32.2</w:t>
            </w:r>
          </w:p>
        </w:tc>
        <w:tc>
          <w:tcPr>
            <w:tcW w:w="1123" w:type="dxa"/>
            <w:tcBorders>
              <w:bottom w:val="single" w:sz="4" w:space="0" w:color="auto"/>
            </w:tcBorders>
            <w:vAlign w:val="center"/>
          </w:tcPr>
          <w:p w14:paraId="188D1E8A" w14:textId="77777777" w:rsidR="00793719" w:rsidRDefault="00793719" w:rsidP="00793719">
            <w:pPr>
              <w:jc w:val="right"/>
              <w:rPr>
                <w:color w:val="000000"/>
                <w:sz w:val="16"/>
                <w:szCs w:val="16"/>
              </w:rPr>
            </w:pPr>
            <w:r>
              <w:rPr>
                <w:color w:val="000000"/>
                <w:sz w:val="16"/>
                <w:szCs w:val="16"/>
              </w:rPr>
              <w:t>(16, 48.4)</w:t>
            </w:r>
          </w:p>
        </w:tc>
      </w:tr>
      <w:tr w:rsidR="00793719" w:rsidRPr="007B4EF8" w14:paraId="1F8960D2" w14:textId="77777777" w:rsidTr="005E3FD2">
        <w:trPr>
          <w:jc w:val="center"/>
        </w:trPr>
        <w:tc>
          <w:tcPr>
            <w:tcW w:w="4506" w:type="dxa"/>
            <w:gridSpan w:val="2"/>
            <w:tcBorders>
              <w:top w:val="single" w:sz="4" w:space="0" w:color="auto"/>
            </w:tcBorders>
            <w:vAlign w:val="center"/>
          </w:tcPr>
          <w:p w14:paraId="464BD2ED" w14:textId="77777777" w:rsidR="00793719" w:rsidRDefault="00793719" w:rsidP="005E3FD2">
            <w:pPr>
              <w:keepNext/>
              <w:spacing w:before="20" w:after="20"/>
              <w:ind w:left="34"/>
              <w:rPr>
                <w:rFonts w:eastAsiaTheme="minorEastAsia"/>
                <w:sz w:val="16"/>
                <w:szCs w:val="16"/>
                <w:lang w:eastAsia="en-US"/>
              </w:rPr>
            </w:pPr>
            <w:r>
              <w:rPr>
                <w:rFonts w:eastAsiaTheme="minorEastAsia"/>
                <w:b/>
                <w:sz w:val="16"/>
                <w:szCs w:val="16"/>
                <w:lang w:eastAsia="en-US"/>
              </w:rPr>
              <w:t>Club EGMS (time gambling in average day)</w:t>
            </w:r>
          </w:p>
        </w:tc>
        <w:tc>
          <w:tcPr>
            <w:tcW w:w="616" w:type="dxa"/>
            <w:tcBorders>
              <w:top w:val="single" w:sz="4" w:space="0" w:color="auto"/>
            </w:tcBorders>
            <w:vAlign w:val="center"/>
          </w:tcPr>
          <w:p w14:paraId="65E79EA5" w14:textId="77777777" w:rsidR="00793719" w:rsidRDefault="00793719" w:rsidP="005E3FD2">
            <w:pPr>
              <w:keepNext/>
              <w:jc w:val="right"/>
              <w:rPr>
                <w:color w:val="000000"/>
                <w:sz w:val="16"/>
                <w:szCs w:val="16"/>
              </w:rPr>
            </w:pPr>
          </w:p>
        </w:tc>
        <w:tc>
          <w:tcPr>
            <w:tcW w:w="496" w:type="dxa"/>
            <w:tcBorders>
              <w:top w:val="single" w:sz="4" w:space="0" w:color="auto"/>
            </w:tcBorders>
            <w:vAlign w:val="center"/>
          </w:tcPr>
          <w:p w14:paraId="01BE03E6" w14:textId="77777777" w:rsidR="00793719" w:rsidRDefault="00793719" w:rsidP="005E3FD2">
            <w:pPr>
              <w:keepNext/>
              <w:jc w:val="right"/>
              <w:rPr>
                <w:color w:val="000000"/>
                <w:sz w:val="16"/>
                <w:szCs w:val="16"/>
              </w:rPr>
            </w:pPr>
          </w:p>
        </w:tc>
        <w:tc>
          <w:tcPr>
            <w:tcW w:w="1043" w:type="dxa"/>
            <w:tcBorders>
              <w:top w:val="single" w:sz="4" w:space="0" w:color="auto"/>
              <w:right w:val="single" w:sz="4" w:space="0" w:color="auto"/>
            </w:tcBorders>
            <w:vAlign w:val="center"/>
          </w:tcPr>
          <w:p w14:paraId="71A84DDE" w14:textId="77777777" w:rsidR="00793719" w:rsidRDefault="00793719" w:rsidP="005E3FD2">
            <w:pPr>
              <w:keepNext/>
              <w:jc w:val="right"/>
              <w:rPr>
                <w:color w:val="000000"/>
                <w:sz w:val="16"/>
                <w:szCs w:val="16"/>
              </w:rPr>
            </w:pPr>
          </w:p>
        </w:tc>
        <w:tc>
          <w:tcPr>
            <w:tcW w:w="569" w:type="dxa"/>
            <w:tcBorders>
              <w:top w:val="single" w:sz="4" w:space="0" w:color="auto"/>
              <w:left w:val="single" w:sz="4" w:space="0" w:color="auto"/>
            </w:tcBorders>
            <w:vAlign w:val="center"/>
          </w:tcPr>
          <w:p w14:paraId="60C02A25" w14:textId="77777777" w:rsidR="00793719" w:rsidRDefault="00793719" w:rsidP="005E3FD2">
            <w:pPr>
              <w:keepNext/>
              <w:jc w:val="right"/>
              <w:rPr>
                <w:color w:val="000000"/>
                <w:sz w:val="16"/>
                <w:szCs w:val="16"/>
              </w:rPr>
            </w:pPr>
          </w:p>
        </w:tc>
        <w:tc>
          <w:tcPr>
            <w:tcW w:w="567" w:type="dxa"/>
            <w:tcBorders>
              <w:top w:val="single" w:sz="4" w:space="0" w:color="auto"/>
            </w:tcBorders>
            <w:vAlign w:val="center"/>
          </w:tcPr>
          <w:p w14:paraId="471DBEF5" w14:textId="77777777" w:rsidR="00793719" w:rsidRDefault="00793719" w:rsidP="005E3FD2">
            <w:pPr>
              <w:keepNext/>
              <w:jc w:val="right"/>
              <w:rPr>
                <w:color w:val="000000"/>
                <w:sz w:val="16"/>
                <w:szCs w:val="16"/>
              </w:rPr>
            </w:pPr>
          </w:p>
        </w:tc>
        <w:tc>
          <w:tcPr>
            <w:tcW w:w="1123" w:type="dxa"/>
            <w:tcBorders>
              <w:top w:val="single" w:sz="4" w:space="0" w:color="auto"/>
              <w:right w:val="single" w:sz="4" w:space="0" w:color="auto"/>
            </w:tcBorders>
            <w:vAlign w:val="center"/>
          </w:tcPr>
          <w:p w14:paraId="5B339DF6" w14:textId="77777777" w:rsidR="00793719" w:rsidRDefault="00793719" w:rsidP="005E3FD2">
            <w:pPr>
              <w:keepNext/>
              <w:jc w:val="right"/>
              <w:rPr>
                <w:color w:val="000000"/>
                <w:sz w:val="16"/>
                <w:szCs w:val="16"/>
              </w:rPr>
            </w:pPr>
          </w:p>
        </w:tc>
        <w:tc>
          <w:tcPr>
            <w:tcW w:w="536" w:type="dxa"/>
            <w:tcBorders>
              <w:top w:val="single" w:sz="4" w:space="0" w:color="auto"/>
              <w:left w:val="single" w:sz="4" w:space="0" w:color="auto"/>
            </w:tcBorders>
            <w:vAlign w:val="center"/>
          </w:tcPr>
          <w:p w14:paraId="663FC1DA" w14:textId="77777777" w:rsidR="00793719" w:rsidRDefault="00793719" w:rsidP="005E3FD2">
            <w:pPr>
              <w:keepNext/>
              <w:jc w:val="right"/>
              <w:rPr>
                <w:color w:val="000000"/>
                <w:sz w:val="16"/>
                <w:szCs w:val="16"/>
              </w:rPr>
            </w:pPr>
          </w:p>
        </w:tc>
        <w:tc>
          <w:tcPr>
            <w:tcW w:w="576" w:type="dxa"/>
            <w:tcBorders>
              <w:top w:val="single" w:sz="4" w:space="0" w:color="auto"/>
            </w:tcBorders>
            <w:vAlign w:val="center"/>
          </w:tcPr>
          <w:p w14:paraId="36FCC015" w14:textId="77777777" w:rsidR="00793719" w:rsidRDefault="00793719" w:rsidP="005E3FD2">
            <w:pPr>
              <w:keepNext/>
              <w:jc w:val="right"/>
              <w:rPr>
                <w:color w:val="000000"/>
                <w:sz w:val="16"/>
                <w:szCs w:val="16"/>
              </w:rPr>
            </w:pPr>
          </w:p>
        </w:tc>
        <w:tc>
          <w:tcPr>
            <w:tcW w:w="1123" w:type="dxa"/>
            <w:tcBorders>
              <w:top w:val="single" w:sz="4" w:space="0" w:color="auto"/>
              <w:right w:val="single" w:sz="4" w:space="0" w:color="auto"/>
            </w:tcBorders>
            <w:vAlign w:val="center"/>
          </w:tcPr>
          <w:p w14:paraId="1961B116" w14:textId="77777777" w:rsidR="00793719" w:rsidRDefault="00793719" w:rsidP="005E3FD2">
            <w:pPr>
              <w:keepNext/>
              <w:jc w:val="right"/>
              <w:rPr>
                <w:color w:val="000000"/>
                <w:sz w:val="16"/>
                <w:szCs w:val="16"/>
              </w:rPr>
            </w:pPr>
          </w:p>
        </w:tc>
        <w:tc>
          <w:tcPr>
            <w:tcW w:w="536" w:type="dxa"/>
            <w:tcBorders>
              <w:top w:val="single" w:sz="4" w:space="0" w:color="auto"/>
              <w:left w:val="single" w:sz="4" w:space="0" w:color="auto"/>
            </w:tcBorders>
            <w:vAlign w:val="center"/>
          </w:tcPr>
          <w:p w14:paraId="53D34918" w14:textId="77777777" w:rsidR="00793719" w:rsidRDefault="00793719" w:rsidP="005E3FD2">
            <w:pPr>
              <w:keepNext/>
              <w:jc w:val="right"/>
              <w:rPr>
                <w:color w:val="000000"/>
                <w:sz w:val="16"/>
                <w:szCs w:val="16"/>
              </w:rPr>
            </w:pPr>
          </w:p>
        </w:tc>
        <w:tc>
          <w:tcPr>
            <w:tcW w:w="567" w:type="dxa"/>
            <w:tcBorders>
              <w:top w:val="single" w:sz="4" w:space="0" w:color="auto"/>
            </w:tcBorders>
            <w:vAlign w:val="center"/>
          </w:tcPr>
          <w:p w14:paraId="6BA80F15" w14:textId="77777777" w:rsidR="00793719" w:rsidRDefault="00793719" w:rsidP="005E3FD2">
            <w:pPr>
              <w:keepNext/>
              <w:jc w:val="right"/>
              <w:rPr>
                <w:color w:val="000000"/>
                <w:sz w:val="16"/>
                <w:szCs w:val="16"/>
              </w:rPr>
            </w:pPr>
          </w:p>
        </w:tc>
        <w:tc>
          <w:tcPr>
            <w:tcW w:w="1123" w:type="dxa"/>
            <w:tcBorders>
              <w:top w:val="single" w:sz="4" w:space="0" w:color="auto"/>
            </w:tcBorders>
            <w:vAlign w:val="center"/>
          </w:tcPr>
          <w:p w14:paraId="29579204" w14:textId="77777777" w:rsidR="00793719" w:rsidRDefault="00793719" w:rsidP="005E3FD2">
            <w:pPr>
              <w:keepNext/>
              <w:jc w:val="right"/>
              <w:rPr>
                <w:color w:val="000000"/>
                <w:sz w:val="16"/>
                <w:szCs w:val="16"/>
              </w:rPr>
            </w:pPr>
          </w:p>
        </w:tc>
      </w:tr>
      <w:tr w:rsidR="00793719" w:rsidRPr="007B4EF8" w14:paraId="7FBB9966" w14:textId="77777777" w:rsidTr="00793719">
        <w:trPr>
          <w:jc w:val="center"/>
        </w:trPr>
        <w:tc>
          <w:tcPr>
            <w:tcW w:w="2127" w:type="dxa"/>
          </w:tcPr>
          <w:p w14:paraId="7454290F" w14:textId="77777777" w:rsidR="00793719" w:rsidRDefault="00793719" w:rsidP="005E3FD2">
            <w:pPr>
              <w:keepNext/>
              <w:spacing w:before="20" w:after="20"/>
              <w:ind w:left="34"/>
              <w:rPr>
                <w:rFonts w:eastAsiaTheme="minorEastAsia"/>
                <w:sz w:val="16"/>
                <w:szCs w:val="16"/>
                <w:lang w:eastAsia="en-US"/>
              </w:rPr>
            </w:pPr>
            <w:r>
              <w:rPr>
                <w:rFonts w:eastAsiaTheme="minorEastAsia"/>
                <w:sz w:val="16"/>
                <w:szCs w:val="16"/>
                <w:lang w:eastAsia="en-US"/>
              </w:rPr>
              <w:t>Up to 15 minutes</w:t>
            </w:r>
          </w:p>
        </w:tc>
        <w:tc>
          <w:tcPr>
            <w:tcW w:w="2379" w:type="dxa"/>
          </w:tcPr>
          <w:p w14:paraId="5BB81D4F" w14:textId="77777777" w:rsidR="00793719" w:rsidRPr="001B7431" w:rsidRDefault="00793719" w:rsidP="005E3FD2">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vAlign w:val="center"/>
          </w:tcPr>
          <w:p w14:paraId="41493917" w14:textId="77777777" w:rsidR="00793719" w:rsidRDefault="00793719" w:rsidP="005E3FD2">
            <w:pPr>
              <w:keepNext/>
              <w:jc w:val="right"/>
              <w:rPr>
                <w:color w:val="000000"/>
                <w:sz w:val="16"/>
                <w:szCs w:val="16"/>
                <w:lang w:eastAsia="en-NZ"/>
              </w:rPr>
            </w:pPr>
            <w:r>
              <w:rPr>
                <w:color w:val="000000"/>
                <w:sz w:val="16"/>
                <w:szCs w:val="16"/>
              </w:rPr>
              <w:t>76</w:t>
            </w:r>
          </w:p>
        </w:tc>
        <w:tc>
          <w:tcPr>
            <w:tcW w:w="496" w:type="dxa"/>
            <w:vAlign w:val="center"/>
          </w:tcPr>
          <w:p w14:paraId="311FF595" w14:textId="77777777" w:rsidR="00793719" w:rsidRDefault="00793719" w:rsidP="005E3FD2">
            <w:pPr>
              <w:keepNext/>
              <w:jc w:val="right"/>
              <w:rPr>
                <w:color w:val="000000"/>
                <w:sz w:val="16"/>
                <w:szCs w:val="16"/>
              </w:rPr>
            </w:pPr>
            <w:r>
              <w:rPr>
                <w:color w:val="000000"/>
                <w:sz w:val="16"/>
                <w:szCs w:val="16"/>
              </w:rPr>
              <w:t>86.8</w:t>
            </w:r>
          </w:p>
        </w:tc>
        <w:tc>
          <w:tcPr>
            <w:tcW w:w="1043" w:type="dxa"/>
            <w:tcBorders>
              <w:right w:val="single" w:sz="4" w:space="0" w:color="auto"/>
            </w:tcBorders>
            <w:vAlign w:val="center"/>
          </w:tcPr>
          <w:p w14:paraId="321D20E2" w14:textId="77777777" w:rsidR="00793719" w:rsidRDefault="00793719" w:rsidP="005E3FD2">
            <w:pPr>
              <w:keepNext/>
              <w:jc w:val="right"/>
              <w:rPr>
                <w:color w:val="000000"/>
                <w:sz w:val="16"/>
                <w:szCs w:val="16"/>
              </w:rPr>
            </w:pPr>
            <w:r>
              <w:rPr>
                <w:color w:val="000000"/>
                <w:sz w:val="16"/>
                <w:szCs w:val="16"/>
              </w:rPr>
              <w:t>(79.2, 94.4)</w:t>
            </w:r>
          </w:p>
        </w:tc>
        <w:tc>
          <w:tcPr>
            <w:tcW w:w="569" w:type="dxa"/>
            <w:tcBorders>
              <w:left w:val="single" w:sz="4" w:space="0" w:color="auto"/>
            </w:tcBorders>
            <w:vAlign w:val="center"/>
          </w:tcPr>
          <w:p w14:paraId="22834A15" w14:textId="77777777" w:rsidR="00793719" w:rsidRDefault="00793719" w:rsidP="005E3FD2">
            <w:pPr>
              <w:keepNext/>
              <w:jc w:val="right"/>
              <w:rPr>
                <w:color w:val="000000"/>
                <w:sz w:val="16"/>
                <w:szCs w:val="16"/>
              </w:rPr>
            </w:pPr>
            <w:r>
              <w:rPr>
                <w:color w:val="000000"/>
                <w:sz w:val="16"/>
                <w:szCs w:val="16"/>
              </w:rPr>
              <w:t>46</w:t>
            </w:r>
          </w:p>
        </w:tc>
        <w:tc>
          <w:tcPr>
            <w:tcW w:w="567" w:type="dxa"/>
            <w:vAlign w:val="center"/>
          </w:tcPr>
          <w:p w14:paraId="21BDC226" w14:textId="77777777" w:rsidR="00793719" w:rsidRDefault="00793719" w:rsidP="005E3FD2">
            <w:pPr>
              <w:keepNext/>
              <w:jc w:val="right"/>
              <w:rPr>
                <w:color w:val="000000"/>
                <w:sz w:val="16"/>
                <w:szCs w:val="16"/>
              </w:rPr>
            </w:pPr>
            <w:r>
              <w:rPr>
                <w:color w:val="000000"/>
                <w:sz w:val="16"/>
                <w:szCs w:val="16"/>
              </w:rPr>
              <w:t>78.6</w:t>
            </w:r>
          </w:p>
        </w:tc>
        <w:tc>
          <w:tcPr>
            <w:tcW w:w="1123" w:type="dxa"/>
            <w:tcBorders>
              <w:right w:val="single" w:sz="4" w:space="0" w:color="auto"/>
            </w:tcBorders>
            <w:vAlign w:val="center"/>
          </w:tcPr>
          <w:p w14:paraId="07CE0054" w14:textId="77777777" w:rsidR="00793719" w:rsidRDefault="00793719" w:rsidP="005E3FD2">
            <w:pPr>
              <w:keepNext/>
              <w:jc w:val="right"/>
              <w:rPr>
                <w:color w:val="000000"/>
                <w:sz w:val="16"/>
                <w:szCs w:val="16"/>
              </w:rPr>
            </w:pPr>
            <w:r>
              <w:rPr>
                <w:color w:val="000000"/>
                <w:sz w:val="16"/>
                <w:szCs w:val="16"/>
              </w:rPr>
              <w:t>(65.5, 91.7)</w:t>
            </w:r>
          </w:p>
        </w:tc>
        <w:tc>
          <w:tcPr>
            <w:tcW w:w="536" w:type="dxa"/>
            <w:tcBorders>
              <w:left w:val="single" w:sz="4" w:space="0" w:color="auto"/>
            </w:tcBorders>
            <w:vAlign w:val="center"/>
          </w:tcPr>
          <w:p w14:paraId="04EF45CD" w14:textId="77777777" w:rsidR="00793719" w:rsidRDefault="00793719" w:rsidP="005E3FD2">
            <w:pPr>
              <w:keepNext/>
              <w:jc w:val="right"/>
              <w:rPr>
                <w:color w:val="000000"/>
                <w:sz w:val="16"/>
                <w:szCs w:val="16"/>
              </w:rPr>
            </w:pPr>
            <w:r>
              <w:rPr>
                <w:color w:val="000000"/>
                <w:sz w:val="16"/>
                <w:szCs w:val="16"/>
              </w:rPr>
              <w:t>42</w:t>
            </w:r>
          </w:p>
        </w:tc>
        <w:tc>
          <w:tcPr>
            <w:tcW w:w="576" w:type="dxa"/>
            <w:vAlign w:val="center"/>
          </w:tcPr>
          <w:p w14:paraId="6A556E2F" w14:textId="77777777" w:rsidR="00793719" w:rsidRDefault="00793719" w:rsidP="005E3FD2">
            <w:pPr>
              <w:keepNext/>
              <w:jc w:val="right"/>
              <w:rPr>
                <w:color w:val="000000"/>
                <w:sz w:val="16"/>
                <w:szCs w:val="16"/>
              </w:rPr>
            </w:pPr>
            <w:r>
              <w:rPr>
                <w:color w:val="000000"/>
                <w:sz w:val="16"/>
                <w:szCs w:val="16"/>
              </w:rPr>
              <w:t>94.8</w:t>
            </w:r>
          </w:p>
        </w:tc>
        <w:tc>
          <w:tcPr>
            <w:tcW w:w="1123" w:type="dxa"/>
            <w:tcBorders>
              <w:right w:val="single" w:sz="4" w:space="0" w:color="auto"/>
            </w:tcBorders>
            <w:vAlign w:val="center"/>
          </w:tcPr>
          <w:p w14:paraId="6A71016D" w14:textId="77777777" w:rsidR="00793719" w:rsidRDefault="00793719" w:rsidP="005E3FD2">
            <w:pPr>
              <w:keepNext/>
              <w:jc w:val="right"/>
              <w:rPr>
                <w:color w:val="000000"/>
                <w:sz w:val="16"/>
                <w:szCs w:val="16"/>
              </w:rPr>
            </w:pPr>
            <w:r>
              <w:rPr>
                <w:color w:val="000000"/>
                <w:sz w:val="16"/>
                <w:szCs w:val="16"/>
              </w:rPr>
              <w:t>(87.3, 100.0)</w:t>
            </w:r>
          </w:p>
        </w:tc>
        <w:tc>
          <w:tcPr>
            <w:tcW w:w="536" w:type="dxa"/>
            <w:tcBorders>
              <w:left w:val="single" w:sz="4" w:space="0" w:color="auto"/>
            </w:tcBorders>
            <w:vAlign w:val="center"/>
          </w:tcPr>
          <w:p w14:paraId="0C509236" w14:textId="77777777" w:rsidR="00793719" w:rsidRDefault="00793719" w:rsidP="005E3FD2">
            <w:pPr>
              <w:keepNext/>
              <w:jc w:val="right"/>
              <w:rPr>
                <w:color w:val="000000"/>
                <w:sz w:val="16"/>
                <w:szCs w:val="16"/>
              </w:rPr>
            </w:pPr>
            <w:r>
              <w:rPr>
                <w:color w:val="000000"/>
                <w:sz w:val="16"/>
                <w:szCs w:val="16"/>
              </w:rPr>
              <w:t>18</w:t>
            </w:r>
          </w:p>
        </w:tc>
        <w:tc>
          <w:tcPr>
            <w:tcW w:w="567" w:type="dxa"/>
            <w:vAlign w:val="center"/>
          </w:tcPr>
          <w:p w14:paraId="0A05CC68" w14:textId="77777777" w:rsidR="00793719" w:rsidRDefault="00793719" w:rsidP="005E3FD2">
            <w:pPr>
              <w:keepNext/>
              <w:jc w:val="right"/>
              <w:rPr>
                <w:color w:val="000000"/>
                <w:sz w:val="16"/>
                <w:szCs w:val="16"/>
              </w:rPr>
            </w:pPr>
            <w:r>
              <w:rPr>
                <w:color w:val="000000"/>
                <w:sz w:val="16"/>
                <w:szCs w:val="16"/>
              </w:rPr>
              <w:t>85.3</w:t>
            </w:r>
          </w:p>
        </w:tc>
        <w:tc>
          <w:tcPr>
            <w:tcW w:w="1123" w:type="dxa"/>
            <w:vAlign w:val="center"/>
          </w:tcPr>
          <w:p w14:paraId="1B7F5A65" w14:textId="77777777" w:rsidR="00793719" w:rsidRDefault="00793719" w:rsidP="005E3FD2">
            <w:pPr>
              <w:keepNext/>
              <w:jc w:val="right"/>
              <w:rPr>
                <w:color w:val="000000"/>
                <w:sz w:val="16"/>
                <w:szCs w:val="16"/>
              </w:rPr>
            </w:pPr>
            <w:r>
              <w:rPr>
                <w:color w:val="000000"/>
                <w:sz w:val="16"/>
                <w:szCs w:val="16"/>
              </w:rPr>
              <w:t>(63.2, 100.0)</w:t>
            </w:r>
          </w:p>
        </w:tc>
      </w:tr>
      <w:tr w:rsidR="00793719" w:rsidRPr="007B4EF8" w14:paraId="488947B5" w14:textId="77777777" w:rsidTr="00793719">
        <w:trPr>
          <w:jc w:val="center"/>
        </w:trPr>
        <w:tc>
          <w:tcPr>
            <w:tcW w:w="2127" w:type="dxa"/>
          </w:tcPr>
          <w:p w14:paraId="5AF8CD8C" w14:textId="77777777" w:rsidR="00793719" w:rsidRDefault="00793719" w:rsidP="005E3FD2">
            <w:pPr>
              <w:keepNext/>
              <w:spacing w:before="20" w:after="20"/>
              <w:ind w:left="34"/>
              <w:rPr>
                <w:rFonts w:eastAsiaTheme="minorEastAsia"/>
                <w:sz w:val="16"/>
                <w:szCs w:val="16"/>
                <w:lang w:eastAsia="en-US"/>
              </w:rPr>
            </w:pPr>
          </w:p>
        </w:tc>
        <w:tc>
          <w:tcPr>
            <w:tcW w:w="2379" w:type="dxa"/>
          </w:tcPr>
          <w:p w14:paraId="15F2587E" w14:textId="77777777" w:rsidR="00793719" w:rsidRPr="001B7431" w:rsidRDefault="00793719" w:rsidP="005E3FD2">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vAlign w:val="center"/>
          </w:tcPr>
          <w:p w14:paraId="0D398B14" w14:textId="77777777" w:rsidR="00793719" w:rsidRDefault="00793719" w:rsidP="005E3FD2">
            <w:pPr>
              <w:keepNext/>
              <w:jc w:val="right"/>
              <w:rPr>
                <w:color w:val="000000"/>
                <w:sz w:val="16"/>
                <w:szCs w:val="16"/>
              </w:rPr>
            </w:pPr>
            <w:r>
              <w:rPr>
                <w:color w:val="000000"/>
                <w:sz w:val="16"/>
                <w:szCs w:val="16"/>
              </w:rPr>
              <w:t>4</w:t>
            </w:r>
          </w:p>
        </w:tc>
        <w:tc>
          <w:tcPr>
            <w:tcW w:w="496" w:type="dxa"/>
            <w:vAlign w:val="center"/>
          </w:tcPr>
          <w:p w14:paraId="739945AB" w14:textId="77777777" w:rsidR="00793719" w:rsidRDefault="00793719" w:rsidP="005E3FD2">
            <w:pPr>
              <w:keepNext/>
              <w:jc w:val="right"/>
              <w:rPr>
                <w:color w:val="000000"/>
                <w:sz w:val="16"/>
                <w:szCs w:val="16"/>
              </w:rPr>
            </w:pPr>
            <w:r>
              <w:rPr>
                <w:color w:val="000000"/>
                <w:sz w:val="16"/>
                <w:szCs w:val="16"/>
              </w:rPr>
              <w:t>4.6</w:t>
            </w:r>
          </w:p>
        </w:tc>
        <w:tc>
          <w:tcPr>
            <w:tcW w:w="1043" w:type="dxa"/>
            <w:tcBorders>
              <w:right w:val="single" w:sz="4" w:space="0" w:color="auto"/>
            </w:tcBorders>
            <w:vAlign w:val="center"/>
          </w:tcPr>
          <w:p w14:paraId="5A12B54B" w14:textId="77777777" w:rsidR="00793719" w:rsidRDefault="00793719" w:rsidP="005E3FD2">
            <w:pPr>
              <w:keepNext/>
              <w:jc w:val="right"/>
              <w:rPr>
                <w:color w:val="000000"/>
                <w:sz w:val="16"/>
                <w:szCs w:val="16"/>
              </w:rPr>
            </w:pPr>
            <w:r>
              <w:rPr>
                <w:color w:val="000000"/>
                <w:sz w:val="16"/>
                <w:szCs w:val="16"/>
              </w:rPr>
              <w:t>(0.2, 9.0)</w:t>
            </w:r>
          </w:p>
        </w:tc>
        <w:tc>
          <w:tcPr>
            <w:tcW w:w="569" w:type="dxa"/>
            <w:tcBorders>
              <w:left w:val="single" w:sz="4" w:space="0" w:color="auto"/>
            </w:tcBorders>
            <w:vAlign w:val="center"/>
          </w:tcPr>
          <w:p w14:paraId="1AC1E7F9" w14:textId="77777777" w:rsidR="00793719" w:rsidRDefault="00793719" w:rsidP="005E3FD2">
            <w:pPr>
              <w:keepNext/>
              <w:jc w:val="right"/>
              <w:rPr>
                <w:color w:val="000000"/>
                <w:sz w:val="16"/>
                <w:szCs w:val="16"/>
              </w:rPr>
            </w:pPr>
            <w:r>
              <w:rPr>
                <w:color w:val="000000"/>
                <w:sz w:val="16"/>
                <w:szCs w:val="16"/>
              </w:rPr>
              <w:t>9</w:t>
            </w:r>
          </w:p>
        </w:tc>
        <w:tc>
          <w:tcPr>
            <w:tcW w:w="567" w:type="dxa"/>
            <w:vAlign w:val="center"/>
          </w:tcPr>
          <w:p w14:paraId="1BECFA40" w14:textId="77777777" w:rsidR="00793719" w:rsidRDefault="00793719" w:rsidP="005E3FD2">
            <w:pPr>
              <w:keepNext/>
              <w:jc w:val="right"/>
              <w:rPr>
                <w:color w:val="000000"/>
                <w:sz w:val="16"/>
                <w:szCs w:val="16"/>
              </w:rPr>
            </w:pPr>
            <w:r>
              <w:rPr>
                <w:color w:val="000000"/>
                <w:sz w:val="16"/>
                <w:szCs w:val="16"/>
              </w:rPr>
              <w:t>15.7</w:t>
            </w:r>
          </w:p>
        </w:tc>
        <w:tc>
          <w:tcPr>
            <w:tcW w:w="1123" w:type="dxa"/>
            <w:tcBorders>
              <w:right w:val="single" w:sz="4" w:space="0" w:color="auto"/>
            </w:tcBorders>
            <w:vAlign w:val="center"/>
          </w:tcPr>
          <w:p w14:paraId="6D4924F7" w14:textId="77777777" w:rsidR="00793719" w:rsidRDefault="00793719" w:rsidP="005E3FD2">
            <w:pPr>
              <w:keepNext/>
              <w:jc w:val="right"/>
              <w:rPr>
                <w:color w:val="000000"/>
                <w:sz w:val="16"/>
                <w:szCs w:val="16"/>
              </w:rPr>
            </w:pPr>
            <w:r>
              <w:rPr>
                <w:color w:val="000000"/>
                <w:sz w:val="16"/>
                <w:szCs w:val="16"/>
              </w:rPr>
              <w:t>(4.3, 27.1)</w:t>
            </w:r>
          </w:p>
        </w:tc>
        <w:tc>
          <w:tcPr>
            <w:tcW w:w="536" w:type="dxa"/>
            <w:tcBorders>
              <w:left w:val="single" w:sz="4" w:space="0" w:color="auto"/>
            </w:tcBorders>
            <w:vAlign w:val="center"/>
          </w:tcPr>
          <w:p w14:paraId="2A1C0F05" w14:textId="77777777" w:rsidR="00793719" w:rsidRDefault="00793719" w:rsidP="005E3FD2">
            <w:pPr>
              <w:keepNext/>
              <w:jc w:val="right"/>
              <w:rPr>
                <w:color w:val="000000"/>
                <w:sz w:val="16"/>
                <w:szCs w:val="16"/>
              </w:rPr>
            </w:pPr>
            <w:r>
              <w:rPr>
                <w:color w:val="000000"/>
                <w:sz w:val="16"/>
                <w:szCs w:val="16"/>
              </w:rPr>
              <w:t>2</w:t>
            </w:r>
          </w:p>
        </w:tc>
        <w:tc>
          <w:tcPr>
            <w:tcW w:w="576" w:type="dxa"/>
            <w:vAlign w:val="center"/>
          </w:tcPr>
          <w:p w14:paraId="1178ECE4" w14:textId="77777777" w:rsidR="00793719" w:rsidRDefault="00793719" w:rsidP="005E3FD2">
            <w:pPr>
              <w:keepNext/>
              <w:jc w:val="right"/>
              <w:rPr>
                <w:color w:val="000000"/>
                <w:sz w:val="16"/>
                <w:szCs w:val="16"/>
              </w:rPr>
            </w:pPr>
            <w:r>
              <w:rPr>
                <w:color w:val="000000"/>
                <w:sz w:val="16"/>
                <w:szCs w:val="16"/>
              </w:rPr>
              <w:t>4.9</w:t>
            </w:r>
          </w:p>
        </w:tc>
        <w:tc>
          <w:tcPr>
            <w:tcW w:w="1123" w:type="dxa"/>
            <w:tcBorders>
              <w:right w:val="single" w:sz="4" w:space="0" w:color="auto"/>
            </w:tcBorders>
            <w:vAlign w:val="center"/>
          </w:tcPr>
          <w:p w14:paraId="67249189" w14:textId="77777777" w:rsidR="00793719" w:rsidRDefault="002F172C" w:rsidP="005E3FD2">
            <w:pPr>
              <w:keepNext/>
              <w:jc w:val="right"/>
              <w:rPr>
                <w:color w:val="000000"/>
                <w:sz w:val="16"/>
                <w:szCs w:val="16"/>
              </w:rPr>
            </w:pPr>
            <w:r>
              <w:rPr>
                <w:color w:val="000000"/>
                <w:sz w:val="16"/>
                <w:szCs w:val="16"/>
              </w:rPr>
              <w:t>!</w:t>
            </w:r>
          </w:p>
        </w:tc>
        <w:tc>
          <w:tcPr>
            <w:tcW w:w="536" w:type="dxa"/>
            <w:tcBorders>
              <w:left w:val="single" w:sz="4" w:space="0" w:color="auto"/>
            </w:tcBorders>
            <w:vAlign w:val="center"/>
          </w:tcPr>
          <w:p w14:paraId="00F02325" w14:textId="77777777" w:rsidR="00793719" w:rsidRDefault="00793719" w:rsidP="005E3FD2">
            <w:pPr>
              <w:keepNext/>
              <w:jc w:val="right"/>
              <w:rPr>
                <w:color w:val="000000"/>
                <w:sz w:val="16"/>
                <w:szCs w:val="16"/>
              </w:rPr>
            </w:pPr>
            <w:r>
              <w:rPr>
                <w:color w:val="000000"/>
                <w:sz w:val="16"/>
                <w:szCs w:val="16"/>
              </w:rPr>
              <w:t>1</w:t>
            </w:r>
          </w:p>
        </w:tc>
        <w:tc>
          <w:tcPr>
            <w:tcW w:w="567" w:type="dxa"/>
            <w:vAlign w:val="center"/>
          </w:tcPr>
          <w:p w14:paraId="1780E4E9" w14:textId="77777777" w:rsidR="00793719" w:rsidRDefault="00793719" w:rsidP="005E3FD2">
            <w:pPr>
              <w:keepNext/>
              <w:jc w:val="right"/>
              <w:rPr>
                <w:color w:val="000000"/>
                <w:sz w:val="16"/>
                <w:szCs w:val="16"/>
              </w:rPr>
            </w:pPr>
            <w:r>
              <w:rPr>
                <w:color w:val="000000"/>
                <w:sz w:val="16"/>
                <w:szCs w:val="16"/>
              </w:rPr>
              <w:t>6.4</w:t>
            </w:r>
          </w:p>
        </w:tc>
        <w:tc>
          <w:tcPr>
            <w:tcW w:w="1123" w:type="dxa"/>
            <w:vAlign w:val="center"/>
          </w:tcPr>
          <w:p w14:paraId="46DA8767" w14:textId="77777777" w:rsidR="00793719" w:rsidRDefault="002F172C" w:rsidP="005E3FD2">
            <w:pPr>
              <w:keepNext/>
              <w:jc w:val="right"/>
              <w:rPr>
                <w:color w:val="000000"/>
                <w:sz w:val="16"/>
                <w:szCs w:val="16"/>
              </w:rPr>
            </w:pPr>
            <w:r>
              <w:rPr>
                <w:color w:val="000000"/>
                <w:sz w:val="16"/>
                <w:szCs w:val="16"/>
              </w:rPr>
              <w:t>!</w:t>
            </w:r>
          </w:p>
        </w:tc>
      </w:tr>
      <w:tr w:rsidR="00793719" w:rsidRPr="007B4EF8" w14:paraId="78D477B7" w14:textId="77777777" w:rsidTr="00793719">
        <w:trPr>
          <w:jc w:val="center"/>
        </w:trPr>
        <w:tc>
          <w:tcPr>
            <w:tcW w:w="2127" w:type="dxa"/>
          </w:tcPr>
          <w:p w14:paraId="5590BF46" w14:textId="77777777" w:rsidR="00793719" w:rsidRDefault="00793719" w:rsidP="00793719">
            <w:pPr>
              <w:spacing w:before="20" w:after="20"/>
              <w:ind w:left="34"/>
              <w:rPr>
                <w:rFonts w:eastAsiaTheme="minorEastAsia"/>
                <w:sz w:val="16"/>
                <w:szCs w:val="16"/>
                <w:lang w:eastAsia="en-US"/>
              </w:rPr>
            </w:pPr>
          </w:p>
        </w:tc>
        <w:tc>
          <w:tcPr>
            <w:tcW w:w="2379" w:type="dxa"/>
          </w:tcPr>
          <w:p w14:paraId="2D06B613"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vAlign w:val="center"/>
          </w:tcPr>
          <w:p w14:paraId="7583C1FA" w14:textId="77777777" w:rsidR="00793719" w:rsidRDefault="00793719" w:rsidP="00793719">
            <w:pPr>
              <w:jc w:val="right"/>
              <w:rPr>
                <w:color w:val="000000"/>
                <w:sz w:val="16"/>
                <w:szCs w:val="16"/>
              </w:rPr>
            </w:pPr>
            <w:r>
              <w:rPr>
                <w:color w:val="000000"/>
                <w:sz w:val="16"/>
                <w:szCs w:val="16"/>
              </w:rPr>
              <w:t>8</w:t>
            </w:r>
          </w:p>
        </w:tc>
        <w:tc>
          <w:tcPr>
            <w:tcW w:w="496" w:type="dxa"/>
            <w:vAlign w:val="center"/>
          </w:tcPr>
          <w:p w14:paraId="5AB5942C" w14:textId="77777777" w:rsidR="00793719" w:rsidRDefault="00793719" w:rsidP="00793719">
            <w:pPr>
              <w:jc w:val="right"/>
              <w:rPr>
                <w:color w:val="000000"/>
                <w:sz w:val="16"/>
                <w:szCs w:val="16"/>
              </w:rPr>
            </w:pPr>
            <w:r>
              <w:rPr>
                <w:color w:val="000000"/>
                <w:sz w:val="16"/>
                <w:szCs w:val="16"/>
              </w:rPr>
              <w:t>8.6</w:t>
            </w:r>
          </w:p>
        </w:tc>
        <w:tc>
          <w:tcPr>
            <w:tcW w:w="1043" w:type="dxa"/>
            <w:tcBorders>
              <w:right w:val="single" w:sz="4" w:space="0" w:color="auto"/>
            </w:tcBorders>
            <w:vAlign w:val="center"/>
          </w:tcPr>
          <w:p w14:paraId="03023BAC" w14:textId="77777777" w:rsidR="00793719" w:rsidRDefault="00793719" w:rsidP="00793719">
            <w:pPr>
              <w:jc w:val="right"/>
              <w:rPr>
                <w:color w:val="000000"/>
                <w:sz w:val="16"/>
                <w:szCs w:val="16"/>
              </w:rPr>
            </w:pPr>
            <w:r>
              <w:rPr>
                <w:color w:val="000000"/>
                <w:sz w:val="16"/>
                <w:szCs w:val="16"/>
              </w:rPr>
              <w:t>(2.4, 14.9)</w:t>
            </w:r>
          </w:p>
        </w:tc>
        <w:tc>
          <w:tcPr>
            <w:tcW w:w="569" w:type="dxa"/>
            <w:tcBorders>
              <w:left w:val="single" w:sz="4" w:space="0" w:color="auto"/>
            </w:tcBorders>
            <w:vAlign w:val="center"/>
          </w:tcPr>
          <w:p w14:paraId="07B7E73E" w14:textId="77777777" w:rsidR="00793719" w:rsidRDefault="00793719" w:rsidP="00793719">
            <w:pPr>
              <w:jc w:val="right"/>
              <w:rPr>
                <w:color w:val="000000"/>
                <w:sz w:val="16"/>
                <w:szCs w:val="16"/>
              </w:rPr>
            </w:pPr>
            <w:r>
              <w:rPr>
                <w:color w:val="000000"/>
                <w:sz w:val="16"/>
                <w:szCs w:val="16"/>
              </w:rPr>
              <w:t>3</w:t>
            </w:r>
          </w:p>
        </w:tc>
        <w:tc>
          <w:tcPr>
            <w:tcW w:w="567" w:type="dxa"/>
            <w:vAlign w:val="center"/>
          </w:tcPr>
          <w:p w14:paraId="352EDA04" w14:textId="77777777" w:rsidR="00793719" w:rsidRDefault="00793719" w:rsidP="00793719">
            <w:pPr>
              <w:jc w:val="right"/>
              <w:rPr>
                <w:color w:val="000000"/>
                <w:sz w:val="16"/>
                <w:szCs w:val="16"/>
              </w:rPr>
            </w:pPr>
            <w:r>
              <w:rPr>
                <w:color w:val="000000"/>
                <w:sz w:val="16"/>
                <w:szCs w:val="16"/>
              </w:rPr>
              <w:t>5.7</w:t>
            </w:r>
          </w:p>
        </w:tc>
        <w:tc>
          <w:tcPr>
            <w:tcW w:w="1123" w:type="dxa"/>
            <w:tcBorders>
              <w:right w:val="single" w:sz="4" w:space="0" w:color="auto"/>
            </w:tcBorders>
            <w:vAlign w:val="center"/>
          </w:tcPr>
          <w:p w14:paraId="616EA787" w14:textId="77777777" w:rsidR="00793719" w:rsidRDefault="00793719" w:rsidP="00793719">
            <w:pPr>
              <w:jc w:val="right"/>
              <w:rPr>
                <w:color w:val="000000"/>
                <w:sz w:val="16"/>
                <w:szCs w:val="16"/>
              </w:rPr>
            </w:pPr>
            <w:r>
              <w:rPr>
                <w:color w:val="000000"/>
                <w:sz w:val="16"/>
                <w:szCs w:val="16"/>
              </w:rPr>
              <w:t>(0.0, 13.1)</w:t>
            </w:r>
          </w:p>
        </w:tc>
        <w:tc>
          <w:tcPr>
            <w:tcW w:w="536" w:type="dxa"/>
            <w:tcBorders>
              <w:left w:val="single" w:sz="4" w:space="0" w:color="auto"/>
            </w:tcBorders>
            <w:vAlign w:val="center"/>
          </w:tcPr>
          <w:p w14:paraId="6D1DE010" w14:textId="77777777" w:rsidR="00793719" w:rsidRDefault="00793719" w:rsidP="00793719">
            <w:pPr>
              <w:jc w:val="right"/>
              <w:rPr>
                <w:color w:val="000000"/>
                <w:sz w:val="16"/>
                <w:szCs w:val="16"/>
              </w:rPr>
            </w:pPr>
            <w:r>
              <w:rPr>
                <w:color w:val="000000"/>
                <w:sz w:val="16"/>
                <w:szCs w:val="16"/>
              </w:rPr>
              <w:t>0</w:t>
            </w:r>
          </w:p>
        </w:tc>
        <w:tc>
          <w:tcPr>
            <w:tcW w:w="576" w:type="dxa"/>
            <w:vAlign w:val="center"/>
          </w:tcPr>
          <w:p w14:paraId="2E29AB44" w14:textId="77777777" w:rsidR="00793719" w:rsidRDefault="00793719" w:rsidP="00793719">
            <w:pPr>
              <w:jc w:val="right"/>
              <w:rPr>
                <w:color w:val="000000"/>
                <w:sz w:val="16"/>
                <w:szCs w:val="16"/>
              </w:rPr>
            </w:pPr>
            <w:r>
              <w:rPr>
                <w:color w:val="000000"/>
                <w:sz w:val="16"/>
                <w:szCs w:val="16"/>
              </w:rPr>
              <w:t>0.3</w:t>
            </w:r>
          </w:p>
        </w:tc>
        <w:tc>
          <w:tcPr>
            <w:tcW w:w="1123" w:type="dxa"/>
            <w:tcBorders>
              <w:right w:val="single" w:sz="4" w:space="0" w:color="auto"/>
            </w:tcBorders>
            <w:vAlign w:val="center"/>
          </w:tcPr>
          <w:p w14:paraId="0F9C2773" w14:textId="77777777" w:rsidR="00793719" w:rsidRDefault="002F172C" w:rsidP="00793719">
            <w:pPr>
              <w:jc w:val="right"/>
              <w:rPr>
                <w:color w:val="000000"/>
                <w:sz w:val="16"/>
                <w:szCs w:val="16"/>
              </w:rPr>
            </w:pPr>
            <w:r>
              <w:rPr>
                <w:color w:val="000000"/>
                <w:sz w:val="16"/>
                <w:szCs w:val="16"/>
              </w:rPr>
              <w:t>!</w:t>
            </w:r>
          </w:p>
        </w:tc>
        <w:tc>
          <w:tcPr>
            <w:tcW w:w="536" w:type="dxa"/>
            <w:tcBorders>
              <w:left w:val="single" w:sz="4" w:space="0" w:color="auto"/>
            </w:tcBorders>
            <w:vAlign w:val="center"/>
          </w:tcPr>
          <w:p w14:paraId="74A20EC9" w14:textId="77777777" w:rsidR="00793719" w:rsidRDefault="00793719" w:rsidP="00793719">
            <w:pPr>
              <w:jc w:val="right"/>
              <w:rPr>
                <w:color w:val="000000"/>
                <w:sz w:val="16"/>
                <w:szCs w:val="16"/>
              </w:rPr>
            </w:pPr>
            <w:r>
              <w:rPr>
                <w:color w:val="000000"/>
                <w:sz w:val="16"/>
                <w:szCs w:val="16"/>
              </w:rPr>
              <w:t>2</w:t>
            </w:r>
          </w:p>
        </w:tc>
        <w:tc>
          <w:tcPr>
            <w:tcW w:w="567" w:type="dxa"/>
            <w:vAlign w:val="center"/>
          </w:tcPr>
          <w:p w14:paraId="081E3513" w14:textId="77777777" w:rsidR="00793719" w:rsidRDefault="00793719" w:rsidP="00793719">
            <w:pPr>
              <w:jc w:val="right"/>
              <w:rPr>
                <w:color w:val="000000"/>
                <w:sz w:val="16"/>
                <w:szCs w:val="16"/>
              </w:rPr>
            </w:pPr>
            <w:r>
              <w:rPr>
                <w:color w:val="000000"/>
                <w:sz w:val="16"/>
                <w:szCs w:val="16"/>
              </w:rPr>
              <w:t>8.3</w:t>
            </w:r>
          </w:p>
        </w:tc>
        <w:tc>
          <w:tcPr>
            <w:tcW w:w="1123" w:type="dxa"/>
            <w:vAlign w:val="center"/>
          </w:tcPr>
          <w:p w14:paraId="09E6DDB7" w14:textId="77777777" w:rsidR="00793719" w:rsidRDefault="002F172C" w:rsidP="00793719">
            <w:pPr>
              <w:jc w:val="right"/>
              <w:rPr>
                <w:color w:val="000000"/>
                <w:sz w:val="16"/>
                <w:szCs w:val="16"/>
              </w:rPr>
            </w:pPr>
            <w:r>
              <w:rPr>
                <w:color w:val="000000"/>
                <w:sz w:val="16"/>
                <w:szCs w:val="16"/>
              </w:rPr>
              <w:t>!</w:t>
            </w:r>
          </w:p>
        </w:tc>
      </w:tr>
      <w:tr w:rsidR="00793719" w:rsidRPr="007B4EF8" w14:paraId="7C78CF5C" w14:textId="77777777" w:rsidTr="00793719">
        <w:trPr>
          <w:jc w:val="center"/>
        </w:trPr>
        <w:tc>
          <w:tcPr>
            <w:tcW w:w="2127" w:type="dxa"/>
          </w:tcPr>
          <w:p w14:paraId="0A019734" w14:textId="77777777" w:rsidR="00793719" w:rsidRDefault="00793719" w:rsidP="00793719">
            <w:pPr>
              <w:spacing w:before="20" w:after="20"/>
              <w:ind w:left="34"/>
              <w:rPr>
                <w:rFonts w:eastAsiaTheme="minorEastAsia"/>
                <w:sz w:val="16"/>
                <w:szCs w:val="16"/>
                <w:lang w:eastAsia="en-US"/>
              </w:rPr>
            </w:pPr>
            <w:r>
              <w:rPr>
                <w:rFonts w:eastAsiaTheme="minorEastAsia"/>
                <w:sz w:val="16"/>
                <w:szCs w:val="16"/>
                <w:lang w:eastAsia="en-US"/>
              </w:rPr>
              <w:t>16 - 30 minutes</w:t>
            </w:r>
          </w:p>
        </w:tc>
        <w:tc>
          <w:tcPr>
            <w:tcW w:w="2379" w:type="dxa"/>
          </w:tcPr>
          <w:p w14:paraId="7A1252C5"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vAlign w:val="center"/>
          </w:tcPr>
          <w:p w14:paraId="2BFE4834" w14:textId="77777777" w:rsidR="00793719" w:rsidRDefault="00793719" w:rsidP="00793719">
            <w:pPr>
              <w:jc w:val="right"/>
              <w:rPr>
                <w:color w:val="000000"/>
                <w:sz w:val="16"/>
                <w:szCs w:val="16"/>
              </w:rPr>
            </w:pPr>
            <w:r>
              <w:rPr>
                <w:color w:val="000000"/>
                <w:sz w:val="16"/>
                <w:szCs w:val="16"/>
              </w:rPr>
              <w:t>100</w:t>
            </w:r>
          </w:p>
        </w:tc>
        <w:tc>
          <w:tcPr>
            <w:tcW w:w="496" w:type="dxa"/>
            <w:vAlign w:val="center"/>
          </w:tcPr>
          <w:p w14:paraId="5524B773" w14:textId="77777777" w:rsidR="00793719" w:rsidRDefault="00793719" w:rsidP="00793719">
            <w:pPr>
              <w:jc w:val="right"/>
              <w:rPr>
                <w:color w:val="000000"/>
                <w:sz w:val="16"/>
                <w:szCs w:val="16"/>
              </w:rPr>
            </w:pPr>
            <w:r>
              <w:rPr>
                <w:color w:val="000000"/>
                <w:sz w:val="16"/>
                <w:szCs w:val="16"/>
              </w:rPr>
              <w:t>79.8</w:t>
            </w:r>
          </w:p>
        </w:tc>
        <w:tc>
          <w:tcPr>
            <w:tcW w:w="1043" w:type="dxa"/>
            <w:tcBorders>
              <w:right w:val="single" w:sz="4" w:space="0" w:color="auto"/>
            </w:tcBorders>
            <w:vAlign w:val="center"/>
          </w:tcPr>
          <w:p w14:paraId="7C9E9855" w14:textId="77777777" w:rsidR="00793719" w:rsidRDefault="00793719" w:rsidP="00793719">
            <w:pPr>
              <w:jc w:val="right"/>
              <w:rPr>
                <w:color w:val="000000"/>
                <w:sz w:val="16"/>
                <w:szCs w:val="16"/>
              </w:rPr>
            </w:pPr>
            <w:r>
              <w:rPr>
                <w:color w:val="000000"/>
                <w:sz w:val="16"/>
                <w:szCs w:val="16"/>
              </w:rPr>
              <w:t>(70.8, 88.8)</w:t>
            </w:r>
          </w:p>
        </w:tc>
        <w:tc>
          <w:tcPr>
            <w:tcW w:w="569" w:type="dxa"/>
            <w:tcBorders>
              <w:left w:val="single" w:sz="4" w:space="0" w:color="auto"/>
            </w:tcBorders>
            <w:vAlign w:val="center"/>
          </w:tcPr>
          <w:p w14:paraId="6B46E1BF" w14:textId="77777777" w:rsidR="00793719" w:rsidRDefault="00793719" w:rsidP="00793719">
            <w:pPr>
              <w:jc w:val="right"/>
              <w:rPr>
                <w:color w:val="000000"/>
                <w:sz w:val="16"/>
                <w:szCs w:val="16"/>
              </w:rPr>
            </w:pPr>
            <w:r>
              <w:rPr>
                <w:color w:val="000000"/>
                <w:sz w:val="16"/>
                <w:szCs w:val="16"/>
              </w:rPr>
              <w:t>32</w:t>
            </w:r>
          </w:p>
        </w:tc>
        <w:tc>
          <w:tcPr>
            <w:tcW w:w="567" w:type="dxa"/>
            <w:vAlign w:val="center"/>
          </w:tcPr>
          <w:p w14:paraId="194F59BF" w14:textId="77777777" w:rsidR="00793719" w:rsidRDefault="00793719" w:rsidP="00793719">
            <w:pPr>
              <w:jc w:val="right"/>
              <w:rPr>
                <w:color w:val="000000"/>
                <w:sz w:val="16"/>
                <w:szCs w:val="16"/>
              </w:rPr>
            </w:pPr>
            <w:r>
              <w:rPr>
                <w:color w:val="000000"/>
                <w:sz w:val="16"/>
                <w:szCs w:val="16"/>
              </w:rPr>
              <w:t>75.9</w:t>
            </w:r>
          </w:p>
        </w:tc>
        <w:tc>
          <w:tcPr>
            <w:tcW w:w="1123" w:type="dxa"/>
            <w:tcBorders>
              <w:right w:val="single" w:sz="4" w:space="0" w:color="auto"/>
            </w:tcBorders>
            <w:vAlign w:val="center"/>
          </w:tcPr>
          <w:p w14:paraId="1432A385" w14:textId="77777777" w:rsidR="00793719" w:rsidRDefault="00793719" w:rsidP="00793719">
            <w:pPr>
              <w:jc w:val="right"/>
              <w:rPr>
                <w:color w:val="000000"/>
                <w:sz w:val="16"/>
                <w:szCs w:val="16"/>
              </w:rPr>
            </w:pPr>
            <w:r>
              <w:rPr>
                <w:color w:val="000000"/>
                <w:sz w:val="16"/>
                <w:szCs w:val="16"/>
              </w:rPr>
              <w:t>(64.4, 87.3)</w:t>
            </w:r>
          </w:p>
        </w:tc>
        <w:tc>
          <w:tcPr>
            <w:tcW w:w="536" w:type="dxa"/>
            <w:tcBorders>
              <w:left w:val="single" w:sz="4" w:space="0" w:color="auto"/>
            </w:tcBorders>
            <w:vAlign w:val="center"/>
          </w:tcPr>
          <w:p w14:paraId="75B7E274" w14:textId="77777777" w:rsidR="00793719" w:rsidRDefault="00793719" w:rsidP="00793719">
            <w:pPr>
              <w:jc w:val="right"/>
              <w:rPr>
                <w:color w:val="000000"/>
                <w:sz w:val="16"/>
                <w:szCs w:val="16"/>
              </w:rPr>
            </w:pPr>
            <w:r>
              <w:rPr>
                <w:color w:val="000000"/>
                <w:sz w:val="16"/>
                <w:szCs w:val="16"/>
              </w:rPr>
              <w:t>29</w:t>
            </w:r>
          </w:p>
        </w:tc>
        <w:tc>
          <w:tcPr>
            <w:tcW w:w="576" w:type="dxa"/>
            <w:vAlign w:val="center"/>
          </w:tcPr>
          <w:p w14:paraId="2A7784BD" w14:textId="77777777" w:rsidR="00793719" w:rsidRDefault="00793719" w:rsidP="00793719">
            <w:pPr>
              <w:jc w:val="right"/>
              <w:rPr>
                <w:color w:val="000000"/>
                <w:sz w:val="16"/>
                <w:szCs w:val="16"/>
              </w:rPr>
            </w:pPr>
            <w:r>
              <w:rPr>
                <w:color w:val="000000"/>
                <w:sz w:val="16"/>
                <w:szCs w:val="16"/>
              </w:rPr>
              <w:t>79.9</w:t>
            </w:r>
          </w:p>
        </w:tc>
        <w:tc>
          <w:tcPr>
            <w:tcW w:w="1123" w:type="dxa"/>
            <w:tcBorders>
              <w:right w:val="single" w:sz="4" w:space="0" w:color="auto"/>
            </w:tcBorders>
            <w:vAlign w:val="center"/>
          </w:tcPr>
          <w:p w14:paraId="462BFF3B" w14:textId="77777777" w:rsidR="00793719" w:rsidRDefault="00793719" w:rsidP="00793719">
            <w:pPr>
              <w:jc w:val="right"/>
              <w:rPr>
                <w:color w:val="000000"/>
                <w:sz w:val="16"/>
                <w:szCs w:val="16"/>
              </w:rPr>
            </w:pPr>
            <w:r>
              <w:rPr>
                <w:color w:val="000000"/>
                <w:sz w:val="16"/>
                <w:szCs w:val="16"/>
              </w:rPr>
              <w:t>(66.8, 93.1)</w:t>
            </w:r>
          </w:p>
        </w:tc>
        <w:tc>
          <w:tcPr>
            <w:tcW w:w="536" w:type="dxa"/>
            <w:tcBorders>
              <w:left w:val="single" w:sz="4" w:space="0" w:color="auto"/>
            </w:tcBorders>
            <w:vAlign w:val="center"/>
          </w:tcPr>
          <w:p w14:paraId="20EB5998" w14:textId="77777777" w:rsidR="00793719" w:rsidRDefault="00793719" w:rsidP="00793719">
            <w:pPr>
              <w:jc w:val="right"/>
              <w:rPr>
                <w:color w:val="000000"/>
                <w:sz w:val="16"/>
                <w:szCs w:val="16"/>
              </w:rPr>
            </w:pPr>
            <w:r>
              <w:rPr>
                <w:color w:val="000000"/>
                <w:sz w:val="16"/>
                <w:szCs w:val="16"/>
              </w:rPr>
              <w:t>28</w:t>
            </w:r>
          </w:p>
        </w:tc>
        <w:tc>
          <w:tcPr>
            <w:tcW w:w="567" w:type="dxa"/>
            <w:vAlign w:val="center"/>
          </w:tcPr>
          <w:p w14:paraId="7FD8E9EA" w14:textId="77777777" w:rsidR="00793719" w:rsidRDefault="00793719" w:rsidP="00793719">
            <w:pPr>
              <w:jc w:val="right"/>
              <w:rPr>
                <w:color w:val="000000"/>
                <w:sz w:val="16"/>
                <w:szCs w:val="16"/>
              </w:rPr>
            </w:pPr>
            <w:r>
              <w:rPr>
                <w:color w:val="000000"/>
                <w:sz w:val="16"/>
                <w:szCs w:val="16"/>
              </w:rPr>
              <w:t>79.0</w:t>
            </w:r>
          </w:p>
        </w:tc>
        <w:tc>
          <w:tcPr>
            <w:tcW w:w="1123" w:type="dxa"/>
            <w:vAlign w:val="center"/>
          </w:tcPr>
          <w:p w14:paraId="3F92C412" w14:textId="77777777" w:rsidR="00793719" w:rsidRDefault="00793719" w:rsidP="00793719">
            <w:pPr>
              <w:jc w:val="right"/>
              <w:rPr>
                <w:color w:val="000000"/>
                <w:sz w:val="16"/>
                <w:szCs w:val="16"/>
              </w:rPr>
            </w:pPr>
            <w:r>
              <w:rPr>
                <w:color w:val="000000"/>
                <w:sz w:val="16"/>
                <w:szCs w:val="16"/>
              </w:rPr>
              <w:t>(61.9, 96.2)</w:t>
            </w:r>
          </w:p>
        </w:tc>
      </w:tr>
      <w:tr w:rsidR="00793719" w:rsidRPr="007B4EF8" w14:paraId="03E6E61C" w14:textId="77777777" w:rsidTr="00793719">
        <w:trPr>
          <w:jc w:val="center"/>
        </w:trPr>
        <w:tc>
          <w:tcPr>
            <w:tcW w:w="2127" w:type="dxa"/>
          </w:tcPr>
          <w:p w14:paraId="41B8010C" w14:textId="77777777" w:rsidR="00793719" w:rsidRDefault="00793719" w:rsidP="00793719">
            <w:pPr>
              <w:spacing w:before="20" w:after="20"/>
              <w:ind w:left="34"/>
              <w:rPr>
                <w:rFonts w:eastAsiaTheme="minorEastAsia"/>
                <w:sz w:val="16"/>
                <w:szCs w:val="16"/>
                <w:lang w:eastAsia="en-US"/>
              </w:rPr>
            </w:pPr>
          </w:p>
        </w:tc>
        <w:tc>
          <w:tcPr>
            <w:tcW w:w="2379" w:type="dxa"/>
          </w:tcPr>
          <w:p w14:paraId="4B0CF051"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vAlign w:val="center"/>
          </w:tcPr>
          <w:p w14:paraId="4A6C2DCA" w14:textId="77777777" w:rsidR="00793719" w:rsidRDefault="00793719" w:rsidP="00793719">
            <w:pPr>
              <w:jc w:val="right"/>
              <w:rPr>
                <w:color w:val="000000"/>
                <w:sz w:val="16"/>
                <w:szCs w:val="16"/>
              </w:rPr>
            </w:pPr>
            <w:r>
              <w:rPr>
                <w:color w:val="000000"/>
                <w:sz w:val="16"/>
                <w:szCs w:val="16"/>
              </w:rPr>
              <w:t>16</w:t>
            </w:r>
          </w:p>
        </w:tc>
        <w:tc>
          <w:tcPr>
            <w:tcW w:w="496" w:type="dxa"/>
            <w:vAlign w:val="center"/>
          </w:tcPr>
          <w:p w14:paraId="33257A79" w14:textId="77777777" w:rsidR="00793719" w:rsidRDefault="00793719" w:rsidP="00793719">
            <w:pPr>
              <w:jc w:val="right"/>
              <w:rPr>
                <w:color w:val="000000"/>
                <w:sz w:val="16"/>
                <w:szCs w:val="16"/>
              </w:rPr>
            </w:pPr>
            <w:r>
              <w:rPr>
                <w:color w:val="000000"/>
                <w:sz w:val="16"/>
                <w:szCs w:val="16"/>
              </w:rPr>
              <w:t>12.8</w:t>
            </w:r>
          </w:p>
        </w:tc>
        <w:tc>
          <w:tcPr>
            <w:tcW w:w="1043" w:type="dxa"/>
            <w:tcBorders>
              <w:right w:val="single" w:sz="4" w:space="0" w:color="auto"/>
            </w:tcBorders>
            <w:vAlign w:val="center"/>
          </w:tcPr>
          <w:p w14:paraId="3FD83080" w14:textId="77777777" w:rsidR="00793719" w:rsidRDefault="00793719" w:rsidP="00793719">
            <w:pPr>
              <w:jc w:val="right"/>
              <w:rPr>
                <w:color w:val="000000"/>
                <w:sz w:val="16"/>
                <w:szCs w:val="16"/>
              </w:rPr>
            </w:pPr>
            <w:r>
              <w:rPr>
                <w:color w:val="000000"/>
                <w:sz w:val="16"/>
                <w:szCs w:val="16"/>
              </w:rPr>
              <w:t>(4.9, 20.8)</w:t>
            </w:r>
          </w:p>
        </w:tc>
        <w:tc>
          <w:tcPr>
            <w:tcW w:w="569" w:type="dxa"/>
            <w:tcBorders>
              <w:left w:val="single" w:sz="4" w:space="0" w:color="auto"/>
            </w:tcBorders>
            <w:vAlign w:val="center"/>
          </w:tcPr>
          <w:p w14:paraId="63C96F59" w14:textId="77777777" w:rsidR="00793719" w:rsidRDefault="00793719" w:rsidP="00793719">
            <w:pPr>
              <w:jc w:val="right"/>
              <w:rPr>
                <w:color w:val="000000"/>
                <w:sz w:val="16"/>
                <w:szCs w:val="16"/>
              </w:rPr>
            </w:pPr>
            <w:r>
              <w:rPr>
                <w:color w:val="000000"/>
                <w:sz w:val="16"/>
                <w:szCs w:val="16"/>
              </w:rPr>
              <w:t>6</w:t>
            </w:r>
          </w:p>
        </w:tc>
        <w:tc>
          <w:tcPr>
            <w:tcW w:w="567" w:type="dxa"/>
            <w:vAlign w:val="center"/>
          </w:tcPr>
          <w:p w14:paraId="41C182CC" w14:textId="77777777" w:rsidR="00793719" w:rsidRDefault="00793719" w:rsidP="00793719">
            <w:pPr>
              <w:jc w:val="right"/>
              <w:rPr>
                <w:color w:val="000000"/>
                <w:sz w:val="16"/>
                <w:szCs w:val="16"/>
              </w:rPr>
            </w:pPr>
            <w:r>
              <w:rPr>
                <w:color w:val="000000"/>
                <w:sz w:val="16"/>
                <w:szCs w:val="16"/>
              </w:rPr>
              <w:t>13.7</w:t>
            </w:r>
          </w:p>
        </w:tc>
        <w:tc>
          <w:tcPr>
            <w:tcW w:w="1123" w:type="dxa"/>
            <w:tcBorders>
              <w:right w:val="single" w:sz="4" w:space="0" w:color="auto"/>
            </w:tcBorders>
            <w:vAlign w:val="center"/>
          </w:tcPr>
          <w:p w14:paraId="37C3A14E" w14:textId="77777777" w:rsidR="00793719" w:rsidRDefault="00793719" w:rsidP="00793719">
            <w:pPr>
              <w:jc w:val="right"/>
              <w:rPr>
                <w:color w:val="000000"/>
                <w:sz w:val="16"/>
                <w:szCs w:val="16"/>
              </w:rPr>
            </w:pPr>
            <w:r>
              <w:rPr>
                <w:color w:val="000000"/>
                <w:sz w:val="16"/>
                <w:szCs w:val="16"/>
              </w:rPr>
              <w:t>(2.9, 24.5)</w:t>
            </w:r>
          </w:p>
        </w:tc>
        <w:tc>
          <w:tcPr>
            <w:tcW w:w="536" w:type="dxa"/>
            <w:tcBorders>
              <w:left w:val="single" w:sz="4" w:space="0" w:color="auto"/>
            </w:tcBorders>
            <w:vAlign w:val="center"/>
          </w:tcPr>
          <w:p w14:paraId="670FF4F7" w14:textId="77777777" w:rsidR="00793719" w:rsidRDefault="00793719" w:rsidP="00793719">
            <w:pPr>
              <w:jc w:val="right"/>
              <w:rPr>
                <w:color w:val="000000"/>
                <w:sz w:val="16"/>
                <w:szCs w:val="16"/>
              </w:rPr>
            </w:pPr>
            <w:r>
              <w:rPr>
                <w:color w:val="000000"/>
                <w:sz w:val="16"/>
                <w:szCs w:val="16"/>
              </w:rPr>
              <w:t>6</w:t>
            </w:r>
          </w:p>
        </w:tc>
        <w:tc>
          <w:tcPr>
            <w:tcW w:w="576" w:type="dxa"/>
            <w:vAlign w:val="center"/>
          </w:tcPr>
          <w:p w14:paraId="6A359A72" w14:textId="77777777" w:rsidR="00793719" w:rsidRDefault="00793719" w:rsidP="00793719">
            <w:pPr>
              <w:jc w:val="right"/>
              <w:rPr>
                <w:color w:val="000000"/>
                <w:sz w:val="16"/>
                <w:szCs w:val="16"/>
              </w:rPr>
            </w:pPr>
            <w:r>
              <w:rPr>
                <w:color w:val="000000"/>
                <w:sz w:val="16"/>
                <w:szCs w:val="16"/>
              </w:rPr>
              <w:t>15.4</w:t>
            </w:r>
          </w:p>
        </w:tc>
        <w:tc>
          <w:tcPr>
            <w:tcW w:w="1123" w:type="dxa"/>
            <w:tcBorders>
              <w:right w:val="single" w:sz="4" w:space="0" w:color="auto"/>
            </w:tcBorders>
            <w:vAlign w:val="center"/>
          </w:tcPr>
          <w:p w14:paraId="2572E4C7" w14:textId="77777777" w:rsidR="00793719" w:rsidRDefault="00793719" w:rsidP="00793719">
            <w:pPr>
              <w:jc w:val="right"/>
              <w:rPr>
                <w:color w:val="000000"/>
                <w:sz w:val="16"/>
                <w:szCs w:val="16"/>
              </w:rPr>
            </w:pPr>
            <w:r>
              <w:rPr>
                <w:color w:val="000000"/>
                <w:sz w:val="16"/>
                <w:szCs w:val="16"/>
              </w:rPr>
              <w:t>(2.0, 28.9)</w:t>
            </w:r>
          </w:p>
        </w:tc>
        <w:tc>
          <w:tcPr>
            <w:tcW w:w="536" w:type="dxa"/>
            <w:tcBorders>
              <w:left w:val="single" w:sz="4" w:space="0" w:color="auto"/>
            </w:tcBorders>
            <w:vAlign w:val="center"/>
          </w:tcPr>
          <w:p w14:paraId="43BF6635" w14:textId="77777777" w:rsidR="00793719" w:rsidRDefault="00793719" w:rsidP="00793719">
            <w:pPr>
              <w:jc w:val="right"/>
              <w:rPr>
                <w:color w:val="000000"/>
                <w:sz w:val="16"/>
                <w:szCs w:val="16"/>
              </w:rPr>
            </w:pPr>
            <w:r>
              <w:rPr>
                <w:color w:val="000000"/>
                <w:sz w:val="16"/>
                <w:szCs w:val="16"/>
              </w:rPr>
              <w:t>4</w:t>
            </w:r>
          </w:p>
        </w:tc>
        <w:tc>
          <w:tcPr>
            <w:tcW w:w="567" w:type="dxa"/>
            <w:vAlign w:val="center"/>
          </w:tcPr>
          <w:p w14:paraId="20C0D6C6" w14:textId="77777777" w:rsidR="00793719" w:rsidRDefault="00793719" w:rsidP="00793719">
            <w:pPr>
              <w:jc w:val="right"/>
              <w:rPr>
                <w:color w:val="000000"/>
                <w:sz w:val="16"/>
                <w:szCs w:val="16"/>
              </w:rPr>
            </w:pPr>
            <w:r>
              <w:rPr>
                <w:color w:val="000000"/>
                <w:sz w:val="16"/>
                <w:szCs w:val="16"/>
              </w:rPr>
              <w:t>11.6</w:t>
            </w:r>
          </w:p>
        </w:tc>
        <w:tc>
          <w:tcPr>
            <w:tcW w:w="1123" w:type="dxa"/>
            <w:vAlign w:val="center"/>
          </w:tcPr>
          <w:p w14:paraId="20FC2367" w14:textId="77777777" w:rsidR="00793719" w:rsidRDefault="00793719" w:rsidP="00793719">
            <w:pPr>
              <w:jc w:val="right"/>
              <w:rPr>
                <w:color w:val="000000"/>
                <w:sz w:val="16"/>
                <w:szCs w:val="16"/>
              </w:rPr>
            </w:pPr>
            <w:r>
              <w:rPr>
                <w:color w:val="000000"/>
                <w:sz w:val="16"/>
                <w:szCs w:val="16"/>
              </w:rPr>
              <w:t>(0.0, 28.3)</w:t>
            </w:r>
          </w:p>
        </w:tc>
      </w:tr>
      <w:tr w:rsidR="00793719" w:rsidRPr="007B4EF8" w14:paraId="7A9149EE" w14:textId="77777777" w:rsidTr="00793719">
        <w:trPr>
          <w:jc w:val="center"/>
        </w:trPr>
        <w:tc>
          <w:tcPr>
            <w:tcW w:w="2127" w:type="dxa"/>
          </w:tcPr>
          <w:p w14:paraId="4C1682C8" w14:textId="77777777" w:rsidR="00793719" w:rsidRDefault="00793719" w:rsidP="00793719">
            <w:pPr>
              <w:spacing w:before="20" w:after="20"/>
              <w:ind w:left="34"/>
              <w:rPr>
                <w:rFonts w:eastAsiaTheme="minorEastAsia"/>
                <w:sz w:val="16"/>
                <w:szCs w:val="16"/>
                <w:lang w:eastAsia="en-US"/>
              </w:rPr>
            </w:pPr>
          </w:p>
        </w:tc>
        <w:tc>
          <w:tcPr>
            <w:tcW w:w="2379" w:type="dxa"/>
          </w:tcPr>
          <w:p w14:paraId="16A41EDB"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vAlign w:val="center"/>
          </w:tcPr>
          <w:p w14:paraId="31407620" w14:textId="77777777" w:rsidR="00793719" w:rsidRDefault="00793719" w:rsidP="00793719">
            <w:pPr>
              <w:jc w:val="right"/>
              <w:rPr>
                <w:color w:val="000000"/>
                <w:sz w:val="16"/>
                <w:szCs w:val="16"/>
              </w:rPr>
            </w:pPr>
            <w:r>
              <w:rPr>
                <w:color w:val="000000"/>
                <w:sz w:val="16"/>
                <w:szCs w:val="16"/>
              </w:rPr>
              <w:t>9</w:t>
            </w:r>
          </w:p>
        </w:tc>
        <w:tc>
          <w:tcPr>
            <w:tcW w:w="496" w:type="dxa"/>
            <w:vAlign w:val="center"/>
          </w:tcPr>
          <w:p w14:paraId="110076CE" w14:textId="77777777" w:rsidR="00793719" w:rsidRDefault="00793719" w:rsidP="00793719">
            <w:pPr>
              <w:jc w:val="right"/>
              <w:rPr>
                <w:color w:val="000000"/>
                <w:sz w:val="16"/>
                <w:szCs w:val="16"/>
              </w:rPr>
            </w:pPr>
            <w:r>
              <w:rPr>
                <w:color w:val="000000"/>
                <w:sz w:val="16"/>
                <w:szCs w:val="16"/>
              </w:rPr>
              <w:t>7.4</w:t>
            </w:r>
          </w:p>
        </w:tc>
        <w:tc>
          <w:tcPr>
            <w:tcW w:w="1043" w:type="dxa"/>
            <w:tcBorders>
              <w:right w:val="single" w:sz="4" w:space="0" w:color="auto"/>
            </w:tcBorders>
            <w:vAlign w:val="center"/>
          </w:tcPr>
          <w:p w14:paraId="59DA73C2" w14:textId="77777777" w:rsidR="00793719" w:rsidRDefault="00793719" w:rsidP="00793719">
            <w:pPr>
              <w:jc w:val="right"/>
              <w:rPr>
                <w:color w:val="000000"/>
                <w:sz w:val="16"/>
                <w:szCs w:val="16"/>
              </w:rPr>
            </w:pPr>
            <w:r>
              <w:rPr>
                <w:color w:val="000000"/>
                <w:sz w:val="16"/>
                <w:szCs w:val="16"/>
              </w:rPr>
              <w:t>(2.5, 12.2)</w:t>
            </w:r>
          </w:p>
        </w:tc>
        <w:tc>
          <w:tcPr>
            <w:tcW w:w="569" w:type="dxa"/>
            <w:tcBorders>
              <w:left w:val="single" w:sz="4" w:space="0" w:color="auto"/>
            </w:tcBorders>
            <w:vAlign w:val="center"/>
          </w:tcPr>
          <w:p w14:paraId="2C97B8C9" w14:textId="77777777" w:rsidR="00793719" w:rsidRDefault="00793719" w:rsidP="00793719">
            <w:pPr>
              <w:jc w:val="right"/>
              <w:rPr>
                <w:color w:val="000000"/>
                <w:sz w:val="16"/>
                <w:szCs w:val="16"/>
              </w:rPr>
            </w:pPr>
            <w:r>
              <w:rPr>
                <w:color w:val="000000"/>
                <w:sz w:val="16"/>
                <w:szCs w:val="16"/>
              </w:rPr>
              <w:t>4</w:t>
            </w:r>
          </w:p>
        </w:tc>
        <w:tc>
          <w:tcPr>
            <w:tcW w:w="567" w:type="dxa"/>
            <w:vAlign w:val="center"/>
          </w:tcPr>
          <w:p w14:paraId="5398D2A8" w14:textId="77777777" w:rsidR="00793719" w:rsidRDefault="00793719" w:rsidP="00793719">
            <w:pPr>
              <w:jc w:val="right"/>
              <w:rPr>
                <w:color w:val="000000"/>
                <w:sz w:val="16"/>
                <w:szCs w:val="16"/>
              </w:rPr>
            </w:pPr>
            <w:r>
              <w:rPr>
                <w:color w:val="000000"/>
                <w:sz w:val="16"/>
                <w:szCs w:val="16"/>
              </w:rPr>
              <w:t>10.4</w:t>
            </w:r>
          </w:p>
        </w:tc>
        <w:tc>
          <w:tcPr>
            <w:tcW w:w="1123" w:type="dxa"/>
            <w:tcBorders>
              <w:right w:val="single" w:sz="4" w:space="0" w:color="auto"/>
            </w:tcBorders>
            <w:vAlign w:val="center"/>
          </w:tcPr>
          <w:p w14:paraId="28D6567E" w14:textId="77777777" w:rsidR="00793719" w:rsidRDefault="00793719" w:rsidP="00793719">
            <w:pPr>
              <w:jc w:val="right"/>
              <w:rPr>
                <w:color w:val="000000"/>
                <w:sz w:val="16"/>
                <w:szCs w:val="16"/>
              </w:rPr>
            </w:pPr>
            <w:r>
              <w:rPr>
                <w:color w:val="000000"/>
                <w:sz w:val="16"/>
                <w:szCs w:val="16"/>
              </w:rPr>
              <w:t>(2.8, 18.1)</w:t>
            </w:r>
          </w:p>
        </w:tc>
        <w:tc>
          <w:tcPr>
            <w:tcW w:w="536" w:type="dxa"/>
            <w:tcBorders>
              <w:left w:val="single" w:sz="4" w:space="0" w:color="auto"/>
            </w:tcBorders>
            <w:vAlign w:val="center"/>
          </w:tcPr>
          <w:p w14:paraId="41C0E2FC" w14:textId="77777777" w:rsidR="00793719" w:rsidRDefault="00793719" w:rsidP="00793719">
            <w:pPr>
              <w:jc w:val="right"/>
              <w:rPr>
                <w:color w:val="000000"/>
                <w:sz w:val="16"/>
                <w:szCs w:val="16"/>
              </w:rPr>
            </w:pPr>
            <w:r>
              <w:rPr>
                <w:color w:val="000000"/>
                <w:sz w:val="16"/>
                <w:szCs w:val="16"/>
              </w:rPr>
              <w:t>2</w:t>
            </w:r>
          </w:p>
        </w:tc>
        <w:tc>
          <w:tcPr>
            <w:tcW w:w="576" w:type="dxa"/>
            <w:vAlign w:val="center"/>
          </w:tcPr>
          <w:p w14:paraId="1FD0B4C4" w14:textId="77777777" w:rsidR="00793719" w:rsidRDefault="00793719" w:rsidP="00793719">
            <w:pPr>
              <w:jc w:val="right"/>
              <w:rPr>
                <w:color w:val="000000"/>
                <w:sz w:val="16"/>
                <w:szCs w:val="16"/>
              </w:rPr>
            </w:pPr>
            <w:r>
              <w:rPr>
                <w:color w:val="000000"/>
                <w:sz w:val="16"/>
                <w:szCs w:val="16"/>
              </w:rPr>
              <w:t>4.6</w:t>
            </w:r>
          </w:p>
        </w:tc>
        <w:tc>
          <w:tcPr>
            <w:tcW w:w="1123" w:type="dxa"/>
            <w:tcBorders>
              <w:right w:val="single" w:sz="4" w:space="0" w:color="auto"/>
            </w:tcBorders>
            <w:vAlign w:val="center"/>
          </w:tcPr>
          <w:p w14:paraId="24B3872A" w14:textId="77777777" w:rsidR="00793719" w:rsidRDefault="002F172C" w:rsidP="00793719">
            <w:pPr>
              <w:jc w:val="right"/>
              <w:rPr>
                <w:color w:val="000000"/>
                <w:sz w:val="16"/>
                <w:szCs w:val="16"/>
              </w:rPr>
            </w:pPr>
            <w:r>
              <w:rPr>
                <w:color w:val="000000"/>
                <w:sz w:val="16"/>
                <w:szCs w:val="16"/>
              </w:rPr>
              <w:t>!</w:t>
            </w:r>
          </w:p>
        </w:tc>
        <w:tc>
          <w:tcPr>
            <w:tcW w:w="536" w:type="dxa"/>
            <w:tcBorders>
              <w:left w:val="single" w:sz="4" w:space="0" w:color="auto"/>
            </w:tcBorders>
            <w:vAlign w:val="center"/>
          </w:tcPr>
          <w:p w14:paraId="1655266F" w14:textId="77777777" w:rsidR="00793719" w:rsidRDefault="00793719" w:rsidP="00793719">
            <w:pPr>
              <w:jc w:val="right"/>
              <w:rPr>
                <w:color w:val="000000"/>
                <w:sz w:val="16"/>
                <w:szCs w:val="16"/>
              </w:rPr>
            </w:pPr>
            <w:r>
              <w:rPr>
                <w:color w:val="000000"/>
                <w:sz w:val="16"/>
                <w:szCs w:val="16"/>
              </w:rPr>
              <w:t>3</w:t>
            </w:r>
          </w:p>
        </w:tc>
        <w:tc>
          <w:tcPr>
            <w:tcW w:w="567" w:type="dxa"/>
            <w:vAlign w:val="center"/>
          </w:tcPr>
          <w:p w14:paraId="5BB0316F" w14:textId="77777777" w:rsidR="00793719" w:rsidRDefault="00793719" w:rsidP="00793719">
            <w:pPr>
              <w:jc w:val="right"/>
              <w:rPr>
                <w:color w:val="000000"/>
                <w:sz w:val="16"/>
                <w:szCs w:val="16"/>
              </w:rPr>
            </w:pPr>
            <w:r>
              <w:rPr>
                <w:color w:val="000000"/>
                <w:sz w:val="16"/>
                <w:szCs w:val="16"/>
              </w:rPr>
              <w:t>9.3</w:t>
            </w:r>
          </w:p>
        </w:tc>
        <w:tc>
          <w:tcPr>
            <w:tcW w:w="1123" w:type="dxa"/>
            <w:vAlign w:val="center"/>
          </w:tcPr>
          <w:p w14:paraId="1165699C" w14:textId="77777777" w:rsidR="00793719" w:rsidRDefault="00793719" w:rsidP="00793719">
            <w:pPr>
              <w:jc w:val="right"/>
              <w:rPr>
                <w:color w:val="000000"/>
                <w:sz w:val="16"/>
                <w:szCs w:val="16"/>
              </w:rPr>
            </w:pPr>
            <w:r>
              <w:rPr>
                <w:color w:val="000000"/>
                <w:sz w:val="16"/>
                <w:szCs w:val="16"/>
              </w:rPr>
              <w:t>(3.3, 15.3)</w:t>
            </w:r>
          </w:p>
        </w:tc>
      </w:tr>
      <w:tr w:rsidR="00793719" w:rsidRPr="007B4EF8" w14:paraId="6B7B9CE4" w14:textId="77777777" w:rsidTr="00793719">
        <w:trPr>
          <w:jc w:val="center"/>
        </w:trPr>
        <w:tc>
          <w:tcPr>
            <w:tcW w:w="2127" w:type="dxa"/>
          </w:tcPr>
          <w:p w14:paraId="32CE1B82" w14:textId="77777777" w:rsidR="00793719" w:rsidRDefault="00793719" w:rsidP="00793719">
            <w:pPr>
              <w:spacing w:before="20" w:after="20"/>
              <w:ind w:left="34"/>
              <w:rPr>
                <w:rFonts w:eastAsiaTheme="minorEastAsia"/>
                <w:sz w:val="16"/>
                <w:szCs w:val="16"/>
                <w:lang w:eastAsia="en-US"/>
              </w:rPr>
            </w:pPr>
            <w:r>
              <w:rPr>
                <w:rFonts w:eastAsiaTheme="minorEastAsia"/>
                <w:sz w:val="16"/>
                <w:szCs w:val="16"/>
                <w:lang w:eastAsia="en-US"/>
              </w:rPr>
              <w:t>31 - 60 minutes</w:t>
            </w:r>
          </w:p>
        </w:tc>
        <w:tc>
          <w:tcPr>
            <w:tcW w:w="2379" w:type="dxa"/>
          </w:tcPr>
          <w:p w14:paraId="2802215F"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vAlign w:val="center"/>
          </w:tcPr>
          <w:p w14:paraId="74C6F680" w14:textId="77777777" w:rsidR="00793719" w:rsidRDefault="00793719" w:rsidP="00793719">
            <w:pPr>
              <w:jc w:val="right"/>
              <w:rPr>
                <w:color w:val="000000"/>
                <w:sz w:val="16"/>
                <w:szCs w:val="16"/>
              </w:rPr>
            </w:pPr>
            <w:r>
              <w:rPr>
                <w:color w:val="000000"/>
                <w:sz w:val="16"/>
                <w:szCs w:val="16"/>
              </w:rPr>
              <w:t>67</w:t>
            </w:r>
          </w:p>
        </w:tc>
        <w:tc>
          <w:tcPr>
            <w:tcW w:w="496" w:type="dxa"/>
            <w:vAlign w:val="center"/>
          </w:tcPr>
          <w:p w14:paraId="0FEB8729" w14:textId="77777777" w:rsidR="00793719" w:rsidRDefault="00793719" w:rsidP="00793719">
            <w:pPr>
              <w:jc w:val="right"/>
              <w:rPr>
                <w:color w:val="000000"/>
                <w:sz w:val="16"/>
                <w:szCs w:val="16"/>
              </w:rPr>
            </w:pPr>
            <w:r>
              <w:rPr>
                <w:color w:val="000000"/>
                <w:sz w:val="16"/>
                <w:szCs w:val="16"/>
              </w:rPr>
              <w:t>75.7</w:t>
            </w:r>
          </w:p>
        </w:tc>
        <w:tc>
          <w:tcPr>
            <w:tcW w:w="1043" w:type="dxa"/>
            <w:tcBorders>
              <w:right w:val="single" w:sz="4" w:space="0" w:color="auto"/>
            </w:tcBorders>
            <w:vAlign w:val="center"/>
          </w:tcPr>
          <w:p w14:paraId="59ACF0B5" w14:textId="77777777" w:rsidR="00793719" w:rsidRDefault="00793719" w:rsidP="00793719">
            <w:pPr>
              <w:jc w:val="right"/>
              <w:rPr>
                <w:color w:val="000000"/>
                <w:sz w:val="16"/>
                <w:szCs w:val="16"/>
              </w:rPr>
            </w:pPr>
            <w:r>
              <w:rPr>
                <w:color w:val="000000"/>
                <w:sz w:val="16"/>
                <w:szCs w:val="16"/>
              </w:rPr>
              <w:t>(65.2, 86.1)</w:t>
            </w:r>
          </w:p>
        </w:tc>
        <w:tc>
          <w:tcPr>
            <w:tcW w:w="569" w:type="dxa"/>
            <w:tcBorders>
              <w:left w:val="single" w:sz="4" w:space="0" w:color="auto"/>
            </w:tcBorders>
            <w:vAlign w:val="center"/>
          </w:tcPr>
          <w:p w14:paraId="5A9B2E2A" w14:textId="77777777" w:rsidR="00793719" w:rsidRDefault="00793719" w:rsidP="00793719">
            <w:pPr>
              <w:jc w:val="right"/>
              <w:rPr>
                <w:color w:val="000000"/>
                <w:sz w:val="16"/>
                <w:szCs w:val="16"/>
              </w:rPr>
            </w:pPr>
            <w:r>
              <w:rPr>
                <w:color w:val="000000"/>
                <w:sz w:val="16"/>
                <w:szCs w:val="16"/>
              </w:rPr>
              <w:t>21</w:t>
            </w:r>
          </w:p>
        </w:tc>
        <w:tc>
          <w:tcPr>
            <w:tcW w:w="567" w:type="dxa"/>
            <w:vAlign w:val="center"/>
          </w:tcPr>
          <w:p w14:paraId="0E46D601" w14:textId="77777777" w:rsidR="00793719" w:rsidRDefault="00793719" w:rsidP="00793719">
            <w:pPr>
              <w:jc w:val="right"/>
              <w:rPr>
                <w:color w:val="000000"/>
                <w:sz w:val="16"/>
                <w:szCs w:val="16"/>
              </w:rPr>
            </w:pPr>
            <w:r>
              <w:rPr>
                <w:color w:val="000000"/>
                <w:sz w:val="16"/>
                <w:szCs w:val="16"/>
              </w:rPr>
              <w:t>59.9</w:t>
            </w:r>
          </w:p>
        </w:tc>
        <w:tc>
          <w:tcPr>
            <w:tcW w:w="1123" w:type="dxa"/>
            <w:tcBorders>
              <w:right w:val="single" w:sz="4" w:space="0" w:color="auto"/>
            </w:tcBorders>
            <w:vAlign w:val="center"/>
          </w:tcPr>
          <w:p w14:paraId="4E8CA88C" w14:textId="77777777" w:rsidR="00793719" w:rsidRDefault="00793719" w:rsidP="00793719">
            <w:pPr>
              <w:jc w:val="right"/>
              <w:rPr>
                <w:color w:val="000000"/>
                <w:sz w:val="16"/>
                <w:szCs w:val="16"/>
              </w:rPr>
            </w:pPr>
            <w:r>
              <w:rPr>
                <w:color w:val="000000"/>
                <w:sz w:val="16"/>
                <w:szCs w:val="16"/>
              </w:rPr>
              <w:t>(40.0, 79.8)</w:t>
            </w:r>
          </w:p>
        </w:tc>
        <w:tc>
          <w:tcPr>
            <w:tcW w:w="536" w:type="dxa"/>
            <w:tcBorders>
              <w:left w:val="single" w:sz="4" w:space="0" w:color="auto"/>
            </w:tcBorders>
            <w:vAlign w:val="center"/>
          </w:tcPr>
          <w:p w14:paraId="052AE7F1" w14:textId="77777777" w:rsidR="00793719" w:rsidRDefault="00793719" w:rsidP="00793719">
            <w:pPr>
              <w:jc w:val="right"/>
              <w:rPr>
                <w:color w:val="000000"/>
                <w:sz w:val="16"/>
                <w:szCs w:val="16"/>
              </w:rPr>
            </w:pPr>
            <w:r>
              <w:rPr>
                <w:color w:val="000000"/>
                <w:sz w:val="16"/>
                <w:szCs w:val="16"/>
              </w:rPr>
              <w:t>21</w:t>
            </w:r>
          </w:p>
        </w:tc>
        <w:tc>
          <w:tcPr>
            <w:tcW w:w="576" w:type="dxa"/>
            <w:vAlign w:val="center"/>
          </w:tcPr>
          <w:p w14:paraId="5A10BD4D" w14:textId="77777777" w:rsidR="00793719" w:rsidRDefault="00793719" w:rsidP="00793719">
            <w:pPr>
              <w:jc w:val="right"/>
              <w:rPr>
                <w:color w:val="000000"/>
                <w:sz w:val="16"/>
                <w:szCs w:val="16"/>
              </w:rPr>
            </w:pPr>
            <w:r>
              <w:rPr>
                <w:color w:val="000000"/>
                <w:sz w:val="16"/>
                <w:szCs w:val="16"/>
              </w:rPr>
              <w:t>66.2</w:t>
            </w:r>
          </w:p>
        </w:tc>
        <w:tc>
          <w:tcPr>
            <w:tcW w:w="1123" w:type="dxa"/>
            <w:tcBorders>
              <w:right w:val="single" w:sz="4" w:space="0" w:color="auto"/>
            </w:tcBorders>
            <w:vAlign w:val="center"/>
          </w:tcPr>
          <w:p w14:paraId="4F3B0804" w14:textId="77777777" w:rsidR="00793719" w:rsidRDefault="00793719" w:rsidP="00793719">
            <w:pPr>
              <w:jc w:val="right"/>
              <w:rPr>
                <w:color w:val="000000"/>
                <w:sz w:val="16"/>
                <w:szCs w:val="16"/>
              </w:rPr>
            </w:pPr>
            <w:r>
              <w:rPr>
                <w:color w:val="000000"/>
                <w:sz w:val="16"/>
                <w:szCs w:val="16"/>
              </w:rPr>
              <w:t>(50.7, 81.6)</w:t>
            </w:r>
          </w:p>
        </w:tc>
        <w:tc>
          <w:tcPr>
            <w:tcW w:w="536" w:type="dxa"/>
            <w:tcBorders>
              <w:left w:val="single" w:sz="4" w:space="0" w:color="auto"/>
            </w:tcBorders>
            <w:vAlign w:val="center"/>
          </w:tcPr>
          <w:p w14:paraId="26AF6183" w14:textId="77777777" w:rsidR="00793719" w:rsidRDefault="00793719" w:rsidP="00793719">
            <w:pPr>
              <w:jc w:val="right"/>
              <w:rPr>
                <w:color w:val="000000"/>
                <w:sz w:val="16"/>
                <w:szCs w:val="16"/>
              </w:rPr>
            </w:pPr>
            <w:r>
              <w:rPr>
                <w:color w:val="000000"/>
                <w:sz w:val="16"/>
                <w:szCs w:val="16"/>
              </w:rPr>
              <w:t>23</w:t>
            </w:r>
          </w:p>
        </w:tc>
        <w:tc>
          <w:tcPr>
            <w:tcW w:w="567" w:type="dxa"/>
            <w:vAlign w:val="center"/>
          </w:tcPr>
          <w:p w14:paraId="313CB32F" w14:textId="77777777" w:rsidR="00793719" w:rsidRDefault="00793719" w:rsidP="00793719">
            <w:pPr>
              <w:jc w:val="right"/>
              <w:rPr>
                <w:color w:val="000000"/>
                <w:sz w:val="16"/>
                <w:szCs w:val="16"/>
              </w:rPr>
            </w:pPr>
            <w:r>
              <w:rPr>
                <w:color w:val="000000"/>
                <w:sz w:val="16"/>
                <w:szCs w:val="16"/>
              </w:rPr>
              <w:t>81.0</w:t>
            </w:r>
          </w:p>
        </w:tc>
        <w:tc>
          <w:tcPr>
            <w:tcW w:w="1123" w:type="dxa"/>
            <w:vAlign w:val="center"/>
          </w:tcPr>
          <w:p w14:paraId="00B2EEB1" w14:textId="77777777" w:rsidR="00793719" w:rsidRDefault="00793719" w:rsidP="00793719">
            <w:pPr>
              <w:jc w:val="right"/>
              <w:rPr>
                <w:color w:val="000000"/>
                <w:sz w:val="16"/>
                <w:szCs w:val="16"/>
              </w:rPr>
            </w:pPr>
            <w:r>
              <w:rPr>
                <w:color w:val="000000"/>
                <w:sz w:val="16"/>
                <w:szCs w:val="16"/>
              </w:rPr>
              <w:t>(65.5, 96.6)</w:t>
            </w:r>
          </w:p>
        </w:tc>
      </w:tr>
      <w:tr w:rsidR="00793719" w:rsidRPr="007B4EF8" w14:paraId="2075805C" w14:textId="77777777" w:rsidTr="00793719">
        <w:trPr>
          <w:jc w:val="center"/>
        </w:trPr>
        <w:tc>
          <w:tcPr>
            <w:tcW w:w="2127" w:type="dxa"/>
          </w:tcPr>
          <w:p w14:paraId="003ED78F" w14:textId="77777777" w:rsidR="00793719" w:rsidRDefault="00793719" w:rsidP="00793719">
            <w:pPr>
              <w:spacing w:before="20" w:after="20"/>
              <w:ind w:left="34"/>
              <w:rPr>
                <w:rFonts w:eastAsiaTheme="minorEastAsia"/>
                <w:sz w:val="16"/>
                <w:szCs w:val="16"/>
                <w:lang w:eastAsia="en-US"/>
              </w:rPr>
            </w:pPr>
          </w:p>
        </w:tc>
        <w:tc>
          <w:tcPr>
            <w:tcW w:w="2379" w:type="dxa"/>
          </w:tcPr>
          <w:p w14:paraId="05E04A37"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vAlign w:val="center"/>
          </w:tcPr>
          <w:p w14:paraId="088BDB7B" w14:textId="77777777" w:rsidR="00793719" w:rsidRDefault="00793719" w:rsidP="00793719">
            <w:pPr>
              <w:jc w:val="right"/>
              <w:rPr>
                <w:color w:val="000000"/>
                <w:sz w:val="16"/>
                <w:szCs w:val="16"/>
              </w:rPr>
            </w:pPr>
            <w:r>
              <w:rPr>
                <w:color w:val="000000"/>
                <w:sz w:val="16"/>
                <w:szCs w:val="16"/>
              </w:rPr>
              <w:t>17</w:t>
            </w:r>
          </w:p>
        </w:tc>
        <w:tc>
          <w:tcPr>
            <w:tcW w:w="496" w:type="dxa"/>
            <w:vAlign w:val="center"/>
          </w:tcPr>
          <w:p w14:paraId="786FA1B5" w14:textId="77777777" w:rsidR="00793719" w:rsidRDefault="00793719" w:rsidP="00793719">
            <w:pPr>
              <w:jc w:val="right"/>
              <w:rPr>
                <w:color w:val="000000"/>
                <w:sz w:val="16"/>
                <w:szCs w:val="16"/>
              </w:rPr>
            </w:pPr>
            <w:r>
              <w:rPr>
                <w:color w:val="000000"/>
                <w:sz w:val="16"/>
                <w:szCs w:val="16"/>
              </w:rPr>
              <w:t>18.8</w:t>
            </w:r>
          </w:p>
        </w:tc>
        <w:tc>
          <w:tcPr>
            <w:tcW w:w="1043" w:type="dxa"/>
            <w:tcBorders>
              <w:right w:val="single" w:sz="4" w:space="0" w:color="auto"/>
            </w:tcBorders>
            <w:vAlign w:val="center"/>
          </w:tcPr>
          <w:p w14:paraId="6D9B943A" w14:textId="77777777" w:rsidR="00793719" w:rsidRDefault="00793719" w:rsidP="00793719">
            <w:pPr>
              <w:jc w:val="right"/>
              <w:rPr>
                <w:color w:val="000000"/>
                <w:sz w:val="16"/>
                <w:szCs w:val="16"/>
              </w:rPr>
            </w:pPr>
            <w:r>
              <w:rPr>
                <w:color w:val="000000"/>
                <w:sz w:val="16"/>
                <w:szCs w:val="16"/>
              </w:rPr>
              <w:t>(9.0, 28.5)</w:t>
            </w:r>
          </w:p>
        </w:tc>
        <w:tc>
          <w:tcPr>
            <w:tcW w:w="569" w:type="dxa"/>
            <w:tcBorders>
              <w:left w:val="single" w:sz="4" w:space="0" w:color="auto"/>
            </w:tcBorders>
            <w:vAlign w:val="center"/>
          </w:tcPr>
          <w:p w14:paraId="049253DC" w14:textId="77777777" w:rsidR="00793719" w:rsidRDefault="00793719" w:rsidP="00793719">
            <w:pPr>
              <w:jc w:val="right"/>
              <w:rPr>
                <w:color w:val="000000"/>
                <w:sz w:val="16"/>
                <w:szCs w:val="16"/>
              </w:rPr>
            </w:pPr>
            <w:r>
              <w:rPr>
                <w:color w:val="000000"/>
                <w:sz w:val="16"/>
                <w:szCs w:val="16"/>
              </w:rPr>
              <w:t>6</w:t>
            </w:r>
          </w:p>
        </w:tc>
        <w:tc>
          <w:tcPr>
            <w:tcW w:w="567" w:type="dxa"/>
            <w:vAlign w:val="center"/>
          </w:tcPr>
          <w:p w14:paraId="7CA7C9DA" w14:textId="77777777" w:rsidR="00793719" w:rsidRDefault="00793719" w:rsidP="00793719">
            <w:pPr>
              <w:jc w:val="right"/>
              <w:rPr>
                <w:color w:val="000000"/>
                <w:sz w:val="16"/>
                <w:szCs w:val="16"/>
              </w:rPr>
            </w:pPr>
            <w:r>
              <w:rPr>
                <w:color w:val="000000"/>
                <w:sz w:val="16"/>
                <w:szCs w:val="16"/>
              </w:rPr>
              <w:t>18.8</w:t>
            </w:r>
          </w:p>
        </w:tc>
        <w:tc>
          <w:tcPr>
            <w:tcW w:w="1123" w:type="dxa"/>
            <w:tcBorders>
              <w:right w:val="single" w:sz="4" w:space="0" w:color="auto"/>
            </w:tcBorders>
            <w:vAlign w:val="center"/>
          </w:tcPr>
          <w:p w14:paraId="4BF7B378" w14:textId="77777777" w:rsidR="00793719" w:rsidRDefault="00793719" w:rsidP="00793719">
            <w:pPr>
              <w:jc w:val="right"/>
              <w:rPr>
                <w:color w:val="000000"/>
                <w:sz w:val="16"/>
                <w:szCs w:val="16"/>
              </w:rPr>
            </w:pPr>
            <w:r>
              <w:rPr>
                <w:color w:val="000000"/>
                <w:sz w:val="16"/>
                <w:szCs w:val="16"/>
              </w:rPr>
              <w:t>(2.1, 35.5)</w:t>
            </w:r>
          </w:p>
        </w:tc>
        <w:tc>
          <w:tcPr>
            <w:tcW w:w="536" w:type="dxa"/>
            <w:tcBorders>
              <w:left w:val="single" w:sz="4" w:space="0" w:color="auto"/>
            </w:tcBorders>
            <w:vAlign w:val="center"/>
          </w:tcPr>
          <w:p w14:paraId="78ACE56C" w14:textId="77777777" w:rsidR="00793719" w:rsidRDefault="00793719" w:rsidP="00793719">
            <w:pPr>
              <w:jc w:val="right"/>
              <w:rPr>
                <w:color w:val="000000"/>
                <w:sz w:val="16"/>
                <w:szCs w:val="16"/>
              </w:rPr>
            </w:pPr>
            <w:r>
              <w:rPr>
                <w:color w:val="000000"/>
                <w:sz w:val="16"/>
                <w:szCs w:val="16"/>
              </w:rPr>
              <w:t>6</w:t>
            </w:r>
          </w:p>
        </w:tc>
        <w:tc>
          <w:tcPr>
            <w:tcW w:w="576" w:type="dxa"/>
            <w:vAlign w:val="center"/>
          </w:tcPr>
          <w:p w14:paraId="1BEA507B" w14:textId="77777777" w:rsidR="00793719" w:rsidRDefault="00793719" w:rsidP="00793719">
            <w:pPr>
              <w:jc w:val="right"/>
              <w:rPr>
                <w:color w:val="000000"/>
                <w:sz w:val="16"/>
                <w:szCs w:val="16"/>
              </w:rPr>
            </w:pPr>
            <w:r>
              <w:rPr>
                <w:color w:val="000000"/>
                <w:sz w:val="16"/>
                <w:szCs w:val="16"/>
              </w:rPr>
              <w:t>17.1</w:t>
            </w:r>
          </w:p>
        </w:tc>
        <w:tc>
          <w:tcPr>
            <w:tcW w:w="1123" w:type="dxa"/>
            <w:tcBorders>
              <w:right w:val="single" w:sz="4" w:space="0" w:color="auto"/>
            </w:tcBorders>
            <w:vAlign w:val="center"/>
          </w:tcPr>
          <w:p w14:paraId="071E360F" w14:textId="77777777" w:rsidR="00793719" w:rsidRDefault="00793719" w:rsidP="00793719">
            <w:pPr>
              <w:jc w:val="right"/>
              <w:rPr>
                <w:color w:val="000000"/>
                <w:sz w:val="16"/>
                <w:szCs w:val="16"/>
              </w:rPr>
            </w:pPr>
            <w:r>
              <w:rPr>
                <w:color w:val="000000"/>
                <w:sz w:val="16"/>
                <w:szCs w:val="16"/>
              </w:rPr>
              <w:t>(7.6, 26.6)</w:t>
            </w:r>
          </w:p>
        </w:tc>
        <w:tc>
          <w:tcPr>
            <w:tcW w:w="536" w:type="dxa"/>
            <w:tcBorders>
              <w:left w:val="single" w:sz="4" w:space="0" w:color="auto"/>
            </w:tcBorders>
            <w:vAlign w:val="center"/>
          </w:tcPr>
          <w:p w14:paraId="2D0C99D8" w14:textId="77777777" w:rsidR="00793719" w:rsidRDefault="00793719" w:rsidP="00793719">
            <w:pPr>
              <w:jc w:val="right"/>
              <w:rPr>
                <w:color w:val="000000"/>
                <w:sz w:val="16"/>
                <w:szCs w:val="16"/>
              </w:rPr>
            </w:pPr>
            <w:r>
              <w:rPr>
                <w:color w:val="000000"/>
                <w:sz w:val="16"/>
                <w:szCs w:val="16"/>
              </w:rPr>
              <w:t>3</w:t>
            </w:r>
          </w:p>
        </w:tc>
        <w:tc>
          <w:tcPr>
            <w:tcW w:w="567" w:type="dxa"/>
            <w:vAlign w:val="center"/>
          </w:tcPr>
          <w:p w14:paraId="5776B661" w14:textId="77777777" w:rsidR="00793719" w:rsidRDefault="00793719" w:rsidP="00793719">
            <w:pPr>
              <w:jc w:val="right"/>
              <w:rPr>
                <w:color w:val="000000"/>
                <w:sz w:val="16"/>
                <w:szCs w:val="16"/>
              </w:rPr>
            </w:pPr>
            <w:r>
              <w:rPr>
                <w:color w:val="000000"/>
                <w:sz w:val="16"/>
                <w:szCs w:val="16"/>
              </w:rPr>
              <w:t>11.6</w:t>
            </w:r>
          </w:p>
        </w:tc>
        <w:tc>
          <w:tcPr>
            <w:tcW w:w="1123" w:type="dxa"/>
            <w:vAlign w:val="center"/>
          </w:tcPr>
          <w:p w14:paraId="003F88F3" w14:textId="77777777" w:rsidR="00793719" w:rsidRDefault="00793719" w:rsidP="00793719">
            <w:pPr>
              <w:jc w:val="right"/>
              <w:rPr>
                <w:color w:val="000000"/>
                <w:sz w:val="16"/>
                <w:szCs w:val="16"/>
              </w:rPr>
            </w:pPr>
            <w:r>
              <w:rPr>
                <w:color w:val="000000"/>
                <w:sz w:val="16"/>
                <w:szCs w:val="16"/>
              </w:rPr>
              <w:t>(0.0, 25.9)</w:t>
            </w:r>
          </w:p>
        </w:tc>
      </w:tr>
      <w:tr w:rsidR="00793719" w:rsidRPr="007B4EF8" w14:paraId="0D1EA929" w14:textId="77777777" w:rsidTr="00793719">
        <w:trPr>
          <w:jc w:val="center"/>
        </w:trPr>
        <w:tc>
          <w:tcPr>
            <w:tcW w:w="2127" w:type="dxa"/>
          </w:tcPr>
          <w:p w14:paraId="56CA1819" w14:textId="77777777" w:rsidR="00793719" w:rsidRDefault="00793719" w:rsidP="00793719">
            <w:pPr>
              <w:spacing w:before="20" w:after="20"/>
              <w:ind w:left="34"/>
              <w:rPr>
                <w:rFonts w:eastAsiaTheme="minorEastAsia"/>
                <w:sz w:val="16"/>
                <w:szCs w:val="16"/>
                <w:lang w:eastAsia="en-US"/>
              </w:rPr>
            </w:pPr>
          </w:p>
        </w:tc>
        <w:tc>
          <w:tcPr>
            <w:tcW w:w="2379" w:type="dxa"/>
          </w:tcPr>
          <w:p w14:paraId="220B54AB"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vAlign w:val="center"/>
          </w:tcPr>
          <w:p w14:paraId="27BBF8F1" w14:textId="77777777" w:rsidR="00793719" w:rsidRDefault="00793719" w:rsidP="00793719">
            <w:pPr>
              <w:jc w:val="right"/>
              <w:rPr>
                <w:color w:val="000000"/>
                <w:sz w:val="16"/>
                <w:szCs w:val="16"/>
              </w:rPr>
            </w:pPr>
            <w:r>
              <w:rPr>
                <w:color w:val="000000"/>
                <w:sz w:val="16"/>
                <w:szCs w:val="16"/>
              </w:rPr>
              <w:t>5</w:t>
            </w:r>
          </w:p>
        </w:tc>
        <w:tc>
          <w:tcPr>
            <w:tcW w:w="496" w:type="dxa"/>
            <w:vAlign w:val="center"/>
          </w:tcPr>
          <w:p w14:paraId="714A00B4" w14:textId="77777777" w:rsidR="00793719" w:rsidRDefault="00793719" w:rsidP="00793719">
            <w:pPr>
              <w:jc w:val="right"/>
              <w:rPr>
                <w:color w:val="000000"/>
                <w:sz w:val="16"/>
                <w:szCs w:val="16"/>
              </w:rPr>
            </w:pPr>
            <w:r>
              <w:rPr>
                <w:color w:val="000000"/>
                <w:sz w:val="16"/>
                <w:szCs w:val="16"/>
              </w:rPr>
              <w:t>5.6</w:t>
            </w:r>
          </w:p>
        </w:tc>
        <w:tc>
          <w:tcPr>
            <w:tcW w:w="1043" w:type="dxa"/>
            <w:tcBorders>
              <w:right w:val="single" w:sz="4" w:space="0" w:color="auto"/>
            </w:tcBorders>
            <w:vAlign w:val="center"/>
          </w:tcPr>
          <w:p w14:paraId="3F09DA59" w14:textId="77777777" w:rsidR="00793719" w:rsidRDefault="00793719" w:rsidP="00793719">
            <w:pPr>
              <w:jc w:val="right"/>
              <w:rPr>
                <w:color w:val="000000"/>
                <w:sz w:val="16"/>
                <w:szCs w:val="16"/>
              </w:rPr>
            </w:pPr>
            <w:r>
              <w:rPr>
                <w:color w:val="000000"/>
                <w:sz w:val="16"/>
                <w:szCs w:val="16"/>
              </w:rPr>
              <w:t>(0.4, 10.7)</w:t>
            </w:r>
          </w:p>
        </w:tc>
        <w:tc>
          <w:tcPr>
            <w:tcW w:w="569" w:type="dxa"/>
            <w:tcBorders>
              <w:left w:val="single" w:sz="4" w:space="0" w:color="auto"/>
            </w:tcBorders>
            <w:vAlign w:val="center"/>
          </w:tcPr>
          <w:p w14:paraId="780A63F7" w14:textId="77777777" w:rsidR="00793719" w:rsidRDefault="00793719" w:rsidP="00793719">
            <w:pPr>
              <w:jc w:val="right"/>
              <w:rPr>
                <w:color w:val="000000"/>
                <w:sz w:val="16"/>
                <w:szCs w:val="16"/>
              </w:rPr>
            </w:pPr>
            <w:r>
              <w:rPr>
                <w:color w:val="000000"/>
                <w:sz w:val="16"/>
                <w:szCs w:val="16"/>
              </w:rPr>
              <w:t>7</w:t>
            </w:r>
          </w:p>
        </w:tc>
        <w:tc>
          <w:tcPr>
            <w:tcW w:w="567" w:type="dxa"/>
            <w:vAlign w:val="center"/>
          </w:tcPr>
          <w:p w14:paraId="41AA008D" w14:textId="77777777" w:rsidR="00793719" w:rsidRDefault="00793719" w:rsidP="00793719">
            <w:pPr>
              <w:jc w:val="right"/>
              <w:rPr>
                <w:color w:val="000000"/>
                <w:sz w:val="16"/>
                <w:szCs w:val="16"/>
              </w:rPr>
            </w:pPr>
            <w:r>
              <w:rPr>
                <w:color w:val="000000"/>
                <w:sz w:val="16"/>
                <w:szCs w:val="16"/>
              </w:rPr>
              <w:t>21.3</w:t>
            </w:r>
          </w:p>
        </w:tc>
        <w:tc>
          <w:tcPr>
            <w:tcW w:w="1123" w:type="dxa"/>
            <w:tcBorders>
              <w:right w:val="single" w:sz="4" w:space="0" w:color="auto"/>
            </w:tcBorders>
            <w:vAlign w:val="center"/>
          </w:tcPr>
          <w:p w14:paraId="31E40AF3" w14:textId="77777777" w:rsidR="00793719" w:rsidRDefault="00793719" w:rsidP="00793719">
            <w:pPr>
              <w:jc w:val="right"/>
              <w:rPr>
                <w:color w:val="000000"/>
                <w:sz w:val="16"/>
                <w:szCs w:val="16"/>
              </w:rPr>
            </w:pPr>
            <w:r>
              <w:rPr>
                <w:color w:val="000000"/>
                <w:sz w:val="16"/>
                <w:szCs w:val="16"/>
              </w:rPr>
              <w:t>(6.9, 35.6)</w:t>
            </w:r>
          </w:p>
        </w:tc>
        <w:tc>
          <w:tcPr>
            <w:tcW w:w="536" w:type="dxa"/>
            <w:tcBorders>
              <w:left w:val="single" w:sz="4" w:space="0" w:color="auto"/>
            </w:tcBorders>
            <w:vAlign w:val="center"/>
          </w:tcPr>
          <w:p w14:paraId="1484CB12" w14:textId="77777777" w:rsidR="00793719" w:rsidRDefault="00793719" w:rsidP="00793719">
            <w:pPr>
              <w:jc w:val="right"/>
              <w:rPr>
                <w:color w:val="000000"/>
                <w:sz w:val="16"/>
                <w:szCs w:val="16"/>
              </w:rPr>
            </w:pPr>
            <w:r>
              <w:rPr>
                <w:color w:val="000000"/>
                <w:sz w:val="16"/>
                <w:szCs w:val="16"/>
              </w:rPr>
              <w:t>5</w:t>
            </w:r>
          </w:p>
        </w:tc>
        <w:tc>
          <w:tcPr>
            <w:tcW w:w="576" w:type="dxa"/>
            <w:vAlign w:val="center"/>
          </w:tcPr>
          <w:p w14:paraId="456F2D42" w14:textId="77777777" w:rsidR="00793719" w:rsidRDefault="00793719" w:rsidP="00793719">
            <w:pPr>
              <w:jc w:val="right"/>
              <w:rPr>
                <w:color w:val="000000"/>
                <w:sz w:val="16"/>
                <w:szCs w:val="16"/>
              </w:rPr>
            </w:pPr>
            <w:r>
              <w:rPr>
                <w:color w:val="000000"/>
                <w:sz w:val="16"/>
                <w:szCs w:val="16"/>
              </w:rPr>
              <w:t>16.8</w:t>
            </w:r>
          </w:p>
        </w:tc>
        <w:tc>
          <w:tcPr>
            <w:tcW w:w="1123" w:type="dxa"/>
            <w:tcBorders>
              <w:right w:val="single" w:sz="4" w:space="0" w:color="auto"/>
            </w:tcBorders>
            <w:vAlign w:val="center"/>
          </w:tcPr>
          <w:p w14:paraId="55280DE6" w14:textId="77777777" w:rsidR="00793719" w:rsidRDefault="00793719" w:rsidP="00793719">
            <w:pPr>
              <w:jc w:val="right"/>
              <w:rPr>
                <w:color w:val="000000"/>
                <w:sz w:val="16"/>
                <w:szCs w:val="16"/>
              </w:rPr>
            </w:pPr>
            <w:r>
              <w:rPr>
                <w:color w:val="000000"/>
                <w:sz w:val="16"/>
                <w:szCs w:val="16"/>
              </w:rPr>
              <w:t>(4.0, 29.5)</w:t>
            </w:r>
          </w:p>
        </w:tc>
        <w:tc>
          <w:tcPr>
            <w:tcW w:w="536" w:type="dxa"/>
            <w:tcBorders>
              <w:left w:val="single" w:sz="4" w:space="0" w:color="auto"/>
            </w:tcBorders>
            <w:vAlign w:val="center"/>
          </w:tcPr>
          <w:p w14:paraId="7CAA10FC" w14:textId="77777777" w:rsidR="00793719" w:rsidRDefault="00793719" w:rsidP="00793719">
            <w:pPr>
              <w:jc w:val="right"/>
              <w:rPr>
                <w:color w:val="000000"/>
                <w:sz w:val="16"/>
                <w:szCs w:val="16"/>
              </w:rPr>
            </w:pPr>
            <w:r>
              <w:rPr>
                <w:color w:val="000000"/>
                <w:sz w:val="16"/>
                <w:szCs w:val="16"/>
              </w:rPr>
              <w:t>2</w:t>
            </w:r>
          </w:p>
        </w:tc>
        <w:tc>
          <w:tcPr>
            <w:tcW w:w="567" w:type="dxa"/>
            <w:vAlign w:val="center"/>
          </w:tcPr>
          <w:p w14:paraId="235A8AFC" w14:textId="77777777" w:rsidR="00793719" w:rsidRDefault="00793719" w:rsidP="00793719">
            <w:pPr>
              <w:jc w:val="right"/>
              <w:rPr>
                <w:color w:val="000000"/>
                <w:sz w:val="16"/>
                <w:szCs w:val="16"/>
              </w:rPr>
            </w:pPr>
            <w:r>
              <w:rPr>
                <w:color w:val="000000"/>
                <w:sz w:val="16"/>
                <w:szCs w:val="16"/>
              </w:rPr>
              <w:t>7.4</w:t>
            </w:r>
          </w:p>
        </w:tc>
        <w:tc>
          <w:tcPr>
            <w:tcW w:w="1123" w:type="dxa"/>
            <w:vAlign w:val="center"/>
          </w:tcPr>
          <w:p w14:paraId="6392ADB3" w14:textId="77777777" w:rsidR="00793719" w:rsidRDefault="002F172C" w:rsidP="00793719">
            <w:pPr>
              <w:jc w:val="right"/>
              <w:rPr>
                <w:color w:val="000000"/>
                <w:sz w:val="16"/>
                <w:szCs w:val="16"/>
              </w:rPr>
            </w:pPr>
            <w:r>
              <w:rPr>
                <w:color w:val="000000"/>
                <w:sz w:val="16"/>
                <w:szCs w:val="16"/>
              </w:rPr>
              <w:t>!</w:t>
            </w:r>
          </w:p>
        </w:tc>
      </w:tr>
      <w:tr w:rsidR="00793719" w:rsidRPr="007B4EF8" w14:paraId="7E27C5C9" w14:textId="77777777" w:rsidTr="00793719">
        <w:trPr>
          <w:jc w:val="center"/>
        </w:trPr>
        <w:tc>
          <w:tcPr>
            <w:tcW w:w="2127" w:type="dxa"/>
          </w:tcPr>
          <w:p w14:paraId="6C4C4A68" w14:textId="77777777" w:rsidR="00793719" w:rsidRDefault="00793719" w:rsidP="00793719">
            <w:pPr>
              <w:spacing w:before="20" w:after="20"/>
              <w:ind w:left="34"/>
              <w:rPr>
                <w:rFonts w:eastAsiaTheme="minorEastAsia"/>
                <w:sz w:val="16"/>
                <w:szCs w:val="16"/>
                <w:lang w:eastAsia="en-US"/>
              </w:rPr>
            </w:pPr>
            <w:r w:rsidRPr="00793719">
              <w:rPr>
                <w:rFonts w:eastAsiaTheme="minorEastAsia"/>
                <w:sz w:val="16"/>
                <w:szCs w:val="16"/>
                <w:lang w:eastAsia="en-US"/>
              </w:rPr>
              <w:t>&gt; 60 minutes</w:t>
            </w:r>
          </w:p>
        </w:tc>
        <w:tc>
          <w:tcPr>
            <w:tcW w:w="2379" w:type="dxa"/>
          </w:tcPr>
          <w:p w14:paraId="45CF60AE"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vAlign w:val="center"/>
          </w:tcPr>
          <w:p w14:paraId="3FBCD870" w14:textId="77777777" w:rsidR="00793719" w:rsidRDefault="00793719" w:rsidP="00793719">
            <w:pPr>
              <w:jc w:val="right"/>
              <w:rPr>
                <w:color w:val="000000"/>
                <w:sz w:val="16"/>
                <w:szCs w:val="16"/>
              </w:rPr>
            </w:pPr>
            <w:r>
              <w:rPr>
                <w:color w:val="000000"/>
                <w:sz w:val="16"/>
                <w:szCs w:val="16"/>
              </w:rPr>
              <w:t>21</w:t>
            </w:r>
          </w:p>
        </w:tc>
        <w:tc>
          <w:tcPr>
            <w:tcW w:w="496" w:type="dxa"/>
            <w:vAlign w:val="center"/>
          </w:tcPr>
          <w:p w14:paraId="4AC829BD" w14:textId="77777777" w:rsidR="00793719" w:rsidRDefault="00793719" w:rsidP="00793719">
            <w:pPr>
              <w:jc w:val="right"/>
              <w:rPr>
                <w:color w:val="000000"/>
                <w:sz w:val="16"/>
                <w:szCs w:val="16"/>
              </w:rPr>
            </w:pPr>
            <w:r>
              <w:rPr>
                <w:color w:val="000000"/>
                <w:sz w:val="16"/>
                <w:szCs w:val="16"/>
              </w:rPr>
              <w:t>48.2</w:t>
            </w:r>
          </w:p>
        </w:tc>
        <w:tc>
          <w:tcPr>
            <w:tcW w:w="1043" w:type="dxa"/>
            <w:tcBorders>
              <w:right w:val="single" w:sz="4" w:space="0" w:color="auto"/>
            </w:tcBorders>
            <w:vAlign w:val="center"/>
          </w:tcPr>
          <w:p w14:paraId="7BF60475" w14:textId="77777777" w:rsidR="00793719" w:rsidRDefault="00793719" w:rsidP="00793719">
            <w:pPr>
              <w:jc w:val="right"/>
              <w:rPr>
                <w:color w:val="000000"/>
                <w:sz w:val="16"/>
                <w:szCs w:val="16"/>
              </w:rPr>
            </w:pPr>
            <w:r>
              <w:rPr>
                <w:color w:val="000000"/>
                <w:sz w:val="16"/>
                <w:szCs w:val="16"/>
              </w:rPr>
              <w:t>(33.1, 63.3)</w:t>
            </w:r>
          </w:p>
        </w:tc>
        <w:tc>
          <w:tcPr>
            <w:tcW w:w="569" w:type="dxa"/>
            <w:tcBorders>
              <w:left w:val="single" w:sz="4" w:space="0" w:color="auto"/>
            </w:tcBorders>
            <w:vAlign w:val="center"/>
          </w:tcPr>
          <w:p w14:paraId="281603AD" w14:textId="77777777" w:rsidR="00793719" w:rsidRDefault="00793719" w:rsidP="00793719">
            <w:pPr>
              <w:jc w:val="right"/>
              <w:rPr>
                <w:color w:val="000000"/>
                <w:sz w:val="16"/>
                <w:szCs w:val="16"/>
              </w:rPr>
            </w:pPr>
            <w:r>
              <w:rPr>
                <w:color w:val="000000"/>
                <w:sz w:val="16"/>
                <w:szCs w:val="16"/>
              </w:rPr>
              <w:t>6</w:t>
            </w:r>
          </w:p>
        </w:tc>
        <w:tc>
          <w:tcPr>
            <w:tcW w:w="567" w:type="dxa"/>
            <w:vAlign w:val="center"/>
          </w:tcPr>
          <w:p w14:paraId="6F97D165" w14:textId="77777777" w:rsidR="00793719" w:rsidRDefault="00793719" w:rsidP="00793719">
            <w:pPr>
              <w:jc w:val="right"/>
              <w:rPr>
                <w:color w:val="000000"/>
                <w:sz w:val="16"/>
                <w:szCs w:val="16"/>
              </w:rPr>
            </w:pPr>
            <w:r>
              <w:rPr>
                <w:color w:val="000000"/>
                <w:sz w:val="16"/>
                <w:szCs w:val="16"/>
              </w:rPr>
              <w:t>30.2</w:t>
            </w:r>
          </w:p>
        </w:tc>
        <w:tc>
          <w:tcPr>
            <w:tcW w:w="1123" w:type="dxa"/>
            <w:tcBorders>
              <w:right w:val="single" w:sz="4" w:space="0" w:color="auto"/>
            </w:tcBorders>
            <w:vAlign w:val="center"/>
          </w:tcPr>
          <w:p w14:paraId="2E490FD2" w14:textId="77777777" w:rsidR="00793719" w:rsidRDefault="00793719" w:rsidP="00793719">
            <w:pPr>
              <w:jc w:val="right"/>
              <w:rPr>
                <w:color w:val="000000"/>
                <w:sz w:val="16"/>
                <w:szCs w:val="16"/>
              </w:rPr>
            </w:pPr>
            <w:r>
              <w:rPr>
                <w:color w:val="000000"/>
                <w:sz w:val="16"/>
                <w:szCs w:val="16"/>
              </w:rPr>
              <w:t>(7.0, 53.3)</w:t>
            </w:r>
          </w:p>
        </w:tc>
        <w:tc>
          <w:tcPr>
            <w:tcW w:w="536" w:type="dxa"/>
            <w:tcBorders>
              <w:left w:val="single" w:sz="4" w:space="0" w:color="auto"/>
            </w:tcBorders>
            <w:vAlign w:val="center"/>
          </w:tcPr>
          <w:p w14:paraId="43F0B624" w14:textId="77777777" w:rsidR="00793719" w:rsidRDefault="00793719" w:rsidP="00793719">
            <w:pPr>
              <w:jc w:val="right"/>
              <w:rPr>
                <w:color w:val="000000"/>
                <w:sz w:val="16"/>
                <w:szCs w:val="16"/>
              </w:rPr>
            </w:pPr>
            <w:r>
              <w:rPr>
                <w:color w:val="000000"/>
                <w:sz w:val="16"/>
                <w:szCs w:val="16"/>
              </w:rPr>
              <w:t>7</w:t>
            </w:r>
          </w:p>
        </w:tc>
        <w:tc>
          <w:tcPr>
            <w:tcW w:w="576" w:type="dxa"/>
            <w:vAlign w:val="center"/>
          </w:tcPr>
          <w:p w14:paraId="04886E87" w14:textId="77777777" w:rsidR="00793719" w:rsidRDefault="00793719" w:rsidP="00793719">
            <w:pPr>
              <w:jc w:val="right"/>
              <w:rPr>
                <w:color w:val="000000"/>
                <w:sz w:val="16"/>
                <w:szCs w:val="16"/>
              </w:rPr>
            </w:pPr>
            <w:r>
              <w:rPr>
                <w:color w:val="000000"/>
                <w:sz w:val="16"/>
                <w:szCs w:val="16"/>
              </w:rPr>
              <w:t>43.7</w:t>
            </w:r>
          </w:p>
        </w:tc>
        <w:tc>
          <w:tcPr>
            <w:tcW w:w="1123" w:type="dxa"/>
            <w:tcBorders>
              <w:right w:val="single" w:sz="4" w:space="0" w:color="auto"/>
            </w:tcBorders>
            <w:vAlign w:val="center"/>
          </w:tcPr>
          <w:p w14:paraId="0104F6A8" w14:textId="77777777" w:rsidR="00793719" w:rsidRDefault="00793719" w:rsidP="00793719">
            <w:pPr>
              <w:jc w:val="right"/>
              <w:rPr>
                <w:color w:val="000000"/>
                <w:sz w:val="16"/>
                <w:szCs w:val="16"/>
              </w:rPr>
            </w:pPr>
            <w:r>
              <w:rPr>
                <w:color w:val="000000"/>
                <w:sz w:val="16"/>
                <w:szCs w:val="16"/>
              </w:rPr>
              <w:t>(13.9, 73.4)</w:t>
            </w:r>
          </w:p>
        </w:tc>
        <w:tc>
          <w:tcPr>
            <w:tcW w:w="536" w:type="dxa"/>
            <w:tcBorders>
              <w:left w:val="single" w:sz="4" w:space="0" w:color="auto"/>
            </w:tcBorders>
            <w:vAlign w:val="center"/>
          </w:tcPr>
          <w:p w14:paraId="367734B1" w14:textId="77777777" w:rsidR="00793719" w:rsidRDefault="00793719" w:rsidP="00793719">
            <w:pPr>
              <w:jc w:val="right"/>
              <w:rPr>
                <w:color w:val="000000"/>
                <w:sz w:val="16"/>
                <w:szCs w:val="16"/>
              </w:rPr>
            </w:pPr>
            <w:r>
              <w:rPr>
                <w:color w:val="000000"/>
                <w:sz w:val="16"/>
                <w:szCs w:val="16"/>
              </w:rPr>
              <w:t>10</w:t>
            </w:r>
          </w:p>
        </w:tc>
        <w:tc>
          <w:tcPr>
            <w:tcW w:w="567" w:type="dxa"/>
            <w:vAlign w:val="center"/>
          </w:tcPr>
          <w:p w14:paraId="162D43D8" w14:textId="77777777" w:rsidR="00793719" w:rsidRDefault="00793719" w:rsidP="00793719">
            <w:pPr>
              <w:jc w:val="right"/>
              <w:rPr>
                <w:color w:val="000000"/>
                <w:sz w:val="16"/>
                <w:szCs w:val="16"/>
              </w:rPr>
            </w:pPr>
            <w:r>
              <w:rPr>
                <w:color w:val="000000"/>
                <w:sz w:val="16"/>
                <w:szCs w:val="16"/>
              </w:rPr>
              <w:t>55.3</w:t>
            </w:r>
          </w:p>
        </w:tc>
        <w:tc>
          <w:tcPr>
            <w:tcW w:w="1123" w:type="dxa"/>
            <w:vAlign w:val="center"/>
          </w:tcPr>
          <w:p w14:paraId="619076BB" w14:textId="77777777" w:rsidR="00793719" w:rsidRDefault="00793719" w:rsidP="00793719">
            <w:pPr>
              <w:jc w:val="right"/>
              <w:rPr>
                <w:color w:val="000000"/>
                <w:sz w:val="16"/>
                <w:szCs w:val="16"/>
              </w:rPr>
            </w:pPr>
            <w:r>
              <w:rPr>
                <w:color w:val="000000"/>
                <w:sz w:val="16"/>
                <w:szCs w:val="16"/>
              </w:rPr>
              <w:t>(27.9, 82.7)</w:t>
            </w:r>
          </w:p>
        </w:tc>
      </w:tr>
      <w:tr w:rsidR="00793719" w:rsidRPr="007B4EF8" w14:paraId="4DAA0DA7" w14:textId="77777777" w:rsidTr="00793719">
        <w:trPr>
          <w:jc w:val="center"/>
        </w:trPr>
        <w:tc>
          <w:tcPr>
            <w:tcW w:w="2127" w:type="dxa"/>
          </w:tcPr>
          <w:p w14:paraId="56DBB8C3" w14:textId="77777777" w:rsidR="00793719" w:rsidRDefault="00793719" w:rsidP="00793719">
            <w:pPr>
              <w:spacing w:before="20" w:after="20"/>
              <w:ind w:left="34"/>
              <w:rPr>
                <w:rFonts w:eastAsiaTheme="minorEastAsia"/>
                <w:sz w:val="16"/>
                <w:szCs w:val="16"/>
                <w:lang w:eastAsia="en-US"/>
              </w:rPr>
            </w:pPr>
          </w:p>
        </w:tc>
        <w:tc>
          <w:tcPr>
            <w:tcW w:w="2379" w:type="dxa"/>
          </w:tcPr>
          <w:p w14:paraId="464BFDB6"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vAlign w:val="center"/>
          </w:tcPr>
          <w:p w14:paraId="6C510608" w14:textId="77777777" w:rsidR="00793719" w:rsidRDefault="00793719" w:rsidP="00793719">
            <w:pPr>
              <w:jc w:val="right"/>
              <w:rPr>
                <w:color w:val="000000"/>
                <w:sz w:val="16"/>
                <w:szCs w:val="16"/>
              </w:rPr>
            </w:pPr>
            <w:r>
              <w:rPr>
                <w:color w:val="000000"/>
                <w:sz w:val="16"/>
                <w:szCs w:val="16"/>
              </w:rPr>
              <w:t>10</w:t>
            </w:r>
          </w:p>
        </w:tc>
        <w:tc>
          <w:tcPr>
            <w:tcW w:w="496" w:type="dxa"/>
            <w:vAlign w:val="center"/>
          </w:tcPr>
          <w:p w14:paraId="7B6155B7" w14:textId="77777777" w:rsidR="00793719" w:rsidRDefault="00793719" w:rsidP="00793719">
            <w:pPr>
              <w:jc w:val="right"/>
              <w:rPr>
                <w:color w:val="000000"/>
                <w:sz w:val="16"/>
                <w:szCs w:val="16"/>
              </w:rPr>
            </w:pPr>
            <w:r>
              <w:rPr>
                <w:color w:val="000000"/>
                <w:sz w:val="16"/>
                <w:szCs w:val="16"/>
              </w:rPr>
              <w:t>22.0</w:t>
            </w:r>
          </w:p>
        </w:tc>
        <w:tc>
          <w:tcPr>
            <w:tcW w:w="1043" w:type="dxa"/>
            <w:tcBorders>
              <w:right w:val="single" w:sz="4" w:space="0" w:color="auto"/>
            </w:tcBorders>
            <w:vAlign w:val="center"/>
          </w:tcPr>
          <w:p w14:paraId="60225493" w14:textId="77777777" w:rsidR="00793719" w:rsidRDefault="00793719" w:rsidP="00793719">
            <w:pPr>
              <w:jc w:val="right"/>
              <w:rPr>
                <w:color w:val="000000"/>
                <w:sz w:val="16"/>
                <w:szCs w:val="16"/>
              </w:rPr>
            </w:pPr>
            <w:r>
              <w:rPr>
                <w:color w:val="000000"/>
                <w:sz w:val="16"/>
                <w:szCs w:val="16"/>
              </w:rPr>
              <w:t>(10.3, 33.7)</w:t>
            </w:r>
          </w:p>
        </w:tc>
        <w:tc>
          <w:tcPr>
            <w:tcW w:w="569" w:type="dxa"/>
            <w:tcBorders>
              <w:left w:val="single" w:sz="4" w:space="0" w:color="auto"/>
            </w:tcBorders>
            <w:vAlign w:val="center"/>
          </w:tcPr>
          <w:p w14:paraId="2013786D" w14:textId="77777777" w:rsidR="00793719" w:rsidRDefault="00793719" w:rsidP="00793719">
            <w:pPr>
              <w:jc w:val="right"/>
              <w:rPr>
                <w:color w:val="000000"/>
                <w:sz w:val="16"/>
                <w:szCs w:val="16"/>
              </w:rPr>
            </w:pPr>
            <w:r>
              <w:rPr>
                <w:color w:val="000000"/>
                <w:sz w:val="16"/>
                <w:szCs w:val="16"/>
              </w:rPr>
              <w:t>13</w:t>
            </w:r>
          </w:p>
        </w:tc>
        <w:tc>
          <w:tcPr>
            <w:tcW w:w="567" w:type="dxa"/>
            <w:vAlign w:val="center"/>
          </w:tcPr>
          <w:p w14:paraId="25FFAC17" w14:textId="77777777" w:rsidR="00793719" w:rsidRDefault="00793719" w:rsidP="00793719">
            <w:pPr>
              <w:jc w:val="right"/>
              <w:rPr>
                <w:color w:val="000000"/>
                <w:sz w:val="16"/>
                <w:szCs w:val="16"/>
              </w:rPr>
            </w:pPr>
            <w:r>
              <w:rPr>
                <w:color w:val="000000"/>
                <w:sz w:val="16"/>
                <w:szCs w:val="16"/>
              </w:rPr>
              <w:t>66.8</w:t>
            </w:r>
          </w:p>
        </w:tc>
        <w:tc>
          <w:tcPr>
            <w:tcW w:w="1123" w:type="dxa"/>
            <w:tcBorders>
              <w:right w:val="single" w:sz="4" w:space="0" w:color="auto"/>
            </w:tcBorders>
            <w:vAlign w:val="center"/>
          </w:tcPr>
          <w:p w14:paraId="5C79B490" w14:textId="77777777" w:rsidR="00793719" w:rsidRDefault="00793719" w:rsidP="00793719">
            <w:pPr>
              <w:jc w:val="right"/>
              <w:rPr>
                <w:color w:val="000000"/>
                <w:sz w:val="16"/>
                <w:szCs w:val="16"/>
              </w:rPr>
            </w:pPr>
            <w:r>
              <w:rPr>
                <w:color w:val="000000"/>
                <w:sz w:val="16"/>
                <w:szCs w:val="16"/>
              </w:rPr>
              <w:t>(45.5, 88.1)</w:t>
            </w:r>
          </w:p>
        </w:tc>
        <w:tc>
          <w:tcPr>
            <w:tcW w:w="536" w:type="dxa"/>
            <w:tcBorders>
              <w:left w:val="single" w:sz="4" w:space="0" w:color="auto"/>
            </w:tcBorders>
            <w:vAlign w:val="center"/>
          </w:tcPr>
          <w:p w14:paraId="4410D9B8" w14:textId="77777777" w:rsidR="00793719" w:rsidRDefault="00793719" w:rsidP="00793719">
            <w:pPr>
              <w:jc w:val="right"/>
              <w:rPr>
                <w:color w:val="000000"/>
                <w:sz w:val="16"/>
                <w:szCs w:val="16"/>
              </w:rPr>
            </w:pPr>
            <w:r>
              <w:rPr>
                <w:color w:val="000000"/>
                <w:sz w:val="16"/>
                <w:szCs w:val="16"/>
              </w:rPr>
              <w:t>6</w:t>
            </w:r>
          </w:p>
        </w:tc>
        <w:tc>
          <w:tcPr>
            <w:tcW w:w="576" w:type="dxa"/>
            <w:vAlign w:val="center"/>
          </w:tcPr>
          <w:p w14:paraId="557D46C7" w14:textId="77777777" w:rsidR="00793719" w:rsidRDefault="00793719" w:rsidP="00793719">
            <w:pPr>
              <w:jc w:val="right"/>
              <w:rPr>
                <w:color w:val="000000"/>
                <w:sz w:val="16"/>
                <w:szCs w:val="16"/>
              </w:rPr>
            </w:pPr>
            <w:r>
              <w:rPr>
                <w:color w:val="000000"/>
                <w:sz w:val="16"/>
                <w:szCs w:val="16"/>
              </w:rPr>
              <w:t>38.2</w:t>
            </w:r>
          </w:p>
        </w:tc>
        <w:tc>
          <w:tcPr>
            <w:tcW w:w="1123" w:type="dxa"/>
            <w:tcBorders>
              <w:right w:val="single" w:sz="4" w:space="0" w:color="auto"/>
            </w:tcBorders>
            <w:vAlign w:val="center"/>
          </w:tcPr>
          <w:p w14:paraId="42111F74" w14:textId="77777777" w:rsidR="00793719" w:rsidRDefault="00793719" w:rsidP="00793719">
            <w:pPr>
              <w:jc w:val="right"/>
              <w:rPr>
                <w:color w:val="000000"/>
                <w:sz w:val="16"/>
                <w:szCs w:val="16"/>
              </w:rPr>
            </w:pPr>
            <w:r>
              <w:rPr>
                <w:color w:val="000000"/>
                <w:sz w:val="16"/>
                <w:szCs w:val="16"/>
              </w:rPr>
              <w:t>(17.9, 58.6)</w:t>
            </w:r>
          </w:p>
        </w:tc>
        <w:tc>
          <w:tcPr>
            <w:tcW w:w="536" w:type="dxa"/>
            <w:tcBorders>
              <w:left w:val="single" w:sz="4" w:space="0" w:color="auto"/>
            </w:tcBorders>
            <w:vAlign w:val="center"/>
          </w:tcPr>
          <w:p w14:paraId="25F072D8" w14:textId="77777777" w:rsidR="00793719" w:rsidRDefault="00793719" w:rsidP="00793719">
            <w:pPr>
              <w:jc w:val="right"/>
              <w:rPr>
                <w:color w:val="000000"/>
                <w:sz w:val="16"/>
                <w:szCs w:val="16"/>
              </w:rPr>
            </w:pPr>
            <w:r>
              <w:rPr>
                <w:color w:val="000000"/>
                <w:sz w:val="16"/>
                <w:szCs w:val="16"/>
              </w:rPr>
              <w:t>4</w:t>
            </w:r>
          </w:p>
        </w:tc>
        <w:tc>
          <w:tcPr>
            <w:tcW w:w="567" w:type="dxa"/>
            <w:vAlign w:val="center"/>
          </w:tcPr>
          <w:p w14:paraId="147289CF" w14:textId="77777777" w:rsidR="00793719" w:rsidRDefault="00793719" w:rsidP="00793719">
            <w:pPr>
              <w:jc w:val="right"/>
              <w:rPr>
                <w:color w:val="000000"/>
                <w:sz w:val="16"/>
                <w:szCs w:val="16"/>
              </w:rPr>
            </w:pPr>
            <w:r>
              <w:rPr>
                <w:color w:val="000000"/>
                <w:sz w:val="16"/>
                <w:szCs w:val="16"/>
              </w:rPr>
              <w:t>20.8</w:t>
            </w:r>
          </w:p>
        </w:tc>
        <w:tc>
          <w:tcPr>
            <w:tcW w:w="1123" w:type="dxa"/>
            <w:vAlign w:val="center"/>
          </w:tcPr>
          <w:p w14:paraId="091D8CAA" w14:textId="77777777" w:rsidR="00793719" w:rsidRDefault="00793719" w:rsidP="00793719">
            <w:pPr>
              <w:jc w:val="right"/>
              <w:rPr>
                <w:color w:val="000000"/>
                <w:sz w:val="16"/>
                <w:szCs w:val="16"/>
              </w:rPr>
            </w:pPr>
            <w:r>
              <w:rPr>
                <w:color w:val="000000"/>
                <w:sz w:val="16"/>
                <w:szCs w:val="16"/>
              </w:rPr>
              <w:t>(4.0, 37.7)</w:t>
            </w:r>
          </w:p>
        </w:tc>
      </w:tr>
      <w:tr w:rsidR="00793719" w:rsidRPr="007B4EF8" w14:paraId="26AD9CE7" w14:textId="77777777" w:rsidTr="00793719">
        <w:trPr>
          <w:jc w:val="center"/>
        </w:trPr>
        <w:tc>
          <w:tcPr>
            <w:tcW w:w="2127" w:type="dxa"/>
          </w:tcPr>
          <w:p w14:paraId="0FDAACD7" w14:textId="77777777" w:rsidR="00793719" w:rsidRDefault="00793719" w:rsidP="00793719">
            <w:pPr>
              <w:spacing w:before="20" w:after="20"/>
              <w:ind w:left="34"/>
              <w:rPr>
                <w:rFonts w:eastAsiaTheme="minorEastAsia"/>
                <w:sz w:val="16"/>
                <w:szCs w:val="16"/>
                <w:lang w:eastAsia="en-US"/>
              </w:rPr>
            </w:pPr>
          </w:p>
        </w:tc>
        <w:tc>
          <w:tcPr>
            <w:tcW w:w="2379" w:type="dxa"/>
          </w:tcPr>
          <w:p w14:paraId="53258088" w14:textId="77777777" w:rsidR="00793719" w:rsidRPr="001B7431" w:rsidRDefault="00793719" w:rsidP="00793719">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vAlign w:val="center"/>
          </w:tcPr>
          <w:p w14:paraId="60C0C5BC" w14:textId="77777777" w:rsidR="00793719" w:rsidRDefault="00793719" w:rsidP="00793719">
            <w:pPr>
              <w:jc w:val="right"/>
              <w:rPr>
                <w:color w:val="000000"/>
                <w:sz w:val="16"/>
                <w:szCs w:val="16"/>
              </w:rPr>
            </w:pPr>
            <w:r>
              <w:rPr>
                <w:color w:val="000000"/>
                <w:sz w:val="16"/>
                <w:szCs w:val="16"/>
              </w:rPr>
              <w:t>13</w:t>
            </w:r>
          </w:p>
        </w:tc>
        <w:tc>
          <w:tcPr>
            <w:tcW w:w="496" w:type="dxa"/>
            <w:vAlign w:val="center"/>
          </w:tcPr>
          <w:p w14:paraId="5E6E9F74" w14:textId="77777777" w:rsidR="00793719" w:rsidRDefault="00793719" w:rsidP="00793719">
            <w:pPr>
              <w:jc w:val="right"/>
              <w:rPr>
                <w:color w:val="000000"/>
                <w:sz w:val="16"/>
                <w:szCs w:val="16"/>
              </w:rPr>
            </w:pPr>
            <w:r>
              <w:rPr>
                <w:color w:val="000000"/>
                <w:sz w:val="16"/>
                <w:szCs w:val="16"/>
              </w:rPr>
              <w:t>29.8</w:t>
            </w:r>
          </w:p>
        </w:tc>
        <w:tc>
          <w:tcPr>
            <w:tcW w:w="1043" w:type="dxa"/>
            <w:tcBorders>
              <w:right w:val="single" w:sz="4" w:space="0" w:color="auto"/>
            </w:tcBorders>
            <w:vAlign w:val="center"/>
          </w:tcPr>
          <w:p w14:paraId="54E7FD08" w14:textId="77777777" w:rsidR="00793719" w:rsidRDefault="00793719" w:rsidP="00793719">
            <w:pPr>
              <w:jc w:val="right"/>
              <w:rPr>
                <w:color w:val="000000"/>
                <w:sz w:val="16"/>
                <w:szCs w:val="16"/>
              </w:rPr>
            </w:pPr>
            <w:r>
              <w:rPr>
                <w:color w:val="000000"/>
                <w:sz w:val="16"/>
                <w:szCs w:val="16"/>
              </w:rPr>
              <w:t>(13.9, 45.7)</w:t>
            </w:r>
          </w:p>
        </w:tc>
        <w:tc>
          <w:tcPr>
            <w:tcW w:w="569" w:type="dxa"/>
            <w:tcBorders>
              <w:left w:val="single" w:sz="4" w:space="0" w:color="auto"/>
            </w:tcBorders>
            <w:vAlign w:val="center"/>
          </w:tcPr>
          <w:p w14:paraId="62E2F837" w14:textId="77777777" w:rsidR="00793719" w:rsidRDefault="00793719" w:rsidP="00793719">
            <w:pPr>
              <w:jc w:val="right"/>
              <w:rPr>
                <w:color w:val="000000"/>
                <w:sz w:val="16"/>
                <w:szCs w:val="16"/>
              </w:rPr>
            </w:pPr>
            <w:r>
              <w:rPr>
                <w:color w:val="000000"/>
                <w:sz w:val="16"/>
                <w:szCs w:val="16"/>
              </w:rPr>
              <w:t>1</w:t>
            </w:r>
          </w:p>
        </w:tc>
        <w:tc>
          <w:tcPr>
            <w:tcW w:w="567" w:type="dxa"/>
            <w:vAlign w:val="center"/>
          </w:tcPr>
          <w:p w14:paraId="38594DCB" w14:textId="77777777" w:rsidR="00793719" w:rsidRDefault="00793719" w:rsidP="00793719">
            <w:pPr>
              <w:jc w:val="right"/>
              <w:rPr>
                <w:color w:val="000000"/>
                <w:sz w:val="16"/>
                <w:szCs w:val="16"/>
              </w:rPr>
            </w:pPr>
            <w:r>
              <w:rPr>
                <w:color w:val="000000"/>
                <w:sz w:val="16"/>
                <w:szCs w:val="16"/>
              </w:rPr>
              <w:t>3.0</w:t>
            </w:r>
          </w:p>
        </w:tc>
        <w:tc>
          <w:tcPr>
            <w:tcW w:w="1123" w:type="dxa"/>
            <w:tcBorders>
              <w:right w:val="single" w:sz="4" w:space="0" w:color="auto"/>
            </w:tcBorders>
            <w:vAlign w:val="center"/>
          </w:tcPr>
          <w:p w14:paraId="550A293B" w14:textId="77777777" w:rsidR="00793719" w:rsidRDefault="002F172C" w:rsidP="00793719">
            <w:pPr>
              <w:jc w:val="right"/>
              <w:rPr>
                <w:color w:val="000000"/>
                <w:sz w:val="16"/>
                <w:szCs w:val="16"/>
              </w:rPr>
            </w:pPr>
            <w:r>
              <w:rPr>
                <w:color w:val="000000"/>
                <w:sz w:val="16"/>
                <w:szCs w:val="16"/>
              </w:rPr>
              <w:t>!</w:t>
            </w:r>
          </w:p>
        </w:tc>
        <w:tc>
          <w:tcPr>
            <w:tcW w:w="536" w:type="dxa"/>
            <w:tcBorders>
              <w:left w:val="single" w:sz="4" w:space="0" w:color="auto"/>
            </w:tcBorders>
            <w:vAlign w:val="center"/>
          </w:tcPr>
          <w:p w14:paraId="01DC9707" w14:textId="77777777" w:rsidR="00793719" w:rsidRDefault="00793719" w:rsidP="00793719">
            <w:pPr>
              <w:jc w:val="right"/>
              <w:rPr>
                <w:color w:val="000000"/>
                <w:sz w:val="16"/>
                <w:szCs w:val="16"/>
              </w:rPr>
            </w:pPr>
            <w:r>
              <w:rPr>
                <w:color w:val="000000"/>
                <w:sz w:val="16"/>
                <w:szCs w:val="16"/>
              </w:rPr>
              <w:t>3</w:t>
            </w:r>
          </w:p>
        </w:tc>
        <w:tc>
          <w:tcPr>
            <w:tcW w:w="576" w:type="dxa"/>
            <w:vAlign w:val="center"/>
          </w:tcPr>
          <w:p w14:paraId="069A8BD0" w14:textId="77777777" w:rsidR="00793719" w:rsidRDefault="00793719" w:rsidP="00793719">
            <w:pPr>
              <w:jc w:val="right"/>
              <w:rPr>
                <w:color w:val="000000"/>
                <w:sz w:val="16"/>
                <w:szCs w:val="16"/>
              </w:rPr>
            </w:pPr>
            <w:r>
              <w:rPr>
                <w:color w:val="000000"/>
                <w:sz w:val="16"/>
                <w:szCs w:val="16"/>
              </w:rPr>
              <w:t>18.1</w:t>
            </w:r>
          </w:p>
        </w:tc>
        <w:tc>
          <w:tcPr>
            <w:tcW w:w="1123" w:type="dxa"/>
            <w:tcBorders>
              <w:right w:val="single" w:sz="4" w:space="0" w:color="auto"/>
            </w:tcBorders>
            <w:vAlign w:val="center"/>
          </w:tcPr>
          <w:p w14:paraId="71F25ABE" w14:textId="77777777" w:rsidR="00793719" w:rsidRDefault="00793719" w:rsidP="00793719">
            <w:pPr>
              <w:jc w:val="right"/>
              <w:rPr>
                <w:color w:val="000000"/>
                <w:sz w:val="16"/>
                <w:szCs w:val="16"/>
              </w:rPr>
            </w:pPr>
            <w:r>
              <w:rPr>
                <w:color w:val="000000"/>
                <w:sz w:val="16"/>
                <w:szCs w:val="16"/>
              </w:rPr>
              <w:t>(0.0, 38.6)</w:t>
            </w:r>
          </w:p>
        </w:tc>
        <w:tc>
          <w:tcPr>
            <w:tcW w:w="536" w:type="dxa"/>
            <w:tcBorders>
              <w:left w:val="single" w:sz="4" w:space="0" w:color="auto"/>
            </w:tcBorders>
            <w:vAlign w:val="center"/>
          </w:tcPr>
          <w:p w14:paraId="799013FC" w14:textId="77777777" w:rsidR="00793719" w:rsidRDefault="00793719" w:rsidP="00793719">
            <w:pPr>
              <w:jc w:val="right"/>
              <w:rPr>
                <w:color w:val="000000"/>
                <w:sz w:val="16"/>
                <w:szCs w:val="16"/>
              </w:rPr>
            </w:pPr>
            <w:r>
              <w:rPr>
                <w:color w:val="000000"/>
                <w:sz w:val="16"/>
                <w:szCs w:val="16"/>
              </w:rPr>
              <w:t>4</w:t>
            </w:r>
          </w:p>
        </w:tc>
        <w:tc>
          <w:tcPr>
            <w:tcW w:w="567" w:type="dxa"/>
            <w:vAlign w:val="center"/>
          </w:tcPr>
          <w:p w14:paraId="275BADE6" w14:textId="77777777" w:rsidR="00793719" w:rsidRDefault="00793719" w:rsidP="00793719">
            <w:pPr>
              <w:jc w:val="right"/>
              <w:rPr>
                <w:color w:val="000000"/>
                <w:sz w:val="16"/>
                <w:szCs w:val="16"/>
              </w:rPr>
            </w:pPr>
            <w:r>
              <w:rPr>
                <w:color w:val="000000"/>
                <w:sz w:val="16"/>
                <w:szCs w:val="16"/>
              </w:rPr>
              <w:t>23.9</w:t>
            </w:r>
          </w:p>
        </w:tc>
        <w:tc>
          <w:tcPr>
            <w:tcW w:w="1123" w:type="dxa"/>
            <w:vAlign w:val="center"/>
          </w:tcPr>
          <w:p w14:paraId="032B1412" w14:textId="77777777" w:rsidR="00793719" w:rsidRDefault="00793719" w:rsidP="00793719">
            <w:pPr>
              <w:jc w:val="right"/>
              <w:rPr>
                <w:color w:val="000000"/>
                <w:sz w:val="16"/>
                <w:szCs w:val="16"/>
              </w:rPr>
            </w:pPr>
            <w:r>
              <w:rPr>
                <w:color w:val="000000"/>
                <w:sz w:val="16"/>
                <w:szCs w:val="16"/>
              </w:rPr>
              <w:t>(0.8, 47.0)</w:t>
            </w:r>
          </w:p>
        </w:tc>
      </w:tr>
      <w:tr w:rsidR="00D56BF1" w:rsidRPr="007B4EF8" w14:paraId="6839A690" w14:textId="77777777" w:rsidTr="00793719">
        <w:trPr>
          <w:jc w:val="center"/>
        </w:trPr>
        <w:tc>
          <w:tcPr>
            <w:tcW w:w="2127" w:type="dxa"/>
          </w:tcPr>
          <w:p w14:paraId="6D6923C2" w14:textId="77777777" w:rsidR="00D56BF1" w:rsidRPr="00D56BF1" w:rsidRDefault="00D56BF1" w:rsidP="00D56BF1">
            <w:pPr>
              <w:keepNext/>
              <w:spacing w:before="20" w:after="20"/>
              <w:rPr>
                <w:rFonts w:eastAsiaTheme="minorEastAsia"/>
                <w:b/>
                <w:sz w:val="16"/>
                <w:szCs w:val="18"/>
                <w:lang w:eastAsia="en-US"/>
              </w:rPr>
            </w:pPr>
            <w:r w:rsidRPr="00D56BF1">
              <w:rPr>
                <w:rFonts w:eastAsiaTheme="minorEastAsia"/>
                <w:b/>
                <w:sz w:val="16"/>
                <w:szCs w:val="18"/>
                <w:lang w:eastAsia="en-US"/>
              </w:rPr>
              <w:t>Who gambled with</w:t>
            </w:r>
          </w:p>
        </w:tc>
        <w:tc>
          <w:tcPr>
            <w:tcW w:w="2379" w:type="dxa"/>
          </w:tcPr>
          <w:p w14:paraId="758DB226" w14:textId="77777777" w:rsidR="00D56BF1" w:rsidRDefault="00D56BF1" w:rsidP="00D56BF1">
            <w:pPr>
              <w:keepNext/>
              <w:spacing w:before="20" w:after="20"/>
              <w:ind w:left="34"/>
              <w:rPr>
                <w:rFonts w:eastAsiaTheme="minorEastAsia"/>
                <w:sz w:val="16"/>
                <w:szCs w:val="16"/>
                <w:lang w:eastAsia="en-US"/>
              </w:rPr>
            </w:pPr>
          </w:p>
        </w:tc>
        <w:tc>
          <w:tcPr>
            <w:tcW w:w="616" w:type="dxa"/>
            <w:vAlign w:val="center"/>
          </w:tcPr>
          <w:p w14:paraId="57F85291" w14:textId="77777777" w:rsidR="00D56BF1" w:rsidRDefault="00D56BF1" w:rsidP="00D56BF1">
            <w:pPr>
              <w:keepNext/>
              <w:jc w:val="right"/>
              <w:rPr>
                <w:color w:val="000000"/>
                <w:sz w:val="16"/>
                <w:szCs w:val="16"/>
              </w:rPr>
            </w:pPr>
          </w:p>
        </w:tc>
        <w:tc>
          <w:tcPr>
            <w:tcW w:w="496" w:type="dxa"/>
            <w:vAlign w:val="center"/>
          </w:tcPr>
          <w:p w14:paraId="6C845AC4" w14:textId="77777777" w:rsidR="00D56BF1" w:rsidRDefault="00D56BF1" w:rsidP="00D56BF1">
            <w:pPr>
              <w:keepNext/>
              <w:jc w:val="right"/>
              <w:rPr>
                <w:color w:val="000000"/>
                <w:sz w:val="16"/>
                <w:szCs w:val="16"/>
              </w:rPr>
            </w:pPr>
          </w:p>
        </w:tc>
        <w:tc>
          <w:tcPr>
            <w:tcW w:w="1043" w:type="dxa"/>
            <w:tcBorders>
              <w:right w:val="single" w:sz="4" w:space="0" w:color="auto"/>
            </w:tcBorders>
            <w:vAlign w:val="center"/>
          </w:tcPr>
          <w:p w14:paraId="2C9B0618" w14:textId="77777777" w:rsidR="00D56BF1" w:rsidRDefault="00D56BF1" w:rsidP="00D56BF1">
            <w:pPr>
              <w:keepNext/>
              <w:jc w:val="right"/>
              <w:rPr>
                <w:color w:val="000000"/>
                <w:sz w:val="16"/>
                <w:szCs w:val="16"/>
              </w:rPr>
            </w:pPr>
          </w:p>
        </w:tc>
        <w:tc>
          <w:tcPr>
            <w:tcW w:w="569" w:type="dxa"/>
            <w:tcBorders>
              <w:left w:val="single" w:sz="4" w:space="0" w:color="auto"/>
            </w:tcBorders>
            <w:vAlign w:val="center"/>
          </w:tcPr>
          <w:p w14:paraId="524587FB" w14:textId="77777777" w:rsidR="00D56BF1" w:rsidRDefault="00D56BF1" w:rsidP="00D56BF1">
            <w:pPr>
              <w:keepNext/>
              <w:jc w:val="right"/>
              <w:rPr>
                <w:color w:val="000000"/>
                <w:sz w:val="16"/>
                <w:szCs w:val="16"/>
              </w:rPr>
            </w:pPr>
          </w:p>
        </w:tc>
        <w:tc>
          <w:tcPr>
            <w:tcW w:w="567" w:type="dxa"/>
            <w:vAlign w:val="center"/>
          </w:tcPr>
          <w:p w14:paraId="507E8A0A" w14:textId="77777777" w:rsidR="00D56BF1" w:rsidRDefault="00D56BF1" w:rsidP="00D56BF1">
            <w:pPr>
              <w:keepNext/>
              <w:jc w:val="right"/>
              <w:rPr>
                <w:color w:val="000000"/>
                <w:sz w:val="16"/>
                <w:szCs w:val="16"/>
              </w:rPr>
            </w:pPr>
          </w:p>
        </w:tc>
        <w:tc>
          <w:tcPr>
            <w:tcW w:w="1123" w:type="dxa"/>
            <w:tcBorders>
              <w:right w:val="single" w:sz="4" w:space="0" w:color="auto"/>
            </w:tcBorders>
            <w:vAlign w:val="center"/>
          </w:tcPr>
          <w:p w14:paraId="21828404" w14:textId="77777777" w:rsidR="00D56BF1" w:rsidRDefault="00D56BF1" w:rsidP="00D56BF1">
            <w:pPr>
              <w:keepNext/>
              <w:jc w:val="right"/>
              <w:rPr>
                <w:color w:val="000000"/>
                <w:sz w:val="16"/>
                <w:szCs w:val="16"/>
              </w:rPr>
            </w:pPr>
          </w:p>
        </w:tc>
        <w:tc>
          <w:tcPr>
            <w:tcW w:w="536" w:type="dxa"/>
            <w:tcBorders>
              <w:left w:val="single" w:sz="4" w:space="0" w:color="auto"/>
            </w:tcBorders>
            <w:vAlign w:val="center"/>
          </w:tcPr>
          <w:p w14:paraId="270F53E3" w14:textId="77777777" w:rsidR="00D56BF1" w:rsidRDefault="00D56BF1" w:rsidP="00D56BF1">
            <w:pPr>
              <w:keepNext/>
              <w:jc w:val="right"/>
              <w:rPr>
                <w:color w:val="000000"/>
                <w:sz w:val="16"/>
                <w:szCs w:val="16"/>
              </w:rPr>
            </w:pPr>
          </w:p>
        </w:tc>
        <w:tc>
          <w:tcPr>
            <w:tcW w:w="576" w:type="dxa"/>
            <w:vAlign w:val="center"/>
          </w:tcPr>
          <w:p w14:paraId="1211FB6B" w14:textId="77777777" w:rsidR="00D56BF1" w:rsidRDefault="00D56BF1" w:rsidP="00D56BF1">
            <w:pPr>
              <w:keepNext/>
              <w:jc w:val="right"/>
              <w:rPr>
                <w:color w:val="000000"/>
                <w:sz w:val="16"/>
                <w:szCs w:val="16"/>
              </w:rPr>
            </w:pPr>
          </w:p>
        </w:tc>
        <w:tc>
          <w:tcPr>
            <w:tcW w:w="1123" w:type="dxa"/>
            <w:tcBorders>
              <w:right w:val="single" w:sz="4" w:space="0" w:color="auto"/>
            </w:tcBorders>
            <w:vAlign w:val="center"/>
          </w:tcPr>
          <w:p w14:paraId="56E6E414" w14:textId="77777777" w:rsidR="00D56BF1" w:rsidRDefault="00D56BF1" w:rsidP="00D56BF1">
            <w:pPr>
              <w:keepNext/>
              <w:jc w:val="right"/>
              <w:rPr>
                <w:color w:val="000000"/>
                <w:sz w:val="16"/>
                <w:szCs w:val="16"/>
              </w:rPr>
            </w:pPr>
          </w:p>
        </w:tc>
        <w:tc>
          <w:tcPr>
            <w:tcW w:w="536" w:type="dxa"/>
            <w:tcBorders>
              <w:left w:val="single" w:sz="4" w:space="0" w:color="auto"/>
            </w:tcBorders>
            <w:vAlign w:val="center"/>
          </w:tcPr>
          <w:p w14:paraId="72C8B38C" w14:textId="77777777" w:rsidR="00D56BF1" w:rsidRDefault="00D56BF1" w:rsidP="00D56BF1">
            <w:pPr>
              <w:keepNext/>
              <w:jc w:val="right"/>
              <w:rPr>
                <w:color w:val="000000"/>
                <w:sz w:val="16"/>
                <w:szCs w:val="16"/>
              </w:rPr>
            </w:pPr>
          </w:p>
        </w:tc>
        <w:tc>
          <w:tcPr>
            <w:tcW w:w="567" w:type="dxa"/>
            <w:vAlign w:val="center"/>
          </w:tcPr>
          <w:p w14:paraId="189CEB5C" w14:textId="77777777" w:rsidR="00D56BF1" w:rsidRDefault="00D56BF1" w:rsidP="00D56BF1">
            <w:pPr>
              <w:keepNext/>
              <w:jc w:val="right"/>
              <w:rPr>
                <w:color w:val="000000"/>
                <w:sz w:val="16"/>
                <w:szCs w:val="16"/>
              </w:rPr>
            </w:pPr>
          </w:p>
        </w:tc>
        <w:tc>
          <w:tcPr>
            <w:tcW w:w="1123" w:type="dxa"/>
            <w:vAlign w:val="center"/>
          </w:tcPr>
          <w:p w14:paraId="56FDF8AB" w14:textId="77777777" w:rsidR="00D56BF1" w:rsidRDefault="00D56BF1" w:rsidP="00D56BF1">
            <w:pPr>
              <w:keepNext/>
              <w:jc w:val="right"/>
              <w:rPr>
                <w:color w:val="000000"/>
                <w:sz w:val="16"/>
                <w:szCs w:val="16"/>
              </w:rPr>
            </w:pPr>
          </w:p>
        </w:tc>
      </w:tr>
      <w:tr w:rsidR="00D56BF1" w:rsidRPr="007B4EF8" w14:paraId="138461E2" w14:textId="77777777" w:rsidTr="00D56BF1">
        <w:trPr>
          <w:jc w:val="center"/>
        </w:trPr>
        <w:tc>
          <w:tcPr>
            <w:tcW w:w="2127" w:type="dxa"/>
          </w:tcPr>
          <w:p w14:paraId="06B7D87A" w14:textId="77777777" w:rsidR="00D56BF1" w:rsidRPr="00D56BF1" w:rsidRDefault="00D56BF1" w:rsidP="00D56BF1">
            <w:pPr>
              <w:spacing w:before="20" w:after="20"/>
              <w:ind w:left="34"/>
              <w:rPr>
                <w:rFonts w:eastAsiaTheme="minorEastAsia"/>
                <w:sz w:val="16"/>
                <w:szCs w:val="16"/>
                <w:lang w:eastAsia="en-US"/>
              </w:rPr>
            </w:pPr>
            <w:r w:rsidRPr="00D56BF1">
              <w:rPr>
                <w:rFonts w:eastAsiaTheme="minorEastAsia"/>
                <w:sz w:val="16"/>
                <w:szCs w:val="16"/>
                <w:lang w:eastAsia="en-US"/>
              </w:rPr>
              <w:t>Alone</w:t>
            </w:r>
          </w:p>
        </w:tc>
        <w:tc>
          <w:tcPr>
            <w:tcW w:w="2379" w:type="dxa"/>
          </w:tcPr>
          <w:p w14:paraId="55F884F4" w14:textId="77777777" w:rsidR="00D56BF1" w:rsidRPr="001B7431" w:rsidRDefault="00D56BF1" w:rsidP="00D56BF1">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vAlign w:val="center"/>
          </w:tcPr>
          <w:p w14:paraId="3A116D2B" w14:textId="77777777" w:rsidR="00D56BF1" w:rsidRDefault="00D56BF1" w:rsidP="00D56BF1">
            <w:pPr>
              <w:jc w:val="right"/>
              <w:rPr>
                <w:color w:val="000000"/>
                <w:sz w:val="16"/>
                <w:szCs w:val="16"/>
                <w:lang w:eastAsia="en-NZ"/>
              </w:rPr>
            </w:pPr>
            <w:r>
              <w:rPr>
                <w:color w:val="000000"/>
                <w:sz w:val="16"/>
                <w:szCs w:val="16"/>
              </w:rPr>
              <w:t>1684</w:t>
            </w:r>
          </w:p>
        </w:tc>
        <w:tc>
          <w:tcPr>
            <w:tcW w:w="496" w:type="dxa"/>
            <w:vAlign w:val="center"/>
          </w:tcPr>
          <w:p w14:paraId="4995CD02" w14:textId="77777777" w:rsidR="00D56BF1" w:rsidRDefault="00D56BF1" w:rsidP="00D56BF1">
            <w:pPr>
              <w:jc w:val="right"/>
              <w:rPr>
                <w:color w:val="000000"/>
                <w:sz w:val="16"/>
                <w:szCs w:val="16"/>
              </w:rPr>
            </w:pPr>
            <w:r>
              <w:rPr>
                <w:color w:val="000000"/>
                <w:sz w:val="16"/>
                <w:szCs w:val="16"/>
              </w:rPr>
              <w:t>90.1</w:t>
            </w:r>
          </w:p>
        </w:tc>
        <w:tc>
          <w:tcPr>
            <w:tcW w:w="1043" w:type="dxa"/>
            <w:tcBorders>
              <w:right w:val="single" w:sz="4" w:space="0" w:color="auto"/>
            </w:tcBorders>
            <w:vAlign w:val="center"/>
          </w:tcPr>
          <w:p w14:paraId="12E69D05" w14:textId="77777777" w:rsidR="00D56BF1" w:rsidRDefault="00D56BF1" w:rsidP="00D56BF1">
            <w:pPr>
              <w:jc w:val="right"/>
              <w:rPr>
                <w:color w:val="000000"/>
                <w:sz w:val="16"/>
                <w:szCs w:val="16"/>
              </w:rPr>
            </w:pPr>
            <w:r>
              <w:rPr>
                <w:color w:val="000000"/>
                <w:sz w:val="16"/>
                <w:szCs w:val="16"/>
              </w:rPr>
              <w:t>(88.6, 91.6)</w:t>
            </w:r>
          </w:p>
        </w:tc>
        <w:tc>
          <w:tcPr>
            <w:tcW w:w="569" w:type="dxa"/>
            <w:tcBorders>
              <w:left w:val="single" w:sz="4" w:space="0" w:color="auto"/>
            </w:tcBorders>
            <w:vAlign w:val="center"/>
          </w:tcPr>
          <w:p w14:paraId="342293BF" w14:textId="77777777" w:rsidR="00D56BF1" w:rsidRDefault="00D56BF1" w:rsidP="00D56BF1">
            <w:pPr>
              <w:jc w:val="right"/>
              <w:rPr>
                <w:color w:val="000000"/>
                <w:sz w:val="16"/>
                <w:szCs w:val="16"/>
              </w:rPr>
            </w:pPr>
            <w:r>
              <w:rPr>
                <w:color w:val="000000"/>
                <w:sz w:val="16"/>
                <w:szCs w:val="16"/>
              </w:rPr>
              <w:t>954</w:t>
            </w:r>
          </w:p>
        </w:tc>
        <w:tc>
          <w:tcPr>
            <w:tcW w:w="567" w:type="dxa"/>
            <w:vAlign w:val="center"/>
          </w:tcPr>
          <w:p w14:paraId="2D8AD271" w14:textId="77777777" w:rsidR="00D56BF1" w:rsidRDefault="00D56BF1" w:rsidP="00D56BF1">
            <w:pPr>
              <w:jc w:val="right"/>
              <w:rPr>
                <w:color w:val="000000"/>
                <w:sz w:val="16"/>
                <w:szCs w:val="16"/>
              </w:rPr>
            </w:pPr>
            <w:r>
              <w:rPr>
                <w:color w:val="000000"/>
                <w:sz w:val="16"/>
                <w:szCs w:val="16"/>
              </w:rPr>
              <w:t>89.2</w:t>
            </w:r>
          </w:p>
        </w:tc>
        <w:tc>
          <w:tcPr>
            <w:tcW w:w="1123" w:type="dxa"/>
            <w:tcBorders>
              <w:right w:val="single" w:sz="4" w:space="0" w:color="auto"/>
            </w:tcBorders>
            <w:vAlign w:val="center"/>
          </w:tcPr>
          <w:p w14:paraId="41B7FA8A" w14:textId="77777777" w:rsidR="00D56BF1" w:rsidRDefault="00D56BF1" w:rsidP="00D56BF1">
            <w:pPr>
              <w:jc w:val="right"/>
              <w:rPr>
                <w:color w:val="000000"/>
                <w:sz w:val="16"/>
                <w:szCs w:val="16"/>
              </w:rPr>
            </w:pPr>
            <w:r>
              <w:rPr>
                <w:color w:val="000000"/>
                <w:sz w:val="16"/>
                <w:szCs w:val="16"/>
              </w:rPr>
              <w:t>(87.2, 91.2)</w:t>
            </w:r>
          </w:p>
        </w:tc>
        <w:tc>
          <w:tcPr>
            <w:tcW w:w="536" w:type="dxa"/>
            <w:tcBorders>
              <w:left w:val="single" w:sz="4" w:space="0" w:color="auto"/>
            </w:tcBorders>
            <w:vAlign w:val="center"/>
          </w:tcPr>
          <w:p w14:paraId="4A135088" w14:textId="77777777" w:rsidR="00D56BF1" w:rsidRDefault="00D56BF1" w:rsidP="00D56BF1">
            <w:pPr>
              <w:jc w:val="right"/>
              <w:rPr>
                <w:color w:val="000000"/>
                <w:sz w:val="16"/>
                <w:szCs w:val="16"/>
              </w:rPr>
            </w:pPr>
            <w:r>
              <w:rPr>
                <w:color w:val="000000"/>
                <w:sz w:val="16"/>
                <w:szCs w:val="16"/>
              </w:rPr>
              <w:t>821</w:t>
            </w:r>
          </w:p>
        </w:tc>
        <w:tc>
          <w:tcPr>
            <w:tcW w:w="576" w:type="dxa"/>
            <w:vAlign w:val="center"/>
          </w:tcPr>
          <w:p w14:paraId="6205476C" w14:textId="77777777" w:rsidR="00D56BF1" w:rsidRDefault="00D56BF1" w:rsidP="00D56BF1">
            <w:pPr>
              <w:jc w:val="right"/>
              <w:rPr>
                <w:color w:val="000000"/>
                <w:sz w:val="16"/>
                <w:szCs w:val="16"/>
              </w:rPr>
            </w:pPr>
            <w:r>
              <w:rPr>
                <w:color w:val="000000"/>
                <w:sz w:val="16"/>
                <w:szCs w:val="16"/>
              </w:rPr>
              <w:t>90.2</w:t>
            </w:r>
          </w:p>
        </w:tc>
        <w:tc>
          <w:tcPr>
            <w:tcW w:w="1123" w:type="dxa"/>
            <w:tcBorders>
              <w:right w:val="single" w:sz="4" w:space="0" w:color="auto"/>
            </w:tcBorders>
            <w:vAlign w:val="center"/>
          </w:tcPr>
          <w:p w14:paraId="7F91E827" w14:textId="77777777" w:rsidR="00D56BF1" w:rsidRDefault="00D56BF1" w:rsidP="00D56BF1">
            <w:pPr>
              <w:jc w:val="right"/>
              <w:rPr>
                <w:color w:val="000000"/>
                <w:sz w:val="16"/>
                <w:szCs w:val="16"/>
              </w:rPr>
            </w:pPr>
            <w:r>
              <w:rPr>
                <w:color w:val="000000"/>
                <w:sz w:val="16"/>
                <w:szCs w:val="16"/>
              </w:rPr>
              <w:t>(88.3, 92.2)</w:t>
            </w:r>
          </w:p>
        </w:tc>
        <w:tc>
          <w:tcPr>
            <w:tcW w:w="536" w:type="dxa"/>
            <w:tcBorders>
              <w:left w:val="single" w:sz="4" w:space="0" w:color="auto"/>
            </w:tcBorders>
            <w:vAlign w:val="center"/>
          </w:tcPr>
          <w:p w14:paraId="1B840BEB" w14:textId="77777777" w:rsidR="00D56BF1" w:rsidRDefault="00D56BF1" w:rsidP="00D56BF1">
            <w:pPr>
              <w:jc w:val="right"/>
              <w:rPr>
                <w:color w:val="000000"/>
                <w:sz w:val="16"/>
                <w:szCs w:val="16"/>
              </w:rPr>
            </w:pPr>
            <w:r>
              <w:rPr>
                <w:color w:val="000000"/>
                <w:sz w:val="16"/>
                <w:szCs w:val="16"/>
              </w:rPr>
              <w:t>696</w:t>
            </w:r>
          </w:p>
        </w:tc>
        <w:tc>
          <w:tcPr>
            <w:tcW w:w="567" w:type="dxa"/>
            <w:vAlign w:val="center"/>
          </w:tcPr>
          <w:p w14:paraId="33C9F1A4" w14:textId="77777777" w:rsidR="00D56BF1" w:rsidRDefault="00D56BF1" w:rsidP="00D56BF1">
            <w:pPr>
              <w:jc w:val="right"/>
              <w:rPr>
                <w:color w:val="000000"/>
                <w:sz w:val="16"/>
                <w:szCs w:val="16"/>
              </w:rPr>
            </w:pPr>
            <w:r>
              <w:rPr>
                <w:color w:val="000000"/>
                <w:sz w:val="16"/>
                <w:szCs w:val="16"/>
              </w:rPr>
              <w:t>90.5</w:t>
            </w:r>
          </w:p>
        </w:tc>
        <w:tc>
          <w:tcPr>
            <w:tcW w:w="1123" w:type="dxa"/>
            <w:vAlign w:val="center"/>
          </w:tcPr>
          <w:p w14:paraId="6547EE0D" w14:textId="77777777" w:rsidR="00D56BF1" w:rsidRDefault="00D56BF1" w:rsidP="00D56BF1">
            <w:pPr>
              <w:jc w:val="right"/>
              <w:rPr>
                <w:color w:val="000000"/>
                <w:sz w:val="16"/>
                <w:szCs w:val="16"/>
              </w:rPr>
            </w:pPr>
            <w:r>
              <w:rPr>
                <w:color w:val="000000"/>
                <w:sz w:val="16"/>
                <w:szCs w:val="16"/>
              </w:rPr>
              <w:t>(88.1, 92.8)</w:t>
            </w:r>
          </w:p>
        </w:tc>
      </w:tr>
      <w:tr w:rsidR="00D56BF1" w:rsidRPr="007B4EF8" w14:paraId="1073DAEC" w14:textId="77777777" w:rsidTr="00D56BF1">
        <w:trPr>
          <w:jc w:val="center"/>
        </w:trPr>
        <w:tc>
          <w:tcPr>
            <w:tcW w:w="2127" w:type="dxa"/>
          </w:tcPr>
          <w:p w14:paraId="58ABE9ED" w14:textId="77777777" w:rsidR="00D56BF1" w:rsidRPr="00D56BF1" w:rsidRDefault="00D56BF1" w:rsidP="00D56BF1">
            <w:pPr>
              <w:spacing w:before="20" w:after="20"/>
              <w:ind w:left="34"/>
              <w:rPr>
                <w:rFonts w:eastAsiaTheme="minorEastAsia"/>
                <w:sz w:val="16"/>
                <w:szCs w:val="16"/>
                <w:lang w:eastAsia="en-US"/>
              </w:rPr>
            </w:pPr>
          </w:p>
        </w:tc>
        <w:tc>
          <w:tcPr>
            <w:tcW w:w="2379" w:type="dxa"/>
          </w:tcPr>
          <w:p w14:paraId="563A063C" w14:textId="77777777" w:rsidR="00D56BF1" w:rsidRPr="001B7431" w:rsidRDefault="00D56BF1" w:rsidP="00D56BF1">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vAlign w:val="center"/>
          </w:tcPr>
          <w:p w14:paraId="0B0DFD2C" w14:textId="77777777" w:rsidR="00D56BF1" w:rsidRDefault="00D56BF1" w:rsidP="00D56BF1">
            <w:pPr>
              <w:jc w:val="right"/>
              <w:rPr>
                <w:color w:val="000000"/>
                <w:sz w:val="16"/>
                <w:szCs w:val="16"/>
              </w:rPr>
            </w:pPr>
            <w:r>
              <w:rPr>
                <w:color w:val="000000"/>
                <w:sz w:val="16"/>
                <w:szCs w:val="16"/>
              </w:rPr>
              <w:t>128</w:t>
            </w:r>
          </w:p>
        </w:tc>
        <w:tc>
          <w:tcPr>
            <w:tcW w:w="496" w:type="dxa"/>
            <w:vAlign w:val="center"/>
          </w:tcPr>
          <w:p w14:paraId="32B63E80" w14:textId="77777777" w:rsidR="00D56BF1" w:rsidRDefault="00D56BF1" w:rsidP="00D56BF1">
            <w:pPr>
              <w:jc w:val="right"/>
              <w:rPr>
                <w:color w:val="000000"/>
                <w:sz w:val="16"/>
                <w:szCs w:val="16"/>
              </w:rPr>
            </w:pPr>
            <w:r>
              <w:rPr>
                <w:color w:val="000000"/>
                <w:sz w:val="16"/>
                <w:szCs w:val="16"/>
              </w:rPr>
              <w:t>6.8</w:t>
            </w:r>
          </w:p>
        </w:tc>
        <w:tc>
          <w:tcPr>
            <w:tcW w:w="1043" w:type="dxa"/>
            <w:tcBorders>
              <w:right w:val="single" w:sz="4" w:space="0" w:color="auto"/>
            </w:tcBorders>
            <w:vAlign w:val="center"/>
          </w:tcPr>
          <w:p w14:paraId="14889336" w14:textId="77777777" w:rsidR="00D56BF1" w:rsidRDefault="00D56BF1" w:rsidP="00D56BF1">
            <w:pPr>
              <w:jc w:val="right"/>
              <w:rPr>
                <w:color w:val="000000"/>
                <w:sz w:val="16"/>
                <w:szCs w:val="16"/>
              </w:rPr>
            </w:pPr>
            <w:r>
              <w:rPr>
                <w:color w:val="000000"/>
                <w:sz w:val="16"/>
                <w:szCs w:val="16"/>
              </w:rPr>
              <w:t>(5.5, 8.2)</w:t>
            </w:r>
          </w:p>
        </w:tc>
        <w:tc>
          <w:tcPr>
            <w:tcW w:w="569" w:type="dxa"/>
            <w:tcBorders>
              <w:left w:val="single" w:sz="4" w:space="0" w:color="auto"/>
            </w:tcBorders>
            <w:vAlign w:val="center"/>
          </w:tcPr>
          <w:p w14:paraId="568448DF" w14:textId="77777777" w:rsidR="00D56BF1" w:rsidRDefault="00D56BF1" w:rsidP="00D56BF1">
            <w:pPr>
              <w:jc w:val="right"/>
              <w:rPr>
                <w:color w:val="000000"/>
                <w:sz w:val="16"/>
                <w:szCs w:val="16"/>
              </w:rPr>
            </w:pPr>
            <w:r>
              <w:rPr>
                <w:color w:val="000000"/>
                <w:sz w:val="16"/>
                <w:szCs w:val="16"/>
              </w:rPr>
              <w:t>83</w:t>
            </w:r>
          </w:p>
        </w:tc>
        <w:tc>
          <w:tcPr>
            <w:tcW w:w="567" w:type="dxa"/>
            <w:vAlign w:val="center"/>
          </w:tcPr>
          <w:p w14:paraId="2BEC6D14" w14:textId="77777777" w:rsidR="00D56BF1" w:rsidRDefault="00D56BF1" w:rsidP="00D56BF1">
            <w:pPr>
              <w:jc w:val="right"/>
              <w:rPr>
                <w:color w:val="000000"/>
                <w:sz w:val="16"/>
                <w:szCs w:val="16"/>
              </w:rPr>
            </w:pPr>
            <w:r>
              <w:rPr>
                <w:color w:val="000000"/>
                <w:sz w:val="16"/>
                <w:szCs w:val="16"/>
              </w:rPr>
              <w:t>7.8</w:t>
            </w:r>
          </w:p>
        </w:tc>
        <w:tc>
          <w:tcPr>
            <w:tcW w:w="1123" w:type="dxa"/>
            <w:tcBorders>
              <w:right w:val="single" w:sz="4" w:space="0" w:color="auto"/>
            </w:tcBorders>
            <w:vAlign w:val="center"/>
          </w:tcPr>
          <w:p w14:paraId="2821587B" w14:textId="77777777" w:rsidR="00D56BF1" w:rsidRDefault="00D56BF1" w:rsidP="00D56BF1">
            <w:pPr>
              <w:jc w:val="right"/>
              <w:rPr>
                <w:color w:val="000000"/>
                <w:sz w:val="16"/>
                <w:szCs w:val="16"/>
              </w:rPr>
            </w:pPr>
            <w:r>
              <w:rPr>
                <w:color w:val="000000"/>
                <w:sz w:val="16"/>
                <w:szCs w:val="16"/>
              </w:rPr>
              <w:t>(6.0, 9.5)</w:t>
            </w:r>
          </w:p>
        </w:tc>
        <w:tc>
          <w:tcPr>
            <w:tcW w:w="536" w:type="dxa"/>
            <w:tcBorders>
              <w:left w:val="single" w:sz="4" w:space="0" w:color="auto"/>
            </w:tcBorders>
            <w:vAlign w:val="center"/>
          </w:tcPr>
          <w:p w14:paraId="224C33B6" w14:textId="77777777" w:rsidR="00D56BF1" w:rsidRDefault="00D56BF1" w:rsidP="00D56BF1">
            <w:pPr>
              <w:jc w:val="right"/>
              <w:rPr>
                <w:color w:val="000000"/>
                <w:sz w:val="16"/>
                <w:szCs w:val="16"/>
              </w:rPr>
            </w:pPr>
            <w:r>
              <w:rPr>
                <w:color w:val="000000"/>
                <w:sz w:val="16"/>
                <w:szCs w:val="16"/>
              </w:rPr>
              <w:t>59</w:t>
            </w:r>
          </w:p>
        </w:tc>
        <w:tc>
          <w:tcPr>
            <w:tcW w:w="576" w:type="dxa"/>
            <w:vAlign w:val="center"/>
          </w:tcPr>
          <w:p w14:paraId="60689C77" w14:textId="77777777" w:rsidR="00D56BF1" w:rsidRDefault="00D56BF1" w:rsidP="00D56BF1">
            <w:pPr>
              <w:jc w:val="right"/>
              <w:rPr>
                <w:color w:val="000000"/>
                <w:sz w:val="16"/>
                <w:szCs w:val="16"/>
              </w:rPr>
            </w:pPr>
            <w:r>
              <w:rPr>
                <w:color w:val="000000"/>
                <w:sz w:val="16"/>
                <w:szCs w:val="16"/>
              </w:rPr>
              <w:t>6.5</w:t>
            </w:r>
          </w:p>
        </w:tc>
        <w:tc>
          <w:tcPr>
            <w:tcW w:w="1123" w:type="dxa"/>
            <w:tcBorders>
              <w:right w:val="single" w:sz="4" w:space="0" w:color="auto"/>
            </w:tcBorders>
            <w:vAlign w:val="center"/>
          </w:tcPr>
          <w:p w14:paraId="284768C8" w14:textId="77777777" w:rsidR="00D56BF1" w:rsidRDefault="00D56BF1" w:rsidP="00D56BF1">
            <w:pPr>
              <w:jc w:val="right"/>
              <w:rPr>
                <w:color w:val="000000"/>
                <w:sz w:val="16"/>
                <w:szCs w:val="16"/>
              </w:rPr>
            </w:pPr>
            <w:r>
              <w:rPr>
                <w:color w:val="000000"/>
                <w:sz w:val="16"/>
                <w:szCs w:val="16"/>
              </w:rPr>
              <w:t>(4.9, 8.1)</w:t>
            </w:r>
          </w:p>
        </w:tc>
        <w:tc>
          <w:tcPr>
            <w:tcW w:w="536" w:type="dxa"/>
            <w:tcBorders>
              <w:left w:val="single" w:sz="4" w:space="0" w:color="auto"/>
            </w:tcBorders>
            <w:vAlign w:val="center"/>
          </w:tcPr>
          <w:p w14:paraId="568B9B8B" w14:textId="77777777" w:rsidR="00D56BF1" w:rsidRDefault="00D56BF1" w:rsidP="00D56BF1">
            <w:pPr>
              <w:jc w:val="right"/>
              <w:rPr>
                <w:color w:val="000000"/>
                <w:sz w:val="16"/>
                <w:szCs w:val="16"/>
              </w:rPr>
            </w:pPr>
            <w:r>
              <w:rPr>
                <w:color w:val="000000"/>
                <w:sz w:val="16"/>
                <w:szCs w:val="16"/>
              </w:rPr>
              <w:t>46</w:t>
            </w:r>
          </w:p>
        </w:tc>
        <w:tc>
          <w:tcPr>
            <w:tcW w:w="567" w:type="dxa"/>
            <w:vAlign w:val="center"/>
          </w:tcPr>
          <w:p w14:paraId="44DB09FF" w14:textId="77777777" w:rsidR="00D56BF1" w:rsidRDefault="00D56BF1" w:rsidP="00D56BF1">
            <w:pPr>
              <w:jc w:val="right"/>
              <w:rPr>
                <w:color w:val="000000"/>
                <w:sz w:val="16"/>
                <w:szCs w:val="16"/>
              </w:rPr>
            </w:pPr>
            <w:r>
              <w:rPr>
                <w:color w:val="000000"/>
                <w:sz w:val="16"/>
                <w:szCs w:val="16"/>
              </w:rPr>
              <w:t>5.9</w:t>
            </w:r>
          </w:p>
        </w:tc>
        <w:tc>
          <w:tcPr>
            <w:tcW w:w="1123" w:type="dxa"/>
            <w:vAlign w:val="center"/>
          </w:tcPr>
          <w:p w14:paraId="221B680F" w14:textId="77777777" w:rsidR="00D56BF1" w:rsidRDefault="00D56BF1" w:rsidP="00D56BF1">
            <w:pPr>
              <w:jc w:val="right"/>
              <w:rPr>
                <w:color w:val="000000"/>
                <w:sz w:val="16"/>
                <w:szCs w:val="16"/>
              </w:rPr>
            </w:pPr>
            <w:r>
              <w:rPr>
                <w:color w:val="000000"/>
                <w:sz w:val="16"/>
                <w:szCs w:val="16"/>
              </w:rPr>
              <w:t>(4.0, 7.9)</w:t>
            </w:r>
          </w:p>
        </w:tc>
      </w:tr>
      <w:tr w:rsidR="00D56BF1" w:rsidRPr="007B4EF8" w14:paraId="2769938C" w14:textId="77777777" w:rsidTr="00D56BF1">
        <w:trPr>
          <w:jc w:val="center"/>
        </w:trPr>
        <w:tc>
          <w:tcPr>
            <w:tcW w:w="2127" w:type="dxa"/>
          </w:tcPr>
          <w:p w14:paraId="47A2508C" w14:textId="77777777" w:rsidR="00D56BF1" w:rsidRPr="00D56BF1" w:rsidRDefault="00D56BF1" w:rsidP="00D56BF1">
            <w:pPr>
              <w:spacing w:before="20" w:after="20"/>
              <w:ind w:left="34"/>
              <w:rPr>
                <w:rFonts w:eastAsiaTheme="minorEastAsia"/>
                <w:sz w:val="16"/>
                <w:szCs w:val="16"/>
                <w:lang w:eastAsia="en-US"/>
              </w:rPr>
            </w:pPr>
          </w:p>
        </w:tc>
        <w:tc>
          <w:tcPr>
            <w:tcW w:w="2379" w:type="dxa"/>
          </w:tcPr>
          <w:p w14:paraId="38F8E945" w14:textId="77777777" w:rsidR="00D56BF1" w:rsidRPr="001B7431" w:rsidRDefault="00D56BF1" w:rsidP="00D56BF1">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vAlign w:val="center"/>
          </w:tcPr>
          <w:p w14:paraId="4019D0D0" w14:textId="77777777" w:rsidR="00D56BF1" w:rsidRDefault="00D56BF1" w:rsidP="00D56BF1">
            <w:pPr>
              <w:jc w:val="right"/>
              <w:rPr>
                <w:color w:val="000000"/>
                <w:sz w:val="16"/>
                <w:szCs w:val="16"/>
              </w:rPr>
            </w:pPr>
            <w:r>
              <w:rPr>
                <w:color w:val="000000"/>
                <w:sz w:val="16"/>
                <w:szCs w:val="16"/>
              </w:rPr>
              <w:t>57</w:t>
            </w:r>
          </w:p>
        </w:tc>
        <w:tc>
          <w:tcPr>
            <w:tcW w:w="496" w:type="dxa"/>
            <w:vAlign w:val="center"/>
          </w:tcPr>
          <w:p w14:paraId="396C7FBF" w14:textId="77777777" w:rsidR="00D56BF1" w:rsidRDefault="00D56BF1" w:rsidP="00D56BF1">
            <w:pPr>
              <w:jc w:val="right"/>
              <w:rPr>
                <w:color w:val="000000"/>
                <w:sz w:val="16"/>
                <w:szCs w:val="16"/>
              </w:rPr>
            </w:pPr>
            <w:r>
              <w:rPr>
                <w:color w:val="000000"/>
                <w:sz w:val="16"/>
                <w:szCs w:val="16"/>
              </w:rPr>
              <w:t>3.1</w:t>
            </w:r>
          </w:p>
        </w:tc>
        <w:tc>
          <w:tcPr>
            <w:tcW w:w="1043" w:type="dxa"/>
            <w:tcBorders>
              <w:right w:val="single" w:sz="4" w:space="0" w:color="auto"/>
            </w:tcBorders>
            <w:vAlign w:val="center"/>
          </w:tcPr>
          <w:p w14:paraId="126DA778" w14:textId="77777777" w:rsidR="00D56BF1" w:rsidRDefault="00D56BF1" w:rsidP="00D56BF1">
            <w:pPr>
              <w:jc w:val="right"/>
              <w:rPr>
                <w:color w:val="000000"/>
                <w:sz w:val="16"/>
                <w:szCs w:val="16"/>
              </w:rPr>
            </w:pPr>
            <w:r>
              <w:rPr>
                <w:color w:val="000000"/>
                <w:sz w:val="16"/>
                <w:szCs w:val="16"/>
              </w:rPr>
              <w:t>(2.3, 3.8)</w:t>
            </w:r>
          </w:p>
        </w:tc>
        <w:tc>
          <w:tcPr>
            <w:tcW w:w="569" w:type="dxa"/>
            <w:tcBorders>
              <w:left w:val="single" w:sz="4" w:space="0" w:color="auto"/>
            </w:tcBorders>
            <w:vAlign w:val="center"/>
          </w:tcPr>
          <w:p w14:paraId="13BE5B59" w14:textId="77777777" w:rsidR="00D56BF1" w:rsidRDefault="00D56BF1" w:rsidP="00D56BF1">
            <w:pPr>
              <w:jc w:val="right"/>
              <w:rPr>
                <w:color w:val="000000"/>
                <w:sz w:val="16"/>
                <w:szCs w:val="16"/>
              </w:rPr>
            </w:pPr>
            <w:r>
              <w:rPr>
                <w:color w:val="000000"/>
                <w:sz w:val="16"/>
                <w:szCs w:val="16"/>
              </w:rPr>
              <w:t>33</w:t>
            </w:r>
          </w:p>
        </w:tc>
        <w:tc>
          <w:tcPr>
            <w:tcW w:w="567" w:type="dxa"/>
            <w:vAlign w:val="center"/>
          </w:tcPr>
          <w:p w14:paraId="08C31404" w14:textId="77777777" w:rsidR="00D56BF1" w:rsidRDefault="00D56BF1" w:rsidP="00D56BF1">
            <w:pPr>
              <w:jc w:val="right"/>
              <w:rPr>
                <w:color w:val="000000"/>
                <w:sz w:val="16"/>
                <w:szCs w:val="16"/>
              </w:rPr>
            </w:pPr>
            <w:r>
              <w:rPr>
                <w:color w:val="000000"/>
                <w:sz w:val="16"/>
                <w:szCs w:val="16"/>
              </w:rPr>
              <w:t>3.1</w:t>
            </w:r>
          </w:p>
        </w:tc>
        <w:tc>
          <w:tcPr>
            <w:tcW w:w="1123" w:type="dxa"/>
            <w:tcBorders>
              <w:right w:val="single" w:sz="4" w:space="0" w:color="auto"/>
            </w:tcBorders>
            <w:vAlign w:val="center"/>
          </w:tcPr>
          <w:p w14:paraId="3EE39726" w14:textId="77777777" w:rsidR="00D56BF1" w:rsidRDefault="00D56BF1" w:rsidP="00D56BF1">
            <w:pPr>
              <w:jc w:val="right"/>
              <w:rPr>
                <w:color w:val="000000"/>
                <w:sz w:val="16"/>
                <w:szCs w:val="16"/>
              </w:rPr>
            </w:pPr>
            <w:r>
              <w:rPr>
                <w:color w:val="000000"/>
                <w:sz w:val="16"/>
                <w:szCs w:val="16"/>
              </w:rPr>
              <w:t>(2.0, 4.1)</w:t>
            </w:r>
          </w:p>
        </w:tc>
        <w:tc>
          <w:tcPr>
            <w:tcW w:w="536" w:type="dxa"/>
            <w:tcBorders>
              <w:left w:val="single" w:sz="4" w:space="0" w:color="auto"/>
            </w:tcBorders>
            <w:vAlign w:val="center"/>
          </w:tcPr>
          <w:p w14:paraId="3C2A6166" w14:textId="77777777" w:rsidR="00D56BF1" w:rsidRDefault="00D56BF1" w:rsidP="00D56BF1">
            <w:pPr>
              <w:jc w:val="right"/>
              <w:rPr>
                <w:color w:val="000000"/>
                <w:sz w:val="16"/>
                <w:szCs w:val="16"/>
              </w:rPr>
            </w:pPr>
            <w:r>
              <w:rPr>
                <w:color w:val="000000"/>
                <w:sz w:val="16"/>
                <w:szCs w:val="16"/>
              </w:rPr>
              <w:t>30</w:t>
            </w:r>
          </w:p>
        </w:tc>
        <w:tc>
          <w:tcPr>
            <w:tcW w:w="576" w:type="dxa"/>
            <w:vAlign w:val="center"/>
          </w:tcPr>
          <w:p w14:paraId="40E762AB" w14:textId="77777777" w:rsidR="00D56BF1" w:rsidRDefault="00D56BF1" w:rsidP="00D56BF1">
            <w:pPr>
              <w:jc w:val="right"/>
              <w:rPr>
                <w:color w:val="000000"/>
                <w:sz w:val="16"/>
                <w:szCs w:val="16"/>
              </w:rPr>
            </w:pPr>
            <w:r>
              <w:rPr>
                <w:color w:val="000000"/>
                <w:sz w:val="16"/>
                <w:szCs w:val="16"/>
              </w:rPr>
              <w:t>3.3</w:t>
            </w:r>
          </w:p>
        </w:tc>
        <w:tc>
          <w:tcPr>
            <w:tcW w:w="1123" w:type="dxa"/>
            <w:tcBorders>
              <w:right w:val="single" w:sz="4" w:space="0" w:color="auto"/>
            </w:tcBorders>
            <w:vAlign w:val="center"/>
          </w:tcPr>
          <w:p w14:paraId="07C10115" w14:textId="77777777" w:rsidR="00D56BF1" w:rsidRDefault="00D56BF1" w:rsidP="00D56BF1">
            <w:pPr>
              <w:jc w:val="right"/>
              <w:rPr>
                <w:color w:val="000000"/>
                <w:sz w:val="16"/>
                <w:szCs w:val="16"/>
              </w:rPr>
            </w:pPr>
            <w:r>
              <w:rPr>
                <w:color w:val="000000"/>
                <w:sz w:val="16"/>
                <w:szCs w:val="16"/>
              </w:rPr>
              <w:t>(2.2, 4.4)</w:t>
            </w:r>
          </w:p>
        </w:tc>
        <w:tc>
          <w:tcPr>
            <w:tcW w:w="536" w:type="dxa"/>
            <w:tcBorders>
              <w:left w:val="single" w:sz="4" w:space="0" w:color="auto"/>
            </w:tcBorders>
            <w:vAlign w:val="center"/>
          </w:tcPr>
          <w:p w14:paraId="125336A2" w14:textId="77777777" w:rsidR="00D56BF1" w:rsidRDefault="00D56BF1" w:rsidP="00D56BF1">
            <w:pPr>
              <w:jc w:val="right"/>
              <w:rPr>
                <w:color w:val="000000"/>
                <w:sz w:val="16"/>
                <w:szCs w:val="16"/>
              </w:rPr>
            </w:pPr>
            <w:r>
              <w:rPr>
                <w:color w:val="000000"/>
                <w:sz w:val="16"/>
                <w:szCs w:val="16"/>
              </w:rPr>
              <w:t>25</w:t>
            </w:r>
          </w:p>
        </w:tc>
        <w:tc>
          <w:tcPr>
            <w:tcW w:w="567" w:type="dxa"/>
            <w:vAlign w:val="center"/>
          </w:tcPr>
          <w:p w14:paraId="1D639A94" w14:textId="77777777" w:rsidR="00D56BF1" w:rsidRDefault="00D56BF1" w:rsidP="00D56BF1">
            <w:pPr>
              <w:jc w:val="right"/>
              <w:rPr>
                <w:color w:val="000000"/>
                <w:sz w:val="16"/>
                <w:szCs w:val="16"/>
              </w:rPr>
            </w:pPr>
            <w:r>
              <w:rPr>
                <w:color w:val="000000"/>
                <w:sz w:val="16"/>
                <w:szCs w:val="16"/>
              </w:rPr>
              <w:t>3.2</w:t>
            </w:r>
          </w:p>
        </w:tc>
        <w:tc>
          <w:tcPr>
            <w:tcW w:w="1123" w:type="dxa"/>
            <w:vAlign w:val="center"/>
          </w:tcPr>
          <w:p w14:paraId="112DDC50" w14:textId="77777777" w:rsidR="00D56BF1" w:rsidRDefault="00D56BF1" w:rsidP="00D56BF1">
            <w:pPr>
              <w:jc w:val="right"/>
              <w:rPr>
                <w:color w:val="000000"/>
                <w:sz w:val="16"/>
                <w:szCs w:val="16"/>
              </w:rPr>
            </w:pPr>
            <w:r>
              <w:rPr>
                <w:color w:val="000000"/>
                <w:sz w:val="16"/>
                <w:szCs w:val="16"/>
              </w:rPr>
              <w:t>(2.0, 4.5)</w:t>
            </w:r>
          </w:p>
        </w:tc>
      </w:tr>
      <w:tr w:rsidR="00D56BF1" w:rsidRPr="007B4EF8" w14:paraId="3EAB05E2" w14:textId="77777777" w:rsidTr="00D56BF1">
        <w:trPr>
          <w:jc w:val="center"/>
        </w:trPr>
        <w:tc>
          <w:tcPr>
            <w:tcW w:w="2127" w:type="dxa"/>
          </w:tcPr>
          <w:p w14:paraId="184E3B54" w14:textId="77777777" w:rsidR="00D56BF1" w:rsidRPr="00D56BF1" w:rsidRDefault="00D56BF1" w:rsidP="00D56BF1">
            <w:pPr>
              <w:spacing w:before="20" w:after="20"/>
              <w:ind w:left="34"/>
              <w:rPr>
                <w:rFonts w:eastAsiaTheme="minorEastAsia"/>
                <w:sz w:val="16"/>
                <w:szCs w:val="16"/>
                <w:lang w:eastAsia="en-US"/>
              </w:rPr>
            </w:pPr>
            <w:r w:rsidRPr="00D56BF1">
              <w:rPr>
                <w:rFonts w:eastAsiaTheme="minorEastAsia"/>
                <w:sz w:val="16"/>
                <w:szCs w:val="16"/>
                <w:lang w:eastAsia="en-US"/>
              </w:rPr>
              <w:t>With one person</w:t>
            </w:r>
          </w:p>
        </w:tc>
        <w:tc>
          <w:tcPr>
            <w:tcW w:w="2379" w:type="dxa"/>
          </w:tcPr>
          <w:p w14:paraId="0C46B459" w14:textId="77777777" w:rsidR="00D56BF1" w:rsidRPr="001B7431" w:rsidRDefault="00D56BF1" w:rsidP="00D56BF1">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vAlign w:val="center"/>
          </w:tcPr>
          <w:p w14:paraId="0F8181F7" w14:textId="77777777" w:rsidR="00D56BF1" w:rsidRDefault="00D56BF1" w:rsidP="00D56BF1">
            <w:pPr>
              <w:jc w:val="right"/>
              <w:rPr>
                <w:color w:val="000000"/>
                <w:sz w:val="16"/>
                <w:szCs w:val="16"/>
              </w:rPr>
            </w:pPr>
            <w:r>
              <w:rPr>
                <w:color w:val="000000"/>
                <w:sz w:val="16"/>
                <w:szCs w:val="16"/>
              </w:rPr>
              <w:t>766</w:t>
            </w:r>
          </w:p>
        </w:tc>
        <w:tc>
          <w:tcPr>
            <w:tcW w:w="496" w:type="dxa"/>
            <w:vAlign w:val="center"/>
          </w:tcPr>
          <w:p w14:paraId="7663AD14" w14:textId="77777777" w:rsidR="00D56BF1" w:rsidRDefault="00D56BF1" w:rsidP="00D56BF1">
            <w:pPr>
              <w:jc w:val="right"/>
              <w:rPr>
                <w:color w:val="000000"/>
                <w:sz w:val="16"/>
                <w:szCs w:val="16"/>
              </w:rPr>
            </w:pPr>
            <w:r>
              <w:rPr>
                <w:color w:val="000000"/>
                <w:sz w:val="16"/>
                <w:szCs w:val="16"/>
              </w:rPr>
              <w:t>88.6</w:t>
            </w:r>
          </w:p>
        </w:tc>
        <w:tc>
          <w:tcPr>
            <w:tcW w:w="1043" w:type="dxa"/>
            <w:tcBorders>
              <w:right w:val="single" w:sz="4" w:space="0" w:color="auto"/>
            </w:tcBorders>
            <w:vAlign w:val="center"/>
          </w:tcPr>
          <w:p w14:paraId="68F3DBFD" w14:textId="77777777" w:rsidR="00D56BF1" w:rsidRDefault="00D56BF1" w:rsidP="00D56BF1">
            <w:pPr>
              <w:jc w:val="right"/>
              <w:rPr>
                <w:color w:val="000000"/>
                <w:sz w:val="16"/>
                <w:szCs w:val="16"/>
              </w:rPr>
            </w:pPr>
            <w:r>
              <w:rPr>
                <w:color w:val="000000"/>
                <w:sz w:val="16"/>
                <w:szCs w:val="16"/>
              </w:rPr>
              <w:t>(85.9, 91.2)</w:t>
            </w:r>
          </w:p>
        </w:tc>
        <w:tc>
          <w:tcPr>
            <w:tcW w:w="569" w:type="dxa"/>
            <w:tcBorders>
              <w:left w:val="single" w:sz="4" w:space="0" w:color="auto"/>
            </w:tcBorders>
            <w:vAlign w:val="center"/>
          </w:tcPr>
          <w:p w14:paraId="6E4B5F56" w14:textId="77777777" w:rsidR="00D56BF1" w:rsidRDefault="00D56BF1" w:rsidP="00D56BF1">
            <w:pPr>
              <w:jc w:val="right"/>
              <w:rPr>
                <w:color w:val="000000"/>
                <w:sz w:val="16"/>
                <w:szCs w:val="16"/>
              </w:rPr>
            </w:pPr>
            <w:r>
              <w:rPr>
                <w:color w:val="000000"/>
                <w:sz w:val="16"/>
                <w:szCs w:val="16"/>
              </w:rPr>
              <w:t>374</w:t>
            </w:r>
          </w:p>
        </w:tc>
        <w:tc>
          <w:tcPr>
            <w:tcW w:w="567" w:type="dxa"/>
            <w:vAlign w:val="center"/>
          </w:tcPr>
          <w:p w14:paraId="5C954BB2" w14:textId="77777777" w:rsidR="00D56BF1" w:rsidRDefault="00D56BF1" w:rsidP="00D56BF1">
            <w:pPr>
              <w:jc w:val="right"/>
              <w:rPr>
                <w:color w:val="000000"/>
                <w:sz w:val="16"/>
                <w:szCs w:val="16"/>
              </w:rPr>
            </w:pPr>
            <w:r>
              <w:rPr>
                <w:color w:val="000000"/>
                <w:sz w:val="16"/>
                <w:szCs w:val="16"/>
              </w:rPr>
              <w:t>86.1</w:t>
            </w:r>
          </w:p>
        </w:tc>
        <w:tc>
          <w:tcPr>
            <w:tcW w:w="1123" w:type="dxa"/>
            <w:tcBorders>
              <w:right w:val="single" w:sz="4" w:space="0" w:color="auto"/>
            </w:tcBorders>
            <w:vAlign w:val="center"/>
          </w:tcPr>
          <w:p w14:paraId="6685C367" w14:textId="77777777" w:rsidR="00D56BF1" w:rsidRDefault="00D56BF1" w:rsidP="00D56BF1">
            <w:pPr>
              <w:jc w:val="right"/>
              <w:rPr>
                <w:color w:val="000000"/>
                <w:sz w:val="16"/>
                <w:szCs w:val="16"/>
              </w:rPr>
            </w:pPr>
            <w:r>
              <w:rPr>
                <w:color w:val="000000"/>
                <w:sz w:val="16"/>
                <w:szCs w:val="16"/>
              </w:rPr>
              <w:t>(82.4, 89.8)</w:t>
            </w:r>
          </w:p>
        </w:tc>
        <w:tc>
          <w:tcPr>
            <w:tcW w:w="536" w:type="dxa"/>
            <w:tcBorders>
              <w:left w:val="single" w:sz="4" w:space="0" w:color="auto"/>
            </w:tcBorders>
            <w:vAlign w:val="center"/>
          </w:tcPr>
          <w:p w14:paraId="34A63B28" w14:textId="77777777" w:rsidR="00D56BF1" w:rsidRDefault="00D56BF1" w:rsidP="00D56BF1">
            <w:pPr>
              <w:jc w:val="right"/>
              <w:rPr>
                <w:color w:val="000000"/>
                <w:sz w:val="16"/>
                <w:szCs w:val="16"/>
              </w:rPr>
            </w:pPr>
            <w:r>
              <w:rPr>
                <w:color w:val="000000"/>
                <w:sz w:val="16"/>
                <w:szCs w:val="16"/>
              </w:rPr>
              <w:t>343</w:t>
            </w:r>
          </w:p>
        </w:tc>
        <w:tc>
          <w:tcPr>
            <w:tcW w:w="576" w:type="dxa"/>
            <w:vAlign w:val="center"/>
          </w:tcPr>
          <w:p w14:paraId="68384738" w14:textId="77777777" w:rsidR="00D56BF1" w:rsidRDefault="00D56BF1" w:rsidP="00D56BF1">
            <w:pPr>
              <w:jc w:val="right"/>
              <w:rPr>
                <w:color w:val="000000"/>
                <w:sz w:val="16"/>
                <w:szCs w:val="16"/>
              </w:rPr>
            </w:pPr>
            <w:r>
              <w:rPr>
                <w:color w:val="000000"/>
                <w:sz w:val="16"/>
                <w:szCs w:val="16"/>
              </w:rPr>
              <w:t>88.5</w:t>
            </w:r>
          </w:p>
        </w:tc>
        <w:tc>
          <w:tcPr>
            <w:tcW w:w="1123" w:type="dxa"/>
            <w:tcBorders>
              <w:right w:val="single" w:sz="4" w:space="0" w:color="auto"/>
            </w:tcBorders>
            <w:vAlign w:val="center"/>
          </w:tcPr>
          <w:p w14:paraId="52111971" w14:textId="77777777" w:rsidR="00D56BF1" w:rsidRDefault="00D56BF1" w:rsidP="00D56BF1">
            <w:pPr>
              <w:jc w:val="right"/>
              <w:rPr>
                <w:color w:val="000000"/>
                <w:sz w:val="16"/>
                <w:szCs w:val="16"/>
              </w:rPr>
            </w:pPr>
            <w:r>
              <w:rPr>
                <w:color w:val="000000"/>
                <w:sz w:val="16"/>
                <w:szCs w:val="16"/>
              </w:rPr>
              <w:t>(84.3, 92.8)</w:t>
            </w:r>
          </w:p>
        </w:tc>
        <w:tc>
          <w:tcPr>
            <w:tcW w:w="536" w:type="dxa"/>
            <w:tcBorders>
              <w:left w:val="single" w:sz="4" w:space="0" w:color="auto"/>
            </w:tcBorders>
            <w:vAlign w:val="center"/>
          </w:tcPr>
          <w:p w14:paraId="7509E5AE" w14:textId="77777777" w:rsidR="00D56BF1" w:rsidRDefault="00D56BF1" w:rsidP="00D56BF1">
            <w:pPr>
              <w:jc w:val="right"/>
              <w:rPr>
                <w:color w:val="000000"/>
                <w:sz w:val="16"/>
                <w:szCs w:val="16"/>
              </w:rPr>
            </w:pPr>
            <w:r>
              <w:rPr>
                <w:color w:val="000000"/>
                <w:sz w:val="16"/>
                <w:szCs w:val="16"/>
              </w:rPr>
              <w:t>293</w:t>
            </w:r>
          </w:p>
        </w:tc>
        <w:tc>
          <w:tcPr>
            <w:tcW w:w="567" w:type="dxa"/>
            <w:vAlign w:val="center"/>
          </w:tcPr>
          <w:p w14:paraId="17BD380E" w14:textId="77777777" w:rsidR="00D56BF1" w:rsidRDefault="00D56BF1" w:rsidP="00D56BF1">
            <w:pPr>
              <w:jc w:val="right"/>
              <w:rPr>
                <w:color w:val="000000"/>
                <w:sz w:val="16"/>
                <w:szCs w:val="16"/>
              </w:rPr>
            </w:pPr>
            <w:r>
              <w:rPr>
                <w:color w:val="000000"/>
                <w:sz w:val="16"/>
                <w:szCs w:val="16"/>
              </w:rPr>
              <w:t>87.3</w:t>
            </w:r>
          </w:p>
        </w:tc>
        <w:tc>
          <w:tcPr>
            <w:tcW w:w="1123" w:type="dxa"/>
            <w:vAlign w:val="center"/>
          </w:tcPr>
          <w:p w14:paraId="511C1DAB" w14:textId="77777777" w:rsidR="00D56BF1" w:rsidRDefault="00D56BF1" w:rsidP="00D56BF1">
            <w:pPr>
              <w:jc w:val="right"/>
              <w:rPr>
                <w:color w:val="000000"/>
                <w:sz w:val="16"/>
                <w:szCs w:val="16"/>
              </w:rPr>
            </w:pPr>
            <w:r>
              <w:rPr>
                <w:color w:val="000000"/>
                <w:sz w:val="16"/>
                <w:szCs w:val="16"/>
              </w:rPr>
              <w:t>(82.2, 92.4)</w:t>
            </w:r>
          </w:p>
        </w:tc>
      </w:tr>
      <w:tr w:rsidR="00D56BF1" w:rsidRPr="007B4EF8" w14:paraId="45A7D8F8" w14:textId="77777777" w:rsidTr="00D56BF1">
        <w:trPr>
          <w:jc w:val="center"/>
        </w:trPr>
        <w:tc>
          <w:tcPr>
            <w:tcW w:w="2127" w:type="dxa"/>
          </w:tcPr>
          <w:p w14:paraId="420D83FF" w14:textId="77777777" w:rsidR="00D56BF1" w:rsidRDefault="00D56BF1" w:rsidP="00D56BF1">
            <w:pPr>
              <w:spacing w:before="20" w:after="20"/>
              <w:ind w:left="34"/>
              <w:rPr>
                <w:rFonts w:eastAsiaTheme="minorEastAsia"/>
                <w:sz w:val="16"/>
                <w:szCs w:val="16"/>
                <w:lang w:eastAsia="en-US"/>
              </w:rPr>
            </w:pPr>
          </w:p>
        </w:tc>
        <w:tc>
          <w:tcPr>
            <w:tcW w:w="2379" w:type="dxa"/>
          </w:tcPr>
          <w:p w14:paraId="1B8D9FC3" w14:textId="77777777" w:rsidR="00D56BF1" w:rsidRPr="001B7431" w:rsidRDefault="00D56BF1" w:rsidP="00D56BF1">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vAlign w:val="center"/>
          </w:tcPr>
          <w:p w14:paraId="2336B251" w14:textId="77777777" w:rsidR="00D56BF1" w:rsidRDefault="00D56BF1" w:rsidP="00D56BF1">
            <w:pPr>
              <w:jc w:val="right"/>
              <w:rPr>
                <w:color w:val="000000"/>
                <w:sz w:val="16"/>
                <w:szCs w:val="16"/>
              </w:rPr>
            </w:pPr>
            <w:r>
              <w:rPr>
                <w:color w:val="000000"/>
                <w:sz w:val="16"/>
                <w:szCs w:val="16"/>
              </w:rPr>
              <w:t>56</w:t>
            </w:r>
          </w:p>
        </w:tc>
        <w:tc>
          <w:tcPr>
            <w:tcW w:w="496" w:type="dxa"/>
            <w:vAlign w:val="center"/>
          </w:tcPr>
          <w:p w14:paraId="046382EE" w14:textId="77777777" w:rsidR="00D56BF1" w:rsidRDefault="00D56BF1" w:rsidP="00D56BF1">
            <w:pPr>
              <w:jc w:val="right"/>
              <w:rPr>
                <w:color w:val="000000"/>
                <w:sz w:val="16"/>
                <w:szCs w:val="16"/>
              </w:rPr>
            </w:pPr>
            <w:r>
              <w:rPr>
                <w:color w:val="000000"/>
                <w:sz w:val="16"/>
                <w:szCs w:val="16"/>
              </w:rPr>
              <w:t>6.5</w:t>
            </w:r>
          </w:p>
        </w:tc>
        <w:tc>
          <w:tcPr>
            <w:tcW w:w="1043" w:type="dxa"/>
            <w:tcBorders>
              <w:right w:val="single" w:sz="4" w:space="0" w:color="auto"/>
            </w:tcBorders>
            <w:vAlign w:val="center"/>
          </w:tcPr>
          <w:p w14:paraId="78A28C18" w14:textId="77777777" w:rsidR="00D56BF1" w:rsidRDefault="00D56BF1" w:rsidP="00D56BF1">
            <w:pPr>
              <w:jc w:val="right"/>
              <w:rPr>
                <w:color w:val="000000"/>
                <w:sz w:val="16"/>
                <w:szCs w:val="16"/>
              </w:rPr>
            </w:pPr>
            <w:r>
              <w:rPr>
                <w:color w:val="000000"/>
                <w:sz w:val="16"/>
                <w:szCs w:val="16"/>
              </w:rPr>
              <w:t>(4.5, 8.4)</w:t>
            </w:r>
          </w:p>
        </w:tc>
        <w:tc>
          <w:tcPr>
            <w:tcW w:w="569" w:type="dxa"/>
            <w:tcBorders>
              <w:left w:val="single" w:sz="4" w:space="0" w:color="auto"/>
            </w:tcBorders>
            <w:vAlign w:val="center"/>
          </w:tcPr>
          <w:p w14:paraId="0EE5784C" w14:textId="77777777" w:rsidR="00D56BF1" w:rsidRDefault="00D56BF1" w:rsidP="00D56BF1">
            <w:pPr>
              <w:jc w:val="right"/>
              <w:rPr>
                <w:color w:val="000000"/>
                <w:sz w:val="16"/>
                <w:szCs w:val="16"/>
              </w:rPr>
            </w:pPr>
            <w:r>
              <w:rPr>
                <w:color w:val="000000"/>
                <w:sz w:val="16"/>
                <w:szCs w:val="16"/>
              </w:rPr>
              <w:t>43</w:t>
            </w:r>
          </w:p>
        </w:tc>
        <w:tc>
          <w:tcPr>
            <w:tcW w:w="567" w:type="dxa"/>
            <w:vAlign w:val="center"/>
          </w:tcPr>
          <w:p w14:paraId="1444AD97" w14:textId="77777777" w:rsidR="00D56BF1" w:rsidRDefault="00D56BF1" w:rsidP="00D56BF1">
            <w:pPr>
              <w:jc w:val="right"/>
              <w:rPr>
                <w:color w:val="000000"/>
                <w:sz w:val="16"/>
                <w:szCs w:val="16"/>
              </w:rPr>
            </w:pPr>
            <w:r>
              <w:rPr>
                <w:color w:val="000000"/>
                <w:sz w:val="16"/>
                <w:szCs w:val="16"/>
              </w:rPr>
              <w:t>9.9</w:t>
            </w:r>
          </w:p>
        </w:tc>
        <w:tc>
          <w:tcPr>
            <w:tcW w:w="1123" w:type="dxa"/>
            <w:tcBorders>
              <w:right w:val="single" w:sz="4" w:space="0" w:color="auto"/>
            </w:tcBorders>
            <w:vAlign w:val="center"/>
          </w:tcPr>
          <w:p w14:paraId="29C43341" w14:textId="77777777" w:rsidR="00D56BF1" w:rsidRDefault="00D56BF1" w:rsidP="00D56BF1">
            <w:pPr>
              <w:jc w:val="right"/>
              <w:rPr>
                <w:color w:val="000000"/>
                <w:sz w:val="16"/>
                <w:szCs w:val="16"/>
              </w:rPr>
            </w:pPr>
            <w:r>
              <w:rPr>
                <w:color w:val="000000"/>
                <w:sz w:val="16"/>
                <w:szCs w:val="16"/>
              </w:rPr>
              <w:t>(6.7, 13.1)</w:t>
            </w:r>
          </w:p>
        </w:tc>
        <w:tc>
          <w:tcPr>
            <w:tcW w:w="536" w:type="dxa"/>
            <w:tcBorders>
              <w:left w:val="single" w:sz="4" w:space="0" w:color="auto"/>
            </w:tcBorders>
            <w:vAlign w:val="center"/>
          </w:tcPr>
          <w:p w14:paraId="66EEFD55" w14:textId="77777777" w:rsidR="00D56BF1" w:rsidRDefault="00D56BF1" w:rsidP="00D56BF1">
            <w:pPr>
              <w:jc w:val="right"/>
              <w:rPr>
                <w:color w:val="000000"/>
                <w:sz w:val="16"/>
                <w:szCs w:val="16"/>
              </w:rPr>
            </w:pPr>
            <w:r>
              <w:rPr>
                <w:color w:val="000000"/>
                <w:sz w:val="16"/>
                <w:szCs w:val="16"/>
              </w:rPr>
              <w:t>36</w:t>
            </w:r>
          </w:p>
        </w:tc>
        <w:tc>
          <w:tcPr>
            <w:tcW w:w="576" w:type="dxa"/>
            <w:vAlign w:val="center"/>
          </w:tcPr>
          <w:p w14:paraId="797992F9" w14:textId="77777777" w:rsidR="00D56BF1" w:rsidRDefault="00D56BF1" w:rsidP="00D56BF1">
            <w:pPr>
              <w:jc w:val="right"/>
              <w:rPr>
                <w:color w:val="000000"/>
                <w:sz w:val="16"/>
                <w:szCs w:val="16"/>
              </w:rPr>
            </w:pPr>
            <w:r>
              <w:rPr>
                <w:color w:val="000000"/>
                <w:sz w:val="16"/>
                <w:szCs w:val="16"/>
              </w:rPr>
              <w:t>9.2</w:t>
            </w:r>
          </w:p>
        </w:tc>
        <w:tc>
          <w:tcPr>
            <w:tcW w:w="1123" w:type="dxa"/>
            <w:tcBorders>
              <w:right w:val="single" w:sz="4" w:space="0" w:color="auto"/>
            </w:tcBorders>
            <w:vAlign w:val="center"/>
          </w:tcPr>
          <w:p w14:paraId="48084647" w14:textId="77777777" w:rsidR="00D56BF1" w:rsidRDefault="00D56BF1" w:rsidP="00D56BF1">
            <w:pPr>
              <w:jc w:val="right"/>
              <w:rPr>
                <w:color w:val="000000"/>
                <w:sz w:val="16"/>
                <w:szCs w:val="16"/>
              </w:rPr>
            </w:pPr>
            <w:r>
              <w:rPr>
                <w:color w:val="000000"/>
                <w:sz w:val="16"/>
                <w:szCs w:val="16"/>
              </w:rPr>
              <w:t>(5.1, 13.3)</w:t>
            </w:r>
          </w:p>
        </w:tc>
        <w:tc>
          <w:tcPr>
            <w:tcW w:w="536" w:type="dxa"/>
            <w:tcBorders>
              <w:left w:val="single" w:sz="4" w:space="0" w:color="auto"/>
            </w:tcBorders>
            <w:vAlign w:val="center"/>
          </w:tcPr>
          <w:p w14:paraId="007CFA52" w14:textId="77777777" w:rsidR="00D56BF1" w:rsidRDefault="00D56BF1" w:rsidP="00D56BF1">
            <w:pPr>
              <w:jc w:val="right"/>
              <w:rPr>
                <w:color w:val="000000"/>
                <w:sz w:val="16"/>
                <w:szCs w:val="16"/>
              </w:rPr>
            </w:pPr>
            <w:r>
              <w:rPr>
                <w:color w:val="000000"/>
                <w:sz w:val="16"/>
                <w:szCs w:val="16"/>
              </w:rPr>
              <w:t>27</w:t>
            </w:r>
          </w:p>
        </w:tc>
        <w:tc>
          <w:tcPr>
            <w:tcW w:w="567" w:type="dxa"/>
            <w:vAlign w:val="center"/>
          </w:tcPr>
          <w:p w14:paraId="559BDE2D" w14:textId="77777777" w:rsidR="00D56BF1" w:rsidRDefault="00D56BF1" w:rsidP="00D56BF1">
            <w:pPr>
              <w:jc w:val="right"/>
              <w:rPr>
                <w:color w:val="000000"/>
                <w:sz w:val="16"/>
                <w:szCs w:val="16"/>
              </w:rPr>
            </w:pPr>
            <w:r>
              <w:rPr>
                <w:color w:val="000000"/>
                <w:sz w:val="16"/>
                <w:szCs w:val="16"/>
              </w:rPr>
              <w:t>7.9</w:t>
            </w:r>
          </w:p>
        </w:tc>
        <w:tc>
          <w:tcPr>
            <w:tcW w:w="1123" w:type="dxa"/>
            <w:vAlign w:val="center"/>
          </w:tcPr>
          <w:p w14:paraId="57A73BA4" w14:textId="77777777" w:rsidR="00D56BF1" w:rsidRDefault="00D56BF1" w:rsidP="00D56BF1">
            <w:pPr>
              <w:jc w:val="right"/>
              <w:rPr>
                <w:color w:val="000000"/>
                <w:sz w:val="16"/>
                <w:szCs w:val="16"/>
              </w:rPr>
            </w:pPr>
            <w:r>
              <w:rPr>
                <w:color w:val="000000"/>
                <w:sz w:val="16"/>
                <w:szCs w:val="16"/>
              </w:rPr>
              <w:t>(4.8, 11.1)</w:t>
            </w:r>
          </w:p>
        </w:tc>
      </w:tr>
      <w:tr w:rsidR="00D56BF1" w:rsidRPr="007B4EF8" w14:paraId="71E16700" w14:textId="77777777" w:rsidTr="00D56BF1">
        <w:trPr>
          <w:jc w:val="center"/>
        </w:trPr>
        <w:tc>
          <w:tcPr>
            <w:tcW w:w="2127" w:type="dxa"/>
          </w:tcPr>
          <w:p w14:paraId="533B8C7E" w14:textId="77777777" w:rsidR="00D56BF1" w:rsidRDefault="00D56BF1" w:rsidP="00D56BF1">
            <w:pPr>
              <w:spacing w:before="20" w:after="20"/>
              <w:ind w:left="34"/>
              <w:rPr>
                <w:rFonts w:eastAsiaTheme="minorEastAsia"/>
                <w:sz w:val="16"/>
                <w:szCs w:val="16"/>
                <w:lang w:eastAsia="en-US"/>
              </w:rPr>
            </w:pPr>
          </w:p>
        </w:tc>
        <w:tc>
          <w:tcPr>
            <w:tcW w:w="2379" w:type="dxa"/>
          </w:tcPr>
          <w:p w14:paraId="2E8994EB" w14:textId="77777777" w:rsidR="00D56BF1" w:rsidRPr="001B7431" w:rsidRDefault="00D56BF1" w:rsidP="00D56BF1">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vAlign w:val="center"/>
          </w:tcPr>
          <w:p w14:paraId="6F22B85C" w14:textId="77777777" w:rsidR="00D56BF1" w:rsidRDefault="00D56BF1" w:rsidP="00D56BF1">
            <w:pPr>
              <w:jc w:val="right"/>
              <w:rPr>
                <w:color w:val="000000"/>
                <w:sz w:val="16"/>
                <w:szCs w:val="16"/>
              </w:rPr>
            </w:pPr>
            <w:r>
              <w:rPr>
                <w:color w:val="000000"/>
                <w:sz w:val="16"/>
                <w:szCs w:val="16"/>
              </w:rPr>
              <w:t>43</w:t>
            </w:r>
          </w:p>
        </w:tc>
        <w:tc>
          <w:tcPr>
            <w:tcW w:w="496" w:type="dxa"/>
            <w:vAlign w:val="center"/>
          </w:tcPr>
          <w:p w14:paraId="22079C15" w14:textId="77777777" w:rsidR="00D56BF1" w:rsidRDefault="00D56BF1" w:rsidP="00D56BF1">
            <w:pPr>
              <w:jc w:val="right"/>
              <w:rPr>
                <w:color w:val="000000"/>
                <w:sz w:val="16"/>
                <w:szCs w:val="16"/>
              </w:rPr>
            </w:pPr>
            <w:r>
              <w:rPr>
                <w:color w:val="000000"/>
                <w:sz w:val="16"/>
                <w:szCs w:val="16"/>
              </w:rPr>
              <w:t>4.9</w:t>
            </w:r>
          </w:p>
        </w:tc>
        <w:tc>
          <w:tcPr>
            <w:tcW w:w="1043" w:type="dxa"/>
            <w:tcBorders>
              <w:right w:val="single" w:sz="4" w:space="0" w:color="auto"/>
            </w:tcBorders>
            <w:vAlign w:val="center"/>
          </w:tcPr>
          <w:p w14:paraId="18FB9272" w14:textId="77777777" w:rsidR="00D56BF1" w:rsidRDefault="00D56BF1" w:rsidP="00D56BF1">
            <w:pPr>
              <w:jc w:val="right"/>
              <w:rPr>
                <w:color w:val="000000"/>
                <w:sz w:val="16"/>
                <w:szCs w:val="16"/>
              </w:rPr>
            </w:pPr>
            <w:r>
              <w:rPr>
                <w:color w:val="000000"/>
                <w:sz w:val="16"/>
                <w:szCs w:val="16"/>
              </w:rPr>
              <w:t>(3.0, 6.9)</w:t>
            </w:r>
          </w:p>
        </w:tc>
        <w:tc>
          <w:tcPr>
            <w:tcW w:w="569" w:type="dxa"/>
            <w:tcBorders>
              <w:left w:val="single" w:sz="4" w:space="0" w:color="auto"/>
            </w:tcBorders>
            <w:vAlign w:val="center"/>
          </w:tcPr>
          <w:p w14:paraId="062DD777" w14:textId="77777777" w:rsidR="00D56BF1" w:rsidRDefault="00D56BF1" w:rsidP="00D56BF1">
            <w:pPr>
              <w:jc w:val="right"/>
              <w:rPr>
                <w:color w:val="000000"/>
                <w:sz w:val="16"/>
                <w:szCs w:val="16"/>
              </w:rPr>
            </w:pPr>
            <w:r>
              <w:rPr>
                <w:color w:val="000000"/>
                <w:sz w:val="16"/>
                <w:szCs w:val="16"/>
              </w:rPr>
              <w:t>18</w:t>
            </w:r>
          </w:p>
        </w:tc>
        <w:tc>
          <w:tcPr>
            <w:tcW w:w="567" w:type="dxa"/>
            <w:vAlign w:val="center"/>
          </w:tcPr>
          <w:p w14:paraId="27AF9E9D" w14:textId="77777777" w:rsidR="00D56BF1" w:rsidRDefault="00D56BF1" w:rsidP="00D56BF1">
            <w:pPr>
              <w:jc w:val="right"/>
              <w:rPr>
                <w:color w:val="000000"/>
                <w:sz w:val="16"/>
                <w:szCs w:val="16"/>
              </w:rPr>
            </w:pPr>
            <w:r>
              <w:rPr>
                <w:color w:val="000000"/>
                <w:sz w:val="16"/>
                <w:szCs w:val="16"/>
              </w:rPr>
              <w:t>4.1</w:t>
            </w:r>
          </w:p>
        </w:tc>
        <w:tc>
          <w:tcPr>
            <w:tcW w:w="1123" w:type="dxa"/>
            <w:tcBorders>
              <w:right w:val="single" w:sz="4" w:space="0" w:color="auto"/>
            </w:tcBorders>
            <w:vAlign w:val="center"/>
          </w:tcPr>
          <w:p w14:paraId="1764B139" w14:textId="77777777" w:rsidR="00D56BF1" w:rsidRDefault="00D56BF1" w:rsidP="00D56BF1">
            <w:pPr>
              <w:jc w:val="right"/>
              <w:rPr>
                <w:color w:val="000000"/>
                <w:sz w:val="16"/>
                <w:szCs w:val="16"/>
              </w:rPr>
            </w:pPr>
            <w:r>
              <w:rPr>
                <w:color w:val="000000"/>
                <w:sz w:val="16"/>
                <w:szCs w:val="16"/>
              </w:rPr>
              <w:t>(2.0, 6.1)</w:t>
            </w:r>
          </w:p>
        </w:tc>
        <w:tc>
          <w:tcPr>
            <w:tcW w:w="536" w:type="dxa"/>
            <w:tcBorders>
              <w:left w:val="single" w:sz="4" w:space="0" w:color="auto"/>
            </w:tcBorders>
            <w:vAlign w:val="center"/>
          </w:tcPr>
          <w:p w14:paraId="0CEF966D" w14:textId="77777777" w:rsidR="00D56BF1" w:rsidRDefault="00D56BF1" w:rsidP="00D56BF1">
            <w:pPr>
              <w:jc w:val="right"/>
              <w:rPr>
                <w:color w:val="000000"/>
                <w:sz w:val="16"/>
                <w:szCs w:val="16"/>
              </w:rPr>
            </w:pPr>
            <w:r>
              <w:rPr>
                <w:color w:val="000000"/>
                <w:sz w:val="16"/>
                <w:szCs w:val="16"/>
              </w:rPr>
              <w:t>9</w:t>
            </w:r>
          </w:p>
        </w:tc>
        <w:tc>
          <w:tcPr>
            <w:tcW w:w="576" w:type="dxa"/>
            <w:vAlign w:val="center"/>
          </w:tcPr>
          <w:p w14:paraId="5E6A8858" w14:textId="77777777" w:rsidR="00D56BF1" w:rsidRDefault="00D56BF1" w:rsidP="00D56BF1">
            <w:pPr>
              <w:jc w:val="right"/>
              <w:rPr>
                <w:color w:val="000000"/>
                <w:sz w:val="16"/>
                <w:szCs w:val="16"/>
              </w:rPr>
            </w:pPr>
            <w:r>
              <w:rPr>
                <w:color w:val="000000"/>
                <w:sz w:val="16"/>
                <w:szCs w:val="16"/>
              </w:rPr>
              <w:t>2.2</w:t>
            </w:r>
          </w:p>
        </w:tc>
        <w:tc>
          <w:tcPr>
            <w:tcW w:w="1123" w:type="dxa"/>
            <w:tcBorders>
              <w:right w:val="single" w:sz="4" w:space="0" w:color="auto"/>
            </w:tcBorders>
            <w:vAlign w:val="center"/>
          </w:tcPr>
          <w:p w14:paraId="37FD9360" w14:textId="77777777" w:rsidR="00D56BF1" w:rsidRDefault="00D56BF1" w:rsidP="00D56BF1">
            <w:pPr>
              <w:jc w:val="right"/>
              <w:rPr>
                <w:color w:val="000000"/>
                <w:sz w:val="16"/>
                <w:szCs w:val="16"/>
              </w:rPr>
            </w:pPr>
            <w:r>
              <w:rPr>
                <w:color w:val="000000"/>
                <w:sz w:val="16"/>
                <w:szCs w:val="16"/>
              </w:rPr>
              <w:t>(0.8, 3.6)</w:t>
            </w:r>
          </w:p>
        </w:tc>
        <w:tc>
          <w:tcPr>
            <w:tcW w:w="536" w:type="dxa"/>
            <w:tcBorders>
              <w:left w:val="single" w:sz="4" w:space="0" w:color="auto"/>
            </w:tcBorders>
            <w:vAlign w:val="center"/>
          </w:tcPr>
          <w:p w14:paraId="160BA9F0" w14:textId="77777777" w:rsidR="00D56BF1" w:rsidRDefault="00D56BF1" w:rsidP="00D56BF1">
            <w:pPr>
              <w:jc w:val="right"/>
              <w:rPr>
                <w:color w:val="000000"/>
                <w:sz w:val="16"/>
                <w:szCs w:val="16"/>
              </w:rPr>
            </w:pPr>
            <w:r>
              <w:rPr>
                <w:color w:val="000000"/>
                <w:sz w:val="16"/>
                <w:szCs w:val="16"/>
              </w:rPr>
              <w:t>16</w:t>
            </w:r>
          </w:p>
        </w:tc>
        <w:tc>
          <w:tcPr>
            <w:tcW w:w="567" w:type="dxa"/>
            <w:vAlign w:val="center"/>
          </w:tcPr>
          <w:p w14:paraId="58830A6B" w14:textId="77777777" w:rsidR="00D56BF1" w:rsidRDefault="00D56BF1" w:rsidP="00D56BF1">
            <w:pPr>
              <w:jc w:val="right"/>
              <w:rPr>
                <w:color w:val="000000"/>
                <w:sz w:val="16"/>
                <w:szCs w:val="16"/>
              </w:rPr>
            </w:pPr>
            <w:r>
              <w:rPr>
                <w:color w:val="000000"/>
                <w:sz w:val="16"/>
                <w:szCs w:val="16"/>
              </w:rPr>
              <w:t>4.7</w:t>
            </w:r>
          </w:p>
        </w:tc>
        <w:tc>
          <w:tcPr>
            <w:tcW w:w="1123" w:type="dxa"/>
            <w:vAlign w:val="center"/>
          </w:tcPr>
          <w:p w14:paraId="3633877C" w14:textId="77777777" w:rsidR="00D56BF1" w:rsidRDefault="00D56BF1" w:rsidP="00D56BF1">
            <w:pPr>
              <w:jc w:val="right"/>
              <w:rPr>
                <w:color w:val="000000"/>
                <w:sz w:val="16"/>
                <w:szCs w:val="16"/>
              </w:rPr>
            </w:pPr>
            <w:r>
              <w:rPr>
                <w:color w:val="000000"/>
                <w:sz w:val="16"/>
                <w:szCs w:val="16"/>
              </w:rPr>
              <w:t>(0.5, 9.0)</w:t>
            </w:r>
          </w:p>
        </w:tc>
      </w:tr>
      <w:tr w:rsidR="00D56BF1" w:rsidRPr="007B4EF8" w14:paraId="0D4BBACD" w14:textId="77777777" w:rsidTr="00D56BF1">
        <w:trPr>
          <w:jc w:val="center"/>
        </w:trPr>
        <w:tc>
          <w:tcPr>
            <w:tcW w:w="2127" w:type="dxa"/>
          </w:tcPr>
          <w:p w14:paraId="6F396BB9" w14:textId="77777777" w:rsidR="00D56BF1" w:rsidRPr="00D56BF1" w:rsidRDefault="00D56BF1" w:rsidP="00D56BF1">
            <w:pPr>
              <w:spacing w:before="20" w:after="20"/>
              <w:ind w:left="34"/>
              <w:rPr>
                <w:rFonts w:eastAsiaTheme="minorEastAsia"/>
                <w:sz w:val="16"/>
                <w:szCs w:val="16"/>
                <w:lang w:eastAsia="en-US"/>
              </w:rPr>
            </w:pPr>
            <w:r w:rsidRPr="00D56BF1">
              <w:rPr>
                <w:rFonts w:eastAsiaTheme="minorEastAsia"/>
                <w:sz w:val="16"/>
                <w:szCs w:val="16"/>
                <w:lang w:eastAsia="en-US"/>
              </w:rPr>
              <w:t>With several people/a group</w:t>
            </w:r>
          </w:p>
        </w:tc>
        <w:tc>
          <w:tcPr>
            <w:tcW w:w="2379" w:type="dxa"/>
          </w:tcPr>
          <w:p w14:paraId="08E69AD0" w14:textId="77777777" w:rsidR="00D56BF1" w:rsidRPr="001B7431" w:rsidRDefault="00D56BF1" w:rsidP="00D56BF1">
            <w:pPr>
              <w:keepNext/>
              <w:spacing w:before="20" w:after="20"/>
              <w:ind w:left="34"/>
              <w:rPr>
                <w:rFonts w:eastAsiaTheme="minorEastAsia"/>
                <w:sz w:val="16"/>
                <w:szCs w:val="16"/>
                <w:lang w:eastAsia="en-US"/>
              </w:rPr>
            </w:pPr>
            <w:r>
              <w:rPr>
                <w:rFonts w:eastAsiaTheme="minorEastAsia"/>
                <w:sz w:val="16"/>
                <w:szCs w:val="16"/>
                <w:lang w:eastAsia="en-US"/>
              </w:rPr>
              <w:t>Non-problem gambler</w:t>
            </w:r>
          </w:p>
        </w:tc>
        <w:tc>
          <w:tcPr>
            <w:tcW w:w="616" w:type="dxa"/>
            <w:vAlign w:val="center"/>
          </w:tcPr>
          <w:p w14:paraId="11CDC1C2" w14:textId="77777777" w:rsidR="00D56BF1" w:rsidRDefault="00D56BF1" w:rsidP="00D56BF1">
            <w:pPr>
              <w:jc w:val="right"/>
              <w:rPr>
                <w:color w:val="000000"/>
                <w:sz w:val="16"/>
                <w:szCs w:val="16"/>
              </w:rPr>
            </w:pPr>
            <w:r>
              <w:rPr>
                <w:color w:val="000000"/>
                <w:sz w:val="16"/>
                <w:szCs w:val="16"/>
              </w:rPr>
              <w:t>858</w:t>
            </w:r>
          </w:p>
        </w:tc>
        <w:tc>
          <w:tcPr>
            <w:tcW w:w="496" w:type="dxa"/>
            <w:vAlign w:val="center"/>
          </w:tcPr>
          <w:p w14:paraId="1D8ED8B1" w14:textId="77777777" w:rsidR="00D56BF1" w:rsidRDefault="00D56BF1" w:rsidP="00D56BF1">
            <w:pPr>
              <w:jc w:val="right"/>
              <w:rPr>
                <w:color w:val="000000"/>
                <w:sz w:val="16"/>
                <w:szCs w:val="16"/>
              </w:rPr>
            </w:pPr>
            <w:r>
              <w:rPr>
                <w:color w:val="000000"/>
                <w:sz w:val="16"/>
                <w:szCs w:val="16"/>
              </w:rPr>
              <w:t>88.2</w:t>
            </w:r>
          </w:p>
        </w:tc>
        <w:tc>
          <w:tcPr>
            <w:tcW w:w="1043" w:type="dxa"/>
            <w:tcBorders>
              <w:right w:val="single" w:sz="4" w:space="0" w:color="auto"/>
            </w:tcBorders>
            <w:vAlign w:val="center"/>
          </w:tcPr>
          <w:p w14:paraId="0C1BAE09" w14:textId="77777777" w:rsidR="00D56BF1" w:rsidRDefault="00D56BF1" w:rsidP="00D56BF1">
            <w:pPr>
              <w:jc w:val="right"/>
              <w:rPr>
                <w:color w:val="000000"/>
                <w:sz w:val="16"/>
                <w:szCs w:val="16"/>
              </w:rPr>
            </w:pPr>
            <w:r>
              <w:rPr>
                <w:color w:val="000000"/>
                <w:sz w:val="16"/>
                <w:szCs w:val="16"/>
              </w:rPr>
              <w:t>(85.7, 90.7)</w:t>
            </w:r>
          </w:p>
        </w:tc>
        <w:tc>
          <w:tcPr>
            <w:tcW w:w="569" w:type="dxa"/>
            <w:tcBorders>
              <w:left w:val="single" w:sz="4" w:space="0" w:color="auto"/>
            </w:tcBorders>
            <w:vAlign w:val="center"/>
          </w:tcPr>
          <w:p w14:paraId="1CF0376F" w14:textId="77777777" w:rsidR="00D56BF1" w:rsidRDefault="00D56BF1" w:rsidP="00D56BF1">
            <w:pPr>
              <w:jc w:val="right"/>
              <w:rPr>
                <w:color w:val="000000"/>
                <w:sz w:val="16"/>
                <w:szCs w:val="16"/>
              </w:rPr>
            </w:pPr>
            <w:r>
              <w:rPr>
                <w:color w:val="000000"/>
                <w:sz w:val="16"/>
                <w:szCs w:val="16"/>
              </w:rPr>
              <w:t>507</w:t>
            </w:r>
          </w:p>
        </w:tc>
        <w:tc>
          <w:tcPr>
            <w:tcW w:w="567" w:type="dxa"/>
            <w:vAlign w:val="center"/>
          </w:tcPr>
          <w:p w14:paraId="468B5E96" w14:textId="77777777" w:rsidR="00D56BF1" w:rsidRDefault="00D56BF1" w:rsidP="00D56BF1">
            <w:pPr>
              <w:jc w:val="right"/>
              <w:rPr>
                <w:color w:val="000000"/>
                <w:sz w:val="16"/>
                <w:szCs w:val="16"/>
              </w:rPr>
            </w:pPr>
            <w:r>
              <w:rPr>
                <w:color w:val="000000"/>
                <w:sz w:val="16"/>
                <w:szCs w:val="16"/>
              </w:rPr>
              <w:t>86.5</w:t>
            </w:r>
          </w:p>
        </w:tc>
        <w:tc>
          <w:tcPr>
            <w:tcW w:w="1123" w:type="dxa"/>
            <w:tcBorders>
              <w:right w:val="single" w:sz="4" w:space="0" w:color="auto"/>
            </w:tcBorders>
            <w:vAlign w:val="center"/>
          </w:tcPr>
          <w:p w14:paraId="6BB88259" w14:textId="77777777" w:rsidR="00D56BF1" w:rsidRDefault="00D56BF1" w:rsidP="00D56BF1">
            <w:pPr>
              <w:jc w:val="right"/>
              <w:rPr>
                <w:color w:val="000000"/>
                <w:sz w:val="16"/>
                <w:szCs w:val="16"/>
              </w:rPr>
            </w:pPr>
            <w:r>
              <w:rPr>
                <w:color w:val="000000"/>
                <w:sz w:val="16"/>
                <w:szCs w:val="16"/>
              </w:rPr>
              <w:t>(83.2, 89.9)</w:t>
            </w:r>
          </w:p>
        </w:tc>
        <w:tc>
          <w:tcPr>
            <w:tcW w:w="536" w:type="dxa"/>
            <w:tcBorders>
              <w:left w:val="single" w:sz="4" w:space="0" w:color="auto"/>
            </w:tcBorders>
            <w:vAlign w:val="center"/>
          </w:tcPr>
          <w:p w14:paraId="206D72B7" w14:textId="77777777" w:rsidR="00D56BF1" w:rsidRDefault="00D56BF1" w:rsidP="00D56BF1">
            <w:pPr>
              <w:jc w:val="right"/>
              <w:rPr>
                <w:color w:val="000000"/>
                <w:sz w:val="16"/>
                <w:szCs w:val="16"/>
              </w:rPr>
            </w:pPr>
            <w:r>
              <w:rPr>
                <w:color w:val="000000"/>
                <w:sz w:val="16"/>
                <w:szCs w:val="16"/>
              </w:rPr>
              <w:t>437</w:t>
            </w:r>
          </w:p>
        </w:tc>
        <w:tc>
          <w:tcPr>
            <w:tcW w:w="576" w:type="dxa"/>
            <w:vAlign w:val="center"/>
          </w:tcPr>
          <w:p w14:paraId="21D69CFD" w14:textId="77777777" w:rsidR="00D56BF1" w:rsidRDefault="00D56BF1" w:rsidP="00D56BF1">
            <w:pPr>
              <w:jc w:val="right"/>
              <w:rPr>
                <w:color w:val="000000"/>
                <w:sz w:val="16"/>
                <w:szCs w:val="16"/>
              </w:rPr>
            </w:pPr>
            <w:r>
              <w:rPr>
                <w:color w:val="000000"/>
                <w:sz w:val="16"/>
                <w:szCs w:val="16"/>
              </w:rPr>
              <w:t>90.3</w:t>
            </w:r>
          </w:p>
        </w:tc>
        <w:tc>
          <w:tcPr>
            <w:tcW w:w="1123" w:type="dxa"/>
            <w:tcBorders>
              <w:right w:val="single" w:sz="4" w:space="0" w:color="auto"/>
            </w:tcBorders>
            <w:vAlign w:val="center"/>
          </w:tcPr>
          <w:p w14:paraId="41516CD4" w14:textId="77777777" w:rsidR="00D56BF1" w:rsidRDefault="00D56BF1" w:rsidP="00D56BF1">
            <w:pPr>
              <w:jc w:val="right"/>
              <w:rPr>
                <w:color w:val="000000"/>
                <w:sz w:val="16"/>
                <w:szCs w:val="16"/>
              </w:rPr>
            </w:pPr>
            <w:r>
              <w:rPr>
                <w:color w:val="000000"/>
                <w:sz w:val="16"/>
                <w:szCs w:val="16"/>
              </w:rPr>
              <w:t>(87.3, 93.3)</w:t>
            </w:r>
          </w:p>
        </w:tc>
        <w:tc>
          <w:tcPr>
            <w:tcW w:w="536" w:type="dxa"/>
            <w:tcBorders>
              <w:left w:val="single" w:sz="4" w:space="0" w:color="auto"/>
            </w:tcBorders>
            <w:vAlign w:val="center"/>
          </w:tcPr>
          <w:p w14:paraId="6BC8CF77" w14:textId="77777777" w:rsidR="00D56BF1" w:rsidRDefault="00D56BF1" w:rsidP="00D56BF1">
            <w:pPr>
              <w:jc w:val="right"/>
              <w:rPr>
                <w:color w:val="000000"/>
                <w:sz w:val="16"/>
                <w:szCs w:val="16"/>
              </w:rPr>
            </w:pPr>
            <w:r>
              <w:rPr>
                <w:color w:val="000000"/>
                <w:sz w:val="16"/>
                <w:szCs w:val="16"/>
              </w:rPr>
              <w:t>331</w:t>
            </w:r>
          </w:p>
        </w:tc>
        <w:tc>
          <w:tcPr>
            <w:tcW w:w="567" w:type="dxa"/>
            <w:vAlign w:val="center"/>
          </w:tcPr>
          <w:p w14:paraId="11CBE8E4" w14:textId="77777777" w:rsidR="00D56BF1" w:rsidRDefault="00D56BF1" w:rsidP="00D56BF1">
            <w:pPr>
              <w:jc w:val="right"/>
              <w:rPr>
                <w:color w:val="000000"/>
                <w:sz w:val="16"/>
                <w:szCs w:val="16"/>
              </w:rPr>
            </w:pPr>
            <w:r>
              <w:rPr>
                <w:color w:val="000000"/>
                <w:sz w:val="16"/>
                <w:szCs w:val="16"/>
              </w:rPr>
              <w:t>87.9</w:t>
            </w:r>
          </w:p>
        </w:tc>
        <w:tc>
          <w:tcPr>
            <w:tcW w:w="1123" w:type="dxa"/>
            <w:vAlign w:val="center"/>
          </w:tcPr>
          <w:p w14:paraId="56B23297" w14:textId="77777777" w:rsidR="00D56BF1" w:rsidRDefault="00D56BF1" w:rsidP="00D56BF1">
            <w:pPr>
              <w:jc w:val="right"/>
              <w:rPr>
                <w:color w:val="000000"/>
                <w:sz w:val="16"/>
                <w:szCs w:val="16"/>
              </w:rPr>
            </w:pPr>
            <w:r>
              <w:rPr>
                <w:color w:val="000000"/>
                <w:sz w:val="16"/>
                <w:szCs w:val="16"/>
              </w:rPr>
              <w:t>(83.7, 92.1)</w:t>
            </w:r>
          </w:p>
        </w:tc>
      </w:tr>
      <w:tr w:rsidR="00D56BF1" w:rsidRPr="007B4EF8" w14:paraId="23BE7F19" w14:textId="77777777" w:rsidTr="00D56BF1">
        <w:trPr>
          <w:jc w:val="center"/>
        </w:trPr>
        <w:tc>
          <w:tcPr>
            <w:tcW w:w="2127" w:type="dxa"/>
          </w:tcPr>
          <w:p w14:paraId="2D4A0C30" w14:textId="77777777" w:rsidR="00D56BF1" w:rsidRDefault="00D56BF1" w:rsidP="00D56BF1">
            <w:pPr>
              <w:spacing w:before="20" w:after="20"/>
              <w:ind w:left="34"/>
              <w:rPr>
                <w:rFonts w:eastAsiaTheme="minorEastAsia"/>
                <w:sz w:val="16"/>
                <w:szCs w:val="16"/>
                <w:lang w:eastAsia="en-US"/>
              </w:rPr>
            </w:pPr>
          </w:p>
        </w:tc>
        <w:tc>
          <w:tcPr>
            <w:tcW w:w="2379" w:type="dxa"/>
          </w:tcPr>
          <w:p w14:paraId="0CC24C61" w14:textId="77777777" w:rsidR="00D56BF1" w:rsidRPr="001B7431" w:rsidRDefault="00D56BF1" w:rsidP="00D56BF1">
            <w:pPr>
              <w:keepNext/>
              <w:spacing w:before="20" w:after="20"/>
              <w:ind w:left="34"/>
              <w:rPr>
                <w:rFonts w:eastAsiaTheme="minorEastAsia"/>
                <w:sz w:val="16"/>
                <w:szCs w:val="16"/>
                <w:lang w:eastAsia="en-US"/>
              </w:rPr>
            </w:pPr>
            <w:r>
              <w:rPr>
                <w:rFonts w:eastAsiaTheme="minorEastAsia"/>
                <w:sz w:val="16"/>
                <w:szCs w:val="16"/>
                <w:lang w:eastAsia="en-US"/>
              </w:rPr>
              <w:t>Low-risk gambler</w:t>
            </w:r>
          </w:p>
        </w:tc>
        <w:tc>
          <w:tcPr>
            <w:tcW w:w="616" w:type="dxa"/>
            <w:vAlign w:val="center"/>
          </w:tcPr>
          <w:p w14:paraId="14F8EEE5" w14:textId="77777777" w:rsidR="00D56BF1" w:rsidRDefault="00D56BF1" w:rsidP="00D56BF1">
            <w:pPr>
              <w:jc w:val="right"/>
              <w:rPr>
                <w:color w:val="000000"/>
                <w:sz w:val="16"/>
                <w:szCs w:val="16"/>
              </w:rPr>
            </w:pPr>
            <w:r>
              <w:rPr>
                <w:color w:val="000000"/>
                <w:sz w:val="16"/>
                <w:szCs w:val="16"/>
              </w:rPr>
              <w:t>81</w:t>
            </w:r>
          </w:p>
        </w:tc>
        <w:tc>
          <w:tcPr>
            <w:tcW w:w="496" w:type="dxa"/>
            <w:vAlign w:val="center"/>
          </w:tcPr>
          <w:p w14:paraId="2CF18FE0" w14:textId="77777777" w:rsidR="00D56BF1" w:rsidRDefault="00D56BF1" w:rsidP="00D56BF1">
            <w:pPr>
              <w:jc w:val="right"/>
              <w:rPr>
                <w:color w:val="000000"/>
                <w:sz w:val="16"/>
                <w:szCs w:val="16"/>
              </w:rPr>
            </w:pPr>
            <w:r>
              <w:rPr>
                <w:color w:val="000000"/>
                <w:sz w:val="16"/>
                <w:szCs w:val="16"/>
              </w:rPr>
              <w:t>8.3</w:t>
            </w:r>
          </w:p>
        </w:tc>
        <w:tc>
          <w:tcPr>
            <w:tcW w:w="1043" w:type="dxa"/>
            <w:tcBorders>
              <w:right w:val="single" w:sz="4" w:space="0" w:color="auto"/>
            </w:tcBorders>
            <w:vAlign w:val="center"/>
          </w:tcPr>
          <w:p w14:paraId="4A293F32" w14:textId="77777777" w:rsidR="00D56BF1" w:rsidRDefault="00D56BF1" w:rsidP="00D56BF1">
            <w:pPr>
              <w:jc w:val="right"/>
              <w:rPr>
                <w:color w:val="000000"/>
                <w:sz w:val="16"/>
                <w:szCs w:val="16"/>
              </w:rPr>
            </w:pPr>
            <w:r>
              <w:rPr>
                <w:color w:val="000000"/>
                <w:sz w:val="16"/>
                <w:szCs w:val="16"/>
              </w:rPr>
              <w:t>(6.1, 10.5)</w:t>
            </w:r>
          </w:p>
        </w:tc>
        <w:tc>
          <w:tcPr>
            <w:tcW w:w="569" w:type="dxa"/>
            <w:tcBorders>
              <w:left w:val="single" w:sz="4" w:space="0" w:color="auto"/>
            </w:tcBorders>
            <w:vAlign w:val="center"/>
          </w:tcPr>
          <w:p w14:paraId="2B6A2B32" w14:textId="77777777" w:rsidR="00D56BF1" w:rsidRDefault="00D56BF1" w:rsidP="00D56BF1">
            <w:pPr>
              <w:jc w:val="right"/>
              <w:rPr>
                <w:color w:val="000000"/>
                <w:sz w:val="16"/>
                <w:szCs w:val="16"/>
              </w:rPr>
            </w:pPr>
            <w:r>
              <w:rPr>
                <w:color w:val="000000"/>
                <w:sz w:val="16"/>
                <w:szCs w:val="16"/>
              </w:rPr>
              <w:t>60</w:t>
            </w:r>
          </w:p>
        </w:tc>
        <w:tc>
          <w:tcPr>
            <w:tcW w:w="567" w:type="dxa"/>
            <w:vAlign w:val="center"/>
          </w:tcPr>
          <w:p w14:paraId="2307E253" w14:textId="77777777" w:rsidR="00D56BF1" w:rsidRDefault="00D56BF1" w:rsidP="00D56BF1">
            <w:pPr>
              <w:jc w:val="right"/>
              <w:rPr>
                <w:color w:val="000000"/>
                <w:sz w:val="16"/>
                <w:szCs w:val="16"/>
              </w:rPr>
            </w:pPr>
            <w:r>
              <w:rPr>
                <w:color w:val="000000"/>
                <w:sz w:val="16"/>
                <w:szCs w:val="16"/>
              </w:rPr>
              <w:t>10.2</w:t>
            </w:r>
          </w:p>
        </w:tc>
        <w:tc>
          <w:tcPr>
            <w:tcW w:w="1123" w:type="dxa"/>
            <w:tcBorders>
              <w:right w:val="single" w:sz="4" w:space="0" w:color="auto"/>
            </w:tcBorders>
            <w:vAlign w:val="center"/>
          </w:tcPr>
          <w:p w14:paraId="008256BC" w14:textId="77777777" w:rsidR="00D56BF1" w:rsidRDefault="00D56BF1" w:rsidP="00D56BF1">
            <w:pPr>
              <w:jc w:val="right"/>
              <w:rPr>
                <w:color w:val="000000"/>
                <w:sz w:val="16"/>
                <w:szCs w:val="16"/>
              </w:rPr>
            </w:pPr>
            <w:r>
              <w:rPr>
                <w:color w:val="000000"/>
                <w:sz w:val="16"/>
                <w:szCs w:val="16"/>
              </w:rPr>
              <w:t>(7.3, 13.2)</w:t>
            </w:r>
          </w:p>
        </w:tc>
        <w:tc>
          <w:tcPr>
            <w:tcW w:w="536" w:type="dxa"/>
            <w:tcBorders>
              <w:left w:val="single" w:sz="4" w:space="0" w:color="auto"/>
            </w:tcBorders>
            <w:vAlign w:val="center"/>
          </w:tcPr>
          <w:p w14:paraId="23460FD7" w14:textId="77777777" w:rsidR="00D56BF1" w:rsidRDefault="00D56BF1" w:rsidP="00D56BF1">
            <w:pPr>
              <w:jc w:val="right"/>
              <w:rPr>
                <w:color w:val="000000"/>
                <w:sz w:val="16"/>
                <w:szCs w:val="16"/>
              </w:rPr>
            </w:pPr>
            <w:r>
              <w:rPr>
                <w:color w:val="000000"/>
                <w:sz w:val="16"/>
                <w:szCs w:val="16"/>
              </w:rPr>
              <w:t>36</w:t>
            </w:r>
          </w:p>
        </w:tc>
        <w:tc>
          <w:tcPr>
            <w:tcW w:w="576" w:type="dxa"/>
            <w:vAlign w:val="center"/>
          </w:tcPr>
          <w:p w14:paraId="51DA5EA8" w14:textId="77777777" w:rsidR="00D56BF1" w:rsidRDefault="00D56BF1" w:rsidP="00D56BF1">
            <w:pPr>
              <w:jc w:val="right"/>
              <w:rPr>
                <w:color w:val="000000"/>
                <w:sz w:val="16"/>
                <w:szCs w:val="16"/>
              </w:rPr>
            </w:pPr>
            <w:r>
              <w:rPr>
                <w:color w:val="000000"/>
                <w:sz w:val="16"/>
                <w:szCs w:val="16"/>
              </w:rPr>
              <w:t>7.5</w:t>
            </w:r>
          </w:p>
        </w:tc>
        <w:tc>
          <w:tcPr>
            <w:tcW w:w="1123" w:type="dxa"/>
            <w:tcBorders>
              <w:right w:val="single" w:sz="4" w:space="0" w:color="auto"/>
            </w:tcBorders>
            <w:vAlign w:val="center"/>
          </w:tcPr>
          <w:p w14:paraId="416E372C" w14:textId="77777777" w:rsidR="00D56BF1" w:rsidRDefault="00D56BF1" w:rsidP="00D56BF1">
            <w:pPr>
              <w:jc w:val="right"/>
              <w:rPr>
                <w:color w:val="000000"/>
                <w:sz w:val="16"/>
                <w:szCs w:val="16"/>
              </w:rPr>
            </w:pPr>
            <w:r>
              <w:rPr>
                <w:color w:val="000000"/>
                <w:sz w:val="16"/>
                <w:szCs w:val="16"/>
              </w:rPr>
              <w:t>(4.7, 10.2)</w:t>
            </w:r>
          </w:p>
        </w:tc>
        <w:tc>
          <w:tcPr>
            <w:tcW w:w="536" w:type="dxa"/>
            <w:tcBorders>
              <w:left w:val="single" w:sz="4" w:space="0" w:color="auto"/>
            </w:tcBorders>
            <w:vAlign w:val="center"/>
          </w:tcPr>
          <w:p w14:paraId="3C4776F0" w14:textId="77777777" w:rsidR="00D56BF1" w:rsidRDefault="00D56BF1" w:rsidP="00D56BF1">
            <w:pPr>
              <w:jc w:val="right"/>
              <w:rPr>
                <w:color w:val="000000"/>
                <w:sz w:val="16"/>
                <w:szCs w:val="16"/>
              </w:rPr>
            </w:pPr>
            <w:r>
              <w:rPr>
                <w:color w:val="000000"/>
                <w:sz w:val="16"/>
                <w:szCs w:val="16"/>
              </w:rPr>
              <w:t>32</w:t>
            </w:r>
          </w:p>
        </w:tc>
        <w:tc>
          <w:tcPr>
            <w:tcW w:w="567" w:type="dxa"/>
            <w:vAlign w:val="center"/>
          </w:tcPr>
          <w:p w14:paraId="1CAABADE" w14:textId="77777777" w:rsidR="00D56BF1" w:rsidRDefault="00D56BF1" w:rsidP="00D56BF1">
            <w:pPr>
              <w:jc w:val="right"/>
              <w:rPr>
                <w:color w:val="000000"/>
                <w:sz w:val="16"/>
                <w:szCs w:val="16"/>
              </w:rPr>
            </w:pPr>
            <w:r>
              <w:rPr>
                <w:color w:val="000000"/>
                <w:sz w:val="16"/>
                <w:szCs w:val="16"/>
              </w:rPr>
              <w:t>8.6</w:t>
            </w:r>
          </w:p>
        </w:tc>
        <w:tc>
          <w:tcPr>
            <w:tcW w:w="1123" w:type="dxa"/>
            <w:vAlign w:val="center"/>
          </w:tcPr>
          <w:p w14:paraId="5CCF9CC8" w14:textId="77777777" w:rsidR="00D56BF1" w:rsidRDefault="00D56BF1" w:rsidP="00D56BF1">
            <w:pPr>
              <w:jc w:val="right"/>
              <w:rPr>
                <w:color w:val="000000"/>
                <w:sz w:val="16"/>
                <w:szCs w:val="16"/>
              </w:rPr>
            </w:pPr>
            <w:r>
              <w:rPr>
                <w:color w:val="000000"/>
                <w:sz w:val="16"/>
                <w:szCs w:val="16"/>
              </w:rPr>
              <w:t>(4.7, 12.5)</w:t>
            </w:r>
          </w:p>
        </w:tc>
      </w:tr>
      <w:tr w:rsidR="00D56BF1" w:rsidRPr="007B4EF8" w14:paraId="50DE5FBF" w14:textId="77777777" w:rsidTr="00D56BF1">
        <w:trPr>
          <w:jc w:val="center"/>
        </w:trPr>
        <w:tc>
          <w:tcPr>
            <w:tcW w:w="2127" w:type="dxa"/>
            <w:tcBorders>
              <w:bottom w:val="single" w:sz="4" w:space="0" w:color="auto"/>
            </w:tcBorders>
          </w:tcPr>
          <w:p w14:paraId="5E1E9EC6" w14:textId="77777777" w:rsidR="00D56BF1" w:rsidRPr="00D56BF1" w:rsidRDefault="00D56BF1" w:rsidP="00D56BF1">
            <w:pPr>
              <w:spacing w:before="20" w:after="20"/>
              <w:ind w:left="34"/>
              <w:rPr>
                <w:rFonts w:eastAsiaTheme="minorEastAsia"/>
                <w:sz w:val="16"/>
                <w:szCs w:val="16"/>
                <w:lang w:eastAsia="en-US"/>
              </w:rPr>
            </w:pPr>
          </w:p>
        </w:tc>
        <w:tc>
          <w:tcPr>
            <w:tcW w:w="2379" w:type="dxa"/>
            <w:tcBorders>
              <w:bottom w:val="single" w:sz="4" w:space="0" w:color="auto"/>
            </w:tcBorders>
          </w:tcPr>
          <w:p w14:paraId="57BDF0B6" w14:textId="77777777" w:rsidR="00D56BF1" w:rsidRPr="001B7431" w:rsidRDefault="00D56BF1" w:rsidP="00D56BF1">
            <w:pPr>
              <w:keepNext/>
              <w:spacing w:before="20" w:after="20"/>
              <w:ind w:left="34"/>
              <w:rPr>
                <w:rFonts w:eastAsiaTheme="minorEastAsia"/>
                <w:sz w:val="16"/>
                <w:szCs w:val="16"/>
                <w:lang w:eastAsia="en-US"/>
              </w:rPr>
            </w:pPr>
            <w:r>
              <w:rPr>
                <w:rFonts w:eastAsiaTheme="minorEastAsia"/>
                <w:sz w:val="16"/>
                <w:szCs w:val="16"/>
                <w:lang w:eastAsia="en-US"/>
              </w:rPr>
              <w:t>Moderate-risk/problem gambler</w:t>
            </w:r>
          </w:p>
        </w:tc>
        <w:tc>
          <w:tcPr>
            <w:tcW w:w="616" w:type="dxa"/>
            <w:tcBorders>
              <w:bottom w:val="single" w:sz="4" w:space="0" w:color="auto"/>
            </w:tcBorders>
            <w:vAlign w:val="center"/>
          </w:tcPr>
          <w:p w14:paraId="2CC86DB4" w14:textId="77777777" w:rsidR="00D56BF1" w:rsidRDefault="00D56BF1" w:rsidP="00D56BF1">
            <w:pPr>
              <w:jc w:val="right"/>
              <w:rPr>
                <w:color w:val="000000"/>
                <w:sz w:val="16"/>
                <w:szCs w:val="16"/>
              </w:rPr>
            </w:pPr>
            <w:r>
              <w:rPr>
                <w:color w:val="000000"/>
                <w:sz w:val="16"/>
                <w:szCs w:val="16"/>
              </w:rPr>
              <w:t>34</w:t>
            </w:r>
          </w:p>
        </w:tc>
        <w:tc>
          <w:tcPr>
            <w:tcW w:w="496" w:type="dxa"/>
            <w:tcBorders>
              <w:bottom w:val="single" w:sz="4" w:space="0" w:color="auto"/>
            </w:tcBorders>
            <w:vAlign w:val="center"/>
          </w:tcPr>
          <w:p w14:paraId="20256856" w14:textId="77777777" w:rsidR="00D56BF1" w:rsidRDefault="00D56BF1" w:rsidP="00D56BF1">
            <w:pPr>
              <w:jc w:val="right"/>
              <w:rPr>
                <w:color w:val="000000"/>
                <w:sz w:val="16"/>
                <w:szCs w:val="16"/>
              </w:rPr>
            </w:pPr>
            <w:r>
              <w:rPr>
                <w:color w:val="000000"/>
                <w:sz w:val="16"/>
                <w:szCs w:val="16"/>
              </w:rPr>
              <w:t>3.5</w:t>
            </w:r>
          </w:p>
        </w:tc>
        <w:tc>
          <w:tcPr>
            <w:tcW w:w="1043" w:type="dxa"/>
            <w:tcBorders>
              <w:bottom w:val="single" w:sz="4" w:space="0" w:color="auto"/>
              <w:right w:val="single" w:sz="4" w:space="0" w:color="auto"/>
            </w:tcBorders>
            <w:vAlign w:val="center"/>
          </w:tcPr>
          <w:p w14:paraId="56206BD4" w14:textId="77777777" w:rsidR="00D56BF1" w:rsidRDefault="00D56BF1" w:rsidP="00D56BF1">
            <w:pPr>
              <w:jc w:val="right"/>
              <w:rPr>
                <w:color w:val="000000"/>
                <w:sz w:val="16"/>
                <w:szCs w:val="16"/>
              </w:rPr>
            </w:pPr>
            <w:r>
              <w:rPr>
                <w:color w:val="000000"/>
                <w:sz w:val="16"/>
                <w:szCs w:val="16"/>
              </w:rPr>
              <w:t>(2.2, 4.7)</w:t>
            </w:r>
          </w:p>
        </w:tc>
        <w:tc>
          <w:tcPr>
            <w:tcW w:w="569" w:type="dxa"/>
            <w:tcBorders>
              <w:left w:val="single" w:sz="4" w:space="0" w:color="auto"/>
              <w:bottom w:val="single" w:sz="4" w:space="0" w:color="auto"/>
            </w:tcBorders>
            <w:vAlign w:val="center"/>
          </w:tcPr>
          <w:p w14:paraId="34D593E2" w14:textId="77777777" w:rsidR="00D56BF1" w:rsidRDefault="00D56BF1" w:rsidP="00D56BF1">
            <w:pPr>
              <w:jc w:val="right"/>
              <w:rPr>
                <w:color w:val="000000"/>
                <w:sz w:val="16"/>
                <w:szCs w:val="16"/>
              </w:rPr>
            </w:pPr>
            <w:r>
              <w:rPr>
                <w:color w:val="000000"/>
                <w:sz w:val="16"/>
                <w:szCs w:val="16"/>
              </w:rPr>
              <w:t>19</w:t>
            </w:r>
          </w:p>
        </w:tc>
        <w:tc>
          <w:tcPr>
            <w:tcW w:w="567" w:type="dxa"/>
            <w:tcBorders>
              <w:bottom w:val="single" w:sz="4" w:space="0" w:color="auto"/>
            </w:tcBorders>
            <w:vAlign w:val="center"/>
          </w:tcPr>
          <w:p w14:paraId="00972636" w14:textId="77777777" w:rsidR="00D56BF1" w:rsidRDefault="00D56BF1" w:rsidP="00D56BF1">
            <w:pPr>
              <w:jc w:val="right"/>
              <w:rPr>
                <w:color w:val="000000"/>
                <w:sz w:val="16"/>
                <w:szCs w:val="16"/>
              </w:rPr>
            </w:pPr>
            <w:r>
              <w:rPr>
                <w:color w:val="000000"/>
                <w:sz w:val="16"/>
                <w:szCs w:val="16"/>
              </w:rPr>
              <w:t>3.2</w:t>
            </w:r>
          </w:p>
        </w:tc>
        <w:tc>
          <w:tcPr>
            <w:tcW w:w="1123" w:type="dxa"/>
            <w:tcBorders>
              <w:bottom w:val="single" w:sz="4" w:space="0" w:color="auto"/>
              <w:right w:val="single" w:sz="4" w:space="0" w:color="auto"/>
            </w:tcBorders>
            <w:vAlign w:val="center"/>
          </w:tcPr>
          <w:p w14:paraId="41A1A8AE" w14:textId="77777777" w:rsidR="00D56BF1" w:rsidRDefault="00D56BF1" w:rsidP="00D56BF1">
            <w:pPr>
              <w:jc w:val="right"/>
              <w:rPr>
                <w:color w:val="000000"/>
                <w:sz w:val="16"/>
                <w:szCs w:val="16"/>
              </w:rPr>
            </w:pPr>
            <w:r>
              <w:rPr>
                <w:color w:val="000000"/>
                <w:sz w:val="16"/>
                <w:szCs w:val="16"/>
              </w:rPr>
              <w:t>(1.6, 4.9)</w:t>
            </w:r>
          </w:p>
        </w:tc>
        <w:tc>
          <w:tcPr>
            <w:tcW w:w="536" w:type="dxa"/>
            <w:tcBorders>
              <w:left w:val="single" w:sz="4" w:space="0" w:color="auto"/>
              <w:bottom w:val="single" w:sz="4" w:space="0" w:color="auto"/>
            </w:tcBorders>
            <w:vAlign w:val="center"/>
          </w:tcPr>
          <w:p w14:paraId="71D0E47D" w14:textId="77777777" w:rsidR="00D56BF1" w:rsidRDefault="00D56BF1" w:rsidP="00D56BF1">
            <w:pPr>
              <w:jc w:val="right"/>
              <w:rPr>
                <w:color w:val="000000"/>
                <w:sz w:val="16"/>
                <w:szCs w:val="16"/>
              </w:rPr>
            </w:pPr>
            <w:r>
              <w:rPr>
                <w:color w:val="000000"/>
                <w:sz w:val="16"/>
                <w:szCs w:val="16"/>
              </w:rPr>
              <w:t>11</w:t>
            </w:r>
          </w:p>
        </w:tc>
        <w:tc>
          <w:tcPr>
            <w:tcW w:w="576" w:type="dxa"/>
            <w:tcBorders>
              <w:bottom w:val="single" w:sz="4" w:space="0" w:color="auto"/>
            </w:tcBorders>
            <w:vAlign w:val="center"/>
          </w:tcPr>
          <w:p w14:paraId="75DA8D70" w14:textId="77777777" w:rsidR="00D56BF1" w:rsidRDefault="00D56BF1" w:rsidP="00D56BF1">
            <w:pPr>
              <w:jc w:val="right"/>
              <w:rPr>
                <w:color w:val="000000"/>
                <w:sz w:val="16"/>
                <w:szCs w:val="16"/>
              </w:rPr>
            </w:pPr>
            <w:r>
              <w:rPr>
                <w:color w:val="000000"/>
                <w:sz w:val="16"/>
                <w:szCs w:val="16"/>
              </w:rPr>
              <w:t>2.2</w:t>
            </w:r>
          </w:p>
        </w:tc>
        <w:tc>
          <w:tcPr>
            <w:tcW w:w="1123" w:type="dxa"/>
            <w:tcBorders>
              <w:bottom w:val="single" w:sz="4" w:space="0" w:color="auto"/>
              <w:right w:val="single" w:sz="4" w:space="0" w:color="auto"/>
            </w:tcBorders>
            <w:vAlign w:val="center"/>
          </w:tcPr>
          <w:p w14:paraId="5C70EF9B" w14:textId="77777777" w:rsidR="00D56BF1" w:rsidRDefault="00D56BF1" w:rsidP="00D56BF1">
            <w:pPr>
              <w:jc w:val="right"/>
              <w:rPr>
                <w:color w:val="000000"/>
                <w:sz w:val="16"/>
                <w:szCs w:val="16"/>
              </w:rPr>
            </w:pPr>
            <w:r>
              <w:rPr>
                <w:color w:val="000000"/>
                <w:sz w:val="16"/>
                <w:szCs w:val="16"/>
              </w:rPr>
              <w:t>(1.0, 3.4)</w:t>
            </w:r>
          </w:p>
        </w:tc>
        <w:tc>
          <w:tcPr>
            <w:tcW w:w="536" w:type="dxa"/>
            <w:tcBorders>
              <w:left w:val="single" w:sz="4" w:space="0" w:color="auto"/>
              <w:bottom w:val="single" w:sz="4" w:space="0" w:color="auto"/>
            </w:tcBorders>
            <w:vAlign w:val="center"/>
          </w:tcPr>
          <w:p w14:paraId="73A4F921" w14:textId="77777777" w:rsidR="00D56BF1" w:rsidRDefault="00D56BF1" w:rsidP="00D56BF1">
            <w:pPr>
              <w:jc w:val="right"/>
              <w:rPr>
                <w:color w:val="000000"/>
                <w:sz w:val="16"/>
                <w:szCs w:val="16"/>
              </w:rPr>
            </w:pPr>
            <w:r>
              <w:rPr>
                <w:color w:val="000000"/>
                <w:sz w:val="16"/>
                <w:szCs w:val="16"/>
              </w:rPr>
              <w:t>13</w:t>
            </w:r>
          </w:p>
        </w:tc>
        <w:tc>
          <w:tcPr>
            <w:tcW w:w="567" w:type="dxa"/>
            <w:tcBorders>
              <w:bottom w:val="single" w:sz="4" w:space="0" w:color="auto"/>
            </w:tcBorders>
            <w:vAlign w:val="center"/>
          </w:tcPr>
          <w:p w14:paraId="1AF64F71" w14:textId="77777777" w:rsidR="00D56BF1" w:rsidRDefault="00D56BF1" w:rsidP="00D56BF1">
            <w:pPr>
              <w:jc w:val="right"/>
              <w:rPr>
                <w:color w:val="000000"/>
                <w:sz w:val="16"/>
                <w:szCs w:val="16"/>
              </w:rPr>
            </w:pPr>
            <w:r>
              <w:rPr>
                <w:color w:val="000000"/>
                <w:sz w:val="16"/>
                <w:szCs w:val="16"/>
              </w:rPr>
              <w:t>3.5</w:t>
            </w:r>
          </w:p>
        </w:tc>
        <w:tc>
          <w:tcPr>
            <w:tcW w:w="1123" w:type="dxa"/>
            <w:tcBorders>
              <w:bottom w:val="single" w:sz="4" w:space="0" w:color="auto"/>
            </w:tcBorders>
            <w:vAlign w:val="center"/>
          </w:tcPr>
          <w:p w14:paraId="76525D9E" w14:textId="77777777" w:rsidR="00D56BF1" w:rsidRDefault="00D56BF1" w:rsidP="00D56BF1">
            <w:pPr>
              <w:jc w:val="right"/>
              <w:rPr>
                <w:color w:val="000000"/>
                <w:sz w:val="16"/>
                <w:szCs w:val="16"/>
              </w:rPr>
            </w:pPr>
            <w:r>
              <w:rPr>
                <w:color w:val="000000"/>
                <w:sz w:val="16"/>
                <w:szCs w:val="16"/>
              </w:rPr>
              <w:t>(1.7, 5.2)</w:t>
            </w:r>
          </w:p>
        </w:tc>
      </w:tr>
    </w:tbl>
    <w:p w14:paraId="7E0C0B35" w14:textId="77777777" w:rsidR="0008676D" w:rsidRPr="00D05AB1" w:rsidRDefault="0008676D" w:rsidP="00506521">
      <w:pPr>
        <w:ind w:left="284"/>
        <w:rPr>
          <w:sz w:val="16"/>
          <w:szCs w:val="16"/>
        </w:rPr>
      </w:pPr>
      <w:r w:rsidRPr="00D05AB1">
        <w:rPr>
          <w:sz w:val="16"/>
          <w:szCs w:val="16"/>
        </w:rPr>
        <w:t>Data weighted for 2013 Census data (</w:t>
      </w:r>
      <w:r>
        <w:rPr>
          <w:sz w:val="16"/>
          <w:szCs w:val="16"/>
        </w:rPr>
        <w:t>all w</w:t>
      </w:r>
      <w:r w:rsidRPr="00D05AB1">
        <w:rPr>
          <w:sz w:val="16"/>
          <w:szCs w:val="16"/>
        </w:rPr>
        <w:t>aves) and attrition (Wave</w:t>
      </w:r>
      <w:r>
        <w:rPr>
          <w:sz w:val="16"/>
          <w:szCs w:val="16"/>
        </w:rPr>
        <w:t>s</w:t>
      </w:r>
      <w:r w:rsidRPr="00D05AB1">
        <w:rPr>
          <w:sz w:val="16"/>
          <w:szCs w:val="16"/>
        </w:rPr>
        <w:t xml:space="preserve"> 2</w:t>
      </w:r>
      <w:r>
        <w:rPr>
          <w:sz w:val="16"/>
          <w:szCs w:val="16"/>
        </w:rPr>
        <w:t>,</w:t>
      </w:r>
      <w:r w:rsidRPr="00D05AB1">
        <w:rPr>
          <w:sz w:val="16"/>
          <w:szCs w:val="16"/>
        </w:rPr>
        <w:t xml:space="preserve"> 3</w:t>
      </w:r>
      <w:r>
        <w:rPr>
          <w:sz w:val="16"/>
          <w:szCs w:val="16"/>
        </w:rPr>
        <w:t xml:space="preserve"> and 4</w:t>
      </w:r>
      <w:r w:rsidRPr="00D05AB1">
        <w:rPr>
          <w:sz w:val="16"/>
          <w:szCs w:val="16"/>
        </w:rPr>
        <w:t>)</w:t>
      </w:r>
    </w:p>
    <w:p w14:paraId="2F16F4E1" w14:textId="77777777" w:rsidR="0008676D" w:rsidRPr="00B63F83" w:rsidRDefault="00B63F83" w:rsidP="00D56BF1">
      <w:pPr>
        <w:spacing w:after="200" w:line="276" w:lineRule="auto"/>
        <w:ind w:left="284"/>
        <w:rPr>
          <w:sz w:val="16"/>
        </w:rPr>
      </w:pPr>
      <w:r w:rsidRPr="00B63F83">
        <w:rPr>
          <w:sz w:val="16"/>
        </w:rPr>
        <w:t>! Meaningful confidence intervals not calculable due to small sample size</w:t>
      </w:r>
    </w:p>
    <w:p w14:paraId="1EBD22B3" w14:textId="77777777" w:rsidR="0008676D" w:rsidRDefault="0008676D">
      <w:pPr>
        <w:spacing w:after="200" w:line="276" w:lineRule="auto"/>
        <w:rPr>
          <w:rFonts w:eastAsiaTheme="majorEastAsia" w:cstheme="majorBidi"/>
          <w:b/>
          <w:bCs/>
          <w:caps/>
          <w:szCs w:val="28"/>
          <w:lang w:eastAsia="en-US"/>
        </w:rPr>
      </w:pPr>
    </w:p>
    <w:p w14:paraId="58E8E107" w14:textId="77777777" w:rsidR="00E7746B" w:rsidRDefault="00E7746B" w:rsidP="00E7746B">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r>
        <w:br w:type="page"/>
      </w:r>
      <w:bookmarkStart w:id="217" w:name="_Toc504488417"/>
      <w:r>
        <w:t>APPENDIX 2</w:t>
      </w:r>
      <w:r w:rsidR="00D9465C">
        <w:t>4</w:t>
      </w:r>
      <w:r>
        <w:t>:</w:t>
      </w:r>
      <w:r>
        <w:br/>
      </w:r>
      <w:r>
        <w:rPr>
          <w:caps w:val="0"/>
        </w:rPr>
        <w:t xml:space="preserve">Gambling risk </w:t>
      </w:r>
      <w:r w:rsidR="00DD314D">
        <w:rPr>
          <w:caps w:val="0"/>
        </w:rPr>
        <w:t>levels</w:t>
      </w:r>
      <w:r>
        <w:rPr>
          <w:caps w:val="0"/>
        </w:rPr>
        <w:t xml:space="preserve"> by methods used to stop gambling too much and help-seeking behaviour for Waves 1, 2, 3 and 4</w:t>
      </w:r>
      <w:bookmarkEnd w:id="217"/>
    </w:p>
    <w:p w14:paraId="790DA5A0" w14:textId="77777777" w:rsidR="00E7746B" w:rsidRPr="002F172C" w:rsidRDefault="00E7746B" w:rsidP="00E7746B">
      <w:pPr>
        <w:pStyle w:val="RepNormal"/>
        <w:rPr>
          <w:sz w:val="10"/>
        </w:rPr>
      </w:pPr>
    </w:p>
    <w:tbl>
      <w:tblPr>
        <w:tblStyle w:val="TableGrid"/>
        <w:tblW w:w="133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693"/>
        <w:gridCol w:w="536"/>
        <w:gridCol w:w="576"/>
        <w:gridCol w:w="1043"/>
        <w:gridCol w:w="536"/>
        <w:gridCol w:w="576"/>
        <w:gridCol w:w="1043"/>
        <w:gridCol w:w="536"/>
        <w:gridCol w:w="576"/>
        <w:gridCol w:w="1043"/>
        <w:gridCol w:w="536"/>
        <w:gridCol w:w="576"/>
        <w:gridCol w:w="1123"/>
      </w:tblGrid>
      <w:tr w:rsidR="00E7746B" w:rsidRPr="007B4EF8" w14:paraId="1A968008" w14:textId="77777777" w:rsidTr="00B56B65">
        <w:trPr>
          <w:tblHeader/>
          <w:jc w:val="center"/>
        </w:trPr>
        <w:tc>
          <w:tcPr>
            <w:tcW w:w="1985" w:type="dxa"/>
            <w:vMerge w:val="restart"/>
            <w:tcBorders>
              <w:top w:val="single" w:sz="4" w:space="0" w:color="auto"/>
            </w:tcBorders>
            <w:vAlign w:val="bottom"/>
          </w:tcPr>
          <w:p w14:paraId="1B97F465" w14:textId="77777777" w:rsidR="00E7746B" w:rsidRPr="00D317D8" w:rsidRDefault="00F909A0" w:rsidP="000313A5">
            <w:pPr>
              <w:spacing w:before="20" w:after="20"/>
              <w:rPr>
                <w:rFonts w:eastAsiaTheme="minorEastAsia"/>
                <w:b/>
                <w:sz w:val="18"/>
                <w:szCs w:val="18"/>
                <w:lang w:eastAsia="en-US"/>
              </w:rPr>
            </w:pPr>
            <w:r w:rsidRPr="001B7431">
              <w:rPr>
                <w:rFonts w:eastAsiaTheme="minorEastAsia"/>
                <w:b/>
                <w:sz w:val="16"/>
                <w:szCs w:val="16"/>
                <w:lang w:eastAsia="en-US"/>
              </w:rPr>
              <w:t>Gambling risk level</w:t>
            </w:r>
          </w:p>
        </w:tc>
        <w:tc>
          <w:tcPr>
            <w:tcW w:w="2693" w:type="dxa"/>
            <w:vMerge w:val="restart"/>
            <w:tcBorders>
              <w:top w:val="single" w:sz="4" w:space="0" w:color="auto"/>
            </w:tcBorders>
            <w:vAlign w:val="bottom"/>
          </w:tcPr>
          <w:p w14:paraId="2F87978A" w14:textId="77777777" w:rsidR="00E7746B" w:rsidRPr="001B7431" w:rsidRDefault="00F909A0" w:rsidP="000313A5">
            <w:pPr>
              <w:spacing w:before="20" w:after="20"/>
              <w:ind w:left="34"/>
              <w:rPr>
                <w:rFonts w:eastAsiaTheme="minorEastAsia"/>
                <w:b/>
                <w:sz w:val="16"/>
                <w:szCs w:val="16"/>
                <w:lang w:eastAsia="en-US"/>
              </w:rPr>
            </w:pPr>
            <w:r>
              <w:rPr>
                <w:rFonts w:eastAsiaTheme="minorEastAsia"/>
                <w:b/>
                <w:sz w:val="16"/>
                <w:szCs w:val="16"/>
                <w:lang w:eastAsia="en-US"/>
              </w:rPr>
              <w:t>Method</w:t>
            </w:r>
          </w:p>
        </w:tc>
        <w:tc>
          <w:tcPr>
            <w:tcW w:w="2155" w:type="dxa"/>
            <w:gridSpan w:val="3"/>
            <w:tcBorders>
              <w:top w:val="single" w:sz="4" w:space="0" w:color="auto"/>
              <w:bottom w:val="single" w:sz="4" w:space="0" w:color="auto"/>
              <w:right w:val="single" w:sz="4" w:space="0" w:color="auto"/>
            </w:tcBorders>
            <w:vAlign w:val="center"/>
          </w:tcPr>
          <w:p w14:paraId="7FCD6298" w14:textId="77777777" w:rsidR="00E7746B" w:rsidRPr="001B7431" w:rsidRDefault="00E7746B" w:rsidP="000313A5">
            <w:pPr>
              <w:spacing w:before="20" w:after="20"/>
              <w:ind w:left="34"/>
              <w:jc w:val="center"/>
              <w:rPr>
                <w:rFonts w:eastAsiaTheme="minorEastAsia"/>
                <w:b/>
                <w:sz w:val="16"/>
                <w:szCs w:val="16"/>
                <w:lang w:eastAsia="en-US"/>
              </w:rPr>
            </w:pPr>
            <w:r w:rsidRPr="001B7431">
              <w:rPr>
                <w:rFonts w:eastAsiaTheme="minorEastAsia"/>
                <w:b/>
                <w:sz w:val="16"/>
                <w:szCs w:val="16"/>
                <w:lang w:eastAsia="en-US"/>
              </w:rPr>
              <w:t>Wave 1</w:t>
            </w:r>
          </w:p>
        </w:tc>
        <w:tc>
          <w:tcPr>
            <w:tcW w:w="2155" w:type="dxa"/>
            <w:gridSpan w:val="3"/>
            <w:tcBorders>
              <w:top w:val="single" w:sz="4" w:space="0" w:color="auto"/>
              <w:left w:val="single" w:sz="4" w:space="0" w:color="auto"/>
              <w:bottom w:val="single" w:sz="4" w:space="0" w:color="auto"/>
              <w:right w:val="single" w:sz="4" w:space="0" w:color="auto"/>
            </w:tcBorders>
            <w:vAlign w:val="center"/>
          </w:tcPr>
          <w:p w14:paraId="054C5CC8" w14:textId="77777777" w:rsidR="00E7746B" w:rsidRPr="001B7431" w:rsidRDefault="00E7746B" w:rsidP="000313A5">
            <w:pPr>
              <w:spacing w:before="20" w:after="20"/>
              <w:ind w:left="34"/>
              <w:jc w:val="center"/>
              <w:rPr>
                <w:rFonts w:eastAsiaTheme="minorEastAsia"/>
                <w:b/>
                <w:sz w:val="16"/>
                <w:szCs w:val="16"/>
                <w:lang w:eastAsia="en-US"/>
              </w:rPr>
            </w:pPr>
            <w:r w:rsidRPr="001B7431">
              <w:rPr>
                <w:rFonts w:eastAsiaTheme="minorEastAsia"/>
                <w:b/>
                <w:sz w:val="16"/>
                <w:szCs w:val="16"/>
                <w:lang w:eastAsia="en-US"/>
              </w:rPr>
              <w:t>Wave 2</w:t>
            </w:r>
          </w:p>
        </w:tc>
        <w:tc>
          <w:tcPr>
            <w:tcW w:w="2155" w:type="dxa"/>
            <w:gridSpan w:val="3"/>
            <w:tcBorders>
              <w:top w:val="single" w:sz="4" w:space="0" w:color="auto"/>
              <w:left w:val="single" w:sz="4" w:space="0" w:color="auto"/>
              <w:bottom w:val="single" w:sz="4" w:space="0" w:color="auto"/>
              <w:right w:val="single" w:sz="4" w:space="0" w:color="auto"/>
            </w:tcBorders>
            <w:vAlign w:val="center"/>
          </w:tcPr>
          <w:p w14:paraId="5D9005FF" w14:textId="77777777" w:rsidR="00E7746B" w:rsidRPr="001B7431" w:rsidRDefault="00E7746B" w:rsidP="000313A5">
            <w:pPr>
              <w:spacing w:before="20" w:after="20"/>
              <w:ind w:left="34"/>
              <w:jc w:val="center"/>
              <w:rPr>
                <w:rFonts w:eastAsiaTheme="minorEastAsia"/>
                <w:b/>
                <w:sz w:val="16"/>
                <w:szCs w:val="16"/>
                <w:lang w:eastAsia="en-US"/>
              </w:rPr>
            </w:pPr>
            <w:r w:rsidRPr="001B7431">
              <w:rPr>
                <w:rFonts w:eastAsiaTheme="minorEastAsia"/>
                <w:b/>
                <w:sz w:val="16"/>
                <w:szCs w:val="16"/>
                <w:lang w:eastAsia="en-US"/>
              </w:rPr>
              <w:t>Wave 3</w:t>
            </w:r>
          </w:p>
        </w:tc>
        <w:tc>
          <w:tcPr>
            <w:tcW w:w="2235" w:type="dxa"/>
            <w:gridSpan w:val="3"/>
            <w:tcBorders>
              <w:top w:val="single" w:sz="4" w:space="0" w:color="auto"/>
              <w:left w:val="single" w:sz="4" w:space="0" w:color="auto"/>
              <w:bottom w:val="single" w:sz="4" w:space="0" w:color="auto"/>
            </w:tcBorders>
            <w:vAlign w:val="center"/>
          </w:tcPr>
          <w:p w14:paraId="79430151" w14:textId="77777777" w:rsidR="00E7746B" w:rsidRPr="001B7431" w:rsidRDefault="00E7746B" w:rsidP="000313A5">
            <w:pPr>
              <w:spacing w:before="20" w:after="20"/>
              <w:ind w:left="34"/>
              <w:jc w:val="center"/>
              <w:rPr>
                <w:rFonts w:eastAsiaTheme="minorEastAsia"/>
                <w:b/>
                <w:sz w:val="16"/>
                <w:szCs w:val="16"/>
                <w:lang w:eastAsia="en-US"/>
              </w:rPr>
            </w:pPr>
            <w:r w:rsidRPr="001B7431">
              <w:rPr>
                <w:rFonts w:eastAsiaTheme="minorEastAsia"/>
                <w:b/>
                <w:sz w:val="16"/>
                <w:szCs w:val="16"/>
                <w:lang w:eastAsia="en-US"/>
              </w:rPr>
              <w:t>Wave 4</w:t>
            </w:r>
          </w:p>
        </w:tc>
      </w:tr>
      <w:tr w:rsidR="00E7746B" w:rsidRPr="007B4EF8" w14:paraId="1ACB7AB5" w14:textId="77777777" w:rsidTr="00B56B65">
        <w:trPr>
          <w:tblHeader/>
          <w:jc w:val="center"/>
        </w:trPr>
        <w:tc>
          <w:tcPr>
            <w:tcW w:w="1985" w:type="dxa"/>
            <w:vMerge/>
            <w:tcBorders>
              <w:bottom w:val="single" w:sz="4" w:space="0" w:color="auto"/>
            </w:tcBorders>
            <w:vAlign w:val="center"/>
          </w:tcPr>
          <w:p w14:paraId="1ABA7346" w14:textId="77777777" w:rsidR="00E7746B" w:rsidRPr="001B7431" w:rsidRDefault="00E7746B" w:rsidP="000313A5">
            <w:pPr>
              <w:spacing w:before="20" w:after="20"/>
              <w:ind w:left="34"/>
              <w:rPr>
                <w:rFonts w:eastAsiaTheme="minorEastAsia"/>
                <w:b/>
                <w:sz w:val="16"/>
                <w:szCs w:val="16"/>
                <w:lang w:eastAsia="en-US"/>
              </w:rPr>
            </w:pPr>
          </w:p>
        </w:tc>
        <w:tc>
          <w:tcPr>
            <w:tcW w:w="2693" w:type="dxa"/>
            <w:vMerge/>
            <w:tcBorders>
              <w:bottom w:val="single" w:sz="4" w:space="0" w:color="auto"/>
            </w:tcBorders>
          </w:tcPr>
          <w:p w14:paraId="7DE4F907" w14:textId="77777777" w:rsidR="00E7746B" w:rsidRPr="001B7431" w:rsidRDefault="00E7746B" w:rsidP="000313A5">
            <w:pPr>
              <w:spacing w:before="20" w:after="20"/>
              <w:ind w:left="34"/>
              <w:rPr>
                <w:rFonts w:eastAsiaTheme="minorEastAsia"/>
                <w:b/>
                <w:sz w:val="16"/>
                <w:szCs w:val="16"/>
                <w:lang w:eastAsia="en-US"/>
              </w:rPr>
            </w:pPr>
          </w:p>
        </w:tc>
        <w:tc>
          <w:tcPr>
            <w:tcW w:w="536" w:type="dxa"/>
            <w:tcBorders>
              <w:top w:val="single" w:sz="4" w:space="0" w:color="auto"/>
              <w:bottom w:val="single" w:sz="4" w:space="0" w:color="auto"/>
            </w:tcBorders>
            <w:vAlign w:val="center"/>
          </w:tcPr>
          <w:p w14:paraId="54326F03" w14:textId="77777777" w:rsidR="00E7746B" w:rsidRPr="001B7431" w:rsidRDefault="00E7746B" w:rsidP="000313A5">
            <w:pPr>
              <w:spacing w:before="20" w:after="20"/>
              <w:ind w:left="34"/>
              <w:jc w:val="right"/>
              <w:rPr>
                <w:rFonts w:eastAsiaTheme="minorEastAsia"/>
                <w:b/>
                <w:sz w:val="16"/>
                <w:szCs w:val="16"/>
                <w:lang w:eastAsia="en-US"/>
              </w:rPr>
            </w:pPr>
            <w:r w:rsidRPr="001B7431">
              <w:rPr>
                <w:rFonts w:eastAsiaTheme="minorEastAsia"/>
                <w:b/>
                <w:sz w:val="16"/>
                <w:szCs w:val="16"/>
                <w:lang w:eastAsia="en-US"/>
              </w:rPr>
              <w:t>n</w:t>
            </w:r>
          </w:p>
        </w:tc>
        <w:tc>
          <w:tcPr>
            <w:tcW w:w="576" w:type="dxa"/>
            <w:tcBorders>
              <w:top w:val="single" w:sz="4" w:space="0" w:color="auto"/>
              <w:bottom w:val="single" w:sz="4" w:space="0" w:color="auto"/>
            </w:tcBorders>
            <w:vAlign w:val="center"/>
          </w:tcPr>
          <w:p w14:paraId="2DD9AE77" w14:textId="77777777" w:rsidR="00E7746B" w:rsidRPr="001B7431" w:rsidRDefault="00E7746B" w:rsidP="000313A5">
            <w:pPr>
              <w:spacing w:before="20" w:after="20"/>
              <w:ind w:left="34"/>
              <w:jc w:val="right"/>
              <w:rPr>
                <w:rFonts w:eastAsiaTheme="minorEastAsia"/>
                <w:b/>
                <w:sz w:val="16"/>
                <w:szCs w:val="16"/>
                <w:lang w:eastAsia="en-US"/>
              </w:rPr>
            </w:pPr>
            <w:r w:rsidRPr="001B7431">
              <w:rPr>
                <w:rFonts w:eastAsiaTheme="minorEastAsia"/>
                <w:b/>
                <w:sz w:val="16"/>
                <w:szCs w:val="16"/>
                <w:lang w:eastAsia="en-US"/>
              </w:rPr>
              <w:t>%</w:t>
            </w:r>
          </w:p>
        </w:tc>
        <w:tc>
          <w:tcPr>
            <w:tcW w:w="1043" w:type="dxa"/>
            <w:tcBorders>
              <w:top w:val="single" w:sz="4" w:space="0" w:color="auto"/>
              <w:bottom w:val="single" w:sz="4" w:space="0" w:color="auto"/>
              <w:right w:val="single" w:sz="4" w:space="0" w:color="auto"/>
            </w:tcBorders>
            <w:vAlign w:val="center"/>
          </w:tcPr>
          <w:p w14:paraId="1306E60C" w14:textId="77777777" w:rsidR="00E7746B" w:rsidRPr="001B7431" w:rsidRDefault="00E7746B" w:rsidP="000313A5">
            <w:pPr>
              <w:spacing w:before="20" w:after="20"/>
              <w:ind w:left="34"/>
              <w:jc w:val="right"/>
              <w:rPr>
                <w:rFonts w:eastAsiaTheme="minorEastAsia"/>
                <w:b/>
                <w:sz w:val="16"/>
                <w:szCs w:val="16"/>
                <w:lang w:eastAsia="en-US"/>
              </w:rPr>
            </w:pPr>
            <w:r w:rsidRPr="001B7431">
              <w:rPr>
                <w:rFonts w:eastAsiaTheme="minorEastAsia"/>
                <w:b/>
                <w:sz w:val="16"/>
                <w:szCs w:val="16"/>
                <w:lang w:eastAsia="en-US"/>
              </w:rPr>
              <w:t>(95% CI)</w:t>
            </w:r>
          </w:p>
        </w:tc>
        <w:tc>
          <w:tcPr>
            <w:tcW w:w="536" w:type="dxa"/>
            <w:tcBorders>
              <w:top w:val="single" w:sz="4" w:space="0" w:color="auto"/>
              <w:left w:val="single" w:sz="4" w:space="0" w:color="auto"/>
              <w:bottom w:val="single" w:sz="4" w:space="0" w:color="auto"/>
            </w:tcBorders>
            <w:vAlign w:val="center"/>
          </w:tcPr>
          <w:p w14:paraId="0AB41389" w14:textId="77777777" w:rsidR="00E7746B" w:rsidRPr="001B7431" w:rsidRDefault="00E7746B" w:rsidP="000313A5">
            <w:pPr>
              <w:spacing w:before="20" w:after="20"/>
              <w:ind w:left="34"/>
              <w:jc w:val="right"/>
              <w:rPr>
                <w:rFonts w:eastAsiaTheme="minorEastAsia"/>
                <w:b/>
                <w:sz w:val="16"/>
                <w:szCs w:val="16"/>
                <w:lang w:eastAsia="en-US"/>
              </w:rPr>
            </w:pPr>
            <w:r w:rsidRPr="001B7431">
              <w:rPr>
                <w:rFonts w:eastAsiaTheme="minorEastAsia"/>
                <w:b/>
                <w:sz w:val="16"/>
                <w:szCs w:val="16"/>
                <w:lang w:eastAsia="en-US"/>
              </w:rPr>
              <w:t>n</w:t>
            </w:r>
          </w:p>
        </w:tc>
        <w:tc>
          <w:tcPr>
            <w:tcW w:w="576" w:type="dxa"/>
            <w:tcBorders>
              <w:top w:val="single" w:sz="4" w:space="0" w:color="auto"/>
              <w:bottom w:val="single" w:sz="4" w:space="0" w:color="auto"/>
            </w:tcBorders>
            <w:vAlign w:val="center"/>
          </w:tcPr>
          <w:p w14:paraId="395E1296" w14:textId="77777777" w:rsidR="00E7746B" w:rsidRPr="001B7431" w:rsidRDefault="00E7746B" w:rsidP="000313A5">
            <w:pPr>
              <w:spacing w:before="20" w:after="20"/>
              <w:ind w:left="34"/>
              <w:jc w:val="right"/>
              <w:rPr>
                <w:rFonts w:eastAsiaTheme="minorEastAsia"/>
                <w:b/>
                <w:sz w:val="16"/>
                <w:szCs w:val="16"/>
                <w:lang w:eastAsia="en-US"/>
              </w:rPr>
            </w:pPr>
            <w:r w:rsidRPr="001B7431">
              <w:rPr>
                <w:rFonts w:eastAsiaTheme="minorEastAsia"/>
                <w:b/>
                <w:sz w:val="16"/>
                <w:szCs w:val="16"/>
                <w:lang w:eastAsia="en-US"/>
              </w:rPr>
              <w:t>%</w:t>
            </w:r>
          </w:p>
        </w:tc>
        <w:tc>
          <w:tcPr>
            <w:tcW w:w="1043" w:type="dxa"/>
            <w:tcBorders>
              <w:top w:val="single" w:sz="4" w:space="0" w:color="auto"/>
              <w:bottom w:val="single" w:sz="4" w:space="0" w:color="auto"/>
              <w:right w:val="single" w:sz="4" w:space="0" w:color="auto"/>
            </w:tcBorders>
            <w:vAlign w:val="center"/>
          </w:tcPr>
          <w:p w14:paraId="68FBD796" w14:textId="77777777" w:rsidR="00E7746B" w:rsidRPr="001B7431" w:rsidRDefault="00E7746B" w:rsidP="000313A5">
            <w:pPr>
              <w:spacing w:before="20" w:after="20"/>
              <w:ind w:left="34"/>
              <w:jc w:val="right"/>
              <w:rPr>
                <w:rFonts w:eastAsiaTheme="minorEastAsia"/>
                <w:b/>
                <w:sz w:val="16"/>
                <w:szCs w:val="16"/>
                <w:lang w:eastAsia="en-US"/>
              </w:rPr>
            </w:pPr>
            <w:r w:rsidRPr="001B7431">
              <w:rPr>
                <w:rFonts w:eastAsiaTheme="minorEastAsia"/>
                <w:b/>
                <w:sz w:val="16"/>
                <w:szCs w:val="16"/>
                <w:lang w:eastAsia="en-US"/>
              </w:rPr>
              <w:t>(95% CI)</w:t>
            </w:r>
          </w:p>
        </w:tc>
        <w:tc>
          <w:tcPr>
            <w:tcW w:w="536" w:type="dxa"/>
            <w:tcBorders>
              <w:top w:val="single" w:sz="4" w:space="0" w:color="auto"/>
              <w:left w:val="single" w:sz="4" w:space="0" w:color="auto"/>
              <w:bottom w:val="single" w:sz="4" w:space="0" w:color="auto"/>
            </w:tcBorders>
            <w:vAlign w:val="center"/>
          </w:tcPr>
          <w:p w14:paraId="208A8031" w14:textId="77777777" w:rsidR="00E7746B" w:rsidRPr="001B7431" w:rsidRDefault="00E7746B" w:rsidP="000313A5">
            <w:pPr>
              <w:spacing w:before="20" w:after="20"/>
              <w:ind w:left="34"/>
              <w:jc w:val="right"/>
              <w:rPr>
                <w:rFonts w:eastAsiaTheme="minorEastAsia"/>
                <w:b/>
                <w:sz w:val="16"/>
                <w:szCs w:val="16"/>
                <w:lang w:eastAsia="en-US"/>
              </w:rPr>
            </w:pPr>
            <w:r w:rsidRPr="001B7431">
              <w:rPr>
                <w:rFonts w:eastAsiaTheme="minorEastAsia"/>
                <w:b/>
                <w:sz w:val="16"/>
                <w:szCs w:val="16"/>
                <w:lang w:eastAsia="en-US"/>
              </w:rPr>
              <w:t>n</w:t>
            </w:r>
          </w:p>
        </w:tc>
        <w:tc>
          <w:tcPr>
            <w:tcW w:w="576" w:type="dxa"/>
            <w:tcBorders>
              <w:top w:val="single" w:sz="4" w:space="0" w:color="auto"/>
              <w:bottom w:val="single" w:sz="4" w:space="0" w:color="auto"/>
            </w:tcBorders>
            <w:vAlign w:val="center"/>
          </w:tcPr>
          <w:p w14:paraId="7C64A473" w14:textId="77777777" w:rsidR="00E7746B" w:rsidRPr="001B7431" w:rsidRDefault="00E7746B" w:rsidP="000313A5">
            <w:pPr>
              <w:spacing w:before="20" w:after="20"/>
              <w:ind w:left="34"/>
              <w:jc w:val="right"/>
              <w:rPr>
                <w:rFonts w:eastAsiaTheme="minorEastAsia"/>
                <w:b/>
                <w:sz w:val="16"/>
                <w:szCs w:val="16"/>
                <w:lang w:eastAsia="en-US"/>
              </w:rPr>
            </w:pPr>
            <w:r w:rsidRPr="001B7431">
              <w:rPr>
                <w:rFonts w:eastAsiaTheme="minorEastAsia"/>
                <w:b/>
                <w:sz w:val="16"/>
                <w:szCs w:val="16"/>
                <w:lang w:eastAsia="en-US"/>
              </w:rPr>
              <w:t>%</w:t>
            </w:r>
          </w:p>
        </w:tc>
        <w:tc>
          <w:tcPr>
            <w:tcW w:w="1043" w:type="dxa"/>
            <w:tcBorders>
              <w:top w:val="single" w:sz="4" w:space="0" w:color="auto"/>
              <w:bottom w:val="single" w:sz="4" w:space="0" w:color="auto"/>
              <w:right w:val="single" w:sz="4" w:space="0" w:color="auto"/>
            </w:tcBorders>
            <w:vAlign w:val="center"/>
          </w:tcPr>
          <w:p w14:paraId="3C05C903" w14:textId="77777777" w:rsidR="00E7746B" w:rsidRPr="001B7431" w:rsidRDefault="00E7746B" w:rsidP="000313A5">
            <w:pPr>
              <w:spacing w:before="20" w:after="20"/>
              <w:ind w:left="34"/>
              <w:jc w:val="right"/>
              <w:rPr>
                <w:rFonts w:eastAsiaTheme="minorEastAsia"/>
                <w:b/>
                <w:sz w:val="16"/>
                <w:szCs w:val="16"/>
                <w:lang w:eastAsia="en-US"/>
              </w:rPr>
            </w:pPr>
            <w:r w:rsidRPr="001B7431">
              <w:rPr>
                <w:rFonts w:eastAsiaTheme="minorEastAsia"/>
                <w:b/>
                <w:sz w:val="16"/>
                <w:szCs w:val="16"/>
                <w:lang w:eastAsia="en-US"/>
              </w:rPr>
              <w:t>(95% CI)</w:t>
            </w:r>
          </w:p>
        </w:tc>
        <w:tc>
          <w:tcPr>
            <w:tcW w:w="536" w:type="dxa"/>
            <w:tcBorders>
              <w:top w:val="single" w:sz="4" w:space="0" w:color="auto"/>
              <w:left w:val="single" w:sz="4" w:space="0" w:color="auto"/>
              <w:bottom w:val="single" w:sz="4" w:space="0" w:color="auto"/>
            </w:tcBorders>
            <w:vAlign w:val="center"/>
          </w:tcPr>
          <w:p w14:paraId="44FD4E08" w14:textId="77777777" w:rsidR="00E7746B" w:rsidRPr="001B7431" w:rsidRDefault="00E7746B" w:rsidP="000313A5">
            <w:pPr>
              <w:spacing w:before="20" w:after="20"/>
              <w:ind w:left="34"/>
              <w:jc w:val="right"/>
              <w:rPr>
                <w:rFonts w:eastAsiaTheme="minorEastAsia"/>
                <w:b/>
                <w:sz w:val="16"/>
                <w:szCs w:val="16"/>
                <w:lang w:eastAsia="en-US"/>
              </w:rPr>
            </w:pPr>
            <w:r w:rsidRPr="001B7431">
              <w:rPr>
                <w:rFonts w:eastAsiaTheme="minorEastAsia"/>
                <w:b/>
                <w:sz w:val="16"/>
                <w:szCs w:val="16"/>
                <w:lang w:eastAsia="en-US"/>
              </w:rPr>
              <w:t>n</w:t>
            </w:r>
          </w:p>
        </w:tc>
        <w:tc>
          <w:tcPr>
            <w:tcW w:w="576" w:type="dxa"/>
            <w:tcBorders>
              <w:top w:val="single" w:sz="4" w:space="0" w:color="auto"/>
              <w:bottom w:val="single" w:sz="4" w:space="0" w:color="auto"/>
            </w:tcBorders>
            <w:vAlign w:val="center"/>
          </w:tcPr>
          <w:p w14:paraId="44A76FDC" w14:textId="77777777" w:rsidR="00E7746B" w:rsidRPr="001B7431" w:rsidRDefault="00E7746B" w:rsidP="000313A5">
            <w:pPr>
              <w:spacing w:before="20" w:after="20"/>
              <w:ind w:left="34"/>
              <w:jc w:val="right"/>
              <w:rPr>
                <w:rFonts w:eastAsiaTheme="minorEastAsia"/>
                <w:b/>
                <w:sz w:val="16"/>
                <w:szCs w:val="16"/>
                <w:lang w:eastAsia="en-US"/>
              </w:rPr>
            </w:pPr>
            <w:r w:rsidRPr="001B7431">
              <w:rPr>
                <w:rFonts w:eastAsiaTheme="minorEastAsia"/>
                <w:b/>
                <w:sz w:val="16"/>
                <w:szCs w:val="16"/>
                <w:lang w:eastAsia="en-US"/>
              </w:rPr>
              <w:t>%</w:t>
            </w:r>
          </w:p>
        </w:tc>
        <w:tc>
          <w:tcPr>
            <w:tcW w:w="1123" w:type="dxa"/>
            <w:tcBorders>
              <w:top w:val="single" w:sz="4" w:space="0" w:color="auto"/>
              <w:bottom w:val="single" w:sz="4" w:space="0" w:color="auto"/>
            </w:tcBorders>
            <w:vAlign w:val="center"/>
          </w:tcPr>
          <w:p w14:paraId="667B146D" w14:textId="77777777" w:rsidR="00E7746B" w:rsidRPr="001B7431" w:rsidRDefault="00E7746B" w:rsidP="000313A5">
            <w:pPr>
              <w:spacing w:before="20" w:after="20"/>
              <w:ind w:left="34"/>
              <w:jc w:val="right"/>
              <w:rPr>
                <w:rFonts w:eastAsiaTheme="minorEastAsia"/>
                <w:b/>
                <w:sz w:val="16"/>
                <w:szCs w:val="16"/>
                <w:lang w:eastAsia="en-US"/>
              </w:rPr>
            </w:pPr>
            <w:r w:rsidRPr="001B7431">
              <w:rPr>
                <w:rFonts w:eastAsiaTheme="minorEastAsia"/>
                <w:b/>
                <w:sz w:val="16"/>
                <w:szCs w:val="16"/>
                <w:lang w:eastAsia="en-US"/>
              </w:rPr>
              <w:t>(95% CI)</w:t>
            </w:r>
          </w:p>
        </w:tc>
      </w:tr>
      <w:tr w:rsidR="00F909A0" w:rsidRPr="007B4EF8" w14:paraId="3F4AB823" w14:textId="77777777" w:rsidTr="00F909A0">
        <w:trPr>
          <w:jc w:val="center"/>
        </w:trPr>
        <w:tc>
          <w:tcPr>
            <w:tcW w:w="4678" w:type="dxa"/>
            <w:gridSpan w:val="2"/>
            <w:tcBorders>
              <w:top w:val="single" w:sz="4" w:space="0" w:color="auto"/>
            </w:tcBorders>
            <w:vAlign w:val="center"/>
          </w:tcPr>
          <w:p w14:paraId="0B2F34D1" w14:textId="77777777" w:rsidR="00F909A0" w:rsidRPr="00E7746B" w:rsidRDefault="00F909A0" w:rsidP="00B56B65">
            <w:pPr>
              <w:spacing w:before="20" w:after="20"/>
              <w:rPr>
                <w:rFonts w:eastAsiaTheme="minorEastAsia"/>
                <w:b/>
                <w:sz w:val="16"/>
                <w:szCs w:val="16"/>
                <w:lang w:eastAsia="en-US"/>
              </w:rPr>
            </w:pPr>
            <w:r w:rsidRPr="00E7746B">
              <w:rPr>
                <w:rFonts w:eastAsiaTheme="minorEastAsia"/>
                <w:b/>
                <w:sz w:val="16"/>
                <w:szCs w:val="16"/>
                <w:lang w:eastAsia="en-US"/>
              </w:rPr>
              <w:t>Methods used to stop gambling too much</w:t>
            </w:r>
            <w:r w:rsidRPr="00E7746B">
              <w:rPr>
                <w:rFonts w:eastAsiaTheme="minorEastAsia"/>
                <w:b/>
                <w:sz w:val="16"/>
                <w:szCs w:val="16"/>
                <w:vertAlign w:val="superscript"/>
                <w:lang w:eastAsia="en-US"/>
              </w:rPr>
              <w:t>#</w:t>
            </w:r>
          </w:p>
        </w:tc>
        <w:tc>
          <w:tcPr>
            <w:tcW w:w="536" w:type="dxa"/>
            <w:tcBorders>
              <w:top w:val="single" w:sz="4" w:space="0" w:color="auto"/>
            </w:tcBorders>
          </w:tcPr>
          <w:p w14:paraId="2D09FF35" w14:textId="77777777" w:rsidR="00F909A0" w:rsidRPr="00766266" w:rsidRDefault="00F909A0" w:rsidP="00F909A0"/>
        </w:tc>
        <w:tc>
          <w:tcPr>
            <w:tcW w:w="576" w:type="dxa"/>
            <w:tcBorders>
              <w:top w:val="single" w:sz="4" w:space="0" w:color="auto"/>
            </w:tcBorders>
          </w:tcPr>
          <w:p w14:paraId="73906074" w14:textId="77777777" w:rsidR="00F909A0" w:rsidRPr="00766266" w:rsidRDefault="00F909A0" w:rsidP="00F909A0"/>
        </w:tc>
        <w:tc>
          <w:tcPr>
            <w:tcW w:w="1043" w:type="dxa"/>
            <w:tcBorders>
              <w:top w:val="single" w:sz="4" w:space="0" w:color="auto"/>
              <w:right w:val="single" w:sz="4" w:space="0" w:color="auto"/>
            </w:tcBorders>
          </w:tcPr>
          <w:p w14:paraId="04D137EF" w14:textId="77777777" w:rsidR="00F909A0" w:rsidRPr="00766266" w:rsidRDefault="00F909A0" w:rsidP="00F909A0"/>
        </w:tc>
        <w:tc>
          <w:tcPr>
            <w:tcW w:w="536" w:type="dxa"/>
            <w:tcBorders>
              <w:top w:val="single" w:sz="4" w:space="0" w:color="auto"/>
              <w:left w:val="single" w:sz="4" w:space="0" w:color="auto"/>
            </w:tcBorders>
          </w:tcPr>
          <w:p w14:paraId="695B6D9D" w14:textId="77777777" w:rsidR="00F909A0" w:rsidRPr="00766266" w:rsidRDefault="00F909A0" w:rsidP="00F909A0"/>
        </w:tc>
        <w:tc>
          <w:tcPr>
            <w:tcW w:w="576" w:type="dxa"/>
            <w:tcBorders>
              <w:top w:val="single" w:sz="4" w:space="0" w:color="auto"/>
            </w:tcBorders>
          </w:tcPr>
          <w:p w14:paraId="73891D2A" w14:textId="77777777" w:rsidR="00F909A0" w:rsidRPr="00766266" w:rsidRDefault="00F909A0" w:rsidP="00F909A0"/>
        </w:tc>
        <w:tc>
          <w:tcPr>
            <w:tcW w:w="1043" w:type="dxa"/>
            <w:tcBorders>
              <w:top w:val="single" w:sz="4" w:space="0" w:color="auto"/>
              <w:right w:val="single" w:sz="4" w:space="0" w:color="auto"/>
            </w:tcBorders>
          </w:tcPr>
          <w:p w14:paraId="6E30BB22" w14:textId="77777777" w:rsidR="00F909A0" w:rsidRPr="00766266" w:rsidRDefault="00F909A0" w:rsidP="00F909A0"/>
        </w:tc>
        <w:tc>
          <w:tcPr>
            <w:tcW w:w="536" w:type="dxa"/>
            <w:tcBorders>
              <w:top w:val="single" w:sz="4" w:space="0" w:color="auto"/>
              <w:left w:val="single" w:sz="4" w:space="0" w:color="auto"/>
            </w:tcBorders>
          </w:tcPr>
          <w:p w14:paraId="5E87F053" w14:textId="77777777" w:rsidR="00F909A0" w:rsidRPr="00766266" w:rsidRDefault="00F909A0" w:rsidP="00F909A0"/>
        </w:tc>
        <w:tc>
          <w:tcPr>
            <w:tcW w:w="576" w:type="dxa"/>
            <w:tcBorders>
              <w:top w:val="single" w:sz="4" w:space="0" w:color="auto"/>
            </w:tcBorders>
          </w:tcPr>
          <w:p w14:paraId="201B8C6D" w14:textId="77777777" w:rsidR="00F909A0" w:rsidRPr="00766266" w:rsidRDefault="00F909A0" w:rsidP="00F909A0"/>
        </w:tc>
        <w:tc>
          <w:tcPr>
            <w:tcW w:w="1043" w:type="dxa"/>
            <w:tcBorders>
              <w:top w:val="single" w:sz="4" w:space="0" w:color="auto"/>
              <w:right w:val="single" w:sz="4" w:space="0" w:color="auto"/>
            </w:tcBorders>
          </w:tcPr>
          <w:p w14:paraId="5BE6F721" w14:textId="77777777" w:rsidR="00F909A0" w:rsidRPr="00766266" w:rsidRDefault="00F909A0" w:rsidP="00F909A0"/>
        </w:tc>
        <w:tc>
          <w:tcPr>
            <w:tcW w:w="536" w:type="dxa"/>
            <w:tcBorders>
              <w:top w:val="single" w:sz="4" w:space="0" w:color="auto"/>
              <w:left w:val="single" w:sz="4" w:space="0" w:color="auto"/>
            </w:tcBorders>
          </w:tcPr>
          <w:p w14:paraId="46A39C68" w14:textId="77777777" w:rsidR="00F909A0" w:rsidRPr="00766266" w:rsidRDefault="00F909A0" w:rsidP="00F909A0"/>
        </w:tc>
        <w:tc>
          <w:tcPr>
            <w:tcW w:w="576" w:type="dxa"/>
            <w:tcBorders>
              <w:top w:val="single" w:sz="4" w:space="0" w:color="auto"/>
            </w:tcBorders>
          </w:tcPr>
          <w:p w14:paraId="0DB41F72" w14:textId="77777777" w:rsidR="00F909A0" w:rsidRPr="00766266" w:rsidRDefault="00F909A0" w:rsidP="00F909A0"/>
        </w:tc>
        <w:tc>
          <w:tcPr>
            <w:tcW w:w="1123" w:type="dxa"/>
            <w:tcBorders>
              <w:top w:val="single" w:sz="4" w:space="0" w:color="auto"/>
            </w:tcBorders>
          </w:tcPr>
          <w:p w14:paraId="52270DD6" w14:textId="77777777" w:rsidR="00F909A0" w:rsidRDefault="00F909A0" w:rsidP="00F909A0"/>
        </w:tc>
      </w:tr>
      <w:tr w:rsidR="00F909A0" w:rsidRPr="007B4EF8" w14:paraId="0BBF72FE" w14:textId="77777777" w:rsidTr="00826105">
        <w:trPr>
          <w:jc w:val="center"/>
        </w:trPr>
        <w:tc>
          <w:tcPr>
            <w:tcW w:w="1985" w:type="dxa"/>
            <w:shd w:val="clear" w:color="auto" w:fill="auto"/>
            <w:vAlign w:val="center"/>
          </w:tcPr>
          <w:p w14:paraId="3086F80C" w14:textId="77777777" w:rsidR="00F909A0" w:rsidRDefault="00F909A0" w:rsidP="00B56B65">
            <w:pPr>
              <w:spacing w:before="20" w:after="20"/>
              <w:rPr>
                <w:color w:val="000000"/>
                <w:sz w:val="16"/>
                <w:szCs w:val="16"/>
                <w:lang w:eastAsia="en-NZ"/>
              </w:rPr>
            </w:pPr>
            <w:r>
              <w:rPr>
                <w:color w:val="000000"/>
                <w:sz w:val="16"/>
                <w:szCs w:val="16"/>
              </w:rPr>
              <w:t>Non-problem gambler</w:t>
            </w:r>
          </w:p>
        </w:tc>
        <w:tc>
          <w:tcPr>
            <w:tcW w:w="2693" w:type="dxa"/>
            <w:shd w:val="clear" w:color="auto" w:fill="auto"/>
            <w:vAlign w:val="center"/>
          </w:tcPr>
          <w:p w14:paraId="44E6BC53" w14:textId="77777777" w:rsidR="00F909A0" w:rsidRDefault="00F909A0" w:rsidP="00B56B65">
            <w:pPr>
              <w:spacing w:before="20" w:after="20"/>
              <w:rPr>
                <w:color w:val="000000"/>
                <w:sz w:val="16"/>
                <w:szCs w:val="16"/>
              </w:rPr>
            </w:pPr>
            <w:r>
              <w:rPr>
                <w:color w:val="000000"/>
                <w:sz w:val="16"/>
                <w:szCs w:val="16"/>
              </w:rPr>
              <w:t>Set a money limit</w:t>
            </w:r>
          </w:p>
        </w:tc>
        <w:tc>
          <w:tcPr>
            <w:tcW w:w="536" w:type="dxa"/>
            <w:shd w:val="clear" w:color="auto" w:fill="auto"/>
            <w:vAlign w:val="center"/>
          </w:tcPr>
          <w:p w14:paraId="62D39F6E" w14:textId="77777777" w:rsidR="00F909A0" w:rsidRPr="00F909A0" w:rsidRDefault="00F909A0" w:rsidP="00B56B65">
            <w:pPr>
              <w:spacing w:before="20" w:after="20"/>
              <w:jc w:val="right"/>
              <w:rPr>
                <w:sz w:val="16"/>
                <w:szCs w:val="16"/>
              </w:rPr>
            </w:pPr>
            <w:r w:rsidRPr="00F909A0">
              <w:rPr>
                <w:sz w:val="16"/>
                <w:szCs w:val="16"/>
              </w:rPr>
              <w:t>814</w:t>
            </w:r>
          </w:p>
        </w:tc>
        <w:tc>
          <w:tcPr>
            <w:tcW w:w="576" w:type="dxa"/>
            <w:shd w:val="clear" w:color="auto" w:fill="auto"/>
            <w:vAlign w:val="center"/>
          </w:tcPr>
          <w:p w14:paraId="6B9832A6" w14:textId="77777777" w:rsidR="00F909A0" w:rsidRPr="00F909A0" w:rsidRDefault="00F909A0" w:rsidP="00B56B65">
            <w:pPr>
              <w:spacing w:before="20" w:after="20"/>
              <w:jc w:val="right"/>
              <w:rPr>
                <w:sz w:val="16"/>
                <w:szCs w:val="16"/>
              </w:rPr>
            </w:pPr>
            <w:r w:rsidRPr="00F909A0">
              <w:rPr>
                <w:sz w:val="16"/>
                <w:szCs w:val="16"/>
              </w:rPr>
              <w:t>18.1</w:t>
            </w:r>
          </w:p>
        </w:tc>
        <w:tc>
          <w:tcPr>
            <w:tcW w:w="1043" w:type="dxa"/>
            <w:tcBorders>
              <w:right w:val="single" w:sz="4" w:space="0" w:color="auto"/>
            </w:tcBorders>
            <w:shd w:val="clear" w:color="auto" w:fill="auto"/>
            <w:vAlign w:val="center"/>
          </w:tcPr>
          <w:p w14:paraId="48DBF587" w14:textId="77777777" w:rsidR="00F909A0" w:rsidRPr="00F909A0" w:rsidRDefault="00F909A0" w:rsidP="00B56B65">
            <w:pPr>
              <w:spacing w:before="20" w:after="20"/>
              <w:jc w:val="right"/>
              <w:rPr>
                <w:sz w:val="16"/>
                <w:szCs w:val="16"/>
              </w:rPr>
            </w:pPr>
            <w:r w:rsidRPr="00F909A0">
              <w:rPr>
                <w:sz w:val="16"/>
                <w:szCs w:val="16"/>
              </w:rPr>
              <w:t>(16.7, 19.5)</w:t>
            </w:r>
          </w:p>
        </w:tc>
        <w:tc>
          <w:tcPr>
            <w:tcW w:w="536" w:type="dxa"/>
            <w:tcBorders>
              <w:left w:val="single" w:sz="4" w:space="0" w:color="auto"/>
            </w:tcBorders>
            <w:shd w:val="clear" w:color="auto" w:fill="auto"/>
            <w:vAlign w:val="center"/>
          </w:tcPr>
          <w:p w14:paraId="3967132F" w14:textId="77777777" w:rsidR="00F909A0" w:rsidRPr="00F909A0" w:rsidRDefault="00F909A0" w:rsidP="00B56B65">
            <w:pPr>
              <w:spacing w:before="20" w:after="20"/>
              <w:jc w:val="right"/>
              <w:rPr>
                <w:sz w:val="16"/>
                <w:szCs w:val="16"/>
              </w:rPr>
            </w:pPr>
            <w:r w:rsidRPr="00F909A0">
              <w:rPr>
                <w:sz w:val="16"/>
                <w:szCs w:val="16"/>
              </w:rPr>
              <w:t>404</w:t>
            </w:r>
          </w:p>
        </w:tc>
        <w:tc>
          <w:tcPr>
            <w:tcW w:w="576" w:type="dxa"/>
            <w:shd w:val="clear" w:color="auto" w:fill="auto"/>
            <w:vAlign w:val="center"/>
          </w:tcPr>
          <w:p w14:paraId="4257D56E" w14:textId="77777777" w:rsidR="00F909A0" w:rsidRPr="00F909A0" w:rsidRDefault="00F909A0" w:rsidP="00B56B65">
            <w:pPr>
              <w:spacing w:before="20" w:after="20"/>
              <w:jc w:val="right"/>
              <w:rPr>
                <w:sz w:val="16"/>
                <w:szCs w:val="16"/>
              </w:rPr>
            </w:pPr>
            <w:r w:rsidRPr="00F909A0">
              <w:rPr>
                <w:sz w:val="16"/>
                <w:szCs w:val="16"/>
              </w:rPr>
              <w:t>15.5</w:t>
            </w:r>
          </w:p>
        </w:tc>
        <w:tc>
          <w:tcPr>
            <w:tcW w:w="1043" w:type="dxa"/>
            <w:tcBorders>
              <w:right w:val="single" w:sz="4" w:space="0" w:color="auto"/>
            </w:tcBorders>
            <w:shd w:val="clear" w:color="auto" w:fill="auto"/>
            <w:vAlign w:val="center"/>
          </w:tcPr>
          <w:p w14:paraId="3EA3B141" w14:textId="77777777" w:rsidR="00F909A0" w:rsidRPr="00F909A0" w:rsidRDefault="00F909A0" w:rsidP="00B56B65">
            <w:pPr>
              <w:spacing w:before="20" w:after="20"/>
              <w:jc w:val="right"/>
              <w:rPr>
                <w:sz w:val="16"/>
                <w:szCs w:val="16"/>
              </w:rPr>
            </w:pPr>
            <w:r w:rsidRPr="00F909A0">
              <w:rPr>
                <w:sz w:val="16"/>
                <w:szCs w:val="16"/>
              </w:rPr>
              <w:t>(13.7, 17.2)</w:t>
            </w:r>
          </w:p>
        </w:tc>
        <w:tc>
          <w:tcPr>
            <w:tcW w:w="536" w:type="dxa"/>
            <w:tcBorders>
              <w:left w:val="single" w:sz="4" w:space="0" w:color="auto"/>
            </w:tcBorders>
            <w:shd w:val="clear" w:color="auto" w:fill="auto"/>
            <w:vAlign w:val="center"/>
          </w:tcPr>
          <w:p w14:paraId="28D3F1B7" w14:textId="77777777" w:rsidR="00F909A0" w:rsidRPr="00F909A0" w:rsidRDefault="00F909A0" w:rsidP="00B56B65">
            <w:pPr>
              <w:spacing w:before="20" w:after="20"/>
              <w:jc w:val="right"/>
              <w:rPr>
                <w:sz w:val="16"/>
                <w:szCs w:val="16"/>
              </w:rPr>
            </w:pPr>
            <w:r w:rsidRPr="00F909A0">
              <w:rPr>
                <w:sz w:val="16"/>
                <w:szCs w:val="16"/>
              </w:rPr>
              <w:t>297</w:t>
            </w:r>
          </w:p>
        </w:tc>
        <w:tc>
          <w:tcPr>
            <w:tcW w:w="576" w:type="dxa"/>
            <w:shd w:val="clear" w:color="auto" w:fill="auto"/>
            <w:vAlign w:val="center"/>
          </w:tcPr>
          <w:p w14:paraId="65ECD0EB" w14:textId="77777777" w:rsidR="00F909A0" w:rsidRPr="00F909A0" w:rsidRDefault="00F909A0" w:rsidP="00B56B65">
            <w:pPr>
              <w:spacing w:before="20" w:after="20"/>
              <w:jc w:val="right"/>
              <w:rPr>
                <w:sz w:val="16"/>
                <w:szCs w:val="16"/>
              </w:rPr>
            </w:pPr>
            <w:r w:rsidRPr="00F909A0">
              <w:rPr>
                <w:sz w:val="16"/>
                <w:szCs w:val="16"/>
              </w:rPr>
              <w:t>13.7</w:t>
            </w:r>
          </w:p>
        </w:tc>
        <w:tc>
          <w:tcPr>
            <w:tcW w:w="1043" w:type="dxa"/>
            <w:tcBorders>
              <w:right w:val="single" w:sz="4" w:space="0" w:color="auto"/>
            </w:tcBorders>
            <w:shd w:val="clear" w:color="auto" w:fill="auto"/>
            <w:vAlign w:val="center"/>
          </w:tcPr>
          <w:p w14:paraId="4917C699" w14:textId="77777777" w:rsidR="00F909A0" w:rsidRPr="00F909A0" w:rsidRDefault="00F909A0" w:rsidP="00B56B65">
            <w:pPr>
              <w:spacing w:before="20" w:after="20"/>
              <w:jc w:val="right"/>
              <w:rPr>
                <w:sz w:val="16"/>
                <w:szCs w:val="16"/>
              </w:rPr>
            </w:pPr>
            <w:r w:rsidRPr="00F909A0">
              <w:rPr>
                <w:sz w:val="16"/>
                <w:szCs w:val="16"/>
              </w:rPr>
              <w:t>(11.9, 15.4)</w:t>
            </w:r>
          </w:p>
        </w:tc>
        <w:tc>
          <w:tcPr>
            <w:tcW w:w="536" w:type="dxa"/>
            <w:tcBorders>
              <w:left w:val="single" w:sz="4" w:space="0" w:color="auto"/>
            </w:tcBorders>
            <w:shd w:val="clear" w:color="auto" w:fill="auto"/>
            <w:vAlign w:val="center"/>
          </w:tcPr>
          <w:p w14:paraId="302AC5C2" w14:textId="77777777" w:rsidR="00F909A0" w:rsidRPr="00F909A0" w:rsidRDefault="00F909A0" w:rsidP="00B56B65">
            <w:pPr>
              <w:spacing w:before="20" w:after="20"/>
              <w:jc w:val="right"/>
              <w:rPr>
                <w:sz w:val="16"/>
                <w:szCs w:val="16"/>
              </w:rPr>
            </w:pPr>
            <w:r w:rsidRPr="00F909A0">
              <w:rPr>
                <w:sz w:val="16"/>
                <w:szCs w:val="16"/>
              </w:rPr>
              <w:t>259</w:t>
            </w:r>
          </w:p>
        </w:tc>
        <w:tc>
          <w:tcPr>
            <w:tcW w:w="576" w:type="dxa"/>
            <w:shd w:val="clear" w:color="auto" w:fill="auto"/>
            <w:vAlign w:val="center"/>
          </w:tcPr>
          <w:p w14:paraId="73F165B6" w14:textId="77777777" w:rsidR="00F909A0" w:rsidRPr="00F909A0" w:rsidRDefault="00F909A0" w:rsidP="00B56B65">
            <w:pPr>
              <w:spacing w:before="20" w:after="20"/>
              <w:jc w:val="right"/>
              <w:rPr>
                <w:sz w:val="16"/>
                <w:szCs w:val="16"/>
              </w:rPr>
            </w:pPr>
            <w:r w:rsidRPr="00F909A0">
              <w:rPr>
                <w:sz w:val="16"/>
                <w:szCs w:val="16"/>
              </w:rPr>
              <w:t>13.8</w:t>
            </w:r>
          </w:p>
        </w:tc>
        <w:tc>
          <w:tcPr>
            <w:tcW w:w="1123" w:type="dxa"/>
            <w:shd w:val="clear" w:color="auto" w:fill="auto"/>
            <w:vAlign w:val="center"/>
          </w:tcPr>
          <w:p w14:paraId="0ED7E6D7" w14:textId="77777777" w:rsidR="00F909A0" w:rsidRPr="00F909A0" w:rsidRDefault="00F909A0" w:rsidP="00B56B65">
            <w:pPr>
              <w:spacing w:before="20" w:after="20"/>
              <w:jc w:val="right"/>
              <w:rPr>
                <w:sz w:val="16"/>
                <w:szCs w:val="16"/>
              </w:rPr>
            </w:pPr>
            <w:r w:rsidRPr="00F909A0">
              <w:rPr>
                <w:sz w:val="16"/>
                <w:szCs w:val="16"/>
              </w:rPr>
              <w:t>(11.7, 15.9)</w:t>
            </w:r>
          </w:p>
        </w:tc>
      </w:tr>
      <w:tr w:rsidR="00F909A0" w:rsidRPr="007B4EF8" w14:paraId="261E5FB3" w14:textId="77777777" w:rsidTr="00826105">
        <w:trPr>
          <w:jc w:val="center"/>
        </w:trPr>
        <w:tc>
          <w:tcPr>
            <w:tcW w:w="1985" w:type="dxa"/>
            <w:shd w:val="clear" w:color="auto" w:fill="auto"/>
            <w:vAlign w:val="center"/>
          </w:tcPr>
          <w:p w14:paraId="4AAB262E" w14:textId="77777777" w:rsidR="00F909A0" w:rsidRDefault="00F909A0" w:rsidP="00B56B65">
            <w:pPr>
              <w:spacing w:before="20" w:after="20"/>
              <w:rPr>
                <w:color w:val="000000"/>
                <w:sz w:val="16"/>
                <w:szCs w:val="16"/>
              </w:rPr>
            </w:pPr>
          </w:p>
        </w:tc>
        <w:tc>
          <w:tcPr>
            <w:tcW w:w="2693" w:type="dxa"/>
            <w:shd w:val="clear" w:color="auto" w:fill="auto"/>
            <w:vAlign w:val="center"/>
          </w:tcPr>
          <w:p w14:paraId="22E49D7C" w14:textId="77777777" w:rsidR="00F909A0" w:rsidRDefault="00F909A0" w:rsidP="00B56B65">
            <w:pPr>
              <w:spacing w:before="20" w:after="20"/>
              <w:rPr>
                <w:color w:val="000000"/>
                <w:sz w:val="16"/>
                <w:szCs w:val="16"/>
              </w:rPr>
            </w:pPr>
            <w:r>
              <w:rPr>
                <w:color w:val="000000"/>
                <w:sz w:val="16"/>
                <w:szCs w:val="16"/>
              </w:rPr>
              <w:t>Trusted person manages the money</w:t>
            </w:r>
          </w:p>
        </w:tc>
        <w:tc>
          <w:tcPr>
            <w:tcW w:w="536" w:type="dxa"/>
            <w:shd w:val="clear" w:color="auto" w:fill="auto"/>
            <w:vAlign w:val="center"/>
          </w:tcPr>
          <w:p w14:paraId="377A71AB" w14:textId="77777777" w:rsidR="00F909A0" w:rsidRPr="00F909A0" w:rsidRDefault="00F909A0" w:rsidP="00B56B65">
            <w:pPr>
              <w:spacing w:before="20" w:after="20"/>
              <w:jc w:val="right"/>
              <w:rPr>
                <w:sz w:val="16"/>
                <w:szCs w:val="16"/>
              </w:rPr>
            </w:pPr>
            <w:r w:rsidRPr="00F909A0">
              <w:rPr>
                <w:sz w:val="16"/>
                <w:szCs w:val="16"/>
              </w:rPr>
              <w:t>19</w:t>
            </w:r>
          </w:p>
        </w:tc>
        <w:tc>
          <w:tcPr>
            <w:tcW w:w="576" w:type="dxa"/>
            <w:shd w:val="clear" w:color="auto" w:fill="auto"/>
            <w:vAlign w:val="center"/>
          </w:tcPr>
          <w:p w14:paraId="6F677BDE" w14:textId="77777777" w:rsidR="00F909A0" w:rsidRPr="00F909A0" w:rsidRDefault="00F909A0" w:rsidP="00B56B65">
            <w:pPr>
              <w:spacing w:before="20" w:after="20"/>
              <w:jc w:val="right"/>
              <w:rPr>
                <w:sz w:val="16"/>
                <w:szCs w:val="16"/>
              </w:rPr>
            </w:pPr>
            <w:r w:rsidRPr="00F909A0">
              <w:rPr>
                <w:sz w:val="16"/>
                <w:szCs w:val="16"/>
              </w:rPr>
              <w:t>0.4</w:t>
            </w:r>
          </w:p>
        </w:tc>
        <w:tc>
          <w:tcPr>
            <w:tcW w:w="1043" w:type="dxa"/>
            <w:tcBorders>
              <w:right w:val="single" w:sz="4" w:space="0" w:color="auto"/>
            </w:tcBorders>
            <w:shd w:val="clear" w:color="auto" w:fill="auto"/>
            <w:vAlign w:val="center"/>
          </w:tcPr>
          <w:p w14:paraId="7007F02D" w14:textId="77777777" w:rsidR="00F909A0" w:rsidRPr="00F909A0" w:rsidRDefault="00F909A0" w:rsidP="00B56B65">
            <w:pPr>
              <w:spacing w:before="20" w:after="20"/>
              <w:jc w:val="right"/>
              <w:rPr>
                <w:sz w:val="16"/>
                <w:szCs w:val="16"/>
              </w:rPr>
            </w:pPr>
            <w:r w:rsidRPr="00F909A0">
              <w:rPr>
                <w:sz w:val="16"/>
                <w:szCs w:val="16"/>
              </w:rPr>
              <w:t>(0.2, 0.7)</w:t>
            </w:r>
          </w:p>
        </w:tc>
        <w:tc>
          <w:tcPr>
            <w:tcW w:w="536" w:type="dxa"/>
            <w:tcBorders>
              <w:left w:val="single" w:sz="4" w:space="0" w:color="auto"/>
            </w:tcBorders>
            <w:shd w:val="clear" w:color="auto" w:fill="auto"/>
            <w:vAlign w:val="center"/>
          </w:tcPr>
          <w:p w14:paraId="7B95EA5A" w14:textId="77777777" w:rsidR="00F909A0" w:rsidRPr="00F909A0" w:rsidRDefault="00F909A0" w:rsidP="00B56B65">
            <w:pPr>
              <w:spacing w:before="20" w:after="20"/>
              <w:jc w:val="right"/>
              <w:rPr>
                <w:sz w:val="16"/>
                <w:szCs w:val="16"/>
              </w:rPr>
            </w:pPr>
            <w:r w:rsidRPr="00F909A0">
              <w:rPr>
                <w:sz w:val="16"/>
                <w:szCs w:val="16"/>
              </w:rPr>
              <w:t>9</w:t>
            </w:r>
          </w:p>
        </w:tc>
        <w:tc>
          <w:tcPr>
            <w:tcW w:w="576" w:type="dxa"/>
            <w:shd w:val="clear" w:color="auto" w:fill="auto"/>
            <w:vAlign w:val="center"/>
          </w:tcPr>
          <w:p w14:paraId="414C7036" w14:textId="77777777" w:rsidR="00F909A0" w:rsidRPr="00F909A0" w:rsidRDefault="00F909A0" w:rsidP="00B56B65">
            <w:pPr>
              <w:spacing w:before="20" w:after="20"/>
              <w:jc w:val="right"/>
              <w:rPr>
                <w:sz w:val="16"/>
                <w:szCs w:val="16"/>
              </w:rPr>
            </w:pPr>
            <w:r w:rsidRPr="00F909A0">
              <w:rPr>
                <w:sz w:val="16"/>
                <w:szCs w:val="16"/>
              </w:rPr>
              <w:t>0.4</w:t>
            </w:r>
          </w:p>
        </w:tc>
        <w:tc>
          <w:tcPr>
            <w:tcW w:w="1043" w:type="dxa"/>
            <w:tcBorders>
              <w:right w:val="single" w:sz="4" w:space="0" w:color="auto"/>
            </w:tcBorders>
            <w:shd w:val="clear" w:color="auto" w:fill="auto"/>
            <w:vAlign w:val="center"/>
          </w:tcPr>
          <w:p w14:paraId="2C79A8A7" w14:textId="77777777" w:rsidR="00F909A0" w:rsidRPr="00F909A0" w:rsidRDefault="00F909A0" w:rsidP="00B56B65">
            <w:pPr>
              <w:spacing w:before="20" w:after="20"/>
              <w:jc w:val="right"/>
              <w:rPr>
                <w:sz w:val="16"/>
                <w:szCs w:val="16"/>
              </w:rPr>
            </w:pPr>
            <w:r w:rsidRPr="00F909A0">
              <w:rPr>
                <w:sz w:val="16"/>
                <w:szCs w:val="16"/>
              </w:rPr>
              <w:t>(0.1, 0.6)</w:t>
            </w:r>
          </w:p>
        </w:tc>
        <w:tc>
          <w:tcPr>
            <w:tcW w:w="536" w:type="dxa"/>
            <w:tcBorders>
              <w:left w:val="single" w:sz="4" w:space="0" w:color="auto"/>
            </w:tcBorders>
            <w:shd w:val="clear" w:color="auto" w:fill="auto"/>
            <w:vAlign w:val="center"/>
          </w:tcPr>
          <w:p w14:paraId="5247CAC2" w14:textId="77777777" w:rsidR="00F909A0" w:rsidRPr="00F909A0" w:rsidRDefault="00F909A0" w:rsidP="00B56B65">
            <w:pPr>
              <w:spacing w:before="20" w:after="20"/>
              <w:jc w:val="right"/>
              <w:rPr>
                <w:sz w:val="16"/>
                <w:szCs w:val="16"/>
              </w:rPr>
            </w:pPr>
            <w:r w:rsidRPr="00F909A0">
              <w:rPr>
                <w:sz w:val="16"/>
                <w:szCs w:val="16"/>
              </w:rPr>
              <w:t>7</w:t>
            </w:r>
          </w:p>
        </w:tc>
        <w:tc>
          <w:tcPr>
            <w:tcW w:w="576" w:type="dxa"/>
            <w:shd w:val="clear" w:color="auto" w:fill="auto"/>
            <w:vAlign w:val="center"/>
          </w:tcPr>
          <w:p w14:paraId="273A683E" w14:textId="77777777" w:rsidR="00F909A0" w:rsidRPr="00F909A0" w:rsidRDefault="00F909A0" w:rsidP="00B56B65">
            <w:pPr>
              <w:spacing w:before="20" w:after="20"/>
              <w:jc w:val="right"/>
              <w:rPr>
                <w:sz w:val="16"/>
                <w:szCs w:val="16"/>
              </w:rPr>
            </w:pPr>
            <w:r w:rsidRPr="00F909A0">
              <w:rPr>
                <w:sz w:val="16"/>
                <w:szCs w:val="16"/>
              </w:rPr>
              <w:t>0.3</w:t>
            </w:r>
          </w:p>
        </w:tc>
        <w:tc>
          <w:tcPr>
            <w:tcW w:w="1043" w:type="dxa"/>
            <w:tcBorders>
              <w:right w:val="single" w:sz="4" w:space="0" w:color="auto"/>
            </w:tcBorders>
            <w:shd w:val="clear" w:color="auto" w:fill="auto"/>
            <w:vAlign w:val="center"/>
          </w:tcPr>
          <w:p w14:paraId="06BDDE5B" w14:textId="77777777" w:rsidR="00F909A0" w:rsidRPr="00F909A0" w:rsidRDefault="00F909A0" w:rsidP="00B56B65">
            <w:pPr>
              <w:spacing w:before="20" w:after="20"/>
              <w:jc w:val="right"/>
              <w:rPr>
                <w:sz w:val="16"/>
                <w:szCs w:val="16"/>
              </w:rPr>
            </w:pPr>
            <w:r w:rsidRPr="00F909A0">
              <w:rPr>
                <w:sz w:val="16"/>
                <w:szCs w:val="16"/>
              </w:rPr>
              <w:t>(0.0, 0.8)</w:t>
            </w:r>
          </w:p>
        </w:tc>
        <w:tc>
          <w:tcPr>
            <w:tcW w:w="536" w:type="dxa"/>
            <w:tcBorders>
              <w:left w:val="single" w:sz="4" w:space="0" w:color="auto"/>
            </w:tcBorders>
            <w:shd w:val="clear" w:color="auto" w:fill="auto"/>
            <w:vAlign w:val="center"/>
          </w:tcPr>
          <w:p w14:paraId="3D07F5A4" w14:textId="77777777" w:rsidR="00F909A0" w:rsidRPr="00F909A0" w:rsidRDefault="00F909A0" w:rsidP="00B56B65">
            <w:pPr>
              <w:spacing w:before="20" w:after="20"/>
              <w:jc w:val="right"/>
              <w:rPr>
                <w:sz w:val="16"/>
                <w:szCs w:val="16"/>
              </w:rPr>
            </w:pPr>
            <w:r w:rsidRPr="00F909A0">
              <w:rPr>
                <w:sz w:val="16"/>
                <w:szCs w:val="16"/>
              </w:rPr>
              <w:t>5</w:t>
            </w:r>
          </w:p>
        </w:tc>
        <w:tc>
          <w:tcPr>
            <w:tcW w:w="576" w:type="dxa"/>
            <w:shd w:val="clear" w:color="auto" w:fill="auto"/>
            <w:vAlign w:val="center"/>
          </w:tcPr>
          <w:p w14:paraId="75677156" w14:textId="77777777" w:rsidR="00F909A0" w:rsidRPr="00F909A0" w:rsidRDefault="00F909A0" w:rsidP="00B56B65">
            <w:pPr>
              <w:spacing w:before="20" w:after="20"/>
              <w:jc w:val="right"/>
              <w:rPr>
                <w:sz w:val="16"/>
                <w:szCs w:val="16"/>
              </w:rPr>
            </w:pPr>
            <w:r w:rsidRPr="00F909A0">
              <w:rPr>
                <w:sz w:val="16"/>
                <w:szCs w:val="16"/>
              </w:rPr>
              <w:t>0.3</w:t>
            </w:r>
          </w:p>
        </w:tc>
        <w:tc>
          <w:tcPr>
            <w:tcW w:w="1123" w:type="dxa"/>
            <w:shd w:val="clear" w:color="auto" w:fill="auto"/>
            <w:vAlign w:val="center"/>
          </w:tcPr>
          <w:p w14:paraId="1C73EB80" w14:textId="77777777" w:rsidR="00F909A0" w:rsidRPr="00F909A0" w:rsidRDefault="00F909A0" w:rsidP="00B56B65">
            <w:pPr>
              <w:spacing w:before="20" w:after="20"/>
              <w:jc w:val="right"/>
              <w:rPr>
                <w:sz w:val="16"/>
                <w:szCs w:val="16"/>
              </w:rPr>
            </w:pPr>
            <w:r w:rsidRPr="00F909A0">
              <w:rPr>
                <w:sz w:val="16"/>
                <w:szCs w:val="16"/>
              </w:rPr>
              <w:t>(0.0, 0.6)</w:t>
            </w:r>
          </w:p>
        </w:tc>
      </w:tr>
      <w:tr w:rsidR="00F909A0" w:rsidRPr="007B4EF8" w14:paraId="2F153335" w14:textId="77777777" w:rsidTr="00826105">
        <w:trPr>
          <w:jc w:val="center"/>
        </w:trPr>
        <w:tc>
          <w:tcPr>
            <w:tcW w:w="1985" w:type="dxa"/>
            <w:shd w:val="clear" w:color="auto" w:fill="auto"/>
            <w:vAlign w:val="center"/>
          </w:tcPr>
          <w:p w14:paraId="764A1377" w14:textId="77777777" w:rsidR="00F909A0" w:rsidRDefault="00F909A0" w:rsidP="00B56B65">
            <w:pPr>
              <w:spacing w:before="20" w:after="20"/>
              <w:rPr>
                <w:color w:val="000000"/>
                <w:sz w:val="16"/>
                <w:szCs w:val="16"/>
              </w:rPr>
            </w:pPr>
          </w:p>
        </w:tc>
        <w:tc>
          <w:tcPr>
            <w:tcW w:w="2693" w:type="dxa"/>
            <w:shd w:val="clear" w:color="auto" w:fill="auto"/>
            <w:vAlign w:val="center"/>
          </w:tcPr>
          <w:p w14:paraId="12D9BA56" w14:textId="77777777" w:rsidR="00F909A0" w:rsidRDefault="00F909A0" w:rsidP="00B56B65">
            <w:pPr>
              <w:spacing w:before="20" w:after="20"/>
              <w:rPr>
                <w:color w:val="000000"/>
                <w:sz w:val="16"/>
                <w:szCs w:val="16"/>
              </w:rPr>
            </w:pPr>
            <w:r>
              <w:rPr>
                <w:color w:val="000000"/>
                <w:sz w:val="16"/>
                <w:szCs w:val="16"/>
              </w:rPr>
              <w:t>Separate betting money and stopping when used</w:t>
            </w:r>
          </w:p>
        </w:tc>
        <w:tc>
          <w:tcPr>
            <w:tcW w:w="536" w:type="dxa"/>
            <w:shd w:val="clear" w:color="auto" w:fill="auto"/>
            <w:vAlign w:val="center"/>
          </w:tcPr>
          <w:p w14:paraId="45CE43B1" w14:textId="77777777" w:rsidR="00F909A0" w:rsidRPr="00F909A0" w:rsidRDefault="00F909A0" w:rsidP="00B56B65">
            <w:pPr>
              <w:spacing w:before="20" w:after="20"/>
              <w:jc w:val="right"/>
              <w:rPr>
                <w:sz w:val="16"/>
                <w:szCs w:val="16"/>
              </w:rPr>
            </w:pPr>
            <w:r w:rsidRPr="00F909A0">
              <w:rPr>
                <w:sz w:val="16"/>
                <w:szCs w:val="16"/>
              </w:rPr>
              <w:t>153</w:t>
            </w:r>
          </w:p>
        </w:tc>
        <w:tc>
          <w:tcPr>
            <w:tcW w:w="576" w:type="dxa"/>
            <w:shd w:val="clear" w:color="auto" w:fill="auto"/>
            <w:vAlign w:val="center"/>
          </w:tcPr>
          <w:p w14:paraId="1507BDF6" w14:textId="77777777" w:rsidR="00F909A0" w:rsidRPr="00F909A0" w:rsidRDefault="00F909A0" w:rsidP="00B56B65">
            <w:pPr>
              <w:spacing w:before="20" w:after="20"/>
              <w:jc w:val="right"/>
              <w:rPr>
                <w:sz w:val="16"/>
                <w:szCs w:val="16"/>
              </w:rPr>
            </w:pPr>
            <w:r w:rsidRPr="00F909A0">
              <w:rPr>
                <w:sz w:val="16"/>
                <w:szCs w:val="16"/>
              </w:rPr>
              <w:t>3.4</w:t>
            </w:r>
          </w:p>
        </w:tc>
        <w:tc>
          <w:tcPr>
            <w:tcW w:w="1043" w:type="dxa"/>
            <w:tcBorders>
              <w:right w:val="single" w:sz="4" w:space="0" w:color="auto"/>
            </w:tcBorders>
            <w:shd w:val="clear" w:color="auto" w:fill="auto"/>
            <w:vAlign w:val="center"/>
          </w:tcPr>
          <w:p w14:paraId="650F45FB" w14:textId="77777777" w:rsidR="00F909A0" w:rsidRPr="00F909A0" w:rsidRDefault="00F909A0" w:rsidP="00B56B65">
            <w:pPr>
              <w:spacing w:before="20" w:after="20"/>
              <w:jc w:val="right"/>
              <w:rPr>
                <w:sz w:val="16"/>
                <w:szCs w:val="16"/>
              </w:rPr>
            </w:pPr>
            <w:r w:rsidRPr="00F909A0">
              <w:rPr>
                <w:sz w:val="16"/>
                <w:szCs w:val="16"/>
              </w:rPr>
              <w:t>(2.7, 4.1)</w:t>
            </w:r>
          </w:p>
        </w:tc>
        <w:tc>
          <w:tcPr>
            <w:tcW w:w="536" w:type="dxa"/>
            <w:tcBorders>
              <w:left w:val="single" w:sz="4" w:space="0" w:color="auto"/>
            </w:tcBorders>
            <w:shd w:val="clear" w:color="auto" w:fill="auto"/>
            <w:vAlign w:val="center"/>
          </w:tcPr>
          <w:p w14:paraId="15FC9031" w14:textId="77777777" w:rsidR="00F909A0" w:rsidRPr="00F909A0" w:rsidRDefault="00F909A0" w:rsidP="00B56B65">
            <w:pPr>
              <w:spacing w:before="20" w:after="20"/>
              <w:jc w:val="right"/>
              <w:rPr>
                <w:sz w:val="16"/>
                <w:szCs w:val="16"/>
              </w:rPr>
            </w:pPr>
            <w:r w:rsidRPr="00F909A0">
              <w:rPr>
                <w:sz w:val="16"/>
                <w:szCs w:val="16"/>
              </w:rPr>
              <w:t>48</w:t>
            </w:r>
          </w:p>
        </w:tc>
        <w:tc>
          <w:tcPr>
            <w:tcW w:w="576" w:type="dxa"/>
            <w:shd w:val="clear" w:color="auto" w:fill="auto"/>
            <w:vAlign w:val="center"/>
          </w:tcPr>
          <w:p w14:paraId="153471C2" w14:textId="77777777" w:rsidR="00F909A0" w:rsidRPr="00F909A0" w:rsidRDefault="00F909A0" w:rsidP="00B56B65">
            <w:pPr>
              <w:spacing w:before="20" w:after="20"/>
              <w:jc w:val="right"/>
              <w:rPr>
                <w:sz w:val="16"/>
                <w:szCs w:val="16"/>
              </w:rPr>
            </w:pPr>
            <w:r w:rsidRPr="00F909A0">
              <w:rPr>
                <w:sz w:val="16"/>
                <w:szCs w:val="16"/>
              </w:rPr>
              <w:t>1.9</w:t>
            </w:r>
          </w:p>
        </w:tc>
        <w:tc>
          <w:tcPr>
            <w:tcW w:w="1043" w:type="dxa"/>
            <w:tcBorders>
              <w:right w:val="single" w:sz="4" w:space="0" w:color="auto"/>
            </w:tcBorders>
            <w:shd w:val="clear" w:color="auto" w:fill="auto"/>
            <w:vAlign w:val="center"/>
          </w:tcPr>
          <w:p w14:paraId="17FCDDAB" w14:textId="77777777" w:rsidR="00F909A0" w:rsidRPr="00F909A0" w:rsidRDefault="00F909A0" w:rsidP="00B56B65">
            <w:pPr>
              <w:spacing w:before="20" w:after="20"/>
              <w:jc w:val="right"/>
              <w:rPr>
                <w:sz w:val="16"/>
                <w:szCs w:val="16"/>
              </w:rPr>
            </w:pPr>
            <w:r w:rsidRPr="00F909A0">
              <w:rPr>
                <w:sz w:val="16"/>
                <w:szCs w:val="16"/>
              </w:rPr>
              <w:t>(1.2, 2.5)</w:t>
            </w:r>
          </w:p>
        </w:tc>
        <w:tc>
          <w:tcPr>
            <w:tcW w:w="536" w:type="dxa"/>
            <w:tcBorders>
              <w:left w:val="single" w:sz="4" w:space="0" w:color="auto"/>
            </w:tcBorders>
            <w:shd w:val="clear" w:color="auto" w:fill="auto"/>
            <w:vAlign w:val="center"/>
          </w:tcPr>
          <w:p w14:paraId="5AD0B9D1" w14:textId="77777777" w:rsidR="00F909A0" w:rsidRPr="00F909A0" w:rsidRDefault="00F909A0" w:rsidP="00B56B65">
            <w:pPr>
              <w:spacing w:before="20" w:after="20"/>
              <w:jc w:val="right"/>
              <w:rPr>
                <w:sz w:val="16"/>
                <w:szCs w:val="16"/>
              </w:rPr>
            </w:pPr>
            <w:r w:rsidRPr="00F909A0">
              <w:rPr>
                <w:sz w:val="16"/>
                <w:szCs w:val="16"/>
              </w:rPr>
              <w:t>34</w:t>
            </w:r>
          </w:p>
        </w:tc>
        <w:tc>
          <w:tcPr>
            <w:tcW w:w="576" w:type="dxa"/>
            <w:shd w:val="clear" w:color="auto" w:fill="auto"/>
            <w:vAlign w:val="center"/>
          </w:tcPr>
          <w:p w14:paraId="147578D2" w14:textId="77777777" w:rsidR="00F909A0" w:rsidRPr="00F909A0" w:rsidRDefault="00F909A0" w:rsidP="00B56B65">
            <w:pPr>
              <w:spacing w:before="20" w:after="20"/>
              <w:jc w:val="right"/>
              <w:rPr>
                <w:sz w:val="16"/>
                <w:szCs w:val="16"/>
              </w:rPr>
            </w:pPr>
            <w:r w:rsidRPr="00F909A0">
              <w:rPr>
                <w:sz w:val="16"/>
                <w:szCs w:val="16"/>
              </w:rPr>
              <w:t>1.5</w:t>
            </w:r>
          </w:p>
        </w:tc>
        <w:tc>
          <w:tcPr>
            <w:tcW w:w="1043" w:type="dxa"/>
            <w:tcBorders>
              <w:right w:val="single" w:sz="4" w:space="0" w:color="auto"/>
            </w:tcBorders>
            <w:shd w:val="clear" w:color="auto" w:fill="auto"/>
            <w:vAlign w:val="center"/>
          </w:tcPr>
          <w:p w14:paraId="79A8C75C" w14:textId="77777777" w:rsidR="00F909A0" w:rsidRPr="00F909A0" w:rsidRDefault="00F909A0" w:rsidP="00B56B65">
            <w:pPr>
              <w:spacing w:before="20" w:after="20"/>
              <w:jc w:val="right"/>
              <w:rPr>
                <w:sz w:val="16"/>
                <w:szCs w:val="16"/>
              </w:rPr>
            </w:pPr>
            <w:r w:rsidRPr="00F909A0">
              <w:rPr>
                <w:sz w:val="16"/>
                <w:szCs w:val="16"/>
              </w:rPr>
              <w:t>(0.9, 2.2)</w:t>
            </w:r>
          </w:p>
        </w:tc>
        <w:tc>
          <w:tcPr>
            <w:tcW w:w="536" w:type="dxa"/>
            <w:tcBorders>
              <w:left w:val="single" w:sz="4" w:space="0" w:color="auto"/>
            </w:tcBorders>
            <w:shd w:val="clear" w:color="auto" w:fill="auto"/>
            <w:vAlign w:val="center"/>
          </w:tcPr>
          <w:p w14:paraId="5AF501AB" w14:textId="77777777" w:rsidR="00F909A0" w:rsidRPr="00F909A0" w:rsidRDefault="00F909A0" w:rsidP="00B56B65">
            <w:pPr>
              <w:spacing w:before="20" w:after="20"/>
              <w:jc w:val="right"/>
              <w:rPr>
                <w:sz w:val="16"/>
                <w:szCs w:val="16"/>
              </w:rPr>
            </w:pPr>
            <w:r w:rsidRPr="00F909A0">
              <w:rPr>
                <w:sz w:val="16"/>
                <w:szCs w:val="16"/>
              </w:rPr>
              <w:t>34</w:t>
            </w:r>
          </w:p>
        </w:tc>
        <w:tc>
          <w:tcPr>
            <w:tcW w:w="576" w:type="dxa"/>
            <w:shd w:val="clear" w:color="auto" w:fill="auto"/>
            <w:vAlign w:val="center"/>
          </w:tcPr>
          <w:p w14:paraId="044DD0AC" w14:textId="77777777" w:rsidR="00F909A0" w:rsidRPr="00F909A0" w:rsidRDefault="00F909A0" w:rsidP="00B56B65">
            <w:pPr>
              <w:spacing w:before="20" w:after="20"/>
              <w:jc w:val="right"/>
              <w:rPr>
                <w:sz w:val="16"/>
                <w:szCs w:val="16"/>
              </w:rPr>
            </w:pPr>
            <w:r w:rsidRPr="00F909A0">
              <w:rPr>
                <w:sz w:val="16"/>
                <w:szCs w:val="16"/>
              </w:rPr>
              <w:t>1.8</w:t>
            </w:r>
          </w:p>
        </w:tc>
        <w:tc>
          <w:tcPr>
            <w:tcW w:w="1123" w:type="dxa"/>
            <w:shd w:val="clear" w:color="auto" w:fill="auto"/>
            <w:vAlign w:val="center"/>
          </w:tcPr>
          <w:p w14:paraId="384AF7E7" w14:textId="77777777" w:rsidR="00F909A0" w:rsidRPr="00F909A0" w:rsidRDefault="00F909A0" w:rsidP="00B56B65">
            <w:pPr>
              <w:spacing w:before="20" w:after="20"/>
              <w:jc w:val="right"/>
              <w:rPr>
                <w:sz w:val="16"/>
                <w:szCs w:val="16"/>
              </w:rPr>
            </w:pPr>
            <w:r w:rsidRPr="00F909A0">
              <w:rPr>
                <w:sz w:val="16"/>
                <w:szCs w:val="16"/>
              </w:rPr>
              <w:t>(1.1, 2.5)</w:t>
            </w:r>
          </w:p>
        </w:tc>
      </w:tr>
      <w:tr w:rsidR="00F909A0" w:rsidRPr="007B4EF8" w14:paraId="0D692504" w14:textId="77777777" w:rsidTr="00B56B65">
        <w:trPr>
          <w:jc w:val="center"/>
        </w:trPr>
        <w:tc>
          <w:tcPr>
            <w:tcW w:w="1985" w:type="dxa"/>
            <w:shd w:val="clear" w:color="auto" w:fill="auto"/>
            <w:vAlign w:val="center"/>
          </w:tcPr>
          <w:p w14:paraId="5B5A4D5F" w14:textId="77777777" w:rsidR="00F909A0" w:rsidRDefault="00F909A0" w:rsidP="00B56B65">
            <w:pPr>
              <w:spacing w:before="20" w:after="20"/>
              <w:rPr>
                <w:color w:val="000000"/>
                <w:sz w:val="16"/>
                <w:szCs w:val="16"/>
              </w:rPr>
            </w:pPr>
          </w:p>
        </w:tc>
        <w:tc>
          <w:tcPr>
            <w:tcW w:w="2693" w:type="dxa"/>
            <w:shd w:val="clear" w:color="auto" w:fill="auto"/>
            <w:vAlign w:val="center"/>
          </w:tcPr>
          <w:p w14:paraId="32571C8A" w14:textId="77777777" w:rsidR="00F909A0" w:rsidRDefault="00F909A0" w:rsidP="00B56B65">
            <w:pPr>
              <w:spacing w:before="20" w:after="20"/>
              <w:rPr>
                <w:color w:val="000000"/>
                <w:sz w:val="16"/>
                <w:szCs w:val="16"/>
              </w:rPr>
            </w:pPr>
            <w:r>
              <w:rPr>
                <w:color w:val="000000"/>
                <w:sz w:val="16"/>
                <w:szCs w:val="16"/>
              </w:rPr>
              <w:t>Leave ATM/credit cards at home</w:t>
            </w:r>
          </w:p>
        </w:tc>
        <w:tc>
          <w:tcPr>
            <w:tcW w:w="536" w:type="dxa"/>
            <w:shd w:val="clear" w:color="auto" w:fill="auto"/>
            <w:vAlign w:val="center"/>
          </w:tcPr>
          <w:p w14:paraId="52EEAA9B" w14:textId="77777777" w:rsidR="00F909A0" w:rsidRPr="00F909A0" w:rsidRDefault="00F909A0" w:rsidP="00B56B65">
            <w:pPr>
              <w:spacing w:before="20" w:after="20"/>
              <w:jc w:val="right"/>
              <w:rPr>
                <w:sz w:val="16"/>
                <w:szCs w:val="16"/>
              </w:rPr>
            </w:pPr>
            <w:r w:rsidRPr="00F909A0">
              <w:rPr>
                <w:sz w:val="16"/>
                <w:szCs w:val="16"/>
              </w:rPr>
              <w:t>33</w:t>
            </w:r>
          </w:p>
        </w:tc>
        <w:tc>
          <w:tcPr>
            <w:tcW w:w="576" w:type="dxa"/>
            <w:shd w:val="clear" w:color="auto" w:fill="auto"/>
            <w:vAlign w:val="center"/>
          </w:tcPr>
          <w:p w14:paraId="2913D94C" w14:textId="77777777" w:rsidR="00F909A0" w:rsidRPr="00F909A0" w:rsidRDefault="00F909A0" w:rsidP="00B56B65">
            <w:pPr>
              <w:spacing w:before="20" w:after="20"/>
              <w:jc w:val="right"/>
              <w:rPr>
                <w:sz w:val="16"/>
                <w:szCs w:val="16"/>
              </w:rPr>
            </w:pPr>
            <w:r w:rsidRPr="00F909A0">
              <w:rPr>
                <w:sz w:val="16"/>
                <w:szCs w:val="16"/>
              </w:rPr>
              <w:t>0.7</w:t>
            </w:r>
          </w:p>
        </w:tc>
        <w:tc>
          <w:tcPr>
            <w:tcW w:w="1043" w:type="dxa"/>
            <w:tcBorders>
              <w:right w:val="single" w:sz="4" w:space="0" w:color="auto"/>
            </w:tcBorders>
            <w:shd w:val="clear" w:color="auto" w:fill="auto"/>
            <w:vAlign w:val="center"/>
          </w:tcPr>
          <w:p w14:paraId="7983FC0B" w14:textId="77777777" w:rsidR="00F909A0" w:rsidRPr="00F909A0" w:rsidRDefault="00F909A0" w:rsidP="00B56B65">
            <w:pPr>
              <w:spacing w:before="20" w:after="20"/>
              <w:jc w:val="right"/>
              <w:rPr>
                <w:sz w:val="16"/>
                <w:szCs w:val="16"/>
              </w:rPr>
            </w:pPr>
            <w:r w:rsidRPr="00F909A0">
              <w:rPr>
                <w:sz w:val="16"/>
                <w:szCs w:val="16"/>
              </w:rPr>
              <w:t>(0.5, 1.0)</w:t>
            </w:r>
          </w:p>
        </w:tc>
        <w:tc>
          <w:tcPr>
            <w:tcW w:w="536" w:type="dxa"/>
            <w:tcBorders>
              <w:left w:val="single" w:sz="4" w:space="0" w:color="auto"/>
            </w:tcBorders>
            <w:shd w:val="clear" w:color="auto" w:fill="auto"/>
            <w:vAlign w:val="center"/>
          </w:tcPr>
          <w:p w14:paraId="57691E1E" w14:textId="77777777" w:rsidR="00F909A0" w:rsidRPr="00F909A0" w:rsidRDefault="00F909A0" w:rsidP="00B56B65">
            <w:pPr>
              <w:spacing w:before="20" w:after="20"/>
              <w:jc w:val="right"/>
              <w:rPr>
                <w:sz w:val="16"/>
                <w:szCs w:val="16"/>
              </w:rPr>
            </w:pPr>
            <w:r w:rsidRPr="00F909A0">
              <w:rPr>
                <w:sz w:val="16"/>
                <w:szCs w:val="16"/>
              </w:rPr>
              <w:t>19</w:t>
            </w:r>
          </w:p>
        </w:tc>
        <w:tc>
          <w:tcPr>
            <w:tcW w:w="576" w:type="dxa"/>
            <w:shd w:val="clear" w:color="auto" w:fill="auto"/>
            <w:vAlign w:val="center"/>
          </w:tcPr>
          <w:p w14:paraId="76B542EE" w14:textId="77777777" w:rsidR="00F909A0" w:rsidRPr="00F909A0" w:rsidRDefault="00F909A0" w:rsidP="00B56B65">
            <w:pPr>
              <w:spacing w:before="20" w:after="20"/>
              <w:jc w:val="right"/>
              <w:rPr>
                <w:sz w:val="16"/>
                <w:szCs w:val="16"/>
              </w:rPr>
            </w:pPr>
            <w:r w:rsidRPr="00F909A0">
              <w:rPr>
                <w:sz w:val="16"/>
                <w:szCs w:val="16"/>
              </w:rPr>
              <w:t>0.7</w:t>
            </w:r>
          </w:p>
        </w:tc>
        <w:tc>
          <w:tcPr>
            <w:tcW w:w="1043" w:type="dxa"/>
            <w:tcBorders>
              <w:right w:val="single" w:sz="4" w:space="0" w:color="auto"/>
            </w:tcBorders>
            <w:shd w:val="clear" w:color="auto" w:fill="auto"/>
            <w:vAlign w:val="center"/>
          </w:tcPr>
          <w:p w14:paraId="22D5A318" w14:textId="77777777" w:rsidR="00F909A0" w:rsidRPr="00F909A0" w:rsidRDefault="00F909A0" w:rsidP="00B56B65">
            <w:pPr>
              <w:spacing w:before="20" w:after="20"/>
              <w:jc w:val="right"/>
              <w:rPr>
                <w:sz w:val="16"/>
                <w:szCs w:val="16"/>
              </w:rPr>
            </w:pPr>
            <w:r w:rsidRPr="00F909A0">
              <w:rPr>
                <w:sz w:val="16"/>
                <w:szCs w:val="16"/>
              </w:rPr>
              <w:t>(0.3, 1.1)</w:t>
            </w:r>
          </w:p>
        </w:tc>
        <w:tc>
          <w:tcPr>
            <w:tcW w:w="536" w:type="dxa"/>
            <w:tcBorders>
              <w:left w:val="single" w:sz="4" w:space="0" w:color="auto"/>
            </w:tcBorders>
            <w:shd w:val="clear" w:color="auto" w:fill="auto"/>
            <w:vAlign w:val="center"/>
          </w:tcPr>
          <w:p w14:paraId="78DE824B" w14:textId="77777777" w:rsidR="00F909A0" w:rsidRPr="00F909A0" w:rsidRDefault="00F909A0" w:rsidP="00B56B65">
            <w:pPr>
              <w:spacing w:before="20" w:after="20"/>
              <w:jc w:val="right"/>
              <w:rPr>
                <w:sz w:val="16"/>
                <w:szCs w:val="16"/>
              </w:rPr>
            </w:pPr>
            <w:r w:rsidRPr="00F909A0">
              <w:rPr>
                <w:sz w:val="16"/>
                <w:szCs w:val="16"/>
              </w:rPr>
              <w:t>13</w:t>
            </w:r>
          </w:p>
        </w:tc>
        <w:tc>
          <w:tcPr>
            <w:tcW w:w="576" w:type="dxa"/>
            <w:shd w:val="clear" w:color="auto" w:fill="auto"/>
            <w:vAlign w:val="center"/>
          </w:tcPr>
          <w:p w14:paraId="0B396864" w14:textId="77777777" w:rsidR="00F909A0" w:rsidRPr="00F909A0" w:rsidRDefault="00F909A0" w:rsidP="00B56B65">
            <w:pPr>
              <w:spacing w:before="20" w:after="20"/>
              <w:jc w:val="right"/>
              <w:rPr>
                <w:sz w:val="16"/>
                <w:szCs w:val="16"/>
              </w:rPr>
            </w:pPr>
            <w:r w:rsidRPr="00F909A0">
              <w:rPr>
                <w:sz w:val="16"/>
                <w:szCs w:val="16"/>
              </w:rPr>
              <w:t>0.6</w:t>
            </w:r>
          </w:p>
        </w:tc>
        <w:tc>
          <w:tcPr>
            <w:tcW w:w="1043" w:type="dxa"/>
            <w:tcBorders>
              <w:right w:val="single" w:sz="4" w:space="0" w:color="auto"/>
            </w:tcBorders>
            <w:shd w:val="clear" w:color="auto" w:fill="auto"/>
            <w:vAlign w:val="center"/>
          </w:tcPr>
          <w:p w14:paraId="34668298" w14:textId="77777777" w:rsidR="00F909A0" w:rsidRPr="00F909A0" w:rsidRDefault="00F909A0" w:rsidP="00B56B65">
            <w:pPr>
              <w:spacing w:before="20" w:after="20"/>
              <w:jc w:val="right"/>
              <w:rPr>
                <w:sz w:val="16"/>
                <w:szCs w:val="16"/>
              </w:rPr>
            </w:pPr>
            <w:r w:rsidRPr="00F909A0">
              <w:rPr>
                <w:sz w:val="16"/>
                <w:szCs w:val="16"/>
              </w:rPr>
              <w:t>(0.1, 1.1)</w:t>
            </w:r>
          </w:p>
        </w:tc>
        <w:tc>
          <w:tcPr>
            <w:tcW w:w="536" w:type="dxa"/>
            <w:tcBorders>
              <w:left w:val="single" w:sz="4" w:space="0" w:color="auto"/>
            </w:tcBorders>
            <w:shd w:val="clear" w:color="auto" w:fill="auto"/>
            <w:vAlign w:val="center"/>
          </w:tcPr>
          <w:p w14:paraId="5BACD8E2" w14:textId="77777777" w:rsidR="00F909A0" w:rsidRPr="00F909A0" w:rsidRDefault="00F909A0" w:rsidP="00B56B65">
            <w:pPr>
              <w:spacing w:before="20" w:after="20"/>
              <w:jc w:val="right"/>
              <w:rPr>
                <w:sz w:val="16"/>
                <w:szCs w:val="16"/>
              </w:rPr>
            </w:pPr>
            <w:r w:rsidRPr="00F909A0">
              <w:rPr>
                <w:sz w:val="16"/>
                <w:szCs w:val="16"/>
              </w:rPr>
              <w:t>14</w:t>
            </w:r>
          </w:p>
        </w:tc>
        <w:tc>
          <w:tcPr>
            <w:tcW w:w="576" w:type="dxa"/>
            <w:shd w:val="clear" w:color="auto" w:fill="auto"/>
            <w:vAlign w:val="center"/>
          </w:tcPr>
          <w:p w14:paraId="110943E0" w14:textId="77777777" w:rsidR="00F909A0" w:rsidRPr="00F909A0" w:rsidRDefault="00F909A0" w:rsidP="00B56B65">
            <w:pPr>
              <w:spacing w:before="20" w:after="20"/>
              <w:jc w:val="right"/>
              <w:rPr>
                <w:sz w:val="16"/>
                <w:szCs w:val="16"/>
              </w:rPr>
            </w:pPr>
            <w:r w:rsidRPr="00F909A0">
              <w:rPr>
                <w:sz w:val="16"/>
                <w:szCs w:val="16"/>
              </w:rPr>
              <w:t>0.7</w:t>
            </w:r>
          </w:p>
        </w:tc>
        <w:tc>
          <w:tcPr>
            <w:tcW w:w="1123" w:type="dxa"/>
            <w:shd w:val="clear" w:color="auto" w:fill="auto"/>
            <w:vAlign w:val="center"/>
          </w:tcPr>
          <w:p w14:paraId="2B7D9FD3" w14:textId="77777777" w:rsidR="00F909A0" w:rsidRPr="00F909A0" w:rsidRDefault="00F909A0" w:rsidP="00B56B65">
            <w:pPr>
              <w:spacing w:before="20" w:after="20"/>
              <w:jc w:val="right"/>
              <w:rPr>
                <w:sz w:val="16"/>
                <w:szCs w:val="16"/>
              </w:rPr>
            </w:pPr>
            <w:r w:rsidRPr="00F909A0">
              <w:rPr>
                <w:sz w:val="16"/>
                <w:szCs w:val="16"/>
              </w:rPr>
              <w:t>(0.3, 1.1)</w:t>
            </w:r>
          </w:p>
        </w:tc>
      </w:tr>
      <w:tr w:rsidR="00F909A0" w:rsidRPr="007B4EF8" w14:paraId="20C867C2" w14:textId="77777777" w:rsidTr="00B56B65">
        <w:trPr>
          <w:jc w:val="center"/>
        </w:trPr>
        <w:tc>
          <w:tcPr>
            <w:tcW w:w="1985" w:type="dxa"/>
            <w:shd w:val="clear" w:color="auto" w:fill="auto"/>
            <w:vAlign w:val="center"/>
          </w:tcPr>
          <w:p w14:paraId="15BDC93F" w14:textId="77777777" w:rsidR="00F909A0" w:rsidRDefault="00F909A0" w:rsidP="00B56B65">
            <w:pPr>
              <w:spacing w:before="20" w:after="20"/>
              <w:rPr>
                <w:color w:val="000000"/>
                <w:sz w:val="16"/>
                <w:szCs w:val="16"/>
              </w:rPr>
            </w:pPr>
          </w:p>
        </w:tc>
        <w:tc>
          <w:tcPr>
            <w:tcW w:w="2693" w:type="dxa"/>
            <w:shd w:val="clear" w:color="auto" w:fill="auto"/>
            <w:vAlign w:val="center"/>
          </w:tcPr>
          <w:p w14:paraId="2CDE319B" w14:textId="77777777" w:rsidR="00F909A0" w:rsidRDefault="00F909A0" w:rsidP="00B56B65">
            <w:pPr>
              <w:spacing w:before="20" w:after="20"/>
              <w:rPr>
                <w:color w:val="000000"/>
                <w:sz w:val="16"/>
                <w:szCs w:val="16"/>
              </w:rPr>
            </w:pPr>
            <w:r>
              <w:rPr>
                <w:color w:val="000000"/>
                <w:sz w:val="16"/>
                <w:szCs w:val="16"/>
              </w:rPr>
              <w:t>Set a time limit</w:t>
            </w:r>
          </w:p>
        </w:tc>
        <w:tc>
          <w:tcPr>
            <w:tcW w:w="536" w:type="dxa"/>
            <w:shd w:val="clear" w:color="auto" w:fill="auto"/>
            <w:vAlign w:val="center"/>
          </w:tcPr>
          <w:p w14:paraId="6321D83B" w14:textId="77777777" w:rsidR="00F909A0" w:rsidRPr="00F909A0" w:rsidRDefault="00F909A0" w:rsidP="00B56B65">
            <w:pPr>
              <w:spacing w:before="20" w:after="20"/>
              <w:jc w:val="right"/>
              <w:rPr>
                <w:sz w:val="16"/>
                <w:szCs w:val="16"/>
              </w:rPr>
            </w:pPr>
            <w:r w:rsidRPr="00F909A0">
              <w:rPr>
                <w:sz w:val="16"/>
                <w:szCs w:val="16"/>
              </w:rPr>
              <w:t>57</w:t>
            </w:r>
          </w:p>
        </w:tc>
        <w:tc>
          <w:tcPr>
            <w:tcW w:w="576" w:type="dxa"/>
            <w:shd w:val="clear" w:color="auto" w:fill="auto"/>
            <w:vAlign w:val="center"/>
          </w:tcPr>
          <w:p w14:paraId="24712FDE" w14:textId="77777777" w:rsidR="00F909A0" w:rsidRPr="00F909A0" w:rsidRDefault="00F909A0" w:rsidP="00B56B65">
            <w:pPr>
              <w:spacing w:before="20" w:after="20"/>
              <w:jc w:val="right"/>
              <w:rPr>
                <w:sz w:val="16"/>
                <w:szCs w:val="16"/>
              </w:rPr>
            </w:pPr>
            <w:r w:rsidRPr="00F909A0">
              <w:rPr>
                <w:sz w:val="16"/>
                <w:szCs w:val="16"/>
              </w:rPr>
              <w:t>1.3</w:t>
            </w:r>
          </w:p>
        </w:tc>
        <w:tc>
          <w:tcPr>
            <w:tcW w:w="1043" w:type="dxa"/>
            <w:tcBorders>
              <w:right w:val="single" w:sz="4" w:space="0" w:color="auto"/>
            </w:tcBorders>
            <w:shd w:val="clear" w:color="auto" w:fill="auto"/>
            <w:vAlign w:val="center"/>
          </w:tcPr>
          <w:p w14:paraId="254628B9" w14:textId="77777777" w:rsidR="00F909A0" w:rsidRPr="00F909A0" w:rsidRDefault="00F909A0" w:rsidP="00B56B65">
            <w:pPr>
              <w:spacing w:before="20" w:after="20"/>
              <w:jc w:val="right"/>
              <w:rPr>
                <w:sz w:val="16"/>
                <w:szCs w:val="16"/>
              </w:rPr>
            </w:pPr>
            <w:r w:rsidRPr="00F909A0">
              <w:rPr>
                <w:sz w:val="16"/>
                <w:szCs w:val="16"/>
              </w:rPr>
              <w:t>(0.9, 1.7)</w:t>
            </w:r>
          </w:p>
        </w:tc>
        <w:tc>
          <w:tcPr>
            <w:tcW w:w="536" w:type="dxa"/>
            <w:tcBorders>
              <w:left w:val="single" w:sz="4" w:space="0" w:color="auto"/>
            </w:tcBorders>
            <w:shd w:val="clear" w:color="auto" w:fill="auto"/>
            <w:vAlign w:val="center"/>
          </w:tcPr>
          <w:p w14:paraId="0F950937" w14:textId="77777777" w:rsidR="00F909A0" w:rsidRPr="00F909A0" w:rsidRDefault="00F909A0" w:rsidP="00B56B65">
            <w:pPr>
              <w:spacing w:before="20" w:after="20"/>
              <w:jc w:val="right"/>
              <w:rPr>
                <w:sz w:val="16"/>
                <w:szCs w:val="16"/>
              </w:rPr>
            </w:pPr>
            <w:r w:rsidRPr="00F909A0">
              <w:rPr>
                <w:sz w:val="16"/>
                <w:szCs w:val="16"/>
              </w:rPr>
              <w:t>21</w:t>
            </w:r>
          </w:p>
        </w:tc>
        <w:tc>
          <w:tcPr>
            <w:tcW w:w="576" w:type="dxa"/>
            <w:shd w:val="clear" w:color="auto" w:fill="auto"/>
            <w:vAlign w:val="center"/>
          </w:tcPr>
          <w:p w14:paraId="638F4BCF" w14:textId="77777777" w:rsidR="00F909A0" w:rsidRPr="00F909A0" w:rsidRDefault="00F909A0" w:rsidP="00B56B65">
            <w:pPr>
              <w:spacing w:before="20" w:after="20"/>
              <w:jc w:val="right"/>
              <w:rPr>
                <w:sz w:val="16"/>
                <w:szCs w:val="16"/>
              </w:rPr>
            </w:pPr>
            <w:r w:rsidRPr="00F909A0">
              <w:rPr>
                <w:sz w:val="16"/>
                <w:szCs w:val="16"/>
              </w:rPr>
              <w:t>0.8</w:t>
            </w:r>
          </w:p>
        </w:tc>
        <w:tc>
          <w:tcPr>
            <w:tcW w:w="1043" w:type="dxa"/>
            <w:tcBorders>
              <w:right w:val="single" w:sz="4" w:space="0" w:color="auto"/>
            </w:tcBorders>
            <w:shd w:val="clear" w:color="auto" w:fill="auto"/>
            <w:vAlign w:val="center"/>
          </w:tcPr>
          <w:p w14:paraId="0B5C3352" w14:textId="77777777" w:rsidR="00F909A0" w:rsidRPr="00F909A0" w:rsidRDefault="00F909A0" w:rsidP="00B56B65">
            <w:pPr>
              <w:spacing w:before="20" w:after="20"/>
              <w:jc w:val="right"/>
              <w:rPr>
                <w:sz w:val="16"/>
                <w:szCs w:val="16"/>
              </w:rPr>
            </w:pPr>
            <w:r w:rsidRPr="00F909A0">
              <w:rPr>
                <w:sz w:val="16"/>
                <w:szCs w:val="16"/>
              </w:rPr>
              <w:t>(0.3, 1.3)</w:t>
            </w:r>
          </w:p>
        </w:tc>
        <w:tc>
          <w:tcPr>
            <w:tcW w:w="536" w:type="dxa"/>
            <w:tcBorders>
              <w:left w:val="single" w:sz="4" w:space="0" w:color="auto"/>
            </w:tcBorders>
            <w:shd w:val="clear" w:color="auto" w:fill="auto"/>
            <w:vAlign w:val="center"/>
          </w:tcPr>
          <w:p w14:paraId="6B299293" w14:textId="77777777" w:rsidR="00F909A0" w:rsidRPr="00F909A0" w:rsidRDefault="00F909A0" w:rsidP="00B56B65">
            <w:pPr>
              <w:spacing w:before="20" w:after="20"/>
              <w:jc w:val="right"/>
              <w:rPr>
                <w:sz w:val="16"/>
                <w:szCs w:val="16"/>
              </w:rPr>
            </w:pPr>
            <w:r w:rsidRPr="00F909A0">
              <w:rPr>
                <w:sz w:val="16"/>
                <w:szCs w:val="16"/>
              </w:rPr>
              <w:t>18</w:t>
            </w:r>
          </w:p>
        </w:tc>
        <w:tc>
          <w:tcPr>
            <w:tcW w:w="576" w:type="dxa"/>
            <w:shd w:val="clear" w:color="auto" w:fill="auto"/>
            <w:vAlign w:val="center"/>
          </w:tcPr>
          <w:p w14:paraId="34E8FDAD" w14:textId="77777777" w:rsidR="00F909A0" w:rsidRPr="00F909A0" w:rsidRDefault="00F909A0" w:rsidP="00B56B65">
            <w:pPr>
              <w:spacing w:before="20" w:after="20"/>
              <w:jc w:val="right"/>
              <w:rPr>
                <w:sz w:val="16"/>
                <w:szCs w:val="16"/>
              </w:rPr>
            </w:pPr>
            <w:r w:rsidRPr="00F909A0">
              <w:rPr>
                <w:sz w:val="16"/>
                <w:szCs w:val="16"/>
              </w:rPr>
              <w:t>0.8</w:t>
            </w:r>
          </w:p>
        </w:tc>
        <w:tc>
          <w:tcPr>
            <w:tcW w:w="1043" w:type="dxa"/>
            <w:tcBorders>
              <w:right w:val="single" w:sz="4" w:space="0" w:color="auto"/>
            </w:tcBorders>
            <w:shd w:val="clear" w:color="auto" w:fill="auto"/>
            <w:vAlign w:val="center"/>
          </w:tcPr>
          <w:p w14:paraId="69589B74" w14:textId="77777777" w:rsidR="00F909A0" w:rsidRPr="00F909A0" w:rsidRDefault="00F909A0" w:rsidP="00B56B65">
            <w:pPr>
              <w:spacing w:before="20" w:after="20"/>
              <w:jc w:val="right"/>
              <w:rPr>
                <w:sz w:val="16"/>
                <w:szCs w:val="16"/>
              </w:rPr>
            </w:pPr>
            <w:r w:rsidRPr="00F909A0">
              <w:rPr>
                <w:sz w:val="16"/>
                <w:szCs w:val="16"/>
              </w:rPr>
              <w:t>(0.3, 1.3)</w:t>
            </w:r>
          </w:p>
        </w:tc>
        <w:tc>
          <w:tcPr>
            <w:tcW w:w="536" w:type="dxa"/>
            <w:tcBorders>
              <w:left w:val="single" w:sz="4" w:space="0" w:color="auto"/>
            </w:tcBorders>
            <w:shd w:val="clear" w:color="auto" w:fill="auto"/>
            <w:vAlign w:val="center"/>
          </w:tcPr>
          <w:p w14:paraId="0750A788" w14:textId="77777777" w:rsidR="00F909A0" w:rsidRPr="00F909A0" w:rsidRDefault="00F909A0" w:rsidP="00B56B65">
            <w:pPr>
              <w:spacing w:before="20" w:after="20"/>
              <w:jc w:val="right"/>
              <w:rPr>
                <w:sz w:val="16"/>
                <w:szCs w:val="16"/>
              </w:rPr>
            </w:pPr>
            <w:r w:rsidRPr="00F909A0">
              <w:rPr>
                <w:sz w:val="16"/>
                <w:szCs w:val="16"/>
              </w:rPr>
              <w:t>14</w:t>
            </w:r>
          </w:p>
        </w:tc>
        <w:tc>
          <w:tcPr>
            <w:tcW w:w="576" w:type="dxa"/>
            <w:shd w:val="clear" w:color="auto" w:fill="auto"/>
            <w:vAlign w:val="center"/>
          </w:tcPr>
          <w:p w14:paraId="3C37BF95" w14:textId="77777777" w:rsidR="00F909A0" w:rsidRPr="00F909A0" w:rsidRDefault="00F909A0" w:rsidP="00B56B65">
            <w:pPr>
              <w:spacing w:before="20" w:after="20"/>
              <w:jc w:val="right"/>
              <w:rPr>
                <w:sz w:val="16"/>
                <w:szCs w:val="16"/>
              </w:rPr>
            </w:pPr>
            <w:r w:rsidRPr="00F909A0">
              <w:rPr>
                <w:sz w:val="16"/>
                <w:szCs w:val="16"/>
              </w:rPr>
              <w:t>0.8</w:t>
            </w:r>
          </w:p>
        </w:tc>
        <w:tc>
          <w:tcPr>
            <w:tcW w:w="1123" w:type="dxa"/>
            <w:shd w:val="clear" w:color="auto" w:fill="auto"/>
            <w:vAlign w:val="center"/>
          </w:tcPr>
          <w:p w14:paraId="41BD934A" w14:textId="77777777" w:rsidR="00F909A0" w:rsidRPr="00F909A0" w:rsidRDefault="00F909A0" w:rsidP="00B56B65">
            <w:pPr>
              <w:spacing w:before="20" w:after="20"/>
              <w:jc w:val="right"/>
              <w:rPr>
                <w:sz w:val="16"/>
                <w:szCs w:val="16"/>
              </w:rPr>
            </w:pPr>
            <w:r w:rsidRPr="00F909A0">
              <w:rPr>
                <w:sz w:val="16"/>
                <w:szCs w:val="16"/>
              </w:rPr>
              <w:t>(0.3, 1.2)</w:t>
            </w:r>
          </w:p>
        </w:tc>
      </w:tr>
      <w:tr w:rsidR="00F909A0" w:rsidRPr="007B4EF8" w14:paraId="3C8C3585" w14:textId="77777777" w:rsidTr="00B56B65">
        <w:trPr>
          <w:jc w:val="center"/>
        </w:trPr>
        <w:tc>
          <w:tcPr>
            <w:tcW w:w="1985" w:type="dxa"/>
            <w:shd w:val="clear" w:color="auto" w:fill="auto"/>
            <w:vAlign w:val="center"/>
          </w:tcPr>
          <w:p w14:paraId="43414A34" w14:textId="77777777" w:rsidR="00F909A0" w:rsidRDefault="00F909A0" w:rsidP="00B56B65">
            <w:pPr>
              <w:spacing w:before="20" w:after="20"/>
              <w:rPr>
                <w:color w:val="000000"/>
                <w:sz w:val="16"/>
                <w:szCs w:val="16"/>
              </w:rPr>
            </w:pPr>
          </w:p>
        </w:tc>
        <w:tc>
          <w:tcPr>
            <w:tcW w:w="2693" w:type="dxa"/>
            <w:shd w:val="clear" w:color="auto" w:fill="auto"/>
            <w:vAlign w:val="center"/>
          </w:tcPr>
          <w:p w14:paraId="3AC886BB" w14:textId="77777777" w:rsidR="00F909A0" w:rsidRDefault="00F909A0" w:rsidP="00B56B65">
            <w:pPr>
              <w:spacing w:before="20" w:after="20"/>
              <w:rPr>
                <w:color w:val="000000"/>
                <w:sz w:val="16"/>
                <w:szCs w:val="16"/>
              </w:rPr>
            </w:pPr>
            <w:r>
              <w:rPr>
                <w:color w:val="000000"/>
                <w:sz w:val="16"/>
                <w:szCs w:val="16"/>
              </w:rPr>
              <w:t>Avoid betting/gambling places</w:t>
            </w:r>
          </w:p>
        </w:tc>
        <w:tc>
          <w:tcPr>
            <w:tcW w:w="536" w:type="dxa"/>
            <w:shd w:val="clear" w:color="auto" w:fill="auto"/>
            <w:vAlign w:val="center"/>
          </w:tcPr>
          <w:p w14:paraId="39E5859B" w14:textId="77777777" w:rsidR="00F909A0" w:rsidRPr="00F909A0" w:rsidRDefault="00F909A0" w:rsidP="00B56B65">
            <w:pPr>
              <w:spacing w:before="20" w:after="20"/>
              <w:jc w:val="right"/>
              <w:rPr>
                <w:sz w:val="16"/>
                <w:szCs w:val="16"/>
              </w:rPr>
            </w:pPr>
            <w:r w:rsidRPr="00F909A0">
              <w:rPr>
                <w:sz w:val="16"/>
                <w:szCs w:val="16"/>
              </w:rPr>
              <w:t>76</w:t>
            </w:r>
          </w:p>
        </w:tc>
        <w:tc>
          <w:tcPr>
            <w:tcW w:w="576" w:type="dxa"/>
            <w:shd w:val="clear" w:color="auto" w:fill="auto"/>
            <w:vAlign w:val="center"/>
          </w:tcPr>
          <w:p w14:paraId="354364B3" w14:textId="77777777" w:rsidR="00F909A0" w:rsidRPr="00F909A0" w:rsidRDefault="00F909A0" w:rsidP="00B56B65">
            <w:pPr>
              <w:spacing w:before="20" w:after="20"/>
              <w:jc w:val="right"/>
              <w:rPr>
                <w:sz w:val="16"/>
                <w:szCs w:val="16"/>
              </w:rPr>
            </w:pPr>
            <w:r w:rsidRPr="00F909A0">
              <w:rPr>
                <w:sz w:val="16"/>
                <w:szCs w:val="16"/>
              </w:rPr>
              <w:t>1.7</w:t>
            </w:r>
          </w:p>
        </w:tc>
        <w:tc>
          <w:tcPr>
            <w:tcW w:w="1043" w:type="dxa"/>
            <w:tcBorders>
              <w:right w:val="single" w:sz="4" w:space="0" w:color="auto"/>
            </w:tcBorders>
            <w:shd w:val="clear" w:color="auto" w:fill="auto"/>
            <w:vAlign w:val="center"/>
          </w:tcPr>
          <w:p w14:paraId="757AF540" w14:textId="77777777" w:rsidR="00F909A0" w:rsidRPr="00F909A0" w:rsidRDefault="00F909A0" w:rsidP="00B56B65">
            <w:pPr>
              <w:spacing w:before="20" w:after="20"/>
              <w:jc w:val="right"/>
              <w:rPr>
                <w:sz w:val="16"/>
                <w:szCs w:val="16"/>
              </w:rPr>
            </w:pPr>
            <w:r w:rsidRPr="00F909A0">
              <w:rPr>
                <w:sz w:val="16"/>
                <w:szCs w:val="16"/>
              </w:rPr>
              <w:t>(1.3, 2.1)</w:t>
            </w:r>
          </w:p>
        </w:tc>
        <w:tc>
          <w:tcPr>
            <w:tcW w:w="536" w:type="dxa"/>
            <w:tcBorders>
              <w:left w:val="single" w:sz="4" w:space="0" w:color="auto"/>
            </w:tcBorders>
            <w:shd w:val="clear" w:color="auto" w:fill="auto"/>
            <w:vAlign w:val="center"/>
          </w:tcPr>
          <w:p w14:paraId="091F8A5F" w14:textId="77777777" w:rsidR="00F909A0" w:rsidRPr="00F909A0" w:rsidRDefault="00F909A0" w:rsidP="00B56B65">
            <w:pPr>
              <w:spacing w:before="20" w:after="20"/>
              <w:jc w:val="right"/>
              <w:rPr>
                <w:sz w:val="16"/>
                <w:szCs w:val="16"/>
              </w:rPr>
            </w:pPr>
            <w:r w:rsidRPr="00F909A0">
              <w:rPr>
                <w:sz w:val="16"/>
                <w:szCs w:val="16"/>
              </w:rPr>
              <w:t>33</w:t>
            </w:r>
          </w:p>
        </w:tc>
        <w:tc>
          <w:tcPr>
            <w:tcW w:w="576" w:type="dxa"/>
            <w:shd w:val="clear" w:color="auto" w:fill="auto"/>
            <w:vAlign w:val="center"/>
          </w:tcPr>
          <w:p w14:paraId="1A0C0434" w14:textId="77777777" w:rsidR="00F909A0" w:rsidRPr="00F909A0" w:rsidRDefault="00F909A0" w:rsidP="00B56B65">
            <w:pPr>
              <w:spacing w:before="20" w:after="20"/>
              <w:jc w:val="right"/>
              <w:rPr>
                <w:sz w:val="16"/>
                <w:szCs w:val="16"/>
              </w:rPr>
            </w:pPr>
            <w:r w:rsidRPr="00F909A0">
              <w:rPr>
                <w:sz w:val="16"/>
                <w:szCs w:val="16"/>
              </w:rPr>
              <w:t>1.3</w:t>
            </w:r>
          </w:p>
        </w:tc>
        <w:tc>
          <w:tcPr>
            <w:tcW w:w="1043" w:type="dxa"/>
            <w:tcBorders>
              <w:right w:val="single" w:sz="4" w:space="0" w:color="auto"/>
            </w:tcBorders>
            <w:shd w:val="clear" w:color="auto" w:fill="auto"/>
            <w:vAlign w:val="center"/>
          </w:tcPr>
          <w:p w14:paraId="5A0A0060" w14:textId="77777777" w:rsidR="00F909A0" w:rsidRPr="00F909A0" w:rsidRDefault="00F909A0" w:rsidP="00B56B65">
            <w:pPr>
              <w:spacing w:before="20" w:after="20"/>
              <w:jc w:val="right"/>
              <w:rPr>
                <w:sz w:val="16"/>
                <w:szCs w:val="16"/>
              </w:rPr>
            </w:pPr>
            <w:r w:rsidRPr="00F909A0">
              <w:rPr>
                <w:sz w:val="16"/>
                <w:szCs w:val="16"/>
              </w:rPr>
              <w:t>(0.8, 1.8)</w:t>
            </w:r>
          </w:p>
        </w:tc>
        <w:tc>
          <w:tcPr>
            <w:tcW w:w="536" w:type="dxa"/>
            <w:tcBorders>
              <w:left w:val="single" w:sz="4" w:space="0" w:color="auto"/>
            </w:tcBorders>
            <w:shd w:val="clear" w:color="auto" w:fill="auto"/>
            <w:vAlign w:val="center"/>
          </w:tcPr>
          <w:p w14:paraId="4CBD59A3" w14:textId="77777777" w:rsidR="00F909A0" w:rsidRPr="00F909A0" w:rsidRDefault="00F909A0" w:rsidP="00B56B65">
            <w:pPr>
              <w:spacing w:before="20" w:after="20"/>
              <w:jc w:val="right"/>
              <w:rPr>
                <w:sz w:val="16"/>
                <w:szCs w:val="16"/>
              </w:rPr>
            </w:pPr>
            <w:r w:rsidRPr="00F909A0">
              <w:rPr>
                <w:sz w:val="16"/>
                <w:szCs w:val="16"/>
              </w:rPr>
              <w:t>24</w:t>
            </w:r>
          </w:p>
        </w:tc>
        <w:tc>
          <w:tcPr>
            <w:tcW w:w="576" w:type="dxa"/>
            <w:shd w:val="clear" w:color="auto" w:fill="auto"/>
            <w:vAlign w:val="center"/>
          </w:tcPr>
          <w:p w14:paraId="1724983C" w14:textId="77777777" w:rsidR="00F909A0" w:rsidRPr="00F909A0" w:rsidRDefault="00F909A0" w:rsidP="00B56B65">
            <w:pPr>
              <w:spacing w:before="20" w:after="20"/>
              <w:jc w:val="right"/>
              <w:rPr>
                <w:sz w:val="16"/>
                <w:szCs w:val="16"/>
              </w:rPr>
            </w:pPr>
            <w:r w:rsidRPr="00F909A0">
              <w:rPr>
                <w:sz w:val="16"/>
                <w:szCs w:val="16"/>
              </w:rPr>
              <w:t>1.1</w:t>
            </w:r>
          </w:p>
        </w:tc>
        <w:tc>
          <w:tcPr>
            <w:tcW w:w="1043" w:type="dxa"/>
            <w:tcBorders>
              <w:right w:val="single" w:sz="4" w:space="0" w:color="auto"/>
            </w:tcBorders>
            <w:shd w:val="clear" w:color="auto" w:fill="auto"/>
            <w:vAlign w:val="center"/>
          </w:tcPr>
          <w:p w14:paraId="71F0FD5A" w14:textId="77777777" w:rsidR="00F909A0" w:rsidRPr="00F909A0" w:rsidRDefault="00F909A0" w:rsidP="00B56B65">
            <w:pPr>
              <w:spacing w:before="20" w:after="20"/>
              <w:jc w:val="right"/>
              <w:rPr>
                <w:sz w:val="16"/>
                <w:szCs w:val="16"/>
              </w:rPr>
            </w:pPr>
            <w:r w:rsidRPr="00F909A0">
              <w:rPr>
                <w:sz w:val="16"/>
                <w:szCs w:val="16"/>
              </w:rPr>
              <w:t>(0.5, 1.7)</w:t>
            </w:r>
          </w:p>
        </w:tc>
        <w:tc>
          <w:tcPr>
            <w:tcW w:w="536" w:type="dxa"/>
            <w:tcBorders>
              <w:left w:val="single" w:sz="4" w:space="0" w:color="auto"/>
            </w:tcBorders>
            <w:shd w:val="clear" w:color="auto" w:fill="auto"/>
            <w:vAlign w:val="center"/>
          </w:tcPr>
          <w:p w14:paraId="45345171" w14:textId="77777777" w:rsidR="00F909A0" w:rsidRPr="00F909A0" w:rsidRDefault="00F909A0" w:rsidP="00B56B65">
            <w:pPr>
              <w:spacing w:before="20" w:after="20"/>
              <w:jc w:val="right"/>
              <w:rPr>
                <w:sz w:val="16"/>
                <w:szCs w:val="16"/>
              </w:rPr>
            </w:pPr>
            <w:r w:rsidRPr="00F909A0">
              <w:rPr>
                <w:sz w:val="16"/>
                <w:szCs w:val="16"/>
              </w:rPr>
              <w:t>21</w:t>
            </w:r>
          </w:p>
        </w:tc>
        <w:tc>
          <w:tcPr>
            <w:tcW w:w="576" w:type="dxa"/>
            <w:shd w:val="clear" w:color="auto" w:fill="auto"/>
            <w:vAlign w:val="center"/>
          </w:tcPr>
          <w:p w14:paraId="03253DB0" w14:textId="77777777" w:rsidR="00F909A0" w:rsidRPr="00F909A0" w:rsidRDefault="00F909A0" w:rsidP="00B56B65">
            <w:pPr>
              <w:spacing w:before="20" w:after="20"/>
              <w:jc w:val="right"/>
              <w:rPr>
                <w:sz w:val="16"/>
                <w:szCs w:val="16"/>
              </w:rPr>
            </w:pPr>
            <w:r w:rsidRPr="00F909A0">
              <w:rPr>
                <w:sz w:val="16"/>
                <w:szCs w:val="16"/>
              </w:rPr>
              <w:t>1.1</w:t>
            </w:r>
          </w:p>
        </w:tc>
        <w:tc>
          <w:tcPr>
            <w:tcW w:w="1123" w:type="dxa"/>
            <w:shd w:val="clear" w:color="auto" w:fill="auto"/>
            <w:vAlign w:val="center"/>
          </w:tcPr>
          <w:p w14:paraId="46BC300D" w14:textId="77777777" w:rsidR="00F909A0" w:rsidRPr="00F909A0" w:rsidRDefault="00F909A0" w:rsidP="00B56B65">
            <w:pPr>
              <w:spacing w:before="20" w:after="20"/>
              <w:jc w:val="right"/>
              <w:rPr>
                <w:sz w:val="16"/>
                <w:szCs w:val="16"/>
              </w:rPr>
            </w:pPr>
            <w:r w:rsidRPr="00F909A0">
              <w:rPr>
                <w:sz w:val="16"/>
                <w:szCs w:val="16"/>
              </w:rPr>
              <w:t>(0.6, 1.6)</w:t>
            </w:r>
          </w:p>
        </w:tc>
      </w:tr>
      <w:tr w:rsidR="00F909A0" w:rsidRPr="007B4EF8" w14:paraId="77AF4590" w14:textId="77777777" w:rsidTr="00B56B65">
        <w:trPr>
          <w:jc w:val="center"/>
        </w:trPr>
        <w:tc>
          <w:tcPr>
            <w:tcW w:w="1985" w:type="dxa"/>
            <w:shd w:val="clear" w:color="auto" w:fill="auto"/>
            <w:vAlign w:val="center"/>
          </w:tcPr>
          <w:p w14:paraId="69EE1524" w14:textId="77777777" w:rsidR="00F909A0" w:rsidRDefault="00F909A0" w:rsidP="00B56B65">
            <w:pPr>
              <w:spacing w:before="20" w:after="20"/>
              <w:rPr>
                <w:color w:val="000000"/>
                <w:sz w:val="16"/>
                <w:szCs w:val="16"/>
              </w:rPr>
            </w:pPr>
            <w:r>
              <w:rPr>
                <w:color w:val="000000"/>
                <w:sz w:val="16"/>
                <w:szCs w:val="16"/>
              </w:rPr>
              <w:t>Low-risk gambler</w:t>
            </w:r>
          </w:p>
        </w:tc>
        <w:tc>
          <w:tcPr>
            <w:tcW w:w="2693" w:type="dxa"/>
            <w:shd w:val="clear" w:color="auto" w:fill="auto"/>
            <w:vAlign w:val="center"/>
          </w:tcPr>
          <w:p w14:paraId="6DAE0082" w14:textId="77777777" w:rsidR="00F909A0" w:rsidRDefault="00F909A0" w:rsidP="00B56B65">
            <w:pPr>
              <w:spacing w:before="20" w:after="20"/>
              <w:rPr>
                <w:color w:val="000000"/>
                <w:sz w:val="16"/>
                <w:szCs w:val="16"/>
              </w:rPr>
            </w:pPr>
            <w:r>
              <w:rPr>
                <w:color w:val="000000"/>
                <w:sz w:val="16"/>
                <w:szCs w:val="16"/>
              </w:rPr>
              <w:t>Set a money limit</w:t>
            </w:r>
          </w:p>
        </w:tc>
        <w:tc>
          <w:tcPr>
            <w:tcW w:w="536" w:type="dxa"/>
            <w:shd w:val="clear" w:color="auto" w:fill="auto"/>
            <w:vAlign w:val="center"/>
          </w:tcPr>
          <w:p w14:paraId="475673C9" w14:textId="77777777" w:rsidR="00F909A0" w:rsidRPr="00F909A0" w:rsidRDefault="00F909A0" w:rsidP="00B56B65">
            <w:pPr>
              <w:spacing w:before="20" w:after="20"/>
              <w:jc w:val="right"/>
              <w:rPr>
                <w:sz w:val="16"/>
                <w:szCs w:val="16"/>
              </w:rPr>
            </w:pPr>
            <w:r w:rsidRPr="00F909A0">
              <w:rPr>
                <w:sz w:val="16"/>
                <w:szCs w:val="16"/>
              </w:rPr>
              <w:t>113</w:t>
            </w:r>
          </w:p>
        </w:tc>
        <w:tc>
          <w:tcPr>
            <w:tcW w:w="576" w:type="dxa"/>
            <w:shd w:val="clear" w:color="auto" w:fill="auto"/>
            <w:vAlign w:val="center"/>
          </w:tcPr>
          <w:p w14:paraId="5AA4C9E6" w14:textId="77777777" w:rsidR="00F909A0" w:rsidRPr="00F909A0" w:rsidRDefault="00F909A0" w:rsidP="00B56B65">
            <w:pPr>
              <w:spacing w:before="20" w:after="20"/>
              <w:jc w:val="right"/>
              <w:rPr>
                <w:sz w:val="16"/>
                <w:szCs w:val="16"/>
              </w:rPr>
            </w:pPr>
            <w:r w:rsidRPr="00F909A0">
              <w:rPr>
                <w:sz w:val="16"/>
                <w:szCs w:val="16"/>
              </w:rPr>
              <w:t>36.8</w:t>
            </w:r>
          </w:p>
        </w:tc>
        <w:tc>
          <w:tcPr>
            <w:tcW w:w="1043" w:type="dxa"/>
            <w:tcBorders>
              <w:right w:val="single" w:sz="4" w:space="0" w:color="auto"/>
            </w:tcBorders>
            <w:shd w:val="clear" w:color="auto" w:fill="auto"/>
            <w:vAlign w:val="center"/>
          </w:tcPr>
          <w:p w14:paraId="7EE25B43" w14:textId="77777777" w:rsidR="00F909A0" w:rsidRPr="00F909A0" w:rsidRDefault="00F909A0" w:rsidP="00B56B65">
            <w:pPr>
              <w:spacing w:before="20" w:after="20"/>
              <w:jc w:val="right"/>
              <w:rPr>
                <w:sz w:val="16"/>
                <w:szCs w:val="16"/>
              </w:rPr>
            </w:pPr>
            <w:r w:rsidRPr="00F909A0">
              <w:rPr>
                <w:sz w:val="16"/>
                <w:szCs w:val="16"/>
              </w:rPr>
              <w:t>(30.2, 43.4)</w:t>
            </w:r>
          </w:p>
        </w:tc>
        <w:tc>
          <w:tcPr>
            <w:tcW w:w="536" w:type="dxa"/>
            <w:tcBorders>
              <w:left w:val="single" w:sz="4" w:space="0" w:color="auto"/>
            </w:tcBorders>
            <w:shd w:val="clear" w:color="auto" w:fill="auto"/>
            <w:vAlign w:val="center"/>
          </w:tcPr>
          <w:p w14:paraId="4CD409F5" w14:textId="77777777" w:rsidR="00F909A0" w:rsidRPr="00F909A0" w:rsidRDefault="00F909A0" w:rsidP="00B56B65">
            <w:pPr>
              <w:spacing w:before="20" w:after="20"/>
              <w:jc w:val="right"/>
              <w:rPr>
                <w:sz w:val="16"/>
                <w:szCs w:val="16"/>
              </w:rPr>
            </w:pPr>
            <w:r w:rsidRPr="00F909A0">
              <w:rPr>
                <w:sz w:val="16"/>
                <w:szCs w:val="16"/>
              </w:rPr>
              <w:t>67</w:t>
            </w:r>
          </w:p>
        </w:tc>
        <w:tc>
          <w:tcPr>
            <w:tcW w:w="576" w:type="dxa"/>
            <w:shd w:val="clear" w:color="auto" w:fill="auto"/>
            <w:vAlign w:val="center"/>
          </w:tcPr>
          <w:p w14:paraId="7D8ED624" w14:textId="77777777" w:rsidR="00F909A0" w:rsidRPr="00F909A0" w:rsidRDefault="00F909A0" w:rsidP="00B56B65">
            <w:pPr>
              <w:spacing w:before="20" w:after="20"/>
              <w:jc w:val="right"/>
              <w:rPr>
                <w:sz w:val="16"/>
                <w:szCs w:val="16"/>
              </w:rPr>
            </w:pPr>
            <w:r w:rsidRPr="00F909A0">
              <w:rPr>
                <w:sz w:val="16"/>
                <w:szCs w:val="16"/>
              </w:rPr>
              <w:t>32.2</w:t>
            </w:r>
          </w:p>
        </w:tc>
        <w:tc>
          <w:tcPr>
            <w:tcW w:w="1043" w:type="dxa"/>
            <w:tcBorders>
              <w:right w:val="single" w:sz="4" w:space="0" w:color="auto"/>
            </w:tcBorders>
            <w:shd w:val="clear" w:color="auto" w:fill="auto"/>
            <w:vAlign w:val="center"/>
          </w:tcPr>
          <w:p w14:paraId="6BBA109F" w14:textId="77777777" w:rsidR="00F909A0" w:rsidRPr="00F909A0" w:rsidRDefault="00F909A0" w:rsidP="00B56B65">
            <w:pPr>
              <w:spacing w:before="20" w:after="20"/>
              <w:jc w:val="right"/>
              <w:rPr>
                <w:sz w:val="16"/>
                <w:szCs w:val="16"/>
              </w:rPr>
            </w:pPr>
            <w:r w:rsidRPr="00F909A0">
              <w:rPr>
                <w:sz w:val="16"/>
                <w:szCs w:val="16"/>
              </w:rPr>
              <w:t>(25.3, 39.1)</w:t>
            </w:r>
          </w:p>
        </w:tc>
        <w:tc>
          <w:tcPr>
            <w:tcW w:w="536" w:type="dxa"/>
            <w:tcBorders>
              <w:left w:val="single" w:sz="4" w:space="0" w:color="auto"/>
            </w:tcBorders>
            <w:shd w:val="clear" w:color="auto" w:fill="auto"/>
            <w:vAlign w:val="center"/>
          </w:tcPr>
          <w:p w14:paraId="5C1C932E" w14:textId="77777777" w:rsidR="00F909A0" w:rsidRPr="00F909A0" w:rsidRDefault="00F909A0" w:rsidP="00B56B65">
            <w:pPr>
              <w:spacing w:before="20" w:after="20"/>
              <w:jc w:val="right"/>
              <w:rPr>
                <w:sz w:val="16"/>
                <w:szCs w:val="16"/>
              </w:rPr>
            </w:pPr>
            <w:r w:rsidRPr="00F909A0">
              <w:rPr>
                <w:sz w:val="16"/>
                <w:szCs w:val="16"/>
              </w:rPr>
              <w:t>59</w:t>
            </w:r>
          </w:p>
        </w:tc>
        <w:tc>
          <w:tcPr>
            <w:tcW w:w="576" w:type="dxa"/>
            <w:shd w:val="clear" w:color="auto" w:fill="auto"/>
            <w:vAlign w:val="center"/>
          </w:tcPr>
          <w:p w14:paraId="4F472972" w14:textId="77777777" w:rsidR="00F909A0" w:rsidRPr="00F909A0" w:rsidRDefault="00F909A0" w:rsidP="00B56B65">
            <w:pPr>
              <w:spacing w:before="20" w:after="20"/>
              <w:jc w:val="right"/>
              <w:rPr>
                <w:sz w:val="16"/>
                <w:szCs w:val="16"/>
              </w:rPr>
            </w:pPr>
            <w:r w:rsidRPr="00F909A0">
              <w:rPr>
                <w:sz w:val="16"/>
                <w:szCs w:val="16"/>
              </w:rPr>
              <w:t>37.9</w:t>
            </w:r>
          </w:p>
        </w:tc>
        <w:tc>
          <w:tcPr>
            <w:tcW w:w="1043" w:type="dxa"/>
            <w:tcBorders>
              <w:right w:val="single" w:sz="4" w:space="0" w:color="auto"/>
            </w:tcBorders>
            <w:shd w:val="clear" w:color="auto" w:fill="auto"/>
            <w:vAlign w:val="center"/>
          </w:tcPr>
          <w:p w14:paraId="780DDD2B" w14:textId="77777777" w:rsidR="00F909A0" w:rsidRPr="00F909A0" w:rsidRDefault="00F909A0" w:rsidP="00B56B65">
            <w:pPr>
              <w:spacing w:before="20" w:after="20"/>
              <w:jc w:val="right"/>
              <w:rPr>
                <w:sz w:val="16"/>
                <w:szCs w:val="16"/>
              </w:rPr>
            </w:pPr>
            <w:r w:rsidRPr="00F909A0">
              <w:rPr>
                <w:sz w:val="16"/>
                <w:szCs w:val="16"/>
              </w:rPr>
              <w:t>(29.4, 46.4)</w:t>
            </w:r>
          </w:p>
        </w:tc>
        <w:tc>
          <w:tcPr>
            <w:tcW w:w="536" w:type="dxa"/>
            <w:tcBorders>
              <w:left w:val="single" w:sz="4" w:space="0" w:color="auto"/>
            </w:tcBorders>
            <w:shd w:val="clear" w:color="auto" w:fill="auto"/>
            <w:vAlign w:val="center"/>
          </w:tcPr>
          <w:p w14:paraId="46EAA3E5" w14:textId="77777777" w:rsidR="00F909A0" w:rsidRPr="00F909A0" w:rsidRDefault="00F909A0" w:rsidP="00B56B65">
            <w:pPr>
              <w:spacing w:before="20" w:after="20"/>
              <w:jc w:val="right"/>
              <w:rPr>
                <w:sz w:val="16"/>
                <w:szCs w:val="16"/>
              </w:rPr>
            </w:pPr>
            <w:r w:rsidRPr="00F909A0">
              <w:rPr>
                <w:sz w:val="16"/>
                <w:szCs w:val="16"/>
              </w:rPr>
              <w:t>51</w:t>
            </w:r>
          </w:p>
        </w:tc>
        <w:tc>
          <w:tcPr>
            <w:tcW w:w="576" w:type="dxa"/>
            <w:shd w:val="clear" w:color="auto" w:fill="auto"/>
            <w:vAlign w:val="center"/>
          </w:tcPr>
          <w:p w14:paraId="329E69F9" w14:textId="77777777" w:rsidR="00F909A0" w:rsidRPr="00F909A0" w:rsidRDefault="00F909A0" w:rsidP="00B56B65">
            <w:pPr>
              <w:spacing w:before="20" w:after="20"/>
              <w:jc w:val="right"/>
              <w:rPr>
                <w:sz w:val="16"/>
                <w:szCs w:val="16"/>
              </w:rPr>
            </w:pPr>
            <w:r w:rsidRPr="00F909A0">
              <w:rPr>
                <w:sz w:val="16"/>
                <w:szCs w:val="16"/>
              </w:rPr>
              <w:t>39.6</w:t>
            </w:r>
          </w:p>
        </w:tc>
        <w:tc>
          <w:tcPr>
            <w:tcW w:w="1123" w:type="dxa"/>
            <w:shd w:val="clear" w:color="auto" w:fill="auto"/>
            <w:vAlign w:val="center"/>
          </w:tcPr>
          <w:p w14:paraId="025450E0" w14:textId="77777777" w:rsidR="00F909A0" w:rsidRPr="00F909A0" w:rsidRDefault="00F909A0" w:rsidP="00B56B65">
            <w:pPr>
              <w:spacing w:before="20" w:after="20"/>
              <w:jc w:val="right"/>
              <w:rPr>
                <w:sz w:val="16"/>
                <w:szCs w:val="16"/>
              </w:rPr>
            </w:pPr>
            <w:r w:rsidRPr="00F909A0">
              <w:rPr>
                <w:sz w:val="16"/>
                <w:szCs w:val="16"/>
              </w:rPr>
              <w:t>(28.7, 50.6)</w:t>
            </w:r>
          </w:p>
        </w:tc>
      </w:tr>
      <w:tr w:rsidR="00F909A0" w:rsidRPr="007B4EF8" w14:paraId="0F5F91DD" w14:textId="77777777" w:rsidTr="00B56B65">
        <w:trPr>
          <w:jc w:val="center"/>
        </w:trPr>
        <w:tc>
          <w:tcPr>
            <w:tcW w:w="1985" w:type="dxa"/>
            <w:shd w:val="clear" w:color="auto" w:fill="auto"/>
            <w:vAlign w:val="center"/>
          </w:tcPr>
          <w:p w14:paraId="1A0C9B41" w14:textId="77777777" w:rsidR="00F909A0" w:rsidRDefault="00F909A0" w:rsidP="00B56B65">
            <w:pPr>
              <w:spacing w:before="20" w:after="20"/>
              <w:rPr>
                <w:color w:val="000000"/>
                <w:sz w:val="16"/>
                <w:szCs w:val="16"/>
              </w:rPr>
            </w:pPr>
          </w:p>
        </w:tc>
        <w:tc>
          <w:tcPr>
            <w:tcW w:w="2693" w:type="dxa"/>
            <w:shd w:val="clear" w:color="auto" w:fill="auto"/>
            <w:vAlign w:val="center"/>
          </w:tcPr>
          <w:p w14:paraId="70ACD36B" w14:textId="77777777" w:rsidR="00F909A0" w:rsidRDefault="00F909A0" w:rsidP="00B56B65">
            <w:pPr>
              <w:spacing w:before="20" w:after="20"/>
              <w:rPr>
                <w:color w:val="000000"/>
                <w:sz w:val="16"/>
                <w:szCs w:val="16"/>
              </w:rPr>
            </w:pPr>
            <w:r>
              <w:rPr>
                <w:color w:val="000000"/>
                <w:sz w:val="16"/>
                <w:szCs w:val="16"/>
              </w:rPr>
              <w:t>Trusted person manages the money</w:t>
            </w:r>
          </w:p>
        </w:tc>
        <w:tc>
          <w:tcPr>
            <w:tcW w:w="536" w:type="dxa"/>
            <w:shd w:val="clear" w:color="auto" w:fill="auto"/>
            <w:vAlign w:val="center"/>
          </w:tcPr>
          <w:p w14:paraId="3137A2AA" w14:textId="77777777" w:rsidR="00F909A0" w:rsidRPr="00F909A0" w:rsidRDefault="00F909A0" w:rsidP="00B56B65">
            <w:pPr>
              <w:spacing w:before="20" w:after="20"/>
              <w:jc w:val="right"/>
              <w:rPr>
                <w:sz w:val="16"/>
                <w:szCs w:val="16"/>
              </w:rPr>
            </w:pPr>
            <w:r w:rsidRPr="00F909A0">
              <w:rPr>
                <w:sz w:val="16"/>
                <w:szCs w:val="16"/>
              </w:rPr>
              <w:t>9</w:t>
            </w:r>
          </w:p>
        </w:tc>
        <w:tc>
          <w:tcPr>
            <w:tcW w:w="576" w:type="dxa"/>
            <w:shd w:val="clear" w:color="auto" w:fill="auto"/>
            <w:vAlign w:val="center"/>
          </w:tcPr>
          <w:p w14:paraId="3E6811B9" w14:textId="77777777" w:rsidR="00F909A0" w:rsidRPr="00F909A0" w:rsidRDefault="00F909A0" w:rsidP="00B56B65">
            <w:pPr>
              <w:spacing w:before="20" w:after="20"/>
              <w:jc w:val="right"/>
              <w:rPr>
                <w:sz w:val="16"/>
                <w:szCs w:val="16"/>
              </w:rPr>
            </w:pPr>
            <w:r w:rsidRPr="00F909A0">
              <w:rPr>
                <w:sz w:val="16"/>
                <w:szCs w:val="16"/>
              </w:rPr>
              <w:t>2.8</w:t>
            </w:r>
          </w:p>
        </w:tc>
        <w:tc>
          <w:tcPr>
            <w:tcW w:w="1043" w:type="dxa"/>
            <w:tcBorders>
              <w:right w:val="single" w:sz="4" w:space="0" w:color="auto"/>
            </w:tcBorders>
            <w:shd w:val="clear" w:color="auto" w:fill="auto"/>
            <w:vAlign w:val="center"/>
          </w:tcPr>
          <w:p w14:paraId="397CC85D" w14:textId="77777777" w:rsidR="00F909A0" w:rsidRPr="00F909A0" w:rsidRDefault="00F909A0" w:rsidP="00B56B65">
            <w:pPr>
              <w:spacing w:before="20" w:after="20"/>
              <w:jc w:val="right"/>
              <w:rPr>
                <w:sz w:val="16"/>
                <w:szCs w:val="16"/>
              </w:rPr>
            </w:pPr>
            <w:r w:rsidRPr="00F909A0">
              <w:rPr>
                <w:sz w:val="16"/>
                <w:szCs w:val="16"/>
              </w:rPr>
              <w:t>(0.9, 4.6)</w:t>
            </w:r>
          </w:p>
        </w:tc>
        <w:tc>
          <w:tcPr>
            <w:tcW w:w="536" w:type="dxa"/>
            <w:tcBorders>
              <w:left w:val="single" w:sz="4" w:space="0" w:color="auto"/>
            </w:tcBorders>
            <w:shd w:val="clear" w:color="auto" w:fill="auto"/>
            <w:vAlign w:val="center"/>
          </w:tcPr>
          <w:p w14:paraId="031F6FAE" w14:textId="77777777" w:rsidR="00F909A0" w:rsidRPr="00F909A0" w:rsidRDefault="00F909A0" w:rsidP="00B56B65">
            <w:pPr>
              <w:spacing w:before="20" w:after="20"/>
              <w:jc w:val="right"/>
              <w:rPr>
                <w:sz w:val="16"/>
                <w:szCs w:val="16"/>
              </w:rPr>
            </w:pPr>
            <w:r w:rsidRPr="00F909A0">
              <w:rPr>
                <w:sz w:val="16"/>
                <w:szCs w:val="16"/>
              </w:rPr>
              <w:t>3</w:t>
            </w:r>
          </w:p>
        </w:tc>
        <w:tc>
          <w:tcPr>
            <w:tcW w:w="576" w:type="dxa"/>
            <w:shd w:val="clear" w:color="auto" w:fill="auto"/>
            <w:vAlign w:val="center"/>
          </w:tcPr>
          <w:p w14:paraId="680C1C28" w14:textId="77777777" w:rsidR="00F909A0" w:rsidRPr="00F909A0" w:rsidRDefault="00F909A0" w:rsidP="00B56B65">
            <w:pPr>
              <w:spacing w:before="20" w:after="20"/>
              <w:jc w:val="right"/>
              <w:rPr>
                <w:sz w:val="16"/>
                <w:szCs w:val="16"/>
              </w:rPr>
            </w:pPr>
            <w:r w:rsidRPr="00F909A0">
              <w:rPr>
                <w:sz w:val="16"/>
                <w:szCs w:val="16"/>
              </w:rPr>
              <w:t>1.6</w:t>
            </w:r>
          </w:p>
        </w:tc>
        <w:tc>
          <w:tcPr>
            <w:tcW w:w="1043" w:type="dxa"/>
            <w:tcBorders>
              <w:right w:val="single" w:sz="4" w:space="0" w:color="auto"/>
            </w:tcBorders>
            <w:shd w:val="clear" w:color="auto" w:fill="auto"/>
            <w:vAlign w:val="center"/>
          </w:tcPr>
          <w:p w14:paraId="33A12258" w14:textId="77777777" w:rsidR="00F909A0" w:rsidRPr="00F909A0" w:rsidRDefault="00F909A0" w:rsidP="00B56B65">
            <w:pPr>
              <w:spacing w:before="20" w:after="20"/>
              <w:jc w:val="right"/>
              <w:rPr>
                <w:sz w:val="16"/>
                <w:szCs w:val="16"/>
              </w:rPr>
            </w:pPr>
            <w:r w:rsidRPr="00F909A0">
              <w:rPr>
                <w:sz w:val="16"/>
                <w:szCs w:val="16"/>
              </w:rPr>
              <w:t>(0.1, 3.2)</w:t>
            </w:r>
          </w:p>
        </w:tc>
        <w:tc>
          <w:tcPr>
            <w:tcW w:w="536" w:type="dxa"/>
            <w:tcBorders>
              <w:left w:val="single" w:sz="4" w:space="0" w:color="auto"/>
            </w:tcBorders>
            <w:shd w:val="clear" w:color="auto" w:fill="auto"/>
            <w:vAlign w:val="center"/>
          </w:tcPr>
          <w:p w14:paraId="47AF6575" w14:textId="77777777" w:rsidR="00F909A0" w:rsidRPr="00F909A0" w:rsidRDefault="00F909A0" w:rsidP="00B56B65">
            <w:pPr>
              <w:spacing w:before="20" w:after="20"/>
              <w:jc w:val="right"/>
              <w:rPr>
                <w:sz w:val="16"/>
                <w:szCs w:val="16"/>
              </w:rPr>
            </w:pPr>
            <w:r w:rsidRPr="00F909A0">
              <w:rPr>
                <w:sz w:val="16"/>
                <w:szCs w:val="16"/>
              </w:rPr>
              <w:t>2</w:t>
            </w:r>
          </w:p>
        </w:tc>
        <w:tc>
          <w:tcPr>
            <w:tcW w:w="576" w:type="dxa"/>
            <w:shd w:val="clear" w:color="auto" w:fill="auto"/>
            <w:vAlign w:val="center"/>
          </w:tcPr>
          <w:p w14:paraId="2ED40B07" w14:textId="77777777" w:rsidR="00F909A0" w:rsidRPr="00F909A0" w:rsidRDefault="00F909A0" w:rsidP="00B56B65">
            <w:pPr>
              <w:spacing w:before="20" w:after="20"/>
              <w:jc w:val="right"/>
              <w:rPr>
                <w:sz w:val="16"/>
                <w:szCs w:val="16"/>
              </w:rPr>
            </w:pPr>
            <w:r w:rsidRPr="00F909A0">
              <w:rPr>
                <w:sz w:val="16"/>
                <w:szCs w:val="16"/>
              </w:rPr>
              <w:t>1.5</w:t>
            </w:r>
          </w:p>
        </w:tc>
        <w:tc>
          <w:tcPr>
            <w:tcW w:w="1043" w:type="dxa"/>
            <w:tcBorders>
              <w:right w:val="single" w:sz="4" w:space="0" w:color="auto"/>
            </w:tcBorders>
            <w:shd w:val="clear" w:color="auto" w:fill="auto"/>
            <w:vAlign w:val="center"/>
          </w:tcPr>
          <w:p w14:paraId="17B7D700" w14:textId="77777777" w:rsidR="00F909A0" w:rsidRPr="00F909A0" w:rsidRDefault="002F172C" w:rsidP="00B56B65">
            <w:pPr>
              <w:spacing w:before="20" w:after="20"/>
              <w:jc w:val="right"/>
              <w:rPr>
                <w:sz w:val="16"/>
                <w:szCs w:val="16"/>
              </w:rPr>
            </w:pPr>
            <w:r>
              <w:rPr>
                <w:sz w:val="16"/>
                <w:szCs w:val="16"/>
              </w:rPr>
              <w:t>!</w:t>
            </w:r>
          </w:p>
        </w:tc>
        <w:tc>
          <w:tcPr>
            <w:tcW w:w="536" w:type="dxa"/>
            <w:tcBorders>
              <w:left w:val="single" w:sz="4" w:space="0" w:color="auto"/>
            </w:tcBorders>
            <w:shd w:val="clear" w:color="auto" w:fill="auto"/>
            <w:vAlign w:val="center"/>
          </w:tcPr>
          <w:p w14:paraId="02BFCB1C" w14:textId="77777777" w:rsidR="00F909A0" w:rsidRPr="00F909A0" w:rsidRDefault="00F909A0" w:rsidP="00B56B65">
            <w:pPr>
              <w:spacing w:before="20" w:after="20"/>
              <w:jc w:val="right"/>
              <w:rPr>
                <w:sz w:val="16"/>
                <w:szCs w:val="16"/>
              </w:rPr>
            </w:pPr>
            <w:r w:rsidRPr="00F909A0">
              <w:rPr>
                <w:sz w:val="16"/>
                <w:szCs w:val="16"/>
              </w:rPr>
              <w:t>8</w:t>
            </w:r>
          </w:p>
        </w:tc>
        <w:tc>
          <w:tcPr>
            <w:tcW w:w="576" w:type="dxa"/>
            <w:shd w:val="clear" w:color="auto" w:fill="auto"/>
            <w:vAlign w:val="center"/>
          </w:tcPr>
          <w:p w14:paraId="12DF95D1" w14:textId="77777777" w:rsidR="00F909A0" w:rsidRPr="00F909A0" w:rsidRDefault="00F909A0" w:rsidP="00B56B65">
            <w:pPr>
              <w:spacing w:before="20" w:after="20"/>
              <w:jc w:val="right"/>
              <w:rPr>
                <w:sz w:val="16"/>
                <w:szCs w:val="16"/>
              </w:rPr>
            </w:pPr>
            <w:r w:rsidRPr="00F909A0">
              <w:rPr>
                <w:sz w:val="16"/>
                <w:szCs w:val="16"/>
              </w:rPr>
              <w:t>6.6</w:t>
            </w:r>
          </w:p>
        </w:tc>
        <w:tc>
          <w:tcPr>
            <w:tcW w:w="1123" w:type="dxa"/>
            <w:shd w:val="clear" w:color="auto" w:fill="auto"/>
            <w:vAlign w:val="center"/>
          </w:tcPr>
          <w:p w14:paraId="26831F96" w14:textId="77777777" w:rsidR="00F909A0" w:rsidRPr="00F909A0" w:rsidRDefault="00F909A0" w:rsidP="00B56B65">
            <w:pPr>
              <w:spacing w:before="20" w:after="20"/>
              <w:jc w:val="right"/>
              <w:rPr>
                <w:sz w:val="16"/>
                <w:szCs w:val="16"/>
              </w:rPr>
            </w:pPr>
            <w:r w:rsidRPr="00F909A0">
              <w:rPr>
                <w:sz w:val="16"/>
                <w:szCs w:val="16"/>
              </w:rPr>
              <w:t>(0.0, 14.7)</w:t>
            </w:r>
          </w:p>
        </w:tc>
      </w:tr>
      <w:tr w:rsidR="00F909A0" w:rsidRPr="007B4EF8" w14:paraId="65C72C80" w14:textId="77777777" w:rsidTr="00B56B65">
        <w:trPr>
          <w:jc w:val="center"/>
        </w:trPr>
        <w:tc>
          <w:tcPr>
            <w:tcW w:w="1985" w:type="dxa"/>
            <w:shd w:val="clear" w:color="auto" w:fill="auto"/>
            <w:vAlign w:val="center"/>
          </w:tcPr>
          <w:p w14:paraId="606B92FD" w14:textId="77777777" w:rsidR="00F909A0" w:rsidRDefault="00F909A0" w:rsidP="00B56B65">
            <w:pPr>
              <w:spacing w:before="20" w:after="20"/>
              <w:rPr>
                <w:color w:val="000000"/>
                <w:sz w:val="16"/>
                <w:szCs w:val="16"/>
              </w:rPr>
            </w:pPr>
          </w:p>
        </w:tc>
        <w:tc>
          <w:tcPr>
            <w:tcW w:w="2693" w:type="dxa"/>
            <w:shd w:val="clear" w:color="auto" w:fill="auto"/>
            <w:vAlign w:val="center"/>
          </w:tcPr>
          <w:p w14:paraId="19F2ED99" w14:textId="77777777" w:rsidR="00F909A0" w:rsidRDefault="00F909A0" w:rsidP="00B56B65">
            <w:pPr>
              <w:spacing w:before="20" w:after="20"/>
              <w:rPr>
                <w:color w:val="000000"/>
                <w:sz w:val="16"/>
                <w:szCs w:val="16"/>
              </w:rPr>
            </w:pPr>
            <w:r>
              <w:rPr>
                <w:color w:val="000000"/>
                <w:sz w:val="16"/>
                <w:szCs w:val="16"/>
              </w:rPr>
              <w:t>Separate betting money and stopping when used</w:t>
            </w:r>
          </w:p>
        </w:tc>
        <w:tc>
          <w:tcPr>
            <w:tcW w:w="536" w:type="dxa"/>
            <w:shd w:val="clear" w:color="auto" w:fill="auto"/>
            <w:vAlign w:val="center"/>
          </w:tcPr>
          <w:p w14:paraId="1791B976" w14:textId="77777777" w:rsidR="00F909A0" w:rsidRPr="00F909A0" w:rsidRDefault="00F909A0" w:rsidP="00B56B65">
            <w:pPr>
              <w:spacing w:before="20" w:after="20"/>
              <w:jc w:val="right"/>
              <w:rPr>
                <w:sz w:val="16"/>
                <w:szCs w:val="16"/>
              </w:rPr>
            </w:pPr>
            <w:r w:rsidRPr="00F909A0">
              <w:rPr>
                <w:sz w:val="16"/>
                <w:szCs w:val="16"/>
              </w:rPr>
              <w:t>36</w:t>
            </w:r>
          </w:p>
        </w:tc>
        <w:tc>
          <w:tcPr>
            <w:tcW w:w="576" w:type="dxa"/>
            <w:shd w:val="clear" w:color="auto" w:fill="auto"/>
            <w:vAlign w:val="center"/>
          </w:tcPr>
          <w:p w14:paraId="4C84A428" w14:textId="77777777" w:rsidR="00F909A0" w:rsidRPr="00F909A0" w:rsidRDefault="00F909A0" w:rsidP="00B56B65">
            <w:pPr>
              <w:spacing w:before="20" w:after="20"/>
              <w:jc w:val="right"/>
              <w:rPr>
                <w:sz w:val="16"/>
                <w:szCs w:val="16"/>
              </w:rPr>
            </w:pPr>
            <w:r w:rsidRPr="00F909A0">
              <w:rPr>
                <w:sz w:val="16"/>
                <w:szCs w:val="16"/>
              </w:rPr>
              <w:t>11.7</w:t>
            </w:r>
          </w:p>
        </w:tc>
        <w:tc>
          <w:tcPr>
            <w:tcW w:w="1043" w:type="dxa"/>
            <w:tcBorders>
              <w:right w:val="single" w:sz="4" w:space="0" w:color="auto"/>
            </w:tcBorders>
            <w:shd w:val="clear" w:color="auto" w:fill="auto"/>
            <w:vAlign w:val="center"/>
          </w:tcPr>
          <w:p w14:paraId="179A6687" w14:textId="77777777" w:rsidR="00F909A0" w:rsidRPr="00F909A0" w:rsidRDefault="00F909A0" w:rsidP="00B56B65">
            <w:pPr>
              <w:spacing w:before="20" w:after="20"/>
              <w:jc w:val="right"/>
              <w:rPr>
                <w:sz w:val="16"/>
                <w:szCs w:val="16"/>
              </w:rPr>
            </w:pPr>
            <w:r w:rsidRPr="00F909A0">
              <w:rPr>
                <w:sz w:val="16"/>
                <w:szCs w:val="16"/>
              </w:rPr>
              <w:t>(7.5, 15.8)</w:t>
            </w:r>
          </w:p>
        </w:tc>
        <w:tc>
          <w:tcPr>
            <w:tcW w:w="536" w:type="dxa"/>
            <w:tcBorders>
              <w:left w:val="single" w:sz="4" w:space="0" w:color="auto"/>
            </w:tcBorders>
            <w:shd w:val="clear" w:color="auto" w:fill="auto"/>
            <w:vAlign w:val="center"/>
          </w:tcPr>
          <w:p w14:paraId="195C1446" w14:textId="77777777" w:rsidR="00F909A0" w:rsidRPr="00F909A0" w:rsidRDefault="00F909A0" w:rsidP="00B56B65">
            <w:pPr>
              <w:spacing w:before="20" w:after="20"/>
              <w:jc w:val="right"/>
              <w:rPr>
                <w:sz w:val="16"/>
                <w:szCs w:val="16"/>
              </w:rPr>
            </w:pPr>
            <w:r w:rsidRPr="00F909A0">
              <w:rPr>
                <w:sz w:val="16"/>
                <w:szCs w:val="16"/>
              </w:rPr>
              <w:t>25</w:t>
            </w:r>
          </w:p>
        </w:tc>
        <w:tc>
          <w:tcPr>
            <w:tcW w:w="576" w:type="dxa"/>
            <w:shd w:val="clear" w:color="auto" w:fill="auto"/>
            <w:vAlign w:val="center"/>
          </w:tcPr>
          <w:p w14:paraId="7C8282FD" w14:textId="77777777" w:rsidR="00F909A0" w:rsidRPr="00F909A0" w:rsidRDefault="00F909A0" w:rsidP="00B56B65">
            <w:pPr>
              <w:spacing w:before="20" w:after="20"/>
              <w:jc w:val="right"/>
              <w:rPr>
                <w:sz w:val="16"/>
                <w:szCs w:val="16"/>
              </w:rPr>
            </w:pPr>
            <w:r w:rsidRPr="00F909A0">
              <w:rPr>
                <w:sz w:val="16"/>
                <w:szCs w:val="16"/>
              </w:rPr>
              <w:t>12.1</w:t>
            </w:r>
          </w:p>
        </w:tc>
        <w:tc>
          <w:tcPr>
            <w:tcW w:w="1043" w:type="dxa"/>
            <w:tcBorders>
              <w:right w:val="single" w:sz="4" w:space="0" w:color="auto"/>
            </w:tcBorders>
            <w:shd w:val="clear" w:color="auto" w:fill="auto"/>
            <w:vAlign w:val="center"/>
          </w:tcPr>
          <w:p w14:paraId="35E821A4" w14:textId="77777777" w:rsidR="00F909A0" w:rsidRPr="00F909A0" w:rsidRDefault="00F909A0" w:rsidP="00B56B65">
            <w:pPr>
              <w:spacing w:before="20" w:after="20"/>
              <w:jc w:val="right"/>
              <w:rPr>
                <w:sz w:val="16"/>
                <w:szCs w:val="16"/>
              </w:rPr>
            </w:pPr>
            <w:r w:rsidRPr="00F909A0">
              <w:rPr>
                <w:sz w:val="16"/>
                <w:szCs w:val="16"/>
              </w:rPr>
              <w:t>(6.9, 17.3)</w:t>
            </w:r>
          </w:p>
        </w:tc>
        <w:tc>
          <w:tcPr>
            <w:tcW w:w="536" w:type="dxa"/>
            <w:tcBorders>
              <w:left w:val="single" w:sz="4" w:space="0" w:color="auto"/>
            </w:tcBorders>
            <w:shd w:val="clear" w:color="auto" w:fill="auto"/>
            <w:vAlign w:val="center"/>
          </w:tcPr>
          <w:p w14:paraId="255F62A0" w14:textId="77777777" w:rsidR="00F909A0" w:rsidRPr="00F909A0" w:rsidRDefault="00F909A0" w:rsidP="00B56B65">
            <w:pPr>
              <w:spacing w:before="20" w:after="20"/>
              <w:jc w:val="right"/>
              <w:rPr>
                <w:sz w:val="16"/>
                <w:szCs w:val="16"/>
              </w:rPr>
            </w:pPr>
            <w:r w:rsidRPr="00F909A0">
              <w:rPr>
                <w:sz w:val="16"/>
                <w:szCs w:val="16"/>
              </w:rPr>
              <w:t>22</w:t>
            </w:r>
          </w:p>
        </w:tc>
        <w:tc>
          <w:tcPr>
            <w:tcW w:w="576" w:type="dxa"/>
            <w:shd w:val="clear" w:color="auto" w:fill="auto"/>
            <w:vAlign w:val="center"/>
          </w:tcPr>
          <w:p w14:paraId="575769FE" w14:textId="77777777" w:rsidR="00F909A0" w:rsidRPr="00F909A0" w:rsidRDefault="00F909A0" w:rsidP="00B56B65">
            <w:pPr>
              <w:spacing w:before="20" w:after="20"/>
              <w:jc w:val="right"/>
              <w:rPr>
                <w:sz w:val="16"/>
                <w:szCs w:val="16"/>
              </w:rPr>
            </w:pPr>
            <w:r w:rsidRPr="00F909A0">
              <w:rPr>
                <w:sz w:val="16"/>
                <w:szCs w:val="16"/>
              </w:rPr>
              <w:t>14.4</w:t>
            </w:r>
          </w:p>
        </w:tc>
        <w:tc>
          <w:tcPr>
            <w:tcW w:w="1043" w:type="dxa"/>
            <w:tcBorders>
              <w:right w:val="single" w:sz="4" w:space="0" w:color="auto"/>
            </w:tcBorders>
            <w:shd w:val="clear" w:color="auto" w:fill="auto"/>
            <w:vAlign w:val="center"/>
          </w:tcPr>
          <w:p w14:paraId="4F8A1542" w14:textId="77777777" w:rsidR="00F909A0" w:rsidRPr="00F909A0" w:rsidRDefault="00F909A0" w:rsidP="00B56B65">
            <w:pPr>
              <w:spacing w:before="20" w:after="20"/>
              <w:jc w:val="right"/>
              <w:rPr>
                <w:sz w:val="16"/>
                <w:szCs w:val="16"/>
              </w:rPr>
            </w:pPr>
            <w:r w:rsidRPr="00F909A0">
              <w:rPr>
                <w:sz w:val="16"/>
                <w:szCs w:val="16"/>
              </w:rPr>
              <w:t>(8.5, 20.2)</w:t>
            </w:r>
          </w:p>
        </w:tc>
        <w:tc>
          <w:tcPr>
            <w:tcW w:w="536" w:type="dxa"/>
            <w:tcBorders>
              <w:left w:val="single" w:sz="4" w:space="0" w:color="auto"/>
            </w:tcBorders>
            <w:shd w:val="clear" w:color="auto" w:fill="auto"/>
            <w:vAlign w:val="center"/>
          </w:tcPr>
          <w:p w14:paraId="7F5E5299" w14:textId="77777777" w:rsidR="00F909A0" w:rsidRPr="00F909A0" w:rsidRDefault="00F909A0" w:rsidP="00B56B65">
            <w:pPr>
              <w:spacing w:before="20" w:after="20"/>
              <w:jc w:val="right"/>
              <w:rPr>
                <w:sz w:val="16"/>
                <w:szCs w:val="16"/>
              </w:rPr>
            </w:pPr>
            <w:r w:rsidRPr="00F909A0">
              <w:rPr>
                <w:sz w:val="16"/>
                <w:szCs w:val="16"/>
              </w:rPr>
              <w:t>12</w:t>
            </w:r>
          </w:p>
        </w:tc>
        <w:tc>
          <w:tcPr>
            <w:tcW w:w="576" w:type="dxa"/>
            <w:shd w:val="clear" w:color="auto" w:fill="auto"/>
            <w:vAlign w:val="center"/>
          </w:tcPr>
          <w:p w14:paraId="6093BEAD" w14:textId="77777777" w:rsidR="00F909A0" w:rsidRPr="00F909A0" w:rsidRDefault="00F909A0" w:rsidP="00B56B65">
            <w:pPr>
              <w:spacing w:before="20" w:after="20"/>
              <w:jc w:val="right"/>
              <w:rPr>
                <w:sz w:val="16"/>
                <w:szCs w:val="16"/>
              </w:rPr>
            </w:pPr>
            <w:r w:rsidRPr="00F909A0">
              <w:rPr>
                <w:sz w:val="16"/>
                <w:szCs w:val="16"/>
              </w:rPr>
              <w:t>9.7</w:t>
            </w:r>
          </w:p>
        </w:tc>
        <w:tc>
          <w:tcPr>
            <w:tcW w:w="1123" w:type="dxa"/>
            <w:shd w:val="clear" w:color="auto" w:fill="auto"/>
            <w:vAlign w:val="center"/>
          </w:tcPr>
          <w:p w14:paraId="1F06DFDF" w14:textId="77777777" w:rsidR="00F909A0" w:rsidRPr="00F909A0" w:rsidRDefault="00F909A0" w:rsidP="00B56B65">
            <w:pPr>
              <w:spacing w:before="20" w:after="20"/>
              <w:jc w:val="right"/>
              <w:rPr>
                <w:sz w:val="16"/>
                <w:szCs w:val="16"/>
              </w:rPr>
            </w:pPr>
            <w:r w:rsidRPr="00F909A0">
              <w:rPr>
                <w:sz w:val="16"/>
                <w:szCs w:val="16"/>
              </w:rPr>
              <w:t>(3.7, 15.8)</w:t>
            </w:r>
          </w:p>
        </w:tc>
      </w:tr>
      <w:tr w:rsidR="00F909A0" w:rsidRPr="007B4EF8" w14:paraId="739AA89E" w14:textId="77777777" w:rsidTr="00B56B65">
        <w:trPr>
          <w:jc w:val="center"/>
        </w:trPr>
        <w:tc>
          <w:tcPr>
            <w:tcW w:w="1985" w:type="dxa"/>
            <w:shd w:val="clear" w:color="auto" w:fill="auto"/>
            <w:vAlign w:val="bottom"/>
          </w:tcPr>
          <w:p w14:paraId="25031713" w14:textId="77777777" w:rsidR="00F909A0" w:rsidRDefault="00F909A0" w:rsidP="00B56B65">
            <w:pPr>
              <w:spacing w:before="20" w:after="20"/>
              <w:rPr>
                <w:color w:val="000000"/>
                <w:sz w:val="16"/>
                <w:szCs w:val="16"/>
              </w:rPr>
            </w:pPr>
          </w:p>
        </w:tc>
        <w:tc>
          <w:tcPr>
            <w:tcW w:w="2693" w:type="dxa"/>
            <w:shd w:val="clear" w:color="auto" w:fill="auto"/>
            <w:vAlign w:val="center"/>
          </w:tcPr>
          <w:p w14:paraId="0298EEF3" w14:textId="77777777" w:rsidR="00F909A0" w:rsidRDefault="00F909A0" w:rsidP="00B56B65">
            <w:pPr>
              <w:spacing w:before="20" w:after="20"/>
              <w:rPr>
                <w:color w:val="000000"/>
                <w:sz w:val="16"/>
                <w:szCs w:val="16"/>
              </w:rPr>
            </w:pPr>
            <w:r>
              <w:rPr>
                <w:color w:val="000000"/>
                <w:sz w:val="16"/>
                <w:szCs w:val="16"/>
              </w:rPr>
              <w:t>Leave ATM/credit cards at home</w:t>
            </w:r>
          </w:p>
        </w:tc>
        <w:tc>
          <w:tcPr>
            <w:tcW w:w="536" w:type="dxa"/>
            <w:shd w:val="clear" w:color="auto" w:fill="auto"/>
            <w:vAlign w:val="center"/>
          </w:tcPr>
          <w:p w14:paraId="401398D9" w14:textId="77777777" w:rsidR="00F909A0" w:rsidRPr="00F909A0" w:rsidRDefault="00F909A0" w:rsidP="00B56B65">
            <w:pPr>
              <w:spacing w:before="20" w:after="20"/>
              <w:jc w:val="right"/>
              <w:rPr>
                <w:sz w:val="16"/>
                <w:szCs w:val="16"/>
              </w:rPr>
            </w:pPr>
            <w:r w:rsidRPr="00F909A0">
              <w:rPr>
                <w:sz w:val="16"/>
                <w:szCs w:val="16"/>
              </w:rPr>
              <w:t>22</w:t>
            </w:r>
          </w:p>
        </w:tc>
        <w:tc>
          <w:tcPr>
            <w:tcW w:w="576" w:type="dxa"/>
            <w:shd w:val="clear" w:color="auto" w:fill="auto"/>
            <w:vAlign w:val="center"/>
          </w:tcPr>
          <w:p w14:paraId="4ADB9BFE" w14:textId="77777777" w:rsidR="00F909A0" w:rsidRPr="00F909A0" w:rsidRDefault="00F909A0" w:rsidP="00B56B65">
            <w:pPr>
              <w:spacing w:before="20" w:after="20"/>
              <w:jc w:val="right"/>
              <w:rPr>
                <w:sz w:val="16"/>
                <w:szCs w:val="16"/>
              </w:rPr>
            </w:pPr>
            <w:r w:rsidRPr="00F909A0">
              <w:rPr>
                <w:sz w:val="16"/>
                <w:szCs w:val="16"/>
              </w:rPr>
              <w:t>7.1</w:t>
            </w:r>
          </w:p>
        </w:tc>
        <w:tc>
          <w:tcPr>
            <w:tcW w:w="1043" w:type="dxa"/>
            <w:tcBorders>
              <w:right w:val="single" w:sz="4" w:space="0" w:color="auto"/>
            </w:tcBorders>
            <w:shd w:val="clear" w:color="auto" w:fill="auto"/>
            <w:vAlign w:val="center"/>
          </w:tcPr>
          <w:p w14:paraId="65FC43FA" w14:textId="77777777" w:rsidR="00F909A0" w:rsidRPr="00F909A0" w:rsidRDefault="00F909A0" w:rsidP="00B56B65">
            <w:pPr>
              <w:spacing w:before="20" w:after="20"/>
              <w:jc w:val="right"/>
              <w:rPr>
                <w:sz w:val="16"/>
                <w:szCs w:val="16"/>
              </w:rPr>
            </w:pPr>
            <w:r w:rsidRPr="00F909A0">
              <w:rPr>
                <w:sz w:val="16"/>
                <w:szCs w:val="16"/>
              </w:rPr>
              <w:t>(3.2, 11.0)</w:t>
            </w:r>
          </w:p>
        </w:tc>
        <w:tc>
          <w:tcPr>
            <w:tcW w:w="536" w:type="dxa"/>
            <w:tcBorders>
              <w:left w:val="single" w:sz="4" w:space="0" w:color="auto"/>
            </w:tcBorders>
            <w:shd w:val="clear" w:color="auto" w:fill="auto"/>
            <w:vAlign w:val="center"/>
          </w:tcPr>
          <w:p w14:paraId="19C8AC75" w14:textId="77777777" w:rsidR="00F909A0" w:rsidRPr="00F909A0" w:rsidRDefault="00F909A0" w:rsidP="00B56B65">
            <w:pPr>
              <w:spacing w:before="20" w:after="20"/>
              <w:jc w:val="right"/>
              <w:rPr>
                <w:sz w:val="16"/>
                <w:szCs w:val="16"/>
              </w:rPr>
            </w:pPr>
            <w:r w:rsidRPr="00F909A0">
              <w:rPr>
                <w:sz w:val="16"/>
                <w:szCs w:val="16"/>
              </w:rPr>
              <w:t>12</w:t>
            </w:r>
          </w:p>
        </w:tc>
        <w:tc>
          <w:tcPr>
            <w:tcW w:w="576" w:type="dxa"/>
            <w:shd w:val="clear" w:color="auto" w:fill="auto"/>
            <w:vAlign w:val="center"/>
          </w:tcPr>
          <w:p w14:paraId="428CC7CA" w14:textId="77777777" w:rsidR="00F909A0" w:rsidRPr="00F909A0" w:rsidRDefault="00F909A0" w:rsidP="00B56B65">
            <w:pPr>
              <w:spacing w:before="20" w:after="20"/>
              <w:jc w:val="right"/>
              <w:rPr>
                <w:sz w:val="16"/>
                <w:szCs w:val="16"/>
              </w:rPr>
            </w:pPr>
            <w:r w:rsidRPr="00F909A0">
              <w:rPr>
                <w:sz w:val="16"/>
                <w:szCs w:val="16"/>
              </w:rPr>
              <w:t>5.7</w:t>
            </w:r>
          </w:p>
        </w:tc>
        <w:tc>
          <w:tcPr>
            <w:tcW w:w="1043" w:type="dxa"/>
            <w:tcBorders>
              <w:right w:val="single" w:sz="4" w:space="0" w:color="auto"/>
            </w:tcBorders>
            <w:shd w:val="clear" w:color="auto" w:fill="auto"/>
            <w:vAlign w:val="center"/>
          </w:tcPr>
          <w:p w14:paraId="2DD96E92" w14:textId="77777777" w:rsidR="00F909A0" w:rsidRPr="00F909A0" w:rsidRDefault="00F909A0" w:rsidP="00B56B65">
            <w:pPr>
              <w:spacing w:before="20" w:after="20"/>
              <w:jc w:val="right"/>
              <w:rPr>
                <w:sz w:val="16"/>
                <w:szCs w:val="16"/>
              </w:rPr>
            </w:pPr>
            <w:r w:rsidRPr="00F909A0">
              <w:rPr>
                <w:sz w:val="16"/>
                <w:szCs w:val="16"/>
              </w:rPr>
              <w:t>(2.0, 9.4)</w:t>
            </w:r>
          </w:p>
        </w:tc>
        <w:tc>
          <w:tcPr>
            <w:tcW w:w="536" w:type="dxa"/>
            <w:tcBorders>
              <w:left w:val="single" w:sz="4" w:space="0" w:color="auto"/>
            </w:tcBorders>
            <w:shd w:val="clear" w:color="auto" w:fill="auto"/>
            <w:vAlign w:val="center"/>
          </w:tcPr>
          <w:p w14:paraId="097396E2" w14:textId="77777777" w:rsidR="00F909A0" w:rsidRPr="00F909A0" w:rsidRDefault="00F909A0" w:rsidP="00B56B65">
            <w:pPr>
              <w:spacing w:before="20" w:after="20"/>
              <w:jc w:val="right"/>
              <w:rPr>
                <w:sz w:val="16"/>
                <w:szCs w:val="16"/>
              </w:rPr>
            </w:pPr>
            <w:r w:rsidRPr="00F909A0">
              <w:rPr>
                <w:sz w:val="16"/>
                <w:szCs w:val="16"/>
              </w:rPr>
              <w:t>8</w:t>
            </w:r>
          </w:p>
        </w:tc>
        <w:tc>
          <w:tcPr>
            <w:tcW w:w="576" w:type="dxa"/>
            <w:shd w:val="clear" w:color="auto" w:fill="auto"/>
            <w:vAlign w:val="center"/>
          </w:tcPr>
          <w:p w14:paraId="3270064A" w14:textId="77777777" w:rsidR="00F909A0" w:rsidRPr="00F909A0" w:rsidRDefault="00F909A0" w:rsidP="00B56B65">
            <w:pPr>
              <w:spacing w:before="20" w:after="20"/>
              <w:jc w:val="right"/>
              <w:rPr>
                <w:sz w:val="16"/>
                <w:szCs w:val="16"/>
              </w:rPr>
            </w:pPr>
            <w:r w:rsidRPr="00F909A0">
              <w:rPr>
                <w:sz w:val="16"/>
                <w:szCs w:val="16"/>
              </w:rPr>
              <w:t>5.1</w:t>
            </w:r>
          </w:p>
        </w:tc>
        <w:tc>
          <w:tcPr>
            <w:tcW w:w="1043" w:type="dxa"/>
            <w:tcBorders>
              <w:right w:val="single" w:sz="4" w:space="0" w:color="auto"/>
            </w:tcBorders>
            <w:shd w:val="clear" w:color="auto" w:fill="auto"/>
            <w:vAlign w:val="center"/>
          </w:tcPr>
          <w:p w14:paraId="0EAE027A" w14:textId="77777777" w:rsidR="00F909A0" w:rsidRPr="00F909A0" w:rsidRDefault="00F909A0" w:rsidP="00B56B65">
            <w:pPr>
              <w:spacing w:before="20" w:after="20"/>
              <w:jc w:val="right"/>
              <w:rPr>
                <w:sz w:val="16"/>
                <w:szCs w:val="16"/>
              </w:rPr>
            </w:pPr>
            <w:r w:rsidRPr="00F909A0">
              <w:rPr>
                <w:sz w:val="16"/>
                <w:szCs w:val="16"/>
              </w:rPr>
              <w:t>(1.8, 8.5)</w:t>
            </w:r>
          </w:p>
        </w:tc>
        <w:tc>
          <w:tcPr>
            <w:tcW w:w="536" w:type="dxa"/>
            <w:tcBorders>
              <w:left w:val="single" w:sz="4" w:space="0" w:color="auto"/>
            </w:tcBorders>
            <w:shd w:val="clear" w:color="auto" w:fill="auto"/>
            <w:vAlign w:val="center"/>
          </w:tcPr>
          <w:p w14:paraId="44A1C1A2" w14:textId="77777777" w:rsidR="00F909A0" w:rsidRPr="00F909A0" w:rsidRDefault="00F909A0" w:rsidP="00B56B65">
            <w:pPr>
              <w:spacing w:before="20" w:after="20"/>
              <w:jc w:val="right"/>
              <w:rPr>
                <w:sz w:val="16"/>
                <w:szCs w:val="16"/>
              </w:rPr>
            </w:pPr>
            <w:r w:rsidRPr="00F909A0">
              <w:rPr>
                <w:sz w:val="16"/>
                <w:szCs w:val="16"/>
              </w:rPr>
              <w:t>8</w:t>
            </w:r>
          </w:p>
        </w:tc>
        <w:tc>
          <w:tcPr>
            <w:tcW w:w="576" w:type="dxa"/>
            <w:shd w:val="clear" w:color="auto" w:fill="auto"/>
            <w:vAlign w:val="center"/>
          </w:tcPr>
          <w:p w14:paraId="0C8E505A" w14:textId="77777777" w:rsidR="00F909A0" w:rsidRPr="00F909A0" w:rsidRDefault="00F909A0" w:rsidP="00B56B65">
            <w:pPr>
              <w:spacing w:before="20" w:after="20"/>
              <w:jc w:val="right"/>
              <w:rPr>
                <w:sz w:val="16"/>
                <w:szCs w:val="16"/>
              </w:rPr>
            </w:pPr>
            <w:r w:rsidRPr="00F909A0">
              <w:rPr>
                <w:sz w:val="16"/>
                <w:szCs w:val="16"/>
              </w:rPr>
              <w:t>6.1</w:t>
            </w:r>
          </w:p>
        </w:tc>
        <w:tc>
          <w:tcPr>
            <w:tcW w:w="1123" w:type="dxa"/>
            <w:shd w:val="clear" w:color="auto" w:fill="auto"/>
            <w:vAlign w:val="center"/>
          </w:tcPr>
          <w:p w14:paraId="4AAD40C5" w14:textId="77777777" w:rsidR="00F909A0" w:rsidRPr="00F909A0" w:rsidRDefault="00F909A0" w:rsidP="00B56B65">
            <w:pPr>
              <w:spacing w:before="20" w:after="20"/>
              <w:jc w:val="right"/>
              <w:rPr>
                <w:sz w:val="16"/>
                <w:szCs w:val="16"/>
              </w:rPr>
            </w:pPr>
            <w:r w:rsidRPr="00F909A0">
              <w:rPr>
                <w:sz w:val="16"/>
                <w:szCs w:val="16"/>
              </w:rPr>
              <w:t>(0.0, 14.0)</w:t>
            </w:r>
          </w:p>
        </w:tc>
      </w:tr>
      <w:tr w:rsidR="00F909A0" w:rsidRPr="007B4EF8" w14:paraId="3CC88177" w14:textId="77777777" w:rsidTr="00B56B65">
        <w:trPr>
          <w:jc w:val="center"/>
        </w:trPr>
        <w:tc>
          <w:tcPr>
            <w:tcW w:w="1985" w:type="dxa"/>
            <w:shd w:val="clear" w:color="auto" w:fill="auto"/>
            <w:vAlign w:val="center"/>
          </w:tcPr>
          <w:p w14:paraId="0F43BA8D" w14:textId="77777777" w:rsidR="00F909A0" w:rsidRDefault="00F909A0" w:rsidP="00B56B65">
            <w:pPr>
              <w:spacing w:before="20" w:after="20"/>
              <w:rPr>
                <w:color w:val="000000"/>
                <w:sz w:val="16"/>
                <w:szCs w:val="16"/>
              </w:rPr>
            </w:pPr>
          </w:p>
        </w:tc>
        <w:tc>
          <w:tcPr>
            <w:tcW w:w="2693" w:type="dxa"/>
            <w:shd w:val="clear" w:color="auto" w:fill="auto"/>
            <w:vAlign w:val="center"/>
          </w:tcPr>
          <w:p w14:paraId="34585E28" w14:textId="77777777" w:rsidR="00F909A0" w:rsidRDefault="00F909A0" w:rsidP="00B56B65">
            <w:pPr>
              <w:spacing w:before="20" w:after="20"/>
              <w:rPr>
                <w:color w:val="000000"/>
                <w:sz w:val="16"/>
                <w:szCs w:val="16"/>
              </w:rPr>
            </w:pPr>
            <w:r>
              <w:rPr>
                <w:color w:val="000000"/>
                <w:sz w:val="16"/>
                <w:szCs w:val="16"/>
              </w:rPr>
              <w:t>Set a time limit</w:t>
            </w:r>
          </w:p>
        </w:tc>
        <w:tc>
          <w:tcPr>
            <w:tcW w:w="536" w:type="dxa"/>
            <w:shd w:val="clear" w:color="auto" w:fill="auto"/>
            <w:vAlign w:val="center"/>
          </w:tcPr>
          <w:p w14:paraId="3D210171" w14:textId="77777777" w:rsidR="00F909A0" w:rsidRPr="00F909A0" w:rsidRDefault="00F909A0" w:rsidP="00B56B65">
            <w:pPr>
              <w:spacing w:before="20" w:after="20"/>
              <w:jc w:val="right"/>
              <w:rPr>
                <w:sz w:val="16"/>
                <w:szCs w:val="16"/>
              </w:rPr>
            </w:pPr>
            <w:r w:rsidRPr="00F909A0">
              <w:rPr>
                <w:sz w:val="16"/>
                <w:szCs w:val="16"/>
              </w:rPr>
              <w:t>20</w:t>
            </w:r>
          </w:p>
        </w:tc>
        <w:tc>
          <w:tcPr>
            <w:tcW w:w="576" w:type="dxa"/>
            <w:shd w:val="clear" w:color="auto" w:fill="auto"/>
            <w:vAlign w:val="center"/>
          </w:tcPr>
          <w:p w14:paraId="36412EE2" w14:textId="77777777" w:rsidR="00F909A0" w:rsidRPr="00F909A0" w:rsidRDefault="00F909A0" w:rsidP="00B56B65">
            <w:pPr>
              <w:spacing w:before="20" w:after="20"/>
              <w:jc w:val="right"/>
              <w:rPr>
                <w:sz w:val="16"/>
                <w:szCs w:val="16"/>
              </w:rPr>
            </w:pPr>
            <w:r w:rsidRPr="00F909A0">
              <w:rPr>
                <w:sz w:val="16"/>
                <w:szCs w:val="16"/>
              </w:rPr>
              <w:t>6.7</w:t>
            </w:r>
          </w:p>
        </w:tc>
        <w:tc>
          <w:tcPr>
            <w:tcW w:w="1043" w:type="dxa"/>
            <w:tcBorders>
              <w:right w:val="single" w:sz="4" w:space="0" w:color="auto"/>
            </w:tcBorders>
            <w:shd w:val="clear" w:color="auto" w:fill="auto"/>
            <w:vAlign w:val="center"/>
          </w:tcPr>
          <w:p w14:paraId="7DB05DFA" w14:textId="77777777" w:rsidR="00F909A0" w:rsidRPr="00F909A0" w:rsidRDefault="00F909A0" w:rsidP="00B56B65">
            <w:pPr>
              <w:spacing w:before="20" w:after="20"/>
              <w:jc w:val="right"/>
              <w:rPr>
                <w:sz w:val="16"/>
                <w:szCs w:val="16"/>
              </w:rPr>
            </w:pPr>
            <w:r w:rsidRPr="00F909A0">
              <w:rPr>
                <w:sz w:val="16"/>
                <w:szCs w:val="16"/>
              </w:rPr>
              <w:t>(3.5, 9.8)</w:t>
            </w:r>
          </w:p>
        </w:tc>
        <w:tc>
          <w:tcPr>
            <w:tcW w:w="536" w:type="dxa"/>
            <w:tcBorders>
              <w:left w:val="single" w:sz="4" w:space="0" w:color="auto"/>
            </w:tcBorders>
            <w:shd w:val="clear" w:color="auto" w:fill="auto"/>
            <w:vAlign w:val="center"/>
          </w:tcPr>
          <w:p w14:paraId="721243C4" w14:textId="77777777" w:rsidR="00F909A0" w:rsidRPr="00F909A0" w:rsidRDefault="00F909A0" w:rsidP="00B56B65">
            <w:pPr>
              <w:spacing w:before="20" w:after="20"/>
              <w:jc w:val="right"/>
              <w:rPr>
                <w:sz w:val="16"/>
                <w:szCs w:val="16"/>
              </w:rPr>
            </w:pPr>
            <w:r w:rsidRPr="00F909A0">
              <w:rPr>
                <w:sz w:val="16"/>
                <w:szCs w:val="16"/>
              </w:rPr>
              <w:t>17</w:t>
            </w:r>
          </w:p>
        </w:tc>
        <w:tc>
          <w:tcPr>
            <w:tcW w:w="576" w:type="dxa"/>
            <w:shd w:val="clear" w:color="auto" w:fill="auto"/>
            <w:vAlign w:val="center"/>
          </w:tcPr>
          <w:p w14:paraId="41BEB176" w14:textId="77777777" w:rsidR="00F909A0" w:rsidRPr="00F909A0" w:rsidRDefault="00F909A0" w:rsidP="00B56B65">
            <w:pPr>
              <w:spacing w:before="20" w:after="20"/>
              <w:jc w:val="right"/>
              <w:rPr>
                <w:sz w:val="16"/>
                <w:szCs w:val="16"/>
              </w:rPr>
            </w:pPr>
            <w:r w:rsidRPr="00F909A0">
              <w:rPr>
                <w:sz w:val="16"/>
                <w:szCs w:val="16"/>
              </w:rPr>
              <w:t>8.1</w:t>
            </w:r>
          </w:p>
        </w:tc>
        <w:tc>
          <w:tcPr>
            <w:tcW w:w="1043" w:type="dxa"/>
            <w:tcBorders>
              <w:right w:val="single" w:sz="4" w:space="0" w:color="auto"/>
            </w:tcBorders>
            <w:shd w:val="clear" w:color="auto" w:fill="auto"/>
            <w:vAlign w:val="center"/>
          </w:tcPr>
          <w:p w14:paraId="4BAACE10" w14:textId="77777777" w:rsidR="00F909A0" w:rsidRPr="00F909A0" w:rsidRDefault="00F909A0" w:rsidP="00B56B65">
            <w:pPr>
              <w:spacing w:before="20" w:after="20"/>
              <w:jc w:val="right"/>
              <w:rPr>
                <w:sz w:val="16"/>
                <w:szCs w:val="16"/>
              </w:rPr>
            </w:pPr>
            <w:r w:rsidRPr="00F909A0">
              <w:rPr>
                <w:sz w:val="16"/>
                <w:szCs w:val="16"/>
              </w:rPr>
              <w:t>(4.1, 12.1)</w:t>
            </w:r>
          </w:p>
        </w:tc>
        <w:tc>
          <w:tcPr>
            <w:tcW w:w="536" w:type="dxa"/>
            <w:tcBorders>
              <w:left w:val="single" w:sz="4" w:space="0" w:color="auto"/>
            </w:tcBorders>
            <w:shd w:val="clear" w:color="auto" w:fill="auto"/>
            <w:vAlign w:val="center"/>
          </w:tcPr>
          <w:p w14:paraId="72B01F9D" w14:textId="77777777" w:rsidR="00F909A0" w:rsidRPr="00F909A0" w:rsidRDefault="00F909A0" w:rsidP="00B56B65">
            <w:pPr>
              <w:spacing w:before="20" w:after="20"/>
              <w:jc w:val="right"/>
              <w:rPr>
                <w:sz w:val="16"/>
                <w:szCs w:val="16"/>
              </w:rPr>
            </w:pPr>
            <w:r w:rsidRPr="00F909A0">
              <w:rPr>
                <w:sz w:val="16"/>
                <w:szCs w:val="16"/>
              </w:rPr>
              <w:t>7</w:t>
            </w:r>
          </w:p>
        </w:tc>
        <w:tc>
          <w:tcPr>
            <w:tcW w:w="576" w:type="dxa"/>
            <w:shd w:val="clear" w:color="auto" w:fill="auto"/>
            <w:vAlign w:val="center"/>
          </w:tcPr>
          <w:p w14:paraId="69B9C823" w14:textId="77777777" w:rsidR="00F909A0" w:rsidRPr="00F909A0" w:rsidRDefault="00F909A0" w:rsidP="00B56B65">
            <w:pPr>
              <w:spacing w:before="20" w:after="20"/>
              <w:jc w:val="right"/>
              <w:rPr>
                <w:sz w:val="16"/>
                <w:szCs w:val="16"/>
              </w:rPr>
            </w:pPr>
            <w:r w:rsidRPr="00F909A0">
              <w:rPr>
                <w:sz w:val="16"/>
                <w:szCs w:val="16"/>
              </w:rPr>
              <w:t>4.7</w:t>
            </w:r>
          </w:p>
        </w:tc>
        <w:tc>
          <w:tcPr>
            <w:tcW w:w="1043" w:type="dxa"/>
            <w:tcBorders>
              <w:right w:val="single" w:sz="4" w:space="0" w:color="auto"/>
            </w:tcBorders>
            <w:shd w:val="clear" w:color="auto" w:fill="auto"/>
            <w:vAlign w:val="center"/>
          </w:tcPr>
          <w:p w14:paraId="173FDB88" w14:textId="77777777" w:rsidR="00F909A0" w:rsidRPr="00F909A0" w:rsidRDefault="00F909A0" w:rsidP="00B56B65">
            <w:pPr>
              <w:spacing w:before="20" w:after="20"/>
              <w:jc w:val="right"/>
              <w:rPr>
                <w:sz w:val="16"/>
                <w:szCs w:val="16"/>
              </w:rPr>
            </w:pPr>
            <w:r w:rsidRPr="00F909A0">
              <w:rPr>
                <w:sz w:val="16"/>
                <w:szCs w:val="16"/>
              </w:rPr>
              <w:t>(1.7, 7.7)</w:t>
            </w:r>
          </w:p>
        </w:tc>
        <w:tc>
          <w:tcPr>
            <w:tcW w:w="536" w:type="dxa"/>
            <w:tcBorders>
              <w:left w:val="single" w:sz="4" w:space="0" w:color="auto"/>
            </w:tcBorders>
            <w:shd w:val="clear" w:color="auto" w:fill="auto"/>
            <w:vAlign w:val="center"/>
          </w:tcPr>
          <w:p w14:paraId="07D5AAB4" w14:textId="77777777" w:rsidR="00F909A0" w:rsidRPr="00F909A0" w:rsidRDefault="00F909A0" w:rsidP="00B56B65">
            <w:pPr>
              <w:spacing w:before="20" w:after="20"/>
              <w:jc w:val="right"/>
              <w:rPr>
                <w:sz w:val="16"/>
                <w:szCs w:val="16"/>
              </w:rPr>
            </w:pPr>
            <w:r w:rsidRPr="00F909A0">
              <w:rPr>
                <w:sz w:val="16"/>
                <w:szCs w:val="16"/>
              </w:rPr>
              <w:t>6</w:t>
            </w:r>
          </w:p>
        </w:tc>
        <w:tc>
          <w:tcPr>
            <w:tcW w:w="576" w:type="dxa"/>
            <w:shd w:val="clear" w:color="auto" w:fill="auto"/>
            <w:vAlign w:val="center"/>
          </w:tcPr>
          <w:p w14:paraId="2B027B02" w14:textId="77777777" w:rsidR="00F909A0" w:rsidRPr="00F909A0" w:rsidRDefault="00F909A0" w:rsidP="00B56B65">
            <w:pPr>
              <w:spacing w:before="20" w:after="20"/>
              <w:jc w:val="right"/>
              <w:rPr>
                <w:sz w:val="16"/>
                <w:szCs w:val="16"/>
              </w:rPr>
            </w:pPr>
            <w:r w:rsidRPr="00F909A0">
              <w:rPr>
                <w:sz w:val="16"/>
                <w:szCs w:val="16"/>
              </w:rPr>
              <w:t>4.9</w:t>
            </w:r>
          </w:p>
        </w:tc>
        <w:tc>
          <w:tcPr>
            <w:tcW w:w="1123" w:type="dxa"/>
            <w:shd w:val="clear" w:color="auto" w:fill="auto"/>
            <w:vAlign w:val="center"/>
          </w:tcPr>
          <w:p w14:paraId="1935B75F" w14:textId="77777777" w:rsidR="00F909A0" w:rsidRPr="00F909A0" w:rsidRDefault="00F909A0" w:rsidP="00B56B65">
            <w:pPr>
              <w:spacing w:before="20" w:after="20"/>
              <w:jc w:val="right"/>
              <w:rPr>
                <w:sz w:val="16"/>
                <w:szCs w:val="16"/>
              </w:rPr>
            </w:pPr>
            <w:r w:rsidRPr="00F909A0">
              <w:rPr>
                <w:sz w:val="16"/>
                <w:szCs w:val="16"/>
              </w:rPr>
              <w:t>(1.2, 8.6)</w:t>
            </w:r>
          </w:p>
        </w:tc>
      </w:tr>
      <w:tr w:rsidR="00F909A0" w:rsidRPr="007B4EF8" w14:paraId="183C9727" w14:textId="77777777" w:rsidTr="00B56B65">
        <w:trPr>
          <w:jc w:val="center"/>
        </w:trPr>
        <w:tc>
          <w:tcPr>
            <w:tcW w:w="1985" w:type="dxa"/>
            <w:shd w:val="clear" w:color="auto" w:fill="auto"/>
            <w:vAlign w:val="bottom"/>
          </w:tcPr>
          <w:p w14:paraId="731B96C8" w14:textId="77777777" w:rsidR="00F909A0" w:rsidRDefault="00F909A0" w:rsidP="00B56B65">
            <w:pPr>
              <w:spacing w:before="20" w:after="20"/>
              <w:rPr>
                <w:color w:val="000000"/>
                <w:sz w:val="16"/>
                <w:szCs w:val="16"/>
              </w:rPr>
            </w:pPr>
          </w:p>
        </w:tc>
        <w:tc>
          <w:tcPr>
            <w:tcW w:w="2693" w:type="dxa"/>
            <w:shd w:val="clear" w:color="auto" w:fill="auto"/>
            <w:vAlign w:val="center"/>
          </w:tcPr>
          <w:p w14:paraId="04746DB9" w14:textId="77777777" w:rsidR="00F909A0" w:rsidRDefault="00F909A0" w:rsidP="00B56B65">
            <w:pPr>
              <w:spacing w:before="20" w:after="20"/>
              <w:rPr>
                <w:color w:val="000000"/>
                <w:sz w:val="16"/>
                <w:szCs w:val="16"/>
              </w:rPr>
            </w:pPr>
            <w:r>
              <w:rPr>
                <w:color w:val="000000"/>
                <w:sz w:val="16"/>
                <w:szCs w:val="16"/>
              </w:rPr>
              <w:t>Avoid betting/gambling places</w:t>
            </w:r>
          </w:p>
        </w:tc>
        <w:tc>
          <w:tcPr>
            <w:tcW w:w="536" w:type="dxa"/>
            <w:shd w:val="clear" w:color="auto" w:fill="auto"/>
            <w:vAlign w:val="center"/>
          </w:tcPr>
          <w:p w14:paraId="01A1F773" w14:textId="77777777" w:rsidR="00F909A0" w:rsidRPr="00F909A0" w:rsidRDefault="00F909A0" w:rsidP="00B56B65">
            <w:pPr>
              <w:spacing w:before="20" w:after="20"/>
              <w:jc w:val="right"/>
              <w:rPr>
                <w:sz w:val="16"/>
                <w:szCs w:val="16"/>
              </w:rPr>
            </w:pPr>
            <w:r w:rsidRPr="00F909A0">
              <w:rPr>
                <w:sz w:val="16"/>
                <w:szCs w:val="16"/>
              </w:rPr>
              <w:t>19</w:t>
            </w:r>
          </w:p>
        </w:tc>
        <w:tc>
          <w:tcPr>
            <w:tcW w:w="576" w:type="dxa"/>
            <w:shd w:val="clear" w:color="auto" w:fill="auto"/>
            <w:vAlign w:val="center"/>
          </w:tcPr>
          <w:p w14:paraId="3D9EB4D2" w14:textId="77777777" w:rsidR="00F909A0" w:rsidRPr="00F909A0" w:rsidRDefault="00F909A0" w:rsidP="00B56B65">
            <w:pPr>
              <w:spacing w:before="20" w:after="20"/>
              <w:jc w:val="right"/>
              <w:rPr>
                <w:sz w:val="16"/>
                <w:szCs w:val="16"/>
              </w:rPr>
            </w:pPr>
            <w:r w:rsidRPr="00F909A0">
              <w:rPr>
                <w:sz w:val="16"/>
                <w:szCs w:val="16"/>
              </w:rPr>
              <w:t>6.2</w:t>
            </w:r>
          </w:p>
        </w:tc>
        <w:tc>
          <w:tcPr>
            <w:tcW w:w="1043" w:type="dxa"/>
            <w:tcBorders>
              <w:right w:val="single" w:sz="4" w:space="0" w:color="auto"/>
            </w:tcBorders>
            <w:shd w:val="clear" w:color="auto" w:fill="auto"/>
            <w:vAlign w:val="center"/>
          </w:tcPr>
          <w:p w14:paraId="0C8B9F0E" w14:textId="77777777" w:rsidR="00F909A0" w:rsidRPr="00F909A0" w:rsidRDefault="00F909A0" w:rsidP="00B56B65">
            <w:pPr>
              <w:spacing w:before="20" w:after="20"/>
              <w:jc w:val="right"/>
              <w:rPr>
                <w:sz w:val="16"/>
                <w:szCs w:val="16"/>
              </w:rPr>
            </w:pPr>
            <w:r w:rsidRPr="00F909A0">
              <w:rPr>
                <w:sz w:val="16"/>
                <w:szCs w:val="16"/>
              </w:rPr>
              <w:t>(3.4, 9.1)</w:t>
            </w:r>
          </w:p>
        </w:tc>
        <w:tc>
          <w:tcPr>
            <w:tcW w:w="536" w:type="dxa"/>
            <w:tcBorders>
              <w:left w:val="single" w:sz="4" w:space="0" w:color="auto"/>
            </w:tcBorders>
            <w:shd w:val="clear" w:color="auto" w:fill="auto"/>
            <w:vAlign w:val="center"/>
          </w:tcPr>
          <w:p w14:paraId="636194F4" w14:textId="77777777" w:rsidR="00F909A0" w:rsidRPr="00F909A0" w:rsidRDefault="00F909A0" w:rsidP="00B56B65">
            <w:pPr>
              <w:spacing w:before="20" w:after="20"/>
              <w:jc w:val="right"/>
              <w:rPr>
                <w:sz w:val="16"/>
                <w:szCs w:val="16"/>
              </w:rPr>
            </w:pPr>
            <w:r w:rsidRPr="00F909A0">
              <w:rPr>
                <w:sz w:val="16"/>
                <w:szCs w:val="16"/>
              </w:rPr>
              <w:t>12</w:t>
            </w:r>
          </w:p>
        </w:tc>
        <w:tc>
          <w:tcPr>
            <w:tcW w:w="576" w:type="dxa"/>
            <w:shd w:val="clear" w:color="auto" w:fill="auto"/>
            <w:vAlign w:val="center"/>
          </w:tcPr>
          <w:p w14:paraId="319C4FAD" w14:textId="77777777" w:rsidR="00F909A0" w:rsidRPr="00F909A0" w:rsidRDefault="00F909A0" w:rsidP="00B56B65">
            <w:pPr>
              <w:spacing w:before="20" w:after="20"/>
              <w:jc w:val="right"/>
              <w:rPr>
                <w:sz w:val="16"/>
                <w:szCs w:val="16"/>
              </w:rPr>
            </w:pPr>
            <w:r w:rsidRPr="00F909A0">
              <w:rPr>
                <w:sz w:val="16"/>
                <w:szCs w:val="16"/>
              </w:rPr>
              <w:t>6.0</w:t>
            </w:r>
          </w:p>
        </w:tc>
        <w:tc>
          <w:tcPr>
            <w:tcW w:w="1043" w:type="dxa"/>
            <w:tcBorders>
              <w:right w:val="single" w:sz="4" w:space="0" w:color="auto"/>
            </w:tcBorders>
            <w:shd w:val="clear" w:color="auto" w:fill="auto"/>
            <w:vAlign w:val="center"/>
          </w:tcPr>
          <w:p w14:paraId="54A95D10" w14:textId="77777777" w:rsidR="00F909A0" w:rsidRPr="00F909A0" w:rsidRDefault="00F909A0" w:rsidP="00B56B65">
            <w:pPr>
              <w:spacing w:before="20" w:after="20"/>
              <w:jc w:val="right"/>
              <w:rPr>
                <w:sz w:val="16"/>
                <w:szCs w:val="16"/>
              </w:rPr>
            </w:pPr>
            <w:r w:rsidRPr="00F909A0">
              <w:rPr>
                <w:sz w:val="16"/>
                <w:szCs w:val="16"/>
              </w:rPr>
              <w:t>(2.6, 9.4)</w:t>
            </w:r>
          </w:p>
        </w:tc>
        <w:tc>
          <w:tcPr>
            <w:tcW w:w="536" w:type="dxa"/>
            <w:tcBorders>
              <w:left w:val="single" w:sz="4" w:space="0" w:color="auto"/>
            </w:tcBorders>
            <w:shd w:val="clear" w:color="auto" w:fill="auto"/>
            <w:vAlign w:val="center"/>
          </w:tcPr>
          <w:p w14:paraId="00641804" w14:textId="77777777" w:rsidR="00F909A0" w:rsidRPr="00F909A0" w:rsidRDefault="00F909A0" w:rsidP="00B56B65">
            <w:pPr>
              <w:spacing w:before="20" w:after="20"/>
              <w:jc w:val="right"/>
              <w:rPr>
                <w:sz w:val="16"/>
                <w:szCs w:val="16"/>
              </w:rPr>
            </w:pPr>
            <w:r w:rsidRPr="00F909A0">
              <w:rPr>
                <w:sz w:val="16"/>
                <w:szCs w:val="16"/>
              </w:rPr>
              <w:t>3</w:t>
            </w:r>
          </w:p>
        </w:tc>
        <w:tc>
          <w:tcPr>
            <w:tcW w:w="576" w:type="dxa"/>
            <w:shd w:val="clear" w:color="auto" w:fill="auto"/>
            <w:vAlign w:val="center"/>
          </w:tcPr>
          <w:p w14:paraId="1AFA05D5" w14:textId="77777777" w:rsidR="00F909A0" w:rsidRPr="00F909A0" w:rsidRDefault="00F909A0" w:rsidP="00B56B65">
            <w:pPr>
              <w:spacing w:before="20" w:after="20"/>
              <w:jc w:val="right"/>
              <w:rPr>
                <w:sz w:val="16"/>
                <w:szCs w:val="16"/>
              </w:rPr>
            </w:pPr>
            <w:r w:rsidRPr="00F909A0">
              <w:rPr>
                <w:sz w:val="16"/>
                <w:szCs w:val="16"/>
              </w:rPr>
              <w:t>1.8</w:t>
            </w:r>
          </w:p>
        </w:tc>
        <w:tc>
          <w:tcPr>
            <w:tcW w:w="1043" w:type="dxa"/>
            <w:tcBorders>
              <w:right w:val="single" w:sz="4" w:space="0" w:color="auto"/>
            </w:tcBorders>
            <w:shd w:val="clear" w:color="auto" w:fill="auto"/>
            <w:vAlign w:val="center"/>
          </w:tcPr>
          <w:p w14:paraId="04BE6E96" w14:textId="77777777" w:rsidR="00F909A0" w:rsidRPr="00F909A0" w:rsidRDefault="00F909A0" w:rsidP="00B56B65">
            <w:pPr>
              <w:spacing w:before="20" w:after="20"/>
              <w:jc w:val="right"/>
              <w:rPr>
                <w:sz w:val="16"/>
                <w:szCs w:val="16"/>
              </w:rPr>
            </w:pPr>
            <w:r w:rsidRPr="00F909A0">
              <w:rPr>
                <w:sz w:val="16"/>
                <w:szCs w:val="16"/>
              </w:rPr>
              <w:t>(0.3, 3.3)</w:t>
            </w:r>
          </w:p>
        </w:tc>
        <w:tc>
          <w:tcPr>
            <w:tcW w:w="536" w:type="dxa"/>
            <w:tcBorders>
              <w:left w:val="single" w:sz="4" w:space="0" w:color="auto"/>
            </w:tcBorders>
            <w:shd w:val="clear" w:color="auto" w:fill="auto"/>
            <w:vAlign w:val="center"/>
          </w:tcPr>
          <w:p w14:paraId="18A526D1" w14:textId="77777777" w:rsidR="00F909A0" w:rsidRPr="00F909A0" w:rsidRDefault="00F909A0" w:rsidP="00B56B65">
            <w:pPr>
              <w:spacing w:before="20" w:after="20"/>
              <w:jc w:val="right"/>
              <w:rPr>
                <w:sz w:val="16"/>
                <w:szCs w:val="16"/>
              </w:rPr>
            </w:pPr>
            <w:r w:rsidRPr="00F909A0">
              <w:rPr>
                <w:sz w:val="16"/>
                <w:szCs w:val="16"/>
              </w:rPr>
              <w:t>9</w:t>
            </w:r>
          </w:p>
        </w:tc>
        <w:tc>
          <w:tcPr>
            <w:tcW w:w="576" w:type="dxa"/>
            <w:shd w:val="clear" w:color="auto" w:fill="auto"/>
            <w:vAlign w:val="center"/>
          </w:tcPr>
          <w:p w14:paraId="12CEEDDB" w14:textId="77777777" w:rsidR="00F909A0" w:rsidRPr="00F909A0" w:rsidRDefault="00F909A0" w:rsidP="00B56B65">
            <w:pPr>
              <w:spacing w:before="20" w:after="20"/>
              <w:jc w:val="right"/>
              <w:rPr>
                <w:sz w:val="16"/>
                <w:szCs w:val="16"/>
              </w:rPr>
            </w:pPr>
            <w:r w:rsidRPr="00F909A0">
              <w:rPr>
                <w:sz w:val="16"/>
                <w:szCs w:val="16"/>
              </w:rPr>
              <w:t>7.0</w:t>
            </w:r>
          </w:p>
        </w:tc>
        <w:tc>
          <w:tcPr>
            <w:tcW w:w="1123" w:type="dxa"/>
            <w:shd w:val="clear" w:color="auto" w:fill="auto"/>
            <w:vAlign w:val="center"/>
          </w:tcPr>
          <w:p w14:paraId="27879A71" w14:textId="77777777" w:rsidR="00F909A0" w:rsidRPr="00F909A0" w:rsidRDefault="00F909A0" w:rsidP="00B56B65">
            <w:pPr>
              <w:spacing w:before="20" w:after="20"/>
              <w:jc w:val="right"/>
              <w:rPr>
                <w:sz w:val="16"/>
                <w:szCs w:val="16"/>
              </w:rPr>
            </w:pPr>
            <w:r w:rsidRPr="00F909A0">
              <w:rPr>
                <w:sz w:val="16"/>
                <w:szCs w:val="16"/>
              </w:rPr>
              <w:t>(1.9, 12.0)</w:t>
            </w:r>
          </w:p>
        </w:tc>
      </w:tr>
      <w:tr w:rsidR="00F909A0" w:rsidRPr="007B4EF8" w14:paraId="1E8EA3F1" w14:textId="77777777" w:rsidTr="00B56B65">
        <w:trPr>
          <w:jc w:val="center"/>
        </w:trPr>
        <w:tc>
          <w:tcPr>
            <w:tcW w:w="1985" w:type="dxa"/>
            <w:shd w:val="clear" w:color="auto" w:fill="auto"/>
            <w:vAlign w:val="center"/>
          </w:tcPr>
          <w:p w14:paraId="677F6C30" w14:textId="77777777" w:rsidR="00F909A0" w:rsidRDefault="00F909A0" w:rsidP="00B56B65">
            <w:pPr>
              <w:spacing w:before="20" w:after="20"/>
              <w:rPr>
                <w:color w:val="000000"/>
                <w:sz w:val="16"/>
                <w:szCs w:val="16"/>
              </w:rPr>
            </w:pPr>
            <w:r>
              <w:rPr>
                <w:color w:val="000000"/>
                <w:sz w:val="16"/>
                <w:szCs w:val="16"/>
              </w:rPr>
              <w:t>Moderate-risk/problem gambler</w:t>
            </w:r>
          </w:p>
        </w:tc>
        <w:tc>
          <w:tcPr>
            <w:tcW w:w="2693" w:type="dxa"/>
            <w:shd w:val="clear" w:color="auto" w:fill="auto"/>
            <w:vAlign w:val="center"/>
          </w:tcPr>
          <w:p w14:paraId="1E66500C" w14:textId="77777777" w:rsidR="00F909A0" w:rsidRDefault="00F909A0" w:rsidP="00B56B65">
            <w:pPr>
              <w:spacing w:before="20" w:after="20"/>
              <w:rPr>
                <w:color w:val="000000"/>
                <w:sz w:val="16"/>
                <w:szCs w:val="16"/>
              </w:rPr>
            </w:pPr>
            <w:r>
              <w:rPr>
                <w:color w:val="000000"/>
                <w:sz w:val="16"/>
                <w:szCs w:val="16"/>
              </w:rPr>
              <w:t>Set a money limit</w:t>
            </w:r>
          </w:p>
        </w:tc>
        <w:tc>
          <w:tcPr>
            <w:tcW w:w="536" w:type="dxa"/>
            <w:shd w:val="clear" w:color="auto" w:fill="auto"/>
            <w:vAlign w:val="center"/>
          </w:tcPr>
          <w:p w14:paraId="56199155" w14:textId="77777777" w:rsidR="00F909A0" w:rsidRPr="00F909A0" w:rsidRDefault="00F909A0" w:rsidP="00B56B65">
            <w:pPr>
              <w:spacing w:before="20" w:after="20"/>
              <w:jc w:val="right"/>
              <w:rPr>
                <w:sz w:val="16"/>
                <w:szCs w:val="16"/>
              </w:rPr>
            </w:pPr>
            <w:r w:rsidRPr="00F909A0">
              <w:rPr>
                <w:sz w:val="16"/>
                <w:szCs w:val="16"/>
              </w:rPr>
              <w:t>65</w:t>
            </w:r>
          </w:p>
        </w:tc>
        <w:tc>
          <w:tcPr>
            <w:tcW w:w="576" w:type="dxa"/>
            <w:shd w:val="clear" w:color="auto" w:fill="auto"/>
            <w:vAlign w:val="center"/>
          </w:tcPr>
          <w:p w14:paraId="2DE953D4" w14:textId="77777777" w:rsidR="00F909A0" w:rsidRPr="00F909A0" w:rsidRDefault="00F909A0" w:rsidP="00B56B65">
            <w:pPr>
              <w:spacing w:before="20" w:after="20"/>
              <w:jc w:val="right"/>
              <w:rPr>
                <w:sz w:val="16"/>
                <w:szCs w:val="16"/>
              </w:rPr>
            </w:pPr>
            <w:r w:rsidRPr="00F909A0">
              <w:rPr>
                <w:sz w:val="16"/>
                <w:szCs w:val="16"/>
              </w:rPr>
              <w:t>43.9</w:t>
            </w:r>
          </w:p>
        </w:tc>
        <w:tc>
          <w:tcPr>
            <w:tcW w:w="1043" w:type="dxa"/>
            <w:tcBorders>
              <w:right w:val="single" w:sz="4" w:space="0" w:color="auto"/>
            </w:tcBorders>
            <w:shd w:val="clear" w:color="auto" w:fill="auto"/>
            <w:vAlign w:val="center"/>
          </w:tcPr>
          <w:p w14:paraId="6B41BFB5" w14:textId="77777777" w:rsidR="00F909A0" w:rsidRPr="00F909A0" w:rsidRDefault="00F909A0" w:rsidP="00B56B65">
            <w:pPr>
              <w:spacing w:before="20" w:after="20"/>
              <w:jc w:val="right"/>
              <w:rPr>
                <w:sz w:val="16"/>
                <w:szCs w:val="16"/>
              </w:rPr>
            </w:pPr>
            <w:r w:rsidRPr="00F909A0">
              <w:rPr>
                <w:sz w:val="16"/>
                <w:szCs w:val="16"/>
              </w:rPr>
              <w:t>(34.8, 53.0)</w:t>
            </w:r>
          </w:p>
        </w:tc>
        <w:tc>
          <w:tcPr>
            <w:tcW w:w="536" w:type="dxa"/>
            <w:tcBorders>
              <w:left w:val="single" w:sz="4" w:space="0" w:color="auto"/>
            </w:tcBorders>
            <w:shd w:val="clear" w:color="auto" w:fill="auto"/>
            <w:vAlign w:val="center"/>
          </w:tcPr>
          <w:p w14:paraId="54647ED6" w14:textId="77777777" w:rsidR="00F909A0" w:rsidRPr="00F909A0" w:rsidRDefault="00F909A0" w:rsidP="00B56B65">
            <w:pPr>
              <w:spacing w:before="20" w:after="20"/>
              <w:jc w:val="right"/>
              <w:rPr>
                <w:sz w:val="16"/>
                <w:szCs w:val="16"/>
              </w:rPr>
            </w:pPr>
            <w:r w:rsidRPr="00F909A0">
              <w:rPr>
                <w:sz w:val="16"/>
                <w:szCs w:val="16"/>
              </w:rPr>
              <w:t>27</w:t>
            </w:r>
          </w:p>
        </w:tc>
        <w:tc>
          <w:tcPr>
            <w:tcW w:w="576" w:type="dxa"/>
            <w:shd w:val="clear" w:color="auto" w:fill="auto"/>
            <w:vAlign w:val="center"/>
          </w:tcPr>
          <w:p w14:paraId="2E62A9CA" w14:textId="77777777" w:rsidR="00F909A0" w:rsidRPr="00F909A0" w:rsidRDefault="00F909A0" w:rsidP="00B56B65">
            <w:pPr>
              <w:spacing w:before="20" w:after="20"/>
              <w:jc w:val="right"/>
              <w:rPr>
                <w:sz w:val="16"/>
                <w:szCs w:val="16"/>
              </w:rPr>
            </w:pPr>
            <w:r w:rsidRPr="00F909A0">
              <w:rPr>
                <w:sz w:val="16"/>
                <w:szCs w:val="16"/>
              </w:rPr>
              <w:t>36.1</w:t>
            </w:r>
          </w:p>
        </w:tc>
        <w:tc>
          <w:tcPr>
            <w:tcW w:w="1043" w:type="dxa"/>
            <w:tcBorders>
              <w:right w:val="single" w:sz="4" w:space="0" w:color="auto"/>
            </w:tcBorders>
            <w:shd w:val="clear" w:color="auto" w:fill="auto"/>
            <w:vAlign w:val="center"/>
          </w:tcPr>
          <w:p w14:paraId="1A188041" w14:textId="77777777" w:rsidR="00F909A0" w:rsidRPr="00F909A0" w:rsidRDefault="00F909A0" w:rsidP="00B56B65">
            <w:pPr>
              <w:spacing w:before="20" w:after="20"/>
              <w:jc w:val="right"/>
              <w:rPr>
                <w:sz w:val="16"/>
                <w:szCs w:val="16"/>
              </w:rPr>
            </w:pPr>
            <w:r w:rsidRPr="00F909A0">
              <w:rPr>
                <w:sz w:val="16"/>
                <w:szCs w:val="16"/>
              </w:rPr>
              <w:t>(24.9, 47.3)</w:t>
            </w:r>
          </w:p>
        </w:tc>
        <w:tc>
          <w:tcPr>
            <w:tcW w:w="536" w:type="dxa"/>
            <w:tcBorders>
              <w:left w:val="single" w:sz="4" w:space="0" w:color="auto"/>
            </w:tcBorders>
            <w:shd w:val="clear" w:color="auto" w:fill="auto"/>
            <w:vAlign w:val="center"/>
          </w:tcPr>
          <w:p w14:paraId="38FCF73C" w14:textId="77777777" w:rsidR="00F909A0" w:rsidRPr="00F909A0" w:rsidRDefault="00F909A0" w:rsidP="00B56B65">
            <w:pPr>
              <w:spacing w:before="20" w:after="20"/>
              <w:jc w:val="right"/>
              <w:rPr>
                <w:sz w:val="16"/>
                <w:szCs w:val="16"/>
              </w:rPr>
            </w:pPr>
            <w:r w:rsidRPr="00F909A0">
              <w:rPr>
                <w:sz w:val="16"/>
                <w:szCs w:val="16"/>
              </w:rPr>
              <w:t>23</w:t>
            </w:r>
          </w:p>
        </w:tc>
        <w:tc>
          <w:tcPr>
            <w:tcW w:w="576" w:type="dxa"/>
            <w:shd w:val="clear" w:color="auto" w:fill="auto"/>
            <w:vAlign w:val="center"/>
          </w:tcPr>
          <w:p w14:paraId="5BA5866C" w14:textId="77777777" w:rsidR="00F909A0" w:rsidRPr="00F909A0" w:rsidRDefault="00F909A0" w:rsidP="00B56B65">
            <w:pPr>
              <w:spacing w:before="20" w:after="20"/>
              <w:jc w:val="right"/>
              <w:rPr>
                <w:sz w:val="16"/>
                <w:szCs w:val="16"/>
              </w:rPr>
            </w:pPr>
            <w:r w:rsidRPr="00F909A0">
              <w:rPr>
                <w:sz w:val="16"/>
                <w:szCs w:val="16"/>
              </w:rPr>
              <w:t>41.4</w:t>
            </w:r>
          </w:p>
        </w:tc>
        <w:tc>
          <w:tcPr>
            <w:tcW w:w="1043" w:type="dxa"/>
            <w:tcBorders>
              <w:right w:val="single" w:sz="4" w:space="0" w:color="auto"/>
            </w:tcBorders>
            <w:shd w:val="clear" w:color="auto" w:fill="auto"/>
            <w:vAlign w:val="center"/>
          </w:tcPr>
          <w:p w14:paraId="7822BDF7" w14:textId="77777777" w:rsidR="00F909A0" w:rsidRPr="00F909A0" w:rsidRDefault="00F909A0" w:rsidP="00B56B65">
            <w:pPr>
              <w:spacing w:before="20" w:after="20"/>
              <w:jc w:val="right"/>
              <w:rPr>
                <w:sz w:val="16"/>
                <w:szCs w:val="16"/>
              </w:rPr>
            </w:pPr>
            <w:r w:rsidRPr="00F909A0">
              <w:rPr>
                <w:sz w:val="16"/>
                <w:szCs w:val="16"/>
              </w:rPr>
              <w:t>(30.3, 52.6)</w:t>
            </w:r>
          </w:p>
        </w:tc>
        <w:tc>
          <w:tcPr>
            <w:tcW w:w="536" w:type="dxa"/>
            <w:tcBorders>
              <w:left w:val="single" w:sz="4" w:space="0" w:color="auto"/>
            </w:tcBorders>
            <w:shd w:val="clear" w:color="auto" w:fill="auto"/>
            <w:vAlign w:val="center"/>
          </w:tcPr>
          <w:p w14:paraId="67DE99AD" w14:textId="77777777" w:rsidR="00F909A0" w:rsidRPr="00F909A0" w:rsidRDefault="00F909A0" w:rsidP="00B56B65">
            <w:pPr>
              <w:spacing w:before="20" w:after="20"/>
              <w:jc w:val="right"/>
              <w:rPr>
                <w:sz w:val="16"/>
                <w:szCs w:val="16"/>
              </w:rPr>
            </w:pPr>
            <w:r w:rsidRPr="00F909A0">
              <w:rPr>
                <w:sz w:val="16"/>
                <w:szCs w:val="16"/>
              </w:rPr>
              <w:t>24</w:t>
            </w:r>
          </w:p>
        </w:tc>
        <w:tc>
          <w:tcPr>
            <w:tcW w:w="576" w:type="dxa"/>
            <w:shd w:val="clear" w:color="auto" w:fill="auto"/>
            <w:vAlign w:val="center"/>
          </w:tcPr>
          <w:p w14:paraId="61BA5FE2" w14:textId="77777777" w:rsidR="00F909A0" w:rsidRPr="00F909A0" w:rsidRDefault="00F909A0" w:rsidP="00B56B65">
            <w:pPr>
              <w:spacing w:before="20" w:after="20"/>
              <w:jc w:val="right"/>
              <w:rPr>
                <w:sz w:val="16"/>
                <w:szCs w:val="16"/>
              </w:rPr>
            </w:pPr>
            <w:r w:rsidRPr="00F909A0">
              <w:rPr>
                <w:sz w:val="16"/>
                <w:szCs w:val="16"/>
              </w:rPr>
              <w:t>41.5</w:t>
            </w:r>
          </w:p>
        </w:tc>
        <w:tc>
          <w:tcPr>
            <w:tcW w:w="1123" w:type="dxa"/>
            <w:shd w:val="clear" w:color="auto" w:fill="auto"/>
            <w:vAlign w:val="center"/>
          </w:tcPr>
          <w:p w14:paraId="45FD395E" w14:textId="77777777" w:rsidR="00F909A0" w:rsidRPr="00F909A0" w:rsidRDefault="00F909A0" w:rsidP="00B56B65">
            <w:pPr>
              <w:spacing w:before="20" w:after="20"/>
              <w:jc w:val="right"/>
              <w:rPr>
                <w:sz w:val="16"/>
                <w:szCs w:val="16"/>
              </w:rPr>
            </w:pPr>
            <w:r w:rsidRPr="00F909A0">
              <w:rPr>
                <w:sz w:val="16"/>
                <w:szCs w:val="16"/>
              </w:rPr>
              <w:t>(27.2, 55.7)</w:t>
            </w:r>
          </w:p>
        </w:tc>
      </w:tr>
      <w:tr w:rsidR="00F909A0" w:rsidRPr="007B4EF8" w14:paraId="47890520" w14:textId="77777777" w:rsidTr="00B56B65">
        <w:trPr>
          <w:jc w:val="center"/>
        </w:trPr>
        <w:tc>
          <w:tcPr>
            <w:tcW w:w="1985" w:type="dxa"/>
            <w:shd w:val="clear" w:color="auto" w:fill="auto"/>
            <w:vAlign w:val="bottom"/>
          </w:tcPr>
          <w:p w14:paraId="61341164" w14:textId="77777777" w:rsidR="00F909A0" w:rsidRDefault="00F909A0" w:rsidP="00B56B65">
            <w:pPr>
              <w:spacing w:before="20" w:after="20"/>
              <w:rPr>
                <w:color w:val="000000"/>
                <w:sz w:val="16"/>
                <w:szCs w:val="16"/>
              </w:rPr>
            </w:pPr>
          </w:p>
        </w:tc>
        <w:tc>
          <w:tcPr>
            <w:tcW w:w="2693" w:type="dxa"/>
            <w:shd w:val="clear" w:color="auto" w:fill="auto"/>
            <w:vAlign w:val="center"/>
          </w:tcPr>
          <w:p w14:paraId="258C160D" w14:textId="77777777" w:rsidR="00F909A0" w:rsidRDefault="00F909A0" w:rsidP="00B56B65">
            <w:pPr>
              <w:spacing w:before="20" w:after="20"/>
              <w:rPr>
                <w:color w:val="000000"/>
                <w:sz w:val="16"/>
                <w:szCs w:val="16"/>
              </w:rPr>
            </w:pPr>
            <w:r>
              <w:rPr>
                <w:color w:val="000000"/>
                <w:sz w:val="16"/>
                <w:szCs w:val="16"/>
              </w:rPr>
              <w:t>Trusted person manages the money</w:t>
            </w:r>
          </w:p>
        </w:tc>
        <w:tc>
          <w:tcPr>
            <w:tcW w:w="536" w:type="dxa"/>
            <w:shd w:val="clear" w:color="auto" w:fill="auto"/>
            <w:vAlign w:val="center"/>
          </w:tcPr>
          <w:p w14:paraId="0A36B9B5" w14:textId="77777777" w:rsidR="00F909A0" w:rsidRPr="00F909A0" w:rsidRDefault="00F909A0" w:rsidP="00B56B65">
            <w:pPr>
              <w:spacing w:before="20" w:after="20"/>
              <w:jc w:val="right"/>
              <w:rPr>
                <w:sz w:val="16"/>
                <w:szCs w:val="16"/>
              </w:rPr>
            </w:pPr>
            <w:r w:rsidRPr="00F909A0">
              <w:rPr>
                <w:sz w:val="16"/>
                <w:szCs w:val="16"/>
              </w:rPr>
              <w:t>6</w:t>
            </w:r>
          </w:p>
        </w:tc>
        <w:tc>
          <w:tcPr>
            <w:tcW w:w="576" w:type="dxa"/>
            <w:shd w:val="clear" w:color="auto" w:fill="auto"/>
            <w:vAlign w:val="center"/>
          </w:tcPr>
          <w:p w14:paraId="707F0514" w14:textId="77777777" w:rsidR="00F909A0" w:rsidRPr="00F909A0" w:rsidRDefault="00F909A0" w:rsidP="00B56B65">
            <w:pPr>
              <w:spacing w:before="20" w:after="20"/>
              <w:jc w:val="right"/>
              <w:rPr>
                <w:sz w:val="16"/>
                <w:szCs w:val="16"/>
              </w:rPr>
            </w:pPr>
            <w:r w:rsidRPr="00F909A0">
              <w:rPr>
                <w:sz w:val="16"/>
                <w:szCs w:val="16"/>
              </w:rPr>
              <w:t>3.8</w:t>
            </w:r>
          </w:p>
        </w:tc>
        <w:tc>
          <w:tcPr>
            <w:tcW w:w="1043" w:type="dxa"/>
            <w:tcBorders>
              <w:right w:val="single" w:sz="4" w:space="0" w:color="auto"/>
            </w:tcBorders>
            <w:shd w:val="clear" w:color="auto" w:fill="auto"/>
            <w:vAlign w:val="center"/>
          </w:tcPr>
          <w:p w14:paraId="53F2D689" w14:textId="77777777" w:rsidR="00F909A0" w:rsidRPr="00F909A0" w:rsidRDefault="00F909A0" w:rsidP="00B56B65">
            <w:pPr>
              <w:spacing w:before="20" w:after="20"/>
              <w:jc w:val="right"/>
              <w:rPr>
                <w:sz w:val="16"/>
                <w:szCs w:val="16"/>
              </w:rPr>
            </w:pPr>
            <w:r w:rsidRPr="00F909A0">
              <w:rPr>
                <w:sz w:val="16"/>
                <w:szCs w:val="16"/>
              </w:rPr>
              <w:t>(1.4, 6.3)</w:t>
            </w:r>
          </w:p>
        </w:tc>
        <w:tc>
          <w:tcPr>
            <w:tcW w:w="536" w:type="dxa"/>
            <w:tcBorders>
              <w:left w:val="single" w:sz="4" w:space="0" w:color="auto"/>
            </w:tcBorders>
            <w:shd w:val="clear" w:color="auto" w:fill="auto"/>
            <w:vAlign w:val="center"/>
          </w:tcPr>
          <w:p w14:paraId="261D32CB" w14:textId="77777777" w:rsidR="00F909A0" w:rsidRPr="00F909A0" w:rsidRDefault="00F909A0" w:rsidP="00B56B65">
            <w:pPr>
              <w:spacing w:before="20" w:after="20"/>
              <w:jc w:val="right"/>
              <w:rPr>
                <w:sz w:val="16"/>
                <w:szCs w:val="16"/>
              </w:rPr>
            </w:pPr>
            <w:r w:rsidRPr="00F909A0">
              <w:rPr>
                <w:sz w:val="16"/>
                <w:szCs w:val="16"/>
              </w:rPr>
              <w:t>4</w:t>
            </w:r>
          </w:p>
        </w:tc>
        <w:tc>
          <w:tcPr>
            <w:tcW w:w="576" w:type="dxa"/>
            <w:shd w:val="clear" w:color="auto" w:fill="auto"/>
            <w:vAlign w:val="center"/>
          </w:tcPr>
          <w:p w14:paraId="4932543C" w14:textId="77777777" w:rsidR="00F909A0" w:rsidRPr="00F909A0" w:rsidRDefault="00F909A0" w:rsidP="00B56B65">
            <w:pPr>
              <w:spacing w:before="20" w:after="20"/>
              <w:jc w:val="right"/>
              <w:rPr>
                <w:sz w:val="16"/>
                <w:szCs w:val="16"/>
              </w:rPr>
            </w:pPr>
            <w:r w:rsidRPr="00F909A0">
              <w:rPr>
                <w:sz w:val="16"/>
                <w:szCs w:val="16"/>
              </w:rPr>
              <w:t>5.1</w:t>
            </w:r>
          </w:p>
        </w:tc>
        <w:tc>
          <w:tcPr>
            <w:tcW w:w="1043" w:type="dxa"/>
            <w:tcBorders>
              <w:right w:val="single" w:sz="4" w:space="0" w:color="auto"/>
            </w:tcBorders>
            <w:shd w:val="clear" w:color="auto" w:fill="auto"/>
            <w:vAlign w:val="center"/>
          </w:tcPr>
          <w:p w14:paraId="2AD66E5F" w14:textId="77777777" w:rsidR="00F909A0" w:rsidRPr="00F909A0" w:rsidRDefault="00F909A0" w:rsidP="00B56B65">
            <w:pPr>
              <w:spacing w:before="20" w:after="20"/>
              <w:jc w:val="right"/>
              <w:rPr>
                <w:sz w:val="16"/>
                <w:szCs w:val="16"/>
              </w:rPr>
            </w:pPr>
            <w:r w:rsidRPr="00F909A0">
              <w:rPr>
                <w:sz w:val="16"/>
                <w:szCs w:val="16"/>
              </w:rPr>
              <w:t>(0.4, 9.9)</w:t>
            </w:r>
          </w:p>
        </w:tc>
        <w:tc>
          <w:tcPr>
            <w:tcW w:w="536" w:type="dxa"/>
            <w:tcBorders>
              <w:left w:val="single" w:sz="4" w:space="0" w:color="auto"/>
            </w:tcBorders>
            <w:shd w:val="clear" w:color="auto" w:fill="auto"/>
            <w:vAlign w:val="center"/>
          </w:tcPr>
          <w:p w14:paraId="7F54ED8D" w14:textId="77777777" w:rsidR="00F909A0" w:rsidRPr="00F909A0" w:rsidRDefault="00F909A0" w:rsidP="00B56B65">
            <w:pPr>
              <w:spacing w:before="20" w:after="20"/>
              <w:jc w:val="right"/>
              <w:rPr>
                <w:sz w:val="16"/>
                <w:szCs w:val="16"/>
              </w:rPr>
            </w:pPr>
            <w:r w:rsidRPr="00F909A0">
              <w:rPr>
                <w:sz w:val="16"/>
                <w:szCs w:val="16"/>
              </w:rPr>
              <w:t>4</w:t>
            </w:r>
          </w:p>
        </w:tc>
        <w:tc>
          <w:tcPr>
            <w:tcW w:w="576" w:type="dxa"/>
            <w:shd w:val="clear" w:color="auto" w:fill="auto"/>
            <w:vAlign w:val="center"/>
          </w:tcPr>
          <w:p w14:paraId="782A3F84" w14:textId="77777777" w:rsidR="00F909A0" w:rsidRPr="00F909A0" w:rsidRDefault="00F909A0" w:rsidP="00B56B65">
            <w:pPr>
              <w:spacing w:before="20" w:after="20"/>
              <w:jc w:val="right"/>
              <w:rPr>
                <w:sz w:val="16"/>
                <w:szCs w:val="16"/>
              </w:rPr>
            </w:pPr>
            <w:r w:rsidRPr="00F909A0">
              <w:rPr>
                <w:sz w:val="16"/>
                <w:szCs w:val="16"/>
              </w:rPr>
              <w:t>6.6</w:t>
            </w:r>
          </w:p>
        </w:tc>
        <w:tc>
          <w:tcPr>
            <w:tcW w:w="1043" w:type="dxa"/>
            <w:tcBorders>
              <w:right w:val="single" w:sz="4" w:space="0" w:color="auto"/>
            </w:tcBorders>
            <w:shd w:val="clear" w:color="auto" w:fill="auto"/>
            <w:vAlign w:val="center"/>
          </w:tcPr>
          <w:p w14:paraId="07D3B08E" w14:textId="77777777" w:rsidR="00F909A0" w:rsidRPr="00F909A0" w:rsidRDefault="00F909A0" w:rsidP="00B56B65">
            <w:pPr>
              <w:spacing w:before="20" w:after="20"/>
              <w:jc w:val="right"/>
              <w:rPr>
                <w:sz w:val="16"/>
                <w:szCs w:val="16"/>
              </w:rPr>
            </w:pPr>
            <w:r w:rsidRPr="00F909A0">
              <w:rPr>
                <w:sz w:val="16"/>
                <w:szCs w:val="16"/>
              </w:rPr>
              <w:t>(0.0, 13.2)</w:t>
            </w:r>
          </w:p>
        </w:tc>
        <w:tc>
          <w:tcPr>
            <w:tcW w:w="536" w:type="dxa"/>
            <w:tcBorders>
              <w:left w:val="single" w:sz="4" w:space="0" w:color="auto"/>
            </w:tcBorders>
            <w:shd w:val="clear" w:color="auto" w:fill="auto"/>
            <w:vAlign w:val="center"/>
          </w:tcPr>
          <w:p w14:paraId="5F28E5F7" w14:textId="77777777" w:rsidR="00F909A0" w:rsidRPr="00F909A0" w:rsidRDefault="00F909A0" w:rsidP="00B56B65">
            <w:pPr>
              <w:spacing w:before="20" w:after="20"/>
              <w:jc w:val="right"/>
              <w:rPr>
                <w:sz w:val="16"/>
                <w:szCs w:val="16"/>
              </w:rPr>
            </w:pPr>
            <w:r w:rsidRPr="00F909A0">
              <w:rPr>
                <w:sz w:val="16"/>
                <w:szCs w:val="16"/>
              </w:rPr>
              <w:t>3</w:t>
            </w:r>
          </w:p>
        </w:tc>
        <w:tc>
          <w:tcPr>
            <w:tcW w:w="576" w:type="dxa"/>
            <w:shd w:val="clear" w:color="auto" w:fill="auto"/>
            <w:vAlign w:val="center"/>
          </w:tcPr>
          <w:p w14:paraId="3F0B1F47" w14:textId="77777777" w:rsidR="00F909A0" w:rsidRPr="00F909A0" w:rsidRDefault="00F909A0" w:rsidP="00B56B65">
            <w:pPr>
              <w:spacing w:before="20" w:after="20"/>
              <w:jc w:val="right"/>
              <w:rPr>
                <w:sz w:val="16"/>
                <w:szCs w:val="16"/>
              </w:rPr>
            </w:pPr>
            <w:r w:rsidRPr="00F909A0">
              <w:rPr>
                <w:sz w:val="16"/>
                <w:szCs w:val="16"/>
              </w:rPr>
              <w:t>5.3</w:t>
            </w:r>
          </w:p>
        </w:tc>
        <w:tc>
          <w:tcPr>
            <w:tcW w:w="1123" w:type="dxa"/>
            <w:shd w:val="clear" w:color="auto" w:fill="auto"/>
            <w:vAlign w:val="center"/>
          </w:tcPr>
          <w:p w14:paraId="28BBCBDF" w14:textId="77777777" w:rsidR="00F909A0" w:rsidRPr="00F909A0" w:rsidRDefault="00F909A0" w:rsidP="00B56B65">
            <w:pPr>
              <w:spacing w:before="20" w:after="20"/>
              <w:jc w:val="right"/>
              <w:rPr>
                <w:sz w:val="16"/>
                <w:szCs w:val="16"/>
              </w:rPr>
            </w:pPr>
            <w:r w:rsidRPr="00F909A0">
              <w:rPr>
                <w:sz w:val="16"/>
                <w:szCs w:val="16"/>
              </w:rPr>
              <w:t>(0.0, 11.1)</w:t>
            </w:r>
          </w:p>
        </w:tc>
      </w:tr>
      <w:tr w:rsidR="00F909A0" w:rsidRPr="007B4EF8" w14:paraId="4FEAA3EE" w14:textId="77777777" w:rsidTr="00B56B65">
        <w:trPr>
          <w:jc w:val="center"/>
        </w:trPr>
        <w:tc>
          <w:tcPr>
            <w:tcW w:w="1985" w:type="dxa"/>
            <w:vAlign w:val="center"/>
          </w:tcPr>
          <w:p w14:paraId="6E9671AB" w14:textId="77777777" w:rsidR="00F909A0" w:rsidRDefault="00F909A0" w:rsidP="00B56B65">
            <w:pPr>
              <w:spacing w:before="20" w:after="20"/>
              <w:rPr>
                <w:color w:val="000000"/>
                <w:sz w:val="16"/>
                <w:szCs w:val="16"/>
              </w:rPr>
            </w:pPr>
          </w:p>
        </w:tc>
        <w:tc>
          <w:tcPr>
            <w:tcW w:w="2693" w:type="dxa"/>
            <w:vAlign w:val="center"/>
          </w:tcPr>
          <w:p w14:paraId="1C938D2F" w14:textId="77777777" w:rsidR="00F909A0" w:rsidRDefault="00F909A0" w:rsidP="00B56B65">
            <w:pPr>
              <w:spacing w:before="20" w:after="20"/>
              <w:rPr>
                <w:color w:val="000000"/>
                <w:sz w:val="16"/>
                <w:szCs w:val="16"/>
              </w:rPr>
            </w:pPr>
            <w:r>
              <w:rPr>
                <w:color w:val="000000"/>
                <w:sz w:val="16"/>
                <w:szCs w:val="16"/>
              </w:rPr>
              <w:t>Separate betting money and stopping when used</w:t>
            </w:r>
          </w:p>
        </w:tc>
        <w:tc>
          <w:tcPr>
            <w:tcW w:w="536" w:type="dxa"/>
            <w:vAlign w:val="center"/>
          </w:tcPr>
          <w:p w14:paraId="639BF274" w14:textId="77777777" w:rsidR="00F909A0" w:rsidRPr="00F909A0" w:rsidRDefault="00F909A0" w:rsidP="00B56B65">
            <w:pPr>
              <w:spacing w:before="20" w:after="20"/>
              <w:jc w:val="right"/>
              <w:rPr>
                <w:sz w:val="16"/>
                <w:szCs w:val="16"/>
              </w:rPr>
            </w:pPr>
            <w:r w:rsidRPr="00F909A0">
              <w:rPr>
                <w:sz w:val="16"/>
                <w:szCs w:val="16"/>
              </w:rPr>
              <w:t>26</w:t>
            </w:r>
          </w:p>
        </w:tc>
        <w:tc>
          <w:tcPr>
            <w:tcW w:w="576" w:type="dxa"/>
            <w:vAlign w:val="center"/>
          </w:tcPr>
          <w:p w14:paraId="70B136B0" w14:textId="77777777" w:rsidR="00F909A0" w:rsidRPr="00F909A0" w:rsidRDefault="00F909A0" w:rsidP="00B56B65">
            <w:pPr>
              <w:spacing w:before="20" w:after="20"/>
              <w:jc w:val="right"/>
              <w:rPr>
                <w:sz w:val="16"/>
                <w:szCs w:val="16"/>
              </w:rPr>
            </w:pPr>
            <w:r w:rsidRPr="00F909A0">
              <w:rPr>
                <w:sz w:val="16"/>
                <w:szCs w:val="16"/>
              </w:rPr>
              <w:t>17.4</w:t>
            </w:r>
          </w:p>
        </w:tc>
        <w:tc>
          <w:tcPr>
            <w:tcW w:w="1043" w:type="dxa"/>
            <w:tcBorders>
              <w:right w:val="single" w:sz="4" w:space="0" w:color="auto"/>
            </w:tcBorders>
            <w:vAlign w:val="center"/>
          </w:tcPr>
          <w:p w14:paraId="598BE304" w14:textId="77777777" w:rsidR="00F909A0" w:rsidRPr="00F909A0" w:rsidRDefault="00F909A0" w:rsidP="00B56B65">
            <w:pPr>
              <w:spacing w:before="20" w:after="20"/>
              <w:jc w:val="right"/>
              <w:rPr>
                <w:sz w:val="16"/>
                <w:szCs w:val="16"/>
              </w:rPr>
            </w:pPr>
            <w:r w:rsidRPr="00F909A0">
              <w:rPr>
                <w:sz w:val="16"/>
                <w:szCs w:val="16"/>
              </w:rPr>
              <w:t>(10.7, 24.1)</w:t>
            </w:r>
          </w:p>
        </w:tc>
        <w:tc>
          <w:tcPr>
            <w:tcW w:w="536" w:type="dxa"/>
            <w:tcBorders>
              <w:left w:val="single" w:sz="4" w:space="0" w:color="auto"/>
            </w:tcBorders>
            <w:vAlign w:val="center"/>
          </w:tcPr>
          <w:p w14:paraId="6690EBA4" w14:textId="77777777" w:rsidR="00F909A0" w:rsidRPr="00F909A0" w:rsidRDefault="00F909A0" w:rsidP="00B56B65">
            <w:pPr>
              <w:spacing w:before="20" w:after="20"/>
              <w:jc w:val="right"/>
              <w:rPr>
                <w:sz w:val="16"/>
                <w:szCs w:val="16"/>
              </w:rPr>
            </w:pPr>
            <w:r w:rsidRPr="00F909A0">
              <w:rPr>
                <w:sz w:val="16"/>
                <w:szCs w:val="16"/>
              </w:rPr>
              <w:t>10</w:t>
            </w:r>
          </w:p>
        </w:tc>
        <w:tc>
          <w:tcPr>
            <w:tcW w:w="576" w:type="dxa"/>
            <w:vAlign w:val="center"/>
          </w:tcPr>
          <w:p w14:paraId="60ACCE97" w14:textId="77777777" w:rsidR="00F909A0" w:rsidRPr="00F909A0" w:rsidRDefault="00F909A0" w:rsidP="00B56B65">
            <w:pPr>
              <w:spacing w:before="20" w:after="20"/>
              <w:jc w:val="right"/>
              <w:rPr>
                <w:sz w:val="16"/>
                <w:szCs w:val="16"/>
              </w:rPr>
            </w:pPr>
            <w:r w:rsidRPr="00F909A0">
              <w:rPr>
                <w:sz w:val="16"/>
                <w:szCs w:val="16"/>
              </w:rPr>
              <w:t>13.1</w:t>
            </w:r>
          </w:p>
        </w:tc>
        <w:tc>
          <w:tcPr>
            <w:tcW w:w="1043" w:type="dxa"/>
            <w:tcBorders>
              <w:right w:val="single" w:sz="4" w:space="0" w:color="auto"/>
            </w:tcBorders>
            <w:vAlign w:val="center"/>
          </w:tcPr>
          <w:p w14:paraId="607E52CA" w14:textId="77777777" w:rsidR="00F909A0" w:rsidRPr="00F909A0" w:rsidRDefault="00F909A0" w:rsidP="00B56B65">
            <w:pPr>
              <w:spacing w:before="20" w:after="20"/>
              <w:jc w:val="right"/>
              <w:rPr>
                <w:sz w:val="16"/>
                <w:szCs w:val="16"/>
              </w:rPr>
            </w:pPr>
            <w:r w:rsidRPr="00F909A0">
              <w:rPr>
                <w:sz w:val="16"/>
                <w:szCs w:val="16"/>
              </w:rPr>
              <w:t>(5.9, 20.3)</w:t>
            </w:r>
          </w:p>
        </w:tc>
        <w:tc>
          <w:tcPr>
            <w:tcW w:w="536" w:type="dxa"/>
            <w:tcBorders>
              <w:left w:val="single" w:sz="4" w:space="0" w:color="auto"/>
            </w:tcBorders>
            <w:vAlign w:val="center"/>
          </w:tcPr>
          <w:p w14:paraId="693B0AB6" w14:textId="77777777" w:rsidR="00F909A0" w:rsidRPr="00F909A0" w:rsidRDefault="00F909A0" w:rsidP="00B56B65">
            <w:pPr>
              <w:spacing w:before="20" w:after="20"/>
              <w:jc w:val="right"/>
              <w:rPr>
                <w:sz w:val="16"/>
                <w:szCs w:val="16"/>
              </w:rPr>
            </w:pPr>
            <w:r w:rsidRPr="00F909A0">
              <w:rPr>
                <w:sz w:val="16"/>
                <w:szCs w:val="16"/>
              </w:rPr>
              <w:t>9</w:t>
            </w:r>
          </w:p>
        </w:tc>
        <w:tc>
          <w:tcPr>
            <w:tcW w:w="576" w:type="dxa"/>
            <w:vAlign w:val="center"/>
          </w:tcPr>
          <w:p w14:paraId="1916E793" w14:textId="77777777" w:rsidR="00F909A0" w:rsidRPr="00F909A0" w:rsidRDefault="00F909A0" w:rsidP="00B56B65">
            <w:pPr>
              <w:spacing w:before="20" w:after="20"/>
              <w:jc w:val="right"/>
              <w:rPr>
                <w:sz w:val="16"/>
                <w:szCs w:val="16"/>
              </w:rPr>
            </w:pPr>
            <w:r w:rsidRPr="00F909A0">
              <w:rPr>
                <w:sz w:val="16"/>
                <w:szCs w:val="16"/>
              </w:rPr>
              <w:t>15.9</w:t>
            </w:r>
          </w:p>
        </w:tc>
        <w:tc>
          <w:tcPr>
            <w:tcW w:w="1043" w:type="dxa"/>
            <w:tcBorders>
              <w:right w:val="single" w:sz="4" w:space="0" w:color="auto"/>
            </w:tcBorders>
            <w:vAlign w:val="center"/>
          </w:tcPr>
          <w:p w14:paraId="1EBEA4C2" w14:textId="77777777" w:rsidR="00F909A0" w:rsidRPr="00F909A0" w:rsidRDefault="00F909A0" w:rsidP="00B56B65">
            <w:pPr>
              <w:spacing w:before="20" w:after="20"/>
              <w:jc w:val="right"/>
              <w:rPr>
                <w:sz w:val="16"/>
                <w:szCs w:val="16"/>
              </w:rPr>
            </w:pPr>
            <w:r w:rsidRPr="00F909A0">
              <w:rPr>
                <w:sz w:val="16"/>
                <w:szCs w:val="16"/>
              </w:rPr>
              <w:t>(6.5, 25.3)</w:t>
            </w:r>
          </w:p>
        </w:tc>
        <w:tc>
          <w:tcPr>
            <w:tcW w:w="536" w:type="dxa"/>
            <w:tcBorders>
              <w:left w:val="single" w:sz="4" w:space="0" w:color="auto"/>
            </w:tcBorders>
            <w:vAlign w:val="center"/>
          </w:tcPr>
          <w:p w14:paraId="12C35C5A" w14:textId="77777777" w:rsidR="00F909A0" w:rsidRPr="00F909A0" w:rsidRDefault="00F909A0" w:rsidP="00B56B65">
            <w:pPr>
              <w:spacing w:before="20" w:after="20"/>
              <w:jc w:val="right"/>
              <w:rPr>
                <w:sz w:val="16"/>
                <w:szCs w:val="16"/>
              </w:rPr>
            </w:pPr>
            <w:r w:rsidRPr="00F909A0">
              <w:rPr>
                <w:sz w:val="16"/>
                <w:szCs w:val="16"/>
              </w:rPr>
              <w:t>10</w:t>
            </w:r>
          </w:p>
        </w:tc>
        <w:tc>
          <w:tcPr>
            <w:tcW w:w="576" w:type="dxa"/>
            <w:vAlign w:val="center"/>
          </w:tcPr>
          <w:p w14:paraId="6BBAB32C" w14:textId="77777777" w:rsidR="00F909A0" w:rsidRPr="00F909A0" w:rsidRDefault="00F909A0" w:rsidP="00B56B65">
            <w:pPr>
              <w:spacing w:before="20" w:after="20"/>
              <w:jc w:val="right"/>
              <w:rPr>
                <w:sz w:val="16"/>
                <w:szCs w:val="16"/>
              </w:rPr>
            </w:pPr>
            <w:r w:rsidRPr="00F909A0">
              <w:rPr>
                <w:sz w:val="16"/>
                <w:szCs w:val="16"/>
              </w:rPr>
              <w:t>17.4</w:t>
            </w:r>
          </w:p>
        </w:tc>
        <w:tc>
          <w:tcPr>
            <w:tcW w:w="1123" w:type="dxa"/>
            <w:vAlign w:val="center"/>
          </w:tcPr>
          <w:p w14:paraId="74788DF3" w14:textId="77777777" w:rsidR="00F909A0" w:rsidRPr="00F909A0" w:rsidRDefault="00F909A0" w:rsidP="00B56B65">
            <w:pPr>
              <w:spacing w:before="20" w:after="20"/>
              <w:jc w:val="right"/>
              <w:rPr>
                <w:sz w:val="16"/>
                <w:szCs w:val="16"/>
              </w:rPr>
            </w:pPr>
            <w:r w:rsidRPr="00F909A0">
              <w:rPr>
                <w:sz w:val="16"/>
                <w:szCs w:val="16"/>
              </w:rPr>
              <w:t>(0.0, 38.1)</w:t>
            </w:r>
          </w:p>
        </w:tc>
      </w:tr>
      <w:tr w:rsidR="00F909A0" w:rsidRPr="007B4EF8" w14:paraId="22FB45BF" w14:textId="77777777" w:rsidTr="00B56B65">
        <w:trPr>
          <w:jc w:val="center"/>
        </w:trPr>
        <w:tc>
          <w:tcPr>
            <w:tcW w:w="1985" w:type="dxa"/>
            <w:vAlign w:val="bottom"/>
          </w:tcPr>
          <w:p w14:paraId="779FB6A7" w14:textId="77777777" w:rsidR="00F909A0" w:rsidRDefault="00F909A0" w:rsidP="00B56B65">
            <w:pPr>
              <w:spacing w:before="20" w:after="20"/>
              <w:rPr>
                <w:color w:val="000000"/>
                <w:sz w:val="16"/>
                <w:szCs w:val="16"/>
              </w:rPr>
            </w:pPr>
          </w:p>
        </w:tc>
        <w:tc>
          <w:tcPr>
            <w:tcW w:w="2693" w:type="dxa"/>
            <w:vAlign w:val="center"/>
          </w:tcPr>
          <w:p w14:paraId="452F12AA" w14:textId="77777777" w:rsidR="00F909A0" w:rsidRDefault="00F909A0" w:rsidP="00B56B65">
            <w:pPr>
              <w:spacing w:before="20" w:after="20"/>
              <w:rPr>
                <w:color w:val="000000"/>
                <w:sz w:val="16"/>
                <w:szCs w:val="16"/>
              </w:rPr>
            </w:pPr>
            <w:r>
              <w:rPr>
                <w:color w:val="000000"/>
                <w:sz w:val="16"/>
                <w:szCs w:val="16"/>
              </w:rPr>
              <w:t>Leave ATM/credit cards at home</w:t>
            </w:r>
          </w:p>
        </w:tc>
        <w:tc>
          <w:tcPr>
            <w:tcW w:w="536" w:type="dxa"/>
            <w:vAlign w:val="center"/>
          </w:tcPr>
          <w:p w14:paraId="39EBD01C" w14:textId="77777777" w:rsidR="00F909A0" w:rsidRPr="00F909A0" w:rsidRDefault="00F909A0" w:rsidP="00B56B65">
            <w:pPr>
              <w:spacing w:before="20" w:after="20"/>
              <w:jc w:val="right"/>
              <w:rPr>
                <w:sz w:val="16"/>
                <w:szCs w:val="16"/>
              </w:rPr>
            </w:pPr>
            <w:r w:rsidRPr="00F909A0">
              <w:rPr>
                <w:sz w:val="16"/>
                <w:szCs w:val="16"/>
              </w:rPr>
              <w:t>17</w:t>
            </w:r>
          </w:p>
        </w:tc>
        <w:tc>
          <w:tcPr>
            <w:tcW w:w="576" w:type="dxa"/>
            <w:vAlign w:val="center"/>
          </w:tcPr>
          <w:p w14:paraId="269B9F89" w14:textId="77777777" w:rsidR="00F909A0" w:rsidRPr="00F909A0" w:rsidRDefault="00F909A0" w:rsidP="00B56B65">
            <w:pPr>
              <w:spacing w:before="20" w:after="20"/>
              <w:jc w:val="right"/>
              <w:rPr>
                <w:sz w:val="16"/>
                <w:szCs w:val="16"/>
              </w:rPr>
            </w:pPr>
            <w:r w:rsidRPr="00F909A0">
              <w:rPr>
                <w:sz w:val="16"/>
                <w:szCs w:val="16"/>
              </w:rPr>
              <w:t>11.7</w:t>
            </w:r>
          </w:p>
        </w:tc>
        <w:tc>
          <w:tcPr>
            <w:tcW w:w="1043" w:type="dxa"/>
            <w:tcBorders>
              <w:right w:val="single" w:sz="4" w:space="0" w:color="auto"/>
            </w:tcBorders>
            <w:vAlign w:val="center"/>
          </w:tcPr>
          <w:p w14:paraId="3B440AAF" w14:textId="77777777" w:rsidR="00F909A0" w:rsidRPr="00F909A0" w:rsidRDefault="00F909A0" w:rsidP="00B56B65">
            <w:pPr>
              <w:spacing w:before="20" w:after="20"/>
              <w:jc w:val="right"/>
              <w:rPr>
                <w:sz w:val="16"/>
                <w:szCs w:val="16"/>
              </w:rPr>
            </w:pPr>
            <w:r w:rsidRPr="00F909A0">
              <w:rPr>
                <w:sz w:val="16"/>
                <w:szCs w:val="16"/>
              </w:rPr>
              <w:t>(6.3, 17.0)</w:t>
            </w:r>
          </w:p>
        </w:tc>
        <w:tc>
          <w:tcPr>
            <w:tcW w:w="536" w:type="dxa"/>
            <w:tcBorders>
              <w:left w:val="single" w:sz="4" w:space="0" w:color="auto"/>
            </w:tcBorders>
            <w:vAlign w:val="center"/>
          </w:tcPr>
          <w:p w14:paraId="3C5AB317" w14:textId="77777777" w:rsidR="00F909A0" w:rsidRPr="00F909A0" w:rsidRDefault="00F909A0" w:rsidP="00B56B65">
            <w:pPr>
              <w:spacing w:before="20" w:after="20"/>
              <w:jc w:val="right"/>
              <w:rPr>
                <w:sz w:val="16"/>
                <w:szCs w:val="16"/>
              </w:rPr>
            </w:pPr>
            <w:r w:rsidRPr="00F909A0">
              <w:rPr>
                <w:sz w:val="16"/>
                <w:szCs w:val="16"/>
              </w:rPr>
              <w:t>11</w:t>
            </w:r>
          </w:p>
        </w:tc>
        <w:tc>
          <w:tcPr>
            <w:tcW w:w="576" w:type="dxa"/>
            <w:vAlign w:val="center"/>
          </w:tcPr>
          <w:p w14:paraId="7E95592F" w14:textId="77777777" w:rsidR="00F909A0" w:rsidRPr="00F909A0" w:rsidRDefault="00F909A0" w:rsidP="00B56B65">
            <w:pPr>
              <w:spacing w:before="20" w:after="20"/>
              <w:jc w:val="right"/>
              <w:rPr>
                <w:sz w:val="16"/>
                <w:szCs w:val="16"/>
              </w:rPr>
            </w:pPr>
            <w:r w:rsidRPr="00F909A0">
              <w:rPr>
                <w:sz w:val="16"/>
                <w:szCs w:val="16"/>
              </w:rPr>
              <w:t>14.3</w:t>
            </w:r>
          </w:p>
        </w:tc>
        <w:tc>
          <w:tcPr>
            <w:tcW w:w="1043" w:type="dxa"/>
            <w:tcBorders>
              <w:right w:val="single" w:sz="4" w:space="0" w:color="auto"/>
            </w:tcBorders>
            <w:vAlign w:val="center"/>
          </w:tcPr>
          <w:p w14:paraId="428B6C7D" w14:textId="77777777" w:rsidR="00F909A0" w:rsidRPr="00F909A0" w:rsidRDefault="00F909A0" w:rsidP="00A846F1">
            <w:pPr>
              <w:spacing w:before="20" w:after="20"/>
              <w:jc w:val="right"/>
              <w:rPr>
                <w:sz w:val="16"/>
                <w:szCs w:val="16"/>
              </w:rPr>
            </w:pPr>
            <w:r w:rsidRPr="00F909A0">
              <w:rPr>
                <w:sz w:val="16"/>
                <w:szCs w:val="16"/>
              </w:rPr>
              <w:t>(</w:t>
            </w:r>
            <w:r w:rsidR="00A846F1">
              <w:rPr>
                <w:sz w:val="16"/>
                <w:szCs w:val="16"/>
              </w:rPr>
              <w:t>7.0, 21.5</w:t>
            </w:r>
            <w:r w:rsidRPr="00F909A0">
              <w:rPr>
                <w:sz w:val="16"/>
                <w:szCs w:val="16"/>
              </w:rPr>
              <w:t>)</w:t>
            </w:r>
          </w:p>
        </w:tc>
        <w:tc>
          <w:tcPr>
            <w:tcW w:w="536" w:type="dxa"/>
            <w:tcBorders>
              <w:left w:val="single" w:sz="4" w:space="0" w:color="auto"/>
            </w:tcBorders>
            <w:vAlign w:val="center"/>
          </w:tcPr>
          <w:p w14:paraId="79CDE088" w14:textId="77777777" w:rsidR="00F909A0" w:rsidRPr="00F909A0" w:rsidRDefault="00F909A0" w:rsidP="00B56B65">
            <w:pPr>
              <w:spacing w:before="20" w:after="20"/>
              <w:jc w:val="right"/>
              <w:rPr>
                <w:sz w:val="16"/>
                <w:szCs w:val="16"/>
              </w:rPr>
            </w:pPr>
            <w:r w:rsidRPr="00F909A0">
              <w:rPr>
                <w:sz w:val="16"/>
                <w:szCs w:val="16"/>
              </w:rPr>
              <w:t>6</w:t>
            </w:r>
          </w:p>
        </w:tc>
        <w:tc>
          <w:tcPr>
            <w:tcW w:w="576" w:type="dxa"/>
            <w:vAlign w:val="center"/>
          </w:tcPr>
          <w:p w14:paraId="6A2BBB8A" w14:textId="77777777" w:rsidR="00F909A0" w:rsidRPr="00F909A0" w:rsidRDefault="00F909A0" w:rsidP="00B56B65">
            <w:pPr>
              <w:spacing w:before="20" w:after="20"/>
              <w:jc w:val="right"/>
              <w:rPr>
                <w:sz w:val="16"/>
                <w:szCs w:val="16"/>
              </w:rPr>
            </w:pPr>
            <w:r w:rsidRPr="00F909A0">
              <w:rPr>
                <w:sz w:val="16"/>
                <w:szCs w:val="16"/>
              </w:rPr>
              <w:t>10.2</w:t>
            </w:r>
          </w:p>
        </w:tc>
        <w:tc>
          <w:tcPr>
            <w:tcW w:w="1043" w:type="dxa"/>
            <w:tcBorders>
              <w:right w:val="single" w:sz="4" w:space="0" w:color="auto"/>
            </w:tcBorders>
            <w:vAlign w:val="center"/>
          </w:tcPr>
          <w:p w14:paraId="2AC679F8" w14:textId="77777777" w:rsidR="00F909A0" w:rsidRPr="00F909A0" w:rsidRDefault="00F909A0" w:rsidP="00B56B65">
            <w:pPr>
              <w:spacing w:before="20" w:after="20"/>
              <w:jc w:val="right"/>
              <w:rPr>
                <w:sz w:val="16"/>
                <w:szCs w:val="16"/>
              </w:rPr>
            </w:pPr>
            <w:r w:rsidRPr="00F909A0">
              <w:rPr>
                <w:sz w:val="16"/>
                <w:szCs w:val="16"/>
              </w:rPr>
              <w:t>(2.3, 18.0)</w:t>
            </w:r>
          </w:p>
        </w:tc>
        <w:tc>
          <w:tcPr>
            <w:tcW w:w="536" w:type="dxa"/>
            <w:tcBorders>
              <w:left w:val="single" w:sz="4" w:space="0" w:color="auto"/>
            </w:tcBorders>
            <w:vAlign w:val="center"/>
          </w:tcPr>
          <w:p w14:paraId="1B41FAF5" w14:textId="77777777" w:rsidR="00F909A0" w:rsidRPr="00F909A0" w:rsidRDefault="00F909A0" w:rsidP="00B56B65">
            <w:pPr>
              <w:spacing w:before="20" w:after="20"/>
              <w:jc w:val="right"/>
              <w:rPr>
                <w:sz w:val="16"/>
                <w:szCs w:val="16"/>
              </w:rPr>
            </w:pPr>
            <w:r w:rsidRPr="00F909A0">
              <w:rPr>
                <w:sz w:val="16"/>
                <w:szCs w:val="16"/>
              </w:rPr>
              <w:t>4</w:t>
            </w:r>
          </w:p>
        </w:tc>
        <w:tc>
          <w:tcPr>
            <w:tcW w:w="576" w:type="dxa"/>
            <w:vAlign w:val="center"/>
          </w:tcPr>
          <w:p w14:paraId="4D455701" w14:textId="77777777" w:rsidR="00F909A0" w:rsidRPr="00F909A0" w:rsidRDefault="00F909A0" w:rsidP="00B56B65">
            <w:pPr>
              <w:spacing w:before="20" w:after="20"/>
              <w:jc w:val="right"/>
              <w:rPr>
                <w:sz w:val="16"/>
                <w:szCs w:val="16"/>
              </w:rPr>
            </w:pPr>
            <w:r w:rsidRPr="00F909A0">
              <w:rPr>
                <w:sz w:val="16"/>
                <w:szCs w:val="16"/>
              </w:rPr>
              <w:t>7.6</w:t>
            </w:r>
          </w:p>
        </w:tc>
        <w:tc>
          <w:tcPr>
            <w:tcW w:w="1123" w:type="dxa"/>
            <w:vAlign w:val="center"/>
          </w:tcPr>
          <w:p w14:paraId="78279E92" w14:textId="77777777" w:rsidR="00F909A0" w:rsidRPr="00F909A0" w:rsidRDefault="00F909A0" w:rsidP="00C14AFE">
            <w:pPr>
              <w:spacing w:before="20" w:after="20"/>
              <w:jc w:val="right"/>
              <w:rPr>
                <w:sz w:val="16"/>
                <w:szCs w:val="16"/>
              </w:rPr>
            </w:pPr>
            <w:r w:rsidRPr="00F909A0">
              <w:rPr>
                <w:sz w:val="16"/>
                <w:szCs w:val="16"/>
              </w:rPr>
              <w:t>(</w:t>
            </w:r>
            <w:r w:rsidR="00C14AFE">
              <w:rPr>
                <w:sz w:val="16"/>
                <w:szCs w:val="16"/>
              </w:rPr>
              <w:t>1.0, 14.2</w:t>
            </w:r>
            <w:r w:rsidRPr="00F909A0">
              <w:rPr>
                <w:sz w:val="16"/>
                <w:szCs w:val="16"/>
              </w:rPr>
              <w:t>)</w:t>
            </w:r>
          </w:p>
        </w:tc>
      </w:tr>
      <w:tr w:rsidR="00F909A0" w:rsidRPr="007B4EF8" w14:paraId="4F564F31" w14:textId="77777777" w:rsidTr="00B56B65">
        <w:trPr>
          <w:jc w:val="center"/>
        </w:trPr>
        <w:tc>
          <w:tcPr>
            <w:tcW w:w="1985" w:type="dxa"/>
            <w:vAlign w:val="center"/>
          </w:tcPr>
          <w:p w14:paraId="1CAF69DC" w14:textId="77777777" w:rsidR="00F909A0" w:rsidRDefault="00F909A0" w:rsidP="00B56B65">
            <w:pPr>
              <w:spacing w:before="20" w:after="20"/>
              <w:rPr>
                <w:color w:val="000000"/>
                <w:sz w:val="16"/>
                <w:szCs w:val="16"/>
              </w:rPr>
            </w:pPr>
          </w:p>
        </w:tc>
        <w:tc>
          <w:tcPr>
            <w:tcW w:w="2693" w:type="dxa"/>
            <w:vAlign w:val="center"/>
          </w:tcPr>
          <w:p w14:paraId="107CDC9D" w14:textId="77777777" w:rsidR="00F909A0" w:rsidRDefault="00F909A0" w:rsidP="00B56B65">
            <w:pPr>
              <w:spacing w:before="20" w:after="20"/>
              <w:rPr>
                <w:color w:val="000000"/>
                <w:sz w:val="16"/>
                <w:szCs w:val="16"/>
              </w:rPr>
            </w:pPr>
            <w:r>
              <w:rPr>
                <w:color w:val="000000"/>
                <w:sz w:val="16"/>
                <w:szCs w:val="16"/>
              </w:rPr>
              <w:t>Set a time limit</w:t>
            </w:r>
          </w:p>
        </w:tc>
        <w:tc>
          <w:tcPr>
            <w:tcW w:w="536" w:type="dxa"/>
            <w:vAlign w:val="center"/>
          </w:tcPr>
          <w:p w14:paraId="212835A6" w14:textId="77777777" w:rsidR="00F909A0" w:rsidRPr="00F909A0" w:rsidRDefault="00F909A0" w:rsidP="00B56B65">
            <w:pPr>
              <w:spacing w:before="20" w:after="20"/>
              <w:jc w:val="right"/>
              <w:rPr>
                <w:sz w:val="16"/>
                <w:szCs w:val="16"/>
              </w:rPr>
            </w:pPr>
            <w:r w:rsidRPr="00F909A0">
              <w:rPr>
                <w:sz w:val="16"/>
                <w:szCs w:val="16"/>
              </w:rPr>
              <w:t>16</w:t>
            </w:r>
          </w:p>
        </w:tc>
        <w:tc>
          <w:tcPr>
            <w:tcW w:w="576" w:type="dxa"/>
            <w:vAlign w:val="center"/>
          </w:tcPr>
          <w:p w14:paraId="1E9EE724" w14:textId="77777777" w:rsidR="00F909A0" w:rsidRPr="00F909A0" w:rsidRDefault="00F909A0" w:rsidP="00B56B65">
            <w:pPr>
              <w:spacing w:before="20" w:after="20"/>
              <w:jc w:val="right"/>
              <w:rPr>
                <w:sz w:val="16"/>
                <w:szCs w:val="16"/>
              </w:rPr>
            </w:pPr>
            <w:r w:rsidRPr="00F909A0">
              <w:rPr>
                <w:sz w:val="16"/>
                <w:szCs w:val="16"/>
              </w:rPr>
              <w:t>10.6</w:t>
            </w:r>
          </w:p>
        </w:tc>
        <w:tc>
          <w:tcPr>
            <w:tcW w:w="1043" w:type="dxa"/>
            <w:tcBorders>
              <w:right w:val="single" w:sz="4" w:space="0" w:color="auto"/>
            </w:tcBorders>
            <w:vAlign w:val="center"/>
          </w:tcPr>
          <w:p w14:paraId="51160EA4" w14:textId="77777777" w:rsidR="00F909A0" w:rsidRPr="00F909A0" w:rsidRDefault="00F909A0" w:rsidP="00B56B65">
            <w:pPr>
              <w:spacing w:before="20" w:after="20"/>
              <w:jc w:val="right"/>
              <w:rPr>
                <w:sz w:val="16"/>
                <w:szCs w:val="16"/>
              </w:rPr>
            </w:pPr>
            <w:r w:rsidRPr="00F909A0">
              <w:rPr>
                <w:sz w:val="16"/>
                <w:szCs w:val="16"/>
              </w:rPr>
              <w:t>(4.4, 16.8)</w:t>
            </w:r>
          </w:p>
        </w:tc>
        <w:tc>
          <w:tcPr>
            <w:tcW w:w="536" w:type="dxa"/>
            <w:tcBorders>
              <w:left w:val="single" w:sz="4" w:space="0" w:color="auto"/>
            </w:tcBorders>
            <w:vAlign w:val="center"/>
          </w:tcPr>
          <w:p w14:paraId="563C9D1E" w14:textId="77777777" w:rsidR="00F909A0" w:rsidRPr="00F909A0" w:rsidRDefault="00F909A0" w:rsidP="00B56B65">
            <w:pPr>
              <w:spacing w:before="20" w:after="20"/>
              <w:jc w:val="right"/>
              <w:rPr>
                <w:sz w:val="16"/>
                <w:szCs w:val="16"/>
              </w:rPr>
            </w:pPr>
            <w:r w:rsidRPr="00F909A0">
              <w:rPr>
                <w:sz w:val="16"/>
                <w:szCs w:val="16"/>
              </w:rPr>
              <w:t>8</w:t>
            </w:r>
          </w:p>
        </w:tc>
        <w:tc>
          <w:tcPr>
            <w:tcW w:w="576" w:type="dxa"/>
            <w:vAlign w:val="center"/>
          </w:tcPr>
          <w:p w14:paraId="6E64652F" w14:textId="77777777" w:rsidR="00F909A0" w:rsidRPr="00F909A0" w:rsidRDefault="00F909A0" w:rsidP="00B56B65">
            <w:pPr>
              <w:spacing w:before="20" w:after="20"/>
              <w:jc w:val="right"/>
              <w:rPr>
                <w:sz w:val="16"/>
                <w:szCs w:val="16"/>
              </w:rPr>
            </w:pPr>
            <w:r w:rsidRPr="00F909A0">
              <w:rPr>
                <w:sz w:val="16"/>
                <w:szCs w:val="16"/>
              </w:rPr>
              <w:t>10.6</w:t>
            </w:r>
          </w:p>
        </w:tc>
        <w:tc>
          <w:tcPr>
            <w:tcW w:w="1043" w:type="dxa"/>
            <w:tcBorders>
              <w:right w:val="single" w:sz="4" w:space="0" w:color="auto"/>
            </w:tcBorders>
            <w:vAlign w:val="center"/>
          </w:tcPr>
          <w:p w14:paraId="1C8A9B63" w14:textId="77777777" w:rsidR="00F909A0" w:rsidRPr="00F909A0" w:rsidRDefault="00A846F1" w:rsidP="00B56B65">
            <w:pPr>
              <w:spacing w:before="20" w:after="20"/>
              <w:jc w:val="right"/>
              <w:rPr>
                <w:sz w:val="16"/>
                <w:szCs w:val="16"/>
              </w:rPr>
            </w:pPr>
            <w:r>
              <w:rPr>
                <w:sz w:val="16"/>
                <w:szCs w:val="16"/>
              </w:rPr>
              <w:t>(3.6, 17.6</w:t>
            </w:r>
            <w:r w:rsidR="00F909A0" w:rsidRPr="00F909A0">
              <w:rPr>
                <w:sz w:val="16"/>
                <w:szCs w:val="16"/>
              </w:rPr>
              <w:t>)</w:t>
            </w:r>
          </w:p>
        </w:tc>
        <w:tc>
          <w:tcPr>
            <w:tcW w:w="536" w:type="dxa"/>
            <w:tcBorders>
              <w:left w:val="single" w:sz="4" w:space="0" w:color="auto"/>
            </w:tcBorders>
            <w:vAlign w:val="center"/>
          </w:tcPr>
          <w:p w14:paraId="0C77DA3E" w14:textId="77777777" w:rsidR="00F909A0" w:rsidRPr="00F909A0" w:rsidRDefault="00F909A0" w:rsidP="00B56B65">
            <w:pPr>
              <w:spacing w:before="20" w:after="20"/>
              <w:jc w:val="right"/>
              <w:rPr>
                <w:sz w:val="16"/>
                <w:szCs w:val="16"/>
              </w:rPr>
            </w:pPr>
            <w:r w:rsidRPr="00F909A0">
              <w:rPr>
                <w:sz w:val="16"/>
                <w:szCs w:val="16"/>
              </w:rPr>
              <w:t>4</w:t>
            </w:r>
          </w:p>
        </w:tc>
        <w:tc>
          <w:tcPr>
            <w:tcW w:w="576" w:type="dxa"/>
            <w:vAlign w:val="center"/>
          </w:tcPr>
          <w:p w14:paraId="6CFC359E" w14:textId="77777777" w:rsidR="00F909A0" w:rsidRPr="00F909A0" w:rsidRDefault="00F909A0" w:rsidP="00B56B65">
            <w:pPr>
              <w:spacing w:before="20" w:after="20"/>
              <w:jc w:val="right"/>
              <w:rPr>
                <w:sz w:val="16"/>
                <w:szCs w:val="16"/>
              </w:rPr>
            </w:pPr>
            <w:r w:rsidRPr="00F909A0">
              <w:rPr>
                <w:sz w:val="16"/>
                <w:szCs w:val="16"/>
              </w:rPr>
              <w:t>6.4</w:t>
            </w:r>
          </w:p>
        </w:tc>
        <w:tc>
          <w:tcPr>
            <w:tcW w:w="1043" w:type="dxa"/>
            <w:tcBorders>
              <w:right w:val="single" w:sz="4" w:space="0" w:color="auto"/>
            </w:tcBorders>
            <w:vAlign w:val="center"/>
          </w:tcPr>
          <w:p w14:paraId="22A1D7F9" w14:textId="77777777" w:rsidR="00F909A0" w:rsidRPr="00F909A0" w:rsidRDefault="00F909A0" w:rsidP="00B56B65">
            <w:pPr>
              <w:spacing w:before="20" w:after="20"/>
              <w:jc w:val="right"/>
              <w:rPr>
                <w:sz w:val="16"/>
                <w:szCs w:val="16"/>
              </w:rPr>
            </w:pPr>
            <w:r w:rsidRPr="00F909A0">
              <w:rPr>
                <w:sz w:val="16"/>
                <w:szCs w:val="16"/>
              </w:rPr>
              <w:t>(0.5, 12.3)</w:t>
            </w:r>
          </w:p>
        </w:tc>
        <w:tc>
          <w:tcPr>
            <w:tcW w:w="536" w:type="dxa"/>
            <w:tcBorders>
              <w:left w:val="single" w:sz="4" w:space="0" w:color="auto"/>
            </w:tcBorders>
            <w:vAlign w:val="center"/>
          </w:tcPr>
          <w:p w14:paraId="35E742C0" w14:textId="77777777" w:rsidR="00F909A0" w:rsidRPr="00F909A0" w:rsidRDefault="00F909A0" w:rsidP="00B56B65">
            <w:pPr>
              <w:spacing w:before="20" w:after="20"/>
              <w:jc w:val="right"/>
              <w:rPr>
                <w:sz w:val="16"/>
                <w:szCs w:val="16"/>
              </w:rPr>
            </w:pPr>
            <w:r w:rsidRPr="00F909A0">
              <w:rPr>
                <w:sz w:val="16"/>
                <w:szCs w:val="16"/>
              </w:rPr>
              <w:t>3</w:t>
            </w:r>
          </w:p>
        </w:tc>
        <w:tc>
          <w:tcPr>
            <w:tcW w:w="576" w:type="dxa"/>
            <w:vAlign w:val="center"/>
          </w:tcPr>
          <w:p w14:paraId="03F88AAF" w14:textId="77777777" w:rsidR="00F909A0" w:rsidRPr="00F909A0" w:rsidRDefault="00F909A0" w:rsidP="00B56B65">
            <w:pPr>
              <w:spacing w:before="20" w:after="20"/>
              <w:jc w:val="right"/>
              <w:rPr>
                <w:sz w:val="16"/>
                <w:szCs w:val="16"/>
              </w:rPr>
            </w:pPr>
            <w:r w:rsidRPr="00F909A0">
              <w:rPr>
                <w:sz w:val="16"/>
                <w:szCs w:val="16"/>
              </w:rPr>
              <w:t>5.2</w:t>
            </w:r>
          </w:p>
        </w:tc>
        <w:tc>
          <w:tcPr>
            <w:tcW w:w="1123" w:type="dxa"/>
            <w:vAlign w:val="center"/>
          </w:tcPr>
          <w:p w14:paraId="70ED0143" w14:textId="77777777" w:rsidR="00F909A0" w:rsidRPr="00F909A0" w:rsidRDefault="00C14AFE" w:rsidP="00B56B65">
            <w:pPr>
              <w:spacing w:before="20" w:after="20"/>
              <w:jc w:val="right"/>
              <w:rPr>
                <w:sz w:val="16"/>
                <w:szCs w:val="16"/>
              </w:rPr>
            </w:pPr>
            <w:r>
              <w:rPr>
                <w:sz w:val="16"/>
                <w:szCs w:val="16"/>
              </w:rPr>
              <w:t>(0.0, 11.3</w:t>
            </w:r>
            <w:r w:rsidR="00F909A0" w:rsidRPr="00F909A0">
              <w:rPr>
                <w:sz w:val="16"/>
                <w:szCs w:val="16"/>
              </w:rPr>
              <w:t>)</w:t>
            </w:r>
          </w:p>
        </w:tc>
      </w:tr>
      <w:tr w:rsidR="00F909A0" w:rsidRPr="007B4EF8" w14:paraId="47FC15C9" w14:textId="77777777" w:rsidTr="00B56B65">
        <w:trPr>
          <w:jc w:val="center"/>
        </w:trPr>
        <w:tc>
          <w:tcPr>
            <w:tcW w:w="1985" w:type="dxa"/>
            <w:vAlign w:val="center"/>
          </w:tcPr>
          <w:p w14:paraId="3D28DB59" w14:textId="77777777" w:rsidR="00F909A0" w:rsidRDefault="00F909A0" w:rsidP="00B56B65">
            <w:pPr>
              <w:spacing w:before="20" w:after="20"/>
              <w:rPr>
                <w:color w:val="000000"/>
                <w:sz w:val="16"/>
                <w:szCs w:val="16"/>
              </w:rPr>
            </w:pPr>
          </w:p>
        </w:tc>
        <w:tc>
          <w:tcPr>
            <w:tcW w:w="2693" w:type="dxa"/>
            <w:vAlign w:val="center"/>
          </w:tcPr>
          <w:p w14:paraId="6373C949" w14:textId="77777777" w:rsidR="00F909A0" w:rsidRDefault="00F909A0" w:rsidP="00B56B65">
            <w:pPr>
              <w:spacing w:before="20" w:after="20"/>
              <w:rPr>
                <w:color w:val="000000"/>
                <w:sz w:val="16"/>
                <w:szCs w:val="16"/>
              </w:rPr>
            </w:pPr>
            <w:r>
              <w:rPr>
                <w:color w:val="000000"/>
                <w:sz w:val="16"/>
                <w:szCs w:val="16"/>
              </w:rPr>
              <w:t>Avoid betting/gambling places</w:t>
            </w:r>
          </w:p>
        </w:tc>
        <w:tc>
          <w:tcPr>
            <w:tcW w:w="536" w:type="dxa"/>
            <w:vAlign w:val="center"/>
          </w:tcPr>
          <w:p w14:paraId="6BFDDB32" w14:textId="77777777" w:rsidR="00F909A0" w:rsidRPr="00F909A0" w:rsidRDefault="00F909A0" w:rsidP="00B56B65">
            <w:pPr>
              <w:spacing w:before="20" w:after="20"/>
              <w:jc w:val="right"/>
              <w:rPr>
                <w:sz w:val="16"/>
                <w:szCs w:val="16"/>
              </w:rPr>
            </w:pPr>
            <w:r w:rsidRPr="00F909A0">
              <w:rPr>
                <w:sz w:val="16"/>
                <w:szCs w:val="16"/>
              </w:rPr>
              <w:t>21</w:t>
            </w:r>
          </w:p>
        </w:tc>
        <w:tc>
          <w:tcPr>
            <w:tcW w:w="576" w:type="dxa"/>
            <w:vAlign w:val="center"/>
          </w:tcPr>
          <w:p w14:paraId="04CEF9AA" w14:textId="77777777" w:rsidR="00F909A0" w:rsidRPr="00F909A0" w:rsidRDefault="00F909A0" w:rsidP="00B56B65">
            <w:pPr>
              <w:spacing w:before="20" w:after="20"/>
              <w:jc w:val="right"/>
              <w:rPr>
                <w:sz w:val="16"/>
                <w:szCs w:val="16"/>
              </w:rPr>
            </w:pPr>
            <w:r w:rsidRPr="00F909A0">
              <w:rPr>
                <w:sz w:val="16"/>
                <w:szCs w:val="16"/>
              </w:rPr>
              <w:t>14.1</w:t>
            </w:r>
          </w:p>
        </w:tc>
        <w:tc>
          <w:tcPr>
            <w:tcW w:w="1043" w:type="dxa"/>
            <w:tcBorders>
              <w:right w:val="single" w:sz="4" w:space="0" w:color="auto"/>
            </w:tcBorders>
            <w:vAlign w:val="center"/>
          </w:tcPr>
          <w:p w14:paraId="134CA2D6" w14:textId="77777777" w:rsidR="00F909A0" w:rsidRPr="00F909A0" w:rsidRDefault="00F909A0" w:rsidP="00B56B65">
            <w:pPr>
              <w:spacing w:before="20" w:after="20"/>
              <w:jc w:val="right"/>
              <w:rPr>
                <w:sz w:val="16"/>
                <w:szCs w:val="16"/>
              </w:rPr>
            </w:pPr>
            <w:r w:rsidRPr="00F909A0">
              <w:rPr>
                <w:sz w:val="16"/>
                <w:szCs w:val="16"/>
              </w:rPr>
              <w:t>(8.3, 19.9)</w:t>
            </w:r>
          </w:p>
        </w:tc>
        <w:tc>
          <w:tcPr>
            <w:tcW w:w="536" w:type="dxa"/>
            <w:tcBorders>
              <w:left w:val="single" w:sz="4" w:space="0" w:color="auto"/>
            </w:tcBorders>
            <w:vAlign w:val="center"/>
          </w:tcPr>
          <w:p w14:paraId="7E0FA86E" w14:textId="77777777" w:rsidR="00F909A0" w:rsidRPr="00F909A0" w:rsidRDefault="00F909A0" w:rsidP="00B56B65">
            <w:pPr>
              <w:spacing w:before="20" w:after="20"/>
              <w:jc w:val="right"/>
              <w:rPr>
                <w:sz w:val="16"/>
                <w:szCs w:val="16"/>
              </w:rPr>
            </w:pPr>
            <w:r w:rsidRPr="00F909A0">
              <w:rPr>
                <w:sz w:val="16"/>
                <w:szCs w:val="16"/>
              </w:rPr>
              <w:t>12</w:t>
            </w:r>
          </w:p>
        </w:tc>
        <w:tc>
          <w:tcPr>
            <w:tcW w:w="576" w:type="dxa"/>
            <w:vAlign w:val="center"/>
          </w:tcPr>
          <w:p w14:paraId="39BD891C" w14:textId="77777777" w:rsidR="00F909A0" w:rsidRPr="00F909A0" w:rsidRDefault="00F909A0" w:rsidP="00B56B65">
            <w:pPr>
              <w:spacing w:before="20" w:after="20"/>
              <w:jc w:val="right"/>
              <w:rPr>
                <w:sz w:val="16"/>
                <w:szCs w:val="16"/>
              </w:rPr>
            </w:pPr>
            <w:r w:rsidRPr="00F909A0">
              <w:rPr>
                <w:sz w:val="16"/>
                <w:szCs w:val="16"/>
              </w:rPr>
              <w:t>15.6</w:t>
            </w:r>
          </w:p>
        </w:tc>
        <w:tc>
          <w:tcPr>
            <w:tcW w:w="1043" w:type="dxa"/>
            <w:tcBorders>
              <w:right w:val="single" w:sz="4" w:space="0" w:color="auto"/>
            </w:tcBorders>
            <w:vAlign w:val="center"/>
          </w:tcPr>
          <w:p w14:paraId="3741C878" w14:textId="77777777" w:rsidR="00F909A0" w:rsidRPr="00F909A0" w:rsidRDefault="00F909A0" w:rsidP="00B56B65">
            <w:pPr>
              <w:spacing w:before="20" w:after="20"/>
              <w:jc w:val="right"/>
              <w:rPr>
                <w:sz w:val="16"/>
                <w:szCs w:val="16"/>
              </w:rPr>
            </w:pPr>
            <w:r w:rsidRPr="00F909A0">
              <w:rPr>
                <w:sz w:val="16"/>
                <w:szCs w:val="16"/>
              </w:rPr>
              <w:t>(6.9, 24.4)</w:t>
            </w:r>
          </w:p>
        </w:tc>
        <w:tc>
          <w:tcPr>
            <w:tcW w:w="536" w:type="dxa"/>
            <w:tcBorders>
              <w:left w:val="single" w:sz="4" w:space="0" w:color="auto"/>
            </w:tcBorders>
            <w:vAlign w:val="center"/>
          </w:tcPr>
          <w:p w14:paraId="71B48081" w14:textId="77777777" w:rsidR="00F909A0" w:rsidRPr="00F909A0" w:rsidRDefault="00F909A0" w:rsidP="00B56B65">
            <w:pPr>
              <w:spacing w:before="20" w:after="20"/>
              <w:jc w:val="right"/>
              <w:rPr>
                <w:sz w:val="16"/>
                <w:szCs w:val="16"/>
              </w:rPr>
            </w:pPr>
            <w:r w:rsidRPr="00F909A0">
              <w:rPr>
                <w:sz w:val="16"/>
                <w:szCs w:val="16"/>
              </w:rPr>
              <w:t>7</w:t>
            </w:r>
          </w:p>
        </w:tc>
        <w:tc>
          <w:tcPr>
            <w:tcW w:w="576" w:type="dxa"/>
            <w:vAlign w:val="center"/>
          </w:tcPr>
          <w:p w14:paraId="34B2B7B2" w14:textId="77777777" w:rsidR="00F909A0" w:rsidRPr="00F909A0" w:rsidRDefault="00F909A0" w:rsidP="00B56B65">
            <w:pPr>
              <w:spacing w:before="20" w:after="20"/>
              <w:jc w:val="right"/>
              <w:rPr>
                <w:sz w:val="16"/>
                <w:szCs w:val="16"/>
              </w:rPr>
            </w:pPr>
            <w:r w:rsidRPr="00F909A0">
              <w:rPr>
                <w:sz w:val="16"/>
                <w:szCs w:val="16"/>
              </w:rPr>
              <w:t>12.6</w:t>
            </w:r>
          </w:p>
        </w:tc>
        <w:tc>
          <w:tcPr>
            <w:tcW w:w="1043" w:type="dxa"/>
            <w:tcBorders>
              <w:right w:val="single" w:sz="4" w:space="0" w:color="auto"/>
            </w:tcBorders>
            <w:vAlign w:val="center"/>
          </w:tcPr>
          <w:p w14:paraId="473DF19E" w14:textId="77777777" w:rsidR="00F909A0" w:rsidRPr="00F909A0" w:rsidRDefault="00F909A0" w:rsidP="00B56B65">
            <w:pPr>
              <w:spacing w:before="20" w:after="20"/>
              <w:jc w:val="right"/>
              <w:rPr>
                <w:sz w:val="16"/>
                <w:szCs w:val="16"/>
              </w:rPr>
            </w:pPr>
            <w:r w:rsidRPr="00F909A0">
              <w:rPr>
                <w:sz w:val="16"/>
                <w:szCs w:val="16"/>
              </w:rPr>
              <w:t>(4.2, 21.0)</w:t>
            </w:r>
          </w:p>
        </w:tc>
        <w:tc>
          <w:tcPr>
            <w:tcW w:w="536" w:type="dxa"/>
            <w:tcBorders>
              <w:left w:val="single" w:sz="4" w:space="0" w:color="auto"/>
            </w:tcBorders>
            <w:vAlign w:val="center"/>
          </w:tcPr>
          <w:p w14:paraId="2E6B1EF4" w14:textId="77777777" w:rsidR="00F909A0" w:rsidRPr="00F909A0" w:rsidRDefault="00F909A0" w:rsidP="00B56B65">
            <w:pPr>
              <w:spacing w:before="20" w:after="20"/>
              <w:jc w:val="right"/>
              <w:rPr>
                <w:sz w:val="16"/>
                <w:szCs w:val="16"/>
              </w:rPr>
            </w:pPr>
            <w:r w:rsidRPr="00F909A0">
              <w:rPr>
                <w:sz w:val="16"/>
                <w:szCs w:val="16"/>
              </w:rPr>
              <w:t>3</w:t>
            </w:r>
          </w:p>
        </w:tc>
        <w:tc>
          <w:tcPr>
            <w:tcW w:w="576" w:type="dxa"/>
            <w:vAlign w:val="center"/>
          </w:tcPr>
          <w:p w14:paraId="5E8F4756" w14:textId="77777777" w:rsidR="00F909A0" w:rsidRPr="00F909A0" w:rsidRDefault="00F909A0" w:rsidP="00B56B65">
            <w:pPr>
              <w:spacing w:before="20" w:after="20"/>
              <w:jc w:val="right"/>
              <w:rPr>
                <w:sz w:val="16"/>
                <w:szCs w:val="16"/>
              </w:rPr>
            </w:pPr>
            <w:r w:rsidRPr="00F909A0">
              <w:rPr>
                <w:sz w:val="16"/>
                <w:szCs w:val="16"/>
              </w:rPr>
              <w:t>6.1</w:t>
            </w:r>
          </w:p>
        </w:tc>
        <w:tc>
          <w:tcPr>
            <w:tcW w:w="1123" w:type="dxa"/>
            <w:vAlign w:val="center"/>
          </w:tcPr>
          <w:p w14:paraId="39B0A022" w14:textId="77777777" w:rsidR="00F909A0" w:rsidRPr="00F909A0" w:rsidRDefault="00F909A0" w:rsidP="00B56B65">
            <w:pPr>
              <w:spacing w:before="20" w:after="20"/>
              <w:jc w:val="right"/>
              <w:rPr>
                <w:sz w:val="16"/>
                <w:szCs w:val="16"/>
              </w:rPr>
            </w:pPr>
            <w:r w:rsidRPr="00F909A0">
              <w:rPr>
                <w:sz w:val="16"/>
                <w:szCs w:val="16"/>
              </w:rPr>
              <w:t>(1.4, 10.8)</w:t>
            </w:r>
          </w:p>
        </w:tc>
      </w:tr>
      <w:tr w:rsidR="009A1708" w:rsidRPr="007B4EF8" w14:paraId="39F6B458" w14:textId="77777777" w:rsidTr="00F909A0">
        <w:trPr>
          <w:jc w:val="center"/>
        </w:trPr>
        <w:tc>
          <w:tcPr>
            <w:tcW w:w="4678" w:type="dxa"/>
            <w:gridSpan w:val="2"/>
            <w:vAlign w:val="center"/>
          </w:tcPr>
          <w:p w14:paraId="2CDCAD44" w14:textId="77777777" w:rsidR="009A1708" w:rsidRDefault="009A1708" w:rsidP="00B56B65">
            <w:pPr>
              <w:keepNext/>
              <w:spacing w:before="20" w:after="20"/>
              <w:rPr>
                <w:rFonts w:eastAsiaTheme="minorEastAsia"/>
                <w:sz w:val="16"/>
                <w:szCs w:val="16"/>
                <w:lang w:eastAsia="en-US"/>
              </w:rPr>
            </w:pPr>
            <w:r>
              <w:rPr>
                <w:rFonts w:eastAsiaTheme="minorEastAsia"/>
                <w:b/>
                <w:sz w:val="16"/>
                <w:szCs w:val="16"/>
                <w:lang w:eastAsia="en-US"/>
              </w:rPr>
              <w:t>Sought help from gambling treatment services in past year</w:t>
            </w:r>
          </w:p>
        </w:tc>
        <w:tc>
          <w:tcPr>
            <w:tcW w:w="536" w:type="dxa"/>
            <w:vAlign w:val="center"/>
          </w:tcPr>
          <w:p w14:paraId="28EFDD1A" w14:textId="77777777" w:rsidR="009A1708" w:rsidRDefault="009A1708" w:rsidP="00B56B65">
            <w:pPr>
              <w:keepNext/>
              <w:spacing w:before="20" w:after="20"/>
              <w:jc w:val="right"/>
              <w:rPr>
                <w:color w:val="000000"/>
                <w:sz w:val="16"/>
                <w:szCs w:val="16"/>
                <w:lang w:eastAsia="en-NZ"/>
              </w:rPr>
            </w:pPr>
          </w:p>
        </w:tc>
        <w:tc>
          <w:tcPr>
            <w:tcW w:w="576" w:type="dxa"/>
            <w:vAlign w:val="center"/>
          </w:tcPr>
          <w:p w14:paraId="1501E84B" w14:textId="77777777" w:rsidR="009A1708" w:rsidRDefault="009A1708" w:rsidP="00B56B65">
            <w:pPr>
              <w:keepNext/>
              <w:spacing w:before="20" w:after="20"/>
              <w:jc w:val="right"/>
              <w:rPr>
                <w:color w:val="000000"/>
                <w:sz w:val="16"/>
                <w:szCs w:val="16"/>
              </w:rPr>
            </w:pPr>
          </w:p>
        </w:tc>
        <w:tc>
          <w:tcPr>
            <w:tcW w:w="1043" w:type="dxa"/>
            <w:tcBorders>
              <w:right w:val="single" w:sz="4" w:space="0" w:color="auto"/>
            </w:tcBorders>
            <w:vAlign w:val="center"/>
          </w:tcPr>
          <w:p w14:paraId="0539416B" w14:textId="77777777" w:rsidR="009A1708" w:rsidRDefault="009A1708" w:rsidP="00B56B65">
            <w:pPr>
              <w:keepNext/>
              <w:spacing w:before="20" w:after="20"/>
              <w:jc w:val="right"/>
              <w:rPr>
                <w:color w:val="000000"/>
                <w:sz w:val="16"/>
                <w:szCs w:val="16"/>
              </w:rPr>
            </w:pPr>
          </w:p>
        </w:tc>
        <w:tc>
          <w:tcPr>
            <w:tcW w:w="536" w:type="dxa"/>
            <w:tcBorders>
              <w:left w:val="single" w:sz="4" w:space="0" w:color="auto"/>
            </w:tcBorders>
            <w:vAlign w:val="center"/>
          </w:tcPr>
          <w:p w14:paraId="008F53E2" w14:textId="77777777" w:rsidR="009A1708" w:rsidRDefault="009A1708" w:rsidP="00B56B65">
            <w:pPr>
              <w:keepNext/>
              <w:spacing w:before="20" w:after="20"/>
              <w:jc w:val="right"/>
              <w:rPr>
                <w:color w:val="000000"/>
                <w:sz w:val="16"/>
                <w:szCs w:val="16"/>
              </w:rPr>
            </w:pPr>
          </w:p>
        </w:tc>
        <w:tc>
          <w:tcPr>
            <w:tcW w:w="576" w:type="dxa"/>
            <w:vAlign w:val="center"/>
          </w:tcPr>
          <w:p w14:paraId="1591A673" w14:textId="77777777" w:rsidR="009A1708" w:rsidRDefault="009A1708" w:rsidP="00B56B65">
            <w:pPr>
              <w:keepNext/>
              <w:spacing w:before="20" w:after="20"/>
              <w:jc w:val="right"/>
              <w:rPr>
                <w:color w:val="000000"/>
                <w:sz w:val="16"/>
                <w:szCs w:val="16"/>
              </w:rPr>
            </w:pPr>
          </w:p>
        </w:tc>
        <w:tc>
          <w:tcPr>
            <w:tcW w:w="1043" w:type="dxa"/>
            <w:tcBorders>
              <w:right w:val="single" w:sz="4" w:space="0" w:color="auto"/>
            </w:tcBorders>
            <w:vAlign w:val="center"/>
          </w:tcPr>
          <w:p w14:paraId="0FAB36BD" w14:textId="77777777" w:rsidR="009A1708" w:rsidRDefault="009A1708" w:rsidP="00B56B65">
            <w:pPr>
              <w:keepNext/>
              <w:spacing w:before="20" w:after="20"/>
              <w:jc w:val="right"/>
              <w:rPr>
                <w:color w:val="000000"/>
                <w:sz w:val="16"/>
                <w:szCs w:val="16"/>
              </w:rPr>
            </w:pPr>
          </w:p>
        </w:tc>
        <w:tc>
          <w:tcPr>
            <w:tcW w:w="536" w:type="dxa"/>
            <w:tcBorders>
              <w:left w:val="single" w:sz="4" w:space="0" w:color="auto"/>
            </w:tcBorders>
            <w:vAlign w:val="center"/>
          </w:tcPr>
          <w:p w14:paraId="365FAF0A" w14:textId="77777777" w:rsidR="009A1708" w:rsidRDefault="009A1708" w:rsidP="00B56B65">
            <w:pPr>
              <w:keepNext/>
              <w:spacing w:before="20" w:after="20"/>
              <w:jc w:val="right"/>
              <w:rPr>
                <w:color w:val="000000"/>
                <w:sz w:val="16"/>
                <w:szCs w:val="16"/>
              </w:rPr>
            </w:pPr>
          </w:p>
        </w:tc>
        <w:tc>
          <w:tcPr>
            <w:tcW w:w="576" w:type="dxa"/>
            <w:vAlign w:val="center"/>
          </w:tcPr>
          <w:p w14:paraId="0FCAE193" w14:textId="77777777" w:rsidR="009A1708" w:rsidRDefault="009A1708" w:rsidP="00B56B65">
            <w:pPr>
              <w:keepNext/>
              <w:spacing w:before="20" w:after="20"/>
              <w:jc w:val="right"/>
              <w:rPr>
                <w:color w:val="000000"/>
                <w:sz w:val="16"/>
                <w:szCs w:val="16"/>
              </w:rPr>
            </w:pPr>
          </w:p>
        </w:tc>
        <w:tc>
          <w:tcPr>
            <w:tcW w:w="1043" w:type="dxa"/>
            <w:tcBorders>
              <w:right w:val="single" w:sz="4" w:space="0" w:color="auto"/>
            </w:tcBorders>
            <w:vAlign w:val="center"/>
          </w:tcPr>
          <w:p w14:paraId="753C7268" w14:textId="77777777" w:rsidR="009A1708" w:rsidRDefault="009A1708" w:rsidP="00B56B65">
            <w:pPr>
              <w:keepNext/>
              <w:spacing w:before="20" w:after="20"/>
              <w:jc w:val="right"/>
              <w:rPr>
                <w:color w:val="000000"/>
                <w:sz w:val="16"/>
                <w:szCs w:val="16"/>
              </w:rPr>
            </w:pPr>
          </w:p>
        </w:tc>
        <w:tc>
          <w:tcPr>
            <w:tcW w:w="536" w:type="dxa"/>
            <w:tcBorders>
              <w:left w:val="single" w:sz="4" w:space="0" w:color="auto"/>
            </w:tcBorders>
            <w:vAlign w:val="center"/>
          </w:tcPr>
          <w:p w14:paraId="2AFDEDDA" w14:textId="77777777" w:rsidR="009A1708" w:rsidRDefault="009A1708" w:rsidP="00B56B65">
            <w:pPr>
              <w:keepNext/>
              <w:spacing w:before="20" w:after="20"/>
              <w:jc w:val="right"/>
              <w:rPr>
                <w:color w:val="000000"/>
                <w:sz w:val="16"/>
                <w:szCs w:val="16"/>
              </w:rPr>
            </w:pPr>
          </w:p>
        </w:tc>
        <w:tc>
          <w:tcPr>
            <w:tcW w:w="576" w:type="dxa"/>
            <w:vAlign w:val="center"/>
          </w:tcPr>
          <w:p w14:paraId="6A9A9797" w14:textId="77777777" w:rsidR="009A1708" w:rsidRDefault="009A1708" w:rsidP="00B56B65">
            <w:pPr>
              <w:keepNext/>
              <w:spacing w:before="20" w:after="20"/>
              <w:jc w:val="right"/>
              <w:rPr>
                <w:color w:val="000000"/>
                <w:sz w:val="16"/>
                <w:szCs w:val="16"/>
              </w:rPr>
            </w:pPr>
          </w:p>
        </w:tc>
        <w:tc>
          <w:tcPr>
            <w:tcW w:w="1123" w:type="dxa"/>
            <w:vAlign w:val="center"/>
          </w:tcPr>
          <w:p w14:paraId="47B65C10" w14:textId="77777777" w:rsidR="009A1708" w:rsidRDefault="009A1708" w:rsidP="00B56B65">
            <w:pPr>
              <w:keepNext/>
              <w:spacing w:before="20" w:after="20"/>
              <w:jc w:val="right"/>
              <w:rPr>
                <w:color w:val="000000"/>
                <w:sz w:val="16"/>
                <w:szCs w:val="16"/>
              </w:rPr>
            </w:pPr>
          </w:p>
        </w:tc>
      </w:tr>
      <w:tr w:rsidR="00F909A0" w:rsidRPr="007B4EF8" w14:paraId="5999AA0E" w14:textId="77777777" w:rsidTr="00B56B65">
        <w:trPr>
          <w:jc w:val="center"/>
        </w:trPr>
        <w:tc>
          <w:tcPr>
            <w:tcW w:w="1985" w:type="dxa"/>
            <w:vAlign w:val="center"/>
          </w:tcPr>
          <w:p w14:paraId="48716856" w14:textId="77777777" w:rsidR="00F909A0" w:rsidRDefault="00F909A0" w:rsidP="00B56B65">
            <w:pPr>
              <w:spacing w:before="20" w:after="20"/>
              <w:rPr>
                <w:color w:val="000000"/>
                <w:sz w:val="16"/>
                <w:szCs w:val="16"/>
                <w:lang w:eastAsia="en-NZ"/>
              </w:rPr>
            </w:pPr>
            <w:r>
              <w:rPr>
                <w:color w:val="000000"/>
                <w:sz w:val="16"/>
                <w:szCs w:val="16"/>
              </w:rPr>
              <w:t>Non-problem gambler</w:t>
            </w:r>
          </w:p>
        </w:tc>
        <w:tc>
          <w:tcPr>
            <w:tcW w:w="2693" w:type="dxa"/>
            <w:vAlign w:val="center"/>
          </w:tcPr>
          <w:p w14:paraId="41BC9950" w14:textId="77777777" w:rsidR="00F909A0" w:rsidRDefault="00F909A0" w:rsidP="00B56B65">
            <w:pPr>
              <w:spacing w:before="20" w:after="20"/>
              <w:rPr>
                <w:color w:val="000000"/>
                <w:sz w:val="16"/>
                <w:szCs w:val="16"/>
              </w:rPr>
            </w:pPr>
            <w:r>
              <w:rPr>
                <w:color w:val="000000"/>
                <w:sz w:val="16"/>
                <w:szCs w:val="16"/>
              </w:rPr>
              <w:t>No</w:t>
            </w:r>
          </w:p>
        </w:tc>
        <w:tc>
          <w:tcPr>
            <w:tcW w:w="536" w:type="dxa"/>
          </w:tcPr>
          <w:p w14:paraId="7B526561" w14:textId="77777777" w:rsidR="00F909A0" w:rsidRPr="00F909A0" w:rsidRDefault="00F909A0" w:rsidP="00B56B65">
            <w:pPr>
              <w:spacing w:before="20" w:after="20"/>
              <w:jc w:val="right"/>
              <w:rPr>
                <w:sz w:val="16"/>
                <w:szCs w:val="16"/>
              </w:rPr>
            </w:pPr>
            <w:r w:rsidRPr="00F909A0">
              <w:rPr>
                <w:sz w:val="16"/>
                <w:szCs w:val="16"/>
              </w:rPr>
              <w:t>4535</w:t>
            </w:r>
          </w:p>
        </w:tc>
        <w:tc>
          <w:tcPr>
            <w:tcW w:w="576" w:type="dxa"/>
          </w:tcPr>
          <w:p w14:paraId="230839D8" w14:textId="77777777" w:rsidR="00F909A0" w:rsidRPr="00F909A0" w:rsidRDefault="00F909A0" w:rsidP="00B56B65">
            <w:pPr>
              <w:spacing w:before="20" w:after="20"/>
              <w:jc w:val="right"/>
              <w:rPr>
                <w:sz w:val="16"/>
                <w:szCs w:val="16"/>
              </w:rPr>
            </w:pPr>
            <w:r w:rsidRPr="00F909A0">
              <w:rPr>
                <w:sz w:val="16"/>
                <w:szCs w:val="16"/>
              </w:rPr>
              <w:t>100.0</w:t>
            </w:r>
          </w:p>
        </w:tc>
        <w:tc>
          <w:tcPr>
            <w:tcW w:w="1043" w:type="dxa"/>
            <w:tcBorders>
              <w:right w:val="single" w:sz="4" w:space="0" w:color="auto"/>
            </w:tcBorders>
          </w:tcPr>
          <w:p w14:paraId="0D9FD3D6" w14:textId="77777777" w:rsidR="00F909A0" w:rsidRPr="00F909A0" w:rsidRDefault="000F5589" w:rsidP="00B56B65">
            <w:pPr>
              <w:spacing w:before="20" w:after="20"/>
              <w:jc w:val="right"/>
              <w:rPr>
                <w:sz w:val="16"/>
                <w:szCs w:val="16"/>
              </w:rPr>
            </w:pPr>
            <w:r>
              <w:rPr>
                <w:sz w:val="16"/>
                <w:szCs w:val="16"/>
              </w:rPr>
              <w:t>-</w:t>
            </w:r>
          </w:p>
        </w:tc>
        <w:tc>
          <w:tcPr>
            <w:tcW w:w="536" w:type="dxa"/>
            <w:tcBorders>
              <w:left w:val="single" w:sz="4" w:space="0" w:color="auto"/>
            </w:tcBorders>
          </w:tcPr>
          <w:p w14:paraId="478E6D57" w14:textId="77777777" w:rsidR="00F909A0" w:rsidRPr="00F909A0" w:rsidRDefault="00F909A0" w:rsidP="00B56B65">
            <w:pPr>
              <w:spacing w:before="20" w:after="20"/>
              <w:jc w:val="right"/>
              <w:rPr>
                <w:sz w:val="16"/>
                <w:szCs w:val="16"/>
              </w:rPr>
            </w:pPr>
            <w:r w:rsidRPr="00F909A0">
              <w:rPr>
                <w:sz w:val="16"/>
                <w:szCs w:val="16"/>
              </w:rPr>
              <w:t>2633</w:t>
            </w:r>
          </w:p>
        </w:tc>
        <w:tc>
          <w:tcPr>
            <w:tcW w:w="576" w:type="dxa"/>
          </w:tcPr>
          <w:p w14:paraId="3E059013" w14:textId="77777777" w:rsidR="00F909A0" w:rsidRPr="00F909A0" w:rsidRDefault="00F909A0" w:rsidP="00B56B65">
            <w:pPr>
              <w:spacing w:before="20" w:after="20"/>
              <w:jc w:val="right"/>
              <w:rPr>
                <w:sz w:val="16"/>
                <w:szCs w:val="16"/>
              </w:rPr>
            </w:pPr>
            <w:r w:rsidRPr="00F909A0">
              <w:rPr>
                <w:sz w:val="16"/>
                <w:szCs w:val="16"/>
              </w:rPr>
              <w:t>100.0</w:t>
            </w:r>
          </w:p>
        </w:tc>
        <w:tc>
          <w:tcPr>
            <w:tcW w:w="1043" w:type="dxa"/>
            <w:tcBorders>
              <w:right w:val="single" w:sz="4" w:space="0" w:color="auto"/>
            </w:tcBorders>
          </w:tcPr>
          <w:p w14:paraId="76751133" w14:textId="77777777" w:rsidR="00F909A0" w:rsidRPr="00F909A0" w:rsidRDefault="000F5589" w:rsidP="00B56B65">
            <w:pPr>
              <w:spacing w:before="20" w:after="20"/>
              <w:jc w:val="right"/>
              <w:rPr>
                <w:sz w:val="16"/>
                <w:szCs w:val="16"/>
              </w:rPr>
            </w:pPr>
            <w:r>
              <w:rPr>
                <w:sz w:val="16"/>
                <w:szCs w:val="16"/>
              </w:rPr>
              <w:t>-</w:t>
            </w:r>
          </w:p>
        </w:tc>
        <w:tc>
          <w:tcPr>
            <w:tcW w:w="536" w:type="dxa"/>
            <w:tcBorders>
              <w:left w:val="single" w:sz="4" w:space="0" w:color="auto"/>
            </w:tcBorders>
          </w:tcPr>
          <w:p w14:paraId="0421CBBD" w14:textId="77777777" w:rsidR="00F909A0" w:rsidRPr="00F909A0" w:rsidRDefault="00F909A0" w:rsidP="00B56B65">
            <w:pPr>
              <w:spacing w:before="20" w:after="20"/>
              <w:jc w:val="right"/>
              <w:rPr>
                <w:sz w:val="16"/>
                <w:szCs w:val="16"/>
              </w:rPr>
            </w:pPr>
            <w:r w:rsidRPr="00F909A0">
              <w:rPr>
                <w:sz w:val="16"/>
                <w:szCs w:val="16"/>
              </w:rPr>
              <w:t>2186</w:t>
            </w:r>
          </w:p>
        </w:tc>
        <w:tc>
          <w:tcPr>
            <w:tcW w:w="576" w:type="dxa"/>
          </w:tcPr>
          <w:p w14:paraId="1F91CF07" w14:textId="77777777" w:rsidR="00F909A0" w:rsidRPr="00F909A0" w:rsidRDefault="00F909A0" w:rsidP="00B56B65">
            <w:pPr>
              <w:spacing w:before="20" w:after="20"/>
              <w:jc w:val="right"/>
              <w:rPr>
                <w:sz w:val="16"/>
                <w:szCs w:val="16"/>
              </w:rPr>
            </w:pPr>
            <w:r w:rsidRPr="00F909A0">
              <w:rPr>
                <w:sz w:val="16"/>
                <w:szCs w:val="16"/>
              </w:rPr>
              <w:t>100.0</w:t>
            </w:r>
          </w:p>
        </w:tc>
        <w:tc>
          <w:tcPr>
            <w:tcW w:w="1043" w:type="dxa"/>
            <w:tcBorders>
              <w:right w:val="single" w:sz="4" w:space="0" w:color="auto"/>
            </w:tcBorders>
          </w:tcPr>
          <w:p w14:paraId="37C01051" w14:textId="77777777" w:rsidR="00F909A0" w:rsidRPr="00F909A0" w:rsidRDefault="00F909A0" w:rsidP="00B56B65">
            <w:pPr>
              <w:spacing w:before="20" w:after="20"/>
              <w:jc w:val="right"/>
              <w:rPr>
                <w:sz w:val="16"/>
                <w:szCs w:val="16"/>
              </w:rPr>
            </w:pPr>
            <w:r w:rsidRPr="00F909A0">
              <w:rPr>
                <w:sz w:val="16"/>
                <w:szCs w:val="16"/>
              </w:rPr>
              <w:t>(99.9, 100.0)</w:t>
            </w:r>
          </w:p>
        </w:tc>
        <w:tc>
          <w:tcPr>
            <w:tcW w:w="536" w:type="dxa"/>
            <w:tcBorders>
              <w:left w:val="single" w:sz="4" w:space="0" w:color="auto"/>
            </w:tcBorders>
          </w:tcPr>
          <w:p w14:paraId="5E3EC5EC" w14:textId="77777777" w:rsidR="00F909A0" w:rsidRPr="00F909A0" w:rsidRDefault="00F909A0" w:rsidP="00B56B65">
            <w:pPr>
              <w:spacing w:before="20" w:after="20"/>
              <w:jc w:val="right"/>
              <w:rPr>
                <w:sz w:val="16"/>
                <w:szCs w:val="16"/>
              </w:rPr>
            </w:pPr>
            <w:r w:rsidRPr="00F909A0">
              <w:rPr>
                <w:sz w:val="16"/>
                <w:szCs w:val="16"/>
              </w:rPr>
              <w:t>1890</w:t>
            </w:r>
          </w:p>
        </w:tc>
        <w:tc>
          <w:tcPr>
            <w:tcW w:w="576" w:type="dxa"/>
          </w:tcPr>
          <w:p w14:paraId="293BC80D" w14:textId="77777777" w:rsidR="00F909A0" w:rsidRPr="00F909A0" w:rsidRDefault="00F909A0" w:rsidP="00B56B65">
            <w:pPr>
              <w:spacing w:before="20" w:after="20"/>
              <w:jc w:val="right"/>
              <w:rPr>
                <w:sz w:val="16"/>
                <w:szCs w:val="16"/>
              </w:rPr>
            </w:pPr>
            <w:r w:rsidRPr="00F909A0">
              <w:rPr>
                <w:sz w:val="16"/>
                <w:szCs w:val="16"/>
              </w:rPr>
              <w:t>100.0</w:t>
            </w:r>
          </w:p>
        </w:tc>
        <w:tc>
          <w:tcPr>
            <w:tcW w:w="1123" w:type="dxa"/>
          </w:tcPr>
          <w:p w14:paraId="757661FA" w14:textId="77777777" w:rsidR="00F909A0" w:rsidRPr="00F909A0" w:rsidRDefault="000F5589" w:rsidP="00B56B65">
            <w:pPr>
              <w:spacing w:before="20" w:after="20"/>
              <w:jc w:val="right"/>
              <w:rPr>
                <w:sz w:val="16"/>
                <w:szCs w:val="16"/>
              </w:rPr>
            </w:pPr>
            <w:r>
              <w:rPr>
                <w:sz w:val="16"/>
                <w:szCs w:val="16"/>
              </w:rPr>
              <w:t>-</w:t>
            </w:r>
          </w:p>
        </w:tc>
      </w:tr>
      <w:tr w:rsidR="00F909A0" w:rsidRPr="007B4EF8" w14:paraId="62C94EBA" w14:textId="77777777" w:rsidTr="00B56B65">
        <w:trPr>
          <w:jc w:val="center"/>
        </w:trPr>
        <w:tc>
          <w:tcPr>
            <w:tcW w:w="1985" w:type="dxa"/>
            <w:vAlign w:val="bottom"/>
          </w:tcPr>
          <w:p w14:paraId="771DCD33" w14:textId="77777777" w:rsidR="00F909A0" w:rsidRDefault="00F909A0" w:rsidP="00B56B65">
            <w:pPr>
              <w:spacing w:before="20" w:after="20"/>
              <w:rPr>
                <w:color w:val="000000"/>
                <w:sz w:val="16"/>
                <w:szCs w:val="16"/>
              </w:rPr>
            </w:pPr>
          </w:p>
        </w:tc>
        <w:tc>
          <w:tcPr>
            <w:tcW w:w="2693" w:type="dxa"/>
            <w:vAlign w:val="center"/>
          </w:tcPr>
          <w:p w14:paraId="4D560FDE" w14:textId="77777777" w:rsidR="00F909A0" w:rsidRDefault="00F909A0" w:rsidP="00B56B65">
            <w:pPr>
              <w:spacing w:before="20" w:after="20"/>
              <w:rPr>
                <w:color w:val="000000"/>
                <w:sz w:val="16"/>
                <w:szCs w:val="16"/>
              </w:rPr>
            </w:pPr>
            <w:r>
              <w:rPr>
                <w:color w:val="000000"/>
                <w:sz w:val="16"/>
                <w:szCs w:val="16"/>
              </w:rPr>
              <w:t>Yes</w:t>
            </w:r>
          </w:p>
        </w:tc>
        <w:tc>
          <w:tcPr>
            <w:tcW w:w="536" w:type="dxa"/>
          </w:tcPr>
          <w:p w14:paraId="79AB98AD" w14:textId="77777777" w:rsidR="00F909A0" w:rsidRPr="00F909A0" w:rsidRDefault="00F909A0" w:rsidP="00B56B65">
            <w:pPr>
              <w:spacing w:before="20" w:after="20"/>
              <w:jc w:val="right"/>
              <w:rPr>
                <w:sz w:val="16"/>
                <w:szCs w:val="16"/>
              </w:rPr>
            </w:pPr>
            <w:r w:rsidRPr="00F909A0">
              <w:rPr>
                <w:sz w:val="16"/>
                <w:szCs w:val="16"/>
              </w:rPr>
              <w:t>0</w:t>
            </w:r>
          </w:p>
        </w:tc>
        <w:tc>
          <w:tcPr>
            <w:tcW w:w="576" w:type="dxa"/>
          </w:tcPr>
          <w:p w14:paraId="470D2DAB" w14:textId="77777777" w:rsidR="00F909A0" w:rsidRPr="00F909A0" w:rsidRDefault="00F909A0" w:rsidP="00B56B65">
            <w:pPr>
              <w:spacing w:before="20" w:after="20"/>
              <w:jc w:val="right"/>
              <w:rPr>
                <w:sz w:val="16"/>
                <w:szCs w:val="16"/>
              </w:rPr>
            </w:pPr>
            <w:r w:rsidRPr="00F909A0">
              <w:rPr>
                <w:sz w:val="16"/>
                <w:szCs w:val="16"/>
              </w:rPr>
              <w:t>-</w:t>
            </w:r>
          </w:p>
        </w:tc>
        <w:tc>
          <w:tcPr>
            <w:tcW w:w="1043" w:type="dxa"/>
            <w:tcBorders>
              <w:right w:val="single" w:sz="4" w:space="0" w:color="auto"/>
            </w:tcBorders>
          </w:tcPr>
          <w:p w14:paraId="5F9DC6AC" w14:textId="77777777" w:rsidR="00F909A0" w:rsidRPr="00F909A0" w:rsidRDefault="00F909A0" w:rsidP="00B56B65">
            <w:pPr>
              <w:spacing w:before="20" w:after="20"/>
              <w:jc w:val="right"/>
              <w:rPr>
                <w:sz w:val="16"/>
                <w:szCs w:val="16"/>
              </w:rPr>
            </w:pPr>
          </w:p>
        </w:tc>
        <w:tc>
          <w:tcPr>
            <w:tcW w:w="536" w:type="dxa"/>
            <w:tcBorders>
              <w:left w:val="single" w:sz="4" w:space="0" w:color="auto"/>
            </w:tcBorders>
          </w:tcPr>
          <w:p w14:paraId="42DB8E40" w14:textId="77777777" w:rsidR="00F909A0" w:rsidRPr="00F909A0" w:rsidRDefault="00F909A0" w:rsidP="00B56B65">
            <w:pPr>
              <w:spacing w:before="20" w:after="20"/>
              <w:jc w:val="right"/>
              <w:rPr>
                <w:sz w:val="16"/>
                <w:szCs w:val="16"/>
              </w:rPr>
            </w:pPr>
            <w:r w:rsidRPr="00F909A0">
              <w:rPr>
                <w:sz w:val="16"/>
                <w:szCs w:val="16"/>
              </w:rPr>
              <w:t>0</w:t>
            </w:r>
          </w:p>
        </w:tc>
        <w:tc>
          <w:tcPr>
            <w:tcW w:w="576" w:type="dxa"/>
          </w:tcPr>
          <w:p w14:paraId="7BECF7F3" w14:textId="77777777" w:rsidR="00F909A0" w:rsidRPr="00F909A0" w:rsidRDefault="00F909A0" w:rsidP="00B56B65">
            <w:pPr>
              <w:spacing w:before="20" w:after="20"/>
              <w:jc w:val="right"/>
              <w:rPr>
                <w:sz w:val="16"/>
                <w:szCs w:val="16"/>
              </w:rPr>
            </w:pPr>
            <w:r w:rsidRPr="00F909A0">
              <w:rPr>
                <w:sz w:val="16"/>
                <w:szCs w:val="16"/>
              </w:rPr>
              <w:t>-</w:t>
            </w:r>
          </w:p>
        </w:tc>
        <w:tc>
          <w:tcPr>
            <w:tcW w:w="1043" w:type="dxa"/>
            <w:tcBorders>
              <w:right w:val="single" w:sz="4" w:space="0" w:color="auto"/>
            </w:tcBorders>
          </w:tcPr>
          <w:p w14:paraId="4CF12927" w14:textId="77777777" w:rsidR="00F909A0" w:rsidRPr="00F909A0" w:rsidRDefault="00F909A0" w:rsidP="00B56B65">
            <w:pPr>
              <w:spacing w:before="20" w:after="20"/>
              <w:jc w:val="right"/>
              <w:rPr>
                <w:sz w:val="16"/>
                <w:szCs w:val="16"/>
              </w:rPr>
            </w:pPr>
          </w:p>
        </w:tc>
        <w:tc>
          <w:tcPr>
            <w:tcW w:w="536" w:type="dxa"/>
            <w:tcBorders>
              <w:left w:val="single" w:sz="4" w:space="0" w:color="auto"/>
            </w:tcBorders>
          </w:tcPr>
          <w:p w14:paraId="5AC48B04" w14:textId="77777777" w:rsidR="00F909A0" w:rsidRPr="00F909A0" w:rsidRDefault="00F909A0" w:rsidP="00B56B65">
            <w:pPr>
              <w:spacing w:before="20" w:after="20"/>
              <w:jc w:val="right"/>
              <w:rPr>
                <w:sz w:val="16"/>
                <w:szCs w:val="16"/>
              </w:rPr>
            </w:pPr>
            <w:r w:rsidRPr="00F909A0">
              <w:rPr>
                <w:sz w:val="16"/>
                <w:szCs w:val="16"/>
              </w:rPr>
              <w:t>1</w:t>
            </w:r>
          </w:p>
        </w:tc>
        <w:tc>
          <w:tcPr>
            <w:tcW w:w="576" w:type="dxa"/>
          </w:tcPr>
          <w:p w14:paraId="41160E17" w14:textId="77777777" w:rsidR="00F909A0" w:rsidRPr="00F909A0" w:rsidRDefault="00F909A0" w:rsidP="00B56B65">
            <w:pPr>
              <w:spacing w:before="20" w:after="20"/>
              <w:jc w:val="right"/>
              <w:rPr>
                <w:sz w:val="16"/>
                <w:szCs w:val="16"/>
              </w:rPr>
            </w:pPr>
            <w:r w:rsidRPr="00F909A0">
              <w:rPr>
                <w:sz w:val="16"/>
                <w:szCs w:val="16"/>
              </w:rPr>
              <w:t>0.0</w:t>
            </w:r>
          </w:p>
        </w:tc>
        <w:tc>
          <w:tcPr>
            <w:tcW w:w="1043" w:type="dxa"/>
            <w:tcBorders>
              <w:right w:val="single" w:sz="4" w:space="0" w:color="auto"/>
            </w:tcBorders>
          </w:tcPr>
          <w:p w14:paraId="062768F1" w14:textId="77777777" w:rsidR="00F909A0" w:rsidRPr="00F909A0" w:rsidRDefault="002F172C" w:rsidP="00B56B65">
            <w:pPr>
              <w:spacing w:before="20" w:after="20"/>
              <w:jc w:val="right"/>
              <w:rPr>
                <w:sz w:val="16"/>
                <w:szCs w:val="16"/>
              </w:rPr>
            </w:pPr>
            <w:r>
              <w:rPr>
                <w:sz w:val="16"/>
                <w:szCs w:val="16"/>
              </w:rPr>
              <w:t>!</w:t>
            </w:r>
          </w:p>
        </w:tc>
        <w:tc>
          <w:tcPr>
            <w:tcW w:w="536" w:type="dxa"/>
            <w:tcBorders>
              <w:left w:val="single" w:sz="4" w:space="0" w:color="auto"/>
            </w:tcBorders>
          </w:tcPr>
          <w:p w14:paraId="30F19E33" w14:textId="77777777" w:rsidR="00F909A0" w:rsidRPr="00F909A0" w:rsidRDefault="00F909A0" w:rsidP="00B56B65">
            <w:pPr>
              <w:spacing w:before="20" w:after="20"/>
              <w:jc w:val="right"/>
              <w:rPr>
                <w:sz w:val="16"/>
                <w:szCs w:val="16"/>
              </w:rPr>
            </w:pPr>
            <w:r w:rsidRPr="00F909A0">
              <w:rPr>
                <w:sz w:val="16"/>
                <w:szCs w:val="16"/>
              </w:rPr>
              <w:t>0</w:t>
            </w:r>
          </w:p>
        </w:tc>
        <w:tc>
          <w:tcPr>
            <w:tcW w:w="576" w:type="dxa"/>
          </w:tcPr>
          <w:p w14:paraId="404ECA4B" w14:textId="77777777" w:rsidR="00F909A0" w:rsidRPr="00F909A0" w:rsidRDefault="00F909A0" w:rsidP="00B56B65">
            <w:pPr>
              <w:spacing w:before="20" w:after="20"/>
              <w:jc w:val="right"/>
              <w:rPr>
                <w:sz w:val="16"/>
                <w:szCs w:val="16"/>
              </w:rPr>
            </w:pPr>
            <w:r w:rsidRPr="00F909A0">
              <w:rPr>
                <w:sz w:val="16"/>
                <w:szCs w:val="16"/>
              </w:rPr>
              <w:t>-</w:t>
            </w:r>
          </w:p>
        </w:tc>
        <w:tc>
          <w:tcPr>
            <w:tcW w:w="1123" w:type="dxa"/>
          </w:tcPr>
          <w:p w14:paraId="29B368D4" w14:textId="77777777" w:rsidR="00F909A0" w:rsidRPr="00F909A0" w:rsidRDefault="00F909A0" w:rsidP="00B56B65">
            <w:pPr>
              <w:spacing w:before="20" w:after="20"/>
              <w:jc w:val="right"/>
              <w:rPr>
                <w:sz w:val="16"/>
                <w:szCs w:val="16"/>
              </w:rPr>
            </w:pPr>
          </w:p>
        </w:tc>
      </w:tr>
      <w:tr w:rsidR="00F909A0" w:rsidRPr="007B4EF8" w14:paraId="48420C77" w14:textId="77777777" w:rsidTr="00B56B65">
        <w:trPr>
          <w:jc w:val="center"/>
        </w:trPr>
        <w:tc>
          <w:tcPr>
            <w:tcW w:w="1985" w:type="dxa"/>
            <w:vAlign w:val="center"/>
          </w:tcPr>
          <w:p w14:paraId="5FDE1ADF" w14:textId="77777777" w:rsidR="00F909A0" w:rsidRDefault="00F909A0" w:rsidP="00B56B65">
            <w:pPr>
              <w:spacing w:before="20" w:after="20"/>
              <w:rPr>
                <w:color w:val="000000"/>
                <w:sz w:val="16"/>
                <w:szCs w:val="16"/>
              </w:rPr>
            </w:pPr>
            <w:r>
              <w:rPr>
                <w:color w:val="000000"/>
                <w:sz w:val="16"/>
                <w:szCs w:val="16"/>
              </w:rPr>
              <w:t>Low-risk gambler</w:t>
            </w:r>
          </w:p>
        </w:tc>
        <w:tc>
          <w:tcPr>
            <w:tcW w:w="2693" w:type="dxa"/>
            <w:vAlign w:val="center"/>
          </w:tcPr>
          <w:p w14:paraId="66B9CD07" w14:textId="77777777" w:rsidR="00F909A0" w:rsidRDefault="00F909A0" w:rsidP="00B56B65">
            <w:pPr>
              <w:spacing w:before="20" w:after="20"/>
              <w:rPr>
                <w:color w:val="000000"/>
                <w:sz w:val="16"/>
                <w:szCs w:val="16"/>
              </w:rPr>
            </w:pPr>
            <w:r>
              <w:rPr>
                <w:color w:val="000000"/>
                <w:sz w:val="16"/>
                <w:szCs w:val="16"/>
              </w:rPr>
              <w:t>No</w:t>
            </w:r>
          </w:p>
        </w:tc>
        <w:tc>
          <w:tcPr>
            <w:tcW w:w="536" w:type="dxa"/>
          </w:tcPr>
          <w:p w14:paraId="00FB7497" w14:textId="77777777" w:rsidR="00F909A0" w:rsidRPr="00F909A0" w:rsidRDefault="00F909A0" w:rsidP="00B56B65">
            <w:pPr>
              <w:spacing w:before="20" w:after="20"/>
              <w:jc w:val="right"/>
              <w:rPr>
                <w:sz w:val="16"/>
                <w:szCs w:val="16"/>
              </w:rPr>
            </w:pPr>
            <w:r w:rsidRPr="00F909A0">
              <w:rPr>
                <w:sz w:val="16"/>
                <w:szCs w:val="16"/>
              </w:rPr>
              <w:t>307</w:t>
            </w:r>
          </w:p>
        </w:tc>
        <w:tc>
          <w:tcPr>
            <w:tcW w:w="576" w:type="dxa"/>
          </w:tcPr>
          <w:p w14:paraId="49B47FAD" w14:textId="77777777" w:rsidR="00F909A0" w:rsidRPr="00F909A0" w:rsidRDefault="00F909A0" w:rsidP="00B56B65">
            <w:pPr>
              <w:spacing w:before="20" w:after="20"/>
              <w:jc w:val="right"/>
              <w:rPr>
                <w:sz w:val="16"/>
                <w:szCs w:val="16"/>
              </w:rPr>
            </w:pPr>
            <w:r w:rsidRPr="00F909A0">
              <w:rPr>
                <w:sz w:val="16"/>
                <w:szCs w:val="16"/>
              </w:rPr>
              <w:t>100.0</w:t>
            </w:r>
          </w:p>
        </w:tc>
        <w:tc>
          <w:tcPr>
            <w:tcW w:w="1043" w:type="dxa"/>
            <w:tcBorders>
              <w:right w:val="single" w:sz="4" w:space="0" w:color="auto"/>
            </w:tcBorders>
          </w:tcPr>
          <w:p w14:paraId="2C92D9E1" w14:textId="77777777" w:rsidR="00F909A0" w:rsidRPr="00F909A0" w:rsidRDefault="000F5589" w:rsidP="00B56B65">
            <w:pPr>
              <w:spacing w:before="20" w:after="20"/>
              <w:jc w:val="right"/>
              <w:rPr>
                <w:sz w:val="16"/>
                <w:szCs w:val="16"/>
              </w:rPr>
            </w:pPr>
            <w:r>
              <w:rPr>
                <w:sz w:val="16"/>
                <w:szCs w:val="16"/>
              </w:rPr>
              <w:t>-</w:t>
            </w:r>
          </w:p>
        </w:tc>
        <w:tc>
          <w:tcPr>
            <w:tcW w:w="536" w:type="dxa"/>
            <w:tcBorders>
              <w:left w:val="single" w:sz="4" w:space="0" w:color="auto"/>
            </w:tcBorders>
          </w:tcPr>
          <w:p w14:paraId="18BD5D5D" w14:textId="77777777" w:rsidR="00F909A0" w:rsidRPr="00F909A0" w:rsidRDefault="00F909A0" w:rsidP="00B56B65">
            <w:pPr>
              <w:spacing w:before="20" w:after="20"/>
              <w:jc w:val="right"/>
              <w:rPr>
                <w:sz w:val="16"/>
                <w:szCs w:val="16"/>
              </w:rPr>
            </w:pPr>
            <w:r w:rsidRPr="00F909A0">
              <w:rPr>
                <w:sz w:val="16"/>
                <w:szCs w:val="16"/>
              </w:rPr>
              <w:t>210</w:t>
            </w:r>
          </w:p>
        </w:tc>
        <w:tc>
          <w:tcPr>
            <w:tcW w:w="576" w:type="dxa"/>
          </w:tcPr>
          <w:p w14:paraId="33B37D58" w14:textId="77777777" w:rsidR="00F909A0" w:rsidRPr="00F909A0" w:rsidRDefault="00F909A0" w:rsidP="00B56B65">
            <w:pPr>
              <w:spacing w:before="20" w:after="20"/>
              <w:jc w:val="right"/>
              <w:rPr>
                <w:sz w:val="16"/>
                <w:szCs w:val="16"/>
              </w:rPr>
            </w:pPr>
            <w:r w:rsidRPr="00F909A0">
              <w:rPr>
                <w:sz w:val="16"/>
                <w:szCs w:val="16"/>
              </w:rPr>
              <w:t>100.0</w:t>
            </w:r>
          </w:p>
        </w:tc>
        <w:tc>
          <w:tcPr>
            <w:tcW w:w="1043" w:type="dxa"/>
            <w:tcBorders>
              <w:right w:val="single" w:sz="4" w:space="0" w:color="auto"/>
            </w:tcBorders>
          </w:tcPr>
          <w:p w14:paraId="07DC7A87" w14:textId="77777777" w:rsidR="00F909A0" w:rsidRPr="00F909A0" w:rsidRDefault="000F5589" w:rsidP="00B56B65">
            <w:pPr>
              <w:spacing w:before="20" w:after="20"/>
              <w:jc w:val="right"/>
              <w:rPr>
                <w:sz w:val="16"/>
                <w:szCs w:val="16"/>
              </w:rPr>
            </w:pPr>
            <w:r>
              <w:rPr>
                <w:sz w:val="16"/>
                <w:szCs w:val="16"/>
              </w:rPr>
              <w:t>-</w:t>
            </w:r>
          </w:p>
        </w:tc>
        <w:tc>
          <w:tcPr>
            <w:tcW w:w="536" w:type="dxa"/>
            <w:tcBorders>
              <w:left w:val="single" w:sz="4" w:space="0" w:color="auto"/>
            </w:tcBorders>
          </w:tcPr>
          <w:p w14:paraId="3055538D" w14:textId="77777777" w:rsidR="00F909A0" w:rsidRPr="00F909A0" w:rsidRDefault="00F909A0" w:rsidP="00B56B65">
            <w:pPr>
              <w:spacing w:before="20" w:after="20"/>
              <w:jc w:val="right"/>
              <w:rPr>
                <w:sz w:val="16"/>
                <w:szCs w:val="16"/>
              </w:rPr>
            </w:pPr>
            <w:r w:rsidRPr="00F909A0">
              <w:rPr>
                <w:sz w:val="16"/>
                <w:szCs w:val="16"/>
              </w:rPr>
              <w:t>155</w:t>
            </w:r>
          </w:p>
        </w:tc>
        <w:tc>
          <w:tcPr>
            <w:tcW w:w="576" w:type="dxa"/>
          </w:tcPr>
          <w:p w14:paraId="54731F23" w14:textId="77777777" w:rsidR="00F909A0" w:rsidRPr="00F909A0" w:rsidRDefault="00F909A0" w:rsidP="00B56B65">
            <w:pPr>
              <w:spacing w:before="20" w:after="20"/>
              <w:jc w:val="right"/>
              <w:rPr>
                <w:sz w:val="16"/>
                <w:szCs w:val="16"/>
              </w:rPr>
            </w:pPr>
            <w:r w:rsidRPr="00F909A0">
              <w:rPr>
                <w:sz w:val="16"/>
                <w:szCs w:val="16"/>
              </w:rPr>
              <w:t>100.0</w:t>
            </w:r>
          </w:p>
        </w:tc>
        <w:tc>
          <w:tcPr>
            <w:tcW w:w="1043" w:type="dxa"/>
            <w:tcBorders>
              <w:right w:val="single" w:sz="4" w:space="0" w:color="auto"/>
            </w:tcBorders>
          </w:tcPr>
          <w:p w14:paraId="5F7E7687" w14:textId="77777777" w:rsidR="00F909A0" w:rsidRPr="00F909A0" w:rsidRDefault="002F172C" w:rsidP="00B56B65">
            <w:pPr>
              <w:spacing w:before="20" w:after="20"/>
              <w:jc w:val="right"/>
              <w:rPr>
                <w:sz w:val="16"/>
                <w:szCs w:val="16"/>
              </w:rPr>
            </w:pPr>
            <w:r>
              <w:rPr>
                <w:sz w:val="16"/>
                <w:szCs w:val="16"/>
              </w:rPr>
              <w:t>-</w:t>
            </w:r>
          </w:p>
        </w:tc>
        <w:tc>
          <w:tcPr>
            <w:tcW w:w="536" w:type="dxa"/>
            <w:tcBorders>
              <w:left w:val="single" w:sz="4" w:space="0" w:color="auto"/>
            </w:tcBorders>
          </w:tcPr>
          <w:p w14:paraId="1195F9B4" w14:textId="77777777" w:rsidR="00F909A0" w:rsidRPr="00F909A0" w:rsidRDefault="00F909A0" w:rsidP="00B56B65">
            <w:pPr>
              <w:spacing w:before="20" w:after="20"/>
              <w:jc w:val="right"/>
              <w:rPr>
                <w:sz w:val="16"/>
                <w:szCs w:val="16"/>
              </w:rPr>
            </w:pPr>
            <w:r w:rsidRPr="00F909A0">
              <w:rPr>
                <w:sz w:val="16"/>
                <w:szCs w:val="16"/>
              </w:rPr>
              <w:t>127</w:t>
            </w:r>
          </w:p>
        </w:tc>
        <w:tc>
          <w:tcPr>
            <w:tcW w:w="576" w:type="dxa"/>
          </w:tcPr>
          <w:p w14:paraId="41992E01" w14:textId="77777777" w:rsidR="00F909A0" w:rsidRPr="00F909A0" w:rsidRDefault="00F909A0" w:rsidP="00B56B65">
            <w:pPr>
              <w:spacing w:before="20" w:after="20"/>
              <w:jc w:val="right"/>
              <w:rPr>
                <w:sz w:val="16"/>
                <w:szCs w:val="16"/>
              </w:rPr>
            </w:pPr>
            <w:r w:rsidRPr="00F909A0">
              <w:rPr>
                <w:sz w:val="16"/>
                <w:szCs w:val="16"/>
              </w:rPr>
              <w:t>100.0</w:t>
            </w:r>
          </w:p>
        </w:tc>
        <w:tc>
          <w:tcPr>
            <w:tcW w:w="1123" w:type="dxa"/>
          </w:tcPr>
          <w:p w14:paraId="2C86BE5F" w14:textId="77777777" w:rsidR="00F909A0" w:rsidRPr="00F909A0" w:rsidRDefault="000F5589" w:rsidP="00B56B65">
            <w:pPr>
              <w:spacing w:before="20" w:after="20"/>
              <w:jc w:val="right"/>
              <w:rPr>
                <w:sz w:val="16"/>
                <w:szCs w:val="16"/>
              </w:rPr>
            </w:pPr>
            <w:r>
              <w:rPr>
                <w:sz w:val="16"/>
                <w:szCs w:val="16"/>
              </w:rPr>
              <w:t>-</w:t>
            </w:r>
          </w:p>
        </w:tc>
      </w:tr>
      <w:tr w:rsidR="00F909A0" w:rsidRPr="007B4EF8" w14:paraId="32536776" w14:textId="77777777" w:rsidTr="00B56B65">
        <w:trPr>
          <w:jc w:val="center"/>
        </w:trPr>
        <w:tc>
          <w:tcPr>
            <w:tcW w:w="1985" w:type="dxa"/>
            <w:vAlign w:val="bottom"/>
          </w:tcPr>
          <w:p w14:paraId="28E515C9" w14:textId="77777777" w:rsidR="00F909A0" w:rsidRDefault="00F909A0" w:rsidP="00B56B65">
            <w:pPr>
              <w:spacing w:before="20" w:after="20"/>
              <w:rPr>
                <w:color w:val="000000"/>
                <w:sz w:val="16"/>
                <w:szCs w:val="16"/>
              </w:rPr>
            </w:pPr>
          </w:p>
        </w:tc>
        <w:tc>
          <w:tcPr>
            <w:tcW w:w="2693" w:type="dxa"/>
            <w:vAlign w:val="center"/>
          </w:tcPr>
          <w:p w14:paraId="778190B7" w14:textId="77777777" w:rsidR="00F909A0" w:rsidRDefault="00F909A0" w:rsidP="00B56B65">
            <w:pPr>
              <w:spacing w:before="20" w:after="20"/>
              <w:rPr>
                <w:color w:val="000000"/>
                <w:sz w:val="16"/>
                <w:szCs w:val="16"/>
              </w:rPr>
            </w:pPr>
            <w:r>
              <w:rPr>
                <w:color w:val="000000"/>
                <w:sz w:val="16"/>
                <w:szCs w:val="16"/>
              </w:rPr>
              <w:t>Yes</w:t>
            </w:r>
          </w:p>
        </w:tc>
        <w:tc>
          <w:tcPr>
            <w:tcW w:w="536" w:type="dxa"/>
          </w:tcPr>
          <w:p w14:paraId="4099AE5F" w14:textId="77777777" w:rsidR="00F909A0" w:rsidRPr="00F909A0" w:rsidRDefault="00F909A0" w:rsidP="00B56B65">
            <w:pPr>
              <w:spacing w:before="20" w:after="20"/>
              <w:jc w:val="right"/>
              <w:rPr>
                <w:sz w:val="16"/>
                <w:szCs w:val="16"/>
              </w:rPr>
            </w:pPr>
            <w:r w:rsidRPr="00F909A0">
              <w:rPr>
                <w:sz w:val="16"/>
                <w:szCs w:val="16"/>
              </w:rPr>
              <w:t>0</w:t>
            </w:r>
          </w:p>
        </w:tc>
        <w:tc>
          <w:tcPr>
            <w:tcW w:w="576" w:type="dxa"/>
          </w:tcPr>
          <w:p w14:paraId="62C34FF2" w14:textId="77777777" w:rsidR="00F909A0" w:rsidRPr="00F909A0" w:rsidRDefault="00F909A0" w:rsidP="00B56B65">
            <w:pPr>
              <w:spacing w:before="20" w:after="20"/>
              <w:jc w:val="right"/>
              <w:rPr>
                <w:sz w:val="16"/>
                <w:szCs w:val="16"/>
              </w:rPr>
            </w:pPr>
            <w:r w:rsidRPr="00F909A0">
              <w:rPr>
                <w:sz w:val="16"/>
                <w:szCs w:val="16"/>
              </w:rPr>
              <w:t>-</w:t>
            </w:r>
          </w:p>
        </w:tc>
        <w:tc>
          <w:tcPr>
            <w:tcW w:w="1043" w:type="dxa"/>
            <w:tcBorders>
              <w:right w:val="single" w:sz="4" w:space="0" w:color="auto"/>
            </w:tcBorders>
          </w:tcPr>
          <w:p w14:paraId="79DEE428" w14:textId="77777777" w:rsidR="00F909A0" w:rsidRPr="00F909A0" w:rsidRDefault="00F909A0" w:rsidP="00B56B65">
            <w:pPr>
              <w:spacing w:before="20" w:after="20"/>
              <w:jc w:val="right"/>
              <w:rPr>
                <w:sz w:val="16"/>
                <w:szCs w:val="16"/>
              </w:rPr>
            </w:pPr>
          </w:p>
        </w:tc>
        <w:tc>
          <w:tcPr>
            <w:tcW w:w="536" w:type="dxa"/>
            <w:tcBorders>
              <w:left w:val="single" w:sz="4" w:space="0" w:color="auto"/>
            </w:tcBorders>
          </w:tcPr>
          <w:p w14:paraId="76E3CC49" w14:textId="77777777" w:rsidR="00F909A0" w:rsidRPr="00F909A0" w:rsidRDefault="00F909A0" w:rsidP="00B56B65">
            <w:pPr>
              <w:spacing w:before="20" w:after="20"/>
              <w:jc w:val="right"/>
              <w:rPr>
                <w:sz w:val="16"/>
                <w:szCs w:val="16"/>
              </w:rPr>
            </w:pPr>
            <w:r w:rsidRPr="00F909A0">
              <w:rPr>
                <w:sz w:val="16"/>
                <w:szCs w:val="16"/>
              </w:rPr>
              <w:t>0</w:t>
            </w:r>
          </w:p>
        </w:tc>
        <w:tc>
          <w:tcPr>
            <w:tcW w:w="576" w:type="dxa"/>
          </w:tcPr>
          <w:p w14:paraId="1C21132B" w14:textId="77777777" w:rsidR="00F909A0" w:rsidRPr="00F909A0" w:rsidRDefault="00F909A0" w:rsidP="00B56B65">
            <w:pPr>
              <w:spacing w:before="20" w:after="20"/>
              <w:jc w:val="right"/>
              <w:rPr>
                <w:sz w:val="16"/>
                <w:szCs w:val="16"/>
              </w:rPr>
            </w:pPr>
            <w:r w:rsidRPr="00F909A0">
              <w:rPr>
                <w:sz w:val="16"/>
                <w:szCs w:val="16"/>
              </w:rPr>
              <w:t>-</w:t>
            </w:r>
          </w:p>
        </w:tc>
        <w:tc>
          <w:tcPr>
            <w:tcW w:w="1043" w:type="dxa"/>
            <w:tcBorders>
              <w:right w:val="single" w:sz="4" w:space="0" w:color="auto"/>
            </w:tcBorders>
          </w:tcPr>
          <w:p w14:paraId="3BE91BD5" w14:textId="77777777" w:rsidR="00F909A0" w:rsidRPr="00F909A0" w:rsidRDefault="00F909A0" w:rsidP="00B56B65">
            <w:pPr>
              <w:spacing w:before="20" w:after="20"/>
              <w:jc w:val="right"/>
              <w:rPr>
                <w:sz w:val="16"/>
                <w:szCs w:val="16"/>
              </w:rPr>
            </w:pPr>
          </w:p>
        </w:tc>
        <w:tc>
          <w:tcPr>
            <w:tcW w:w="536" w:type="dxa"/>
            <w:tcBorders>
              <w:left w:val="single" w:sz="4" w:space="0" w:color="auto"/>
            </w:tcBorders>
          </w:tcPr>
          <w:p w14:paraId="78DD9198" w14:textId="77777777" w:rsidR="00F909A0" w:rsidRPr="00F909A0" w:rsidRDefault="00F909A0" w:rsidP="00B56B65">
            <w:pPr>
              <w:spacing w:before="20" w:after="20"/>
              <w:jc w:val="right"/>
              <w:rPr>
                <w:sz w:val="16"/>
                <w:szCs w:val="16"/>
              </w:rPr>
            </w:pPr>
            <w:r w:rsidRPr="00F909A0">
              <w:rPr>
                <w:sz w:val="16"/>
                <w:szCs w:val="16"/>
              </w:rPr>
              <w:t>0</w:t>
            </w:r>
          </w:p>
        </w:tc>
        <w:tc>
          <w:tcPr>
            <w:tcW w:w="576" w:type="dxa"/>
          </w:tcPr>
          <w:p w14:paraId="67275E8A" w14:textId="77777777" w:rsidR="00F909A0" w:rsidRPr="00F909A0" w:rsidRDefault="00F909A0" w:rsidP="00B56B65">
            <w:pPr>
              <w:spacing w:before="20" w:after="20"/>
              <w:jc w:val="right"/>
              <w:rPr>
                <w:sz w:val="16"/>
                <w:szCs w:val="16"/>
              </w:rPr>
            </w:pPr>
            <w:r w:rsidRPr="00F909A0">
              <w:rPr>
                <w:sz w:val="16"/>
                <w:szCs w:val="16"/>
              </w:rPr>
              <w:t>-</w:t>
            </w:r>
          </w:p>
        </w:tc>
        <w:tc>
          <w:tcPr>
            <w:tcW w:w="1043" w:type="dxa"/>
            <w:tcBorders>
              <w:right w:val="single" w:sz="4" w:space="0" w:color="auto"/>
            </w:tcBorders>
          </w:tcPr>
          <w:p w14:paraId="6C62CABE" w14:textId="77777777" w:rsidR="00F909A0" w:rsidRPr="00F909A0" w:rsidRDefault="00F909A0" w:rsidP="00B56B65">
            <w:pPr>
              <w:spacing w:before="20" w:after="20"/>
              <w:jc w:val="right"/>
              <w:rPr>
                <w:sz w:val="16"/>
                <w:szCs w:val="16"/>
              </w:rPr>
            </w:pPr>
          </w:p>
        </w:tc>
        <w:tc>
          <w:tcPr>
            <w:tcW w:w="536" w:type="dxa"/>
            <w:tcBorders>
              <w:left w:val="single" w:sz="4" w:space="0" w:color="auto"/>
            </w:tcBorders>
          </w:tcPr>
          <w:p w14:paraId="2508C978" w14:textId="77777777" w:rsidR="00F909A0" w:rsidRPr="00F909A0" w:rsidRDefault="00F909A0" w:rsidP="00B56B65">
            <w:pPr>
              <w:spacing w:before="20" w:after="20"/>
              <w:jc w:val="right"/>
              <w:rPr>
                <w:sz w:val="16"/>
                <w:szCs w:val="16"/>
              </w:rPr>
            </w:pPr>
            <w:r w:rsidRPr="00F909A0">
              <w:rPr>
                <w:sz w:val="16"/>
                <w:szCs w:val="16"/>
              </w:rPr>
              <w:t>0</w:t>
            </w:r>
          </w:p>
        </w:tc>
        <w:tc>
          <w:tcPr>
            <w:tcW w:w="576" w:type="dxa"/>
          </w:tcPr>
          <w:p w14:paraId="5D25D08A" w14:textId="77777777" w:rsidR="00F909A0" w:rsidRPr="00F909A0" w:rsidRDefault="00F909A0" w:rsidP="00B56B65">
            <w:pPr>
              <w:spacing w:before="20" w:after="20"/>
              <w:jc w:val="right"/>
              <w:rPr>
                <w:sz w:val="16"/>
                <w:szCs w:val="16"/>
              </w:rPr>
            </w:pPr>
            <w:r w:rsidRPr="00F909A0">
              <w:rPr>
                <w:sz w:val="16"/>
                <w:szCs w:val="16"/>
              </w:rPr>
              <w:t>-</w:t>
            </w:r>
          </w:p>
        </w:tc>
        <w:tc>
          <w:tcPr>
            <w:tcW w:w="1123" w:type="dxa"/>
          </w:tcPr>
          <w:p w14:paraId="0EBE3712" w14:textId="77777777" w:rsidR="00F909A0" w:rsidRPr="00F909A0" w:rsidRDefault="00F909A0" w:rsidP="00B56B65">
            <w:pPr>
              <w:spacing w:before="20" w:after="20"/>
              <w:jc w:val="right"/>
              <w:rPr>
                <w:sz w:val="16"/>
                <w:szCs w:val="16"/>
              </w:rPr>
            </w:pPr>
          </w:p>
        </w:tc>
      </w:tr>
      <w:tr w:rsidR="00F909A0" w:rsidRPr="007B4EF8" w14:paraId="7198A4D2" w14:textId="77777777" w:rsidTr="00B56B65">
        <w:trPr>
          <w:jc w:val="center"/>
        </w:trPr>
        <w:tc>
          <w:tcPr>
            <w:tcW w:w="1985" w:type="dxa"/>
            <w:vAlign w:val="center"/>
          </w:tcPr>
          <w:p w14:paraId="44B4DD01" w14:textId="77777777" w:rsidR="00F909A0" w:rsidRDefault="00F909A0" w:rsidP="00B56B65">
            <w:pPr>
              <w:spacing w:before="20" w:after="20"/>
              <w:rPr>
                <w:color w:val="000000"/>
                <w:sz w:val="16"/>
                <w:szCs w:val="16"/>
              </w:rPr>
            </w:pPr>
            <w:r>
              <w:rPr>
                <w:color w:val="000000"/>
                <w:sz w:val="16"/>
                <w:szCs w:val="16"/>
              </w:rPr>
              <w:t>Moderate-risk/problem gambler</w:t>
            </w:r>
          </w:p>
        </w:tc>
        <w:tc>
          <w:tcPr>
            <w:tcW w:w="2693" w:type="dxa"/>
            <w:vAlign w:val="center"/>
          </w:tcPr>
          <w:p w14:paraId="698F3F9C" w14:textId="77777777" w:rsidR="00F909A0" w:rsidRDefault="00F909A0" w:rsidP="00B56B65">
            <w:pPr>
              <w:spacing w:before="20" w:after="20"/>
              <w:rPr>
                <w:color w:val="000000"/>
                <w:sz w:val="16"/>
                <w:szCs w:val="16"/>
              </w:rPr>
            </w:pPr>
            <w:r>
              <w:rPr>
                <w:color w:val="000000"/>
                <w:sz w:val="16"/>
                <w:szCs w:val="16"/>
              </w:rPr>
              <w:t>No</w:t>
            </w:r>
          </w:p>
        </w:tc>
        <w:tc>
          <w:tcPr>
            <w:tcW w:w="536" w:type="dxa"/>
          </w:tcPr>
          <w:p w14:paraId="3788321E" w14:textId="77777777" w:rsidR="00F909A0" w:rsidRPr="00F909A0" w:rsidRDefault="00F909A0" w:rsidP="00B56B65">
            <w:pPr>
              <w:spacing w:before="20" w:after="20"/>
              <w:jc w:val="right"/>
              <w:rPr>
                <w:sz w:val="16"/>
                <w:szCs w:val="16"/>
              </w:rPr>
            </w:pPr>
            <w:r w:rsidRPr="00F909A0">
              <w:rPr>
                <w:sz w:val="16"/>
                <w:szCs w:val="16"/>
              </w:rPr>
              <w:t>144</w:t>
            </w:r>
          </w:p>
        </w:tc>
        <w:tc>
          <w:tcPr>
            <w:tcW w:w="576" w:type="dxa"/>
          </w:tcPr>
          <w:p w14:paraId="7EF778B2" w14:textId="77777777" w:rsidR="00F909A0" w:rsidRPr="00F909A0" w:rsidRDefault="00F909A0" w:rsidP="00B56B65">
            <w:pPr>
              <w:spacing w:before="20" w:after="20"/>
              <w:jc w:val="right"/>
              <w:rPr>
                <w:sz w:val="16"/>
                <w:szCs w:val="16"/>
              </w:rPr>
            </w:pPr>
            <w:r w:rsidRPr="00F909A0">
              <w:rPr>
                <w:sz w:val="16"/>
                <w:szCs w:val="16"/>
              </w:rPr>
              <w:t>97.4</w:t>
            </w:r>
          </w:p>
        </w:tc>
        <w:tc>
          <w:tcPr>
            <w:tcW w:w="1043" w:type="dxa"/>
            <w:tcBorders>
              <w:right w:val="single" w:sz="4" w:space="0" w:color="auto"/>
            </w:tcBorders>
          </w:tcPr>
          <w:p w14:paraId="76DE2FA9" w14:textId="77777777" w:rsidR="00F909A0" w:rsidRPr="00F909A0" w:rsidRDefault="00F909A0" w:rsidP="00B56B65">
            <w:pPr>
              <w:spacing w:before="20" w:after="20"/>
              <w:jc w:val="right"/>
              <w:rPr>
                <w:sz w:val="16"/>
                <w:szCs w:val="16"/>
              </w:rPr>
            </w:pPr>
            <w:r w:rsidRPr="00F909A0">
              <w:rPr>
                <w:sz w:val="16"/>
                <w:szCs w:val="16"/>
              </w:rPr>
              <w:t>(94.5, 100.0)</w:t>
            </w:r>
          </w:p>
        </w:tc>
        <w:tc>
          <w:tcPr>
            <w:tcW w:w="536" w:type="dxa"/>
            <w:tcBorders>
              <w:left w:val="single" w:sz="4" w:space="0" w:color="auto"/>
            </w:tcBorders>
          </w:tcPr>
          <w:p w14:paraId="44D74EEB" w14:textId="77777777" w:rsidR="00F909A0" w:rsidRPr="00F909A0" w:rsidRDefault="00F909A0" w:rsidP="00B56B65">
            <w:pPr>
              <w:spacing w:before="20" w:after="20"/>
              <w:jc w:val="right"/>
              <w:rPr>
                <w:sz w:val="16"/>
                <w:szCs w:val="16"/>
              </w:rPr>
            </w:pPr>
            <w:r w:rsidRPr="00F909A0">
              <w:rPr>
                <w:sz w:val="16"/>
                <w:szCs w:val="16"/>
              </w:rPr>
              <w:t>72</w:t>
            </w:r>
          </w:p>
        </w:tc>
        <w:tc>
          <w:tcPr>
            <w:tcW w:w="576" w:type="dxa"/>
          </w:tcPr>
          <w:p w14:paraId="12FB7633" w14:textId="77777777" w:rsidR="00F909A0" w:rsidRPr="00F909A0" w:rsidRDefault="00F909A0" w:rsidP="00B56B65">
            <w:pPr>
              <w:spacing w:before="20" w:after="20"/>
              <w:jc w:val="right"/>
              <w:rPr>
                <w:sz w:val="16"/>
                <w:szCs w:val="16"/>
              </w:rPr>
            </w:pPr>
            <w:r w:rsidRPr="00F909A0">
              <w:rPr>
                <w:sz w:val="16"/>
                <w:szCs w:val="16"/>
              </w:rPr>
              <w:t>95.8</w:t>
            </w:r>
          </w:p>
        </w:tc>
        <w:tc>
          <w:tcPr>
            <w:tcW w:w="1043" w:type="dxa"/>
            <w:tcBorders>
              <w:right w:val="single" w:sz="4" w:space="0" w:color="auto"/>
            </w:tcBorders>
          </w:tcPr>
          <w:p w14:paraId="53F23A6C" w14:textId="77777777" w:rsidR="00F909A0" w:rsidRPr="00F909A0" w:rsidRDefault="00F909A0" w:rsidP="00B56B65">
            <w:pPr>
              <w:spacing w:before="20" w:after="20"/>
              <w:jc w:val="right"/>
              <w:rPr>
                <w:sz w:val="16"/>
                <w:szCs w:val="16"/>
              </w:rPr>
            </w:pPr>
            <w:r w:rsidRPr="00F909A0">
              <w:rPr>
                <w:sz w:val="16"/>
                <w:szCs w:val="16"/>
              </w:rPr>
              <w:t>(91.2, 100.0)</w:t>
            </w:r>
          </w:p>
        </w:tc>
        <w:tc>
          <w:tcPr>
            <w:tcW w:w="536" w:type="dxa"/>
            <w:tcBorders>
              <w:left w:val="single" w:sz="4" w:space="0" w:color="auto"/>
            </w:tcBorders>
          </w:tcPr>
          <w:p w14:paraId="0EB82E69" w14:textId="77777777" w:rsidR="00F909A0" w:rsidRPr="00F909A0" w:rsidRDefault="00F909A0" w:rsidP="00B56B65">
            <w:pPr>
              <w:spacing w:before="20" w:after="20"/>
              <w:jc w:val="right"/>
              <w:rPr>
                <w:sz w:val="16"/>
                <w:szCs w:val="16"/>
              </w:rPr>
            </w:pPr>
            <w:r w:rsidRPr="00F909A0">
              <w:rPr>
                <w:sz w:val="16"/>
                <w:szCs w:val="16"/>
              </w:rPr>
              <w:t>53</w:t>
            </w:r>
          </w:p>
        </w:tc>
        <w:tc>
          <w:tcPr>
            <w:tcW w:w="576" w:type="dxa"/>
          </w:tcPr>
          <w:p w14:paraId="4AD91835" w14:textId="77777777" w:rsidR="00F909A0" w:rsidRPr="00F909A0" w:rsidRDefault="00F909A0" w:rsidP="00B56B65">
            <w:pPr>
              <w:spacing w:before="20" w:after="20"/>
              <w:jc w:val="right"/>
              <w:rPr>
                <w:sz w:val="16"/>
                <w:szCs w:val="16"/>
              </w:rPr>
            </w:pPr>
            <w:r w:rsidRPr="00F909A0">
              <w:rPr>
                <w:sz w:val="16"/>
                <w:szCs w:val="16"/>
              </w:rPr>
              <w:t>96.6</w:t>
            </w:r>
          </w:p>
        </w:tc>
        <w:tc>
          <w:tcPr>
            <w:tcW w:w="1043" w:type="dxa"/>
            <w:tcBorders>
              <w:right w:val="single" w:sz="4" w:space="0" w:color="auto"/>
            </w:tcBorders>
          </w:tcPr>
          <w:p w14:paraId="05828D96" w14:textId="77777777" w:rsidR="00F909A0" w:rsidRPr="00F909A0" w:rsidRDefault="00F909A0" w:rsidP="00B56B65">
            <w:pPr>
              <w:spacing w:before="20" w:after="20"/>
              <w:jc w:val="right"/>
              <w:rPr>
                <w:sz w:val="16"/>
                <w:szCs w:val="16"/>
              </w:rPr>
            </w:pPr>
            <w:r w:rsidRPr="00F909A0">
              <w:rPr>
                <w:sz w:val="16"/>
                <w:szCs w:val="16"/>
              </w:rPr>
              <w:t>(93.1, 100.0)</w:t>
            </w:r>
          </w:p>
        </w:tc>
        <w:tc>
          <w:tcPr>
            <w:tcW w:w="536" w:type="dxa"/>
            <w:tcBorders>
              <w:left w:val="single" w:sz="4" w:space="0" w:color="auto"/>
            </w:tcBorders>
          </w:tcPr>
          <w:p w14:paraId="7C7E6F48" w14:textId="77777777" w:rsidR="00F909A0" w:rsidRPr="00F909A0" w:rsidRDefault="00F909A0" w:rsidP="00B56B65">
            <w:pPr>
              <w:spacing w:before="20" w:after="20"/>
              <w:jc w:val="right"/>
              <w:rPr>
                <w:sz w:val="16"/>
                <w:szCs w:val="16"/>
              </w:rPr>
            </w:pPr>
            <w:r w:rsidRPr="00F909A0">
              <w:rPr>
                <w:sz w:val="16"/>
                <w:szCs w:val="16"/>
              </w:rPr>
              <w:t>56</w:t>
            </w:r>
          </w:p>
        </w:tc>
        <w:tc>
          <w:tcPr>
            <w:tcW w:w="576" w:type="dxa"/>
          </w:tcPr>
          <w:p w14:paraId="19801B6A" w14:textId="77777777" w:rsidR="00F909A0" w:rsidRPr="00F909A0" w:rsidRDefault="00F909A0" w:rsidP="00B56B65">
            <w:pPr>
              <w:spacing w:before="20" w:after="20"/>
              <w:jc w:val="right"/>
              <w:rPr>
                <w:sz w:val="16"/>
                <w:szCs w:val="16"/>
              </w:rPr>
            </w:pPr>
            <w:r w:rsidRPr="00F909A0">
              <w:rPr>
                <w:sz w:val="16"/>
                <w:szCs w:val="16"/>
              </w:rPr>
              <w:t>98.4</w:t>
            </w:r>
          </w:p>
        </w:tc>
        <w:tc>
          <w:tcPr>
            <w:tcW w:w="1123" w:type="dxa"/>
          </w:tcPr>
          <w:p w14:paraId="62A86788" w14:textId="77777777" w:rsidR="00F909A0" w:rsidRPr="00F909A0" w:rsidRDefault="00F909A0" w:rsidP="00B56B65">
            <w:pPr>
              <w:spacing w:before="20" w:after="20"/>
              <w:jc w:val="right"/>
              <w:rPr>
                <w:sz w:val="16"/>
                <w:szCs w:val="16"/>
              </w:rPr>
            </w:pPr>
            <w:r w:rsidRPr="00F909A0">
              <w:rPr>
                <w:sz w:val="16"/>
                <w:szCs w:val="16"/>
              </w:rPr>
              <w:t>(95.6, 100.0)</w:t>
            </w:r>
          </w:p>
        </w:tc>
      </w:tr>
      <w:tr w:rsidR="00F909A0" w:rsidRPr="007B4EF8" w14:paraId="3C4E99FE" w14:textId="77777777" w:rsidTr="00B56B65">
        <w:trPr>
          <w:jc w:val="center"/>
        </w:trPr>
        <w:tc>
          <w:tcPr>
            <w:tcW w:w="1985" w:type="dxa"/>
            <w:tcBorders>
              <w:bottom w:val="single" w:sz="4" w:space="0" w:color="auto"/>
            </w:tcBorders>
            <w:vAlign w:val="center"/>
          </w:tcPr>
          <w:p w14:paraId="07F7F305" w14:textId="77777777" w:rsidR="00F909A0" w:rsidRDefault="00F909A0" w:rsidP="00B56B65">
            <w:pPr>
              <w:spacing w:before="20" w:after="20"/>
              <w:rPr>
                <w:color w:val="000000"/>
                <w:sz w:val="16"/>
                <w:szCs w:val="16"/>
              </w:rPr>
            </w:pPr>
          </w:p>
        </w:tc>
        <w:tc>
          <w:tcPr>
            <w:tcW w:w="2693" w:type="dxa"/>
            <w:tcBorders>
              <w:bottom w:val="single" w:sz="4" w:space="0" w:color="auto"/>
            </w:tcBorders>
            <w:vAlign w:val="center"/>
          </w:tcPr>
          <w:p w14:paraId="4E32BB7E" w14:textId="77777777" w:rsidR="00F909A0" w:rsidRDefault="00F909A0" w:rsidP="00B56B65">
            <w:pPr>
              <w:spacing w:before="20" w:after="20"/>
              <w:rPr>
                <w:color w:val="000000"/>
                <w:sz w:val="16"/>
                <w:szCs w:val="16"/>
              </w:rPr>
            </w:pPr>
            <w:r>
              <w:rPr>
                <w:color w:val="000000"/>
                <w:sz w:val="16"/>
                <w:szCs w:val="16"/>
              </w:rPr>
              <w:t>Yes</w:t>
            </w:r>
          </w:p>
        </w:tc>
        <w:tc>
          <w:tcPr>
            <w:tcW w:w="536" w:type="dxa"/>
            <w:tcBorders>
              <w:bottom w:val="single" w:sz="4" w:space="0" w:color="auto"/>
            </w:tcBorders>
          </w:tcPr>
          <w:p w14:paraId="0B4F9EDA" w14:textId="77777777" w:rsidR="00F909A0" w:rsidRPr="00F909A0" w:rsidRDefault="00F909A0" w:rsidP="00B56B65">
            <w:pPr>
              <w:spacing w:before="20" w:after="20"/>
              <w:jc w:val="right"/>
              <w:rPr>
                <w:sz w:val="16"/>
                <w:szCs w:val="16"/>
              </w:rPr>
            </w:pPr>
            <w:r w:rsidRPr="00F909A0">
              <w:rPr>
                <w:sz w:val="16"/>
                <w:szCs w:val="16"/>
              </w:rPr>
              <w:t>4</w:t>
            </w:r>
          </w:p>
        </w:tc>
        <w:tc>
          <w:tcPr>
            <w:tcW w:w="576" w:type="dxa"/>
            <w:tcBorders>
              <w:bottom w:val="single" w:sz="4" w:space="0" w:color="auto"/>
            </w:tcBorders>
          </w:tcPr>
          <w:p w14:paraId="088DCF04" w14:textId="77777777" w:rsidR="00F909A0" w:rsidRPr="00F909A0" w:rsidRDefault="00F909A0" w:rsidP="00B56B65">
            <w:pPr>
              <w:spacing w:before="20" w:after="20"/>
              <w:jc w:val="right"/>
              <w:rPr>
                <w:sz w:val="16"/>
                <w:szCs w:val="16"/>
              </w:rPr>
            </w:pPr>
            <w:r w:rsidRPr="00F909A0">
              <w:rPr>
                <w:sz w:val="16"/>
                <w:szCs w:val="16"/>
              </w:rPr>
              <w:t>2.6</w:t>
            </w:r>
          </w:p>
        </w:tc>
        <w:tc>
          <w:tcPr>
            <w:tcW w:w="1043" w:type="dxa"/>
            <w:tcBorders>
              <w:bottom w:val="single" w:sz="4" w:space="0" w:color="auto"/>
              <w:right w:val="single" w:sz="4" w:space="0" w:color="auto"/>
            </w:tcBorders>
          </w:tcPr>
          <w:p w14:paraId="434B7A4F" w14:textId="77777777" w:rsidR="00F909A0" w:rsidRPr="00F909A0" w:rsidRDefault="00F909A0" w:rsidP="00B56B65">
            <w:pPr>
              <w:spacing w:before="20" w:after="20"/>
              <w:jc w:val="right"/>
              <w:rPr>
                <w:sz w:val="16"/>
                <w:szCs w:val="16"/>
              </w:rPr>
            </w:pPr>
            <w:r w:rsidRPr="00F909A0">
              <w:rPr>
                <w:sz w:val="16"/>
                <w:szCs w:val="16"/>
              </w:rPr>
              <w:t>(0.0, 5.5)</w:t>
            </w:r>
          </w:p>
        </w:tc>
        <w:tc>
          <w:tcPr>
            <w:tcW w:w="536" w:type="dxa"/>
            <w:tcBorders>
              <w:left w:val="single" w:sz="4" w:space="0" w:color="auto"/>
              <w:bottom w:val="single" w:sz="4" w:space="0" w:color="auto"/>
            </w:tcBorders>
          </w:tcPr>
          <w:p w14:paraId="41A008D5" w14:textId="77777777" w:rsidR="00F909A0" w:rsidRPr="00F909A0" w:rsidRDefault="00F909A0" w:rsidP="00B56B65">
            <w:pPr>
              <w:spacing w:before="20" w:after="20"/>
              <w:jc w:val="right"/>
              <w:rPr>
                <w:sz w:val="16"/>
                <w:szCs w:val="16"/>
              </w:rPr>
            </w:pPr>
            <w:r w:rsidRPr="00F909A0">
              <w:rPr>
                <w:sz w:val="16"/>
                <w:szCs w:val="16"/>
              </w:rPr>
              <w:t>3</w:t>
            </w:r>
          </w:p>
        </w:tc>
        <w:tc>
          <w:tcPr>
            <w:tcW w:w="576" w:type="dxa"/>
            <w:tcBorders>
              <w:bottom w:val="single" w:sz="4" w:space="0" w:color="auto"/>
            </w:tcBorders>
          </w:tcPr>
          <w:p w14:paraId="337FAEF1" w14:textId="77777777" w:rsidR="00F909A0" w:rsidRPr="00F909A0" w:rsidRDefault="00F909A0" w:rsidP="00B56B65">
            <w:pPr>
              <w:spacing w:before="20" w:after="20"/>
              <w:jc w:val="right"/>
              <w:rPr>
                <w:sz w:val="16"/>
                <w:szCs w:val="16"/>
              </w:rPr>
            </w:pPr>
            <w:r w:rsidRPr="00F909A0">
              <w:rPr>
                <w:sz w:val="16"/>
                <w:szCs w:val="16"/>
              </w:rPr>
              <w:t>4.2</w:t>
            </w:r>
          </w:p>
        </w:tc>
        <w:tc>
          <w:tcPr>
            <w:tcW w:w="1043" w:type="dxa"/>
            <w:tcBorders>
              <w:bottom w:val="single" w:sz="4" w:space="0" w:color="auto"/>
              <w:right w:val="single" w:sz="4" w:space="0" w:color="auto"/>
            </w:tcBorders>
          </w:tcPr>
          <w:p w14:paraId="44672C0B" w14:textId="77777777" w:rsidR="00F909A0" w:rsidRPr="00F909A0" w:rsidRDefault="00F909A0" w:rsidP="00B56B65">
            <w:pPr>
              <w:spacing w:before="20" w:after="20"/>
              <w:jc w:val="right"/>
              <w:rPr>
                <w:sz w:val="16"/>
                <w:szCs w:val="16"/>
              </w:rPr>
            </w:pPr>
            <w:r w:rsidRPr="00F909A0">
              <w:rPr>
                <w:sz w:val="16"/>
                <w:szCs w:val="16"/>
              </w:rPr>
              <w:t>(0.0, 8.8)</w:t>
            </w:r>
          </w:p>
        </w:tc>
        <w:tc>
          <w:tcPr>
            <w:tcW w:w="536" w:type="dxa"/>
            <w:tcBorders>
              <w:left w:val="single" w:sz="4" w:space="0" w:color="auto"/>
              <w:bottom w:val="single" w:sz="4" w:space="0" w:color="auto"/>
            </w:tcBorders>
          </w:tcPr>
          <w:p w14:paraId="45116954" w14:textId="77777777" w:rsidR="00F909A0" w:rsidRPr="00F909A0" w:rsidRDefault="00F909A0" w:rsidP="00B56B65">
            <w:pPr>
              <w:spacing w:before="20" w:after="20"/>
              <w:jc w:val="right"/>
              <w:rPr>
                <w:sz w:val="16"/>
                <w:szCs w:val="16"/>
              </w:rPr>
            </w:pPr>
            <w:r w:rsidRPr="00F909A0">
              <w:rPr>
                <w:sz w:val="16"/>
                <w:szCs w:val="16"/>
              </w:rPr>
              <w:t>2</w:t>
            </w:r>
          </w:p>
        </w:tc>
        <w:tc>
          <w:tcPr>
            <w:tcW w:w="576" w:type="dxa"/>
            <w:tcBorders>
              <w:bottom w:val="single" w:sz="4" w:space="0" w:color="auto"/>
            </w:tcBorders>
          </w:tcPr>
          <w:p w14:paraId="4802925B" w14:textId="77777777" w:rsidR="00F909A0" w:rsidRPr="00F909A0" w:rsidRDefault="00F909A0" w:rsidP="00B56B65">
            <w:pPr>
              <w:spacing w:before="20" w:after="20"/>
              <w:jc w:val="right"/>
              <w:rPr>
                <w:sz w:val="16"/>
                <w:szCs w:val="16"/>
              </w:rPr>
            </w:pPr>
            <w:r w:rsidRPr="00F909A0">
              <w:rPr>
                <w:sz w:val="16"/>
                <w:szCs w:val="16"/>
              </w:rPr>
              <w:t>3.4</w:t>
            </w:r>
          </w:p>
        </w:tc>
        <w:tc>
          <w:tcPr>
            <w:tcW w:w="1043" w:type="dxa"/>
            <w:tcBorders>
              <w:bottom w:val="single" w:sz="4" w:space="0" w:color="auto"/>
              <w:right w:val="single" w:sz="4" w:space="0" w:color="auto"/>
            </w:tcBorders>
          </w:tcPr>
          <w:p w14:paraId="25B59AE8" w14:textId="77777777" w:rsidR="00F909A0" w:rsidRPr="00F909A0" w:rsidRDefault="002F172C" w:rsidP="00B56B65">
            <w:pPr>
              <w:spacing w:before="20" w:after="20"/>
              <w:jc w:val="right"/>
              <w:rPr>
                <w:sz w:val="16"/>
                <w:szCs w:val="16"/>
              </w:rPr>
            </w:pPr>
            <w:r>
              <w:rPr>
                <w:sz w:val="16"/>
                <w:szCs w:val="16"/>
              </w:rPr>
              <w:t>!</w:t>
            </w:r>
          </w:p>
        </w:tc>
        <w:tc>
          <w:tcPr>
            <w:tcW w:w="536" w:type="dxa"/>
            <w:tcBorders>
              <w:left w:val="single" w:sz="4" w:space="0" w:color="auto"/>
              <w:bottom w:val="single" w:sz="4" w:space="0" w:color="auto"/>
            </w:tcBorders>
          </w:tcPr>
          <w:p w14:paraId="430474B2" w14:textId="42E43CD9" w:rsidR="00F909A0" w:rsidRPr="00F909A0" w:rsidRDefault="005B4A9D" w:rsidP="00B56B65">
            <w:pPr>
              <w:spacing w:before="20" w:after="20"/>
              <w:jc w:val="right"/>
              <w:rPr>
                <w:sz w:val="16"/>
                <w:szCs w:val="16"/>
              </w:rPr>
            </w:pPr>
            <w:r>
              <w:rPr>
                <w:sz w:val="16"/>
                <w:szCs w:val="16"/>
              </w:rPr>
              <w:t>&lt;1</w:t>
            </w:r>
          </w:p>
        </w:tc>
        <w:tc>
          <w:tcPr>
            <w:tcW w:w="576" w:type="dxa"/>
            <w:tcBorders>
              <w:bottom w:val="single" w:sz="4" w:space="0" w:color="auto"/>
            </w:tcBorders>
          </w:tcPr>
          <w:p w14:paraId="1CFDB645" w14:textId="77777777" w:rsidR="00F909A0" w:rsidRPr="00F909A0" w:rsidRDefault="00F909A0" w:rsidP="00B56B65">
            <w:pPr>
              <w:spacing w:before="20" w:after="20"/>
              <w:jc w:val="right"/>
              <w:rPr>
                <w:sz w:val="16"/>
                <w:szCs w:val="16"/>
              </w:rPr>
            </w:pPr>
            <w:r w:rsidRPr="00F909A0">
              <w:rPr>
                <w:sz w:val="16"/>
                <w:szCs w:val="16"/>
              </w:rPr>
              <w:t>1.6</w:t>
            </w:r>
          </w:p>
        </w:tc>
        <w:tc>
          <w:tcPr>
            <w:tcW w:w="1123" w:type="dxa"/>
            <w:tcBorders>
              <w:bottom w:val="single" w:sz="4" w:space="0" w:color="auto"/>
            </w:tcBorders>
          </w:tcPr>
          <w:p w14:paraId="4C46343B" w14:textId="77777777" w:rsidR="00F909A0" w:rsidRPr="00F909A0" w:rsidRDefault="00F909A0" w:rsidP="00B56B65">
            <w:pPr>
              <w:spacing w:before="20" w:after="20"/>
              <w:jc w:val="right"/>
              <w:rPr>
                <w:sz w:val="16"/>
                <w:szCs w:val="16"/>
              </w:rPr>
            </w:pPr>
            <w:r w:rsidRPr="00F909A0">
              <w:rPr>
                <w:sz w:val="16"/>
                <w:szCs w:val="16"/>
              </w:rPr>
              <w:t>(0.0, 4.4)</w:t>
            </w:r>
          </w:p>
        </w:tc>
      </w:tr>
    </w:tbl>
    <w:p w14:paraId="2E7687F5" w14:textId="77777777" w:rsidR="002F172C" w:rsidRDefault="00E7746B" w:rsidP="002F172C">
      <w:pPr>
        <w:ind w:left="284"/>
        <w:rPr>
          <w:sz w:val="16"/>
          <w:szCs w:val="16"/>
        </w:rPr>
      </w:pPr>
      <w:r w:rsidRPr="00D05AB1">
        <w:rPr>
          <w:sz w:val="16"/>
          <w:szCs w:val="16"/>
        </w:rPr>
        <w:t>Data weighted for 2013 Census data (</w:t>
      </w:r>
      <w:r>
        <w:rPr>
          <w:sz w:val="16"/>
          <w:szCs w:val="16"/>
        </w:rPr>
        <w:t>all w</w:t>
      </w:r>
      <w:r w:rsidRPr="00D05AB1">
        <w:rPr>
          <w:sz w:val="16"/>
          <w:szCs w:val="16"/>
        </w:rPr>
        <w:t>aves) and attrition (Wave</w:t>
      </w:r>
      <w:r>
        <w:rPr>
          <w:sz w:val="16"/>
          <w:szCs w:val="16"/>
        </w:rPr>
        <w:t>s</w:t>
      </w:r>
      <w:r w:rsidRPr="00D05AB1">
        <w:rPr>
          <w:sz w:val="16"/>
          <w:szCs w:val="16"/>
        </w:rPr>
        <w:t xml:space="preserve"> 2</w:t>
      </w:r>
      <w:r>
        <w:rPr>
          <w:sz w:val="16"/>
          <w:szCs w:val="16"/>
        </w:rPr>
        <w:t>,</w:t>
      </w:r>
      <w:r w:rsidRPr="00D05AB1">
        <w:rPr>
          <w:sz w:val="16"/>
          <w:szCs w:val="16"/>
        </w:rPr>
        <w:t xml:space="preserve"> 3</w:t>
      </w:r>
      <w:r>
        <w:rPr>
          <w:sz w:val="16"/>
          <w:szCs w:val="16"/>
        </w:rPr>
        <w:t xml:space="preserve"> and 4</w:t>
      </w:r>
      <w:r w:rsidRPr="00D05AB1">
        <w:rPr>
          <w:sz w:val="16"/>
          <w:szCs w:val="16"/>
        </w:rPr>
        <w:t>)</w:t>
      </w:r>
      <w:r w:rsidR="00B56B65">
        <w:rPr>
          <w:sz w:val="16"/>
          <w:szCs w:val="16"/>
        </w:rPr>
        <w:t xml:space="preserve"> / </w:t>
      </w:r>
      <w:r w:rsidRPr="00D05AB1">
        <w:rPr>
          <w:rFonts w:eastAsiaTheme="minorEastAsia"/>
          <w:sz w:val="16"/>
          <w:szCs w:val="16"/>
          <w:vertAlign w:val="superscript"/>
        </w:rPr>
        <w:t xml:space="preserve"># </w:t>
      </w:r>
      <w:r w:rsidRPr="00D05AB1">
        <w:rPr>
          <w:sz w:val="16"/>
          <w:szCs w:val="16"/>
        </w:rPr>
        <w:t>Calculated for participan</w:t>
      </w:r>
      <w:r>
        <w:rPr>
          <w:sz w:val="16"/>
          <w:szCs w:val="16"/>
        </w:rPr>
        <w:t>ts who gambled in the last year</w:t>
      </w:r>
      <w:r w:rsidR="00B56B65">
        <w:rPr>
          <w:sz w:val="16"/>
          <w:szCs w:val="16"/>
        </w:rPr>
        <w:t xml:space="preserve"> </w:t>
      </w:r>
    </w:p>
    <w:p w14:paraId="144A7DF3" w14:textId="77777777" w:rsidR="0047103A" w:rsidRDefault="002F172C" w:rsidP="002F172C">
      <w:pPr>
        <w:spacing w:after="200" w:line="276" w:lineRule="auto"/>
        <w:ind w:left="284"/>
      </w:pPr>
      <w:r w:rsidRPr="00B63F83">
        <w:rPr>
          <w:sz w:val="16"/>
        </w:rPr>
        <w:t>! Meaningful confidence intervals not calculable due to small sample size</w:t>
      </w:r>
      <w:r w:rsidR="0047103A">
        <w:br w:type="page"/>
      </w:r>
    </w:p>
    <w:p w14:paraId="08CE92BF" w14:textId="77777777" w:rsidR="0047103A" w:rsidRDefault="0047103A" w:rsidP="0047103A">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bookmarkStart w:id="218" w:name="_Toc504488418"/>
      <w:r>
        <w:t>APPENDIX 2</w:t>
      </w:r>
      <w:r w:rsidR="00D9465C">
        <w:t>5</w:t>
      </w:r>
      <w:r>
        <w:t>:</w:t>
      </w:r>
      <w:r>
        <w:br/>
      </w:r>
      <w:r>
        <w:rPr>
          <w:caps w:val="0"/>
        </w:rPr>
        <w:t xml:space="preserve">Gambling risk </w:t>
      </w:r>
      <w:r w:rsidR="00DD314D">
        <w:rPr>
          <w:caps w:val="0"/>
        </w:rPr>
        <w:t>levels</w:t>
      </w:r>
      <w:r>
        <w:rPr>
          <w:caps w:val="0"/>
        </w:rPr>
        <w:t xml:space="preserve"> by </w:t>
      </w:r>
      <w:r w:rsidR="005B7477">
        <w:rPr>
          <w:caps w:val="0"/>
        </w:rPr>
        <w:t>major</w:t>
      </w:r>
      <w:r>
        <w:rPr>
          <w:caps w:val="0"/>
        </w:rPr>
        <w:t xml:space="preserve"> life events experienced and psychological distress for Waves 1, 2, 3 and 4</w:t>
      </w:r>
      <w:bookmarkEnd w:id="218"/>
    </w:p>
    <w:p w14:paraId="77E05717" w14:textId="77777777" w:rsidR="0047103A" w:rsidRPr="00D317D8" w:rsidRDefault="0047103A" w:rsidP="0047103A">
      <w:pPr>
        <w:pStyle w:val="RepNormal"/>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5"/>
        <w:gridCol w:w="1834"/>
        <w:gridCol w:w="597"/>
        <w:gridCol w:w="567"/>
        <w:gridCol w:w="993"/>
        <w:gridCol w:w="567"/>
        <w:gridCol w:w="567"/>
        <w:gridCol w:w="992"/>
        <w:gridCol w:w="567"/>
        <w:gridCol w:w="567"/>
        <w:gridCol w:w="992"/>
        <w:gridCol w:w="536"/>
        <w:gridCol w:w="567"/>
        <w:gridCol w:w="1023"/>
      </w:tblGrid>
      <w:tr w:rsidR="0047103A" w:rsidRPr="007B4EF8" w14:paraId="7AD2F59A" w14:textId="77777777" w:rsidTr="00B56B65">
        <w:trPr>
          <w:tblHeader/>
          <w:jc w:val="center"/>
        </w:trPr>
        <w:tc>
          <w:tcPr>
            <w:tcW w:w="2345" w:type="dxa"/>
            <w:vMerge w:val="restart"/>
            <w:tcBorders>
              <w:top w:val="single" w:sz="4" w:space="0" w:color="auto"/>
            </w:tcBorders>
            <w:vAlign w:val="bottom"/>
          </w:tcPr>
          <w:p w14:paraId="747A05EA" w14:textId="77777777" w:rsidR="0047103A" w:rsidRPr="00D317D8" w:rsidRDefault="00B56B65" w:rsidP="0047103A">
            <w:pPr>
              <w:spacing w:before="20" w:after="20"/>
              <w:rPr>
                <w:rFonts w:eastAsiaTheme="minorEastAsia"/>
                <w:b/>
                <w:sz w:val="18"/>
                <w:szCs w:val="18"/>
                <w:lang w:eastAsia="en-US"/>
              </w:rPr>
            </w:pPr>
            <w:r w:rsidRPr="001B7431">
              <w:rPr>
                <w:rFonts w:eastAsiaTheme="minorEastAsia"/>
                <w:b/>
                <w:sz w:val="16"/>
                <w:szCs w:val="16"/>
                <w:lang w:eastAsia="en-US"/>
              </w:rPr>
              <w:t>Gambling risk level</w:t>
            </w:r>
          </w:p>
        </w:tc>
        <w:tc>
          <w:tcPr>
            <w:tcW w:w="1834" w:type="dxa"/>
            <w:vMerge w:val="restart"/>
            <w:tcBorders>
              <w:top w:val="single" w:sz="4" w:space="0" w:color="auto"/>
            </w:tcBorders>
            <w:vAlign w:val="bottom"/>
          </w:tcPr>
          <w:p w14:paraId="0841C5E4" w14:textId="77777777" w:rsidR="0047103A" w:rsidRPr="001B7431" w:rsidRDefault="00B56B65" w:rsidP="0047103A">
            <w:pPr>
              <w:spacing w:before="20" w:after="20"/>
              <w:ind w:left="34"/>
              <w:rPr>
                <w:rFonts w:eastAsiaTheme="minorEastAsia"/>
                <w:b/>
                <w:sz w:val="16"/>
                <w:szCs w:val="16"/>
                <w:lang w:eastAsia="en-US"/>
              </w:rPr>
            </w:pPr>
            <w:r>
              <w:rPr>
                <w:rFonts w:eastAsiaTheme="minorEastAsia"/>
                <w:b/>
                <w:sz w:val="16"/>
                <w:szCs w:val="16"/>
                <w:lang w:eastAsia="en-US"/>
              </w:rPr>
              <w:t>Variable</w:t>
            </w:r>
          </w:p>
        </w:tc>
        <w:tc>
          <w:tcPr>
            <w:tcW w:w="2157" w:type="dxa"/>
            <w:gridSpan w:val="3"/>
            <w:tcBorders>
              <w:top w:val="single" w:sz="4" w:space="0" w:color="auto"/>
              <w:bottom w:val="single" w:sz="4" w:space="0" w:color="auto"/>
              <w:right w:val="single" w:sz="4" w:space="0" w:color="auto"/>
            </w:tcBorders>
            <w:vAlign w:val="center"/>
          </w:tcPr>
          <w:p w14:paraId="5E51743F" w14:textId="77777777" w:rsidR="0047103A" w:rsidRPr="001B7431" w:rsidRDefault="0047103A" w:rsidP="0047103A">
            <w:pPr>
              <w:spacing w:before="20" w:after="20"/>
              <w:ind w:left="34"/>
              <w:jc w:val="center"/>
              <w:rPr>
                <w:rFonts w:eastAsiaTheme="minorEastAsia"/>
                <w:b/>
                <w:sz w:val="16"/>
                <w:szCs w:val="16"/>
                <w:lang w:eastAsia="en-US"/>
              </w:rPr>
            </w:pPr>
            <w:r w:rsidRPr="001B7431">
              <w:rPr>
                <w:rFonts w:eastAsiaTheme="minorEastAsia"/>
                <w:b/>
                <w:sz w:val="16"/>
                <w:szCs w:val="16"/>
                <w:lang w:eastAsia="en-US"/>
              </w:rPr>
              <w:t>Wave 1</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5E58C78" w14:textId="77777777" w:rsidR="0047103A" w:rsidRPr="001B7431" w:rsidRDefault="0047103A" w:rsidP="0047103A">
            <w:pPr>
              <w:spacing w:before="20" w:after="20"/>
              <w:ind w:left="34"/>
              <w:jc w:val="center"/>
              <w:rPr>
                <w:rFonts w:eastAsiaTheme="minorEastAsia"/>
                <w:b/>
                <w:sz w:val="16"/>
                <w:szCs w:val="16"/>
                <w:lang w:eastAsia="en-US"/>
              </w:rPr>
            </w:pPr>
            <w:r w:rsidRPr="001B7431">
              <w:rPr>
                <w:rFonts w:eastAsiaTheme="minorEastAsia"/>
                <w:b/>
                <w:sz w:val="16"/>
                <w:szCs w:val="16"/>
                <w:lang w:eastAsia="en-US"/>
              </w:rPr>
              <w:t>Wave 2</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24AD3E7" w14:textId="77777777" w:rsidR="0047103A" w:rsidRPr="001B7431" w:rsidRDefault="0047103A" w:rsidP="0047103A">
            <w:pPr>
              <w:spacing w:before="20" w:after="20"/>
              <w:ind w:left="34"/>
              <w:jc w:val="center"/>
              <w:rPr>
                <w:rFonts w:eastAsiaTheme="minorEastAsia"/>
                <w:b/>
                <w:sz w:val="16"/>
                <w:szCs w:val="16"/>
                <w:lang w:eastAsia="en-US"/>
              </w:rPr>
            </w:pPr>
            <w:r w:rsidRPr="001B7431">
              <w:rPr>
                <w:rFonts w:eastAsiaTheme="minorEastAsia"/>
                <w:b/>
                <w:sz w:val="16"/>
                <w:szCs w:val="16"/>
                <w:lang w:eastAsia="en-US"/>
              </w:rPr>
              <w:t>Wave 3</w:t>
            </w:r>
          </w:p>
        </w:tc>
        <w:tc>
          <w:tcPr>
            <w:tcW w:w="2126" w:type="dxa"/>
            <w:gridSpan w:val="3"/>
            <w:tcBorders>
              <w:top w:val="single" w:sz="4" w:space="0" w:color="auto"/>
              <w:left w:val="single" w:sz="4" w:space="0" w:color="auto"/>
              <w:bottom w:val="single" w:sz="4" w:space="0" w:color="auto"/>
            </w:tcBorders>
            <w:vAlign w:val="center"/>
          </w:tcPr>
          <w:p w14:paraId="0BB00596" w14:textId="77777777" w:rsidR="0047103A" w:rsidRPr="001B7431" w:rsidRDefault="0047103A" w:rsidP="0047103A">
            <w:pPr>
              <w:spacing w:before="20" w:after="20"/>
              <w:ind w:left="34"/>
              <w:jc w:val="center"/>
              <w:rPr>
                <w:rFonts w:eastAsiaTheme="minorEastAsia"/>
                <w:b/>
                <w:sz w:val="16"/>
                <w:szCs w:val="16"/>
                <w:lang w:eastAsia="en-US"/>
              </w:rPr>
            </w:pPr>
            <w:r w:rsidRPr="001B7431">
              <w:rPr>
                <w:rFonts w:eastAsiaTheme="minorEastAsia"/>
                <w:b/>
                <w:sz w:val="16"/>
                <w:szCs w:val="16"/>
                <w:lang w:eastAsia="en-US"/>
              </w:rPr>
              <w:t>Wave 4</w:t>
            </w:r>
          </w:p>
        </w:tc>
      </w:tr>
      <w:tr w:rsidR="0047103A" w:rsidRPr="007B4EF8" w14:paraId="5BEB5B32" w14:textId="77777777" w:rsidTr="00B56B65">
        <w:trPr>
          <w:tblHeader/>
          <w:jc w:val="center"/>
        </w:trPr>
        <w:tc>
          <w:tcPr>
            <w:tcW w:w="2345" w:type="dxa"/>
            <w:vMerge/>
            <w:tcBorders>
              <w:bottom w:val="single" w:sz="4" w:space="0" w:color="auto"/>
            </w:tcBorders>
            <w:vAlign w:val="center"/>
          </w:tcPr>
          <w:p w14:paraId="0A2508EE" w14:textId="77777777" w:rsidR="0047103A" w:rsidRPr="001B7431" w:rsidRDefault="0047103A" w:rsidP="0047103A">
            <w:pPr>
              <w:spacing w:before="20" w:after="20"/>
              <w:ind w:left="34"/>
              <w:rPr>
                <w:rFonts w:eastAsiaTheme="minorEastAsia"/>
                <w:b/>
                <w:sz w:val="16"/>
                <w:szCs w:val="16"/>
                <w:lang w:eastAsia="en-US"/>
              </w:rPr>
            </w:pPr>
          </w:p>
        </w:tc>
        <w:tc>
          <w:tcPr>
            <w:tcW w:w="1834" w:type="dxa"/>
            <w:vMerge/>
            <w:tcBorders>
              <w:bottom w:val="single" w:sz="4" w:space="0" w:color="auto"/>
            </w:tcBorders>
          </w:tcPr>
          <w:p w14:paraId="49D43DB2" w14:textId="77777777" w:rsidR="0047103A" w:rsidRPr="001B7431" w:rsidRDefault="0047103A" w:rsidP="0047103A">
            <w:pPr>
              <w:spacing w:before="20" w:after="20"/>
              <w:ind w:left="34"/>
              <w:rPr>
                <w:rFonts w:eastAsiaTheme="minorEastAsia"/>
                <w:b/>
                <w:sz w:val="16"/>
                <w:szCs w:val="16"/>
                <w:lang w:eastAsia="en-US"/>
              </w:rPr>
            </w:pPr>
          </w:p>
        </w:tc>
        <w:tc>
          <w:tcPr>
            <w:tcW w:w="597" w:type="dxa"/>
            <w:tcBorders>
              <w:top w:val="single" w:sz="4" w:space="0" w:color="auto"/>
              <w:bottom w:val="single" w:sz="4" w:space="0" w:color="auto"/>
            </w:tcBorders>
            <w:vAlign w:val="center"/>
          </w:tcPr>
          <w:p w14:paraId="6E4FA815" w14:textId="77777777" w:rsidR="0047103A" w:rsidRPr="001B7431" w:rsidRDefault="0047103A" w:rsidP="0047103A">
            <w:pPr>
              <w:spacing w:before="20" w:after="20"/>
              <w:ind w:left="34"/>
              <w:jc w:val="right"/>
              <w:rPr>
                <w:rFonts w:eastAsiaTheme="minorEastAsia"/>
                <w:b/>
                <w:sz w:val="16"/>
                <w:szCs w:val="16"/>
                <w:lang w:eastAsia="en-US"/>
              </w:rPr>
            </w:pPr>
            <w:r w:rsidRPr="001B7431">
              <w:rPr>
                <w:rFonts w:eastAsiaTheme="minorEastAsia"/>
                <w:b/>
                <w:sz w:val="16"/>
                <w:szCs w:val="16"/>
                <w:lang w:eastAsia="en-US"/>
              </w:rPr>
              <w:t>n</w:t>
            </w:r>
          </w:p>
        </w:tc>
        <w:tc>
          <w:tcPr>
            <w:tcW w:w="567" w:type="dxa"/>
            <w:tcBorders>
              <w:top w:val="single" w:sz="4" w:space="0" w:color="auto"/>
              <w:bottom w:val="single" w:sz="4" w:space="0" w:color="auto"/>
            </w:tcBorders>
            <w:vAlign w:val="center"/>
          </w:tcPr>
          <w:p w14:paraId="00F02658" w14:textId="77777777" w:rsidR="0047103A" w:rsidRPr="001B7431" w:rsidRDefault="0047103A" w:rsidP="0047103A">
            <w:pPr>
              <w:spacing w:before="20" w:after="20"/>
              <w:ind w:left="34"/>
              <w:jc w:val="right"/>
              <w:rPr>
                <w:rFonts w:eastAsiaTheme="minorEastAsia"/>
                <w:b/>
                <w:sz w:val="16"/>
                <w:szCs w:val="16"/>
                <w:lang w:eastAsia="en-US"/>
              </w:rPr>
            </w:pPr>
            <w:r w:rsidRPr="001B7431">
              <w:rPr>
                <w:rFonts w:eastAsiaTheme="minorEastAsia"/>
                <w:b/>
                <w:sz w:val="16"/>
                <w:szCs w:val="16"/>
                <w:lang w:eastAsia="en-US"/>
              </w:rPr>
              <w:t>%</w:t>
            </w:r>
          </w:p>
        </w:tc>
        <w:tc>
          <w:tcPr>
            <w:tcW w:w="993" w:type="dxa"/>
            <w:tcBorders>
              <w:top w:val="single" w:sz="4" w:space="0" w:color="auto"/>
              <w:bottom w:val="single" w:sz="4" w:space="0" w:color="auto"/>
              <w:right w:val="single" w:sz="4" w:space="0" w:color="auto"/>
            </w:tcBorders>
            <w:vAlign w:val="center"/>
          </w:tcPr>
          <w:p w14:paraId="17FBA310" w14:textId="77777777" w:rsidR="0047103A" w:rsidRPr="001B7431" w:rsidRDefault="0047103A" w:rsidP="0047103A">
            <w:pPr>
              <w:spacing w:before="20" w:after="20"/>
              <w:ind w:left="34"/>
              <w:jc w:val="right"/>
              <w:rPr>
                <w:rFonts w:eastAsiaTheme="minorEastAsia"/>
                <w:b/>
                <w:sz w:val="16"/>
                <w:szCs w:val="16"/>
                <w:lang w:eastAsia="en-US"/>
              </w:rPr>
            </w:pPr>
            <w:r w:rsidRPr="001B7431">
              <w:rPr>
                <w:rFonts w:eastAsiaTheme="minorEastAsia"/>
                <w:b/>
                <w:sz w:val="16"/>
                <w:szCs w:val="16"/>
                <w:lang w:eastAsia="en-US"/>
              </w:rPr>
              <w:t>(95% CI)</w:t>
            </w:r>
          </w:p>
        </w:tc>
        <w:tc>
          <w:tcPr>
            <w:tcW w:w="567" w:type="dxa"/>
            <w:tcBorders>
              <w:top w:val="single" w:sz="4" w:space="0" w:color="auto"/>
              <w:left w:val="single" w:sz="4" w:space="0" w:color="auto"/>
              <w:bottom w:val="single" w:sz="4" w:space="0" w:color="auto"/>
            </w:tcBorders>
            <w:vAlign w:val="center"/>
          </w:tcPr>
          <w:p w14:paraId="2BAB4CEB" w14:textId="77777777" w:rsidR="0047103A" w:rsidRPr="001B7431" w:rsidRDefault="0047103A" w:rsidP="0047103A">
            <w:pPr>
              <w:spacing w:before="20" w:after="20"/>
              <w:ind w:left="34"/>
              <w:jc w:val="right"/>
              <w:rPr>
                <w:rFonts w:eastAsiaTheme="minorEastAsia"/>
                <w:b/>
                <w:sz w:val="16"/>
                <w:szCs w:val="16"/>
                <w:lang w:eastAsia="en-US"/>
              </w:rPr>
            </w:pPr>
            <w:r w:rsidRPr="001B7431">
              <w:rPr>
                <w:rFonts w:eastAsiaTheme="minorEastAsia"/>
                <w:b/>
                <w:sz w:val="16"/>
                <w:szCs w:val="16"/>
                <w:lang w:eastAsia="en-US"/>
              </w:rPr>
              <w:t>n</w:t>
            </w:r>
          </w:p>
        </w:tc>
        <w:tc>
          <w:tcPr>
            <w:tcW w:w="567" w:type="dxa"/>
            <w:tcBorders>
              <w:top w:val="single" w:sz="4" w:space="0" w:color="auto"/>
              <w:bottom w:val="single" w:sz="4" w:space="0" w:color="auto"/>
            </w:tcBorders>
            <w:vAlign w:val="center"/>
          </w:tcPr>
          <w:p w14:paraId="65B2A9E0" w14:textId="77777777" w:rsidR="0047103A" w:rsidRPr="001B7431" w:rsidRDefault="0047103A" w:rsidP="0047103A">
            <w:pPr>
              <w:spacing w:before="20" w:after="20"/>
              <w:ind w:left="34"/>
              <w:jc w:val="right"/>
              <w:rPr>
                <w:rFonts w:eastAsiaTheme="minorEastAsia"/>
                <w:b/>
                <w:sz w:val="16"/>
                <w:szCs w:val="16"/>
                <w:lang w:eastAsia="en-US"/>
              </w:rPr>
            </w:pPr>
            <w:r w:rsidRPr="001B7431">
              <w:rPr>
                <w:rFonts w:eastAsiaTheme="minorEastAsia"/>
                <w:b/>
                <w:sz w:val="16"/>
                <w:szCs w:val="16"/>
                <w:lang w:eastAsia="en-US"/>
              </w:rPr>
              <w:t>%</w:t>
            </w:r>
          </w:p>
        </w:tc>
        <w:tc>
          <w:tcPr>
            <w:tcW w:w="992" w:type="dxa"/>
            <w:tcBorders>
              <w:top w:val="single" w:sz="4" w:space="0" w:color="auto"/>
              <w:bottom w:val="single" w:sz="4" w:space="0" w:color="auto"/>
              <w:right w:val="single" w:sz="4" w:space="0" w:color="auto"/>
            </w:tcBorders>
            <w:vAlign w:val="center"/>
          </w:tcPr>
          <w:p w14:paraId="122BD80C" w14:textId="77777777" w:rsidR="0047103A" w:rsidRPr="001B7431" w:rsidRDefault="0047103A" w:rsidP="0047103A">
            <w:pPr>
              <w:spacing w:before="20" w:after="20"/>
              <w:ind w:left="34"/>
              <w:jc w:val="right"/>
              <w:rPr>
                <w:rFonts w:eastAsiaTheme="minorEastAsia"/>
                <w:b/>
                <w:sz w:val="16"/>
                <w:szCs w:val="16"/>
                <w:lang w:eastAsia="en-US"/>
              </w:rPr>
            </w:pPr>
            <w:r w:rsidRPr="001B7431">
              <w:rPr>
                <w:rFonts w:eastAsiaTheme="minorEastAsia"/>
                <w:b/>
                <w:sz w:val="16"/>
                <w:szCs w:val="16"/>
                <w:lang w:eastAsia="en-US"/>
              </w:rPr>
              <w:t>(95% CI)</w:t>
            </w:r>
          </w:p>
        </w:tc>
        <w:tc>
          <w:tcPr>
            <w:tcW w:w="567" w:type="dxa"/>
            <w:tcBorders>
              <w:top w:val="single" w:sz="4" w:space="0" w:color="auto"/>
              <w:left w:val="single" w:sz="4" w:space="0" w:color="auto"/>
              <w:bottom w:val="single" w:sz="4" w:space="0" w:color="auto"/>
            </w:tcBorders>
            <w:vAlign w:val="center"/>
          </w:tcPr>
          <w:p w14:paraId="370C021A" w14:textId="77777777" w:rsidR="0047103A" w:rsidRPr="001B7431" w:rsidRDefault="0047103A" w:rsidP="0047103A">
            <w:pPr>
              <w:spacing w:before="20" w:after="20"/>
              <w:ind w:left="34"/>
              <w:jc w:val="right"/>
              <w:rPr>
                <w:rFonts w:eastAsiaTheme="minorEastAsia"/>
                <w:b/>
                <w:sz w:val="16"/>
                <w:szCs w:val="16"/>
                <w:lang w:eastAsia="en-US"/>
              </w:rPr>
            </w:pPr>
            <w:r w:rsidRPr="001B7431">
              <w:rPr>
                <w:rFonts w:eastAsiaTheme="minorEastAsia"/>
                <w:b/>
                <w:sz w:val="16"/>
                <w:szCs w:val="16"/>
                <w:lang w:eastAsia="en-US"/>
              </w:rPr>
              <w:t>n</w:t>
            </w:r>
          </w:p>
        </w:tc>
        <w:tc>
          <w:tcPr>
            <w:tcW w:w="567" w:type="dxa"/>
            <w:tcBorders>
              <w:top w:val="single" w:sz="4" w:space="0" w:color="auto"/>
              <w:bottom w:val="single" w:sz="4" w:space="0" w:color="auto"/>
            </w:tcBorders>
            <w:vAlign w:val="center"/>
          </w:tcPr>
          <w:p w14:paraId="62B96CB2" w14:textId="77777777" w:rsidR="0047103A" w:rsidRPr="001B7431" w:rsidRDefault="0047103A" w:rsidP="0047103A">
            <w:pPr>
              <w:spacing w:before="20" w:after="20"/>
              <w:ind w:left="34"/>
              <w:jc w:val="right"/>
              <w:rPr>
                <w:rFonts w:eastAsiaTheme="minorEastAsia"/>
                <w:b/>
                <w:sz w:val="16"/>
                <w:szCs w:val="16"/>
                <w:lang w:eastAsia="en-US"/>
              </w:rPr>
            </w:pPr>
            <w:r w:rsidRPr="001B7431">
              <w:rPr>
                <w:rFonts w:eastAsiaTheme="minorEastAsia"/>
                <w:b/>
                <w:sz w:val="16"/>
                <w:szCs w:val="16"/>
                <w:lang w:eastAsia="en-US"/>
              </w:rPr>
              <w:t>%</w:t>
            </w:r>
          </w:p>
        </w:tc>
        <w:tc>
          <w:tcPr>
            <w:tcW w:w="992" w:type="dxa"/>
            <w:tcBorders>
              <w:top w:val="single" w:sz="4" w:space="0" w:color="auto"/>
              <w:bottom w:val="single" w:sz="4" w:space="0" w:color="auto"/>
              <w:right w:val="single" w:sz="4" w:space="0" w:color="auto"/>
            </w:tcBorders>
            <w:vAlign w:val="center"/>
          </w:tcPr>
          <w:p w14:paraId="7E8BCCEA" w14:textId="77777777" w:rsidR="0047103A" w:rsidRPr="001B7431" w:rsidRDefault="0047103A" w:rsidP="0047103A">
            <w:pPr>
              <w:spacing w:before="20" w:after="20"/>
              <w:ind w:left="34"/>
              <w:jc w:val="right"/>
              <w:rPr>
                <w:rFonts w:eastAsiaTheme="minorEastAsia"/>
                <w:b/>
                <w:sz w:val="16"/>
                <w:szCs w:val="16"/>
                <w:lang w:eastAsia="en-US"/>
              </w:rPr>
            </w:pPr>
            <w:r w:rsidRPr="001B7431">
              <w:rPr>
                <w:rFonts w:eastAsiaTheme="minorEastAsia"/>
                <w:b/>
                <w:sz w:val="16"/>
                <w:szCs w:val="16"/>
                <w:lang w:eastAsia="en-US"/>
              </w:rPr>
              <w:t>(95% CI)</w:t>
            </w:r>
          </w:p>
        </w:tc>
        <w:tc>
          <w:tcPr>
            <w:tcW w:w="536" w:type="dxa"/>
            <w:tcBorders>
              <w:top w:val="single" w:sz="4" w:space="0" w:color="auto"/>
              <w:left w:val="single" w:sz="4" w:space="0" w:color="auto"/>
              <w:bottom w:val="single" w:sz="4" w:space="0" w:color="auto"/>
            </w:tcBorders>
            <w:vAlign w:val="center"/>
          </w:tcPr>
          <w:p w14:paraId="54412E8F" w14:textId="77777777" w:rsidR="0047103A" w:rsidRPr="001B7431" w:rsidRDefault="0047103A" w:rsidP="0047103A">
            <w:pPr>
              <w:spacing w:before="20" w:after="20"/>
              <w:ind w:left="34"/>
              <w:jc w:val="right"/>
              <w:rPr>
                <w:rFonts w:eastAsiaTheme="minorEastAsia"/>
                <w:b/>
                <w:sz w:val="16"/>
                <w:szCs w:val="16"/>
                <w:lang w:eastAsia="en-US"/>
              </w:rPr>
            </w:pPr>
            <w:r w:rsidRPr="001B7431">
              <w:rPr>
                <w:rFonts w:eastAsiaTheme="minorEastAsia"/>
                <w:b/>
                <w:sz w:val="16"/>
                <w:szCs w:val="16"/>
                <w:lang w:eastAsia="en-US"/>
              </w:rPr>
              <w:t>n</w:t>
            </w:r>
          </w:p>
        </w:tc>
        <w:tc>
          <w:tcPr>
            <w:tcW w:w="567" w:type="dxa"/>
            <w:tcBorders>
              <w:top w:val="single" w:sz="4" w:space="0" w:color="auto"/>
              <w:bottom w:val="single" w:sz="4" w:space="0" w:color="auto"/>
            </w:tcBorders>
            <w:vAlign w:val="center"/>
          </w:tcPr>
          <w:p w14:paraId="63A40009" w14:textId="77777777" w:rsidR="0047103A" w:rsidRPr="001B7431" w:rsidRDefault="0047103A" w:rsidP="0047103A">
            <w:pPr>
              <w:spacing w:before="20" w:after="20"/>
              <w:ind w:left="34"/>
              <w:jc w:val="right"/>
              <w:rPr>
                <w:rFonts w:eastAsiaTheme="minorEastAsia"/>
                <w:b/>
                <w:sz w:val="16"/>
                <w:szCs w:val="16"/>
                <w:lang w:eastAsia="en-US"/>
              </w:rPr>
            </w:pPr>
            <w:r w:rsidRPr="001B7431">
              <w:rPr>
                <w:rFonts w:eastAsiaTheme="minorEastAsia"/>
                <w:b/>
                <w:sz w:val="16"/>
                <w:szCs w:val="16"/>
                <w:lang w:eastAsia="en-US"/>
              </w:rPr>
              <w:t>%</w:t>
            </w:r>
          </w:p>
        </w:tc>
        <w:tc>
          <w:tcPr>
            <w:tcW w:w="1023" w:type="dxa"/>
            <w:tcBorders>
              <w:top w:val="single" w:sz="4" w:space="0" w:color="auto"/>
              <w:bottom w:val="single" w:sz="4" w:space="0" w:color="auto"/>
            </w:tcBorders>
            <w:vAlign w:val="center"/>
          </w:tcPr>
          <w:p w14:paraId="25A23C2D" w14:textId="77777777" w:rsidR="0047103A" w:rsidRPr="001B7431" w:rsidRDefault="0047103A" w:rsidP="0047103A">
            <w:pPr>
              <w:spacing w:before="20" w:after="20"/>
              <w:ind w:left="34"/>
              <w:jc w:val="right"/>
              <w:rPr>
                <w:rFonts w:eastAsiaTheme="minorEastAsia"/>
                <w:b/>
                <w:sz w:val="16"/>
                <w:szCs w:val="16"/>
                <w:lang w:eastAsia="en-US"/>
              </w:rPr>
            </w:pPr>
            <w:r w:rsidRPr="001B7431">
              <w:rPr>
                <w:rFonts w:eastAsiaTheme="minorEastAsia"/>
                <w:b/>
                <w:sz w:val="16"/>
                <w:szCs w:val="16"/>
                <w:lang w:eastAsia="en-US"/>
              </w:rPr>
              <w:t>(95% CI)</w:t>
            </w:r>
          </w:p>
        </w:tc>
      </w:tr>
      <w:tr w:rsidR="0047103A" w:rsidRPr="007B4EF8" w14:paraId="7C2ED3E4" w14:textId="77777777" w:rsidTr="00B56B65">
        <w:trPr>
          <w:jc w:val="center"/>
        </w:trPr>
        <w:tc>
          <w:tcPr>
            <w:tcW w:w="4179" w:type="dxa"/>
            <w:gridSpan w:val="2"/>
            <w:tcBorders>
              <w:top w:val="single" w:sz="4" w:space="0" w:color="auto"/>
            </w:tcBorders>
            <w:vAlign w:val="center"/>
          </w:tcPr>
          <w:p w14:paraId="6F1666A0" w14:textId="77777777" w:rsidR="0047103A" w:rsidRPr="00E7746B" w:rsidRDefault="0047103A" w:rsidP="005B7477">
            <w:pPr>
              <w:spacing w:before="20" w:after="20"/>
              <w:rPr>
                <w:rFonts w:eastAsiaTheme="minorEastAsia"/>
                <w:b/>
                <w:sz w:val="16"/>
                <w:szCs w:val="16"/>
                <w:lang w:eastAsia="en-US"/>
              </w:rPr>
            </w:pPr>
            <w:r>
              <w:rPr>
                <w:rFonts w:eastAsiaTheme="minorEastAsia"/>
                <w:b/>
                <w:sz w:val="16"/>
                <w:szCs w:val="16"/>
                <w:lang w:eastAsia="en-US"/>
              </w:rPr>
              <w:t xml:space="preserve">Number of </w:t>
            </w:r>
            <w:r w:rsidR="005B7477">
              <w:rPr>
                <w:rFonts w:eastAsiaTheme="minorEastAsia"/>
                <w:b/>
                <w:sz w:val="16"/>
                <w:szCs w:val="16"/>
                <w:lang w:eastAsia="en-US"/>
              </w:rPr>
              <w:t>major</w:t>
            </w:r>
            <w:r>
              <w:rPr>
                <w:rFonts w:eastAsiaTheme="minorEastAsia"/>
                <w:b/>
                <w:sz w:val="16"/>
                <w:szCs w:val="16"/>
                <w:lang w:eastAsia="en-US"/>
              </w:rPr>
              <w:t xml:space="preserve"> life events</w:t>
            </w:r>
          </w:p>
        </w:tc>
        <w:tc>
          <w:tcPr>
            <w:tcW w:w="597" w:type="dxa"/>
            <w:tcBorders>
              <w:top w:val="single" w:sz="4" w:space="0" w:color="auto"/>
            </w:tcBorders>
            <w:vAlign w:val="center"/>
          </w:tcPr>
          <w:p w14:paraId="496C03AE" w14:textId="77777777" w:rsidR="0047103A" w:rsidRDefault="0047103A" w:rsidP="00B56B65">
            <w:pPr>
              <w:spacing w:before="20" w:after="20"/>
              <w:jc w:val="right"/>
              <w:rPr>
                <w:color w:val="000000"/>
                <w:sz w:val="16"/>
                <w:szCs w:val="16"/>
                <w:lang w:eastAsia="en-NZ"/>
              </w:rPr>
            </w:pPr>
          </w:p>
        </w:tc>
        <w:tc>
          <w:tcPr>
            <w:tcW w:w="567" w:type="dxa"/>
            <w:tcBorders>
              <w:top w:val="single" w:sz="4" w:space="0" w:color="auto"/>
            </w:tcBorders>
            <w:vAlign w:val="center"/>
          </w:tcPr>
          <w:p w14:paraId="4FD61848" w14:textId="77777777" w:rsidR="0047103A" w:rsidRDefault="0047103A" w:rsidP="00B56B65">
            <w:pPr>
              <w:spacing w:before="20" w:after="20"/>
              <w:jc w:val="right"/>
              <w:rPr>
                <w:color w:val="000000"/>
                <w:sz w:val="16"/>
                <w:szCs w:val="16"/>
              </w:rPr>
            </w:pPr>
          </w:p>
        </w:tc>
        <w:tc>
          <w:tcPr>
            <w:tcW w:w="993" w:type="dxa"/>
            <w:tcBorders>
              <w:top w:val="single" w:sz="4" w:space="0" w:color="auto"/>
              <w:right w:val="single" w:sz="4" w:space="0" w:color="auto"/>
            </w:tcBorders>
            <w:vAlign w:val="center"/>
          </w:tcPr>
          <w:p w14:paraId="636E557A" w14:textId="77777777" w:rsidR="0047103A" w:rsidRDefault="0047103A" w:rsidP="00B56B65">
            <w:pPr>
              <w:spacing w:before="20" w:after="20"/>
              <w:jc w:val="right"/>
              <w:rPr>
                <w:color w:val="000000"/>
                <w:sz w:val="16"/>
                <w:szCs w:val="16"/>
              </w:rPr>
            </w:pPr>
          </w:p>
        </w:tc>
        <w:tc>
          <w:tcPr>
            <w:tcW w:w="567" w:type="dxa"/>
            <w:tcBorders>
              <w:top w:val="single" w:sz="4" w:space="0" w:color="auto"/>
              <w:left w:val="single" w:sz="4" w:space="0" w:color="auto"/>
            </w:tcBorders>
            <w:vAlign w:val="center"/>
          </w:tcPr>
          <w:p w14:paraId="1AD20290" w14:textId="77777777" w:rsidR="0047103A" w:rsidRDefault="0047103A" w:rsidP="00B56B65">
            <w:pPr>
              <w:spacing w:before="20" w:after="20"/>
              <w:jc w:val="right"/>
              <w:rPr>
                <w:color w:val="000000"/>
                <w:sz w:val="16"/>
                <w:szCs w:val="16"/>
              </w:rPr>
            </w:pPr>
          </w:p>
        </w:tc>
        <w:tc>
          <w:tcPr>
            <w:tcW w:w="567" w:type="dxa"/>
            <w:tcBorders>
              <w:top w:val="single" w:sz="4" w:space="0" w:color="auto"/>
            </w:tcBorders>
            <w:vAlign w:val="center"/>
          </w:tcPr>
          <w:p w14:paraId="05B90E9B" w14:textId="77777777" w:rsidR="0047103A" w:rsidRDefault="0047103A" w:rsidP="00B56B65">
            <w:pPr>
              <w:spacing w:before="20" w:after="20"/>
              <w:jc w:val="right"/>
              <w:rPr>
                <w:color w:val="000000"/>
                <w:sz w:val="16"/>
                <w:szCs w:val="16"/>
              </w:rPr>
            </w:pPr>
          </w:p>
        </w:tc>
        <w:tc>
          <w:tcPr>
            <w:tcW w:w="992" w:type="dxa"/>
            <w:tcBorders>
              <w:top w:val="single" w:sz="4" w:space="0" w:color="auto"/>
              <w:right w:val="single" w:sz="4" w:space="0" w:color="auto"/>
            </w:tcBorders>
            <w:vAlign w:val="center"/>
          </w:tcPr>
          <w:p w14:paraId="2771FDF1" w14:textId="77777777" w:rsidR="0047103A" w:rsidRDefault="0047103A" w:rsidP="00B56B65">
            <w:pPr>
              <w:spacing w:before="20" w:after="20"/>
              <w:jc w:val="right"/>
              <w:rPr>
                <w:color w:val="000000"/>
                <w:sz w:val="16"/>
                <w:szCs w:val="16"/>
              </w:rPr>
            </w:pPr>
          </w:p>
        </w:tc>
        <w:tc>
          <w:tcPr>
            <w:tcW w:w="567" w:type="dxa"/>
            <w:tcBorders>
              <w:top w:val="single" w:sz="4" w:space="0" w:color="auto"/>
              <w:left w:val="single" w:sz="4" w:space="0" w:color="auto"/>
            </w:tcBorders>
            <w:vAlign w:val="center"/>
          </w:tcPr>
          <w:p w14:paraId="5B27D1C7" w14:textId="77777777" w:rsidR="0047103A" w:rsidRDefault="0047103A" w:rsidP="00B56B65">
            <w:pPr>
              <w:spacing w:before="20" w:after="20"/>
              <w:jc w:val="right"/>
              <w:rPr>
                <w:color w:val="000000"/>
                <w:sz w:val="16"/>
                <w:szCs w:val="16"/>
              </w:rPr>
            </w:pPr>
          </w:p>
        </w:tc>
        <w:tc>
          <w:tcPr>
            <w:tcW w:w="567" w:type="dxa"/>
            <w:tcBorders>
              <w:top w:val="single" w:sz="4" w:space="0" w:color="auto"/>
            </w:tcBorders>
            <w:vAlign w:val="center"/>
          </w:tcPr>
          <w:p w14:paraId="21A7A738" w14:textId="77777777" w:rsidR="0047103A" w:rsidRDefault="0047103A" w:rsidP="00B56B65">
            <w:pPr>
              <w:spacing w:before="20" w:after="20"/>
              <w:jc w:val="right"/>
              <w:rPr>
                <w:color w:val="000000"/>
                <w:sz w:val="16"/>
                <w:szCs w:val="16"/>
              </w:rPr>
            </w:pPr>
          </w:p>
        </w:tc>
        <w:tc>
          <w:tcPr>
            <w:tcW w:w="992" w:type="dxa"/>
            <w:tcBorders>
              <w:top w:val="single" w:sz="4" w:space="0" w:color="auto"/>
              <w:right w:val="single" w:sz="4" w:space="0" w:color="auto"/>
            </w:tcBorders>
            <w:vAlign w:val="center"/>
          </w:tcPr>
          <w:p w14:paraId="37C6E6B6" w14:textId="77777777" w:rsidR="0047103A" w:rsidRDefault="0047103A" w:rsidP="00B56B65">
            <w:pPr>
              <w:spacing w:before="20" w:after="20"/>
              <w:jc w:val="right"/>
              <w:rPr>
                <w:color w:val="000000"/>
                <w:sz w:val="16"/>
                <w:szCs w:val="16"/>
              </w:rPr>
            </w:pPr>
          </w:p>
        </w:tc>
        <w:tc>
          <w:tcPr>
            <w:tcW w:w="536" w:type="dxa"/>
            <w:tcBorders>
              <w:top w:val="single" w:sz="4" w:space="0" w:color="auto"/>
              <w:left w:val="single" w:sz="4" w:space="0" w:color="auto"/>
            </w:tcBorders>
            <w:vAlign w:val="center"/>
          </w:tcPr>
          <w:p w14:paraId="648DA603" w14:textId="77777777" w:rsidR="0047103A" w:rsidRDefault="0047103A" w:rsidP="00B56B65">
            <w:pPr>
              <w:spacing w:before="20" w:after="20"/>
              <w:jc w:val="right"/>
              <w:rPr>
                <w:color w:val="000000"/>
                <w:sz w:val="16"/>
                <w:szCs w:val="16"/>
              </w:rPr>
            </w:pPr>
          </w:p>
        </w:tc>
        <w:tc>
          <w:tcPr>
            <w:tcW w:w="567" w:type="dxa"/>
            <w:tcBorders>
              <w:top w:val="single" w:sz="4" w:space="0" w:color="auto"/>
            </w:tcBorders>
            <w:vAlign w:val="center"/>
          </w:tcPr>
          <w:p w14:paraId="2926AF63" w14:textId="77777777" w:rsidR="0047103A" w:rsidRDefault="0047103A" w:rsidP="00B56B65">
            <w:pPr>
              <w:spacing w:before="20" w:after="20"/>
              <w:jc w:val="right"/>
              <w:rPr>
                <w:color w:val="000000"/>
                <w:sz w:val="16"/>
                <w:szCs w:val="16"/>
              </w:rPr>
            </w:pPr>
          </w:p>
        </w:tc>
        <w:tc>
          <w:tcPr>
            <w:tcW w:w="1023" w:type="dxa"/>
            <w:tcBorders>
              <w:top w:val="single" w:sz="4" w:space="0" w:color="auto"/>
            </w:tcBorders>
            <w:vAlign w:val="center"/>
          </w:tcPr>
          <w:p w14:paraId="4C232AD4" w14:textId="77777777" w:rsidR="0047103A" w:rsidRDefault="0047103A" w:rsidP="00B56B65">
            <w:pPr>
              <w:spacing w:before="20" w:after="20"/>
              <w:jc w:val="right"/>
              <w:rPr>
                <w:color w:val="000000"/>
                <w:sz w:val="16"/>
                <w:szCs w:val="16"/>
              </w:rPr>
            </w:pPr>
          </w:p>
        </w:tc>
      </w:tr>
      <w:tr w:rsidR="00B56B65" w:rsidRPr="007B4EF8" w14:paraId="11BBD5A9" w14:textId="77777777" w:rsidTr="00826105">
        <w:trPr>
          <w:jc w:val="center"/>
        </w:trPr>
        <w:tc>
          <w:tcPr>
            <w:tcW w:w="2345" w:type="dxa"/>
            <w:shd w:val="clear" w:color="auto" w:fill="auto"/>
          </w:tcPr>
          <w:p w14:paraId="2B83B99B" w14:textId="77777777" w:rsidR="00B56B65" w:rsidRPr="00B56B65" w:rsidRDefault="00B56B65" w:rsidP="00B56B65">
            <w:pPr>
              <w:spacing w:before="20" w:after="20"/>
              <w:rPr>
                <w:sz w:val="16"/>
                <w:szCs w:val="16"/>
              </w:rPr>
            </w:pPr>
            <w:r w:rsidRPr="00B56B65">
              <w:rPr>
                <w:sz w:val="16"/>
                <w:szCs w:val="16"/>
              </w:rPr>
              <w:t>Non-problem gambler</w:t>
            </w:r>
          </w:p>
        </w:tc>
        <w:tc>
          <w:tcPr>
            <w:tcW w:w="1834" w:type="dxa"/>
            <w:shd w:val="clear" w:color="auto" w:fill="auto"/>
          </w:tcPr>
          <w:p w14:paraId="777438CF" w14:textId="77777777" w:rsidR="00B56B65" w:rsidRPr="00B56B65" w:rsidRDefault="00B56B65" w:rsidP="00B56B65">
            <w:pPr>
              <w:spacing w:before="20" w:after="20"/>
              <w:rPr>
                <w:sz w:val="16"/>
                <w:szCs w:val="16"/>
              </w:rPr>
            </w:pPr>
            <w:r w:rsidRPr="00B56B65">
              <w:rPr>
                <w:sz w:val="16"/>
                <w:szCs w:val="16"/>
              </w:rPr>
              <w:t>0</w:t>
            </w:r>
          </w:p>
        </w:tc>
        <w:tc>
          <w:tcPr>
            <w:tcW w:w="597" w:type="dxa"/>
            <w:shd w:val="clear" w:color="auto" w:fill="auto"/>
          </w:tcPr>
          <w:p w14:paraId="40B464AB" w14:textId="77777777" w:rsidR="00B56B65" w:rsidRPr="00B56B65" w:rsidRDefault="00B56B65" w:rsidP="00B56B65">
            <w:pPr>
              <w:spacing w:before="20" w:after="20"/>
              <w:jc w:val="right"/>
              <w:rPr>
                <w:sz w:val="16"/>
                <w:szCs w:val="16"/>
              </w:rPr>
            </w:pPr>
            <w:r w:rsidRPr="00B56B65">
              <w:rPr>
                <w:sz w:val="16"/>
                <w:szCs w:val="16"/>
              </w:rPr>
              <w:t>1227</w:t>
            </w:r>
          </w:p>
        </w:tc>
        <w:tc>
          <w:tcPr>
            <w:tcW w:w="567" w:type="dxa"/>
            <w:shd w:val="clear" w:color="auto" w:fill="auto"/>
          </w:tcPr>
          <w:p w14:paraId="6386DD8B" w14:textId="77777777" w:rsidR="00B56B65" w:rsidRPr="00B56B65" w:rsidRDefault="00B56B65" w:rsidP="00B56B65">
            <w:pPr>
              <w:spacing w:before="20" w:after="20"/>
              <w:jc w:val="right"/>
              <w:rPr>
                <w:sz w:val="16"/>
                <w:szCs w:val="16"/>
              </w:rPr>
            </w:pPr>
            <w:r w:rsidRPr="00B56B65">
              <w:rPr>
                <w:sz w:val="16"/>
                <w:szCs w:val="16"/>
              </w:rPr>
              <w:t>27.1</w:t>
            </w:r>
          </w:p>
        </w:tc>
        <w:tc>
          <w:tcPr>
            <w:tcW w:w="993" w:type="dxa"/>
            <w:tcBorders>
              <w:right w:val="single" w:sz="4" w:space="0" w:color="auto"/>
            </w:tcBorders>
            <w:shd w:val="clear" w:color="auto" w:fill="auto"/>
          </w:tcPr>
          <w:p w14:paraId="47EE0D24" w14:textId="77777777" w:rsidR="00B56B65" w:rsidRPr="00B56B65" w:rsidRDefault="00B56B65" w:rsidP="00B56B65">
            <w:pPr>
              <w:spacing w:before="20" w:after="20"/>
              <w:jc w:val="right"/>
              <w:rPr>
                <w:sz w:val="16"/>
                <w:szCs w:val="16"/>
              </w:rPr>
            </w:pPr>
            <w:r w:rsidRPr="00B56B65">
              <w:rPr>
                <w:sz w:val="16"/>
                <w:szCs w:val="16"/>
              </w:rPr>
              <w:t>(25.6, 28.6)</w:t>
            </w:r>
          </w:p>
        </w:tc>
        <w:tc>
          <w:tcPr>
            <w:tcW w:w="567" w:type="dxa"/>
            <w:tcBorders>
              <w:left w:val="single" w:sz="4" w:space="0" w:color="auto"/>
            </w:tcBorders>
            <w:shd w:val="clear" w:color="auto" w:fill="auto"/>
          </w:tcPr>
          <w:p w14:paraId="127AEA49" w14:textId="77777777" w:rsidR="00B56B65" w:rsidRPr="00B56B65" w:rsidRDefault="00B56B65" w:rsidP="00B56B65">
            <w:pPr>
              <w:spacing w:before="20" w:after="20"/>
              <w:jc w:val="right"/>
              <w:rPr>
                <w:sz w:val="16"/>
                <w:szCs w:val="16"/>
              </w:rPr>
            </w:pPr>
            <w:r w:rsidRPr="00B56B65">
              <w:rPr>
                <w:sz w:val="16"/>
                <w:szCs w:val="16"/>
              </w:rPr>
              <w:t>769</w:t>
            </w:r>
          </w:p>
        </w:tc>
        <w:tc>
          <w:tcPr>
            <w:tcW w:w="567" w:type="dxa"/>
            <w:shd w:val="clear" w:color="auto" w:fill="auto"/>
          </w:tcPr>
          <w:p w14:paraId="107A9B95" w14:textId="77777777" w:rsidR="00B56B65" w:rsidRPr="00B56B65" w:rsidRDefault="00B56B65" w:rsidP="00B56B65">
            <w:pPr>
              <w:spacing w:before="20" w:after="20"/>
              <w:jc w:val="right"/>
              <w:rPr>
                <w:sz w:val="16"/>
                <w:szCs w:val="16"/>
              </w:rPr>
            </w:pPr>
            <w:r w:rsidRPr="00B56B65">
              <w:rPr>
                <w:sz w:val="16"/>
                <w:szCs w:val="16"/>
              </w:rPr>
              <w:t>29.2</w:t>
            </w:r>
          </w:p>
        </w:tc>
        <w:tc>
          <w:tcPr>
            <w:tcW w:w="992" w:type="dxa"/>
            <w:tcBorders>
              <w:right w:val="single" w:sz="4" w:space="0" w:color="auto"/>
            </w:tcBorders>
            <w:shd w:val="clear" w:color="auto" w:fill="auto"/>
          </w:tcPr>
          <w:p w14:paraId="4AAF6B49" w14:textId="77777777" w:rsidR="00B56B65" w:rsidRPr="00B56B65" w:rsidRDefault="00B56B65" w:rsidP="00B56B65">
            <w:pPr>
              <w:spacing w:before="20" w:after="20"/>
              <w:jc w:val="right"/>
              <w:rPr>
                <w:sz w:val="16"/>
                <w:szCs w:val="16"/>
              </w:rPr>
            </w:pPr>
            <w:r w:rsidRPr="00B56B65">
              <w:rPr>
                <w:sz w:val="16"/>
                <w:szCs w:val="16"/>
              </w:rPr>
              <w:t>(27.2, 31.2)</w:t>
            </w:r>
          </w:p>
        </w:tc>
        <w:tc>
          <w:tcPr>
            <w:tcW w:w="567" w:type="dxa"/>
            <w:tcBorders>
              <w:left w:val="single" w:sz="4" w:space="0" w:color="auto"/>
            </w:tcBorders>
            <w:shd w:val="clear" w:color="auto" w:fill="auto"/>
          </w:tcPr>
          <w:p w14:paraId="46B3A649" w14:textId="77777777" w:rsidR="00B56B65" w:rsidRPr="00B56B65" w:rsidRDefault="00B56B65" w:rsidP="00B56B65">
            <w:pPr>
              <w:spacing w:before="20" w:after="20"/>
              <w:jc w:val="right"/>
              <w:rPr>
                <w:sz w:val="16"/>
                <w:szCs w:val="16"/>
              </w:rPr>
            </w:pPr>
            <w:r w:rsidRPr="00B56B65">
              <w:rPr>
                <w:sz w:val="16"/>
                <w:szCs w:val="16"/>
              </w:rPr>
              <w:t>665</w:t>
            </w:r>
          </w:p>
        </w:tc>
        <w:tc>
          <w:tcPr>
            <w:tcW w:w="567" w:type="dxa"/>
            <w:shd w:val="clear" w:color="auto" w:fill="auto"/>
          </w:tcPr>
          <w:p w14:paraId="74FF2565" w14:textId="77777777" w:rsidR="00B56B65" w:rsidRPr="00B56B65" w:rsidRDefault="00B56B65" w:rsidP="00B56B65">
            <w:pPr>
              <w:spacing w:before="20" w:after="20"/>
              <w:jc w:val="right"/>
              <w:rPr>
                <w:sz w:val="16"/>
                <w:szCs w:val="16"/>
              </w:rPr>
            </w:pPr>
            <w:r w:rsidRPr="00B56B65">
              <w:rPr>
                <w:sz w:val="16"/>
                <w:szCs w:val="16"/>
              </w:rPr>
              <w:t>30.4</w:t>
            </w:r>
          </w:p>
        </w:tc>
        <w:tc>
          <w:tcPr>
            <w:tcW w:w="992" w:type="dxa"/>
            <w:tcBorders>
              <w:right w:val="single" w:sz="4" w:space="0" w:color="auto"/>
            </w:tcBorders>
            <w:shd w:val="clear" w:color="auto" w:fill="auto"/>
          </w:tcPr>
          <w:p w14:paraId="7B4A7C96" w14:textId="77777777" w:rsidR="00B56B65" w:rsidRPr="00B56B65" w:rsidRDefault="00B56B65" w:rsidP="00B56B65">
            <w:pPr>
              <w:spacing w:before="20" w:after="20"/>
              <w:jc w:val="right"/>
              <w:rPr>
                <w:sz w:val="16"/>
                <w:szCs w:val="16"/>
              </w:rPr>
            </w:pPr>
            <w:r w:rsidRPr="00B56B65">
              <w:rPr>
                <w:sz w:val="16"/>
                <w:szCs w:val="16"/>
              </w:rPr>
              <w:t>(28.1, 32.7)</w:t>
            </w:r>
          </w:p>
        </w:tc>
        <w:tc>
          <w:tcPr>
            <w:tcW w:w="536" w:type="dxa"/>
            <w:tcBorders>
              <w:left w:val="single" w:sz="4" w:space="0" w:color="auto"/>
            </w:tcBorders>
            <w:shd w:val="clear" w:color="auto" w:fill="auto"/>
          </w:tcPr>
          <w:p w14:paraId="739A9215" w14:textId="77777777" w:rsidR="00B56B65" w:rsidRPr="00B56B65" w:rsidRDefault="00B56B65" w:rsidP="00B56B65">
            <w:pPr>
              <w:spacing w:before="20" w:after="20"/>
              <w:jc w:val="right"/>
              <w:rPr>
                <w:sz w:val="16"/>
                <w:szCs w:val="16"/>
              </w:rPr>
            </w:pPr>
            <w:r w:rsidRPr="00B56B65">
              <w:rPr>
                <w:sz w:val="16"/>
                <w:szCs w:val="16"/>
              </w:rPr>
              <w:t>594</w:t>
            </w:r>
          </w:p>
        </w:tc>
        <w:tc>
          <w:tcPr>
            <w:tcW w:w="567" w:type="dxa"/>
            <w:shd w:val="clear" w:color="auto" w:fill="auto"/>
          </w:tcPr>
          <w:p w14:paraId="0BE318C2" w14:textId="77777777" w:rsidR="00B56B65" w:rsidRPr="00B56B65" w:rsidRDefault="00B56B65" w:rsidP="00B56B65">
            <w:pPr>
              <w:spacing w:before="20" w:after="20"/>
              <w:jc w:val="right"/>
              <w:rPr>
                <w:sz w:val="16"/>
                <w:szCs w:val="16"/>
              </w:rPr>
            </w:pPr>
            <w:r w:rsidRPr="00B56B65">
              <w:rPr>
                <w:sz w:val="16"/>
                <w:szCs w:val="16"/>
              </w:rPr>
              <w:t>31.4</w:t>
            </w:r>
          </w:p>
        </w:tc>
        <w:tc>
          <w:tcPr>
            <w:tcW w:w="1023" w:type="dxa"/>
            <w:shd w:val="clear" w:color="auto" w:fill="auto"/>
          </w:tcPr>
          <w:p w14:paraId="223977F6" w14:textId="77777777" w:rsidR="00B56B65" w:rsidRPr="00B56B65" w:rsidRDefault="00B56B65" w:rsidP="00B56B65">
            <w:pPr>
              <w:spacing w:before="20" w:after="20"/>
              <w:jc w:val="right"/>
              <w:rPr>
                <w:sz w:val="16"/>
                <w:szCs w:val="16"/>
              </w:rPr>
            </w:pPr>
            <w:r w:rsidRPr="00B56B65">
              <w:rPr>
                <w:sz w:val="16"/>
                <w:szCs w:val="16"/>
              </w:rPr>
              <w:t>(28.8, 34.1)</w:t>
            </w:r>
          </w:p>
        </w:tc>
      </w:tr>
      <w:tr w:rsidR="00B56B65" w:rsidRPr="007B4EF8" w14:paraId="374DE034" w14:textId="77777777" w:rsidTr="00826105">
        <w:trPr>
          <w:jc w:val="center"/>
        </w:trPr>
        <w:tc>
          <w:tcPr>
            <w:tcW w:w="2345" w:type="dxa"/>
            <w:shd w:val="clear" w:color="auto" w:fill="auto"/>
          </w:tcPr>
          <w:p w14:paraId="6E007E32" w14:textId="77777777" w:rsidR="00B56B65" w:rsidRPr="00B56B65" w:rsidRDefault="00B56B65" w:rsidP="00B56B65">
            <w:pPr>
              <w:spacing w:before="20" w:after="20"/>
              <w:rPr>
                <w:sz w:val="16"/>
                <w:szCs w:val="16"/>
              </w:rPr>
            </w:pPr>
          </w:p>
        </w:tc>
        <w:tc>
          <w:tcPr>
            <w:tcW w:w="1834" w:type="dxa"/>
            <w:shd w:val="clear" w:color="auto" w:fill="auto"/>
          </w:tcPr>
          <w:p w14:paraId="23F64126" w14:textId="77777777" w:rsidR="00B56B65" w:rsidRPr="00B56B65" w:rsidRDefault="00B56B65" w:rsidP="00B56B65">
            <w:pPr>
              <w:spacing w:before="20" w:after="20"/>
              <w:rPr>
                <w:sz w:val="16"/>
                <w:szCs w:val="16"/>
              </w:rPr>
            </w:pPr>
            <w:r w:rsidRPr="00B56B65">
              <w:rPr>
                <w:sz w:val="16"/>
                <w:szCs w:val="16"/>
              </w:rPr>
              <w:t>1</w:t>
            </w:r>
          </w:p>
        </w:tc>
        <w:tc>
          <w:tcPr>
            <w:tcW w:w="597" w:type="dxa"/>
            <w:shd w:val="clear" w:color="auto" w:fill="auto"/>
          </w:tcPr>
          <w:p w14:paraId="392E0162" w14:textId="77777777" w:rsidR="00B56B65" w:rsidRPr="00B56B65" w:rsidRDefault="00B56B65" w:rsidP="00B56B65">
            <w:pPr>
              <w:spacing w:before="20" w:after="20"/>
              <w:jc w:val="right"/>
              <w:rPr>
                <w:sz w:val="16"/>
                <w:szCs w:val="16"/>
              </w:rPr>
            </w:pPr>
            <w:r w:rsidRPr="00B56B65">
              <w:rPr>
                <w:sz w:val="16"/>
                <w:szCs w:val="16"/>
              </w:rPr>
              <w:t>1201</w:t>
            </w:r>
          </w:p>
        </w:tc>
        <w:tc>
          <w:tcPr>
            <w:tcW w:w="567" w:type="dxa"/>
            <w:shd w:val="clear" w:color="auto" w:fill="auto"/>
          </w:tcPr>
          <w:p w14:paraId="34F7D762" w14:textId="77777777" w:rsidR="00B56B65" w:rsidRPr="00B56B65" w:rsidRDefault="00B56B65" w:rsidP="00B56B65">
            <w:pPr>
              <w:spacing w:before="20" w:after="20"/>
              <w:jc w:val="right"/>
              <w:rPr>
                <w:sz w:val="16"/>
                <w:szCs w:val="16"/>
              </w:rPr>
            </w:pPr>
            <w:r w:rsidRPr="00B56B65">
              <w:rPr>
                <w:sz w:val="16"/>
                <w:szCs w:val="16"/>
              </w:rPr>
              <w:t>26.5</w:t>
            </w:r>
          </w:p>
        </w:tc>
        <w:tc>
          <w:tcPr>
            <w:tcW w:w="993" w:type="dxa"/>
            <w:tcBorders>
              <w:right w:val="single" w:sz="4" w:space="0" w:color="auto"/>
            </w:tcBorders>
            <w:shd w:val="clear" w:color="auto" w:fill="auto"/>
          </w:tcPr>
          <w:p w14:paraId="230E88B8" w14:textId="77777777" w:rsidR="00B56B65" w:rsidRPr="00B56B65" w:rsidRDefault="00B56B65" w:rsidP="00B56B65">
            <w:pPr>
              <w:spacing w:before="20" w:after="20"/>
              <w:jc w:val="right"/>
              <w:rPr>
                <w:sz w:val="16"/>
                <w:szCs w:val="16"/>
              </w:rPr>
            </w:pPr>
            <w:r w:rsidRPr="00B56B65">
              <w:rPr>
                <w:sz w:val="16"/>
                <w:szCs w:val="16"/>
              </w:rPr>
              <w:t>(25.0, 28.0)</w:t>
            </w:r>
          </w:p>
        </w:tc>
        <w:tc>
          <w:tcPr>
            <w:tcW w:w="567" w:type="dxa"/>
            <w:tcBorders>
              <w:left w:val="single" w:sz="4" w:space="0" w:color="auto"/>
            </w:tcBorders>
            <w:shd w:val="clear" w:color="auto" w:fill="auto"/>
          </w:tcPr>
          <w:p w14:paraId="7F9FC492" w14:textId="77777777" w:rsidR="00B56B65" w:rsidRPr="00B56B65" w:rsidRDefault="00B56B65" w:rsidP="00B56B65">
            <w:pPr>
              <w:spacing w:before="20" w:after="20"/>
              <w:jc w:val="right"/>
              <w:rPr>
                <w:sz w:val="16"/>
                <w:szCs w:val="16"/>
              </w:rPr>
            </w:pPr>
            <w:r w:rsidRPr="00B56B65">
              <w:rPr>
                <w:sz w:val="16"/>
                <w:szCs w:val="16"/>
              </w:rPr>
              <w:t>810</w:t>
            </w:r>
          </w:p>
        </w:tc>
        <w:tc>
          <w:tcPr>
            <w:tcW w:w="567" w:type="dxa"/>
            <w:shd w:val="clear" w:color="auto" w:fill="auto"/>
          </w:tcPr>
          <w:p w14:paraId="2F450B0D" w14:textId="77777777" w:rsidR="00B56B65" w:rsidRPr="00B56B65" w:rsidRDefault="00B56B65" w:rsidP="00B56B65">
            <w:pPr>
              <w:spacing w:before="20" w:after="20"/>
              <w:jc w:val="right"/>
              <w:rPr>
                <w:sz w:val="16"/>
                <w:szCs w:val="16"/>
              </w:rPr>
            </w:pPr>
            <w:r w:rsidRPr="00B56B65">
              <w:rPr>
                <w:sz w:val="16"/>
                <w:szCs w:val="16"/>
              </w:rPr>
              <w:t>30.8</w:t>
            </w:r>
          </w:p>
        </w:tc>
        <w:tc>
          <w:tcPr>
            <w:tcW w:w="992" w:type="dxa"/>
            <w:tcBorders>
              <w:right w:val="single" w:sz="4" w:space="0" w:color="auto"/>
            </w:tcBorders>
            <w:shd w:val="clear" w:color="auto" w:fill="auto"/>
          </w:tcPr>
          <w:p w14:paraId="06C5CEDD" w14:textId="77777777" w:rsidR="00B56B65" w:rsidRPr="00B56B65" w:rsidRDefault="00B56B65" w:rsidP="00B56B65">
            <w:pPr>
              <w:spacing w:before="20" w:after="20"/>
              <w:jc w:val="right"/>
              <w:rPr>
                <w:sz w:val="16"/>
                <w:szCs w:val="16"/>
              </w:rPr>
            </w:pPr>
            <w:r w:rsidRPr="00B56B65">
              <w:rPr>
                <w:sz w:val="16"/>
                <w:szCs w:val="16"/>
              </w:rPr>
              <w:t>(28.6, 32.9)</w:t>
            </w:r>
          </w:p>
        </w:tc>
        <w:tc>
          <w:tcPr>
            <w:tcW w:w="567" w:type="dxa"/>
            <w:tcBorders>
              <w:left w:val="single" w:sz="4" w:space="0" w:color="auto"/>
            </w:tcBorders>
            <w:shd w:val="clear" w:color="auto" w:fill="auto"/>
          </w:tcPr>
          <w:p w14:paraId="6D9D9F4B" w14:textId="77777777" w:rsidR="00B56B65" w:rsidRPr="00B56B65" w:rsidRDefault="00B56B65" w:rsidP="00B56B65">
            <w:pPr>
              <w:spacing w:before="20" w:after="20"/>
              <w:jc w:val="right"/>
              <w:rPr>
                <w:sz w:val="16"/>
                <w:szCs w:val="16"/>
              </w:rPr>
            </w:pPr>
            <w:r w:rsidRPr="00B56B65">
              <w:rPr>
                <w:sz w:val="16"/>
                <w:szCs w:val="16"/>
              </w:rPr>
              <w:t>621</w:t>
            </w:r>
          </w:p>
        </w:tc>
        <w:tc>
          <w:tcPr>
            <w:tcW w:w="567" w:type="dxa"/>
            <w:shd w:val="clear" w:color="auto" w:fill="auto"/>
          </w:tcPr>
          <w:p w14:paraId="52F4E420" w14:textId="77777777" w:rsidR="00B56B65" w:rsidRPr="00B56B65" w:rsidRDefault="00B56B65" w:rsidP="00B56B65">
            <w:pPr>
              <w:spacing w:before="20" w:after="20"/>
              <w:jc w:val="right"/>
              <w:rPr>
                <w:sz w:val="16"/>
                <w:szCs w:val="16"/>
              </w:rPr>
            </w:pPr>
            <w:r w:rsidRPr="00B56B65">
              <w:rPr>
                <w:sz w:val="16"/>
                <w:szCs w:val="16"/>
              </w:rPr>
              <w:t>28.4</w:t>
            </w:r>
          </w:p>
        </w:tc>
        <w:tc>
          <w:tcPr>
            <w:tcW w:w="992" w:type="dxa"/>
            <w:tcBorders>
              <w:right w:val="single" w:sz="4" w:space="0" w:color="auto"/>
            </w:tcBorders>
            <w:shd w:val="clear" w:color="auto" w:fill="auto"/>
          </w:tcPr>
          <w:p w14:paraId="17E07E69" w14:textId="77777777" w:rsidR="00B56B65" w:rsidRPr="00B56B65" w:rsidRDefault="00B56B65" w:rsidP="00B56B65">
            <w:pPr>
              <w:spacing w:before="20" w:after="20"/>
              <w:jc w:val="right"/>
              <w:rPr>
                <w:sz w:val="16"/>
                <w:szCs w:val="16"/>
              </w:rPr>
            </w:pPr>
            <w:r w:rsidRPr="00B56B65">
              <w:rPr>
                <w:sz w:val="16"/>
                <w:szCs w:val="16"/>
              </w:rPr>
              <w:t>(26.1, 30.6)</w:t>
            </w:r>
          </w:p>
        </w:tc>
        <w:tc>
          <w:tcPr>
            <w:tcW w:w="536" w:type="dxa"/>
            <w:tcBorders>
              <w:left w:val="single" w:sz="4" w:space="0" w:color="auto"/>
            </w:tcBorders>
            <w:shd w:val="clear" w:color="auto" w:fill="auto"/>
          </w:tcPr>
          <w:p w14:paraId="1A5E535F" w14:textId="77777777" w:rsidR="00B56B65" w:rsidRPr="00B56B65" w:rsidRDefault="00B56B65" w:rsidP="00B56B65">
            <w:pPr>
              <w:spacing w:before="20" w:after="20"/>
              <w:jc w:val="right"/>
              <w:rPr>
                <w:sz w:val="16"/>
                <w:szCs w:val="16"/>
              </w:rPr>
            </w:pPr>
            <w:r w:rsidRPr="00B56B65">
              <w:rPr>
                <w:sz w:val="16"/>
                <w:szCs w:val="16"/>
              </w:rPr>
              <w:t>561</w:t>
            </w:r>
          </w:p>
        </w:tc>
        <w:tc>
          <w:tcPr>
            <w:tcW w:w="567" w:type="dxa"/>
            <w:shd w:val="clear" w:color="auto" w:fill="auto"/>
          </w:tcPr>
          <w:p w14:paraId="2FB11318" w14:textId="77777777" w:rsidR="00B56B65" w:rsidRPr="00B56B65" w:rsidRDefault="00B56B65" w:rsidP="00B56B65">
            <w:pPr>
              <w:spacing w:before="20" w:after="20"/>
              <w:jc w:val="right"/>
              <w:rPr>
                <w:sz w:val="16"/>
                <w:szCs w:val="16"/>
              </w:rPr>
            </w:pPr>
            <w:r w:rsidRPr="00B56B65">
              <w:rPr>
                <w:sz w:val="16"/>
                <w:szCs w:val="16"/>
              </w:rPr>
              <w:t>29.7</w:t>
            </w:r>
          </w:p>
        </w:tc>
        <w:tc>
          <w:tcPr>
            <w:tcW w:w="1023" w:type="dxa"/>
            <w:shd w:val="clear" w:color="auto" w:fill="auto"/>
          </w:tcPr>
          <w:p w14:paraId="3736404F" w14:textId="77777777" w:rsidR="00B56B65" w:rsidRPr="00B56B65" w:rsidRDefault="00B56B65" w:rsidP="00B56B65">
            <w:pPr>
              <w:spacing w:before="20" w:after="20"/>
              <w:jc w:val="right"/>
              <w:rPr>
                <w:sz w:val="16"/>
                <w:szCs w:val="16"/>
              </w:rPr>
            </w:pPr>
            <w:r w:rsidRPr="00B56B65">
              <w:rPr>
                <w:sz w:val="16"/>
                <w:szCs w:val="16"/>
              </w:rPr>
              <w:t>(27.2, 32.1)</w:t>
            </w:r>
          </w:p>
        </w:tc>
      </w:tr>
      <w:tr w:rsidR="00B56B65" w:rsidRPr="007B4EF8" w14:paraId="35D21147" w14:textId="77777777" w:rsidTr="00826105">
        <w:trPr>
          <w:jc w:val="center"/>
        </w:trPr>
        <w:tc>
          <w:tcPr>
            <w:tcW w:w="2345" w:type="dxa"/>
            <w:shd w:val="clear" w:color="auto" w:fill="auto"/>
          </w:tcPr>
          <w:p w14:paraId="419F0BFF" w14:textId="77777777" w:rsidR="00B56B65" w:rsidRPr="00B56B65" w:rsidRDefault="00B56B65" w:rsidP="00B56B65">
            <w:pPr>
              <w:spacing w:before="20" w:after="20"/>
              <w:rPr>
                <w:sz w:val="16"/>
                <w:szCs w:val="16"/>
              </w:rPr>
            </w:pPr>
          </w:p>
        </w:tc>
        <w:tc>
          <w:tcPr>
            <w:tcW w:w="1834" w:type="dxa"/>
            <w:shd w:val="clear" w:color="auto" w:fill="auto"/>
          </w:tcPr>
          <w:p w14:paraId="0D9C1F10" w14:textId="77777777" w:rsidR="00B56B65" w:rsidRPr="00B56B65" w:rsidRDefault="00B56B65" w:rsidP="00B56B65">
            <w:pPr>
              <w:spacing w:before="20" w:after="20"/>
              <w:rPr>
                <w:sz w:val="16"/>
                <w:szCs w:val="16"/>
              </w:rPr>
            </w:pPr>
            <w:r w:rsidRPr="00B56B65">
              <w:rPr>
                <w:sz w:val="16"/>
                <w:szCs w:val="16"/>
              </w:rPr>
              <w:t>2</w:t>
            </w:r>
          </w:p>
        </w:tc>
        <w:tc>
          <w:tcPr>
            <w:tcW w:w="597" w:type="dxa"/>
            <w:shd w:val="clear" w:color="auto" w:fill="auto"/>
          </w:tcPr>
          <w:p w14:paraId="39607218" w14:textId="77777777" w:rsidR="00B56B65" w:rsidRPr="00B56B65" w:rsidRDefault="00B56B65" w:rsidP="00B56B65">
            <w:pPr>
              <w:spacing w:before="20" w:after="20"/>
              <w:jc w:val="right"/>
              <w:rPr>
                <w:sz w:val="16"/>
                <w:szCs w:val="16"/>
              </w:rPr>
            </w:pPr>
            <w:r w:rsidRPr="00B56B65">
              <w:rPr>
                <w:sz w:val="16"/>
                <w:szCs w:val="16"/>
              </w:rPr>
              <w:t>840</w:t>
            </w:r>
          </w:p>
        </w:tc>
        <w:tc>
          <w:tcPr>
            <w:tcW w:w="567" w:type="dxa"/>
            <w:shd w:val="clear" w:color="auto" w:fill="auto"/>
          </w:tcPr>
          <w:p w14:paraId="4405CEEC" w14:textId="77777777" w:rsidR="00B56B65" w:rsidRPr="00B56B65" w:rsidRDefault="00B56B65" w:rsidP="00B56B65">
            <w:pPr>
              <w:spacing w:before="20" w:after="20"/>
              <w:jc w:val="right"/>
              <w:rPr>
                <w:sz w:val="16"/>
                <w:szCs w:val="16"/>
              </w:rPr>
            </w:pPr>
            <w:r w:rsidRPr="00B56B65">
              <w:rPr>
                <w:sz w:val="16"/>
                <w:szCs w:val="16"/>
              </w:rPr>
              <w:t>18.5</w:t>
            </w:r>
          </w:p>
        </w:tc>
        <w:tc>
          <w:tcPr>
            <w:tcW w:w="993" w:type="dxa"/>
            <w:tcBorders>
              <w:right w:val="single" w:sz="4" w:space="0" w:color="auto"/>
            </w:tcBorders>
            <w:shd w:val="clear" w:color="auto" w:fill="auto"/>
          </w:tcPr>
          <w:p w14:paraId="2DE00329" w14:textId="77777777" w:rsidR="00B56B65" w:rsidRPr="00B56B65" w:rsidRDefault="00B56B65" w:rsidP="00B56B65">
            <w:pPr>
              <w:spacing w:before="20" w:after="20"/>
              <w:jc w:val="right"/>
              <w:rPr>
                <w:sz w:val="16"/>
                <w:szCs w:val="16"/>
              </w:rPr>
            </w:pPr>
            <w:r w:rsidRPr="00B56B65">
              <w:rPr>
                <w:sz w:val="16"/>
                <w:szCs w:val="16"/>
              </w:rPr>
              <w:t>(17.2, 19.9)</w:t>
            </w:r>
          </w:p>
        </w:tc>
        <w:tc>
          <w:tcPr>
            <w:tcW w:w="567" w:type="dxa"/>
            <w:tcBorders>
              <w:left w:val="single" w:sz="4" w:space="0" w:color="auto"/>
            </w:tcBorders>
            <w:shd w:val="clear" w:color="auto" w:fill="auto"/>
          </w:tcPr>
          <w:p w14:paraId="05E6040E" w14:textId="77777777" w:rsidR="00B56B65" w:rsidRPr="00B56B65" w:rsidRDefault="00B56B65" w:rsidP="00B56B65">
            <w:pPr>
              <w:spacing w:before="20" w:after="20"/>
              <w:jc w:val="right"/>
              <w:rPr>
                <w:sz w:val="16"/>
                <w:szCs w:val="16"/>
              </w:rPr>
            </w:pPr>
            <w:r w:rsidRPr="00B56B65">
              <w:rPr>
                <w:sz w:val="16"/>
                <w:szCs w:val="16"/>
              </w:rPr>
              <w:t>498</w:t>
            </w:r>
          </w:p>
        </w:tc>
        <w:tc>
          <w:tcPr>
            <w:tcW w:w="567" w:type="dxa"/>
            <w:shd w:val="clear" w:color="auto" w:fill="auto"/>
          </w:tcPr>
          <w:p w14:paraId="64363D7D" w14:textId="77777777" w:rsidR="00B56B65" w:rsidRPr="00B56B65" w:rsidRDefault="00B56B65" w:rsidP="00B56B65">
            <w:pPr>
              <w:spacing w:before="20" w:after="20"/>
              <w:jc w:val="right"/>
              <w:rPr>
                <w:sz w:val="16"/>
                <w:szCs w:val="16"/>
              </w:rPr>
            </w:pPr>
            <w:r w:rsidRPr="00B56B65">
              <w:rPr>
                <w:sz w:val="16"/>
                <w:szCs w:val="16"/>
              </w:rPr>
              <w:t>18.9</w:t>
            </w:r>
          </w:p>
        </w:tc>
        <w:tc>
          <w:tcPr>
            <w:tcW w:w="992" w:type="dxa"/>
            <w:tcBorders>
              <w:right w:val="single" w:sz="4" w:space="0" w:color="auto"/>
            </w:tcBorders>
            <w:shd w:val="clear" w:color="auto" w:fill="auto"/>
          </w:tcPr>
          <w:p w14:paraId="0FE1CB4A" w14:textId="77777777" w:rsidR="00B56B65" w:rsidRPr="00B56B65" w:rsidRDefault="00B56B65" w:rsidP="00B56B65">
            <w:pPr>
              <w:spacing w:before="20" w:after="20"/>
              <w:jc w:val="right"/>
              <w:rPr>
                <w:sz w:val="16"/>
                <w:szCs w:val="16"/>
              </w:rPr>
            </w:pPr>
            <w:r w:rsidRPr="00B56B65">
              <w:rPr>
                <w:sz w:val="16"/>
                <w:szCs w:val="16"/>
              </w:rPr>
              <w:t>(17.1, 20.7)</w:t>
            </w:r>
          </w:p>
        </w:tc>
        <w:tc>
          <w:tcPr>
            <w:tcW w:w="567" w:type="dxa"/>
            <w:tcBorders>
              <w:left w:val="single" w:sz="4" w:space="0" w:color="auto"/>
            </w:tcBorders>
            <w:shd w:val="clear" w:color="auto" w:fill="auto"/>
          </w:tcPr>
          <w:p w14:paraId="6440986B" w14:textId="77777777" w:rsidR="00B56B65" w:rsidRPr="00B56B65" w:rsidRDefault="00B56B65" w:rsidP="00B56B65">
            <w:pPr>
              <w:spacing w:before="20" w:after="20"/>
              <w:jc w:val="right"/>
              <w:rPr>
                <w:sz w:val="16"/>
                <w:szCs w:val="16"/>
              </w:rPr>
            </w:pPr>
            <w:r w:rsidRPr="00B56B65">
              <w:rPr>
                <w:sz w:val="16"/>
                <w:szCs w:val="16"/>
              </w:rPr>
              <w:t>418</w:t>
            </w:r>
          </w:p>
        </w:tc>
        <w:tc>
          <w:tcPr>
            <w:tcW w:w="567" w:type="dxa"/>
            <w:shd w:val="clear" w:color="auto" w:fill="auto"/>
          </w:tcPr>
          <w:p w14:paraId="1D24261A" w14:textId="77777777" w:rsidR="00B56B65" w:rsidRPr="00B56B65" w:rsidRDefault="00B56B65" w:rsidP="00B56B65">
            <w:pPr>
              <w:spacing w:before="20" w:after="20"/>
              <w:jc w:val="right"/>
              <w:rPr>
                <w:sz w:val="16"/>
                <w:szCs w:val="16"/>
              </w:rPr>
            </w:pPr>
            <w:r w:rsidRPr="00B56B65">
              <w:rPr>
                <w:sz w:val="16"/>
                <w:szCs w:val="16"/>
              </w:rPr>
              <w:t>19.1</w:t>
            </w:r>
          </w:p>
        </w:tc>
        <w:tc>
          <w:tcPr>
            <w:tcW w:w="992" w:type="dxa"/>
            <w:tcBorders>
              <w:right w:val="single" w:sz="4" w:space="0" w:color="auto"/>
            </w:tcBorders>
            <w:shd w:val="clear" w:color="auto" w:fill="auto"/>
          </w:tcPr>
          <w:p w14:paraId="0ED67623" w14:textId="77777777" w:rsidR="00B56B65" w:rsidRPr="00B56B65" w:rsidRDefault="00B56B65" w:rsidP="00B56B65">
            <w:pPr>
              <w:spacing w:before="20" w:after="20"/>
              <w:jc w:val="right"/>
              <w:rPr>
                <w:sz w:val="16"/>
                <w:szCs w:val="16"/>
              </w:rPr>
            </w:pPr>
            <w:r w:rsidRPr="00B56B65">
              <w:rPr>
                <w:sz w:val="16"/>
                <w:szCs w:val="16"/>
              </w:rPr>
              <w:t>(17.0, 21.2)</w:t>
            </w:r>
          </w:p>
        </w:tc>
        <w:tc>
          <w:tcPr>
            <w:tcW w:w="536" w:type="dxa"/>
            <w:tcBorders>
              <w:left w:val="single" w:sz="4" w:space="0" w:color="auto"/>
            </w:tcBorders>
            <w:shd w:val="clear" w:color="auto" w:fill="auto"/>
          </w:tcPr>
          <w:p w14:paraId="547EC327" w14:textId="77777777" w:rsidR="00B56B65" w:rsidRPr="00B56B65" w:rsidRDefault="00B56B65" w:rsidP="00B56B65">
            <w:pPr>
              <w:spacing w:before="20" w:after="20"/>
              <w:jc w:val="right"/>
              <w:rPr>
                <w:sz w:val="16"/>
                <w:szCs w:val="16"/>
              </w:rPr>
            </w:pPr>
            <w:r w:rsidRPr="00B56B65">
              <w:rPr>
                <w:sz w:val="16"/>
                <w:szCs w:val="16"/>
              </w:rPr>
              <w:t>366</w:t>
            </w:r>
          </w:p>
        </w:tc>
        <w:tc>
          <w:tcPr>
            <w:tcW w:w="567" w:type="dxa"/>
            <w:shd w:val="clear" w:color="auto" w:fill="auto"/>
          </w:tcPr>
          <w:p w14:paraId="1E118FFA" w14:textId="77777777" w:rsidR="00B56B65" w:rsidRPr="00B56B65" w:rsidRDefault="00B56B65" w:rsidP="00B56B65">
            <w:pPr>
              <w:spacing w:before="20" w:after="20"/>
              <w:jc w:val="right"/>
              <w:rPr>
                <w:sz w:val="16"/>
                <w:szCs w:val="16"/>
              </w:rPr>
            </w:pPr>
            <w:r w:rsidRPr="00B56B65">
              <w:rPr>
                <w:sz w:val="16"/>
                <w:szCs w:val="16"/>
              </w:rPr>
              <w:t>19.4</w:t>
            </w:r>
          </w:p>
        </w:tc>
        <w:tc>
          <w:tcPr>
            <w:tcW w:w="1023" w:type="dxa"/>
            <w:shd w:val="clear" w:color="auto" w:fill="auto"/>
          </w:tcPr>
          <w:p w14:paraId="22CD3760" w14:textId="77777777" w:rsidR="00B56B65" w:rsidRPr="00B56B65" w:rsidRDefault="00B56B65" w:rsidP="00B56B65">
            <w:pPr>
              <w:spacing w:before="20" w:after="20"/>
              <w:jc w:val="right"/>
              <w:rPr>
                <w:sz w:val="16"/>
                <w:szCs w:val="16"/>
              </w:rPr>
            </w:pPr>
            <w:r w:rsidRPr="00B56B65">
              <w:rPr>
                <w:sz w:val="16"/>
                <w:szCs w:val="16"/>
              </w:rPr>
              <w:t>(17.2, 21.6)</w:t>
            </w:r>
          </w:p>
        </w:tc>
      </w:tr>
      <w:tr w:rsidR="00B56B65" w:rsidRPr="007B4EF8" w14:paraId="66A4457C" w14:textId="77777777" w:rsidTr="00826105">
        <w:trPr>
          <w:jc w:val="center"/>
        </w:trPr>
        <w:tc>
          <w:tcPr>
            <w:tcW w:w="2345" w:type="dxa"/>
            <w:shd w:val="clear" w:color="auto" w:fill="auto"/>
          </w:tcPr>
          <w:p w14:paraId="56ED9B7F" w14:textId="77777777" w:rsidR="00B56B65" w:rsidRPr="00B56B65" w:rsidRDefault="00B56B65" w:rsidP="00B56B65">
            <w:pPr>
              <w:spacing w:before="20" w:after="20"/>
              <w:rPr>
                <w:sz w:val="16"/>
                <w:szCs w:val="16"/>
              </w:rPr>
            </w:pPr>
          </w:p>
        </w:tc>
        <w:tc>
          <w:tcPr>
            <w:tcW w:w="1834" w:type="dxa"/>
            <w:shd w:val="clear" w:color="auto" w:fill="auto"/>
          </w:tcPr>
          <w:p w14:paraId="747334A5" w14:textId="77777777" w:rsidR="00B56B65" w:rsidRPr="00B56B65" w:rsidRDefault="00B56B65" w:rsidP="00B56B65">
            <w:pPr>
              <w:spacing w:before="20" w:after="20"/>
              <w:rPr>
                <w:sz w:val="16"/>
                <w:szCs w:val="16"/>
              </w:rPr>
            </w:pPr>
            <w:r w:rsidRPr="00B56B65">
              <w:rPr>
                <w:sz w:val="16"/>
                <w:szCs w:val="16"/>
              </w:rPr>
              <w:t>3</w:t>
            </w:r>
          </w:p>
        </w:tc>
        <w:tc>
          <w:tcPr>
            <w:tcW w:w="597" w:type="dxa"/>
            <w:shd w:val="clear" w:color="auto" w:fill="auto"/>
          </w:tcPr>
          <w:p w14:paraId="02B79229" w14:textId="77777777" w:rsidR="00B56B65" w:rsidRPr="00B56B65" w:rsidRDefault="00B56B65" w:rsidP="00B56B65">
            <w:pPr>
              <w:spacing w:before="20" w:after="20"/>
              <w:jc w:val="right"/>
              <w:rPr>
                <w:sz w:val="16"/>
                <w:szCs w:val="16"/>
              </w:rPr>
            </w:pPr>
            <w:r w:rsidRPr="00B56B65">
              <w:rPr>
                <w:sz w:val="16"/>
                <w:szCs w:val="16"/>
              </w:rPr>
              <w:t>533</w:t>
            </w:r>
          </w:p>
        </w:tc>
        <w:tc>
          <w:tcPr>
            <w:tcW w:w="567" w:type="dxa"/>
            <w:shd w:val="clear" w:color="auto" w:fill="auto"/>
          </w:tcPr>
          <w:p w14:paraId="576ED7E1" w14:textId="77777777" w:rsidR="00B56B65" w:rsidRPr="00B56B65" w:rsidRDefault="00B56B65" w:rsidP="00B56B65">
            <w:pPr>
              <w:spacing w:before="20" w:after="20"/>
              <w:jc w:val="right"/>
              <w:rPr>
                <w:sz w:val="16"/>
                <w:szCs w:val="16"/>
              </w:rPr>
            </w:pPr>
            <w:r w:rsidRPr="00B56B65">
              <w:rPr>
                <w:sz w:val="16"/>
                <w:szCs w:val="16"/>
              </w:rPr>
              <w:t>11.8</w:t>
            </w:r>
          </w:p>
        </w:tc>
        <w:tc>
          <w:tcPr>
            <w:tcW w:w="993" w:type="dxa"/>
            <w:tcBorders>
              <w:right w:val="single" w:sz="4" w:space="0" w:color="auto"/>
            </w:tcBorders>
            <w:shd w:val="clear" w:color="auto" w:fill="auto"/>
          </w:tcPr>
          <w:p w14:paraId="525CBA4A" w14:textId="77777777" w:rsidR="00B56B65" w:rsidRPr="00B56B65" w:rsidRDefault="00B56B65" w:rsidP="00B56B65">
            <w:pPr>
              <w:spacing w:before="20" w:after="20"/>
              <w:jc w:val="right"/>
              <w:rPr>
                <w:sz w:val="16"/>
                <w:szCs w:val="16"/>
              </w:rPr>
            </w:pPr>
            <w:r w:rsidRPr="00B56B65">
              <w:rPr>
                <w:sz w:val="16"/>
                <w:szCs w:val="16"/>
              </w:rPr>
              <w:t>(10.6, 12.9)</w:t>
            </w:r>
          </w:p>
        </w:tc>
        <w:tc>
          <w:tcPr>
            <w:tcW w:w="567" w:type="dxa"/>
            <w:tcBorders>
              <w:left w:val="single" w:sz="4" w:space="0" w:color="auto"/>
            </w:tcBorders>
            <w:shd w:val="clear" w:color="auto" w:fill="auto"/>
          </w:tcPr>
          <w:p w14:paraId="4A639AC6" w14:textId="77777777" w:rsidR="00B56B65" w:rsidRPr="00B56B65" w:rsidRDefault="00B56B65" w:rsidP="00B56B65">
            <w:pPr>
              <w:spacing w:before="20" w:after="20"/>
              <w:jc w:val="right"/>
              <w:rPr>
                <w:sz w:val="16"/>
                <w:szCs w:val="16"/>
              </w:rPr>
            </w:pPr>
            <w:r w:rsidRPr="00B56B65">
              <w:rPr>
                <w:sz w:val="16"/>
                <w:szCs w:val="16"/>
              </w:rPr>
              <w:t>292</w:t>
            </w:r>
          </w:p>
        </w:tc>
        <w:tc>
          <w:tcPr>
            <w:tcW w:w="567" w:type="dxa"/>
            <w:shd w:val="clear" w:color="auto" w:fill="auto"/>
          </w:tcPr>
          <w:p w14:paraId="6A357B5D" w14:textId="77777777" w:rsidR="00B56B65" w:rsidRPr="00B56B65" w:rsidRDefault="00B56B65" w:rsidP="00B56B65">
            <w:pPr>
              <w:spacing w:before="20" w:after="20"/>
              <w:jc w:val="right"/>
              <w:rPr>
                <w:sz w:val="16"/>
                <w:szCs w:val="16"/>
              </w:rPr>
            </w:pPr>
            <w:r w:rsidRPr="00B56B65">
              <w:rPr>
                <w:sz w:val="16"/>
                <w:szCs w:val="16"/>
              </w:rPr>
              <w:t>11.1</w:t>
            </w:r>
          </w:p>
        </w:tc>
        <w:tc>
          <w:tcPr>
            <w:tcW w:w="992" w:type="dxa"/>
            <w:tcBorders>
              <w:right w:val="single" w:sz="4" w:space="0" w:color="auto"/>
            </w:tcBorders>
            <w:shd w:val="clear" w:color="auto" w:fill="auto"/>
          </w:tcPr>
          <w:p w14:paraId="20CA8C08" w14:textId="77777777" w:rsidR="00B56B65" w:rsidRPr="00B56B65" w:rsidRDefault="00B56B65" w:rsidP="00B56B65">
            <w:pPr>
              <w:spacing w:before="20" w:after="20"/>
              <w:jc w:val="right"/>
              <w:rPr>
                <w:sz w:val="16"/>
                <w:szCs w:val="16"/>
              </w:rPr>
            </w:pPr>
            <w:r w:rsidRPr="00B56B65">
              <w:rPr>
                <w:sz w:val="16"/>
                <w:szCs w:val="16"/>
              </w:rPr>
              <w:t>(9.6, 12.6)</w:t>
            </w:r>
          </w:p>
        </w:tc>
        <w:tc>
          <w:tcPr>
            <w:tcW w:w="567" w:type="dxa"/>
            <w:tcBorders>
              <w:left w:val="single" w:sz="4" w:space="0" w:color="auto"/>
            </w:tcBorders>
            <w:shd w:val="clear" w:color="auto" w:fill="auto"/>
          </w:tcPr>
          <w:p w14:paraId="156AE24E" w14:textId="77777777" w:rsidR="00B56B65" w:rsidRPr="00B56B65" w:rsidRDefault="00B56B65" w:rsidP="00B56B65">
            <w:pPr>
              <w:spacing w:before="20" w:after="20"/>
              <w:jc w:val="right"/>
              <w:rPr>
                <w:sz w:val="16"/>
                <w:szCs w:val="16"/>
              </w:rPr>
            </w:pPr>
            <w:r w:rsidRPr="00B56B65">
              <w:rPr>
                <w:sz w:val="16"/>
                <w:szCs w:val="16"/>
              </w:rPr>
              <w:t>286</w:t>
            </w:r>
          </w:p>
        </w:tc>
        <w:tc>
          <w:tcPr>
            <w:tcW w:w="567" w:type="dxa"/>
            <w:shd w:val="clear" w:color="auto" w:fill="auto"/>
          </w:tcPr>
          <w:p w14:paraId="4078842E" w14:textId="77777777" w:rsidR="00B56B65" w:rsidRPr="00B56B65" w:rsidRDefault="00B56B65" w:rsidP="00B56B65">
            <w:pPr>
              <w:spacing w:before="20" w:after="20"/>
              <w:jc w:val="right"/>
              <w:rPr>
                <w:sz w:val="16"/>
                <w:szCs w:val="16"/>
              </w:rPr>
            </w:pPr>
            <w:r w:rsidRPr="00B56B65">
              <w:rPr>
                <w:sz w:val="16"/>
                <w:szCs w:val="16"/>
              </w:rPr>
              <w:t>13.1</w:t>
            </w:r>
          </w:p>
        </w:tc>
        <w:tc>
          <w:tcPr>
            <w:tcW w:w="992" w:type="dxa"/>
            <w:tcBorders>
              <w:right w:val="single" w:sz="4" w:space="0" w:color="auto"/>
            </w:tcBorders>
            <w:shd w:val="clear" w:color="auto" w:fill="auto"/>
          </w:tcPr>
          <w:p w14:paraId="6A73BB3D" w14:textId="77777777" w:rsidR="00B56B65" w:rsidRPr="00B56B65" w:rsidRDefault="00B56B65" w:rsidP="00B56B65">
            <w:pPr>
              <w:spacing w:before="20" w:after="20"/>
              <w:jc w:val="right"/>
              <w:rPr>
                <w:sz w:val="16"/>
                <w:szCs w:val="16"/>
              </w:rPr>
            </w:pPr>
            <w:r w:rsidRPr="00B56B65">
              <w:rPr>
                <w:sz w:val="16"/>
                <w:szCs w:val="16"/>
              </w:rPr>
              <w:t>(11.3, 14.8)</w:t>
            </w:r>
          </w:p>
        </w:tc>
        <w:tc>
          <w:tcPr>
            <w:tcW w:w="536" w:type="dxa"/>
            <w:tcBorders>
              <w:left w:val="single" w:sz="4" w:space="0" w:color="auto"/>
            </w:tcBorders>
            <w:shd w:val="clear" w:color="auto" w:fill="auto"/>
          </w:tcPr>
          <w:p w14:paraId="74E30DE4" w14:textId="77777777" w:rsidR="00B56B65" w:rsidRPr="00B56B65" w:rsidRDefault="00B56B65" w:rsidP="00B56B65">
            <w:pPr>
              <w:spacing w:before="20" w:after="20"/>
              <w:jc w:val="right"/>
              <w:rPr>
                <w:sz w:val="16"/>
                <w:szCs w:val="16"/>
              </w:rPr>
            </w:pPr>
            <w:r w:rsidRPr="00B56B65">
              <w:rPr>
                <w:sz w:val="16"/>
                <w:szCs w:val="16"/>
              </w:rPr>
              <w:t>206</w:t>
            </w:r>
          </w:p>
        </w:tc>
        <w:tc>
          <w:tcPr>
            <w:tcW w:w="567" w:type="dxa"/>
            <w:shd w:val="clear" w:color="auto" w:fill="auto"/>
          </w:tcPr>
          <w:p w14:paraId="4598D1E6" w14:textId="77777777" w:rsidR="00B56B65" w:rsidRPr="00B56B65" w:rsidRDefault="00B56B65" w:rsidP="00B56B65">
            <w:pPr>
              <w:spacing w:before="20" w:after="20"/>
              <w:jc w:val="right"/>
              <w:rPr>
                <w:sz w:val="16"/>
                <w:szCs w:val="16"/>
              </w:rPr>
            </w:pPr>
            <w:r w:rsidRPr="00B56B65">
              <w:rPr>
                <w:sz w:val="16"/>
                <w:szCs w:val="16"/>
              </w:rPr>
              <w:t>10.9</w:t>
            </w:r>
          </w:p>
        </w:tc>
        <w:tc>
          <w:tcPr>
            <w:tcW w:w="1023" w:type="dxa"/>
            <w:shd w:val="clear" w:color="auto" w:fill="auto"/>
          </w:tcPr>
          <w:p w14:paraId="12B937F4" w14:textId="77777777" w:rsidR="00B56B65" w:rsidRPr="00B56B65" w:rsidRDefault="00B56B65" w:rsidP="00B56B65">
            <w:pPr>
              <w:spacing w:before="20" w:after="20"/>
              <w:jc w:val="right"/>
              <w:rPr>
                <w:sz w:val="16"/>
                <w:szCs w:val="16"/>
              </w:rPr>
            </w:pPr>
            <w:r w:rsidRPr="00B56B65">
              <w:rPr>
                <w:sz w:val="16"/>
                <w:szCs w:val="16"/>
              </w:rPr>
              <w:t>(9.2, 12.6)</w:t>
            </w:r>
          </w:p>
        </w:tc>
      </w:tr>
      <w:tr w:rsidR="00B56B65" w:rsidRPr="007B4EF8" w14:paraId="3E7D92D0" w14:textId="77777777" w:rsidTr="00826105">
        <w:trPr>
          <w:jc w:val="center"/>
        </w:trPr>
        <w:tc>
          <w:tcPr>
            <w:tcW w:w="2345" w:type="dxa"/>
            <w:shd w:val="clear" w:color="auto" w:fill="auto"/>
          </w:tcPr>
          <w:p w14:paraId="470A8894" w14:textId="77777777" w:rsidR="00B56B65" w:rsidRPr="00B56B65" w:rsidRDefault="00B56B65" w:rsidP="00B56B65">
            <w:pPr>
              <w:spacing w:before="20" w:after="20"/>
              <w:rPr>
                <w:sz w:val="16"/>
                <w:szCs w:val="16"/>
              </w:rPr>
            </w:pPr>
          </w:p>
        </w:tc>
        <w:tc>
          <w:tcPr>
            <w:tcW w:w="1834" w:type="dxa"/>
            <w:shd w:val="clear" w:color="auto" w:fill="auto"/>
          </w:tcPr>
          <w:p w14:paraId="7A266A22" w14:textId="77777777" w:rsidR="00B56B65" w:rsidRPr="00B56B65" w:rsidRDefault="00B56B65" w:rsidP="00B56B65">
            <w:pPr>
              <w:spacing w:before="20" w:after="20"/>
              <w:rPr>
                <w:sz w:val="16"/>
                <w:szCs w:val="16"/>
              </w:rPr>
            </w:pPr>
            <w:r w:rsidRPr="00B56B65">
              <w:rPr>
                <w:sz w:val="16"/>
                <w:szCs w:val="16"/>
              </w:rPr>
              <w:t>4</w:t>
            </w:r>
          </w:p>
        </w:tc>
        <w:tc>
          <w:tcPr>
            <w:tcW w:w="597" w:type="dxa"/>
            <w:shd w:val="clear" w:color="auto" w:fill="auto"/>
          </w:tcPr>
          <w:p w14:paraId="2EC2886C" w14:textId="77777777" w:rsidR="00B56B65" w:rsidRPr="00B56B65" w:rsidRDefault="00B56B65" w:rsidP="00B56B65">
            <w:pPr>
              <w:spacing w:before="20" w:after="20"/>
              <w:jc w:val="right"/>
              <w:rPr>
                <w:sz w:val="16"/>
                <w:szCs w:val="16"/>
              </w:rPr>
            </w:pPr>
            <w:r w:rsidRPr="00B56B65">
              <w:rPr>
                <w:sz w:val="16"/>
                <w:szCs w:val="16"/>
              </w:rPr>
              <w:t>328</w:t>
            </w:r>
          </w:p>
        </w:tc>
        <w:tc>
          <w:tcPr>
            <w:tcW w:w="567" w:type="dxa"/>
            <w:shd w:val="clear" w:color="auto" w:fill="auto"/>
          </w:tcPr>
          <w:p w14:paraId="77F86AA0" w14:textId="77777777" w:rsidR="00B56B65" w:rsidRPr="00B56B65" w:rsidRDefault="00B56B65" w:rsidP="00B56B65">
            <w:pPr>
              <w:spacing w:before="20" w:after="20"/>
              <w:jc w:val="right"/>
              <w:rPr>
                <w:sz w:val="16"/>
                <w:szCs w:val="16"/>
              </w:rPr>
            </w:pPr>
            <w:r w:rsidRPr="00B56B65">
              <w:rPr>
                <w:sz w:val="16"/>
                <w:szCs w:val="16"/>
              </w:rPr>
              <w:t>7.2</w:t>
            </w:r>
          </w:p>
        </w:tc>
        <w:tc>
          <w:tcPr>
            <w:tcW w:w="993" w:type="dxa"/>
            <w:tcBorders>
              <w:right w:val="single" w:sz="4" w:space="0" w:color="auto"/>
            </w:tcBorders>
            <w:shd w:val="clear" w:color="auto" w:fill="auto"/>
          </w:tcPr>
          <w:p w14:paraId="101F82B3" w14:textId="77777777" w:rsidR="00B56B65" w:rsidRPr="00B56B65" w:rsidRDefault="00B56B65" w:rsidP="00B56B65">
            <w:pPr>
              <w:spacing w:before="20" w:after="20"/>
              <w:jc w:val="right"/>
              <w:rPr>
                <w:sz w:val="16"/>
                <w:szCs w:val="16"/>
              </w:rPr>
            </w:pPr>
            <w:r w:rsidRPr="00B56B65">
              <w:rPr>
                <w:sz w:val="16"/>
                <w:szCs w:val="16"/>
              </w:rPr>
              <w:t>(6.4, 8.1)</w:t>
            </w:r>
          </w:p>
        </w:tc>
        <w:tc>
          <w:tcPr>
            <w:tcW w:w="567" w:type="dxa"/>
            <w:tcBorders>
              <w:left w:val="single" w:sz="4" w:space="0" w:color="auto"/>
            </w:tcBorders>
            <w:shd w:val="clear" w:color="auto" w:fill="auto"/>
          </w:tcPr>
          <w:p w14:paraId="23E5C932" w14:textId="77777777" w:rsidR="00B56B65" w:rsidRPr="00B56B65" w:rsidRDefault="00B56B65" w:rsidP="00B56B65">
            <w:pPr>
              <w:spacing w:before="20" w:after="20"/>
              <w:jc w:val="right"/>
              <w:rPr>
                <w:sz w:val="16"/>
                <w:szCs w:val="16"/>
              </w:rPr>
            </w:pPr>
            <w:r w:rsidRPr="00B56B65">
              <w:rPr>
                <w:sz w:val="16"/>
                <w:szCs w:val="16"/>
              </w:rPr>
              <w:t>140</w:t>
            </w:r>
          </w:p>
        </w:tc>
        <w:tc>
          <w:tcPr>
            <w:tcW w:w="567" w:type="dxa"/>
            <w:shd w:val="clear" w:color="auto" w:fill="auto"/>
          </w:tcPr>
          <w:p w14:paraId="41645789" w14:textId="77777777" w:rsidR="00B56B65" w:rsidRPr="00B56B65" w:rsidRDefault="00B56B65" w:rsidP="00B56B65">
            <w:pPr>
              <w:spacing w:before="20" w:after="20"/>
              <w:jc w:val="right"/>
              <w:rPr>
                <w:sz w:val="16"/>
                <w:szCs w:val="16"/>
              </w:rPr>
            </w:pPr>
            <w:r w:rsidRPr="00B56B65">
              <w:rPr>
                <w:sz w:val="16"/>
                <w:szCs w:val="16"/>
              </w:rPr>
              <w:t>5.3</w:t>
            </w:r>
          </w:p>
        </w:tc>
        <w:tc>
          <w:tcPr>
            <w:tcW w:w="992" w:type="dxa"/>
            <w:tcBorders>
              <w:right w:val="single" w:sz="4" w:space="0" w:color="auto"/>
            </w:tcBorders>
            <w:shd w:val="clear" w:color="auto" w:fill="auto"/>
          </w:tcPr>
          <w:p w14:paraId="417EEA7A" w14:textId="77777777" w:rsidR="00B56B65" w:rsidRPr="00B56B65" w:rsidRDefault="00B56B65" w:rsidP="00B56B65">
            <w:pPr>
              <w:spacing w:before="20" w:after="20"/>
              <w:jc w:val="right"/>
              <w:rPr>
                <w:sz w:val="16"/>
                <w:szCs w:val="16"/>
              </w:rPr>
            </w:pPr>
            <w:r w:rsidRPr="00B56B65">
              <w:rPr>
                <w:sz w:val="16"/>
                <w:szCs w:val="16"/>
              </w:rPr>
              <w:t>(4.3, 6.3)</w:t>
            </w:r>
          </w:p>
        </w:tc>
        <w:tc>
          <w:tcPr>
            <w:tcW w:w="567" w:type="dxa"/>
            <w:tcBorders>
              <w:left w:val="single" w:sz="4" w:space="0" w:color="auto"/>
            </w:tcBorders>
            <w:shd w:val="clear" w:color="auto" w:fill="auto"/>
          </w:tcPr>
          <w:p w14:paraId="3CF61DA4" w14:textId="77777777" w:rsidR="00B56B65" w:rsidRPr="00B56B65" w:rsidRDefault="00B56B65" w:rsidP="00B56B65">
            <w:pPr>
              <w:spacing w:before="20" w:after="20"/>
              <w:jc w:val="right"/>
              <w:rPr>
                <w:sz w:val="16"/>
                <w:szCs w:val="16"/>
              </w:rPr>
            </w:pPr>
            <w:r w:rsidRPr="00B56B65">
              <w:rPr>
                <w:sz w:val="16"/>
                <w:szCs w:val="16"/>
              </w:rPr>
              <w:t>88</w:t>
            </w:r>
          </w:p>
        </w:tc>
        <w:tc>
          <w:tcPr>
            <w:tcW w:w="567" w:type="dxa"/>
            <w:shd w:val="clear" w:color="auto" w:fill="auto"/>
          </w:tcPr>
          <w:p w14:paraId="48DBF5D1" w14:textId="77777777" w:rsidR="00B56B65" w:rsidRPr="00B56B65" w:rsidRDefault="00B56B65" w:rsidP="00B56B65">
            <w:pPr>
              <w:spacing w:before="20" w:after="20"/>
              <w:jc w:val="right"/>
              <w:rPr>
                <w:sz w:val="16"/>
                <w:szCs w:val="16"/>
              </w:rPr>
            </w:pPr>
            <w:r w:rsidRPr="00B56B65">
              <w:rPr>
                <w:sz w:val="16"/>
                <w:szCs w:val="16"/>
              </w:rPr>
              <w:t>4.0</w:t>
            </w:r>
          </w:p>
        </w:tc>
        <w:tc>
          <w:tcPr>
            <w:tcW w:w="992" w:type="dxa"/>
            <w:tcBorders>
              <w:right w:val="single" w:sz="4" w:space="0" w:color="auto"/>
            </w:tcBorders>
            <w:shd w:val="clear" w:color="auto" w:fill="auto"/>
          </w:tcPr>
          <w:p w14:paraId="39723994" w14:textId="77777777" w:rsidR="00B56B65" w:rsidRPr="00B56B65" w:rsidRDefault="00B56B65" w:rsidP="00B56B65">
            <w:pPr>
              <w:spacing w:before="20" w:after="20"/>
              <w:jc w:val="right"/>
              <w:rPr>
                <w:sz w:val="16"/>
                <w:szCs w:val="16"/>
              </w:rPr>
            </w:pPr>
            <w:r w:rsidRPr="00B56B65">
              <w:rPr>
                <w:sz w:val="16"/>
                <w:szCs w:val="16"/>
              </w:rPr>
              <w:t>(3.1, 5.0)</w:t>
            </w:r>
          </w:p>
        </w:tc>
        <w:tc>
          <w:tcPr>
            <w:tcW w:w="536" w:type="dxa"/>
            <w:tcBorders>
              <w:left w:val="single" w:sz="4" w:space="0" w:color="auto"/>
            </w:tcBorders>
            <w:shd w:val="clear" w:color="auto" w:fill="auto"/>
          </w:tcPr>
          <w:p w14:paraId="6E17B6C2" w14:textId="77777777" w:rsidR="00B56B65" w:rsidRPr="00B56B65" w:rsidRDefault="00B56B65" w:rsidP="00B56B65">
            <w:pPr>
              <w:spacing w:before="20" w:after="20"/>
              <w:jc w:val="right"/>
              <w:rPr>
                <w:sz w:val="16"/>
                <w:szCs w:val="16"/>
              </w:rPr>
            </w:pPr>
            <w:r w:rsidRPr="00B56B65">
              <w:rPr>
                <w:sz w:val="16"/>
                <w:szCs w:val="16"/>
              </w:rPr>
              <w:t>95</w:t>
            </w:r>
          </w:p>
        </w:tc>
        <w:tc>
          <w:tcPr>
            <w:tcW w:w="567" w:type="dxa"/>
            <w:shd w:val="clear" w:color="auto" w:fill="auto"/>
          </w:tcPr>
          <w:p w14:paraId="1ECB2212" w14:textId="77777777" w:rsidR="00B56B65" w:rsidRPr="00B56B65" w:rsidRDefault="00B56B65" w:rsidP="00B56B65">
            <w:pPr>
              <w:spacing w:before="20" w:after="20"/>
              <w:jc w:val="right"/>
              <w:rPr>
                <w:sz w:val="16"/>
                <w:szCs w:val="16"/>
              </w:rPr>
            </w:pPr>
            <w:r w:rsidRPr="00B56B65">
              <w:rPr>
                <w:sz w:val="16"/>
                <w:szCs w:val="16"/>
              </w:rPr>
              <w:t>5.0</w:t>
            </w:r>
          </w:p>
        </w:tc>
        <w:tc>
          <w:tcPr>
            <w:tcW w:w="1023" w:type="dxa"/>
            <w:shd w:val="clear" w:color="auto" w:fill="auto"/>
          </w:tcPr>
          <w:p w14:paraId="71E6CE19" w14:textId="77777777" w:rsidR="00B56B65" w:rsidRPr="00B56B65" w:rsidRDefault="00B56B65" w:rsidP="00B56B65">
            <w:pPr>
              <w:spacing w:before="20" w:after="20"/>
              <w:jc w:val="right"/>
              <w:rPr>
                <w:sz w:val="16"/>
                <w:szCs w:val="16"/>
              </w:rPr>
            </w:pPr>
            <w:r w:rsidRPr="00B56B65">
              <w:rPr>
                <w:sz w:val="16"/>
                <w:szCs w:val="16"/>
              </w:rPr>
              <w:t>(3.8, 6.3)</w:t>
            </w:r>
          </w:p>
        </w:tc>
      </w:tr>
      <w:tr w:rsidR="00B56B65" w:rsidRPr="007B4EF8" w14:paraId="31EE2795" w14:textId="77777777" w:rsidTr="00826105">
        <w:trPr>
          <w:jc w:val="center"/>
        </w:trPr>
        <w:tc>
          <w:tcPr>
            <w:tcW w:w="2345" w:type="dxa"/>
            <w:shd w:val="clear" w:color="auto" w:fill="auto"/>
          </w:tcPr>
          <w:p w14:paraId="7276079B" w14:textId="77777777" w:rsidR="00B56B65" w:rsidRPr="00B56B65" w:rsidRDefault="00B56B65" w:rsidP="00B56B65">
            <w:pPr>
              <w:spacing w:before="20" w:after="20"/>
              <w:rPr>
                <w:sz w:val="16"/>
                <w:szCs w:val="16"/>
              </w:rPr>
            </w:pPr>
          </w:p>
        </w:tc>
        <w:tc>
          <w:tcPr>
            <w:tcW w:w="1834" w:type="dxa"/>
            <w:shd w:val="clear" w:color="auto" w:fill="auto"/>
          </w:tcPr>
          <w:p w14:paraId="350EC18A" w14:textId="77777777" w:rsidR="00B56B65" w:rsidRPr="00B56B65" w:rsidRDefault="00B56B65" w:rsidP="00B56B65">
            <w:pPr>
              <w:spacing w:before="20" w:after="20"/>
              <w:rPr>
                <w:sz w:val="16"/>
                <w:szCs w:val="16"/>
              </w:rPr>
            </w:pPr>
            <w:r w:rsidRPr="00B56B65">
              <w:rPr>
                <w:sz w:val="16"/>
                <w:szCs w:val="16"/>
              </w:rPr>
              <w:t>5+</w:t>
            </w:r>
          </w:p>
        </w:tc>
        <w:tc>
          <w:tcPr>
            <w:tcW w:w="597" w:type="dxa"/>
            <w:shd w:val="clear" w:color="auto" w:fill="auto"/>
          </w:tcPr>
          <w:p w14:paraId="1223AB45" w14:textId="77777777" w:rsidR="00B56B65" w:rsidRPr="00B56B65" w:rsidRDefault="00B56B65" w:rsidP="00B56B65">
            <w:pPr>
              <w:spacing w:before="20" w:after="20"/>
              <w:jc w:val="right"/>
              <w:rPr>
                <w:sz w:val="16"/>
                <w:szCs w:val="16"/>
              </w:rPr>
            </w:pPr>
            <w:r w:rsidRPr="00B56B65">
              <w:rPr>
                <w:sz w:val="16"/>
                <w:szCs w:val="16"/>
              </w:rPr>
              <w:t>403</w:t>
            </w:r>
          </w:p>
        </w:tc>
        <w:tc>
          <w:tcPr>
            <w:tcW w:w="567" w:type="dxa"/>
            <w:shd w:val="clear" w:color="auto" w:fill="auto"/>
          </w:tcPr>
          <w:p w14:paraId="7D6E2B43" w14:textId="77777777" w:rsidR="00B56B65" w:rsidRPr="00B56B65" w:rsidRDefault="00B56B65" w:rsidP="00B56B65">
            <w:pPr>
              <w:spacing w:before="20" w:after="20"/>
              <w:jc w:val="right"/>
              <w:rPr>
                <w:sz w:val="16"/>
                <w:szCs w:val="16"/>
              </w:rPr>
            </w:pPr>
            <w:r w:rsidRPr="00B56B65">
              <w:rPr>
                <w:sz w:val="16"/>
                <w:szCs w:val="16"/>
              </w:rPr>
              <w:t>8.9</w:t>
            </w:r>
          </w:p>
        </w:tc>
        <w:tc>
          <w:tcPr>
            <w:tcW w:w="993" w:type="dxa"/>
            <w:tcBorders>
              <w:right w:val="single" w:sz="4" w:space="0" w:color="auto"/>
            </w:tcBorders>
            <w:shd w:val="clear" w:color="auto" w:fill="auto"/>
          </w:tcPr>
          <w:p w14:paraId="067EA833" w14:textId="77777777" w:rsidR="00B56B65" w:rsidRPr="00B56B65" w:rsidRDefault="00B56B65" w:rsidP="00B56B65">
            <w:pPr>
              <w:spacing w:before="20" w:after="20"/>
              <w:jc w:val="right"/>
              <w:rPr>
                <w:sz w:val="16"/>
                <w:szCs w:val="16"/>
              </w:rPr>
            </w:pPr>
            <w:r w:rsidRPr="00B56B65">
              <w:rPr>
                <w:sz w:val="16"/>
                <w:szCs w:val="16"/>
              </w:rPr>
              <w:t>(7.9, 9.9)</w:t>
            </w:r>
          </w:p>
        </w:tc>
        <w:tc>
          <w:tcPr>
            <w:tcW w:w="567" w:type="dxa"/>
            <w:tcBorders>
              <w:left w:val="single" w:sz="4" w:space="0" w:color="auto"/>
            </w:tcBorders>
            <w:shd w:val="clear" w:color="auto" w:fill="auto"/>
          </w:tcPr>
          <w:p w14:paraId="44074D92" w14:textId="77777777" w:rsidR="00B56B65" w:rsidRPr="00B56B65" w:rsidRDefault="00B56B65" w:rsidP="00B56B65">
            <w:pPr>
              <w:spacing w:before="20" w:after="20"/>
              <w:jc w:val="right"/>
              <w:rPr>
                <w:sz w:val="16"/>
                <w:szCs w:val="16"/>
              </w:rPr>
            </w:pPr>
            <w:r w:rsidRPr="00B56B65">
              <w:rPr>
                <w:sz w:val="16"/>
                <w:szCs w:val="16"/>
              </w:rPr>
              <w:t>125</w:t>
            </w:r>
          </w:p>
        </w:tc>
        <w:tc>
          <w:tcPr>
            <w:tcW w:w="567" w:type="dxa"/>
            <w:shd w:val="clear" w:color="auto" w:fill="auto"/>
          </w:tcPr>
          <w:p w14:paraId="6737B7D9" w14:textId="77777777" w:rsidR="00B56B65" w:rsidRPr="00B56B65" w:rsidRDefault="00B56B65" w:rsidP="00B56B65">
            <w:pPr>
              <w:spacing w:before="20" w:after="20"/>
              <w:jc w:val="right"/>
              <w:rPr>
                <w:sz w:val="16"/>
                <w:szCs w:val="16"/>
              </w:rPr>
            </w:pPr>
            <w:r w:rsidRPr="00B56B65">
              <w:rPr>
                <w:sz w:val="16"/>
                <w:szCs w:val="16"/>
              </w:rPr>
              <w:t>4.7</w:t>
            </w:r>
          </w:p>
        </w:tc>
        <w:tc>
          <w:tcPr>
            <w:tcW w:w="992" w:type="dxa"/>
            <w:tcBorders>
              <w:right w:val="single" w:sz="4" w:space="0" w:color="auto"/>
            </w:tcBorders>
            <w:shd w:val="clear" w:color="auto" w:fill="auto"/>
          </w:tcPr>
          <w:p w14:paraId="5F94E98E" w14:textId="77777777" w:rsidR="00B56B65" w:rsidRPr="00B56B65" w:rsidRDefault="00B56B65" w:rsidP="00B56B65">
            <w:pPr>
              <w:spacing w:before="20" w:after="20"/>
              <w:jc w:val="right"/>
              <w:rPr>
                <w:sz w:val="16"/>
                <w:szCs w:val="16"/>
              </w:rPr>
            </w:pPr>
            <w:r w:rsidRPr="00B56B65">
              <w:rPr>
                <w:sz w:val="16"/>
                <w:szCs w:val="16"/>
              </w:rPr>
              <w:t>(3.8, 5.7)</w:t>
            </w:r>
          </w:p>
        </w:tc>
        <w:tc>
          <w:tcPr>
            <w:tcW w:w="567" w:type="dxa"/>
            <w:tcBorders>
              <w:left w:val="single" w:sz="4" w:space="0" w:color="auto"/>
            </w:tcBorders>
            <w:shd w:val="clear" w:color="auto" w:fill="auto"/>
          </w:tcPr>
          <w:p w14:paraId="6ED0D1BD" w14:textId="77777777" w:rsidR="00B56B65" w:rsidRPr="00B56B65" w:rsidRDefault="00B56B65" w:rsidP="00B56B65">
            <w:pPr>
              <w:spacing w:before="20" w:after="20"/>
              <w:jc w:val="right"/>
              <w:rPr>
                <w:sz w:val="16"/>
                <w:szCs w:val="16"/>
              </w:rPr>
            </w:pPr>
            <w:r w:rsidRPr="00B56B65">
              <w:rPr>
                <w:sz w:val="16"/>
                <w:szCs w:val="16"/>
              </w:rPr>
              <w:t>109</w:t>
            </w:r>
          </w:p>
        </w:tc>
        <w:tc>
          <w:tcPr>
            <w:tcW w:w="567" w:type="dxa"/>
            <w:shd w:val="clear" w:color="auto" w:fill="auto"/>
          </w:tcPr>
          <w:p w14:paraId="5C0B21BD" w14:textId="77777777" w:rsidR="00B56B65" w:rsidRPr="00B56B65" w:rsidRDefault="00B56B65" w:rsidP="00B56B65">
            <w:pPr>
              <w:spacing w:before="20" w:after="20"/>
              <w:jc w:val="right"/>
              <w:rPr>
                <w:sz w:val="16"/>
                <w:szCs w:val="16"/>
              </w:rPr>
            </w:pPr>
            <w:r w:rsidRPr="00B56B65">
              <w:rPr>
                <w:sz w:val="16"/>
                <w:szCs w:val="16"/>
              </w:rPr>
              <w:t>5.0</w:t>
            </w:r>
          </w:p>
        </w:tc>
        <w:tc>
          <w:tcPr>
            <w:tcW w:w="992" w:type="dxa"/>
            <w:tcBorders>
              <w:right w:val="single" w:sz="4" w:space="0" w:color="auto"/>
            </w:tcBorders>
            <w:shd w:val="clear" w:color="auto" w:fill="auto"/>
          </w:tcPr>
          <w:p w14:paraId="321A4706" w14:textId="77777777" w:rsidR="00B56B65" w:rsidRPr="00B56B65" w:rsidRDefault="00B56B65" w:rsidP="00B56B65">
            <w:pPr>
              <w:spacing w:before="20" w:after="20"/>
              <w:jc w:val="right"/>
              <w:rPr>
                <w:sz w:val="16"/>
                <w:szCs w:val="16"/>
              </w:rPr>
            </w:pPr>
            <w:r w:rsidRPr="00B56B65">
              <w:rPr>
                <w:sz w:val="16"/>
                <w:szCs w:val="16"/>
              </w:rPr>
              <w:t>(3.7, 6.3)</w:t>
            </w:r>
          </w:p>
        </w:tc>
        <w:tc>
          <w:tcPr>
            <w:tcW w:w="536" w:type="dxa"/>
            <w:tcBorders>
              <w:left w:val="single" w:sz="4" w:space="0" w:color="auto"/>
            </w:tcBorders>
            <w:shd w:val="clear" w:color="auto" w:fill="auto"/>
          </w:tcPr>
          <w:p w14:paraId="35237238" w14:textId="77777777" w:rsidR="00B56B65" w:rsidRPr="00B56B65" w:rsidRDefault="00B56B65" w:rsidP="00B56B65">
            <w:pPr>
              <w:spacing w:before="20" w:after="20"/>
              <w:jc w:val="right"/>
              <w:rPr>
                <w:sz w:val="16"/>
                <w:szCs w:val="16"/>
              </w:rPr>
            </w:pPr>
            <w:r w:rsidRPr="00B56B65">
              <w:rPr>
                <w:sz w:val="16"/>
                <w:szCs w:val="16"/>
              </w:rPr>
              <w:t>67</w:t>
            </w:r>
          </w:p>
        </w:tc>
        <w:tc>
          <w:tcPr>
            <w:tcW w:w="567" w:type="dxa"/>
            <w:shd w:val="clear" w:color="auto" w:fill="auto"/>
          </w:tcPr>
          <w:p w14:paraId="2BE19B4C" w14:textId="77777777" w:rsidR="00B56B65" w:rsidRPr="00B56B65" w:rsidRDefault="00B56B65" w:rsidP="00B56B65">
            <w:pPr>
              <w:spacing w:before="20" w:after="20"/>
              <w:jc w:val="right"/>
              <w:rPr>
                <w:sz w:val="16"/>
                <w:szCs w:val="16"/>
              </w:rPr>
            </w:pPr>
            <w:r w:rsidRPr="00B56B65">
              <w:rPr>
                <w:sz w:val="16"/>
                <w:szCs w:val="16"/>
              </w:rPr>
              <w:t>3.5</w:t>
            </w:r>
          </w:p>
        </w:tc>
        <w:tc>
          <w:tcPr>
            <w:tcW w:w="1023" w:type="dxa"/>
            <w:shd w:val="clear" w:color="auto" w:fill="auto"/>
          </w:tcPr>
          <w:p w14:paraId="090F7AFE" w14:textId="77777777" w:rsidR="00B56B65" w:rsidRPr="00B56B65" w:rsidRDefault="00B56B65" w:rsidP="00B56B65">
            <w:pPr>
              <w:spacing w:before="20" w:after="20"/>
              <w:jc w:val="right"/>
              <w:rPr>
                <w:sz w:val="16"/>
                <w:szCs w:val="16"/>
              </w:rPr>
            </w:pPr>
            <w:r w:rsidRPr="00B56B65">
              <w:rPr>
                <w:sz w:val="16"/>
                <w:szCs w:val="16"/>
              </w:rPr>
              <w:t>(2.5, 4.5)</w:t>
            </w:r>
          </w:p>
        </w:tc>
      </w:tr>
      <w:tr w:rsidR="00B56B65" w:rsidRPr="007B4EF8" w14:paraId="437422AE" w14:textId="77777777" w:rsidTr="00B56B65">
        <w:trPr>
          <w:jc w:val="center"/>
        </w:trPr>
        <w:tc>
          <w:tcPr>
            <w:tcW w:w="2345" w:type="dxa"/>
            <w:shd w:val="clear" w:color="auto" w:fill="auto"/>
          </w:tcPr>
          <w:p w14:paraId="187159A5" w14:textId="77777777" w:rsidR="00B56B65" w:rsidRPr="00B56B65" w:rsidRDefault="00B56B65" w:rsidP="00B56B65">
            <w:pPr>
              <w:spacing w:before="20" w:after="20"/>
              <w:rPr>
                <w:sz w:val="16"/>
                <w:szCs w:val="16"/>
              </w:rPr>
            </w:pPr>
            <w:r w:rsidRPr="00B56B65">
              <w:rPr>
                <w:sz w:val="16"/>
                <w:szCs w:val="16"/>
              </w:rPr>
              <w:t>Low-risk gambler</w:t>
            </w:r>
          </w:p>
        </w:tc>
        <w:tc>
          <w:tcPr>
            <w:tcW w:w="1834" w:type="dxa"/>
            <w:shd w:val="clear" w:color="auto" w:fill="auto"/>
          </w:tcPr>
          <w:p w14:paraId="4F88D29A" w14:textId="77777777" w:rsidR="00B56B65" w:rsidRPr="00B56B65" w:rsidRDefault="00B56B65" w:rsidP="00B56B65">
            <w:pPr>
              <w:spacing w:before="20" w:after="20"/>
              <w:rPr>
                <w:sz w:val="16"/>
                <w:szCs w:val="16"/>
              </w:rPr>
            </w:pPr>
            <w:r w:rsidRPr="00B56B65">
              <w:rPr>
                <w:sz w:val="16"/>
                <w:szCs w:val="16"/>
              </w:rPr>
              <w:t>0</w:t>
            </w:r>
          </w:p>
        </w:tc>
        <w:tc>
          <w:tcPr>
            <w:tcW w:w="597" w:type="dxa"/>
            <w:shd w:val="clear" w:color="auto" w:fill="auto"/>
          </w:tcPr>
          <w:p w14:paraId="4F04389C" w14:textId="77777777" w:rsidR="00B56B65" w:rsidRPr="00B56B65" w:rsidRDefault="00B56B65" w:rsidP="00B56B65">
            <w:pPr>
              <w:spacing w:before="20" w:after="20"/>
              <w:jc w:val="right"/>
              <w:rPr>
                <w:sz w:val="16"/>
                <w:szCs w:val="16"/>
              </w:rPr>
            </w:pPr>
            <w:r w:rsidRPr="00B56B65">
              <w:rPr>
                <w:sz w:val="16"/>
                <w:szCs w:val="16"/>
              </w:rPr>
              <w:t>65</w:t>
            </w:r>
          </w:p>
        </w:tc>
        <w:tc>
          <w:tcPr>
            <w:tcW w:w="567" w:type="dxa"/>
            <w:shd w:val="clear" w:color="auto" w:fill="auto"/>
          </w:tcPr>
          <w:p w14:paraId="6FFC8A44" w14:textId="77777777" w:rsidR="00B56B65" w:rsidRPr="00B56B65" w:rsidRDefault="00B56B65" w:rsidP="00B56B65">
            <w:pPr>
              <w:spacing w:before="20" w:after="20"/>
              <w:jc w:val="right"/>
              <w:rPr>
                <w:sz w:val="16"/>
                <w:szCs w:val="16"/>
              </w:rPr>
            </w:pPr>
            <w:r w:rsidRPr="00B56B65">
              <w:rPr>
                <w:sz w:val="16"/>
                <w:szCs w:val="16"/>
              </w:rPr>
              <w:t>21.3</w:t>
            </w:r>
          </w:p>
        </w:tc>
        <w:tc>
          <w:tcPr>
            <w:tcW w:w="993" w:type="dxa"/>
            <w:tcBorders>
              <w:right w:val="single" w:sz="4" w:space="0" w:color="auto"/>
            </w:tcBorders>
            <w:shd w:val="clear" w:color="auto" w:fill="auto"/>
          </w:tcPr>
          <w:p w14:paraId="46514B7D" w14:textId="77777777" w:rsidR="00B56B65" w:rsidRPr="00B56B65" w:rsidRDefault="00B56B65" w:rsidP="00B56B65">
            <w:pPr>
              <w:spacing w:before="20" w:after="20"/>
              <w:jc w:val="right"/>
              <w:rPr>
                <w:sz w:val="16"/>
                <w:szCs w:val="16"/>
              </w:rPr>
            </w:pPr>
            <w:r w:rsidRPr="00B56B65">
              <w:rPr>
                <w:sz w:val="16"/>
                <w:szCs w:val="16"/>
              </w:rPr>
              <w:t>(16.0, 26.6)</w:t>
            </w:r>
          </w:p>
        </w:tc>
        <w:tc>
          <w:tcPr>
            <w:tcW w:w="567" w:type="dxa"/>
            <w:tcBorders>
              <w:left w:val="single" w:sz="4" w:space="0" w:color="auto"/>
            </w:tcBorders>
            <w:shd w:val="clear" w:color="auto" w:fill="auto"/>
          </w:tcPr>
          <w:p w14:paraId="37C9CCC2" w14:textId="77777777" w:rsidR="00B56B65" w:rsidRPr="00B56B65" w:rsidRDefault="00B56B65" w:rsidP="00B56B65">
            <w:pPr>
              <w:spacing w:before="20" w:after="20"/>
              <w:jc w:val="right"/>
              <w:rPr>
                <w:sz w:val="16"/>
                <w:szCs w:val="16"/>
              </w:rPr>
            </w:pPr>
            <w:r w:rsidRPr="00B56B65">
              <w:rPr>
                <w:sz w:val="16"/>
                <w:szCs w:val="16"/>
              </w:rPr>
              <w:t>30</w:t>
            </w:r>
          </w:p>
        </w:tc>
        <w:tc>
          <w:tcPr>
            <w:tcW w:w="567" w:type="dxa"/>
            <w:shd w:val="clear" w:color="auto" w:fill="auto"/>
          </w:tcPr>
          <w:p w14:paraId="53C0F9DB" w14:textId="77777777" w:rsidR="00B56B65" w:rsidRPr="00B56B65" w:rsidRDefault="00B56B65" w:rsidP="00B56B65">
            <w:pPr>
              <w:spacing w:before="20" w:after="20"/>
              <w:jc w:val="right"/>
              <w:rPr>
                <w:sz w:val="16"/>
                <w:szCs w:val="16"/>
              </w:rPr>
            </w:pPr>
            <w:r w:rsidRPr="00B56B65">
              <w:rPr>
                <w:sz w:val="16"/>
                <w:szCs w:val="16"/>
              </w:rPr>
              <w:t>14.4</w:t>
            </w:r>
          </w:p>
        </w:tc>
        <w:tc>
          <w:tcPr>
            <w:tcW w:w="992" w:type="dxa"/>
            <w:tcBorders>
              <w:right w:val="single" w:sz="4" w:space="0" w:color="auto"/>
            </w:tcBorders>
            <w:shd w:val="clear" w:color="auto" w:fill="auto"/>
          </w:tcPr>
          <w:p w14:paraId="2D3E160F" w14:textId="77777777" w:rsidR="00B56B65" w:rsidRPr="00B56B65" w:rsidRDefault="00B56B65" w:rsidP="00B56B65">
            <w:pPr>
              <w:spacing w:before="20" w:after="20"/>
              <w:jc w:val="right"/>
              <w:rPr>
                <w:sz w:val="16"/>
                <w:szCs w:val="16"/>
              </w:rPr>
            </w:pPr>
            <w:r w:rsidRPr="00B56B65">
              <w:rPr>
                <w:sz w:val="16"/>
                <w:szCs w:val="16"/>
              </w:rPr>
              <w:t>(9.4, 19.5)</w:t>
            </w:r>
          </w:p>
        </w:tc>
        <w:tc>
          <w:tcPr>
            <w:tcW w:w="567" w:type="dxa"/>
            <w:tcBorders>
              <w:left w:val="single" w:sz="4" w:space="0" w:color="auto"/>
            </w:tcBorders>
            <w:shd w:val="clear" w:color="auto" w:fill="auto"/>
          </w:tcPr>
          <w:p w14:paraId="41E10C93" w14:textId="77777777" w:rsidR="00B56B65" w:rsidRPr="00B56B65" w:rsidRDefault="00B56B65" w:rsidP="00B56B65">
            <w:pPr>
              <w:spacing w:before="20" w:after="20"/>
              <w:jc w:val="right"/>
              <w:rPr>
                <w:sz w:val="16"/>
                <w:szCs w:val="16"/>
              </w:rPr>
            </w:pPr>
            <w:r w:rsidRPr="00B56B65">
              <w:rPr>
                <w:sz w:val="16"/>
                <w:szCs w:val="16"/>
              </w:rPr>
              <w:t>26</w:t>
            </w:r>
          </w:p>
        </w:tc>
        <w:tc>
          <w:tcPr>
            <w:tcW w:w="567" w:type="dxa"/>
            <w:shd w:val="clear" w:color="auto" w:fill="auto"/>
          </w:tcPr>
          <w:p w14:paraId="71AC360C" w14:textId="77777777" w:rsidR="00B56B65" w:rsidRPr="00B56B65" w:rsidRDefault="00B56B65" w:rsidP="00B56B65">
            <w:pPr>
              <w:spacing w:before="20" w:after="20"/>
              <w:jc w:val="right"/>
              <w:rPr>
                <w:sz w:val="16"/>
                <w:szCs w:val="16"/>
              </w:rPr>
            </w:pPr>
            <w:r w:rsidRPr="00B56B65">
              <w:rPr>
                <w:sz w:val="16"/>
                <w:szCs w:val="16"/>
              </w:rPr>
              <w:t>16.7</w:t>
            </w:r>
          </w:p>
        </w:tc>
        <w:tc>
          <w:tcPr>
            <w:tcW w:w="992" w:type="dxa"/>
            <w:tcBorders>
              <w:right w:val="single" w:sz="4" w:space="0" w:color="auto"/>
            </w:tcBorders>
            <w:shd w:val="clear" w:color="auto" w:fill="auto"/>
          </w:tcPr>
          <w:p w14:paraId="76A2519C" w14:textId="77777777" w:rsidR="00B56B65" w:rsidRPr="00B56B65" w:rsidRDefault="00B56B65" w:rsidP="00B56B65">
            <w:pPr>
              <w:spacing w:before="20" w:after="20"/>
              <w:jc w:val="right"/>
              <w:rPr>
                <w:sz w:val="16"/>
                <w:szCs w:val="16"/>
              </w:rPr>
            </w:pPr>
            <w:r w:rsidRPr="00B56B65">
              <w:rPr>
                <w:sz w:val="16"/>
                <w:szCs w:val="16"/>
              </w:rPr>
              <w:t>(10.7, 22.7)</w:t>
            </w:r>
          </w:p>
        </w:tc>
        <w:tc>
          <w:tcPr>
            <w:tcW w:w="536" w:type="dxa"/>
            <w:tcBorders>
              <w:left w:val="single" w:sz="4" w:space="0" w:color="auto"/>
            </w:tcBorders>
            <w:shd w:val="clear" w:color="auto" w:fill="auto"/>
          </w:tcPr>
          <w:p w14:paraId="4C21B333" w14:textId="77777777" w:rsidR="00B56B65" w:rsidRPr="00B56B65" w:rsidRDefault="00B56B65" w:rsidP="00B56B65">
            <w:pPr>
              <w:spacing w:before="20" w:after="20"/>
              <w:jc w:val="right"/>
              <w:rPr>
                <w:sz w:val="16"/>
                <w:szCs w:val="16"/>
              </w:rPr>
            </w:pPr>
            <w:r w:rsidRPr="00B56B65">
              <w:rPr>
                <w:sz w:val="16"/>
                <w:szCs w:val="16"/>
              </w:rPr>
              <w:t>31</w:t>
            </w:r>
          </w:p>
        </w:tc>
        <w:tc>
          <w:tcPr>
            <w:tcW w:w="567" w:type="dxa"/>
            <w:shd w:val="clear" w:color="auto" w:fill="auto"/>
          </w:tcPr>
          <w:p w14:paraId="43E48A29" w14:textId="77777777" w:rsidR="00B56B65" w:rsidRPr="00B56B65" w:rsidRDefault="00B56B65" w:rsidP="00B56B65">
            <w:pPr>
              <w:spacing w:before="20" w:after="20"/>
              <w:jc w:val="right"/>
              <w:rPr>
                <w:sz w:val="16"/>
                <w:szCs w:val="16"/>
              </w:rPr>
            </w:pPr>
            <w:r w:rsidRPr="00B56B65">
              <w:rPr>
                <w:sz w:val="16"/>
                <w:szCs w:val="16"/>
              </w:rPr>
              <w:t>24.6</w:t>
            </w:r>
          </w:p>
        </w:tc>
        <w:tc>
          <w:tcPr>
            <w:tcW w:w="1023" w:type="dxa"/>
            <w:shd w:val="clear" w:color="auto" w:fill="auto"/>
          </w:tcPr>
          <w:p w14:paraId="3195308B" w14:textId="77777777" w:rsidR="00B56B65" w:rsidRPr="00B56B65" w:rsidRDefault="00B56B65" w:rsidP="00B56B65">
            <w:pPr>
              <w:spacing w:before="20" w:after="20"/>
              <w:jc w:val="right"/>
              <w:rPr>
                <w:sz w:val="16"/>
                <w:szCs w:val="16"/>
              </w:rPr>
            </w:pPr>
            <w:r w:rsidRPr="00B56B65">
              <w:rPr>
                <w:sz w:val="16"/>
                <w:szCs w:val="16"/>
              </w:rPr>
              <w:t>(16.0, 33.3)</w:t>
            </w:r>
          </w:p>
        </w:tc>
      </w:tr>
      <w:tr w:rsidR="00B56B65" w:rsidRPr="007B4EF8" w14:paraId="616C81C4" w14:textId="77777777" w:rsidTr="00B56B65">
        <w:trPr>
          <w:jc w:val="center"/>
        </w:trPr>
        <w:tc>
          <w:tcPr>
            <w:tcW w:w="2345" w:type="dxa"/>
            <w:shd w:val="clear" w:color="auto" w:fill="auto"/>
          </w:tcPr>
          <w:p w14:paraId="59635369" w14:textId="77777777" w:rsidR="00B56B65" w:rsidRPr="00B56B65" w:rsidRDefault="00B56B65" w:rsidP="00B56B65">
            <w:pPr>
              <w:spacing w:before="20" w:after="20"/>
              <w:rPr>
                <w:sz w:val="16"/>
                <w:szCs w:val="16"/>
              </w:rPr>
            </w:pPr>
          </w:p>
        </w:tc>
        <w:tc>
          <w:tcPr>
            <w:tcW w:w="1834" w:type="dxa"/>
            <w:shd w:val="clear" w:color="auto" w:fill="auto"/>
          </w:tcPr>
          <w:p w14:paraId="5283DA0E" w14:textId="77777777" w:rsidR="00B56B65" w:rsidRPr="00B56B65" w:rsidRDefault="00B56B65" w:rsidP="00B56B65">
            <w:pPr>
              <w:spacing w:before="20" w:after="20"/>
              <w:rPr>
                <w:sz w:val="16"/>
                <w:szCs w:val="16"/>
              </w:rPr>
            </w:pPr>
            <w:r w:rsidRPr="00B56B65">
              <w:rPr>
                <w:sz w:val="16"/>
                <w:szCs w:val="16"/>
              </w:rPr>
              <w:t>1</w:t>
            </w:r>
          </w:p>
        </w:tc>
        <w:tc>
          <w:tcPr>
            <w:tcW w:w="597" w:type="dxa"/>
            <w:shd w:val="clear" w:color="auto" w:fill="auto"/>
          </w:tcPr>
          <w:p w14:paraId="27512F0B" w14:textId="77777777" w:rsidR="00B56B65" w:rsidRPr="00B56B65" w:rsidRDefault="00B56B65" w:rsidP="00B56B65">
            <w:pPr>
              <w:spacing w:before="20" w:after="20"/>
              <w:jc w:val="right"/>
              <w:rPr>
                <w:sz w:val="16"/>
                <w:szCs w:val="16"/>
              </w:rPr>
            </w:pPr>
            <w:r w:rsidRPr="00B56B65">
              <w:rPr>
                <w:sz w:val="16"/>
                <w:szCs w:val="16"/>
              </w:rPr>
              <w:t>61</w:t>
            </w:r>
          </w:p>
        </w:tc>
        <w:tc>
          <w:tcPr>
            <w:tcW w:w="567" w:type="dxa"/>
            <w:shd w:val="clear" w:color="auto" w:fill="auto"/>
          </w:tcPr>
          <w:p w14:paraId="7086784F" w14:textId="77777777" w:rsidR="00B56B65" w:rsidRPr="00B56B65" w:rsidRDefault="00B56B65" w:rsidP="00B56B65">
            <w:pPr>
              <w:spacing w:before="20" w:after="20"/>
              <w:jc w:val="right"/>
              <w:rPr>
                <w:sz w:val="16"/>
                <w:szCs w:val="16"/>
              </w:rPr>
            </w:pPr>
            <w:r w:rsidRPr="00B56B65">
              <w:rPr>
                <w:sz w:val="16"/>
                <w:szCs w:val="16"/>
              </w:rPr>
              <w:t>20.0</w:t>
            </w:r>
          </w:p>
        </w:tc>
        <w:tc>
          <w:tcPr>
            <w:tcW w:w="993" w:type="dxa"/>
            <w:tcBorders>
              <w:right w:val="single" w:sz="4" w:space="0" w:color="auto"/>
            </w:tcBorders>
            <w:shd w:val="clear" w:color="auto" w:fill="auto"/>
          </w:tcPr>
          <w:p w14:paraId="71C25B31" w14:textId="77777777" w:rsidR="00B56B65" w:rsidRPr="00B56B65" w:rsidRDefault="00B56B65" w:rsidP="00B56B65">
            <w:pPr>
              <w:spacing w:before="20" w:after="20"/>
              <w:jc w:val="right"/>
              <w:rPr>
                <w:sz w:val="16"/>
                <w:szCs w:val="16"/>
              </w:rPr>
            </w:pPr>
            <w:r w:rsidRPr="00B56B65">
              <w:rPr>
                <w:sz w:val="16"/>
                <w:szCs w:val="16"/>
              </w:rPr>
              <w:t>(14.7, 25.3)</w:t>
            </w:r>
          </w:p>
        </w:tc>
        <w:tc>
          <w:tcPr>
            <w:tcW w:w="567" w:type="dxa"/>
            <w:tcBorders>
              <w:left w:val="single" w:sz="4" w:space="0" w:color="auto"/>
            </w:tcBorders>
            <w:shd w:val="clear" w:color="auto" w:fill="auto"/>
          </w:tcPr>
          <w:p w14:paraId="4831679A" w14:textId="77777777" w:rsidR="00B56B65" w:rsidRPr="00B56B65" w:rsidRDefault="00B56B65" w:rsidP="00B56B65">
            <w:pPr>
              <w:spacing w:before="20" w:after="20"/>
              <w:jc w:val="right"/>
              <w:rPr>
                <w:sz w:val="16"/>
                <w:szCs w:val="16"/>
              </w:rPr>
            </w:pPr>
            <w:r w:rsidRPr="00B56B65">
              <w:rPr>
                <w:sz w:val="16"/>
                <w:szCs w:val="16"/>
              </w:rPr>
              <w:t>42</w:t>
            </w:r>
          </w:p>
        </w:tc>
        <w:tc>
          <w:tcPr>
            <w:tcW w:w="567" w:type="dxa"/>
            <w:shd w:val="clear" w:color="auto" w:fill="auto"/>
          </w:tcPr>
          <w:p w14:paraId="2A606214" w14:textId="77777777" w:rsidR="00B56B65" w:rsidRPr="00B56B65" w:rsidRDefault="00B56B65" w:rsidP="00B56B65">
            <w:pPr>
              <w:spacing w:before="20" w:after="20"/>
              <w:jc w:val="right"/>
              <w:rPr>
                <w:sz w:val="16"/>
                <w:szCs w:val="16"/>
              </w:rPr>
            </w:pPr>
            <w:r w:rsidRPr="00B56B65">
              <w:rPr>
                <w:sz w:val="16"/>
                <w:szCs w:val="16"/>
              </w:rPr>
              <w:t>20.1</w:t>
            </w:r>
          </w:p>
        </w:tc>
        <w:tc>
          <w:tcPr>
            <w:tcW w:w="992" w:type="dxa"/>
            <w:tcBorders>
              <w:right w:val="single" w:sz="4" w:space="0" w:color="auto"/>
            </w:tcBorders>
            <w:shd w:val="clear" w:color="auto" w:fill="auto"/>
          </w:tcPr>
          <w:p w14:paraId="4E9F58A8" w14:textId="77777777" w:rsidR="00B56B65" w:rsidRPr="00B56B65" w:rsidRDefault="00B56B65" w:rsidP="00B56B65">
            <w:pPr>
              <w:spacing w:before="20" w:after="20"/>
              <w:jc w:val="right"/>
              <w:rPr>
                <w:sz w:val="16"/>
                <w:szCs w:val="16"/>
              </w:rPr>
            </w:pPr>
            <w:r w:rsidRPr="00B56B65">
              <w:rPr>
                <w:sz w:val="16"/>
                <w:szCs w:val="16"/>
              </w:rPr>
              <w:t>(14.3, 25.9)</w:t>
            </w:r>
          </w:p>
        </w:tc>
        <w:tc>
          <w:tcPr>
            <w:tcW w:w="567" w:type="dxa"/>
            <w:tcBorders>
              <w:left w:val="single" w:sz="4" w:space="0" w:color="auto"/>
            </w:tcBorders>
            <w:shd w:val="clear" w:color="auto" w:fill="auto"/>
          </w:tcPr>
          <w:p w14:paraId="5218F222" w14:textId="77777777" w:rsidR="00B56B65" w:rsidRPr="00B56B65" w:rsidRDefault="00B56B65" w:rsidP="00B56B65">
            <w:pPr>
              <w:spacing w:before="20" w:after="20"/>
              <w:jc w:val="right"/>
              <w:rPr>
                <w:sz w:val="16"/>
                <w:szCs w:val="16"/>
              </w:rPr>
            </w:pPr>
            <w:r w:rsidRPr="00B56B65">
              <w:rPr>
                <w:sz w:val="16"/>
                <w:szCs w:val="16"/>
              </w:rPr>
              <w:t>42</w:t>
            </w:r>
          </w:p>
        </w:tc>
        <w:tc>
          <w:tcPr>
            <w:tcW w:w="567" w:type="dxa"/>
            <w:shd w:val="clear" w:color="auto" w:fill="auto"/>
          </w:tcPr>
          <w:p w14:paraId="220DD8AC" w14:textId="77777777" w:rsidR="00B56B65" w:rsidRPr="00B56B65" w:rsidRDefault="00B56B65" w:rsidP="00B56B65">
            <w:pPr>
              <w:spacing w:before="20" w:after="20"/>
              <w:jc w:val="right"/>
              <w:rPr>
                <w:sz w:val="16"/>
                <w:szCs w:val="16"/>
              </w:rPr>
            </w:pPr>
            <w:r w:rsidRPr="00B56B65">
              <w:rPr>
                <w:sz w:val="16"/>
                <w:szCs w:val="16"/>
              </w:rPr>
              <w:t>27.2</w:t>
            </w:r>
          </w:p>
        </w:tc>
        <w:tc>
          <w:tcPr>
            <w:tcW w:w="992" w:type="dxa"/>
            <w:tcBorders>
              <w:right w:val="single" w:sz="4" w:space="0" w:color="auto"/>
            </w:tcBorders>
            <w:shd w:val="clear" w:color="auto" w:fill="auto"/>
          </w:tcPr>
          <w:p w14:paraId="083DFB8E" w14:textId="77777777" w:rsidR="00B56B65" w:rsidRPr="00B56B65" w:rsidRDefault="00B56B65" w:rsidP="00B56B65">
            <w:pPr>
              <w:spacing w:before="20" w:after="20"/>
              <w:jc w:val="right"/>
              <w:rPr>
                <w:sz w:val="16"/>
                <w:szCs w:val="16"/>
              </w:rPr>
            </w:pPr>
            <w:r w:rsidRPr="00B56B65">
              <w:rPr>
                <w:sz w:val="16"/>
                <w:szCs w:val="16"/>
              </w:rPr>
              <w:t>(18.2, 36.3)</w:t>
            </w:r>
          </w:p>
        </w:tc>
        <w:tc>
          <w:tcPr>
            <w:tcW w:w="536" w:type="dxa"/>
            <w:tcBorders>
              <w:left w:val="single" w:sz="4" w:space="0" w:color="auto"/>
            </w:tcBorders>
            <w:shd w:val="clear" w:color="auto" w:fill="auto"/>
          </w:tcPr>
          <w:p w14:paraId="4CE82B7C" w14:textId="77777777" w:rsidR="00B56B65" w:rsidRPr="00B56B65" w:rsidRDefault="00B56B65" w:rsidP="00B56B65">
            <w:pPr>
              <w:spacing w:before="20" w:after="20"/>
              <w:jc w:val="right"/>
              <w:rPr>
                <w:sz w:val="16"/>
                <w:szCs w:val="16"/>
              </w:rPr>
            </w:pPr>
            <w:r w:rsidRPr="00B56B65">
              <w:rPr>
                <w:sz w:val="16"/>
                <w:szCs w:val="16"/>
              </w:rPr>
              <w:t>24</w:t>
            </w:r>
          </w:p>
        </w:tc>
        <w:tc>
          <w:tcPr>
            <w:tcW w:w="567" w:type="dxa"/>
            <w:shd w:val="clear" w:color="auto" w:fill="auto"/>
          </w:tcPr>
          <w:p w14:paraId="01D91708" w14:textId="77777777" w:rsidR="00B56B65" w:rsidRPr="00B56B65" w:rsidRDefault="00B56B65" w:rsidP="00B56B65">
            <w:pPr>
              <w:spacing w:before="20" w:after="20"/>
              <w:jc w:val="right"/>
              <w:rPr>
                <w:sz w:val="16"/>
                <w:szCs w:val="16"/>
              </w:rPr>
            </w:pPr>
            <w:r w:rsidRPr="00B56B65">
              <w:rPr>
                <w:sz w:val="16"/>
                <w:szCs w:val="16"/>
              </w:rPr>
              <w:t>19.1</w:t>
            </w:r>
          </w:p>
        </w:tc>
        <w:tc>
          <w:tcPr>
            <w:tcW w:w="1023" w:type="dxa"/>
            <w:shd w:val="clear" w:color="auto" w:fill="auto"/>
          </w:tcPr>
          <w:p w14:paraId="00553F5D" w14:textId="77777777" w:rsidR="00B56B65" w:rsidRPr="00B56B65" w:rsidRDefault="00B56B65" w:rsidP="00B56B65">
            <w:pPr>
              <w:spacing w:before="20" w:after="20"/>
              <w:jc w:val="right"/>
              <w:rPr>
                <w:sz w:val="16"/>
                <w:szCs w:val="16"/>
              </w:rPr>
            </w:pPr>
            <w:r w:rsidRPr="00B56B65">
              <w:rPr>
                <w:sz w:val="16"/>
                <w:szCs w:val="16"/>
              </w:rPr>
              <w:t>(10.2, 28.0)</w:t>
            </w:r>
          </w:p>
        </w:tc>
      </w:tr>
      <w:tr w:rsidR="00B56B65" w:rsidRPr="007B4EF8" w14:paraId="34C04F9A" w14:textId="77777777" w:rsidTr="00B56B65">
        <w:trPr>
          <w:jc w:val="center"/>
        </w:trPr>
        <w:tc>
          <w:tcPr>
            <w:tcW w:w="2345" w:type="dxa"/>
            <w:shd w:val="clear" w:color="auto" w:fill="auto"/>
          </w:tcPr>
          <w:p w14:paraId="1ABB28C5" w14:textId="77777777" w:rsidR="00B56B65" w:rsidRPr="00B56B65" w:rsidRDefault="00B56B65" w:rsidP="00B56B65">
            <w:pPr>
              <w:spacing w:before="20" w:after="20"/>
              <w:rPr>
                <w:sz w:val="16"/>
                <w:szCs w:val="16"/>
              </w:rPr>
            </w:pPr>
          </w:p>
        </w:tc>
        <w:tc>
          <w:tcPr>
            <w:tcW w:w="1834" w:type="dxa"/>
            <w:shd w:val="clear" w:color="auto" w:fill="auto"/>
          </w:tcPr>
          <w:p w14:paraId="1917DEB7" w14:textId="77777777" w:rsidR="00B56B65" w:rsidRPr="00B56B65" w:rsidRDefault="00B56B65" w:rsidP="00B56B65">
            <w:pPr>
              <w:spacing w:before="20" w:after="20"/>
              <w:rPr>
                <w:sz w:val="16"/>
                <w:szCs w:val="16"/>
              </w:rPr>
            </w:pPr>
            <w:r w:rsidRPr="00B56B65">
              <w:rPr>
                <w:sz w:val="16"/>
                <w:szCs w:val="16"/>
              </w:rPr>
              <w:t>2</w:t>
            </w:r>
          </w:p>
        </w:tc>
        <w:tc>
          <w:tcPr>
            <w:tcW w:w="597" w:type="dxa"/>
            <w:shd w:val="clear" w:color="auto" w:fill="auto"/>
          </w:tcPr>
          <w:p w14:paraId="43C7E174" w14:textId="77777777" w:rsidR="00B56B65" w:rsidRPr="00B56B65" w:rsidRDefault="00B56B65" w:rsidP="00B56B65">
            <w:pPr>
              <w:spacing w:before="20" w:after="20"/>
              <w:jc w:val="right"/>
              <w:rPr>
                <w:sz w:val="16"/>
                <w:szCs w:val="16"/>
              </w:rPr>
            </w:pPr>
            <w:r w:rsidRPr="00B56B65">
              <w:rPr>
                <w:sz w:val="16"/>
                <w:szCs w:val="16"/>
              </w:rPr>
              <w:t>57</w:t>
            </w:r>
          </w:p>
        </w:tc>
        <w:tc>
          <w:tcPr>
            <w:tcW w:w="567" w:type="dxa"/>
            <w:shd w:val="clear" w:color="auto" w:fill="auto"/>
          </w:tcPr>
          <w:p w14:paraId="66210A36" w14:textId="77777777" w:rsidR="00B56B65" w:rsidRPr="00B56B65" w:rsidRDefault="00B56B65" w:rsidP="00B56B65">
            <w:pPr>
              <w:spacing w:before="20" w:after="20"/>
              <w:jc w:val="right"/>
              <w:rPr>
                <w:sz w:val="16"/>
                <w:szCs w:val="16"/>
              </w:rPr>
            </w:pPr>
            <w:r w:rsidRPr="00B56B65">
              <w:rPr>
                <w:sz w:val="16"/>
                <w:szCs w:val="16"/>
              </w:rPr>
              <w:t>18.5</w:t>
            </w:r>
          </w:p>
        </w:tc>
        <w:tc>
          <w:tcPr>
            <w:tcW w:w="993" w:type="dxa"/>
            <w:tcBorders>
              <w:right w:val="single" w:sz="4" w:space="0" w:color="auto"/>
            </w:tcBorders>
            <w:shd w:val="clear" w:color="auto" w:fill="auto"/>
          </w:tcPr>
          <w:p w14:paraId="1C91A91D" w14:textId="77777777" w:rsidR="00B56B65" w:rsidRPr="00B56B65" w:rsidRDefault="00B56B65" w:rsidP="00B56B65">
            <w:pPr>
              <w:spacing w:before="20" w:after="20"/>
              <w:jc w:val="right"/>
              <w:rPr>
                <w:sz w:val="16"/>
                <w:szCs w:val="16"/>
              </w:rPr>
            </w:pPr>
            <w:r w:rsidRPr="00B56B65">
              <w:rPr>
                <w:sz w:val="16"/>
                <w:szCs w:val="16"/>
              </w:rPr>
              <w:t>(13.0, 24.0)</w:t>
            </w:r>
          </w:p>
        </w:tc>
        <w:tc>
          <w:tcPr>
            <w:tcW w:w="567" w:type="dxa"/>
            <w:tcBorders>
              <w:left w:val="single" w:sz="4" w:space="0" w:color="auto"/>
            </w:tcBorders>
            <w:shd w:val="clear" w:color="auto" w:fill="auto"/>
          </w:tcPr>
          <w:p w14:paraId="1B117BCE" w14:textId="77777777" w:rsidR="00B56B65" w:rsidRPr="00B56B65" w:rsidRDefault="00B56B65" w:rsidP="00B56B65">
            <w:pPr>
              <w:spacing w:before="20" w:after="20"/>
              <w:jc w:val="right"/>
              <w:rPr>
                <w:sz w:val="16"/>
                <w:szCs w:val="16"/>
              </w:rPr>
            </w:pPr>
            <w:r w:rsidRPr="00B56B65">
              <w:rPr>
                <w:sz w:val="16"/>
                <w:szCs w:val="16"/>
              </w:rPr>
              <w:t>52</w:t>
            </w:r>
          </w:p>
        </w:tc>
        <w:tc>
          <w:tcPr>
            <w:tcW w:w="567" w:type="dxa"/>
            <w:shd w:val="clear" w:color="auto" w:fill="auto"/>
          </w:tcPr>
          <w:p w14:paraId="08C73F24" w14:textId="77777777" w:rsidR="00B56B65" w:rsidRPr="00B56B65" w:rsidRDefault="00B56B65" w:rsidP="00B56B65">
            <w:pPr>
              <w:spacing w:before="20" w:after="20"/>
              <w:jc w:val="right"/>
              <w:rPr>
                <w:sz w:val="16"/>
                <w:szCs w:val="16"/>
              </w:rPr>
            </w:pPr>
            <w:r w:rsidRPr="00B56B65">
              <w:rPr>
                <w:sz w:val="16"/>
                <w:szCs w:val="16"/>
              </w:rPr>
              <w:t>24.9</w:t>
            </w:r>
          </w:p>
        </w:tc>
        <w:tc>
          <w:tcPr>
            <w:tcW w:w="992" w:type="dxa"/>
            <w:tcBorders>
              <w:right w:val="single" w:sz="4" w:space="0" w:color="auto"/>
            </w:tcBorders>
            <w:shd w:val="clear" w:color="auto" w:fill="auto"/>
          </w:tcPr>
          <w:p w14:paraId="5ECE0F7C" w14:textId="77777777" w:rsidR="00B56B65" w:rsidRPr="00B56B65" w:rsidRDefault="00B56B65" w:rsidP="00B56B65">
            <w:pPr>
              <w:spacing w:before="20" w:after="20"/>
              <w:jc w:val="right"/>
              <w:rPr>
                <w:sz w:val="16"/>
                <w:szCs w:val="16"/>
              </w:rPr>
            </w:pPr>
            <w:r w:rsidRPr="00B56B65">
              <w:rPr>
                <w:sz w:val="16"/>
                <w:szCs w:val="16"/>
              </w:rPr>
              <w:t>(18.0, 31.7)</w:t>
            </w:r>
          </w:p>
        </w:tc>
        <w:tc>
          <w:tcPr>
            <w:tcW w:w="567" w:type="dxa"/>
            <w:tcBorders>
              <w:left w:val="single" w:sz="4" w:space="0" w:color="auto"/>
            </w:tcBorders>
            <w:shd w:val="clear" w:color="auto" w:fill="auto"/>
          </w:tcPr>
          <w:p w14:paraId="2234E5DC" w14:textId="77777777" w:rsidR="00B56B65" w:rsidRPr="00B56B65" w:rsidRDefault="00B56B65" w:rsidP="00B56B65">
            <w:pPr>
              <w:spacing w:before="20" w:after="20"/>
              <w:jc w:val="right"/>
              <w:rPr>
                <w:sz w:val="16"/>
                <w:szCs w:val="16"/>
              </w:rPr>
            </w:pPr>
            <w:r w:rsidRPr="00B56B65">
              <w:rPr>
                <w:sz w:val="16"/>
                <w:szCs w:val="16"/>
              </w:rPr>
              <w:t>38</w:t>
            </w:r>
          </w:p>
        </w:tc>
        <w:tc>
          <w:tcPr>
            <w:tcW w:w="567" w:type="dxa"/>
            <w:shd w:val="clear" w:color="auto" w:fill="auto"/>
          </w:tcPr>
          <w:p w14:paraId="6262EC48" w14:textId="77777777" w:rsidR="00B56B65" w:rsidRPr="00B56B65" w:rsidRDefault="00B56B65" w:rsidP="00B56B65">
            <w:pPr>
              <w:spacing w:before="20" w:after="20"/>
              <w:jc w:val="right"/>
              <w:rPr>
                <w:sz w:val="16"/>
                <w:szCs w:val="16"/>
              </w:rPr>
            </w:pPr>
            <w:r w:rsidRPr="00B56B65">
              <w:rPr>
                <w:sz w:val="16"/>
                <w:szCs w:val="16"/>
              </w:rPr>
              <w:t>24.7</w:t>
            </w:r>
          </w:p>
        </w:tc>
        <w:tc>
          <w:tcPr>
            <w:tcW w:w="992" w:type="dxa"/>
            <w:tcBorders>
              <w:right w:val="single" w:sz="4" w:space="0" w:color="auto"/>
            </w:tcBorders>
            <w:shd w:val="clear" w:color="auto" w:fill="auto"/>
          </w:tcPr>
          <w:p w14:paraId="080F6B50" w14:textId="77777777" w:rsidR="00B56B65" w:rsidRPr="00B56B65" w:rsidRDefault="00B56B65" w:rsidP="00B56B65">
            <w:pPr>
              <w:spacing w:before="20" w:after="20"/>
              <w:jc w:val="right"/>
              <w:rPr>
                <w:sz w:val="16"/>
                <w:szCs w:val="16"/>
              </w:rPr>
            </w:pPr>
            <w:r w:rsidRPr="00B56B65">
              <w:rPr>
                <w:sz w:val="16"/>
                <w:szCs w:val="16"/>
              </w:rPr>
              <w:t>(17.3, 32.1)</w:t>
            </w:r>
          </w:p>
        </w:tc>
        <w:tc>
          <w:tcPr>
            <w:tcW w:w="536" w:type="dxa"/>
            <w:tcBorders>
              <w:left w:val="single" w:sz="4" w:space="0" w:color="auto"/>
            </w:tcBorders>
            <w:shd w:val="clear" w:color="auto" w:fill="auto"/>
          </w:tcPr>
          <w:p w14:paraId="529497C8" w14:textId="77777777" w:rsidR="00B56B65" w:rsidRPr="00B56B65" w:rsidRDefault="00B56B65" w:rsidP="00B56B65">
            <w:pPr>
              <w:spacing w:before="20" w:after="20"/>
              <w:jc w:val="right"/>
              <w:rPr>
                <w:sz w:val="16"/>
                <w:szCs w:val="16"/>
              </w:rPr>
            </w:pPr>
            <w:r w:rsidRPr="00B56B65">
              <w:rPr>
                <w:sz w:val="16"/>
                <w:szCs w:val="16"/>
              </w:rPr>
              <w:t>20</w:t>
            </w:r>
          </w:p>
        </w:tc>
        <w:tc>
          <w:tcPr>
            <w:tcW w:w="567" w:type="dxa"/>
            <w:shd w:val="clear" w:color="auto" w:fill="auto"/>
          </w:tcPr>
          <w:p w14:paraId="298FA495" w14:textId="77777777" w:rsidR="00B56B65" w:rsidRPr="00B56B65" w:rsidRDefault="00B56B65" w:rsidP="00B56B65">
            <w:pPr>
              <w:spacing w:before="20" w:after="20"/>
              <w:jc w:val="right"/>
              <w:rPr>
                <w:sz w:val="16"/>
                <w:szCs w:val="16"/>
              </w:rPr>
            </w:pPr>
            <w:r w:rsidRPr="00B56B65">
              <w:rPr>
                <w:sz w:val="16"/>
                <w:szCs w:val="16"/>
              </w:rPr>
              <w:t>15.4</w:t>
            </w:r>
          </w:p>
        </w:tc>
        <w:tc>
          <w:tcPr>
            <w:tcW w:w="1023" w:type="dxa"/>
            <w:shd w:val="clear" w:color="auto" w:fill="auto"/>
          </w:tcPr>
          <w:p w14:paraId="06A9A234" w14:textId="77777777" w:rsidR="00B56B65" w:rsidRPr="00B56B65" w:rsidRDefault="00B56B65" w:rsidP="00B56B65">
            <w:pPr>
              <w:spacing w:before="20" w:after="20"/>
              <w:jc w:val="right"/>
              <w:rPr>
                <w:sz w:val="16"/>
                <w:szCs w:val="16"/>
              </w:rPr>
            </w:pPr>
            <w:r w:rsidRPr="00B56B65">
              <w:rPr>
                <w:sz w:val="16"/>
                <w:szCs w:val="16"/>
              </w:rPr>
              <w:t>(8.4, 22.5)</w:t>
            </w:r>
          </w:p>
        </w:tc>
      </w:tr>
      <w:tr w:rsidR="00B56B65" w:rsidRPr="007B4EF8" w14:paraId="0C6B898B" w14:textId="77777777" w:rsidTr="00B56B65">
        <w:trPr>
          <w:jc w:val="center"/>
        </w:trPr>
        <w:tc>
          <w:tcPr>
            <w:tcW w:w="2345" w:type="dxa"/>
            <w:shd w:val="clear" w:color="auto" w:fill="auto"/>
          </w:tcPr>
          <w:p w14:paraId="50BA8EF3" w14:textId="77777777" w:rsidR="00B56B65" w:rsidRPr="00B56B65" w:rsidRDefault="00B56B65" w:rsidP="00B56B65">
            <w:pPr>
              <w:spacing w:before="20" w:after="20"/>
              <w:rPr>
                <w:sz w:val="16"/>
                <w:szCs w:val="16"/>
              </w:rPr>
            </w:pPr>
          </w:p>
        </w:tc>
        <w:tc>
          <w:tcPr>
            <w:tcW w:w="1834" w:type="dxa"/>
            <w:shd w:val="clear" w:color="auto" w:fill="auto"/>
          </w:tcPr>
          <w:p w14:paraId="200AEF79" w14:textId="77777777" w:rsidR="00B56B65" w:rsidRPr="00B56B65" w:rsidRDefault="00B56B65" w:rsidP="00B56B65">
            <w:pPr>
              <w:spacing w:before="20" w:after="20"/>
              <w:rPr>
                <w:sz w:val="16"/>
                <w:szCs w:val="16"/>
              </w:rPr>
            </w:pPr>
            <w:r w:rsidRPr="00B56B65">
              <w:rPr>
                <w:sz w:val="16"/>
                <w:szCs w:val="16"/>
              </w:rPr>
              <w:t>3</w:t>
            </w:r>
          </w:p>
        </w:tc>
        <w:tc>
          <w:tcPr>
            <w:tcW w:w="597" w:type="dxa"/>
            <w:shd w:val="clear" w:color="auto" w:fill="auto"/>
          </w:tcPr>
          <w:p w14:paraId="5E91BDB6" w14:textId="77777777" w:rsidR="00B56B65" w:rsidRPr="00B56B65" w:rsidRDefault="00B56B65" w:rsidP="00B56B65">
            <w:pPr>
              <w:spacing w:before="20" w:after="20"/>
              <w:jc w:val="right"/>
              <w:rPr>
                <w:sz w:val="16"/>
                <w:szCs w:val="16"/>
              </w:rPr>
            </w:pPr>
            <w:r w:rsidRPr="00B56B65">
              <w:rPr>
                <w:sz w:val="16"/>
                <w:szCs w:val="16"/>
              </w:rPr>
              <w:t>38</w:t>
            </w:r>
          </w:p>
        </w:tc>
        <w:tc>
          <w:tcPr>
            <w:tcW w:w="567" w:type="dxa"/>
            <w:shd w:val="clear" w:color="auto" w:fill="auto"/>
          </w:tcPr>
          <w:p w14:paraId="1827D745" w14:textId="77777777" w:rsidR="00B56B65" w:rsidRPr="00B56B65" w:rsidRDefault="00B56B65" w:rsidP="00B56B65">
            <w:pPr>
              <w:spacing w:before="20" w:after="20"/>
              <w:jc w:val="right"/>
              <w:rPr>
                <w:sz w:val="16"/>
                <w:szCs w:val="16"/>
              </w:rPr>
            </w:pPr>
            <w:r w:rsidRPr="00B56B65">
              <w:rPr>
                <w:sz w:val="16"/>
                <w:szCs w:val="16"/>
              </w:rPr>
              <w:t>12.3</w:t>
            </w:r>
          </w:p>
        </w:tc>
        <w:tc>
          <w:tcPr>
            <w:tcW w:w="993" w:type="dxa"/>
            <w:tcBorders>
              <w:right w:val="single" w:sz="4" w:space="0" w:color="auto"/>
            </w:tcBorders>
            <w:shd w:val="clear" w:color="auto" w:fill="auto"/>
          </w:tcPr>
          <w:p w14:paraId="4B7A37F9" w14:textId="77777777" w:rsidR="00B56B65" w:rsidRPr="00B56B65" w:rsidRDefault="00B56B65" w:rsidP="00B56B65">
            <w:pPr>
              <w:spacing w:before="20" w:after="20"/>
              <w:jc w:val="right"/>
              <w:rPr>
                <w:sz w:val="16"/>
                <w:szCs w:val="16"/>
              </w:rPr>
            </w:pPr>
            <w:r w:rsidRPr="00B56B65">
              <w:rPr>
                <w:sz w:val="16"/>
                <w:szCs w:val="16"/>
              </w:rPr>
              <w:t>(8.1, 16.5)</w:t>
            </w:r>
          </w:p>
        </w:tc>
        <w:tc>
          <w:tcPr>
            <w:tcW w:w="567" w:type="dxa"/>
            <w:tcBorders>
              <w:left w:val="single" w:sz="4" w:space="0" w:color="auto"/>
            </w:tcBorders>
            <w:shd w:val="clear" w:color="auto" w:fill="auto"/>
          </w:tcPr>
          <w:p w14:paraId="2AC2375B" w14:textId="77777777" w:rsidR="00B56B65" w:rsidRPr="00B56B65" w:rsidRDefault="00B56B65" w:rsidP="00B56B65">
            <w:pPr>
              <w:spacing w:before="20" w:after="20"/>
              <w:jc w:val="right"/>
              <w:rPr>
                <w:sz w:val="16"/>
                <w:szCs w:val="16"/>
              </w:rPr>
            </w:pPr>
            <w:r w:rsidRPr="00B56B65">
              <w:rPr>
                <w:sz w:val="16"/>
                <w:szCs w:val="16"/>
              </w:rPr>
              <w:t>38</w:t>
            </w:r>
          </w:p>
        </w:tc>
        <w:tc>
          <w:tcPr>
            <w:tcW w:w="567" w:type="dxa"/>
            <w:shd w:val="clear" w:color="auto" w:fill="auto"/>
          </w:tcPr>
          <w:p w14:paraId="77D2671C" w14:textId="77777777" w:rsidR="00B56B65" w:rsidRPr="00B56B65" w:rsidRDefault="00B56B65" w:rsidP="00B56B65">
            <w:pPr>
              <w:spacing w:before="20" w:after="20"/>
              <w:jc w:val="right"/>
              <w:rPr>
                <w:sz w:val="16"/>
                <w:szCs w:val="16"/>
              </w:rPr>
            </w:pPr>
            <w:r w:rsidRPr="00B56B65">
              <w:rPr>
                <w:sz w:val="16"/>
                <w:szCs w:val="16"/>
              </w:rPr>
              <w:t>17.9</w:t>
            </w:r>
          </w:p>
        </w:tc>
        <w:tc>
          <w:tcPr>
            <w:tcW w:w="992" w:type="dxa"/>
            <w:tcBorders>
              <w:right w:val="single" w:sz="4" w:space="0" w:color="auto"/>
            </w:tcBorders>
            <w:shd w:val="clear" w:color="auto" w:fill="auto"/>
          </w:tcPr>
          <w:p w14:paraId="5DCAA132" w14:textId="77777777" w:rsidR="00B56B65" w:rsidRPr="00B56B65" w:rsidRDefault="00B56B65" w:rsidP="00B56B65">
            <w:pPr>
              <w:spacing w:before="20" w:after="20"/>
              <w:jc w:val="right"/>
              <w:rPr>
                <w:sz w:val="16"/>
                <w:szCs w:val="16"/>
              </w:rPr>
            </w:pPr>
            <w:r w:rsidRPr="00B56B65">
              <w:rPr>
                <w:sz w:val="16"/>
                <w:szCs w:val="16"/>
              </w:rPr>
              <w:t>(12.0, 23.8)</w:t>
            </w:r>
          </w:p>
        </w:tc>
        <w:tc>
          <w:tcPr>
            <w:tcW w:w="567" w:type="dxa"/>
            <w:tcBorders>
              <w:left w:val="single" w:sz="4" w:space="0" w:color="auto"/>
            </w:tcBorders>
            <w:shd w:val="clear" w:color="auto" w:fill="auto"/>
          </w:tcPr>
          <w:p w14:paraId="4196D71A" w14:textId="77777777" w:rsidR="00B56B65" w:rsidRPr="00B56B65" w:rsidRDefault="00B56B65" w:rsidP="00B56B65">
            <w:pPr>
              <w:spacing w:before="20" w:after="20"/>
              <w:jc w:val="right"/>
              <w:rPr>
                <w:sz w:val="16"/>
                <w:szCs w:val="16"/>
              </w:rPr>
            </w:pPr>
            <w:r w:rsidRPr="00B56B65">
              <w:rPr>
                <w:sz w:val="16"/>
                <w:szCs w:val="16"/>
              </w:rPr>
              <w:t>27</w:t>
            </w:r>
          </w:p>
        </w:tc>
        <w:tc>
          <w:tcPr>
            <w:tcW w:w="567" w:type="dxa"/>
            <w:shd w:val="clear" w:color="auto" w:fill="auto"/>
          </w:tcPr>
          <w:p w14:paraId="52C6D56A" w14:textId="77777777" w:rsidR="00B56B65" w:rsidRPr="00B56B65" w:rsidRDefault="00B56B65" w:rsidP="00B56B65">
            <w:pPr>
              <w:spacing w:before="20" w:after="20"/>
              <w:jc w:val="right"/>
              <w:rPr>
                <w:sz w:val="16"/>
                <w:szCs w:val="16"/>
              </w:rPr>
            </w:pPr>
            <w:r w:rsidRPr="00B56B65">
              <w:rPr>
                <w:sz w:val="16"/>
                <w:szCs w:val="16"/>
              </w:rPr>
              <w:t>17.2</w:t>
            </w:r>
          </w:p>
        </w:tc>
        <w:tc>
          <w:tcPr>
            <w:tcW w:w="992" w:type="dxa"/>
            <w:tcBorders>
              <w:right w:val="single" w:sz="4" w:space="0" w:color="auto"/>
            </w:tcBorders>
            <w:shd w:val="clear" w:color="auto" w:fill="auto"/>
          </w:tcPr>
          <w:p w14:paraId="30F61C99" w14:textId="77777777" w:rsidR="00B56B65" w:rsidRPr="00B56B65" w:rsidRDefault="00B56B65" w:rsidP="00B56B65">
            <w:pPr>
              <w:spacing w:before="20" w:after="20"/>
              <w:jc w:val="right"/>
              <w:rPr>
                <w:sz w:val="16"/>
                <w:szCs w:val="16"/>
              </w:rPr>
            </w:pPr>
            <w:r w:rsidRPr="00B56B65">
              <w:rPr>
                <w:sz w:val="16"/>
                <w:szCs w:val="16"/>
              </w:rPr>
              <w:t>(10.6, 23.7)</w:t>
            </w:r>
          </w:p>
        </w:tc>
        <w:tc>
          <w:tcPr>
            <w:tcW w:w="536" w:type="dxa"/>
            <w:tcBorders>
              <w:left w:val="single" w:sz="4" w:space="0" w:color="auto"/>
            </w:tcBorders>
            <w:shd w:val="clear" w:color="auto" w:fill="auto"/>
          </w:tcPr>
          <w:p w14:paraId="6CB3F24B" w14:textId="77777777" w:rsidR="00B56B65" w:rsidRPr="00B56B65" w:rsidRDefault="00B56B65" w:rsidP="00B56B65">
            <w:pPr>
              <w:spacing w:before="20" w:after="20"/>
              <w:jc w:val="right"/>
              <w:rPr>
                <w:sz w:val="16"/>
                <w:szCs w:val="16"/>
              </w:rPr>
            </w:pPr>
            <w:r w:rsidRPr="00B56B65">
              <w:rPr>
                <w:sz w:val="16"/>
                <w:szCs w:val="16"/>
              </w:rPr>
              <w:t>21</w:t>
            </w:r>
          </w:p>
        </w:tc>
        <w:tc>
          <w:tcPr>
            <w:tcW w:w="567" w:type="dxa"/>
            <w:shd w:val="clear" w:color="auto" w:fill="auto"/>
          </w:tcPr>
          <w:p w14:paraId="4E6329D8" w14:textId="77777777" w:rsidR="00B56B65" w:rsidRPr="00B56B65" w:rsidRDefault="00B56B65" w:rsidP="00B56B65">
            <w:pPr>
              <w:spacing w:before="20" w:after="20"/>
              <w:jc w:val="right"/>
              <w:rPr>
                <w:sz w:val="16"/>
                <w:szCs w:val="16"/>
              </w:rPr>
            </w:pPr>
            <w:r w:rsidRPr="00B56B65">
              <w:rPr>
                <w:sz w:val="16"/>
                <w:szCs w:val="16"/>
              </w:rPr>
              <w:t>16.4</w:t>
            </w:r>
          </w:p>
        </w:tc>
        <w:tc>
          <w:tcPr>
            <w:tcW w:w="1023" w:type="dxa"/>
            <w:shd w:val="clear" w:color="auto" w:fill="auto"/>
          </w:tcPr>
          <w:p w14:paraId="4D493463" w14:textId="77777777" w:rsidR="00B56B65" w:rsidRPr="00B56B65" w:rsidRDefault="00B56B65" w:rsidP="00B56B65">
            <w:pPr>
              <w:spacing w:before="20" w:after="20"/>
              <w:jc w:val="right"/>
              <w:rPr>
                <w:sz w:val="16"/>
                <w:szCs w:val="16"/>
              </w:rPr>
            </w:pPr>
            <w:r w:rsidRPr="00B56B65">
              <w:rPr>
                <w:sz w:val="16"/>
                <w:szCs w:val="16"/>
              </w:rPr>
              <w:t>(9.5, 23.4)</w:t>
            </w:r>
          </w:p>
        </w:tc>
      </w:tr>
      <w:tr w:rsidR="00B56B65" w:rsidRPr="007B4EF8" w14:paraId="0408C9A7" w14:textId="77777777" w:rsidTr="00B56B65">
        <w:trPr>
          <w:jc w:val="center"/>
        </w:trPr>
        <w:tc>
          <w:tcPr>
            <w:tcW w:w="2345" w:type="dxa"/>
            <w:shd w:val="clear" w:color="auto" w:fill="auto"/>
          </w:tcPr>
          <w:p w14:paraId="1488493A" w14:textId="77777777" w:rsidR="00B56B65" w:rsidRPr="00B56B65" w:rsidRDefault="00B56B65" w:rsidP="00B56B65">
            <w:pPr>
              <w:spacing w:before="20" w:after="20"/>
              <w:rPr>
                <w:sz w:val="16"/>
                <w:szCs w:val="16"/>
              </w:rPr>
            </w:pPr>
          </w:p>
        </w:tc>
        <w:tc>
          <w:tcPr>
            <w:tcW w:w="1834" w:type="dxa"/>
            <w:shd w:val="clear" w:color="auto" w:fill="auto"/>
          </w:tcPr>
          <w:p w14:paraId="4B6E0498" w14:textId="77777777" w:rsidR="00B56B65" w:rsidRPr="00B56B65" w:rsidRDefault="00B56B65" w:rsidP="00B56B65">
            <w:pPr>
              <w:spacing w:before="20" w:after="20"/>
              <w:rPr>
                <w:sz w:val="16"/>
                <w:szCs w:val="16"/>
              </w:rPr>
            </w:pPr>
            <w:r w:rsidRPr="00B56B65">
              <w:rPr>
                <w:sz w:val="16"/>
                <w:szCs w:val="16"/>
              </w:rPr>
              <w:t>4</w:t>
            </w:r>
          </w:p>
        </w:tc>
        <w:tc>
          <w:tcPr>
            <w:tcW w:w="597" w:type="dxa"/>
            <w:shd w:val="clear" w:color="auto" w:fill="auto"/>
          </w:tcPr>
          <w:p w14:paraId="56B322D8" w14:textId="77777777" w:rsidR="00B56B65" w:rsidRPr="00B56B65" w:rsidRDefault="00B56B65" w:rsidP="00B56B65">
            <w:pPr>
              <w:spacing w:before="20" w:after="20"/>
              <w:jc w:val="right"/>
              <w:rPr>
                <w:sz w:val="16"/>
                <w:szCs w:val="16"/>
              </w:rPr>
            </w:pPr>
            <w:r w:rsidRPr="00B56B65">
              <w:rPr>
                <w:sz w:val="16"/>
                <w:szCs w:val="16"/>
              </w:rPr>
              <w:t>51</w:t>
            </w:r>
          </w:p>
        </w:tc>
        <w:tc>
          <w:tcPr>
            <w:tcW w:w="567" w:type="dxa"/>
            <w:shd w:val="clear" w:color="auto" w:fill="auto"/>
          </w:tcPr>
          <w:p w14:paraId="314C9A54" w14:textId="77777777" w:rsidR="00B56B65" w:rsidRPr="00B56B65" w:rsidRDefault="00B56B65" w:rsidP="00B56B65">
            <w:pPr>
              <w:spacing w:before="20" w:after="20"/>
              <w:jc w:val="right"/>
              <w:rPr>
                <w:sz w:val="16"/>
                <w:szCs w:val="16"/>
              </w:rPr>
            </w:pPr>
            <w:r w:rsidRPr="00B56B65">
              <w:rPr>
                <w:sz w:val="16"/>
                <w:szCs w:val="16"/>
              </w:rPr>
              <w:t>16.4</w:t>
            </w:r>
          </w:p>
        </w:tc>
        <w:tc>
          <w:tcPr>
            <w:tcW w:w="993" w:type="dxa"/>
            <w:tcBorders>
              <w:right w:val="single" w:sz="4" w:space="0" w:color="auto"/>
            </w:tcBorders>
            <w:shd w:val="clear" w:color="auto" w:fill="auto"/>
          </w:tcPr>
          <w:p w14:paraId="62C94488" w14:textId="77777777" w:rsidR="00B56B65" w:rsidRPr="00B56B65" w:rsidRDefault="00B56B65" w:rsidP="00B56B65">
            <w:pPr>
              <w:spacing w:before="20" w:after="20"/>
              <w:jc w:val="right"/>
              <w:rPr>
                <w:sz w:val="16"/>
                <w:szCs w:val="16"/>
              </w:rPr>
            </w:pPr>
            <w:r w:rsidRPr="00B56B65">
              <w:rPr>
                <w:sz w:val="16"/>
                <w:szCs w:val="16"/>
              </w:rPr>
              <w:t>(10.4, 22.9)</w:t>
            </w:r>
          </w:p>
        </w:tc>
        <w:tc>
          <w:tcPr>
            <w:tcW w:w="567" w:type="dxa"/>
            <w:tcBorders>
              <w:left w:val="single" w:sz="4" w:space="0" w:color="auto"/>
            </w:tcBorders>
            <w:shd w:val="clear" w:color="auto" w:fill="auto"/>
          </w:tcPr>
          <w:p w14:paraId="5E570233" w14:textId="77777777" w:rsidR="00B56B65" w:rsidRPr="00B56B65" w:rsidRDefault="00B56B65" w:rsidP="00B56B65">
            <w:pPr>
              <w:spacing w:before="20" w:after="20"/>
              <w:jc w:val="right"/>
              <w:rPr>
                <w:sz w:val="16"/>
                <w:szCs w:val="16"/>
              </w:rPr>
            </w:pPr>
            <w:r w:rsidRPr="00B56B65">
              <w:rPr>
                <w:sz w:val="16"/>
                <w:szCs w:val="16"/>
              </w:rPr>
              <w:t>20</w:t>
            </w:r>
          </w:p>
        </w:tc>
        <w:tc>
          <w:tcPr>
            <w:tcW w:w="567" w:type="dxa"/>
            <w:shd w:val="clear" w:color="auto" w:fill="auto"/>
          </w:tcPr>
          <w:p w14:paraId="4AFC54D7" w14:textId="77777777" w:rsidR="00B56B65" w:rsidRPr="00B56B65" w:rsidRDefault="00B56B65" w:rsidP="00B56B65">
            <w:pPr>
              <w:spacing w:before="20" w:after="20"/>
              <w:jc w:val="right"/>
              <w:rPr>
                <w:sz w:val="16"/>
                <w:szCs w:val="16"/>
              </w:rPr>
            </w:pPr>
            <w:r w:rsidRPr="00B56B65">
              <w:rPr>
                <w:sz w:val="16"/>
                <w:szCs w:val="16"/>
              </w:rPr>
              <w:t>9.4</w:t>
            </w:r>
          </w:p>
        </w:tc>
        <w:tc>
          <w:tcPr>
            <w:tcW w:w="992" w:type="dxa"/>
            <w:tcBorders>
              <w:right w:val="single" w:sz="4" w:space="0" w:color="auto"/>
            </w:tcBorders>
            <w:shd w:val="clear" w:color="auto" w:fill="auto"/>
          </w:tcPr>
          <w:p w14:paraId="4D4F8EAD" w14:textId="77777777" w:rsidR="00B56B65" w:rsidRPr="00B56B65" w:rsidRDefault="00B56B65" w:rsidP="00B56B65">
            <w:pPr>
              <w:spacing w:before="20" w:after="20"/>
              <w:jc w:val="right"/>
              <w:rPr>
                <w:sz w:val="16"/>
                <w:szCs w:val="16"/>
              </w:rPr>
            </w:pPr>
            <w:r w:rsidRPr="00B56B65">
              <w:rPr>
                <w:sz w:val="16"/>
                <w:szCs w:val="16"/>
              </w:rPr>
              <w:t>(5.1, 13.7)</w:t>
            </w:r>
          </w:p>
        </w:tc>
        <w:tc>
          <w:tcPr>
            <w:tcW w:w="567" w:type="dxa"/>
            <w:tcBorders>
              <w:left w:val="single" w:sz="4" w:space="0" w:color="auto"/>
            </w:tcBorders>
            <w:shd w:val="clear" w:color="auto" w:fill="auto"/>
          </w:tcPr>
          <w:p w14:paraId="00216322" w14:textId="77777777" w:rsidR="00B56B65" w:rsidRPr="00B56B65" w:rsidRDefault="00B56B65" w:rsidP="00B56B65">
            <w:pPr>
              <w:spacing w:before="20" w:after="20"/>
              <w:jc w:val="right"/>
              <w:rPr>
                <w:sz w:val="16"/>
                <w:szCs w:val="16"/>
              </w:rPr>
            </w:pPr>
            <w:r w:rsidRPr="00B56B65">
              <w:rPr>
                <w:sz w:val="16"/>
                <w:szCs w:val="16"/>
              </w:rPr>
              <w:t>15</w:t>
            </w:r>
          </w:p>
        </w:tc>
        <w:tc>
          <w:tcPr>
            <w:tcW w:w="567" w:type="dxa"/>
            <w:shd w:val="clear" w:color="auto" w:fill="auto"/>
          </w:tcPr>
          <w:p w14:paraId="1BE4D27D" w14:textId="77777777" w:rsidR="00B56B65" w:rsidRPr="00B56B65" w:rsidRDefault="00B56B65" w:rsidP="00B56B65">
            <w:pPr>
              <w:spacing w:before="20" w:after="20"/>
              <w:jc w:val="right"/>
              <w:rPr>
                <w:sz w:val="16"/>
                <w:szCs w:val="16"/>
              </w:rPr>
            </w:pPr>
            <w:r w:rsidRPr="00B56B65">
              <w:rPr>
                <w:sz w:val="16"/>
                <w:szCs w:val="16"/>
              </w:rPr>
              <w:t>9.4</w:t>
            </w:r>
          </w:p>
        </w:tc>
        <w:tc>
          <w:tcPr>
            <w:tcW w:w="992" w:type="dxa"/>
            <w:tcBorders>
              <w:right w:val="single" w:sz="4" w:space="0" w:color="auto"/>
            </w:tcBorders>
            <w:shd w:val="clear" w:color="auto" w:fill="auto"/>
          </w:tcPr>
          <w:p w14:paraId="346BD5A9" w14:textId="77777777" w:rsidR="00B56B65" w:rsidRPr="00B56B65" w:rsidRDefault="00B56B65" w:rsidP="00B56B65">
            <w:pPr>
              <w:spacing w:before="20" w:after="20"/>
              <w:jc w:val="right"/>
              <w:rPr>
                <w:sz w:val="16"/>
                <w:szCs w:val="16"/>
              </w:rPr>
            </w:pPr>
            <w:r w:rsidRPr="00B56B65">
              <w:rPr>
                <w:sz w:val="16"/>
                <w:szCs w:val="16"/>
              </w:rPr>
              <w:t>(3.8, 15.0)</w:t>
            </w:r>
          </w:p>
        </w:tc>
        <w:tc>
          <w:tcPr>
            <w:tcW w:w="536" w:type="dxa"/>
            <w:tcBorders>
              <w:left w:val="single" w:sz="4" w:space="0" w:color="auto"/>
            </w:tcBorders>
            <w:shd w:val="clear" w:color="auto" w:fill="auto"/>
          </w:tcPr>
          <w:p w14:paraId="27F08ADD" w14:textId="77777777" w:rsidR="00B56B65" w:rsidRPr="00B56B65" w:rsidRDefault="00B56B65" w:rsidP="00B56B65">
            <w:pPr>
              <w:spacing w:before="20" w:after="20"/>
              <w:jc w:val="right"/>
              <w:rPr>
                <w:sz w:val="16"/>
                <w:szCs w:val="16"/>
              </w:rPr>
            </w:pPr>
            <w:r w:rsidRPr="00B56B65">
              <w:rPr>
                <w:sz w:val="16"/>
                <w:szCs w:val="16"/>
              </w:rPr>
              <w:t>11</w:t>
            </w:r>
          </w:p>
        </w:tc>
        <w:tc>
          <w:tcPr>
            <w:tcW w:w="567" w:type="dxa"/>
            <w:shd w:val="clear" w:color="auto" w:fill="auto"/>
          </w:tcPr>
          <w:p w14:paraId="520C0B4A" w14:textId="77777777" w:rsidR="00B56B65" w:rsidRPr="00B56B65" w:rsidRDefault="00B56B65" w:rsidP="00B56B65">
            <w:pPr>
              <w:spacing w:before="20" w:after="20"/>
              <w:jc w:val="right"/>
              <w:rPr>
                <w:sz w:val="16"/>
                <w:szCs w:val="16"/>
              </w:rPr>
            </w:pPr>
            <w:r w:rsidRPr="00B56B65">
              <w:rPr>
                <w:sz w:val="16"/>
                <w:szCs w:val="16"/>
              </w:rPr>
              <w:t>8.7</w:t>
            </w:r>
          </w:p>
        </w:tc>
        <w:tc>
          <w:tcPr>
            <w:tcW w:w="1023" w:type="dxa"/>
            <w:shd w:val="clear" w:color="auto" w:fill="auto"/>
          </w:tcPr>
          <w:p w14:paraId="3319E8E8" w14:textId="77777777" w:rsidR="00B56B65" w:rsidRPr="00B56B65" w:rsidRDefault="00B56B65" w:rsidP="00B56B65">
            <w:pPr>
              <w:spacing w:before="20" w:after="20"/>
              <w:jc w:val="right"/>
              <w:rPr>
                <w:sz w:val="16"/>
                <w:szCs w:val="16"/>
              </w:rPr>
            </w:pPr>
            <w:r w:rsidRPr="00B56B65">
              <w:rPr>
                <w:sz w:val="16"/>
                <w:szCs w:val="16"/>
              </w:rPr>
              <w:t>(2.6, 17.8)</w:t>
            </w:r>
          </w:p>
        </w:tc>
      </w:tr>
      <w:tr w:rsidR="00B56B65" w:rsidRPr="007B4EF8" w14:paraId="7E4C4A10" w14:textId="77777777" w:rsidTr="00B56B65">
        <w:trPr>
          <w:jc w:val="center"/>
        </w:trPr>
        <w:tc>
          <w:tcPr>
            <w:tcW w:w="2345" w:type="dxa"/>
            <w:shd w:val="clear" w:color="auto" w:fill="auto"/>
          </w:tcPr>
          <w:p w14:paraId="602CB613" w14:textId="77777777" w:rsidR="00B56B65" w:rsidRPr="00B56B65" w:rsidRDefault="00B56B65" w:rsidP="00B56B65">
            <w:pPr>
              <w:spacing w:before="20" w:after="20"/>
              <w:rPr>
                <w:sz w:val="16"/>
                <w:szCs w:val="16"/>
              </w:rPr>
            </w:pPr>
          </w:p>
        </w:tc>
        <w:tc>
          <w:tcPr>
            <w:tcW w:w="1834" w:type="dxa"/>
            <w:shd w:val="clear" w:color="auto" w:fill="auto"/>
          </w:tcPr>
          <w:p w14:paraId="2E51EFC3" w14:textId="77777777" w:rsidR="00B56B65" w:rsidRPr="00B56B65" w:rsidRDefault="00B56B65" w:rsidP="00B56B65">
            <w:pPr>
              <w:spacing w:before="20" w:after="20"/>
              <w:rPr>
                <w:sz w:val="16"/>
                <w:szCs w:val="16"/>
              </w:rPr>
            </w:pPr>
            <w:r w:rsidRPr="00B56B65">
              <w:rPr>
                <w:sz w:val="16"/>
                <w:szCs w:val="16"/>
              </w:rPr>
              <w:t>5+</w:t>
            </w:r>
          </w:p>
        </w:tc>
        <w:tc>
          <w:tcPr>
            <w:tcW w:w="597" w:type="dxa"/>
            <w:shd w:val="clear" w:color="auto" w:fill="auto"/>
          </w:tcPr>
          <w:p w14:paraId="1867E528" w14:textId="77777777" w:rsidR="00B56B65" w:rsidRPr="00B56B65" w:rsidRDefault="00B56B65" w:rsidP="00B56B65">
            <w:pPr>
              <w:spacing w:before="20" w:after="20"/>
              <w:jc w:val="right"/>
              <w:rPr>
                <w:sz w:val="16"/>
                <w:szCs w:val="16"/>
              </w:rPr>
            </w:pPr>
            <w:r w:rsidRPr="00B56B65">
              <w:rPr>
                <w:sz w:val="16"/>
                <w:szCs w:val="16"/>
              </w:rPr>
              <w:t>35</w:t>
            </w:r>
          </w:p>
        </w:tc>
        <w:tc>
          <w:tcPr>
            <w:tcW w:w="567" w:type="dxa"/>
            <w:shd w:val="clear" w:color="auto" w:fill="auto"/>
          </w:tcPr>
          <w:p w14:paraId="64CEF6C9" w14:textId="77777777" w:rsidR="00B56B65" w:rsidRPr="00B56B65" w:rsidRDefault="00B56B65" w:rsidP="00B56B65">
            <w:pPr>
              <w:spacing w:before="20" w:after="20"/>
              <w:jc w:val="right"/>
              <w:rPr>
                <w:sz w:val="16"/>
                <w:szCs w:val="16"/>
              </w:rPr>
            </w:pPr>
            <w:r w:rsidRPr="00B56B65">
              <w:rPr>
                <w:sz w:val="16"/>
                <w:szCs w:val="16"/>
              </w:rPr>
              <w:t>11.2</w:t>
            </w:r>
          </w:p>
        </w:tc>
        <w:tc>
          <w:tcPr>
            <w:tcW w:w="993" w:type="dxa"/>
            <w:tcBorders>
              <w:right w:val="single" w:sz="4" w:space="0" w:color="auto"/>
            </w:tcBorders>
            <w:shd w:val="clear" w:color="auto" w:fill="auto"/>
          </w:tcPr>
          <w:p w14:paraId="72DE7341" w14:textId="77777777" w:rsidR="00B56B65" w:rsidRPr="00B56B65" w:rsidRDefault="00B56B65" w:rsidP="00B56B65">
            <w:pPr>
              <w:spacing w:before="20" w:after="20"/>
              <w:jc w:val="right"/>
              <w:rPr>
                <w:sz w:val="16"/>
                <w:szCs w:val="16"/>
              </w:rPr>
            </w:pPr>
            <w:r w:rsidRPr="00B56B65">
              <w:rPr>
                <w:sz w:val="16"/>
                <w:szCs w:val="16"/>
              </w:rPr>
              <w:t>(7.2, 15.2)</w:t>
            </w:r>
          </w:p>
        </w:tc>
        <w:tc>
          <w:tcPr>
            <w:tcW w:w="567" w:type="dxa"/>
            <w:tcBorders>
              <w:left w:val="single" w:sz="4" w:space="0" w:color="auto"/>
            </w:tcBorders>
            <w:shd w:val="clear" w:color="auto" w:fill="auto"/>
          </w:tcPr>
          <w:p w14:paraId="5AF87694" w14:textId="77777777" w:rsidR="00B56B65" w:rsidRPr="00B56B65" w:rsidRDefault="00B56B65" w:rsidP="00B56B65">
            <w:pPr>
              <w:spacing w:before="20" w:after="20"/>
              <w:jc w:val="right"/>
              <w:rPr>
                <w:sz w:val="16"/>
                <w:szCs w:val="16"/>
              </w:rPr>
            </w:pPr>
            <w:r w:rsidRPr="00B56B65">
              <w:rPr>
                <w:sz w:val="16"/>
                <w:szCs w:val="16"/>
              </w:rPr>
              <w:t>28</w:t>
            </w:r>
          </w:p>
        </w:tc>
        <w:tc>
          <w:tcPr>
            <w:tcW w:w="567" w:type="dxa"/>
            <w:shd w:val="clear" w:color="auto" w:fill="auto"/>
          </w:tcPr>
          <w:p w14:paraId="08E9F040" w14:textId="77777777" w:rsidR="00B56B65" w:rsidRPr="00B56B65" w:rsidRDefault="00B56B65" w:rsidP="00B56B65">
            <w:pPr>
              <w:spacing w:before="20" w:after="20"/>
              <w:jc w:val="right"/>
              <w:rPr>
                <w:sz w:val="16"/>
                <w:szCs w:val="16"/>
              </w:rPr>
            </w:pPr>
            <w:r w:rsidRPr="00B56B65">
              <w:rPr>
                <w:sz w:val="16"/>
                <w:szCs w:val="16"/>
              </w:rPr>
              <w:t>13.3</w:t>
            </w:r>
          </w:p>
        </w:tc>
        <w:tc>
          <w:tcPr>
            <w:tcW w:w="992" w:type="dxa"/>
            <w:tcBorders>
              <w:right w:val="single" w:sz="4" w:space="0" w:color="auto"/>
            </w:tcBorders>
            <w:shd w:val="clear" w:color="auto" w:fill="auto"/>
          </w:tcPr>
          <w:p w14:paraId="11B26A9F" w14:textId="77777777" w:rsidR="00B56B65" w:rsidRPr="00B56B65" w:rsidRDefault="00B56B65" w:rsidP="00B56B65">
            <w:pPr>
              <w:spacing w:before="20" w:after="20"/>
              <w:jc w:val="right"/>
              <w:rPr>
                <w:sz w:val="16"/>
                <w:szCs w:val="16"/>
              </w:rPr>
            </w:pPr>
            <w:r w:rsidRPr="00B56B65">
              <w:rPr>
                <w:sz w:val="16"/>
                <w:szCs w:val="16"/>
              </w:rPr>
              <w:t>(7.2, 19.4)</w:t>
            </w:r>
          </w:p>
        </w:tc>
        <w:tc>
          <w:tcPr>
            <w:tcW w:w="567" w:type="dxa"/>
            <w:tcBorders>
              <w:left w:val="single" w:sz="4" w:space="0" w:color="auto"/>
            </w:tcBorders>
            <w:shd w:val="clear" w:color="auto" w:fill="auto"/>
          </w:tcPr>
          <w:p w14:paraId="04B0FF0D" w14:textId="77777777" w:rsidR="00B56B65" w:rsidRPr="00B56B65" w:rsidRDefault="00B56B65" w:rsidP="00B56B65">
            <w:pPr>
              <w:spacing w:before="20" w:after="20"/>
              <w:jc w:val="right"/>
              <w:rPr>
                <w:sz w:val="16"/>
                <w:szCs w:val="16"/>
              </w:rPr>
            </w:pPr>
            <w:r w:rsidRPr="00B56B65">
              <w:rPr>
                <w:sz w:val="16"/>
                <w:szCs w:val="16"/>
              </w:rPr>
              <w:t>7</w:t>
            </w:r>
          </w:p>
        </w:tc>
        <w:tc>
          <w:tcPr>
            <w:tcW w:w="567" w:type="dxa"/>
            <w:shd w:val="clear" w:color="auto" w:fill="auto"/>
          </w:tcPr>
          <w:p w14:paraId="15354C6C" w14:textId="77777777" w:rsidR="00B56B65" w:rsidRPr="00B56B65" w:rsidRDefault="00B56B65" w:rsidP="00B56B65">
            <w:pPr>
              <w:spacing w:before="20" w:after="20"/>
              <w:jc w:val="right"/>
              <w:rPr>
                <w:sz w:val="16"/>
                <w:szCs w:val="16"/>
              </w:rPr>
            </w:pPr>
            <w:r w:rsidRPr="00B56B65">
              <w:rPr>
                <w:sz w:val="16"/>
                <w:szCs w:val="16"/>
              </w:rPr>
              <w:t>4.8</w:t>
            </w:r>
          </w:p>
        </w:tc>
        <w:tc>
          <w:tcPr>
            <w:tcW w:w="992" w:type="dxa"/>
            <w:tcBorders>
              <w:right w:val="single" w:sz="4" w:space="0" w:color="auto"/>
            </w:tcBorders>
            <w:shd w:val="clear" w:color="auto" w:fill="auto"/>
          </w:tcPr>
          <w:p w14:paraId="38C195A4" w14:textId="77777777" w:rsidR="00B56B65" w:rsidRPr="00B56B65" w:rsidRDefault="00B56B65" w:rsidP="00B56B65">
            <w:pPr>
              <w:spacing w:before="20" w:after="20"/>
              <w:jc w:val="right"/>
              <w:rPr>
                <w:sz w:val="16"/>
                <w:szCs w:val="16"/>
              </w:rPr>
            </w:pPr>
            <w:r w:rsidRPr="00B56B65">
              <w:rPr>
                <w:sz w:val="16"/>
                <w:szCs w:val="16"/>
              </w:rPr>
              <w:t>(1.7, 8.0)</w:t>
            </w:r>
          </w:p>
        </w:tc>
        <w:tc>
          <w:tcPr>
            <w:tcW w:w="536" w:type="dxa"/>
            <w:tcBorders>
              <w:left w:val="single" w:sz="4" w:space="0" w:color="auto"/>
            </w:tcBorders>
            <w:shd w:val="clear" w:color="auto" w:fill="auto"/>
          </w:tcPr>
          <w:p w14:paraId="75967636" w14:textId="77777777" w:rsidR="00B56B65" w:rsidRPr="00B56B65" w:rsidRDefault="00B56B65" w:rsidP="00B56B65">
            <w:pPr>
              <w:spacing w:before="20" w:after="20"/>
              <w:jc w:val="right"/>
              <w:rPr>
                <w:sz w:val="16"/>
                <w:szCs w:val="16"/>
              </w:rPr>
            </w:pPr>
            <w:r w:rsidRPr="00B56B65">
              <w:rPr>
                <w:sz w:val="16"/>
                <w:szCs w:val="16"/>
              </w:rPr>
              <w:t>20</w:t>
            </w:r>
          </w:p>
        </w:tc>
        <w:tc>
          <w:tcPr>
            <w:tcW w:w="567" w:type="dxa"/>
            <w:shd w:val="clear" w:color="auto" w:fill="auto"/>
          </w:tcPr>
          <w:p w14:paraId="2841FA51" w14:textId="77777777" w:rsidR="00B56B65" w:rsidRPr="00B56B65" w:rsidRDefault="00B56B65" w:rsidP="00B56B65">
            <w:pPr>
              <w:spacing w:before="20" w:after="20"/>
              <w:jc w:val="right"/>
              <w:rPr>
                <w:sz w:val="16"/>
                <w:szCs w:val="16"/>
              </w:rPr>
            </w:pPr>
            <w:r w:rsidRPr="00B56B65">
              <w:rPr>
                <w:sz w:val="16"/>
                <w:szCs w:val="16"/>
              </w:rPr>
              <w:t>15.7</w:t>
            </w:r>
          </w:p>
        </w:tc>
        <w:tc>
          <w:tcPr>
            <w:tcW w:w="1023" w:type="dxa"/>
            <w:shd w:val="clear" w:color="auto" w:fill="auto"/>
          </w:tcPr>
          <w:p w14:paraId="062CC348" w14:textId="77777777" w:rsidR="00B56B65" w:rsidRPr="00B56B65" w:rsidRDefault="00B56B65" w:rsidP="00B56B65">
            <w:pPr>
              <w:spacing w:before="20" w:after="20"/>
              <w:jc w:val="right"/>
              <w:rPr>
                <w:sz w:val="16"/>
                <w:szCs w:val="16"/>
              </w:rPr>
            </w:pPr>
            <w:r w:rsidRPr="00B56B65">
              <w:rPr>
                <w:sz w:val="16"/>
                <w:szCs w:val="16"/>
              </w:rPr>
              <w:t>(7.0, 24.3)</w:t>
            </w:r>
          </w:p>
        </w:tc>
      </w:tr>
      <w:tr w:rsidR="00B56B65" w:rsidRPr="007B4EF8" w14:paraId="1691A1AC" w14:textId="77777777" w:rsidTr="00B56B65">
        <w:trPr>
          <w:jc w:val="center"/>
        </w:trPr>
        <w:tc>
          <w:tcPr>
            <w:tcW w:w="2345" w:type="dxa"/>
            <w:shd w:val="clear" w:color="auto" w:fill="auto"/>
          </w:tcPr>
          <w:p w14:paraId="4FC24EC2" w14:textId="77777777" w:rsidR="00B56B65" w:rsidRPr="00B56B65" w:rsidRDefault="00B56B65" w:rsidP="00B56B65">
            <w:pPr>
              <w:spacing w:before="20" w:after="20"/>
              <w:rPr>
                <w:sz w:val="16"/>
                <w:szCs w:val="16"/>
              </w:rPr>
            </w:pPr>
            <w:r w:rsidRPr="00B56B65">
              <w:rPr>
                <w:sz w:val="16"/>
                <w:szCs w:val="16"/>
              </w:rPr>
              <w:t>Moderate-risk/problem gambler</w:t>
            </w:r>
          </w:p>
        </w:tc>
        <w:tc>
          <w:tcPr>
            <w:tcW w:w="1834" w:type="dxa"/>
            <w:shd w:val="clear" w:color="auto" w:fill="auto"/>
          </w:tcPr>
          <w:p w14:paraId="6C54478F" w14:textId="77777777" w:rsidR="00B56B65" w:rsidRPr="00B56B65" w:rsidRDefault="00B56B65" w:rsidP="00B56B65">
            <w:pPr>
              <w:spacing w:before="20" w:after="20"/>
              <w:rPr>
                <w:sz w:val="16"/>
                <w:szCs w:val="16"/>
              </w:rPr>
            </w:pPr>
            <w:r w:rsidRPr="00B56B65">
              <w:rPr>
                <w:sz w:val="16"/>
                <w:szCs w:val="16"/>
              </w:rPr>
              <w:t>0</w:t>
            </w:r>
          </w:p>
        </w:tc>
        <w:tc>
          <w:tcPr>
            <w:tcW w:w="597" w:type="dxa"/>
            <w:shd w:val="clear" w:color="auto" w:fill="auto"/>
          </w:tcPr>
          <w:p w14:paraId="784A260B" w14:textId="77777777" w:rsidR="00B56B65" w:rsidRPr="00B56B65" w:rsidRDefault="00B56B65" w:rsidP="00B56B65">
            <w:pPr>
              <w:spacing w:before="20" w:after="20"/>
              <w:jc w:val="right"/>
              <w:rPr>
                <w:sz w:val="16"/>
                <w:szCs w:val="16"/>
              </w:rPr>
            </w:pPr>
            <w:r w:rsidRPr="00B56B65">
              <w:rPr>
                <w:sz w:val="16"/>
                <w:szCs w:val="16"/>
              </w:rPr>
              <w:t>26</w:t>
            </w:r>
          </w:p>
        </w:tc>
        <w:tc>
          <w:tcPr>
            <w:tcW w:w="567" w:type="dxa"/>
            <w:shd w:val="clear" w:color="auto" w:fill="auto"/>
          </w:tcPr>
          <w:p w14:paraId="4FA25FD1" w14:textId="77777777" w:rsidR="00B56B65" w:rsidRPr="00B56B65" w:rsidRDefault="00B56B65" w:rsidP="00B56B65">
            <w:pPr>
              <w:spacing w:before="20" w:after="20"/>
              <w:jc w:val="right"/>
              <w:rPr>
                <w:sz w:val="16"/>
                <w:szCs w:val="16"/>
              </w:rPr>
            </w:pPr>
            <w:r w:rsidRPr="00B56B65">
              <w:rPr>
                <w:sz w:val="16"/>
                <w:szCs w:val="16"/>
              </w:rPr>
              <w:t>17.5</w:t>
            </w:r>
          </w:p>
        </w:tc>
        <w:tc>
          <w:tcPr>
            <w:tcW w:w="993" w:type="dxa"/>
            <w:tcBorders>
              <w:right w:val="single" w:sz="4" w:space="0" w:color="auto"/>
            </w:tcBorders>
            <w:shd w:val="clear" w:color="auto" w:fill="auto"/>
          </w:tcPr>
          <w:p w14:paraId="2342BD74" w14:textId="77777777" w:rsidR="00B56B65" w:rsidRPr="00B56B65" w:rsidRDefault="00B56B65" w:rsidP="00B56B65">
            <w:pPr>
              <w:spacing w:before="20" w:after="20"/>
              <w:jc w:val="right"/>
              <w:rPr>
                <w:sz w:val="16"/>
                <w:szCs w:val="16"/>
              </w:rPr>
            </w:pPr>
            <w:r w:rsidRPr="00B56B65">
              <w:rPr>
                <w:sz w:val="16"/>
                <w:szCs w:val="16"/>
              </w:rPr>
              <w:t>(11.0, 24.0)</w:t>
            </w:r>
          </w:p>
        </w:tc>
        <w:tc>
          <w:tcPr>
            <w:tcW w:w="567" w:type="dxa"/>
            <w:tcBorders>
              <w:left w:val="single" w:sz="4" w:space="0" w:color="auto"/>
            </w:tcBorders>
            <w:shd w:val="clear" w:color="auto" w:fill="auto"/>
          </w:tcPr>
          <w:p w14:paraId="526ACD87" w14:textId="77777777" w:rsidR="00B56B65" w:rsidRPr="00B56B65" w:rsidRDefault="00B56B65" w:rsidP="00B56B65">
            <w:pPr>
              <w:spacing w:before="20" w:after="20"/>
              <w:jc w:val="right"/>
              <w:rPr>
                <w:sz w:val="16"/>
                <w:szCs w:val="16"/>
              </w:rPr>
            </w:pPr>
            <w:r w:rsidRPr="00B56B65">
              <w:rPr>
                <w:sz w:val="16"/>
                <w:szCs w:val="16"/>
              </w:rPr>
              <w:t>16</w:t>
            </w:r>
          </w:p>
        </w:tc>
        <w:tc>
          <w:tcPr>
            <w:tcW w:w="567" w:type="dxa"/>
            <w:shd w:val="clear" w:color="auto" w:fill="auto"/>
          </w:tcPr>
          <w:p w14:paraId="665B8B55" w14:textId="77777777" w:rsidR="00B56B65" w:rsidRPr="00B56B65" w:rsidRDefault="00B56B65" w:rsidP="00B56B65">
            <w:pPr>
              <w:spacing w:before="20" w:after="20"/>
              <w:jc w:val="right"/>
              <w:rPr>
                <w:sz w:val="16"/>
                <w:szCs w:val="16"/>
              </w:rPr>
            </w:pPr>
            <w:r w:rsidRPr="00B56B65">
              <w:rPr>
                <w:sz w:val="16"/>
                <w:szCs w:val="16"/>
              </w:rPr>
              <w:t>21.8</w:t>
            </w:r>
          </w:p>
        </w:tc>
        <w:tc>
          <w:tcPr>
            <w:tcW w:w="992" w:type="dxa"/>
            <w:tcBorders>
              <w:right w:val="single" w:sz="4" w:space="0" w:color="auto"/>
            </w:tcBorders>
            <w:shd w:val="clear" w:color="auto" w:fill="auto"/>
          </w:tcPr>
          <w:p w14:paraId="60FD2D2B" w14:textId="77777777" w:rsidR="00B56B65" w:rsidRPr="00B56B65" w:rsidRDefault="00B56B65" w:rsidP="00B56B65">
            <w:pPr>
              <w:spacing w:before="20" w:after="20"/>
              <w:jc w:val="right"/>
              <w:rPr>
                <w:sz w:val="16"/>
                <w:szCs w:val="16"/>
              </w:rPr>
            </w:pPr>
            <w:r w:rsidRPr="00B56B65">
              <w:rPr>
                <w:sz w:val="16"/>
                <w:szCs w:val="16"/>
              </w:rPr>
              <w:t>(12.2, 31.4)</w:t>
            </w:r>
          </w:p>
        </w:tc>
        <w:tc>
          <w:tcPr>
            <w:tcW w:w="567" w:type="dxa"/>
            <w:tcBorders>
              <w:left w:val="single" w:sz="4" w:space="0" w:color="auto"/>
            </w:tcBorders>
            <w:shd w:val="clear" w:color="auto" w:fill="auto"/>
          </w:tcPr>
          <w:p w14:paraId="6BBABD09" w14:textId="77777777" w:rsidR="00B56B65" w:rsidRPr="00B56B65" w:rsidRDefault="00B56B65" w:rsidP="00B56B65">
            <w:pPr>
              <w:spacing w:before="20" w:after="20"/>
              <w:jc w:val="right"/>
              <w:rPr>
                <w:sz w:val="16"/>
                <w:szCs w:val="16"/>
              </w:rPr>
            </w:pPr>
            <w:r w:rsidRPr="00B56B65">
              <w:rPr>
                <w:sz w:val="16"/>
                <w:szCs w:val="16"/>
              </w:rPr>
              <w:t>12</w:t>
            </w:r>
          </w:p>
        </w:tc>
        <w:tc>
          <w:tcPr>
            <w:tcW w:w="567" w:type="dxa"/>
            <w:shd w:val="clear" w:color="auto" w:fill="auto"/>
          </w:tcPr>
          <w:p w14:paraId="75F2EA1E" w14:textId="77777777" w:rsidR="00B56B65" w:rsidRPr="00B56B65" w:rsidRDefault="00B56B65" w:rsidP="00B56B65">
            <w:pPr>
              <w:spacing w:before="20" w:after="20"/>
              <w:jc w:val="right"/>
              <w:rPr>
                <w:sz w:val="16"/>
                <w:szCs w:val="16"/>
              </w:rPr>
            </w:pPr>
            <w:r w:rsidRPr="00B56B65">
              <w:rPr>
                <w:sz w:val="16"/>
                <w:szCs w:val="16"/>
              </w:rPr>
              <w:t>22.3</w:t>
            </w:r>
          </w:p>
        </w:tc>
        <w:tc>
          <w:tcPr>
            <w:tcW w:w="992" w:type="dxa"/>
            <w:tcBorders>
              <w:right w:val="single" w:sz="4" w:space="0" w:color="auto"/>
            </w:tcBorders>
            <w:shd w:val="clear" w:color="auto" w:fill="auto"/>
          </w:tcPr>
          <w:p w14:paraId="030C77D0" w14:textId="77777777" w:rsidR="00B56B65" w:rsidRPr="00B56B65" w:rsidRDefault="00B56B65" w:rsidP="00B56B65">
            <w:pPr>
              <w:spacing w:before="20" w:after="20"/>
              <w:jc w:val="right"/>
              <w:rPr>
                <w:sz w:val="16"/>
                <w:szCs w:val="16"/>
              </w:rPr>
            </w:pPr>
            <w:r w:rsidRPr="00B56B65">
              <w:rPr>
                <w:sz w:val="16"/>
                <w:szCs w:val="16"/>
              </w:rPr>
              <w:t>(11.4, 33.1)</w:t>
            </w:r>
          </w:p>
        </w:tc>
        <w:tc>
          <w:tcPr>
            <w:tcW w:w="536" w:type="dxa"/>
            <w:tcBorders>
              <w:left w:val="single" w:sz="4" w:space="0" w:color="auto"/>
            </w:tcBorders>
            <w:shd w:val="clear" w:color="auto" w:fill="auto"/>
          </w:tcPr>
          <w:p w14:paraId="105D243B" w14:textId="77777777" w:rsidR="00B56B65" w:rsidRPr="00B56B65" w:rsidRDefault="00B56B65" w:rsidP="00B56B65">
            <w:pPr>
              <w:spacing w:before="20" w:after="20"/>
              <w:jc w:val="right"/>
              <w:rPr>
                <w:sz w:val="16"/>
                <w:szCs w:val="16"/>
              </w:rPr>
            </w:pPr>
            <w:r w:rsidRPr="00B56B65">
              <w:rPr>
                <w:sz w:val="16"/>
                <w:szCs w:val="16"/>
              </w:rPr>
              <w:t>15</w:t>
            </w:r>
          </w:p>
        </w:tc>
        <w:tc>
          <w:tcPr>
            <w:tcW w:w="567" w:type="dxa"/>
            <w:shd w:val="clear" w:color="auto" w:fill="auto"/>
          </w:tcPr>
          <w:p w14:paraId="6043B1B8" w14:textId="77777777" w:rsidR="00B56B65" w:rsidRPr="00B56B65" w:rsidRDefault="00B56B65" w:rsidP="00B56B65">
            <w:pPr>
              <w:spacing w:before="20" w:after="20"/>
              <w:jc w:val="right"/>
              <w:rPr>
                <w:sz w:val="16"/>
                <w:szCs w:val="16"/>
              </w:rPr>
            </w:pPr>
            <w:r w:rsidRPr="00B56B65">
              <w:rPr>
                <w:sz w:val="16"/>
                <w:szCs w:val="16"/>
              </w:rPr>
              <w:t>25.8</w:t>
            </w:r>
          </w:p>
        </w:tc>
        <w:tc>
          <w:tcPr>
            <w:tcW w:w="1023" w:type="dxa"/>
            <w:shd w:val="clear" w:color="auto" w:fill="auto"/>
          </w:tcPr>
          <w:p w14:paraId="2005B8DC" w14:textId="77777777" w:rsidR="00B56B65" w:rsidRPr="00B56B65" w:rsidRDefault="00B56B65" w:rsidP="00B56B65">
            <w:pPr>
              <w:spacing w:before="20" w:after="20"/>
              <w:jc w:val="right"/>
              <w:rPr>
                <w:sz w:val="16"/>
                <w:szCs w:val="16"/>
              </w:rPr>
            </w:pPr>
            <w:r w:rsidRPr="00B56B65">
              <w:rPr>
                <w:sz w:val="16"/>
                <w:szCs w:val="16"/>
              </w:rPr>
              <w:t>(6.0, 45.6)</w:t>
            </w:r>
          </w:p>
        </w:tc>
      </w:tr>
      <w:tr w:rsidR="00B56B65" w:rsidRPr="007B4EF8" w14:paraId="2C1E4989" w14:textId="77777777" w:rsidTr="00B56B65">
        <w:trPr>
          <w:jc w:val="center"/>
        </w:trPr>
        <w:tc>
          <w:tcPr>
            <w:tcW w:w="2345" w:type="dxa"/>
            <w:shd w:val="clear" w:color="auto" w:fill="auto"/>
          </w:tcPr>
          <w:p w14:paraId="6BF3FD7A" w14:textId="77777777" w:rsidR="00B56B65" w:rsidRPr="00B56B65" w:rsidRDefault="00B56B65" w:rsidP="00B56B65">
            <w:pPr>
              <w:spacing w:before="20" w:after="20"/>
              <w:rPr>
                <w:sz w:val="16"/>
                <w:szCs w:val="16"/>
              </w:rPr>
            </w:pPr>
          </w:p>
        </w:tc>
        <w:tc>
          <w:tcPr>
            <w:tcW w:w="1834" w:type="dxa"/>
            <w:shd w:val="clear" w:color="auto" w:fill="auto"/>
          </w:tcPr>
          <w:p w14:paraId="0A5021CB" w14:textId="77777777" w:rsidR="00B56B65" w:rsidRPr="00B56B65" w:rsidRDefault="00B56B65" w:rsidP="00B56B65">
            <w:pPr>
              <w:spacing w:before="20" w:after="20"/>
              <w:rPr>
                <w:sz w:val="16"/>
                <w:szCs w:val="16"/>
              </w:rPr>
            </w:pPr>
            <w:r w:rsidRPr="00B56B65">
              <w:rPr>
                <w:sz w:val="16"/>
                <w:szCs w:val="16"/>
              </w:rPr>
              <w:t>1</w:t>
            </w:r>
          </w:p>
        </w:tc>
        <w:tc>
          <w:tcPr>
            <w:tcW w:w="597" w:type="dxa"/>
            <w:shd w:val="clear" w:color="auto" w:fill="auto"/>
          </w:tcPr>
          <w:p w14:paraId="3F2D0E96" w14:textId="77777777" w:rsidR="00B56B65" w:rsidRPr="00B56B65" w:rsidRDefault="00B56B65" w:rsidP="00B56B65">
            <w:pPr>
              <w:spacing w:before="20" w:after="20"/>
              <w:jc w:val="right"/>
              <w:rPr>
                <w:sz w:val="16"/>
                <w:szCs w:val="16"/>
              </w:rPr>
            </w:pPr>
            <w:r w:rsidRPr="00B56B65">
              <w:rPr>
                <w:sz w:val="16"/>
                <w:szCs w:val="16"/>
              </w:rPr>
              <w:t>31</w:t>
            </w:r>
          </w:p>
        </w:tc>
        <w:tc>
          <w:tcPr>
            <w:tcW w:w="567" w:type="dxa"/>
            <w:shd w:val="clear" w:color="auto" w:fill="auto"/>
          </w:tcPr>
          <w:p w14:paraId="3E955FEB" w14:textId="77777777" w:rsidR="00B56B65" w:rsidRPr="00B56B65" w:rsidRDefault="00B56B65" w:rsidP="00B56B65">
            <w:pPr>
              <w:spacing w:before="20" w:after="20"/>
              <w:jc w:val="right"/>
              <w:rPr>
                <w:sz w:val="16"/>
                <w:szCs w:val="16"/>
              </w:rPr>
            </w:pPr>
            <w:r w:rsidRPr="00B56B65">
              <w:rPr>
                <w:sz w:val="16"/>
                <w:szCs w:val="16"/>
              </w:rPr>
              <w:t>21.0</w:t>
            </w:r>
          </w:p>
        </w:tc>
        <w:tc>
          <w:tcPr>
            <w:tcW w:w="993" w:type="dxa"/>
            <w:tcBorders>
              <w:right w:val="single" w:sz="4" w:space="0" w:color="auto"/>
            </w:tcBorders>
            <w:shd w:val="clear" w:color="auto" w:fill="auto"/>
          </w:tcPr>
          <w:p w14:paraId="038D8288" w14:textId="77777777" w:rsidR="00B56B65" w:rsidRPr="00B56B65" w:rsidRDefault="00B56B65" w:rsidP="00B56B65">
            <w:pPr>
              <w:spacing w:before="20" w:after="20"/>
              <w:jc w:val="right"/>
              <w:rPr>
                <w:sz w:val="16"/>
                <w:szCs w:val="16"/>
              </w:rPr>
            </w:pPr>
            <w:r w:rsidRPr="00B56B65">
              <w:rPr>
                <w:sz w:val="16"/>
                <w:szCs w:val="16"/>
              </w:rPr>
              <w:t>(13.7, 28.4)</w:t>
            </w:r>
          </w:p>
        </w:tc>
        <w:tc>
          <w:tcPr>
            <w:tcW w:w="567" w:type="dxa"/>
            <w:tcBorders>
              <w:left w:val="single" w:sz="4" w:space="0" w:color="auto"/>
            </w:tcBorders>
            <w:shd w:val="clear" w:color="auto" w:fill="auto"/>
          </w:tcPr>
          <w:p w14:paraId="66D54BCF" w14:textId="77777777" w:rsidR="00B56B65" w:rsidRPr="00B56B65" w:rsidRDefault="00B56B65" w:rsidP="00B56B65">
            <w:pPr>
              <w:spacing w:before="20" w:after="20"/>
              <w:jc w:val="right"/>
              <w:rPr>
                <w:sz w:val="16"/>
                <w:szCs w:val="16"/>
              </w:rPr>
            </w:pPr>
            <w:r w:rsidRPr="00B56B65">
              <w:rPr>
                <w:sz w:val="16"/>
                <w:szCs w:val="16"/>
              </w:rPr>
              <w:t>21</w:t>
            </w:r>
          </w:p>
        </w:tc>
        <w:tc>
          <w:tcPr>
            <w:tcW w:w="567" w:type="dxa"/>
            <w:shd w:val="clear" w:color="auto" w:fill="auto"/>
          </w:tcPr>
          <w:p w14:paraId="1FCA2B14" w14:textId="77777777" w:rsidR="00B56B65" w:rsidRPr="00B56B65" w:rsidRDefault="00B56B65" w:rsidP="00B56B65">
            <w:pPr>
              <w:spacing w:before="20" w:after="20"/>
              <w:jc w:val="right"/>
              <w:rPr>
                <w:sz w:val="16"/>
                <w:szCs w:val="16"/>
              </w:rPr>
            </w:pPr>
            <w:r w:rsidRPr="00B56B65">
              <w:rPr>
                <w:sz w:val="16"/>
                <w:szCs w:val="16"/>
              </w:rPr>
              <w:t>28.4</w:t>
            </w:r>
          </w:p>
        </w:tc>
        <w:tc>
          <w:tcPr>
            <w:tcW w:w="992" w:type="dxa"/>
            <w:tcBorders>
              <w:right w:val="single" w:sz="4" w:space="0" w:color="auto"/>
            </w:tcBorders>
            <w:shd w:val="clear" w:color="auto" w:fill="auto"/>
          </w:tcPr>
          <w:p w14:paraId="29E360CE" w14:textId="77777777" w:rsidR="00B56B65" w:rsidRPr="00B56B65" w:rsidRDefault="00B56B65" w:rsidP="00B56B65">
            <w:pPr>
              <w:spacing w:before="20" w:after="20"/>
              <w:jc w:val="right"/>
              <w:rPr>
                <w:sz w:val="16"/>
                <w:szCs w:val="16"/>
              </w:rPr>
            </w:pPr>
            <w:r w:rsidRPr="00B56B65">
              <w:rPr>
                <w:sz w:val="16"/>
                <w:szCs w:val="16"/>
              </w:rPr>
              <w:t>(16.8, 40.0)</w:t>
            </w:r>
          </w:p>
        </w:tc>
        <w:tc>
          <w:tcPr>
            <w:tcW w:w="567" w:type="dxa"/>
            <w:tcBorders>
              <w:left w:val="single" w:sz="4" w:space="0" w:color="auto"/>
            </w:tcBorders>
            <w:shd w:val="clear" w:color="auto" w:fill="auto"/>
          </w:tcPr>
          <w:p w14:paraId="13057DB4" w14:textId="77777777" w:rsidR="00B56B65" w:rsidRPr="00B56B65" w:rsidRDefault="00B56B65" w:rsidP="00B56B65">
            <w:pPr>
              <w:spacing w:before="20" w:after="20"/>
              <w:jc w:val="right"/>
              <w:rPr>
                <w:sz w:val="16"/>
                <w:szCs w:val="16"/>
              </w:rPr>
            </w:pPr>
            <w:r w:rsidRPr="00B56B65">
              <w:rPr>
                <w:sz w:val="16"/>
                <w:szCs w:val="16"/>
              </w:rPr>
              <w:t>15</w:t>
            </w:r>
          </w:p>
        </w:tc>
        <w:tc>
          <w:tcPr>
            <w:tcW w:w="567" w:type="dxa"/>
            <w:shd w:val="clear" w:color="auto" w:fill="auto"/>
          </w:tcPr>
          <w:p w14:paraId="54B42513" w14:textId="77777777" w:rsidR="00B56B65" w:rsidRPr="00B56B65" w:rsidRDefault="00B56B65" w:rsidP="00B56B65">
            <w:pPr>
              <w:spacing w:before="20" w:after="20"/>
              <w:jc w:val="right"/>
              <w:rPr>
                <w:sz w:val="16"/>
                <w:szCs w:val="16"/>
              </w:rPr>
            </w:pPr>
            <w:r w:rsidRPr="00B56B65">
              <w:rPr>
                <w:sz w:val="16"/>
                <w:szCs w:val="16"/>
              </w:rPr>
              <w:t>26.8</w:t>
            </w:r>
          </w:p>
        </w:tc>
        <w:tc>
          <w:tcPr>
            <w:tcW w:w="992" w:type="dxa"/>
            <w:tcBorders>
              <w:right w:val="single" w:sz="4" w:space="0" w:color="auto"/>
            </w:tcBorders>
            <w:shd w:val="clear" w:color="auto" w:fill="auto"/>
          </w:tcPr>
          <w:p w14:paraId="1DFF3D12" w14:textId="77777777" w:rsidR="00B56B65" w:rsidRPr="00B56B65" w:rsidRDefault="00B56B65" w:rsidP="00B56B65">
            <w:pPr>
              <w:spacing w:before="20" w:after="20"/>
              <w:jc w:val="right"/>
              <w:rPr>
                <w:sz w:val="16"/>
                <w:szCs w:val="16"/>
              </w:rPr>
            </w:pPr>
            <w:r w:rsidRPr="00B56B65">
              <w:rPr>
                <w:sz w:val="16"/>
                <w:szCs w:val="16"/>
              </w:rPr>
              <w:t>(15.6, 37.9)</w:t>
            </w:r>
          </w:p>
        </w:tc>
        <w:tc>
          <w:tcPr>
            <w:tcW w:w="536" w:type="dxa"/>
            <w:tcBorders>
              <w:left w:val="single" w:sz="4" w:space="0" w:color="auto"/>
            </w:tcBorders>
            <w:shd w:val="clear" w:color="auto" w:fill="auto"/>
          </w:tcPr>
          <w:p w14:paraId="63D695FB" w14:textId="77777777" w:rsidR="00B56B65" w:rsidRPr="00B56B65" w:rsidRDefault="00B56B65" w:rsidP="00B56B65">
            <w:pPr>
              <w:spacing w:before="20" w:after="20"/>
              <w:jc w:val="right"/>
              <w:rPr>
                <w:sz w:val="16"/>
                <w:szCs w:val="16"/>
              </w:rPr>
            </w:pPr>
            <w:r w:rsidRPr="00B56B65">
              <w:rPr>
                <w:sz w:val="16"/>
                <w:szCs w:val="16"/>
              </w:rPr>
              <w:t>16</w:t>
            </w:r>
          </w:p>
        </w:tc>
        <w:tc>
          <w:tcPr>
            <w:tcW w:w="567" w:type="dxa"/>
            <w:shd w:val="clear" w:color="auto" w:fill="auto"/>
          </w:tcPr>
          <w:p w14:paraId="3A44B219" w14:textId="77777777" w:rsidR="00B56B65" w:rsidRPr="00B56B65" w:rsidRDefault="00B56B65" w:rsidP="00B56B65">
            <w:pPr>
              <w:spacing w:before="20" w:after="20"/>
              <w:jc w:val="right"/>
              <w:rPr>
                <w:sz w:val="16"/>
                <w:szCs w:val="16"/>
              </w:rPr>
            </w:pPr>
            <w:r w:rsidRPr="00B56B65">
              <w:rPr>
                <w:sz w:val="16"/>
                <w:szCs w:val="16"/>
              </w:rPr>
              <w:t>28.5</w:t>
            </w:r>
          </w:p>
        </w:tc>
        <w:tc>
          <w:tcPr>
            <w:tcW w:w="1023" w:type="dxa"/>
            <w:shd w:val="clear" w:color="auto" w:fill="auto"/>
          </w:tcPr>
          <w:p w14:paraId="787142D8" w14:textId="77777777" w:rsidR="00B56B65" w:rsidRPr="00B56B65" w:rsidRDefault="00B56B65" w:rsidP="00B56B65">
            <w:pPr>
              <w:spacing w:before="20" w:after="20"/>
              <w:jc w:val="right"/>
              <w:rPr>
                <w:sz w:val="16"/>
                <w:szCs w:val="16"/>
              </w:rPr>
            </w:pPr>
            <w:r w:rsidRPr="00B56B65">
              <w:rPr>
                <w:sz w:val="16"/>
                <w:szCs w:val="16"/>
              </w:rPr>
              <w:t>(14.9, 42.2)</w:t>
            </w:r>
          </w:p>
        </w:tc>
      </w:tr>
      <w:tr w:rsidR="00B56B65" w:rsidRPr="007B4EF8" w14:paraId="78C203A3" w14:textId="77777777" w:rsidTr="00B56B65">
        <w:trPr>
          <w:jc w:val="center"/>
        </w:trPr>
        <w:tc>
          <w:tcPr>
            <w:tcW w:w="2345" w:type="dxa"/>
            <w:shd w:val="clear" w:color="auto" w:fill="auto"/>
          </w:tcPr>
          <w:p w14:paraId="20F7EA5B" w14:textId="77777777" w:rsidR="00B56B65" w:rsidRPr="00B56B65" w:rsidRDefault="00B56B65" w:rsidP="00B56B65">
            <w:pPr>
              <w:spacing w:before="20" w:after="20"/>
              <w:rPr>
                <w:sz w:val="16"/>
                <w:szCs w:val="16"/>
              </w:rPr>
            </w:pPr>
          </w:p>
        </w:tc>
        <w:tc>
          <w:tcPr>
            <w:tcW w:w="1834" w:type="dxa"/>
            <w:shd w:val="clear" w:color="auto" w:fill="auto"/>
          </w:tcPr>
          <w:p w14:paraId="61E679E0" w14:textId="77777777" w:rsidR="00B56B65" w:rsidRPr="00B56B65" w:rsidRDefault="00B56B65" w:rsidP="00B56B65">
            <w:pPr>
              <w:spacing w:before="20" w:after="20"/>
              <w:rPr>
                <w:sz w:val="16"/>
                <w:szCs w:val="16"/>
              </w:rPr>
            </w:pPr>
            <w:r w:rsidRPr="00B56B65">
              <w:rPr>
                <w:sz w:val="16"/>
                <w:szCs w:val="16"/>
              </w:rPr>
              <w:t>2</w:t>
            </w:r>
          </w:p>
        </w:tc>
        <w:tc>
          <w:tcPr>
            <w:tcW w:w="597" w:type="dxa"/>
            <w:shd w:val="clear" w:color="auto" w:fill="auto"/>
          </w:tcPr>
          <w:p w14:paraId="61DE77E4" w14:textId="77777777" w:rsidR="00B56B65" w:rsidRPr="00B56B65" w:rsidRDefault="00B56B65" w:rsidP="00B56B65">
            <w:pPr>
              <w:spacing w:before="20" w:after="20"/>
              <w:jc w:val="right"/>
              <w:rPr>
                <w:sz w:val="16"/>
                <w:szCs w:val="16"/>
              </w:rPr>
            </w:pPr>
            <w:r w:rsidRPr="00B56B65">
              <w:rPr>
                <w:sz w:val="16"/>
                <w:szCs w:val="16"/>
              </w:rPr>
              <w:t>29</w:t>
            </w:r>
          </w:p>
        </w:tc>
        <w:tc>
          <w:tcPr>
            <w:tcW w:w="567" w:type="dxa"/>
            <w:shd w:val="clear" w:color="auto" w:fill="auto"/>
          </w:tcPr>
          <w:p w14:paraId="2EAA46C9" w14:textId="77777777" w:rsidR="00B56B65" w:rsidRPr="00B56B65" w:rsidRDefault="00B56B65" w:rsidP="00B56B65">
            <w:pPr>
              <w:spacing w:before="20" w:after="20"/>
              <w:jc w:val="right"/>
              <w:rPr>
                <w:sz w:val="16"/>
                <w:szCs w:val="16"/>
              </w:rPr>
            </w:pPr>
            <w:r w:rsidRPr="00B56B65">
              <w:rPr>
                <w:sz w:val="16"/>
                <w:szCs w:val="16"/>
              </w:rPr>
              <w:t>19.4</w:t>
            </w:r>
          </w:p>
        </w:tc>
        <w:tc>
          <w:tcPr>
            <w:tcW w:w="993" w:type="dxa"/>
            <w:tcBorders>
              <w:right w:val="single" w:sz="4" w:space="0" w:color="auto"/>
            </w:tcBorders>
            <w:shd w:val="clear" w:color="auto" w:fill="auto"/>
          </w:tcPr>
          <w:p w14:paraId="556A6882" w14:textId="77777777" w:rsidR="00B56B65" w:rsidRPr="00B56B65" w:rsidRDefault="00B56B65" w:rsidP="00B56B65">
            <w:pPr>
              <w:spacing w:before="20" w:after="20"/>
              <w:jc w:val="right"/>
              <w:rPr>
                <w:sz w:val="16"/>
                <w:szCs w:val="16"/>
              </w:rPr>
            </w:pPr>
            <w:r w:rsidRPr="00B56B65">
              <w:rPr>
                <w:sz w:val="16"/>
                <w:szCs w:val="16"/>
              </w:rPr>
              <w:t>(12.4, 26.4)</w:t>
            </w:r>
          </w:p>
        </w:tc>
        <w:tc>
          <w:tcPr>
            <w:tcW w:w="567" w:type="dxa"/>
            <w:tcBorders>
              <w:left w:val="single" w:sz="4" w:space="0" w:color="auto"/>
            </w:tcBorders>
            <w:shd w:val="clear" w:color="auto" w:fill="auto"/>
          </w:tcPr>
          <w:p w14:paraId="6E3814BF" w14:textId="77777777" w:rsidR="00B56B65" w:rsidRPr="00B56B65" w:rsidRDefault="00B56B65" w:rsidP="00B56B65">
            <w:pPr>
              <w:spacing w:before="20" w:after="20"/>
              <w:jc w:val="right"/>
              <w:rPr>
                <w:sz w:val="16"/>
                <w:szCs w:val="16"/>
              </w:rPr>
            </w:pPr>
            <w:r w:rsidRPr="00B56B65">
              <w:rPr>
                <w:sz w:val="16"/>
                <w:szCs w:val="16"/>
              </w:rPr>
              <w:t>11</w:t>
            </w:r>
          </w:p>
        </w:tc>
        <w:tc>
          <w:tcPr>
            <w:tcW w:w="567" w:type="dxa"/>
            <w:shd w:val="clear" w:color="auto" w:fill="auto"/>
          </w:tcPr>
          <w:p w14:paraId="7880D533" w14:textId="77777777" w:rsidR="00B56B65" w:rsidRPr="00B56B65" w:rsidRDefault="00B56B65" w:rsidP="00B56B65">
            <w:pPr>
              <w:spacing w:before="20" w:after="20"/>
              <w:jc w:val="right"/>
              <w:rPr>
                <w:sz w:val="16"/>
                <w:szCs w:val="16"/>
              </w:rPr>
            </w:pPr>
            <w:r w:rsidRPr="00B56B65">
              <w:rPr>
                <w:sz w:val="16"/>
                <w:szCs w:val="16"/>
              </w:rPr>
              <w:t>14.6</w:t>
            </w:r>
          </w:p>
        </w:tc>
        <w:tc>
          <w:tcPr>
            <w:tcW w:w="992" w:type="dxa"/>
            <w:tcBorders>
              <w:right w:val="single" w:sz="4" w:space="0" w:color="auto"/>
            </w:tcBorders>
            <w:shd w:val="clear" w:color="auto" w:fill="auto"/>
          </w:tcPr>
          <w:p w14:paraId="01800270" w14:textId="77777777" w:rsidR="00B56B65" w:rsidRPr="00B56B65" w:rsidRDefault="00B56B65" w:rsidP="00B56B65">
            <w:pPr>
              <w:spacing w:before="20" w:after="20"/>
              <w:jc w:val="right"/>
              <w:rPr>
                <w:sz w:val="16"/>
                <w:szCs w:val="16"/>
              </w:rPr>
            </w:pPr>
            <w:r w:rsidRPr="00B56B65">
              <w:rPr>
                <w:sz w:val="16"/>
                <w:szCs w:val="16"/>
              </w:rPr>
              <w:t>(7.0, 22.2)</w:t>
            </w:r>
          </w:p>
        </w:tc>
        <w:tc>
          <w:tcPr>
            <w:tcW w:w="567" w:type="dxa"/>
            <w:tcBorders>
              <w:left w:val="single" w:sz="4" w:space="0" w:color="auto"/>
            </w:tcBorders>
            <w:shd w:val="clear" w:color="auto" w:fill="auto"/>
          </w:tcPr>
          <w:p w14:paraId="26EA2E5F" w14:textId="77777777" w:rsidR="00B56B65" w:rsidRPr="00B56B65" w:rsidRDefault="00B56B65" w:rsidP="00B56B65">
            <w:pPr>
              <w:spacing w:before="20" w:after="20"/>
              <w:jc w:val="right"/>
              <w:rPr>
                <w:sz w:val="16"/>
                <w:szCs w:val="16"/>
              </w:rPr>
            </w:pPr>
            <w:r w:rsidRPr="00B56B65">
              <w:rPr>
                <w:sz w:val="16"/>
                <w:szCs w:val="16"/>
              </w:rPr>
              <w:t>10</w:t>
            </w:r>
          </w:p>
        </w:tc>
        <w:tc>
          <w:tcPr>
            <w:tcW w:w="567" w:type="dxa"/>
            <w:shd w:val="clear" w:color="auto" w:fill="auto"/>
          </w:tcPr>
          <w:p w14:paraId="0101C863" w14:textId="77777777" w:rsidR="00B56B65" w:rsidRPr="00B56B65" w:rsidRDefault="00B56B65" w:rsidP="00B56B65">
            <w:pPr>
              <w:spacing w:before="20" w:after="20"/>
              <w:jc w:val="right"/>
              <w:rPr>
                <w:sz w:val="16"/>
                <w:szCs w:val="16"/>
              </w:rPr>
            </w:pPr>
            <w:r w:rsidRPr="00B56B65">
              <w:rPr>
                <w:sz w:val="16"/>
                <w:szCs w:val="16"/>
              </w:rPr>
              <w:t>18.1</w:t>
            </w:r>
          </w:p>
        </w:tc>
        <w:tc>
          <w:tcPr>
            <w:tcW w:w="992" w:type="dxa"/>
            <w:tcBorders>
              <w:right w:val="single" w:sz="4" w:space="0" w:color="auto"/>
            </w:tcBorders>
            <w:shd w:val="clear" w:color="auto" w:fill="auto"/>
          </w:tcPr>
          <w:p w14:paraId="3C711CB9" w14:textId="77777777" w:rsidR="00B56B65" w:rsidRPr="00B56B65" w:rsidRDefault="00B56B65" w:rsidP="00B56B65">
            <w:pPr>
              <w:spacing w:before="20" w:after="20"/>
              <w:jc w:val="right"/>
              <w:rPr>
                <w:sz w:val="16"/>
                <w:szCs w:val="16"/>
              </w:rPr>
            </w:pPr>
            <w:r w:rsidRPr="00B56B65">
              <w:rPr>
                <w:sz w:val="16"/>
                <w:szCs w:val="16"/>
              </w:rPr>
              <w:t>(9.0, 27.1)</w:t>
            </w:r>
          </w:p>
        </w:tc>
        <w:tc>
          <w:tcPr>
            <w:tcW w:w="536" w:type="dxa"/>
            <w:tcBorders>
              <w:left w:val="single" w:sz="4" w:space="0" w:color="auto"/>
            </w:tcBorders>
            <w:shd w:val="clear" w:color="auto" w:fill="auto"/>
          </w:tcPr>
          <w:p w14:paraId="5A67C17B" w14:textId="77777777" w:rsidR="00B56B65" w:rsidRPr="00B56B65" w:rsidRDefault="00B56B65" w:rsidP="00B56B65">
            <w:pPr>
              <w:spacing w:before="20" w:after="20"/>
              <w:jc w:val="right"/>
              <w:rPr>
                <w:sz w:val="16"/>
                <w:szCs w:val="16"/>
              </w:rPr>
            </w:pPr>
            <w:r w:rsidRPr="00B56B65">
              <w:rPr>
                <w:sz w:val="16"/>
                <w:szCs w:val="16"/>
              </w:rPr>
              <w:t>8</w:t>
            </w:r>
          </w:p>
        </w:tc>
        <w:tc>
          <w:tcPr>
            <w:tcW w:w="567" w:type="dxa"/>
            <w:shd w:val="clear" w:color="auto" w:fill="auto"/>
          </w:tcPr>
          <w:p w14:paraId="59767854" w14:textId="77777777" w:rsidR="00B56B65" w:rsidRPr="00B56B65" w:rsidRDefault="00B56B65" w:rsidP="00B56B65">
            <w:pPr>
              <w:spacing w:before="20" w:after="20"/>
              <w:jc w:val="right"/>
              <w:rPr>
                <w:sz w:val="16"/>
                <w:szCs w:val="16"/>
              </w:rPr>
            </w:pPr>
            <w:r w:rsidRPr="00B56B65">
              <w:rPr>
                <w:sz w:val="16"/>
                <w:szCs w:val="16"/>
              </w:rPr>
              <w:t>13.8</w:t>
            </w:r>
          </w:p>
        </w:tc>
        <w:tc>
          <w:tcPr>
            <w:tcW w:w="1023" w:type="dxa"/>
            <w:shd w:val="clear" w:color="auto" w:fill="auto"/>
          </w:tcPr>
          <w:p w14:paraId="30F316E4" w14:textId="77777777" w:rsidR="00B56B65" w:rsidRPr="00B56B65" w:rsidRDefault="00B56B65" w:rsidP="00B56B65">
            <w:pPr>
              <w:spacing w:before="20" w:after="20"/>
              <w:jc w:val="right"/>
              <w:rPr>
                <w:sz w:val="16"/>
                <w:szCs w:val="16"/>
              </w:rPr>
            </w:pPr>
            <w:r w:rsidRPr="00B56B65">
              <w:rPr>
                <w:sz w:val="16"/>
                <w:szCs w:val="16"/>
              </w:rPr>
              <w:t>(4.9, 22.8)</w:t>
            </w:r>
          </w:p>
        </w:tc>
      </w:tr>
      <w:tr w:rsidR="00B56B65" w:rsidRPr="007B4EF8" w14:paraId="66753AC8" w14:textId="77777777" w:rsidTr="00B56B65">
        <w:trPr>
          <w:jc w:val="center"/>
        </w:trPr>
        <w:tc>
          <w:tcPr>
            <w:tcW w:w="2345" w:type="dxa"/>
            <w:shd w:val="clear" w:color="auto" w:fill="auto"/>
          </w:tcPr>
          <w:p w14:paraId="46128A1D" w14:textId="77777777" w:rsidR="00B56B65" w:rsidRPr="00B56B65" w:rsidRDefault="00B56B65" w:rsidP="00B56B65">
            <w:pPr>
              <w:spacing w:before="20" w:after="20"/>
              <w:rPr>
                <w:sz w:val="16"/>
                <w:szCs w:val="16"/>
              </w:rPr>
            </w:pPr>
          </w:p>
        </w:tc>
        <w:tc>
          <w:tcPr>
            <w:tcW w:w="1834" w:type="dxa"/>
            <w:shd w:val="clear" w:color="auto" w:fill="auto"/>
          </w:tcPr>
          <w:p w14:paraId="504944CA" w14:textId="77777777" w:rsidR="00B56B65" w:rsidRPr="00B56B65" w:rsidRDefault="00B56B65" w:rsidP="00B56B65">
            <w:pPr>
              <w:spacing w:before="20" w:after="20"/>
              <w:rPr>
                <w:sz w:val="16"/>
                <w:szCs w:val="16"/>
              </w:rPr>
            </w:pPr>
            <w:r w:rsidRPr="00B56B65">
              <w:rPr>
                <w:sz w:val="16"/>
                <w:szCs w:val="16"/>
              </w:rPr>
              <w:t>3</w:t>
            </w:r>
          </w:p>
        </w:tc>
        <w:tc>
          <w:tcPr>
            <w:tcW w:w="597" w:type="dxa"/>
            <w:shd w:val="clear" w:color="auto" w:fill="auto"/>
          </w:tcPr>
          <w:p w14:paraId="25E0D373" w14:textId="77777777" w:rsidR="00B56B65" w:rsidRPr="00B56B65" w:rsidRDefault="00B56B65" w:rsidP="00B56B65">
            <w:pPr>
              <w:spacing w:before="20" w:after="20"/>
              <w:jc w:val="right"/>
              <w:rPr>
                <w:sz w:val="16"/>
                <w:szCs w:val="16"/>
              </w:rPr>
            </w:pPr>
            <w:r w:rsidRPr="00B56B65">
              <w:rPr>
                <w:sz w:val="16"/>
                <w:szCs w:val="16"/>
              </w:rPr>
              <w:t>26</w:t>
            </w:r>
          </w:p>
        </w:tc>
        <w:tc>
          <w:tcPr>
            <w:tcW w:w="567" w:type="dxa"/>
            <w:shd w:val="clear" w:color="auto" w:fill="auto"/>
          </w:tcPr>
          <w:p w14:paraId="3D1CA2FE" w14:textId="77777777" w:rsidR="00B56B65" w:rsidRPr="00B56B65" w:rsidRDefault="00B56B65" w:rsidP="00B56B65">
            <w:pPr>
              <w:spacing w:before="20" w:after="20"/>
              <w:jc w:val="right"/>
              <w:rPr>
                <w:sz w:val="16"/>
                <w:szCs w:val="16"/>
              </w:rPr>
            </w:pPr>
            <w:r w:rsidRPr="00B56B65">
              <w:rPr>
                <w:sz w:val="16"/>
                <w:szCs w:val="16"/>
              </w:rPr>
              <w:t>17.7</w:t>
            </w:r>
          </w:p>
        </w:tc>
        <w:tc>
          <w:tcPr>
            <w:tcW w:w="993" w:type="dxa"/>
            <w:tcBorders>
              <w:right w:val="single" w:sz="4" w:space="0" w:color="auto"/>
            </w:tcBorders>
            <w:shd w:val="clear" w:color="auto" w:fill="auto"/>
          </w:tcPr>
          <w:p w14:paraId="0EA5B74E" w14:textId="77777777" w:rsidR="00B56B65" w:rsidRPr="00B56B65" w:rsidRDefault="00B56B65" w:rsidP="00B56B65">
            <w:pPr>
              <w:spacing w:before="20" w:after="20"/>
              <w:jc w:val="right"/>
              <w:rPr>
                <w:sz w:val="16"/>
                <w:szCs w:val="16"/>
              </w:rPr>
            </w:pPr>
            <w:r w:rsidRPr="00B56B65">
              <w:rPr>
                <w:sz w:val="16"/>
                <w:szCs w:val="16"/>
              </w:rPr>
              <w:t>(9.9, 25.5)</w:t>
            </w:r>
          </w:p>
        </w:tc>
        <w:tc>
          <w:tcPr>
            <w:tcW w:w="567" w:type="dxa"/>
            <w:tcBorders>
              <w:left w:val="single" w:sz="4" w:space="0" w:color="auto"/>
            </w:tcBorders>
            <w:shd w:val="clear" w:color="auto" w:fill="auto"/>
          </w:tcPr>
          <w:p w14:paraId="0675D453" w14:textId="77777777" w:rsidR="00B56B65" w:rsidRPr="00B56B65" w:rsidRDefault="00B56B65" w:rsidP="00B56B65">
            <w:pPr>
              <w:spacing w:before="20" w:after="20"/>
              <w:jc w:val="right"/>
              <w:rPr>
                <w:sz w:val="16"/>
                <w:szCs w:val="16"/>
              </w:rPr>
            </w:pPr>
            <w:r w:rsidRPr="00B56B65">
              <w:rPr>
                <w:sz w:val="16"/>
                <w:szCs w:val="16"/>
              </w:rPr>
              <w:t>15</w:t>
            </w:r>
          </w:p>
        </w:tc>
        <w:tc>
          <w:tcPr>
            <w:tcW w:w="567" w:type="dxa"/>
            <w:shd w:val="clear" w:color="auto" w:fill="auto"/>
          </w:tcPr>
          <w:p w14:paraId="715F3556" w14:textId="77777777" w:rsidR="00B56B65" w:rsidRPr="00B56B65" w:rsidRDefault="00B56B65" w:rsidP="00B56B65">
            <w:pPr>
              <w:spacing w:before="20" w:after="20"/>
              <w:jc w:val="right"/>
              <w:rPr>
                <w:sz w:val="16"/>
                <w:szCs w:val="16"/>
              </w:rPr>
            </w:pPr>
            <w:r w:rsidRPr="00B56B65">
              <w:rPr>
                <w:sz w:val="16"/>
                <w:szCs w:val="16"/>
              </w:rPr>
              <w:t>19.5</w:t>
            </w:r>
          </w:p>
        </w:tc>
        <w:tc>
          <w:tcPr>
            <w:tcW w:w="992" w:type="dxa"/>
            <w:tcBorders>
              <w:right w:val="single" w:sz="4" w:space="0" w:color="auto"/>
            </w:tcBorders>
            <w:shd w:val="clear" w:color="auto" w:fill="auto"/>
          </w:tcPr>
          <w:p w14:paraId="6C8E257E" w14:textId="77777777" w:rsidR="00B56B65" w:rsidRPr="00B56B65" w:rsidRDefault="00B56B65" w:rsidP="00B56B65">
            <w:pPr>
              <w:spacing w:before="20" w:after="20"/>
              <w:jc w:val="right"/>
              <w:rPr>
                <w:sz w:val="16"/>
                <w:szCs w:val="16"/>
              </w:rPr>
            </w:pPr>
            <w:r w:rsidRPr="00B56B65">
              <w:rPr>
                <w:sz w:val="16"/>
                <w:szCs w:val="16"/>
              </w:rPr>
              <w:t>(9.2, 30.0)</w:t>
            </w:r>
          </w:p>
        </w:tc>
        <w:tc>
          <w:tcPr>
            <w:tcW w:w="567" w:type="dxa"/>
            <w:tcBorders>
              <w:left w:val="single" w:sz="4" w:space="0" w:color="auto"/>
            </w:tcBorders>
            <w:shd w:val="clear" w:color="auto" w:fill="auto"/>
          </w:tcPr>
          <w:p w14:paraId="2441395A" w14:textId="77777777" w:rsidR="00B56B65" w:rsidRPr="00B56B65" w:rsidRDefault="00B56B65" w:rsidP="00B56B65">
            <w:pPr>
              <w:spacing w:before="20" w:after="20"/>
              <w:jc w:val="right"/>
              <w:rPr>
                <w:sz w:val="16"/>
                <w:szCs w:val="16"/>
              </w:rPr>
            </w:pPr>
            <w:r w:rsidRPr="00B56B65">
              <w:rPr>
                <w:sz w:val="16"/>
                <w:szCs w:val="16"/>
              </w:rPr>
              <w:t>10</w:t>
            </w:r>
          </w:p>
        </w:tc>
        <w:tc>
          <w:tcPr>
            <w:tcW w:w="567" w:type="dxa"/>
            <w:shd w:val="clear" w:color="auto" w:fill="auto"/>
          </w:tcPr>
          <w:p w14:paraId="7541FECB" w14:textId="77777777" w:rsidR="00B56B65" w:rsidRPr="00B56B65" w:rsidRDefault="00B56B65" w:rsidP="00B56B65">
            <w:pPr>
              <w:spacing w:before="20" w:after="20"/>
              <w:jc w:val="right"/>
              <w:rPr>
                <w:sz w:val="16"/>
                <w:szCs w:val="16"/>
              </w:rPr>
            </w:pPr>
            <w:r w:rsidRPr="00B56B65">
              <w:rPr>
                <w:sz w:val="16"/>
                <w:szCs w:val="16"/>
              </w:rPr>
              <w:t>17.4</w:t>
            </w:r>
          </w:p>
        </w:tc>
        <w:tc>
          <w:tcPr>
            <w:tcW w:w="992" w:type="dxa"/>
            <w:tcBorders>
              <w:right w:val="single" w:sz="4" w:space="0" w:color="auto"/>
            </w:tcBorders>
            <w:shd w:val="clear" w:color="auto" w:fill="auto"/>
          </w:tcPr>
          <w:p w14:paraId="7FD8AE6C" w14:textId="77777777" w:rsidR="00B56B65" w:rsidRPr="00B56B65" w:rsidRDefault="00B56B65" w:rsidP="00B56B65">
            <w:pPr>
              <w:spacing w:before="20" w:after="20"/>
              <w:jc w:val="right"/>
              <w:rPr>
                <w:sz w:val="16"/>
                <w:szCs w:val="16"/>
              </w:rPr>
            </w:pPr>
            <w:r w:rsidRPr="00B56B65">
              <w:rPr>
                <w:sz w:val="16"/>
                <w:szCs w:val="16"/>
              </w:rPr>
              <w:t>(10.0, 24.9)</w:t>
            </w:r>
          </w:p>
        </w:tc>
        <w:tc>
          <w:tcPr>
            <w:tcW w:w="536" w:type="dxa"/>
            <w:tcBorders>
              <w:left w:val="single" w:sz="4" w:space="0" w:color="auto"/>
            </w:tcBorders>
            <w:shd w:val="clear" w:color="auto" w:fill="auto"/>
          </w:tcPr>
          <w:p w14:paraId="36A86F07" w14:textId="77777777" w:rsidR="00B56B65" w:rsidRPr="00B56B65" w:rsidRDefault="00B56B65" w:rsidP="00B56B65">
            <w:pPr>
              <w:spacing w:before="20" w:after="20"/>
              <w:jc w:val="right"/>
              <w:rPr>
                <w:sz w:val="16"/>
                <w:szCs w:val="16"/>
              </w:rPr>
            </w:pPr>
            <w:r w:rsidRPr="00B56B65">
              <w:rPr>
                <w:sz w:val="16"/>
                <w:szCs w:val="16"/>
              </w:rPr>
              <w:t>10</w:t>
            </w:r>
          </w:p>
        </w:tc>
        <w:tc>
          <w:tcPr>
            <w:tcW w:w="567" w:type="dxa"/>
            <w:shd w:val="clear" w:color="auto" w:fill="auto"/>
          </w:tcPr>
          <w:p w14:paraId="76B83AE1" w14:textId="77777777" w:rsidR="00B56B65" w:rsidRPr="00B56B65" w:rsidRDefault="00B56B65" w:rsidP="00B56B65">
            <w:pPr>
              <w:spacing w:before="20" w:after="20"/>
              <w:jc w:val="right"/>
              <w:rPr>
                <w:sz w:val="16"/>
                <w:szCs w:val="16"/>
              </w:rPr>
            </w:pPr>
            <w:r w:rsidRPr="00B56B65">
              <w:rPr>
                <w:sz w:val="16"/>
                <w:szCs w:val="16"/>
              </w:rPr>
              <w:t>17.4</w:t>
            </w:r>
          </w:p>
        </w:tc>
        <w:tc>
          <w:tcPr>
            <w:tcW w:w="1023" w:type="dxa"/>
            <w:shd w:val="clear" w:color="auto" w:fill="auto"/>
          </w:tcPr>
          <w:p w14:paraId="14B7B3B1" w14:textId="77777777" w:rsidR="00B56B65" w:rsidRPr="00B56B65" w:rsidRDefault="00B56B65" w:rsidP="00B56B65">
            <w:pPr>
              <w:spacing w:before="20" w:after="20"/>
              <w:jc w:val="right"/>
              <w:rPr>
                <w:sz w:val="16"/>
                <w:szCs w:val="16"/>
              </w:rPr>
            </w:pPr>
            <w:r w:rsidRPr="00B56B65">
              <w:rPr>
                <w:sz w:val="16"/>
                <w:szCs w:val="16"/>
              </w:rPr>
              <w:t>(7.6, 27.2)</w:t>
            </w:r>
          </w:p>
        </w:tc>
      </w:tr>
      <w:tr w:rsidR="00B56B65" w:rsidRPr="007B4EF8" w14:paraId="226A8B87" w14:textId="77777777" w:rsidTr="00B56B65">
        <w:trPr>
          <w:jc w:val="center"/>
        </w:trPr>
        <w:tc>
          <w:tcPr>
            <w:tcW w:w="2345" w:type="dxa"/>
            <w:shd w:val="clear" w:color="auto" w:fill="auto"/>
          </w:tcPr>
          <w:p w14:paraId="3A5CEE50" w14:textId="77777777" w:rsidR="00B56B65" w:rsidRPr="00B56B65" w:rsidRDefault="00B56B65" w:rsidP="00B56B65">
            <w:pPr>
              <w:spacing w:before="20" w:after="20"/>
              <w:rPr>
                <w:sz w:val="16"/>
                <w:szCs w:val="16"/>
              </w:rPr>
            </w:pPr>
          </w:p>
        </w:tc>
        <w:tc>
          <w:tcPr>
            <w:tcW w:w="1834" w:type="dxa"/>
            <w:shd w:val="clear" w:color="auto" w:fill="auto"/>
          </w:tcPr>
          <w:p w14:paraId="1A2F3CDF" w14:textId="77777777" w:rsidR="00B56B65" w:rsidRPr="00B56B65" w:rsidRDefault="00B56B65" w:rsidP="00B56B65">
            <w:pPr>
              <w:spacing w:before="20" w:after="20"/>
              <w:rPr>
                <w:sz w:val="16"/>
                <w:szCs w:val="16"/>
              </w:rPr>
            </w:pPr>
            <w:r w:rsidRPr="00B56B65">
              <w:rPr>
                <w:sz w:val="16"/>
                <w:szCs w:val="16"/>
              </w:rPr>
              <w:t>4</w:t>
            </w:r>
          </w:p>
        </w:tc>
        <w:tc>
          <w:tcPr>
            <w:tcW w:w="597" w:type="dxa"/>
            <w:shd w:val="clear" w:color="auto" w:fill="auto"/>
          </w:tcPr>
          <w:p w14:paraId="213EE745" w14:textId="77777777" w:rsidR="00B56B65" w:rsidRPr="00B56B65" w:rsidRDefault="00B56B65" w:rsidP="00B56B65">
            <w:pPr>
              <w:spacing w:before="20" w:after="20"/>
              <w:jc w:val="right"/>
              <w:rPr>
                <w:sz w:val="16"/>
                <w:szCs w:val="16"/>
              </w:rPr>
            </w:pPr>
            <w:r w:rsidRPr="00B56B65">
              <w:rPr>
                <w:sz w:val="16"/>
                <w:szCs w:val="16"/>
              </w:rPr>
              <w:t>15</w:t>
            </w:r>
          </w:p>
        </w:tc>
        <w:tc>
          <w:tcPr>
            <w:tcW w:w="567" w:type="dxa"/>
            <w:shd w:val="clear" w:color="auto" w:fill="auto"/>
          </w:tcPr>
          <w:p w14:paraId="053AF4A6" w14:textId="77777777" w:rsidR="00B56B65" w:rsidRPr="00B56B65" w:rsidRDefault="00B56B65" w:rsidP="00B56B65">
            <w:pPr>
              <w:spacing w:before="20" w:after="20"/>
              <w:jc w:val="right"/>
              <w:rPr>
                <w:sz w:val="16"/>
                <w:szCs w:val="16"/>
              </w:rPr>
            </w:pPr>
            <w:r w:rsidRPr="00B56B65">
              <w:rPr>
                <w:sz w:val="16"/>
                <w:szCs w:val="16"/>
              </w:rPr>
              <w:t>10.4</w:t>
            </w:r>
          </w:p>
        </w:tc>
        <w:tc>
          <w:tcPr>
            <w:tcW w:w="993" w:type="dxa"/>
            <w:tcBorders>
              <w:right w:val="single" w:sz="4" w:space="0" w:color="auto"/>
            </w:tcBorders>
            <w:shd w:val="clear" w:color="auto" w:fill="auto"/>
          </w:tcPr>
          <w:p w14:paraId="41C828B8" w14:textId="77777777" w:rsidR="00B56B65" w:rsidRPr="00B56B65" w:rsidRDefault="00B56B65" w:rsidP="00B56B65">
            <w:pPr>
              <w:spacing w:before="20" w:after="20"/>
              <w:jc w:val="right"/>
              <w:rPr>
                <w:sz w:val="16"/>
                <w:szCs w:val="16"/>
              </w:rPr>
            </w:pPr>
            <w:r w:rsidRPr="00B56B65">
              <w:rPr>
                <w:sz w:val="16"/>
                <w:szCs w:val="16"/>
              </w:rPr>
              <w:t>(4.8, 15.9)</w:t>
            </w:r>
          </w:p>
        </w:tc>
        <w:tc>
          <w:tcPr>
            <w:tcW w:w="567" w:type="dxa"/>
            <w:tcBorders>
              <w:left w:val="single" w:sz="4" w:space="0" w:color="auto"/>
            </w:tcBorders>
            <w:shd w:val="clear" w:color="auto" w:fill="auto"/>
          </w:tcPr>
          <w:p w14:paraId="36CEFF53" w14:textId="77777777" w:rsidR="00B56B65" w:rsidRPr="00B56B65" w:rsidRDefault="00B56B65" w:rsidP="00B56B65">
            <w:pPr>
              <w:spacing w:before="20" w:after="20"/>
              <w:jc w:val="right"/>
              <w:rPr>
                <w:sz w:val="16"/>
                <w:szCs w:val="16"/>
              </w:rPr>
            </w:pPr>
            <w:r w:rsidRPr="00B56B65">
              <w:rPr>
                <w:sz w:val="16"/>
                <w:szCs w:val="16"/>
              </w:rPr>
              <w:t>5</w:t>
            </w:r>
          </w:p>
        </w:tc>
        <w:tc>
          <w:tcPr>
            <w:tcW w:w="567" w:type="dxa"/>
            <w:shd w:val="clear" w:color="auto" w:fill="auto"/>
          </w:tcPr>
          <w:p w14:paraId="3E25DCE2" w14:textId="77777777" w:rsidR="00B56B65" w:rsidRPr="00B56B65" w:rsidRDefault="00B56B65" w:rsidP="00B56B65">
            <w:pPr>
              <w:spacing w:before="20" w:after="20"/>
              <w:jc w:val="right"/>
              <w:rPr>
                <w:sz w:val="16"/>
                <w:szCs w:val="16"/>
              </w:rPr>
            </w:pPr>
            <w:r w:rsidRPr="00B56B65">
              <w:rPr>
                <w:sz w:val="16"/>
                <w:szCs w:val="16"/>
              </w:rPr>
              <w:t>7.2</w:t>
            </w:r>
          </w:p>
        </w:tc>
        <w:tc>
          <w:tcPr>
            <w:tcW w:w="992" w:type="dxa"/>
            <w:tcBorders>
              <w:right w:val="single" w:sz="4" w:space="0" w:color="auto"/>
            </w:tcBorders>
            <w:shd w:val="clear" w:color="auto" w:fill="auto"/>
          </w:tcPr>
          <w:p w14:paraId="4D9799C0" w14:textId="77777777" w:rsidR="00B56B65" w:rsidRPr="00B56B65" w:rsidRDefault="00B56B65" w:rsidP="00B56B65">
            <w:pPr>
              <w:spacing w:before="20" w:after="20"/>
              <w:jc w:val="right"/>
              <w:rPr>
                <w:sz w:val="16"/>
                <w:szCs w:val="16"/>
              </w:rPr>
            </w:pPr>
            <w:r w:rsidRPr="00B56B65">
              <w:rPr>
                <w:sz w:val="16"/>
                <w:szCs w:val="16"/>
              </w:rPr>
              <w:t>(1.5, 12.8)</w:t>
            </w:r>
          </w:p>
        </w:tc>
        <w:tc>
          <w:tcPr>
            <w:tcW w:w="567" w:type="dxa"/>
            <w:tcBorders>
              <w:left w:val="single" w:sz="4" w:space="0" w:color="auto"/>
            </w:tcBorders>
            <w:shd w:val="clear" w:color="auto" w:fill="auto"/>
          </w:tcPr>
          <w:p w14:paraId="4BF237CF" w14:textId="77777777" w:rsidR="00B56B65" w:rsidRPr="00B56B65" w:rsidRDefault="00B56B65" w:rsidP="00B56B65">
            <w:pPr>
              <w:spacing w:before="20" w:after="20"/>
              <w:jc w:val="right"/>
              <w:rPr>
                <w:sz w:val="16"/>
                <w:szCs w:val="16"/>
              </w:rPr>
            </w:pPr>
            <w:r w:rsidRPr="00B56B65">
              <w:rPr>
                <w:sz w:val="16"/>
                <w:szCs w:val="16"/>
              </w:rPr>
              <w:t>2</w:t>
            </w:r>
          </w:p>
        </w:tc>
        <w:tc>
          <w:tcPr>
            <w:tcW w:w="567" w:type="dxa"/>
            <w:shd w:val="clear" w:color="auto" w:fill="auto"/>
          </w:tcPr>
          <w:p w14:paraId="2653F0F8" w14:textId="77777777" w:rsidR="00B56B65" w:rsidRPr="00B56B65" w:rsidRDefault="00B56B65" w:rsidP="00B56B65">
            <w:pPr>
              <w:spacing w:before="20" w:after="20"/>
              <w:jc w:val="right"/>
              <w:rPr>
                <w:sz w:val="16"/>
                <w:szCs w:val="16"/>
              </w:rPr>
            </w:pPr>
            <w:r w:rsidRPr="00B56B65">
              <w:rPr>
                <w:sz w:val="16"/>
                <w:szCs w:val="16"/>
              </w:rPr>
              <w:t>4.1</w:t>
            </w:r>
          </w:p>
        </w:tc>
        <w:tc>
          <w:tcPr>
            <w:tcW w:w="992" w:type="dxa"/>
            <w:tcBorders>
              <w:right w:val="single" w:sz="4" w:space="0" w:color="auto"/>
            </w:tcBorders>
            <w:shd w:val="clear" w:color="auto" w:fill="auto"/>
          </w:tcPr>
          <w:p w14:paraId="7D501BBA" w14:textId="77777777" w:rsidR="00B56B65" w:rsidRPr="00B56B65" w:rsidRDefault="002F172C" w:rsidP="00B56B65">
            <w:pPr>
              <w:spacing w:before="20" w:after="20"/>
              <w:jc w:val="right"/>
              <w:rPr>
                <w:sz w:val="16"/>
                <w:szCs w:val="16"/>
              </w:rPr>
            </w:pPr>
            <w:r>
              <w:rPr>
                <w:sz w:val="16"/>
                <w:szCs w:val="16"/>
              </w:rPr>
              <w:t>!</w:t>
            </w:r>
          </w:p>
        </w:tc>
        <w:tc>
          <w:tcPr>
            <w:tcW w:w="536" w:type="dxa"/>
            <w:tcBorders>
              <w:left w:val="single" w:sz="4" w:space="0" w:color="auto"/>
            </w:tcBorders>
            <w:shd w:val="clear" w:color="auto" w:fill="auto"/>
          </w:tcPr>
          <w:p w14:paraId="0544B346" w14:textId="77777777" w:rsidR="00B56B65" w:rsidRPr="00B56B65" w:rsidRDefault="00B56B65" w:rsidP="00B56B65">
            <w:pPr>
              <w:spacing w:before="20" w:after="20"/>
              <w:jc w:val="right"/>
              <w:rPr>
                <w:sz w:val="16"/>
                <w:szCs w:val="16"/>
              </w:rPr>
            </w:pPr>
            <w:r w:rsidRPr="00B56B65">
              <w:rPr>
                <w:sz w:val="16"/>
                <w:szCs w:val="16"/>
              </w:rPr>
              <w:t>4</w:t>
            </w:r>
          </w:p>
        </w:tc>
        <w:tc>
          <w:tcPr>
            <w:tcW w:w="567" w:type="dxa"/>
            <w:shd w:val="clear" w:color="auto" w:fill="auto"/>
          </w:tcPr>
          <w:p w14:paraId="379E2BEB" w14:textId="77777777" w:rsidR="00B56B65" w:rsidRPr="00B56B65" w:rsidRDefault="00B56B65" w:rsidP="00B56B65">
            <w:pPr>
              <w:spacing w:before="20" w:after="20"/>
              <w:jc w:val="right"/>
              <w:rPr>
                <w:sz w:val="16"/>
                <w:szCs w:val="16"/>
              </w:rPr>
            </w:pPr>
            <w:r w:rsidRPr="00B56B65">
              <w:rPr>
                <w:sz w:val="16"/>
                <w:szCs w:val="16"/>
              </w:rPr>
              <w:t>6.2</w:t>
            </w:r>
          </w:p>
        </w:tc>
        <w:tc>
          <w:tcPr>
            <w:tcW w:w="1023" w:type="dxa"/>
            <w:shd w:val="clear" w:color="auto" w:fill="auto"/>
          </w:tcPr>
          <w:p w14:paraId="4A07A5A5" w14:textId="77777777" w:rsidR="00B56B65" w:rsidRPr="00B56B65" w:rsidRDefault="00B56B65" w:rsidP="00B56B65">
            <w:pPr>
              <w:spacing w:before="20" w:after="20"/>
              <w:jc w:val="right"/>
              <w:rPr>
                <w:sz w:val="16"/>
                <w:szCs w:val="16"/>
              </w:rPr>
            </w:pPr>
            <w:r w:rsidRPr="00B56B65">
              <w:rPr>
                <w:sz w:val="16"/>
                <w:szCs w:val="16"/>
              </w:rPr>
              <w:t>(0.6, 11.7)</w:t>
            </w:r>
          </w:p>
        </w:tc>
      </w:tr>
      <w:tr w:rsidR="00B56B65" w:rsidRPr="007B4EF8" w14:paraId="7B652DE1" w14:textId="77777777" w:rsidTr="00B56B65">
        <w:trPr>
          <w:jc w:val="center"/>
        </w:trPr>
        <w:tc>
          <w:tcPr>
            <w:tcW w:w="2345" w:type="dxa"/>
          </w:tcPr>
          <w:p w14:paraId="6C7772B0" w14:textId="77777777" w:rsidR="00B56B65" w:rsidRPr="00B56B65" w:rsidRDefault="00B56B65" w:rsidP="00B56B65">
            <w:pPr>
              <w:spacing w:before="20" w:after="20"/>
              <w:rPr>
                <w:sz w:val="16"/>
                <w:szCs w:val="16"/>
              </w:rPr>
            </w:pPr>
          </w:p>
        </w:tc>
        <w:tc>
          <w:tcPr>
            <w:tcW w:w="1834" w:type="dxa"/>
          </w:tcPr>
          <w:p w14:paraId="3D77B011" w14:textId="77777777" w:rsidR="00B56B65" w:rsidRPr="00B56B65" w:rsidRDefault="00B56B65" w:rsidP="00B56B65">
            <w:pPr>
              <w:spacing w:before="20" w:after="20"/>
              <w:rPr>
                <w:sz w:val="16"/>
                <w:szCs w:val="16"/>
              </w:rPr>
            </w:pPr>
            <w:r w:rsidRPr="00B56B65">
              <w:rPr>
                <w:sz w:val="16"/>
                <w:szCs w:val="16"/>
              </w:rPr>
              <w:t>5+</w:t>
            </w:r>
          </w:p>
        </w:tc>
        <w:tc>
          <w:tcPr>
            <w:tcW w:w="597" w:type="dxa"/>
          </w:tcPr>
          <w:p w14:paraId="33AA45D5" w14:textId="77777777" w:rsidR="00B56B65" w:rsidRPr="00B56B65" w:rsidRDefault="00B56B65" w:rsidP="00B56B65">
            <w:pPr>
              <w:spacing w:before="20" w:after="20"/>
              <w:jc w:val="right"/>
              <w:rPr>
                <w:sz w:val="16"/>
                <w:szCs w:val="16"/>
              </w:rPr>
            </w:pPr>
            <w:r w:rsidRPr="00B56B65">
              <w:rPr>
                <w:sz w:val="16"/>
                <w:szCs w:val="16"/>
              </w:rPr>
              <w:t>21</w:t>
            </w:r>
          </w:p>
        </w:tc>
        <w:tc>
          <w:tcPr>
            <w:tcW w:w="567" w:type="dxa"/>
          </w:tcPr>
          <w:p w14:paraId="2645C510" w14:textId="77777777" w:rsidR="00B56B65" w:rsidRPr="00B56B65" w:rsidRDefault="00B56B65" w:rsidP="00B56B65">
            <w:pPr>
              <w:spacing w:before="20" w:after="20"/>
              <w:jc w:val="right"/>
              <w:rPr>
                <w:sz w:val="16"/>
                <w:szCs w:val="16"/>
              </w:rPr>
            </w:pPr>
            <w:r w:rsidRPr="00B56B65">
              <w:rPr>
                <w:sz w:val="16"/>
                <w:szCs w:val="16"/>
              </w:rPr>
              <w:t>14.0</w:t>
            </w:r>
          </w:p>
        </w:tc>
        <w:tc>
          <w:tcPr>
            <w:tcW w:w="993" w:type="dxa"/>
            <w:tcBorders>
              <w:right w:val="single" w:sz="4" w:space="0" w:color="auto"/>
            </w:tcBorders>
          </w:tcPr>
          <w:p w14:paraId="5DA5B1A1" w14:textId="77777777" w:rsidR="00B56B65" w:rsidRPr="00B56B65" w:rsidRDefault="00B56B65" w:rsidP="00B56B65">
            <w:pPr>
              <w:spacing w:before="20" w:after="20"/>
              <w:jc w:val="right"/>
              <w:rPr>
                <w:sz w:val="16"/>
                <w:szCs w:val="16"/>
              </w:rPr>
            </w:pPr>
            <w:r w:rsidRPr="00B56B65">
              <w:rPr>
                <w:sz w:val="16"/>
                <w:szCs w:val="16"/>
              </w:rPr>
              <w:t>(8.6, 19.5)</w:t>
            </w:r>
          </w:p>
        </w:tc>
        <w:tc>
          <w:tcPr>
            <w:tcW w:w="567" w:type="dxa"/>
            <w:tcBorders>
              <w:left w:val="single" w:sz="4" w:space="0" w:color="auto"/>
            </w:tcBorders>
          </w:tcPr>
          <w:p w14:paraId="389C5DE2" w14:textId="77777777" w:rsidR="00B56B65" w:rsidRPr="00B56B65" w:rsidRDefault="00B56B65" w:rsidP="00B56B65">
            <w:pPr>
              <w:spacing w:before="20" w:after="20"/>
              <w:jc w:val="right"/>
              <w:rPr>
                <w:sz w:val="16"/>
                <w:szCs w:val="16"/>
              </w:rPr>
            </w:pPr>
            <w:r w:rsidRPr="00B56B65">
              <w:rPr>
                <w:sz w:val="16"/>
                <w:szCs w:val="16"/>
              </w:rPr>
              <w:t>6</w:t>
            </w:r>
          </w:p>
        </w:tc>
        <w:tc>
          <w:tcPr>
            <w:tcW w:w="567" w:type="dxa"/>
          </w:tcPr>
          <w:p w14:paraId="61CA6C42" w14:textId="77777777" w:rsidR="00B56B65" w:rsidRPr="00B56B65" w:rsidRDefault="00B56B65" w:rsidP="00B56B65">
            <w:pPr>
              <w:spacing w:before="20" w:after="20"/>
              <w:jc w:val="right"/>
              <w:rPr>
                <w:sz w:val="16"/>
                <w:szCs w:val="16"/>
              </w:rPr>
            </w:pPr>
            <w:r w:rsidRPr="00B56B65">
              <w:rPr>
                <w:sz w:val="16"/>
                <w:szCs w:val="16"/>
              </w:rPr>
              <w:t>8.5</w:t>
            </w:r>
          </w:p>
        </w:tc>
        <w:tc>
          <w:tcPr>
            <w:tcW w:w="992" w:type="dxa"/>
            <w:tcBorders>
              <w:right w:val="single" w:sz="4" w:space="0" w:color="auto"/>
            </w:tcBorders>
          </w:tcPr>
          <w:p w14:paraId="2DA812EB" w14:textId="77777777" w:rsidR="00B56B65" w:rsidRPr="00B56B65" w:rsidRDefault="00B56B65" w:rsidP="00B56B65">
            <w:pPr>
              <w:spacing w:before="20" w:after="20"/>
              <w:jc w:val="right"/>
              <w:rPr>
                <w:sz w:val="16"/>
                <w:szCs w:val="16"/>
              </w:rPr>
            </w:pPr>
            <w:r w:rsidRPr="00B56B65">
              <w:rPr>
                <w:sz w:val="16"/>
                <w:szCs w:val="16"/>
              </w:rPr>
              <w:t>(1.6, 15.5)</w:t>
            </w:r>
          </w:p>
        </w:tc>
        <w:tc>
          <w:tcPr>
            <w:tcW w:w="567" w:type="dxa"/>
            <w:tcBorders>
              <w:left w:val="single" w:sz="4" w:space="0" w:color="auto"/>
            </w:tcBorders>
          </w:tcPr>
          <w:p w14:paraId="23EA8D47" w14:textId="77777777" w:rsidR="00B56B65" w:rsidRPr="00B56B65" w:rsidRDefault="00B56B65" w:rsidP="00B56B65">
            <w:pPr>
              <w:spacing w:before="20" w:after="20"/>
              <w:jc w:val="right"/>
              <w:rPr>
                <w:sz w:val="16"/>
                <w:szCs w:val="16"/>
              </w:rPr>
            </w:pPr>
            <w:r w:rsidRPr="00B56B65">
              <w:rPr>
                <w:sz w:val="16"/>
                <w:szCs w:val="16"/>
              </w:rPr>
              <w:t>6</w:t>
            </w:r>
          </w:p>
        </w:tc>
        <w:tc>
          <w:tcPr>
            <w:tcW w:w="567" w:type="dxa"/>
          </w:tcPr>
          <w:p w14:paraId="783A9057" w14:textId="77777777" w:rsidR="00B56B65" w:rsidRPr="00B56B65" w:rsidRDefault="00B56B65" w:rsidP="00B56B65">
            <w:pPr>
              <w:spacing w:before="20" w:after="20"/>
              <w:jc w:val="right"/>
              <w:rPr>
                <w:sz w:val="16"/>
                <w:szCs w:val="16"/>
              </w:rPr>
            </w:pPr>
            <w:r w:rsidRPr="00B56B65">
              <w:rPr>
                <w:sz w:val="16"/>
                <w:szCs w:val="16"/>
              </w:rPr>
              <w:t>11.4</w:t>
            </w:r>
          </w:p>
        </w:tc>
        <w:tc>
          <w:tcPr>
            <w:tcW w:w="992" w:type="dxa"/>
            <w:tcBorders>
              <w:right w:val="single" w:sz="4" w:space="0" w:color="auto"/>
            </w:tcBorders>
          </w:tcPr>
          <w:p w14:paraId="79C0589B" w14:textId="77777777" w:rsidR="00B56B65" w:rsidRPr="00B56B65" w:rsidRDefault="00B56B65" w:rsidP="00B56B65">
            <w:pPr>
              <w:spacing w:before="20" w:after="20"/>
              <w:jc w:val="right"/>
              <w:rPr>
                <w:sz w:val="16"/>
                <w:szCs w:val="16"/>
              </w:rPr>
            </w:pPr>
            <w:r w:rsidRPr="00B56B65">
              <w:rPr>
                <w:sz w:val="16"/>
                <w:szCs w:val="16"/>
              </w:rPr>
              <w:t>(4.1, 18.7)</w:t>
            </w:r>
          </w:p>
        </w:tc>
        <w:tc>
          <w:tcPr>
            <w:tcW w:w="536" w:type="dxa"/>
            <w:tcBorders>
              <w:left w:val="single" w:sz="4" w:space="0" w:color="auto"/>
            </w:tcBorders>
          </w:tcPr>
          <w:p w14:paraId="63142E03" w14:textId="77777777" w:rsidR="00B56B65" w:rsidRPr="00B56B65" w:rsidRDefault="00B56B65" w:rsidP="00B56B65">
            <w:pPr>
              <w:spacing w:before="20" w:after="20"/>
              <w:jc w:val="right"/>
              <w:rPr>
                <w:sz w:val="16"/>
                <w:szCs w:val="16"/>
              </w:rPr>
            </w:pPr>
            <w:r w:rsidRPr="00B56B65">
              <w:rPr>
                <w:sz w:val="16"/>
                <w:szCs w:val="16"/>
              </w:rPr>
              <w:t>5</w:t>
            </w:r>
          </w:p>
        </w:tc>
        <w:tc>
          <w:tcPr>
            <w:tcW w:w="567" w:type="dxa"/>
          </w:tcPr>
          <w:p w14:paraId="18362519" w14:textId="77777777" w:rsidR="00B56B65" w:rsidRPr="00B56B65" w:rsidRDefault="00B56B65" w:rsidP="00B56B65">
            <w:pPr>
              <w:spacing w:before="20" w:after="20"/>
              <w:jc w:val="right"/>
              <w:rPr>
                <w:sz w:val="16"/>
                <w:szCs w:val="16"/>
              </w:rPr>
            </w:pPr>
            <w:r w:rsidRPr="00B56B65">
              <w:rPr>
                <w:sz w:val="16"/>
                <w:szCs w:val="16"/>
              </w:rPr>
              <w:t>8.3</w:t>
            </w:r>
          </w:p>
        </w:tc>
        <w:tc>
          <w:tcPr>
            <w:tcW w:w="1023" w:type="dxa"/>
          </w:tcPr>
          <w:p w14:paraId="7039FB28" w14:textId="77777777" w:rsidR="00B56B65" w:rsidRPr="00B56B65" w:rsidRDefault="00B56B65" w:rsidP="00B56B65">
            <w:pPr>
              <w:spacing w:before="20" w:after="20"/>
              <w:jc w:val="right"/>
              <w:rPr>
                <w:sz w:val="16"/>
                <w:szCs w:val="16"/>
              </w:rPr>
            </w:pPr>
            <w:r w:rsidRPr="00B56B65">
              <w:rPr>
                <w:sz w:val="16"/>
                <w:szCs w:val="16"/>
              </w:rPr>
              <w:t>(1.4, 15.2)</w:t>
            </w:r>
          </w:p>
        </w:tc>
      </w:tr>
      <w:tr w:rsidR="00081F92" w:rsidRPr="007B4EF8" w14:paraId="668411B4" w14:textId="77777777" w:rsidTr="00B56B65">
        <w:trPr>
          <w:jc w:val="center"/>
        </w:trPr>
        <w:tc>
          <w:tcPr>
            <w:tcW w:w="4179" w:type="dxa"/>
            <w:gridSpan w:val="2"/>
            <w:vAlign w:val="center"/>
          </w:tcPr>
          <w:p w14:paraId="739E16C8" w14:textId="77777777" w:rsidR="00081F92" w:rsidRDefault="00081F92" w:rsidP="00B56B65">
            <w:pPr>
              <w:spacing w:before="20" w:after="20"/>
              <w:rPr>
                <w:rFonts w:eastAsiaTheme="minorEastAsia"/>
                <w:sz w:val="16"/>
                <w:szCs w:val="16"/>
                <w:lang w:eastAsia="en-US"/>
              </w:rPr>
            </w:pPr>
            <w:r>
              <w:rPr>
                <w:rFonts w:eastAsiaTheme="minorEastAsia"/>
                <w:b/>
                <w:sz w:val="16"/>
                <w:szCs w:val="16"/>
                <w:lang w:eastAsia="en-US"/>
              </w:rPr>
              <w:t>Psychological distress score (Kessler-10)</w:t>
            </w:r>
          </w:p>
        </w:tc>
        <w:tc>
          <w:tcPr>
            <w:tcW w:w="597" w:type="dxa"/>
            <w:vAlign w:val="center"/>
          </w:tcPr>
          <w:p w14:paraId="12DCF537" w14:textId="77777777" w:rsidR="00081F92" w:rsidRDefault="00081F92" w:rsidP="00B56B65">
            <w:pPr>
              <w:spacing w:before="20" w:after="20"/>
              <w:jc w:val="right"/>
              <w:rPr>
                <w:color w:val="000000"/>
                <w:sz w:val="16"/>
                <w:szCs w:val="16"/>
                <w:lang w:eastAsia="en-NZ"/>
              </w:rPr>
            </w:pPr>
          </w:p>
        </w:tc>
        <w:tc>
          <w:tcPr>
            <w:tcW w:w="567" w:type="dxa"/>
            <w:vAlign w:val="center"/>
          </w:tcPr>
          <w:p w14:paraId="41B7EA84" w14:textId="77777777" w:rsidR="00081F92" w:rsidRDefault="00081F92" w:rsidP="00B56B65">
            <w:pPr>
              <w:spacing w:before="20" w:after="20"/>
              <w:jc w:val="right"/>
              <w:rPr>
                <w:color w:val="000000"/>
                <w:sz w:val="16"/>
                <w:szCs w:val="16"/>
              </w:rPr>
            </w:pPr>
          </w:p>
        </w:tc>
        <w:tc>
          <w:tcPr>
            <w:tcW w:w="993" w:type="dxa"/>
            <w:tcBorders>
              <w:right w:val="single" w:sz="4" w:space="0" w:color="auto"/>
            </w:tcBorders>
            <w:vAlign w:val="center"/>
          </w:tcPr>
          <w:p w14:paraId="47AC91E2" w14:textId="77777777" w:rsidR="00081F92" w:rsidRDefault="00081F92" w:rsidP="00B56B65">
            <w:pPr>
              <w:spacing w:before="20" w:after="20"/>
              <w:jc w:val="right"/>
              <w:rPr>
                <w:color w:val="000000"/>
                <w:sz w:val="16"/>
                <w:szCs w:val="16"/>
              </w:rPr>
            </w:pPr>
          </w:p>
        </w:tc>
        <w:tc>
          <w:tcPr>
            <w:tcW w:w="567" w:type="dxa"/>
            <w:tcBorders>
              <w:left w:val="single" w:sz="4" w:space="0" w:color="auto"/>
            </w:tcBorders>
            <w:vAlign w:val="center"/>
          </w:tcPr>
          <w:p w14:paraId="42657354" w14:textId="77777777" w:rsidR="00081F92" w:rsidRDefault="00081F92" w:rsidP="00B56B65">
            <w:pPr>
              <w:spacing w:before="20" w:after="20"/>
              <w:jc w:val="right"/>
              <w:rPr>
                <w:color w:val="000000"/>
                <w:sz w:val="16"/>
                <w:szCs w:val="16"/>
              </w:rPr>
            </w:pPr>
          </w:p>
        </w:tc>
        <w:tc>
          <w:tcPr>
            <w:tcW w:w="567" w:type="dxa"/>
            <w:vAlign w:val="center"/>
          </w:tcPr>
          <w:p w14:paraId="49062A64" w14:textId="77777777" w:rsidR="00081F92" w:rsidRDefault="00081F92" w:rsidP="00B56B65">
            <w:pPr>
              <w:spacing w:before="20" w:after="20"/>
              <w:jc w:val="right"/>
              <w:rPr>
                <w:color w:val="000000"/>
                <w:sz w:val="16"/>
                <w:szCs w:val="16"/>
              </w:rPr>
            </w:pPr>
          </w:p>
        </w:tc>
        <w:tc>
          <w:tcPr>
            <w:tcW w:w="992" w:type="dxa"/>
            <w:tcBorders>
              <w:right w:val="single" w:sz="4" w:space="0" w:color="auto"/>
            </w:tcBorders>
            <w:vAlign w:val="center"/>
          </w:tcPr>
          <w:p w14:paraId="0C95261B" w14:textId="77777777" w:rsidR="00081F92" w:rsidRDefault="00081F92" w:rsidP="00B56B65">
            <w:pPr>
              <w:spacing w:before="20" w:after="20"/>
              <w:jc w:val="right"/>
              <w:rPr>
                <w:color w:val="000000"/>
                <w:sz w:val="16"/>
                <w:szCs w:val="16"/>
              </w:rPr>
            </w:pPr>
          </w:p>
        </w:tc>
        <w:tc>
          <w:tcPr>
            <w:tcW w:w="567" w:type="dxa"/>
            <w:tcBorders>
              <w:left w:val="single" w:sz="4" w:space="0" w:color="auto"/>
            </w:tcBorders>
            <w:vAlign w:val="center"/>
          </w:tcPr>
          <w:p w14:paraId="50E3A33D" w14:textId="77777777" w:rsidR="00081F92" w:rsidRDefault="00081F92" w:rsidP="00B56B65">
            <w:pPr>
              <w:spacing w:before="20" w:after="20"/>
              <w:jc w:val="right"/>
              <w:rPr>
                <w:color w:val="000000"/>
                <w:sz w:val="16"/>
                <w:szCs w:val="16"/>
              </w:rPr>
            </w:pPr>
          </w:p>
        </w:tc>
        <w:tc>
          <w:tcPr>
            <w:tcW w:w="567" w:type="dxa"/>
            <w:vAlign w:val="center"/>
          </w:tcPr>
          <w:p w14:paraId="47FA354C" w14:textId="77777777" w:rsidR="00081F92" w:rsidRDefault="00081F92" w:rsidP="00B56B65">
            <w:pPr>
              <w:spacing w:before="20" w:after="20"/>
              <w:jc w:val="right"/>
              <w:rPr>
                <w:color w:val="000000"/>
                <w:sz w:val="16"/>
                <w:szCs w:val="16"/>
              </w:rPr>
            </w:pPr>
          </w:p>
        </w:tc>
        <w:tc>
          <w:tcPr>
            <w:tcW w:w="992" w:type="dxa"/>
            <w:tcBorders>
              <w:right w:val="single" w:sz="4" w:space="0" w:color="auto"/>
            </w:tcBorders>
            <w:vAlign w:val="center"/>
          </w:tcPr>
          <w:p w14:paraId="64DB9227" w14:textId="77777777" w:rsidR="00081F92" w:rsidRDefault="00081F92" w:rsidP="00B56B65">
            <w:pPr>
              <w:spacing w:before="20" w:after="20"/>
              <w:jc w:val="right"/>
              <w:rPr>
                <w:color w:val="000000"/>
                <w:sz w:val="16"/>
                <w:szCs w:val="16"/>
              </w:rPr>
            </w:pPr>
          </w:p>
        </w:tc>
        <w:tc>
          <w:tcPr>
            <w:tcW w:w="536" w:type="dxa"/>
            <w:tcBorders>
              <w:left w:val="single" w:sz="4" w:space="0" w:color="auto"/>
            </w:tcBorders>
            <w:vAlign w:val="center"/>
          </w:tcPr>
          <w:p w14:paraId="5682D16F" w14:textId="77777777" w:rsidR="00081F92" w:rsidRDefault="00081F92" w:rsidP="00B56B65">
            <w:pPr>
              <w:spacing w:before="20" w:after="20"/>
              <w:jc w:val="right"/>
              <w:rPr>
                <w:color w:val="000000"/>
                <w:sz w:val="16"/>
                <w:szCs w:val="16"/>
              </w:rPr>
            </w:pPr>
          </w:p>
        </w:tc>
        <w:tc>
          <w:tcPr>
            <w:tcW w:w="567" w:type="dxa"/>
            <w:vAlign w:val="center"/>
          </w:tcPr>
          <w:p w14:paraId="73A98569" w14:textId="77777777" w:rsidR="00081F92" w:rsidRDefault="00081F92" w:rsidP="00B56B65">
            <w:pPr>
              <w:spacing w:before="20" w:after="20"/>
              <w:jc w:val="right"/>
              <w:rPr>
                <w:color w:val="000000"/>
                <w:sz w:val="16"/>
                <w:szCs w:val="16"/>
              </w:rPr>
            </w:pPr>
          </w:p>
        </w:tc>
        <w:tc>
          <w:tcPr>
            <w:tcW w:w="1023" w:type="dxa"/>
            <w:vAlign w:val="center"/>
          </w:tcPr>
          <w:p w14:paraId="496FF12C" w14:textId="77777777" w:rsidR="00081F92" w:rsidRDefault="00081F92" w:rsidP="00B56B65">
            <w:pPr>
              <w:spacing w:before="20" w:after="20"/>
              <w:jc w:val="right"/>
              <w:rPr>
                <w:color w:val="000000"/>
                <w:sz w:val="16"/>
                <w:szCs w:val="16"/>
              </w:rPr>
            </w:pPr>
          </w:p>
        </w:tc>
      </w:tr>
      <w:tr w:rsidR="00B56B65" w:rsidRPr="007B4EF8" w14:paraId="1DC440A4" w14:textId="77777777" w:rsidTr="00B56B65">
        <w:trPr>
          <w:jc w:val="center"/>
        </w:trPr>
        <w:tc>
          <w:tcPr>
            <w:tcW w:w="2345" w:type="dxa"/>
          </w:tcPr>
          <w:p w14:paraId="73A815BB" w14:textId="77777777" w:rsidR="00B56B65" w:rsidRPr="00B56B65" w:rsidRDefault="00B56B65" w:rsidP="00B56B65">
            <w:pPr>
              <w:spacing w:before="20" w:after="20"/>
              <w:rPr>
                <w:sz w:val="16"/>
                <w:szCs w:val="16"/>
              </w:rPr>
            </w:pPr>
            <w:r w:rsidRPr="00B56B65">
              <w:rPr>
                <w:sz w:val="16"/>
                <w:szCs w:val="16"/>
              </w:rPr>
              <w:t>Non-problem gambler</w:t>
            </w:r>
          </w:p>
        </w:tc>
        <w:tc>
          <w:tcPr>
            <w:tcW w:w="1834" w:type="dxa"/>
          </w:tcPr>
          <w:p w14:paraId="1256A3FE" w14:textId="77777777" w:rsidR="00B56B65" w:rsidRPr="00B56B65" w:rsidRDefault="00B56B65" w:rsidP="00B56B65">
            <w:pPr>
              <w:spacing w:before="20" w:after="20"/>
              <w:rPr>
                <w:sz w:val="16"/>
                <w:szCs w:val="16"/>
              </w:rPr>
            </w:pPr>
            <w:r w:rsidRPr="00B56B65">
              <w:rPr>
                <w:sz w:val="16"/>
                <w:szCs w:val="16"/>
              </w:rPr>
              <w:t>Low (Score 0 - 5)</w:t>
            </w:r>
          </w:p>
        </w:tc>
        <w:tc>
          <w:tcPr>
            <w:tcW w:w="597" w:type="dxa"/>
            <w:shd w:val="clear" w:color="auto" w:fill="auto"/>
          </w:tcPr>
          <w:p w14:paraId="20DE00E5" w14:textId="77777777" w:rsidR="00B56B65" w:rsidRPr="00B56B65" w:rsidRDefault="00B56B65" w:rsidP="00B56B65">
            <w:pPr>
              <w:spacing w:before="20" w:after="20"/>
              <w:jc w:val="right"/>
              <w:rPr>
                <w:sz w:val="16"/>
                <w:szCs w:val="16"/>
              </w:rPr>
            </w:pPr>
            <w:r w:rsidRPr="00B56B65">
              <w:rPr>
                <w:sz w:val="16"/>
                <w:szCs w:val="16"/>
              </w:rPr>
              <w:t>3458</w:t>
            </w:r>
          </w:p>
        </w:tc>
        <w:tc>
          <w:tcPr>
            <w:tcW w:w="567" w:type="dxa"/>
            <w:shd w:val="clear" w:color="auto" w:fill="auto"/>
          </w:tcPr>
          <w:p w14:paraId="7FD51ED0" w14:textId="77777777" w:rsidR="00B56B65" w:rsidRPr="00B56B65" w:rsidRDefault="00B56B65" w:rsidP="00B56B65">
            <w:pPr>
              <w:spacing w:before="20" w:after="20"/>
              <w:jc w:val="right"/>
              <w:rPr>
                <w:sz w:val="16"/>
                <w:szCs w:val="16"/>
              </w:rPr>
            </w:pPr>
            <w:r w:rsidRPr="00B56B65">
              <w:rPr>
                <w:sz w:val="16"/>
                <w:szCs w:val="16"/>
              </w:rPr>
              <w:t>76.3</w:t>
            </w:r>
          </w:p>
        </w:tc>
        <w:tc>
          <w:tcPr>
            <w:tcW w:w="993" w:type="dxa"/>
            <w:tcBorders>
              <w:right w:val="single" w:sz="4" w:space="0" w:color="auto"/>
            </w:tcBorders>
            <w:shd w:val="clear" w:color="auto" w:fill="auto"/>
          </w:tcPr>
          <w:p w14:paraId="2E0C18A9" w14:textId="77777777" w:rsidR="00B56B65" w:rsidRPr="00B56B65" w:rsidRDefault="00B56B65" w:rsidP="00B56B65">
            <w:pPr>
              <w:spacing w:before="20" w:after="20"/>
              <w:jc w:val="right"/>
              <w:rPr>
                <w:sz w:val="16"/>
                <w:szCs w:val="16"/>
              </w:rPr>
            </w:pPr>
            <w:r w:rsidRPr="00B56B65">
              <w:rPr>
                <w:sz w:val="16"/>
                <w:szCs w:val="16"/>
              </w:rPr>
              <w:t>(74.8, 77.8)</w:t>
            </w:r>
          </w:p>
        </w:tc>
        <w:tc>
          <w:tcPr>
            <w:tcW w:w="567" w:type="dxa"/>
            <w:tcBorders>
              <w:left w:val="single" w:sz="4" w:space="0" w:color="auto"/>
            </w:tcBorders>
            <w:shd w:val="clear" w:color="auto" w:fill="auto"/>
          </w:tcPr>
          <w:p w14:paraId="211AD20E" w14:textId="77777777" w:rsidR="00B56B65" w:rsidRPr="00B56B65" w:rsidRDefault="00B56B65" w:rsidP="00B56B65">
            <w:pPr>
              <w:spacing w:before="20" w:after="20"/>
              <w:jc w:val="right"/>
              <w:rPr>
                <w:sz w:val="16"/>
                <w:szCs w:val="16"/>
              </w:rPr>
            </w:pPr>
            <w:r w:rsidRPr="00B56B65">
              <w:rPr>
                <w:sz w:val="16"/>
                <w:szCs w:val="16"/>
              </w:rPr>
              <w:t>2059</w:t>
            </w:r>
          </w:p>
        </w:tc>
        <w:tc>
          <w:tcPr>
            <w:tcW w:w="567" w:type="dxa"/>
            <w:shd w:val="clear" w:color="auto" w:fill="auto"/>
          </w:tcPr>
          <w:p w14:paraId="1CF92194" w14:textId="77777777" w:rsidR="00B56B65" w:rsidRPr="00B56B65" w:rsidRDefault="00B56B65" w:rsidP="00B56B65">
            <w:pPr>
              <w:spacing w:before="20" w:after="20"/>
              <w:jc w:val="right"/>
              <w:rPr>
                <w:sz w:val="16"/>
                <w:szCs w:val="16"/>
              </w:rPr>
            </w:pPr>
            <w:r w:rsidRPr="00B56B65">
              <w:rPr>
                <w:sz w:val="16"/>
                <w:szCs w:val="16"/>
              </w:rPr>
              <w:t>78.2</w:t>
            </w:r>
          </w:p>
        </w:tc>
        <w:tc>
          <w:tcPr>
            <w:tcW w:w="992" w:type="dxa"/>
            <w:tcBorders>
              <w:right w:val="single" w:sz="4" w:space="0" w:color="auto"/>
            </w:tcBorders>
            <w:shd w:val="clear" w:color="auto" w:fill="auto"/>
          </w:tcPr>
          <w:p w14:paraId="1C89F0FA" w14:textId="77777777" w:rsidR="00B56B65" w:rsidRPr="00B56B65" w:rsidRDefault="00B56B65" w:rsidP="00B56B65">
            <w:pPr>
              <w:spacing w:before="20" w:after="20"/>
              <w:jc w:val="right"/>
              <w:rPr>
                <w:sz w:val="16"/>
                <w:szCs w:val="16"/>
              </w:rPr>
            </w:pPr>
            <w:r w:rsidRPr="00B56B65">
              <w:rPr>
                <w:sz w:val="16"/>
                <w:szCs w:val="16"/>
              </w:rPr>
              <w:t>(76.2, 80.1)</w:t>
            </w:r>
          </w:p>
        </w:tc>
        <w:tc>
          <w:tcPr>
            <w:tcW w:w="567" w:type="dxa"/>
            <w:tcBorders>
              <w:left w:val="single" w:sz="4" w:space="0" w:color="auto"/>
            </w:tcBorders>
            <w:shd w:val="clear" w:color="auto" w:fill="auto"/>
          </w:tcPr>
          <w:p w14:paraId="72EE61DC" w14:textId="77777777" w:rsidR="00B56B65" w:rsidRPr="00B56B65" w:rsidRDefault="00B56B65" w:rsidP="00B56B65">
            <w:pPr>
              <w:spacing w:before="20" w:after="20"/>
              <w:jc w:val="right"/>
              <w:rPr>
                <w:sz w:val="16"/>
                <w:szCs w:val="16"/>
              </w:rPr>
            </w:pPr>
            <w:r w:rsidRPr="00B56B65">
              <w:rPr>
                <w:sz w:val="16"/>
                <w:szCs w:val="16"/>
              </w:rPr>
              <w:t>1665</w:t>
            </w:r>
          </w:p>
        </w:tc>
        <w:tc>
          <w:tcPr>
            <w:tcW w:w="567" w:type="dxa"/>
            <w:shd w:val="clear" w:color="auto" w:fill="auto"/>
          </w:tcPr>
          <w:p w14:paraId="3E2D3A38" w14:textId="77777777" w:rsidR="00B56B65" w:rsidRPr="00B56B65" w:rsidRDefault="00B56B65" w:rsidP="00B56B65">
            <w:pPr>
              <w:spacing w:before="20" w:after="20"/>
              <w:jc w:val="right"/>
              <w:rPr>
                <w:sz w:val="16"/>
                <w:szCs w:val="16"/>
              </w:rPr>
            </w:pPr>
            <w:r w:rsidRPr="00B56B65">
              <w:rPr>
                <w:sz w:val="16"/>
                <w:szCs w:val="16"/>
              </w:rPr>
              <w:t>76.1</w:t>
            </w:r>
          </w:p>
        </w:tc>
        <w:tc>
          <w:tcPr>
            <w:tcW w:w="992" w:type="dxa"/>
            <w:tcBorders>
              <w:right w:val="single" w:sz="4" w:space="0" w:color="auto"/>
            </w:tcBorders>
            <w:shd w:val="clear" w:color="auto" w:fill="auto"/>
          </w:tcPr>
          <w:p w14:paraId="681F5593" w14:textId="77777777" w:rsidR="00B56B65" w:rsidRPr="00B56B65" w:rsidRDefault="00B56B65" w:rsidP="00B56B65">
            <w:pPr>
              <w:spacing w:before="20" w:after="20"/>
              <w:jc w:val="right"/>
              <w:rPr>
                <w:sz w:val="16"/>
                <w:szCs w:val="16"/>
              </w:rPr>
            </w:pPr>
            <w:r w:rsidRPr="00B56B65">
              <w:rPr>
                <w:sz w:val="16"/>
                <w:szCs w:val="16"/>
              </w:rPr>
              <w:t>(73.8, 78.5)</w:t>
            </w:r>
          </w:p>
        </w:tc>
        <w:tc>
          <w:tcPr>
            <w:tcW w:w="536" w:type="dxa"/>
            <w:tcBorders>
              <w:left w:val="single" w:sz="4" w:space="0" w:color="auto"/>
            </w:tcBorders>
            <w:shd w:val="clear" w:color="auto" w:fill="auto"/>
          </w:tcPr>
          <w:p w14:paraId="1522E370" w14:textId="77777777" w:rsidR="00B56B65" w:rsidRPr="00B56B65" w:rsidRDefault="00B56B65" w:rsidP="00B56B65">
            <w:pPr>
              <w:spacing w:before="20" w:after="20"/>
              <w:jc w:val="right"/>
              <w:rPr>
                <w:sz w:val="16"/>
                <w:szCs w:val="16"/>
              </w:rPr>
            </w:pPr>
            <w:r w:rsidRPr="00B56B65">
              <w:rPr>
                <w:sz w:val="16"/>
                <w:szCs w:val="16"/>
              </w:rPr>
              <w:t>1479</w:t>
            </w:r>
          </w:p>
        </w:tc>
        <w:tc>
          <w:tcPr>
            <w:tcW w:w="567" w:type="dxa"/>
            <w:shd w:val="clear" w:color="auto" w:fill="auto"/>
          </w:tcPr>
          <w:p w14:paraId="767BFCE7" w14:textId="77777777" w:rsidR="00B56B65" w:rsidRPr="00B56B65" w:rsidRDefault="00B56B65" w:rsidP="00B56B65">
            <w:pPr>
              <w:spacing w:before="20" w:after="20"/>
              <w:jc w:val="right"/>
              <w:rPr>
                <w:sz w:val="16"/>
                <w:szCs w:val="16"/>
              </w:rPr>
            </w:pPr>
            <w:r w:rsidRPr="00B56B65">
              <w:rPr>
                <w:sz w:val="16"/>
                <w:szCs w:val="16"/>
              </w:rPr>
              <w:t>78.2</w:t>
            </w:r>
          </w:p>
        </w:tc>
        <w:tc>
          <w:tcPr>
            <w:tcW w:w="1023" w:type="dxa"/>
            <w:shd w:val="clear" w:color="auto" w:fill="auto"/>
          </w:tcPr>
          <w:p w14:paraId="0DA2131F" w14:textId="77777777" w:rsidR="00B56B65" w:rsidRPr="00B56B65" w:rsidRDefault="00B56B65" w:rsidP="00B56B65">
            <w:pPr>
              <w:spacing w:before="20" w:after="20"/>
              <w:jc w:val="right"/>
              <w:rPr>
                <w:sz w:val="16"/>
                <w:szCs w:val="16"/>
              </w:rPr>
            </w:pPr>
            <w:r w:rsidRPr="00B56B65">
              <w:rPr>
                <w:sz w:val="16"/>
                <w:szCs w:val="16"/>
              </w:rPr>
              <w:t>(75.7, 80.7)</w:t>
            </w:r>
          </w:p>
        </w:tc>
      </w:tr>
      <w:tr w:rsidR="00B56B65" w:rsidRPr="007B4EF8" w14:paraId="11084F79" w14:textId="77777777" w:rsidTr="00B56B65">
        <w:trPr>
          <w:jc w:val="center"/>
        </w:trPr>
        <w:tc>
          <w:tcPr>
            <w:tcW w:w="2345" w:type="dxa"/>
          </w:tcPr>
          <w:p w14:paraId="0CF085C9" w14:textId="77777777" w:rsidR="00B56B65" w:rsidRPr="00B56B65" w:rsidRDefault="00B56B65" w:rsidP="00B56B65">
            <w:pPr>
              <w:spacing w:before="20" w:after="20"/>
              <w:rPr>
                <w:sz w:val="16"/>
                <w:szCs w:val="16"/>
              </w:rPr>
            </w:pPr>
          </w:p>
        </w:tc>
        <w:tc>
          <w:tcPr>
            <w:tcW w:w="1834" w:type="dxa"/>
          </w:tcPr>
          <w:p w14:paraId="024917F6" w14:textId="77777777" w:rsidR="00B56B65" w:rsidRPr="00B56B65" w:rsidRDefault="00B56B65" w:rsidP="00B56B65">
            <w:pPr>
              <w:spacing w:before="20" w:after="20"/>
              <w:rPr>
                <w:sz w:val="16"/>
                <w:szCs w:val="16"/>
              </w:rPr>
            </w:pPr>
            <w:r w:rsidRPr="00B56B65">
              <w:rPr>
                <w:sz w:val="16"/>
                <w:szCs w:val="16"/>
              </w:rPr>
              <w:t>Moderate (Score 6 - 11)</w:t>
            </w:r>
          </w:p>
        </w:tc>
        <w:tc>
          <w:tcPr>
            <w:tcW w:w="597" w:type="dxa"/>
          </w:tcPr>
          <w:p w14:paraId="4928E4B9" w14:textId="77777777" w:rsidR="00B56B65" w:rsidRPr="00B56B65" w:rsidRDefault="00B56B65" w:rsidP="00B56B65">
            <w:pPr>
              <w:spacing w:before="20" w:after="20"/>
              <w:jc w:val="right"/>
              <w:rPr>
                <w:sz w:val="16"/>
                <w:szCs w:val="16"/>
              </w:rPr>
            </w:pPr>
            <w:r w:rsidRPr="00B56B65">
              <w:rPr>
                <w:sz w:val="16"/>
                <w:szCs w:val="16"/>
              </w:rPr>
              <w:t>804</w:t>
            </w:r>
          </w:p>
        </w:tc>
        <w:tc>
          <w:tcPr>
            <w:tcW w:w="567" w:type="dxa"/>
          </w:tcPr>
          <w:p w14:paraId="40DB7B6E" w14:textId="77777777" w:rsidR="00B56B65" w:rsidRPr="00B56B65" w:rsidRDefault="00B56B65" w:rsidP="00B56B65">
            <w:pPr>
              <w:spacing w:before="20" w:after="20"/>
              <w:jc w:val="right"/>
              <w:rPr>
                <w:sz w:val="16"/>
                <w:szCs w:val="16"/>
              </w:rPr>
            </w:pPr>
            <w:r w:rsidRPr="00B56B65">
              <w:rPr>
                <w:sz w:val="16"/>
                <w:szCs w:val="16"/>
              </w:rPr>
              <w:t>17.7</w:t>
            </w:r>
          </w:p>
        </w:tc>
        <w:tc>
          <w:tcPr>
            <w:tcW w:w="993" w:type="dxa"/>
            <w:tcBorders>
              <w:right w:val="single" w:sz="4" w:space="0" w:color="auto"/>
            </w:tcBorders>
          </w:tcPr>
          <w:p w14:paraId="3F1AFCDC" w14:textId="77777777" w:rsidR="00B56B65" w:rsidRPr="00B56B65" w:rsidRDefault="00B56B65" w:rsidP="00B56B65">
            <w:pPr>
              <w:spacing w:before="20" w:after="20"/>
              <w:jc w:val="right"/>
              <w:rPr>
                <w:sz w:val="16"/>
                <w:szCs w:val="16"/>
              </w:rPr>
            </w:pPr>
            <w:r w:rsidRPr="00B56B65">
              <w:rPr>
                <w:sz w:val="16"/>
                <w:szCs w:val="16"/>
              </w:rPr>
              <w:t>(16.4, 19.1)</w:t>
            </w:r>
          </w:p>
        </w:tc>
        <w:tc>
          <w:tcPr>
            <w:tcW w:w="567" w:type="dxa"/>
            <w:tcBorders>
              <w:left w:val="single" w:sz="4" w:space="0" w:color="auto"/>
            </w:tcBorders>
          </w:tcPr>
          <w:p w14:paraId="09634BDB" w14:textId="77777777" w:rsidR="00B56B65" w:rsidRPr="00B56B65" w:rsidRDefault="00B56B65" w:rsidP="00B56B65">
            <w:pPr>
              <w:spacing w:before="20" w:after="20"/>
              <w:jc w:val="right"/>
              <w:rPr>
                <w:sz w:val="16"/>
                <w:szCs w:val="16"/>
              </w:rPr>
            </w:pPr>
            <w:r w:rsidRPr="00B56B65">
              <w:rPr>
                <w:sz w:val="16"/>
                <w:szCs w:val="16"/>
              </w:rPr>
              <w:t>441</w:t>
            </w:r>
          </w:p>
        </w:tc>
        <w:tc>
          <w:tcPr>
            <w:tcW w:w="567" w:type="dxa"/>
          </w:tcPr>
          <w:p w14:paraId="4161D26C" w14:textId="77777777" w:rsidR="00B56B65" w:rsidRPr="00B56B65" w:rsidRDefault="00B56B65" w:rsidP="00B56B65">
            <w:pPr>
              <w:spacing w:before="20" w:after="20"/>
              <w:jc w:val="right"/>
              <w:rPr>
                <w:sz w:val="16"/>
                <w:szCs w:val="16"/>
              </w:rPr>
            </w:pPr>
            <w:r w:rsidRPr="00B56B65">
              <w:rPr>
                <w:sz w:val="16"/>
                <w:szCs w:val="16"/>
              </w:rPr>
              <w:t>16.8</w:t>
            </w:r>
          </w:p>
        </w:tc>
        <w:tc>
          <w:tcPr>
            <w:tcW w:w="992" w:type="dxa"/>
            <w:tcBorders>
              <w:right w:val="single" w:sz="4" w:space="0" w:color="auto"/>
            </w:tcBorders>
          </w:tcPr>
          <w:p w14:paraId="60D2461C" w14:textId="77777777" w:rsidR="00B56B65" w:rsidRPr="00B56B65" w:rsidRDefault="00B56B65" w:rsidP="00B56B65">
            <w:pPr>
              <w:spacing w:before="20" w:after="20"/>
              <w:jc w:val="right"/>
              <w:rPr>
                <w:sz w:val="16"/>
                <w:szCs w:val="16"/>
              </w:rPr>
            </w:pPr>
            <w:r w:rsidRPr="00B56B65">
              <w:rPr>
                <w:sz w:val="16"/>
                <w:szCs w:val="16"/>
              </w:rPr>
              <w:t>(15.0, 18.5)</w:t>
            </w:r>
          </w:p>
        </w:tc>
        <w:tc>
          <w:tcPr>
            <w:tcW w:w="567" w:type="dxa"/>
            <w:tcBorders>
              <w:left w:val="single" w:sz="4" w:space="0" w:color="auto"/>
            </w:tcBorders>
          </w:tcPr>
          <w:p w14:paraId="7DD887F2" w14:textId="77777777" w:rsidR="00B56B65" w:rsidRPr="00B56B65" w:rsidRDefault="00B56B65" w:rsidP="00B56B65">
            <w:pPr>
              <w:spacing w:before="20" w:after="20"/>
              <w:jc w:val="right"/>
              <w:rPr>
                <w:sz w:val="16"/>
                <w:szCs w:val="16"/>
              </w:rPr>
            </w:pPr>
            <w:r w:rsidRPr="00B56B65">
              <w:rPr>
                <w:sz w:val="16"/>
                <w:szCs w:val="16"/>
              </w:rPr>
              <w:t>396</w:t>
            </w:r>
          </w:p>
        </w:tc>
        <w:tc>
          <w:tcPr>
            <w:tcW w:w="567" w:type="dxa"/>
          </w:tcPr>
          <w:p w14:paraId="76E43EB4" w14:textId="77777777" w:rsidR="00B56B65" w:rsidRPr="00B56B65" w:rsidRDefault="00B56B65" w:rsidP="00B56B65">
            <w:pPr>
              <w:spacing w:before="20" w:after="20"/>
              <w:jc w:val="right"/>
              <w:rPr>
                <w:sz w:val="16"/>
                <w:szCs w:val="16"/>
              </w:rPr>
            </w:pPr>
            <w:r w:rsidRPr="00B56B65">
              <w:rPr>
                <w:sz w:val="16"/>
                <w:szCs w:val="16"/>
              </w:rPr>
              <w:t>18.1</w:t>
            </w:r>
          </w:p>
        </w:tc>
        <w:tc>
          <w:tcPr>
            <w:tcW w:w="992" w:type="dxa"/>
            <w:tcBorders>
              <w:right w:val="single" w:sz="4" w:space="0" w:color="auto"/>
            </w:tcBorders>
          </w:tcPr>
          <w:p w14:paraId="2D467FE5" w14:textId="77777777" w:rsidR="00B56B65" w:rsidRPr="00B56B65" w:rsidRDefault="00B56B65" w:rsidP="00B56B65">
            <w:pPr>
              <w:spacing w:before="20" w:after="20"/>
              <w:jc w:val="right"/>
              <w:rPr>
                <w:sz w:val="16"/>
                <w:szCs w:val="16"/>
              </w:rPr>
            </w:pPr>
            <w:r w:rsidRPr="00B56B65">
              <w:rPr>
                <w:sz w:val="16"/>
                <w:szCs w:val="16"/>
              </w:rPr>
              <w:t>(15.9, 20.3)</w:t>
            </w:r>
          </w:p>
        </w:tc>
        <w:tc>
          <w:tcPr>
            <w:tcW w:w="536" w:type="dxa"/>
            <w:tcBorders>
              <w:left w:val="single" w:sz="4" w:space="0" w:color="auto"/>
            </w:tcBorders>
          </w:tcPr>
          <w:p w14:paraId="04A53B74" w14:textId="77777777" w:rsidR="00B56B65" w:rsidRPr="00B56B65" w:rsidRDefault="00B56B65" w:rsidP="00B56B65">
            <w:pPr>
              <w:spacing w:before="20" w:after="20"/>
              <w:jc w:val="right"/>
              <w:rPr>
                <w:sz w:val="16"/>
                <w:szCs w:val="16"/>
              </w:rPr>
            </w:pPr>
            <w:r w:rsidRPr="00B56B65">
              <w:rPr>
                <w:sz w:val="16"/>
                <w:szCs w:val="16"/>
              </w:rPr>
              <w:t>311</w:t>
            </w:r>
          </w:p>
        </w:tc>
        <w:tc>
          <w:tcPr>
            <w:tcW w:w="567" w:type="dxa"/>
          </w:tcPr>
          <w:p w14:paraId="51E67AA6" w14:textId="77777777" w:rsidR="00B56B65" w:rsidRPr="00B56B65" w:rsidRDefault="00B56B65" w:rsidP="00B56B65">
            <w:pPr>
              <w:spacing w:before="20" w:after="20"/>
              <w:jc w:val="right"/>
              <w:rPr>
                <w:sz w:val="16"/>
                <w:szCs w:val="16"/>
              </w:rPr>
            </w:pPr>
            <w:r w:rsidRPr="00B56B65">
              <w:rPr>
                <w:sz w:val="16"/>
                <w:szCs w:val="16"/>
              </w:rPr>
              <w:t>16.4</w:t>
            </w:r>
          </w:p>
        </w:tc>
        <w:tc>
          <w:tcPr>
            <w:tcW w:w="1023" w:type="dxa"/>
          </w:tcPr>
          <w:p w14:paraId="11FC2446" w14:textId="77777777" w:rsidR="00B56B65" w:rsidRPr="00B56B65" w:rsidRDefault="00B56B65" w:rsidP="00B56B65">
            <w:pPr>
              <w:spacing w:before="20" w:after="20"/>
              <w:jc w:val="right"/>
              <w:rPr>
                <w:sz w:val="16"/>
                <w:szCs w:val="16"/>
              </w:rPr>
            </w:pPr>
            <w:r w:rsidRPr="00B56B65">
              <w:rPr>
                <w:sz w:val="16"/>
                <w:szCs w:val="16"/>
              </w:rPr>
              <w:t>(14.1, 18.8)</w:t>
            </w:r>
          </w:p>
        </w:tc>
      </w:tr>
      <w:tr w:rsidR="00B56B65" w:rsidRPr="007B4EF8" w14:paraId="0674E1CF" w14:textId="77777777" w:rsidTr="00B56B65">
        <w:trPr>
          <w:jc w:val="center"/>
        </w:trPr>
        <w:tc>
          <w:tcPr>
            <w:tcW w:w="2345" w:type="dxa"/>
          </w:tcPr>
          <w:p w14:paraId="06DD97B9" w14:textId="77777777" w:rsidR="00B56B65" w:rsidRPr="00B56B65" w:rsidRDefault="00B56B65" w:rsidP="00B56B65">
            <w:pPr>
              <w:spacing w:before="20" w:after="20"/>
              <w:rPr>
                <w:sz w:val="16"/>
                <w:szCs w:val="16"/>
              </w:rPr>
            </w:pPr>
          </w:p>
        </w:tc>
        <w:tc>
          <w:tcPr>
            <w:tcW w:w="1834" w:type="dxa"/>
          </w:tcPr>
          <w:p w14:paraId="7E12419C" w14:textId="77777777" w:rsidR="00B56B65" w:rsidRPr="00B56B65" w:rsidRDefault="00B56B65" w:rsidP="00B56B65">
            <w:pPr>
              <w:spacing w:before="20" w:after="20"/>
              <w:rPr>
                <w:sz w:val="16"/>
                <w:szCs w:val="16"/>
              </w:rPr>
            </w:pPr>
            <w:r w:rsidRPr="00B56B65">
              <w:rPr>
                <w:sz w:val="16"/>
                <w:szCs w:val="16"/>
              </w:rPr>
              <w:t>High (Score 12 - 19)</w:t>
            </w:r>
          </w:p>
        </w:tc>
        <w:tc>
          <w:tcPr>
            <w:tcW w:w="597" w:type="dxa"/>
          </w:tcPr>
          <w:p w14:paraId="1D6C00B9" w14:textId="77777777" w:rsidR="00B56B65" w:rsidRPr="00B56B65" w:rsidRDefault="00B56B65" w:rsidP="00B56B65">
            <w:pPr>
              <w:spacing w:before="20" w:after="20"/>
              <w:jc w:val="right"/>
              <w:rPr>
                <w:sz w:val="16"/>
                <w:szCs w:val="16"/>
              </w:rPr>
            </w:pPr>
            <w:r w:rsidRPr="00B56B65">
              <w:rPr>
                <w:sz w:val="16"/>
                <w:szCs w:val="16"/>
              </w:rPr>
              <w:t>207</w:t>
            </w:r>
          </w:p>
        </w:tc>
        <w:tc>
          <w:tcPr>
            <w:tcW w:w="567" w:type="dxa"/>
          </w:tcPr>
          <w:p w14:paraId="53648735" w14:textId="77777777" w:rsidR="00B56B65" w:rsidRPr="00B56B65" w:rsidRDefault="00B56B65" w:rsidP="00B56B65">
            <w:pPr>
              <w:spacing w:before="20" w:after="20"/>
              <w:jc w:val="right"/>
              <w:rPr>
                <w:sz w:val="16"/>
                <w:szCs w:val="16"/>
              </w:rPr>
            </w:pPr>
            <w:r w:rsidRPr="00B56B65">
              <w:rPr>
                <w:sz w:val="16"/>
                <w:szCs w:val="16"/>
              </w:rPr>
              <w:t>4.6</w:t>
            </w:r>
          </w:p>
        </w:tc>
        <w:tc>
          <w:tcPr>
            <w:tcW w:w="993" w:type="dxa"/>
            <w:tcBorders>
              <w:right w:val="single" w:sz="4" w:space="0" w:color="auto"/>
            </w:tcBorders>
          </w:tcPr>
          <w:p w14:paraId="52A3D977" w14:textId="77777777" w:rsidR="00B56B65" w:rsidRPr="00B56B65" w:rsidRDefault="00B56B65" w:rsidP="00B56B65">
            <w:pPr>
              <w:spacing w:before="20" w:after="20"/>
              <w:jc w:val="right"/>
              <w:rPr>
                <w:sz w:val="16"/>
                <w:szCs w:val="16"/>
              </w:rPr>
            </w:pPr>
            <w:r w:rsidRPr="00B56B65">
              <w:rPr>
                <w:sz w:val="16"/>
                <w:szCs w:val="16"/>
              </w:rPr>
              <w:t>(3.9, 5.3)</w:t>
            </w:r>
          </w:p>
        </w:tc>
        <w:tc>
          <w:tcPr>
            <w:tcW w:w="567" w:type="dxa"/>
            <w:tcBorders>
              <w:left w:val="single" w:sz="4" w:space="0" w:color="auto"/>
            </w:tcBorders>
          </w:tcPr>
          <w:p w14:paraId="72DA8291" w14:textId="77777777" w:rsidR="00B56B65" w:rsidRPr="00B56B65" w:rsidRDefault="00B56B65" w:rsidP="00B56B65">
            <w:pPr>
              <w:spacing w:before="20" w:after="20"/>
              <w:jc w:val="right"/>
              <w:rPr>
                <w:sz w:val="16"/>
                <w:szCs w:val="16"/>
              </w:rPr>
            </w:pPr>
            <w:r w:rsidRPr="00B56B65">
              <w:rPr>
                <w:sz w:val="16"/>
                <w:szCs w:val="16"/>
              </w:rPr>
              <w:t>113</w:t>
            </w:r>
          </w:p>
        </w:tc>
        <w:tc>
          <w:tcPr>
            <w:tcW w:w="567" w:type="dxa"/>
          </w:tcPr>
          <w:p w14:paraId="43CFFACC" w14:textId="77777777" w:rsidR="00B56B65" w:rsidRPr="00B56B65" w:rsidRDefault="00B56B65" w:rsidP="00B56B65">
            <w:pPr>
              <w:spacing w:before="20" w:after="20"/>
              <w:jc w:val="right"/>
              <w:rPr>
                <w:sz w:val="16"/>
                <w:szCs w:val="16"/>
              </w:rPr>
            </w:pPr>
            <w:r w:rsidRPr="00B56B65">
              <w:rPr>
                <w:sz w:val="16"/>
                <w:szCs w:val="16"/>
              </w:rPr>
              <w:t>4.3</w:t>
            </w:r>
          </w:p>
        </w:tc>
        <w:tc>
          <w:tcPr>
            <w:tcW w:w="992" w:type="dxa"/>
            <w:tcBorders>
              <w:right w:val="single" w:sz="4" w:space="0" w:color="auto"/>
            </w:tcBorders>
          </w:tcPr>
          <w:p w14:paraId="1CD54359" w14:textId="77777777" w:rsidR="00B56B65" w:rsidRPr="00B56B65" w:rsidRDefault="00B56B65" w:rsidP="00B56B65">
            <w:pPr>
              <w:spacing w:before="20" w:after="20"/>
              <w:jc w:val="right"/>
              <w:rPr>
                <w:sz w:val="16"/>
                <w:szCs w:val="16"/>
              </w:rPr>
            </w:pPr>
            <w:r w:rsidRPr="00B56B65">
              <w:rPr>
                <w:sz w:val="16"/>
                <w:szCs w:val="16"/>
              </w:rPr>
              <w:t>(3.3, 5.2)</w:t>
            </w:r>
          </w:p>
        </w:tc>
        <w:tc>
          <w:tcPr>
            <w:tcW w:w="567" w:type="dxa"/>
            <w:tcBorders>
              <w:left w:val="single" w:sz="4" w:space="0" w:color="auto"/>
            </w:tcBorders>
          </w:tcPr>
          <w:p w14:paraId="3C855BA3" w14:textId="77777777" w:rsidR="00B56B65" w:rsidRPr="00B56B65" w:rsidRDefault="00B56B65" w:rsidP="00B56B65">
            <w:pPr>
              <w:spacing w:before="20" w:after="20"/>
              <w:jc w:val="right"/>
              <w:rPr>
                <w:sz w:val="16"/>
                <w:szCs w:val="16"/>
              </w:rPr>
            </w:pPr>
            <w:r w:rsidRPr="00B56B65">
              <w:rPr>
                <w:sz w:val="16"/>
                <w:szCs w:val="16"/>
              </w:rPr>
              <w:t>106</w:t>
            </w:r>
          </w:p>
        </w:tc>
        <w:tc>
          <w:tcPr>
            <w:tcW w:w="567" w:type="dxa"/>
          </w:tcPr>
          <w:p w14:paraId="63195FCB" w14:textId="77777777" w:rsidR="00B56B65" w:rsidRPr="00B56B65" w:rsidRDefault="00B56B65" w:rsidP="00B56B65">
            <w:pPr>
              <w:spacing w:before="20" w:after="20"/>
              <w:jc w:val="right"/>
              <w:rPr>
                <w:sz w:val="16"/>
                <w:szCs w:val="16"/>
              </w:rPr>
            </w:pPr>
            <w:r w:rsidRPr="00B56B65">
              <w:rPr>
                <w:sz w:val="16"/>
                <w:szCs w:val="16"/>
              </w:rPr>
              <w:t>4.9</w:t>
            </w:r>
          </w:p>
        </w:tc>
        <w:tc>
          <w:tcPr>
            <w:tcW w:w="992" w:type="dxa"/>
            <w:tcBorders>
              <w:right w:val="single" w:sz="4" w:space="0" w:color="auto"/>
            </w:tcBorders>
          </w:tcPr>
          <w:p w14:paraId="5F7CD7F2" w14:textId="77777777" w:rsidR="00B56B65" w:rsidRPr="00B56B65" w:rsidRDefault="00B56B65" w:rsidP="00B56B65">
            <w:pPr>
              <w:spacing w:before="20" w:after="20"/>
              <w:jc w:val="right"/>
              <w:rPr>
                <w:sz w:val="16"/>
                <w:szCs w:val="16"/>
              </w:rPr>
            </w:pPr>
            <w:r w:rsidRPr="00B56B65">
              <w:rPr>
                <w:sz w:val="16"/>
                <w:szCs w:val="16"/>
              </w:rPr>
              <w:t>(3.8, 5.9)</w:t>
            </w:r>
          </w:p>
        </w:tc>
        <w:tc>
          <w:tcPr>
            <w:tcW w:w="536" w:type="dxa"/>
            <w:tcBorders>
              <w:left w:val="single" w:sz="4" w:space="0" w:color="auto"/>
            </w:tcBorders>
          </w:tcPr>
          <w:p w14:paraId="537539A7" w14:textId="77777777" w:rsidR="00B56B65" w:rsidRPr="00B56B65" w:rsidRDefault="00B56B65" w:rsidP="00B56B65">
            <w:pPr>
              <w:spacing w:before="20" w:after="20"/>
              <w:jc w:val="right"/>
              <w:rPr>
                <w:sz w:val="16"/>
                <w:szCs w:val="16"/>
              </w:rPr>
            </w:pPr>
            <w:r w:rsidRPr="00B56B65">
              <w:rPr>
                <w:sz w:val="16"/>
                <w:szCs w:val="16"/>
              </w:rPr>
              <w:t>86</w:t>
            </w:r>
          </w:p>
        </w:tc>
        <w:tc>
          <w:tcPr>
            <w:tcW w:w="567" w:type="dxa"/>
          </w:tcPr>
          <w:p w14:paraId="5331943B" w14:textId="77777777" w:rsidR="00B56B65" w:rsidRPr="00B56B65" w:rsidRDefault="00B56B65" w:rsidP="00B56B65">
            <w:pPr>
              <w:spacing w:before="20" w:after="20"/>
              <w:jc w:val="right"/>
              <w:rPr>
                <w:sz w:val="16"/>
                <w:szCs w:val="16"/>
              </w:rPr>
            </w:pPr>
            <w:r w:rsidRPr="00B56B65">
              <w:rPr>
                <w:sz w:val="16"/>
                <w:szCs w:val="16"/>
              </w:rPr>
              <w:t>4.5</w:t>
            </w:r>
          </w:p>
        </w:tc>
        <w:tc>
          <w:tcPr>
            <w:tcW w:w="1023" w:type="dxa"/>
          </w:tcPr>
          <w:p w14:paraId="30109019" w14:textId="77777777" w:rsidR="00B56B65" w:rsidRPr="00B56B65" w:rsidRDefault="00B56B65" w:rsidP="00B56B65">
            <w:pPr>
              <w:spacing w:before="20" w:after="20"/>
              <w:jc w:val="right"/>
              <w:rPr>
                <w:sz w:val="16"/>
                <w:szCs w:val="16"/>
              </w:rPr>
            </w:pPr>
            <w:r w:rsidRPr="00B56B65">
              <w:rPr>
                <w:sz w:val="16"/>
                <w:szCs w:val="16"/>
              </w:rPr>
              <w:t>(3.5, 5.6)</w:t>
            </w:r>
          </w:p>
        </w:tc>
      </w:tr>
      <w:tr w:rsidR="00B56B65" w:rsidRPr="007B4EF8" w14:paraId="1E2795E0" w14:textId="77777777" w:rsidTr="00B56B65">
        <w:trPr>
          <w:jc w:val="center"/>
        </w:trPr>
        <w:tc>
          <w:tcPr>
            <w:tcW w:w="2345" w:type="dxa"/>
          </w:tcPr>
          <w:p w14:paraId="4D0763B1" w14:textId="77777777" w:rsidR="00B56B65" w:rsidRPr="00B56B65" w:rsidRDefault="00B56B65" w:rsidP="00B56B65">
            <w:pPr>
              <w:spacing w:before="20" w:after="20"/>
              <w:rPr>
                <w:sz w:val="16"/>
                <w:szCs w:val="16"/>
              </w:rPr>
            </w:pPr>
          </w:p>
        </w:tc>
        <w:tc>
          <w:tcPr>
            <w:tcW w:w="1834" w:type="dxa"/>
          </w:tcPr>
          <w:p w14:paraId="2F885E8F" w14:textId="77777777" w:rsidR="00B56B65" w:rsidRPr="00B56B65" w:rsidRDefault="00B56B65" w:rsidP="00B56B65">
            <w:pPr>
              <w:spacing w:before="20" w:after="20"/>
              <w:rPr>
                <w:sz w:val="16"/>
                <w:szCs w:val="16"/>
              </w:rPr>
            </w:pPr>
            <w:r w:rsidRPr="00B56B65">
              <w:rPr>
                <w:sz w:val="16"/>
                <w:szCs w:val="16"/>
              </w:rPr>
              <w:t>Severe (Score 20 - 40)</w:t>
            </w:r>
          </w:p>
        </w:tc>
        <w:tc>
          <w:tcPr>
            <w:tcW w:w="597" w:type="dxa"/>
          </w:tcPr>
          <w:p w14:paraId="1DA064F3" w14:textId="77777777" w:rsidR="00B56B65" w:rsidRPr="00B56B65" w:rsidRDefault="00B56B65" w:rsidP="00B56B65">
            <w:pPr>
              <w:spacing w:before="20" w:after="20"/>
              <w:jc w:val="right"/>
              <w:rPr>
                <w:sz w:val="16"/>
                <w:szCs w:val="16"/>
              </w:rPr>
            </w:pPr>
            <w:r w:rsidRPr="00B56B65">
              <w:rPr>
                <w:sz w:val="16"/>
                <w:szCs w:val="16"/>
              </w:rPr>
              <w:t>64</w:t>
            </w:r>
          </w:p>
        </w:tc>
        <w:tc>
          <w:tcPr>
            <w:tcW w:w="567" w:type="dxa"/>
          </w:tcPr>
          <w:p w14:paraId="2D4D7F51" w14:textId="77777777" w:rsidR="00B56B65" w:rsidRPr="00B56B65" w:rsidRDefault="00B56B65" w:rsidP="00B56B65">
            <w:pPr>
              <w:spacing w:before="20" w:after="20"/>
              <w:jc w:val="right"/>
              <w:rPr>
                <w:sz w:val="16"/>
                <w:szCs w:val="16"/>
              </w:rPr>
            </w:pPr>
            <w:r w:rsidRPr="00B56B65">
              <w:rPr>
                <w:sz w:val="16"/>
                <w:szCs w:val="16"/>
              </w:rPr>
              <w:t>1.4</w:t>
            </w:r>
          </w:p>
        </w:tc>
        <w:tc>
          <w:tcPr>
            <w:tcW w:w="993" w:type="dxa"/>
            <w:tcBorders>
              <w:right w:val="single" w:sz="4" w:space="0" w:color="auto"/>
            </w:tcBorders>
          </w:tcPr>
          <w:p w14:paraId="111A1361" w14:textId="77777777" w:rsidR="00B56B65" w:rsidRPr="00B56B65" w:rsidRDefault="00B56B65" w:rsidP="00B56B65">
            <w:pPr>
              <w:spacing w:before="20" w:after="20"/>
              <w:jc w:val="right"/>
              <w:rPr>
                <w:sz w:val="16"/>
                <w:szCs w:val="16"/>
              </w:rPr>
            </w:pPr>
            <w:r w:rsidRPr="00B56B65">
              <w:rPr>
                <w:sz w:val="16"/>
                <w:szCs w:val="16"/>
              </w:rPr>
              <w:t>(1.0, 1.8)</w:t>
            </w:r>
          </w:p>
        </w:tc>
        <w:tc>
          <w:tcPr>
            <w:tcW w:w="567" w:type="dxa"/>
            <w:tcBorders>
              <w:left w:val="single" w:sz="4" w:space="0" w:color="auto"/>
            </w:tcBorders>
          </w:tcPr>
          <w:p w14:paraId="3066389F" w14:textId="77777777" w:rsidR="00B56B65" w:rsidRPr="00B56B65" w:rsidRDefault="00B56B65" w:rsidP="00B56B65">
            <w:pPr>
              <w:spacing w:before="20" w:after="20"/>
              <w:jc w:val="right"/>
              <w:rPr>
                <w:sz w:val="16"/>
                <w:szCs w:val="16"/>
              </w:rPr>
            </w:pPr>
            <w:r w:rsidRPr="00B56B65">
              <w:rPr>
                <w:sz w:val="16"/>
                <w:szCs w:val="16"/>
              </w:rPr>
              <w:t>21</w:t>
            </w:r>
          </w:p>
        </w:tc>
        <w:tc>
          <w:tcPr>
            <w:tcW w:w="567" w:type="dxa"/>
          </w:tcPr>
          <w:p w14:paraId="5C96F112" w14:textId="77777777" w:rsidR="00B56B65" w:rsidRPr="00B56B65" w:rsidRDefault="00B56B65" w:rsidP="00B56B65">
            <w:pPr>
              <w:spacing w:before="20" w:after="20"/>
              <w:jc w:val="right"/>
              <w:rPr>
                <w:sz w:val="16"/>
                <w:szCs w:val="16"/>
              </w:rPr>
            </w:pPr>
            <w:r w:rsidRPr="00B56B65">
              <w:rPr>
                <w:sz w:val="16"/>
                <w:szCs w:val="16"/>
              </w:rPr>
              <w:t>0.8</w:t>
            </w:r>
          </w:p>
        </w:tc>
        <w:tc>
          <w:tcPr>
            <w:tcW w:w="992" w:type="dxa"/>
            <w:tcBorders>
              <w:right w:val="single" w:sz="4" w:space="0" w:color="auto"/>
            </w:tcBorders>
          </w:tcPr>
          <w:p w14:paraId="25AB1A0E" w14:textId="77777777" w:rsidR="00B56B65" w:rsidRPr="00B56B65" w:rsidRDefault="00B56B65" w:rsidP="00B56B65">
            <w:pPr>
              <w:spacing w:before="20" w:after="20"/>
              <w:jc w:val="right"/>
              <w:rPr>
                <w:sz w:val="16"/>
                <w:szCs w:val="16"/>
              </w:rPr>
            </w:pPr>
            <w:r w:rsidRPr="00B56B65">
              <w:rPr>
                <w:sz w:val="16"/>
                <w:szCs w:val="16"/>
              </w:rPr>
              <w:t>(0.5, 1.1)</w:t>
            </w:r>
          </w:p>
        </w:tc>
        <w:tc>
          <w:tcPr>
            <w:tcW w:w="567" w:type="dxa"/>
            <w:tcBorders>
              <w:left w:val="single" w:sz="4" w:space="0" w:color="auto"/>
            </w:tcBorders>
          </w:tcPr>
          <w:p w14:paraId="30134EBF" w14:textId="77777777" w:rsidR="00B56B65" w:rsidRPr="00B56B65" w:rsidRDefault="00B56B65" w:rsidP="00B56B65">
            <w:pPr>
              <w:spacing w:before="20" w:after="20"/>
              <w:jc w:val="right"/>
              <w:rPr>
                <w:sz w:val="16"/>
                <w:szCs w:val="16"/>
              </w:rPr>
            </w:pPr>
            <w:r w:rsidRPr="00B56B65">
              <w:rPr>
                <w:sz w:val="16"/>
                <w:szCs w:val="16"/>
              </w:rPr>
              <w:t>20</w:t>
            </w:r>
          </w:p>
        </w:tc>
        <w:tc>
          <w:tcPr>
            <w:tcW w:w="567" w:type="dxa"/>
          </w:tcPr>
          <w:p w14:paraId="6FC0D00C" w14:textId="77777777" w:rsidR="00B56B65" w:rsidRPr="00B56B65" w:rsidRDefault="00B56B65" w:rsidP="00B56B65">
            <w:pPr>
              <w:spacing w:before="20" w:after="20"/>
              <w:jc w:val="right"/>
              <w:rPr>
                <w:sz w:val="16"/>
                <w:szCs w:val="16"/>
              </w:rPr>
            </w:pPr>
            <w:r w:rsidRPr="00B56B65">
              <w:rPr>
                <w:sz w:val="16"/>
                <w:szCs w:val="16"/>
              </w:rPr>
              <w:t>0.9</w:t>
            </w:r>
          </w:p>
        </w:tc>
        <w:tc>
          <w:tcPr>
            <w:tcW w:w="992" w:type="dxa"/>
            <w:tcBorders>
              <w:right w:val="single" w:sz="4" w:space="0" w:color="auto"/>
            </w:tcBorders>
          </w:tcPr>
          <w:p w14:paraId="52FA5452" w14:textId="77777777" w:rsidR="00B56B65" w:rsidRPr="00B56B65" w:rsidRDefault="00B56B65" w:rsidP="00B56B65">
            <w:pPr>
              <w:spacing w:before="20" w:after="20"/>
              <w:jc w:val="right"/>
              <w:rPr>
                <w:sz w:val="16"/>
                <w:szCs w:val="16"/>
              </w:rPr>
            </w:pPr>
            <w:r w:rsidRPr="00B56B65">
              <w:rPr>
                <w:sz w:val="16"/>
                <w:szCs w:val="16"/>
              </w:rPr>
              <w:t>(0.4, 1.4)</w:t>
            </w:r>
          </w:p>
        </w:tc>
        <w:tc>
          <w:tcPr>
            <w:tcW w:w="536" w:type="dxa"/>
            <w:tcBorders>
              <w:left w:val="single" w:sz="4" w:space="0" w:color="auto"/>
            </w:tcBorders>
          </w:tcPr>
          <w:p w14:paraId="6881A048" w14:textId="77777777" w:rsidR="00B56B65" w:rsidRPr="00B56B65" w:rsidRDefault="00B56B65" w:rsidP="00B56B65">
            <w:pPr>
              <w:spacing w:before="20" w:after="20"/>
              <w:jc w:val="right"/>
              <w:rPr>
                <w:sz w:val="16"/>
                <w:szCs w:val="16"/>
              </w:rPr>
            </w:pPr>
            <w:r w:rsidRPr="00B56B65">
              <w:rPr>
                <w:sz w:val="16"/>
                <w:szCs w:val="16"/>
              </w:rPr>
              <w:t>15</w:t>
            </w:r>
          </w:p>
        </w:tc>
        <w:tc>
          <w:tcPr>
            <w:tcW w:w="567" w:type="dxa"/>
          </w:tcPr>
          <w:p w14:paraId="4FEEE9D5" w14:textId="77777777" w:rsidR="00B56B65" w:rsidRPr="00B56B65" w:rsidRDefault="00B56B65" w:rsidP="00B56B65">
            <w:pPr>
              <w:spacing w:before="20" w:after="20"/>
              <w:jc w:val="right"/>
              <w:rPr>
                <w:sz w:val="16"/>
                <w:szCs w:val="16"/>
              </w:rPr>
            </w:pPr>
            <w:r w:rsidRPr="00B56B65">
              <w:rPr>
                <w:sz w:val="16"/>
                <w:szCs w:val="16"/>
              </w:rPr>
              <w:t>0.8</w:t>
            </w:r>
          </w:p>
        </w:tc>
        <w:tc>
          <w:tcPr>
            <w:tcW w:w="1023" w:type="dxa"/>
          </w:tcPr>
          <w:p w14:paraId="1B8D7E00" w14:textId="77777777" w:rsidR="00B56B65" w:rsidRPr="00B56B65" w:rsidRDefault="00B56B65" w:rsidP="00B56B65">
            <w:pPr>
              <w:spacing w:before="20" w:after="20"/>
              <w:jc w:val="right"/>
              <w:rPr>
                <w:sz w:val="16"/>
                <w:szCs w:val="16"/>
              </w:rPr>
            </w:pPr>
            <w:r w:rsidRPr="00B56B65">
              <w:rPr>
                <w:sz w:val="16"/>
                <w:szCs w:val="16"/>
              </w:rPr>
              <w:t>(0.4, 1.2)</w:t>
            </w:r>
          </w:p>
        </w:tc>
      </w:tr>
      <w:tr w:rsidR="00B56B65" w:rsidRPr="007B4EF8" w14:paraId="2B1C6EAB" w14:textId="77777777" w:rsidTr="00B56B65">
        <w:trPr>
          <w:jc w:val="center"/>
        </w:trPr>
        <w:tc>
          <w:tcPr>
            <w:tcW w:w="2345" w:type="dxa"/>
          </w:tcPr>
          <w:p w14:paraId="6FAD7DFA" w14:textId="77777777" w:rsidR="00B56B65" w:rsidRPr="00B56B65" w:rsidRDefault="00B56B65" w:rsidP="00B56B65">
            <w:pPr>
              <w:spacing w:before="20" w:after="20"/>
              <w:rPr>
                <w:sz w:val="16"/>
                <w:szCs w:val="16"/>
              </w:rPr>
            </w:pPr>
            <w:r w:rsidRPr="00B56B65">
              <w:rPr>
                <w:sz w:val="16"/>
                <w:szCs w:val="16"/>
              </w:rPr>
              <w:t>Low-risk gambler</w:t>
            </w:r>
          </w:p>
        </w:tc>
        <w:tc>
          <w:tcPr>
            <w:tcW w:w="1834" w:type="dxa"/>
          </w:tcPr>
          <w:p w14:paraId="6DC6C439" w14:textId="77777777" w:rsidR="00B56B65" w:rsidRPr="00B56B65" w:rsidRDefault="00B56B65" w:rsidP="00B56B65">
            <w:pPr>
              <w:spacing w:before="20" w:after="20"/>
              <w:rPr>
                <w:sz w:val="16"/>
                <w:szCs w:val="16"/>
              </w:rPr>
            </w:pPr>
            <w:r w:rsidRPr="00B56B65">
              <w:rPr>
                <w:sz w:val="16"/>
                <w:szCs w:val="16"/>
              </w:rPr>
              <w:t>Low (Score 0 - 5)</w:t>
            </w:r>
          </w:p>
        </w:tc>
        <w:tc>
          <w:tcPr>
            <w:tcW w:w="597" w:type="dxa"/>
          </w:tcPr>
          <w:p w14:paraId="7D62A7D4" w14:textId="77777777" w:rsidR="00B56B65" w:rsidRPr="00B56B65" w:rsidRDefault="00B56B65" w:rsidP="00B56B65">
            <w:pPr>
              <w:spacing w:before="20" w:after="20"/>
              <w:jc w:val="right"/>
              <w:rPr>
                <w:sz w:val="16"/>
                <w:szCs w:val="16"/>
              </w:rPr>
            </w:pPr>
            <w:r w:rsidRPr="00B56B65">
              <w:rPr>
                <w:sz w:val="16"/>
                <w:szCs w:val="16"/>
              </w:rPr>
              <w:t>178</w:t>
            </w:r>
          </w:p>
        </w:tc>
        <w:tc>
          <w:tcPr>
            <w:tcW w:w="567" w:type="dxa"/>
          </w:tcPr>
          <w:p w14:paraId="4CCD6A39" w14:textId="77777777" w:rsidR="00B56B65" w:rsidRPr="00B56B65" w:rsidRDefault="00B56B65" w:rsidP="00B56B65">
            <w:pPr>
              <w:spacing w:before="20" w:after="20"/>
              <w:jc w:val="right"/>
              <w:rPr>
                <w:sz w:val="16"/>
                <w:szCs w:val="16"/>
              </w:rPr>
            </w:pPr>
            <w:r w:rsidRPr="00B56B65">
              <w:rPr>
                <w:sz w:val="16"/>
                <w:szCs w:val="16"/>
              </w:rPr>
              <w:t>57.9</w:t>
            </w:r>
          </w:p>
        </w:tc>
        <w:tc>
          <w:tcPr>
            <w:tcW w:w="993" w:type="dxa"/>
            <w:tcBorders>
              <w:right w:val="single" w:sz="4" w:space="0" w:color="auto"/>
            </w:tcBorders>
          </w:tcPr>
          <w:p w14:paraId="7F70F06F" w14:textId="77777777" w:rsidR="00B56B65" w:rsidRPr="00B56B65" w:rsidRDefault="00B56B65" w:rsidP="00B56B65">
            <w:pPr>
              <w:spacing w:before="20" w:after="20"/>
              <w:jc w:val="right"/>
              <w:rPr>
                <w:sz w:val="16"/>
                <w:szCs w:val="16"/>
              </w:rPr>
            </w:pPr>
            <w:r w:rsidRPr="00B56B65">
              <w:rPr>
                <w:sz w:val="16"/>
                <w:szCs w:val="16"/>
              </w:rPr>
              <w:t>(51.0, 64.9)</w:t>
            </w:r>
          </w:p>
        </w:tc>
        <w:tc>
          <w:tcPr>
            <w:tcW w:w="567" w:type="dxa"/>
            <w:tcBorders>
              <w:left w:val="single" w:sz="4" w:space="0" w:color="auto"/>
            </w:tcBorders>
          </w:tcPr>
          <w:p w14:paraId="2AC4C976" w14:textId="77777777" w:rsidR="00B56B65" w:rsidRPr="00B56B65" w:rsidRDefault="00B56B65" w:rsidP="00B56B65">
            <w:pPr>
              <w:spacing w:before="20" w:after="20"/>
              <w:jc w:val="right"/>
              <w:rPr>
                <w:sz w:val="16"/>
                <w:szCs w:val="16"/>
              </w:rPr>
            </w:pPr>
            <w:r w:rsidRPr="00B56B65">
              <w:rPr>
                <w:sz w:val="16"/>
                <w:szCs w:val="16"/>
              </w:rPr>
              <w:t>116</w:t>
            </w:r>
          </w:p>
        </w:tc>
        <w:tc>
          <w:tcPr>
            <w:tcW w:w="567" w:type="dxa"/>
          </w:tcPr>
          <w:p w14:paraId="5A718683" w14:textId="77777777" w:rsidR="00B56B65" w:rsidRPr="00B56B65" w:rsidRDefault="00B56B65" w:rsidP="00B56B65">
            <w:pPr>
              <w:spacing w:before="20" w:after="20"/>
              <w:jc w:val="right"/>
              <w:rPr>
                <w:sz w:val="16"/>
                <w:szCs w:val="16"/>
              </w:rPr>
            </w:pPr>
            <w:r w:rsidRPr="00B56B65">
              <w:rPr>
                <w:sz w:val="16"/>
                <w:szCs w:val="16"/>
              </w:rPr>
              <w:t>55.3</w:t>
            </w:r>
          </w:p>
        </w:tc>
        <w:tc>
          <w:tcPr>
            <w:tcW w:w="992" w:type="dxa"/>
            <w:tcBorders>
              <w:right w:val="single" w:sz="4" w:space="0" w:color="auto"/>
            </w:tcBorders>
          </w:tcPr>
          <w:p w14:paraId="504236D7" w14:textId="77777777" w:rsidR="00B56B65" w:rsidRPr="00B56B65" w:rsidRDefault="00B56B65" w:rsidP="00B56B65">
            <w:pPr>
              <w:spacing w:before="20" w:after="20"/>
              <w:jc w:val="right"/>
              <w:rPr>
                <w:sz w:val="16"/>
                <w:szCs w:val="16"/>
              </w:rPr>
            </w:pPr>
            <w:r w:rsidRPr="00B56B65">
              <w:rPr>
                <w:sz w:val="16"/>
                <w:szCs w:val="16"/>
              </w:rPr>
              <w:t>(47.5, 63.0)</w:t>
            </w:r>
          </w:p>
        </w:tc>
        <w:tc>
          <w:tcPr>
            <w:tcW w:w="567" w:type="dxa"/>
            <w:tcBorders>
              <w:left w:val="single" w:sz="4" w:space="0" w:color="auto"/>
            </w:tcBorders>
          </w:tcPr>
          <w:p w14:paraId="173EBB7C" w14:textId="77777777" w:rsidR="00B56B65" w:rsidRPr="00B56B65" w:rsidRDefault="00B56B65" w:rsidP="00B56B65">
            <w:pPr>
              <w:spacing w:before="20" w:after="20"/>
              <w:jc w:val="right"/>
              <w:rPr>
                <w:sz w:val="16"/>
                <w:szCs w:val="16"/>
              </w:rPr>
            </w:pPr>
            <w:r w:rsidRPr="00B56B65">
              <w:rPr>
                <w:sz w:val="16"/>
                <w:szCs w:val="16"/>
              </w:rPr>
              <w:t>99</w:t>
            </w:r>
          </w:p>
        </w:tc>
        <w:tc>
          <w:tcPr>
            <w:tcW w:w="567" w:type="dxa"/>
          </w:tcPr>
          <w:p w14:paraId="5CAB54AB" w14:textId="77777777" w:rsidR="00B56B65" w:rsidRPr="00B56B65" w:rsidRDefault="00B56B65" w:rsidP="00B56B65">
            <w:pPr>
              <w:spacing w:before="20" w:after="20"/>
              <w:jc w:val="right"/>
              <w:rPr>
                <w:sz w:val="16"/>
                <w:szCs w:val="16"/>
              </w:rPr>
            </w:pPr>
            <w:r w:rsidRPr="00B56B65">
              <w:rPr>
                <w:sz w:val="16"/>
                <w:szCs w:val="16"/>
              </w:rPr>
              <w:t>64.0</w:t>
            </w:r>
          </w:p>
        </w:tc>
        <w:tc>
          <w:tcPr>
            <w:tcW w:w="992" w:type="dxa"/>
            <w:tcBorders>
              <w:right w:val="single" w:sz="4" w:space="0" w:color="auto"/>
            </w:tcBorders>
          </w:tcPr>
          <w:p w14:paraId="33DC0F0B" w14:textId="77777777" w:rsidR="00B56B65" w:rsidRPr="00B56B65" w:rsidRDefault="00B56B65" w:rsidP="00B56B65">
            <w:pPr>
              <w:spacing w:before="20" w:after="20"/>
              <w:jc w:val="right"/>
              <w:rPr>
                <w:sz w:val="16"/>
                <w:szCs w:val="16"/>
              </w:rPr>
            </w:pPr>
            <w:r w:rsidRPr="00B56B65">
              <w:rPr>
                <w:sz w:val="16"/>
                <w:szCs w:val="16"/>
              </w:rPr>
              <w:t>(54.8, 73.2)</w:t>
            </w:r>
          </w:p>
        </w:tc>
        <w:tc>
          <w:tcPr>
            <w:tcW w:w="536" w:type="dxa"/>
            <w:tcBorders>
              <w:left w:val="single" w:sz="4" w:space="0" w:color="auto"/>
            </w:tcBorders>
          </w:tcPr>
          <w:p w14:paraId="1C39FA8E" w14:textId="77777777" w:rsidR="00B56B65" w:rsidRPr="00B56B65" w:rsidRDefault="00B56B65" w:rsidP="00B56B65">
            <w:pPr>
              <w:spacing w:before="20" w:after="20"/>
              <w:jc w:val="right"/>
              <w:rPr>
                <w:sz w:val="16"/>
                <w:szCs w:val="16"/>
              </w:rPr>
            </w:pPr>
            <w:r w:rsidRPr="00B56B65">
              <w:rPr>
                <w:sz w:val="16"/>
                <w:szCs w:val="16"/>
              </w:rPr>
              <w:t>74</w:t>
            </w:r>
          </w:p>
        </w:tc>
        <w:tc>
          <w:tcPr>
            <w:tcW w:w="567" w:type="dxa"/>
          </w:tcPr>
          <w:p w14:paraId="774DE017" w14:textId="77777777" w:rsidR="00B56B65" w:rsidRPr="00B56B65" w:rsidRDefault="00B56B65" w:rsidP="00B56B65">
            <w:pPr>
              <w:spacing w:before="20" w:after="20"/>
              <w:jc w:val="right"/>
              <w:rPr>
                <w:sz w:val="16"/>
                <w:szCs w:val="16"/>
              </w:rPr>
            </w:pPr>
            <w:r w:rsidRPr="00B56B65">
              <w:rPr>
                <w:sz w:val="16"/>
                <w:szCs w:val="16"/>
              </w:rPr>
              <w:t>57.7</w:t>
            </w:r>
          </w:p>
        </w:tc>
        <w:tc>
          <w:tcPr>
            <w:tcW w:w="1023" w:type="dxa"/>
          </w:tcPr>
          <w:p w14:paraId="019ACFA4" w14:textId="77777777" w:rsidR="00B56B65" w:rsidRPr="00B56B65" w:rsidRDefault="00B56B65" w:rsidP="00B56B65">
            <w:pPr>
              <w:spacing w:before="20" w:after="20"/>
              <w:jc w:val="right"/>
              <w:rPr>
                <w:sz w:val="16"/>
                <w:szCs w:val="16"/>
              </w:rPr>
            </w:pPr>
            <w:r w:rsidRPr="00B56B65">
              <w:rPr>
                <w:sz w:val="16"/>
                <w:szCs w:val="16"/>
              </w:rPr>
              <w:t>(46.8, 68.6)</w:t>
            </w:r>
          </w:p>
        </w:tc>
      </w:tr>
      <w:tr w:rsidR="00B56B65" w:rsidRPr="007B4EF8" w14:paraId="37E21E9C" w14:textId="77777777" w:rsidTr="00B56B65">
        <w:trPr>
          <w:jc w:val="center"/>
        </w:trPr>
        <w:tc>
          <w:tcPr>
            <w:tcW w:w="2345" w:type="dxa"/>
          </w:tcPr>
          <w:p w14:paraId="7CCE506A" w14:textId="77777777" w:rsidR="00B56B65" w:rsidRPr="00B56B65" w:rsidRDefault="00B56B65" w:rsidP="00B56B65">
            <w:pPr>
              <w:spacing w:before="20" w:after="20"/>
              <w:rPr>
                <w:sz w:val="16"/>
                <w:szCs w:val="16"/>
              </w:rPr>
            </w:pPr>
          </w:p>
        </w:tc>
        <w:tc>
          <w:tcPr>
            <w:tcW w:w="1834" w:type="dxa"/>
          </w:tcPr>
          <w:p w14:paraId="11EFE3FD" w14:textId="77777777" w:rsidR="00B56B65" w:rsidRPr="00B56B65" w:rsidRDefault="00B56B65" w:rsidP="00B56B65">
            <w:pPr>
              <w:spacing w:before="20" w:after="20"/>
              <w:rPr>
                <w:sz w:val="16"/>
                <w:szCs w:val="16"/>
              </w:rPr>
            </w:pPr>
            <w:r w:rsidRPr="00B56B65">
              <w:rPr>
                <w:sz w:val="16"/>
                <w:szCs w:val="16"/>
              </w:rPr>
              <w:t>Moderate (Score 6 - 11)</w:t>
            </w:r>
          </w:p>
        </w:tc>
        <w:tc>
          <w:tcPr>
            <w:tcW w:w="597" w:type="dxa"/>
          </w:tcPr>
          <w:p w14:paraId="3B0A2B51" w14:textId="77777777" w:rsidR="00B56B65" w:rsidRPr="00B56B65" w:rsidRDefault="00B56B65" w:rsidP="00B56B65">
            <w:pPr>
              <w:spacing w:before="20" w:after="20"/>
              <w:jc w:val="right"/>
              <w:rPr>
                <w:sz w:val="16"/>
                <w:szCs w:val="16"/>
              </w:rPr>
            </w:pPr>
            <w:r w:rsidRPr="00B56B65">
              <w:rPr>
                <w:sz w:val="16"/>
                <w:szCs w:val="16"/>
              </w:rPr>
              <w:t>91</w:t>
            </w:r>
          </w:p>
        </w:tc>
        <w:tc>
          <w:tcPr>
            <w:tcW w:w="567" w:type="dxa"/>
          </w:tcPr>
          <w:p w14:paraId="102C8411" w14:textId="77777777" w:rsidR="00B56B65" w:rsidRPr="00B56B65" w:rsidRDefault="00B56B65" w:rsidP="00B56B65">
            <w:pPr>
              <w:spacing w:before="20" w:after="20"/>
              <w:jc w:val="right"/>
              <w:rPr>
                <w:sz w:val="16"/>
                <w:szCs w:val="16"/>
              </w:rPr>
            </w:pPr>
            <w:r w:rsidRPr="00B56B65">
              <w:rPr>
                <w:sz w:val="16"/>
                <w:szCs w:val="16"/>
              </w:rPr>
              <w:t>29.7</w:t>
            </w:r>
          </w:p>
        </w:tc>
        <w:tc>
          <w:tcPr>
            <w:tcW w:w="993" w:type="dxa"/>
            <w:tcBorders>
              <w:right w:val="single" w:sz="4" w:space="0" w:color="auto"/>
            </w:tcBorders>
          </w:tcPr>
          <w:p w14:paraId="16D33826" w14:textId="77777777" w:rsidR="00B56B65" w:rsidRPr="00B56B65" w:rsidRDefault="00B56B65" w:rsidP="00B56B65">
            <w:pPr>
              <w:spacing w:before="20" w:after="20"/>
              <w:jc w:val="right"/>
              <w:rPr>
                <w:sz w:val="16"/>
                <w:szCs w:val="16"/>
              </w:rPr>
            </w:pPr>
            <w:r w:rsidRPr="00B56B65">
              <w:rPr>
                <w:sz w:val="16"/>
                <w:szCs w:val="16"/>
              </w:rPr>
              <w:t>(23.2, 36.2)</w:t>
            </w:r>
          </w:p>
        </w:tc>
        <w:tc>
          <w:tcPr>
            <w:tcW w:w="567" w:type="dxa"/>
            <w:tcBorders>
              <w:left w:val="single" w:sz="4" w:space="0" w:color="auto"/>
            </w:tcBorders>
          </w:tcPr>
          <w:p w14:paraId="401DD795" w14:textId="77777777" w:rsidR="00B56B65" w:rsidRPr="00B56B65" w:rsidRDefault="00B56B65" w:rsidP="00B56B65">
            <w:pPr>
              <w:spacing w:before="20" w:after="20"/>
              <w:jc w:val="right"/>
              <w:rPr>
                <w:sz w:val="16"/>
                <w:szCs w:val="16"/>
              </w:rPr>
            </w:pPr>
            <w:r w:rsidRPr="00B56B65">
              <w:rPr>
                <w:sz w:val="16"/>
                <w:szCs w:val="16"/>
              </w:rPr>
              <w:t>56</w:t>
            </w:r>
          </w:p>
        </w:tc>
        <w:tc>
          <w:tcPr>
            <w:tcW w:w="567" w:type="dxa"/>
          </w:tcPr>
          <w:p w14:paraId="53E4376F" w14:textId="77777777" w:rsidR="00B56B65" w:rsidRPr="00B56B65" w:rsidRDefault="00B56B65" w:rsidP="00B56B65">
            <w:pPr>
              <w:spacing w:before="20" w:after="20"/>
              <w:jc w:val="right"/>
              <w:rPr>
                <w:sz w:val="16"/>
                <w:szCs w:val="16"/>
              </w:rPr>
            </w:pPr>
            <w:r w:rsidRPr="00B56B65">
              <w:rPr>
                <w:sz w:val="16"/>
                <w:szCs w:val="16"/>
              </w:rPr>
              <w:t>26.6</w:t>
            </w:r>
          </w:p>
        </w:tc>
        <w:tc>
          <w:tcPr>
            <w:tcW w:w="992" w:type="dxa"/>
            <w:tcBorders>
              <w:right w:val="single" w:sz="4" w:space="0" w:color="auto"/>
            </w:tcBorders>
          </w:tcPr>
          <w:p w14:paraId="752F8206" w14:textId="77777777" w:rsidR="00B56B65" w:rsidRPr="00B56B65" w:rsidRDefault="00B56B65" w:rsidP="00B56B65">
            <w:pPr>
              <w:spacing w:before="20" w:after="20"/>
              <w:jc w:val="right"/>
              <w:rPr>
                <w:sz w:val="16"/>
                <w:szCs w:val="16"/>
              </w:rPr>
            </w:pPr>
            <w:r w:rsidRPr="00B56B65">
              <w:rPr>
                <w:sz w:val="16"/>
                <w:szCs w:val="16"/>
              </w:rPr>
              <w:t>(19.6, 33.6)</w:t>
            </w:r>
          </w:p>
        </w:tc>
        <w:tc>
          <w:tcPr>
            <w:tcW w:w="567" w:type="dxa"/>
            <w:tcBorders>
              <w:left w:val="single" w:sz="4" w:space="0" w:color="auto"/>
            </w:tcBorders>
          </w:tcPr>
          <w:p w14:paraId="3A9C252E" w14:textId="77777777" w:rsidR="00B56B65" w:rsidRPr="00B56B65" w:rsidRDefault="00B56B65" w:rsidP="00B56B65">
            <w:pPr>
              <w:spacing w:before="20" w:after="20"/>
              <w:jc w:val="right"/>
              <w:rPr>
                <w:sz w:val="16"/>
                <w:szCs w:val="16"/>
              </w:rPr>
            </w:pPr>
            <w:r w:rsidRPr="00B56B65">
              <w:rPr>
                <w:sz w:val="16"/>
                <w:szCs w:val="16"/>
              </w:rPr>
              <w:t>43</w:t>
            </w:r>
          </w:p>
        </w:tc>
        <w:tc>
          <w:tcPr>
            <w:tcW w:w="567" w:type="dxa"/>
          </w:tcPr>
          <w:p w14:paraId="134B1913" w14:textId="77777777" w:rsidR="00B56B65" w:rsidRPr="00B56B65" w:rsidRDefault="00B56B65" w:rsidP="00B56B65">
            <w:pPr>
              <w:spacing w:before="20" w:after="20"/>
              <w:jc w:val="right"/>
              <w:rPr>
                <w:sz w:val="16"/>
                <w:szCs w:val="16"/>
              </w:rPr>
            </w:pPr>
            <w:r w:rsidRPr="00B56B65">
              <w:rPr>
                <w:sz w:val="16"/>
                <w:szCs w:val="16"/>
              </w:rPr>
              <w:t>27.9</w:t>
            </w:r>
          </w:p>
        </w:tc>
        <w:tc>
          <w:tcPr>
            <w:tcW w:w="992" w:type="dxa"/>
            <w:tcBorders>
              <w:right w:val="single" w:sz="4" w:space="0" w:color="auto"/>
            </w:tcBorders>
          </w:tcPr>
          <w:p w14:paraId="430DACB1" w14:textId="77777777" w:rsidR="00B56B65" w:rsidRPr="00B56B65" w:rsidRDefault="00B56B65" w:rsidP="00B56B65">
            <w:pPr>
              <w:spacing w:before="20" w:after="20"/>
              <w:jc w:val="right"/>
              <w:rPr>
                <w:sz w:val="16"/>
                <w:szCs w:val="16"/>
              </w:rPr>
            </w:pPr>
            <w:r w:rsidRPr="00B56B65">
              <w:rPr>
                <w:sz w:val="16"/>
                <w:szCs w:val="16"/>
              </w:rPr>
              <w:t>(19.0, 36.9)</w:t>
            </w:r>
          </w:p>
        </w:tc>
        <w:tc>
          <w:tcPr>
            <w:tcW w:w="536" w:type="dxa"/>
            <w:tcBorders>
              <w:left w:val="single" w:sz="4" w:space="0" w:color="auto"/>
            </w:tcBorders>
          </w:tcPr>
          <w:p w14:paraId="7EA6E461" w14:textId="77777777" w:rsidR="00B56B65" w:rsidRPr="00B56B65" w:rsidRDefault="00B56B65" w:rsidP="00B56B65">
            <w:pPr>
              <w:spacing w:before="20" w:after="20"/>
              <w:jc w:val="right"/>
              <w:rPr>
                <w:sz w:val="16"/>
                <w:szCs w:val="16"/>
              </w:rPr>
            </w:pPr>
            <w:r w:rsidRPr="00B56B65">
              <w:rPr>
                <w:sz w:val="16"/>
                <w:szCs w:val="16"/>
              </w:rPr>
              <w:t>33</w:t>
            </w:r>
          </w:p>
        </w:tc>
        <w:tc>
          <w:tcPr>
            <w:tcW w:w="567" w:type="dxa"/>
          </w:tcPr>
          <w:p w14:paraId="63945486" w14:textId="77777777" w:rsidR="00B56B65" w:rsidRPr="00B56B65" w:rsidRDefault="00B56B65" w:rsidP="00B56B65">
            <w:pPr>
              <w:spacing w:before="20" w:after="20"/>
              <w:jc w:val="right"/>
              <w:rPr>
                <w:sz w:val="16"/>
                <w:szCs w:val="16"/>
              </w:rPr>
            </w:pPr>
            <w:r w:rsidRPr="00B56B65">
              <w:rPr>
                <w:sz w:val="16"/>
                <w:szCs w:val="16"/>
              </w:rPr>
              <w:t>25.7</w:t>
            </w:r>
          </w:p>
        </w:tc>
        <w:tc>
          <w:tcPr>
            <w:tcW w:w="1023" w:type="dxa"/>
          </w:tcPr>
          <w:p w14:paraId="4C7B791D" w14:textId="77777777" w:rsidR="00B56B65" w:rsidRPr="00B56B65" w:rsidRDefault="00B56B65" w:rsidP="00B56B65">
            <w:pPr>
              <w:spacing w:before="20" w:after="20"/>
              <w:jc w:val="right"/>
              <w:rPr>
                <w:sz w:val="16"/>
                <w:szCs w:val="16"/>
              </w:rPr>
            </w:pPr>
            <w:r w:rsidRPr="00B56B65">
              <w:rPr>
                <w:sz w:val="16"/>
                <w:szCs w:val="16"/>
              </w:rPr>
              <w:t>(15.9, 35.6)</w:t>
            </w:r>
          </w:p>
        </w:tc>
      </w:tr>
      <w:tr w:rsidR="00B56B65" w:rsidRPr="007B4EF8" w14:paraId="24E71BD2" w14:textId="77777777" w:rsidTr="001B2F99">
        <w:trPr>
          <w:jc w:val="center"/>
        </w:trPr>
        <w:tc>
          <w:tcPr>
            <w:tcW w:w="2345" w:type="dxa"/>
          </w:tcPr>
          <w:p w14:paraId="78BD0EAD" w14:textId="77777777" w:rsidR="00B56B65" w:rsidRPr="00B56B65" w:rsidRDefault="00B56B65" w:rsidP="00B56B65">
            <w:pPr>
              <w:spacing w:before="20" w:after="20"/>
              <w:rPr>
                <w:sz w:val="16"/>
                <w:szCs w:val="16"/>
              </w:rPr>
            </w:pPr>
          </w:p>
        </w:tc>
        <w:tc>
          <w:tcPr>
            <w:tcW w:w="1834" w:type="dxa"/>
          </w:tcPr>
          <w:p w14:paraId="07E8F20C" w14:textId="77777777" w:rsidR="00B56B65" w:rsidRPr="00B56B65" w:rsidRDefault="00B56B65" w:rsidP="00B56B65">
            <w:pPr>
              <w:spacing w:before="20" w:after="20"/>
              <w:rPr>
                <w:sz w:val="16"/>
                <w:szCs w:val="16"/>
              </w:rPr>
            </w:pPr>
            <w:r w:rsidRPr="00B56B65">
              <w:rPr>
                <w:sz w:val="16"/>
                <w:szCs w:val="16"/>
              </w:rPr>
              <w:t>High (Score 12 - 19)</w:t>
            </w:r>
          </w:p>
        </w:tc>
        <w:tc>
          <w:tcPr>
            <w:tcW w:w="597" w:type="dxa"/>
          </w:tcPr>
          <w:p w14:paraId="0E9A58C1" w14:textId="77777777" w:rsidR="00B56B65" w:rsidRPr="00B56B65" w:rsidRDefault="00B56B65" w:rsidP="00B56B65">
            <w:pPr>
              <w:spacing w:before="20" w:after="20"/>
              <w:jc w:val="right"/>
              <w:rPr>
                <w:sz w:val="16"/>
                <w:szCs w:val="16"/>
              </w:rPr>
            </w:pPr>
            <w:r w:rsidRPr="00B56B65">
              <w:rPr>
                <w:sz w:val="16"/>
                <w:szCs w:val="16"/>
              </w:rPr>
              <w:t>30</w:t>
            </w:r>
          </w:p>
        </w:tc>
        <w:tc>
          <w:tcPr>
            <w:tcW w:w="567" w:type="dxa"/>
          </w:tcPr>
          <w:p w14:paraId="524BA5E6" w14:textId="77777777" w:rsidR="00B56B65" w:rsidRPr="00B56B65" w:rsidRDefault="00B56B65" w:rsidP="00B56B65">
            <w:pPr>
              <w:spacing w:before="20" w:after="20"/>
              <w:jc w:val="right"/>
              <w:rPr>
                <w:sz w:val="16"/>
                <w:szCs w:val="16"/>
              </w:rPr>
            </w:pPr>
            <w:r w:rsidRPr="00B56B65">
              <w:rPr>
                <w:sz w:val="16"/>
                <w:szCs w:val="16"/>
              </w:rPr>
              <w:t>9.7</w:t>
            </w:r>
          </w:p>
        </w:tc>
        <w:tc>
          <w:tcPr>
            <w:tcW w:w="993" w:type="dxa"/>
            <w:tcBorders>
              <w:right w:val="single" w:sz="4" w:space="0" w:color="auto"/>
            </w:tcBorders>
          </w:tcPr>
          <w:p w14:paraId="3B2854D4" w14:textId="77777777" w:rsidR="00B56B65" w:rsidRPr="00B56B65" w:rsidRDefault="00B56B65" w:rsidP="00B56B65">
            <w:pPr>
              <w:spacing w:before="20" w:after="20"/>
              <w:jc w:val="right"/>
              <w:rPr>
                <w:sz w:val="16"/>
                <w:szCs w:val="16"/>
              </w:rPr>
            </w:pPr>
            <w:r w:rsidRPr="00B56B65">
              <w:rPr>
                <w:sz w:val="16"/>
                <w:szCs w:val="16"/>
              </w:rPr>
              <w:t>(5.7, 13.7)</w:t>
            </w:r>
          </w:p>
        </w:tc>
        <w:tc>
          <w:tcPr>
            <w:tcW w:w="567" w:type="dxa"/>
            <w:tcBorders>
              <w:left w:val="single" w:sz="4" w:space="0" w:color="auto"/>
            </w:tcBorders>
          </w:tcPr>
          <w:p w14:paraId="154B0E8D" w14:textId="77777777" w:rsidR="00B56B65" w:rsidRPr="00B56B65" w:rsidRDefault="00B56B65" w:rsidP="00B56B65">
            <w:pPr>
              <w:spacing w:before="20" w:after="20"/>
              <w:jc w:val="right"/>
              <w:rPr>
                <w:sz w:val="16"/>
                <w:szCs w:val="16"/>
              </w:rPr>
            </w:pPr>
            <w:r w:rsidRPr="00B56B65">
              <w:rPr>
                <w:sz w:val="16"/>
                <w:szCs w:val="16"/>
              </w:rPr>
              <w:t>30</w:t>
            </w:r>
          </w:p>
        </w:tc>
        <w:tc>
          <w:tcPr>
            <w:tcW w:w="567" w:type="dxa"/>
          </w:tcPr>
          <w:p w14:paraId="7B7A0046" w14:textId="77777777" w:rsidR="00B56B65" w:rsidRPr="00B56B65" w:rsidRDefault="00B56B65" w:rsidP="00B56B65">
            <w:pPr>
              <w:spacing w:before="20" w:after="20"/>
              <w:jc w:val="right"/>
              <w:rPr>
                <w:sz w:val="16"/>
                <w:szCs w:val="16"/>
              </w:rPr>
            </w:pPr>
            <w:r w:rsidRPr="00B56B65">
              <w:rPr>
                <w:sz w:val="16"/>
                <w:szCs w:val="16"/>
              </w:rPr>
              <w:t>14.1</w:t>
            </w:r>
          </w:p>
        </w:tc>
        <w:tc>
          <w:tcPr>
            <w:tcW w:w="992" w:type="dxa"/>
            <w:tcBorders>
              <w:right w:val="single" w:sz="4" w:space="0" w:color="auto"/>
            </w:tcBorders>
          </w:tcPr>
          <w:p w14:paraId="12698175" w14:textId="77777777" w:rsidR="00B56B65" w:rsidRPr="00B56B65" w:rsidRDefault="00B56B65" w:rsidP="00B56B65">
            <w:pPr>
              <w:spacing w:before="20" w:after="20"/>
              <w:jc w:val="right"/>
              <w:rPr>
                <w:sz w:val="16"/>
                <w:szCs w:val="16"/>
              </w:rPr>
            </w:pPr>
            <w:r w:rsidRPr="00B56B65">
              <w:rPr>
                <w:sz w:val="16"/>
                <w:szCs w:val="16"/>
              </w:rPr>
              <w:t>(8.7, 19.6)</w:t>
            </w:r>
          </w:p>
        </w:tc>
        <w:tc>
          <w:tcPr>
            <w:tcW w:w="567" w:type="dxa"/>
            <w:tcBorders>
              <w:left w:val="single" w:sz="4" w:space="0" w:color="auto"/>
            </w:tcBorders>
          </w:tcPr>
          <w:p w14:paraId="74981B13" w14:textId="77777777" w:rsidR="00B56B65" w:rsidRPr="00B56B65" w:rsidRDefault="00B56B65" w:rsidP="00B56B65">
            <w:pPr>
              <w:spacing w:before="20" w:after="20"/>
              <w:jc w:val="right"/>
              <w:rPr>
                <w:sz w:val="16"/>
                <w:szCs w:val="16"/>
              </w:rPr>
            </w:pPr>
            <w:r w:rsidRPr="00B56B65">
              <w:rPr>
                <w:sz w:val="16"/>
                <w:szCs w:val="16"/>
              </w:rPr>
              <w:t>11</w:t>
            </w:r>
          </w:p>
        </w:tc>
        <w:tc>
          <w:tcPr>
            <w:tcW w:w="567" w:type="dxa"/>
          </w:tcPr>
          <w:p w14:paraId="0A53A33D" w14:textId="77777777" w:rsidR="00B56B65" w:rsidRPr="00B56B65" w:rsidRDefault="00B56B65" w:rsidP="00B56B65">
            <w:pPr>
              <w:spacing w:before="20" w:after="20"/>
              <w:jc w:val="right"/>
              <w:rPr>
                <w:sz w:val="16"/>
                <w:szCs w:val="16"/>
              </w:rPr>
            </w:pPr>
            <w:r w:rsidRPr="00B56B65">
              <w:rPr>
                <w:sz w:val="16"/>
                <w:szCs w:val="16"/>
              </w:rPr>
              <w:t>7.2</w:t>
            </w:r>
          </w:p>
        </w:tc>
        <w:tc>
          <w:tcPr>
            <w:tcW w:w="992" w:type="dxa"/>
            <w:tcBorders>
              <w:right w:val="single" w:sz="4" w:space="0" w:color="auto"/>
            </w:tcBorders>
          </w:tcPr>
          <w:p w14:paraId="45AA0E09" w14:textId="77777777" w:rsidR="00B56B65" w:rsidRPr="00B56B65" w:rsidRDefault="00B56B65" w:rsidP="00B56B65">
            <w:pPr>
              <w:spacing w:before="20" w:after="20"/>
              <w:jc w:val="right"/>
              <w:rPr>
                <w:sz w:val="16"/>
                <w:szCs w:val="16"/>
              </w:rPr>
            </w:pPr>
            <w:r w:rsidRPr="00B56B65">
              <w:rPr>
                <w:sz w:val="16"/>
                <w:szCs w:val="16"/>
              </w:rPr>
              <w:t>(3.5, 10.9)</w:t>
            </w:r>
          </w:p>
        </w:tc>
        <w:tc>
          <w:tcPr>
            <w:tcW w:w="536" w:type="dxa"/>
            <w:tcBorders>
              <w:left w:val="single" w:sz="4" w:space="0" w:color="auto"/>
            </w:tcBorders>
          </w:tcPr>
          <w:p w14:paraId="27E955EC" w14:textId="77777777" w:rsidR="00B56B65" w:rsidRPr="00B56B65" w:rsidRDefault="00B56B65" w:rsidP="00B56B65">
            <w:pPr>
              <w:spacing w:before="20" w:after="20"/>
              <w:jc w:val="right"/>
              <w:rPr>
                <w:sz w:val="16"/>
                <w:szCs w:val="16"/>
              </w:rPr>
            </w:pPr>
            <w:r w:rsidRPr="00B56B65">
              <w:rPr>
                <w:sz w:val="16"/>
                <w:szCs w:val="16"/>
              </w:rPr>
              <w:t>15</w:t>
            </w:r>
          </w:p>
        </w:tc>
        <w:tc>
          <w:tcPr>
            <w:tcW w:w="567" w:type="dxa"/>
          </w:tcPr>
          <w:p w14:paraId="3D9212BB" w14:textId="77777777" w:rsidR="00B56B65" w:rsidRPr="00B56B65" w:rsidRDefault="00B56B65" w:rsidP="00B56B65">
            <w:pPr>
              <w:spacing w:before="20" w:after="20"/>
              <w:jc w:val="right"/>
              <w:rPr>
                <w:sz w:val="16"/>
                <w:szCs w:val="16"/>
              </w:rPr>
            </w:pPr>
            <w:r w:rsidRPr="00B56B65">
              <w:rPr>
                <w:sz w:val="16"/>
                <w:szCs w:val="16"/>
              </w:rPr>
              <w:t>12.1</w:t>
            </w:r>
          </w:p>
        </w:tc>
        <w:tc>
          <w:tcPr>
            <w:tcW w:w="1023" w:type="dxa"/>
          </w:tcPr>
          <w:p w14:paraId="27E55B2A" w14:textId="77777777" w:rsidR="00B56B65" w:rsidRPr="00B56B65" w:rsidRDefault="00B56B65" w:rsidP="00B56B65">
            <w:pPr>
              <w:spacing w:before="20" w:after="20"/>
              <w:jc w:val="right"/>
              <w:rPr>
                <w:sz w:val="16"/>
                <w:szCs w:val="16"/>
              </w:rPr>
            </w:pPr>
            <w:r w:rsidRPr="00B56B65">
              <w:rPr>
                <w:sz w:val="16"/>
                <w:szCs w:val="16"/>
              </w:rPr>
              <w:t>(5.9, 18.4)</w:t>
            </w:r>
          </w:p>
        </w:tc>
      </w:tr>
      <w:tr w:rsidR="00B56B65" w:rsidRPr="007B4EF8" w14:paraId="72A81147" w14:textId="77777777" w:rsidTr="001B2F99">
        <w:trPr>
          <w:jc w:val="center"/>
        </w:trPr>
        <w:tc>
          <w:tcPr>
            <w:tcW w:w="2345" w:type="dxa"/>
            <w:tcBorders>
              <w:bottom w:val="single" w:sz="4" w:space="0" w:color="auto"/>
            </w:tcBorders>
          </w:tcPr>
          <w:p w14:paraId="51231EA8" w14:textId="77777777" w:rsidR="00B56B65" w:rsidRPr="00B56B65" w:rsidRDefault="00B56B65" w:rsidP="00B56B65">
            <w:pPr>
              <w:spacing w:before="20" w:after="20"/>
              <w:rPr>
                <w:sz w:val="16"/>
                <w:szCs w:val="16"/>
              </w:rPr>
            </w:pPr>
          </w:p>
        </w:tc>
        <w:tc>
          <w:tcPr>
            <w:tcW w:w="1834" w:type="dxa"/>
            <w:tcBorders>
              <w:bottom w:val="single" w:sz="4" w:space="0" w:color="auto"/>
            </w:tcBorders>
          </w:tcPr>
          <w:p w14:paraId="4B5BE4ED" w14:textId="77777777" w:rsidR="00B56B65" w:rsidRPr="00B56B65" w:rsidRDefault="00B56B65" w:rsidP="00B56B65">
            <w:pPr>
              <w:spacing w:before="20" w:after="20"/>
              <w:rPr>
                <w:sz w:val="16"/>
                <w:szCs w:val="16"/>
              </w:rPr>
            </w:pPr>
            <w:r w:rsidRPr="00B56B65">
              <w:rPr>
                <w:sz w:val="16"/>
                <w:szCs w:val="16"/>
              </w:rPr>
              <w:t>Severe (Score 20 - 40)</w:t>
            </w:r>
          </w:p>
        </w:tc>
        <w:tc>
          <w:tcPr>
            <w:tcW w:w="597" w:type="dxa"/>
            <w:tcBorders>
              <w:bottom w:val="single" w:sz="4" w:space="0" w:color="auto"/>
            </w:tcBorders>
          </w:tcPr>
          <w:p w14:paraId="1F6A4665" w14:textId="77777777" w:rsidR="00B56B65" w:rsidRPr="00B56B65" w:rsidRDefault="00B56B65" w:rsidP="00B56B65">
            <w:pPr>
              <w:spacing w:before="20" w:after="20"/>
              <w:jc w:val="right"/>
              <w:rPr>
                <w:sz w:val="16"/>
                <w:szCs w:val="16"/>
              </w:rPr>
            </w:pPr>
            <w:r w:rsidRPr="00B56B65">
              <w:rPr>
                <w:sz w:val="16"/>
                <w:szCs w:val="16"/>
              </w:rPr>
              <w:t>8</w:t>
            </w:r>
          </w:p>
        </w:tc>
        <w:tc>
          <w:tcPr>
            <w:tcW w:w="567" w:type="dxa"/>
            <w:tcBorders>
              <w:bottom w:val="single" w:sz="4" w:space="0" w:color="auto"/>
            </w:tcBorders>
          </w:tcPr>
          <w:p w14:paraId="4B1B528E" w14:textId="77777777" w:rsidR="00B56B65" w:rsidRPr="00B56B65" w:rsidRDefault="00B56B65" w:rsidP="00B56B65">
            <w:pPr>
              <w:spacing w:before="20" w:after="20"/>
              <w:jc w:val="right"/>
              <w:rPr>
                <w:sz w:val="16"/>
                <w:szCs w:val="16"/>
              </w:rPr>
            </w:pPr>
            <w:r w:rsidRPr="00B56B65">
              <w:rPr>
                <w:sz w:val="16"/>
                <w:szCs w:val="16"/>
              </w:rPr>
              <w:t>2.7</w:t>
            </w:r>
          </w:p>
        </w:tc>
        <w:tc>
          <w:tcPr>
            <w:tcW w:w="993" w:type="dxa"/>
            <w:tcBorders>
              <w:bottom w:val="single" w:sz="4" w:space="0" w:color="auto"/>
              <w:right w:val="single" w:sz="4" w:space="0" w:color="auto"/>
            </w:tcBorders>
          </w:tcPr>
          <w:p w14:paraId="723ADE76" w14:textId="77777777" w:rsidR="00B56B65" w:rsidRPr="00B56B65" w:rsidRDefault="00B56B65" w:rsidP="00B56B65">
            <w:pPr>
              <w:spacing w:before="20" w:after="20"/>
              <w:jc w:val="right"/>
              <w:rPr>
                <w:sz w:val="16"/>
                <w:szCs w:val="16"/>
              </w:rPr>
            </w:pPr>
            <w:r w:rsidRPr="00B56B65">
              <w:rPr>
                <w:sz w:val="16"/>
                <w:szCs w:val="16"/>
              </w:rPr>
              <w:t>(0.8, 4.5)</w:t>
            </w:r>
          </w:p>
        </w:tc>
        <w:tc>
          <w:tcPr>
            <w:tcW w:w="567" w:type="dxa"/>
            <w:tcBorders>
              <w:left w:val="single" w:sz="4" w:space="0" w:color="auto"/>
              <w:bottom w:val="single" w:sz="4" w:space="0" w:color="auto"/>
            </w:tcBorders>
          </w:tcPr>
          <w:p w14:paraId="57753CA4" w14:textId="77777777" w:rsidR="00B56B65" w:rsidRPr="00B56B65" w:rsidRDefault="00B56B65" w:rsidP="00B56B65">
            <w:pPr>
              <w:spacing w:before="20" w:after="20"/>
              <w:jc w:val="right"/>
              <w:rPr>
                <w:sz w:val="16"/>
                <w:szCs w:val="16"/>
              </w:rPr>
            </w:pPr>
            <w:r w:rsidRPr="00B56B65">
              <w:rPr>
                <w:sz w:val="16"/>
                <w:szCs w:val="16"/>
              </w:rPr>
              <w:t>9</w:t>
            </w:r>
          </w:p>
        </w:tc>
        <w:tc>
          <w:tcPr>
            <w:tcW w:w="567" w:type="dxa"/>
            <w:tcBorders>
              <w:bottom w:val="single" w:sz="4" w:space="0" w:color="auto"/>
            </w:tcBorders>
          </w:tcPr>
          <w:p w14:paraId="47A44F72" w14:textId="77777777" w:rsidR="00B56B65" w:rsidRPr="00B56B65" w:rsidRDefault="00B56B65" w:rsidP="00B56B65">
            <w:pPr>
              <w:spacing w:before="20" w:after="20"/>
              <w:jc w:val="right"/>
              <w:rPr>
                <w:sz w:val="16"/>
                <w:szCs w:val="16"/>
              </w:rPr>
            </w:pPr>
            <w:r w:rsidRPr="00B56B65">
              <w:rPr>
                <w:sz w:val="16"/>
                <w:szCs w:val="16"/>
              </w:rPr>
              <w:t>4.1</w:t>
            </w:r>
          </w:p>
        </w:tc>
        <w:tc>
          <w:tcPr>
            <w:tcW w:w="992" w:type="dxa"/>
            <w:tcBorders>
              <w:bottom w:val="single" w:sz="4" w:space="0" w:color="auto"/>
              <w:right w:val="single" w:sz="4" w:space="0" w:color="auto"/>
            </w:tcBorders>
          </w:tcPr>
          <w:p w14:paraId="0588A986" w14:textId="77777777" w:rsidR="00B56B65" w:rsidRPr="00B56B65" w:rsidRDefault="00B56B65" w:rsidP="00B56B65">
            <w:pPr>
              <w:spacing w:before="20" w:after="20"/>
              <w:jc w:val="right"/>
              <w:rPr>
                <w:sz w:val="16"/>
                <w:szCs w:val="16"/>
              </w:rPr>
            </w:pPr>
            <w:r w:rsidRPr="00B56B65">
              <w:rPr>
                <w:sz w:val="16"/>
                <w:szCs w:val="16"/>
              </w:rPr>
              <w:t>(0.5, 7.6)</w:t>
            </w:r>
          </w:p>
        </w:tc>
        <w:tc>
          <w:tcPr>
            <w:tcW w:w="567" w:type="dxa"/>
            <w:tcBorders>
              <w:left w:val="single" w:sz="4" w:space="0" w:color="auto"/>
              <w:bottom w:val="single" w:sz="4" w:space="0" w:color="auto"/>
            </w:tcBorders>
          </w:tcPr>
          <w:p w14:paraId="66DC3CBD" w14:textId="77777777" w:rsidR="00B56B65" w:rsidRPr="00B56B65" w:rsidRDefault="00B56B65" w:rsidP="00B56B65">
            <w:pPr>
              <w:spacing w:before="20" w:after="20"/>
              <w:jc w:val="right"/>
              <w:rPr>
                <w:sz w:val="16"/>
                <w:szCs w:val="16"/>
              </w:rPr>
            </w:pPr>
            <w:r w:rsidRPr="00B56B65">
              <w:rPr>
                <w:sz w:val="16"/>
                <w:szCs w:val="16"/>
              </w:rPr>
              <w:t>1</w:t>
            </w:r>
          </w:p>
        </w:tc>
        <w:tc>
          <w:tcPr>
            <w:tcW w:w="567" w:type="dxa"/>
            <w:tcBorders>
              <w:bottom w:val="single" w:sz="4" w:space="0" w:color="auto"/>
            </w:tcBorders>
          </w:tcPr>
          <w:p w14:paraId="2A130E4E" w14:textId="77777777" w:rsidR="00B56B65" w:rsidRPr="00B56B65" w:rsidRDefault="00B56B65" w:rsidP="00B56B65">
            <w:pPr>
              <w:spacing w:before="20" w:after="20"/>
              <w:jc w:val="right"/>
              <w:rPr>
                <w:sz w:val="16"/>
                <w:szCs w:val="16"/>
              </w:rPr>
            </w:pPr>
            <w:r w:rsidRPr="00B56B65">
              <w:rPr>
                <w:sz w:val="16"/>
                <w:szCs w:val="16"/>
              </w:rPr>
              <w:t>0.8</w:t>
            </w:r>
          </w:p>
        </w:tc>
        <w:tc>
          <w:tcPr>
            <w:tcW w:w="992" w:type="dxa"/>
            <w:tcBorders>
              <w:bottom w:val="single" w:sz="4" w:space="0" w:color="auto"/>
              <w:right w:val="single" w:sz="4" w:space="0" w:color="auto"/>
            </w:tcBorders>
          </w:tcPr>
          <w:p w14:paraId="3818928A" w14:textId="77777777" w:rsidR="00B56B65" w:rsidRPr="00B56B65" w:rsidRDefault="002F172C" w:rsidP="00B56B65">
            <w:pPr>
              <w:spacing w:before="20" w:after="20"/>
              <w:jc w:val="right"/>
              <w:rPr>
                <w:sz w:val="16"/>
                <w:szCs w:val="16"/>
              </w:rPr>
            </w:pPr>
            <w:r>
              <w:rPr>
                <w:sz w:val="16"/>
                <w:szCs w:val="16"/>
              </w:rPr>
              <w:t>!</w:t>
            </w:r>
          </w:p>
        </w:tc>
        <w:tc>
          <w:tcPr>
            <w:tcW w:w="536" w:type="dxa"/>
            <w:tcBorders>
              <w:left w:val="single" w:sz="4" w:space="0" w:color="auto"/>
              <w:bottom w:val="single" w:sz="4" w:space="0" w:color="auto"/>
            </w:tcBorders>
          </w:tcPr>
          <w:p w14:paraId="21BA878F" w14:textId="77777777" w:rsidR="00B56B65" w:rsidRPr="00B56B65" w:rsidRDefault="00B56B65" w:rsidP="00B56B65">
            <w:pPr>
              <w:spacing w:before="20" w:after="20"/>
              <w:jc w:val="right"/>
              <w:rPr>
                <w:sz w:val="16"/>
                <w:szCs w:val="16"/>
              </w:rPr>
            </w:pPr>
            <w:r w:rsidRPr="00B56B65">
              <w:rPr>
                <w:sz w:val="16"/>
                <w:szCs w:val="16"/>
              </w:rPr>
              <w:t>6</w:t>
            </w:r>
          </w:p>
        </w:tc>
        <w:tc>
          <w:tcPr>
            <w:tcW w:w="567" w:type="dxa"/>
            <w:tcBorders>
              <w:bottom w:val="single" w:sz="4" w:space="0" w:color="auto"/>
            </w:tcBorders>
          </w:tcPr>
          <w:p w14:paraId="0BEF411C" w14:textId="77777777" w:rsidR="00B56B65" w:rsidRPr="00B56B65" w:rsidRDefault="00B56B65" w:rsidP="00B56B65">
            <w:pPr>
              <w:spacing w:before="20" w:after="20"/>
              <w:jc w:val="right"/>
              <w:rPr>
                <w:sz w:val="16"/>
                <w:szCs w:val="16"/>
              </w:rPr>
            </w:pPr>
            <w:r w:rsidRPr="00B56B65">
              <w:rPr>
                <w:sz w:val="16"/>
                <w:szCs w:val="16"/>
              </w:rPr>
              <w:t>4.4</w:t>
            </w:r>
          </w:p>
        </w:tc>
        <w:tc>
          <w:tcPr>
            <w:tcW w:w="1023" w:type="dxa"/>
            <w:tcBorders>
              <w:bottom w:val="single" w:sz="4" w:space="0" w:color="auto"/>
            </w:tcBorders>
          </w:tcPr>
          <w:p w14:paraId="74A17F93" w14:textId="77777777" w:rsidR="00B56B65" w:rsidRPr="00B56B65" w:rsidRDefault="00B56B65" w:rsidP="00B56B65">
            <w:pPr>
              <w:spacing w:before="20" w:after="20"/>
              <w:jc w:val="right"/>
              <w:rPr>
                <w:sz w:val="16"/>
                <w:szCs w:val="16"/>
              </w:rPr>
            </w:pPr>
            <w:r w:rsidRPr="00B56B65">
              <w:rPr>
                <w:sz w:val="16"/>
                <w:szCs w:val="16"/>
              </w:rPr>
              <w:t>(0.0, 11.4)</w:t>
            </w:r>
          </w:p>
        </w:tc>
      </w:tr>
      <w:tr w:rsidR="00B56B65" w:rsidRPr="007B4EF8" w14:paraId="4EC7A12E" w14:textId="77777777" w:rsidTr="001B2F99">
        <w:trPr>
          <w:jc w:val="center"/>
        </w:trPr>
        <w:tc>
          <w:tcPr>
            <w:tcW w:w="2345" w:type="dxa"/>
            <w:tcBorders>
              <w:top w:val="single" w:sz="4" w:space="0" w:color="auto"/>
            </w:tcBorders>
          </w:tcPr>
          <w:p w14:paraId="34ABB9C5" w14:textId="77777777" w:rsidR="00B56B65" w:rsidRPr="00B56B65" w:rsidRDefault="00B56B65" w:rsidP="00B56B65">
            <w:pPr>
              <w:keepNext/>
              <w:spacing w:before="20" w:after="20"/>
              <w:rPr>
                <w:sz w:val="16"/>
                <w:szCs w:val="16"/>
              </w:rPr>
            </w:pPr>
            <w:r w:rsidRPr="00B56B65">
              <w:rPr>
                <w:sz w:val="16"/>
                <w:szCs w:val="16"/>
              </w:rPr>
              <w:t>Moderate-risk/problem gambler</w:t>
            </w:r>
          </w:p>
        </w:tc>
        <w:tc>
          <w:tcPr>
            <w:tcW w:w="1834" w:type="dxa"/>
            <w:tcBorders>
              <w:top w:val="single" w:sz="4" w:space="0" w:color="auto"/>
            </w:tcBorders>
          </w:tcPr>
          <w:p w14:paraId="3B02807A" w14:textId="77777777" w:rsidR="00B56B65" w:rsidRPr="00B56B65" w:rsidRDefault="00B56B65" w:rsidP="00B56B65">
            <w:pPr>
              <w:keepNext/>
              <w:spacing w:before="20" w:after="20"/>
              <w:rPr>
                <w:sz w:val="16"/>
                <w:szCs w:val="16"/>
              </w:rPr>
            </w:pPr>
            <w:r w:rsidRPr="00B56B65">
              <w:rPr>
                <w:sz w:val="16"/>
                <w:szCs w:val="16"/>
              </w:rPr>
              <w:t>Low (Score 0 - 5)</w:t>
            </w:r>
          </w:p>
        </w:tc>
        <w:tc>
          <w:tcPr>
            <w:tcW w:w="597" w:type="dxa"/>
            <w:tcBorders>
              <w:top w:val="single" w:sz="4" w:space="0" w:color="auto"/>
            </w:tcBorders>
          </w:tcPr>
          <w:p w14:paraId="6A078DDA" w14:textId="77777777" w:rsidR="00B56B65" w:rsidRPr="00B56B65" w:rsidRDefault="00B56B65" w:rsidP="00B56B65">
            <w:pPr>
              <w:keepNext/>
              <w:spacing w:before="20" w:after="20"/>
              <w:jc w:val="right"/>
              <w:rPr>
                <w:sz w:val="16"/>
                <w:szCs w:val="16"/>
              </w:rPr>
            </w:pPr>
            <w:r w:rsidRPr="00B56B65">
              <w:rPr>
                <w:sz w:val="16"/>
                <w:szCs w:val="16"/>
              </w:rPr>
              <w:t>56</w:t>
            </w:r>
          </w:p>
        </w:tc>
        <w:tc>
          <w:tcPr>
            <w:tcW w:w="567" w:type="dxa"/>
            <w:tcBorders>
              <w:top w:val="single" w:sz="4" w:space="0" w:color="auto"/>
            </w:tcBorders>
          </w:tcPr>
          <w:p w14:paraId="3ED9D39D" w14:textId="77777777" w:rsidR="00B56B65" w:rsidRPr="00B56B65" w:rsidRDefault="00B56B65" w:rsidP="00B56B65">
            <w:pPr>
              <w:keepNext/>
              <w:spacing w:before="20" w:after="20"/>
              <w:jc w:val="right"/>
              <w:rPr>
                <w:sz w:val="16"/>
                <w:szCs w:val="16"/>
              </w:rPr>
            </w:pPr>
            <w:r w:rsidRPr="00B56B65">
              <w:rPr>
                <w:sz w:val="16"/>
                <w:szCs w:val="16"/>
              </w:rPr>
              <w:t>38.0</w:t>
            </w:r>
          </w:p>
        </w:tc>
        <w:tc>
          <w:tcPr>
            <w:tcW w:w="993" w:type="dxa"/>
            <w:tcBorders>
              <w:top w:val="single" w:sz="4" w:space="0" w:color="auto"/>
              <w:right w:val="single" w:sz="4" w:space="0" w:color="auto"/>
            </w:tcBorders>
          </w:tcPr>
          <w:p w14:paraId="45980BB2" w14:textId="77777777" w:rsidR="00B56B65" w:rsidRPr="00B56B65" w:rsidRDefault="00B56B65" w:rsidP="00B56B65">
            <w:pPr>
              <w:keepNext/>
              <w:spacing w:before="20" w:after="20"/>
              <w:jc w:val="right"/>
              <w:rPr>
                <w:sz w:val="16"/>
                <w:szCs w:val="16"/>
              </w:rPr>
            </w:pPr>
            <w:r w:rsidRPr="00B56B65">
              <w:rPr>
                <w:sz w:val="16"/>
                <w:szCs w:val="16"/>
              </w:rPr>
              <w:t>(29.0, 47.0)</w:t>
            </w:r>
          </w:p>
        </w:tc>
        <w:tc>
          <w:tcPr>
            <w:tcW w:w="567" w:type="dxa"/>
            <w:tcBorders>
              <w:top w:val="single" w:sz="4" w:space="0" w:color="auto"/>
              <w:left w:val="single" w:sz="4" w:space="0" w:color="auto"/>
            </w:tcBorders>
          </w:tcPr>
          <w:p w14:paraId="75058773" w14:textId="77777777" w:rsidR="00B56B65" w:rsidRPr="00B56B65" w:rsidRDefault="00B56B65" w:rsidP="00B56B65">
            <w:pPr>
              <w:keepNext/>
              <w:spacing w:before="20" w:after="20"/>
              <w:jc w:val="right"/>
              <w:rPr>
                <w:sz w:val="16"/>
                <w:szCs w:val="16"/>
              </w:rPr>
            </w:pPr>
            <w:r w:rsidRPr="00B56B65">
              <w:rPr>
                <w:sz w:val="16"/>
                <w:szCs w:val="16"/>
              </w:rPr>
              <w:t>39</w:t>
            </w:r>
          </w:p>
        </w:tc>
        <w:tc>
          <w:tcPr>
            <w:tcW w:w="567" w:type="dxa"/>
            <w:tcBorders>
              <w:top w:val="single" w:sz="4" w:space="0" w:color="auto"/>
            </w:tcBorders>
          </w:tcPr>
          <w:p w14:paraId="702A342C" w14:textId="77777777" w:rsidR="00B56B65" w:rsidRPr="00B56B65" w:rsidRDefault="00B56B65" w:rsidP="00B56B65">
            <w:pPr>
              <w:keepNext/>
              <w:spacing w:before="20" w:after="20"/>
              <w:jc w:val="right"/>
              <w:rPr>
                <w:sz w:val="16"/>
                <w:szCs w:val="16"/>
              </w:rPr>
            </w:pPr>
            <w:r w:rsidRPr="00B56B65">
              <w:rPr>
                <w:sz w:val="16"/>
                <w:szCs w:val="16"/>
              </w:rPr>
              <w:t>51.9</w:t>
            </w:r>
          </w:p>
        </w:tc>
        <w:tc>
          <w:tcPr>
            <w:tcW w:w="992" w:type="dxa"/>
            <w:tcBorders>
              <w:top w:val="single" w:sz="4" w:space="0" w:color="auto"/>
              <w:right w:val="single" w:sz="4" w:space="0" w:color="auto"/>
            </w:tcBorders>
          </w:tcPr>
          <w:p w14:paraId="1E205D52" w14:textId="77777777" w:rsidR="00B56B65" w:rsidRPr="00B56B65" w:rsidRDefault="00B56B65" w:rsidP="00B56B65">
            <w:pPr>
              <w:keepNext/>
              <w:spacing w:before="20" w:after="20"/>
              <w:jc w:val="right"/>
              <w:rPr>
                <w:sz w:val="16"/>
                <w:szCs w:val="16"/>
              </w:rPr>
            </w:pPr>
            <w:r w:rsidRPr="00B56B65">
              <w:rPr>
                <w:sz w:val="16"/>
                <w:szCs w:val="16"/>
              </w:rPr>
              <w:t>(40.1, 63.7)</w:t>
            </w:r>
          </w:p>
        </w:tc>
        <w:tc>
          <w:tcPr>
            <w:tcW w:w="567" w:type="dxa"/>
            <w:tcBorders>
              <w:top w:val="single" w:sz="4" w:space="0" w:color="auto"/>
              <w:left w:val="single" w:sz="4" w:space="0" w:color="auto"/>
            </w:tcBorders>
          </w:tcPr>
          <w:p w14:paraId="5AA8C477" w14:textId="77777777" w:rsidR="00B56B65" w:rsidRPr="00B56B65" w:rsidRDefault="00B56B65" w:rsidP="00B56B65">
            <w:pPr>
              <w:keepNext/>
              <w:spacing w:before="20" w:after="20"/>
              <w:jc w:val="right"/>
              <w:rPr>
                <w:sz w:val="16"/>
                <w:szCs w:val="16"/>
              </w:rPr>
            </w:pPr>
            <w:r w:rsidRPr="00B56B65">
              <w:rPr>
                <w:sz w:val="16"/>
                <w:szCs w:val="16"/>
              </w:rPr>
              <w:t>29</w:t>
            </w:r>
          </w:p>
        </w:tc>
        <w:tc>
          <w:tcPr>
            <w:tcW w:w="567" w:type="dxa"/>
            <w:tcBorders>
              <w:top w:val="single" w:sz="4" w:space="0" w:color="auto"/>
            </w:tcBorders>
          </w:tcPr>
          <w:p w14:paraId="1785F37B" w14:textId="77777777" w:rsidR="00B56B65" w:rsidRPr="00B56B65" w:rsidRDefault="00B56B65" w:rsidP="00B56B65">
            <w:pPr>
              <w:keepNext/>
              <w:spacing w:before="20" w:after="20"/>
              <w:jc w:val="right"/>
              <w:rPr>
                <w:sz w:val="16"/>
                <w:szCs w:val="16"/>
              </w:rPr>
            </w:pPr>
            <w:r w:rsidRPr="00B56B65">
              <w:rPr>
                <w:sz w:val="16"/>
                <w:szCs w:val="16"/>
              </w:rPr>
              <w:t>53.2</w:t>
            </w:r>
          </w:p>
        </w:tc>
        <w:tc>
          <w:tcPr>
            <w:tcW w:w="992" w:type="dxa"/>
            <w:tcBorders>
              <w:top w:val="single" w:sz="4" w:space="0" w:color="auto"/>
              <w:right w:val="single" w:sz="4" w:space="0" w:color="auto"/>
            </w:tcBorders>
          </w:tcPr>
          <w:p w14:paraId="08DA7EE4" w14:textId="77777777" w:rsidR="00B56B65" w:rsidRPr="00B56B65" w:rsidRDefault="00B56B65" w:rsidP="00B56B65">
            <w:pPr>
              <w:keepNext/>
              <w:spacing w:before="20" w:after="20"/>
              <w:jc w:val="right"/>
              <w:rPr>
                <w:sz w:val="16"/>
                <w:szCs w:val="16"/>
              </w:rPr>
            </w:pPr>
            <w:r w:rsidRPr="00B56B65">
              <w:rPr>
                <w:sz w:val="16"/>
                <w:szCs w:val="16"/>
              </w:rPr>
              <w:t>(41.2, 65.2)</w:t>
            </w:r>
          </w:p>
        </w:tc>
        <w:tc>
          <w:tcPr>
            <w:tcW w:w="536" w:type="dxa"/>
            <w:tcBorders>
              <w:top w:val="single" w:sz="4" w:space="0" w:color="auto"/>
              <w:left w:val="single" w:sz="4" w:space="0" w:color="auto"/>
            </w:tcBorders>
          </w:tcPr>
          <w:p w14:paraId="4142B610" w14:textId="77777777" w:rsidR="00B56B65" w:rsidRPr="00B56B65" w:rsidRDefault="00B56B65" w:rsidP="00B56B65">
            <w:pPr>
              <w:keepNext/>
              <w:spacing w:before="20" w:after="20"/>
              <w:jc w:val="right"/>
              <w:rPr>
                <w:sz w:val="16"/>
                <w:szCs w:val="16"/>
              </w:rPr>
            </w:pPr>
            <w:r w:rsidRPr="00B56B65">
              <w:rPr>
                <w:sz w:val="16"/>
                <w:szCs w:val="16"/>
              </w:rPr>
              <w:t>23</w:t>
            </w:r>
          </w:p>
        </w:tc>
        <w:tc>
          <w:tcPr>
            <w:tcW w:w="567" w:type="dxa"/>
            <w:tcBorders>
              <w:top w:val="single" w:sz="4" w:space="0" w:color="auto"/>
            </w:tcBorders>
          </w:tcPr>
          <w:p w14:paraId="374F575C" w14:textId="77777777" w:rsidR="00B56B65" w:rsidRPr="00B56B65" w:rsidRDefault="00B56B65" w:rsidP="00B56B65">
            <w:pPr>
              <w:keepNext/>
              <w:spacing w:before="20" w:after="20"/>
              <w:jc w:val="right"/>
              <w:rPr>
                <w:sz w:val="16"/>
                <w:szCs w:val="16"/>
              </w:rPr>
            </w:pPr>
            <w:r w:rsidRPr="00B56B65">
              <w:rPr>
                <w:sz w:val="16"/>
                <w:szCs w:val="16"/>
              </w:rPr>
              <w:t>40.5</w:t>
            </w:r>
          </w:p>
        </w:tc>
        <w:tc>
          <w:tcPr>
            <w:tcW w:w="1023" w:type="dxa"/>
            <w:tcBorders>
              <w:top w:val="single" w:sz="4" w:space="0" w:color="auto"/>
            </w:tcBorders>
          </w:tcPr>
          <w:p w14:paraId="79D72C33" w14:textId="77777777" w:rsidR="00B56B65" w:rsidRPr="00B56B65" w:rsidRDefault="00B56B65" w:rsidP="00B56B65">
            <w:pPr>
              <w:keepNext/>
              <w:spacing w:before="20" w:after="20"/>
              <w:jc w:val="right"/>
              <w:rPr>
                <w:sz w:val="16"/>
                <w:szCs w:val="16"/>
              </w:rPr>
            </w:pPr>
            <w:r w:rsidRPr="00B56B65">
              <w:rPr>
                <w:sz w:val="16"/>
                <w:szCs w:val="16"/>
              </w:rPr>
              <w:t>(25.3, 55.8)</w:t>
            </w:r>
          </w:p>
        </w:tc>
      </w:tr>
      <w:tr w:rsidR="00B56B65" w:rsidRPr="007B4EF8" w14:paraId="6B021193" w14:textId="77777777" w:rsidTr="00B56B65">
        <w:trPr>
          <w:jc w:val="center"/>
        </w:trPr>
        <w:tc>
          <w:tcPr>
            <w:tcW w:w="2345" w:type="dxa"/>
          </w:tcPr>
          <w:p w14:paraId="5B7F36E7" w14:textId="77777777" w:rsidR="00B56B65" w:rsidRPr="00B56B65" w:rsidRDefault="00B56B65" w:rsidP="00B56B65">
            <w:pPr>
              <w:keepNext/>
              <w:spacing w:before="20" w:after="20"/>
              <w:rPr>
                <w:sz w:val="16"/>
                <w:szCs w:val="16"/>
              </w:rPr>
            </w:pPr>
          </w:p>
        </w:tc>
        <w:tc>
          <w:tcPr>
            <w:tcW w:w="1834" w:type="dxa"/>
          </w:tcPr>
          <w:p w14:paraId="3A6A29EA" w14:textId="77777777" w:rsidR="00B56B65" w:rsidRPr="00B56B65" w:rsidRDefault="00B56B65" w:rsidP="00B56B65">
            <w:pPr>
              <w:keepNext/>
              <w:spacing w:before="20" w:after="20"/>
              <w:rPr>
                <w:sz w:val="16"/>
                <w:szCs w:val="16"/>
              </w:rPr>
            </w:pPr>
            <w:r w:rsidRPr="00B56B65">
              <w:rPr>
                <w:sz w:val="16"/>
                <w:szCs w:val="16"/>
              </w:rPr>
              <w:t>Moderate (Score 6 - 11)</w:t>
            </w:r>
          </w:p>
        </w:tc>
        <w:tc>
          <w:tcPr>
            <w:tcW w:w="597" w:type="dxa"/>
          </w:tcPr>
          <w:p w14:paraId="15D6C25D" w14:textId="77777777" w:rsidR="00B56B65" w:rsidRPr="00B56B65" w:rsidRDefault="00B56B65" w:rsidP="00B56B65">
            <w:pPr>
              <w:keepNext/>
              <w:spacing w:before="20" w:after="20"/>
              <w:jc w:val="right"/>
              <w:rPr>
                <w:sz w:val="16"/>
                <w:szCs w:val="16"/>
              </w:rPr>
            </w:pPr>
            <w:r w:rsidRPr="00B56B65">
              <w:rPr>
                <w:sz w:val="16"/>
                <w:szCs w:val="16"/>
              </w:rPr>
              <w:t>49</w:t>
            </w:r>
          </w:p>
        </w:tc>
        <w:tc>
          <w:tcPr>
            <w:tcW w:w="567" w:type="dxa"/>
          </w:tcPr>
          <w:p w14:paraId="6AEB20C8" w14:textId="77777777" w:rsidR="00B56B65" w:rsidRPr="00B56B65" w:rsidRDefault="00B56B65" w:rsidP="00B56B65">
            <w:pPr>
              <w:keepNext/>
              <w:spacing w:before="20" w:after="20"/>
              <w:jc w:val="right"/>
              <w:rPr>
                <w:sz w:val="16"/>
                <w:szCs w:val="16"/>
              </w:rPr>
            </w:pPr>
            <w:r w:rsidRPr="00B56B65">
              <w:rPr>
                <w:sz w:val="16"/>
                <w:szCs w:val="16"/>
              </w:rPr>
              <w:t>33.1</w:t>
            </w:r>
          </w:p>
        </w:tc>
        <w:tc>
          <w:tcPr>
            <w:tcW w:w="993" w:type="dxa"/>
            <w:tcBorders>
              <w:right w:val="single" w:sz="4" w:space="0" w:color="auto"/>
            </w:tcBorders>
          </w:tcPr>
          <w:p w14:paraId="59557EEF" w14:textId="77777777" w:rsidR="00B56B65" w:rsidRPr="00B56B65" w:rsidRDefault="00B56B65" w:rsidP="00B56B65">
            <w:pPr>
              <w:keepNext/>
              <w:spacing w:before="20" w:after="20"/>
              <w:jc w:val="right"/>
              <w:rPr>
                <w:sz w:val="16"/>
                <w:szCs w:val="16"/>
              </w:rPr>
            </w:pPr>
            <w:r w:rsidRPr="00B56B65">
              <w:rPr>
                <w:sz w:val="16"/>
                <w:szCs w:val="16"/>
              </w:rPr>
              <w:t>(24.8, 41.5)</w:t>
            </w:r>
          </w:p>
        </w:tc>
        <w:tc>
          <w:tcPr>
            <w:tcW w:w="567" w:type="dxa"/>
            <w:tcBorders>
              <w:left w:val="single" w:sz="4" w:space="0" w:color="auto"/>
            </w:tcBorders>
          </w:tcPr>
          <w:p w14:paraId="3FF36E6A" w14:textId="77777777" w:rsidR="00B56B65" w:rsidRPr="00B56B65" w:rsidRDefault="00B56B65" w:rsidP="00B56B65">
            <w:pPr>
              <w:keepNext/>
              <w:spacing w:before="20" w:after="20"/>
              <w:jc w:val="right"/>
              <w:rPr>
                <w:sz w:val="16"/>
                <w:szCs w:val="16"/>
              </w:rPr>
            </w:pPr>
            <w:r w:rsidRPr="00B56B65">
              <w:rPr>
                <w:sz w:val="16"/>
                <w:szCs w:val="16"/>
              </w:rPr>
              <w:t>17</w:t>
            </w:r>
          </w:p>
        </w:tc>
        <w:tc>
          <w:tcPr>
            <w:tcW w:w="567" w:type="dxa"/>
          </w:tcPr>
          <w:p w14:paraId="78DFBF4E" w14:textId="77777777" w:rsidR="00B56B65" w:rsidRPr="00B56B65" w:rsidRDefault="00B56B65" w:rsidP="00B56B65">
            <w:pPr>
              <w:keepNext/>
              <w:spacing w:before="20" w:after="20"/>
              <w:jc w:val="right"/>
              <w:rPr>
                <w:sz w:val="16"/>
                <w:szCs w:val="16"/>
              </w:rPr>
            </w:pPr>
            <w:r w:rsidRPr="00B56B65">
              <w:rPr>
                <w:sz w:val="16"/>
                <w:szCs w:val="16"/>
              </w:rPr>
              <w:t>23.2</w:t>
            </w:r>
          </w:p>
        </w:tc>
        <w:tc>
          <w:tcPr>
            <w:tcW w:w="992" w:type="dxa"/>
            <w:tcBorders>
              <w:right w:val="single" w:sz="4" w:space="0" w:color="auto"/>
            </w:tcBorders>
          </w:tcPr>
          <w:p w14:paraId="3ABB1BA2" w14:textId="77777777" w:rsidR="00B56B65" w:rsidRPr="00B56B65" w:rsidRDefault="00B56B65" w:rsidP="00B56B65">
            <w:pPr>
              <w:keepNext/>
              <w:spacing w:before="20" w:after="20"/>
              <w:jc w:val="right"/>
              <w:rPr>
                <w:sz w:val="16"/>
                <w:szCs w:val="16"/>
              </w:rPr>
            </w:pPr>
            <w:r w:rsidRPr="00B56B65">
              <w:rPr>
                <w:sz w:val="16"/>
                <w:szCs w:val="16"/>
              </w:rPr>
              <w:t>(12.4, 34.0)</w:t>
            </w:r>
          </w:p>
        </w:tc>
        <w:tc>
          <w:tcPr>
            <w:tcW w:w="567" w:type="dxa"/>
            <w:tcBorders>
              <w:left w:val="single" w:sz="4" w:space="0" w:color="auto"/>
            </w:tcBorders>
          </w:tcPr>
          <w:p w14:paraId="371FD8EA" w14:textId="77777777" w:rsidR="00B56B65" w:rsidRPr="00B56B65" w:rsidRDefault="00B56B65" w:rsidP="00B56B65">
            <w:pPr>
              <w:keepNext/>
              <w:spacing w:before="20" w:after="20"/>
              <w:jc w:val="right"/>
              <w:rPr>
                <w:sz w:val="16"/>
                <w:szCs w:val="16"/>
              </w:rPr>
            </w:pPr>
            <w:r w:rsidRPr="00B56B65">
              <w:rPr>
                <w:sz w:val="16"/>
                <w:szCs w:val="16"/>
              </w:rPr>
              <w:t>14</w:t>
            </w:r>
          </w:p>
        </w:tc>
        <w:tc>
          <w:tcPr>
            <w:tcW w:w="567" w:type="dxa"/>
          </w:tcPr>
          <w:p w14:paraId="5BD15249" w14:textId="77777777" w:rsidR="00B56B65" w:rsidRPr="00B56B65" w:rsidRDefault="00B56B65" w:rsidP="00B56B65">
            <w:pPr>
              <w:keepNext/>
              <w:spacing w:before="20" w:after="20"/>
              <w:jc w:val="right"/>
              <w:rPr>
                <w:sz w:val="16"/>
                <w:szCs w:val="16"/>
              </w:rPr>
            </w:pPr>
            <w:r w:rsidRPr="00B56B65">
              <w:rPr>
                <w:sz w:val="16"/>
                <w:szCs w:val="16"/>
              </w:rPr>
              <w:t>25.8</w:t>
            </w:r>
          </w:p>
        </w:tc>
        <w:tc>
          <w:tcPr>
            <w:tcW w:w="992" w:type="dxa"/>
            <w:tcBorders>
              <w:right w:val="single" w:sz="4" w:space="0" w:color="auto"/>
            </w:tcBorders>
          </w:tcPr>
          <w:p w14:paraId="084EAD17" w14:textId="77777777" w:rsidR="00B56B65" w:rsidRPr="00B56B65" w:rsidRDefault="00B56B65" w:rsidP="00B56B65">
            <w:pPr>
              <w:keepNext/>
              <w:spacing w:before="20" w:after="20"/>
              <w:jc w:val="right"/>
              <w:rPr>
                <w:sz w:val="16"/>
                <w:szCs w:val="16"/>
              </w:rPr>
            </w:pPr>
            <w:r w:rsidRPr="00B56B65">
              <w:rPr>
                <w:sz w:val="16"/>
                <w:szCs w:val="16"/>
              </w:rPr>
              <w:t>(16.2, 35.5)</w:t>
            </w:r>
          </w:p>
        </w:tc>
        <w:tc>
          <w:tcPr>
            <w:tcW w:w="536" w:type="dxa"/>
            <w:tcBorders>
              <w:left w:val="single" w:sz="4" w:space="0" w:color="auto"/>
            </w:tcBorders>
          </w:tcPr>
          <w:p w14:paraId="4D52F46A" w14:textId="77777777" w:rsidR="00B56B65" w:rsidRPr="00B56B65" w:rsidRDefault="00B56B65" w:rsidP="00B56B65">
            <w:pPr>
              <w:keepNext/>
              <w:spacing w:before="20" w:after="20"/>
              <w:jc w:val="right"/>
              <w:rPr>
                <w:sz w:val="16"/>
                <w:szCs w:val="16"/>
              </w:rPr>
            </w:pPr>
            <w:r w:rsidRPr="00B56B65">
              <w:rPr>
                <w:sz w:val="16"/>
                <w:szCs w:val="16"/>
              </w:rPr>
              <w:t>18</w:t>
            </w:r>
          </w:p>
        </w:tc>
        <w:tc>
          <w:tcPr>
            <w:tcW w:w="567" w:type="dxa"/>
          </w:tcPr>
          <w:p w14:paraId="02777508" w14:textId="77777777" w:rsidR="00B56B65" w:rsidRPr="00B56B65" w:rsidRDefault="00B56B65" w:rsidP="00B56B65">
            <w:pPr>
              <w:keepNext/>
              <w:spacing w:before="20" w:after="20"/>
              <w:jc w:val="right"/>
              <w:rPr>
                <w:sz w:val="16"/>
                <w:szCs w:val="16"/>
              </w:rPr>
            </w:pPr>
            <w:r w:rsidRPr="00B56B65">
              <w:rPr>
                <w:sz w:val="16"/>
                <w:szCs w:val="16"/>
              </w:rPr>
              <w:t>32.0</w:t>
            </w:r>
          </w:p>
        </w:tc>
        <w:tc>
          <w:tcPr>
            <w:tcW w:w="1023" w:type="dxa"/>
          </w:tcPr>
          <w:p w14:paraId="3BD1644F" w14:textId="77777777" w:rsidR="00B56B65" w:rsidRPr="00B56B65" w:rsidRDefault="00B56B65" w:rsidP="00B56B65">
            <w:pPr>
              <w:keepNext/>
              <w:spacing w:before="20" w:after="20"/>
              <w:jc w:val="right"/>
              <w:rPr>
                <w:sz w:val="16"/>
                <w:szCs w:val="16"/>
              </w:rPr>
            </w:pPr>
            <w:r w:rsidRPr="00B56B65">
              <w:rPr>
                <w:sz w:val="16"/>
                <w:szCs w:val="16"/>
              </w:rPr>
              <w:t>(12.1, 51.8)</w:t>
            </w:r>
          </w:p>
        </w:tc>
      </w:tr>
      <w:tr w:rsidR="00B56B65" w:rsidRPr="007B4EF8" w14:paraId="5EE29E36" w14:textId="77777777" w:rsidTr="00B56B65">
        <w:trPr>
          <w:jc w:val="center"/>
        </w:trPr>
        <w:tc>
          <w:tcPr>
            <w:tcW w:w="2345" w:type="dxa"/>
          </w:tcPr>
          <w:p w14:paraId="4969344E" w14:textId="77777777" w:rsidR="00B56B65" w:rsidRPr="00B56B65" w:rsidRDefault="00B56B65" w:rsidP="00B56B65">
            <w:pPr>
              <w:keepNext/>
              <w:spacing w:before="20" w:after="20"/>
              <w:rPr>
                <w:sz w:val="16"/>
                <w:szCs w:val="16"/>
              </w:rPr>
            </w:pPr>
          </w:p>
        </w:tc>
        <w:tc>
          <w:tcPr>
            <w:tcW w:w="1834" w:type="dxa"/>
          </w:tcPr>
          <w:p w14:paraId="64087092" w14:textId="77777777" w:rsidR="00B56B65" w:rsidRPr="00B56B65" w:rsidRDefault="00B56B65" w:rsidP="00B56B65">
            <w:pPr>
              <w:keepNext/>
              <w:spacing w:before="20" w:after="20"/>
              <w:rPr>
                <w:sz w:val="16"/>
                <w:szCs w:val="16"/>
              </w:rPr>
            </w:pPr>
            <w:r w:rsidRPr="00B56B65">
              <w:rPr>
                <w:sz w:val="16"/>
                <w:szCs w:val="16"/>
              </w:rPr>
              <w:t>High (Score 12 - 19)</w:t>
            </w:r>
          </w:p>
        </w:tc>
        <w:tc>
          <w:tcPr>
            <w:tcW w:w="597" w:type="dxa"/>
          </w:tcPr>
          <w:p w14:paraId="32D381E2" w14:textId="77777777" w:rsidR="00B56B65" w:rsidRPr="00B56B65" w:rsidRDefault="00B56B65" w:rsidP="00B56B65">
            <w:pPr>
              <w:keepNext/>
              <w:spacing w:before="20" w:after="20"/>
              <w:jc w:val="right"/>
              <w:rPr>
                <w:sz w:val="16"/>
                <w:szCs w:val="16"/>
              </w:rPr>
            </w:pPr>
            <w:r w:rsidRPr="00B56B65">
              <w:rPr>
                <w:sz w:val="16"/>
                <w:szCs w:val="16"/>
              </w:rPr>
              <w:t>26</w:t>
            </w:r>
          </w:p>
        </w:tc>
        <w:tc>
          <w:tcPr>
            <w:tcW w:w="567" w:type="dxa"/>
          </w:tcPr>
          <w:p w14:paraId="772A83B4" w14:textId="77777777" w:rsidR="00B56B65" w:rsidRPr="00B56B65" w:rsidRDefault="00B56B65" w:rsidP="00B56B65">
            <w:pPr>
              <w:keepNext/>
              <w:spacing w:before="20" w:after="20"/>
              <w:jc w:val="right"/>
              <w:rPr>
                <w:sz w:val="16"/>
                <w:szCs w:val="16"/>
              </w:rPr>
            </w:pPr>
            <w:r w:rsidRPr="00B56B65">
              <w:rPr>
                <w:sz w:val="16"/>
                <w:szCs w:val="16"/>
              </w:rPr>
              <w:t>17.9</w:t>
            </w:r>
          </w:p>
        </w:tc>
        <w:tc>
          <w:tcPr>
            <w:tcW w:w="993" w:type="dxa"/>
            <w:tcBorders>
              <w:right w:val="single" w:sz="4" w:space="0" w:color="auto"/>
            </w:tcBorders>
          </w:tcPr>
          <w:p w14:paraId="350B90F8" w14:textId="77777777" w:rsidR="00B56B65" w:rsidRPr="00B56B65" w:rsidRDefault="00B56B65" w:rsidP="00B56B65">
            <w:pPr>
              <w:keepNext/>
              <w:spacing w:before="20" w:after="20"/>
              <w:jc w:val="right"/>
              <w:rPr>
                <w:sz w:val="16"/>
                <w:szCs w:val="16"/>
              </w:rPr>
            </w:pPr>
            <w:r w:rsidRPr="00B56B65">
              <w:rPr>
                <w:sz w:val="16"/>
                <w:szCs w:val="16"/>
              </w:rPr>
              <w:t>(11.5, 24.3)</w:t>
            </w:r>
          </w:p>
        </w:tc>
        <w:tc>
          <w:tcPr>
            <w:tcW w:w="567" w:type="dxa"/>
            <w:tcBorders>
              <w:left w:val="single" w:sz="4" w:space="0" w:color="auto"/>
            </w:tcBorders>
          </w:tcPr>
          <w:p w14:paraId="17C5483F" w14:textId="77777777" w:rsidR="00B56B65" w:rsidRPr="00B56B65" w:rsidRDefault="00B56B65" w:rsidP="00B56B65">
            <w:pPr>
              <w:keepNext/>
              <w:spacing w:before="20" w:after="20"/>
              <w:jc w:val="right"/>
              <w:rPr>
                <w:sz w:val="16"/>
                <w:szCs w:val="16"/>
              </w:rPr>
            </w:pPr>
            <w:r w:rsidRPr="00B56B65">
              <w:rPr>
                <w:sz w:val="16"/>
                <w:szCs w:val="16"/>
              </w:rPr>
              <w:t>14</w:t>
            </w:r>
          </w:p>
        </w:tc>
        <w:tc>
          <w:tcPr>
            <w:tcW w:w="567" w:type="dxa"/>
          </w:tcPr>
          <w:p w14:paraId="06715DAD" w14:textId="77777777" w:rsidR="00B56B65" w:rsidRPr="00B56B65" w:rsidRDefault="00B56B65" w:rsidP="00B56B65">
            <w:pPr>
              <w:keepNext/>
              <w:spacing w:before="20" w:after="20"/>
              <w:jc w:val="right"/>
              <w:rPr>
                <w:sz w:val="16"/>
                <w:szCs w:val="16"/>
              </w:rPr>
            </w:pPr>
            <w:r w:rsidRPr="00B56B65">
              <w:rPr>
                <w:sz w:val="16"/>
                <w:szCs w:val="16"/>
              </w:rPr>
              <w:t>18.4</w:t>
            </w:r>
          </w:p>
        </w:tc>
        <w:tc>
          <w:tcPr>
            <w:tcW w:w="992" w:type="dxa"/>
            <w:tcBorders>
              <w:right w:val="single" w:sz="4" w:space="0" w:color="auto"/>
            </w:tcBorders>
          </w:tcPr>
          <w:p w14:paraId="46235F95" w14:textId="77777777" w:rsidR="00B56B65" w:rsidRPr="00B56B65" w:rsidRDefault="00B56B65" w:rsidP="00B56B65">
            <w:pPr>
              <w:keepNext/>
              <w:spacing w:before="20" w:after="20"/>
              <w:jc w:val="right"/>
              <w:rPr>
                <w:sz w:val="16"/>
                <w:szCs w:val="16"/>
              </w:rPr>
            </w:pPr>
            <w:r w:rsidRPr="00B56B65">
              <w:rPr>
                <w:sz w:val="16"/>
                <w:szCs w:val="16"/>
              </w:rPr>
              <w:t>(9.6, 27.2)</w:t>
            </w:r>
          </w:p>
        </w:tc>
        <w:tc>
          <w:tcPr>
            <w:tcW w:w="567" w:type="dxa"/>
            <w:tcBorders>
              <w:left w:val="single" w:sz="4" w:space="0" w:color="auto"/>
            </w:tcBorders>
          </w:tcPr>
          <w:p w14:paraId="5616B7A3" w14:textId="77777777" w:rsidR="00B56B65" w:rsidRPr="00B56B65" w:rsidRDefault="00B56B65" w:rsidP="00B56B65">
            <w:pPr>
              <w:keepNext/>
              <w:spacing w:before="20" w:after="20"/>
              <w:jc w:val="right"/>
              <w:rPr>
                <w:sz w:val="16"/>
                <w:szCs w:val="16"/>
              </w:rPr>
            </w:pPr>
            <w:r w:rsidRPr="00B56B65">
              <w:rPr>
                <w:sz w:val="16"/>
                <w:szCs w:val="16"/>
              </w:rPr>
              <w:t>8</w:t>
            </w:r>
          </w:p>
        </w:tc>
        <w:tc>
          <w:tcPr>
            <w:tcW w:w="567" w:type="dxa"/>
          </w:tcPr>
          <w:p w14:paraId="408FC042" w14:textId="77777777" w:rsidR="00B56B65" w:rsidRPr="00B56B65" w:rsidRDefault="00B56B65" w:rsidP="00B56B65">
            <w:pPr>
              <w:keepNext/>
              <w:spacing w:before="20" w:after="20"/>
              <w:jc w:val="right"/>
              <w:rPr>
                <w:sz w:val="16"/>
                <w:szCs w:val="16"/>
              </w:rPr>
            </w:pPr>
            <w:r w:rsidRPr="00B56B65">
              <w:rPr>
                <w:sz w:val="16"/>
                <w:szCs w:val="16"/>
              </w:rPr>
              <w:t>14.5</w:t>
            </w:r>
          </w:p>
        </w:tc>
        <w:tc>
          <w:tcPr>
            <w:tcW w:w="992" w:type="dxa"/>
            <w:tcBorders>
              <w:right w:val="single" w:sz="4" w:space="0" w:color="auto"/>
            </w:tcBorders>
          </w:tcPr>
          <w:p w14:paraId="65CF67DC" w14:textId="77777777" w:rsidR="00B56B65" w:rsidRPr="00B56B65" w:rsidRDefault="00B56B65" w:rsidP="00B56B65">
            <w:pPr>
              <w:keepNext/>
              <w:spacing w:before="20" w:after="20"/>
              <w:jc w:val="right"/>
              <w:rPr>
                <w:sz w:val="16"/>
                <w:szCs w:val="16"/>
              </w:rPr>
            </w:pPr>
            <w:r w:rsidRPr="00B56B65">
              <w:rPr>
                <w:sz w:val="16"/>
                <w:szCs w:val="16"/>
              </w:rPr>
              <w:t>(6.4, 22.6)</w:t>
            </w:r>
          </w:p>
        </w:tc>
        <w:tc>
          <w:tcPr>
            <w:tcW w:w="536" w:type="dxa"/>
            <w:tcBorders>
              <w:left w:val="single" w:sz="4" w:space="0" w:color="auto"/>
            </w:tcBorders>
          </w:tcPr>
          <w:p w14:paraId="60D0527D" w14:textId="77777777" w:rsidR="00B56B65" w:rsidRPr="00B56B65" w:rsidRDefault="00B56B65" w:rsidP="00B56B65">
            <w:pPr>
              <w:keepNext/>
              <w:spacing w:before="20" w:after="20"/>
              <w:jc w:val="right"/>
              <w:rPr>
                <w:sz w:val="16"/>
                <w:szCs w:val="16"/>
              </w:rPr>
            </w:pPr>
            <w:r w:rsidRPr="00B56B65">
              <w:rPr>
                <w:sz w:val="16"/>
                <w:szCs w:val="16"/>
              </w:rPr>
              <w:t>10</w:t>
            </w:r>
          </w:p>
        </w:tc>
        <w:tc>
          <w:tcPr>
            <w:tcW w:w="567" w:type="dxa"/>
          </w:tcPr>
          <w:p w14:paraId="32F97102" w14:textId="77777777" w:rsidR="00B56B65" w:rsidRPr="00B56B65" w:rsidRDefault="00B56B65" w:rsidP="00B56B65">
            <w:pPr>
              <w:keepNext/>
              <w:spacing w:before="20" w:after="20"/>
              <w:jc w:val="right"/>
              <w:rPr>
                <w:sz w:val="16"/>
                <w:szCs w:val="16"/>
              </w:rPr>
            </w:pPr>
            <w:r w:rsidRPr="00B56B65">
              <w:rPr>
                <w:sz w:val="16"/>
                <w:szCs w:val="16"/>
              </w:rPr>
              <w:t>17.2</w:t>
            </w:r>
          </w:p>
        </w:tc>
        <w:tc>
          <w:tcPr>
            <w:tcW w:w="1023" w:type="dxa"/>
          </w:tcPr>
          <w:p w14:paraId="26712D46" w14:textId="77777777" w:rsidR="00B56B65" w:rsidRPr="00B56B65" w:rsidRDefault="00B56B65" w:rsidP="00B56B65">
            <w:pPr>
              <w:keepNext/>
              <w:spacing w:before="20" w:after="20"/>
              <w:jc w:val="right"/>
              <w:rPr>
                <w:sz w:val="16"/>
                <w:szCs w:val="16"/>
              </w:rPr>
            </w:pPr>
            <w:r w:rsidRPr="00B56B65">
              <w:rPr>
                <w:sz w:val="16"/>
                <w:szCs w:val="16"/>
              </w:rPr>
              <w:t>(6.6, 27.9)</w:t>
            </w:r>
          </w:p>
        </w:tc>
      </w:tr>
      <w:tr w:rsidR="00B56B65" w:rsidRPr="007B4EF8" w14:paraId="0E1EDAD2" w14:textId="77777777" w:rsidTr="00B56B65">
        <w:trPr>
          <w:jc w:val="center"/>
        </w:trPr>
        <w:tc>
          <w:tcPr>
            <w:tcW w:w="2345" w:type="dxa"/>
            <w:tcBorders>
              <w:bottom w:val="single" w:sz="4" w:space="0" w:color="auto"/>
            </w:tcBorders>
          </w:tcPr>
          <w:p w14:paraId="36DC57E8" w14:textId="77777777" w:rsidR="00B56B65" w:rsidRPr="00B56B65" w:rsidRDefault="00B56B65" w:rsidP="00B56B65">
            <w:pPr>
              <w:keepNext/>
              <w:spacing w:before="20" w:after="20"/>
              <w:rPr>
                <w:sz w:val="16"/>
                <w:szCs w:val="16"/>
              </w:rPr>
            </w:pPr>
          </w:p>
        </w:tc>
        <w:tc>
          <w:tcPr>
            <w:tcW w:w="1834" w:type="dxa"/>
            <w:tcBorders>
              <w:bottom w:val="single" w:sz="4" w:space="0" w:color="auto"/>
            </w:tcBorders>
          </w:tcPr>
          <w:p w14:paraId="3E253466" w14:textId="77777777" w:rsidR="00B56B65" w:rsidRPr="00B56B65" w:rsidRDefault="00B56B65" w:rsidP="00B56B65">
            <w:pPr>
              <w:keepNext/>
              <w:spacing w:before="20" w:after="20"/>
              <w:rPr>
                <w:sz w:val="16"/>
                <w:szCs w:val="16"/>
              </w:rPr>
            </w:pPr>
            <w:r w:rsidRPr="00B56B65">
              <w:rPr>
                <w:sz w:val="16"/>
                <w:szCs w:val="16"/>
              </w:rPr>
              <w:t>Severe (Score 20 - 40)</w:t>
            </w:r>
          </w:p>
        </w:tc>
        <w:tc>
          <w:tcPr>
            <w:tcW w:w="597" w:type="dxa"/>
            <w:tcBorders>
              <w:bottom w:val="single" w:sz="4" w:space="0" w:color="auto"/>
            </w:tcBorders>
          </w:tcPr>
          <w:p w14:paraId="34581415" w14:textId="77777777" w:rsidR="00B56B65" w:rsidRPr="00B56B65" w:rsidRDefault="00B56B65" w:rsidP="00B56B65">
            <w:pPr>
              <w:keepNext/>
              <w:spacing w:before="20" w:after="20"/>
              <w:jc w:val="right"/>
              <w:rPr>
                <w:sz w:val="16"/>
                <w:szCs w:val="16"/>
              </w:rPr>
            </w:pPr>
            <w:r w:rsidRPr="00B56B65">
              <w:rPr>
                <w:sz w:val="16"/>
                <w:szCs w:val="16"/>
              </w:rPr>
              <w:t>16</w:t>
            </w:r>
          </w:p>
        </w:tc>
        <w:tc>
          <w:tcPr>
            <w:tcW w:w="567" w:type="dxa"/>
            <w:tcBorders>
              <w:bottom w:val="single" w:sz="4" w:space="0" w:color="auto"/>
            </w:tcBorders>
          </w:tcPr>
          <w:p w14:paraId="32073A1A" w14:textId="77777777" w:rsidR="00B56B65" w:rsidRPr="00B56B65" w:rsidRDefault="00B56B65" w:rsidP="00B56B65">
            <w:pPr>
              <w:keepNext/>
              <w:spacing w:before="20" w:after="20"/>
              <w:jc w:val="right"/>
              <w:rPr>
                <w:sz w:val="16"/>
                <w:szCs w:val="16"/>
              </w:rPr>
            </w:pPr>
            <w:r w:rsidRPr="00B56B65">
              <w:rPr>
                <w:sz w:val="16"/>
                <w:szCs w:val="16"/>
              </w:rPr>
              <w:t>11.0</w:t>
            </w:r>
          </w:p>
        </w:tc>
        <w:tc>
          <w:tcPr>
            <w:tcW w:w="993" w:type="dxa"/>
            <w:tcBorders>
              <w:bottom w:val="single" w:sz="4" w:space="0" w:color="auto"/>
              <w:right w:val="single" w:sz="4" w:space="0" w:color="auto"/>
            </w:tcBorders>
          </w:tcPr>
          <w:p w14:paraId="5A4CD46E" w14:textId="77777777" w:rsidR="00B56B65" w:rsidRPr="00B56B65" w:rsidRDefault="00B56B65" w:rsidP="00B56B65">
            <w:pPr>
              <w:keepNext/>
              <w:spacing w:before="20" w:after="20"/>
              <w:jc w:val="right"/>
              <w:rPr>
                <w:sz w:val="16"/>
                <w:szCs w:val="16"/>
              </w:rPr>
            </w:pPr>
            <w:r w:rsidRPr="00B56B65">
              <w:rPr>
                <w:sz w:val="16"/>
                <w:szCs w:val="16"/>
              </w:rPr>
              <w:t>(6.5, 15.5)</w:t>
            </w:r>
          </w:p>
        </w:tc>
        <w:tc>
          <w:tcPr>
            <w:tcW w:w="567" w:type="dxa"/>
            <w:tcBorders>
              <w:left w:val="single" w:sz="4" w:space="0" w:color="auto"/>
              <w:bottom w:val="single" w:sz="4" w:space="0" w:color="auto"/>
            </w:tcBorders>
          </w:tcPr>
          <w:p w14:paraId="507E69C2" w14:textId="77777777" w:rsidR="00B56B65" w:rsidRPr="00B56B65" w:rsidRDefault="00B56B65" w:rsidP="00B56B65">
            <w:pPr>
              <w:keepNext/>
              <w:spacing w:before="20" w:after="20"/>
              <w:jc w:val="right"/>
              <w:rPr>
                <w:sz w:val="16"/>
                <w:szCs w:val="16"/>
              </w:rPr>
            </w:pPr>
            <w:r w:rsidRPr="00B56B65">
              <w:rPr>
                <w:sz w:val="16"/>
                <w:szCs w:val="16"/>
              </w:rPr>
              <w:t>5</w:t>
            </w:r>
          </w:p>
        </w:tc>
        <w:tc>
          <w:tcPr>
            <w:tcW w:w="567" w:type="dxa"/>
            <w:tcBorders>
              <w:bottom w:val="single" w:sz="4" w:space="0" w:color="auto"/>
            </w:tcBorders>
          </w:tcPr>
          <w:p w14:paraId="1CAC239A" w14:textId="77777777" w:rsidR="00B56B65" w:rsidRPr="00B56B65" w:rsidRDefault="00B56B65" w:rsidP="00B56B65">
            <w:pPr>
              <w:keepNext/>
              <w:spacing w:before="20" w:after="20"/>
              <w:jc w:val="right"/>
              <w:rPr>
                <w:sz w:val="16"/>
                <w:szCs w:val="16"/>
              </w:rPr>
            </w:pPr>
            <w:r w:rsidRPr="00B56B65">
              <w:rPr>
                <w:sz w:val="16"/>
                <w:szCs w:val="16"/>
              </w:rPr>
              <w:t>6.5</w:t>
            </w:r>
          </w:p>
        </w:tc>
        <w:tc>
          <w:tcPr>
            <w:tcW w:w="992" w:type="dxa"/>
            <w:tcBorders>
              <w:bottom w:val="single" w:sz="4" w:space="0" w:color="auto"/>
              <w:right w:val="single" w:sz="4" w:space="0" w:color="auto"/>
            </w:tcBorders>
          </w:tcPr>
          <w:p w14:paraId="12DE828C" w14:textId="77777777" w:rsidR="00B56B65" w:rsidRPr="00B56B65" w:rsidRDefault="00B56B65" w:rsidP="00B56B65">
            <w:pPr>
              <w:keepNext/>
              <w:spacing w:before="20" w:after="20"/>
              <w:jc w:val="right"/>
              <w:rPr>
                <w:sz w:val="16"/>
                <w:szCs w:val="16"/>
              </w:rPr>
            </w:pPr>
            <w:r w:rsidRPr="00B56B65">
              <w:rPr>
                <w:sz w:val="16"/>
                <w:szCs w:val="16"/>
              </w:rPr>
              <w:t>(2.8, 10.3)</w:t>
            </w:r>
          </w:p>
        </w:tc>
        <w:tc>
          <w:tcPr>
            <w:tcW w:w="567" w:type="dxa"/>
            <w:tcBorders>
              <w:left w:val="single" w:sz="4" w:space="0" w:color="auto"/>
              <w:bottom w:val="single" w:sz="4" w:space="0" w:color="auto"/>
            </w:tcBorders>
          </w:tcPr>
          <w:p w14:paraId="7D42DFCA" w14:textId="77777777" w:rsidR="00B56B65" w:rsidRPr="00B56B65" w:rsidRDefault="00B56B65" w:rsidP="00B56B65">
            <w:pPr>
              <w:keepNext/>
              <w:spacing w:before="20" w:after="20"/>
              <w:jc w:val="right"/>
              <w:rPr>
                <w:sz w:val="16"/>
                <w:szCs w:val="16"/>
              </w:rPr>
            </w:pPr>
            <w:r w:rsidRPr="00B56B65">
              <w:rPr>
                <w:sz w:val="16"/>
                <w:szCs w:val="16"/>
              </w:rPr>
              <w:t>4</w:t>
            </w:r>
          </w:p>
        </w:tc>
        <w:tc>
          <w:tcPr>
            <w:tcW w:w="567" w:type="dxa"/>
            <w:tcBorders>
              <w:bottom w:val="single" w:sz="4" w:space="0" w:color="auto"/>
            </w:tcBorders>
          </w:tcPr>
          <w:p w14:paraId="09904BA9" w14:textId="77777777" w:rsidR="00B56B65" w:rsidRPr="00B56B65" w:rsidRDefault="00B56B65" w:rsidP="00B56B65">
            <w:pPr>
              <w:keepNext/>
              <w:spacing w:before="20" w:after="20"/>
              <w:jc w:val="right"/>
              <w:rPr>
                <w:sz w:val="16"/>
                <w:szCs w:val="16"/>
              </w:rPr>
            </w:pPr>
            <w:r w:rsidRPr="00B56B65">
              <w:rPr>
                <w:sz w:val="16"/>
                <w:szCs w:val="16"/>
              </w:rPr>
              <w:t>6.4</w:t>
            </w:r>
          </w:p>
        </w:tc>
        <w:tc>
          <w:tcPr>
            <w:tcW w:w="992" w:type="dxa"/>
            <w:tcBorders>
              <w:bottom w:val="single" w:sz="4" w:space="0" w:color="auto"/>
              <w:right w:val="single" w:sz="4" w:space="0" w:color="auto"/>
            </w:tcBorders>
          </w:tcPr>
          <w:p w14:paraId="7FB34EDC" w14:textId="77777777" w:rsidR="00B56B65" w:rsidRPr="00B56B65" w:rsidRDefault="00B56B65" w:rsidP="00B56B65">
            <w:pPr>
              <w:keepNext/>
              <w:spacing w:before="20" w:after="20"/>
              <w:jc w:val="right"/>
              <w:rPr>
                <w:sz w:val="16"/>
                <w:szCs w:val="16"/>
              </w:rPr>
            </w:pPr>
            <w:r w:rsidRPr="00B56B65">
              <w:rPr>
                <w:sz w:val="16"/>
                <w:szCs w:val="16"/>
              </w:rPr>
              <w:t>(1.0, 11.9)</w:t>
            </w:r>
          </w:p>
        </w:tc>
        <w:tc>
          <w:tcPr>
            <w:tcW w:w="536" w:type="dxa"/>
            <w:tcBorders>
              <w:left w:val="single" w:sz="4" w:space="0" w:color="auto"/>
              <w:bottom w:val="single" w:sz="4" w:space="0" w:color="auto"/>
            </w:tcBorders>
          </w:tcPr>
          <w:p w14:paraId="1CE53E2B" w14:textId="77777777" w:rsidR="00B56B65" w:rsidRPr="00B56B65" w:rsidRDefault="00B56B65" w:rsidP="00B56B65">
            <w:pPr>
              <w:keepNext/>
              <w:spacing w:before="20" w:after="20"/>
              <w:jc w:val="right"/>
              <w:rPr>
                <w:sz w:val="16"/>
                <w:szCs w:val="16"/>
              </w:rPr>
            </w:pPr>
            <w:r w:rsidRPr="00B56B65">
              <w:rPr>
                <w:sz w:val="16"/>
                <w:szCs w:val="16"/>
              </w:rPr>
              <w:t>6</w:t>
            </w:r>
          </w:p>
        </w:tc>
        <w:tc>
          <w:tcPr>
            <w:tcW w:w="567" w:type="dxa"/>
            <w:tcBorders>
              <w:bottom w:val="single" w:sz="4" w:space="0" w:color="auto"/>
            </w:tcBorders>
          </w:tcPr>
          <w:p w14:paraId="218EAEFF" w14:textId="77777777" w:rsidR="00B56B65" w:rsidRPr="00B56B65" w:rsidRDefault="00B56B65" w:rsidP="00B56B65">
            <w:pPr>
              <w:keepNext/>
              <w:spacing w:before="20" w:after="20"/>
              <w:jc w:val="right"/>
              <w:rPr>
                <w:sz w:val="16"/>
                <w:szCs w:val="16"/>
              </w:rPr>
            </w:pPr>
            <w:r w:rsidRPr="00B56B65">
              <w:rPr>
                <w:sz w:val="16"/>
                <w:szCs w:val="16"/>
              </w:rPr>
              <w:t>10.3</w:t>
            </w:r>
          </w:p>
        </w:tc>
        <w:tc>
          <w:tcPr>
            <w:tcW w:w="1023" w:type="dxa"/>
            <w:tcBorders>
              <w:bottom w:val="single" w:sz="4" w:space="0" w:color="auto"/>
            </w:tcBorders>
          </w:tcPr>
          <w:p w14:paraId="79DC2907" w14:textId="77777777" w:rsidR="00B56B65" w:rsidRPr="00B56B65" w:rsidRDefault="00B56B65" w:rsidP="00B56B65">
            <w:pPr>
              <w:keepNext/>
              <w:spacing w:before="20" w:after="20"/>
              <w:jc w:val="right"/>
              <w:rPr>
                <w:sz w:val="16"/>
                <w:szCs w:val="16"/>
              </w:rPr>
            </w:pPr>
            <w:r w:rsidRPr="00B56B65">
              <w:rPr>
                <w:sz w:val="16"/>
                <w:szCs w:val="16"/>
              </w:rPr>
              <w:t>(3.9, 16.7)</w:t>
            </w:r>
          </w:p>
        </w:tc>
      </w:tr>
    </w:tbl>
    <w:p w14:paraId="50BD65B5" w14:textId="77777777" w:rsidR="0047103A" w:rsidRDefault="0047103A" w:rsidP="00B56B65">
      <w:pPr>
        <w:ind w:left="567"/>
        <w:rPr>
          <w:sz w:val="16"/>
          <w:szCs w:val="16"/>
        </w:rPr>
      </w:pPr>
      <w:r w:rsidRPr="00D05AB1">
        <w:rPr>
          <w:sz w:val="16"/>
          <w:szCs w:val="16"/>
        </w:rPr>
        <w:t>Data weighted for 2013 Census data (</w:t>
      </w:r>
      <w:r>
        <w:rPr>
          <w:sz w:val="16"/>
          <w:szCs w:val="16"/>
        </w:rPr>
        <w:t>all w</w:t>
      </w:r>
      <w:r w:rsidRPr="00D05AB1">
        <w:rPr>
          <w:sz w:val="16"/>
          <w:szCs w:val="16"/>
        </w:rPr>
        <w:t>aves) and attrition (Wave</w:t>
      </w:r>
      <w:r>
        <w:rPr>
          <w:sz w:val="16"/>
          <w:szCs w:val="16"/>
        </w:rPr>
        <w:t>s</w:t>
      </w:r>
      <w:r w:rsidRPr="00D05AB1">
        <w:rPr>
          <w:sz w:val="16"/>
          <w:szCs w:val="16"/>
        </w:rPr>
        <w:t xml:space="preserve"> 2</w:t>
      </w:r>
      <w:r>
        <w:rPr>
          <w:sz w:val="16"/>
          <w:szCs w:val="16"/>
        </w:rPr>
        <w:t>,</w:t>
      </w:r>
      <w:r w:rsidRPr="00D05AB1">
        <w:rPr>
          <w:sz w:val="16"/>
          <w:szCs w:val="16"/>
        </w:rPr>
        <w:t xml:space="preserve"> 3</w:t>
      </w:r>
      <w:r>
        <w:rPr>
          <w:sz w:val="16"/>
          <w:szCs w:val="16"/>
        </w:rPr>
        <w:t xml:space="preserve"> and 4</w:t>
      </w:r>
      <w:r w:rsidRPr="00D05AB1">
        <w:rPr>
          <w:sz w:val="16"/>
          <w:szCs w:val="16"/>
        </w:rPr>
        <w:t>)</w:t>
      </w:r>
    </w:p>
    <w:p w14:paraId="0CF3AC2B" w14:textId="77777777" w:rsidR="002F172C" w:rsidRPr="00B63F83" w:rsidRDefault="002F172C" w:rsidP="002F172C">
      <w:pPr>
        <w:spacing w:after="200" w:line="276" w:lineRule="auto"/>
        <w:ind w:left="567"/>
        <w:rPr>
          <w:sz w:val="16"/>
        </w:rPr>
      </w:pPr>
      <w:r w:rsidRPr="00B63F83">
        <w:rPr>
          <w:sz w:val="16"/>
        </w:rPr>
        <w:t>! Meaningful confidence intervals not calculable due to small sample size</w:t>
      </w:r>
    </w:p>
    <w:p w14:paraId="7B20B82C" w14:textId="77777777" w:rsidR="002F172C" w:rsidRDefault="002F172C" w:rsidP="00B56B65">
      <w:pPr>
        <w:ind w:left="567"/>
        <w:rPr>
          <w:sz w:val="16"/>
          <w:szCs w:val="16"/>
        </w:rPr>
      </w:pPr>
    </w:p>
    <w:p w14:paraId="314665EC" w14:textId="77777777" w:rsidR="00C2124C" w:rsidRDefault="00C2124C">
      <w:pPr>
        <w:spacing w:after="200" w:line="276" w:lineRule="auto"/>
        <w:rPr>
          <w:rFonts w:eastAsiaTheme="majorEastAsia" w:cstheme="majorBidi"/>
          <w:b/>
          <w:bCs/>
          <w:caps/>
          <w:szCs w:val="28"/>
          <w:lang w:eastAsia="en-US"/>
        </w:rPr>
      </w:pPr>
    </w:p>
    <w:p w14:paraId="74C0E4F9" w14:textId="77777777" w:rsidR="000848C3" w:rsidRDefault="000848C3">
      <w:pPr>
        <w:spacing w:after="200" w:line="276" w:lineRule="auto"/>
        <w:rPr>
          <w:rFonts w:eastAsiaTheme="majorEastAsia" w:cstheme="majorBidi"/>
          <w:b/>
          <w:bCs/>
          <w:caps/>
          <w:szCs w:val="28"/>
          <w:lang w:eastAsia="en-US"/>
        </w:rPr>
      </w:pPr>
    </w:p>
    <w:p w14:paraId="271D2749" w14:textId="77777777" w:rsidR="00313EC6" w:rsidRDefault="00313EC6">
      <w:pPr>
        <w:spacing w:after="200" w:line="276" w:lineRule="auto"/>
        <w:rPr>
          <w:rFonts w:eastAsiaTheme="majorEastAsia" w:cstheme="majorBidi"/>
          <w:b/>
          <w:bCs/>
          <w:caps/>
          <w:szCs w:val="28"/>
          <w:lang w:eastAsia="en-US"/>
        </w:rPr>
      </w:pPr>
      <w:r>
        <w:rPr>
          <w:rFonts w:eastAsiaTheme="majorEastAsia" w:cstheme="majorBidi"/>
          <w:b/>
          <w:bCs/>
          <w:caps/>
          <w:szCs w:val="28"/>
          <w:lang w:eastAsia="en-US"/>
        </w:rPr>
        <w:br w:type="page"/>
      </w:r>
    </w:p>
    <w:p w14:paraId="2478D4B1" w14:textId="77777777" w:rsidR="00313EC6" w:rsidRDefault="00313EC6" w:rsidP="00313EC6">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bookmarkStart w:id="219" w:name="_Toc504488419"/>
      <w:r>
        <w:t>APPENDIX 26:</w:t>
      </w:r>
      <w:r>
        <w:br/>
      </w:r>
      <w:r>
        <w:rPr>
          <w:caps w:val="0"/>
        </w:rPr>
        <w:t xml:space="preserve">Transitions between </w:t>
      </w:r>
      <w:r w:rsidR="008E65B4">
        <w:rPr>
          <w:caps w:val="0"/>
        </w:rPr>
        <w:t>gambling risk levels</w:t>
      </w:r>
      <w:r>
        <w:rPr>
          <w:caps w:val="0"/>
        </w:rPr>
        <w:t xml:space="preserve"> between the waves</w:t>
      </w:r>
      <w:bookmarkEnd w:id="219"/>
    </w:p>
    <w:p w14:paraId="4A84547B" w14:textId="77777777" w:rsidR="00E11ADB" w:rsidRDefault="00E11ADB" w:rsidP="00221FB6">
      <w:pPr>
        <w:rPr>
          <w:rFonts w:eastAsiaTheme="majorEastAsia" w:cstheme="majorBidi"/>
          <w:b/>
          <w:bCs/>
          <w:caps/>
          <w:szCs w:val="28"/>
          <w:lang w:eastAsia="en-US"/>
        </w:rPr>
      </w:pPr>
    </w:p>
    <w:tbl>
      <w:tblPr>
        <w:tblStyle w:val="TableGrid"/>
        <w:tblW w:w="140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709"/>
        <w:gridCol w:w="567"/>
        <w:gridCol w:w="1276"/>
        <w:gridCol w:w="709"/>
        <w:gridCol w:w="567"/>
        <w:gridCol w:w="1134"/>
        <w:gridCol w:w="567"/>
        <w:gridCol w:w="567"/>
        <w:gridCol w:w="1135"/>
        <w:gridCol w:w="567"/>
        <w:gridCol w:w="568"/>
        <w:gridCol w:w="1137"/>
        <w:gridCol w:w="567"/>
        <w:gridCol w:w="570"/>
        <w:gridCol w:w="1137"/>
      </w:tblGrid>
      <w:tr w:rsidR="00313EC6" w:rsidRPr="00313EC6" w14:paraId="415DD5ED" w14:textId="77777777" w:rsidTr="00313EC6">
        <w:trPr>
          <w:jc w:val="center"/>
        </w:trPr>
        <w:tc>
          <w:tcPr>
            <w:tcW w:w="2269" w:type="dxa"/>
            <w:vMerge w:val="restart"/>
            <w:tcBorders>
              <w:top w:val="single" w:sz="4" w:space="0" w:color="auto"/>
            </w:tcBorders>
            <w:vAlign w:val="bottom"/>
          </w:tcPr>
          <w:p w14:paraId="51A9C5C7" w14:textId="77777777" w:rsidR="00313EC6" w:rsidRPr="00313EC6" w:rsidRDefault="00313EC6" w:rsidP="00A61EE8">
            <w:pPr>
              <w:keepNext/>
              <w:keepLines/>
              <w:spacing w:before="20" w:after="20"/>
              <w:rPr>
                <w:b/>
                <w:sz w:val="18"/>
                <w:szCs w:val="20"/>
              </w:rPr>
            </w:pPr>
            <w:r w:rsidRPr="00313EC6">
              <w:rPr>
                <w:b/>
                <w:sz w:val="18"/>
                <w:szCs w:val="20"/>
              </w:rPr>
              <w:t>Transition from</w:t>
            </w:r>
          </w:p>
        </w:tc>
        <w:tc>
          <w:tcPr>
            <w:tcW w:w="11777" w:type="dxa"/>
            <w:gridSpan w:val="15"/>
            <w:tcBorders>
              <w:top w:val="single" w:sz="4" w:space="0" w:color="auto"/>
              <w:bottom w:val="single" w:sz="4" w:space="0" w:color="auto"/>
            </w:tcBorders>
            <w:vAlign w:val="bottom"/>
          </w:tcPr>
          <w:p w14:paraId="79154DFD" w14:textId="77777777" w:rsidR="00313EC6" w:rsidRPr="00313EC6" w:rsidRDefault="00313EC6" w:rsidP="00A61EE8">
            <w:pPr>
              <w:keepNext/>
              <w:keepLines/>
              <w:spacing w:before="20" w:after="20"/>
              <w:jc w:val="center"/>
              <w:rPr>
                <w:b/>
                <w:sz w:val="18"/>
                <w:szCs w:val="20"/>
              </w:rPr>
            </w:pPr>
            <w:r w:rsidRPr="00313EC6">
              <w:rPr>
                <w:b/>
                <w:sz w:val="18"/>
                <w:szCs w:val="20"/>
              </w:rPr>
              <w:t>Transition to</w:t>
            </w:r>
          </w:p>
        </w:tc>
      </w:tr>
      <w:tr w:rsidR="00313EC6" w:rsidRPr="00313EC6" w14:paraId="43879F79" w14:textId="77777777" w:rsidTr="00A61EE8">
        <w:trPr>
          <w:jc w:val="center"/>
        </w:trPr>
        <w:tc>
          <w:tcPr>
            <w:tcW w:w="2269" w:type="dxa"/>
            <w:vMerge/>
          </w:tcPr>
          <w:p w14:paraId="47E4B80B" w14:textId="77777777" w:rsidR="00313EC6" w:rsidRPr="00313EC6" w:rsidRDefault="00313EC6" w:rsidP="00A61EE8">
            <w:pPr>
              <w:keepNext/>
              <w:keepLines/>
              <w:spacing w:before="20" w:after="20"/>
              <w:rPr>
                <w:b/>
                <w:sz w:val="18"/>
                <w:szCs w:val="20"/>
              </w:rPr>
            </w:pPr>
          </w:p>
        </w:tc>
        <w:tc>
          <w:tcPr>
            <w:tcW w:w="2552" w:type="dxa"/>
            <w:gridSpan w:val="3"/>
            <w:tcBorders>
              <w:top w:val="single" w:sz="4" w:space="0" w:color="auto"/>
              <w:bottom w:val="single" w:sz="4" w:space="0" w:color="auto"/>
            </w:tcBorders>
            <w:vAlign w:val="bottom"/>
          </w:tcPr>
          <w:p w14:paraId="2C755AC2" w14:textId="77777777" w:rsidR="00313EC6" w:rsidRPr="00313EC6" w:rsidRDefault="00313EC6" w:rsidP="00A61EE8">
            <w:pPr>
              <w:keepNext/>
              <w:keepLines/>
              <w:spacing w:before="20" w:after="20"/>
              <w:jc w:val="center"/>
              <w:rPr>
                <w:b/>
                <w:sz w:val="18"/>
                <w:szCs w:val="20"/>
              </w:rPr>
            </w:pPr>
            <w:r w:rsidRPr="00313EC6">
              <w:rPr>
                <w:b/>
                <w:sz w:val="18"/>
                <w:szCs w:val="20"/>
              </w:rPr>
              <w:t>Non-gambler</w:t>
            </w:r>
          </w:p>
        </w:tc>
        <w:tc>
          <w:tcPr>
            <w:tcW w:w="2410" w:type="dxa"/>
            <w:gridSpan w:val="3"/>
            <w:tcBorders>
              <w:top w:val="single" w:sz="4" w:space="0" w:color="auto"/>
              <w:bottom w:val="single" w:sz="4" w:space="0" w:color="auto"/>
            </w:tcBorders>
            <w:vAlign w:val="bottom"/>
          </w:tcPr>
          <w:p w14:paraId="2D27995F" w14:textId="77777777" w:rsidR="00313EC6" w:rsidRPr="00313EC6" w:rsidRDefault="00313EC6" w:rsidP="00A61EE8">
            <w:pPr>
              <w:keepNext/>
              <w:keepLines/>
              <w:spacing w:before="20" w:after="20"/>
              <w:jc w:val="center"/>
              <w:rPr>
                <w:b/>
                <w:sz w:val="18"/>
                <w:szCs w:val="20"/>
              </w:rPr>
            </w:pPr>
            <w:r w:rsidRPr="00313EC6">
              <w:rPr>
                <w:b/>
                <w:sz w:val="18"/>
                <w:szCs w:val="20"/>
              </w:rPr>
              <w:t>Non-problem gambler</w:t>
            </w:r>
          </w:p>
        </w:tc>
        <w:tc>
          <w:tcPr>
            <w:tcW w:w="2269" w:type="dxa"/>
            <w:gridSpan w:val="3"/>
            <w:tcBorders>
              <w:top w:val="single" w:sz="4" w:space="0" w:color="auto"/>
              <w:bottom w:val="single" w:sz="4" w:space="0" w:color="auto"/>
            </w:tcBorders>
            <w:vAlign w:val="bottom"/>
          </w:tcPr>
          <w:p w14:paraId="6333A3A2" w14:textId="77777777" w:rsidR="00313EC6" w:rsidRPr="00313EC6" w:rsidRDefault="00313EC6" w:rsidP="00A61EE8">
            <w:pPr>
              <w:keepNext/>
              <w:keepLines/>
              <w:spacing w:before="20" w:after="20"/>
              <w:jc w:val="center"/>
              <w:rPr>
                <w:b/>
                <w:sz w:val="18"/>
                <w:szCs w:val="20"/>
              </w:rPr>
            </w:pPr>
            <w:r w:rsidRPr="00313EC6">
              <w:rPr>
                <w:b/>
                <w:sz w:val="18"/>
                <w:szCs w:val="20"/>
              </w:rPr>
              <w:t>Low-risk gambler</w:t>
            </w:r>
          </w:p>
        </w:tc>
        <w:tc>
          <w:tcPr>
            <w:tcW w:w="2272" w:type="dxa"/>
            <w:gridSpan w:val="3"/>
            <w:tcBorders>
              <w:top w:val="single" w:sz="4" w:space="0" w:color="auto"/>
              <w:bottom w:val="single" w:sz="4" w:space="0" w:color="auto"/>
            </w:tcBorders>
            <w:vAlign w:val="bottom"/>
          </w:tcPr>
          <w:p w14:paraId="4F195AB0" w14:textId="77777777" w:rsidR="00313EC6" w:rsidRPr="00313EC6" w:rsidRDefault="00313EC6" w:rsidP="00A61EE8">
            <w:pPr>
              <w:keepNext/>
              <w:keepLines/>
              <w:spacing w:before="20" w:after="20"/>
              <w:jc w:val="center"/>
              <w:rPr>
                <w:b/>
                <w:sz w:val="18"/>
                <w:szCs w:val="20"/>
              </w:rPr>
            </w:pPr>
            <w:r w:rsidRPr="00313EC6">
              <w:rPr>
                <w:b/>
                <w:sz w:val="18"/>
                <w:szCs w:val="20"/>
              </w:rPr>
              <w:t>Moderate-risk gambler</w:t>
            </w:r>
          </w:p>
        </w:tc>
        <w:tc>
          <w:tcPr>
            <w:tcW w:w="2274" w:type="dxa"/>
            <w:gridSpan w:val="3"/>
            <w:tcBorders>
              <w:top w:val="single" w:sz="4" w:space="0" w:color="auto"/>
              <w:bottom w:val="single" w:sz="4" w:space="0" w:color="auto"/>
            </w:tcBorders>
            <w:vAlign w:val="bottom"/>
          </w:tcPr>
          <w:p w14:paraId="1AB8EDCD" w14:textId="77777777" w:rsidR="00313EC6" w:rsidRPr="00313EC6" w:rsidRDefault="00313EC6" w:rsidP="00A61EE8">
            <w:pPr>
              <w:keepNext/>
              <w:keepLines/>
              <w:spacing w:before="20" w:after="20"/>
              <w:jc w:val="center"/>
              <w:rPr>
                <w:b/>
                <w:sz w:val="18"/>
                <w:szCs w:val="20"/>
              </w:rPr>
            </w:pPr>
            <w:r w:rsidRPr="00313EC6">
              <w:rPr>
                <w:b/>
                <w:sz w:val="18"/>
                <w:szCs w:val="20"/>
              </w:rPr>
              <w:t>Problem gambler</w:t>
            </w:r>
          </w:p>
        </w:tc>
      </w:tr>
      <w:tr w:rsidR="00313EC6" w:rsidRPr="00313EC6" w14:paraId="5BD1A45A" w14:textId="77777777" w:rsidTr="00313EC6">
        <w:trPr>
          <w:jc w:val="center"/>
        </w:trPr>
        <w:tc>
          <w:tcPr>
            <w:tcW w:w="2269" w:type="dxa"/>
            <w:vMerge/>
            <w:tcBorders>
              <w:bottom w:val="single" w:sz="4" w:space="0" w:color="auto"/>
            </w:tcBorders>
            <w:vAlign w:val="center"/>
          </w:tcPr>
          <w:p w14:paraId="44FDC22B" w14:textId="77777777" w:rsidR="00313EC6" w:rsidRPr="00313EC6" w:rsidRDefault="00313EC6" w:rsidP="00A61EE8">
            <w:pPr>
              <w:keepNext/>
              <w:keepLines/>
              <w:spacing w:before="20" w:after="20"/>
              <w:rPr>
                <w:b/>
                <w:sz w:val="18"/>
                <w:szCs w:val="20"/>
              </w:rPr>
            </w:pPr>
          </w:p>
        </w:tc>
        <w:tc>
          <w:tcPr>
            <w:tcW w:w="709" w:type="dxa"/>
            <w:tcBorders>
              <w:top w:val="single" w:sz="4" w:space="0" w:color="auto"/>
              <w:bottom w:val="single" w:sz="4" w:space="0" w:color="auto"/>
            </w:tcBorders>
          </w:tcPr>
          <w:p w14:paraId="560EC3F6" w14:textId="77777777" w:rsidR="00313EC6" w:rsidRPr="00313EC6" w:rsidRDefault="00313EC6" w:rsidP="00A61EE8">
            <w:pPr>
              <w:keepNext/>
              <w:keepLines/>
              <w:spacing w:before="20" w:after="20"/>
              <w:jc w:val="right"/>
              <w:rPr>
                <w:b/>
                <w:sz w:val="18"/>
                <w:szCs w:val="20"/>
              </w:rPr>
            </w:pPr>
            <w:r w:rsidRPr="00313EC6">
              <w:rPr>
                <w:b/>
                <w:sz w:val="18"/>
                <w:szCs w:val="20"/>
              </w:rPr>
              <w:t>n</w:t>
            </w:r>
          </w:p>
        </w:tc>
        <w:tc>
          <w:tcPr>
            <w:tcW w:w="567" w:type="dxa"/>
            <w:tcBorders>
              <w:top w:val="single" w:sz="4" w:space="0" w:color="auto"/>
              <w:bottom w:val="single" w:sz="4" w:space="0" w:color="auto"/>
            </w:tcBorders>
          </w:tcPr>
          <w:p w14:paraId="0F809421" w14:textId="77777777" w:rsidR="00313EC6" w:rsidRPr="00313EC6" w:rsidRDefault="00313EC6" w:rsidP="00A61EE8">
            <w:pPr>
              <w:keepNext/>
              <w:keepLines/>
              <w:spacing w:before="20" w:after="20"/>
              <w:jc w:val="right"/>
              <w:rPr>
                <w:b/>
                <w:sz w:val="18"/>
                <w:szCs w:val="20"/>
              </w:rPr>
            </w:pPr>
            <w:r w:rsidRPr="00313EC6">
              <w:rPr>
                <w:b/>
                <w:sz w:val="18"/>
                <w:szCs w:val="20"/>
              </w:rPr>
              <w:t>%</w:t>
            </w:r>
          </w:p>
        </w:tc>
        <w:tc>
          <w:tcPr>
            <w:tcW w:w="1276" w:type="dxa"/>
            <w:tcBorders>
              <w:top w:val="single" w:sz="4" w:space="0" w:color="auto"/>
              <w:bottom w:val="single" w:sz="4" w:space="0" w:color="auto"/>
            </w:tcBorders>
          </w:tcPr>
          <w:p w14:paraId="52BF6EB5" w14:textId="77777777" w:rsidR="00313EC6" w:rsidRPr="00313EC6" w:rsidRDefault="00313EC6" w:rsidP="00A61EE8">
            <w:pPr>
              <w:keepNext/>
              <w:keepLines/>
              <w:spacing w:before="20" w:after="20"/>
              <w:jc w:val="right"/>
              <w:rPr>
                <w:b/>
                <w:sz w:val="18"/>
                <w:szCs w:val="20"/>
              </w:rPr>
            </w:pPr>
            <w:r w:rsidRPr="00313EC6">
              <w:rPr>
                <w:b/>
                <w:sz w:val="18"/>
                <w:szCs w:val="20"/>
              </w:rPr>
              <w:t>(95% CI)</w:t>
            </w:r>
          </w:p>
        </w:tc>
        <w:tc>
          <w:tcPr>
            <w:tcW w:w="709" w:type="dxa"/>
            <w:tcBorders>
              <w:top w:val="single" w:sz="4" w:space="0" w:color="auto"/>
              <w:bottom w:val="single" w:sz="4" w:space="0" w:color="auto"/>
            </w:tcBorders>
          </w:tcPr>
          <w:p w14:paraId="150702DA" w14:textId="77777777" w:rsidR="00313EC6" w:rsidRPr="00313EC6" w:rsidRDefault="00313EC6" w:rsidP="00A61EE8">
            <w:pPr>
              <w:keepNext/>
              <w:keepLines/>
              <w:spacing w:before="20" w:after="20"/>
              <w:jc w:val="right"/>
              <w:rPr>
                <w:b/>
                <w:sz w:val="18"/>
                <w:szCs w:val="20"/>
              </w:rPr>
            </w:pPr>
            <w:r w:rsidRPr="00313EC6">
              <w:rPr>
                <w:b/>
                <w:sz w:val="18"/>
                <w:szCs w:val="20"/>
              </w:rPr>
              <w:t>n</w:t>
            </w:r>
          </w:p>
        </w:tc>
        <w:tc>
          <w:tcPr>
            <w:tcW w:w="567" w:type="dxa"/>
            <w:tcBorders>
              <w:top w:val="single" w:sz="4" w:space="0" w:color="auto"/>
              <w:bottom w:val="single" w:sz="4" w:space="0" w:color="auto"/>
            </w:tcBorders>
          </w:tcPr>
          <w:p w14:paraId="49052AA7" w14:textId="77777777" w:rsidR="00313EC6" w:rsidRPr="00313EC6" w:rsidRDefault="00313EC6" w:rsidP="00A61EE8">
            <w:pPr>
              <w:keepNext/>
              <w:keepLines/>
              <w:spacing w:before="20" w:after="20"/>
              <w:jc w:val="right"/>
              <w:rPr>
                <w:b/>
                <w:sz w:val="18"/>
                <w:szCs w:val="20"/>
              </w:rPr>
            </w:pPr>
            <w:r w:rsidRPr="00313EC6">
              <w:rPr>
                <w:b/>
                <w:sz w:val="18"/>
                <w:szCs w:val="20"/>
              </w:rPr>
              <w:t>%</w:t>
            </w:r>
          </w:p>
        </w:tc>
        <w:tc>
          <w:tcPr>
            <w:tcW w:w="1134" w:type="dxa"/>
            <w:tcBorders>
              <w:top w:val="single" w:sz="4" w:space="0" w:color="auto"/>
              <w:bottom w:val="single" w:sz="4" w:space="0" w:color="auto"/>
            </w:tcBorders>
          </w:tcPr>
          <w:p w14:paraId="6642311E" w14:textId="77777777" w:rsidR="00313EC6" w:rsidRPr="00313EC6" w:rsidRDefault="00313EC6" w:rsidP="00A61EE8">
            <w:pPr>
              <w:keepNext/>
              <w:keepLines/>
              <w:spacing w:before="20" w:after="20"/>
              <w:jc w:val="right"/>
              <w:rPr>
                <w:b/>
                <w:sz w:val="18"/>
                <w:szCs w:val="20"/>
              </w:rPr>
            </w:pPr>
            <w:r w:rsidRPr="00313EC6">
              <w:rPr>
                <w:b/>
                <w:sz w:val="18"/>
                <w:szCs w:val="20"/>
              </w:rPr>
              <w:t>(95% CI)</w:t>
            </w:r>
          </w:p>
        </w:tc>
        <w:tc>
          <w:tcPr>
            <w:tcW w:w="567" w:type="dxa"/>
            <w:tcBorders>
              <w:top w:val="single" w:sz="4" w:space="0" w:color="auto"/>
              <w:bottom w:val="single" w:sz="4" w:space="0" w:color="auto"/>
            </w:tcBorders>
          </w:tcPr>
          <w:p w14:paraId="14632DAF" w14:textId="77777777" w:rsidR="00313EC6" w:rsidRPr="00313EC6" w:rsidRDefault="00313EC6" w:rsidP="00A61EE8">
            <w:pPr>
              <w:keepNext/>
              <w:keepLines/>
              <w:spacing w:before="20" w:after="20"/>
              <w:jc w:val="right"/>
              <w:rPr>
                <w:b/>
                <w:sz w:val="18"/>
                <w:szCs w:val="20"/>
              </w:rPr>
            </w:pPr>
            <w:r w:rsidRPr="00313EC6">
              <w:rPr>
                <w:b/>
                <w:sz w:val="18"/>
                <w:szCs w:val="20"/>
              </w:rPr>
              <w:t>n</w:t>
            </w:r>
          </w:p>
        </w:tc>
        <w:tc>
          <w:tcPr>
            <w:tcW w:w="567" w:type="dxa"/>
            <w:tcBorders>
              <w:top w:val="single" w:sz="4" w:space="0" w:color="auto"/>
              <w:bottom w:val="single" w:sz="4" w:space="0" w:color="auto"/>
            </w:tcBorders>
          </w:tcPr>
          <w:p w14:paraId="3BDC47A0" w14:textId="77777777" w:rsidR="00313EC6" w:rsidRPr="00313EC6" w:rsidRDefault="00313EC6" w:rsidP="00A61EE8">
            <w:pPr>
              <w:keepNext/>
              <w:keepLines/>
              <w:spacing w:before="20" w:after="20"/>
              <w:jc w:val="right"/>
              <w:rPr>
                <w:b/>
                <w:sz w:val="18"/>
                <w:szCs w:val="20"/>
              </w:rPr>
            </w:pPr>
            <w:r w:rsidRPr="00313EC6">
              <w:rPr>
                <w:b/>
                <w:sz w:val="18"/>
                <w:szCs w:val="20"/>
              </w:rPr>
              <w:t>%</w:t>
            </w:r>
          </w:p>
        </w:tc>
        <w:tc>
          <w:tcPr>
            <w:tcW w:w="1135" w:type="dxa"/>
            <w:tcBorders>
              <w:top w:val="single" w:sz="4" w:space="0" w:color="auto"/>
              <w:bottom w:val="single" w:sz="4" w:space="0" w:color="auto"/>
            </w:tcBorders>
          </w:tcPr>
          <w:p w14:paraId="0CB48FAF" w14:textId="77777777" w:rsidR="00313EC6" w:rsidRPr="00313EC6" w:rsidRDefault="00313EC6" w:rsidP="00A61EE8">
            <w:pPr>
              <w:keepNext/>
              <w:keepLines/>
              <w:spacing w:before="20" w:after="20"/>
              <w:jc w:val="right"/>
              <w:rPr>
                <w:b/>
                <w:sz w:val="18"/>
                <w:szCs w:val="20"/>
              </w:rPr>
            </w:pPr>
            <w:r w:rsidRPr="00313EC6">
              <w:rPr>
                <w:b/>
                <w:sz w:val="18"/>
                <w:szCs w:val="20"/>
              </w:rPr>
              <w:t>(95% CI)</w:t>
            </w:r>
          </w:p>
        </w:tc>
        <w:tc>
          <w:tcPr>
            <w:tcW w:w="567" w:type="dxa"/>
            <w:tcBorders>
              <w:top w:val="single" w:sz="4" w:space="0" w:color="auto"/>
              <w:bottom w:val="single" w:sz="4" w:space="0" w:color="auto"/>
            </w:tcBorders>
          </w:tcPr>
          <w:p w14:paraId="05F8D5CA" w14:textId="77777777" w:rsidR="00313EC6" w:rsidRPr="00313EC6" w:rsidRDefault="00313EC6" w:rsidP="00A61EE8">
            <w:pPr>
              <w:keepNext/>
              <w:keepLines/>
              <w:spacing w:before="20" w:after="20"/>
              <w:jc w:val="right"/>
              <w:rPr>
                <w:b/>
                <w:sz w:val="18"/>
                <w:szCs w:val="20"/>
              </w:rPr>
            </w:pPr>
            <w:r w:rsidRPr="00313EC6">
              <w:rPr>
                <w:b/>
                <w:sz w:val="18"/>
                <w:szCs w:val="20"/>
              </w:rPr>
              <w:t>n</w:t>
            </w:r>
          </w:p>
        </w:tc>
        <w:tc>
          <w:tcPr>
            <w:tcW w:w="568" w:type="dxa"/>
            <w:tcBorders>
              <w:top w:val="single" w:sz="4" w:space="0" w:color="auto"/>
              <w:bottom w:val="single" w:sz="4" w:space="0" w:color="auto"/>
            </w:tcBorders>
          </w:tcPr>
          <w:p w14:paraId="362E561D" w14:textId="77777777" w:rsidR="00313EC6" w:rsidRPr="00313EC6" w:rsidRDefault="00313EC6" w:rsidP="00A61EE8">
            <w:pPr>
              <w:keepNext/>
              <w:keepLines/>
              <w:spacing w:before="20" w:after="20"/>
              <w:jc w:val="right"/>
              <w:rPr>
                <w:b/>
                <w:sz w:val="18"/>
                <w:szCs w:val="20"/>
              </w:rPr>
            </w:pPr>
            <w:r w:rsidRPr="00313EC6">
              <w:rPr>
                <w:b/>
                <w:sz w:val="18"/>
                <w:szCs w:val="20"/>
              </w:rPr>
              <w:t>%</w:t>
            </w:r>
          </w:p>
        </w:tc>
        <w:tc>
          <w:tcPr>
            <w:tcW w:w="1137" w:type="dxa"/>
            <w:tcBorders>
              <w:top w:val="single" w:sz="4" w:space="0" w:color="auto"/>
              <w:bottom w:val="single" w:sz="4" w:space="0" w:color="auto"/>
            </w:tcBorders>
          </w:tcPr>
          <w:p w14:paraId="2AAA6510" w14:textId="77777777" w:rsidR="00313EC6" w:rsidRPr="00313EC6" w:rsidRDefault="00313EC6" w:rsidP="00A61EE8">
            <w:pPr>
              <w:keepNext/>
              <w:keepLines/>
              <w:spacing w:before="20" w:after="20"/>
              <w:jc w:val="right"/>
              <w:rPr>
                <w:b/>
                <w:sz w:val="18"/>
                <w:szCs w:val="20"/>
              </w:rPr>
            </w:pPr>
            <w:r w:rsidRPr="00313EC6">
              <w:rPr>
                <w:b/>
                <w:sz w:val="18"/>
                <w:szCs w:val="20"/>
              </w:rPr>
              <w:t>(95% CI)</w:t>
            </w:r>
          </w:p>
        </w:tc>
        <w:tc>
          <w:tcPr>
            <w:tcW w:w="567" w:type="dxa"/>
            <w:tcBorders>
              <w:top w:val="single" w:sz="4" w:space="0" w:color="auto"/>
              <w:bottom w:val="single" w:sz="4" w:space="0" w:color="auto"/>
            </w:tcBorders>
          </w:tcPr>
          <w:p w14:paraId="65F3D813" w14:textId="77777777" w:rsidR="00313EC6" w:rsidRPr="00313EC6" w:rsidRDefault="00313EC6" w:rsidP="00A61EE8">
            <w:pPr>
              <w:keepNext/>
              <w:keepLines/>
              <w:spacing w:before="20" w:after="20"/>
              <w:jc w:val="right"/>
              <w:rPr>
                <w:b/>
                <w:sz w:val="18"/>
                <w:szCs w:val="20"/>
              </w:rPr>
            </w:pPr>
            <w:r w:rsidRPr="00313EC6">
              <w:rPr>
                <w:b/>
                <w:sz w:val="18"/>
                <w:szCs w:val="20"/>
              </w:rPr>
              <w:t>n</w:t>
            </w:r>
          </w:p>
        </w:tc>
        <w:tc>
          <w:tcPr>
            <w:tcW w:w="570" w:type="dxa"/>
            <w:tcBorders>
              <w:top w:val="single" w:sz="4" w:space="0" w:color="auto"/>
              <w:bottom w:val="single" w:sz="4" w:space="0" w:color="auto"/>
            </w:tcBorders>
          </w:tcPr>
          <w:p w14:paraId="56B532C2" w14:textId="77777777" w:rsidR="00313EC6" w:rsidRPr="00313EC6" w:rsidRDefault="00313EC6" w:rsidP="00A61EE8">
            <w:pPr>
              <w:keepNext/>
              <w:keepLines/>
              <w:spacing w:before="20" w:after="20"/>
              <w:jc w:val="right"/>
              <w:rPr>
                <w:b/>
                <w:sz w:val="18"/>
                <w:szCs w:val="20"/>
              </w:rPr>
            </w:pPr>
            <w:r w:rsidRPr="00313EC6">
              <w:rPr>
                <w:b/>
                <w:sz w:val="18"/>
                <w:szCs w:val="20"/>
              </w:rPr>
              <w:t>%</w:t>
            </w:r>
          </w:p>
        </w:tc>
        <w:tc>
          <w:tcPr>
            <w:tcW w:w="1137" w:type="dxa"/>
            <w:tcBorders>
              <w:top w:val="single" w:sz="4" w:space="0" w:color="auto"/>
              <w:bottom w:val="single" w:sz="4" w:space="0" w:color="auto"/>
            </w:tcBorders>
          </w:tcPr>
          <w:p w14:paraId="00691EDD" w14:textId="77777777" w:rsidR="00313EC6" w:rsidRPr="00313EC6" w:rsidRDefault="00313EC6" w:rsidP="00A61EE8">
            <w:pPr>
              <w:keepNext/>
              <w:keepLines/>
              <w:spacing w:before="20" w:after="20"/>
              <w:jc w:val="right"/>
              <w:rPr>
                <w:b/>
                <w:sz w:val="18"/>
                <w:szCs w:val="20"/>
              </w:rPr>
            </w:pPr>
            <w:r w:rsidRPr="00313EC6">
              <w:rPr>
                <w:b/>
                <w:sz w:val="18"/>
                <w:szCs w:val="20"/>
              </w:rPr>
              <w:t>(95% CI)</w:t>
            </w:r>
          </w:p>
        </w:tc>
      </w:tr>
      <w:tr w:rsidR="00313EC6" w:rsidRPr="00313EC6" w14:paraId="67CD9645" w14:textId="77777777" w:rsidTr="00313EC6">
        <w:trPr>
          <w:jc w:val="center"/>
        </w:trPr>
        <w:tc>
          <w:tcPr>
            <w:tcW w:w="3545" w:type="dxa"/>
            <w:gridSpan w:val="3"/>
            <w:tcBorders>
              <w:top w:val="single" w:sz="4" w:space="0" w:color="auto"/>
            </w:tcBorders>
            <w:shd w:val="clear" w:color="auto" w:fill="auto"/>
            <w:vAlign w:val="center"/>
          </w:tcPr>
          <w:p w14:paraId="149B0703" w14:textId="77777777" w:rsidR="00313EC6" w:rsidRPr="00313EC6" w:rsidRDefault="00313EC6" w:rsidP="00A61EE8">
            <w:pPr>
              <w:keepNext/>
              <w:keepLines/>
              <w:spacing w:before="20" w:after="20"/>
              <w:rPr>
                <w:b/>
                <w:color w:val="000000"/>
                <w:sz w:val="18"/>
                <w:szCs w:val="20"/>
              </w:rPr>
            </w:pPr>
            <w:r w:rsidRPr="00313EC6">
              <w:rPr>
                <w:b/>
                <w:color w:val="000000"/>
                <w:sz w:val="18"/>
                <w:szCs w:val="20"/>
              </w:rPr>
              <w:t>Wave 1 to Wave 2</w:t>
            </w:r>
          </w:p>
        </w:tc>
        <w:tc>
          <w:tcPr>
            <w:tcW w:w="1276" w:type="dxa"/>
            <w:tcBorders>
              <w:top w:val="single" w:sz="4" w:space="0" w:color="auto"/>
            </w:tcBorders>
          </w:tcPr>
          <w:p w14:paraId="1A68B8B0" w14:textId="77777777" w:rsidR="00313EC6" w:rsidRPr="00313EC6" w:rsidRDefault="00313EC6" w:rsidP="00A61EE8">
            <w:pPr>
              <w:keepNext/>
              <w:keepLines/>
              <w:spacing w:before="20" w:after="20"/>
              <w:jc w:val="right"/>
              <w:rPr>
                <w:color w:val="000000"/>
                <w:sz w:val="18"/>
                <w:szCs w:val="20"/>
              </w:rPr>
            </w:pPr>
          </w:p>
        </w:tc>
        <w:tc>
          <w:tcPr>
            <w:tcW w:w="709" w:type="dxa"/>
            <w:tcBorders>
              <w:top w:val="single" w:sz="4" w:space="0" w:color="auto"/>
            </w:tcBorders>
            <w:shd w:val="clear" w:color="auto" w:fill="auto"/>
            <w:vAlign w:val="center"/>
          </w:tcPr>
          <w:p w14:paraId="3E81ED10" w14:textId="77777777" w:rsidR="00313EC6" w:rsidRPr="00313EC6" w:rsidRDefault="00313EC6" w:rsidP="00A61EE8">
            <w:pPr>
              <w:keepNext/>
              <w:keepLines/>
              <w:spacing w:before="20" w:after="20"/>
              <w:jc w:val="right"/>
              <w:rPr>
                <w:color w:val="000000"/>
                <w:sz w:val="18"/>
                <w:szCs w:val="20"/>
              </w:rPr>
            </w:pPr>
          </w:p>
        </w:tc>
        <w:tc>
          <w:tcPr>
            <w:tcW w:w="567" w:type="dxa"/>
            <w:tcBorders>
              <w:top w:val="single" w:sz="4" w:space="0" w:color="auto"/>
            </w:tcBorders>
            <w:shd w:val="clear" w:color="auto" w:fill="auto"/>
            <w:vAlign w:val="center"/>
          </w:tcPr>
          <w:p w14:paraId="19705056" w14:textId="77777777" w:rsidR="00313EC6" w:rsidRPr="00313EC6" w:rsidRDefault="00313EC6" w:rsidP="00A61EE8">
            <w:pPr>
              <w:keepNext/>
              <w:keepLines/>
              <w:spacing w:before="20" w:after="20"/>
              <w:jc w:val="right"/>
              <w:rPr>
                <w:color w:val="000000"/>
                <w:sz w:val="18"/>
                <w:szCs w:val="20"/>
              </w:rPr>
            </w:pPr>
          </w:p>
        </w:tc>
        <w:tc>
          <w:tcPr>
            <w:tcW w:w="1134" w:type="dxa"/>
            <w:tcBorders>
              <w:top w:val="single" w:sz="4" w:space="0" w:color="auto"/>
            </w:tcBorders>
          </w:tcPr>
          <w:p w14:paraId="04C6BEB3" w14:textId="77777777" w:rsidR="00313EC6" w:rsidRPr="00313EC6" w:rsidRDefault="00313EC6" w:rsidP="00A61EE8">
            <w:pPr>
              <w:keepNext/>
              <w:keepLines/>
              <w:spacing w:before="20" w:after="20"/>
              <w:jc w:val="right"/>
              <w:rPr>
                <w:color w:val="000000"/>
                <w:sz w:val="18"/>
                <w:szCs w:val="20"/>
              </w:rPr>
            </w:pPr>
          </w:p>
        </w:tc>
        <w:tc>
          <w:tcPr>
            <w:tcW w:w="567" w:type="dxa"/>
            <w:tcBorders>
              <w:top w:val="single" w:sz="4" w:space="0" w:color="auto"/>
            </w:tcBorders>
            <w:shd w:val="clear" w:color="auto" w:fill="auto"/>
            <w:vAlign w:val="center"/>
          </w:tcPr>
          <w:p w14:paraId="578E8921" w14:textId="77777777" w:rsidR="00313EC6" w:rsidRPr="00313EC6" w:rsidRDefault="00313EC6" w:rsidP="00A61EE8">
            <w:pPr>
              <w:keepNext/>
              <w:keepLines/>
              <w:spacing w:before="20" w:after="20"/>
              <w:jc w:val="right"/>
              <w:rPr>
                <w:color w:val="000000"/>
                <w:sz w:val="18"/>
                <w:szCs w:val="20"/>
              </w:rPr>
            </w:pPr>
          </w:p>
        </w:tc>
        <w:tc>
          <w:tcPr>
            <w:tcW w:w="567" w:type="dxa"/>
            <w:tcBorders>
              <w:top w:val="single" w:sz="4" w:space="0" w:color="auto"/>
            </w:tcBorders>
            <w:shd w:val="clear" w:color="auto" w:fill="auto"/>
            <w:vAlign w:val="center"/>
          </w:tcPr>
          <w:p w14:paraId="122FA85C" w14:textId="77777777" w:rsidR="00313EC6" w:rsidRPr="00313EC6" w:rsidRDefault="00313EC6" w:rsidP="00A61EE8">
            <w:pPr>
              <w:keepNext/>
              <w:keepLines/>
              <w:spacing w:before="20" w:after="20"/>
              <w:jc w:val="right"/>
              <w:rPr>
                <w:color w:val="000000"/>
                <w:sz w:val="18"/>
                <w:szCs w:val="20"/>
              </w:rPr>
            </w:pPr>
          </w:p>
        </w:tc>
        <w:tc>
          <w:tcPr>
            <w:tcW w:w="1135" w:type="dxa"/>
            <w:tcBorders>
              <w:top w:val="single" w:sz="4" w:space="0" w:color="auto"/>
            </w:tcBorders>
          </w:tcPr>
          <w:p w14:paraId="495A7E14" w14:textId="77777777" w:rsidR="00313EC6" w:rsidRPr="00313EC6" w:rsidRDefault="00313EC6" w:rsidP="00A61EE8">
            <w:pPr>
              <w:keepNext/>
              <w:keepLines/>
              <w:spacing w:before="20" w:after="20"/>
              <w:jc w:val="right"/>
              <w:rPr>
                <w:color w:val="000000"/>
                <w:sz w:val="18"/>
                <w:szCs w:val="20"/>
              </w:rPr>
            </w:pPr>
          </w:p>
        </w:tc>
        <w:tc>
          <w:tcPr>
            <w:tcW w:w="567" w:type="dxa"/>
            <w:tcBorders>
              <w:top w:val="single" w:sz="4" w:space="0" w:color="auto"/>
            </w:tcBorders>
            <w:shd w:val="clear" w:color="auto" w:fill="auto"/>
            <w:vAlign w:val="center"/>
          </w:tcPr>
          <w:p w14:paraId="2FA3A8FF" w14:textId="77777777" w:rsidR="00313EC6" w:rsidRPr="00313EC6" w:rsidRDefault="00313EC6" w:rsidP="00A61EE8">
            <w:pPr>
              <w:keepNext/>
              <w:keepLines/>
              <w:spacing w:before="20" w:after="20"/>
              <w:jc w:val="right"/>
              <w:rPr>
                <w:color w:val="000000"/>
                <w:sz w:val="18"/>
                <w:szCs w:val="20"/>
              </w:rPr>
            </w:pPr>
          </w:p>
        </w:tc>
        <w:tc>
          <w:tcPr>
            <w:tcW w:w="568" w:type="dxa"/>
            <w:tcBorders>
              <w:top w:val="single" w:sz="4" w:space="0" w:color="auto"/>
            </w:tcBorders>
            <w:shd w:val="clear" w:color="auto" w:fill="auto"/>
            <w:vAlign w:val="center"/>
          </w:tcPr>
          <w:p w14:paraId="34970F69" w14:textId="77777777" w:rsidR="00313EC6" w:rsidRPr="00313EC6" w:rsidRDefault="00313EC6" w:rsidP="00A61EE8">
            <w:pPr>
              <w:keepNext/>
              <w:keepLines/>
              <w:spacing w:before="20" w:after="20"/>
              <w:jc w:val="right"/>
              <w:rPr>
                <w:color w:val="000000"/>
                <w:sz w:val="18"/>
                <w:szCs w:val="20"/>
              </w:rPr>
            </w:pPr>
          </w:p>
        </w:tc>
        <w:tc>
          <w:tcPr>
            <w:tcW w:w="1137" w:type="dxa"/>
            <w:tcBorders>
              <w:top w:val="single" w:sz="4" w:space="0" w:color="auto"/>
            </w:tcBorders>
          </w:tcPr>
          <w:p w14:paraId="223701A5" w14:textId="77777777" w:rsidR="00313EC6" w:rsidRPr="00313EC6" w:rsidRDefault="00313EC6" w:rsidP="00A61EE8">
            <w:pPr>
              <w:keepNext/>
              <w:keepLines/>
              <w:spacing w:before="20" w:after="20"/>
              <w:jc w:val="right"/>
              <w:rPr>
                <w:color w:val="000000"/>
                <w:sz w:val="18"/>
                <w:szCs w:val="20"/>
              </w:rPr>
            </w:pPr>
          </w:p>
        </w:tc>
        <w:tc>
          <w:tcPr>
            <w:tcW w:w="567" w:type="dxa"/>
            <w:tcBorders>
              <w:top w:val="single" w:sz="4" w:space="0" w:color="auto"/>
            </w:tcBorders>
            <w:shd w:val="clear" w:color="auto" w:fill="auto"/>
            <w:vAlign w:val="center"/>
          </w:tcPr>
          <w:p w14:paraId="3346C9E5" w14:textId="77777777" w:rsidR="00313EC6" w:rsidRPr="00313EC6" w:rsidRDefault="00313EC6" w:rsidP="00A61EE8">
            <w:pPr>
              <w:keepNext/>
              <w:keepLines/>
              <w:spacing w:before="20" w:after="20"/>
              <w:jc w:val="right"/>
              <w:rPr>
                <w:color w:val="000000"/>
                <w:sz w:val="18"/>
                <w:szCs w:val="20"/>
              </w:rPr>
            </w:pPr>
          </w:p>
        </w:tc>
        <w:tc>
          <w:tcPr>
            <w:tcW w:w="570" w:type="dxa"/>
            <w:tcBorders>
              <w:top w:val="single" w:sz="4" w:space="0" w:color="auto"/>
            </w:tcBorders>
            <w:shd w:val="clear" w:color="auto" w:fill="auto"/>
            <w:vAlign w:val="center"/>
          </w:tcPr>
          <w:p w14:paraId="3DBC1D73" w14:textId="77777777" w:rsidR="00313EC6" w:rsidRPr="00313EC6" w:rsidRDefault="00313EC6" w:rsidP="00A61EE8">
            <w:pPr>
              <w:keepNext/>
              <w:keepLines/>
              <w:spacing w:before="20" w:after="20"/>
              <w:jc w:val="right"/>
              <w:rPr>
                <w:color w:val="000000"/>
                <w:sz w:val="18"/>
                <w:szCs w:val="20"/>
              </w:rPr>
            </w:pPr>
          </w:p>
        </w:tc>
        <w:tc>
          <w:tcPr>
            <w:tcW w:w="1137" w:type="dxa"/>
            <w:tcBorders>
              <w:top w:val="single" w:sz="4" w:space="0" w:color="auto"/>
            </w:tcBorders>
          </w:tcPr>
          <w:p w14:paraId="74C294A6" w14:textId="77777777" w:rsidR="00313EC6" w:rsidRPr="00313EC6" w:rsidRDefault="00313EC6" w:rsidP="00A61EE8">
            <w:pPr>
              <w:keepNext/>
              <w:keepLines/>
              <w:spacing w:before="20" w:after="20"/>
              <w:jc w:val="right"/>
              <w:rPr>
                <w:color w:val="000000"/>
                <w:sz w:val="18"/>
                <w:szCs w:val="20"/>
              </w:rPr>
            </w:pPr>
          </w:p>
        </w:tc>
      </w:tr>
      <w:tr w:rsidR="00313EC6" w:rsidRPr="00313EC6" w14:paraId="2C0377FC" w14:textId="77777777" w:rsidTr="00313EC6">
        <w:trPr>
          <w:jc w:val="center"/>
        </w:trPr>
        <w:tc>
          <w:tcPr>
            <w:tcW w:w="2269" w:type="dxa"/>
            <w:vAlign w:val="center"/>
          </w:tcPr>
          <w:p w14:paraId="550AB98B" w14:textId="77777777" w:rsidR="00313EC6" w:rsidRPr="00313EC6" w:rsidRDefault="00313EC6" w:rsidP="00313EC6">
            <w:pPr>
              <w:keepNext/>
              <w:keepLines/>
              <w:spacing w:before="20" w:after="20"/>
              <w:ind w:left="88"/>
              <w:rPr>
                <w:sz w:val="18"/>
                <w:szCs w:val="20"/>
              </w:rPr>
            </w:pPr>
            <w:r w:rsidRPr="00313EC6">
              <w:rPr>
                <w:sz w:val="18"/>
                <w:szCs w:val="20"/>
              </w:rPr>
              <w:t>Non-gambler</w:t>
            </w:r>
          </w:p>
        </w:tc>
        <w:tc>
          <w:tcPr>
            <w:tcW w:w="709" w:type="dxa"/>
            <w:shd w:val="clear" w:color="auto" w:fill="auto"/>
            <w:vAlign w:val="center"/>
          </w:tcPr>
          <w:p w14:paraId="177CF997" w14:textId="77777777" w:rsidR="00313EC6" w:rsidRPr="00313EC6" w:rsidRDefault="00313EC6" w:rsidP="00313EC6">
            <w:pPr>
              <w:jc w:val="right"/>
              <w:rPr>
                <w:color w:val="000000"/>
                <w:sz w:val="18"/>
                <w:szCs w:val="22"/>
                <w:lang w:eastAsia="en-NZ"/>
              </w:rPr>
            </w:pPr>
            <w:r w:rsidRPr="00313EC6">
              <w:rPr>
                <w:color w:val="000000"/>
                <w:sz w:val="18"/>
                <w:szCs w:val="22"/>
              </w:rPr>
              <w:t>485</w:t>
            </w:r>
          </w:p>
        </w:tc>
        <w:tc>
          <w:tcPr>
            <w:tcW w:w="567" w:type="dxa"/>
            <w:shd w:val="clear" w:color="auto" w:fill="auto"/>
            <w:vAlign w:val="center"/>
          </w:tcPr>
          <w:p w14:paraId="307FE581" w14:textId="77777777" w:rsidR="00313EC6" w:rsidRPr="00313EC6" w:rsidRDefault="00313EC6" w:rsidP="00313EC6">
            <w:pPr>
              <w:jc w:val="right"/>
              <w:rPr>
                <w:color w:val="000000"/>
                <w:sz w:val="18"/>
                <w:szCs w:val="22"/>
              </w:rPr>
            </w:pPr>
            <w:r w:rsidRPr="00313EC6">
              <w:rPr>
                <w:color w:val="000000"/>
                <w:sz w:val="18"/>
                <w:szCs w:val="22"/>
              </w:rPr>
              <w:t>64.7</w:t>
            </w:r>
          </w:p>
        </w:tc>
        <w:tc>
          <w:tcPr>
            <w:tcW w:w="1276" w:type="dxa"/>
            <w:vAlign w:val="center"/>
          </w:tcPr>
          <w:p w14:paraId="359462ED" w14:textId="77777777" w:rsidR="00313EC6" w:rsidRPr="00313EC6" w:rsidRDefault="00313EC6" w:rsidP="00313EC6">
            <w:pPr>
              <w:jc w:val="right"/>
              <w:rPr>
                <w:sz w:val="18"/>
              </w:rPr>
            </w:pPr>
            <w:r w:rsidRPr="00313EC6">
              <w:rPr>
                <w:sz w:val="18"/>
              </w:rPr>
              <w:t>(60.6, 68.9)</w:t>
            </w:r>
          </w:p>
        </w:tc>
        <w:tc>
          <w:tcPr>
            <w:tcW w:w="709" w:type="dxa"/>
            <w:shd w:val="clear" w:color="auto" w:fill="auto"/>
            <w:vAlign w:val="center"/>
          </w:tcPr>
          <w:p w14:paraId="18A3E881" w14:textId="77777777" w:rsidR="00313EC6" w:rsidRPr="00313EC6" w:rsidRDefault="00313EC6" w:rsidP="00313EC6">
            <w:pPr>
              <w:jc w:val="right"/>
              <w:rPr>
                <w:color w:val="000000"/>
                <w:sz w:val="18"/>
                <w:szCs w:val="22"/>
              </w:rPr>
            </w:pPr>
            <w:r w:rsidRPr="00313EC6">
              <w:rPr>
                <w:color w:val="000000"/>
                <w:sz w:val="18"/>
                <w:szCs w:val="22"/>
              </w:rPr>
              <w:t>247</w:t>
            </w:r>
          </w:p>
        </w:tc>
        <w:tc>
          <w:tcPr>
            <w:tcW w:w="567" w:type="dxa"/>
            <w:shd w:val="clear" w:color="auto" w:fill="auto"/>
            <w:vAlign w:val="center"/>
          </w:tcPr>
          <w:p w14:paraId="631B5E80" w14:textId="77777777" w:rsidR="00313EC6" w:rsidRPr="00313EC6" w:rsidRDefault="00313EC6" w:rsidP="00313EC6">
            <w:pPr>
              <w:jc w:val="right"/>
              <w:rPr>
                <w:color w:val="000000"/>
                <w:sz w:val="18"/>
                <w:szCs w:val="22"/>
              </w:rPr>
            </w:pPr>
            <w:r w:rsidRPr="00313EC6">
              <w:rPr>
                <w:color w:val="000000"/>
                <w:sz w:val="18"/>
                <w:szCs w:val="22"/>
              </w:rPr>
              <w:t>33.0</w:t>
            </w:r>
          </w:p>
        </w:tc>
        <w:tc>
          <w:tcPr>
            <w:tcW w:w="1134" w:type="dxa"/>
            <w:vAlign w:val="center"/>
          </w:tcPr>
          <w:p w14:paraId="2C0532D6" w14:textId="77777777" w:rsidR="00313EC6" w:rsidRPr="00313EC6" w:rsidRDefault="00313EC6" w:rsidP="00313EC6">
            <w:pPr>
              <w:jc w:val="right"/>
              <w:rPr>
                <w:sz w:val="18"/>
              </w:rPr>
            </w:pPr>
            <w:r w:rsidRPr="00313EC6">
              <w:rPr>
                <w:sz w:val="18"/>
              </w:rPr>
              <w:t>(29.0, 37.0)</w:t>
            </w:r>
          </w:p>
        </w:tc>
        <w:tc>
          <w:tcPr>
            <w:tcW w:w="567" w:type="dxa"/>
            <w:shd w:val="clear" w:color="auto" w:fill="auto"/>
            <w:vAlign w:val="center"/>
          </w:tcPr>
          <w:p w14:paraId="5E7C0984" w14:textId="77777777" w:rsidR="00313EC6" w:rsidRPr="00313EC6" w:rsidRDefault="00313EC6" w:rsidP="00313EC6">
            <w:pPr>
              <w:jc w:val="right"/>
              <w:rPr>
                <w:color w:val="000000"/>
                <w:sz w:val="18"/>
                <w:szCs w:val="22"/>
              </w:rPr>
            </w:pPr>
            <w:r w:rsidRPr="00313EC6">
              <w:rPr>
                <w:color w:val="000000"/>
                <w:sz w:val="18"/>
                <w:szCs w:val="22"/>
              </w:rPr>
              <w:t>16</w:t>
            </w:r>
          </w:p>
        </w:tc>
        <w:tc>
          <w:tcPr>
            <w:tcW w:w="567" w:type="dxa"/>
            <w:shd w:val="clear" w:color="auto" w:fill="auto"/>
            <w:vAlign w:val="center"/>
          </w:tcPr>
          <w:p w14:paraId="5785FB9F" w14:textId="77777777" w:rsidR="00313EC6" w:rsidRPr="00313EC6" w:rsidRDefault="00313EC6" w:rsidP="00313EC6">
            <w:pPr>
              <w:jc w:val="right"/>
              <w:rPr>
                <w:color w:val="000000"/>
                <w:sz w:val="18"/>
                <w:szCs w:val="22"/>
              </w:rPr>
            </w:pPr>
            <w:r w:rsidRPr="00313EC6">
              <w:rPr>
                <w:color w:val="000000"/>
                <w:sz w:val="18"/>
                <w:szCs w:val="22"/>
              </w:rPr>
              <w:t>2.1</w:t>
            </w:r>
          </w:p>
        </w:tc>
        <w:tc>
          <w:tcPr>
            <w:tcW w:w="1135" w:type="dxa"/>
            <w:vAlign w:val="center"/>
          </w:tcPr>
          <w:p w14:paraId="4A12E777" w14:textId="77777777" w:rsidR="00313EC6" w:rsidRPr="00313EC6" w:rsidRDefault="00313EC6" w:rsidP="00313EC6">
            <w:pPr>
              <w:jc w:val="right"/>
              <w:rPr>
                <w:sz w:val="18"/>
              </w:rPr>
            </w:pPr>
            <w:r w:rsidRPr="00313EC6">
              <w:rPr>
                <w:sz w:val="18"/>
              </w:rPr>
              <w:t>(0.9, 3.3)</w:t>
            </w:r>
          </w:p>
        </w:tc>
        <w:tc>
          <w:tcPr>
            <w:tcW w:w="567" w:type="dxa"/>
            <w:shd w:val="clear" w:color="auto" w:fill="auto"/>
            <w:vAlign w:val="center"/>
          </w:tcPr>
          <w:p w14:paraId="52469EDD" w14:textId="77777777" w:rsidR="00313EC6" w:rsidRPr="00313EC6" w:rsidRDefault="00313EC6" w:rsidP="00313EC6">
            <w:pPr>
              <w:jc w:val="right"/>
              <w:rPr>
                <w:color w:val="000000"/>
                <w:sz w:val="18"/>
                <w:szCs w:val="22"/>
              </w:rPr>
            </w:pPr>
            <w:r w:rsidRPr="00313EC6">
              <w:rPr>
                <w:color w:val="000000"/>
                <w:sz w:val="18"/>
                <w:szCs w:val="22"/>
              </w:rPr>
              <w:t>1</w:t>
            </w:r>
          </w:p>
        </w:tc>
        <w:tc>
          <w:tcPr>
            <w:tcW w:w="568" w:type="dxa"/>
            <w:shd w:val="clear" w:color="auto" w:fill="auto"/>
            <w:vAlign w:val="center"/>
          </w:tcPr>
          <w:p w14:paraId="7A496DEE" w14:textId="77777777" w:rsidR="00313EC6" w:rsidRPr="00313EC6" w:rsidRDefault="00313EC6" w:rsidP="00313EC6">
            <w:pPr>
              <w:jc w:val="right"/>
              <w:rPr>
                <w:color w:val="000000"/>
                <w:sz w:val="18"/>
                <w:szCs w:val="22"/>
              </w:rPr>
            </w:pPr>
            <w:r w:rsidRPr="00313EC6">
              <w:rPr>
                <w:color w:val="000000"/>
                <w:sz w:val="18"/>
                <w:szCs w:val="22"/>
              </w:rPr>
              <w:t>0.1</w:t>
            </w:r>
          </w:p>
        </w:tc>
        <w:tc>
          <w:tcPr>
            <w:tcW w:w="1137" w:type="dxa"/>
            <w:vAlign w:val="center"/>
          </w:tcPr>
          <w:p w14:paraId="6E0B4802" w14:textId="77777777" w:rsidR="00313EC6" w:rsidRPr="00313EC6" w:rsidRDefault="002F172C" w:rsidP="00313EC6">
            <w:pPr>
              <w:jc w:val="right"/>
              <w:rPr>
                <w:sz w:val="18"/>
              </w:rPr>
            </w:pPr>
            <w:r>
              <w:rPr>
                <w:sz w:val="18"/>
              </w:rPr>
              <w:t>!</w:t>
            </w:r>
          </w:p>
        </w:tc>
        <w:tc>
          <w:tcPr>
            <w:tcW w:w="567" w:type="dxa"/>
            <w:shd w:val="clear" w:color="auto" w:fill="auto"/>
            <w:vAlign w:val="center"/>
          </w:tcPr>
          <w:p w14:paraId="41D65B01" w14:textId="77777777" w:rsidR="00313EC6" w:rsidRPr="00313EC6" w:rsidRDefault="00313EC6" w:rsidP="00313EC6">
            <w:pPr>
              <w:jc w:val="right"/>
              <w:rPr>
                <w:color w:val="000000"/>
                <w:sz w:val="18"/>
                <w:szCs w:val="22"/>
              </w:rPr>
            </w:pPr>
            <w:r w:rsidRPr="00313EC6">
              <w:rPr>
                <w:color w:val="000000"/>
                <w:sz w:val="18"/>
                <w:szCs w:val="22"/>
              </w:rPr>
              <w:t>0</w:t>
            </w:r>
          </w:p>
        </w:tc>
        <w:tc>
          <w:tcPr>
            <w:tcW w:w="570" w:type="dxa"/>
            <w:shd w:val="clear" w:color="auto" w:fill="auto"/>
            <w:vAlign w:val="center"/>
          </w:tcPr>
          <w:p w14:paraId="576E0CF4" w14:textId="77777777" w:rsidR="00313EC6" w:rsidRPr="00313EC6" w:rsidRDefault="00313EC6" w:rsidP="00313EC6">
            <w:pPr>
              <w:jc w:val="right"/>
              <w:rPr>
                <w:color w:val="000000"/>
                <w:sz w:val="18"/>
                <w:szCs w:val="22"/>
              </w:rPr>
            </w:pPr>
            <w:r w:rsidRPr="00313EC6">
              <w:rPr>
                <w:color w:val="000000"/>
                <w:sz w:val="18"/>
                <w:szCs w:val="22"/>
              </w:rPr>
              <w:t>0.1</w:t>
            </w:r>
          </w:p>
        </w:tc>
        <w:tc>
          <w:tcPr>
            <w:tcW w:w="1137" w:type="dxa"/>
            <w:vAlign w:val="center"/>
          </w:tcPr>
          <w:p w14:paraId="33F3D371" w14:textId="77777777" w:rsidR="00313EC6" w:rsidRPr="00313EC6" w:rsidRDefault="002F172C" w:rsidP="00313EC6">
            <w:pPr>
              <w:jc w:val="right"/>
              <w:rPr>
                <w:sz w:val="18"/>
              </w:rPr>
            </w:pPr>
            <w:r>
              <w:rPr>
                <w:sz w:val="18"/>
              </w:rPr>
              <w:t>!</w:t>
            </w:r>
          </w:p>
        </w:tc>
      </w:tr>
      <w:tr w:rsidR="00313EC6" w:rsidRPr="00313EC6" w14:paraId="10983287" w14:textId="77777777" w:rsidTr="00313EC6">
        <w:trPr>
          <w:jc w:val="center"/>
        </w:trPr>
        <w:tc>
          <w:tcPr>
            <w:tcW w:w="2269" w:type="dxa"/>
            <w:vAlign w:val="center"/>
          </w:tcPr>
          <w:p w14:paraId="1C1EC189" w14:textId="77777777" w:rsidR="00313EC6" w:rsidRPr="00313EC6" w:rsidRDefault="00313EC6" w:rsidP="00313EC6">
            <w:pPr>
              <w:keepNext/>
              <w:spacing w:before="20" w:after="20"/>
              <w:ind w:left="88"/>
              <w:rPr>
                <w:sz w:val="18"/>
                <w:szCs w:val="20"/>
              </w:rPr>
            </w:pPr>
            <w:r w:rsidRPr="00313EC6">
              <w:rPr>
                <w:sz w:val="18"/>
                <w:szCs w:val="20"/>
              </w:rPr>
              <w:t>Non-problem gambler</w:t>
            </w:r>
          </w:p>
        </w:tc>
        <w:tc>
          <w:tcPr>
            <w:tcW w:w="709" w:type="dxa"/>
            <w:shd w:val="clear" w:color="auto" w:fill="auto"/>
            <w:vAlign w:val="center"/>
          </w:tcPr>
          <w:p w14:paraId="62F36714" w14:textId="77777777" w:rsidR="00313EC6" w:rsidRPr="00313EC6" w:rsidRDefault="00313EC6" w:rsidP="00313EC6">
            <w:pPr>
              <w:jc w:val="right"/>
              <w:rPr>
                <w:color w:val="000000"/>
                <w:sz w:val="18"/>
                <w:szCs w:val="22"/>
              </w:rPr>
            </w:pPr>
            <w:r w:rsidRPr="00313EC6">
              <w:rPr>
                <w:color w:val="000000"/>
                <w:sz w:val="18"/>
                <w:szCs w:val="22"/>
              </w:rPr>
              <w:t>327</w:t>
            </w:r>
          </w:p>
        </w:tc>
        <w:tc>
          <w:tcPr>
            <w:tcW w:w="567" w:type="dxa"/>
            <w:shd w:val="clear" w:color="auto" w:fill="auto"/>
            <w:vAlign w:val="center"/>
          </w:tcPr>
          <w:p w14:paraId="2EC660F4" w14:textId="77777777" w:rsidR="00313EC6" w:rsidRPr="00313EC6" w:rsidRDefault="00313EC6" w:rsidP="00313EC6">
            <w:pPr>
              <w:jc w:val="right"/>
              <w:rPr>
                <w:color w:val="000000"/>
                <w:sz w:val="18"/>
                <w:szCs w:val="22"/>
              </w:rPr>
            </w:pPr>
            <w:r w:rsidRPr="00313EC6">
              <w:rPr>
                <w:color w:val="000000"/>
                <w:sz w:val="18"/>
                <w:szCs w:val="22"/>
              </w:rPr>
              <w:t>11.9</w:t>
            </w:r>
          </w:p>
        </w:tc>
        <w:tc>
          <w:tcPr>
            <w:tcW w:w="1276" w:type="dxa"/>
            <w:vAlign w:val="center"/>
          </w:tcPr>
          <w:p w14:paraId="0B823FB2" w14:textId="77777777" w:rsidR="00313EC6" w:rsidRPr="00313EC6" w:rsidRDefault="00313EC6" w:rsidP="00313EC6">
            <w:pPr>
              <w:jc w:val="right"/>
              <w:rPr>
                <w:sz w:val="18"/>
              </w:rPr>
            </w:pPr>
            <w:r w:rsidRPr="00313EC6">
              <w:rPr>
                <w:sz w:val="18"/>
              </w:rPr>
              <w:t>(10.4, 13.3)</w:t>
            </w:r>
          </w:p>
        </w:tc>
        <w:tc>
          <w:tcPr>
            <w:tcW w:w="709" w:type="dxa"/>
            <w:shd w:val="clear" w:color="auto" w:fill="auto"/>
            <w:vAlign w:val="center"/>
          </w:tcPr>
          <w:p w14:paraId="1ED234FB" w14:textId="77777777" w:rsidR="00313EC6" w:rsidRPr="00313EC6" w:rsidRDefault="00313EC6" w:rsidP="00313EC6">
            <w:pPr>
              <w:jc w:val="right"/>
              <w:rPr>
                <w:color w:val="000000"/>
                <w:sz w:val="18"/>
                <w:szCs w:val="22"/>
              </w:rPr>
            </w:pPr>
            <w:r w:rsidRPr="00313EC6">
              <w:rPr>
                <w:color w:val="000000"/>
                <w:sz w:val="18"/>
                <w:szCs w:val="22"/>
              </w:rPr>
              <w:t>2267</w:t>
            </w:r>
          </w:p>
        </w:tc>
        <w:tc>
          <w:tcPr>
            <w:tcW w:w="567" w:type="dxa"/>
            <w:shd w:val="clear" w:color="auto" w:fill="auto"/>
            <w:vAlign w:val="center"/>
          </w:tcPr>
          <w:p w14:paraId="01474632" w14:textId="77777777" w:rsidR="00313EC6" w:rsidRPr="00313EC6" w:rsidRDefault="00313EC6" w:rsidP="00313EC6">
            <w:pPr>
              <w:jc w:val="right"/>
              <w:rPr>
                <w:color w:val="000000"/>
                <w:sz w:val="18"/>
                <w:szCs w:val="22"/>
              </w:rPr>
            </w:pPr>
            <w:r w:rsidRPr="00313EC6">
              <w:rPr>
                <w:color w:val="000000"/>
                <w:sz w:val="18"/>
                <w:szCs w:val="22"/>
              </w:rPr>
              <w:t>82.5</w:t>
            </w:r>
          </w:p>
        </w:tc>
        <w:tc>
          <w:tcPr>
            <w:tcW w:w="1134" w:type="dxa"/>
            <w:vAlign w:val="center"/>
          </w:tcPr>
          <w:p w14:paraId="265CAACE" w14:textId="77777777" w:rsidR="00313EC6" w:rsidRPr="00313EC6" w:rsidRDefault="00313EC6" w:rsidP="00313EC6">
            <w:pPr>
              <w:jc w:val="right"/>
              <w:rPr>
                <w:sz w:val="18"/>
              </w:rPr>
            </w:pPr>
            <w:r w:rsidRPr="00313EC6">
              <w:rPr>
                <w:sz w:val="18"/>
              </w:rPr>
              <w:t>(80.8, 84.1)</w:t>
            </w:r>
          </w:p>
        </w:tc>
        <w:tc>
          <w:tcPr>
            <w:tcW w:w="567" w:type="dxa"/>
            <w:shd w:val="clear" w:color="auto" w:fill="auto"/>
            <w:vAlign w:val="center"/>
          </w:tcPr>
          <w:p w14:paraId="4C1174FB" w14:textId="77777777" w:rsidR="00313EC6" w:rsidRPr="00313EC6" w:rsidRDefault="00313EC6" w:rsidP="00313EC6">
            <w:pPr>
              <w:jc w:val="right"/>
              <w:rPr>
                <w:color w:val="000000"/>
                <w:sz w:val="18"/>
                <w:szCs w:val="22"/>
              </w:rPr>
            </w:pPr>
            <w:r w:rsidRPr="00313EC6">
              <w:rPr>
                <w:color w:val="000000"/>
                <w:sz w:val="18"/>
                <w:szCs w:val="22"/>
              </w:rPr>
              <w:t>133</w:t>
            </w:r>
          </w:p>
        </w:tc>
        <w:tc>
          <w:tcPr>
            <w:tcW w:w="567" w:type="dxa"/>
            <w:shd w:val="clear" w:color="auto" w:fill="auto"/>
            <w:vAlign w:val="center"/>
          </w:tcPr>
          <w:p w14:paraId="54C1A5D9" w14:textId="77777777" w:rsidR="00313EC6" w:rsidRPr="00313EC6" w:rsidRDefault="00313EC6" w:rsidP="00313EC6">
            <w:pPr>
              <w:jc w:val="right"/>
              <w:rPr>
                <w:color w:val="000000"/>
                <w:sz w:val="18"/>
                <w:szCs w:val="22"/>
              </w:rPr>
            </w:pPr>
            <w:r w:rsidRPr="00313EC6">
              <w:rPr>
                <w:color w:val="000000"/>
                <w:sz w:val="18"/>
                <w:szCs w:val="22"/>
              </w:rPr>
              <w:t>4.8</w:t>
            </w:r>
          </w:p>
        </w:tc>
        <w:tc>
          <w:tcPr>
            <w:tcW w:w="1135" w:type="dxa"/>
            <w:vAlign w:val="center"/>
          </w:tcPr>
          <w:p w14:paraId="24046421" w14:textId="77777777" w:rsidR="00313EC6" w:rsidRPr="00313EC6" w:rsidRDefault="00313EC6" w:rsidP="00313EC6">
            <w:pPr>
              <w:jc w:val="right"/>
              <w:rPr>
                <w:sz w:val="18"/>
              </w:rPr>
            </w:pPr>
            <w:r w:rsidRPr="00313EC6">
              <w:rPr>
                <w:sz w:val="18"/>
              </w:rPr>
              <w:t>(3.9, 5.7)</w:t>
            </w:r>
          </w:p>
        </w:tc>
        <w:tc>
          <w:tcPr>
            <w:tcW w:w="567" w:type="dxa"/>
            <w:shd w:val="clear" w:color="auto" w:fill="auto"/>
            <w:vAlign w:val="center"/>
          </w:tcPr>
          <w:p w14:paraId="578207D9" w14:textId="77777777" w:rsidR="00313EC6" w:rsidRPr="00313EC6" w:rsidRDefault="00313EC6" w:rsidP="00313EC6">
            <w:pPr>
              <w:jc w:val="right"/>
              <w:rPr>
                <w:color w:val="000000"/>
                <w:sz w:val="18"/>
                <w:szCs w:val="22"/>
              </w:rPr>
            </w:pPr>
            <w:r w:rsidRPr="00313EC6">
              <w:rPr>
                <w:color w:val="000000"/>
                <w:sz w:val="18"/>
                <w:szCs w:val="22"/>
              </w:rPr>
              <w:t>19</w:t>
            </w:r>
          </w:p>
        </w:tc>
        <w:tc>
          <w:tcPr>
            <w:tcW w:w="568" w:type="dxa"/>
            <w:shd w:val="clear" w:color="auto" w:fill="auto"/>
            <w:vAlign w:val="center"/>
          </w:tcPr>
          <w:p w14:paraId="32740313" w14:textId="77777777" w:rsidR="00313EC6" w:rsidRPr="00313EC6" w:rsidRDefault="00313EC6" w:rsidP="00313EC6">
            <w:pPr>
              <w:jc w:val="right"/>
              <w:rPr>
                <w:color w:val="000000"/>
                <w:sz w:val="18"/>
                <w:szCs w:val="22"/>
              </w:rPr>
            </w:pPr>
            <w:r w:rsidRPr="00313EC6">
              <w:rPr>
                <w:color w:val="000000"/>
                <w:sz w:val="18"/>
                <w:szCs w:val="22"/>
              </w:rPr>
              <w:t>0.7</w:t>
            </w:r>
          </w:p>
        </w:tc>
        <w:tc>
          <w:tcPr>
            <w:tcW w:w="1137" w:type="dxa"/>
            <w:vAlign w:val="center"/>
          </w:tcPr>
          <w:p w14:paraId="27A6B151" w14:textId="77777777" w:rsidR="00313EC6" w:rsidRPr="00313EC6" w:rsidRDefault="00313EC6" w:rsidP="00313EC6">
            <w:pPr>
              <w:jc w:val="right"/>
              <w:rPr>
                <w:sz w:val="18"/>
              </w:rPr>
            </w:pPr>
            <w:r w:rsidRPr="00313EC6">
              <w:rPr>
                <w:sz w:val="18"/>
              </w:rPr>
              <w:t>(0.4, 1</w:t>
            </w:r>
            <w:r>
              <w:rPr>
                <w:sz w:val="18"/>
              </w:rPr>
              <w:t>.0</w:t>
            </w:r>
            <w:r w:rsidRPr="00313EC6">
              <w:rPr>
                <w:sz w:val="18"/>
              </w:rPr>
              <w:t>)</w:t>
            </w:r>
          </w:p>
        </w:tc>
        <w:tc>
          <w:tcPr>
            <w:tcW w:w="567" w:type="dxa"/>
            <w:shd w:val="clear" w:color="auto" w:fill="auto"/>
            <w:vAlign w:val="center"/>
          </w:tcPr>
          <w:p w14:paraId="40ED39DB" w14:textId="77777777" w:rsidR="00313EC6" w:rsidRPr="00313EC6" w:rsidRDefault="00313EC6" w:rsidP="00313EC6">
            <w:pPr>
              <w:jc w:val="right"/>
              <w:rPr>
                <w:color w:val="000000"/>
                <w:sz w:val="18"/>
                <w:szCs w:val="22"/>
              </w:rPr>
            </w:pPr>
            <w:r w:rsidRPr="00313EC6">
              <w:rPr>
                <w:color w:val="000000"/>
                <w:sz w:val="18"/>
                <w:szCs w:val="22"/>
              </w:rPr>
              <w:t>3</w:t>
            </w:r>
          </w:p>
        </w:tc>
        <w:tc>
          <w:tcPr>
            <w:tcW w:w="570" w:type="dxa"/>
            <w:shd w:val="clear" w:color="auto" w:fill="auto"/>
            <w:vAlign w:val="center"/>
          </w:tcPr>
          <w:p w14:paraId="67D160B2" w14:textId="77777777" w:rsidR="00313EC6" w:rsidRPr="00313EC6" w:rsidRDefault="00313EC6" w:rsidP="00313EC6">
            <w:pPr>
              <w:jc w:val="right"/>
              <w:rPr>
                <w:color w:val="000000"/>
                <w:sz w:val="18"/>
                <w:szCs w:val="22"/>
              </w:rPr>
            </w:pPr>
            <w:r w:rsidRPr="00313EC6">
              <w:rPr>
                <w:color w:val="000000"/>
                <w:sz w:val="18"/>
                <w:szCs w:val="22"/>
              </w:rPr>
              <w:t>0.1</w:t>
            </w:r>
          </w:p>
        </w:tc>
        <w:tc>
          <w:tcPr>
            <w:tcW w:w="1137" w:type="dxa"/>
            <w:vAlign w:val="center"/>
          </w:tcPr>
          <w:p w14:paraId="66777A35" w14:textId="77777777" w:rsidR="00313EC6" w:rsidRPr="00313EC6" w:rsidRDefault="00313EC6" w:rsidP="00313EC6">
            <w:pPr>
              <w:jc w:val="right"/>
              <w:rPr>
                <w:sz w:val="18"/>
              </w:rPr>
            </w:pPr>
            <w:r w:rsidRPr="00313EC6">
              <w:rPr>
                <w:sz w:val="18"/>
              </w:rPr>
              <w:t>(0</w:t>
            </w:r>
            <w:r>
              <w:rPr>
                <w:sz w:val="18"/>
              </w:rPr>
              <w:t>.0</w:t>
            </w:r>
            <w:r w:rsidRPr="00313EC6">
              <w:rPr>
                <w:sz w:val="18"/>
              </w:rPr>
              <w:t>, 0.3)</w:t>
            </w:r>
          </w:p>
        </w:tc>
      </w:tr>
      <w:tr w:rsidR="00313EC6" w:rsidRPr="00313EC6" w14:paraId="21B6CDCF" w14:textId="77777777" w:rsidTr="00313EC6">
        <w:trPr>
          <w:jc w:val="center"/>
        </w:trPr>
        <w:tc>
          <w:tcPr>
            <w:tcW w:w="2269" w:type="dxa"/>
            <w:vAlign w:val="center"/>
          </w:tcPr>
          <w:p w14:paraId="39D70E67" w14:textId="77777777" w:rsidR="00313EC6" w:rsidRPr="00313EC6" w:rsidRDefault="00313EC6" w:rsidP="00313EC6">
            <w:pPr>
              <w:keepNext/>
              <w:spacing w:before="20" w:after="20"/>
              <w:ind w:left="88"/>
              <w:rPr>
                <w:sz w:val="18"/>
                <w:szCs w:val="20"/>
              </w:rPr>
            </w:pPr>
            <w:r w:rsidRPr="00313EC6">
              <w:rPr>
                <w:sz w:val="18"/>
                <w:szCs w:val="20"/>
              </w:rPr>
              <w:t>Low-risk gambler</w:t>
            </w:r>
          </w:p>
        </w:tc>
        <w:tc>
          <w:tcPr>
            <w:tcW w:w="709" w:type="dxa"/>
            <w:shd w:val="clear" w:color="auto" w:fill="auto"/>
            <w:vAlign w:val="center"/>
          </w:tcPr>
          <w:p w14:paraId="0A506973" w14:textId="77777777" w:rsidR="00313EC6" w:rsidRPr="00313EC6" w:rsidRDefault="00313EC6" w:rsidP="00313EC6">
            <w:pPr>
              <w:jc w:val="right"/>
              <w:rPr>
                <w:color w:val="000000"/>
                <w:sz w:val="18"/>
                <w:szCs w:val="22"/>
              </w:rPr>
            </w:pPr>
            <w:r w:rsidRPr="00313EC6">
              <w:rPr>
                <w:color w:val="000000"/>
                <w:sz w:val="18"/>
                <w:szCs w:val="22"/>
              </w:rPr>
              <w:t>13</w:t>
            </w:r>
          </w:p>
        </w:tc>
        <w:tc>
          <w:tcPr>
            <w:tcW w:w="567" w:type="dxa"/>
            <w:shd w:val="clear" w:color="auto" w:fill="auto"/>
            <w:vAlign w:val="center"/>
          </w:tcPr>
          <w:p w14:paraId="49EA270F" w14:textId="77777777" w:rsidR="00313EC6" w:rsidRPr="00313EC6" w:rsidRDefault="00313EC6" w:rsidP="00313EC6">
            <w:pPr>
              <w:jc w:val="right"/>
              <w:rPr>
                <w:color w:val="000000"/>
                <w:sz w:val="18"/>
                <w:szCs w:val="22"/>
              </w:rPr>
            </w:pPr>
            <w:r w:rsidRPr="00313EC6">
              <w:rPr>
                <w:color w:val="000000"/>
                <w:sz w:val="18"/>
                <w:szCs w:val="22"/>
              </w:rPr>
              <w:t>7.2</w:t>
            </w:r>
          </w:p>
        </w:tc>
        <w:tc>
          <w:tcPr>
            <w:tcW w:w="1276" w:type="dxa"/>
            <w:vAlign w:val="center"/>
          </w:tcPr>
          <w:p w14:paraId="36E952D3" w14:textId="77777777" w:rsidR="00313EC6" w:rsidRPr="00313EC6" w:rsidRDefault="00313EC6" w:rsidP="00313EC6">
            <w:pPr>
              <w:jc w:val="right"/>
              <w:rPr>
                <w:sz w:val="18"/>
              </w:rPr>
            </w:pPr>
            <w:r w:rsidRPr="00313EC6">
              <w:rPr>
                <w:sz w:val="18"/>
              </w:rPr>
              <w:t>(2.6, 11.9)</w:t>
            </w:r>
          </w:p>
        </w:tc>
        <w:tc>
          <w:tcPr>
            <w:tcW w:w="709" w:type="dxa"/>
            <w:shd w:val="clear" w:color="auto" w:fill="auto"/>
            <w:vAlign w:val="center"/>
          </w:tcPr>
          <w:p w14:paraId="301B4377" w14:textId="77777777" w:rsidR="00313EC6" w:rsidRPr="00313EC6" w:rsidRDefault="00313EC6" w:rsidP="00313EC6">
            <w:pPr>
              <w:jc w:val="right"/>
              <w:rPr>
                <w:color w:val="000000"/>
                <w:sz w:val="18"/>
                <w:szCs w:val="22"/>
              </w:rPr>
            </w:pPr>
            <w:r w:rsidRPr="00313EC6">
              <w:rPr>
                <w:color w:val="000000"/>
                <w:sz w:val="18"/>
                <w:szCs w:val="22"/>
              </w:rPr>
              <w:t>97</w:t>
            </w:r>
          </w:p>
        </w:tc>
        <w:tc>
          <w:tcPr>
            <w:tcW w:w="567" w:type="dxa"/>
            <w:shd w:val="clear" w:color="auto" w:fill="auto"/>
            <w:vAlign w:val="center"/>
          </w:tcPr>
          <w:p w14:paraId="20F80BC4" w14:textId="77777777" w:rsidR="00313EC6" w:rsidRPr="00313EC6" w:rsidRDefault="00313EC6" w:rsidP="00313EC6">
            <w:pPr>
              <w:jc w:val="right"/>
              <w:rPr>
                <w:color w:val="000000"/>
                <w:sz w:val="18"/>
                <w:szCs w:val="22"/>
              </w:rPr>
            </w:pPr>
            <w:r w:rsidRPr="00313EC6">
              <w:rPr>
                <w:color w:val="000000"/>
                <w:sz w:val="18"/>
                <w:szCs w:val="22"/>
              </w:rPr>
              <w:t>54.6</w:t>
            </w:r>
          </w:p>
        </w:tc>
        <w:tc>
          <w:tcPr>
            <w:tcW w:w="1134" w:type="dxa"/>
            <w:vAlign w:val="center"/>
          </w:tcPr>
          <w:p w14:paraId="66E82861" w14:textId="77777777" w:rsidR="00313EC6" w:rsidRPr="00313EC6" w:rsidRDefault="00313EC6" w:rsidP="00313EC6">
            <w:pPr>
              <w:jc w:val="right"/>
              <w:rPr>
                <w:sz w:val="18"/>
              </w:rPr>
            </w:pPr>
            <w:r w:rsidRPr="00313EC6">
              <w:rPr>
                <w:sz w:val="18"/>
              </w:rPr>
              <w:t>(44.9, 64.3)</w:t>
            </w:r>
          </w:p>
        </w:tc>
        <w:tc>
          <w:tcPr>
            <w:tcW w:w="567" w:type="dxa"/>
            <w:shd w:val="clear" w:color="auto" w:fill="auto"/>
            <w:vAlign w:val="center"/>
          </w:tcPr>
          <w:p w14:paraId="73620AB2" w14:textId="77777777" w:rsidR="00313EC6" w:rsidRPr="00313EC6" w:rsidRDefault="00313EC6" w:rsidP="00313EC6">
            <w:pPr>
              <w:jc w:val="right"/>
              <w:rPr>
                <w:color w:val="000000"/>
                <w:sz w:val="18"/>
                <w:szCs w:val="22"/>
              </w:rPr>
            </w:pPr>
            <w:r w:rsidRPr="00313EC6">
              <w:rPr>
                <w:color w:val="000000"/>
                <w:sz w:val="18"/>
                <w:szCs w:val="22"/>
              </w:rPr>
              <w:t>46</w:t>
            </w:r>
          </w:p>
        </w:tc>
        <w:tc>
          <w:tcPr>
            <w:tcW w:w="567" w:type="dxa"/>
            <w:shd w:val="clear" w:color="auto" w:fill="auto"/>
            <w:vAlign w:val="center"/>
          </w:tcPr>
          <w:p w14:paraId="1341395D" w14:textId="77777777" w:rsidR="00313EC6" w:rsidRPr="00313EC6" w:rsidRDefault="00313EC6" w:rsidP="00313EC6">
            <w:pPr>
              <w:jc w:val="right"/>
              <w:rPr>
                <w:color w:val="000000"/>
                <w:sz w:val="18"/>
                <w:szCs w:val="22"/>
              </w:rPr>
            </w:pPr>
            <w:r w:rsidRPr="00313EC6">
              <w:rPr>
                <w:color w:val="000000"/>
                <w:sz w:val="18"/>
                <w:szCs w:val="22"/>
              </w:rPr>
              <w:t>25.7</w:t>
            </w:r>
          </w:p>
        </w:tc>
        <w:tc>
          <w:tcPr>
            <w:tcW w:w="1135" w:type="dxa"/>
            <w:vAlign w:val="center"/>
          </w:tcPr>
          <w:p w14:paraId="48427170" w14:textId="77777777" w:rsidR="00313EC6" w:rsidRPr="00313EC6" w:rsidRDefault="00313EC6" w:rsidP="00313EC6">
            <w:pPr>
              <w:jc w:val="right"/>
              <w:rPr>
                <w:sz w:val="18"/>
              </w:rPr>
            </w:pPr>
            <w:r w:rsidRPr="00313EC6">
              <w:rPr>
                <w:sz w:val="18"/>
              </w:rPr>
              <w:t>(17.9, 33.5)</w:t>
            </w:r>
          </w:p>
        </w:tc>
        <w:tc>
          <w:tcPr>
            <w:tcW w:w="567" w:type="dxa"/>
            <w:shd w:val="clear" w:color="auto" w:fill="auto"/>
            <w:vAlign w:val="center"/>
          </w:tcPr>
          <w:p w14:paraId="3806A88F" w14:textId="77777777" w:rsidR="00313EC6" w:rsidRPr="00313EC6" w:rsidRDefault="00313EC6" w:rsidP="00313EC6">
            <w:pPr>
              <w:jc w:val="right"/>
              <w:rPr>
                <w:color w:val="000000"/>
                <w:sz w:val="18"/>
                <w:szCs w:val="22"/>
              </w:rPr>
            </w:pPr>
            <w:r w:rsidRPr="00313EC6">
              <w:rPr>
                <w:color w:val="000000"/>
                <w:sz w:val="18"/>
                <w:szCs w:val="22"/>
              </w:rPr>
              <w:t>21</w:t>
            </w:r>
          </w:p>
        </w:tc>
        <w:tc>
          <w:tcPr>
            <w:tcW w:w="568" w:type="dxa"/>
            <w:shd w:val="clear" w:color="auto" w:fill="auto"/>
            <w:vAlign w:val="center"/>
          </w:tcPr>
          <w:p w14:paraId="727D4BBD" w14:textId="77777777" w:rsidR="00313EC6" w:rsidRPr="00313EC6" w:rsidRDefault="00313EC6" w:rsidP="00313EC6">
            <w:pPr>
              <w:jc w:val="right"/>
              <w:rPr>
                <w:color w:val="000000"/>
                <w:sz w:val="18"/>
                <w:szCs w:val="22"/>
              </w:rPr>
            </w:pPr>
            <w:r w:rsidRPr="00313EC6">
              <w:rPr>
                <w:color w:val="000000"/>
                <w:sz w:val="18"/>
                <w:szCs w:val="22"/>
              </w:rPr>
              <w:t>11.7</w:t>
            </w:r>
          </w:p>
        </w:tc>
        <w:tc>
          <w:tcPr>
            <w:tcW w:w="1137" w:type="dxa"/>
            <w:vAlign w:val="center"/>
          </w:tcPr>
          <w:p w14:paraId="4BCF910A" w14:textId="77777777" w:rsidR="00313EC6" w:rsidRPr="00313EC6" w:rsidRDefault="00313EC6" w:rsidP="00313EC6">
            <w:pPr>
              <w:jc w:val="right"/>
              <w:rPr>
                <w:sz w:val="18"/>
              </w:rPr>
            </w:pPr>
            <w:r w:rsidRPr="00313EC6">
              <w:rPr>
                <w:sz w:val="18"/>
              </w:rPr>
              <w:t>(6.2, 17.2)</w:t>
            </w:r>
          </w:p>
        </w:tc>
        <w:tc>
          <w:tcPr>
            <w:tcW w:w="567" w:type="dxa"/>
            <w:shd w:val="clear" w:color="auto" w:fill="auto"/>
            <w:vAlign w:val="center"/>
          </w:tcPr>
          <w:p w14:paraId="74FBFE60" w14:textId="77777777" w:rsidR="00313EC6" w:rsidRPr="00313EC6" w:rsidRDefault="00313EC6" w:rsidP="00313EC6">
            <w:pPr>
              <w:jc w:val="right"/>
              <w:rPr>
                <w:color w:val="000000"/>
                <w:sz w:val="18"/>
                <w:szCs w:val="22"/>
              </w:rPr>
            </w:pPr>
            <w:r w:rsidRPr="00313EC6">
              <w:rPr>
                <w:color w:val="000000"/>
                <w:sz w:val="18"/>
                <w:szCs w:val="22"/>
              </w:rPr>
              <w:t>1</w:t>
            </w:r>
          </w:p>
        </w:tc>
        <w:tc>
          <w:tcPr>
            <w:tcW w:w="570" w:type="dxa"/>
            <w:shd w:val="clear" w:color="auto" w:fill="auto"/>
            <w:vAlign w:val="center"/>
          </w:tcPr>
          <w:p w14:paraId="025AAF9A" w14:textId="77777777" w:rsidR="00313EC6" w:rsidRPr="00313EC6" w:rsidRDefault="00313EC6" w:rsidP="00313EC6">
            <w:pPr>
              <w:jc w:val="right"/>
              <w:rPr>
                <w:color w:val="000000"/>
                <w:sz w:val="18"/>
                <w:szCs w:val="22"/>
              </w:rPr>
            </w:pPr>
            <w:r w:rsidRPr="00313EC6">
              <w:rPr>
                <w:color w:val="000000"/>
                <w:sz w:val="18"/>
                <w:szCs w:val="22"/>
              </w:rPr>
              <w:t>0.8</w:t>
            </w:r>
          </w:p>
        </w:tc>
        <w:tc>
          <w:tcPr>
            <w:tcW w:w="1137" w:type="dxa"/>
            <w:vAlign w:val="center"/>
          </w:tcPr>
          <w:p w14:paraId="6C0F4AD5" w14:textId="77777777" w:rsidR="00313EC6" w:rsidRPr="00313EC6" w:rsidRDefault="002F172C" w:rsidP="00313EC6">
            <w:pPr>
              <w:jc w:val="right"/>
              <w:rPr>
                <w:sz w:val="18"/>
              </w:rPr>
            </w:pPr>
            <w:r>
              <w:rPr>
                <w:sz w:val="18"/>
              </w:rPr>
              <w:t>!</w:t>
            </w:r>
          </w:p>
        </w:tc>
      </w:tr>
      <w:tr w:rsidR="00313EC6" w:rsidRPr="00313EC6" w14:paraId="257ED484" w14:textId="77777777" w:rsidTr="00313EC6">
        <w:trPr>
          <w:jc w:val="center"/>
        </w:trPr>
        <w:tc>
          <w:tcPr>
            <w:tcW w:w="2269" w:type="dxa"/>
            <w:vAlign w:val="center"/>
          </w:tcPr>
          <w:p w14:paraId="7D02557D" w14:textId="77777777" w:rsidR="00313EC6" w:rsidRPr="00313EC6" w:rsidRDefault="00313EC6" w:rsidP="00313EC6">
            <w:pPr>
              <w:keepNext/>
              <w:spacing w:before="20" w:after="20"/>
              <w:ind w:left="88"/>
              <w:rPr>
                <w:sz w:val="18"/>
                <w:szCs w:val="20"/>
              </w:rPr>
            </w:pPr>
            <w:r w:rsidRPr="00313EC6">
              <w:rPr>
                <w:sz w:val="18"/>
                <w:szCs w:val="20"/>
              </w:rPr>
              <w:t>Moderate-risk gambler</w:t>
            </w:r>
          </w:p>
        </w:tc>
        <w:tc>
          <w:tcPr>
            <w:tcW w:w="709" w:type="dxa"/>
            <w:shd w:val="clear" w:color="auto" w:fill="auto"/>
            <w:vAlign w:val="center"/>
          </w:tcPr>
          <w:p w14:paraId="5D968DB3" w14:textId="77777777" w:rsidR="00313EC6" w:rsidRPr="00313EC6" w:rsidRDefault="00313EC6" w:rsidP="00313EC6">
            <w:pPr>
              <w:jc w:val="right"/>
              <w:rPr>
                <w:color w:val="000000"/>
                <w:sz w:val="18"/>
                <w:szCs w:val="22"/>
              </w:rPr>
            </w:pPr>
            <w:r w:rsidRPr="00313EC6">
              <w:rPr>
                <w:color w:val="000000"/>
                <w:sz w:val="18"/>
                <w:szCs w:val="22"/>
              </w:rPr>
              <w:t>4</w:t>
            </w:r>
          </w:p>
        </w:tc>
        <w:tc>
          <w:tcPr>
            <w:tcW w:w="567" w:type="dxa"/>
            <w:shd w:val="clear" w:color="auto" w:fill="auto"/>
            <w:vAlign w:val="center"/>
          </w:tcPr>
          <w:p w14:paraId="73C6FE71" w14:textId="77777777" w:rsidR="00313EC6" w:rsidRPr="00313EC6" w:rsidRDefault="00313EC6" w:rsidP="00313EC6">
            <w:pPr>
              <w:jc w:val="right"/>
              <w:rPr>
                <w:color w:val="000000"/>
                <w:sz w:val="18"/>
                <w:szCs w:val="22"/>
              </w:rPr>
            </w:pPr>
            <w:r w:rsidRPr="00313EC6">
              <w:rPr>
                <w:color w:val="000000"/>
                <w:sz w:val="18"/>
                <w:szCs w:val="22"/>
              </w:rPr>
              <w:t>6.9</w:t>
            </w:r>
          </w:p>
        </w:tc>
        <w:tc>
          <w:tcPr>
            <w:tcW w:w="1276" w:type="dxa"/>
            <w:vAlign w:val="center"/>
          </w:tcPr>
          <w:p w14:paraId="341C1CE7" w14:textId="77777777" w:rsidR="00313EC6" w:rsidRPr="00313EC6" w:rsidRDefault="00313EC6" w:rsidP="00313EC6">
            <w:pPr>
              <w:jc w:val="right"/>
              <w:rPr>
                <w:sz w:val="18"/>
              </w:rPr>
            </w:pPr>
            <w:r w:rsidRPr="00313EC6">
              <w:rPr>
                <w:sz w:val="18"/>
              </w:rPr>
              <w:t>(0.0, 15.9)</w:t>
            </w:r>
          </w:p>
        </w:tc>
        <w:tc>
          <w:tcPr>
            <w:tcW w:w="709" w:type="dxa"/>
            <w:shd w:val="clear" w:color="auto" w:fill="auto"/>
            <w:vAlign w:val="center"/>
          </w:tcPr>
          <w:p w14:paraId="358D9A78" w14:textId="77777777" w:rsidR="00313EC6" w:rsidRPr="00313EC6" w:rsidRDefault="00313EC6" w:rsidP="00313EC6">
            <w:pPr>
              <w:jc w:val="right"/>
              <w:rPr>
                <w:color w:val="000000"/>
                <w:sz w:val="18"/>
                <w:szCs w:val="22"/>
              </w:rPr>
            </w:pPr>
            <w:r w:rsidRPr="00313EC6">
              <w:rPr>
                <w:color w:val="000000"/>
                <w:sz w:val="18"/>
                <w:szCs w:val="22"/>
              </w:rPr>
              <w:t>16</w:t>
            </w:r>
          </w:p>
        </w:tc>
        <w:tc>
          <w:tcPr>
            <w:tcW w:w="567" w:type="dxa"/>
            <w:shd w:val="clear" w:color="auto" w:fill="auto"/>
            <w:vAlign w:val="center"/>
          </w:tcPr>
          <w:p w14:paraId="146BAB30" w14:textId="77777777" w:rsidR="00313EC6" w:rsidRPr="00313EC6" w:rsidRDefault="00313EC6" w:rsidP="00313EC6">
            <w:pPr>
              <w:jc w:val="right"/>
              <w:rPr>
                <w:color w:val="000000"/>
                <w:sz w:val="18"/>
                <w:szCs w:val="22"/>
              </w:rPr>
            </w:pPr>
            <w:r w:rsidRPr="00313EC6">
              <w:rPr>
                <w:color w:val="000000"/>
                <w:sz w:val="18"/>
                <w:szCs w:val="22"/>
              </w:rPr>
              <w:t>30.7</w:t>
            </w:r>
          </w:p>
        </w:tc>
        <w:tc>
          <w:tcPr>
            <w:tcW w:w="1134" w:type="dxa"/>
            <w:vAlign w:val="center"/>
          </w:tcPr>
          <w:p w14:paraId="01930FC2" w14:textId="77777777" w:rsidR="00313EC6" w:rsidRPr="00313EC6" w:rsidRDefault="00313EC6" w:rsidP="00313EC6">
            <w:pPr>
              <w:jc w:val="right"/>
              <w:rPr>
                <w:sz w:val="18"/>
              </w:rPr>
            </w:pPr>
            <w:r w:rsidRPr="00313EC6">
              <w:rPr>
                <w:sz w:val="18"/>
              </w:rPr>
              <w:t>(16.3, 45.1)</w:t>
            </w:r>
          </w:p>
        </w:tc>
        <w:tc>
          <w:tcPr>
            <w:tcW w:w="567" w:type="dxa"/>
            <w:shd w:val="clear" w:color="auto" w:fill="auto"/>
            <w:vAlign w:val="center"/>
          </w:tcPr>
          <w:p w14:paraId="01D02540" w14:textId="77777777" w:rsidR="00313EC6" w:rsidRPr="00313EC6" w:rsidRDefault="00313EC6" w:rsidP="00313EC6">
            <w:pPr>
              <w:jc w:val="right"/>
              <w:rPr>
                <w:color w:val="000000"/>
                <w:sz w:val="18"/>
                <w:szCs w:val="22"/>
              </w:rPr>
            </w:pPr>
            <w:r w:rsidRPr="00313EC6">
              <w:rPr>
                <w:color w:val="000000"/>
                <w:sz w:val="18"/>
                <w:szCs w:val="22"/>
              </w:rPr>
              <w:t>13</w:t>
            </w:r>
          </w:p>
        </w:tc>
        <w:tc>
          <w:tcPr>
            <w:tcW w:w="567" w:type="dxa"/>
            <w:shd w:val="clear" w:color="auto" w:fill="auto"/>
            <w:vAlign w:val="center"/>
          </w:tcPr>
          <w:p w14:paraId="2931BC54" w14:textId="77777777" w:rsidR="00313EC6" w:rsidRPr="00313EC6" w:rsidRDefault="00313EC6" w:rsidP="00313EC6">
            <w:pPr>
              <w:jc w:val="right"/>
              <w:rPr>
                <w:color w:val="000000"/>
                <w:sz w:val="18"/>
                <w:szCs w:val="22"/>
              </w:rPr>
            </w:pPr>
            <w:r w:rsidRPr="00313EC6">
              <w:rPr>
                <w:color w:val="000000"/>
                <w:sz w:val="18"/>
                <w:szCs w:val="22"/>
              </w:rPr>
              <w:t>25.3</w:t>
            </w:r>
          </w:p>
        </w:tc>
        <w:tc>
          <w:tcPr>
            <w:tcW w:w="1135" w:type="dxa"/>
            <w:vAlign w:val="center"/>
          </w:tcPr>
          <w:p w14:paraId="7412AAB4" w14:textId="77777777" w:rsidR="00313EC6" w:rsidRPr="00313EC6" w:rsidRDefault="00313EC6" w:rsidP="00313EC6">
            <w:pPr>
              <w:jc w:val="right"/>
              <w:rPr>
                <w:sz w:val="18"/>
              </w:rPr>
            </w:pPr>
            <w:r w:rsidRPr="00313EC6">
              <w:rPr>
                <w:sz w:val="18"/>
              </w:rPr>
              <w:t>(10.1, 40.4)</w:t>
            </w:r>
          </w:p>
        </w:tc>
        <w:tc>
          <w:tcPr>
            <w:tcW w:w="567" w:type="dxa"/>
            <w:shd w:val="clear" w:color="auto" w:fill="auto"/>
            <w:vAlign w:val="center"/>
          </w:tcPr>
          <w:p w14:paraId="0B2BB830" w14:textId="77777777" w:rsidR="00313EC6" w:rsidRPr="00313EC6" w:rsidRDefault="00313EC6" w:rsidP="00313EC6">
            <w:pPr>
              <w:jc w:val="right"/>
              <w:rPr>
                <w:color w:val="000000"/>
                <w:sz w:val="18"/>
                <w:szCs w:val="22"/>
              </w:rPr>
            </w:pPr>
            <w:r w:rsidRPr="00313EC6">
              <w:rPr>
                <w:color w:val="000000"/>
                <w:sz w:val="18"/>
                <w:szCs w:val="22"/>
              </w:rPr>
              <w:t>15</w:t>
            </w:r>
          </w:p>
        </w:tc>
        <w:tc>
          <w:tcPr>
            <w:tcW w:w="568" w:type="dxa"/>
            <w:shd w:val="clear" w:color="auto" w:fill="auto"/>
            <w:vAlign w:val="center"/>
          </w:tcPr>
          <w:p w14:paraId="2745BDD0" w14:textId="77777777" w:rsidR="00313EC6" w:rsidRPr="00313EC6" w:rsidRDefault="00313EC6" w:rsidP="00313EC6">
            <w:pPr>
              <w:jc w:val="right"/>
              <w:rPr>
                <w:color w:val="000000"/>
                <w:sz w:val="18"/>
                <w:szCs w:val="22"/>
              </w:rPr>
            </w:pPr>
            <w:r w:rsidRPr="00313EC6">
              <w:rPr>
                <w:color w:val="000000"/>
                <w:sz w:val="18"/>
                <w:szCs w:val="22"/>
              </w:rPr>
              <w:t>27.5</w:t>
            </w:r>
          </w:p>
        </w:tc>
        <w:tc>
          <w:tcPr>
            <w:tcW w:w="1137" w:type="dxa"/>
            <w:vAlign w:val="center"/>
          </w:tcPr>
          <w:p w14:paraId="398FAD21" w14:textId="77777777" w:rsidR="00313EC6" w:rsidRPr="00313EC6" w:rsidRDefault="00313EC6" w:rsidP="00313EC6">
            <w:pPr>
              <w:jc w:val="right"/>
              <w:rPr>
                <w:sz w:val="18"/>
              </w:rPr>
            </w:pPr>
            <w:r w:rsidRPr="00313EC6">
              <w:rPr>
                <w:sz w:val="18"/>
              </w:rPr>
              <w:t>(15.3, 39.6)</w:t>
            </w:r>
          </w:p>
        </w:tc>
        <w:tc>
          <w:tcPr>
            <w:tcW w:w="567" w:type="dxa"/>
            <w:shd w:val="clear" w:color="auto" w:fill="auto"/>
            <w:vAlign w:val="center"/>
          </w:tcPr>
          <w:p w14:paraId="57F1994A" w14:textId="77777777" w:rsidR="00313EC6" w:rsidRPr="00313EC6" w:rsidRDefault="00313EC6" w:rsidP="00313EC6">
            <w:pPr>
              <w:jc w:val="right"/>
              <w:rPr>
                <w:color w:val="000000"/>
                <w:sz w:val="18"/>
                <w:szCs w:val="22"/>
              </w:rPr>
            </w:pPr>
            <w:r w:rsidRPr="00313EC6">
              <w:rPr>
                <w:color w:val="000000"/>
                <w:sz w:val="18"/>
                <w:szCs w:val="22"/>
              </w:rPr>
              <w:t>5</w:t>
            </w:r>
          </w:p>
        </w:tc>
        <w:tc>
          <w:tcPr>
            <w:tcW w:w="570" w:type="dxa"/>
            <w:shd w:val="clear" w:color="auto" w:fill="auto"/>
            <w:vAlign w:val="center"/>
          </w:tcPr>
          <w:p w14:paraId="6A927E9A" w14:textId="77777777" w:rsidR="00313EC6" w:rsidRPr="00313EC6" w:rsidRDefault="00313EC6" w:rsidP="00313EC6">
            <w:pPr>
              <w:jc w:val="right"/>
              <w:rPr>
                <w:color w:val="000000"/>
                <w:sz w:val="18"/>
                <w:szCs w:val="22"/>
              </w:rPr>
            </w:pPr>
            <w:r w:rsidRPr="00313EC6">
              <w:rPr>
                <w:color w:val="000000"/>
                <w:sz w:val="18"/>
                <w:szCs w:val="22"/>
              </w:rPr>
              <w:t>9.6</w:t>
            </w:r>
          </w:p>
        </w:tc>
        <w:tc>
          <w:tcPr>
            <w:tcW w:w="1137" w:type="dxa"/>
            <w:vAlign w:val="center"/>
          </w:tcPr>
          <w:p w14:paraId="110FC82B" w14:textId="77777777" w:rsidR="00313EC6" w:rsidRPr="00313EC6" w:rsidRDefault="00313EC6" w:rsidP="00313EC6">
            <w:pPr>
              <w:jc w:val="right"/>
              <w:rPr>
                <w:sz w:val="18"/>
              </w:rPr>
            </w:pPr>
            <w:r w:rsidRPr="00313EC6">
              <w:rPr>
                <w:sz w:val="18"/>
              </w:rPr>
              <w:t>(2.0, 17.3)</w:t>
            </w:r>
          </w:p>
        </w:tc>
      </w:tr>
      <w:tr w:rsidR="00313EC6" w:rsidRPr="00313EC6" w14:paraId="494CD708" w14:textId="77777777" w:rsidTr="00313EC6">
        <w:trPr>
          <w:jc w:val="center"/>
        </w:trPr>
        <w:tc>
          <w:tcPr>
            <w:tcW w:w="2269" w:type="dxa"/>
            <w:vAlign w:val="center"/>
          </w:tcPr>
          <w:p w14:paraId="0DAB9CF4" w14:textId="77777777" w:rsidR="00313EC6" w:rsidRPr="00313EC6" w:rsidRDefault="00313EC6" w:rsidP="00313EC6">
            <w:pPr>
              <w:keepNext/>
              <w:spacing w:before="20" w:after="20"/>
              <w:ind w:left="88"/>
              <w:rPr>
                <w:sz w:val="18"/>
                <w:szCs w:val="20"/>
              </w:rPr>
            </w:pPr>
            <w:r w:rsidRPr="00313EC6">
              <w:rPr>
                <w:sz w:val="18"/>
                <w:szCs w:val="20"/>
              </w:rPr>
              <w:t>Problem gambler</w:t>
            </w:r>
          </w:p>
        </w:tc>
        <w:tc>
          <w:tcPr>
            <w:tcW w:w="709" w:type="dxa"/>
            <w:shd w:val="clear" w:color="auto" w:fill="auto"/>
            <w:vAlign w:val="center"/>
          </w:tcPr>
          <w:p w14:paraId="0BB0FDAF" w14:textId="77777777" w:rsidR="00313EC6" w:rsidRPr="00313EC6" w:rsidRDefault="00313EC6" w:rsidP="00313EC6">
            <w:pPr>
              <w:jc w:val="right"/>
              <w:rPr>
                <w:color w:val="000000"/>
                <w:sz w:val="18"/>
                <w:szCs w:val="22"/>
              </w:rPr>
            </w:pPr>
            <w:r w:rsidRPr="00313EC6">
              <w:rPr>
                <w:color w:val="000000"/>
                <w:sz w:val="18"/>
                <w:szCs w:val="22"/>
              </w:rPr>
              <w:t>-</w:t>
            </w:r>
          </w:p>
        </w:tc>
        <w:tc>
          <w:tcPr>
            <w:tcW w:w="567" w:type="dxa"/>
            <w:shd w:val="clear" w:color="auto" w:fill="auto"/>
            <w:vAlign w:val="center"/>
          </w:tcPr>
          <w:p w14:paraId="2000C92A" w14:textId="77777777" w:rsidR="00313EC6" w:rsidRPr="00313EC6" w:rsidRDefault="00313EC6" w:rsidP="00313EC6">
            <w:pPr>
              <w:jc w:val="right"/>
              <w:rPr>
                <w:color w:val="000000"/>
                <w:sz w:val="18"/>
                <w:szCs w:val="22"/>
              </w:rPr>
            </w:pPr>
          </w:p>
        </w:tc>
        <w:tc>
          <w:tcPr>
            <w:tcW w:w="1276" w:type="dxa"/>
            <w:vAlign w:val="center"/>
          </w:tcPr>
          <w:p w14:paraId="593218A3" w14:textId="77777777" w:rsidR="00313EC6" w:rsidRPr="00313EC6" w:rsidRDefault="00313EC6" w:rsidP="00313EC6">
            <w:pPr>
              <w:jc w:val="right"/>
              <w:rPr>
                <w:sz w:val="18"/>
              </w:rPr>
            </w:pPr>
          </w:p>
        </w:tc>
        <w:tc>
          <w:tcPr>
            <w:tcW w:w="709" w:type="dxa"/>
            <w:shd w:val="clear" w:color="auto" w:fill="auto"/>
            <w:vAlign w:val="center"/>
          </w:tcPr>
          <w:p w14:paraId="71E810E2" w14:textId="77777777" w:rsidR="00313EC6" w:rsidRPr="00313EC6" w:rsidRDefault="00313EC6" w:rsidP="00313EC6">
            <w:pPr>
              <w:jc w:val="right"/>
              <w:rPr>
                <w:color w:val="000000"/>
                <w:sz w:val="18"/>
                <w:szCs w:val="22"/>
              </w:rPr>
            </w:pPr>
            <w:r w:rsidRPr="00313EC6">
              <w:rPr>
                <w:color w:val="000000"/>
                <w:sz w:val="18"/>
                <w:szCs w:val="22"/>
              </w:rPr>
              <w:t>5</w:t>
            </w:r>
          </w:p>
        </w:tc>
        <w:tc>
          <w:tcPr>
            <w:tcW w:w="567" w:type="dxa"/>
            <w:shd w:val="clear" w:color="auto" w:fill="auto"/>
            <w:vAlign w:val="center"/>
          </w:tcPr>
          <w:p w14:paraId="6EDCAEFA" w14:textId="77777777" w:rsidR="00313EC6" w:rsidRPr="00313EC6" w:rsidRDefault="00313EC6" w:rsidP="00313EC6">
            <w:pPr>
              <w:jc w:val="right"/>
              <w:rPr>
                <w:color w:val="000000"/>
                <w:sz w:val="18"/>
                <w:szCs w:val="22"/>
              </w:rPr>
            </w:pPr>
            <w:r w:rsidRPr="00313EC6">
              <w:rPr>
                <w:color w:val="000000"/>
                <w:sz w:val="18"/>
                <w:szCs w:val="22"/>
              </w:rPr>
              <w:t>32.6</w:t>
            </w:r>
          </w:p>
        </w:tc>
        <w:tc>
          <w:tcPr>
            <w:tcW w:w="1134" w:type="dxa"/>
            <w:vAlign w:val="center"/>
          </w:tcPr>
          <w:p w14:paraId="233196D9" w14:textId="77777777" w:rsidR="00313EC6" w:rsidRPr="00313EC6" w:rsidRDefault="00313EC6" w:rsidP="00313EC6">
            <w:pPr>
              <w:jc w:val="right"/>
              <w:rPr>
                <w:sz w:val="18"/>
              </w:rPr>
            </w:pPr>
            <w:r w:rsidRPr="00313EC6">
              <w:rPr>
                <w:sz w:val="18"/>
              </w:rPr>
              <w:t>(10.5, 54.6)</w:t>
            </w:r>
          </w:p>
        </w:tc>
        <w:tc>
          <w:tcPr>
            <w:tcW w:w="567" w:type="dxa"/>
            <w:shd w:val="clear" w:color="auto" w:fill="auto"/>
            <w:vAlign w:val="center"/>
          </w:tcPr>
          <w:p w14:paraId="4074B735" w14:textId="77777777" w:rsidR="00313EC6" w:rsidRPr="00313EC6" w:rsidRDefault="00313EC6" w:rsidP="00313EC6">
            <w:pPr>
              <w:jc w:val="right"/>
              <w:rPr>
                <w:color w:val="000000"/>
                <w:sz w:val="18"/>
                <w:szCs w:val="22"/>
              </w:rPr>
            </w:pPr>
            <w:r w:rsidRPr="00313EC6">
              <w:rPr>
                <w:color w:val="000000"/>
                <w:sz w:val="18"/>
                <w:szCs w:val="22"/>
              </w:rPr>
              <w:t>2</w:t>
            </w:r>
          </w:p>
        </w:tc>
        <w:tc>
          <w:tcPr>
            <w:tcW w:w="567" w:type="dxa"/>
            <w:shd w:val="clear" w:color="auto" w:fill="auto"/>
            <w:vAlign w:val="center"/>
          </w:tcPr>
          <w:p w14:paraId="58A544D1" w14:textId="77777777" w:rsidR="00313EC6" w:rsidRPr="00313EC6" w:rsidRDefault="00313EC6" w:rsidP="00313EC6">
            <w:pPr>
              <w:jc w:val="right"/>
              <w:rPr>
                <w:color w:val="000000"/>
                <w:sz w:val="18"/>
                <w:szCs w:val="22"/>
              </w:rPr>
            </w:pPr>
            <w:r w:rsidRPr="00313EC6">
              <w:rPr>
                <w:color w:val="000000"/>
                <w:sz w:val="18"/>
                <w:szCs w:val="22"/>
              </w:rPr>
              <w:t>13.6</w:t>
            </w:r>
          </w:p>
        </w:tc>
        <w:tc>
          <w:tcPr>
            <w:tcW w:w="1135" w:type="dxa"/>
            <w:vAlign w:val="center"/>
          </w:tcPr>
          <w:p w14:paraId="574DFA97" w14:textId="77777777" w:rsidR="00313EC6" w:rsidRPr="00313EC6" w:rsidRDefault="002F172C" w:rsidP="00313EC6">
            <w:pPr>
              <w:jc w:val="right"/>
              <w:rPr>
                <w:sz w:val="18"/>
              </w:rPr>
            </w:pPr>
            <w:r>
              <w:rPr>
                <w:sz w:val="18"/>
              </w:rPr>
              <w:t>!</w:t>
            </w:r>
          </w:p>
        </w:tc>
        <w:tc>
          <w:tcPr>
            <w:tcW w:w="567" w:type="dxa"/>
            <w:shd w:val="clear" w:color="auto" w:fill="auto"/>
            <w:vAlign w:val="center"/>
          </w:tcPr>
          <w:p w14:paraId="65934593" w14:textId="77777777" w:rsidR="00313EC6" w:rsidRPr="00313EC6" w:rsidRDefault="00313EC6" w:rsidP="00313EC6">
            <w:pPr>
              <w:jc w:val="right"/>
              <w:rPr>
                <w:color w:val="000000"/>
                <w:sz w:val="18"/>
                <w:szCs w:val="22"/>
              </w:rPr>
            </w:pPr>
            <w:r w:rsidRPr="00313EC6">
              <w:rPr>
                <w:color w:val="000000"/>
                <w:sz w:val="18"/>
                <w:szCs w:val="22"/>
              </w:rPr>
              <w:t>2</w:t>
            </w:r>
          </w:p>
        </w:tc>
        <w:tc>
          <w:tcPr>
            <w:tcW w:w="568" w:type="dxa"/>
            <w:shd w:val="clear" w:color="auto" w:fill="auto"/>
            <w:vAlign w:val="center"/>
          </w:tcPr>
          <w:p w14:paraId="5DE1069F" w14:textId="77777777" w:rsidR="00313EC6" w:rsidRPr="00313EC6" w:rsidRDefault="00313EC6" w:rsidP="00313EC6">
            <w:pPr>
              <w:jc w:val="right"/>
              <w:rPr>
                <w:color w:val="000000"/>
                <w:sz w:val="18"/>
                <w:szCs w:val="22"/>
              </w:rPr>
            </w:pPr>
            <w:r w:rsidRPr="00313EC6">
              <w:rPr>
                <w:color w:val="000000"/>
                <w:sz w:val="18"/>
                <w:szCs w:val="22"/>
              </w:rPr>
              <w:t>9.7</w:t>
            </w:r>
          </w:p>
        </w:tc>
        <w:tc>
          <w:tcPr>
            <w:tcW w:w="1137" w:type="dxa"/>
            <w:vAlign w:val="center"/>
          </w:tcPr>
          <w:p w14:paraId="1CC7E305" w14:textId="77777777" w:rsidR="00313EC6" w:rsidRPr="00313EC6" w:rsidRDefault="002F172C" w:rsidP="00313EC6">
            <w:pPr>
              <w:jc w:val="right"/>
              <w:rPr>
                <w:sz w:val="18"/>
              </w:rPr>
            </w:pPr>
            <w:r>
              <w:rPr>
                <w:sz w:val="18"/>
              </w:rPr>
              <w:t>!</w:t>
            </w:r>
          </w:p>
        </w:tc>
        <w:tc>
          <w:tcPr>
            <w:tcW w:w="567" w:type="dxa"/>
            <w:shd w:val="clear" w:color="auto" w:fill="auto"/>
            <w:vAlign w:val="center"/>
          </w:tcPr>
          <w:p w14:paraId="3B5D07D1" w14:textId="77777777" w:rsidR="00313EC6" w:rsidRPr="00313EC6" w:rsidRDefault="00313EC6" w:rsidP="00313EC6">
            <w:pPr>
              <w:jc w:val="right"/>
              <w:rPr>
                <w:color w:val="000000"/>
                <w:sz w:val="18"/>
                <w:szCs w:val="22"/>
              </w:rPr>
            </w:pPr>
            <w:r w:rsidRPr="00313EC6">
              <w:rPr>
                <w:color w:val="000000"/>
                <w:sz w:val="18"/>
                <w:szCs w:val="22"/>
              </w:rPr>
              <w:t>7</w:t>
            </w:r>
          </w:p>
        </w:tc>
        <w:tc>
          <w:tcPr>
            <w:tcW w:w="570" w:type="dxa"/>
            <w:shd w:val="clear" w:color="auto" w:fill="auto"/>
            <w:vAlign w:val="center"/>
          </w:tcPr>
          <w:p w14:paraId="7B019DF6" w14:textId="77777777" w:rsidR="00313EC6" w:rsidRPr="00313EC6" w:rsidRDefault="00313EC6" w:rsidP="00313EC6">
            <w:pPr>
              <w:jc w:val="right"/>
              <w:rPr>
                <w:color w:val="000000"/>
                <w:sz w:val="18"/>
                <w:szCs w:val="22"/>
              </w:rPr>
            </w:pPr>
            <w:r w:rsidRPr="00313EC6">
              <w:rPr>
                <w:color w:val="000000"/>
                <w:sz w:val="18"/>
                <w:szCs w:val="22"/>
              </w:rPr>
              <w:t>44.1</w:t>
            </w:r>
          </w:p>
        </w:tc>
        <w:tc>
          <w:tcPr>
            <w:tcW w:w="1137" w:type="dxa"/>
            <w:vAlign w:val="center"/>
          </w:tcPr>
          <w:p w14:paraId="0815D9B0" w14:textId="77777777" w:rsidR="00313EC6" w:rsidRPr="00313EC6" w:rsidRDefault="00313EC6" w:rsidP="00313EC6">
            <w:pPr>
              <w:jc w:val="right"/>
              <w:rPr>
                <w:sz w:val="18"/>
              </w:rPr>
            </w:pPr>
            <w:r w:rsidRPr="00313EC6">
              <w:rPr>
                <w:sz w:val="18"/>
              </w:rPr>
              <w:t>(23.2, 65.0)</w:t>
            </w:r>
          </w:p>
        </w:tc>
      </w:tr>
      <w:tr w:rsidR="00313EC6" w:rsidRPr="00313EC6" w14:paraId="3BA57E29" w14:textId="77777777" w:rsidTr="00313EC6">
        <w:trPr>
          <w:jc w:val="center"/>
        </w:trPr>
        <w:tc>
          <w:tcPr>
            <w:tcW w:w="3545" w:type="dxa"/>
            <w:gridSpan w:val="3"/>
            <w:tcBorders>
              <w:top w:val="single" w:sz="4" w:space="0" w:color="auto"/>
            </w:tcBorders>
            <w:shd w:val="clear" w:color="auto" w:fill="auto"/>
            <w:vAlign w:val="center"/>
          </w:tcPr>
          <w:p w14:paraId="23E21A2F" w14:textId="77777777" w:rsidR="00313EC6" w:rsidRPr="00313EC6" w:rsidRDefault="00313EC6" w:rsidP="005E3FD2">
            <w:pPr>
              <w:keepNext/>
              <w:keepLines/>
              <w:spacing w:before="20" w:after="20"/>
              <w:rPr>
                <w:b/>
                <w:color w:val="000000"/>
                <w:sz w:val="18"/>
                <w:szCs w:val="20"/>
              </w:rPr>
            </w:pPr>
            <w:r w:rsidRPr="00313EC6">
              <w:rPr>
                <w:b/>
                <w:color w:val="000000"/>
                <w:sz w:val="18"/>
                <w:szCs w:val="20"/>
              </w:rPr>
              <w:t>Wave 2 to Wave 3</w:t>
            </w:r>
          </w:p>
        </w:tc>
        <w:tc>
          <w:tcPr>
            <w:tcW w:w="1276" w:type="dxa"/>
            <w:tcBorders>
              <w:top w:val="single" w:sz="4" w:space="0" w:color="auto"/>
            </w:tcBorders>
            <w:vAlign w:val="center"/>
          </w:tcPr>
          <w:p w14:paraId="34135378" w14:textId="77777777" w:rsidR="00313EC6" w:rsidRPr="00313EC6" w:rsidRDefault="00313EC6" w:rsidP="00313EC6">
            <w:pPr>
              <w:keepNext/>
              <w:keepLines/>
              <w:spacing w:before="20" w:after="20"/>
              <w:jc w:val="right"/>
              <w:rPr>
                <w:color w:val="000000"/>
                <w:sz w:val="18"/>
                <w:szCs w:val="20"/>
              </w:rPr>
            </w:pPr>
          </w:p>
        </w:tc>
        <w:tc>
          <w:tcPr>
            <w:tcW w:w="709" w:type="dxa"/>
            <w:tcBorders>
              <w:top w:val="single" w:sz="4" w:space="0" w:color="auto"/>
            </w:tcBorders>
            <w:shd w:val="clear" w:color="auto" w:fill="auto"/>
            <w:vAlign w:val="center"/>
          </w:tcPr>
          <w:p w14:paraId="6475E6A0" w14:textId="77777777" w:rsidR="00313EC6" w:rsidRPr="00313EC6" w:rsidRDefault="00313EC6" w:rsidP="00313EC6">
            <w:pPr>
              <w:keepNext/>
              <w:keepLines/>
              <w:spacing w:before="20" w:after="20"/>
              <w:jc w:val="right"/>
              <w:rPr>
                <w:color w:val="000000"/>
                <w:sz w:val="18"/>
                <w:szCs w:val="20"/>
              </w:rPr>
            </w:pPr>
          </w:p>
        </w:tc>
        <w:tc>
          <w:tcPr>
            <w:tcW w:w="567" w:type="dxa"/>
            <w:tcBorders>
              <w:top w:val="single" w:sz="4" w:space="0" w:color="auto"/>
            </w:tcBorders>
            <w:shd w:val="clear" w:color="auto" w:fill="auto"/>
            <w:vAlign w:val="center"/>
          </w:tcPr>
          <w:p w14:paraId="1A1D85A2" w14:textId="77777777" w:rsidR="00313EC6" w:rsidRPr="00313EC6" w:rsidRDefault="00313EC6" w:rsidP="00313EC6">
            <w:pPr>
              <w:keepNext/>
              <w:keepLines/>
              <w:spacing w:before="20" w:after="20"/>
              <w:jc w:val="right"/>
              <w:rPr>
                <w:color w:val="000000"/>
                <w:sz w:val="18"/>
                <w:szCs w:val="20"/>
              </w:rPr>
            </w:pPr>
          </w:p>
        </w:tc>
        <w:tc>
          <w:tcPr>
            <w:tcW w:w="1134" w:type="dxa"/>
            <w:tcBorders>
              <w:top w:val="single" w:sz="4" w:space="0" w:color="auto"/>
            </w:tcBorders>
            <w:vAlign w:val="center"/>
          </w:tcPr>
          <w:p w14:paraId="799C54D7" w14:textId="77777777" w:rsidR="00313EC6" w:rsidRPr="00313EC6" w:rsidRDefault="00313EC6" w:rsidP="00313EC6">
            <w:pPr>
              <w:jc w:val="right"/>
              <w:rPr>
                <w:rFonts w:ascii="Calibri" w:hAnsi="Calibri"/>
                <w:color w:val="000000"/>
                <w:sz w:val="18"/>
                <w:szCs w:val="22"/>
              </w:rPr>
            </w:pPr>
          </w:p>
        </w:tc>
        <w:tc>
          <w:tcPr>
            <w:tcW w:w="567" w:type="dxa"/>
            <w:tcBorders>
              <w:top w:val="single" w:sz="4" w:space="0" w:color="auto"/>
            </w:tcBorders>
            <w:shd w:val="clear" w:color="auto" w:fill="auto"/>
            <w:vAlign w:val="center"/>
          </w:tcPr>
          <w:p w14:paraId="7D6FB6C2" w14:textId="77777777" w:rsidR="00313EC6" w:rsidRPr="00313EC6" w:rsidRDefault="00313EC6" w:rsidP="00313EC6">
            <w:pPr>
              <w:jc w:val="right"/>
              <w:rPr>
                <w:rFonts w:ascii="Calibri" w:hAnsi="Calibri"/>
                <w:color w:val="000000"/>
                <w:sz w:val="18"/>
                <w:szCs w:val="22"/>
              </w:rPr>
            </w:pPr>
          </w:p>
        </w:tc>
        <w:tc>
          <w:tcPr>
            <w:tcW w:w="567" w:type="dxa"/>
            <w:tcBorders>
              <w:top w:val="single" w:sz="4" w:space="0" w:color="auto"/>
            </w:tcBorders>
            <w:shd w:val="clear" w:color="auto" w:fill="auto"/>
            <w:vAlign w:val="center"/>
          </w:tcPr>
          <w:p w14:paraId="41C33E04" w14:textId="77777777" w:rsidR="00313EC6" w:rsidRPr="00313EC6" w:rsidRDefault="00313EC6" w:rsidP="00313EC6">
            <w:pPr>
              <w:jc w:val="right"/>
              <w:rPr>
                <w:sz w:val="18"/>
                <w:szCs w:val="20"/>
              </w:rPr>
            </w:pPr>
          </w:p>
        </w:tc>
        <w:tc>
          <w:tcPr>
            <w:tcW w:w="1135" w:type="dxa"/>
            <w:tcBorders>
              <w:top w:val="single" w:sz="4" w:space="0" w:color="auto"/>
            </w:tcBorders>
            <w:vAlign w:val="center"/>
          </w:tcPr>
          <w:p w14:paraId="7A2EFDEF" w14:textId="77777777" w:rsidR="00313EC6" w:rsidRPr="00313EC6" w:rsidRDefault="00313EC6" w:rsidP="00313EC6">
            <w:pPr>
              <w:jc w:val="right"/>
              <w:rPr>
                <w:rFonts w:ascii="Calibri" w:hAnsi="Calibri"/>
                <w:color w:val="000000"/>
                <w:sz w:val="16"/>
                <w:szCs w:val="22"/>
              </w:rPr>
            </w:pPr>
          </w:p>
        </w:tc>
        <w:tc>
          <w:tcPr>
            <w:tcW w:w="567" w:type="dxa"/>
            <w:tcBorders>
              <w:top w:val="single" w:sz="4" w:space="0" w:color="auto"/>
            </w:tcBorders>
            <w:shd w:val="clear" w:color="auto" w:fill="auto"/>
            <w:vAlign w:val="center"/>
          </w:tcPr>
          <w:p w14:paraId="77D0BBE6" w14:textId="77777777" w:rsidR="00313EC6" w:rsidRPr="00313EC6" w:rsidRDefault="00313EC6" w:rsidP="00313EC6">
            <w:pPr>
              <w:jc w:val="right"/>
              <w:rPr>
                <w:rFonts w:ascii="Calibri" w:hAnsi="Calibri"/>
                <w:color w:val="000000"/>
                <w:sz w:val="18"/>
                <w:szCs w:val="22"/>
              </w:rPr>
            </w:pPr>
          </w:p>
        </w:tc>
        <w:tc>
          <w:tcPr>
            <w:tcW w:w="568" w:type="dxa"/>
            <w:tcBorders>
              <w:top w:val="single" w:sz="4" w:space="0" w:color="auto"/>
            </w:tcBorders>
            <w:shd w:val="clear" w:color="auto" w:fill="auto"/>
            <w:vAlign w:val="center"/>
          </w:tcPr>
          <w:p w14:paraId="1DC54CFC" w14:textId="77777777" w:rsidR="00313EC6" w:rsidRPr="00313EC6" w:rsidRDefault="00313EC6" w:rsidP="00313EC6">
            <w:pPr>
              <w:jc w:val="right"/>
              <w:rPr>
                <w:sz w:val="18"/>
                <w:szCs w:val="20"/>
              </w:rPr>
            </w:pPr>
          </w:p>
        </w:tc>
        <w:tc>
          <w:tcPr>
            <w:tcW w:w="1137" w:type="dxa"/>
            <w:tcBorders>
              <w:top w:val="single" w:sz="4" w:space="0" w:color="auto"/>
            </w:tcBorders>
            <w:vAlign w:val="center"/>
          </w:tcPr>
          <w:p w14:paraId="35271EB6" w14:textId="77777777" w:rsidR="00313EC6" w:rsidRPr="00313EC6" w:rsidRDefault="00313EC6" w:rsidP="00313EC6">
            <w:pPr>
              <w:jc w:val="right"/>
              <w:rPr>
                <w:rFonts w:ascii="Calibri" w:hAnsi="Calibri"/>
                <w:color w:val="000000"/>
                <w:sz w:val="18"/>
                <w:szCs w:val="22"/>
              </w:rPr>
            </w:pPr>
          </w:p>
        </w:tc>
        <w:tc>
          <w:tcPr>
            <w:tcW w:w="567" w:type="dxa"/>
            <w:tcBorders>
              <w:top w:val="single" w:sz="4" w:space="0" w:color="auto"/>
            </w:tcBorders>
            <w:shd w:val="clear" w:color="auto" w:fill="auto"/>
            <w:vAlign w:val="center"/>
          </w:tcPr>
          <w:p w14:paraId="38D20AAD" w14:textId="77777777" w:rsidR="00313EC6" w:rsidRPr="00313EC6" w:rsidRDefault="00313EC6" w:rsidP="00313EC6">
            <w:pPr>
              <w:jc w:val="right"/>
              <w:rPr>
                <w:rFonts w:ascii="Calibri" w:hAnsi="Calibri"/>
                <w:color w:val="000000"/>
                <w:sz w:val="18"/>
                <w:szCs w:val="22"/>
              </w:rPr>
            </w:pPr>
          </w:p>
        </w:tc>
        <w:tc>
          <w:tcPr>
            <w:tcW w:w="570" w:type="dxa"/>
            <w:tcBorders>
              <w:top w:val="single" w:sz="4" w:space="0" w:color="auto"/>
            </w:tcBorders>
            <w:shd w:val="clear" w:color="auto" w:fill="auto"/>
            <w:vAlign w:val="center"/>
          </w:tcPr>
          <w:p w14:paraId="6CF07187" w14:textId="77777777" w:rsidR="00313EC6" w:rsidRPr="004134EA" w:rsidRDefault="00313EC6" w:rsidP="00313EC6">
            <w:pPr>
              <w:jc w:val="right"/>
            </w:pPr>
          </w:p>
        </w:tc>
        <w:tc>
          <w:tcPr>
            <w:tcW w:w="1137" w:type="dxa"/>
            <w:tcBorders>
              <w:top w:val="single" w:sz="4" w:space="0" w:color="auto"/>
            </w:tcBorders>
            <w:vAlign w:val="center"/>
          </w:tcPr>
          <w:p w14:paraId="5F402A59" w14:textId="77777777" w:rsidR="00313EC6" w:rsidRPr="00313EC6" w:rsidRDefault="00313EC6" w:rsidP="00313EC6">
            <w:pPr>
              <w:jc w:val="right"/>
              <w:rPr>
                <w:sz w:val="18"/>
                <w:szCs w:val="20"/>
              </w:rPr>
            </w:pPr>
          </w:p>
        </w:tc>
      </w:tr>
      <w:tr w:rsidR="00313EC6" w:rsidRPr="00313EC6" w14:paraId="0775D3A5" w14:textId="77777777" w:rsidTr="00313EC6">
        <w:trPr>
          <w:jc w:val="center"/>
        </w:trPr>
        <w:tc>
          <w:tcPr>
            <w:tcW w:w="2269" w:type="dxa"/>
            <w:vAlign w:val="center"/>
          </w:tcPr>
          <w:p w14:paraId="56E5BEF7" w14:textId="77777777" w:rsidR="00313EC6" w:rsidRPr="00313EC6" w:rsidRDefault="00313EC6" w:rsidP="00313EC6">
            <w:pPr>
              <w:keepNext/>
              <w:keepLines/>
              <w:spacing w:before="20" w:after="20"/>
              <w:ind w:left="88"/>
              <w:rPr>
                <w:sz w:val="18"/>
                <w:szCs w:val="20"/>
              </w:rPr>
            </w:pPr>
            <w:r w:rsidRPr="00313EC6">
              <w:rPr>
                <w:sz w:val="18"/>
                <w:szCs w:val="20"/>
              </w:rPr>
              <w:t>Non-gambler</w:t>
            </w:r>
          </w:p>
        </w:tc>
        <w:tc>
          <w:tcPr>
            <w:tcW w:w="709" w:type="dxa"/>
            <w:shd w:val="clear" w:color="auto" w:fill="auto"/>
            <w:vAlign w:val="center"/>
          </w:tcPr>
          <w:p w14:paraId="46DBDBED" w14:textId="77777777" w:rsidR="00313EC6" w:rsidRPr="00313EC6" w:rsidRDefault="00313EC6" w:rsidP="00313EC6">
            <w:pPr>
              <w:jc w:val="right"/>
              <w:rPr>
                <w:color w:val="000000"/>
                <w:sz w:val="18"/>
                <w:szCs w:val="22"/>
              </w:rPr>
            </w:pPr>
            <w:r w:rsidRPr="00313EC6">
              <w:rPr>
                <w:color w:val="000000"/>
                <w:sz w:val="18"/>
                <w:szCs w:val="22"/>
              </w:rPr>
              <w:t>439</w:t>
            </w:r>
          </w:p>
        </w:tc>
        <w:tc>
          <w:tcPr>
            <w:tcW w:w="567" w:type="dxa"/>
            <w:shd w:val="clear" w:color="auto" w:fill="auto"/>
            <w:vAlign w:val="center"/>
          </w:tcPr>
          <w:p w14:paraId="7B90F6E6" w14:textId="77777777" w:rsidR="00313EC6" w:rsidRPr="00313EC6" w:rsidRDefault="00313EC6" w:rsidP="00313EC6">
            <w:pPr>
              <w:jc w:val="right"/>
              <w:rPr>
                <w:color w:val="000000"/>
                <w:sz w:val="18"/>
                <w:szCs w:val="22"/>
              </w:rPr>
            </w:pPr>
            <w:r w:rsidRPr="00313EC6">
              <w:rPr>
                <w:color w:val="000000"/>
                <w:sz w:val="18"/>
                <w:szCs w:val="22"/>
              </w:rPr>
              <w:t>64.1</w:t>
            </w:r>
          </w:p>
        </w:tc>
        <w:tc>
          <w:tcPr>
            <w:tcW w:w="1276" w:type="dxa"/>
            <w:vAlign w:val="center"/>
          </w:tcPr>
          <w:p w14:paraId="035CD3AA" w14:textId="77777777" w:rsidR="00313EC6" w:rsidRPr="00313EC6" w:rsidRDefault="00313EC6" w:rsidP="00313EC6">
            <w:pPr>
              <w:jc w:val="right"/>
              <w:rPr>
                <w:sz w:val="18"/>
              </w:rPr>
            </w:pPr>
            <w:r w:rsidRPr="00313EC6">
              <w:rPr>
                <w:sz w:val="18"/>
              </w:rPr>
              <w:t>(59.6, 68.7)</w:t>
            </w:r>
          </w:p>
        </w:tc>
        <w:tc>
          <w:tcPr>
            <w:tcW w:w="709" w:type="dxa"/>
            <w:shd w:val="clear" w:color="auto" w:fill="auto"/>
            <w:vAlign w:val="center"/>
          </w:tcPr>
          <w:p w14:paraId="1B30C8D9" w14:textId="77777777" w:rsidR="00313EC6" w:rsidRPr="00313EC6" w:rsidRDefault="00313EC6" w:rsidP="00313EC6">
            <w:pPr>
              <w:jc w:val="right"/>
              <w:rPr>
                <w:color w:val="000000"/>
                <w:sz w:val="18"/>
                <w:szCs w:val="22"/>
              </w:rPr>
            </w:pPr>
            <w:r w:rsidRPr="00313EC6">
              <w:rPr>
                <w:color w:val="000000"/>
                <w:sz w:val="18"/>
                <w:szCs w:val="22"/>
              </w:rPr>
              <w:t>231</w:t>
            </w:r>
          </w:p>
        </w:tc>
        <w:tc>
          <w:tcPr>
            <w:tcW w:w="567" w:type="dxa"/>
            <w:shd w:val="clear" w:color="auto" w:fill="auto"/>
            <w:vAlign w:val="center"/>
          </w:tcPr>
          <w:p w14:paraId="3995E721" w14:textId="77777777" w:rsidR="00313EC6" w:rsidRPr="00313EC6" w:rsidRDefault="00313EC6" w:rsidP="00313EC6">
            <w:pPr>
              <w:jc w:val="right"/>
              <w:rPr>
                <w:color w:val="000000"/>
                <w:sz w:val="18"/>
                <w:szCs w:val="22"/>
              </w:rPr>
            </w:pPr>
            <w:r w:rsidRPr="00313EC6">
              <w:rPr>
                <w:color w:val="000000"/>
                <w:sz w:val="18"/>
                <w:szCs w:val="22"/>
              </w:rPr>
              <w:t>33.8</w:t>
            </w:r>
          </w:p>
        </w:tc>
        <w:tc>
          <w:tcPr>
            <w:tcW w:w="1134" w:type="dxa"/>
            <w:vAlign w:val="center"/>
          </w:tcPr>
          <w:p w14:paraId="46D09C9A" w14:textId="77777777" w:rsidR="00313EC6" w:rsidRPr="00313EC6" w:rsidRDefault="00313EC6" w:rsidP="00313EC6">
            <w:pPr>
              <w:jc w:val="right"/>
              <w:rPr>
                <w:sz w:val="18"/>
              </w:rPr>
            </w:pPr>
            <w:r w:rsidRPr="00313EC6">
              <w:rPr>
                <w:sz w:val="18"/>
              </w:rPr>
              <w:t>(29.2, 38.3)</w:t>
            </w:r>
          </w:p>
        </w:tc>
        <w:tc>
          <w:tcPr>
            <w:tcW w:w="567" w:type="dxa"/>
            <w:shd w:val="clear" w:color="auto" w:fill="auto"/>
            <w:vAlign w:val="center"/>
          </w:tcPr>
          <w:p w14:paraId="4C14A1F3" w14:textId="77777777" w:rsidR="00313EC6" w:rsidRPr="00313EC6" w:rsidRDefault="00313EC6" w:rsidP="00313EC6">
            <w:pPr>
              <w:jc w:val="right"/>
              <w:rPr>
                <w:color w:val="000000"/>
                <w:sz w:val="18"/>
                <w:szCs w:val="22"/>
              </w:rPr>
            </w:pPr>
            <w:r w:rsidRPr="00313EC6">
              <w:rPr>
                <w:color w:val="000000"/>
                <w:sz w:val="18"/>
                <w:szCs w:val="22"/>
              </w:rPr>
              <w:t>13</w:t>
            </w:r>
          </w:p>
        </w:tc>
        <w:tc>
          <w:tcPr>
            <w:tcW w:w="567" w:type="dxa"/>
            <w:shd w:val="clear" w:color="auto" w:fill="auto"/>
            <w:vAlign w:val="center"/>
          </w:tcPr>
          <w:p w14:paraId="4E95D798" w14:textId="77777777" w:rsidR="00313EC6" w:rsidRPr="00313EC6" w:rsidRDefault="00313EC6" w:rsidP="00313EC6">
            <w:pPr>
              <w:jc w:val="right"/>
              <w:rPr>
                <w:color w:val="000000"/>
                <w:sz w:val="18"/>
                <w:szCs w:val="22"/>
              </w:rPr>
            </w:pPr>
            <w:r w:rsidRPr="00313EC6">
              <w:rPr>
                <w:color w:val="000000"/>
                <w:sz w:val="18"/>
                <w:szCs w:val="22"/>
              </w:rPr>
              <w:t>1.8</w:t>
            </w:r>
          </w:p>
        </w:tc>
        <w:tc>
          <w:tcPr>
            <w:tcW w:w="1135" w:type="dxa"/>
            <w:vAlign w:val="center"/>
          </w:tcPr>
          <w:p w14:paraId="657CC6C5" w14:textId="77777777" w:rsidR="00313EC6" w:rsidRPr="00313EC6" w:rsidRDefault="00313EC6" w:rsidP="00313EC6">
            <w:pPr>
              <w:jc w:val="right"/>
              <w:rPr>
                <w:sz w:val="18"/>
              </w:rPr>
            </w:pPr>
            <w:r w:rsidRPr="00313EC6">
              <w:rPr>
                <w:sz w:val="18"/>
              </w:rPr>
              <w:t>(0.7, 2.9)</w:t>
            </w:r>
          </w:p>
        </w:tc>
        <w:tc>
          <w:tcPr>
            <w:tcW w:w="567" w:type="dxa"/>
            <w:shd w:val="clear" w:color="auto" w:fill="auto"/>
            <w:vAlign w:val="center"/>
          </w:tcPr>
          <w:p w14:paraId="7EE26AA0" w14:textId="77777777" w:rsidR="00313EC6" w:rsidRPr="00313EC6" w:rsidRDefault="00313EC6" w:rsidP="00313EC6">
            <w:pPr>
              <w:jc w:val="right"/>
              <w:rPr>
                <w:color w:val="000000"/>
                <w:sz w:val="18"/>
                <w:szCs w:val="22"/>
              </w:rPr>
            </w:pPr>
            <w:r w:rsidRPr="00313EC6">
              <w:rPr>
                <w:color w:val="000000"/>
                <w:sz w:val="18"/>
                <w:szCs w:val="22"/>
              </w:rPr>
              <w:t>2</w:t>
            </w:r>
          </w:p>
        </w:tc>
        <w:tc>
          <w:tcPr>
            <w:tcW w:w="568" w:type="dxa"/>
            <w:shd w:val="clear" w:color="auto" w:fill="auto"/>
            <w:vAlign w:val="center"/>
          </w:tcPr>
          <w:p w14:paraId="4F216E04" w14:textId="77777777" w:rsidR="00313EC6" w:rsidRPr="00313EC6" w:rsidRDefault="00313EC6" w:rsidP="00313EC6">
            <w:pPr>
              <w:jc w:val="right"/>
              <w:rPr>
                <w:color w:val="000000"/>
                <w:sz w:val="18"/>
                <w:szCs w:val="22"/>
              </w:rPr>
            </w:pPr>
            <w:r w:rsidRPr="00313EC6">
              <w:rPr>
                <w:color w:val="000000"/>
                <w:sz w:val="18"/>
                <w:szCs w:val="22"/>
              </w:rPr>
              <w:t>0.2</w:t>
            </w:r>
          </w:p>
        </w:tc>
        <w:tc>
          <w:tcPr>
            <w:tcW w:w="1137" w:type="dxa"/>
            <w:vAlign w:val="center"/>
          </w:tcPr>
          <w:p w14:paraId="50866CE3" w14:textId="77777777" w:rsidR="00313EC6" w:rsidRPr="00313EC6" w:rsidRDefault="002F172C" w:rsidP="00313EC6">
            <w:pPr>
              <w:jc w:val="right"/>
              <w:rPr>
                <w:sz w:val="18"/>
              </w:rPr>
            </w:pPr>
            <w:r>
              <w:rPr>
                <w:sz w:val="18"/>
              </w:rPr>
              <w:t>!</w:t>
            </w:r>
          </w:p>
        </w:tc>
        <w:tc>
          <w:tcPr>
            <w:tcW w:w="567" w:type="dxa"/>
            <w:shd w:val="clear" w:color="auto" w:fill="auto"/>
            <w:vAlign w:val="center"/>
          </w:tcPr>
          <w:p w14:paraId="500C2DB6" w14:textId="77777777" w:rsidR="00313EC6" w:rsidRPr="00313EC6" w:rsidRDefault="00313EC6" w:rsidP="00313EC6">
            <w:pPr>
              <w:jc w:val="right"/>
              <w:rPr>
                <w:color w:val="000000"/>
                <w:sz w:val="18"/>
                <w:szCs w:val="22"/>
              </w:rPr>
            </w:pPr>
            <w:r w:rsidRPr="00313EC6">
              <w:rPr>
                <w:color w:val="000000"/>
                <w:sz w:val="18"/>
                <w:szCs w:val="22"/>
              </w:rPr>
              <w:t>0</w:t>
            </w:r>
          </w:p>
        </w:tc>
        <w:tc>
          <w:tcPr>
            <w:tcW w:w="570" w:type="dxa"/>
            <w:shd w:val="clear" w:color="auto" w:fill="auto"/>
            <w:vAlign w:val="center"/>
          </w:tcPr>
          <w:p w14:paraId="7E427282" w14:textId="77777777" w:rsidR="00313EC6" w:rsidRPr="00313EC6" w:rsidRDefault="00313EC6" w:rsidP="00313EC6">
            <w:pPr>
              <w:jc w:val="right"/>
              <w:rPr>
                <w:color w:val="000000"/>
                <w:sz w:val="18"/>
                <w:szCs w:val="22"/>
              </w:rPr>
            </w:pPr>
            <w:r w:rsidRPr="00313EC6">
              <w:rPr>
                <w:color w:val="000000"/>
                <w:sz w:val="18"/>
                <w:szCs w:val="22"/>
              </w:rPr>
              <w:t>0.0</w:t>
            </w:r>
          </w:p>
        </w:tc>
        <w:tc>
          <w:tcPr>
            <w:tcW w:w="1137" w:type="dxa"/>
            <w:vAlign w:val="center"/>
          </w:tcPr>
          <w:p w14:paraId="562FEBCC" w14:textId="77777777" w:rsidR="00313EC6" w:rsidRPr="00313EC6" w:rsidRDefault="002F172C" w:rsidP="00313EC6">
            <w:pPr>
              <w:jc w:val="right"/>
              <w:rPr>
                <w:sz w:val="18"/>
              </w:rPr>
            </w:pPr>
            <w:r>
              <w:rPr>
                <w:sz w:val="18"/>
              </w:rPr>
              <w:t>!</w:t>
            </w:r>
          </w:p>
        </w:tc>
      </w:tr>
      <w:tr w:rsidR="00313EC6" w:rsidRPr="00313EC6" w14:paraId="03BE0B92" w14:textId="77777777" w:rsidTr="00313EC6">
        <w:trPr>
          <w:jc w:val="center"/>
        </w:trPr>
        <w:tc>
          <w:tcPr>
            <w:tcW w:w="2269" w:type="dxa"/>
            <w:vAlign w:val="center"/>
          </w:tcPr>
          <w:p w14:paraId="4E450EF2" w14:textId="77777777" w:rsidR="00313EC6" w:rsidRPr="00313EC6" w:rsidRDefault="00313EC6" w:rsidP="00313EC6">
            <w:pPr>
              <w:spacing w:before="20" w:after="20"/>
              <w:ind w:left="88"/>
              <w:rPr>
                <w:sz w:val="18"/>
                <w:szCs w:val="20"/>
              </w:rPr>
            </w:pPr>
            <w:r w:rsidRPr="00313EC6">
              <w:rPr>
                <w:sz w:val="18"/>
                <w:szCs w:val="20"/>
              </w:rPr>
              <w:t>Non-problem gambler</w:t>
            </w:r>
          </w:p>
        </w:tc>
        <w:tc>
          <w:tcPr>
            <w:tcW w:w="709" w:type="dxa"/>
            <w:shd w:val="clear" w:color="auto" w:fill="auto"/>
            <w:vAlign w:val="center"/>
          </w:tcPr>
          <w:p w14:paraId="4A5B47FC" w14:textId="77777777" w:rsidR="00313EC6" w:rsidRPr="00313EC6" w:rsidRDefault="00313EC6" w:rsidP="00313EC6">
            <w:pPr>
              <w:jc w:val="right"/>
              <w:rPr>
                <w:color w:val="000000"/>
                <w:sz w:val="18"/>
                <w:szCs w:val="22"/>
              </w:rPr>
            </w:pPr>
            <w:r w:rsidRPr="00313EC6">
              <w:rPr>
                <w:color w:val="000000"/>
                <w:sz w:val="18"/>
                <w:szCs w:val="22"/>
              </w:rPr>
              <w:t>275</w:t>
            </w:r>
          </w:p>
        </w:tc>
        <w:tc>
          <w:tcPr>
            <w:tcW w:w="567" w:type="dxa"/>
            <w:shd w:val="clear" w:color="auto" w:fill="auto"/>
            <w:vAlign w:val="center"/>
          </w:tcPr>
          <w:p w14:paraId="2AE561DE" w14:textId="77777777" w:rsidR="00313EC6" w:rsidRPr="00313EC6" w:rsidRDefault="00313EC6" w:rsidP="00313EC6">
            <w:pPr>
              <w:jc w:val="right"/>
              <w:rPr>
                <w:color w:val="000000"/>
                <w:sz w:val="18"/>
                <w:szCs w:val="22"/>
              </w:rPr>
            </w:pPr>
            <w:r w:rsidRPr="00313EC6">
              <w:rPr>
                <w:color w:val="000000"/>
                <w:sz w:val="18"/>
                <w:szCs w:val="22"/>
              </w:rPr>
              <w:t>12.5</w:t>
            </w:r>
          </w:p>
        </w:tc>
        <w:tc>
          <w:tcPr>
            <w:tcW w:w="1276" w:type="dxa"/>
            <w:vAlign w:val="center"/>
          </w:tcPr>
          <w:p w14:paraId="3CE85AE3" w14:textId="77777777" w:rsidR="00313EC6" w:rsidRPr="00313EC6" w:rsidRDefault="00313EC6" w:rsidP="00313EC6">
            <w:pPr>
              <w:jc w:val="right"/>
              <w:rPr>
                <w:sz w:val="18"/>
              </w:rPr>
            </w:pPr>
            <w:r w:rsidRPr="00313EC6">
              <w:rPr>
                <w:sz w:val="18"/>
              </w:rPr>
              <w:t>(10.5, 14.5)</w:t>
            </w:r>
          </w:p>
        </w:tc>
        <w:tc>
          <w:tcPr>
            <w:tcW w:w="709" w:type="dxa"/>
            <w:shd w:val="clear" w:color="auto" w:fill="auto"/>
            <w:vAlign w:val="center"/>
          </w:tcPr>
          <w:p w14:paraId="38F39D1E" w14:textId="77777777" w:rsidR="00313EC6" w:rsidRPr="00313EC6" w:rsidRDefault="00313EC6" w:rsidP="00313EC6">
            <w:pPr>
              <w:jc w:val="right"/>
              <w:rPr>
                <w:color w:val="000000"/>
                <w:sz w:val="18"/>
                <w:szCs w:val="22"/>
              </w:rPr>
            </w:pPr>
            <w:r w:rsidRPr="00313EC6">
              <w:rPr>
                <w:color w:val="000000"/>
                <w:sz w:val="18"/>
                <w:szCs w:val="22"/>
              </w:rPr>
              <w:t>1828</w:t>
            </w:r>
          </w:p>
        </w:tc>
        <w:tc>
          <w:tcPr>
            <w:tcW w:w="567" w:type="dxa"/>
            <w:shd w:val="clear" w:color="auto" w:fill="auto"/>
            <w:vAlign w:val="center"/>
          </w:tcPr>
          <w:p w14:paraId="74DF5BE4" w14:textId="77777777" w:rsidR="00313EC6" w:rsidRPr="00313EC6" w:rsidRDefault="00313EC6" w:rsidP="00313EC6">
            <w:pPr>
              <w:jc w:val="right"/>
              <w:rPr>
                <w:color w:val="000000"/>
                <w:sz w:val="18"/>
                <w:szCs w:val="22"/>
              </w:rPr>
            </w:pPr>
            <w:r w:rsidRPr="00313EC6">
              <w:rPr>
                <w:color w:val="000000"/>
                <w:sz w:val="18"/>
                <w:szCs w:val="22"/>
              </w:rPr>
              <w:t>83.0</w:t>
            </w:r>
          </w:p>
        </w:tc>
        <w:tc>
          <w:tcPr>
            <w:tcW w:w="1134" w:type="dxa"/>
            <w:vAlign w:val="center"/>
          </w:tcPr>
          <w:p w14:paraId="37D52B6C" w14:textId="77777777" w:rsidR="00313EC6" w:rsidRPr="00313EC6" w:rsidRDefault="00313EC6" w:rsidP="00313EC6">
            <w:pPr>
              <w:jc w:val="right"/>
              <w:rPr>
                <w:sz w:val="18"/>
              </w:rPr>
            </w:pPr>
            <w:r w:rsidRPr="00313EC6">
              <w:rPr>
                <w:sz w:val="18"/>
              </w:rPr>
              <w:t>(80.9, 85.2)</w:t>
            </w:r>
          </w:p>
        </w:tc>
        <w:tc>
          <w:tcPr>
            <w:tcW w:w="567" w:type="dxa"/>
            <w:shd w:val="clear" w:color="auto" w:fill="auto"/>
            <w:vAlign w:val="center"/>
          </w:tcPr>
          <w:p w14:paraId="07EF8FCD" w14:textId="77777777" w:rsidR="00313EC6" w:rsidRPr="00313EC6" w:rsidRDefault="00313EC6" w:rsidP="00313EC6">
            <w:pPr>
              <w:jc w:val="right"/>
              <w:rPr>
                <w:color w:val="000000"/>
                <w:sz w:val="18"/>
                <w:szCs w:val="22"/>
              </w:rPr>
            </w:pPr>
            <w:r w:rsidRPr="00313EC6">
              <w:rPr>
                <w:color w:val="000000"/>
                <w:sz w:val="18"/>
                <w:szCs w:val="22"/>
              </w:rPr>
              <w:t>82</w:t>
            </w:r>
          </w:p>
        </w:tc>
        <w:tc>
          <w:tcPr>
            <w:tcW w:w="567" w:type="dxa"/>
            <w:shd w:val="clear" w:color="auto" w:fill="auto"/>
            <w:vAlign w:val="center"/>
          </w:tcPr>
          <w:p w14:paraId="0C6C5C7B" w14:textId="77777777" w:rsidR="00313EC6" w:rsidRPr="00313EC6" w:rsidRDefault="00313EC6" w:rsidP="00313EC6">
            <w:pPr>
              <w:jc w:val="right"/>
              <w:rPr>
                <w:color w:val="000000"/>
                <w:sz w:val="18"/>
                <w:szCs w:val="22"/>
              </w:rPr>
            </w:pPr>
            <w:r w:rsidRPr="00313EC6">
              <w:rPr>
                <w:color w:val="000000"/>
                <w:sz w:val="18"/>
                <w:szCs w:val="22"/>
              </w:rPr>
              <w:t>3.7</w:t>
            </w:r>
          </w:p>
        </w:tc>
        <w:tc>
          <w:tcPr>
            <w:tcW w:w="1135" w:type="dxa"/>
            <w:vAlign w:val="center"/>
          </w:tcPr>
          <w:p w14:paraId="34248638" w14:textId="77777777" w:rsidR="00313EC6" w:rsidRPr="00313EC6" w:rsidRDefault="00313EC6" w:rsidP="00313EC6">
            <w:pPr>
              <w:jc w:val="right"/>
              <w:rPr>
                <w:sz w:val="18"/>
              </w:rPr>
            </w:pPr>
            <w:r w:rsidRPr="00313EC6">
              <w:rPr>
                <w:sz w:val="18"/>
              </w:rPr>
              <w:t>(2.8, 4.7)</w:t>
            </w:r>
          </w:p>
        </w:tc>
        <w:tc>
          <w:tcPr>
            <w:tcW w:w="567" w:type="dxa"/>
            <w:shd w:val="clear" w:color="auto" w:fill="auto"/>
            <w:vAlign w:val="center"/>
          </w:tcPr>
          <w:p w14:paraId="783DDA46" w14:textId="77777777" w:rsidR="00313EC6" w:rsidRPr="00313EC6" w:rsidRDefault="00313EC6" w:rsidP="00313EC6">
            <w:pPr>
              <w:jc w:val="right"/>
              <w:rPr>
                <w:color w:val="000000"/>
                <w:sz w:val="18"/>
                <w:szCs w:val="22"/>
              </w:rPr>
            </w:pPr>
            <w:r w:rsidRPr="00313EC6">
              <w:rPr>
                <w:color w:val="000000"/>
                <w:sz w:val="18"/>
                <w:szCs w:val="22"/>
              </w:rPr>
              <w:t>17</w:t>
            </w:r>
          </w:p>
        </w:tc>
        <w:tc>
          <w:tcPr>
            <w:tcW w:w="568" w:type="dxa"/>
            <w:shd w:val="clear" w:color="auto" w:fill="auto"/>
            <w:vAlign w:val="center"/>
          </w:tcPr>
          <w:p w14:paraId="77EB97A7" w14:textId="77777777" w:rsidR="00313EC6" w:rsidRPr="00313EC6" w:rsidRDefault="00313EC6" w:rsidP="00313EC6">
            <w:pPr>
              <w:jc w:val="right"/>
              <w:rPr>
                <w:color w:val="000000"/>
                <w:sz w:val="18"/>
                <w:szCs w:val="22"/>
              </w:rPr>
            </w:pPr>
            <w:r w:rsidRPr="00313EC6">
              <w:rPr>
                <w:color w:val="000000"/>
                <w:sz w:val="18"/>
                <w:szCs w:val="22"/>
              </w:rPr>
              <w:t>0.8</w:t>
            </w:r>
          </w:p>
        </w:tc>
        <w:tc>
          <w:tcPr>
            <w:tcW w:w="1137" w:type="dxa"/>
            <w:vAlign w:val="center"/>
          </w:tcPr>
          <w:p w14:paraId="2425D4FC" w14:textId="77777777" w:rsidR="00313EC6" w:rsidRPr="00313EC6" w:rsidRDefault="00313EC6" w:rsidP="00313EC6">
            <w:pPr>
              <w:jc w:val="right"/>
              <w:rPr>
                <w:sz w:val="18"/>
              </w:rPr>
            </w:pPr>
            <w:r w:rsidRPr="00313EC6">
              <w:rPr>
                <w:sz w:val="18"/>
              </w:rPr>
              <w:t>(0.4, 1.1)</w:t>
            </w:r>
          </w:p>
        </w:tc>
        <w:tc>
          <w:tcPr>
            <w:tcW w:w="567" w:type="dxa"/>
            <w:shd w:val="clear" w:color="auto" w:fill="auto"/>
            <w:vAlign w:val="center"/>
          </w:tcPr>
          <w:p w14:paraId="5A689000" w14:textId="77777777" w:rsidR="00313EC6" w:rsidRPr="00313EC6" w:rsidRDefault="00313EC6" w:rsidP="00313EC6">
            <w:pPr>
              <w:jc w:val="right"/>
              <w:rPr>
                <w:color w:val="000000"/>
                <w:sz w:val="18"/>
                <w:szCs w:val="22"/>
              </w:rPr>
            </w:pPr>
            <w:r w:rsidRPr="00313EC6">
              <w:rPr>
                <w:color w:val="000000"/>
                <w:sz w:val="18"/>
                <w:szCs w:val="22"/>
              </w:rPr>
              <w:t>-</w:t>
            </w:r>
          </w:p>
        </w:tc>
        <w:tc>
          <w:tcPr>
            <w:tcW w:w="570" w:type="dxa"/>
            <w:shd w:val="clear" w:color="auto" w:fill="auto"/>
            <w:vAlign w:val="center"/>
          </w:tcPr>
          <w:p w14:paraId="786942A3" w14:textId="77777777" w:rsidR="00313EC6" w:rsidRPr="00313EC6" w:rsidRDefault="00313EC6" w:rsidP="00313EC6">
            <w:pPr>
              <w:jc w:val="right"/>
              <w:rPr>
                <w:color w:val="000000"/>
                <w:sz w:val="18"/>
                <w:szCs w:val="22"/>
              </w:rPr>
            </w:pPr>
          </w:p>
        </w:tc>
        <w:tc>
          <w:tcPr>
            <w:tcW w:w="1137" w:type="dxa"/>
            <w:vAlign w:val="center"/>
          </w:tcPr>
          <w:p w14:paraId="792E63F8" w14:textId="77777777" w:rsidR="00313EC6" w:rsidRPr="00313EC6" w:rsidRDefault="00313EC6" w:rsidP="00313EC6">
            <w:pPr>
              <w:jc w:val="right"/>
              <w:rPr>
                <w:sz w:val="18"/>
              </w:rPr>
            </w:pPr>
          </w:p>
        </w:tc>
      </w:tr>
      <w:tr w:rsidR="00313EC6" w:rsidRPr="00313EC6" w14:paraId="1E52ABD9" w14:textId="77777777" w:rsidTr="00313EC6">
        <w:trPr>
          <w:jc w:val="center"/>
        </w:trPr>
        <w:tc>
          <w:tcPr>
            <w:tcW w:w="2269" w:type="dxa"/>
            <w:vAlign w:val="center"/>
          </w:tcPr>
          <w:p w14:paraId="2CCE97DD" w14:textId="77777777" w:rsidR="00313EC6" w:rsidRPr="00313EC6" w:rsidRDefault="00313EC6" w:rsidP="00313EC6">
            <w:pPr>
              <w:spacing w:before="20" w:after="20"/>
              <w:ind w:left="88"/>
              <w:rPr>
                <w:sz w:val="18"/>
                <w:szCs w:val="20"/>
              </w:rPr>
            </w:pPr>
            <w:r w:rsidRPr="00313EC6">
              <w:rPr>
                <w:sz w:val="18"/>
                <w:szCs w:val="20"/>
              </w:rPr>
              <w:t>Low-risk gambler</w:t>
            </w:r>
          </w:p>
        </w:tc>
        <w:tc>
          <w:tcPr>
            <w:tcW w:w="709" w:type="dxa"/>
            <w:shd w:val="clear" w:color="auto" w:fill="auto"/>
            <w:vAlign w:val="center"/>
          </w:tcPr>
          <w:p w14:paraId="0CA4B921" w14:textId="77777777" w:rsidR="00313EC6" w:rsidRPr="00313EC6" w:rsidRDefault="00313EC6" w:rsidP="00313EC6">
            <w:pPr>
              <w:jc w:val="right"/>
              <w:rPr>
                <w:color w:val="000000"/>
                <w:sz w:val="18"/>
                <w:szCs w:val="22"/>
              </w:rPr>
            </w:pPr>
            <w:r w:rsidRPr="00313EC6">
              <w:rPr>
                <w:color w:val="000000"/>
                <w:sz w:val="18"/>
                <w:szCs w:val="22"/>
              </w:rPr>
              <w:t>4</w:t>
            </w:r>
          </w:p>
        </w:tc>
        <w:tc>
          <w:tcPr>
            <w:tcW w:w="567" w:type="dxa"/>
            <w:shd w:val="clear" w:color="auto" w:fill="auto"/>
            <w:vAlign w:val="center"/>
          </w:tcPr>
          <w:p w14:paraId="265ED12D" w14:textId="77777777" w:rsidR="00313EC6" w:rsidRPr="00313EC6" w:rsidRDefault="00313EC6" w:rsidP="00313EC6">
            <w:pPr>
              <w:jc w:val="right"/>
              <w:rPr>
                <w:color w:val="000000"/>
                <w:sz w:val="18"/>
                <w:szCs w:val="22"/>
              </w:rPr>
            </w:pPr>
            <w:r w:rsidRPr="00313EC6">
              <w:rPr>
                <w:color w:val="000000"/>
                <w:sz w:val="18"/>
                <w:szCs w:val="22"/>
              </w:rPr>
              <w:t>2.4</w:t>
            </w:r>
          </w:p>
        </w:tc>
        <w:tc>
          <w:tcPr>
            <w:tcW w:w="1276" w:type="dxa"/>
            <w:vAlign w:val="center"/>
          </w:tcPr>
          <w:p w14:paraId="1E8B68F1" w14:textId="77777777" w:rsidR="00313EC6" w:rsidRPr="00313EC6" w:rsidRDefault="00313EC6" w:rsidP="00313EC6">
            <w:pPr>
              <w:jc w:val="right"/>
              <w:rPr>
                <w:sz w:val="18"/>
              </w:rPr>
            </w:pPr>
            <w:r w:rsidRPr="00313EC6">
              <w:rPr>
                <w:sz w:val="18"/>
              </w:rPr>
              <w:t>(0.0, 4.7)</w:t>
            </w:r>
          </w:p>
        </w:tc>
        <w:tc>
          <w:tcPr>
            <w:tcW w:w="709" w:type="dxa"/>
            <w:shd w:val="clear" w:color="auto" w:fill="auto"/>
            <w:vAlign w:val="center"/>
          </w:tcPr>
          <w:p w14:paraId="6545A4DD" w14:textId="77777777" w:rsidR="00313EC6" w:rsidRPr="00313EC6" w:rsidRDefault="00313EC6" w:rsidP="00313EC6">
            <w:pPr>
              <w:jc w:val="right"/>
              <w:rPr>
                <w:color w:val="000000"/>
                <w:sz w:val="18"/>
                <w:szCs w:val="22"/>
              </w:rPr>
            </w:pPr>
            <w:r w:rsidRPr="00313EC6">
              <w:rPr>
                <w:color w:val="000000"/>
                <w:sz w:val="18"/>
                <w:szCs w:val="22"/>
              </w:rPr>
              <w:t>109</w:t>
            </w:r>
          </w:p>
        </w:tc>
        <w:tc>
          <w:tcPr>
            <w:tcW w:w="567" w:type="dxa"/>
            <w:shd w:val="clear" w:color="auto" w:fill="auto"/>
            <w:vAlign w:val="center"/>
          </w:tcPr>
          <w:p w14:paraId="3BD29EC8" w14:textId="77777777" w:rsidR="00313EC6" w:rsidRPr="00313EC6" w:rsidRDefault="00313EC6" w:rsidP="00313EC6">
            <w:pPr>
              <w:jc w:val="right"/>
              <w:rPr>
                <w:color w:val="000000"/>
                <w:sz w:val="18"/>
                <w:szCs w:val="22"/>
              </w:rPr>
            </w:pPr>
            <w:r w:rsidRPr="00313EC6">
              <w:rPr>
                <w:color w:val="000000"/>
                <w:sz w:val="18"/>
                <w:szCs w:val="22"/>
              </w:rPr>
              <w:t>61.7</w:t>
            </w:r>
          </w:p>
        </w:tc>
        <w:tc>
          <w:tcPr>
            <w:tcW w:w="1134" w:type="dxa"/>
            <w:vAlign w:val="center"/>
          </w:tcPr>
          <w:p w14:paraId="1A223919" w14:textId="77777777" w:rsidR="00313EC6" w:rsidRPr="00313EC6" w:rsidRDefault="00313EC6" w:rsidP="00313EC6">
            <w:pPr>
              <w:jc w:val="right"/>
              <w:rPr>
                <w:sz w:val="18"/>
              </w:rPr>
            </w:pPr>
            <w:r w:rsidRPr="00313EC6">
              <w:rPr>
                <w:sz w:val="18"/>
              </w:rPr>
              <w:t>(53.3, 70.1)</w:t>
            </w:r>
          </w:p>
        </w:tc>
        <w:tc>
          <w:tcPr>
            <w:tcW w:w="567" w:type="dxa"/>
            <w:shd w:val="clear" w:color="auto" w:fill="auto"/>
            <w:vAlign w:val="center"/>
          </w:tcPr>
          <w:p w14:paraId="2DF530C6" w14:textId="77777777" w:rsidR="00313EC6" w:rsidRPr="00313EC6" w:rsidRDefault="00313EC6" w:rsidP="00313EC6">
            <w:pPr>
              <w:jc w:val="right"/>
              <w:rPr>
                <w:color w:val="000000"/>
                <w:sz w:val="18"/>
                <w:szCs w:val="22"/>
              </w:rPr>
            </w:pPr>
            <w:r w:rsidRPr="00313EC6">
              <w:rPr>
                <w:color w:val="000000"/>
                <w:sz w:val="18"/>
                <w:szCs w:val="22"/>
              </w:rPr>
              <w:t>49</w:t>
            </w:r>
          </w:p>
        </w:tc>
        <w:tc>
          <w:tcPr>
            <w:tcW w:w="567" w:type="dxa"/>
            <w:shd w:val="clear" w:color="auto" w:fill="auto"/>
            <w:vAlign w:val="center"/>
          </w:tcPr>
          <w:p w14:paraId="325CFAB7" w14:textId="77777777" w:rsidR="00313EC6" w:rsidRPr="00313EC6" w:rsidRDefault="00313EC6" w:rsidP="00313EC6">
            <w:pPr>
              <w:jc w:val="right"/>
              <w:rPr>
                <w:color w:val="000000"/>
                <w:sz w:val="18"/>
                <w:szCs w:val="22"/>
              </w:rPr>
            </w:pPr>
            <w:r w:rsidRPr="00313EC6">
              <w:rPr>
                <w:color w:val="000000"/>
                <w:sz w:val="18"/>
                <w:szCs w:val="22"/>
              </w:rPr>
              <w:t>27.8</w:t>
            </w:r>
          </w:p>
        </w:tc>
        <w:tc>
          <w:tcPr>
            <w:tcW w:w="1135" w:type="dxa"/>
            <w:vAlign w:val="center"/>
          </w:tcPr>
          <w:p w14:paraId="340B0FB4" w14:textId="77777777" w:rsidR="00313EC6" w:rsidRPr="00313EC6" w:rsidRDefault="00313EC6" w:rsidP="00313EC6">
            <w:pPr>
              <w:jc w:val="right"/>
              <w:rPr>
                <w:sz w:val="18"/>
              </w:rPr>
            </w:pPr>
            <w:r w:rsidRPr="00313EC6">
              <w:rPr>
                <w:sz w:val="18"/>
              </w:rPr>
              <w:t>(19.9, 35.7)</w:t>
            </w:r>
          </w:p>
        </w:tc>
        <w:tc>
          <w:tcPr>
            <w:tcW w:w="567" w:type="dxa"/>
            <w:shd w:val="clear" w:color="auto" w:fill="auto"/>
            <w:vAlign w:val="center"/>
          </w:tcPr>
          <w:p w14:paraId="27664256" w14:textId="77777777" w:rsidR="00313EC6" w:rsidRPr="00313EC6" w:rsidRDefault="00313EC6" w:rsidP="00313EC6">
            <w:pPr>
              <w:jc w:val="right"/>
              <w:rPr>
                <w:color w:val="000000"/>
                <w:sz w:val="18"/>
                <w:szCs w:val="22"/>
              </w:rPr>
            </w:pPr>
            <w:r w:rsidRPr="00313EC6">
              <w:rPr>
                <w:color w:val="000000"/>
                <w:sz w:val="18"/>
                <w:szCs w:val="22"/>
              </w:rPr>
              <w:t>14</w:t>
            </w:r>
          </w:p>
        </w:tc>
        <w:tc>
          <w:tcPr>
            <w:tcW w:w="568" w:type="dxa"/>
            <w:shd w:val="clear" w:color="auto" w:fill="auto"/>
            <w:vAlign w:val="center"/>
          </w:tcPr>
          <w:p w14:paraId="190B9DD5" w14:textId="77777777" w:rsidR="00313EC6" w:rsidRPr="00313EC6" w:rsidRDefault="00313EC6" w:rsidP="00313EC6">
            <w:pPr>
              <w:jc w:val="right"/>
              <w:rPr>
                <w:color w:val="000000"/>
                <w:sz w:val="18"/>
                <w:szCs w:val="22"/>
              </w:rPr>
            </w:pPr>
            <w:r w:rsidRPr="00313EC6">
              <w:rPr>
                <w:color w:val="000000"/>
                <w:sz w:val="18"/>
                <w:szCs w:val="22"/>
              </w:rPr>
              <w:t>7.7</w:t>
            </w:r>
          </w:p>
        </w:tc>
        <w:tc>
          <w:tcPr>
            <w:tcW w:w="1137" w:type="dxa"/>
            <w:vAlign w:val="center"/>
          </w:tcPr>
          <w:p w14:paraId="6DB2BDE2" w14:textId="77777777" w:rsidR="00313EC6" w:rsidRPr="00313EC6" w:rsidRDefault="00313EC6" w:rsidP="00313EC6">
            <w:pPr>
              <w:jc w:val="right"/>
              <w:rPr>
                <w:sz w:val="18"/>
              </w:rPr>
            </w:pPr>
            <w:r w:rsidRPr="00313EC6">
              <w:rPr>
                <w:sz w:val="18"/>
              </w:rPr>
              <w:t>(3.7, 11.6)</w:t>
            </w:r>
          </w:p>
        </w:tc>
        <w:tc>
          <w:tcPr>
            <w:tcW w:w="567" w:type="dxa"/>
            <w:shd w:val="clear" w:color="auto" w:fill="auto"/>
            <w:vAlign w:val="center"/>
          </w:tcPr>
          <w:p w14:paraId="7D2B6835" w14:textId="77777777" w:rsidR="00313EC6" w:rsidRPr="00313EC6" w:rsidRDefault="00313EC6" w:rsidP="00313EC6">
            <w:pPr>
              <w:jc w:val="right"/>
              <w:rPr>
                <w:color w:val="000000"/>
                <w:sz w:val="18"/>
                <w:szCs w:val="22"/>
              </w:rPr>
            </w:pPr>
            <w:r w:rsidRPr="00313EC6">
              <w:rPr>
                <w:color w:val="000000"/>
                <w:sz w:val="18"/>
                <w:szCs w:val="22"/>
              </w:rPr>
              <w:t>1</w:t>
            </w:r>
          </w:p>
        </w:tc>
        <w:tc>
          <w:tcPr>
            <w:tcW w:w="570" w:type="dxa"/>
            <w:shd w:val="clear" w:color="auto" w:fill="auto"/>
            <w:vAlign w:val="center"/>
          </w:tcPr>
          <w:p w14:paraId="0549A2AF" w14:textId="77777777" w:rsidR="00313EC6" w:rsidRPr="00313EC6" w:rsidRDefault="00313EC6" w:rsidP="00313EC6">
            <w:pPr>
              <w:jc w:val="right"/>
              <w:rPr>
                <w:color w:val="000000"/>
                <w:sz w:val="18"/>
                <w:szCs w:val="22"/>
              </w:rPr>
            </w:pPr>
            <w:r w:rsidRPr="00313EC6">
              <w:rPr>
                <w:color w:val="000000"/>
                <w:sz w:val="18"/>
                <w:szCs w:val="22"/>
              </w:rPr>
              <w:t>0.5</w:t>
            </w:r>
          </w:p>
        </w:tc>
        <w:tc>
          <w:tcPr>
            <w:tcW w:w="1137" w:type="dxa"/>
            <w:vAlign w:val="center"/>
          </w:tcPr>
          <w:p w14:paraId="74F2B690" w14:textId="77777777" w:rsidR="00313EC6" w:rsidRPr="00313EC6" w:rsidRDefault="002F172C" w:rsidP="00313EC6">
            <w:pPr>
              <w:jc w:val="right"/>
              <w:rPr>
                <w:sz w:val="18"/>
              </w:rPr>
            </w:pPr>
            <w:r>
              <w:rPr>
                <w:sz w:val="18"/>
              </w:rPr>
              <w:t>!</w:t>
            </w:r>
          </w:p>
        </w:tc>
      </w:tr>
      <w:tr w:rsidR="00313EC6" w:rsidRPr="00313EC6" w14:paraId="6A414B20" w14:textId="77777777" w:rsidTr="00313EC6">
        <w:trPr>
          <w:jc w:val="center"/>
        </w:trPr>
        <w:tc>
          <w:tcPr>
            <w:tcW w:w="2269" w:type="dxa"/>
            <w:vAlign w:val="center"/>
          </w:tcPr>
          <w:p w14:paraId="64976F48" w14:textId="77777777" w:rsidR="00313EC6" w:rsidRPr="00313EC6" w:rsidRDefault="00313EC6" w:rsidP="00313EC6">
            <w:pPr>
              <w:spacing w:before="20" w:after="20"/>
              <w:ind w:left="88"/>
              <w:rPr>
                <w:sz w:val="18"/>
                <w:szCs w:val="20"/>
              </w:rPr>
            </w:pPr>
            <w:r w:rsidRPr="00313EC6">
              <w:rPr>
                <w:sz w:val="18"/>
                <w:szCs w:val="20"/>
              </w:rPr>
              <w:t>Moderate-risk gambler</w:t>
            </w:r>
          </w:p>
        </w:tc>
        <w:tc>
          <w:tcPr>
            <w:tcW w:w="709" w:type="dxa"/>
            <w:shd w:val="clear" w:color="auto" w:fill="auto"/>
            <w:vAlign w:val="center"/>
          </w:tcPr>
          <w:p w14:paraId="209519FD" w14:textId="77777777" w:rsidR="00313EC6" w:rsidRPr="00313EC6" w:rsidRDefault="00313EC6" w:rsidP="00313EC6">
            <w:pPr>
              <w:jc w:val="right"/>
              <w:rPr>
                <w:color w:val="000000"/>
                <w:sz w:val="18"/>
                <w:szCs w:val="22"/>
              </w:rPr>
            </w:pPr>
            <w:r w:rsidRPr="00313EC6">
              <w:rPr>
                <w:color w:val="000000"/>
                <w:sz w:val="18"/>
                <w:szCs w:val="22"/>
              </w:rPr>
              <w:t>2</w:t>
            </w:r>
          </w:p>
        </w:tc>
        <w:tc>
          <w:tcPr>
            <w:tcW w:w="567" w:type="dxa"/>
            <w:shd w:val="clear" w:color="auto" w:fill="auto"/>
            <w:vAlign w:val="center"/>
          </w:tcPr>
          <w:p w14:paraId="1312C9EB" w14:textId="77777777" w:rsidR="00313EC6" w:rsidRPr="00313EC6" w:rsidRDefault="00313EC6" w:rsidP="00313EC6">
            <w:pPr>
              <w:jc w:val="right"/>
              <w:rPr>
                <w:color w:val="000000"/>
                <w:sz w:val="18"/>
                <w:szCs w:val="22"/>
              </w:rPr>
            </w:pPr>
            <w:r w:rsidRPr="00313EC6">
              <w:rPr>
                <w:color w:val="000000"/>
                <w:sz w:val="18"/>
                <w:szCs w:val="22"/>
              </w:rPr>
              <w:t>4.1</w:t>
            </w:r>
          </w:p>
        </w:tc>
        <w:tc>
          <w:tcPr>
            <w:tcW w:w="1276" w:type="dxa"/>
            <w:vAlign w:val="center"/>
          </w:tcPr>
          <w:p w14:paraId="52D8E907" w14:textId="77777777" w:rsidR="00313EC6" w:rsidRPr="00313EC6" w:rsidRDefault="002F172C" w:rsidP="00313EC6">
            <w:pPr>
              <w:jc w:val="right"/>
              <w:rPr>
                <w:sz w:val="18"/>
              </w:rPr>
            </w:pPr>
            <w:r>
              <w:rPr>
                <w:sz w:val="18"/>
              </w:rPr>
              <w:t>!</w:t>
            </w:r>
          </w:p>
        </w:tc>
        <w:tc>
          <w:tcPr>
            <w:tcW w:w="709" w:type="dxa"/>
            <w:shd w:val="clear" w:color="auto" w:fill="auto"/>
            <w:vAlign w:val="center"/>
          </w:tcPr>
          <w:p w14:paraId="66709545" w14:textId="77777777" w:rsidR="00313EC6" w:rsidRPr="00313EC6" w:rsidRDefault="00313EC6" w:rsidP="00313EC6">
            <w:pPr>
              <w:jc w:val="right"/>
              <w:rPr>
                <w:color w:val="000000"/>
                <w:sz w:val="18"/>
                <w:szCs w:val="22"/>
              </w:rPr>
            </w:pPr>
            <w:r w:rsidRPr="00313EC6">
              <w:rPr>
                <w:color w:val="000000"/>
                <w:sz w:val="18"/>
                <w:szCs w:val="22"/>
              </w:rPr>
              <w:t>15</w:t>
            </w:r>
          </w:p>
        </w:tc>
        <w:tc>
          <w:tcPr>
            <w:tcW w:w="567" w:type="dxa"/>
            <w:shd w:val="clear" w:color="auto" w:fill="auto"/>
            <w:vAlign w:val="center"/>
          </w:tcPr>
          <w:p w14:paraId="081B6F35" w14:textId="77777777" w:rsidR="00313EC6" w:rsidRPr="00313EC6" w:rsidRDefault="00313EC6" w:rsidP="00313EC6">
            <w:pPr>
              <w:jc w:val="right"/>
              <w:rPr>
                <w:color w:val="000000"/>
                <w:sz w:val="18"/>
                <w:szCs w:val="22"/>
              </w:rPr>
            </w:pPr>
            <w:r w:rsidRPr="00313EC6">
              <w:rPr>
                <w:color w:val="000000"/>
                <w:sz w:val="18"/>
                <w:szCs w:val="22"/>
              </w:rPr>
              <w:t>33.7</w:t>
            </w:r>
          </w:p>
        </w:tc>
        <w:tc>
          <w:tcPr>
            <w:tcW w:w="1134" w:type="dxa"/>
            <w:vAlign w:val="center"/>
          </w:tcPr>
          <w:p w14:paraId="1F85F064" w14:textId="77777777" w:rsidR="00313EC6" w:rsidRPr="00313EC6" w:rsidRDefault="00313EC6" w:rsidP="00313EC6">
            <w:pPr>
              <w:jc w:val="right"/>
              <w:rPr>
                <w:sz w:val="18"/>
              </w:rPr>
            </w:pPr>
            <w:r w:rsidRPr="00313EC6">
              <w:rPr>
                <w:sz w:val="18"/>
              </w:rPr>
              <w:t>(18.7, 48.7)</w:t>
            </w:r>
          </w:p>
        </w:tc>
        <w:tc>
          <w:tcPr>
            <w:tcW w:w="567" w:type="dxa"/>
            <w:shd w:val="clear" w:color="auto" w:fill="auto"/>
            <w:vAlign w:val="center"/>
          </w:tcPr>
          <w:p w14:paraId="7063DF47" w14:textId="77777777" w:rsidR="00313EC6" w:rsidRPr="00313EC6" w:rsidRDefault="00313EC6" w:rsidP="00313EC6">
            <w:pPr>
              <w:jc w:val="right"/>
              <w:rPr>
                <w:color w:val="000000"/>
                <w:sz w:val="18"/>
                <w:szCs w:val="22"/>
              </w:rPr>
            </w:pPr>
            <w:r w:rsidRPr="00313EC6">
              <w:rPr>
                <w:color w:val="000000"/>
                <w:sz w:val="18"/>
                <w:szCs w:val="22"/>
              </w:rPr>
              <w:t>11</w:t>
            </w:r>
          </w:p>
        </w:tc>
        <w:tc>
          <w:tcPr>
            <w:tcW w:w="567" w:type="dxa"/>
            <w:shd w:val="clear" w:color="auto" w:fill="auto"/>
            <w:vAlign w:val="center"/>
          </w:tcPr>
          <w:p w14:paraId="4279946A" w14:textId="77777777" w:rsidR="00313EC6" w:rsidRPr="00313EC6" w:rsidRDefault="00313EC6" w:rsidP="00313EC6">
            <w:pPr>
              <w:jc w:val="right"/>
              <w:rPr>
                <w:color w:val="000000"/>
                <w:sz w:val="18"/>
                <w:szCs w:val="22"/>
              </w:rPr>
            </w:pPr>
            <w:r w:rsidRPr="00313EC6">
              <w:rPr>
                <w:color w:val="000000"/>
                <w:sz w:val="18"/>
                <w:szCs w:val="22"/>
              </w:rPr>
              <w:t>24.5</w:t>
            </w:r>
          </w:p>
        </w:tc>
        <w:tc>
          <w:tcPr>
            <w:tcW w:w="1135" w:type="dxa"/>
            <w:vAlign w:val="center"/>
          </w:tcPr>
          <w:p w14:paraId="4D3F7675" w14:textId="77777777" w:rsidR="00313EC6" w:rsidRPr="00313EC6" w:rsidRDefault="00313EC6" w:rsidP="00313EC6">
            <w:pPr>
              <w:jc w:val="right"/>
              <w:rPr>
                <w:sz w:val="18"/>
              </w:rPr>
            </w:pPr>
            <w:r w:rsidRPr="00313EC6">
              <w:rPr>
                <w:sz w:val="18"/>
              </w:rPr>
              <w:t>(12.9, 36.0)</w:t>
            </w:r>
          </w:p>
        </w:tc>
        <w:tc>
          <w:tcPr>
            <w:tcW w:w="567" w:type="dxa"/>
            <w:shd w:val="clear" w:color="auto" w:fill="auto"/>
            <w:vAlign w:val="center"/>
          </w:tcPr>
          <w:p w14:paraId="16B03914" w14:textId="77777777" w:rsidR="00313EC6" w:rsidRPr="00313EC6" w:rsidRDefault="00313EC6" w:rsidP="00313EC6">
            <w:pPr>
              <w:jc w:val="right"/>
              <w:rPr>
                <w:color w:val="000000"/>
                <w:sz w:val="18"/>
                <w:szCs w:val="22"/>
              </w:rPr>
            </w:pPr>
            <w:r w:rsidRPr="00313EC6">
              <w:rPr>
                <w:color w:val="000000"/>
                <w:sz w:val="18"/>
                <w:szCs w:val="22"/>
              </w:rPr>
              <w:t>12</w:t>
            </w:r>
          </w:p>
        </w:tc>
        <w:tc>
          <w:tcPr>
            <w:tcW w:w="568" w:type="dxa"/>
            <w:shd w:val="clear" w:color="auto" w:fill="auto"/>
            <w:vAlign w:val="center"/>
          </w:tcPr>
          <w:p w14:paraId="018A6E30" w14:textId="77777777" w:rsidR="00313EC6" w:rsidRPr="00313EC6" w:rsidRDefault="00313EC6" w:rsidP="00313EC6">
            <w:pPr>
              <w:jc w:val="right"/>
              <w:rPr>
                <w:color w:val="000000"/>
                <w:sz w:val="18"/>
                <w:szCs w:val="22"/>
              </w:rPr>
            </w:pPr>
            <w:r w:rsidRPr="00313EC6">
              <w:rPr>
                <w:color w:val="000000"/>
                <w:sz w:val="18"/>
                <w:szCs w:val="22"/>
              </w:rPr>
              <w:t>27.8</w:t>
            </w:r>
          </w:p>
        </w:tc>
        <w:tc>
          <w:tcPr>
            <w:tcW w:w="1137" w:type="dxa"/>
            <w:vAlign w:val="center"/>
          </w:tcPr>
          <w:p w14:paraId="36B1EA93" w14:textId="77777777" w:rsidR="00313EC6" w:rsidRPr="00313EC6" w:rsidRDefault="00313EC6" w:rsidP="00313EC6">
            <w:pPr>
              <w:jc w:val="right"/>
              <w:rPr>
                <w:sz w:val="18"/>
              </w:rPr>
            </w:pPr>
            <w:r w:rsidRPr="00313EC6">
              <w:rPr>
                <w:sz w:val="18"/>
              </w:rPr>
              <w:t>(15.7, 40</w:t>
            </w:r>
            <w:r>
              <w:rPr>
                <w:sz w:val="18"/>
              </w:rPr>
              <w:t>.0</w:t>
            </w:r>
            <w:r w:rsidRPr="00313EC6">
              <w:rPr>
                <w:sz w:val="18"/>
              </w:rPr>
              <w:t>)</w:t>
            </w:r>
          </w:p>
        </w:tc>
        <w:tc>
          <w:tcPr>
            <w:tcW w:w="567" w:type="dxa"/>
            <w:shd w:val="clear" w:color="auto" w:fill="auto"/>
            <w:vAlign w:val="center"/>
          </w:tcPr>
          <w:p w14:paraId="6280D9A6" w14:textId="77777777" w:rsidR="00313EC6" w:rsidRPr="00313EC6" w:rsidRDefault="00313EC6" w:rsidP="00313EC6">
            <w:pPr>
              <w:jc w:val="right"/>
              <w:rPr>
                <w:color w:val="000000"/>
                <w:sz w:val="18"/>
                <w:szCs w:val="22"/>
              </w:rPr>
            </w:pPr>
            <w:r w:rsidRPr="00313EC6">
              <w:rPr>
                <w:color w:val="000000"/>
                <w:sz w:val="18"/>
                <w:szCs w:val="22"/>
              </w:rPr>
              <w:t>4</w:t>
            </w:r>
          </w:p>
        </w:tc>
        <w:tc>
          <w:tcPr>
            <w:tcW w:w="570" w:type="dxa"/>
            <w:shd w:val="clear" w:color="auto" w:fill="auto"/>
            <w:vAlign w:val="center"/>
          </w:tcPr>
          <w:p w14:paraId="042AAF38" w14:textId="77777777" w:rsidR="00313EC6" w:rsidRPr="00313EC6" w:rsidRDefault="00313EC6" w:rsidP="00313EC6">
            <w:pPr>
              <w:jc w:val="right"/>
              <w:rPr>
                <w:color w:val="000000"/>
                <w:sz w:val="18"/>
                <w:szCs w:val="22"/>
              </w:rPr>
            </w:pPr>
            <w:r w:rsidRPr="00313EC6">
              <w:rPr>
                <w:color w:val="000000"/>
                <w:sz w:val="18"/>
                <w:szCs w:val="22"/>
              </w:rPr>
              <w:t>9.9</w:t>
            </w:r>
          </w:p>
        </w:tc>
        <w:tc>
          <w:tcPr>
            <w:tcW w:w="1137" w:type="dxa"/>
            <w:vAlign w:val="center"/>
          </w:tcPr>
          <w:p w14:paraId="749098C2" w14:textId="77777777" w:rsidR="00313EC6" w:rsidRPr="00313EC6" w:rsidRDefault="00313EC6" w:rsidP="00313EC6">
            <w:pPr>
              <w:jc w:val="right"/>
              <w:rPr>
                <w:sz w:val="18"/>
              </w:rPr>
            </w:pPr>
            <w:r w:rsidRPr="00313EC6">
              <w:rPr>
                <w:sz w:val="18"/>
              </w:rPr>
              <w:t>(2.0, 17.7)</w:t>
            </w:r>
          </w:p>
        </w:tc>
      </w:tr>
      <w:tr w:rsidR="00313EC6" w:rsidRPr="00313EC6" w14:paraId="2084E344" w14:textId="77777777" w:rsidTr="00313EC6">
        <w:trPr>
          <w:jc w:val="center"/>
        </w:trPr>
        <w:tc>
          <w:tcPr>
            <w:tcW w:w="2269" w:type="dxa"/>
            <w:vAlign w:val="center"/>
          </w:tcPr>
          <w:p w14:paraId="65EC062E" w14:textId="77777777" w:rsidR="00313EC6" w:rsidRPr="00313EC6" w:rsidRDefault="00313EC6" w:rsidP="00313EC6">
            <w:pPr>
              <w:spacing w:before="20" w:after="20"/>
              <w:ind w:left="88"/>
              <w:rPr>
                <w:sz w:val="18"/>
                <w:szCs w:val="20"/>
              </w:rPr>
            </w:pPr>
            <w:r w:rsidRPr="00313EC6">
              <w:rPr>
                <w:sz w:val="18"/>
                <w:szCs w:val="20"/>
              </w:rPr>
              <w:t>Problem gambler</w:t>
            </w:r>
          </w:p>
        </w:tc>
        <w:tc>
          <w:tcPr>
            <w:tcW w:w="709" w:type="dxa"/>
            <w:shd w:val="clear" w:color="auto" w:fill="auto"/>
            <w:vAlign w:val="center"/>
          </w:tcPr>
          <w:p w14:paraId="2AB600B5" w14:textId="77777777" w:rsidR="00313EC6" w:rsidRPr="00313EC6" w:rsidRDefault="00313EC6" w:rsidP="00313EC6">
            <w:pPr>
              <w:jc w:val="right"/>
              <w:rPr>
                <w:color w:val="000000"/>
                <w:sz w:val="18"/>
                <w:szCs w:val="22"/>
              </w:rPr>
            </w:pPr>
            <w:r w:rsidRPr="00313EC6">
              <w:rPr>
                <w:color w:val="000000"/>
                <w:sz w:val="18"/>
                <w:szCs w:val="22"/>
              </w:rPr>
              <w:t>6</w:t>
            </w:r>
          </w:p>
        </w:tc>
        <w:tc>
          <w:tcPr>
            <w:tcW w:w="567" w:type="dxa"/>
            <w:shd w:val="clear" w:color="auto" w:fill="auto"/>
            <w:vAlign w:val="center"/>
          </w:tcPr>
          <w:p w14:paraId="2345EC1C" w14:textId="77777777" w:rsidR="00313EC6" w:rsidRPr="00313EC6" w:rsidRDefault="00313EC6" w:rsidP="00313EC6">
            <w:pPr>
              <w:jc w:val="right"/>
              <w:rPr>
                <w:color w:val="000000"/>
                <w:sz w:val="18"/>
                <w:szCs w:val="22"/>
              </w:rPr>
            </w:pPr>
            <w:r w:rsidRPr="00313EC6">
              <w:rPr>
                <w:color w:val="000000"/>
                <w:sz w:val="18"/>
                <w:szCs w:val="22"/>
              </w:rPr>
              <w:t>44.1</w:t>
            </w:r>
          </w:p>
        </w:tc>
        <w:tc>
          <w:tcPr>
            <w:tcW w:w="1276" w:type="dxa"/>
            <w:vAlign w:val="center"/>
          </w:tcPr>
          <w:p w14:paraId="4C7FA52B" w14:textId="77777777" w:rsidR="00313EC6" w:rsidRPr="00313EC6" w:rsidRDefault="00313EC6" w:rsidP="00313EC6">
            <w:pPr>
              <w:jc w:val="right"/>
              <w:rPr>
                <w:sz w:val="18"/>
              </w:rPr>
            </w:pPr>
            <w:r w:rsidRPr="00313EC6">
              <w:rPr>
                <w:sz w:val="18"/>
              </w:rPr>
              <w:t>(16.1, 72.1)</w:t>
            </w:r>
          </w:p>
        </w:tc>
        <w:tc>
          <w:tcPr>
            <w:tcW w:w="709" w:type="dxa"/>
            <w:shd w:val="clear" w:color="auto" w:fill="auto"/>
            <w:vAlign w:val="center"/>
          </w:tcPr>
          <w:p w14:paraId="57F048E6" w14:textId="77777777" w:rsidR="00313EC6" w:rsidRPr="00313EC6" w:rsidRDefault="00313EC6" w:rsidP="00313EC6">
            <w:pPr>
              <w:jc w:val="right"/>
              <w:rPr>
                <w:color w:val="000000"/>
                <w:sz w:val="18"/>
                <w:szCs w:val="22"/>
              </w:rPr>
            </w:pPr>
            <w:r w:rsidRPr="00313EC6">
              <w:rPr>
                <w:color w:val="000000"/>
                <w:sz w:val="18"/>
                <w:szCs w:val="22"/>
              </w:rPr>
              <w:t>3</w:t>
            </w:r>
          </w:p>
        </w:tc>
        <w:tc>
          <w:tcPr>
            <w:tcW w:w="567" w:type="dxa"/>
            <w:shd w:val="clear" w:color="auto" w:fill="auto"/>
            <w:vAlign w:val="center"/>
          </w:tcPr>
          <w:p w14:paraId="38297712" w14:textId="77777777" w:rsidR="00313EC6" w:rsidRPr="00313EC6" w:rsidRDefault="00313EC6" w:rsidP="00313EC6">
            <w:pPr>
              <w:jc w:val="right"/>
              <w:rPr>
                <w:color w:val="000000"/>
                <w:sz w:val="18"/>
                <w:szCs w:val="22"/>
              </w:rPr>
            </w:pPr>
            <w:r w:rsidRPr="00313EC6">
              <w:rPr>
                <w:color w:val="000000"/>
                <w:sz w:val="18"/>
                <w:szCs w:val="22"/>
              </w:rPr>
              <w:t>19.4</w:t>
            </w:r>
          </w:p>
        </w:tc>
        <w:tc>
          <w:tcPr>
            <w:tcW w:w="1134" w:type="dxa"/>
            <w:vAlign w:val="center"/>
          </w:tcPr>
          <w:p w14:paraId="29C9CD60" w14:textId="77777777" w:rsidR="00313EC6" w:rsidRPr="00313EC6" w:rsidRDefault="00313EC6" w:rsidP="00313EC6">
            <w:pPr>
              <w:jc w:val="right"/>
              <w:rPr>
                <w:sz w:val="18"/>
              </w:rPr>
            </w:pPr>
            <w:r w:rsidRPr="00313EC6">
              <w:rPr>
                <w:sz w:val="18"/>
              </w:rPr>
              <w:t>(12.1, 26.7)</w:t>
            </w:r>
          </w:p>
        </w:tc>
        <w:tc>
          <w:tcPr>
            <w:tcW w:w="567" w:type="dxa"/>
            <w:shd w:val="clear" w:color="auto" w:fill="auto"/>
            <w:vAlign w:val="center"/>
          </w:tcPr>
          <w:p w14:paraId="3DD89B91" w14:textId="77777777" w:rsidR="00313EC6" w:rsidRPr="00313EC6" w:rsidRDefault="00313EC6" w:rsidP="00313EC6">
            <w:pPr>
              <w:jc w:val="right"/>
              <w:rPr>
                <w:color w:val="000000"/>
                <w:sz w:val="18"/>
                <w:szCs w:val="22"/>
              </w:rPr>
            </w:pPr>
            <w:r w:rsidRPr="00313EC6">
              <w:rPr>
                <w:color w:val="000000"/>
                <w:sz w:val="18"/>
                <w:szCs w:val="22"/>
              </w:rPr>
              <w:t>0</w:t>
            </w:r>
          </w:p>
        </w:tc>
        <w:tc>
          <w:tcPr>
            <w:tcW w:w="567" w:type="dxa"/>
            <w:shd w:val="clear" w:color="auto" w:fill="auto"/>
            <w:vAlign w:val="center"/>
          </w:tcPr>
          <w:p w14:paraId="39D4CC4A" w14:textId="77777777" w:rsidR="00313EC6" w:rsidRPr="00313EC6" w:rsidRDefault="00313EC6" w:rsidP="00313EC6">
            <w:pPr>
              <w:jc w:val="right"/>
              <w:rPr>
                <w:color w:val="000000"/>
                <w:sz w:val="18"/>
                <w:szCs w:val="22"/>
              </w:rPr>
            </w:pPr>
            <w:r w:rsidRPr="00313EC6">
              <w:rPr>
                <w:color w:val="000000"/>
                <w:sz w:val="18"/>
                <w:szCs w:val="22"/>
              </w:rPr>
              <w:t>2.6</w:t>
            </w:r>
          </w:p>
        </w:tc>
        <w:tc>
          <w:tcPr>
            <w:tcW w:w="1135" w:type="dxa"/>
            <w:vAlign w:val="center"/>
          </w:tcPr>
          <w:p w14:paraId="33ADF8B8" w14:textId="77777777" w:rsidR="00313EC6" w:rsidRPr="00313EC6" w:rsidRDefault="002F172C" w:rsidP="00313EC6">
            <w:pPr>
              <w:jc w:val="right"/>
              <w:rPr>
                <w:sz w:val="18"/>
              </w:rPr>
            </w:pPr>
            <w:r>
              <w:rPr>
                <w:sz w:val="18"/>
              </w:rPr>
              <w:t>!</w:t>
            </w:r>
          </w:p>
        </w:tc>
        <w:tc>
          <w:tcPr>
            <w:tcW w:w="567" w:type="dxa"/>
            <w:shd w:val="clear" w:color="auto" w:fill="auto"/>
            <w:vAlign w:val="center"/>
          </w:tcPr>
          <w:p w14:paraId="342B6969" w14:textId="77777777" w:rsidR="00313EC6" w:rsidRPr="00313EC6" w:rsidRDefault="00313EC6" w:rsidP="00313EC6">
            <w:pPr>
              <w:jc w:val="right"/>
              <w:rPr>
                <w:color w:val="000000"/>
                <w:sz w:val="18"/>
                <w:szCs w:val="22"/>
              </w:rPr>
            </w:pPr>
            <w:r w:rsidRPr="00313EC6">
              <w:rPr>
                <w:color w:val="000000"/>
                <w:sz w:val="18"/>
                <w:szCs w:val="22"/>
              </w:rPr>
              <w:t>1</w:t>
            </w:r>
          </w:p>
        </w:tc>
        <w:tc>
          <w:tcPr>
            <w:tcW w:w="568" w:type="dxa"/>
            <w:shd w:val="clear" w:color="auto" w:fill="auto"/>
            <w:vAlign w:val="center"/>
          </w:tcPr>
          <w:p w14:paraId="0077AE53" w14:textId="77777777" w:rsidR="00313EC6" w:rsidRPr="00313EC6" w:rsidRDefault="00313EC6" w:rsidP="00313EC6">
            <w:pPr>
              <w:jc w:val="right"/>
              <w:rPr>
                <w:color w:val="000000"/>
                <w:sz w:val="18"/>
                <w:szCs w:val="22"/>
              </w:rPr>
            </w:pPr>
            <w:r w:rsidRPr="00313EC6">
              <w:rPr>
                <w:color w:val="000000"/>
                <w:sz w:val="18"/>
                <w:szCs w:val="22"/>
              </w:rPr>
              <w:t>6.5</w:t>
            </w:r>
          </w:p>
        </w:tc>
        <w:tc>
          <w:tcPr>
            <w:tcW w:w="1137" w:type="dxa"/>
            <w:vAlign w:val="center"/>
          </w:tcPr>
          <w:p w14:paraId="0A675D14" w14:textId="77777777" w:rsidR="00313EC6" w:rsidRPr="00313EC6" w:rsidRDefault="002F172C" w:rsidP="00313EC6">
            <w:pPr>
              <w:jc w:val="right"/>
              <w:rPr>
                <w:sz w:val="18"/>
              </w:rPr>
            </w:pPr>
            <w:r>
              <w:rPr>
                <w:sz w:val="18"/>
              </w:rPr>
              <w:t>!</w:t>
            </w:r>
          </w:p>
        </w:tc>
        <w:tc>
          <w:tcPr>
            <w:tcW w:w="567" w:type="dxa"/>
            <w:shd w:val="clear" w:color="auto" w:fill="auto"/>
            <w:vAlign w:val="center"/>
          </w:tcPr>
          <w:p w14:paraId="3A6A8137" w14:textId="77777777" w:rsidR="00313EC6" w:rsidRPr="00313EC6" w:rsidRDefault="00313EC6" w:rsidP="00313EC6">
            <w:pPr>
              <w:jc w:val="right"/>
              <w:rPr>
                <w:color w:val="000000"/>
                <w:sz w:val="18"/>
                <w:szCs w:val="22"/>
              </w:rPr>
            </w:pPr>
            <w:r w:rsidRPr="00313EC6">
              <w:rPr>
                <w:color w:val="000000"/>
                <w:sz w:val="18"/>
                <w:szCs w:val="22"/>
              </w:rPr>
              <w:t>4</w:t>
            </w:r>
          </w:p>
        </w:tc>
        <w:tc>
          <w:tcPr>
            <w:tcW w:w="570" w:type="dxa"/>
            <w:shd w:val="clear" w:color="auto" w:fill="auto"/>
            <w:vAlign w:val="center"/>
          </w:tcPr>
          <w:p w14:paraId="22EBDBC2" w14:textId="77777777" w:rsidR="00313EC6" w:rsidRPr="00313EC6" w:rsidRDefault="00313EC6" w:rsidP="00313EC6">
            <w:pPr>
              <w:jc w:val="right"/>
              <w:rPr>
                <w:color w:val="000000"/>
                <w:sz w:val="18"/>
                <w:szCs w:val="22"/>
              </w:rPr>
            </w:pPr>
            <w:r w:rsidRPr="00313EC6">
              <w:rPr>
                <w:color w:val="000000"/>
                <w:sz w:val="18"/>
                <w:szCs w:val="22"/>
              </w:rPr>
              <w:t>27.4</w:t>
            </w:r>
          </w:p>
        </w:tc>
        <w:tc>
          <w:tcPr>
            <w:tcW w:w="1137" w:type="dxa"/>
            <w:vAlign w:val="center"/>
          </w:tcPr>
          <w:p w14:paraId="4D5A6942" w14:textId="77777777" w:rsidR="00313EC6" w:rsidRPr="00313EC6" w:rsidRDefault="00313EC6" w:rsidP="00313EC6">
            <w:pPr>
              <w:jc w:val="right"/>
              <w:rPr>
                <w:sz w:val="18"/>
              </w:rPr>
            </w:pPr>
            <w:r w:rsidRPr="00313EC6">
              <w:rPr>
                <w:sz w:val="18"/>
              </w:rPr>
              <w:t>(5.4, 49.3)</w:t>
            </w:r>
          </w:p>
        </w:tc>
      </w:tr>
      <w:tr w:rsidR="00313EC6" w:rsidRPr="00313EC6" w14:paraId="743BE8B8" w14:textId="77777777" w:rsidTr="00313EC6">
        <w:trPr>
          <w:jc w:val="center"/>
        </w:trPr>
        <w:tc>
          <w:tcPr>
            <w:tcW w:w="3545" w:type="dxa"/>
            <w:gridSpan w:val="3"/>
            <w:tcBorders>
              <w:top w:val="single" w:sz="4" w:space="0" w:color="auto"/>
            </w:tcBorders>
            <w:shd w:val="clear" w:color="auto" w:fill="auto"/>
            <w:vAlign w:val="center"/>
          </w:tcPr>
          <w:p w14:paraId="250F7CD3" w14:textId="77777777" w:rsidR="00313EC6" w:rsidRPr="00313EC6" w:rsidRDefault="00313EC6" w:rsidP="005E3FD2">
            <w:pPr>
              <w:keepNext/>
              <w:keepLines/>
              <w:spacing w:before="20" w:after="20"/>
              <w:rPr>
                <w:b/>
                <w:color w:val="000000"/>
                <w:sz w:val="18"/>
                <w:szCs w:val="20"/>
              </w:rPr>
            </w:pPr>
            <w:r w:rsidRPr="00313EC6">
              <w:rPr>
                <w:b/>
                <w:color w:val="000000"/>
                <w:sz w:val="18"/>
                <w:szCs w:val="20"/>
              </w:rPr>
              <w:t>Wave 3 to Wave 4</w:t>
            </w:r>
          </w:p>
        </w:tc>
        <w:tc>
          <w:tcPr>
            <w:tcW w:w="1276" w:type="dxa"/>
            <w:tcBorders>
              <w:top w:val="single" w:sz="4" w:space="0" w:color="auto"/>
            </w:tcBorders>
            <w:vAlign w:val="center"/>
          </w:tcPr>
          <w:p w14:paraId="5E346B50" w14:textId="77777777" w:rsidR="00313EC6" w:rsidRPr="00313EC6" w:rsidRDefault="00313EC6" w:rsidP="00313EC6">
            <w:pPr>
              <w:keepNext/>
              <w:keepLines/>
              <w:spacing w:before="20" w:after="20"/>
              <w:jc w:val="right"/>
              <w:rPr>
                <w:color w:val="000000"/>
                <w:sz w:val="18"/>
                <w:szCs w:val="20"/>
              </w:rPr>
            </w:pPr>
          </w:p>
        </w:tc>
        <w:tc>
          <w:tcPr>
            <w:tcW w:w="709" w:type="dxa"/>
            <w:tcBorders>
              <w:top w:val="single" w:sz="4" w:space="0" w:color="auto"/>
            </w:tcBorders>
            <w:shd w:val="clear" w:color="auto" w:fill="auto"/>
            <w:vAlign w:val="center"/>
          </w:tcPr>
          <w:p w14:paraId="1C05D2E7" w14:textId="77777777" w:rsidR="00313EC6" w:rsidRPr="00313EC6" w:rsidRDefault="00313EC6" w:rsidP="00313EC6">
            <w:pPr>
              <w:keepNext/>
              <w:keepLines/>
              <w:spacing w:before="20" w:after="20"/>
              <w:jc w:val="right"/>
              <w:rPr>
                <w:color w:val="000000"/>
                <w:sz w:val="18"/>
                <w:szCs w:val="20"/>
              </w:rPr>
            </w:pPr>
          </w:p>
        </w:tc>
        <w:tc>
          <w:tcPr>
            <w:tcW w:w="567" w:type="dxa"/>
            <w:tcBorders>
              <w:top w:val="single" w:sz="4" w:space="0" w:color="auto"/>
            </w:tcBorders>
            <w:shd w:val="clear" w:color="auto" w:fill="auto"/>
            <w:vAlign w:val="center"/>
          </w:tcPr>
          <w:p w14:paraId="26789E8B" w14:textId="77777777" w:rsidR="00313EC6" w:rsidRPr="00313EC6" w:rsidRDefault="00313EC6" w:rsidP="00313EC6">
            <w:pPr>
              <w:jc w:val="right"/>
              <w:rPr>
                <w:sz w:val="18"/>
              </w:rPr>
            </w:pPr>
          </w:p>
        </w:tc>
        <w:tc>
          <w:tcPr>
            <w:tcW w:w="1134" w:type="dxa"/>
            <w:tcBorders>
              <w:top w:val="single" w:sz="4" w:space="0" w:color="auto"/>
            </w:tcBorders>
            <w:vAlign w:val="center"/>
          </w:tcPr>
          <w:p w14:paraId="7C66FDEE" w14:textId="77777777" w:rsidR="00313EC6" w:rsidRPr="00313EC6" w:rsidRDefault="00313EC6" w:rsidP="00313EC6">
            <w:pPr>
              <w:jc w:val="right"/>
              <w:rPr>
                <w:rFonts w:ascii="Calibri" w:hAnsi="Calibri"/>
                <w:color w:val="000000"/>
                <w:sz w:val="18"/>
                <w:szCs w:val="22"/>
              </w:rPr>
            </w:pPr>
          </w:p>
        </w:tc>
        <w:tc>
          <w:tcPr>
            <w:tcW w:w="567" w:type="dxa"/>
            <w:tcBorders>
              <w:top w:val="single" w:sz="4" w:space="0" w:color="auto"/>
            </w:tcBorders>
            <w:shd w:val="clear" w:color="auto" w:fill="auto"/>
            <w:vAlign w:val="center"/>
          </w:tcPr>
          <w:p w14:paraId="16287F96" w14:textId="77777777" w:rsidR="00313EC6" w:rsidRPr="00313EC6" w:rsidRDefault="00313EC6" w:rsidP="00313EC6">
            <w:pPr>
              <w:jc w:val="right"/>
              <w:rPr>
                <w:rFonts w:ascii="Calibri" w:hAnsi="Calibri"/>
                <w:color w:val="000000"/>
                <w:sz w:val="18"/>
                <w:szCs w:val="22"/>
              </w:rPr>
            </w:pPr>
          </w:p>
        </w:tc>
        <w:tc>
          <w:tcPr>
            <w:tcW w:w="567" w:type="dxa"/>
            <w:tcBorders>
              <w:top w:val="single" w:sz="4" w:space="0" w:color="auto"/>
            </w:tcBorders>
            <w:shd w:val="clear" w:color="auto" w:fill="auto"/>
            <w:vAlign w:val="center"/>
          </w:tcPr>
          <w:p w14:paraId="2AB3552A" w14:textId="77777777" w:rsidR="00313EC6" w:rsidRPr="00313EC6" w:rsidRDefault="00313EC6" w:rsidP="00313EC6">
            <w:pPr>
              <w:jc w:val="right"/>
              <w:rPr>
                <w:sz w:val="18"/>
              </w:rPr>
            </w:pPr>
          </w:p>
        </w:tc>
        <w:tc>
          <w:tcPr>
            <w:tcW w:w="1135" w:type="dxa"/>
            <w:tcBorders>
              <w:top w:val="single" w:sz="4" w:space="0" w:color="auto"/>
            </w:tcBorders>
            <w:vAlign w:val="center"/>
          </w:tcPr>
          <w:p w14:paraId="3CD70486" w14:textId="77777777" w:rsidR="00313EC6" w:rsidRPr="00313EC6" w:rsidRDefault="00313EC6" w:rsidP="00313EC6">
            <w:pPr>
              <w:jc w:val="right"/>
              <w:rPr>
                <w:rFonts w:ascii="Calibri" w:hAnsi="Calibri"/>
                <w:color w:val="000000"/>
                <w:sz w:val="18"/>
                <w:szCs w:val="22"/>
              </w:rPr>
            </w:pPr>
          </w:p>
        </w:tc>
        <w:tc>
          <w:tcPr>
            <w:tcW w:w="567" w:type="dxa"/>
            <w:tcBorders>
              <w:top w:val="single" w:sz="4" w:space="0" w:color="auto"/>
            </w:tcBorders>
            <w:shd w:val="clear" w:color="auto" w:fill="auto"/>
            <w:vAlign w:val="center"/>
          </w:tcPr>
          <w:p w14:paraId="1FD56179" w14:textId="77777777" w:rsidR="00313EC6" w:rsidRPr="00313EC6" w:rsidRDefault="00313EC6" w:rsidP="00313EC6">
            <w:pPr>
              <w:jc w:val="right"/>
              <w:rPr>
                <w:rFonts w:ascii="Calibri" w:hAnsi="Calibri"/>
                <w:color w:val="000000"/>
                <w:sz w:val="18"/>
                <w:szCs w:val="22"/>
              </w:rPr>
            </w:pPr>
          </w:p>
        </w:tc>
        <w:tc>
          <w:tcPr>
            <w:tcW w:w="568" w:type="dxa"/>
            <w:tcBorders>
              <w:top w:val="single" w:sz="4" w:space="0" w:color="auto"/>
            </w:tcBorders>
            <w:shd w:val="clear" w:color="auto" w:fill="auto"/>
            <w:vAlign w:val="center"/>
          </w:tcPr>
          <w:p w14:paraId="58091BCC" w14:textId="77777777" w:rsidR="00313EC6" w:rsidRPr="00B20821" w:rsidRDefault="00313EC6" w:rsidP="00313EC6">
            <w:pPr>
              <w:jc w:val="right"/>
            </w:pPr>
          </w:p>
        </w:tc>
        <w:tc>
          <w:tcPr>
            <w:tcW w:w="1137" w:type="dxa"/>
            <w:tcBorders>
              <w:top w:val="single" w:sz="4" w:space="0" w:color="auto"/>
            </w:tcBorders>
            <w:vAlign w:val="center"/>
          </w:tcPr>
          <w:p w14:paraId="707C4DD4" w14:textId="77777777" w:rsidR="00313EC6" w:rsidRPr="00313EC6" w:rsidRDefault="00313EC6" w:rsidP="00313EC6">
            <w:pPr>
              <w:jc w:val="right"/>
              <w:rPr>
                <w:rFonts w:ascii="Calibri" w:hAnsi="Calibri"/>
                <w:color w:val="000000"/>
                <w:sz w:val="18"/>
                <w:szCs w:val="22"/>
              </w:rPr>
            </w:pPr>
          </w:p>
        </w:tc>
        <w:tc>
          <w:tcPr>
            <w:tcW w:w="567" w:type="dxa"/>
            <w:tcBorders>
              <w:top w:val="single" w:sz="4" w:space="0" w:color="auto"/>
            </w:tcBorders>
            <w:shd w:val="clear" w:color="auto" w:fill="auto"/>
            <w:vAlign w:val="center"/>
          </w:tcPr>
          <w:p w14:paraId="6BC2AD5B" w14:textId="77777777" w:rsidR="00313EC6" w:rsidRPr="00313EC6" w:rsidRDefault="00313EC6" w:rsidP="00313EC6">
            <w:pPr>
              <w:jc w:val="right"/>
              <w:rPr>
                <w:rFonts w:ascii="Calibri" w:hAnsi="Calibri"/>
                <w:color w:val="000000"/>
                <w:sz w:val="18"/>
                <w:szCs w:val="22"/>
              </w:rPr>
            </w:pPr>
          </w:p>
        </w:tc>
        <w:tc>
          <w:tcPr>
            <w:tcW w:w="570" w:type="dxa"/>
            <w:tcBorders>
              <w:top w:val="single" w:sz="4" w:space="0" w:color="auto"/>
            </w:tcBorders>
            <w:shd w:val="clear" w:color="auto" w:fill="auto"/>
            <w:vAlign w:val="center"/>
          </w:tcPr>
          <w:p w14:paraId="26817944" w14:textId="77777777" w:rsidR="00313EC6" w:rsidRPr="004134EA" w:rsidRDefault="00313EC6" w:rsidP="00313EC6">
            <w:pPr>
              <w:jc w:val="right"/>
            </w:pPr>
          </w:p>
        </w:tc>
        <w:tc>
          <w:tcPr>
            <w:tcW w:w="1137" w:type="dxa"/>
            <w:tcBorders>
              <w:top w:val="single" w:sz="4" w:space="0" w:color="auto"/>
            </w:tcBorders>
            <w:vAlign w:val="center"/>
          </w:tcPr>
          <w:p w14:paraId="5015ED42" w14:textId="77777777" w:rsidR="00313EC6" w:rsidRPr="00313EC6" w:rsidRDefault="00313EC6" w:rsidP="00313EC6">
            <w:pPr>
              <w:jc w:val="right"/>
              <w:rPr>
                <w:sz w:val="18"/>
                <w:szCs w:val="20"/>
              </w:rPr>
            </w:pPr>
          </w:p>
        </w:tc>
      </w:tr>
      <w:tr w:rsidR="00313EC6" w:rsidRPr="00313EC6" w14:paraId="199C240D" w14:textId="77777777" w:rsidTr="00313EC6">
        <w:trPr>
          <w:jc w:val="center"/>
        </w:trPr>
        <w:tc>
          <w:tcPr>
            <w:tcW w:w="2269" w:type="dxa"/>
            <w:vAlign w:val="center"/>
          </w:tcPr>
          <w:p w14:paraId="395BE2B1" w14:textId="77777777" w:rsidR="00313EC6" w:rsidRPr="00313EC6" w:rsidRDefault="00313EC6" w:rsidP="00313EC6">
            <w:pPr>
              <w:keepNext/>
              <w:keepLines/>
              <w:spacing w:before="20" w:after="20"/>
              <w:ind w:left="88"/>
              <w:rPr>
                <w:sz w:val="18"/>
                <w:szCs w:val="20"/>
              </w:rPr>
            </w:pPr>
            <w:r w:rsidRPr="00313EC6">
              <w:rPr>
                <w:sz w:val="18"/>
                <w:szCs w:val="20"/>
              </w:rPr>
              <w:t>Non-gambler</w:t>
            </w:r>
          </w:p>
        </w:tc>
        <w:tc>
          <w:tcPr>
            <w:tcW w:w="709" w:type="dxa"/>
            <w:shd w:val="clear" w:color="auto" w:fill="auto"/>
            <w:vAlign w:val="center"/>
          </w:tcPr>
          <w:p w14:paraId="15145FEB" w14:textId="77777777" w:rsidR="00313EC6" w:rsidRPr="00313EC6" w:rsidRDefault="00313EC6" w:rsidP="00313EC6">
            <w:pPr>
              <w:jc w:val="right"/>
              <w:rPr>
                <w:color w:val="000000"/>
                <w:sz w:val="18"/>
                <w:szCs w:val="22"/>
              </w:rPr>
            </w:pPr>
            <w:r w:rsidRPr="00313EC6">
              <w:rPr>
                <w:color w:val="000000"/>
                <w:sz w:val="18"/>
                <w:szCs w:val="22"/>
              </w:rPr>
              <w:t>453</w:t>
            </w:r>
          </w:p>
        </w:tc>
        <w:tc>
          <w:tcPr>
            <w:tcW w:w="567" w:type="dxa"/>
            <w:shd w:val="clear" w:color="auto" w:fill="auto"/>
            <w:vAlign w:val="center"/>
          </w:tcPr>
          <w:p w14:paraId="49B07604" w14:textId="77777777" w:rsidR="00313EC6" w:rsidRPr="00313EC6" w:rsidRDefault="00313EC6" w:rsidP="00313EC6">
            <w:pPr>
              <w:jc w:val="right"/>
              <w:rPr>
                <w:color w:val="000000"/>
                <w:sz w:val="18"/>
                <w:szCs w:val="22"/>
              </w:rPr>
            </w:pPr>
            <w:r w:rsidRPr="00313EC6">
              <w:rPr>
                <w:color w:val="000000"/>
                <w:sz w:val="18"/>
                <w:szCs w:val="22"/>
              </w:rPr>
              <w:t>70.9</w:t>
            </w:r>
          </w:p>
        </w:tc>
        <w:tc>
          <w:tcPr>
            <w:tcW w:w="1276" w:type="dxa"/>
            <w:vAlign w:val="center"/>
          </w:tcPr>
          <w:p w14:paraId="11AC4169" w14:textId="77777777" w:rsidR="00313EC6" w:rsidRPr="00313EC6" w:rsidRDefault="00313EC6" w:rsidP="00313EC6">
            <w:pPr>
              <w:jc w:val="right"/>
              <w:rPr>
                <w:sz w:val="18"/>
              </w:rPr>
            </w:pPr>
            <w:r w:rsidRPr="00313EC6">
              <w:rPr>
                <w:sz w:val="18"/>
              </w:rPr>
              <w:t>(65.9, 75.9)</w:t>
            </w:r>
          </w:p>
        </w:tc>
        <w:tc>
          <w:tcPr>
            <w:tcW w:w="709" w:type="dxa"/>
            <w:shd w:val="clear" w:color="auto" w:fill="auto"/>
            <w:vAlign w:val="center"/>
          </w:tcPr>
          <w:p w14:paraId="18561756" w14:textId="77777777" w:rsidR="00313EC6" w:rsidRPr="00313EC6" w:rsidRDefault="00313EC6" w:rsidP="00313EC6">
            <w:pPr>
              <w:jc w:val="right"/>
              <w:rPr>
                <w:color w:val="000000"/>
                <w:sz w:val="18"/>
                <w:szCs w:val="22"/>
              </w:rPr>
            </w:pPr>
            <w:r w:rsidRPr="00313EC6">
              <w:rPr>
                <w:color w:val="000000"/>
                <w:sz w:val="18"/>
                <w:szCs w:val="22"/>
              </w:rPr>
              <w:t>180</w:t>
            </w:r>
          </w:p>
        </w:tc>
        <w:tc>
          <w:tcPr>
            <w:tcW w:w="567" w:type="dxa"/>
            <w:shd w:val="clear" w:color="auto" w:fill="auto"/>
            <w:vAlign w:val="center"/>
          </w:tcPr>
          <w:p w14:paraId="39CA0EF1" w14:textId="77777777" w:rsidR="00313EC6" w:rsidRPr="00313EC6" w:rsidRDefault="00313EC6" w:rsidP="00313EC6">
            <w:pPr>
              <w:jc w:val="right"/>
              <w:rPr>
                <w:color w:val="000000"/>
                <w:sz w:val="18"/>
                <w:szCs w:val="22"/>
              </w:rPr>
            </w:pPr>
            <w:r w:rsidRPr="00313EC6">
              <w:rPr>
                <w:color w:val="000000"/>
                <w:sz w:val="18"/>
                <w:szCs w:val="22"/>
              </w:rPr>
              <w:t>28.2</w:t>
            </w:r>
          </w:p>
        </w:tc>
        <w:tc>
          <w:tcPr>
            <w:tcW w:w="1134" w:type="dxa"/>
            <w:vAlign w:val="center"/>
          </w:tcPr>
          <w:p w14:paraId="17ABFF15" w14:textId="77777777" w:rsidR="00313EC6" w:rsidRPr="00313EC6" w:rsidRDefault="00313EC6" w:rsidP="00313EC6">
            <w:pPr>
              <w:jc w:val="right"/>
              <w:rPr>
                <w:sz w:val="18"/>
              </w:rPr>
            </w:pPr>
            <w:r w:rsidRPr="00313EC6">
              <w:rPr>
                <w:sz w:val="18"/>
              </w:rPr>
              <w:t>(23.2, 33.2)</w:t>
            </w:r>
          </w:p>
        </w:tc>
        <w:tc>
          <w:tcPr>
            <w:tcW w:w="567" w:type="dxa"/>
            <w:shd w:val="clear" w:color="auto" w:fill="auto"/>
            <w:vAlign w:val="center"/>
          </w:tcPr>
          <w:p w14:paraId="3C657FB4" w14:textId="77777777" w:rsidR="00313EC6" w:rsidRPr="00313EC6" w:rsidRDefault="00313EC6" w:rsidP="00313EC6">
            <w:pPr>
              <w:jc w:val="right"/>
              <w:rPr>
                <w:color w:val="000000"/>
                <w:sz w:val="18"/>
                <w:szCs w:val="22"/>
              </w:rPr>
            </w:pPr>
            <w:r w:rsidRPr="00313EC6">
              <w:rPr>
                <w:color w:val="000000"/>
                <w:sz w:val="18"/>
                <w:szCs w:val="22"/>
              </w:rPr>
              <w:t>5</w:t>
            </w:r>
          </w:p>
        </w:tc>
        <w:tc>
          <w:tcPr>
            <w:tcW w:w="567" w:type="dxa"/>
            <w:shd w:val="clear" w:color="auto" w:fill="auto"/>
            <w:vAlign w:val="center"/>
          </w:tcPr>
          <w:p w14:paraId="1CE0E346" w14:textId="77777777" w:rsidR="00313EC6" w:rsidRPr="00313EC6" w:rsidRDefault="00313EC6" w:rsidP="00313EC6">
            <w:pPr>
              <w:jc w:val="right"/>
              <w:rPr>
                <w:color w:val="000000"/>
                <w:sz w:val="18"/>
                <w:szCs w:val="22"/>
              </w:rPr>
            </w:pPr>
            <w:r w:rsidRPr="00313EC6">
              <w:rPr>
                <w:color w:val="000000"/>
                <w:sz w:val="18"/>
                <w:szCs w:val="22"/>
              </w:rPr>
              <w:t>0.7</w:t>
            </w:r>
          </w:p>
        </w:tc>
        <w:tc>
          <w:tcPr>
            <w:tcW w:w="1135" w:type="dxa"/>
            <w:vAlign w:val="center"/>
          </w:tcPr>
          <w:p w14:paraId="7A7BC7D2" w14:textId="77777777" w:rsidR="00313EC6" w:rsidRPr="00313EC6" w:rsidRDefault="00313EC6" w:rsidP="00313EC6">
            <w:pPr>
              <w:jc w:val="right"/>
              <w:rPr>
                <w:sz w:val="18"/>
              </w:rPr>
            </w:pPr>
            <w:r w:rsidRPr="00313EC6">
              <w:rPr>
                <w:sz w:val="18"/>
              </w:rPr>
              <w:t>(0.1, 1.4)</w:t>
            </w:r>
          </w:p>
        </w:tc>
        <w:tc>
          <w:tcPr>
            <w:tcW w:w="567" w:type="dxa"/>
            <w:shd w:val="clear" w:color="auto" w:fill="auto"/>
            <w:vAlign w:val="center"/>
          </w:tcPr>
          <w:p w14:paraId="79ADC9DB" w14:textId="77777777" w:rsidR="00313EC6" w:rsidRPr="00313EC6" w:rsidRDefault="00313EC6" w:rsidP="00313EC6">
            <w:pPr>
              <w:jc w:val="right"/>
              <w:rPr>
                <w:color w:val="000000"/>
                <w:sz w:val="18"/>
                <w:szCs w:val="22"/>
              </w:rPr>
            </w:pPr>
            <w:r w:rsidRPr="00313EC6">
              <w:rPr>
                <w:color w:val="000000"/>
                <w:sz w:val="18"/>
                <w:szCs w:val="22"/>
              </w:rPr>
              <w:t>1</w:t>
            </w:r>
          </w:p>
        </w:tc>
        <w:tc>
          <w:tcPr>
            <w:tcW w:w="568" w:type="dxa"/>
            <w:shd w:val="clear" w:color="auto" w:fill="auto"/>
            <w:vAlign w:val="center"/>
          </w:tcPr>
          <w:p w14:paraId="1B25DF75" w14:textId="77777777" w:rsidR="00313EC6" w:rsidRPr="00313EC6" w:rsidRDefault="00313EC6" w:rsidP="00313EC6">
            <w:pPr>
              <w:jc w:val="right"/>
              <w:rPr>
                <w:color w:val="000000"/>
                <w:sz w:val="18"/>
                <w:szCs w:val="22"/>
              </w:rPr>
            </w:pPr>
            <w:r w:rsidRPr="00313EC6">
              <w:rPr>
                <w:color w:val="000000"/>
                <w:sz w:val="18"/>
                <w:szCs w:val="22"/>
              </w:rPr>
              <w:t>0.2</w:t>
            </w:r>
          </w:p>
        </w:tc>
        <w:tc>
          <w:tcPr>
            <w:tcW w:w="1137" w:type="dxa"/>
            <w:vAlign w:val="center"/>
          </w:tcPr>
          <w:p w14:paraId="16FA3996" w14:textId="77777777" w:rsidR="00313EC6" w:rsidRPr="00313EC6" w:rsidRDefault="002F172C" w:rsidP="00313EC6">
            <w:pPr>
              <w:jc w:val="right"/>
              <w:rPr>
                <w:sz w:val="18"/>
              </w:rPr>
            </w:pPr>
            <w:r>
              <w:rPr>
                <w:sz w:val="18"/>
              </w:rPr>
              <w:t>!</w:t>
            </w:r>
          </w:p>
        </w:tc>
        <w:tc>
          <w:tcPr>
            <w:tcW w:w="567" w:type="dxa"/>
            <w:shd w:val="clear" w:color="auto" w:fill="auto"/>
            <w:vAlign w:val="center"/>
          </w:tcPr>
          <w:p w14:paraId="187FFE2B" w14:textId="77777777" w:rsidR="00313EC6" w:rsidRPr="00313EC6" w:rsidRDefault="00313EC6" w:rsidP="00313EC6">
            <w:pPr>
              <w:jc w:val="right"/>
              <w:rPr>
                <w:color w:val="000000"/>
                <w:sz w:val="18"/>
                <w:szCs w:val="22"/>
              </w:rPr>
            </w:pPr>
            <w:r w:rsidRPr="00313EC6">
              <w:rPr>
                <w:color w:val="000000"/>
                <w:sz w:val="18"/>
                <w:szCs w:val="22"/>
              </w:rPr>
              <w:t>-</w:t>
            </w:r>
          </w:p>
        </w:tc>
        <w:tc>
          <w:tcPr>
            <w:tcW w:w="570" w:type="dxa"/>
            <w:shd w:val="clear" w:color="auto" w:fill="auto"/>
            <w:vAlign w:val="center"/>
          </w:tcPr>
          <w:p w14:paraId="014686D3" w14:textId="77777777" w:rsidR="00313EC6" w:rsidRPr="00313EC6" w:rsidRDefault="00313EC6" w:rsidP="00313EC6">
            <w:pPr>
              <w:jc w:val="right"/>
              <w:rPr>
                <w:color w:val="000000"/>
                <w:sz w:val="18"/>
                <w:szCs w:val="22"/>
              </w:rPr>
            </w:pPr>
          </w:p>
        </w:tc>
        <w:tc>
          <w:tcPr>
            <w:tcW w:w="1137" w:type="dxa"/>
            <w:vAlign w:val="center"/>
          </w:tcPr>
          <w:p w14:paraId="09AEFFE8" w14:textId="77777777" w:rsidR="00313EC6" w:rsidRPr="00313EC6" w:rsidRDefault="00313EC6" w:rsidP="00313EC6">
            <w:pPr>
              <w:jc w:val="right"/>
              <w:rPr>
                <w:sz w:val="18"/>
              </w:rPr>
            </w:pPr>
          </w:p>
        </w:tc>
      </w:tr>
      <w:tr w:rsidR="00313EC6" w:rsidRPr="00313EC6" w14:paraId="040589BE" w14:textId="77777777" w:rsidTr="00313EC6">
        <w:trPr>
          <w:jc w:val="center"/>
        </w:trPr>
        <w:tc>
          <w:tcPr>
            <w:tcW w:w="2269" w:type="dxa"/>
            <w:vAlign w:val="center"/>
          </w:tcPr>
          <w:p w14:paraId="161FD19E" w14:textId="77777777" w:rsidR="00313EC6" w:rsidRPr="00313EC6" w:rsidRDefault="00313EC6" w:rsidP="00313EC6">
            <w:pPr>
              <w:spacing w:before="20" w:after="20"/>
              <w:ind w:left="88"/>
              <w:rPr>
                <w:sz w:val="18"/>
                <w:szCs w:val="20"/>
              </w:rPr>
            </w:pPr>
            <w:r w:rsidRPr="00313EC6">
              <w:rPr>
                <w:sz w:val="18"/>
                <w:szCs w:val="20"/>
              </w:rPr>
              <w:t>Non-problem gambler</w:t>
            </w:r>
          </w:p>
        </w:tc>
        <w:tc>
          <w:tcPr>
            <w:tcW w:w="709" w:type="dxa"/>
            <w:shd w:val="clear" w:color="auto" w:fill="auto"/>
            <w:vAlign w:val="center"/>
          </w:tcPr>
          <w:p w14:paraId="5DB94FC9" w14:textId="77777777" w:rsidR="00313EC6" w:rsidRPr="00313EC6" w:rsidRDefault="00313EC6" w:rsidP="00313EC6">
            <w:pPr>
              <w:jc w:val="right"/>
              <w:rPr>
                <w:color w:val="000000"/>
                <w:sz w:val="18"/>
                <w:szCs w:val="22"/>
              </w:rPr>
            </w:pPr>
            <w:r w:rsidRPr="00313EC6">
              <w:rPr>
                <w:color w:val="000000"/>
                <w:sz w:val="18"/>
                <w:szCs w:val="22"/>
              </w:rPr>
              <w:t>232</w:t>
            </w:r>
          </w:p>
        </w:tc>
        <w:tc>
          <w:tcPr>
            <w:tcW w:w="567" w:type="dxa"/>
            <w:shd w:val="clear" w:color="auto" w:fill="auto"/>
            <w:vAlign w:val="center"/>
          </w:tcPr>
          <w:p w14:paraId="2936A8C0" w14:textId="77777777" w:rsidR="00313EC6" w:rsidRPr="00313EC6" w:rsidRDefault="00313EC6" w:rsidP="00313EC6">
            <w:pPr>
              <w:jc w:val="right"/>
              <w:rPr>
                <w:color w:val="000000"/>
                <w:sz w:val="18"/>
                <w:szCs w:val="22"/>
              </w:rPr>
            </w:pPr>
            <w:r w:rsidRPr="00313EC6">
              <w:rPr>
                <w:color w:val="000000"/>
                <w:sz w:val="18"/>
                <w:szCs w:val="22"/>
              </w:rPr>
              <w:t>11.9</w:t>
            </w:r>
          </w:p>
        </w:tc>
        <w:tc>
          <w:tcPr>
            <w:tcW w:w="1276" w:type="dxa"/>
            <w:vAlign w:val="center"/>
          </w:tcPr>
          <w:p w14:paraId="30F49DED" w14:textId="77777777" w:rsidR="00313EC6" w:rsidRPr="00313EC6" w:rsidRDefault="00313EC6" w:rsidP="00313EC6">
            <w:pPr>
              <w:jc w:val="right"/>
              <w:rPr>
                <w:sz w:val="18"/>
              </w:rPr>
            </w:pPr>
            <w:r w:rsidRPr="00313EC6">
              <w:rPr>
                <w:sz w:val="18"/>
              </w:rPr>
              <w:t>(10.1, 13.8)</w:t>
            </w:r>
          </w:p>
        </w:tc>
        <w:tc>
          <w:tcPr>
            <w:tcW w:w="709" w:type="dxa"/>
            <w:shd w:val="clear" w:color="auto" w:fill="auto"/>
            <w:vAlign w:val="center"/>
          </w:tcPr>
          <w:p w14:paraId="335B4E36" w14:textId="77777777" w:rsidR="00313EC6" w:rsidRPr="00313EC6" w:rsidRDefault="00313EC6" w:rsidP="00313EC6">
            <w:pPr>
              <w:jc w:val="right"/>
              <w:rPr>
                <w:color w:val="000000"/>
                <w:sz w:val="18"/>
                <w:szCs w:val="22"/>
              </w:rPr>
            </w:pPr>
            <w:r w:rsidRPr="00313EC6">
              <w:rPr>
                <w:color w:val="000000"/>
                <w:sz w:val="18"/>
                <w:szCs w:val="22"/>
              </w:rPr>
              <w:t>1609</w:t>
            </w:r>
          </w:p>
        </w:tc>
        <w:tc>
          <w:tcPr>
            <w:tcW w:w="567" w:type="dxa"/>
            <w:shd w:val="clear" w:color="auto" w:fill="auto"/>
            <w:vAlign w:val="center"/>
          </w:tcPr>
          <w:p w14:paraId="50D44189" w14:textId="77777777" w:rsidR="00313EC6" w:rsidRPr="00313EC6" w:rsidRDefault="00313EC6" w:rsidP="00313EC6">
            <w:pPr>
              <w:jc w:val="right"/>
              <w:rPr>
                <w:color w:val="000000"/>
                <w:sz w:val="18"/>
                <w:szCs w:val="22"/>
              </w:rPr>
            </w:pPr>
            <w:r w:rsidRPr="00313EC6">
              <w:rPr>
                <w:color w:val="000000"/>
                <w:sz w:val="18"/>
                <w:szCs w:val="22"/>
              </w:rPr>
              <w:t>82.8</w:t>
            </w:r>
          </w:p>
        </w:tc>
        <w:tc>
          <w:tcPr>
            <w:tcW w:w="1134" w:type="dxa"/>
            <w:vAlign w:val="center"/>
          </w:tcPr>
          <w:p w14:paraId="79E30F64" w14:textId="77777777" w:rsidR="00313EC6" w:rsidRPr="00313EC6" w:rsidRDefault="00313EC6" w:rsidP="00313EC6">
            <w:pPr>
              <w:jc w:val="right"/>
              <w:rPr>
                <w:sz w:val="18"/>
              </w:rPr>
            </w:pPr>
            <w:r w:rsidRPr="00313EC6">
              <w:rPr>
                <w:sz w:val="18"/>
              </w:rPr>
              <w:t>(80.7, 85.0)</w:t>
            </w:r>
          </w:p>
        </w:tc>
        <w:tc>
          <w:tcPr>
            <w:tcW w:w="567" w:type="dxa"/>
            <w:shd w:val="clear" w:color="auto" w:fill="auto"/>
            <w:vAlign w:val="center"/>
          </w:tcPr>
          <w:p w14:paraId="16D25B61" w14:textId="77777777" w:rsidR="00313EC6" w:rsidRPr="00313EC6" w:rsidRDefault="00313EC6" w:rsidP="00313EC6">
            <w:pPr>
              <w:jc w:val="right"/>
              <w:rPr>
                <w:color w:val="000000"/>
                <w:sz w:val="18"/>
                <w:szCs w:val="22"/>
              </w:rPr>
            </w:pPr>
            <w:r w:rsidRPr="00313EC6">
              <w:rPr>
                <w:color w:val="000000"/>
                <w:sz w:val="18"/>
                <w:szCs w:val="22"/>
              </w:rPr>
              <w:t>85</w:t>
            </w:r>
          </w:p>
        </w:tc>
        <w:tc>
          <w:tcPr>
            <w:tcW w:w="567" w:type="dxa"/>
            <w:shd w:val="clear" w:color="auto" w:fill="auto"/>
            <w:vAlign w:val="center"/>
          </w:tcPr>
          <w:p w14:paraId="1F084905" w14:textId="77777777" w:rsidR="00313EC6" w:rsidRPr="00313EC6" w:rsidRDefault="00313EC6" w:rsidP="00313EC6">
            <w:pPr>
              <w:jc w:val="right"/>
              <w:rPr>
                <w:color w:val="000000"/>
                <w:sz w:val="18"/>
                <w:szCs w:val="22"/>
              </w:rPr>
            </w:pPr>
            <w:r w:rsidRPr="00313EC6">
              <w:rPr>
                <w:color w:val="000000"/>
                <w:sz w:val="18"/>
                <w:szCs w:val="22"/>
              </w:rPr>
              <w:t>4.4</w:t>
            </w:r>
          </w:p>
        </w:tc>
        <w:tc>
          <w:tcPr>
            <w:tcW w:w="1135" w:type="dxa"/>
            <w:vAlign w:val="center"/>
          </w:tcPr>
          <w:p w14:paraId="1BE601D0" w14:textId="77777777" w:rsidR="00313EC6" w:rsidRPr="00313EC6" w:rsidRDefault="00313EC6" w:rsidP="00313EC6">
            <w:pPr>
              <w:jc w:val="right"/>
              <w:rPr>
                <w:sz w:val="18"/>
              </w:rPr>
            </w:pPr>
            <w:r w:rsidRPr="00313EC6">
              <w:rPr>
                <w:sz w:val="18"/>
              </w:rPr>
              <w:t>(3.2, 5.6)</w:t>
            </w:r>
          </w:p>
        </w:tc>
        <w:tc>
          <w:tcPr>
            <w:tcW w:w="567" w:type="dxa"/>
            <w:shd w:val="clear" w:color="auto" w:fill="auto"/>
            <w:vAlign w:val="center"/>
          </w:tcPr>
          <w:p w14:paraId="61E0367E" w14:textId="77777777" w:rsidR="00313EC6" w:rsidRPr="00313EC6" w:rsidRDefault="00313EC6" w:rsidP="00313EC6">
            <w:pPr>
              <w:jc w:val="right"/>
              <w:rPr>
                <w:color w:val="000000"/>
                <w:sz w:val="18"/>
                <w:szCs w:val="22"/>
              </w:rPr>
            </w:pPr>
            <w:r w:rsidRPr="00313EC6">
              <w:rPr>
                <w:color w:val="000000"/>
                <w:sz w:val="18"/>
                <w:szCs w:val="22"/>
              </w:rPr>
              <w:t>16</w:t>
            </w:r>
          </w:p>
        </w:tc>
        <w:tc>
          <w:tcPr>
            <w:tcW w:w="568" w:type="dxa"/>
            <w:shd w:val="clear" w:color="auto" w:fill="auto"/>
            <w:vAlign w:val="center"/>
          </w:tcPr>
          <w:p w14:paraId="719766DF" w14:textId="77777777" w:rsidR="00313EC6" w:rsidRPr="00313EC6" w:rsidRDefault="00313EC6" w:rsidP="00313EC6">
            <w:pPr>
              <w:jc w:val="right"/>
              <w:rPr>
                <w:color w:val="000000"/>
                <w:sz w:val="18"/>
                <w:szCs w:val="22"/>
              </w:rPr>
            </w:pPr>
            <w:r w:rsidRPr="00313EC6">
              <w:rPr>
                <w:color w:val="000000"/>
                <w:sz w:val="18"/>
                <w:szCs w:val="22"/>
              </w:rPr>
              <w:t>0.8</w:t>
            </w:r>
          </w:p>
        </w:tc>
        <w:tc>
          <w:tcPr>
            <w:tcW w:w="1137" w:type="dxa"/>
            <w:vAlign w:val="center"/>
          </w:tcPr>
          <w:p w14:paraId="585276D1" w14:textId="77777777" w:rsidR="00313EC6" w:rsidRPr="00313EC6" w:rsidRDefault="00313EC6" w:rsidP="00313EC6">
            <w:pPr>
              <w:jc w:val="right"/>
              <w:rPr>
                <w:sz w:val="18"/>
              </w:rPr>
            </w:pPr>
            <w:r w:rsidRPr="00313EC6">
              <w:rPr>
                <w:sz w:val="18"/>
              </w:rPr>
              <w:t>(0.4, 1.3)</w:t>
            </w:r>
          </w:p>
        </w:tc>
        <w:tc>
          <w:tcPr>
            <w:tcW w:w="567" w:type="dxa"/>
            <w:shd w:val="clear" w:color="auto" w:fill="auto"/>
            <w:vAlign w:val="center"/>
          </w:tcPr>
          <w:p w14:paraId="6EA508DD" w14:textId="77777777" w:rsidR="00313EC6" w:rsidRPr="00313EC6" w:rsidRDefault="00313EC6" w:rsidP="00313EC6">
            <w:pPr>
              <w:jc w:val="right"/>
              <w:rPr>
                <w:color w:val="000000"/>
                <w:sz w:val="18"/>
                <w:szCs w:val="22"/>
              </w:rPr>
            </w:pPr>
            <w:r w:rsidRPr="00313EC6">
              <w:rPr>
                <w:color w:val="000000"/>
                <w:sz w:val="18"/>
                <w:szCs w:val="22"/>
              </w:rPr>
              <w:t>1</w:t>
            </w:r>
          </w:p>
        </w:tc>
        <w:tc>
          <w:tcPr>
            <w:tcW w:w="570" w:type="dxa"/>
            <w:shd w:val="clear" w:color="auto" w:fill="auto"/>
            <w:vAlign w:val="center"/>
          </w:tcPr>
          <w:p w14:paraId="4C51F76D" w14:textId="77777777" w:rsidR="00313EC6" w:rsidRPr="00313EC6" w:rsidRDefault="00313EC6" w:rsidP="00313EC6">
            <w:pPr>
              <w:jc w:val="right"/>
              <w:rPr>
                <w:color w:val="000000"/>
                <w:sz w:val="18"/>
                <w:szCs w:val="22"/>
              </w:rPr>
            </w:pPr>
            <w:r w:rsidRPr="00313EC6">
              <w:rPr>
                <w:color w:val="000000"/>
                <w:sz w:val="18"/>
                <w:szCs w:val="22"/>
              </w:rPr>
              <w:t>0.0</w:t>
            </w:r>
          </w:p>
        </w:tc>
        <w:tc>
          <w:tcPr>
            <w:tcW w:w="1137" w:type="dxa"/>
            <w:vAlign w:val="center"/>
          </w:tcPr>
          <w:p w14:paraId="7F8DF539" w14:textId="77777777" w:rsidR="00313EC6" w:rsidRPr="00313EC6" w:rsidRDefault="002F172C" w:rsidP="00313EC6">
            <w:pPr>
              <w:jc w:val="right"/>
              <w:rPr>
                <w:sz w:val="18"/>
              </w:rPr>
            </w:pPr>
            <w:r>
              <w:rPr>
                <w:sz w:val="18"/>
              </w:rPr>
              <w:t>!</w:t>
            </w:r>
          </w:p>
        </w:tc>
      </w:tr>
      <w:tr w:rsidR="00313EC6" w:rsidRPr="00313EC6" w14:paraId="1677EE28" w14:textId="77777777" w:rsidTr="00313EC6">
        <w:trPr>
          <w:jc w:val="center"/>
        </w:trPr>
        <w:tc>
          <w:tcPr>
            <w:tcW w:w="2269" w:type="dxa"/>
            <w:vAlign w:val="center"/>
          </w:tcPr>
          <w:p w14:paraId="6381DF37" w14:textId="77777777" w:rsidR="00313EC6" w:rsidRPr="00313EC6" w:rsidRDefault="00313EC6" w:rsidP="00313EC6">
            <w:pPr>
              <w:spacing w:before="20" w:after="20"/>
              <w:ind w:left="88"/>
              <w:rPr>
                <w:sz w:val="18"/>
                <w:szCs w:val="20"/>
              </w:rPr>
            </w:pPr>
            <w:r w:rsidRPr="00313EC6">
              <w:rPr>
                <w:sz w:val="18"/>
                <w:szCs w:val="20"/>
              </w:rPr>
              <w:t>Low-risk gambler</w:t>
            </w:r>
          </w:p>
        </w:tc>
        <w:tc>
          <w:tcPr>
            <w:tcW w:w="709" w:type="dxa"/>
            <w:shd w:val="clear" w:color="auto" w:fill="auto"/>
            <w:vAlign w:val="center"/>
          </w:tcPr>
          <w:p w14:paraId="085D2CBB" w14:textId="77777777" w:rsidR="00313EC6" w:rsidRPr="00313EC6" w:rsidRDefault="00313EC6" w:rsidP="00313EC6">
            <w:pPr>
              <w:jc w:val="right"/>
              <w:rPr>
                <w:color w:val="000000"/>
                <w:sz w:val="18"/>
                <w:szCs w:val="22"/>
              </w:rPr>
            </w:pPr>
            <w:r w:rsidRPr="00313EC6">
              <w:rPr>
                <w:color w:val="000000"/>
                <w:sz w:val="18"/>
                <w:szCs w:val="22"/>
              </w:rPr>
              <w:t>9</w:t>
            </w:r>
          </w:p>
        </w:tc>
        <w:tc>
          <w:tcPr>
            <w:tcW w:w="567" w:type="dxa"/>
            <w:shd w:val="clear" w:color="auto" w:fill="auto"/>
            <w:vAlign w:val="center"/>
          </w:tcPr>
          <w:p w14:paraId="7989BD0D" w14:textId="77777777" w:rsidR="00313EC6" w:rsidRPr="00313EC6" w:rsidRDefault="00313EC6" w:rsidP="00313EC6">
            <w:pPr>
              <w:jc w:val="right"/>
              <w:rPr>
                <w:color w:val="000000"/>
                <w:sz w:val="18"/>
                <w:szCs w:val="22"/>
              </w:rPr>
            </w:pPr>
            <w:r w:rsidRPr="00313EC6">
              <w:rPr>
                <w:color w:val="000000"/>
                <w:sz w:val="18"/>
                <w:szCs w:val="22"/>
              </w:rPr>
              <w:t>6.4</w:t>
            </w:r>
          </w:p>
        </w:tc>
        <w:tc>
          <w:tcPr>
            <w:tcW w:w="1276" w:type="dxa"/>
            <w:vAlign w:val="center"/>
          </w:tcPr>
          <w:p w14:paraId="342681A0" w14:textId="77777777" w:rsidR="00313EC6" w:rsidRPr="00313EC6" w:rsidRDefault="00313EC6" w:rsidP="00313EC6">
            <w:pPr>
              <w:jc w:val="right"/>
              <w:rPr>
                <w:sz w:val="18"/>
              </w:rPr>
            </w:pPr>
            <w:r w:rsidRPr="00313EC6">
              <w:rPr>
                <w:sz w:val="18"/>
              </w:rPr>
              <w:t>(1.9, 10.9)</w:t>
            </w:r>
          </w:p>
        </w:tc>
        <w:tc>
          <w:tcPr>
            <w:tcW w:w="709" w:type="dxa"/>
            <w:shd w:val="clear" w:color="auto" w:fill="auto"/>
            <w:vAlign w:val="center"/>
          </w:tcPr>
          <w:p w14:paraId="4447B22A" w14:textId="77777777" w:rsidR="00313EC6" w:rsidRPr="00313EC6" w:rsidRDefault="00313EC6" w:rsidP="00313EC6">
            <w:pPr>
              <w:jc w:val="right"/>
              <w:rPr>
                <w:color w:val="000000"/>
                <w:sz w:val="18"/>
                <w:szCs w:val="22"/>
              </w:rPr>
            </w:pPr>
            <w:r w:rsidRPr="00313EC6">
              <w:rPr>
                <w:color w:val="000000"/>
                <w:sz w:val="18"/>
                <w:szCs w:val="22"/>
              </w:rPr>
              <w:t>83</w:t>
            </w:r>
          </w:p>
        </w:tc>
        <w:tc>
          <w:tcPr>
            <w:tcW w:w="567" w:type="dxa"/>
            <w:shd w:val="clear" w:color="auto" w:fill="auto"/>
            <w:vAlign w:val="center"/>
          </w:tcPr>
          <w:p w14:paraId="0D8AC356" w14:textId="77777777" w:rsidR="00313EC6" w:rsidRPr="00313EC6" w:rsidRDefault="00313EC6" w:rsidP="00313EC6">
            <w:pPr>
              <w:jc w:val="right"/>
              <w:rPr>
                <w:color w:val="000000"/>
                <w:sz w:val="18"/>
                <w:szCs w:val="22"/>
              </w:rPr>
            </w:pPr>
            <w:r w:rsidRPr="00313EC6">
              <w:rPr>
                <w:color w:val="000000"/>
                <w:sz w:val="18"/>
                <w:szCs w:val="22"/>
              </w:rPr>
              <w:t>61.1</w:t>
            </w:r>
          </w:p>
        </w:tc>
        <w:tc>
          <w:tcPr>
            <w:tcW w:w="1134" w:type="dxa"/>
            <w:vAlign w:val="center"/>
          </w:tcPr>
          <w:p w14:paraId="1F74780F" w14:textId="77777777" w:rsidR="00313EC6" w:rsidRPr="00313EC6" w:rsidRDefault="00313EC6" w:rsidP="00313EC6">
            <w:pPr>
              <w:jc w:val="right"/>
              <w:rPr>
                <w:sz w:val="18"/>
              </w:rPr>
            </w:pPr>
            <w:r w:rsidRPr="00313EC6">
              <w:rPr>
                <w:sz w:val="18"/>
              </w:rPr>
              <w:t>(50.8, 71.5)</w:t>
            </w:r>
          </w:p>
        </w:tc>
        <w:tc>
          <w:tcPr>
            <w:tcW w:w="567" w:type="dxa"/>
            <w:shd w:val="clear" w:color="auto" w:fill="auto"/>
            <w:vAlign w:val="center"/>
          </w:tcPr>
          <w:p w14:paraId="522EABAB" w14:textId="77777777" w:rsidR="00313EC6" w:rsidRPr="00313EC6" w:rsidRDefault="00313EC6" w:rsidP="00313EC6">
            <w:pPr>
              <w:jc w:val="right"/>
              <w:rPr>
                <w:color w:val="000000"/>
                <w:sz w:val="18"/>
                <w:szCs w:val="22"/>
              </w:rPr>
            </w:pPr>
            <w:r w:rsidRPr="00313EC6">
              <w:rPr>
                <w:color w:val="000000"/>
                <w:sz w:val="18"/>
                <w:szCs w:val="22"/>
              </w:rPr>
              <w:t>29</w:t>
            </w:r>
          </w:p>
        </w:tc>
        <w:tc>
          <w:tcPr>
            <w:tcW w:w="567" w:type="dxa"/>
            <w:shd w:val="clear" w:color="auto" w:fill="auto"/>
            <w:vAlign w:val="center"/>
          </w:tcPr>
          <w:p w14:paraId="637C9F41" w14:textId="77777777" w:rsidR="00313EC6" w:rsidRPr="00313EC6" w:rsidRDefault="00313EC6" w:rsidP="00313EC6">
            <w:pPr>
              <w:jc w:val="right"/>
              <w:rPr>
                <w:color w:val="000000"/>
                <w:sz w:val="18"/>
                <w:szCs w:val="22"/>
              </w:rPr>
            </w:pPr>
            <w:r w:rsidRPr="00313EC6">
              <w:rPr>
                <w:color w:val="000000"/>
                <w:sz w:val="18"/>
                <w:szCs w:val="22"/>
              </w:rPr>
              <w:t>21.7</w:t>
            </w:r>
          </w:p>
        </w:tc>
        <w:tc>
          <w:tcPr>
            <w:tcW w:w="1135" w:type="dxa"/>
            <w:vAlign w:val="center"/>
          </w:tcPr>
          <w:p w14:paraId="3EF65C2D" w14:textId="77777777" w:rsidR="00313EC6" w:rsidRPr="00313EC6" w:rsidRDefault="00313EC6" w:rsidP="00313EC6">
            <w:pPr>
              <w:jc w:val="right"/>
              <w:rPr>
                <w:sz w:val="18"/>
              </w:rPr>
            </w:pPr>
            <w:r w:rsidRPr="00313EC6">
              <w:rPr>
                <w:sz w:val="18"/>
              </w:rPr>
              <w:t>(13.7, 29.7)</w:t>
            </w:r>
          </w:p>
        </w:tc>
        <w:tc>
          <w:tcPr>
            <w:tcW w:w="567" w:type="dxa"/>
            <w:shd w:val="clear" w:color="auto" w:fill="auto"/>
            <w:vAlign w:val="center"/>
          </w:tcPr>
          <w:p w14:paraId="0C3B02D7" w14:textId="77777777" w:rsidR="00313EC6" w:rsidRPr="00313EC6" w:rsidRDefault="00313EC6" w:rsidP="00313EC6">
            <w:pPr>
              <w:jc w:val="right"/>
              <w:rPr>
                <w:color w:val="000000"/>
                <w:sz w:val="18"/>
                <w:szCs w:val="22"/>
              </w:rPr>
            </w:pPr>
            <w:r w:rsidRPr="00313EC6">
              <w:rPr>
                <w:color w:val="000000"/>
                <w:sz w:val="18"/>
                <w:szCs w:val="22"/>
              </w:rPr>
              <w:t>15</w:t>
            </w:r>
          </w:p>
        </w:tc>
        <w:tc>
          <w:tcPr>
            <w:tcW w:w="568" w:type="dxa"/>
            <w:shd w:val="clear" w:color="auto" w:fill="auto"/>
            <w:vAlign w:val="center"/>
          </w:tcPr>
          <w:p w14:paraId="4EE8B970" w14:textId="77777777" w:rsidR="00313EC6" w:rsidRPr="00313EC6" w:rsidRDefault="00313EC6" w:rsidP="00313EC6">
            <w:pPr>
              <w:jc w:val="right"/>
              <w:rPr>
                <w:color w:val="000000"/>
                <w:sz w:val="18"/>
                <w:szCs w:val="22"/>
              </w:rPr>
            </w:pPr>
            <w:r w:rsidRPr="00313EC6">
              <w:rPr>
                <w:color w:val="000000"/>
                <w:sz w:val="18"/>
                <w:szCs w:val="22"/>
              </w:rPr>
              <w:t>10.8</w:t>
            </w:r>
          </w:p>
        </w:tc>
        <w:tc>
          <w:tcPr>
            <w:tcW w:w="1137" w:type="dxa"/>
            <w:vAlign w:val="center"/>
          </w:tcPr>
          <w:p w14:paraId="511ED487" w14:textId="77777777" w:rsidR="00313EC6" w:rsidRPr="00313EC6" w:rsidRDefault="00313EC6" w:rsidP="00313EC6">
            <w:pPr>
              <w:jc w:val="right"/>
              <w:rPr>
                <w:sz w:val="18"/>
              </w:rPr>
            </w:pPr>
            <w:r w:rsidRPr="00313EC6">
              <w:rPr>
                <w:sz w:val="18"/>
              </w:rPr>
              <w:t>(1</w:t>
            </w:r>
            <w:r>
              <w:rPr>
                <w:sz w:val="18"/>
              </w:rPr>
              <w:t>.0</w:t>
            </w:r>
            <w:r w:rsidRPr="00313EC6">
              <w:rPr>
                <w:sz w:val="18"/>
              </w:rPr>
              <w:t>, 20.5)</w:t>
            </w:r>
          </w:p>
        </w:tc>
        <w:tc>
          <w:tcPr>
            <w:tcW w:w="567" w:type="dxa"/>
            <w:shd w:val="clear" w:color="auto" w:fill="auto"/>
            <w:vAlign w:val="center"/>
          </w:tcPr>
          <w:p w14:paraId="26CC2CE4" w14:textId="77777777" w:rsidR="00313EC6" w:rsidRPr="00313EC6" w:rsidRDefault="00313EC6" w:rsidP="00313EC6">
            <w:pPr>
              <w:jc w:val="right"/>
              <w:rPr>
                <w:color w:val="000000"/>
                <w:sz w:val="18"/>
                <w:szCs w:val="22"/>
              </w:rPr>
            </w:pPr>
            <w:r w:rsidRPr="00313EC6">
              <w:rPr>
                <w:color w:val="000000"/>
                <w:sz w:val="18"/>
                <w:szCs w:val="22"/>
              </w:rPr>
              <w:t>-</w:t>
            </w:r>
          </w:p>
        </w:tc>
        <w:tc>
          <w:tcPr>
            <w:tcW w:w="570" w:type="dxa"/>
            <w:shd w:val="clear" w:color="auto" w:fill="auto"/>
            <w:vAlign w:val="center"/>
          </w:tcPr>
          <w:p w14:paraId="01E2E53F" w14:textId="77777777" w:rsidR="00313EC6" w:rsidRPr="00313EC6" w:rsidRDefault="00313EC6" w:rsidP="00313EC6">
            <w:pPr>
              <w:jc w:val="right"/>
              <w:rPr>
                <w:color w:val="000000"/>
                <w:sz w:val="18"/>
                <w:szCs w:val="22"/>
              </w:rPr>
            </w:pPr>
          </w:p>
        </w:tc>
        <w:tc>
          <w:tcPr>
            <w:tcW w:w="1137" w:type="dxa"/>
            <w:vAlign w:val="center"/>
          </w:tcPr>
          <w:p w14:paraId="78816120" w14:textId="77777777" w:rsidR="00313EC6" w:rsidRPr="00313EC6" w:rsidRDefault="00313EC6" w:rsidP="00313EC6">
            <w:pPr>
              <w:jc w:val="right"/>
              <w:rPr>
                <w:sz w:val="18"/>
              </w:rPr>
            </w:pPr>
          </w:p>
        </w:tc>
      </w:tr>
      <w:tr w:rsidR="00313EC6" w:rsidRPr="00313EC6" w14:paraId="32ED2F6F" w14:textId="77777777" w:rsidTr="00313EC6">
        <w:trPr>
          <w:jc w:val="center"/>
        </w:trPr>
        <w:tc>
          <w:tcPr>
            <w:tcW w:w="2269" w:type="dxa"/>
            <w:vAlign w:val="center"/>
          </w:tcPr>
          <w:p w14:paraId="11F843BC" w14:textId="77777777" w:rsidR="00313EC6" w:rsidRPr="00313EC6" w:rsidRDefault="00313EC6" w:rsidP="00313EC6">
            <w:pPr>
              <w:spacing w:before="20" w:after="20"/>
              <w:ind w:left="88"/>
              <w:rPr>
                <w:sz w:val="18"/>
                <w:szCs w:val="20"/>
              </w:rPr>
            </w:pPr>
            <w:r w:rsidRPr="00313EC6">
              <w:rPr>
                <w:sz w:val="18"/>
                <w:szCs w:val="20"/>
              </w:rPr>
              <w:t>Moderate-risk gambler</w:t>
            </w:r>
          </w:p>
        </w:tc>
        <w:tc>
          <w:tcPr>
            <w:tcW w:w="709" w:type="dxa"/>
            <w:shd w:val="clear" w:color="auto" w:fill="auto"/>
            <w:vAlign w:val="center"/>
          </w:tcPr>
          <w:p w14:paraId="7C4B368B" w14:textId="77777777" w:rsidR="00313EC6" w:rsidRPr="00313EC6" w:rsidRDefault="00313EC6" w:rsidP="00313EC6">
            <w:pPr>
              <w:jc w:val="right"/>
              <w:rPr>
                <w:color w:val="000000"/>
                <w:sz w:val="18"/>
                <w:szCs w:val="22"/>
              </w:rPr>
            </w:pPr>
            <w:r w:rsidRPr="00313EC6">
              <w:rPr>
                <w:color w:val="000000"/>
                <w:sz w:val="18"/>
                <w:szCs w:val="22"/>
              </w:rPr>
              <w:t>2</w:t>
            </w:r>
          </w:p>
        </w:tc>
        <w:tc>
          <w:tcPr>
            <w:tcW w:w="567" w:type="dxa"/>
            <w:shd w:val="clear" w:color="auto" w:fill="auto"/>
            <w:vAlign w:val="center"/>
          </w:tcPr>
          <w:p w14:paraId="6C787BFD" w14:textId="77777777" w:rsidR="00313EC6" w:rsidRPr="00313EC6" w:rsidRDefault="00313EC6" w:rsidP="00313EC6">
            <w:pPr>
              <w:jc w:val="right"/>
              <w:rPr>
                <w:color w:val="000000"/>
                <w:sz w:val="18"/>
                <w:szCs w:val="22"/>
              </w:rPr>
            </w:pPr>
            <w:r w:rsidRPr="00313EC6">
              <w:rPr>
                <w:color w:val="000000"/>
                <w:sz w:val="18"/>
                <w:szCs w:val="22"/>
              </w:rPr>
              <w:t>3.5</w:t>
            </w:r>
          </w:p>
        </w:tc>
        <w:tc>
          <w:tcPr>
            <w:tcW w:w="1276" w:type="dxa"/>
            <w:vAlign w:val="center"/>
          </w:tcPr>
          <w:p w14:paraId="65397EBC" w14:textId="77777777" w:rsidR="00313EC6" w:rsidRPr="00313EC6" w:rsidRDefault="002F172C" w:rsidP="00313EC6">
            <w:pPr>
              <w:jc w:val="right"/>
              <w:rPr>
                <w:sz w:val="18"/>
              </w:rPr>
            </w:pPr>
            <w:r>
              <w:rPr>
                <w:sz w:val="18"/>
              </w:rPr>
              <w:t>!</w:t>
            </w:r>
          </w:p>
        </w:tc>
        <w:tc>
          <w:tcPr>
            <w:tcW w:w="709" w:type="dxa"/>
            <w:shd w:val="clear" w:color="auto" w:fill="auto"/>
            <w:vAlign w:val="center"/>
          </w:tcPr>
          <w:p w14:paraId="69BFECCD" w14:textId="77777777" w:rsidR="00313EC6" w:rsidRPr="00313EC6" w:rsidRDefault="00313EC6" w:rsidP="00313EC6">
            <w:pPr>
              <w:jc w:val="right"/>
              <w:rPr>
                <w:color w:val="000000"/>
                <w:sz w:val="18"/>
                <w:szCs w:val="22"/>
              </w:rPr>
            </w:pPr>
            <w:r w:rsidRPr="00313EC6">
              <w:rPr>
                <w:color w:val="000000"/>
                <w:sz w:val="18"/>
                <w:szCs w:val="22"/>
              </w:rPr>
              <w:t>17</w:t>
            </w:r>
          </w:p>
        </w:tc>
        <w:tc>
          <w:tcPr>
            <w:tcW w:w="567" w:type="dxa"/>
            <w:shd w:val="clear" w:color="auto" w:fill="auto"/>
            <w:vAlign w:val="center"/>
          </w:tcPr>
          <w:p w14:paraId="02EC7401" w14:textId="77777777" w:rsidR="00313EC6" w:rsidRPr="00313EC6" w:rsidRDefault="00313EC6" w:rsidP="00313EC6">
            <w:pPr>
              <w:jc w:val="right"/>
              <w:rPr>
                <w:color w:val="000000"/>
                <w:sz w:val="18"/>
                <w:szCs w:val="22"/>
              </w:rPr>
            </w:pPr>
            <w:r w:rsidRPr="00313EC6">
              <w:rPr>
                <w:color w:val="000000"/>
                <w:sz w:val="18"/>
                <w:szCs w:val="22"/>
              </w:rPr>
              <w:t>38.6</w:t>
            </w:r>
          </w:p>
        </w:tc>
        <w:tc>
          <w:tcPr>
            <w:tcW w:w="1134" w:type="dxa"/>
            <w:vAlign w:val="center"/>
          </w:tcPr>
          <w:p w14:paraId="442B03AF" w14:textId="77777777" w:rsidR="00313EC6" w:rsidRPr="00313EC6" w:rsidRDefault="00313EC6" w:rsidP="00313EC6">
            <w:pPr>
              <w:jc w:val="right"/>
              <w:rPr>
                <w:sz w:val="18"/>
              </w:rPr>
            </w:pPr>
            <w:r w:rsidRPr="00313EC6">
              <w:rPr>
                <w:sz w:val="18"/>
              </w:rPr>
              <w:t>(24.1, 53.2)</w:t>
            </w:r>
          </w:p>
        </w:tc>
        <w:tc>
          <w:tcPr>
            <w:tcW w:w="567" w:type="dxa"/>
            <w:shd w:val="clear" w:color="auto" w:fill="auto"/>
            <w:vAlign w:val="center"/>
          </w:tcPr>
          <w:p w14:paraId="413928B1" w14:textId="77777777" w:rsidR="00313EC6" w:rsidRPr="00313EC6" w:rsidRDefault="00313EC6" w:rsidP="00313EC6">
            <w:pPr>
              <w:jc w:val="right"/>
              <w:rPr>
                <w:color w:val="000000"/>
                <w:sz w:val="18"/>
                <w:szCs w:val="22"/>
              </w:rPr>
            </w:pPr>
            <w:r w:rsidRPr="00313EC6">
              <w:rPr>
                <w:color w:val="000000"/>
                <w:sz w:val="18"/>
                <w:szCs w:val="22"/>
              </w:rPr>
              <w:t>7</w:t>
            </w:r>
          </w:p>
        </w:tc>
        <w:tc>
          <w:tcPr>
            <w:tcW w:w="567" w:type="dxa"/>
            <w:shd w:val="clear" w:color="auto" w:fill="auto"/>
            <w:vAlign w:val="center"/>
          </w:tcPr>
          <w:p w14:paraId="48DAF028" w14:textId="77777777" w:rsidR="00313EC6" w:rsidRPr="00313EC6" w:rsidRDefault="00313EC6" w:rsidP="00313EC6">
            <w:pPr>
              <w:jc w:val="right"/>
              <w:rPr>
                <w:color w:val="000000"/>
                <w:sz w:val="18"/>
                <w:szCs w:val="22"/>
              </w:rPr>
            </w:pPr>
            <w:r w:rsidRPr="00313EC6">
              <w:rPr>
                <w:color w:val="000000"/>
                <w:sz w:val="18"/>
                <w:szCs w:val="22"/>
              </w:rPr>
              <w:t>15.4</w:t>
            </w:r>
          </w:p>
        </w:tc>
        <w:tc>
          <w:tcPr>
            <w:tcW w:w="1135" w:type="dxa"/>
            <w:vAlign w:val="center"/>
          </w:tcPr>
          <w:p w14:paraId="123C10EA" w14:textId="77777777" w:rsidR="00313EC6" w:rsidRPr="00313EC6" w:rsidRDefault="00313EC6" w:rsidP="00313EC6">
            <w:pPr>
              <w:jc w:val="right"/>
              <w:rPr>
                <w:sz w:val="18"/>
              </w:rPr>
            </w:pPr>
            <w:r w:rsidRPr="00313EC6">
              <w:rPr>
                <w:sz w:val="18"/>
              </w:rPr>
              <w:t>(6.1, 24.6)</w:t>
            </w:r>
          </w:p>
        </w:tc>
        <w:tc>
          <w:tcPr>
            <w:tcW w:w="567" w:type="dxa"/>
            <w:shd w:val="clear" w:color="auto" w:fill="auto"/>
            <w:vAlign w:val="center"/>
          </w:tcPr>
          <w:p w14:paraId="2561A771" w14:textId="77777777" w:rsidR="00313EC6" w:rsidRPr="00313EC6" w:rsidRDefault="00313EC6" w:rsidP="00313EC6">
            <w:pPr>
              <w:jc w:val="right"/>
              <w:rPr>
                <w:color w:val="000000"/>
                <w:sz w:val="18"/>
                <w:szCs w:val="22"/>
              </w:rPr>
            </w:pPr>
            <w:r w:rsidRPr="00313EC6">
              <w:rPr>
                <w:color w:val="000000"/>
                <w:sz w:val="18"/>
                <w:szCs w:val="22"/>
              </w:rPr>
              <w:t>17</w:t>
            </w:r>
          </w:p>
        </w:tc>
        <w:tc>
          <w:tcPr>
            <w:tcW w:w="568" w:type="dxa"/>
            <w:shd w:val="clear" w:color="auto" w:fill="auto"/>
            <w:vAlign w:val="center"/>
          </w:tcPr>
          <w:p w14:paraId="2E616A00" w14:textId="77777777" w:rsidR="00313EC6" w:rsidRPr="00313EC6" w:rsidRDefault="00313EC6" w:rsidP="00313EC6">
            <w:pPr>
              <w:jc w:val="right"/>
              <w:rPr>
                <w:color w:val="000000"/>
                <w:sz w:val="18"/>
                <w:szCs w:val="22"/>
              </w:rPr>
            </w:pPr>
            <w:r w:rsidRPr="00313EC6">
              <w:rPr>
                <w:color w:val="000000"/>
                <w:sz w:val="18"/>
                <w:szCs w:val="22"/>
              </w:rPr>
              <w:t>37.6</w:t>
            </w:r>
          </w:p>
        </w:tc>
        <w:tc>
          <w:tcPr>
            <w:tcW w:w="1137" w:type="dxa"/>
            <w:vAlign w:val="center"/>
          </w:tcPr>
          <w:p w14:paraId="6A2C5492" w14:textId="77777777" w:rsidR="00313EC6" w:rsidRPr="00313EC6" w:rsidRDefault="00313EC6" w:rsidP="00313EC6">
            <w:pPr>
              <w:jc w:val="right"/>
              <w:rPr>
                <w:sz w:val="18"/>
              </w:rPr>
            </w:pPr>
            <w:r w:rsidRPr="00313EC6">
              <w:rPr>
                <w:sz w:val="18"/>
              </w:rPr>
              <w:t>(25, 50.2)</w:t>
            </w:r>
          </w:p>
        </w:tc>
        <w:tc>
          <w:tcPr>
            <w:tcW w:w="567" w:type="dxa"/>
            <w:shd w:val="clear" w:color="auto" w:fill="auto"/>
            <w:vAlign w:val="center"/>
          </w:tcPr>
          <w:p w14:paraId="41B54552" w14:textId="77777777" w:rsidR="00313EC6" w:rsidRPr="00313EC6" w:rsidRDefault="00313EC6" w:rsidP="00313EC6">
            <w:pPr>
              <w:jc w:val="right"/>
              <w:rPr>
                <w:color w:val="000000"/>
                <w:sz w:val="18"/>
                <w:szCs w:val="22"/>
              </w:rPr>
            </w:pPr>
            <w:r w:rsidRPr="00313EC6">
              <w:rPr>
                <w:color w:val="000000"/>
                <w:sz w:val="18"/>
                <w:szCs w:val="22"/>
              </w:rPr>
              <w:t>2</w:t>
            </w:r>
          </w:p>
        </w:tc>
        <w:tc>
          <w:tcPr>
            <w:tcW w:w="570" w:type="dxa"/>
            <w:shd w:val="clear" w:color="auto" w:fill="auto"/>
            <w:vAlign w:val="center"/>
          </w:tcPr>
          <w:p w14:paraId="62314449" w14:textId="77777777" w:rsidR="00313EC6" w:rsidRPr="00313EC6" w:rsidRDefault="00313EC6" w:rsidP="00313EC6">
            <w:pPr>
              <w:jc w:val="right"/>
              <w:rPr>
                <w:color w:val="000000"/>
                <w:sz w:val="18"/>
                <w:szCs w:val="22"/>
              </w:rPr>
            </w:pPr>
            <w:r w:rsidRPr="00313EC6">
              <w:rPr>
                <w:color w:val="000000"/>
                <w:sz w:val="18"/>
                <w:szCs w:val="22"/>
              </w:rPr>
              <w:t>5.0</w:t>
            </w:r>
          </w:p>
        </w:tc>
        <w:tc>
          <w:tcPr>
            <w:tcW w:w="1137" w:type="dxa"/>
            <w:vAlign w:val="center"/>
          </w:tcPr>
          <w:p w14:paraId="17159B22" w14:textId="77777777" w:rsidR="00313EC6" w:rsidRPr="00313EC6" w:rsidRDefault="002F172C" w:rsidP="00313EC6">
            <w:pPr>
              <w:jc w:val="right"/>
              <w:rPr>
                <w:sz w:val="18"/>
              </w:rPr>
            </w:pPr>
            <w:r>
              <w:rPr>
                <w:sz w:val="18"/>
              </w:rPr>
              <w:t>!</w:t>
            </w:r>
          </w:p>
        </w:tc>
      </w:tr>
      <w:tr w:rsidR="00313EC6" w:rsidRPr="00313EC6" w14:paraId="0809DBA3" w14:textId="77777777" w:rsidTr="00313EC6">
        <w:trPr>
          <w:jc w:val="center"/>
        </w:trPr>
        <w:tc>
          <w:tcPr>
            <w:tcW w:w="2269" w:type="dxa"/>
            <w:tcBorders>
              <w:bottom w:val="single" w:sz="4" w:space="0" w:color="auto"/>
            </w:tcBorders>
            <w:vAlign w:val="center"/>
          </w:tcPr>
          <w:p w14:paraId="5041851F" w14:textId="77777777" w:rsidR="00313EC6" w:rsidRPr="00313EC6" w:rsidRDefault="00313EC6" w:rsidP="00313EC6">
            <w:pPr>
              <w:spacing w:before="20" w:after="20"/>
              <w:ind w:left="88"/>
              <w:rPr>
                <w:sz w:val="18"/>
                <w:szCs w:val="20"/>
              </w:rPr>
            </w:pPr>
            <w:r w:rsidRPr="00313EC6">
              <w:rPr>
                <w:sz w:val="18"/>
                <w:szCs w:val="20"/>
              </w:rPr>
              <w:t>Problem gambler</w:t>
            </w:r>
          </w:p>
        </w:tc>
        <w:tc>
          <w:tcPr>
            <w:tcW w:w="709" w:type="dxa"/>
            <w:tcBorders>
              <w:bottom w:val="single" w:sz="4" w:space="0" w:color="auto"/>
            </w:tcBorders>
            <w:shd w:val="clear" w:color="auto" w:fill="auto"/>
            <w:vAlign w:val="center"/>
          </w:tcPr>
          <w:p w14:paraId="7C9CE142" w14:textId="77777777" w:rsidR="00313EC6" w:rsidRPr="00313EC6" w:rsidRDefault="00313EC6" w:rsidP="00313EC6">
            <w:pPr>
              <w:jc w:val="right"/>
              <w:rPr>
                <w:color w:val="000000"/>
                <w:sz w:val="18"/>
                <w:szCs w:val="22"/>
              </w:rPr>
            </w:pPr>
            <w:r w:rsidRPr="00313EC6">
              <w:rPr>
                <w:color w:val="000000"/>
                <w:sz w:val="18"/>
                <w:szCs w:val="22"/>
              </w:rPr>
              <w:t>0</w:t>
            </w:r>
          </w:p>
        </w:tc>
        <w:tc>
          <w:tcPr>
            <w:tcW w:w="567" w:type="dxa"/>
            <w:tcBorders>
              <w:bottom w:val="single" w:sz="4" w:space="0" w:color="auto"/>
            </w:tcBorders>
            <w:shd w:val="clear" w:color="auto" w:fill="auto"/>
            <w:vAlign w:val="center"/>
          </w:tcPr>
          <w:p w14:paraId="297A8981" w14:textId="77777777" w:rsidR="00313EC6" w:rsidRPr="00313EC6" w:rsidRDefault="00313EC6" w:rsidP="00313EC6">
            <w:pPr>
              <w:jc w:val="right"/>
              <w:rPr>
                <w:color w:val="000000"/>
                <w:sz w:val="18"/>
                <w:szCs w:val="22"/>
              </w:rPr>
            </w:pPr>
            <w:r w:rsidRPr="00313EC6">
              <w:rPr>
                <w:color w:val="000000"/>
                <w:sz w:val="18"/>
                <w:szCs w:val="22"/>
              </w:rPr>
              <w:t>1.8</w:t>
            </w:r>
          </w:p>
        </w:tc>
        <w:tc>
          <w:tcPr>
            <w:tcW w:w="1276" w:type="dxa"/>
            <w:tcBorders>
              <w:bottom w:val="single" w:sz="4" w:space="0" w:color="auto"/>
            </w:tcBorders>
            <w:vAlign w:val="center"/>
          </w:tcPr>
          <w:p w14:paraId="5CF9DC53" w14:textId="77777777" w:rsidR="00313EC6" w:rsidRPr="00313EC6" w:rsidRDefault="002F172C" w:rsidP="00313EC6">
            <w:pPr>
              <w:jc w:val="right"/>
              <w:rPr>
                <w:sz w:val="18"/>
              </w:rPr>
            </w:pPr>
            <w:r>
              <w:rPr>
                <w:sz w:val="18"/>
              </w:rPr>
              <w:t>!</w:t>
            </w:r>
          </w:p>
        </w:tc>
        <w:tc>
          <w:tcPr>
            <w:tcW w:w="709" w:type="dxa"/>
            <w:tcBorders>
              <w:bottom w:val="single" w:sz="4" w:space="0" w:color="auto"/>
            </w:tcBorders>
            <w:shd w:val="clear" w:color="auto" w:fill="auto"/>
            <w:vAlign w:val="center"/>
          </w:tcPr>
          <w:p w14:paraId="78863A69" w14:textId="77777777" w:rsidR="00313EC6" w:rsidRPr="00313EC6" w:rsidRDefault="00313EC6" w:rsidP="00313EC6">
            <w:pPr>
              <w:jc w:val="right"/>
              <w:rPr>
                <w:color w:val="000000"/>
                <w:sz w:val="18"/>
                <w:szCs w:val="22"/>
              </w:rPr>
            </w:pPr>
            <w:r w:rsidRPr="00313EC6">
              <w:rPr>
                <w:color w:val="000000"/>
                <w:sz w:val="18"/>
                <w:szCs w:val="22"/>
              </w:rPr>
              <w:t>1</w:t>
            </w:r>
          </w:p>
        </w:tc>
        <w:tc>
          <w:tcPr>
            <w:tcW w:w="567" w:type="dxa"/>
            <w:tcBorders>
              <w:bottom w:val="single" w:sz="4" w:space="0" w:color="auto"/>
            </w:tcBorders>
            <w:shd w:val="clear" w:color="auto" w:fill="auto"/>
            <w:vAlign w:val="center"/>
          </w:tcPr>
          <w:p w14:paraId="507BBB50" w14:textId="77777777" w:rsidR="00313EC6" w:rsidRPr="00313EC6" w:rsidRDefault="00313EC6" w:rsidP="00313EC6">
            <w:pPr>
              <w:jc w:val="right"/>
              <w:rPr>
                <w:color w:val="000000"/>
                <w:sz w:val="18"/>
                <w:szCs w:val="22"/>
              </w:rPr>
            </w:pPr>
            <w:r w:rsidRPr="00313EC6">
              <w:rPr>
                <w:color w:val="000000"/>
                <w:sz w:val="18"/>
                <w:szCs w:val="22"/>
              </w:rPr>
              <w:t>7.5</w:t>
            </w:r>
          </w:p>
        </w:tc>
        <w:tc>
          <w:tcPr>
            <w:tcW w:w="1134" w:type="dxa"/>
            <w:tcBorders>
              <w:bottom w:val="single" w:sz="4" w:space="0" w:color="auto"/>
            </w:tcBorders>
            <w:vAlign w:val="center"/>
          </w:tcPr>
          <w:p w14:paraId="35CDDEEE" w14:textId="77777777" w:rsidR="00313EC6" w:rsidRPr="00313EC6" w:rsidRDefault="002F172C" w:rsidP="00313EC6">
            <w:pPr>
              <w:jc w:val="right"/>
              <w:rPr>
                <w:sz w:val="18"/>
              </w:rPr>
            </w:pPr>
            <w:r>
              <w:rPr>
                <w:sz w:val="18"/>
              </w:rPr>
              <w:t>!</w:t>
            </w:r>
          </w:p>
        </w:tc>
        <w:tc>
          <w:tcPr>
            <w:tcW w:w="567" w:type="dxa"/>
            <w:tcBorders>
              <w:bottom w:val="single" w:sz="4" w:space="0" w:color="auto"/>
            </w:tcBorders>
            <w:shd w:val="clear" w:color="auto" w:fill="auto"/>
            <w:vAlign w:val="center"/>
          </w:tcPr>
          <w:p w14:paraId="35EE1565" w14:textId="77777777" w:rsidR="00313EC6" w:rsidRPr="00313EC6" w:rsidRDefault="00313EC6" w:rsidP="00313EC6">
            <w:pPr>
              <w:jc w:val="right"/>
              <w:rPr>
                <w:color w:val="000000"/>
                <w:sz w:val="18"/>
                <w:szCs w:val="22"/>
              </w:rPr>
            </w:pPr>
            <w:r w:rsidRPr="00313EC6">
              <w:rPr>
                <w:color w:val="000000"/>
                <w:sz w:val="18"/>
                <w:szCs w:val="22"/>
              </w:rPr>
              <w:t>1</w:t>
            </w:r>
          </w:p>
        </w:tc>
        <w:tc>
          <w:tcPr>
            <w:tcW w:w="567" w:type="dxa"/>
            <w:tcBorders>
              <w:bottom w:val="single" w:sz="4" w:space="0" w:color="auto"/>
            </w:tcBorders>
            <w:shd w:val="clear" w:color="auto" w:fill="auto"/>
            <w:vAlign w:val="center"/>
          </w:tcPr>
          <w:p w14:paraId="09B7A1BB" w14:textId="77777777" w:rsidR="00313EC6" w:rsidRPr="00313EC6" w:rsidRDefault="00313EC6" w:rsidP="00313EC6">
            <w:pPr>
              <w:jc w:val="right"/>
              <w:rPr>
                <w:color w:val="000000"/>
                <w:sz w:val="18"/>
                <w:szCs w:val="22"/>
              </w:rPr>
            </w:pPr>
            <w:r w:rsidRPr="00313EC6">
              <w:rPr>
                <w:color w:val="000000"/>
                <w:sz w:val="18"/>
                <w:szCs w:val="22"/>
              </w:rPr>
              <w:t>13.1</w:t>
            </w:r>
          </w:p>
        </w:tc>
        <w:tc>
          <w:tcPr>
            <w:tcW w:w="1135" w:type="dxa"/>
            <w:tcBorders>
              <w:bottom w:val="single" w:sz="4" w:space="0" w:color="auto"/>
            </w:tcBorders>
            <w:vAlign w:val="center"/>
          </w:tcPr>
          <w:p w14:paraId="64C434D5" w14:textId="77777777" w:rsidR="00313EC6" w:rsidRPr="00313EC6" w:rsidRDefault="002F172C" w:rsidP="00313EC6">
            <w:pPr>
              <w:jc w:val="right"/>
              <w:rPr>
                <w:sz w:val="18"/>
              </w:rPr>
            </w:pPr>
            <w:r>
              <w:rPr>
                <w:sz w:val="18"/>
              </w:rPr>
              <w:t>!</w:t>
            </w:r>
          </w:p>
        </w:tc>
        <w:tc>
          <w:tcPr>
            <w:tcW w:w="567" w:type="dxa"/>
            <w:tcBorders>
              <w:bottom w:val="single" w:sz="4" w:space="0" w:color="auto"/>
            </w:tcBorders>
            <w:shd w:val="clear" w:color="auto" w:fill="auto"/>
            <w:vAlign w:val="center"/>
          </w:tcPr>
          <w:p w14:paraId="562BCE88" w14:textId="77777777" w:rsidR="00313EC6" w:rsidRPr="00313EC6" w:rsidRDefault="00313EC6" w:rsidP="00313EC6">
            <w:pPr>
              <w:jc w:val="right"/>
              <w:rPr>
                <w:color w:val="000000"/>
                <w:sz w:val="18"/>
                <w:szCs w:val="22"/>
              </w:rPr>
            </w:pPr>
            <w:r w:rsidRPr="00313EC6">
              <w:rPr>
                <w:color w:val="000000"/>
                <w:sz w:val="18"/>
                <w:szCs w:val="22"/>
              </w:rPr>
              <w:t>3</w:t>
            </w:r>
          </w:p>
        </w:tc>
        <w:tc>
          <w:tcPr>
            <w:tcW w:w="568" w:type="dxa"/>
            <w:tcBorders>
              <w:bottom w:val="single" w:sz="4" w:space="0" w:color="auto"/>
            </w:tcBorders>
            <w:shd w:val="clear" w:color="auto" w:fill="auto"/>
            <w:vAlign w:val="center"/>
          </w:tcPr>
          <w:p w14:paraId="699F1A9C" w14:textId="77777777" w:rsidR="00313EC6" w:rsidRPr="00313EC6" w:rsidRDefault="00313EC6" w:rsidP="00313EC6">
            <w:pPr>
              <w:jc w:val="right"/>
              <w:rPr>
                <w:color w:val="000000"/>
                <w:sz w:val="18"/>
                <w:szCs w:val="22"/>
              </w:rPr>
            </w:pPr>
            <w:r w:rsidRPr="00313EC6">
              <w:rPr>
                <w:color w:val="000000"/>
                <w:sz w:val="18"/>
                <w:szCs w:val="22"/>
              </w:rPr>
              <w:t>33.8</w:t>
            </w:r>
          </w:p>
        </w:tc>
        <w:tc>
          <w:tcPr>
            <w:tcW w:w="1137" w:type="dxa"/>
            <w:tcBorders>
              <w:bottom w:val="single" w:sz="4" w:space="0" w:color="auto"/>
            </w:tcBorders>
            <w:vAlign w:val="center"/>
          </w:tcPr>
          <w:p w14:paraId="17CCBF65" w14:textId="77777777" w:rsidR="00313EC6" w:rsidRPr="00313EC6" w:rsidRDefault="00313EC6" w:rsidP="00313EC6">
            <w:pPr>
              <w:jc w:val="right"/>
              <w:rPr>
                <w:sz w:val="18"/>
              </w:rPr>
            </w:pPr>
            <w:r w:rsidRPr="00313EC6">
              <w:rPr>
                <w:sz w:val="18"/>
              </w:rPr>
              <w:t>(2.9, 64.7)</w:t>
            </w:r>
          </w:p>
        </w:tc>
        <w:tc>
          <w:tcPr>
            <w:tcW w:w="567" w:type="dxa"/>
            <w:tcBorders>
              <w:bottom w:val="single" w:sz="4" w:space="0" w:color="auto"/>
            </w:tcBorders>
            <w:shd w:val="clear" w:color="auto" w:fill="auto"/>
            <w:vAlign w:val="center"/>
          </w:tcPr>
          <w:p w14:paraId="24D74EAC" w14:textId="77777777" w:rsidR="00313EC6" w:rsidRPr="00313EC6" w:rsidRDefault="00313EC6" w:rsidP="00313EC6">
            <w:pPr>
              <w:jc w:val="right"/>
              <w:rPr>
                <w:color w:val="000000"/>
                <w:sz w:val="18"/>
                <w:szCs w:val="22"/>
              </w:rPr>
            </w:pPr>
            <w:r w:rsidRPr="00313EC6">
              <w:rPr>
                <w:color w:val="000000"/>
                <w:sz w:val="18"/>
                <w:szCs w:val="22"/>
              </w:rPr>
              <w:t>4</w:t>
            </w:r>
          </w:p>
        </w:tc>
        <w:tc>
          <w:tcPr>
            <w:tcW w:w="570" w:type="dxa"/>
            <w:tcBorders>
              <w:bottom w:val="single" w:sz="4" w:space="0" w:color="auto"/>
            </w:tcBorders>
            <w:shd w:val="clear" w:color="auto" w:fill="auto"/>
            <w:vAlign w:val="center"/>
          </w:tcPr>
          <w:p w14:paraId="72F1F32C" w14:textId="77777777" w:rsidR="00313EC6" w:rsidRPr="00313EC6" w:rsidRDefault="00313EC6" w:rsidP="00313EC6">
            <w:pPr>
              <w:jc w:val="right"/>
              <w:rPr>
                <w:color w:val="000000"/>
                <w:sz w:val="18"/>
                <w:szCs w:val="22"/>
              </w:rPr>
            </w:pPr>
            <w:r w:rsidRPr="00313EC6">
              <w:rPr>
                <w:color w:val="000000"/>
                <w:sz w:val="18"/>
                <w:szCs w:val="22"/>
              </w:rPr>
              <w:t>43.9</w:t>
            </w:r>
          </w:p>
        </w:tc>
        <w:tc>
          <w:tcPr>
            <w:tcW w:w="1137" w:type="dxa"/>
            <w:tcBorders>
              <w:bottom w:val="single" w:sz="4" w:space="0" w:color="auto"/>
            </w:tcBorders>
            <w:vAlign w:val="center"/>
          </w:tcPr>
          <w:p w14:paraId="470AE541" w14:textId="77777777" w:rsidR="00313EC6" w:rsidRPr="00313EC6" w:rsidRDefault="00313EC6" w:rsidP="00313EC6">
            <w:pPr>
              <w:jc w:val="right"/>
              <w:rPr>
                <w:sz w:val="18"/>
              </w:rPr>
            </w:pPr>
            <w:r w:rsidRPr="00313EC6">
              <w:rPr>
                <w:sz w:val="18"/>
              </w:rPr>
              <w:t>(16.0, 71.7)</w:t>
            </w:r>
          </w:p>
        </w:tc>
      </w:tr>
    </w:tbl>
    <w:p w14:paraId="7D3BBAB4" w14:textId="77777777" w:rsidR="00313EC6" w:rsidRPr="00313EC6" w:rsidRDefault="00313EC6" w:rsidP="00313EC6">
      <w:pPr>
        <w:rPr>
          <w:sz w:val="18"/>
        </w:rPr>
      </w:pPr>
      <w:r w:rsidRPr="00313EC6">
        <w:rPr>
          <w:sz w:val="18"/>
        </w:rPr>
        <w:t>Data weighted for 2013 Census data and attrition</w:t>
      </w:r>
    </w:p>
    <w:p w14:paraId="777677F5" w14:textId="77777777" w:rsidR="00782DA5" w:rsidRDefault="00782DA5" w:rsidP="00782DA5">
      <w:pPr>
        <w:rPr>
          <w:sz w:val="18"/>
        </w:rPr>
      </w:pPr>
      <w:r w:rsidRPr="00782DA5">
        <w:rPr>
          <w:sz w:val="18"/>
        </w:rPr>
        <w:t>Total percentages do not always add up to 100% due to rounding</w:t>
      </w:r>
    </w:p>
    <w:p w14:paraId="16E4F9DA" w14:textId="77777777" w:rsidR="002F172C" w:rsidRPr="002F172C" w:rsidRDefault="002F172C" w:rsidP="002F172C">
      <w:pPr>
        <w:spacing w:after="200" w:line="276" w:lineRule="auto"/>
        <w:rPr>
          <w:sz w:val="18"/>
        </w:rPr>
      </w:pPr>
      <w:r w:rsidRPr="002F172C">
        <w:rPr>
          <w:sz w:val="18"/>
        </w:rPr>
        <w:t>! Meaningful confidence intervals not calculable due to small sample size</w:t>
      </w:r>
    </w:p>
    <w:p w14:paraId="6951DFCF" w14:textId="77777777" w:rsidR="002F172C" w:rsidRPr="00782DA5" w:rsidRDefault="002F172C" w:rsidP="00782DA5">
      <w:pPr>
        <w:rPr>
          <w:sz w:val="18"/>
        </w:rPr>
      </w:pPr>
    </w:p>
    <w:p w14:paraId="0503EA36" w14:textId="77777777" w:rsidR="00782DA5" w:rsidRDefault="00782DA5">
      <w:pPr>
        <w:spacing w:after="200" w:line="276" w:lineRule="auto"/>
        <w:rPr>
          <w:rFonts w:eastAsiaTheme="majorEastAsia" w:cstheme="majorBidi"/>
          <w:b/>
          <w:bCs/>
          <w:caps/>
          <w:szCs w:val="28"/>
          <w:lang w:eastAsia="en-US"/>
        </w:rPr>
      </w:pPr>
      <w:r>
        <w:rPr>
          <w:rFonts w:eastAsiaTheme="majorEastAsia" w:cstheme="majorBidi"/>
          <w:b/>
          <w:bCs/>
          <w:caps/>
          <w:szCs w:val="28"/>
          <w:lang w:eastAsia="en-US"/>
        </w:rPr>
        <w:br w:type="page"/>
      </w:r>
    </w:p>
    <w:p w14:paraId="023CBD36" w14:textId="77777777" w:rsidR="00782DA5" w:rsidRDefault="00782DA5" w:rsidP="00782DA5">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bookmarkStart w:id="220" w:name="_Toc504488420"/>
      <w:r>
        <w:t>APPENDIX 27:</w:t>
      </w:r>
      <w:r>
        <w:br/>
      </w:r>
      <w:r>
        <w:rPr>
          <w:caps w:val="0"/>
        </w:rPr>
        <w:t xml:space="preserve">Transitions between </w:t>
      </w:r>
      <w:r w:rsidR="00F7018A">
        <w:rPr>
          <w:caps w:val="0"/>
        </w:rPr>
        <w:t>gambling risk levels</w:t>
      </w:r>
      <w:r>
        <w:rPr>
          <w:caps w:val="0"/>
        </w:rPr>
        <w:t xml:space="preserve"> between the waves by Māori and Pacific ethnicity</w:t>
      </w:r>
      <w:bookmarkEnd w:id="220"/>
    </w:p>
    <w:p w14:paraId="6F337ECE" w14:textId="77777777" w:rsidR="00782DA5" w:rsidRDefault="00782DA5" w:rsidP="00782DA5">
      <w:pPr>
        <w:rPr>
          <w:rFonts w:eastAsiaTheme="majorEastAsia" w:cstheme="majorBidi"/>
          <w:b/>
          <w:bCs/>
          <w:caps/>
          <w:szCs w:val="28"/>
          <w:lang w:eastAsia="en-US"/>
        </w:rPr>
      </w:pPr>
    </w:p>
    <w:tbl>
      <w:tblPr>
        <w:tblStyle w:val="TableGrid"/>
        <w:tblW w:w="122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709"/>
        <w:gridCol w:w="567"/>
        <w:gridCol w:w="1276"/>
        <w:gridCol w:w="709"/>
        <w:gridCol w:w="567"/>
        <w:gridCol w:w="1134"/>
        <w:gridCol w:w="567"/>
        <w:gridCol w:w="567"/>
        <w:gridCol w:w="1135"/>
        <w:gridCol w:w="567"/>
        <w:gridCol w:w="568"/>
        <w:gridCol w:w="1131"/>
        <w:gridCol w:w="6"/>
      </w:tblGrid>
      <w:tr w:rsidR="00782DA5" w:rsidRPr="00313EC6" w14:paraId="5FBC855C" w14:textId="77777777" w:rsidTr="000056A4">
        <w:trPr>
          <w:gridAfter w:val="1"/>
          <w:wAfter w:w="6" w:type="dxa"/>
          <w:tblHeader/>
          <w:jc w:val="center"/>
        </w:trPr>
        <w:tc>
          <w:tcPr>
            <w:tcW w:w="2699" w:type="dxa"/>
            <w:vMerge w:val="restart"/>
            <w:tcBorders>
              <w:top w:val="single" w:sz="4" w:space="0" w:color="auto"/>
            </w:tcBorders>
            <w:vAlign w:val="bottom"/>
          </w:tcPr>
          <w:p w14:paraId="25949BE7" w14:textId="77777777" w:rsidR="00782DA5" w:rsidRPr="00313EC6" w:rsidRDefault="00782DA5" w:rsidP="00F724D0">
            <w:pPr>
              <w:spacing w:before="20" w:after="20"/>
              <w:rPr>
                <w:b/>
                <w:sz w:val="18"/>
                <w:szCs w:val="20"/>
              </w:rPr>
            </w:pPr>
            <w:r w:rsidRPr="00313EC6">
              <w:rPr>
                <w:b/>
                <w:sz w:val="18"/>
                <w:szCs w:val="20"/>
              </w:rPr>
              <w:t>Transition from</w:t>
            </w:r>
          </w:p>
        </w:tc>
        <w:tc>
          <w:tcPr>
            <w:tcW w:w="9497" w:type="dxa"/>
            <w:gridSpan w:val="12"/>
            <w:tcBorders>
              <w:top w:val="single" w:sz="4" w:space="0" w:color="auto"/>
              <w:bottom w:val="single" w:sz="4" w:space="0" w:color="auto"/>
            </w:tcBorders>
            <w:vAlign w:val="bottom"/>
          </w:tcPr>
          <w:p w14:paraId="512DA916" w14:textId="77777777" w:rsidR="00782DA5" w:rsidRPr="00313EC6" w:rsidRDefault="00782DA5" w:rsidP="00F724D0">
            <w:pPr>
              <w:spacing w:before="20" w:after="20"/>
              <w:jc w:val="center"/>
              <w:rPr>
                <w:b/>
                <w:sz w:val="18"/>
                <w:szCs w:val="20"/>
              </w:rPr>
            </w:pPr>
            <w:r w:rsidRPr="00313EC6">
              <w:rPr>
                <w:b/>
                <w:sz w:val="18"/>
                <w:szCs w:val="20"/>
              </w:rPr>
              <w:t>Transition to</w:t>
            </w:r>
          </w:p>
        </w:tc>
      </w:tr>
      <w:tr w:rsidR="00782DA5" w:rsidRPr="00313EC6" w14:paraId="6811259B" w14:textId="77777777" w:rsidTr="000056A4">
        <w:trPr>
          <w:tblHeader/>
          <w:jc w:val="center"/>
        </w:trPr>
        <w:tc>
          <w:tcPr>
            <w:tcW w:w="2699" w:type="dxa"/>
            <w:vMerge/>
          </w:tcPr>
          <w:p w14:paraId="5E55087D" w14:textId="77777777" w:rsidR="00782DA5" w:rsidRPr="00313EC6" w:rsidRDefault="00782DA5" w:rsidP="00F724D0">
            <w:pPr>
              <w:spacing w:before="20" w:after="20"/>
              <w:rPr>
                <w:b/>
                <w:sz w:val="18"/>
                <w:szCs w:val="20"/>
              </w:rPr>
            </w:pPr>
          </w:p>
        </w:tc>
        <w:tc>
          <w:tcPr>
            <w:tcW w:w="2552" w:type="dxa"/>
            <w:gridSpan w:val="3"/>
            <w:tcBorders>
              <w:top w:val="single" w:sz="4" w:space="0" w:color="auto"/>
              <w:bottom w:val="single" w:sz="4" w:space="0" w:color="auto"/>
            </w:tcBorders>
            <w:vAlign w:val="bottom"/>
          </w:tcPr>
          <w:p w14:paraId="7F339D17" w14:textId="77777777" w:rsidR="00782DA5" w:rsidRPr="00313EC6" w:rsidRDefault="00782DA5" w:rsidP="00F724D0">
            <w:pPr>
              <w:spacing w:before="20" w:after="20"/>
              <w:jc w:val="center"/>
              <w:rPr>
                <w:b/>
                <w:sz w:val="18"/>
                <w:szCs w:val="20"/>
              </w:rPr>
            </w:pPr>
            <w:r w:rsidRPr="00313EC6">
              <w:rPr>
                <w:b/>
                <w:sz w:val="18"/>
                <w:szCs w:val="20"/>
              </w:rPr>
              <w:t>Non-gambler</w:t>
            </w:r>
          </w:p>
        </w:tc>
        <w:tc>
          <w:tcPr>
            <w:tcW w:w="2410" w:type="dxa"/>
            <w:gridSpan w:val="3"/>
            <w:tcBorders>
              <w:top w:val="single" w:sz="4" w:space="0" w:color="auto"/>
              <w:bottom w:val="single" w:sz="4" w:space="0" w:color="auto"/>
            </w:tcBorders>
            <w:vAlign w:val="bottom"/>
          </w:tcPr>
          <w:p w14:paraId="7A1E7AF5" w14:textId="77777777" w:rsidR="00782DA5" w:rsidRPr="00313EC6" w:rsidRDefault="00782DA5" w:rsidP="00F724D0">
            <w:pPr>
              <w:spacing w:before="20" w:after="20"/>
              <w:jc w:val="center"/>
              <w:rPr>
                <w:b/>
                <w:sz w:val="18"/>
                <w:szCs w:val="20"/>
              </w:rPr>
            </w:pPr>
            <w:r w:rsidRPr="00313EC6">
              <w:rPr>
                <w:b/>
                <w:sz w:val="18"/>
                <w:szCs w:val="20"/>
              </w:rPr>
              <w:t>Non-problem gambler</w:t>
            </w:r>
          </w:p>
        </w:tc>
        <w:tc>
          <w:tcPr>
            <w:tcW w:w="2269" w:type="dxa"/>
            <w:gridSpan w:val="3"/>
            <w:tcBorders>
              <w:top w:val="single" w:sz="4" w:space="0" w:color="auto"/>
              <w:bottom w:val="single" w:sz="4" w:space="0" w:color="auto"/>
            </w:tcBorders>
            <w:vAlign w:val="bottom"/>
          </w:tcPr>
          <w:p w14:paraId="7E5FEFBA" w14:textId="77777777" w:rsidR="00782DA5" w:rsidRPr="00313EC6" w:rsidRDefault="00782DA5" w:rsidP="00F724D0">
            <w:pPr>
              <w:spacing w:before="20" w:after="20"/>
              <w:jc w:val="center"/>
              <w:rPr>
                <w:b/>
                <w:sz w:val="18"/>
                <w:szCs w:val="20"/>
              </w:rPr>
            </w:pPr>
            <w:r w:rsidRPr="00313EC6">
              <w:rPr>
                <w:b/>
                <w:sz w:val="18"/>
                <w:szCs w:val="20"/>
              </w:rPr>
              <w:t>Low-risk gambler</w:t>
            </w:r>
          </w:p>
        </w:tc>
        <w:tc>
          <w:tcPr>
            <w:tcW w:w="2272" w:type="dxa"/>
            <w:gridSpan w:val="4"/>
            <w:tcBorders>
              <w:top w:val="single" w:sz="4" w:space="0" w:color="auto"/>
              <w:bottom w:val="single" w:sz="4" w:space="0" w:color="auto"/>
            </w:tcBorders>
            <w:vAlign w:val="bottom"/>
          </w:tcPr>
          <w:p w14:paraId="417CB3F9" w14:textId="77777777" w:rsidR="00782DA5" w:rsidRPr="00313EC6" w:rsidRDefault="00782DA5" w:rsidP="00F724D0">
            <w:pPr>
              <w:spacing w:before="20" w:after="20"/>
              <w:jc w:val="center"/>
              <w:rPr>
                <w:b/>
                <w:sz w:val="18"/>
                <w:szCs w:val="20"/>
              </w:rPr>
            </w:pPr>
            <w:r w:rsidRPr="00313EC6">
              <w:rPr>
                <w:b/>
                <w:sz w:val="18"/>
                <w:szCs w:val="20"/>
              </w:rPr>
              <w:t>Moderate-risk</w:t>
            </w:r>
            <w:r>
              <w:rPr>
                <w:b/>
                <w:sz w:val="18"/>
                <w:szCs w:val="20"/>
              </w:rPr>
              <w:t>/problem</w:t>
            </w:r>
            <w:r w:rsidRPr="00313EC6">
              <w:rPr>
                <w:b/>
                <w:sz w:val="18"/>
                <w:szCs w:val="20"/>
              </w:rPr>
              <w:t xml:space="preserve"> gambler</w:t>
            </w:r>
          </w:p>
        </w:tc>
      </w:tr>
      <w:tr w:rsidR="00782DA5" w:rsidRPr="00313EC6" w14:paraId="2D5F32F5" w14:textId="77777777" w:rsidTr="000056A4">
        <w:trPr>
          <w:tblHeader/>
          <w:jc w:val="center"/>
        </w:trPr>
        <w:tc>
          <w:tcPr>
            <w:tcW w:w="2699" w:type="dxa"/>
            <w:vMerge/>
            <w:tcBorders>
              <w:bottom w:val="single" w:sz="4" w:space="0" w:color="auto"/>
            </w:tcBorders>
            <w:vAlign w:val="center"/>
          </w:tcPr>
          <w:p w14:paraId="74DC9674" w14:textId="77777777" w:rsidR="00782DA5" w:rsidRPr="00313EC6" w:rsidRDefault="00782DA5" w:rsidP="00F724D0">
            <w:pPr>
              <w:spacing w:before="20" w:after="20"/>
              <w:rPr>
                <w:b/>
                <w:sz w:val="18"/>
                <w:szCs w:val="20"/>
              </w:rPr>
            </w:pPr>
          </w:p>
        </w:tc>
        <w:tc>
          <w:tcPr>
            <w:tcW w:w="709" w:type="dxa"/>
            <w:tcBorders>
              <w:top w:val="single" w:sz="4" w:space="0" w:color="auto"/>
              <w:bottom w:val="single" w:sz="4" w:space="0" w:color="auto"/>
            </w:tcBorders>
          </w:tcPr>
          <w:p w14:paraId="4D84D69A" w14:textId="77777777" w:rsidR="00782DA5" w:rsidRPr="00313EC6" w:rsidRDefault="00782DA5" w:rsidP="00F724D0">
            <w:pPr>
              <w:spacing w:before="20" w:after="20"/>
              <w:jc w:val="right"/>
              <w:rPr>
                <w:b/>
                <w:sz w:val="18"/>
                <w:szCs w:val="20"/>
              </w:rPr>
            </w:pPr>
            <w:r w:rsidRPr="00313EC6">
              <w:rPr>
                <w:b/>
                <w:sz w:val="18"/>
                <w:szCs w:val="20"/>
              </w:rPr>
              <w:t>n</w:t>
            </w:r>
          </w:p>
        </w:tc>
        <w:tc>
          <w:tcPr>
            <w:tcW w:w="567" w:type="dxa"/>
            <w:tcBorders>
              <w:top w:val="single" w:sz="4" w:space="0" w:color="auto"/>
              <w:bottom w:val="single" w:sz="4" w:space="0" w:color="auto"/>
            </w:tcBorders>
          </w:tcPr>
          <w:p w14:paraId="7C29B286" w14:textId="77777777" w:rsidR="00782DA5" w:rsidRPr="00313EC6" w:rsidRDefault="00782DA5" w:rsidP="00F724D0">
            <w:pPr>
              <w:spacing w:before="20" w:after="20"/>
              <w:jc w:val="right"/>
              <w:rPr>
                <w:b/>
                <w:sz w:val="18"/>
                <w:szCs w:val="20"/>
              </w:rPr>
            </w:pPr>
            <w:r w:rsidRPr="00313EC6">
              <w:rPr>
                <w:b/>
                <w:sz w:val="18"/>
                <w:szCs w:val="20"/>
              </w:rPr>
              <w:t>%</w:t>
            </w:r>
          </w:p>
        </w:tc>
        <w:tc>
          <w:tcPr>
            <w:tcW w:w="1276" w:type="dxa"/>
            <w:tcBorders>
              <w:top w:val="single" w:sz="4" w:space="0" w:color="auto"/>
              <w:bottom w:val="single" w:sz="4" w:space="0" w:color="auto"/>
            </w:tcBorders>
          </w:tcPr>
          <w:p w14:paraId="66B2C40D" w14:textId="77777777" w:rsidR="00782DA5" w:rsidRPr="00313EC6" w:rsidRDefault="00782DA5" w:rsidP="00F724D0">
            <w:pPr>
              <w:spacing w:before="20" w:after="20"/>
              <w:jc w:val="right"/>
              <w:rPr>
                <w:b/>
                <w:sz w:val="18"/>
                <w:szCs w:val="20"/>
              </w:rPr>
            </w:pPr>
            <w:r w:rsidRPr="00313EC6">
              <w:rPr>
                <w:b/>
                <w:sz w:val="18"/>
                <w:szCs w:val="20"/>
              </w:rPr>
              <w:t>(95% CI)</w:t>
            </w:r>
          </w:p>
        </w:tc>
        <w:tc>
          <w:tcPr>
            <w:tcW w:w="709" w:type="dxa"/>
            <w:tcBorders>
              <w:top w:val="single" w:sz="4" w:space="0" w:color="auto"/>
              <w:bottom w:val="single" w:sz="4" w:space="0" w:color="auto"/>
            </w:tcBorders>
          </w:tcPr>
          <w:p w14:paraId="73180CD9" w14:textId="77777777" w:rsidR="00782DA5" w:rsidRPr="00313EC6" w:rsidRDefault="00782DA5" w:rsidP="00F724D0">
            <w:pPr>
              <w:spacing w:before="20" w:after="20"/>
              <w:jc w:val="right"/>
              <w:rPr>
                <w:b/>
                <w:sz w:val="18"/>
                <w:szCs w:val="20"/>
              </w:rPr>
            </w:pPr>
            <w:r w:rsidRPr="00313EC6">
              <w:rPr>
                <w:b/>
                <w:sz w:val="18"/>
                <w:szCs w:val="20"/>
              </w:rPr>
              <w:t>n</w:t>
            </w:r>
          </w:p>
        </w:tc>
        <w:tc>
          <w:tcPr>
            <w:tcW w:w="567" w:type="dxa"/>
            <w:tcBorders>
              <w:top w:val="single" w:sz="4" w:space="0" w:color="auto"/>
              <w:bottom w:val="single" w:sz="4" w:space="0" w:color="auto"/>
            </w:tcBorders>
          </w:tcPr>
          <w:p w14:paraId="7CB1D0C6" w14:textId="77777777" w:rsidR="00782DA5" w:rsidRPr="00313EC6" w:rsidRDefault="00782DA5" w:rsidP="00F724D0">
            <w:pPr>
              <w:spacing w:before="20" w:after="20"/>
              <w:jc w:val="right"/>
              <w:rPr>
                <w:b/>
                <w:sz w:val="18"/>
                <w:szCs w:val="20"/>
              </w:rPr>
            </w:pPr>
            <w:r w:rsidRPr="00313EC6">
              <w:rPr>
                <w:b/>
                <w:sz w:val="18"/>
                <w:szCs w:val="20"/>
              </w:rPr>
              <w:t>%</w:t>
            </w:r>
          </w:p>
        </w:tc>
        <w:tc>
          <w:tcPr>
            <w:tcW w:w="1134" w:type="dxa"/>
            <w:tcBorders>
              <w:top w:val="single" w:sz="4" w:space="0" w:color="auto"/>
              <w:bottom w:val="single" w:sz="4" w:space="0" w:color="auto"/>
            </w:tcBorders>
          </w:tcPr>
          <w:p w14:paraId="4CA32428" w14:textId="77777777" w:rsidR="00782DA5" w:rsidRPr="00313EC6" w:rsidRDefault="00782DA5" w:rsidP="00F724D0">
            <w:pPr>
              <w:spacing w:before="20" w:after="20"/>
              <w:jc w:val="right"/>
              <w:rPr>
                <w:b/>
                <w:sz w:val="18"/>
                <w:szCs w:val="20"/>
              </w:rPr>
            </w:pPr>
            <w:r w:rsidRPr="00313EC6">
              <w:rPr>
                <w:b/>
                <w:sz w:val="18"/>
                <w:szCs w:val="20"/>
              </w:rPr>
              <w:t>(95% CI)</w:t>
            </w:r>
          </w:p>
        </w:tc>
        <w:tc>
          <w:tcPr>
            <w:tcW w:w="567" w:type="dxa"/>
            <w:tcBorders>
              <w:top w:val="single" w:sz="4" w:space="0" w:color="auto"/>
              <w:bottom w:val="single" w:sz="4" w:space="0" w:color="auto"/>
            </w:tcBorders>
          </w:tcPr>
          <w:p w14:paraId="29AEDF7C" w14:textId="77777777" w:rsidR="00782DA5" w:rsidRPr="00313EC6" w:rsidRDefault="00782DA5" w:rsidP="00F724D0">
            <w:pPr>
              <w:spacing w:before="20" w:after="20"/>
              <w:jc w:val="right"/>
              <w:rPr>
                <w:b/>
                <w:sz w:val="18"/>
                <w:szCs w:val="20"/>
              </w:rPr>
            </w:pPr>
            <w:r w:rsidRPr="00313EC6">
              <w:rPr>
                <w:b/>
                <w:sz w:val="18"/>
                <w:szCs w:val="20"/>
              </w:rPr>
              <w:t>n</w:t>
            </w:r>
          </w:p>
        </w:tc>
        <w:tc>
          <w:tcPr>
            <w:tcW w:w="567" w:type="dxa"/>
            <w:tcBorders>
              <w:top w:val="single" w:sz="4" w:space="0" w:color="auto"/>
              <w:bottom w:val="single" w:sz="4" w:space="0" w:color="auto"/>
            </w:tcBorders>
          </w:tcPr>
          <w:p w14:paraId="34C0606E" w14:textId="77777777" w:rsidR="00782DA5" w:rsidRPr="00313EC6" w:rsidRDefault="00782DA5" w:rsidP="00F724D0">
            <w:pPr>
              <w:spacing w:before="20" w:after="20"/>
              <w:jc w:val="right"/>
              <w:rPr>
                <w:b/>
                <w:sz w:val="18"/>
                <w:szCs w:val="20"/>
              </w:rPr>
            </w:pPr>
            <w:r w:rsidRPr="00313EC6">
              <w:rPr>
                <w:b/>
                <w:sz w:val="18"/>
                <w:szCs w:val="20"/>
              </w:rPr>
              <w:t>%</w:t>
            </w:r>
          </w:p>
        </w:tc>
        <w:tc>
          <w:tcPr>
            <w:tcW w:w="1135" w:type="dxa"/>
            <w:tcBorders>
              <w:top w:val="single" w:sz="4" w:space="0" w:color="auto"/>
              <w:bottom w:val="single" w:sz="4" w:space="0" w:color="auto"/>
            </w:tcBorders>
          </w:tcPr>
          <w:p w14:paraId="53402145" w14:textId="77777777" w:rsidR="00782DA5" w:rsidRPr="00313EC6" w:rsidRDefault="00782DA5" w:rsidP="00F724D0">
            <w:pPr>
              <w:spacing w:before="20" w:after="20"/>
              <w:jc w:val="right"/>
              <w:rPr>
                <w:b/>
                <w:sz w:val="18"/>
                <w:szCs w:val="20"/>
              </w:rPr>
            </w:pPr>
            <w:r w:rsidRPr="00313EC6">
              <w:rPr>
                <w:b/>
                <w:sz w:val="18"/>
                <w:szCs w:val="20"/>
              </w:rPr>
              <w:t>(95% CI)</w:t>
            </w:r>
          </w:p>
        </w:tc>
        <w:tc>
          <w:tcPr>
            <w:tcW w:w="567" w:type="dxa"/>
            <w:tcBorders>
              <w:top w:val="single" w:sz="4" w:space="0" w:color="auto"/>
              <w:bottom w:val="single" w:sz="4" w:space="0" w:color="auto"/>
            </w:tcBorders>
          </w:tcPr>
          <w:p w14:paraId="5E492E94" w14:textId="77777777" w:rsidR="00782DA5" w:rsidRPr="00313EC6" w:rsidRDefault="00782DA5" w:rsidP="00F724D0">
            <w:pPr>
              <w:spacing w:before="20" w:after="20"/>
              <w:jc w:val="right"/>
              <w:rPr>
                <w:b/>
                <w:sz w:val="18"/>
                <w:szCs w:val="20"/>
              </w:rPr>
            </w:pPr>
            <w:r w:rsidRPr="00313EC6">
              <w:rPr>
                <w:b/>
                <w:sz w:val="18"/>
                <w:szCs w:val="20"/>
              </w:rPr>
              <w:t>n</w:t>
            </w:r>
          </w:p>
        </w:tc>
        <w:tc>
          <w:tcPr>
            <w:tcW w:w="568" w:type="dxa"/>
            <w:tcBorders>
              <w:top w:val="single" w:sz="4" w:space="0" w:color="auto"/>
              <w:bottom w:val="single" w:sz="4" w:space="0" w:color="auto"/>
            </w:tcBorders>
          </w:tcPr>
          <w:p w14:paraId="388CCDCA" w14:textId="77777777" w:rsidR="00782DA5" w:rsidRPr="00313EC6" w:rsidRDefault="00782DA5" w:rsidP="00F724D0">
            <w:pPr>
              <w:spacing w:before="20" w:after="20"/>
              <w:jc w:val="right"/>
              <w:rPr>
                <w:b/>
                <w:sz w:val="18"/>
                <w:szCs w:val="20"/>
              </w:rPr>
            </w:pPr>
            <w:r w:rsidRPr="00313EC6">
              <w:rPr>
                <w:b/>
                <w:sz w:val="18"/>
                <w:szCs w:val="20"/>
              </w:rPr>
              <w:t>%</w:t>
            </w:r>
          </w:p>
        </w:tc>
        <w:tc>
          <w:tcPr>
            <w:tcW w:w="1137" w:type="dxa"/>
            <w:gridSpan w:val="2"/>
            <w:tcBorders>
              <w:top w:val="single" w:sz="4" w:space="0" w:color="auto"/>
              <w:bottom w:val="single" w:sz="4" w:space="0" w:color="auto"/>
            </w:tcBorders>
          </w:tcPr>
          <w:p w14:paraId="0CBF990D" w14:textId="77777777" w:rsidR="00782DA5" w:rsidRPr="00313EC6" w:rsidRDefault="00782DA5" w:rsidP="00F724D0">
            <w:pPr>
              <w:spacing w:before="20" w:after="20"/>
              <w:jc w:val="right"/>
              <w:rPr>
                <w:b/>
                <w:sz w:val="18"/>
                <w:szCs w:val="20"/>
              </w:rPr>
            </w:pPr>
            <w:r w:rsidRPr="00313EC6">
              <w:rPr>
                <w:b/>
                <w:sz w:val="18"/>
                <w:szCs w:val="20"/>
              </w:rPr>
              <w:t>(95% CI)</w:t>
            </w:r>
          </w:p>
        </w:tc>
      </w:tr>
      <w:tr w:rsidR="0095017C" w:rsidRPr="00313EC6" w14:paraId="580F292D" w14:textId="77777777" w:rsidTr="000056A4">
        <w:trPr>
          <w:jc w:val="center"/>
        </w:trPr>
        <w:tc>
          <w:tcPr>
            <w:tcW w:w="3975" w:type="dxa"/>
            <w:gridSpan w:val="3"/>
            <w:tcBorders>
              <w:top w:val="single" w:sz="4" w:space="0" w:color="auto"/>
            </w:tcBorders>
            <w:shd w:val="clear" w:color="auto" w:fill="auto"/>
            <w:vAlign w:val="center"/>
          </w:tcPr>
          <w:p w14:paraId="3832B36D" w14:textId="77777777" w:rsidR="0095017C" w:rsidRPr="00313EC6" w:rsidRDefault="0095017C" w:rsidP="00F724D0">
            <w:pPr>
              <w:spacing w:before="20" w:after="20"/>
              <w:rPr>
                <w:b/>
                <w:color w:val="000000"/>
                <w:sz w:val="18"/>
                <w:szCs w:val="20"/>
              </w:rPr>
            </w:pPr>
            <w:r>
              <w:rPr>
                <w:b/>
                <w:color w:val="000000"/>
                <w:sz w:val="18"/>
                <w:szCs w:val="20"/>
              </w:rPr>
              <w:t>Māori</w:t>
            </w:r>
          </w:p>
        </w:tc>
        <w:tc>
          <w:tcPr>
            <w:tcW w:w="1276" w:type="dxa"/>
            <w:tcBorders>
              <w:top w:val="single" w:sz="4" w:space="0" w:color="auto"/>
            </w:tcBorders>
          </w:tcPr>
          <w:p w14:paraId="0C1A2EF3" w14:textId="77777777" w:rsidR="0095017C" w:rsidRPr="00313EC6" w:rsidRDefault="0095017C" w:rsidP="00F724D0">
            <w:pPr>
              <w:spacing w:before="20" w:after="20"/>
              <w:jc w:val="right"/>
              <w:rPr>
                <w:color w:val="000000"/>
                <w:sz w:val="18"/>
                <w:szCs w:val="20"/>
              </w:rPr>
            </w:pPr>
          </w:p>
        </w:tc>
        <w:tc>
          <w:tcPr>
            <w:tcW w:w="709" w:type="dxa"/>
            <w:tcBorders>
              <w:top w:val="single" w:sz="4" w:space="0" w:color="auto"/>
            </w:tcBorders>
            <w:shd w:val="clear" w:color="auto" w:fill="auto"/>
            <w:vAlign w:val="center"/>
          </w:tcPr>
          <w:p w14:paraId="6387C54A" w14:textId="77777777" w:rsidR="0095017C" w:rsidRPr="00313EC6" w:rsidRDefault="0095017C" w:rsidP="00F724D0">
            <w:pPr>
              <w:spacing w:before="20" w:after="20"/>
              <w:jc w:val="right"/>
              <w:rPr>
                <w:color w:val="000000"/>
                <w:sz w:val="18"/>
                <w:szCs w:val="20"/>
              </w:rPr>
            </w:pPr>
          </w:p>
        </w:tc>
        <w:tc>
          <w:tcPr>
            <w:tcW w:w="567" w:type="dxa"/>
            <w:tcBorders>
              <w:top w:val="single" w:sz="4" w:space="0" w:color="auto"/>
            </w:tcBorders>
            <w:shd w:val="clear" w:color="auto" w:fill="auto"/>
            <w:vAlign w:val="center"/>
          </w:tcPr>
          <w:p w14:paraId="6AA89DBE" w14:textId="77777777" w:rsidR="0095017C" w:rsidRPr="00313EC6" w:rsidRDefault="0095017C" w:rsidP="00F724D0">
            <w:pPr>
              <w:spacing w:before="20" w:after="20"/>
              <w:jc w:val="right"/>
              <w:rPr>
                <w:color w:val="000000"/>
                <w:sz w:val="18"/>
                <w:szCs w:val="20"/>
              </w:rPr>
            </w:pPr>
          </w:p>
        </w:tc>
        <w:tc>
          <w:tcPr>
            <w:tcW w:w="1134" w:type="dxa"/>
            <w:tcBorders>
              <w:top w:val="single" w:sz="4" w:space="0" w:color="auto"/>
            </w:tcBorders>
          </w:tcPr>
          <w:p w14:paraId="61B87782" w14:textId="77777777" w:rsidR="0095017C" w:rsidRPr="00313EC6" w:rsidRDefault="0095017C" w:rsidP="00F724D0">
            <w:pPr>
              <w:spacing w:before="20" w:after="20"/>
              <w:jc w:val="right"/>
              <w:rPr>
                <w:color w:val="000000"/>
                <w:sz w:val="18"/>
                <w:szCs w:val="20"/>
              </w:rPr>
            </w:pPr>
          </w:p>
        </w:tc>
        <w:tc>
          <w:tcPr>
            <w:tcW w:w="567" w:type="dxa"/>
            <w:tcBorders>
              <w:top w:val="single" w:sz="4" w:space="0" w:color="auto"/>
            </w:tcBorders>
            <w:shd w:val="clear" w:color="auto" w:fill="auto"/>
            <w:vAlign w:val="center"/>
          </w:tcPr>
          <w:p w14:paraId="7CCDAF3B" w14:textId="77777777" w:rsidR="0095017C" w:rsidRPr="00313EC6" w:rsidRDefault="0095017C" w:rsidP="00F724D0">
            <w:pPr>
              <w:spacing w:before="20" w:after="20"/>
              <w:jc w:val="right"/>
              <w:rPr>
                <w:color w:val="000000"/>
                <w:sz w:val="18"/>
                <w:szCs w:val="20"/>
              </w:rPr>
            </w:pPr>
          </w:p>
        </w:tc>
        <w:tc>
          <w:tcPr>
            <w:tcW w:w="567" w:type="dxa"/>
            <w:tcBorders>
              <w:top w:val="single" w:sz="4" w:space="0" w:color="auto"/>
            </w:tcBorders>
            <w:shd w:val="clear" w:color="auto" w:fill="auto"/>
            <w:vAlign w:val="center"/>
          </w:tcPr>
          <w:p w14:paraId="79C8780B" w14:textId="77777777" w:rsidR="0095017C" w:rsidRPr="00313EC6" w:rsidRDefault="0095017C" w:rsidP="00F724D0">
            <w:pPr>
              <w:spacing w:before="20" w:after="20"/>
              <w:jc w:val="right"/>
              <w:rPr>
                <w:color w:val="000000"/>
                <w:sz w:val="18"/>
                <w:szCs w:val="20"/>
              </w:rPr>
            </w:pPr>
          </w:p>
        </w:tc>
        <w:tc>
          <w:tcPr>
            <w:tcW w:w="1135" w:type="dxa"/>
            <w:tcBorders>
              <w:top w:val="single" w:sz="4" w:space="0" w:color="auto"/>
            </w:tcBorders>
          </w:tcPr>
          <w:p w14:paraId="1AB249E4" w14:textId="77777777" w:rsidR="0095017C" w:rsidRPr="00313EC6" w:rsidRDefault="0095017C" w:rsidP="00F724D0">
            <w:pPr>
              <w:spacing w:before="20" w:after="20"/>
              <w:jc w:val="right"/>
              <w:rPr>
                <w:color w:val="000000"/>
                <w:sz w:val="18"/>
                <w:szCs w:val="20"/>
              </w:rPr>
            </w:pPr>
          </w:p>
        </w:tc>
        <w:tc>
          <w:tcPr>
            <w:tcW w:w="567" w:type="dxa"/>
            <w:tcBorders>
              <w:top w:val="single" w:sz="4" w:space="0" w:color="auto"/>
            </w:tcBorders>
            <w:shd w:val="clear" w:color="auto" w:fill="auto"/>
            <w:vAlign w:val="center"/>
          </w:tcPr>
          <w:p w14:paraId="44C96819" w14:textId="77777777" w:rsidR="0095017C" w:rsidRPr="00313EC6" w:rsidRDefault="0095017C" w:rsidP="00F724D0">
            <w:pPr>
              <w:spacing w:before="20" w:after="20"/>
              <w:jc w:val="right"/>
              <w:rPr>
                <w:color w:val="000000"/>
                <w:sz w:val="18"/>
                <w:szCs w:val="20"/>
              </w:rPr>
            </w:pPr>
          </w:p>
        </w:tc>
        <w:tc>
          <w:tcPr>
            <w:tcW w:w="568" w:type="dxa"/>
            <w:tcBorders>
              <w:top w:val="single" w:sz="4" w:space="0" w:color="auto"/>
            </w:tcBorders>
            <w:shd w:val="clear" w:color="auto" w:fill="auto"/>
            <w:vAlign w:val="center"/>
          </w:tcPr>
          <w:p w14:paraId="7DAB70BA" w14:textId="77777777" w:rsidR="0095017C" w:rsidRPr="00313EC6" w:rsidRDefault="0095017C" w:rsidP="00F724D0">
            <w:pPr>
              <w:spacing w:before="20" w:after="20"/>
              <w:jc w:val="right"/>
              <w:rPr>
                <w:color w:val="000000"/>
                <w:sz w:val="18"/>
                <w:szCs w:val="20"/>
              </w:rPr>
            </w:pPr>
          </w:p>
        </w:tc>
        <w:tc>
          <w:tcPr>
            <w:tcW w:w="1137" w:type="dxa"/>
            <w:gridSpan w:val="2"/>
            <w:tcBorders>
              <w:top w:val="single" w:sz="4" w:space="0" w:color="auto"/>
            </w:tcBorders>
          </w:tcPr>
          <w:p w14:paraId="3510941F" w14:textId="77777777" w:rsidR="0095017C" w:rsidRPr="00313EC6" w:rsidRDefault="0095017C" w:rsidP="00F724D0">
            <w:pPr>
              <w:spacing w:before="20" w:after="20"/>
              <w:jc w:val="right"/>
              <w:rPr>
                <w:color w:val="000000"/>
                <w:sz w:val="18"/>
                <w:szCs w:val="20"/>
              </w:rPr>
            </w:pPr>
          </w:p>
        </w:tc>
      </w:tr>
      <w:tr w:rsidR="00782DA5" w:rsidRPr="00313EC6" w14:paraId="07AD2570" w14:textId="77777777" w:rsidTr="000056A4">
        <w:trPr>
          <w:jc w:val="center"/>
        </w:trPr>
        <w:tc>
          <w:tcPr>
            <w:tcW w:w="3975" w:type="dxa"/>
            <w:gridSpan w:val="3"/>
            <w:shd w:val="clear" w:color="auto" w:fill="auto"/>
            <w:vAlign w:val="center"/>
          </w:tcPr>
          <w:p w14:paraId="58AB7ADD" w14:textId="77777777" w:rsidR="00782DA5" w:rsidRPr="00313EC6" w:rsidRDefault="00782DA5" w:rsidP="00F724D0">
            <w:pPr>
              <w:spacing w:before="20" w:after="20"/>
              <w:rPr>
                <w:b/>
                <w:color w:val="000000"/>
                <w:sz w:val="18"/>
                <w:szCs w:val="20"/>
              </w:rPr>
            </w:pPr>
            <w:r w:rsidRPr="00313EC6">
              <w:rPr>
                <w:b/>
                <w:color w:val="000000"/>
                <w:sz w:val="18"/>
                <w:szCs w:val="20"/>
              </w:rPr>
              <w:t>Wave 1 to Wave 2</w:t>
            </w:r>
          </w:p>
        </w:tc>
        <w:tc>
          <w:tcPr>
            <w:tcW w:w="1276" w:type="dxa"/>
          </w:tcPr>
          <w:p w14:paraId="4595501E" w14:textId="77777777" w:rsidR="00782DA5" w:rsidRPr="00313EC6" w:rsidRDefault="00782DA5" w:rsidP="00F724D0">
            <w:pPr>
              <w:spacing w:before="20" w:after="20"/>
              <w:jc w:val="right"/>
              <w:rPr>
                <w:color w:val="000000"/>
                <w:sz w:val="18"/>
                <w:szCs w:val="20"/>
              </w:rPr>
            </w:pPr>
          </w:p>
        </w:tc>
        <w:tc>
          <w:tcPr>
            <w:tcW w:w="709" w:type="dxa"/>
            <w:shd w:val="clear" w:color="auto" w:fill="auto"/>
            <w:vAlign w:val="center"/>
          </w:tcPr>
          <w:p w14:paraId="0C2F74F4" w14:textId="77777777" w:rsidR="00782DA5" w:rsidRPr="00313EC6" w:rsidRDefault="00782DA5" w:rsidP="00F724D0">
            <w:pPr>
              <w:spacing w:before="20" w:after="20"/>
              <w:jc w:val="right"/>
              <w:rPr>
                <w:color w:val="000000"/>
                <w:sz w:val="18"/>
                <w:szCs w:val="20"/>
              </w:rPr>
            </w:pPr>
          </w:p>
        </w:tc>
        <w:tc>
          <w:tcPr>
            <w:tcW w:w="567" w:type="dxa"/>
            <w:shd w:val="clear" w:color="auto" w:fill="auto"/>
            <w:vAlign w:val="center"/>
          </w:tcPr>
          <w:p w14:paraId="13A67741" w14:textId="77777777" w:rsidR="00782DA5" w:rsidRPr="00313EC6" w:rsidRDefault="00782DA5" w:rsidP="00F724D0">
            <w:pPr>
              <w:spacing w:before="20" w:after="20"/>
              <w:jc w:val="right"/>
              <w:rPr>
                <w:color w:val="000000"/>
                <w:sz w:val="18"/>
                <w:szCs w:val="20"/>
              </w:rPr>
            </w:pPr>
          </w:p>
        </w:tc>
        <w:tc>
          <w:tcPr>
            <w:tcW w:w="1134" w:type="dxa"/>
          </w:tcPr>
          <w:p w14:paraId="7439BE72" w14:textId="77777777" w:rsidR="00782DA5" w:rsidRPr="00313EC6" w:rsidRDefault="00782DA5" w:rsidP="00F724D0">
            <w:pPr>
              <w:spacing w:before="20" w:after="20"/>
              <w:jc w:val="right"/>
              <w:rPr>
                <w:color w:val="000000"/>
                <w:sz w:val="18"/>
                <w:szCs w:val="20"/>
              </w:rPr>
            </w:pPr>
          </w:p>
        </w:tc>
        <w:tc>
          <w:tcPr>
            <w:tcW w:w="567" w:type="dxa"/>
            <w:shd w:val="clear" w:color="auto" w:fill="auto"/>
            <w:vAlign w:val="center"/>
          </w:tcPr>
          <w:p w14:paraId="664C0057" w14:textId="77777777" w:rsidR="00782DA5" w:rsidRPr="00313EC6" w:rsidRDefault="00782DA5" w:rsidP="00F724D0">
            <w:pPr>
              <w:spacing w:before="20" w:after="20"/>
              <w:jc w:val="right"/>
              <w:rPr>
                <w:color w:val="000000"/>
                <w:sz w:val="18"/>
                <w:szCs w:val="20"/>
              </w:rPr>
            </w:pPr>
          </w:p>
        </w:tc>
        <w:tc>
          <w:tcPr>
            <w:tcW w:w="567" w:type="dxa"/>
            <w:shd w:val="clear" w:color="auto" w:fill="auto"/>
            <w:vAlign w:val="center"/>
          </w:tcPr>
          <w:p w14:paraId="0CB5FD39" w14:textId="77777777" w:rsidR="00782DA5" w:rsidRPr="00313EC6" w:rsidRDefault="00782DA5" w:rsidP="00F724D0">
            <w:pPr>
              <w:spacing w:before="20" w:after="20"/>
              <w:jc w:val="right"/>
              <w:rPr>
                <w:color w:val="000000"/>
                <w:sz w:val="18"/>
                <w:szCs w:val="20"/>
              </w:rPr>
            </w:pPr>
          </w:p>
        </w:tc>
        <w:tc>
          <w:tcPr>
            <w:tcW w:w="1135" w:type="dxa"/>
          </w:tcPr>
          <w:p w14:paraId="3CC03199" w14:textId="77777777" w:rsidR="00782DA5" w:rsidRPr="00313EC6" w:rsidRDefault="00782DA5" w:rsidP="00F724D0">
            <w:pPr>
              <w:spacing w:before="20" w:after="20"/>
              <w:jc w:val="right"/>
              <w:rPr>
                <w:color w:val="000000"/>
                <w:sz w:val="18"/>
                <w:szCs w:val="20"/>
              </w:rPr>
            </w:pPr>
          </w:p>
        </w:tc>
        <w:tc>
          <w:tcPr>
            <w:tcW w:w="567" w:type="dxa"/>
            <w:shd w:val="clear" w:color="auto" w:fill="auto"/>
            <w:vAlign w:val="center"/>
          </w:tcPr>
          <w:p w14:paraId="343B95C5" w14:textId="77777777" w:rsidR="00782DA5" w:rsidRPr="00313EC6" w:rsidRDefault="00782DA5" w:rsidP="00F724D0">
            <w:pPr>
              <w:spacing w:before="20" w:after="20"/>
              <w:jc w:val="right"/>
              <w:rPr>
                <w:color w:val="000000"/>
                <w:sz w:val="18"/>
                <w:szCs w:val="20"/>
              </w:rPr>
            </w:pPr>
          </w:p>
        </w:tc>
        <w:tc>
          <w:tcPr>
            <w:tcW w:w="568" w:type="dxa"/>
            <w:shd w:val="clear" w:color="auto" w:fill="auto"/>
            <w:vAlign w:val="center"/>
          </w:tcPr>
          <w:p w14:paraId="6CED8293" w14:textId="77777777" w:rsidR="00782DA5" w:rsidRPr="00313EC6" w:rsidRDefault="00782DA5" w:rsidP="00F724D0">
            <w:pPr>
              <w:spacing w:before="20" w:after="20"/>
              <w:jc w:val="right"/>
              <w:rPr>
                <w:color w:val="000000"/>
                <w:sz w:val="18"/>
                <w:szCs w:val="20"/>
              </w:rPr>
            </w:pPr>
          </w:p>
        </w:tc>
        <w:tc>
          <w:tcPr>
            <w:tcW w:w="1137" w:type="dxa"/>
            <w:gridSpan w:val="2"/>
          </w:tcPr>
          <w:p w14:paraId="6EB743B3" w14:textId="77777777" w:rsidR="00782DA5" w:rsidRPr="00313EC6" w:rsidRDefault="00782DA5" w:rsidP="00F724D0">
            <w:pPr>
              <w:spacing w:before="20" w:after="20"/>
              <w:jc w:val="right"/>
              <w:rPr>
                <w:color w:val="000000"/>
                <w:sz w:val="18"/>
                <w:szCs w:val="20"/>
              </w:rPr>
            </w:pPr>
          </w:p>
        </w:tc>
      </w:tr>
      <w:tr w:rsidR="000056A4" w:rsidRPr="00313EC6" w14:paraId="5012CB62" w14:textId="77777777" w:rsidTr="000056A4">
        <w:trPr>
          <w:jc w:val="center"/>
        </w:trPr>
        <w:tc>
          <w:tcPr>
            <w:tcW w:w="2699" w:type="dxa"/>
            <w:vAlign w:val="center"/>
          </w:tcPr>
          <w:p w14:paraId="1881F376" w14:textId="77777777" w:rsidR="000056A4" w:rsidRPr="00313EC6" w:rsidRDefault="000056A4" w:rsidP="00F724D0">
            <w:pPr>
              <w:spacing w:before="20" w:after="20"/>
              <w:ind w:left="88"/>
              <w:rPr>
                <w:sz w:val="18"/>
                <w:szCs w:val="20"/>
              </w:rPr>
            </w:pPr>
            <w:r w:rsidRPr="00313EC6">
              <w:rPr>
                <w:sz w:val="18"/>
                <w:szCs w:val="20"/>
              </w:rPr>
              <w:t>Non-gambler</w:t>
            </w:r>
          </w:p>
        </w:tc>
        <w:tc>
          <w:tcPr>
            <w:tcW w:w="709" w:type="dxa"/>
            <w:shd w:val="clear" w:color="auto" w:fill="auto"/>
          </w:tcPr>
          <w:p w14:paraId="4C65AB11" w14:textId="77777777" w:rsidR="000056A4" w:rsidRPr="000056A4" w:rsidRDefault="000056A4" w:rsidP="00F724D0">
            <w:pPr>
              <w:jc w:val="right"/>
              <w:rPr>
                <w:sz w:val="18"/>
              </w:rPr>
            </w:pPr>
            <w:r w:rsidRPr="000056A4">
              <w:rPr>
                <w:sz w:val="18"/>
              </w:rPr>
              <w:t>28</w:t>
            </w:r>
          </w:p>
        </w:tc>
        <w:tc>
          <w:tcPr>
            <w:tcW w:w="567" w:type="dxa"/>
            <w:shd w:val="clear" w:color="auto" w:fill="auto"/>
          </w:tcPr>
          <w:p w14:paraId="736083AA" w14:textId="77777777" w:rsidR="000056A4" w:rsidRPr="000056A4" w:rsidRDefault="000056A4" w:rsidP="00F724D0">
            <w:pPr>
              <w:jc w:val="right"/>
              <w:rPr>
                <w:sz w:val="18"/>
              </w:rPr>
            </w:pPr>
            <w:r w:rsidRPr="000056A4">
              <w:rPr>
                <w:sz w:val="18"/>
              </w:rPr>
              <w:t>47.0</w:t>
            </w:r>
          </w:p>
        </w:tc>
        <w:tc>
          <w:tcPr>
            <w:tcW w:w="1276" w:type="dxa"/>
          </w:tcPr>
          <w:p w14:paraId="58A7FE74" w14:textId="77777777" w:rsidR="000056A4" w:rsidRPr="000056A4" w:rsidRDefault="000056A4" w:rsidP="00F724D0">
            <w:pPr>
              <w:jc w:val="right"/>
              <w:rPr>
                <w:sz w:val="18"/>
              </w:rPr>
            </w:pPr>
            <w:r w:rsidRPr="000056A4">
              <w:rPr>
                <w:sz w:val="18"/>
              </w:rPr>
              <w:t>(33.2, 60.7)</w:t>
            </w:r>
          </w:p>
        </w:tc>
        <w:tc>
          <w:tcPr>
            <w:tcW w:w="709" w:type="dxa"/>
            <w:shd w:val="clear" w:color="auto" w:fill="auto"/>
          </w:tcPr>
          <w:p w14:paraId="3FD97EFC" w14:textId="77777777" w:rsidR="000056A4" w:rsidRPr="000056A4" w:rsidRDefault="000056A4" w:rsidP="00F724D0">
            <w:pPr>
              <w:jc w:val="right"/>
              <w:rPr>
                <w:sz w:val="18"/>
              </w:rPr>
            </w:pPr>
            <w:r w:rsidRPr="000056A4">
              <w:rPr>
                <w:sz w:val="18"/>
              </w:rPr>
              <w:t>29</w:t>
            </w:r>
          </w:p>
        </w:tc>
        <w:tc>
          <w:tcPr>
            <w:tcW w:w="567" w:type="dxa"/>
            <w:shd w:val="clear" w:color="auto" w:fill="auto"/>
          </w:tcPr>
          <w:p w14:paraId="15E95108" w14:textId="77777777" w:rsidR="000056A4" w:rsidRPr="000056A4" w:rsidRDefault="000056A4" w:rsidP="00F724D0">
            <w:pPr>
              <w:jc w:val="right"/>
              <w:rPr>
                <w:sz w:val="18"/>
              </w:rPr>
            </w:pPr>
            <w:r w:rsidRPr="000056A4">
              <w:rPr>
                <w:sz w:val="18"/>
              </w:rPr>
              <w:t>48.6</w:t>
            </w:r>
          </w:p>
        </w:tc>
        <w:tc>
          <w:tcPr>
            <w:tcW w:w="1134" w:type="dxa"/>
          </w:tcPr>
          <w:p w14:paraId="32D65E53" w14:textId="77777777" w:rsidR="000056A4" w:rsidRPr="000056A4" w:rsidRDefault="000056A4" w:rsidP="00F724D0">
            <w:pPr>
              <w:jc w:val="right"/>
              <w:rPr>
                <w:sz w:val="18"/>
              </w:rPr>
            </w:pPr>
            <w:r w:rsidRPr="000056A4">
              <w:rPr>
                <w:sz w:val="18"/>
              </w:rPr>
              <w:t>(34.8, 62.4)</w:t>
            </w:r>
          </w:p>
        </w:tc>
        <w:tc>
          <w:tcPr>
            <w:tcW w:w="567" w:type="dxa"/>
            <w:shd w:val="clear" w:color="auto" w:fill="auto"/>
          </w:tcPr>
          <w:p w14:paraId="64ED5564" w14:textId="77777777" w:rsidR="000056A4" w:rsidRPr="000056A4" w:rsidRDefault="000056A4" w:rsidP="00F724D0">
            <w:pPr>
              <w:jc w:val="right"/>
              <w:rPr>
                <w:sz w:val="18"/>
              </w:rPr>
            </w:pPr>
            <w:r w:rsidRPr="000056A4">
              <w:rPr>
                <w:sz w:val="18"/>
              </w:rPr>
              <w:t>2</w:t>
            </w:r>
          </w:p>
        </w:tc>
        <w:tc>
          <w:tcPr>
            <w:tcW w:w="567" w:type="dxa"/>
            <w:shd w:val="clear" w:color="auto" w:fill="auto"/>
          </w:tcPr>
          <w:p w14:paraId="7FF1C2DA" w14:textId="77777777" w:rsidR="000056A4" w:rsidRPr="000056A4" w:rsidRDefault="000056A4" w:rsidP="00F724D0">
            <w:pPr>
              <w:jc w:val="right"/>
              <w:rPr>
                <w:sz w:val="18"/>
              </w:rPr>
            </w:pPr>
            <w:r w:rsidRPr="000056A4">
              <w:rPr>
                <w:sz w:val="18"/>
              </w:rPr>
              <w:t>3.9</w:t>
            </w:r>
          </w:p>
        </w:tc>
        <w:tc>
          <w:tcPr>
            <w:tcW w:w="1135" w:type="dxa"/>
          </w:tcPr>
          <w:p w14:paraId="78CD2A1D" w14:textId="77777777" w:rsidR="000056A4" w:rsidRPr="000056A4" w:rsidRDefault="002F172C" w:rsidP="00F724D0">
            <w:pPr>
              <w:jc w:val="right"/>
              <w:rPr>
                <w:sz w:val="18"/>
              </w:rPr>
            </w:pPr>
            <w:r>
              <w:rPr>
                <w:sz w:val="18"/>
              </w:rPr>
              <w:t>!</w:t>
            </w:r>
          </w:p>
        </w:tc>
        <w:tc>
          <w:tcPr>
            <w:tcW w:w="567" w:type="dxa"/>
            <w:shd w:val="clear" w:color="auto" w:fill="auto"/>
          </w:tcPr>
          <w:p w14:paraId="71D5A3BA" w14:textId="77777777" w:rsidR="000056A4" w:rsidRPr="000056A4" w:rsidRDefault="000056A4" w:rsidP="00F724D0">
            <w:pPr>
              <w:jc w:val="right"/>
              <w:rPr>
                <w:sz w:val="18"/>
              </w:rPr>
            </w:pPr>
            <w:r w:rsidRPr="000056A4">
              <w:rPr>
                <w:sz w:val="18"/>
              </w:rPr>
              <w:t>0</w:t>
            </w:r>
          </w:p>
        </w:tc>
        <w:tc>
          <w:tcPr>
            <w:tcW w:w="568" w:type="dxa"/>
            <w:shd w:val="clear" w:color="auto" w:fill="auto"/>
          </w:tcPr>
          <w:p w14:paraId="2BF706E4" w14:textId="77777777" w:rsidR="000056A4" w:rsidRPr="000056A4" w:rsidRDefault="000056A4" w:rsidP="00F724D0">
            <w:pPr>
              <w:jc w:val="right"/>
              <w:rPr>
                <w:sz w:val="18"/>
              </w:rPr>
            </w:pPr>
            <w:r w:rsidRPr="000056A4">
              <w:rPr>
                <w:sz w:val="18"/>
              </w:rPr>
              <w:t>0.5</w:t>
            </w:r>
          </w:p>
        </w:tc>
        <w:tc>
          <w:tcPr>
            <w:tcW w:w="1137" w:type="dxa"/>
            <w:gridSpan w:val="2"/>
          </w:tcPr>
          <w:p w14:paraId="3ED01718" w14:textId="77777777" w:rsidR="000056A4" w:rsidRPr="000056A4" w:rsidRDefault="002F172C" w:rsidP="00F724D0">
            <w:pPr>
              <w:jc w:val="right"/>
              <w:rPr>
                <w:sz w:val="18"/>
              </w:rPr>
            </w:pPr>
            <w:r>
              <w:rPr>
                <w:sz w:val="18"/>
              </w:rPr>
              <w:t>!</w:t>
            </w:r>
          </w:p>
        </w:tc>
      </w:tr>
      <w:tr w:rsidR="000056A4" w:rsidRPr="00313EC6" w14:paraId="247E59E2" w14:textId="77777777" w:rsidTr="000056A4">
        <w:trPr>
          <w:jc w:val="center"/>
        </w:trPr>
        <w:tc>
          <w:tcPr>
            <w:tcW w:w="2699" w:type="dxa"/>
            <w:vAlign w:val="center"/>
          </w:tcPr>
          <w:p w14:paraId="7C115C5E" w14:textId="77777777" w:rsidR="000056A4" w:rsidRPr="00313EC6" w:rsidRDefault="000056A4" w:rsidP="00F724D0">
            <w:pPr>
              <w:spacing w:before="20" w:after="20"/>
              <w:ind w:left="88"/>
              <w:rPr>
                <w:sz w:val="18"/>
                <w:szCs w:val="20"/>
              </w:rPr>
            </w:pPr>
            <w:r w:rsidRPr="00313EC6">
              <w:rPr>
                <w:sz w:val="18"/>
                <w:szCs w:val="20"/>
              </w:rPr>
              <w:t>Non-problem gambler</w:t>
            </w:r>
          </w:p>
        </w:tc>
        <w:tc>
          <w:tcPr>
            <w:tcW w:w="709" w:type="dxa"/>
            <w:shd w:val="clear" w:color="auto" w:fill="auto"/>
          </w:tcPr>
          <w:p w14:paraId="41118652" w14:textId="77777777" w:rsidR="000056A4" w:rsidRPr="000056A4" w:rsidRDefault="000056A4" w:rsidP="00F724D0">
            <w:pPr>
              <w:jc w:val="right"/>
              <w:rPr>
                <w:sz w:val="18"/>
              </w:rPr>
            </w:pPr>
            <w:r w:rsidRPr="000056A4">
              <w:rPr>
                <w:sz w:val="18"/>
              </w:rPr>
              <w:t>35</w:t>
            </w:r>
          </w:p>
        </w:tc>
        <w:tc>
          <w:tcPr>
            <w:tcW w:w="567" w:type="dxa"/>
            <w:shd w:val="clear" w:color="auto" w:fill="auto"/>
          </w:tcPr>
          <w:p w14:paraId="585AE183" w14:textId="77777777" w:rsidR="000056A4" w:rsidRPr="000056A4" w:rsidRDefault="000056A4" w:rsidP="00F724D0">
            <w:pPr>
              <w:jc w:val="right"/>
              <w:rPr>
                <w:sz w:val="18"/>
              </w:rPr>
            </w:pPr>
            <w:r w:rsidRPr="000056A4">
              <w:rPr>
                <w:sz w:val="18"/>
              </w:rPr>
              <w:t>12.5</w:t>
            </w:r>
          </w:p>
        </w:tc>
        <w:tc>
          <w:tcPr>
            <w:tcW w:w="1276" w:type="dxa"/>
          </w:tcPr>
          <w:p w14:paraId="318A43BF" w14:textId="77777777" w:rsidR="000056A4" w:rsidRPr="000056A4" w:rsidRDefault="000056A4" w:rsidP="00F724D0">
            <w:pPr>
              <w:jc w:val="right"/>
              <w:rPr>
                <w:sz w:val="18"/>
              </w:rPr>
            </w:pPr>
            <w:r w:rsidRPr="000056A4">
              <w:rPr>
                <w:sz w:val="18"/>
              </w:rPr>
              <w:t>(8.9, 16</w:t>
            </w:r>
            <w:r>
              <w:rPr>
                <w:sz w:val="18"/>
              </w:rPr>
              <w:t>.0</w:t>
            </w:r>
            <w:r w:rsidRPr="000056A4">
              <w:rPr>
                <w:sz w:val="18"/>
              </w:rPr>
              <w:t>)</w:t>
            </w:r>
          </w:p>
        </w:tc>
        <w:tc>
          <w:tcPr>
            <w:tcW w:w="709" w:type="dxa"/>
            <w:shd w:val="clear" w:color="auto" w:fill="auto"/>
          </w:tcPr>
          <w:p w14:paraId="2055B21B" w14:textId="77777777" w:rsidR="000056A4" w:rsidRPr="000056A4" w:rsidRDefault="000056A4" w:rsidP="00F724D0">
            <w:pPr>
              <w:jc w:val="right"/>
              <w:rPr>
                <w:sz w:val="18"/>
              </w:rPr>
            </w:pPr>
            <w:r w:rsidRPr="000056A4">
              <w:rPr>
                <w:sz w:val="18"/>
              </w:rPr>
              <w:t>210</w:t>
            </w:r>
          </w:p>
        </w:tc>
        <w:tc>
          <w:tcPr>
            <w:tcW w:w="567" w:type="dxa"/>
            <w:shd w:val="clear" w:color="auto" w:fill="auto"/>
          </w:tcPr>
          <w:p w14:paraId="129E86BC" w14:textId="77777777" w:rsidR="000056A4" w:rsidRPr="000056A4" w:rsidRDefault="000056A4" w:rsidP="00F724D0">
            <w:pPr>
              <w:jc w:val="right"/>
              <w:rPr>
                <w:sz w:val="18"/>
              </w:rPr>
            </w:pPr>
            <w:r w:rsidRPr="000056A4">
              <w:rPr>
                <w:sz w:val="18"/>
              </w:rPr>
              <w:t>75.6</w:t>
            </w:r>
          </w:p>
        </w:tc>
        <w:tc>
          <w:tcPr>
            <w:tcW w:w="1134" w:type="dxa"/>
          </w:tcPr>
          <w:p w14:paraId="66A3945D" w14:textId="77777777" w:rsidR="000056A4" w:rsidRPr="000056A4" w:rsidRDefault="000056A4" w:rsidP="00F724D0">
            <w:pPr>
              <w:jc w:val="right"/>
              <w:rPr>
                <w:sz w:val="18"/>
              </w:rPr>
            </w:pPr>
            <w:r w:rsidRPr="000056A4">
              <w:rPr>
                <w:sz w:val="18"/>
              </w:rPr>
              <w:t>(71</w:t>
            </w:r>
            <w:r>
              <w:rPr>
                <w:sz w:val="18"/>
              </w:rPr>
              <w:t>.0</w:t>
            </w:r>
            <w:r w:rsidRPr="000056A4">
              <w:rPr>
                <w:sz w:val="18"/>
              </w:rPr>
              <w:t>, 80.2)</w:t>
            </w:r>
          </w:p>
        </w:tc>
        <w:tc>
          <w:tcPr>
            <w:tcW w:w="567" w:type="dxa"/>
            <w:shd w:val="clear" w:color="auto" w:fill="auto"/>
          </w:tcPr>
          <w:p w14:paraId="2C7FAB39" w14:textId="77777777" w:rsidR="000056A4" w:rsidRPr="000056A4" w:rsidRDefault="000056A4" w:rsidP="00F724D0">
            <w:pPr>
              <w:jc w:val="right"/>
              <w:rPr>
                <w:sz w:val="18"/>
              </w:rPr>
            </w:pPr>
            <w:r w:rsidRPr="000056A4">
              <w:rPr>
                <w:sz w:val="18"/>
              </w:rPr>
              <w:t>27</w:t>
            </w:r>
          </w:p>
        </w:tc>
        <w:tc>
          <w:tcPr>
            <w:tcW w:w="567" w:type="dxa"/>
            <w:shd w:val="clear" w:color="auto" w:fill="auto"/>
          </w:tcPr>
          <w:p w14:paraId="38D871B7" w14:textId="77777777" w:rsidR="000056A4" w:rsidRPr="000056A4" w:rsidRDefault="000056A4" w:rsidP="00F724D0">
            <w:pPr>
              <w:jc w:val="right"/>
              <w:rPr>
                <w:sz w:val="18"/>
              </w:rPr>
            </w:pPr>
            <w:r w:rsidRPr="000056A4">
              <w:rPr>
                <w:sz w:val="18"/>
              </w:rPr>
              <w:t>9.7</w:t>
            </w:r>
          </w:p>
        </w:tc>
        <w:tc>
          <w:tcPr>
            <w:tcW w:w="1135" w:type="dxa"/>
          </w:tcPr>
          <w:p w14:paraId="628F424F" w14:textId="77777777" w:rsidR="000056A4" w:rsidRPr="000056A4" w:rsidRDefault="000056A4" w:rsidP="00F724D0">
            <w:pPr>
              <w:jc w:val="right"/>
              <w:rPr>
                <w:sz w:val="18"/>
              </w:rPr>
            </w:pPr>
            <w:r w:rsidRPr="000056A4">
              <w:rPr>
                <w:sz w:val="18"/>
              </w:rPr>
              <w:t>(6.5, 12.9)</w:t>
            </w:r>
          </w:p>
        </w:tc>
        <w:tc>
          <w:tcPr>
            <w:tcW w:w="567" w:type="dxa"/>
            <w:shd w:val="clear" w:color="auto" w:fill="auto"/>
          </w:tcPr>
          <w:p w14:paraId="2CEFBFD2" w14:textId="77777777" w:rsidR="000056A4" w:rsidRPr="000056A4" w:rsidRDefault="000056A4" w:rsidP="00F724D0">
            <w:pPr>
              <w:jc w:val="right"/>
              <w:rPr>
                <w:sz w:val="18"/>
              </w:rPr>
            </w:pPr>
            <w:r w:rsidRPr="000056A4">
              <w:rPr>
                <w:sz w:val="18"/>
              </w:rPr>
              <w:t>6</w:t>
            </w:r>
          </w:p>
        </w:tc>
        <w:tc>
          <w:tcPr>
            <w:tcW w:w="568" w:type="dxa"/>
            <w:shd w:val="clear" w:color="auto" w:fill="auto"/>
          </w:tcPr>
          <w:p w14:paraId="049E9D14" w14:textId="77777777" w:rsidR="000056A4" w:rsidRPr="000056A4" w:rsidRDefault="000056A4" w:rsidP="00F724D0">
            <w:pPr>
              <w:jc w:val="right"/>
              <w:rPr>
                <w:sz w:val="18"/>
              </w:rPr>
            </w:pPr>
            <w:r w:rsidRPr="000056A4">
              <w:rPr>
                <w:sz w:val="18"/>
              </w:rPr>
              <w:t>2.2</w:t>
            </w:r>
          </w:p>
        </w:tc>
        <w:tc>
          <w:tcPr>
            <w:tcW w:w="1137" w:type="dxa"/>
            <w:gridSpan w:val="2"/>
          </w:tcPr>
          <w:p w14:paraId="53FCCE2C" w14:textId="77777777" w:rsidR="000056A4" w:rsidRPr="000056A4" w:rsidRDefault="000056A4" w:rsidP="00F724D0">
            <w:pPr>
              <w:jc w:val="right"/>
              <w:rPr>
                <w:sz w:val="18"/>
              </w:rPr>
            </w:pPr>
            <w:r w:rsidRPr="000056A4">
              <w:rPr>
                <w:sz w:val="18"/>
              </w:rPr>
              <w:t>(0.6, 3.9)</w:t>
            </w:r>
          </w:p>
        </w:tc>
      </w:tr>
      <w:tr w:rsidR="000056A4" w:rsidRPr="00313EC6" w14:paraId="46D8F026" w14:textId="77777777" w:rsidTr="000056A4">
        <w:trPr>
          <w:jc w:val="center"/>
        </w:trPr>
        <w:tc>
          <w:tcPr>
            <w:tcW w:w="2699" w:type="dxa"/>
            <w:vAlign w:val="center"/>
          </w:tcPr>
          <w:p w14:paraId="1E4AFC29" w14:textId="77777777" w:rsidR="000056A4" w:rsidRPr="00313EC6" w:rsidRDefault="000056A4" w:rsidP="00F724D0">
            <w:pPr>
              <w:spacing w:before="20" w:after="20"/>
              <w:ind w:left="88"/>
              <w:rPr>
                <w:sz w:val="18"/>
                <w:szCs w:val="20"/>
              </w:rPr>
            </w:pPr>
            <w:r w:rsidRPr="00313EC6">
              <w:rPr>
                <w:sz w:val="18"/>
                <w:szCs w:val="20"/>
              </w:rPr>
              <w:t>Low-risk gambler</w:t>
            </w:r>
          </w:p>
        </w:tc>
        <w:tc>
          <w:tcPr>
            <w:tcW w:w="709" w:type="dxa"/>
            <w:shd w:val="clear" w:color="auto" w:fill="auto"/>
          </w:tcPr>
          <w:p w14:paraId="3DB86831" w14:textId="77777777" w:rsidR="000056A4" w:rsidRPr="000056A4" w:rsidRDefault="000056A4" w:rsidP="00F724D0">
            <w:pPr>
              <w:jc w:val="right"/>
              <w:rPr>
                <w:sz w:val="18"/>
              </w:rPr>
            </w:pPr>
            <w:r w:rsidRPr="000056A4">
              <w:rPr>
                <w:sz w:val="18"/>
              </w:rPr>
              <w:t>1</w:t>
            </w:r>
          </w:p>
        </w:tc>
        <w:tc>
          <w:tcPr>
            <w:tcW w:w="567" w:type="dxa"/>
            <w:shd w:val="clear" w:color="auto" w:fill="auto"/>
          </w:tcPr>
          <w:p w14:paraId="6681FB96" w14:textId="77777777" w:rsidR="000056A4" w:rsidRPr="000056A4" w:rsidRDefault="000056A4" w:rsidP="00F724D0">
            <w:pPr>
              <w:jc w:val="right"/>
              <w:rPr>
                <w:sz w:val="18"/>
              </w:rPr>
            </w:pPr>
            <w:r w:rsidRPr="000056A4">
              <w:rPr>
                <w:sz w:val="18"/>
              </w:rPr>
              <w:t>3.0</w:t>
            </w:r>
          </w:p>
        </w:tc>
        <w:tc>
          <w:tcPr>
            <w:tcW w:w="1276" w:type="dxa"/>
          </w:tcPr>
          <w:p w14:paraId="239D96E4" w14:textId="77777777" w:rsidR="000056A4" w:rsidRPr="000056A4" w:rsidRDefault="002F172C" w:rsidP="00F724D0">
            <w:pPr>
              <w:jc w:val="right"/>
              <w:rPr>
                <w:sz w:val="18"/>
              </w:rPr>
            </w:pPr>
            <w:r>
              <w:rPr>
                <w:sz w:val="18"/>
              </w:rPr>
              <w:t>!</w:t>
            </w:r>
          </w:p>
        </w:tc>
        <w:tc>
          <w:tcPr>
            <w:tcW w:w="709" w:type="dxa"/>
            <w:shd w:val="clear" w:color="auto" w:fill="auto"/>
          </w:tcPr>
          <w:p w14:paraId="6FB263CB" w14:textId="77777777" w:rsidR="000056A4" w:rsidRPr="000056A4" w:rsidRDefault="000056A4" w:rsidP="00F724D0">
            <w:pPr>
              <w:jc w:val="right"/>
              <w:rPr>
                <w:sz w:val="18"/>
              </w:rPr>
            </w:pPr>
            <w:r w:rsidRPr="000056A4">
              <w:rPr>
                <w:sz w:val="18"/>
              </w:rPr>
              <w:t>14</w:t>
            </w:r>
          </w:p>
        </w:tc>
        <w:tc>
          <w:tcPr>
            <w:tcW w:w="567" w:type="dxa"/>
            <w:shd w:val="clear" w:color="auto" w:fill="auto"/>
          </w:tcPr>
          <w:p w14:paraId="29AB6114" w14:textId="77777777" w:rsidR="000056A4" w:rsidRPr="000056A4" w:rsidRDefault="000056A4" w:rsidP="00F724D0">
            <w:pPr>
              <w:jc w:val="right"/>
              <w:rPr>
                <w:sz w:val="18"/>
              </w:rPr>
            </w:pPr>
            <w:r w:rsidRPr="000056A4">
              <w:rPr>
                <w:sz w:val="18"/>
              </w:rPr>
              <w:t>45.2</w:t>
            </w:r>
          </w:p>
        </w:tc>
        <w:tc>
          <w:tcPr>
            <w:tcW w:w="1134" w:type="dxa"/>
          </w:tcPr>
          <w:p w14:paraId="2EB7F955" w14:textId="77777777" w:rsidR="000056A4" w:rsidRPr="000056A4" w:rsidRDefault="000056A4" w:rsidP="00F724D0">
            <w:pPr>
              <w:jc w:val="right"/>
              <w:rPr>
                <w:sz w:val="18"/>
              </w:rPr>
            </w:pPr>
            <w:r w:rsidRPr="000056A4">
              <w:rPr>
                <w:sz w:val="18"/>
              </w:rPr>
              <w:t>(27.9, 62.5)</w:t>
            </w:r>
          </w:p>
        </w:tc>
        <w:tc>
          <w:tcPr>
            <w:tcW w:w="567" w:type="dxa"/>
            <w:shd w:val="clear" w:color="auto" w:fill="auto"/>
          </w:tcPr>
          <w:p w14:paraId="62E50D24" w14:textId="77777777" w:rsidR="000056A4" w:rsidRPr="000056A4" w:rsidRDefault="000056A4" w:rsidP="00F724D0">
            <w:pPr>
              <w:jc w:val="right"/>
              <w:rPr>
                <w:sz w:val="18"/>
              </w:rPr>
            </w:pPr>
            <w:r w:rsidRPr="000056A4">
              <w:rPr>
                <w:sz w:val="18"/>
              </w:rPr>
              <w:t>11</w:t>
            </w:r>
          </w:p>
        </w:tc>
        <w:tc>
          <w:tcPr>
            <w:tcW w:w="567" w:type="dxa"/>
            <w:shd w:val="clear" w:color="auto" w:fill="auto"/>
          </w:tcPr>
          <w:p w14:paraId="08360110" w14:textId="77777777" w:rsidR="000056A4" w:rsidRPr="000056A4" w:rsidRDefault="000056A4" w:rsidP="00F724D0">
            <w:pPr>
              <w:jc w:val="right"/>
              <w:rPr>
                <w:sz w:val="18"/>
              </w:rPr>
            </w:pPr>
            <w:r w:rsidRPr="000056A4">
              <w:rPr>
                <w:sz w:val="18"/>
              </w:rPr>
              <w:t>37.7</w:t>
            </w:r>
          </w:p>
        </w:tc>
        <w:tc>
          <w:tcPr>
            <w:tcW w:w="1135" w:type="dxa"/>
          </w:tcPr>
          <w:p w14:paraId="1AD37445" w14:textId="77777777" w:rsidR="000056A4" w:rsidRPr="000056A4" w:rsidRDefault="000056A4" w:rsidP="00F724D0">
            <w:pPr>
              <w:jc w:val="right"/>
              <w:rPr>
                <w:sz w:val="18"/>
              </w:rPr>
            </w:pPr>
            <w:r w:rsidRPr="000056A4">
              <w:rPr>
                <w:sz w:val="18"/>
              </w:rPr>
              <w:t>(20.5, 54.9)</w:t>
            </w:r>
          </w:p>
        </w:tc>
        <w:tc>
          <w:tcPr>
            <w:tcW w:w="567" w:type="dxa"/>
            <w:shd w:val="clear" w:color="auto" w:fill="auto"/>
          </w:tcPr>
          <w:p w14:paraId="3D202A0C" w14:textId="77777777" w:rsidR="000056A4" w:rsidRPr="000056A4" w:rsidRDefault="000056A4" w:rsidP="00F724D0">
            <w:pPr>
              <w:jc w:val="right"/>
              <w:rPr>
                <w:sz w:val="18"/>
              </w:rPr>
            </w:pPr>
            <w:r w:rsidRPr="000056A4">
              <w:rPr>
                <w:sz w:val="18"/>
              </w:rPr>
              <w:t>4</w:t>
            </w:r>
          </w:p>
        </w:tc>
        <w:tc>
          <w:tcPr>
            <w:tcW w:w="568" w:type="dxa"/>
            <w:shd w:val="clear" w:color="auto" w:fill="auto"/>
          </w:tcPr>
          <w:p w14:paraId="15F9E3EE" w14:textId="77777777" w:rsidR="000056A4" w:rsidRPr="000056A4" w:rsidRDefault="000056A4" w:rsidP="00F724D0">
            <w:pPr>
              <w:jc w:val="right"/>
              <w:rPr>
                <w:sz w:val="18"/>
              </w:rPr>
            </w:pPr>
            <w:r w:rsidRPr="000056A4">
              <w:rPr>
                <w:sz w:val="18"/>
              </w:rPr>
              <w:t>14.0</w:t>
            </w:r>
          </w:p>
        </w:tc>
        <w:tc>
          <w:tcPr>
            <w:tcW w:w="1137" w:type="dxa"/>
            <w:gridSpan w:val="2"/>
          </w:tcPr>
          <w:p w14:paraId="2EA9E592" w14:textId="77777777" w:rsidR="000056A4" w:rsidRPr="000056A4" w:rsidRDefault="000056A4" w:rsidP="00F724D0">
            <w:pPr>
              <w:jc w:val="right"/>
              <w:rPr>
                <w:sz w:val="18"/>
              </w:rPr>
            </w:pPr>
            <w:r w:rsidRPr="000056A4">
              <w:rPr>
                <w:sz w:val="18"/>
              </w:rPr>
              <w:t>(0</w:t>
            </w:r>
            <w:r>
              <w:rPr>
                <w:sz w:val="18"/>
              </w:rPr>
              <w:t>.0</w:t>
            </w:r>
            <w:r w:rsidRPr="000056A4">
              <w:rPr>
                <w:sz w:val="18"/>
              </w:rPr>
              <w:t>, 28.1)</w:t>
            </w:r>
          </w:p>
        </w:tc>
      </w:tr>
      <w:tr w:rsidR="000056A4" w:rsidRPr="00313EC6" w14:paraId="2231C68D" w14:textId="77777777" w:rsidTr="000056A4">
        <w:trPr>
          <w:jc w:val="center"/>
        </w:trPr>
        <w:tc>
          <w:tcPr>
            <w:tcW w:w="2699" w:type="dxa"/>
            <w:vAlign w:val="center"/>
          </w:tcPr>
          <w:p w14:paraId="0B81C10B" w14:textId="77777777" w:rsidR="000056A4" w:rsidRPr="00313EC6" w:rsidRDefault="000056A4" w:rsidP="00F724D0">
            <w:pPr>
              <w:spacing w:before="20" w:after="20"/>
              <w:ind w:left="88"/>
              <w:rPr>
                <w:sz w:val="18"/>
                <w:szCs w:val="20"/>
              </w:rPr>
            </w:pPr>
            <w:r w:rsidRPr="00313EC6">
              <w:rPr>
                <w:sz w:val="18"/>
                <w:szCs w:val="20"/>
              </w:rPr>
              <w:t>Moderate-risk</w:t>
            </w:r>
            <w:r>
              <w:rPr>
                <w:sz w:val="18"/>
                <w:szCs w:val="20"/>
              </w:rPr>
              <w:t>/problem</w:t>
            </w:r>
            <w:r w:rsidRPr="00313EC6">
              <w:rPr>
                <w:sz w:val="18"/>
                <w:szCs w:val="20"/>
              </w:rPr>
              <w:t xml:space="preserve"> gambler</w:t>
            </w:r>
          </w:p>
        </w:tc>
        <w:tc>
          <w:tcPr>
            <w:tcW w:w="709" w:type="dxa"/>
            <w:shd w:val="clear" w:color="auto" w:fill="auto"/>
          </w:tcPr>
          <w:p w14:paraId="0BD7714E" w14:textId="77777777" w:rsidR="000056A4" w:rsidRPr="000056A4" w:rsidRDefault="000056A4" w:rsidP="00F724D0">
            <w:pPr>
              <w:jc w:val="right"/>
              <w:rPr>
                <w:sz w:val="18"/>
              </w:rPr>
            </w:pPr>
            <w:r w:rsidRPr="000056A4">
              <w:rPr>
                <w:sz w:val="18"/>
              </w:rPr>
              <w:t>0</w:t>
            </w:r>
          </w:p>
        </w:tc>
        <w:tc>
          <w:tcPr>
            <w:tcW w:w="567" w:type="dxa"/>
            <w:shd w:val="clear" w:color="auto" w:fill="auto"/>
          </w:tcPr>
          <w:p w14:paraId="63227A8D" w14:textId="77777777" w:rsidR="000056A4" w:rsidRPr="000056A4" w:rsidRDefault="000056A4" w:rsidP="00F724D0">
            <w:pPr>
              <w:jc w:val="right"/>
              <w:rPr>
                <w:sz w:val="18"/>
              </w:rPr>
            </w:pPr>
            <w:r w:rsidRPr="000056A4">
              <w:rPr>
                <w:sz w:val="18"/>
              </w:rPr>
              <w:t>-</w:t>
            </w:r>
          </w:p>
        </w:tc>
        <w:tc>
          <w:tcPr>
            <w:tcW w:w="1276" w:type="dxa"/>
          </w:tcPr>
          <w:p w14:paraId="3CC45C6C" w14:textId="77777777" w:rsidR="000056A4" w:rsidRPr="000056A4" w:rsidRDefault="000056A4" w:rsidP="00F724D0">
            <w:pPr>
              <w:jc w:val="right"/>
              <w:rPr>
                <w:sz w:val="18"/>
              </w:rPr>
            </w:pPr>
          </w:p>
        </w:tc>
        <w:tc>
          <w:tcPr>
            <w:tcW w:w="709" w:type="dxa"/>
            <w:shd w:val="clear" w:color="auto" w:fill="auto"/>
          </w:tcPr>
          <w:p w14:paraId="541A75F9" w14:textId="77777777" w:rsidR="000056A4" w:rsidRPr="000056A4" w:rsidRDefault="000056A4" w:rsidP="00F724D0">
            <w:pPr>
              <w:jc w:val="right"/>
              <w:rPr>
                <w:sz w:val="18"/>
              </w:rPr>
            </w:pPr>
            <w:r w:rsidRPr="000056A4">
              <w:rPr>
                <w:sz w:val="18"/>
              </w:rPr>
              <w:t>2</w:t>
            </w:r>
          </w:p>
        </w:tc>
        <w:tc>
          <w:tcPr>
            <w:tcW w:w="567" w:type="dxa"/>
            <w:shd w:val="clear" w:color="auto" w:fill="auto"/>
          </w:tcPr>
          <w:p w14:paraId="162CAA06" w14:textId="77777777" w:rsidR="000056A4" w:rsidRPr="000056A4" w:rsidRDefault="000056A4" w:rsidP="00F724D0">
            <w:pPr>
              <w:jc w:val="right"/>
              <w:rPr>
                <w:sz w:val="18"/>
              </w:rPr>
            </w:pPr>
            <w:r w:rsidRPr="000056A4">
              <w:rPr>
                <w:sz w:val="18"/>
              </w:rPr>
              <w:t>10.5</w:t>
            </w:r>
          </w:p>
        </w:tc>
        <w:tc>
          <w:tcPr>
            <w:tcW w:w="1134" w:type="dxa"/>
          </w:tcPr>
          <w:p w14:paraId="4A83767B" w14:textId="77777777" w:rsidR="000056A4" w:rsidRPr="000056A4" w:rsidRDefault="002F172C" w:rsidP="00F724D0">
            <w:pPr>
              <w:jc w:val="right"/>
              <w:rPr>
                <w:sz w:val="18"/>
              </w:rPr>
            </w:pPr>
            <w:r>
              <w:rPr>
                <w:sz w:val="18"/>
              </w:rPr>
              <w:t>!</w:t>
            </w:r>
          </w:p>
        </w:tc>
        <w:tc>
          <w:tcPr>
            <w:tcW w:w="567" w:type="dxa"/>
            <w:shd w:val="clear" w:color="auto" w:fill="auto"/>
          </w:tcPr>
          <w:p w14:paraId="30651F68" w14:textId="77777777" w:rsidR="000056A4" w:rsidRPr="000056A4" w:rsidRDefault="000056A4" w:rsidP="00F724D0">
            <w:pPr>
              <w:jc w:val="right"/>
              <w:rPr>
                <w:sz w:val="18"/>
              </w:rPr>
            </w:pPr>
            <w:r w:rsidRPr="000056A4">
              <w:rPr>
                <w:sz w:val="18"/>
              </w:rPr>
              <w:t>6</w:t>
            </w:r>
          </w:p>
        </w:tc>
        <w:tc>
          <w:tcPr>
            <w:tcW w:w="567" w:type="dxa"/>
            <w:shd w:val="clear" w:color="auto" w:fill="auto"/>
          </w:tcPr>
          <w:p w14:paraId="3272A0A3" w14:textId="77777777" w:rsidR="000056A4" w:rsidRPr="000056A4" w:rsidRDefault="000056A4" w:rsidP="00F724D0">
            <w:pPr>
              <w:jc w:val="right"/>
              <w:rPr>
                <w:sz w:val="18"/>
              </w:rPr>
            </w:pPr>
            <w:r w:rsidRPr="000056A4">
              <w:rPr>
                <w:sz w:val="18"/>
              </w:rPr>
              <w:t>27.1</w:t>
            </w:r>
          </w:p>
        </w:tc>
        <w:tc>
          <w:tcPr>
            <w:tcW w:w="1135" w:type="dxa"/>
          </w:tcPr>
          <w:p w14:paraId="72896E78" w14:textId="77777777" w:rsidR="000056A4" w:rsidRPr="000056A4" w:rsidRDefault="000056A4" w:rsidP="00F724D0">
            <w:pPr>
              <w:jc w:val="right"/>
              <w:rPr>
                <w:sz w:val="18"/>
              </w:rPr>
            </w:pPr>
            <w:r w:rsidRPr="000056A4">
              <w:rPr>
                <w:sz w:val="18"/>
              </w:rPr>
              <w:t>(8.2, 46.1)</w:t>
            </w:r>
          </w:p>
        </w:tc>
        <w:tc>
          <w:tcPr>
            <w:tcW w:w="567" w:type="dxa"/>
            <w:shd w:val="clear" w:color="auto" w:fill="auto"/>
          </w:tcPr>
          <w:p w14:paraId="1D5FE8F5" w14:textId="77777777" w:rsidR="000056A4" w:rsidRPr="000056A4" w:rsidRDefault="000056A4" w:rsidP="00F724D0">
            <w:pPr>
              <w:jc w:val="right"/>
              <w:rPr>
                <w:sz w:val="18"/>
              </w:rPr>
            </w:pPr>
            <w:r w:rsidRPr="000056A4">
              <w:rPr>
                <w:sz w:val="18"/>
              </w:rPr>
              <w:t>13</w:t>
            </w:r>
          </w:p>
        </w:tc>
        <w:tc>
          <w:tcPr>
            <w:tcW w:w="568" w:type="dxa"/>
            <w:shd w:val="clear" w:color="auto" w:fill="auto"/>
          </w:tcPr>
          <w:p w14:paraId="0378C01F" w14:textId="77777777" w:rsidR="000056A4" w:rsidRPr="000056A4" w:rsidRDefault="000056A4" w:rsidP="00F724D0">
            <w:pPr>
              <w:jc w:val="right"/>
              <w:rPr>
                <w:sz w:val="18"/>
              </w:rPr>
            </w:pPr>
            <w:r w:rsidRPr="000056A4">
              <w:rPr>
                <w:sz w:val="18"/>
              </w:rPr>
              <w:t>62.4</w:t>
            </w:r>
          </w:p>
        </w:tc>
        <w:tc>
          <w:tcPr>
            <w:tcW w:w="1137" w:type="dxa"/>
            <w:gridSpan w:val="2"/>
          </w:tcPr>
          <w:p w14:paraId="4A6F12D1" w14:textId="77777777" w:rsidR="000056A4" w:rsidRPr="000056A4" w:rsidRDefault="000056A4" w:rsidP="00F724D0">
            <w:pPr>
              <w:jc w:val="right"/>
              <w:rPr>
                <w:sz w:val="18"/>
              </w:rPr>
            </w:pPr>
            <w:r w:rsidRPr="000056A4">
              <w:rPr>
                <w:sz w:val="18"/>
              </w:rPr>
              <w:t>(43.7, 81</w:t>
            </w:r>
            <w:r w:rsidR="00881C7B">
              <w:rPr>
                <w:sz w:val="18"/>
              </w:rPr>
              <w:t>.0</w:t>
            </w:r>
            <w:r w:rsidRPr="000056A4">
              <w:rPr>
                <w:sz w:val="18"/>
              </w:rPr>
              <w:t>)</w:t>
            </w:r>
          </w:p>
        </w:tc>
      </w:tr>
      <w:tr w:rsidR="00782DA5" w:rsidRPr="00313EC6" w14:paraId="14345086" w14:textId="77777777" w:rsidTr="000056A4">
        <w:trPr>
          <w:jc w:val="center"/>
        </w:trPr>
        <w:tc>
          <w:tcPr>
            <w:tcW w:w="3975" w:type="dxa"/>
            <w:gridSpan w:val="3"/>
            <w:tcBorders>
              <w:top w:val="single" w:sz="4" w:space="0" w:color="auto"/>
            </w:tcBorders>
            <w:shd w:val="clear" w:color="auto" w:fill="auto"/>
            <w:vAlign w:val="center"/>
          </w:tcPr>
          <w:p w14:paraId="6A9AD4E7" w14:textId="77777777" w:rsidR="00782DA5" w:rsidRPr="00313EC6" w:rsidRDefault="00782DA5" w:rsidP="00F724D0">
            <w:pPr>
              <w:spacing w:before="20" w:after="20"/>
              <w:rPr>
                <w:b/>
                <w:color w:val="000000"/>
                <w:sz w:val="18"/>
                <w:szCs w:val="20"/>
              </w:rPr>
            </w:pPr>
            <w:r w:rsidRPr="00313EC6">
              <w:rPr>
                <w:b/>
                <w:color w:val="000000"/>
                <w:sz w:val="18"/>
                <w:szCs w:val="20"/>
              </w:rPr>
              <w:t>Wave 2 to Wave 3</w:t>
            </w:r>
          </w:p>
        </w:tc>
        <w:tc>
          <w:tcPr>
            <w:tcW w:w="1276" w:type="dxa"/>
            <w:tcBorders>
              <w:top w:val="single" w:sz="4" w:space="0" w:color="auto"/>
            </w:tcBorders>
            <w:vAlign w:val="center"/>
          </w:tcPr>
          <w:p w14:paraId="50E69F46" w14:textId="77777777" w:rsidR="00782DA5" w:rsidRPr="00313EC6" w:rsidRDefault="00782DA5" w:rsidP="00F724D0">
            <w:pPr>
              <w:spacing w:before="20" w:after="20"/>
              <w:jc w:val="right"/>
              <w:rPr>
                <w:color w:val="000000"/>
                <w:sz w:val="18"/>
                <w:szCs w:val="20"/>
              </w:rPr>
            </w:pPr>
          </w:p>
        </w:tc>
        <w:tc>
          <w:tcPr>
            <w:tcW w:w="709" w:type="dxa"/>
            <w:tcBorders>
              <w:top w:val="single" w:sz="4" w:space="0" w:color="auto"/>
            </w:tcBorders>
            <w:shd w:val="clear" w:color="auto" w:fill="auto"/>
            <w:vAlign w:val="center"/>
          </w:tcPr>
          <w:p w14:paraId="3A7915D9" w14:textId="77777777" w:rsidR="00782DA5" w:rsidRPr="00313EC6" w:rsidRDefault="00782DA5" w:rsidP="00F724D0">
            <w:pPr>
              <w:spacing w:before="20" w:after="20"/>
              <w:jc w:val="right"/>
              <w:rPr>
                <w:color w:val="000000"/>
                <w:sz w:val="18"/>
                <w:szCs w:val="20"/>
              </w:rPr>
            </w:pPr>
          </w:p>
        </w:tc>
        <w:tc>
          <w:tcPr>
            <w:tcW w:w="567" w:type="dxa"/>
            <w:tcBorders>
              <w:top w:val="single" w:sz="4" w:space="0" w:color="auto"/>
            </w:tcBorders>
            <w:shd w:val="clear" w:color="auto" w:fill="auto"/>
            <w:vAlign w:val="center"/>
          </w:tcPr>
          <w:p w14:paraId="5248025E" w14:textId="77777777" w:rsidR="00782DA5" w:rsidRPr="00313EC6" w:rsidRDefault="00782DA5" w:rsidP="00F724D0">
            <w:pPr>
              <w:spacing w:before="20" w:after="20"/>
              <w:jc w:val="right"/>
              <w:rPr>
                <w:color w:val="000000"/>
                <w:sz w:val="18"/>
                <w:szCs w:val="20"/>
              </w:rPr>
            </w:pPr>
          </w:p>
        </w:tc>
        <w:tc>
          <w:tcPr>
            <w:tcW w:w="1134" w:type="dxa"/>
            <w:tcBorders>
              <w:top w:val="single" w:sz="4" w:space="0" w:color="auto"/>
            </w:tcBorders>
            <w:vAlign w:val="center"/>
          </w:tcPr>
          <w:p w14:paraId="2F8FB680" w14:textId="77777777" w:rsidR="00782DA5" w:rsidRPr="00313EC6" w:rsidRDefault="00782DA5" w:rsidP="00F724D0">
            <w:pPr>
              <w:jc w:val="right"/>
              <w:rPr>
                <w:rFonts w:ascii="Calibri" w:hAnsi="Calibri"/>
                <w:color w:val="000000"/>
                <w:sz w:val="18"/>
                <w:szCs w:val="22"/>
              </w:rPr>
            </w:pPr>
          </w:p>
        </w:tc>
        <w:tc>
          <w:tcPr>
            <w:tcW w:w="567" w:type="dxa"/>
            <w:tcBorders>
              <w:top w:val="single" w:sz="4" w:space="0" w:color="auto"/>
            </w:tcBorders>
            <w:shd w:val="clear" w:color="auto" w:fill="auto"/>
            <w:vAlign w:val="center"/>
          </w:tcPr>
          <w:p w14:paraId="37592AFC" w14:textId="77777777" w:rsidR="00782DA5" w:rsidRPr="00313EC6" w:rsidRDefault="00782DA5" w:rsidP="00F724D0">
            <w:pPr>
              <w:jc w:val="right"/>
              <w:rPr>
                <w:rFonts w:ascii="Calibri" w:hAnsi="Calibri"/>
                <w:color w:val="000000"/>
                <w:sz w:val="18"/>
                <w:szCs w:val="22"/>
              </w:rPr>
            </w:pPr>
          </w:p>
        </w:tc>
        <w:tc>
          <w:tcPr>
            <w:tcW w:w="567" w:type="dxa"/>
            <w:tcBorders>
              <w:top w:val="single" w:sz="4" w:space="0" w:color="auto"/>
            </w:tcBorders>
            <w:shd w:val="clear" w:color="auto" w:fill="auto"/>
            <w:vAlign w:val="center"/>
          </w:tcPr>
          <w:p w14:paraId="72D2E142" w14:textId="77777777" w:rsidR="00782DA5" w:rsidRPr="00313EC6" w:rsidRDefault="00782DA5" w:rsidP="00F724D0">
            <w:pPr>
              <w:jc w:val="right"/>
              <w:rPr>
                <w:sz w:val="18"/>
                <w:szCs w:val="20"/>
              </w:rPr>
            </w:pPr>
          </w:p>
        </w:tc>
        <w:tc>
          <w:tcPr>
            <w:tcW w:w="1135" w:type="dxa"/>
            <w:tcBorders>
              <w:top w:val="single" w:sz="4" w:space="0" w:color="auto"/>
            </w:tcBorders>
            <w:vAlign w:val="center"/>
          </w:tcPr>
          <w:p w14:paraId="1F188768" w14:textId="77777777" w:rsidR="00782DA5" w:rsidRPr="00313EC6" w:rsidRDefault="00782DA5" w:rsidP="00F724D0">
            <w:pPr>
              <w:jc w:val="right"/>
              <w:rPr>
                <w:rFonts w:ascii="Calibri" w:hAnsi="Calibri"/>
                <w:color w:val="000000"/>
                <w:sz w:val="16"/>
                <w:szCs w:val="22"/>
              </w:rPr>
            </w:pPr>
          </w:p>
        </w:tc>
        <w:tc>
          <w:tcPr>
            <w:tcW w:w="567" w:type="dxa"/>
            <w:tcBorders>
              <w:top w:val="single" w:sz="4" w:space="0" w:color="auto"/>
            </w:tcBorders>
            <w:shd w:val="clear" w:color="auto" w:fill="auto"/>
            <w:vAlign w:val="center"/>
          </w:tcPr>
          <w:p w14:paraId="0B0F5FF3" w14:textId="77777777" w:rsidR="00782DA5" w:rsidRPr="00313EC6" w:rsidRDefault="00782DA5" w:rsidP="00F724D0">
            <w:pPr>
              <w:jc w:val="right"/>
              <w:rPr>
                <w:rFonts w:ascii="Calibri" w:hAnsi="Calibri"/>
                <w:color w:val="000000"/>
                <w:sz w:val="18"/>
                <w:szCs w:val="22"/>
              </w:rPr>
            </w:pPr>
          </w:p>
        </w:tc>
        <w:tc>
          <w:tcPr>
            <w:tcW w:w="568" w:type="dxa"/>
            <w:tcBorders>
              <w:top w:val="single" w:sz="4" w:space="0" w:color="auto"/>
            </w:tcBorders>
            <w:shd w:val="clear" w:color="auto" w:fill="auto"/>
            <w:vAlign w:val="center"/>
          </w:tcPr>
          <w:p w14:paraId="67E0A579" w14:textId="77777777" w:rsidR="00782DA5" w:rsidRPr="00313EC6" w:rsidRDefault="00782DA5" w:rsidP="00F724D0">
            <w:pPr>
              <w:jc w:val="right"/>
              <w:rPr>
                <w:sz w:val="18"/>
                <w:szCs w:val="20"/>
              </w:rPr>
            </w:pPr>
          </w:p>
        </w:tc>
        <w:tc>
          <w:tcPr>
            <w:tcW w:w="1137" w:type="dxa"/>
            <w:gridSpan w:val="2"/>
            <w:tcBorders>
              <w:top w:val="single" w:sz="4" w:space="0" w:color="auto"/>
            </w:tcBorders>
            <w:vAlign w:val="center"/>
          </w:tcPr>
          <w:p w14:paraId="3038F5A4" w14:textId="77777777" w:rsidR="00782DA5" w:rsidRPr="00313EC6" w:rsidRDefault="00782DA5" w:rsidP="00F724D0">
            <w:pPr>
              <w:jc w:val="right"/>
              <w:rPr>
                <w:rFonts w:ascii="Calibri" w:hAnsi="Calibri"/>
                <w:color w:val="000000"/>
                <w:sz w:val="18"/>
                <w:szCs w:val="22"/>
              </w:rPr>
            </w:pPr>
          </w:p>
        </w:tc>
      </w:tr>
      <w:tr w:rsidR="000056A4" w:rsidRPr="00313EC6" w14:paraId="3215713A" w14:textId="77777777" w:rsidTr="000056A4">
        <w:trPr>
          <w:jc w:val="center"/>
        </w:trPr>
        <w:tc>
          <w:tcPr>
            <w:tcW w:w="2699" w:type="dxa"/>
            <w:vAlign w:val="center"/>
          </w:tcPr>
          <w:p w14:paraId="3601E425" w14:textId="77777777" w:rsidR="000056A4" w:rsidRPr="00313EC6" w:rsidRDefault="000056A4" w:rsidP="00F724D0">
            <w:pPr>
              <w:spacing w:before="20" w:after="20"/>
              <w:ind w:left="88"/>
              <w:rPr>
                <w:sz w:val="18"/>
                <w:szCs w:val="20"/>
              </w:rPr>
            </w:pPr>
            <w:r w:rsidRPr="00313EC6">
              <w:rPr>
                <w:sz w:val="18"/>
                <w:szCs w:val="20"/>
              </w:rPr>
              <w:t>Non-gambler</w:t>
            </w:r>
          </w:p>
        </w:tc>
        <w:tc>
          <w:tcPr>
            <w:tcW w:w="709" w:type="dxa"/>
            <w:shd w:val="clear" w:color="auto" w:fill="auto"/>
          </w:tcPr>
          <w:p w14:paraId="019A3384" w14:textId="77777777" w:rsidR="000056A4" w:rsidRPr="000056A4" w:rsidRDefault="000056A4" w:rsidP="00F724D0">
            <w:pPr>
              <w:jc w:val="right"/>
              <w:rPr>
                <w:sz w:val="18"/>
              </w:rPr>
            </w:pPr>
            <w:r w:rsidRPr="000056A4">
              <w:rPr>
                <w:sz w:val="18"/>
              </w:rPr>
              <w:t>32</w:t>
            </w:r>
          </w:p>
        </w:tc>
        <w:tc>
          <w:tcPr>
            <w:tcW w:w="567" w:type="dxa"/>
            <w:shd w:val="clear" w:color="auto" w:fill="auto"/>
          </w:tcPr>
          <w:p w14:paraId="13B6FACA" w14:textId="77777777" w:rsidR="000056A4" w:rsidRPr="000056A4" w:rsidRDefault="000056A4" w:rsidP="00F724D0">
            <w:pPr>
              <w:jc w:val="right"/>
              <w:rPr>
                <w:sz w:val="18"/>
              </w:rPr>
            </w:pPr>
            <w:r w:rsidRPr="000056A4">
              <w:rPr>
                <w:sz w:val="18"/>
              </w:rPr>
              <w:t>55.1</w:t>
            </w:r>
          </w:p>
        </w:tc>
        <w:tc>
          <w:tcPr>
            <w:tcW w:w="1276" w:type="dxa"/>
          </w:tcPr>
          <w:p w14:paraId="6DBFD4D3" w14:textId="77777777" w:rsidR="000056A4" w:rsidRPr="000056A4" w:rsidRDefault="000056A4" w:rsidP="00F724D0">
            <w:pPr>
              <w:jc w:val="right"/>
              <w:rPr>
                <w:sz w:val="18"/>
              </w:rPr>
            </w:pPr>
            <w:r w:rsidRPr="000056A4">
              <w:rPr>
                <w:sz w:val="18"/>
              </w:rPr>
              <w:t>(40.4, 69.8)</w:t>
            </w:r>
          </w:p>
        </w:tc>
        <w:tc>
          <w:tcPr>
            <w:tcW w:w="709" w:type="dxa"/>
            <w:shd w:val="clear" w:color="auto" w:fill="auto"/>
          </w:tcPr>
          <w:p w14:paraId="735485E4" w14:textId="77777777" w:rsidR="000056A4" w:rsidRPr="000056A4" w:rsidRDefault="000056A4" w:rsidP="00F724D0">
            <w:pPr>
              <w:jc w:val="right"/>
              <w:rPr>
                <w:sz w:val="18"/>
              </w:rPr>
            </w:pPr>
            <w:r w:rsidRPr="000056A4">
              <w:rPr>
                <w:sz w:val="18"/>
              </w:rPr>
              <w:t>23</w:t>
            </w:r>
          </w:p>
        </w:tc>
        <w:tc>
          <w:tcPr>
            <w:tcW w:w="567" w:type="dxa"/>
            <w:shd w:val="clear" w:color="auto" w:fill="auto"/>
          </w:tcPr>
          <w:p w14:paraId="0CA17F55" w14:textId="77777777" w:rsidR="000056A4" w:rsidRPr="000056A4" w:rsidRDefault="000056A4" w:rsidP="00F724D0">
            <w:pPr>
              <w:jc w:val="right"/>
              <w:rPr>
                <w:sz w:val="18"/>
              </w:rPr>
            </w:pPr>
            <w:r w:rsidRPr="000056A4">
              <w:rPr>
                <w:sz w:val="18"/>
              </w:rPr>
              <w:t>40.2</w:t>
            </w:r>
          </w:p>
        </w:tc>
        <w:tc>
          <w:tcPr>
            <w:tcW w:w="1134" w:type="dxa"/>
          </w:tcPr>
          <w:p w14:paraId="2A9E8AF7" w14:textId="77777777" w:rsidR="000056A4" w:rsidRPr="000056A4" w:rsidRDefault="000056A4" w:rsidP="00F724D0">
            <w:pPr>
              <w:jc w:val="right"/>
              <w:rPr>
                <w:sz w:val="18"/>
              </w:rPr>
            </w:pPr>
            <w:r w:rsidRPr="000056A4">
              <w:rPr>
                <w:sz w:val="18"/>
              </w:rPr>
              <w:t>(25.8, 54.6)</w:t>
            </w:r>
          </w:p>
        </w:tc>
        <w:tc>
          <w:tcPr>
            <w:tcW w:w="567" w:type="dxa"/>
            <w:shd w:val="clear" w:color="auto" w:fill="auto"/>
          </w:tcPr>
          <w:p w14:paraId="1F45EA38" w14:textId="77777777" w:rsidR="000056A4" w:rsidRPr="000056A4" w:rsidRDefault="000056A4" w:rsidP="00F724D0">
            <w:pPr>
              <w:jc w:val="right"/>
              <w:rPr>
                <w:sz w:val="18"/>
              </w:rPr>
            </w:pPr>
            <w:r w:rsidRPr="000056A4">
              <w:rPr>
                <w:sz w:val="18"/>
              </w:rPr>
              <w:t>2</w:t>
            </w:r>
          </w:p>
        </w:tc>
        <w:tc>
          <w:tcPr>
            <w:tcW w:w="567" w:type="dxa"/>
            <w:shd w:val="clear" w:color="auto" w:fill="auto"/>
          </w:tcPr>
          <w:p w14:paraId="58371A91" w14:textId="77777777" w:rsidR="000056A4" w:rsidRPr="000056A4" w:rsidRDefault="000056A4" w:rsidP="00F724D0">
            <w:pPr>
              <w:jc w:val="right"/>
              <w:rPr>
                <w:sz w:val="18"/>
              </w:rPr>
            </w:pPr>
            <w:r w:rsidRPr="000056A4">
              <w:rPr>
                <w:sz w:val="18"/>
              </w:rPr>
              <w:t>4.2</w:t>
            </w:r>
          </w:p>
        </w:tc>
        <w:tc>
          <w:tcPr>
            <w:tcW w:w="1135" w:type="dxa"/>
          </w:tcPr>
          <w:p w14:paraId="55031DAB" w14:textId="77777777" w:rsidR="000056A4" w:rsidRPr="000056A4" w:rsidRDefault="002F172C" w:rsidP="00F724D0">
            <w:pPr>
              <w:jc w:val="right"/>
              <w:rPr>
                <w:sz w:val="18"/>
              </w:rPr>
            </w:pPr>
            <w:r>
              <w:rPr>
                <w:sz w:val="18"/>
              </w:rPr>
              <w:t>!</w:t>
            </w:r>
          </w:p>
        </w:tc>
        <w:tc>
          <w:tcPr>
            <w:tcW w:w="567" w:type="dxa"/>
            <w:shd w:val="clear" w:color="auto" w:fill="auto"/>
          </w:tcPr>
          <w:p w14:paraId="7395FFA9" w14:textId="77777777" w:rsidR="000056A4" w:rsidRPr="000056A4" w:rsidRDefault="000056A4" w:rsidP="00F724D0">
            <w:pPr>
              <w:jc w:val="right"/>
              <w:rPr>
                <w:sz w:val="18"/>
              </w:rPr>
            </w:pPr>
            <w:r w:rsidRPr="000056A4">
              <w:rPr>
                <w:sz w:val="18"/>
              </w:rPr>
              <w:t>0</w:t>
            </w:r>
          </w:p>
        </w:tc>
        <w:tc>
          <w:tcPr>
            <w:tcW w:w="568" w:type="dxa"/>
            <w:shd w:val="clear" w:color="auto" w:fill="auto"/>
          </w:tcPr>
          <w:p w14:paraId="5C7DEEBA" w14:textId="77777777" w:rsidR="000056A4" w:rsidRPr="000056A4" w:rsidRDefault="000056A4" w:rsidP="00F724D0">
            <w:pPr>
              <w:jc w:val="right"/>
              <w:rPr>
                <w:sz w:val="18"/>
              </w:rPr>
            </w:pPr>
            <w:r w:rsidRPr="000056A4">
              <w:rPr>
                <w:sz w:val="18"/>
              </w:rPr>
              <w:t>0.6</w:t>
            </w:r>
          </w:p>
        </w:tc>
        <w:tc>
          <w:tcPr>
            <w:tcW w:w="1137" w:type="dxa"/>
            <w:gridSpan w:val="2"/>
          </w:tcPr>
          <w:p w14:paraId="663C4AFB" w14:textId="77777777" w:rsidR="000056A4" w:rsidRPr="000056A4" w:rsidRDefault="002F172C" w:rsidP="00F724D0">
            <w:pPr>
              <w:jc w:val="right"/>
              <w:rPr>
                <w:sz w:val="18"/>
              </w:rPr>
            </w:pPr>
            <w:r>
              <w:rPr>
                <w:sz w:val="18"/>
              </w:rPr>
              <w:t>!</w:t>
            </w:r>
          </w:p>
        </w:tc>
      </w:tr>
      <w:tr w:rsidR="000056A4" w:rsidRPr="00313EC6" w14:paraId="25848396" w14:textId="77777777" w:rsidTr="000056A4">
        <w:trPr>
          <w:jc w:val="center"/>
        </w:trPr>
        <w:tc>
          <w:tcPr>
            <w:tcW w:w="2699" w:type="dxa"/>
            <w:vAlign w:val="center"/>
          </w:tcPr>
          <w:p w14:paraId="7BA58313" w14:textId="77777777" w:rsidR="000056A4" w:rsidRPr="00313EC6" w:rsidRDefault="000056A4" w:rsidP="00F724D0">
            <w:pPr>
              <w:spacing w:before="20" w:after="20"/>
              <w:ind w:left="88"/>
              <w:rPr>
                <w:sz w:val="18"/>
                <w:szCs w:val="20"/>
              </w:rPr>
            </w:pPr>
            <w:r w:rsidRPr="00313EC6">
              <w:rPr>
                <w:sz w:val="18"/>
                <w:szCs w:val="20"/>
              </w:rPr>
              <w:t>Non-problem gambler</w:t>
            </w:r>
          </w:p>
        </w:tc>
        <w:tc>
          <w:tcPr>
            <w:tcW w:w="709" w:type="dxa"/>
            <w:shd w:val="clear" w:color="auto" w:fill="auto"/>
          </w:tcPr>
          <w:p w14:paraId="17A27B46" w14:textId="77777777" w:rsidR="000056A4" w:rsidRPr="000056A4" w:rsidRDefault="000056A4" w:rsidP="00F724D0">
            <w:pPr>
              <w:jc w:val="right"/>
              <w:rPr>
                <w:sz w:val="18"/>
              </w:rPr>
            </w:pPr>
            <w:r w:rsidRPr="000056A4">
              <w:rPr>
                <w:sz w:val="18"/>
              </w:rPr>
              <w:t>37</w:t>
            </w:r>
          </w:p>
        </w:tc>
        <w:tc>
          <w:tcPr>
            <w:tcW w:w="567" w:type="dxa"/>
            <w:shd w:val="clear" w:color="auto" w:fill="auto"/>
          </w:tcPr>
          <w:p w14:paraId="4F5FDA36" w14:textId="77777777" w:rsidR="000056A4" w:rsidRPr="000056A4" w:rsidRDefault="000056A4" w:rsidP="00F724D0">
            <w:pPr>
              <w:jc w:val="right"/>
              <w:rPr>
                <w:sz w:val="18"/>
              </w:rPr>
            </w:pPr>
            <w:r w:rsidRPr="000056A4">
              <w:rPr>
                <w:sz w:val="18"/>
              </w:rPr>
              <w:t>17.3</w:t>
            </w:r>
          </w:p>
        </w:tc>
        <w:tc>
          <w:tcPr>
            <w:tcW w:w="1276" w:type="dxa"/>
          </w:tcPr>
          <w:p w14:paraId="2B4322C9" w14:textId="77777777" w:rsidR="000056A4" w:rsidRPr="000056A4" w:rsidRDefault="000056A4" w:rsidP="00F724D0">
            <w:pPr>
              <w:jc w:val="right"/>
              <w:rPr>
                <w:sz w:val="18"/>
              </w:rPr>
            </w:pPr>
            <w:r w:rsidRPr="000056A4">
              <w:rPr>
                <w:sz w:val="18"/>
              </w:rPr>
              <w:t>(8.8, 25.9)</w:t>
            </w:r>
          </w:p>
        </w:tc>
        <w:tc>
          <w:tcPr>
            <w:tcW w:w="709" w:type="dxa"/>
            <w:shd w:val="clear" w:color="auto" w:fill="auto"/>
          </w:tcPr>
          <w:p w14:paraId="499A3257" w14:textId="77777777" w:rsidR="000056A4" w:rsidRPr="000056A4" w:rsidRDefault="000056A4" w:rsidP="00F724D0">
            <w:pPr>
              <w:jc w:val="right"/>
              <w:rPr>
                <w:sz w:val="18"/>
              </w:rPr>
            </w:pPr>
            <w:r w:rsidRPr="000056A4">
              <w:rPr>
                <w:sz w:val="18"/>
              </w:rPr>
              <w:t>162</w:t>
            </w:r>
          </w:p>
        </w:tc>
        <w:tc>
          <w:tcPr>
            <w:tcW w:w="567" w:type="dxa"/>
            <w:shd w:val="clear" w:color="auto" w:fill="auto"/>
          </w:tcPr>
          <w:p w14:paraId="3B8A0BB9" w14:textId="77777777" w:rsidR="000056A4" w:rsidRPr="000056A4" w:rsidRDefault="000056A4" w:rsidP="00F724D0">
            <w:pPr>
              <w:jc w:val="right"/>
              <w:rPr>
                <w:sz w:val="18"/>
              </w:rPr>
            </w:pPr>
            <w:r w:rsidRPr="000056A4">
              <w:rPr>
                <w:sz w:val="18"/>
              </w:rPr>
              <w:t>75.5</w:t>
            </w:r>
          </w:p>
        </w:tc>
        <w:tc>
          <w:tcPr>
            <w:tcW w:w="1134" w:type="dxa"/>
          </w:tcPr>
          <w:p w14:paraId="39F08310" w14:textId="77777777" w:rsidR="000056A4" w:rsidRPr="000056A4" w:rsidRDefault="000056A4" w:rsidP="00F724D0">
            <w:pPr>
              <w:jc w:val="right"/>
              <w:rPr>
                <w:sz w:val="18"/>
              </w:rPr>
            </w:pPr>
            <w:r w:rsidRPr="000056A4">
              <w:rPr>
                <w:sz w:val="18"/>
              </w:rPr>
              <w:t>(66.5, 84.4)</w:t>
            </w:r>
          </w:p>
        </w:tc>
        <w:tc>
          <w:tcPr>
            <w:tcW w:w="567" w:type="dxa"/>
            <w:shd w:val="clear" w:color="auto" w:fill="auto"/>
          </w:tcPr>
          <w:p w14:paraId="5AE0C1E5" w14:textId="77777777" w:rsidR="000056A4" w:rsidRPr="000056A4" w:rsidRDefault="000056A4" w:rsidP="00F724D0">
            <w:pPr>
              <w:jc w:val="right"/>
              <w:rPr>
                <w:sz w:val="18"/>
              </w:rPr>
            </w:pPr>
            <w:r w:rsidRPr="000056A4">
              <w:rPr>
                <w:sz w:val="18"/>
              </w:rPr>
              <w:t>12</w:t>
            </w:r>
          </w:p>
        </w:tc>
        <w:tc>
          <w:tcPr>
            <w:tcW w:w="567" w:type="dxa"/>
            <w:shd w:val="clear" w:color="auto" w:fill="auto"/>
          </w:tcPr>
          <w:p w14:paraId="7B7B5A29" w14:textId="77777777" w:rsidR="000056A4" w:rsidRPr="000056A4" w:rsidRDefault="000056A4" w:rsidP="00F724D0">
            <w:pPr>
              <w:jc w:val="right"/>
              <w:rPr>
                <w:sz w:val="18"/>
              </w:rPr>
            </w:pPr>
            <w:r w:rsidRPr="000056A4">
              <w:rPr>
                <w:sz w:val="18"/>
              </w:rPr>
              <w:t>5.6</w:t>
            </w:r>
          </w:p>
        </w:tc>
        <w:tc>
          <w:tcPr>
            <w:tcW w:w="1135" w:type="dxa"/>
          </w:tcPr>
          <w:p w14:paraId="463ECD48" w14:textId="77777777" w:rsidR="000056A4" w:rsidRPr="000056A4" w:rsidRDefault="000056A4" w:rsidP="00F724D0">
            <w:pPr>
              <w:jc w:val="right"/>
              <w:rPr>
                <w:sz w:val="18"/>
              </w:rPr>
            </w:pPr>
            <w:r w:rsidRPr="000056A4">
              <w:rPr>
                <w:sz w:val="18"/>
              </w:rPr>
              <w:t>(0.6, 10.5)</w:t>
            </w:r>
          </w:p>
        </w:tc>
        <w:tc>
          <w:tcPr>
            <w:tcW w:w="567" w:type="dxa"/>
            <w:shd w:val="clear" w:color="auto" w:fill="auto"/>
          </w:tcPr>
          <w:p w14:paraId="72561CB1" w14:textId="77777777" w:rsidR="000056A4" w:rsidRPr="000056A4" w:rsidRDefault="000056A4" w:rsidP="00F724D0">
            <w:pPr>
              <w:jc w:val="right"/>
              <w:rPr>
                <w:sz w:val="18"/>
              </w:rPr>
            </w:pPr>
            <w:r w:rsidRPr="000056A4">
              <w:rPr>
                <w:sz w:val="18"/>
              </w:rPr>
              <w:t>3</w:t>
            </w:r>
          </w:p>
        </w:tc>
        <w:tc>
          <w:tcPr>
            <w:tcW w:w="568" w:type="dxa"/>
            <w:shd w:val="clear" w:color="auto" w:fill="auto"/>
          </w:tcPr>
          <w:p w14:paraId="6C97B4D3" w14:textId="77777777" w:rsidR="000056A4" w:rsidRPr="000056A4" w:rsidRDefault="000056A4" w:rsidP="00F724D0">
            <w:pPr>
              <w:jc w:val="right"/>
              <w:rPr>
                <w:sz w:val="18"/>
              </w:rPr>
            </w:pPr>
            <w:r w:rsidRPr="000056A4">
              <w:rPr>
                <w:sz w:val="18"/>
              </w:rPr>
              <w:t>1.6</w:t>
            </w:r>
          </w:p>
        </w:tc>
        <w:tc>
          <w:tcPr>
            <w:tcW w:w="1137" w:type="dxa"/>
            <w:gridSpan w:val="2"/>
          </w:tcPr>
          <w:p w14:paraId="1300ECAE" w14:textId="77777777" w:rsidR="000056A4" w:rsidRPr="000056A4" w:rsidRDefault="000056A4" w:rsidP="00F724D0">
            <w:pPr>
              <w:jc w:val="right"/>
              <w:rPr>
                <w:sz w:val="18"/>
              </w:rPr>
            </w:pPr>
            <w:r w:rsidRPr="000056A4">
              <w:rPr>
                <w:sz w:val="18"/>
              </w:rPr>
              <w:t>(0.3, 2.9)</w:t>
            </w:r>
          </w:p>
        </w:tc>
      </w:tr>
      <w:tr w:rsidR="000056A4" w:rsidRPr="00313EC6" w14:paraId="041F5B30" w14:textId="77777777" w:rsidTr="000056A4">
        <w:trPr>
          <w:jc w:val="center"/>
        </w:trPr>
        <w:tc>
          <w:tcPr>
            <w:tcW w:w="2699" w:type="dxa"/>
            <w:vAlign w:val="center"/>
          </w:tcPr>
          <w:p w14:paraId="67B8EA0E" w14:textId="77777777" w:rsidR="000056A4" w:rsidRPr="00313EC6" w:rsidRDefault="000056A4" w:rsidP="00F724D0">
            <w:pPr>
              <w:spacing w:before="20" w:after="20"/>
              <w:ind w:left="88"/>
              <w:rPr>
                <w:sz w:val="18"/>
                <w:szCs w:val="20"/>
              </w:rPr>
            </w:pPr>
            <w:r w:rsidRPr="00313EC6">
              <w:rPr>
                <w:sz w:val="18"/>
                <w:szCs w:val="20"/>
              </w:rPr>
              <w:t>Low-risk gambler</w:t>
            </w:r>
          </w:p>
        </w:tc>
        <w:tc>
          <w:tcPr>
            <w:tcW w:w="709" w:type="dxa"/>
            <w:shd w:val="clear" w:color="auto" w:fill="auto"/>
          </w:tcPr>
          <w:p w14:paraId="3BF80FC0" w14:textId="77777777" w:rsidR="000056A4" w:rsidRPr="000056A4" w:rsidRDefault="000056A4" w:rsidP="00F724D0">
            <w:pPr>
              <w:jc w:val="right"/>
              <w:rPr>
                <w:sz w:val="18"/>
              </w:rPr>
            </w:pPr>
            <w:r w:rsidRPr="000056A4">
              <w:rPr>
                <w:sz w:val="18"/>
              </w:rPr>
              <w:t>0</w:t>
            </w:r>
          </w:p>
        </w:tc>
        <w:tc>
          <w:tcPr>
            <w:tcW w:w="567" w:type="dxa"/>
            <w:shd w:val="clear" w:color="auto" w:fill="auto"/>
          </w:tcPr>
          <w:p w14:paraId="36810B79" w14:textId="77777777" w:rsidR="000056A4" w:rsidRPr="000056A4" w:rsidRDefault="000056A4" w:rsidP="00F724D0">
            <w:pPr>
              <w:jc w:val="right"/>
              <w:rPr>
                <w:sz w:val="18"/>
              </w:rPr>
            </w:pPr>
            <w:r w:rsidRPr="000056A4">
              <w:rPr>
                <w:sz w:val="18"/>
              </w:rPr>
              <w:t>-</w:t>
            </w:r>
          </w:p>
        </w:tc>
        <w:tc>
          <w:tcPr>
            <w:tcW w:w="1276" w:type="dxa"/>
          </w:tcPr>
          <w:p w14:paraId="0FA1E8D1" w14:textId="77777777" w:rsidR="000056A4" w:rsidRPr="000056A4" w:rsidRDefault="000056A4" w:rsidP="00F724D0">
            <w:pPr>
              <w:jc w:val="right"/>
              <w:rPr>
                <w:sz w:val="18"/>
              </w:rPr>
            </w:pPr>
          </w:p>
        </w:tc>
        <w:tc>
          <w:tcPr>
            <w:tcW w:w="709" w:type="dxa"/>
            <w:shd w:val="clear" w:color="auto" w:fill="auto"/>
          </w:tcPr>
          <w:p w14:paraId="516D54D2" w14:textId="77777777" w:rsidR="000056A4" w:rsidRPr="000056A4" w:rsidRDefault="000056A4" w:rsidP="00F724D0">
            <w:pPr>
              <w:jc w:val="right"/>
              <w:rPr>
                <w:sz w:val="18"/>
              </w:rPr>
            </w:pPr>
            <w:r w:rsidRPr="000056A4">
              <w:rPr>
                <w:sz w:val="18"/>
              </w:rPr>
              <w:t>14</w:t>
            </w:r>
          </w:p>
        </w:tc>
        <w:tc>
          <w:tcPr>
            <w:tcW w:w="567" w:type="dxa"/>
            <w:shd w:val="clear" w:color="auto" w:fill="auto"/>
          </w:tcPr>
          <w:p w14:paraId="6A5BCD49" w14:textId="77777777" w:rsidR="000056A4" w:rsidRPr="000056A4" w:rsidRDefault="000056A4" w:rsidP="00F724D0">
            <w:pPr>
              <w:jc w:val="right"/>
              <w:rPr>
                <w:sz w:val="18"/>
              </w:rPr>
            </w:pPr>
            <w:r w:rsidRPr="000056A4">
              <w:rPr>
                <w:sz w:val="18"/>
              </w:rPr>
              <w:t>41.0</w:t>
            </w:r>
          </w:p>
        </w:tc>
        <w:tc>
          <w:tcPr>
            <w:tcW w:w="1134" w:type="dxa"/>
          </w:tcPr>
          <w:p w14:paraId="5EDF50EB" w14:textId="77777777" w:rsidR="000056A4" w:rsidRPr="000056A4" w:rsidRDefault="000056A4" w:rsidP="00F724D0">
            <w:pPr>
              <w:jc w:val="right"/>
              <w:rPr>
                <w:sz w:val="18"/>
              </w:rPr>
            </w:pPr>
            <w:r w:rsidRPr="000056A4">
              <w:rPr>
                <w:sz w:val="18"/>
              </w:rPr>
              <w:t>(24.5, 57.5)</w:t>
            </w:r>
          </w:p>
        </w:tc>
        <w:tc>
          <w:tcPr>
            <w:tcW w:w="567" w:type="dxa"/>
            <w:shd w:val="clear" w:color="auto" w:fill="auto"/>
          </w:tcPr>
          <w:p w14:paraId="38303AB0" w14:textId="77777777" w:rsidR="000056A4" w:rsidRPr="000056A4" w:rsidRDefault="000056A4" w:rsidP="00F724D0">
            <w:pPr>
              <w:jc w:val="right"/>
              <w:rPr>
                <w:sz w:val="18"/>
              </w:rPr>
            </w:pPr>
            <w:r w:rsidRPr="000056A4">
              <w:rPr>
                <w:sz w:val="18"/>
              </w:rPr>
              <w:t>14</w:t>
            </w:r>
          </w:p>
        </w:tc>
        <w:tc>
          <w:tcPr>
            <w:tcW w:w="567" w:type="dxa"/>
            <w:shd w:val="clear" w:color="auto" w:fill="auto"/>
          </w:tcPr>
          <w:p w14:paraId="2D483A52" w14:textId="77777777" w:rsidR="000056A4" w:rsidRPr="000056A4" w:rsidRDefault="000056A4" w:rsidP="00F724D0">
            <w:pPr>
              <w:jc w:val="right"/>
              <w:rPr>
                <w:sz w:val="18"/>
              </w:rPr>
            </w:pPr>
            <w:r w:rsidRPr="000056A4">
              <w:rPr>
                <w:sz w:val="18"/>
              </w:rPr>
              <w:t>39.8</w:t>
            </w:r>
          </w:p>
        </w:tc>
        <w:tc>
          <w:tcPr>
            <w:tcW w:w="1135" w:type="dxa"/>
          </w:tcPr>
          <w:p w14:paraId="46F22119" w14:textId="77777777" w:rsidR="000056A4" w:rsidRPr="000056A4" w:rsidRDefault="000056A4" w:rsidP="00F724D0">
            <w:pPr>
              <w:jc w:val="right"/>
              <w:rPr>
                <w:sz w:val="18"/>
              </w:rPr>
            </w:pPr>
            <w:r w:rsidRPr="000056A4">
              <w:rPr>
                <w:sz w:val="18"/>
              </w:rPr>
              <w:t>(22.1, 57.5)</w:t>
            </w:r>
          </w:p>
        </w:tc>
        <w:tc>
          <w:tcPr>
            <w:tcW w:w="567" w:type="dxa"/>
            <w:shd w:val="clear" w:color="auto" w:fill="auto"/>
          </w:tcPr>
          <w:p w14:paraId="51EC9698" w14:textId="77777777" w:rsidR="000056A4" w:rsidRPr="000056A4" w:rsidRDefault="000056A4" w:rsidP="00F724D0">
            <w:pPr>
              <w:jc w:val="right"/>
              <w:rPr>
                <w:sz w:val="18"/>
              </w:rPr>
            </w:pPr>
            <w:r w:rsidRPr="000056A4">
              <w:rPr>
                <w:sz w:val="18"/>
              </w:rPr>
              <w:t>7</w:t>
            </w:r>
          </w:p>
        </w:tc>
        <w:tc>
          <w:tcPr>
            <w:tcW w:w="568" w:type="dxa"/>
            <w:shd w:val="clear" w:color="auto" w:fill="auto"/>
          </w:tcPr>
          <w:p w14:paraId="7C5A2F3D" w14:textId="77777777" w:rsidR="000056A4" w:rsidRPr="000056A4" w:rsidRDefault="000056A4" w:rsidP="00F724D0">
            <w:pPr>
              <w:jc w:val="right"/>
              <w:rPr>
                <w:sz w:val="18"/>
              </w:rPr>
            </w:pPr>
            <w:r w:rsidRPr="000056A4">
              <w:rPr>
                <w:sz w:val="18"/>
              </w:rPr>
              <w:t>19.2</w:t>
            </w:r>
          </w:p>
        </w:tc>
        <w:tc>
          <w:tcPr>
            <w:tcW w:w="1137" w:type="dxa"/>
            <w:gridSpan w:val="2"/>
          </w:tcPr>
          <w:p w14:paraId="2AD33830" w14:textId="77777777" w:rsidR="000056A4" w:rsidRPr="000056A4" w:rsidRDefault="000056A4" w:rsidP="00F724D0">
            <w:pPr>
              <w:jc w:val="right"/>
              <w:rPr>
                <w:sz w:val="18"/>
              </w:rPr>
            </w:pPr>
            <w:r w:rsidRPr="000056A4">
              <w:rPr>
                <w:sz w:val="18"/>
              </w:rPr>
              <w:t>(7.3, 31.1)</w:t>
            </w:r>
          </w:p>
        </w:tc>
      </w:tr>
      <w:tr w:rsidR="000056A4" w:rsidRPr="00313EC6" w14:paraId="21A39638" w14:textId="77777777" w:rsidTr="000056A4">
        <w:trPr>
          <w:jc w:val="center"/>
        </w:trPr>
        <w:tc>
          <w:tcPr>
            <w:tcW w:w="2699" w:type="dxa"/>
            <w:vAlign w:val="center"/>
          </w:tcPr>
          <w:p w14:paraId="41F9FA6F" w14:textId="77777777" w:rsidR="000056A4" w:rsidRPr="00313EC6" w:rsidRDefault="000056A4" w:rsidP="00F724D0">
            <w:pPr>
              <w:spacing w:before="20" w:after="20"/>
              <w:ind w:left="88"/>
              <w:rPr>
                <w:sz w:val="18"/>
                <w:szCs w:val="20"/>
              </w:rPr>
            </w:pPr>
            <w:r w:rsidRPr="00313EC6">
              <w:rPr>
                <w:sz w:val="18"/>
                <w:szCs w:val="20"/>
              </w:rPr>
              <w:t>Moderate-risk</w:t>
            </w:r>
            <w:r>
              <w:rPr>
                <w:sz w:val="18"/>
                <w:szCs w:val="20"/>
              </w:rPr>
              <w:t>/problem</w:t>
            </w:r>
            <w:r w:rsidRPr="00313EC6">
              <w:rPr>
                <w:sz w:val="18"/>
                <w:szCs w:val="20"/>
              </w:rPr>
              <w:t xml:space="preserve"> gambler</w:t>
            </w:r>
          </w:p>
        </w:tc>
        <w:tc>
          <w:tcPr>
            <w:tcW w:w="709" w:type="dxa"/>
            <w:shd w:val="clear" w:color="auto" w:fill="auto"/>
          </w:tcPr>
          <w:p w14:paraId="2E093E6E" w14:textId="77777777" w:rsidR="000056A4" w:rsidRPr="000056A4" w:rsidRDefault="000056A4" w:rsidP="00F724D0">
            <w:pPr>
              <w:jc w:val="right"/>
              <w:rPr>
                <w:sz w:val="18"/>
              </w:rPr>
            </w:pPr>
            <w:r w:rsidRPr="000056A4">
              <w:rPr>
                <w:sz w:val="18"/>
              </w:rPr>
              <w:t>0</w:t>
            </w:r>
          </w:p>
        </w:tc>
        <w:tc>
          <w:tcPr>
            <w:tcW w:w="567" w:type="dxa"/>
            <w:shd w:val="clear" w:color="auto" w:fill="auto"/>
          </w:tcPr>
          <w:p w14:paraId="33ACCE17" w14:textId="77777777" w:rsidR="000056A4" w:rsidRPr="000056A4" w:rsidRDefault="000056A4" w:rsidP="00F724D0">
            <w:pPr>
              <w:jc w:val="right"/>
              <w:rPr>
                <w:sz w:val="18"/>
              </w:rPr>
            </w:pPr>
            <w:r w:rsidRPr="000056A4">
              <w:rPr>
                <w:sz w:val="18"/>
              </w:rPr>
              <w:t>1.9</w:t>
            </w:r>
          </w:p>
        </w:tc>
        <w:tc>
          <w:tcPr>
            <w:tcW w:w="1276" w:type="dxa"/>
          </w:tcPr>
          <w:p w14:paraId="076B10D1" w14:textId="77777777" w:rsidR="000056A4" w:rsidRPr="000056A4" w:rsidRDefault="002F172C" w:rsidP="00F724D0">
            <w:pPr>
              <w:jc w:val="right"/>
              <w:rPr>
                <w:sz w:val="18"/>
              </w:rPr>
            </w:pPr>
            <w:r>
              <w:rPr>
                <w:sz w:val="18"/>
              </w:rPr>
              <w:t>!</w:t>
            </w:r>
          </w:p>
        </w:tc>
        <w:tc>
          <w:tcPr>
            <w:tcW w:w="709" w:type="dxa"/>
            <w:shd w:val="clear" w:color="auto" w:fill="auto"/>
          </w:tcPr>
          <w:p w14:paraId="3170C7D7" w14:textId="77777777" w:rsidR="000056A4" w:rsidRPr="000056A4" w:rsidRDefault="000056A4" w:rsidP="00F724D0">
            <w:pPr>
              <w:jc w:val="right"/>
              <w:rPr>
                <w:sz w:val="18"/>
              </w:rPr>
            </w:pPr>
            <w:r w:rsidRPr="000056A4">
              <w:rPr>
                <w:sz w:val="18"/>
              </w:rPr>
              <w:t>6</w:t>
            </w:r>
          </w:p>
        </w:tc>
        <w:tc>
          <w:tcPr>
            <w:tcW w:w="567" w:type="dxa"/>
            <w:shd w:val="clear" w:color="auto" w:fill="auto"/>
          </w:tcPr>
          <w:p w14:paraId="4EAF597F" w14:textId="77777777" w:rsidR="000056A4" w:rsidRPr="000056A4" w:rsidRDefault="000056A4" w:rsidP="00F724D0">
            <w:pPr>
              <w:jc w:val="right"/>
              <w:rPr>
                <w:sz w:val="18"/>
              </w:rPr>
            </w:pPr>
            <w:r w:rsidRPr="000056A4">
              <w:rPr>
                <w:sz w:val="18"/>
              </w:rPr>
              <w:t>32.4</w:t>
            </w:r>
          </w:p>
        </w:tc>
        <w:tc>
          <w:tcPr>
            <w:tcW w:w="1134" w:type="dxa"/>
          </w:tcPr>
          <w:p w14:paraId="38094789" w14:textId="77777777" w:rsidR="000056A4" w:rsidRPr="000056A4" w:rsidRDefault="000056A4" w:rsidP="00F724D0">
            <w:pPr>
              <w:jc w:val="right"/>
              <w:rPr>
                <w:sz w:val="18"/>
              </w:rPr>
            </w:pPr>
            <w:r w:rsidRPr="000056A4">
              <w:rPr>
                <w:sz w:val="18"/>
              </w:rPr>
              <w:t>(13</w:t>
            </w:r>
            <w:r>
              <w:rPr>
                <w:sz w:val="18"/>
              </w:rPr>
              <w:t>.0</w:t>
            </w:r>
            <w:r w:rsidRPr="000056A4">
              <w:rPr>
                <w:sz w:val="18"/>
              </w:rPr>
              <w:t>, 51.9)</w:t>
            </w:r>
          </w:p>
        </w:tc>
        <w:tc>
          <w:tcPr>
            <w:tcW w:w="567" w:type="dxa"/>
            <w:shd w:val="clear" w:color="auto" w:fill="auto"/>
          </w:tcPr>
          <w:p w14:paraId="570A29E9" w14:textId="77777777" w:rsidR="000056A4" w:rsidRPr="000056A4" w:rsidRDefault="000056A4" w:rsidP="00F724D0">
            <w:pPr>
              <w:jc w:val="right"/>
              <w:rPr>
                <w:sz w:val="18"/>
              </w:rPr>
            </w:pPr>
            <w:r w:rsidRPr="000056A4">
              <w:rPr>
                <w:sz w:val="18"/>
              </w:rPr>
              <w:t>3</w:t>
            </w:r>
          </w:p>
        </w:tc>
        <w:tc>
          <w:tcPr>
            <w:tcW w:w="567" w:type="dxa"/>
            <w:shd w:val="clear" w:color="auto" w:fill="auto"/>
          </w:tcPr>
          <w:p w14:paraId="3BF6B300" w14:textId="77777777" w:rsidR="000056A4" w:rsidRPr="000056A4" w:rsidRDefault="000056A4" w:rsidP="00F724D0">
            <w:pPr>
              <w:jc w:val="right"/>
              <w:rPr>
                <w:sz w:val="18"/>
              </w:rPr>
            </w:pPr>
            <w:r w:rsidRPr="000056A4">
              <w:rPr>
                <w:sz w:val="18"/>
              </w:rPr>
              <w:t>14.4</w:t>
            </w:r>
          </w:p>
        </w:tc>
        <w:tc>
          <w:tcPr>
            <w:tcW w:w="1135" w:type="dxa"/>
          </w:tcPr>
          <w:p w14:paraId="023DDB4C" w14:textId="77777777" w:rsidR="000056A4" w:rsidRPr="000056A4" w:rsidRDefault="000056A4" w:rsidP="00F724D0">
            <w:pPr>
              <w:jc w:val="right"/>
              <w:rPr>
                <w:sz w:val="18"/>
              </w:rPr>
            </w:pPr>
            <w:r w:rsidRPr="000056A4">
              <w:rPr>
                <w:sz w:val="18"/>
              </w:rPr>
              <w:t>(0</w:t>
            </w:r>
            <w:r>
              <w:rPr>
                <w:sz w:val="18"/>
              </w:rPr>
              <w:t>.0</w:t>
            </w:r>
            <w:r w:rsidRPr="000056A4">
              <w:rPr>
                <w:sz w:val="18"/>
              </w:rPr>
              <w:t>, 33.6)</w:t>
            </w:r>
          </w:p>
        </w:tc>
        <w:tc>
          <w:tcPr>
            <w:tcW w:w="567" w:type="dxa"/>
            <w:shd w:val="clear" w:color="auto" w:fill="auto"/>
          </w:tcPr>
          <w:p w14:paraId="1A12B35A" w14:textId="77777777" w:rsidR="000056A4" w:rsidRPr="000056A4" w:rsidRDefault="000056A4" w:rsidP="00F724D0">
            <w:pPr>
              <w:jc w:val="right"/>
              <w:rPr>
                <w:sz w:val="18"/>
              </w:rPr>
            </w:pPr>
            <w:r w:rsidRPr="000056A4">
              <w:rPr>
                <w:sz w:val="18"/>
              </w:rPr>
              <w:t>10</w:t>
            </w:r>
          </w:p>
        </w:tc>
        <w:tc>
          <w:tcPr>
            <w:tcW w:w="568" w:type="dxa"/>
            <w:shd w:val="clear" w:color="auto" w:fill="auto"/>
          </w:tcPr>
          <w:p w14:paraId="5A7734C6" w14:textId="77777777" w:rsidR="000056A4" w:rsidRPr="000056A4" w:rsidRDefault="000056A4" w:rsidP="00F724D0">
            <w:pPr>
              <w:jc w:val="right"/>
              <w:rPr>
                <w:sz w:val="18"/>
              </w:rPr>
            </w:pPr>
            <w:r w:rsidRPr="000056A4">
              <w:rPr>
                <w:sz w:val="18"/>
              </w:rPr>
              <w:t>51.3</w:t>
            </w:r>
          </w:p>
        </w:tc>
        <w:tc>
          <w:tcPr>
            <w:tcW w:w="1137" w:type="dxa"/>
            <w:gridSpan w:val="2"/>
          </w:tcPr>
          <w:p w14:paraId="2A307FCD" w14:textId="77777777" w:rsidR="000056A4" w:rsidRPr="000056A4" w:rsidRDefault="000056A4" w:rsidP="00F724D0">
            <w:pPr>
              <w:jc w:val="right"/>
              <w:rPr>
                <w:sz w:val="18"/>
              </w:rPr>
            </w:pPr>
            <w:r w:rsidRPr="000056A4">
              <w:rPr>
                <w:sz w:val="18"/>
              </w:rPr>
              <w:t>(27.9, 74.7)</w:t>
            </w:r>
          </w:p>
        </w:tc>
      </w:tr>
      <w:tr w:rsidR="00782DA5" w:rsidRPr="00313EC6" w14:paraId="11406C97" w14:textId="77777777" w:rsidTr="000056A4">
        <w:trPr>
          <w:jc w:val="center"/>
        </w:trPr>
        <w:tc>
          <w:tcPr>
            <w:tcW w:w="3975" w:type="dxa"/>
            <w:gridSpan w:val="3"/>
            <w:tcBorders>
              <w:top w:val="single" w:sz="4" w:space="0" w:color="auto"/>
            </w:tcBorders>
            <w:shd w:val="clear" w:color="auto" w:fill="auto"/>
            <w:vAlign w:val="center"/>
          </w:tcPr>
          <w:p w14:paraId="1BC6A568" w14:textId="77777777" w:rsidR="00782DA5" w:rsidRPr="00313EC6" w:rsidRDefault="00782DA5" w:rsidP="00F724D0">
            <w:pPr>
              <w:spacing w:before="20" w:after="20"/>
              <w:rPr>
                <w:b/>
                <w:color w:val="000000"/>
                <w:sz w:val="18"/>
                <w:szCs w:val="20"/>
              </w:rPr>
            </w:pPr>
            <w:r w:rsidRPr="00313EC6">
              <w:rPr>
                <w:b/>
                <w:color w:val="000000"/>
                <w:sz w:val="18"/>
                <w:szCs w:val="20"/>
              </w:rPr>
              <w:t>Wave 3 to Wave 4</w:t>
            </w:r>
          </w:p>
        </w:tc>
        <w:tc>
          <w:tcPr>
            <w:tcW w:w="1276" w:type="dxa"/>
            <w:tcBorders>
              <w:top w:val="single" w:sz="4" w:space="0" w:color="auto"/>
            </w:tcBorders>
            <w:vAlign w:val="center"/>
          </w:tcPr>
          <w:p w14:paraId="2EC45010" w14:textId="77777777" w:rsidR="00782DA5" w:rsidRPr="00313EC6" w:rsidRDefault="00782DA5" w:rsidP="00F724D0">
            <w:pPr>
              <w:spacing w:before="20" w:after="20"/>
              <w:jc w:val="right"/>
              <w:rPr>
                <w:color w:val="000000"/>
                <w:sz w:val="18"/>
                <w:szCs w:val="20"/>
              </w:rPr>
            </w:pPr>
          </w:p>
        </w:tc>
        <w:tc>
          <w:tcPr>
            <w:tcW w:w="709" w:type="dxa"/>
            <w:tcBorders>
              <w:top w:val="single" w:sz="4" w:space="0" w:color="auto"/>
            </w:tcBorders>
            <w:shd w:val="clear" w:color="auto" w:fill="auto"/>
            <w:vAlign w:val="center"/>
          </w:tcPr>
          <w:p w14:paraId="3C404204" w14:textId="77777777" w:rsidR="00782DA5" w:rsidRPr="00313EC6" w:rsidRDefault="00782DA5" w:rsidP="00F724D0">
            <w:pPr>
              <w:spacing w:before="20" w:after="20"/>
              <w:jc w:val="right"/>
              <w:rPr>
                <w:color w:val="000000"/>
                <w:sz w:val="18"/>
                <w:szCs w:val="20"/>
              </w:rPr>
            </w:pPr>
          </w:p>
        </w:tc>
        <w:tc>
          <w:tcPr>
            <w:tcW w:w="567" w:type="dxa"/>
            <w:tcBorders>
              <w:top w:val="single" w:sz="4" w:space="0" w:color="auto"/>
            </w:tcBorders>
            <w:shd w:val="clear" w:color="auto" w:fill="auto"/>
            <w:vAlign w:val="center"/>
          </w:tcPr>
          <w:p w14:paraId="083162E1" w14:textId="77777777" w:rsidR="00782DA5" w:rsidRPr="00313EC6" w:rsidRDefault="00782DA5" w:rsidP="00F724D0">
            <w:pPr>
              <w:jc w:val="right"/>
              <w:rPr>
                <w:sz w:val="18"/>
              </w:rPr>
            </w:pPr>
          </w:p>
        </w:tc>
        <w:tc>
          <w:tcPr>
            <w:tcW w:w="1134" w:type="dxa"/>
            <w:tcBorders>
              <w:top w:val="single" w:sz="4" w:space="0" w:color="auto"/>
            </w:tcBorders>
            <w:vAlign w:val="center"/>
          </w:tcPr>
          <w:p w14:paraId="69AB19E4" w14:textId="77777777" w:rsidR="00782DA5" w:rsidRPr="00313EC6" w:rsidRDefault="00782DA5" w:rsidP="00F724D0">
            <w:pPr>
              <w:jc w:val="right"/>
              <w:rPr>
                <w:rFonts w:ascii="Calibri" w:hAnsi="Calibri"/>
                <w:color w:val="000000"/>
                <w:sz w:val="18"/>
                <w:szCs w:val="22"/>
              </w:rPr>
            </w:pPr>
          </w:p>
        </w:tc>
        <w:tc>
          <w:tcPr>
            <w:tcW w:w="567" w:type="dxa"/>
            <w:tcBorders>
              <w:top w:val="single" w:sz="4" w:space="0" w:color="auto"/>
            </w:tcBorders>
            <w:shd w:val="clear" w:color="auto" w:fill="auto"/>
            <w:vAlign w:val="center"/>
          </w:tcPr>
          <w:p w14:paraId="640D3CF5" w14:textId="77777777" w:rsidR="00782DA5" w:rsidRPr="00313EC6" w:rsidRDefault="00782DA5" w:rsidP="00F724D0">
            <w:pPr>
              <w:jc w:val="right"/>
              <w:rPr>
                <w:rFonts w:ascii="Calibri" w:hAnsi="Calibri"/>
                <w:color w:val="000000"/>
                <w:sz w:val="18"/>
                <w:szCs w:val="22"/>
              </w:rPr>
            </w:pPr>
          </w:p>
        </w:tc>
        <w:tc>
          <w:tcPr>
            <w:tcW w:w="567" w:type="dxa"/>
            <w:tcBorders>
              <w:top w:val="single" w:sz="4" w:space="0" w:color="auto"/>
            </w:tcBorders>
            <w:shd w:val="clear" w:color="auto" w:fill="auto"/>
            <w:vAlign w:val="center"/>
          </w:tcPr>
          <w:p w14:paraId="6AE869E1" w14:textId="77777777" w:rsidR="00782DA5" w:rsidRPr="00313EC6" w:rsidRDefault="00782DA5" w:rsidP="00F724D0">
            <w:pPr>
              <w:jc w:val="right"/>
              <w:rPr>
                <w:sz w:val="18"/>
              </w:rPr>
            </w:pPr>
          </w:p>
        </w:tc>
        <w:tc>
          <w:tcPr>
            <w:tcW w:w="1135" w:type="dxa"/>
            <w:tcBorders>
              <w:top w:val="single" w:sz="4" w:space="0" w:color="auto"/>
            </w:tcBorders>
            <w:vAlign w:val="center"/>
          </w:tcPr>
          <w:p w14:paraId="7132C5A3" w14:textId="77777777" w:rsidR="00782DA5" w:rsidRPr="00313EC6" w:rsidRDefault="00782DA5" w:rsidP="00F724D0">
            <w:pPr>
              <w:jc w:val="right"/>
              <w:rPr>
                <w:rFonts w:ascii="Calibri" w:hAnsi="Calibri"/>
                <w:color w:val="000000"/>
                <w:sz w:val="18"/>
                <w:szCs w:val="22"/>
              </w:rPr>
            </w:pPr>
          </w:p>
        </w:tc>
        <w:tc>
          <w:tcPr>
            <w:tcW w:w="567" w:type="dxa"/>
            <w:tcBorders>
              <w:top w:val="single" w:sz="4" w:space="0" w:color="auto"/>
            </w:tcBorders>
            <w:shd w:val="clear" w:color="auto" w:fill="auto"/>
            <w:vAlign w:val="center"/>
          </w:tcPr>
          <w:p w14:paraId="43D4E371" w14:textId="77777777" w:rsidR="00782DA5" w:rsidRPr="00313EC6" w:rsidRDefault="00782DA5" w:rsidP="00F724D0">
            <w:pPr>
              <w:jc w:val="right"/>
              <w:rPr>
                <w:rFonts w:ascii="Calibri" w:hAnsi="Calibri"/>
                <w:color w:val="000000"/>
                <w:sz w:val="18"/>
                <w:szCs w:val="22"/>
              </w:rPr>
            </w:pPr>
          </w:p>
        </w:tc>
        <w:tc>
          <w:tcPr>
            <w:tcW w:w="568" w:type="dxa"/>
            <w:tcBorders>
              <w:top w:val="single" w:sz="4" w:space="0" w:color="auto"/>
            </w:tcBorders>
            <w:shd w:val="clear" w:color="auto" w:fill="auto"/>
            <w:vAlign w:val="center"/>
          </w:tcPr>
          <w:p w14:paraId="59264F2D" w14:textId="77777777" w:rsidR="00782DA5" w:rsidRPr="00B20821" w:rsidRDefault="00782DA5" w:rsidP="00F724D0">
            <w:pPr>
              <w:jc w:val="right"/>
            </w:pPr>
          </w:p>
        </w:tc>
        <w:tc>
          <w:tcPr>
            <w:tcW w:w="1137" w:type="dxa"/>
            <w:gridSpan w:val="2"/>
            <w:tcBorders>
              <w:top w:val="single" w:sz="4" w:space="0" w:color="auto"/>
            </w:tcBorders>
            <w:vAlign w:val="center"/>
          </w:tcPr>
          <w:p w14:paraId="2DB8451E" w14:textId="77777777" w:rsidR="00782DA5" w:rsidRPr="00313EC6" w:rsidRDefault="00782DA5" w:rsidP="00F724D0">
            <w:pPr>
              <w:jc w:val="right"/>
              <w:rPr>
                <w:rFonts w:ascii="Calibri" w:hAnsi="Calibri"/>
                <w:color w:val="000000"/>
                <w:sz w:val="18"/>
                <w:szCs w:val="22"/>
              </w:rPr>
            </w:pPr>
          </w:p>
        </w:tc>
      </w:tr>
      <w:tr w:rsidR="000056A4" w:rsidRPr="00313EC6" w14:paraId="0D1F669A" w14:textId="77777777" w:rsidTr="000056A4">
        <w:trPr>
          <w:jc w:val="center"/>
        </w:trPr>
        <w:tc>
          <w:tcPr>
            <w:tcW w:w="2699" w:type="dxa"/>
            <w:vAlign w:val="center"/>
          </w:tcPr>
          <w:p w14:paraId="6F92846A" w14:textId="77777777" w:rsidR="000056A4" w:rsidRPr="00313EC6" w:rsidRDefault="000056A4" w:rsidP="00F724D0">
            <w:pPr>
              <w:spacing w:before="20" w:after="20"/>
              <w:ind w:left="88"/>
              <w:rPr>
                <w:sz w:val="18"/>
                <w:szCs w:val="20"/>
              </w:rPr>
            </w:pPr>
            <w:r w:rsidRPr="00313EC6">
              <w:rPr>
                <w:sz w:val="18"/>
                <w:szCs w:val="20"/>
              </w:rPr>
              <w:t>Non-gambler</w:t>
            </w:r>
          </w:p>
        </w:tc>
        <w:tc>
          <w:tcPr>
            <w:tcW w:w="709" w:type="dxa"/>
            <w:shd w:val="clear" w:color="auto" w:fill="auto"/>
            <w:vAlign w:val="bottom"/>
          </w:tcPr>
          <w:p w14:paraId="62EED31D" w14:textId="77777777" w:rsidR="000056A4" w:rsidRPr="000056A4" w:rsidRDefault="000056A4" w:rsidP="00F724D0">
            <w:pPr>
              <w:jc w:val="right"/>
              <w:rPr>
                <w:sz w:val="18"/>
              </w:rPr>
            </w:pPr>
            <w:r w:rsidRPr="000056A4">
              <w:rPr>
                <w:sz w:val="18"/>
              </w:rPr>
              <w:t>39</w:t>
            </w:r>
          </w:p>
        </w:tc>
        <w:tc>
          <w:tcPr>
            <w:tcW w:w="567" w:type="dxa"/>
            <w:shd w:val="clear" w:color="auto" w:fill="auto"/>
            <w:vAlign w:val="bottom"/>
          </w:tcPr>
          <w:p w14:paraId="7F25DC11" w14:textId="77777777" w:rsidR="000056A4" w:rsidRPr="000056A4" w:rsidRDefault="000056A4" w:rsidP="00F724D0">
            <w:pPr>
              <w:jc w:val="right"/>
              <w:rPr>
                <w:sz w:val="18"/>
              </w:rPr>
            </w:pPr>
            <w:r w:rsidRPr="000056A4">
              <w:rPr>
                <w:sz w:val="18"/>
              </w:rPr>
              <w:t>61.7</w:t>
            </w:r>
          </w:p>
        </w:tc>
        <w:tc>
          <w:tcPr>
            <w:tcW w:w="1276" w:type="dxa"/>
            <w:vAlign w:val="bottom"/>
          </w:tcPr>
          <w:p w14:paraId="6A7884E4" w14:textId="77777777" w:rsidR="000056A4" w:rsidRPr="000056A4" w:rsidRDefault="000056A4" w:rsidP="00F724D0">
            <w:pPr>
              <w:jc w:val="right"/>
              <w:rPr>
                <w:sz w:val="18"/>
              </w:rPr>
            </w:pPr>
            <w:r w:rsidRPr="000056A4">
              <w:rPr>
                <w:sz w:val="18"/>
              </w:rPr>
              <w:t>(42.3, 81</w:t>
            </w:r>
            <w:r>
              <w:rPr>
                <w:sz w:val="18"/>
              </w:rPr>
              <w:t>.0</w:t>
            </w:r>
            <w:r w:rsidRPr="000056A4">
              <w:rPr>
                <w:sz w:val="18"/>
              </w:rPr>
              <w:t>)</w:t>
            </w:r>
          </w:p>
        </w:tc>
        <w:tc>
          <w:tcPr>
            <w:tcW w:w="709" w:type="dxa"/>
            <w:shd w:val="clear" w:color="auto" w:fill="auto"/>
            <w:vAlign w:val="bottom"/>
          </w:tcPr>
          <w:p w14:paraId="2C8EFD77" w14:textId="77777777" w:rsidR="000056A4" w:rsidRPr="000056A4" w:rsidRDefault="000056A4" w:rsidP="00F724D0">
            <w:pPr>
              <w:jc w:val="right"/>
              <w:rPr>
                <w:sz w:val="18"/>
              </w:rPr>
            </w:pPr>
            <w:r w:rsidRPr="000056A4">
              <w:rPr>
                <w:sz w:val="18"/>
              </w:rPr>
              <w:t>23</w:t>
            </w:r>
          </w:p>
        </w:tc>
        <w:tc>
          <w:tcPr>
            <w:tcW w:w="567" w:type="dxa"/>
            <w:shd w:val="clear" w:color="auto" w:fill="auto"/>
            <w:vAlign w:val="bottom"/>
          </w:tcPr>
          <w:p w14:paraId="049E8185" w14:textId="77777777" w:rsidR="000056A4" w:rsidRPr="000056A4" w:rsidRDefault="000056A4" w:rsidP="00F724D0">
            <w:pPr>
              <w:jc w:val="right"/>
              <w:rPr>
                <w:sz w:val="18"/>
              </w:rPr>
            </w:pPr>
            <w:r w:rsidRPr="000056A4">
              <w:rPr>
                <w:sz w:val="18"/>
              </w:rPr>
              <w:t>36.0</w:t>
            </w:r>
          </w:p>
        </w:tc>
        <w:tc>
          <w:tcPr>
            <w:tcW w:w="1134" w:type="dxa"/>
            <w:vAlign w:val="bottom"/>
          </w:tcPr>
          <w:p w14:paraId="4FDB8323" w14:textId="77777777" w:rsidR="000056A4" w:rsidRPr="000056A4" w:rsidRDefault="000056A4" w:rsidP="00F724D0">
            <w:pPr>
              <w:jc w:val="right"/>
              <w:rPr>
                <w:sz w:val="18"/>
              </w:rPr>
            </w:pPr>
            <w:r w:rsidRPr="000056A4">
              <w:rPr>
                <w:sz w:val="18"/>
              </w:rPr>
              <w:t>(17.4, 54.7)</w:t>
            </w:r>
          </w:p>
        </w:tc>
        <w:tc>
          <w:tcPr>
            <w:tcW w:w="567" w:type="dxa"/>
            <w:shd w:val="clear" w:color="auto" w:fill="auto"/>
            <w:vAlign w:val="bottom"/>
          </w:tcPr>
          <w:p w14:paraId="3342BBEB" w14:textId="77777777" w:rsidR="000056A4" w:rsidRPr="000056A4" w:rsidRDefault="000056A4" w:rsidP="00F724D0">
            <w:pPr>
              <w:jc w:val="right"/>
              <w:rPr>
                <w:sz w:val="18"/>
              </w:rPr>
            </w:pPr>
            <w:r w:rsidRPr="000056A4">
              <w:rPr>
                <w:sz w:val="18"/>
              </w:rPr>
              <w:t>1</w:t>
            </w:r>
          </w:p>
        </w:tc>
        <w:tc>
          <w:tcPr>
            <w:tcW w:w="567" w:type="dxa"/>
            <w:shd w:val="clear" w:color="auto" w:fill="auto"/>
            <w:vAlign w:val="bottom"/>
          </w:tcPr>
          <w:p w14:paraId="222FF6EC" w14:textId="77777777" w:rsidR="000056A4" w:rsidRPr="000056A4" w:rsidRDefault="000056A4" w:rsidP="00F724D0">
            <w:pPr>
              <w:jc w:val="right"/>
              <w:rPr>
                <w:sz w:val="18"/>
              </w:rPr>
            </w:pPr>
            <w:r w:rsidRPr="000056A4">
              <w:rPr>
                <w:sz w:val="18"/>
              </w:rPr>
              <w:t>1.0</w:t>
            </w:r>
          </w:p>
        </w:tc>
        <w:tc>
          <w:tcPr>
            <w:tcW w:w="1135" w:type="dxa"/>
            <w:vAlign w:val="bottom"/>
          </w:tcPr>
          <w:p w14:paraId="25207954" w14:textId="77777777" w:rsidR="000056A4" w:rsidRPr="000056A4" w:rsidRDefault="002F172C" w:rsidP="00F724D0">
            <w:pPr>
              <w:jc w:val="right"/>
              <w:rPr>
                <w:sz w:val="18"/>
              </w:rPr>
            </w:pPr>
            <w:r>
              <w:rPr>
                <w:sz w:val="18"/>
              </w:rPr>
              <w:t>!</w:t>
            </w:r>
          </w:p>
        </w:tc>
        <w:tc>
          <w:tcPr>
            <w:tcW w:w="567" w:type="dxa"/>
            <w:shd w:val="clear" w:color="auto" w:fill="auto"/>
            <w:vAlign w:val="bottom"/>
          </w:tcPr>
          <w:p w14:paraId="69DB4AD4" w14:textId="77777777" w:rsidR="000056A4" w:rsidRPr="000056A4" w:rsidRDefault="000056A4" w:rsidP="00F724D0">
            <w:pPr>
              <w:jc w:val="right"/>
              <w:rPr>
                <w:sz w:val="18"/>
              </w:rPr>
            </w:pPr>
            <w:r w:rsidRPr="000056A4">
              <w:rPr>
                <w:sz w:val="18"/>
              </w:rPr>
              <w:t>1</w:t>
            </w:r>
          </w:p>
        </w:tc>
        <w:tc>
          <w:tcPr>
            <w:tcW w:w="568" w:type="dxa"/>
            <w:shd w:val="clear" w:color="auto" w:fill="auto"/>
            <w:vAlign w:val="bottom"/>
          </w:tcPr>
          <w:p w14:paraId="1CD29384" w14:textId="77777777" w:rsidR="000056A4" w:rsidRPr="000056A4" w:rsidRDefault="000056A4" w:rsidP="00F724D0">
            <w:pPr>
              <w:jc w:val="right"/>
              <w:rPr>
                <w:sz w:val="18"/>
              </w:rPr>
            </w:pPr>
            <w:r w:rsidRPr="000056A4">
              <w:rPr>
                <w:sz w:val="18"/>
              </w:rPr>
              <w:t>1.3</w:t>
            </w:r>
          </w:p>
        </w:tc>
        <w:tc>
          <w:tcPr>
            <w:tcW w:w="1137" w:type="dxa"/>
            <w:gridSpan w:val="2"/>
            <w:vAlign w:val="bottom"/>
          </w:tcPr>
          <w:p w14:paraId="5571E307" w14:textId="77777777" w:rsidR="000056A4" w:rsidRPr="000056A4" w:rsidRDefault="002F172C" w:rsidP="00F724D0">
            <w:pPr>
              <w:jc w:val="right"/>
              <w:rPr>
                <w:sz w:val="18"/>
              </w:rPr>
            </w:pPr>
            <w:r>
              <w:rPr>
                <w:sz w:val="18"/>
              </w:rPr>
              <w:t>!</w:t>
            </w:r>
          </w:p>
        </w:tc>
      </w:tr>
      <w:tr w:rsidR="000056A4" w:rsidRPr="00313EC6" w14:paraId="2D60A0DD" w14:textId="77777777" w:rsidTr="000056A4">
        <w:trPr>
          <w:jc w:val="center"/>
        </w:trPr>
        <w:tc>
          <w:tcPr>
            <w:tcW w:w="2699" w:type="dxa"/>
            <w:vAlign w:val="center"/>
          </w:tcPr>
          <w:p w14:paraId="08AFDA5F" w14:textId="77777777" w:rsidR="000056A4" w:rsidRPr="00313EC6" w:rsidRDefault="000056A4" w:rsidP="000056A4">
            <w:pPr>
              <w:spacing w:before="20" w:after="20"/>
              <w:ind w:left="88"/>
              <w:rPr>
                <w:sz w:val="18"/>
                <w:szCs w:val="20"/>
              </w:rPr>
            </w:pPr>
            <w:r w:rsidRPr="00313EC6">
              <w:rPr>
                <w:sz w:val="18"/>
                <w:szCs w:val="20"/>
              </w:rPr>
              <w:t>Non-problem gambler</w:t>
            </w:r>
          </w:p>
        </w:tc>
        <w:tc>
          <w:tcPr>
            <w:tcW w:w="709" w:type="dxa"/>
            <w:shd w:val="clear" w:color="auto" w:fill="auto"/>
            <w:vAlign w:val="bottom"/>
          </w:tcPr>
          <w:p w14:paraId="5D59195F" w14:textId="77777777" w:rsidR="000056A4" w:rsidRPr="000056A4" w:rsidRDefault="000056A4" w:rsidP="000056A4">
            <w:pPr>
              <w:jc w:val="right"/>
              <w:rPr>
                <w:sz w:val="18"/>
              </w:rPr>
            </w:pPr>
            <w:r w:rsidRPr="000056A4">
              <w:rPr>
                <w:sz w:val="18"/>
              </w:rPr>
              <w:t>19</w:t>
            </w:r>
          </w:p>
        </w:tc>
        <w:tc>
          <w:tcPr>
            <w:tcW w:w="567" w:type="dxa"/>
            <w:shd w:val="clear" w:color="auto" w:fill="auto"/>
            <w:vAlign w:val="bottom"/>
          </w:tcPr>
          <w:p w14:paraId="3E2F2774" w14:textId="77777777" w:rsidR="000056A4" w:rsidRPr="000056A4" w:rsidRDefault="000056A4" w:rsidP="000056A4">
            <w:pPr>
              <w:jc w:val="right"/>
              <w:rPr>
                <w:sz w:val="18"/>
              </w:rPr>
            </w:pPr>
            <w:r w:rsidRPr="000056A4">
              <w:rPr>
                <w:sz w:val="18"/>
              </w:rPr>
              <w:t>10.3</w:t>
            </w:r>
          </w:p>
        </w:tc>
        <w:tc>
          <w:tcPr>
            <w:tcW w:w="1276" w:type="dxa"/>
            <w:vAlign w:val="bottom"/>
          </w:tcPr>
          <w:p w14:paraId="32097418" w14:textId="77777777" w:rsidR="000056A4" w:rsidRPr="000056A4" w:rsidRDefault="000056A4" w:rsidP="000056A4">
            <w:pPr>
              <w:jc w:val="right"/>
              <w:rPr>
                <w:sz w:val="18"/>
              </w:rPr>
            </w:pPr>
            <w:r w:rsidRPr="000056A4">
              <w:rPr>
                <w:sz w:val="18"/>
              </w:rPr>
              <w:t>(6.5, 14</w:t>
            </w:r>
            <w:r>
              <w:rPr>
                <w:sz w:val="18"/>
              </w:rPr>
              <w:t>.0</w:t>
            </w:r>
            <w:r w:rsidRPr="000056A4">
              <w:rPr>
                <w:sz w:val="18"/>
              </w:rPr>
              <w:t>)</w:t>
            </w:r>
          </w:p>
        </w:tc>
        <w:tc>
          <w:tcPr>
            <w:tcW w:w="709" w:type="dxa"/>
            <w:shd w:val="clear" w:color="auto" w:fill="auto"/>
            <w:vAlign w:val="bottom"/>
          </w:tcPr>
          <w:p w14:paraId="2FB7863A" w14:textId="77777777" w:rsidR="000056A4" w:rsidRPr="000056A4" w:rsidRDefault="000056A4" w:rsidP="000056A4">
            <w:pPr>
              <w:jc w:val="right"/>
              <w:rPr>
                <w:sz w:val="18"/>
              </w:rPr>
            </w:pPr>
            <w:r w:rsidRPr="000056A4">
              <w:rPr>
                <w:sz w:val="18"/>
              </w:rPr>
              <w:t>147</w:t>
            </w:r>
          </w:p>
        </w:tc>
        <w:tc>
          <w:tcPr>
            <w:tcW w:w="567" w:type="dxa"/>
            <w:shd w:val="clear" w:color="auto" w:fill="auto"/>
            <w:vAlign w:val="bottom"/>
          </w:tcPr>
          <w:p w14:paraId="2EA519D1" w14:textId="77777777" w:rsidR="000056A4" w:rsidRPr="000056A4" w:rsidRDefault="000056A4" w:rsidP="000056A4">
            <w:pPr>
              <w:jc w:val="right"/>
              <w:rPr>
                <w:sz w:val="18"/>
              </w:rPr>
            </w:pPr>
            <w:r w:rsidRPr="000056A4">
              <w:rPr>
                <w:sz w:val="18"/>
              </w:rPr>
              <w:t>81.2</w:t>
            </w:r>
          </w:p>
        </w:tc>
        <w:tc>
          <w:tcPr>
            <w:tcW w:w="1134" w:type="dxa"/>
            <w:vAlign w:val="bottom"/>
          </w:tcPr>
          <w:p w14:paraId="0EDC29FD" w14:textId="77777777" w:rsidR="000056A4" w:rsidRPr="000056A4" w:rsidRDefault="000056A4" w:rsidP="000056A4">
            <w:pPr>
              <w:jc w:val="right"/>
              <w:rPr>
                <w:sz w:val="18"/>
              </w:rPr>
            </w:pPr>
            <w:r w:rsidRPr="000056A4">
              <w:rPr>
                <w:sz w:val="18"/>
              </w:rPr>
              <w:t>(76.1, 86.2)</w:t>
            </w:r>
          </w:p>
        </w:tc>
        <w:tc>
          <w:tcPr>
            <w:tcW w:w="567" w:type="dxa"/>
            <w:shd w:val="clear" w:color="auto" w:fill="auto"/>
            <w:vAlign w:val="bottom"/>
          </w:tcPr>
          <w:p w14:paraId="2F439831" w14:textId="77777777" w:rsidR="000056A4" w:rsidRPr="000056A4" w:rsidRDefault="000056A4" w:rsidP="000056A4">
            <w:pPr>
              <w:jc w:val="right"/>
              <w:rPr>
                <w:sz w:val="18"/>
              </w:rPr>
            </w:pPr>
            <w:r w:rsidRPr="000056A4">
              <w:rPr>
                <w:sz w:val="18"/>
              </w:rPr>
              <w:t>10</w:t>
            </w:r>
          </w:p>
        </w:tc>
        <w:tc>
          <w:tcPr>
            <w:tcW w:w="567" w:type="dxa"/>
            <w:shd w:val="clear" w:color="auto" w:fill="auto"/>
            <w:vAlign w:val="bottom"/>
          </w:tcPr>
          <w:p w14:paraId="4F325C01" w14:textId="77777777" w:rsidR="000056A4" w:rsidRPr="000056A4" w:rsidRDefault="000056A4" w:rsidP="000056A4">
            <w:pPr>
              <w:jc w:val="right"/>
              <w:rPr>
                <w:sz w:val="18"/>
              </w:rPr>
            </w:pPr>
            <w:r w:rsidRPr="000056A4">
              <w:rPr>
                <w:sz w:val="18"/>
              </w:rPr>
              <w:t>5.5</w:t>
            </w:r>
          </w:p>
        </w:tc>
        <w:tc>
          <w:tcPr>
            <w:tcW w:w="1135" w:type="dxa"/>
            <w:vAlign w:val="bottom"/>
          </w:tcPr>
          <w:p w14:paraId="5A0061C9" w14:textId="77777777" w:rsidR="000056A4" w:rsidRPr="000056A4" w:rsidRDefault="000056A4" w:rsidP="000056A4">
            <w:pPr>
              <w:jc w:val="right"/>
              <w:rPr>
                <w:sz w:val="18"/>
              </w:rPr>
            </w:pPr>
            <w:r w:rsidRPr="000056A4">
              <w:rPr>
                <w:sz w:val="18"/>
              </w:rPr>
              <w:t>(2.7, 8.3)</w:t>
            </w:r>
          </w:p>
        </w:tc>
        <w:tc>
          <w:tcPr>
            <w:tcW w:w="567" w:type="dxa"/>
            <w:shd w:val="clear" w:color="auto" w:fill="auto"/>
            <w:vAlign w:val="bottom"/>
          </w:tcPr>
          <w:p w14:paraId="5BB44A8A" w14:textId="77777777" w:rsidR="000056A4" w:rsidRPr="000056A4" w:rsidRDefault="000056A4" w:rsidP="000056A4">
            <w:pPr>
              <w:jc w:val="right"/>
              <w:rPr>
                <w:sz w:val="18"/>
              </w:rPr>
            </w:pPr>
            <w:r w:rsidRPr="000056A4">
              <w:rPr>
                <w:sz w:val="18"/>
              </w:rPr>
              <w:t>6</w:t>
            </w:r>
          </w:p>
        </w:tc>
        <w:tc>
          <w:tcPr>
            <w:tcW w:w="568" w:type="dxa"/>
            <w:shd w:val="clear" w:color="auto" w:fill="auto"/>
            <w:vAlign w:val="bottom"/>
          </w:tcPr>
          <w:p w14:paraId="2E9C66E7" w14:textId="77777777" w:rsidR="000056A4" w:rsidRPr="000056A4" w:rsidRDefault="000056A4" w:rsidP="000056A4">
            <w:pPr>
              <w:jc w:val="right"/>
              <w:rPr>
                <w:sz w:val="18"/>
              </w:rPr>
            </w:pPr>
            <w:r w:rsidRPr="000056A4">
              <w:rPr>
                <w:sz w:val="18"/>
              </w:rPr>
              <w:t>3.1</w:t>
            </w:r>
          </w:p>
        </w:tc>
        <w:tc>
          <w:tcPr>
            <w:tcW w:w="1137" w:type="dxa"/>
            <w:gridSpan w:val="2"/>
            <w:vAlign w:val="bottom"/>
          </w:tcPr>
          <w:p w14:paraId="41246C6E" w14:textId="77777777" w:rsidR="000056A4" w:rsidRPr="000056A4" w:rsidRDefault="000056A4" w:rsidP="000056A4">
            <w:pPr>
              <w:jc w:val="right"/>
              <w:rPr>
                <w:sz w:val="18"/>
              </w:rPr>
            </w:pPr>
            <w:r w:rsidRPr="000056A4">
              <w:rPr>
                <w:sz w:val="18"/>
              </w:rPr>
              <w:t>(0.2, 5.9)</w:t>
            </w:r>
          </w:p>
        </w:tc>
      </w:tr>
      <w:tr w:rsidR="000056A4" w:rsidRPr="00313EC6" w14:paraId="64DBFB85" w14:textId="77777777" w:rsidTr="000056A4">
        <w:trPr>
          <w:jc w:val="center"/>
        </w:trPr>
        <w:tc>
          <w:tcPr>
            <w:tcW w:w="2699" w:type="dxa"/>
            <w:vAlign w:val="center"/>
          </w:tcPr>
          <w:p w14:paraId="6F07FD26" w14:textId="77777777" w:rsidR="000056A4" w:rsidRPr="00313EC6" w:rsidRDefault="000056A4" w:rsidP="000056A4">
            <w:pPr>
              <w:spacing w:before="20" w:after="20"/>
              <w:ind w:left="88"/>
              <w:rPr>
                <w:sz w:val="18"/>
                <w:szCs w:val="20"/>
              </w:rPr>
            </w:pPr>
            <w:r w:rsidRPr="00313EC6">
              <w:rPr>
                <w:sz w:val="18"/>
                <w:szCs w:val="20"/>
              </w:rPr>
              <w:t>Low-risk gambler</w:t>
            </w:r>
          </w:p>
        </w:tc>
        <w:tc>
          <w:tcPr>
            <w:tcW w:w="709" w:type="dxa"/>
            <w:shd w:val="clear" w:color="auto" w:fill="auto"/>
            <w:vAlign w:val="bottom"/>
          </w:tcPr>
          <w:p w14:paraId="208783DB" w14:textId="77777777" w:rsidR="000056A4" w:rsidRPr="000056A4" w:rsidRDefault="000056A4" w:rsidP="000056A4">
            <w:pPr>
              <w:jc w:val="right"/>
              <w:rPr>
                <w:sz w:val="18"/>
              </w:rPr>
            </w:pPr>
            <w:r w:rsidRPr="000056A4">
              <w:rPr>
                <w:sz w:val="18"/>
              </w:rPr>
              <w:t>2</w:t>
            </w:r>
          </w:p>
        </w:tc>
        <w:tc>
          <w:tcPr>
            <w:tcW w:w="567" w:type="dxa"/>
            <w:shd w:val="clear" w:color="auto" w:fill="auto"/>
            <w:vAlign w:val="bottom"/>
          </w:tcPr>
          <w:p w14:paraId="09DA3583" w14:textId="77777777" w:rsidR="000056A4" w:rsidRPr="000056A4" w:rsidRDefault="000056A4" w:rsidP="000056A4">
            <w:pPr>
              <w:jc w:val="right"/>
              <w:rPr>
                <w:sz w:val="18"/>
              </w:rPr>
            </w:pPr>
            <w:r w:rsidRPr="000056A4">
              <w:rPr>
                <w:sz w:val="18"/>
              </w:rPr>
              <w:t>5.6</w:t>
            </w:r>
          </w:p>
        </w:tc>
        <w:tc>
          <w:tcPr>
            <w:tcW w:w="1276" w:type="dxa"/>
            <w:vAlign w:val="bottom"/>
          </w:tcPr>
          <w:p w14:paraId="1343AAF9" w14:textId="77777777" w:rsidR="000056A4" w:rsidRPr="000056A4" w:rsidRDefault="002F172C" w:rsidP="000056A4">
            <w:pPr>
              <w:jc w:val="right"/>
              <w:rPr>
                <w:sz w:val="18"/>
              </w:rPr>
            </w:pPr>
            <w:r>
              <w:rPr>
                <w:sz w:val="18"/>
              </w:rPr>
              <w:t>!</w:t>
            </w:r>
          </w:p>
        </w:tc>
        <w:tc>
          <w:tcPr>
            <w:tcW w:w="709" w:type="dxa"/>
            <w:shd w:val="clear" w:color="auto" w:fill="auto"/>
            <w:vAlign w:val="bottom"/>
          </w:tcPr>
          <w:p w14:paraId="2602D7C5" w14:textId="77777777" w:rsidR="000056A4" w:rsidRPr="000056A4" w:rsidRDefault="000056A4" w:rsidP="000056A4">
            <w:pPr>
              <w:jc w:val="right"/>
              <w:rPr>
                <w:sz w:val="18"/>
              </w:rPr>
            </w:pPr>
            <w:r w:rsidRPr="000056A4">
              <w:rPr>
                <w:sz w:val="18"/>
              </w:rPr>
              <w:t>16</w:t>
            </w:r>
          </w:p>
        </w:tc>
        <w:tc>
          <w:tcPr>
            <w:tcW w:w="567" w:type="dxa"/>
            <w:shd w:val="clear" w:color="auto" w:fill="auto"/>
            <w:vAlign w:val="bottom"/>
          </w:tcPr>
          <w:p w14:paraId="561C54B7" w14:textId="77777777" w:rsidR="000056A4" w:rsidRPr="000056A4" w:rsidRDefault="000056A4" w:rsidP="000056A4">
            <w:pPr>
              <w:jc w:val="right"/>
              <w:rPr>
                <w:sz w:val="18"/>
              </w:rPr>
            </w:pPr>
            <w:r w:rsidRPr="000056A4">
              <w:rPr>
                <w:sz w:val="18"/>
              </w:rPr>
              <w:t>54.1</w:t>
            </w:r>
          </w:p>
        </w:tc>
        <w:tc>
          <w:tcPr>
            <w:tcW w:w="1134" w:type="dxa"/>
            <w:vAlign w:val="bottom"/>
          </w:tcPr>
          <w:p w14:paraId="17EADA82" w14:textId="77777777" w:rsidR="000056A4" w:rsidRPr="000056A4" w:rsidRDefault="000056A4" w:rsidP="000056A4">
            <w:pPr>
              <w:jc w:val="right"/>
              <w:rPr>
                <w:sz w:val="18"/>
              </w:rPr>
            </w:pPr>
            <w:r w:rsidRPr="000056A4">
              <w:rPr>
                <w:sz w:val="18"/>
              </w:rPr>
              <w:t>(22.6, 85.7)</w:t>
            </w:r>
          </w:p>
        </w:tc>
        <w:tc>
          <w:tcPr>
            <w:tcW w:w="567" w:type="dxa"/>
            <w:shd w:val="clear" w:color="auto" w:fill="auto"/>
            <w:vAlign w:val="bottom"/>
          </w:tcPr>
          <w:p w14:paraId="27CD6187" w14:textId="77777777" w:rsidR="000056A4" w:rsidRPr="000056A4" w:rsidRDefault="000056A4" w:rsidP="000056A4">
            <w:pPr>
              <w:jc w:val="right"/>
              <w:rPr>
                <w:sz w:val="18"/>
              </w:rPr>
            </w:pPr>
            <w:r w:rsidRPr="000056A4">
              <w:rPr>
                <w:sz w:val="18"/>
              </w:rPr>
              <w:t>5</w:t>
            </w:r>
          </w:p>
        </w:tc>
        <w:tc>
          <w:tcPr>
            <w:tcW w:w="567" w:type="dxa"/>
            <w:shd w:val="clear" w:color="auto" w:fill="auto"/>
            <w:vAlign w:val="bottom"/>
          </w:tcPr>
          <w:p w14:paraId="0D2349A5" w14:textId="77777777" w:rsidR="000056A4" w:rsidRPr="000056A4" w:rsidRDefault="000056A4" w:rsidP="000056A4">
            <w:pPr>
              <w:jc w:val="right"/>
              <w:rPr>
                <w:sz w:val="18"/>
              </w:rPr>
            </w:pPr>
            <w:r w:rsidRPr="000056A4">
              <w:rPr>
                <w:sz w:val="18"/>
              </w:rPr>
              <w:t>16.8</w:t>
            </w:r>
          </w:p>
        </w:tc>
        <w:tc>
          <w:tcPr>
            <w:tcW w:w="1135" w:type="dxa"/>
            <w:vAlign w:val="bottom"/>
          </w:tcPr>
          <w:p w14:paraId="1DCCEB00" w14:textId="77777777" w:rsidR="000056A4" w:rsidRPr="000056A4" w:rsidRDefault="000056A4" w:rsidP="000056A4">
            <w:pPr>
              <w:jc w:val="right"/>
              <w:rPr>
                <w:sz w:val="18"/>
              </w:rPr>
            </w:pPr>
            <w:r w:rsidRPr="000056A4">
              <w:rPr>
                <w:sz w:val="18"/>
              </w:rPr>
              <w:t>(4.4, 29.2)</w:t>
            </w:r>
          </w:p>
        </w:tc>
        <w:tc>
          <w:tcPr>
            <w:tcW w:w="567" w:type="dxa"/>
            <w:shd w:val="clear" w:color="auto" w:fill="auto"/>
            <w:vAlign w:val="bottom"/>
          </w:tcPr>
          <w:p w14:paraId="59603158" w14:textId="77777777" w:rsidR="000056A4" w:rsidRPr="000056A4" w:rsidRDefault="000056A4" w:rsidP="000056A4">
            <w:pPr>
              <w:jc w:val="right"/>
              <w:rPr>
                <w:sz w:val="18"/>
              </w:rPr>
            </w:pPr>
            <w:r w:rsidRPr="000056A4">
              <w:rPr>
                <w:sz w:val="18"/>
              </w:rPr>
              <w:t>7</w:t>
            </w:r>
          </w:p>
        </w:tc>
        <w:tc>
          <w:tcPr>
            <w:tcW w:w="568" w:type="dxa"/>
            <w:shd w:val="clear" w:color="auto" w:fill="auto"/>
            <w:vAlign w:val="bottom"/>
          </w:tcPr>
          <w:p w14:paraId="5A51EEB5" w14:textId="77777777" w:rsidR="000056A4" w:rsidRPr="000056A4" w:rsidRDefault="000056A4" w:rsidP="000056A4">
            <w:pPr>
              <w:jc w:val="right"/>
              <w:rPr>
                <w:sz w:val="18"/>
              </w:rPr>
            </w:pPr>
            <w:r w:rsidRPr="000056A4">
              <w:rPr>
                <w:sz w:val="18"/>
              </w:rPr>
              <w:t>23.5</w:t>
            </w:r>
          </w:p>
        </w:tc>
        <w:tc>
          <w:tcPr>
            <w:tcW w:w="1137" w:type="dxa"/>
            <w:gridSpan w:val="2"/>
            <w:vAlign w:val="bottom"/>
          </w:tcPr>
          <w:p w14:paraId="143F8B9E" w14:textId="77777777" w:rsidR="000056A4" w:rsidRPr="000056A4" w:rsidRDefault="000056A4" w:rsidP="000056A4">
            <w:pPr>
              <w:jc w:val="right"/>
              <w:rPr>
                <w:sz w:val="18"/>
              </w:rPr>
            </w:pPr>
            <w:r w:rsidRPr="000056A4">
              <w:rPr>
                <w:sz w:val="18"/>
              </w:rPr>
              <w:t>(0</w:t>
            </w:r>
            <w:r>
              <w:rPr>
                <w:sz w:val="18"/>
              </w:rPr>
              <w:t>.0</w:t>
            </w:r>
            <w:r w:rsidRPr="000056A4">
              <w:rPr>
                <w:sz w:val="18"/>
              </w:rPr>
              <w:t>, 61.3)</w:t>
            </w:r>
          </w:p>
        </w:tc>
      </w:tr>
      <w:tr w:rsidR="000056A4" w:rsidRPr="00313EC6" w14:paraId="3738AAC5" w14:textId="77777777" w:rsidTr="000056A4">
        <w:trPr>
          <w:jc w:val="center"/>
        </w:trPr>
        <w:tc>
          <w:tcPr>
            <w:tcW w:w="2699" w:type="dxa"/>
            <w:tcBorders>
              <w:bottom w:val="single" w:sz="4" w:space="0" w:color="auto"/>
            </w:tcBorders>
            <w:vAlign w:val="center"/>
          </w:tcPr>
          <w:p w14:paraId="664D1653" w14:textId="77777777" w:rsidR="000056A4" w:rsidRPr="00313EC6" w:rsidRDefault="000056A4" w:rsidP="000056A4">
            <w:pPr>
              <w:spacing w:before="20" w:after="20"/>
              <w:ind w:left="88"/>
              <w:rPr>
                <w:sz w:val="18"/>
                <w:szCs w:val="20"/>
              </w:rPr>
            </w:pPr>
            <w:r w:rsidRPr="00313EC6">
              <w:rPr>
                <w:sz w:val="18"/>
                <w:szCs w:val="20"/>
              </w:rPr>
              <w:t>Moderate-risk</w:t>
            </w:r>
            <w:r>
              <w:rPr>
                <w:sz w:val="18"/>
                <w:szCs w:val="20"/>
              </w:rPr>
              <w:t>/problem</w:t>
            </w:r>
            <w:r w:rsidRPr="00313EC6">
              <w:rPr>
                <w:sz w:val="18"/>
                <w:szCs w:val="20"/>
              </w:rPr>
              <w:t xml:space="preserve"> gambler</w:t>
            </w:r>
          </w:p>
        </w:tc>
        <w:tc>
          <w:tcPr>
            <w:tcW w:w="709" w:type="dxa"/>
            <w:tcBorders>
              <w:bottom w:val="single" w:sz="4" w:space="0" w:color="auto"/>
            </w:tcBorders>
            <w:shd w:val="clear" w:color="auto" w:fill="auto"/>
            <w:vAlign w:val="bottom"/>
          </w:tcPr>
          <w:p w14:paraId="365E5568" w14:textId="77777777" w:rsidR="000056A4" w:rsidRPr="000056A4" w:rsidRDefault="000056A4" w:rsidP="000056A4">
            <w:pPr>
              <w:jc w:val="right"/>
              <w:rPr>
                <w:sz w:val="18"/>
              </w:rPr>
            </w:pPr>
            <w:r w:rsidRPr="000056A4">
              <w:rPr>
                <w:sz w:val="18"/>
              </w:rPr>
              <w:t>0</w:t>
            </w:r>
          </w:p>
        </w:tc>
        <w:tc>
          <w:tcPr>
            <w:tcW w:w="567" w:type="dxa"/>
            <w:tcBorders>
              <w:bottom w:val="single" w:sz="4" w:space="0" w:color="auto"/>
            </w:tcBorders>
            <w:shd w:val="clear" w:color="auto" w:fill="auto"/>
            <w:vAlign w:val="bottom"/>
          </w:tcPr>
          <w:p w14:paraId="5BFF35CB" w14:textId="77777777" w:rsidR="000056A4" w:rsidRPr="000056A4" w:rsidRDefault="000056A4" w:rsidP="000056A4">
            <w:pPr>
              <w:jc w:val="right"/>
              <w:rPr>
                <w:sz w:val="18"/>
              </w:rPr>
            </w:pPr>
            <w:r w:rsidRPr="000056A4">
              <w:rPr>
                <w:sz w:val="18"/>
              </w:rPr>
              <w:t>0.8</w:t>
            </w:r>
          </w:p>
        </w:tc>
        <w:tc>
          <w:tcPr>
            <w:tcW w:w="1276" w:type="dxa"/>
            <w:tcBorders>
              <w:bottom w:val="single" w:sz="4" w:space="0" w:color="auto"/>
            </w:tcBorders>
            <w:vAlign w:val="bottom"/>
          </w:tcPr>
          <w:p w14:paraId="68BFA3BB" w14:textId="77777777" w:rsidR="000056A4" w:rsidRPr="000056A4" w:rsidRDefault="002F172C" w:rsidP="000056A4">
            <w:pPr>
              <w:jc w:val="right"/>
              <w:rPr>
                <w:sz w:val="18"/>
              </w:rPr>
            </w:pPr>
            <w:r>
              <w:rPr>
                <w:sz w:val="18"/>
              </w:rPr>
              <w:t>!</w:t>
            </w:r>
          </w:p>
        </w:tc>
        <w:tc>
          <w:tcPr>
            <w:tcW w:w="709" w:type="dxa"/>
            <w:tcBorders>
              <w:bottom w:val="single" w:sz="4" w:space="0" w:color="auto"/>
            </w:tcBorders>
            <w:shd w:val="clear" w:color="auto" w:fill="auto"/>
            <w:vAlign w:val="bottom"/>
          </w:tcPr>
          <w:p w14:paraId="1AF927DC" w14:textId="77777777" w:rsidR="000056A4" w:rsidRPr="000056A4" w:rsidRDefault="000056A4" w:rsidP="000056A4">
            <w:pPr>
              <w:jc w:val="right"/>
              <w:rPr>
                <w:sz w:val="18"/>
              </w:rPr>
            </w:pPr>
            <w:r w:rsidRPr="000056A4">
              <w:rPr>
                <w:sz w:val="18"/>
              </w:rPr>
              <w:t>3</w:t>
            </w:r>
          </w:p>
        </w:tc>
        <w:tc>
          <w:tcPr>
            <w:tcW w:w="567" w:type="dxa"/>
            <w:tcBorders>
              <w:bottom w:val="single" w:sz="4" w:space="0" w:color="auto"/>
            </w:tcBorders>
            <w:shd w:val="clear" w:color="auto" w:fill="auto"/>
            <w:vAlign w:val="bottom"/>
          </w:tcPr>
          <w:p w14:paraId="637ADE1D" w14:textId="77777777" w:rsidR="000056A4" w:rsidRPr="000056A4" w:rsidRDefault="000056A4" w:rsidP="000056A4">
            <w:pPr>
              <w:jc w:val="right"/>
              <w:rPr>
                <w:sz w:val="18"/>
              </w:rPr>
            </w:pPr>
            <w:r w:rsidRPr="000056A4">
              <w:rPr>
                <w:sz w:val="18"/>
              </w:rPr>
              <w:t>18.3</w:t>
            </w:r>
          </w:p>
        </w:tc>
        <w:tc>
          <w:tcPr>
            <w:tcW w:w="1134" w:type="dxa"/>
            <w:tcBorders>
              <w:bottom w:val="single" w:sz="4" w:space="0" w:color="auto"/>
            </w:tcBorders>
            <w:vAlign w:val="bottom"/>
          </w:tcPr>
          <w:p w14:paraId="7BA7EB67" w14:textId="77777777" w:rsidR="000056A4" w:rsidRPr="000056A4" w:rsidRDefault="000056A4" w:rsidP="000056A4">
            <w:pPr>
              <w:jc w:val="right"/>
              <w:rPr>
                <w:sz w:val="18"/>
              </w:rPr>
            </w:pPr>
            <w:r w:rsidRPr="000056A4">
              <w:rPr>
                <w:sz w:val="18"/>
              </w:rPr>
              <w:t>(3.2, 33.3)</w:t>
            </w:r>
          </w:p>
        </w:tc>
        <w:tc>
          <w:tcPr>
            <w:tcW w:w="567" w:type="dxa"/>
            <w:tcBorders>
              <w:bottom w:val="single" w:sz="4" w:space="0" w:color="auto"/>
            </w:tcBorders>
            <w:shd w:val="clear" w:color="auto" w:fill="auto"/>
            <w:vAlign w:val="bottom"/>
          </w:tcPr>
          <w:p w14:paraId="73FECBB2" w14:textId="77777777" w:rsidR="000056A4" w:rsidRPr="000056A4" w:rsidRDefault="000056A4" w:rsidP="000056A4">
            <w:pPr>
              <w:jc w:val="right"/>
              <w:rPr>
                <w:sz w:val="18"/>
              </w:rPr>
            </w:pPr>
            <w:r w:rsidRPr="000056A4">
              <w:rPr>
                <w:sz w:val="18"/>
              </w:rPr>
              <w:t>3</w:t>
            </w:r>
          </w:p>
        </w:tc>
        <w:tc>
          <w:tcPr>
            <w:tcW w:w="567" w:type="dxa"/>
            <w:tcBorders>
              <w:bottom w:val="single" w:sz="4" w:space="0" w:color="auto"/>
            </w:tcBorders>
            <w:shd w:val="clear" w:color="auto" w:fill="auto"/>
            <w:vAlign w:val="bottom"/>
          </w:tcPr>
          <w:p w14:paraId="10D9607B" w14:textId="77777777" w:rsidR="000056A4" w:rsidRPr="000056A4" w:rsidRDefault="000056A4" w:rsidP="000056A4">
            <w:pPr>
              <w:jc w:val="right"/>
              <w:rPr>
                <w:sz w:val="18"/>
              </w:rPr>
            </w:pPr>
            <w:r w:rsidRPr="000056A4">
              <w:rPr>
                <w:sz w:val="18"/>
              </w:rPr>
              <w:t>17.2</w:t>
            </w:r>
          </w:p>
        </w:tc>
        <w:tc>
          <w:tcPr>
            <w:tcW w:w="1135" w:type="dxa"/>
            <w:tcBorders>
              <w:bottom w:val="single" w:sz="4" w:space="0" w:color="auto"/>
            </w:tcBorders>
            <w:vAlign w:val="bottom"/>
          </w:tcPr>
          <w:p w14:paraId="7E57090D" w14:textId="77777777" w:rsidR="000056A4" w:rsidRPr="000056A4" w:rsidRDefault="000056A4" w:rsidP="000056A4">
            <w:pPr>
              <w:jc w:val="right"/>
              <w:rPr>
                <w:sz w:val="18"/>
              </w:rPr>
            </w:pPr>
            <w:r w:rsidRPr="000056A4">
              <w:rPr>
                <w:sz w:val="18"/>
              </w:rPr>
              <w:t>(4.2, 30.1)</w:t>
            </w:r>
          </w:p>
        </w:tc>
        <w:tc>
          <w:tcPr>
            <w:tcW w:w="567" w:type="dxa"/>
            <w:tcBorders>
              <w:bottom w:val="single" w:sz="4" w:space="0" w:color="auto"/>
            </w:tcBorders>
            <w:shd w:val="clear" w:color="auto" w:fill="auto"/>
            <w:vAlign w:val="bottom"/>
          </w:tcPr>
          <w:p w14:paraId="6C0324AB" w14:textId="77777777" w:rsidR="000056A4" w:rsidRPr="000056A4" w:rsidRDefault="000056A4" w:rsidP="000056A4">
            <w:pPr>
              <w:jc w:val="right"/>
              <w:rPr>
                <w:sz w:val="18"/>
              </w:rPr>
            </w:pPr>
            <w:r w:rsidRPr="000056A4">
              <w:rPr>
                <w:sz w:val="18"/>
              </w:rPr>
              <w:t>12</w:t>
            </w:r>
          </w:p>
        </w:tc>
        <w:tc>
          <w:tcPr>
            <w:tcW w:w="568" w:type="dxa"/>
            <w:tcBorders>
              <w:bottom w:val="single" w:sz="4" w:space="0" w:color="auto"/>
            </w:tcBorders>
            <w:shd w:val="clear" w:color="auto" w:fill="auto"/>
            <w:vAlign w:val="bottom"/>
          </w:tcPr>
          <w:p w14:paraId="4FA29228" w14:textId="77777777" w:rsidR="000056A4" w:rsidRPr="000056A4" w:rsidRDefault="000056A4" w:rsidP="000056A4">
            <w:pPr>
              <w:jc w:val="right"/>
              <w:rPr>
                <w:sz w:val="18"/>
              </w:rPr>
            </w:pPr>
            <w:r w:rsidRPr="000056A4">
              <w:rPr>
                <w:sz w:val="18"/>
              </w:rPr>
              <w:t>63.8</w:t>
            </w:r>
          </w:p>
        </w:tc>
        <w:tc>
          <w:tcPr>
            <w:tcW w:w="1137" w:type="dxa"/>
            <w:gridSpan w:val="2"/>
            <w:tcBorders>
              <w:bottom w:val="single" w:sz="4" w:space="0" w:color="auto"/>
            </w:tcBorders>
            <w:vAlign w:val="bottom"/>
          </w:tcPr>
          <w:p w14:paraId="2ACDE0E0" w14:textId="77777777" w:rsidR="000056A4" w:rsidRPr="000056A4" w:rsidRDefault="000056A4" w:rsidP="000056A4">
            <w:pPr>
              <w:jc w:val="right"/>
              <w:rPr>
                <w:sz w:val="18"/>
              </w:rPr>
            </w:pPr>
            <w:r w:rsidRPr="000056A4">
              <w:rPr>
                <w:sz w:val="18"/>
              </w:rPr>
              <w:t>(45.6, 82</w:t>
            </w:r>
            <w:r w:rsidR="00881C7B">
              <w:rPr>
                <w:sz w:val="18"/>
              </w:rPr>
              <w:t>.0</w:t>
            </w:r>
            <w:r w:rsidRPr="000056A4">
              <w:rPr>
                <w:sz w:val="18"/>
              </w:rPr>
              <w:t>)</w:t>
            </w:r>
          </w:p>
        </w:tc>
      </w:tr>
      <w:tr w:rsidR="00616DE1" w:rsidRPr="00313EC6" w14:paraId="6CD672F5" w14:textId="77777777" w:rsidTr="000056A4">
        <w:trPr>
          <w:jc w:val="center"/>
        </w:trPr>
        <w:tc>
          <w:tcPr>
            <w:tcW w:w="3975" w:type="dxa"/>
            <w:gridSpan w:val="3"/>
            <w:tcBorders>
              <w:top w:val="single" w:sz="4" w:space="0" w:color="auto"/>
            </w:tcBorders>
            <w:shd w:val="clear" w:color="auto" w:fill="auto"/>
            <w:vAlign w:val="center"/>
          </w:tcPr>
          <w:p w14:paraId="13FC26A7" w14:textId="77777777" w:rsidR="00616DE1" w:rsidRDefault="00616DE1" w:rsidP="00F724D0">
            <w:pPr>
              <w:spacing w:before="20" w:after="20"/>
              <w:rPr>
                <w:b/>
                <w:color w:val="000000"/>
                <w:sz w:val="18"/>
                <w:szCs w:val="20"/>
              </w:rPr>
            </w:pPr>
          </w:p>
        </w:tc>
        <w:tc>
          <w:tcPr>
            <w:tcW w:w="1276" w:type="dxa"/>
            <w:tcBorders>
              <w:top w:val="single" w:sz="4" w:space="0" w:color="auto"/>
            </w:tcBorders>
          </w:tcPr>
          <w:p w14:paraId="4B639B66" w14:textId="77777777" w:rsidR="00616DE1" w:rsidRPr="00313EC6" w:rsidRDefault="00616DE1" w:rsidP="00F724D0">
            <w:pPr>
              <w:spacing w:before="20" w:after="20"/>
              <w:jc w:val="right"/>
              <w:rPr>
                <w:color w:val="000000"/>
                <w:sz w:val="18"/>
                <w:szCs w:val="20"/>
              </w:rPr>
            </w:pPr>
          </w:p>
        </w:tc>
        <w:tc>
          <w:tcPr>
            <w:tcW w:w="709" w:type="dxa"/>
            <w:tcBorders>
              <w:top w:val="single" w:sz="4" w:space="0" w:color="auto"/>
            </w:tcBorders>
            <w:shd w:val="clear" w:color="auto" w:fill="auto"/>
            <w:vAlign w:val="center"/>
          </w:tcPr>
          <w:p w14:paraId="474D83E0" w14:textId="77777777" w:rsidR="00616DE1" w:rsidRPr="00313EC6" w:rsidRDefault="00616DE1" w:rsidP="00F724D0">
            <w:pPr>
              <w:spacing w:before="20" w:after="20"/>
              <w:jc w:val="right"/>
              <w:rPr>
                <w:color w:val="000000"/>
                <w:sz w:val="18"/>
                <w:szCs w:val="20"/>
              </w:rPr>
            </w:pPr>
          </w:p>
        </w:tc>
        <w:tc>
          <w:tcPr>
            <w:tcW w:w="567" w:type="dxa"/>
            <w:tcBorders>
              <w:top w:val="single" w:sz="4" w:space="0" w:color="auto"/>
            </w:tcBorders>
            <w:shd w:val="clear" w:color="auto" w:fill="auto"/>
            <w:vAlign w:val="center"/>
          </w:tcPr>
          <w:p w14:paraId="03C910D4" w14:textId="77777777" w:rsidR="00616DE1" w:rsidRPr="00313EC6" w:rsidRDefault="00616DE1" w:rsidP="00F724D0">
            <w:pPr>
              <w:spacing w:before="20" w:after="20"/>
              <w:jc w:val="right"/>
              <w:rPr>
                <w:color w:val="000000"/>
                <w:sz w:val="18"/>
                <w:szCs w:val="20"/>
              </w:rPr>
            </w:pPr>
          </w:p>
        </w:tc>
        <w:tc>
          <w:tcPr>
            <w:tcW w:w="1134" w:type="dxa"/>
            <w:tcBorders>
              <w:top w:val="single" w:sz="4" w:space="0" w:color="auto"/>
            </w:tcBorders>
          </w:tcPr>
          <w:p w14:paraId="5397506F" w14:textId="77777777" w:rsidR="00616DE1" w:rsidRPr="00313EC6" w:rsidRDefault="00616DE1" w:rsidP="00F724D0">
            <w:pPr>
              <w:spacing w:before="20" w:after="20"/>
              <w:jc w:val="right"/>
              <w:rPr>
                <w:color w:val="000000"/>
                <w:sz w:val="18"/>
                <w:szCs w:val="20"/>
              </w:rPr>
            </w:pPr>
          </w:p>
        </w:tc>
        <w:tc>
          <w:tcPr>
            <w:tcW w:w="567" w:type="dxa"/>
            <w:tcBorders>
              <w:top w:val="single" w:sz="4" w:space="0" w:color="auto"/>
            </w:tcBorders>
            <w:shd w:val="clear" w:color="auto" w:fill="auto"/>
            <w:vAlign w:val="center"/>
          </w:tcPr>
          <w:p w14:paraId="6EF58DBC" w14:textId="77777777" w:rsidR="00616DE1" w:rsidRPr="00313EC6" w:rsidRDefault="00616DE1" w:rsidP="00F724D0">
            <w:pPr>
              <w:spacing w:before="20" w:after="20"/>
              <w:jc w:val="right"/>
              <w:rPr>
                <w:color w:val="000000"/>
                <w:sz w:val="18"/>
                <w:szCs w:val="20"/>
              </w:rPr>
            </w:pPr>
          </w:p>
        </w:tc>
        <w:tc>
          <w:tcPr>
            <w:tcW w:w="567" w:type="dxa"/>
            <w:tcBorders>
              <w:top w:val="single" w:sz="4" w:space="0" w:color="auto"/>
            </w:tcBorders>
            <w:shd w:val="clear" w:color="auto" w:fill="auto"/>
            <w:vAlign w:val="center"/>
          </w:tcPr>
          <w:p w14:paraId="5D4B5636" w14:textId="77777777" w:rsidR="00616DE1" w:rsidRPr="00313EC6" w:rsidRDefault="00616DE1" w:rsidP="00F724D0">
            <w:pPr>
              <w:spacing w:before="20" w:after="20"/>
              <w:jc w:val="right"/>
              <w:rPr>
                <w:color w:val="000000"/>
                <w:sz w:val="18"/>
                <w:szCs w:val="20"/>
              </w:rPr>
            </w:pPr>
          </w:p>
        </w:tc>
        <w:tc>
          <w:tcPr>
            <w:tcW w:w="1135" w:type="dxa"/>
            <w:tcBorders>
              <w:top w:val="single" w:sz="4" w:space="0" w:color="auto"/>
            </w:tcBorders>
          </w:tcPr>
          <w:p w14:paraId="2E374BA1" w14:textId="77777777" w:rsidR="00616DE1" w:rsidRPr="00313EC6" w:rsidRDefault="00616DE1" w:rsidP="00F724D0">
            <w:pPr>
              <w:spacing w:before="20" w:after="20"/>
              <w:jc w:val="right"/>
              <w:rPr>
                <w:color w:val="000000"/>
                <w:sz w:val="18"/>
                <w:szCs w:val="20"/>
              </w:rPr>
            </w:pPr>
          </w:p>
        </w:tc>
        <w:tc>
          <w:tcPr>
            <w:tcW w:w="567" w:type="dxa"/>
            <w:tcBorders>
              <w:top w:val="single" w:sz="4" w:space="0" w:color="auto"/>
            </w:tcBorders>
            <w:shd w:val="clear" w:color="auto" w:fill="auto"/>
            <w:vAlign w:val="center"/>
          </w:tcPr>
          <w:p w14:paraId="1A5D3C8D" w14:textId="77777777" w:rsidR="00616DE1" w:rsidRPr="00313EC6" w:rsidRDefault="00616DE1" w:rsidP="00F724D0">
            <w:pPr>
              <w:spacing w:before="20" w:after="20"/>
              <w:jc w:val="right"/>
              <w:rPr>
                <w:color w:val="000000"/>
                <w:sz w:val="18"/>
                <w:szCs w:val="20"/>
              </w:rPr>
            </w:pPr>
          </w:p>
        </w:tc>
        <w:tc>
          <w:tcPr>
            <w:tcW w:w="568" w:type="dxa"/>
            <w:tcBorders>
              <w:top w:val="single" w:sz="4" w:space="0" w:color="auto"/>
            </w:tcBorders>
            <w:shd w:val="clear" w:color="auto" w:fill="auto"/>
            <w:vAlign w:val="center"/>
          </w:tcPr>
          <w:p w14:paraId="05E8B7A1" w14:textId="77777777" w:rsidR="00616DE1" w:rsidRPr="00313EC6" w:rsidRDefault="00616DE1" w:rsidP="00F724D0">
            <w:pPr>
              <w:spacing w:before="20" w:after="20"/>
              <w:jc w:val="right"/>
              <w:rPr>
                <w:color w:val="000000"/>
                <w:sz w:val="18"/>
                <w:szCs w:val="20"/>
              </w:rPr>
            </w:pPr>
          </w:p>
        </w:tc>
        <w:tc>
          <w:tcPr>
            <w:tcW w:w="1137" w:type="dxa"/>
            <w:gridSpan w:val="2"/>
            <w:tcBorders>
              <w:top w:val="single" w:sz="4" w:space="0" w:color="auto"/>
            </w:tcBorders>
          </w:tcPr>
          <w:p w14:paraId="4BD95D20" w14:textId="77777777" w:rsidR="00616DE1" w:rsidRPr="00313EC6" w:rsidRDefault="00616DE1" w:rsidP="00F724D0">
            <w:pPr>
              <w:spacing w:before="20" w:after="20"/>
              <w:jc w:val="right"/>
              <w:rPr>
                <w:color w:val="000000"/>
                <w:sz w:val="18"/>
                <w:szCs w:val="20"/>
              </w:rPr>
            </w:pPr>
          </w:p>
        </w:tc>
      </w:tr>
      <w:tr w:rsidR="0095017C" w:rsidRPr="00313EC6" w14:paraId="77F8F9D2" w14:textId="77777777" w:rsidTr="000056A4">
        <w:trPr>
          <w:jc w:val="center"/>
        </w:trPr>
        <w:tc>
          <w:tcPr>
            <w:tcW w:w="3975" w:type="dxa"/>
            <w:gridSpan w:val="3"/>
            <w:tcBorders>
              <w:top w:val="single" w:sz="4" w:space="0" w:color="auto"/>
            </w:tcBorders>
            <w:shd w:val="clear" w:color="auto" w:fill="auto"/>
            <w:vAlign w:val="center"/>
          </w:tcPr>
          <w:p w14:paraId="7A051524" w14:textId="77777777" w:rsidR="0095017C" w:rsidRPr="00313EC6" w:rsidRDefault="0095017C" w:rsidP="00F724D0">
            <w:pPr>
              <w:spacing w:before="20" w:after="20"/>
              <w:rPr>
                <w:b/>
                <w:color w:val="000000"/>
                <w:sz w:val="18"/>
                <w:szCs w:val="20"/>
              </w:rPr>
            </w:pPr>
            <w:r>
              <w:rPr>
                <w:b/>
                <w:color w:val="000000"/>
                <w:sz w:val="18"/>
                <w:szCs w:val="20"/>
              </w:rPr>
              <w:t>Pacific</w:t>
            </w:r>
          </w:p>
        </w:tc>
        <w:tc>
          <w:tcPr>
            <w:tcW w:w="1276" w:type="dxa"/>
            <w:tcBorders>
              <w:top w:val="single" w:sz="4" w:space="0" w:color="auto"/>
            </w:tcBorders>
          </w:tcPr>
          <w:p w14:paraId="3008F4E6" w14:textId="77777777" w:rsidR="0095017C" w:rsidRPr="00313EC6" w:rsidRDefault="0095017C" w:rsidP="00F724D0">
            <w:pPr>
              <w:spacing w:before="20" w:after="20"/>
              <w:jc w:val="right"/>
              <w:rPr>
                <w:color w:val="000000"/>
                <w:sz w:val="18"/>
                <w:szCs w:val="20"/>
              </w:rPr>
            </w:pPr>
          </w:p>
        </w:tc>
        <w:tc>
          <w:tcPr>
            <w:tcW w:w="709" w:type="dxa"/>
            <w:tcBorders>
              <w:top w:val="single" w:sz="4" w:space="0" w:color="auto"/>
            </w:tcBorders>
            <w:shd w:val="clear" w:color="auto" w:fill="auto"/>
            <w:vAlign w:val="center"/>
          </w:tcPr>
          <w:p w14:paraId="62A7E7E8" w14:textId="77777777" w:rsidR="0095017C" w:rsidRPr="00313EC6" w:rsidRDefault="0095017C" w:rsidP="00F724D0">
            <w:pPr>
              <w:spacing w:before="20" w:after="20"/>
              <w:jc w:val="right"/>
              <w:rPr>
                <w:color w:val="000000"/>
                <w:sz w:val="18"/>
                <w:szCs w:val="20"/>
              </w:rPr>
            </w:pPr>
          </w:p>
        </w:tc>
        <w:tc>
          <w:tcPr>
            <w:tcW w:w="567" w:type="dxa"/>
            <w:tcBorders>
              <w:top w:val="single" w:sz="4" w:space="0" w:color="auto"/>
            </w:tcBorders>
            <w:shd w:val="clear" w:color="auto" w:fill="auto"/>
            <w:vAlign w:val="center"/>
          </w:tcPr>
          <w:p w14:paraId="5E788CA4" w14:textId="77777777" w:rsidR="0095017C" w:rsidRPr="00313EC6" w:rsidRDefault="0095017C" w:rsidP="00F724D0">
            <w:pPr>
              <w:spacing w:before="20" w:after="20"/>
              <w:jc w:val="right"/>
              <w:rPr>
                <w:color w:val="000000"/>
                <w:sz w:val="18"/>
                <w:szCs w:val="20"/>
              </w:rPr>
            </w:pPr>
          </w:p>
        </w:tc>
        <w:tc>
          <w:tcPr>
            <w:tcW w:w="1134" w:type="dxa"/>
            <w:tcBorders>
              <w:top w:val="single" w:sz="4" w:space="0" w:color="auto"/>
            </w:tcBorders>
          </w:tcPr>
          <w:p w14:paraId="51B855DB" w14:textId="77777777" w:rsidR="0095017C" w:rsidRPr="00313EC6" w:rsidRDefault="0095017C" w:rsidP="00F724D0">
            <w:pPr>
              <w:spacing w:before="20" w:after="20"/>
              <w:jc w:val="right"/>
              <w:rPr>
                <w:color w:val="000000"/>
                <w:sz w:val="18"/>
                <w:szCs w:val="20"/>
              </w:rPr>
            </w:pPr>
          </w:p>
        </w:tc>
        <w:tc>
          <w:tcPr>
            <w:tcW w:w="567" w:type="dxa"/>
            <w:tcBorders>
              <w:top w:val="single" w:sz="4" w:space="0" w:color="auto"/>
            </w:tcBorders>
            <w:shd w:val="clear" w:color="auto" w:fill="auto"/>
            <w:vAlign w:val="center"/>
          </w:tcPr>
          <w:p w14:paraId="27C28A14" w14:textId="77777777" w:rsidR="0095017C" w:rsidRPr="00313EC6" w:rsidRDefault="0095017C" w:rsidP="00F724D0">
            <w:pPr>
              <w:spacing w:before="20" w:after="20"/>
              <w:jc w:val="right"/>
              <w:rPr>
                <w:color w:val="000000"/>
                <w:sz w:val="18"/>
                <w:szCs w:val="20"/>
              </w:rPr>
            </w:pPr>
          </w:p>
        </w:tc>
        <w:tc>
          <w:tcPr>
            <w:tcW w:w="567" w:type="dxa"/>
            <w:tcBorders>
              <w:top w:val="single" w:sz="4" w:space="0" w:color="auto"/>
            </w:tcBorders>
            <w:shd w:val="clear" w:color="auto" w:fill="auto"/>
            <w:vAlign w:val="center"/>
          </w:tcPr>
          <w:p w14:paraId="6D37DABC" w14:textId="77777777" w:rsidR="0095017C" w:rsidRPr="00313EC6" w:rsidRDefault="0095017C" w:rsidP="00F724D0">
            <w:pPr>
              <w:spacing w:before="20" w:after="20"/>
              <w:jc w:val="right"/>
              <w:rPr>
                <w:color w:val="000000"/>
                <w:sz w:val="18"/>
                <w:szCs w:val="20"/>
              </w:rPr>
            </w:pPr>
          </w:p>
        </w:tc>
        <w:tc>
          <w:tcPr>
            <w:tcW w:w="1135" w:type="dxa"/>
            <w:tcBorders>
              <w:top w:val="single" w:sz="4" w:space="0" w:color="auto"/>
            </w:tcBorders>
          </w:tcPr>
          <w:p w14:paraId="12CF445A" w14:textId="77777777" w:rsidR="0095017C" w:rsidRPr="00313EC6" w:rsidRDefault="0095017C" w:rsidP="00F724D0">
            <w:pPr>
              <w:spacing w:before="20" w:after="20"/>
              <w:jc w:val="right"/>
              <w:rPr>
                <w:color w:val="000000"/>
                <w:sz w:val="18"/>
                <w:szCs w:val="20"/>
              </w:rPr>
            </w:pPr>
          </w:p>
        </w:tc>
        <w:tc>
          <w:tcPr>
            <w:tcW w:w="567" w:type="dxa"/>
            <w:tcBorders>
              <w:top w:val="single" w:sz="4" w:space="0" w:color="auto"/>
            </w:tcBorders>
            <w:shd w:val="clear" w:color="auto" w:fill="auto"/>
            <w:vAlign w:val="center"/>
          </w:tcPr>
          <w:p w14:paraId="347DF375" w14:textId="77777777" w:rsidR="0095017C" w:rsidRPr="00313EC6" w:rsidRDefault="0095017C" w:rsidP="00F724D0">
            <w:pPr>
              <w:spacing w:before="20" w:after="20"/>
              <w:jc w:val="right"/>
              <w:rPr>
                <w:color w:val="000000"/>
                <w:sz w:val="18"/>
                <w:szCs w:val="20"/>
              </w:rPr>
            </w:pPr>
          </w:p>
        </w:tc>
        <w:tc>
          <w:tcPr>
            <w:tcW w:w="568" w:type="dxa"/>
            <w:tcBorders>
              <w:top w:val="single" w:sz="4" w:space="0" w:color="auto"/>
            </w:tcBorders>
            <w:shd w:val="clear" w:color="auto" w:fill="auto"/>
            <w:vAlign w:val="center"/>
          </w:tcPr>
          <w:p w14:paraId="5EF1A346" w14:textId="77777777" w:rsidR="0095017C" w:rsidRPr="00313EC6" w:rsidRDefault="0095017C" w:rsidP="00F724D0">
            <w:pPr>
              <w:spacing w:before="20" w:after="20"/>
              <w:jc w:val="right"/>
              <w:rPr>
                <w:color w:val="000000"/>
                <w:sz w:val="18"/>
                <w:szCs w:val="20"/>
              </w:rPr>
            </w:pPr>
          </w:p>
        </w:tc>
        <w:tc>
          <w:tcPr>
            <w:tcW w:w="1137" w:type="dxa"/>
            <w:gridSpan w:val="2"/>
            <w:tcBorders>
              <w:top w:val="single" w:sz="4" w:space="0" w:color="auto"/>
            </w:tcBorders>
          </w:tcPr>
          <w:p w14:paraId="7711911D" w14:textId="77777777" w:rsidR="0095017C" w:rsidRPr="00313EC6" w:rsidRDefault="0095017C" w:rsidP="00F724D0">
            <w:pPr>
              <w:spacing w:before="20" w:after="20"/>
              <w:jc w:val="right"/>
              <w:rPr>
                <w:color w:val="000000"/>
                <w:sz w:val="18"/>
                <w:szCs w:val="20"/>
              </w:rPr>
            </w:pPr>
          </w:p>
        </w:tc>
      </w:tr>
      <w:tr w:rsidR="0095017C" w:rsidRPr="00313EC6" w14:paraId="400DBA57" w14:textId="77777777" w:rsidTr="000056A4">
        <w:trPr>
          <w:jc w:val="center"/>
        </w:trPr>
        <w:tc>
          <w:tcPr>
            <w:tcW w:w="3975" w:type="dxa"/>
            <w:gridSpan w:val="3"/>
            <w:shd w:val="clear" w:color="auto" w:fill="auto"/>
            <w:vAlign w:val="center"/>
          </w:tcPr>
          <w:p w14:paraId="2594E9E6" w14:textId="77777777" w:rsidR="0095017C" w:rsidRPr="00313EC6" w:rsidRDefault="0095017C" w:rsidP="00F724D0">
            <w:pPr>
              <w:spacing w:before="20" w:after="20"/>
              <w:rPr>
                <w:b/>
                <w:color w:val="000000"/>
                <w:sz w:val="18"/>
                <w:szCs w:val="20"/>
              </w:rPr>
            </w:pPr>
            <w:r w:rsidRPr="00313EC6">
              <w:rPr>
                <w:b/>
                <w:color w:val="000000"/>
                <w:sz w:val="18"/>
                <w:szCs w:val="20"/>
              </w:rPr>
              <w:t>Wave 1 to Wave 2</w:t>
            </w:r>
          </w:p>
        </w:tc>
        <w:tc>
          <w:tcPr>
            <w:tcW w:w="1276" w:type="dxa"/>
          </w:tcPr>
          <w:p w14:paraId="5CDDD2BA" w14:textId="77777777" w:rsidR="0095017C" w:rsidRPr="00313EC6" w:rsidRDefault="0095017C" w:rsidP="00F724D0">
            <w:pPr>
              <w:spacing w:before="20" w:after="20"/>
              <w:jc w:val="right"/>
              <w:rPr>
                <w:color w:val="000000"/>
                <w:sz w:val="18"/>
                <w:szCs w:val="20"/>
              </w:rPr>
            </w:pPr>
          </w:p>
        </w:tc>
        <w:tc>
          <w:tcPr>
            <w:tcW w:w="709" w:type="dxa"/>
            <w:shd w:val="clear" w:color="auto" w:fill="auto"/>
            <w:vAlign w:val="center"/>
          </w:tcPr>
          <w:p w14:paraId="44EA0FEC" w14:textId="77777777" w:rsidR="0095017C" w:rsidRPr="00313EC6" w:rsidRDefault="0095017C" w:rsidP="00F724D0">
            <w:pPr>
              <w:spacing w:before="20" w:after="20"/>
              <w:jc w:val="right"/>
              <w:rPr>
                <w:color w:val="000000"/>
                <w:sz w:val="18"/>
                <w:szCs w:val="20"/>
              </w:rPr>
            </w:pPr>
          </w:p>
        </w:tc>
        <w:tc>
          <w:tcPr>
            <w:tcW w:w="567" w:type="dxa"/>
            <w:shd w:val="clear" w:color="auto" w:fill="auto"/>
            <w:vAlign w:val="center"/>
          </w:tcPr>
          <w:p w14:paraId="6271AF38" w14:textId="77777777" w:rsidR="0095017C" w:rsidRPr="00313EC6" w:rsidRDefault="0095017C" w:rsidP="00F724D0">
            <w:pPr>
              <w:spacing w:before="20" w:after="20"/>
              <w:jc w:val="right"/>
              <w:rPr>
                <w:color w:val="000000"/>
                <w:sz w:val="18"/>
                <w:szCs w:val="20"/>
              </w:rPr>
            </w:pPr>
          </w:p>
        </w:tc>
        <w:tc>
          <w:tcPr>
            <w:tcW w:w="1134" w:type="dxa"/>
          </w:tcPr>
          <w:p w14:paraId="3E5BD30E" w14:textId="77777777" w:rsidR="0095017C" w:rsidRPr="00313EC6" w:rsidRDefault="0095017C" w:rsidP="00F724D0">
            <w:pPr>
              <w:spacing w:before="20" w:after="20"/>
              <w:jc w:val="right"/>
              <w:rPr>
                <w:color w:val="000000"/>
                <w:sz w:val="18"/>
                <w:szCs w:val="20"/>
              </w:rPr>
            </w:pPr>
          </w:p>
        </w:tc>
        <w:tc>
          <w:tcPr>
            <w:tcW w:w="567" w:type="dxa"/>
            <w:shd w:val="clear" w:color="auto" w:fill="auto"/>
            <w:vAlign w:val="center"/>
          </w:tcPr>
          <w:p w14:paraId="63BCA683" w14:textId="77777777" w:rsidR="0095017C" w:rsidRPr="00313EC6" w:rsidRDefault="0095017C" w:rsidP="00F724D0">
            <w:pPr>
              <w:spacing w:before="20" w:after="20"/>
              <w:jc w:val="right"/>
              <w:rPr>
                <w:color w:val="000000"/>
                <w:sz w:val="18"/>
                <w:szCs w:val="20"/>
              </w:rPr>
            </w:pPr>
          </w:p>
        </w:tc>
        <w:tc>
          <w:tcPr>
            <w:tcW w:w="567" w:type="dxa"/>
            <w:shd w:val="clear" w:color="auto" w:fill="auto"/>
            <w:vAlign w:val="center"/>
          </w:tcPr>
          <w:p w14:paraId="574CD50B" w14:textId="77777777" w:rsidR="0095017C" w:rsidRPr="00313EC6" w:rsidRDefault="0095017C" w:rsidP="00F724D0">
            <w:pPr>
              <w:spacing w:before="20" w:after="20"/>
              <w:jc w:val="right"/>
              <w:rPr>
                <w:color w:val="000000"/>
                <w:sz w:val="18"/>
                <w:szCs w:val="20"/>
              </w:rPr>
            </w:pPr>
          </w:p>
        </w:tc>
        <w:tc>
          <w:tcPr>
            <w:tcW w:w="1135" w:type="dxa"/>
          </w:tcPr>
          <w:p w14:paraId="3995DE97" w14:textId="77777777" w:rsidR="0095017C" w:rsidRPr="00313EC6" w:rsidRDefault="0095017C" w:rsidP="00F724D0">
            <w:pPr>
              <w:spacing w:before="20" w:after="20"/>
              <w:jc w:val="right"/>
              <w:rPr>
                <w:color w:val="000000"/>
                <w:sz w:val="18"/>
                <w:szCs w:val="20"/>
              </w:rPr>
            </w:pPr>
          </w:p>
        </w:tc>
        <w:tc>
          <w:tcPr>
            <w:tcW w:w="567" w:type="dxa"/>
            <w:shd w:val="clear" w:color="auto" w:fill="auto"/>
            <w:vAlign w:val="center"/>
          </w:tcPr>
          <w:p w14:paraId="4589074B" w14:textId="77777777" w:rsidR="0095017C" w:rsidRPr="00313EC6" w:rsidRDefault="0095017C" w:rsidP="00F724D0">
            <w:pPr>
              <w:spacing w:before="20" w:after="20"/>
              <w:jc w:val="right"/>
              <w:rPr>
                <w:color w:val="000000"/>
                <w:sz w:val="18"/>
                <w:szCs w:val="20"/>
              </w:rPr>
            </w:pPr>
          </w:p>
        </w:tc>
        <w:tc>
          <w:tcPr>
            <w:tcW w:w="568" w:type="dxa"/>
            <w:shd w:val="clear" w:color="auto" w:fill="auto"/>
            <w:vAlign w:val="center"/>
          </w:tcPr>
          <w:p w14:paraId="34E9AA2E" w14:textId="77777777" w:rsidR="0095017C" w:rsidRPr="00313EC6" w:rsidRDefault="0095017C" w:rsidP="00F724D0">
            <w:pPr>
              <w:spacing w:before="20" w:after="20"/>
              <w:jc w:val="right"/>
              <w:rPr>
                <w:color w:val="000000"/>
                <w:sz w:val="18"/>
                <w:szCs w:val="20"/>
              </w:rPr>
            </w:pPr>
          </w:p>
        </w:tc>
        <w:tc>
          <w:tcPr>
            <w:tcW w:w="1137" w:type="dxa"/>
            <w:gridSpan w:val="2"/>
          </w:tcPr>
          <w:p w14:paraId="033269B3" w14:textId="77777777" w:rsidR="0095017C" w:rsidRPr="00313EC6" w:rsidRDefault="0095017C" w:rsidP="00F724D0">
            <w:pPr>
              <w:spacing w:before="20" w:after="20"/>
              <w:jc w:val="right"/>
              <w:rPr>
                <w:color w:val="000000"/>
                <w:sz w:val="18"/>
                <w:szCs w:val="20"/>
              </w:rPr>
            </w:pPr>
          </w:p>
        </w:tc>
      </w:tr>
      <w:tr w:rsidR="000056A4" w:rsidRPr="00313EC6" w14:paraId="4979BF6A" w14:textId="77777777" w:rsidTr="000056A4">
        <w:trPr>
          <w:jc w:val="center"/>
        </w:trPr>
        <w:tc>
          <w:tcPr>
            <w:tcW w:w="2699" w:type="dxa"/>
            <w:vAlign w:val="center"/>
          </w:tcPr>
          <w:p w14:paraId="69B26BEE" w14:textId="77777777" w:rsidR="000056A4" w:rsidRPr="00313EC6" w:rsidRDefault="000056A4" w:rsidP="00F724D0">
            <w:pPr>
              <w:spacing w:before="20" w:after="20"/>
              <w:ind w:left="88"/>
              <w:rPr>
                <w:sz w:val="18"/>
                <w:szCs w:val="20"/>
              </w:rPr>
            </w:pPr>
            <w:r w:rsidRPr="00313EC6">
              <w:rPr>
                <w:sz w:val="18"/>
                <w:szCs w:val="20"/>
              </w:rPr>
              <w:t>Non-gambler</w:t>
            </w:r>
          </w:p>
        </w:tc>
        <w:tc>
          <w:tcPr>
            <w:tcW w:w="709" w:type="dxa"/>
            <w:shd w:val="clear" w:color="auto" w:fill="auto"/>
          </w:tcPr>
          <w:p w14:paraId="7CE36F83" w14:textId="77777777" w:rsidR="000056A4" w:rsidRPr="000056A4" w:rsidRDefault="000056A4" w:rsidP="00F724D0">
            <w:pPr>
              <w:jc w:val="right"/>
              <w:rPr>
                <w:sz w:val="18"/>
              </w:rPr>
            </w:pPr>
            <w:r w:rsidRPr="000056A4">
              <w:rPr>
                <w:sz w:val="18"/>
              </w:rPr>
              <w:t>33</w:t>
            </w:r>
          </w:p>
        </w:tc>
        <w:tc>
          <w:tcPr>
            <w:tcW w:w="567" w:type="dxa"/>
            <w:shd w:val="clear" w:color="auto" w:fill="auto"/>
          </w:tcPr>
          <w:p w14:paraId="3C39DD91" w14:textId="77777777" w:rsidR="000056A4" w:rsidRPr="000056A4" w:rsidRDefault="000056A4" w:rsidP="00F724D0">
            <w:pPr>
              <w:jc w:val="right"/>
              <w:rPr>
                <w:sz w:val="18"/>
              </w:rPr>
            </w:pPr>
            <w:r w:rsidRPr="000056A4">
              <w:rPr>
                <w:sz w:val="18"/>
              </w:rPr>
              <w:t>70.6</w:t>
            </w:r>
          </w:p>
        </w:tc>
        <w:tc>
          <w:tcPr>
            <w:tcW w:w="1276" w:type="dxa"/>
          </w:tcPr>
          <w:p w14:paraId="12F5C996" w14:textId="77777777" w:rsidR="000056A4" w:rsidRPr="000056A4" w:rsidRDefault="000056A4" w:rsidP="00F724D0">
            <w:pPr>
              <w:jc w:val="right"/>
              <w:rPr>
                <w:sz w:val="18"/>
              </w:rPr>
            </w:pPr>
            <w:r w:rsidRPr="000056A4">
              <w:rPr>
                <w:sz w:val="18"/>
              </w:rPr>
              <w:t>(60.5, 80.7)</w:t>
            </w:r>
          </w:p>
        </w:tc>
        <w:tc>
          <w:tcPr>
            <w:tcW w:w="709" w:type="dxa"/>
            <w:shd w:val="clear" w:color="auto" w:fill="auto"/>
          </w:tcPr>
          <w:p w14:paraId="7A434506" w14:textId="77777777" w:rsidR="000056A4" w:rsidRPr="000056A4" w:rsidRDefault="000056A4" w:rsidP="00F724D0">
            <w:pPr>
              <w:jc w:val="right"/>
              <w:rPr>
                <w:sz w:val="18"/>
              </w:rPr>
            </w:pPr>
            <w:r w:rsidRPr="000056A4">
              <w:rPr>
                <w:sz w:val="18"/>
              </w:rPr>
              <w:t>12</w:t>
            </w:r>
          </w:p>
        </w:tc>
        <w:tc>
          <w:tcPr>
            <w:tcW w:w="567" w:type="dxa"/>
            <w:shd w:val="clear" w:color="auto" w:fill="auto"/>
          </w:tcPr>
          <w:p w14:paraId="01BBE69A" w14:textId="77777777" w:rsidR="000056A4" w:rsidRPr="000056A4" w:rsidRDefault="000056A4" w:rsidP="00F724D0">
            <w:pPr>
              <w:jc w:val="right"/>
              <w:rPr>
                <w:sz w:val="18"/>
              </w:rPr>
            </w:pPr>
            <w:r w:rsidRPr="000056A4">
              <w:rPr>
                <w:sz w:val="18"/>
              </w:rPr>
              <w:t>25.2</w:t>
            </w:r>
          </w:p>
        </w:tc>
        <w:tc>
          <w:tcPr>
            <w:tcW w:w="1134" w:type="dxa"/>
          </w:tcPr>
          <w:p w14:paraId="208A5952" w14:textId="77777777" w:rsidR="000056A4" w:rsidRPr="000056A4" w:rsidRDefault="000056A4" w:rsidP="00F724D0">
            <w:pPr>
              <w:jc w:val="right"/>
              <w:rPr>
                <w:sz w:val="18"/>
              </w:rPr>
            </w:pPr>
            <w:r w:rsidRPr="000056A4">
              <w:rPr>
                <w:sz w:val="18"/>
              </w:rPr>
              <w:t>(15.2, 35.2)</w:t>
            </w:r>
          </w:p>
        </w:tc>
        <w:tc>
          <w:tcPr>
            <w:tcW w:w="567" w:type="dxa"/>
            <w:shd w:val="clear" w:color="auto" w:fill="auto"/>
          </w:tcPr>
          <w:p w14:paraId="76915B2E" w14:textId="77777777" w:rsidR="000056A4" w:rsidRPr="000056A4" w:rsidRDefault="000056A4" w:rsidP="00F724D0">
            <w:pPr>
              <w:jc w:val="right"/>
              <w:rPr>
                <w:sz w:val="18"/>
              </w:rPr>
            </w:pPr>
            <w:r w:rsidRPr="000056A4">
              <w:rPr>
                <w:sz w:val="18"/>
              </w:rPr>
              <w:t>1</w:t>
            </w:r>
          </w:p>
        </w:tc>
        <w:tc>
          <w:tcPr>
            <w:tcW w:w="567" w:type="dxa"/>
            <w:shd w:val="clear" w:color="auto" w:fill="auto"/>
          </w:tcPr>
          <w:p w14:paraId="4163F3FD" w14:textId="77777777" w:rsidR="000056A4" w:rsidRPr="000056A4" w:rsidRDefault="000056A4" w:rsidP="00F724D0">
            <w:pPr>
              <w:jc w:val="right"/>
              <w:rPr>
                <w:sz w:val="18"/>
              </w:rPr>
            </w:pPr>
            <w:r w:rsidRPr="000056A4">
              <w:rPr>
                <w:sz w:val="18"/>
              </w:rPr>
              <w:t>2.2</w:t>
            </w:r>
          </w:p>
        </w:tc>
        <w:tc>
          <w:tcPr>
            <w:tcW w:w="1135" w:type="dxa"/>
          </w:tcPr>
          <w:p w14:paraId="3294098D" w14:textId="77777777" w:rsidR="000056A4" w:rsidRPr="000056A4" w:rsidRDefault="002F172C" w:rsidP="00F724D0">
            <w:pPr>
              <w:jc w:val="right"/>
              <w:rPr>
                <w:sz w:val="18"/>
              </w:rPr>
            </w:pPr>
            <w:r>
              <w:rPr>
                <w:sz w:val="18"/>
              </w:rPr>
              <w:t>!</w:t>
            </w:r>
          </w:p>
        </w:tc>
        <w:tc>
          <w:tcPr>
            <w:tcW w:w="567" w:type="dxa"/>
            <w:shd w:val="clear" w:color="auto" w:fill="auto"/>
          </w:tcPr>
          <w:p w14:paraId="743F3B7D" w14:textId="77777777" w:rsidR="000056A4" w:rsidRPr="000056A4" w:rsidRDefault="000056A4" w:rsidP="00F724D0">
            <w:pPr>
              <w:jc w:val="right"/>
              <w:rPr>
                <w:sz w:val="18"/>
              </w:rPr>
            </w:pPr>
            <w:r w:rsidRPr="000056A4">
              <w:rPr>
                <w:sz w:val="18"/>
              </w:rPr>
              <w:t>1</w:t>
            </w:r>
          </w:p>
        </w:tc>
        <w:tc>
          <w:tcPr>
            <w:tcW w:w="568" w:type="dxa"/>
            <w:shd w:val="clear" w:color="auto" w:fill="auto"/>
          </w:tcPr>
          <w:p w14:paraId="38DA1F60" w14:textId="77777777" w:rsidR="000056A4" w:rsidRPr="000056A4" w:rsidRDefault="000056A4" w:rsidP="00F724D0">
            <w:pPr>
              <w:jc w:val="right"/>
              <w:rPr>
                <w:sz w:val="18"/>
              </w:rPr>
            </w:pPr>
            <w:r w:rsidRPr="000056A4">
              <w:rPr>
                <w:sz w:val="18"/>
              </w:rPr>
              <w:t>2.0</w:t>
            </w:r>
          </w:p>
        </w:tc>
        <w:tc>
          <w:tcPr>
            <w:tcW w:w="1137" w:type="dxa"/>
            <w:gridSpan w:val="2"/>
          </w:tcPr>
          <w:p w14:paraId="22F26E2F" w14:textId="77777777" w:rsidR="000056A4" w:rsidRPr="000056A4" w:rsidRDefault="002F172C" w:rsidP="00F724D0">
            <w:pPr>
              <w:jc w:val="right"/>
              <w:rPr>
                <w:sz w:val="18"/>
              </w:rPr>
            </w:pPr>
            <w:r>
              <w:rPr>
                <w:sz w:val="18"/>
              </w:rPr>
              <w:t>!</w:t>
            </w:r>
          </w:p>
        </w:tc>
      </w:tr>
      <w:tr w:rsidR="000056A4" w:rsidRPr="00313EC6" w14:paraId="6512E04C" w14:textId="77777777" w:rsidTr="000056A4">
        <w:trPr>
          <w:jc w:val="center"/>
        </w:trPr>
        <w:tc>
          <w:tcPr>
            <w:tcW w:w="2699" w:type="dxa"/>
            <w:vAlign w:val="center"/>
          </w:tcPr>
          <w:p w14:paraId="5EB12424" w14:textId="77777777" w:rsidR="000056A4" w:rsidRPr="00313EC6" w:rsidRDefault="000056A4" w:rsidP="00F724D0">
            <w:pPr>
              <w:spacing w:before="20" w:after="20"/>
              <w:ind w:left="88"/>
              <w:rPr>
                <w:sz w:val="18"/>
                <w:szCs w:val="20"/>
              </w:rPr>
            </w:pPr>
            <w:r w:rsidRPr="00313EC6">
              <w:rPr>
                <w:sz w:val="18"/>
                <w:szCs w:val="20"/>
              </w:rPr>
              <w:t>Non-problem gambler</w:t>
            </w:r>
          </w:p>
        </w:tc>
        <w:tc>
          <w:tcPr>
            <w:tcW w:w="709" w:type="dxa"/>
            <w:shd w:val="clear" w:color="auto" w:fill="auto"/>
          </w:tcPr>
          <w:p w14:paraId="4CC462BA" w14:textId="77777777" w:rsidR="000056A4" w:rsidRPr="000056A4" w:rsidRDefault="000056A4" w:rsidP="00F724D0">
            <w:pPr>
              <w:jc w:val="right"/>
              <w:rPr>
                <w:sz w:val="18"/>
              </w:rPr>
            </w:pPr>
            <w:r w:rsidRPr="000056A4">
              <w:rPr>
                <w:sz w:val="18"/>
              </w:rPr>
              <w:t>19</w:t>
            </w:r>
          </w:p>
        </w:tc>
        <w:tc>
          <w:tcPr>
            <w:tcW w:w="567" w:type="dxa"/>
            <w:shd w:val="clear" w:color="auto" w:fill="auto"/>
          </w:tcPr>
          <w:p w14:paraId="250C57C2" w14:textId="77777777" w:rsidR="000056A4" w:rsidRPr="000056A4" w:rsidRDefault="000056A4" w:rsidP="00F724D0">
            <w:pPr>
              <w:jc w:val="right"/>
              <w:rPr>
                <w:sz w:val="18"/>
              </w:rPr>
            </w:pPr>
            <w:r w:rsidRPr="000056A4">
              <w:rPr>
                <w:sz w:val="18"/>
              </w:rPr>
              <w:t>17.1</w:t>
            </w:r>
          </w:p>
        </w:tc>
        <w:tc>
          <w:tcPr>
            <w:tcW w:w="1276" w:type="dxa"/>
          </w:tcPr>
          <w:p w14:paraId="658F6D50" w14:textId="77777777" w:rsidR="000056A4" w:rsidRPr="000056A4" w:rsidRDefault="000056A4" w:rsidP="00F724D0">
            <w:pPr>
              <w:jc w:val="right"/>
              <w:rPr>
                <w:sz w:val="18"/>
              </w:rPr>
            </w:pPr>
            <w:r w:rsidRPr="000056A4">
              <w:rPr>
                <w:sz w:val="18"/>
              </w:rPr>
              <w:t>(12.1, 22.2)</w:t>
            </w:r>
          </w:p>
        </w:tc>
        <w:tc>
          <w:tcPr>
            <w:tcW w:w="709" w:type="dxa"/>
            <w:shd w:val="clear" w:color="auto" w:fill="auto"/>
          </w:tcPr>
          <w:p w14:paraId="4A618CF9" w14:textId="77777777" w:rsidR="000056A4" w:rsidRPr="000056A4" w:rsidRDefault="000056A4" w:rsidP="00F724D0">
            <w:pPr>
              <w:jc w:val="right"/>
              <w:rPr>
                <w:sz w:val="18"/>
              </w:rPr>
            </w:pPr>
            <w:r w:rsidRPr="000056A4">
              <w:rPr>
                <w:sz w:val="18"/>
              </w:rPr>
              <w:t>77</w:t>
            </w:r>
          </w:p>
        </w:tc>
        <w:tc>
          <w:tcPr>
            <w:tcW w:w="567" w:type="dxa"/>
            <w:shd w:val="clear" w:color="auto" w:fill="auto"/>
          </w:tcPr>
          <w:p w14:paraId="1B6A106A" w14:textId="77777777" w:rsidR="000056A4" w:rsidRPr="000056A4" w:rsidRDefault="000056A4" w:rsidP="00F724D0">
            <w:pPr>
              <w:jc w:val="right"/>
              <w:rPr>
                <w:sz w:val="18"/>
              </w:rPr>
            </w:pPr>
            <w:r w:rsidRPr="000056A4">
              <w:rPr>
                <w:sz w:val="18"/>
              </w:rPr>
              <w:t>69.0</w:t>
            </w:r>
          </w:p>
        </w:tc>
        <w:tc>
          <w:tcPr>
            <w:tcW w:w="1134" w:type="dxa"/>
          </w:tcPr>
          <w:p w14:paraId="4F0471D2" w14:textId="77777777" w:rsidR="000056A4" w:rsidRPr="000056A4" w:rsidRDefault="000056A4" w:rsidP="00F724D0">
            <w:pPr>
              <w:jc w:val="right"/>
              <w:rPr>
                <w:sz w:val="18"/>
              </w:rPr>
            </w:pPr>
            <w:r w:rsidRPr="000056A4">
              <w:rPr>
                <w:sz w:val="18"/>
              </w:rPr>
              <w:t>(62.9, 75.2)</w:t>
            </w:r>
          </w:p>
        </w:tc>
        <w:tc>
          <w:tcPr>
            <w:tcW w:w="567" w:type="dxa"/>
            <w:shd w:val="clear" w:color="auto" w:fill="auto"/>
          </w:tcPr>
          <w:p w14:paraId="788F71C8" w14:textId="77777777" w:rsidR="000056A4" w:rsidRPr="000056A4" w:rsidRDefault="000056A4" w:rsidP="00F724D0">
            <w:pPr>
              <w:jc w:val="right"/>
              <w:rPr>
                <w:sz w:val="18"/>
              </w:rPr>
            </w:pPr>
            <w:r w:rsidRPr="000056A4">
              <w:rPr>
                <w:sz w:val="18"/>
              </w:rPr>
              <w:t>11</w:t>
            </w:r>
          </w:p>
        </w:tc>
        <w:tc>
          <w:tcPr>
            <w:tcW w:w="567" w:type="dxa"/>
            <w:shd w:val="clear" w:color="auto" w:fill="auto"/>
          </w:tcPr>
          <w:p w14:paraId="320D0676" w14:textId="77777777" w:rsidR="000056A4" w:rsidRPr="000056A4" w:rsidRDefault="000056A4" w:rsidP="00F724D0">
            <w:pPr>
              <w:jc w:val="right"/>
              <w:rPr>
                <w:sz w:val="18"/>
              </w:rPr>
            </w:pPr>
            <w:r w:rsidRPr="000056A4">
              <w:rPr>
                <w:sz w:val="18"/>
              </w:rPr>
              <w:t>9.9</w:t>
            </w:r>
          </w:p>
        </w:tc>
        <w:tc>
          <w:tcPr>
            <w:tcW w:w="1135" w:type="dxa"/>
          </w:tcPr>
          <w:p w14:paraId="38BD99A3" w14:textId="77777777" w:rsidR="000056A4" w:rsidRPr="000056A4" w:rsidRDefault="000056A4" w:rsidP="00F724D0">
            <w:pPr>
              <w:jc w:val="right"/>
              <w:rPr>
                <w:sz w:val="18"/>
              </w:rPr>
            </w:pPr>
            <w:r w:rsidRPr="000056A4">
              <w:rPr>
                <w:sz w:val="18"/>
              </w:rPr>
              <w:t>(6</w:t>
            </w:r>
            <w:r w:rsidR="00B06D0E">
              <w:rPr>
                <w:sz w:val="18"/>
              </w:rPr>
              <w:t>.0</w:t>
            </w:r>
            <w:r w:rsidRPr="000056A4">
              <w:rPr>
                <w:sz w:val="18"/>
              </w:rPr>
              <w:t>, 13.9)</w:t>
            </w:r>
          </w:p>
        </w:tc>
        <w:tc>
          <w:tcPr>
            <w:tcW w:w="567" w:type="dxa"/>
            <w:shd w:val="clear" w:color="auto" w:fill="auto"/>
          </w:tcPr>
          <w:p w14:paraId="5CBBC19A" w14:textId="77777777" w:rsidR="000056A4" w:rsidRPr="000056A4" w:rsidRDefault="000056A4" w:rsidP="00F724D0">
            <w:pPr>
              <w:jc w:val="right"/>
              <w:rPr>
                <w:sz w:val="18"/>
              </w:rPr>
            </w:pPr>
            <w:r w:rsidRPr="000056A4">
              <w:rPr>
                <w:sz w:val="18"/>
              </w:rPr>
              <w:t>4</w:t>
            </w:r>
          </w:p>
        </w:tc>
        <w:tc>
          <w:tcPr>
            <w:tcW w:w="568" w:type="dxa"/>
            <w:shd w:val="clear" w:color="auto" w:fill="auto"/>
          </w:tcPr>
          <w:p w14:paraId="29FF2469" w14:textId="77777777" w:rsidR="000056A4" w:rsidRPr="000056A4" w:rsidRDefault="000056A4" w:rsidP="00F724D0">
            <w:pPr>
              <w:jc w:val="right"/>
              <w:rPr>
                <w:sz w:val="18"/>
              </w:rPr>
            </w:pPr>
            <w:r w:rsidRPr="000056A4">
              <w:rPr>
                <w:sz w:val="18"/>
              </w:rPr>
              <w:t>3.9</w:t>
            </w:r>
          </w:p>
        </w:tc>
        <w:tc>
          <w:tcPr>
            <w:tcW w:w="1137" w:type="dxa"/>
            <w:gridSpan w:val="2"/>
          </w:tcPr>
          <w:p w14:paraId="3C24A676" w14:textId="77777777" w:rsidR="000056A4" w:rsidRPr="000056A4" w:rsidRDefault="000056A4" w:rsidP="00F724D0">
            <w:pPr>
              <w:jc w:val="right"/>
              <w:rPr>
                <w:sz w:val="18"/>
              </w:rPr>
            </w:pPr>
            <w:r w:rsidRPr="000056A4">
              <w:rPr>
                <w:sz w:val="18"/>
              </w:rPr>
              <w:t>(1.7, 6.1)</w:t>
            </w:r>
          </w:p>
        </w:tc>
      </w:tr>
      <w:tr w:rsidR="000056A4" w:rsidRPr="00313EC6" w14:paraId="7F37B01F" w14:textId="77777777" w:rsidTr="004A48F2">
        <w:trPr>
          <w:jc w:val="center"/>
        </w:trPr>
        <w:tc>
          <w:tcPr>
            <w:tcW w:w="2699" w:type="dxa"/>
            <w:vAlign w:val="center"/>
          </w:tcPr>
          <w:p w14:paraId="20339EE0" w14:textId="77777777" w:rsidR="000056A4" w:rsidRPr="00313EC6" w:rsidRDefault="000056A4" w:rsidP="00F724D0">
            <w:pPr>
              <w:spacing w:before="20" w:after="20"/>
              <w:ind w:left="88"/>
              <w:rPr>
                <w:sz w:val="18"/>
                <w:szCs w:val="20"/>
              </w:rPr>
            </w:pPr>
            <w:r w:rsidRPr="00313EC6">
              <w:rPr>
                <w:sz w:val="18"/>
                <w:szCs w:val="20"/>
              </w:rPr>
              <w:t>Low-risk gambler</w:t>
            </w:r>
          </w:p>
        </w:tc>
        <w:tc>
          <w:tcPr>
            <w:tcW w:w="709" w:type="dxa"/>
            <w:shd w:val="clear" w:color="auto" w:fill="auto"/>
          </w:tcPr>
          <w:p w14:paraId="7762B3FD" w14:textId="77777777" w:rsidR="000056A4" w:rsidRPr="000056A4" w:rsidRDefault="000056A4" w:rsidP="00F724D0">
            <w:pPr>
              <w:jc w:val="right"/>
              <w:rPr>
                <w:sz w:val="18"/>
              </w:rPr>
            </w:pPr>
            <w:r w:rsidRPr="000056A4">
              <w:rPr>
                <w:sz w:val="18"/>
              </w:rPr>
              <w:t>1</w:t>
            </w:r>
          </w:p>
        </w:tc>
        <w:tc>
          <w:tcPr>
            <w:tcW w:w="567" w:type="dxa"/>
            <w:shd w:val="clear" w:color="auto" w:fill="auto"/>
          </w:tcPr>
          <w:p w14:paraId="209FEF17" w14:textId="77777777" w:rsidR="000056A4" w:rsidRPr="000056A4" w:rsidRDefault="000056A4" w:rsidP="00F724D0">
            <w:pPr>
              <w:jc w:val="right"/>
              <w:rPr>
                <w:sz w:val="18"/>
              </w:rPr>
            </w:pPr>
            <w:r w:rsidRPr="000056A4">
              <w:rPr>
                <w:sz w:val="18"/>
              </w:rPr>
              <w:t>5.1</w:t>
            </w:r>
          </w:p>
        </w:tc>
        <w:tc>
          <w:tcPr>
            <w:tcW w:w="1276" w:type="dxa"/>
          </w:tcPr>
          <w:p w14:paraId="32A41AB3" w14:textId="77777777" w:rsidR="000056A4" w:rsidRPr="000056A4" w:rsidRDefault="002F172C" w:rsidP="00F724D0">
            <w:pPr>
              <w:jc w:val="right"/>
              <w:rPr>
                <w:sz w:val="18"/>
              </w:rPr>
            </w:pPr>
            <w:r>
              <w:rPr>
                <w:sz w:val="18"/>
              </w:rPr>
              <w:t>!</w:t>
            </w:r>
          </w:p>
        </w:tc>
        <w:tc>
          <w:tcPr>
            <w:tcW w:w="709" w:type="dxa"/>
            <w:shd w:val="clear" w:color="auto" w:fill="auto"/>
          </w:tcPr>
          <w:p w14:paraId="5CA11A98" w14:textId="77777777" w:rsidR="000056A4" w:rsidRPr="000056A4" w:rsidRDefault="000056A4" w:rsidP="00F724D0">
            <w:pPr>
              <w:jc w:val="right"/>
              <w:rPr>
                <w:sz w:val="18"/>
              </w:rPr>
            </w:pPr>
            <w:r w:rsidRPr="000056A4">
              <w:rPr>
                <w:sz w:val="18"/>
              </w:rPr>
              <w:t>8</w:t>
            </w:r>
          </w:p>
        </w:tc>
        <w:tc>
          <w:tcPr>
            <w:tcW w:w="567" w:type="dxa"/>
            <w:shd w:val="clear" w:color="auto" w:fill="auto"/>
          </w:tcPr>
          <w:p w14:paraId="2B8623B2" w14:textId="77777777" w:rsidR="000056A4" w:rsidRPr="000056A4" w:rsidRDefault="000056A4" w:rsidP="00F724D0">
            <w:pPr>
              <w:jc w:val="right"/>
              <w:rPr>
                <w:sz w:val="18"/>
              </w:rPr>
            </w:pPr>
            <w:r w:rsidRPr="000056A4">
              <w:rPr>
                <w:sz w:val="18"/>
              </w:rPr>
              <w:t>52.2</w:t>
            </w:r>
          </w:p>
        </w:tc>
        <w:tc>
          <w:tcPr>
            <w:tcW w:w="1134" w:type="dxa"/>
          </w:tcPr>
          <w:p w14:paraId="54141B69" w14:textId="77777777" w:rsidR="000056A4" w:rsidRPr="000056A4" w:rsidRDefault="000056A4" w:rsidP="00F724D0">
            <w:pPr>
              <w:jc w:val="right"/>
              <w:rPr>
                <w:sz w:val="18"/>
              </w:rPr>
            </w:pPr>
            <w:r w:rsidRPr="000056A4">
              <w:rPr>
                <w:sz w:val="18"/>
              </w:rPr>
              <w:t>(34.3, 70.1)</w:t>
            </w:r>
          </w:p>
        </w:tc>
        <w:tc>
          <w:tcPr>
            <w:tcW w:w="567" w:type="dxa"/>
            <w:shd w:val="clear" w:color="auto" w:fill="auto"/>
          </w:tcPr>
          <w:p w14:paraId="226C6A61" w14:textId="77777777" w:rsidR="000056A4" w:rsidRPr="000056A4" w:rsidRDefault="000056A4" w:rsidP="00F724D0">
            <w:pPr>
              <w:jc w:val="right"/>
              <w:rPr>
                <w:sz w:val="18"/>
              </w:rPr>
            </w:pPr>
            <w:r w:rsidRPr="000056A4">
              <w:rPr>
                <w:sz w:val="18"/>
              </w:rPr>
              <w:t>4</w:t>
            </w:r>
          </w:p>
        </w:tc>
        <w:tc>
          <w:tcPr>
            <w:tcW w:w="567" w:type="dxa"/>
            <w:shd w:val="clear" w:color="auto" w:fill="auto"/>
          </w:tcPr>
          <w:p w14:paraId="3439DFE9" w14:textId="77777777" w:rsidR="000056A4" w:rsidRPr="000056A4" w:rsidRDefault="000056A4" w:rsidP="00F724D0">
            <w:pPr>
              <w:jc w:val="right"/>
              <w:rPr>
                <w:sz w:val="18"/>
              </w:rPr>
            </w:pPr>
            <w:r w:rsidRPr="000056A4">
              <w:rPr>
                <w:sz w:val="18"/>
              </w:rPr>
              <w:t>22.3</w:t>
            </w:r>
          </w:p>
        </w:tc>
        <w:tc>
          <w:tcPr>
            <w:tcW w:w="1135" w:type="dxa"/>
          </w:tcPr>
          <w:p w14:paraId="2B4FAADD" w14:textId="77777777" w:rsidR="000056A4" w:rsidRPr="000056A4" w:rsidRDefault="000056A4" w:rsidP="00F724D0">
            <w:pPr>
              <w:jc w:val="right"/>
              <w:rPr>
                <w:sz w:val="18"/>
              </w:rPr>
            </w:pPr>
            <w:r w:rsidRPr="000056A4">
              <w:rPr>
                <w:sz w:val="18"/>
              </w:rPr>
              <w:t>(6</w:t>
            </w:r>
            <w:r w:rsidR="00B06D0E">
              <w:rPr>
                <w:sz w:val="18"/>
              </w:rPr>
              <w:t>.0</w:t>
            </w:r>
            <w:r w:rsidRPr="000056A4">
              <w:rPr>
                <w:sz w:val="18"/>
              </w:rPr>
              <w:t>, 38.6)</w:t>
            </w:r>
          </w:p>
        </w:tc>
        <w:tc>
          <w:tcPr>
            <w:tcW w:w="567" w:type="dxa"/>
            <w:shd w:val="clear" w:color="auto" w:fill="auto"/>
          </w:tcPr>
          <w:p w14:paraId="2A5AA31F" w14:textId="77777777" w:rsidR="000056A4" w:rsidRPr="000056A4" w:rsidRDefault="000056A4" w:rsidP="00F724D0">
            <w:pPr>
              <w:jc w:val="right"/>
              <w:rPr>
                <w:sz w:val="18"/>
              </w:rPr>
            </w:pPr>
            <w:r w:rsidRPr="000056A4">
              <w:rPr>
                <w:sz w:val="18"/>
              </w:rPr>
              <w:t>3</w:t>
            </w:r>
          </w:p>
        </w:tc>
        <w:tc>
          <w:tcPr>
            <w:tcW w:w="568" w:type="dxa"/>
            <w:shd w:val="clear" w:color="auto" w:fill="auto"/>
          </w:tcPr>
          <w:p w14:paraId="7230B6FF" w14:textId="77777777" w:rsidR="000056A4" w:rsidRPr="000056A4" w:rsidRDefault="000056A4" w:rsidP="00F724D0">
            <w:pPr>
              <w:jc w:val="right"/>
              <w:rPr>
                <w:sz w:val="18"/>
              </w:rPr>
            </w:pPr>
            <w:r w:rsidRPr="000056A4">
              <w:rPr>
                <w:sz w:val="18"/>
              </w:rPr>
              <w:t>20.4</w:t>
            </w:r>
          </w:p>
        </w:tc>
        <w:tc>
          <w:tcPr>
            <w:tcW w:w="1137" w:type="dxa"/>
            <w:gridSpan w:val="2"/>
          </w:tcPr>
          <w:p w14:paraId="51E95391" w14:textId="77777777" w:rsidR="000056A4" w:rsidRPr="000056A4" w:rsidRDefault="000056A4" w:rsidP="00F724D0">
            <w:pPr>
              <w:jc w:val="right"/>
              <w:rPr>
                <w:sz w:val="18"/>
              </w:rPr>
            </w:pPr>
            <w:r w:rsidRPr="000056A4">
              <w:rPr>
                <w:sz w:val="18"/>
              </w:rPr>
              <w:t>(6.3, 34.5)</w:t>
            </w:r>
          </w:p>
        </w:tc>
      </w:tr>
      <w:tr w:rsidR="000056A4" w:rsidRPr="00313EC6" w14:paraId="6470151B" w14:textId="77777777" w:rsidTr="004A48F2">
        <w:trPr>
          <w:jc w:val="center"/>
        </w:trPr>
        <w:tc>
          <w:tcPr>
            <w:tcW w:w="2699" w:type="dxa"/>
            <w:tcBorders>
              <w:bottom w:val="single" w:sz="4" w:space="0" w:color="auto"/>
            </w:tcBorders>
            <w:vAlign w:val="center"/>
          </w:tcPr>
          <w:p w14:paraId="166C9C49" w14:textId="77777777" w:rsidR="000056A4" w:rsidRPr="00313EC6" w:rsidRDefault="000056A4" w:rsidP="00F724D0">
            <w:pPr>
              <w:spacing w:before="20" w:after="20"/>
              <w:ind w:left="88"/>
              <w:rPr>
                <w:sz w:val="18"/>
                <w:szCs w:val="20"/>
              </w:rPr>
            </w:pPr>
            <w:r w:rsidRPr="00313EC6">
              <w:rPr>
                <w:sz w:val="18"/>
                <w:szCs w:val="20"/>
              </w:rPr>
              <w:t>Moderate-risk</w:t>
            </w:r>
            <w:r>
              <w:rPr>
                <w:sz w:val="18"/>
                <w:szCs w:val="20"/>
              </w:rPr>
              <w:t>/problem</w:t>
            </w:r>
            <w:r w:rsidRPr="00313EC6">
              <w:rPr>
                <w:sz w:val="18"/>
                <w:szCs w:val="20"/>
              </w:rPr>
              <w:t xml:space="preserve"> gambler</w:t>
            </w:r>
          </w:p>
        </w:tc>
        <w:tc>
          <w:tcPr>
            <w:tcW w:w="709" w:type="dxa"/>
            <w:tcBorders>
              <w:bottom w:val="single" w:sz="4" w:space="0" w:color="auto"/>
            </w:tcBorders>
            <w:shd w:val="clear" w:color="auto" w:fill="auto"/>
          </w:tcPr>
          <w:p w14:paraId="5FB45C48" w14:textId="77777777" w:rsidR="000056A4" w:rsidRPr="000056A4" w:rsidRDefault="000056A4" w:rsidP="00F724D0">
            <w:pPr>
              <w:jc w:val="right"/>
              <w:rPr>
                <w:sz w:val="18"/>
              </w:rPr>
            </w:pPr>
            <w:r w:rsidRPr="000056A4">
              <w:rPr>
                <w:sz w:val="18"/>
              </w:rPr>
              <w:t>0</w:t>
            </w:r>
          </w:p>
        </w:tc>
        <w:tc>
          <w:tcPr>
            <w:tcW w:w="567" w:type="dxa"/>
            <w:tcBorders>
              <w:bottom w:val="single" w:sz="4" w:space="0" w:color="auto"/>
            </w:tcBorders>
            <w:shd w:val="clear" w:color="auto" w:fill="auto"/>
          </w:tcPr>
          <w:p w14:paraId="2545261A" w14:textId="77777777" w:rsidR="000056A4" w:rsidRPr="000056A4" w:rsidRDefault="000056A4" w:rsidP="00F724D0">
            <w:pPr>
              <w:jc w:val="right"/>
              <w:rPr>
                <w:sz w:val="18"/>
              </w:rPr>
            </w:pPr>
            <w:r w:rsidRPr="000056A4">
              <w:rPr>
                <w:sz w:val="18"/>
              </w:rPr>
              <w:t>-</w:t>
            </w:r>
          </w:p>
        </w:tc>
        <w:tc>
          <w:tcPr>
            <w:tcW w:w="1276" w:type="dxa"/>
            <w:tcBorders>
              <w:bottom w:val="single" w:sz="4" w:space="0" w:color="auto"/>
            </w:tcBorders>
          </w:tcPr>
          <w:p w14:paraId="68D37528" w14:textId="77777777" w:rsidR="000056A4" w:rsidRPr="000056A4" w:rsidRDefault="000056A4" w:rsidP="00F724D0">
            <w:pPr>
              <w:jc w:val="right"/>
              <w:rPr>
                <w:sz w:val="18"/>
              </w:rPr>
            </w:pPr>
          </w:p>
        </w:tc>
        <w:tc>
          <w:tcPr>
            <w:tcW w:w="709" w:type="dxa"/>
            <w:tcBorders>
              <w:bottom w:val="single" w:sz="4" w:space="0" w:color="auto"/>
            </w:tcBorders>
            <w:shd w:val="clear" w:color="auto" w:fill="auto"/>
          </w:tcPr>
          <w:p w14:paraId="134264D6" w14:textId="77777777" w:rsidR="000056A4" w:rsidRPr="000056A4" w:rsidRDefault="000056A4" w:rsidP="00F724D0">
            <w:pPr>
              <w:jc w:val="right"/>
              <w:rPr>
                <w:sz w:val="18"/>
              </w:rPr>
            </w:pPr>
            <w:r w:rsidRPr="000056A4">
              <w:rPr>
                <w:sz w:val="18"/>
              </w:rPr>
              <w:t>5</w:t>
            </w:r>
          </w:p>
        </w:tc>
        <w:tc>
          <w:tcPr>
            <w:tcW w:w="567" w:type="dxa"/>
            <w:tcBorders>
              <w:bottom w:val="single" w:sz="4" w:space="0" w:color="auto"/>
            </w:tcBorders>
            <w:shd w:val="clear" w:color="auto" w:fill="auto"/>
          </w:tcPr>
          <w:p w14:paraId="75232F65" w14:textId="77777777" w:rsidR="000056A4" w:rsidRPr="000056A4" w:rsidRDefault="000056A4" w:rsidP="00F724D0">
            <w:pPr>
              <w:jc w:val="right"/>
              <w:rPr>
                <w:sz w:val="18"/>
              </w:rPr>
            </w:pPr>
            <w:r w:rsidRPr="000056A4">
              <w:rPr>
                <w:sz w:val="18"/>
              </w:rPr>
              <w:t>50.6</w:t>
            </w:r>
          </w:p>
        </w:tc>
        <w:tc>
          <w:tcPr>
            <w:tcW w:w="1134" w:type="dxa"/>
            <w:tcBorders>
              <w:bottom w:val="single" w:sz="4" w:space="0" w:color="auto"/>
            </w:tcBorders>
          </w:tcPr>
          <w:p w14:paraId="61DE24BC" w14:textId="77777777" w:rsidR="000056A4" w:rsidRPr="000056A4" w:rsidRDefault="000056A4" w:rsidP="00F724D0">
            <w:pPr>
              <w:jc w:val="right"/>
              <w:rPr>
                <w:sz w:val="18"/>
              </w:rPr>
            </w:pPr>
            <w:r w:rsidRPr="000056A4">
              <w:rPr>
                <w:sz w:val="18"/>
              </w:rPr>
              <w:t>(28</w:t>
            </w:r>
            <w:r w:rsidR="00B06D0E">
              <w:rPr>
                <w:sz w:val="18"/>
              </w:rPr>
              <w:t>.0</w:t>
            </w:r>
            <w:r w:rsidRPr="000056A4">
              <w:rPr>
                <w:sz w:val="18"/>
              </w:rPr>
              <w:t>, 73.2)</w:t>
            </w:r>
          </w:p>
        </w:tc>
        <w:tc>
          <w:tcPr>
            <w:tcW w:w="567" w:type="dxa"/>
            <w:tcBorders>
              <w:bottom w:val="single" w:sz="4" w:space="0" w:color="auto"/>
            </w:tcBorders>
            <w:shd w:val="clear" w:color="auto" w:fill="auto"/>
          </w:tcPr>
          <w:p w14:paraId="223421A2" w14:textId="77777777" w:rsidR="000056A4" w:rsidRPr="000056A4" w:rsidRDefault="000056A4" w:rsidP="00F724D0">
            <w:pPr>
              <w:jc w:val="right"/>
              <w:rPr>
                <w:sz w:val="18"/>
              </w:rPr>
            </w:pPr>
            <w:r w:rsidRPr="000056A4">
              <w:rPr>
                <w:sz w:val="18"/>
              </w:rPr>
              <w:t>1</w:t>
            </w:r>
          </w:p>
        </w:tc>
        <w:tc>
          <w:tcPr>
            <w:tcW w:w="567" w:type="dxa"/>
            <w:tcBorders>
              <w:bottom w:val="single" w:sz="4" w:space="0" w:color="auto"/>
            </w:tcBorders>
            <w:shd w:val="clear" w:color="auto" w:fill="auto"/>
          </w:tcPr>
          <w:p w14:paraId="44FAF574" w14:textId="77777777" w:rsidR="000056A4" w:rsidRPr="000056A4" w:rsidRDefault="000056A4" w:rsidP="00F724D0">
            <w:pPr>
              <w:jc w:val="right"/>
              <w:rPr>
                <w:sz w:val="18"/>
              </w:rPr>
            </w:pPr>
            <w:r w:rsidRPr="000056A4">
              <w:rPr>
                <w:sz w:val="18"/>
              </w:rPr>
              <w:t>9.5</w:t>
            </w:r>
          </w:p>
        </w:tc>
        <w:tc>
          <w:tcPr>
            <w:tcW w:w="1135" w:type="dxa"/>
            <w:tcBorders>
              <w:bottom w:val="single" w:sz="4" w:space="0" w:color="auto"/>
            </w:tcBorders>
          </w:tcPr>
          <w:p w14:paraId="6AA7466B" w14:textId="77777777" w:rsidR="000056A4" w:rsidRPr="000056A4" w:rsidRDefault="002F172C" w:rsidP="00F724D0">
            <w:pPr>
              <w:jc w:val="right"/>
              <w:rPr>
                <w:sz w:val="18"/>
              </w:rPr>
            </w:pPr>
            <w:r>
              <w:rPr>
                <w:sz w:val="18"/>
              </w:rPr>
              <w:t>!</w:t>
            </w:r>
          </w:p>
        </w:tc>
        <w:tc>
          <w:tcPr>
            <w:tcW w:w="567" w:type="dxa"/>
            <w:tcBorders>
              <w:bottom w:val="single" w:sz="4" w:space="0" w:color="auto"/>
            </w:tcBorders>
            <w:shd w:val="clear" w:color="auto" w:fill="auto"/>
          </w:tcPr>
          <w:p w14:paraId="2E456A90" w14:textId="77777777" w:rsidR="000056A4" w:rsidRPr="000056A4" w:rsidRDefault="000056A4" w:rsidP="00F724D0">
            <w:pPr>
              <w:jc w:val="right"/>
              <w:rPr>
                <w:sz w:val="18"/>
              </w:rPr>
            </w:pPr>
            <w:r w:rsidRPr="000056A4">
              <w:rPr>
                <w:sz w:val="18"/>
              </w:rPr>
              <w:t>4</w:t>
            </w:r>
          </w:p>
        </w:tc>
        <w:tc>
          <w:tcPr>
            <w:tcW w:w="568" w:type="dxa"/>
            <w:tcBorders>
              <w:bottom w:val="single" w:sz="4" w:space="0" w:color="auto"/>
            </w:tcBorders>
            <w:shd w:val="clear" w:color="auto" w:fill="auto"/>
          </w:tcPr>
          <w:p w14:paraId="3815DB2C" w14:textId="77777777" w:rsidR="000056A4" w:rsidRPr="000056A4" w:rsidRDefault="000056A4" w:rsidP="00F724D0">
            <w:pPr>
              <w:jc w:val="right"/>
              <w:rPr>
                <w:sz w:val="18"/>
              </w:rPr>
            </w:pPr>
            <w:r w:rsidRPr="000056A4">
              <w:rPr>
                <w:sz w:val="18"/>
              </w:rPr>
              <w:t>39.9</w:t>
            </w:r>
          </w:p>
        </w:tc>
        <w:tc>
          <w:tcPr>
            <w:tcW w:w="1137" w:type="dxa"/>
            <w:gridSpan w:val="2"/>
            <w:tcBorders>
              <w:bottom w:val="single" w:sz="4" w:space="0" w:color="auto"/>
            </w:tcBorders>
          </w:tcPr>
          <w:p w14:paraId="3985FE0D" w14:textId="77777777" w:rsidR="000056A4" w:rsidRPr="000056A4" w:rsidRDefault="000056A4" w:rsidP="00F724D0">
            <w:pPr>
              <w:jc w:val="right"/>
              <w:rPr>
                <w:sz w:val="18"/>
              </w:rPr>
            </w:pPr>
            <w:r w:rsidRPr="000056A4">
              <w:rPr>
                <w:sz w:val="18"/>
              </w:rPr>
              <w:t>(19.1, 60.8)</w:t>
            </w:r>
          </w:p>
        </w:tc>
      </w:tr>
      <w:tr w:rsidR="0095017C" w:rsidRPr="00313EC6" w14:paraId="1F7BF812" w14:textId="77777777" w:rsidTr="004A48F2">
        <w:trPr>
          <w:jc w:val="center"/>
        </w:trPr>
        <w:tc>
          <w:tcPr>
            <w:tcW w:w="3975" w:type="dxa"/>
            <w:gridSpan w:val="3"/>
            <w:tcBorders>
              <w:top w:val="single" w:sz="4" w:space="0" w:color="auto"/>
            </w:tcBorders>
            <w:shd w:val="clear" w:color="auto" w:fill="auto"/>
            <w:vAlign w:val="center"/>
          </w:tcPr>
          <w:p w14:paraId="3AE6AB97" w14:textId="77777777" w:rsidR="0095017C" w:rsidRPr="00313EC6" w:rsidRDefault="0095017C" w:rsidP="00F724D0">
            <w:pPr>
              <w:keepNext/>
              <w:spacing w:before="20" w:after="20"/>
              <w:rPr>
                <w:b/>
                <w:color w:val="000000"/>
                <w:sz w:val="18"/>
                <w:szCs w:val="20"/>
              </w:rPr>
            </w:pPr>
            <w:r w:rsidRPr="00313EC6">
              <w:rPr>
                <w:b/>
                <w:color w:val="000000"/>
                <w:sz w:val="18"/>
                <w:szCs w:val="20"/>
              </w:rPr>
              <w:t>Wave 2 to Wave 3</w:t>
            </w:r>
          </w:p>
        </w:tc>
        <w:tc>
          <w:tcPr>
            <w:tcW w:w="1276" w:type="dxa"/>
            <w:tcBorders>
              <w:top w:val="single" w:sz="4" w:space="0" w:color="auto"/>
            </w:tcBorders>
            <w:vAlign w:val="center"/>
          </w:tcPr>
          <w:p w14:paraId="3E518038" w14:textId="77777777" w:rsidR="0095017C" w:rsidRPr="00313EC6" w:rsidRDefault="0095017C" w:rsidP="00F724D0">
            <w:pPr>
              <w:keepNext/>
              <w:spacing w:before="20" w:after="20"/>
              <w:jc w:val="right"/>
              <w:rPr>
                <w:color w:val="000000"/>
                <w:sz w:val="18"/>
                <w:szCs w:val="20"/>
              </w:rPr>
            </w:pPr>
          </w:p>
        </w:tc>
        <w:tc>
          <w:tcPr>
            <w:tcW w:w="709" w:type="dxa"/>
            <w:tcBorders>
              <w:top w:val="single" w:sz="4" w:space="0" w:color="auto"/>
            </w:tcBorders>
            <w:shd w:val="clear" w:color="auto" w:fill="auto"/>
            <w:vAlign w:val="center"/>
          </w:tcPr>
          <w:p w14:paraId="57B0BF4E" w14:textId="77777777" w:rsidR="0095017C" w:rsidRPr="00313EC6" w:rsidRDefault="0095017C" w:rsidP="00F724D0">
            <w:pPr>
              <w:keepNext/>
              <w:spacing w:before="20" w:after="20"/>
              <w:jc w:val="right"/>
              <w:rPr>
                <w:color w:val="000000"/>
                <w:sz w:val="18"/>
                <w:szCs w:val="20"/>
              </w:rPr>
            </w:pPr>
          </w:p>
        </w:tc>
        <w:tc>
          <w:tcPr>
            <w:tcW w:w="567" w:type="dxa"/>
            <w:tcBorders>
              <w:top w:val="single" w:sz="4" w:space="0" w:color="auto"/>
            </w:tcBorders>
            <w:shd w:val="clear" w:color="auto" w:fill="auto"/>
            <w:vAlign w:val="center"/>
          </w:tcPr>
          <w:p w14:paraId="32A800CF" w14:textId="77777777" w:rsidR="0095017C" w:rsidRPr="00313EC6" w:rsidRDefault="0095017C" w:rsidP="00F724D0">
            <w:pPr>
              <w:keepNext/>
              <w:spacing w:before="20" w:after="20"/>
              <w:jc w:val="right"/>
              <w:rPr>
                <w:color w:val="000000"/>
                <w:sz w:val="18"/>
                <w:szCs w:val="20"/>
              </w:rPr>
            </w:pPr>
          </w:p>
        </w:tc>
        <w:tc>
          <w:tcPr>
            <w:tcW w:w="1134" w:type="dxa"/>
            <w:tcBorders>
              <w:top w:val="single" w:sz="4" w:space="0" w:color="auto"/>
            </w:tcBorders>
            <w:vAlign w:val="center"/>
          </w:tcPr>
          <w:p w14:paraId="7233C722" w14:textId="77777777" w:rsidR="0095017C" w:rsidRPr="00313EC6" w:rsidRDefault="0095017C" w:rsidP="00F724D0">
            <w:pPr>
              <w:keepNext/>
              <w:jc w:val="right"/>
              <w:rPr>
                <w:rFonts w:ascii="Calibri" w:hAnsi="Calibri"/>
                <w:color w:val="000000"/>
                <w:sz w:val="18"/>
                <w:szCs w:val="22"/>
              </w:rPr>
            </w:pPr>
          </w:p>
        </w:tc>
        <w:tc>
          <w:tcPr>
            <w:tcW w:w="567" w:type="dxa"/>
            <w:tcBorders>
              <w:top w:val="single" w:sz="4" w:space="0" w:color="auto"/>
            </w:tcBorders>
            <w:shd w:val="clear" w:color="auto" w:fill="auto"/>
            <w:vAlign w:val="center"/>
          </w:tcPr>
          <w:p w14:paraId="476B5D8F" w14:textId="77777777" w:rsidR="0095017C" w:rsidRPr="00313EC6" w:rsidRDefault="0095017C" w:rsidP="00F724D0">
            <w:pPr>
              <w:keepNext/>
              <w:jc w:val="right"/>
              <w:rPr>
                <w:rFonts w:ascii="Calibri" w:hAnsi="Calibri"/>
                <w:color w:val="000000"/>
                <w:sz w:val="18"/>
                <w:szCs w:val="22"/>
              </w:rPr>
            </w:pPr>
          </w:p>
        </w:tc>
        <w:tc>
          <w:tcPr>
            <w:tcW w:w="567" w:type="dxa"/>
            <w:tcBorders>
              <w:top w:val="single" w:sz="4" w:space="0" w:color="auto"/>
            </w:tcBorders>
            <w:shd w:val="clear" w:color="auto" w:fill="auto"/>
            <w:vAlign w:val="center"/>
          </w:tcPr>
          <w:p w14:paraId="7CF11AAD" w14:textId="77777777" w:rsidR="0095017C" w:rsidRPr="00313EC6" w:rsidRDefault="0095017C" w:rsidP="00F724D0">
            <w:pPr>
              <w:keepNext/>
              <w:jc w:val="right"/>
              <w:rPr>
                <w:sz w:val="18"/>
                <w:szCs w:val="20"/>
              </w:rPr>
            </w:pPr>
          </w:p>
        </w:tc>
        <w:tc>
          <w:tcPr>
            <w:tcW w:w="1135" w:type="dxa"/>
            <w:tcBorders>
              <w:top w:val="single" w:sz="4" w:space="0" w:color="auto"/>
            </w:tcBorders>
            <w:vAlign w:val="center"/>
          </w:tcPr>
          <w:p w14:paraId="489955FC" w14:textId="77777777" w:rsidR="0095017C" w:rsidRPr="00313EC6" w:rsidRDefault="0095017C" w:rsidP="00F724D0">
            <w:pPr>
              <w:keepNext/>
              <w:jc w:val="right"/>
              <w:rPr>
                <w:rFonts w:ascii="Calibri" w:hAnsi="Calibri"/>
                <w:color w:val="000000"/>
                <w:sz w:val="16"/>
                <w:szCs w:val="22"/>
              </w:rPr>
            </w:pPr>
          </w:p>
        </w:tc>
        <w:tc>
          <w:tcPr>
            <w:tcW w:w="567" w:type="dxa"/>
            <w:tcBorders>
              <w:top w:val="single" w:sz="4" w:space="0" w:color="auto"/>
            </w:tcBorders>
            <w:shd w:val="clear" w:color="auto" w:fill="auto"/>
            <w:vAlign w:val="center"/>
          </w:tcPr>
          <w:p w14:paraId="3D847731" w14:textId="77777777" w:rsidR="0095017C" w:rsidRPr="00313EC6" w:rsidRDefault="0095017C" w:rsidP="00F724D0">
            <w:pPr>
              <w:keepNext/>
              <w:jc w:val="right"/>
              <w:rPr>
                <w:rFonts w:ascii="Calibri" w:hAnsi="Calibri"/>
                <w:color w:val="000000"/>
                <w:sz w:val="18"/>
                <w:szCs w:val="22"/>
              </w:rPr>
            </w:pPr>
          </w:p>
        </w:tc>
        <w:tc>
          <w:tcPr>
            <w:tcW w:w="568" w:type="dxa"/>
            <w:tcBorders>
              <w:top w:val="single" w:sz="4" w:space="0" w:color="auto"/>
            </w:tcBorders>
            <w:shd w:val="clear" w:color="auto" w:fill="auto"/>
            <w:vAlign w:val="center"/>
          </w:tcPr>
          <w:p w14:paraId="1DDD7A0E" w14:textId="77777777" w:rsidR="0095017C" w:rsidRPr="00313EC6" w:rsidRDefault="0095017C" w:rsidP="00F724D0">
            <w:pPr>
              <w:keepNext/>
              <w:jc w:val="right"/>
              <w:rPr>
                <w:sz w:val="18"/>
                <w:szCs w:val="20"/>
              </w:rPr>
            </w:pPr>
          </w:p>
        </w:tc>
        <w:tc>
          <w:tcPr>
            <w:tcW w:w="1137" w:type="dxa"/>
            <w:gridSpan w:val="2"/>
            <w:tcBorders>
              <w:top w:val="single" w:sz="4" w:space="0" w:color="auto"/>
            </w:tcBorders>
            <w:vAlign w:val="center"/>
          </w:tcPr>
          <w:p w14:paraId="54A02A1A" w14:textId="77777777" w:rsidR="0095017C" w:rsidRPr="00313EC6" w:rsidRDefault="0095017C" w:rsidP="00F724D0">
            <w:pPr>
              <w:keepNext/>
              <w:jc w:val="right"/>
              <w:rPr>
                <w:rFonts w:ascii="Calibri" w:hAnsi="Calibri"/>
                <w:color w:val="000000"/>
                <w:sz w:val="18"/>
                <w:szCs w:val="22"/>
              </w:rPr>
            </w:pPr>
          </w:p>
        </w:tc>
      </w:tr>
      <w:tr w:rsidR="000056A4" w:rsidRPr="00313EC6" w14:paraId="2EFCE8A9" w14:textId="77777777" w:rsidTr="000056A4">
        <w:trPr>
          <w:jc w:val="center"/>
        </w:trPr>
        <w:tc>
          <w:tcPr>
            <w:tcW w:w="2699" w:type="dxa"/>
            <w:vAlign w:val="center"/>
          </w:tcPr>
          <w:p w14:paraId="71E88F19" w14:textId="77777777" w:rsidR="000056A4" w:rsidRPr="00313EC6" w:rsidRDefault="000056A4" w:rsidP="00F724D0">
            <w:pPr>
              <w:keepNext/>
              <w:spacing w:before="20" w:after="20"/>
              <w:ind w:left="88"/>
              <w:rPr>
                <w:sz w:val="18"/>
                <w:szCs w:val="20"/>
              </w:rPr>
            </w:pPr>
            <w:r w:rsidRPr="00313EC6">
              <w:rPr>
                <w:sz w:val="18"/>
                <w:szCs w:val="20"/>
              </w:rPr>
              <w:t>Non-gambler</w:t>
            </w:r>
          </w:p>
        </w:tc>
        <w:tc>
          <w:tcPr>
            <w:tcW w:w="709" w:type="dxa"/>
            <w:shd w:val="clear" w:color="auto" w:fill="auto"/>
          </w:tcPr>
          <w:p w14:paraId="01C693A5" w14:textId="77777777" w:rsidR="000056A4" w:rsidRPr="00B06D0E" w:rsidRDefault="000056A4" w:rsidP="00F724D0">
            <w:pPr>
              <w:keepNext/>
              <w:jc w:val="right"/>
              <w:rPr>
                <w:sz w:val="18"/>
              </w:rPr>
            </w:pPr>
            <w:r w:rsidRPr="00B06D0E">
              <w:rPr>
                <w:sz w:val="18"/>
              </w:rPr>
              <w:t>28</w:t>
            </w:r>
          </w:p>
        </w:tc>
        <w:tc>
          <w:tcPr>
            <w:tcW w:w="567" w:type="dxa"/>
            <w:shd w:val="clear" w:color="auto" w:fill="auto"/>
          </w:tcPr>
          <w:p w14:paraId="3A1AC13C" w14:textId="77777777" w:rsidR="000056A4" w:rsidRPr="00B06D0E" w:rsidRDefault="000056A4" w:rsidP="00F724D0">
            <w:pPr>
              <w:keepNext/>
              <w:jc w:val="right"/>
              <w:rPr>
                <w:sz w:val="18"/>
              </w:rPr>
            </w:pPr>
            <w:r w:rsidRPr="00B06D0E">
              <w:rPr>
                <w:sz w:val="18"/>
              </w:rPr>
              <w:t>65.5</w:t>
            </w:r>
          </w:p>
        </w:tc>
        <w:tc>
          <w:tcPr>
            <w:tcW w:w="1276" w:type="dxa"/>
          </w:tcPr>
          <w:p w14:paraId="2F73FFA7" w14:textId="77777777" w:rsidR="000056A4" w:rsidRPr="00B06D0E" w:rsidRDefault="000056A4" w:rsidP="00F724D0">
            <w:pPr>
              <w:keepNext/>
              <w:jc w:val="right"/>
              <w:rPr>
                <w:sz w:val="18"/>
              </w:rPr>
            </w:pPr>
            <w:r w:rsidRPr="00B06D0E">
              <w:rPr>
                <w:sz w:val="18"/>
              </w:rPr>
              <w:t>(54.2, 76.8)</w:t>
            </w:r>
          </w:p>
        </w:tc>
        <w:tc>
          <w:tcPr>
            <w:tcW w:w="709" w:type="dxa"/>
            <w:shd w:val="clear" w:color="auto" w:fill="auto"/>
          </w:tcPr>
          <w:p w14:paraId="102386E2" w14:textId="77777777" w:rsidR="000056A4" w:rsidRPr="00B06D0E" w:rsidRDefault="000056A4" w:rsidP="00F724D0">
            <w:pPr>
              <w:keepNext/>
              <w:jc w:val="right"/>
              <w:rPr>
                <w:sz w:val="18"/>
              </w:rPr>
            </w:pPr>
            <w:r w:rsidRPr="00B06D0E">
              <w:rPr>
                <w:sz w:val="18"/>
              </w:rPr>
              <w:t>14</w:t>
            </w:r>
          </w:p>
        </w:tc>
        <w:tc>
          <w:tcPr>
            <w:tcW w:w="567" w:type="dxa"/>
            <w:shd w:val="clear" w:color="auto" w:fill="auto"/>
          </w:tcPr>
          <w:p w14:paraId="3DFA3E14" w14:textId="77777777" w:rsidR="000056A4" w:rsidRPr="00B06D0E" w:rsidRDefault="000056A4" w:rsidP="00F724D0">
            <w:pPr>
              <w:keepNext/>
              <w:jc w:val="right"/>
              <w:rPr>
                <w:sz w:val="18"/>
              </w:rPr>
            </w:pPr>
            <w:r w:rsidRPr="00B06D0E">
              <w:rPr>
                <w:sz w:val="18"/>
              </w:rPr>
              <w:t>31.5</w:t>
            </w:r>
          </w:p>
        </w:tc>
        <w:tc>
          <w:tcPr>
            <w:tcW w:w="1134" w:type="dxa"/>
          </w:tcPr>
          <w:p w14:paraId="442C6506" w14:textId="77777777" w:rsidR="000056A4" w:rsidRPr="00B06D0E" w:rsidRDefault="000056A4" w:rsidP="00F724D0">
            <w:pPr>
              <w:keepNext/>
              <w:jc w:val="right"/>
              <w:rPr>
                <w:sz w:val="18"/>
              </w:rPr>
            </w:pPr>
            <w:r w:rsidRPr="00B06D0E">
              <w:rPr>
                <w:sz w:val="18"/>
              </w:rPr>
              <w:t>(20.4, 42.5)</w:t>
            </w:r>
          </w:p>
        </w:tc>
        <w:tc>
          <w:tcPr>
            <w:tcW w:w="567" w:type="dxa"/>
            <w:shd w:val="clear" w:color="auto" w:fill="auto"/>
          </w:tcPr>
          <w:p w14:paraId="762C7643" w14:textId="77777777" w:rsidR="000056A4" w:rsidRPr="00B06D0E" w:rsidRDefault="000056A4" w:rsidP="00F724D0">
            <w:pPr>
              <w:keepNext/>
              <w:jc w:val="right"/>
              <w:rPr>
                <w:sz w:val="18"/>
              </w:rPr>
            </w:pPr>
            <w:r w:rsidRPr="00B06D0E">
              <w:rPr>
                <w:sz w:val="18"/>
              </w:rPr>
              <w:t>1</w:t>
            </w:r>
          </w:p>
        </w:tc>
        <w:tc>
          <w:tcPr>
            <w:tcW w:w="567" w:type="dxa"/>
            <w:shd w:val="clear" w:color="auto" w:fill="auto"/>
          </w:tcPr>
          <w:p w14:paraId="22C1D570" w14:textId="77777777" w:rsidR="000056A4" w:rsidRPr="00B06D0E" w:rsidRDefault="000056A4" w:rsidP="00F724D0">
            <w:pPr>
              <w:keepNext/>
              <w:jc w:val="right"/>
              <w:rPr>
                <w:sz w:val="18"/>
              </w:rPr>
            </w:pPr>
            <w:r w:rsidRPr="00B06D0E">
              <w:rPr>
                <w:sz w:val="18"/>
              </w:rPr>
              <w:t>3.1</w:t>
            </w:r>
          </w:p>
        </w:tc>
        <w:tc>
          <w:tcPr>
            <w:tcW w:w="1135" w:type="dxa"/>
          </w:tcPr>
          <w:p w14:paraId="0125EF26" w14:textId="77777777" w:rsidR="000056A4" w:rsidRPr="00B06D0E" w:rsidRDefault="002F172C" w:rsidP="00F724D0">
            <w:pPr>
              <w:keepNext/>
              <w:jc w:val="right"/>
              <w:rPr>
                <w:sz w:val="18"/>
              </w:rPr>
            </w:pPr>
            <w:r>
              <w:rPr>
                <w:sz w:val="18"/>
              </w:rPr>
              <w:t>!</w:t>
            </w:r>
          </w:p>
        </w:tc>
        <w:tc>
          <w:tcPr>
            <w:tcW w:w="567" w:type="dxa"/>
            <w:shd w:val="clear" w:color="auto" w:fill="auto"/>
          </w:tcPr>
          <w:p w14:paraId="275446E5" w14:textId="77777777" w:rsidR="000056A4" w:rsidRPr="00B06D0E" w:rsidRDefault="000056A4" w:rsidP="00F724D0">
            <w:pPr>
              <w:keepNext/>
              <w:jc w:val="right"/>
              <w:rPr>
                <w:sz w:val="18"/>
              </w:rPr>
            </w:pPr>
            <w:r w:rsidRPr="00B06D0E">
              <w:rPr>
                <w:sz w:val="18"/>
              </w:rPr>
              <w:t>0</w:t>
            </w:r>
          </w:p>
        </w:tc>
        <w:tc>
          <w:tcPr>
            <w:tcW w:w="568" w:type="dxa"/>
            <w:shd w:val="clear" w:color="auto" w:fill="auto"/>
          </w:tcPr>
          <w:p w14:paraId="67307A9C" w14:textId="77777777" w:rsidR="000056A4" w:rsidRPr="00B06D0E" w:rsidRDefault="000056A4" w:rsidP="00F724D0">
            <w:pPr>
              <w:keepNext/>
              <w:jc w:val="right"/>
              <w:rPr>
                <w:sz w:val="18"/>
              </w:rPr>
            </w:pPr>
            <w:r w:rsidRPr="00B06D0E">
              <w:rPr>
                <w:sz w:val="18"/>
              </w:rPr>
              <w:t>-</w:t>
            </w:r>
          </w:p>
        </w:tc>
        <w:tc>
          <w:tcPr>
            <w:tcW w:w="1137" w:type="dxa"/>
            <w:gridSpan w:val="2"/>
          </w:tcPr>
          <w:p w14:paraId="49DC9996" w14:textId="77777777" w:rsidR="000056A4" w:rsidRPr="00B06D0E" w:rsidRDefault="000056A4" w:rsidP="00F724D0">
            <w:pPr>
              <w:keepNext/>
              <w:jc w:val="right"/>
              <w:rPr>
                <w:sz w:val="18"/>
              </w:rPr>
            </w:pPr>
          </w:p>
        </w:tc>
      </w:tr>
      <w:tr w:rsidR="000056A4" w:rsidRPr="00313EC6" w14:paraId="51ACD214" w14:textId="77777777" w:rsidTr="000056A4">
        <w:trPr>
          <w:jc w:val="center"/>
        </w:trPr>
        <w:tc>
          <w:tcPr>
            <w:tcW w:w="2699" w:type="dxa"/>
            <w:vAlign w:val="center"/>
          </w:tcPr>
          <w:p w14:paraId="377654B7" w14:textId="77777777" w:rsidR="000056A4" w:rsidRPr="00313EC6" w:rsidRDefault="000056A4" w:rsidP="00F724D0">
            <w:pPr>
              <w:keepNext/>
              <w:spacing w:before="20" w:after="20"/>
              <w:ind w:left="88"/>
              <w:rPr>
                <w:sz w:val="18"/>
                <w:szCs w:val="20"/>
              </w:rPr>
            </w:pPr>
            <w:r w:rsidRPr="00313EC6">
              <w:rPr>
                <w:sz w:val="18"/>
                <w:szCs w:val="20"/>
              </w:rPr>
              <w:t>Non-problem gambler</w:t>
            </w:r>
          </w:p>
        </w:tc>
        <w:tc>
          <w:tcPr>
            <w:tcW w:w="709" w:type="dxa"/>
            <w:shd w:val="clear" w:color="auto" w:fill="auto"/>
          </w:tcPr>
          <w:p w14:paraId="519CC898" w14:textId="77777777" w:rsidR="000056A4" w:rsidRPr="00B06D0E" w:rsidRDefault="000056A4" w:rsidP="00F724D0">
            <w:pPr>
              <w:keepNext/>
              <w:jc w:val="right"/>
              <w:rPr>
                <w:sz w:val="18"/>
              </w:rPr>
            </w:pPr>
            <w:r w:rsidRPr="00B06D0E">
              <w:rPr>
                <w:sz w:val="18"/>
              </w:rPr>
              <w:t>12</w:t>
            </w:r>
          </w:p>
        </w:tc>
        <w:tc>
          <w:tcPr>
            <w:tcW w:w="567" w:type="dxa"/>
            <w:shd w:val="clear" w:color="auto" w:fill="auto"/>
          </w:tcPr>
          <w:p w14:paraId="06C86070" w14:textId="77777777" w:rsidR="000056A4" w:rsidRPr="00B06D0E" w:rsidRDefault="000056A4" w:rsidP="00F724D0">
            <w:pPr>
              <w:keepNext/>
              <w:jc w:val="right"/>
              <w:rPr>
                <w:sz w:val="18"/>
              </w:rPr>
            </w:pPr>
            <w:r w:rsidRPr="00B06D0E">
              <w:rPr>
                <w:sz w:val="18"/>
              </w:rPr>
              <w:t>15.3</w:t>
            </w:r>
          </w:p>
        </w:tc>
        <w:tc>
          <w:tcPr>
            <w:tcW w:w="1276" w:type="dxa"/>
          </w:tcPr>
          <w:p w14:paraId="50286DC5" w14:textId="77777777" w:rsidR="000056A4" w:rsidRPr="00B06D0E" w:rsidRDefault="000056A4" w:rsidP="00F724D0">
            <w:pPr>
              <w:keepNext/>
              <w:jc w:val="right"/>
              <w:rPr>
                <w:sz w:val="18"/>
              </w:rPr>
            </w:pPr>
            <w:r w:rsidRPr="00B06D0E">
              <w:rPr>
                <w:sz w:val="18"/>
              </w:rPr>
              <w:t>(9.2, 21.4)</w:t>
            </w:r>
          </w:p>
        </w:tc>
        <w:tc>
          <w:tcPr>
            <w:tcW w:w="709" w:type="dxa"/>
            <w:shd w:val="clear" w:color="auto" w:fill="auto"/>
          </w:tcPr>
          <w:p w14:paraId="3A080A8A" w14:textId="77777777" w:rsidR="000056A4" w:rsidRPr="00B06D0E" w:rsidRDefault="000056A4" w:rsidP="00F724D0">
            <w:pPr>
              <w:keepNext/>
              <w:jc w:val="right"/>
              <w:rPr>
                <w:sz w:val="18"/>
              </w:rPr>
            </w:pPr>
            <w:r w:rsidRPr="00B06D0E">
              <w:rPr>
                <w:sz w:val="18"/>
              </w:rPr>
              <w:t>56</w:t>
            </w:r>
          </w:p>
        </w:tc>
        <w:tc>
          <w:tcPr>
            <w:tcW w:w="567" w:type="dxa"/>
            <w:shd w:val="clear" w:color="auto" w:fill="auto"/>
          </w:tcPr>
          <w:p w14:paraId="61892028" w14:textId="77777777" w:rsidR="000056A4" w:rsidRPr="00B06D0E" w:rsidRDefault="000056A4" w:rsidP="00F724D0">
            <w:pPr>
              <w:keepNext/>
              <w:jc w:val="right"/>
              <w:rPr>
                <w:sz w:val="18"/>
              </w:rPr>
            </w:pPr>
            <w:r w:rsidRPr="00B06D0E">
              <w:rPr>
                <w:sz w:val="18"/>
              </w:rPr>
              <w:t>68.9</w:t>
            </w:r>
          </w:p>
        </w:tc>
        <w:tc>
          <w:tcPr>
            <w:tcW w:w="1134" w:type="dxa"/>
          </w:tcPr>
          <w:p w14:paraId="64A37812" w14:textId="77777777" w:rsidR="000056A4" w:rsidRPr="00B06D0E" w:rsidRDefault="000056A4" w:rsidP="00F724D0">
            <w:pPr>
              <w:keepNext/>
              <w:jc w:val="right"/>
              <w:rPr>
                <w:sz w:val="18"/>
              </w:rPr>
            </w:pPr>
            <w:r w:rsidRPr="00B06D0E">
              <w:rPr>
                <w:sz w:val="18"/>
              </w:rPr>
              <w:t>(61.4, 76.5)</w:t>
            </w:r>
          </w:p>
        </w:tc>
        <w:tc>
          <w:tcPr>
            <w:tcW w:w="567" w:type="dxa"/>
            <w:shd w:val="clear" w:color="auto" w:fill="auto"/>
          </w:tcPr>
          <w:p w14:paraId="6E4226B3" w14:textId="77777777" w:rsidR="000056A4" w:rsidRPr="00B06D0E" w:rsidRDefault="000056A4" w:rsidP="00F724D0">
            <w:pPr>
              <w:keepNext/>
              <w:jc w:val="right"/>
              <w:rPr>
                <w:sz w:val="18"/>
              </w:rPr>
            </w:pPr>
            <w:r w:rsidRPr="00B06D0E">
              <w:rPr>
                <w:sz w:val="18"/>
              </w:rPr>
              <w:t>8</w:t>
            </w:r>
          </w:p>
        </w:tc>
        <w:tc>
          <w:tcPr>
            <w:tcW w:w="567" w:type="dxa"/>
            <w:shd w:val="clear" w:color="auto" w:fill="auto"/>
          </w:tcPr>
          <w:p w14:paraId="7AD38AE6" w14:textId="77777777" w:rsidR="000056A4" w:rsidRPr="00B06D0E" w:rsidRDefault="000056A4" w:rsidP="00F724D0">
            <w:pPr>
              <w:keepNext/>
              <w:jc w:val="right"/>
              <w:rPr>
                <w:sz w:val="18"/>
              </w:rPr>
            </w:pPr>
            <w:r w:rsidRPr="00B06D0E">
              <w:rPr>
                <w:sz w:val="18"/>
              </w:rPr>
              <w:t>9.9</w:t>
            </w:r>
          </w:p>
        </w:tc>
        <w:tc>
          <w:tcPr>
            <w:tcW w:w="1135" w:type="dxa"/>
          </w:tcPr>
          <w:p w14:paraId="20848CB9" w14:textId="77777777" w:rsidR="000056A4" w:rsidRPr="00B06D0E" w:rsidRDefault="000056A4" w:rsidP="00F724D0">
            <w:pPr>
              <w:keepNext/>
              <w:jc w:val="right"/>
              <w:rPr>
                <w:sz w:val="18"/>
              </w:rPr>
            </w:pPr>
            <w:r w:rsidRPr="00B06D0E">
              <w:rPr>
                <w:sz w:val="18"/>
              </w:rPr>
              <w:t>(5.4, 14.3)</w:t>
            </w:r>
          </w:p>
        </w:tc>
        <w:tc>
          <w:tcPr>
            <w:tcW w:w="567" w:type="dxa"/>
            <w:shd w:val="clear" w:color="auto" w:fill="auto"/>
          </w:tcPr>
          <w:p w14:paraId="18174FBB" w14:textId="77777777" w:rsidR="000056A4" w:rsidRPr="00B06D0E" w:rsidRDefault="000056A4" w:rsidP="00F724D0">
            <w:pPr>
              <w:keepNext/>
              <w:jc w:val="right"/>
              <w:rPr>
                <w:sz w:val="18"/>
              </w:rPr>
            </w:pPr>
            <w:r w:rsidRPr="00B06D0E">
              <w:rPr>
                <w:sz w:val="18"/>
              </w:rPr>
              <w:t>5</w:t>
            </w:r>
          </w:p>
        </w:tc>
        <w:tc>
          <w:tcPr>
            <w:tcW w:w="568" w:type="dxa"/>
            <w:shd w:val="clear" w:color="auto" w:fill="auto"/>
          </w:tcPr>
          <w:p w14:paraId="515A6717" w14:textId="77777777" w:rsidR="000056A4" w:rsidRPr="00B06D0E" w:rsidRDefault="000056A4" w:rsidP="00F724D0">
            <w:pPr>
              <w:keepNext/>
              <w:jc w:val="right"/>
              <w:rPr>
                <w:sz w:val="18"/>
              </w:rPr>
            </w:pPr>
            <w:r w:rsidRPr="00B06D0E">
              <w:rPr>
                <w:sz w:val="18"/>
              </w:rPr>
              <w:t>5.9</w:t>
            </w:r>
          </w:p>
        </w:tc>
        <w:tc>
          <w:tcPr>
            <w:tcW w:w="1137" w:type="dxa"/>
            <w:gridSpan w:val="2"/>
          </w:tcPr>
          <w:p w14:paraId="1431B300" w14:textId="77777777" w:rsidR="000056A4" w:rsidRPr="00B06D0E" w:rsidRDefault="000056A4" w:rsidP="00F724D0">
            <w:pPr>
              <w:keepNext/>
              <w:jc w:val="right"/>
              <w:rPr>
                <w:sz w:val="18"/>
              </w:rPr>
            </w:pPr>
            <w:r w:rsidRPr="00B06D0E">
              <w:rPr>
                <w:sz w:val="18"/>
              </w:rPr>
              <w:t>(2.5, 9.4)</w:t>
            </w:r>
          </w:p>
        </w:tc>
      </w:tr>
      <w:tr w:rsidR="000056A4" w:rsidRPr="00313EC6" w14:paraId="51EDDBC8" w14:textId="77777777" w:rsidTr="000056A4">
        <w:trPr>
          <w:jc w:val="center"/>
        </w:trPr>
        <w:tc>
          <w:tcPr>
            <w:tcW w:w="2699" w:type="dxa"/>
            <w:vAlign w:val="center"/>
          </w:tcPr>
          <w:p w14:paraId="6E042341" w14:textId="77777777" w:rsidR="000056A4" w:rsidRPr="00313EC6" w:rsidRDefault="000056A4" w:rsidP="00F724D0">
            <w:pPr>
              <w:keepNext/>
              <w:spacing w:before="20" w:after="20"/>
              <w:ind w:left="88"/>
              <w:rPr>
                <w:sz w:val="18"/>
                <w:szCs w:val="20"/>
              </w:rPr>
            </w:pPr>
            <w:r w:rsidRPr="00313EC6">
              <w:rPr>
                <w:sz w:val="18"/>
                <w:szCs w:val="20"/>
              </w:rPr>
              <w:t>Low-risk gambler</w:t>
            </w:r>
          </w:p>
        </w:tc>
        <w:tc>
          <w:tcPr>
            <w:tcW w:w="709" w:type="dxa"/>
            <w:shd w:val="clear" w:color="auto" w:fill="auto"/>
          </w:tcPr>
          <w:p w14:paraId="2FC95439" w14:textId="77777777" w:rsidR="000056A4" w:rsidRPr="00B06D0E" w:rsidRDefault="000056A4" w:rsidP="00F724D0">
            <w:pPr>
              <w:keepNext/>
              <w:jc w:val="right"/>
              <w:rPr>
                <w:sz w:val="18"/>
              </w:rPr>
            </w:pPr>
            <w:r w:rsidRPr="00B06D0E">
              <w:rPr>
                <w:sz w:val="18"/>
              </w:rPr>
              <w:t>1</w:t>
            </w:r>
          </w:p>
        </w:tc>
        <w:tc>
          <w:tcPr>
            <w:tcW w:w="567" w:type="dxa"/>
            <w:shd w:val="clear" w:color="auto" w:fill="auto"/>
          </w:tcPr>
          <w:p w14:paraId="59B0DFDA" w14:textId="77777777" w:rsidR="000056A4" w:rsidRPr="00B06D0E" w:rsidRDefault="000056A4" w:rsidP="00F724D0">
            <w:pPr>
              <w:keepNext/>
              <w:jc w:val="right"/>
              <w:rPr>
                <w:sz w:val="18"/>
              </w:rPr>
            </w:pPr>
            <w:r w:rsidRPr="00B06D0E">
              <w:rPr>
                <w:sz w:val="18"/>
              </w:rPr>
              <w:t>3.8</w:t>
            </w:r>
          </w:p>
        </w:tc>
        <w:tc>
          <w:tcPr>
            <w:tcW w:w="1276" w:type="dxa"/>
          </w:tcPr>
          <w:p w14:paraId="7188A388" w14:textId="77777777" w:rsidR="000056A4" w:rsidRPr="00B06D0E" w:rsidRDefault="002F172C" w:rsidP="00F724D0">
            <w:pPr>
              <w:keepNext/>
              <w:jc w:val="right"/>
              <w:rPr>
                <w:sz w:val="18"/>
              </w:rPr>
            </w:pPr>
            <w:r>
              <w:rPr>
                <w:sz w:val="18"/>
              </w:rPr>
              <w:t>!</w:t>
            </w:r>
          </w:p>
        </w:tc>
        <w:tc>
          <w:tcPr>
            <w:tcW w:w="709" w:type="dxa"/>
            <w:shd w:val="clear" w:color="auto" w:fill="auto"/>
          </w:tcPr>
          <w:p w14:paraId="21F6837B" w14:textId="77777777" w:rsidR="000056A4" w:rsidRPr="00B06D0E" w:rsidRDefault="000056A4" w:rsidP="00F724D0">
            <w:pPr>
              <w:keepNext/>
              <w:jc w:val="right"/>
              <w:rPr>
                <w:sz w:val="18"/>
              </w:rPr>
            </w:pPr>
            <w:r w:rsidRPr="00B06D0E">
              <w:rPr>
                <w:sz w:val="18"/>
              </w:rPr>
              <w:t>9</w:t>
            </w:r>
          </w:p>
        </w:tc>
        <w:tc>
          <w:tcPr>
            <w:tcW w:w="567" w:type="dxa"/>
            <w:shd w:val="clear" w:color="auto" w:fill="auto"/>
          </w:tcPr>
          <w:p w14:paraId="091ECEE4" w14:textId="77777777" w:rsidR="000056A4" w:rsidRPr="00B06D0E" w:rsidRDefault="000056A4" w:rsidP="00F724D0">
            <w:pPr>
              <w:keepNext/>
              <w:jc w:val="right"/>
              <w:rPr>
                <w:sz w:val="18"/>
              </w:rPr>
            </w:pPr>
            <w:r w:rsidRPr="00B06D0E">
              <w:rPr>
                <w:sz w:val="18"/>
              </w:rPr>
              <w:t>65.7</w:t>
            </w:r>
          </w:p>
        </w:tc>
        <w:tc>
          <w:tcPr>
            <w:tcW w:w="1134" w:type="dxa"/>
          </w:tcPr>
          <w:p w14:paraId="7DF3C60F" w14:textId="77777777" w:rsidR="000056A4" w:rsidRPr="00B06D0E" w:rsidRDefault="000056A4" w:rsidP="00F724D0">
            <w:pPr>
              <w:keepNext/>
              <w:jc w:val="right"/>
              <w:rPr>
                <w:sz w:val="18"/>
              </w:rPr>
            </w:pPr>
            <w:r w:rsidRPr="00B06D0E">
              <w:rPr>
                <w:sz w:val="18"/>
              </w:rPr>
              <w:t>(44.8, 86.5)</w:t>
            </w:r>
          </w:p>
        </w:tc>
        <w:tc>
          <w:tcPr>
            <w:tcW w:w="567" w:type="dxa"/>
            <w:shd w:val="clear" w:color="auto" w:fill="auto"/>
          </w:tcPr>
          <w:p w14:paraId="0C02275C" w14:textId="77777777" w:rsidR="000056A4" w:rsidRPr="00B06D0E" w:rsidRDefault="000056A4" w:rsidP="00F724D0">
            <w:pPr>
              <w:keepNext/>
              <w:jc w:val="right"/>
              <w:rPr>
                <w:sz w:val="18"/>
              </w:rPr>
            </w:pPr>
            <w:r w:rsidRPr="00B06D0E">
              <w:rPr>
                <w:sz w:val="18"/>
              </w:rPr>
              <w:t>3</w:t>
            </w:r>
          </w:p>
        </w:tc>
        <w:tc>
          <w:tcPr>
            <w:tcW w:w="567" w:type="dxa"/>
            <w:shd w:val="clear" w:color="auto" w:fill="auto"/>
          </w:tcPr>
          <w:p w14:paraId="49ACBC47" w14:textId="77777777" w:rsidR="000056A4" w:rsidRPr="00B06D0E" w:rsidRDefault="000056A4" w:rsidP="00F724D0">
            <w:pPr>
              <w:keepNext/>
              <w:jc w:val="right"/>
              <w:rPr>
                <w:sz w:val="18"/>
              </w:rPr>
            </w:pPr>
            <w:r w:rsidRPr="00B06D0E">
              <w:rPr>
                <w:sz w:val="18"/>
              </w:rPr>
              <w:t>23.4</w:t>
            </w:r>
          </w:p>
        </w:tc>
        <w:tc>
          <w:tcPr>
            <w:tcW w:w="1135" w:type="dxa"/>
          </w:tcPr>
          <w:p w14:paraId="02BFD10E" w14:textId="77777777" w:rsidR="000056A4" w:rsidRPr="00B06D0E" w:rsidRDefault="000056A4" w:rsidP="00F724D0">
            <w:pPr>
              <w:keepNext/>
              <w:jc w:val="right"/>
              <w:rPr>
                <w:sz w:val="18"/>
              </w:rPr>
            </w:pPr>
            <w:r w:rsidRPr="00B06D0E">
              <w:rPr>
                <w:sz w:val="18"/>
              </w:rPr>
              <w:t>(3.5, 43.3)</w:t>
            </w:r>
          </w:p>
        </w:tc>
        <w:tc>
          <w:tcPr>
            <w:tcW w:w="567" w:type="dxa"/>
            <w:shd w:val="clear" w:color="auto" w:fill="auto"/>
          </w:tcPr>
          <w:p w14:paraId="13C3B0B9" w14:textId="77777777" w:rsidR="000056A4" w:rsidRPr="00B06D0E" w:rsidRDefault="000056A4" w:rsidP="00F724D0">
            <w:pPr>
              <w:keepNext/>
              <w:jc w:val="right"/>
              <w:rPr>
                <w:sz w:val="18"/>
              </w:rPr>
            </w:pPr>
            <w:r w:rsidRPr="00B06D0E">
              <w:rPr>
                <w:sz w:val="18"/>
              </w:rPr>
              <w:t>1</w:t>
            </w:r>
          </w:p>
        </w:tc>
        <w:tc>
          <w:tcPr>
            <w:tcW w:w="568" w:type="dxa"/>
            <w:shd w:val="clear" w:color="auto" w:fill="auto"/>
          </w:tcPr>
          <w:p w14:paraId="555F6A3F" w14:textId="77777777" w:rsidR="000056A4" w:rsidRPr="00B06D0E" w:rsidRDefault="000056A4" w:rsidP="00F724D0">
            <w:pPr>
              <w:keepNext/>
              <w:jc w:val="right"/>
              <w:rPr>
                <w:sz w:val="18"/>
              </w:rPr>
            </w:pPr>
            <w:r w:rsidRPr="00B06D0E">
              <w:rPr>
                <w:sz w:val="18"/>
              </w:rPr>
              <w:t>7.1</w:t>
            </w:r>
          </w:p>
        </w:tc>
        <w:tc>
          <w:tcPr>
            <w:tcW w:w="1137" w:type="dxa"/>
            <w:gridSpan w:val="2"/>
          </w:tcPr>
          <w:p w14:paraId="487BD6D7" w14:textId="77777777" w:rsidR="000056A4" w:rsidRPr="00B06D0E" w:rsidRDefault="002F172C" w:rsidP="00F724D0">
            <w:pPr>
              <w:keepNext/>
              <w:jc w:val="right"/>
              <w:rPr>
                <w:sz w:val="18"/>
              </w:rPr>
            </w:pPr>
            <w:r>
              <w:rPr>
                <w:sz w:val="18"/>
              </w:rPr>
              <w:t>!</w:t>
            </w:r>
          </w:p>
        </w:tc>
      </w:tr>
      <w:tr w:rsidR="000056A4" w:rsidRPr="00313EC6" w14:paraId="637D6C0B" w14:textId="77777777" w:rsidTr="000056A4">
        <w:trPr>
          <w:jc w:val="center"/>
        </w:trPr>
        <w:tc>
          <w:tcPr>
            <w:tcW w:w="2699" w:type="dxa"/>
            <w:vAlign w:val="center"/>
          </w:tcPr>
          <w:p w14:paraId="2D157427" w14:textId="77777777" w:rsidR="000056A4" w:rsidRPr="00313EC6" w:rsidRDefault="000056A4" w:rsidP="00F724D0">
            <w:pPr>
              <w:keepNext/>
              <w:spacing w:before="20" w:after="20"/>
              <w:ind w:left="88"/>
              <w:rPr>
                <w:sz w:val="18"/>
                <w:szCs w:val="20"/>
              </w:rPr>
            </w:pPr>
            <w:r w:rsidRPr="00313EC6">
              <w:rPr>
                <w:sz w:val="18"/>
                <w:szCs w:val="20"/>
              </w:rPr>
              <w:t>Moderate-risk</w:t>
            </w:r>
            <w:r>
              <w:rPr>
                <w:sz w:val="18"/>
                <w:szCs w:val="20"/>
              </w:rPr>
              <w:t>/problem</w:t>
            </w:r>
            <w:r w:rsidRPr="00313EC6">
              <w:rPr>
                <w:sz w:val="18"/>
                <w:szCs w:val="20"/>
              </w:rPr>
              <w:t xml:space="preserve"> gambler</w:t>
            </w:r>
          </w:p>
        </w:tc>
        <w:tc>
          <w:tcPr>
            <w:tcW w:w="709" w:type="dxa"/>
            <w:shd w:val="clear" w:color="auto" w:fill="auto"/>
          </w:tcPr>
          <w:p w14:paraId="2B15D69C" w14:textId="77777777" w:rsidR="000056A4" w:rsidRPr="00B06D0E" w:rsidRDefault="000056A4" w:rsidP="00F724D0">
            <w:pPr>
              <w:keepNext/>
              <w:jc w:val="right"/>
              <w:rPr>
                <w:sz w:val="18"/>
              </w:rPr>
            </w:pPr>
            <w:r w:rsidRPr="00B06D0E">
              <w:rPr>
                <w:sz w:val="18"/>
              </w:rPr>
              <w:t>1</w:t>
            </w:r>
          </w:p>
        </w:tc>
        <w:tc>
          <w:tcPr>
            <w:tcW w:w="567" w:type="dxa"/>
            <w:shd w:val="clear" w:color="auto" w:fill="auto"/>
          </w:tcPr>
          <w:p w14:paraId="7FD6DB5C" w14:textId="77777777" w:rsidR="000056A4" w:rsidRPr="00B06D0E" w:rsidRDefault="000056A4" w:rsidP="00F724D0">
            <w:pPr>
              <w:keepNext/>
              <w:jc w:val="right"/>
              <w:rPr>
                <w:sz w:val="18"/>
              </w:rPr>
            </w:pPr>
            <w:r w:rsidRPr="00B06D0E">
              <w:rPr>
                <w:sz w:val="18"/>
              </w:rPr>
              <w:t>11.4</w:t>
            </w:r>
          </w:p>
        </w:tc>
        <w:tc>
          <w:tcPr>
            <w:tcW w:w="1276" w:type="dxa"/>
          </w:tcPr>
          <w:p w14:paraId="70AA5D91" w14:textId="77777777" w:rsidR="000056A4" w:rsidRPr="00B06D0E" w:rsidRDefault="002F172C" w:rsidP="00F724D0">
            <w:pPr>
              <w:keepNext/>
              <w:jc w:val="right"/>
              <w:rPr>
                <w:sz w:val="18"/>
              </w:rPr>
            </w:pPr>
            <w:r>
              <w:rPr>
                <w:sz w:val="18"/>
              </w:rPr>
              <w:t>!</w:t>
            </w:r>
          </w:p>
        </w:tc>
        <w:tc>
          <w:tcPr>
            <w:tcW w:w="709" w:type="dxa"/>
            <w:shd w:val="clear" w:color="auto" w:fill="auto"/>
          </w:tcPr>
          <w:p w14:paraId="52D47B56" w14:textId="77777777" w:rsidR="000056A4" w:rsidRPr="00B06D0E" w:rsidRDefault="000056A4" w:rsidP="00F724D0">
            <w:pPr>
              <w:keepNext/>
              <w:jc w:val="right"/>
              <w:rPr>
                <w:sz w:val="18"/>
              </w:rPr>
            </w:pPr>
            <w:r w:rsidRPr="00B06D0E">
              <w:rPr>
                <w:sz w:val="18"/>
              </w:rPr>
              <w:t>2</w:t>
            </w:r>
          </w:p>
        </w:tc>
        <w:tc>
          <w:tcPr>
            <w:tcW w:w="567" w:type="dxa"/>
            <w:shd w:val="clear" w:color="auto" w:fill="auto"/>
          </w:tcPr>
          <w:p w14:paraId="3C8C6F3B" w14:textId="77777777" w:rsidR="000056A4" w:rsidRPr="00B06D0E" w:rsidRDefault="000056A4" w:rsidP="00F724D0">
            <w:pPr>
              <w:keepNext/>
              <w:jc w:val="right"/>
              <w:rPr>
                <w:sz w:val="18"/>
              </w:rPr>
            </w:pPr>
            <w:r w:rsidRPr="00B06D0E">
              <w:rPr>
                <w:sz w:val="18"/>
              </w:rPr>
              <w:t>15.1</w:t>
            </w:r>
          </w:p>
        </w:tc>
        <w:tc>
          <w:tcPr>
            <w:tcW w:w="1134" w:type="dxa"/>
          </w:tcPr>
          <w:p w14:paraId="7293EDDE" w14:textId="77777777" w:rsidR="000056A4" w:rsidRPr="00B06D0E" w:rsidRDefault="002F172C" w:rsidP="00F724D0">
            <w:pPr>
              <w:keepNext/>
              <w:jc w:val="right"/>
              <w:rPr>
                <w:sz w:val="18"/>
              </w:rPr>
            </w:pPr>
            <w:r>
              <w:rPr>
                <w:sz w:val="18"/>
              </w:rPr>
              <w:t>!</w:t>
            </w:r>
          </w:p>
        </w:tc>
        <w:tc>
          <w:tcPr>
            <w:tcW w:w="567" w:type="dxa"/>
            <w:shd w:val="clear" w:color="auto" w:fill="auto"/>
          </w:tcPr>
          <w:p w14:paraId="301949C5" w14:textId="77777777" w:rsidR="000056A4" w:rsidRPr="00B06D0E" w:rsidRDefault="000056A4" w:rsidP="00F724D0">
            <w:pPr>
              <w:keepNext/>
              <w:jc w:val="right"/>
              <w:rPr>
                <w:sz w:val="18"/>
              </w:rPr>
            </w:pPr>
            <w:r w:rsidRPr="00B06D0E">
              <w:rPr>
                <w:sz w:val="18"/>
              </w:rPr>
              <w:t>3</w:t>
            </w:r>
          </w:p>
        </w:tc>
        <w:tc>
          <w:tcPr>
            <w:tcW w:w="567" w:type="dxa"/>
            <w:shd w:val="clear" w:color="auto" w:fill="auto"/>
          </w:tcPr>
          <w:p w14:paraId="552FE89A" w14:textId="77777777" w:rsidR="000056A4" w:rsidRPr="00B06D0E" w:rsidRDefault="000056A4" w:rsidP="00F724D0">
            <w:pPr>
              <w:keepNext/>
              <w:jc w:val="right"/>
              <w:rPr>
                <w:sz w:val="18"/>
              </w:rPr>
            </w:pPr>
            <w:r w:rsidRPr="00B06D0E">
              <w:rPr>
                <w:sz w:val="18"/>
              </w:rPr>
              <w:t>22.9</w:t>
            </w:r>
          </w:p>
        </w:tc>
        <w:tc>
          <w:tcPr>
            <w:tcW w:w="1135" w:type="dxa"/>
          </w:tcPr>
          <w:p w14:paraId="29FB3436" w14:textId="77777777" w:rsidR="000056A4" w:rsidRPr="00B06D0E" w:rsidRDefault="000056A4" w:rsidP="00F724D0">
            <w:pPr>
              <w:keepNext/>
              <w:jc w:val="right"/>
              <w:rPr>
                <w:sz w:val="18"/>
              </w:rPr>
            </w:pPr>
            <w:r w:rsidRPr="00B06D0E">
              <w:rPr>
                <w:sz w:val="18"/>
              </w:rPr>
              <w:t>(7.9, 38</w:t>
            </w:r>
            <w:r w:rsidR="00B06D0E">
              <w:rPr>
                <w:sz w:val="18"/>
              </w:rPr>
              <w:t>.0</w:t>
            </w:r>
            <w:r w:rsidRPr="00B06D0E">
              <w:rPr>
                <w:sz w:val="18"/>
              </w:rPr>
              <w:t>)</w:t>
            </w:r>
          </w:p>
        </w:tc>
        <w:tc>
          <w:tcPr>
            <w:tcW w:w="567" w:type="dxa"/>
            <w:shd w:val="clear" w:color="auto" w:fill="auto"/>
          </w:tcPr>
          <w:p w14:paraId="250ED469" w14:textId="77777777" w:rsidR="000056A4" w:rsidRPr="00B06D0E" w:rsidRDefault="000056A4" w:rsidP="00F724D0">
            <w:pPr>
              <w:keepNext/>
              <w:jc w:val="right"/>
              <w:rPr>
                <w:sz w:val="18"/>
              </w:rPr>
            </w:pPr>
            <w:r w:rsidRPr="00B06D0E">
              <w:rPr>
                <w:sz w:val="18"/>
              </w:rPr>
              <w:t>6</w:t>
            </w:r>
          </w:p>
        </w:tc>
        <w:tc>
          <w:tcPr>
            <w:tcW w:w="568" w:type="dxa"/>
            <w:shd w:val="clear" w:color="auto" w:fill="auto"/>
          </w:tcPr>
          <w:p w14:paraId="44F77CFD" w14:textId="77777777" w:rsidR="000056A4" w:rsidRPr="00B06D0E" w:rsidRDefault="000056A4" w:rsidP="00F724D0">
            <w:pPr>
              <w:keepNext/>
              <w:jc w:val="right"/>
              <w:rPr>
                <w:sz w:val="18"/>
              </w:rPr>
            </w:pPr>
            <w:r w:rsidRPr="00B06D0E">
              <w:rPr>
                <w:sz w:val="18"/>
              </w:rPr>
              <w:t>50.5</w:t>
            </w:r>
          </w:p>
        </w:tc>
        <w:tc>
          <w:tcPr>
            <w:tcW w:w="1137" w:type="dxa"/>
            <w:gridSpan w:val="2"/>
          </w:tcPr>
          <w:p w14:paraId="6582BC44" w14:textId="77777777" w:rsidR="000056A4" w:rsidRPr="00B06D0E" w:rsidRDefault="000056A4" w:rsidP="00F724D0">
            <w:pPr>
              <w:keepNext/>
              <w:jc w:val="right"/>
              <w:rPr>
                <w:sz w:val="18"/>
              </w:rPr>
            </w:pPr>
            <w:r w:rsidRPr="00B06D0E">
              <w:rPr>
                <w:sz w:val="18"/>
              </w:rPr>
              <w:t>(27.7, 73.3)</w:t>
            </w:r>
          </w:p>
        </w:tc>
      </w:tr>
      <w:tr w:rsidR="0095017C" w:rsidRPr="00313EC6" w14:paraId="3D8CD16B" w14:textId="77777777" w:rsidTr="000056A4">
        <w:trPr>
          <w:jc w:val="center"/>
        </w:trPr>
        <w:tc>
          <w:tcPr>
            <w:tcW w:w="3975" w:type="dxa"/>
            <w:gridSpan w:val="3"/>
            <w:tcBorders>
              <w:top w:val="single" w:sz="4" w:space="0" w:color="auto"/>
            </w:tcBorders>
            <w:shd w:val="clear" w:color="auto" w:fill="auto"/>
            <w:vAlign w:val="center"/>
          </w:tcPr>
          <w:p w14:paraId="5DA6DF0D" w14:textId="77777777" w:rsidR="0095017C" w:rsidRPr="00313EC6" w:rsidRDefault="0095017C" w:rsidP="00F724D0">
            <w:pPr>
              <w:spacing w:before="20" w:after="20"/>
              <w:rPr>
                <w:b/>
                <w:color w:val="000000"/>
                <w:sz w:val="18"/>
                <w:szCs w:val="20"/>
              </w:rPr>
            </w:pPr>
            <w:r w:rsidRPr="00313EC6">
              <w:rPr>
                <w:b/>
                <w:color w:val="000000"/>
                <w:sz w:val="18"/>
                <w:szCs w:val="20"/>
              </w:rPr>
              <w:t>Wave 3 to Wave 4</w:t>
            </w:r>
          </w:p>
        </w:tc>
        <w:tc>
          <w:tcPr>
            <w:tcW w:w="1276" w:type="dxa"/>
            <w:tcBorders>
              <w:top w:val="single" w:sz="4" w:space="0" w:color="auto"/>
            </w:tcBorders>
            <w:vAlign w:val="center"/>
          </w:tcPr>
          <w:p w14:paraId="65C7D5A1" w14:textId="77777777" w:rsidR="0095017C" w:rsidRPr="00313EC6" w:rsidRDefault="0095017C" w:rsidP="00F724D0">
            <w:pPr>
              <w:spacing w:before="20" w:after="20"/>
              <w:jc w:val="right"/>
              <w:rPr>
                <w:color w:val="000000"/>
                <w:sz w:val="18"/>
                <w:szCs w:val="20"/>
              </w:rPr>
            </w:pPr>
          </w:p>
        </w:tc>
        <w:tc>
          <w:tcPr>
            <w:tcW w:w="709" w:type="dxa"/>
            <w:tcBorders>
              <w:top w:val="single" w:sz="4" w:space="0" w:color="auto"/>
            </w:tcBorders>
            <w:shd w:val="clear" w:color="auto" w:fill="auto"/>
            <w:vAlign w:val="center"/>
          </w:tcPr>
          <w:p w14:paraId="3E5B6E82" w14:textId="77777777" w:rsidR="0095017C" w:rsidRPr="00313EC6" w:rsidRDefault="0095017C" w:rsidP="00F724D0">
            <w:pPr>
              <w:spacing w:before="20" w:after="20"/>
              <w:jc w:val="right"/>
              <w:rPr>
                <w:color w:val="000000"/>
                <w:sz w:val="18"/>
                <w:szCs w:val="20"/>
              </w:rPr>
            </w:pPr>
          </w:p>
        </w:tc>
        <w:tc>
          <w:tcPr>
            <w:tcW w:w="567" w:type="dxa"/>
            <w:tcBorders>
              <w:top w:val="single" w:sz="4" w:space="0" w:color="auto"/>
            </w:tcBorders>
            <w:shd w:val="clear" w:color="auto" w:fill="auto"/>
            <w:vAlign w:val="center"/>
          </w:tcPr>
          <w:p w14:paraId="54AB5614" w14:textId="77777777" w:rsidR="0095017C" w:rsidRPr="00313EC6" w:rsidRDefault="0095017C" w:rsidP="00F724D0">
            <w:pPr>
              <w:jc w:val="right"/>
              <w:rPr>
                <w:sz w:val="18"/>
              </w:rPr>
            </w:pPr>
          </w:p>
        </w:tc>
        <w:tc>
          <w:tcPr>
            <w:tcW w:w="1134" w:type="dxa"/>
            <w:tcBorders>
              <w:top w:val="single" w:sz="4" w:space="0" w:color="auto"/>
            </w:tcBorders>
            <w:vAlign w:val="center"/>
          </w:tcPr>
          <w:p w14:paraId="4C1229D6" w14:textId="77777777" w:rsidR="0095017C" w:rsidRPr="00313EC6" w:rsidRDefault="0095017C" w:rsidP="00F724D0">
            <w:pPr>
              <w:jc w:val="right"/>
              <w:rPr>
                <w:rFonts w:ascii="Calibri" w:hAnsi="Calibri"/>
                <w:color w:val="000000"/>
                <w:sz w:val="18"/>
                <w:szCs w:val="22"/>
              </w:rPr>
            </w:pPr>
          </w:p>
        </w:tc>
        <w:tc>
          <w:tcPr>
            <w:tcW w:w="567" w:type="dxa"/>
            <w:tcBorders>
              <w:top w:val="single" w:sz="4" w:space="0" w:color="auto"/>
            </w:tcBorders>
            <w:shd w:val="clear" w:color="auto" w:fill="auto"/>
            <w:vAlign w:val="center"/>
          </w:tcPr>
          <w:p w14:paraId="6FDBD825" w14:textId="77777777" w:rsidR="0095017C" w:rsidRPr="00313EC6" w:rsidRDefault="0095017C" w:rsidP="00F724D0">
            <w:pPr>
              <w:jc w:val="right"/>
              <w:rPr>
                <w:rFonts w:ascii="Calibri" w:hAnsi="Calibri"/>
                <w:color w:val="000000"/>
                <w:sz w:val="18"/>
                <w:szCs w:val="22"/>
              </w:rPr>
            </w:pPr>
          </w:p>
        </w:tc>
        <w:tc>
          <w:tcPr>
            <w:tcW w:w="567" w:type="dxa"/>
            <w:tcBorders>
              <w:top w:val="single" w:sz="4" w:space="0" w:color="auto"/>
            </w:tcBorders>
            <w:shd w:val="clear" w:color="auto" w:fill="auto"/>
            <w:vAlign w:val="center"/>
          </w:tcPr>
          <w:p w14:paraId="600008BD" w14:textId="77777777" w:rsidR="0095017C" w:rsidRPr="00313EC6" w:rsidRDefault="0095017C" w:rsidP="00F724D0">
            <w:pPr>
              <w:jc w:val="right"/>
              <w:rPr>
                <w:sz w:val="18"/>
              </w:rPr>
            </w:pPr>
          </w:p>
        </w:tc>
        <w:tc>
          <w:tcPr>
            <w:tcW w:w="1135" w:type="dxa"/>
            <w:tcBorders>
              <w:top w:val="single" w:sz="4" w:space="0" w:color="auto"/>
            </w:tcBorders>
            <w:vAlign w:val="center"/>
          </w:tcPr>
          <w:p w14:paraId="7C5C19E4" w14:textId="77777777" w:rsidR="0095017C" w:rsidRPr="00313EC6" w:rsidRDefault="0095017C" w:rsidP="00F724D0">
            <w:pPr>
              <w:jc w:val="right"/>
              <w:rPr>
                <w:rFonts w:ascii="Calibri" w:hAnsi="Calibri"/>
                <w:color w:val="000000"/>
                <w:sz w:val="18"/>
                <w:szCs w:val="22"/>
              </w:rPr>
            </w:pPr>
          </w:p>
        </w:tc>
        <w:tc>
          <w:tcPr>
            <w:tcW w:w="567" w:type="dxa"/>
            <w:tcBorders>
              <w:top w:val="single" w:sz="4" w:space="0" w:color="auto"/>
            </w:tcBorders>
            <w:shd w:val="clear" w:color="auto" w:fill="auto"/>
            <w:vAlign w:val="center"/>
          </w:tcPr>
          <w:p w14:paraId="745A3ADC" w14:textId="77777777" w:rsidR="0095017C" w:rsidRPr="00313EC6" w:rsidRDefault="0095017C" w:rsidP="00F724D0">
            <w:pPr>
              <w:jc w:val="right"/>
              <w:rPr>
                <w:rFonts w:ascii="Calibri" w:hAnsi="Calibri"/>
                <w:color w:val="000000"/>
                <w:sz w:val="18"/>
                <w:szCs w:val="22"/>
              </w:rPr>
            </w:pPr>
          </w:p>
        </w:tc>
        <w:tc>
          <w:tcPr>
            <w:tcW w:w="568" w:type="dxa"/>
            <w:tcBorders>
              <w:top w:val="single" w:sz="4" w:space="0" w:color="auto"/>
            </w:tcBorders>
            <w:shd w:val="clear" w:color="auto" w:fill="auto"/>
            <w:vAlign w:val="center"/>
          </w:tcPr>
          <w:p w14:paraId="4490EDA7" w14:textId="77777777" w:rsidR="0095017C" w:rsidRPr="00B20821" w:rsidRDefault="0095017C" w:rsidP="00F724D0">
            <w:pPr>
              <w:jc w:val="right"/>
            </w:pPr>
          </w:p>
        </w:tc>
        <w:tc>
          <w:tcPr>
            <w:tcW w:w="1137" w:type="dxa"/>
            <w:gridSpan w:val="2"/>
            <w:tcBorders>
              <w:top w:val="single" w:sz="4" w:space="0" w:color="auto"/>
            </w:tcBorders>
            <w:vAlign w:val="center"/>
          </w:tcPr>
          <w:p w14:paraId="06F9F085" w14:textId="77777777" w:rsidR="0095017C" w:rsidRPr="00313EC6" w:rsidRDefault="0095017C" w:rsidP="00F724D0">
            <w:pPr>
              <w:jc w:val="right"/>
              <w:rPr>
                <w:rFonts w:ascii="Calibri" w:hAnsi="Calibri"/>
                <w:color w:val="000000"/>
                <w:sz w:val="18"/>
                <w:szCs w:val="22"/>
              </w:rPr>
            </w:pPr>
          </w:p>
        </w:tc>
      </w:tr>
      <w:tr w:rsidR="000056A4" w:rsidRPr="00313EC6" w14:paraId="0D86DBE9" w14:textId="77777777" w:rsidTr="000056A4">
        <w:trPr>
          <w:jc w:val="center"/>
        </w:trPr>
        <w:tc>
          <w:tcPr>
            <w:tcW w:w="2699" w:type="dxa"/>
            <w:vAlign w:val="center"/>
          </w:tcPr>
          <w:p w14:paraId="5E4ACB10" w14:textId="77777777" w:rsidR="000056A4" w:rsidRPr="00313EC6" w:rsidRDefault="000056A4" w:rsidP="00F724D0">
            <w:pPr>
              <w:spacing w:before="20" w:after="20"/>
              <w:ind w:left="88"/>
              <w:rPr>
                <w:sz w:val="18"/>
                <w:szCs w:val="20"/>
              </w:rPr>
            </w:pPr>
            <w:r w:rsidRPr="00313EC6">
              <w:rPr>
                <w:sz w:val="18"/>
                <w:szCs w:val="20"/>
              </w:rPr>
              <w:t>Non-gambler</w:t>
            </w:r>
          </w:p>
        </w:tc>
        <w:tc>
          <w:tcPr>
            <w:tcW w:w="709" w:type="dxa"/>
            <w:shd w:val="clear" w:color="auto" w:fill="auto"/>
          </w:tcPr>
          <w:p w14:paraId="765D12CE" w14:textId="77777777" w:rsidR="000056A4" w:rsidRPr="00B06D0E" w:rsidRDefault="000056A4" w:rsidP="00F724D0">
            <w:pPr>
              <w:jc w:val="right"/>
              <w:rPr>
                <w:sz w:val="18"/>
              </w:rPr>
            </w:pPr>
            <w:r w:rsidRPr="00B06D0E">
              <w:rPr>
                <w:sz w:val="18"/>
              </w:rPr>
              <w:t>26</w:t>
            </w:r>
          </w:p>
        </w:tc>
        <w:tc>
          <w:tcPr>
            <w:tcW w:w="567" w:type="dxa"/>
            <w:shd w:val="clear" w:color="auto" w:fill="auto"/>
          </w:tcPr>
          <w:p w14:paraId="6BA75B8C" w14:textId="77777777" w:rsidR="000056A4" w:rsidRPr="00B06D0E" w:rsidRDefault="000056A4" w:rsidP="00F724D0">
            <w:pPr>
              <w:jc w:val="right"/>
              <w:rPr>
                <w:sz w:val="18"/>
              </w:rPr>
            </w:pPr>
            <w:r w:rsidRPr="00B06D0E">
              <w:rPr>
                <w:sz w:val="18"/>
              </w:rPr>
              <w:t>76.4</w:t>
            </w:r>
          </w:p>
        </w:tc>
        <w:tc>
          <w:tcPr>
            <w:tcW w:w="1276" w:type="dxa"/>
          </w:tcPr>
          <w:p w14:paraId="0E700DA9" w14:textId="77777777" w:rsidR="000056A4" w:rsidRPr="00B06D0E" w:rsidRDefault="000056A4" w:rsidP="00F724D0">
            <w:pPr>
              <w:jc w:val="right"/>
              <w:rPr>
                <w:sz w:val="18"/>
              </w:rPr>
            </w:pPr>
            <w:r w:rsidRPr="00B06D0E">
              <w:rPr>
                <w:sz w:val="18"/>
              </w:rPr>
              <w:t>(69</w:t>
            </w:r>
            <w:r w:rsidR="00B06D0E">
              <w:rPr>
                <w:sz w:val="18"/>
              </w:rPr>
              <w:t>.0</w:t>
            </w:r>
            <w:r w:rsidRPr="00B06D0E">
              <w:rPr>
                <w:sz w:val="18"/>
              </w:rPr>
              <w:t>, 83.7)</w:t>
            </w:r>
          </w:p>
        </w:tc>
        <w:tc>
          <w:tcPr>
            <w:tcW w:w="709" w:type="dxa"/>
            <w:shd w:val="clear" w:color="auto" w:fill="auto"/>
          </w:tcPr>
          <w:p w14:paraId="7BC8D359" w14:textId="77777777" w:rsidR="000056A4" w:rsidRPr="00B06D0E" w:rsidRDefault="000056A4" w:rsidP="00F724D0">
            <w:pPr>
              <w:jc w:val="right"/>
              <w:rPr>
                <w:sz w:val="18"/>
              </w:rPr>
            </w:pPr>
            <w:r w:rsidRPr="00B06D0E">
              <w:rPr>
                <w:sz w:val="18"/>
              </w:rPr>
              <w:t>7</w:t>
            </w:r>
          </w:p>
        </w:tc>
        <w:tc>
          <w:tcPr>
            <w:tcW w:w="567" w:type="dxa"/>
            <w:shd w:val="clear" w:color="auto" w:fill="auto"/>
          </w:tcPr>
          <w:p w14:paraId="6260FE0F" w14:textId="77777777" w:rsidR="000056A4" w:rsidRPr="00B06D0E" w:rsidRDefault="000056A4" w:rsidP="00F724D0">
            <w:pPr>
              <w:jc w:val="right"/>
              <w:rPr>
                <w:sz w:val="18"/>
              </w:rPr>
            </w:pPr>
            <w:r w:rsidRPr="00B06D0E">
              <w:rPr>
                <w:sz w:val="18"/>
              </w:rPr>
              <w:t>21.8</w:t>
            </w:r>
          </w:p>
        </w:tc>
        <w:tc>
          <w:tcPr>
            <w:tcW w:w="1134" w:type="dxa"/>
          </w:tcPr>
          <w:p w14:paraId="3DFF61B0" w14:textId="77777777" w:rsidR="000056A4" w:rsidRPr="00B06D0E" w:rsidRDefault="000056A4" w:rsidP="00F724D0">
            <w:pPr>
              <w:jc w:val="right"/>
              <w:rPr>
                <w:sz w:val="18"/>
              </w:rPr>
            </w:pPr>
            <w:r w:rsidRPr="00B06D0E">
              <w:rPr>
                <w:sz w:val="18"/>
              </w:rPr>
              <w:t>(14.9, 28.6)</w:t>
            </w:r>
          </w:p>
        </w:tc>
        <w:tc>
          <w:tcPr>
            <w:tcW w:w="567" w:type="dxa"/>
            <w:shd w:val="clear" w:color="auto" w:fill="auto"/>
          </w:tcPr>
          <w:p w14:paraId="0953676B" w14:textId="77777777" w:rsidR="000056A4" w:rsidRPr="00B06D0E" w:rsidRDefault="000056A4" w:rsidP="00F724D0">
            <w:pPr>
              <w:jc w:val="right"/>
              <w:rPr>
                <w:sz w:val="18"/>
              </w:rPr>
            </w:pPr>
            <w:r w:rsidRPr="00B06D0E">
              <w:rPr>
                <w:sz w:val="18"/>
              </w:rPr>
              <w:t>0</w:t>
            </w:r>
          </w:p>
        </w:tc>
        <w:tc>
          <w:tcPr>
            <w:tcW w:w="567" w:type="dxa"/>
            <w:shd w:val="clear" w:color="auto" w:fill="auto"/>
          </w:tcPr>
          <w:p w14:paraId="5FB33C7A" w14:textId="77777777" w:rsidR="000056A4" w:rsidRPr="00B06D0E" w:rsidRDefault="000056A4" w:rsidP="00F724D0">
            <w:pPr>
              <w:jc w:val="right"/>
              <w:rPr>
                <w:sz w:val="18"/>
              </w:rPr>
            </w:pPr>
            <w:r w:rsidRPr="00B06D0E">
              <w:rPr>
                <w:sz w:val="18"/>
              </w:rPr>
              <w:t>0.6</w:t>
            </w:r>
          </w:p>
        </w:tc>
        <w:tc>
          <w:tcPr>
            <w:tcW w:w="1135" w:type="dxa"/>
          </w:tcPr>
          <w:p w14:paraId="7A23EE88" w14:textId="77777777" w:rsidR="000056A4" w:rsidRPr="00B06D0E" w:rsidRDefault="002F172C" w:rsidP="00F724D0">
            <w:pPr>
              <w:jc w:val="right"/>
              <w:rPr>
                <w:sz w:val="18"/>
              </w:rPr>
            </w:pPr>
            <w:r>
              <w:rPr>
                <w:sz w:val="18"/>
              </w:rPr>
              <w:t>!</w:t>
            </w:r>
          </w:p>
        </w:tc>
        <w:tc>
          <w:tcPr>
            <w:tcW w:w="567" w:type="dxa"/>
            <w:shd w:val="clear" w:color="auto" w:fill="auto"/>
          </w:tcPr>
          <w:p w14:paraId="4F82CBEB" w14:textId="77777777" w:rsidR="000056A4" w:rsidRPr="00B06D0E" w:rsidRDefault="000056A4" w:rsidP="00F724D0">
            <w:pPr>
              <w:jc w:val="right"/>
              <w:rPr>
                <w:sz w:val="18"/>
              </w:rPr>
            </w:pPr>
            <w:r w:rsidRPr="00B06D0E">
              <w:rPr>
                <w:sz w:val="18"/>
              </w:rPr>
              <w:t>0</w:t>
            </w:r>
          </w:p>
        </w:tc>
        <w:tc>
          <w:tcPr>
            <w:tcW w:w="568" w:type="dxa"/>
            <w:shd w:val="clear" w:color="auto" w:fill="auto"/>
          </w:tcPr>
          <w:p w14:paraId="67D5E197" w14:textId="77777777" w:rsidR="000056A4" w:rsidRPr="00B06D0E" w:rsidRDefault="000056A4" w:rsidP="00F724D0">
            <w:pPr>
              <w:jc w:val="right"/>
              <w:rPr>
                <w:sz w:val="18"/>
              </w:rPr>
            </w:pPr>
            <w:r w:rsidRPr="00B06D0E">
              <w:rPr>
                <w:sz w:val="18"/>
              </w:rPr>
              <w:t>1.3</w:t>
            </w:r>
          </w:p>
        </w:tc>
        <w:tc>
          <w:tcPr>
            <w:tcW w:w="1137" w:type="dxa"/>
            <w:gridSpan w:val="2"/>
          </w:tcPr>
          <w:p w14:paraId="133C5B4A" w14:textId="77777777" w:rsidR="000056A4" w:rsidRPr="00B06D0E" w:rsidRDefault="002F172C" w:rsidP="00F724D0">
            <w:pPr>
              <w:jc w:val="right"/>
              <w:rPr>
                <w:sz w:val="18"/>
              </w:rPr>
            </w:pPr>
            <w:r>
              <w:rPr>
                <w:sz w:val="18"/>
              </w:rPr>
              <w:t>!</w:t>
            </w:r>
          </w:p>
        </w:tc>
      </w:tr>
      <w:tr w:rsidR="000056A4" w:rsidRPr="00313EC6" w14:paraId="40B78B1F" w14:textId="77777777" w:rsidTr="000056A4">
        <w:trPr>
          <w:jc w:val="center"/>
        </w:trPr>
        <w:tc>
          <w:tcPr>
            <w:tcW w:w="2699" w:type="dxa"/>
            <w:vAlign w:val="center"/>
          </w:tcPr>
          <w:p w14:paraId="09AF2BB3" w14:textId="77777777" w:rsidR="000056A4" w:rsidRPr="00313EC6" w:rsidRDefault="000056A4" w:rsidP="000056A4">
            <w:pPr>
              <w:spacing w:before="20" w:after="20"/>
              <w:ind w:left="88"/>
              <w:rPr>
                <w:sz w:val="18"/>
                <w:szCs w:val="20"/>
              </w:rPr>
            </w:pPr>
            <w:r w:rsidRPr="00313EC6">
              <w:rPr>
                <w:sz w:val="18"/>
                <w:szCs w:val="20"/>
              </w:rPr>
              <w:t>Non-problem gambler</w:t>
            </w:r>
          </w:p>
        </w:tc>
        <w:tc>
          <w:tcPr>
            <w:tcW w:w="709" w:type="dxa"/>
            <w:shd w:val="clear" w:color="auto" w:fill="auto"/>
          </w:tcPr>
          <w:p w14:paraId="202C3265" w14:textId="77777777" w:rsidR="000056A4" w:rsidRPr="00B06D0E" w:rsidRDefault="000056A4" w:rsidP="00B06D0E">
            <w:pPr>
              <w:jc w:val="right"/>
              <w:rPr>
                <w:sz w:val="18"/>
              </w:rPr>
            </w:pPr>
            <w:r w:rsidRPr="00B06D0E">
              <w:rPr>
                <w:sz w:val="18"/>
              </w:rPr>
              <w:t>13</w:t>
            </w:r>
          </w:p>
        </w:tc>
        <w:tc>
          <w:tcPr>
            <w:tcW w:w="567" w:type="dxa"/>
            <w:shd w:val="clear" w:color="auto" w:fill="auto"/>
          </w:tcPr>
          <w:p w14:paraId="5A96014A" w14:textId="77777777" w:rsidR="000056A4" w:rsidRPr="00B06D0E" w:rsidRDefault="000056A4" w:rsidP="00B06D0E">
            <w:pPr>
              <w:jc w:val="right"/>
              <w:rPr>
                <w:sz w:val="18"/>
              </w:rPr>
            </w:pPr>
            <w:r w:rsidRPr="00B06D0E">
              <w:rPr>
                <w:sz w:val="18"/>
              </w:rPr>
              <w:t>17.7</w:t>
            </w:r>
          </w:p>
        </w:tc>
        <w:tc>
          <w:tcPr>
            <w:tcW w:w="1276" w:type="dxa"/>
          </w:tcPr>
          <w:p w14:paraId="47BC615A" w14:textId="77777777" w:rsidR="000056A4" w:rsidRPr="00B06D0E" w:rsidRDefault="000056A4" w:rsidP="00B06D0E">
            <w:pPr>
              <w:jc w:val="right"/>
              <w:rPr>
                <w:sz w:val="18"/>
              </w:rPr>
            </w:pPr>
            <w:r w:rsidRPr="00B06D0E">
              <w:rPr>
                <w:sz w:val="18"/>
              </w:rPr>
              <w:t>(11.5, 23.8)</w:t>
            </w:r>
          </w:p>
        </w:tc>
        <w:tc>
          <w:tcPr>
            <w:tcW w:w="709" w:type="dxa"/>
            <w:shd w:val="clear" w:color="auto" w:fill="auto"/>
          </w:tcPr>
          <w:p w14:paraId="20EFA1FF" w14:textId="77777777" w:rsidR="000056A4" w:rsidRPr="00B06D0E" w:rsidRDefault="000056A4" w:rsidP="00B06D0E">
            <w:pPr>
              <w:jc w:val="right"/>
              <w:rPr>
                <w:sz w:val="18"/>
              </w:rPr>
            </w:pPr>
            <w:r w:rsidRPr="00B06D0E">
              <w:rPr>
                <w:sz w:val="18"/>
              </w:rPr>
              <w:t>53</w:t>
            </w:r>
          </w:p>
        </w:tc>
        <w:tc>
          <w:tcPr>
            <w:tcW w:w="567" w:type="dxa"/>
            <w:shd w:val="clear" w:color="auto" w:fill="auto"/>
          </w:tcPr>
          <w:p w14:paraId="2426877C" w14:textId="77777777" w:rsidR="000056A4" w:rsidRPr="00B06D0E" w:rsidRDefault="000056A4" w:rsidP="00B06D0E">
            <w:pPr>
              <w:jc w:val="right"/>
              <w:rPr>
                <w:sz w:val="18"/>
              </w:rPr>
            </w:pPr>
            <w:r w:rsidRPr="00B06D0E">
              <w:rPr>
                <w:sz w:val="18"/>
              </w:rPr>
              <w:t>72.4</w:t>
            </w:r>
          </w:p>
        </w:tc>
        <w:tc>
          <w:tcPr>
            <w:tcW w:w="1134" w:type="dxa"/>
          </w:tcPr>
          <w:p w14:paraId="75285D56" w14:textId="77777777" w:rsidR="000056A4" w:rsidRPr="00B06D0E" w:rsidRDefault="000056A4" w:rsidP="00B06D0E">
            <w:pPr>
              <w:jc w:val="right"/>
              <w:rPr>
                <w:sz w:val="18"/>
              </w:rPr>
            </w:pPr>
            <w:r w:rsidRPr="00B06D0E">
              <w:rPr>
                <w:sz w:val="18"/>
              </w:rPr>
              <w:t>(65.1, 79.7)</w:t>
            </w:r>
          </w:p>
        </w:tc>
        <w:tc>
          <w:tcPr>
            <w:tcW w:w="567" w:type="dxa"/>
            <w:shd w:val="clear" w:color="auto" w:fill="auto"/>
          </w:tcPr>
          <w:p w14:paraId="28919C69" w14:textId="77777777" w:rsidR="000056A4" w:rsidRPr="00B06D0E" w:rsidRDefault="000056A4" w:rsidP="00B06D0E">
            <w:pPr>
              <w:jc w:val="right"/>
              <w:rPr>
                <w:sz w:val="18"/>
              </w:rPr>
            </w:pPr>
            <w:r w:rsidRPr="00B06D0E">
              <w:rPr>
                <w:sz w:val="18"/>
              </w:rPr>
              <w:t>6</w:t>
            </w:r>
          </w:p>
        </w:tc>
        <w:tc>
          <w:tcPr>
            <w:tcW w:w="567" w:type="dxa"/>
            <w:shd w:val="clear" w:color="auto" w:fill="auto"/>
          </w:tcPr>
          <w:p w14:paraId="752A3ED5" w14:textId="77777777" w:rsidR="000056A4" w:rsidRPr="00B06D0E" w:rsidRDefault="000056A4" w:rsidP="00B06D0E">
            <w:pPr>
              <w:jc w:val="right"/>
              <w:rPr>
                <w:sz w:val="18"/>
              </w:rPr>
            </w:pPr>
            <w:r w:rsidRPr="00B06D0E">
              <w:rPr>
                <w:sz w:val="18"/>
              </w:rPr>
              <w:t>8.3</w:t>
            </w:r>
          </w:p>
        </w:tc>
        <w:tc>
          <w:tcPr>
            <w:tcW w:w="1135" w:type="dxa"/>
          </w:tcPr>
          <w:p w14:paraId="70B977A6" w14:textId="77777777" w:rsidR="000056A4" w:rsidRPr="00B06D0E" w:rsidRDefault="000056A4" w:rsidP="00B06D0E">
            <w:pPr>
              <w:jc w:val="right"/>
              <w:rPr>
                <w:sz w:val="18"/>
              </w:rPr>
            </w:pPr>
            <w:r w:rsidRPr="00B06D0E">
              <w:rPr>
                <w:sz w:val="18"/>
              </w:rPr>
              <w:t>(3.5, 13</w:t>
            </w:r>
            <w:r w:rsidR="00B06D0E">
              <w:rPr>
                <w:sz w:val="18"/>
              </w:rPr>
              <w:t>.0</w:t>
            </w:r>
            <w:r w:rsidRPr="00B06D0E">
              <w:rPr>
                <w:sz w:val="18"/>
              </w:rPr>
              <w:t>)</w:t>
            </w:r>
          </w:p>
        </w:tc>
        <w:tc>
          <w:tcPr>
            <w:tcW w:w="567" w:type="dxa"/>
            <w:shd w:val="clear" w:color="auto" w:fill="auto"/>
          </w:tcPr>
          <w:p w14:paraId="16300854" w14:textId="77777777" w:rsidR="000056A4" w:rsidRPr="00B06D0E" w:rsidRDefault="000056A4" w:rsidP="00B06D0E">
            <w:pPr>
              <w:jc w:val="right"/>
              <w:rPr>
                <w:sz w:val="18"/>
              </w:rPr>
            </w:pPr>
            <w:r w:rsidRPr="00B06D0E">
              <w:rPr>
                <w:sz w:val="18"/>
              </w:rPr>
              <w:t>1</w:t>
            </w:r>
          </w:p>
        </w:tc>
        <w:tc>
          <w:tcPr>
            <w:tcW w:w="568" w:type="dxa"/>
            <w:shd w:val="clear" w:color="auto" w:fill="auto"/>
          </w:tcPr>
          <w:p w14:paraId="4BBC3D15" w14:textId="77777777" w:rsidR="000056A4" w:rsidRPr="00B06D0E" w:rsidRDefault="000056A4" w:rsidP="00B06D0E">
            <w:pPr>
              <w:jc w:val="right"/>
              <w:rPr>
                <w:sz w:val="18"/>
              </w:rPr>
            </w:pPr>
            <w:r w:rsidRPr="00B06D0E">
              <w:rPr>
                <w:sz w:val="18"/>
              </w:rPr>
              <w:t>1.6</w:t>
            </w:r>
          </w:p>
        </w:tc>
        <w:tc>
          <w:tcPr>
            <w:tcW w:w="1137" w:type="dxa"/>
            <w:gridSpan w:val="2"/>
          </w:tcPr>
          <w:p w14:paraId="0F801BCF" w14:textId="77777777" w:rsidR="000056A4" w:rsidRPr="00B06D0E" w:rsidRDefault="002F172C" w:rsidP="00B06D0E">
            <w:pPr>
              <w:jc w:val="right"/>
              <w:rPr>
                <w:sz w:val="18"/>
              </w:rPr>
            </w:pPr>
            <w:r>
              <w:rPr>
                <w:sz w:val="18"/>
              </w:rPr>
              <w:t>!</w:t>
            </w:r>
          </w:p>
        </w:tc>
      </w:tr>
      <w:tr w:rsidR="000056A4" w:rsidRPr="00313EC6" w14:paraId="565D8FC5" w14:textId="77777777" w:rsidTr="000056A4">
        <w:trPr>
          <w:jc w:val="center"/>
        </w:trPr>
        <w:tc>
          <w:tcPr>
            <w:tcW w:w="2699" w:type="dxa"/>
            <w:vAlign w:val="center"/>
          </w:tcPr>
          <w:p w14:paraId="5C610392" w14:textId="77777777" w:rsidR="000056A4" w:rsidRPr="00313EC6" w:rsidRDefault="000056A4" w:rsidP="000056A4">
            <w:pPr>
              <w:spacing w:before="20" w:after="20"/>
              <w:ind w:left="88"/>
              <w:rPr>
                <w:sz w:val="18"/>
                <w:szCs w:val="20"/>
              </w:rPr>
            </w:pPr>
            <w:r w:rsidRPr="00313EC6">
              <w:rPr>
                <w:sz w:val="18"/>
                <w:szCs w:val="20"/>
              </w:rPr>
              <w:t>Low-risk gambler</w:t>
            </w:r>
          </w:p>
        </w:tc>
        <w:tc>
          <w:tcPr>
            <w:tcW w:w="709" w:type="dxa"/>
            <w:shd w:val="clear" w:color="auto" w:fill="auto"/>
          </w:tcPr>
          <w:p w14:paraId="10D2D3AE" w14:textId="77777777" w:rsidR="000056A4" w:rsidRPr="00B06D0E" w:rsidRDefault="000056A4" w:rsidP="00B06D0E">
            <w:pPr>
              <w:jc w:val="right"/>
              <w:rPr>
                <w:sz w:val="18"/>
              </w:rPr>
            </w:pPr>
            <w:r w:rsidRPr="00B06D0E">
              <w:rPr>
                <w:sz w:val="18"/>
              </w:rPr>
              <w:t>1</w:t>
            </w:r>
          </w:p>
        </w:tc>
        <w:tc>
          <w:tcPr>
            <w:tcW w:w="567" w:type="dxa"/>
            <w:shd w:val="clear" w:color="auto" w:fill="auto"/>
          </w:tcPr>
          <w:p w14:paraId="030F734F" w14:textId="77777777" w:rsidR="000056A4" w:rsidRPr="00B06D0E" w:rsidRDefault="000056A4" w:rsidP="00B06D0E">
            <w:pPr>
              <w:jc w:val="right"/>
              <w:rPr>
                <w:sz w:val="18"/>
              </w:rPr>
            </w:pPr>
            <w:r w:rsidRPr="00B06D0E">
              <w:rPr>
                <w:sz w:val="18"/>
              </w:rPr>
              <w:t>9.0</w:t>
            </w:r>
          </w:p>
        </w:tc>
        <w:tc>
          <w:tcPr>
            <w:tcW w:w="1276" w:type="dxa"/>
          </w:tcPr>
          <w:p w14:paraId="02C760EA" w14:textId="77777777" w:rsidR="000056A4" w:rsidRPr="00B06D0E" w:rsidRDefault="002F172C" w:rsidP="00B06D0E">
            <w:pPr>
              <w:jc w:val="right"/>
              <w:rPr>
                <w:sz w:val="18"/>
              </w:rPr>
            </w:pPr>
            <w:r>
              <w:rPr>
                <w:sz w:val="18"/>
              </w:rPr>
              <w:t>!</w:t>
            </w:r>
          </w:p>
        </w:tc>
        <w:tc>
          <w:tcPr>
            <w:tcW w:w="709" w:type="dxa"/>
            <w:shd w:val="clear" w:color="auto" w:fill="auto"/>
          </w:tcPr>
          <w:p w14:paraId="35DDA1DD" w14:textId="77777777" w:rsidR="000056A4" w:rsidRPr="00B06D0E" w:rsidRDefault="000056A4" w:rsidP="00B06D0E">
            <w:pPr>
              <w:jc w:val="right"/>
              <w:rPr>
                <w:sz w:val="18"/>
              </w:rPr>
            </w:pPr>
            <w:r w:rsidRPr="00B06D0E">
              <w:rPr>
                <w:sz w:val="18"/>
              </w:rPr>
              <w:t>7</w:t>
            </w:r>
          </w:p>
        </w:tc>
        <w:tc>
          <w:tcPr>
            <w:tcW w:w="567" w:type="dxa"/>
            <w:shd w:val="clear" w:color="auto" w:fill="auto"/>
          </w:tcPr>
          <w:p w14:paraId="1297763F" w14:textId="77777777" w:rsidR="000056A4" w:rsidRPr="00B06D0E" w:rsidRDefault="000056A4" w:rsidP="00B06D0E">
            <w:pPr>
              <w:jc w:val="right"/>
              <w:rPr>
                <w:sz w:val="18"/>
              </w:rPr>
            </w:pPr>
            <w:r w:rsidRPr="00B06D0E">
              <w:rPr>
                <w:sz w:val="18"/>
              </w:rPr>
              <w:t>55.0</w:t>
            </w:r>
          </w:p>
        </w:tc>
        <w:tc>
          <w:tcPr>
            <w:tcW w:w="1134" w:type="dxa"/>
          </w:tcPr>
          <w:p w14:paraId="57A00E5A" w14:textId="77777777" w:rsidR="000056A4" w:rsidRPr="00B06D0E" w:rsidRDefault="000056A4" w:rsidP="00B06D0E">
            <w:pPr>
              <w:jc w:val="right"/>
              <w:rPr>
                <w:sz w:val="18"/>
              </w:rPr>
            </w:pPr>
            <w:r w:rsidRPr="00B06D0E">
              <w:rPr>
                <w:sz w:val="18"/>
              </w:rPr>
              <w:t>(37.9, 72.1)</w:t>
            </w:r>
          </w:p>
        </w:tc>
        <w:tc>
          <w:tcPr>
            <w:tcW w:w="567" w:type="dxa"/>
            <w:shd w:val="clear" w:color="auto" w:fill="auto"/>
          </w:tcPr>
          <w:p w14:paraId="325366C4" w14:textId="77777777" w:rsidR="000056A4" w:rsidRPr="00B06D0E" w:rsidRDefault="000056A4" w:rsidP="00B06D0E">
            <w:pPr>
              <w:jc w:val="right"/>
              <w:rPr>
                <w:sz w:val="18"/>
              </w:rPr>
            </w:pPr>
            <w:r w:rsidRPr="00B06D0E">
              <w:rPr>
                <w:sz w:val="18"/>
              </w:rPr>
              <w:t>2</w:t>
            </w:r>
          </w:p>
        </w:tc>
        <w:tc>
          <w:tcPr>
            <w:tcW w:w="567" w:type="dxa"/>
            <w:shd w:val="clear" w:color="auto" w:fill="auto"/>
          </w:tcPr>
          <w:p w14:paraId="449A3F66" w14:textId="77777777" w:rsidR="000056A4" w:rsidRPr="00B06D0E" w:rsidRDefault="000056A4" w:rsidP="00B06D0E">
            <w:pPr>
              <w:jc w:val="right"/>
              <w:rPr>
                <w:sz w:val="18"/>
              </w:rPr>
            </w:pPr>
            <w:r w:rsidRPr="00B06D0E">
              <w:rPr>
                <w:sz w:val="18"/>
              </w:rPr>
              <w:t>17.9</w:t>
            </w:r>
          </w:p>
        </w:tc>
        <w:tc>
          <w:tcPr>
            <w:tcW w:w="1135" w:type="dxa"/>
          </w:tcPr>
          <w:p w14:paraId="6C7F0FDB" w14:textId="77777777" w:rsidR="000056A4" w:rsidRPr="00B06D0E" w:rsidRDefault="002F172C" w:rsidP="00B06D0E">
            <w:pPr>
              <w:jc w:val="right"/>
              <w:rPr>
                <w:sz w:val="18"/>
              </w:rPr>
            </w:pPr>
            <w:r>
              <w:rPr>
                <w:sz w:val="18"/>
              </w:rPr>
              <w:t>!</w:t>
            </w:r>
          </w:p>
        </w:tc>
        <w:tc>
          <w:tcPr>
            <w:tcW w:w="567" w:type="dxa"/>
            <w:shd w:val="clear" w:color="auto" w:fill="auto"/>
          </w:tcPr>
          <w:p w14:paraId="619042A9" w14:textId="77777777" w:rsidR="000056A4" w:rsidRPr="00B06D0E" w:rsidRDefault="000056A4" w:rsidP="00B06D0E">
            <w:pPr>
              <w:jc w:val="right"/>
              <w:rPr>
                <w:sz w:val="18"/>
              </w:rPr>
            </w:pPr>
            <w:r w:rsidRPr="00B06D0E">
              <w:rPr>
                <w:sz w:val="18"/>
              </w:rPr>
              <w:t>2</w:t>
            </w:r>
          </w:p>
        </w:tc>
        <w:tc>
          <w:tcPr>
            <w:tcW w:w="568" w:type="dxa"/>
            <w:shd w:val="clear" w:color="auto" w:fill="auto"/>
          </w:tcPr>
          <w:p w14:paraId="765A4234" w14:textId="77777777" w:rsidR="000056A4" w:rsidRPr="00B06D0E" w:rsidRDefault="000056A4" w:rsidP="00B06D0E">
            <w:pPr>
              <w:jc w:val="right"/>
              <w:rPr>
                <w:sz w:val="18"/>
              </w:rPr>
            </w:pPr>
            <w:r w:rsidRPr="00B06D0E">
              <w:rPr>
                <w:sz w:val="18"/>
              </w:rPr>
              <w:t>18.1</w:t>
            </w:r>
          </w:p>
        </w:tc>
        <w:tc>
          <w:tcPr>
            <w:tcW w:w="1137" w:type="dxa"/>
            <w:gridSpan w:val="2"/>
          </w:tcPr>
          <w:p w14:paraId="7FAACBE8" w14:textId="77777777" w:rsidR="000056A4" w:rsidRPr="00B06D0E" w:rsidRDefault="002F172C" w:rsidP="00B06D0E">
            <w:pPr>
              <w:jc w:val="right"/>
              <w:rPr>
                <w:sz w:val="18"/>
              </w:rPr>
            </w:pPr>
            <w:r>
              <w:rPr>
                <w:sz w:val="18"/>
              </w:rPr>
              <w:t>!</w:t>
            </w:r>
          </w:p>
        </w:tc>
      </w:tr>
      <w:tr w:rsidR="000056A4" w:rsidRPr="00313EC6" w14:paraId="492A5839" w14:textId="77777777" w:rsidTr="000056A4">
        <w:trPr>
          <w:jc w:val="center"/>
        </w:trPr>
        <w:tc>
          <w:tcPr>
            <w:tcW w:w="2699" w:type="dxa"/>
            <w:tcBorders>
              <w:bottom w:val="single" w:sz="4" w:space="0" w:color="auto"/>
            </w:tcBorders>
            <w:vAlign w:val="center"/>
          </w:tcPr>
          <w:p w14:paraId="5E616895" w14:textId="77777777" w:rsidR="000056A4" w:rsidRPr="00313EC6" w:rsidRDefault="000056A4" w:rsidP="000056A4">
            <w:pPr>
              <w:spacing w:before="20" w:after="20"/>
              <w:ind w:left="88"/>
              <w:rPr>
                <w:sz w:val="18"/>
                <w:szCs w:val="20"/>
              </w:rPr>
            </w:pPr>
            <w:r w:rsidRPr="00313EC6">
              <w:rPr>
                <w:sz w:val="18"/>
                <w:szCs w:val="20"/>
              </w:rPr>
              <w:t>Moderate-risk</w:t>
            </w:r>
            <w:r>
              <w:rPr>
                <w:sz w:val="18"/>
                <w:szCs w:val="20"/>
              </w:rPr>
              <w:t>/problem</w:t>
            </w:r>
            <w:r w:rsidRPr="00313EC6">
              <w:rPr>
                <w:sz w:val="18"/>
                <w:szCs w:val="20"/>
              </w:rPr>
              <w:t xml:space="preserve"> gambler</w:t>
            </w:r>
          </w:p>
        </w:tc>
        <w:tc>
          <w:tcPr>
            <w:tcW w:w="709" w:type="dxa"/>
            <w:tcBorders>
              <w:bottom w:val="single" w:sz="4" w:space="0" w:color="auto"/>
            </w:tcBorders>
            <w:shd w:val="clear" w:color="auto" w:fill="auto"/>
          </w:tcPr>
          <w:p w14:paraId="59F60B2C" w14:textId="77777777" w:rsidR="000056A4" w:rsidRPr="00B06D0E" w:rsidRDefault="000056A4" w:rsidP="00B06D0E">
            <w:pPr>
              <w:jc w:val="right"/>
              <w:rPr>
                <w:sz w:val="18"/>
              </w:rPr>
            </w:pPr>
            <w:r w:rsidRPr="00B06D0E">
              <w:rPr>
                <w:sz w:val="18"/>
              </w:rPr>
              <w:t>0</w:t>
            </w:r>
          </w:p>
        </w:tc>
        <w:tc>
          <w:tcPr>
            <w:tcW w:w="567" w:type="dxa"/>
            <w:tcBorders>
              <w:bottom w:val="single" w:sz="4" w:space="0" w:color="auto"/>
            </w:tcBorders>
            <w:shd w:val="clear" w:color="auto" w:fill="auto"/>
          </w:tcPr>
          <w:p w14:paraId="4F17782A" w14:textId="77777777" w:rsidR="000056A4" w:rsidRPr="00B06D0E" w:rsidRDefault="000056A4" w:rsidP="00B06D0E">
            <w:pPr>
              <w:jc w:val="right"/>
              <w:rPr>
                <w:sz w:val="18"/>
              </w:rPr>
            </w:pPr>
            <w:r w:rsidRPr="00B06D0E">
              <w:rPr>
                <w:sz w:val="18"/>
              </w:rPr>
              <w:t>-</w:t>
            </w:r>
          </w:p>
        </w:tc>
        <w:tc>
          <w:tcPr>
            <w:tcW w:w="1276" w:type="dxa"/>
            <w:tcBorders>
              <w:bottom w:val="single" w:sz="4" w:space="0" w:color="auto"/>
            </w:tcBorders>
          </w:tcPr>
          <w:p w14:paraId="5269D3A6" w14:textId="77777777" w:rsidR="000056A4" w:rsidRPr="00B06D0E" w:rsidRDefault="000056A4" w:rsidP="00B06D0E">
            <w:pPr>
              <w:jc w:val="right"/>
              <w:rPr>
                <w:sz w:val="18"/>
              </w:rPr>
            </w:pPr>
          </w:p>
        </w:tc>
        <w:tc>
          <w:tcPr>
            <w:tcW w:w="709" w:type="dxa"/>
            <w:tcBorders>
              <w:bottom w:val="single" w:sz="4" w:space="0" w:color="auto"/>
            </w:tcBorders>
            <w:shd w:val="clear" w:color="auto" w:fill="auto"/>
          </w:tcPr>
          <w:p w14:paraId="40E972D4" w14:textId="77777777" w:rsidR="000056A4" w:rsidRPr="00B06D0E" w:rsidRDefault="000056A4" w:rsidP="00B06D0E">
            <w:pPr>
              <w:jc w:val="right"/>
              <w:rPr>
                <w:sz w:val="18"/>
              </w:rPr>
            </w:pPr>
            <w:r w:rsidRPr="00B06D0E">
              <w:rPr>
                <w:sz w:val="18"/>
              </w:rPr>
              <w:t>2</w:t>
            </w:r>
          </w:p>
        </w:tc>
        <w:tc>
          <w:tcPr>
            <w:tcW w:w="567" w:type="dxa"/>
            <w:tcBorders>
              <w:bottom w:val="single" w:sz="4" w:space="0" w:color="auto"/>
            </w:tcBorders>
            <w:shd w:val="clear" w:color="auto" w:fill="auto"/>
          </w:tcPr>
          <w:p w14:paraId="56E6FB97" w14:textId="77777777" w:rsidR="000056A4" w:rsidRPr="00B06D0E" w:rsidRDefault="000056A4" w:rsidP="00B06D0E">
            <w:pPr>
              <w:jc w:val="right"/>
              <w:rPr>
                <w:sz w:val="18"/>
              </w:rPr>
            </w:pPr>
            <w:r w:rsidRPr="00B06D0E">
              <w:rPr>
                <w:sz w:val="18"/>
              </w:rPr>
              <w:t>18.6</w:t>
            </w:r>
          </w:p>
        </w:tc>
        <w:tc>
          <w:tcPr>
            <w:tcW w:w="1134" w:type="dxa"/>
            <w:tcBorders>
              <w:bottom w:val="single" w:sz="4" w:space="0" w:color="auto"/>
            </w:tcBorders>
          </w:tcPr>
          <w:p w14:paraId="764EC21E" w14:textId="77777777" w:rsidR="000056A4" w:rsidRPr="00B06D0E" w:rsidRDefault="002F172C" w:rsidP="00B06D0E">
            <w:pPr>
              <w:jc w:val="right"/>
              <w:rPr>
                <w:sz w:val="18"/>
              </w:rPr>
            </w:pPr>
            <w:r>
              <w:rPr>
                <w:sz w:val="18"/>
              </w:rPr>
              <w:t>!</w:t>
            </w:r>
          </w:p>
        </w:tc>
        <w:tc>
          <w:tcPr>
            <w:tcW w:w="567" w:type="dxa"/>
            <w:tcBorders>
              <w:bottom w:val="single" w:sz="4" w:space="0" w:color="auto"/>
            </w:tcBorders>
            <w:shd w:val="clear" w:color="auto" w:fill="auto"/>
          </w:tcPr>
          <w:p w14:paraId="4679F92D" w14:textId="77777777" w:rsidR="000056A4" w:rsidRPr="00B06D0E" w:rsidRDefault="000056A4" w:rsidP="00B06D0E">
            <w:pPr>
              <w:jc w:val="right"/>
              <w:rPr>
                <w:sz w:val="18"/>
              </w:rPr>
            </w:pPr>
            <w:r w:rsidRPr="00B06D0E">
              <w:rPr>
                <w:sz w:val="18"/>
              </w:rPr>
              <w:t>3</w:t>
            </w:r>
          </w:p>
        </w:tc>
        <w:tc>
          <w:tcPr>
            <w:tcW w:w="567" w:type="dxa"/>
            <w:tcBorders>
              <w:bottom w:val="single" w:sz="4" w:space="0" w:color="auto"/>
            </w:tcBorders>
            <w:shd w:val="clear" w:color="auto" w:fill="auto"/>
          </w:tcPr>
          <w:p w14:paraId="50590BFD" w14:textId="77777777" w:rsidR="000056A4" w:rsidRPr="00B06D0E" w:rsidRDefault="000056A4" w:rsidP="00B06D0E">
            <w:pPr>
              <w:jc w:val="right"/>
              <w:rPr>
                <w:sz w:val="18"/>
              </w:rPr>
            </w:pPr>
            <w:r w:rsidRPr="00B06D0E">
              <w:rPr>
                <w:sz w:val="18"/>
              </w:rPr>
              <w:t>26.8</w:t>
            </w:r>
          </w:p>
        </w:tc>
        <w:tc>
          <w:tcPr>
            <w:tcW w:w="1135" w:type="dxa"/>
            <w:tcBorders>
              <w:bottom w:val="single" w:sz="4" w:space="0" w:color="auto"/>
            </w:tcBorders>
          </w:tcPr>
          <w:p w14:paraId="032DBE2F" w14:textId="77777777" w:rsidR="000056A4" w:rsidRPr="00B06D0E" w:rsidRDefault="000056A4" w:rsidP="00B06D0E">
            <w:pPr>
              <w:jc w:val="right"/>
              <w:rPr>
                <w:sz w:val="18"/>
              </w:rPr>
            </w:pPr>
            <w:r w:rsidRPr="00B06D0E">
              <w:rPr>
                <w:sz w:val="18"/>
              </w:rPr>
              <w:t>(7</w:t>
            </w:r>
            <w:r w:rsidR="00B06D0E">
              <w:rPr>
                <w:sz w:val="18"/>
              </w:rPr>
              <w:t>.0</w:t>
            </w:r>
            <w:r w:rsidRPr="00B06D0E">
              <w:rPr>
                <w:sz w:val="18"/>
              </w:rPr>
              <w:t>, 46.6)</w:t>
            </w:r>
          </w:p>
        </w:tc>
        <w:tc>
          <w:tcPr>
            <w:tcW w:w="567" w:type="dxa"/>
            <w:tcBorders>
              <w:bottom w:val="single" w:sz="4" w:space="0" w:color="auto"/>
            </w:tcBorders>
            <w:shd w:val="clear" w:color="auto" w:fill="auto"/>
          </w:tcPr>
          <w:p w14:paraId="0CE5B950" w14:textId="77777777" w:rsidR="000056A4" w:rsidRPr="00B06D0E" w:rsidRDefault="000056A4" w:rsidP="00B06D0E">
            <w:pPr>
              <w:jc w:val="right"/>
              <w:rPr>
                <w:sz w:val="18"/>
              </w:rPr>
            </w:pPr>
            <w:r w:rsidRPr="00B06D0E">
              <w:rPr>
                <w:sz w:val="18"/>
              </w:rPr>
              <w:t>6</w:t>
            </w:r>
          </w:p>
        </w:tc>
        <w:tc>
          <w:tcPr>
            <w:tcW w:w="568" w:type="dxa"/>
            <w:tcBorders>
              <w:bottom w:val="single" w:sz="4" w:space="0" w:color="auto"/>
            </w:tcBorders>
            <w:shd w:val="clear" w:color="auto" w:fill="auto"/>
          </w:tcPr>
          <w:p w14:paraId="6402FA4B" w14:textId="77777777" w:rsidR="000056A4" w:rsidRPr="00B06D0E" w:rsidRDefault="000056A4" w:rsidP="00B06D0E">
            <w:pPr>
              <w:jc w:val="right"/>
              <w:rPr>
                <w:sz w:val="18"/>
              </w:rPr>
            </w:pPr>
            <w:r w:rsidRPr="00B06D0E">
              <w:rPr>
                <w:sz w:val="18"/>
              </w:rPr>
              <w:t>54.5</w:t>
            </w:r>
          </w:p>
        </w:tc>
        <w:tc>
          <w:tcPr>
            <w:tcW w:w="1137" w:type="dxa"/>
            <w:gridSpan w:val="2"/>
            <w:tcBorders>
              <w:bottom w:val="single" w:sz="4" w:space="0" w:color="auto"/>
            </w:tcBorders>
          </w:tcPr>
          <w:p w14:paraId="614903F9" w14:textId="77777777" w:rsidR="000056A4" w:rsidRPr="00B06D0E" w:rsidRDefault="000056A4" w:rsidP="00B06D0E">
            <w:pPr>
              <w:jc w:val="right"/>
              <w:rPr>
                <w:sz w:val="18"/>
              </w:rPr>
            </w:pPr>
            <w:r w:rsidRPr="00B06D0E">
              <w:rPr>
                <w:sz w:val="18"/>
              </w:rPr>
              <w:t>(33.2, 75.9)</w:t>
            </w:r>
          </w:p>
        </w:tc>
      </w:tr>
    </w:tbl>
    <w:p w14:paraId="78876AB4" w14:textId="77777777" w:rsidR="00782DA5" w:rsidRPr="00313EC6" w:rsidRDefault="00782DA5" w:rsidP="000056A4">
      <w:pPr>
        <w:ind w:left="851"/>
        <w:rPr>
          <w:sz w:val="18"/>
        </w:rPr>
      </w:pPr>
      <w:r w:rsidRPr="00313EC6">
        <w:rPr>
          <w:sz w:val="18"/>
        </w:rPr>
        <w:t>Data weighted for 2013 Census data and attrition</w:t>
      </w:r>
    </w:p>
    <w:p w14:paraId="7E158016" w14:textId="77777777" w:rsidR="00782DA5" w:rsidRDefault="00782DA5" w:rsidP="000056A4">
      <w:pPr>
        <w:ind w:left="851"/>
        <w:rPr>
          <w:sz w:val="18"/>
        </w:rPr>
      </w:pPr>
      <w:r w:rsidRPr="00782DA5">
        <w:rPr>
          <w:sz w:val="18"/>
        </w:rPr>
        <w:t>Total percentages do not always add up to 100% due to rounding</w:t>
      </w:r>
    </w:p>
    <w:p w14:paraId="19DFC035" w14:textId="77777777" w:rsidR="00011C4C" w:rsidRPr="00011C4C" w:rsidRDefault="00011C4C" w:rsidP="00011C4C">
      <w:pPr>
        <w:spacing w:after="200" w:line="276" w:lineRule="auto"/>
        <w:ind w:left="851"/>
        <w:rPr>
          <w:sz w:val="18"/>
        </w:rPr>
      </w:pPr>
      <w:r w:rsidRPr="00011C4C">
        <w:rPr>
          <w:sz w:val="18"/>
        </w:rPr>
        <w:t>! Meaningful confidence intervals not calculable due to small sample size</w:t>
      </w:r>
    </w:p>
    <w:p w14:paraId="37DD809B" w14:textId="77777777" w:rsidR="00011C4C" w:rsidRPr="00782DA5" w:rsidRDefault="00011C4C" w:rsidP="000056A4">
      <w:pPr>
        <w:ind w:left="851"/>
        <w:rPr>
          <w:sz w:val="18"/>
        </w:rPr>
      </w:pPr>
    </w:p>
    <w:p w14:paraId="479B7B7F" w14:textId="77777777" w:rsidR="00313EC6" w:rsidRDefault="00313EC6" w:rsidP="000056A4">
      <w:pPr>
        <w:ind w:left="851"/>
        <w:rPr>
          <w:rFonts w:eastAsiaTheme="majorEastAsia" w:cstheme="majorBidi"/>
          <w:b/>
          <w:bCs/>
          <w:caps/>
          <w:szCs w:val="28"/>
          <w:lang w:eastAsia="en-US"/>
        </w:rPr>
      </w:pPr>
    </w:p>
    <w:p w14:paraId="32DD9207" w14:textId="77777777" w:rsidR="00F724D0" w:rsidRDefault="00F724D0" w:rsidP="000056A4">
      <w:pPr>
        <w:ind w:left="851"/>
        <w:rPr>
          <w:rFonts w:eastAsiaTheme="majorEastAsia" w:cstheme="majorBidi"/>
          <w:b/>
          <w:bCs/>
          <w:caps/>
          <w:szCs w:val="28"/>
          <w:lang w:eastAsia="en-US"/>
        </w:rPr>
      </w:pPr>
    </w:p>
    <w:p w14:paraId="7937D6AE" w14:textId="77777777" w:rsidR="00F724D0" w:rsidRDefault="00F724D0" w:rsidP="000056A4">
      <w:pPr>
        <w:ind w:left="851"/>
        <w:rPr>
          <w:rFonts w:eastAsiaTheme="majorEastAsia" w:cstheme="majorBidi"/>
          <w:b/>
          <w:bCs/>
          <w:caps/>
          <w:szCs w:val="28"/>
          <w:lang w:eastAsia="en-US"/>
        </w:rPr>
      </w:pPr>
    </w:p>
    <w:p w14:paraId="6E33BDA1" w14:textId="77777777" w:rsidR="00F724D0" w:rsidRDefault="00F724D0" w:rsidP="000056A4">
      <w:pPr>
        <w:ind w:left="851"/>
        <w:rPr>
          <w:rFonts w:eastAsiaTheme="majorEastAsia" w:cstheme="majorBidi"/>
          <w:b/>
          <w:bCs/>
          <w:caps/>
          <w:szCs w:val="28"/>
          <w:lang w:eastAsia="en-US"/>
        </w:rPr>
        <w:sectPr w:rsidR="00F724D0" w:rsidSect="00E44575">
          <w:headerReference w:type="default" r:id="rId21"/>
          <w:pgSz w:w="16838" w:h="11906" w:orient="landscape"/>
          <w:pgMar w:top="1800" w:right="1440" w:bottom="1800" w:left="1440" w:header="708" w:footer="708" w:gutter="0"/>
          <w:cols w:space="708"/>
          <w:docGrid w:linePitch="360"/>
        </w:sectPr>
      </w:pPr>
    </w:p>
    <w:p w14:paraId="51FEC365" w14:textId="77777777" w:rsidR="005E1C4B" w:rsidRDefault="005E1C4B" w:rsidP="00302A4C">
      <w:pPr>
        <w:rPr>
          <w:rFonts w:eastAsiaTheme="majorEastAsia" w:cstheme="majorBidi"/>
          <w:b/>
          <w:bCs/>
          <w:caps/>
          <w:szCs w:val="28"/>
          <w:lang w:eastAsia="en-US"/>
        </w:rPr>
      </w:pPr>
    </w:p>
    <w:p w14:paraId="359AE7E9" w14:textId="77777777" w:rsidR="005E1C4B" w:rsidRDefault="005E1C4B">
      <w:pPr>
        <w:spacing w:after="200" w:line="276" w:lineRule="auto"/>
        <w:rPr>
          <w:rFonts w:eastAsiaTheme="majorEastAsia" w:cstheme="majorBidi"/>
          <w:b/>
          <w:bCs/>
          <w:caps/>
          <w:szCs w:val="28"/>
          <w:lang w:eastAsia="en-US"/>
        </w:rPr>
      </w:pPr>
      <w:r>
        <w:rPr>
          <w:rFonts w:eastAsiaTheme="majorEastAsia" w:cstheme="majorBidi"/>
          <w:b/>
          <w:bCs/>
          <w:caps/>
          <w:szCs w:val="28"/>
          <w:lang w:eastAsia="en-US"/>
        </w:rPr>
        <w:br w:type="page"/>
      </w:r>
    </w:p>
    <w:p w14:paraId="12BFB6E8" w14:textId="77777777" w:rsidR="005E1C4B" w:rsidRDefault="005E1C4B" w:rsidP="00826105">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bookmarkStart w:id="221" w:name="_Toc504488421"/>
      <w:r>
        <w:t xml:space="preserve">APPENDIX </w:t>
      </w:r>
      <w:r w:rsidR="00D9465C">
        <w:t>28</w:t>
      </w:r>
      <w:r w:rsidRPr="00230801">
        <w:t>:</w:t>
      </w:r>
      <w:r w:rsidRPr="00230801">
        <w:br/>
      </w:r>
      <w:r w:rsidRPr="00230801">
        <w:rPr>
          <w:caps w:val="0"/>
        </w:rPr>
        <w:t xml:space="preserve">Statistically significant bivariate associations </w:t>
      </w:r>
      <w:r w:rsidR="00826105">
        <w:rPr>
          <w:caps w:val="0"/>
        </w:rPr>
        <w:t xml:space="preserve">with </w:t>
      </w:r>
      <w:r w:rsidR="00362AFC">
        <w:rPr>
          <w:caps w:val="0"/>
        </w:rPr>
        <w:t xml:space="preserve">the chance of </w:t>
      </w:r>
      <w:r w:rsidR="00826105">
        <w:rPr>
          <w:caps w:val="0"/>
        </w:rPr>
        <w:t>being a past year</w:t>
      </w:r>
      <w:r w:rsidRPr="00230801">
        <w:rPr>
          <w:caps w:val="0"/>
        </w:rPr>
        <w:t xml:space="preserve"> </w:t>
      </w:r>
      <w:r>
        <w:rPr>
          <w:caps w:val="0"/>
        </w:rPr>
        <w:t>gambl</w:t>
      </w:r>
      <w:r w:rsidR="00826105">
        <w:rPr>
          <w:caps w:val="0"/>
        </w:rPr>
        <w:t>er vs. not gambling across Waves 1 to 4</w:t>
      </w:r>
      <w:bookmarkEnd w:id="221"/>
    </w:p>
    <w:p w14:paraId="5FD88CEA" w14:textId="77777777" w:rsidR="00826105" w:rsidRPr="00826105" w:rsidRDefault="00826105" w:rsidP="00826105">
      <w:pPr>
        <w:pStyle w:val="RepNormal"/>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134"/>
        <w:gridCol w:w="1134"/>
        <w:gridCol w:w="850"/>
      </w:tblGrid>
      <w:tr w:rsidR="005E1C4B" w:rsidRPr="003F15C0" w14:paraId="53923AB8" w14:textId="77777777" w:rsidTr="00036890">
        <w:trPr>
          <w:tblHeader/>
        </w:trPr>
        <w:tc>
          <w:tcPr>
            <w:tcW w:w="5387" w:type="dxa"/>
            <w:tcBorders>
              <w:top w:val="single" w:sz="4" w:space="0" w:color="auto"/>
              <w:bottom w:val="single" w:sz="4" w:space="0" w:color="auto"/>
            </w:tcBorders>
            <w:vAlign w:val="bottom"/>
          </w:tcPr>
          <w:p w14:paraId="11A2D469" w14:textId="77777777" w:rsidR="005E1C4B" w:rsidRPr="003F15C0" w:rsidRDefault="005E1C4B" w:rsidP="009A1B9E">
            <w:pPr>
              <w:spacing w:before="20"/>
              <w:jc w:val="both"/>
              <w:rPr>
                <w:b/>
                <w:sz w:val="16"/>
                <w:szCs w:val="16"/>
              </w:rPr>
            </w:pPr>
            <w:r>
              <w:rPr>
                <w:b/>
                <w:sz w:val="16"/>
                <w:szCs w:val="16"/>
              </w:rPr>
              <w:t>Wave 1 v</w:t>
            </w:r>
            <w:r w:rsidRPr="003F15C0">
              <w:rPr>
                <w:b/>
                <w:sz w:val="16"/>
                <w:szCs w:val="16"/>
              </w:rPr>
              <w:t>ariable</w:t>
            </w:r>
          </w:p>
        </w:tc>
        <w:tc>
          <w:tcPr>
            <w:tcW w:w="1134" w:type="dxa"/>
            <w:tcBorders>
              <w:top w:val="single" w:sz="4" w:space="0" w:color="auto"/>
              <w:bottom w:val="single" w:sz="4" w:space="0" w:color="auto"/>
            </w:tcBorders>
            <w:vAlign w:val="bottom"/>
          </w:tcPr>
          <w:p w14:paraId="2EBB8D19" w14:textId="74B476E0" w:rsidR="005E1C4B" w:rsidRPr="003F15C0" w:rsidRDefault="004B0286" w:rsidP="009A1B9E">
            <w:pPr>
              <w:spacing w:before="20"/>
              <w:jc w:val="right"/>
              <w:rPr>
                <w:b/>
                <w:color w:val="000000"/>
                <w:sz w:val="16"/>
                <w:szCs w:val="16"/>
              </w:rPr>
            </w:pPr>
            <w:r>
              <w:rPr>
                <w:b/>
                <w:color w:val="000000"/>
                <w:sz w:val="16"/>
                <w:szCs w:val="16"/>
              </w:rPr>
              <w:t>Odds r</w:t>
            </w:r>
            <w:r w:rsidR="005E1C4B" w:rsidRPr="003F15C0">
              <w:rPr>
                <w:b/>
                <w:color w:val="000000"/>
                <w:sz w:val="16"/>
                <w:szCs w:val="16"/>
              </w:rPr>
              <w:t>atio</w:t>
            </w:r>
          </w:p>
        </w:tc>
        <w:tc>
          <w:tcPr>
            <w:tcW w:w="1134" w:type="dxa"/>
            <w:tcBorders>
              <w:top w:val="single" w:sz="4" w:space="0" w:color="auto"/>
              <w:bottom w:val="single" w:sz="4" w:space="0" w:color="auto"/>
            </w:tcBorders>
            <w:vAlign w:val="bottom"/>
          </w:tcPr>
          <w:p w14:paraId="6C20C076" w14:textId="77777777" w:rsidR="005E1C4B" w:rsidRPr="003F15C0" w:rsidRDefault="005E1C4B" w:rsidP="009A1B9E">
            <w:pPr>
              <w:spacing w:before="20"/>
              <w:jc w:val="right"/>
              <w:rPr>
                <w:b/>
                <w:color w:val="000000"/>
                <w:sz w:val="16"/>
                <w:szCs w:val="16"/>
              </w:rPr>
            </w:pPr>
            <w:r w:rsidRPr="003F15C0">
              <w:rPr>
                <w:b/>
                <w:color w:val="000000"/>
                <w:sz w:val="16"/>
                <w:szCs w:val="16"/>
              </w:rPr>
              <w:t>(95% CI)</w:t>
            </w:r>
          </w:p>
        </w:tc>
        <w:tc>
          <w:tcPr>
            <w:tcW w:w="850" w:type="dxa"/>
            <w:tcBorders>
              <w:top w:val="single" w:sz="4" w:space="0" w:color="auto"/>
              <w:bottom w:val="single" w:sz="4" w:space="0" w:color="auto"/>
            </w:tcBorders>
            <w:vAlign w:val="bottom"/>
          </w:tcPr>
          <w:p w14:paraId="3F845A8A" w14:textId="77777777" w:rsidR="005E1C4B" w:rsidRPr="003F15C0" w:rsidRDefault="005E1C4B" w:rsidP="009A1B9E">
            <w:pPr>
              <w:spacing w:before="20"/>
              <w:jc w:val="right"/>
              <w:rPr>
                <w:b/>
                <w:color w:val="000000"/>
                <w:sz w:val="16"/>
                <w:szCs w:val="16"/>
              </w:rPr>
            </w:pPr>
            <w:r w:rsidRPr="003F15C0">
              <w:rPr>
                <w:b/>
                <w:color w:val="000000"/>
                <w:sz w:val="16"/>
                <w:szCs w:val="16"/>
              </w:rPr>
              <w:t>p-value</w:t>
            </w:r>
          </w:p>
        </w:tc>
      </w:tr>
      <w:tr w:rsidR="005E1C4B" w:rsidRPr="003F15C0" w14:paraId="128B1997" w14:textId="77777777" w:rsidTr="00036890">
        <w:tc>
          <w:tcPr>
            <w:tcW w:w="5387" w:type="dxa"/>
            <w:vAlign w:val="bottom"/>
          </w:tcPr>
          <w:p w14:paraId="2BE395D6" w14:textId="77777777" w:rsidR="005E1C4B" w:rsidRPr="003F15C0" w:rsidRDefault="005E1C4B" w:rsidP="009A1B9E">
            <w:pPr>
              <w:spacing w:before="20"/>
              <w:jc w:val="both"/>
              <w:rPr>
                <w:b/>
                <w:sz w:val="16"/>
                <w:szCs w:val="16"/>
              </w:rPr>
            </w:pPr>
            <w:r>
              <w:rPr>
                <w:b/>
                <w:sz w:val="16"/>
                <w:szCs w:val="16"/>
              </w:rPr>
              <w:t>Time</w:t>
            </w:r>
          </w:p>
        </w:tc>
        <w:tc>
          <w:tcPr>
            <w:tcW w:w="1134" w:type="dxa"/>
            <w:shd w:val="clear" w:color="auto" w:fill="auto"/>
            <w:vAlign w:val="center"/>
          </w:tcPr>
          <w:p w14:paraId="54F80949" w14:textId="77777777" w:rsidR="005E1C4B" w:rsidRPr="005E1C4B" w:rsidRDefault="005E1C4B" w:rsidP="005E1C4B">
            <w:pPr>
              <w:jc w:val="right"/>
              <w:rPr>
                <w:color w:val="000000"/>
                <w:sz w:val="16"/>
                <w:szCs w:val="16"/>
                <w:lang w:eastAsia="en-NZ"/>
              </w:rPr>
            </w:pPr>
          </w:p>
        </w:tc>
        <w:tc>
          <w:tcPr>
            <w:tcW w:w="1134" w:type="dxa"/>
            <w:shd w:val="clear" w:color="auto" w:fill="auto"/>
            <w:vAlign w:val="center"/>
          </w:tcPr>
          <w:p w14:paraId="4A89077E" w14:textId="77777777" w:rsidR="005E1C4B" w:rsidRPr="005E1C4B" w:rsidRDefault="005E1C4B" w:rsidP="005E1C4B">
            <w:pPr>
              <w:jc w:val="right"/>
              <w:rPr>
                <w:color w:val="000000"/>
                <w:sz w:val="16"/>
                <w:szCs w:val="16"/>
                <w:lang w:eastAsia="en-NZ"/>
              </w:rPr>
            </w:pPr>
          </w:p>
        </w:tc>
        <w:tc>
          <w:tcPr>
            <w:tcW w:w="850" w:type="dxa"/>
            <w:shd w:val="clear" w:color="auto" w:fill="auto"/>
            <w:vAlign w:val="center"/>
          </w:tcPr>
          <w:p w14:paraId="05F13BAD" w14:textId="77777777" w:rsidR="005E1C4B" w:rsidRPr="005E1C4B" w:rsidRDefault="005E1C4B" w:rsidP="005E1C4B">
            <w:pPr>
              <w:jc w:val="right"/>
              <w:rPr>
                <w:color w:val="000000"/>
                <w:sz w:val="16"/>
                <w:szCs w:val="16"/>
                <w:lang w:eastAsia="en-NZ"/>
              </w:rPr>
            </w:pPr>
          </w:p>
        </w:tc>
      </w:tr>
      <w:tr w:rsidR="005E1C4B" w:rsidRPr="003F15C0" w14:paraId="400ABACF" w14:textId="77777777" w:rsidTr="00036890">
        <w:trPr>
          <w:trHeight w:val="157"/>
        </w:trPr>
        <w:tc>
          <w:tcPr>
            <w:tcW w:w="5387" w:type="dxa"/>
          </w:tcPr>
          <w:p w14:paraId="7D61831A" w14:textId="77777777" w:rsidR="005E1C4B" w:rsidRPr="003F15C0" w:rsidRDefault="005E1C4B" w:rsidP="005E1C4B">
            <w:pPr>
              <w:spacing w:before="20"/>
              <w:ind w:left="176"/>
              <w:jc w:val="both"/>
              <w:rPr>
                <w:sz w:val="16"/>
                <w:szCs w:val="16"/>
              </w:rPr>
            </w:pPr>
            <w:r>
              <w:rPr>
                <w:sz w:val="16"/>
                <w:szCs w:val="16"/>
              </w:rPr>
              <w:t>Wave 1</w:t>
            </w:r>
          </w:p>
        </w:tc>
        <w:tc>
          <w:tcPr>
            <w:tcW w:w="1134" w:type="dxa"/>
            <w:shd w:val="clear" w:color="auto" w:fill="auto"/>
            <w:vAlign w:val="center"/>
          </w:tcPr>
          <w:p w14:paraId="20EF8711" w14:textId="77777777" w:rsidR="005E1C4B" w:rsidRPr="005E1C4B" w:rsidRDefault="005E1C4B" w:rsidP="005E1C4B">
            <w:pPr>
              <w:jc w:val="right"/>
              <w:rPr>
                <w:color w:val="000000"/>
                <w:sz w:val="16"/>
                <w:szCs w:val="16"/>
                <w:lang w:eastAsia="en-NZ"/>
              </w:rPr>
            </w:pPr>
            <w:r w:rsidRPr="005E1C4B">
              <w:rPr>
                <w:color w:val="000000"/>
                <w:sz w:val="16"/>
                <w:szCs w:val="16"/>
                <w:lang w:eastAsia="en-NZ"/>
              </w:rPr>
              <w:t>1.00</w:t>
            </w:r>
          </w:p>
        </w:tc>
        <w:tc>
          <w:tcPr>
            <w:tcW w:w="1134" w:type="dxa"/>
            <w:shd w:val="clear" w:color="auto" w:fill="auto"/>
            <w:vAlign w:val="center"/>
          </w:tcPr>
          <w:p w14:paraId="201D4C27" w14:textId="77777777" w:rsidR="005E1C4B" w:rsidRPr="005E1C4B" w:rsidRDefault="005E1C4B" w:rsidP="005E1C4B">
            <w:pPr>
              <w:jc w:val="right"/>
              <w:rPr>
                <w:color w:val="000000"/>
                <w:sz w:val="16"/>
                <w:szCs w:val="16"/>
                <w:lang w:eastAsia="en-NZ"/>
              </w:rPr>
            </w:pPr>
          </w:p>
        </w:tc>
        <w:tc>
          <w:tcPr>
            <w:tcW w:w="850" w:type="dxa"/>
            <w:shd w:val="clear" w:color="auto" w:fill="auto"/>
            <w:vAlign w:val="center"/>
          </w:tcPr>
          <w:p w14:paraId="1EFF37C1" w14:textId="77777777" w:rsidR="005E1C4B" w:rsidRPr="005E1C4B" w:rsidRDefault="005E1C4B" w:rsidP="005E1C4B">
            <w:pPr>
              <w:jc w:val="right"/>
              <w:rPr>
                <w:sz w:val="16"/>
                <w:szCs w:val="16"/>
                <w:lang w:eastAsia="en-NZ"/>
              </w:rPr>
            </w:pPr>
          </w:p>
        </w:tc>
      </w:tr>
      <w:tr w:rsidR="005E1C4B" w:rsidRPr="003F15C0" w14:paraId="6463A254" w14:textId="77777777" w:rsidTr="00036890">
        <w:tc>
          <w:tcPr>
            <w:tcW w:w="5387" w:type="dxa"/>
          </w:tcPr>
          <w:p w14:paraId="76AD6CEA" w14:textId="77777777" w:rsidR="005E1C4B" w:rsidRPr="003F15C0" w:rsidRDefault="005E1C4B" w:rsidP="005E1C4B">
            <w:pPr>
              <w:spacing w:before="20"/>
              <w:ind w:left="176"/>
              <w:jc w:val="both"/>
              <w:rPr>
                <w:sz w:val="16"/>
                <w:szCs w:val="16"/>
              </w:rPr>
            </w:pPr>
            <w:r>
              <w:rPr>
                <w:sz w:val="16"/>
                <w:szCs w:val="16"/>
              </w:rPr>
              <w:t>Wave 2</w:t>
            </w:r>
          </w:p>
        </w:tc>
        <w:tc>
          <w:tcPr>
            <w:tcW w:w="1134" w:type="dxa"/>
            <w:shd w:val="clear" w:color="auto" w:fill="auto"/>
            <w:vAlign w:val="center"/>
          </w:tcPr>
          <w:p w14:paraId="7638456A" w14:textId="77777777" w:rsidR="005E1C4B" w:rsidRPr="005E1C4B" w:rsidRDefault="005E1C4B" w:rsidP="005E1C4B">
            <w:pPr>
              <w:jc w:val="right"/>
              <w:rPr>
                <w:color w:val="000000"/>
                <w:sz w:val="16"/>
                <w:szCs w:val="16"/>
                <w:lang w:eastAsia="en-NZ"/>
              </w:rPr>
            </w:pPr>
            <w:r w:rsidRPr="005E1C4B">
              <w:rPr>
                <w:color w:val="000000"/>
                <w:sz w:val="16"/>
                <w:szCs w:val="16"/>
                <w:lang w:eastAsia="en-NZ"/>
              </w:rPr>
              <w:t>0.77</w:t>
            </w:r>
          </w:p>
        </w:tc>
        <w:tc>
          <w:tcPr>
            <w:tcW w:w="1134" w:type="dxa"/>
            <w:shd w:val="clear" w:color="auto" w:fill="auto"/>
            <w:vAlign w:val="center"/>
          </w:tcPr>
          <w:p w14:paraId="67CBEFD0" w14:textId="77777777" w:rsidR="005E1C4B" w:rsidRPr="005E1C4B" w:rsidRDefault="005E1C4B" w:rsidP="005E1C4B">
            <w:pPr>
              <w:jc w:val="right"/>
              <w:rPr>
                <w:color w:val="000000"/>
                <w:sz w:val="16"/>
                <w:szCs w:val="16"/>
                <w:lang w:eastAsia="en-NZ"/>
              </w:rPr>
            </w:pPr>
            <w:r w:rsidRPr="005E1C4B">
              <w:rPr>
                <w:color w:val="000000"/>
                <w:sz w:val="16"/>
                <w:szCs w:val="16"/>
                <w:lang w:eastAsia="en-NZ"/>
              </w:rPr>
              <w:t>(0.65, 0.92)</w:t>
            </w:r>
          </w:p>
        </w:tc>
        <w:tc>
          <w:tcPr>
            <w:tcW w:w="850" w:type="dxa"/>
            <w:shd w:val="clear" w:color="auto" w:fill="auto"/>
            <w:vAlign w:val="center"/>
          </w:tcPr>
          <w:p w14:paraId="15BBE598" w14:textId="77777777" w:rsidR="005E1C4B" w:rsidRPr="005E1C4B" w:rsidRDefault="005E1C4B" w:rsidP="005E1C4B">
            <w:pPr>
              <w:jc w:val="right"/>
              <w:rPr>
                <w:color w:val="000000"/>
                <w:sz w:val="16"/>
                <w:szCs w:val="16"/>
                <w:lang w:eastAsia="en-NZ"/>
              </w:rPr>
            </w:pPr>
          </w:p>
        </w:tc>
      </w:tr>
      <w:tr w:rsidR="005E1C4B" w:rsidRPr="003F15C0" w14:paraId="0AC8D55D" w14:textId="77777777" w:rsidTr="00036890">
        <w:tc>
          <w:tcPr>
            <w:tcW w:w="5387" w:type="dxa"/>
          </w:tcPr>
          <w:p w14:paraId="5D574D80" w14:textId="77777777" w:rsidR="005E1C4B" w:rsidRPr="003F15C0" w:rsidRDefault="005E1C4B" w:rsidP="005E1C4B">
            <w:pPr>
              <w:spacing w:before="20"/>
              <w:ind w:left="176"/>
              <w:jc w:val="both"/>
              <w:rPr>
                <w:sz w:val="16"/>
                <w:szCs w:val="16"/>
              </w:rPr>
            </w:pPr>
            <w:r>
              <w:rPr>
                <w:sz w:val="16"/>
                <w:szCs w:val="16"/>
              </w:rPr>
              <w:t>Wave 3</w:t>
            </w:r>
          </w:p>
        </w:tc>
        <w:tc>
          <w:tcPr>
            <w:tcW w:w="1134" w:type="dxa"/>
            <w:shd w:val="clear" w:color="auto" w:fill="auto"/>
            <w:vAlign w:val="center"/>
          </w:tcPr>
          <w:p w14:paraId="7945114C" w14:textId="77777777" w:rsidR="005E1C4B" w:rsidRPr="005E1C4B" w:rsidRDefault="005E1C4B" w:rsidP="005E1C4B">
            <w:pPr>
              <w:jc w:val="right"/>
              <w:rPr>
                <w:color w:val="000000"/>
                <w:sz w:val="16"/>
                <w:szCs w:val="16"/>
                <w:lang w:eastAsia="en-NZ"/>
              </w:rPr>
            </w:pPr>
            <w:r w:rsidRPr="005E1C4B">
              <w:rPr>
                <w:color w:val="000000"/>
                <w:sz w:val="16"/>
                <w:szCs w:val="16"/>
                <w:lang w:eastAsia="en-NZ"/>
              </w:rPr>
              <w:t>0.68</w:t>
            </w:r>
          </w:p>
        </w:tc>
        <w:tc>
          <w:tcPr>
            <w:tcW w:w="1134" w:type="dxa"/>
            <w:shd w:val="clear" w:color="auto" w:fill="auto"/>
            <w:vAlign w:val="center"/>
          </w:tcPr>
          <w:p w14:paraId="69B57CBB" w14:textId="77777777" w:rsidR="005E1C4B" w:rsidRPr="005E1C4B" w:rsidRDefault="005E1C4B" w:rsidP="005E1C4B">
            <w:pPr>
              <w:jc w:val="right"/>
              <w:rPr>
                <w:color w:val="000000"/>
                <w:sz w:val="16"/>
                <w:szCs w:val="16"/>
                <w:lang w:eastAsia="en-NZ"/>
              </w:rPr>
            </w:pPr>
            <w:r w:rsidRPr="005E1C4B">
              <w:rPr>
                <w:color w:val="000000"/>
                <w:sz w:val="16"/>
                <w:szCs w:val="16"/>
                <w:lang w:eastAsia="en-NZ"/>
              </w:rPr>
              <w:t>(0.57, 0.82)</w:t>
            </w:r>
          </w:p>
        </w:tc>
        <w:tc>
          <w:tcPr>
            <w:tcW w:w="850" w:type="dxa"/>
            <w:shd w:val="clear" w:color="auto" w:fill="auto"/>
            <w:vAlign w:val="center"/>
          </w:tcPr>
          <w:p w14:paraId="727EEFF7" w14:textId="77777777" w:rsidR="005E1C4B" w:rsidRPr="005E1C4B" w:rsidRDefault="005E1C4B" w:rsidP="005E1C4B">
            <w:pPr>
              <w:jc w:val="right"/>
              <w:rPr>
                <w:color w:val="000000"/>
                <w:sz w:val="16"/>
                <w:szCs w:val="16"/>
                <w:lang w:eastAsia="en-NZ"/>
              </w:rPr>
            </w:pPr>
          </w:p>
        </w:tc>
      </w:tr>
      <w:tr w:rsidR="005E1C4B" w:rsidRPr="003F15C0" w14:paraId="3972A5F8" w14:textId="77777777" w:rsidTr="00826105">
        <w:tc>
          <w:tcPr>
            <w:tcW w:w="5387" w:type="dxa"/>
          </w:tcPr>
          <w:p w14:paraId="55AE035C" w14:textId="77777777" w:rsidR="005E1C4B" w:rsidRPr="003F15C0" w:rsidRDefault="005E1C4B" w:rsidP="005E1C4B">
            <w:pPr>
              <w:spacing w:before="20"/>
              <w:ind w:left="176"/>
              <w:jc w:val="both"/>
              <w:rPr>
                <w:sz w:val="16"/>
                <w:szCs w:val="16"/>
              </w:rPr>
            </w:pPr>
            <w:r>
              <w:rPr>
                <w:sz w:val="16"/>
                <w:szCs w:val="16"/>
              </w:rPr>
              <w:t>Wave 4</w:t>
            </w:r>
          </w:p>
        </w:tc>
        <w:tc>
          <w:tcPr>
            <w:tcW w:w="1134" w:type="dxa"/>
            <w:shd w:val="clear" w:color="auto" w:fill="auto"/>
            <w:vAlign w:val="center"/>
          </w:tcPr>
          <w:p w14:paraId="0FC3D191" w14:textId="77777777" w:rsidR="005E1C4B" w:rsidRPr="005E1C4B" w:rsidRDefault="005E1C4B" w:rsidP="005E1C4B">
            <w:pPr>
              <w:jc w:val="right"/>
              <w:rPr>
                <w:color w:val="000000"/>
                <w:sz w:val="16"/>
                <w:szCs w:val="16"/>
                <w:lang w:eastAsia="en-NZ"/>
              </w:rPr>
            </w:pPr>
            <w:r w:rsidRPr="005E1C4B">
              <w:rPr>
                <w:color w:val="000000"/>
                <w:sz w:val="16"/>
                <w:szCs w:val="16"/>
                <w:lang w:eastAsia="en-NZ"/>
              </w:rPr>
              <w:t>0.49</w:t>
            </w:r>
          </w:p>
        </w:tc>
        <w:tc>
          <w:tcPr>
            <w:tcW w:w="1134" w:type="dxa"/>
            <w:shd w:val="clear" w:color="auto" w:fill="auto"/>
            <w:vAlign w:val="center"/>
          </w:tcPr>
          <w:p w14:paraId="664B65CA" w14:textId="77777777" w:rsidR="005E1C4B" w:rsidRPr="005E1C4B" w:rsidRDefault="005E1C4B" w:rsidP="005E1C4B">
            <w:pPr>
              <w:jc w:val="right"/>
              <w:rPr>
                <w:color w:val="000000"/>
                <w:sz w:val="16"/>
                <w:szCs w:val="16"/>
                <w:lang w:eastAsia="en-NZ"/>
              </w:rPr>
            </w:pPr>
            <w:r w:rsidRPr="005E1C4B">
              <w:rPr>
                <w:color w:val="000000"/>
                <w:sz w:val="16"/>
                <w:szCs w:val="16"/>
                <w:lang w:eastAsia="en-NZ"/>
              </w:rPr>
              <w:t>(0.41, 0.59)</w:t>
            </w:r>
          </w:p>
        </w:tc>
        <w:tc>
          <w:tcPr>
            <w:tcW w:w="850" w:type="dxa"/>
            <w:shd w:val="clear" w:color="auto" w:fill="auto"/>
            <w:vAlign w:val="center"/>
          </w:tcPr>
          <w:p w14:paraId="758CE679" w14:textId="77777777" w:rsidR="005E1C4B" w:rsidRPr="005E1C4B" w:rsidRDefault="005E1C4B" w:rsidP="005E1C4B">
            <w:pPr>
              <w:jc w:val="right"/>
              <w:rPr>
                <w:color w:val="000000"/>
                <w:sz w:val="16"/>
                <w:szCs w:val="16"/>
                <w:lang w:eastAsia="en-NZ"/>
              </w:rPr>
            </w:pPr>
            <w:r w:rsidRPr="005E1C4B">
              <w:rPr>
                <w:color w:val="000000"/>
                <w:sz w:val="16"/>
                <w:szCs w:val="16"/>
                <w:lang w:eastAsia="en-NZ"/>
              </w:rPr>
              <w:t>&lt;0.0001</w:t>
            </w:r>
          </w:p>
        </w:tc>
      </w:tr>
      <w:tr w:rsidR="005E1C4B" w:rsidRPr="003F15C0" w14:paraId="579F46D6" w14:textId="77777777" w:rsidTr="00036890">
        <w:tc>
          <w:tcPr>
            <w:tcW w:w="5387" w:type="dxa"/>
            <w:vAlign w:val="bottom"/>
          </w:tcPr>
          <w:p w14:paraId="7E55F83A" w14:textId="77777777" w:rsidR="005E1C4B" w:rsidRPr="003F15C0" w:rsidRDefault="005E1C4B" w:rsidP="009A1B9E">
            <w:pPr>
              <w:spacing w:before="20"/>
              <w:jc w:val="both"/>
              <w:rPr>
                <w:b/>
                <w:sz w:val="16"/>
                <w:szCs w:val="16"/>
              </w:rPr>
            </w:pPr>
            <w:r>
              <w:rPr>
                <w:b/>
                <w:sz w:val="16"/>
                <w:szCs w:val="16"/>
              </w:rPr>
              <w:t>Gender</w:t>
            </w:r>
          </w:p>
        </w:tc>
        <w:tc>
          <w:tcPr>
            <w:tcW w:w="1134" w:type="dxa"/>
            <w:shd w:val="clear" w:color="auto" w:fill="auto"/>
            <w:vAlign w:val="center"/>
          </w:tcPr>
          <w:p w14:paraId="4320C0CE" w14:textId="77777777" w:rsidR="005E1C4B" w:rsidRPr="00FE7300" w:rsidRDefault="005E1C4B" w:rsidP="009A1B9E">
            <w:pPr>
              <w:jc w:val="right"/>
              <w:rPr>
                <w:color w:val="000000"/>
                <w:sz w:val="16"/>
                <w:szCs w:val="16"/>
                <w:lang w:eastAsia="en-NZ"/>
              </w:rPr>
            </w:pPr>
          </w:p>
        </w:tc>
        <w:tc>
          <w:tcPr>
            <w:tcW w:w="1134" w:type="dxa"/>
            <w:shd w:val="clear" w:color="auto" w:fill="auto"/>
            <w:vAlign w:val="center"/>
          </w:tcPr>
          <w:p w14:paraId="5A9182DD" w14:textId="77777777" w:rsidR="005E1C4B" w:rsidRPr="00FE7300" w:rsidRDefault="005E1C4B" w:rsidP="009A1B9E">
            <w:pPr>
              <w:jc w:val="right"/>
              <w:rPr>
                <w:color w:val="000000"/>
                <w:sz w:val="16"/>
                <w:szCs w:val="16"/>
                <w:lang w:eastAsia="en-NZ"/>
              </w:rPr>
            </w:pPr>
          </w:p>
        </w:tc>
        <w:tc>
          <w:tcPr>
            <w:tcW w:w="850" w:type="dxa"/>
            <w:shd w:val="clear" w:color="auto" w:fill="auto"/>
            <w:vAlign w:val="center"/>
          </w:tcPr>
          <w:p w14:paraId="1B5644EF" w14:textId="77777777" w:rsidR="005E1C4B" w:rsidRPr="00FE7300" w:rsidRDefault="005E1C4B" w:rsidP="009A1B9E">
            <w:pPr>
              <w:jc w:val="right"/>
              <w:rPr>
                <w:color w:val="000000"/>
                <w:sz w:val="16"/>
                <w:szCs w:val="16"/>
                <w:lang w:eastAsia="en-NZ"/>
              </w:rPr>
            </w:pPr>
          </w:p>
        </w:tc>
      </w:tr>
      <w:tr w:rsidR="009A1B9E" w:rsidRPr="003F15C0" w14:paraId="17F05438" w14:textId="77777777" w:rsidTr="00036890">
        <w:tc>
          <w:tcPr>
            <w:tcW w:w="5387" w:type="dxa"/>
          </w:tcPr>
          <w:p w14:paraId="146D5A8F" w14:textId="77777777" w:rsidR="009A1B9E" w:rsidRPr="003F15C0" w:rsidRDefault="009A1B9E" w:rsidP="009A1B9E">
            <w:pPr>
              <w:spacing w:before="20"/>
              <w:ind w:left="176"/>
              <w:jc w:val="both"/>
              <w:rPr>
                <w:sz w:val="16"/>
                <w:szCs w:val="16"/>
              </w:rPr>
            </w:pPr>
            <w:r>
              <w:rPr>
                <w:sz w:val="16"/>
                <w:szCs w:val="16"/>
              </w:rPr>
              <w:t>Female</w:t>
            </w:r>
          </w:p>
        </w:tc>
        <w:tc>
          <w:tcPr>
            <w:tcW w:w="1134" w:type="dxa"/>
            <w:shd w:val="clear" w:color="auto" w:fill="auto"/>
            <w:vAlign w:val="bottom"/>
          </w:tcPr>
          <w:p w14:paraId="4237D91F" w14:textId="77777777" w:rsidR="009A1B9E" w:rsidRPr="009A1B9E" w:rsidRDefault="009A1B9E" w:rsidP="009A1B9E">
            <w:pPr>
              <w:jc w:val="right"/>
              <w:rPr>
                <w:color w:val="000000"/>
                <w:sz w:val="16"/>
                <w:szCs w:val="16"/>
                <w:lang w:eastAsia="en-NZ"/>
              </w:rPr>
            </w:pPr>
            <w:r w:rsidRPr="009A1B9E">
              <w:rPr>
                <w:color w:val="000000"/>
                <w:sz w:val="16"/>
                <w:szCs w:val="16"/>
                <w:lang w:eastAsia="en-NZ"/>
              </w:rPr>
              <w:t>1.00</w:t>
            </w:r>
          </w:p>
        </w:tc>
        <w:tc>
          <w:tcPr>
            <w:tcW w:w="1134" w:type="dxa"/>
            <w:shd w:val="clear" w:color="auto" w:fill="auto"/>
            <w:vAlign w:val="bottom"/>
          </w:tcPr>
          <w:p w14:paraId="73914470" w14:textId="77777777" w:rsidR="009A1B9E" w:rsidRPr="009A1B9E" w:rsidRDefault="009A1B9E" w:rsidP="009A1B9E">
            <w:pPr>
              <w:jc w:val="right"/>
              <w:rPr>
                <w:color w:val="000000"/>
                <w:sz w:val="16"/>
                <w:szCs w:val="16"/>
                <w:lang w:eastAsia="en-NZ"/>
              </w:rPr>
            </w:pPr>
          </w:p>
        </w:tc>
        <w:tc>
          <w:tcPr>
            <w:tcW w:w="850" w:type="dxa"/>
            <w:shd w:val="clear" w:color="auto" w:fill="auto"/>
            <w:vAlign w:val="bottom"/>
          </w:tcPr>
          <w:p w14:paraId="26FB7626" w14:textId="77777777" w:rsidR="009A1B9E" w:rsidRPr="009A1B9E" w:rsidRDefault="009A1B9E" w:rsidP="009A1B9E">
            <w:pPr>
              <w:jc w:val="right"/>
              <w:rPr>
                <w:color w:val="000000"/>
                <w:sz w:val="16"/>
                <w:szCs w:val="16"/>
                <w:lang w:eastAsia="en-NZ"/>
              </w:rPr>
            </w:pPr>
          </w:p>
        </w:tc>
      </w:tr>
      <w:tr w:rsidR="009A1B9E" w:rsidRPr="003F15C0" w14:paraId="53B37947" w14:textId="77777777" w:rsidTr="00826105">
        <w:tc>
          <w:tcPr>
            <w:tcW w:w="5387" w:type="dxa"/>
          </w:tcPr>
          <w:p w14:paraId="79DB9599" w14:textId="77777777" w:rsidR="009A1B9E" w:rsidRPr="003F15C0" w:rsidRDefault="009A1B9E" w:rsidP="009A1B9E">
            <w:pPr>
              <w:spacing w:before="20"/>
              <w:ind w:left="176"/>
              <w:jc w:val="both"/>
              <w:rPr>
                <w:sz w:val="16"/>
                <w:szCs w:val="16"/>
              </w:rPr>
            </w:pPr>
            <w:r>
              <w:rPr>
                <w:sz w:val="16"/>
                <w:szCs w:val="16"/>
              </w:rPr>
              <w:t>Male</w:t>
            </w:r>
          </w:p>
        </w:tc>
        <w:tc>
          <w:tcPr>
            <w:tcW w:w="1134" w:type="dxa"/>
            <w:shd w:val="clear" w:color="auto" w:fill="auto"/>
            <w:vAlign w:val="bottom"/>
          </w:tcPr>
          <w:p w14:paraId="780703B1" w14:textId="77777777" w:rsidR="009A1B9E" w:rsidRPr="009A1B9E" w:rsidRDefault="009A1B9E" w:rsidP="009A1B9E">
            <w:pPr>
              <w:jc w:val="right"/>
              <w:rPr>
                <w:color w:val="000000"/>
                <w:sz w:val="16"/>
                <w:szCs w:val="16"/>
                <w:lang w:eastAsia="en-NZ"/>
              </w:rPr>
            </w:pPr>
            <w:r w:rsidRPr="009A1B9E">
              <w:rPr>
                <w:color w:val="000000"/>
                <w:sz w:val="16"/>
                <w:szCs w:val="16"/>
                <w:lang w:eastAsia="en-NZ"/>
              </w:rPr>
              <w:t>1.53</w:t>
            </w:r>
          </w:p>
        </w:tc>
        <w:tc>
          <w:tcPr>
            <w:tcW w:w="1134" w:type="dxa"/>
            <w:shd w:val="clear" w:color="auto" w:fill="auto"/>
            <w:vAlign w:val="bottom"/>
          </w:tcPr>
          <w:p w14:paraId="402599E8" w14:textId="77777777" w:rsidR="009A1B9E" w:rsidRPr="009A1B9E" w:rsidRDefault="009A1B9E" w:rsidP="009A1B9E">
            <w:pPr>
              <w:jc w:val="right"/>
              <w:rPr>
                <w:color w:val="000000"/>
                <w:sz w:val="16"/>
                <w:szCs w:val="16"/>
                <w:lang w:eastAsia="en-NZ"/>
              </w:rPr>
            </w:pPr>
            <w:r w:rsidRPr="009A1B9E">
              <w:rPr>
                <w:color w:val="000000"/>
                <w:sz w:val="16"/>
                <w:szCs w:val="16"/>
                <w:lang w:eastAsia="en-NZ"/>
              </w:rPr>
              <w:t>(1.14, 2.04)</w:t>
            </w:r>
          </w:p>
        </w:tc>
        <w:tc>
          <w:tcPr>
            <w:tcW w:w="850" w:type="dxa"/>
            <w:shd w:val="clear" w:color="auto" w:fill="auto"/>
            <w:vAlign w:val="bottom"/>
          </w:tcPr>
          <w:p w14:paraId="7D8E35D0" w14:textId="77777777" w:rsidR="009A1B9E" w:rsidRPr="009A1B9E" w:rsidRDefault="009A1B9E" w:rsidP="009A1B9E">
            <w:pPr>
              <w:jc w:val="right"/>
              <w:rPr>
                <w:color w:val="000000"/>
                <w:sz w:val="16"/>
                <w:szCs w:val="16"/>
                <w:lang w:eastAsia="en-NZ"/>
              </w:rPr>
            </w:pPr>
            <w:r w:rsidRPr="009A1B9E">
              <w:rPr>
                <w:color w:val="000000"/>
                <w:sz w:val="16"/>
                <w:szCs w:val="16"/>
                <w:lang w:eastAsia="en-NZ"/>
              </w:rPr>
              <w:t>0.004</w:t>
            </w:r>
          </w:p>
        </w:tc>
      </w:tr>
      <w:tr w:rsidR="005E1C4B" w:rsidRPr="003F15C0" w14:paraId="1789CA85" w14:textId="77777777" w:rsidTr="00036890">
        <w:tc>
          <w:tcPr>
            <w:tcW w:w="5387" w:type="dxa"/>
          </w:tcPr>
          <w:p w14:paraId="2740776E" w14:textId="77777777" w:rsidR="005E1C4B" w:rsidRPr="009A1B9E" w:rsidRDefault="009A1B9E" w:rsidP="009A1B9E">
            <w:pPr>
              <w:spacing w:before="20"/>
              <w:jc w:val="both"/>
              <w:rPr>
                <w:b/>
                <w:sz w:val="16"/>
                <w:szCs w:val="16"/>
              </w:rPr>
            </w:pPr>
            <w:r w:rsidRPr="009A1B9E">
              <w:rPr>
                <w:b/>
                <w:sz w:val="16"/>
                <w:szCs w:val="16"/>
              </w:rPr>
              <w:t>Age group (years)</w:t>
            </w:r>
          </w:p>
        </w:tc>
        <w:tc>
          <w:tcPr>
            <w:tcW w:w="1134" w:type="dxa"/>
            <w:shd w:val="clear" w:color="auto" w:fill="auto"/>
            <w:vAlign w:val="center"/>
          </w:tcPr>
          <w:p w14:paraId="6F327A3E" w14:textId="77777777" w:rsidR="005E1C4B" w:rsidRPr="00FE7300" w:rsidRDefault="005E1C4B" w:rsidP="009A1B9E">
            <w:pPr>
              <w:jc w:val="right"/>
              <w:rPr>
                <w:color w:val="000000"/>
                <w:sz w:val="16"/>
                <w:szCs w:val="16"/>
                <w:lang w:eastAsia="en-NZ"/>
              </w:rPr>
            </w:pPr>
          </w:p>
        </w:tc>
        <w:tc>
          <w:tcPr>
            <w:tcW w:w="1134" w:type="dxa"/>
            <w:shd w:val="clear" w:color="auto" w:fill="auto"/>
            <w:vAlign w:val="center"/>
          </w:tcPr>
          <w:p w14:paraId="7E88A111" w14:textId="77777777" w:rsidR="005E1C4B" w:rsidRPr="00FE7300" w:rsidRDefault="005E1C4B" w:rsidP="009A1B9E">
            <w:pPr>
              <w:jc w:val="right"/>
              <w:rPr>
                <w:color w:val="000000"/>
                <w:sz w:val="16"/>
                <w:szCs w:val="16"/>
                <w:lang w:eastAsia="en-NZ"/>
              </w:rPr>
            </w:pPr>
          </w:p>
        </w:tc>
        <w:tc>
          <w:tcPr>
            <w:tcW w:w="850" w:type="dxa"/>
            <w:shd w:val="clear" w:color="auto" w:fill="auto"/>
            <w:vAlign w:val="center"/>
          </w:tcPr>
          <w:p w14:paraId="5A9815D1" w14:textId="77777777" w:rsidR="005E1C4B" w:rsidRPr="00FE7300" w:rsidRDefault="005E1C4B" w:rsidP="009A1B9E">
            <w:pPr>
              <w:jc w:val="right"/>
              <w:rPr>
                <w:color w:val="000000"/>
                <w:sz w:val="16"/>
                <w:szCs w:val="16"/>
                <w:lang w:eastAsia="en-NZ"/>
              </w:rPr>
            </w:pPr>
          </w:p>
        </w:tc>
      </w:tr>
      <w:tr w:rsidR="009A1B9E" w:rsidRPr="003F15C0" w14:paraId="4F8A9F44" w14:textId="77777777" w:rsidTr="00036890">
        <w:tc>
          <w:tcPr>
            <w:tcW w:w="5387" w:type="dxa"/>
            <w:vAlign w:val="bottom"/>
          </w:tcPr>
          <w:p w14:paraId="1C2B10C2" w14:textId="77777777" w:rsidR="009A1B9E" w:rsidRPr="009A1B9E" w:rsidRDefault="009A1B9E" w:rsidP="009A1B9E">
            <w:pPr>
              <w:spacing w:before="20"/>
              <w:ind w:left="176"/>
              <w:jc w:val="both"/>
              <w:rPr>
                <w:sz w:val="16"/>
                <w:szCs w:val="16"/>
              </w:rPr>
            </w:pPr>
            <w:r w:rsidRPr="009A1B9E">
              <w:rPr>
                <w:sz w:val="16"/>
                <w:szCs w:val="16"/>
              </w:rPr>
              <w:t>18</w:t>
            </w:r>
            <w:r>
              <w:rPr>
                <w:sz w:val="16"/>
                <w:szCs w:val="16"/>
              </w:rPr>
              <w:t xml:space="preserve"> </w:t>
            </w:r>
            <w:r w:rsidRPr="009A1B9E">
              <w:rPr>
                <w:sz w:val="16"/>
                <w:szCs w:val="16"/>
              </w:rPr>
              <w:t>-</w:t>
            </w:r>
            <w:r>
              <w:rPr>
                <w:sz w:val="16"/>
                <w:szCs w:val="16"/>
              </w:rPr>
              <w:t xml:space="preserve"> </w:t>
            </w:r>
            <w:r w:rsidRPr="009A1B9E">
              <w:rPr>
                <w:sz w:val="16"/>
                <w:szCs w:val="16"/>
              </w:rPr>
              <w:t>39</w:t>
            </w:r>
          </w:p>
        </w:tc>
        <w:tc>
          <w:tcPr>
            <w:tcW w:w="1134" w:type="dxa"/>
            <w:shd w:val="clear" w:color="auto" w:fill="auto"/>
            <w:vAlign w:val="bottom"/>
          </w:tcPr>
          <w:p w14:paraId="3B2E9E0C" w14:textId="77777777" w:rsidR="009A1B9E" w:rsidRPr="009A1B9E" w:rsidRDefault="009A1B9E" w:rsidP="009A1B9E">
            <w:pPr>
              <w:jc w:val="right"/>
              <w:rPr>
                <w:color w:val="000000"/>
                <w:sz w:val="16"/>
                <w:szCs w:val="16"/>
                <w:lang w:eastAsia="en-NZ"/>
              </w:rPr>
            </w:pPr>
            <w:r w:rsidRPr="009A1B9E">
              <w:rPr>
                <w:color w:val="000000"/>
                <w:sz w:val="16"/>
                <w:szCs w:val="16"/>
                <w:lang w:eastAsia="en-NZ"/>
              </w:rPr>
              <w:t>1.00</w:t>
            </w:r>
          </w:p>
        </w:tc>
        <w:tc>
          <w:tcPr>
            <w:tcW w:w="1134" w:type="dxa"/>
            <w:shd w:val="clear" w:color="auto" w:fill="auto"/>
            <w:vAlign w:val="bottom"/>
          </w:tcPr>
          <w:p w14:paraId="0671F559" w14:textId="77777777" w:rsidR="009A1B9E" w:rsidRPr="009A1B9E" w:rsidRDefault="009A1B9E" w:rsidP="009A1B9E">
            <w:pPr>
              <w:jc w:val="right"/>
              <w:rPr>
                <w:color w:val="000000"/>
                <w:sz w:val="16"/>
                <w:szCs w:val="16"/>
                <w:lang w:eastAsia="en-NZ"/>
              </w:rPr>
            </w:pPr>
          </w:p>
        </w:tc>
        <w:tc>
          <w:tcPr>
            <w:tcW w:w="850" w:type="dxa"/>
            <w:shd w:val="clear" w:color="auto" w:fill="auto"/>
            <w:vAlign w:val="bottom"/>
          </w:tcPr>
          <w:p w14:paraId="5CDE19A4" w14:textId="77777777" w:rsidR="009A1B9E" w:rsidRPr="009A1B9E" w:rsidRDefault="009A1B9E" w:rsidP="009A1B9E">
            <w:pPr>
              <w:jc w:val="right"/>
              <w:rPr>
                <w:color w:val="000000"/>
                <w:sz w:val="16"/>
                <w:szCs w:val="16"/>
                <w:lang w:eastAsia="en-NZ"/>
              </w:rPr>
            </w:pPr>
          </w:p>
        </w:tc>
      </w:tr>
      <w:tr w:rsidR="009A1B9E" w:rsidRPr="003F15C0" w14:paraId="69E1E50A" w14:textId="77777777" w:rsidTr="00036890">
        <w:tc>
          <w:tcPr>
            <w:tcW w:w="5387" w:type="dxa"/>
            <w:vAlign w:val="bottom"/>
          </w:tcPr>
          <w:p w14:paraId="140CC2C1" w14:textId="77777777" w:rsidR="009A1B9E" w:rsidRPr="009A1B9E" w:rsidRDefault="009A1B9E" w:rsidP="009A1B9E">
            <w:pPr>
              <w:spacing w:before="20"/>
              <w:ind w:left="176"/>
              <w:jc w:val="both"/>
              <w:rPr>
                <w:sz w:val="16"/>
                <w:szCs w:val="16"/>
              </w:rPr>
            </w:pPr>
            <w:r w:rsidRPr="009A1B9E">
              <w:rPr>
                <w:sz w:val="16"/>
                <w:szCs w:val="16"/>
              </w:rPr>
              <w:t>40</w:t>
            </w:r>
            <w:r>
              <w:rPr>
                <w:sz w:val="16"/>
                <w:szCs w:val="16"/>
              </w:rPr>
              <w:t xml:space="preserve"> </w:t>
            </w:r>
            <w:r w:rsidRPr="009A1B9E">
              <w:rPr>
                <w:sz w:val="16"/>
                <w:szCs w:val="16"/>
              </w:rPr>
              <w:t>-</w:t>
            </w:r>
            <w:r>
              <w:rPr>
                <w:sz w:val="16"/>
                <w:szCs w:val="16"/>
              </w:rPr>
              <w:t xml:space="preserve"> </w:t>
            </w:r>
            <w:r w:rsidRPr="009A1B9E">
              <w:rPr>
                <w:sz w:val="16"/>
                <w:szCs w:val="16"/>
              </w:rPr>
              <w:t>64</w:t>
            </w:r>
          </w:p>
        </w:tc>
        <w:tc>
          <w:tcPr>
            <w:tcW w:w="1134" w:type="dxa"/>
            <w:shd w:val="clear" w:color="auto" w:fill="auto"/>
            <w:vAlign w:val="bottom"/>
          </w:tcPr>
          <w:p w14:paraId="489831CA" w14:textId="77777777" w:rsidR="009A1B9E" w:rsidRPr="009A1B9E" w:rsidRDefault="009A1B9E" w:rsidP="009A1B9E">
            <w:pPr>
              <w:jc w:val="right"/>
              <w:rPr>
                <w:color w:val="000000"/>
                <w:sz w:val="16"/>
                <w:szCs w:val="16"/>
                <w:lang w:eastAsia="en-NZ"/>
              </w:rPr>
            </w:pPr>
            <w:r w:rsidRPr="009A1B9E">
              <w:rPr>
                <w:color w:val="000000"/>
                <w:sz w:val="16"/>
                <w:szCs w:val="16"/>
                <w:lang w:eastAsia="en-NZ"/>
              </w:rPr>
              <w:t>2.40</w:t>
            </w:r>
          </w:p>
        </w:tc>
        <w:tc>
          <w:tcPr>
            <w:tcW w:w="1134" w:type="dxa"/>
            <w:shd w:val="clear" w:color="auto" w:fill="auto"/>
            <w:vAlign w:val="bottom"/>
          </w:tcPr>
          <w:p w14:paraId="11BAFDC2" w14:textId="77777777" w:rsidR="009A1B9E" w:rsidRPr="009A1B9E" w:rsidRDefault="009A1B9E" w:rsidP="009A1B9E">
            <w:pPr>
              <w:jc w:val="right"/>
              <w:rPr>
                <w:color w:val="000000"/>
                <w:sz w:val="16"/>
                <w:szCs w:val="16"/>
                <w:lang w:eastAsia="en-NZ"/>
              </w:rPr>
            </w:pPr>
            <w:r w:rsidRPr="009A1B9E">
              <w:rPr>
                <w:color w:val="000000"/>
                <w:sz w:val="16"/>
                <w:szCs w:val="16"/>
                <w:lang w:eastAsia="en-NZ"/>
              </w:rPr>
              <w:t>(1.75, 3.28)</w:t>
            </w:r>
          </w:p>
        </w:tc>
        <w:tc>
          <w:tcPr>
            <w:tcW w:w="850" w:type="dxa"/>
            <w:shd w:val="clear" w:color="auto" w:fill="auto"/>
            <w:vAlign w:val="bottom"/>
          </w:tcPr>
          <w:p w14:paraId="4DA5BA1E" w14:textId="77777777" w:rsidR="009A1B9E" w:rsidRPr="009A1B9E" w:rsidRDefault="009A1B9E" w:rsidP="009A1B9E">
            <w:pPr>
              <w:jc w:val="right"/>
              <w:rPr>
                <w:color w:val="000000"/>
                <w:sz w:val="16"/>
                <w:szCs w:val="16"/>
                <w:lang w:eastAsia="en-NZ"/>
              </w:rPr>
            </w:pPr>
          </w:p>
        </w:tc>
      </w:tr>
      <w:tr w:rsidR="009A1B9E" w:rsidRPr="003F15C0" w14:paraId="56FF3516" w14:textId="77777777" w:rsidTr="00826105">
        <w:tc>
          <w:tcPr>
            <w:tcW w:w="5387" w:type="dxa"/>
            <w:vAlign w:val="bottom"/>
          </w:tcPr>
          <w:p w14:paraId="1A1CB02A" w14:textId="77777777" w:rsidR="009A1B9E" w:rsidRPr="009A1B9E" w:rsidRDefault="009A1B9E" w:rsidP="009A1B9E">
            <w:pPr>
              <w:spacing w:before="20"/>
              <w:ind w:left="176"/>
              <w:jc w:val="both"/>
              <w:rPr>
                <w:sz w:val="16"/>
                <w:szCs w:val="16"/>
              </w:rPr>
            </w:pPr>
            <w:r w:rsidRPr="009A1B9E">
              <w:rPr>
                <w:sz w:val="16"/>
                <w:szCs w:val="16"/>
              </w:rPr>
              <w:t>65+</w:t>
            </w:r>
          </w:p>
        </w:tc>
        <w:tc>
          <w:tcPr>
            <w:tcW w:w="1134" w:type="dxa"/>
            <w:shd w:val="clear" w:color="auto" w:fill="auto"/>
            <w:vAlign w:val="bottom"/>
          </w:tcPr>
          <w:p w14:paraId="599EF494" w14:textId="77777777" w:rsidR="009A1B9E" w:rsidRPr="009A1B9E" w:rsidRDefault="009A1B9E" w:rsidP="009A1B9E">
            <w:pPr>
              <w:jc w:val="right"/>
              <w:rPr>
                <w:color w:val="000000"/>
                <w:sz w:val="16"/>
                <w:szCs w:val="16"/>
                <w:lang w:eastAsia="en-NZ"/>
              </w:rPr>
            </w:pPr>
            <w:r w:rsidRPr="009A1B9E">
              <w:rPr>
                <w:color w:val="000000"/>
                <w:sz w:val="16"/>
                <w:szCs w:val="16"/>
                <w:lang w:eastAsia="en-NZ"/>
              </w:rPr>
              <w:t>1.18</w:t>
            </w:r>
          </w:p>
        </w:tc>
        <w:tc>
          <w:tcPr>
            <w:tcW w:w="1134" w:type="dxa"/>
            <w:shd w:val="clear" w:color="auto" w:fill="auto"/>
            <w:vAlign w:val="bottom"/>
          </w:tcPr>
          <w:p w14:paraId="4219A9E2" w14:textId="77777777" w:rsidR="009A1B9E" w:rsidRPr="009A1B9E" w:rsidRDefault="009A1B9E" w:rsidP="009A1B9E">
            <w:pPr>
              <w:jc w:val="right"/>
              <w:rPr>
                <w:color w:val="000000"/>
                <w:sz w:val="16"/>
                <w:szCs w:val="16"/>
                <w:lang w:eastAsia="en-NZ"/>
              </w:rPr>
            </w:pPr>
            <w:r w:rsidRPr="009A1B9E">
              <w:rPr>
                <w:color w:val="000000"/>
                <w:sz w:val="16"/>
                <w:szCs w:val="16"/>
                <w:lang w:eastAsia="en-NZ"/>
              </w:rPr>
              <w:t>(0.80, 1.76)</w:t>
            </w:r>
          </w:p>
        </w:tc>
        <w:tc>
          <w:tcPr>
            <w:tcW w:w="850" w:type="dxa"/>
            <w:shd w:val="clear" w:color="auto" w:fill="auto"/>
            <w:vAlign w:val="bottom"/>
          </w:tcPr>
          <w:p w14:paraId="6D970DF4" w14:textId="77777777" w:rsidR="009A1B9E" w:rsidRPr="009A1B9E" w:rsidRDefault="009A1B9E" w:rsidP="009A1B9E">
            <w:pPr>
              <w:jc w:val="right"/>
              <w:rPr>
                <w:color w:val="000000"/>
                <w:sz w:val="16"/>
                <w:szCs w:val="16"/>
                <w:lang w:eastAsia="en-NZ"/>
              </w:rPr>
            </w:pPr>
            <w:r w:rsidRPr="009A1B9E">
              <w:rPr>
                <w:color w:val="000000"/>
                <w:sz w:val="16"/>
                <w:szCs w:val="16"/>
                <w:lang w:eastAsia="en-NZ"/>
              </w:rPr>
              <w:t>&lt;</w:t>
            </w:r>
            <w:r>
              <w:rPr>
                <w:color w:val="000000"/>
                <w:sz w:val="16"/>
                <w:szCs w:val="16"/>
                <w:lang w:eastAsia="en-NZ"/>
              </w:rPr>
              <w:t>0</w:t>
            </w:r>
            <w:r w:rsidRPr="009A1B9E">
              <w:rPr>
                <w:color w:val="000000"/>
                <w:sz w:val="16"/>
                <w:szCs w:val="16"/>
                <w:lang w:eastAsia="en-NZ"/>
              </w:rPr>
              <w:t>.0001</w:t>
            </w:r>
          </w:p>
        </w:tc>
      </w:tr>
      <w:tr w:rsidR="005E1C4B" w:rsidRPr="003F15C0" w14:paraId="21593BA1" w14:textId="77777777" w:rsidTr="00036890">
        <w:tc>
          <w:tcPr>
            <w:tcW w:w="5387" w:type="dxa"/>
          </w:tcPr>
          <w:p w14:paraId="17A4791E" w14:textId="77777777" w:rsidR="005E1C4B" w:rsidRPr="009A1B9E" w:rsidRDefault="009A1B9E" w:rsidP="009A1B9E">
            <w:pPr>
              <w:spacing w:before="20"/>
              <w:jc w:val="both"/>
              <w:rPr>
                <w:b/>
                <w:sz w:val="16"/>
                <w:szCs w:val="16"/>
              </w:rPr>
            </w:pPr>
            <w:r w:rsidRPr="009A1B9E">
              <w:rPr>
                <w:b/>
                <w:sz w:val="16"/>
                <w:szCs w:val="16"/>
              </w:rPr>
              <w:t>Ethnic group (prioritised)</w:t>
            </w:r>
          </w:p>
        </w:tc>
        <w:tc>
          <w:tcPr>
            <w:tcW w:w="1134" w:type="dxa"/>
            <w:shd w:val="clear" w:color="auto" w:fill="auto"/>
            <w:vAlign w:val="center"/>
          </w:tcPr>
          <w:p w14:paraId="1BC72B7F" w14:textId="77777777" w:rsidR="005E1C4B" w:rsidRPr="00230801" w:rsidRDefault="005E1C4B" w:rsidP="009A1B9E">
            <w:pPr>
              <w:jc w:val="right"/>
              <w:rPr>
                <w:color w:val="000000"/>
                <w:sz w:val="16"/>
                <w:szCs w:val="16"/>
                <w:lang w:eastAsia="en-NZ"/>
              </w:rPr>
            </w:pPr>
          </w:p>
        </w:tc>
        <w:tc>
          <w:tcPr>
            <w:tcW w:w="1134" w:type="dxa"/>
            <w:shd w:val="clear" w:color="auto" w:fill="auto"/>
            <w:vAlign w:val="center"/>
          </w:tcPr>
          <w:p w14:paraId="42DC786F" w14:textId="77777777" w:rsidR="005E1C4B" w:rsidRPr="00230801" w:rsidRDefault="005E1C4B" w:rsidP="009A1B9E">
            <w:pPr>
              <w:jc w:val="right"/>
              <w:rPr>
                <w:color w:val="000000"/>
                <w:sz w:val="16"/>
                <w:szCs w:val="16"/>
                <w:lang w:eastAsia="en-NZ"/>
              </w:rPr>
            </w:pPr>
          </w:p>
        </w:tc>
        <w:tc>
          <w:tcPr>
            <w:tcW w:w="850" w:type="dxa"/>
            <w:shd w:val="clear" w:color="auto" w:fill="auto"/>
            <w:vAlign w:val="center"/>
          </w:tcPr>
          <w:p w14:paraId="1F05173D" w14:textId="77777777" w:rsidR="005E1C4B" w:rsidRPr="00230801" w:rsidRDefault="005E1C4B" w:rsidP="009A1B9E">
            <w:pPr>
              <w:jc w:val="right"/>
              <w:rPr>
                <w:color w:val="000000"/>
                <w:sz w:val="16"/>
                <w:szCs w:val="16"/>
                <w:lang w:eastAsia="en-NZ"/>
              </w:rPr>
            </w:pPr>
          </w:p>
        </w:tc>
      </w:tr>
      <w:tr w:rsidR="009A1B9E" w:rsidRPr="003F15C0" w14:paraId="6A1F5091" w14:textId="77777777" w:rsidTr="00036890">
        <w:tc>
          <w:tcPr>
            <w:tcW w:w="5387" w:type="dxa"/>
            <w:vAlign w:val="bottom"/>
          </w:tcPr>
          <w:p w14:paraId="7751595D" w14:textId="77777777" w:rsidR="009A1B9E" w:rsidRPr="009A1B9E" w:rsidRDefault="009A1B9E" w:rsidP="009A1B9E">
            <w:pPr>
              <w:spacing w:before="20"/>
              <w:ind w:left="176"/>
              <w:jc w:val="both"/>
              <w:rPr>
                <w:sz w:val="16"/>
                <w:szCs w:val="16"/>
              </w:rPr>
            </w:pPr>
            <w:r>
              <w:rPr>
                <w:sz w:val="16"/>
                <w:szCs w:val="16"/>
              </w:rPr>
              <w:t>Māori</w:t>
            </w:r>
          </w:p>
        </w:tc>
        <w:tc>
          <w:tcPr>
            <w:tcW w:w="1134" w:type="dxa"/>
            <w:shd w:val="clear" w:color="auto" w:fill="auto"/>
            <w:vAlign w:val="bottom"/>
          </w:tcPr>
          <w:p w14:paraId="06DE48BD" w14:textId="77777777" w:rsidR="009A1B9E" w:rsidRPr="009A1B9E" w:rsidRDefault="009A1B9E" w:rsidP="009A1B9E">
            <w:pPr>
              <w:jc w:val="right"/>
              <w:rPr>
                <w:color w:val="000000"/>
                <w:sz w:val="16"/>
                <w:szCs w:val="16"/>
                <w:lang w:eastAsia="en-NZ"/>
              </w:rPr>
            </w:pPr>
            <w:r w:rsidRPr="009A1B9E">
              <w:rPr>
                <w:color w:val="000000"/>
                <w:sz w:val="16"/>
                <w:szCs w:val="16"/>
                <w:lang w:eastAsia="en-NZ"/>
              </w:rPr>
              <w:t>1.23</w:t>
            </w:r>
          </w:p>
        </w:tc>
        <w:tc>
          <w:tcPr>
            <w:tcW w:w="1134" w:type="dxa"/>
            <w:shd w:val="clear" w:color="auto" w:fill="auto"/>
            <w:vAlign w:val="bottom"/>
          </w:tcPr>
          <w:p w14:paraId="18992932" w14:textId="77777777" w:rsidR="009A1B9E" w:rsidRPr="009A1B9E" w:rsidRDefault="009A1B9E" w:rsidP="009A1B9E">
            <w:pPr>
              <w:jc w:val="right"/>
              <w:rPr>
                <w:color w:val="000000"/>
                <w:sz w:val="16"/>
                <w:szCs w:val="16"/>
                <w:lang w:eastAsia="en-NZ"/>
              </w:rPr>
            </w:pPr>
            <w:r w:rsidRPr="009A1B9E">
              <w:rPr>
                <w:color w:val="000000"/>
                <w:sz w:val="16"/>
                <w:szCs w:val="16"/>
                <w:lang w:eastAsia="en-NZ"/>
              </w:rPr>
              <w:t>(0.88, 1.73)</w:t>
            </w:r>
          </w:p>
        </w:tc>
        <w:tc>
          <w:tcPr>
            <w:tcW w:w="850" w:type="dxa"/>
            <w:shd w:val="clear" w:color="auto" w:fill="auto"/>
            <w:vAlign w:val="bottom"/>
          </w:tcPr>
          <w:p w14:paraId="46CE0EEC" w14:textId="77777777" w:rsidR="009A1B9E" w:rsidRPr="009A1B9E" w:rsidRDefault="009A1B9E" w:rsidP="009A1B9E">
            <w:pPr>
              <w:jc w:val="right"/>
              <w:rPr>
                <w:color w:val="000000"/>
                <w:sz w:val="16"/>
                <w:szCs w:val="16"/>
                <w:lang w:eastAsia="en-NZ"/>
              </w:rPr>
            </w:pPr>
          </w:p>
        </w:tc>
      </w:tr>
      <w:tr w:rsidR="009A1B9E" w:rsidRPr="003F15C0" w14:paraId="76332E59" w14:textId="77777777" w:rsidTr="00036890">
        <w:tc>
          <w:tcPr>
            <w:tcW w:w="5387" w:type="dxa"/>
            <w:vAlign w:val="bottom"/>
          </w:tcPr>
          <w:p w14:paraId="4E62CCE7" w14:textId="77777777" w:rsidR="009A1B9E" w:rsidRPr="009A1B9E" w:rsidRDefault="009A1B9E" w:rsidP="009A1B9E">
            <w:pPr>
              <w:spacing w:before="20"/>
              <w:ind w:left="176"/>
              <w:jc w:val="both"/>
              <w:rPr>
                <w:sz w:val="16"/>
                <w:szCs w:val="16"/>
              </w:rPr>
            </w:pPr>
            <w:r w:rsidRPr="009A1B9E">
              <w:rPr>
                <w:sz w:val="16"/>
                <w:szCs w:val="16"/>
              </w:rPr>
              <w:t>Pacific</w:t>
            </w:r>
          </w:p>
        </w:tc>
        <w:tc>
          <w:tcPr>
            <w:tcW w:w="1134" w:type="dxa"/>
            <w:shd w:val="clear" w:color="auto" w:fill="auto"/>
            <w:vAlign w:val="bottom"/>
          </w:tcPr>
          <w:p w14:paraId="3F5B87EB" w14:textId="77777777" w:rsidR="009A1B9E" w:rsidRPr="009A1B9E" w:rsidRDefault="009A1B9E" w:rsidP="009A1B9E">
            <w:pPr>
              <w:jc w:val="right"/>
              <w:rPr>
                <w:color w:val="000000"/>
                <w:sz w:val="16"/>
                <w:szCs w:val="16"/>
                <w:lang w:eastAsia="en-NZ"/>
              </w:rPr>
            </w:pPr>
            <w:r w:rsidRPr="009A1B9E">
              <w:rPr>
                <w:color w:val="000000"/>
                <w:sz w:val="16"/>
                <w:szCs w:val="16"/>
                <w:lang w:eastAsia="en-NZ"/>
              </w:rPr>
              <w:t>0.36</w:t>
            </w:r>
          </w:p>
        </w:tc>
        <w:tc>
          <w:tcPr>
            <w:tcW w:w="1134" w:type="dxa"/>
            <w:shd w:val="clear" w:color="auto" w:fill="auto"/>
            <w:vAlign w:val="bottom"/>
          </w:tcPr>
          <w:p w14:paraId="357A1F95" w14:textId="77777777" w:rsidR="009A1B9E" w:rsidRPr="009A1B9E" w:rsidRDefault="009A1B9E" w:rsidP="009A1B9E">
            <w:pPr>
              <w:jc w:val="right"/>
              <w:rPr>
                <w:color w:val="000000"/>
                <w:sz w:val="16"/>
                <w:szCs w:val="16"/>
                <w:lang w:eastAsia="en-NZ"/>
              </w:rPr>
            </w:pPr>
            <w:r w:rsidRPr="009A1B9E">
              <w:rPr>
                <w:color w:val="000000"/>
                <w:sz w:val="16"/>
                <w:szCs w:val="16"/>
                <w:lang w:eastAsia="en-NZ"/>
              </w:rPr>
              <w:t>(0.24, 0.55)</w:t>
            </w:r>
          </w:p>
        </w:tc>
        <w:tc>
          <w:tcPr>
            <w:tcW w:w="850" w:type="dxa"/>
            <w:shd w:val="clear" w:color="auto" w:fill="auto"/>
            <w:vAlign w:val="bottom"/>
          </w:tcPr>
          <w:p w14:paraId="291A6F79" w14:textId="77777777" w:rsidR="009A1B9E" w:rsidRPr="009A1B9E" w:rsidRDefault="009A1B9E" w:rsidP="009A1B9E">
            <w:pPr>
              <w:jc w:val="right"/>
              <w:rPr>
                <w:color w:val="000000"/>
                <w:sz w:val="16"/>
                <w:szCs w:val="16"/>
                <w:lang w:eastAsia="en-NZ"/>
              </w:rPr>
            </w:pPr>
          </w:p>
        </w:tc>
      </w:tr>
      <w:tr w:rsidR="009A1B9E" w:rsidRPr="003F15C0" w14:paraId="61B6DD94" w14:textId="77777777" w:rsidTr="00036890">
        <w:tc>
          <w:tcPr>
            <w:tcW w:w="5387" w:type="dxa"/>
            <w:vAlign w:val="bottom"/>
          </w:tcPr>
          <w:p w14:paraId="248611C8" w14:textId="77777777" w:rsidR="009A1B9E" w:rsidRPr="009A1B9E" w:rsidRDefault="009A1B9E" w:rsidP="009A1B9E">
            <w:pPr>
              <w:spacing w:before="20"/>
              <w:ind w:left="176"/>
              <w:jc w:val="both"/>
              <w:rPr>
                <w:sz w:val="16"/>
                <w:szCs w:val="16"/>
              </w:rPr>
            </w:pPr>
            <w:r w:rsidRPr="009A1B9E">
              <w:rPr>
                <w:sz w:val="16"/>
                <w:szCs w:val="16"/>
              </w:rPr>
              <w:t>Asian</w:t>
            </w:r>
          </w:p>
        </w:tc>
        <w:tc>
          <w:tcPr>
            <w:tcW w:w="1134" w:type="dxa"/>
            <w:shd w:val="clear" w:color="auto" w:fill="auto"/>
            <w:vAlign w:val="bottom"/>
          </w:tcPr>
          <w:p w14:paraId="4664EC77" w14:textId="77777777" w:rsidR="009A1B9E" w:rsidRPr="009A1B9E" w:rsidRDefault="009A1B9E" w:rsidP="009A1B9E">
            <w:pPr>
              <w:jc w:val="right"/>
              <w:rPr>
                <w:color w:val="000000"/>
                <w:sz w:val="16"/>
                <w:szCs w:val="16"/>
                <w:lang w:eastAsia="en-NZ"/>
              </w:rPr>
            </w:pPr>
            <w:r w:rsidRPr="009A1B9E">
              <w:rPr>
                <w:color w:val="000000"/>
                <w:sz w:val="16"/>
                <w:szCs w:val="16"/>
                <w:lang w:eastAsia="en-NZ"/>
              </w:rPr>
              <w:t>0.08</w:t>
            </w:r>
          </w:p>
        </w:tc>
        <w:tc>
          <w:tcPr>
            <w:tcW w:w="1134" w:type="dxa"/>
            <w:shd w:val="clear" w:color="auto" w:fill="auto"/>
            <w:vAlign w:val="bottom"/>
          </w:tcPr>
          <w:p w14:paraId="28D05DA9" w14:textId="77777777" w:rsidR="009A1B9E" w:rsidRPr="009A1B9E" w:rsidRDefault="009A1B9E" w:rsidP="009A1B9E">
            <w:pPr>
              <w:jc w:val="right"/>
              <w:rPr>
                <w:color w:val="000000"/>
                <w:sz w:val="16"/>
                <w:szCs w:val="16"/>
                <w:lang w:eastAsia="en-NZ"/>
              </w:rPr>
            </w:pPr>
            <w:r w:rsidRPr="009A1B9E">
              <w:rPr>
                <w:color w:val="000000"/>
                <w:sz w:val="16"/>
                <w:szCs w:val="16"/>
                <w:lang w:eastAsia="en-NZ"/>
              </w:rPr>
              <w:t>(0.05, 0.12)</w:t>
            </w:r>
          </w:p>
        </w:tc>
        <w:tc>
          <w:tcPr>
            <w:tcW w:w="850" w:type="dxa"/>
            <w:shd w:val="clear" w:color="auto" w:fill="auto"/>
            <w:vAlign w:val="bottom"/>
          </w:tcPr>
          <w:p w14:paraId="5CA5DA5C" w14:textId="77777777" w:rsidR="009A1B9E" w:rsidRPr="009A1B9E" w:rsidRDefault="009A1B9E" w:rsidP="009A1B9E">
            <w:pPr>
              <w:jc w:val="right"/>
              <w:rPr>
                <w:color w:val="000000"/>
                <w:sz w:val="16"/>
                <w:szCs w:val="16"/>
                <w:lang w:eastAsia="en-NZ"/>
              </w:rPr>
            </w:pPr>
          </w:p>
        </w:tc>
      </w:tr>
      <w:tr w:rsidR="009A1B9E" w:rsidRPr="003F15C0" w14:paraId="731D9ACB" w14:textId="77777777" w:rsidTr="00826105">
        <w:tc>
          <w:tcPr>
            <w:tcW w:w="5387" w:type="dxa"/>
            <w:vAlign w:val="bottom"/>
          </w:tcPr>
          <w:p w14:paraId="3F5F4EA8" w14:textId="77777777" w:rsidR="009A1B9E" w:rsidRPr="009A1B9E" w:rsidRDefault="009A1B9E" w:rsidP="009A1B9E">
            <w:pPr>
              <w:spacing w:before="20"/>
              <w:ind w:left="176"/>
              <w:jc w:val="both"/>
              <w:rPr>
                <w:sz w:val="16"/>
                <w:szCs w:val="16"/>
              </w:rPr>
            </w:pPr>
            <w:r w:rsidRPr="009A1B9E">
              <w:rPr>
                <w:sz w:val="16"/>
                <w:szCs w:val="16"/>
              </w:rPr>
              <w:t>European/Other</w:t>
            </w:r>
          </w:p>
        </w:tc>
        <w:tc>
          <w:tcPr>
            <w:tcW w:w="1134" w:type="dxa"/>
            <w:shd w:val="clear" w:color="auto" w:fill="auto"/>
            <w:vAlign w:val="bottom"/>
          </w:tcPr>
          <w:p w14:paraId="46595F58" w14:textId="77777777" w:rsidR="009A1B9E" w:rsidRPr="009A1B9E" w:rsidRDefault="009A1B9E" w:rsidP="009A1B9E">
            <w:pPr>
              <w:jc w:val="right"/>
              <w:rPr>
                <w:color w:val="000000"/>
                <w:sz w:val="16"/>
                <w:szCs w:val="16"/>
                <w:lang w:eastAsia="en-NZ"/>
              </w:rPr>
            </w:pPr>
            <w:r w:rsidRPr="009A1B9E">
              <w:rPr>
                <w:color w:val="000000"/>
                <w:sz w:val="16"/>
                <w:szCs w:val="16"/>
                <w:lang w:eastAsia="en-NZ"/>
              </w:rPr>
              <w:t>1.00</w:t>
            </w:r>
          </w:p>
        </w:tc>
        <w:tc>
          <w:tcPr>
            <w:tcW w:w="1134" w:type="dxa"/>
            <w:shd w:val="clear" w:color="auto" w:fill="auto"/>
            <w:vAlign w:val="bottom"/>
          </w:tcPr>
          <w:p w14:paraId="6DAB846A" w14:textId="77777777" w:rsidR="009A1B9E" w:rsidRPr="009A1B9E" w:rsidRDefault="009A1B9E" w:rsidP="009A1B9E">
            <w:pPr>
              <w:jc w:val="right"/>
              <w:rPr>
                <w:color w:val="000000"/>
                <w:sz w:val="16"/>
                <w:szCs w:val="16"/>
                <w:lang w:eastAsia="en-NZ"/>
              </w:rPr>
            </w:pPr>
          </w:p>
        </w:tc>
        <w:tc>
          <w:tcPr>
            <w:tcW w:w="850" w:type="dxa"/>
            <w:shd w:val="clear" w:color="auto" w:fill="auto"/>
            <w:vAlign w:val="bottom"/>
          </w:tcPr>
          <w:p w14:paraId="6803C15A" w14:textId="77777777" w:rsidR="009A1B9E" w:rsidRPr="009A1B9E" w:rsidRDefault="009A1B9E" w:rsidP="009A1B9E">
            <w:pPr>
              <w:jc w:val="right"/>
              <w:rPr>
                <w:color w:val="000000"/>
                <w:sz w:val="16"/>
                <w:szCs w:val="16"/>
                <w:lang w:eastAsia="en-NZ"/>
              </w:rPr>
            </w:pPr>
            <w:r w:rsidRPr="009A1B9E">
              <w:rPr>
                <w:color w:val="000000"/>
                <w:sz w:val="16"/>
                <w:szCs w:val="16"/>
                <w:lang w:eastAsia="en-NZ"/>
              </w:rPr>
              <w:t>&lt;</w:t>
            </w:r>
            <w:r>
              <w:rPr>
                <w:color w:val="000000"/>
                <w:sz w:val="16"/>
                <w:szCs w:val="16"/>
                <w:lang w:eastAsia="en-NZ"/>
              </w:rPr>
              <w:t>0</w:t>
            </w:r>
            <w:r w:rsidRPr="009A1B9E">
              <w:rPr>
                <w:color w:val="000000"/>
                <w:sz w:val="16"/>
                <w:szCs w:val="16"/>
                <w:lang w:eastAsia="en-NZ"/>
              </w:rPr>
              <w:t>.0001</w:t>
            </w:r>
          </w:p>
        </w:tc>
      </w:tr>
      <w:tr w:rsidR="005E1C4B" w:rsidRPr="003F15C0" w14:paraId="18801A4B" w14:textId="77777777" w:rsidTr="00036890">
        <w:tc>
          <w:tcPr>
            <w:tcW w:w="5387" w:type="dxa"/>
          </w:tcPr>
          <w:p w14:paraId="51C85CAD" w14:textId="77777777" w:rsidR="005E1C4B" w:rsidRPr="009A1B9E" w:rsidRDefault="009A1B9E" w:rsidP="009A1B9E">
            <w:pPr>
              <w:spacing w:before="20"/>
              <w:jc w:val="both"/>
              <w:rPr>
                <w:b/>
                <w:sz w:val="16"/>
                <w:szCs w:val="16"/>
              </w:rPr>
            </w:pPr>
            <w:r w:rsidRPr="009A1B9E">
              <w:rPr>
                <w:b/>
                <w:sz w:val="16"/>
                <w:szCs w:val="16"/>
              </w:rPr>
              <w:t>Religion</w:t>
            </w:r>
          </w:p>
        </w:tc>
        <w:tc>
          <w:tcPr>
            <w:tcW w:w="1134" w:type="dxa"/>
            <w:shd w:val="clear" w:color="auto" w:fill="auto"/>
            <w:vAlign w:val="center"/>
          </w:tcPr>
          <w:p w14:paraId="0E98274D" w14:textId="77777777" w:rsidR="005E1C4B" w:rsidRPr="00230801" w:rsidRDefault="005E1C4B" w:rsidP="009A1B9E">
            <w:pPr>
              <w:jc w:val="right"/>
              <w:rPr>
                <w:color w:val="000000"/>
                <w:sz w:val="16"/>
                <w:szCs w:val="16"/>
                <w:lang w:eastAsia="en-NZ"/>
              </w:rPr>
            </w:pPr>
          </w:p>
        </w:tc>
        <w:tc>
          <w:tcPr>
            <w:tcW w:w="1134" w:type="dxa"/>
            <w:shd w:val="clear" w:color="auto" w:fill="auto"/>
            <w:vAlign w:val="center"/>
          </w:tcPr>
          <w:p w14:paraId="7E286F43" w14:textId="77777777" w:rsidR="005E1C4B" w:rsidRPr="00230801" w:rsidRDefault="005E1C4B" w:rsidP="009A1B9E">
            <w:pPr>
              <w:jc w:val="right"/>
              <w:rPr>
                <w:color w:val="000000"/>
                <w:sz w:val="16"/>
                <w:szCs w:val="16"/>
                <w:lang w:eastAsia="en-NZ"/>
              </w:rPr>
            </w:pPr>
          </w:p>
        </w:tc>
        <w:tc>
          <w:tcPr>
            <w:tcW w:w="850" w:type="dxa"/>
            <w:shd w:val="clear" w:color="auto" w:fill="auto"/>
            <w:vAlign w:val="center"/>
          </w:tcPr>
          <w:p w14:paraId="704169AE" w14:textId="77777777" w:rsidR="005E1C4B" w:rsidRPr="00230801" w:rsidRDefault="005E1C4B" w:rsidP="009A1B9E">
            <w:pPr>
              <w:jc w:val="right"/>
              <w:rPr>
                <w:color w:val="000000"/>
                <w:sz w:val="16"/>
                <w:szCs w:val="16"/>
                <w:lang w:eastAsia="en-NZ"/>
              </w:rPr>
            </w:pPr>
          </w:p>
        </w:tc>
      </w:tr>
      <w:tr w:rsidR="009A1B9E" w:rsidRPr="003F15C0" w14:paraId="4D95CE1E" w14:textId="77777777" w:rsidTr="00036890">
        <w:tc>
          <w:tcPr>
            <w:tcW w:w="5387" w:type="dxa"/>
            <w:vAlign w:val="bottom"/>
          </w:tcPr>
          <w:p w14:paraId="057D803F" w14:textId="77777777" w:rsidR="009A1B9E" w:rsidRPr="006B29E4" w:rsidRDefault="006B29E4" w:rsidP="006B29E4">
            <w:pPr>
              <w:spacing w:before="20"/>
              <w:ind w:left="176"/>
              <w:jc w:val="both"/>
              <w:rPr>
                <w:sz w:val="16"/>
                <w:szCs w:val="16"/>
              </w:rPr>
            </w:pPr>
            <w:r>
              <w:rPr>
                <w:sz w:val="16"/>
                <w:szCs w:val="16"/>
              </w:rPr>
              <w:t>No r</w:t>
            </w:r>
            <w:r w:rsidR="009A1B9E" w:rsidRPr="006B29E4">
              <w:rPr>
                <w:sz w:val="16"/>
                <w:szCs w:val="16"/>
              </w:rPr>
              <w:t>eligion</w:t>
            </w:r>
          </w:p>
        </w:tc>
        <w:tc>
          <w:tcPr>
            <w:tcW w:w="1134" w:type="dxa"/>
            <w:shd w:val="clear" w:color="auto" w:fill="auto"/>
            <w:vAlign w:val="bottom"/>
          </w:tcPr>
          <w:p w14:paraId="3AADB1ED" w14:textId="77777777" w:rsidR="009A1B9E" w:rsidRPr="006B29E4" w:rsidRDefault="009A1B9E" w:rsidP="006B29E4">
            <w:pPr>
              <w:jc w:val="right"/>
              <w:rPr>
                <w:color w:val="000000"/>
                <w:sz w:val="16"/>
                <w:szCs w:val="16"/>
                <w:lang w:eastAsia="en-NZ"/>
              </w:rPr>
            </w:pPr>
            <w:r w:rsidRPr="006B29E4">
              <w:rPr>
                <w:color w:val="000000"/>
                <w:sz w:val="16"/>
                <w:szCs w:val="16"/>
                <w:lang w:eastAsia="en-NZ"/>
              </w:rPr>
              <w:t>1.00</w:t>
            </w:r>
          </w:p>
        </w:tc>
        <w:tc>
          <w:tcPr>
            <w:tcW w:w="1134" w:type="dxa"/>
            <w:shd w:val="clear" w:color="auto" w:fill="auto"/>
            <w:vAlign w:val="bottom"/>
          </w:tcPr>
          <w:p w14:paraId="348F9E0D" w14:textId="77777777" w:rsidR="009A1B9E" w:rsidRPr="006B29E4" w:rsidRDefault="009A1B9E" w:rsidP="006B29E4">
            <w:pPr>
              <w:jc w:val="right"/>
              <w:rPr>
                <w:color w:val="000000"/>
                <w:sz w:val="16"/>
                <w:szCs w:val="16"/>
                <w:lang w:eastAsia="en-NZ"/>
              </w:rPr>
            </w:pPr>
          </w:p>
        </w:tc>
        <w:tc>
          <w:tcPr>
            <w:tcW w:w="850" w:type="dxa"/>
            <w:shd w:val="clear" w:color="auto" w:fill="auto"/>
            <w:vAlign w:val="bottom"/>
          </w:tcPr>
          <w:p w14:paraId="04AF211B" w14:textId="77777777" w:rsidR="009A1B9E" w:rsidRPr="006B29E4" w:rsidRDefault="009A1B9E" w:rsidP="006B29E4">
            <w:pPr>
              <w:jc w:val="right"/>
              <w:rPr>
                <w:color w:val="000000"/>
                <w:sz w:val="16"/>
                <w:szCs w:val="16"/>
                <w:lang w:eastAsia="en-NZ"/>
              </w:rPr>
            </w:pPr>
          </w:p>
        </w:tc>
      </w:tr>
      <w:tr w:rsidR="009A1B9E" w:rsidRPr="003F15C0" w14:paraId="78F11452" w14:textId="77777777" w:rsidTr="00826105">
        <w:tc>
          <w:tcPr>
            <w:tcW w:w="5387" w:type="dxa"/>
            <w:vAlign w:val="bottom"/>
          </w:tcPr>
          <w:p w14:paraId="07112F6A" w14:textId="77777777" w:rsidR="009A1B9E" w:rsidRPr="006B29E4" w:rsidRDefault="009A1B9E" w:rsidP="006B29E4">
            <w:pPr>
              <w:spacing w:before="20"/>
              <w:ind w:left="176"/>
              <w:jc w:val="both"/>
              <w:rPr>
                <w:sz w:val="16"/>
                <w:szCs w:val="16"/>
              </w:rPr>
            </w:pPr>
            <w:r w:rsidRPr="006B29E4">
              <w:rPr>
                <w:sz w:val="16"/>
                <w:szCs w:val="16"/>
              </w:rPr>
              <w:t>Religion</w:t>
            </w:r>
          </w:p>
        </w:tc>
        <w:tc>
          <w:tcPr>
            <w:tcW w:w="1134" w:type="dxa"/>
            <w:shd w:val="clear" w:color="auto" w:fill="auto"/>
            <w:vAlign w:val="bottom"/>
          </w:tcPr>
          <w:p w14:paraId="3954B92B" w14:textId="77777777" w:rsidR="009A1B9E" w:rsidRPr="006B29E4" w:rsidRDefault="009A1B9E" w:rsidP="006B29E4">
            <w:pPr>
              <w:jc w:val="right"/>
              <w:rPr>
                <w:color w:val="000000"/>
                <w:sz w:val="16"/>
                <w:szCs w:val="16"/>
                <w:lang w:eastAsia="en-NZ"/>
              </w:rPr>
            </w:pPr>
            <w:r w:rsidRPr="006B29E4">
              <w:rPr>
                <w:color w:val="000000"/>
                <w:sz w:val="16"/>
                <w:szCs w:val="16"/>
                <w:lang w:eastAsia="en-NZ"/>
              </w:rPr>
              <w:t>0.46</w:t>
            </w:r>
          </w:p>
        </w:tc>
        <w:tc>
          <w:tcPr>
            <w:tcW w:w="1134" w:type="dxa"/>
            <w:shd w:val="clear" w:color="auto" w:fill="auto"/>
            <w:vAlign w:val="bottom"/>
          </w:tcPr>
          <w:p w14:paraId="0250814A" w14:textId="77777777" w:rsidR="009A1B9E" w:rsidRPr="006B29E4" w:rsidRDefault="009A1B9E" w:rsidP="006B29E4">
            <w:pPr>
              <w:jc w:val="right"/>
              <w:rPr>
                <w:color w:val="000000"/>
                <w:sz w:val="16"/>
                <w:szCs w:val="16"/>
                <w:lang w:eastAsia="en-NZ"/>
              </w:rPr>
            </w:pPr>
            <w:r w:rsidRPr="006B29E4">
              <w:rPr>
                <w:color w:val="000000"/>
                <w:sz w:val="16"/>
                <w:szCs w:val="16"/>
                <w:lang w:eastAsia="en-NZ"/>
              </w:rPr>
              <w:t>(0.34, 0.62)</w:t>
            </w:r>
          </w:p>
        </w:tc>
        <w:tc>
          <w:tcPr>
            <w:tcW w:w="850" w:type="dxa"/>
            <w:shd w:val="clear" w:color="auto" w:fill="auto"/>
            <w:vAlign w:val="bottom"/>
          </w:tcPr>
          <w:p w14:paraId="657C9F1D" w14:textId="77777777" w:rsidR="009A1B9E" w:rsidRPr="006B29E4" w:rsidRDefault="009A1B9E" w:rsidP="006B29E4">
            <w:pPr>
              <w:jc w:val="right"/>
              <w:rPr>
                <w:color w:val="000000"/>
                <w:sz w:val="16"/>
                <w:szCs w:val="16"/>
                <w:lang w:eastAsia="en-NZ"/>
              </w:rPr>
            </w:pPr>
            <w:r w:rsidRPr="006B29E4">
              <w:rPr>
                <w:color w:val="000000"/>
                <w:sz w:val="16"/>
                <w:szCs w:val="16"/>
                <w:lang w:eastAsia="en-NZ"/>
              </w:rPr>
              <w:t>&lt;</w:t>
            </w:r>
            <w:r w:rsidR="006B29E4">
              <w:rPr>
                <w:color w:val="000000"/>
                <w:sz w:val="16"/>
                <w:szCs w:val="16"/>
                <w:lang w:eastAsia="en-NZ"/>
              </w:rPr>
              <w:t>0</w:t>
            </w:r>
            <w:r w:rsidRPr="006B29E4">
              <w:rPr>
                <w:color w:val="000000"/>
                <w:sz w:val="16"/>
                <w:szCs w:val="16"/>
                <w:lang w:eastAsia="en-NZ"/>
              </w:rPr>
              <w:t>.0001</w:t>
            </w:r>
          </w:p>
        </w:tc>
      </w:tr>
      <w:tr w:rsidR="005E1C4B" w:rsidRPr="003F15C0" w14:paraId="365675EE" w14:textId="77777777" w:rsidTr="00036890">
        <w:tc>
          <w:tcPr>
            <w:tcW w:w="5387" w:type="dxa"/>
          </w:tcPr>
          <w:p w14:paraId="53A57723" w14:textId="77777777" w:rsidR="005E1C4B" w:rsidRPr="006B29E4" w:rsidRDefault="006B29E4" w:rsidP="006B29E4">
            <w:pPr>
              <w:spacing w:before="20"/>
              <w:jc w:val="both"/>
              <w:rPr>
                <w:b/>
                <w:sz w:val="16"/>
                <w:szCs w:val="16"/>
              </w:rPr>
            </w:pPr>
            <w:r>
              <w:rPr>
                <w:b/>
                <w:sz w:val="16"/>
                <w:szCs w:val="16"/>
              </w:rPr>
              <w:t>Country of birth</w:t>
            </w:r>
          </w:p>
        </w:tc>
        <w:tc>
          <w:tcPr>
            <w:tcW w:w="1134" w:type="dxa"/>
            <w:shd w:val="clear" w:color="auto" w:fill="auto"/>
            <w:vAlign w:val="center"/>
          </w:tcPr>
          <w:p w14:paraId="0DD8628B" w14:textId="77777777" w:rsidR="005E1C4B" w:rsidRPr="00230801" w:rsidRDefault="005E1C4B" w:rsidP="009A1B9E">
            <w:pPr>
              <w:jc w:val="right"/>
              <w:rPr>
                <w:color w:val="000000"/>
                <w:sz w:val="16"/>
                <w:szCs w:val="16"/>
                <w:lang w:eastAsia="en-NZ"/>
              </w:rPr>
            </w:pPr>
          </w:p>
        </w:tc>
        <w:tc>
          <w:tcPr>
            <w:tcW w:w="1134" w:type="dxa"/>
            <w:shd w:val="clear" w:color="auto" w:fill="auto"/>
            <w:vAlign w:val="center"/>
          </w:tcPr>
          <w:p w14:paraId="41492665" w14:textId="77777777" w:rsidR="005E1C4B" w:rsidRPr="00230801" w:rsidRDefault="005E1C4B" w:rsidP="009A1B9E">
            <w:pPr>
              <w:jc w:val="right"/>
              <w:rPr>
                <w:color w:val="000000"/>
                <w:sz w:val="16"/>
                <w:szCs w:val="16"/>
                <w:lang w:eastAsia="en-NZ"/>
              </w:rPr>
            </w:pPr>
          </w:p>
        </w:tc>
        <w:tc>
          <w:tcPr>
            <w:tcW w:w="850" w:type="dxa"/>
            <w:shd w:val="clear" w:color="auto" w:fill="auto"/>
            <w:vAlign w:val="center"/>
          </w:tcPr>
          <w:p w14:paraId="2E52B780" w14:textId="77777777" w:rsidR="005E1C4B" w:rsidRPr="00230801" w:rsidRDefault="005E1C4B" w:rsidP="009A1B9E">
            <w:pPr>
              <w:jc w:val="right"/>
              <w:rPr>
                <w:color w:val="000000"/>
                <w:sz w:val="16"/>
                <w:szCs w:val="16"/>
                <w:lang w:eastAsia="en-NZ"/>
              </w:rPr>
            </w:pPr>
          </w:p>
        </w:tc>
      </w:tr>
      <w:tr w:rsidR="006B29E4" w:rsidRPr="003F15C0" w14:paraId="708B882A" w14:textId="77777777" w:rsidTr="00036890">
        <w:tc>
          <w:tcPr>
            <w:tcW w:w="5387" w:type="dxa"/>
            <w:vAlign w:val="bottom"/>
          </w:tcPr>
          <w:p w14:paraId="2DF6E96E" w14:textId="77777777" w:rsidR="006B29E4" w:rsidRPr="006B29E4" w:rsidRDefault="006B29E4" w:rsidP="006B29E4">
            <w:pPr>
              <w:spacing w:before="20"/>
              <w:ind w:left="176"/>
              <w:jc w:val="both"/>
              <w:rPr>
                <w:sz w:val="16"/>
                <w:szCs w:val="16"/>
              </w:rPr>
            </w:pPr>
            <w:r w:rsidRPr="006B29E4">
              <w:rPr>
                <w:sz w:val="16"/>
                <w:szCs w:val="16"/>
              </w:rPr>
              <w:t>N</w:t>
            </w:r>
            <w:r>
              <w:rPr>
                <w:sz w:val="16"/>
                <w:szCs w:val="16"/>
              </w:rPr>
              <w:t xml:space="preserve">ew </w:t>
            </w:r>
            <w:r w:rsidRPr="006B29E4">
              <w:rPr>
                <w:sz w:val="16"/>
                <w:szCs w:val="16"/>
              </w:rPr>
              <w:t>Z</w:t>
            </w:r>
            <w:r>
              <w:rPr>
                <w:sz w:val="16"/>
                <w:szCs w:val="16"/>
              </w:rPr>
              <w:t>ealand</w:t>
            </w:r>
          </w:p>
        </w:tc>
        <w:tc>
          <w:tcPr>
            <w:tcW w:w="1134" w:type="dxa"/>
            <w:shd w:val="clear" w:color="auto" w:fill="auto"/>
            <w:vAlign w:val="bottom"/>
          </w:tcPr>
          <w:p w14:paraId="7465DCC0" w14:textId="77777777" w:rsidR="006B29E4" w:rsidRPr="006B29E4" w:rsidRDefault="006B29E4" w:rsidP="006B29E4">
            <w:pPr>
              <w:jc w:val="right"/>
              <w:rPr>
                <w:color w:val="000000"/>
                <w:sz w:val="16"/>
                <w:szCs w:val="16"/>
                <w:lang w:eastAsia="en-NZ"/>
              </w:rPr>
            </w:pPr>
            <w:r w:rsidRPr="006B29E4">
              <w:rPr>
                <w:color w:val="000000"/>
                <w:sz w:val="16"/>
                <w:szCs w:val="16"/>
                <w:lang w:eastAsia="en-NZ"/>
              </w:rPr>
              <w:t>1.00</w:t>
            </w:r>
          </w:p>
        </w:tc>
        <w:tc>
          <w:tcPr>
            <w:tcW w:w="1134" w:type="dxa"/>
            <w:shd w:val="clear" w:color="auto" w:fill="auto"/>
            <w:vAlign w:val="bottom"/>
          </w:tcPr>
          <w:p w14:paraId="02D2B002" w14:textId="77777777" w:rsidR="006B29E4" w:rsidRPr="006B29E4" w:rsidRDefault="006B29E4" w:rsidP="006B29E4">
            <w:pPr>
              <w:jc w:val="right"/>
              <w:rPr>
                <w:color w:val="000000"/>
                <w:sz w:val="16"/>
                <w:szCs w:val="16"/>
                <w:lang w:eastAsia="en-NZ"/>
              </w:rPr>
            </w:pPr>
          </w:p>
        </w:tc>
        <w:tc>
          <w:tcPr>
            <w:tcW w:w="850" w:type="dxa"/>
            <w:shd w:val="clear" w:color="auto" w:fill="auto"/>
            <w:vAlign w:val="bottom"/>
          </w:tcPr>
          <w:p w14:paraId="67B6F2BF" w14:textId="77777777" w:rsidR="006B29E4" w:rsidRPr="006B29E4" w:rsidRDefault="006B29E4" w:rsidP="006B29E4">
            <w:pPr>
              <w:jc w:val="right"/>
              <w:rPr>
                <w:color w:val="000000"/>
                <w:sz w:val="16"/>
                <w:szCs w:val="16"/>
                <w:lang w:eastAsia="en-NZ"/>
              </w:rPr>
            </w:pPr>
          </w:p>
        </w:tc>
      </w:tr>
      <w:tr w:rsidR="006B29E4" w:rsidRPr="003F15C0" w14:paraId="7D1B2942" w14:textId="77777777" w:rsidTr="00826105">
        <w:tc>
          <w:tcPr>
            <w:tcW w:w="5387" w:type="dxa"/>
            <w:vAlign w:val="bottom"/>
          </w:tcPr>
          <w:p w14:paraId="33F3B0FD" w14:textId="77777777" w:rsidR="006B29E4" w:rsidRPr="006B29E4" w:rsidRDefault="006B29E4" w:rsidP="006B29E4">
            <w:pPr>
              <w:spacing w:before="20"/>
              <w:ind w:left="176"/>
              <w:jc w:val="both"/>
              <w:rPr>
                <w:sz w:val="16"/>
                <w:szCs w:val="16"/>
              </w:rPr>
            </w:pPr>
            <w:r w:rsidRPr="006B29E4">
              <w:rPr>
                <w:sz w:val="16"/>
                <w:szCs w:val="16"/>
              </w:rPr>
              <w:t>O</w:t>
            </w:r>
            <w:r>
              <w:rPr>
                <w:sz w:val="16"/>
                <w:szCs w:val="16"/>
              </w:rPr>
              <w:t>ther</w:t>
            </w:r>
          </w:p>
        </w:tc>
        <w:tc>
          <w:tcPr>
            <w:tcW w:w="1134" w:type="dxa"/>
            <w:shd w:val="clear" w:color="auto" w:fill="auto"/>
            <w:vAlign w:val="bottom"/>
          </w:tcPr>
          <w:p w14:paraId="26D9ABF5" w14:textId="77777777" w:rsidR="006B29E4" w:rsidRPr="006B29E4" w:rsidRDefault="006B29E4" w:rsidP="006B29E4">
            <w:pPr>
              <w:jc w:val="right"/>
              <w:rPr>
                <w:color w:val="000000"/>
                <w:sz w:val="16"/>
                <w:szCs w:val="16"/>
                <w:lang w:eastAsia="en-NZ"/>
              </w:rPr>
            </w:pPr>
            <w:r w:rsidRPr="006B29E4">
              <w:rPr>
                <w:color w:val="000000"/>
                <w:sz w:val="16"/>
                <w:szCs w:val="16"/>
                <w:lang w:eastAsia="en-NZ"/>
              </w:rPr>
              <w:t>0.20</w:t>
            </w:r>
          </w:p>
        </w:tc>
        <w:tc>
          <w:tcPr>
            <w:tcW w:w="1134" w:type="dxa"/>
            <w:shd w:val="clear" w:color="auto" w:fill="auto"/>
            <w:vAlign w:val="bottom"/>
          </w:tcPr>
          <w:p w14:paraId="07A6ABE0" w14:textId="77777777" w:rsidR="006B29E4" w:rsidRPr="006B29E4" w:rsidRDefault="006B29E4" w:rsidP="006B29E4">
            <w:pPr>
              <w:jc w:val="right"/>
              <w:rPr>
                <w:color w:val="000000"/>
                <w:sz w:val="16"/>
                <w:szCs w:val="16"/>
                <w:lang w:eastAsia="en-NZ"/>
              </w:rPr>
            </w:pPr>
            <w:r w:rsidRPr="006B29E4">
              <w:rPr>
                <w:color w:val="000000"/>
                <w:sz w:val="16"/>
                <w:szCs w:val="16"/>
                <w:lang w:eastAsia="en-NZ"/>
              </w:rPr>
              <w:t>(0.15, 0.27)</w:t>
            </w:r>
          </w:p>
        </w:tc>
        <w:tc>
          <w:tcPr>
            <w:tcW w:w="850" w:type="dxa"/>
            <w:shd w:val="clear" w:color="auto" w:fill="auto"/>
            <w:vAlign w:val="bottom"/>
          </w:tcPr>
          <w:p w14:paraId="201C69FF" w14:textId="77777777" w:rsidR="006B29E4" w:rsidRPr="006B29E4" w:rsidRDefault="006B29E4" w:rsidP="006B29E4">
            <w:pPr>
              <w:jc w:val="right"/>
              <w:rPr>
                <w:color w:val="000000"/>
                <w:sz w:val="16"/>
                <w:szCs w:val="16"/>
                <w:lang w:eastAsia="en-NZ"/>
              </w:rPr>
            </w:pPr>
            <w:r w:rsidRPr="006B29E4">
              <w:rPr>
                <w:color w:val="000000"/>
                <w:sz w:val="16"/>
                <w:szCs w:val="16"/>
                <w:lang w:eastAsia="en-NZ"/>
              </w:rPr>
              <w:t>&lt;</w:t>
            </w:r>
            <w:r>
              <w:rPr>
                <w:color w:val="000000"/>
                <w:sz w:val="16"/>
                <w:szCs w:val="16"/>
                <w:lang w:eastAsia="en-NZ"/>
              </w:rPr>
              <w:t>0</w:t>
            </w:r>
            <w:r w:rsidRPr="006B29E4">
              <w:rPr>
                <w:color w:val="000000"/>
                <w:sz w:val="16"/>
                <w:szCs w:val="16"/>
                <w:lang w:eastAsia="en-NZ"/>
              </w:rPr>
              <w:t>.0001</w:t>
            </w:r>
          </w:p>
        </w:tc>
      </w:tr>
      <w:tr w:rsidR="005E1C4B" w:rsidRPr="003F15C0" w14:paraId="67EDC567" w14:textId="77777777" w:rsidTr="00036890">
        <w:tc>
          <w:tcPr>
            <w:tcW w:w="5387" w:type="dxa"/>
          </w:tcPr>
          <w:p w14:paraId="160AD013" w14:textId="77777777" w:rsidR="005E1C4B" w:rsidRPr="006B29E4" w:rsidRDefault="006B29E4" w:rsidP="006B29E4">
            <w:pPr>
              <w:spacing w:before="20"/>
              <w:jc w:val="both"/>
              <w:rPr>
                <w:b/>
                <w:sz w:val="16"/>
                <w:szCs w:val="16"/>
              </w:rPr>
            </w:pPr>
            <w:r w:rsidRPr="006B29E4">
              <w:rPr>
                <w:b/>
                <w:sz w:val="16"/>
                <w:szCs w:val="16"/>
              </w:rPr>
              <w:t>Arrival in New Zealand</w:t>
            </w:r>
          </w:p>
        </w:tc>
        <w:tc>
          <w:tcPr>
            <w:tcW w:w="1134" w:type="dxa"/>
            <w:shd w:val="clear" w:color="auto" w:fill="auto"/>
            <w:vAlign w:val="center"/>
          </w:tcPr>
          <w:p w14:paraId="37DD2F90" w14:textId="77777777" w:rsidR="005E1C4B" w:rsidRPr="00230801" w:rsidRDefault="005E1C4B" w:rsidP="009A1B9E">
            <w:pPr>
              <w:jc w:val="right"/>
              <w:rPr>
                <w:color w:val="000000"/>
                <w:sz w:val="16"/>
                <w:szCs w:val="16"/>
                <w:lang w:eastAsia="en-NZ"/>
              </w:rPr>
            </w:pPr>
          </w:p>
        </w:tc>
        <w:tc>
          <w:tcPr>
            <w:tcW w:w="1134" w:type="dxa"/>
            <w:shd w:val="clear" w:color="auto" w:fill="auto"/>
            <w:vAlign w:val="center"/>
          </w:tcPr>
          <w:p w14:paraId="3B7665CE" w14:textId="77777777" w:rsidR="005E1C4B" w:rsidRPr="00230801" w:rsidRDefault="005E1C4B" w:rsidP="009A1B9E">
            <w:pPr>
              <w:jc w:val="right"/>
              <w:rPr>
                <w:color w:val="000000"/>
                <w:sz w:val="16"/>
                <w:szCs w:val="16"/>
                <w:lang w:eastAsia="en-NZ"/>
              </w:rPr>
            </w:pPr>
          </w:p>
        </w:tc>
        <w:tc>
          <w:tcPr>
            <w:tcW w:w="850" w:type="dxa"/>
            <w:shd w:val="clear" w:color="auto" w:fill="auto"/>
            <w:vAlign w:val="center"/>
          </w:tcPr>
          <w:p w14:paraId="482C560B" w14:textId="77777777" w:rsidR="005E1C4B" w:rsidRPr="00230801" w:rsidRDefault="005E1C4B" w:rsidP="009A1B9E">
            <w:pPr>
              <w:jc w:val="right"/>
              <w:rPr>
                <w:color w:val="000000"/>
                <w:sz w:val="16"/>
                <w:szCs w:val="16"/>
                <w:lang w:eastAsia="en-NZ"/>
              </w:rPr>
            </w:pPr>
          </w:p>
        </w:tc>
      </w:tr>
      <w:tr w:rsidR="006B29E4" w:rsidRPr="003F15C0" w14:paraId="19AA41AD" w14:textId="77777777" w:rsidTr="00036890">
        <w:tc>
          <w:tcPr>
            <w:tcW w:w="5387" w:type="dxa"/>
            <w:vAlign w:val="bottom"/>
          </w:tcPr>
          <w:p w14:paraId="27BADF5B" w14:textId="77777777" w:rsidR="006B29E4" w:rsidRPr="006B29E4" w:rsidRDefault="006B29E4" w:rsidP="006B29E4">
            <w:pPr>
              <w:spacing w:before="20"/>
              <w:ind w:left="176"/>
              <w:jc w:val="both"/>
              <w:rPr>
                <w:sz w:val="16"/>
                <w:szCs w:val="16"/>
              </w:rPr>
            </w:pPr>
            <w:r w:rsidRPr="006B29E4">
              <w:rPr>
                <w:sz w:val="16"/>
                <w:szCs w:val="16"/>
              </w:rPr>
              <w:t>N</w:t>
            </w:r>
            <w:r>
              <w:rPr>
                <w:sz w:val="16"/>
                <w:szCs w:val="16"/>
              </w:rPr>
              <w:t xml:space="preserve">ew </w:t>
            </w:r>
            <w:r w:rsidRPr="006B29E4">
              <w:rPr>
                <w:sz w:val="16"/>
                <w:szCs w:val="16"/>
              </w:rPr>
              <w:t>Z</w:t>
            </w:r>
            <w:r>
              <w:rPr>
                <w:sz w:val="16"/>
                <w:szCs w:val="16"/>
              </w:rPr>
              <w:t>ealand</w:t>
            </w:r>
            <w:r w:rsidRPr="006B29E4">
              <w:rPr>
                <w:sz w:val="16"/>
                <w:szCs w:val="16"/>
              </w:rPr>
              <w:t xml:space="preserve"> born</w:t>
            </w:r>
          </w:p>
        </w:tc>
        <w:tc>
          <w:tcPr>
            <w:tcW w:w="1134" w:type="dxa"/>
            <w:shd w:val="clear" w:color="auto" w:fill="auto"/>
            <w:vAlign w:val="bottom"/>
          </w:tcPr>
          <w:p w14:paraId="47175EDB" w14:textId="77777777" w:rsidR="006B29E4" w:rsidRPr="006B29E4" w:rsidRDefault="006B29E4" w:rsidP="006B29E4">
            <w:pPr>
              <w:jc w:val="right"/>
              <w:rPr>
                <w:color w:val="000000"/>
                <w:sz w:val="16"/>
                <w:szCs w:val="16"/>
                <w:lang w:eastAsia="en-NZ"/>
              </w:rPr>
            </w:pPr>
            <w:r w:rsidRPr="006B29E4">
              <w:rPr>
                <w:color w:val="000000"/>
                <w:sz w:val="16"/>
                <w:szCs w:val="16"/>
                <w:lang w:eastAsia="en-NZ"/>
              </w:rPr>
              <w:t>1.00</w:t>
            </w:r>
          </w:p>
        </w:tc>
        <w:tc>
          <w:tcPr>
            <w:tcW w:w="1134" w:type="dxa"/>
            <w:shd w:val="clear" w:color="auto" w:fill="auto"/>
            <w:vAlign w:val="bottom"/>
          </w:tcPr>
          <w:p w14:paraId="669EC542" w14:textId="77777777" w:rsidR="006B29E4" w:rsidRPr="006B29E4" w:rsidRDefault="006B29E4" w:rsidP="006B29E4">
            <w:pPr>
              <w:jc w:val="right"/>
              <w:rPr>
                <w:color w:val="000000"/>
                <w:sz w:val="16"/>
                <w:szCs w:val="16"/>
                <w:lang w:eastAsia="en-NZ"/>
              </w:rPr>
            </w:pPr>
          </w:p>
        </w:tc>
        <w:tc>
          <w:tcPr>
            <w:tcW w:w="850" w:type="dxa"/>
            <w:shd w:val="clear" w:color="auto" w:fill="auto"/>
            <w:vAlign w:val="bottom"/>
          </w:tcPr>
          <w:p w14:paraId="74025CAD" w14:textId="77777777" w:rsidR="006B29E4" w:rsidRPr="006B29E4" w:rsidRDefault="006B29E4" w:rsidP="006B29E4">
            <w:pPr>
              <w:jc w:val="right"/>
              <w:rPr>
                <w:color w:val="000000"/>
                <w:sz w:val="16"/>
                <w:szCs w:val="16"/>
                <w:lang w:eastAsia="en-NZ"/>
              </w:rPr>
            </w:pPr>
          </w:p>
        </w:tc>
      </w:tr>
      <w:tr w:rsidR="006B29E4" w:rsidRPr="003F15C0" w14:paraId="574B3E99" w14:textId="77777777" w:rsidTr="00036890">
        <w:tc>
          <w:tcPr>
            <w:tcW w:w="5387" w:type="dxa"/>
            <w:vAlign w:val="bottom"/>
          </w:tcPr>
          <w:p w14:paraId="33A641D2" w14:textId="77777777" w:rsidR="006B29E4" w:rsidRPr="006B29E4" w:rsidRDefault="006B29E4" w:rsidP="006B29E4">
            <w:pPr>
              <w:spacing w:before="20"/>
              <w:ind w:left="176"/>
              <w:jc w:val="both"/>
              <w:rPr>
                <w:sz w:val="16"/>
                <w:szCs w:val="16"/>
              </w:rPr>
            </w:pPr>
            <w:r w:rsidRPr="006B29E4">
              <w:rPr>
                <w:sz w:val="16"/>
                <w:szCs w:val="16"/>
              </w:rPr>
              <w:t>Before 2008</w:t>
            </w:r>
          </w:p>
        </w:tc>
        <w:tc>
          <w:tcPr>
            <w:tcW w:w="1134" w:type="dxa"/>
            <w:shd w:val="clear" w:color="auto" w:fill="auto"/>
            <w:vAlign w:val="bottom"/>
          </w:tcPr>
          <w:p w14:paraId="0C37E311" w14:textId="77777777" w:rsidR="006B29E4" w:rsidRPr="006B29E4" w:rsidRDefault="006B29E4" w:rsidP="006B29E4">
            <w:pPr>
              <w:jc w:val="right"/>
              <w:rPr>
                <w:color w:val="000000"/>
                <w:sz w:val="16"/>
                <w:szCs w:val="16"/>
                <w:lang w:eastAsia="en-NZ"/>
              </w:rPr>
            </w:pPr>
            <w:r w:rsidRPr="006B29E4">
              <w:rPr>
                <w:color w:val="000000"/>
                <w:sz w:val="16"/>
                <w:szCs w:val="16"/>
                <w:lang w:eastAsia="en-NZ"/>
              </w:rPr>
              <w:t>0.28</w:t>
            </w:r>
          </w:p>
        </w:tc>
        <w:tc>
          <w:tcPr>
            <w:tcW w:w="1134" w:type="dxa"/>
            <w:shd w:val="clear" w:color="auto" w:fill="auto"/>
            <w:vAlign w:val="bottom"/>
          </w:tcPr>
          <w:p w14:paraId="570ECB7B" w14:textId="77777777" w:rsidR="006B29E4" w:rsidRPr="006B29E4" w:rsidRDefault="006B29E4" w:rsidP="006B29E4">
            <w:pPr>
              <w:jc w:val="right"/>
              <w:rPr>
                <w:color w:val="000000"/>
                <w:sz w:val="16"/>
                <w:szCs w:val="16"/>
                <w:lang w:eastAsia="en-NZ"/>
              </w:rPr>
            </w:pPr>
            <w:r w:rsidRPr="006B29E4">
              <w:rPr>
                <w:color w:val="000000"/>
                <w:sz w:val="16"/>
                <w:szCs w:val="16"/>
                <w:lang w:eastAsia="en-NZ"/>
              </w:rPr>
              <w:t>(0.21, 0.37)</w:t>
            </w:r>
          </w:p>
        </w:tc>
        <w:tc>
          <w:tcPr>
            <w:tcW w:w="850" w:type="dxa"/>
            <w:shd w:val="clear" w:color="auto" w:fill="auto"/>
            <w:vAlign w:val="bottom"/>
          </w:tcPr>
          <w:p w14:paraId="6DA11262" w14:textId="77777777" w:rsidR="006B29E4" w:rsidRPr="006B29E4" w:rsidRDefault="006B29E4" w:rsidP="006B29E4">
            <w:pPr>
              <w:jc w:val="right"/>
              <w:rPr>
                <w:color w:val="000000"/>
                <w:sz w:val="16"/>
                <w:szCs w:val="16"/>
                <w:lang w:eastAsia="en-NZ"/>
              </w:rPr>
            </w:pPr>
          </w:p>
        </w:tc>
      </w:tr>
      <w:tr w:rsidR="006B29E4" w:rsidRPr="003F15C0" w14:paraId="013625E2" w14:textId="77777777" w:rsidTr="00826105">
        <w:tc>
          <w:tcPr>
            <w:tcW w:w="5387" w:type="dxa"/>
            <w:vAlign w:val="bottom"/>
          </w:tcPr>
          <w:p w14:paraId="7CAD5D4D" w14:textId="77777777" w:rsidR="006B29E4" w:rsidRPr="006B29E4" w:rsidRDefault="006B29E4" w:rsidP="006B29E4">
            <w:pPr>
              <w:spacing w:before="20"/>
              <w:ind w:left="176"/>
              <w:jc w:val="both"/>
              <w:rPr>
                <w:sz w:val="16"/>
                <w:szCs w:val="16"/>
              </w:rPr>
            </w:pPr>
            <w:r w:rsidRPr="006B29E4">
              <w:rPr>
                <w:sz w:val="16"/>
                <w:szCs w:val="16"/>
              </w:rPr>
              <w:t>After 2008</w:t>
            </w:r>
          </w:p>
        </w:tc>
        <w:tc>
          <w:tcPr>
            <w:tcW w:w="1134" w:type="dxa"/>
            <w:shd w:val="clear" w:color="auto" w:fill="auto"/>
            <w:vAlign w:val="bottom"/>
          </w:tcPr>
          <w:p w14:paraId="21E15E7E" w14:textId="77777777" w:rsidR="006B29E4" w:rsidRPr="006B29E4" w:rsidRDefault="006B29E4" w:rsidP="006B29E4">
            <w:pPr>
              <w:jc w:val="right"/>
              <w:rPr>
                <w:color w:val="000000"/>
                <w:sz w:val="16"/>
                <w:szCs w:val="16"/>
                <w:lang w:eastAsia="en-NZ"/>
              </w:rPr>
            </w:pPr>
            <w:r w:rsidRPr="006B29E4">
              <w:rPr>
                <w:color w:val="000000"/>
                <w:sz w:val="16"/>
                <w:szCs w:val="16"/>
                <w:lang w:eastAsia="en-NZ"/>
              </w:rPr>
              <w:t>0.03</w:t>
            </w:r>
          </w:p>
        </w:tc>
        <w:tc>
          <w:tcPr>
            <w:tcW w:w="1134" w:type="dxa"/>
            <w:shd w:val="clear" w:color="auto" w:fill="auto"/>
            <w:vAlign w:val="bottom"/>
          </w:tcPr>
          <w:p w14:paraId="5DF2C3A4" w14:textId="77777777" w:rsidR="006B29E4" w:rsidRPr="006B29E4" w:rsidRDefault="006B29E4" w:rsidP="006B29E4">
            <w:pPr>
              <w:jc w:val="right"/>
              <w:rPr>
                <w:color w:val="000000"/>
                <w:sz w:val="16"/>
                <w:szCs w:val="16"/>
                <w:lang w:eastAsia="en-NZ"/>
              </w:rPr>
            </w:pPr>
            <w:r w:rsidRPr="006B29E4">
              <w:rPr>
                <w:color w:val="000000"/>
                <w:sz w:val="16"/>
                <w:szCs w:val="16"/>
                <w:lang w:eastAsia="en-NZ"/>
              </w:rPr>
              <w:t>(0.01, 0.06)</w:t>
            </w:r>
          </w:p>
        </w:tc>
        <w:tc>
          <w:tcPr>
            <w:tcW w:w="850" w:type="dxa"/>
            <w:shd w:val="clear" w:color="auto" w:fill="auto"/>
            <w:vAlign w:val="bottom"/>
          </w:tcPr>
          <w:p w14:paraId="45484970" w14:textId="77777777" w:rsidR="006B29E4" w:rsidRPr="006B29E4" w:rsidRDefault="006B29E4" w:rsidP="006B29E4">
            <w:pPr>
              <w:jc w:val="right"/>
              <w:rPr>
                <w:color w:val="000000"/>
                <w:sz w:val="16"/>
                <w:szCs w:val="16"/>
                <w:lang w:eastAsia="en-NZ"/>
              </w:rPr>
            </w:pPr>
            <w:r w:rsidRPr="006B29E4">
              <w:rPr>
                <w:color w:val="000000"/>
                <w:sz w:val="16"/>
                <w:szCs w:val="16"/>
                <w:lang w:eastAsia="en-NZ"/>
              </w:rPr>
              <w:t>&lt;</w:t>
            </w:r>
            <w:r>
              <w:rPr>
                <w:color w:val="000000"/>
                <w:sz w:val="16"/>
                <w:szCs w:val="16"/>
                <w:lang w:eastAsia="en-NZ"/>
              </w:rPr>
              <w:t>0</w:t>
            </w:r>
            <w:r w:rsidRPr="006B29E4">
              <w:rPr>
                <w:color w:val="000000"/>
                <w:sz w:val="16"/>
                <w:szCs w:val="16"/>
                <w:lang w:eastAsia="en-NZ"/>
              </w:rPr>
              <w:t>.0001</w:t>
            </w:r>
          </w:p>
        </w:tc>
      </w:tr>
      <w:tr w:rsidR="005E1C4B" w:rsidRPr="003F15C0" w14:paraId="4CB7DF32" w14:textId="77777777" w:rsidTr="00036890">
        <w:tc>
          <w:tcPr>
            <w:tcW w:w="5387" w:type="dxa"/>
          </w:tcPr>
          <w:p w14:paraId="1557FA90" w14:textId="77777777" w:rsidR="005E1C4B" w:rsidRPr="006B29E4" w:rsidRDefault="006B29E4" w:rsidP="006B29E4">
            <w:pPr>
              <w:spacing w:before="20"/>
              <w:jc w:val="both"/>
              <w:rPr>
                <w:b/>
                <w:sz w:val="16"/>
                <w:szCs w:val="16"/>
              </w:rPr>
            </w:pPr>
            <w:r w:rsidRPr="006B29E4">
              <w:rPr>
                <w:b/>
                <w:sz w:val="16"/>
                <w:szCs w:val="16"/>
              </w:rPr>
              <w:t>Highest qualification</w:t>
            </w:r>
          </w:p>
        </w:tc>
        <w:tc>
          <w:tcPr>
            <w:tcW w:w="1134" w:type="dxa"/>
            <w:shd w:val="clear" w:color="auto" w:fill="auto"/>
            <w:vAlign w:val="center"/>
          </w:tcPr>
          <w:p w14:paraId="6B342746" w14:textId="77777777" w:rsidR="005E1C4B" w:rsidRPr="008A1AFE" w:rsidRDefault="005E1C4B" w:rsidP="009A1B9E">
            <w:pPr>
              <w:jc w:val="right"/>
              <w:rPr>
                <w:color w:val="000000"/>
                <w:sz w:val="16"/>
                <w:szCs w:val="20"/>
                <w:lang w:eastAsia="en-NZ"/>
              </w:rPr>
            </w:pPr>
          </w:p>
        </w:tc>
        <w:tc>
          <w:tcPr>
            <w:tcW w:w="1134" w:type="dxa"/>
            <w:shd w:val="clear" w:color="auto" w:fill="auto"/>
            <w:vAlign w:val="center"/>
          </w:tcPr>
          <w:p w14:paraId="4AD3A047" w14:textId="77777777" w:rsidR="005E1C4B" w:rsidRPr="008A1AFE" w:rsidRDefault="005E1C4B" w:rsidP="009A1B9E">
            <w:pPr>
              <w:jc w:val="right"/>
              <w:rPr>
                <w:color w:val="000000"/>
                <w:sz w:val="16"/>
                <w:szCs w:val="20"/>
                <w:lang w:eastAsia="en-NZ"/>
              </w:rPr>
            </w:pPr>
          </w:p>
        </w:tc>
        <w:tc>
          <w:tcPr>
            <w:tcW w:w="850" w:type="dxa"/>
            <w:shd w:val="clear" w:color="auto" w:fill="auto"/>
            <w:vAlign w:val="center"/>
          </w:tcPr>
          <w:p w14:paraId="33B89EFB" w14:textId="77777777" w:rsidR="005E1C4B" w:rsidRPr="008A1AFE" w:rsidRDefault="005E1C4B" w:rsidP="009A1B9E">
            <w:pPr>
              <w:jc w:val="right"/>
              <w:rPr>
                <w:color w:val="000000"/>
                <w:sz w:val="16"/>
                <w:szCs w:val="20"/>
                <w:lang w:eastAsia="en-NZ"/>
              </w:rPr>
            </w:pPr>
          </w:p>
        </w:tc>
      </w:tr>
      <w:tr w:rsidR="006B29E4" w:rsidRPr="003F15C0" w14:paraId="5D8D8FD8" w14:textId="77777777" w:rsidTr="00036890">
        <w:tc>
          <w:tcPr>
            <w:tcW w:w="5387" w:type="dxa"/>
            <w:vAlign w:val="bottom"/>
          </w:tcPr>
          <w:p w14:paraId="44FA5D1A" w14:textId="77777777" w:rsidR="006B29E4" w:rsidRPr="006B29E4" w:rsidRDefault="006B29E4" w:rsidP="006B29E4">
            <w:pPr>
              <w:spacing w:before="20"/>
              <w:ind w:left="176"/>
              <w:jc w:val="both"/>
              <w:rPr>
                <w:sz w:val="16"/>
                <w:szCs w:val="16"/>
              </w:rPr>
            </w:pPr>
            <w:r w:rsidRPr="006B29E4">
              <w:rPr>
                <w:sz w:val="16"/>
                <w:szCs w:val="16"/>
              </w:rPr>
              <w:t>No formal qual</w:t>
            </w:r>
            <w:r>
              <w:rPr>
                <w:sz w:val="16"/>
                <w:szCs w:val="16"/>
              </w:rPr>
              <w:t>ification</w:t>
            </w:r>
          </w:p>
        </w:tc>
        <w:tc>
          <w:tcPr>
            <w:tcW w:w="1134" w:type="dxa"/>
            <w:shd w:val="clear" w:color="auto" w:fill="auto"/>
            <w:vAlign w:val="bottom"/>
          </w:tcPr>
          <w:p w14:paraId="53D2836A" w14:textId="77777777" w:rsidR="006B29E4" w:rsidRPr="006B29E4" w:rsidRDefault="006B29E4" w:rsidP="006B29E4">
            <w:pPr>
              <w:jc w:val="right"/>
              <w:rPr>
                <w:color w:val="000000"/>
                <w:sz w:val="16"/>
                <w:szCs w:val="16"/>
                <w:lang w:eastAsia="en-NZ"/>
              </w:rPr>
            </w:pPr>
            <w:r w:rsidRPr="006B29E4">
              <w:rPr>
                <w:color w:val="000000"/>
                <w:sz w:val="16"/>
                <w:szCs w:val="16"/>
                <w:lang w:eastAsia="en-NZ"/>
              </w:rPr>
              <w:t>1.00</w:t>
            </w:r>
          </w:p>
        </w:tc>
        <w:tc>
          <w:tcPr>
            <w:tcW w:w="1134" w:type="dxa"/>
            <w:shd w:val="clear" w:color="auto" w:fill="auto"/>
            <w:vAlign w:val="bottom"/>
          </w:tcPr>
          <w:p w14:paraId="4E085299" w14:textId="77777777" w:rsidR="006B29E4" w:rsidRPr="006B29E4" w:rsidRDefault="006B29E4" w:rsidP="006B29E4">
            <w:pPr>
              <w:jc w:val="right"/>
              <w:rPr>
                <w:color w:val="000000"/>
                <w:sz w:val="16"/>
                <w:szCs w:val="16"/>
                <w:lang w:eastAsia="en-NZ"/>
              </w:rPr>
            </w:pPr>
          </w:p>
        </w:tc>
        <w:tc>
          <w:tcPr>
            <w:tcW w:w="850" w:type="dxa"/>
            <w:shd w:val="clear" w:color="auto" w:fill="auto"/>
            <w:vAlign w:val="bottom"/>
          </w:tcPr>
          <w:p w14:paraId="3055904C" w14:textId="77777777" w:rsidR="006B29E4" w:rsidRPr="006B29E4" w:rsidRDefault="006B29E4" w:rsidP="006B29E4">
            <w:pPr>
              <w:jc w:val="right"/>
              <w:rPr>
                <w:color w:val="000000"/>
                <w:sz w:val="16"/>
                <w:szCs w:val="16"/>
                <w:lang w:eastAsia="en-NZ"/>
              </w:rPr>
            </w:pPr>
          </w:p>
        </w:tc>
      </w:tr>
      <w:tr w:rsidR="006B29E4" w:rsidRPr="003F15C0" w14:paraId="513AB97A" w14:textId="77777777" w:rsidTr="00036890">
        <w:tc>
          <w:tcPr>
            <w:tcW w:w="5387" w:type="dxa"/>
            <w:vAlign w:val="bottom"/>
          </w:tcPr>
          <w:p w14:paraId="1AD44250" w14:textId="77777777" w:rsidR="006B29E4" w:rsidRPr="006B29E4" w:rsidRDefault="006B29E4" w:rsidP="006B29E4">
            <w:pPr>
              <w:spacing w:before="20"/>
              <w:ind w:left="176"/>
              <w:jc w:val="both"/>
              <w:rPr>
                <w:sz w:val="16"/>
                <w:szCs w:val="16"/>
              </w:rPr>
            </w:pPr>
            <w:r w:rsidRPr="006B29E4">
              <w:rPr>
                <w:sz w:val="16"/>
                <w:szCs w:val="16"/>
              </w:rPr>
              <w:t>Secondary</w:t>
            </w:r>
            <w:r>
              <w:rPr>
                <w:sz w:val="16"/>
                <w:szCs w:val="16"/>
              </w:rPr>
              <w:t xml:space="preserve"> school qualification</w:t>
            </w:r>
          </w:p>
        </w:tc>
        <w:tc>
          <w:tcPr>
            <w:tcW w:w="1134" w:type="dxa"/>
            <w:shd w:val="clear" w:color="auto" w:fill="auto"/>
            <w:vAlign w:val="bottom"/>
          </w:tcPr>
          <w:p w14:paraId="5C00BFAB" w14:textId="77777777" w:rsidR="006B29E4" w:rsidRPr="006B29E4" w:rsidRDefault="006B29E4" w:rsidP="006B29E4">
            <w:pPr>
              <w:jc w:val="right"/>
              <w:rPr>
                <w:color w:val="000000"/>
                <w:sz w:val="16"/>
                <w:szCs w:val="16"/>
                <w:lang w:eastAsia="en-NZ"/>
              </w:rPr>
            </w:pPr>
            <w:r w:rsidRPr="006B29E4">
              <w:rPr>
                <w:color w:val="000000"/>
                <w:sz w:val="16"/>
                <w:szCs w:val="16"/>
                <w:lang w:eastAsia="en-NZ"/>
              </w:rPr>
              <w:t>0.78</w:t>
            </w:r>
          </w:p>
        </w:tc>
        <w:tc>
          <w:tcPr>
            <w:tcW w:w="1134" w:type="dxa"/>
            <w:shd w:val="clear" w:color="auto" w:fill="auto"/>
            <w:vAlign w:val="bottom"/>
          </w:tcPr>
          <w:p w14:paraId="23C5DD56" w14:textId="77777777" w:rsidR="006B29E4" w:rsidRPr="006B29E4" w:rsidRDefault="006B29E4" w:rsidP="006B29E4">
            <w:pPr>
              <w:jc w:val="right"/>
              <w:rPr>
                <w:color w:val="000000"/>
                <w:sz w:val="16"/>
                <w:szCs w:val="16"/>
                <w:lang w:eastAsia="en-NZ"/>
              </w:rPr>
            </w:pPr>
            <w:r w:rsidRPr="006B29E4">
              <w:rPr>
                <w:color w:val="000000"/>
                <w:sz w:val="16"/>
                <w:szCs w:val="16"/>
                <w:lang w:eastAsia="en-NZ"/>
              </w:rPr>
              <w:t>(0.50, 1.21)</w:t>
            </w:r>
          </w:p>
        </w:tc>
        <w:tc>
          <w:tcPr>
            <w:tcW w:w="850" w:type="dxa"/>
            <w:shd w:val="clear" w:color="auto" w:fill="auto"/>
            <w:vAlign w:val="bottom"/>
          </w:tcPr>
          <w:p w14:paraId="78C8FA64" w14:textId="77777777" w:rsidR="006B29E4" w:rsidRPr="006B29E4" w:rsidRDefault="006B29E4" w:rsidP="006B29E4">
            <w:pPr>
              <w:jc w:val="right"/>
              <w:rPr>
                <w:color w:val="000000"/>
                <w:sz w:val="16"/>
                <w:szCs w:val="16"/>
                <w:lang w:eastAsia="en-NZ"/>
              </w:rPr>
            </w:pPr>
          </w:p>
        </w:tc>
      </w:tr>
      <w:tr w:rsidR="006B29E4" w:rsidRPr="003F15C0" w14:paraId="3DEB46F1" w14:textId="77777777" w:rsidTr="00036890">
        <w:tc>
          <w:tcPr>
            <w:tcW w:w="5387" w:type="dxa"/>
            <w:vAlign w:val="bottom"/>
          </w:tcPr>
          <w:p w14:paraId="54EA4D91" w14:textId="77777777" w:rsidR="006B29E4" w:rsidRPr="006B29E4" w:rsidRDefault="006B29E4" w:rsidP="006B29E4">
            <w:pPr>
              <w:spacing w:before="20"/>
              <w:ind w:left="176"/>
              <w:jc w:val="both"/>
              <w:rPr>
                <w:sz w:val="16"/>
                <w:szCs w:val="16"/>
              </w:rPr>
            </w:pPr>
            <w:r>
              <w:rPr>
                <w:sz w:val="16"/>
                <w:szCs w:val="16"/>
              </w:rPr>
              <w:t>Voc</w:t>
            </w:r>
            <w:r w:rsidRPr="006B29E4">
              <w:rPr>
                <w:sz w:val="16"/>
                <w:szCs w:val="16"/>
              </w:rPr>
              <w:t>ational or trade</w:t>
            </w:r>
            <w:r>
              <w:rPr>
                <w:sz w:val="16"/>
                <w:szCs w:val="16"/>
              </w:rPr>
              <w:t xml:space="preserve"> qualification</w:t>
            </w:r>
          </w:p>
        </w:tc>
        <w:tc>
          <w:tcPr>
            <w:tcW w:w="1134" w:type="dxa"/>
            <w:shd w:val="clear" w:color="auto" w:fill="auto"/>
            <w:vAlign w:val="bottom"/>
          </w:tcPr>
          <w:p w14:paraId="3BAEA21F" w14:textId="77777777" w:rsidR="006B29E4" w:rsidRPr="006B29E4" w:rsidRDefault="006B29E4" w:rsidP="006B29E4">
            <w:pPr>
              <w:jc w:val="right"/>
              <w:rPr>
                <w:color w:val="000000"/>
                <w:sz w:val="16"/>
                <w:szCs w:val="16"/>
                <w:lang w:eastAsia="en-NZ"/>
              </w:rPr>
            </w:pPr>
            <w:r w:rsidRPr="006B29E4">
              <w:rPr>
                <w:color w:val="000000"/>
                <w:sz w:val="16"/>
                <w:szCs w:val="16"/>
                <w:lang w:eastAsia="en-NZ"/>
              </w:rPr>
              <w:t>1.73</w:t>
            </w:r>
          </w:p>
        </w:tc>
        <w:tc>
          <w:tcPr>
            <w:tcW w:w="1134" w:type="dxa"/>
            <w:shd w:val="clear" w:color="auto" w:fill="auto"/>
            <w:vAlign w:val="bottom"/>
          </w:tcPr>
          <w:p w14:paraId="358E4F10" w14:textId="77777777" w:rsidR="006B29E4" w:rsidRPr="006B29E4" w:rsidRDefault="006B29E4" w:rsidP="006B29E4">
            <w:pPr>
              <w:jc w:val="right"/>
              <w:rPr>
                <w:color w:val="000000"/>
                <w:sz w:val="16"/>
                <w:szCs w:val="16"/>
                <w:lang w:eastAsia="en-NZ"/>
              </w:rPr>
            </w:pPr>
            <w:r w:rsidRPr="006B29E4">
              <w:rPr>
                <w:color w:val="000000"/>
                <w:sz w:val="16"/>
                <w:szCs w:val="16"/>
                <w:lang w:eastAsia="en-NZ"/>
              </w:rPr>
              <w:t>(1.11, 2.70)</w:t>
            </w:r>
          </w:p>
        </w:tc>
        <w:tc>
          <w:tcPr>
            <w:tcW w:w="850" w:type="dxa"/>
            <w:shd w:val="clear" w:color="auto" w:fill="auto"/>
            <w:vAlign w:val="bottom"/>
          </w:tcPr>
          <w:p w14:paraId="2F7BDD73" w14:textId="77777777" w:rsidR="006B29E4" w:rsidRPr="006B29E4" w:rsidRDefault="006B29E4" w:rsidP="006B29E4">
            <w:pPr>
              <w:jc w:val="right"/>
              <w:rPr>
                <w:color w:val="000000"/>
                <w:sz w:val="16"/>
                <w:szCs w:val="16"/>
                <w:lang w:eastAsia="en-NZ"/>
              </w:rPr>
            </w:pPr>
          </w:p>
        </w:tc>
      </w:tr>
      <w:tr w:rsidR="006B29E4" w:rsidRPr="003F15C0" w14:paraId="18E7FED8" w14:textId="77777777" w:rsidTr="00826105">
        <w:tc>
          <w:tcPr>
            <w:tcW w:w="5387" w:type="dxa"/>
            <w:vAlign w:val="bottom"/>
          </w:tcPr>
          <w:p w14:paraId="060D4DF1" w14:textId="77777777" w:rsidR="006B29E4" w:rsidRPr="006B29E4" w:rsidRDefault="006B29E4" w:rsidP="006B29E4">
            <w:pPr>
              <w:spacing w:before="20"/>
              <w:ind w:left="176"/>
              <w:jc w:val="both"/>
              <w:rPr>
                <w:sz w:val="16"/>
                <w:szCs w:val="16"/>
              </w:rPr>
            </w:pPr>
            <w:r w:rsidRPr="006B29E4">
              <w:rPr>
                <w:sz w:val="16"/>
                <w:szCs w:val="16"/>
              </w:rPr>
              <w:t>University</w:t>
            </w:r>
            <w:r>
              <w:rPr>
                <w:sz w:val="16"/>
                <w:szCs w:val="16"/>
              </w:rPr>
              <w:t xml:space="preserve"> degree or higher</w:t>
            </w:r>
          </w:p>
        </w:tc>
        <w:tc>
          <w:tcPr>
            <w:tcW w:w="1134" w:type="dxa"/>
            <w:shd w:val="clear" w:color="auto" w:fill="auto"/>
            <w:vAlign w:val="bottom"/>
          </w:tcPr>
          <w:p w14:paraId="4773C77B" w14:textId="77777777" w:rsidR="006B29E4" w:rsidRPr="006B29E4" w:rsidRDefault="006B29E4" w:rsidP="006B29E4">
            <w:pPr>
              <w:jc w:val="right"/>
              <w:rPr>
                <w:color w:val="000000"/>
                <w:sz w:val="16"/>
                <w:szCs w:val="16"/>
                <w:lang w:eastAsia="en-NZ"/>
              </w:rPr>
            </w:pPr>
            <w:r w:rsidRPr="006B29E4">
              <w:rPr>
                <w:color w:val="000000"/>
                <w:sz w:val="16"/>
                <w:szCs w:val="16"/>
                <w:lang w:eastAsia="en-NZ"/>
              </w:rPr>
              <w:t>0.70</w:t>
            </w:r>
          </w:p>
        </w:tc>
        <w:tc>
          <w:tcPr>
            <w:tcW w:w="1134" w:type="dxa"/>
            <w:shd w:val="clear" w:color="auto" w:fill="auto"/>
            <w:vAlign w:val="bottom"/>
          </w:tcPr>
          <w:p w14:paraId="3FB8849D" w14:textId="77777777" w:rsidR="006B29E4" w:rsidRPr="006B29E4" w:rsidRDefault="006B29E4" w:rsidP="006B29E4">
            <w:pPr>
              <w:jc w:val="right"/>
              <w:rPr>
                <w:color w:val="000000"/>
                <w:sz w:val="16"/>
                <w:szCs w:val="16"/>
                <w:lang w:eastAsia="en-NZ"/>
              </w:rPr>
            </w:pPr>
            <w:r w:rsidRPr="006B29E4">
              <w:rPr>
                <w:color w:val="000000"/>
                <w:sz w:val="16"/>
                <w:szCs w:val="16"/>
                <w:lang w:eastAsia="en-NZ"/>
              </w:rPr>
              <w:t>(0.46, 1.05)</w:t>
            </w:r>
          </w:p>
        </w:tc>
        <w:tc>
          <w:tcPr>
            <w:tcW w:w="850" w:type="dxa"/>
            <w:shd w:val="clear" w:color="auto" w:fill="auto"/>
            <w:vAlign w:val="bottom"/>
          </w:tcPr>
          <w:p w14:paraId="24C44717" w14:textId="77777777" w:rsidR="006B29E4" w:rsidRPr="006B29E4" w:rsidRDefault="006B29E4" w:rsidP="006B29E4">
            <w:pPr>
              <w:jc w:val="right"/>
              <w:rPr>
                <w:color w:val="000000"/>
                <w:sz w:val="16"/>
                <w:szCs w:val="16"/>
                <w:lang w:eastAsia="en-NZ"/>
              </w:rPr>
            </w:pPr>
            <w:r w:rsidRPr="006B29E4">
              <w:rPr>
                <w:color w:val="000000"/>
                <w:sz w:val="16"/>
                <w:szCs w:val="16"/>
                <w:lang w:eastAsia="en-NZ"/>
              </w:rPr>
              <w:t>&lt;</w:t>
            </w:r>
            <w:r>
              <w:rPr>
                <w:color w:val="000000"/>
                <w:sz w:val="16"/>
                <w:szCs w:val="16"/>
                <w:lang w:eastAsia="en-NZ"/>
              </w:rPr>
              <w:t>0</w:t>
            </w:r>
            <w:r w:rsidRPr="006B29E4">
              <w:rPr>
                <w:color w:val="000000"/>
                <w:sz w:val="16"/>
                <w:szCs w:val="16"/>
                <w:lang w:eastAsia="en-NZ"/>
              </w:rPr>
              <w:t>.0001</w:t>
            </w:r>
          </w:p>
        </w:tc>
      </w:tr>
      <w:tr w:rsidR="005E1C4B" w:rsidRPr="003F15C0" w14:paraId="696B35D9" w14:textId="77777777" w:rsidTr="00036890">
        <w:tc>
          <w:tcPr>
            <w:tcW w:w="5387" w:type="dxa"/>
          </w:tcPr>
          <w:p w14:paraId="172874DF" w14:textId="77777777" w:rsidR="005E1C4B" w:rsidRPr="00D24C70" w:rsidRDefault="00D24C70" w:rsidP="00D24C70">
            <w:pPr>
              <w:spacing w:before="20"/>
              <w:jc w:val="both"/>
              <w:rPr>
                <w:b/>
                <w:sz w:val="16"/>
                <w:szCs w:val="16"/>
              </w:rPr>
            </w:pPr>
            <w:r w:rsidRPr="00D24C70">
              <w:rPr>
                <w:b/>
                <w:sz w:val="16"/>
                <w:szCs w:val="16"/>
              </w:rPr>
              <w:t>Labour force status</w:t>
            </w:r>
          </w:p>
        </w:tc>
        <w:tc>
          <w:tcPr>
            <w:tcW w:w="1134" w:type="dxa"/>
            <w:shd w:val="clear" w:color="auto" w:fill="auto"/>
            <w:vAlign w:val="center"/>
          </w:tcPr>
          <w:p w14:paraId="06183EAC" w14:textId="77777777" w:rsidR="005E1C4B" w:rsidRPr="008A1AFE" w:rsidRDefault="005E1C4B" w:rsidP="009A1B9E">
            <w:pPr>
              <w:jc w:val="right"/>
              <w:rPr>
                <w:color w:val="000000"/>
                <w:sz w:val="16"/>
                <w:szCs w:val="20"/>
                <w:lang w:eastAsia="en-NZ"/>
              </w:rPr>
            </w:pPr>
          </w:p>
        </w:tc>
        <w:tc>
          <w:tcPr>
            <w:tcW w:w="1134" w:type="dxa"/>
            <w:shd w:val="clear" w:color="auto" w:fill="auto"/>
            <w:vAlign w:val="center"/>
          </w:tcPr>
          <w:p w14:paraId="6B28EDAD" w14:textId="77777777" w:rsidR="005E1C4B" w:rsidRPr="008A1AFE" w:rsidRDefault="005E1C4B" w:rsidP="009A1B9E">
            <w:pPr>
              <w:jc w:val="right"/>
              <w:rPr>
                <w:color w:val="000000"/>
                <w:sz w:val="16"/>
                <w:szCs w:val="20"/>
                <w:lang w:eastAsia="en-NZ"/>
              </w:rPr>
            </w:pPr>
          </w:p>
        </w:tc>
        <w:tc>
          <w:tcPr>
            <w:tcW w:w="850" w:type="dxa"/>
            <w:shd w:val="clear" w:color="auto" w:fill="auto"/>
            <w:vAlign w:val="center"/>
          </w:tcPr>
          <w:p w14:paraId="1C32F199" w14:textId="77777777" w:rsidR="005E1C4B" w:rsidRPr="008A1AFE" w:rsidRDefault="005E1C4B" w:rsidP="009A1B9E">
            <w:pPr>
              <w:jc w:val="right"/>
              <w:rPr>
                <w:color w:val="000000"/>
                <w:sz w:val="16"/>
                <w:szCs w:val="20"/>
                <w:lang w:eastAsia="en-NZ"/>
              </w:rPr>
            </w:pPr>
          </w:p>
        </w:tc>
      </w:tr>
      <w:tr w:rsidR="00D24C70" w:rsidRPr="003F15C0" w14:paraId="3225CB2A" w14:textId="77777777" w:rsidTr="00036890">
        <w:tc>
          <w:tcPr>
            <w:tcW w:w="5387" w:type="dxa"/>
            <w:vAlign w:val="bottom"/>
          </w:tcPr>
          <w:p w14:paraId="50FDB9AC" w14:textId="77777777" w:rsidR="00D24C70" w:rsidRPr="00D24C70" w:rsidRDefault="00D24C70" w:rsidP="00D24C70">
            <w:pPr>
              <w:spacing w:before="20"/>
              <w:ind w:left="176"/>
              <w:jc w:val="both"/>
              <w:rPr>
                <w:sz w:val="16"/>
                <w:szCs w:val="16"/>
              </w:rPr>
            </w:pPr>
            <w:r w:rsidRPr="00D24C70">
              <w:rPr>
                <w:sz w:val="16"/>
                <w:szCs w:val="16"/>
              </w:rPr>
              <w:t>Employed</w:t>
            </w:r>
          </w:p>
        </w:tc>
        <w:tc>
          <w:tcPr>
            <w:tcW w:w="1134" w:type="dxa"/>
            <w:shd w:val="clear" w:color="auto" w:fill="auto"/>
            <w:vAlign w:val="bottom"/>
          </w:tcPr>
          <w:p w14:paraId="30C8CE48" w14:textId="77777777" w:rsidR="00D24C70" w:rsidRPr="00D24C70" w:rsidRDefault="00D24C70" w:rsidP="00D24C70">
            <w:pPr>
              <w:jc w:val="right"/>
              <w:rPr>
                <w:color w:val="000000"/>
                <w:sz w:val="16"/>
                <w:szCs w:val="16"/>
                <w:lang w:eastAsia="en-NZ"/>
              </w:rPr>
            </w:pPr>
            <w:r w:rsidRPr="00D24C70">
              <w:rPr>
                <w:color w:val="000000"/>
                <w:sz w:val="16"/>
                <w:szCs w:val="16"/>
                <w:lang w:eastAsia="en-NZ"/>
              </w:rPr>
              <w:t>1.00</w:t>
            </w:r>
          </w:p>
        </w:tc>
        <w:tc>
          <w:tcPr>
            <w:tcW w:w="1134" w:type="dxa"/>
            <w:shd w:val="clear" w:color="auto" w:fill="auto"/>
            <w:vAlign w:val="bottom"/>
          </w:tcPr>
          <w:p w14:paraId="229E6EFC" w14:textId="77777777" w:rsidR="00D24C70" w:rsidRPr="00D24C70" w:rsidRDefault="00D24C70" w:rsidP="00D24C70">
            <w:pPr>
              <w:jc w:val="right"/>
              <w:rPr>
                <w:color w:val="000000"/>
                <w:sz w:val="16"/>
                <w:szCs w:val="16"/>
                <w:lang w:eastAsia="en-NZ"/>
              </w:rPr>
            </w:pPr>
          </w:p>
        </w:tc>
        <w:tc>
          <w:tcPr>
            <w:tcW w:w="850" w:type="dxa"/>
            <w:shd w:val="clear" w:color="auto" w:fill="auto"/>
            <w:vAlign w:val="bottom"/>
          </w:tcPr>
          <w:p w14:paraId="33147052" w14:textId="77777777" w:rsidR="00D24C70" w:rsidRPr="00D24C70" w:rsidRDefault="00D24C70" w:rsidP="00D24C70">
            <w:pPr>
              <w:jc w:val="right"/>
              <w:rPr>
                <w:color w:val="000000"/>
                <w:sz w:val="16"/>
                <w:szCs w:val="16"/>
                <w:lang w:eastAsia="en-NZ"/>
              </w:rPr>
            </w:pPr>
          </w:p>
        </w:tc>
      </w:tr>
      <w:tr w:rsidR="00D24C70" w:rsidRPr="003F15C0" w14:paraId="5518747F" w14:textId="77777777" w:rsidTr="00036890">
        <w:tc>
          <w:tcPr>
            <w:tcW w:w="5387" w:type="dxa"/>
            <w:vAlign w:val="bottom"/>
          </w:tcPr>
          <w:p w14:paraId="6EEFC7C5" w14:textId="77777777" w:rsidR="00D24C70" w:rsidRPr="00D24C70" w:rsidRDefault="00D24C70" w:rsidP="00D24C70">
            <w:pPr>
              <w:spacing w:before="20"/>
              <w:ind w:left="176"/>
              <w:jc w:val="both"/>
              <w:rPr>
                <w:sz w:val="16"/>
                <w:szCs w:val="16"/>
              </w:rPr>
            </w:pPr>
            <w:r w:rsidRPr="00D24C70">
              <w:rPr>
                <w:sz w:val="16"/>
                <w:szCs w:val="16"/>
              </w:rPr>
              <w:t>Unemployed</w:t>
            </w:r>
          </w:p>
        </w:tc>
        <w:tc>
          <w:tcPr>
            <w:tcW w:w="1134" w:type="dxa"/>
            <w:shd w:val="clear" w:color="auto" w:fill="auto"/>
            <w:vAlign w:val="bottom"/>
          </w:tcPr>
          <w:p w14:paraId="7FCFD5A3" w14:textId="77777777" w:rsidR="00D24C70" w:rsidRPr="00D24C70" w:rsidRDefault="00D24C70" w:rsidP="00D24C70">
            <w:pPr>
              <w:jc w:val="right"/>
              <w:rPr>
                <w:color w:val="000000"/>
                <w:sz w:val="16"/>
                <w:szCs w:val="16"/>
                <w:lang w:eastAsia="en-NZ"/>
              </w:rPr>
            </w:pPr>
            <w:r w:rsidRPr="00D24C70">
              <w:rPr>
                <w:color w:val="000000"/>
                <w:sz w:val="16"/>
                <w:szCs w:val="16"/>
                <w:lang w:eastAsia="en-NZ"/>
              </w:rPr>
              <w:t>0.64</w:t>
            </w:r>
          </w:p>
        </w:tc>
        <w:tc>
          <w:tcPr>
            <w:tcW w:w="1134" w:type="dxa"/>
            <w:shd w:val="clear" w:color="auto" w:fill="auto"/>
            <w:vAlign w:val="bottom"/>
          </w:tcPr>
          <w:p w14:paraId="6343BED5" w14:textId="77777777" w:rsidR="00D24C70" w:rsidRPr="00D24C70" w:rsidRDefault="00D24C70" w:rsidP="00D24C70">
            <w:pPr>
              <w:jc w:val="right"/>
              <w:rPr>
                <w:color w:val="000000"/>
                <w:sz w:val="16"/>
                <w:szCs w:val="16"/>
                <w:lang w:eastAsia="en-NZ"/>
              </w:rPr>
            </w:pPr>
            <w:r w:rsidRPr="00D24C70">
              <w:rPr>
                <w:color w:val="000000"/>
                <w:sz w:val="16"/>
                <w:szCs w:val="16"/>
                <w:lang w:eastAsia="en-NZ"/>
              </w:rPr>
              <w:t>(0.46, 0.90)</w:t>
            </w:r>
          </w:p>
        </w:tc>
        <w:tc>
          <w:tcPr>
            <w:tcW w:w="850" w:type="dxa"/>
            <w:shd w:val="clear" w:color="auto" w:fill="auto"/>
            <w:vAlign w:val="bottom"/>
          </w:tcPr>
          <w:p w14:paraId="38FCCB85" w14:textId="77777777" w:rsidR="00D24C70" w:rsidRPr="00D24C70" w:rsidRDefault="00D24C70" w:rsidP="00D24C70">
            <w:pPr>
              <w:jc w:val="right"/>
              <w:rPr>
                <w:color w:val="000000"/>
                <w:sz w:val="16"/>
                <w:szCs w:val="16"/>
                <w:lang w:eastAsia="en-NZ"/>
              </w:rPr>
            </w:pPr>
          </w:p>
        </w:tc>
      </w:tr>
      <w:tr w:rsidR="00D24C70" w:rsidRPr="003F15C0" w14:paraId="420B6155" w14:textId="77777777" w:rsidTr="00826105">
        <w:tc>
          <w:tcPr>
            <w:tcW w:w="5387" w:type="dxa"/>
            <w:vAlign w:val="bottom"/>
          </w:tcPr>
          <w:p w14:paraId="263A1B68" w14:textId="77777777" w:rsidR="00D24C70" w:rsidRPr="00D24C70" w:rsidRDefault="00D24C70" w:rsidP="00D24C70">
            <w:pPr>
              <w:spacing w:before="20"/>
              <w:ind w:left="176"/>
              <w:jc w:val="both"/>
              <w:rPr>
                <w:sz w:val="16"/>
                <w:szCs w:val="16"/>
              </w:rPr>
            </w:pPr>
            <w:r w:rsidRPr="00D24C70">
              <w:rPr>
                <w:sz w:val="16"/>
                <w:szCs w:val="16"/>
              </w:rPr>
              <w:t>Student/homemaker/retired</w:t>
            </w:r>
          </w:p>
        </w:tc>
        <w:tc>
          <w:tcPr>
            <w:tcW w:w="1134" w:type="dxa"/>
            <w:shd w:val="clear" w:color="auto" w:fill="auto"/>
            <w:vAlign w:val="bottom"/>
          </w:tcPr>
          <w:p w14:paraId="1E3A3482" w14:textId="77777777" w:rsidR="00D24C70" w:rsidRPr="00D24C70" w:rsidRDefault="00D24C70" w:rsidP="00D24C70">
            <w:pPr>
              <w:jc w:val="right"/>
              <w:rPr>
                <w:color w:val="000000"/>
                <w:sz w:val="16"/>
                <w:szCs w:val="16"/>
                <w:lang w:eastAsia="en-NZ"/>
              </w:rPr>
            </w:pPr>
            <w:r w:rsidRPr="00D24C70">
              <w:rPr>
                <w:color w:val="000000"/>
                <w:sz w:val="16"/>
                <w:szCs w:val="16"/>
                <w:lang w:eastAsia="en-NZ"/>
              </w:rPr>
              <w:t>0.51</w:t>
            </w:r>
          </w:p>
        </w:tc>
        <w:tc>
          <w:tcPr>
            <w:tcW w:w="1134" w:type="dxa"/>
            <w:shd w:val="clear" w:color="auto" w:fill="auto"/>
            <w:vAlign w:val="bottom"/>
          </w:tcPr>
          <w:p w14:paraId="39FD1CE5" w14:textId="77777777" w:rsidR="00D24C70" w:rsidRPr="00D24C70" w:rsidRDefault="00D24C70" w:rsidP="00D24C70">
            <w:pPr>
              <w:jc w:val="right"/>
              <w:rPr>
                <w:color w:val="000000"/>
                <w:sz w:val="16"/>
                <w:szCs w:val="16"/>
                <w:lang w:eastAsia="en-NZ"/>
              </w:rPr>
            </w:pPr>
            <w:r w:rsidRPr="00D24C70">
              <w:rPr>
                <w:color w:val="000000"/>
                <w:sz w:val="16"/>
                <w:szCs w:val="16"/>
                <w:lang w:eastAsia="en-NZ"/>
              </w:rPr>
              <w:t>(0.40, 0.64)</w:t>
            </w:r>
          </w:p>
        </w:tc>
        <w:tc>
          <w:tcPr>
            <w:tcW w:w="850" w:type="dxa"/>
            <w:shd w:val="clear" w:color="auto" w:fill="auto"/>
            <w:vAlign w:val="bottom"/>
          </w:tcPr>
          <w:p w14:paraId="3E4A4379" w14:textId="77777777" w:rsidR="00D24C70" w:rsidRPr="00D24C70" w:rsidRDefault="00D24C70" w:rsidP="00D24C70">
            <w:pPr>
              <w:jc w:val="right"/>
              <w:rPr>
                <w:color w:val="000000"/>
                <w:sz w:val="16"/>
                <w:szCs w:val="16"/>
                <w:lang w:eastAsia="en-NZ"/>
              </w:rPr>
            </w:pPr>
            <w:r w:rsidRPr="00D24C70">
              <w:rPr>
                <w:color w:val="000000"/>
                <w:sz w:val="16"/>
                <w:szCs w:val="16"/>
                <w:lang w:eastAsia="en-NZ"/>
              </w:rPr>
              <w:t>&lt;</w:t>
            </w:r>
            <w:r>
              <w:rPr>
                <w:color w:val="000000"/>
                <w:sz w:val="16"/>
                <w:szCs w:val="16"/>
                <w:lang w:eastAsia="en-NZ"/>
              </w:rPr>
              <w:t>0</w:t>
            </w:r>
            <w:r w:rsidRPr="00D24C70">
              <w:rPr>
                <w:color w:val="000000"/>
                <w:sz w:val="16"/>
                <w:szCs w:val="16"/>
                <w:lang w:eastAsia="en-NZ"/>
              </w:rPr>
              <w:t>.0001</w:t>
            </w:r>
          </w:p>
        </w:tc>
      </w:tr>
      <w:tr w:rsidR="005E1C4B" w:rsidRPr="003F15C0" w14:paraId="42CC1FB7" w14:textId="77777777" w:rsidTr="00036890">
        <w:tc>
          <w:tcPr>
            <w:tcW w:w="5387" w:type="dxa"/>
          </w:tcPr>
          <w:p w14:paraId="49A1D4B1" w14:textId="77777777" w:rsidR="005E1C4B" w:rsidRPr="00D24C70" w:rsidRDefault="00D24C70" w:rsidP="00D24C70">
            <w:pPr>
              <w:spacing w:before="20"/>
              <w:jc w:val="both"/>
              <w:rPr>
                <w:b/>
                <w:sz w:val="16"/>
                <w:szCs w:val="16"/>
              </w:rPr>
            </w:pPr>
            <w:r w:rsidRPr="00D24C70">
              <w:rPr>
                <w:b/>
                <w:sz w:val="16"/>
                <w:szCs w:val="16"/>
              </w:rPr>
              <w:t>Annual personal income</w:t>
            </w:r>
          </w:p>
        </w:tc>
        <w:tc>
          <w:tcPr>
            <w:tcW w:w="1134" w:type="dxa"/>
            <w:shd w:val="clear" w:color="auto" w:fill="auto"/>
            <w:vAlign w:val="center"/>
          </w:tcPr>
          <w:p w14:paraId="606969D5" w14:textId="77777777" w:rsidR="005E1C4B" w:rsidRPr="008A1AFE" w:rsidRDefault="005E1C4B" w:rsidP="009A1B9E">
            <w:pPr>
              <w:jc w:val="right"/>
              <w:rPr>
                <w:color w:val="000000"/>
                <w:sz w:val="16"/>
                <w:szCs w:val="20"/>
                <w:lang w:eastAsia="en-NZ"/>
              </w:rPr>
            </w:pPr>
          </w:p>
        </w:tc>
        <w:tc>
          <w:tcPr>
            <w:tcW w:w="1134" w:type="dxa"/>
            <w:shd w:val="clear" w:color="auto" w:fill="auto"/>
            <w:vAlign w:val="center"/>
          </w:tcPr>
          <w:p w14:paraId="470E00EC" w14:textId="77777777" w:rsidR="005E1C4B" w:rsidRPr="008A1AFE" w:rsidRDefault="005E1C4B" w:rsidP="009A1B9E">
            <w:pPr>
              <w:jc w:val="right"/>
              <w:rPr>
                <w:color w:val="000000"/>
                <w:sz w:val="16"/>
                <w:szCs w:val="20"/>
                <w:lang w:eastAsia="en-NZ"/>
              </w:rPr>
            </w:pPr>
          </w:p>
        </w:tc>
        <w:tc>
          <w:tcPr>
            <w:tcW w:w="850" w:type="dxa"/>
            <w:shd w:val="clear" w:color="auto" w:fill="auto"/>
            <w:vAlign w:val="center"/>
          </w:tcPr>
          <w:p w14:paraId="7F4630D4" w14:textId="77777777" w:rsidR="005E1C4B" w:rsidRPr="008A1AFE" w:rsidRDefault="005E1C4B" w:rsidP="009A1B9E">
            <w:pPr>
              <w:jc w:val="right"/>
              <w:rPr>
                <w:color w:val="000000"/>
                <w:sz w:val="16"/>
                <w:szCs w:val="20"/>
                <w:lang w:eastAsia="en-NZ"/>
              </w:rPr>
            </w:pPr>
          </w:p>
        </w:tc>
      </w:tr>
      <w:tr w:rsidR="007C6C78" w:rsidRPr="003F15C0" w14:paraId="64E957B3" w14:textId="77777777" w:rsidTr="00036890">
        <w:tc>
          <w:tcPr>
            <w:tcW w:w="5387" w:type="dxa"/>
            <w:vAlign w:val="bottom"/>
          </w:tcPr>
          <w:p w14:paraId="2BE97C22" w14:textId="77777777" w:rsidR="007C6C78" w:rsidRPr="007C6C78" w:rsidRDefault="00F86C7A" w:rsidP="007C6C78">
            <w:pPr>
              <w:spacing w:before="20"/>
              <w:ind w:left="176"/>
              <w:jc w:val="both"/>
              <w:rPr>
                <w:sz w:val="16"/>
                <w:szCs w:val="16"/>
              </w:rPr>
            </w:pPr>
            <w:r>
              <w:rPr>
                <w:sz w:val="16"/>
                <w:szCs w:val="16"/>
              </w:rPr>
              <w:t>≤</w:t>
            </w:r>
            <w:r w:rsidR="007C6C78" w:rsidRPr="007C6C78">
              <w:rPr>
                <w:sz w:val="16"/>
                <w:szCs w:val="16"/>
              </w:rPr>
              <w:t>$20</w:t>
            </w:r>
            <w:r w:rsidR="007C6C78">
              <w:rPr>
                <w:sz w:val="16"/>
                <w:szCs w:val="16"/>
              </w:rPr>
              <w:t>,000</w:t>
            </w:r>
          </w:p>
        </w:tc>
        <w:tc>
          <w:tcPr>
            <w:tcW w:w="1134" w:type="dxa"/>
            <w:shd w:val="clear" w:color="auto" w:fill="auto"/>
            <w:vAlign w:val="bottom"/>
          </w:tcPr>
          <w:p w14:paraId="374BF739" w14:textId="77777777" w:rsidR="007C6C78" w:rsidRPr="007C6C78" w:rsidRDefault="007C6C78" w:rsidP="007C6C78">
            <w:pPr>
              <w:jc w:val="right"/>
              <w:rPr>
                <w:color w:val="000000"/>
                <w:sz w:val="16"/>
                <w:szCs w:val="16"/>
                <w:lang w:eastAsia="en-NZ"/>
              </w:rPr>
            </w:pPr>
            <w:r w:rsidRPr="007C6C78">
              <w:rPr>
                <w:color w:val="000000"/>
                <w:sz w:val="16"/>
                <w:szCs w:val="16"/>
                <w:lang w:eastAsia="en-NZ"/>
              </w:rPr>
              <w:t>1.00</w:t>
            </w:r>
          </w:p>
        </w:tc>
        <w:tc>
          <w:tcPr>
            <w:tcW w:w="1134" w:type="dxa"/>
            <w:shd w:val="clear" w:color="auto" w:fill="auto"/>
            <w:vAlign w:val="bottom"/>
          </w:tcPr>
          <w:p w14:paraId="78581B7F" w14:textId="77777777" w:rsidR="007C6C78" w:rsidRPr="007C6C78" w:rsidRDefault="007C6C78" w:rsidP="007C6C78">
            <w:pPr>
              <w:jc w:val="right"/>
              <w:rPr>
                <w:color w:val="000000"/>
                <w:sz w:val="16"/>
                <w:szCs w:val="16"/>
                <w:lang w:eastAsia="en-NZ"/>
              </w:rPr>
            </w:pPr>
          </w:p>
        </w:tc>
        <w:tc>
          <w:tcPr>
            <w:tcW w:w="850" w:type="dxa"/>
            <w:shd w:val="clear" w:color="auto" w:fill="auto"/>
            <w:vAlign w:val="bottom"/>
          </w:tcPr>
          <w:p w14:paraId="6723D683" w14:textId="77777777" w:rsidR="007C6C78" w:rsidRPr="007C6C78" w:rsidRDefault="007C6C78" w:rsidP="007C6C78">
            <w:pPr>
              <w:jc w:val="right"/>
              <w:rPr>
                <w:color w:val="000000"/>
                <w:sz w:val="16"/>
                <w:szCs w:val="16"/>
                <w:lang w:eastAsia="en-NZ"/>
              </w:rPr>
            </w:pPr>
          </w:p>
        </w:tc>
      </w:tr>
      <w:tr w:rsidR="007C6C78" w:rsidRPr="003F15C0" w14:paraId="47987E0B" w14:textId="77777777" w:rsidTr="00036890">
        <w:tc>
          <w:tcPr>
            <w:tcW w:w="5387" w:type="dxa"/>
            <w:vAlign w:val="bottom"/>
          </w:tcPr>
          <w:p w14:paraId="66D64E62" w14:textId="77777777" w:rsidR="007C6C78" w:rsidRPr="007C6C78" w:rsidRDefault="007C6C78" w:rsidP="007C6C78">
            <w:pPr>
              <w:spacing w:before="20"/>
              <w:ind w:left="176"/>
              <w:jc w:val="both"/>
              <w:rPr>
                <w:sz w:val="16"/>
                <w:szCs w:val="16"/>
              </w:rPr>
            </w:pPr>
            <w:r>
              <w:rPr>
                <w:sz w:val="16"/>
                <w:szCs w:val="16"/>
              </w:rPr>
              <w:t>$</w:t>
            </w:r>
            <w:r w:rsidRPr="007C6C78">
              <w:rPr>
                <w:sz w:val="16"/>
                <w:szCs w:val="16"/>
              </w:rPr>
              <w:t>20</w:t>
            </w:r>
            <w:r>
              <w:rPr>
                <w:sz w:val="16"/>
                <w:szCs w:val="16"/>
              </w:rPr>
              <w:t xml:space="preserve">,001 </w:t>
            </w:r>
            <w:r w:rsidRPr="007C6C78">
              <w:rPr>
                <w:sz w:val="16"/>
                <w:szCs w:val="16"/>
              </w:rPr>
              <w:t>-</w:t>
            </w:r>
            <w:r>
              <w:rPr>
                <w:sz w:val="16"/>
                <w:szCs w:val="16"/>
              </w:rPr>
              <w:t xml:space="preserve"> $</w:t>
            </w:r>
            <w:r w:rsidRPr="007C6C78">
              <w:rPr>
                <w:sz w:val="16"/>
                <w:szCs w:val="16"/>
              </w:rPr>
              <w:t>40</w:t>
            </w:r>
            <w:r>
              <w:rPr>
                <w:sz w:val="16"/>
                <w:szCs w:val="16"/>
              </w:rPr>
              <w:t>,000</w:t>
            </w:r>
          </w:p>
        </w:tc>
        <w:tc>
          <w:tcPr>
            <w:tcW w:w="1134" w:type="dxa"/>
            <w:shd w:val="clear" w:color="auto" w:fill="auto"/>
            <w:vAlign w:val="bottom"/>
          </w:tcPr>
          <w:p w14:paraId="4689F612" w14:textId="77777777" w:rsidR="007C6C78" w:rsidRPr="007C6C78" w:rsidRDefault="007C6C78" w:rsidP="007C6C78">
            <w:pPr>
              <w:jc w:val="right"/>
              <w:rPr>
                <w:color w:val="000000"/>
                <w:sz w:val="16"/>
                <w:szCs w:val="16"/>
                <w:lang w:eastAsia="en-NZ"/>
              </w:rPr>
            </w:pPr>
            <w:r w:rsidRPr="007C6C78">
              <w:rPr>
                <w:color w:val="000000"/>
                <w:sz w:val="16"/>
                <w:szCs w:val="16"/>
                <w:lang w:eastAsia="en-NZ"/>
              </w:rPr>
              <w:t>1.44</w:t>
            </w:r>
          </w:p>
        </w:tc>
        <w:tc>
          <w:tcPr>
            <w:tcW w:w="1134" w:type="dxa"/>
            <w:shd w:val="clear" w:color="auto" w:fill="auto"/>
            <w:vAlign w:val="bottom"/>
          </w:tcPr>
          <w:p w14:paraId="35B1DCAB" w14:textId="77777777" w:rsidR="007C6C78" w:rsidRPr="007C6C78" w:rsidRDefault="007C6C78" w:rsidP="007C6C78">
            <w:pPr>
              <w:jc w:val="right"/>
              <w:rPr>
                <w:color w:val="000000"/>
                <w:sz w:val="16"/>
                <w:szCs w:val="16"/>
                <w:lang w:eastAsia="en-NZ"/>
              </w:rPr>
            </w:pPr>
            <w:r w:rsidRPr="007C6C78">
              <w:rPr>
                <w:color w:val="000000"/>
                <w:sz w:val="16"/>
                <w:szCs w:val="16"/>
                <w:lang w:eastAsia="en-NZ"/>
              </w:rPr>
              <w:t>(1.14, 1.81)</w:t>
            </w:r>
          </w:p>
        </w:tc>
        <w:tc>
          <w:tcPr>
            <w:tcW w:w="850" w:type="dxa"/>
            <w:shd w:val="clear" w:color="auto" w:fill="auto"/>
            <w:vAlign w:val="bottom"/>
          </w:tcPr>
          <w:p w14:paraId="036B5495" w14:textId="77777777" w:rsidR="007C6C78" w:rsidRPr="007C6C78" w:rsidRDefault="007C6C78" w:rsidP="007C6C78">
            <w:pPr>
              <w:jc w:val="right"/>
              <w:rPr>
                <w:color w:val="000000"/>
                <w:sz w:val="16"/>
                <w:szCs w:val="16"/>
                <w:lang w:eastAsia="en-NZ"/>
              </w:rPr>
            </w:pPr>
          </w:p>
        </w:tc>
      </w:tr>
      <w:tr w:rsidR="007C6C78" w:rsidRPr="003F15C0" w14:paraId="3A27B970" w14:textId="77777777" w:rsidTr="00036890">
        <w:tc>
          <w:tcPr>
            <w:tcW w:w="5387" w:type="dxa"/>
            <w:vAlign w:val="bottom"/>
          </w:tcPr>
          <w:p w14:paraId="40284264" w14:textId="77777777" w:rsidR="007C6C78" w:rsidRPr="007C6C78" w:rsidRDefault="007C6C78" w:rsidP="007C6C78">
            <w:pPr>
              <w:spacing w:before="20"/>
              <w:ind w:left="176"/>
              <w:jc w:val="both"/>
              <w:rPr>
                <w:sz w:val="16"/>
                <w:szCs w:val="16"/>
              </w:rPr>
            </w:pPr>
            <w:r>
              <w:rPr>
                <w:sz w:val="16"/>
                <w:szCs w:val="16"/>
              </w:rPr>
              <w:t>$</w:t>
            </w:r>
            <w:r w:rsidRPr="007C6C78">
              <w:rPr>
                <w:sz w:val="16"/>
                <w:szCs w:val="16"/>
              </w:rPr>
              <w:t>40</w:t>
            </w:r>
            <w:r>
              <w:rPr>
                <w:sz w:val="16"/>
                <w:szCs w:val="16"/>
              </w:rPr>
              <w:t xml:space="preserve">,001 </w:t>
            </w:r>
            <w:r w:rsidRPr="007C6C78">
              <w:rPr>
                <w:sz w:val="16"/>
                <w:szCs w:val="16"/>
              </w:rPr>
              <w:t>-</w:t>
            </w:r>
            <w:r>
              <w:rPr>
                <w:sz w:val="16"/>
                <w:szCs w:val="16"/>
              </w:rPr>
              <w:t xml:space="preserve"> $</w:t>
            </w:r>
            <w:r w:rsidRPr="007C6C78">
              <w:rPr>
                <w:sz w:val="16"/>
                <w:szCs w:val="16"/>
              </w:rPr>
              <w:t>60</w:t>
            </w:r>
            <w:r>
              <w:rPr>
                <w:sz w:val="16"/>
                <w:szCs w:val="16"/>
              </w:rPr>
              <w:t>,000</w:t>
            </w:r>
          </w:p>
        </w:tc>
        <w:tc>
          <w:tcPr>
            <w:tcW w:w="1134" w:type="dxa"/>
            <w:shd w:val="clear" w:color="auto" w:fill="auto"/>
            <w:vAlign w:val="bottom"/>
          </w:tcPr>
          <w:p w14:paraId="6387BA5C" w14:textId="77777777" w:rsidR="007C6C78" w:rsidRPr="007C6C78" w:rsidRDefault="007C6C78" w:rsidP="007C6C78">
            <w:pPr>
              <w:jc w:val="right"/>
              <w:rPr>
                <w:color w:val="000000"/>
                <w:sz w:val="16"/>
                <w:szCs w:val="16"/>
                <w:lang w:eastAsia="en-NZ"/>
              </w:rPr>
            </w:pPr>
            <w:r w:rsidRPr="007C6C78">
              <w:rPr>
                <w:color w:val="000000"/>
                <w:sz w:val="16"/>
                <w:szCs w:val="16"/>
                <w:lang w:eastAsia="en-NZ"/>
              </w:rPr>
              <w:t>2.13</w:t>
            </w:r>
          </w:p>
        </w:tc>
        <w:tc>
          <w:tcPr>
            <w:tcW w:w="1134" w:type="dxa"/>
            <w:shd w:val="clear" w:color="auto" w:fill="auto"/>
            <w:vAlign w:val="bottom"/>
          </w:tcPr>
          <w:p w14:paraId="690558ED" w14:textId="77777777" w:rsidR="007C6C78" w:rsidRPr="007C6C78" w:rsidRDefault="007C6C78" w:rsidP="007C6C78">
            <w:pPr>
              <w:jc w:val="right"/>
              <w:rPr>
                <w:color w:val="000000"/>
                <w:sz w:val="16"/>
                <w:szCs w:val="16"/>
                <w:lang w:eastAsia="en-NZ"/>
              </w:rPr>
            </w:pPr>
            <w:r w:rsidRPr="007C6C78">
              <w:rPr>
                <w:color w:val="000000"/>
                <w:sz w:val="16"/>
                <w:szCs w:val="16"/>
                <w:lang w:eastAsia="en-NZ"/>
              </w:rPr>
              <w:t>(1.59, 2.86)</w:t>
            </w:r>
          </w:p>
        </w:tc>
        <w:tc>
          <w:tcPr>
            <w:tcW w:w="850" w:type="dxa"/>
            <w:shd w:val="clear" w:color="auto" w:fill="auto"/>
            <w:vAlign w:val="bottom"/>
          </w:tcPr>
          <w:p w14:paraId="0D315F75" w14:textId="77777777" w:rsidR="007C6C78" w:rsidRPr="007C6C78" w:rsidRDefault="007C6C78" w:rsidP="007C6C78">
            <w:pPr>
              <w:jc w:val="right"/>
              <w:rPr>
                <w:color w:val="000000"/>
                <w:sz w:val="16"/>
                <w:szCs w:val="16"/>
                <w:lang w:eastAsia="en-NZ"/>
              </w:rPr>
            </w:pPr>
          </w:p>
        </w:tc>
      </w:tr>
      <w:tr w:rsidR="007C6C78" w:rsidRPr="003F15C0" w14:paraId="0072C04E" w14:textId="77777777" w:rsidTr="00826105">
        <w:tc>
          <w:tcPr>
            <w:tcW w:w="5387" w:type="dxa"/>
            <w:vAlign w:val="bottom"/>
          </w:tcPr>
          <w:p w14:paraId="2101BE6E" w14:textId="77777777" w:rsidR="007C6C78" w:rsidRPr="007C6C78" w:rsidRDefault="007C6C78" w:rsidP="007C6C78">
            <w:pPr>
              <w:spacing w:before="20"/>
              <w:ind w:left="176"/>
              <w:jc w:val="both"/>
              <w:rPr>
                <w:sz w:val="16"/>
                <w:szCs w:val="16"/>
              </w:rPr>
            </w:pPr>
            <w:r w:rsidRPr="007C6C78">
              <w:rPr>
                <w:sz w:val="16"/>
                <w:szCs w:val="16"/>
              </w:rPr>
              <w:t>&gt;</w:t>
            </w:r>
            <w:r>
              <w:rPr>
                <w:sz w:val="16"/>
                <w:szCs w:val="16"/>
              </w:rPr>
              <w:t>$</w:t>
            </w:r>
            <w:r w:rsidRPr="007C6C78">
              <w:rPr>
                <w:sz w:val="16"/>
                <w:szCs w:val="16"/>
              </w:rPr>
              <w:t>60</w:t>
            </w:r>
            <w:r>
              <w:rPr>
                <w:sz w:val="16"/>
                <w:szCs w:val="16"/>
              </w:rPr>
              <w:t>,000</w:t>
            </w:r>
          </w:p>
        </w:tc>
        <w:tc>
          <w:tcPr>
            <w:tcW w:w="1134" w:type="dxa"/>
            <w:shd w:val="clear" w:color="auto" w:fill="auto"/>
            <w:vAlign w:val="bottom"/>
          </w:tcPr>
          <w:p w14:paraId="5AF3330A" w14:textId="77777777" w:rsidR="007C6C78" w:rsidRPr="007C6C78" w:rsidRDefault="007C6C78" w:rsidP="007C6C78">
            <w:pPr>
              <w:jc w:val="right"/>
              <w:rPr>
                <w:color w:val="000000"/>
                <w:sz w:val="16"/>
                <w:szCs w:val="16"/>
                <w:lang w:eastAsia="en-NZ"/>
              </w:rPr>
            </w:pPr>
            <w:r w:rsidRPr="007C6C78">
              <w:rPr>
                <w:color w:val="000000"/>
                <w:sz w:val="16"/>
                <w:szCs w:val="16"/>
                <w:lang w:eastAsia="en-NZ"/>
              </w:rPr>
              <w:t>2.53</w:t>
            </w:r>
          </w:p>
        </w:tc>
        <w:tc>
          <w:tcPr>
            <w:tcW w:w="1134" w:type="dxa"/>
            <w:shd w:val="clear" w:color="auto" w:fill="auto"/>
            <w:vAlign w:val="bottom"/>
          </w:tcPr>
          <w:p w14:paraId="3EF9DF80" w14:textId="77777777" w:rsidR="007C6C78" w:rsidRPr="007C6C78" w:rsidRDefault="007C6C78" w:rsidP="007C6C78">
            <w:pPr>
              <w:jc w:val="right"/>
              <w:rPr>
                <w:color w:val="000000"/>
                <w:sz w:val="16"/>
                <w:szCs w:val="16"/>
                <w:lang w:eastAsia="en-NZ"/>
              </w:rPr>
            </w:pPr>
            <w:r w:rsidRPr="007C6C78">
              <w:rPr>
                <w:color w:val="000000"/>
                <w:sz w:val="16"/>
                <w:szCs w:val="16"/>
                <w:lang w:eastAsia="en-NZ"/>
              </w:rPr>
              <w:t>(1.84, 3.46)</w:t>
            </w:r>
          </w:p>
        </w:tc>
        <w:tc>
          <w:tcPr>
            <w:tcW w:w="850" w:type="dxa"/>
            <w:shd w:val="clear" w:color="auto" w:fill="auto"/>
            <w:vAlign w:val="bottom"/>
          </w:tcPr>
          <w:p w14:paraId="12FFF550" w14:textId="77777777" w:rsidR="007C6C78" w:rsidRPr="007C6C78" w:rsidRDefault="007C6C78" w:rsidP="007C6C78">
            <w:pPr>
              <w:jc w:val="right"/>
              <w:rPr>
                <w:color w:val="000000"/>
                <w:sz w:val="16"/>
                <w:szCs w:val="16"/>
                <w:lang w:eastAsia="en-NZ"/>
              </w:rPr>
            </w:pPr>
            <w:r w:rsidRPr="007C6C78">
              <w:rPr>
                <w:color w:val="000000"/>
                <w:sz w:val="16"/>
                <w:szCs w:val="16"/>
                <w:lang w:eastAsia="en-NZ"/>
              </w:rPr>
              <w:t>&lt;</w:t>
            </w:r>
            <w:r>
              <w:rPr>
                <w:color w:val="000000"/>
                <w:sz w:val="16"/>
                <w:szCs w:val="16"/>
                <w:lang w:eastAsia="en-NZ"/>
              </w:rPr>
              <w:t>0</w:t>
            </w:r>
            <w:r w:rsidRPr="007C6C78">
              <w:rPr>
                <w:color w:val="000000"/>
                <w:sz w:val="16"/>
                <w:szCs w:val="16"/>
                <w:lang w:eastAsia="en-NZ"/>
              </w:rPr>
              <w:t>.0001</w:t>
            </w:r>
          </w:p>
        </w:tc>
      </w:tr>
      <w:tr w:rsidR="005E1C4B" w:rsidRPr="003F15C0" w14:paraId="567E6F9A" w14:textId="77777777" w:rsidTr="00036890">
        <w:tc>
          <w:tcPr>
            <w:tcW w:w="5387" w:type="dxa"/>
          </w:tcPr>
          <w:p w14:paraId="4D481354" w14:textId="77777777" w:rsidR="005E1C4B" w:rsidRPr="007C6C78" w:rsidRDefault="007C6C78" w:rsidP="007C6C78">
            <w:pPr>
              <w:spacing w:before="20"/>
              <w:jc w:val="both"/>
              <w:rPr>
                <w:b/>
                <w:sz w:val="16"/>
                <w:szCs w:val="16"/>
              </w:rPr>
            </w:pPr>
            <w:r w:rsidRPr="007C6C78">
              <w:rPr>
                <w:b/>
                <w:sz w:val="16"/>
                <w:szCs w:val="16"/>
              </w:rPr>
              <w:t>Annual household income</w:t>
            </w:r>
          </w:p>
        </w:tc>
        <w:tc>
          <w:tcPr>
            <w:tcW w:w="1134" w:type="dxa"/>
            <w:shd w:val="clear" w:color="auto" w:fill="auto"/>
            <w:vAlign w:val="center"/>
          </w:tcPr>
          <w:p w14:paraId="611A50AF" w14:textId="77777777" w:rsidR="005E1C4B" w:rsidRPr="005A130A" w:rsidRDefault="005E1C4B" w:rsidP="009A1B9E">
            <w:pPr>
              <w:jc w:val="right"/>
              <w:rPr>
                <w:color w:val="000000"/>
                <w:sz w:val="16"/>
                <w:szCs w:val="20"/>
                <w:lang w:eastAsia="en-NZ"/>
              </w:rPr>
            </w:pPr>
          </w:p>
        </w:tc>
        <w:tc>
          <w:tcPr>
            <w:tcW w:w="1134" w:type="dxa"/>
            <w:shd w:val="clear" w:color="auto" w:fill="auto"/>
            <w:vAlign w:val="center"/>
          </w:tcPr>
          <w:p w14:paraId="499646B4" w14:textId="77777777" w:rsidR="005E1C4B" w:rsidRPr="005A130A" w:rsidRDefault="005E1C4B" w:rsidP="009A1B9E">
            <w:pPr>
              <w:jc w:val="right"/>
              <w:rPr>
                <w:color w:val="000000"/>
                <w:sz w:val="16"/>
                <w:szCs w:val="20"/>
                <w:lang w:eastAsia="en-NZ"/>
              </w:rPr>
            </w:pPr>
          </w:p>
        </w:tc>
        <w:tc>
          <w:tcPr>
            <w:tcW w:w="850" w:type="dxa"/>
            <w:shd w:val="clear" w:color="auto" w:fill="auto"/>
            <w:vAlign w:val="center"/>
          </w:tcPr>
          <w:p w14:paraId="25234E45" w14:textId="77777777" w:rsidR="005E1C4B" w:rsidRPr="005A130A" w:rsidRDefault="005E1C4B" w:rsidP="009A1B9E">
            <w:pPr>
              <w:jc w:val="right"/>
              <w:rPr>
                <w:color w:val="000000"/>
                <w:sz w:val="16"/>
                <w:szCs w:val="20"/>
                <w:lang w:eastAsia="en-NZ"/>
              </w:rPr>
            </w:pPr>
          </w:p>
        </w:tc>
      </w:tr>
      <w:tr w:rsidR="007C6C78" w:rsidRPr="003F15C0" w14:paraId="0105F1E3" w14:textId="77777777" w:rsidTr="00036890">
        <w:tc>
          <w:tcPr>
            <w:tcW w:w="5387" w:type="dxa"/>
            <w:vAlign w:val="bottom"/>
          </w:tcPr>
          <w:p w14:paraId="4B8C4C2C" w14:textId="77777777" w:rsidR="007C6C78" w:rsidRPr="007C6C78" w:rsidRDefault="00F86C7A" w:rsidP="007C6C78">
            <w:pPr>
              <w:spacing w:before="20"/>
              <w:ind w:left="176"/>
              <w:jc w:val="both"/>
              <w:rPr>
                <w:sz w:val="16"/>
                <w:szCs w:val="16"/>
              </w:rPr>
            </w:pPr>
            <w:r>
              <w:rPr>
                <w:sz w:val="16"/>
                <w:szCs w:val="16"/>
              </w:rPr>
              <w:t>≤</w:t>
            </w:r>
            <w:r w:rsidR="007C6C78">
              <w:rPr>
                <w:sz w:val="16"/>
                <w:szCs w:val="16"/>
              </w:rPr>
              <w:t>$4</w:t>
            </w:r>
            <w:r w:rsidR="007C6C78" w:rsidRPr="007C6C78">
              <w:rPr>
                <w:sz w:val="16"/>
                <w:szCs w:val="16"/>
              </w:rPr>
              <w:t>0</w:t>
            </w:r>
            <w:r w:rsidR="007C6C78">
              <w:rPr>
                <w:sz w:val="16"/>
                <w:szCs w:val="16"/>
              </w:rPr>
              <w:t>,000</w:t>
            </w:r>
          </w:p>
        </w:tc>
        <w:tc>
          <w:tcPr>
            <w:tcW w:w="1134" w:type="dxa"/>
            <w:shd w:val="clear" w:color="auto" w:fill="auto"/>
            <w:vAlign w:val="bottom"/>
          </w:tcPr>
          <w:p w14:paraId="60531D08" w14:textId="77777777" w:rsidR="007C6C78" w:rsidRPr="007C6C78" w:rsidRDefault="007C6C78" w:rsidP="007C6C78">
            <w:pPr>
              <w:jc w:val="right"/>
              <w:rPr>
                <w:color w:val="000000"/>
                <w:sz w:val="16"/>
                <w:szCs w:val="16"/>
                <w:lang w:eastAsia="en-NZ"/>
              </w:rPr>
            </w:pPr>
            <w:r w:rsidRPr="007C6C78">
              <w:rPr>
                <w:color w:val="000000"/>
                <w:sz w:val="16"/>
                <w:szCs w:val="16"/>
                <w:lang w:eastAsia="en-NZ"/>
              </w:rPr>
              <w:t>1.00</w:t>
            </w:r>
          </w:p>
        </w:tc>
        <w:tc>
          <w:tcPr>
            <w:tcW w:w="1134" w:type="dxa"/>
            <w:shd w:val="clear" w:color="auto" w:fill="auto"/>
            <w:vAlign w:val="bottom"/>
          </w:tcPr>
          <w:p w14:paraId="6F8DAF12" w14:textId="77777777" w:rsidR="007C6C78" w:rsidRPr="007C6C78" w:rsidRDefault="007C6C78" w:rsidP="007C6C78">
            <w:pPr>
              <w:jc w:val="right"/>
              <w:rPr>
                <w:color w:val="000000"/>
                <w:sz w:val="16"/>
                <w:szCs w:val="16"/>
                <w:lang w:eastAsia="en-NZ"/>
              </w:rPr>
            </w:pPr>
          </w:p>
        </w:tc>
        <w:tc>
          <w:tcPr>
            <w:tcW w:w="850" w:type="dxa"/>
            <w:shd w:val="clear" w:color="auto" w:fill="auto"/>
            <w:vAlign w:val="bottom"/>
          </w:tcPr>
          <w:p w14:paraId="29822659" w14:textId="77777777" w:rsidR="007C6C78" w:rsidRPr="007C6C78" w:rsidRDefault="007C6C78" w:rsidP="007C6C78">
            <w:pPr>
              <w:jc w:val="right"/>
              <w:rPr>
                <w:color w:val="000000"/>
                <w:sz w:val="16"/>
                <w:szCs w:val="16"/>
                <w:lang w:eastAsia="en-NZ"/>
              </w:rPr>
            </w:pPr>
          </w:p>
        </w:tc>
      </w:tr>
      <w:tr w:rsidR="007C6C78" w:rsidRPr="003F15C0" w14:paraId="2B0B005B" w14:textId="77777777" w:rsidTr="00036890">
        <w:tc>
          <w:tcPr>
            <w:tcW w:w="5387" w:type="dxa"/>
            <w:vAlign w:val="bottom"/>
          </w:tcPr>
          <w:p w14:paraId="5C1D44DD" w14:textId="77777777" w:rsidR="007C6C78" w:rsidRPr="007C6C78" w:rsidRDefault="007C6C78" w:rsidP="007C6C78">
            <w:pPr>
              <w:spacing w:before="20"/>
              <w:ind w:left="176"/>
              <w:jc w:val="both"/>
              <w:rPr>
                <w:sz w:val="16"/>
                <w:szCs w:val="16"/>
              </w:rPr>
            </w:pPr>
            <w:r>
              <w:rPr>
                <w:sz w:val="16"/>
                <w:szCs w:val="16"/>
              </w:rPr>
              <w:t>$4</w:t>
            </w:r>
            <w:r w:rsidRPr="007C6C78">
              <w:rPr>
                <w:sz w:val="16"/>
                <w:szCs w:val="16"/>
              </w:rPr>
              <w:t>0</w:t>
            </w:r>
            <w:r>
              <w:rPr>
                <w:sz w:val="16"/>
                <w:szCs w:val="16"/>
              </w:rPr>
              <w:t xml:space="preserve">,001 </w:t>
            </w:r>
            <w:r w:rsidRPr="007C6C78">
              <w:rPr>
                <w:sz w:val="16"/>
                <w:szCs w:val="16"/>
              </w:rPr>
              <w:t>-</w:t>
            </w:r>
            <w:r>
              <w:rPr>
                <w:sz w:val="16"/>
                <w:szCs w:val="16"/>
              </w:rPr>
              <w:t xml:space="preserve"> $6</w:t>
            </w:r>
            <w:r w:rsidRPr="007C6C78">
              <w:rPr>
                <w:sz w:val="16"/>
                <w:szCs w:val="16"/>
              </w:rPr>
              <w:t>0</w:t>
            </w:r>
            <w:r>
              <w:rPr>
                <w:sz w:val="16"/>
                <w:szCs w:val="16"/>
              </w:rPr>
              <w:t>,000</w:t>
            </w:r>
          </w:p>
        </w:tc>
        <w:tc>
          <w:tcPr>
            <w:tcW w:w="1134" w:type="dxa"/>
            <w:shd w:val="clear" w:color="auto" w:fill="auto"/>
            <w:vAlign w:val="bottom"/>
          </w:tcPr>
          <w:p w14:paraId="69E7C35A" w14:textId="77777777" w:rsidR="007C6C78" w:rsidRPr="007C6C78" w:rsidRDefault="007C6C78" w:rsidP="007C6C78">
            <w:pPr>
              <w:jc w:val="right"/>
              <w:rPr>
                <w:color w:val="000000"/>
                <w:sz w:val="16"/>
                <w:szCs w:val="16"/>
                <w:lang w:eastAsia="en-NZ"/>
              </w:rPr>
            </w:pPr>
            <w:r w:rsidRPr="007C6C78">
              <w:rPr>
                <w:color w:val="000000"/>
                <w:sz w:val="16"/>
                <w:szCs w:val="16"/>
                <w:lang w:eastAsia="en-NZ"/>
              </w:rPr>
              <w:t>1.12</w:t>
            </w:r>
          </w:p>
        </w:tc>
        <w:tc>
          <w:tcPr>
            <w:tcW w:w="1134" w:type="dxa"/>
            <w:shd w:val="clear" w:color="auto" w:fill="auto"/>
            <w:vAlign w:val="bottom"/>
          </w:tcPr>
          <w:p w14:paraId="7B3E3CAB" w14:textId="77777777" w:rsidR="007C6C78" w:rsidRPr="007C6C78" w:rsidRDefault="007C6C78" w:rsidP="007C6C78">
            <w:pPr>
              <w:jc w:val="right"/>
              <w:rPr>
                <w:color w:val="000000"/>
                <w:sz w:val="16"/>
                <w:szCs w:val="16"/>
                <w:lang w:eastAsia="en-NZ"/>
              </w:rPr>
            </w:pPr>
            <w:r w:rsidRPr="007C6C78">
              <w:rPr>
                <w:color w:val="000000"/>
                <w:sz w:val="16"/>
                <w:szCs w:val="16"/>
                <w:lang w:eastAsia="en-NZ"/>
              </w:rPr>
              <w:t>(0.84, 1.50)</w:t>
            </w:r>
          </w:p>
        </w:tc>
        <w:tc>
          <w:tcPr>
            <w:tcW w:w="850" w:type="dxa"/>
            <w:shd w:val="clear" w:color="auto" w:fill="auto"/>
            <w:vAlign w:val="bottom"/>
          </w:tcPr>
          <w:p w14:paraId="1DAA5852" w14:textId="77777777" w:rsidR="007C6C78" w:rsidRPr="007C6C78" w:rsidRDefault="007C6C78" w:rsidP="007C6C78">
            <w:pPr>
              <w:jc w:val="right"/>
              <w:rPr>
                <w:color w:val="000000"/>
                <w:sz w:val="16"/>
                <w:szCs w:val="16"/>
                <w:lang w:eastAsia="en-NZ"/>
              </w:rPr>
            </w:pPr>
          </w:p>
        </w:tc>
      </w:tr>
      <w:tr w:rsidR="007C6C78" w:rsidRPr="003F15C0" w14:paraId="15F5A330" w14:textId="77777777" w:rsidTr="00036890">
        <w:tc>
          <w:tcPr>
            <w:tcW w:w="5387" w:type="dxa"/>
            <w:vAlign w:val="bottom"/>
          </w:tcPr>
          <w:p w14:paraId="6019703C" w14:textId="77777777" w:rsidR="007C6C78" w:rsidRPr="007C6C78" w:rsidRDefault="007C6C78" w:rsidP="007C6C78">
            <w:pPr>
              <w:spacing w:before="20"/>
              <w:ind w:left="176"/>
              <w:jc w:val="both"/>
              <w:rPr>
                <w:sz w:val="16"/>
                <w:szCs w:val="16"/>
              </w:rPr>
            </w:pPr>
            <w:r>
              <w:rPr>
                <w:sz w:val="16"/>
                <w:szCs w:val="16"/>
              </w:rPr>
              <w:t>$6</w:t>
            </w:r>
            <w:r w:rsidRPr="007C6C78">
              <w:rPr>
                <w:sz w:val="16"/>
                <w:szCs w:val="16"/>
              </w:rPr>
              <w:t>0</w:t>
            </w:r>
            <w:r>
              <w:rPr>
                <w:sz w:val="16"/>
                <w:szCs w:val="16"/>
              </w:rPr>
              <w:t xml:space="preserve">,001 </w:t>
            </w:r>
            <w:r w:rsidRPr="007C6C78">
              <w:rPr>
                <w:sz w:val="16"/>
                <w:szCs w:val="16"/>
              </w:rPr>
              <w:t>-</w:t>
            </w:r>
            <w:r>
              <w:rPr>
                <w:sz w:val="16"/>
                <w:szCs w:val="16"/>
              </w:rPr>
              <w:t xml:space="preserve"> $8</w:t>
            </w:r>
            <w:r w:rsidRPr="007C6C78">
              <w:rPr>
                <w:sz w:val="16"/>
                <w:szCs w:val="16"/>
              </w:rPr>
              <w:t>0</w:t>
            </w:r>
            <w:r>
              <w:rPr>
                <w:sz w:val="16"/>
                <w:szCs w:val="16"/>
              </w:rPr>
              <w:t>,000</w:t>
            </w:r>
          </w:p>
        </w:tc>
        <w:tc>
          <w:tcPr>
            <w:tcW w:w="1134" w:type="dxa"/>
            <w:shd w:val="clear" w:color="auto" w:fill="auto"/>
            <w:vAlign w:val="bottom"/>
          </w:tcPr>
          <w:p w14:paraId="4AF38B15" w14:textId="77777777" w:rsidR="007C6C78" w:rsidRPr="007C6C78" w:rsidRDefault="007C6C78" w:rsidP="007C6C78">
            <w:pPr>
              <w:jc w:val="right"/>
              <w:rPr>
                <w:color w:val="000000"/>
                <w:sz w:val="16"/>
                <w:szCs w:val="16"/>
                <w:lang w:eastAsia="en-NZ"/>
              </w:rPr>
            </w:pPr>
            <w:r w:rsidRPr="007C6C78">
              <w:rPr>
                <w:color w:val="000000"/>
                <w:sz w:val="16"/>
                <w:szCs w:val="16"/>
                <w:lang w:eastAsia="en-NZ"/>
              </w:rPr>
              <w:t>1.18</w:t>
            </w:r>
          </w:p>
        </w:tc>
        <w:tc>
          <w:tcPr>
            <w:tcW w:w="1134" w:type="dxa"/>
            <w:shd w:val="clear" w:color="auto" w:fill="auto"/>
            <w:vAlign w:val="bottom"/>
          </w:tcPr>
          <w:p w14:paraId="7C2B83EF" w14:textId="77777777" w:rsidR="007C6C78" w:rsidRPr="007C6C78" w:rsidRDefault="007C6C78" w:rsidP="007C6C78">
            <w:pPr>
              <w:jc w:val="right"/>
              <w:rPr>
                <w:color w:val="000000"/>
                <w:sz w:val="16"/>
                <w:szCs w:val="16"/>
                <w:lang w:eastAsia="en-NZ"/>
              </w:rPr>
            </w:pPr>
            <w:r w:rsidRPr="007C6C78">
              <w:rPr>
                <w:color w:val="000000"/>
                <w:sz w:val="16"/>
                <w:szCs w:val="16"/>
                <w:lang w:eastAsia="en-NZ"/>
              </w:rPr>
              <w:t>(0.87, 1.61)</w:t>
            </w:r>
          </w:p>
        </w:tc>
        <w:tc>
          <w:tcPr>
            <w:tcW w:w="850" w:type="dxa"/>
            <w:shd w:val="clear" w:color="auto" w:fill="auto"/>
            <w:vAlign w:val="bottom"/>
          </w:tcPr>
          <w:p w14:paraId="2C7169D4" w14:textId="77777777" w:rsidR="007C6C78" w:rsidRPr="007C6C78" w:rsidRDefault="007C6C78" w:rsidP="007C6C78">
            <w:pPr>
              <w:jc w:val="right"/>
              <w:rPr>
                <w:color w:val="000000"/>
                <w:sz w:val="16"/>
                <w:szCs w:val="16"/>
                <w:lang w:eastAsia="en-NZ"/>
              </w:rPr>
            </w:pPr>
          </w:p>
        </w:tc>
      </w:tr>
      <w:tr w:rsidR="007C6C78" w:rsidRPr="003F15C0" w14:paraId="1967278C" w14:textId="77777777" w:rsidTr="00036890">
        <w:tc>
          <w:tcPr>
            <w:tcW w:w="5387" w:type="dxa"/>
            <w:vAlign w:val="bottom"/>
          </w:tcPr>
          <w:p w14:paraId="0B82329F" w14:textId="77777777" w:rsidR="007C6C78" w:rsidRPr="007C6C78" w:rsidRDefault="007C6C78" w:rsidP="007C6C78">
            <w:pPr>
              <w:spacing w:before="20"/>
              <w:ind w:left="176"/>
              <w:jc w:val="both"/>
              <w:rPr>
                <w:sz w:val="16"/>
                <w:szCs w:val="16"/>
              </w:rPr>
            </w:pPr>
            <w:r>
              <w:rPr>
                <w:sz w:val="16"/>
                <w:szCs w:val="16"/>
              </w:rPr>
              <w:t>$80,001 - $100,000</w:t>
            </w:r>
          </w:p>
        </w:tc>
        <w:tc>
          <w:tcPr>
            <w:tcW w:w="1134" w:type="dxa"/>
            <w:shd w:val="clear" w:color="auto" w:fill="auto"/>
            <w:vAlign w:val="bottom"/>
          </w:tcPr>
          <w:p w14:paraId="1CDCAA7F" w14:textId="77777777" w:rsidR="007C6C78" w:rsidRPr="007C6C78" w:rsidRDefault="007C6C78" w:rsidP="007C6C78">
            <w:pPr>
              <w:jc w:val="right"/>
              <w:rPr>
                <w:color w:val="000000"/>
                <w:sz w:val="16"/>
                <w:szCs w:val="16"/>
                <w:lang w:eastAsia="en-NZ"/>
              </w:rPr>
            </w:pPr>
            <w:r w:rsidRPr="007C6C78">
              <w:rPr>
                <w:color w:val="000000"/>
                <w:sz w:val="16"/>
                <w:szCs w:val="16"/>
                <w:lang w:eastAsia="en-NZ"/>
              </w:rPr>
              <w:t>1.94</w:t>
            </w:r>
          </w:p>
        </w:tc>
        <w:tc>
          <w:tcPr>
            <w:tcW w:w="1134" w:type="dxa"/>
            <w:shd w:val="clear" w:color="auto" w:fill="auto"/>
            <w:vAlign w:val="bottom"/>
          </w:tcPr>
          <w:p w14:paraId="58858E78" w14:textId="77777777" w:rsidR="007C6C78" w:rsidRPr="007C6C78" w:rsidRDefault="007C6C78" w:rsidP="007C6C78">
            <w:pPr>
              <w:jc w:val="right"/>
              <w:rPr>
                <w:color w:val="000000"/>
                <w:sz w:val="16"/>
                <w:szCs w:val="16"/>
                <w:lang w:eastAsia="en-NZ"/>
              </w:rPr>
            </w:pPr>
            <w:r w:rsidRPr="007C6C78">
              <w:rPr>
                <w:color w:val="000000"/>
                <w:sz w:val="16"/>
                <w:szCs w:val="16"/>
                <w:lang w:eastAsia="en-NZ"/>
              </w:rPr>
              <w:t>(1.39, 2.70)</w:t>
            </w:r>
          </w:p>
        </w:tc>
        <w:tc>
          <w:tcPr>
            <w:tcW w:w="850" w:type="dxa"/>
            <w:shd w:val="clear" w:color="auto" w:fill="auto"/>
            <w:vAlign w:val="bottom"/>
          </w:tcPr>
          <w:p w14:paraId="16B7849D" w14:textId="77777777" w:rsidR="007C6C78" w:rsidRPr="007C6C78" w:rsidRDefault="007C6C78" w:rsidP="007C6C78">
            <w:pPr>
              <w:jc w:val="right"/>
              <w:rPr>
                <w:color w:val="000000"/>
                <w:sz w:val="16"/>
                <w:szCs w:val="16"/>
                <w:lang w:eastAsia="en-NZ"/>
              </w:rPr>
            </w:pPr>
          </w:p>
        </w:tc>
      </w:tr>
      <w:tr w:rsidR="007C6C78" w:rsidRPr="003F15C0" w14:paraId="3AEDE9FC" w14:textId="77777777" w:rsidTr="00826105">
        <w:tc>
          <w:tcPr>
            <w:tcW w:w="5387" w:type="dxa"/>
            <w:shd w:val="clear" w:color="auto" w:fill="auto"/>
            <w:vAlign w:val="bottom"/>
          </w:tcPr>
          <w:p w14:paraId="2564D54A" w14:textId="77777777" w:rsidR="007C6C78" w:rsidRPr="007C6C78" w:rsidRDefault="007C6C78" w:rsidP="007C6C78">
            <w:pPr>
              <w:spacing w:before="20"/>
              <w:ind w:left="176"/>
              <w:jc w:val="both"/>
              <w:rPr>
                <w:sz w:val="16"/>
                <w:szCs w:val="16"/>
              </w:rPr>
            </w:pPr>
            <w:r w:rsidRPr="007C6C78">
              <w:rPr>
                <w:sz w:val="16"/>
                <w:szCs w:val="16"/>
              </w:rPr>
              <w:t>&gt;</w:t>
            </w:r>
            <w:r>
              <w:rPr>
                <w:sz w:val="16"/>
                <w:szCs w:val="16"/>
              </w:rPr>
              <w:t>$10</w:t>
            </w:r>
            <w:r w:rsidRPr="007C6C78">
              <w:rPr>
                <w:sz w:val="16"/>
                <w:szCs w:val="16"/>
              </w:rPr>
              <w:t>0</w:t>
            </w:r>
            <w:r>
              <w:rPr>
                <w:sz w:val="16"/>
                <w:szCs w:val="16"/>
              </w:rPr>
              <w:t>,000</w:t>
            </w:r>
          </w:p>
        </w:tc>
        <w:tc>
          <w:tcPr>
            <w:tcW w:w="1134" w:type="dxa"/>
            <w:shd w:val="clear" w:color="auto" w:fill="auto"/>
            <w:vAlign w:val="bottom"/>
          </w:tcPr>
          <w:p w14:paraId="285750E6" w14:textId="77777777" w:rsidR="007C6C78" w:rsidRPr="007C6C78" w:rsidRDefault="007C6C78" w:rsidP="007C6C78">
            <w:pPr>
              <w:jc w:val="right"/>
              <w:rPr>
                <w:color w:val="000000"/>
                <w:sz w:val="16"/>
                <w:szCs w:val="16"/>
                <w:lang w:eastAsia="en-NZ"/>
              </w:rPr>
            </w:pPr>
            <w:r w:rsidRPr="007C6C78">
              <w:rPr>
                <w:color w:val="000000"/>
                <w:sz w:val="16"/>
                <w:szCs w:val="16"/>
                <w:lang w:eastAsia="en-NZ"/>
              </w:rPr>
              <w:t>1.79</w:t>
            </w:r>
          </w:p>
        </w:tc>
        <w:tc>
          <w:tcPr>
            <w:tcW w:w="1134" w:type="dxa"/>
            <w:shd w:val="clear" w:color="auto" w:fill="auto"/>
            <w:vAlign w:val="bottom"/>
          </w:tcPr>
          <w:p w14:paraId="38C7594D" w14:textId="77777777" w:rsidR="007C6C78" w:rsidRPr="007C6C78" w:rsidRDefault="007C6C78" w:rsidP="007C6C78">
            <w:pPr>
              <w:jc w:val="right"/>
              <w:rPr>
                <w:color w:val="000000"/>
                <w:sz w:val="16"/>
                <w:szCs w:val="16"/>
                <w:lang w:eastAsia="en-NZ"/>
              </w:rPr>
            </w:pPr>
            <w:r w:rsidRPr="007C6C78">
              <w:rPr>
                <w:color w:val="000000"/>
                <w:sz w:val="16"/>
                <w:szCs w:val="16"/>
                <w:lang w:eastAsia="en-NZ"/>
              </w:rPr>
              <w:t>(1.33, 2.42)</w:t>
            </w:r>
          </w:p>
        </w:tc>
        <w:tc>
          <w:tcPr>
            <w:tcW w:w="850" w:type="dxa"/>
            <w:shd w:val="clear" w:color="auto" w:fill="auto"/>
            <w:vAlign w:val="bottom"/>
          </w:tcPr>
          <w:p w14:paraId="52B9BF54" w14:textId="77777777" w:rsidR="007C6C78" w:rsidRPr="007C6C78" w:rsidRDefault="007C6C78" w:rsidP="007C6C78">
            <w:pPr>
              <w:jc w:val="right"/>
              <w:rPr>
                <w:color w:val="000000"/>
                <w:sz w:val="16"/>
                <w:szCs w:val="16"/>
                <w:lang w:eastAsia="en-NZ"/>
              </w:rPr>
            </w:pPr>
            <w:r w:rsidRPr="007C6C78">
              <w:rPr>
                <w:color w:val="000000"/>
                <w:sz w:val="16"/>
                <w:szCs w:val="16"/>
                <w:lang w:eastAsia="en-NZ"/>
              </w:rPr>
              <w:t>0.0002</w:t>
            </w:r>
          </w:p>
        </w:tc>
      </w:tr>
      <w:tr w:rsidR="007C6C78" w:rsidRPr="003F15C0" w14:paraId="3E3C61FF" w14:textId="77777777" w:rsidTr="00036890">
        <w:tc>
          <w:tcPr>
            <w:tcW w:w="5387" w:type="dxa"/>
            <w:shd w:val="clear" w:color="auto" w:fill="auto"/>
          </w:tcPr>
          <w:p w14:paraId="543634AC" w14:textId="77777777" w:rsidR="007C6C78" w:rsidRPr="007C6C78" w:rsidRDefault="007C6C78" w:rsidP="007C6C78">
            <w:pPr>
              <w:spacing w:before="20"/>
              <w:jc w:val="both"/>
              <w:rPr>
                <w:b/>
                <w:sz w:val="16"/>
                <w:szCs w:val="16"/>
              </w:rPr>
            </w:pPr>
            <w:r w:rsidRPr="007C6C78">
              <w:rPr>
                <w:b/>
                <w:sz w:val="16"/>
                <w:szCs w:val="16"/>
              </w:rPr>
              <w:t>Household size</w:t>
            </w:r>
          </w:p>
        </w:tc>
        <w:tc>
          <w:tcPr>
            <w:tcW w:w="1134" w:type="dxa"/>
            <w:shd w:val="clear" w:color="auto" w:fill="auto"/>
            <w:vAlign w:val="center"/>
          </w:tcPr>
          <w:p w14:paraId="3E8F994E" w14:textId="77777777" w:rsidR="007C6C78" w:rsidRPr="00230801" w:rsidRDefault="007C6C78" w:rsidP="007C6C78">
            <w:pPr>
              <w:jc w:val="right"/>
              <w:rPr>
                <w:color w:val="000000"/>
                <w:sz w:val="16"/>
                <w:szCs w:val="16"/>
                <w:lang w:eastAsia="en-NZ"/>
              </w:rPr>
            </w:pPr>
          </w:p>
        </w:tc>
        <w:tc>
          <w:tcPr>
            <w:tcW w:w="1134" w:type="dxa"/>
            <w:shd w:val="clear" w:color="auto" w:fill="auto"/>
            <w:vAlign w:val="center"/>
          </w:tcPr>
          <w:p w14:paraId="25F9119D" w14:textId="77777777" w:rsidR="007C6C78" w:rsidRPr="00230801" w:rsidRDefault="007C6C78" w:rsidP="007C6C78">
            <w:pPr>
              <w:jc w:val="right"/>
              <w:rPr>
                <w:color w:val="000000"/>
                <w:sz w:val="16"/>
                <w:szCs w:val="16"/>
                <w:lang w:eastAsia="en-NZ"/>
              </w:rPr>
            </w:pPr>
          </w:p>
        </w:tc>
        <w:tc>
          <w:tcPr>
            <w:tcW w:w="850" w:type="dxa"/>
            <w:shd w:val="clear" w:color="auto" w:fill="auto"/>
            <w:vAlign w:val="center"/>
          </w:tcPr>
          <w:p w14:paraId="5F258A6D" w14:textId="77777777" w:rsidR="007C6C78" w:rsidRPr="00230801" w:rsidRDefault="007C6C78" w:rsidP="007C6C78">
            <w:pPr>
              <w:jc w:val="right"/>
              <w:rPr>
                <w:color w:val="000000"/>
                <w:sz w:val="16"/>
                <w:szCs w:val="16"/>
                <w:lang w:eastAsia="en-NZ"/>
              </w:rPr>
            </w:pPr>
          </w:p>
        </w:tc>
      </w:tr>
      <w:tr w:rsidR="007C6C78" w:rsidRPr="003F15C0" w14:paraId="11695C05" w14:textId="77777777" w:rsidTr="00036890">
        <w:tc>
          <w:tcPr>
            <w:tcW w:w="5387" w:type="dxa"/>
            <w:shd w:val="clear" w:color="auto" w:fill="auto"/>
            <w:vAlign w:val="bottom"/>
          </w:tcPr>
          <w:p w14:paraId="2D884AC8" w14:textId="77777777" w:rsidR="007C6C78" w:rsidRPr="007C6C78" w:rsidRDefault="007C6C78" w:rsidP="007C6C78">
            <w:pPr>
              <w:spacing w:before="20"/>
              <w:ind w:left="176"/>
              <w:jc w:val="both"/>
              <w:rPr>
                <w:sz w:val="16"/>
                <w:szCs w:val="16"/>
              </w:rPr>
            </w:pPr>
            <w:r w:rsidRPr="007C6C78">
              <w:rPr>
                <w:sz w:val="16"/>
                <w:szCs w:val="16"/>
              </w:rPr>
              <w:t>1</w:t>
            </w:r>
            <w:r>
              <w:rPr>
                <w:sz w:val="16"/>
                <w:szCs w:val="16"/>
              </w:rPr>
              <w:t xml:space="preserve"> </w:t>
            </w:r>
            <w:r w:rsidRPr="007C6C78">
              <w:rPr>
                <w:sz w:val="16"/>
                <w:szCs w:val="16"/>
              </w:rPr>
              <w:t>-</w:t>
            </w:r>
            <w:r>
              <w:rPr>
                <w:sz w:val="16"/>
                <w:szCs w:val="16"/>
              </w:rPr>
              <w:t xml:space="preserve"> </w:t>
            </w:r>
            <w:r w:rsidRPr="007C6C78">
              <w:rPr>
                <w:sz w:val="16"/>
                <w:szCs w:val="16"/>
              </w:rPr>
              <w:t>2</w:t>
            </w:r>
          </w:p>
        </w:tc>
        <w:tc>
          <w:tcPr>
            <w:tcW w:w="1134" w:type="dxa"/>
            <w:shd w:val="clear" w:color="auto" w:fill="auto"/>
            <w:vAlign w:val="bottom"/>
          </w:tcPr>
          <w:p w14:paraId="60A997A5" w14:textId="77777777" w:rsidR="007C6C78" w:rsidRPr="007C6C78" w:rsidRDefault="007C6C78" w:rsidP="007C6C78">
            <w:pPr>
              <w:jc w:val="right"/>
              <w:rPr>
                <w:color w:val="000000"/>
                <w:sz w:val="16"/>
                <w:szCs w:val="16"/>
                <w:lang w:eastAsia="en-NZ"/>
              </w:rPr>
            </w:pPr>
            <w:r w:rsidRPr="007C6C78">
              <w:rPr>
                <w:color w:val="000000"/>
                <w:sz w:val="16"/>
                <w:szCs w:val="16"/>
                <w:lang w:eastAsia="en-NZ"/>
              </w:rPr>
              <w:t>1.00</w:t>
            </w:r>
          </w:p>
        </w:tc>
        <w:tc>
          <w:tcPr>
            <w:tcW w:w="1134" w:type="dxa"/>
            <w:shd w:val="clear" w:color="auto" w:fill="auto"/>
            <w:vAlign w:val="bottom"/>
          </w:tcPr>
          <w:p w14:paraId="652B8F99" w14:textId="77777777" w:rsidR="007C6C78" w:rsidRPr="007C6C78" w:rsidRDefault="007C6C78" w:rsidP="007C6C78">
            <w:pPr>
              <w:jc w:val="right"/>
              <w:rPr>
                <w:color w:val="000000"/>
                <w:sz w:val="16"/>
                <w:szCs w:val="16"/>
                <w:lang w:eastAsia="en-NZ"/>
              </w:rPr>
            </w:pPr>
          </w:p>
        </w:tc>
        <w:tc>
          <w:tcPr>
            <w:tcW w:w="850" w:type="dxa"/>
            <w:shd w:val="clear" w:color="auto" w:fill="auto"/>
            <w:vAlign w:val="bottom"/>
          </w:tcPr>
          <w:p w14:paraId="5330C7AF" w14:textId="77777777" w:rsidR="007C6C78" w:rsidRPr="007C6C78" w:rsidRDefault="007C6C78" w:rsidP="007C6C78">
            <w:pPr>
              <w:jc w:val="right"/>
              <w:rPr>
                <w:color w:val="000000"/>
                <w:sz w:val="16"/>
                <w:szCs w:val="16"/>
                <w:lang w:eastAsia="en-NZ"/>
              </w:rPr>
            </w:pPr>
          </w:p>
        </w:tc>
      </w:tr>
      <w:tr w:rsidR="007C6C78" w:rsidRPr="003F15C0" w14:paraId="6681D821" w14:textId="77777777" w:rsidTr="00036890">
        <w:tc>
          <w:tcPr>
            <w:tcW w:w="5387" w:type="dxa"/>
            <w:vAlign w:val="bottom"/>
          </w:tcPr>
          <w:p w14:paraId="11FBDE52" w14:textId="77777777" w:rsidR="007C6C78" w:rsidRPr="007C6C78" w:rsidRDefault="007C6C78" w:rsidP="007C6C78">
            <w:pPr>
              <w:spacing w:before="20"/>
              <w:ind w:left="176"/>
              <w:jc w:val="both"/>
              <w:rPr>
                <w:sz w:val="16"/>
                <w:szCs w:val="16"/>
              </w:rPr>
            </w:pPr>
            <w:r w:rsidRPr="007C6C78">
              <w:rPr>
                <w:sz w:val="16"/>
                <w:szCs w:val="16"/>
              </w:rPr>
              <w:t>3</w:t>
            </w:r>
            <w:r>
              <w:rPr>
                <w:sz w:val="16"/>
                <w:szCs w:val="16"/>
              </w:rPr>
              <w:t xml:space="preserve"> </w:t>
            </w:r>
            <w:r w:rsidRPr="007C6C78">
              <w:rPr>
                <w:sz w:val="16"/>
                <w:szCs w:val="16"/>
              </w:rPr>
              <w:t>-</w:t>
            </w:r>
            <w:r>
              <w:rPr>
                <w:sz w:val="16"/>
                <w:szCs w:val="16"/>
              </w:rPr>
              <w:t xml:space="preserve"> </w:t>
            </w:r>
            <w:r w:rsidRPr="007C6C78">
              <w:rPr>
                <w:sz w:val="16"/>
                <w:szCs w:val="16"/>
              </w:rPr>
              <w:t>4</w:t>
            </w:r>
          </w:p>
        </w:tc>
        <w:tc>
          <w:tcPr>
            <w:tcW w:w="1134" w:type="dxa"/>
            <w:shd w:val="clear" w:color="auto" w:fill="auto"/>
            <w:vAlign w:val="bottom"/>
          </w:tcPr>
          <w:p w14:paraId="068CB39A" w14:textId="77777777" w:rsidR="007C6C78" w:rsidRPr="007C6C78" w:rsidRDefault="007C6C78" w:rsidP="007C6C78">
            <w:pPr>
              <w:jc w:val="right"/>
              <w:rPr>
                <w:color w:val="000000"/>
                <w:sz w:val="16"/>
                <w:szCs w:val="16"/>
                <w:lang w:eastAsia="en-NZ"/>
              </w:rPr>
            </w:pPr>
            <w:r w:rsidRPr="007C6C78">
              <w:rPr>
                <w:color w:val="000000"/>
                <w:sz w:val="16"/>
                <w:szCs w:val="16"/>
                <w:lang w:eastAsia="en-NZ"/>
              </w:rPr>
              <w:t>0.95</w:t>
            </w:r>
          </w:p>
        </w:tc>
        <w:tc>
          <w:tcPr>
            <w:tcW w:w="1134" w:type="dxa"/>
            <w:shd w:val="clear" w:color="auto" w:fill="auto"/>
            <w:vAlign w:val="bottom"/>
          </w:tcPr>
          <w:p w14:paraId="5ED2DD2E" w14:textId="77777777" w:rsidR="007C6C78" w:rsidRPr="007C6C78" w:rsidRDefault="007C6C78" w:rsidP="007C6C78">
            <w:pPr>
              <w:jc w:val="right"/>
              <w:rPr>
                <w:color w:val="000000"/>
                <w:sz w:val="16"/>
                <w:szCs w:val="16"/>
                <w:lang w:eastAsia="en-NZ"/>
              </w:rPr>
            </w:pPr>
            <w:r w:rsidRPr="007C6C78">
              <w:rPr>
                <w:color w:val="000000"/>
                <w:sz w:val="16"/>
                <w:szCs w:val="16"/>
                <w:lang w:eastAsia="en-NZ"/>
              </w:rPr>
              <w:t>(0.69, 1.31)</w:t>
            </w:r>
          </w:p>
        </w:tc>
        <w:tc>
          <w:tcPr>
            <w:tcW w:w="850" w:type="dxa"/>
            <w:shd w:val="clear" w:color="auto" w:fill="auto"/>
            <w:vAlign w:val="bottom"/>
          </w:tcPr>
          <w:p w14:paraId="5A7C1D6D" w14:textId="77777777" w:rsidR="007C6C78" w:rsidRPr="007C6C78" w:rsidRDefault="007C6C78" w:rsidP="007C6C78">
            <w:pPr>
              <w:jc w:val="right"/>
              <w:rPr>
                <w:color w:val="000000"/>
                <w:sz w:val="16"/>
                <w:szCs w:val="16"/>
                <w:lang w:eastAsia="en-NZ"/>
              </w:rPr>
            </w:pPr>
          </w:p>
        </w:tc>
      </w:tr>
      <w:tr w:rsidR="007C6C78" w:rsidRPr="003F15C0" w14:paraId="73FE821D" w14:textId="77777777" w:rsidTr="00826105">
        <w:tc>
          <w:tcPr>
            <w:tcW w:w="5387" w:type="dxa"/>
            <w:vAlign w:val="bottom"/>
          </w:tcPr>
          <w:p w14:paraId="1E4D5BA8" w14:textId="77777777" w:rsidR="007C6C78" w:rsidRPr="007C6C78" w:rsidRDefault="007C6C78" w:rsidP="007C6C78">
            <w:pPr>
              <w:spacing w:before="20"/>
              <w:ind w:left="176"/>
              <w:jc w:val="both"/>
              <w:rPr>
                <w:sz w:val="16"/>
                <w:szCs w:val="16"/>
              </w:rPr>
            </w:pPr>
            <w:r w:rsidRPr="007C6C78">
              <w:rPr>
                <w:sz w:val="16"/>
                <w:szCs w:val="16"/>
              </w:rPr>
              <w:t>5+</w:t>
            </w:r>
          </w:p>
        </w:tc>
        <w:tc>
          <w:tcPr>
            <w:tcW w:w="1134" w:type="dxa"/>
            <w:shd w:val="clear" w:color="auto" w:fill="auto"/>
            <w:vAlign w:val="bottom"/>
          </w:tcPr>
          <w:p w14:paraId="18C20491" w14:textId="77777777" w:rsidR="007C6C78" w:rsidRPr="007C6C78" w:rsidRDefault="007C6C78" w:rsidP="007C6C78">
            <w:pPr>
              <w:jc w:val="right"/>
              <w:rPr>
                <w:color w:val="000000"/>
                <w:sz w:val="16"/>
                <w:szCs w:val="16"/>
                <w:lang w:eastAsia="en-NZ"/>
              </w:rPr>
            </w:pPr>
            <w:r w:rsidRPr="007C6C78">
              <w:rPr>
                <w:color w:val="000000"/>
                <w:sz w:val="16"/>
                <w:szCs w:val="16"/>
                <w:lang w:eastAsia="en-NZ"/>
              </w:rPr>
              <w:t>0.58</w:t>
            </w:r>
          </w:p>
        </w:tc>
        <w:tc>
          <w:tcPr>
            <w:tcW w:w="1134" w:type="dxa"/>
            <w:shd w:val="clear" w:color="auto" w:fill="auto"/>
            <w:vAlign w:val="bottom"/>
          </w:tcPr>
          <w:p w14:paraId="6635DB8E" w14:textId="77777777" w:rsidR="007C6C78" w:rsidRPr="007C6C78" w:rsidRDefault="007C6C78" w:rsidP="007C6C78">
            <w:pPr>
              <w:jc w:val="right"/>
              <w:rPr>
                <w:color w:val="000000"/>
                <w:sz w:val="16"/>
                <w:szCs w:val="16"/>
                <w:lang w:eastAsia="en-NZ"/>
              </w:rPr>
            </w:pPr>
            <w:r w:rsidRPr="007C6C78">
              <w:rPr>
                <w:color w:val="000000"/>
                <w:sz w:val="16"/>
                <w:szCs w:val="16"/>
                <w:lang w:eastAsia="en-NZ"/>
              </w:rPr>
              <w:t>(0.38, 0.88)</w:t>
            </w:r>
          </w:p>
        </w:tc>
        <w:tc>
          <w:tcPr>
            <w:tcW w:w="850" w:type="dxa"/>
            <w:shd w:val="clear" w:color="auto" w:fill="auto"/>
            <w:vAlign w:val="bottom"/>
          </w:tcPr>
          <w:p w14:paraId="3B34CF39" w14:textId="77777777" w:rsidR="007C6C78" w:rsidRPr="007C6C78" w:rsidRDefault="007C6C78" w:rsidP="007C6C78">
            <w:pPr>
              <w:jc w:val="right"/>
              <w:rPr>
                <w:color w:val="000000"/>
                <w:sz w:val="16"/>
                <w:szCs w:val="16"/>
                <w:lang w:eastAsia="en-NZ"/>
              </w:rPr>
            </w:pPr>
            <w:r w:rsidRPr="007C6C78">
              <w:rPr>
                <w:color w:val="000000"/>
                <w:sz w:val="16"/>
                <w:szCs w:val="16"/>
                <w:lang w:eastAsia="en-NZ"/>
              </w:rPr>
              <w:t>0.04</w:t>
            </w:r>
          </w:p>
        </w:tc>
      </w:tr>
      <w:tr w:rsidR="007C6C78" w:rsidRPr="003F15C0" w14:paraId="6248121D" w14:textId="77777777" w:rsidTr="00036890">
        <w:tc>
          <w:tcPr>
            <w:tcW w:w="5387" w:type="dxa"/>
          </w:tcPr>
          <w:p w14:paraId="05D28C86" w14:textId="77777777" w:rsidR="007C6C78" w:rsidRPr="007C6C78" w:rsidRDefault="007C6C78" w:rsidP="005B7477">
            <w:pPr>
              <w:spacing w:before="20"/>
              <w:jc w:val="both"/>
              <w:rPr>
                <w:b/>
                <w:sz w:val="16"/>
                <w:szCs w:val="16"/>
              </w:rPr>
            </w:pPr>
            <w:r w:rsidRPr="007C6C78">
              <w:rPr>
                <w:b/>
                <w:sz w:val="16"/>
                <w:szCs w:val="16"/>
              </w:rPr>
              <w:t xml:space="preserve">Number of </w:t>
            </w:r>
            <w:r w:rsidR="005B7477">
              <w:rPr>
                <w:b/>
                <w:sz w:val="16"/>
                <w:szCs w:val="16"/>
              </w:rPr>
              <w:t>major</w:t>
            </w:r>
            <w:r w:rsidRPr="007C6C78">
              <w:rPr>
                <w:b/>
                <w:sz w:val="16"/>
                <w:szCs w:val="16"/>
              </w:rPr>
              <w:t xml:space="preserve"> life events</w:t>
            </w:r>
          </w:p>
        </w:tc>
        <w:tc>
          <w:tcPr>
            <w:tcW w:w="1134" w:type="dxa"/>
            <w:shd w:val="clear" w:color="auto" w:fill="auto"/>
            <w:vAlign w:val="center"/>
          </w:tcPr>
          <w:p w14:paraId="79659910" w14:textId="77777777" w:rsidR="007C6C78" w:rsidRPr="00230801" w:rsidRDefault="007C6C78" w:rsidP="007C6C78">
            <w:pPr>
              <w:jc w:val="right"/>
              <w:rPr>
                <w:color w:val="000000"/>
                <w:sz w:val="16"/>
                <w:szCs w:val="16"/>
                <w:lang w:eastAsia="en-NZ"/>
              </w:rPr>
            </w:pPr>
          </w:p>
        </w:tc>
        <w:tc>
          <w:tcPr>
            <w:tcW w:w="1134" w:type="dxa"/>
            <w:shd w:val="clear" w:color="auto" w:fill="auto"/>
            <w:vAlign w:val="center"/>
          </w:tcPr>
          <w:p w14:paraId="49ADF758" w14:textId="77777777" w:rsidR="007C6C78" w:rsidRPr="00230801" w:rsidRDefault="007C6C78" w:rsidP="007C6C78">
            <w:pPr>
              <w:jc w:val="right"/>
              <w:rPr>
                <w:color w:val="000000"/>
                <w:sz w:val="16"/>
                <w:szCs w:val="16"/>
                <w:lang w:eastAsia="en-NZ"/>
              </w:rPr>
            </w:pPr>
          </w:p>
        </w:tc>
        <w:tc>
          <w:tcPr>
            <w:tcW w:w="850" w:type="dxa"/>
            <w:shd w:val="clear" w:color="auto" w:fill="auto"/>
            <w:vAlign w:val="center"/>
          </w:tcPr>
          <w:p w14:paraId="31F6C09D" w14:textId="77777777" w:rsidR="007C6C78" w:rsidRPr="00230801" w:rsidRDefault="007C6C78" w:rsidP="007C6C78">
            <w:pPr>
              <w:jc w:val="right"/>
              <w:rPr>
                <w:color w:val="000000"/>
                <w:sz w:val="16"/>
                <w:szCs w:val="16"/>
                <w:lang w:eastAsia="en-NZ"/>
              </w:rPr>
            </w:pPr>
          </w:p>
        </w:tc>
      </w:tr>
      <w:tr w:rsidR="007C6C78" w:rsidRPr="003F15C0" w14:paraId="5747E01B" w14:textId="77777777" w:rsidTr="00036890">
        <w:tc>
          <w:tcPr>
            <w:tcW w:w="5387" w:type="dxa"/>
            <w:shd w:val="clear" w:color="auto" w:fill="auto"/>
            <w:vAlign w:val="bottom"/>
          </w:tcPr>
          <w:p w14:paraId="01EBBC87" w14:textId="77777777" w:rsidR="007C6C78" w:rsidRPr="007C6C78" w:rsidRDefault="007C6C78" w:rsidP="007C6C78">
            <w:pPr>
              <w:spacing w:before="20"/>
              <w:ind w:left="176"/>
              <w:jc w:val="both"/>
              <w:rPr>
                <w:sz w:val="16"/>
                <w:szCs w:val="16"/>
              </w:rPr>
            </w:pPr>
            <w:r w:rsidRPr="007C6C78">
              <w:rPr>
                <w:sz w:val="16"/>
                <w:szCs w:val="16"/>
              </w:rPr>
              <w:t>0</w:t>
            </w:r>
          </w:p>
        </w:tc>
        <w:tc>
          <w:tcPr>
            <w:tcW w:w="1134" w:type="dxa"/>
            <w:shd w:val="clear" w:color="auto" w:fill="auto"/>
            <w:vAlign w:val="bottom"/>
          </w:tcPr>
          <w:p w14:paraId="4BAC404A" w14:textId="77777777" w:rsidR="007C6C78" w:rsidRPr="007C6C78" w:rsidRDefault="007C6C78" w:rsidP="007C6C78">
            <w:pPr>
              <w:jc w:val="right"/>
              <w:rPr>
                <w:color w:val="000000"/>
                <w:sz w:val="16"/>
                <w:szCs w:val="16"/>
                <w:lang w:eastAsia="en-NZ"/>
              </w:rPr>
            </w:pPr>
            <w:r w:rsidRPr="007C6C78">
              <w:rPr>
                <w:color w:val="000000"/>
                <w:sz w:val="16"/>
                <w:szCs w:val="16"/>
                <w:lang w:eastAsia="en-NZ"/>
              </w:rPr>
              <w:t>1.00</w:t>
            </w:r>
          </w:p>
        </w:tc>
        <w:tc>
          <w:tcPr>
            <w:tcW w:w="1134" w:type="dxa"/>
            <w:shd w:val="clear" w:color="auto" w:fill="auto"/>
            <w:vAlign w:val="bottom"/>
          </w:tcPr>
          <w:p w14:paraId="2A2B2809" w14:textId="77777777" w:rsidR="007C6C78" w:rsidRPr="007C6C78" w:rsidRDefault="007C6C78" w:rsidP="007C6C78">
            <w:pPr>
              <w:jc w:val="right"/>
              <w:rPr>
                <w:color w:val="000000"/>
                <w:sz w:val="16"/>
                <w:szCs w:val="16"/>
                <w:lang w:eastAsia="en-NZ"/>
              </w:rPr>
            </w:pPr>
          </w:p>
        </w:tc>
        <w:tc>
          <w:tcPr>
            <w:tcW w:w="850" w:type="dxa"/>
            <w:shd w:val="clear" w:color="auto" w:fill="auto"/>
            <w:vAlign w:val="bottom"/>
          </w:tcPr>
          <w:p w14:paraId="54ABA0E2" w14:textId="77777777" w:rsidR="007C6C78" w:rsidRPr="00C32FE5" w:rsidRDefault="007C6C78" w:rsidP="007C6C78">
            <w:pPr>
              <w:jc w:val="center"/>
              <w:rPr>
                <w:szCs w:val="20"/>
                <w:lang w:eastAsia="en-NZ"/>
              </w:rPr>
            </w:pPr>
          </w:p>
        </w:tc>
      </w:tr>
      <w:tr w:rsidR="007C6C78" w:rsidRPr="003F15C0" w14:paraId="14592BB4" w14:textId="77777777" w:rsidTr="00036890">
        <w:tc>
          <w:tcPr>
            <w:tcW w:w="5387" w:type="dxa"/>
            <w:shd w:val="clear" w:color="auto" w:fill="auto"/>
            <w:vAlign w:val="bottom"/>
          </w:tcPr>
          <w:p w14:paraId="7B6D5C1F" w14:textId="77777777" w:rsidR="007C6C78" w:rsidRPr="007C6C78" w:rsidRDefault="007C6C78" w:rsidP="007C6C78">
            <w:pPr>
              <w:spacing w:before="20"/>
              <w:ind w:left="176"/>
              <w:jc w:val="both"/>
              <w:rPr>
                <w:sz w:val="16"/>
                <w:szCs w:val="16"/>
              </w:rPr>
            </w:pPr>
            <w:r w:rsidRPr="007C6C78">
              <w:rPr>
                <w:sz w:val="16"/>
                <w:szCs w:val="16"/>
              </w:rPr>
              <w:t>1</w:t>
            </w:r>
          </w:p>
        </w:tc>
        <w:tc>
          <w:tcPr>
            <w:tcW w:w="1134" w:type="dxa"/>
            <w:shd w:val="clear" w:color="auto" w:fill="auto"/>
            <w:vAlign w:val="bottom"/>
          </w:tcPr>
          <w:p w14:paraId="2D741C2E" w14:textId="77777777" w:rsidR="007C6C78" w:rsidRPr="007C6C78" w:rsidRDefault="007C6C78" w:rsidP="007C6C78">
            <w:pPr>
              <w:jc w:val="right"/>
              <w:rPr>
                <w:color w:val="000000"/>
                <w:sz w:val="16"/>
                <w:szCs w:val="16"/>
                <w:lang w:eastAsia="en-NZ"/>
              </w:rPr>
            </w:pPr>
            <w:r w:rsidRPr="007C6C78">
              <w:rPr>
                <w:color w:val="000000"/>
                <w:sz w:val="16"/>
                <w:szCs w:val="16"/>
                <w:lang w:eastAsia="en-NZ"/>
              </w:rPr>
              <w:t>1.02</w:t>
            </w:r>
          </w:p>
        </w:tc>
        <w:tc>
          <w:tcPr>
            <w:tcW w:w="1134" w:type="dxa"/>
            <w:shd w:val="clear" w:color="auto" w:fill="auto"/>
            <w:vAlign w:val="bottom"/>
          </w:tcPr>
          <w:p w14:paraId="5A69E18F" w14:textId="77777777" w:rsidR="007C6C78" w:rsidRPr="007C6C78" w:rsidRDefault="007C6C78" w:rsidP="007C6C78">
            <w:pPr>
              <w:jc w:val="right"/>
              <w:rPr>
                <w:color w:val="000000"/>
                <w:sz w:val="16"/>
                <w:szCs w:val="16"/>
                <w:lang w:eastAsia="en-NZ"/>
              </w:rPr>
            </w:pPr>
            <w:r w:rsidRPr="007C6C78">
              <w:rPr>
                <w:color w:val="000000"/>
                <w:sz w:val="16"/>
                <w:szCs w:val="16"/>
                <w:lang w:eastAsia="en-NZ"/>
              </w:rPr>
              <w:t>(0.84, 1.24)</w:t>
            </w:r>
          </w:p>
        </w:tc>
        <w:tc>
          <w:tcPr>
            <w:tcW w:w="850" w:type="dxa"/>
            <w:shd w:val="clear" w:color="auto" w:fill="auto"/>
            <w:vAlign w:val="bottom"/>
          </w:tcPr>
          <w:p w14:paraId="2AFF046A" w14:textId="77777777" w:rsidR="007C6C78" w:rsidRPr="00C32FE5" w:rsidRDefault="007C6C78" w:rsidP="007C6C78">
            <w:pPr>
              <w:jc w:val="center"/>
              <w:rPr>
                <w:rFonts w:ascii="Calibri" w:hAnsi="Calibri"/>
                <w:color w:val="000000"/>
                <w:lang w:eastAsia="en-NZ"/>
              </w:rPr>
            </w:pPr>
          </w:p>
        </w:tc>
      </w:tr>
      <w:tr w:rsidR="007C6C78" w:rsidRPr="003F15C0" w14:paraId="2028DF34" w14:textId="77777777" w:rsidTr="00036890">
        <w:tc>
          <w:tcPr>
            <w:tcW w:w="5387" w:type="dxa"/>
            <w:shd w:val="clear" w:color="auto" w:fill="auto"/>
            <w:vAlign w:val="bottom"/>
          </w:tcPr>
          <w:p w14:paraId="3BEE6006" w14:textId="77777777" w:rsidR="007C6C78" w:rsidRPr="007C6C78" w:rsidRDefault="007C6C78" w:rsidP="007C6C78">
            <w:pPr>
              <w:spacing w:before="20"/>
              <w:ind w:left="176"/>
              <w:jc w:val="both"/>
              <w:rPr>
                <w:sz w:val="16"/>
                <w:szCs w:val="16"/>
              </w:rPr>
            </w:pPr>
            <w:r w:rsidRPr="007C6C78">
              <w:rPr>
                <w:sz w:val="16"/>
                <w:szCs w:val="16"/>
              </w:rPr>
              <w:t>2</w:t>
            </w:r>
          </w:p>
        </w:tc>
        <w:tc>
          <w:tcPr>
            <w:tcW w:w="1134" w:type="dxa"/>
            <w:shd w:val="clear" w:color="auto" w:fill="auto"/>
            <w:vAlign w:val="bottom"/>
          </w:tcPr>
          <w:p w14:paraId="42E69288" w14:textId="77777777" w:rsidR="007C6C78" w:rsidRPr="007C6C78" w:rsidRDefault="007C6C78" w:rsidP="007C6C78">
            <w:pPr>
              <w:jc w:val="right"/>
              <w:rPr>
                <w:color w:val="000000"/>
                <w:sz w:val="16"/>
                <w:szCs w:val="16"/>
                <w:lang w:eastAsia="en-NZ"/>
              </w:rPr>
            </w:pPr>
            <w:r w:rsidRPr="007C6C78">
              <w:rPr>
                <w:color w:val="000000"/>
                <w:sz w:val="16"/>
                <w:szCs w:val="16"/>
                <w:lang w:eastAsia="en-NZ"/>
              </w:rPr>
              <w:t>1.06</w:t>
            </w:r>
          </w:p>
        </w:tc>
        <w:tc>
          <w:tcPr>
            <w:tcW w:w="1134" w:type="dxa"/>
            <w:shd w:val="clear" w:color="auto" w:fill="auto"/>
            <w:vAlign w:val="bottom"/>
          </w:tcPr>
          <w:p w14:paraId="229048C5" w14:textId="77777777" w:rsidR="007C6C78" w:rsidRPr="007C6C78" w:rsidRDefault="007C6C78" w:rsidP="007C6C78">
            <w:pPr>
              <w:jc w:val="right"/>
              <w:rPr>
                <w:color w:val="000000"/>
                <w:sz w:val="16"/>
                <w:szCs w:val="16"/>
                <w:lang w:eastAsia="en-NZ"/>
              </w:rPr>
            </w:pPr>
            <w:r w:rsidRPr="007C6C78">
              <w:rPr>
                <w:color w:val="000000"/>
                <w:sz w:val="16"/>
                <w:szCs w:val="16"/>
                <w:lang w:eastAsia="en-NZ"/>
              </w:rPr>
              <w:t>(0.85, 1.33)</w:t>
            </w:r>
          </w:p>
        </w:tc>
        <w:tc>
          <w:tcPr>
            <w:tcW w:w="850" w:type="dxa"/>
            <w:shd w:val="clear" w:color="auto" w:fill="auto"/>
            <w:vAlign w:val="bottom"/>
          </w:tcPr>
          <w:p w14:paraId="14446D7C" w14:textId="77777777" w:rsidR="007C6C78" w:rsidRPr="00C32FE5" w:rsidRDefault="007C6C78" w:rsidP="007C6C78">
            <w:pPr>
              <w:jc w:val="center"/>
              <w:rPr>
                <w:rFonts w:ascii="Calibri" w:hAnsi="Calibri"/>
                <w:color w:val="000000"/>
                <w:lang w:eastAsia="en-NZ"/>
              </w:rPr>
            </w:pPr>
          </w:p>
        </w:tc>
      </w:tr>
      <w:tr w:rsidR="007C6C78" w:rsidRPr="003F15C0" w14:paraId="33850BF6" w14:textId="77777777" w:rsidTr="00036890">
        <w:tc>
          <w:tcPr>
            <w:tcW w:w="5387" w:type="dxa"/>
            <w:shd w:val="clear" w:color="auto" w:fill="auto"/>
            <w:vAlign w:val="bottom"/>
          </w:tcPr>
          <w:p w14:paraId="5B07875C" w14:textId="77777777" w:rsidR="007C6C78" w:rsidRPr="007C6C78" w:rsidRDefault="007C6C78" w:rsidP="007C6C78">
            <w:pPr>
              <w:spacing w:before="20"/>
              <w:ind w:left="176"/>
              <w:jc w:val="both"/>
              <w:rPr>
                <w:sz w:val="16"/>
                <w:szCs w:val="16"/>
              </w:rPr>
            </w:pPr>
            <w:r w:rsidRPr="007C6C78">
              <w:rPr>
                <w:sz w:val="16"/>
                <w:szCs w:val="16"/>
              </w:rPr>
              <w:t>3</w:t>
            </w:r>
          </w:p>
        </w:tc>
        <w:tc>
          <w:tcPr>
            <w:tcW w:w="1134" w:type="dxa"/>
            <w:shd w:val="clear" w:color="auto" w:fill="auto"/>
            <w:vAlign w:val="bottom"/>
          </w:tcPr>
          <w:p w14:paraId="4AE0BA79" w14:textId="77777777" w:rsidR="007C6C78" w:rsidRPr="007C6C78" w:rsidRDefault="007C6C78" w:rsidP="007C6C78">
            <w:pPr>
              <w:jc w:val="right"/>
              <w:rPr>
                <w:color w:val="000000"/>
                <w:sz w:val="16"/>
                <w:szCs w:val="16"/>
                <w:lang w:eastAsia="en-NZ"/>
              </w:rPr>
            </w:pPr>
            <w:r w:rsidRPr="007C6C78">
              <w:rPr>
                <w:color w:val="000000"/>
                <w:sz w:val="16"/>
                <w:szCs w:val="16"/>
                <w:lang w:eastAsia="en-NZ"/>
              </w:rPr>
              <w:t>1.59</w:t>
            </w:r>
          </w:p>
        </w:tc>
        <w:tc>
          <w:tcPr>
            <w:tcW w:w="1134" w:type="dxa"/>
            <w:shd w:val="clear" w:color="auto" w:fill="auto"/>
            <w:vAlign w:val="bottom"/>
          </w:tcPr>
          <w:p w14:paraId="2A5E9CEF" w14:textId="77777777" w:rsidR="007C6C78" w:rsidRPr="007C6C78" w:rsidRDefault="007C6C78" w:rsidP="007C6C78">
            <w:pPr>
              <w:jc w:val="right"/>
              <w:rPr>
                <w:color w:val="000000"/>
                <w:sz w:val="16"/>
                <w:szCs w:val="16"/>
                <w:lang w:eastAsia="en-NZ"/>
              </w:rPr>
            </w:pPr>
            <w:r w:rsidRPr="007C6C78">
              <w:rPr>
                <w:color w:val="000000"/>
                <w:sz w:val="16"/>
                <w:szCs w:val="16"/>
                <w:lang w:eastAsia="en-NZ"/>
              </w:rPr>
              <w:t>(1.22, 2.08)</w:t>
            </w:r>
          </w:p>
        </w:tc>
        <w:tc>
          <w:tcPr>
            <w:tcW w:w="850" w:type="dxa"/>
            <w:shd w:val="clear" w:color="auto" w:fill="auto"/>
            <w:vAlign w:val="bottom"/>
          </w:tcPr>
          <w:p w14:paraId="0AB742A9" w14:textId="77777777" w:rsidR="007C6C78" w:rsidRPr="00C32FE5" w:rsidRDefault="007C6C78" w:rsidP="007C6C78">
            <w:pPr>
              <w:jc w:val="center"/>
              <w:rPr>
                <w:rFonts w:ascii="Calibri" w:hAnsi="Calibri"/>
                <w:color w:val="000000"/>
                <w:lang w:eastAsia="en-NZ"/>
              </w:rPr>
            </w:pPr>
          </w:p>
        </w:tc>
      </w:tr>
      <w:tr w:rsidR="007C6C78" w:rsidRPr="003F15C0" w14:paraId="4DD2359B" w14:textId="77777777" w:rsidTr="00826105">
        <w:tc>
          <w:tcPr>
            <w:tcW w:w="5387" w:type="dxa"/>
            <w:tcBorders>
              <w:bottom w:val="single" w:sz="4" w:space="0" w:color="auto"/>
            </w:tcBorders>
            <w:shd w:val="clear" w:color="auto" w:fill="auto"/>
            <w:vAlign w:val="bottom"/>
          </w:tcPr>
          <w:p w14:paraId="1228A98C" w14:textId="77777777" w:rsidR="007C6C78" w:rsidRPr="007C6C78" w:rsidRDefault="007C6C78" w:rsidP="007C6C78">
            <w:pPr>
              <w:spacing w:before="20"/>
              <w:ind w:left="176"/>
              <w:jc w:val="both"/>
              <w:rPr>
                <w:sz w:val="16"/>
                <w:szCs w:val="16"/>
              </w:rPr>
            </w:pPr>
            <w:r w:rsidRPr="007C6C78">
              <w:rPr>
                <w:sz w:val="16"/>
                <w:szCs w:val="16"/>
              </w:rPr>
              <w:t>4+</w:t>
            </w:r>
          </w:p>
        </w:tc>
        <w:tc>
          <w:tcPr>
            <w:tcW w:w="1134" w:type="dxa"/>
            <w:tcBorders>
              <w:bottom w:val="single" w:sz="4" w:space="0" w:color="auto"/>
            </w:tcBorders>
            <w:shd w:val="clear" w:color="auto" w:fill="auto"/>
            <w:vAlign w:val="bottom"/>
          </w:tcPr>
          <w:p w14:paraId="3CFD16C8" w14:textId="77777777" w:rsidR="007C6C78" w:rsidRPr="007C6C78" w:rsidRDefault="007C6C78" w:rsidP="007C6C78">
            <w:pPr>
              <w:jc w:val="right"/>
              <w:rPr>
                <w:color w:val="000000"/>
                <w:sz w:val="16"/>
                <w:szCs w:val="16"/>
                <w:lang w:eastAsia="en-NZ"/>
              </w:rPr>
            </w:pPr>
            <w:r w:rsidRPr="007C6C78">
              <w:rPr>
                <w:color w:val="000000"/>
                <w:sz w:val="16"/>
                <w:szCs w:val="16"/>
                <w:lang w:eastAsia="en-NZ"/>
              </w:rPr>
              <w:t>1.41</w:t>
            </w:r>
          </w:p>
        </w:tc>
        <w:tc>
          <w:tcPr>
            <w:tcW w:w="1134" w:type="dxa"/>
            <w:tcBorders>
              <w:bottom w:val="single" w:sz="4" w:space="0" w:color="auto"/>
            </w:tcBorders>
            <w:shd w:val="clear" w:color="auto" w:fill="auto"/>
            <w:vAlign w:val="bottom"/>
          </w:tcPr>
          <w:p w14:paraId="545FD5F7" w14:textId="77777777" w:rsidR="007C6C78" w:rsidRPr="007C6C78" w:rsidRDefault="007C6C78" w:rsidP="007C6C78">
            <w:pPr>
              <w:jc w:val="right"/>
              <w:rPr>
                <w:color w:val="000000"/>
                <w:sz w:val="16"/>
                <w:szCs w:val="16"/>
                <w:lang w:eastAsia="en-NZ"/>
              </w:rPr>
            </w:pPr>
            <w:r w:rsidRPr="007C6C78">
              <w:rPr>
                <w:color w:val="000000"/>
                <w:sz w:val="16"/>
                <w:szCs w:val="16"/>
                <w:lang w:eastAsia="en-NZ"/>
              </w:rPr>
              <w:t>(1.07, 1.86)</w:t>
            </w:r>
          </w:p>
        </w:tc>
        <w:tc>
          <w:tcPr>
            <w:tcW w:w="850" w:type="dxa"/>
            <w:tcBorders>
              <w:bottom w:val="single" w:sz="4" w:space="0" w:color="auto"/>
            </w:tcBorders>
            <w:shd w:val="clear" w:color="auto" w:fill="auto"/>
            <w:vAlign w:val="bottom"/>
          </w:tcPr>
          <w:p w14:paraId="7BA0405D" w14:textId="77777777" w:rsidR="007C6C78" w:rsidRPr="007C6C78" w:rsidRDefault="007C6C78" w:rsidP="007C6C78">
            <w:pPr>
              <w:jc w:val="right"/>
              <w:rPr>
                <w:color w:val="000000"/>
                <w:sz w:val="16"/>
                <w:szCs w:val="16"/>
                <w:lang w:eastAsia="en-NZ"/>
              </w:rPr>
            </w:pPr>
            <w:r w:rsidRPr="007C6C78">
              <w:rPr>
                <w:color w:val="000000"/>
                <w:sz w:val="16"/>
                <w:szCs w:val="16"/>
                <w:lang w:eastAsia="en-NZ"/>
              </w:rPr>
              <w:t>0.002</w:t>
            </w:r>
          </w:p>
        </w:tc>
      </w:tr>
      <w:tr w:rsidR="007C6C78" w:rsidRPr="003F15C0" w14:paraId="625D76F2" w14:textId="77777777" w:rsidTr="00036890">
        <w:tc>
          <w:tcPr>
            <w:tcW w:w="5387" w:type="dxa"/>
            <w:tcBorders>
              <w:top w:val="single" w:sz="4" w:space="0" w:color="auto"/>
            </w:tcBorders>
            <w:shd w:val="clear" w:color="auto" w:fill="auto"/>
          </w:tcPr>
          <w:p w14:paraId="145F6509" w14:textId="77777777" w:rsidR="007C6C78" w:rsidRPr="007C6C78" w:rsidRDefault="007C6C78" w:rsidP="007C6C78">
            <w:pPr>
              <w:keepNext/>
              <w:spacing w:before="20"/>
              <w:jc w:val="both"/>
              <w:rPr>
                <w:b/>
                <w:sz w:val="16"/>
                <w:szCs w:val="16"/>
              </w:rPr>
            </w:pPr>
            <w:r w:rsidRPr="007C6C78">
              <w:rPr>
                <w:b/>
                <w:sz w:val="16"/>
                <w:szCs w:val="16"/>
              </w:rPr>
              <w:t>Psychological distress (Kessler-10)</w:t>
            </w:r>
          </w:p>
        </w:tc>
        <w:tc>
          <w:tcPr>
            <w:tcW w:w="1134" w:type="dxa"/>
            <w:tcBorders>
              <w:top w:val="single" w:sz="4" w:space="0" w:color="auto"/>
            </w:tcBorders>
            <w:shd w:val="clear" w:color="auto" w:fill="auto"/>
            <w:vAlign w:val="center"/>
          </w:tcPr>
          <w:p w14:paraId="2AB3C910" w14:textId="77777777" w:rsidR="007C6C78" w:rsidRPr="00AA4E6C" w:rsidRDefault="007C6C78" w:rsidP="007C6C78">
            <w:pPr>
              <w:keepNext/>
              <w:jc w:val="right"/>
              <w:rPr>
                <w:color w:val="000000"/>
                <w:sz w:val="16"/>
                <w:szCs w:val="20"/>
                <w:lang w:eastAsia="en-NZ"/>
              </w:rPr>
            </w:pPr>
          </w:p>
        </w:tc>
        <w:tc>
          <w:tcPr>
            <w:tcW w:w="1134" w:type="dxa"/>
            <w:tcBorders>
              <w:top w:val="single" w:sz="4" w:space="0" w:color="auto"/>
            </w:tcBorders>
            <w:shd w:val="clear" w:color="auto" w:fill="auto"/>
            <w:vAlign w:val="center"/>
          </w:tcPr>
          <w:p w14:paraId="4E352688" w14:textId="77777777" w:rsidR="007C6C78" w:rsidRPr="00AA4E6C" w:rsidRDefault="007C6C78" w:rsidP="007C6C78">
            <w:pPr>
              <w:keepNext/>
              <w:jc w:val="right"/>
              <w:rPr>
                <w:color w:val="000000"/>
                <w:sz w:val="16"/>
                <w:szCs w:val="20"/>
                <w:lang w:eastAsia="en-NZ"/>
              </w:rPr>
            </w:pPr>
          </w:p>
        </w:tc>
        <w:tc>
          <w:tcPr>
            <w:tcW w:w="850" w:type="dxa"/>
            <w:tcBorders>
              <w:top w:val="single" w:sz="4" w:space="0" w:color="auto"/>
            </w:tcBorders>
            <w:shd w:val="clear" w:color="auto" w:fill="auto"/>
            <w:vAlign w:val="center"/>
          </w:tcPr>
          <w:p w14:paraId="68140054" w14:textId="77777777" w:rsidR="007C6C78" w:rsidRPr="00AA4E6C" w:rsidRDefault="007C6C78" w:rsidP="007C6C78">
            <w:pPr>
              <w:keepNext/>
              <w:jc w:val="right"/>
              <w:rPr>
                <w:color w:val="000000"/>
                <w:sz w:val="16"/>
                <w:szCs w:val="20"/>
                <w:lang w:eastAsia="en-NZ"/>
              </w:rPr>
            </w:pPr>
          </w:p>
        </w:tc>
      </w:tr>
      <w:tr w:rsidR="00152900" w:rsidRPr="003F15C0" w14:paraId="6860CD04" w14:textId="77777777" w:rsidTr="00036890">
        <w:tc>
          <w:tcPr>
            <w:tcW w:w="5387" w:type="dxa"/>
            <w:shd w:val="clear" w:color="auto" w:fill="auto"/>
            <w:vAlign w:val="bottom"/>
          </w:tcPr>
          <w:p w14:paraId="36A9195A" w14:textId="77777777" w:rsidR="00152900" w:rsidRPr="007C6C78" w:rsidRDefault="00152900" w:rsidP="00152900">
            <w:pPr>
              <w:keepNext/>
              <w:spacing w:before="20"/>
              <w:ind w:left="176"/>
              <w:jc w:val="both"/>
              <w:rPr>
                <w:sz w:val="16"/>
                <w:szCs w:val="16"/>
              </w:rPr>
            </w:pPr>
            <w:r>
              <w:rPr>
                <w:sz w:val="16"/>
                <w:szCs w:val="16"/>
              </w:rPr>
              <w:t xml:space="preserve">Low (Score </w:t>
            </w:r>
            <w:r w:rsidRPr="007C6C78">
              <w:rPr>
                <w:sz w:val="16"/>
                <w:szCs w:val="16"/>
              </w:rPr>
              <w:t>0</w:t>
            </w:r>
            <w:r>
              <w:rPr>
                <w:sz w:val="16"/>
                <w:szCs w:val="16"/>
              </w:rPr>
              <w:t xml:space="preserve"> </w:t>
            </w:r>
            <w:r w:rsidRPr="007C6C78">
              <w:rPr>
                <w:sz w:val="16"/>
                <w:szCs w:val="16"/>
              </w:rPr>
              <w:t>-</w:t>
            </w:r>
            <w:r>
              <w:rPr>
                <w:sz w:val="16"/>
                <w:szCs w:val="16"/>
              </w:rPr>
              <w:t xml:space="preserve"> </w:t>
            </w:r>
            <w:r w:rsidRPr="007C6C78">
              <w:rPr>
                <w:sz w:val="16"/>
                <w:szCs w:val="16"/>
              </w:rPr>
              <w:t>5</w:t>
            </w:r>
            <w:r>
              <w:rPr>
                <w:sz w:val="16"/>
                <w:szCs w:val="16"/>
              </w:rPr>
              <w:t>)</w:t>
            </w:r>
          </w:p>
        </w:tc>
        <w:tc>
          <w:tcPr>
            <w:tcW w:w="1134" w:type="dxa"/>
            <w:shd w:val="clear" w:color="auto" w:fill="auto"/>
            <w:vAlign w:val="bottom"/>
          </w:tcPr>
          <w:p w14:paraId="103E59B4" w14:textId="77777777" w:rsidR="00152900" w:rsidRPr="007C6C78" w:rsidRDefault="00152900" w:rsidP="00152900">
            <w:pPr>
              <w:keepNext/>
              <w:jc w:val="right"/>
              <w:rPr>
                <w:color w:val="000000"/>
                <w:sz w:val="16"/>
                <w:szCs w:val="16"/>
                <w:lang w:eastAsia="en-NZ"/>
              </w:rPr>
            </w:pPr>
            <w:r w:rsidRPr="007C6C78">
              <w:rPr>
                <w:color w:val="000000"/>
                <w:sz w:val="16"/>
                <w:szCs w:val="16"/>
                <w:lang w:eastAsia="en-NZ"/>
              </w:rPr>
              <w:t>1.00</w:t>
            </w:r>
          </w:p>
        </w:tc>
        <w:tc>
          <w:tcPr>
            <w:tcW w:w="1134" w:type="dxa"/>
            <w:shd w:val="clear" w:color="auto" w:fill="auto"/>
            <w:vAlign w:val="bottom"/>
          </w:tcPr>
          <w:p w14:paraId="43041739" w14:textId="77777777" w:rsidR="00152900" w:rsidRPr="007C6C78" w:rsidRDefault="00152900" w:rsidP="00152900">
            <w:pPr>
              <w:keepNext/>
              <w:jc w:val="right"/>
              <w:rPr>
                <w:color w:val="000000"/>
                <w:sz w:val="16"/>
                <w:szCs w:val="16"/>
                <w:lang w:eastAsia="en-NZ"/>
              </w:rPr>
            </w:pPr>
          </w:p>
        </w:tc>
        <w:tc>
          <w:tcPr>
            <w:tcW w:w="850" w:type="dxa"/>
            <w:shd w:val="clear" w:color="auto" w:fill="auto"/>
            <w:vAlign w:val="bottom"/>
          </w:tcPr>
          <w:p w14:paraId="0EFBAE77" w14:textId="77777777" w:rsidR="00152900" w:rsidRPr="007C6C78" w:rsidRDefault="00152900" w:rsidP="00152900">
            <w:pPr>
              <w:keepNext/>
              <w:jc w:val="right"/>
              <w:rPr>
                <w:color w:val="000000"/>
                <w:sz w:val="16"/>
                <w:szCs w:val="16"/>
                <w:lang w:eastAsia="en-NZ"/>
              </w:rPr>
            </w:pPr>
          </w:p>
        </w:tc>
      </w:tr>
      <w:tr w:rsidR="00152900" w:rsidRPr="003F15C0" w14:paraId="234B59B4" w14:textId="77777777" w:rsidTr="00036890">
        <w:tc>
          <w:tcPr>
            <w:tcW w:w="5387" w:type="dxa"/>
            <w:shd w:val="clear" w:color="auto" w:fill="auto"/>
            <w:vAlign w:val="bottom"/>
          </w:tcPr>
          <w:p w14:paraId="64A5FEB9" w14:textId="77777777" w:rsidR="00152900" w:rsidRPr="007C6C78" w:rsidRDefault="00152900" w:rsidP="00152900">
            <w:pPr>
              <w:keepNext/>
              <w:spacing w:before="20"/>
              <w:ind w:left="176"/>
              <w:jc w:val="both"/>
              <w:rPr>
                <w:sz w:val="16"/>
                <w:szCs w:val="16"/>
              </w:rPr>
            </w:pPr>
            <w:r>
              <w:rPr>
                <w:sz w:val="16"/>
                <w:szCs w:val="16"/>
              </w:rPr>
              <w:t xml:space="preserve">Moderate (Score </w:t>
            </w:r>
            <w:r w:rsidRPr="007C6C78">
              <w:rPr>
                <w:sz w:val="16"/>
                <w:szCs w:val="16"/>
              </w:rPr>
              <w:t>6</w:t>
            </w:r>
            <w:r>
              <w:rPr>
                <w:sz w:val="16"/>
                <w:szCs w:val="16"/>
              </w:rPr>
              <w:t xml:space="preserve"> </w:t>
            </w:r>
            <w:r w:rsidRPr="007C6C78">
              <w:rPr>
                <w:sz w:val="16"/>
                <w:szCs w:val="16"/>
              </w:rPr>
              <w:t>-</w:t>
            </w:r>
            <w:r>
              <w:rPr>
                <w:sz w:val="16"/>
                <w:szCs w:val="16"/>
              </w:rPr>
              <w:t xml:space="preserve"> </w:t>
            </w:r>
            <w:r w:rsidRPr="007C6C78">
              <w:rPr>
                <w:sz w:val="16"/>
                <w:szCs w:val="16"/>
              </w:rPr>
              <w:t>11</w:t>
            </w:r>
            <w:r>
              <w:rPr>
                <w:sz w:val="16"/>
                <w:szCs w:val="16"/>
              </w:rPr>
              <w:t>)</w:t>
            </w:r>
          </w:p>
        </w:tc>
        <w:tc>
          <w:tcPr>
            <w:tcW w:w="1134" w:type="dxa"/>
            <w:shd w:val="clear" w:color="auto" w:fill="auto"/>
            <w:vAlign w:val="bottom"/>
          </w:tcPr>
          <w:p w14:paraId="4F29EB1A" w14:textId="77777777" w:rsidR="00152900" w:rsidRPr="007C6C78" w:rsidRDefault="00152900" w:rsidP="00152900">
            <w:pPr>
              <w:keepNext/>
              <w:jc w:val="right"/>
              <w:rPr>
                <w:color w:val="000000"/>
                <w:sz w:val="16"/>
                <w:szCs w:val="16"/>
                <w:lang w:eastAsia="en-NZ"/>
              </w:rPr>
            </w:pPr>
            <w:r w:rsidRPr="007C6C78">
              <w:rPr>
                <w:color w:val="000000"/>
                <w:sz w:val="16"/>
                <w:szCs w:val="16"/>
                <w:lang w:eastAsia="en-NZ"/>
              </w:rPr>
              <w:t>0.70</w:t>
            </w:r>
          </w:p>
        </w:tc>
        <w:tc>
          <w:tcPr>
            <w:tcW w:w="1134" w:type="dxa"/>
            <w:shd w:val="clear" w:color="auto" w:fill="auto"/>
            <w:vAlign w:val="bottom"/>
          </w:tcPr>
          <w:p w14:paraId="162D33DE" w14:textId="77777777" w:rsidR="00152900" w:rsidRPr="007C6C78" w:rsidRDefault="00152900" w:rsidP="00152900">
            <w:pPr>
              <w:keepNext/>
              <w:jc w:val="right"/>
              <w:rPr>
                <w:color w:val="000000"/>
                <w:sz w:val="16"/>
                <w:szCs w:val="16"/>
                <w:lang w:eastAsia="en-NZ"/>
              </w:rPr>
            </w:pPr>
            <w:r w:rsidRPr="007C6C78">
              <w:rPr>
                <w:color w:val="000000"/>
                <w:sz w:val="16"/>
                <w:szCs w:val="16"/>
                <w:lang w:eastAsia="en-NZ"/>
              </w:rPr>
              <w:t>(0.50, 0.99)</w:t>
            </w:r>
          </w:p>
        </w:tc>
        <w:tc>
          <w:tcPr>
            <w:tcW w:w="850" w:type="dxa"/>
            <w:shd w:val="clear" w:color="auto" w:fill="auto"/>
            <w:vAlign w:val="bottom"/>
          </w:tcPr>
          <w:p w14:paraId="5F2B82F2" w14:textId="77777777" w:rsidR="00152900" w:rsidRPr="007C6C78" w:rsidRDefault="00152900" w:rsidP="00152900">
            <w:pPr>
              <w:keepNext/>
              <w:jc w:val="right"/>
              <w:rPr>
                <w:color w:val="000000"/>
                <w:sz w:val="16"/>
                <w:szCs w:val="16"/>
                <w:lang w:eastAsia="en-NZ"/>
              </w:rPr>
            </w:pPr>
          </w:p>
        </w:tc>
      </w:tr>
      <w:tr w:rsidR="00152900" w:rsidRPr="003F15C0" w14:paraId="5F1EBA3F" w14:textId="77777777" w:rsidTr="00036890">
        <w:tc>
          <w:tcPr>
            <w:tcW w:w="5387" w:type="dxa"/>
            <w:shd w:val="clear" w:color="auto" w:fill="auto"/>
            <w:vAlign w:val="bottom"/>
          </w:tcPr>
          <w:p w14:paraId="1CBD156D" w14:textId="77777777" w:rsidR="00152900" w:rsidRPr="007C6C78" w:rsidRDefault="00152900" w:rsidP="00152900">
            <w:pPr>
              <w:keepNext/>
              <w:spacing w:before="20"/>
              <w:ind w:left="176"/>
              <w:jc w:val="both"/>
              <w:rPr>
                <w:sz w:val="16"/>
                <w:szCs w:val="16"/>
              </w:rPr>
            </w:pPr>
            <w:r>
              <w:rPr>
                <w:sz w:val="16"/>
                <w:szCs w:val="16"/>
              </w:rPr>
              <w:t xml:space="preserve">High (Score </w:t>
            </w:r>
            <w:r w:rsidRPr="007C6C78">
              <w:rPr>
                <w:sz w:val="16"/>
                <w:szCs w:val="16"/>
              </w:rPr>
              <w:t>12</w:t>
            </w:r>
            <w:r>
              <w:rPr>
                <w:sz w:val="16"/>
                <w:szCs w:val="16"/>
              </w:rPr>
              <w:t xml:space="preserve"> </w:t>
            </w:r>
            <w:r w:rsidRPr="007C6C78">
              <w:rPr>
                <w:sz w:val="16"/>
                <w:szCs w:val="16"/>
              </w:rPr>
              <w:t>-</w:t>
            </w:r>
            <w:r>
              <w:rPr>
                <w:sz w:val="16"/>
                <w:szCs w:val="16"/>
              </w:rPr>
              <w:t xml:space="preserve"> </w:t>
            </w:r>
            <w:r w:rsidRPr="007C6C78">
              <w:rPr>
                <w:sz w:val="16"/>
                <w:szCs w:val="16"/>
              </w:rPr>
              <w:t>19</w:t>
            </w:r>
            <w:r>
              <w:rPr>
                <w:sz w:val="16"/>
                <w:szCs w:val="16"/>
              </w:rPr>
              <w:t>)</w:t>
            </w:r>
          </w:p>
        </w:tc>
        <w:tc>
          <w:tcPr>
            <w:tcW w:w="1134" w:type="dxa"/>
            <w:shd w:val="clear" w:color="auto" w:fill="auto"/>
            <w:vAlign w:val="bottom"/>
          </w:tcPr>
          <w:p w14:paraId="1CEBB192" w14:textId="77777777" w:rsidR="00152900" w:rsidRPr="007C6C78" w:rsidRDefault="00152900" w:rsidP="00152900">
            <w:pPr>
              <w:keepNext/>
              <w:jc w:val="right"/>
              <w:rPr>
                <w:color w:val="000000"/>
                <w:sz w:val="16"/>
                <w:szCs w:val="16"/>
                <w:lang w:eastAsia="en-NZ"/>
              </w:rPr>
            </w:pPr>
            <w:r w:rsidRPr="007C6C78">
              <w:rPr>
                <w:color w:val="000000"/>
                <w:sz w:val="16"/>
                <w:szCs w:val="16"/>
                <w:lang w:eastAsia="en-NZ"/>
              </w:rPr>
              <w:t>0.31</w:t>
            </w:r>
          </w:p>
        </w:tc>
        <w:tc>
          <w:tcPr>
            <w:tcW w:w="1134" w:type="dxa"/>
            <w:shd w:val="clear" w:color="auto" w:fill="auto"/>
            <w:vAlign w:val="bottom"/>
          </w:tcPr>
          <w:p w14:paraId="1907DFA5" w14:textId="77777777" w:rsidR="00152900" w:rsidRPr="007C6C78" w:rsidRDefault="00152900" w:rsidP="00152900">
            <w:pPr>
              <w:keepNext/>
              <w:jc w:val="right"/>
              <w:rPr>
                <w:color w:val="000000"/>
                <w:sz w:val="16"/>
                <w:szCs w:val="16"/>
                <w:lang w:eastAsia="en-NZ"/>
              </w:rPr>
            </w:pPr>
            <w:r w:rsidRPr="007C6C78">
              <w:rPr>
                <w:color w:val="000000"/>
                <w:sz w:val="16"/>
                <w:szCs w:val="16"/>
                <w:lang w:eastAsia="en-NZ"/>
              </w:rPr>
              <w:t>(0.18, 0.55)</w:t>
            </w:r>
          </w:p>
        </w:tc>
        <w:tc>
          <w:tcPr>
            <w:tcW w:w="850" w:type="dxa"/>
            <w:shd w:val="clear" w:color="auto" w:fill="auto"/>
            <w:vAlign w:val="bottom"/>
          </w:tcPr>
          <w:p w14:paraId="5E1B79DB" w14:textId="77777777" w:rsidR="00152900" w:rsidRPr="007C6C78" w:rsidRDefault="00152900" w:rsidP="00152900">
            <w:pPr>
              <w:keepNext/>
              <w:jc w:val="right"/>
              <w:rPr>
                <w:color w:val="000000"/>
                <w:sz w:val="16"/>
                <w:szCs w:val="16"/>
                <w:lang w:eastAsia="en-NZ"/>
              </w:rPr>
            </w:pPr>
          </w:p>
        </w:tc>
      </w:tr>
      <w:tr w:rsidR="00152900" w:rsidRPr="003F15C0" w14:paraId="67A58627" w14:textId="77777777" w:rsidTr="00826105">
        <w:tc>
          <w:tcPr>
            <w:tcW w:w="5387" w:type="dxa"/>
            <w:shd w:val="clear" w:color="auto" w:fill="auto"/>
            <w:vAlign w:val="bottom"/>
          </w:tcPr>
          <w:p w14:paraId="38DBEE1C" w14:textId="77777777" w:rsidR="00152900" w:rsidRPr="007C6C78" w:rsidRDefault="00152900" w:rsidP="00152900">
            <w:pPr>
              <w:spacing w:before="20"/>
              <w:ind w:left="176"/>
              <w:jc w:val="both"/>
              <w:rPr>
                <w:sz w:val="16"/>
                <w:szCs w:val="16"/>
              </w:rPr>
            </w:pPr>
            <w:r>
              <w:rPr>
                <w:sz w:val="16"/>
                <w:szCs w:val="16"/>
              </w:rPr>
              <w:t xml:space="preserve">Severe (Score </w:t>
            </w:r>
            <w:r w:rsidRPr="007C6C78">
              <w:rPr>
                <w:sz w:val="16"/>
                <w:szCs w:val="16"/>
              </w:rPr>
              <w:t>20</w:t>
            </w:r>
            <w:r>
              <w:rPr>
                <w:sz w:val="16"/>
                <w:szCs w:val="16"/>
              </w:rPr>
              <w:t xml:space="preserve"> </w:t>
            </w:r>
            <w:r w:rsidRPr="007C6C78">
              <w:rPr>
                <w:sz w:val="16"/>
                <w:szCs w:val="16"/>
              </w:rPr>
              <w:t>-</w:t>
            </w:r>
            <w:r>
              <w:rPr>
                <w:sz w:val="16"/>
                <w:szCs w:val="16"/>
              </w:rPr>
              <w:t xml:space="preserve"> </w:t>
            </w:r>
            <w:r w:rsidRPr="007C6C78">
              <w:rPr>
                <w:sz w:val="16"/>
                <w:szCs w:val="16"/>
              </w:rPr>
              <w:t>40</w:t>
            </w:r>
            <w:r>
              <w:rPr>
                <w:sz w:val="16"/>
                <w:szCs w:val="16"/>
              </w:rPr>
              <w:t>)</w:t>
            </w:r>
          </w:p>
        </w:tc>
        <w:tc>
          <w:tcPr>
            <w:tcW w:w="1134" w:type="dxa"/>
            <w:shd w:val="clear" w:color="auto" w:fill="auto"/>
            <w:vAlign w:val="bottom"/>
          </w:tcPr>
          <w:p w14:paraId="684A7F3D" w14:textId="77777777" w:rsidR="00152900" w:rsidRPr="007C6C78" w:rsidRDefault="00152900" w:rsidP="00152900">
            <w:pPr>
              <w:jc w:val="right"/>
              <w:rPr>
                <w:color w:val="000000"/>
                <w:sz w:val="16"/>
                <w:szCs w:val="16"/>
                <w:lang w:eastAsia="en-NZ"/>
              </w:rPr>
            </w:pPr>
            <w:r w:rsidRPr="007C6C78">
              <w:rPr>
                <w:color w:val="000000"/>
                <w:sz w:val="16"/>
                <w:szCs w:val="16"/>
                <w:lang w:eastAsia="en-NZ"/>
              </w:rPr>
              <w:t>0.86</w:t>
            </w:r>
          </w:p>
        </w:tc>
        <w:tc>
          <w:tcPr>
            <w:tcW w:w="1134" w:type="dxa"/>
            <w:shd w:val="clear" w:color="auto" w:fill="auto"/>
            <w:vAlign w:val="bottom"/>
          </w:tcPr>
          <w:p w14:paraId="0D00238D" w14:textId="77777777" w:rsidR="00152900" w:rsidRPr="007C6C78" w:rsidRDefault="00152900" w:rsidP="00152900">
            <w:pPr>
              <w:jc w:val="right"/>
              <w:rPr>
                <w:color w:val="000000"/>
                <w:sz w:val="16"/>
                <w:szCs w:val="16"/>
                <w:lang w:eastAsia="en-NZ"/>
              </w:rPr>
            </w:pPr>
            <w:r w:rsidRPr="007C6C78">
              <w:rPr>
                <w:color w:val="000000"/>
                <w:sz w:val="16"/>
                <w:szCs w:val="16"/>
                <w:lang w:eastAsia="en-NZ"/>
              </w:rPr>
              <w:t>(0.70, 1.06)</w:t>
            </w:r>
          </w:p>
        </w:tc>
        <w:tc>
          <w:tcPr>
            <w:tcW w:w="850" w:type="dxa"/>
            <w:shd w:val="clear" w:color="auto" w:fill="auto"/>
            <w:vAlign w:val="bottom"/>
          </w:tcPr>
          <w:p w14:paraId="59608A46" w14:textId="77777777" w:rsidR="00152900" w:rsidRPr="007C6C78" w:rsidRDefault="00152900" w:rsidP="00152900">
            <w:pPr>
              <w:jc w:val="right"/>
              <w:rPr>
                <w:color w:val="000000"/>
                <w:sz w:val="16"/>
                <w:szCs w:val="16"/>
                <w:lang w:eastAsia="en-NZ"/>
              </w:rPr>
            </w:pPr>
            <w:r w:rsidRPr="007C6C78">
              <w:rPr>
                <w:color w:val="000000"/>
                <w:sz w:val="16"/>
                <w:szCs w:val="16"/>
                <w:lang w:eastAsia="en-NZ"/>
              </w:rPr>
              <w:t>0.0006</w:t>
            </w:r>
          </w:p>
        </w:tc>
      </w:tr>
      <w:tr w:rsidR="007C6C78" w:rsidRPr="007C6C78" w14:paraId="0967C680" w14:textId="77777777" w:rsidTr="00036890">
        <w:tc>
          <w:tcPr>
            <w:tcW w:w="6521" w:type="dxa"/>
            <w:gridSpan w:val="2"/>
            <w:shd w:val="clear" w:color="auto" w:fill="auto"/>
            <w:vAlign w:val="center"/>
          </w:tcPr>
          <w:p w14:paraId="5418877E" w14:textId="77777777" w:rsidR="007C6C78" w:rsidRPr="007C6C78" w:rsidRDefault="007C6C78" w:rsidP="007C6C78">
            <w:pPr>
              <w:keepNext/>
              <w:spacing w:before="20"/>
              <w:jc w:val="both"/>
              <w:rPr>
                <w:b/>
                <w:sz w:val="16"/>
                <w:szCs w:val="16"/>
              </w:rPr>
            </w:pPr>
            <w:r>
              <w:rPr>
                <w:b/>
                <w:sz w:val="16"/>
                <w:szCs w:val="16"/>
              </w:rPr>
              <w:t>Hazardous alcohol consumption (AUDIT-C)</w:t>
            </w:r>
          </w:p>
        </w:tc>
        <w:tc>
          <w:tcPr>
            <w:tcW w:w="1134" w:type="dxa"/>
            <w:shd w:val="clear" w:color="auto" w:fill="auto"/>
            <w:vAlign w:val="center"/>
          </w:tcPr>
          <w:p w14:paraId="4C12DA3E" w14:textId="77777777" w:rsidR="007C6C78" w:rsidRPr="007C6C78" w:rsidRDefault="007C6C78" w:rsidP="007C6C78">
            <w:pPr>
              <w:keepNext/>
              <w:spacing w:before="20"/>
              <w:jc w:val="both"/>
              <w:rPr>
                <w:b/>
                <w:sz w:val="16"/>
                <w:szCs w:val="16"/>
              </w:rPr>
            </w:pPr>
          </w:p>
        </w:tc>
        <w:tc>
          <w:tcPr>
            <w:tcW w:w="850" w:type="dxa"/>
            <w:shd w:val="clear" w:color="auto" w:fill="auto"/>
            <w:vAlign w:val="center"/>
          </w:tcPr>
          <w:p w14:paraId="0A4B64D4" w14:textId="77777777" w:rsidR="007C6C78" w:rsidRPr="007C6C78" w:rsidRDefault="007C6C78" w:rsidP="007C6C78">
            <w:pPr>
              <w:keepNext/>
              <w:spacing w:before="20"/>
              <w:jc w:val="both"/>
              <w:rPr>
                <w:b/>
                <w:sz w:val="16"/>
                <w:szCs w:val="16"/>
              </w:rPr>
            </w:pPr>
          </w:p>
        </w:tc>
      </w:tr>
      <w:tr w:rsidR="007C6C78" w:rsidRPr="003F15C0" w14:paraId="16992EE7" w14:textId="77777777" w:rsidTr="00036890">
        <w:tc>
          <w:tcPr>
            <w:tcW w:w="5387" w:type="dxa"/>
            <w:shd w:val="clear" w:color="auto" w:fill="auto"/>
            <w:vAlign w:val="bottom"/>
          </w:tcPr>
          <w:p w14:paraId="6D36D9CA" w14:textId="77777777" w:rsidR="007C6C78" w:rsidRPr="007C6C78" w:rsidRDefault="007C6C78" w:rsidP="007C6C78">
            <w:pPr>
              <w:spacing w:before="20"/>
              <w:ind w:left="176"/>
              <w:jc w:val="both"/>
              <w:rPr>
                <w:sz w:val="16"/>
                <w:szCs w:val="16"/>
              </w:rPr>
            </w:pPr>
            <w:r w:rsidRPr="007C6C78">
              <w:rPr>
                <w:sz w:val="16"/>
                <w:szCs w:val="16"/>
              </w:rPr>
              <w:t>No</w:t>
            </w:r>
          </w:p>
        </w:tc>
        <w:tc>
          <w:tcPr>
            <w:tcW w:w="1134" w:type="dxa"/>
            <w:shd w:val="clear" w:color="auto" w:fill="auto"/>
            <w:vAlign w:val="bottom"/>
          </w:tcPr>
          <w:p w14:paraId="6C4E0A8C" w14:textId="77777777" w:rsidR="007C6C78" w:rsidRPr="007C6C78" w:rsidRDefault="007C6C78" w:rsidP="007C6C78">
            <w:pPr>
              <w:jc w:val="right"/>
              <w:rPr>
                <w:color w:val="000000"/>
                <w:sz w:val="16"/>
                <w:szCs w:val="16"/>
                <w:lang w:eastAsia="en-NZ"/>
              </w:rPr>
            </w:pPr>
            <w:r w:rsidRPr="007C6C78">
              <w:rPr>
                <w:color w:val="000000"/>
                <w:sz w:val="16"/>
                <w:szCs w:val="16"/>
                <w:lang w:eastAsia="en-NZ"/>
              </w:rPr>
              <w:t>1.00</w:t>
            </w:r>
          </w:p>
        </w:tc>
        <w:tc>
          <w:tcPr>
            <w:tcW w:w="1134" w:type="dxa"/>
            <w:shd w:val="clear" w:color="auto" w:fill="auto"/>
            <w:vAlign w:val="bottom"/>
          </w:tcPr>
          <w:p w14:paraId="08F799EB" w14:textId="77777777" w:rsidR="007C6C78" w:rsidRPr="007C6C78" w:rsidRDefault="007C6C78" w:rsidP="007C6C78">
            <w:pPr>
              <w:jc w:val="right"/>
              <w:rPr>
                <w:color w:val="000000"/>
                <w:sz w:val="16"/>
                <w:szCs w:val="16"/>
                <w:lang w:eastAsia="en-NZ"/>
              </w:rPr>
            </w:pPr>
          </w:p>
        </w:tc>
        <w:tc>
          <w:tcPr>
            <w:tcW w:w="850" w:type="dxa"/>
            <w:shd w:val="clear" w:color="auto" w:fill="auto"/>
            <w:vAlign w:val="bottom"/>
          </w:tcPr>
          <w:p w14:paraId="1DD885FE" w14:textId="77777777" w:rsidR="007C6C78" w:rsidRPr="007C6C78" w:rsidRDefault="007C6C78" w:rsidP="007C6C78">
            <w:pPr>
              <w:jc w:val="right"/>
              <w:rPr>
                <w:color w:val="000000"/>
                <w:sz w:val="16"/>
                <w:szCs w:val="16"/>
                <w:lang w:eastAsia="en-NZ"/>
              </w:rPr>
            </w:pPr>
          </w:p>
        </w:tc>
      </w:tr>
      <w:tr w:rsidR="007C6C78" w:rsidRPr="003F15C0" w14:paraId="423A611A" w14:textId="77777777" w:rsidTr="00826105">
        <w:tc>
          <w:tcPr>
            <w:tcW w:w="5387" w:type="dxa"/>
            <w:shd w:val="clear" w:color="auto" w:fill="auto"/>
            <w:vAlign w:val="bottom"/>
          </w:tcPr>
          <w:p w14:paraId="0DA90E4A" w14:textId="77777777" w:rsidR="007C6C78" w:rsidRPr="007C6C78" w:rsidRDefault="007C6C78" w:rsidP="007C6C78">
            <w:pPr>
              <w:spacing w:before="20"/>
              <w:ind w:left="176"/>
              <w:jc w:val="both"/>
              <w:rPr>
                <w:sz w:val="16"/>
                <w:szCs w:val="16"/>
              </w:rPr>
            </w:pPr>
            <w:r w:rsidRPr="007C6C78">
              <w:rPr>
                <w:sz w:val="16"/>
                <w:szCs w:val="16"/>
              </w:rPr>
              <w:t>Yes</w:t>
            </w:r>
          </w:p>
        </w:tc>
        <w:tc>
          <w:tcPr>
            <w:tcW w:w="1134" w:type="dxa"/>
            <w:shd w:val="clear" w:color="auto" w:fill="auto"/>
            <w:vAlign w:val="bottom"/>
          </w:tcPr>
          <w:p w14:paraId="2995F378" w14:textId="77777777" w:rsidR="007C6C78" w:rsidRPr="007C6C78" w:rsidRDefault="007C6C78" w:rsidP="007C6C78">
            <w:pPr>
              <w:jc w:val="right"/>
              <w:rPr>
                <w:color w:val="000000"/>
                <w:sz w:val="16"/>
                <w:szCs w:val="16"/>
                <w:lang w:eastAsia="en-NZ"/>
              </w:rPr>
            </w:pPr>
            <w:r w:rsidRPr="007C6C78">
              <w:rPr>
                <w:color w:val="000000"/>
                <w:sz w:val="16"/>
                <w:szCs w:val="16"/>
                <w:lang w:eastAsia="en-NZ"/>
              </w:rPr>
              <w:t>2.39</w:t>
            </w:r>
          </w:p>
        </w:tc>
        <w:tc>
          <w:tcPr>
            <w:tcW w:w="1134" w:type="dxa"/>
            <w:shd w:val="clear" w:color="auto" w:fill="auto"/>
            <w:vAlign w:val="bottom"/>
          </w:tcPr>
          <w:p w14:paraId="78A9FA1D" w14:textId="77777777" w:rsidR="007C6C78" w:rsidRPr="007C6C78" w:rsidRDefault="007C6C78" w:rsidP="007C6C78">
            <w:pPr>
              <w:jc w:val="right"/>
              <w:rPr>
                <w:color w:val="000000"/>
                <w:sz w:val="16"/>
                <w:szCs w:val="16"/>
                <w:lang w:eastAsia="en-NZ"/>
              </w:rPr>
            </w:pPr>
            <w:r w:rsidRPr="007C6C78">
              <w:rPr>
                <w:color w:val="000000"/>
                <w:sz w:val="16"/>
                <w:szCs w:val="16"/>
                <w:lang w:eastAsia="en-NZ"/>
              </w:rPr>
              <w:t>(1.98, 2.89)</w:t>
            </w:r>
          </w:p>
        </w:tc>
        <w:tc>
          <w:tcPr>
            <w:tcW w:w="850" w:type="dxa"/>
            <w:shd w:val="clear" w:color="auto" w:fill="auto"/>
            <w:vAlign w:val="bottom"/>
          </w:tcPr>
          <w:p w14:paraId="2BED1B3B" w14:textId="77777777" w:rsidR="007C6C78" w:rsidRPr="007C6C78" w:rsidRDefault="007C6C78" w:rsidP="007C6C78">
            <w:pPr>
              <w:jc w:val="right"/>
              <w:rPr>
                <w:color w:val="000000"/>
                <w:sz w:val="16"/>
                <w:szCs w:val="16"/>
                <w:lang w:eastAsia="en-NZ"/>
              </w:rPr>
            </w:pPr>
            <w:r w:rsidRPr="007C6C78">
              <w:rPr>
                <w:color w:val="000000"/>
                <w:sz w:val="16"/>
                <w:szCs w:val="16"/>
                <w:lang w:eastAsia="en-NZ"/>
              </w:rPr>
              <w:t>&lt;</w:t>
            </w:r>
            <w:r>
              <w:rPr>
                <w:color w:val="000000"/>
                <w:sz w:val="16"/>
                <w:szCs w:val="16"/>
                <w:lang w:eastAsia="en-NZ"/>
              </w:rPr>
              <w:t>0</w:t>
            </w:r>
            <w:r w:rsidRPr="007C6C78">
              <w:rPr>
                <w:color w:val="000000"/>
                <w:sz w:val="16"/>
                <w:szCs w:val="16"/>
                <w:lang w:eastAsia="en-NZ"/>
              </w:rPr>
              <w:t>.0001</w:t>
            </w:r>
          </w:p>
        </w:tc>
      </w:tr>
      <w:tr w:rsidR="007C6C78" w:rsidRPr="001A61F1" w14:paraId="731F64CD" w14:textId="77777777" w:rsidTr="00036890">
        <w:tc>
          <w:tcPr>
            <w:tcW w:w="5387" w:type="dxa"/>
          </w:tcPr>
          <w:p w14:paraId="54AC04E6" w14:textId="77777777" w:rsidR="007C6C78" w:rsidRPr="007C6C78" w:rsidRDefault="007C6C78" w:rsidP="007C6C78">
            <w:pPr>
              <w:keepNext/>
              <w:spacing w:before="20"/>
              <w:jc w:val="both"/>
              <w:rPr>
                <w:b/>
                <w:sz w:val="16"/>
                <w:szCs w:val="16"/>
              </w:rPr>
            </w:pPr>
            <w:r w:rsidRPr="007C6C78">
              <w:rPr>
                <w:b/>
                <w:sz w:val="16"/>
                <w:szCs w:val="16"/>
              </w:rPr>
              <w:t>Uses drugs</w:t>
            </w:r>
          </w:p>
        </w:tc>
        <w:tc>
          <w:tcPr>
            <w:tcW w:w="1134" w:type="dxa"/>
            <w:shd w:val="clear" w:color="auto" w:fill="auto"/>
            <w:vAlign w:val="center"/>
          </w:tcPr>
          <w:p w14:paraId="6644DF51" w14:textId="77777777" w:rsidR="007C6C78" w:rsidRPr="00637CF2" w:rsidRDefault="007C6C78" w:rsidP="007C6C78">
            <w:pPr>
              <w:jc w:val="right"/>
              <w:rPr>
                <w:color w:val="000000"/>
                <w:sz w:val="16"/>
                <w:szCs w:val="16"/>
                <w:lang w:eastAsia="en-NZ"/>
              </w:rPr>
            </w:pPr>
          </w:p>
        </w:tc>
        <w:tc>
          <w:tcPr>
            <w:tcW w:w="1134" w:type="dxa"/>
            <w:shd w:val="clear" w:color="auto" w:fill="auto"/>
            <w:vAlign w:val="center"/>
          </w:tcPr>
          <w:p w14:paraId="7B38189D" w14:textId="77777777" w:rsidR="007C6C78" w:rsidRPr="00637CF2" w:rsidRDefault="007C6C78" w:rsidP="007C6C78">
            <w:pPr>
              <w:jc w:val="right"/>
              <w:rPr>
                <w:color w:val="000000"/>
                <w:sz w:val="16"/>
                <w:szCs w:val="16"/>
                <w:lang w:eastAsia="en-NZ"/>
              </w:rPr>
            </w:pPr>
          </w:p>
        </w:tc>
        <w:tc>
          <w:tcPr>
            <w:tcW w:w="850" w:type="dxa"/>
            <w:shd w:val="clear" w:color="auto" w:fill="auto"/>
            <w:vAlign w:val="center"/>
          </w:tcPr>
          <w:p w14:paraId="32153858" w14:textId="77777777" w:rsidR="007C6C78" w:rsidRPr="00637CF2" w:rsidRDefault="007C6C78" w:rsidP="007C6C78">
            <w:pPr>
              <w:jc w:val="right"/>
              <w:rPr>
                <w:color w:val="000000"/>
                <w:sz w:val="16"/>
                <w:szCs w:val="16"/>
                <w:lang w:eastAsia="en-NZ"/>
              </w:rPr>
            </w:pPr>
          </w:p>
        </w:tc>
      </w:tr>
      <w:tr w:rsidR="007C6C78" w:rsidRPr="001A61F1" w14:paraId="5D829A61" w14:textId="77777777" w:rsidTr="00036890">
        <w:tc>
          <w:tcPr>
            <w:tcW w:w="5387" w:type="dxa"/>
          </w:tcPr>
          <w:p w14:paraId="166B0EB3" w14:textId="77777777" w:rsidR="007C6C78" w:rsidRPr="001A61F1" w:rsidRDefault="007C6C78" w:rsidP="007C6C78">
            <w:pPr>
              <w:spacing w:before="20"/>
              <w:ind w:left="176"/>
              <w:jc w:val="both"/>
              <w:rPr>
                <w:sz w:val="16"/>
                <w:szCs w:val="16"/>
              </w:rPr>
            </w:pPr>
            <w:r>
              <w:rPr>
                <w:sz w:val="16"/>
                <w:szCs w:val="16"/>
              </w:rPr>
              <w:t>Yes</w:t>
            </w:r>
          </w:p>
        </w:tc>
        <w:tc>
          <w:tcPr>
            <w:tcW w:w="1134" w:type="dxa"/>
            <w:shd w:val="clear" w:color="auto" w:fill="auto"/>
            <w:vAlign w:val="bottom"/>
          </w:tcPr>
          <w:p w14:paraId="241FB72E" w14:textId="77777777" w:rsidR="007C6C78" w:rsidRPr="007C6C78" w:rsidRDefault="007C6C78" w:rsidP="007C6C78">
            <w:pPr>
              <w:jc w:val="right"/>
              <w:rPr>
                <w:color w:val="000000"/>
                <w:sz w:val="16"/>
                <w:szCs w:val="16"/>
                <w:lang w:eastAsia="en-NZ"/>
              </w:rPr>
            </w:pPr>
            <w:r w:rsidRPr="007C6C78">
              <w:rPr>
                <w:color w:val="000000"/>
                <w:sz w:val="16"/>
                <w:szCs w:val="16"/>
                <w:lang w:eastAsia="en-NZ"/>
              </w:rPr>
              <w:t>1.00</w:t>
            </w:r>
          </w:p>
        </w:tc>
        <w:tc>
          <w:tcPr>
            <w:tcW w:w="1134" w:type="dxa"/>
            <w:shd w:val="clear" w:color="auto" w:fill="auto"/>
            <w:vAlign w:val="bottom"/>
          </w:tcPr>
          <w:p w14:paraId="6FC3247E" w14:textId="77777777" w:rsidR="007C6C78" w:rsidRPr="007C6C78" w:rsidRDefault="007C6C78" w:rsidP="007C6C78">
            <w:pPr>
              <w:jc w:val="right"/>
              <w:rPr>
                <w:color w:val="000000"/>
                <w:sz w:val="16"/>
                <w:szCs w:val="16"/>
                <w:lang w:eastAsia="en-NZ"/>
              </w:rPr>
            </w:pPr>
          </w:p>
        </w:tc>
        <w:tc>
          <w:tcPr>
            <w:tcW w:w="850" w:type="dxa"/>
            <w:shd w:val="clear" w:color="auto" w:fill="auto"/>
            <w:vAlign w:val="bottom"/>
          </w:tcPr>
          <w:p w14:paraId="2C5BEC3D" w14:textId="77777777" w:rsidR="007C6C78" w:rsidRPr="007C6C78" w:rsidRDefault="007C6C78" w:rsidP="007C6C78">
            <w:pPr>
              <w:jc w:val="right"/>
              <w:rPr>
                <w:color w:val="000000"/>
                <w:sz w:val="16"/>
                <w:szCs w:val="16"/>
                <w:lang w:eastAsia="en-NZ"/>
              </w:rPr>
            </w:pPr>
          </w:p>
        </w:tc>
      </w:tr>
      <w:tr w:rsidR="007C6C78" w:rsidRPr="001A61F1" w14:paraId="71AE4660" w14:textId="77777777" w:rsidTr="00826105">
        <w:tc>
          <w:tcPr>
            <w:tcW w:w="5387" w:type="dxa"/>
          </w:tcPr>
          <w:p w14:paraId="76695A3F" w14:textId="77777777" w:rsidR="007C6C78" w:rsidRPr="001A61F1" w:rsidRDefault="007C6C78" w:rsidP="007C6C78">
            <w:pPr>
              <w:spacing w:before="20"/>
              <w:ind w:left="176"/>
              <w:jc w:val="both"/>
              <w:rPr>
                <w:sz w:val="16"/>
                <w:szCs w:val="16"/>
              </w:rPr>
            </w:pPr>
            <w:r>
              <w:rPr>
                <w:sz w:val="16"/>
                <w:szCs w:val="16"/>
              </w:rPr>
              <w:t>No</w:t>
            </w:r>
          </w:p>
        </w:tc>
        <w:tc>
          <w:tcPr>
            <w:tcW w:w="1134" w:type="dxa"/>
            <w:shd w:val="clear" w:color="auto" w:fill="auto"/>
            <w:vAlign w:val="bottom"/>
          </w:tcPr>
          <w:p w14:paraId="42B80904" w14:textId="77777777" w:rsidR="007C6C78" w:rsidRPr="007C6C78" w:rsidRDefault="007C6C78" w:rsidP="007C6C78">
            <w:pPr>
              <w:jc w:val="right"/>
              <w:rPr>
                <w:color w:val="000000"/>
                <w:sz w:val="16"/>
                <w:szCs w:val="16"/>
                <w:lang w:eastAsia="en-NZ"/>
              </w:rPr>
            </w:pPr>
            <w:r w:rsidRPr="007C6C78">
              <w:rPr>
                <w:color w:val="000000"/>
                <w:sz w:val="16"/>
                <w:szCs w:val="16"/>
                <w:lang w:eastAsia="en-NZ"/>
              </w:rPr>
              <w:t>0.52</w:t>
            </w:r>
          </w:p>
        </w:tc>
        <w:tc>
          <w:tcPr>
            <w:tcW w:w="1134" w:type="dxa"/>
            <w:shd w:val="clear" w:color="auto" w:fill="auto"/>
            <w:vAlign w:val="bottom"/>
          </w:tcPr>
          <w:p w14:paraId="293EA81C" w14:textId="77777777" w:rsidR="007C6C78" w:rsidRPr="007C6C78" w:rsidRDefault="007C6C78" w:rsidP="007C6C78">
            <w:pPr>
              <w:jc w:val="right"/>
              <w:rPr>
                <w:color w:val="000000"/>
                <w:sz w:val="16"/>
                <w:szCs w:val="16"/>
                <w:lang w:eastAsia="en-NZ"/>
              </w:rPr>
            </w:pPr>
            <w:r w:rsidRPr="007C6C78">
              <w:rPr>
                <w:color w:val="000000"/>
                <w:sz w:val="16"/>
                <w:szCs w:val="16"/>
                <w:lang w:eastAsia="en-NZ"/>
              </w:rPr>
              <w:t>(0.38, 0.71)</w:t>
            </w:r>
          </w:p>
        </w:tc>
        <w:tc>
          <w:tcPr>
            <w:tcW w:w="850" w:type="dxa"/>
            <w:shd w:val="clear" w:color="auto" w:fill="auto"/>
            <w:vAlign w:val="bottom"/>
          </w:tcPr>
          <w:p w14:paraId="63C402DA" w14:textId="77777777" w:rsidR="007C6C78" w:rsidRPr="007C6C78" w:rsidRDefault="007C6C78" w:rsidP="007C6C78">
            <w:pPr>
              <w:jc w:val="right"/>
              <w:rPr>
                <w:color w:val="000000"/>
                <w:sz w:val="16"/>
                <w:szCs w:val="16"/>
                <w:lang w:eastAsia="en-NZ"/>
              </w:rPr>
            </w:pPr>
            <w:r w:rsidRPr="007C6C78">
              <w:rPr>
                <w:color w:val="000000"/>
                <w:sz w:val="16"/>
                <w:szCs w:val="16"/>
                <w:lang w:eastAsia="en-NZ"/>
              </w:rPr>
              <w:t>&lt;</w:t>
            </w:r>
            <w:r>
              <w:rPr>
                <w:color w:val="000000"/>
                <w:sz w:val="16"/>
                <w:szCs w:val="16"/>
                <w:lang w:eastAsia="en-NZ"/>
              </w:rPr>
              <w:t>0</w:t>
            </w:r>
            <w:r w:rsidRPr="007C6C78">
              <w:rPr>
                <w:color w:val="000000"/>
                <w:sz w:val="16"/>
                <w:szCs w:val="16"/>
                <w:lang w:eastAsia="en-NZ"/>
              </w:rPr>
              <w:t>.0001</w:t>
            </w:r>
          </w:p>
        </w:tc>
      </w:tr>
      <w:tr w:rsidR="007C6C78" w:rsidRPr="001A61F1" w14:paraId="6A3A892A" w14:textId="77777777" w:rsidTr="00036890">
        <w:tc>
          <w:tcPr>
            <w:tcW w:w="5387" w:type="dxa"/>
          </w:tcPr>
          <w:p w14:paraId="45CEC144" w14:textId="77777777" w:rsidR="007C6C78" w:rsidRPr="007C6C78" w:rsidRDefault="007C6C78" w:rsidP="007C6C78">
            <w:pPr>
              <w:keepNext/>
              <w:spacing w:before="20"/>
              <w:jc w:val="both"/>
              <w:rPr>
                <w:b/>
                <w:sz w:val="16"/>
                <w:szCs w:val="16"/>
              </w:rPr>
            </w:pPr>
            <w:r w:rsidRPr="007C6C78">
              <w:rPr>
                <w:b/>
                <w:sz w:val="16"/>
                <w:szCs w:val="16"/>
              </w:rPr>
              <w:t>Cannabis</w:t>
            </w:r>
          </w:p>
        </w:tc>
        <w:tc>
          <w:tcPr>
            <w:tcW w:w="1134" w:type="dxa"/>
            <w:shd w:val="clear" w:color="auto" w:fill="auto"/>
            <w:vAlign w:val="center"/>
          </w:tcPr>
          <w:p w14:paraId="27D9393A" w14:textId="77777777" w:rsidR="007C6C78" w:rsidRPr="00637CF2" w:rsidRDefault="007C6C78" w:rsidP="007C6C78">
            <w:pPr>
              <w:jc w:val="right"/>
              <w:rPr>
                <w:color w:val="000000"/>
                <w:sz w:val="16"/>
                <w:szCs w:val="16"/>
                <w:lang w:eastAsia="en-NZ"/>
              </w:rPr>
            </w:pPr>
          </w:p>
        </w:tc>
        <w:tc>
          <w:tcPr>
            <w:tcW w:w="1134" w:type="dxa"/>
            <w:shd w:val="clear" w:color="auto" w:fill="auto"/>
            <w:vAlign w:val="center"/>
          </w:tcPr>
          <w:p w14:paraId="537532A5" w14:textId="77777777" w:rsidR="007C6C78" w:rsidRPr="00637CF2" w:rsidRDefault="007C6C78" w:rsidP="007C6C78">
            <w:pPr>
              <w:jc w:val="right"/>
              <w:rPr>
                <w:color w:val="000000"/>
                <w:sz w:val="16"/>
                <w:szCs w:val="16"/>
                <w:lang w:eastAsia="en-NZ"/>
              </w:rPr>
            </w:pPr>
          </w:p>
        </w:tc>
        <w:tc>
          <w:tcPr>
            <w:tcW w:w="850" w:type="dxa"/>
            <w:shd w:val="clear" w:color="auto" w:fill="auto"/>
            <w:vAlign w:val="center"/>
          </w:tcPr>
          <w:p w14:paraId="5224D635" w14:textId="77777777" w:rsidR="007C6C78" w:rsidRPr="00637CF2" w:rsidRDefault="007C6C78" w:rsidP="007C6C78">
            <w:pPr>
              <w:jc w:val="right"/>
              <w:rPr>
                <w:color w:val="000000"/>
                <w:sz w:val="16"/>
                <w:szCs w:val="16"/>
                <w:lang w:eastAsia="en-NZ"/>
              </w:rPr>
            </w:pPr>
          </w:p>
        </w:tc>
      </w:tr>
      <w:tr w:rsidR="007C6C78" w:rsidRPr="001A61F1" w14:paraId="40F0C321" w14:textId="77777777" w:rsidTr="00036890">
        <w:tc>
          <w:tcPr>
            <w:tcW w:w="5387" w:type="dxa"/>
          </w:tcPr>
          <w:p w14:paraId="62AD0F42" w14:textId="77777777" w:rsidR="007C6C78" w:rsidRPr="001A61F1" w:rsidRDefault="007C6C78" w:rsidP="007C6C78">
            <w:pPr>
              <w:spacing w:before="20"/>
              <w:ind w:left="176"/>
              <w:jc w:val="both"/>
              <w:rPr>
                <w:sz w:val="16"/>
                <w:szCs w:val="16"/>
              </w:rPr>
            </w:pPr>
            <w:r>
              <w:rPr>
                <w:sz w:val="16"/>
                <w:szCs w:val="16"/>
              </w:rPr>
              <w:t>No</w:t>
            </w:r>
          </w:p>
        </w:tc>
        <w:tc>
          <w:tcPr>
            <w:tcW w:w="1134" w:type="dxa"/>
            <w:shd w:val="clear" w:color="auto" w:fill="auto"/>
            <w:vAlign w:val="bottom"/>
          </w:tcPr>
          <w:p w14:paraId="242F529C" w14:textId="77777777" w:rsidR="007C6C78" w:rsidRPr="007C6C78" w:rsidRDefault="007C6C78" w:rsidP="007C6C78">
            <w:pPr>
              <w:jc w:val="right"/>
              <w:rPr>
                <w:color w:val="000000"/>
                <w:sz w:val="16"/>
                <w:szCs w:val="16"/>
                <w:lang w:eastAsia="en-NZ"/>
              </w:rPr>
            </w:pPr>
            <w:r w:rsidRPr="007C6C78">
              <w:rPr>
                <w:color w:val="000000"/>
                <w:sz w:val="16"/>
                <w:szCs w:val="16"/>
                <w:lang w:eastAsia="en-NZ"/>
              </w:rPr>
              <w:t>1.00</w:t>
            </w:r>
          </w:p>
        </w:tc>
        <w:tc>
          <w:tcPr>
            <w:tcW w:w="1134" w:type="dxa"/>
            <w:shd w:val="clear" w:color="auto" w:fill="auto"/>
            <w:vAlign w:val="bottom"/>
          </w:tcPr>
          <w:p w14:paraId="4680F946" w14:textId="77777777" w:rsidR="007C6C78" w:rsidRPr="007C6C78" w:rsidRDefault="007C6C78" w:rsidP="007C6C78">
            <w:pPr>
              <w:jc w:val="right"/>
              <w:rPr>
                <w:color w:val="000000"/>
                <w:sz w:val="16"/>
                <w:szCs w:val="16"/>
                <w:lang w:eastAsia="en-NZ"/>
              </w:rPr>
            </w:pPr>
          </w:p>
        </w:tc>
        <w:tc>
          <w:tcPr>
            <w:tcW w:w="850" w:type="dxa"/>
            <w:shd w:val="clear" w:color="auto" w:fill="auto"/>
            <w:vAlign w:val="bottom"/>
          </w:tcPr>
          <w:p w14:paraId="5CE7BAA9" w14:textId="77777777" w:rsidR="007C6C78" w:rsidRPr="007C6C78" w:rsidRDefault="007C6C78" w:rsidP="007C6C78">
            <w:pPr>
              <w:jc w:val="right"/>
              <w:rPr>
                <w:color w:val="000000"/>
                <w:sz w:val="16"/>
                <w:szCs w:val="16"/>
                <w:lang w:eastAsia="en-NZ"/>
              </w:rPr>
            </w:pPr>
          </w:p>
        </w:tc>
      </w:tr>
      <w:tr w:rsidR="007C6C78" w:rsidRPr="001A61F1" w14:paraId="22811094" w14:textId="77777777" w:rsidTr="00826105">
        <w:tc>
          <w:tcPr>
            <w:tcW w:w="5387" w:type="dxa"/>
          </w:tcPr>
          <w:p w14:paraId="6F7AABBE" w14:textId="77777777" w:rsidR="007C6C78" w:rsidRPr="001A61F1" w:rsidRDefault="007C6C78" w:rsidP="007C6C78">
            <w:pPr>
              <w:spacing w:before="20"/>
              <w:ind w:left="176"/>
              <w:jc w:val="both"/>
              <w:rPr>
                <w:sz w:val="16"/>
                <w:szCs w:val="16"/>
              </w:rPr>
            </w:pPr>
            <w:r>
              <w:rPr>
                <w:sz w:val="16"/>
                <w:szCs w:val="16"/>
              </w:rPr>
              <w:t>Yes</w:t>
            </w:r>
          </w:p>
        </w:tc>
        <w:tc>
          <w:tcPr>
            <w:tcW w:w="1134" w:type="dxa"/>
            <w:shd w:val="clear" w:color="auto" w:fill="auto"/>
            <w:vAlign w:val="bottom"/>
          </w:tcPr>
          <w:p w14:paraId="501B814C" w14:textId="77777777" w:rsidR="007C6C78" w:rsidRPr="007C6C78" w:rsidRDefault="007C6C78" w:rsidP="007C6C78">
            <w:pPr>
              <w:jc w:val="right"/>
              <w:rPr>
                <w:color w:val="000000"/>
                <w:sz w:val="16"/>
                <w:szCs w:val="16"/>
                <w:lang w:eastAsia="en-NZ"/>
              </w:rPr>
            </w:pPr>
            <w:r w:rsidRPr="007C6C78">
              <w:rPr>
                <w:color w:val="000000"/>
                <w:sz w:val="16"/>
                <w:szCs w:val="16"/>
                <w:lang w:eastAsia="en-NZ"/>
              </w:rPr>
              <w:t>1.77</w:t>
            </w:r>
          </w:p>
        </w:tc>
        <w:tc>
          <w:tcPr>
            <w:tcW w:w="1134" w:type="dxa"/>
            <w:shd w:val="clear" w:color="auto" w:fill="auto"/>
            <w:vAlign w:val="bottom"/>
          </w:tcPr>
          <w:p w14:paraId="4A3C2264" w14:textId="77777777" w:rsidR="007C6C78" w:rsidRPr="007C6C78" w:rsidRDefault="007C6C78" w:rsidP="007C6C78">
            <w:pPr>
              <w:jc w:val="right"/>
              <w:rPr>
                <w:color w:val="000000"/>
                <w:sz w:val="16"/>
                <w:szCs w:val="16"/>
                <w:lang w:eastAsia="en-NZ"/>
              </w:rPr>
            </w:pPr>
            <w:r w:rsidRPr="007C6C78">
              <w:rPr>
                <w:color w:val="000000"/>
                <w:sz w:val="16"/>
                <w:szCs w:val="16"/>
                <w:lang w:eastAsia="en-NZ"/>
              </w:rPr>
              <w:t>(1.24, 2.52)</w:t>
            </w:r>
          </w:p>
        </w:tc>
        <w:tc>
          <w:tcPr>
            <w:tcW w:w="850" w:type="dxa"/>
            <w:shd w:val="clear" w:color="auto" w:fill="auto"/>
            <w:vAlign w:val="bottom"/>
          </w:tcPr>
          <w:p w14:paraId="000031BF" w14:textId="77777777" w:rsidR="007C6C78" w:rsidRPr="007C6C78" w:rsidRDefault="007C6C78" w:rsidP="007C6C78">
            <w:pPr>
              <w:jc w:val="right"/>
              <w:rPr>
                <w:color w:val="000000"/>
                <w:sz w:val="16"/>
                <w:szCs w:val="16"/>
                <w:lang w:eastAsia="en-NZ"/>
              </w:rPr>
            </w:pPr>
            <w:r w:rsidRPr="007C6C78">
              <w:rPr>
                <w:color w:val="000000"/>
                <w:sz w:val="16"/>
                <w:szCs w:val="16"/>
                <w:lang w:eastAsia="en-NZ"/>
              </w:rPr>
              <w:t>0.002</w:t>
            </w:r>
          </w:p>
        </w:tc>
      </w:tr>
      <w:tr w:rsidR="00931D58" w:rsidRPr="001A61F1" w14:paraId="5C21B9BB" w14:textId="77777777" w:rsidTr="00036890">
        <w:tc>
          <w:tcPr>
            <w:tcW w:w="6521" w:type="dxa"/>
            <w:gridSpan w:val="2"/>
          </w:tcPr>
          <w:p w14:paraId="4C65CD57" w14:textId="77777777" w:rsidR="00931D58" w:rsidRPr="00637CF2" w:rsidRDefault="00931D58" w:rsidP="00931D58">
            <w:pPr>
              <w:rPr>
                <w:color w:val="000000"/>
                <w:sz w:val="16"/>
                <w:szCs w:val="16"/>
                <w:lang w:eastAsia="en-NZ"/>
              </w:rPr>
            </w:pPr>
            <w:r w:rsidRPr="00931D58">
              <w:rPr>
                <w:b/>
                <w:sz w:val="16"/>
                <w:szCs w:val="16"/>
              </w:rPr>
              <w:t>Ever smoked more than 100 cigarettes in lifetime</w:t>
            </w:r>
          </w:p>
        </w:tc>
        <w:tc>
          <w:tcPr>
            <w:tcW w:w="1134" w:type="dxa"/>
            <w:shd w:val="clear" w:color="auto" w:fill="auto"/>
            <w:vAlign w:val="center"/>
          </w:tcPr>
          <w:p w14:paraId="7883667B" w14:textId="77777777" w:rsidR="00931D58" w:rsidRPr="00637CF2" w:rsidRDefault="00931D58" w:rsidP="007C6C78">
            <w:pPr>
              <w:jc w:val="right"/>
              <w:rPr>
                <w:color w:val="000000"/>
                <w:sz w:val="16"/>
                <w:szCs w:val="16"/>
                <w:lang w:eastAsia="en-NZ"/>
              </w:rPr>
            </w:pPr>
          </w:p>
        </w:tc>
        <w:tc>
          <w:tcPr>
            <w:tcW w:w="850" w:type="dxa"/>
            <w:shd w:val="clear" w:color="auto" w:fill="auto"/>
            <w:vAlign w:val="center"/>
          </w:tcPr>
          <w:p w14:paraId="63FF81C1" w14:textId="77777777" w:rsidR="00931D58" w:rsidRPr="00637CF2" w:rsidRDefault="00931D58" w:rsidP="007C6C78">
            <w:pPr>
              <w:jc w:val="right"/>
              <w:rPr>
                <w:color w:val="000000"/>
                <w:sz w:val="16"/>
                <w:szCs w:val="16"/>
                <w:lang w:eastAsia="en-NZ"/>
              </w:rPr>
            </w:pPr>
          </w:p>
        </w:tc>
      </w:tr>
      <w:tr w:rsidR="00931D58" w:rsidRPr="001A61F1" w14:paraId="0B727475" w14:textId="77777777" w:rsidTr="00036890">
        <w:tc>
          <w:tcPr>
            <w:tcW w:w="5387" w:type="dxa"/>
          </w:tcPr>
          <w:p w14:paraId="14DF1500" w14:textId="77777777" w:rsidR="00931D58" w:rsidRPr="001A61F1" w:rsidRDefault="00931D58" w:rsidP="00931D58">
            <w:pPr>
              <w:spacing w:before="20"/>
              <w:ind w:left="176"/>
              <w:jc w:val="both"/>
              <w:rPr>
                <w:sz w:val="16"/>
                <w:szCs w:val="16"/>
              </w:rPr>
            </w:pPr>
            <w:r>
              <w:rPr>
                <w:sz w:val="16"/>
                <w:szCs w:val="16"/>
              </w:rPr>
              <w:t>No</w:t>
            </w:r>
          </w:p>
        </w:tc>
        <w:tc>
          <w:tcPr>
            <w:tcW w:w="1134" w:type="dxa"/>
            <w:shd w:val="clear" w:color="auto" w:fill="auto"/>
            <w:vAlign w:val="bottom"/>
          </w:tcPr>
          <w:p w14:paraId="4D356137" w14:textId="77777777" w:rsidR="00931D58" w:rsidRPr="00931D58" w:rsidRDefault="00931D58" w:rsidP="00931D58">
            <w:pPr>
              <w:jc w:val="right"/>
              <w:rPr>
                <w:color w:val="000000"/>
                <w:sz w:val="16"/>
                <w:szCs w:val="16"/>
                <w:lang w:eastAsia="en-NZ"/>
              </w:rPr>
            </w:pPr>
            <w:r w:rsidRPr="00931D58">
              <w:rPr>
                <w:color w:val="000000"/>
                <w:sz w:val="16"/>
                <w:szCs w:val="16"/>
                <w:lang w:eastAsia="en-NZ"/>
              </w:rPr>
              <w:t>1.00</w:t>
            </w:r>
          </w:p>
        </w:tc>
        <w:tc>
          <w:tcPr>
            <w:tcW w:w="1134" w:type="dxa"/>
            <w:shd w:val="clear" w:color="auto" w:fill="auto"/>
            <w:vAlign w:val="bottom"/>
          </w:tcPr>
          <w:p w14:paraId="13DF4803" w14:textId="77777777" w:rsidR="00931D58" w:rsidRPr="00931D58" w:rsidRDefault="00931D58" w:rsidP="00931D58">
            <w:pPr>
              <w:jc w:val="right"/>
              <w:rPr>
                <w:color w:val="000000"/>
                <w:sz w:val="16"/>
                <w:szCs w:val="16"/>
                <w:lang w:eastAsia="en-NZ"/>
              </w:rPr>
            </w:pPr>
          </w:p>
        </w:tc>
        <w:tc>
          <w:tcPr>
            <w:tcW w:w="850" w:type="dxa"/>
            <w:shd w:val="clear" w:color="auto" w:fill="auto"/>
            <w:vAlign w:val="bottom"/>
          </w:tcPr>
          <w:p w14:paraId="77DA4413" w14:textId="77777777" w:rsidR="00931D58" w:rsidRPr="00931D58" w:rsidRDefault="00931D58" w:rsidP="00931D58">
            <w:pPr>
              <w:jc w:val="right"/>
              <w:rPr>
                <w:color w:val="000000"/>
                <w:sz w:val="16"/>
                <w:szCs w:val="16"/>
                <w:lang w:eastAsia="en-NZ"/>
              </w:rPr>
            </w:pPr>
          </w:p>
        </w:tc>
      </w:tr>
      <w:tr w:rsidR="00931D58" w:rsidRPr="001A61F1" w14:paraId="5B3AFD64" w14:textId="77777777" w:rsidTr="00826105">
        <w:tc>
          <w:tcPr>
            <w:tcW w:w="5387" w:type="dxa"/>
          </w:tcPr>
          <w:p w14:paraId="40EA612E" w14:textId="77777777" w:rsidR="00931D58" w:rsidRPr="001A61F1" w:rsidRDefault="00931D58" w:rsidP="00931D58">
            <w:pPr>
              <w:spacing w:before="20"/>
              <w:ind w:left="176"/>
              <w:jc w:val="both"/>
              <w:rPr>
                <w:sz w:val="16"/>
                <w:szCs w:val="16"/>
              </w:rPr>
            </w:pPr>
            <w:r>
              <w:rPr>
                <w:sz w:val="16"/>
                <w:szCs w:val="16"/>
              </w:rPr>
              <w:t>Yes</w:t>
            </w:r>
          </w:p>
        </w:tc>
        <w:tc>
          <w:tcPr>
            <w:tcW w:w="1134" w:type="dxa"/>
            <w:shd w:val="clear" w:color="auto" w:fill="auto"/>
            <w:vAlign w:val="bottom"/>
          </w:tcPr>
          <w:p w14:paraId="7A9EEFC8" w14:textId="77777777" w:rsidR="00931D58" w:rsidRPr="00931D58" w:rsidRDefault="00931D58" w:rsidP="00931D58">
            <w:pPr>
              <w:jc w:val="right"/>
              <w:rPr>
                <w:color w:val="000000"/>
                <w:sz w:val="16"/>
                <w:szCs w:val="16"/>
                <w:lang w:eastAsia="en-NZ"/>
              </w:rPr>
            </w:pPr>
            <w:r w:rsidRPr="00931D58">
              <w:rPr>
                <w:color w:val="000000"/>
                <w:sz w:val="16"/>
                <w:szCs w:val="16"/>
                <w:lang w:eastAsia="en-NZ"/>
              </w:rPr>
              <w:t>2.16</w:t>
            </w:r>
          </w:p>
        </w:tc>
        <w:tc>
          <w:tcPr>
            <w:tcW w:w="1134" w:type="dxa"/>
            <w:shd w:val="clear" w:color="auto" w:fill="auto"/>
            <w:vAlign w:val="bottom"/>
          </w:tcPr>
          <w:p w14:paraId="3E61D633" w14:textId="77777777" w:rsidR="00931D58" w:rsidRPr="00931D58" w:rsidRDefault="00931D58" w:rsidP="00931D58">
            <w:pPr>
              <w:jc w:val="right"/>
              <w:rPr>
                <w:color w:val="000000"/>
                <w:sz w:val="16"/>
                <w:szCs w:val="16"/>
                <w:lang w:eastAsia="en-NZ"/>
              </w:rPr>
            </w:pPr>
            <w:r w:rsidRPr="00931D58">
              <w:rPr>
                <w:color w:val="000000"/>
                <w:sz w:val="16"/>
                <w:szCs w:val="16"/>
                <w:lang w:eastAsia="en-NZ"/>
              </w:rPr>
              <w:t>(1.73, 2.70)</w:t>
            </w:r>
          </w:p>
        </w:tc>
        <w:tc>
          <w:tcPr>
            <w:tcW w:w="850" w:type="dxa"/>
            <w:shd w:val="clear" w:color="auto" w:fill="auto"/>
            <w:vAlign w:val="bottom"/>
          </w:tcPr>
          <w:p w14:paraId="4A6336D2" w14:textId="77777777" w:rsidR="00931D58" w:rsidRPr="00931D58" w:rsidRDefault="00931D58" w:rsidP="00931D58">
            <w:pPr>
              <w:jc w:val="right"/>
              <w:rPr>
                <w:color w:val="000000"/>
                <w:sz w:val="16"/>
                <w:szCs w:val="16"/>
                <w:lang w:eastAsia="en-NZ"/>
              </w:rPr>
            </w:pPr>
            <w:r w:rsidRPr="00931D58">
              <w:rPr>
                <w:color w:val="000000"/>
                <w:sz w:val="16"/>
                <w:szCs w:val="16"/>
                <w:lang w:eastAsia="en-NZ"/>
              </w:rPr>
              <w:t>&lt;</w:t>
            </w:r>
            <w:r>
              <w:rPr>
                <w:color w:val="000000"/>
                <w:sz w:val="16"/>
                <w:szCs w:val="16"/>
                <w:lang w:eastAsia="en-NZ"/>
              </w:rPr>
              <w:t>0</w:t>
            </w:r>
            <w:r w:rsidRPr="00931D58">
              <w:rPr>
                <w:color w:val="000000"/>
                <w:sz w:val="16"/>
                <w:szCs w:val="16"/>
                <w:lang w:eastAsia="en-NZ"/>
              </w:rPr>
              <w:t>.0001</w:t>
            </w:r>
          </w:p>
        </w:tc>
      </w:tr>
      <w:tr w:rsidR="00931D58" w:rsidRPr="001A61F1" w14:paraId="431FFE1B" w14:textId="77777777" w:rsidTr="00036890">
        <w:tc>
          <w:tcPr>
            <w:tcW w:w="5387" w:type="dxa"/>
          </w:tcPr>
          <w:p w14:paraId="0117BCC6" w14:textId="77777777" w:rsidR="00931D58" w:rsidRPr="00931D58" w:rsidRDefault="00931D58" w:rsidP="00931D58">
            <w:pPr>
              <w:rPr>
                <w:b/>
                <w:sz w:val="16"/>
                <w:szCs w:val="16"/>
              </w:rPr>
            </w:pPr>
            <w:r w:rsidRPr="00931D58">
              <w:rPr>
                <w:b/>
                <w:sz w:val="16"/>
                <w:szCs w:val="16"/>
              </w:rPr>
              <w:t>Ever smoked daily for a period of time</w:t>
            </w:r>
          </w:p>
        </w:tc>
        <w:tc>
          <w:tcPr>
            <w:tcW w:w="1134" w:type="dxa"/>
            <w:shd w:val="clear" w:color="auto" w:fill="auto"/>
            <w:vAlign w:val="center"/>
          </w:tcPr>
          <w:p w14:paraId="06B1AA6F" w14:textId="77777777" w:rsidR="00931D58" w:rsidRPr="00637CF2" w:rsidRDefault="00931D58" w:rsidP="00931D58">
            <w:pPr>
              <w:jc w:val="right"/>
              <w:rPr>
                <w:color w:val="000000"/>
                <w:sz w:val="16"/>
                <w:szCs w:val="16"/>
                <w:lang w:eastAsia="en-NZ"/>
              </w:rPr>
            </w:pPr>
          </w:p>
        </w:tc>
        <w:tc>
          <w:tcPr>
            <w:tcW w:w="1134" w:type="dxa"/>
            <w:shd w:val="clear" w:color="auto" w:fill="auto"/>
            <w:vAlign w:val="center"/>
          </w:tcPr>
          <w:p w14:paraId="68E42822" w14:textId="77777777" w:rsidR="00931D58" w:rsidRPr="00637CF2" w:rsidRDefault="00931D58" w:rsidP="00931D58">
            <w:pPr>
              <w:jc w:val="right"/>
              <w:rPr>
                <w:color w:val="000000"/>
                <w:sz w:val="16"/>
                <w:szCs w:val="16"/>
                <w:lang w:eastAsia="en-NZ"/>
              </w:rPr>
            </w:pPr>
          </w:p>
        </w:tc>
        <w:tc>
          <w:tcPr>
            <w:tcW w:w="850" w:type="dxa"/>
            <w:shd w:val="clear" w:color="auto" w:fill="auto"/>
            <w:vAlign w:val="center"/>
          </w:tcPr>
          <w:p w14:paraId="13E49475" w14:textId="77777777" w:rsidR="00931D58" w:rsidRPr="00637CF2" w:rsidRDefault="00931D58" w:rsidP="00931D58">
            <w:pPr>
              <w:jc w:val="right"/>
              <w:rPr>
                <w:color w:val="000000"/>
                <w:sz w:val="16"/>
                <w:szCs w:val="16"/>
                <w:lang w:eastAsia="en-NZ"/>
              </w:rPr>
            </w:pPr>
          </w:p>
        </w:tc>
      </w:tr>
      <w:tr w:rsidR="00931D58" w:rsidRPr="001A61F1" w14:paraId="2795BBB7" w14:textId="77777777" w:rsidTr="00036890">
        <w:tc>
          <w:tcPr>
            <w:tcW w:w="5387" w:type="dxa"/>
          </w:tcPr>
          <w:p w14:paraId="3D643517" w14:textId="77777777" w:rsidR="00931D58" w:rsidRPr="001A61F1" w:rsidRDefault="00931D58" w:rsidP="00931D58">
            <w:pPr>
              <w:spacing w:before="20"/>
              <w:ind w:left="176"/>
              <w:jc w:val="both"/>
              <w:rPr>
                <w:sz w:val="16"/>
                <w:szCs w:val="16"/>
              </w:rPr>
            </w:pPr>
            <w:r>
              <w:rPr>
                <w:sz w:val="16"/>
                <w:szCs w:val="16"/>
              </w:rPr>
              <w:t>No</w:t>
            </w:r>
          </w:p>
        </w:tc>
        <w:tc>
          <w:tcPr>
            <w:tcW w:w="1134" w:type="dxa"/>
            <w:shd w:val="clear" w:color="auto" w:fill="auto"/>
            <w:vAlign w:val="bottom"/>
          </w:tcPr>
          <w:p w14:paraId="485580AE" w14:textId="77777777" w:rsidR="00931D58" w:rsidRPr="00931D58" w:rsidRDefault="00931D58" w:rsidP="00931D58">
            <w:pPr>
              <w:jc w:val="right"/>
              <w:rPr>
                <w:color w:val="000000"/>
                <w:sz w:val="16"/>
                <w:szCs w:val="16"/>
                <w:lang w:eastAsia="en-NZ"/>
              </w:rPr>
            </w:pPr>
            <w:r w:rsidRPr="00931D58">
              <w:rPr>
                <w:color w:val="000000"/>
                <w:sz w:val="16"/>
                <w:szCs w:val="16"/>
                <w:lang w:eastAsia="en-NZ"/>
              </w:rPr>
              <w:t>1.00</w:t>
            </w:r>
          </w:p>
        </w:tc>
        <w:tc>
          <w:tcPr>
            <w:tcW w:w="1134" w:type="dxa"/>
            <w:shd w:val="clear" w:color="auto" w:fill="auto"/>
            <w:vAlign w:val="bottom"/>
          </w:tcPr>
          <w:p w14:paraId="13367E70" w14:textId="77777777" w:rsidR="00931D58" w:rsidRPr="00931D58" w:rsidRDefault="00931D58" w:rsidP="00931D58">
            <w:pPr>
              <w:jc w:val="right"/>
              <w:rPr>
                <w:color w:val="000000"/>
                <w:sz w:val="16"/>
                <w:szCs w:val="16"/>
                <w:lang w:eastAsia="en-NZ"/>
              </w:rPr>
            </w:pPr>
          </w:p>
        </w:tc>
        <w:tc>
          <w:tcPr>
            <w:tcW w:w="850" w:type="dxa"/>
            <w:shd w:val="clear" w:color="auto" w:fill="auto"/>
            <w:vAlign w:val="bottom"/>
          </w:tcPr>
          <w:p w14:paraId="2C9D3F64" w14:textId="77777777" w:rsidR="00931D58" w:rsidRPr="00931D58" w:rsidRDefault="00931D58" w:rsidP="00931D58">
            <w:pPr>
              <w:jc w:val="right"/>
              <w:rPr>
                <w:color w:val="000000"/>
                <w:sz w:val="16"/>
                <w:szCs w:val="16"/>
                <w:lang w:eastAsia="en-NZ"/>
              </w:rPr>
            </w:pPr>
          </w:p>
        </w:tc>
      </w:tr>
      <w:tr w:rsidR="00931D58" w:rsidRPr="001A61F1" w14:paraId="5AC2D8A2" w14:textId="77777777" w:rsidTr="00826105">
        <w:tc>
          <w:tcPr>
            <w:tcW w:w="5387" w:type="dxa"/>
            <w:tcBorders>
              <w:bottom w:val="single" w:sz="4" w:space="0" w:color="auto"/>
            </w:tcBorders>
          </w:tcPr>
          <w:p w14:paraId="364F33E6" w14:textId="77777777" w:rsidR="00931D58" w:rsidRPr="001A61F1" w:rsidRDefault="00931D58" w:rsidP="00931D58">
            <w:pPr>
              <w:spacing w:before="20"/>
              <w:ind w:left="176"/>
              <w:jc w:val="both"/>
              <w:rPr>
                <w:sz w:val="16"/>
                <w:szCs w:val="16"/>
              </w:rPr>
            </w:pPr>
            <w:r>
              <w:rPr>
                <w:sz w:val="16"/>
                <w:szCs w:val="16"/>
              </w:rPr>
              <w:t>Yes</w:t>
            </w:r>
          </w:p>
        </w:tc>
        <w:tc>
          <w:tcPr>
            <w:tcW w:w="1134" w:type="dxa"/>
            <w:tcBorders>
              <w:bottom w:val="single" w:sz="4" w:space="0" w:color="auto"/>
            </w:tcBorders>
            <w:shd w:val="clear" w:color="auto" w:fill="auto"/>
            <w:vAlign w:val="bottom"/>
          </w:tcPr>
          <w:p w14:paraId="1786BEEC" w14:textId="77777777" w:rsidR="00931D58" w:rsidRPr="00931D58" w:rsidRDefault="00931D58" w:rsidP="00931D58">
            <w:pPr>
              <w:jc w:val="right"/>
              <w:rPr>
                <w:color w:val="000000"/>
                <w:sz w:val="16"/>
                <w:szCs w:val="16"/>
                <w:lang w:eastAsia="en-NZ"/>
              </w:rPr>
            </w:pPr>
            <w:r w:rsidRPr="00931D58">
              <w:rPr>
                <w:color w:val="000000"/>
                <w:sz w:val="16"/>
                <w:szCs w:val="16"/>
                <w:lang w:eastAsia="en-NZ"/>
              </w:rPr>
              <w:t>2.07</w:t>
            </w:r>
          </w:p>
        </w:tc>
        <w:tc>
          <w:tcPr>
            <w:tcW w:w="1134" w:type="dxa"/>
            <w:tcBorders>
              <w:bottom w:val="single" w:sz="4" w:space="0" w:color="auto"/>
            </w:tcBorders>
            <w:shd w:val="clear" w:color="auto" w:fill="auto"/>
            <w:vAlign w:val="bottom"/>
          </w:tcPr>
          <w:p w14:paraId="27571856" w14:textId="77777777" w:rsidR="00931D58" w:rsidRPr="00931D58" w:rsidRDefault="00931D58" w:rsidP="00931D58">
            <w:pPr>
              <w:jc w:val="right"/>
              <w:rPr>
                <w:color w:val="000000"/>
                <w:sz w:val="16"/>
                <w:szCs w:val="16"/>
                <w:lang w:eastAsia="en-NZ"/>
              </w:rPr>
            </w:pPr>
            <w:r w:rsidRPr="00931D58">
              <w:rPr>
                <w:color w:val="000000"/>
                <w:sz w:val="16"/>
                <w:szCs w:val="16"/>
                <w:lang w:eastAsia="en-NZ"/>
              </w:rPr>
              <w:t>(1.64, 2.60)</w:t>
            </w:r>
          </w:p>
        </w:tc>
        <w:tc>
          <w:tcPr>
            <w:tcW w:w="850" w:type="dxa"/>
            <w:tcBorders>
              <w:bottom w:val="single" w:sz="4" w:space="0" w:color="auto"/>
            </w:tcBorders>
            <w:shd w:val="clear" w:color="auto" w:fill="auto"/>
            <w:vAlign w:val="bottom"/>
          </w:tcPr>
          <w:p w14:paraId="534D6259" w14:textId="77777777" w:rsidR="00931D58" w:rsidRPr="00931D58" w:rsidRDefault="00931D58" w:rsidP="00931D58">
            <w:pPr>
              <w:jc w:val="right"/>
              <w:rPr>
                <w:color w:val="000000"/>
                <w:sz w:val="16"/>
                <w:szCs w:val="16"/>
                <w:lang w:eastAsia="en-NZ"/>
              </w:rPr>
            </w:pPr>
            <w:r w:rsidRPr="00931D58">
              <w:rPr>
                <w:color w:val="000000"/>
                <w:sz w:val="16"/>
                <w:szCs w:val="16"/>
                <w:lang w:eastAsia="en-NZ"/>
              </w:rPr>
              <w:t>&lt;</w:t>
            </w:r>
            <w:r>
              <w:rPr>
                <w:color w:val="000000"/>
                <w:sz w:val="16"/>
                <w:szCs w:val="16"/>
                <w:lang w:eastAsia="en-NZ"/>
              </w:rPr>
              <w:t>0</w:t>
            </w:r>
            <w:r w:rsidRPr="00931D58">
              <w:rPr>
                <w:color w:val="000000"/>
                <w:sz w:val="16"/>
                <w:szCs w:val="16"/>
                <w:lang w:eastAsia="en-NZ"/>
              </w:rPr>
              <w:t>.0001</w:t>
            </w:r>
          </w:p>
        </w:tc>
      </w:tr>
    </w:tbl>
    <w:p w14:paraId="7FFD92B1" w14:textId="77777777" w:rsidR="005E1C4B" w:rsidRDefault="005E1C4B" w:rsidP="005E1C4B">
      <w:pPr>
        <w:rPr>
          <w:rFonts w:eastAsiaTheme="majorEastAsia"/>
          <w:sz w:val="16"/>
          <w:lang w:eastAsia="en-US"/>
        </w:rPr>
      </w:pPr>
      <w:r>
        <w:rPr>
          <w:rFonts w:eastAsiaTheme="majorEastAsia"/>
          <w:sz w:val="16"/>
          <w:lang w:eastAsia="en-US"/>
        </w:rPr>
        <w:t>Data weighted for 2013 Census data (all Waves) and attrition (Waves 2, 3 and 4)</w:t>
      </w:r>
    </w:p>
    <w:p w14:paraId="3DF19A52" w14:textId="77777777" w:rsidR="005E1C4B" w:rsidRDefault="005E1C4B" w:rsidP="00302A4C">
      <w:pPr>
        <w:rPr>
          <w:rFonts w:eastAsiaTheme="majorEastAsia" w:cstheme="majorBidi"/>
          <w:b/>
          <w:bCs/>
          <w:caps/>
          <w:szCs w:val="28"/>
          <w:lang w:eastAsia="en-US"/>
        </w:rPr>
      </w:pPr>
    </w:p>
    <w:p w14:paraId="78BA05BD" w14:textId="77777777" w:rsidR="00EF12F2" w:rsidRDefault="00EF12F2">
      <w:pPr>
        <w:spacing w:after="200" w:line="276" w:lineRule="auto"/>
        <w:rPr>
          <w:rFonts w:eastAsiaTheme="majorEastAsia" w:cstheme="majorBidi"/>
          <w:b/>
          <w:bCs/>
          <w:caps/>
          <w:szCs w:val="28"/>
          <w:lang w:eastAsia="en-US"/>
        </w:rPr>
      </w:pPr>
      <w:r>
        <w:br w:type="page"/>
      </w:r>
    </w:p>
    <w:p w14:paraId="137B2E95" w14:textId="77777777" w:rsidR="00EF12F2" w:rsidRDefault="00EF12F2" w:rsidP="00EF12F2">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bookmarkStart w:id="222" w:name="_Toc504488422"/>
      <w:r>
        <w:t xml:space="preserve">APPENDIX </w:t>
      </w:r>
      <w:r w:rsidR="00D9465C">
        <w:t>29</w:t>
      </w:r>
      <w:r w:rsidRPr="00230801">
        <w:t>:</w:t>
      </w:r>
      <w:r w:rsidRPr="00230801">
        <w:br/>
      </w:r>
      <w:r w:rsidRPr="00230801">
        <w:rPr>
          <w:caps w:val="0"/>
        </w:rPr>
        <w:t xml:space="preserve">Statistically significant bivariate associations </w:t>
      </w:r>
      <w:r w:rsidR="00826105">
        <w:rPr>
          <w:caps w:val="0"/>
        </w:rPr>
        <w:t xml:space="preserve">with </w:t>
      </w:r>
      <w:r w:rsidR="00362AFC">
        <w:rPr>
          <w:caps w:val="0"/>
        </w:rPr>
        <w:t xml:space="preserve">the chance of </w:t>
      </w:r>
      <w:r w:rsidR="00826105">
        <w:rPr>
          <w:caps w:val="0"/>
        </w:rPr>
        <w:t>being a past year low-risk/moderate-risk/problem gambler vs. being a non-problem/non-gambler across Waves 1 to 4</w:t>
      </w:r>
      <w:bookmarkEnd w:id="222"/>
      <w:r>
        <w:rPr>
          <w:caps w:val="0"/>
        </w:rPr>
        <w:t xml:space="preserve"> </w:t>
      </w:r>
    </w:p>
    <w:p w14:paraId="77B6B49C" w14:textId="77777777" w:rsidR="00EF12F2" w:rsidRPr="00302A4C" w:rsidRDefault="00EF12F2" w:rsidP="00EF12F2">
      <w:pPr>
        <w:pStyle w:val="RepNormal"/>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992"/>
        <w:gridCol w:w="1276"/>
        <w:gridCol w:w="850"/>
      </w:tblGrid>
      <w:tr w:rsidR="00EF12F2" w:rsidRPr="003F15C0" w14:paraId="35CA9536" w14:textId="77777777" w:rsidTr="005F3C25">
        <w:trPr>
          <w:tblHeader/>
        </w:trPr>
        <w:tc>
          <w:tcPr>
            <w:tcW w:w="5387" w:type="dxa"/>
            <w:tcBorders>
              <w:top w:val="single" w:sz="4" w:space="0" w:color="auto"/>
              <w:bottom w:val="single" w:sz="4" w:space="0" w:color="auto"/>
            </w:tcBorders>
            <w:vAlign w:val="bottom"/>
          </w:tcPr>
          <w:p w14:paraId="373BC480" w14:textId="77777777" w:rsidR="00EF12F2" w:rsidRPr="003F15C0" w:rsidRDefault="00EF12F2" w:rsidP="00FB6528">
            <w:pPr>
              <w:spacing w:before="20"/>
              <w:jc w:val="both"/>
              <w:rPr>
                <w:b/>
                <w:sz w:val="16"/>
                <w:szCs w:val="16"/>
              </w:rPr>
            </w:pPr>
            <w:r>
              <w:rPr>
                <w:b/>
                <w:sz w:val="16"/>
                <w:szCs w:val="16"/>
              </w:rPr>
              <w:t>Wave 1 v</w:t>
            </w:r>
            <w:r w:rsidRPr="003F15C0">
              <w:rPr>
                <w:b/>
                <w:sz w:val="16"/>
                <w:szCs w:val="16"/>
              </w:rPr>
              <w:t>ariable</w:t>
            </w:r>
          </w:p>
        </w:tc>
        <w:tc>
          <w:tcPr>
            <w:tcW w:w="992" w:type="dxa"/>
            <w:tcBorders>
              <w:top w:val="single" w:sz="4" w:space="0" w:color="auto"/>
              <w:bottom w:val="single" w:sz="4" w:space="0" w:color="auto"/>
            </w:tcBorders>
            <w:vAlign w:val="bottom"/>
          </w:tcPr>
          <w:p w14:paraId="0AEE37D9" w14:textId="484EB5F3" w:rsidR="00EF12F2" w:rsidRPr="003F15C0" w:rsidRDefault="004B0286" w:rsidP="00FB6528">
            <w:pPr>
              <w:spacing w:before="20"/>
              <w:jc w:val="right"/>
              <w:rPr>
                <w:b/>
                <w:color w:val="000000"/>
                <w:sz w:val="16"/>
                <w:szCs w:val="16"/>
              </w:rPr>
            </w:pPr>
            <w:r>
              <w:rPr>
                <w:b/>
                <w:color w:val="000000"/>
                <w:sz w:val="16"/>
                <w:szCs w:val="16"/>
              </w:rPr>
              <w:t>Odds r</w:t>
            </w:r>
            <w:r w:rsidR="00EF12F2" w:rsidRPr="003F15C0">
              <w:rPr>
                <w:b/>
                <w:color w:val="000000"/>
                <w:sz w:val="16"/>
                <w:szCs w:val="16"/>
              </w:rPr>
              <w:t>atio</w:t>
            </w:r>
          </w:p>
        </w:tc>
        <w:tc>
          <w:tcPr>
            <w:tcW w:w="1276" w:type="dxa"/>
            <w:tcBorders>
              <w:top w:val="single" w:sz="4" w:space="0" w:color="auto"/>
              <w:bottom w:val="single" w:sz="4" w:space="0" w:color="auto"/>
            </w:tcBorders>
            <w:vAlign w:val="bottom"/>
          </w:tcPr>
          <w:p w14:paraId="6FE12F09" w14:textId="77777777" w:rsidR="00EF12F2" w:rsidRPr="003F15C0" w:rsidRDefault="00EF12F2" w:rsidP="00FB6528">
            <w:pPr>
              <w:spacing w:before="20"/>
              <w:jc w:val="right"/>
              <w:rPr>
                <w:b/>
                <w:color w:val="000000"/>
                <w:sz w:val="16"/>
                <w:szCs w:val="16"/>
              </w:rPr>
            </w:pPr>
            <w:r w:rsidRPr="003F15C0">
              <w:rPr>
                <w:b/>
                <w:color w:val="000000"/>
                <w:sz w:val="16"/>
                <w:szCs w:val="16"/>
              </w:rPr>
              <w:t>(95% CI)</w:t>
            </w:r>
          </w:p>
        </w:tc>
        <w:tc>
          <w:tcPr>
            <w:tcW w:w="850" w:type="dxa"/>
            <w:tcBorders>
              <w:top w:val="single" w:sz="4" w:space="0" w:color="auto"/>
              <w:bottom w:val="single" w:sz="4" w:space="0" w:color="auto"/>
            </w:tcBorders>
            <w:vAlign w:val="bottom"/>
          </w:tcPr>
          <w:p w14:paraId="2CD656BE" w14:textId="77777777" w:rsidR="00EF12F2" w:rsidRPr="003F15C0" w:rsidRDefault="00EF12F2" w:rsidP="00FB6528">
            <w:pPr>
              <w:spacing w:before="20"/>
              <w:jc w:val="right"/>
              <w:rPr>
                <w:b/>
                <w:color w:val="000000"/>
                <w:sz w:val="16"/>
                <w:szCs w:val="16"/>
              </w:rPr>
            </w:pPr>
            <w:r w:rsidRPr="003F15C0">
              <w:rPr>
                <w:b/>
                <w:color w:val="000000"/>
                <w:sz w:val="16"/>
                <w:szCs w:val="16"/>
              </w:rPr>
              <w:t>p-value</w:t>
            </w:r>
          </w:p>
        </w:tc>
      </w:tr>
      <w:tr w:rsidR="00EF12F2" w:rsidRPr="003F15C0" w14:paraId="66A791AD" w14:textId="77777777" w:rsidTr="005F3C25">
        <w:tc>
          <w:tcPr>
            <w:tcW w:w="5387" w:type="dxa"/>
          </w:tcPr>
          <w:p w14:paraId="37CAF875" w14:textId="77777777" w:rsidR="00EF12F2" w:rsidRPr="009A1B9E" w:rsidRDefault="00EF12F2" w:rsidP="00FB6528">
            <w:pPr>
              <w:spacing w:before="20"/>
              <w:jc w:val="both"/>
              <w:rPr>
                <w:b/>
                <w:sz w:val="16"/>
                <w:szCs w:val="16"/>
              </w:rPr>
            </w:pPr>
            <w:r w:rsidRPr="009A1B9E">
              <w:rPr>
                <w:b/>
                <w:sz w:val="16"/>
                <w:szCs w:val="16"/>
              </w:rPr>
              <w:t>Age group (years)</w:t>
            </w:r>
          </w:p>
        </w:tc>
        <w:tc>
          <w:tcPr>
            <w:tcW w:w="992" w:type="dxa"/>
            <w:shd w:val="clear" w:color="auto" w:fill="auto"/>
            <w:vAlign w:val="center"/>
          </w:tcPr>
          <w:p w14:paraId="00AA710E" w14:textId="77777777" w:rsidR="00EF12F2" w:rsidRPr="00FE7300" w:rsidRDefault="00EF12F2" w:rsidP="00FB6528">
            <w:pPr>
              <w:jc w:val="right"/>
              <w:rPr>
                <w:color w:val="000000"/>
                <w:sz w:val="16"/>
                <w:szCs w:val="16"/>
                <w:lang w:eastAsia="en-NZ"/>
              </w:rPr>
            </w:pPr>
          </w:p>
        </w:tc>
        <w:tc>
          <w:tcPr>
            <w:tcW w:w="1276" w:type="dxa"/>
            <w:shd w:val="clear" w:color="auto" w:fill="auto"/>
            <w:vAlign w:val="center"/>
          </w:tcPr>
          <w:p w14:paraId="25BFE3AE" w14:textId="77777777" w:rsidR="00EF12F2" w:rsidRPr="00FE7300" w:rsidRDefault="00EF12F2" w:rsidP="00FB6528">
            <w:pPr>
              <w:jc w:val="right"/>
              <w:rPr>
                <w:color w:val="000000"/>
                <w:sz w:val="16"/>
                <w:szCs w:val="16"/>
                <w:lang w:eastAsia="en-NZ"/>
              </w:rPr>
            </w:pPr>
          </w:p>
        </w:tc>
        <w:tc>
          <w:tcPr>
            <w:tcW w:w="850" w:type="dxa"/>
            <w:shd w:val="clear" w:color="auto" w:fill="auto"/>
            <w:vAlign w:val="center"/>
          </w:tcPr>
          <w:p w14:paraId="4D8E4987" w14:textId="77777777" w:rsidR="00EF12F2" w:rsidRPr="00FE7300" w:rsidRDefault="00EF12F2" w:rsidP="00FB6528">
            <w:pPr>
              <w:jc w:val="right"/>
              <w:rPr>
                <w:color w:val="000000"/>
                <w:sz w:val="16"/>
                <w:szCs w:val="16"/>
                <w:lang w:eastAsia="en-NZ"/>
              </w:rPr>
            </w:pPr>
          </w:p>
        </w:tc>
      </w:tr>
      <w:tr w:rsidR="00EF12F2" w:rsidRPr="003F15C0" w14:paraId="7A15594A" w14:textId="77777777" w:rsidTr="005F3C25">
        <w:tc>
          <w:tcPr>
            <w:tcW w:w="5387" w:type="dxa"/>
            <w:vAlign w:val="bottom"/>
          </w:tcPr>
          <w:p w14:paraId="458C82E6" w14:textId="77777777" w:rsidR="00EF12F2" w:rsidRPr="009A1B9E" w:rsidRDefault="00EF12F2" w:rsidP="00EF12F2">
            <w:pPr>
              <w:spacing w:before="20"/>
              <w:ind w:left="176"/>
              <w:jc w:val="both"/>
              <w:rPr>
                <w:sz w:val="16"/>
                <w:szCs w:val="16"/>
              </w:rPr>
            </w:pPr>
            <w:r w:rsidRPr="009A1B9E">
              <w:rPr>
                <w:sz w:val="16"/>
                <w:szCs w:val="16"/>
              </w:rPr>
              <w:t>18</w:t>
            </w:r>
            <w:r>
              <w:rPr>
                <w:sz w:val="16"/>
                <w:szCs w:val="16"/>
              </w:rPr>
              <w:t xml:space="preserve"> </w:t>
            </w:r>
            <w:r w:rsidRPr="009A1B9E">
              <w:rPr>
                <w:sz w:val="16"/>
                <w:szCs w:val="16"/>
              </w:rPr>
              <w:t>-</w:t>
            </w:r>
            <w:r>
              <w:rPr>
                <w:sz w:val="16"/>
                <w:szCs w:val="16"/>
              </w:rPr>
              <w:t xml:space="preserve"> </w:t>
            </w:r>
            <w:r w:rsidRPr="009A1B9E">
              <w:rPr>
                <w:sz w:val="16"/>
                <w:szCs w:val="16"/>
              </w:rPr>
              <w:t>39</w:t>
            </w:r>
          </w:p>
        </w:tc>
        <w:tc>
          <w:tcPr>
            <w:tcW w:w="992" w:type="dxa"/>
            <w:shd w:val="clear" w:color="auto" w:fill="auto"/>
            <w:vAlign w:val="bottom"/>
          </w:tcPr>
          <w:p w14:paraId="3A867E5B" w14:textId="77777777" w:rsidR="00EF12F2" w:rsidRPr="00EF12F2" w:rsidRDefault="00EF12F2" w:rsidP="00EF12F2">
            <w:pPr>
              <w:jc w:val="right"/>
              <w:rPr>
                <w:color w:val="000000"/>
                <w:sz w:val="16"/>
                <w:szCs w:val="16"/>
                <w:lang w:eastAsia="en-NZ"/>
              </w:rPr>
            </w:pPr>
            <w:r w:rsidRPr="00EF12F2">
              <w:rPr>
                <w:color w:val="000000"/>
                <w:sz w:val="16"/>
                <w:szCs w:val="16"/>
                <w:lang w:eastAsia="en-NZ"/>
              </w:rPr>
              <w:t>1.00</w:t>
            </w:r>
          </w:p>
        </w:tc>
        <w:tc>
          <w:tcPr>
            <w:tcW w:w="1276" w:type="dxa"/>
            <w:shd w:val="clear" w:color="auto" w:fill="auto"/>
            <w:vAlign w:val="bottom"/>
          </w:tcPr>
          <w:p w14:paraId="54AA49DD" w14:textId="77777777" w:rsidR="00EF12F2" w:rsidRPr="00EF12F2" w:rsidRDefault="00EF12F2" w:rsidP="00EF12F2">
            <w:pPr>
              <w:jc w:val="right"/>
              <w:rPr>
                <w:color w:val="000000"/>
                <w:sz w:val="16"/>
                <w:szCs w:val="16"/>
                <w:lang w:eastAsia="en-NZ"/>
              </w:rPr>
            </w:pPr>
          </w:p>
        </w:tc>
        <w:tc>
          <w:tcPr>
            <w:tcW w:w="850" w:type="dxa"/>
            <w:shd w:val="clear" w:color="auto" w:fill="auto"/>
            <w:vAlign w:val="bottom"/>
          </w:tcPr>
          <w:p w14:paraId="23E09734" w14:textId="77777777" w:rsidR="00EF12F2" w:rsidRPr="00EF12F2" w:rsidRDefault="00EF12F2" w:rsidP="00EF12F2">
            <w:pPr>
              <w:jc w:val="right"/>
              <w:rPr>
                <w:color w:val="000000"/>
                <w:sz w:val="16"/>
                <w:szCs w:val="16"/>
                <w:lang w:eastAsia="en-NZ"/>
              </w:rPr>
            </w:pPr>
          </w:p>
        </w:tc>
      </w:tr>
      <w:tr w:rsidR="00EF12F2" w:rsidRPr="003F15C0" w14:paraId="678AC666" w14:textId="77777777" w:rsidTr="005F3C25">
        <w:tc>
          <w:tcPr>
            <w:tcW w:w="5387" w:type="dxa"/>
            <w:vAlign w:val="bottom"/>
          </w:tcPr>
          <w:p w14:paraId="200F5CF4" w14:textId="77777777" w:rsidR="00EF12F2" w:rsidRPr="009A1B9E" w:rsidRDefault="00EF12F2" w:rsidP="00EF12F2">
            <w:pPr>
              <w:spacing w:before="20"/>
              <w:ind w:left="176"/>
              <w:jc w:val="both"/>
              <w:rPr>
                <w:sz w:val="16"/>
                <w:szCs w:val="16"/>
              </w:rPr>
            </w:pPr>
            <w:r w:rsidRPr="009A1B9E">
              <w:rPr>
                <w:sz w:val="16"/>
                <w:szCs w:val="16"/>
              </w:rPr>
              <w:t>40</w:t>
            </w:r>
            <w:r>
              <w:rPr>
                <w:sz w:val="16"/>
                <w:szCs w:val="16"/>
              </w:rPr>
              <w:t xml:space="preserve"> </w:t>
            </w:r>
            <w:r w:rsidRPr="009A1B9E">
              <w:rPr>
                <w:sz w:val="16"/>
                <w:szCs w:val="16"/>
              </w:rPr>
              <w:t>-</w:t>
            </w:r>
            <w:r>
              <w:rPr>
                <w:sz w:val="16"/>
                <w:szCs w:val="16"/>
              </w:rPr>
              <w:t xml:space="preserve"> </w:t>
            </w:r>
            <w:r w:rsidRPr="009A1B9E">
              <w:rPr>
                <w:sz w:val="16"/>
                <w:szCs w:val="16"/>
              </w:rPr>
              <w:t>64</w:t>
            </w:r>
          </w:p>
        </w:tc>
        <w:tc>
          <w:tcPr>
            <w:tcW w:w="992" w:type="dxa"/>
            <w:shd w:val="clear" w:color="auto" w:fill="auto"/>
            <w:vAlign w:val="bottom"/>
          </w:tcPr>
          <w:p w14:paraId="086DB3DE" w14:textId="77777777" w:rsidR="00EF12F2" w:rsidRPr="00EF12F2" w:rsidRDefault="00EF12F2" w:rsidP="00EF12F2">
            <w:pPr>
              <w:jc w:val="right"/>
              <w:rPr>
                <w:color w:val="000000"/>
                <w:sz w:val="16"/>
                <w:szCs w:val="16"/>
                <w:lang w:eastAsia="en-NZ"/>
              </w:rPr>
            </w:pPr>
            <w:r w:rsidRPr="00EF12F2">
              <w:rPr>
                <w:color w:val="000000"/>
                <w:sz w:val="16"/>
                <w:szCs w:val="16"/>
                <w:lang w:eastAsia="en-NZ"/>
              </w:rPr>
              <w:t>0.50</w:t>
            </w:r>
          </w:p>
        </w:tc>
        <w:tc>
          <w:tcPr>
            <w:tcW w:w="1276" w:type="dxa"/>
            <w:shd w:val="clear" w:color="auto" w:fill="auto"/>
            <w:vAlign w:val="bottom"/>
          </w:tcPr>
          <w:p w14:paraId="7399FA1A" w14:textId="77777777" w:rsidR="00EF12F2" w:rsidRPr="00EF12F2" w:rsidRDefault="00EF12F2" w:rsidP="00EF12F2">
            <w:pPr>
              <w:jc w:val="right"/>
              <w:rPr>
                <w:color w:val="000000"/>
                <w:sz w:val="16"/>
                <w:szCs w:val="16"/>
                <w:lang w:eastAsia="en-NZ"/>
              </w:rPr>
            </w:pPr>
            <w:r w:rsidRPr="00EF12F2">
              <w:rPr>
                <w:color w:val="000000"/>
                <w:sz w:val="16"/>
                <w:szCs w:val="16"/>
                <w:lang w:eastAsia="en-NZ"/>
              </w:rPr>
              <w:t>(0.33, 0.76)</w:t>
            </w:r>
          </w:p>
        </w:tc>
        <w:tc>
          <w:tcPr>
            <w:tcW w:w="850" w:type="dxa"/>
            <w:shd w:val="clear" w:color="auto" w:fill="auto"/>
            <w:vAlign w:val="bottom"/>
          </w:tcPr>
          <w:p w14:paraId="751CA8F5" w14:textId="77777777" w:rsidR="00EF12F2" w:rsidRPr="00EF12F2" w:rsidRDefault="00EF12F2" w:rsidP="00EF12F2">
            <w:pPr>
              <w:jc w:val="right"/>
              <w:rPr>
                <w:color w:val="000000"/>
                <w:sz w:val="16"/>
                <w:szCs w:val="16"/>
                <w:lang w:eastAsia="en-NZ"/>
              </w:rPr>
            </w:pPr>
          </w:p>
        </w:tc>
      </w:tr>
      <w:tr w:rsidR="00EF12F2" w:rsidRPr="003F15C0" w14:paraId="3539D376" w14:textId="77777777" w:rsidTr="00826105">
        <w:tc>
          <w:tcPr>
            <w:tcW w:w="5387" w:type="dxa"/>
            <w:vAlign w:val="bottom"/>
          </w:tcPr>
          <w:p w14:paraId="51EA1996" w14:textId="77777777" w:rsidR="00EF12F2" w:rsidRPr="009A1B9E" w:rsidRDefault="00EF12F2" w:rsidP="00EF12F2">
            <w:pPr>
              <w:spacing w:before="20"/>
              <w:ind w:left="176"/>
              <w:jc w:val="both"/>
              <w:rPr>
                <w:sz w:val="16"/>
                <w:szCs w:val="16"/>
              </w:rPr>
            </w:pPr>
            <w:r w:rsidRPr="009A1B9E">
              <w:rPr>
                <w:sz w:val="16"/>
                <w:szCs w:val="16"/>
              </w:rPr>
              <w:t>65+</w:t>
            </w:r>
          </w:p>
        </w:tc>
        <w:tc>
          <w:tcPr>
            <w:tcW w:w="992" w:type="dxa"/>
            <w:shd w:val="clear" w:color="auto" w:fill="auto"/>
            <w:vAlign w:val="bottom"/>
          </w:tcPr>
          <w:p w14:paraId="1CE463DD" w14:textId="77777777" w:rsidR="00EF12F2" w:rsidRPr="00EF12F2" w:rsidRDefault="00EF12F2" w:rsidP="00EF12F2">
            <w:pPr>
              <w:jc w:val="right"/>
              <w:rPr>
                <w:color w:val="000000"/>
                <w:sz w:val="16"/>
                <w:szCs w:val="16"/>
                <w:lang w:eastAsia="en-NZ"/>
              </w:rPr>
            </w:pPr>
            <w:r w:rsidRPr="00EF12F2">
              <w:rPr>
                <w:color w:val="000000"/>
                <w:sz w:val="16"/>
                <w:szCs w:val="16"/>
                <w:lang w:eastAsia="en-NZ"/>
              </w:rPr>
              <w:t>0.27</w:t>
            </w:r>
          </w:p>
        </w:tc>
        <w:tc>
          <w:tcPr>
            <w:tcW w:w="1276" w:type="dxa"/>
            <w:shd w:val="clear" w:color="auto" w:fill="auto"/>
            <w:vAlign w:val="bottom"/>
          </w:tcPr>
          <w:p w14:paraId="00D7DCFF" w14:textId="77777777" w:rsidR="00EF12F2" w:rsidRPr="00EF12F2" w:rsidRDefault="00EF12F2" w:rsidP="00EF12F2">
            <w:pPr>
              <w:jc w:val="right"/>
              <w:rPr>
                <w:color w:val="000000"/>
                <w:sz w:val="16"/>
                <w:szCs w:val="16"/>
                <w:lang w:eastAsia="en-NZ"/>
              </w:rPr>
            </w:pPr>
            <w:r w:rsidRPr="00EF12F2">
              <w:rPr>
                <w:color w:val="000000"/>
                <w:sz w:val="16"/>
                <w:szCs w:val="16"/>
                <w:lang w:eastAsia="en-NZ"/>
              </w:rPr>
              <w:t>(0.15, 0.50)</w:t>
            </w:r>
          </w:p>
        </w:tc>
        <w:tc>
          <w:tcPr>
            <w:tcW w:w="850" w:type="dxa"/>
            <w:shd w:val="clear" w:color="auto" w:fill="auto"/>
            <w:vAlign w:val="bottom"/>
          </w:tcPr>
          <w:p w14:paraId="7445CF97" w14:textId="77777777" w:rsidR="00EF12F2" w:rsidRPr="00EF12F2" w:rsidRDefault="00EF12F2" w:rsidP="00EF12F2">
            <w:pPr>
              <w:jc w:val="right"/>
              <w:rPr>
                <w:color w:val="000000"/>
                <w:sz w:val="16"/>
                <w:szCs w:val="16"/>
                <w:lang w:eastAsia="en-NZ"/>
              </w:rPr>
            </w:pPr>
            <w:r w:rsidRPr="00EF12F2">
              <w:rPr>
                <w:color w:val="000000"/>
                <w:sz w:val="16"/>
                <w:szCs w:val="16"/>
                <w:lang w:eastAsia="en-NZ"/>
              </w:rPr>
              <w:t>&lt;</w:t>
            </w:r>
            <w:r>
              <w:rPr>
                <w:color w:val="000000"/>
                <w:sz w:val="16"/>
                <w:szCs w:val="16"/>
                <w:lang w:eastAsia="en-NZ"/>
              </w:rPr>
              <w:t>0</w:t>
            </w:r>
            <w:r w:rsidRPr="00EF12F2">
              <w:rPr>
                <w:color w:val="000000"/>
                <w:sz w:val="16"/>
                <w:szCs w:val="16"/>
                <w:lang w:eastAsia="en-NZ"/>
              </w:rPr>
              <w:t>.0001</w:t>
            </w:r>
          </w:p>
        </w:tc>
      </w:tr>
      <w:tr w:rsidR="00EF12F2" w:rsidRPr="003F15C0" w14:paraId="4D0299D5" w14:textId="77777777" w:rsidTr="005F3C25">
        <w:tc>
          <w:tcPr>
            <w:tcW w:w="5387" w:type="dxa"/>
          </w:tcPr>
          <w:p w14:paraId="067221C6" w14:textId="77777777" w:rsidR="00EF12F2" w:rsidRPr="009A1B9E" w:rsidRDefault="00EF12F2" w:rsidP="00FB6528">
            <w:pPr>
              <w:spacing w:before="20"/>
              <w:jc w:val="both"/>
              <w:rPr>
                <w:b/>
                <w:sz w:val="16"/>
                <w:szCs w:val="16"/>
              </w:rPr>
            </w:pPr>
            <w:r w:rsidRPr="009A1B9E">
              <w:rPr>
                <w:b/>
                <w:sz w:val="16"/>
                <w:szCs w:val="16"/>
              </w:rPr>
              <w:t>Ethnic group (prioritised)</w:t>
            </w:r>
          </w:p>
        </w:tc>
        <w:tc>
          <w:tcPr>
            <w:tcW w:w="992" w:type="dxa"/>
            <w:shd w:val="clear" w:color="auto" w:fill="auto"/>
            <w:vAlign w:val="center"/>
          </w:tcPr>
          <w:p w14:paraId="63865C7A" w14:textId="77777777" w:rsidR="00EF12F2" w:rsidRPr="00230801" w:rsidRDefault="00EF12F2" w:rsidP="00FB6528">
            <w:pPr>
              <w:jc w:val="right"/>
              <w:rPr>
                <w:color w:val="000000"/>
                <w:sz w:val="16"/>
                <w:szCs w:val="16"/>
                <w:lang w:eastAsia="en-NZ"/>
              </w:rPr>
            </w:pPr>
          </w:p>
        </w:tc>
        <w:tc>
          <w:tcPr>
            <w:tcW w:w="1276" w:type="dxa"/>
            <w:shd w:val="clear" w:color="auto" w:fill="auto"/>
            <w:vAlign w:val="center"/>
          </w:tcPr>
          <w:p w14:paraId="3496B353" w14:textId="77777777" w:rsidR="00EF12F2" w:rsidRPr="00230801" w:rsidRDefault="00EF12F2" w:rsidP="00FB6528">
            <w:pPr>
              <w:jc w:val="right"/>
              <w:rPr>
                <w:color w:val="000000"/>
                <w:sz w:val="16"/>
                <w:szCs w:val="16"/>
                <w:lang w:eastAsia="en-NZ"/>
              </w:rPr>
            </w:pPr>
          </w:p>
        </w:tc>
        <w:tc>
          <w:tcPr>
            <w:tcW w:w="850" w:type="dxa"/>
            <w:shd w:val="clear" w:color="auto" w:fill="auto"/>
            <w:vAlign w:val="center"/>
          </w:tcPr>
          <w:p w14:paraId="146A4C6C" w14:textId="77777777" w:rsidR="00EF12F2" w:rsidRPr="00230801" w:rsidRDefault="00EF12F2" w:rsidP="00FB6528">
            <w:pPr>
              <w:jc w:val="right"/>
              <w:rPr>
                <w:color w:val="000000"/>
                <w:sz w:val="16"/>
                <w:szCs w:val="16"/>
                <w:lang w:eastAsia="en-NZ"/>
              </w:rPr>
            </w:pPr>
          </w:p>
        </w:tc>
      </w:tr>
      <w:tr w:rsidR="00EF12F2" w:rsidRPr="003F15C0" w14:paraId="224DF1AC" w14:textId="77777777" w:rsidTr="005F3C25">
        <w:tc>
          <w:tcPr>
            <w:tcW w:w="5387" w:type="dxa"/>
            <w:vAlign w:val="bottom"/>
          </w:tcPr>
          <w:p w14:paraId="77D46EF8" w14:textId="77777777" w:rsidR="00EF12F2" w:rsidRPr="009A1B9E" w:rsidRDefault="00EF12F2" w:rsidP="00EF12F2">
            <w:pPr>
              <w:spacing w:before="20"/>
              <w:ind w:left="176"/>
              <w:jc w:val="both"/>
              <w:rPr>
                <w:sz w:val="16"/>
                <w:szCs w:val="16"/>
              </w:rPr>
            </w:pPr>
            <w:r>
              <w:rPr>
                <w:sz w:val="16"/>
                <w:szCs w:val="16"/>
              </w:rPr>
              <w:t>Māori</w:t>
            </w:r>
          </w:p>
        </w:tc>
        <w:tc>
          <w:tcPr>
            <w:tcW w:w="992" w:type="dxa"/>
            <w:shd w:val="clear" w:color="auto" w:fill="auto"/>
            <w:vAlign w:val="bottom"/>
          </w:tcPr>
          <w:p w14:paraId="2BB22432" w14:textId="77777777" w:rsidR="00EF12F2" w:rsidRPr="00EF12F2" w:rsidRDefault="00EF12F2" w:rsidP="00EF12F2">
            <w:pPr>
              <w:jc w:val="right"/>
              <w:rPr>
                <w:color w:val="000000"/>
                <w:sz w:val="16"/>
                <w:szCs w:val="16"/>
                <w:lang w:eastAsia="en-NZ"/>
              </w:rPr>
            </w:pPr>
            <w:r w:rsidRPr="00EF12F2">
              <w:rPr>
                <w:color w:val="000000"/>
                <w:sz w:val="16"/>
                <w:szCs w:val="16"/>
                <w:lang w:eastAsia="en-NZ"/>
              </w:rPr>
              <w:t>6.60</w:t>
            </w:r>
          </w:p>
        </w:tc>
        <w:tc>
          <w:tcPr>
            <w:tcW w:w="1276" w:type="dxa"/>
            <w:shd w:val="clear" w:color="auto" w:fill="auto"/>
            <w:vAlign w:val="bottom"/>
          </w:tcPr>
          <w:p w14:paraId="6C234EA1" w14:textId="77777777" w:rsidR="00EF12F2" w:rsidRPr="00EF12F2" w:rsidRDefault="00EF12F2" w:rsidP="00EF12F2">
            <w:pPr>
              <w:jc w:val="right"/>
              <w:rPr>
                <w:color w:val="000000"/>
                <w:sz w:val="16"/>
                <w:szCs w:val="16"/>
                <w:lang w:eastAsia="en-NZ"/>
              </w:rPr>
            </w:pPr>
            <w:r w:rsidRPr="00EF12F2">
              <w:rPr>
                <w:color w:val="000000"/>
                <w:sz w:val="16"/>
                <w:szCs w:val="16"/>
                <w:lang w:eastAsia="en-NZ"/>
              </w:rPr>
              <w:t>(4.19, 10.39)</w:t>
            </w:r>
          </w:p>
        </w:tc>
        <w:tc>
          <w:tcPr>
            <w:tcW w:w="850" w:type="dxa"/>
            <w:shd w:val="clear" w:color="auto" w:fill="auto"/>
            <w:vAlign w:val="bottom"/>
          </w:tcPr>
          <w:p w14:paraId="218C66BC" w14:textId="77777777" w:rsidR="00EF12F2" w:rsidRPr="00EF12F2" w:rsidRDefault="00EF12F2" w:rsidP="00EF12F2">
            <w:pPr>
              <w:jc w:val="right"/>
              <w:rPr>
                <w:color w:val="000000"/>
                <w:sz w:val="16"/>
                <w:szCs w:val="16"/>
                <w:lang w:eastAsia="en-NZ"/>
              </w:rPr>
            </w:pPr>
          </w:p>
        </w:tc>
      </w:tr>
      <w:tr w:rsidR="00EF12F2" w:rsidRPr="003F15C0" w14:paraId="71781471" w14:textId="77777777" w:rsidTr="005F3C25">
        <w:tc>
          <w:tcPr>
            <w:tcW w:w="5387" w:type="dxa"/>
            <w:vAlign w:val="bottom"/>
          </w:tcPr>
          <w:p w14:paraId="233D0FE1" w14:textId="77777777" w:rsidR="00EF12F2" w:rsidRPr="009A1B9E" w:rsidRDefault="00EF12F2" w:rsidP="00EF12F2">
            <w:pPr>
              <w:spacing w:before="20"/>
              <w:ind w:left="176"/>
              <w:jc w:val="both"/>
              <w:rPr>
                <w:sz w:val="16"/>
                <w:szCs w:val="16"/>
              </w:rPr>
            </w:pPr>
            <w:r w:rsidRPr="009A1B9E">
              <w:rPr>
                <w:sz w:val="16"/>
                <w:szCs w:val="16"/>
              </w:rPr>
              <w:t>Pacific</w:t>
            </w:r>
          </w:p>
        </w:tc>
        <w:tc>
          <w:tcPr>
            <w:tcW w:w="992" w:type="dxa"/>
            <w:shd w:val="clear" w:color="auto" w:fill="auto"/>
            <w:vAlign w:val="bottom"/>
          </w:tcPr>
          <w:p w14:paraId="7896EDA5" w14:textId="77777777" w:rsidR="00EF12F2" w:rsidRPr="00EF12F2" w:rsidRDefault="00EF12F2" w:rsidP="00EF12F2">
            <w:pPr>
              <w:jc w:val="right"/>
              <w:rPr>
                <w:color w:val="000000"/>
                <w:sz w:val="16"/>
                <w:szCs w:val="16"/>
                <w:lang w:eastAsia="en-NZ"/>
              </w:rPr>
            </w:pPr>
            <w:r w:rsidRPr="00EF12F2">
              <w:rPr>
                <w:color w:val="000000"/>
                <w:sz w:val="16"/>
                <w:szCs w:val="16"/>
                <w:lang w:eastAsia="en-NZ"/>
              </w:rPr>
              <w:t>13.78</w:t>
            </w:r>
          </w:p>
        </w:tc>
        <w:tc>
          <w:tcPr>
            <w:tcW w:w="1276" w:type="dxa"/>
            <w:shd w:val="clear" w:color="auto" w:fill="auto"/>
            <w:vAlign w:val="bottom"/>
          </w:tcPr>
          <w:p w14:paraId="5127DB03" w14:textId="77777777" w:rsidR="00EF12F2" w:rsidRPr="00EF12F2" w:rsidRDefault="00EF12F2" w:rsidP="00EF12F2">
            <w:pPr>
              <w:jc w:val="right"/>
              <w:rPr>
                <w:color w:val="000000"/>
                <w:sz w:val="16"/>
                <w:szCs w:val="16"/>
                <w:lang w:eastAsia="en-NZ"/>
              </w:rPr>
            </w:pPr>
            <w:r w:rsidRPr="00EF12F2">
              <w:rPr>
                <w:color w:val="000000"/>
                <w:sz w:val="16"/>
                <w:szCs w:val="16"/>
                <w:lang w:eastAsia="en-NZ"/>
              </w:rPr>
              <w:t>(7.90, 24.03)</w:t>
            </w:r>
          </w:p>
        </w:tc>
        <w:tc>
          <w:tcPr>
            <w:tcW w:w="850" w:type="dxa"/>
            <w:shd w:val="clear" w:color="auto" w:fill="auto"/>
            <w:vAlign w:val="bottom"/>
          </w:tcPr>
          <w:p w14:paraId="0109D68A" w14:textId="77777777" w:rsidR="00EF12F2" w:rsidRPr="00EF12F2" w:rsidRDefault="00EF12F2" w:rsidP="00EF12F2">
            <w:pPr>
              <w:jc w:val="right"/>
              <w:rPr>
                <w:color w:val="000000"/>
                <w:sz w:val="16"/>
                <w:szCs w:val="16"/>
                <w:lang w:eastAsia="en-NZ"/>
              </w:rPr>
            </w:pPr>
          </w:p>
        </w:tc>
      </w:tr>
      <w:tr w:rsidR="00EF12F2" w:rsidRPr="003F15C0" w14:paraId="147F66CC" w14:textId="77777777" w:rsidTr="005F3C25">
        <w:tc>
          <w:tcPr>
            <w:tcW w:w="5387" w:type="dxa"/>
            <w:vAlign w:val="bottom"/>
          </w:tcPr>
          <w:p w14:paraId="26B5289E" w14:textId="77777777" w:rsidR="00EF12F2" w:rsidRPr="009A1B9E" w:rsidRDefault="00EF12F2" w:rsidP="00EF12F2">
            <w:pPr>
              <w:spacing w:before="20"/>
              <w:ind w:left="176"/>
              <w:jc w:val="both"/>
              <w:rPr>
                <w:sz w:val="16"/>
                <w:szCs w:val="16"/>
              </w:rPr>
            </w:pPr>
            <w:r w:rsidRPr="009A1B9E">
              <w:rPr>
                <w:sz w:val="16"/>
                <w:szCs w:val="16"/>
              </w:rPr>
              <w:t>Asian</w:t>
            </w:r>
          </w:p>
        </w:tc>
        <w:tc>
          <w:tcPr>
            <w:tcW w:w="992" w:type="dxa"/>
            <w:shd w:val="clear" w:color="auto" w:fill="auto"/>
            <w:vAlign w:val="bottom"/>
          </w:tcPr>
          <w:p w14:paraId="0EE3F444" w14:textId="77777777" w:rsidR="00EF12F2" w:rsidRPr="00EF12F2" w:rsidRDefault="00EF12F2" w:rsidP="00EF12F2">
            <w:pPr>
              <w:jc w:val="right"/>
              <w:rPr>
                <w:color w:val="000000"/>
                <w:sz w:val="16"/>
                <w:szCs w:val="16"/>
                <w:lang w:eastAsia="en-NZ"/>
              </w:rPr>
            </w:pPr>
            <w:r w:rsidRPr="00EF12F2">
              <w:rPr>
                <w:color w:val="000000"/>
                <w:sz w:val="16"/>
                <w:szCs w:val="16"/>
                <w:lang w:eastAsia="en-NZ"/>
              </w:rPr>
              <w:t>3.78</w:t>
            </w:r>
          </w:p>
        </w:tc>
        <w:tc>
          <w:tcPr>
            <w:tcW w:w="1276" w:type="dxa"/>
            <w:shd w:val="clear" w:color="auto" w:fill="auto"/>
            <w:vAlign w:val="bottom"/>
          </w:tcPr>
          <w:p w14:paraId="5A1E9763" w14:textId="77777777" w:rsidR="00EF12F2" w:rsidRPr="00EF12F2" w:rsidRDefault="00EF12F2" w:rsidP="00EF12F2">
            <w:pPr>
              <w:jc w:val="right"/>
              <w:rPr>
                <w:color w:val="000000"/>
                <w:sz w:val="16"/>
                <w:szCs w:val="16"/>
                <w:lang w:eastAsia="en-NZ"/>
              </w:rPr>
            </w:pPr>
            <w:r w:rsidRPr="00EF12F2">
              <w:rPr>
                <w:color w:val="000000"/>
                <w:sz w:val="16"/>
                <w:szCs w:val="16"/>
                <w:lang w:eastAsia="en-NZ"/>
              </w:rPr>
              <w:t>(2.09, 6.85)</w:t>
            </w:r>
          </w:p>
        </w:tc>
        <w:tc>
          <w:tcPr>
            <w:tcW w:w="850" w:type="dxa"/>
            <w:shd w:val="clear" w:color="auto" w:fill="auto"/>
            <w:vAlign w:val="bottom"/>
          </w:tcPr>
          <w:p w14:paraId="62A2A421" w14:textId="77777777" w:rsidR="00EF12F2" w:rsidRPr="00EF12F2" w:rsidRDefault="00EF12F2" w:rsidP="00EF12F2">
            <w:pPr>
              <w:jc w:val="right"/>
              <w:rPr>
                <w:color w:val="000000"/>
                <w:sz w:val="16"/>
                <w:szCs w:val="16"/>
                <w:lang w:eastAsia="en-NZ"/>
              </w:rPr>
            </w:pPr>
          </w:p>
        </w:tc>
      </w:tr>
      <w:tr w:rsidR="00EF12F2" w:rsidRPr="003F15C0" w14:paraId="01727E5B" w14:textId="77777777" w:rsidTr="00826105">
        <w:tc>
          <w:tcPr>
            <w:tcW w:w="5387" w:type="dxa"/>
            <w:vAlign w:val="bottom"/>
          </w:tcPr>
          <w:p w14:paraId="76976DA8" w14:textId="77777777" w:rsidR="00EF12F2" w:rsidRPr="009A1B9E" w:rsidRDefault="00EF12F2" w:rsidP="00EF12F2">
            <w:pPr>
              <w:spacing w:before="20"/>
              <w:ind w:left="176"/>
              <w:jc w:val="both"/>
              <w:rPr>
                <w:sz w:val="16"/>
                <w:szCs w:val="16"/>
              </w:rPr>
            </w:pPr>
            <w:r w:rsidRPr="009A1B9E">
              <w:rPr>
                <w:sz w:val="16"/>
                <w:szCs w:val="16"/>
              </w:rPr>
              <w:t>European/Other</w:t>
            </w:r>
          </w:p>
        </w:tc>
        <w:tc>
          <w:tcPr>
            <w:tcW w:w="992" w:type="dxa"/>
            <w:shd w:val="clear" w:color="auto" w:fill="auto"/>
            <w:vAlign w:val="bottom"/>
          </w:tcPr>
          <w:p w14:paraId="2A56C629" w14:textId="77777777" w:rsidR="00EF12F2" w:rsidRPr="00EF12F2" w:rsidRDefault="00EF12F2" w:rsidP="00EF12F2">
            <w:pPr>
              <w:jc w:val="right"/>
              <w:rPr>
                <w:color w:val="000000"/>
                <w:sz w:val="16"/>
                <w:szCs w:val="16"/>
                <w:lang w:eastAsia="en-NZ"/>
              </w:rPr>
            </w:pPr>
            <w:r w:rsidRPr="00EF12F2">
              <w:rPr>
                <w:color w:val="000000"/>
                <w:sz w:val="16"/>
                <w:szCs w:val="16"/>
                <w:lang w:eastAsia="en-NZ"/>
              </w:rPr>
              <w:t>1.00</w:t>
            </w:r>
          </w:p>
        </w:tc>
        <w:tc>
          <w:tcPr>
            <w:tcW w:w="1276" w:type="dxa"/>
            <w:shd w:val="clear" w:color="auto" w:fill="auto"/>
            <w:vAlign w:val="bottom"/>
          </w:tcPr>
          <w:p w14:paraId="5DFCDDBF" w14:textId="77777777" w:rsidR="00EF12F2" w:rsidRPr="00EF12F2" w:rsidRDefault="00EF12F2" w:rsidP="00EF12F2">
            <w:pPr>
              <w:jc w:val="right"/>
              <w:rPr>
                <w:color w:val="000000"/>
                <w:sz w:val="16"/>
                <w:szCs w:val="16"/>
                <w:lang w:eastAsia="en-NZ"/>
              </w:rPr>
            </w:pPr>
          </w:p>
        </w:tc>
        <w:tc>
          <w:tcPr>
            <w:tcW w:w="850" w:type="dxa"/>
            <w:shd w:val="clear" w:color="auto" w:fill="auto"/>
            <w:vAlign w:val="bottom"/>
          </w:tcPr>
          <w:p w14:paraId="48D3D3D5" w14:textId="77777777" w:rsidR="00EF12F2" w:rsidRPr="00EF12F2" w:rsidRDefault="00EF12F2" w:rsidP="00EF12F2">
            <w:pPr>
              <w:jc w:val="right"/>
              <w:rPr>
                <w:color w:val="000000"/>
                <w:sz w:val="16"/>
                <w:szCs w:val="16"/>
                <w:lang w:eastAsia="en-NZ"/>
              </w:rPr>
            </w:pPr>
            <w:r w:rsidRPr="00EF12F2">
              <w:rPr>
                <w:color w:val="000000"/>
                <w:sz w:val="16"/>
                <w:szCs w:val="16"/>
                <w:lang w:eastAsia="en-NZ"/>
              </w:rPr>
              <w:t>&lt;</w:t>
            </w:r>
            <w:r>
              <w:rPr>
                <w:color w:val="000000"/>
                <w:sz w:val="16"/>
                <w:szCs w:val="16"/>
                <w:lang w:eastAsia="en-NZ"/>
              </w:rPr>
              <w:t>0</w:t>
            </w:r>
            <w:r w:rsidRPr="00EF12F2">
              <w:rPr>
                <w:color w:val="000000"/>
                <w:sz w:val="16"/>
                <w:szCs w:val="16"/>
                <w:lang w:eastAsia="en-NZ"/>
              </w:rPr>
              <w:t>.0001</w:t>
            </w:r>
          </w:p>
        </w:tc>
      </w:tr>
      <w:tr w:rsidR="00EF12F2" w:rsidRPr="003F15C0" w14:paraId="11B7026D" w14:textId="77777777" w:rsidTr="005F3C25">
        <w:tc>
          <w:tcPr>
            <w:tcW w:w="5387" w:type="dxa"/>
          </w:tcPr>
          <w:p w14:paraId="206612B9" w14:textId="77777777" w:rsidR="00EF12F2" w:rsidRPr="006B29E4" w:rsidRDefault="00EF12F2" w:rsidP="00FB6528">
            <w:pPr>
              <w:spacing w:before="20"/>
              <w:jc w:val="both"/>
              <w:rPr>
                <w:b/>
                <w:sz w:val="16"/>
                <w:szCs w:val="16"/>
              </w:rPr>
            </w:pPr>
            <w:r>
              <w:rPr>
                <w:b/>
                <w:sz w:val="16"/>
                <w:szCs w:val="16"/>
              </w:rPr>
              <w:t>Country of birth</w:t>
            </w:r>
          </w:p>
        </w:tc>
        <w:tc>
          <w:tcPr>
            <w:tcW w:w="992" w:type="dxa"/>
            <w:shd w:val="clear" w:color="auto" w:fill="auto"/>
            <w:vAlign w:val="center"/>
          </w:tcPr>
          <w:p w14:paraId="06E8F663" w14:textId="77777777" w:rsidR="00EF12F2" w:rsidRPr="00230801" w:rsidRDefault="00EF12F2" w:rsidP="00FB6528">
            <w:pPr>
              <w:jc w:val="right"/>
              <w:rPr>
                <w:color w:val="000000"/>
                <w:sz w:val="16"/>
                <w:szCs w:val="16"/>
                <w:lang w:eastAsia="en-NZ"/>
              </w:rPr>
            </w:pPr>
          </w:p>
        </w:tc>
        <w:tc>
          <w:tcPr>
            <w:tcW w:w="1276" w:type="dxa"/>
            <w:shd w:val="clear" w:color="auto" w:fill="auto"/>
            <w:vAlign w:val="center"/>
          </w:tcPr>
          <w:p w14:paraId="3240F544" w14:textId="77777777" w:rsidR="00EF12F2" w:rsidRPr="00230801" w:rsidRDefault="00EF12F2" w:rsidP="00FB6528">
            <w:pPr>
              <w:jc w:val="right"/>
              <w:rPr>
                <w:color w:val="000000"/>
                <w:sz w:val="16"/>
                <w:szCs w:val="16"/>
                <w:lang w:eastAsia="en-NZ"/>
              </w:rPr>
            </w:pPr>
          </w:p>
        </w:tc>
        <w:tc>
          <w:tcPr>
            <w:tcW w:w="850" w:type="dxa"/>
            <w:shd w:val="clear" w:color="auto" w:fill="auto"/>
            <w:vAlign w:val="center"/>
          </w:tcPr>
          <w:p w14:paraId="010E03DE" w14:textId="77777777" w:rsidR="00EF12F2" w:rsidRPr="00230801" w:rsidRDefault="00EF12F2" w:rsidP="00FB6528">
            <w:pPr>
              <w:jc w:val="right"/>
              <w:rPr>
                <w:color w:val="000000"/>
                <w:sz w:val="16"/>
                <w:szCs w:val="16"/>
                <w:lang w:eastAsia="en-NZ"/>
              </w:rPr>
            </w:pPr>
          </w:p>
        </w:tc>
      </w:tr>
      <w:tr w:rsidR="00EF12F2" w:rsidRPr="003F15C0" w14:paraId="653D401C" w14:textId="77777777" w:rsidTr="005F3C25">
        <w:tc>
          <w:tcPr>
            <w:tcW w:w="5387" w:type="dxa"/>
            <w:vAlign w:val="bottom"/>
          </w:tcPr>
          <w:p w14:paraId="34E4D638" w14:textId="77777777" w:rsidR="00EF12F2" w:rsidRPr="006B29E4" w:rsidRDefault="00EF12F2" w:rsidP="00EF12F2">
            <w:pPr>
              <w:spacing w:before="20"/>
              <w:ind w:left="176"/>
              <w:jc w:val="both"/>
              <w:rPr>
                <w:sz w:val="16"/>
                <w:szCs w:val="16"/>
              </w:rPr>
            </w:pPr>
            <w:r w:rsidRPr="006B29E4">
              <w:rPr>
                <w:sz w:val="16"/>
                <w:szCs w:val="16"/>
              </w:rPr>
              <w:t>N</w:t>
            </w:r>
            <w:r>
              <w:rPr>
                <w:sz w:val="16"/>
                <w:szCs w:val="16"/>
              </w:rPr>
              <w:t xml:space="preserve">ew </w:t>
            </w:r>
            <w:r w:rsidRPr="006B29E4">
              <w:rPr>
                <w:sz w:val="16"/>
                <w:szCs w:val="16"/>
              </w:rPr>
              <w:t>Z</w:t>
            </w:r>
            <w:r>
              <w:rPr>
                <w:sz w:val="16"/>
                <w:szCs w:val="16"/>
              </w:rPr>
              <w:t>ealand</w:t>
            </w:r>
          </w:p>
        </w:tc>
        <w:tc>
          <w:tcPr>
            <w:tcW w:w="992" w:type="dxa"/>
            <w:shd w:val="clear" w:color="auto" w:fill="auto"/>
            <w:vAlign w:val="bottom"/>
          </w:tcPr>
          <w:p w14:paraId="49FAFC08" w14:textId="77777777" w:rsidR="00EF12F2" w:rsidRPr="00EF12F2" w:rsidRDefault="00EF12F2" w:rsidP="00EF12F2">
            <w:pPr>
              <w:jc w:val="right"/>
              <w:rPr>
                <w:color w:val="000000"/>
                <w:sz w:val="16"/>
                <w:szCs w:val="16"/>
                <w:lang w:eastAsia="en-NZ"/>
              </w:rPr>
            </w:pPr>
            <w:r w:rsidRPr="00EF12F2">
              <w:rPr>
                <w:color w:val="000000"/>
                <w:sz w:val="16"/>
                <w:szCs w:val="16"/>
                <w:lang w:eastAsia="en-NZ"/>
              </w:rPr>
              <w:t>1.00</w:t>
            </w:r>
          </w:p>
        </w:tc>
        <w:tc>
          <w:tcPr>
            <w:tcW w:w="1276" w:type="dxa"/>
            <w:shd w:val="clear" w:color="auto" w:fill="auto"/>
            <w:vAlign w:val="bottom"/>
          </w:tcPr>
          <w:p w14:paraId="3CA3A901" w14:textId="77777777" w:rsidR="00EF12F2" w:rsidRPr="00EF12F2" w:rsidRDefault="00EF12F2" w:rsidP="00EF12F2">
            <w:pPr>
              <w:jc w:val="right"/>
              <w:rPr>
                <w:color w:val="000000"/>
                <w:sz w:val="16"/>
                <w:szCs w:val="16"/>
                <w:lang w:eastAsia="en-NZ"/>
              </w:rPr>
            </w:pPr>
          </w:p>
        </w:tc>
        <w:tc>
          <w:tcPr>
            <w:tcW w:w="850" w:type="dxa"/>
            <w:shd w:val="clear" w:color="auto" w:fill="auto"/>
            <w:vAlign w:val="bottom"/>
          </w:tcPr>
          <w:p w14:paraId="6D976CFE" w14:textId="77777777" w:rsidR="00EF12F2" w:rsidRPr="00EF12F2" w:rsidRDefault="00EF12F2" w:rsidP="00EF12F2">
            <w:pPr>
              <w:jc w:val="right"/>
              <w:rPr>
                <w:color w:val="000000"/>
                <w:sz w:val="16"/>
                <w:szCs w:val="16"/>
                <w:lang w:eastAsia="en-NZ"/>
              </w:rPr>
            </w:pPr>
          </w:p>
        </w:tc>
      </w:tr>
      <w:tr w:rsidR="00EF12F2" w:rsidRPr="003F15C0" w14:paraId="50199CC7" w14:textId="77777777" w:rsidTr="00826105">
        <w:tc>
          <w:tcPr>
            <w:tcW w:w="5387" w:type="dxa"/>
            <w:vAlign w:val="bottom"/>
          </w:tcPr>
          <w:p w14:paraId="79D16B7A" w14:textId="77777777" w:rsidR="00EF12F2" w:rsidRPr="006B29E4" w:rsidRDefault="00EF12F2" w:rsidP="00EF12F2">
            <w:pPr>
              <w:spacing w:before="20"/>
              <w:ind w:left="176"/>
              <w:jc w:val="both"/>
              <w:rPr>
                <w:sz w:val="16"/>
                <w:szCs w:val="16"/>
              </w:rPr>
            </w:pPr>
            <w:r w:rsidRPr="006B29E4">
              <w:rPr>
                <w:sz w:val="16"/>
                <w:szCs w:val="16"/>
              </w:rPr>
              <w:t>O</w:t>
            </w:r>
            <w:r>
              <w:rPr>
                <w:sz w:val="16"/>
                <w:szCs w:val="16"/>
              </w:rPr>
              <w:t>ther</w:t>
            </w:r>
          </w:p>
        </w:tc>
        <w:tc>
          <w:tcPr>
            <w:tcW w:w="992" w:type="dxa"/>
            <w:shd w:val="clear" w:color="auto" w:fill="auto"/>
            <w:vAlign w:val="bottom"/>
          </w:tcPr>
          <w:p w14:paraId="72152A71" w14:textId="77777777" w:rsidR="00EF12F2" w:rsidRPr="00EF12F2" w:rsidRDefault="00EF12F2" w:rsidP="00EF12F2">
            <w:pPr>
              <w:jc w:val="right"/>
              <w:rPr>
                <w:color w:val="000000"/>
                <w:sz w:val="16"/>
                <w:szCs w:val="16"/>
                <w:lang w:eastAsia="en-NZ"/>
              </w:rPr>
            </w:pPr>
            <w:r w:rsidRPr="00EF12F2">
              <w:rPr>
                <w:color w:val="000000"/>
                <w:sz w:val="16"/>
                <w:szCs w:val="16"/>
                <w:lang w:eastAsia="en-NZ"/>
              </w:rPr>
              <w:t>1.54</w:t>
            </w:r>
          </w:p>
        </w:tc>
        <w:tc>
          <w:tcPr>
            <w:tcW w:w="1276" w:type="dxa"/>
            <w:shd w:val="clear" w:color="auto" w:fill="auto"/>
            <w:vAlign w:val="bottom"/>
          </w:tcPr>
          <w:p w14:paraId="310A2C75" w14:textId="77777777" w:rsidR="00EF12F2" w:rsidRPr="00EF12F2" w:rsidRDefault="00EF12F2" w:rsidP="00EF12F2">
            <w:pPr>
              <w:jc w:val="right"/>
              <w:rPr>
                <w:color w:val="000000"/>
                <w:sz w:val="16"/>
                <w:szCs w:val="16"/>
                <w:lang w:eastAsia="en-NZ"/>
              </w:rPr>
            </w:pPr>
            <w:r w:rsidRPr="00EF12F2">
              <w:rPr>
                <w:color w:val="000000"/>
                <w:sz w:val="16"/>
                <w:szCs w:val="16"/>
                <w:lang w:eastAsia="en-NZ"/>
              </w:rPr>
              <w:t>(1.01, 2.34)</w:t>
            </w:r>
          </w:p>
        </w:tc>
        <w:tc>
          <w:tcPr>
            <w:tcW w:w="850" w:type="dxa"/>
            <w:shd w:val="clear" w:color="auto" w:fill="auto"/>
            <w:vAlign w:val="bottom"/>
          </w:tcPr>
          <w:p w14:paraId="6E5864A2" w14:textId="77777777" w:rsidR="00EF12F2" w:rsidRPr="00EF12F2" w:rsidRDefault="00EF12F2" w:rsidP="00EF12F2">
            <w:pPr>
              <w:jc w:val="right"/>
              <w:rPr>
                <w:color w:val="000000"/>
                <w:sz w:val="16"/>
                <w:szCs w:val="16"/>
                <w:lang w:eastAsia="en-NZ"/>
              </w:rPr>
            </w:pPr>
            <w:r w:rsidRPr="00EF12F2">
              <w:rPr>
                <w:color w:val="000000"/>
                <w:sz w:val="16"/>
                <w:szCs w:val="16"/>
                <w:lang w:eastAsia="en-NZ"/>
              </w:rPr>
              <w:t>0.04</w:t>
            </w:r>
          </w:p>
        </w:tc>
      </w:tr>
      <w:tr w:rsidR="00EF12F2" w:rsidRPr="003F15C0" w14:paraId="54A20681" w14:textId="77777777" w:rsidTr="005F3C25">
        <w:tc>
          <w:tcPr>
            <w:tcW w:w="5387" w:type="dxa"/>
          </w:tcPr>
          <w:p w14:paraId="01A056F0" w14:textId="77777777" w:rsidR="00EF12F2" w:rsidRPr="006B29E4" w:rsidRDefault="00EF12F2" w:rsidP="00FB6528">
            <w:pPr>
              <w:spacing w:before="20"/>
              <w:jc w:val="both"/>
              <w:rPr>
                <w:b/>
                <w:sz w:val="16"/>
                <w:szCs w:val="16"/>
              </w:rPr>
            </w:pPr>
            <w:r w:rsidRPr="006B29E4">
              <w:rPr>
                <w:b/>
                <w:sz w:val="16"/>
                <w:szCs w:val="16"/>
              </w:rPr>
              <w:t>Highest qualification</w:t>
            </w:r>
          </w:p>
        </w:tc>
        <w:tc>
          <w:tcPr>
            <w:tcW w:w="992" w:type="dxa"/>
            <w:shd w:val="clear" w:color="auto" w:fill="auto"/>
            <w:vAlign w:val="center"/>
          </w:tcPr>
          <w:p w14:paraId="7F33E417" w14:textId="77777777" w:rsidR="00EF12F2" w:rsidRPr="008A1AFE" w:rsidRDefault="00EF12F2" w:rsidP="00FB6528">
            <w:pPr>
              <w:jc w:val="right"/>
              <w:rPr>
                <w:color w:val="000000"/>
                <w:sz w:val="16"/>
                <w:szCs w:val="20"/>
                <w:lang w:eastAsia="en-NZ"/>
              </w:rPr>
            </w:pPr>
          </w:p>
        </w:tc>
        <w:tc>
          <w:tcPr>
            <w:tcW w:w="1276" w:type="dxa"/>
            <w:shd w:val="clear" w:color="auto" w:fill="auto"/>
            <w:vAlign w:val="center"/>
          </w:tcPr>
          <w:p w14:paraId="04C23B53" w14:textId="77777777" w:rsidR="00EF12F2" w:rsidRPr="008A1AFE" w:rsidRDefault="00EF12F2" w:rsidP="00FB6528">
            <w:pPr>
              <w:jc w:val="right"/>
              <w:rPr>
                <w:color w:val="000000"/>
                <w:sz w:val="16"/>
                <w:szCs w:val="20"/>
                <w:lang w:eastAsia="en-NZ"/>
              </w:rPr>
            </w:pPr>
          </w:p>
        </w:tc>
        <w:tc>
          <w:tcPr>
            <w:tcW w:w="850" w:type="dxa"/>
            <w:shd w:val="clear" w:color="auto" w:fill="auto"/>
            <w:vAlign w:val="center"/>
          </w:tcPr>
          <w:p w14:paraId="2A6A8CA3" w14:textId="77777777" w:rsidR="00EF12F2" w:rsidRPr="008A1AFE" w:rsidRDefault="00EF12F2" w:rsidP="00FB6528">
            <w:pPr>
              <w:jc w:val="right"/>
              <w:rPr>
                <w:color w:val="000000"/>
                <w:sz w:val="16"/>
                <w:szCs w:val="20"/>
                <w:lang w:eastAsia="en-NZ"/>
              </w:rPr>
            </w:pPr>
          </w:p>
        </w:tc>
      </w:tr>
      <w:tr w:rsidR="00EF12F2" w:rsidRPr="003F15C0" w14:paraId="6A871D9C" w14:textId="77777777" w:rsidTr="005F3C25">
        <w:tc>
          <w:tcPr>
            <w:tcW w:w="5387" w:type="dxa"/>
            <w:vAlign w:val="bottom"/>
          </w:tcPr>
          <w:p w14:paraId="66E07307" w14:textId="77777777" w:rsidR="00EF12F2" w:rsidRPr="006B29E4" w:rsidRDefault="00EF12F2" w:rsidP="00EF12F2">
            <w:pPr>
              <w:spacing w:before="20"/>
              <w:ind w:left="176"/>
              <w:jc w:val="both"/>
              <w:rPr>
                <w:sz w:val="16"/>
                <w:szCs w:val="16"/>
              </w:rPr>
            </w:pPr>
            <w:r w:rsidRPr="006B29E4">
              <w:rPr>
                <w:sz w:val="16"/>
                <w:szCs w:val="16"/>
              </w:rPr>
              <w:t>No formal qual</w:t>
            </w:r>
            <w:r>
              <w:rPr>
                <w:sz w:val="16"/>
                <w:szCs w:val="16"/>
              </w:rPr>
              <w:t>ification</w:t>
            </w:r>
          </w:p>
        </w:tc>
        <w:tc>
          <w:tcPr>
            <w:tcW w:w="992" w:type="dxa"/>
            <w:shd w:val="clear" w:color="auto" w:fill="auto"/>
            <w:vAlign w:val="bottom"/>
          </w:tcPr>
          <w:p w14:paraId="4BA9D086" w14:textId="77777777" w:rsidR="00EF12F2" w:rsidRPr="00EF12F2" w:rsidRDefault="00EF12F2" w:rsidP="00EF12F2">
            <w:pPr>
              <w:jc w:val="right"/>
              <w:rPr>
                <w:color w:val="000000"/>
                <w:sz w:val="16"/>
                <w:szCs w:val="16"/>
                <w:lang w:eastAsia="en-NZ"/>
              </w:rPr>
            </w:pPr>
            <w:r w:rsidRPr="00EF12F2">
              <w:rPr>
                <w:color w:val="000000"/>
                <w:sz w:val="16"/>
                <w:szCs w:val="16"/>
                <w:lang w:eastAsia="en-NZ"/>
              </w:rPr>
              <w:t>1.00</w:t>
            </w:r>
          </w:p>
        </w:tc>
        <w:tc>
          <w:tcPr>
            <w:tcW w:w="1276" w:type="dxa"/>
            <w:shd w:val="clear" w:color="auto" w:fill="auto"/>
            <w:vAlign w:val="bottom"/>
          </w:tcPr>
          <w:p w14:paraId="4CB17D9E" w14:textId="77777777" w:rsidR="00EF12F2" w:rsidRPr="00EF12F2" w:rsidRDefault="00EF12F2" w:rsidP="00EF12F2">
            <w:pPr>
              <w:jc w:val="right"/>
              <w:rPr>
                <w:color w:val="000000"/>
                <w:sz w:val="16"/>
                <w:szCs w:val="16"/>
                <w:lang w:eastAsia="en-NZ"/>
              </w:rPr>
            </w:pPr>
          </w:p>
        </w:tc>
        <w:tc>
          <w:tcPr>
            <w:tcW w:w="850" w:type="dxa"/>
            <w:shd w:val="clear" w:color="auto" w:fill="auto"/>
            <w:vAlign w:val="bottom"/>
          </w:tcPr>
          <w:p w14:paraId="502D078A" w14:textId="77777777" w:rsidR="00EF12F2" w:rsidRPr="00EF12F2" w:rsidRDefault="00EF12F2" w:rsidP="00EF12F2">
            <w:pPr>
              <w:jc w:val="right"/>
              <w:rPr>
                <w:color w:val="000000"/>
                <w:sz w:val="16"/>
                <w:szCs w:val="16"/>
                <w:lang w:eastAsia="en-NZ"/>
              </w:rPr>
            </w:pPr>
          </w:p>
        </w:tc>
      </w:tr>
      <w:tr w:rsidR="00EF12F2" w:rsidRPr="003F15C0" w14:paraId="754E7E3C" w14:textId="77777777" w:rsidTr="005F3C25">
        <w:tc>
          <w:tcPr>
            <w:tcW w:w="5387" w:type="dxa"/>
            <w:vAlign w:val="bottom"/>
          </w:tcPr>
          <w:p w14:paraId="5C87D9C3" w14:textId="77777777" w:rsidR="00EF12F2" w:rsidRPr="006B29E4" w:rsidRDefault="00EF12F2" w:rsidP="00EF12F2">
            <w:pPr>
              <w:spacing w:before="20"/>
              <w:ind w:left="176"/>
              <w:jc w:val="both"/>
              <w:rPr>
                <w:sz w:val="16"/>
                <w:szCs w:val="16"/>
              </w:rPr>
            </w:pPr>
            <w:r w:rsidRPr="006B29E4">
              <w:rPr>
                <w:sz w:val="16"/>
                <w:szCs w:val="16"/>
              </w:rPr>
              <w:t>Secondary</w:t>
            </w:r>
            <w:r>
              <w:rPr>
                <w:sz w:val="16"/>
                <w:szCs w:val="16"/>
              </w:rPr>
              <w:t xml:space="preserve"> school qualification</w:t>
            </w:r>
          </w:p>
        </w:tc>
        <w:tc>
          <w:tcPr>
            <w:tcW w:w="992" w:type="dxa"/>
            <w:shd w:val="clear" w:color="auto" w:fill="auto"/>
            <w:vAlign w:val="bottom"/>
          </w:tcPr>
          <w:p w14:paraId="62BA03DA" w14:textId="77777777" w:rsidR="00EF12F2" w:rsidRPr="00EF12F2" w:rsidRDefault="00EF12F2" w:rsidP="00EF12F2">
            <w:pPr>
              <w:jc w:val="right"/>
              <w:rPr>
                <w:color w:val="000000"/>
                <w:sz w:val="16"/>
                <w:szCs w:val="16"/>
                <w:lang w:eastAsia="en-NZ"/>
              </w:rPr>
            </w:pPr>
            <w:r w:rsidRPr="00EF12F2">
              <w:rPr>
                <w:color w:val="000000"/>
                <w:sz w:val="16"/>
                <w:szCs w:val="16"/>
                <w:lang w:eastAsia="en-NZ"/>
              </w:rPr>
              <w:t>0.66</w:t>
            </w:r>
          </w:p>
        </w:tc>
        <w:tc>
          <w:tcPr>
            <w:tcW w:w="1276" w:type="dxa"/>
            <w:shd w:val="clear" w:color="auto" w:fill="auto"/>
            <w:vAlign w:val="bottom"/>
          </w:tcPr>
          <w:p w14:paraId="15329F42" w14:textId="77777777" w:rsidR="00EF12F2" w:rsidRPr="00EF12F2" w:rsidRDefault="00EF12F2" w:rsidP="00EF12F2">
            <w:pPr>
              <w:jc w:val="right"/>
              <w:rPr>
                <w:color w:val="000000"/>
                <w:sz w:val="16"/>
                <w:szCs w:val="16"/>
                <w:lang w:eastAsia="en-NZ"/>
              </w:rPr>
            </w:pPr>
            <w:r w:rsidRPr="00EF12F2">
              <w:rPr>
                <w:color w:val="000000"/>
                <w:sz w:val="16"/>
                <w:szCs w:val="16"/>
                <w:lang w:eastAsia="en-NZ"/>
              </w:rPr>
              <w:t>(0.37, 1.16)</w:t>
            </w:r>
          </w:p>
        </w:tc>
        <w:tc>
          <w:tcPr>
            <w:tcW w:w="850" w:type="dxa"/>
            <w:shd w:val="clear" w:color="auto" w:fill="auto"/>
            <w:vAlign w:val="bottom"/>
          </w:tcPr>
          <w:p w14:paraId="52147161" w14:textId="77777777" w:rsidR="00EF12F2" w:rsidRPr="00EF12F2" w:rsidRDefault="00EF12F2" w:rsidP="00EF12F2">
            <w:pPr>
              <w:jc w:val="right"/>
              <w:rPr>
                <w:color w:val="000000"/>
                <w:sz w:val="16"/>
                <w:szCs w:val="16"/>
                <w:lang w:eastAsia="en-NZ"/>
              </w:rPr>
            </w:pPr>
          </w:p>
        </w:tc>
      </w:tr>
      <w:tr w:rsidR="00EF12F2" w:rsidRPr="003F15C0" w14:paraId="49AC1D0A" w14:textId="77777777" w:rsidTr="005F3C25">
        <w:tc>
          <w:tcPr>
            <w:tcW w:w="5387" w:type="dxa"/>
            <w:vAlign w:val="bottom"/>
          </w:tcPr>
          <w:p w14:paraId="5F4DC87E" w14:textId="77777777" w:rsidR="00EF12F2" w:rsidRPr="006B29E4" w:rsidRDefault="00EF12F2" w:rsidP="00EF12F2">
            <w:pPr>
              <w:spacing w:before="20"/>
              <w:ind w:left="176"/>
              <w:jc w:val="both"/>
              <w:rPr>
                <w:sz w:val="16"/>
                <w:szCs w:val="16"/>
              </w:rPr>
            </w:pPr>
            <w:r>
              <w:rPr>
                <w:sz w:val="16"/>
                <w:szCs w:val="16"/>
              </w:rPr>
              <w:t>Voc</w:t>
            </w:r>
            <w:r w:rsidRPr="006B29E4">
              <w:rPr>
                <w:sz w:val="16"/>
                <w:szCs w:val="16"/>
              </w:rPr>
              <w:t>ational or trade</w:t>
            </w:r>
            <w:r>
              <w:rPr>
                <w:sz w:val="16"/>
                <w:szCs w:val="16"/>
              </w:rPr>
              <w:t xml:space="preserve"> qualification</w:t>
            </w:r>
          </w:p>
        </w:tc>
        <w:tc>
          <w:tcPr>
            <w:tcW w:w="992" w:type="dxa"/>
            <w:shd w:val="clear" w:color="auto" w:fill="auto"/>
            <w:vAlign w:val="bottom"/>
          </w:tcPr>
          <w:p w14:paraId="46117DFD" w14:textId="77777777" w:rsidR="00EF12F2" w:rsidRPr="00EF12F2" w:rsidRDefault="00EF12F2" w:rsidP="00EF12F2">
            <w:pPr>
              <w:jc w:val="right"/>
              <w:rPr>
                <w:color w:val="000000"/>
                <w:sz w:val="16"/>
                <w:szCs w:val="16"/>
                <w:lang w:eastAsia="en-NZ"/>
              </w:rPr>
            </w:pPr>
            <w:r w:rsidRPr="00EF12F2">
              <w:rPr>
                <w:color w:val="000000"/>
                <w:sz w:val="16"/>
                <w:szCs w:val="16"/>
                <w:lang w:eastAsia="en-NZ"/>
              </w:rPr>
              <w:t>0.54</w:t>
            </w:r>
          </w:p>
        </w:tc>
        <w:tc>
          <w:tcPr>
            <w:tcW w:w="1276" w:type="dxa"/>
            <w:shd w:val="clear" w:color="auto" w:fill="auto"/>
            <w:vAlign w:val="bottom"/>
          </w:tcPr>
          <w:p w14:paraId="281B2230" w14:textId="77777777" w:rsidR="00EF12F2" w:rsidRPr="00EF12F2" w:rsidRDefault="00EF12F2" w:rsidP="00EF12F2">
            <w:pPr>
              <w:jc w:val="right"/>
              <w:rPr>
                <w:color w:val="000000"/>
                <w:sz w:val="16"/>
                <w:szCs w:val="16"/>
                <w:lang w:eastAsia="en-NZ"/>
              </w:rPr>
            </w:pPr>
            <w:r w:rsidRPr="00EF12F2">
              <w:rPr>
                <w:color w:val="000000"/>
                <w:sz w:val="16"/>
                <w:szCs w:val="16"/>
                <w:lang w:eastAsia="en-NZ"/>
              </w:rPr>
              <w:t>(0.31, 0.96)</w:t>
            </w:r>
          </w:p>
        </w:tc>
        <w:tc>
          <w:tcPr>
            <w:tcW w:w="850" w:type="dxa"/>
            <w:shd w:val="clear" w:color="auto" w:fill="auto"/>
            <w:vAlign w:val="bottom"/>
          </w:tcPr>
          <w:p w14:paraId="33FB45A8" w14:textId="77777777" w:rsidR="00EF12F2" w:rsidRPr="00EF12F2" w:rsidRDefault="00EF12F2" w:rsidP="00EF12F2">
            <w:pPr>
              <w:jc w:val="right"/>
              <w:rPr>
                <w:color w:val="000000"/>
                <w:sz w:val="16"/>
                <w:szCs w:val="16"/>
                <w:lang w:eastAsia="en-NZ"/>
              </w:rPr>
            </w:pPr>
          </w:p>
        </w:tc>
      </w:tr>
      <w:tr w:rsidR="00EF12F2" w:rsidRPr="003F15C0" w14:paraId="2BE4AEC8" w14:textId="77777777" w:rsidTr="00826105">
        <w:tc>
          <w:tcPr>
            <w:tcW w:w="5387" w:type="dxa"/>
            <w:vAlign w:val="bottom"/>
          </w:tcPr>
          <w:p w14:paraId="6AE2EEC2" w14:textId="77777777" w:rsidR="00EF12F2" w:rsidRPr="006B29E4" w:rsidRDefault="00EF12F2" w:rsidP="00EF12F2">
            <w:pPr>
              <w:spacing w:before="20"/>
              <w:ind w:left="176"/>
              <w:jc w:val="both"/>
              <w:rPr>
                <w:sz w:val="16"/>
                <w:szCs w:val="16"/>
              </w:rPr>
            </w:pPr>
            <w:r w:rsidRPr="006B29E4">
              <w:rPr>
                <w:sz w:val="16"/>
                <w:szCs w:val="16"/>
              </w:rPr>
              <w:t>University</w:t>
            </w:r>
            <w:r>
              <w:rPr>
                <w:sz w:val="16"/>
                <w:szCs w:val="16"/>
              </w:rPr>
              <w:t xml:space="preserve"> degree or higher</w:t>
            </w:r>
          </w:p>
        </w:tc>
        <w:tc>
          <w:tcPr>
            <w:tcW w:w="992" w:type="dxa"/>
            <w:shd w:val="clear" w:color="auto" w:fill="auto"/>
            <w:vAlign w:val="bottom"/>
          </w:tcPr>
          <w:p w14:paraId="1EEE786C" w14:textId="77777777" w:rsidR="00EF12F2" w:rsidRPr="00EF12F2" w:rsidRDefault="00EF12F2" w:rsidP="00EF12F2">
            <w:pPr>
              <w:jc w:val="right"/>
              <w:rPr>
                <w:color w:val="000000"/>
                <w:sz w:val="16"/>
                <w:szCs w:val="16"/>
                <w:lang w:eastAsia="en-NZ"/>
              </w:rPr>
            </w:pPr>
            <w:r w:rsidRPr="00EF12F2">
              <w:rPr>
                <w:color w:val="000000"/>
                <w:sz w:val="16"/>
                <w:szCs w:val="16"/>
                <w:lang w:eastAsia="en-NZ"/>
              </w:rPr>
              <w:t>0.32</w:t>
            </w:r>
          </w:p>
        </w:tc>
        <w:tc>
          <w:tcPr>
            <w:tcW w:w="1276" w:type="dxa"/>
            <w:shd w:val="clear" w:color="auto" w:fill="auto"/>
            <w:vAlign w:val="bottom"/>
          </w:tcPr>
          <w:p w14:paraId="3D8E8919" w14:textId="77777777" w:rsidR="00EF12F2" w:rsidRPr="00EF12F2" w:rsidRDefault="00EF12F2" w:rsidP="00EF12F2">
            <w:pPr>
              <w:jc w:val="right"/>
              <w:rPr>
                <w:color w:val="000000"/>
                <w:sz w:val="16"/>
                <w:szCs w:val="16"/>
                <w:lang w:eastAsia="en-NZ"/>
              </w:rPr>
            </w:pPr>
            <w:r w:rsidRPr="00EF12F2">
              <w:rPr>
                <w:color w:val="000000"/>
                <w:sz w:val="16"/>
                <w:szCs w:val="16"/>
                <w:lang w:eastAsia="en-NZ"/>
              </w:rPr>
              <w:t>(0.19, 0.56)</w:t>
            </w:r>
          </w:p>
        </w:tc>
        <w:tc>
          <w:tcPr>
            <w:tcW w:w="850" w:type="dxa"/>
            <w:shd w:val="clear" w:color="auto" w:fill="auto"/>
            <w:vAlign w:val="bottom"/>
          </w:tcPr>
          <w:p w14:paraId="202E50F6" w14:textId="77777777" w:rsidR="00EF12F2" w:rsidRPr="00EF12F2" w:rsidRDefault="00EF12F2" w:rsidP="00EF12F2">
            <w:pPr>
              <w:jc w:val="right"/>
              <w:rPr>
                <w:color w:val="000000"/>
                <w:sz w:val="16"/>
                <w:szCs w:val="16"/>
                <w:lang w:eastAsia="en-NZ"/>
              </w:rPr>
            </w:pPr>
            <w:r w:rsidRPr="00EF12F2">
              <w:rPr>
                <w:color w:val="000000"/>
                <w:sz w:val="16"/>
                <w:szCs w:val="16"/>
                <w:lang w:eastAsia="en-NZ"/>
              </w:rPr>
              <w:t>0.0006</w:t>
            </w:r>
          </w:p>
        </w:tc>
      </w:tr>
      <w:tr w:rsidR="00EF12F2" w:rsidRPr="003F15C0" w14:paraId="19896356" w14:textId="77777777" w:rsidTr="005F3C25">
        <w:tc>
          <w:tcPr>
            <w:tcW w:w="5387" w:type="dxa"/>
          </w:tcPr>
          <w:p w14:paraId="7F11F815" w14:textId="77777777" w:rsidR="00EF12F2" w:rsidRPr="00D24C70" w:rsidRDefault="00EF12F2" w:rsidP="00FB6528">
            <w:pPr>
              <w:spacing w:before="20"/>
              <w:jc w:val="both"/>
              <w:rPr>
                <w:b/>
                <w:sz w:val="16"/>
                <w:szCs w:val="16"/>
              </w:rPr>
            </w:pPr>
            <w:r w:rsidRPr="00D24C70">
              <w:rPr>
                <w:b/>
                <w:sz w:val="16"/>
                <w:szCs w:val="16"/>
              </w:rPr>
              <w:t>Labour force status</w:t>
            </w:r>
          </w:p>
        </w:tc>
        <w:tc>
          <w:tcPr>
            <w:tcW w:w="992" w:type="dxa"/>
            <w:shd w:val="clear" w:color="auto" w:fill="auto"/>
            <w:vAlign w:val="center"/>
          </w:tcPr>
          <w:p w14:paraId="6F673E21" w14:textId="77777777" w:rsidR="00EF12F2" w:rsidRPr="008A1AFE" w:rsidRDefault="00EF12F2" w:rsidP="00FB6528">
            <w:pPr>
              <w:jc w:val="right"/>
              <w:rPr>
                <w:color w:val="000000"/>
                <w:sz w:val="16"/>
                <w:szCs w:val="20"/>
                <w:lang w:eastAsia="en-NZ"/>
              </w:rPr>
            </w:pPr>
          </w:p>
        </w:tc>
        <w:tc>
          <w:tcPr>
            <w:tcW w:w="1276" w:type="dxa"/>
            <w:shd w:val="clear" w:color="auto" w:fill="auto"/>
            <w:vAlign w:val="center"/>
          </w:tcPr>
          <w:p w14:paraId="66C7659B" w14:textId="77777777" w:rsidR="00EF12F2" w:rsidRPr="008A1AFE" w:rsidRDefault="00EF12F2" w:rsidP="00FB6528">
            <w:pPr>
              <w:jc w:val="right"/>
              <w:rPr>
                <w:color w:val="000000"/>
                <w:sz w:val="16"/>
                <w:szCs w:val="20"/>
                <w:lang w:eastAsia="en-NZ"/>
              </w:rPr>
            </w:pPr>
          </w:p>
        </w:tc>
        <w:tc>
          <w:tcPr>
            <w:tcW w:w="850" w:type="dxa"/>
            <w:shd w:val="clear" w:color="auto" w:fill="auto"/>
            <w:vAlign w:val="center"/>
          </w:tcPr>
          <w:p w14:paraId="0A91E1A0" w14:textId="77777777" w:rsidR="00EF12F2" w:rsidRPr="008A1AFE" w:rsidRDefault="00EF12F2" w:rsidP="00FB6528">
            <w:pPr>
              <w:jc w:val="right"/>
              <w:rPr>
                <w:color w:val="000000"/>
                <w:sz w:val="16"/>
                <w:szCs w:val="20"/>
                <w:lang w:eastAsia="en-NZ"/>
              </w:rPr>
            </w:pPr>
          </w:p>
        </w:tc>
      </w:tr>
      <w:tr w:rsidR="00EF12F2" w:rsidRPr="003F15C0" w14:paraId="0BC963A7" w14:textId="77777777" w:rsidTr="005F3C25">
        <w:tc>
          <w:tcPr>
            <w:tcW w:w="5387" w:type="dxa"/>
            <w:vAlign w:val="bottom"/>
          </w:tcPr>
          <w:p w14:paraId="46B49429" w14:textId="77777777" w:rsidR="00EF12F2" w:rsidRPr="00D24C70" w:rsidRDefault="00EF12F2" w:rsidP="00EF12F2">
            <w:pPr>
              <w:spacing w:before="20"/>
              <w:ind w:left="176"/>
              <w:jc w:val="both"/>
              <w:rPr>
                <w:sz w:val="16"/>
                <w:szCs w:val="16"/>
              </w:rPr>
            </w:pPr>
            <w:r w:rsidRPr="00D24C70">
              <w:rPr>
                <w:sz w:val="16"/>
                <w:szCs w:val="16"/>
              </w:rPr>
              <w:t>Employed</w:t>
            </w:r>
          </w:p>
        </w:tc>
        <w:tc>
          <w:tcPr>
            <w:tcW w:w="992" w:type="dxa"/>
            <w:shd w:val="clear" w:color="auto" w:fill="auto"/>
            <w:vAlign w:val="bottom"/>
          </w:tcPr>
          <w:p w14:paraId="18A4D265" w14:textId="77777777" w:rsidR="00EF12F2" w:rsidRPr="00EF12F2" w:rsidRDefault="00EF12F2" w:rsidP="00EF12F2">
            <w:pPr>
              <w:jc w:val="right"/>
              <w:rPr>
                <w:color w:val="000000"/>
                <w:sz w:val="16"/>
                <w:szCs w:val="16"/>
                <w:lang w:eastAsia="en-NZ"/>
              </w:rPr>
            </w:pPr>
            <w:r w:rsidRPr="00EF12F2">
              <w:rPr>
                <w:color w:val="000000"/>
                <w:sz w:val="16"/>
                <w:szCs w:val="16"/>
                <w:lang w:eastAsia="en-NZ"/>
              </w:rPr>
              <w:t>1.00</w:t>
            </w:r>
          </w:p>
        </w:tc>
        <w:tc>
          <w:tcPr>
            <w:tcW w:w="1276" w:type="dxa"/>
            <w:shd w:val="clear" w:color="auto" w:fill="auto"/>
            <w:vAlign w:val="bottom"/>
          </w:tcPr>
          <w:p w14:paraId="06283CF2" w14:textId="77777777" w:rsidR="00EF12F2" w:rsidRPr="00EF12F2" w:rsidRDefault="00EF12F2" w:rsidP="00EF12F2">
            <w:pPr>
              <w:jc w:val="right"/>
              <w:rPr>
                <w:color w:val="000000"/>
                <w:sz w:val="16"/>
                <w:szCs w:val="16"/>
                <w:lang w:eastAsia="en-NZ"/>
              </w:rPr>
            </w:pPr>
          </w:p>
        </w:tc>
        <w:tc>
          <w:tcPr>
            <w:tcW w:w="850" w:type="dxa"/>
            <w:shd w:val="clear" w:color="auto" w:fill="auto"/>
            <w:vAlign w:val="bottom"/>
          </w:tcPr>
          <w:p w14:paraId="50B6B1A2" w14:textId="77777777" w:rsidR="00EF12F2" w:rsidRPr="00EF12F2" w:rsidRDefault="00EF12F2" w:rsidP="00EF12F2">
            <w:pPr>
              <w:jc w:val="right"/>
              <w:rPr>
                <w:color w:val="000000"/>
                <w:sz w:val="16"/>
                <w:szCs w:val="16"/>
                <w:lang w:eastAsia="en-NZ"/>
              </w:rPr>
            </w:pPr>
          </w:p>
        </w:tc>
      </w:tr>
      <w:tr w:rsidR="002A1181" w:rsidRPr="003F15C0" w14:paraId="4D2B7868" w14:textId="77777777" w:rsidTr="005F3C25">
        <w:tc>
          <w:tcPr>
            <w:tcW w:w="5387" w:type="dxa"/>
            <w:vAlign w:val="bottom"/>
          </w:tcPr>
          <w:p w14:paraId="4800C24D" w14:textId="77777777" w:rsidR="002A1181" w:rsidRPr="00D24C70" w:rsidRDefault="002A1181" w:rsidP="002A1181">
            <w:pPr>
              <w:spacing w:before="20"/>
              <w:ind w:left="176"/>
              <w:jc w:val="both"/>
              <w:rPr>
                <w:sz w:val="16"/>
                <w:szCs w:val="16"/>
              </w:rPr>
            </w:pPr>
            <w:r w:rsidRPr="00D24C70">
              <w:rPr>
                <w:sz w:val="16"/>
                <w:szCs w:val="16"/>
              </w:rPr>
              <w:t>Unemployed</w:t>
            </w:r>
          </w:p>
        </w:tc>
        <w:tc>
          <w:tcPr>
            <w:tcW w:w="992" w:type="dxa"/>
            <w:shd w:val="clear" w:color="auto" w:fill="auto"/>
            <w:vAlign w:val="bottom"/>
          </w:tcPr>
          <w:p w14:paraId="602AEC7F" w14:textId="77777777" w:rsidR="002A1181" w:rsidRPr="00EF12F2" w:rsidRDefault="002A1181" w:rsidP="002A1181">
            <w:pPr>
              <w:jc w:val="right"/>
              <w:rPr>
                <w:color w:val="000000"/>
                <w:sz w:val="16"/>
                <w:szCs w:val="16"/>
                <w:lang w:eastAsia="en-NZ"/>
              </w:rPr>
            </w:pPr>
            <w:r w:rsidRPr="00EF12F2">
              <w:rPr>
                <w:color w:val="000000"/>
                <w:sz w:val="16"/>
                <w:szCs w:val="16"/>
                <w:lang w:eastAsia="en-NZ"/>
              </w:rPr>
              <w:t>2.76</w:t>
            </w:r>
          </w:p>
        </w:tc>
        <w:tc>
          <w:tcPr>
            <w:tcW w:w="1276" w:type="dxa"/>
            <w:shd w:val="clear" w:color="auto" w:fill="auto"/>
            <w:vAlign w:val="bottom"/>
          </w:tcPr>
          <w:p w14:paraId="69BFACE2" w14:textId="77777777" w:rsidR="002A1181" w:rsidRPr="00EF12F2" w:rsidRDefault="002A1181" w:rsidP="002A1181">
            <w:pPr>
              <w:jc w:val="right"/>
              <w:rPr>
                <w:color w:val="000000"/>
                <w:sz w:val="16"/>
                <w:szCs w:val="16"/>
                <w:lang w:eastAsia="en-NZ"/>
              </w:rPr>
            </w:pPr>
            <w:r w:rsidRPr="00EF12F2">
              <w:rPr>
                <w:color w:val="000000"/>
                <w:sz w:val="16"/>
                <w:szCs w:val="16"/>
                <w:lang w:eastAsia="en-NZ"/>
              </w:rPr>
              <w:t>(1.79, 4.26)</w:t>
            </w:r>
          </w:p>
        </w:tc>
        <w:tc>
          <w:tcPr>
            <w:tcW w:w="850" w:type="dxa"/>
            <w:shd w:val="clear" w:color="auto" w:fill="auto"/>
            <w:vAlign w:val="bottom"/>
          </w:tcPr>
          <w:p w14:paraId="795857C1" w14:textId="77777777" w:rsidR="002A1181" w:rsidRPr="00EF12F2" w:rsidRDefault="002A1181" w:rsidP="002A1181">
            <w:pPr>
              <w:jc w:val="right"/>
              <w:rPr>
                <w:color w:val="000000"/>
                <w:sz w:val="16"/>
                <w:szCs w:val="16"/>
                <w:lang w:eastAsia="en-NZ"/>
              </w:rPr>
            </w:pPr>
          </w:p>
        </w:tc>
      </w:tr>
      <w:tr w:rsidR="002A1181" w:rsidRPr="003F15C0" w14:paraId="0897B49D" w14:textId="77777777" w:rsidTr="00826105">
        <w:tc>
          <w:tcPr>
            <w:tcW w:w="5387" w:type="dxa"/>
            <w:vAlign w:val="bottom"/>
          </w:tcPr>
          <w:p w14:paraId="17B6F9D6" w14:textId="77777777" w:rsidR="002A1181" w:rsidRPr="00D24C70" w:rsidRDefault="002A1181" w:rsidP="002A1181">
            <w:pPr>
              <w:spacing w:before="20"/>
              <w:ind w:left="176"/>
              <w:jc w:val="both"/>
              <w:rPr>
                <w:sz w:val="16"/>
                <w:szCs w:val="16"/>
              </w:rPr>
            </w:pPr>
            <w:r w:rsidRPr="00D24C70">
              <w:rPr>
                <w:sz w:val="16"/>
                <w:szCs w:val="16"/>
              </w:rPr>
              <w:t>Student/homemaker/retired</w:t>
            </w:r>
          </w:p>
        </w:tc>
        <w:tc>
          <w:tcPr>
            <w:tcW w:w="992" w:type="dxa"/>
            <w:shd w:val="clear" w:color="auto" w:fill="auto"/>
            <w:vAlign w:val="bottom"/>
          </w:tcPr>
          <w:p w14:paraId="619B483A" w14:textId="77777777" w:rsidR="002A1181" w:rsidRPr="00EF12F2" w:rsidRDefault="002A1181" w:rsidP="002A1181">
            <w:pPr>
              <w:jc w:val="right"/>
              <w:rPr>
                <w:color w:val="000000"/>
                <w:sz w:val="16"/>
                <w:szCs w:val="16"/>
                <w:lang w:eastAsia="en-NZ"/>
              </w:rPr>
            </w:pPr>
            <w:r w:rsidRPr="00EF12F2">
              <w:rPr>
                <w:color w:val="000000"/>
                <w:sz w:val="16"/>
                <w:szCs w:val="16"/>
                <w:lang w:eastAsia="en-NZ"/>
              </w:rPr>
              <w:t>1.01</w:t>
            </w:r>
          </w:p>
        </w:tc>
        <w:tc>
          <w:tcPr>
            <w:tcW w:w="1276" w:type="dxa"/>
            <w:shd w:val="clear" w:color="auto" w:fill="auto"/>
            <w:vAlign w:val="bottom"/>
          </w:tcPr>
          <w:p w14:paraId="1D2ECFD6" w14:textId="77777777" w:rsidR="002A1181" w:rsidRPr="00EF12F2" w:rsidRDefault="002A1181" w:rsidP="002A1181">
            <w:pPr>
              <w:jc w:val="right"/>
              <w:rPr>
                <w:color w:val="000000"/>
                <w:sz w:val="16"/>
                <w:szCs w:val="16"/>
                <w:lang w:eastAsia="en-NZ"/>
              </w:rPr>
            </w:pPr>
            <w:r w:rsidRPr="00EF12F2">
              <w:rPr>
                <w:color w:val="000000"/>
                <w:sz w:val="16"/>
                <w:szCs w:val="16"/>
                <w:lang w:eastAsia="en-NZ"/>
              </w:rPr>
              <w:t>(0.70, 1.46)</w:t>
            </w:r>
          </w:p>
        </w:tc>
        <w:tc>
          <w:tcPr>
            <w:tcW w:w="850" w:type="dxa"/>
            <w:shd w:val="clear" w:color="auto" w:fill="auto"/>
            <w:vAlign w:val="bottom"/>
          </w:tcPr>
          <w:p w14:paraId="27E7F466" w14:textId="77777777" w:rsidR="002A1181" w:rsidRPr="00EF12F2" w:rsidRDefault="002A1181" w:rsidP="002A1181">
            <w:pPr>
              <w:jc w:val="right"/>
              <w:rPr>
                <w:color w:val="000000"/>
                <w:sz w:val="16"/>
                <w:szCs w:val="16"/>
                <w:lang w:eastAsia="en-NZ"/>
              </w:rPr>
            </w:pPr>
            <w:r w:rsidRPr="00EF12F2">
              <w:rPr>
                <w:color w:val="000000"/>
                <w:sz w:val="16"/>
                <w:szCs w:val="16"/>
                <w:lang w:eastAsia="en-NZ"/>
              </w:rPr>
              <w:t>&lt;</w:t>
            </w:r>
            <w:r>
              <w:rPr>
                <w:color w:val="000000"/>
                <w:sz w:val="16"/>
                <w:szCs w:val="16"/>
                <w:lang w:eastAsia="en-NZ"/>
              </w:rPr>
              <w:t>0</w:t>
            </w:r>
            <w:r w:rsidRPr="00EF12F2">
              <w:rPr>
                <w:color w:val="000000"/>
                <w:sz w:val="16"/>
                <w:szCs w:val="16"/>
                <w:lang w:eastAsia="en-NZ"/>
              </w:rPr>
              <w:t>.0001</w:t>
            </w:r>
          </w:p>
        </w:tc>
      </w:tr>
      <w:tr w:rsidR="002A1181" w:rsidRPr="003F15C0" w14:paraId="1B1D7DD7" w14:textId="77777777" w:rsidTr="005F3C25">
        <w:tc>
          <w:tcPr>
            <w:tcW w:w="5387" w:type="dxa"/>
          </w:tcPr>
          <w:p w14:paraId="3EF8B06B" w14:textId="77777777" w:rsidR="002A1181" w:rsidRPr="00D24C70" w:rsidRDefault="002A1181" w:rsidP="002A1181">
            <w:pPr>
              <w:spacing w:before="20"/>
              <w:jc w:val="both"/>
              <w:rPr>
                <w:b/>
                <w:sz w:val="16"/>
                <w:szCs w:val="16"/>
              </w:rPr>
            </w:pPr>
            <w:r w:rsidRPr="00D24C70">
              <w:rPr>
                <w:b/>
                <w:sz w:val="16"/>
                <w:szCs w:val="16"/>
              </w:rPr>
              <w:t>Annual personal income</w:t>
            </w:r>
          </w:p>
        </w:tc>
        <w:tc>
          <w:tcPr>
            <w:tcW w:w="992" w:type="dxa"/>
            <w:shd w:val="clear" w:color="auto" w:fill="auto"/>
            <w:vAlign w:val="center"/>
          </w:tcPr>
          <w:p w14:paraId="6594DA5A" w14:textId="77777777" w:rsidR="002A1181" w:rsidRPr="008A1AFE" w:rsidRDefault="002A1181" w:rsidP="002A1181">
            <w:pPr>
              <w:jc w:val="right"/>
              <w:rPr>
                <w:color w:val="000000"/>
                <w:sz w:val="16"/>
                <w:szCs w:val="20"/>
                <w:lang w:eastAsia="en-NZ"/>
              </w:rPr>
            </w:pPr>
          </w:p>
        </w:tc>
        <w:tc>
          <w:tcPr>
            <w:tcW w:w="1276" w:type="dxa"/>
            <w:shd w:val="clear" w:color="auto" w:fill="auto"/>
            <w:vAlign w:val="center"/>
          </w:tcPr>
          <w:p w14:paraId="1A89949A" w14:textId="77777777" w:rsidR="002A1181" w:rsidRPr="008A1AFE" w:rsidRDefault="002A1181" w:rsidP="002A1181">
            <w:pPr>
              <w:jc w:val="right"/>
              <w:rPr>
                <w:color w:val="000000"/>
                <w:sz w:val="16"/>
                <w:szCs w:val="20"/>
                <w:lang w:eastAsia="en-NZ"/>
              </w:rPr>
            </w:pPr>
          </w:p>
        </w:tc>
        <w:tc>
          <w:tcPr>
            <w:tcW w:w="850" w:type="dxa"/>
            <w:shd w:val="clear" w:color="auto" w:fill="auto"/>
            <w:vAlign w:val="center"/>
          </w:tcPr>
          <w:p w14:paraId="2B168C9F" w14:textId="77777777" w:rsidR="002A1181" w:rsidRPr="008A1AFE" w:rsidRDefault="002A1181" w:rsidP="002A1181">
            <w:pPr>
              <w:jc w:val="right"/>
              <w:rPr>
                <w:color w:val="000000"/>
                <w:sz w:val="16"/>
                <w:szCs w:val="20"/>
                <w:lang w:eastAsia="en-NZ"/>
              </w:rPr>
            </w:pPr>
          </w:p>
        </w:tc>
      </w:tr>
      <w:tr w:rsidR="002A1181" w:rsidRPr="003F15C0" w14:paraId="62B94822" w14:textId="77777777" w:rsidTr="005F3C25">
        <w:tc>
          <w:tcPr>
            <w:tcW w:w="5387" w:type="dxa"/>
            <w:vAlign w:val="bottom"/>
          </w:tcPr>
          <w:p w14:paraId="55715EEC" w14:textId="77777777" w:rsidR="002A1181" w:rsidRPr="007C6C78" w:rsidRDefault="00F86C7A" w:rsidP="002A1181">
            <w:pPr>
              <w:spacing w:before="20"/>
              <w:ind w:left="176"/>
              <w:jc w:val="both"/>
              <w:rPr>
                <w:sz w:val="16"/>
                <w:szCs w:val="16"/>
              </w:rPr>
            </w:pPr>
            <w:r>
              <w:rPr>
                <w:sz w:val="16"/>
                <w:szCs w:val="16"/>
              </w:rPr>
              <w:t>≤</w:t>
            </w:r>
            <w:r w:rsidR="002A1181" w:rsidRPr="007C6C78">
              <w:rPr>
                <w:sz w:val="16"/>
                <w:szCs w:val="16"/>
              </w:rPr>
              <w:t>$20</w:t>
            </w:r>
            <w:r w:rsidR="002A1181">
              <w:rPr>
                <w:sz w:val="16"/>
                <w:szCs w:val="16"/>
              </w:rPr>
              <w:t>,000</w:t>
            </w:r>
          </w:p>
        </w:tc>
        <w:tc>
          <w:tcPr>
            <w:tcW w:w="992" w:type="dxa"/>
            <w:shd w:val="clear" w:color="auto" w:fill="auto"/>
            <w:vAlign w:val="bottom"/>
          </w:tcPr>
          <w:p w14:paraId="795357F3" w14:textId="77777777" w:rsidR="002A1181" w:rsidRPr="00EF12F2" w:rsidRDefault="002A1181" w:rsidP="002A1181">
            <w:pPr>
              <w:jc w:val="right"/>
              <w:rPr>
                <w:color w:val="000000"/>
                <w:sz w:val="16"/>
                <w:szCs w:val="16"/>
                <w:lang w:eastAsia="en-NZ"/>
              </w:rPr>
            </w:pPr>
            <w:r w:rsidRPr="00EF12F2">
              <w:rPr>
                <w:color w:val="000000"/>
                <w:sz w:val="16"/>
                <w:szCs w:val="16"/>
                <w:lang w:eastAsia="en-NZ"/>
              </w:rPr>
              <w:t>1.00</w:t>
            </w:r>
          </w:p>
        </w:tc>
        <w:tc>
          <w:tcPr>
            <w:tcW w:w="1276" w:type="dxa"/>
            <w:shd w:val="clear" w:color="auto" w:fill="auto"/>
            <w:vAlign w:val="bottom"/>
          </w:tcPr>
          <w:p w14:paraId="0D620BC7" w14:textId="77777777" w:rsidR="002A1181" w:rsidRPr="00EF12F2" w:rsidRDefault="002A1181" w:rsidP="002A1181">
            <w:pPr>
              <w:jc w:val="right"/>
              <w:rPr>
                <w:color w:val="000000"/>
                <w:sz w:val="16"/>
                <w:szCs w:val="16"/>
                <w:lang w:eastAsia="en-NZ"/>
              </w:rPr>
            </w:pPr>
          </w:p>
        </w:tc>
        <w:tc>
          <w:tcPr>
            <w:tcW w:w="850" w:type="dxa"/>
            <w:shd w:val="clear" w:color="auto" w:fill="auto"/>
            <w:vAlign w:val="bottom"/>
          </w:tcPr>
          <w:p w14:paraId="056A8692" w14:textId="77777777" w:rsidR="002A1181" w:rsidRPr="00EF12F2" w:rsidRDefault="002A1181" w:rsidP="002A1181">
            <w:pPr>
              <w:jc w:val="right"/>
              <w:rPr>
                <w:color w:val="000000"/>
                <w:sz w:val="16"/>
                <w:szCs w:val="16"/>
                <w:lang w:eastAsia="en-NZ"/>
              </w:rPr>
            </w:pPr>
          </w:p>
        </w:tc>
      </w:tr>
      <w:tr w:rsidR="002A1181" w:rsidRPr="003F15C0" w14:paraId="3F651357" w14:textId="77777777" w:rsidTr="005F3C25">
        <w:tc>
          <w:tcPr>
            <w:tcW w:w="5387" w:type="dxa"/>
            <w:vAlign w:val="bottom"/>
          </w:tcPr>
          <w:p w14:paraId="791129EC" w14:textId="77777777" w:rsidR="002A1181" w:rsidRPr="007C6C78" w:rsidRDefault="002A1181" w:rsidP="002A1181">
            <w:pPr>
              <w:spacing w:before="20"/>
              <w:ind w:left="176"/>
              <w:jc w:val="both"/>
              <w:rPr>
                <w:sz w:val="16"/>
                <w:szCs w:val="16"/>
              </w:rPr>
            </w:pPr>
            <w:r>
              <w:rPr>
                <w:sz w:val="16"/>
                <w:szCs w:val="16"/>
              </w:rPr>
              <w:t>$</w:t>
            </w:r>
            <w:r w:rsidRPr="007C6C78">
              <w:rPr>
                <w:sz w:val="16"/>
                <w:szCs w:val="16"/>
              </w:rPr>
              <w:t>20</w:t>
            </w:r>
            <w:r>
              <w:rPr>
                <w:sz w:val="16"/>
                <w:szCs w:val="16"/>
              </w:rPr>
              <w:t xml:space="preserve">,001 </w:t>
            </w:r>
            <w:r w:rsidRPr="007C6C78">
              <w:rPr>
                <w:sz w:val="16"/>
                <w:szCs w:val="16"/>
              </w:rPr>
              <w:t>-</w:t>
            </w:r>
            <w:r>
              <w:rPr>
                <w:sz w:val="16"/>
                <w:szCs w:val="16"/>
              </w:rPr>
              <w:t xml:space="preserve"> $</w:t>
            </w:r>
            <w:r w:rsidRPr="007C6C78">
              <w:rPr>
                <w:sz w:val="16"/>
                <w:szCs w:val="16"/>
              </w:rPr>
              <w:t>40</w:t>
            </w:r>
            <w:r>
              <w:rPr>
                <w:sz w:val="16"/>
                <w:szCs w:val="16"/>
              </w:rPr>
              <w:t>,000</w:t>
            </w:r>
          </w:p>
        </w:tc>
        <w:tc>
          <w:tcPr>
            <w:tcW w:w="992" w:type="dxa"/>
            <w:shd w:val="clear" w:color="auto" w:fill="auto"/>
            <w:vAlign w:val="bottom"/>
          </w:tcPr>
          <w:p w14:paraId="22824051" w14:textId="77777777" w:rsidR="002A1181" w:rsidRPr="00EF12F2" w:rsidRDefault="002A1181" w:rsidP="002A1181">
            <w:pPr>
              <w:jc w:val="right"/>
              <w:rPr>
                <w:color w:val="000000"/>
                <w:sz w:val="16"/>
                <w:szCs w:val="16"/>
                <w:lang w:eastAsia="en-NZ"/>
              </w:rPr>
            </w:pPr>
            <w:r w:rsidRPr="00EF12F2">
              <w:rPr>
                <w:color w:val="000000"/>
                <w:sz w:val="16"/>
                <w:szCs w:val="16"/>
                <w:lang w:eastAsia="en-NZ"/>
              </w:rPr>
              <w:t>0.59</w:t>
            </w:r>
          </w:p>
        </w:tc>
        <w:tc>
          <w:tcPr>
            <w:tcW w:w="1276" w:type="dxa"/>
            <w:shd w:val="clear" w:color="auto" w:fill="auto"/>
            <w:vAlign w:val="bottom"/>
          </w:tcPr>
          <w:p w14:paraId="79EA2762" w14:textId="77777777" w:rsidR="002A1181" w:rsidRPr="00EF12F2" w:rsidRDefault="002A1181" w:rsidP="002A1181">
            <w:pPr>
              <w:jc w:val="right"/>
              <w:rPr>
                <w:color w:val="000000"/>
                <w:sz w:val="16"/>
                <w:szCs w:val="16"/>
                <w:lang w:eastAsia="en-NZ"/>
              </w:rPr>
            </w:pPr>
            <w:r w:rsidRPr="00EF12F2">
              <w:rPr>
                <w:color w:val="000000"/>
                <w:sz w:val="16"/>
                <w:szCs w:val="16"/>
                <w:lang w:eastAsia="en-NZ"/>
              </w:rPr>
              <w:t>(0.41, 0.83)</w:t>
            </w:r>
          </w:p>
        </w:tc>
        <w:tc>
          <w:tcPr>
            <w:tcW w:w="850" w:type="dxa"/>
            <w:shd w:val="clear" w:color="auto" w:fill="auto"/>
            <w:vAlign w:val="bottom"/>
          </w:tcPr>
          <w:p w14:paraId="26F5D124" w14:textId="77777777" w:rsidR="002A1181" w:rsidRPr="00EF12F2" w:rsidRDefault="002A1181" w:rsidP="002A1181">
            <w:pPr>
              <w:jc w:val="right"/>
              <w:rPr>
                <w:color w:val="000000"/>
                <w:sz w:val="16"/>
                <w:szCs w:val="16"/>
                <w:lang w:eastAsia="en-NZ"/>
              </w:rPr>
            </w:pPr>
          </w:p>
        </w:tc>
      </w:tr>
      <w:tr w:rsidR="002A1181" w:rsidRPr="003F15C0" w14:paraId="1BFA7841" w14:textId="77777777" w:rsidTr="005F3C25">
        <w:tc>
          <w:tcPr>
            <w:tcW w:w="5387" w:type="dxa"/>
            <w:vAlign w:val="bottom"/>
          </w:tcPr>
          <w:p w14:paraId="23A3D277" w14:textId="77777777" w:rsidR="002A1181" w:rsidRPr="007C6C78" w:rsidRDefault="002A1181" w:rsidP="002A1181">
            <w:pPr>
              <w:spacing w:before="20"/>
              <w:ind w:left="176"/>
              <w:jc w:val="both"/>
              <w:rPr>
                <w:sz w:val="16"/>
                <w:szCs w:val="16"/>
              </w:rPr>
            </w:pPr>
            <w:r>
              <w:rPr>
                <w:sz w:val="16"/>
                <w:szCs w:val="16"/>
              </w:rPr>
              <w:t>$</w:t>
            </w:r>
            <w:r w:rsidRPr="007C6C78">
              <w:rPr>
                <w:sz w:val="16"/>
                <w:szCs w:val="16"/>
              </w:rPr>
              <w:t>40</w:t>
            </w:r>
            <w:r>
              <w:rPr>
                <w:sz w:val="16"/>
                <w:szCs w:val="16"/>
              </w:rPr>
              <w:t xml:space="preserve">,001 </w:t>
            </w:r>
            <w:r w:rsidRPr="007C6C78">
              <w:rPr>
                <w:sz w:val="16"/>
                <w:szCs w:val="16"/>
              </w:rPr>
              <w:t>-</w:t>
            </w:r>
            <w:r>
              <w:rPr>
                <w:sz w:val="16"/>
                <w:szCs w:val="16"/>
              </w:rPr>
              <w:t xml:space="preserve"> $</w:t>
            </w:r>
            <w:r w:rsidRPr="007C6C78">
              <w:rPr>
                <w:sz w:val="16"/>
                <w:szCs w:val="16"/>
              </w:rPr>
              <w:t>60</w:t>
            </w:r>
            <w:r>
              <w:rPr>
                <w:sz w:val="16"/>
                <w:szCs w:val="16"/>
              </w:rPr>
              <w:t>,000</w:t>
            </w:r>
          </w:p>
        </w:tc>
        <w:tc>
          <w:tcPr>
            <w:tcW w:w="992" w:type="dxa"/>
            <w:shd w:val="clear" w:color="auto" w:fill="auto"/>
            <w:vAlign w:val="bottom"/>
          </w:tcPr>
          <w:p w14:paraId="5ECDDB3F" w14:textId="77777777" w:rsidR="002A1181" w:rsidRPr="00EF12F2" w:rsidRDefault="002A1181" w:rsidP="002A1181">
            <w:pPr>
              <w:jc w:val="right"/>
              <w:rPr>
                <w:color w:val="000000"/>
                <w:sz w:val="16"/>
                <w:szCs w:val="16"/>
                <w:lang w:eastAsia="en-NZ"/>
              </w:rPr>
            </w:pPr>
            <w:r w:rsidRPr="00EF12F2">
              <w:rPr>
                <w:color w:val="000000"/>
                <w:sz w:val="16"/>
                <w:szCs w:val="16"/>
                <w:lang w:eastAsia="en-NZ"/>
              </w:rPr>
              <w:t>0.80</w:t>
            </w:r>
          </w:p>
        </w:tc>
        <w:tc>
          <w:tcPr>
            <w:tcW w:w="1276" w:type="dxa"/>
            <w:shd w:val="clear" w:color="auto" w:fill="auto"/>
            <w:vAlign w:val="bottom"/>
          </w:tcPr>
          <w:p w14:paraId="1A60ECAF" w14:textId="77777777" w:rsidR="002A1181" w:rsidRPr="00EF12F2" w:rsidRDefault="002A1181" w:rsidP="002A1181">
            <w:pPr>
              <w:jc w:val="right"/>
              <w:rPr>
                <w:color w:val="000000"/>
                <w:sz w:val="16"/>
                <w:szCs w:val="16"/>
                <w:lang w:eastAsia="en-NZ"/>
              </w:rPr>
            </w:pPr>
            <w:r w:rsidRPr="00EF12F2">
              <w:rPr>
                <w:color w:val="000000"/>
                <w:sz w:val="16"/>
                <w:szCs w:val="16"/>
                <w:lang w:eastAsia="en-NZ"/>
              </w:rPr>
              <w:t>(0.53, 1.19)</w:t>
            </w:r>
          </w:p>
        </w:tc>
        <w:tc>
          <w:tcPr>
            <w:tcW w:w="850" w:type="dxa"/>
            <w:shd w:val="clear" w:color="auto" w:fill="auto"/>
            <w:vAlign w:val="bottom"/>
          </w:tcPr>
          <w:p w14:paraId="1364C587" w14:textId="77777777" w:rsidR="002A1181" w:rsidRPr="00EF12F2" w:rsidRDefault="002A1181" w:rsidP="002A1181">
            <w:pPr>
              <w:jc w:val="right"/>
              <w:rPr>
                <w:color w:val="000000"/>
                <w:sz w:val="16"/>
                <w:szCs w:val="16"/>
                <w:lang w:eastAsia="en-NZ"/>
              </w:rPr>
            </w:pPr>
          </w:p>
        </w:tc>
      </w:tr>
      <w:tr w:rsidR="002A1181" w:rsidRPr="003F15C0" w14:paraId="3C905536" w14:textId="77777777" w:rsidTr="00826105">
        <w:tc>
          <w:tcPr>
            <w:tcW w:w="5387" w:type="dxa"/>
            <w:vAlign w:val="bottom"/>
          </w:tcPr>
          <w:p w14:paraId="72E40F88" w14:textId="77777777" w:rsidR="002A1181" w:rsidRPr="007C6C78" w:rsidRDefault="002A1181" w:rsidP="002A1181">
            <w:pPr>
              <w:spacing w:before="20"/>
              <w:ind w:left="176"/>
              <w:jc w:val="both"/>
              <w:rPr>
                <w:sz w:val="16"/>
                <w:szCs w:val="16"/>
              </w:rPr>
            </w:pPr>
            <w:r w:rsidRPr="007C6C78">
              <w:rPr>
                <w:sz w:val="16"/>
                <w:szCs w:val="16"/>
              </w:rPr>
              <w:t>&gt;</w:t>
            </w:r>
            <w:r>
              <w:rPr>
                <w:sz w:val="16"/>
                <w:szCs w:val="16"/>
              </w:rPr>
              <w:t>$</w:t>
            </w:r>
            <w:r w:rsidRPr="007C6C78">
              <w:rPr>
                <w:sz w:val="16"/>
                <w:szCs w:val="16"/>
              </w:rPr>
              <w:t>60</w:t>
            </w:r>
            <w:r>
              <w:rPr>
                <w:sz w:val="16"/>
                <w:szCs w:val="16"/>
              </w:rPr>
              <w:t>,000</w:t>
            </w:r>
          </w:p>
        </w:tc>
        <w:tc>
          <w:tcPr>
            <w:tcW w:w="992" w:type="dxa"/>
            <w:shd w:val="clear" w:color="auto" w:fill="auto"/>
            <w:vAlign w:val="bottom"/>
          </w:tcPr>
          <w:p w14:paraId="3234BDE8" w14:textId="77777777" w:rsidR="002A1181" w:rsidRPr="00EF12F2" w:rsidRDefault="002A1181" w:rsidP="002A1181">
            <w:pPr>
              <w:jc w:val="right"/>
              <w:rPr>
                <w:color w:val="000000"/>
                <w:sz w:val="16"/>
                <w:szCs w:val="16"/>
                <w:lang w:eastAsia="en-NZ"/>
              </w:rPr>
            </w:pPr>
            <w:r w:rsidRPr="00EF12F2">
              <w:rPr>
                <w:color w:val="000000"/>
                <w:sz w:val="16"/>
                <w:szCs w:val="16"/>
                <w:lang w:eastAsia="en-NZ"/>
              </w:rPr>
              <w:t>0.41</w:t>
            </w:r>
          </w:p>
        </w:tc>
        <w:tc>
          <w:tcPr>
            <w:tcW w:w="1276" w:type="dxa"/>
            <w:shd w:val="clear" w:color="auto" w:fill="auto"/>
            <w:vAlign w:val="bottom"/>
          </w:tcPr>
          <w:p w14:paraId="2C663D88" w14:textId="77777777" w:rsidR="002A1181" w:rsidRPr="00EF12F2" w:rsidRDefault="002A1181" w:rsidP="002A1181">
            <w:pPr>
              <w:jc w:val="right"/>
              <w:rPr>
                <w:color w:val="000000"/>
                <w:sz w:val="16"/>
                <w:szCs w:val="16"/>
                <w:lang w:eastAsia="en-NZ"/>
              </w:rPr>
            </w:pPr>
            <w:r w:rsidRPr="00EF12F2">
              <w:rPr>
                <w:color w:val="000000"/>
                <w:sz w:val="16"/>
                <w:szCs w:val="16"/>
                <w:lang w:eastAsia="en-NZ"/>
              </w:rPr>
              <w:t>(0.26, 0.64)</w:t>
            </w:r>
          </w:p>
        </w:tc>
        <w:tc>
          <w:tcPr>
            <w:tcW w:w="850" w:type="dxa"/>
            <w:shd w:val="clear" w:color="auto" w:fill="auto"/>
            <w:vAlign w:val="bottom"/>
          </w:tcPr>
          <w:p w14:paraId="6953527C" w14:textId="77777777" w:rsidR="002A1181" w:rsidRPr="00EF12F2" w:rsidRDefault="002A1181" w:rsidP="002A1181">
            <w:pPr>
              <w:jc w:val="right"/>
              <w:rPr>
                <w:color w:val="000000"/>
                <w:sz w:val="16"/>
                <w:szCs w:val="16"/>
                <w:lang w:eastAsia="en-NZ"/>
              </w:rPr>
            </w:pPr>
            <w:r w:rsidRPr="00EF12F2">
              <w:rPr>
                <w:color w:val="000000"/>
                <w:sz w:val="16"/>
                <w:szCs w:val="16"/>
                <w:lang w:eastAsia="en-NZ"/>
              </w:rPr>
              <w:t>0.0001</w:t>
            </w:r>
          </w:p>
        </w:tc>
      </w:tr>
      <w:tr w:rsidR="002A1181" w:rsidRPr="003F15C0" w14:paraId="0CF01DCC" w14:textId="77777777" w:rsidTr="005F3C25">
        <w:tc>
          <w:tcPr>
            <w:tcW w:w="5387" w:type="dxa"/>
          </w:tcPr>
          <w:p w14:paraId="0821BD41" w14:textId="77777777" w:rsidR="002A1181" w:rsidRPr="007C6C78" w:rsidRDefault="002A1181" w:rsidP="002A1181">
            <w:pPr>
              <w:spacing w:before="20"/>
              <w:jc w:val="both"/>
              <w:rPr>
                <w:b/>
                <w:sz w:val="16"/>
                <w:szCs w:val="16"/>
              </w:rPr>
            </w:pPr>
            <w:r w:rsidRPr="007C6C78">
              <w:rPr>
                <w:b/>
                <w:sz w:val="16"/>
                <w:szCs w:val="16"/>
              </w:rPr>
              <w:t>Annual household income</w:t>
            </w:r>
          </w:p>
        </w:tc>
        <w:tc>
          <w:tcPr>
            <w:tcW w:w="992" w:type="dxa"/>
            <w:shd w:val="clear" w:color="auto" w:fill="auto"/>
            <w:vAlign w:val="center"/>
          </w:tcPr>
          <w:p w14:paraId="116628C7" w14:textId="77777777" w:rsidR="002A1181" w:rsidRPr="005A130A" w:rsidRDefault="002A1181" w:rsidP="002A1181">
            <w:pPr>
              <w:jc w:val="right"/>
              <w:rPr>
                <w:color w:val="000000"/>
                <w:sz w:val="16"/>
                <w:szCs w:val="20"/>
                <w:lang w:eastAsia="en-NZ"/>
              </w:rPr>
            </w:pPr>
          </w:p>
        </w:tc>
        <w:tc>
          <w:tcPr>
            <w:tcW w:w="1276" w:type="dxa"/>
            <w:shd w:val="clear" w:color="auto" w:fill="auto"/>
            <w:vAlign w:val="center"/>
          </w:tcPr>
          <w:p w14:paraId="17371CAF" w14:textId="77777777" w:rsidR="002A1181" w:rsidRPr="005A130A" w:rsidRDefault="002A1181" w:rsidP="002A1181">
            <w:pPr>
              <w:jc w:val="right"/>
              <w:rPr>
                <w:color w:val="000000"/>
                <w:sz w:val="16"/>
                <w:szCs w:val="20"/>
                <w:lang w:eastAsia="en-NZ"/>
              </w:rPr>
            </w:pPr>
          </w:p>
        </w:tc>
        <w:tc>
          <w:tcPr>
            <w:tcW w:w="850" w:type="dxa"/>
            <w:shd w:val="clear" w:color="auto" w:fill="auto"/>
            <w:vAlign w:val="center"/>
          </w:tcPr>
          <w:p w14:paraId="38541681" w14:textId="77777777" w:rsidR="002A1181" w:rsidRPr="005A130A" w:rsidRDefault="002A1181" w:rsidP="002A1181">
            <w:pPr>
              <w:jc w:val="right"/>
              <w:rPr>
                <w:color w:val="000000"/>
                <w:sz w:val="16"/>
                <w:szCs w:val="20"/>
                <w:lang w:eastAsia="en-NZ"/>
              </w:rPr>
            </w:pPr>
          </w:p>
        </w:tc>
      </w:tr>
      <w:tr w:rsidR="002A1181" w:rsidRPr="003F15C0" w14:paraId="63F338FD" w14:textId="77777777" w:rsidTr="005F3C25">
        <w:tc>
          <w:tcPr>
            <w:tcW w:w="5387" w:type="dxa"/>
            <w:vAlign w:val="bottom"/>
          </w:tcPr>
          <w:p w14:paraId="72B3C0CC" w14:textId="77777777" w:rsidR="002A1181" w:rsidRPr="007C6C78" w:rsidRDefault="00F86C7A" w:rsidP="002A1181">
            <w:pPr>
              <w:spacing w:before="20"/>
              <w:ind w:left="176"/>
              <w:jc w:val="both"/>
              <w:rPr>
                <w:sz w:val="16"/>
                <w:szCs w:val="16"/>
              </w:rPr>
            </w:pPr>
            <w:r>
              <w:rPr>
                <w:sz w:val="16"/>
                <w:szCs w:val="16"/>
              </w:rPr>
              <w:t>≤</w:t>
            </w:r>
            <w:r w:rsidR="002A1181">
              <w:rPr>
                <w:sz w:val="16"/>
                <w:szCs w:val="16"/>
              </w:rPr>
              <w:t>$4</w:t>
            </w:r>
            <w:r w:rsidR="002A1181" w:rsidRPr="007C6C78">
              <w:rPr>
                <w:sz w:val="16"/>
                <w:szCs w:val="16"/>
              </w:rPr>
              <w:t>0</w:t>
            </w:r>
            <w:r w:rsidR="002A1181">
              <w:rPr>
                <w:sz w:val="16"/>
                <w:szCs w:val="16"/>
              </w:rPr>
              <w:t>,000</w:t>
            </w:r>
          </w:p>
        </w:tc>
        <w:tc>
          <w:tcPr>
            <w:tcW w:w="992" w:type="dxa"/>
            <w:shd w:val="clear" w:color="auto" w:fill="auto"/>
            <w:vAlign w:val="bottom"/>
          </w:tcPr>
          <w:p w14:paraId="74F839F5" w14:textId="77777777" w:rsidR="002A1181" w:rsidRPr="00EF12F2" w:rsidRDefault="002A1181" w:rsidP="002A1181">
            <w:pPr>
              <w:jc w:val="right"/>
              <w:rPr>
                <w:color w:val="000000"/>
                <w:sz w:val="16"/>
                <w:szCs w:val="16"/>
                <w:lang w:eastAsia="en-NZ"/>
              </w:rPr>
            </w:pPr>
            <w:r w:rsidRPr="00EF12F2">
              <w:rPr>
                <w:color w:val="000000"/>
                <w:sz w:val="16"/>
                <w:szCs w:val="16"/>
                <w:lang w:eastAsia="en-NZ"/>
              </w:rPr>
              <w:t>1.00</w:t>
            </w:r>
          </w:p>
        </w:tc>
        <w:tc>
          <w:tcPr>
            <w:tcW w:w="1276" w:type="dxa"/>
            <w:shd w:val="clear" w:color="auto" w:fill="auto"/>
            <w:vAlign w:val="bottom"/>
          </w:tcPr>
          <w:p w14:paraId="71D462EA" w14:textId="77777777" w:rsidR="002A1181" w:rsidRPr="00EF12F2" w:rsidRDefault="002A1181" w:rsidP="002A1181">
            <w:pPr>
              <w:jc w:val="right"/>
              <w:rPr>
                <w:color w:val="000000"/>
                <w:sz w:val="16"/>
                <w:szCs w:val="16"/>
                <w:lang w:eastAsia="en-NZ"/>
              </w:rPr>
            </w:pPr>
          </w:p>
        </w:tc>
        <w:tc>
          <w:tcPr>
            <w:tcW w:w="850" w:type="dxa"/>
            <w:shd w:val="clear" w:color="auto" w:fill="auto"/>
            <w:vAlign w:val="bottom"/>
          </w:tcPr>
          <w:p w14:paraId="7BE38F09" w14:textId="77777777" w:rsidR="002A1181" w:rsidRPr="00EF12F2" w:rsidRDefault="002A1181" w:rsidP="002A1181">
            <w:pPr>
              <w:jc w:val="right"/>
              <w:rPr>
                <w:color w:val="000000"/>
                <w:sz w:val="16"/>
                <w:szCs w:val="16"/>
                <w:lang w:eastAsia="en-NZ"/>
              </w:rPr>
            </w:pPr>
          </w:p>
        </w:tc>
      </w:tr>
      <w:tr w:rsidR="002A1181" w:rsidRPr="003F15C0" w14:paraId="43C580B8" w14:textId="77777777" w:rsidTr="005F3C25">
        <w:tc>
          <w:tcPr>
            <w:tcW w:w="5387" w:type="dxa"/>
            <w:vAlign w:val="bottom"/>
          </w:tcPr>
          <w:p w14:paraId="04DE3155" w14:textId="77777777" w:rsidR="002A1181" w:rsidRPr="007C6C78" w:rsidRDefault="002A1181" w:rsidP="002A1181">
            <w:pPr>
              <w:spacing w:before="20"/>
              <w:ind w:left="176"/>
              <w:jc w:val="both"/>
              <w:rPr>
                <w:sz w:val="16"/>
                <w:szCs w:val="16"/>
              </w:rPr>
            </w:pPr>
            <w:r>
              <w:rPr>
                <w:sz w:val="16"/>
                <w:szCs w:val="16"/>
              </w:rPr>
              <w:t>$4</w:t>
            </w:r>
            <w:r w:rsidRPr="007C6C78">
              <w:rPr>
                <w:sz w:val="16"/>
                <w:szCs w:val="16"/>
              </w:rPr>
              <w:t>0</w:t>
            </w:r>
            <w:r>
              <w:rPr>
                <w:sz w:val="16"/>
                <w:szCs w:val="16"/>
              </w:rPr>
              <w:t xml:space="preserve">,001 </w:t>
            </w:r>
            <w:r w:rsidRPr="007C6C78">
              <w:rPr>
                <w:sz w:val="16"/>
                <w:szCs w:val="16"/>
              </w:rPr>
              <w:t>-</w:t>
            </w:r>
            <w:r>
              <w:rPr>
                <w:sz w:val="16"/>
                <w:szCs w:val="16"/>
              </w:rPr>
              <w:t xml:space="preserve"> $6</w:t>
            </w:r>
            <w:r w:rsidRPr="007C6C78">
              <w:rPr>
                <w:sz w:val="16"/>
                <w:szCs w:val="16"/>
              </w:rPr>
              <w:t>0</w:t>
            </w:r>
            <w:r>
              <w:rPr>
                <w:sz w:val="16"/>
                <w:szCs w:val="16"/>
              </w:rPr>
              <w:t>,000</w:t>
            </w:r>
          </w:p>
        </w:tc>
        <w:tc>
          <w:tcPr>
            <w:tcW w:w="992" w:type="dxa"/>
            <w:shd w:val="clear" w:color="auto" w:fill="auto"/>
            <w:vAlign w:val="bottom"/>
          </w:tcPr>
          <w:p w14:paraId="5B17412D" w14:textId="77777777" w:rsidR="002A1181" w:rsidRPr="00EF12F2" w:rsidRDefault="002A1181" w:rsidP="002A1181">
            <w:pPr>
              <w:jc w:val="right"/>
              <w:rPr>
                <w:color w:val="000000"/>
                <w:sz w:val="16"/>
                <w:szCs w:val="16"/>
                <w:lang w:eastAsia="en-NZ"/>
              </w:rPr>
            </w:pPr>
            <w:r w:rsidRPr="00EF12F2">
              <w:rPr>
                <w:color w:val="000000"/>
                <w:sz w:val="16"/>
                <w:szCs w:val="16"/>
                <w:lang w:eastAsia="en-NZ"/>
              </w:rPr>
              <w:t>0.39</w:t>
            </w:r>
          </w:p>
        </w:tc>
        <w:tc>
          <w:tcPr>
            <w:tcW w:w="1276" w:type="dxa"/>
            <w:shd w:val="clear" w:color="auto" w:fill="auto"/>
            <w:vAlign w:val="bottom"/>
          </w:tcPr>
          <w:p w14:paraId="262C3723" w14:textId="77777777" w:rsidR="002A1181" w:rsidRPr="00EF12F2" w:rsidRDefault="002A1181" w:rsidP="002A1181">
            <w:pPr>
              <w:jc w:val="right"/>
              <w:rPr>
                <w:color w:val="000000"/>
                <w:sz w:val="16"/>
                <w:szCs w:val="16"/>
                <w:lang w:eastAsia="en-NZ"/>
              </w:rPr>
            </w:pPr>
            <w:r w:rsidRPr="00EF12F2">
              <w:rPr>
                <w:color w:val="000000"/>
                <w:sz w:val="16"/>
                <w:szCs w:val="16"/>
                <w:lang w:eastAsia="en-NZ"/>
              </w:rPr>
              <w:t>(0.25, 0.60)</w:t>
            </w:r>
          </w:p>
        </w:tc>
        <w:tc>
          <w:tcPr>
            <w:tcW w:w="850" w:type="dxa"/>
            <w:shd w:val="clear" w:color="auto" w:fill="auto"/>
            <w:vAlign w:val="bottom"/>
          </w:tcPr>
          <w:p w14:paraId="094C00C0" w14:textId="77777777" w:rsidR="002A1181" w:rsidRPr="00EF12F2" w:rsidRDefault="002A1181" w:rsidP="002A1181">
            <w:pPr>
              <w:jc w:val="right"/>
              <w:rPr>
                <w:color w:val="000000"/>
                <w:sz w:val="16"/>
                <w:szCs w:val="16"/>
                <w:lang w:eastAsia="en-NZ"/>
              </w:rPr>
            </w:pPr>
          </w:p>
        </w:tc>
      </w:tr>
      <w:tr w:rsidR="002A1181" w:rsidRPr="003F15C0" w14:paraId="0791EA59" w14:textId="77777777" w:rsidTr="005F3C25">
        <w:tc>
          <w:tcPr>
            <w:tcW w:w="5387" w:type="dxa"/>
            <w:vAlign w:val="bottom"/>
          </w:tcPr>
          <w:p w14:paraId="0AE7EAD0" w14:textId="77777777" w:rsidR="002A1181" w:rsidRPr="007C6C78" w:rsidRDefault="002A1181" w:rsidP="002A1181">
            <w:pPr>
              <w:spacing w:before="20"/>
              <w:ind w:left="176"/>
              <w:jc w:val="both"/>
              <w:rPr>
                <w:sz w:val="16"/>
                <w:szCs w:val="16"/>
              </w:rPr>
            </w:pPr>
            <w:r>
              <w:rPr>
                <w:sz w:val="16"/>
                <w:szCs w:val="16"/>
              </w:rPr>
              <w:t>$6</w:t>
            </w:r>
            <w:r w:rsidRPr="007C6C78">
              <w:rPr>
                <w:sz w:val="16"/>
                <w:szCs w:val="16"/>
              </w:rPr>
              <w:t>0</w:t>
            </w:r>
            <w:r>
              <w:rPr>
                <w:sz w:val="16"/>
                <w:szCs w:val="16"/>
              </w:rPr>
              <w:t xml:space="preserve">,001 </w:t>
            </w:r>
            <w:r w:rsidRPr="007C6C78">
              <w:rPr>
                <w:sz w:val="16"/>
                <w:szCs w:val="16"/>
              </w:rPr>
              <w:t>-</w:t>
            </w:r>
            <w:r>
              <w:rPr>
                <w:sz w:val="16"/>
                <w:szCs w:val="16"/>
              </w:rPr>
              <w:t xml:space="preserve"> $8</w:t>
            </w:r>
            <w:r w:rsidRPr="007C6C78">
              <w:rPr>
                <w:sz w:val="16"/>
                <w:szCs w:val="16"/>
              </w:rPr>
              <w:t>0</w:t>
            </w:r>
            <w:r>
              <w:rPr>
                <w:sz w:val="16"/>
                <w:szCs w:val="16"/>
              </w:rPr>
              <w:t>,000</w:t>
            </w:r>
          </w:p>
        </w:tc>
        <w:tc>
          <w:tcPr>
            <w:tcW w:w="992" w:type="dxa"/>
            <w:shd w:val="clear" w:color="auto" w:fill="auto"/>
            <w:vAlign w:val="bottom"/>
          </w:tcPr>
          <w:p w14:paraId="7E27EA7A" w14:textId="77777777" w:rsidR="002A1181" w:rsidRPr="00EF12F2" w:rsidRDefault="002A1181" w:rsidP="002A1181">
            <w:pPr>
              <w:jc w:val="right"/>
              <w:rPr>
                <w:color w:val="000000"/>
                <w:sz w:val="16"/>
                <w:szCs w:val="16"/>
                <w:lang w:eastAsia="en-NZ"/>
              </w:rPr>
            </w:pPr>
            <w:r w:rsidRPr="00EF12F2">
              <w:rPr>
                <w:color w:val="000000"/>
                <w:sz w:val="16"/>
                <w:szCs w:val="16"/>
                <w:lang w:eastAsia="en-NZ"/>
              </w:rPr>
              <w:t>0.55</w:t>
            </w:r>
          </w:p>
        </w:tc>
        <w:tc>
          <w:tcPr>
            <w:tcW w:w="1276" w:type="dxa"/>
            <w:shd w:val="clear" w:color="auto" w:fill="auto"/>
            <w:vAlign w:val="bottom"/>
          </w:tcPr>
          <w:p w14:paraId="5C5B3E02" w14:textId="77777777" w:rsidR="002A1181" w:rsidRPr="00EF12F2" w:rsidRDefault="002A1181" w:rsidP="002A1181">
            <w:pPr>
              <w:jc w:val="right"/>
              <w:rPr>
                <w:color w:val="000000"/>
                <w:sz w:val="16"/>
                <w:szCs w:val="16"/>
                <w:lang w:eastAsia="en-NZ"/>
              </w:rPr>
            </w:pPr>
            <w:r w:rsidRPr="00EF12F2">
              <w:rPr>
                <w:color w:val="000000"/>
                <w:sz w:val="16"/>
                <w:szCs w:val="16"/>
                <w:lang w:eastAsia="en-NZ"/>
              </w:rPr>
              <w:t>(0.36, 0.86)</w:t>
            </w:r>
          </w:p>
        </w:tc>
        <w:tc>
          <w:tcPr>
            <w:tcW w:w="850" w:type="dxa"/>
            <w:shd w:val="clear" w:color="auto" w:fill="auto"/>
            <w:vAlign w:val="bottom"/>
          </w:tcPr>
          <w:p w14:paraId="3366BDF3" w14:textId="77777777" w:rsidR="002A1181" w:rsidRPr="00EF12F2" w:rsidRDefault="002A1181" w:rsidP="002A1181">
            <w:pPr>
              <w:jc w:val="right"/>
              <w:rPr>
                <w:color w:val="000000"/>
                <w:sz w:val="16"/>
                <w:szCs w:val="16"/>
                <w:lang w:eastAsia="en-NZ"/>
              </w:rPr>
            </w:pPr>
          </w:p>
        </w:tc>
      </w:tr>
      <w:tr w:rsidR="002A1181" w:rsidRPr="003F15C0" w14:paraId="5B32D63D" w14:textId="77777777" w:rsidTr="005F3C25">
        <w:tc>
          <w:tcPr>
            <w:tcW w:w="5387" w:type="dxa"/>
            <w:vAlign w:val="bottom"/>
          </w:tcPr>
          <w:p w14:paraId="03D80E5C" w14:textId="77777777" w:rsidR="002A1181" w:rsidRPr="007C6C78" w:rsidRDefault="002A1181" w:rsidP="002A1181">
            <w:pPr>
              <w:spacing w:before="20"/>
              <w:ind w:left="176"/>
              <w:jc w:val="both"/>
              <w:rPr>
                <w:sz w:val="16"/>
                <w:szCs w:val="16"/>
              </w:rPr>
            </w:pPr>
            <w:r>
              <w:rPr>
                <w:sz w:val="16"/>
                <w:szCs w:val="16"/>
              </w:rPr>
              <w:t>$80,001 - $100,000</w:t>
            </w:r>
          </w:p>
        </w:tc>
        <w:tc>
          <w:tcPr>
            <w:tcW w:w="992" w:type="dxa"/>
            <w:shd w:val="clear" w:color="auto" w:fill="auto"/>
            <w:vAlign w:val="bottom"/>
          </w:tcPr>
          <w:p w14:paraId="12AB917A" w14:textId="77777777" w:rsidR="002A1181" w:rsidRPr="00EF12F2" w:rsidRDefault="002A1181" w:rsidP="002A1181">
            <w:pPr>
              <w:jc w:val="right"/>
              <w:rPr>
                <w:color w:val="000000"/>
                <w:sz w:val="16"/>
                <w:szCs w:val="16"/>
                <w:lang w:eastAsia="en-NZ"/>
              </w:rPr>
            </w:pPr>
            <w:r w:rsidRPr="00EF12F2">
              <w:rPr>
                <w:color w:val="000000"/>
                <w:sz w:val="16"/>
                <w:szCs w:val="16"/>
                <w:lang w:eastAsia="en-NZ"/>
              </w:rPr>
              <w:t>0.45</w:t>
            </w:r>
          </w:p>
        </w:tc>
        <w:tc>
          <w:tcPr>
            <w:tcW w:w="1276" w:type="dxa"/>
            <w:shd w:val="clear" w:color="auto" w:fill="auto"/>
            <w:vAlign w:val="bottom"/>
          </w:tcPr>
          <w:p w14:paraId="5AF8B5AF" w14:textId="77777777" w:rsidR="002A1181" w:rsidRPr="00EF12F2" w:rsidRDefault="002A1181" w:rsidP="002A1181">
            <w:pPr>
              <w:jc w:val="right"/>
              <w:rPr>
                <w:color w:val="000000"/>
                <w:sz w:val="16"/>
                <w:szCs w:val="16"/>
                <w:lang w:eastAsia="en-NZ"/>
              </w:rPr>
            </w:pPr>
            <w:r w:rsidRPr="00EF12F2">
              <w:rPr>
                <w:color w:val="000000"/>
                <w:sz w:val="16"/>
                <w:szCs w:val="16"/>
                <w:lang w:eastAsia="en-NZ"/>
              </w:rPr>
              <w:t>(0.28, 0.72)</w:t>
            </w:r>
          </w:p>
        </w:tc>
        <w:tc>
          <w:tcPr>
            <w:tcW w:w="850" w:type="dxa"/>
            <w:shd w:val="clear" w:color="auto" w:fill="auto"/>
            <w:vAlign w:val="bottom"/>
          </w:tcPr>
          <w:p w14:paraId="125ED58A" w14:textId="77777777" w:rsidR="002A1181" w:rsidRPr="00EF12F2" w:rsidRDefault="002A1181" w:rsidP="002A1181">
            <w:pPr>
              <w:jc w:val="right"/>
              <w:rPr>
                <w:color w:val="000000"/>
                <w:sz w:val="16"/>
                <w:szCs w:val="16"/>
                <w:lang w:eastAsia="en-NZ"/>
              </w:rPr>
            </w:pPr>
          </w:p>
        </w:tc>
      </w:tr>
      <w:tr w:rsidR="002A1181" w:rsidRPr="003F15C0" w14:paraId="0CF528EB" w14:textId="77777777" w:rsidTr="00826105">
        <w:tc>
          <w:tcPr>
            <w:tcW w:w="5387" w:type="dxa"/>
            <w:shd w:val="clear" w:color="auto" w:fill="auto"/>
            <w:vAlign w:val="bottom"/>
          </w:tcPr>
          <w:p w14:paraId="4851CA76" w14:textId="77777777" w:rsidR="002A1181" w:rsidRPr="007C6C78" w:rsidRDefault="002A1181" w:rsidP="002A1181">
            <w:pPr>
              <w:spacing w:before="20"/>
              <w:ind w:left="176"/>
              <w:jc w:val="both"/>
              <w:rPr>
                <w:sz w:val="16"/>
                <w:szCs w:val="16"/>
              </w:rPr>
            </w:pPr>
            <w:r w:rsidRPr="007C6C78">
              <w:rPr>
                <w:sz w:val="16"/>
                <w:szCs w:val="16"/>
              </w:rPr>
              <w:t>&gt;</w:t>
            </w:r>
            <w:r>
              <w:rPr>
                <w:sz w:val="16"/>
                <w:szCs w:val="16"/>
              </w:rPr>
              <w:t>$10</w:t>
            </w:r>
            <w:r w:rsidRPr="007C6C78">
              <w:rPr>
                <w:sz w:val="16"/>
                <w:szCs w:val="16"/>
              </w:rPr>
              <w:t>0</w:t>
            </w:r>
            <w:r>
              <w:rPr>
                <w:sz w:val="16"/>
                <w:szCs w:val="16"/>
              </w:rPr>
              <w:t>,000</w:t>
            </w:r>
          </w:p>
        </w:tc>
        <w:tc>
          <w:tcPr>
            <w:tcW w:w="992" w:type="dxa"/>
            <w:shd w:val="clear" w:color="auto" w:fill="auto"/>
            <w:vAlign w:val="bottom"/>
          </w:tcPr>
          <w:p w14:paraId="04D0E4B7" w14:textId="77777777" w:rsidR="002A1181" w:rsidRPr="00EF12F2" w:rsidRDefault="002A1181" w:rsidP="002A1181">
            <w:pPr>
              <w:jc w:val="right"/>
              <w:rPr>
                <w:color w:val="000000"/>
                <w:sz w:val="16"/>
                <w:szCs w:val="16"/>
                <w:lang w:eastAsia="en-NZ"/>
              </w:rPr>
            </w:pPr>
            <w:r w:rsidRPr="00EF12F2">
              <w:rPr>
                <w:color w:val="000000"/>
                <w:sz w:val="16"/>
                <w:szCs w:val="16"/>
                <w:lang w:eastAsia="en-NZ"/>
              </w:rPr>
              <w:t>0.35</w:t>
            </w:r>
          </w:p>
        </w:tc>
        <w:tc>
          <w:tcPr>
            <w:tcW w:w="1276" w:type="dxa"/>
            <w:shd w:val="clear" w:color="auto" w:fill="auto"/>
            <w:vAlign w:val="bottom"/>
          </w:tcPr>
          <w:p w14:paraId="5CE2FDC5" w14:textId="77777777" w:rsidR="002A1181" w:rsidRPr="00EF12F2" w:rsidRDefault="002A1181" w:rsidP="002A1181">
            <w:pPr>
              <w:jc w:val="right"/>
              <w:rPr>
                <w:color w:val="000000"/>
                <w:sz w:val="16"/>
                <w:szCs w:val="16"/>
                <w:lang w:eastAsia="en-NZ"/>
              </w:rPr>
            </w:pPr>
            <w:r w:rsidRPr="00EF12F2">
              <w:rPr>
                <w:color w:val="000000"/>
                <w:sz w:val="16"/>
                <w:szCs w:val="16"/>
                <w:lang w:eastAsia="en-NZ"/>
              </w:rPr>
              <w:t>(0.23, 0.53)</w:t>
            </w:r>
          </w:p>
        </w:tc>
        <w:tc>
          <w:tcPr>
            <w:tcW w:w="850" w:type="dxa"/>
            <w:shd w:val="clear" w:color="auto" w:fill="auto"/>
            <w:vAlign w:val="bottom"/>
          </w:tcPr>
          <w:p w14:paraId="0B2E5EBD" w14:textId="77777777" w:rsidR="002A1181" w:rsidRPr="00EF12F2" w:rsidRDefault="002A1181" w:rsidP="002A1181">
            <w:pPr>
              <w:jc w:val="right"/>
              <w:rPr>
                <w:color w:val="000000"/>
                <w:sz w:val="16"/>
                <w:szCs w:val="16"/>
                <w:lang w:eastAsia="en-NZ"/>
              </w:rPr>
            </w:pPr>
            <w:r w:rsidRPr="00EF12F2">
              <w:rPr>
                <w:color w:val="000000"/>
                <w:sz w:val="16"/>
                <w:szCs w:val="16"/>
                <w:lang w:eastAsia="en-NZ"/>
              </w:rPr>
              <w:t>&lt;</w:t>
            </w:r>
            <w:r>
              <w:rPr>
                <w:color w:val="000000"/>
                <w:sz w:val="16"/>
                <w:szCs w:val="16"/>
                <w:lang w:eastAsia="en-NZ"/>
              </w:rPr>
              <w:t>0</w:t>
            </w:r>
            <w:r w:rsidRPr="00EF12F2">
              <w:rPr>
                <w:color w:val="000000"/>
                <w:sz w:val="16"/>
                <w:szCs w:val="16"/>
                <w:lang w:eastAsia="en-NZ"/>
              </w:rPr>
              <w:t>.0001</w:t>
            </w:r>
          </w:p>
        </w:tc>
      </w:tr>
      <w:tr w:rsidR="002A1181" w:rsidRPr="003F15C0" w14:paraId="225C486F" w14:textId="77777777" w:rsidTr="005F3C25">
        <w:tc>
          <w:tcPr>
            <w:tcW w:w="5387" w:type="dxa"/>
            <w:shd w:val="clear" w:color="auto" w:fill="auto"/>
          </w:tcPr>
          <w:p w14:paraId="342F71F3" w14:textId="77777777" w:rsidR="002A1181" w:rsidRPr="007C6C78" w:rsidRDefault="002A1181" w:rsidP="002A1181">
            <w:pPr>
              <w:spacing w:before="20"/>
              <w:jc w:val="both"/>
              <w:rPr>
                <w:b/>
                <w:sz w:val="16"/>
                <w:szCs w:val="16"/>
              </w:rPr>
            </w:pPr>
            <w:r w:rsidRPr="007C6C78">
              <w:rPr>
                <w:b/>
                <w:sz w:val="16"/>
                <w:szCs w:val="16"/>
              </w:rPr>
              <w:t>Household size</w:t>
            </w:r>
          </w:p>
        </w:tc>
        <w:tc>
          <w:tcPr>
            <w:tcW w:w="992" w:type="dxa"/>
            <w:shd w:val="clear" w:color="auto" w:fill="auto"/>
            <w:vAlign w:val="center"/>
          </w:tcPr>
          <w:p w14:paraId="1B33420F" w14:textId="77777777" w:rsidR="002A1181" w:rsidRPr="00230801" w:rsidRDefault="002A1181" w:rsidP="002A1181">
            <w:pPr>
              <w:jc w:val="right"/>
              <w:rPr>
                <w:color w:val="000000"/>
                <w:sz w:val="16"/>
                <w:szCs w:val="16"/>
                <w:lang w:eastAsia="en-NZ"/>
              </w:rPr>
            </w:pPr>
          </w:p>
        </w:tc>
        <w:tc>
          <w:tcPr>
            <w:tcW w:w="1276" w:type="dxa"/>
            <w:shd w:val="clear" w:color="auto" w:fill="auto"/>
            <w:vAlign w:val="center"/>
          </w:tcPr>
          <w:p w14:paraId="1879F791" w14:textId="77777777" w:rsidR="002A1181" w:rsidRPr="00230801" w:rsidRDefault="002A1181" w:rsidP="002A1181">
            <w:pPr>
              <w:jc w:val="right"/>
              <w:rPr>
                <w:color w:val="000000"/>
                <w:sz w:val="16"/>
                <w:szCs w:val="16"/>
                <w:lang w:eastAsia="en-NZ"/>
              </w:rPr>
            </w:pPr>
          </w:p>
        </w:tc>
        <w:tc>
          <w:tcPr>
            <w:tcW w:w="850" w:type="dxa"/>
            <w:shd w:val="clear" w:color="auto" w:fill="auto"/>
            <w:vAlign w:val="center"/>
          </w:tcPr>
          <w:p w14:paraId="1A1B3F68" w14:textId="77777777" w:rsidR="002A1181" w:rsidRPr="00230801" w:rsidRDefault="002A1181" w:rsidP="002A1181">
            <w:pPr>
              <w:jc w:val="right"/>
              <w:rPr>
                <w:color w:val="000000"/>
                <w:sz w:val="16"/>
                <w:szCs w:val="16"/>
                <w:lang w:eastAsia="en-NZ"/>
              </w:rPr>
            </w:pPr>
          </w:p>
        </w:tc>
      </w:tr>
      <w:tr w:rsidR="002A1181" w:rsidRPr="003F15C0" w14:paraId="0A3FAB02" w14:textId="77777777" w:rsidTr="005F3C25">
        <w:tc>
          <w:tcPr>
            <w:tcW w:w="5387" w:type="dxa"/>
            <w:shd w:val="clear" w:color="auto" w:fill="auto"/>
            <w:vAlign w:val="bottom"/>
          </w:tcPr>
          <w:p w14:paraId="49538106" w14:textId="77777777" w:rsidR="002A1181" w:rsidRPr="007C6C78" w:rsidRDefault="002A1181" w:rsidP="002A1181">
            <w:pPr>
              <w:spacing w:before="20"/>
              <w:ind w:left="176"/>
              <w:jc w:val="both"/>
              <w:rPr>
                <w:sz w:val="16"/>
                <w:szCs w:val="16"/>
              </w:rPr>
            </w:pPr>
            <w:r w:rsidRPr="007C6C78">
              <w:rPr>
                <w:sz w:val="16"/>
                <w:szCs w:val="16"/>
              </w:rPr>
              <w:t>1</w:t>
            </w:r>
            <w:r>
              <w:rPr>
                <w:sz w:val="16"/>
                <w:szCs w:val="16"/>
              </w:rPr>
              <w:t xml:space="preserve"> </w:t>
            </w:r>
            <w:r w:rsidRPr="007C6C78">
              <w:rPr>
                <w:sz w:val="16"/>
                <w:szCs w:val="16"/>
              </w:rPr>
              <w:t>-</w:t>
            </w:r>
            <w:r>
              <w:rPr>
                <w:sz w:val="16"/>
                <w:szCs w:val="16"/>
              </w:rPr>
              <w:t xml:space="preserve"> </w:t>
            </w:r>
            <w:r w:rsidRPr="007C6C78">
              <w:rPr>
                <w:sz w:val="16"/>
                <w:szCs w:val="16"/>
              </w:rPr>
              <w:t>2</w:t>
            </w:r>
          </w:p>
        </w:tc>
        <w:tc>
          <w:tcPr>
            <w:tcW w:w="992" w:type="dxa"/>
            <w:shd w:val="clear" w:color="auto" w:fill="auto"/>
            <w:vAlign w:val="bottom"/>
          </w:tcPr>
          <w:p w14:paraId="23898D96" w14:textId="77777777" w:rsidR="002A1181" w:rsidRPr="00EF12F2" w:rsidRDefault="002A1181" w:rsidP="002A1181">
            <w:pPr>
              <w:jc w:val="right"/>
              <w:rPr>
                <w:color w:val="000000"/>
                <w:sz w:val="16"/>
                <w:szCs w:val="16"/>
                <w:lang w:eastAsia="en-NZ"/>
              </w:rPr>
            </w:pPr>
            <w:r w:rsidRPr="00EF12F2">
              <w:rPr>
                <w:color w:val="000000"/>
                <w:sz w:val="16"/>
                <w:szCs w:val="16"/>
                <w:lang w:eastAsia="en-NZ"/>
              </w:rPr>
              <w:t>1.00</w:t>
            </w:r>
          </w:p>
        </w:tc>
        <w:tc>
          <w:tcPr>
            <w:tcW w:w="1276" w:type="dxa"/>
            <w:shd w:val="clear" w:color="auto" w:fill="auto"/>
            <w:vAlign w:val="bottom"/>
          </w:tcPr>
          <w:p w14:paraId="6F097520" w14:textId="77777777" w:rsidR="002A1181" w:rsidRPr="00EF12F2" w:rsidRDefault="002A1181" w:rsidP="002A1181">
            <w:pPr>
              <w:jc w:val="right"/>
              <w:rPr>
                <w:color w:val="000000"/>
                <w:sz w:val="16"/>
                <w:szCs w:val="16"/>
                <w:lang w:eastAsia="en-NZ"/>
              </w:rPr>
            </w:pPr>
          </w:p>
        </w:tc>
        <w:tc>
          <w:tcPr>
            <w:tcW w:w="850" w:type="dxa"/>
            <w:shd w:val="clear" w:color="auto" w:fill="auto"/>
            <w:vAlign w:val="bottom"/>
          </w:tcPr>
          <w:p w14:paraId="58DF5152" w14:textId="77777777" w:rsidR="002A1181" w:rsidRPr="00EF12F2" w:rsidRDefault="002A1181" w:rsidP="002A1181">
            <w:pPr>
              <w:jc w:val="right"/>
              <w:rPr>
                <w:color w:val="000000"/>
                <w:sz w:val="16"/>
                <w:szCs w:val="16"/>
                <w:lang w:eastAsia="en-NZ"/>
              </w:rPr>
            </w:pPr>
          </w:p>
        </w:tc>
      </w:tr>
      <w:tr w:rsidR="002A1181" w:rsidRPr="003F15C0" w14:paraId="43751533" w14:textId="77777777" w:rsidTr="005F3C25">
        <w:tc>
          <w:tcPr>
            <w:tcW w:w="5387" w:type="dxa"/>
            <w:vAlign w:val="bottom"/>
          </w:tcPr>
          <w:p w14:paraId="479014A3" w14:textId="77777777" w:rsidR="002A1181" w:rsidRPr="007C6C78" w:rsidRDefault="002A1181" w:rsidP="002A1181">
            <w:pPr>
              <w:spacing w:before="20"/>
              <w:ind w:left="176"/>
              <w:jc w:val="both"/>
              <w:rPr>
                <w:sz w:val="16"/>
                <w:szCs w:val="16"/>
              </w:rPr>
            </w:pPr>
            <w:r w:rsidRPr="007C6C78">
              <w:rPr>
                <w:sz w:val="16"/>
                <w:szCs w:val="16"/>
              </w:rPr>
              <w:t>3</w:t>
            </w:r>
            <w:r>
              <w:rPr>
                <w:sz w:val="16"/>
                <w:szCs w:val="16"/>
              </w:rPr>
              <w:t xml:space="preserve"> </w:t>
            </w:r>
            <w:r w:rsidRPr="007C6C78">
              <w:rPr>
                <w:sz w:val="16"/>
                <w:szCs w:val="16"/>
              </w:rPr>
              <w:t>-</w:t>
            </w:r>
            <w:r>
              <w:rPr>
                <w:sz w:val="16"/>
                <w:szCs w:val="16"/>
              </w:rPr>
              <w:t xml:space="preserve"> </w:t>
            </w:r>
            <w:r w:rsidRPr="007C6C78">
              <w:rPr>
                <w:sz w:val="16"/>
                <w:szCs w:val="16"/>
              </w:rPr>
              <w:t>4</w:t>
            </w:r>
          </w:p>
        </w:tc>
        <w:tc>
          <w:tcPr>
            <w:tcW w:w="992" w:type="dxa"/>
            <w:shd w:val="clear" w:color="auto" w:fill="auto"/>
            <w:vAlign w:val="bottom"/>
          </w:tcPr>
          <w:p w14:paraId="7D7491CB" w14:textId="77777777" w:rsidR="002A1181" w:rsidRPr="00EF12F2" w:rsidRDefault="002A1181" w:rsidP="002A1181">
            <w:pPr>
              <w:jc w:val="right"/>
              <w:rPr>
                <w:color w:val="000000"/>
                <w:sz w:val="16"/>
                <w:szCs w:val="16"/>
                <w:lang w:eastAsia="en-NZ"/>
              </w:rPr>
            </w:pPr>
            <w:r w:rsidRPr="00EF12F2">
              <w:rPr>
                <w:color w:val="000000"/>
                <w:sz w:val="16"/>
                <w:szCs w:val="16"/>
                <w:lang w:eastAsia="en-NZ"/>
              </w:rPr>
              <w:t>1.17</w:t>
            </w:r>
          </w:p>
        </w:tc>
        <w:tc>
          <w:tcPr>
            <w:tcW w:w="1276" w:type="dxa"/>
            <w:shd w:val="clear" w:color="auto" w:fill="auto"/>
            <w:vAlign w:val="bottom"/>
          </w:tcPr>
          <w:p w14:paraId="7C0A1E1D" w14:textId="77777777" w:rsidR="002A1181" w:rsidRPr="00EF12F2" w:rsidRDefault="002A1181" w:rsidP="002A1181">
            <w:pPr>
              <w:jc w:val="right"/>
              <w:rPr>
                <w:color w:val="000000"/>
                <w:sz w:val="16"/>
                <w:szCs w:val="16"/>
                <w:lang w:eastAsia="en-NZ"/>
              </w:rPr>
            </w:pPr>
            <w:r w:rsidRPr="00EF12F2">
              <w:rPr>
                <w:color w:val="000000"/>
                <w:sz w:val="16"/>
                <w:szCs w:val="16"/>
                <w:lang w:eastAsia="en-NZ"/>
              </w:rPr>
              <w:t>(0.76, 1.81)</w:t>
            </w:r>
          </w:p>
        </w:tc>
        <w:tc>
          <w:tcPr>
            <w:tcW w:w="850" w:type="dxa"/>
            <w:shd w:val="clear" w:color="auto" w:fill="auto"/>
            <w:vAlign w:val="bottom"/>
          </w:tcPr>
          <w:p w14:paraId="2B324B07" w14:textId="77777777" w:rsidR="002A1181" w:rsidRPr="00EF12F2" w:rsidRDefault="002A1181" w:rsidP="002A1181">
            <w:pPr>
              <w:jc w:val="right"/>
              <w:rPr>
                <w:color w:val="000000"/>
                <w:sz w:val="16"/>
                <w:szCs w:val="16"/>
                <w:lang w:eastAsia="en-NZ"/>
              </w:rPr>
            </w:pPr>
          </w:p>
        </w:tc>
      </w:tr>
      <w:tr w:rsidR="002A1181" w:rsidRPr="003F15C0" w14:paraId="7ADD7ED4" w14:textId="77777777" w:rsidTr="00826105">
        <w:tc>
          <w:tcPr>
            <w:tcW w:w="5387" w:type="dxa"/>
            <w:vAlign w:val="bottom"/>
          </w:tcPr>
          <w:p w14:paraId="7DBB0E34" w14:textId="77777777" w:rsidR="002A1181" w:rsidRPr="007C6C78" w:rsidRDefault="002A1181" w:rsidP="002A1181">
            <w:pPr>
              <w:spacing w:before="20"/>
              <w:ind w:left="176"/>
              <w:jc w:val="both"/>
              <w:rPr>
                <w:sz w:val="16"/>
                <w:szCs w:val="16"/>
              </w:rPr>
            </w:pPr>
            <w:r w:rsidRPr="007C6C78">
              <w:rPr>
                <w:sz w:val="16"/>
                <w:szCs w:val="16"/>
              </w:rPr>
              <w:t>5+</w:t>
            </w:r>
          </w:p>
        </w:tc>
        <w:tc>
          <w:tcPr>
            <w:tcW w:w="992" w:type="dxa"/>
            <w:shd w:val="clear" w:color="auto" w:fill="auto"/>
            <w:vAlign w:val="bottom"/>
          </w:tcPr>
          <w:p w14:paraId="0C1CE870" w14:textId="77777777" w:rsidR="002A1181" w:rsidRPr="00EF12F2" w:rsidRDefault="002A1181" w:rsidP="002A1181">
            <w:pPr>
              <w:jc w:val="right"/>
              <w:rPr>
                <w:color w:val="000000"/>
                <w:sz w:val="16"/>
                <w:szCs w:val="16"/>
                <w:lang w:eastAsia="en-NZ"/>
              </w:rPr>
            </w:pPr>
            <w:r w:rsidRPr="00EF12F2">
              <w:rPr>
                <w:color w:val="000000"/>
                <w:sz w:val="16"/>
                <w:szCs w:val="16"/>
                <w:lang w:eastAsia="en-NZ"/>
              </w:rPr>
              <w:t>2.48</w:t>
            </w:r>
          </w:p>
        </w:tc>
        <w:tc>
          <w:tcPr>
            <w:tcW w:w="1276" w:type="dxa"/>
            <w:shd w:val="clear" w:color="auto" w:fill="auto"/>
            <w:vAlign w:val="bottom"/>
          </w:tcPr>
          <w:p w14:paraId="4C0DDACB" w14:textId="77777777" w:rsidR="002A1181" w:rsidRPr="00EF12F2" w:rsidRDefault="002A1181" w:rsidP="002A1181">
            <w:pPr>
              <w:jc w:val="right"/>
              <w:rPr>
                <w:color w:val="000000"/>
                <w:sz w:val="16"/>
                <w:szCs w:val="16"/>
                <w:lang w:eastAsia="en-NZ"/>
              </w:rPr>
            </w:pPr>
            <w:r w:rsidRPr="00EF12F2">
              <w:rPr>
                <w:color w:val="000000"/>
                <w:sz w:val="16"/>
                <w:szCs w:val="16"/>
                <w:lang w:eastAsia="en-NZ"/>
              </w:rPr>
              <w:t>(1.46, 4.21)</w:t>
            </w:r>
          </w:p>
        </w:tc>
        <w:tc>
          <w:tcPr>
            <w:tcW w:w="850" w:type="dxa"/>
            <w:shd w:val="clear" w:color="auto" w:fill="auto"/>
            <w:vAlign w:val="bottom"/>
          </w:tcPr>
          <w:p w14:paraId="4A8F69DF" w14:textId="77777777" w:rsidR="002A1181" w:rsidRPr="00EF12F2" w:rsidRDefault="002A1181" w:rsidP="002A1181">
            <w:pPr>
              <w:jc w:val="right"/>
              <w:rPr>
                <w:color w:val="000000"/>
                <w:sz w:val="16"/>
                <w:szCs w:val="16"/>
                <w:lang w:eastAsia="en-NZ"/>
              </w:rPr>
            </w:pPr>
            <w:r w:rsidRPr="00EF12F2">
              <w:rPr>
                <w:color w:val="000000"/>
                <w:sz w:val="16"/>
                <w:szCs w:val="16"/>
                <w:lang w:eastAsia="en-NZ"/>
              </w:rPr>
              <w:t>0.003</w:t>
            </w:r>
          </w:p>
        </w:tc>
      </w:tr>
      <w:tr w:rsidR="002A1181" w:rsidRPr="003F15C0" w14:paraId="38B0DA09" w14:textId="77777777" w:rsidTr="005F3C25">
        <w:tc>
          <w:tcPr>
            <w:tcW w:w="5387" w:type="dxa"/>
          </w:tcPr>
          <w:p w14:paraId="1E577DA9" w14:textId="77777777" w:rsidR="002A1181" w:rsidRPr="007C6C78" w:rsidRDefault="002A1181" w:rsidP="002A1181">
            <w:pPr>
              <w:spacing w:before="20"/>
              <w:jc w:val="both"/>
              <w:rPr>
                <w:b/>
                <w:sz w:val="16"/>
                <w:szCs w:val="16"/>
              </w:rPr>
            </w:pPr>
            <w:r>
              <w:rPr>
                <w:b/>
                <w:sz w:val="16"/>
                <w:szCs w:val="16"/>
              </w:rPr>
              <w:t>New Zealand Individual deprivation Index</w:t>
            </w:r>
          </w:p>
        </w:tc>
        <w:tc>
          <w:tcPr>
            <w:tcW w:w="992" w:type="dxa"/>
            <w:shd w:val="clear" w:color="auto" w:fill="auto"/>
            <w:vAlign w:val="center"/>
          </w:tcPr>
          <w:p w14:paraId="1D7C6C93" w14:textId="77777777" w:rsidR="002A1181" w:rsidRPr="00230801" w:rsidRDefault="002A1181" w:rsidP="002A1181">
            <w:pPr>
              <w:jc w:val="right"/>
              <w:rPr>
                <w:color w:val="000000"/>
                <w:sz w:val="16"/>
                <w:szCs w:val="16"/>
                <w:lang w:eastAsia="en-NZ"/>
              </w:rPr>
            </w:pPr>
          </w:p>
        </w:tc>
        <w:tc>
          <w:tcPr>
            <w:tcW w:w="1276" w:type="dxa"/>
            <w:shd w:val="clear" w:color="auto" w:fill="auto"/>
            <w:vAlign w:val="center"/>
          </w:tcPr>
          <w:p w14:paraId="495E1560" w14:textId="77777777" w:rsidR="002A1181" w:rsidRPr="00230801" w:rsidRDefault="002A1181" w:rsidP="002A1181">
            <w:pPr>
              <w:jc w:val="right"/>
              <w:rPr>
                <w:color w:val="000000"/>
                <w:sz w:val="16"/>
                <w:szCs w:val="16"/>
                <w:lang w:eastAsia="en-NZ"/>
              </w:rPr>
            </w:pPr>
          </w:p>
        </w:tc>
        <w:tc>
          <w:tcPr>
            <w:tcW w:w="850" w:type="dxa"/>
            <w:shd w:val="clear" w:color="auto" w:fill="auto"/>
            <w:vAlign w:val="center"/>
          </w:tcPr>
          <w:p w14:paraId="3966D2C6" w14:textId="77777777" w:rsidR="002A1181" w:rsidRPr="00230801" w:rsidRDefault="002A1181" w:rsidP="002A1181">
            <w:pPr>
              <w:jc w:val="right"/>
              <w:rPr>
                <w:color w:val="000000"/>
                <w:sz w:val="16"/>
                <w:szCs w:val="16"/>
                <w:lang w:eastAsia="en-NZ"/>
              </w:rPr>
            </w:pPr>
          </w:p>
        </w:tc>
      </w:tr>
      <w:tr w:rsidR="002A1181" w:rsidRPr="003F15C0" w14:paraId="09CD9C5A" w14:textId="77777777" w:rsidTr="005F3C25">
        <w:tc>
          <w:tcPr>
            <w:tcW w:w="5387" w:type="dxa"/>
            <w:shd w:val="clear" w:color="auto" w:fill="auto"/>
            <w:vAlign w:val="bottom"/>
          </w:tcPr>
          <w:p w14:paraId="73A95885" w14:textId="77777777" w:rsidR="002A1181" w:rsidRPr="007C6C78" w:rsidRDefault="002A1181" w:rsidP="002A1181">
            <w:pPr>
              <w:spacing w:before="20"/>
              <w:ind w:left="176"/>
              <w:jc w:val="both"/>
              <w:rPr>
                <w:sz w:val="16"/>
                <w:szCs w:val="16"/>
              </w:rPr>
            </w:pPr>
            <w:r w:rsidRPr="007C6C78">
              <w:rPr>
                <w:sz w:val="16"/>
                <w:szCs w:val="16"/>
              </w:rPr>
              <w:t>0</w:t>
            </w:r>
          </w:p>
        </w:tc>
        <w:tc>
          <w:tcPr>
            <w:tcW w:w="992" w:type="dxa"/>
            <w:shd w:val="clear" w:color="auto" w:fill="auto"/>
            <w:vAlign w:val="bottom"/>
          </w:tcPr>
          <w:p w14:paraId="42B5CA92" w14:textId="77777777" w:rsidR="002A1181" w:rsidRPr="00EF12F2" w:rsidRDefault="002A1181" w:rsidP="002A1181">
            <w:pPr>
              <w:jc w:val="right"/>
              <w:rPr>
                <w:color w:val="000000"/>
                <w:sz w:val="16"/>
                <w:szCs w:val="16"/>
                <w:lang w:eastAsia="en-NZ"/>
              </w:rPr>
            </w:pPr>
            <w:r w:rsidRPr="00EF12F2">
              <w:rPr>
                <w:color w:val="000000"/>
                <w:sz w:val="16"/>
                <w:szCs w:val="16"/>
                <w:lang w:eastAsia="en-NZ"/>
              </w:rPr>
              <w:t>1.00</w:t>
            </w:r>
          </w:p>
        </w:tc>
        <w:tc>
          <w:tcPr>
            <w:tcW w:w="1276" w:type="dxa"/>
            <w:shd w:val="clear" w:color="auto" w:fill="auto"/>
            <w:vAlign w:val="bottom"/>
          </w:tcPr>
          <w:p w14:paraId="53291E60" w14:textId="77777777" w:rsidR="002A1181" w:rsidRPr="00EF12F2" w:rsidRDefault="002A1181" w:rsidP="002A1181">
            <w:pPr>
              <w:jc w:val="right"/>
              <w:rPr>
                <w:color w:val="000000"/>
                <w:sz w:val="16"/>
                <w:szCs w:val="16"/>
                <w:lang w:eastAsia="en-NZ"/>
              </w:rPr>
            </w:pPr>
          </w:p>
        </w:tc>
        <w:tc>
          <w:tcPr>
            <w:tcW w:w="850" w:type="dxa"/>
            <w:shd w:val="clear" w:color="auto" w:fill="auto"/>
            <w:vAlign w:val="bottom"/>
          </w:tcPr>
          <w:p w14:paraId="6B7F32D2" w14:textId="77777777" w:rsidR="002A1181" w:rsidRPr="00EF12F2" w:rsidRDefault="002A1181" w:rsidP="002A1181">
            <w:pPr>
              <w:jc w:val="right"/>
              <w:rPr>
                <w:color w:val="000000"/>
                <w:sz w:val="16"/>
                <w:szCs w:val="16"/>
                <w:lang w:eastAsia="en-NZ"/>
              </w:rPr>
            </w:pPr>
          </w:p>
        </w:tc>
      </w:tr>
      <w:tr w:rsidR="002A1181" w:rsidRPr="003F15C0" w14:paraId="399354B2" w14:textId="77777777" w:rsidTr="005F3C25">
        <w:tc>
          <w:tcPr>
            <w:tcW w:w="5387" w:type="dxa"/>
            <w:shd w:val="clear" w:color="auto" w:fill="auto"/>
            <w:vAlign w:val="bottom"/>
          </w:tcPr>
          <w:p w14:paraId="2FF3D820" w14:textId="77777777" w:rsidR="002A1181" w:rsidRPr="007C6C78" w:rsidRDefault="002A1181" w:rsidP="002A1181">
            <w:pPr>
              <w:spacing w:before="20"/>
              <w:ind w:left="176"/>
              <w:jc w:val="both"/>
              <w:rPr>
                <w:sz w:val="16"/>
                <w:szCs w:val="16"/>
              </w:rPr>
            </w:pPr>
            <w:r w:rsidRPr="007C6C78">
              <w:rPr>
                <w:sz w:val="16"/>
                <w:szCs w:val="16"/>
              </w:rPr>
              <w:t>1</w:t>
            </w:r>
          </w:p>
        </w:tc>
        <w:tc>
          <w:tcPr>
            <w:tcW w:w="992" w:type="dxa"/>
            <w:shd w:val="clear" w:color="auto" w:fill="auto"/>
            <w:vAlign w:val="bottom"/>
          </w:tcPr>
          <w:p w14:paraId="38B71CA4" w14:textId="77777777" w:rsidR="002A1181" w:rsidRPr="00EF12F2" w:rsidRDefault="002A1181" w:rsidP="002A1181">
            <w:pPr>
              <w:jc w:val="right"/>
              <w:rPr>
                <w:color w:val="000000"/>
                <w:sz w:val="16"/>
                <w:szCs w:val="16"/>
                <w:lang w:eastAsia="en-NZ"/>
              </w:rPr>
            </w:pPr>
            <w:r w:rsidRPr="00EF12F2">
              <w:rPr>
                <w:color w:val="000000"/>
                <w:sz w:val="16"/>
                <w:szCs w:val="16"/>
                <w:lang w:eastAsia="en-NZ"/>
              </w:rPr>
              <w:t>1.77</w:t>
            </w:r>
          </w:p>
        </w:tc>
        <w:tc>
          <w:tcPr>
            <w:tcW w:w="1276" w:type="dxa"/>
            <w:shd w:val="clear" w:color="auto" w:fill="auto"/>
            <w:vAlign w:val="bottom"/>
          </w:tcPr>
          <w:p w14:paraId="63D29153" w14:textId="77777777" w:rsidR="002A1181" w:rsidRPr="00EF12F2" w:rsidRDefault="002A1181" w:rsidP="002A1181">
            <w:pPr>
              <w:jc w:val="right"/>
              <w:rPr>
                <w:color w:val="000000"/>
                <w:sz w:val="16"/>
                <w:szCs w:val="16"/>
                <w:lang w:eastAsia="en-NZ"/>
              </w:rPr>
            </w:pPr>
            <w:r w:rsidRPr="00EF12F2">
              <w:rPr>
                <w:color w:val="000000"/>
                <w:sz w:val="16"/>
                <w:szCs w:val="16"/>
                <w:lang w:eastAsia="en-NZ"/>
              </w:rPr>
              <w:t>(1.29, 2.42)</w:t>
            </w:r>
          </w:p>
        </w:tc>
        <w:tc>
          <w:tcPr>
            <w:tcW w:w="850" w:type="dxa"/>
            <w:shd w:val="clear" w:color="auto" w:fill="auto"/>
            <w:vAlign w:val="bottom"/>
          </w:tcPr>
          <w:p w14:paraId="201DFD83" w14:textId="77777777" w:rsidR="002A1181" w:rsidRPr="00EF12F2" w:rsidRDefault="002A1181" w:rsidP="002A1181">
            <w:pPr>
              <w:jc w:val="right"/>
              <w:rPr>
                <w:color w:val="000000"/>
                <w:sz w:val="16"/>
                <w:szCs w:val="16"/>
                <w:lang w:eastAsia="en-NZ"/>
              </w:rPr>
            </w:pPr>
          </w:p>
        </w:tc>
      </w:tr>
      <w:tr w:rsidR="002A1181" w:rsidRPr="003F15C0" w14:paraId="3577943B" w14:textId="77777777" w:rsidTr="005F3C25">
        <w:tc>
          <w:tcPr>
            <w:tcW w:w="5387" w:type="dxa"/>
            <w:shd w:val="clear" w:color="auto" w:fill="auto"/>
            <w:vAlign w:val="bottom"/>
          </w:tcPr>
          <w:p w14:paraId="6424FCCA" w14:textId="77777777" w:rsidR="002A1181" w:rsidRPr="007C6C78" w:rsidRDefault="002A1181" w:rsidP="002A1181">
            <w:pPr>
              <w:spacing w:before="20"/>
              <w:ind w:left="176"/>
              <w:jc w:val="both"/>
              <w:rPr>
                <w:sz w:val="16"/>
                <w:szCs w:val="16"/>
              </w:rPr>
            </w:pPr>
            <w:r w:rsidRPr="007C6C78">
              <w:rPr>
                <w:sz w:val="16"/>
                <w:szCs w:val="16"/>
              </w:rPr>
              <w:t>2</w:t>
            </w:r>
          </w:p>
        </w:tc>
        <w:tc>
          <w:tcPr>
            <w:tcW w:w="992" w:type="dxa"/>
            <w:shd w:val="clear" w:color="auto" w:fill="auto"/>
            <w:vAlign w:val="bottom"/>
          </w:tcPr>
          <w:p w14:paraId="7A02C033" w14:textId="77777777" w:rsidR="002A1181" w:rsidRPr="00EF12F2" w:rsidRDefault="002A1181" w:rsidP="002A1181">
            <w:pPr>
              <w:jc w:val="right"/>
              <w:rPr>
                <w:color w:val="000000"/>
                <w:sz w:val="16"/>
                <w:szCs w:val="16"/>
                <w:lang w:eastAsia="en-NZ"/>
              </w:rPr>
            </w:pPr>
            <w:r w:rsidRPr="00EF12F2">
              <w:rPr>
                <w:color w:val="000000"/>
                <w:sz w:val="16"/>
                <w:szCs w:val="16"/>
                <w:lang w:eastAsia="en-NZ"/>
              </w:rPr>
              <w:t>4.14</w:t>
            </w:r>
          </w:p>
        </w:tc>
        <w:tc>
          <w:tcPr>
            <w:tcW w:w="1276" w:type="dxa"/>
            <w:shd w:val="clear" w:color="auto" w:fill="auto"/>
            <w:vAlign w:val="bottom"/>
          </w:tcPr>
          <w:p w14:paraId="5694572B" w14:textId="77777777" w:rsidR="002A1181" w:rsidRPr="00EF12F2" w:rsidRDefault="002A1181" w:rsidP="002A1181">
            <w:pPr>
              <w:jc w:val="right"/>
              <w:rPr>
                <w:color w:val="000000"/>
                <w:sz w:val="16"/>
                <w:szCs w:val="16"/>
                <w:lang w:eastAsia="en-NZ"/>
              </w:rPr>
            </w:pPr>
            <w:r w:rsidRPr="00EF12F2">
              <w:rPr>
                <w:color w:val="000000"/>
                <w:sz w:val="16"/>
                <w:szCs w:val="16"/>
                <w:lang w:eastAsia="en-NZ"/>
              </w:rPr>
              <w:t>(2.80, 6.12)</w:t>
            </w:r>
          </w:p>
        </w:tc>
        <w:tc>
          <w:tcPr>
            <w:tcW w:w="850" w:type="dxa"/>
            <w:shd w:val="clear" w:color="auto" w:fill="auto"/>
            <w:vAlign w:val="bottom"/>
          </w:tcPr>
          <w:p w14:paraId="13E0E32B" w14:textId="77777777" w:rsidR="002A1181" w:rsidRPr="00EF12F2" w:rsidRDefault="002A1181" w:rsidP="002A1181">
            <w:pPr>
              <w:jc w:val="right"/>
              <w:rPr>
                <w:color w:val="000000"/>
                <w:sz w:val="16"/>
                <w:szCs w:val="16"/>
                <w:lang w:eastAsia="en-NZ"/>
              </w:rPr>
            </w:pPr>
          </w:p>
        </w:tc>
      </w:tr>
      <w:tr w:rsidR="002A1181" w:rsidRPr="003F15C0" w14:paraId="73C662F8" w14:textId="77777777" w:rsidTr="005F3C25">
        <w:tc>
          <w:tcPr>
            <w:tcW w:w="5387" w:type="dxa"/>
            <w:shd w:val="clear" w:color="auto" w:fill="auto"/>
            <w:vAlign w:val="bottom"/>
          </w:tcPr>
          <w:p w14:paraId="477E6A55" w14:textId="77777777" w:rsidR="002A1181" w:rsidRPr="007C6C78" w:rsidRDefault="002A1181" w:rsidP="002A1181">
            <w:pPr>
              <w:spacing w:before="20"/>
              <w:ind w:left="176"/>
              <w:jc w:val="both"/>
              <w:rPr>
                <w:sz w:val="16"/>
                <w:szCs w:val="16"/>
              </w:rPr>
            </w:pPr>
            <w:r w:rsidRPr="007C6C78">
              <w:rPr>
                <w:sz w:val="16"/>
                <w:szCs w:val="16"/>
              </w:rPr>
              <w:t>3</w:t>
            </w:r>
          </w:p>
        </w:tc>
        <w:tc>
          <w:tcPr>
            <w:tcW w:w="992" w:type="dxa"/>
            <w:shd w:val="clear" w:color="auto" w:fill="auto"/>
            <w:vAlign w:val="bottom"/>
          </w:tcPr>
          <w:p w14:paraId="57C222FB" w14:textId="77777777" w:rsidR="002A1181" w:rsidRPr="00EF12F2" w:rsidRDefault="002A1181" w:rsidP="002A1181">
            <w:pPr>
              <w:jc w:val="right"/>
              <w:rPr>
                <w:color w:val="000000"/>
                <w:sz w:val="16"/>
                <w:szCs w:val="16"/>
                <w:lang w:eastAsia="en-NZ"/>
              </w:rPr>
            </w:pPr>
            <w:r w:rsidRPr="00EF12F2">
              <w:rPr>
                <w:color w:val="000000"/>
                <w:sz w:val="16"/>
                <w:szCs w:val="16"/>
                <w:lang w:eastAsia="en-NZ"/>
              </w:rPr>
              <w:t>4.66</w:t>
            </w:r>
          </w:p>
        </w:tc>
        <w:tc>
          <w:tcPr>
            <w:tcW w:w="1276" w:type="dxa"/>
            <w:shd w:val="clear" w:color="auto" w:fill="auto"/>
            <w:vAlign w:val="bottom"/>
          </w:tcPr>
          <w:p w14:paraId="4DC4EACC" w14:textId="77777777" w:rsidR="002A1181" w:rsidRPr="00EF12F2" w:rsidRDefault="002A1181" w:rsidP="002A1181">
            <w:pPr>
              <w:jc w:val="right"/>
              <w:rPr>
                <w:color w:val="000000"/>
                <w:sz w:val="16"/>
                <w:szCs w:val="16"/>
                <w:lang w:eastAsia="en-NZ"/>
              </w:rPr>
            </w:pPr>
            <w:r w:rsidRPr="00EF12F2">
              <w:rPr>
                <w:color w:val="000000"/>
                <w:sz w:val="16"/>
                <w:szCs w:val="16"/>
                <w:lang w:eastAsia="en-NZ"/>
              </w:rPr>
              <w:t>(2.79, 7.81)</w:t>
            </w:r>
          </w:p>
        </w:tc>
        <w:tc>
          <w:tcPr>
            <w:tcW w:w="850" w:type="dxa"/>
            <w:shd w:val="clear" w:color="auto" w:fill="auto"/>
            <w:vAlign w:val="bottom"/>
          </w:tcPr>
          <w:p w14:paraId="1670785E" w14:textId="77777777" w:rsidR="002A1181" w:rsidRPr="00EF12F2" w:rsidRDefault="002A1181" w:rsidP="002A1181">
            <w:pPr>
              <w:jc w:val="right"/>
              <w:rPr>
                <w:color w:val="000000"/>
                <w:sz w:val="16"/>
                <w:szCs w:val="16"/>
                <w:lang w:eastAsia="en-NZ"/>
              </w:rPr>
            </w:pPr>
          </w:p>
        </w:tc>
      </w:tr>
      <w:tr w:rsidR="002A1181" w:rsidRPr="003F15C0" w14:paraId="4DA68A72" w14:textId="77777777" w:rsidTr="00826105">
        <w:tc>
          <w:tcPr>
            <w:tcW w:w="5387" w:type="dxa"/>
            <w:shd w:val="clear" w:color="auto" w:fill="auto"/>
            <w:vAlign w:val="bottom"/>
          </w:tcPr>
          <w:p w14:paraId="1CCFC679" w14:textId="77777777" w:rsidR="002A1181" w:rsidRPr="007C6C78" w:rsidRDefault="002A1181" w:rsidP="002A1181">
            <w:pPr>
              <w:spacing w:before="20"/>
              <w:ind w:left="176"/>
              <w:jc w:val="both"/>
              <w:rPr>
                <w:sz w:val="16"/>
                <w:szCs w:val="16"/>
              </w:rPr>
            </w:pPr>
            <w:r w:rsidRPr="007C6C78">
              <w:rPr>
                <w:sz w:val="16"/>
                <w:szCs w:val="16"/>
              </w:rPr>
              <w:t>4+</w:t>
            </w:r>
          </w:p>
        </w:tc>
        <w:tc>
          <w:tcPr>
            <w:tcW w:w="992" w:type="dxa"/>
            <w:shd w:val="clear" w:color="auto" w:fill="auto"/>
            <w:vAlign w:val="bottom"/>
          </w:tcPr>
          <w:p w14:paraId="69FDC587" w14:textId="77777777" w:rsidR="002A1181" w:rsidRPr="00EF12F2" w:rsidRDefault="002A1181" w:rsidP="002A1181">
            <w:pPr>
              <w:jc w:val="right"/>
              <w:rPr>
                <w:color w:val="000000"/>
                <w:sz w:val="16"/>
                <w:szCs w:val="16"/>
                <w:lang w:eastAsia="en-NZ"/>
              </w:rPr>
            </w:pPr>
            <w:r w:rsidRPr="00EF12F2">
              <w:rPr>
                <w:color w:val="000000"/>
                <w:sz w:val="16"/>
                <w:szCs w:val="16"/>
                <w:lang w:eastAsia="en-NZ"/>
              </w:rPr>
              <w:t>9.21</w:t>
            </w:r>
          </w:p>
        </w:tc>
        <w:tc>
          <w:tcPr>
            <w:tcW w:w="1276" w:type="dxa"/>
            <w:shd w:val="clear" w:color="auto" w:fill="auto"/>
            <w:vAlign w:val="bottom"/>
          </w:tcPr>
          <w:p w14:paraId="478FC760" w14:textId="77777777" w:rsidR="002A1181" w:rsidRPr="00EF12F2" w:rsidRDefault="002A1181" w:rsidP="002A1181">
            <w:pPr>
              <w:jc w:val="right"/>
              <w:rPr>
                <w:color w:val="000000"/>
                <w:sz w:val="16"/>
                <w:szCs w:val="16"/>
                <w:lang w:eastAsia="en-NZ"/>
              </w:rPr>
            </w:pPr>
            <w:r w:rsidRPr="00EF12F2">
              <w:rPr>
                <w:color w:val="000000"/>
                <w:sz w:val="16"/>
                <w:szCs w:val="16"/>
                <w:lang w:eastAsia="en-NZ"/>
              </w:rPr>
              <w:t>(5.66, 15.00)</w:t>
            </w:r>
          </w:p>
        </w:tc>
        <w:tc>
          <w:tcPr>
            <w:tcW w:w="850" w:type="dxa"/>
            <w:shd w:val="clear" w:color="auto" w:fill="auto"/>
            <w:vAlign w:val="bottom"/>
          </w:tcPr>
          <w:p w14:paraId="71E086F6" w14:textId="77777777" w:rsidR="002A1181" w:rsidRPr="00EF12F2" w:rsidRDefault="002A1181" w:rsidP="002A1181">
            <w:pPr>
              <w:jc w:val="right"/>
              <w:rPr>
                <w:color w:val="000000"/>
                <w:sz w:val="16"/>
                <w:szCs w:val="16"/>
                <w:lang w:eastAsia="en-NZ"/>
              </w:rPr>
            </w:pPr>
            <w:r w:rsidRPr="00EF12F2">
              <w:rPr>
                <w:color w:val="000000"/>
                <w:sz w:val="16"/>
                <w:szCs w:val="16"/>
                <w:lang w:eastAsia="en-NZ"/>
              </w:rPr>
              <w:t>&lt;</w:t>
            </w:r>
            <w:r>
              <w:rPr>
                <w:color w:val="000000"/>
                <w:sz w:val="16"/>
                <w:szCs w:val="16"/>
                <w:lang w:eastAsia="en-NZ"/>
              </w:rPr>
              <w:t>0</w:t>
            </w:r>
            <w:r w:rsidRPr="00EF12F2">
              <w:rPr>
                <w:color w:val="000000"/>
                <w:sz w:val="16"/>
                <w:szCs w:val="16"/>
                <w:lang w:eastAsia="en-NZ"/>
              </w:rPr>
              <w:t>.0001</w:t>
            </w:r>
          </w:p>
        </w:tc>
      </w:tr>
      <w:tr w:rsidR="002A1181" w:rsidRPr="003F15C0" w14:paraId="40487793" w14:textId="77777777" w:rsidTr="005F3C25">
        <w:tc>
          <w:tcPr>
            <w:tcW w:w="5387" w:type="dxa"/>
          </w:tcPr>
          <w:p w14:paraId="091A13A8" w14:textId="77777777" w:rsidR="002A1181" w:rsidRPr="007C6C78" w:rsidRDefault="002A1181" w:rsidP="005B7477">
            <w:pPr>
              <w:spacing w:before="20"/>
              <w:jc w:val="both"/>
              <w:rPr>
                <w:b/>
                <w:sz w:val="16"/>
                <w:szCs w:val="16"/>
              </w:rPr>
            </w:pPr>
            <w:r w:rsidRPr="007C6C78">
              <w:rPr>
                <w:b/>
                <w:sz w:val="16"/>
                <w:szCs w:val="16"/>
              </w:rPr>
              <w:t xml:space="preserve">Number of </w:t>
            </w:r>
            <w:r w:rsidR="005B7477">
              <w:rPr>
                <w:b/>
                <w:sz w:val="16"/>
                <w:szCs w:val="16"/>
              </w:rPr>
              <w:t>major</w:t>
            </w:r>
            <w:r w:rsidRPr="007C6C78">
              <w:rPr>
                <w:b/>
                <w:sz w:val="16"/>
                <w:szCs w:val="16"/>
              </w:rPr>
              <w:t xml:space="preserve"> life events</w:t>
            </w:r>
          </w:p>
        </w:tc>
        <w:tc>
          <w:tcPr>
            <w:tcW w:w="992" w:type="dxa"/>
            <w:shd w:val="clear" w:color="auto" w:fill="auto"/>
            <w:vAlign w:val="center"/>
          </w:tcPr>
          <w:p w14:paraId="4870B826" w14:textId="77777777" w:rsidR="002A1181" w:rsidRPr="00230801" w:rsidRDefault="002A1181" w:rsidP="002A1181">
            <w:pPr>
              <w:jc w:val="right"/>
              <w:rPr>
                <w:color w:val="000000"/>
                <w:sz w:val="16"/>
                <w:szCs w:val="16"/>
                <w:lang w:eastAsia="en-NZ"/>
              </w:rPr>
            </w:pPr>
          </w:p>
        </w:tc>
        <w:tc>
          <w:tcPr>
            <w:tcW w:w="1276" w:type="dxa"/>
            <w:shd w:val="clear" w:color="auto" w:fill="auto"/>
            <w:vAlign w:val="center"/>
          </w:tcPr>
          <w:p w14:paraId="27555269" w14:textId="77777777" w:rsidR="002A1181" w:rsidRPr="00230801" w:rsidRDefault="002A1181" w:rsidP="002A1181">
            <w:pPr>
              <w:jc w:val="right"/>
              <w:rPr>
                <w:color w:val="000000"/>
                <w:sz w:val="16"/>
                <w:szCs w:val="16"/>
                <w:lang w:eastAsia="en-NZ"/>
              </w:rPr>
            </w:pPr>
          </w:p>
        </w:tc>
        <w:tc>
          <w:tcPr>
            <w:tcW w:w="850" w:type="dxa"/>
            <w:shd w:val="clear" w:color="auto" w:fill="auto"/>
            <w:vAlign w:val="center"/>
          </w:tcPr>
          <w:p w14:paraId="0F47605D" w14:textId="77777777" w:rsidR="002A1181" w:rsidRPr="00230801" w:rsidRDefault="002A1181" w:rsidP="002A1181">
            <w:pPr>
              <w:jc w:val="right"/>
              <w:rPr>
                <w:color w:val="000000"/>
                <w:sz w:val="16"/>
                <w:szCs w:val="16"/>
                <w:lang w:eastAsia="en-NZ"/>
              </w:rPr>
            </w:pPr>
          </w:p>
        </w:tc>
      </w:tr>
      <w:tr w:rsidR="002A1181" w:rsidRPr="003F15C0" w14:paraId="3D1BE8A1" w14:textId="77777777" w:rsidTr="005F3C25">
        <w:tc>
          <w:tcPr>
            <w:tcW w:w="5387" w:type="dxa"/>
            <w:shd w:val="clear" w:color="auto" w:fill="auto"/>
            <w:vAlign w:val="bottom"/>
          </w:tcPr>
          <w:p w14:paraId="37200730" w14:textId="77777777" w:rsidR="002A1181" w:rsidRPr="007C6C78" w:rsidRDefault="002A1181" w:rsidP="002A1181">
            <w:pPr>
              <w:spacing w:before="20"/>
              <w:ind w:left="176"/>
              <w:jc w:val="both"/>
              <w:rPr>
                <w:sz w:val="16"/>
                <w:szCs w:val="16"/>
              </w:rPr>
            </w:pPr>
            <w:r w:rsidRPr="007C6C78">
              <w:rPr>
                <w:sz w:val="16"/>
                <w:szCs w:val="16"/>
              </w:rPr>
              <w:t>0</w:t>
            </w:r>
          </w:p>
        </w:tc>
        <w:tc>
          <w:tcPr>
            <w:tcW w:w="992" w:type="dxa"/>
            <w:shd w:val="clear" w:color="auto" w:fill="auto"/>
            <w:vAlign w:val="bottom"/>
          </w:tcPr>
          <w:p w14:paraId="62C08C89" w14:textId="77777777" w:rsidR="002A1181" w:rsidRPr="00EF12F2" w:rsidRDefault="002A1181" w:rsidP="002A1181">
            <w:pPr>
              <w:jc w:val="right"/>
              <w:rPr>
                <w:color w:val="000000"/>
                <w:sz w:val="16"/>
                <w:szCs w:val="16"/>
                <w:lang w:eastAsia="en-NZ"/>
              </w:rPr>
            </w:pPr>
            <w:r w:rsidRPr="00EF12F2">
              <w:rPr>
                <w:color w:val="000000"/>
                <w:sz w:val="16"/>
                <w:szCs w:val="16"/>
                <w:lang w:eastAsia="en-NZ"/>
              </w:rPr>
              <w:t>1.00</w:t>
            </w:r>
          </w:p>
        </w:tc>
        <w:tc>
          <w:tcPr>
            <w:tcW w:w="1276" w:type="dxa"/>
            <w:shd w:val="clear" w:color="auto" w:fill="auto"/>
            <w:vAlign w:val="bottom"/>
          </w:tcPr>
          <w:p w14:paraId="0FDC4448" w14:textId="77777777" w:rsidR="002A1181" w:rsidRPr="00EF12F2" w:rsidRDefault="002A1181" w:rsidP="002A1181">
            <w:pPr>
              <w:jc w:val="right"/>
              <w:rPr>
                <w:color w:val="000000"/>
                <w:sz w:val="16"/>
                <w:szCs w:val="16"/>
                <w:lang w:eastAsia="en-NZ"/>
              </w:rPr>
            </w:pPr>
          </w:p>
        </w:tc>
        <w:tc>
          <w:tcPr>
            <w:tcW w:w="850" w:type="dxa"/>
            <w:shd w:val="clear" w:color="auto" w:fill="auto"/>
            <w:vAlign w:val="bottom"/>
          </w:tcPr>
          <w:p w14:paraId="10342FD6" w14:textId="77777777" w:rsidR="002A1181" w:rsidRPr="00EF12F2" w:rsidRDefault="002A1181" w:rsidP="002A1181">
            <w:pPr>
              <w:jc w:val="right"/>
              <w:rPr>
                <w:color w:val="000000"/>
                <w:sz w:val="16"/>
                <w:szCs w:val="16"/>
                <w:lang w:eastAsia="en-NZ"/>
              </w:rPr>
            </w:pPr>
          </w:p>
        </w:tc>
      </w:tr>
      <w:tr w:rsidR="002A1181" w:rsidRPr="003F15C0" w14:paraId="00777D83" w14:textId="77777777" w:rsidTr="005F3C25">
        <w:tc>
          <w:tcPr>
            <w:tcW w:w="5387" w:type="dxa"/>
            <w:shd w:val="clear" w:color="auto" w:fill="auto"/>
            <w:vAlign w:val="bottom"/>
          </w:tcPr>
          <w:p w14:paraId="72B831B1" w14:textId="77777777" w:rsidR="002A1181" w:rsidRPr="007C6C78" w:rsidRDefault="002A1181" w:rsidP="002A1181">
            <w:pPr>
              <w:spacing w:before="20"/>
              <w:ind w:left="176"/>
              <w:jc w:val="both"/>
              <w:rPr>
                <w:sz w:val="16"/>
                <w:szCs w:val="16"/>
              </w:rPr>
            </w:pPr>
            <w:r w:rsidRPr="007C6C78">
              <w:rPr>
                <w:sz w:val="16"/>
                <w:szCs w:val="16"/>
              </w:rPr>
              <w:t>1</w:t>
            </w:r>
          </w:p>
        </w:tc>
        <w:tc>
          <w:tcPr>
            <w:tcW w:w="992" w:type="dxa"/>
            <w:shd w:val="clear" w:color="auto" w:fill="auto"/>
            <w:vAlign w:val="bottom"/>
          </w:tcPr>
          <w:p w14:paraId="1F573EE6" w14:textId="77777777" w:rsidR="002A1181" w:rsidRPr="00EF12F2" w:rsidRDefault="002A1181" w:rsidP="002A1181">
            <w:pPr>
              <w:jc w:val="right"/>
              <w:rPr>
                <w:color w:val="000000"/>
                <w:sz w:val="16"/>
                <w:szCs w:val="16"/>
                <w:lang w:eastAsia="en-NZ"/>
              </w:rPr>
            </w:pPr>
            <w:r w:rsidRPr="00EF12F2">
              <w:rPr>
                <w:color w:val="000000"/>
                <w:sz w:val="16"/>
                <w:szCs w:val="16"/>
                <w:lang w:eastAsia="en-NZ"/>
              </w:rPr>
              <w:t>1.05</w:t>
            </w:r>
          </w:p>
        </w:tc>
        <w:tc>
          <w:tcPr>
            <w:tcW w:w="1276" w:type="dxa"/>
            <w:shd w:val="clear" w:color="auto" w:fill="auto"/>
            <w:vAlign w:val="bottom"/>
          </w:tcPr>
          <w:p w14:paraId="7114D119" w14:textId="77777777" w:rsidR="002A1181" w:rsidRPr="00EF12F2" w:rsidRDefault="002A1181" w:rsidP="002A1181">
            <w:pPr>
              <w:jc w:val="right"/>
              <w:rPr>
                <w:color w:val="000000"/>
                <w:sz w:val="16"/>
                <w:szCs w:val="16"/>
                <w:lang w:eastAsia="en-NZ"/>
              </w:rPr>
            </w:pPr>
            <w:r w:rsidRPr="00EF12F2">
              <w:rPr>
                <w:color w:val="000000"/>
                <w:sz w:val="16"/>
                <w:szCs w:val="16"/>
                <w:lang w:eastAsia="en-NZ"/>
              </w:rPr>
              <w:t>(0.74, 1.50)</w:t>
            </w:r>
          </w:p>
        </w:tc>
        <w:tc>
          <w:tcPr>
            <w:tcW w:w="850" w:type="dxa"/>
            <w:shd w:val="clear" w:color="auto" w:fill="auto"/>
            <w:vAlign w:val="bottom"/>
          </w:tcPr>
          <w:p w14:paraId="46A69A3A" w14:textId="77777777" w:rsidR="002A1181" w:rsidRPr="00EF12F2" w:rsidRDefault="002A1181" w:rsidP="002A1181">
            <w:pPr>
              <w:jc w:val="right"/>
              <w:rPr>
                <w:color w:val="000000"/>
                <w:sz w:val="16"/>
                <w:szCs w:val="16"/>
                <w:lang w:eastAsia="en-NZ"/>
              </w:rPr>
            </w:pPr>
          </w:p>
        </w:tc>
      </w:tr>
      <w:tr w:rsidR="002A1181" w:rsidRPr="003F15C0" w14:paraId="7A0BD1E1" w14:textId="77777777" w:rsidTr="005F3C25">
        <w:tc>
          <w:tcPr>
            <w:tcW w:w="5387" w:type="dxa"/>
            <w:shd w:val="clear" w:color="auto" w:fill="auto"/>
            <w:vAlign w:val="bottom"/>
          </w:tcPr>
          <w:p w14:paraId="0316C749" w14:textId="77777777" w:rsidR="002A1181" w:rsidRPr="007C6C78" w:rsidRDefault="002A1181" w:rsidP="002A1181">
            <w:pPr>
              <w:spacing w:before="20"/>
              <w:ind w:left="176"/>
              <w:jc w:val="both"/>
              <w:rPr>
                <w:sz w:val="16"/>
                <w:szCs w:val="16"/>
              </w:rPr>
            </w:pPr>
            <w:r w:rsidRPr="007C6C78">
              <w:rPr>
                <w:sz w:val="16"/>
                <w:szCs w:val="16"/>
              </w:rPr>
              <w:t>2</w:t>
            </w:r>
          </w:p>
        </w:tc>
        <w:tc>
          <w:tcPr>
            <w:tcW w:w="992" w:type="dxa"/>
            <w:shd w:val="clear" w:color="auto" w:fill="auto"/>
            <w:vAlign w:val="bottom"/>
          </w:tcPr>
          <w:p w14:paraId="1BE7F3F2" w14:textId="77777777" w:rsidR="002A1181" w:rsidRPr="00EF12F2" w:rsidRDefault="002A1181" w:rsidP="002A1181">
            <w:pPr>
              <w:jc w:val="right"/>
              <w:rPr>
                <w:color w:val="000000"/>
                <w:sz w:val="16"/>
                <w:szCs w:val="16"/>
                <w:lang w:eastAsia="en-NZ"/>
              </w:rPr>
            </w:pPr>
            <w:r w:rsidRPr="00EF12F2">
              <w:rPr>
                <w:color w:val="000000"/>
                <w:sz w:val="16"/>
                <w:szCs w:val="16"/>
                <w:lang w:eastAsia="en-NZ"/>
              </w:rPr>
              <w:t>1.31</w:t>
            </w:r>
          </w:p>
        </w:tc>
        <w:tc>
          <w:tcPr>
            <w:tcW w:w="1276" w:type="dxa"/>
            <w:shd w:val="clear" w:color="auto" w:fill="auto"/>
            <w:vAlign w:val="bottom"/>
          </w:tcPr>
          <w:p w14:paraId="2C864146" w14:textId="77777777" w:rsidR="002A1181" w:rsidRPr="00EF12F2" w:rsidRDefault="002A1181" w:rsidP="002A1181">
            <w:pPr>
              <w:jc w:val="right"/>
              <w:rPr>
                <w:color w:val="000000"/>
                <w:sz w:val="16"/>
                <w:szCs w:val="16"/>
                <w:lang w:eastAsia="en-NZ"/>
              </w:rPr>
            </w:pPr>
            <w:r w:rsidRPr="00EF12F2">
              <w:rPr>
                <w:color w:val="000000"/>
                <w:sz w:val="16"/>
                <w:szCs w:val="16"/>
                <w:lang w:eastAsia="en-NZ"/>
              </w:rPr>
              <w:t>(0.90, 1.90)</w:t>
            </w:r>
          </w:p>
        </w:tc>
        <w:tc>
          <w:tcPr>
            <w:tcW w:w="850" w:type="dxa"/>
            <w:shd w:val="clear" w:color="auto" w:fill="auto"/>
            <w:vAlign w:val="bottom"/>
          </w:tcPr>
          <w:p w14:paraId="3582E805" w14:textId="77777777" w:rsidR="002A1181" w:rsidRPr="00EF12F2" w:rsidRDefault="002A1181" w:rsidP="002A1181">
            <w:pPr>
              <w:jc w:val="right"/>
              <w:rPr>
                <w:color w:val="000000"/>
                <w:sz w:val="16"/>
                <w:szCs w:val="16"/>
                <w:lang w:eastAsia="en-NZ"/>
              </w:rPr>
            </w:pPr>
          </w:p>
        </w:tc>
      </w:tr>
      <w:tr w:rsidR="002A1181" w:rsidRPr="003F15C0" w14:paraId="1E1645D3" w14:textId="77777777" w:rsidTr="005F3C25">
        <w:tc>
          <w:tcPr>
            <w:tcW w:w="5387" w:type="dxa"/>
            <w:shd w:val="clear" w:color="auto" w:fill="auto"/>
            <w:vAlign w:val="bottom"/>
          </w:tcPr>
          <w:p w14:paraId="327FA6F7" w14:textId="77777777" w:rsidR="002A1181" w:rsidRPr="007C6C78" w:rsidRDefault="002A1181" w:rsidP="002A1181">
            <w:pPr>
              <w:spacing w:before="20"/>
              <w:ind w:left="176"/>
              <w:jc w:val="both"/>
              <w:rPr>
                <w:sz w:val="16"/>
                <w:szCs w:val="16"/>
              </w:rPr>
            </w:pPr>
            <w:r w:rsidRPr="007C6C78">
              <w:rPr>
                <w:sz w:val="16"/>
                <w:szCs w:val="16"/>
              </w:rPr>
              <w:t>3</w:t>
            </w:r>
          </w:p>
        </w:tc>
        <w:tc>
          <w:tcPr>
            <w:tcW w:w="992" w:type="dxa"/>
            <w:shd w:val="clear" w:color="auto" w:fill="auto"/>
            <w:vAlign w:val="bottom"/>
          </w:tcPr>
          <w:p w14:paraId="66351FE1" w14:textId="77777777" w:rsidR="002A1181" w:rsidRPr="00EF12F2" w:rsidRDefault="002A1181" w:rsidP="002A1181">
            <w:pPr>
              <w:jc w:val="right"/>
              <w:rPr>
                <w:color w:val="000000"/>
                <w:sz w:val="16"/>
                <w:szCs w:val="16"/>
                <w:lang w:eastAsia="en-NZ"/>
              </w:rPr>
            </w:pPr>
            <w:r w:rsidRPr="00EF12F2">
              <w:rPr>
                <w:color w:val="000000"/>
                <w:sz w:val="16"/>
                <w:szCs w:val="16"/>
                <w:lang w:eastAsia="en-NZ"/>
              </w:rPr>
              <w:t>1.92</w:t>
            </w:r>
          </w:p>
        </w:tc>
        <w:tc>
          <w:tcPr>
            <w:tcW w:w="1276" w:type="dxa"/>
            <w:shd w:val="clear" w:color="auto" w:fill="auto"/>
            <w:vAlign w:val="bottom"/>
          </w:tcPr>
          <w:p w14:paraId="1F14E5E3" w14:textId="77777777" w:rsidR="002A1181" w:rsidRPr="00EF12F2" w:rsidRDefault="002A1181" w:rsidP="002A1181">
            <w:pPr>
              <w:jc w:val="right"/>
              <w:rPr>
                <w:color w:val="000000"/>
                <w:sz w:val="16"/>
                <w:szCs w:val="16"/>
                <w:lang w:eastAsia="en-NZ"/>
              </w:rPr>
            </w:pPr>
            <w:r w:rsidRPr="00EF12F2">
              <w:rPr>
                <w:color w:val="000000"/>
                <w:sz w:val="16"/>
                <w:szCs w:val="16"/>
                <w:lang w:eastAsia="en-NZ"/>
              </w:rPr>
              <w:t>(1.28, 2.89)</w:t>
            </w:r>
          </w:p>
        </w:tc>
        <w:tc>
          <w:tcPr>
            <w:tcW w:w="850" w:type="dxa"/>
            <w:shd w:val="clear" w:color="auto" w:fill="auto"/>
            <w:vAlign w:val="bottom"/>
          </w:tcPr>
          <w:p w14:paraId="7FC4058F" w14:textId="77777777" w:rsidR="002A1181" w:rsidRPr="00EF12F2" w:rsidRDefault="002A1181" w:rsidP="002A1181">
            <w:pPr>
              <w:jc w:val="right"/>
              <w:rPr>
                <w:color w:val="000000"/>
                <w:sz w:val="16"/>
                <w:szCs w:val="16"/>
                <w:lang w:eastAsia="en-NZ"/>
              </w:rPr>
            </w:pPr>
          </w:p>
        </w:tc>
      </w:tr>
      <w:tr w:rsidR="002A1181" w:rsidRPr="003F15C0" w14:paraId="0D6452C9" w14:textId="77777777" w:rsidTr="00826105">
        <w:tc>
          <w:tcPr>
            <w:tcW w:w="5387" w:type="dxa"/>
            <w:shd w:val="clear" w:color="auto" w:fill="auto"/>
            <w:vAlign w:val="bottom"/>
          </w:tcPr>
          <w:p w14:paraId="57816154" w14:textId="77777777" w:rsidR="002A1181" w:rsidRPr="007C6C78" w:rsidRDefault="002A1181" w:rsidP="002A1181">
            <w:pPr>
              <w:spacing w:before="20"/>
              <w:ind w:left="176"/>
              <w:jc w:val="both"/>
              <w:rPr>
                <w:sz w:val="16"/>
                <w:szCs w:val="16"/>
              </w:rPr>
            </w:pPr>
            <w:r w:rsidRPr="007C6C78">
              <w:rPr>
                <w:sz w:val="16"/>
                <w:szCs w:val="16"/>
              </w:rPr>
              <w:t>4+</w:t>
            </w:r>
          </w:p>
        </w:tc>
        <w:tc>
          <w:tcPr>
            <w:tcW w:w="992" w:type="dxa"/>
            <w:shd w:val="clear" w:color="auto" w:fill="auto"/>
            <w:vAlign w:val="bottom"/>
          </w:tcPr>
          <w:p w14:paraId="197FBDC4" w14:textId="77777777" w:rsidR="002A1181" w:rsidRPr="00EF12F2" w:rsidRDefault="002A1181" w:rsidP="002A1181">
            <w:pPr>
              <w:jc w:val="right"/>
              <w:rPr>
                <w:color w:val="000000"/>
                <w:sz w:val="16"/>
                <w:szCs w:val="16"/>
                <w:lang w:eastAsia="en-NZ"/>
              </w:rPr>
            </w:pPr>
            <w:r w:rsidRPr="00EF12F2">
              <w:rPr>
                <w:color w:val="000000"/>
                <w:sz w:val="16"/>
                <w:szCs w:val="16"/>
                <w:lang w:eastAsia="en-NZ"/>
              </w:rPr>
              <w:t>2.75</w:t>
            </w:r>
          </w:p>
        </w:tc>
        <w:tc>
          <w:tcPr>
            <w:tcW w:w="1276" w:type="dxa"/>
            <w:shd w:val="clear" w:color="auto" w:fill="auto"/>
            <w:vAlign w:val="bottom"/>
          </w:tcPr>
          <w:p w14:paraId="549FD168" w14:textId="77777777" w:rsidR="002A1181" w:rsidRPr="00EF12F2" w:rsidRDefault="002A1181" w:rsidP="002A1181">
            <w:pPr>
              <w:jc w:val="right"/>
              <w:rPr>
                <w:color w:val="000000"/>
                <w:sz w:val="16"/>
                <w:szCs w:val="16"/>
                <w:lang w:eastAsia="en-NZ"/>
              </w:rPr>
            </w:pPr>
            <w:r w:rsidRPr="00EF12F2">
              <w:rPr>
                <w:color w:val="000000"/>
                <w:sz w:val="16"/>
                <w:szCs w:val="16"/>
                <w:lang w:eastAsia="en-NZ"/>
              </w:rPr>
              <w:t>(1.85, 4.08)</w:t>
            </w:r>
          </w:p>
        </w:tc>
        <w:tc>
          <w:tcPr>
            <w:tcW w:w="850" w:type="dxa"/>
            <w:shd w:val="clear" w:color="auto" w:fill="auto"/>
            <w:vAlign w:val="bottom"/>
          </w:tcPr>
          <w:p w14:paraId="12316E62" w14:textId="77777777" w:rsidR="002A1181" w:rsidRPr="00EF12F2" w:rsidRDefault="002A1181" w:rsidP="002A1181">
            <w:pPr>
              <w:jc w:val="right"/>
              <w:rPr>
                <w:color w:val="000000"/>
                <w:sz w:val="16"/>
                <w:szCs w:val="16"/>
                <w:lang w:eastAsia="en-NZ"/>
              </w:rPr>
            </w:pPr>
            <w:r w:rsidRPr="00EF12F2">
              <w:rPr>
                <w:color w:val="000000"/>
                <w:sz w:val="16"/>
                <w:szCs w:val="16"/>
                <w:lang w:eastAsia="en-NZ"/>
              </w:rPr>
              <w:t>&lt;</w:t>
            </w:r>
            <w:r>
              <w:rPr>
                <w:color w:val="000000"/>
                <w:sz w:val="16"/>
                <w:szCs w:val="16"/>
                <w:lang w:eastAsia="en-NZ"/>
              </w:rPr>
              <w:t>0</w:t>
            </w:r>
            <w:r w:rsidRPr="00EF12F2">
              <w:rPr>
                <w:color w:val="000000"/>
                <w:sz w:val="16"/>
                <w:szCs w:val="16"/>
                <w:lang w:eastAsia="en-NZ"/>
              </w:rPr>
              <w:t>.0001</w:t>
            </w:r>
          </w:p>
        </w:tc>
      </w:tr>
      <w:tr w:rsidR="002A1181" w:rsidRPr="003F15C0" w14:paraId="52B72861" w14:textId="77777777" w:rsidTr="005F3C25">
        <w:tc>
          <w:tcPr>
            <w:tcW w:w="5387" w:type="dxa"/>
            <w:shd w:val="clear" w:color="auto" w:fill="auto"/>
          </w:tcPr>
          <w:p w14:paraId="5CC8B0CD" w14:textId="77777777" w:rsidR="002A1181" w:rsidRPr="007C6C78" w:rsidRDefault="002A1181" w:rsidP="002A1181">
            <w:pPr>
              <w:keepNext/>
              <w:spacing w:before="20"/>
              <w:jc w:val="both"/>
              <w:rPr>
                <w:b/>
                <w:sz w:val="16"/>
                <w:szCs w:val="16"/>
              </w:rPr>
            </w:pPr>
            <w:r>
              <w:rPr>
                <w:b/>
                <w:sz w:val="16"/>
                <w:szCs w:val="16"/>
              </w:rPr>
              <w:t>Quality of life (WHOQoL-8)</w:t>
            </w:r>
          </w:p>
        </w:tc>
        <w:tc>
          <w:tcPr>
            <w:tcW w:w="992" w:type="dxa"/>
            <w:shd w:val="clear" w:color="auto" w:fill="auto"/>
            <w:vAlign w:val="center"/>
          </w:tcPr>
          <w:p w14:paraId="1A3382C4" w14:textId="77777777" w:rsidR="002A1181" w:rsidRPr="00AA4E6C" w:rsidRDefault="002A1181" w:rsidP="002A1181">
            <w:pPr>
              <w:keepNext/>
              <w:jc w:val="right"/>
              <w:rPr>
                <w:color w:val="000000"/>
                <w:sz w:val="16"/>
                <w:szCs w:val="20"/>
                <w:lang w:eastAsia="en-NZ"/>
              </w:rPr>
            </w:pPr>
          </w:p>
        </w:tc>
        <w:tc>
          <w:tcPr>
            <w:tcW w:w="1276" w:type="dxa"/>
            <w:shd w:val="clear" w:color="auto" w:fill="auto"/>
            <w:vAlign w:val="center"/>
          </w:tcPr>
          <w:p w14:paraId="452C47F5" w14:textId="77777777" w:rsidR="002A1181" w:rsidRPr="00AA4E6C" w:rsidRDefault="002A1181" w:rsidP="002A1181">
            <w:pPr>
              <w:keepNext/>
              <w:jc w:val="right"/>
              <w:rPr>
                <w:color w:val="000000"/>
                <w:sz w:val="16"/>
                <w:szCs w:val="20"/>
                <w:lang w:eastAsia="en-NZ"/>
              </w:rPr>
            </w:pPr>
          </w:p>
        </w:tc>
        <w:tc>
          <w:tcPr>
            <w:tcW w:w="850" w:type="dxa"/>
            <w:shd w:val="clear" w:color="auto" w:fill="auto"/>
            <w:vAlign w:val="center"/>
          </w:tcPr>
          <w:p w14:paraId="4ED16908" w14:textId="77777777" w:rsidR="002A1181" w:rsidRPr="00AA4E6C" w:rsidRDefault="002A1181" w:rsidP="002A1181">
            <w:pPr>
              <w:keepNext/>
              <w:jc w:val="right"/>
              <w:rPr>
                <w:color w:val="000000"/>
                <w:sz w:val="16"/>
                <w:szCs w:val="20"/>
                <w:lang w:eastAsia="en-NZ"/>
              </w:rPr>
            </w:pPr>
          </w:p>
        </w:tc>
      </w:tr>
      <w:tr w:rsidR="002A1181" w:rsidRPr="003F15C0" w14:paraId="6E609BAC" w14:textId="77777777" w:rsidTr="005F3C25">
        <w:tc>
          <w:tcPr>
            <w:tcW w:w="5387" w:type="dxa"/>
            <w:shd w:val="clear" w:color="auto" w:fill="auto"/>
            <w:vAlign w:val="bottom"/>
          </w:tcPr>
          <w:p w14:paraId="5794EE39" w14:textId="77777777" w:rsidR="002A1181" w:rsidRPr="007C6C78" w:rsidRDefault="002A1181" w:rsidP="002A1181">
            <w:pPr>
              <w:keepNext/>
              <w:spacing w:before="20"/>
              <w:ind w:left="176"/>
              <w:jc w:val="both"/>
              <w:rPr>
                <w:sz w:val="16"/>
                <w:szCs w:val="16"/>
              </w:rPr>
            </w:pPr>
            <w:r>
              <w:rPr>
                <w:sz w:val="16"/>
                <w:szCs w:val="16"/>
              </w:rPr>
              <w:t xml:space="preserve">Below median (Score </w:t>
            </w:r>
            <w:r w:rsidRPr="007C6C78">
              <w:rPr>
                <w:sz w:val="16"/>
                <w:szCs w:val="16"/>
              </w:rPr>
              <w:t>0</w:t>
            </w:r>
            <w:r>
              <w:rPr>
                <w:sz w:val="16"/>
                <w:szCs w:val="16"/>
              </w:rPr>
              <w:t xml:space="preserve"> </w:t>
            </w:r>
            <w:r w:rsidRPr="007C6C78">
              <w:rPr>
                <w:sz w:val="16"/>
                <w:szCs w:val="16"/>
              </w:rPr>
              <w:t>-</w:t>
            </w:r>
            <w:r>
              <w:rPr>
                <w:sz w:val="16"/>
                <w:szCs w:val="16"/>
              </w:rPr>
              <w:t xml:space="preserve"> 24)</w:t>
            </w:r>
          </w:p>
        </w:tc>
        <w:tc>
          <w:tcPr>
            <w:tcW w:w="992" w:type="dxa"/>
            <w:shd w:val="clear" w:color="auto" w:fill="auto"/>
            <w:vAlign w:val="bottom"/>
          </w:tcPr>
          <w:p w14:paraId="0783EA82" w14:textId="77777777" w:rsidR="002A1181" w:rsidRPr="007B750E" w:rsidRDefault="002A1181" w:rsidP="002A1181">
            <w:pPr>
              <w:jc w:val="right"/>
              <w:rPr>
                <w:color w:val="000000"/>
                <w:sz w:val="16"/>
                <w:szCs w:val="16"/>
                <w:lang w:eastAsia="en-NZ"/>
              </w:rPr>
            </w:pPr>
            <w:r w:rsidRPr="007B750E">
              <w:rPr>
                <w:color w:val="000000"/>
                <w:sz w:val="16"/>
                <w:szCs w:val="16"/>
                <w:lang w:eastAsia="en-NZ"/>
              </w:rPr>
              <w:t>1.00</w:t>
            </w:r>
          </w:p>
        </w:tc>
        <w:tc>
          <w:tcPr>
            <w:tcW w:w="1276" w:type="dxa"/>
            <w:shd w:val="clear" w:color="auto" w:fill="auto"/>
            <w:vAlign w:val="bottom"/>
          </w:tcPr>
          <w:p w14:paraId="6AC842FC" w14:textId="77777777" w:rsidR="002A1181" w:rsidRPr="007B750E" w:rsidRDefault="002A1181" w:rsidP="002A1181">
            <w:pPr>
              <w:jc w:val="right"/>
              <w:rPr>
                <w:color w:val="000000"/>
                <w:sz w:val="16"/>
                <w:szCs w:val="16"/>
                <w:lang w:eastAsia="en-NZ"/>
              </w:rPr>
            </w:pPr>
          </w:p>
        </w:tc>
        <w:tc>
          <w:tcPr>
            <w:tcW w:w="850" w:type="dxa"/>
            <w:shd w:val="clear" w:color="auto" w:fill="auto"/>
            <w:vAlign w:val="bottom"/>
          </w:tcPr>
          <w:p w14:paraId="1FBE9B82" w14:textId="77777777" w:rsidR="002A1181" w:rsidRPr="007B750E" w:rsidRDefault="002A1181" w:rsidP="002A1181">
            <w:pPr>
              <w:jc w:val="right"/>
              <w:rPr>
                <w:color w:val="000000"/>
                <w:sz w:val="16"/>
                <w:szCs w:val="16"/>
                <w:lang w:eastAsia="en-NZ"/>
              </w:rPr>
            </w:pPr>
          </w:p>
        </w:tc>
      </w:tr>
      <w:tr w:rsidR="002A1181" w:rsidRPr="003F15C0" w14:paraId="33B9AFA1" w14:textId="77777777" w:rsidTr="00491C93">
        <w:tc>
          <w:tcPr>
            <w:tcW w:w="5387" w:type="dxa"/>
            <w:shd w:val="clear" w:color="auto" w:fill="auto"/>
            <w:vAlign w:val="bottom"/>
          </w:tcPr>
          <w:p w14:paraId="0B410056" w14:textId="77777777" w:rsidR="002A1181" w:rsidRPr="007C6C78" w:rsidRDefault="002A1181" w:rsidP="002A1181">
            <w:pPr>
              <w:keepNext/>
              <w:spacing w:before="20"/>
              <w:ind w:left="176"/>
              <w:jc w:val="both"/>
              <w:rPr>
                <w:sz w:val="16"/>
                <w:szCs w:val="16"/>
              </w:rPr>
            </w:pPr>
            <w:r>
              <w:rPr>
                <w:sz w:val="16"/>
                <w:szCs w:val="16"/>
              </w:rPr>
              <w:t>Median score (Score 25)</w:t>
            </w:r>
          </w:p>
        </w:tc>
        <w:tc>
          <w:tcPr>
            <w:tcW w:w="992" w:type="dxa"/>
            <w:shd w:val="clear" w:color="auto" w:fill="auto"/>
            <w:vAlign w:val="bottom"/>
          </w:tcPr>
          <w:p w14:paraId="57B6979E" w14:textId="77777777" w:rsidR="002A1181" w:rsidRPr="007B750E" w:rsidRDefault="002A1181" w:rsidP="002A1181">
            <w:pPr>
              <w:jc w:val="right"/>
              <w:rPr>
                <w:color w:val="000000"/>
                <w:sz w:val="16"/>
                <w:szCs w:val="16"/>
                <w:lang w:eastAsia="en-NZ"/>
              </w:rPr>
            </w:pPr>
            <w:r w:rsidRPr="007B750E">
              <w:rPr>
                <w:color w:val="000000"/>
                <w:sz w:val="16"/>
                <w:szCs w:val="16"/>
                <w:lang w:eastAsia="en-NZ"/>
              </w:rPr>
              <w:t>0.65</w:t>
            </w:r>
          </w:p>
        </w:tc>
        <w:tc>
          <w:tcPr>
            <w:tcW w:w="1276" w:type="dxa"/>
            <w:shd w:val="clear" w:color="auto" w:fill="auto"/>
            <w:vAlign w:val="bottom"/>
          </w:tcPr>
          <w:p w14:paraId="12E360F7" w14:textId="77777777" w:rsidR="002A1181" w:rsidRPr="007B750E" w:rsidRDefault="002A1181" w:rsidP="002A1181">
            <w:pPr>
              <w:jc w:val="right"/>
              <w:rPr>
                <w:color w:val="000000"/>
                <w:sz w:val="16"/>
                <w:szCs w:val="16"/>
                <w:lang w:eastAsia="en-NZ"/>
              </w:rPr>
            </w:pPr>
            <w:r w:rsidRPr="007B750E">
              <w:rPr>
                <w:color w:val="000000"/>
                <w:sz w:val="16"/>
                <w:szCs w:val="16"/>
                <w:lang w:eastAsia="en-NZ"/>
              </w:rPr>
              <w:t>(0.49, 0.88)</w:t>
            </w:r>
          </w:p>
        </w:tc>
        <w:tc>
          <w:tcPr>
            <w:tcW w:w="850" w:type="dxa"/>
            <w:shd w:val="clear" w:color="auto" w:fill="auto"/>
            <w:vAlign w:val="bottom"/>
          </w:tcPr>
          <w:p w14:paraId="380BB208" w14:textId="77777777" w:rsidR="002A1181" w:rsidRPr="007B750E" w:rsidRDefault="002A1181" w:rsidP="002A1181">
            <w:pPr>
              <w:jc w:val="right"/>
              <w:rPr>
                <w:color w:val="000000"/>
                <w:sz w:val="16"/>
                <w:szCs w:val="16"/>
                <w:lang w:eastAsia="en-NZ"/>
              </w:rPr>
            </w:pPr>
          </w:p>
        </w:tc>
      </w:tr>
      <w:tr w:rsidR="00491C93" w:rsidRPr="003F15C0" w14:paraId="55EA677F" w14:textId="77777777" w:rsidTr="00826105">
        <w:tc>
          <w:tcPr>
            <w:tcW w:w="5387" w:type="dxa"/>
            <w:shd w:val="clear" w:color="auto" w:fill="auto"/>
            <w:vAlign w:val="bottom"/>
          </w:tcPr>
          <w:p w14:paraId="75937B57" w14:textId="77777777" w:rsidR="00491C93" w:rsidRPr="007C6C78" w:rsidRDefault="00491C93" w:rsidP="00F92F22">
            <w:pPr>
              <w:keepNext/>
              <w:spacing w:before="20"/>
              <w:ind w:left="176"/>
              <w:jc w:val="both"/>
              <w:rPr>
                <w:sz w:val="16"/>
                <w:szCs w:val="16"/>
              </w:rPr>
            </w:pPr>
            <w:r>
              <w:rPr>
                <w:sz w:val="16"/>
                <w:szCs w:val="16"/>
              </w:rPr>
              <w:t xml:space="preserve">Above median (Score 26 </w:t>
            </w:r>
            <w:r w:rsidRPr="007C6C78">
              <w:rPr>
                <w:sz w:val="16"/>
                <w:szCs w:val="16"/>
              </w:rPr>
              <w:t>-</w:t>
            </w:r>
            <w:r>
              <w:rPr>
                <w:sz w:val="16"/>
                <w:szCs w:val="16"/>
              </w:rPr>
              <w:t xml:space="preserve"> 32)</w:t>
            </w:r>
          </w:p>
        </w:tc>
        <w:tc>
          <w:tcPr>
            <w:tcW w:w="992" w:type="dxa"/>
            <w:shd w:val="clear" w:color="auto" w:fill="auto"/>
            <w:vAlign w:val="bottom"/>
          </w:tcPr>
          <w:p w14:paraId="35EFC03A" w14:textId="77777777" w:rsidR="00491C93" w:rsidRPr="007B750E" w:rsidRDefault="00491C93" w:rsidP="00F92F22">
            <w:pPr>
              <w:jc w:val="right"/>
              <w:rPr>
                <w:color w:val="000000"/>
                <w:sz w:val="16"/>
                <w:szCs w:val="16"/>
                <w:lang w:eastAsia="en-NZ"/>
              </w:rPr>
            </w:pPr>
            <w:r w:rsidRPr="007B750E">
              <w:rPr>
                <w:color w:val="000000"/>
                <w:sz w:val="16"/>
                <w:szCs w:val="16"/>
                <w:lang w:eastAsia="en-NZ"/>
              </w:rPr>
              <w:t>0.98</w:t>
            </w:r>
          </w:p>
        </w:tc>
        <w:tc>
          <w:tcPr>
            <w:tcW w:w="1276" w:type="dxa"/>
            <w:shd w:val="clear" w:color="auto" w:fill="auto"/>
            <w:vAlign w:val="bottom"/>
          </w:tcPr>
          <w:p w14:paraId="49AE4238" w14:textId="77777777" w:rsidR="00491C93" w:rsidRPr="007B750E" w:rsidRDefault="00491C93" w:rsidP="00F92F22">
            <w:pPr>
              <w:jc w:val="right"/>
              <w:rPr>
                <w:color w:val="000000"/>
                <w:sz w:val="16"/>
                <w:szCs w:val="16"/>
                <w:lang w:eastAsia="en-NZ"/>
              </w:rPr>
            </w:pPr>
            <w:r w:rsidRPr="007B750E">
              <w:rPr>
                <w:color w:val="000000"/>
                <w:sz w:val="16"/>
                <w:szCs w:val="16"/>
                <w:lang w:eastAsia="en-NZ"/>
              </w:rPr>
              <w:t>(0.65, 1.47)</w:t>
            </w:r>
          </w:p>
        </w:tc>
        <w:tc>
          <w:tcPr>
            <w:tcW w:w="850" w:type="dxa"/>
            <w:shd w:val="clear" w:color="auto" w:fill="auto"/>
            <w:vAlign w:val="bottom"/>
          </w:tcPr>
          <w:p w14:paraId="3D2F2D52" w14:textId="77777777" w:rsidR="00491C93" w:rsidRPr="007B750E" w:rsidRDefault="00491C93" w:rsidP="00F92F22">
            <w:pPr>
              <w:jc w:val="right"/>
              <w:rPr>
                <w:color w:val="000000"/>
                <w:sz w:val="16"/>
                <w:szCs w:val="16"/>
                <w:lang w:eastAsia="en-NZ"/>
              </w:rPr>
            </w:pPr>
            <w:r w:rsidRPr="007B750E">
              <w:rPr>
                <w:color w:val="000000"/>
                <w:sz w:val="16"/>
                <w:szCs w:val="16"/>
                <w:lang w:eastAsia="en-NZ"/>
              </w:rPr>
              <w:t>0.01</w:t>
            </w:r>
          </w:p>
        </w:tc>
      </w:tr>
      <w:tr w:rsidR="002A1181" w:rsidRPr="003F15C0" w14:paraId="70BFDE70" w14:textId="77777777" w:rsidTr="005F3C25">
        <w:tc>
          <w:tcPr>
            <w:tcW w:w="5387" w:type="dxa"/>
            <w:shd w:val="clear" w:color="auto" w:fill="auto"/>
          </w:tcPr>
          <w:p w14:paraId="1C9162A2" w14:textId="77777777" w:rsidR="002A1181" w:rsidRPr="007C6C78" w:rsidRDefault="002A1181" w:rsidP="002A1181">
            <w:pPr>
              <w:keepNext/>
              <w:spacing w:before="20"/>
              <w:jc w:val="both"/>
              <w:rPr>
                <w:b/>
                <w:sz w:val="16"/>
                <w:szCs w:val="16"/>
              </w:rPr>
            </w:pPr>
            <w:r w:rsidRPr="007C6C78">
              <w:rPr>
                <w:b/>
                <w:sz w:val="16"/>
                <w:szCs w:val="16"/>
              </w:rPr>
              <w:t>Psychological distress (Kessler-10)</w:t>
            </w:r>
          </w:p>
        </w:tc>
        <w:tc>
          <w:tcPr>
            <w:tcW w:w="992" w:type="dxa"/>
            <w:shd w:val="clear" w:color="auto" w:fill="auto"/>
            <w:vAlign w:val="center"/>
          </w:tcPr>
          <w:p w14:paraId="10819F1F" w14:textId="77777777" w:rsidR="002A1181" w:rsidRPr="00AA4E6C" w:rsidRDefault="002A1181" w:rsidP="002A1181">
            <w:pPr>
              <w:keepNext/>
              <w:jc w:val="right"/>
              <w:rPr>
                <w:color w:val="000000"/>
                <w:sz w:val="16"/>
                <w:szCs w:val="20"/>
                <w:lang w:eastAsia="en-NZ"/>
              </w:rPr>
            </w:pPr>
          </w:p>
        </w:tc>
        <w:tc>
          <w:tcPr>
            <w:tcW w:w="1276" w:type="dxa"/>
            <w:shd w:val="clear" w:color="auto" w:fill="auto"/>
            <w:vAlign w:val="center"/>
          </w:tcPr>
          <w:p w14:paraId="57C21990" w14:textId="77777777" w:rsidR="002A1181" w:rsidRPr="00AA4E6C" w:rsidRDefault="002A1181" w:rsidP="002A1181">
            <w:pPr>
              <w:keepNext/>
              <w:jc w:val="right"/>
              <w:rPr>
                <w:color w:val="000000"/>
                <w:sz w:val="16"/>
                <w:szCs w:val="20"/>
                <w:lang w:eastAsia="en-NZ"/>
              </w:rPr>
            </w:pPr>
          </w:p>
        </w:tc>
        <w:tc>
          <w:tcPr>
            <w:tcW w:w="850" w:type="dxa"/>
            <w:shd w:val="clear" w:color="auto" w:fill="auto"/>
            <w:vAlign w:val="center"/>
          </w:tcPr>
          <w:p w14:paraId="4C5B9715" w14:textId="77777777" w:rsidR="002A1181" w:rsidRPr="00AA4E6C" w:rsidRDefault="002A1181" w:rsidP="002A1181">
            <w:pPr>
              <w:keepNext/>
              <w:jc w:val="right"/>
              <w:rPr>
                <w:color w:val="000000"/>
                <w:sz w:val="16"/>
                <w:szCs w:val="20"/>
                <w:lang w:eastAsia="en-NZ"/>
              </w:rPr>
            </w:pPr>
          </w:p>
        </w:tc>
      </w:tr>
      <w:tr w:rsidR="002A1181" w:rsidRPr="003F15C0" w14:paraId="19718058" w14:textId="77777777" w:rsidTr="005F3C25">
        <w:tc>
          <w:tcPr>
            <w:tcW w:w="5387" w:type="dxa"/>
            <w:shd w:val="clear" w:color="auto" w:fill="auto"/>
            <w:vAlign w:val="bottom"/>
          </w:tcPr>
          <w:p w14:paraId="0BC5586A" w14:textId="77777777" w:rsidR="002A1181" w:rsidRPr="007C6C78" w:rsidRDefault="002A1181" w:rsidP="002A1181">
            <w:pPr>
              <w:keepNext/>
              <w:spacing w:before="20"/>
              <w:ind w:left="176"/>
              <w:jc w:val="both"/>
              <w:rPr>
                <w:sz w:val="16"/>
                <w:szCs w:val="16"/>
              </w:rPr>
            </w:pPr>
            <w:r>
              <w:rPr>
                <w:sz w:val="16"/>
                <w:szCs w:val="16"/>
              </w:rPr>
              <w:t xml:space="preserve">Low (Score </w:t>
            </w:r>
            <w:r w:rsidRPr="007C6C78">
              <w:rPr>
                <w:sz w:val="16"/>
                <w:szCs w:val="16"/>
              </w:rPr>
              <w:t>0</w:t>
            </w:r>
            <w:r>
              <w:rPr>
                <w:sz w:val="16"/>
                <w:szCs w:val="16"/>
              </w:rPr>
              <w:t xml:space="preserve"> </w:t>
            </w:r>
            <w:r w:rsidRPr="007C6C78">
              <w:rPr>
                <w:sz w:val="16"/>
                <w:szCs w:val="16"/>
              </w:rPr>
              <w:t>-</w:t>
            </w:r>
            <w:r>
              <w:rPr>
                <w:sz w:val="16"/>
                <w:szCs w:val="16"/>
              </w:rPr>
              <w:t xml:space="preserve"> </w:t>
            </w:r>
            <w:r w:rsidRPr="007C6C78">
              <w:rPr>
                <w:sz w:val="16"/>
                <w:szCs w:val="16"/>
              </w:rPr>
              <w:t>5</w:t>
            </w:r>
            <w:r>
              <w:rPr>
                <w:sz w:val="16"/>
                <w:szCs w:val="16"/>
              </w:rPr>
              <w:t>)</w:t>
            </w:r>
          </w:p>
        </w:tc>
        <w:tc>
          <w:tcPr>
            <w:tcW w:w="992" w:type="dxa"/>
            <w:shd w:val="clear" w:color="auto" w:fill="auto"/>
            <w:vAlign w:val="bottom"/>
          </w:tcPr>
          <w:p w14:paraId="2CDD9960" w14:textId="77777777" w:rsidR="002A1181" w:rsidRPr="007B750E" w:rsidRDefault="002A1181" w:rsidP="002A1181">
            <w:pPr>
              <w:jc w:val="right"/>
              <w:rPr>
                <w:color w:val="000000"/>
                <w:sz w:val="16"/>
                <w:szCs w:val="16"/>
                <w:lang w:eastAsia="en-NZ"/>
              </w:rPr>
            </w:pPr>
            <w:r w:rsidRPr="007B750E">
              <w:rPr>
                <w:color w:val="000000"/>
                <w:sz w:val="16"/>
                <w:szCs w:val="16"/>
                <w:lang w:eastAsia="en-NZ"/>
              </w:rPr>
              <w:t>1.00</w:t>
            </w:r>
          </w:p>
        </w:tc>
        <w:tc>
          <w:tcPr>
            <w:tcW w:w="1276" w:type="dxa"/>
            <w:shd w:val="clear" w:color="auto" w:fill="auto"/>
            <w:vAlign w:val="bottom"/>
          </w:tcPr>
          <w:p w14:paraId="4C51BA90" w14:textId="77777777" w:rsidR="002A1181" w:rsidRPr="007B750E" w:rsidRDefault="002A1181" w:rsidP="002A1181">
            <w:pPr>
              <w:jc w:val="right"/>
              <w:rPr>
                <w:color w:val="000000"/>
                <w:sz w:val="16"/>
                <w:szCs w:val="16"/>
                <w:lang w:eastAsia="en-NZ"/>
              </w:rPr>
            </w:pPr>
          </w:p>
        </w:tc>
        <w:tc>
          <w:tcPr>
            <w:tcW w:w="850" w:type="dxa"/>
            <w:shd w:val="clear" w:color="auto" w:fill="auto"/>
            <w:vAlign w:val="bottom"/>
          </w:tcPr>
          <w:p w14:paraId="766EF31C" w14:textId="77777777" w:rsidR="002A1181" w:rsidRPr="007B750E" w:rsidRDefault="002A1181" w:rsidP="002A1181">
            <w:pPr>
              <w:jc w:val="right"/>
              <w:rPr>
                <w:color w:val="000000"/>
                <w:sz w:val="16"/>
                <w:szCs w:val="16"/>
                <w:lang w:eastAsia="en-NZ"/>
              </w:rPr>
            </w:pPr>
          </w:p>
        </w:tc>
      </w:tr>
      <w:tr w:rsidR="002A1181" w:rsidRPr="003F15C0" w14:paraId="6CF2212D" w14:textId="77777777" w:rsidTr="005F3C25">
        <w:tc>
          <w:tcPr>
            <w:tcW w:w="5387" w:type="dxa"/>
            <w:shd w:val="clear" w:color="auto" w:fill="auto"/>
            <w:vAlign w:val="bottom"/>
          </w:tcPr>
          <w:p w14:paraId="32557D85" w14:textId="77777777" w:rsidR="002A1181" w:rsidRPr="007C6C78" w:rsidRDefault="002A1181" w:rsidP="002A1181">
            <w:pPr>
              <w:keepNext/>
              <w:spacing w:before="20"/>
              <w:ind w:left="176"/>
              <w:jc w:val="both"/>
              <w:rPr>
                <w:sz w:val="16"/>
                <w:szCs w:val="16"/>
              </w:rPr>
            </w:pPr>
            <w:r>
              <w:rPr>
                <w:sz w:val="16"/>
                <w:szCs w:val="16"/>
              </w:rPr>
              <w:t xml:space="preserve">Moderate (Score </w:t>
            </w:r>
            <w:r w:rsidRPr="007C6C78">
              <w:rPr>
                <w:sz w:val="16"/>
                <w:szCs w:val="16"/>
              </w:rPr>
              <w:t>6</w:t>
            </w:r>
            <w:r>
              <w:rPr>
                <w:sz w:val="16"/>
                <w:szCs w:val="16"/>
              </w:rPr>
              <w:t xml:space="preserve"> </w:t>
            </w:r>
            <w:r w:rsidRPr="007C6C78">
              <w:rPr>
                <w:sz w:val="16"/>
                <w:szCs w:val="16"/>
              </w:rPr>
              <w:t>-</w:t>
            </w:r>
            <w:r>
              <w:rPr>
                <w:sz w:val="16"/>
                <w:szCs w:val="16"/>
              </w:rPr>
              <w:t xml:space="preserve"> </w:t>
            </w:r>
            <w:r w:rsidRPr="007C6C78">
              <w:rPr>
                <w:sz w:val="16"/>
                <w:szCs w:val="16"/>
              </w:rPr>
              <w:t>11</w:t>
            </w:r>
            <w:r>
              <w:rPr>
                <w:sz w:val="16"/>
                <w:szCs w:val="16"/>
              </w:rPr>
              <w:t>)</w:t>
            </w:r>
          </w:p>
        </w:tc>
        <w:tc>
          <w:tcPr>
            <w:tcW w:w="992" w:type="dxa"/>
            <w:shd w:val="clear" w:color="auto" w:fill="auto"/>
            <w:vAlign w:val="bottom"/>
          </w:tcPr>
          <w:p w14:paraId="14BD3115" w14:textId="77777777" w:rsidR="002A1181" w:rsidRPr="007B750E" w:rsidRDefault="002A1181" w:rsidP="002A1181">
            <w:pPr>
              <w:jc w:val="right"/>
              <w:rPr>
                <w:color w:val="000000"/>
                <w:sz w:val="16"/>
                <w:szCs w:val="16"/>
                <w:lang w:eastAsia="en-NZ"/>
              </w:rPr>
            </w:pPr>
            <w:r w:rsidRPr="007B750E">
              <w:rPr>
                <w:color w:val="000000"/>
                <w:sz w:val="16"/>
                <w:szCs w:val="16"/>
                <w:lang w:eastAsia="en-NZ"/>
              </w:rPr>
              <w:t>5.31</w:t>
            </w:r>
          </w:p>
        </w:tc>
        <w:tc>
          <w:tcPr>
            <w:tcW w:w="1276" w:type="dxa"/>
            <w:shd w:val="clear" w:color="auto" w:fill="auto"/>
            <w:vAlign w:val="bottom"/>
          </w:tcPr>
          <w:p w14:paraId="3910BD55" w14:textId="77777777" w:rsidR="002A1181" w:rsidRPr="007B750E" w:rsidRDefault="002A1181" w:rsidP="002A1181">
            <w:pPr>
              <w:jc w:val="right"/>
              <w:rPr>
                <w:color w:val="000000"/>
                <w:sz w:val="16"/>
                <w:szCs w:val="16"/>
                <w:lang w:eastAsia="en-NZ"/>
              </w:rPr>
            </w:pPr>
            <w:r w:rsidRPr="007B750E">
              <w:rPr>
                <w:color w:val="000000"/>
                <w:sz w:val="16"/>
                <w:szCs w:val="16"/>
                <w:lang w:eastAsia="en-NZ"/>
              </w:rPr>
              <w:t>(3.42, 8.26)</w:t>
            </w:r>
          </w:p>
        </w:tc>
        <w:tc>
          <w:tcPr>
            <w:tcW w:w="850" w:type="dxa"/>
            <w:shd w:val="clear" w:color="auto" w:fill="auto"/>
            <w:vAlign w:val="bottom"/>
          </w:tcPr>
          <w:p w14:paraId="523C4363" w14:textId="77777777" w:rsidR="002A1181" w:rsidRPr="007B750E" w:rsidRDefault="002A1181" w:rsidP="002A1181">
            <w:pPr>
              <w:jc w:val="right"/>
              <w:rPr>
                <w:color w:val="000000"/>
                <w:sz w:val="16"/>
                <w:szCs w:val="16"/>
                <w:lang w:eastAsia="en-NZ"/>
              </w:rPr>
            </w:pPr>
          </w:p>
        </w:tc>
      </w:tr>
      <w:tr w:rsidR="002A1181" w:rsidRPr="003F15C0" w14:paraId="77A4292F" w14:textId="77777777" w:rsidTr="00826105">
        <w:tc>
          <w:tcPr>
            <w:tcW w:w="5387" w:type="dxa"/>
            <w:shd w:val="clear" w:color="auto" w:fill="auto"/>
            <w:vAlign w:val="bottom"/>
          </w:tcPr>
          <w:p w14:paraId="1FEFB0FD" w14:textId="77777777" w:rsidR="002A1181" w:rsidRPr="007C6C78" w:rsidRDefault="002A1181" w:rsidP="002A1181">
            <w:pPr>
              <w:keepNext/>
              <w:spacing w:before="20"/>
              <w:ind w:left="176"/>
              <w:jc w:val="both"/>
              <w:rPr>
                <w:sz w:val="16"/>
                <w:szCs w:val="16"/>
              </w:rPr>
            </w:pPr>
            <w:r>
              <w:rPr>
                <w:sz w:val="16"/>
                <w:szCs w:val="16"/>
              </w:rPr>
              <w:t xml:space="preserve">High (Score </w:t>
            </w:r>
            <w:r w:rsidRPr="007C6C78">
              <w:rPr>
                <w:sz w:val="16"/>
                <w:szCs w:val="16"/>
              </w:rPr>
              <w:t>12</w:t>
            </w:r>
            <w:r>
              <w:rPr>
                <w:sz w:val="16"/>
                <w:szCs w:val="16"/>
              </w:rPr>
              <w:t xml:space="preserve"> </w:t>
            </w:r>
            <w:r w:rsidRPr="007C6C78">
              <w:rPr>
                <w:sz w:val="16"/>
                <w:szCs w:val="16"/>
              </w:rPr>
              <w:t>-</w:t>
            </w:r>
            <w:r>
              <w:rPr>
                <w:sz w:val="16"/>
                <w:szCs w:val="16"/>
              </w:rPr>
              <w:t xml:space="preserve"> </w:t>
            </w:r>
            <w:r w:rsidRPr="007C6C78">
              <w:rPr>
                <w:sz w:val="16"/>
                <w:szCs w:val="16"/>
              </w:rPr>
              <w:t>19</w:t>
            </w:r>
            <w:r>
              <w:rPr>
                <w:sz w:val="16"/>
                <w:szCs w:val="16"/>
              </w:rPr>
              <w:t>)</w:t>
            </w:r>
          </w:p>
        </w:tc>
        <w:tc>
          <w:tcPr>
            <w:tcW w:w="992" w:type="dxa"/>
            <w:shd w:val="clear" w:color="auto" w:fill="auto"/>
            <w:vAlign w:val="bottom"/>
          </w:tcPr>
          <w:p w14:paraId="49659447" w14:textId="77777777" w:rsidR="002A1181" w:rsidRPr="007B750E" w:rsidRDefault="002A1181" w:rsidP="002A1181">
            <w:pPr>
              <w:jc w:val="right"/>
              <w:rPr>
                <w:color w:val="000000"/>
                <w:sz w:val="16"/>
                <w:szCs w:val="16"/>
                <w:lang w:eastAsia="en-NZ"/>
              </w:rPr>
            </w:pPr>
            <w:r w:rsidRPr="007B750E">
              <w:rPr>
                <w:color w:val="000000"/>
                <w:sz w:val="16"/>
                <w:szCs w:val="16"/>
                <w:lang w:eastAsia="en-NZ"/>
              </w:rPr>
              <w:t>14.89</w:t>
            </w:r>
          </w:p>
        </w:tc>
        <w:tc>
          <w:tcPr>
            <w:tcW w:w="1276" w:type="dxa"/>
            <w:shd w:val="clear" w:color="auto" w:fill="auto"/>
            <w:vAlign w:val="bottom"/>
          </w:tcPr>
          <w:p w14:paraId="58F654BD" w14:textId="77777777" w:rsidR="002A1181" w:rsidRPr="007B750E" w:rsidRDefault="002A1181" w:rsidP="002A1181">
            <w:pPr>
              <w:jc w:val="right"/>
              <w:rPr>
                <w:color w:val="000000"/>
                <w:sz w:val="16"/>
                <w:szCs w:val="16"/>
                <w:lang w:eastAsia="en-NZ"/>
              </w:rPr>
            </w:pPr>
            <w:r w:rsidRPr="007B750E">
              <w:rPr>
                <w:color w:val="000000"/>
                <w:sz w:val="16"/>
                <w:szCs w:val="16"/>
                <w:lang w:eastAsia="en-NZ"/>
              </w:rPr>
              <w:t>(7.05, 31.44)</w:t>
            </w:r>
          </w:p>
        </w:tc>
        <w:tc>
          <w:tcPr>
            <w:tcW w:w="850" w:type="dxa"/>
            <w:shd w:val="clear" w:color="auto" w:fill="auto"/>
            <w:vAlign w:val="bottom"/>
          </w:tcPr>
          <w:p w14:paraId="7D1DB48B" w14:textId="77777777" w:rsidR="002A1181" w:rsidRPr="007B750E" w:rsidRDefault="002A1181" w:rsidP="002A1181">
            <w:pPr>
              <w:jc w:val="right"/>
              <w:rPr>
                <w:color w:val="000000"/>
                <w:sz w:val="16"/>
                <w:szCs w:val="16"/>
                <w:lang w:eastAsia="en-NZ"/>
              </w:rPr>
            </w:pPr>
          </w:p>
        </w:tc>
      </w:tr>
      <w:tr w:rsidR="002A1181" w:rsidRPr="003F15C0" w14:paraId="1D948755" w14:textId="77777777" w:rsidTr="00826105">
        <w:tc>
          <w:tcPr>
            <w:tcW w:w="5387" w:type="dxa"/>
            <w:tcBorders>
              <w:bottom w:val="single" w:sz="4" w:space="0" w:color="auto"/>
            </w:tcBorders>
            <w:shd w:val="clear" w:color="auto" w:fill="auto"/>
            <w:vAlign w:val="bottom"/>
          </w:tcPr>
          <w:p w14:paraId="6FCCF778" w14:textId="77777777" w:rsidR="002A1181" w:rsidRPr="007C6C78" w:rsidRDefault="002A1181" w:rsidP="002A1181">
            <w:pPr>
              <w:spacing w:before="20"/>
              <w:ind w:left="176"/>
              <w:jc w:val="both"/>
              <w:rPr>
                <w:sz w:val="16"/>
                <w:szCs w:val="16"/>
              </w:rPr>
            </w:pPr>
            <w:r>
              <w:rPr>
                <w:sz w:val="16"/>
                <w:szCs w:val="16"/>
              </w:rPr>
              <w:t xml:space="preserve">Severe (Score </w:t>
            </w:r>
            <w:r w:rsidRPr="007C6C78">
              <w:rPr>
                <w:sz w:val="16"/>
                <w:szCs w:val="16"/>
              </w:rPr>
              <w:t>20</w:t>
            </w:r>
            <w:r>
              <w:rPr>
                <w:sz w:val="16"/>
                <w:szCs w:val="16"/>
              </w:rPr>
              <w:t xml:space="preserve"> </w:t>
            </w:r>
            <w:r w:rsidRPr="007C6C78">
              <w:rPr>
                <w:sz w:val="16"/>
                <w:szCs w:val="16"/>
              </w:rPr>
              <w:t>-</w:t>
            </w:r>
            <w:r>
              <w:rPr>
                <w:sz w:val="16"/>
                <w:szCs w:val="16"/>
              </w:rPr>
              <w:t xml:space="preserve"> </w:t>
            </w:r>
            <w:r w:rsidRPr="007C6C78">
              <w:rPr>
                <w:sz w:val="16"/>
                <w:szCs w:val="16"/>
              </w:rPr>
              <w:t>40</w:t>
            </w:r>
            <w:r>
              <w:rPr>
                <w:sz w:val="16"/>
                <w:szCs w:val="16"/>
              </w:rPr>
              <w:t>)</w:t>
            </w:r>
          </w:p>
        </w:tc>
        <w:tc>
          <w:tcPr>
            <w:tcW w:w="992" w:type="dxa"/>
            <w:tcBorders>
              <w:bottom w:val="single" w:sz="4" w:space="0" w:color="auto"/>
            </w:tcBorders>
            <w:shd w:val="clear" w:color="auto" w:fill="auto"/>
            <w:vAlign w:val="bottom"/>
          </w:tcPr>
          <w:p w14:paraId="253E9920" w14:textId="77777777" w:rsidR="002A1181" w:rsidRPr="007B750E" w:rsidRDefault="002A1181" w:rsidP="002A1181">
            <w:pPr>
              <w:jc w:val="right"/>
              <w:rPr>
                <w:color w:val="000000"/>
                <w:sz w:val="16"/>
                <w:szCs w:val="16"/>
                <w:lang w:eastAsia="en-NZ"/>
              </w:rPr>
            </w:pPr>
            <w:r w:rsidRPr="007B750E">
              <w:rPr>
                <w:color w:val="000000"/>
                <w:sz w:val="16"/>
                <w:szCs w:val="16"/>
                <w:lang w:eastAsia="en-NZ"/>
              </w:rPr>
              <w:t>2.24</w:t>
            </w:r>
          </w:p>
        </w:tc>
        <w:tc>
          <w:tcPr>
            <w:tcW w:w="1276" w:type="dxa"/>
            <w:tcBorders>
              <w:bottom w:val="single" w:sz="4" w:space="0" w:color="auto"/>
            </w:tcBorders>
            <w:shd w:val="clear" w:color="auto" w:fill="auto"/>
            <w:vAlign w:val="bottom"/>
          </w:tcPr>
          <w:p w14:paraId="6D853511" w14:textId="77777777" w:rsidR="002A1181" w:rsidRPr="007B750E" w:rsidRDefault="002A1181" w:rsidP="002A1181">
            <w:pPr>
              <w:jc w:val="right"/>
              <w:rPr>
                <w:color w:val="000000"/>
                <w:sz w:val="16"/>
                <w:szCs w:val="16"/>
                <w:lang w:eastAsia="en-NZ"/>
              </w:rPr>
            </w:pPr>
            <w:r w:rsidRPr="007B750E">
              <w:rPr>
                <w:color w:val="000000"/>
                <w:sz w:val="16"/>
                <w:szCs w:val="16"/>
                <w:lang w:eastAsia="en-NZ"/>
              </w:rPr>
              <w:t>(1.66, 3.02)</w:t>
            </w:r>
          </w:p>
        </w:tc>
        <w:tc>
          <w:tcPr>
            <w:tcW w:w="850" w:type="dxa"/>
            <w:tcBorders>
              <w:bottom w:val="single" w:sz="4" w:space="0" w:color="auto"/>
            </w:tcBorders>
            <w:shd w:val="clear" w:color="auto" w:fill="auto"/>
            <w:vAlign w:val="bottom"/>
          </w:tcPr>
          <w:p w14:paraId="2A51C237" w14:textId="77777777" w:rsidR="002A1181" w:rsidRPr="007B750E" w:rsidRDefault="002A1181" w:rsidP="002A1181">
            <w:pPr>
              <w:jc w:val="right"/>
              <w:rPr>
                <w:color w:val="000000"/>
                <w:sz w:val="16"/>
                <w:szCs w:val="16"/>
                <w:lang w:eastAsia="en-NZ"/>
              </w:rPr>
            </w:pPr>
            <w:r w:rsidRPr="007B750E">
              <w:rPr>
                <w:color w:val="000000"/>
                <w:sz w:val="16"/>
                <w:szCs w:val="16"/>
                <w:lang w:eastAsia="en-NZ"/>
              </w:rPr>
              <w:t>&lt;</w:t>
            </w:r>
            <w:r>
              <w:rPr>
                <w:color w:val="000000"/>
                <w:sz w:val="16"/>
                <w:szCs w:val="16"/>
                <w:lang w:eastAsia="en-NZ"/>
              </w:rPr>
              <w:t>0</w:t>
            </w:r>
            <w:r w:rsidRPr="007B750E">
              <w:rPr>
                <w:color w:val="000000"/>
                <w:sz w:val="16"/>
                <w:szCs w:val="16"/>
                <w:lang w:eastAsia="en-NZ"/>
              </w:rPr>
              <w:t>.0001</w:t>
            </w:r>
          </w:p>
        </w:tc>
      </w:tr>
      <w:tr w:rsidR="002A1181" w:rsidRPr="007C6C78" w14:paraId="4095117C" w14:textId="77777777" w:rsidTr="00826105">
        <w:tc>
          <w:tcPr>
            <w:tcW w:w="6379" w:type="dxa"/>
            <w:gridSpan w:val="2"/>
            <w:tcBorders>
              <w:top w:val="single" w:sz="4" w:space="0" w:color="auto"/>
            </w:tcBorders>
            <w:shd w:val="clear" w:color="auto" w:fill="auto"/>
            <w:vAlign w:val="center"/>
          </w:tcPr>
          <w:p w14:paraId="66188911" w14:textId="77777777" w:rsidR="002A1181" w:rsidRPr="007C6C78" w:rsidRDefault="002A1181" w:rsidP="00826105">
            <w:pPr>
              <w:keepNext/>
              <w:spacing w:before="20"/>
              <w:jc w:val="both"/>
              <w:rPr>
                <w:b/>
                <w:sz w:val="16"/>
                <w:szCs w:val="16"/>
              </w:rPr>
            </w:pPr>
            <w:r>
              <w:rPr>
                <w:b/>
                <w:sz w:val="16"/>
                <w:szCs w:val="16"/>
              </w:rPr>
              <w:t>Hazardous alcohol consumption (AUDIT-C)</w:t>
            </w:r>
          </w:p>
        </w:tc>
        <w:tc>
          <w:tcPr>
            <w:tcW w:w="1276" w:type="dxa"/>
            <w:tcBorders>
              <w:top w:val="single" w:sz="4" w:space="0" w:color="auto"/>
            </w:tcBorders>
            <w:shd w:val="clear" w:color="auto" w:fill="auto"/>
            <w:vAlign w:val="center"/>
          </w:tcPr>
          <w:p w14:paraId="564F2C10" w14:textId="77777777" w:rsidR="002A1181" w:rsidRPr="007C6C78" w:rsidRDefault="002A1181" w:rsidP="00826105">
            <w:pPr>
              <w:keepNext/>
              <w:spacing w:before="20"/>
              <w:jc w:val="both"/>
              <w:rPr>
                <w:b/>
                <w:sz w:val="16"/>
                <w:szCs w:val="16"/>
              </w:rPr>
            </w:pPr>
          </w:p>
        </w:tc>
        <w:tc>
          <w:tcPr>
            <w:tcW w:w="850" w:type="dxa"/>
            <w:tcBorders>
              <w:top w:val="single" w:sz="4" w:space="0" w:color="auto"/>
            </w:tcBorders>
            <w:shd w:val="clear" w:color="auto" w:fill="auto"/>
            <w:vAlign w:val="center"/>
          </w:tcPr>
          <w:p w14:paraId="365A4851" w14:textId="77777777" w:rsidR="002A1181" w:rsidRPr="007C6C78" w:rsidRDefault="002A1181" w:rsidP="00826105">
            <w:pPr>
              <w:keepNext/>
              <w:spacing w:before="20"/>
              <w:jc w:val="both"/>
              <w:rPr>
                <w:b/>
                <w:sz w:val="16"/>
                <w:szCs w:val="16"/>
              </w:rPr>
            </w:pPr>
          </w:p>
        </w:tc>
      </w:tr>
      <w:tr w:rsidR="002A1181" w:rsidRPr="003F15C0" w14:paraId="1D9065A9" w14:textId="77777777" w:rsidTr="00826105">
        <w:tc>
          <w:tcPr>
            <w:tcW w:w="5387" w:type="dxa"/>
            <w:shd w:val="clear" w:color="auto" w:fill="auto"/>
            <w:vAlign w:val="bottom"/>
          </w:tcPr>
          <w:p w14:paraId="31CC9585" w14:textId="77777777" w:rsidR="002A1181" w:rsidRPr="007C6C78" w:rsidRDefault="002A1181" w:rsidP="00826105">
            <w:pPr>
              <w:keepNext/>
              <w:spacing w:before="20"/>
              <w:ind w:left="176"/>
              <w:jc w:val="both"/>
              <w:rPr>
                <w:sz w:val="16"/>
                <w:szCs w:val="16"/>
              </w:rPr>
            </w:pPr>
            <w:r w:rsidRPr="007C6C78">
              <w:rPr>
                <w:sz w:val="16"/>
                <w:szCs w:val="16"/>
              </w:rPr>
              <w:t>No</w:t>
            </w:r>
          </w:p>
        </w:tc>
        <w:tc>
          <w:tcPr>
            <w:tcW w:w="992" w:type="dxa"/>
            <w:shd w:val="clear" w:color="auto" w:fill="auto"/>
            <w:vAlign w:val="bottom"/>
          </w:tcPr>
          <w:p w14:paraId="1090D022" w14:textId="77777777" w:rsidR="002A1181" w:rsidRPr="007B750E" w:rsidRDefault="002A1181" w:rsidP="00826105">
            <w:pPr>
              <w:keepNext/>
              <w:jc w:val="right"/>
              <w:rPr>
                <w:color w:val="000000"/>
                <w:sz w:val="16"/>
                <w:szCs w:val="16"/>
                <w:lang w:eastAsia="en-NZ"/>
              </w:rPr>
            </w:pPr>
            <w:r w:rsidRPr="007B750E">
              <w:rPr>
                <w:color w:val="000000"/>
                <w:sz w:val="16"/>
                <w:szCs w:val="16"/>
                <w:lang w:eastAsia="en-NZ"/>
              </w:rPr>
              <w:t>1.00</w:t>
            </w:r>
          </w:p>
        </w:tc>
        <w:tc>
          <w:tcPr>
            <w:tcW w:w="1276" w:type="dxa"/>
            <w:shd w:val="clear" w:color="auto" w:fill="auto"/>
            <w:vAlign w:val="bottom"/>
          </w:tcPr>
          <w:p w14:paraId="1E8D6066" w14:textId="77777777" w:rsidR="002A1181" w:rsidRPr="007B750E" w:rsidRDefault="002A1181" w:rsidP="00826105">
            <w:pPr>
              <w:keepNext/>
              <w:jc w:val="right"/>
              <w:rPr>
                <w:color w:val="000000"/>
                <w:sz w:val="16"/>
                <w:szCs w:val="16"/>
                <w:lang w:eastAsia="en-NZ"/>
              </w:rPr>
            </w:pPr>
          </w:p>
        </w:tc>
        <w:tc>
          <w:tcPr>
            <w:tcW w:w="850" w:type="dxa"/>
            <w:shd w:val="clear" w:color="auto" w:fill="auto"/>
            <w:vAlign w:val="bottom"/>
          </w:tcPr>
          <w:p w14:paraId="30B7FDCD" w14:textId="77777777" w:rsidR="002A1181" w:rsidRPr="007B750E" w:rsidRDefault="002A1181" w:rsidP="00826105">
            <w:pPr>
              <w:keepNext/>
              <w:jc w:val="right"/>
              <w:rPr>
                <w:color w:val="000000"/>
                <w:sz w:val="16"/>
                <w:szCs w:val="16"/>
                <w:lang w:eastAsia="en-NZ"/>
              </w:rPr>
            </w:pPr>
          </w:p>
        </w:tc>
      </w:tr>
      <w:tr w:rsidR="002A1181" w:rsidRPr="003F15C0" w14:paraId="3B9B5642" w14:textId="77777777" w:rsidTr="00826105">
        <w:tc>
          <w:tcPr>
            <w:tcW w:w="5387" w:type="dxa"/>
            <w:shd w:val="clear" w:color="auto" w:fill="auto"/>
            <w:vAlign w:val="bottom"/>
          </w:tcPr>
          <w:p w14:paraId="4798C31C" w14:textId="77777777" w:rsidR="002A1181" w:rsidRPr="007C6C78" w:rsidRDefault="002A1181" w:rsidP="00826105">
            <w:pPr>
              <w:keepNext/>
              <w:spacing w:before="20"/>
              <w:ind w:left="176"/>
              <w:jc w:val="both"/>
              <w:rPr>
                <w:sz w:val="16"/>
                <w:szCs w:val="16"/>
              </w:rPr>
            </w:pPr>
            <w:r w:rsidRPr="007C6C78">
              <w:rPr>
                <w:sz w:val="16"/>
                <w:szCs w:val="16"/>
              </w:rPr>
              <w:t>Yes</w:t>
            </w:r>
          </w:p>
        </w:tc>
        <w:tc>
          <w:tcPr>
            <w:tcW w:w="992" w:type="dxa"/>
            <w:shd w:val="clear" w:color="auto" w:fill="auto"/>
            <w:vAlign w:val="bottom"/>
          </w:tcPr>
          <w:p w14:paraId="4A81E449" w14:textId="77777777" w:rsidR="002A1181" w:rsidRPr="007B750E" w:rsidRDefault="002A1181" w:rsidP="00826105">
            <w:pPr>
              <w:keepNext/>
              <w:jc w:val="right"/>
              <w:rPr>
                <w:color w:val="000000"/>
                <w:sz w:val="16"/>
                <w:szCs w:val="16"/>
                <w:lang w:eastAsia="en-NZ"/>
              </w:rPr>
            </w:pPr>
            <w:r w:rsidRPr="007B750E">
              <w:rPr>
                <w:color w:val="000000"/>
                <w:sz w:val="16"/>
                <w:szCs w:val="16"/>
                <w:lang w:eastAsia="en-NZ"/>
              </w:rPr>
              <w:t>1.76</w:t>
            </w:r>
          </w:p>
        </w:tc>
        <w:tc>
          <w:tcPr>
            <w:tcW w:w="1276" w:type="dxa"/>
            <w:shd w:val="clear" w:color="auto" w:fill="auto"/>
            <w:vAlign w:val="bottom"/>
          </w:tcPr>
          <w:p w14:paraId="741F998F" w14:textId="77777777" w:rsidR="002A1181" w:rsidRPr="007B750E" w:rsidRDefault="002A1181" w:rsidP="00826105">
            <w:pPr>
              <w:keepNext/>
              <w:jc w:val="right"/>
              <w:rPr>
                <w:color w:val="000000"/>
                <w:sz w:val="16"/>
                <w:szCs w:val="16"/>
                <w:lang w:eastAsia="en-NZ"/>
              </w:rPr>
            </w:pPr>
            <w:r w:rsidRPr="007B750E">
              <w:rPr>
                <w:color w:val="000000"/>
                <w:sz w:val="16"/>
                <w:szCs w:val="16"/>
                <w:lang w:eastAsia="en-NZ"/>
              </w:rPr>
              <w:t>(1.30, 2.39)</w:t>
            </w:r>
          </w:p>
        </w:tc>
        <w:tc>
          <w:tcPr>
            <w:tcW w:w="850" w:type="dxa"/>
            <w:shd w:val="clear" w:color="auto" w:fill="auto"/>
            <w:vAlign w:val="bottom"/>
          </w:tcPr>
          <w:p w14:paraId="7B53095E" w14:textId="77777777" w:rsidR="002A1181" w:rsidRPr="007B750E" w:rsidRDefault="002A1181" w:rsidP="00826105">
            <w:pPr>
              <w:keepNext/>
              <w:jc w:val="right"/>
              <w:rPr>
                <w:color w:val="000000"/>
                <w:sz w:val="16"/>
                <w:szCs w:val="16"/>
                <w:lang w:eastAsia="en-NZ"/>
              </w:rPr>
            </w:pPr>
            <w:r w:rsidRPr="007B750E">
              <w:rPr>
                <w:color w:val="000000"/>
                <w:sz w:val="16"/>
                <w:szCs w:val="16"/>
                <w:lang w:eastAsia="en-NZ"/>
              </w:rPr>
              <w:t>0.0003</w:t>
            </w:r>
          </w:p>
        </w:tc>
      </w:tr>
      <w:tr w:rsidR="002A1181" w:rsidRPr="001A61F1" w14:paraId="5FEB9100" w14:textId="77777777" w:rsidTr="00826105">
        <w:tc>
          <w:tcPr>
            <w:tcW w:w="5387" w:type="dxa"/>
          </w:tcPr>
          <w:p w14:paraId="5148E63C" w14:textId="77777777" w:rsidR="002A1181" w:rsidRPr="007C6C78" w:rsidRDefault="002A1181" w:rsidP="002A1181">
            <w:pPr>
              <w:keepNext/>
              <w:spacing w:before="20"/>
              <w:jc w:val="both"/>
              <w:rPr>
                <w:b/>
                <w:sz w:val="16"/>
                <w:szCs w:val="16"/>
              </w:rPr>
            </w:pPr>
            <w:r w:rsidRPr="007C6C78">
              <w:rPr>
                <w:b/>
                <w:sz w:val="16"/>
                <w:szCs w:val="16"/>
              </w:rPr>
              <w:t>Uses drugs</w:t>
            </w:r>
          </w:p>
        </w:tc>
        <w:tc>
          <w:tcPr>
            <w:tcW w:w="992" w:type="dxa"/>
            <w:shd w:val="clear" w:color="auto" w:fill="auto"/>
            <w:vAlign w:val="center"/>
          </w:tcPr>
          <w:p w14:paraId="74B577D7" w14:textId="77777777" w:rsidR="002A1181" w:rsidRPr="00637CF2" w:rsidRDefault="002A1181" w:rsidP="002A1181">
            <w:pPr>
              <w:jc w:val="right"/>
              <w:rPr>
                <w:color w:val="000000"/>
                <w:sz w:val="16"/>
                <w:szCs w:val="16"/>
                <w:lang w:eastAsia="en-NZ"/>
              </w:rPr>
            </w:pPr>
          </w:p>
        </w:tc>
        <w:tc>
          <w:tcPr>
            <w:tcW w:w="1276" w:type="dxa"/>
            <w:shd w:val="clear" w:color="auto" w:fill="auto"/>
            <w:vAlign w:val="center"/>
          </w:tcPr>
          <w:p w14:paraId="70C37075" w14:textId="77777777" w:rsidR="002A1181" w:rsidRPr="00637CF2" w:rsidRDefault="002A1181" w:rsidP="002A1181">
            <w:pPr>
              <w:jc w:val="right"/>
              <w:rPr>
                <w:color w:val="000000"/>
                <w:sz w:val="16"/>
                <w:szCs w:val="16"/>
                <w:lang w:eastAsia="en-NZ"/>
              </w:rPr>
            </w:pPr>
          </w:p>
        </w:tc>
        <w:tc>
          <w:tcPr>
            <w:tcW w:w="850" w:type="dxa"/>
            <w:shd w:val="clear" w:color="auto" w:fill="auto"/>
            <w:vAlign w:val="center"/>
          </w:tcPr>
          <w:p w14:paraId="14BE345D" w14:textId="77777777" w:rsidR="002A1181" w:rsidRPr="00637CF2" w:rsidRDefault="002A1181" w:rsidP="002A1181">
            <w:pPr>
              <w:jc w:val="right"/>
              <w:rPr>
                <w:color w:val="000000"/>
                <w:sz w:val="16"/>
                <w:szCs w:val="16"/>
                <w:lang w:eastAsia="en-NZ"/>
              </w:rPr>
            </w:pPr>
          </w:p>
        </w:tc>
      </w:tr>
      <w:tr w:rsidR="002A1181" w:rsidRPr="001A61F1" w14:paraId="467BC5C3" w14:textId="77777777" w:rsidTr="005F3C25">
        <w:tc>
          <w:tcPr>
            <w:tcW w:w="5387" w:type="dxa"/>
          </w:tcPr>
          <w:p w14:paraId="6B269632" w14:textId="77777777" w:rsidR="002A1181" w:rsidRPr="001A61F1" w:rsidRDefault="002A1181" w:rsidP="002A1181">
            <w:pPr>
              <w:spacing w:before="20"/>
              <w:ind w:left="176"/>
              <w:jc w:val="both"/>
              <w:rPr>
                <w:sz w:val="16"/>
                <w:szCs w:val="16"/>
              </w:rPr>
            </w:pPr>
            <w:r>
              <w:rPr>
                <w:sz w:val="16"/>
                <w:szCs w:val="16"/>
              </w:rPr>
              <w:t>Yes</w:t>
            </w:r>
          </w:p>
        </w:tc>
        <w:tc>
          <w:tcPr>
            <w:tcW w:w="992" w:type="dxa"/>
            <w:shd w:val="clear" w:color="auto" w:fill="auto"/>
            <w:vAlign w:val="bottom"/>
          </w:tcPr>
          <w:p w14:paraId="425CFD44" w14:textId="77777777" w:rsidR="002A1181" w:rsidRPr="007B750E" w:rsidRDefault="002A1181" w:rsidP="002A1181">
            <w:pPr>
              <w:jc w:val="right"/>
              <w:rPr>
                <w:color w:val="000000"/>
                <w:sz w:val="16"/>
                <w:szCs w:val="16"/>
                <w:lang w:eastAsia="en-NZ"/>
              </w:rPr>
            </w:pPr>
            <w:r w:rsidRPr="007B750E">
              <w:rPr>
                <w:color w:val="000000"/>
                <w:sz w:val="16"/>
                <w:szCs w:val="16"/>
                <w:lang w:eastAsia="en-NZ"/>
              </w:rPr>
              <w:t>1.00</w:t>
            </w:r>
          </w:p>
        </w:tc>
        <w:tc>
          <w:tcPr>
            <w:tcW w:w="1276" w:type="dxa"/>
            <w:shd w:val="clear" w:color="auto" w:fill="auto"/>
            <w:vAlign w:val="bottom"/>
          </w:tcPr>
          <w:p w14:paraId="046CF259" w14:textId="77777777" w:rsidR="002A1181" w:rsidRPr="007B750E" w:rsidRDefault="002A1181" w:rsidP="002A1181">
            <w:pPr>
              <w:jc w:val="right"/>
              <w:rPr>
                <w:color w:val="000000"/>
                <w:sz w:val="16"/>
                <w:szCs w:val="16"/>
                <w:lang w:eastAsia="en-NZ"/>
              </w:rPr>
            </w:pPr>
          </w:p>
        </w:tc>
        <w:tc>
          <w:tcPr>
            <w:tcW w:w="850" w:type="dxa"/>
            <w:shd w:val="clear" w:color="auto" w:fill="auto"/>
            <w:vAlign w:val="bottom"/>
          </w:tcPr>
          <w:p w14:paraId="6299EF3C" w14:textId="77777777" w:rsidR="002A1181" w:rsidRPr="007B750E" w:rsidRDefault="002A1181" w:rsidP="002A1181">
            <w:pPr>
              <w:jc w:val="right"/>
              <w:rPr>
                <w:color w:val="000000"/>
                <w:sz w:val="16"/>
                <w:szCs w:val="16"/>
                <w:lang w:eastAsia="en-NZ"/>
              </w:rPr>
            </w:pPr>
          </w:p>
        </w:tc>
      </w:tr>
      <w:tr w:rsidR="002A1181" w:rsidRPr="001A61F1" w14:paraId="2D8D3E0A" w14:textId="77777777" w:rsidTr="00826105">
        <w:tc>
          <w:tcPr>
            <w:tcW w:w="5387" w:type="dxa"/>
          </w:tcPr>
          <w:p w14:paraId="155E9213" w14:textId="77777777" w:rsidR="002A1181" w:rsidRPr="001A61F1" w:rsidRDefault="002A1181" w:rsidP="002A1181">
            <w:pPr>
              <w:spacing w:before="20"/>
              <w:ind w:left="176"/>
              <w:jc w:val="both"/>
              <w:rPr>
                <w:sz w:val="16"/>
                <w:szCs w:val="16"/>
              </w:rPr>
            </w:pPr>
            <w:r>
              <w:rPr>
                <w:sz w:val="16"/>
                <w:szCs w:val="16"/>
              </w:rPr>
              <w:t>No</w:t>
            </w:r>
          </w:p>
        </w:tc>
        <w:tc>
          <w:tcPr>
            <w:tcW w:w="992" w:type="dxa"/>
            <w:shd w:val="clear" w:color="auto" w:fill="auto"/>
            <w:vAlign w:val="bottom"/>
          </w:tcPr>
          <w:p w14:paraId="68169A46" w14:textId="77777777" w:rsidR="002A1181" w:rsidRPr="007B750E" w:rsidRDefault="002A1181" w:rsidP="002A1181">
            <w:pPr>
              <w:jc w:val="right"/>
              <w:rPr>
                <w:color w:val="000000"/>
                <w:sz w:val="16"/>
                <w:szCs w:val="16"/>
                <w:lang w:eastAsia="en-NZ"/>
              </w:rPr>
            </w:pPr>
            <w:r w:rsidRPr="007B750E">
              <w:rPr>
                <w:color w:val="000000"/>
                <w:sz w:val="16"/>
                <w:szCs w:val="16"/>
                <w:lang w:eastAsia="en-NZ"/>
              </w:rPr>
              <w:t>0.36</w:t>
            </w:r>
          </w:p>
        </w:tc>
        <w:tc>
          <w:tcPr>
            <w:tcW w:w="1276" w:type="dxa"/>
            <w:shd w:val="clear" w:color="auto" w:fill="auto"/>
            <w:vAlign w:val="bottom"/>
          </w:tcPr>
          <w:p w14:paraId="4629522F" w14:textId="77777777" w:rsidR="002A1181" w:rsidRPr="007B750E" w:rsidRDefault="002A1181" w:rsidP="002A1181">
            <w:pPr>
              <w:jc w:val="right"/>
              <w:rPr>
                <w:color w:val="000000"/>
                <w:sz w:val="16"/>
                <w:szCs w:val="16"/>
                <w:lang w:eastAsia="en-NZ"/>
              </w:rPr>
            </w:pPr>
            <w:r w:rsidRPr="007B750E">
              <w:rPr>
                <w:color w:val="000000"/>
                <w:sz w:val="16"/>
                <w:szCs w:val="16"/>
                <w:lang w:eastAsia="en-NZ"/>
              </w:rPr>
              <w:t>(0.24, 0.53)</w:t>
            </w:r>
          </w:p>
        </w:tc>
        <w:tc>
          <w:tcPr>
            <w:tcW w:w="850" w:type="dxa"/>
            <w:shd w:val="clear" w:color="auto" w:fill="auto"/>
            <w:vAlign w:val="bottom"/>
          </w:tcPr>
          <w:p w14:paraId="3A42BE59" w14:textId="77777777" w:rsidR="002A1181" w:rsidRPr="007B750E" w:rsidRDefault="002A1181" w:rsidP="002A1181">
            <w:pPr>
              <w:jc w:val="right"/>
              <w:rPr>
                <w:color w:val="000000"/>
                <w:sz w:val="16"/>
                <w:szCs w:val="16"/>
                <w:lang w:eastAsia="en-NZ"/>
              </w:rPr>
            </w:pPr>
            <w:r w:rsidRPr="007B750E">
              <w:rPr>
                <w:color w:val="000000"/>
                <w:sz w:val="16"/>
                <w:szCs w:val="16"/>
                <w:lang w:eastAsia="en-NZ"/>
              </w:rPr>
              <w:t>&lt;</w:t>
            </w:r>
            <w:r>
              <w:rPr>
                <w:color w:val="000000"/>
                <w:sz w:val="16"/>
                <w:szCs w:val="16"/>
                <w:lang w:eastAsia="en-NZ"/>
              </w:rPr>
              <w:t>0</w:t>
            </w:r>
            <w:r w:rsidRPr="007B750E">
              <w:rPr>
                <w:color w:val="000000"/>
                <w:sz w:val="16"/>
                <w:szCs w:val="16"/>
                <w:lang w:eastAsia="en-NZ"/>
              </w:rPr>
              <w:t>.0001</w:t>
            </w:r>
          </w:p>
        </w:tc>
      </w:tr>
      <w:tr w:rsidR="002A1181" w:rsidRPr="001A61F1" w14:paraId="6CB8DCEA" w14:textId="77777777" w:rsidTr="005F3C25">
        <w:tc>
          <w:tcPr>
            <w:tcW w:w="5387" w:type="dxa"/>
          </w:tcPr>
          <w:p w14:paraId="1E91DA14" w14:textId="77777777" w:rsidR="002A1181" w:rsidRPr="007C6C78" w:rsidRDefault="002A1181" w:rsidP="002A1181">
            <w:pPr>
              <w:keepNext/>
              <w:spacing w:before="20"/>
              <w:jc w:val="both"/>
              <w:rPr>
                <w:b/>
                <w:sz w:val="16"/>
                <w:szCs w:val="16"/>
              </w:rPr>
            </w:pPr>
            <w:r w:rsidRPr="007C6C78">
              <w:rPr>
                <w:b/>
                <w:sz w:val="16"/>
                <w:szCs w:val="16"/>
              </w:rPr>
              <w:t>Cannabis</w:t>
            </w:r>
          </w:p>
        </w:tc>
        <w:tc>
          <w:tcPr>
            <w:tcW w:w="992" w:type="dxa"/>
            <w:shd w:val="clear" w:color="auto" w:fill="auto"/>
            <w:vAlign w:val="center"/>
          </w:tcPr>
          <w:p w14:paraId="5C67FFF0" w14:textId="77777777" w:rsidR="002A1181" w:rsidRPr="00637CF2" w:rsidRDefault="002A1181" w:rsidP="002A1181">
            <w:pPr>
              <w:jc w:val="right"/>
              <w:rPr>
                <w:color w:val="000000"/>
                <w:sz w:val="16"/>
                <w:szCs w:val="16"/>
                <w:lang w:eastAsia="en-NZ"/>
              </w:rPr>
            </w:pPr>
          </w:p>
        </w:tc>
        <w:tc>
          <w:tcPr>
            <w:tcW w:w="1276" w:type="dxa"/>
            <w:shd w:val="clear" w:color="auto" w:fill="auto"/>
            <w:vAlign w:val="center"/>
          </w:tcPr>
          <w:p w14:paraId="1CD28FC1" w14:textId="77777777" w:rsidR="002A1181" w:rsidRPr="00637CF2" w:rsidRDefault="002A1181" w:rsidP="002A1181">
            <w:pPr>
              <w:jc w:val="right"/>
              <w:rPr>
                <w:color w:val="000000"/>
                <w:sz w:val="16"/>
                <w:szCs w:val="16"/>
                <w:lang w:eastAsia="en-NZ"/>
              </w:rPr>
            </w:pPr>
          </w:p>
        </w:tc>
        <w:tc>
          <w:tcPr>
            <w:tcW w:w="850" w:type="dxa"/>
            <w:shd w:val="clear" w:color="auto" w:fill="auto"/>
            <w:vAlign w:val="center"/>
          </w:tcPr>
          <w:p w14:paraId="54E1925D" w14:textId="77777777" w:rsidR="002A1181" w:rsidRPr="00637CF2" w:rsidRDefault="002A1181" w:rsidP="002A1181">
            <w:pPr>
              <w:jc w:val="right"/>
              <w:rPr>
                <w:color w:val="000000"/>
                <w:sz w:val="16"/>
                <w:szCs w:val="16"/>
                <w:lang w:eastAsia="en-NZ"/>
              </w:rPr>
            </w:pPr>
          </w:p>
        </w:tc>
      </w:tr>
      <w:tr w:rsidR="002A1181" w:rsidRPr="001A61F1" w14:paraId="4EC268EF" w14:textId="77777777" w:rsidTr="005F3C25">
        <w:tc>
          <w:tcPr>
            <w:tcW w:w="5387" w:type="dxa"/>
          </w:tcPr>
          <w:p w14:paraId="0AFFE2C4" w14:textId="77777777" w:rsidR="002A1181" w:rsidRPr="001A61F1" w:rsidRDefault="002A1181" w:rsidP="002A1181">
            <w:pPr>
              <w:spacing w:before="20"/>
              <w:ind w:left="176"/>
              <w:jc w:val="both"/>
              <w:rPr>
                <w:sz w:val="16"/>
                <w:szCs w:val="16"/>
              </w:rPr>
            </w:pPr>
            <w:r>
              <w:rPr>
                <w:sz w:val="16"/>
                <w:szCs w:val="16"/>
              </w:rPr>
              <w:t>No</w:t>
            </w:r>
          </w:p>
        </w:tc>
        <w:tc>
          <w:tcPr>
            <w:tcW w:w="992" w:type="dxa"/>
            <w:shd w:val="clear" w:color="auto" w:fill="auto"/>
            <w:vAlign w:val="bottom"/>
          </w:tcPr>
          <w:p w14:paraId="15AB2018" w14:textId="77777777" w:rsidR="002A1181" w:rsidRPr="007B750E" w:rsidRDefault="002A1181" w:rsidP="002A1181">
            <w:pPr>
              <w:jc w:val="right"/>
              <w:rPr>
                <w:color w:val="000000"/>
                <w:sz w:val="16"/>
                <w:szCs w:val="16"/>
                <w:lang w:eastAsia="en-NZ"/>
              </w:rPr>
            </w:pPr>
            <w:r w:rsidRPr="007B750E">
              <w:rPr>
                <w:color w:val="000000"/>
                <w:sz w:val="16"/>
                <w:szCs w:val="16"/>
                <w:lang w:eastAsia="en-NZ"/>
              </w:rPr>
              <w:t>1.00</w:t>
            </w:r>
          </w:p>
        </w:tc>
        <w:tc>
          <w:tcPr>
            <w:tcW w:w="1276" w:type="dxa"/>
            <w:shd w:val="clear" w:color="auto" w:fill="auto"/>
            <w:vAlign w:val="bottom"/>
          </w:tcPr>
          <w:p w14:paraId="60FAF69C" w14:textId="77777777" w:rsidR="002A1181" w:rsidRPr="007B750E" w:rsidRDefault="002A1181" w:rsidP="002A1181">
            <w:pPr>
              <w:jc w:val="right"/>
              <w:rPr>
                <w:color w:val="000000"/>
                <w:sz w:val="16"/>
                <w:szCs w:val="16"/>
                <w:lang w:eastAsia="en-NZ"/>
              </w:rPr>
            </w:pPr>
          </w:p>
        </w:tc>
        <w:tc>
          <w:tcPr>
            <w:tcW w:w="850" w:type="dxa"/>
            <w:shd w:val="clear" w:color="auto" w:fill="auto"/>
            <w:vAlign w:val="bottom"/>
          </w:tcPr>
          <w:p w14:paraId="16D399DD" w14:textId="77777777" w:rsidR="002A1181" w:rsidRPr="007B750E" w:rsidRDefault="002A1181" w:rsidP="002A1181">
            <w:pPr>
              <w:jc w:val="right"/>
              <w:rPr>
                <w:color w:val="000000"/>
                <w:sz w:val="16"/>
                <w:szCs w:val="16"/>
                <w:lang w:eastAsia="en-NZ"/>
              </w:rPr>
            </w:pPr>
          </w:p>
        </w:tc>
      </w:tr>
      <w:tr w:rsidR="002A1181" w:rsidRPr="001A61F1" w14:paraId="19EBDFD2" w14:textId="77777777" w:rsidTr="00826105">
        <w:tc>
          <w:tcPr>
            <w:tcW w:w="5387" w:type="dxa"/>
          </w:tcPr>
          <w:p w14:paraId="134074C4" w14:textId="77777777" w:rsidR="002A1181" w:rsidRPr="001A61F1" w:rsidRDefault="002A1181" w:rsidP="002A1181">
            <w:pPr>
              <w:spacing w:before="20"/>
              <w:ind w:left="176"/>
              <w:jc w:val="both"/>
              <w:rPr>
                <w:sz w:val="16"/>
                <w:szCs w:val="16"/>
              </w:rPr>
            </w:pPr>
            <w:r>
              <w:rPr>
                <w:sz w:val="16"/>
                <w:szCs w:val="16"/>
              </w:rPr>
              <w:t>Yes</w:t>
            </w:r>
          </w:p>
        </w:tc>
        <w:tc>
          <w:tcPr>
            <w:tcW w:w="992" w:type="dxa"/>
            <w:shd w:val="clear" w:color="auto" w:fill="auto"/>
            <w:vAlign w:val="bottom"/>
          </w:tcPr>
          <w:p w14:paraId="2ACC31CF" w14:textId="77777777" w:rsidR="002A1181" w:rsidRPr="007B750E" w:rsidRDefault="002A1181" w:rsidP="002A1181">
            <w:pPr>
              <w:jc w:val="right"/>
              <w:rPr>
                <w:color w:val="000000"/>
                <w:sz w:val="16"/>
                <w:szCs w:val="16"/>
                <w:lang w:eastAsia="en-NZ"/>
              </w:rPr>
            </w:pPr>
            <w:r w:rsidRPr="007B750E">
              <w:rPr>
                <w:color w:val="000000"/>
                <w:sz w:val="16"/>
                <w:szCs w:val="16"/>
                <w:lang w:eastAsia="en-NZ"/>
              </w:rPr>
              <w:t>3.41</w:t>
            </w:r>
          </w:p>
        </w:tc>
        <w:tc>
          <w:tcPr>
            <w:tcW w:w="1276" w:type="dxa"/>
            <w:shd w:val="clear" w:color="auto" w:fill="auto"/>
            <w:vAlign w:val="bottom"/>
          </w:tcPr>
          <w:p w14:paraId="769FAB49" w14:textId="77777777" w:rsidR="002A1181" w:rsidRPr="007B750E" w:rsidRDefault="002A1181" w:rsidP="002A1181">
            <w:pPr>
              <w:jc w:val="right"/>
              <w:rPr>
                <w:color w:val="000000"/>
                <w:sz w:val="16"/>
                <w:szCs w:val="16"/>
                <w:lang w:eastAsia="en-NZ"/>
              </w:rPr>
            </w:pPr>
            <w:r w:rsidRPr="007B750E">
              <w:rPr>
                <w:color w:val="000000"/>
                <w:sz w:val="16"/>
                <w:szCs w:val="16"/>
                <w:lang w:eastAsia="en-NZ"/>
              </w:rPr>
              <w:t>(2.23, 5.20)</w:t>
            </w:r>
          </w:p>
        </w:tc>
        <w:tc>
          <w:tcPr>
            <w:tcW w:w="850" w:type="dxa"/>
            <w:shd w:val="clear" w:color="auto" w:fill="auto"/>
            <w:vAlign w:val="bottom"/>
          </w:tcPr>
          <w:p w14:paraId="667B0E99" w14:textId="77777777" w:rsidR="002A1181" w:rsidRPr="007B750E" w:rsidRDefault="002A1181" w:rsidP="002A1181">
            <w:pPr>
              <w:jc w:val="right"/>
              <w:rPr>
                <w:color w:val="000000"/>
                <w:sz w:val="16"/>
                <w:szCs w:val="16"/>
                <w:lang w:eastAsia="en-NZ"/>
              </w:rPr>
            </w:pPr>
            <w:r w:rsidRPr="007B750E">
              <w:rPr>
                <w:color w:val="000000"/>
                <w:sz w:val="16"/>
                <w:szCs w:val="16"/>
                <w:lang w:eastAsia="en-NZ"/>
              </w:rPr>
              <w:t>&lt;</w:t>
            </w:r>
            <w:r>
              <w:rPr>
                <w:color w:val="000000"/>
                <w:sz w:val="16"/>
                <w:szCs w:val="16"/>
                <w:lang w:eastAsia="en-NZ"/>
              </w:rPr>
              <w:t>0</w:t>
            </w:r>
            <w:r w:rsidRPr="007B750E">
              <w:rPr>
                <w:color w:val="000000"/>
                <w:sz w:val="16"/>
                <w:szCs w:val="16"/>
                <w:lang w:eastAsia="en-NZ"/>
              </w:rPr>
              <w:t>.0001</w:t>
            </w:r>
          </w:p>
        </w:tc>
      </w:tr>
      <w:tr w:rsidR="002A1181" w:rsidRPr="001A61F1" w14:paraId="079573AE" w14:textId="77777777" w:rsidTr="005F3C25">
        <w:tc>
          <w:tcPr>
            <w:tcW w:w="6379" w:type="dxa"/>
            <w:gridSpan w:val="2"/>
          </w:tcPr>
          <w:p w14:paraId="08F645C5" w14:textId="77777777" w:rsidR="002A1181" w:rsidRPr="00637CF2" w:rsidRDefault="002A1181" w:rsidP="002A1181">
            <w:pPr>
              <w:rPr>
                <w:color w:val="000000"/>
                <w:sz w:val="16"/>
                <w:szCs w:val="16"/>
                <w:lang w:eastAsia="en-NZ"/>
              </w:rPr>
            </w:pPr>
            <w:r w:rsidRPr="00931D58">
              <w:rPr>
                <w:b/>
                <w:sz w:val="16"/>
                <w:szCs w:val="16"/>
              </w:rPr>
              <w:t>Ever smoked more than 100 cigarettes in lifetime</w:t>
            </w:r>
          </w:p>
        </w:tc>
        <w:tc>
          <w:tcPr>
            <w:tcW w:w="1276" w:type="dxa"/>
            <w:shd w:val="clear" w:color="auto" w:fill="auto"/>
            <w:vAlign w:val="center"/>
          </w:tcPr>
          <w:p w14:paraId="6ADF5F2B" w14:textId="77777777" w:rsidR="002A1181" w:rsidRPr="00637CF2" w:rsidRDefault="002A1181" w:rsidP="002A1181">
            <w:pPr>
              <w:jc w:val="right"/>
              <w:rPr>
                <w:color w:val="000000"/>
                <w:sz w:val="16"/>
                <w:szCs w:val="16"/>
                <w:lang w:eastAsia="en-NZ"/>
              </w:rPr>
            </w:pPr>
          </w:p>
        </w:tc>
        <w:tc>
          <w:tcPr>
            <w:tcW w:w="850" w:type="dxa"/>
            <w:shd w:val="clear" w:color="auto" w:fill="auto"/>
            <w:vAlign w:val="center"/>
          </w:tcPr>
          <w:p w14:paraId="1652F533" w14:textId="77777777" w:rsidR="002A1181" w:rsidRPr="00637CF2" w:rsidRDefault="002A1181" w:rsidP="002A1181">
            <w:pPr>
              <w:jc w:val="right"/>
              <w:rPr>
                <w:color w:val="000000"/>
                <w:sz w:val="16"/>
                <w:szCs w:val="16"/>
                <w:lang w:eastAsia="en-NZ"/>
              </w:rPr>
            </w:pPr>
          </w:p>
        </w:tc>
      </w:tr>
      <w:tr w:rsidR="002A1181" w:rsidRPr="001A61F1" w14:paraId="7DDF219F" w14:textId="77777777" w:rsidTr="005F3C25">
        <w:tc>
          <w:tcPr>
            <w:tcW w:w="5387" w:type="dxa"/>
          </w:tcPr>
          <w:p w14:paraId="0B839F00" w14:textId="77777777" w:rsidR="002A1181" w:rsidRPr="001A61F1" w:rsidRDefault="002A1181" w:rsidP="002A1181">
            <w:pPr>
              <w:spacing w:before="20"/>
              <w:ind w:left="176"/>
              <w:jc w:val="both"/>
              <w:rPr>
                <w:sz w:val="16"/>
                <w:szCs w:val="16"/>
              </w:rPr>
            </w:pPr>
            <w:r>
              <w:rPr>
                <w:sz w:val="16"/>
                <w:szCs w:val="16"/>
              </w:rPr>
              <w:t>No</w:t>
            </w:r>
          </w:p>
        </w:tc>
        <w:tc>
          <w:tcPr>
            <w:tcW w:w="992" w:type="dxa"/>
            <w:shd w:val="clear" w:color="auto" w:fill="auto"/>
            <w:vAlign w:val="bottom"/>
          </w:tcPr>
          <w:p w14:paraId="53776CBC" w14:textId="77777777" w:rsidR="002A1181" w:rsidRPr="007B750E" w:rsidRDefault="002A1181" w:rsidP="002A1181">
            <w:pPr>
              <w:jc w:val="right"/>
              <w:rPr>
                <w:color w:val="000000"/>
                <w:sz w:val="16"/>
                <w:szCs w:val="16"/>
                <w:lang w:eastAsia="en-NZ"/>
              </w:rPr>
            </w:pPr>
            <w:r w:rsidRPr="007B750E">
              <w:rPr>
                <w:color w:val="000000"/>
                <w:sz w:val="16"/>
                <w:szCs w:val="16"/>
                <w:lang w:eastAsia="en-NZ"/>
              </w:rPr>
              <w:t>1.00</w:t>
            </w:r>
          </w:p>
        </w:tc>
        <w:tc>
          <w:tcPr>
            <w:tcW w:w="1276" w:type="dxa"/>
            <w:shd w:val="clear" w:color="auto" w:fill="auto"/>
            <w:vAlign w:val="bottom"/>
          </w:tcPr>
          <w:p w14:paraId="279348CE" w14:textId="77777777" w:rsidR="002A1181" w:rsidRPr="007B750E" w:rsidRDefault="002A1181" w:rsidP="002A1181">
            <w:pPr>
              <w:jc w:val="right"/>
              <w:rPr>
                <w:color w:val="000000"/>
                <w:sz w:val="16"/>
                <w:szCs w:val="16"/>
                <w:lang w:eastAsia="en-NZ"/>
              </w:rPr>
            </w:pPr>
          </w:p>
        </w:tc>
        <w:tc>
          <w:tcPr>
            <w:tcW w:w="850" w:type="dxa"/>
            <w:shd w:val="clear" w:color="auto" w:fill="auto"/>
            <w:vAlign w:val="bottom"/>
          </w:tcPr>
          <w:p w14:paraId="585CDEE0" w14:textId="77777777" w:rsidR="002A1181" w:rsidRPr="006D17BA" w:rsidRDefault="002A1181" w:rsidP="002A1181">
            <w:pPr>
              <w:jc w:val="center"/>
              <w:rPr>
                <w:szCs w:val="20"/>
                <w:lang w:eastAsia="en-NZ"/>
              </w:rPr>
            </w:pPr>
          </w:p>
        </w:tc>
      </w:tr>
      <w:tr w:rsidR="002A1181" w:rsidRPr="001A61F1" w14:paraId="40F33F87" w14:textId="77777777" w:rsidTr="00826105">
        <w:tc>
          <w:tcPr>
            <w:tcW w:w="5387" w:type="dxa"/>
          </w:tcPr>
          <w:p w14:paraId="7419C054" w14:textId="77777777" w:rsidR="002A1181" w:rsidRPr="001A61F1" w:rsidRDefault="002A1181" w:rsidP="002A1181">
            <w:pPr>
              <w:spacing w:before="20"/>
              <w:ind w:left="176"/>
              <w:jc w:val="both"/>
              <w:rPr>
                <w:sz w:val="16"/>
                <w:szCs w:val="16"/>
              </w:rPr>
            </w:pPr>
            <w:r>
              <w:rPr>
                <w:sz w:val="16"/>
                <w:szCs w:val="16"/>
              </w:rPr>
              <w:t>Yes</w:t>
            </w:r>
          </w:p>
        </w:tc>
        <w:tc>
          <w:tcPr>
            <w:tcW w:w="992" w:type="dxa"/>
            <w:shd w:val="clear" w:color="auto" w:fill="auto"/>
            <w:vAlign w:val="bottom"/>
          </w:tcPr>
          <w:p w14:paraId="1AF44231" w14:textId="77777777" w:rsidR="002A1181" w:rsidRPr="007B750E" w:rsidRDefault="002A1181" w:rsidP="002A1181">
            <w:pPr>
              <w:jc w:val="right"/>
              <w:rPr>
                <w:color w:val="000000"/>
                <w:sz w:val="16"/>
                <w:szCs w:val="16"/>
                <w:lang w:eastAsia="en-NZ"/>
              </w:rPr>
            </w:pPr>
            <w:r w:rsidRPr="007B750E">
              <w:rPr>
                <w:color w:val="000000"/>
                <w:sz w:val="16"/>
                <w:szCs w:val="16"/>
                <w:lang w:eastAsia="en-NZ"/>
              </w:rPr>
              <w:t>1.95</w:t>
            </w:r>
          </w:p>
        </w:tc>
        <w:tc>
          <w:tcPr>
            <w:tcW w:w="1276" w:type="dxa"/>
            <w:shd w:val="clear" w:color="auto" w:fill="auto"/>
            <w:vAlign w:val="bottom"/>
          </w:tcPr>
          <w:p w14:paraId="279C0607" w14:textId="77777777" w:rsidR="002A1181" w:rsidRPr="007B750E" w:rsidRDefault="002A1181" w:rsidP="002A1181">
            <w:pPr>
              <w:jc w:val="right"/>
              <w:rPr>
                <w:color w:val="000000"/>
                <w:sz w:val="16"/>
                <w:szCs w:val="16"/>
                <w:lang w:eastAsia="en-NZ"/>
              </w:rPr>
            </w:pPr>
            <w:r w:rsidRPr="007B750E">
              <w:rPr>
                <w:color w:val="000000"/>
                <w:sz w:val="16"/>
                <w:szCs w:val="16"/>
                <w:lang w:eastAsia="en-NZ"/>
              </w:rPr>
              <w:t>(1.39, 2.75)</w:t>
            </w:r>
          </w:p>
        </w:tc>
        <w:tc>
          <w:tcPr>
            <w:tcW w:w="850" w:type="dxa"/>
            <w:shd w:val="clear" w:color="auto" w:fill="auto"/>
            <w:vAlign w:val="bottom"/>
          </w:tcPr>
          <w:p w14:paraId="27A0052C" w14:textId="77777777" w:rsidR="002A1181" w:rsidRPr="007B750E" w:rsidRDefault="002A1181" w:rsidP="002A1181">
            <w:pPr>
              <w:jc w:val="right"/>
              <w:rPr>
                <w:color w:val="000000"/>
                <w:sz w:val="16"/>
                <w:szCs w:val="16"/>
                <w:lang w:eastAsia="en-NZ"/>
              </w:rPr>
            </w:pPr>
            <w:r w:rsidRPr="007B750E">
              <w:rPr>
                <w:color w:val="000000"/>
                <w:sz w:val="16"/>
                <w:szCs w:val="16"/>
                <w:lang w:eastAsia="en-NZ"/>
              </w:rPr>
              <w:t>0.0001</w:t>
            </w:r>
          </w:p>
        </w:tc>
      </w:tr>
      <w:tr w:rsidR="002A1181" w:rsidRPr="001A61F1" w14:paraId="307A4676" w14:textId="77777777" w:rsidTr="005F3C25">
        <w:tc>
          <w:tcPr>
            <w:tcW w:w="5387" w:type="dxa"/>
          </w:tcPr>
          <w:p w14:paraId="4ED8F004" w14:textId="77777777" w:rsidR="002A1181" w:rsidRPr="00931D58" w:rsidRDefault="002A1181" w:rsidP="002A1181">
            <w:pPr>
              <w:rPr>
                <w:b/>
                <w:sz w:val="16"/>
                <w:szCs w:val="16"/>
              </w:rPr>
            </w:pPr>
            <w:r w:rsidRPr="00931D58">
              <w:rPr>
                <w:b/>
                <w:sz w:val="16"/>
                <w:szCs w:val="16"/>
              </w:rPr>
              <w:t>Ever smoked daily for a period of time</w:t>
            </w:r>
          </w:p>
        </w:tc>
        <w:tc>
          <w:tcPr>
            <w:tcW w:w="992" w:type="dxa"/>
            <w:shd w:val="clear" w:color="auto" w:fill="auto"/>
            <w:vAlign w:val="center"/>
          </w:tcPr>
          <w:p w14:paraId="737C985A" w14:textId="77777777" w:rsidR="002A1181" w:rsidRPr="00637CF2" w:rsidRDefault="002A1181" w:rsidP="002A1181">
            <w:pPr>
              <w:jc w:val="right"/>
              <w:rPr>
                <w:color w:val="000000"/>
                <w:sz w:val="16"/>
                <w:szCs w:val="16"/>
                <w:lang w:eastAsia="en-NZ"/>
              </w:rPr>
            </w:pPr>
          </w:p>
        </w:tc>
        <w:tc>
          <w:tcPr>
            <w:tcW w:w="1276" w:type="dxa"/>
            <w:shd w:val="clear" w:color="auto" w:fill="auto"/>
            <w:vAlign w:val="center"/>
          </w:tcPr>
          <w:p w14:paraId="0DED98CE" w14:textId="77777777" w:rsidR="002A1181" w:rsidRPr="00637CF2" w:rsidRDefault="002A1181" w:rsidP="002A1181">
            <w:pPr>
              <w:jc w:val="right"/>
              <w:rPr>
                <w:color w:val="000000"/>
                <w:sz w:val="16"/>
                <w:szCs w:val="16"/>
                <w:lang w:eastAsia="en-NZ"/>
              </w:rPr>
            </w:pPr>
          </w:p>
        </w:tc>
        <w:tc>
          <w:tcPr>
            <w:tcW w:w="850" w:type="dxa"/>
            <w:shd w:val="clear" w:color="auto" w:fill="auto"/>
            <w:vAlign w:val="center"/>
          </w:tcPr>
          <w:p w14:paraId="6F0BBDB9" w14:textId="77777777" w:rsidR="002A1181" w:rsidRPr="00637CF2" w:rsidRDefault="002A1181" w:rsidP="002A1181">
            <w:pPr>
              <w:jc w:val="right"/>
              <w:rPr>
                <w:color w:val="000000"/>
                <w:sz w:val="16"/>
                <w:szCs w:val="16"/>
                <w:lang w:eastAsia="en-NZ"/>
              </w:rPr>
            </w:pPr>
          </w:p>
        </w:tc>
      </w:tr>
      <w:tr w:rsidR="002A1181" w:rsidRPr="001A61F1" w14:paraId="3B8E5ED9" w14:textId="77777777" w:rsidTr="005F3C25">
        <w:tc>
          <w:tcPr>
            <w:tcW w:w="5387" w:type="dxa"/>
          </w:tcPr>
          <w:p w14:paraId="5DEDF834" w14:textId="77777777" w:rsidR="002A1181" w:rsidRPr="001A61F1" w:rsidRDefault="002A1181" w:rsidP="002A1181">
            <w:pPr>
              <w:spacing w:before="20"/>
              <w:ind w:left="176"/>
              <w:jc w:val="both"/>
              <w:rPr>
                <w:sz w:val="16"/>
                <w:szCs w:val="16"/>
              </w:rPr>
            </w:pPr>
            <w:r>
              <w:rPr>
                <w:sz w:val="16"/>
                <w:szCs w:val="16"/>
              </w:rPr>
              <w:t>No</w:t>
            </w:r>
          </w:p>
        </w:tc>
        <w:tc>
          <w:tcPr>
            <w:tcW w:w="992" w:type="dxa"/>
            <w:shd w:val="clear" w:color="auto" w:fill="auto"/>
            <w:vAlign w:val="bottom"/>
          </w:tcPr>
          <w:p w14:paraId="0D57CCD8" w14:textId="77777777" w:rsidR="002A1181" w:rsidRPr="007B750E" w:rsidRDefault="002A1181" w:rsidP="002A1181">
            <w:pPr>
              <w:jc w:val="right"/>
              <w:rPr>
                <w:color w:val="000000"/>
                <w:sz w:val="16"/>
                <w:szCs w:val="16"/>
                <w:lang w:eastAsia="en-NZ"/>
              </w:rPr>
            </w:pPr>
            <w:r w:rsidRPr="007B750E">
              <w:rPr>
                <w:color w:val="000000"/>
                <w:sz w:val="16"/>
                <w:szCs w:val="16"/>
                <w:lang w:eastAsia="en-NZ"/>
              </w:rPr>
              <w:t>1.00</w:t>
            </w:r>
          </w:p>
        </w:tc>
        <w:tc>
          <w:tcPr>
            <w:tcW w:w="1276" w:type="dxa"/>
            <w:shd w:val="clear" w:color="auto" w:fill="auto"/>
            <w:vAlign w:val="bottom"/>
          </w:tcPr>
          <w:p w14:paraId="7C5A27CC" w14:textId="77777777" w:rsidR="002A1181" w:rsidRPr="007B750E" w:rsidRDefault="002A1181" w:rsidP="002A1181">
            <w:pPr>
              <w:jc w:val="right"/>
              <w:rPr>
                <w:color w:val="000000"/>
                <w:sz w:val="16"/>
                <w:szCs w:val="16"/>
                <w:lang w:eastAsia="en-NZ"/>
              </w:rPr>
            </w:pPr>
          </w:p>
        </w:tc>
        <w:tc>
          <w:tcPr>
            <w:tcW w:w="850" w:type="dxa"/>
            <w:shd w:val="clear" w:color="auto" w:fill="auto"/>
            <w:vAlign w:val="bottom"/>
          </w:tcPr>
          <w:p w14:paraId="29B5B931" w14:textId="77777777" w:rsidR="002A1181" w:rsidRPr="007B750E" w:rsidRDefault="002A1181" w:rsidP="002A1181">
            <w:pPr>
              <w:jc w:val="right"/>
              <w:rPr>
                <w:color w:val="000000"/>
                <w:sz w:val="16"/>
                <w:szCs w:val="16"/>
                <w:lang w:eastAsia="en-NZ"/>
              </w:rPr>
            </w:pPr>
          </w:p>
        </w:tc>
      </w:tr>
      <w:tr w:rsidR="002A1181" w:rsidRPr="001A61F1" w14:paraId="117E3C91" w14:textId="77777777" w:rsidTr="00826105">
        <w:tc>
          <w:tcPr>
            <w:tcW w:w="5387" w:type="dxa"/>
          </w:tcPr>
          <w:p w14:paraId="5FD980B3" w14:textId="77777777" w:rsidR="002A1181" w:rsidRPr="001A61F1" w:rsidRDefault="002A1181" w:rsidP="002A1181">
            <w:pPr>
              <w:spacing w:before="20"/>
              <w:ind w:left="176"/>
              <w:jc w:val="both"/>
              <w:rPr>
                <w:sz w:val="16"/>
                <w:szCs w:val="16"/>
              </w:rPr>
            </w:pPr>
            <w:r>
              <w:rPr>
                <w:sz w:val="16"/>
                <w:szCs w:val="16"/>
              </w:rPr>
              <w:t>Yes</w:t>
            </w:r>
          </w:p>
        </w:tc>
        <w:tc>
          <w:tcPr>
            <w:tcW w:w="992" w:type="dxa"/>
            <w:shd w:val="clear" w:color="auto" w:fill="auto"/>
            <w:vAlign w:val="bottom"/>
          </w:tcPr>
          <w:p w14:paraId="362B3303" w14:textId="77777777" w:rsidR="002A1181" w:rsidRPr="007B750E" w:rsidRDefault="002A1181" w:rsidP="002A1181">
            <w:pPr>
              <w:jc w:val="right"/>
              <w:rPr>
                <w:color w:val="000000"/>
                <w:sz w:val="16"/>
                <w:szCs w:val="16"/>
                <w:lang w:eastAsia="en-NZ"/>
              </w:rPr>
            </w:pPr>
            <w:r w:rsidRPr="007B750E">
              <w:rPr>
                <w:color w:val="000000"/>
                <w:sz w:val="16"/>
                <w:szCs w:val="16"/>
                <w:lang w:eastAsia="en-NZ"/>
              </w:rPr>
              <w:t>1.83</w:t>
            </w:r>
          </w:p>
        </w:tc>
        <w:tc>
          <w:tcPr>
            <w:tcW w:w="1276" w:type="dxa"/>
            <w:shd w:val="clear" w:color="auto" w:fill="auto"/>
            <w:vAlign w:val="bottom"/>
          </w:tcPr>
          <w:p w14:paraId="3250C7B7" w14:textId="77777777" w:rsidR="002A1181" w:rsidRPr="007B750E" w:rsidRDefault="002A1181" w:rsidP="002A1181">
            <w:pPr>
              <w:jc w:val="right"/>
              <w:rPr>
                <w:color w:val="000000"/>
                <w:sz w:val="16"/>
                <w:szCs w:val="16"/>
                <w:lang w:eastAsia="en-NZ"/>
              </w:rPr>
            </w:pPr>
            <w:r w:rsidRPr="007B750E">
              <w:rPr>
                <w:color w:val="000000"/>
                <w:sz w:val="16"/>
                <w:szCs w:val="16"/>
                <w:lang w:eastAsia="en-NZ"/>
              </w:rPr>
              <w:t>(1.29, 2.59)</w:t>
            </w:r>
          </w:p>
        </w:tc>
        <w:tc>
          <w:tcPr>
            <w:tcW w:w="850" w:type="dxa"/>
            <w:shd w:val="clear" w:color="auto" w:fill="auto"/>
            <w:vAlign w:val="bottom"/>
          </w:tcPr>
          <w:p w14:paraId="600A9836" w14:textId="77777777" w:rsidR="002A1181" w:rsidRPr="007B750E" w:rsidRDefault="002A1181" w:rsidP="002A1181">
            <w:pPr>
              <w:jc w:val="right"/>
              <w:rPr>
                <w:color w:val="000000"/>
                <w:sz w:val="16"/>
                <w:szCs w:val="16"/>
                <w:lang w:eastAsia="en-NZ"/>
              </w:rPr>
            </w:pPr>
            <w:r w:rsidRPr="007B750E">
              <w:rPr>
                <w:color w:val="000000"/>
                <w:sz w:val="16"/>
                <w:szCs w:val="16"/>
                <w:lang w:eastAsia="en-NZ"/>
              </w:rPr>
              <w:t>0.0007</w:t>
            </w:r>
          </w:p>
        </w:tc>
      </w:tr>
      <w:tr w:rsidR="002A1181" w:rsidRPr="001A61F1" w14:paraId="35FCE777" w14:textId="77777777" w:rsidTr="005F3C25">
        <w:tc>
          <w:tcPr>
            <w:tcW w:w="5387" w:type="dxa"/>
          </w:tcPr>
          <w:p w14:paraId="32E63E33" w14:textId="77777777" w:rsidR="002A1181" w:rsidRPr="00931D58" w:rsidRDefault="002A1181" w:rsidP="002A1181">
            <w:pPr>
              <w:rPr>
                <w:b/>
                <w:sz w:val="16"/>
                <w:szCs w:val="16"/>
              </w:rPr>
            </w:pPr>
            <w:r>
              <w:rPr>
                <w:b/>
                <w:sz w:val="16"/>
                <w:szCs w:val="16"/>
              </w:rPr>
              <w:t>Current tobacco use</w:t>
            </w:r>
          </w:p>
        </w:tc>
        <w:tc>
          <w:tcPr>
            <w:tcW w:w="992" w:type="dxa"/>
            <w:shd w:val="clear" w:color="auto" w:fill="auto"/>
            <w:vAlign w:val="center"/>
          </w:tcPr>
          <w:p w14:paraId="45ECF4DB" w14:textId="77777777" w:rsidR="002A1181" w:rsidRPr="00637CF2" w:rsidRDefault="002A1181" w:rsidP="002A1181">
            <w:pPr>
              <w:jc w:val="right"/>
              <w:rPr>
                <w:color w:val="000000"/>
                <w:sz w:val="16"/>
                <w:szCs w:val="16"/>
                <w:lang w:eastAsia="en-NZ"/>
              </w:rPr>
            </w:pPr>
          </w:p>
        </w:tc>
        <w:tc>
          <w:tcPr>
            <w:tcW w:w="1276" w:type="dxa"/>
            <w:shd w:val="clear" w:color="auto" w:fill="auto"/>
            <w:vAlign w:val="center"/>
          </w:tcPr>
          <w:p w14:paraId="2E7A5698" w14:textId="77777777" w:rsidR="002A1181" w:rsidRPr="00637CF2" w:rsidRDefault="002A1181" w:rsidP="002A1181">
            <w:pPr>
              <w:jc w:val="right"/>
              <w:rPr>
                <w:color w:val="000000"/>
                <w:sz w:val="16"/>
                <w:szCs w:val="16"/>
                <w:lang w:eastAsia="en-NZ"/>
              </w:rPr>
            </w:pPr>
          </w:p>
        </w:tc>
        <w:tc>
          <w:tcPr>
            <w:tcW w:w="850" w:type="dxa"/>
            <w:shd w:val="clear" w:color="auto" w:fill="auto"/>
            <w:vAlign w:val="center"/>
          </w:tcPr>
          <w:p w14:paraId="2658C150" w14:textId="77777777" w:rsidR="002A1181" w:rsidRPr="00637CF2" w:rsidRDefault="002A1181" w:rsidP="002A1181">
            <w:pPr>
              <w:jc w:val="right"/>
              <w:rPr>
                <w:color w:val="000000"/>
                <w:sz w:val="16"/>
                <w:szCs w:val="16"/>
                <w:lang w:eastAsia="en-NZ"/>
              </w:rPr>
            </w:pPr>
          </w:p>
        </w:tc>
      </w:tr>
      <w:tr w:rsidR="002A1181" w:rsidRPr="001A61F1" w14:paraId="175FC323" w14:textId="77777777" w:rsidTr="005F3C25">
        <w:tc>
          <w:tcPr>
            <w:tcW w:w="5387" w:type="dxa"/>
          </w:tcPr>
          <w:p w14:paraId="42488C0F" w14:textId="77777777" w:rsidR="002A1181" w:rsidRPr="001A61F1" w:rsidRDefault="002A1181" w:rsidP="002A1181">
            <w:pPr>
              <w:spacing w:before="20"/>
              <w:ind w:left="176"/>
              <w:jc w:val="both"/>
              <w:rPr>
                <w:sz w:val="16"/>
                <w:szCs w:val="16"/>
              </w:rPr>
            </w:pPr>
            <w:r>
              <w:rPr>
                <w:sz w:val="16"/>
                <w:szCs w:val="16"/>
              </w:rPr>
              <w:t>Non-smoker</w:t>
            </w:r>
          </w:p>
        </w:tc>
        <w:tc>
          <w:tcPr>
            <w:tcW w:w="992" w:type="dxa"/>
            <w:shd w:val="clear" w:color="auto" w:fill="auto"/>
            <w:vAlign w:val="bottom"/>
          </w:tcPr>
          <w:p w14:paraId="7431EE64" w14:textId="77777777" w:rsidR="002A1181" w:rsidRPr="007B750E" w:rsidRDefault="002A1181" w:rsidP="002A1181">
            <w:pPr>
              <w:jc w:val="right"/>
              <w:rPr>
                <w:color w:val="000000"/>
                <w:sz w:val="16"/>
                <w:szCs w:val="16"/>
                <w:lang w:eastAsia="en-NZ"/>
              </w:rPr>
            </w:pPr>
            <w:r w:rsidRPr="007B750E">
              <w:rPr>
                <w:color w:val="000000"/>
                <w:sz w:val="16"/>
                <w:szCs w:val="16"/>
                <w:lang w:eastAsia="en-NZ"/>
              </w:rPr>
              <w:t>1.00</w:t>
            </w:r>
          </w:p>
        </w:tc>
        <w:tc>
          <w:tcPr>
            <w:tcW w:w="1276" w:type="dxa"/>
            <w:shd w:val="clear" w:color="auto" w:fill="auto"/>
            <w:vAlign w:val="bottom"/>
          </w:tcPr>
          <w:p w14:paraId="3A937574" w14:textId="77777777" w:rsidR="002A1181" w:rsidRPr="007B750E" w:rsidRDefault="002A1181" w:rsidP="002A1181">
            <w:pPr>
              <w:jc w:val="right"/>
              <w:rPr>
                <w:color w:val="000000"/>
                <w:sz w:val="16"/>
                <w:szCs w:val="16"/>
                <w:lang w:eastAsia="en-NZ"/>
              </w:rPr>
            </w:pPr>
          </w:p>
        </w:tc>
        <w:tc>
          <w:tcPr>
            <w:tcW w:w="850" w:type="dxa"/>
            <w:shd w:val="clear" w:color="auto" w:fill="auto"/>
            <w:vAlign w:val="bottom"/>
          </w:tcPr>
          <w:p w14:paraId="460DB82F" w14:textId="77777777" w:rsidR="002A1181" w:rsidRPr="007B750E" w:rsidRDefault="002A1181" w:rsidP="002A1181">
            <w:pPr>
              <w:jc w:val="right"/>
              <w:rPr>
                <w:color w:val="000000"/>
                <w:sz w:val="16"/>
                <w:szCs w:val="16"/>
                <w:lang w:eastAsia="en-NZ"/>
              </w:rPr>
            </w:pPr>
          </w:p>
        </w:tc>
      </w:tr>
      <w:tr w:rsidR="002A1181" w:rsidRPr="001A61F1" w14:paraId="19ED62E0" w14:textId="77777777" w:rsidTr="00826105">
        <w:tc>
          <w:tcPr>
            <w:tcW w:w="5387" w:type="dxa"/>
          </w:tcPr>
          <w:p w14:paraId="4FCDC3F2" w14:textId="77777777" w:rsidR="002A1181" w:rsidRDefault="002A1181" w:rsidP="002A1181">
            <w:pPr>
              <w:spacing w:before="20"/>
              <w:ind w:left="176"/>
              <w:jc w:val="both"/>
              <w:rPr>
                <w:sz w:val="16"/>
                <w:szCs w:val="16"/>
              </w:rPr>
            </w:pPr>
            <w:r>
              <w:rPr>
                <w:sz w:val="16"/>
                <w:szCs w:val="16"/>
              </w:rPr>
              <w:t>Smoker</w:t>
            </w:r>
          </w:p>
        </w:tc>
        <w:tc>
          <w:tcPr>
            <w:tcW w:w="992" w:type="dxa"/>
            <w:shd w:val="clear" w:color="auto" w:fill="auto"/>
            <w:vAlign w:val="bottom"/>
          </w:tcPr>
          <w:p w14:paraId="23E2F787" w14:textId="77777777" w:rsidR="002A1181" w:rsidRPr="007B750E" w:rsidRDefault="002A1181" w:rsidP="002A1181">
            <w:pPr>
              <w:jc w:val="right"/>
              <w:rPr>
                <w:color w:val="000000"/>
                <w:sz w:val="16"/>
                <w:szCs w:val="16"/>
                <w:lang w:eastAsia="en-NZ"/>
              </w:rPr>
            </w:pPr>
            <w:r w:rsidRPr="007B750E">
              <w:rPr>
                <w:color w:val="000000"/>
                <w:sz w:val="16"/>
                <w:szCs w:val="16"/>
                <w:lang w:eastAsia="en-NZ"/>
              </w:rPr>
              <w:t>3.51</w:t>
            </w:r>
          </w:p>
        </w:tc>
        <w:tc>
          <w:tcPr>
            <w:tcW w:w="1276" w:type="dxa"/>
            <w:shd w:val="clear" w:color="auto" w:fill="auto"/>
            <w:vAlign w:val="bottom"/>
          </w:tcPr>
          <w:p w14:paraId="553EBD00" w14:textId="77777777" w:rsidR="002A1181" w:rsidRPr="007B750E" w:rsidRDefault="002A1181" w:rsidP="002A1181">
            <w:pPr>
              <w:jc w:val="right"/>
              <w:rPr>
                <w:color w:val="000000"/>
                <w:sz w:val="16"/>
                <w:szCs w:val="16"/>
                <w:lang w:eastAsia="en-NZ"/>
              </w:rPr>
            </w:pPr>
            <w:r w:rsidRPr="007B750E">
              <w:rPr>
                <w:color w:val="000000"/>
                <w:sz w:val="16"/>
                <w:szCs w:val="16"/>
                <w:lang w:eastAsia="en-NZ"/>
              </w:rPr>
              <w:t>(2.43, 5.06)</w:t>
            </w:r>
          </w:p>
        </w:tc>
        <w:tc>
          <w:tcPr>
            <w:tcW w:w="850" w:type="dxa"/>
            <w:shd w:val="clear" w:color="auto" w:fill="auto"/>
            <w:vAlign w:val="bottom"/>
          </w:tcPr>
          <w:p w14:paraId="62E5835D" w14:textId="77777777" w:rsidR="002A1181" w:rsidRPr="007B750E" w:rsidRDefault="002A1181" w:rsidP="002A1181">
            <w:pPr>
              <w:jc w:val="right"/>
              <w:rPr>
                <w:color w:val="000000"/>
                <w:sz w:val="16"/>
                <w:szCs w:val="16"/>
                <w:lang w:eastAsia="en-NZ"/>
              </w:rPr>
            </w:pPr>
            <w:r w:rsidRPr="007B750E">
              <w:rPr>
                <w:color w:val="000000"/>
                <w:sz w:val="16"/>
                <w:szCs w:val="16"/>
                <w:lang w:eastAsia="en-NZ"/>
              </w:rPr>
              <w:t>&lt;</w:t>
            </w:r>
            <w:r>
              <w:rPr>
                <w:color w:val="000000"/>
                <w:sz w:val="16"/>
                <w:szCs w:val="16"/>
                <w:lang w:eastAsia="en-NZ"/>
              </w:rPr>
              <w:t>0</w:t>
            </w:r>
            <w:r w:rsidRPr="007B750E">
              <w:rPr>
                <w:color w:val="000000"/>
                <w:sz w:val="16"/>
                <w:szCs w:val="16"/>
                <w:lang w:eastAsia="en-NZ"/>
              </w:rPr>
              <w:t>.0001</w:t>
            </w:r>
          </w:p>
        </w:tc>
      </w:tr>
      <w:tr w:rsidR="002A1181" w:rsidRPr="001A61F1" w14:paraId="79CFC052" w14:textId="77777777" w:rsidTr="005F3C25">
        <w:tc>
          <w:tcPr>
            <w:tcW w:w="5387" w:type="dxa"/>
            <w:vAlign w:val="center"/>
          </w:tcPr>
          <w:p w14:paraId="42F6E7EB" w14:textId="77777777" w:rsidR="002A1181" w:rsidRPr="00D26FE5" w:rsidRDefault="002A1181" w:rsidP="002A1181">
            <w:pPr>
              <w:spacing w:before="20"/>
              <w:rPr>
                <w:b/>
                <w:bCs/>
                <w:color w:val="000000"/>
                <w:sz w:val="16"/>
                <w:szCs w:val="16"/>
              </w:rPr>
            </w:pPr>
            <w:r w:rsidRPr="00D26FE5">
              <w:rPr>
                <w:rFonts w:eastAsiaTheme="minorEastAsia"/>
                <w:b/>
                <w:sz w:val="16"/>
                <w:szCs w:val="16"/>
                <w:lang w:eastAsia="en-US"/>
              </w:rPr>
              <w:t>Number of gambling activities participated in</w:t>
            </w:r>
            <w:r>
              <w:rPr>
                <w:rFonts w:eastAsiaTheme="minorEastAsia"/>
                <w:b/>
                <w:sz w:val="16"/>
                <w:szCs w:val="16"/>
                <w:lang w:eastAsia="en-US"/>
              </w:rPr>
              <w:t xml:space="preserve"> at Wave 1</w:t>
            </w:r>
          </w:p>
        </w:tc>
        <w:tc>
          <w:tcPr>
            <w:tcW w:w="992" w:type="dxa"/>
            <w:shd w:val="clear" w:color="auto" w:fill="auto"/>
            <w:vAlign w:val="bottom"/>
          </w:tcPr>
          <w:p w14:paraId="152BF339" w14:textId="77777777" w:rsidR="002A1181" w:rsidRPr="007B750E" w:rsidRDefault="002A1181" w:rsidP="002A1181">
            <w:pPr>
              <w:jc w:val="right"/>
              <w:rPr>
                <w:color w:val="000000"/>
                <w:sz w:val="16"/>
                <w:szCs w:val="16"/>
                <w:lang w:eastAsia="en-NZ"/>
              </w:rPr>
            </w:pPr>
          </w:p>
        </w:tc>
        <w:tc>
          <w:tcPr>
            <w:tcW w:w="1276" w:type="dxa"/>
            <w:shd w:val="clear" w:color="auto" w:fill="auto"/>
            <w:vAlign w:val="bottom"/>
          </w:tcPr>
          <w:p w14:paraId="521E84CF" w14:textId="77777777" w:rsidR="002A1181" w:rsidRPr="007B750E" w:rsidRDefault="002A1181" w:rsidP="002A1181">
            <w:pPr>
              <w:jc w:val="right"/>
              <w:rPr>
                <w:color w:val="000000"/>
                <w:sz w:val="16"/>
                <w:szCs w:val="16"/>
                <w:lang w:eastAsia="en-NZ"/>
              </w:rPr>
            </w:pPr>
          </w:p>
        </w:tc>
        <w:tc>
          <w:tcPr>
            <w:tcW w:w="850" w:type="dxa"/>
            <w:shd w:val="clear" w:color="auto" w:fill="auto"/>
            <w:vAlign w:val="bottom"/>
          </w:tcPr>
          <w:p w14:paraId="77D9CE64" w14:textId="77777777" w:rsidR="002A1181" w:rsidRPr="007B750E" w:rsidRDefault="002A1181" w:rsidP="002A1181">
            <w:pPr>
              <w:jc w:val="right"/>
              <w:rPr>
                <w:color w:val="000000"/>
                <w:sz w:val="16"/>
                <w:szCs w:val="16"/>
                <w:lang w:eastAsia="en-NZ"/>
              </w:rPr>
            </w:pPr>
          </w:p>
        </w:tc>
      </w:tr>
      <w:tr w:rsidR="002A1181" w:rsidRPr="001A61F1" w14:paraId="2C0E4A97" w14:textId="77777777" w:rsidTr="005F3C25">
        <w:tc>
          <w:tcPr>
            <w:tcW w:w="5387" w:type="dxa"/>
          </w:tcPr>
          <w:p w14:paraId="3211FC81" w14:textId="77777777" w:rsidR="002A1181" w:rsidRPr="003F15C0" w:rsidRDefault="002A1181" w:rsidP="002A1181">
            <w:pPr>
              <w:spacing w:before="20"/>
              <w:ind w:left="176"/>
              <w:jc w:val="both"/>
              <w:rPr>
                <w:sz w:val="16"/>
                <w:szCs w:val="16"/>
              </w:rPr>
            </w:pPr>
            <w:r w:rsidRPr="003F15C0">
              <w:rPr>
                <w:sz w:val="16"/>
                <w:szCs w:val="16"/>
              </w:rPr>
              <w:t>1</w:t>
            </w:r>
            <w:r>
              <w:rPr>
                <w:sz w:val="16"/>
                <w:szCs w:val="16"/>
              </w:rPr>
              <w:t xml:space="preserve"> - 3</w:t>
            </w:r>
          </w:p>
        </w:tc>
        <w:tc>
          <w:tcPr>
            <w:tcW w:w="992" w:type="dxa"/>
            <w:shd w:val="clear" w:color="auto" w:fill="auto"/>
            <w:vAlign w:val="bottom"/>
          </w:tcPr>
          <w:p w14:paraId="7710BE4C" w14:textId="77777777" w:rsidR="002A1181" w:rsidRPr="00FB6528" w:rsidRDefault="002A1181" w:rsidP="002A1181">
            <w:pPr>
              <w:jc w:val="right"/>
              <w:rPr>
                <w:color w:val="000000"/>
                <w:sz w:val="16"/>
                <w:szCs w:val="16"/>
                <w:lang w:eastAsia="en-NZ"/>
              </w:rPr>
            </w:pPr>
            <w:r w:rsidRPr="00FB6528">
              <w:rPr>
                <w:color w:val="000000"/>
                <w:sz w:val="16"/>
                <w:szCs w:val="16"/>
                <w:lang w:eastAsia="en-NZ"/>
              </w:rPr>
              <w:t>1.00</w:t>
            </w:r>
          </w:p>
        </w:tc>
        <w:tc>
          <w:tcPr>
            <w:tcW w:w="1276" w:type="dxa"/>
            <w:shd w:val="clear" w:color="auto" w:fill="auto"/>
            <w:vAlign w:val="bottom"/>
          </w:tcPr>
          <w:p w14:paraId="586156DB" w14:textId="77777777" w:rsidR="002A1181" w:rsidRPr="00FB6528" w:rsidRDefault="002A1181" w:rsidP="002A1181">
            <w:pPr>
              <w:jc w:val="right"/>
              <w:rPr>
                <w:color w:val="000000"/>
                <w:sz w:val="16"/>
                <w:szCs w:val="16"/>
                <w:lang w:eastAsia="en-NZ"/>
              </w:rPr>
            </w:pPr>
          </w:p>
        </w:tc>
        <w:tc>
          <w:tcPr>
            <w:tcW w:w="850" w:type="dxa"/>
            <w:shd w:val="clear" w:color="auto" w:fill="auto"/>
            <w:vAlign w:val="bottom"/>
          </w:tcPr>
          <w:p w14:paraId="294DE31B" w14:textId="77777777" w:rsidR="002A1181" w:rsidRPr="00FB6528" w:rsidRDefault="002A1181" w:rsidP="002A1181">
            <w:pPr>
              <w:jc w:val="right"/>
              <w:rPr>
                <w:color w:val="000000"/>
                <w:sz w:val="16"/>
                <w:szCs w:val="16"/>
                <w:lang w:eastAsia="en-NZ"/>
              </w:rPr>
            </w:pPr>
          </w:p>
        </w:tc>
      </w:tr>
      <w:tr w:rsidR="002A1181" w:rsidRPr="001A61F1" w14:paraId="2940A662" w14:textId="77777777" w:rsidTr="005F3C25">
        <w:tc>
          <w:tcPr>
            <w:tcW w:w="5387" w:type="dxa"/>
          </w:tcPr>
          <w:p w14:paraId="3B505D25" w14:textId="77777777" w:rsidR="002A1181" w:rsidRPr="003F15C0" w:rsidRDefault="002A1181" w:rsidP="002A1181">
            <w:pPr>
              <w:spacing w:before="20"/>
              <w:ind w:left="176"/>
              <w:jc w:val="both"/>
              <w:rPr>
                <w:sz w:val="16"/>
                <w:szCs w:val="16"/>
              </w:rPr>
            </w:pPr>
            <w:r w:rsidRPr="003F15C0">
              <w:rPr>
                <w:sz w:val="16"/>
                <w:szCs w:val="16"/>
              </w:rPr>
              <w:t>4</w:t>
            </w:r>
            <w:r w:rsidR="004A48F2">
              <w:rPr>
                <w:sz w:val="16"/>
                <w:szCs w:val="16"/>
              </w:rPr>
              <w:t xml:space="preserve"> </w:t>
            </w:r>
            <w:r w:rsidRPr="003F15C0">
              <w:rPr>
                <w:sz w:val="16"/>
                <w:szCs w:val="16"/>
              </w:rPr>
              <w:t>-</w:t>
            </w:r>
            <w:r w:rsidR="004A48F2">
              <w:rPr>
                <w:sz w:val="16"/>
                <w:szCs w:val="16"/>
              </w:rPr>
              <w:t xml:space="preserve"> </w:t>
            </w:r>
            <w:r w:rsidRPr="003F15C0">
              <w:rPr>
                <w:sz w:val="16"/>
                <w:szCs w:val="16"/>
              </w:rPr>
              <w:t>6</w:t>
            </w:r>
          </w:p>
        </w:tc>
        <w:tc>
          <w:tcPr>
            <w:tcW w:w="992" w:type="dxa"/>
            <w:shd w:val="clear" w:color="auto" w:fill="auto"/>
            <w:vAlign w:val="bottom"/>
          </w:tcPr>
          <w:p w14:paraId="15122990" w14:textId="77777777" w:rsidR="002A1181" w:rsidRPr="00FB6528" w:rsidRDefault="002A1181" w:rsidP="002A1181">
            <w:pPr>
              <w:jc w:val="right"/>
              <w:rPr>
                <w:color w:val="000000"/>
                <w:sz w:val="16"/>
                <w:szCs w:val="16"/>
                <w:lang w:eastAsia="en-NZ"/>
              </w:rPr>
            </w:pPr>
            <w:r w:rsidRPr="00FB6528">
              <w:rPr>
                <w:color w:val="000000"/>
                <w:sz w:val="16"/>
                <w:szCs w:val="16"/>
                <w:lang w:eastAsia="en-NZ"/>
              </w:rPr>
              <w:t>3.68</w:t>
            </w:r>
          </w:p>
        </w:tc>
        <w:tc>
          <w:tcPr>
            <w:tcW w:w="1276" w:type="dxa"/>
            <w:shd w:val="clear" w:color="auto" w:fill="auto"/>
            <w:vAlign w:val="bottom"/>
          </w:tcPr>
          <w:p w14:paraId="74D139F9" w14:textId="77777777" w:rsidR="002A1181" w:rsidRPr="00FB6528" w:rsidRDefault="002A1181" w:rsidP="002A1181">
            <w:pPr>
              <w:jc w:val="right"/>
              <w:rPr>
                <w:color w:val="000000"/>
                <w:sz w:val="16"/>
                <w:szCs w:val="16"/>
                <w:lang w:eastAsia="en-NZ"/>
              </w:rPr>
            </w:pPr>
            <w:r w:rsidRPr="00FB6528">
              <w:rPr>
                <w:color w:val="000000"/>
                <w:sz w:val="16"/>
                <w:szCs w:val="16"/>
                <w:lang w:eastAsia="en-NZ"/>
              </w:rPr>
              <w:t>(2.78, 4.88)</w:t>
            </w:r>
          </w:p>
        </w:tc>
        <w:tc>
          <w:tcPr>
            <w:tcW w:w="850" w:type="dxa"/>
            <w:shd w:val="clear" w:color="auto" w:fill="auto"/>
            <w:vAlign w:val="bottom"/>
          </w:tcPr>
          <w:p w14:paraId="19A9FC4C" w14:textId="77777777" w:rsidR="002A1181" w:rsidRPr="00FB6528" w:rsidRDefault="002A1181" w:rsidP="002A1181">
            <w:pPr>
              <w:jc w:val="right"/>
              <w:rPr>
                <w:color w:val="000000"/>
                <w:sz w:val="16"/>
                <w:szCs w:val="16"/>
                <w:lang w:eastAsia="en-NZ"/>
              </w:rPr>
            </w:pPr>
          </w:p>
        </w:tc>
      </w:tr>
      <w:tr w:rsidR="002A1181" w:rsidRPr="001A61F1" w14:paraId="667EA3C1" w14:textId="77777777" w:rsidTr="00826105">
        <w:tc>
          <w:tcPr>
            <w:tcW w:w="5387" w:type="dxa"/>
          </w:tcPr>
          <w:p w14:paraId="303BCEFA" w14:textId="77777777" w:rsidR="002A1181" w:rsidRPr="003F15C0" w:rsidRDefault="002A1181" w:rsidP="002A1181">
            <w:pPr>
              <w:spacing w:before="20"/>
              <w:ind w:left="176"/>
              <w:jc w:val="both"/>
              <w:rPr>
                <w:sz w:val="16"/>
                <w:szCs w:val="16"/>
              </w:rPr>
            </w:pPr>
            <w:r>
              <w:rPr>
                <w:sz w:val="16"/>
                <w:szCs w:val="16"/>
              </w:rPr>
              <w:t>7</w:t>
            </w:r>
            <w:r w:rsidR="004A48F2">
              <w:rPr>
                <w:sz w:val="16"/>
                <w:szCs w:val="16"/>
              </w:rPr>
              <w:t xml:space="preserve"> </w:t>
            </w:r>
            <w:r>
              <w:rPr>
                <w:sz w:val="16"/>
                <w:szCs w:val="16"/>
              </w:rPr>
              <w:t>-</w:t>
            </w:r>
            <w:r w:rsidR="004A48F2">
              <w:rPr>
                <w:sz w:val="16"/>
                <w:szCs w:val="16"/>
              </w:rPr>
              <w:t xml:space="preserve"> </w:t>
            </w:r>
            <w:r>
              <w:rPr>
                <w:sz w:val="16"/>
                <w:szCs w:val="16"/>
              </w:rPr>
              <w:t>10</w:t>
            </w:r>
          </w:p>
        </w:tc>
        <w:tc>
          <w:tcPr>
            <w:tcW w:w="992" w:type="dxa"/>
            <w:shd w:val="clear" w:color="auto" w:fill="auto"/>
            <w:vAlign w:val="bottom"/>
          </w:tcPr>
          <w:p w14:paraId="01800A57" w14:textId="77777777" w:rsidR="002A1181" w:rsidRPr="00FB6528" w:rsidRDefault="002A1181" w:rsidP="002A1181">
            <w:pPr>
              <w:jc w:val="right"/>
              <w:rPr>
                <w:color w:val="000000"/>
                <w:sz w:val="16"/>
                <w:szCs w:val="16"/>
                <w:lang w:eastAsia="en-NZ"/>
              </w:rPr>
            </w:pPr>
            <w:r w:rsidRPr="00FB6528">
              <w:rPr>
                <w:color w:val="000000"/>
                <w:sz w:val="16"/>
                <w:szCs w:val="16"/>
                <w:lang w:eastAsia="en-NZ"/>
              </w:rPr>
              <w:t>19.28</w:t>
            </w:r>
          </w:p>
        </w:tc>
        <w:tc>
          <w:tcPr>
            <w:tcW w:w="1276" w:type="dxa"/>
            <w:shd w:val="clear" w:color="auto" w:fill="auto"/>
            <w:vAlign w:val="bottom"/>
          </w:tcPr>
          <w:p w14:paraId="281963F4" w14:textId="77777777" w:rsidR="002A1181" w:rsidRPr="00FB6528" w:rsidRDefault="002A1181" w:rsidP="002A1181">
            <w:pPr>
              <w:jc w:val="right"/>
              <w:rPr>
                <w:color w:val="000000"/>
                <w:sz w:val="16"/>
                <w:szCs w:val="16"/>
                <w:lang w:eastAsia="en-NZ"/>
              </w:rPr>
            </w:pPr>
            <w:r w:rsidRPr="00FB6528">
              <w:rPr>
                <w:color w:val="000000"/>
                <w:sz w:val="16"/>
                <w:szCs w:val="16"/>
                <w:lang w:eastAsia="en-NZ"/>
              </w:rPr>
              <w:t>(11.01, 33.78)</w:t>
            </w:r>
          </w:p>
        </w:tc>
        <w:tc>
          <w:tcPr>
            <w:tcW w:w="850" w:type="dxa"/>
            <w:shd w:val="clear" w:color="auto" w:fill="auto"/>
            <w:vAlign w:val="bottom"/>
          </w:tcPr>
          <w:p w14:paraId="711C51E5" w14:textId="77777777" w:rsidR="002A1181" w:rsidRPr="00FB6528" w:rsidRDefault="002A1181" w:rsidP="002A1181">
            <w:pPr>
              <w:jc w:val="right"/>
              <w:rPr>
                <w:color w:val="000000"/>
                <w:sz w:val="16"/>
                <w:szCs w:val="16"/>
                <w:lang w:eastAsia="en-NZ"/>
              </w:rPr>
            </w:pPr>
            <w:r w:rsidRPr="00FB6528">
              <w:rPr>
                <w:color w:val="000000"/>
                <w:sz w:val="16"/>
                <w:szCs w:val="16"/>
                <w:lang w:eastAsia="en-NZ"/>
              </w:rPr>
              <w:t>&lt;</w:t>
            </w:r>
            <w:r>
              <w:rPr>
                <w:color w:val="000000"/>
                <w:sz w:val="16"/>
                <w:szCs w:val="16"/>
                <w:lang w:eastAsia="en-NZ"/>
              </w:rPr>
              <w:t>0</w:t>
            </w:r>
            <w:r w:rsidRPr="00FB6528">
              <w:rPr>
                <w:color w:val="000000"/>
                <w:sz w:val="16"/>
                <w:szCs w:val="16"/>
                <w:lang w:eastAsia="en-NZ"/>
              </w:rPr>
              <w:t>.0001</w:t>
            </w:r>
          </w:p>
        </w:tc>
      </w:tr>
      <w:tr w:rsidR="002A1181" w:rsidRPr="001A61F1" w14:paraId="5B78E6F4" w14:textId="77777777" w:rsidTr="005F3C25">
        <w:tc>
          <w:tcPr>
            <w:tcW w:w="5387" w:type="dxa"/>
            <w:vAlign w:val="bottom"/>
          </w:tcPr>
          <w:p w14:paraId="235D1861" w14:textId="77777777" w:rsidR="002A1181" w:rsidRPr="003F15C0" w:rsidRDefault="002A1181" w:rsidP="002A1181">
            <w:pPr>
              <w:spacing w:before="20"/>
              <w:jc w:val="both"/>
              <w:rPr>
                <w:b/>
                <w:sz w:val="16"/>
                <w:szCs w:val="16"/>
              </w:rPr>
            </w:pPr>
            <w:r w:rsidRPr="003F15C0">
              <w:rPr>
                <w:b/>
                <w:sz w:val="16"/>
                <w:szCs w:val="16"/>
              </w:rPr>
              <w:t>Pattern of participation</w:t>
            </w:r>
          </w:p>
        </w:tc>
        <w:tc>
          <w:tcPr>
            <w:tcW w:w="992" w:type="dxa"/>
            <w:shd w:val="clear" w:color="auto" w:fill="auto"/>
            <w:vAlign w:val="bottom"/>
          </w:tcPr>
          <w:p w14:paraId="457CFEFB" w14:textId="77777777" w:rsidR="002A1181" w:rsidRPr="007B750E" w:rsidRDefault="002A1181" w:rsidP="002A1181">
            <w:pPr>
              <w:jc w:val="right"/>
              <w:rPr>
                <w:color w:val="000000"/>
                <w:sz w:val="16"/>
                <w:szCs w:val="16"/>
                <w:lang w:eastAsia="en-NZ"/>
              </w:rPr>
            </w:pPr>
          </w:p>
        </w:tc>
        <w:tc>
          <w:tcPr>
            <w:tcW w:w="1276" w:type="dxa"/>
            <w:shd w:val="clear" w:color="auto" w:fill="auto"/>
            <w:vAlign w:val="bottom"/>
          </w:tcPr>
          <w:p w14:paraId="674EB06F" w14:textId="77777777" w:rsidR="002A1181" w:rsidRPr="007B750E" w:rsidRDefault="002A1181" w:rsidP="002A1181">
            <w:pPr>
              <w:jc w:val="right"/>
              <w:rPr>
                <w:color w:val="000000"/>
                <w:sz w:val="16"/>
                <w:szCs w:val="16"/>
                <w:lang w:eastAsia="en-NZ"/>
              </w:rPr>
            </w:pPr>
          </w:p>
        </w:tc>
        <w:tc>
          <w:tcPr>
            <w:tcW w:w="850" w:type="dxa"/>
            <w:shd w:val="clear" w:color="auto" w:fill="auto"/>
            <w:vAlign w:val="bottom"/>
          </w:tcPr>
          <w:p w14:paraId="50D37694" w14:textId="77777777" w:rsidR="002A1181" w:rsidRPr="007B750E" w:rsidRDefault="002A1181" w:rsidP="002A1181">
            <w:pPr>
              <w:jc w:val="right"/>
              <w:rPr>
                <w:color w:val="000000"/>
                <w:sz w:val="16"/>
                <w:szCs w:val="16"/>
                <w:lang w:eastAsia="en-NZ"/>
              </w:rPr>
            </w:pPr>
          </w:p>
        </w:tc>
      </w:tr>
      <w:tr w:rsidR="002A1181" w:rsidRPr="001A61F1" w14:paraId="5676CD8F" w14:textId="77777777" w:rsidTr="005F3C25">
        <w:tc>
          <w:tcPr>
            <w:tcW w:w="5387" w:type="dxa"/>
          </w:tcPr>
          <w:p w14:paraId="4840FAA7" w14:textId="77777777" w:rsidR="002A1181" w:rsidRPr="003F15C0" w:rsidRDefault="002A1181" w:rsidP="002A1181">
            <w:pPr>
              <w:spacing w:before="20"/>
              <w:ind w:left="176"/>
              <w:jc w:val="both"/>
              <w:rPr>
                <w:sz w:val="16"/>
                <w:szCs w:val="16"/>
              </w:rPr>
            </w:pPr>
            <w:r w:rsidRPr="003F15C0">
              <w:rPr>
                <w:sz w:val="16"/>
                <w:szCs w:val="16"/>
              </w:rPr>
              <w:t>Infrequent gambler</w:t>
            </w:r>
          </w:p>
        </w:tc>
        <w:tc>
          <w:tcPr>
            <w:tcW w:w="992" w:type="dxa"/>
            <w:shd w:val="clear" w:color="auto" w:fill="auto"/>
            <w:vAlign w:val="bottom"/>
          </w:tcPr>
          <w:p w14:paraId="7FDCB49A" w14:textId="77777777" w:rsidR="002A1181" w:rsidRPr="007B750E" w:rsidRDefault="002A1181" w:rsidP="002A1181">
            <w:pPr>
              <w:jc w:val="right"/>
              <w:rPr>
                <w:color w:val="000000"/>
                <w:sz w:val="16"/>
                <w:szCs w:val="16"/>
                <w:lang w:eastAsia="en-NZ"/>
              </w:rPr>
            </w:pPr>
            <w:r>
              <w:rPr>
                <w:color w:val="000000"/>
                <w:sz w:val="16"/>
                <w:szCs w:val="16"/>
                <w:lang w:eastAsia="en-NZ"/>
              </w:rPr>
              <w:t>1.00</w:t>
            </w:r>
          </w:p>
        </w:tc>
        <w:tc>
          <w:tcPr>
            <w:tcW w:w="1276" w:type="dxa"/>
            <w:shd w:val="clear" w:color="auto" w:fill="auto"/>
            <w:vAlign w:val="bottom"/>
          </w:tcPr>
          <w:p w14:paraId="51097347" w14:textId="77777777" w:rsidR="002A1181" w:rsidRPr="007B750E" w:rsidRDefault="002A1181" w:rsidP="002A1181">
            <w:pPr>
              <w:jc w:val="right"/>
              <w:rPr>
                <w:color w:val="000000"/>
                <w:sz w:val="16"/>
                <w:szCs w:val="16"/>
                <w:lang w:eastAsia="en-NZ"/>
              </w:rPr>
            </w:pPr>
          </w:p>
        </w:tc>
        <w:tc>
          <w:tcPr>
            <w:tcW w:w="850" w:type="dxa"/>
            <w:shd w:val="clear" w:color="auto" w:fill="auto"/>
            <w:vAlign w:val="bottom"/>
          </w:tcPr>
          <w:p w14:paraId="72984408" w14:textId="77777777" w:rsidR="002A1181" w:rsidRPr="007B750E" w:rsidRDefault="002A1181" w:rsidP="002A1181">
            <w:pPr>
              <w:jc w:val="right"/>
              <w:rPr>
                <w:color w:val="000000"/>
                <w:sz w:val="16"/>
                <w:szCs w:val="16"/>
                <w:lang w:eastAsia="en-NZ"/>
              </w:rPr>
            </w:pPr>
          </w:p>
        </w:tc>
      </w:tr>
      <w:tr w:rsidR="001C5E0E" w:rsidRPr="001A61F1" w14:paraId="093B0992" w14:textId="77777777" w:rsidTr="005F3C25">
        <w:tc>
          <w:tcPr>
            <w:tcW w:w="5387" w:type="dxa"/>
          </w:tcPr>
          <w:p w14:paraId="26B8BB18" w14:textId="77777777" w:rsidR="001C5E0E" w:rsidRPr="003F15C0" w:rsidRDefault="001C5E0E" w:rsidP="001C5E0E">
            <w:pPr>
              <w:spacing w:before="20"/>
              <w:ind w:left="176"/>
              <w:jc w:val="both"/>
              <w:rPr>
                <w:sz w:val="16"/>
                <w:szCs w:val="16"/>
              </w:rPr>
            </w:pPr>
            <w:r w:rsidRPr="003F15C0">
              <w:rPr>
                <w:sz w:val="16"/>
                <w:szCs w:val="16"/>
              </w:rPr>
              <w:t>Regular non-continuous gambler</w:t>
            </w:r>
          </w:p>
        </w:tc>
        <w:tc>
          <w:tcPr>
            <w:tcW w:w="992" w:type="dxa"/>
            <w:shd w:val="clear" w:color="auto" w:fill="auto"/>
            <w:vAlign w:val="bottom"/>
          </w:tcPr>
          <w:p w14:paraId="17EE60E3" w14:textId="77777777" w:rsidR="001C5E0E" w:rsidRPr="00FB6528" w:rsidRDefault="001C5E0E" w:rsidP="001C5E0E">
            <w:pPr>
              <w:jc w:val="right"/>
              <w:rPr>
                <w:color w:val="000000"/>
                <w:sz w:val="16"/>
                <w:szCs w:val="16"/>
                <w:lang w:eastAsia="en-NZ"/>
              </w:rPr>
            </w:pPr>
            <w:r w:rsidRPr="00FB6528">
              <w:rPr>
                <w:color w:val="000000"/>
                <w:sz w:val="16"/>
                <w:szCs w:val="16"/>
                <w:lang w:eastAsia="en-NZ"/>
              </w:rPr>
              <w:t>2.09</w:t>
            </w:r>
          </w:p>
        </w:tc>
        <w:tc>
          <w:tcPr>
            <w:tcW w:w="1276" w:type="dxa"/>
            <w:shd w:val="clear" w:color="auto" w:fill="auto"/>
            <w:vAlign w:val="bottom"/>
          </w:tcPr>
          <w:p w14:paraId="2F079DC9" w14:textId="77777777" w:rsidR="001C5E0E" w:rsidRPr="00FB6528" w:rsidRDefault="001C5E0E" w:rsidP="001C5E0E">
            <w:pPr>
              <w:jc w:val="right"/>
              <w:rPr>
                <w:color w:val="000000"/>
                <w:sz w:val="16"/>
                <w:szCs w:val="16"/>
                <w:lang w:eastAsia="en-NZ"/>
              </w:rPr>
            </w:pPr>
            <w:r w:rsidRPr="00FB6528">
              <w:rPr>
                <w:color w:val="000000"/>
                <w:sz w:val="16"/>
                <w:szCs w:val="16"/>
                <w:lang w:eastAsia="en-NZ"/>
              </w:rPr>
              <w:t>(1.50, 2.92)</w:t>
            </w:r>
          </w:p>
        </w:tc>
        <w:tc>
          <w:tcPr>
            <w:tcW w:w="850" w:type="dxa"/>
            <w:shd w:val="clear" w:color="auto" w:fill="auto"/>
            <w:vAlign w:val="bottom"/>
          </w:tcPr>
          <w:p w14:paraId="523D0022" w14:textId="77777777" w:rsidR="001C5E0E" w:rsidRPr="007B750E" w:rsidRDefault="001C5E0E" w:rsidP="001C5E0E">
            <w:pPr>
              <w:jc w:val="right"/>
              <w:rPr>
                <w:color w:val="000000"/>
                <w:sz w:val="16"/>
                <w:szCs w:val="16"/>
                <w:lang w:eastAsia="en-NZ"/>
              </w:rPr>
            </w:pPr>
          </w:p>
        </w:tc>
      </w:tr>
      <w:tr w:rsidR="001C5E0E" w:rsidRPr="001A61F1" w14:paraId="7DB9B32D" w14:textId="77777777" w:rsidTr="00826105">
        <w:tc>
          <w:tcPr>
            <w:tcW w:w="5387" w:type="dxa"/>
          </w:tcPr>
          <w:p w14:paraId="38EAEB20" w14:textId="77777777" w:rsidR="001C5E0E" w:rsidRPr="003F15C0" w:rsidRDefault="001C5E0E" w:rsidP="001C5E0E">
            <w:pPr>
              <w:spacing w:before="20"/>
              <w:ind w:left="176"/>
              <w:jc w:val="both"/>
              <w:rPr>
                <w:sz w:val="16"/>
                <w:szCs w:val="16"/>
              </w:rPr>
            </w:pPr>
            <w:r w:rsidRPr="003F15C0">
              <w:rPr>
                <w:sz w:val="16"/>
                <w:szCs w:val="16"/>
              </w:rPr>
              <w:t>Regular continuous gambler</w:t>
            </w:r>
          </w:p>
        </w:tc>
        <w:tc>
          <w:tcPr>
            <w:tcW w:w="992" w:type="dxa"/>
            <w:shd w:val="clear" w:color="auto" w:fill="auto"/>
            <w:vAlign w:val="bottom"/>
          </w:tcPr>
          <w:p w14:paraId="274AF03C" w14:textId="77777777" w:rsidR="001C5E0E" w:rsidRPr="00FB6528" w:rsidRDefault="001C5E0E" w:rsidP="001C5E0E">
            <w:pPr>
              <w:jc w:val="right"/>
              <w:rPr>
                <w:color w:val="000000"/>
                <w:sz w:val="16"/>
                <w:szCs w:val="16"/>
                <w:lang w:eastAsia="en-NZ"/>
              </w:rPr>
            </w:pPr>
            <w:r w:rsidRPr="00FB6528">
              <w:rPr>
                <w:color w:val="000000"/>
                <w:sz w:val="16"/>
                <w:szCs w:val="16"/>
                <w:lang w:eastAsia="en-NZ"/>
              </w:rPr>
              <w:t>11.29</w:t>
            </w:r>
          </w:p>
        </w:tc>
        <w:tc>
          <w:tcPr>
            <w:tcW w:w="1276" w:type="dxa"/>
            <w:shd w:val="clear" w:color="auto" w:fill="auto"/>
            <w:vAlign w:val="bottom"/>
          </w:tcPr>
          <w:p w14:paraId="00EEFDD3" w14:textId="77777777" w:rsidR="001C5E0E" w:rsidRPr="00FB6528" w:rsidRDefault="001C5E0E" w:rsidP="001C5E0E">
            <w:pPr>
              <w:jc w:val="right"/>
              <w:rPr>
                <w:color w:val="000000"/>
                <w:sz w:val="16"/>
                <w:szCs w:val="16"/>
                <w:lang w:eastAsia="en-NZ"/>
              </w:rPr>
            </w:pPr>
            <w:r w:rsidRPr="00FB6528">
              <w:rPr>
                <w:color w:val="000000"/>
                <w:sz w:val="16"/>
                <w:szCs w:val="16"/>
                <w:lang w:eastAsia="en-NZ"/>
              </w:rPr>
              <w:t>(7.38, 17.28)</w:t>
            </w:r>
          </w:p>
        </w:tc>
        <w:tc>
          <w:tcPr>
            <w:tcW w:w="850" w:type="dxa"/>
            <w:shd w:val="clear" w:color="auto" w:fill="auto"/>
            <w:vAlign w:val="bottom"/>
          </w:tcPr>
          <w:p w14:paraId="6B8C3AD3" w14:textId="77777777" w:rsidR="001C5E0E" w:rsidRPr="007B750E" w:rsidRDefault="001C5E0E" w:rsidP="001C5E0E">
            <w:pPr>
              <w:jc w:val="right"/>
              <w:rPr>
                <w:color w:val="000000"/>
                <w:sz w:val="16"/>
                <w:szCs w:val="16"/>
                <w:lang w:eastAsia="en-NZ"/>
              </w:rPr>
            </w:pPr>
            <w:r w:rsidRPr="00FB6528">
              <w:rPr>
                <w:color w:val="000000"/>
                <w:sz w:val="16"/>
                <w:szCs w:val="16"/>
                <w:lang w:eastAsia="en-NZ"/>
              </w:rPr>
              <w:t>&lt;</w:t>
            </w:r>
            <w:r>
              <w:rPr>
                <w:color w:val="000000"/>
                <w:sz w:val="16"/>
                <w:szCs w:val="16"/>
                <w:lang w:eastAsia="en-NZ"/>
              </w:rPr>
              <w:t>0</w:t>
            </w:r>
            <w:r w:rsidRPr="00FB6528">
              <w:rPr>
                <w:color w:val="000000"/>
                <w:sz w:val="16"/>
                <w:szCs w:val="16"/>
                <w:lang w:eastAsia="en-NZ"/>
              </w:rPr>
              <w:t>.0001</w:t>
            </w:r>
          </w:p>
        </w:tc>
      </w:tr>
      <w:tr w:rsidR="001C5E0E" w:rsidRPr="001A61F1" w14:paraId="346F7CE1" w14:textId="77777777" w:rsidTr="005F3C25">
        <w:tc>
          <w:tcPr>
            <w:tcW w:w="5387" w:type="dxa"/>
            <w:vAlign w:val="bottom"/>
          </w:tcPr>
          <w:p w14:paraId="581BBAC2" w14:textId="77777777" w:rsidR="001C5E0E" w:rsidRPr="003F15C0" w:rsidRDefault="001C5E0E" w:rsidP="001C5E0E">
            <w:pPr>
              <w:spacing w:before="20"/>
              <w:jc w:val="both"/>
              <w:rPr>
                <w:b/>
                <w:sz w:val="16"/>
                <w:szCs w:val="16"/>
              </w:rPr>
            </w:pPr>
            <w:r w:rsidRPr="003F15C0">
              <w:rPr>
                <w:b/>
                <w:sz w:val="16"/>
                <w:szCs w:val="16"/>
              </w:rPr>
              <w:t>Gambling frequency</w:t>
            </w:r>
          </w:p>
        </w:tc>
        <w:tc>
          <w:tcPr>
            <w:tcW w:w="992" w:type="dxa"/>
            <w:shd w:val="clear" w:color="auto" w:fill="auto"/>
            <w:vAlign w:val="bottom"/>
          </w:tcPr>
          <w:p w14:paraId="3AD89698"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22161133"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439E8C0C" w14:textId="77777777" w:rsidR="001C5E0E" w:rsidRPr="007B750E" w:rsidRDefault="001C5E0E" w:rsidP="001C5E0E">
            <w:pPr>
              <w:jc w:val="right"/>
              <w:rPr>
                <w:color w:val="000000"/>
                <w:sz w:val="16"/>
                <w:szCs w:val="16"/>
                <w:lang w:eastAsia="en-NZ"/>
              </w:rPr>
            </w:pPr>
          </w:p>
        </w:tc>
      </w:tr>
      <w:tr w:rsidR="001C5E0E" w:rsidRPr="001A61F1" w14:paraId="298263DD" w14:textId="77777777" w:rsidTr="005F3C25">
        <w:tc>
          <w:tcPr>
            <w:tcW w:w="5387" w:type="dxa"/>
          </w:tcPr>
          <w:p w14:paraId="34169962" w14:textId="77777777" w:rsidR="001C5E0E" w:rsidRPr="003F15C0" w:rsidRDefault="001C5E0E" w:rsidP="001C5E0E">
            <w:pPr>
              <w:spacing w:before="20"/>
              <w:ind w:left="176"/>
              <w:jc w:val="both"/>
              <w:rPr>
                <w:sz w:val="16"/>
                <w:szCs w:val="16"/>
              </w:rPr>
            </w:pPr>
            <w:r w:rsidRPr="003F15C0">
              <w:rPr>
                <w:sz w:val="16"/>
                <w:szCs w:val="16"/>
              </w:rPr>
              <w:t>At least weekly</w:t>
            </w:r>
          </w:p>
        </w:tc>
        <w:tc>
          <w:tcPr>
            <w:tcW w:w="992" w:type="dxa"/>
            <w:shd w:val="clear" w:color="auto" w:fill="auto"/>
            <w:vAlign w:val="bottom"/>
          </w:tcPr>
          <w:p w14:paraId="62070FAE" w14:textId="77777777" w:rsidR="001C5E0E" w:rsidRPr="00FB6528" w:rsidRDefault="001C5E0E" w:rsidP="001C5E0E">
            <w:pPr>
              <w:jc w:val="right"/>
              <w:rPr>
                <w:color w:val="000000"/>
                <w:sz w:val="16"/>
                <w:szCs w:val="16"/>
                <w:lang w:eastAsia="en-NZ"/>
              </w:rPr>
            </w:pPr>
            <w:r w:rsidRPr="00FB6528">
              <w:rPr>
                <w:color w:val="000000"/>
                <w:sz w:val="16"/>
                <w:szCs w:val="16"/>
                <w:lang w:eastAsia="en-NZ"/>
              </w:rPr>
              <w:t>1.00</w:t>
            </w:r>
          </w:p>
        </w:tc>
        <w:tc>
          <w:tcPr>
            <w:tcW w:w="1276" w:type="dxa"/>
            <w:shd w:val="clear" w:color="auto" w:fill="auto"/>
            <w:vAlign w:val="bottom"/>
          </w:tcPr>
          <w:p w14:paraId="43F16033" w14:textId="77777777" w:rsidR="001C5E0E" w:rsidRPr="00FB6528" w:rsidRDefault="001C5E0E" w:rsidP="001C5E0E">
            <w:pPr>
              <w:jc w:val="right"/>
              <w:rPr>
                <w:color w:val="000000"/>
                <w:sz w:val="16"/>
                <w:szCs w:val="16"/>
                <w:lang w:eastAsia="en-NZ"/>
              </w:rPr>
            </w:pPr>
          </w:p>
        </w:tc>
        <w:tc>
          <w:tcPr>
            <w:tcW w:w="850" w:type="dxa"/>
            <w:shd w:val="clear" w:color="auto" w:fill="auto"/>
            <w:vAlign w:val="bottom"/>
          </w:tcPr>
          <w:p w14:paraId="1E046423" w14:textId="77777777" w:rsidR="001C5E0E" w:rsidRPr="00FB6528" w:rsidRDefault="001C5E0E" w:rsidP="001C5E0E">
            <w:pPr>
              <w:jc w:val="right"/>
              <w:rPr>
                <w:color w:val="000000"/>
                <w:sz w:val="16"/>
                <w:szCs w:val="16"/>
                <w:lang w:eastAsia="en-NZ"/>
              </w:rPr>
            </w:pPr>
          </w:p>
        </w:tc>
      </w:tr>
      <w:tr w:rsidR="001C5E0E" w:rsidRPr="001A61F1" w14:paraId="1B006B52" w14:textId="77777777" w:rsidTr="005F3C25">
        <w:tc>
          <w:tcPr>
            <w:tcW w:w="5387" w:type="dxa"/>
          </w:tcPr>
          <w:p w14:paraId="0A3DE443" w14:textId="77777777" w:rsidR="001C5E0E" w:rsidRPr="003F15C0" w:rsidRDefault="001C5E0E" w:rsidP="001C5E0E">
            <w:pPr>
              <w:spacing w:before="20"/>
              <w:ind w:left="176"/>
              <w:jc w:val="both"/>
              <w:rPr>
                <w:sz w:val="16"/>
                <w:szCs w:val="16"/>
              </w:rPr>
            </w:pPr>
            <w:r w:rsidRPr="003F15C0">
              <w:rPr>
                <w:sz w:val="16"/>
                <w:szCs w:val="16"/>
              </w:rPr>
              <w:t>At least monthly</w:t>
            </w:r>
          </w:p>
        </w:tc>
        <w:tc>
          <w:tcPr>
            <w:tcW w:w="992" w:type="dxa"/>
            <w:shd w:val="clear" w:color="auto" w:fill="auto"/>
            <w:vAlign w:val="bottom"/>
          </w:tcPr>
          <w:p w14:paraId="036AA30E" w14:textId="77777777" w:rsidR="001C5E0E" w:rsidRPr="00FB6528" w:rsidRDefault="001C5E0E" w:rsidP="001C5E0E">
            <w:pPr>
              <w:jc w:val="right"/>
              <w:rPr>
                <w:color w:val="000000"/>
                <w:sz w:val="16"/>
                <w:szCs w:val="16"/>
                <w:lang w:eastAsia="en-NZ"/>
              </w:rPr>
            </w:pPr>
            <w:r w:rsidRPr="00FB6528">
              <w:rPr>
                <w:color w:val="000000"/>
                <w:sz w:val="16"/>
                <w:szCs w:val="16"/>
                <w:lang w:eastAsia="en-NZ"/>
              </w:rPr>
              <w:t>0.40</w:t>
            </w:r>
          </w:p>
        </w:tc>
        <w:tc>
          <w:tcPr>
            <w:tcW w:w="1276" w:type="dxa"/>
            <w:shd w:val="clear" w:color="auto" w:fill="auto"/>
            <w:vAlign w:val="bottom"/>
          </w:tcPr>
          <w:p w14:paraId="2CFDF2DB" w14:textId="77777777" w:rsidR="001C5E0E" w:rsidRPr="00FB6528" w:rsidRDefault="001C5E0E" w:rsidP="001C5E0E">
            <w:pPr>
              <w:jc w:val="right"/>
              <w:rPr>
                <w:color w:val="000000"/>
                <w:sz w:val="16"/>
                <w:szCs w:val="16"/>
                <w:lang w:eastAsia="en-NZ"/>
              </w:rPr>
            </w:pPr>
            <w:r w:rsidRPr="00FB6528">
              <w:rPr>
                <w:color w:val="000000"/>
                <w:sz w:val="16"/>
                <w:szCs w:val="16"/>
                <w:lang w:eastAsia="en-NZ"/>
              </w:rPr>
              <w:t>(0.29, 0.55)</w:t>
            </w:r>
          </w:p>
        </w:tc>
        <w:tc>
          <w:tcPr>
            <w:tcW w:w="850" w:type="dxa"/>
            <w:shd w:val="clear" w:color="auto" w:fill="auto"/>
            <w:vAlign w:val="bottom"/>
          </w:tcPr>
          <w:p w14:paraId="255A79D3" w14:textId="77777777" w:rsidR="001C5E0E" w:rsidRPr="00FB6528" w:rsidRDefault="001C5E0E" w:rsidP="001C5E0E">
            <w:pPr>
              <w:jc w:val="right"/>
              <w:rPr>
                <w:color w:val="000000"/>
                <w:sz w:val="16"/>
                <w:szCs w:val="16"/>
                <w:lang w:eastAsia="en-NZ"/>
              </w:rPr>
            </w:pPr>
          </w:p>
        </w:tc>
      </w:tr>
      <w:tr w:rsidR="001C5E0E" w:rsidRPr="001A61F1" w14:paraId="63385D71" w14:textId="77777777" w:rsidTr="00826105">
        <w:tc>
          <w:tcPr>
            <w:tcW w:w="5387" w:type="dxa"/>
          </w:tcPr>
          <w:p w14:paraId="7A21F031" w14:textId="77777777" w:rsidR="001C5E0E" w:rsidRPr="003F15C0" w:rsidRDefault="001C5E0E" w:rsidP="001C5E0E">
            <w:pPr>
              <w:spacing w:before="20"/>
              <w:ind w:left="176"/>
              <w:jc w:val="both"/>
              <w:rPr>
                <w:sz w:val="16"/>
                <w:szCs w:val="16"/>
              </w:rPr>
            </w:pPr>
            <w:r w:rsidRPr="003F15C0">
              <w:rPr>
                <w:sz w:val="16"/>
                <w:szCs w:val="16"/>
              </w:rPr>
              <w:t>At least once in past year</w:t>
            </w:r>
          </w:p>
        </w:tc>
        <w:tc>
          <w:tcPr>
            <w:tcW w:w="992" w:type="dxa"/>
            <w:shd w:val="clear" w:color="auto" w:fill="auto"/>
            <w:vAlign w:val="bottom"/>
          </w:tcPr>
          <w:p w14:paraId="03088BFA" w14:textId="77777777" w:rsidR="001C5E0E" w:rsidRPr="00FB6528" w:rsidRDefault="001C5E0E" w:rsidP="001C5E0E">
            <w:pPr>
              <w:jc w:val="right"/>
              <w:rPr>
                <w:color w:val="000000"/>
                <w:sz w:val="16"/>
                <w:szCs w:val="16"/>
                <w:lang w:eastAsia="en-NZ"/>
              </w:rPr>
            </w:pPr>
            <w:r w:rsidRPr="00FB6528">
              <w:rPr>
                <w:color w:val="000000"/>
                <w:sz w:val="16"/>
                <w:szCs w:val="16"/>
                <w:lang w:eastAsia="en-NZ"/>
              </w:rPr>
              <w:t>0.15</w:t>
            </w:r>
          </w:p>
        </w:tc>
        <w:tc>
          <w:tcPr>
            <w:tcW w:w="1276" w:type="dxa"/>
            <w:shd w:val="clear" w:color="auto" w:fill="auto"/>
            <w:vAlign w:val="bottom"/>
          </w:tcPr>
          <w:p w14:paraId="79EEB92D" w14:textId="77777777" w:rsidR="001C5E0E" w:rsidRPr="00FB6528" w:rsidRDefault="001C5E0E" w:rsidP="001C5E0E">
            <w:pPr>
              <w:jc w:val="right"/>
              <w:rPr>
                <w:color w:val="000000"/>
                <w:sz w:val="16"/>
                <w:szCs w:val="16"/>
                <w:lang w:eastAsia="en-NZ"/>
              </w:rPr>
            </w:pPr>
            <w:r w:rsidRPr="00FB6528">
              <w:rPr>
                <w:color w:val="000000"/>
                <w:sz w:val="16"/>
                <w:szCs w:val="16"/>
                <w:lang w:eastAsia="en-NZ"/>
              </w:rPr>
              <w:t>(0.11, 0.22)</w:t>
            </w:r>
          </w:p>
        </w:tc>
        <w:tc>
          <w:tcPr>
            <w:tcW w:w="850" w:type="dxa"/>
            <w:shd w:val="clear" w:color="auto" w:fill="auto"/>
            <w:vAlign w:val="bottom"/>
          </w:tcPr>
          <w:p w14:paraId="5642FEDE" w14:textId="77777777" w:rsidR="001C5E0E" w:rsidRPr="00FB6528" w:rsidRDefault="001C5E0E" w:rsidP="001C5E0E">
            <w:pPr>
              <w:jc w:val="right"/>
              <w:rPr>
                <w:color w:val="000000"/>
                <w:sz w:val="16"/>
                <w:szCs w:val="16"/>
                <w:lang w:eastAsia="en-NZ"/>
              </w:rPr>
            </w:pPr>
            <w:r w:rsidRPr="00FB6528">
              <w:rPr>
                <w:color w:val="000000"/>
                <w:sz w:val="16"/>
                <w:szCs w:val="16"/>
                <w:lang w:eastAsia="en-NZ"/>
              </w:rPr>
              <w:t>&lt;</w:t>
            </w:r>
            <w:r>
              <w:rPr>
                <w:color w:val="000000"/>
                <w:sz w:val="16"/>
                <w:szCs w:val="16"/>
                <w:lang w:eastAsia="en-NZ"/>
              </w:rPr>
              <w:t>0</w:t>
            </w:r>
            <w:r w:rsidRPr="00FB6528">
              <w:rPr>
                <w:color w:val="000000"/>
                <w:sz w:val="16"/>
                <w:szCs w:val="16"/>
                <w:lang w:eastAsia="en-NZ"/>
              </w:rPr>
              <w:t>.0001</w:t>
            </w:r>
          </w:p>
        </w:tc>
      </w:tr>
      <w:tr w:rsidR="001C5E0E" w:rsidRPr="001A61F1" w14:paraId="16C63786" w14:textId="77777777" w:rsidTr="005F3C25">
        <w:tc>
          <w:tcPr>
            <w:tcW w:w="5387" w:type="dxa"/>
            <w:vAlign w:val="bottom"/>
          </w:tcPr>
          <w:p w14:paraId="0465AD3E" w14:textId="77777777" w:rsidR="001C5E0E" w:rsidRPr="003F15C0" w:rsidRDefault="001C5E0E" w:rsidP="001C5E0E">
            <w:pPr>
              <w:keepNext/>
              <w:keepLines/>
              <w:spacing w:before="20"/>
              <w:jc w:val="both"/>
              <w:rPr>
                <w:b/>
                <w:sz w:val="16"/>
                <w:szCs w:val="16"/>
              </w:rPr>
            </w:pPr>
            <w:r w:rsidRPr="003F15C0">
              <w:rPr>
                <w:rFonts w:eastAsiaTheme="minorEastAsia"/>
                <w:b/>
                <w:sz w:val="16"/>
                <w:szCs w:val="16"/>
                <w:lang w:eastAsia="en-US"/>
              </w:rPr>
              <w:t>Typical monthly gambling expenditure</w:t>
            </w:r>
          </w:p>
        </w:tc>
        <w:tc>
          <w:tcPr>
            <w:tcW w:w="992" w:type="dxa"/>
            <w:shd w:val="clear" w:color="auto" w:fill="auto"/>
            <w:vAlign w:val="bottom"/>
          </w:tcPr>
          <w:p w14:paraId="4BB3DA4C"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4DCA66FB"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68DD8F10" w14:textId="77777777" w:rsidR="001C5E0E" w:rsidRPr="007B750E" w:rsidRDefault="001C5E0E" w:rsidP="001C5E0E">
            <w:pPr>
              <w:jc w:val="right"/>
              <w:rPr>
                <w:color w:val="000000"/>
                <w:sz w:val="16"/>
                <w:szCs w:val="16"/>
                <w:lang w:eastAsia="en-NZ"/>
              </w:rPr>
            </w:pPr>
          </w:p>
        </w:tc>
      </w:tr>
      <w:tr w:rsidR="001C5E0E" w:rsidRPr="001A61F1" w14:paraId="36847A88" w14:textId="77777777" w:rsidTr="005F3C25">
        <w:tc>
          <w:tcPr>
            <w:tcW w:w="5387" w:type="dxa"/>
          </w:tcPr>
          <w:p w14:paraId="4D4CD9EF" w14:textId="77777777" w:rsidR="001C5E0E" w:rsidRPr="003F15C0" w:rsidRDefault="00616DE1" w:rsidP="001C5E0E">
            <w:pPr>
              <w:spacing w:before="20"/>
              <w:ind w:left="176"/>
              <w:jc w:val="both"/>
              <w:rPr>
                <w:sz w:val="16"/>
                <w:szCs w:val="16"/>
              </w:rPr>
            </w:pPr>
            <w:r>
              <w:rPr>
                <w:sz w:val="16"/>
                <w:szCs w:val="16"/>
              </w:rPr>
              <w:t>≤</w:t>
            </w:r>
            <w:r w:rsidR="001C5E0E" w:rsidRPr="003F15C0">
              <w:rPr>
                <w:sz w:val="16"/>
                <w:szCs w:val="16"/>
              </w:rPr>
              <w:t>$</w:t>
            </w:r>
            <w:r w:rsidR="001C5E0E">
              <w:rPr>
                <w:sz w:val="16"/>
                <w:szCs w:val="16"/>
              </w:rPr>
              <w:t>20</w:t>
            </w:r>
          </w:p>
        </w:tc>
        <w:tc>
          <w:tcPr>
            <w:tcW w:w="992" w:type="dxa"/>
            <w:shd w:val="clear" w:color="auto" w:fill="auto"/>
            <w:vAlign w:val="bottom"/>
          </w:tcPr>
          <w:p w14:paraId="18517FE4" w14:textId="77777777" w:rsidR="001C5E0E" w:rsidRPr="005F3C25" w:rsidRDefault="001C5E0E" w:rsidP="001C5E0E">
            <w:pPr>
              <w:jc w:val="right"/>
              <w:rPr>
                <w:color w:val="000000"/>
                <w:sz w:val="16"/>
                <w:szCs w:val="16"/>
                <w:lang w:eastAsia="en-NZ"/>
              </w:rPr>
            </w:pPr>
            <w:r w:rsidRPr="005F3C25">
              <w:rPr>
                <w:color w:val="000000"/>
                <w:sz w:val="16"/>
                <w:szCs w:val="16"/>
                <w:lang w:eastAsia="en-NZ"/>
              </w:rPr>
              <w:t>1.00</w:t>
            </w:r>
          </w:p>
        </w:tc>
        <w:tc>
          <w:tcPr>
            <w:tcW w:w="1276" w:type="dxa"/>
            <w:shd w:val="clear" w:color="auto" w:fill="auto"/>
            <w:vAlign w:val="bottom"/>
          </w:tcPr>
          <w:p w14:paraId="09A40E0C" w14:textId="77777777" w:rsidR="001C5E0E" w:rsidRPr="005F3C25" w:rsidRDefault="001C5E0E" w:rsidP="001C5E0E">
            <w:pPr>
              <w:jc w:val="right"/>
              <w:rPr>
                <w:color w:val="000000"/>
                <w:sz w:val="16"/>
                <w:szCs w:val="16"/>
                <w:lang w:eastAsia="en-NZ"/>
              </w:rPr>
            </w:pPr>
          </w:p>
        </w:tc>
        <w:tc>
          <w:tcPr>
            <w:tcW w:w="850" w:type="dxa"/>
            <w:shd w:val="clear" w:color="auto" w:fill="auto"/>
            <w:vAlign w:val="bottom"/>
          </w:tcPr>
          <w:p w14:paraId="75BB8905" w14:textId="77777777" w:rsidR="001C5E0E" w:rsidRPr="005F3C25" w:rsidRDefault="001C5E0E" w:rsidP="001C5E0E">
            <w:pPr>
              <w:jc w:val="right"/>
              <w:rPr>
                <w:color w:val="000000"/>
                <w:sz w:val="16"/>
                <w:szCs w:val="16"/>
                <w:lang w:eastAsia="en-NZ"/>
              </w:rPr>
            </w:pPr>
          </w:p>
        </w:tc>
      </w:tr>
      <w:tr w:rsidR="001C5E0E" w:rsidRPr="001A61F1" w14:paraId="44D51E2E" w14:textId="77777777" w:rsidTr="005F3C25">
        <w:tc>
          <w:tcPr>
            <w:tcW w:w="5387" w:type="dxa"/>
          </w:tcPr>
          <w:p w14:paraId="135D74AC" w14:textId="77777777" w:rsidR="001C5E0E" w:rsidRPr="003F15C0" w:rsidRDefault="001C5E0E" w:rsidP="001C5E0E">
            <w:pPr>
              <w:spacing w:before="20"/>
              <w:ind w:left="176"/>
              <w:jc w:val="both"/>
              <w:rPr>
                <w:sz w:val="16"/>
                <w:szCs w:val="16"/>
              </w:rPr>
            </w:pPr>
            <w:r w:rsidRPr="003F15C0">
              <w:rPr>
                <w:sz w:val="16"/>
                <w:szCs w:val="16"/>
              </w:rPr>
              <w:t>$21 - $</w:t>
            </w:r>
            <w:r>
              <w:rPr>
                <w:sz w:val="16"/>
                <w:szCs w:val="16"/>
              </w:rPr>
              <w:t>5</w:t>
            </w:r>
            <w:r w:rsidRPr="003F15C0">
              <w:rPr>
                <w:sz w:val="16"/>
                <w:szCs w:val="16"/>
              </w:rPr>
              <w:t>0</w:t>
            </w:r>
          </w:p>
        </w:tc>
        <w:tc>
          <w:tcPr>
            <w:tcW w:w="992" w:type="dxa"/>
            <w:shd w:val="clear" w:color="auto" w:fill="auto"/>
            <w:vAlign w:val="bottom"/>
          </w:tcPr>
          <w:p w14:paraId="0351A5FB" w14:textId="77777777" w:rsidR="001C5E0E" w:rsidRPr="005F3C25" w:rsidRDefault="001C5E0E" w:rsidP="001C5E0E">
            <w:pPr>
              <w:jc w:val="right"/>
              <w:rPr>
                <w:color w:val="000000"/>
                <w:sz w:val="16"/>
                <w:szCs w:val="16"/>
                <w:lang w:eastAsia="en-NZ"/>
              </w:rPr>
            </w:pPr>
            <w:r w:rsidRPr="005F3C25">
              <w:rPr>
                <w:color w:val="000000"/>
                <w:sz w:val="16"/>
                <w:szCs w:val="16"/>
                <w:lang w:eastAsia="en-NZ"/>
              </w:rPr>
              <w:t>1.89</w:t>
            </w:r>
          </w:p>
        </w:tc>
        <w:tc>
          <w:tcPr>
            <w:tcW w:w="1276" w:type="dxa"/>
            <w:shd w:val="clear" w:color="auto" w:fill="auto"/>
            <w:vAlign w:val="bottom"/>
          </w:tcPr>
          <w:p w14:paraId="6E594A33" w14:textId="77777777" w:rsidR="001C5E0E" w:rsidRPr="005F3C25" w:rsidRDefault="001C5E0E" w:rsidP="001C5E0E">
            <w:pPr>
              <w:jc w:val="right"/>
              <w:rPr>
                <w:color w:val="000000"/>
                <w:sz w:val="16"/>
                <w:szCs w:val="16"/>
                <w:lang w:eastAsia="en-NZ"/>
              </w:rPr>
            </w:pPr>
            <w:r w:rsidRPr="005F3C25">
              <w:rPr>
                <w:color w:val="000000"/>
                <w:sz w:val="16"/>
                <w:szCs w:val="16"/>
                <w:lang w:eastAsia="en-NZ"/>
              </w:rPr>
              <w:t>(1.33, 2.69)</w:t>
            </w:r>
          </w:p>
        </w:tc>
        <w:tc>
          <w:tcPr>
            <w:tcW w:w="850" w:type="dxa"/>
            <w:shd w:val="clear" w:color="auto" w:fill="auto"/>
            <w:vAlign w:val="bottom"/>
          </w:tcPr>
          <w:p w14:paraId="72807353" w14:textId="77777777" w:rsidR="001C5E0E" w:rsidRPr="005F3C25" w:rsidRDefault="001C5E0E" w:rsidP="001C5E0E">
            <w:pPr>
              <w:jc w:val="right"/>
              <w:rPr>
                <w:color w:val="000000"/>
                <w:sz w:val="16"/>
                <w:szCs w:val="16"/>
                <w:lang w:eastAsia="en-NZ"/>
              </w:rPr>
            </w:pPr>
          </w:p>
        </w:tc>
      </w:tr>
      <w:tr w:rsidR="001C5E0E" w:rsidRPr="001A61F1" w14:paraId="66AA0F0E" w14:textId="77777777" w:rsidTr="00826105">
        <w:tc>
          <w:tcPr>
            <w:tcW w:w="5387" w:type="dxa"/>
          </w:tcPr>
          <w:p w14:paraId="3EF39B42" w14:textId="77777777" w:rsidR="001C5E0E" w:rsidRPr="003F15C0" w:rsidRDefault="001C5E0E" w:rsidP="001C5E0E">
            <w:pPr>
              <w:spacing w:before="20"/>
              <w:ind w:left="176"/>
              <w:jc w:val="both"/>
              <w:rPr>
                <w:sz w:val="16"/>
                <w:szCs w:val="16"/>
              </w:rPr>
            </w:pPr>
            <w:r>
              <w:rPr>
                <w:sz w:val="16"/>
                <w:szCs w:val="16"/>
              </w:rPr>
              <w:t>&gt;$50</w:t>
            </w:r>
          </w:p>
        </w:tc>
        <w:tc>
          <w:tcPr>
            <w:tcW w:w="992" w:type="dxa"/>
            <w:shd w:val="clear" w:color="auto" w:fill="auto"/>
            <w:vAlign w:val="bottom"/>
          </w:tcPr>
          <w:p w14:paraId="229816EF" w14:textId="77777777" w:rsidR="001C5E0E" w:rsidRPr="005F3C25" w:rsidRDefault="001C5E0E" w:rsidP="001C5E0E">
            <w:pPr>
              <w:jc w:val="right"/>
              <w:rPr>
                <w:color w:val="000000"/>
                <w:sz w:val="16"/>
                <w:szCs w:val="16"/>
                <w:lang w:eastAsia="en-NZ"/>
              </w:rPr>
            </w:pPr>
            <w:r w:rsidRPr="005F3C25">
              <w:rPr>
                <w:color w:val="000000"/>
                <w:sz w:val="16"/>
                <w:szCs w:val="16"/>
                <w:lang w:eastAsia="en-NZ"/>
              </w:rPr>
              <w:t>8.24</w:t>
            </w:r>
          </w:p>
        </w:tc>
        <w:tc>
          <w:tcPr>
            <w:tcW w:w="1276" w:type="dxa"/>
            <w:shd w:val="clear" w:color="auto" w:fill="auto"/>
            <w:vAlign w:val="bottom"/>
          </w:tcPr>
          <w:p w14:paraId="3FB48E24" w14:textId="77777777" w:rsidR="001C5E0E" w:rsidRPr="005F3C25" w:rsidRDefault="001C5E0E" w:rsidP="001C5E0E">
            <w:pPr>
              <w:jc w:val="right"/>
              <w:rPr>
                <w:color w:val="000000"/>
                <w:sz w:val="16"/>
                <w:szCs w:val="16"/>
                <w:lang w:eastAsia="en-NZ"/>
              </w:rPr>
            </w:pPr>
            <w:r w:rsidRPr="005F3C25">
              <w:rPr>
                <w:color w:val="000000"/>
                <w:sz w:val="16"/>
                <w:szCs w:val="16"/>
                <w:lang w:eastAsia="en-NZ"/>
              </w:rPr>
              <w:t>(5.85, 11.60)</w:t>
            </w:r>
          </w:p>
        </w:tc>
        <w:tc>
          <w:tcPr>
            <w:tcW w:w="850" w:type="dxa"/>
            <w:shd w:val="clear" w:color="auto" w:fill="auto"/>
            <w:vAlign w:val="bottom"/>
          </w:tcPr>
          <w:p w14:paraId="0CBDC137" w14:textId="77777777" w:rsidR="001C5E0E" w:rsidRPr="005F3C25" w:rsidRDefault="001C5E0E" w:rsidP="001C5E0E">
            <w:pPr>
              <w:jc w:val="right"/>
              <w:rPr>
                <w:color w:val="000000"/>
                <w:sz w:val="16"/>
                <w:szCs w:val="16"/>
                <w:lang w:eastAsia="en-NZ"/>
              </w:rPr>
            </w:pPr>
            <w:r w:rsidRPr="005F3C25">
              <w:rPr>
                <w:color w:val="000000"/>
                <w:sz w:val="16"/>
                <w:szCs w:val="16"/>
                <w:lang w:eastAsia="en-NZ"/>
              </w:rPr>
              <w:t>&lt;</w:t>
            </w:r>
            <w:r>
              <w:rPr>
                <w:color w:val="000000"/>
                <w:sz w:val="16"/>
                <w:szCs w:val="16"/>
                <w:lang w:eastAsia="en-NZ"/>
              </w:rPr>
              <w:t>0</w:t>
            </w:r>
            <w:r w:rsidRPr="005F3C25">
              <w:rPr>
                <w:color w:val="000000"/>
                <w:sz w:val="16"/>
                <w:szCs w:val="16"/>
                <w:lang w:eastAsia="en-NZ"/>
              </w:rPr>
              <w:t>.0001</w:t>
            </w:r>
          </w:p>
        </w:tc>
      </w:tr>
      <w:tr w:rsidR="001C5E0E" w:rsidRPr="001A61F1" w14:paraId="17217194" w14:textId="77777777" w:rsidTr="005F3C25">
        <w:tc>
          <w:tcPr>
            <w:tcW w:w="5387" w:type="dxa"/>
            <w:vAlign w:val="bottom"/>
          </w:tcPr>
          <w:p w14:paraId="25106F25" w14:textId="77777777" w:rsidR="001C5E0E" w:rsidRPr="003F15C0" w:rsidRDefault="001C5E0E" w:rsidP="001C5E0E">
            <w:pPr>
              <w:spacing w:before="20"/>
              <w:jc w:val="both"/>
              <w:rPr>
                <w:b/>
                <w:sz w:val="16"/>
                <w:szCs w:val="16"/>
              </w:rPr>
            </w:pPr>
            <w:r w:rsidRPr="003F15C0">
              <w:rPr>
                <w:b/>
                <w:sz w:val="16"/>
                <w:szCs w:val="16"/>
              </w:rPr>
              <w:t>Cards games - annual</w:t>
            </w:r>
          </w:p>
        </w:tc>
        <w:tc>
          <w:tcPr>
            <w:tcW w:w="992" w:type="dxa"/>
            <w:shd w:val="clear" w:color="auto" w:fill="auto"/>
            <w:vAlign w:val="bottom"/>
          </w:tcPr>
          <w:p w14:paraId="028496DE"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339C6D82"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1321EA2D" w14:textId="77777777" w:rsidR="001C5E0E" w:rsidRPr="007B750E" w:rsidRDefault="001C5E0E" w:rsidP="001C5E0E">
            <w:pPr>
              <w:jc w:val="right"/>
              <w:rPr>
                <w:color w:val="000000"/>
                <w:sz w:val="16"/>
                <w:szCs w:val="16"/>
                <w:lang w:eastAsia="en-NZ"/>
              </w:rPr>
            </w:pPr>
          </w:p>
        </w:tc>
      </w:tr>
      <w:tr w:rsidR="001C5E0E" w:rsidRPr="001A61F1" w14:paraId="1717B60B" w14:textId="77777777" w:rsidTr="005F3C25">
        <w:tc>
          <w:tcPr>
            <w:tcW w:w="5387" w:type="dxa"/>
          </w:tcPr>
          <w:p w14:paraId="790EFB33"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4EC7DBD2" w14:textId="77777777" w:rsidR="001C5E0E" w:rsidRPr="00F939A9" w:rsidRDefault="001C5E0E" w:rsidP="001C5E0E">
            <w:pPr>
              <w:jc w:val="right"/>
              <w:rPr>
                <w:color w:val="000000"/>
                <w:sz w:val="16"/>
                <w:szCs w:val="16"/>
                <w:lang w:eastAsia="en-NZ"/>
              </w:rPr>
            </w:pPr>
            <w:r w:rsidRPr="00F939A9">
              <w:rPr>
                <w:color w:val="000000"/>
                <w:sz w:val="16"/>
                <w:szCs w:val="16"/>
                <w:lang w:eastAsia="en-NZ"/>
              </w:rPr>
              <w:t>1.00</w:t>
            </w:r>
          </w:p>
        </w:tc>
        <w:tc>
          <w:tcPr>
            <w:tcW w:w="1276" w:type="dxa"/>
            <w:shd w:val="clear" w:color="auto" w:fill="auto"/>
            <w:vAlign w:val="bottom"/>
          </w:tcPr>
          <w:p w14:paraId="6448F0B6" w14:textId="77777777" w:rsidR="001C5E0E" w:rsidRPr="00F939A9" w:rsidRDefault="001C5E0E" w:rsidP="001C5E0E">
            <w:pPr>
              <w:jc w:val="right"/>
              <w:rPr>
                <w:color w:val="000000"/>
                <w:sz w:val="16"/>
                <w:szCs w:val="16"/>
                <w:lang w:eastAsia="en-NZ"/>
              </w:rPr>
            </w:pPr>
          </w:p>
        </w:tc>
        <w:tc>
          <w:tcPr>
            <w:tcW w:w="850" w:type="dxa"/>
            <w:shd w:val="clear" w:color="auto" w:fill="auto"/>
            <w:vAlign w:val="bottom"/>
          </w:tcPr>
          <w:p w14:paraId="5D4765C2" w14:textId="77777777" w:rsidR="001C5E0E" w:rsidRPr="00F939A9" w:rsidRDefault="001C5E0E" w:rsidP="001C5E0E">
            <w:pPr>
              <w:jc w:val="right"/>
              <w:rPr>
                <w:color w:val="000000"/>
                <w:sz w:val="16"/>
                <w:szCs w:val="16"/>
                <w:lang w:eastAsia="en-NZ"/>
              </w:rPr>
            </w:pPr>
          </w:p>
        </w:tc>
      </w:tr>
      <w:tr w:rsidR="001C5E0E" w:rsidRPr="001A61F1" w14:paraId="67A06B1F" w14:textId="77777777" w:rsidTr="00826105">
        <w:tc>
          <w:tcPr>
            <w:tcW w:w="5387" w:type="dxa"/>
          </w:tcPr>
          <w:p w14:paraId="03AF936D"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01B75E65" w14:textId="77777777" w:rsidR="001C5E0E" w:rsidRPr="00F939A9" w:rsidRDefault="001C5E0E" w:rsidP="001C5E0E">
            <w:pPr>
              <w:jc w:val="right"/>
              <w:rPr>
                <w:color w:val="000000"/>
                <w:sz w:val="16"/>
                <w:szCs w:val="16"/>
                <w:lang w:eastAsia="en-NZ"/>
              </w:rPr>
            </w:pPr>
            <w:r w:rsidRPr="00F939A9">
              <w:rPr>
                <w:color w:val="000000"/>
                <w:sz w:val="16"/>
                <w:szCs w:val="16"/>
                <w:lang w:eastAsia="en-NZ"/>
              </w:rPr>
              <w:t>5.25</w:t>
            </w:r>
          </w:p>
        </w:tc>
        <w:tc>
          <w:tcPr>
            <w:tcW w:w="1276" w:type="dxa"/>
            <w:shd w:val="clear" w:color="auto" w:fill="auto"/>
            <w:vAlign w:val="bottom"/>
          </w:tcPr>
          <w:p w14:paraId="72ACF918" w14:textId="77777777" w:rsidR="001C5E0E" w:rsidRPr="00F939A9" w:rsidRDefault="001C5E0E" w:rsidP="001C5E0E">
            <w:pPr>
              <w:jc w:val="right"/>
              <w:rPr>
                <w:color w:val="000000"/>
                <w:sz w:val="16"/>
                <w:szCs w:val="16"/>
                <w:lang w:eastAsia="en-NZ"/>
              </w:rPr>
            </w:pPr>
            <w:r w:rsidRPr="00F939A9">
              <w:rPr>
                <w:color w:val="000000"/>
                <w:sz w:val="16"/>
                <w:szCs w:val="16"/>
                <w:lang w:eastAsia="en-NZ"/>
              </w:rPr>
              <w:t>(3.10, 8.89)</w:t>
            </w:r>
          </w:p>
        </w:tc>
        <w:tc>
          <w:tcPr>
            <w:tcW w:w="850" w:type="dxa"/>
            <w:shd w:val="clear" w:color="auto" w:fill="auto"/>
            <w:vAlign w:val="bottom"/>
          </w:tcPr>
          <w:p w14:paraId="70DCF498" w14:textId="77777777" w:rsidR="001C5E0E" w:rsidRPr="00F939A9" w:rsidRDefault="001C5E0E" w:rsidP="001C5E0E">
            <w:pPr>
              <w:jc w:val="right"/>
              <w:rPr>
                <w:color w:val="000000"/>
                <w:sz w:val="16"/>
                <w:szCs w:val="16"/>
                <w:lang w:eastAsia="en-NZ"/>
              </w:rPr>
            </w:pPr>
            <w:r w:rsidRPr="00F939A9">
              <w:rPr>
                <w:color w:val="000000"/>
                <w:sz w:val="16"/>
                <w:szCs w:val="16"/>
                <w:lang w:eastAsia="en-NZ"/>
              </w:rPr>
              <w:t>&lt;</w:t>
            </w:r>
            <w:r>
              <w:rPr>
                <w:color w:val="000000"/>
                <w:sz w:val="16"/>
                <w:szCs w:val="16"/>
                <w:lang w:eastAsia="en-NZ"/>
              </w:rPr>
              <w:t>0</w:t>
            </w:r>
            <w:r w:rsidRPr="00F939A9">
              <w:rPr>
                <w:color w:val="000000"/>
                <w:sz w:val="16"/>
                <w:szCs w:val="16"/>
                <w:lang w:eastAsia="en-NZ"/>
              </w:rPr>
              <w:t>.0001</w:t>
            </w:r>
          </w:p>
        </w:tc>
      </w:tr>
      <w:tr w:rsidR="001C5E0E" w:rsidRPr="001A61F1" w14:paraId="703283BB" w14:textId="77777777" w:rsidTr="005F3C25">
        <w:tc>
          <w:tcPr>
            <w:tcW w:w="5387" w:type="dxa"/>
            <w:vAlign w:val="bottom"/>
          </w:tcPr>
          <w:p w14:paraId="103A6080" w14:textId="77777777" w:rsidR="001C5E0E" w:rsidRPr="003F15C0" w:rsidRDefault="001C5E0E" w:rsidP="001C5E0E">
            <w:pPr>
              <w:spacing w:before="20"/>
              <w:jc w:val="both"/>
              <w:rPr>
                <w:b/>
                <w:sz w:val="16"/>
                <w:szCs w:val="16"/>
              </w:rPr>
            </w:pPr>
            <w:r w:rsidRPr="003F15C0">
              <w:rPr>
                <w:b/>
                <w:sz w:val="16"/>
                <w:szCs w:val="16"/>
              </w:rPr>
              <w:t>Bets with friends/workmates - annual</w:t>
            </w:r>
          </w:p>
        </w:tc>
        <w:tc>
          <w:tcPr>
            <w:tcW w:w="992" w:type="dxa"/>
            <w:shd w:val="clear" w:color="auto" w:fill="auto"/>
            <w:vAlign w:val="bottom"/>
          </w:tcPr>
          <w:p w14:paraId="2A94D8FB"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2B54DDCA"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71CD6898" w14:textId="77777777" w:rsidR="001C5E0E" w:rsidRPr="007B750E" w:rsidRDefault="001C5E0E" w:rsidP="001C5E0E">
            <w:pPr>
              <w:jc w:val="right"/>
              <w:rPr>
                <w:color w:val="000000"/>
                <w:sz w:val="16"/>
                <w:szCs w:val="16"/>
                <w:lang w:eastAsia="en-NZ"/>
              </w:rPr>
            </w:pPr>
          </w:p>
        </w:tc>
      </w:tr>
      <w:tr w:rsidR="001C5E0E" w:rsidRPr="001A61F1" w14:paraId="30826E28" w14:textId="77777777" w:rsidTr="005F3C25">
        <w:tc>
          <w:tcPr>
            <w:tcW w:w="5387" w:type="dxa"/>
          </w:tcPr>
          <w:p w14:paraId="5CF48828"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2C183DAD" w14:textId="77777777" w:rsidR="001C5E0E" w:rsidRPr="00F939A9" w:rsidRDefault="001C5E0E" w:rsidP="001C5E0E">
            <w:pPr>
              <w:jc w:val="right"/>
              <w:rPr>
                <w:color w:val="000000"/>
                <w:sz w:val="16"/>
                <w:szCs w:val="16"/>
                <w:lang w:eastAsia="en-NZ"/>
              </w:rPr>
            </w:pPr>
            <w:r w:rsidRPr="00F939A9">
              <w:rPr>
                <w:color w:val="000000"/>
                <w:sz w:val="16"/>
                <w:szCs w:val="16"/>
                <w:lang w:eastAsia="en-NZ"/>
              </w:rPr>
              <w:t>1.00</w:t>
            </w:r>
          </w:p>
        </w:tc>
        <w:tc>
          <w:tcPr>
            <w:tcW w:w="1276" w:type="dxa"/>
            <w:shd w:val="clear" w:color="auto" w:fill="auto"/>
            <w:vAlign w:val="bottom"/>
          </w:tcPr>
          <w:p w14:paraId="3902D2D7" w14:textId="77777777" w:rsidR="001C5E0E" w:rsidRPr="00F939A9" w:rsidRDefault="001C5E0E" w:rsidP="001C5E0E">
            <w:pPr>
              <w:jc w:val="right"/>
              <w:rPr>
                <w:color w:val="000000"/>
                <w:sz w:val="16"/>
                <w:szCs w:val="16"/>
                <w:lang w:eastAsia="en-NZ"/>
              </w:rPr>
            </w:pPr>
          </w:p>
        </w:tc>
        <w:tc>
          <w:tcPr>
            <w:tcW w:w="850" w:type="dxa"/>
            <w:shd w:val="clear" w:color="auto" w:fill="auto"/>
            <w:vAlign w:val="bottom"/>
          </w:tcPr>
          <w:p w14:paraId="3C5F5666" w14:textId="77777777" w:rsidR="001C5E0E" w:rsidRPr="00F939A9" w:rsidRDefault="001C5E0E" w:rsidP="001C5E0E">
            <w:pPr>
              <w:jc w:val="right"/>
              <w:rPr>
                <w:color w:val="000000"/>
                <w:sz w:val="16"/>
                <w:szCs w:val="16"/>
                <w:lang w:eastAsia="en-NZ"/>
              </w:rPr>
            </w:pPr>
          </w:p>
        </w:tc>
      </w:tr>
      <w:tr w:rsidR="001C5E0E" w:rsidRPr="001A61F1" w14:paraId="14921774" w14:textId="77777777" w:rsidTr="00826105">
        <w:tc>
          <w:tcPr>
            <w:tcW w:w="5387" w:type="dxa"/>
          </w:tcPr>
          <w:p w14:paraId="16C8CBFA"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3045E853" w14:textId="77777777" w:rsidR="001C5E0E" w:rsidRPr="00F939A9" w:rsidRDefault="001C5E0E" w:rsidP="001C5E0E">
            <w:pPr>
              <w:jc w:val="right"/>
              <w:rPr>
                <w:color w:val="000000"/>
                <w:sz w:val="16"/>
                <w:szCs w:val="16"/>
                <w:lang w:eastAsia="en-NZ"/>
              </w:rPr>
            </w:pPr>
            <w:r w:rsidRPr="00F939A9">
              <w:rPr>
                <w:color w:val="000000"/>
                <w:sz w:val="16"/>
                <w:szCs w:val="16"/>
                <w:lang w:eastAsia="en-NZ"/>
              </w:rPr>
              <w:t>1.63</w:t>
            </w:r>
          </w:p>
        </w:tc>
        <w:tc>
          <w:tcPr>
            <w:tcW w:w="1276" w:type="dxa"/>
            <w:shd w:val="clear" w:color="auto" w:fill="auto"/>
            <w:vAlign w:val="bottom"/>
          </w:tcPr>
          <w:p w14:paraId="04EE7BF7" w14:textId="77777777" w:rsidR="001C5E0E" w:rsidRPr="00F939A9" w:rsidRDefault="001C5E0E" w:rsidP="001C5E0E">
            <w:pPr>
              <w:jc w:val="right"/>
              <w:rPr>
                <w:color w:val="000000"/>
                <w:sz w:val="16"/>
                <w:szCs w:val="16"/>
                <w:lang w:eastAsia="en-NZ"/>
              </w:rPr>
            </w:pPr>
            <w:r w:rsidRPr="00F939A9">
              <w:rPr>
                <w:color w:val="000000"/>
                <w:sz w:val="16"/>
                <w:szCs w:val="16"/>
                <w:lang w:eastAsia="en-NZ"/>
              </w:rPr>
              <w:t>(1.19, 2.23)</w:t>
            </w:r>
          </w:p>
        </w:tc>
        <w:tc>
          <w:tcPr>
            <w:tcW w:w="850" w:type="dxa"/>
            <w:shd w:val="clear" w:color="auto" w:fill="auto"/>
            <w:vAlign w:val="bottom"/>
          </w:tcPr>
          <w:p w14:paraId="4C1674F7" w14:textId="77777777" w:rsidR="001C5E0E" w:rsidRPr="00F939A9" w:rsidRDefault="001C5E0E" w:rsidP="001C5E0E">
            <w:pPr>
              <w:jc w:val="right"/>
              <w:rPr>
                <w:color w:val="000000"/>
                <w:sz w:val="16"/>
                <w:szCs w:val="16"/>
                <w:lang w:eastAsia="en-NZ"/>
              </w:rPr>
            </w:pPr>
            <w:r w:rsidRPr="00F939A9">
              <w:rPr>
                <w:color w:val="000000"/>
                <w:sz w:val="16"/>
                <w:szCs w:val="16"/>
                <w:lang w:eastAsia="en-NZ"/>
              </w:rPr>
              <w:t>0.002</w:t>
            </w:r>
          </w:p>
        </w:tc>
      </w:tr>
      <w:tr w:rsidR="001C5E0E" w:rsidRPr="001A61F1" w14:paraId="598EF1D9" w14:textId="77777777" w:rsidTr="005F3C25">
        <w:tc>
          <w:tcPr>
            <w:tcW w:w="5387" w:type="dxa"/>
            <w:vAlign w:val="bottom"/>
          </w:tcPr>
          <w:p w14:paraId="439A69F3" w14:textId="77777777" w:rsidR="001C5E0E" w:rsidRPr="003F15C0" w:rsidRDefault="001C5E0E" w:rsidP="001C5E0E">
            <w:pPr>
              <w:spacing w:before="20"/>
              <w:jc w:val="both"/>
              <w:rPr>
                <w:b/>
                <w:sz w:val="16"/>
                <w:szCs w:val="16"/>
              </w:rPr>
            </w:pPr>
            <w:r w:rsidRPr="003F15C0">
              <w:rPr>
                <w:b/>
                <w:sz w:val="16"/>
                <w:szCs w:val="16"/>
              </w:rPr>
              <w:t>Text game or competition - annual</w:t>
            </w:r>
          </w:p>
        </w:tc>
        <w:tc>
          <w:tcPr>
            <w:tcW w:w="992" w:type="dxa"/>
            <w:shd w:val="clear" w:color="auto" w:fill="auto"/>
            <w:vAlign w:val="bottom"/>
          </w:tcPr>
          <w:p w14:paraId="15DF5A95"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34A2CEA9"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64DEFCA3" w14:textId="77777777" w:rsidR="001C5E0E" w:rsidRPr="007B750E" w:rsidRDefault="001C5E0E" w:rsidP="001C5E0E">
            <w:pPr>
              <w:jc w:val="right"/>
              <w:rPr>
                <w:color w:val="000000"/>
                <w:sz w:val="16"/>
                <w:szCs w:val="16"/>
                <w:lang w:eastAsia="en-NZ"/>
              </w:rPr>
            </w:pPr>
          </w:p>
        </w:tc>
      </w:tr>
      <w:tr w:rsidR="001C5E0E" w:rsidRPr="001A61F1" w14:paraId="67450B83" w14:textId="77777777" w:rsidTr="005F3C25">
        <w:tc>
          <w:tcPr>
            <w:tcW w:w="5387" w:type="dxa"/>
          </w:tcPr>
          <w:p w14:paraId="5BE0FC9A"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614799ED" w14:textId="77777777" w:rsidR="001C5E0E" w:rsidRPr="00F939A9" w:rsidRDefault="001C5E0E" w:rsidP="001C5E0E">
            <w:pPr>
              <w:jc w:val="right"/>
              <w:rPr>
                <w:color w:val="000000"/>
                <w:sz w:val="16"/>
                <w:szCs w:val="16"/>
                <w:lang w:eastAsia="en-NZ"/>
              </w:rPr>
            </w:pPr>
            <w:r w:rsidRPr="00F939A9">
              <w:rPr>
                <w:color w:val="000000"/>
                <w:sz w:val="16"/>
                <w:szCs w:val="16"/>
                <w:lang w:eastAsia="en-NZ"/>
              </w:rPr>
              <w:t>1.00</w:t>
            </w:r>
          </w:p>
        </w:tc>
        <w:tc>
          <w:tcPr>
            <w:tcW w:w="1276" w:type="dxa"/>
            <w:shd w:val="clear" w:color="auto" w:fill="auto"/>
            <w:vAlign w:val="bottom"/>
          </w:tcPr>
          <w:p w14:paraId="12E90E37" w14:textId="77777777" w:rsidR="001C5E0E" w:rsidRPr="00F939A9" w:rsidRDefault="001C5E0E" w:rsidP="001C5E0E">
            <w:pPr>
              <w:jc w:val="right"/>
              <w:rPr>
                <w:color w:val="000000"/>
                <w:sz w:val="16"/>
                <w:szCs w:val="16"/>
                <w:lang w:eastAsia="en-NZ"/>
              </w:rPr>
            </w:pPr>
          </w:p>
        </w:tc>
        <w:tc>
          <w:tcPr>
            <w:tcW w:w="850" w:type="dxa"/>
            <w:shd w:val="clear" w:color="auto" w:fill="auto"/>
            <w:vAlign w:val="bottom"/>
          </w:tcPr>
          <w:p w14:paraId="11D303CA" w14:textId="77777777" w:rsidR="001C5E0E" w:rsidRPr="00F939A9" w:rsidRDefault="001C5E0E" w:rsidP="001C5E0E">
            <w:pPr>
              <w:jc w:val="right"/>
              <w:rPr>
                <w:color w:val="000000"/>
                <w:sz w:val="16"/>
                <w:szCs w:val="16"/>
                <w:lang w:eastAsia="en-NZ"/>
              </w:rPr>
            </w:pPr>
          </w:p>
        </w:tc>
      </w:tr>
      <w:tr w:rsidR="001C5E0E" w:rsidRPr="001A61F1" w14:paraId="6C4E0B2D" w14:textId="77777777" w:rsidTr="00826105">
        <w:tc>
          <w:tcPr>
            <w:tcW w:w="5387" w:type="dxa"/>
          </w:tcPr>
          <w:p w14:paraId="5ED78418"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0CF36EF4" w14:textId="77777777" w:rsidR="001C5E0E" w:rsidRPr="00F939A9" w:rsidRDefault="001C5E0E" w:rsidP="001C5E0E">
            <w:pPr>
              <w:jc w:val="right"/>
              <w:rPr>
                <w:color w:val="000000"/>
                <w:sz w:val="16"/>
                <w:szCs w:val="16"/>
                <w:lang w:eastAsia="en-NZ"/>
              </w:rPr>
            </w:pPr>
            <w:r w:rsidRPr="00F939A9">
              <w:rPr>
                <w:color w:val="000000"/>
                <w:sz w:val="16"/>
                <w:szCs w:val="16"/>
                <w:lang w:eastAsia="en-NZ"/>
              </w:rPr>
              <w:t>2.96</w:t>
            </w:r>
          </w:p>
        </w:tc>
        <w:tc>
          <w:tcPr>
            <w:tcW w:w="1276" w:type="dxa"/>
            <w:shd w:val="clear" w:color="auto" w:fill="auto"/>
            <w:vAlign w:val="bottom"/>
          </w:tcPr>
          <w:p w14:paraId="71F43F22" w14:textId="77777777" w:rsidR="001C5E0E" w:rsidRPr="00F939A9" w:rsidRDefault="001C5E0E" w:rsidP="001C5E0E">
            <w:pPr>
              <w:jc w:val="right"/>
              <w:rPr>
                <w:color w:val="000000"/>
                <w:sz w:val="16"/>
                <w:szCs w:val="16"/>
                <w:lang w:eastAsia="en-NZ"/>
              </w:rPr>
            </w:pPr>
            <w:r w:rsidRPr="00F939A9">
              <w:rPr>
                <w:color w:val="000000"/>
                <w:sz w:val="16"/>
                <w:szCs w:val="16"/>
                <w:lang w:eastAsia="en-NZ"/>
              </w:rPr>
              <w:t>(1.58, 5.53)</w:t>
            </w:r>
          </w:p>
        </w:tc>
        <w:tc>
          <w:tcPr>
            <w:tcW w:w="850" w:type="dxa"/>
            <w:shd w:val="clear" w:color="auto" w:fill="auto"/>
            <w:vAlign w:val="bottom"/>
          </w:tcPr>
          <w:p w14:paraId="4226F9E8" w14:textId="77777777" w:rsidR="001C5E0E" w:rsidRPr="00F939A9" w:rsidRDefault="001C5E0E" w:rsidP="001C5E0E">
            <w:pPr>
              <w:jc w:val="right"/>
              <w:rPr>
                <w:color w:val="000000"/>
                <w:sz w:val="16"/>
                <w:szCs w:val="16"/>
                <w:lang w:eastAsia="en-NZ"/>
              </w:rPr>
            </w:pPr>
            <w:r w:rsidRPr="00F939A9">
              <w:rPr>
                <w:color w:val="000000"/>
                <w:sz w:val="16"/>
                <w:szCs w:val="16"/>
                <w:lang w:eastAsia="en-NZ"/>
              </w:rPr>
              <w:t>0.0007</w:t>
            </w:r>
          </w:p>
        </w:tc>
      </w:tr>
      <w:tr w:rsidR="001C5E0E" w:rsidRPr="001A61F1" w14:paraId="5B68B89F" w14:textId="77777777" w:rsidTr="005F3C25">
        <w:tc>
          <w:tcPr>
            <w:tcW w:w="5387" w:type="dxa"/>
            <w:vAlign w:val="bottom"/>
          </w:tcPr>
          <w:p w14:paraId="090FABA5" w14:textId="77777777" w:rsidR="001C5E0E" w:rsidRPr="003F15C0" w:rsidRDefault="001C5E0E" w:rsidP="001C5E0E">
            <w:pPr>
              <w:spacing w:before="20"/>
              <w:jc w:val="both"/>
              <w:rPr>
                <w:b/>
                <w:sz w:val="16"/>
                <w:szCs w:val="16"/>
              </w:rPr>
            </w:pPr>
            <w:r w:rsidRPr="003F15C0">
              <w:rPr>
                <w:b/>
                <w:sz w:val="16"/>
                <w:szCs w:val="16"/>
              </w:rPr>
              <w:t>Raffle/lottery (NZ/overseas) - annual</w:t>
            </w:r>
          </w:p>
        </w:tc>
        <w:tc>
          <w:tcPr>
            <w:tcW w:w="992" w:type="dxa"/>
            <w:shd w:val="clear" w:color="auto" w:fill="auto"/>
            <w:vAlign w:val="bottom"/>
          </w:tcPr>
          <w:p w14:paraId="39389ACE"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4B979DB6"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128A36E5" w14:textId="77777777" w:rsidR="001C5E0E" w:rsidRPr="007B750E" w:rsidRDefault="001C5E0E" w:rsidP="001C5E0E">
            <w:pPr>
              <w:jc w:val="right"/>
              <w:rPr>
                <w:color w:val="000000"/>
                <w:sz w:val="16"/>
                <w:szCs w:val="16"/>
                <w:lang w:eastAsia="en-NZ"/>
              </w:rPr>
            </w:pPr>
          </w:p>
        </w:tc>
      </w:tr>
      <w:tr w:rsidR="001C5E0E" w:rsidRPr="001A61F1" w14:paraId="2CF4B4E7" w14:textId="77777777" w:rsidTr="005F3C25">
        <w:tc>
          <w:tcPr>
            <w:tcW w:w="5387" w:type="dxa"/>
          </w:tcPr>
          <w:p w14:paraId="5B7F85E6"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4640B61A" w14:textId="77777777" w:rsidR="001C5E0E" w:rsidRPr="004D4DCF" w:rsidRDefault="001C5E0E" w:rsidP="001C5E0E">
            <w:pPr>
              <w:jc w:val="right"/>
              <w:rPr>
                <w:color w:val="000000"/>
                <w:sz w:val="16"/>
                <w:szCs w:val="16"/>
                <w:lang w:eastAsia="en-NZ"/>
              </w:rPr>
            </w:pPr>
            <w:r w:rsidRPr="004D4DCF">
              <w:rPr>
                <w:color w:val="000000"/>
                <w:sz w:val="16"/>
                <w:szCs w:val="16"/>
                <w:lang w:eastAsia="en-NZ"/>
              </w:rPr>
              <w:t>1.00</w:t>
            </w:r>
          </w:p>
        </w:tc>
        <w:tc>
          <w:tcPr>
            <w:tcW w:w="1276" w:type="dxa"/>
            <w:shd w:val="clear" w:color="auto" w:fill="auto"/>
            <w:vAlign w:val="bottom"/>
          </w:tcPr>
          <w:p w14:paraId="3B96CC5A" w14:textId="77777777" w:rsidR="001C5E0E" w:rsidRPr="004D4DCF" w:rsidRDefault="001C5E0E" w:rsidP="001C5E0E">
            <w:pPr>
              <w:jc w:val="right"/>
              <w:rPr>
                <w:color w:val="000000"/>
                <w:sz w:val="16"/>
                <w:szCs w:val="16"/>
                <w:lang w:eastAsia="en-NZ"/>
              </w:rPr>
            </w:pPr>
          </w:p>
        </w:tc>
        <w:tc>
          <w:tcPr>
            <w:tcW w:w="850" w:type="dxa"/>
            <w:shd w:val="clear" w:color="auto" w:fill="auto"/>
            <w:vAlign w:val="bottom"/>
          </w:tcPr>
          <w:p w14:paraId="232A686C" w14:textId="77777777" w:rsidR="001C5E0E" w:rsidRPr="004D4DCF" w:rsidRDefault="001C5E0E" w:rsidP="001C5E0E">
            <w:pPr>
              <w:jc w:val="right"/>
              <w:rPr>
                <w:color w:val="000000"/>
                <w:sz w:val="16"/>
                <w:szCs w:val="16"/>
                <w:lang w:eastAsia="en-NZ"/>
              </w:rPr>
            </w:pPr>
          </w:p>
        </w:tc>
      </w:tr>
      <w:tr w:rsidR="001C5E0E" w:rsidRPr="001A61F1" w14:paraId="5D4332C5" w14:textId="77777777" w:rsidTr="00826105">
        <w:tc>
          <w:tcPr>
            <w:tcW w:w="5387" w:type="dxa"/>
          </w:tcPr>
          <w:p w14:paraId="42CCC833"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452934E7" w14:textId="77777777" w:rsidR="001C5E0E" w:rsidRPr="004D4DCF" w:rsidRDefault="001C5E0E" w:rsidP="001C5E0E">
            <w:pPr>
              <w:jc w:val="right"/>
              <w:rPr>
                <w:color w:val="000000"/>
                <w:sz w:val="16"/>
                <w:szCs w:val="16"/>
                <w:lang w:eastAsia="en-NZ"/>
              </w:rPr>
            </w:pPr>
            <w:r w:rsidRPr="004D4DCF">
              <w:rPr>
                <w:color w:val="000000"/>
                <w:sz w:val="16"/>
                <w:szCs w:val="16"/>
                <w:lang w:eastAsia="en-NZ"/>
              </w:rPr>
              <w:t>1.33</w:t>
            </w:r>
          </w:p>
        </w:tc>
        <w:tc>
          <w:tcPr>
            <w:tcW w:w="1276" w:type="dxa"/>
            <w:shd w:val="clear" w:color="auto" w:fill="auto"/>
            <w:vAlign w:val="bottom"/>
          </w:tcPr>
          <w:p w14:paraId="58DF5CBB" w14:textId="77777777" w:rsidR="001C5E0E" w:rsidRPr="004D4DCF" w:rsidRDefault="001C5E0E" w:rsidP="001C5E0E">
            <w:pPr>
              <w:jc w:val="right"/>
              <w:rPr>
                <w:color w:val="000000"/>
                <w:sz w:val="16"/>
                <w:szCs w:val="16"/>
                <w:lang w:eastAsia="en-NZ"/>
              </w:rPr>
            </w:pPr>
            <w:r w:rsidRPr="004D4DCF">
              <w:rPr>
                <w:color w:val="000000"/>
                <w:sz w:val="16"/>
                <w:szCs w:val="16"/>
                <w:lang w:eastAsia="en-NZ"/>
              </w:rPr>
              <w:t>(1.02, 1.73)</w:t>
            </w:r>
          </w:p>
        </w:tc>
        <w:tc>
          <w:tcPr>
            <w:tcW w:w="850" w:type="dxa"/>
            <w:shd w:val="clear" w:color="auto" w:fill="auto"/>
            <w:vAlign w:val="bottom"/>
          </w:tcPr>
          <w:p w14:paraId="0BF55178" w14:textId="77777777" w:rsidR="001C5E0E" w:rsidRPr="004D4DCF" w:rsidRDefault="001C5E0E" w:rsidP="001C5E0E">
            <w:pPr>
              <w:jc w:val="right"/>
              <w:rPr>
                <w:color w:val="000000"/>
                <w:sz w:val="16"/>
                <w:szCs w:val="16"/>
                <w:lang w:eastAsia="en-NZ"/>
              </w:rPr>
            </w:pPr>
            <w:r w:rsidRPr="004D4DCF">
              <w:rPr>
                <w:color w:val="000000"/>
                <w:sz w:val="16"/>
                <w:szCs w:val="16"/>
                <w:lang w:eastAsia="en-NZ"/>
              </w:rPr>
              <w:t>0.03</w:t>
            </w:r>
          </w:p>
        </w:tc>
      </w:tr>
      <w:tr w:rsidR="001C5E0E" w:rsidRPr="001A61F1" w14:paraId="54623A44" w14:textId="77777777" w:rsidTr="005F3C25">
        <w:tc>
          <w:tcPr>
            <w:tcW w:w="5387" w:type="dxa"/>
            <w:vAlign w:val="bottom"/>
          </w:tcPr>
          <w:p w14:paraId="75FFA906" w14:textId="77777777" w:rsidR="001C5E0E" w:rsidRPr="003F15C0" w:rsidRDefault="001C5E0E" w:rsidP="001C5E0E">
            <w:pPr>
              <w:keepNext/>
              <w:spacing w:before="20"/>
              <w:jc w:val="both"/>
              <w:rPr>
                <w:b/>
                <w:sz w:val="16"/>
                <w:szCs w:val="16"/>
              </w:rPr>
            </w:pPr>
            <w:r w:rsidRPr="003F15C0">
              <w:rPr>
                <w:b/>
                <w:sz w:val="16"/>
                <w:szCs w:val="16"/>
              </w:rPr>
              <w:t>Lotto - annual</w:t>
            </w:r>
          </w:p>
        </w:tc>
        <w:tc>
          <w:tcPr>
            <w:tcW w:w="992" w:type="dxa"/>
            <w:shd w:val="clear" w:color="auto" w:fill="auto"/>
            <w:vAlign w:val="bottom"/>
          </w:tcPr>
          <w:p w14:paraId="6C0435E0"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7893C563"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58086046" w14:textId="77777777" w:rsidR="001C5E0E" w:rsidRPr="007B750E" w:rsidRDefault="001C5E0E" w:rsidP="001C5E0E">
            <w:pPr>
              <w:jc w:val="right"/>
              <w:rPr>
                <w:color w:val="000000"/>
                <w:sz w:val="16"/>
                <w:szCs w:val="16"/>
                <w:lang w:eastAsia="en-NZ"/>
              </w:rPr>
            </w:pPr>
          </w:p>
        </w:tc>
      </w:tr>
      <w:tr w:rsidR="001C5E0E" w:rsidRPr="001A61F1" w14:paraId="02C04025" w14:textId="77777777" w:rsidTr="005F3C25">
        <w:tc>
          <w:tcPr>
            <w:tcW w:w="5387" w:type="dxa"/>
          </w:tcPr>
          <w:p w14:paraId="57621E90" w14:textId="77777777" w:rsidR="001C5E0E" w:rsidRPr="003F15C0" w:rsidRDefault="001C5E0E" w:rsidP="001C5E0E">
            <w:pPr>
              <w:keepNext/>
              <w:spacing w:before="20"/>
              <w:ind w:left="176"/>
              <w:jc w:val="both"/>
              <w:rPr>
                <w:sz w:val="16"/>
                <w:szCs w:val="16"/>
              </w:rPr>
            </w:pPr>
            <w:r w:rsidRPr="003F15C0">
              <w:rPr>
                <w:sz w:val="16"/>
                <w:szCs w:val="16"/>
              </w:rPr>
              <w:t>No</w:t>
            </w:r>
          </w:p>
        </w:tc>
        <w:tc>
          <w:tcPr>
            <w:tcW w:w="992" w:type="dxa"/>
            <w:shd w:val="clear" w:color="auto" w:fill="auto"/>
            <w:vAlign w:val="bottom"/>
          </w:tcPr>
          <w:p w14:paraId="6A3B6EAD" w14:textId="77777777" w:rsidR="001C5E0E" w:rsidRPr="004D4DCF" w:rsidRDefault="001C5E0E" w:rsidP="001C5E0E">
            <w:pPr>
              <w:jc w:val="right"/>
              <w:rPr>
                <w:color w:val="000000"/>
                <w:sz w:val="16"/>
                <w:szCs w:val="16"/>
                <w:lang w:eastAsia="en-NZ"/>
              </w:rPr>
            </w:pPr>
            <w:r w:rsidRPr="004D4DCF">
              <w:rPr>
                <w:color w:val="000000"/>
                <w:sz w:val="16"/>
                <w:szCs w:val="16"/>
                <w:lang w:eastAsia="en-NZ"/>
              </w:rPr>
              <w:t>1.00</w:t>
            </w:r>
          </w:p>
        </w:tc>
        <w:tc>
          <w:tcPr>
            <w:tcW w:w="1276" w:type="dxa"/>
            <w:shd w:val="clear" w:color="auto" w:fill="auto"/>
            <w:vAlign w:val="bottom"/>
          </w:tcPr>
          <w:p w14:paraId="0511C010" w14:textId="77777777" w:rsidR="001C5E0E" w:rsidRPr="004D4DCF" w:rsidRDefault="001C5E0E" w:rsidP="001C5E0E">
            <w:pPr>
              <w:jc w:val="right"/>
              <w:rPr>
                <w:color w:val="000000"/>
                <w:sz w:val="16"/>
                <w:szCs w:val="16"/>
                <w:lang w:eastAsia="en-NZ"/>
              </w:rPr>
            </w:pPr>
          </w:p>
        </w:tc>
        <w:tc>
          <w:tcPr>
            <w:tcW w:w="850" w:type="dxa"/>
            <w:shd w:val="clear" w:color="auto" w:fill="auto"/>
            <w:vAlign w:val="bottom"/>
          </w:tcPr>
          <w:p w14:paraId="1501D7CB" w14:textId="77777777" w:rsidR="001C5E0E" w:rsidRPr="004D4DCF" w:rsidRDefault="001C5E0E" w:rsidP="001C5E0E">
            <w:pPr>
              <w:jc w:val="right"/>
              <w:rPr>
                <w:color w:val="000000"/>
                <w:sz w:val="16"/>
                <w:szCs w:val="16"/>
                <w:lang w:eastAsia="en-NZ"/>
              </w:rPr>
            </w:pPr>
          </w:p>
        </w:tc>
      </w:tr>
      <w:tr w:rsidR="001C5E0E" w:rsidRPr="001A61F1" w14:paraId="35D7198F" w14:textId="77777777" w:rsidTr="00826105">
        <w:tc>
          <w:tcPr>
            <w:tcW w:w="5387" w:type="dxa"/>
          </w:tcPr>
          <w:p w14:paraId="2469842A" w14:textId="77777777" w:rsidR="001C5E0E" w:rsidRPr="003F15C0" w:rsidRDefault="001C5E0E" w:rsidP="001C5E0E">
            <w:pPr>
              <w:keepNext/>
              <w:spacing w:before="20"/>
              <w:ind w:left="176"/>
              <w:jc w:val="both"/>
              <w:rPr>
                <w:sz w:val="16"/>
                <w:szCs w:val="16"/>
              </w:rPr>
            </w:pPr>
            <w:r w:rsidRPr="003F15C0">
              <w:rPr>
                <w:sz w:val="16"/>
                <w:szCs w:val="16"/>
              </w:rPr>
              <w:t>Yes</w:t>
            </w:r>
          </w:p>
        </w:tc>
        <w:tc>
          <w:tcPr>
            <w:tcW w:w="992" w:type="dxa"/>
            <w:shd w:val="clear" w:color="auto" w:fill="auto"/>
            <w:vAlign w:val="bottom"/>
          </w:tcPr>
          <w:p w14:paraId="7F0005FD" w14:textId="77777777" w:rsidR="001C5E0E" w:rsidRPr="004D4DCF" w:rsidRDefault="001C5E0E" w:rsidP="001C5E0E">
            <w:pPr>
              <w:jc w:val="right"/>
              <w:rPr>
                <w:color w:val="000000"/>
                <w:sz w:val="16"/>
                <w:szCs w:val="16"/>
                <w:lang w:eastAsia="en-NZ"/>
              </w:rPr>
            </w:pPr>
            <w:r w:rsidRPr="004D4DCF">
              <w:rPr>
                <w:color w:val="000000"/>
                <w:sz w:val="16"/>
                <w:szCs w:val="16"/>
                <w:lang w:eastAsia="en-NZ"/>
              </w:rPr>
              <w:t>2.08</w:t>
            </w:r>
          </w:p>
        </w:tc>
        <w:tc>
          <w:tcPr>
            <w:tcW w:w="1276" w:type="dxa"/>
            <w:shd w:val="clear" w:color="auto" w:fill="auto"/>
            <w:vAlign w:val="bottom"/>
          </w:tcPr>
          <w:p w14:paraId="3EF2BDBC" w14:textId="77777777" w:rsidR="001C5E0E" w:rsidRPr="004D4DCF" w:rsidRDefault="001C5E0E" w:rsidP="001C5E0E">
            <w:pPr>
              <w:jc w:val="right"/>
              <w:rPr>
                <w:color w:val="000000"/>
                <w:sz w:val="16"/>
                <w:szCs w:val="16"/>
                <w:lang w:eastAsia="en-NZ"/>
              </w:rPr>
            </w:pPr>
            <w:r w:rsidRPr="004D4DCF">
              <w:rPr>
                <w:color w:val="000000"/>
                <w:sz w:val="16"/>
                <w:szCs w:val="16"/>
                <w:lang w:eastAsia="en-NZ"/>
              </w:rPr>
              <w:t>(1.41, 3.08)</w:t>
            </w:r>
          </w:p>
        </w:tc>
        <w:tc>
          <w:tcPr>
            <w:tcW w:w="850" w:type="dxa"/>
            <w:shd w:val="clear" w:color="auto" w:fill="auto"/>
            <w:vAlign w:val="bottom"/>
          </w:tcPr>
          <w:p w14:paraId="0165B4D6" w14:textId="77777777" w:rsidR="001C5E0E" w:rsidRPr="004D4DCF" w:rsidRDefault="001C5E0E" w:rsidP="001C5E0E">
            <w:pPr>
              <w:jc w:val="right"/>
              <w:rPr>
                <w:color w:val="000000"/>
                <w:sz w:val="16"/>
                <w:szCs w:val="16"/>
                <w:lang w:eastAsia="en-NZ"/>
              </w:rPr>
            </w:pPr>
            <w:r w:rsidRPr="004D4DCF">
              <w:rPr>
                <w:color w:val="000000"/>
                <w:sz w:val="16"/>
                <w:szCs w:val="16"/>
                <w:lang w:eastAsia="en-NZ"/>
              </w:rPr>
              <w:t>0.0002</w:t>
            </w:r>
          </w:p>
        </w:tc>
      </w:tr>
      <w:tr w:rsidR="001C5E0E" w:rsidRPr="001A61F1" w14:paraId="51018D6D" w14:textId="77777777" w:rsidTr="005F3C25">
        <w:tc>
          <w:tcPr>
            <w:tcW w:w="5387" w:type="dxa"/>
            <w:vAlign w:val="bottom"/>
          </w:tcPr>
          <w:p w14:paraId="17FC560C" w14:textId="77777777" w:rsidR="001C5E0E" w:rsidRPr="003F15C0" w:rsidRDefault="001C5E0E" w:rsidP="001C5E0E">
            <w:pPr>
              <w:spacing w:before="20"/>
              <w:jc w:val="both"/>
              <w:rPr>
                <w:b/>
                <w:sz w:val="16"/>
                <w:szCs w:val="16"/>
              </w:rPr>
            </w:pPr>
            <w:r w:rsidRPr="003F15C0">
              <w:rPr>
                <w:b/>
                <w:sz w:val="16"/>
                <w:szCs w:val="16"/>
              </w:rPr>
              <w:t>Keno - annual</w:t>
            </w:r>
          </w:p>
        </w:tc>
        <w:tc>
          <w:tcPr>
            <w:tcW w:w="992" w:type="dxa"/>
            <w:shd w:val="clear" w:color="auto" w:fill="auto"/>
            <w:vAlign w:val="bottom"/>
          </w:tcPr>
          <w:p w14:paraId="467DDA28"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65271B87"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2857F292" w14:textId="77777777" w:rsidR="001C5E0E" w:rsidRPr="007B750E" w:rsidRDefault="001C5E0E" w:rsidP="001C5E0E">
            <w:pPr>
              <w:jc w:val="right"/>
              <w:rPr>
                <w:color w:val="000000"/>
                <w:sz w:val="16"/>
                <w:szCs w:val="16"/>
                <w:lang w:eastAsia="en-NZ"/>
              </w:rPr>
            </w:pPr>
          </w:p>
        </w:tc>
      </w:tr>
      <w:tr w:rsidR="001C5E0E" w:rsidRPr="001A61F1" w14:paraId="3DDD0797" w14:textId="77777777" w:rsidTr="005F3C25">
        <w:tc>
          <w:tcPr>
            <w:tcW w:w="5387" w:type="dxa"/>
          </w:tcPr>
          <w:p w14:paraId="439B65E4"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3BA0A6C2" w14:textId="77777777" w:rsidR="001C5E0E" w:rsidRPr="004D4DCF" w:rsidRDefault="001C5E0E" w:rsidP="001C5E0E">
            <w:pPr>
              <w:jc w:val="right"/>
              <w:rPr>
                <w:color w:val="000000"/>
                <w:sz w:val="16"/>
                <w:szCs w:val="16"/>
                <w:lang w:eastAsia="en-NZ"/>
              </w:rPr>
            </w:pPr>
            <w:r w:rsidRPr="004D4DCF">
              <w:rPr>
                <w:color w:val="000000"/>
                <w:sz w:val="16"/>
                <w:szCs w:val="16"/>
                <w:lang w:eastAsia="en-NZ"/>
              </w:rPr>
              <w:t>1.00</w:t>
            </w:r>
          </w:p>
        </w:tc>
        <w:tc>
          <w:tcPr>
            <w:tcW w:w="1276" w:type="dxa"/>
            <w:shd w:val="clear" w:color="auto" w:fill="auto"/>
            <w:vAlign w:val="bottom"/>
          </w:tcPr>
          <w:p w14:paraId="1D2A2C88" w14:textId="77777777" w:rsidR="001C5E0E" w:rsidRPr="004D4DCF" w:rsidRDefault="001C5E0E" w:rsidP="001C5E0E">
            <w:pPr>
              <w:jc w:val="right"/>
              <w:rPr>
                <w:color w:val="000000"/>
                <w:sz w:val="16"/>
                <w:szCs w:val="16"/>
                <w:lang w:eastAsia="en-NZ"/>
              </w:rPr>
            </w:pPr>
          </w:p>
        </w:tc>
        <w:tc>
          <w:tcPr>
            <w:tcW w:w="850" w:type="dxa"/>
            <w:shd w:val="clear" w:color="auto" w:fill="auto"/>
            <w:vAlign w:val="bottom"/>
          </w:tcPr>
          <w:p w14:paraId="75FB1EE4" w14:textId="77777777" w:rsidR="001C5E0E" w:rsidRPr="004D4DCF" w:rsidRDefault="001C5E0E" w:rsidP="001C5E0E">
            <w:pPr>
              <w:jc w:val="right"/>
              <w:rPr>
                <w:color w:val="000000"/>
                <w:sz w:val="16"/>
                <w:szCs w:val="16"/>
                <w:lang w:eastAsia="en-NZ"/>
              </w:rPr>
            </w:pPr>
          </w:p>
        </w:tc>
      </w:tr>
      <w:tr w:rsidR="001C5E0E" w:rsidRPr="001A61F1" w14:paraId="7B4282B7" w14:textId="77777777" w:rsidTr="00826105">
        <w:tc>
          <w:tcPr>
            <w:tcW w:w="5387" w:type="dxa"/>
          </w:tcPr>
          <w:p w14:paraId="637901F2"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344C95CE" w14:textId="77777777" w:rsidR="001C5E0E" w:rsidRPr="004D4DCF" w:rsidRDefault="001C5E0E" w:rsidP="001C5E0E">
            <w:pPr>
              <w:jc w:val="right"/>
              <w:rPr>
                <w:color w:val="000000"/>
                <w:sz w:val="16"/>
                <w:szCs w:val="16"/>
                <w:lang w:eastAsia="en-NZ"/>
              </w:rPr>
            </w:pPr>
            <w:r w:rsidRPr="004D4DCF">
              <w:rPr>
                <w:color w:val="000000"/>
                <w:sz w:val="16"/>
                <w:szCs w:val="16"/>
                <w:lang w:eastAsia="en-NZ"/>
              </w:rPr>
              <w:t>3.62</w:t>
            </w:r>
          </w:p>
        </w:tc>
        <w:tc>
          <w:tcPr>
            <w:tcW w:w="1276" w:type="dxa"/>
            <w:shd w:val="clear" w:color="auto" w:fill="auto"/>
            <w:vAlign w:val="bottom"/>
          </w:tcPr>
          <w:p w14:paraId="791BC118" w14:textId="77777777" w:rsidR="001C5E0E" w:rsidRPr="004D4DCF" w:rsidRDefault="001C5E0E" w:rsidP="001C5E0E">
            <w:pPr>
              <w:jc w:val="right"/>
              <w:rPr>
                <w:color w:val="000000"/>
                <w:sz w:val="16"/>
                <w:szCs w:val="16"/>
                <w:lang w:eastAsia="en-NZ"/>
              </w:rPr>
            </w:pPr>
            <w:r w:rsidRPr="004D4DCF">
              <w:rPr>
                <w:color w:val="000000"/>
                <w:sz w:val="16"/>
                <w:szCs w:val="16"/>
                <w:lang w:eastAsia="en-NZ"/>
              </w:rPr>
              <w:t>(1.98, 6.6)</w:t>
            </w:r>
          </w:p>
        </w:tc>
        <w:tc>
          <w:tcPr>
            <w:tcW w:w="850" w:type="dxa"/>
            <w:shd w:val="clear" w:color="auto" w:fill="auto"/>
            <w:vAlign w:val="bottom"/>
          </w:tcPr>
          <w:p w14:paraId="38CBBDF0" w14:textId="77777777" w:rsidR="001C5E0E" w:rsidRPr="004D4DCF" w:rsidRDefault="001C5E0E" w:rsidP="001C5E0E">
            <w:pPr>
              <w:jc w:val="right"/>
              <w:rPr>
                <w:color w:val="000000"/>
                <w:sz w:val="16"/>
                <w:szCs w:val="16"/>
                <w:lang w:eastAsia="en-NZ"/>
              </w:rPr>
            </w:pPr>
            <w:r w:rsidRPr="004D4DCF">
              <w:rPr>
                <w:color w:val="000000"/>
                <w:sz w:val="16"/>
                <w:szCs w:val="16"/>
                <w:lang w:eastAsia="en-NZ"/>
              </w:rPr>
              <w:t>&lt;</w:t>
            </w:r>
            <w:r>
              <w:rPr>
                <w:color w:val="000000"/>
                <w:sz w:val="16"/>
                <w:szCs w:val="16"/>
                <w:lang w:eastAsia="en-NZ"/>
              </w:rPr>
              <w:t>0</w:t>
            </w:r>
            <w:r w:rsidRPr="004D4DCF">
              <w:rPr>
                <w:color w:val="000000"/>
                <w:sz w:val="16"/>
                <w:szCs w:val="16"/>
                <w:lang w:eastAsia="en-NZ"/>
              </w:rPr>
              <w:t>.0001</w:t>
            </w:r>
          </w:p>
        </w:tc>
      </w:tr>
      <w:tr w:rsidR="001C5E0E" w:rsidRPr="001A61F1" w14:paraId="58350309" w14:textId="77777777" w:rsidTr="005F3C25">
        <w:tc>
          <w:tcPr>
            <w:tcW w:w="5387" w:type="dxa"/>
            <w:vAlign w:val="bottom"/>
          </w:tcPr>
          <w:p w14:paraId="419DA137" w14:textId="77777777" w:rsidR="001C5E0E" w:rsidRPr="003F15C0" w:rsidRDefault="001C5E0E" w:rsidP="001C5E0E">
            <w:pPr>
              <w:spacing w:before="20"/>
              <w:jc w:val="both"/>
              <w:rPr>
                <w:b/>
                <w:sz w:val="16"/>
                <w:szCs w:val="16"/>
              </w:rPr>
            </w:pPr>
            <w:r w:rsidRPr="003F15C0">
              <w:rPr>
                <w:b/>
                <w:sz w:val="16"/>
                <w:szCs w:val="16"/>
              </w:rPr>
              <w:t>Instant Kiwi/other scratch tickets - annual</w:t>
            </w:r>
          </w:p>
        </w:tc>
        <w:tc>
          <w:tcPr>
            <w:tcW w:w="992" w:type="dxa"/>
            <w:shd w:val="clear" w:color="auto" w:fill="auto"/>
            <w:vAlign w:val="bottom"/>
          </w:tcPr>
          <w:p w14:paraId="573E82D6"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142E2D01"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4A8129FF" w14:textId="77777777" w:rsidR="001C5E0E" w:rsidRPr="007B750E" w:rsidRDefault="001C5E0E" w:rsidP="001C5E0E">
            <w:pPr>
              <w:jc w:val="right"/>
              <w:rPr>
                <w:color w:val="000000"/>
                <w:sz w:val="16"/>
                <w:szCs w:val="16"/>
                <w:lang w:eastAsia="en-NZ"/>
              </w:rPr>
            </w:pPr>
          </w:p>
        </w:tc>
      </w:tr>
      <w:tr w:rsidR="001C5E0E" w:rsidRPr="001A61F1" w14:paraId="6DE21D03" w14:textId="77777777" w:rsidTr="005F3C25">
        <w:tc>
          <w:tcPr>
            <w:tcW w:w="5387" w:type="dxa"/>
          </w:tcPr>
          <w:p w14:paraId="04C26397"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307339E0" w14:textId="77777777" w:rsidR="001C5E0E" w:rsidRPr="004D4DCF" w:rsidRDefault="001C5E0E" w:rsidP="001C5E0E">
            <w:pPr>
              <w:jc w:val="right"/>
              <w:rPr>
                <w:color w:val="000000"/>
                <w:sz w:val="16"/>
                <w:szCs w:val="16"/>
                <w:lang w:eastAsia="en-NZ"/>
              </w:rPr>
            </w:pPr>
            <w:r w:rsidRPr="004D4DCF">
              <w:rPr>
                <w:color w:val="000000"/>
                <w:sz w:val="16"/>
                <w:szCs w:val="16"/>
                <w:lang w:eastAsia="en-NZ"/>
              </w:rPr>
              <w:t>1.00</w:t>
            </w:r>
          </w:p>
        </w:tc>
        <w:tc>
          <w:tcPr>
            <w:tcW w:w="1276" w:type="dxa"/>
            <w:shd w:val="clear" w:color="auto" w:fill="auto"/>
            <w:vAlign w:val="bottom"/>
          </w:tcPr>
          <w:p w14:paraId="4F800BAF" w14:textId="77777777" w:rsidR="001C5E0E" w:rsidRPr="004D4DCF" w:rsidRDefault="001C5E0E" w:rsidP="001C5E0E">
            <w:pPr>
              <w:jc w:val="right"/>
              <w:rPr>
                <w:color w:val="000000"/>
                <w:sz w:val="16"/>
                <w:szCs w:val="16"/>
                <w:lang w:eastAsia="en-NZ"/>
              </w:rPr>
            </w:pPr>
          </w:p>
        </w:tc>
        <w:tc>
          <w:tcPr>
            <w:tcW w:w="850" w:type="dxa"/>
            <w:shd w:val="clear" w:color="auto" w:fill="auto"/>
            <w:vAlign w:val="bottom"/>
          </w:tcPr>
          <w:p w14:paraId="7E4D1316" w14:textId="77777777" w:rsidR="001C5E0E" w:rsidRPr="004D4DCF" w:rsidRDefault="001C5E0E" w:rsidP="001C5E0E">
            <w:pPr>
              <w:jc w:val="right"/>
              <w:rPr>
                <w:color w:val="000000"/>
                <w:sz w:val="16"/>
                <w:szCs w:val="16"/>
                <w:lang w:eastAsia="en-NZ"/>
              </w:rPr>
            </w:pPr>
          </w:p>
        </w:tc>
      </w:tr>
      <w:tr w:rsidR="001C5E0E" w:rsidRPr="001A61F1" w14:paraId="0709DD90" w14:textId="77777777" w:rsidTr="00826105">
        <w:tc>
          <w:tcPr>
            <w:tcW w:w="5387" w:type="dxa"/>
          </w:tcPr>
          <w:p w14:paraId="167FFD32"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47211971" w14:textId="77777777" w:rsidR="001C5E0E" w:rsidRPr="004D4DCF" w:rsidRDefault="001C5E0E" w:rsidP="001C5E0E">
            <w:pPr>
              <w:jc w:val="right"/>
              <w:rPr>
                <w:color w:val="000000"/>
                <w:sz w:val="16"/>
                <w:szCs w:val="16"/>
                <w:lang w:eastAsia="en-NZ"/>
              </w:rPr>
            </w:pPr>
            <w:r w:rsidRPr="004D4DCF">
              <w:rPr>
                <w:color w:val="000000"/>
                <w:sz w:val="16"/>
                <w:szCs w:val="16"/>
                <w:lang w:eastAsia="en-NZ"/>
              </w:rPr>
              <w:t>2.28</w:t>
            </w:r>
          </w:p>
        </w:tc>
        <w:tc>
          <w:tcPr>
            <w:tcW w:w="1276" w:type="dxa"/>
            <w:shd w:val="clear" w:color="auto" w:fill="auto"/>
            <w:vAlign w:val="bottom"/>
          </w:tcPr>
          <w:p w14:paraId="5BD9D951" w14:textId="77777777" w:rsidR="001C5E0E" w:rsidRPr="004D4DCF" w:rsidRDefault="001C5E0E" w:rsidP="001C5E0E">
            <w:pPr>
              <w:jc w:val="right"/>
              <w:rPr>
                <w:color w:val="000000"/>
                <w:sz w:val="16"/>
                <w:szCs w:val="16"/>
                <w:lang w:eastAsia="en-NZ"/>
              </w:rPr>
            </w:pPr>
            <w:r w:rsidRPr="004D4DCF">
              <w:rPr>
                <w:color w:val="000000"/>
                <w:sz w:val="16"/>
                <w:szCs w:val="16"/>
                <w:lang w:eastAsia="en-NZ"/>
              </w:rPr>
              <w:t>(1.73, 3.00)</w:t>
            </w:r>
          </w:p>
        </w:tc>
        <w:tc>
          <w:tcPr>
            <w:tcW w:w="850" w:type="dxa"/>
            <w:shd w:val="clear" w:color="auto" w:fill="auto"/>
            <w:vAlign w:val="bottom"/>
          </w:tcPr>
          <w:p w14:paraId="4F72ED63" w14:textId="77777777" w:rsidR="001C5E0E" w:rsidRPr="004D4DCF" w:rsidRDefault="001C5E0E" w:rsidP="001C5E0E">
            <w:pPr>
              <w:jc w:val="right"/>
              <w:rPr>
                <w:color w:val="000000"/>
                <w:sz w:val="16"/>
                <w:szCs w:val="16"/>
                <w:lang w:eastAsia="en-NZ"/>
              </w:rPr>
            </w:pPr>
            <w:r w:rsidRPr="004D4DCF">
              <w:rPr>
                <w:color w:val="000000"/>
                <w:sz w:val="16"/>
                <w:szCs w:val="16"/>
                <w:lang w:eastAsia="en-NZ"/>
              </w:rPr>
              <w:t>&lt;</w:t>
            </w:r>
            <w:r>
              <w:rPr>
                <w:color w:val="000000"/>
                <w:sz w:val="16"/>
                <w:szCs w:val="16"/>
                <w:lang w:eastAsia="en-NZ"/>
              </w:rPr>
              <w:t>0</w:t>
            </w:r>
            <w:r w:rsidRPr="004D4DCF">
              <w:rPr>
                <w:color w:val="000000"/>
                <w:sz w:val="16"/>
                <w:szCs w:val="16"/>
                <w:lang w:eastAsia="en-NZ"/>
              </w:rPr>
              <w:t>.0001</w:t>
            </w:r>
          </w:p>
        </w:tc>
      </w:tr>
      <w:tr w:rsidR="001C5E0E" w:rsidRPr="001A61F1" w14:paraId="318C88CD" w14:textId="77777777" w:rsidTr="005F3C25">
        <w:tc>
          <w:tcPr>
            <w:tcW w:w="5387" w:type="dxa"/>
            <w:vAlign w:val="bottom"/>
          </w:tcPr>
          <w:p w14:paraId="208594B0" w14:textId="77777777" w:rsidR="001C5E0E" w:rsidRPr="003F15C0" w:rsidRDefault="001C5E0E" w:rsidP="001C5E0E">
            <w:pPr>
              <w:spacing w:before="20"/>
              <w:jc w:val="both"/>
              <w:rPr>
                <w:b/>
                <w:sz w:val="16"/>
                <w:szCs w:val="16"/>
              </w:rPr>
            </w:pPr>
            <w:r w:rsidRPr="003F15C0">
              <w:rPr>
                <w:b/>
                <w:sz w:val="16"/>
                <w:szCs w:val="16"/>
              </w:rPr>
              <w:t>Housie or bingo - annual</w:t>
            </w:r>
          </w:p>
        </w:tc>
        <w:tc>
          <w:tcPr>
            <w:tcW w:w="992" w:type="dxa"/>
            <w:shd w:val="clear" w:color="auto" w:fill="auto"/>
            <w:vAlign w:val="bottom"/>
          </w:tcPr>
          <w:p w14:paraId="3FA5E054"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599BDFCA"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4BE52A17" w14:textId="77777777" w:rsidR="001C5E0E" w:rsidRPr="007B750E" w:rsidRDefault="001C5E0E" w:rsidP="001C5E0E">
            <w:pPr>
              <w:jc w:val="right"/>
              <w:rPr>
                <w:color w:val="000000"/>
                <w:sz w:val="16"/>
                <w:szCs w:val="16"/>
                <w:lang w:eastAsia="en-NZ"/>
              </w:rPr>
            </w:pPr>
          </w:p>
        </w:tc>
      </w:tr>
      <w:tr w:rsidR="001C5E0E" w:rsidRPr="001A61F1" w14:paraId="5E67E9EB" w14:textId="77777777" w:rsidTr="005F3C25">
        <w:tc>
          <w:tcPr>
            <w:tcW w:w="5387" w:type="dxa"/>
          </w:tcPr>
          <w:p w14:paraId="7768EF25"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0FAB5402" w14:textId="77777777" w:rsidR="001C5E0E" w:rsidRPr="004D4DCF" w:rsidRDefault="001C5E0E" w:rsidP="001C5E0E">
            <w:pPr>
              <w:jc w:val="right"/>
              <w:rPr>
                <w:color w:val="000000"/>
                <w:sz w:val="16"/>
                <w:szCs w:val="16"/>
                <w:lang w:eastAsia="en-NZ"/>
              </w:rPr>
            </w:pPr>
            <w:r w:rsidRPr="004D4DCF">
              <w:rPr>
                <w:color w:val="000000"/>
                <w:sz w:val="16"/>
                <w:szCs w:val="16"/>
                <w:lang w:eastAsia="en-NZ"/>
              </w:rPr>
              <w:t>1.00</w:t>
            </w:r>
          </w:p>
        </w:tc>
        <w:tc>
          <w:tcPr>
            <w:tcW w:w="1276" w:type="dxa"/>
            <w:shd w:val="clear" w:color="auto" w:fill="auto"/>
            <w:vAlign w:val="bottom"/>
          </w:tcPr>
          <w:p w14:paraId="3AC2840E" w14:textId="77777777" w:rsidR="001C5E0E" w:rsidRPr="004D4DCF" w:rsidRDefault="001C5E0E" w:rsidP="001C5E0E">
            <w:pPr>
              <w:jc w:val="right"/>
              <w:rPr>
                <w:color w:val="000000"/>
                <w:sz w:val="16"/>
                <w:szCs w:val="16"/>
                <w:lang w:eastAsia="en-NZ"/>
              </w:rPr>
            </w:pPr>
          </w:p>
        </w:tc>
        <w:tc>
          <w:tcPr>
            <w:tcW w:w="850" w:type="dxa"/>
            <w:shd w:val="clear" w:color="auto" w:fill="auto"/>
            <w:vAlign w:val="bottom"/>
          </w:tcPr>
          <w:p w14:paraId="5350D0D2" w14:textId="77777777" w:rsidR="001C5E0E" w:rsidRPr="004D4DCF" w:rsidRDefault="001C5E0E" w:rsidP="001C5E0E">
            <w:pPr>
              <w:jc w:val="right"/>
              <w:rPr>
                <w:color w:val="000000"/>
                <w:sz w:val="16"/>
                <w:szCs w:val="16"/>
                <w:lang w:eastAsia="en-NZ"/>
              </w:rPr>
            </w:pPr>
          </w:p>
        </w:tc>
      </w:tr>
      <w:tr w:rsidR="001C5E0E" w:rsidRPr="001A61F1" w14:paraId="0A91B7D4" w14:textId="77777777" w:rsidTr="00826105">
        <w:tc>
          <w:tcPr>
            <w:tcW w:w="5387" w:type="dxa"/>
          </w:tcPr>
          <w:p w14:paraId="5385D036"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4F917A6A" w14:textId="77777777" w:rsidR="001C5E0E" w:rsidRPr="004D4DCF" w:rsidRDefault="001C5E0E" w:rsidP="001C5E0E">
            <w:pPr>
              <w:jc w:val="right"/>
              <w:rPr>
                <w:color w:val="000000"/>
                <w:sz w:val="16"/>
                <w:szCs w:val="16"/>
                <w:lang w:eastAsia="en-NZ"/>
              </w:rPr>
            </w:pPr>
            <w:r w:rsidRPr="004D4DCF">
              <w:rPr>
                <w:color w:val="000000"/>
                <w:sz w:val="16"/>
                <w:szCs w:val="16"/>
                <w:lang w:eastAsia="en-NZ"/>
              </w:rPr>
              <w:t>4.60</w:t>
            </w:r>
          </w:p>
        </w:tc>
        <w:tc>
          <w:tcPr>
            <w:tcW w:w="1276" w:type="dxa"/>
            <w:shd w:val="clear" w:color="auto" w:fill="auto"/>
            <w:vAlign w:val="bottom"/>
          </w:tcPr>
          <w:p w14:paraId="1B120356" w14:textId="77777777" w:rsidR="001C5E0E" w:rsidRPr="004D4DCF" w:rsidRDefault="001C5E0E" w:rsidP="001C5E0E">
            <w:pPr>
              <w:jc w:val="right"/>
              <w:rPr>
                <w:color w:val="000000"/>
                <w:sz w:val="16"/>
                <w:szCs w:val="16"/>
                <w:lang w:eastAsia="en-NZ"/>
              </w:rPr>
            </w:pPr>
            <w:r w:rsidRPr="004D4DCF">
              <w:rPr>
                <w:color w:val="000000"/>
                <w:sz w:val="16"/>
                <w:szCs w:val="16"/>
                <w:lang w:eastAsia="en-NZ"/>
              </w:rPr>
              <w:t>(2.13, 9.94)</w:t>
            </w:r>
          </w:p>
        </w:tc>
        <w:tc>
          <w:tcPr>
            <w:tcW w:w="850" w:type="dxa"/>
            <w:shd w:val="clear" w:color="auto" w:fill="auto"/>
            <w:vAlign w:val="bottom"/>
          </w:tcPr>
          <w:p w14:paraId="1D16B104" w14:textId="77777777" w:rsidR="001C5E0E" w:rsidRPr="004D4DCF" w:rsidRDefault="001C5E0E" w:rsidP="001C5E0E">
            <w:pPr>
              <w:jc w:val="right"/>
              <w:rPr>
                <w:color w:val="000000"/>
                <w:sz w:val="16"/>
                <w:szCs w:val="16"/>
                <w:lang w:eastAsia="en-NZ"/>
              </w:rPr>
            </w:pPr>
            <w:r w:rsidRPr="004D4DCF">
              <w:rPr>
                <w:color w:val="000000"/>
                <w:sz w:val="16"/>
                <w:szCs w:val="16"/>
                <w:lang w:eastAsia="en-NZ"/>
              </w:rPr>
              <w:t>0.0001</w:t>
            </w:r>
          </w:p>
        </w:tc>
      </w:tr>
      <w:tr w:rsidR="001C5E0E" w:rsidRPr="001A61F1" w14:paraId="785B65F4" w14:textId="77777777" w:rsidTr="005F3C25">
        <w:tc>
          <w:tcPr>
            <w:tcW w:w="5387" w:type="dxa"/>
            <w:vAlign w:val="bottom"/>
          </w:tcPr>
          <w:p w14:paraId="1345FD89" w14:textId="77777777" w:rsidR="001C5E0E" w:rsidRPr="003F15C0" w:rsidRDefault="001C5E0E" w:rsidP="001C5E0E">
            <w:pPr>
              <w:spacing w:before="20"/>
              <w:jc w:val="both"/>
              <w:rPr>
                <w:b/>
                <w:sz w:val="16"/>
                <w:szCs w:val="16"/>
              </w:rPr>
            </w:pPr>
            <w:r w:rsidRPr="003F15C0">
              <w:rPr>
                <w:b/>
                <w:sz w:val="16"/>
                <w:szCs w:val="16"/>
              </w:rPr>
              <w:t>Horse/dog race betting - annual</w:t>
            </w:r>
          </w:p>
        </w:tc>
        <w:tc>
          <w:tcPr>
            <w:tcW w:w="992" w:type="dxa"/>
            <w:shd w:val="clear" w:color="auto" w:fill="auto"/>
            <w:vAlign w:val="bottom"/>
          </w:tcPr>
          <w:p w14:paraId="7F1C291D"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76622E26"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2F91684F" w14:textId="77777777" w:rsidR="001C5E0E" w:rsidRPr="007B750E" w:rsidRDefault="001C5E0E" w:rsidP="001C5E0E">
            <w:pPr>
              <w:jc w:val="right"/>
              <w:rPr>
                <w:color w:val="000000"/>
                <w:sz w:val="16"/>
                <w:szCs w:val="16"/>
                <w:lang w:eastAsia="en-NZ"/>
              </w:rPr>
            </w:pPr>
          </w:p>
        </w:tc>
      </w:tr>
      <w:tr w:rsidR="001C5E0E" w:rsidRPr="001A61F1" w14:paraId="51E3B45F" w14:textId="77777777" w:rsidTr="00826105">
        <w:tc>
          <w:tcPr>
            <w:tcW w:w="5387" w:type="dxa"/>
          </w:tcPr>
          <w:p w14:paraId="656337E0"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2A637E7E" w14:textId="77777777" w:rsidR="001C5E0E" w:rsidRPr="004D4DCF" w:rsidRDefault="001C5E0E" w:rsidP="001C5E0E">
            <w:pPr>
              <w:jc w:val="right"/>
              <w:rPr>
                <w:color w:val="000000"/>
                <w:sz w:val="16"/>
                <w:szCs w:val="16"/>
                <w:lang w:eastAsia="en-NZ"/>
              </w:rPr>
            </w:pPr>
            <w:r w:rsidRPr="004D4DCF">
              <w:rPr>
                <w:color w:val="000000"/>
                <w:sz w:val="16"/>
                <w:szCs w:val="16"/>
                <w:lang w:eastAsia="en-NZ"/>
              </w:rPr>
              <w:t>1.00</w:t>
            </w:r>
          </w:p>
        </w:tc>
        <w:tc>
          <w:tcPr>
            <w:tcW w:w="1276" w:type="dxa"/>
            <w:shd w:val="clear" w:color="auto" w:fill="auto"/>
            <w:vAlign w:val="bottom"/>
          </w:tcPr>
          <w:p w14:paraId="45F873C0" w14:textId="77777777" w:rsidR="001C5E0E" w:rsidRPr="004D4DCF" w:rsidRDefault="001C5E0E" w:rsidP="001C5E0E">
            <w:pPr>
              <w:jc w:val="right"/>
              <w:rPr>
                <w:color w:val="000000"/>
                <w:sz w:val="16"/>
                <w:szCs w:val="16"/>
                <w:lang w:eastAsia="en-NZ"/>
              </w:rPr>
            </w:pPr>
          </w:p>
        </w:tc>
        <w:tc>
          <w:tcPr>
            <w:tcW w:w="850" w:type="dxa"/>
            <w:shd w:val="clear" w:color="auto" w:fill="auto"/>
            <w:vAlign w:val="bottom"/>
          </w:tcPr>
          <w:p w14:paraId="677D6DA1" w14:textId="77777777" w:rsidR="001C5E0E" w:rsidRPr="004D4DCF" w:rsidRDefault="001C5E0E" w:rsidP="001C5E0E">
            <w:pPr>
              <w:jc w:val="right"/>
              <w:rPr>
                <w:color w:val="000000"/>
                <w:sz w:val="16"/>
                <w:szCs w:val="16"/>
                <w:lang w:eastAsia="en-NZ"/>
              </w:rPr>
            </w:pPr>
          </w:p>
        </w:tc>
      </w:tr>
      <w:tr w:rsidR="001C5E0E" w:rsidRPr="001A61F1" w14:paraId="7C7E4B82" w14:textId="77777777" w:rsidTr="00826105">
        <w:tc>
          <w:tcPr>
            <w:tcW w:w="5387" w:type="dxa"/>
          </w:tcPr>
          <w:p w14:paraId="278B7628"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2C40A79C" w14:textId="77777777" w:rsidR="001C5E0E" w:rsidRPr="004D4DCF" w:rsidRDefault="001C5E0E" w:rsidP="001C5E0E">
            <w:pPr>
              <w:jc w:val="right"/>
              <w:rPr>
                <w:color w:val="000000"/>
                <w:sz w:val="16"/>
                <w:szCs w:val="16"/>
                <w:lang w:eastAsia="en-NZ"/>
              </w:rPr>
            </w:pPr>
            <w:r w:rsidRPr="004D4DCF">
              <w:rPr>
                <w:color w:val="000000"/>
                <w:sz w:val="16"/>
                <w:szCs w:val="16"/>
                <w:lang w:eastAsia="en-NZ"/>
              </w:rPr>
              <w:t>2.02</w:t>
            </w:r>
          </w:p>
        </w:tc>
        <w:tc>
          <w:tcPr>
            <w:tcW w:w="1276" w:type="dxa"/>
            <w:shd w:val="clear" w:color="auto" w:fill="auto"/>
            <w:vAlign w:val="bottom"/>
          </w:tcPr>
          <w:p w14:paraId="476AE5A9" w14:textId="77777777" w:rsidR="001C5E0E" w:rsidRPr="004D4DCF" w:rsidRDefault="001C5E0E" w:rsidP="001C5E0E">
            <w:pPr>
              <w:jc w:val="right"/>
              <w:rPr>
                <w:color w:val="000000"/>
                <w:sz w:val="16"/>
                <w:szCs w:val="16"/>
                <w:lang w:eastAsia="en-NZ"/>
              </w:rPr>
            </w:pPr>
            <w:r w:rsidRPr="004D4DCF">
              <w:rPr>
                <w:color w:val="000000"/>
                <w:sz w:val="16"/>
                <w:szCs w:val="16"/>
                <w:lang w:eastAsia="en-NZ"/>
              </w:rPr>
              <w:t>(1.41, 2.88)</w:t>
            </w:r>
          </w:p>
        </w:tc>
        <w:tc>
          <w:tcPr>
            <w:tcW w:w="850" w:type="dxa"/>
            <w:shd w:val="clear" w:color="auto" w:fill="auto"/>
            <w:vAlign w:val="bottom"/>
          </w:tcPr>
          <w:p w14:paraId="6AF96400" w14:textId="77777777" w:rsidR="001C5E0E" w:rsidRPr="004D4DCF" w:rsidRDefault="001C5E0E" w:rsidP="001C5E0E">
            <w:pPr>
              <w:jc w:val="right"/>
              <w:rPr>
                <w:color w:val="000000"/>
                <w:sz w:val="16"/>
                <w:szCs w:val="16"/>
                <w:lang w:eastAsia="en-NZ"/>
              </w:rPr>
            </w:pPr>
            <w:r w:rsidRPr="004D4DCF">
              <w:rPr>
                <w:color w:val="000000"/>
                <w:sz w:val="16"/>
                <w:szCs w:val="16"/>
                <w:shd w:val="clear" w:color="auto" w:fill="BFBFBF" w:themeFill="background1" w:themeFillShade="BF"/>
                <w:lang w:eastAsia="en-NZ"/>
              </w:rPr>
              <w:t>0</w:t>
            </w:r>
            <w:r w:rsidRPr="004D4DCF">
              <w:rPr>
                <w:color w:val="000000"/>
                <w:sz w:val="16"/>
                <w:szCs w:val="16"/>
                <w:lang w:eastAsia="en-NZ"/>
              </w:rPr>
              <w:t>.0001</w:t>
            </w:r>
          </w:p>
        </w:tc>
      </w:tr>
      <w:tr w:rsidR="001C5E0E" w:rsidRPr="001A61F1" w14:paraId="0F14EF93" w14:textId="77777777" w:rsidTr="00826105">
        <w:tc>
          <w:tcPr>
            <w:tcW w:w="5387" w:type="dxa"/>
            <w:vAlign w:val="bottom"/>
          </w:tcPr>
          <w:p w14:paraId="1423AFA4" w14:textId="77777777" w:rsidR="001C5E0E" w:rsidRPr="00203823" w:rsidRDefault="001C5E0E" w:rsidP="00826105">
            <w:pPr>
              <w:spacing w:before="20"/>
              <w:jc w:val="both"/>
              <w:rPr>
                <w:b/>
                <w:sz w:val="16"/>
                <w:szCs w:val="16"/>
              </w:rPr>
            </w:pPr>
            <w:r w:rsidRPr="00203823">
              <w:rPr>
                <w:b/>
                <w:sz w:val="16"/>
                <w:szCs w:val="16"/>
              </w:rPr>
              <w:t>Sports betting - annual</w:t>
            </w:r>
          </w:p>
        </w:tc>
        <w:tc>
          <w:tcPr>
            <w:tcW w:w="992" w:type="dxa"/>
            <w:shd w:val="clear" w:color="auto" w:fill="auto"/>
            <w:vAlign w:val="bottom"/>
          </w:tcPr>
          <w:p w14:paraId="3815F255" w14:textId="77777777" w:rsidR="001C5E0E" w:rsidRPr="007B750E" w:rsidRDefault="001C5E0E" w:rsidP="00826105">
            <w:pPr>
              <w:jc w:val="right"/>
              <w:rPr>
                <w:color w:val="000000"/>
                <w:sz w:val="16"/>
                <w:szCs w:val="16"/>
                <w:lang w:eastAsia="en-NZ"/>
              </w:rPr>
            </w:pPr>
          </w:p>
        </w:tc>
        <w:tc>
          <w:tcPr>
            <w:tcW w:w="1276" w:type="dxa"/>
            <w:shd w:val="clear" w:color="auto" w:fill="auto"/>
            <w:vAlign w:val="bottom"/>
          </w:tcPr>
          <w:p w14:paraId="3CFE72DB" w14:textId="77777777" w:rsidR="001C5E0E" w:rsidRPr="007B750E" w:rsidRDefault="001C5E0E" w:rsidP="00826105">
            <w:pPr>
              <w:jc w:val="right"/>
              <w:rPr>
                <w:color w:val="000000"/>
                <w:sz w:val="16"/>
                <w:szCs w:val="16"/>
                <w:lang w:eastAsia="en-NZ"/>
              </w:rPr>
            </w:pPr>
          </w:p>
        </w:tc>
        <w:tc>
          <w:tcPr>
            <w:tcW w:w="850" w:type="dxa"/>
            <w:shd w:val="clear" w:color="auto" w:fill="auto"/>
            <w:vAlign w:val="bottom"/>
          </w:tcPr>
          <w:p w14:paraId="08891C72" w14:textId="77777777" w:rsidR="001C5E0E" w:rsidRPr="007B750E" w:rsidRDefault="001C5E0E" w:rsidP="00826105">
            <w:pPr>
              <w:jc w:val="right"/>
              <w:rPr>
                <w:color w:val="000000"/>
                <w:sz w:val="16"/>
                <w:szCs w:val="16"/>
                <w:lang w:eastAsia="en-NZ"/>
              </w:rPr>
            </w:pPr>
          </w:p>
        </w:tc>
      </w:tr>
      <w:tr w:rsidR="001C5E0E" w:rsidRPr="001A61F1" w14:paraId="7A358DB9" w14:textId="77777777" w:rsidTr="00826105">
        <w:tc>
          <w:tcPr>
            <w:tcW w:w="5387" w:type="dxa"/>
          </w:tcPr>
          <w:p w14:paraId="313789AF" w14:textId="77777777" w:rsidR="001C5E0E" w:rsidRPr="00203823" w:rsidRDefault="001C5E0E" w:rsidP="00826105">
            <w:pPr>
              <w:spacing w:before="20"/>
              <w:ind w:left="176"/>
              <w:jc w:val="both"/>
              <w:rPr>
                <w:sz w:val="16"/>
                <w:szCs w:val="16"/>
              </w:rPr>
            </w:pPr>
            <w:r w:rsidRPr="00203823">
              <w:rPr>
                <w:sz w:val="16"/>
                <w:szCs w:val="16"/>
              </w:rPr>
              <w:t>No</w:t>
            </w:r>
          </w:p>
        </w:tc>
        <w:tc>
          <w:tcPr>
            <w:tcW w:w="992" w:type="dxa"/>
            <w:shd w:val="clear" w:color="auto" w:fill="auto"/>
            <w:vAlign w:val="bottom"/>
          </w:tcPr>
          <w:p w14:paraId="3AA9C9A7" w14:textId="77777777" w:rsidR="001C5E0E" w:rsidRPr="004D4DCF" w:rsidRDefault="001C5E0E" w:rsidP="00826105">
            <w:pPr>
              <w:jc w:val="right"/>
              <w:rPr>
                <w:color w:val="000000"/>
                <w:sz w:val="16"/>
                <w:szCs w:val="16"/>
                <w:lang w:eastAsia="en-NZ"/>
              </w:rPr>
            </w:pPr>
            <w:r w:rsidRPr="004D4DCF">
              <w:rPr>
                <w:color w:val="000000"/>
                <w:sz w:val="16"/>
                <w:szCs w:val="16"/>
                <w:lang w:eastAsia="en-NZ"/>
              </w:rPr>
              <w:t>1.00</w:t>
            </w:r>
          </w:p>
        </w:tc>
        <w:tc>
          <w:tcPr>
            <w:tcW w:w="1276" w:type="dxa"/>
            <w:shd w:val="clear" w:color="auto" w:fill="auto"/>
            <w:vAlign w:val="bottom"/>
          </w:tcPr>
          <w:p w14:paraId="1EA9E5A9" w14:textId="77777777" w:rsidR="001C5E0E" w:rsidRPr="004D4DCF" w:rsidRDefault="001C5E0E" w:rsidP="00826105">
            <w:pPr>
              <w:jc w:val="right"/>
              <w:rPr>
                <w:color w:val="000000"/>
                <w:sz w:val="16"/>
                <w:szCs w:val="16"/>
                <w:lang w:eastAsia="en-NZ"/>
              </w:rPr>
            </w:pPr>
          </w:p>
        </w:tc>
        <w:tc>
          <w:tcPr>
            <w:tcW w:w="850" w:type="dxa"/>
            <w:shd w:val="clear" w:color="auto" w:fill="auto"/>
            <w:vAlign w:val="bottom"/>
          </w:tcPr>
          <w:p w14:paraId="76DC3DA3" w14:textId="77777777" w:rsidR="001C5E0E" w:rsidRPr="004D4DCF" w:rsidRDefault="001C5E0E" w:rsidP="00826105">
            <w:pPr>
              <w:jc w:val="right"/>
              <w:rPr>
                <w:color w:val="000000"/>
                <w:sz w:val="16"/>
                <w:szCs w:val="16"/>
                <w:lang w:eastAsia="en-NZ"/>
              </w:rPr>
            </w:pPr>
          </w:p>
        </w:tc>
      </w:tr>
      <w:tr w:rsidR="001C5E0E" w:rsidRPr="001A61F1" w14:paraId="6D060A60" w14:textId="77777777" w:rsidTr="00826105">
        <w:tc>
          <w:tcPr>
            <w:tcW w:w="5387" w:type="dxa"/>
            <w:tcBorders>
              <w:bottom w:val="single" w:sz="4" w:space="0" w:color="auto"/>
            </w:tcBorders>
          </w:tcPr>
          <w:p w14:paraId="738AE79E" w14:textId="77777777" w:rsidR="001C5E0E" w:rsidRPr="00203823" w:rsidRDefault="001C5E0E" w:rsidP="00826105">
            <w:pPr>
              <w:spacing w:before="20"/>
              <w:ind w:left="176"/>
              <w:jc w:val="both"/>
              <w:rPr>
                <w:sz w:val="16"/>
                <w:szCs w:val="16"/>
              </w:rPr>
            </w:pPr>
            <w:r w:rsidRPr="00203823">
              <w:rPr>
                <w:sz w:val="16"/>
                <w:szCs w:val="16"/>
              </w:rPr>
              <w:t>Yes</w:t>
            </w:r>
          </w:p>
        </w:tc>
        <w:tc>
          <w:tcPr>
            <w:tcW w:w="992" w:type="dxa"/>
            <w:tcBorders>
              <w:bottom w:val="single" w:sz="4" w:space="0" w:color="auto"/>
            </w:tcBorders>
            <w:shd w:val="clear" w:color="auto" w:fill="auto"/>
            <w:vAlign w:val="bottom"/>
          </w:tcPr>
          <w:p w14:paraId="32E48A84" w14:textId="77777777" w:rsidR="001C5E0E" w:rsidRPr="004D4DCF" w:rsidRDefault="001C5E0E" w:rsidP="00826105">
            <w:pPr>
              <w:jc w:val="right"/>
              <w:rPr>
                <w:color w:val="000000"/>
                <w:sz w:val="16"/>
                <w:szCs w:val="16"/>
                <w:lang w:eastAsia="en-NZ"/>
              </w:rPr>
            </w:pPr>
            <w:r w:rsidRPr="004D4DCF">
              <w:rPr>
                <w:color w:val="000000"/>
                <w:sz w:val="16"/>
                <w:szCs w:val="16"/>
                <w:lang w:eastAsia="en-NZ"/>
              </w:rPr>
              <w:t>3.55</w:t>
            </w:r>
          </w:p>
        </w:tc>
        <w:tc>
          <w:tcPr>
            <w:tcW w:w="1276" w:type="dxa"/>
            <w:tcBorders>
              <w:bottom w:val="single" w:sz="4" w:space="0" w:color="auto"/>
            </w:tcBorders>
            <w:shd w:val="clear" w:color="auto" w:fill="auto"/>
            <w:vAlign w:val="bottom"/>
          </w:tcPr>
          <w:p w14:paraId="04A2B602" w14:textId="77777777" w:rsidR="001C5E0E" w:rsidRPr="004D4DCF" w:rsidRDefault="001C5E0E" w:rsidP="00826105">
            <w:pPr>
              <w:jc w:val="right"/>
              <w:rPr>
                <w:color w:val="000000"/>
                <w:sz w:val="16"/>
                <w:szCs w:val="16"/>
                <w:lang w:eastAsia="en-NZ"/>
              </w:rPr>
            </w:pPr>
            <w:r w:rsidRPr="004D4DCF">
              <w:rPr>
                <w:color w:val="000000"/>
                <w:sz w:val="16"/>
                <w:szCs w:val="16"/>
                <w:lang w:eastAsia="en-NZ"/>
              </w:rPr>
              <w:t>(2.10, 5.98)</w:t>
            </w:r>
          </w:p>
        </w:tc>
        <w:tc>
          <w:tcPr>
            <w:tcW w:w="850" w:type="dxa"/>
            <w:tcBorders>
              <w:bottom w:val="single" w:sz="4" w:space="0" w:color="auto"/>
            </w:tcBorders>
            <w:shd w:val="clear" w:color="auto" w:fill="auto"/>
            <w:vAlign w:val="bottom"/>
          </w:tcPr>
          <w:p w14:paraId="712D2C36" w14:textId="77777777" w:rsidR="001C5E0E" w:rsidRPr="004D4DCF" w:rsidRDefault="001C5E0E" w:rsidP="00826105">
            <w:pPr>
              <w:jc w:val="right"/>
              <w:rPr>
                <w:color w:val="000000"/>
                <w:sz w:val="16"/>
                <w:szCs w:val="16"/>
                <w:lang w:eastAsia="en-NZ"/>
              </w:rPr>
            </w:pPr>
            <w:r w:rsidRPr="004D4DCF">
              <w:rPr>
                <w:color w:val="000000"/>
                <w:sz w:val="16"/>
                <w:szCs w:val="16"/>
                <w:lang w:eastAsia="en-NZ"/>
              </w:rPr>
              <w:t>&lt;</w:t>
            </w:r>
            <w:r>
              <w:rPr>
                <w:color w:val="000000"/>
                <w:sz w:val="16"/>
                <w:szCs w:val="16"/>
                <w:lang w:eastAsia="en-NZ"/>
              </w:rPr>
              <w:t>0</w:t>
            </w:r>
            <w:r w:rsidRPr="004D4DCF">
              <w:rPr>
                <w:color w:val="000000"/>
                <w:sz w:val="16"/>
                <w:szCs w:val="16"/>
                <w:lang w:eastAsia="en-NZ"/>
              </w:rPr>
              <w:t>.0001</w:t>
            </w:r>
          </w:p>
        </w:tc>
      </w:tr>
      <w:tr w:rsidR="001C5E0E" w:rsidRPr="001A61F1" w14:paraId="74DEBFC7" w14:textId="77777777" w:rsidTr="00826105">
        <w:tc>
          <w:tcPr>
            <w:tcW w:w="5387" w:type="dxa"/>
            <w:tcBorders>
              <w:top w:val="single" w:sz="4" w:space="0" w:color="auto"/>
            </w:tcBorders>
            <w:vAlign w:val="center"/>
          </w:tcPr>
          <w:p w14:paraId="1BC90155" w14:textId="77777777" w:rsidR="001C5E0E" w:rsidRPr="00203823" w:rsidRDefault="001C5E0E" w:rsidP="00855BF7">
            <w:pPr>
              <w:keepNext/>
              <w:spacing w:before="20"/>
              <w:rPr>
                <w:b/>
                <w:bCs/>
                <w:color w:val="000000"/>
                <w:sz w:val="16"/>
                <w:szCs w:val="16"/>
              </w:rPr>
            </w:pPr>
            <w:r w:rsidRPr="00203823">
              <w:rPr>
                <w:b/>
                <w:sz w:val="16"/>
                <w:szCs w:val="16"/>
              </w:rPr>
              <w:t>Casino table games or EGMs (overseas) - annual</w:t>
            </w:r>
          </w:p>
        </w:tc>
        <w:tc>
          <w:tcPr>
            <w:tcW w:w="992" w:type="dxa"/>
            <w:tcBorders>
              <w:top w:val="single" w:sz="4" w:space="0" w:color="auto"/>
            </w:tcBorders>
            <w:shd w:val="clear" w:color="auto" w:fill="auto"/>
            <w:vAlign w:val="bottom"/>
          </w:tcPr>
          <w:p w14:paraId="0944E87B" w14:textId="77777777" w:rsidR="001C5E0E" w:rsidRPr="007B750E" w:rsidRDefault="001C5E0E" w:rsidP="00855BF7">
            <w:pPr>
              <w:keepNext/>
              <w:jc w:val="right"/>
              <w:rPr>
                <w:color w:val="000000"/>
                <w:sz w:val="16"/>
                <w:szCs w:val="16"/>
                <w:lang w:eastAsia="en-NZ"/>
              </w:rPr>
            </w:pPr>
          </w:p>
        </w:tc>
        <w:tc>
          <w:tcPr>
            <w:tcW w:w="1276" w:type="dxa"/>
            <w:tcBorders>
              <w:top w:val="single" w:sz="4" w:space="0" w:color="auto"/>
            </w:tcBorders>
            <w:shd w:val="clear" w:color="auto" w:fill="auto"/>
            <w:vAlign w:val="bottom"/>
          </w:tcPr>
          <w:p w14:paraId="33977EEA" w14:textId="77777777" w:rsidR="001C5E0E" w:rsidRPr="007B750E" w:rsidRDefault="001C5E0E" w:rsidP="00855BF7">
            <w:pPr>
              <w:keepNext/>
              <w:jc w:val="right"/>
              <w:rPr>
                <w:color w:val="000000"/>
                <w:sz w:val="16"/>
                <w:szCs w:val="16"/>
                <w:lang w:eastAsia="en-NZ"/>
              </w:rPr>
            </w:pPr>
          </w:p>
        </w:tc>
        <w:tc>
          <w:tcPr>
            <w:tcW w:w="850" w:type="dxa"/>
            <w:tcBorders>
              <w:top w:val="single" w:sz="4" w:space="0" w:color="auto"/>
            </w:tcBorders>
            <w:shd w:val="clear" w:color="auto" w:fill="auto"/>
            <w:vAlign w:val="bottom"/>
          </w:tcPr>
          <w:p w14:paraId="55ECB4BE" w14:textId="77777777" w:rsidR="001C5E0E" w:rsidRPr="007B750E" w:rsidRDefault="001C5E0E" w:rsidP="00855BF7">
            <w:pPr>
              <w:keepNext/>
              <w:jc w:val="right"/>
              <w:rPr>
                <w:color w:val="000000"/>
                <w:sz w:val="16"/>
                <w:szCs w:val="16"/>
                <w:lang w:eastAsia="en-NZ"/>
              </w:rPr>
            </w:pPr>
          </w:p>
        </w:tc>
      </w:tr>
      <w:tr w:rsidR="001C5E0E" w:rsidRPr="001A61F1" w14:paraId="2FE0F5AC" w14:textId="77777777" w:rsidTr="00826105">
        <w:tc>
          <w:tcPr>
            <w:tcW w:w="5387" w:type="dxa"/>
          </w:tcPr>
          <w:p w14:paraId="20701E92" w14:textId="77777777" w:rsidR="001C5E0E" w:rsidRPr="00203823" w:rsidRDefault="001C5E0E" w:rsidP="00855BF7">
            <w:pPr>
              <w:keepNext/>
              <w:spacing w:before="20"/>
              <w:ind w:left="176"/>
              <w:jc w:val="both"/>
              <w:rPr>
                <w:sz w:val="16"/>
                <w:szCs w:val="16"/>
              </w:rPr>
            </w:pPr>
            <w:r w:rsidRPr="00203823">
              <w:rPr>
                <w:sz w:val="16"/>
                <w:szCs w:val="16"/>
              </w:rPr>
              <w:t>No</w:t>
            </w:r>
          </w:p>
        </w:tc>
        <w:tc>
          <w:tcPr>
            <w:tcW w:w="992" w:type="dxa"/>
            <w:shd w:val="clear" w:color="auto" w:fill="auto"/>
            <w:vAlign w:val="bottom"/>
          </w:tcPr>
          <w:p w14:paraId="08518276" w14:textId="77777777" w:rsidR="001C5E0E" w:rsidRPr="004D4DCF" w:rsidRDefault="001C5E0E" w:rsidP="00855BF7">
            <w:pPr>
              <w:keepNext/>
              <w:jc w:val="right"/>
              <w:rPr>
                <w:color w:val="000000"/>
                <w:sz w:val="16"/>
                <w:szCs w:val="16"/>
                <w:lang w:eastAsia="en-NZ"/>
              </w:rPr>
            </w:pPr>
            <w:r w:rsidRPr="004D4DCF">
              <w:rPr>
                <w:color w:val="000000"/>
                <w:sz w:val="16"/>
                <w:szCs w:val="16"/>
                <w:lang w:eastAsia="en-NZ"/>
              </w:rPr>
              <w:t>1.00</w:t>
            </w:r>
          </w:p>
        </w:tc>
        <w:tc>
          <w:tcPr>
            <w:tcW w:w="1276" w:type="dxa"/>
            <w:shd w:val="clear" w:color="auto" w:fill="auto"/>
            <w:vAlign w:val="bottom"/>
          </w:tcPr>
          <w:p w14:paraId="3A069DEB" w14:textId="77777777" w:rsidR="001C5E0E" w:rsidRPr="004D4DCF" w:rsidRDefault="001C5E0E" w:rsidP="00855BF7">
            <w:pPr>
              <w:keepNext/>
              <w:jc w:val="right"/>
              <w:rPr>
                <w:color w:val="000000"/>
                <w:sz w:val="16"/>
                <w:szCs w:val="16"/>
                <w:lang w:eastAsia="en-NZ"/>
              </w:rPr>
            </w:pPr>
          </w:p>
        </w:tc>
        <w:tc>
          <w:tcPr>
            <w:tcW w:w="850" w:type="dxa"/>
            <w:shd w:val="clear" w:color="auto" w:fill="auto"/>
            <w:vAlign w:val="bottom"/>
          </w:tcPr>
          <w:p w14:paraId="2AE50AED" w14:textId="77777777" w:rsidR="001C5E0E" w:rsidRPr="004D4DCF" w:rsidRDefault="001C5E0E" w:rsidP="00855BF7">
            <w:pPr>
              <w:keepNext/>
              <w:jc w:val="right"/>
              <w:rPr>
                <w:color w:val="000000"/>
                <w:sz w:val="16"/>
                <w:szCs w:val="16"/>
                <w:lang w:eastAsia="en-NZ"/>
              </w:rPr>
            </w:pPr>
          </w:p>
        </w:tc>
      </w:tr>
      <w:tr w:rsidR="001C5E0E" w:rsidRPr="001A61F1" w14:paraId="1303582A" w14:textId="77777777" w:rsidTr="00826105">
        <w:tc>
          <w:tcPr>
            <w:tcW w:w="5387" w:type="dxa"/>
          </w:tcPr>
          <w:p w14:paraId="643D9D93" w14:textId="77777777" w:rsidR="001C5E0E" w:rsidRPr="00203823" w:rsidRDefault="001C5E0E" w:rsidP="001C5E0E">
            <w:pPr>
              <w:spacing w:before="20"/>
              <w:ind w:left="176"/>
              <w:jc w:val="both"/>
              <w:rPr>
                <w:sz w:val="16"/>
                <w:szCs w:val="16"/>
              </w:rPr>
            </w:pPr>
            <w:r w:rsidRPr="00203823">
              <w:rPr>
                <w:sz w:val="16"/>
                <w:szCs w:val="16"/>
              </w:rPr>
              <w:t>Yes</w:t>
            </w:r>
          </w:p>
        </w:tc>
        <w:tc>
          <w:tcPr>
            <w:tcW w:w="992" w:type="dxa"/>
            <w:shd w:val="clear" w:color="auto" w:fill="auto"/>
            <w:vAlign w:val="bottom"/>
          </w:tcPr>
          <w:p w14:paraId="2AD3054B" w14:textId="77777777" w:rsidR="001C5E0E" w:rsidRPr="004D4DCF" w:rsidRDefault="001C5E0E" w:rsidP="001C5E0E">
            <w:pPr>
              <w:jc w:val="right"/>
              <w:rPr>
                <w:color w:val="000000"/>
                <w:sz w:val="16"/>
                <w:szCs w:val="16"/>
                <w:lang w:eastAsia="en-NZ"/>
              </w:rPr>
            </w:pPr>
            <w:r w:rsidRPr="004D4DCF">
              <w:rPr>
                <w:color w:val="000000"/>
                <w:sz w:val="16"/>
                <w:szCs w:val="16"/>
                <w:lang w:eastAsia="en-NZ"/>
              </w:rPr>
              <w:t>2.32</w:t>
            </w:r>
          </w:p>
        </w:tc>
        <w:tc>
          <w:tcPr>
            <w:tcW w:w="1276" w:type="dxa"/>
            <w:shd w:val="clear" w:color="auto" w:fill="auto"/>
            <w:vAlign w:val="bottom"/>
          </w:tcPr>
          <w:p w14:paraId="7C7ECF81" w14:textId="77777777" w:rsidR="001C5E0E" w:rsidRPr="004D4DCF" w:rsidRDefault="001C5E0E" w:rsidP="001C5E0E">
            <w:pPr>
              <w:jc w:val="right"/>
              <w:rPr>
                <w:color w:val="000000"/>
                <w:sz w:val="16"/>
                <w:szCs w:val="16"/>
                <w:lang w:eastAsia="en-NZ"/>
              </w:rPr>
            </w:pPr>
            <w:r w:rsidRPr="004D4DCF">
              <w:rPr>
                <w:color w:val="000000"/>
                <w:sz w:val="16"/>
                <w:szCs w:val="16"/>
                <w:lang w:eastAsia="en-NZ"/>
              </w:rPr>
              <w:t>(1.33, 4.04)</w:t>
            </w:r>
          </w:p>
        </w:tc>
        <w:tc>
          <w:tcPr>
            <w:tcW w:w="850" w:type="dxa"/>
            <w:shd w:val="clear" w:color="auto" w:fill="auto"/>
            <w:vAlign w:val="bottom"/>
          </w:tcPr>
          <w:p w14:paraId="27EB9016" w14:textId="77777777" w:rsidR="001C5E0E" w:rsidRPr="004D4DCF" w:rsidRDefault="001C5E0E" w:rsidP="001C5E0E">
            <w:pPr>
              <w:jc w:val="right"/>
              <w:rPr>
                <w:color w:val="000000"/>
                <w:sz w:val="16"/>
                <w:szCs w:val="16"/>
                <w:lang w:eastAsia="en-NZ"/>
              </w:rPr>
            </w:pPr>
            <w:r w:rsidRPr="004D4DCF">
              <w:rPr>
                <w:color w:val="000000"/>
                <w:sz w:val="16"/>
                <w:szCs w:val="16"/>
                <w:lang w:eastAsia="en-NZ"/>
              </w:rPr>
              <w:t>0.003</w:t>
            </w:r>
          </w:p>
        </w:tc>
      </w:tr>
      <w:tr w:rsidR="001C5E0E" w:rsidRPr="001A61F1" w14:paraId="3321708B" w14:textId="77777777" w:rsidTr="00826105">
        <w:tc>
          <w:tcPr>
            <w:tcW w:w="5387" w:type="dxa"/>
            <w:vAlign w:val="bottom"/>
          </w:tcPr>
          <w:p w14:paraId="0259F145" w14:textId="77777777" w:rsidR="001C5E0E" w:rsidRPr="00203823" w:rsidRDefault="001C5E0E" w:rsidP="001C5E0E">
            <w:pPr>
              <w:spacing w:before="20"/>
              <w:jc w:val="both"/>
              <w:rPr>
                <w:b/>
                <w:sz w:val="16"/>
                <w:szCs w:val="16"/>
              </w:rPr>
            </w:pPr>
            <w:r w:rsidRPr="00203823">
              <w:rPr>
                <w:b/>
                <w:sz w:val="16"/>
                <w:szCs w:val="16"/>
              </w:rPr>
              <w:t>Casino table games or EGMs (NZ) - annual</w:t>
            </w:r>
          </w:p>
        </w:tc>
        <w:tc>
          <w:tcPr>
            <w:tcW w:w="992" w:type="dxa"/>
            <w:shd w:val="clear" w:color="auto" w:fill="auto"/>
            <w:vAlign w:val="bottom"/>
          </w:tcPr>
          <w:p w14:paraId="4F898569"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69CFE077"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66E32579" w14:textId="77777777" w:rsidR="001C5E0E" w:rsidRPr="007B750E" w:rsidRDefault="001C5E0E" w:rsidP="001C5E0E">
            <w:pPr>
              <w:jc w:val="right"/>
              <w:rPr>
                <w:color w:val="000000"/>
                <w:sz w:val="16"/>
                <w:szCs w:val="16"/>
                <w:lang w:eastAsia="en-NZ"/>
              </w:rPr>
            </w:pPr>
          </w:p>
        </w:tc>
      </w:tr>
      <w:tr w:rsidR="001C5E0E" w:rsidRPr="001A61F1" w14:paraId="21D48F30" w14:textId="77777777" w:rsidTr="005F3C25">
        <w:tc>
          <w:tcPr>
            <w:tcW w:w="5387" w:type="dxa"/>
          </w:tcPr>
          <w:p w14:paraId="24E75951" w14:textId="77777777" w:rsidR="001C5E0E" w:rsidRPr="00203823" w:rsidRDefault="001C5E0E" w:rsidP="001C5E0E">
            <w:pPr>
              <w:spacing w:before="20"/>
              <w:ind w:left="176"/>
              <w:jc w:val="both"/>
              <w:rPr>
                <w:sz w:val="16"/>
                <w:szCs w:val="16"/>
              </w:rPr>
            </w:pPr>
            <w:r w:rsidRPr="00203823">
              <w:rPr>
                <w:sz w:val="16"/>
                <w:szCs w:val="16"/>
              </w:rPr>
              <w:t>No</w:t>
            </w:r>
          </w:p>
        </w:tc>
        <w:tc>
          <w:tcPr>
            <w:tcW w:w="992" w:type="dxa"/>
            <w:shd w:val="clear" w:color="auto" w:fill="auto"/>
            <w:vAlign w:val="bottom"/>
          </w:tcPr>
          <w:p w14:paraId="5A5A4394" w14:textId="77777777" w:rsidR="001C5E0E" w:rsidRPr="004D4DCF" w:rsidRDefault="001C5E0E" w:rsidP="001C5E0E">
            <w:pPr>
              <w:jc w:val="right"/>
              <w:rPr>
                <w:color w:val="000000"/>
                <w:sz w:val="16"/>
                <w:szCs w:val="16"/>
                <w:lang w:eastAsia="en-NZ"/>
              </w:rPr>
            </w:pPr>
            <w:r w:rsidRPr="004D4DCF">
              <w:rPr>
                <w:color w:val="000000"/>
                <w:sz w:val="16"/>
                <w:szCs w:val="16"/>
                <w:lang w:eastAsia="en-NZ"/>
              </w:rPr>
              <w:t>1.00</w:t>
            </w:r>
          </w:p>
        </w:tc>
        <w:tc>
          <w:tcPr>
            <w:tcW w:w="1276" w:type="dxa"/>
            <w:shd w:val="clear" w:color="auto" w:fill="auto"/>
            <w:vAlign w:val="bottom"/>
          </w:tcPr>
          <w:p w14:paraId="53DF65B9" w14:textId="77777777" w:rsidR="001C5E0E" w:rsidRPr="004D4DCF" w:rsidRDefault="001C5E0E" w:rsidP="001C5E0E">
            <w:pPr>
              <w:jc w:val="right"/>
              <w:rPr>
                <w:color w:val="000000"/>
                <w:sz w:val="16"/>
                <w:szCs w:val="16"/>
                <w:lang w:eastAsia="en-NZ"/>
              </w:rPr>
            </w:pPr>
          </w:p>
        </w:tc>
        <w:tc>
          <w:tcPr>
            <w:tcW w:w="850" w:type="dxa"/>
            <w:shd w:val="clear" w:color="auto" w:fill="auto"/>
            <w:vAlign w:val="bottom"/>
          </w:tcPr>
          <w:p w14:paraId="3C4E45B2" w14:textId="77777777" w:rsidR="001C5E0E" w:rsidRPr="004D4DCF" w:rsidRDefault="001C5E0E" w:rsidP="001C5E0E">
            <w:pPr>
              <w:jc w:val="right"/>
              <w:rPr>
                <w:color w:val="000000"/>
                <w:sz w:val="16"/>
                <w:szCs w:val="16"/>
                <w:lang w:eastAsia="en-NZ"/>
              </w:rPr>
            </w:pPr>
          </w:p>
        </w:tc>
      </w:tr>
      <w:tr w:rsidR="001C5E0E" w:rsidRPr="001A61F1" w14:paraId="0152C49A" w14:textId="77777777" w:rsidTr="00826105">
        <w:tc>
          <w:tcPr>
            <w:tcW w:w="5387" w:type="dxa"/>
          </w:tcPr>
          <w:p w14:paraId="7285EFE3" w14:textId="77777777" w:rsidR="001C5E0E" w:rsidRPr="00203823" w:rsidRDefault="001C5E0E" w:rsidP="001C5E0E">
            <w:pPr>
              <w:spacing w:before="20"/>
              <w:ind w:left="176"/>
              <w:jc w:val="both"/>
              <w:rPr>
                <w:sz w:val="16"/>
                <w:szCs w:val="16"/>
              </w:rPr>
            </w:pPr>
            <w:r w:rsidRPr="00203823">
              <w:rPr>
                <w:sz w:val="16"/>
                <w:szCs w:val="16"/>
              </w:rPr>
              <w:t>Yes</w:t>
            </w:r>
          </w:p>
        </w:tc>
        <w:tc>
          <w:tcPr>
            <w:tcW w:w="992" w:type="dxa"/>
            <w:shd w:val="clear" w:color="auto" w:fill="auto"/>
            <w:vAlign w:val="bottom"/>
          </w:tcPr>
          <w:p w14:paraId="1750D44C" w14:textId="77777777" w:rsidR="001C5E0E" w:rsidRPr="004D4DCF" w:rsidRDefault="001C5E0E" w:rsidP="001C5E0E">
            <w:pPr>
              <w:jc w:val="right"/>
              <w:rPr>
                <w:color w:val="000000"/>
                <w:sz w:val="16"/>
                <w:szCs w:val="16"/>
                <w:lang w:eastAsia="en-NZ"/>
              </w:rPr>
            </w:pPr>
            <w:r w:rsidRPr="004D4DCF">
              <w:rPr>
                <w:color w:val="000000"/>
                <w:sz w:val="16"/>
                <w:szCs w:val="16"/>
                <w:lang w:eastAsia="en-NZ"/>
              </w:rPr>
              <w:t>5.58</w:t>
            </w:r>
          </w:p>
        </w:tc>
        <w:tc>
          <w:tcPr>
            <w:tcW w:w="1276" w:type="dxa"/>
            <w:shd w:val="clear" w:color="auto" w:fill="auto"/>
            <w:vAlign w:val="bottom"/>
          </w:tcPr>
          <w:p w14:paraId="12ED32C4" w14:textId="77777777" w:rsidR="001C5E0E" w:rsidRPr="004D4DCF" w:rsidRDefault="001C5E0E" w:rsidP="001C5E0E">
            <w:pPr>
              <w:jc w:val="right"/>
              <w:rPr>
                <w:color w:val="000000"/>
                <w:sz w:val="16"/>
                <w:szCs w:val="16"/>
                <w:lang w:eastAsia="en-NZ"/>
              </w:rPr>
            </w:pPr>
            <w:r w:rsidRPr="004D4DCF">
              <w:rPr>
                <w:color w:val="000000"/>
                <w:sz w:val="16"/>
                <w:szCs w:val="16"/>
                <w:lang w:eastAsia="en-NZ"/>
              </w:rPr>
              <w:t>(3.93, 7.92)</w:t>
            </w:r>
          </w:p>
        </w:tc>
        <w:tc>
          <w:tcPr>
            <w:tcW w:w="850" w:type="dxa"/>
            <w:shd w:val="clear" w:color="auto" w:fill="auto"/>
            <w:vAlign w:val="bottom"/>
          </w:tcPr>
          <w:p w14:paraId="30C143CC" w14:textId="77777777" w:rsidR="001C5E0E" w:rsidRPr="004D4DCF" w:rsidRDefault="001C5E0E" w:rsidP="001C5E0E">
            <w:pPr>
              <w:jc w:val="right"/>
              <w:rPr>
                <w:color w:val="000000"/>
                <w:sz w:val="16"/>
                <w:szCs w:val="16"/>
                <w:lang w:eastAsia="en-NZ"/>
              </w:rPr>
            </w:pPr>
            <w:r w:rsidRPr="004D4DCF">
              <w:rPr>
                <w:color w:val="000000"/>
                <w:sz w:val="16"/>
                <w:szCs w:val="16"/>
                <w:lang w:eastAsia="en-NZ"/>
              </w:rPr>
              <w:t>&lt;</w:t>
            </w:r>
            <w:r>
              <w:rPr>
                <w:color w:val="000000"/>
                <w:sz w:val="16"/>
                <w:szCs w:val="16"/>
                <w:lang w:eastAsia="en-NZ"/>
              </w:rPr>
              <w:t>0</w:t>
            </w:r>
            <w:r w:rsidRPr="004D4DCF">
              <w:rPr>
                <w:color w:val="000000"/>
                <w:sz w:val="16"/>
                <w:szCs w:val="16"/>
                <w:lang w:eastAsia="en-NZ"/>
              </w:rPr>
              <w:t>.0001</w:t>
            </w:r>
          </w:p>
        </w:tc>
      </w:tr>
      <w:tr w:rsidR="001C5E0E" w:rsidRPr="001A61F1" w14:paraId="332DED2F" w14:textId="77777777" w:rsidTr="005F3C25">
        <w:tc>
          <w:tcPr>
            <w:tcW w:w="5387" w:type="dxa"/>
            <w:vAlign w:val="bottom"/>
          </w:tcPr>
          <w:p w14:paraId="5F4CF31A" w14:textId="77777777" w:rsidR="001C5E0E" w:rsidRPr="003F15C0" w:rsidRDefault="001C5E0E" w:rsidP="001C5E0E">
            <w:pPr>
              <w:spacing w:before="20"/>
              <w:jc w:val="both"/>
              <w:rPr>
                <w:b/>
                <w:sz w:val="16"/>
                <w:szCs w:val="16"/>
              </w:rPr>
            </w:pPr>
            <w:r w:rsidRPr="003F15C0">
              <w:rPr>
                <w:b/>
                <w:sz w:val="16"/>
                <w:szCs w:val="16"/>
              </w:rPr>
              <w:t>Casino table games (NZ) - annual</w:t>
            </w:r>
          </w:p>
        </w:tc>
        <w:tc>
          <w:tcPr>
            <w:tcW w:w="992" w:type="dxa"/>
            <w:shd w:val="clear" w:color="auto" w:fill="auto"/>
            <w:vAlign w:val="bottom"/>
          </w:tcPr>
          <w:p w14:paraId="26171E44"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5FF0D245"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34BF8A6B" w14:textId="77777777" w:rsidR="001C5E0E" w:rsidRPr="007B750E" w:rsidRDefault="001C5E0E" w:rsidP="001C5E0E">
            <w:pPr>
              <w:jc w:val="right"/>
              <w:rPr>
                <w:color w:val="000000"/>
                <w:sz w:val="16"/>
                <w:szCs w:val="16"/>
                <w:lang w:eastAsia="en-NZ"/>
              </w:rPr>
            </w:pPr>
          </w:p>
        </w:tc>
      </w:tr>
      <w:tr w:rsidR="001C5E0E" w:rsidRPr="001A61F1" w14:paraId="26B1E8E0" w14:textId="77777777" w:rsidTr="005F3C25">
        <w:tc>
          <w:tcPr>
            <w:tcW w:w="5387" w:type="dxa"/>
          </w:tcPr>
          <w:p w14:paraId="03F0F467"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4DDCBC1B" w14:textId="77777777" w:rsidR="001C5E0E" w:rsidRPr="004D4DCF" w:rsidRDefault="001C5E0E" w:rsidP="001C5E0E">
            <w:pPr>
              <w:jc w:val="right"/>
              <w:rPr>
                <w:color w:val="000000"/>
                <w:sz w:val="16"/>
                <w:szCs w:val="16"/>
                <w:lang w:eastAsia="en-NZ"/>
              </w:rPr>
            </w:pPr>
            <w:r w:rsidRPr="004D4DCF">
              <w:rPr>
                <w:color w:val="000000"/>
                <w:sz w:val="16"/>
                <w:szCs w:val="16"/>
                <w:lang w:eastAsia="en-NZ"/>
              </w:rPr>
              <w:t>1.00</w:t>
            </w:r>
          </w:p>
        </w:tc>
        <w:tc>
          <w:tcPr>
            <w:tcW w:w="1276" w:type="dxa"/>
            <w:shd w:val="clear" w:color="auto" w:fill="auto"/>
            <w:vAlign w:val="bottom"/>
          </w:tcPr>
          <w:p w14:paraId="2829237D" w14:textId="77777777" w:rsidR="001C5E0E" w:rsidRPr="004D4DCF" w:rsidRDefault="001C5E0E" w:rsidP="001C5E0E">
            <w:pPr>
              <w:jc w:val="right"/>
              <w:rPr>
                <w:color w:val="000000"/>
                <w:sz w:val="16"/>
                <w:szCs w:val="16"/>
                <w:lang w:eastAsia="en-NZ"/>
              </w:rPr>
            </w:pPr>
          </w:p>
        </w:tc>
        <w:tc>
          <w:tcPr>
            <w:tcW w:w="850" w:type="dxa"/>
            <w:shd w:val="clear" w:color="auto" w:fill="auto"/>
            <w:vAlign w:val="bottom"/>
          </w:tcPr>
          <w:p w14:paraId="4D43376B" w14:textId="77777777" w:rsidR="001C5E0E" w:rsidRPr="004D4DCF" w:rsidRDefault="001C5E0E" w:rsidP="001C5E0E">
            <w:pPr>
              <w:jc w:val="right"/>
              <w:rPr>
                <w:color w:val="000000"/>
                <w:sz w:val="16"/>
                <w:szCs w:val="16"/>
                <w:lang w:eastAsia="en-NZ"/>
              </w:rPr>
            </w:pPr>
          </w:p>
        </w:tc>
      </w:tr>
      <w:tr w:rsidR="001C5E0E" w:rsidRPr="001A61F1" w14:paraId="5A10CF8E" w14:textId="77777777" w:rsidTr="00826105">
        <w:tc>
          <w:tcPr>
            <w:tcW w:w="5387" w:type="dxa"/>
          </w:tcPr>
          <w:p w14:paraId="123FAD86"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2FF0A07B" w14:textId="77777777" w:rsidR="001C5E0E" w:rsidRPr="004D4DCF" w:rsidRDefault="001C5E0E" w:rsidP="001C5E0E">
            <w:pPr>
              <w:jc w:val="right"/>
              <w:rPr>
                <w:color w:val="000000"/>
                <w:sz w:val="16"/>
                <w:szCs w:val="16"/>
                <w:lang w:eastAsia="en-NZ"/>
              </w:rPr>
            </w:pPr>
            <w:r w:rsidRPr="004D4DCF">
              <w:rPr>
                <w:color w:val="000000"/>
                <w:sz w:val="16"/>
                <w:szCs w:val="16"/>
                <w:lang w:eastAsia="en-NZ"/>
              </w:rPr>
              <w:t>3.91</w:t>
            </w:r>
          </w:p>
        </w:tc>
        <w:tc>
          <w:tcPr>
            <w:tcW w:w="1276" w:type="dxa"/>
            <w:shd w:val="clear" w:color="auto" w:fill="auto"/>
            <w:vAlign w:val="bottom"/>
          </w:tcPr>
          <w:p w14:paraId="3D496E5E" w14:textId="77777777" w:rsidR="001C5E0E" w:rsidRPr="004D4DCF" w:rsidRDefault="001C5E0E" w:rsidP="001C5E0E">
            <w:pPr>
              <w:jc w:val="right"/>
              <w:rPr>
                <w:color w:val="000000"/>
                <w:sz w:val="16"/>
                <w:szCs w:val="16"/>
                <w:lang w:eastAsia="en-NZ"/>
              </w:rPr>
            </w:pPr>
            <w:r w:rsidRPr="004D4DCF">
              <w:rPr>
                <w:color w:val="000000"/>
                <w:sz w:val="16"/>
                <w:szCs w:val="16"/>
                <w:lang w:eastAsia="en-NZ"/>
              </w:rPr>
              <w:t>(2.29, 6.68)</w:t>
            </w:r>
          </w:p>
        </w:tc>
        <w:tc>
          <w:tcPr>
            <w:tcW w:w="850" w:type="dxa"/>
            <w:shd w:val="clear" w:color="auto" w:fill="auto"/>
            <w:vAlign w:val="bottom"/>
          </w:tcPr>
          <w:p w14:paraId="451BE444" w14:textId="77777777" w:rsidR="001C5E0E" w:rsidRPr="004D4DCF" w:rsidRDefault="001C5E0E" w:rsidP="001C5E0E">
            <w:pPr>
              <w:jc w:val="right"/>
              <w:rPr>
                <w:color w:val="000000"/>
                <w:sz w:val="16"/>
                <w:szCs w:val="16"/>
                <w:lang w:eastAsia="en-NZ"/>
              </w:rPr>
            </w:pPr>
            <w:r w:rsidRPr="004D4DCF">
              <w:rPr>
                <w:color w:val="000000"/>
                <w:sz w:val="16"/>
                <w:szCs w:val="16"/>
                <w:lang w:eastAsia="en-NZ"/>
              </w:rPr>
              <w:t>&lt;</w:t>
            </w:r>
            <w:r>
              <w:rPr>
                <w:color w:val="000000"/>
                <w:sz w:val="16"/>
                <w:szCs w:val="16"/>
                <w:lang w:eastAsia="en-NZ"/>
              </w:rPr>
              <w:t>0</w:t>
            </w:r>
            <w:r w:rsidRPr="004D4DCF">
              <w:rPr>
                <w:color w:val="000000"/>
                <w:sz w:val="16"/>
                <w:szCs w:val="16"/>
                <w:lang w:eastAsia="en-NZ"/>
              </w:rPr>
              <w:t>.0001</w:t>
            </w:r>
          </w:p>
        </w:tc>
      </w:tr>
      <w:tr w:rsidR="001C5E0E" w:rsidRPr="001A61F1" w14:paraId="1FFDCA67" w14:textId="77777777" w:rsidTr="005F3C25">
        <w:tc>
          <w:tcPr>
            <w:tcW w:w="5387" w:type="dxa"/>
            <w:vAlign w:val="bottom"/>
          </w:tcPr>
          <w:p w14:paraId="51F76608" w14:textId="77777777" w:rsidR="001C5E0E" w:rsidRPr="003F15C0" w:rsidRDefault="001C5E0E" w:rsidP="001C5E0E">
            <w:pPr>
              <w:spacing w:before="20"/>
              <w:jc w:val="both"/>
              <w:rPr>
                <w:b/>
                <w:sz w:val="16"/>
                <w:szCs w:val="16"/>
              </w:rPr>
            </w:pPr>
            <w:r w:rsidRPr="003F15C0">
              <w:rPr>
                <w:b/>
                <w:sz w:val="16"/>
                <w:szCs w:val="16"/>
              </w:rPr>
              <w:t>Casino EGMs (NZ) - annual</w:t>
            </w:r>
          </w:p>
        </w:tc>
        <w:tc>
          <w:tcPr>
            <w:tcW w:w="992" w:type="dxa"/>
            <w:shd w:val="clear" w:color="auto" w:fill="auto"/>
            <w:vAlign w:val="bottom"/>
          </w:tcPr>
          <w:p w14:paraId="1B122CE1"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235083C4"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62DBA961" w14:textId="77777777" w:rsidR="001C5E0E" w:rsidRPr="007B750E" w:rsidRDefault="001C5E0E" w:rsidP="001C5E0E">
            <w:pPr>
              <w:jc w:val="right"/>
              <w:rPr>
                <w:color w:val="000000"/>
                <w:sz w:val="16"/>
                <w:szCs w:val="16"/>
                <w:lang w:eastAsia="en-NZ"/>
              </w:rPr>
            </w:pPr>
          </w:p>
        </w:tc>
      </w:tr>
      <w:tr w:rsidR="001C5E0E" w:rsidRPr="001A61F1" w14:paraId="3036F9C5" w14:textId="77777777" w:rsidTr="005F3C25">
        <w:tc>
          <w:tcPr>
            <w:tcW w:w="5387" w:type="dxa"/>
          </w:tcPr>
          <w:p w14:paraId="664A94ED"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56403B30" w14:textId="77777777" w:rsidR="001C5E0E" w:rsidRPr="004D4DCF" w:rsidRDefault="001C5E0E" w:rsidP="001C5E0E">
            <w:pPr>
              <w:jc w:val="right"/>
              <w:rPr>
                <w:color w:val="000000"/>
                <w:sz w:val="16"/>
                <w:szCs w:val="16"/>
                <w:lang w:eastAsia="en-NZ"/>
              </w:rPr>
            </w:pPr>
            <w:r w:rsidRPr="004D4DCF">
              <w:rPr>
                <w:color w:val="000000"/>
                <w:sz w:val="16"/>
                <w:szCs w:val="16"/>
                <w:lang w:eastAsia="en-NZ"/>
              </w:rPr>
              <w:t>1.00</w:t>
            </w:r>
          </w:p>
        </w:tc>
        <w:tc>
          <w:tcPr>
            <w:tcW w:w="1276" w:type="dxa"/>
            <w:shd w:val="clear" w:color="auto" w:fill="auto"/>
            <w:vAlign w:val="bottom"/>
          </w:tcPr>
          <w:p w14:paraId="792B7A46" w14:textId="77777777" w:rsidR="001C5E0E" w:rsidRPr="004D4DCF" w:rsidRDefault="001C5E0E" w:rsidP="001C5E0E">
            <w:pPr>
              <w:jc w:val="right"/>
              <w:rPr>
                <w:color w:val="000000"/>
                <w:sz w:val="16"/>
                <w:szCs w:val="16"/>
                <w:lang w:eastAsia="en-NZ"/>
              </w:rPr>
            </w:pPr>
          </w:p>
        </w:tc>
        <w:tc>
          <w:tcPr>
            <w:tcW w:w="850" w:type="dxa"/>
            <w:shd w:val="clear" w:color="auto" w:fill="auto"/>
            <w:vAlign w:val="bottom"/>
          </w:tcPr>
          <w:p w14:paraId="13FEC778" w14:textId="77777777" w:rsidR="001C5E0E" w:rsidRPr="004D4DCF" w:rsidRDefault="001C5E0E" w:rsidP="001C5E0E">
            <w:pPr>
              <w:jc w:val="right"/>
              <w:rPr>
                <w:color w:val="000000"/>
                <w:sz w:val="16"/>
                <w:szCs w:val="16"/>
                <w:lang w:eastAsia="en-NZ"/>
              </w:rPr>
            </w:pPr>
          </w:p>
        </w:tc>
      </w:tr>
      <w:tr w:rsidR="001C5E0E" w:rsidRPr="001A61F1" w14:paraId="4889A40B" w14:textId="77777777" w:rsidTr="00826105">
        <w:tc>
          <w:tcPr>
            <w:tcW w:w="5387" w:type="dxa"/>
          </w:tcPr>
          <w:p w14:paraId="4818D6BA"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7BF28771" w14:textId="77777777" w:rsidR="001C5E0E" w:rsidRPr="004D4DCF" w:rsidRDefault="001C5E0E" w:rsidP="001C5E0E">
            <w:pPr>
              <w:jc w:val="right"/>
              <w:rPr>
                <w:color w:val="000000"/>
                <w:sz w:val="16"/>
                <w:szCs w:val="16"/>
                <w:lang w:eastAsia="en-NZ"/>
              </w:rPr>
            </w:pPr>
            <w:r w:rsidRPr="004D4DCF">
              <w:rPr>
                <w:color w:val="000000"/>
                <w:sz w:val="16"/>
                <w:szCs w:val="16"/>
                <w:lang w:eastAsia="en-NZ"/>
              </w:rPr>
              <w:t>5.42</w:t>
            </w:r>
          </w:p>
        </w:tc>
        <w:tc>
          <w:tcPr>
            <w:tcW w:w="1276" w:type="dxa"/>
            <w:shd w:val="clear" w:color="auto" w:fill="auto"/>
            <w:vAlign w:val="bottom"/>
          </w:tcPr>
          <w:p w14:paraId="2242ED25" w14:textId="77777777" w:rsidR="001C5E0E" w:rsidRPr="004D4DCF" w:rsidRDefault="001C5E0E" w:rsidP="001C5E0E">
            <w:pPr>
              <w:jc w:val="right"/>
              <w:rPr>
                <w:color w:val="000000"/>
                <w:sz w:val="16"/>
                <w:szCs w:val="16"/>
                <w:lang w:eastAsia="en-NZ"/>
              </w:rPr>
            </w:pPr>
            <w:r w:rsidRPr="004D4DCF">
              <w:rPr>
                <w:color w:val="000000"/>
                <w:sz w:val="16"/>
                <w:szCs w:val="16"/>
                <w:lang w:eastAsia="en-NZ"/>
              </w:rPr>
              <w:t>(3.76, 7.82)</w:t>
            </w:r>
          </w:p>
        </w:tc>
        <w:tc>
          <w:tcPr>
            <w:tcW w:w="850" w:type="dxa"/>
            <w:shd w:val="clear" w:color="auto" w:fill="auto"/>
            <w:vAlign w:val="bottom"/>
          </w:tcPr>
          <w:p w14:paraId="7C9057EA" w14:textId="77777777" w:rsidR="001C5E0E" w:rsidRPr="004D4DCF" w:rsidRDefault="001C5E0E" w:rsidP="001C5E0E">
            <w:pPr>
              <w:jc w:val="right"/>
              <w:rPr>
                <w:color w:val="000000"/>
                <w:sz w:val="16"/>
                <w:szCs w:val="16"/>
                <w:lang w:eastAsia="en-NZ"/>
              </w:rPr>
            </w:pPr>
            <w:r w:rsidRPr="004D4DCF">
              <w:rPr>
                <w:color w:val="000000"/>
                <w:sz w:val="16"/>
                <w:szCs w:val="16"/>
                <w:lang w:eastAsia="en-NZ"/>
              </w:rPr>
              <w:t>&lt;</w:t>
            </w:r>
            <w:r>
              <w:rPr>
                <w:color w:val="000000"/>
                <w:sz w:val="16"/>
                <w:szCs w:val="16"/>
                <w:lang w:eastAsia="en-NZ"/>
              </w:rPr>
              <w:t>0</w:t>
            </w:r>
            <w:r w:rsidRPr="004D4DCF">
              <w:rPr>
                <w:color w:val="000000"/>
                <w:sz w:val="16"/>
                <w:szCs w:val="16"/>
                <w:lang w:eastAsia="en-NZ"/>
              </w:rPr>
              <w:t>.0001</w:t>
            </w:r>
          </w:p>
        </w:tc>
      </w:tr>
      <w:tr w:rsidR="001C5E0E" w:rsidRPr="001A61F1" w14:paraId="1BB33CEF" w14:textId="77777777" w:rsidTr="005F3C25">
        <w:tc>
          <w:tcPr>
            <w:tcW w:w="5387" w:type="dxa"/>
            <w:vAlign w:val="bottom"/>
          </w:tcPr>
          <w:p w14:paraId="63671389" w14:textId="77777777" w:rsidR="001C5E0E" w:rsidRPr="003F15C0" w:rsidRDefault="001C5E0E" w:rsidP="001C5E0E">
            <w:pPr>
              <w:spacing w:before="20"/>
              <w:jc w:val="both"/>
              <w:rPr>
                <w:b/>
                <w:sz w:val="16"/>
                <w:szCs w:val="16"/>
              </w:rPr>
            </w:pPr>
            <w:r w:rsidRPr="003F15C0">
              <w:rPr>
                <w:b/>
                <w:sz w:val="16"/>
                <w:szCs w:val="16"/>
              </w:rPr>
              <w:t>Pub EGMs - annual</w:t>
            </w:r>
          </w:p>
        </w:tc>
        <w:tc>
          <w:tcPr>
            <w:tcW w:w="992" w:type="dxa"/>
            <w:shd w:val="clear" w:color="auto" w:fill="auto"/>
            <w:vAlign w:val="bottom"/>
          </w:tcPr>
          <w:p w14:paraId="04654AEF"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3CF87656"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22E08DF9" w14:textId="77777777" w:rsidR="001C5E0E" w:rsidRPr="007B750E" w:rsidRDefault="001C5E0E" w:rsidP="001C5E0E">
            <w:pPr>
              <w:jc w:val="right"/>
              <w:rPr>
                <w:color w:val="000000"/>
                <w:sz w:val="16"/>
                <w:szCs w:val="16"/>
                <w:lang w:eastAsia="en-NZ"/>
              </w:rPr>
            </w:pPr>
          </w:p>
        </w:tc>
      </w:tr>
      <w:tr w:rsidR="001C5E0E" w:rsidRPr="001A61F1" w14:paraId="3C7CE244" w14:textId="77777777" w:rsidTr="005F3C25">
        <w:tc>
          <w:tcPr>
            <w:tcW w:w="5387" w:type="dxa"/>
          </w:tcPr>
          <w:p w14:paraId="46356E7F"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0ADCD788" w14:textId="77777777" w:rsidR="001C5E0E" w:rsidRPr="004D4DCF" w:rsidRDefault="001C5E0E" w:rsidP="001C5E0E">
            <w:pPr>
              <w:jc w:val="right"/>
              <w:rPr>
                <w:color w:val="000000"/>
                <w:sz w:val="16"/>
                <w:szCs w:val="16"/>
                <w:lang w:eastAsia="en-NZ"/>
              </w:rPr>
            </w:pPr>
            <w:r w:rsidRPr="004D4DCF">
              <w:rPr>
                <w:color w:val="000000"/>
                <w:sz w:val="16"/>
                <w:szCs w:val="16"/>
                <w:lang w:eastAsia="en-NZ"/>
              </w:rPr>
              <w:t>1.00</w:t>
            </w:r>
          </w:p>
        </w:tc>
        <w:tc>
          <w:tcPr>
            <w:tcW w:w="1276" w:type="dxa"/>
            <w:shd w:val="clear" w:color="auto" w:fill="auto"/>
            <w:vAlign w:val="bottom"/>
          </w:tcPr>
          <w:p w14:paraId="55452444" w14:textId="77777777" w:rsidR="001C5E0E" w:rsidRPr="004D4DCF" w:rsidRDefault="001C5E0E" w:rsidP="001C5E0E">
            <w:pPr>
              <w:jc w:val="right"/>
              <w:rPr>
                <w:color w:val="000000"/>
                <w:sz w:val="16"/>
                <w:szCs w:val="16"/>
                <w:lang w:eastAsia="en-NZ"/>
              </w:rPr>
            </w:pPr>
          </w:p>
        </w:tc>
        <w:tc>
          <w:tcPr>
            <w:tcW w:w="850" w:type="dxa"/>
            <w:shd w:val="clear" w:color="auto" w:fill="auto"/>
            <w:vAlign w:val="bottom"/>
          </w:tcPr>
          <w:p w14:paraId="588D36D1" w14:textId="77777777" w:rsidR="001C5E0E" w:rsidRPr="004D4DCF" w:rsidRDefault="001C5E0E" w:rsidP="001C5E0E">
            <w:pPr>
              <w:jc w:val="right"/>
              <w:rPr>
                <w:color w:val="000000"/>
                <w:sz w:val="16"/>
                <w:szCs w:val="16"/>
                <w:lang w:eastAsia="en-NZ"/>
              </w:rPr>
            </w:pPr>
          </w:p>
        </w:tc>
      </w:tr>
      <w:tr w:rsidR="001C5E0E" w:rsidRPr="001A61F1" w14:paraId="62E625DD" w14:textId="77777777" w:rsidTr="00826105">
        <w:tc>
          <w:tcPr>
            <w:tcW w:w="5387" w:type="dxa"/>
          </w:tcPr>
          <w:p w14:paraId="1E012B96"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2DF1EE03" w14:textId="77777777" w:rsidR="001C5E0E" w:rsidRPr="004D4DCF" w:rsidRDefault="001C5E0E" w:rsidP="001C5E0E">
            <w:pPr>
              <w:jc w:val="right"/>
              <w:rPr>
                <w:color w:val="000000"/>
                <w:sz w:val="16"/>
                <w:szCs w:val="16"/>
                <w:lang w:eastAsia="en-NZ"/>
              </w:rPr>
            </w:pPr>
            <w:r w:rsidRPr="004D4DCF">
              <w:rPr>
                <w:color w:val="000000"/>
                <w:sz w:val="16"/>
                <w:szCs w:val="16"/>
                <w:lang w:eastAsia="en-NZ"/>
              </w:rPr>
              <w:t>9.47</w:t>
            </w:r>
          </w:p>
        </w:tc>
        <w:tc>
          <w:tcPr>
            <w:tcW w:w="1276" w:type="dxa"/>
            <w:shd w:val="clear" w:color="auto" w:fill="auto"/>
            <w:vAlign w:val="bottom"/>
          </w:tcPr>
          <w:p w14:paraId="3544BEBC" w14:textId="77777777" w:rsidR="001C5E0E" w:rsidRPr="004D4DCF" w:rsidRDefault="001C5E0E" w:rsidP="001C5E0E">
            <w:pPr>
              <w:jc w:val="right"/>
              <w:rPr>
                <w:color w:val="000000"/>
                <w:sz w:val="16"/>
                <w:szCs w:val="16"/>
                <w:lang w:eastAsia="en-NZ"/>
              </w:rPr>
            </w:pPr>
            <w:r w:rsidRPr="004D4DCF">
              <w:rPr>
                <w:color w:val="000000"/>
                <w:sz w:val="16"/>
                <w:szCs w:val="16"/>
                <w:lang w:eastAsia="en-NZ"/>
              </w:rPr>
              <w:t>(6.59, 13.59)</w:t>
            </w:r>
          </w:p>
        </w:tc>
        <w:tc>
          <w:tcPr>
            <w:tcW w:w="850" w:type="dxa"/>
            <w:shd w:val="clear" w:color="auto" w:fill="auto"/>
            <w:vAlign w:val="bottom"/>
          </w:tcPr>
          <w:p w14:paraId="2955FD60" w14:textId="77777777" w:rsidR="001C5E0E" w:rsidRPr="004D4DCF" w:rsidRDefault="001C5E0E" w:rsidP="001C5E0E">
            <w:pPr>
              <w:jc w:val="right"/>
              <w:rPr>
                <w:color w:val="000000"/>
                <w:sz w:val="16"/>
                <w:szCs w:val="16"/>
                <w:lang w:eastAsia="en-NZ"/>
              </w:rPr>
            </w:pPr>
            <w:r w:rsidRPr="004D4DCF">
              <w:rPr>
                <w:color w:val="000000"/>
                <w:sz w:val="16"/>
                <w:szCs w:val="16"/>
                <w:lang w:eastAsia="en-NZ"/>
              </w:rPr>
              <w:t>&lt;</w:t>
            </w:r>
            <w:r>
              <w:rPr>
                <w:color w:val="000000"/>
                <w:sz w:val="16"/>
                <w:szCs w:val="16"/>
                <w:lang w:eastAsia="en-NZ"/>
              </w:rPr>
              <w:t>0</w:t>
            </w:r>
            <w:r w:rsidRPr="004D4DCF">
              <w:rPr>
                <w:color w:val="000000"/>
                <w:sz w:val="16"/>
                <w:szCs w:val="16"/>
                <w:lang w:eastAsia="en-NZ"/>
              </w:rPr>
              <w:t>.0001</w:t>
            </w:r>
          </w:p>
        </w:tc>
      </w:tr>
      <w:tr w:rsidR="001C5E0E" w:rsidRPr="001A61F1" w14:paraId="1A5388FB" w14:textId="77777777" w:rsidTr="005F3C25">
        <w:tc>
          <w:tcPr>
            <w:tcW w:w="5387" w:type="dxa"/>
            <w:vAlign w:val="bottom"/>
          </w:tcPr>
          <w:p w14:paraId="32476EE5" w14:textId="77777777" w:rsidR="001C5E0E" w:rsidRPr="003F15C0" w:rsidRDefault="001C5E0E" w:rsidP="001C5E0E">
            <w:pPr>
              <w:spacing w:before="20"/>
              <w:jc w:val="both"/>
              <w:rPr>
                <w:b/>
                <w:sz w:val="16"/>
                <w:szCs w:val="16"/>
              </w:rPr>
            </w:pPr>
            <w:r w:rsidRPr="003F15C0">
              <w:rPr>
                <w:b/>
                <w:sz w:val="16"/>
                <w:szCs w:val="16"/>
              </w:rPr>
              <w:t>Club EGM</w:t>
            </w:r>
            <w:r>
              <w:rPr>
                <w:b/>
                <w:sz w:val="16"/>
                <w:szCs w:val="16"/>
              </w:rPr>
              <w:t>s</w:t>
            </w:r>
            <w:r w:rsidRPr="003F15C0">
              <w:rPr>
                <w:b/>
                <w:sz w:val="16"/>
                <w:szCs w:val="16"/>
              </w:rPr>
              <w:t xml:space="preserve"> - annual</w:t>
            </w:r>
          </w:p>
        </w:tc>
        <w:tc>
          <w:tcPr>
            <w:tcW w:w="992" w:type="dxa"/>
            <w:shd w:val="clear" w:color="auto" w:fill="auto"/>
            <w:vAlign w:val="bottom"/>
          </w:tcPr>
          <w:p w14:paraId="79761856"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42909094"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3F0768FD" w14:textId="77777777" w:rsidR="001C5E0E" w:rsidRPr="007B750E" w:rsidRDefault="001C5E0E" w:rsidP="001C5E0E">
            <w:pPr>
              <w:jc w:val="right"/>
              <w:rPr>
                <w:color w:val="000000"/>
                <w:sz w:val="16"/>
                <w:szCs w:val="16"/>
                <w:lang w:eastAsia="en-NZ"/>
              </w:rPr>
            </w:pPr>
          </w:p>
        </w:tc>
      </w:tr>
      <w:tr w:rsidR="001C5E0E" w:rsidRPr="001A61F1" w14:paraId="5D0DAA37" w14:textId="77777777" w:rsidTr="005F3C25">
        <w:tc>
          <w:tcPr>
            <w:tcW w:w="5387" w:type="dxa"/>
          </w:tcPr>
          <w:p w14:paraId="11BABB36"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43ACB8AB" w14:textId="77777777" w:rsidR="001C5E0E" w:rsidRPr="004D4DCF" w:rsidRDefault="001C5E0E" w:rsidP="001C5E0E">
            <w:pPr>
              <w:jc w:val="right"/>
              <w:rPr>
                <w:color w:val="000000"/>
                <w:sz w:val="16"/>
                <w:szCs w:val="16"/>
                <w:lang w:eastAsia="en-NZ"/>
              </w:rPr>
            </w:pPr>
            <w:r w:rsidRPr="004D4DCF">
              <w:rPr>
                <w:color w:val="000000"/>
                <w:sz w:val="16"/>
                <w:szCs w:val="16"/>
                <w:lang w:eastAsia="en-NZ"/>
              </w:rPr>
              <w:t>1.00</w:t>
            </w:r>
          </w:p>
        </w:tc>
        <w:tc>
          <w:tcPr>
            <w:tcW w:w="1276" w:type="dxa"/>
            <w:shd w:val="clear" w:color="auto" w:fill="auto"/>
            <w:vAlign w:val="bottom"/>
          </w:tcPr>
          <w:p w14:paraId="54355ED9" w14:textId="77777777" w:rsidR="001C5E0E" w:rsidRPr="004D4DCF" w:rsidRDefault="001C5E0E" w:rsidP="001C5E0E">
            <w:pPr>
              <w:jc w:val="right"/>
              <w:rPr>
                <w:color w:val="000000"/>
                <w:sz w:val="16"/>
                <w:szCs w:val="16"/>
                <w:lang w:eastAsia="en-NZ"/>
              </w:rPr>
            </w:pPr>
          </w:p>
        </w:tc>
        <w:tc>
          <w:tcPr>
            <w:tcW w:w="850" w:type="dxa"/>
            <w:shd w:val="clear" w:color="auto" w:fill="auto"/>
            <w:vAlign w:val="bottom"/>
          </w:tcPr>
          <w:p w14:paraId="1E8485CC" w14:textId="77777777" w:rsidR="001C5E0E" w:rsidRPr="004D4DCF" w:rsidRDefault="001C5E0E" w:rsidP="001C5E0E">
            <w:pPr>
              <w:jc w:val="right"/>
              <w:rPr>
                <w:color w:val="000000"/>
                <w:sz w:val="16"/>
                <w:szCs w:val="16"/>
                <w:lang w:eastAsia="en-NZ"/>
              </w:rPr>
            </w:pPr>
          </w:p>
        </w:tc>
      </w:tr>
      <w:tr w:rsidR="001C5E0E" w:rsidRPr="001A61F1" w14:paraId="7469693F" w14:textId="77777777" w:rsidTr="00826105">
        <w:tc>
          <w:tcPr>
            <w:tcW w:w="5387" w:type="dxa"/>
          </w:tcPr>
          <w:p w14:paraId="7047E847"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11A6E601" w14:textId="77777777" w:rsidR="001C5E0E" w:rsidRPr="004D4DCF" w:rsidRDefault="001C5E0E" w:rsidP="001C5E0E">
            <w:pPr>
              <w:jc w:val="right"/>
              <w:rPr>
                <w:color w:val="000000"/>
                <w:sz w:val="16"/>
                <w:szCs w:val="16"/>
                <w:lang w:eastAsia="en-NZ"/>
              </w:rPr>
            </w:pPr>
            <w:r w:rsidRPr="004D4DCF">
              <w:rPr>
                <w:color w:val="000000"/>
                <w:sz w:val="16"/>
                <w:szCs w:val="16"/>
                <w:lang w:eastAsia="en-NZ"/>
              </w:rPr>
              <w:t>2.93</w:t>
            </w:r>
          </w:p>
        </w:tc>
        <w:tc>
          <w:tcPr>
            <w:tcW w:w="1276" w:type="dxa"/>
            <w:shd w:val="clear" w:color="auto" w:fill="auto"/>
            <w:vAlign w:val="bottom"/>
          </w:tcPr>
          <w:p w14:paraId="4AD271BB" w14:textId="77777777" w:rsidR="001C5E0E" w:rsidRPr="004D4DCF" w:rsidRDefault="001C5E0E" w:rsidP="001C5E0E">
            <w:pPr>
              <w:jc w:val="right"/>
              <w:rPr>
                <w:color w:val="000000"/>
                <w:sz w:val="16"/>
                <w:szCs w:val="16"/>
                <w:lang w:eastAsia="en-NZ"/>
              </w:rPr>
            </w:pPr>
            <w:r w:rsidRPr="004D4DCF">
              <w:rPr>
                <w:color w:val="000000"/>
                <w:sz w:val="16"/>
                <w:szCs w:val="16"/>
                <w:lang w:eastAsia="en-NZ"/>
              </w:rPr>
              <w:t>(1.85, 4.65)</w:t>
            </w:r>
          </w:p>
        </w:tc>
        <w:tc>
          <w:tcPr>
            <w:tcW w:w="850" w:type="dxa"/>
            <w:shd w:val="clear" w:color="auto" w:fill="auto"/>
            <w:vAlign w:val="bottom"/>
          </w:tcPr>
          <w:p w14:paraId="0661E3B6" w14:textId="77777777" w:rsidR="001C5E0E" w:rsidRPr="004D4DCF" w:rsidRDefault="001C5E0E" w:rsidP="001C5E0E">
            <w:pPr>
              <w:jc w:val="right"/>
              <w:rPr>
                <w:color w:val="000000"/>
                <w:sz w:val="16"/>
                <w:szCs w:val="16"/>
                <w:lang w:eastAsia="en-NZ"/>
              </w:rPr>
            </w:pPr>
            <w:r w:rsidRPr="004D4DCF">
              <w:rPr>
                <w:color w:val="000000"/>
                <w:sz w:val="16"/>
                <w:szCs w:val="16"/>
                <w:lang w:eastAsia="en-NZ"/>
              </w:rPr>
              <w:t>&lt;</w:t>
            </w:r>
            <w:r>
              <w:rPr>
                <w:color w:val="000000"/>
                <w:sz w:val="16"/>
                <w:szCs w:val="16"/>
                <w:lang w:eastAsia="en-NZ"/>
              </w:rPr>
              <w:t>0</w:t>
            </w:r>
            <w:r w:rsidRPr="004D4DCF">
              <w:rPr>
                <w:color w:val="000000"/>
                <w:sz w:val="16"/>
                <w:szCs w:val="16"/>
                <w:lang w:eastAsia="en-NZ"/>
              </w:rPr>
              <w:t>.0001</w:t>
            </w:r>
          </w:p>
        </w:tc>
      </w:tr>
      <w:tr w:rsidR="001C5E0E" w:rsidRPr="001A61F1" w14:paraId="79D334E4" w14:textId="77777777" w:rsidTr="005F3C25">
        <w:tc>
          <w:tcPr>
            <w:tcW w:w="5387" w:type="dxa"/>
            <w:vAlign w:val="bottom"/>
          </w:tcPr>
          <w:p w14:paraId="0AF79591" w14:textId="77777777" w:rsidR="001C5E0E" w:rsidRPr="003F15C0" w:rsidRDefault="001C5E0E" w:rsidP="001C5E0E">
            <w:pPr>
              <w:spacing w:before="20"/>
              <w:jc w:val="both"/>
              <w:rPr>
                <w:b/>
                <w:sz w:val="16"/>
                <w:szCs w:val="16"/>
              </w:rPr>
            </w:pPr>
            <w:r w:rsidRPr="003F15C0">
              <w:rPr>
                <w:b/>
                <w:sz w:val="16"/>
                <w:szCs w:val="16"/>
              </w:rPr>
              <w:t>EGMs overall - annual</w:t>
            </w:r>
          </w:p>
        </w:tc>
        <w:tc>
          <w:tcPr>
            <w:tcW w:w="992" w:type="dxa"/>
            <w:shd w:val="clear" w:color="auto" w:fill="auto"/>
            <w:vAlign w:val="bottom"/>
          </w:tcPr>
          <w:p w14:paraId="5731A2EE"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26447AB3"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2C23F0A2" w14:textId="77777777" w:rsidR="001C5E0E" w:rsidRPr="007B750E" w:rsidRDefault="001C5E0E" w:rsidP="001C5E0E">
            <w:pPr>
              <w:jc w:val="right"/>
              <w:rPr>
                <w:color w:val="000000"/>
                <w:sz w:val="16"/>
                <w:szCs w:val="16"/>
                <w:lang w:eastAsia="en-NZ"/>
              </w:rPr>
            </w:pPr>
          </w:p>
        </w:tc>
      </w:tr>
      <w:tr w:rsidR="001C5E0E" w:rsidRPr="001A61F1" w14:paraId="35A6FEC8" w14:textId="77777777" w:rsidTr="005F3C25">
        <w:tc>
          <w:tcPr>
            <w:tcW w:w="5387" w:type="dxa"/>
          </w:tcPr>
          <w:p w14:paraId="36A0F7F4"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58551F7C" w14:textId="77777777" w:rsidR="001C5E0E" w:rsidRPr="004D4DCF" w:rsidRDefault="001C5E0E" w:rsidP="001C5E0E">
            <w:pPr>
              <w:jc w:val="right"/>
              <w:rPr>
                <w:color w:val="000000"/>
                <w:sz w:val="16"/>
                <w:szCs w:val="16"/>
                <w:lang w:eastAsia="en-NZ"/>
              </w:rPr>
            </w:pPr>
            <w:r w:rsidRPr="004D4DCF">
              <w:rPr>
                <w:color w:val="000000"/>
                <w:sz w:val="16"/>
                <w:szCs w:val="16"/>
                <w:lang w:eastAsia="en-NZ"/>
              </w:rPr>
              <w:t>1.00</w:t>
            </w:r>
          </w:p>
        </w:tc>
        <w:tc>
          <w:tcPr>
            <w:tcW w:w="1276" w:type="dxa"/>
            <w:shd w:val="clear" w:color="auto" w:fill="auto"/>
            <w:vAlign w:val="bottom"/>
          </w:tcPr>
          <w:p w14:paraId="54A5BBB3" w14:textId="77777777" w:rsidR="001C5E0E" w:rsidRPr="004D4DCF" w:rsidRDefault="001C5E0E" w:rsidP="001C5E0E">
            <w:pPr>
              <w:jc w:val="right"/>
              <w:rPr>
                <w:color w:val="000000"/>
                <w:sz w:val="16"/>
                <w:szCs w:val="16"/>
                <w:lang w:eastAsia="en-NZ"/>
              </w:rPr>
            </w:pPr>
          </w:p>
        </w:tc>
        <w:tc>
          <w:tcPr>
            <w:tcW w:w="850" w:type="dxa"/>
            <w:shd w:val="clear" w:color="auto" w:fill="auto"/>
            <w:vAlign w:val="bottom"/>
          </w:tcPr>
          <w:p w14:paraId="751EB231" w14:textId="77777777" w:rsidR="001C5E0E" w:rsidRPr="004D4DCF" w:rsidRDefault="001C5E0E" w:rsidP="001C5E0E">
            <w:pPr>
              <w:jc w:val="right"/>
              <w:rPr>
                <w:color w:val="000000"/>
                <w:sz w:val="16"/>
                <w:szCs w:val="16"/>
                <w:lang w:eastAsia="en-NZ"/>
              </w:rPr>
            </w:pPr>
          </w:p>
        </w:tc>
      </w:tr>
      <w:tr w:rsidR="001C5E0E" w:rsidRPr="001A61F1" w14:paraId="22F24EF5" w14:textId="77777777" w:rsidTr="00826105">
        <w:tc>
          <w:tcPr>
            <w:tcW w:w="5387" w:type="dxa"/>
          </w:tcPr>
          <w:p w14:paraId="62891798"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405B135C" w14:textId="77777777" w:rsidR="001C5E0E" w:rsidRPr="004D4DCF" w:rsidRDefault="001C5E0E" w:rsidP="001C5E0E">
            <w:pPr>
              <w:jc w:val="right"/>
              <w:rPr>
                <w:color w:val="000000"/>
                <w:sz w:val="16"/>
                <w:szCs w:val="16"/>
                <w:lang w:eastAsia="en-NZ"/>
              </w:rPr>
            </w:pPr>
            <w:r w:rsidRPr="004D4DCF">
              <w:rPr>
                <w:color w:val="000000"/>
                <w:sz w:val="16"/>
                <w:szCs w:val="16"/>
                <w:lang w:eastAsia="en-NZ"/>
              </w:rPr>
              <w:t>9.46</w:t>
            </w:r>
          </w:p>
        </w:tc>
        <w:tc>
          <w:tcPr>
            <w:tcW w:w="1276" w:type="dxa"/>
            <w:shd w:val="clear" w:color="auto" w:fill="auto"/>
            <w:vAlign w:val="bottom"/>
          </w:tcPr>
          <w:p w14:paraId="010294E8" w14:textId="77777777" w:rsidR="001C5E0E" w:rsidRPr="004D4DCF" w:rsidRDefault="001C5E0E" w:rsidP="001C5E0E">
            <w:pPr>
              <w:jc w:val="right"/>
              <w:rPr>
                <w:color w:val="000000"/>
                <w:sz w:val="16"/>
                <w:szCs w:val="16"/>
                <w:lang w:eastAsia="en-NZ"/>
              </w:rPr>
            </w:pPr>
            <w:r w:rsidRPr="004D4DCF">
              <w:rPr>
                <w:color w:val="000000"/>
                <w:sz w:val="16"/>
                <w:szCs w:val="16"/>
                <w:lang w:eastAsia="en-NZ"/>
              </w:rPr>
              <w:t>(6.95, 12.88)</w:t>
            </w:r>
          </w:p>
        </w:tc>
        <w:tc>
          <w:tcPr>
            <w:tcW w:w="850" w:type="dxa"/>
            <w:shd w:val="clear" w:color="auto" w:fill="auto"/>
            <w:vAlign w:val="bottom"/>
          </w:tcPr>
          <w:p w14:paraId="5B172BA5" w14:textId="77777777" w:rsidR="001C5E0E" w:rsidRPr="004D4DCF" w:rsidRDefault="001C5E0E" w:rsidP="001C5E0E">
            <w:pPr>
              <w:jc w:val="right"/>
              <w:rPr>
                <w:color w:val="000000"/>
                <w:sz w:val="16"/>
                <w:szCs w:val="16"/>
                <w:lang w:eastAsia="en-NZ"/>
              </w:rPr>
            </w:pPr>
            <w:r w:rsidRPr="004D4DCF">
              <w:rPr>
                <w:color w:val="000000"/>
                <w:sz w:val="16"/>
                <w:szCs w:val="16"/>
                <w:lang w:eastAsia="en-NZ"/>
              </w:rPr>
              <w:t>&lt;</w:t>
            </w:r>
            <w:r>
              <w:rPr>
                <w:color w:val="000000"/>
                <w:sz w:val="16"/>
                <w:szCs w:val="16"/>
                <w:lang w:eastAsia="en-NZ"/>
              </w:rPr>
              <w:t>0</w:t>
            </w:r>
            <w:r w:rsidRPr="004D4DCF">
              <w:rPr>
                <w:color w:val="000000"/>
                <w:sz w:val="16"/>
                <w:szCs w:val="16"/>
                <w:lang w:eastAsia="en-NZ"/>
              </w:rPr>
              <w:t>.0001</w:t>
            </w:r>
          </w:p>
        </w:tc>
      </w:tr>
      <w:tr w:rsidR="001C5E0E" w:rsidRPr="001A61F1" w14:paraId="2D22D471" w14:textId="77777777" w:rsidTr="004D4DCF">
        <w:tc>
          <w:tcPr>
            <w:tcW w:w="5387" w:type="dxa"/>
            <w:vAlign w:val="bottom"/>
          </w:tcPr>
          <w:p w14:paraId="44CBCF2A" w14:textId="77777777" w:rsidR="001C5E0E" w:rsidRPr="003F15C0" w:rsidRDefault="001C5E0E" w:rsidP="001C5E0E">
            <w:pPr>
              <w:spacing w:before="20"/>
              <w:jc w:val="both"/>
              <w:rPr>
                <w:b/>
                <w:sz w:val="16"/>
                <w:szCs w:val="16"/>
              </w:rPr>
            </w:pPr>
            <w:r>
              <w:rPr>
                <w:b/>
                <w:sz w:val="16"/>
                <w:szCs w:val="16"/>
              </w:rPr>
              <w:t>I</w:t>
            </w:r>
            <w:r w:rsidRPr="003F15C0">
              <w:rPr>
                <w:b/>
                <w:sz w:val="16"/>
                <w:szCs w:val="16"/>
              </w:rPr>
              <w:t xml:space="preserve">nternet gambling </w:t>
            </w:r>
            <w:r>
              <w:rPr>
                <w:b/>
                <w:sz w:val="16"/>
                <w:szCs w:val="16"/>
              </w:rPr>
              <w:t xml:space="preserve">overall </w:t>
            </w:r>
            <w:r w:rsidRPr="003F15C0">
              <w:rPr>
                <w:b/>
                <w:sz w:val="16"/>
                <w:szCs w:val="16"/>
              </w:rPr>
              <w:t>- annual</w:t>
            </w:r>
          </w:p>
        </w:tc>
        <w:tc>
          <w:tcPr>
            <w:tcW w:w="992" w:type="dxa"/>
            <w:shd w:val="clear" w:color="auto" w:fill="auto"/>
            <w:vAlign w:val="bottom"/>
          </w:tcPr>
          <w:p w14:paraId="59D76702"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37978F05"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4C567DBF" w14:textId="77777777" w:rsidR="001C5E0E" w:rsidRPr="007B750E" w:rsidRDefault="001C5E0E" w:rsidP="001C5E0E">
            <w:pPr>
              <w:jc w:val="right"/>
              <w:rPr>
                <w:color w:val="000000"/>
                <w:sz w:val="16"/>
                <w:szCs w:val="16"/>
                <w:lang w:eastAsia="en-NZ"/>
              </w:rPr>
            </w:pPr>
          </w:p>
        </w:tc>
      </w:tr>
      <w:tr w:rsidR="001C5E0E" w:rsidRPr="001A61F1" w14:paraId="38B5E5EA" w14:textId="77777777" w:rsidTr="004D4DCF">
        <w:tc>
          <w:tcPr>
            <w:tcW w:w="5387" w:type="dxa"/>
          </w:tcPr>
          <w:p w14:paraId="2C3CB48A"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2FE6E288" w14:textId="77777777" w:rsidR="001C5E0E" w:rsidRPr="004D4DCF" w:rsidRDefault="001C5E0E" w:rsidP="001C5E0E">
            <w:pPr>
              <w:jc w:val="right"/>
              <w:rPr>
                <w:color w:val="000000"/>
                <w:sz w:val="16"/>
                <w:szCs w:val="16"/>
                <w:lang w:eastAsia="en-NZ"/>
              </w:rPr>
            </w:pPr>
            <w:r w:rsidRPr="004D4DCF">
              <w:rPr>
                <w:color w:val="000000"/>
                <w:sz w:val="16"/>
                <w:szCs w:val="16"/>
                <w:lang w:eastAsia="en-NZ"/>
              </w:rPr>
              <w:t>1.00</w:t>
            </w:r>
          </w:p>
        </w:tc>
        <w:tc>
          <w:tcPr>
            <w:tcW w:w="1276" w:type="dxa"/>
            <w:shd w:val="clear" w:color="auto" w:fill="auto"/>
            <w:vAlign w:val="bottom"/>
          </w:tcPr>
          <w:p w14:paraId="478D516C" w14:textId="77777777" w:rsidR="001C5E0E" w:rsidRPr="004D4DCF" w:rsidRDefault="001C5E0E" w:rsidP="001C5E0E">
            <w:pPr>
              <w:jc w:val="right"/>
              <w:rPr>
                <w:color w:val="000000"/>
                <w:sz w:val="16"/>
                <w:szCs w:val="16"/>
                <w:lang w:eastAsia="en-NZ"/>
              </w:rPr>
            </w:pPr>
          </w:p>
        </w:tc>
        <w:tc>
          <w:tcPr>
            <w:tcW w:w="850" w:type="dxa"/>
            <w:shd w:val="clear" w:color="auto" w:fill="auto"/>
            <w:vAlign w:val="bottom"/>
          </w:tcPr>
          <w:p w14:paraId="13798A28" w14:textId="77777777" w:rsidR="001C5E0E" w:rsidRPr="004D4DCF" w:rsidRDefault="001C5E0E" w:rsidP="001C5E0E">
            <w:pPr>
              <w:jc w:val="right"/>
              <w:rPr>
                <w:color w:val="000000"/>
                <w:sz w:val="16"/>
                <w:szCs w:val="16"/>
                <w:lang w:eastAsia="en-NZ"/>
              </w:rPr>
            </w:pPr>
          </w:p>
        </w:tc>
      </w:tr>
      <w:tr w:rsidR="001C5E0E" w:rsidRPr="001A61F1" w14:paraId="18372980" w14:textId="77777777" w:rsidTr="00826105">
        <w:tc>
          <w:tcPr>
            <w:tcW w:w="5387" w:type="dxa"/>
          </w:tcPr>
          <w:p w14:paraId="3542237E"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45585850" w14:textId="77777777" w:rsidR="001C5E0E" w:rsidRPr="004D4DCF" w:rsidRDefault="001C5E0E" w:rsidP="001C5E0E">
            <w:pPr>
              <w:jc w:val="right"/>
              <w:rPr>
                <w:color w:val="000000"/>
                <w:sz w:val="16"/>
                <w:szCs w:val="16"/>
                <w:lang w:eastAsia="en-NZ"/>
              </w:rPr>
            </w:pPr>
            <w:r w:rsidRPr="004D4DCF">
              <w:rPr>
                <w:color w:val="000000"/>
                <w:sz w:val="16"/>
                <w:szCs w:val="16"/>
                <w:lang w:eastAsia="en-NZ"/>
              </w:rPr>
              <w:t>6.34</w:t>
            </w:r>
          </w:p>
        </w:tc>
        <w:tc>
          <w:tcPr>
            <w:tcW w:w="1276" w:type="dxa"/>
            <w:shd w:val="clear" w:color="auto" w:fill="auto"/>
            <w:vAlign w:val="bottom"/>
          </w:tcPr>
          <w:p w14:paraId="6940D019" w14:textId="77777777" w:rsidR="001C5E0E" w:rsidRPr="004D4DCF" w:rsidRDefault="001C5E0E" w:rsidP="001C5E0E">
            <w:pPr>
              <w:jc w:val="right"/>
              <w:rPr>
                <w:color w:val="000000"/>
                <w:sz w:val="16"/>
                <w:szCs w:val="16"/>
                <w:lang w:eastAsia="en-NZ"/>
              </w:rPr>
            </w:pPr>
            <w:r w:rsidRPr="004D4DCF">
              <w:rPr>
                <w:color w:val="000000"/>
                <w:sz w:val="16"/>
                <w:szCs w:val="16"/>
                <w:lang w:eastAsia="en-NZ"/>
              </w:rPr>
              <w:t>(1.84, 21.76)</w:t>
            </w:r>
          </w:p>
        </w:tc>
        <w:tc>
          <w:tcPr>
            <w:tcW w:w="850" w:type="dxa"/>
            <w:shd w:val="clear" w:color="auto" w:fill="auto"/>
            <w:vAlign w:val="bottom"/>
          </w:tcPr>
          <w:p w14:paraId="767C4385" w14:textId="77777777" w:rsidR="001C5E0E" w:rsidRPr="004D4DCF" w:rsidRDefault="001C5E0E" w:rsidP="001C5E0E">
            <w:pPr>
              <w:jc w:val="right"/>
              <w:rPr>
                <w:color w:val="000000"/>
                <w:sz w:val="16"/>
                <w:szCs w:val="16"/>
                <w:lang w:eastAsia="en-NZ"/>
              </w:rPr>
            </w:pPr>
            <w:r w:rsidRPr="004D4DCF">
              <w:rPr>
                <w:color w:val="000000"/>
                <w:sz w:val="16"/>
                <w:szCs w:val="16"/>
                <w:lang w:eastAsia="en-NZ"/>
              </w:rPr>
              <w:t>0.003</w:t>
            </w:r>
          </w:p>
        </w:tc>
      </w:tr>
      <w:tr w:rsidR="001C5E0E" w:rsidRPr="001A61F1" w14:paraId="2636157F" w14:textId="77777777" w:rsidTr="004D4DCF">
        <w:tc>
          <w:tcPr>
            <w:tcW w:w="5387" w:type="dxa"/>
            <w:vAlign w:val="bottom"/>
          </w:tcPr>
          <w:p w14:paraId="173FC16F" w14:textId="77777777" w:rsidR="001C5E0E" w:rsidRPr="003F15C0" w:rsidRDefault="001C5E0E" w:rsidP="001C5E0E">
            <w:pPr>
              <w:spacing w:before="20"/>
              <w:jc w:val="both"/>
              <w:rPr>
                <w:b/>
                <w:sz w:val="16"/>
                <w:szCs w:val="16"/>
              </w:rPr>
            </w:pPr>
            <w:r>
              <w:rPr>
                <w:b/>
                <w:sz w:val="16"/>
                <w:szCs w:val="16"/>
              </w:rPr>
              <w:t>NZ</w:t>
            </w:r>
            <w:r w:rsidRPr="003F15C0">
              <w:rPr>
                <w:b/>
                <w:sz w:val="16"/>
                <w:szCs w:val="16"/>
              </w:rPr>
              <w:t xml:space="preserve"> internet gambling - annual</w:t>
            </w:r>
          </w:p>
        </w:tc>
        <w:tc>
          <w:tcPr>
            <w:tcW w:w="992" w:type="dxa"/>
            <w:shd w:val="clear" w:color="auto" w:fill="auto"/>
            <w:vAlign w:val="bottom"/>
          </w:tcPr>
          <w:p w14:paraId="03EC8011"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22F9BD42"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61DE3F7A" w14:textId="77777777" w:rsidR="001C5E0E" w:rsidRPr="007B750E" w:rsidRDefault="001C5E0E" w:rsidP="001C5E0E">
            <w:pPr>
              <w:jc w:val="right"/>
              <w:rPr>
                <w:color w:val="000000"/>
                <w:sz w:val="16"/>
                <w:szCs w:val="16"/>
                <w:lang w:eastAsia="en-NZ"/>
              </w:rPr>
            </w:pPr>
          </w:p>
        </w:tc>
      </w:tr>
      <w:tr w:rsidR="001C5E0E" w:rsidRPr="001A61F1" w14:paraId="7B1BD190" w14:textId="77777777" w:rsidTr="004D4DCF">
        <w:tc>
          <w:tcPr>
            <w:tcW w:w="5387" w:type="dxa"/>
          </w:tcPr>
          <w:p w14:paraId="03E36B61"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469B0B3B" w14:textId="77777777" w:rsidR="001C5E0E" w:rsidRPr="004D4DCF" w:rsidRDefault="001C5E0E" w:rsidP="001C5E0E">
            <w:pPr>
              <w:jc w:val="right"/>
              <w:rPr>
                <w:color w:val="000000"/>
                <w:sz w:val="16"/>
                <w:szCs w:val="16"/>
                <w:lang w:eastAsia="en-NZ"/>
              </w:rPr>
            </w:pPr>
            <w:r w:rsidRPr="004D4DCF">
              <w:rPr>
                <w:color w:val="000000"/>
                <w:sz w:val="16"/>
                <w:szCs w:val="16"/>
                <w:lang w:eastAsia="en-NZ"/>
              </w:rPr>
              <w:t>1.00</w:t>
            </w:r>
          </w:p>
        </w:tc>
        <w:tc>
          <w:tcPr>
            <w:tcW w:w="1276" w:type="dxa"/>
            <w:shd w:val="clear" w:color="auto" w:fill="auto"/>
            <w:vAlign w:val="bottom"/>
          </w:tcPr>
          <w:p w14:paraId="450AA99B" w14:textId="77777777" w:rsidR="001C5E0E" w:rsidRPr="004D4DCF" w:rsidRDefault="001C5E0E" w:rsidP="001C5E0E">
            <w:pPr>
              <w:jc w:val="right"/>
              <w:rPr>
                <w:color w:val="000000"/>
                <w:sz w:val="16"/>
                <w:szCs w:val="16"/>
                <w:lang w:eastAsia="en-NZ"/>
              </w:rPr>
            </w:pPr>
          </w:p>
        </w:tc>
        <w:tc>
          <w:tcPr>
            <w:tcW w:w="850" w:type="dxa"/>
            <w:shd w:val="clear" w:color="auto" w:fill="auto"/>
            <w:vAlign w:val="bottom"/>
          </w:tcPr>
          <w:p w14:paraId="45196A9D" w14:textId="77777777" w:rsidR="001C5E0E" w:rsidRPr="004D4DCF" w:rsidRDefault="001C5E0E" w:rsidP="001C5E0E">
            <w:pPr>
              <w:jc w:val="right"/>
              <w:rPr>
                <w:color w:val="000000"/>
                <w:sz w:val="16"/>
                <w:szCs w:val="16"/>
                <w:lang w:eastAsia="en-NZ"/>
              </w:rPr>
            </w:pPr>
          </w:p>
        </w:tc>
      </w:tr>
      <w:tr w:rsidR="001C5E0E" w:rsidRPr="001A61F1" w14:paraId="0255D917" w14:textId="77777777" w:rsidTr="00826105">
        <w:tc>
          <w:tcPr>
            <w:tcW w:w="5387" w:type="dxa"/>
          </w:tcPr>
          <w:p w14:paraId="75437AEB"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38CF8215" w14:textId="77777777" w:rsidR="001C5E0E" w:rsidRPr="004D4DCF" w:rsidRDefault="001C5E0E" w:rsidP="001C5E0E">
            <w:pPr>
              <w:jc w:val="right"/>
              <w:rPr>
                <w:color w:val="000000"/>
                <w:sz w:val="16"/>
                <w:szCs w:val="16"/>
                <w:lang w:eastAsia="en-NZ"/>
              </w:rPr>
            </w:pPr>
            <w:r w:rsidRPr="004D4DCF">
              <w:rPr>
                <w:color w:val="000000"/>
                <w:sz w:val="16"/>
                <w:szCs w:val="16"/>
                <w:lang w:eastAsia="en-NZ"/>
              </w:rPr>
              <w:t>1.86</w:t>
            </w:r>
          </w:p>
        </w:tc>
        <w:tc>
          <w:tcPr>
            <w:tcW w:w="1276" w:type="dxa"/>
            <w:shd w:val="clear" w:color="auto" w:fill="auto"/>
            <w:vAlign w:val="bottom"/>
          </w:tcPr>
          <w:p w14:paraId="0BBE2B16" w14:textId="77777777" w:rsidR="001C5E0E" w:rsidRPr="004D4DCF" w:rsidRDefault="001C5E0E" w:rsidP="001C5E0E">
            <w:pPr>
              <w:jc w:val="right"/>
              <w:rPr>
                <w:color w:val="000000"/>
                <w:sz w:val="16"/>
                <w:szCs w:val="16"/>
                <w:lang w:eastAsia="en-NZ"/>
              </w:rPr>
            </w:pPr>
            <w:r w:rsidRPr="004D4DCF">
              <w:rPr>
                <w:color w:val="000000"/>
                <w:sz w:val="16"/>
                <w:szCs w:val="16"/>
                <w:lang w:eastAsia="en-NZ"/>
              </w:rPr>
              <w:t>(1.25, 2.76)</w:t>
            </w:r>
          </w:p>
        </w:tc>
        <w:tc>
          <w:tcPr>
            <w:tcW w:w="850" w:type="dxa"/>
            <w:shd w:val="clear" w:color="auto" w:fill="auto"/>
            <w:vAlign w:val="bottom"/>
          </w:tcPr>
          <w:p w14:paraId="19879B19" w14:textId="77777777" w:rsidR="001C5E0E" w:rsidRPr="004D4DCF" w:rsidRDefault="001C5E0E" w:rsidP="001C5E0E">
            <w:pPr>
              <w:jc w:val="right"/>
              <w:rPr>
                <w:color w:val="000000"/>
                <w:sz w:val="16"/>
                <w:szCs w:val="16"/>
                <w:lang w:eastAsia="en-NZ"/>
              </w:rPr>
            </w:pPr>
            <w:r w:rsidRPr="004D4DCF">
              <w:rPr>
                <w:color w:val="000000"/>
                <w:sz w:val="16"/>
                <w:szCs w:val="16"/>
                <w:lang w:eastAsia="en-NZ"/>
              </w:rPr>
              <w:t>0.002</w:t>
            </w:r>
          </w:p>
        </w:tc>
      </w:tr>
      <w:tr w:rsidR="001C5E0E" w:rsidRPr="001A61F1" w14:paraId="6AF91751" w14:textId="77777777" w:rsidTr="004D4DCF">
        <w:tc>
          <w:tcPr>
            <w:tcW w:w="5387" w:type="dxa"/>
            <w:vAlign w:val="bottom"/>
          </w:tcPr>
          <w:p w14:paraId="3275F404" w14:textId="77777777" w:rsidR="001C5E0E" w:rsidRPr="003F15C0" w:rsidRDefault="001C5E0E" w:rsidP="001C5E0E">
            <w:pPr>
              <w:spacing w:before="20"/>
              <w:jc w:val="both"/>
              <w:rPr>
                <w:b/>
                <w:sz w:val="16"/>
                <w:szCs w:val="16"/>
              </w:rPr>
            </w:pPr>
            <w:r w:rsidRPr="003F15C0">
              <w:rPr>
                <w:b/>
                <w:sz w:val="16"/>
                <w:szCs w:val="16"/>
              </w:rPr>
              <w:t>Overseas internet gambling - annual</w:t>
            </w:r>
          </w:p>
        </w:tc>
        <w:tc>
          <w:tcPr>
            <w:tcW w:w="992" w:type="dxa"/>
            <w:shd w:val="clear" w:color="auto" w:fill="auto"/>
            <w:vAlign w:val="bottom"/>
          </w:tcPr>
          <w:p w14:paraId="721EFAD2"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29893211"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0F527FAF" w14:textId="77777777" w:rsidR="001C5E0E" w:rsidRPr="007B750E" w:rsidRDefault="001C5E0E" w:rsidP="001C5E0E">
            <w:pPr>
              <w:jc w:val="right"/>
              <w:rPr>
                <w:color w:val="000000"/>
                <w:sz w:val="16"/>
                <w:szCs w:val="16"/>
                <w:lang w:eastAsia="en-NZ"/>
              </w:rPr>
            </w:pPr>
          </w:p>
        </w:tc>
      </w:tr>
      <w:tr w:rsidR="001C5E0E" w:rsidRPr="001A61F1" w14:paraId="63E1710E" w14:textId="77777777" w:rsidTr="004D4DCF">
        <w:tc>
          <w:tcPr>
            <w:tcW w:w="5387" w:type="dxa"/>
          </w:tcPr>
          <w:p w14:paraId="710067D9"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379CDF8D" w14:textId="77777777" w:rsidR="001C5E0E" w:rsidRPr="004D4DCF" w:rsidRDefault="001C5E0E" w:rsidP="001C5E0E">
            <w:pPr>
              <w:jc w:val="right"/>
              <w:rPr>
                <w:color w:val="000000"/>
                <w:sz w:val="16"/>
                <w:szCs w:val="16"/>
                <w:lang w:eastAsia="en-NZ"/>
              </w:rPr>
            </w:pPr>
            <w:r w:rsidRPr="004D4DCF">
              <w:rPr>
                <w:color w:val="000000"/>
                <w:sz w:val="16"/>
                <w:szCs w:val="16"/>
                <w:lang w:eastAsia="en-NZ"/>
              </w:rPr>
              <w:t>1.00</w:t>
            </w:r>
          </w:p>
        </w:tc>
        <w:tc>
          <w:tcPr>
            <w:tcW w:w="1276" w:type="dxa"/>
            <w:shd w:val="clear" w:color="auto" w:fill="auto"/>
            <w:vAlign w:val="bottom"/>
          </w:tcPr>
          <w:p w14:paraId="1838F779" w14:textId="77777777" w:rsidR="001C5E0E" w:rsidRPr="004D4DCF" w:rsidRDefault="001C5E0E" w:rsidP="001C5E0E">
            <w:pPr>
              <w:jc w:val="right"/>
              <w:rPr>
                <w:color w:val="000000"/>
                <w:sz w:val="16"/>
                <w:szCs w:val="16"/>
                <w:lang w:eastAsia="en-NZ"/>
              </w:rPr>
            </w:pPr>
          </w:p>
        </w:tc>
        <w:tc>
          <w:tcPr>
            <w:tcW w:w="850" w:type="dxa"/>
            <w:shd w:val="clear" w:color="auto" w:fill="auto"/>
            <w:vAlign w:val="bottom"/>
          </w:tcPr>
          <w:p w14:paraId="5C7A88DD" w14:textId="77777777" w:rsidR="001C5E0E" w:rsidRPr="004D4DCF" w:rsidRDefault="001C5E0E" w:rsidP="001C5E0E">
            <w:pPr>
              <w:jc w:val="right"/>
              <w:rPr>
                <w:color w:val="000000"/>
                <w:sz w:val="16"/>
                <w:szCs w:val="16"/>
                <w:lang w:eastAsia="en-NZ"/>
              </w:rPr>
            </w:pPr>
          </w:p>
        </w:tc>
      </w:tr>
      <w:tr w:rsidR="001C5E0E" w:rsidRPr="001A61F1" w14:paraId="37A0837D" w14:textId="77777777" w:rsidTr="00826105">
        <w:tc>
          <w:tcPr>
            <w:tcW w:w="5387" w:type="dxa"/>
          </w:tcPr>
          <w:p w14:paraId="5ABB2011"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57CA214A" w14:textId="77777777" w:rsidR="001C5E0E" w:rsidRPr="004D4DCF" w:rsidRDefault="001C5E0E" w:rsidP="001C5E0E">
            <w:pPr>
              <w:jc w:val="right"/>
              <w:rPr>
                <w:color w:val="000000"/>
                <w:sz w:val="16"/>
                <w:szCs w:val="16"/>
                <w:lang w:eastAsia="en-NZ"/>
              </w:rPr>
            </w:pPr>
            <w:r w:rsidRPr="004D4DCF">
              <w:rPr>
                <w:color w:val="000000"/>
                <w:sz w:val="16"/>
                <w:szCs w:val="16"/>
                <w:lang w:eastAsia="en-NZ"/>
              </w:rPr>
              <w:t>6.78</w:t>
            </w:r>
          </w:p>
        </w:tc>
        <w:tc>
          <w:tcPr>
            <w:tcW w:w="1276" w:type="dxa"/>
            <w:shd w:val="clear" w:color="auto" w:fill="auto"/>
            <w:vAlign w:val="bottom"/>
          </w:tcPr>
          <w:p w14:paraId="006BEA0E" w14:textId="77777777" w:rsidR="001C5E0E" w:rsidRPr="004D4DCF" w:rsidRDefault="001C5E0E" w:rsidP="001C5E0E">
            <w:pPr>
              <w:jc w:val="right"/>
              <w:rPr>
                <w:color w:val="000000"/>
                <w:sz w:val="16"/>
                <w:szCs w:val="16"/>
                <w:lang w:eastAsia="en-NZ"/>
              </w:rPr>
            </w:pPr>
            <w:r w:rsidRPr="004D4DCF">
              <w:rPr>
                <w:color w:val="000000"/>
                <w:sz w:val="16"/>
                <w:szCs w:val="16"/>
                <w:lang w:eastAsia="en-NZ"/>
              </w:rPr>
              <w:t>(3.05, 15.06)</w:t>
            </w:r>
          </w:p>
        </w:tc>
        <w:tc>
          <w:tcPr>
            <w:tcW w:w="850" w:type="dxa"/>
            <w:shd w:val="clear" w:color="auto" w:fill="auto"/>
            <w:vAlign w:val="bottom"/>
          </w:tcPr>
          <w:p w14:paraId="46FECA37" w14:textId="77777777" w:rsidR="001C5E0E" w:rsidRPr="004D4DCF" w:rsidRDefault="001C5E0E" w:rsidP="001C5E0E">
            <w:pPr>
              <w:jc w:val="right"/>
              <w:rPr>
                <w:color w:val="000000"/>
                <w:sz w:val="16"/>
                <w:szCs w:val="16"/>
                <w:lang w:eastAsia="en-NZ"/>
              </w:rPr>
            </w:pPr>
            <w:r w:rsidRPr="004D4DCF">
              <w:rPr>
                <w:color w:val="000000"/>
                <w:sz w:val="16"/>
                <w:szCs w:val="16"/>
                <w:lang w:eastAsia="en-NZ"/>
              </w:rPr>
              <w:t>&lt;</w:t>
            </w:r>
            <w:r>
              <w:rPr>
                <w:color w:val="000000"/>
                <w:sz w:val="16"/>
                <w:szCs w:val="16"/>
                <w:lang w:eastAsia="en-NZ"/>
              </w:rPr>
              <w:t>0</w:t>
            </w:r>
            <w:r w:rsidRPr="004D4DCF">
              <w:rPr>
                <w:color w:val="000000"/>
                <w:sz w:val="16"/>
                <w:szCs w:val="16"/>
                <w:lang w:eastAsia="en-NZ"/>
              </w:rPr>
              <w:t>.0001</w:t>
            </w:r>
          </w:p>
        </w:tc>
      </w:tr>
      <w:tr w:rsidR="001C5E0E" w:rsidRPr="001A61F1" w14:paraId="46C762CE" w14:textId="77777777" w:rsidTr="005F3C25">
        <w:tc>
          <w:tcPr>
            <w:tcW w:w="5387" w:type="dxa"/>
            <w:vAlign w:val="bottom"/>
          </w:tcPr>
          <w:p w14:paraId="23E119BE" w14:textId="77777777" w:rsidR="001C5E0E" w:rsidRPr="003F15C0" w:rsidRDefault="001C5E0E" w:rsidP="001C5E0E">
            <w:pPr>
              <w:spacing w:before="20"/>
              <w:jc w:val="both"/>
              <w:rPr>
                <w:b/>
                <w:sz w:val="16"/>
                <w:szCs w:val="16"/>
              </w:rPr>
            </w:pPr>
            <w:r w:rsidRPr="003F15C0">
              <w:rPr>
                <w:b/>
                <w:sz w:val="16"/>
                <w:szCs w:val="16"/>
              </w:rPr>
              <w:t xml:space="preserve">Overseas </w:t>
            </w:r>
            <w:r>
              <w:rPr>
                <w:b/>
                <w:sz w:val="16"/>
                <w:szCs w:val="16"/>
              </w:rPr>
              <w:t>offshore</w:t>
            </w:r>
            <w:r w:rsidRPr="003F15C0">
              <w:rPr>
                <w:b/>
                <w:sz w:val="16"/>
                <w:szCs w:val="16"/>
              </w:rPr>
              <w:t xml:space="preserve"> gambling - annual</w:t>
            </w:r>
          </w:p>
        </w:tc>
        <w:tc>
          <w:tcPr>
            <w:tcW w:w="992" w:type="dxa"/>
            <w:shd w:val="clear" w:color="auto" w:fill="auto"/>
            <w:vAlign w:val="bottom"/>
          </w:tcPr>
          <w:p w14:paraId="0DA564DE"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1D1B6022"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3E43B6C4" w14:textId="77777777" w:rsidR="001C5E0E" w:rsidRPr="007B750E" w:rsidRDefault="001C5E0E" w:rsidP="001C5E0E">
            <w:pPr>
              <w:jc w:val="right"/>
              <w:rPr>
                <w:color w:val="000000"/>
                <w:sz w:val="16"/>
                <w:szCs w:val="16"/>
                <w:lang w:eastAsia="en-NZ"/>
              </w:rPr>
            </w:pPr>
          </w:p>
        </w:tc>
      </w:tr>
      <w:tr w:rsidR="001C5E0E" w:rsidRPr="001A61F1" w14:paraId="2304A680" w14:textId="77777777" w:rsidTr="005F3C25">
        <w:tc>
          <w:tcPr>
            <w:tcW w:w="5387" w:type="dxa"/>
          </w:tcPr>
          <w:p w14:paraId="6A265E5D"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5CFEF458" w14:textId="77777777" w:rsidR="001C5E0E" w:rsidRPr="004D4DCF" w:rsidRDefault="001C5E0E" w:rsidP="001C5E0E">
            <w:pPr>
              <w:jc w:val="right"/>
              <w:rPr>
                <w:color w:val="000000"/>
                <w:sz w:val="16"/>
                <w:szCs w:val="16"/>
                <w:lang w:eastAsia="en-NZ"/>
              </w:rPr>
            </w:pPr>
            <w:r w:rsidRPr="004D4DCF">
              <w:rPr>
                <w:color w:val="000000"/>
                <w:sz w:val="16"/>
                <w:szCs w:val="16"/>
                <w:lang w:eastAsia="en-NZ"/>
              </w:rPr>
              <w:t>1.00</w:t>
            </w:r>
          </w:p>
        </w:tc>
        <w:tc>
          <w:tcPr>
            <w:tcW w:w="1276" w:type="dxa"/>
            <w:shd w:val="clear" w:color="auto" w:fill="auto"/>
            <w:vAlign w:val="bottom"/>
          </w:tcPr>
          <w:p w14:paraId="3BF0B6A6" w14:textId="77777777" w:rsidR="001C5E0E" w:rsidRPr="004D4DCF" w:rsidRDefault="001C5E0E" w:rsidP="001C5E0E">
            <w:pPr>
              <w:jc w:val="right"/>
              <w:rPr>
                <w:color w:val="000000"/>
                <w:sz w:val="16"/>
                <w:szCs w:val="16"/>
                <w:lang w:eastAsia="en-NZ"/>
              </w:rPr>
            </w:pPr>
          </w:p>
        </w:tc>
        <w:tc>
          <w:tcPr>
            <w:tcW w:w="850" w:type="dxa"/>
            <w:shd w:val="clear" w:color="auto" w:fill="auto"/>
            <w:vAlign w:val="bottom"/>
          </w:tcPr>
          <w:p w14:paraId="1C9BE09D" w14:textId="77777777" w:rsidR="001C5E0E" w:rsidRPr="004D4DCF" w:rsidRDefault="001C5E0E" w:rsidP="001C5E0E">
            <w:pPr>
              <w:jc w:val="right"/>
              <w:rPr>
                <w:color w:val="000000"/>
                <w:sz w:val="16"/>
                <w:szCs w:val="16"/>
                <w:lang w:eastAsia="en-NZ"/>
              </w:rPr>
            </w:pPr>
          </w:p>
        </w:tc>
      </w:tr>
      <w:tr w:rsidR="001C5E0E" w:rsidRPr="001A61F1" w14:paraId="320B0550" w14:textId="77777777" w:rsidTr="00826105">
        <w:tc>
          <w:tcPr>
            <w:tcW w:w="5387" w:type="dxa"/>
          </w:tcPr>
          <w:p w14:paraId="04745093"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7D43C33B" w14:textId="77777777" w:rsidR="001C5E0E" w:rsidRPr="004D4DCF" w:rsidRDefault="001C5E0E" w:rsidP="001C5E0E">
            <w:pPr>
              <w:jc w:val="right"/>
              <w:rPr>
                <w:color w:val="000000"/>
                <w:sz w:val="16"/>
                <w:szCs w:val="16"/>
                <w:lang w:eastAsia="en-NZ"/>
              </w:rPr>
            </w:pPr>
            <w:r w:rsidRPr="004D4DCF">
              <w:rPr>
                <w:color w:val="000000"/>
                <w:sz w:val="16"/>
                <w:szCs w:val="16"/>
                <w:lang w:eastAsia="en-NZ"/>
              </w:rPr>
              <w:t>1.99</w:t>
            </w:r>
          </w:p>
        </w:tc>
        <w:tc>
          <w:tcPr>
            <w:tcW w:w="1276" w:type="dxa"/>
            <w:shd w:val="clear" w:color="auto" w:fill="auto"/>
            <w:vAlign w:val="bottom"/>
          </w:tcPr>
          <w:p w14:paraId="2BA5B89A" w14:textId="77777777" w:rsidR="001C5E0E" w:rsidRPr="004D4DCF" w:rsidRDefault="001C5E0E" w:rsidP="001C5E0E">
            <w:pPr>
              <w:jc w:val="right"/>
              <w:rPr>
                <w:color w:val="000000"/>
                <w:sz w:val="16"/>
                <w:szCs w:val="16"/>
                <w:lang w:eastAsia="en-NZ"/>
              </w:rPr>
            </w:pPr>
            <w:r w:rsidRPr="004D4DCF">
              <w:rPr>
                <w:color w:val="000000"/>
                <w:sz w:val="16"/>
                <w:szCs w:val="16"/>
                <w:lang w:eastAsia="en-NZ"/>
              </w:rPr>
              <w:t>(1.33, 3.00)</w:t>
            </w:r>
          </w:p>
        </w:tc>
        <w:tc>
          <w:tcPr>
            <w:tcW w:w="850" w:type="dxa"/>
            <w:shd w:val="clear" w:color="auto" w:fill="auto"/>
            <w:vAlign w:val="bottom"/>
          </w:tcPr>
          <w:p w14:paraId="0FA7C3B1" w14:textId="77777777" w:rsidR="001C5E0E" w:rsidRPr="004D4DCF" w:rsidRDefault="001C5E0E" w:rsidP="001C5E0E">
            <w:pPr>
              <w:jc w:val="right"/>
              <w:rPr>
                <w:color w:val="000000"/>
                <w:sz w:val="16"/>
                <w:szCs w:val="16"/>
                <w:lang w:eastAsia="en-NZ"/>
              </w:rPr>
            </w:pPr>
            <w:r w:rsidRPr="004D4DCF">
              <w:rPr>
                <w:color w:val="000000"/>
                <w:sz w:val="16"/>
                <w:szCs w:val="16"/>
                <w:lang w:eastAsia="en-NZ"/>
              </w:rPr>
              <w:t>0.0009</w:t>
            </w:r>
          </w:p>
        </w:tc>
      </w:tr>
      <w:tr w:rsidR="001C5E0E" w:rsidRPr="001A61F1" w14:paraId="7B10A48C" w14:textId="77777777" w:rsidTr="004D4DCF">
        <w:tc>
          <w:tcPr>
            <w:tcW w:w="5387" w:type="dxa"/>
            <w:vAlign w:val="bottom"/>
          </w:tcPr>
          <w:p w14:paraId="6BD7A7C0" w14:textId="77777777" w:rsidR="001C5E0E" w:rsidRPr="003F15C0" w:rsidRDefault="001C5E0E" w:rsidP="001C5E0E">
            <w:pPr>
              <w:spacing w:before="20"/>
              <w:jc w:val="both"/>
              <w:rPr>
                <w:b/>
                <w:sz w:val="16"/>
                <w:szCs w:val="16"/>
              </w:rPr>
            </w:pPr>
            <w:r w:rsidRPr="003F15C0">
              <w:rPr>
                <w:b/>
                <w:sz w:val="16"/>
                <w:szCs w:val="16"/>
              </w:rPr>
              <w:t>Overseas internet</w:t>
            </w:r>
            <w:r>
              <w:rPr>
                <w:b/>
                <w:sz w:val="16"/>
                <w:szCs w:val="16"/>
              </w:rPr>
              <w:t>/offshore</w:t>
            </w:r>
            <w:r w:rsidRPr="003F15C0">
              <w:rPr>
                <w:b/>
                <w:sz w:val="16"/>
                <w:szCs w:val="16"/>
              </w:rPr>
              <w:t xml:space="preserve"> gambling</w:t>
            </w:r>
            <w:r>
              <w:rPr>
                <w:b/>
                <w:sz w:val="16"/>
                <w:szCs w:val="16"/>
              </w:rPr>
              <w:t xml:space="preserve"> overall </w:t>
            </w:r>
            <w:r w:rsidRPr="003F15C0">
              <w:rPr>
                <w:b/>
                <w:sz w:val="16"/>
                <w:szCs w:val="16"/>
              </w:rPr>
              <w:t xml:space="preserve"> - annual</w:t>
            </w:r>
          </w:p>
        </w:tc>
        <w:tc>
          <w:tcPr>
            <w:tcW w:w="992" w:type="dxa"/>
            <w:shd w:val="clear" w:color="auto" w:fill="auto"/>
            <w:vAlign w:val="bottom"/>
          </w:tcPr>
          <w:p w14:paraId="4B4B5AD9"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24E91877"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1D5C5AB5" w14:textId="77777777" w:rsidR="001C5E0E" w:rsidRPr="007B750E" w:rsidRDefault="001C5E0E" w:rsidP="001C5E0E">
            <w:pPr>
              <w:jc w:val="right"/>
              <w:rPr>
                <w:color w:val="000000"/>
                <w:sz w:val="16"/>
                <w:szCs w:val="16"/>
                <w:lang w:eastAsia="en-NZ"/>
              </w:rPr>
            </w:pPr>
          </w:p>
        </w:tc>
      </w:tr>
      <w:tr w:rsidR="001C5E0E" w:rsidRPr="001A61F1" w14:paraId="2D91DF85" w14:textId="77777777" w:rsidTr="004D4DCF">
        <w:tc>
          <w:tcPr>
            <w:tcW w:w="5387" w:type="dxa"/>
          </w:tcPr>
          <w:p w14:paraId="4885840C"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45279D7F" w14:textId="77777777" w:rsidR="001C5E0E" w:rsidRPr="004D4DCF" w:rsidRDefault="001C5E0E" w:rsidP="001C5E0E">
            <w:pPr>
              <w:jc w:val="right"/>
              <w:rPr>
                <w:color w:val="000000"/>
                <w:sz w:val="16"/>
                <w:szCs w:val="16"/>
                <w:lang w:eastAsia="en-NZ"/>
              </w:rPr>
            </w:pPr>
            <w:r w:rsidRPr="004D4DCF">
              <w:rPr>
                <w:color w:val="000000"/>
                <w:sz w:val="16"/>
                <w:szCs w:val="16"/>
                <w:lang w:eastAsia="en-NZ"/>
              </w:rPr>
              <w:t>1.00</w:t>
            </w:r>
          </w:p>
        </w:tc>
        <w:tc>
          <w:tcPr>
            <w:tcW w:w="1276" w:type="dxa"/>
            <w:shd w:val="clear" w:color="auto" w:fill="auto"/>
            <w:vAlign w:val="bottom"/>
          </w:tcPr>
          <w:p w14:paraId="1BD1E283" w14:textId="77777777" w:rsidR="001C5E0E" w:rsidRPr="004D4DCF" w:rsidRDefault="001C5E0E" w:rsidP="001C5E0E">
            <w:pPr>
              <w:jc w:val="right"/>
              <w:rPr>
                <w:color w:val="000000"/>
                <w:sz w:val="16"/>
                <w:szCs w:val="16"/>
                <w:lang w:eastAsia="en-NZ"/>
              </w:rPr>
            </w:pPr>
          </w:p>
        </w:tc>
        <w:tc>
          <w:tcPr>
            <w:tcW w:w="850" w:type="dxa"/>
            <w:shd w:val="clear" w:color="auto" w:fill="auto"/>
            <w:vAlign w:val="bottom"/>
          </w:tcPr>
          <w:p w14:paraId="5DEB791B" w14:textId="77777777" w:rsidR="001C5E0E" w:rsidRPr="004D4DCF" w:rsidRDefault="001C5E0E" w:rsidP="001C5E0E">
            <w:pPr>
              <w:jc w:val="right"/>
              <w:rPr>
                <w:color w:val="000000"/>
                <w:sz w:val="16"/>
                <w:szCs w:val="16"/>
                <w:lang w:eastAsia="en-NZ"/>
              </w:rPr>
            </w:pPr>
          </w:p>
        </w:tc>
      </w:tr>
      <w:tr w:rsidR="001C5E0E" w:rsidRPr="001A61F1" w14:paraId="4EC0459B" w14:textId="77777777" w:rsidTr="00826105">
        <w:tc>
          <w:tcPr>
            <w:tcW w:w="5387" w:type="dxa"/>
          </w:tcPr>
          <w:p w14:paraId="5038BB92"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2B80AA1B" w14:textId="77777777" w:rsidR="001C5E0E" w:rsidRPr="004D4DCF" w:rsidRDefault="001C5E0E" w:rsidP="001C5E0E">
            <w:pPr>
              <w:jc w:val="right"/>
              <w:rPr>
                <w:color w:val="000000"/>
                <w:sz w:val="16"/>
                <w:szCs w:val="16"/>
                <w:lang w:eastAsia="en-NZ"/>
              </w:rPr>
            </w:pPr>
            <w:r w:rsidRPr="004D4DCF">
              <w:rPr>
                <w:color w:val="000000"/>
                <w:sz w:val="16"/>
                <w:szCs w:val="16"/>
                <w:lang w:eastAsia="en-NZ"/>
              </w:rPr>
              <w:t>6.78</w:t>
            </w:r>
          </w:p>
        </w:tc>
        <w:tc>
          <w:tcPr>
            <w:tcW w:w="1276" w:type="dxa"/>
            <w:shd w:val="clear" w:color="auto" w:fill="auto"/>
            <w:vAlign w:val="bottom"/>
          </w:tcPr>
          <w:p w14:paraId="020A8E07" w14:textId="77777777" w:rsidR="001C5E0E" w:rsidRPr="004D4DCF" w:rsidRDefault="001C5E0E" w:rsidP="001C5E0E">
            <w:pPr>
              <w:jc w:val="right"/>
              <w:rPr>
                <w:color w:val="000000"/>
                <w:sz w:val="16"/>
                <w:szCs w:val="16"/>
                <w:lang w:eastAsia="en-NZ"/>
              </w:rPr>
            </w:pPr>
            <w:r w:rsidRPr="004D4DCF">
              <w:rPr>
                <w:color w:val="000000"/>
                <w:sz w:val="16"/>
                <w:szCs w:val="16"/>
                <w:lang w:eastAsia="en-NZ"/>
              </w:rPr>
              <w:t>(3.05, 15.06)</w:t>
            </w:r>
          </w:p>
        </w:tc>
        <w:tc>
          <w:tcPr>
            <w:tcW w:w="850" w:type="dxa"/>
            <w:shd w:val="clear" w:color="auto" w:fill="auto"/>
            <w:vAlign w:val="bottom"/>
          </w:tcPr>
          <w:p w14:paraId="69F74934" w14:textId="77777777" w:rsidR="001C5E0E" w:rsidRPr="004D4DCF" w:rsidRDefault="001C5E0E" w:rsidP="001C5E0E">
            <w:pPr>
              <w:jc w:val="right"/>
              <w:rPr>
                <w:color w:val="000000"/>
                <w:sz w:val="16"/>
                <w:szCs w:val="16"/>
                <w:lang w:eastAsia="en-NZ"/>
              </w:rPr>
            </w:pPr>
            <w:r w:rsidRPr="004D4DCF">
              <w:rPr>
                <w:color w:val="000000"/>
                <w:sz w:val="16"/>
                <w:szCs w:val="16"/>
                <w:lang w:eastAsia="en-NZ"/>
              </w:rPr>
              <w:t>&lt;</w:t>
            </w:r>
            <w:r>
              <w:rPr>
                <w:color w:val="000000"/>
                <w:sz w:val="16"/>
                <w:szCs w:val="16"/>
                <w:lang w:eastAsia="en-NZ"/>
              </w:rPr>
              <w:t>0</w:t>
            </w:r>
            <w:r w:rsidRPr="004D4DCF">
              <w:rPr>
                <w:color w:val="000000"/>
                <w:sz w:val="16"/>
                <w:szCs w:val="16"/>
                <w:lang w:eastAsia="en-NZ"/>
              </w:rPr>
              <w:t>.0001</w:t>
            </w:r>
          </w:p>
        </w:tc>
      </w:tr>
      <w:tr w:rsidR="001C5E0E" w:rsidRPr="001A61F1" w14:paraId="637D6A9A" w14:textId="77777777" w:rsidTr="005F3C25">
        <w:tc>
          <w:tcPr>
            <w:tcW w:w="5387" w:type="dxa"/>
            <w:vAlign w:val="bottom"/>
          </w:tcPr>
          <w:p w14:paraId="413B2380" w14:textId="77777777" w:rsidR="001C5E0E" w:rsidRPr="003F15C0" w:rsidRDefault="001C5E0E" w:rsidP="001C5E0E">
            <w:pPr>
              <w:spacing w:before="20"/>
              <w:jc w:val="both"/>
              <w:rPr>
                <w:b/>
                <w:sz w:val="16"/>
                <w:szCs w:val="16"/>
              </w:rPr>
            </w:pPr>
            <w:r w:rsidRPr="003F15C0">
              <w:rPr>
                <w:b/>
                <w:sz w:val="16"/>
                <w:szCs w:val="16"/>
              </w:rPr>
              <w:t>Card games - monthly</w:t>
            </w:r>
          </w:p>
        </w:tc>
        <w:tc>
          <w:tcPr>
            <w:tcW w:w="992" w:type="dxa"/>
            <w:shd w:val="clear" w:color="auto" w:fill="auto"/>
            <w:vAlign w:val="bottom"/>
          </w:tcPr>
          <w:p w14:paraId="14CDB753"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32FEAC1E"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6F1DC0E1" w14:textId="77777777" w:rsidR="001C5E0E" w:rsidRPr="007B750E" w:rsidRDefault="001C5E0E" w:rsidP="001C5E0E">
            <w:pPr>
              <w:jc w:val="right"/>
              <w:rPr>
                <w:color w:val="000000"/>
                <w:sz w:val="16"/>
                <w:szCs w:val="16"/>
                <w:lang w:eastAsia="en-NZ"/>
              </w:rPr>
            </w:pPr>
          </w:p>
        </w:tc>
      </w:tr>
      <w:tr w:rsidR="001C5E0E" w:rsidRPr="001A61F1" w14:paraId="02ED4D25" w14:textId="77777777" w:rsidTr="005F3C25">
        <w:tc>
          <w:tcPr>
            <w:tcW w:w="5387" w:type="dxa"/>
          </w:tcPr>
          <w:p w14:paraId="5D6F8151"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19C0E56F" w14:textId="77777777" w:rsidR="001C5E0E" w:rsidRPr="00FE454B" w:rsidRDefault="001C5E0E" w:rsidP="001C5E0E">
            <w:pPr>
              <w:jc w:val="right"/>
              <w:rPr>
                <w:color w:val="000000"/>
                <w:sz w:val="16"/>
                <w:szCs w:val="16"/>
                <w:lang w:eastAsia="en-NZ"/>
              </w:rPr>
            </w:pPr>
            <w:r w:rsidRPr="00FE454B">
              <w:rPr>
                <w:color w:val="000000"/>
                <w:sz w:val="16"/>
                <w:szCs w:val="16"/>
                <w:lang w:eastAsia="en-NZ"/>
              </w:rPr>
              <w:t>1.00</w:t>
            </w:r>
          </w:p>
        </w:tc>
        <w:tc>
          <w:tcPr>
            <w:tcW w:w="1276" w:type="dxa"/>
            <w:shd w:val="clear" w:color="auto" w:fill="auto"/>
            <w:vAlign w:val="bottom"/>
          </w:tcPr>
          <w:p w14:paraId="182E811C" w14:textId="77777777" w:rsidR="001C5E0E" w:rsidRPr="00FE454B" w:rsidRDefault="001C5E0E" w:rsidP="001C5E0E">
            <w:pPr>
              <w:jc w:val="right"/>
              <w:rPr>
                <w:color w:val="000000"/>
                <w:sz w:val="16"/>
                <w:szCs w:val="16"/>
                <w:lang w:eastAsia="en-NZ"/>
              </w:rPr>
            </w:pPr>
          </w:p>
        </w:tc>
        <w:tc>
          <w:tcPr>
            <w:tcW w:w="850" w:type="dxa"/>
            <w:shd w:val="clear" w:color="auto" w:fill="auto"/>
            <w:vAlign w:val="bottom"/>
          </w:tcPr>
          <w:p w14:paraId="4B1BC1F9" w14:textId="77777777" w:rsidR="001C5E0E" w:rsidRPr="00FE454B" w:rsidRDefault="001C5E0E" w:rsidP="001C5E0E">
            <w:pPr>
              <w:jc w:val="right"/>
              <w:rPr>
                <w:color w:val="000000"/>
                <w:sz w:val="16"/>
                <w:szCs w:val="16"/>
                <w:lang w:eastAsia="en-NZ"/>
              </w:rPr>
            </w:pPr>
          </w:p>
        </w:tc>
      </w:tr>
      <w:tr w:rsidR="001C5E0E" w:rsidRPr="001A61F1" w14:paraId="62A42580" w14:textId="77777777" w:rsidTr="00826105">
        <w:tc>
          <w:tcPr>
            <w:tcW w:w="5387" w:type="dxa"/>
          </w:tcPr>
          <w:p w14:paraId="64B53631"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16ECE706" w14:textId="77777777" w:rsidR="001C5E0E" w:rsidRPr="00FE454B" w:rsidRDefault="001C5E0E" w:rsidP="001C5E0E">
            <w:pPr>
              <w:jc w:val="right"/>
              <w:rPr>
                <w:color w:val="000000"/>
                <w:sz w:val="16"/>
                <w:szCs w:val="16"/>
                <w:lang w:eastAsia="en-NZ"/>
              </w:rPr>
            </w:pPr>
            <w:r w:rsidRPr="00FE454B">
              <w:rPr>
                <w:color w:val="000000"/>
                <w:sz w:val="16"/>
                <w:szCs w:val="16"/>
                <w:lang w:eastAsia="en-NZ"/>
              </w:rPr>
              <w:t>24.34</w:t>
            </w:r>
          </w:p>
        </w:tc>
        <w:tc>
          <w:tcPr>
            <w:tcW w:w="1276" w:type="dxa"/>
            <w:shd w:val="clear" w:color="auto" w:fill="auto"/>
            <w:vAlign w:val="bottom"/>
          </w:tcPr>
          <w:p w14:paraId="196786E8" w14:textId="77777777" w:rsidR="001C5E0E" w:rsidRPr="00FE454B" w:rsidRDefault="001C5E0E" w:rsidP="001C5E0E">
            <w:pPr>
              <w:jc w:val="right"/>
              <w:rPr>
                <w:color w:val="000000"/>
                <w:sz w:val="16"/>
                <w:szCs w:val="16"/>
                <w:lang w:eastAsia="en-NZ"/>
              </w:rPr>
            </w:pPr>
            <w:r w:rsidRPr="00FE454B">
              <w:rPr>
                <w:color w:val="000000"/>
                <w:sz w:val="16"/>
                <w:szCs w:val="16"/>
                <w:lang w:eastAsia="en-NZ"/>
              </w:rPr>
              <w:t>(8.33, 71.06)</w:t>
            </w:r>
          </w:p>
        </w:tc>
        <w:tc>
          <w:tcPr>
            <w:tcW w:w="850" w:type="dxa"/>
            <w:shd w:val="clear" w:color="auto" w:fill="auto"/>
            <w:vAlign w:val="bottom"/>
          </w:tcPr>
          <w:p w14:paraId="33AF2ED3" w14:textId="77777777" w:rsidR="001C5E0E" w:rsidRPr="00FE454B" w:rsidRDefault="001C5E0E" w:rsidP="001C5E0E">
            <w:pPr>
              <w:jc w:val="right"/>
              <w:rPr>
                <w:color w:val="000000"/>
                <w:sz w:val="16"/>
                <w:szCs w:val="16"/>
                <w:lang w:eastAsia="en-NZ"/>
              </w:rPr>
            </w:pPr>
            <w:r w:rsidRPr="00FE454B">
              <w:rPr>
                <w:color w:val="000000"/>
                <w:sz w:val="16"/>
                <w:szCs w:val="16"/>
                <w:lang w:eastAsia="en-NZ"/>
              </w:rPr>
              <w:t>&lt;</w:t>
            </w:r>
            <w:r>
              <w:rPr>
                <w:color w:val="000000"/>
                <w:sz w:val="16"/>
                <w:szCs w:val="16"/>
                <w:lang w:eastAsia="en-NZ"/>
              </w:rPr>
              <w:t>0</w:t>
            </w:r>
            <w:r w:rsidRPr="00FE454B">
              <w:rPr>
                <w:color w:val="000000"/>
                <w:sz w:val="16"/>
                <w:szCs w:val="16"/>
                <w:lang w:eastAsia="en-NZ"/>
              </w:rPr>
              <w:t>.0001</w:t>
            </w:r>
          </w:p>
        </w:tc>
      </w:tr>
      <w:tr w:rsidR="001C5E0E" w:rsidRPr="001A61F1" w14:paraId="69342AE1" w14:textId="77777777" w:rsidTr="005F3C25">
        <w:tc>
          <w:tcPr>
            <w:tcW w:w="5387" w:type="dxa"/>
            <w:vAlign w:val="bottom"/>
          </w:tcPr>
          <w:p w14:paraId="4E3F78F7" w14:textId="77777777" w:rsidR="001C5E0E" w:rsidRPr="003F15C0" w:rsidRDefault="001C5E0E" w:rsidP="001C5E0E">
            <w:pPr>
              <w:spacing w:before="20"/>
              <w:jc w:val="both"/>
              <w:rPr>
                <w:b/>
                <w:sz w:val="16"/>
                <w:szCs w:val="16"/>
              </w:rPr>
            </w:pPr>
            <w:r w:rsidRPr="003F15C0">
              <w:rPr>
                <w:b/>
                <w:sz w:val="16"/>
                <w:szCs w:val="16"/>
              </w:rPr>
              <w:t>Bets with friends/workmates - monthly</w:t>
            </w:r>
          </w:p>
        </w:tc>
        <w:tc>
          <w:tcPr>
            <w:tcW w:w="992" w:type="dxa"/>
            <w:shd w:val="clear" w:color="auto" w:fill="auto"/>
            <w:vAlign w:val="bottom"/>
          </w:tcPr>
          <w:p w14:paraId="741070EC"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35C8FBBB"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7A6E0148" w14:textId="77777777" w:rsidR="001C5E0E" w:rsidRPr="007B750E" w:rsidRDefault="001C5E0E" w:rsidP="001C5E0E">
            <w:pPr>
              <w:jc w:val="right"/>
              <w:rPr>
                <w:color w:val="000000"/>
                <w:sz w:val="16"/>
                <w:szCs w:val="16"/>
                <w:lang w:eastAsia="en-NZ"/>
              </w:rPr>
            </w:pPr>
          </w:p>
        </w:tc>
      </w:tr>
      <w:tr w:rsidR="001C5E0E" w:rsidRPr="001A61F1" w14:paraId="041BEC85" w14:textId="77777777" w:rsidTr="005F3C25">
        <w:tc>
          <w:tcPr>
            <w:tcW w:w="5387" w:type="dxa"/>
          </w:tcPr>
          <w:p w14:paraId="115DE02B"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596D90B6" w14:textId="77777777" w:rsidR="001C5E0E" w:rsidRPr="00FE454B" w:rsidRDefault="001C5E0E" w:rsidP="001C5E0E">
            <w:pPr>
              <w:jc w:val="right"/>
              <w:rPr>
                <w:color w:val="000000"/>
                <w:sz w:val="16"/>
                <w:szCs w:val="16"/>
                <w:lang w:eastAsia="en-NZ"/>
              </w:rPr>
            </w:pPr>
            <w:r w:rsidRPr="00FE454B">
              <w:rPr>
                <w:color w:val="000000"/>
                <w:sz w:val="16"/>
                <w:szCs w:val="16"/>
                <w:lang w:eastAsia="en-NZ"/>
              </w:rPr>
              <w:t>1.00</w:t>
            </w:r>
          </w:p>
        </w:tc>
        <w:tc>
          <w:tcPr>
            <w:tcW w:w="1276" w:type="dxa"/>
            <w:shd w:val="clear" w:color="auto" w:fill="auto"/>
            <w:vAlign w:val="bottom"/>
          </w:tcPr>
          <w:p w14:paraId="5B556DB5" w14:textId="77777777" w:rsidR="001C5E0E" w:rsidRPr="00FE454B" w:rsidRDefault="001C5E0E" w:rsidP="001C5E0E">
            <w:pPr>
              <w:jc w:val="right"/>
              <w:rPr>
                <w:color w:val="000000"/>
                <w:sz w:val="16"/>
                <w:szCs w:val="16"/>
                <w:lang w:eastAsia="en-NZ"/>
              </w:rPr>
            </w:pPr>
          </w:p>
        </w:tc>
        <w:tc>
          <w:tcPr>
            <w:tcW w:w="850" w:type="dxa"/>
            <w:shd w:val="clear" w:color="auto" w:fill="auto"/>
            <w:vAlign w:val="bottom"/>
          </w:tcPr>
          <w:p w14:paraId="775E9F8D" w14:textId="77777777" w:rsidR="001C5E0E" w:rsidRPr="00FE454B" w:rsidRDefault="001C5E0E" w:rsidP="001C5E0E">
            <w:pPr>
              <w:jc w:val="right"/>
              <w:rPr>
                <w:color w:val="000000"/>
                <w:sz w:val="16"/>
                <w:szCs w:val="16"/>
                <w:lang w:eastAsia="en-NZ"/>
              </w:rPr>
            </w:pPr>
          </w:p>
        </w:tc>
      </w:tr>
      <w:tr w:rsidR="001C5E0E" w:rsidRPr="001A61F1" w14:paraId="27C98B2E" w14:textId="77777777" w:rsidTr="00826105">
        <w:tc>
          <w:tcPr>
            <w:tcW w:w="5387" w:type="dxa"/>
          </w:tcPr>
          <w:p w14:paraId="3E4D6D61"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3B69EB85" w14:textId="77777777" w:rsidR="001C5E0E" w:rsidRPr="00FE454B" w:rsidRDefault="001C5E0E" w:rsidP="001C5E0E">
            <w:pPr>
              <w:jc w:val="right"/>
              <w:rPr>
                <w:color w:val="000000"/>
                <w:sz w:val="16"/>
                <w:szCs w:val="16"/>
                <w:lang w:eastAsia="en-NZ"/>
              </w:rPr>
            </w:pPr>
            <w:r w:rsidRPr="00FE454B">
              <w:rPr>
                <w:color w:val="000000"/>
                <w:sz w:val="16"/>
                <w:szCs w:val="16"/>
                <w:lang w:eastAsia="en-NZ"/>
              </w:rPr>
              <w:t>3.67</w:t>
            </w:r>
          </w:p>
        </w:tc>
        <w:tc>
          <w:tcPr>
            <w:tcW w:w="1276" w:type="dxa"/>
            <w:shd w:val="clear" w:color="auto" w:fill="auto"/>
            <w:vAlign w:val="bottom"/>
          </w:tcPr>
          <w:p w14:paraId="697D1984" w14:textId="77777777" w:rsidR="001C5E0E" w:rsidRPr="00FE454B" w:rsidRDefault="001C5E0E" w:rsidP="001C5E0E">
            <w:pPr>
              <w:jc w:val="right"/>
              <w:rPr>
                <w:color w:val="000000"/>
                <w:sz w:val="16"/>
                <w:szCs w:val="16"/>
                <w:lang w:eastAsia="en-NZ"/>
              </w:rPr>
            </w:pPr>
            <w:r w:rsidRPr="00FE454B">
              <w:rPr>
                <w:color w:val="000000"/>
                <w:sz w:val="16"/>
                <w:szCs w:val="16"/>
                <w:lang w:eastAsia="en-NZ"/>
              </w:rPr>
              <w:t>(1.85, 7.27)</w:t>
            </w:r>
          </w:p>
        </w:tc>
        <w:tc>
          <w:tcPr>
            <w:tcW w:w="850" w:type="dxa"/>
            <w:shd w:val="clear" w:color="auto" w:fill="auto"/>
            <w:vAlign w:val="bottom"/>
          </w:tcPr>
          <w:p w14:paraId="7F48D2BD" w14:textId="77777777" w:rsidR="001C5E0E" w:rsidRPr="00FE454B" w:rsidRDefault="001C5E0E" w:rsidP="001C5E0E">
            <w:pPr>
              <w:jc w:val="right"/>
              <w:rPr>
                <w:color w:val="000000"/>
                <w:sz w:val="16"/>
                <w:szCs w:val="16"/>
                <w:lang w:eastAsia="en-NZ"/>
              </w:rPr>
            </w:pPr>
            <w:r w:rsidRPr="00FE454B">
              <w:rPr>
                <w:color w:val="000000"/>
                <w:sz w:val="16"/>
                <w:szCs w:val="16"/>
                <w:lang w:eastAsia="en-NZ"/>
              </w:rPr>
              <w:t>0.0002</w:t>
            </w:r>
          </w:p>
        </w:tc>
      </w:tr>
      <w:tr w:rsidR="001C5E0E" w:rsidRPr="001A61F1" w14:paraId="225276D6" w14:textId="77777777" w:rsidTr="005F3C25">
        <w:tc>
          <w:tcPr>
            <w:tcW w:w="5387" w:type="dxa"/>
            <w:vAlign w:val="bottom"/>
          </w:tcPr>
          <w:p w14:paraId="79ED3A8D" w14:textId="77777777" w:rsidR="001C5E0E" w:rsidRPr="003F15C0" w:rsidRDefault="001C5E0E" w:rsidP="00826105">
            <w:pPr>
              <w:spacing w:before="20"/>
              <w:jc w:val="both"/>
              <w:rPr>
                <w:b/>
                <w:sz w:val="16"/>
                <w:szCs w:val="16"/>
              </w:rPr>
            </w:pPr>
            <w:r w:rsidRPr="003F15C0">
              <w:rPr>
                <w:b/>
                <w:sz w:val="16"/>
                <w:szCs w:val="16"/>
              </w:rPr>
              <w:t>Raffle/lottery (NZ/overseas) - monthly</w:t>
            </w:r>
          </w:p>
        </w:tc>
        <w:tc>
          <w:tcPr>
            <w:tcW w:w="992" w:type="dxa"/>
            <w:shd w:val="clear" w:color="auto" w:fill="auto"/>
            <w:vAlign w:val="bottom"/>
          </w:tcPr>
          <w:p w14:paraId="1CEC2112" w14:textId="77777777" w:rsidR="001C5E0E" w:rsidRPr="007B750E" w:rsidRDefault="001C5E0E" w:rsidP="00826105">
            <w:pPr>
              <w:jc w:val="right"/>
              <w:rPr>
                <w:color w:val="000000"/>
                <w:sz w:val="16"/>
                <w:szCs w:val="16"/>
                <w:lang w:eastAsia="en-NZ"/>
              </w:rPr>
            </w:pPr>
          </w:p>
        </w:tc>
        <w:tc>
          <w:tcPr>
            <w:tcW w:w="1276" w:type="dxa"/>
            <w:shd w:val="clear" w:color="auto" w:fill="auto"/>
            <w:vAlign w:val="bottom"/>
          </w:tcPr>
          <w:p w14:paraId="29BD6E1B" w14:textId="77777777" w:rsidR="001C5E0E" w:rsidRPr="007B750E" w:rsidRDefault="001C5E0E" w:rsidP="00826105">
            <w:pPr>
              <w:jc w:val="right"/>
              <w:rPr>
                <w:color w:val="000000"/>
                <w:sz w:val="16"/>
                <w:szCs w:val="16"/>
                <w:lang w:eastAsia="en-NZ"/>
              </w:rPr>
            </w:pPr>
          </w:p>
        </w:tc>
        <w:tc>
          <w:tcPr>
            <w:tcW w:w="850" w:type="dxa"/>
            <w:shd w:val="clear" w:color="auto" w:fill="auto"/>
            <w:vAlign w:val="bottom"/>
          </w:tcPr>
          <w:p w14:paraId="6335CEFC" w14:textId="77777777" w:rsidR="001C5E0E" w:rsidRPr="007B750E" w:rsidRDefault="001C5E0E" w:rsidP="00826105">
            <w:pPr>
              <w:jc w:val="right"/>
              <w:rPr>
                <w:color w:val="000000"/>
                <w:sz w:val="16"/>
                <w:szCs w:val="16"/>
                <w:lang w:eastAsia="en-NZ"/>
              </w:rPr>
            </w:pPr>
          </w:p>
        </w:tc>
      </w:tr>
      <w:tr w:rsidR="001C5E0E" w:rsidRPr="001A61F1" w14:paraId="431D4118" w14:textId="77777777" w:rsidTr="005F3C25">
        <w:tc>
          <w:tcPr>
            <w:tcW w:w="5387" w:type="dxa"/>
          </w:tcPr>
          <w:p w14:paraId="50A5A8B0" w14:textId="77777777" w:rsidR="001C5E0E" w:rsidRPr="003F15C0" w:rsidRDefault="001C5E0E" w:rsidP="00826105">
            <w:pPr>
              <w:spacing w:before="20"/>
              <w:ind w:left="176"/>
              <w:jc w:val="both"/>
              <w:rPr>
                <w:sz w:val="16"/>
                <w:szCs w:val="16"/>
              </w:rPr>
            </w:pPr>
            <w:r w:rsidRPr="003F15C0">
              <w:rPr>
                <w:sz w:val="16"/>
                <w:szCs w:val="16"/>
              </w:rPr>
              <w:t>No</w:t>
            </w:r>
          </w:p>
        </w:tc>
        <w:tc>
          <w:tcPr>
            <w:tcW w:w="992" w:type="dxa"/>
            <w:shd w:val="clear" w:color="auto" w:fill="auto"/>
            <w:vAlign w:val="bottom"/>
          </w:tcPr>
          <w:p w14:paraId="7E454392" w14:textId="77777777" w:rsidR="001C5E0E" w:rsidRPr="00FE454B" w:rsidRDefault="001C5E0E" w:rsidP="00826105">
            <w:pPr>
              <w:jc w:val="right"/>
              <w:rPr>
                <w:color w:val="000000"/>
                <w:sz w:val="16"/>
                <w:szCs w:val="16"/>
                <w:lang w:eastAsia="en-NZ"/>
              </w:rPr>
            </w:pPr>
            <w:r w:rsidRPr="00FE454B">
              <w:rPr>
                <w:color w:val="000000"/>
                <w:sz w:val="16"/>
                <w:szCs w:val="16"/>
                <w:lang w:eastAsia="en-NZ"/>
              </w:rPr>
              <w:t>1.00</w:t>
            </w:r>
          </w:p>
        </w:tc>
        <w:tc>
          <w:tcPr>
            <w:tcW w:w="1276" w:type="dxa"/>
            <w:shd w:val="clear" w:color="auto" w:fill="auto"/>
            <w:vAlign w:val="bottom"/>
          </w:tcPr>
          <w:p w14:paraId="423E3DDC" w14:textId="77777777" w:rsidR="001C5E0E" w:rsidRPr="00FE454B" w:rsidRDefault="001C5E0E" w:rsidP="00826105">
            <w:pPr>
              <w:jc w:val="right"/>
              <w:rPr>
                <w:color w:val="000000"/>
                <w:sz w:val="16"/>
                <w:szCs w:val="16"/>
                <w:lang w:eastAsia="en-NZ"/>
              </w:rPr>
            </w:pPr>
          </w:p>
        </w:tc>
        <w:tc>
          <w:tcPr>
            <w:tcW w:w="850" w:type="dxa"/>
            <w:shd w:val="clear" w:color="auto" w:fill="auto"/>
            <w:vAlign w:val="bottom"/>
          </w:tcPr>
          <w:p w14:paraId="68D80AA5" w14:textId="77777777" w:rsidR="001C5E0E" w:rsidRPr="00FE454B" w:rsidRDefault="001C5E0E" w:rsidP="00826105">
            <w:pPr>
              <w:jc w:val="right"/>
              <w:rPr>
                <w:color w:val="000000"/>
                <w:sz w:val="16"/>
                <w:szCs w:val="16"/>
                <w:lang w:eastAsia="en-NZ"/>
              </w:rPr>
            </w:pPr>
          </w:p>
        </w:tc>
      </w:tr>
      <w:tr w:rsidR="001C5E0E" w:rsidRPr="001A61F1" w14:paraId="7D271608" w14:textId="77777777" w:rsidTr="00826105">
        <w:tc>
          <w:tcPr>
            <w:tcW w:w="5387" w:type="dxa"/>
          </w:tcPr>
          <w:p w14:paraId="545717CD" w14:textId="77777777" w:rsidR="001C5E0E" w:rsidRPr="003F15C0" w:rsidRDefault="001C5E0E" w:rsidP="00826105">
            <w:pPr>
              <w:spacing w:before="20"/>
              <w:ind w:left="176"/>
              <w:jc w:val="both"/>
              <w:rPr>
                <w:sz w:val="16"/>
                <w:szCs w:val="16"/>
              </w:rPr>
            </w:pPr>
            <w:r w:rsidRPr="003F15C0">
              <w:rPr>
                <w:sz w:val="16"/>
                <w:szCs w:val="16"/>
              </w:rPr>
              <w:t>Yes</w:t>
            </w:r>
          </w:p>
        </w:tc>
        <w:tc>
          <w:tcPr>
            <w:tcW w:w="992" w:type="dxa"/>
            <w:shd w:val="clear" w:color="auto" w:fill="auto"/>
            <w:vAlign w:val="bottom"/>
          </w:tcPr>
          <w:p w14:paraId="2C38E466" w14:textId="77777777" w:rsidR="001C5E0E" w:rsidRPr="00FE454B" w:rsidRDefault="001C5E0E" w:rsidP="00826105">
            <w:pPr>
              <w:jc w:val="right"/>
              <w:rPr>
                <w:color w:val="000000"/>
                <w:sz w:val="16"/>
                <w:szCs w:val="16"/>
                <w:lang w:eastAsia="en-NZ"/>
              </w:rPr>
            </w:pPr>
            <w:r w:rsidRPr="00FE454B">
              <w:rPr>
                <w:color w:val="000000"/>
                <w:sz w:val="16"/>
                <w:szCs w:val="16"/>
                <w:lang w:eastAsia="en-NZ"/>
              </w:rPr>
              <w:t>1.47</w:t>
            </w:r>
          </w:p>
        </w:tc>
        <w:tc>
          <w:tcPr>
            <w:tcW w:w="1276" w:type="dxa"/>
            <w:shd w:val="clear" w:color="auto" w:fill="auto"/>
            <w:vAlign w:val="bottom"/>
          </w:tcPr>
          <w:p w14:paraId="1D9ED720" w14:textId="77777777" w:rsidR="001C5E0E" w:rsidRPr="00FE454B" w:rsidRDefault="001C5E0E" w:rsidP="00826105">
            <w:pPr>
              <w:jc w:val="right"/>
              <w:rPr>
                <w:color w:val="000000"/>
                <w:sz w:val="16"/>
                <w:szCs w:val="16"/>
                <w:lang w:eastAsia="en-NZ"/>
              </w:rPr>
            </w:pPr>
            <w:r w:rsidRPr="00FE454B">
              <w:rPr>
                <w:color w:val="000000"/>
                <w:sz w:val="16"/>
                <w:szCs w:val="16"/>
                <w:lang w:eastAsia="en-NZ"/>
              </w:rPr>
              <w:t>(1.04, 2.06)</w:t>
            </w:r>
          </w:p>
        </w:tc>
        <w:tc>
          <w:tcPr>
            <w:tcW w:w="850" w:type="dxa"/>
            <w:shd w:val="clear" w:color="auto" w:fill="auto"/>
            <w:vAlign w:val="bottom"/>
          </w:tcPr>
          <w:p w14:paraId="71AFB7B2" w14:textId="77777777" w:rsidR="001C5E0E" w:rsidRPr="00FE454B" w:rsidRDefault="001C5E0E" w:rsidP="00826105">
            <w:pPr>
              <w:jc w:val="right"/>
              <w:rPr>
                <w:color w:val="000000"/>
                <w:sz w:val="16"/>
                <w:szCs w:val="16"/>
                <w:lang w:eastAsia="en-NZ"/>
              </w:rPr>
            </w:pPr>
            <w:r w:rsidRPr="00FE454B">
              <w:rPr>
                <w:color w:val="000000"/>
                <w:sz w:val="16"/>
                <w:szCs w:val="16"/>
                <w:lang w:eastAsia="en-NZ"/>
              </w:rPr>
              <w:t>0.03</w:t>
            </w:r>
          </w:p>
        </w:tc>
      </w:tr>
      <w:tr w:rsidR="001C5E0E" w:rsidRPr="001A61F1" w14:paraId="2DA1D95F" w14:textId="77777777" w:rsidTr="005F3C25">
        <w:tc>
          <w:tcPr>
            <w:tcW w:w="5387" w:type="dxa"/>
            <w:vAlign w:val="bottom"/>
          </w:tcPr>
          <w:p w14:paraId="5F85202C" w14:textId="77777777" w:rsidR="001C5E0E" w:rsidRPr="003F15C0" w:rsidRDefault="001C5E0E" w:rsidP="001C5E0E">
            <w:pPr>
              <w:spacing w:before="20"/>
              <w:jc w:val="both"/>
              <w:rPr>
                <w:b/>
                <w:sz w:val="16"/>
                <w:szCs w:val="16"/>
              </w:rPr>
            </w:pPr>
            <w:r w:rsidRPr="003F15C0">
              <w:rPr>
                <w:b/>
                <w:sz w:val="16"/>
                <w:szCs w:val="16"/>
              </w:rPr>
              <w:t>Lotto - monthly</w:t>
            </w:r>
          </w:p>
        </w:tc>
        <w:tc>
          <w:tcPr>
            <w:tcW w:w="992" w:type="dxa"/>
            <w:shd w:val="clear" w:color="auto" w:fill="auto"/>
            <w:vAlign w:val="bottom"/>
          </w:tcPr>
          <w:p w14:paraId="11302E26"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00672C71"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1120AD37" w14:textId="77777777" w:rsidR="001C5E0E" w:rsidRPr="007B750E" w:rsidRDefault="001C5E0E" w:rsidP="001C5E0E">
            <w:pPr>
              <w:jc w:val="right"/>
              <w:rPr>
                <w:color w:val="000000"/>
                <w:sz w:val="16"/>
                <w:szCs w:val="16"/>
                <w:lang w:eastAsia="en-NZ"/>
              </w:rPr>
            </w:pPr>
          </w:p>
        </w:tc>
      </w:tr>
      <w:tr w:rsidR="001C5E0E" w:rsidRPr="001A61F1" w14:paraId="5CA2B6C2" w14:textId="77777777" w:rsidTr="005F3C25">
        <w:tc>
          <w:tcPr>
            <w:tcW w:w="5387" w:type="dxa"/>
          </w:tcPr>
          <w:p w14:paraId="351CD0CF"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2D836333" w14:textId="77777777" w:rsidR="001C5E0E" w:rsidRPr="00FE454B" w:rsidRDefault="001C5E0E" w:rsidP="001C5E0E">
            <w:pPr>
              <w:jc w:val="right"/>
              <w:rPr>
                <w:color w:val="000000"/>
                <w:sz w:val="16"/>
                <w:szCs w:val="16"/>
                <w:lang w:eastAsia="en-NZ"/>
              </w:rPr>
            </w:pPr>
            <w:r w:rsidRPr="00FE454B">
              <w:rPr>
                <w:color w:val="000000"/>
                <w:sz w:val="16"/>
                <w:szCs w:val="16"/>
                <w:lang w:eastAsia="en-NZ"/>
              </w:rPr>
              <w:t>1.00</w:t>
            </w:r>
          </w:p>
        </w:tc>
        <w:tc>
          <w:tcPr>
            <w:tcW w:w="1276" w:type="dxa"/>
            <w:shd w:val="clear" w:color="auto" w:fill="auto"/>
            <w:vAlign w:val="bottom"/>
          </w:tcPr>
          <w:p w14:paraId="248178BD" w14:textId="77777777" w:rsidR="001C5E0E" w:rsidRPr="00FE454B" w:rsidRDefault="001C5E0E" w:rsidP="001C5E0E">
            <w:pPr>
              <w:jc w:val="right"/>
              <w:rPr>
                <w:color w:val="000000"/>
                <w:sz w:val="16"/>
                <w:szCs w:val="16"/>
                <w:lang w:eastAsia="en-NZ"/>
              </w:rPr>
            </w:pPr>
          </w:p>
        </w:tc>
        <w:tc>
          <w:tcPr>
            <w:tcW w:w="850" w:type="dxa"/>
            <w:shd w:val="clear" w:color="auto" w:fill="auto"/>
            <w:vAlign w:val="bottom"/>
          </w:tcPr>
          <w:p w14:paraId="1601C301" w14:textId="77777777" w:rsidR="001C5E0E" w:rsidRPr="00FE454B" w:rsidRDefault="001C5E0E" w:rsidP="001C5E0E">
            <w:pPr>
              <w:jc w:val="right"/>
              <w:rPr>
                <w:color w:val="000000"/>
                <w:sz w:val="16"/>
                <w:szCs w:val="16"/>
                <w:lang w:eastAsia="en-NZ"/>
              </w:rPr>
            </w:pPr>
          </w:p>
        </w:tc>
      </w:tr>
      <w:tr w:rsidR="001C5E0E" w:rsidRPr="001A61F1" w14:paraId="3A8835A8" w14:textId="77777777" w:rsidTr="00826105">
        <w:tc>
          <w:tcPr>
            <w:tcW w:w="5387" w:type="dxa"/>
          </w:tcPr>
          <w:p w14:paraId="694A0F8F"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5943CE0B" w14:textId="77777777" w:rsidR="001C5E0E" w:rsidRPr="00FE454B" w:rsidRDefault="001C5E0E" w:rsidP="001C5E0E">
            <w:pPr>
              <w:jc w:val="right"/>
              <w:rPr>
                <w:color w:val="000000"/>
                <w:sz w:val="16"/>
                <w:szCs w:val="16"/>
                <w:lang w:eastAsia="en-NZ"/>
              </w:rPr>
            </w:pPr>
            <w:r w:rsidRPr="00FE454B">
              <w:rPr>
                <w:color w:val="000000"/>
                <w:sz w:val="16"/>
                <w:szCs w:val="16"/>
                <w:lang w:eastAsia="en-NZ"/>
              </w:rPr>
              <w:t>2.01</w:t>
            </w:r>
          </w:p>
        </w:tc>
        <w:tc>
          <w:tcPr>
            <w:tcW w:w="1276" w:type="dxa"/>
            <w:shd w:val="clear" w:color="auto" w:fill="auto"/>
            <w:vAlign w:val="bottom"/>
          </w:tcPr>
          <w:p w14:paraId="194467D2" w14:textId="77777777" w:rsidR="001C5E0E" w:rsidRPr="00FE454B" w:rsidRDefault="001C5E0E" w:rsidP="001C5E0E">
            <w:pPr>
              <w:jc w:val="right"/>
              <w:rPr>
                <w:color w:val="000000"/>
                <w:sz w:val="16"/>
                <w:szCs w:val="16"/>
                <w:lang w:eastAsia="en-NZ"/>
              </w:rPr>
            </w:pPr>
            <w:r w:rsidRPr="00FE454B">
              <w:rPr>
                <w:color w:val="000000"/>
                <w:sz w:val="16"/>
                <w:szCs w:val="16"/>
                <w:lang w:eastAsia="en-NZ"/>
              </w:rPr>
              <w:t>(1.50, 2.69)</w:t>
            </w:r>
          </w:p>
        </w:tc>
        <w:tc>
          <w:tcPr>
            <w:tcW w:w="850" w:type="dxa"/>
            <w:shd w:val="clear" w:color="auto" w:fill="auto"/>
            <w:vAlign w:val="bottom"/>
          </w:tcPr>
          <w:p w14:paraId="704FA560" w14:textId="77777777" w:rsidR="001C5E0E" w:rsidRPr="00FE454B" w:rsidRDefault="001C5E0E" w:rsidP="001C5E0E">
            <w:pPr>
              <w:jc w:val="right"/>
              <w:rPr>
                <w:color w:val="000000"/>
                <w:sz w:val="16"/>
                <w:szCs w:val="16"/>
                <w:lang w:eastAsia="en-NZ"/>
              </w:rPr>
            </w:pPr>
            <w:r w:rsidRPr="00FE454B">
              <w:rPr>
                <w:color w:val="000000"/>
                <w:sz w:val="16"/>
                <w:szCs w:val="16"/>
                <w:lang w:eastAsia="en-NZ"/>
              </w:rPr>
              <w:t>&lt;</w:t>
            </w:r>
            <w:r>
              <w:rPr>
                <w:color w:val="000000"/>
                <w:sz w:val="16"/>
                <w:szCs w:val="16"/>
                <w:lang w:eastAsia="en-NZ"/>
              </w:rPr>
              <w:t>0</w:t>
            </w:r>
            <w:r w:rsidRPr="00FE454B">
              <w:rPr>
                <w:color w:val="000000"/>
                <w:sz w:val="16"/>
                <w:szCs w:val="16"/>
                <w:lang w:eastAsia="en-NZ"/>
              </w:rPr>
              <w:t>.0001</w:t>
            </w:r>
          </w:p>
        </w:tc>
      </w:tr>
      <w:tr w:rsidR="001C5E0E" w:rsidRPr="001A61F1" w14:paraId="195B3707" w14:textId="77777777" w:rsidTr="005F3C25">
        <w:tc>
          <w:tcPr>
            <w:tcW w:w="5387" w:type="dxa"/>
            <w:vAlign w:val="bottom"/>
          </w:tcPr>
          <w:p w14:paraId="167F4986" w14:textId="77777777" w:rsidR="001C5E0E" w:rsidRPr="003F15C0" w:rsidRDefault="001C5E0E" w:rsidP="001C5E0E">
            <w:pPr>
              <w:spacing w:before="20"/>
              <w:jc w:val="both"/>
              <w:rPr>
                <w:b/>
                <w:sz w:val="16"/>
                <w:szCs w:val="16"/>
              </w:rPr>
            </w:pPr>
            <w:r w:rsidRPr="003F15C0">
              <w:rPr>
                <w:b/>
                <w:sz w:val="16"/>
                <w:szCs w:val="16"/>
              </w:rPr>
              <w:t>Keno - monthly</w:t>
            </w:r>
          </w:p>
        </w:tc>
        <w:tc>
          <w:tcPr>
            <w:tcW w:w="992" w:type="dxa"/>
            <w:shd w:val="clear" w:color="auto" w:fill="auto"/>
            <w:vAlign w:val="bottom"/>
          </w:tcPr>
          <w:p w14:paraId="2C3444D7"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6C41B78E"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302BBF6B" w14:textId="77777777" w:rsidR="001C5E0E" w:rsidRPr="007B750E" w:rsidRDefault="001C5E0E" w:rsidP="001C5E0E">
            <w:pPr>
              <w:jc w:val="right"/>
              <w:rPr>
                <w:color w:val="000000"/>
                <w:sz w:val="16"/>
                <w:szCs w:val="16"/>
                <w:lang w:eastAsia="en-NZ"/>
              </w:rPr>
            </w:pPr>
          </w:p>
        </w:tc>
      </w:tr>
      <w:tr w:rsidR="001C5E0E" w:rsidRPr="001A61F1" w14:paraId="0775ECD7" w14:textId="77777777" w:rsidTr="005F3C25">
        <w:tc>
          <w:tcPr>
            <w:tcW w:w="5387" w:type="dxa"/>
          </w:tcPr>
          <w:p w14:paraId="5B5AC223"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43D69434" w14:textId="77777777" w:rsidR="001C5E0E" w:rsidRPr="00FE454B" w:rsidRDefault="001C5E0E" w:rsidP="001C5E0E">
            <w:pPr>
              <w:jc w:val="right"/>
              <w:rPr>
                <w:color w:val="000000"/>
                <w:sz w:val="16"/>
                <w:szCs w:val="16"/>
                <w:lang w:eastAsia="en-NZ"/>
              </w:rPr>
            </w:pPr>
            <w:r w:rsidRPr="00FE454B">
              <w:rPr>
                <w:color w:val="000000"/>
                <w:sz w:val="16"/>
                <w:szCs w:val="16"/>
                <w:lang w:eastAsia="en-NZ"/>
              </w:rPr>
              <w:t>1.00</w:t>
            </w:r>
          </w:p>
        </w:tc>
        <w:tc>
          <w:tcPr>
            <w:tcW w:w="1276" w:type="dxa"/>
            <w:shd w:val="clear" w:color="auto" w:fill="auto"/>
            <w:vAlign w:val="bottom"/>
          </w:tcPr>
          <w:p w14:paraId="1A00606A" w14:textId="77777777" w:rsidR="001C5E0E" w:rsidRPr="00FE454B" w:rsidRDefault="001C5E0E" w:rsidP="001C5E0E">
            <w:pPr>
              <w:jc w:val="right"/>
              <w:rPr>
                <w:color w:val="000000"/>
                <w:sz w:val="16"/>
                <w:szCs w:val="16"/>
                <w:lang w:eastAsia="en-NZ"/>
              </w:rPr>
            </w:pPr>
          </w:p>
        </w:tc>
        <w:tc>
          <w:tcPr>
            <w:tcW w:w="850" w:type="dxa"/>
            <w:shd w:val="clear" w:color="auto" w:fill="auto"/>
            <w:vAlign w:val="bottom"/>
          </w:tcPr>
          <w:p w14:paraId="1B7F8DF7" w14:textId="77777777" w:rsidR="001C5E0E" w:rsidRPr="00FE454B" w:rsidRDefault="001C5E0E" w:rsidP="001C5E0E">
            <w:pPr>
              <w:jc w:val="right"/>
              <w:rPr>
                <w:color w:val="000000"/>
                <w:sz w:val="16"/>
                <w:szCs w:val="16"/>
                <w:lang w:eastAsia="en-NZ"/>
              </w:rPr>
            </w:pPr>
          </w:p>
        </w:tc>
      </w:tr>
      <w:tr w:rsidR="001C5E0E" w:rsidRPr="001A61F1" w14:paraId="60FE7F48" w14:textId="77777777" w:rsidTr="00826105">
        <w:tc>
          <w:tcPr>
            <w:tcW w:w="5387" w:type="dxa"/>
          </w:tcPr>
          <w:p w14:paraId="520B98BF"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21EFAA69" w14:textId="77777777" w:rsidR="001C5E0E" w:rsidRPr="00FE454B" w:rsidRDefault="001C5E0E" w:rsidP="001C5E0E">
            <w:pPr>
              <w:jc w:val="right"/>
              <w:rPr>
                <w:color w:val="000000"/>
                <w:sz w:val="16"/>
                <w:szCs w:val="16"/>
                <w:lang w:eastAsia="en-NZ"/>
              </w:rPr>
            </w:pPr>
            <w:r w:rsidRPr="00FE454B">
              <w:rPr>
                <w:color w:val="000000"/>
                <w:sz w:val="16"/>
                <w:szCs w:val="16"/>
                <w:lang w:eastAsia="en-NZ"/>
              </w:rPr>
              <w:t>3.69</w:t>
            </w:r>
          </w:p>
        </w:tc>
        <w:tc>
          <w:tcPr>
            <w:tcW w:w="1276" w:type="dxa"/>
            <w:shd w:val="clear" w:color="auto" w:fill="auto"/>
            <w:vAlign w:val="bottom"/>
          </w:tcPr>
          <w:p w14:paraId="02693B84" w14:textId="77777777" w:rsidR="001C5E0E" w:rsidRPr="00FE454B" w:rsidRDefault="001C5E0E" w:rsidP="001C5E0E">
            <w:pPr>
              <w:jc w:val="right"/>
              <w:rPr>
                <w:color w:val="000000"/>
                <w:sz w:val="16"/>
                <w:szCs w:val="16"/>
                <w:lang w:eastAsia="en-NZ"/>
              </w:rPr>
            </w:pPr>
            <w:r w:rsidRPr="00FE454B">
              <w:rPr>
                <w:color w:val="000000"/>
                <w:sz w:val="16"/>
                <w:szCs w:val="16"/>
                <w:lang w:eastAsia="en-NZ"/>
              </w:rPr>
              <w:t>(1.49, 9.15)</w:t>
            </w:r>
          </w:p>
        </w:tc>
        <w:tc>
          <w:tcPr>
            <w:tcW w:w="850" w:type="dxa"/>
            <w:shd w:val="clear" w:color="auto" w:fill="auto"/>
            <w:vAlign w:val="bottom"/>
          </w:tcPr>
          <w:p w14:paraId="1A1CE15D" w14:textId="77777777" w:rsidR="001C5E0E" w:rsidRPr="00FE454B" w:rsidRDefault="001C5E0E" w:rsidP="001C5E0E">
            <w:pPr>
              <w:jc w:val="right"/>
              <w:rPr>
                <w:color w:val="000000"/>
                <w:sz w:val="16"/>
                <w:szCs w:val="16"/>
                <w:lang w:eastAsia="en-NZ"/>
              </w:rPr>
            </w:pPr>
            <w:r w:rsidRPr="00FE454B">
              <w:rPr>
                <w:color w:val="000000"/>
                <w:sz w:val="16"/>
                <w:szCs w:val="16"/>
                <w:lang w:eastAsia="en-NZ"/>
              </w:rPr>
              <w:t>0.005</w:t>
            </w:r>
          </w:p>
        </w:tc>
      </w:tr>
      <w:tr w:rsidR="001C5E0E" w:rsidRPr="001A61F1" w14:paraId="7058C094" w14:textId="77777777" w:rsidTr="005F3C25">
        <w:tc>
          <w:tcPr>
            <w:tcW w:w="5387" w:type="dxa"/>
            <w:vAlign w:val="center"/>
          </w:tcPr>
          <w:p w14:paraId="1E65DD7A" w14:textId="77777777" w:rsidR="001C5E0E" w:rsidRPr="003F15C0" w:rsidRDefault="001C5E0E" w:rsidP="001C5E0E">
            <w:pPr>
              <w:spacing w:before="20"/>
              <w:rPr>
                <w:b/>
                <w:bCs/>
                <w:color w:val="000000"/>
                <w:sz w:val="16"/>
                <w:szCs w:val="16"/>
              </w:rPr>
            </w:pPr>
            <w:r w:rsidRPr="003F15C0">
              <w:rPr>
                <w:b/>
                <w:sz w:val="16"/>
                <w:szCs w:val="16"/>
              </w:rPr>
              <w:t>Instant Kiwi/other scratch tickets - monthly</w:t>
            </w:r>
          </w:p>
        </w:tc>
        <w:tc>
          <w:tcPr>
            <w:tcW w:w="992" w:type="dxa"/>
            <w:shd w:val="clear" w:color="auto" w:fill="auto"/>
            <w:vAlign w:val="bottom"/>
          </w:tcPr>
          <w:p w14:paraId="44EE4F83"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056D254B"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473C5369" w14:textId="77777777" w:rsidR="001C5E0E" w:rsidRPr="007B750E" w:rsidRDefault="001C5E0E" w:rsidP="001C5E0E">
            <w:pPr>
              <w:jc w:val="right"/>
              <w:rPr>
                <w:color w:val="000000"/>
                <w:sz w:val="16"/>
                <w:szCs w:val="16"/>
                <w:lang w:eastAsia="en-NZ"/>
              </w:rPr>
            </w:pPr>
          </w:p>
        </w:tc>
      </w:tr>
      <w:tr w:rsidR="001C5E0E" w:rsidRPr="001A61F1" w14:paraId="13592638" w14:textId="77777777" w:rsidTr="005F3C25">
        <w:tc>
          <w:tcPr>
            <w:tcW w:w="5387" w:type="dxa"/>
          </w:tcPr>
          <w:p w14:paraId="17E0DB04"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283ED5A3" w14:textId="77777777" w:rsidR="001C5E0E" w:rsidRPr="00FE454B" w:rsidRDefault="001C5E0E" w:rsidP="001C5E0E">
            <w:pPr>
              <w:jc w:val="right"/>
              <w:rPr>
                <w:color w:val="000000"/>
                <w:sz w:val="16"/>
                <w:szCs w:val="16"/>
                <w:lang w:eastAsia="en-NZ"/>
              </w:rPr>
            </w:pPr>
            <w:r w:rsidRPr="00FE454B">
              <w:rPr>
                <w:color w:val="000000"/>
                <w:sz w:val="16"/>
                <w:szCs w:val="16"/>
                <w:lang w:eastAsia="en-NZ"/>
              </w:rPr>
              <w:t>1.00</w:t>
            </w:r>
          </w:p>
        </w:tc>
        <w:tc>
          <w:tcPr>
            <w:tcW w:w="1276" w:type="dxa"/>
            <w:shd w:val="clear" w:color="auto" w:fill="auto"/>
            <w:vAlign w:val="bottom"/>
          </w:tcPr>
          <w:p w14:paraId="0D969600" w14:textId="77777777" w:rsidR="001C5E0E" w:rsidRPr="00FE454B" w:rsidRDefault="001C5E0E" w:rsidP="001C5E0E">
            <w:pPr>
              <w:jc w:val="right"/>
              <w:rPr>
                <w:color w:val="000000"/>
                <w:sz w:val="16"/>
                <w:szCs w:val="16"/>
                <w:lang w:eastAsia="en-NZ"/>
              </w:rPr>
            </w:pPr>
          </w:p>
        </w:tc>
        <w:tc>
          <w:tcPr>
            <w:tcW w:w="850" w:type="dxa"/>
            <w:shd w:val="clear" w:color="auto" w:fill="auto"/>
            <w:vAlign w:val="bottom"/>
          </w:tcPr>
          <w:p w14:paraId="650531EC" w14:textId="77777777" w:rsidR="001C5E0E" w:rsidRPr="00FE454B" w:rsidRDefault="001C5E0E" w:rsidP="001C5E0E">
            <w:pPr>
              <w:jc w:val="right"/>
              <w:rPr>
                <w:color w:val="000000"/>
                <w:sz w:val="16"/>
                <w:szCs w:val="16"/>
                <w:lang w:eastAsia="en-NZ"/>
              </w:rPr>
            </w:pPr>
          </w:p>
        </w:tc>
      </w:tr>
      <w:tr w:rsidR="001C5E0E" w:rsidRPr="001A61F1" w14:paraId="10695DF6" w14:textId="77777777" w:rsidTr="00826105">
        <w:tc>
          <w:tcPr>
            <w:tcW w:w="5387" w:type="dxa"/>
          </w:tcPr>
          <w:p w14:paraId="5E1BF301"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71466432" w14:textId="77777777" w:rsidR="001C5E0E" w:rsidRPr="00FE454B" w:rsidRDefault="001C5E0E" w:rsidP="001C5E0E">
            <w:pPr>
              <w:jc w:val="right"/>
              <w:rPr>
                <w:color w:val="000000"/>
                <w:sz w:val="16"/>
                <w:szCs w:val="16"/>
                <w:lang w:eastAsia="en-NZ"/>
              </w:rPr>
            </w:pPr>
            <w:r w:rsidRPr="00FE454B">
              <w:rPr>
                <w:color w:val="000000"/>
                <w:sz w:val="16"/>
                <w:szCs w:val="16"/>
                <w:lang w:eastAsia="en-NZ"/>
              </w:rPr>
              <w:t>3.35</w:t>
            </w:r>
          </w:p>
        </w:tc>
        <w:tc>
          <w:tcPr>
            <w:tcW w:w="1276" w:type="dxa"/>
            <w:shd w:val="clear" w:color="auto" w:fill="auto"/>
            <w:vAlign w:val="bottom"/>
          </w:tcPr>
          <w:p w14:paraId="347ED584" w14:textId="77777777" w:rsidR="001C5E0E" w:rsidRPr="00FE454B" w:rsidRDefault="001C5E0E" w:rsidP="001C5E0E">
            <w:pPr>
              <w:jc w:val="right"/>
              <w:rPr>
                <w:color w:val="000000"/>
                <w:sz w:val="16"/>
                <w:szCs w:val="16"/>
                <w:lang w:eastAsia="en-NZ"/>
              </w:rPr>
            </w:pPr>
            <w:r w:rsidRPr="00FE454B">
              <w:rPr>
                <w:color w:val="000000"/>
                <w:sz w:val="16"/>
                <w:szCs w:val="16"/>
                <w:lang w:eastAsia="en-NZ"/>
              </w:rPr>
              <w:t>(2.40, 4.69)</w:t>
            </w:r>
          </w:p>
        </w:tc>
        <w:tc>
          <w:tcPr>
            <w:tcW w:w="850" w:type="dxa"/>
            <w:shd w:val="clear" w:color="auto" w:fill="auto"/>
            <w:vAlign w:val="bottom"/>
          </w:tcPr>
          <w:p w14:paraId="00D1EC78" w14:textId="77777777" w:rsidR="001C5E0E" w:rsidRPr="00FE454B" w:rsidRDefault="001C5E0E" w:rsidP="001C5E0E">
            <w:pPr>
              <w:jc w:val="right"/>
              <w:rPr>
                <w:color w:val="000000"/>
                <w:sz w:val="16"/>
                <w:szCs w:val="16"/>
                <w:lang w:eastAsia="en-NZ"/>
              </w:rPr>
            </w:pPr>
            <w:r w:rsidRPr="00FE454B">
              <w:rPr>
                <w:color w:val="000000"/>
                <w:sz w:val="16"/>
                <w:szCs w:val="16"/>
                <w:lang w:eastAsia="en-NZ"/>
              </w:rPr>
              <w:t>&lt;</w:t>
            </w:r>
            <w:r>
              <w:rPr>
                <w:color w:val="000000"/>
                <w:sz w:val="16"/>
                <w:szCs w:val="16"/>
                <w:lang w:eastAsia="en-NZ"/>
              </w:rPr>
              <w:t>0</w:t>
            </w:r>
            <w:r w:rsidRPr="00FE454B">
              <w:rPr>
                <w:color w:val="000000"/>
                <w:sz w:val="16"/>
                <w:szCs w:val="16"/>
                <w:lang w:eastAsia="en-NZ"/>
              </w:rPr>
              <w:t>.0001</w:t>
            </w:r>
          </w:p>
        </w:tc>
      </w:tr>
      <w:tr w:rsidR="001C5E0E" w:rsidRPr="001A61F1" w14:paraId="0E2D171B" w14:textId="77777777" w:rsidTr="005F3C25">
        <w:tc>
          <w:tcPr>
            <w:tcW w:w="5387" w:type="dxa"/>
            <w:vAlign w:val="bottom"/>
          </w:tcPr>
          <w:p w14:paraId="354659D8" w14:textId="77777777" w:rsidR="001C5E0E" w:rsidRPr="003F15C0" w:rsidRDefault="001C5E0E" w:rsidP="00826105">
            <w:pPr>
              <w:spacing w:before="20"/>
              <w:jc w:val="both"/>
              <w:rPr>
                <w:b/>
                <w:sz w:val="16"/>
                <w:szCs w:val="16"/>
              </w:rPr>
            </w:pPr>
            <w:r w:rsidRPr="003F15C0">
              <w:rPr>
                <w:b/>
                <w:sz w:val="16"/>
                <w:szCs w:val="16"/>
              </w:rPr>
              <w:t>Housie or bingo - monthly</w:t>
            </w:r>
          </w:p>
        </w:tc>
        <w:tc>
          <w:tcPr>
            <w:tcW w:w="992" w:type="dxa"/>
            <w:shd w:val="clear" w:color="auto" w:fill="auto"/>
            <w:vAlign w:val="bottom"/>
          </w:tcPr>
          <w:p w14:paraId="66F190A4" w14:textId="77777777" w:rsidR="001C5E0E" w:rsidRPr="007B750E" w:rsidRDefault="001C5E0E" w:rsidP="00826105">
            <w:pPr>
              <w:jc w:val="right"/>
              <w:rPr>
                <w:color w:val="000000"/>
                <w:sz w:val="16"/>
                <w:szCs w:val="16"/>
                <w:lang w:eastAsia="en-NZ"/>
              </w:rPr>
            </w:pPr>
          </w:p>
        </w:tc>
        <w:tc>
          <w:tcPr>
            <w:tcW w:w="1276" w:type="dxa"/>
            <w:shd w:val="clear" w:color="auto" w:fill="auto"/>
            <w:vAlign w:val="bottom"/>
          </w:tcPr>
          <w:p w14:paraId="5C46CB9D" w14:textId="77777777" w:rsidR="001C5E0E" w:rsidRPr="007B750E" w:rsidRDefault="001C5E0E" w:rsidP="00826105">
            <w:pPr>
              <w:jc w:val="right"/>
              <w:rPr>
                <w:color w:val="000000"/>
                <w:sz w:val="16"/>
                <w:szCs w:val="16"/>
                <w:lang w:eastAsia="en-NZ"/>
              </w:rPr>
            </w:pPr>
          </w:p>
        </w:tc>
        <w:tc>
          <w:tcPr>
            <w:tcW w:w="850" w:type="dxa"/>
            <w:shd w:val="clear" w:color="auto" w:fill="auto"/>
            <w:vAlign w:val="bottom"/>
          </w:tcPr>
          <w:p w14:paraId="22FE3B13" w14:textId="77777777" w:rsidR="001C5E0E" w:rsidRPr="007B750E" w:rsidRDefault="001C5E0E" w:rsidP="00826105">
            <w:pPr>
              <w:jc w:val="right"/>
              <w:rPr>
                <w:color w:val="000000"/>
                <w:sz w:val="16"/>
                <w:szCs w:val="16"/>
                <w:lang w:eastAsia="en-NZ"/>
              </w:rPr>
            </w:pPr>
          </w:p>
        </w:tc>
      </w:tr>
      <w:tr w:rsidR="001C5E0E" w:rsidRPr="001A61F1" w14:paraId="149D128C" w14:textId="77777777" w:rsidTr="005F3C25">
        <w:tc>
          <w:tcPr>
            <w:tcW w:w="5387" w:type="dxa"/>
          </w:tcPr>
          <w:p w14:paraId="72DC1A0F" w14:textId="77777777" w:rsidR="001C5E0E" w:rsidRPr="003F15C0" w:rsidRDefault="001C5E0E" w:rsidP="00826105">
            <w:pPr>
              <w:spacing w:before="20"/>
              <w:ind w:left="176"/>
              <w:jc w:val="both"/>
              <w:rPr>
                <w:sz w:val="16"/>
                <w:szCs w:val="16"/>
              </w:rPr>
            </w:pPr>
            <w:r w:rsidRPr="003F15C0">
              <w:rPr>
                <w:sz w:val="16"/>
                <w:szCs w:val="16"/>
              </w:rPr>
              <w:t>No</w:t>
            </w:r>
          </w:p>
        </w:tc>
        <w:tc>
          <w:tcPr>
            <w:tcW w:w="992" w:type="dxa"/>
            <w:shd w:val="clear" w:color="auto" w:fill="auto"/>
            <w:vAlign w:val="bottom"/>
          </w:tcPr>
          <w:p w14:paraId="00E09495" w14:textId="77777777" w:rsidR="001C5E0E" w:rsidRPr="00FE454B" w:rsidRDefault="001C5E0E" w:rsidP="00826105">
            <w:pPr>
              <w:jc w:val="right"/>
              <w:rPr>
                <w:color w:val="000000"/>
                <w:sz w:val="16"/>
                <w:szCs w:val="16"/>
                <w:lang w:eastAsia="en-NZ"/>
              </w:rPr>
            </w:pPr>
            <w:r w:rsidRPr="00FE454B">
              <w:rPr>
                <w:color w:val="000000"/>
                <w:sz w:val="16"/>
                <w:szCs w:val="16"/>
                <w:lang w:eastAsia="en-NZ"/>
              </w:rPr>
              <w:t>1.00</w:t>
            </w:r>
          </w:p>
        </w:tc>
        <w:tc>
          <w:tcPr>
            <w:tcW w:w="1276" w:type="dxa"/>
            <w:shd w:val="clear" w:color="auto" w:fill="auto"/>
            <w:vAlign w:val="bottom"/>
          </w:tcPr>
          <w:p w14:paraId="42B0D798" w14:textId="77777777" w:rsidR="001C5E0E" w:rsidRPr="00FE454B" w:rsidRDefault="001C5E0E" w:rsidP="00826105">
            <w:pPr>
              <w:jc w:val="right"/>
              <w:rPr>
                <w:color w:val="000000"/>
                <w:sz w:val="16"/>
                <w:szCs w:val="16"/>
                <w:lang w:eastAsia="en-NZ"/>
              </w:rPr>
            </w:pPr>
          </w:p>
        </w:tc>
        <w:tc>
          <w:tcPr>
            <w:tcW w:w="850" w:type="dxa"/>
            <w:shd w:val="clear" w:color="auto" w:fill="auto"/>
            <w:vAlign w:val="bottom"/>
          </w:tcPr>
          <w:p w14:paraId="154BB64B" w14:textId="77777777" w:rsidR="001C5E0E" w:rsidRPr="00FE454B" w:rsidRDefault="001C5E0E" w:rsidP="00826105">
            <w:pPr>
              <w:jc w:val="right"/>
              <w:rPr>
                <w:color w:val="000000"/>
                <w:sz w:val="16"/>
                <w:szCs w:val="16"/>
                <w:lang w:eastAsia="en-NZ"/>
              </w:rPr>
            </w:pPr>
          </w:p>
        </w:tc>
      </w:tr>
      <w:tr w:rsidR="001C5E0E" w:rsidRPr="001A61F1" w14:paraId="30AFC681" w14:textId="77777777" w:rsidTr="00826105">
        <w:tc>
          <w:tcPr>
            <w:tcW w:w="5387" w:type="dxa"/>
          </w:tcPr>
          <w:p w14:paraId="68DD3A48"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0A11C98E" w14:textId="77777777" w:rsidR="001C5E0E" w:rsidRPr="00FE454B" w:rsidRDefault="001C5E0E" w:rsidP="001C5E0E">
            <w:pPr>
              <w:jc w:val="right"/>
              <w:rPr>
                <w:color w:val="000000"/>
                <w:sz w:val="16"/>
                <w:szCs w:val="16"/>
                <w:lang w:eastAsia="en-NZ"/>
              </w:rPr>
            </w:pPr>
            <w:r w:rsidRPr="00FE454B">
              <w:rPr>
                <w:color w:val="000000"/>
                <w:sz w:val="16"/>
                <w:szCs w:val="16"/>
                <w:lang w:eastAsia="en-NZ"/>
              </w:rPr>
              <w:t>21.78</w:t>
            </w:r>
          </w:p>
        </w:tc>
        <w:tc>
          <w:tcPr>
            <w:tcW w:w="1276" w:type="dxa"/>
            <w:shd w:val="clear" w:color="auto" w:fill="auto"/>
            <w:vAlign w:val="bottom"/>
          </w:tcPr>
          <w:p w14:paraId="676E078D" w14:textId="77777777" w:rsidR="001C5E0E" w:rsidRPr="00FE454B" w:rsidRDefault="001C5E0E" w:rsidP="001C5E0E">
            <w:pPr>
              <w:jc w:val="right"/>
              <w:rPr>
                <w:color w:val="000000"/>
                <w:sz w:val="16"/>
                <w:szCs w:val="16"/>
                <w:lang w:eastAsia="en-NZ"/>
              </w:rPr>
            </w:pPr>
            <w:r w:rsidRPr="00FE454B">
              <w:rPr>
                <w:color w:val="000000"/>
                <w:sz w:val="16"/>
                <w:szCs w:val="16"/>
                <w:lang w:eastAsia="en-NZ"/>
              </w:rPr>
              <w:t>(6.06, 78.24)</w:t>
            </w:r>
          </w:p>
        </w:tc>
        <w:tc>
          <w:tcPr>
            <w:tcW w:w="850" w:type="dxa"/>
            <w:shd w:val="clear" w:color="auto" w:fill="auto"/>
            <w:vAlign w:val="bottom"/>
          </w:tcPr>
          <w:p w14:paraId="0324AA8E" w14:textId="77777777" w:rsidR="001C5E0E" w:rsidRPr="00FE454B" w:rsidRDefault="001C5E0E" w:rsidP="001C5E0E">
            <w:pPr>
              <w:jc w:val="right"/>
              <w:rPr>
                <w:color w:val="000000"/>
                <w:sz w:val="16"/>
                <w:szCs w:val="16"/>
                <w:lang w:eastAsia="en-NZ"/>
              </w:rPr>
            </w:pPr>
            <w:r w:rsidRPr="00FE454B">
              <w:rPr>
                <w:color w:val="000000"/>
                <w:sz w:val="16"/>
                <w:szCs w:val="16"/>
                <w:lang w:eastAsia="en-NZ"/>
              </w:rPr>
              <w:t>&lt;</w:t>
            </w:r>
            <w:r>
              <w:rPr>
                <w:color w:val="000000"/>
                <w:sz w:val="16"/>
                <w:szCs w:val="16"/>
                <w:lang w:eastAsia="en-NZ"/>
              </w:rPr>
              <w:t>0</w:t>
            </w:r>
            <w:r w:rsidRPr="00FE454B">
              <w:rPr>
                <w:color w:val="000000"/>
                <w:sz w:val="16"/>
                <w:szCs w:val="16"/>
                <w:lang w:eastAsia="en-NZ"/>
              </w:rPr>
              <w:t>.0001</w:t>
            </w:r>
          </w:p>
        </w:tc>
      </w:tr>
      <w:tr w:rsidR="001C5E0E" w:rsidRPr="001A61F1" w14:paraId="26A1B927" w14:textId="77777777" w:rsidTr="005F3C25">
        <w:tc>
          <w:tcPr>
            <w:tcW w:w="5387" w:type="dxa"/>
            <w:vAlign w:val="bottom"/>
          </w:tcPr>
          <w:p w14:paraId="625F1031" w14:textId="77777777" w:rsidR="001C5E0E" w:rsidRPr="003F15C0" w:rsidRDefault="001C5E0E" w:rsidP="001C5E0E">
            <w:pPr>
              <w:spacing w:before="20"/>
              <w:jc w:val="both"/>
              <w:rPr>
                <w:b/>
                <w:sz w:val="16"/>
                <w:szCs w:val="16"/>
              </w:rPr>
            </w:pPr>
            <w:r w:rsidRPr="003F15C0">
              <w:rPr>
                <w:b/>
                <w:sz w:val="16"/>
                <w:szCs w:val="16"/>
              </w:rPr>
              <w:t>Horse/dog race betting - monthly</w:t>
            </w:r>
          </w:p>
        </w:tc>
        <w:tc>
          <w:tcPr>
            <w:tcW w:w="992" w:type="dxa"/>
            <w:shd w:val="clear" w:color="auto" w:fill="auto"/>
            <w:vAlign w:val="bottom"/>
          </w:tcPr>
          <w:p w14:paraId="73FD03A9"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4C825EC2"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407A15C3" w14:textId="77777777" w:rsidR="001C5E0E" w:rsidRPr="007B750E" w:rsidRDefault="001C5E0E" w:rsidP="001C5E0E">
            <w:pPr>
              <w:jc w:val="right"/>
              <w:rPr>
                <w:color w:val="000000"/>
                <w:sz w:val="16"/>
                <w:szCs w:val="16"/>
                <w:lang w:eastAsia="en-NZ"/>
              </w:rPr>
            </w:pPr>
          </w:p>
        </w:tc>
      </w:tr>
      <w:tr w:rsidR="001C5E0E" w:rsidRPr="001A61F1" w14:paraId="54730921" w14:textId="77777777" w:rsidTr="005F3C25">
        <w:tc>
          <w:tcPr>
            <w:tcW w:w="5387" w:type="dxa"/>
          </w:tcPr>
          <w:p w14:paraId="2548C272"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73584882" w14:textId="77777777" w:rsidR="001C5E0E" w:rsidRPr="00FE454B" w:rsidRDefault="001C5E0E" w:rsidP="001C5E0E">
            <w:pPr>
              <w:jc w:val="right"/>
              <w:rPr>
                <w:color w:val="000000"/>
                <w:sz w:val="16"/>
                <w:szCs w:val="16"/>
                <w:lang w:eastAsia="en-NZ"/>
              </w:rPr>
            </w:pPr>
            <w:r w:rsidRPr="00FE454B">
              <w:rPr>
                <w:color w:val="000000"/>
                <w:sz w:val="16"/>
                <w:szCs w:val="16"/>
                <w:lang w:eastAsia="en-NZ"/>
              </w:rPr>
              <w:t>1.00</w:t>
            </w:r>
          </w:p>
        </w:tc>
        <w:tc>
          <w:tcPr>
            <w:tcW w:w="1276" w:type="dxa"/>
            <w:shd w:val="clear" w:color="auto" w:fill="auto"/>
            <w:vAlign w:val="bottom"/>
          </w:tcPr>
          <w:p w14:paraId="1CE28CCE" w14:textId="77777777" w:rsidR="001C5E0E" w:rsidRPr="00FE454B" w:rsidRDefault="001C5E0E" w:rsidP="001C5E0E">
            <w:pPr>
              <w:jc w:val="right"/>
              <w:rPr>
                <w:color w:val="000000"/>
                <w:sz w:val="16"/>
                <w:szCs w:val="16"/>
                <w:lang w:eastAsia="en-NZ"/>
              </w:rPr>
            </w:pPr>
          </w:p>
        </w:tc>
        <w:tc>
          <w:tcPr>
            <w:tcW w:w="850" w:type="dxa"/>
            <w:shd w:val="clear" w:color="auto" w:fill="auto"/>
            <w:vAlign w:val="bottom"/>
          </w:tcPr>
          <w:p w14:paraId="3A406BC4" w14:textId="77777777" w:rsidR="001C5E0E" w:rsidRPr="00FE454B" w:rsidRDefault="001C5E0E" w:rsidP="001C5E0E">
            <w:pPr>
              <w:jc w:val="right"/>
              <w:rPr>
                <w:color w:val="000000"/>
                <w:sz w:val="16"/>
                <w:szCs w:val="16"/>
                <w:lang w:eastAsia="en-NZ"/>
              </w:rPr>
            </w:pPr>
          </w:p>
        </w:tc>
      </w:tr>
      <w:tr w:rsidR="001C5E0E" w:rsidRPr="001A61F1" w14:paraId="6C8D48CE" w14:textId="77777777" w:rsidTr="00826105">
        <w:tc>
          <w:tcPr>
            <w:tcW w:w="5387" w:type="dxa"/>
          </w:tcPr>
          <w:p w14:paraId="5C322967"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0B6B3C46" w14:textId="77777777" w:rsidR="001C5E0E" w:rsidRPr="00FE454B" w:rsidRDefault="001C5E0E" w:rsidP="001C5E0E">
            <w:pPr>
              <w:jc w:val="right"/>
              <w:rPr>
                <w:color w:val="000000"/>
                <w:sz w:val="16"/>
                <w:szCs w:val="16"/>
                <w:lang w:eastAsia="en-NZ"/>
              </w:rPr>
            </w:pPr>
            <w:r w:rsidRPr="00FE454B">
              <w:rPr>
                <w:color w:val="000000"/>
                <w:sz w:val="16"/>
                <w:szCs w:val="16"/>
                <w:lang w:eastAsia="en-NZ"/>
              </w:rPr>
              <w:t>4.40</w:t>
            </w:r>
          </w:p>
        </w:tc>
        <w:tc>
          <w:tcPr>
            <w:tcW w:w="1276" w:type="dxa"/>
            <w:shd w:val="clear" w:color="auto" w:fill="auto"/>
            <w:vAlign w:val="bottom"/>
          </w:tcPr>
          <w:p w14:paraId="2BF3F377" w14:textId="77777777" w:rsidR="001C5E0E" w:rsidRPr="00FE454B" w:rsidRDefault="001C5E0E" w:rsidP="001C5E0E">
            <w:pPr>
              <w:jc w:val="right"/>
              <w:rPr>
                <w:color w:val="000000"/>
                <w:sz w:val="16"/>
                <w:szCs w:val="16"/>
                <w:lang w:eastAsia="en-NZ"/>
              </w:rPr>
            </w:pPr>
            <w:r w:rsidRPr="00FE454B">
              <w:rPr>
                <w:color w:val="000000"/>
                <w:sz w:val="16"/>
                <w:szCs w:val="16"/>
                <w:lang w:eastAsia="en-NZ"/>
              </w:rPr>
              <w:t>(2.28, 8.50)</w:t>
            </w:r>
          </w:p>
        </w:tc>
        <w:tc>
          <w:tcPr>
            <w:tcW w:w="850" w:type="dxa"/>
            <w:shd w:val="clear" w:color="auto" w:fill="auto"/>
            <w:vAlign w:val="bottom"/>
          </w:tcPr>
          <w:p w14:paraId="48CFF23F" w14:textId="77777777" w:rsidR="001C5E0E" w:rsidRPr="00FE454B" w:rsidRDefault="001C5E0E" w:rsidP="001C5E0E">
            <w:pPr>
              <w:jc w:val="right"/>
              <w:rPr>
                <w:color w:val="000000"/>
                <w:sz w:val="16"/>
                <w:szCs w:val="16"/>
                <w:lang w:eastAsia="en-NZ"/>
              </w:rPr>
            </w:pPr>
            <w:r w:rsidRPr="00FE454B">
              <w:rPr>
                <w:color w:val="000000"/>
                <w:sz w:val="16"/>
                <w:szCs w:val="16"/>
                <w:lang w:eastAsia="en-NZ"/>
              </w:rPr>
              <w:t>&lt;</w:t>
            </w:r>
            <w:r>
              <w:rPr>
                <w:color w:val="000000"/>
                <w:sz w:val="16"/>
                <w:szCs w:val="16"/>
                <w:lang w:eastAsia="en-NZ"/>
              </w:rPr>
              <w:t>0</w:t>
            </w:r>
            <w:r w:rsidRPr="00FE454B">
              <w:rPr>
                <w:color w:val="000000"/>
                <w:sz w:val="16"/>
                <w:szCs w:val="16"/>
                <w:lang w:eastAsia="en-NZ"/>
              </w:rPr>
              <w:t>.0001</w:t>
            </w:r>
          </w:p>
        </w:tc>
      </w:tr>
      <w:tr w:rsidR="001C5E0E" w:rsidRPr="001A61F1" w14:paraId="745380D3" w14:textId="77777777" w:rsidTr="005F3C25">
        <w:tc>
          <w:tcPr>
            <w:tcW w:w="5387" w:type="dxa"/>
            <w:vAlign w:val="bottom"/>
          </w:tcPr>
          <w:p w14:paraId="032EF296" w14:textId="77777777" w:rsidR="001C5E0E" w:rsidRPr="003F15C0" w:rsidRDefault="001C5E0E" w:rsidP="001C5E0E">
            <w:pPr>
              <w:spacing w:before="20"/>
              <w:jc w:val="both"/>
              <w:rPr>
                <w:b/>
                <w:sz w:val="16"/>
                <w:szCs w:val="16"/>
              </w:rPr>
            </w:pPr>
            <w:r w:rsidRPr="003F15C0">
              <w:rPr>
                <w:b/>
                <w:sz w:val="16"/>
                <w:szCs w:val="16"/>
              </w:rPr>
              <w:t>Sports betting - monthly</w:t>
            </w:r>
          </w:p>
        </w:tc>
        <w:tc>
          <w:tcPr>
            <w:tcW w:w="992" w:type="dxa"/>
            <w:shd w:val="clear" w:color="auto" w:fill="auto"/>
            <w:vAlign w:val="bottom"/>
          </w:tcPr>
          <w:p w14:paraId="3B1D1FC3"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67584951"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4101923A" w14:textId="77777777" w:rsidR="001C5E0E" w:rsidRPr="007B750E" w:rsidRDefault="001C5E0E" w:rsidP="001C5E0E">
            <w:pPr>
              <w:jc w:val="right"/>
              <w:rPr>
                <w:color w:val="000000"/>
                <w:sz w:val="16"/>
                <w:szCs w:val="16"/>
                <w:lang w:eastAsia="en-NZ"/>
              </w:rPr>
            </w:pPr>
          </w:p>
        </w:tc>
      </w:tr>
      <w:tr w:rsidR="001C5E0E" w:rsidRPr="001A61F1" w14:paraId="0B008232" w14:textId="77777777" w:rsidTr="00826105">
        <w:tc>
          <w:tcPr>
            <w:tcW w:w="5387" w:type="dxa"/>
          </w:tcPr>
          <w:p w14:paraId="428222FA"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1584A245" w14:textId="77777777" w:rsidR="001C5E0E" w:rsidRPr="00FE454B" w:rsidRDefault="001C5E0E" w:rsidP="001C5E0E">
            <w:pPr>
              <w:jc w:val="right"/>
              <w:rPr>
                <w:color w:val="000000"/>
                <w:sz w:val="16"/>
                <w:szCs w:val="16"/>
                <w:lang w:eastAsia="en-NZ"/>
              </w:rPr>
            </w:pPr>
            <w:r w:rsidRPr="00FE454B">
              <w:rPr>
                <w:color w:val="000000"/>
                <w:sz w:val="16"/>
                <w:szCs w:val="16"/>
                <w:lang w:eastAsia="en-NZ"/>
              </w:rPr>
              <w:t>1.00</w:t>
            </w:r>
          </w:p>
        </w:tc>
        <w:tc>
          <w:tcPr>
            <w:tcW w:w="1276" w:type="dxa"/>
            <w:shd w:val="clear" w:color="auto" w:fill="auto"/>
            <w:vAlign w:val="bottom"/>
          </w:tcPr>
          <w:p w14:paraId="1C51F58E" w14:textId="77777777" w:rsidR="001C5E0E" w:rsidRPr="00FE454B" w:rsidRDefault="001C5E0E" w:rsidP="001C5E0E">
            <w:pPr>
              <w:jc w:val="right"/>
              <w:rPr>
                <w:color w:val="000000"/>
                <w:sz w:val="16"/>
                <w:szCs w:val="16"/>
                <w:lang w:eastAsia="en-NZ"/>
              </w:rPr>
            </w:pPr>
          </w:p>
        </w:tc>
        <w:tc>
          <w:tcPr>
            <w:tcW w:w="850" w:type="dxa"/>
            <w:shd w:val="clear" w:color="auto" w:fill="auto"/>
            <w:vAlign w:val="bottom"/>
          </w:tcPr>
          <w:p w14:paraId="0F45FCD0" w14:textId="77777777" w:rsidR="001C5E0E" w:rsidRPr="00FE454B" w:rsidRDefault="001C5E0E" w:rsidP="001C5E0E">
            <w:pPr>
              <w:jc w:val="right"/>
              <w:rPr>
                <w:color w:val="000000"/>
                <w:sz w:val="16"/>
                <w:szCs w:val="16"/>
                <w:lang w:eastAsia="en-NZ"/>
              </w:rPr>
            </w:pPr>
          </w:p>
        </w:tc>
      </w:tr>
      <w:tr w:rsidR="001C5E0E" w:rsidRPr="001A61F1" w14:paraId="0998073A" w14:textId="77777777" w:rsidTr="00826105">
        <w:tc>
          <w:tcPr>
            <w:tcW w:w="5387" w:type="dxa"/>
            <w:tcBorders>
              <w:bottom w:val="single" w:sz="4" w:space="0" w:color="auto"/>
            </w:tcBorders>
          </w:tcPr>
          <w:p w14:paraId="2D8F6858"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tcBorders>
              <w:bottom w:val="single" w:sz="4" w:space="0" w:color="auto"/>
            </w:tcBorders>
            <w:shd w:val="clear" w:color="auto" w:fill="auto"/>
            <w:vAlign w:val="bottom"/>
          </w:tcPr>
          <w:p w14:paraId="71A2C9F0" w14:textId="77777777" w:rsidR="001C5E0E" w:rsidRPr="00FE454B" w:rsidRDefault="001C5E0E" w:rsidP="001C5E0E">
            <w:pPr>
              <w:jc w:val="right"/>
              <w:rPr>
                <w:color w:val="000000"/>
                <w:sz w:val="16"/>
                <w:szCs w:val="16"/>
                <w:lang w:eastAsia="en-NZ"/>
              </w:rPr>
            </w:pPr>
            <w:r w:rsidRPr="00FE454B">
              <w:rPr>
                <w:color w:val="000000"/>
                <w:sz w:val="16"/>
                <w:szCs w:val="16"/>
                <w:lang w:eastAsia="en-NZ"/>
              </w:rPr>
              <w:t>16.60</w:t>
            </w:r>
          </w:p>
        </w:tc>
        <w:tc>
          <w:tcPr>
            <w:tcW w:w="1276" w:type="dxa"/>
            <w:tcBorders>
              <w:bottom w:val="single" w:sz="4" w:space="0" w:color="auto"/>
            </w:tcBorders>
            <w:shd w:val="clear" w:color="auto" w:fill="auto"/>
            <w:vAlign w:val="bottom"/>
          </w:tcPr>
          <w:p w14:paraId="0D29F174" w14:textId="77777777" w:rsidR="001C5E0E" w:rsidRPr="00FE454B" w:rsidRDefault="001C5E0E" w:rsidP="001C5E0E">
            <w:pPr>
              <w:jc w:val="right"/>
              <w:rPr>
                <w:color w:val="000000"/>
                <w:sz w:val="16"/>
                <w:szCs w:val="16"/>
                <w:lang w:eastAsia="en-NZ"/>
              </w:rPr>
            </w:pPr>
            <w:r w:rsidRPr="00FE454B">
              <w:rPr>
                <w:color w:val="000000"/>
                <w:sz w:val="16"/>
                <w:szCs w:val="16"/>
                <w:lang w:eastAsia="en-NZ"/>
              </w:rPr>
              <w:t>(5.58, 49.39)</w:t>
            </w:r>
          </w:p>
        </w:tc>
        <w:tc>
          <w:tcPr>
            <w:tcW w:w="850" w:type="dxa"/>
            <w:tcBorders>
              <w:bottom w:val="single" w:sz="4" w:space="0" w:color="auto"/>
            </w:tcBorders>
            <w:shd w:val="clear" w:color="auto" w:fill="auto"/>
            <w:vAlign w:val="bottom"/>
          </w:tcPr>
          <w:p w14:paraId="1D20ACF5" w14:textId="77777777" w:rsidR="001C5E0E" w:rsidRPr="00FE454B" w:rsidRDefault="001C5E0E" w:rsidP="001C5E0E">
            <w:pPr>
              <w:jc w:val="right"/>
              <w:rPr>
                <w:color w:val="000000"/>
                <w:sz w:val="16"/>
                <w:szCs w:val="16"/>
                <w:lang w:eastAsia="en-NZ"/>
              </w:rPr>
            </w:pPr>
            <w:r w:rsidRPr="00FE454B">
              <w:rPr>
                <w:color w:val="000000"/>
                <w:sz w:val="16"/>
                <w:szCs w:val="16"/>
                <w:lang w:eastAsia="en-NZ"/>
              </w:rPr>
              <w:t>&lt;</w:t>
            </w:r>
            <w:r>
              <w:rPr>
                <w:color w:val="000000"/>
                <w:sz w:val="16"/>
                <w:szCs w:val="16"/>
                <w:lang w:eastAsia="en-NZ"/>
              </w:rPr>
              <w:t>0</w:t>
            </w:r>
            <w:r w:rsidRPr="00FE454B">
              <w:rPr>
                <w:color w:val="000000"/>
                <w:sz w:val="16"/>
                <w:szCs w:val="16"/>
                <w:lang w:eastAsia="en-NZ"/>
              </w:rPr>
              <w:t>.0001</w:t>
            </w:r>
          </w:p>
        </w:tc>
      </w:tr>
      <w:tr w:rsidR="001C5E0E" w:rsidRPr="001A61F1" w14:paraId="4568DEFE" w14:textId="77777777" w:rsidTr="00826105">
        <w:tc>
          <w:tcPr>
            <w:tcW w:w="5387" w:type="dxa"/>
            <w:tcBorders>
              <w:top w:val="single" w:sz="4" w:space="0" w:color="auto"/>
            </w:tcBorders>
            <w:vAlign w:val="bottom"/>
          </w:tcPr>
          <w:p w14:paraId="2859F5D8" w14:textId="77777777" w:rsidR="001C5E0E" w:rsidRPr="003F15C0" w:rsidRDefault="001C5E0E" w:rsidP="00826105">
            <w:pPr>
              <w:keepNext/>
              <w:spacing w:before="20"/>
              <w:jc w:val="both"/>
              <w:rPr>
                <w:b/>
                <w:sz w:val="16"/>
                <w:szCs w:val="16"/>
              </w:rPr>
            </w:pPr>
            <w:r w:rsidRPr="003F15C0">
              <w:rPr>
                <w:b/>
                <w:sz w:val="16"/>
                <w:szCs w:val="16"/>
              </w:rPr>
              <w:t>Casino EGMs (NZ) - monthly</w:t>
            </w:r>
          </w:p>
        </w:tc>
        <w:tc>
          <w:tcPr>
            <w:tcW w:w="992" w:type="dxa"/>
            <w:tcBorders>
              <w:top w:val="single" w:sz="4" w:space="0" w:color="auto"/>
            </w:tcBorders>
            <w:shd w:val="clear" w:color="auto" w:fill="auto"/>
            <w:vAlign w:val="bottom"/>
          </w:tcPr>
          <w:p w14:paraId="1E3914AC" w14:textId="77777777" w:rsidR="001C5E0E" w:rsidRPr="007B750E" w:rsidRDefault="001C5E0E" w:rsidP="00826105">
            <w:pPr>
              <w:keepNext/>
              <w:jc w:val="right"/>
              <w:rPr>
                <w:color w:val="000000"/>
                <w:sz w:val="16"/>
                <w:szCs w:val="16"/>
                <w:lang w:eastAsia="en-NZ"/>
              </w:rPr>
            </w:pPr>
          </w:p>
        </w:tc>
        <w:tc>
          <w:tcPr>
            <w:tcW w:w="1276" w:type="dxa"/>
            <w:tcBorders>
              <w:top w:val="single" w:sz="4" w:space="0" w:color="auto"/>
            </w:tcBorders>
            <w:shd w:val="clear" w:color="auto" w:fill="auto"/>
            <w:vAlign w:val="bottom"/>
          </w:tcPr>
          <w:p w14:paraId="0EDABC9D" w14:textId="77777777" w:rsidR="001C5E0E" w:rsidRPr="007B750E" w:rsidRDefault="001C5E0E" w:rsidP="00826105">
            <w:pPr>
              <w:keepNext/>
              <w:jc w:val="right"/>
              <w:rPr>
                <w:color w:val="000000"/>
                <w:sz w:val="16"/>
                <w:szCs w:val="16"/>
                <w:lang w:eastAsia="en-NZ"/>
              </w:rPr>
            </w:pPr>
          </w:p>
        </w:tc>
        <w:tc>
          <w:tcPr>
            <w:tcW w:w="850" w:type="dxa"/>
            <w:tcBorders>
              <w:top w:val="single" w:sz="4" w:space="0" w:color="auto"/>
            </w:tcBorders>
            <w:shd w:val="clear" w:color="auto" w:fill="auto"/>
            <w:vAlign w:val="bottom"/>
          </w:tcPr>
          <w:p w14:paraId="78829A5D" w14:textId="77777777" w:rsidR="001C5E0E" w:rsidRPr="007B750E" w:rsidRDefault="001C5E0E" w:rsidP="00826105">
            <w:pPr>
              <w:keepNext/>
              <w:jc w:val="right"/>
              <w:rPr>
                <w:color w:val="000000"/>
                <w:sz w:val="16"/>
                <w:szCs w:val="16"/>
                <w:lang w:eastAsia="en-NZ"/>
              </w:rPr>
            </w:pPr>
          </w:p>
        </w:tc>
      </w:tr>
      <w:tr w:rsidR="001C5E0E" w:rsidRPr="001A61F1" w14:paraId="33075B57" w14:textId="77777777" w:rsidTr="00826105">
        <w:tc>
          <w:tcPr>
            <w:tcW w:w="5387" w:type="dxa"/>
          </w:tcPr>
          <w:p w14:paraId="633F7DD4" w14:textId="77777777" w:rsidR="001C5E0E" w:rsidRPr="003F15C0" w:rsidRDefault="001C5E0E" w:rsidP="00826105">
            <w:pPr>
              <w:keepNext/>
              <w:spacing w:before="20"/>
              <w:ind w:left="176"/>
              <w:jc w:val="both"/>
              <w:rPr>
                <w:sz w:val="16"/>
                <w:szCs w:val="16"/>
              </w:rPr>
            </w:pPr>
            <w:r w:rsidRPr="003F15C0">
              <w:rPr>
                <w:sz w:val="16"/>
                <w:szCs w:val="16"/>
              </w:rPr>
              <w:t>No</w:t>
            </w:r>
          </w:p>
        </w:tc>
        <w:tc>
          <w:tcPr>
            <w:tcW w:w="992" w:type="dxa"/>
            <w:shd w:val="clear" w:color="auto" w:fill="auto"/>
            <w:vAlign w:val="bottom"/>
          </w:tcPr>
          <w:p w14:paraId="15CB19C4" w14:textId="77777777" w:rsidR="001C5E0E" w:rsidRPr="00FE454B" w:rsidRDefault="001C5E0E" w:rsidP="00826105">
            <w:pPr>
              <w:keepNext/>
              <w:jc w:val="right"/>
              <w:rPr>
                <w:color w:val="000000"/>
                <w:sz w:val="16"/>
                <w:szCs w:val="16"/>
                <w:lang w:eastAsia="en-NZ"/>
              </w:rPr>
            </w:pPr>
            <w:r w:rsidRPr="00FE454B">
              <w:rPr>
                <w:color w:val="000000"/>
                <w:sz w:val="16"/>
                <w:szCs w:val="16"/>
                <w:lang w:eastAsia="en-NZ"/>
              </w:rPr>
              <w:t>1.00</w:t>
            </w:r>
          </w:p>
        </w:tc>
        <w:tc>
          <w:tcPr>
            <w:tcW w:w="1276" w:type="dxa"/>
            <w:shd w:val="clear" w:color="auto" w:fill="auto"/>
            <w:vAlign w:val="bottom"/>
          </w:tcPr>
          <w:p w14:paraId="2BA82F53" w14:textId="77777777" w:rsidR="001C5E0E" w:rsidRPr="00FE454B" w:rsidRDefault="001C5E0E" w:rsidP="00826105">
            <w:pPr>
              <w:keepNext/>
              <w:jc w:val="right"/>
              <w:rPr>
                <w:color w:val="000000"/>
                <w:sz w:val="16"/>
                <w:szCs w:val="16"/>
                <w:lang w:eastAsia="en-NZ"/>
              </w:rPr>
            </w:pPr>
          </w:p>
        </w:tc>
        <w:tc>
          <w:tcPr>
            <w:tcW w:w="850" w:type="dxa"/>
            <w:shd w:val="clear" w:color="auto" w:fill="auto"/>
            <w:vAlign w:val="bottom"/>
          </w:tcPr>
          <w:p w14:paraId="6E2C42B0" w14:textId="77777777" w:rsidR="001C5E0E" w:rsidRPr="00FE454B" w:rsidRDefault="001C5E0E" w:rsidP="00826105">
            <w:pPr>
              <w:keepNext/>
              <w:jc w:val="right"/>
              <w:rPr>
                <w:color w:val="000000"/>
                <w:sz w:val="16"/>
                <w:szCs w:val="16"/>
                <w:lang w:eastAsia="en-NZ"/>
              </w:rPr>
            </w:pPr>
          </w:p>
        </w:tc>
      </w:tr>
      <w:tr w:rsidR="001C5E0E" w:rsidRPr="001A61F1" w14:paraId="76D9DE34" w14:textId="77777777" w:rsidTr="00826105">
        <w:tc>
          <w:tcPr>
            <w:tcW w:w="5387" w:type="dxa"/>
          </w:tcPr>
          <w:p w14:paraId="3C47E6C2"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2D6C6543" w14:textId="77777777" w:rsidR="001C5E0E" w:rsidRPr="00FE454B" w:rsidRDefault="001C5E0E" w:rsidP="001C5E0E">
            <w:pPr>
              <w:jc w:val="right"/>
              <w:rPr>
                <w:color w:val="000000"/>
                <w:sz w:val="16"/>
                <w:szCs w:val="16"/>
                <w:lang w:eastAsia="en-NZ"/>
              </w:rPr>
            </w:pPr>
            <w:r w:rsidRPr="00FE454B">
              <w:rPr>
                <w:color w:val="000000"/>
                <w:sz w:val="16"/>
                <w:szCs w:val="16"/>
                <w:lang w:eastAsia="en-NZ"/>
              </w:rPr>
              <w:t>4.91</w:t>
            </w:r>
          </w:p>
        </w:tc>
        <w:tc>
          <w:tcPr>
            <w:tcW w:w="1276" w:type="dxa"/>
            <w:shd w:val="clear" w:color="auto" w:fill="auto"/>
            <w:vAlign w:val="bottom"/>
          </w:tcPr>
          <w:p w14:paraId="32758B70" w14:textId="77777777" w:rsidR="001C5E0E" w:rsidRPr="00FE454B" w:rsidRDefault="001C5E0E" w:rsidP="001C5E0E">
            <w:pPr>
              <w:jc w:val="right"/>
              <w:rPr>
                <w:color w:val="000000"/>
                <w:sz w:val="16"/>
                <w:szCs w:val="16"/>
                <w:lang w:eastAsia="en-NZ"/>
              </w:rPr>
            </w:pPr>
            <w:r w:rsidRPr="00FE454B">
              <w:rPr>
                <w:color w:val="000000"/>
                <w:sz w:val="16"/>
                <w:szCs w:val="16"/>
                <w:lang w:eastAsia="en-NZ"/>
              </w:rPr>
              <w:t>(1.57, 15.37)</w:t>
            </w:r>
          </w:p>
        </w:tc>
        <w:tc>
          <w:tcPr>
            <w:tcW w:w="850" w:type="dxa"/>
            <w:shd w:val="clear" w:color="auto" w:fill="auto"/>
            <w:vAlign w:val="bottom"/>
          </w:tcPr>
          <w:p w14:paraId="62732832" w14:textId="77777777" w:rsidR="001C5E0E" w:rsidRPr="00FE454B" w:rsidRDefault="001C5E0E" w:rsidP="001C5E0E">
            <w:pPr>
              <w:jc w:val="right"/>
              <w:rPr>
                <w:color w:val="000000"/>
                <w:sz w:val="16"/>
                <w:szCs w:val="16"/>
                <w:lang w:eastAsia="en-NZ"/>
              </w:rPr>
            </w:pPr>
            <w:r w:rsidRPr="00FE454B">
              <w:rPr>
                <w:color w:val="000000"/>
                <w:sz w:val="16"/>
                <w:szCs w:val="16"/>
                <w:lang w:eastAsia="en-NZ"/>
              </w:rPr>
              <w:t>0.006</w:t>
            </w:r>
          </w:p>
        </w:tc>
      </w:tr>
      <w:tr w:rsidR="001C5E0E" w:rsidRPr="001A61F1" w14:paraId="24416C95" w14:textId="77777777" w:rsidTr="00826105">
        <w:tc>
          <w:tcPr>
            <w:tcW w:w="5387" w:type="dxa"/>
            <w:vAlign w:val="bottom"/>
          </w:tcPr>
          <w:p w14:paraId="1F2E5B24" w14:textId="77777777" w:rsidR="001C5E0E" w:rsidRPr="003F15C0" w:rsidRDefault="001C5E0E" w:rsidP="00826105">
            <w:pPr>
              <w:spacing w:before="20"/>
              <w:jc w:val="both"/>
              <w:rPr>
                <w:b/>
                <w:sz w:val="16"/>
                <w:szCs w:val="16"/>
              </w:rPr>
            </w:pPr>
            <w:r w:rsidRPr="003F15C0">
              <w:rPr>
                <w:b/>
                <w:sz w:val="16"/>
                <w:szCs w:val="16"/>
              </w:rPr>
              <w:t>Pub EGMs - monthly</w:t>
            </w:r>
          </w:p>
        </w:tc>
        <w:tc>
          <w:tcPr>
            <w:tcW w:w="992" w:type="dxa"/>
            <w:shd w:val="clear" w:color="auto" w:fill="auto"/>
            <w:vAlign w:val="bottom"/>
          </w:tcPr>
          <w:p w14:paraId="506B3D6F" w14:textId="77777777" w:rsidR="001C5E0E" w:rsidRPr="007B750E" w:rsidRDefault="001C5E0E" w:rsidP="00826105">
            <w:pPr>
              <w:jc w:val="right"/>
              <w:rPr>
                <w:color w:val="000000"/>
                <w:sz w:val="16"/>
                <w:szCs w:val="16"/>
                <w:lang w:eastAsia="en-NZ"/>
              </w:rPr>
            </w:pPr>
          </w:p>
        </w:tc>
        <w:tc>
          <w:tcPr>
            <w:tcW w:w="1276" w:type="dxa"/>
            <w:shd w:val="clear" w:color="auto" w:fill="auto"/>
            <w:vAlign w:val="bottom"/>
          </w:tcPr>
          <w:p w14:paraId="3D209E7F" w14:textId="77777777" w:rsidR="001C5E0E" w:rsidRPr="007B750E" w:rsidRDefault="001C5E0E" w:rsidP="00826105">
            <w:pPr>
              <w:jc w:val="right"/>
              <w:rPr>
                <w:color w:val="000000"/>
                <w:sz w:val="16"/>
                <w:szCs w:val="16"/>
                <w:lang w:eastAsia="en-NZ"/>
              </w:rPr>
            </w:pPr>
          </w:p>
        </w:tc>
        <w:tc>
          <w:tcPr>
            <w:tcW w:w="850" w:type="dxa"/>
            <w:shd w:val="clear" w:color="auto" w:fill="auto"/>
            <w:vAlign w:val="bottom"/>
          </w:tcPr>
          <w:p w14:paraId="276D3971" w14:textId="77777777" w:rsidR="001C5E0E" w:rsidRPr="007B750E" w:rsidRDefault="001C5E0E" w:rsidP="00826105">
            <w:pPr>
              <w:jc w:val="right"/>
              <w:rPr>
                <w:color w:val="000000"/>
                <w:sz w:val="16"/>
                <w:szCs w:val="16"/>
                <w:lang w:eastAsia="en-NZ"/>
              </w:rPr>
            </w:pPr>
          </w:p>
        </w:tc>
      </w:tr>
      <w:tr w:rsidR="001C5E0E" w:rsidRPr="001A61F1" w14:paraId="03AF657B" w14:textId="77777777" w:rsidTr="005F3C25">
        <w:tc>
          <w:tcPr>
            <w:tcW w:w="5387" w:type="dxa"/>
          </w:tcPr>
          <w:p w14:paraId="7CEF635F" w14:textId="77777777" w:rsidR="001C5E0E" w:rsidRPr="003F15C0" w:rsidRDefault="001C5E0E" w:rsidP="00826105">
            <w:pPr>
              <w:spacing w:before="20"/>
              <w:ind w:left="176"/>
              <w:jc w:val="both"/>
              <w:rPr>
                <w:sz w:val="16"/>
                <w:szCs w:val="16"/>
              </w:rPr>
            </w:pPr>
            <w:r w:rsidRPr="003F15C0">
              <w:rPr>
                <w:sz w:val="16"/>
                <w:szCs w:val="16"/>
              </w:rPr>
              <w:t>No</w:t>
            </w:r>
          </w:p>
        </w:tc>
        <w:tc>
          <w:tcPr>
            <w:tcW w:w="992" w:type="dxa"/>
            <w:shd w:val="clear" w:color="auto" w:fill="auto"/>
            <w:vAlign w:val="bottom"/>
          </w:tcPr>
          <w:p w14:paraId="06C42C26" w14:textId="77777777" w:rsidR="001C5E0E" w:rsidRPr="00FE454B" w:rsidRDefault="001C5E0E" w:rsidP="00826105">
            <w:pPr>
              <w:jc w:val="right"/>
              <w:rPr>
                <w:color w:val="000000"/>
                <w:sz w:val="16"/>
                <w:szCs w:val="16"/>
                <w:lang w:eastAsia="en-NZ"/>
              </w:rPr>
            </w:pPr>
            <w:r w:rsidRPr="00FE454B">
              <w:rPr>
                <w:color w:val="000000"/>
                <w:sz w:val="16"/>
                <w:szCs w:val="16"/>
                <w:lang w:eastAsia="en-NZ"/>
              </w:rPr>
              <w:t>1.00</w:t>
            </w:r>
          </w:p>
        </w:tc>
        <w:tc>
          <w:tcPr>
            <w:tcW w:w="1276" w:type="dxa"/>
            <w:shd w:val="clear" w:color="auto" w:fill="auto"/>
            <w:vAlign w:val="bottom"/>
          </w:tcPr>
          <w:p w14:paraId="2EDE725E" w14:textId="77777777" w:rsidR="001C5E0E" w:rsidRPr="00FE454B" w:rsidRDefault="001C5E0E" w:rsidP="00826105">
            <w:pPr>
              <w:jc w:val="right"/>
              <w:rPr>
                <w:color w:val="000000"/>
                <w:sz w:val="16"/>
                <w:szCs w:val="16"/>
                <w:lang w:eastAsia="en-NZ"/>
              </w:rPr>
            </w:pPr>
          </w:p>
        </w:tc>
        <w:tc>
          <w:tcPr>
            <w:tcW w:w="850" w:type="dxa"/>
            <w:shd w:val="clear" w:color="auto" w:fill="auto"/>
            <w:vAlign w:val="bottom"/>
          </w:tcPr>
          <w:p w14:paraId="26D63B58" w14:textId="77777777" w:rsidR="001C5E0E" w:rsidRPr="00FE454B" w:rsidRDefault="001C5E0E" w:rsidP="00826105">
            <w:pPr>
              <w:jc w:val="right"/>
              <w:rPr>
                <w:color w:val="000000"/>
                <w:sz w:val="16"/>
                <w:szCs w:val="16"/>
                <w:lang w:eastAsia="en-NZ"/>
              </w:rPr>
            </w:pPr>
          </w:p>
        </w:tc>
      </w:tr>
      <w:tr w:rsidR="001C5E0E" w:rsidRPr="001A61F1" w14:paraId="466FCCD2" w14:textId="77777777" w:rsidTr="00826105">
        <w:tc>
          <w:tcPr>
            <w:tcW w:w="5387" w:type="dxa"/>
          </w:tcPr>
          <w:p w14:paraId="7AD4D03C"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5145829C" w14:textId="77777777" w:rsidR="001C5E0E" w:rsidRPr="00FE454B" w:rsidRDefault="001C5E0E" w:rsidP="001C5E0E">
            <w:pPr>
              <w:jc w:val="right"/>
              <w:rPr>
                <w:color w:val="000000"/>
                <w:sz w:val="16"/>
                <w:szCs w:val="16"/>
                <w:lang w:eastAsia="en-NZ"/>
              </w:rPr>
            </w:pPr>
            <w:r w:rsidRPr="00FE454B">
              <w:rPr>
                <w:color w:val="000000"/>
                <w:sz w:val="16"/>
                <w:szCs w:val="16"/>
                <w:lang w:eastAsia="en-NZ"/>
              </w:rPr>
              <w:t>36.36</w:t>
            </w:r>
          </w:p>
        </w:tc>
        <w:tc>
          <w:tcPr>
            <w:tcW w:w="1276" w:type="dxa"/>
            <w:shd w:val="clear" w:color="auto" w:fill="auto"/>
            <w:vAlign w:val="bottom"/>
          </w:tcPr>
          <w:p w14:paraId="72B07B67" w14:textId="77777777" w:rsidR="001C5E0E" w:rsidRPr="00FE454B" w:rsidRDefault="001C5E0E" w:rsidP="001C5E0E">
            <w:pPr>
              <w:jc w:val="right"/>
              <w:rPr>
                <w:color w:val="000000"/>
                <w:sz w:val="16"/>
                <w:szCs w:val="16"/>
                <w:lang w:eastAsia="en-NZ"/>
              </w:rPr>
            </w:pPr>
            <w:r w:rsidRPr="00FE454B">
              <w:rPr>
                <w:color w:val="000000"/>
                <w:sz w:val="16"/>
                <w:szCs w:val="16"/>
                <w:lang w:eastAsia="en-NZ"/>
              </w:rPr>
              <w:t>(18.83, 70.24)</w:t>
            </w:r>
          </w:p>
        </w:tc>
        <w:tc>
          <w:tcPr>
            <w:tcW w:w="850" w:type="dxa"/>
            <w:shd w:val="clear" w:color="auto" w:fill="auto"/>
            <w:vAlign w:val="bottom"/>
          </w:tcPr>
          <w:p w14:paraId="777B0B5C" w14:textId="77777777" w:rsidR="001C5E0E" w:rsidRPr="00FE454B" w:rsidRDefault="001C5E0E" w:rsidP="001C5E0E">
            <w:pPr>
              <w:jc w:val="right"/>
              <w:rPr>
                <w:color w:val="000000"/>
                <w:sz w:val="16"/>
                <w:szCs w:val="16"/>
                <w:lang w:eastAsia="en-NZ"/>
              </w:rPr>
            </w:pPr>
            <w:r w:rsidRPr="00FE454B">
              <w:rPr>
                <w:color w:val="000000"/>
                <w:sz w:val="16"/>
                <w:szCs w:val="16"/>
                <w:lang w:eastAsia="en-NZ"/>
              </w:rPr>
              <w:t>&lt;</w:t>
            </w:r>
            <w:r>
              <w:rPr>
                <w:color w:val="000000"/>
                <w:sz w:val="16"/>
                <w:szCs w:val="16"/>
                <w:lang w:eastAsia="en-NZ"/>
              </w:rPr>
              <w:t>0</w:t>
            </w:r>
            <w:r w:rsidRPr="00FE454B">
              <w:rPr>
                <w:color w:val="000000"/>
                <w:sz w:val="16"/>
                <w:szCs w:val="16"/>
                <w:lang w:eastAsia="en-NZ"/>
              </w:rPr>
              <w:t>.0001</w:t>
            </w:r>
          </w:p>
        </w:tc>
      </w:tr>
      <w:tr w:rsidR="001C5E0E" w:rsidRPr="001A61F1" w14:paraId="03EDAB43" w14:textId="77777777" w:rsidTr="005F3C25">
        <w:tc>
          <w:tcPr>
            <w:tcW w:w="5387" w:type="dxa"/>
            <w:vAlign w:val="bottom"/>
          </w:tcPr>
          <w:p w14:paraId="4A116CA1" w14:textId="77777777" w:rsidR="001C5E0E" w:rsidRPr="003F15C0" w:rsidRDefault="001C5E0E" w:rsidP="001C5E0E">
            <w:pPr>
              <w:spacing w:before="20"/>
              <w:jc w:val="both"/>
              <w:rPr>
                <w:b/>
                <w:sz w:val="16"/>
                <w:szCs w:val="16"/>
              </w:rPr>
            </w:pPr>
            <w:r w:rsidRPr="003F15C0">
              <w:rPr>
                <w:b/>
                <w:sz w:val="16"/>
                <w:szCs w:val="16"/>
              </w:rPr>
              <w:t>Club EGMs - monthly</w:t>
            </w:r>
          </w:p>
        </w:tc>
        <w:tc>
          <w:tcPr>
            <w:tcW w:w="992" w:type="dxa"/>
            <w:shd w:val="clear" w:color="auto" w:fill="auto"/>
            <w:vAlign w:val="bottom"/>
          </w:tcPr>
          <w:p w14:paraId="19813C40"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0DF11BF9"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75CAE630" w14:textId="77777777" w:rsidR="001C5E0E" w:rsidRPr="007B750E" w:rsidRDefault="001C5E0E" w:rsidP="001C5E0E">
            <w:pPr>
              <w:jc w:val="right"/>
              <w:rPr>
                <w:color w:val="000000"/>
                <w:sz w:val="16"/>
                <w:szCs w:val="16"/>
                <w:lang w:eastAsia="en-NZ"/>
              </w:rPr>
            </w:pPr>
          </w:p>
        </w:tc>
      </w:tr>
      <w:tr w:rsidR="001C5E0E" w:rsidRPr="001A61F1" w14:paraId="18A77086" w14:textId="77777777" w:rsidTr="005F3C25">
        <w:tc>
          <w:tcPr>
            <w:tcW w:w="5387" w:type="dxa"/>
          </w:tcPr>
          <w:p w14:paraId="4FCFEB80"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768A763F" w14:textId="77777777" w:rsidR="001C5E0E" w:rsidRPr="00FE454B" w:rsidRDefault="001C5E0E" w:rsidP="001C5E0E">
            <w:pPr>
              <w:jc w:val="right"/>
              <w:rPr>
                <w:color w:val="000000"/>
                <w:sz w:val="16"/>
                <w:szCs w:val="16"/>
                <w:lang w:eastAsia="en-NZ"/>
              </w:rPr>
            </w:pPr>
            <w:r w:rsidRPr="00FE454B">
              <w:rPr>
                <w:color w:val="000000"/>
                <w:sz w:val="16"/>
                <w:szCs w:val="16"/>
                <w:lang w:eastAsia="en-NZ"/>
              </w:rPr>
              <w:t>1.00</w:t>
            </w:r>
          </w:p>
        </w:tc>
        <w:tc>
          <w:tcPr>
            <w:tcW w:w="1276" w:type="dxa"/>
            <w:shd w:val="clear" w:color="auto" w:fill="auto"/>
            <w:vAlign w:val="bottom"/>
          </w:tcPr>
          <w:p w14:paraId="38E74C8B" w14:textId="77777777" w:rsidR="001C5E0E" w:rsidRPr="00FE454B" w:rsidRDefault="001C5E0E" w:rsidP="001C5E0E">
            <w:pPr>
              <w:jc w:val="right"/>
              <w:rPr>
                <w:color w:val="000000"/>
                <w:sz w:val="16"/>
                <w:szCs w:val="16"/>
                <w:lang w:eastAsia="en-NZ"/>
              </w:rPr>
            </w:pPr>
          </w:p>
        </w:tc>
        <w:tc>
          <w:tcPr>
            <w:tcW w:w="850" w:type="dxa"/>
            <w:shd w:val="clear" w:color="auto" w:fill="auto"/>
            <w:vAlign w:val="bottom"/>
          </w:tcPr>
          <w:p w14:paraId="1C703B80" w14:textId="77777777" w:rsidR="001C5E0E" w:rsidRPr="00FE454B" w:rsidRDefault="001C5E0E" w:rsidP="001C5E0E">
            <w:pPr>
              <w:jc w:val="right"/>
              <w:rPr>
                <w:color w:val="000000"/>
                <w:sz w:val="16"/>
                <w:szCs w:val="16"/>
                <w:lang w:eastAsia="en-NZ"/>
              </w:rPr>
            </w:pPr>
          </w:p>
        </w:tc>
      </w:tr>
      <w:tr w:rsidR="001C5E0E" w:rsidRPr="001A61F1" w14:paraId="23D18C10" w14:textId="77777777" w:rsidTr="00826105">
        <w:tc>
          <w:tcPr>
            <w:tcW w:w="5387" w:type="dxa"/>
          </w:tcPr>
          <w:p w14:paraId="6A94820B"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5E4DD721" w14:textId="77777777" w:rsidR="001C5E0E" w:rsidRPr="00FE454B" w:rsidRDefault="001C5E0E" w:rsidP="001C5E0E">
            <w:pPr>
              <w:jc w:val="right"/>
              <w:rPr>
                <w:color w:val="000000"/>
                <w:sz w:val="16"/>
                <w:szCs w:val="16"/>
                <w:lang w:eastAsia="en-NZ"/>
              </w:rPr>
            </w:pPr>
            <w:r w:rsidRPr="00FE454B">
              <w:rPr>
                <w:color w:val="000000"/>
                <w:sz w:val="16"/>
                <w:szCs w:val="16"/>
                <w:lang w:eastAsia="en-NZ"/>
              </w:rPr>
              <w:t>7.32</w:t>
            </w:r>
          </w:p>
        </w:tc>
        <w:tc>
          <w:tcPr>
            <w:tcW w:w="1276" w:type="dxa"/>
            <w:shd w:val="clear" w:color="auto" w:fill="auto"/>
            <w:vAlign w:val="bottom"/>
          </w:tcPr>
          <w:p w14:paraId="6B4305D8" w14:textId="77777777" w:rsidR="001C5E0E" w:rsidRPr="00FE454B" w:rsidRDefault="001C5E0E" w:rsidP="001C5E0E">
            <w:pPr>
              <w:jc w:val="right"/>
              <w:rPr>
                <w:color w:val="000000"/>
                <w:sz w:val="16"/>
                <w:szCs w:val="16"/>
                <w:lang w:eastAsia="en-NZ"/>
              </w:rPr>
            </w:pPr>
            <w:r w:rsidRPr="00FE454B">
              <w:rPr>
                <w:color w:val="000000"/>
                <w:sz w:val="16"/>
                <w:szCs w:val="16"/>
                <w:lang w:eastAsia="en-NZ"/>
              </w:rPr>
              <w:t>(3.27, 16.40)</w:t>
            </w:r>
          </w:p>
        </w:tc>
        <w:tc>
          <w:tcPr>
            <w:tcW w:w="850" w:type="dxa"/>
            <w:shd w:val="clear" w:color="auto" w:fill="auto"/>
            <w:vAlign w:val="bottom"/>
          </w:tcPr>
          <w:p w14:paraId="05442F27" w14:textId="77777777" w:rsidR="001C5E0E" w:rsidRPr="00FE454B" w:rsidRDefault="001C5E0E" w:rsidP="001C5E0E">
            <w:pPr>
              <w:jc w:val="right"/>
              <w:rPr>
                <w:color w:val="000000"/>
                <w:sz w:val="16"/>
                <w:szCs w:val="16"/>
                <w:lang w:eastAsia="en-NZ"/>
              </w:rPr>
            </w:pPr>
            <w:r w:rsidRPr="00FE454B">
              <w:rPr>
                <w:color w:val="000000"/>
                <w:sz w:val="16"/>
                <w:szCs w:val="16"/>
                <w:lang w:eastAsia="en-NZ"/>
              </w:rPr>
              <w:t>&lt;</w:t>
            </w:r>
            <w:r>
              <w:rPr>
                <w:color w:val="000000"/>
                <w:sz w:val="16"/>
                <w:szCs w:val="16"/>
                <w:lang w:eastAsia="en-NZ"/>
              </w:rPr>
              <w:t>0</w:t>
            </w:r>
            <w:r w:rsidRPr="00FE454B">
              <w:rPr>
                <w:color w:val="000000"/>
                <w:sz w:val="16"/>
                <w:szCs w:val="16"/>
                <w:lang w:eastAsia="en-NZ"/>
              </w:rPr>
              <w:t>.0001</w:t>
            </w:r>
          </w:p>
        </w:tc>
      </w:tr>
      <w:tr w:rsidR="001C5E0E" w:rsidRPr="001A61F1" w14:paraId="0D022EF7" w14:textId="77777777" w:rsidTr="005F3C25">
        <w:tc>
          <w:tcPr>
            <w:tcW w:w="5387" w:type="dxa"/>
            <w:vAlign w:val="bottom"/>
          </w:tcPr>
          <w:p w14:paraId="38F711B0" w14:textId="77777777" w:rsidR="001C5E0E" w:rsidRPr="003F15C0" w:rsidRDefault="001C5E0E" w:rsidP="001C5E0E">
            <w:pPr>
              <w:spacing w:before="20"/>
              <w:jc w:val="both"/>
              <w:rPr>
                <w:b/>
                <w:sz w:val="16"/>
                <w:szCs w:val="16"/>
              </w:rPr>
            </w:pPr>
            <w:r w:rsidRPr="003F15C0">
              <w:rPr>
                <w:b/>
                <w:sz w:val="16"/>
                <w:szCs w:val="16"/>
              </w:rPr>
              <w:t>EGMs overall - monthly</w:t>
            </w:r>
          </w:p>
        </w:tc>
        <w:tc>
          <w:tcPr>
            <w:tcW w:w="992" w:type="dxa"/>
            <w:shd w:val="clear" w:color="auto" w:fill="auto"/>
            <w:vAlign w:val="bottom"/>
          </w:tcPr>
          <w:p w14:paraId="796E5889"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19478A8A"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689A92E4" w14:textId="77777777" w:rsidR="001C5E0E" w:rsidRPr="007B750E" w:rsidRDefault="001C5E0E" w:rsidP="001C5E0E">
            <w:pPr>
              <w:jc w:val="right"/>
              <w:rPr>
                <w:color w:val="000000"/>
                <w:sz w:val="16"/>
                <w:szCs w:val="16"/>
                <w:lang w:eastAsia="en-NZ"/>
              </w:rPr>
            </w:pPr>
          </w:p>
        </w:tc>
      </w:tr>
      <w:tr w:rsidR="001C5E0E" w:rsidRPr="001A61F1" w14:paraId="326DD8FE" w14:textId="77777777" w:rsidTr="005F3C25">
        <w:tc>
          <w:tcPr>
            <w:tcW w:w="5387" w:type="dxa"/>
          </w:tcPr>
          <w:p w14:paraId="27D0700E"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02679704" w14:textId="77777777" w:rsidR="001C5E0E" w:rsidRPr="00FE454B" w:rsidRDefault="001C5E0E" w:rsidP="001C5E0E">
            <w:pPr>
              <w:jc w:val="right"/>
              <w:rPr>
                <w:color w:val="000000"/>
                <w:sz w:val="16"/>
                <w:szCs w:val="16"/>
                <w:lang w:eastAsia="en-NZ"/>
              </w:rPr>
            </w:pPr>
            <w:r w:rsidRPr="00FE454B">
              <w:rPr>
                <w:color w:val="000000"/>
                <w:sz w:val="16"/>
                <w:szCs w:val="16"/>
                <w:lang w:eastAsia="en-NZ"/>
              </w:rPr>
              <w:t>1.00</w:t>
            </w:r>
          </w:p>
        </w:tc>
        <w:tc>
          <w:tcPr>
            <w:tcW w:w="1276" w:type="dxa"/>
            <w:shd w:val="clear" w:color="auto" w:fill="auto"/>
            <w:vAlign w:val="bottom"/>
          </w:tcPr>
          <w:p w14:paraId="5B192455" w14:textId="77777777" w:rsidR="001C5E0E" w:rsidRPr="00FE454B" w:rsidRDefault="001C5E0E" w:rsidP="001C5E0E">
            <w:pPr>
              <w:jc w:val="right"/>
              <w:rPr>
                <w:color w:val="000000"/>
                <w:sz w:val="16"/>
                <w:szCs w:val="16"/>
                <w:lang w:eastAsia="en-NZ"/>
              </w:rPr>
            </w:pPr>
          </w:p>
        </w:tc>
        <w:tc>
          <w:tcPr>
            <w:tcW w:w="850" w:type="dxa"/>
            <w:shd w:val="clear" w:color="auto" w:fill="auto"/>
            <w:vAlign w:val="bottom"/>
          </w:tcPr>
          <w:p w14:paraId="6E93AD57" w14:textId="77777777" w:rsidR="001C5E0E" w:rsidRPr="00FE454B" w:rsidRDefault="001C5E0E" w:rsidP="001C5E0E">
            <w:pPr>
              <w:jc w:val="right"/>
              <w:rPr>
                <w:color w:val="000000"/>
                <w:sz w:val="16"/>
                <w:szCs w:val="16"/>
                <w:lang w:eastAsia="en-NZ"/>
              </w:rPr>
            </w:pPr>
          </w:p>
        </w:tc>
      </w:tr>
      <w:tr w:rsidR="001C5E0E" w:rsidRPr="001A61F1" w14:paraId="6B04B5E5" w14:textId="77777777" w:rsidTr="00826105">
        <w:tc>
          <w:tcPr>
            <w:tcW w:w="5387" w:type="dxa"/>
          </w:tcPr>
          <w:p w14:paraId="3B2A61D0"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63F744B9" w14:textId="77777777" w:rsidR="001C5E0E" w:rsidRPr="00FE454B" w:rsidRDefault="001C5E0E" w:rsidP="001C5E0E">
            <w:pPr>
              <w:jc w:val="right"/>
              <w:rPr>
                <w:color w:val="000000"/>
                <w:sz w:val="16"/>
                <w:szCs w:val="16"/>
                <w:lang w:eastAsia="en-NZ"/>
              </w:rPr>
            </w:pPr>
            <w:r w:rsidRPr="00FE454B">
              <w:rPr>
                <w:color w:val="000000"/>
                <w:sz w:val="16"/>
                <w:szCs w:val="16"/>
                <w:lang w:eastAsia="en-NZ"/>
              </w:rPr>
              <w:t>20.07</w:t>
            </w:r>
          </w:p>
        </w:tc>
        <w:tc>
          <w:tcPr>
            <w:tcW w:w="1276" w:type="dxa"/>
            <w:shd w:val="clear" w:color="auto" w:fill="auto"/>
            <w:vAlign w:val="bottom"/>
          </w:tcPr>
          <w:p w14:paraId="20145715" w14:textId="77777777" w:rsidR="001C5E0E" w:rsidRPr="00FE454B" w:rsidRDefault="001C5E0E" w:rsidP="001C5E0E">
            <w:pPr>
              <w:jc w:val="right"/>
              <w:rPr>
                <w:color w:val="000000"/>
                <w:sz w:val="16"/>
                <w:szCs w:val="16"/>
                <w:lang w:eastAsia="en-NZ"/>
              </w:rPr>
            </w:pPr>
            <w:r w:rsidRPr="00FE454B">
              <w:rPr>
                <w:color w:val="000000"/>
                <w:sz w:val="16"/>
                <w:szCs w:val="16"/>
                <w:lang w:eastAsia="en-NZ"/>
              </w:rPr>
              <w:t>(11.77, 34.24)</w:t>
            </w:r>
          </w:p>
        </w:tc>
        <w:tc>
          <w:tcPr>
            <w:tcW w:w="850" w:type="dxa"/>
            <w:shd w:val="clear" w:color="auto" w:fill="auto"/>
            <w:vAlign w:val="bottom"/>
          </w:tcPr>
          <w:p w14:paraId="475D8D5B" w14:textId="77777777" w:rsidR="001C5E0E" w:rsidRPr="00FE454B" w:rsidRDefault="001C5E0E" w:rsidP="001C5E0E">
            <w:pPr>
              <w:jc w:val="right"/>
              <w:rPr>
                <w:color w:val="000000"/>
                <w:sz w:val="16"/>
                <w:szCs w:val="16"/>
                <w:lang w:eastAsia="en-NZ"/>
              </w:rPr>
            </w:pPr>
            <w:r w:rsidRPr="00FE454B">
              <w:rPr>
                <w:color w:val="000000"/>
                <w:sz w:val="16"/>
                <w:szCs w:val="16"/>
                <w:lang w:eastAsia="en-NZ"/>
              </w:rPr>
              <w:t>&lt;</w:t>
            </w:r>
            <w:r>
              <w:rPr>
                <w:color w:val="000000"/>
                <w:sz w:val="16"/>
                <w:szCs w:val="16"/>
                <w:lang w:eastAsia="en-NZ"/>
              </w:rPr>
              <w:t>0</w:t>
            </w:r>
            <w:r w:rsidRPr="00FE454B">
              <w:rPr>
                <w:color w:val="000000"/>
                <w:sz w:val="16"/>
                <w:szCs w:val="16"/>
                <w:lang w:eastAsia="en-NZ"/>
              </w:rPr>
              <w:t>.0001</w:t>
            </w:r>
          </w:p>
        </w:tc>
      </w:tr>
      <w:tr w:rsidR="001C5E0E" w:rsidRPr="001A61F1" w14:paraId="7539E356" w14:textId="77777777" w:rsidTr="005F3C25">
        <w:tc>
          <w:tcPr>
            <w:tcW w:w="5387" w:type="dxa"/>
            <w:vAlign w:val="center"/>
          </w:tcPr>
          <w:p w14:paraId="2EC30A3A" w14:textId="77777777" w:rsidR="001C5E0E" w:rsidRPr="003F15C0" w:rsidRDefault="001C5E0E" w:rsidP="001C5E0E">
            <w:pPr>
              <w:spacing w:before="20"/>
              <w:rPr>
                <w:b/>
                <w:bCs/>
                <w:color w:val="000000"/>
                <w:sz w:val="16"/>
                <w:szCs w:val="16"/>
              </w:rPr>
            </w:pPr>
            <w:r w:rsidRPr="003F15C0">
              <w:rPr>
                <w:b/>
                <w:sz w:val="16"/>
                <w:szCs w:val="16"/>
              </w:rPr>
              <w:t>Short-term speculative investments - monthly</w:t>
            </w:r>
          </w:p>
        </w:tc>
        <w:tc>
          <w:tcPr>
            <w:tcW w:w="992" w:type="dxa"/>
            <w:shd w:val="clear" w:color="auto" w:fill="auto"/>
            <w:vAlign w:val="bottom"/>
          </w:tcPr>
          <w:p w14:paraId="0B6C2C9D"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4FF838D5"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00A92D42" w14:textId="77777777" w:rsidR="001C5E0E" w:rsidRPr="007B750E" w:rsidRDefault="001C5E0E" w:rsidP="001C5E0E">
            <w:pPr>
              <w:jc w:val="right"/>
              <w:rPr>
                <w:color w:val="000000"/>
                <w:sz w:val="16"/>
                <w:szCs w:val="16"/>
                <w:lang w:eastAsia="en-NZ"/>
              </w:rPr>
            </w:pPr>
          </w:p>
        </w:tc>
      </w:tr>
      <w:tr w:rsidR="001C5E0E" w:rsidRPr="001A61F1" w14:paraId="54B99332" w14:textId="77777777" w:rsidTr="005F3C25">
        <w:tc>
          <w:tcPr>
            <w:tcW w:w="5387" w:type="dxa"/>
          </w:tcPr>
          <w:p w14:paraId="48D35A72"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6F41A4B2" w14:textId="77777777" w:rsidR="001C5E0E" w:rsidRPr="00FE454B" w:rsidRDefault="001C5E0E" w:rsidP="001C5E0E">
            <w:pPr>
              <w:jc w:val="right"/>
              <w:rPr>
                <w:color w:val="000000"/>
                <w:sz w:val="16"/>
                <w:szCs w:val="16"/>
                <w:lang w:eastAsia="en-NZ"/>
              </w:rPr>
            </w:pPr>
            <w:r w:rsidRPr="00FE454B">
              <w:rPr>
                <w:color w:val="000000"/>
                <w:sz w:val="16"/>
                <w:szCs w:val="16"/>
                <w:lang w:eastAsia="en-NZ"/>
              </w:rPr>
              <w:t>1.00</w:t>
            </w:r>
          </w:p>
        </w:tc>
        <w:tc>
          <w:tcPr>
            <w:tcW w:w="1276" w:type="dxa"/>
            <w:shd w:val="clear" w:color="auto" w:fill="auto"/>
            <w:vAlign w:val="bottom"/>
          </w:tcPr>
          <w:p w14:paraId="44584656" w14:textId="77777777" w:rsidR="001C5E0E" w:rsidRPr="00FE454B" w:rsidRDefault="001C5E0E" w:rsidP="001C5E0E">
            <w:pPr>
              <w:jc w:val="right"/>
              <w:rPr>
                <w:color w:val="000000"/>
                <w:sz w:val="16"/>
                <w:szCs w:val="16"/>
                <w:lang w:eastAsia="en-NZ"/>
              </w:rPr>
            </w:pPr>
          </w:p>
        </w:tc>
        <w:tc>
          <w:tcPr>
            <w:tcW w:w="850" w:type="dxa"/>
            <w:shd w:val="clear" w:color="auto" w:fill="auto"/>
            <w:vAlign w:val="bottom"/>
          </w:tcPr>
          <w:p w14:paraId="098F2CE2" w14:textId="77777777" w:rsidR="001C5E0E" w:rsidRPr="00FE454B" w:rsidRDefault="001C5E0E" w:rsidP="001C5E0E">
            <w:pPr>
              <w:jc w:val="right"/>
              <w:rPr>
                <w:color w:val="000000"/>
                <w:sz w:val="16"/>
                <w:szCs w:val="16"/>
                <w:lang w:eastAsia="en-NZ"/>
              </w:rPr>
            </w:pPr>
          </w:p>
        </w:tc>
      </w:tr>
      <w:tr w:rsidR="001C5E0E" w:rsidRPr="001A61F1" w14:paraId="15AA5102" w14:textId="77777777" w:rsidTr="00826105">
        <w:tc>
          <w:tcPr>
            <w:tcW w:w="5387" w:type="dxa"/>
          </w:tcPr>
          <w:p w14:paraId="6E50CEBC"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2D17FFE1" w14:textId="77777777" w:rsidR="001C5E0E" w:rsidRPr="00FE454B" w:rsidRDefault="001C5E0E" w:rsidP="001C5E0E">
            <w:pPr>
              <w:jc w:val="right"/>
              <w:rPr>
                <w:color w:val="000000"/>
                <w:sz w:val="16"/>
                <w:szCs w:val="16"/>
                <w:lang w:eastAsia="en-NZ"/>
              </w:rPr>
            </w:pPr>
            <w:r w:rsidRPr="00FE454B">
              <w:rPr>
                <w:color w:val="000000"/>
                <w:sz w:val="16"/>
                <w:szCs w:val="16"/>
                <w:lang w:eastAsia="en-NZ"/>
              </w:rPr>
              <w:t>15.80</w:t>
            </w:r>
          </w:p>
        </w:tc>
        <w:tc>
          <w:tcPr>
            <w:tcW w:w="1276" w:type="dxa"/>
            <w:shd w:val="clear" w:color="auto" w:fill="auto"/>
            <w:vAlign w:val="bottom"/>
          </w:tcPr>
          <w:p w14:paraId="0CC01EB4" w14:textId="77777777" w:rsidR="001C5E0E" w:rsidRPr="00FE454B" w:rsidRDefault="001C5E0E" w:rsidP="001C5E0E">
            <w:pPr>
              <w:jc w:val="right"/>
              <w:rPr>
                <w:color w:val="000000"/>
                <w:sz w:val="16"/>
                <w:szCs w:val="16"/>
                <w:lang w:eastAsia="en-NZ"/>
              </w:rPr>
            </w:pPr>
            <w:r w:rsidRPr="00FE454B">
              <w:rPr>
                <w:color w:val="000000"/>
                <w:sz w:val="16"/>
                <w:szCs w:val="16"/>
                <w:lang w:eastAsia="en-NZ"/>
              </w:rPr>
              <w:t>(2.49, 100.32)</w:t>
            </w:r>
          </w:p>
        </w:tc>
        <w:tc>
          <w:tcPr>
            <w:tcW w:w="850" w:type="dxa"/>
            <w:shd w:val="clear" w:color="auto" w:fill="auto"/>
            <w:vAlign w:val="bottom"/>
          </w:tcPr>
          <w:p w14:paraId="41668933" w14:textId="77777777" w:rsidR="001C5E0E" w:rsidRPr="00FE454B" w:rsidRDefault="001C5E0E" w:rsidP="001C5E0E">
            <w:pPr>
              <w:jc w:val="right"/>
              <w:rPr>
                <w:color w:val="000000"/>
                <w:sz w:val="16"/>
                <w:szCs w:val="16"/>
                <w:lang w:eastAsia="en-NZ"/>
              </w:rPr>
            </w:pPr>
            <w:r w:rsidRPr="00FE454B">
              <w:rPr>
                <w:color w:val="000000"/>
                <w:sz w:val="16"/>
                <w:szCs w:val="16"/>
                <w:lang w:eastAsia="en-NZ"/>
              </w:rPr>
              <w:t>0.003</w:t>
            </w:r>
          </w:p>
        </w:tc>
      </w:tr>
      <w:tr w:rsidR="001C5E0E" w:rsidRPr="001A61F1" w14:paraId="160CEC01" w14:textId="77777777" w:rsidTr="001945A1">
        <w:tc>
          <w:tcPr>
            <w:tcW w:w="5387" w:type="dxa"/>
            <w:vAlign w:val="bottom"/>
          </w:tcPr>
          <w:p w14:paraId="41F26748" w14:textId="77777777" w:rsidR="001C5E0E" w:rsidRPr="003F15C0" w:rsidRDefault="001C5E0E" w:rsidP="001C5E0E">
            <w:pPr>
              <w:spacing w:before="20"/>
              <w:jc w:val="both"/>
              <w:rPr>
                <w:b/>
                <w:sz w:val="16"/>
                <w:szCs w:val="16"/>
              </w:rPr>
            </w:pPr>
            <w:r>
              <w:rPr>
                <w:b/>
                <w:sz w:val="16"/>
                <w:szCs w:val="16"/>
              </w:rPr>
              <w:t>I</w:t>
            </w:r>
            <w:r w:rsidRPr="003F15C0">
              <w:rPr>
                <w:b/>
                <w:sz w:val="16"/>
                <w:szCs w:val="16"/>
              </w:rPr>
              <w:t xml:space="preserve">nternet gambling </w:t>
            </w:r>
            <w:r>
              <w:rPr>
                <w:b/>
                <w:sz w:val="16"/>
                <w:szCs w:val="16"/>
              </w:rPr>
              <w:t xml:space="preserve">overall </w:t>
            </w:r>
            <w:r w:rsidRPr="003F15C0">
              <w:rPr>
                <w:b/>
                <w:sz w:val="16"/>
                <w:szCs w:val="16"/>
              </w:rPr>
              <w:t>- monthly</w:t>
            </w:r>
          </w:p>
        </w:tc>
        <w:tc>
          <w:tcPr>
            <w:tcW w:w="992" w:type="dxa"/>
            <w:shd w:val="clear" w:color="auto" w:fill="auto"/>
            <w:vAlign w:val="bottom"/>
          </w:tcPr>
          <w:p w14:paraId="0B711FC8"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0DDD0158"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72893D98" w14:textId="77777777" w:rsidR="001C5E0E" w:rsidRPr="007B750E" w:rsidRDefault="001C5E0E" w:rsidP="001C5E0E">
            <w:pPr>
              <w:jc w:val="right"/>
              <w:rPr>
                <w:color w:val="000000"/>
                <w:sz w:val="16"/>
                <w:szCs w:val="16"/>
                <w:lang w:eastAsia="en-NZ"/>
              </w:rPr>
            </w:pPr>
          </w:p>
        </w:tc>
      </w:tr>
      <w:tr w:rsidR="001C5E0E" w:rsidRPr="001A61F1" w14:paraId="6DBC6D82" w14:textId="77777777" w:rsidTr="001945A1">
        <w:tc>
          <w:tcPr>
            <w:tcW w:w="5387" w:type="dxa"/>
          </w:tcPr>
          <w:p w14:paraId="08C6988A"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tcPr>
          <w:p w14:paraId="45D6A61F" w14:textId="77777777" w:rsidR="001C5E0E" w:rsidRPr="00FE454B" w:rsidRDefault="001C5E0E" w:rsidP="001C5E0E">
            <w:pPr>
              <w:jc w:val="right"/>
              <w:rPr>
                <w:color w:val="000000"/>
                <w:sz w:val="16"/>
                <w:szCs w:val="16"/>
                <w:lang w:eastAsia="en-NZ"/>
              </w:rPr>
            </w:pPr>
            <w:r w:rsidRPr="00FE454B">
              <w:rPr>
                <w:color w:val="000000"/>
                <w:sz w:val="16"/>
                <w:szCs w:val="16"/>
                <w:lang w:eastAsia="en-NZ"/>
              </w:rPr>
              <w:t>1.00</w:t>
            </w:r>
          </w:p>
        </w:tc>
        <w:tc>
          <w:tcPr>
            <w:tcW w:w="1276" w:type="dxa"/>
            <w:shd w:val="clear" w:color="auto" w:fill="auto"/>
          </w:tcPr>
          <w:p w14:paraId="56AFD1BF" w14:textId="77777777" w:rsidR="001C5E0E" w:rsidRPr="00FE454B" w:rsidRDefault="001C5E0E" w:rsidP="001C5E0E">
            <w:pPr>
              <w:jc w:val="right"/>
              <w:rPr>
                <w:color w:val="000000"/>
                <w:sz w:val="16"/>
                <w:szCs w:val="16"/>
                <w:lang w:eastAsia="en-NZ"/>
              </w:rPr>
            </w:pPr>
          </w:p>
        </w:tc>
        <w:tc>
          <w:tcPr>
            <w:tcW w:w="850" w:type="dxa"/>
            <w:shd w:val="clear" w:color="auto" w:fill="auto"/>
          </w:tcPr>
          <w:p w14:paraId="320E681A" w14:textId="77777777" w:rsidR="001C5E0E" w:rsidRPr="00FE454B" w:rsidRDefault="001C5E0E" w:rsidP="001C5E0E">
            <w:pPr>
              <w:jc w:val="right"/>
              <w:rPr>
                <w:color w:val="000000"/>
                <w:sz w:val="16"/>
                <w:szCs w:val="16"/>
                <w:lang w:eastAsia="en-NZ"/>
              </w:rPr>
            </w:pPr>
          </w:p>
        </w:tc>
      </w:tr>
      <w:tr w:rsidR="001C5E0E" w:rsidRPr="001A61F1" w14:paraId="1051F212" w14:textId="77777777" w:rsidTr="00826105">
        <w:tc>
          <w:tcPr>
            <w:tcW w:w="5387" w:type="dxa"/>
          </w:tcPr>
          <w:p w14:paraId="70C1F9AD"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tcPr>
          <w:p w14:paraId="5C945FF3" w14:textId="77777777" w:rsidR="001C5E0E" w:rsidRPr="00FE454B" w:rsidRDefault="001C5E0E" w:rsidP="001C5E0E">
            <w:pPr>
              <w:jc w:val="right"/>
              <w:rPr>
                <w:color w:val="000000"/>
                <w:sz w:val="16"/>
                <w:szCs w:val="16"/>
                <w:lang w:eastAsia="en-NZ"/>
              </w:rPr>
            </w:pPr>
            <w:r w:rsidRPr="00FE454B">
              <w:rPr>
                <w:color w:val="000000"/>
                <w:sz w:val="16"/>
                <w:szCs w:val="16"/>
                <w:lang w:eastAsia="en-NZ"/>
              </w:rPr>
              <w:t>5.73</w:t>
            </w:r>
          </w:p>
        </w:tc>
        <w:tc>
          <w:tcPr>
            <w:tcW w:w="1276" w:type="dxa"/>
            <w:shd w:val="clear" w:color="auto" w:fill="auto"/>
          </w:tcPr>
          <w:p w14:paraId="4331E217" w14:textId="77777777" w:rsidR="001C5E0E" w:rsidRPr="00FE454B" w:rsidRDefault="001C5E0E" w:rsidP="001C5E0E">
            <w:pPr>
              <w:jc w:val="right"/>
              <w:rPr>
                <w:color w:val="000000"/>
                <w:sz w:val="16"/>
                <w:szCs w:val="16"/>
                <w:lang w:eastAsia="en-NZ"/>
              </w:rPr>
            </w:pPr>
            <w:r w:rsidRPr="00FE454B">
              <w:rPr>
                <w:color w:val="000000"/>
                <w:sz w:val="16"/>
                <w:szCs w:val="16"/>
                <w:lang w:eastAsia="en-NZ"/>
              </w:rPr>
              <w:t>(1.11, 29.66)</w:t>
            </w:r>
          </w:p>
        </w:tc>
        <w:tc>
          <w:tcPr>
            <w:tcW w:w="850" w:type="dxa"/>
            <w:shd w:val="clear" w:color="auto" w:fill="auto"/>
          </w:tcPr>
          <w:p w14:paraId="6BBB6D03" w14:textId="77777777" w:rsidR="001C5E0E" w:rsidRPr="00FE454B" w:rsidRDefault="001C5E0E" w:rsidP="001C5E0E">
            <w:pPr>
              <w:jc w:val="right"/>
              <w:rPr>
                <w:color w:val="000000"/>
                <w:sz w:val="16"/>
                <w:szCs w:val="16"/>
                <w:lang w:eastAsia="en-NZ"/>
              </w:rPr>
            </w:pPr>
            <w:r w:rsidRPr="00FE454B">
              <w:rPr>
                <w:color w:val="000000"/>
                <w:sz w:val="16"/>
                <w:szCs w:val="16"/>
                <w:lang w:eastAsia="en-NZ"/>
              </w:rPr>
              <w:t>0.04</w:t>
            </w:r>
          </w:p>
        </w:tc>
      </w:tr>
      <w:tr w:rsidR="001C5E0E" w:rsidRPr="001A61F1" w14:paraId="2B23C88E" w14:textId="77777777" w:rsidTr="001945A1">
        <w:tc>
          <w:tcPr>
            <w:tcW w:w="5387" w:type="dxa"/>
            <w:vAlign w:val="bottom"/>
          </w:tcPr>
          <w:p w14:paraId="32C05842" w14:textId="77777777" w:rsidR="001C5E0E" w:rsidRPr="003F15C0" w:rsidRDefault="001C5E0E" w:rsidP="001C5E0E">
            <w:pPr>
              <w:spacing w:before="20"/>
              <w:jc w:val="both"/>
              <w:rPr>
                <w:b/>
                <w:sz w:val="16"/>
                <w:szCs w:val="16"/>
              </w:rPr>
            </w:pPr>
            <w:r>
              <w:rPr>
                <w:b/>
                <w:sz w:val="16"/>
                <w:szCs w:val="16"/>
              </w:rPr>
              <w:t>NZ</w:t>
            </w:r>
            <w:r w:rsidRPr="003F15C0">
              <w:rPr>
                <w:b/>
                <w:sz w:val="16"/>
                <w:szCs w:val="16"/>
              </w:rPr>
              <w:t xml:space="preserve"> internet gambling - monthly</w:t>
            </w:r>
          </w:p>
        </w:tc>
        <w:tc>
          <w:tcPr>
            <w:tcW w:w="992" w:type="dxa"/>
            <w:shd w:val="clear" w:color="auto" w:fill="auto"/>
            <w:vAlign w:val="bottom"/>
          </w:tcPr>
          <w:p w14:paraId="1806ACE7"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5323D3FD"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208861FC" w14:textId="77777777" w:rsidR="001C5E0E" w:rsidRPr="007B750E" w:rsidRDefault="001C5E0E" w:rsidP="001C5E0E">
            <w:pPr>
              <w:jc w:val="right"/>
              <w:rPr>
                <w:color w:val="000000"/>
                <w:sz w:val="16"/>
                <w:szCs w:val="16"/>
                <w:lang w:eastAsia="en-NZ"/>
              </w:rPr>
            </w:pPr>
          </w:p>
        </w:tc>
      </w:tr>
      <w:tr w:rsidR="001C5E0E" w:rsidRPr="001A61F1" w14:paraId="6525A2EC" w14:textId="77777777" w:rsidTr="001945A1">
        <w:tc>
          <w:tcPr>
            <w:tcW w:w="5387" w:type="dxa"/>
          </w:tcPr>
          <w:p w14:paraId="16D1B86B"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tcPr>
          <w:p w14:paraId="069CA9A1" w14:textId="77777777" w:rsidR="001C5E0E" w:rsidRPr="00FE454B" w:rsidRDefault="001C5E0E" w:rsidP="001C5E0E">
            <w:pPr>
              <w:jc w:val="right"/>
              <w:rPr>
                <w:color w:val="000000"/>
                <w:sz w:val="16"/>
                <w:szCs w:val="16"/>
                <w:lang w:eastAsia="en-NZ"/>
              </w:rPr>
            </w:pPr>
            <w:r w:rsidRPr="00FE454B">
              <w:rPr>
                <w:color w:val="000000"/>
                <w:sz w:val="16"/>
                <w:szCs w:val="16"/>
                <w:lang w:eastAsia="en-NZ"/>
              </w:rPr>
              <w:t>1.00</w:t>
            </w:r>
          </w:p>
        </w:tc>
        <w:tc>
          <w:tcPr>
            <w:tcW w:w="1276" w:type="dxa"/>
            <w:shd w:val="clear" w:color="auto" w:fill="auto"/>
          </w:tcPr>
          <w:p w14:paraId="43244747" w14:textId="77777777" w:rsidR="001C5E0E" w:rsidRPr="00FE454B" w:rsidRDefault="001C5E0E" w:rsidP="001C5E0E">
            <w:pPr>
              <w:jc w:val="right"/>
              <w:rPr>
                <w:color w:val="000000"/>
                <w:sz w:val="16"/>
                <w:szCs w:val="16"/>
                <w:lang w:eastAsia="en-NZ"/>
              </w:rPr>
            </w:pPr>
          </w:p>
        </w:tc>
        <w:tc>
          <w:tcPr>
            <w:tcW w:w="850" w:type="dxa"/>
            <w:shd w:val="clear" w:color="auto" w:fill="auto"/>
          </w:tcPr>
          <w:p w14:paraId="61CF34B3" w14:textId="77777777" w:rsidR="001C5E0E" w:rsidRPr="00FE454B" w:rsidRDefault="001C5E0E" w:rsidP="001C5E0E">
            <w:pPr>
              <w:jc w:val="right"/>
              <w:rPr>
                <w:color w:val="000000"/>
                <w:sz w:val="16"/>
                <w:szCs w:val="16"/>
                <w:lang w:eastAsia="en-NZ"/>
              </w:rPr>
            </w:pPr>
          </w:p>
        </w:tc>
      </w:tr>
      <w:tr w:rsidR="001C5E0E" w:rsidRPr="001A61F1" w14:paraId="713BEAC2" w14:textId="77777777" w:rsidTr="00826105">
        <w:tc>
          <w:tcPr>
            <w:tcW w:w="5387" w:type="dxa"/>
          </w:tcPr>
          <w:p w14:paraId="6FE82726"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tcPr>
          <w:p w14:paraId="3832E0D4" w14:textId="77777777" w:rsidR="001C5E0E" w:rsidRPr="00FE454B" w:rsidRDefault="001C5E0E" w:rsidP="001C5E0E">
            <w:pPr>
              <w:jc w:val="right"/>
              <w:rPr>
                <w:color w:val="000000"/>
                <w:sz w:val="16"/>
                <w:szCs w:val="16"/>
                <w:lang w:eastAsia="en-NZ"/>
              </w:rPr>
            </w:pPr>
            <w:r w:rsidRPr="00FE454B">
              <w:rPr>
                <w:color w:val="000000"/>
                <w:sz w:val="16"/>
                <w:szCs w:val="16"/>
                <w:lang w:eastAsia="en-NZ"/>
              </w:rPr>
              <w:t>2.40</w:t>
            </w:r>
          </w:p>
        </w:tc>
        <w:tc>
          <w:tcPr>
            <w:tcW w:w="1276" w:type="dxa"/>
            <w:shd w:val="clear" w:color="auto" w:fill="auto"/>
          </w:tcPr>
          <w:p w14:paraId="12E800F5" w14:textId="77777777" w:rsidR="001C5E0E" w:rsidRPr="00FE454B" w:rsidRDefault="001C5E0E" w:rsidP="001C5E0E">
            <w:pPr>
              <w:jc w:val="right"/>
              <w:rPr>
                <w:color w:val="000000"/>
                <w:sz w:val="16"/>
                <w:szCs w:val="16"/>
                <w:lang w:eastAsia="en-NZ"/>
              </w:rPr>
            </w:pPr>
            <w:r w:rsidRPr="00FE454B">
              <w:rPr>
                <w:color w:val="000000"/>
                <w:sz w:val="16"/>
                <w:szCs w:val="16"/>
                <w:lang w:eastAsia="en-NZ"/>
              </w:rPr>
              <w:t>(1.47, 3.92)</w:t>
            </w:r>
          </w:p>
        </w:tc>
        <w:tc>
          <w:tcPr>
            <w:tcW w:w="850" w:type="dxa"/>
            <w:shd w:val="clear" w:color="auto" w:fill="auto"/>
          </w:tcPr>
          <w:p w14:paraId="6979659B" w14:textId="77777777" w:rsidR="001C5E0E" w:rsidRPr="00FE454B" w:rsidRDefault="001C5E0E" w:rsidP="001C5E0E">
            <w:pPr>
              <w:jc w:val="right"/>
              <w:rPr>
                <w:color w:val="000000"/>
                <w:sz w:val="16"/>
                <w:szCs w:val="16"/>
                <w:lang w:eastAsia="en-NZ"/>
              </w:rPr>
            </w:pPr>
            <w:r w:rsidRPr="00FE454B">
              <w:rPr>
                <w:color w:val="000000"/>
                <w:sz w:val="16"/>
                <w:szCs w:val="16"/>
                <w:lang w:eastAsia="en-NZ"/>
              </w:rPr>
              <w:t>0.0004</w:t>
            </w:r>
          </w:p>
        </w:tc>
      </w:tr>
      <w:tr w:rsidR="001C5E0E" w:rsidRPr="001A61F1" w14:paraId="34DA5409" w14:textId="77777777" w:rsidTr="001945A1">
        <w:tc>
          <w:tcPr>
            <w:tcW w:w="5387" w:type="dxa"/>
            <w:vAlign w:val="bottom"/>
          </w:tcPr>
          <w:p w14:paraId="22AA138F" w14:textId="77777777" w:rsidR="001C5E0E" w:rsidRPr="003F15C0" w:rsidRDefault="001C5E0E" w:rsidP="001C5E0E">
            <w:pPr>
              <w:spacing w:before="20"/>
              <w:jc w:val="both"/>
              <w:rPr>
                <w:b/>
                <w:sz w:val="16"/>
                <w:szCs w:val="16"/>
              </w:rPr>
            </w:pPr>
            <w:r w:rsidRPr="003F15C0">
              <w:rPr>
                <w:b/>
                <w:sz w:val="16"/>
                <w:szCs w:val="16"/>
              </w:rPr>
              <w:t>Overseas internet gambling - monthly</w:t>
            </w:r>
          </w:p>
        </w:tc>
        <w:tc>
          <w:tcPr>
            <w:tcW w:w="992" w:type="dxa"/>
            <w:shd w:val="clear" w:color="auto" w:fill="auto"/>
            <w:vAlign w:val="bottom"/>
          </w:tcPr>
          <w:p w14:paraId="71BD0AD2"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7C550B21"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6598E01B" w14:textId="77777777" w:rsidR="001C5E0E" w:rsidRPr="007B750E" w:rsidRDefault="001C5E0E" w:rsidP="001C5E0E">
            <w:pPr>
              <w:jc w:val="right"/>
              <w:rPr>
                <w:color w:val="000000"/>
                <w:sz w:val="16"/>
                <w:szCs w:val="16"/>
                <w:lang w:eastAsia="en-NZ"/>
              </w:rPr>
            </w:pPr>
          </w:p>
        </w:tc>
      </w:tr>
      <w:tr w:rsidR="001C5E0E" w:rsidRPr="001A61F1" w14:paraId="601A85B8" w14:textId="77777777" w:rsidTr="001945A1">
        <w:tc>
          <w:tcPr>
            <w:tcW w:w="5387" w:type="dxa"/>
          </w:tcPr>
          <w:p w14:paraId="36D6AA26"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tcPr>
          <w:p w14:paraId="644A3537" w14:textId="77777777" w:rsidR="001C5E0E" w:rsidRPr="00FE454B" w:rsidRDefault="001C5E0E" w:rsidP="001C5E0E">
            <w:pPr>
              <w:jc w:val="right"/>
              <w:rPr>
                <w:color w:val="000000"/>
                <w:sz w:val="16"/>
                <w:szCs w:val="16"/>
                <w:lang w:eastAsia="en-NZ"/>
              </w:rPr>
            </w:pPr>
            <w:r w:rsidRPr="00FE454B">
              <w:rPr>
                <w:color w:val="000000"/>
                <w:sz w:val="16"/>
                <w:szCs w:val="16"/>
                <w:lang w:eastAsia="en-NZ"/>
              </w:rPr>
              <w:t>1.00</w:t>
            </w:r>
          </w:p>
        </w:tc>
        <w:tc>
          <w:tcPr>
            <w:tcW w:w="1276" w:type="dxa"/>
            <w:shd w:val="clear" w:color="auto" w:fill="auto"/>
          </w:tcPr>
          <w:p w14:paraId="0DE86EC7" w14:textId="77777777" w:rsidR="001C5E0E" w:rsidRPr="00FE454B" w:rsidRDefault="001C5E0E" w:rsidP="001C5E0E">
            <w:pPr>
              <w:jc w:val="right"/>
              <w:rPr>
                <w:color w:val="000000"/>
                <w:sz w:val="16"/>
                <w:szCs w:val="16"/>
                <w:lang w:eastAsia="en-NZ"/>
              </w:rPr>
            </w:pPr>
          </w:p>
        </w:tc>
        <w:tc>
          <w:tcPr>
            <w:tcW w:w="850" w:type="dxa"/>
            <w:shd w:val="clear" w:color="auto" w:fill="auto"/>
          </w:tcPr>
          <w:p w14:paraId="28EE7C12" w14:textId="77777777" w:rsidR="001C5E0E" w:rsidRPr="00FE454B" w:rsidRDefault="001C5E0E" w:rsidP="001C5E0E">
            <w:pPr>
              <w:jc w:val="right"/>
              <w:rPr>
                <w:color w:val="000000"/>
                <w:sz w:val="16"/>
                <w:szCs w:val="16"/>
                <w:lang w:eastAsia="en-NZ"/>
              </w:rPr>
            </w:pPr>
          </w:p>
        </w:tc>
      </w:tr>
      <w:tr w:rsidR="001C5E0E" w:rsidRPr="001A61F1" w14:paraId="25592F41" w14:textId="77777777" w:rsidTr="00826105">
        <w:tc>
          <w:tcPr>
            <w:tcW w:w="5387" w:type="dxa"/>
          </w:tcPr>
          <w:p w14:paraId="7488D31C"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tcPr>
          <w:p w14:paraId="4017CF42" w14:textId="77777777" w:rsidR="001C5E0E" w:rsidRPr="00FE454B" w:rsidRDefault="001C5E0E" w:rsidP="001C5E0E">
            <w:pPr>
              <w:jc w:val="right"/>
              <w:rPr>
                <w:color w:val="000000"/>
                <w:sz w:val="16"/>
                <w:szCs w:val="16"/>
                <w:lang w:eastAsia="en-NZ"/>
              </w:rPr>
            </w:pPr>
            <w:r w:rsidRPr="00FE454B">
              <w:rPr>
                <w:color w:val="000000"/>
                <w:sz w:val="16"/>
                <w:szCs w:val="16"/>
                <w:lang w:eastAsia="en-NZ"/>
              </w:rPr>
              <w:t>11.05</w:t>
            </w:r>
          </w:p>
        </w:tc>
        <w:tc>
          <w:tcPr>
            <w:tcW w:w="1276" w:type="dxa"/>
            <w:shd w:val="clear" w:color="auto" w:fill="auto"/>
          </w:tcPr>
          <w:p w14:paraId="6C76FB01" w14:textId="77777777" w:rsidR="001C5E0E" w:rsidRPr="00FE454B" w:rsidRDefault="001C5E0E" w:rsidP="001C5E0E">
            <w:pPr>
              <w:jc w:val="right"/>
              <w:rPr>
                <w:color w:val="000000"/>
                <w:sz w:val="16"/>
                <w:szCs w:val="16"/>
                <w:lang w:eastAsia="en-NZ"/>
              </w:rPr>
            </w:pPr>
            <w:r w:rsidRPr="00FE454B">
              <w:rPr>
                <w:color w:val="000000"/>
                <w:sz w:val="16"/>
                <w:szCs w:val="16"/>
                <w:lang w:eastAsia="en-NZ"/>
              </w:rPr>
              <w:t>(3.33, 36.68)</w:t>
            </w:r>
          </w:p>
        </w:tc>
        <w:tc>
          <w:tcPr>
            <w:tcW w:w="850" w:type="dxa"/>
            <w:shd w:val="clear" w:color="auto" w:fill="auto"/>
          </w:tcPr>
          <w:p w14:paraId="2B884203" w14:textId="77777777" w:rsidR="001C5E0E" w:rsidRPr="00FE454B" w:rsidRDefault="001C5E0E" w:rsidP="001C5E0E">
            <w:pPr>
              <w:jc w:val="right"/>
              <w:rPr>
                <w:color w:val="000000"/>
                <w:sz w:val="16"/>
                <w:szCs w:val="16"/>
                <w:lang w:eastAsia="en-NZ"/>
              </w:rPr>
            </w:pPr>
            <w:r w:rsidRPr="00FE454B">
              <w:rPr>
                <w:color w:val="000000"/>
                <w:sz w:val="16"/>
                <w:szCs w:val="16"/>
                <w:lang w:eastAsia="en-NZ"/>
              </w:rPr>
              <w:t>&lt;</w:t>
            </w:r>
            <w:r>
              <w:rPr>
                <w:color w:val="000000"/>
                <w:sz w:val="16"/>
                <w:szCs w:val="16"/>
                <w:lang w:eastAsia="en-NZ"/>
              </w:rPr>
              <w:t>0</w:t>
            </w:r>
            <w:r w:rsidRPr="00FE454B">
              <w:rPr>
                <w:color w:val="000000"/>
                <w:sz w:val="16"/>
                <w:szCs w:val="16"/>
                <w:lang w:eastAsia="en-NZ"/>
              </w:rPr>
              <w:t>.0001</w:t>
            </w:r>
          </w:p>
        </w:tc>
      </w:tr>
      <w:tr w:rsidR="001C5E0E" w:rsidRPr="001A61F1" w14:paraId="46A2D0E8" w14:textId="77777777" w:rsidTr="001945A1">
        <w:tc>
          <w:tcPr>
            <w:tcW w:w="5387" w:type="dxa"/>
            <w:vAlign w:val="bottom"/>
          </w:tcPr>
          <w:p w14:paraId="697692FF" w14:textId="77777777" w:rsidR="001C5E0E" w:rsidRPr="003F15C0" w:rsidRDefault="001C5E0E" w:rsidP="001C5E0E">
            <w:pPr>
              <w:spacing w:before="20"/>
              <w:jc w:val="both"/>
              <w:rPr>
                <w:b/>
                <w:sz w:val="16"/>
                <w:szCs w:val="16"/>
              </w:rPr>
            </w:pPr>
            <w:r w:rsidRPr="003F15C0">
              <w:rPr>
                <w:b/>
                <w:sz w:val="16"/>
                <w:szCs w:val="16"/>
              </w:rPr>
              <w:t xml:space="preserve">Overseas </w:t>
            </w:r>
            <w:r>
              <w:rPr>
                <w:b/>
                <w:sz w:val="16"/>
                <w:szCs w:val="16"/>
              </w:rPr>
              <w:t>offshore</w:t>
            </w:r>
            <w:r w:rsidRPr="003F15C0">
              <w:rPr>
                <w:b/>
                <w:sz w:val="16"/>
                <w:szCs w:val="16"/>
              </w:rPr>
              <w:t xml:space="preserve"> gambling - monthly</w:t>
            </w:r>
          </w:p>
        </w:tc>
        <w:tc>
          <w:tcPr>
            <w:tcW w:w="992" w:type="dxa"/>
            <w:shd w:val="clear" w:color="auto" w:fill="auto"/>
            <w:vAlign w:val="bottom"/>
          </w:tcPr>
          <w:p w14:paraId="04F23E4C"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5C4C8E2C"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7FF72065" w14:textId="77777777" w:rsidR="001C5E0E" w:rsidRPr="007B750E" w:rsidRDefault="001C5E0E" w:rsidP="001C5E0E">
            <w:pPr>
              <w:jc w:val="right"/>
              <w:rPr>
                <w:color w:val="000000"/>
                <w:sz w:val="16"/>
                <w:szCs w:val="16"/>
                <w:lang w:eastAsia="en-NZ"/>
              </w:rPr>
            </w:pPr>
          </w:p>
        </w:tc>
      </w:tr>
      <w:tr w:rsidR="001C5E0E" w:rsidRPr="001A61F1" w14:paraId="3251F109" w14:textId="77777777" w:rsidTr="001945A1">
        <w:tc>
          <w:tcPr>
            <w:tcW w:w="5387" w:type="dxa"/>
          </w:tcPr>
          <w:p w14:paraId="6F3524D4"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tcPr>
          <w:p w14:paraId="64D2BCF8" w14:textId="77777777" w:rsidR="001C5E0E" w:rsidRPr="00FE454B" w:rsidRDefault="001C5E0E" w:rsidP="001C5E0E">
            <w:pPr>
              <w:jc w:val="right"/>
              <w:rPr>
                <w:color w:val="000000"/>
                <w:sz w:val="16"/>
                <w:szCs w:val="16"/>
                <w:lang w:eastAsia="en-NZ"/>
              </w:rPr>
            </w:pPr>
            <w:r w:rsidRPr="00FE454B">
              <w:rPr>
                <w:color w:val="000000"/>
                <w:sz w:val="16"/>
                <w:szCs w:val="16"/>
                <w:lang w:eastAsia="en-NZ"/>
              </w:rPr>
              <w:t>1.00</w:t>
            </w:r>
          </w:p>
        </w:tc>
        <w:tc>
          <w:tcPr>
            <w:tcW w:w="1276" w:type="dxa"/>
            <w:shd w:val="clear" w:color="auto" w:fill="auto"/>
          </w:tcPr>
          <w:p w14:paraId="03A85BED" w14:textId="77777777" w:rsidR="001C5E0E" w:rsidRPr="00FE454B" w:rsidRDefault="001C5E0E" w:rsidP="001C5E0E">
            <w:pPr>
              <w:jc w:val="right"/>
              <w:rPr>
                <w:color w:val="000000"/>
                <w:sz w:val="16"/>
                <w:szCs w:val="16"/>
                <w:lang w:eastAsia="en-NZ"/>
              </w:rPr>
            </w:pPr>
          </w:p>
        </w:tc>
        <w:tc>
          <w:tcPr>
            <w:tcW w:w="850" w:type="dxa"/>
            <w:shd w:val="clear" w:color="auto" w:fill="auto"/>
          </w:tcPr>
          <w:p w14:paraId="6CDB40CD" w14:textId="77777777" w:rsidR="001C5E0E" w:rsidRPr="00FE454B" w:rsidRDefault="001C5E0E" w:rsidP="001C5E0E">
            <w:pPr>
              <w:jc w:val="right"/>
              <w:rPr>
                <w:color w:val="000000"/>
                <w:sz w:val="16"/>
                <w:szCs w:val="16"/>
                <w:lang w:eastAsia="en-NZ"/>
              </w:rPr>
            </w:pPr>
          </w:p>
        </w:tc>
      </w:tr>
      <w:tr w:rsidR="001C5E0E" w:rsidRPr="001A61F1" w14:paraId="46566814" w14:textId="77777777" w:rsidTr="00826105">
        <w:tc>
          <w:tcPr>
            <w:tcW w:w="5387" w:type="dxa"/>
          </w:tcPr>
          <w:p w14:paraId="0C98A3CA"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tcPr>
          <w:p w14:paraId="56D034BA" w14:textId="77777777" w:rsidR="001C5E0E" w:rsidRPr="00FE454B" w:rsidRDefault="001C5E0E" w:rsidP="001C5E0E">
            <w:pPr>
              <w:jc w:val="right"/>
              <w:rPr>
                <w:color w:val="000000"/>
                <w:sz w:val="16"/>
                <w:szCs w:val="16"/>
                <w:lang w:eastAsia="en-NZ"/>
              </w:rPr>
            </w:pPr>
            <w:r w:rsidRPr="00FE454B">
              <w:rPr>
                <w:color w:val="000000"/>
                <w:sz w:val="16"/>
                <w:szCs w:val="16"/>
                <w:lang w:eastAsia="en-NZ"/>
              </w:rPr>
              <w:t>13.76</w:t>
            </w:r>
          </w:p>
        </w:tc>
        <w:tc>
          <w:tcPr>
            <w:tcW w:w="1276" w:type="dxa"/>
            <w:shd w:val="clear" w:color="auto" w:fill="auto"/>
          </w:tcPr>
          <w:p w14:paraId="0C83B431" w14:textId="77777777" w:rsidR="001C5E0E" w:rsidRPr="00FE454B" w:rsidRDefault="001C5E0E" w:rsidP="001C5E0E">
            <w:pPr>
              <w:jc w:val="right"/>
              <w:rPr>
                <w:color w:val="000000"/>
                <w:sz w:val="16"/>
                <w:szCs w:val="16"/>
                <w:lang w:eastAsia="en-NZ"/>
              </w:rPr>
            </w:pPr>
            <w:r w:rsidRPr="00FE454B">
              <w:rPr>
                <w:color w:val="000000"/>
                <w:sz w:val="16"/>
                <w:szCs w:val="16"/>
                <w:lang w:eastAsia="en-NZ"/>
              </w:rPr>
              <w:t>(4.31, 43.95)</w:t>
            </w:r>
          </w:p>
        </w:tc>
        <w:tc>
          <w:tcPr>
            <w:tcW w:w="850" w:type="dxa"/>
            <w:shd w:val="clear" w:color="auto" w:fill="auto"/>
          </w:tcPr>
          <w:p w14:paraId="33A46F81" w14:textId="77777777" w:rsidR="001C5E0E" w:rsidRPr="00FE454B" w:rsidRDefault="001C5E0E" w:rsidP="001C5E0E">
            <w:pPr>
              <w:jc w:val="right"/>
              <w:rPr>
                <w:color w:val="000000"/>
                <w:sz w:val="16"/>
                <w:szCs w:val="16"/>
                <w:lang w:eastAsia="en-NZ"/>
              </w:rPr>
            </w:pPr>
            <w:r w:rsidRPr="00FE454B">
              <w:rPr>
                <w:color w:val="000000"/>
                <w:sz w:val="16"/>
                <w:szCs w:val="16"/>
                <w:lang w:eastAsia="en-NZ"/>
              </w:rPr>
              <w:t>&lt;</w:t>
            </w:r>
            <w:r>
              <w:rPr>
                <w:color w:val="000000"/>
                <w:sz w:val="16"/>
                <w:szCs w:val="16"/>
                <w:lang w:eastAsia="en-NZ"/>
              </w:rPr>
              <w:t>0</w:t>
            </w:r>
            <w:r w:rsidRPr="00FE454B">
              <w:rPr>
                <w:color w:val="000000"/>
                <w:sz w:val="16"/>
                <w:szCs w:val="16"/>
                <w:lang w:eastAsia="en-NZ"/>
              </w:rPr>
              <w:t>.0001</w:t>
            </w:r>
          </w:p>
        </w:tc>
      </w:tr>
      <w:tr w:rsidR="001C5E0E" w:rsidRPr="001A61F1" w14:paraId="14B34089" w14:textId="77777777" w:rsidTr="001945A1">
        <w:tc>
          <w:tcPr>
            <w:tcW w:w="5387" w:type="dxa"/>
            <w:vAlign w:val="bottom"/>
          </w:tcPr>
          <w:p w14:paraId="7BE3944A" w14:textId="77777777" w:rsidR="001C5E0E" w:rsidRPr="003F15C0" w:rsidRDefault="001C5E0E" w:rsidP="001C5E0E">
            <w:pPr>
              <w:spacing w:before="20"/>
              <w:jc w:val="both"/>
              <w:rPr>
                <w:b/>
                <w:sz w:val="16"/>
                <w:szCs w:val="16"/>
              </w:rPr>
            </w:pPr>
            <w:r w:rsidRPr="003F15C0">
              <w:rPr>
                <w:b/>
                <w:sz w:val="16"/>
                <w:szCs w:val="16"/>
              </w:rPr>
              <w:t>Overseas internet</w:t>
            </w:r>
            <w:r>
              <w:rPr>
                <w:b/>
                <w:sz w:val="16"/>
                <w:szCs w:val="16"/>
              </w:rPr>
              <w:t>/offshore</w:t>
            </w:r>
            <w:r w:rsidRPr="003F15C0">
              <w:rPr>
                <w:b/>
                <w:sz w:val="16"/>
                <w:szCs w:val="16"/>
              </w:rPr>
              <w:t xml:space="preserve"> gambling</w:t>
            </w:r>
            <w:r>
              <w:rPr>
                <w:b/>
                <w:sz w:val="16"/>
                <w:szCs w:val="16"/>
              </w:rPr>
              <w:t xml:space="preserve"> overall </w:t>
            </w:r>
            <w:r w:rsidRPr="003F15C0">
              <w:rPr>
                <w:b/>
                <w:sz w:val="16"/>
                <w:szCs w:val="16"/>
              </w:rPr>
              <w:t xml:space="preserve"> - monthly</w:t>
            </w:r>
          </w:p>
        </w:tc>
        <w:tc>
          <w:tcPr>
            <w:tcW w:w="992" w:type="dxa"/>
            <w:shd w:val="clear" w:color="auto" w:fill="auto"/>
            <w:vAlign w:val="bottom"/>
          </w:tcPr>
          <w:p w14:paraId="64BCD098"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3A9B3ED8"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70C6C653" w14:textId="77777777" w:rsidR="001C5E0E" w:rsidRPr="007B750E" w:rsidRDefault="001C5E0E" w:rsidP="001C5E0E">
            <w:pPr>
              <w:jc w:val="right"/>
              <w:rPr>
                <w:color w:val="000000"/>
                <w:sz w:val="16"/>
                <w:szCs w:val="16"/>
                <w:lang w:eastAsia="en-NZ"/>
              </w:rPr>
            </w:pPr>
          </w:p>
        </w:tc>
      </w:tr>
      <w:tr w:rsidR="001C5E0E" w:rsidRPr="001A61F1" w14:paraId="7533F5DA" w14:textId="77777777" w:rsidTr="001945A1">
        <w:tc>
          <w:tcPr>
            <w:tcW w:w="5387" w:type="dxa"/>
          </w:tcPr>
          <w:p w14:paraId="3BBF8E47"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tcPr>
          <w:p w14:paraId="3EC210B6" w14:textId="77777777" w:rsidR="001C5E0E" w:rsidRPr="00FE454B" w:rsidRDefault="001C5E0E" w:rsidP="001C5E0E">
            <w:pPr>
              <w:jc w:val="right"/>
              <w:rPr>
                <w:color w:val="000000"/>
                <w:sz w:val="16"/>
                <w:szCs w:val="16"/>
                <w:lang w:eastAsia="en-NZ"/>
              </w:rPr>
            </w:pPr>
            <w:r w:rsidRPr="00FE454B">
              <w:rPr>
                <w:color w:val="000000"/>
                <w:sz w:val="16"/>
                <w:szCs w:val="16"/>
                <w:lang w:eastAsia="en-NZ"/>
              </w:rPr>
              <w:t>1.00</w:t>
            </w:r>
          </w:p>
        </w:tc>
        <w:tc>
          <w:tcPr>
            <w:tcW w:w="1276" w:type="dxa"/>
            <w:shd w:val="clear" w:color="auto" w:fill="auto"/>
          </w:tcPr>
          <w:p w14:paraId="3607E491" w14:textId="77777777" w:rsidR="001C5E0E" w:rsidRPr="00FE454B" w:rsidRDefault="001C5E0E" w:rsidP="001C5E0E">
            <w:pPr>
              <w:jc w:val="right"/>
              <w:rPr>
                <w:color w:val="000000"/>
                <w:sz w:val="16"/>
                <w:szCs w:val="16"/>
                <w:lang w:eastAsia="en-NZ"/>
              </w:rPr>
            </w:pPr>
          </w:p>
        </w:tc>
        <w:tc>
          <w:tcPr>
            <w:tcW w:w="850" w:type="dxa"/>
            <w:shd w:val="clear" w:color="auto" w:fill="auto"/>
          </w:tcPr>
          <w:p w14:paraId="67D86F55" w14:textId="77777777" w:rsidR="001C5E0E" w:rsidRPr="00FE454B" w:rsidRDefault="001C5E0E" w:rsidP="001C5E0E">
            <w:pPr>
              <w:jc w:val="right"/>
              <w:rPr>
                <w:color w:val="000000"/>
                <w:sz w:val="16"/>
                <w:szCs w:val="16"/>
                <w:lang w:eastAsia="en-NZ"/>
              </w:rPr>
            </w:pPr>
          </w:p>
        </w:tc>
      </w:tr>
      <w:tr w:rsidR="001C5E0E" w:rsidRPr="001A61F1" w14:paraId="61DA8AEE" w14:textId="77777777" w:rsidTr="00826105">
        <w:tc>
          <w:tcPr>
            <w:tcW w:w="5387" w:type="dxa"/>
          </w:tcPr>
          <w:p w14:paraId="656BB490"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tcPr>
          <w:p w14:paraId="6FFAE8A1" w14:textId="77777777" w:rsidR="001C5E0E" w:rsidRPr="00FE454B" w:rsidRDefault="001C5E0E" w:rsidP="001C5E0E">
            <w:pPr>
              <w:jc w:val="right"/>
              <w:rPr>
                <w:color w:val="000000"/>
                <w:sz w:val="16"/>
                <w:szCs w:val="16"/>
                <w:lang w:eastAsia="en-NZ"/>
              </w:rPr>
            </w:pPr>
            <w:r w:rsidRPr="00FE454B">
              <w:rPr>
                <w:color w:val="000000"/>
                <w:sz w:val="16"/>
                <w:szCs w:val="16"/>
                <w:lang w:eastAsia="en-NZ"/>
              </w:rPr>
              <w:t>11.05</w:t>
            </w:r>
          </w:p>
        </w:tc>
        <w:tc>
          <w:tcPr>
            <w:tcW w:w="1276" w:type="dxa"/>
            <w:shd w:val="clear" w:color="auto" w:fill="auto"/>
          </w:tcPr>
          <w:p w14:paraId="07BB4D0C" w14:textId="77777777" w:rsidR="001C5E0E" w:rsidRPr="00FE454B" w:rsidRDefault="001C5E0E" w:rsidP="001C5E0E">
            <w:pPr>
              <w:jc w:val="right"/>
              <w:rPr>
                <w:color w:val="000000"/>
                <w:sz w:val="16"/>
                <w:szCs w:val="16"/>
                <w:lang w:eastAsia="en-NZ"/>
              </w:rPr>
            </w:pPr>
            <w:r w:rsidRPr="00FE454B">
              <w:rPr>
                <w:color w:val="000000"/>
                <w:sz w:val="16"/>
                <w:szCs w:val="16"/>
                <w:lang w:eastAsia="en-NZ"/>
              </w:rPr>
              <w:t>(3.33, 36.68)</w:t>
            </w:r>
          </w:p>
        </w:tc>
        <w:tc>
          <w:tcPr>
            <w:tcW w:w="850" w:type="dxa"/>
            <w:shd w:val="clear" w:color="auto" w:fill="auto"/>
          </w:tcPr>
          <w:p w14:paraId="37876FD8" w14:textId="77777777" w:rsidR="001C5E0E" w:rsidRPr="00FE454B" w:rsidRDefault="001C5E0E" w:rsidP="001C5E0E">
            <w:pPr>
              <w:jc w:val="right"/>
              <w:rPr>
                <w:color w:val="000000"/>
                <w:sz w:val="16"/>
                <w:szCs w:val="16"/>
                <w:lang w:eastAsia="en-NZ"/>
              </w:rPr>
            </w:pPr>
            <w:r w:rsidRPr="00FE454B">
              <w:rPr>
                <w:color w:val="000000"/>
                <w:sz w:val="16"/>
                <w:szCs w:val="16"/>
                <w:lang w:eastAsia="en-NZ"/>
              </w:rPr>
              <w:t>&lt;</w:t>
            </w:r>
            <w:r>
              <w:rPr>
                <w:color w:val="000000"/>
                <w:sz w:val="16"/>
                <w:szCs w:val="16"/>
                <w:lang w:eastAsia="en-NZ"/>
              </w:rPr>
              <w:t>0</w:t>
            </w:r>
            <w:r w:rsidRPr="00FE454B">
              <w:rPr>
                <w:color w:val="000000"/>
                <w:sz w:val="16"/>
                <w:szCs w:val="16"/>
                <w:lang w:eastAsia="en-NZ"/>
              </w:rPr>
              <w:t>.0001</w:t>
            </w:r>
          </w:p>
        </w:tc>
      </w:tr>
      <w:tr w:rsidR="001C5E0E" w:rsidRPr="001A61F1" w14:paraId="47AFA2C2" w14:textId="77777777" w:rsidTr="005F3C25">
        <w:tc>
          <w:tcPr>
            <w:tcW w:w="5387" w:type="dxa"/>
            <w:vAlign w:val="bottom"/>
          </w:tcPr>
          <w:p w14:paraId="1810C805" w14:textId="77777777" w:rsidR="001C5E0E" w:rsidRPr="003F15C0" w:rsidRDefault="001C5E0E" w:rsidP="001C5E0E">
            <w:pPr>
              <w:spacing w:before="20"/>
              <w:jc w:val="both"/>
              <w:rPr>
                <w:b/>
                <w:sz w:val="16"/>
                <w:szCs w:val="16"/>
              </w:rPr>
            </w:pPr>
            <w:r>
              <w:rPr>
                <w:b/>
                <w:sz w:val="16"/>
                <w:szCs w:val="16"/>
              </w:rPr>
              <w:t>Gambling-type games not for money</w:t>
            </w:r>
            <w:r w:rsidRPr="003F15C0">
              <w:rPr>
                <w:b/>
                <w:sz w:val="16"/>
                <w:szCs w:val="16"/>
              </w:rPr>
              <w:t xml:space="preserve"> - monthly</w:t>
            </w:r>
          </w:p>
        </w:tc>
        <w:tc>
          <w:tcPr>
            <w:tcW w:w="992" w:type="dxa"/>
            <w:shd w:val="clear" w:color="auto" w:fill="auto"/>
            <w:vAlign w:val="bottom"/>
          </w:tcPr>
          <w:p w14:paraId="56D62F72"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71E71B20"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4A089E59" w14:textId="77777777" w:rsidR="001C5E0E" w:rsidRPr="007B750E" w:rsidRDefault="001C5E0E" w:rsidP="001C5E0E">
            <w:pPr>
              <w:jc w:val="right"/>
              <w:rPr>
                <w:color w:val="000000"/>
                <w:sz w:val="16"/>
                <w:szCs w:val="16"/>
                <w:lang w:eastAsia="en-NZ"/>
              </w:rPr>
            </w:pPr>
          </w:p>
        </w:tc>
      </w:tr>
      <w:tr w:rsidR="001C5E0E" w:rsidRPr="001A61F1" w14:paraId="6E363405" w14:textId="77777777" w:rsidTr="005F3C25">
        <w:tc>
          <w:tcPr>
            <w:tcW w:w="5387" w:type="dxa"/>
          </w:tcPr>
          <w:p w14:paraId="3803D1EE"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05996F0E" w14:textId="77777777" w:rsidR="001C5E0E" w:rsidRPr="00FE454B" w:rsidRDefault="001C5E0E" w:rsidP="001C5E0E">
            <w:pPr>
              <w:jc w:val="right"/>
              <w:rPr>
                <w:color w:val="000000"/>
                <w:sz w:val="16"/>
                <w:szCs w:val="16"/>
                <w:lang w:eastAsia="en-NZ"/>
              </w:rPr>
            </w:pPr>
            <w:r w:rsidRPr="00FE454B">
              <w:rPr>
                <w:color w:val="000000"/>
                <w:sz w:val="16"/>
                <w:szCs w:val="16"/>
                <w:lang w:eastAsia="en-NZ"/>
              </w:rPr>
              <w:t>1.00</w:t>
            </w:r>
          </w:p>
        </w:tc>
        <w:tc>
          <w:tcPr>
            <w:tcW w:w="1276" w:type="dxa"/>
            <w:shd w:val="clear" w:color="auto" w:fill="auto"/>
            <w:vAlign w:val="bottom"/>
          </w:tcPr>
          <w:p w14:paraId="6A462C86" w14:textId="77777777" w:rsidR="001C5E0E" w:rsidRPr="00FE454B" w:rsidRDefault="001C5E0E" w:rsidP="001C5E0E">
            <w:pPr>
              <w:jc w:val="right"/>
              <w:rPr>
                <w:color w:val="000000"/>
                <w:sz w:val="16"/>
                <w:szCs w:val="16"/>
                <w:lang w:eastAsia="en-NZ"/>
              </w:rPr>
            </w:pPr>
          </w:p>
        </w:tc>
        <w:tc>
          <w:tcPr>
            <w:tcW w:w="850" w:type="dxa"/>
            <w:shd w:val="clear" w:color="auto" w:fill="auto"/>
            <w:vAlign w:val="bottom"/>
          </w:tcPr>
          <w:p w14:paraId="2126F29D" w14:textId="77777777" w:rsidR="001C5E0E" w:rsidRPr="00FE454B" w:rsidRDefault="001C5E0E" w:rsidP="001C5E0E">
            <w:pPr>
              <w:jc w:val="right"/>
              <w:rPr>
                <w:color w:val="000000"/>
                <w:sz w:val="16"/>
                <w:szCs w:val="16"/>
                <w:lang w:eastAsia="en-NZ"/>
              </w:rPr>
            </w:pPr>
          </w:p>
        </w:tc>
      </w:tr>
      <w:tr w:rsidR="001C5E0E" w:rsidRPr="001A61F1" w14:paraId="4A52601E" w14:textId="77777777" w:rsidTr="00826105">
        <w:tc>
          <w:tcPr>
            <w:tcW w:w="5387" w:type="dxa"/>
          </w:tcPr>
          <w:p w14:paraId="30768C7E"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4EF88E2C" w14:textId="77777777" w:rsidR="001C5E0E" w:rsidRPr="00FE454B" w:rsidRDefault="001C5E0E" w:rsidP="001C5E0E">
            <w:pPr>
              <w:jc w:val="right"/>
              <w:rPr>
                <w:color w:val="000000"/>
                <w:sz w:val="16"/>
                <w:szCs w:val="16"/>
                <w:lang w:eastAsia="en-NZ"/>
              </w:rPr>
            </w:pPr>
            <w:r w:rsidRPr="00FE454B">
              <w:rPr>
                <w:color w:val="000000"/>
                <w:sz w:val="16"/>
                <w:szCs w:val="16"/>
                <w:lang w:eastAsia="en-NZ"/>
              </w:rPr>
              <w:t>2.70</w:t>
            </w:r>
          </w:p>
        </w:tc>
        <w:tc>
          <w:tcPr>
            <w:tcW w:w="1276" w:type="dxa"/>
            <w:shd w:val="clear" w:color="auto" w:fill="auto"/>
            <w:vAlign w:val="bottom"/>
          </w:tcPr>
          <w:p w14:paraId="30730401" w14:textId="77777777" w:rsidR="001C5E0E" w:rsidRPr="00FE454B" w:rsidRDefault="001C5E0E" w:rsidP="001C5E0E">
            <w:pPr>
              <w:jc w:val="right"/>
              <w:rPr>
                <w:color w:val="000000"/>
                <w:sz w:val="16"/>
                <w:szCs w:val="16"/>
                <w:lang w:eastAsia="en-NZ"/>
              </w:rPr>
            </w:pPr>
            <w:r w:rsidRPr="00FE454B">
              <w:rPr>
                <w:color w:val="000000"/>
                <w:sz w:val="16"/>
                <w:szCs w:val="16"/>
                <w:lang w:eastAsia="en-NZ"/>
              </w:rPr>
              <w:t>(1.99, 3.67)</w:t>
            </w:r>
          </w:p>
        </w:tc>
        <w:tc>
          <w:tcPr>
            <w:tcW w:w="850" w:type="dxa"/>
            <w:shd w:val="clear" w:color="auto" w:fill="auto"/>
            <w:vAlign w:val="bottom"/>
          </w:tcPr>
          <w:p w14:paraId="476D61EB" w14:textId="77777777" w:rsidR="001C5E0E" w:rsidRPr="00FE454B" w:rsidRDefault="001C5E0E" w:rsidP="001C5E0E">
            <w:pPr>
              <w:jc w:val="right"/>
              <w:rPr>
                <w:color w:val="000000"/>
                <w:sz w:val="16"/>
                <w:szCs w:val="16"/>
                <w:lang w:eastAsia="en-NZ"/>
              </w:rPr>
            </w:pPr>
            <w:r w:rsidRPr="00FE454B">
              <w:rPr>
                <w:color w:val="000000"/>
                <w:sz w:val="16"/>
                <w:szCs w:val="16"/>
                <w:lang w:eastAsia="en-NZ"/>
              </w:rPr>
              <w:t>&lt;</w:t>
            </w:r>
            <w:r>
              <w:rPr>
                <w:color w:val="000000"/>
                <w:sz w:val="16"/>
                <w:szCs w:val="16"/>
                <w:lang w:eastAsia="en-NZ"/>
              </w:rPr>
              <w:t>0</w:t>
            </w:r>
            <w:r w:rsidRPr="00FE454B">
              <w:rPr>
                <w:color w:val="000000"/>
                <w:sz w:val="16"/>
                <w:szCs w:val="16"/>
                <w:lang w:eastAsia="en-NZ"/>
              </w:rPr>
              <w:t>.0001</w:t>
            </w:r>
          </w:p>
        </w:tc>
      </w:tr>
      <w:tr w:rsidR="001C5E0E" w:rsidRPr="001A61F1" w14:paraId="132A7BA4" w14:textId="77777777" w:rsidTr="005F3C25">
        <w:tc>
          <w:tcPr>
            <w:tcW w:w="5387" w:type="dxa"/>
          </w:tcPr>
          <w:p w14:paraId="553E4061" w14:textId="77777777" w:rsidR="001C5E0E" w:rsidRPr="003F15C0" w:rsidRDefault="001C5E0E" w:rsidP="001C5E0E">
            <w:pPr>
              <w:spacing w:before="20"/>
              <w:rPr>
                <w:b/>
                <w:bCs/>
                <w:color w:val="000000"/>
                <w:sz w:val="16"/>
                <w:szCs w:val="16"/>
              </w:rPr>
            </w:pPr>
            <w:r w:rsidRPr="003F15C0">
              <w:rPr>
                <w:b/>
                <w:bCs/>
                <w:color w:val="000000"/>
                <w:sz w:val="16"/>
                <w:szCs w:val="16"/>
              </w:rPr>
              <w:t>Time spent playing EGMs in an average day (casino)</w:t>
            </w:r>
          </w:p>
        </w:tc>
        <w:tc>
          <w:tcPr>
            <w:tcW w:w="992" w:type="dxa"/>
            <w:shd w:val="clear" w:color="auto" w:fill="auto"/>
            <w:vAlign w:val="bottom"/>
          </w:tcPr>
          <w:p w14:paraId="5038AF24"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29A3D31E"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0CE6F3FA" w14:textId="77777777" w:rsidR="001C5E0E" w:rsidRPr="007B750E" w:rsidRDefault="001C5E0E" w:rsidP="001C5E0E">
            <w:pPr>
              <w:jc w:val="right"/>
              <w:rPr>
                <w:color w:val="000000"/>
                <w:sz w:val="16"/>
                <w:szCs w:val="16"/>
                <w:lang w:eastAsia="en-NZ"/>
              </w:rPr>
            </w:pPr>
          </w:p>
        </w:tc>
      </w:tr>
      <w:tr w:rsidR="001C5E0E" w:rsidRPr="001A61F1" w14:paraId="1BA2B975" w14:textId="77777777" w:rsidTr="005F3C25">
        <w:tc>
          <w:tcPr>
            <w:tcW w:w="5387" w:type="dxa"/>
          </w:tcPr>
          <w:p w14:paraId="5FD5F06F" w14:textId="77777777" w:rsidR="001C5E0E" w:rsidRPr="003F15C0" w:rsidRDefault="001C5E0E" w:rsidP="001C5E0E">
            <w:pPr>
              <w:spacing w:before="20"/>
              <w:ind w:left="176"/>
              <w:jc w:val="both"/>
              <w:rPr>
                <w:sz w:val="16"/>
                <w:szCs w:val="16"/>
              </w:rPr>
            </w:pPr>
            <w:r w:rsidRPr="003F15C0">
              <w:rPr>
                <w:sz w:val="16"/>
                <w:szCs w:val="16"/>
              </w:rPr>
              <w:t>No time</w:t>
            </w:r>
          </w:p>
        </w:tc>
        <w:tc>
          <w:tcPr>
            <w:tcW w:w="992" w:type="dxa"/>
            <w:shd w:val="clear" w:color="auto" w:fill="auto"/>
            <w:vAlign w:val="bottom"/>
          </w:tcPr>
          <w:p w14:paraId="2D75B275" w14:textId="77777777" w:rsidR="001C5E0E" w:rsidRPr="005F3C25" w:rsidRDefault="001C5E0E" w:rsidP="001C5E0E">
            <w:pPr>
              <w:jc w:val="right"/>
              <w:rPr>
                <w:color w:val="000000"/>
                <w:sz w:val="16"/>
                <w:szCs w:val="16"/>
                <w:lang w:eastAsia="en-NZ"/>
              </w:rPr>
            </w:pPr>
            <w:r w:rsidRPr="005F3C25">
              <w:rPr>
                <w:color w:val="000000"/>
                <w:sz w:val="16"/>
                <w:szCs w:val="16"/>
                <w:lang w:eastAsia="en-NZ"/>
              </w:rPr>
              <w:t>1.00</w:t>
            </w:r>
          </w:p>
        </w:tc>
        <w:tc>
          <w:tcPr>
            <w:tcW w:w="1276" w:type="dxa"/>
            <w:shd w:val="clear" w:color="auto" w:fill="auto"/>
            <w:vAlign w:val="bottom"/>
          </w:tcPr>
          <w:p w14:paraId="174C0E12" w14:textId="77777777" w:rsidR="001C5E0E" w:rsidRPr="005F3C25" w:rsidRDefault="001C5E0E" w:rsidP="001C5E0E">
            <w:pPr>
              <w:jc w:val="right"/>
              <w:rPr>
                <w:color w:val="000000"/>
                <w:sz w:val="16"/>
                <w:szCs w:val="16"/>
                <w:lang w:eastAsia="en-NZ"/>
              </w:rPr>
            </w:pPr>
          </w:p>
        </w:tc>
        <w:tc>
          <w:tcPr>
            <w:tcW w:w="850" w:type="dxa"/>
            <w:shd w:val="clear" w:color="auto" w:fill="auto"/>
            <w:vAlign w:val="bottom"/>
          </w:tcPr>
          <w:p w14:paraId="5BC47AAA" w14:textId="77777777" w:rsidR="001C5E0E" w:rsidRPr="005F3C25" w:rsidRDefault="001C5E0E" w:rsidP="001C5E0E">
            <w:pPr>
              <w:jc w:val="right"/>
              <w:rPr>
                <w:color w:val="000000"/>
                <w:sz w:val="16"/>
                <w:szCs w:val="16"/>
                <w:lang w:eastAsia="en-NZ"/>
              </w:rPr>
            </w:pPr>
          </w:p>
        </w:tc>
      </w:tr>
      <w:tr w:rsidR="001C5E0E" w:rsidRPr="001A61F1" w14:paraId="3D64E1DB" w14:textId="77777777" w:rsidTr="005F3C25">
        <w:tc>
          <w:tcPr>
            <w:tcW w:w="5387" w:type="dxa"/>
          </w:tcPr>
          <w:p w14:paraId="4CB16DFB" w14:textId="77777777" w:rsidR="001C5E0E" w:rsidRPr="003F15C0" w:rsidRDefault="001C5E0E" w:rsidP="001C5E0E">
            <w:pPr>
              <w:spacing w:before="20"/>
              <w:ind w:left="176"/>
              <w:jc w:val="both"/>
              <w:rPr>
                <w:sz w:val="16"/>
                <w:szCs w:val="16"/>
              </w:rPr>
            </w:pPr>
            <w:r w:rsidRPr="003F15C0">
              <w:rPr>
                <w:sz w:val="16"/>
                <w:szCs w:val="16"/>
              </w:rPr>
              <w:t>Up to 15 minutes</w:t>
            </w:r>
          </w:p>
        </w:tc>
        <w:tc>
          <w:tcPr>
            <w:tcW w:w="992" w:type="dxa"/>
            <w:shd w:val="clear" w:color="auto" w:fill="auto"/>
            <w:vAlign w:val="bottom"/>
          </w:tcPr>
          <w:p w14:paraId="4DD52407" w14:textId="77777777" w:rsidR="001C5E0E" w:rsidRPr="005F3C25" w:rsidRDefault="001C5E0E" w:rsidP="001C5E0E">
            <w:pPr>
              <w:jc w:val="right"/>
              <w:rPr>
                <w:color w:val="000000"/>
                <w:sz w:val="16"/>
                <w:szCs w:val="16"/>
                <w:lang w:eastAsia="en-NZ"/>
              </w:rPr>
            </w:pPr>
            <w:r w:rsidRPr="005F3C25">
              <w:rPr>
                <w:color w:val="000000"/>
                <w:sz w:val="16"/>
                <w:szCs w:val="16"/>
                <w:lang w:eastAsia="en-NZ"/>
              </w:rPr>
              <w:t>2.37</w:t>
            </w:r>
          </w:p>
        </w:tc>
        <w:tc>
          <w:tcPr>
            <w:tcW w:w="1276" w:type="dxa"/>
            <w:shd w:val="clear" w:color="auto" w:fill="auto"/>
            <w:vAlign w:val="bottom"/>
          </w:tcPr>
          <w:p w14:paraId="04D40553" w14:textId="77777777" w:rsidR="001C5E0E" w:rsidRPr="005F3C25" w:rsidRDefault="001C5E0E" w:rsidP="001C5E0E">
            <w:pPr>
              <w:jc w:val="right"/>
              <w:rPr>
                <w:color w:val="000000"/>
                <w:sz w:val="16"/>
                <w:szCs w:val="16"/>
                <w:lang w:eastAsia="en-NZ"/>
              </w:rPr>
            </w:pPr>
            <w:r w:rsidRPr="005F3C25">
              <w:rPr>
                <w:color w:val="000000"/>
                <w:sz w:val="16"/>
                <w:szCs w:val="16"/>
                <w:lang w:eastAsia="en-NZ"/>
              </w:rPr>
              <w:t>(1.04, 5.42)</w:t>
            </w:r>
          </w:p>
        </w:tc>
        <w:tc>
          <w:tcPr>
            <w:tcW w:w="850" w:type="dxa"/>
            <w:shd w:val="clear" w:color="auto" w:fill="auto"/>
            <w:vAlign w:val="bottom"/>
          </w:tcPr>
          <w:p w14:paraId="54DD0064" w14:textId="77777777" w:rsidR="001C5E0E" w:rsidRPr="005F3C25" w:rsidRDefault="001C5E0E" w:rsidP="001C5E0E">
            <w:pPr>
              <w:jc w:val="right"/>
              <w:rPr>
                <w:color w:val="000000"/>
                <w:sz w:val="16"/>
                <w:szCs w:val="16"/>
                <w:lang w:eastAsia="en-NZ"/>
              </w:rPr>
            </w:pPr>
          </w:p>
        </w:tc>
      </w:tr>
      <w:tr w:rsidR="001C5E0E" w:rsidRPr="001A61F1" w14:paraId="5B889437" w14:textId="77777777" w:rsidTr="005F3C25">
        <w:tc>
          <w:tcPr>
            <w:tcW w:w="5387" w:type="dxa"/>
          </w:tcPr>
          <w:p w14:paraId="62396D1E" w14:textId="77777777" w:rsidR="001C5E0E" w:rsidRPr="003F15C0" w:rsidRDefault="001C5E0E" w:rsidP="001C5E0E">
            <w:pPr>
              <w:spacing w:before="20"/>
              <w:ind w:left="176"/>
              <w:jc w:val="both"/>
              <w:rPr>
                <w:sz w:val="16"/>
                <w:szCs w:val="16"/>
              </w:rPr>
            </w:pPr>
            <w:r w:rsidRPr="003F15C0">
              <w:rPr>
                <w:sz w:val="16"/>
                <w:szCs w:val="16"/>
              </w:rPr>
              <w:t>16 to 30 minutes</w:t>
            </w:r>
          </w:p>
        </w:tc>
        <w:tc>
          <w:tcPr>
            <w:tcW w:w="992" w:type="dxa"/>
            <w:shd w:val="clear" w:color="auto" w:fill="auto"/>
            <w:vAlign w:val="bottom"/>
          </w:tcPr>
          <w:p w14:paraId="501BFA94" w14:textId="77777777" w:rsidR="001C5E0E" w:rsidRPr="005F3C25" w:rsidRDefault="001C5E0E" w:rsidP="001C5E0E">
            <w:pPr>
              <w:jc w:val="right"/>
              <w:rPr>
                <w:color w:val="000000"/>
                <w:sz w:val="16"/>
                <w:szCs w:val="16"/>
                <w:lang w:eastAsia="en-NZ"/>
              </w:rPr>
            </w:pPr>
            <w:r w:rsidRPr="005F3C25">
              <w:rPr>
                <w:color w:val="000000"/>
                <w:sz w:val="16"/>
                <w:szCs w:val="16"/>
                <w:lang w:eastAsia="en-NZ"/>
              </w:rPr>
              <w:t>3.99</w:t>
            </w:r>
          </w:p>
        </w:tc>
        <w:tc>
          <w:tcPr>
            <w:tcW w:w="1276" w:type="dxa"/>
            <w:shd w:val="clear" w:color="auto" w:fill="auto"/>
            <w:vAlign w:val="bottom"/>
          </w:tcPr>
          <w:p w14:paraId="5C68E212" w14:textId="77777777" w:rsidR="001C5E0E" w:rsidRPr="005F3C25" w:rsidRDefault="001C5E0E" w:rsidP="001C5E0E">
            <w:pPr>
              <w:jc w:val="right"/>
              <w:rPr>
                <w:color w:val="000000"/>
                <w:sz w:val="16"/>
                <w:szCs w:val="16"/>
                <w:lang w:eastAsia="en-NZ"/>
              </w:rPr>
            </w:pPr>
            <w:r w:rsidRPr="005F3C25">
              <w:rPr>
                <w:color w:val="000000"/>
                <w:sz w:val="16"/>
                <w:szCs w:val="16"/>
                <w:lang w:eastAsia="en-NZ"/>
              </w:rPr>
              <w:t>(2.15, 7.41)</w:t>
            </w:r>
          </w:p>
        </w:tc>
        <w:tc>
          <w:tcPr>
            <w:tcW w:w="850" w:type="dxa"/>
            <w:shd w:val="clear" w:color="auto" w:fill="auto"/>
            <w:vAlign w:val="bottom"/>
          </w:tcPr>
          <w:p w14:paraId="3EB5B25E" w14:textId="77777777" w:rsidR="001C5E0E" w:rsidRPr="005F3C25" w:rsidRDefault="001C5E0E" w:rsidP="001C5E0E">
            <w:pPr>
              <w:jc w:val="right"/>
              <w:rPr>
                <w:color w:val="000000"/>
                <w:sz w:val="16"/>
                <w:szCs w:val="16"/>
                <w:lang w:eastAsia="en-NZ"/>
              </w:rPr>
            </w:pPr>
          </w:p>
        </w:tc>
      </w:tr>
      <w:tr w:rsidR="001C5E0E" w:rsidRPr="001A61F1" w14:paraId="0C1C306F" w14:textId="77777777" w:rsidTr="005F3C25">
        <w:tc>
          <w:tcPr>
            <w:tcW w:w="5387" w:type="dxa"/>
          </w:tcPr>
          <w:p w14:paraId="21AAFA8B" w14:textId="77777777" w:rsidR="001C5E0E" w:rsidRPr="003F15C0" w:rsidRDefault="001C5E0E" w:rsidP="001C5E0E">
            <w:pPr>
              <w:spacing w:before="20"/>
              <w:ind w:left="176"/>
              <w:jc w:val="both"/>
              <w:rPr>
                <w:sz w:val="16"/>
                <w:szCs w:val="16"/>
              </w:rPr>
            </w:pPr>
            <w:r w:rsidRPr="003F15C0">
              <w:rPr>
                <w:sz w:val="16"/>
                <w:szCs w:val="16"/>
              </w:rPr>
              <w:t>31 to 60 minutes</w:t>
            </w:r>
          </w:p>
        </w:tc>
        <w:tc>
          <w:tcPr>
            <w:tcW w:w="992" w:type="dxa"/>
            <w:shd w:val="clear" w:color="auto" w:fill="auto"/>
            <w:vAlign w:val="bottom"/>
          </w:tcPr>
          <w:p w14:paraId="375A63F0" w14:textId="77777777" w:rsidR="001C5E0E" w:rsidRPr="005F3C25" w:rsidRDefault="001C5E0E" w:rsidP="001C5E0E">
            <w:pPr>
              <w:jc w:val="right"/>
              <w:rPr>
                <w:color w:val="000000"/>
                <w:sz w:val="16"/>
                <w:szCs w:val="16"/>
                <w:lang w:eastAsia="en-NZ"/>
              </w:rPr>
            </w:pPr>
            <w:r w:rsidRPr="005F3C25">
              <w:rPr>
                <w:color w:val="000000"/>
                <w:sz w:val="16"/>
                <w:szCs w:val="16"/>
                <w:lang w:eastAsia="en-NZ"/>
              </w:rPr>
              <w:t>3.77</w:t>
            </w:r>
          </w:p>
        </w:tc>
        <w:tc>
          <w:tcPr>
            <w:tcW w:w="1276" w:type="dxa"/>
            <w:shd w:val="clear" w:color="auto" w:fill="auto"/>
            <w:vAlign w:val="bottom"/>
          </w:tcPr>
          <w:p w14:paraId="21B8C5EE" w14:textId="77777777" w:rsidR="001C5E0E" w:rsidRPr="005F3C25" w:rsidRDefault="001C5E0E" w:rsidP="001C5E0E">
            <w:pPr>
              <w:jc w:val="right"/>
              <w:rPr>
                <w:color w:val="000000"/>
                <w:sz w:val="16"/>
                <w:szCs w:val="16"/>
                <w:lang w:eastAsia="en-NZ"/>
              </w:rPr>
            </w:pPr>
            <w:r w:rsidRPr="005F3C25">
              <w:rPr>
                <w:color w:val="000000"/>
                <w:sz w:val="16"/>
                <w:szCs w:val="16"/>
                <w:lang w:eastAsia="en-NZ"/>
              </w:rPr>
              <w:t>(1.95, 7.27)</w:t>
            </w:r>
          </w:p>
        </w:tc>
        <w:tc>
          <w:tcPr>
            <w:tcW w:w="850" w:type="dxa"/>
            <w:shd w:val="clear" w:color="auto" w:fill="auto"/>
            <w:vAlign w:val="bottom"/>
          </w:tcPr>
          <w:p w14:paraId="488E09D6" w14:textId="77777777" w:rsidR="001C5E0E" w:rsidRPr="005F3C25" w:rsidRDefault="001C5E0E" w:rsidP="001C5E0E">
            <w:pPr>
              <w:jc w:val="right"/>
              <w:rPr>
                <w:color w:val="000000"/>
                <w:sz w:val="16"/>
                <w:szCs w:val="16"/>
                <w:lang w:eastAsia="en-NZ"/>
              </w:rPr>
            </w:pPr>
          </w:p>
        </w:tc>
      </w:tr>
      <w:tr w:rsidR="001C5E0E" w:rsidRPr="001A61F1" w14:paraId="10A194E1" w14:textId="77777777" w:rsidTr="00826105">
        <w:tc>
          <w:tcPr>
            <w:tcW w:w="5387" w:type="dxa"/>
          </w:tcPr>
          <w:p w14:paraId="307AD610" w14:textId="77777777" w:rsidR="001C5E0E" w:rsidRPr="003F15C0" w:rsidRDefault="001C5E0E" w:rsidP="001C5E0E">
            <w:pPr>
              <w:spacing w:before="20"/>
              <w:ind w:left="176"/>
              <w:jc w:val="both"/>
              <w:rPr>
                <w:sz w:val="16"/>
                <w:szCs w:val="16"/>
              </w:rPr>
            </w:pPr>
            <w:r w:rsidRPr="003F15C0">
              <w:rPr>
                <w:sz w:val="16"/>
                <w:szCs w:val="16"/>
              </w:rPr>
              <w:t>&gt;60 minutes</w:t>
            </w:r>
          </w:p>
        </w:tc>
        <w:tc>
          <w:tcPr>
            <w:tcW w:w="992" w:type="dxa"/>
            <w:shd w:val="clear" w:color="auto" w:fill="auto"/>
            <w:vAlign w:val="bottom"/>
          </w:tcPr>
          <w:p w14:paraId="7372DF14" w14:textId="77777777" w:rsidR="001C5E0E" w:rsidRPr="005F3C25" w:rsidRDefault="001C5E0E" w:rsidP="001C5E0E">
            <w:pPr>
              <w:jc w:val="right"/>
              <w:rPr>
                <w:color w:val="000000"/>
                <w:sz w:val="16"/>
                <w:szCs w:val="16"/>
                <w:lang w:eastAsia="en-NZ"/>
              </w:rPr>
            </w:pPr>
            <w:r w:rsidRPr="005F3C25">
              <w:rPr>
                <w:color w:val="000000"/>
                <w:sz w:val="16"/>
                <w:szCs w:val="16"/>
                <w:lang w:eastAsia="en-NZ"/>
              </w:rPr>
              <w:t>14.81</w:t>
            </w:r>
          </w:p>
        </w:tc>
        <w:tc>
          <w:tcPr>
            <w:tcW w:w="1276" w:type="dxa"/>
            <w:shd w:val="clear" w:color="auto" w:fill="auto"/>
            <w:vAlign w:val="bottom"/>
          </w:tcPr>
          <w:p w14:paraId="18E4F61C" w14:textId="77777777" w:rsidR="001C5E0E" w:rsidRPr="005F3C25" w:rsidRDefault="001C5E0E" w:rsidP="001C5E0E">
            <w:pPr>
              <w:jc w:val="right"/>
              <w:rPr>
                <w:color w:val="000000"/>
                <w:sz w:val="16"/>
                <w:szCs w:val="16"/>
                <w:lang w:eastAsia="en-NZ"/>
              </w:rPr>
            </w:pPr>
            <w:r w:rsidRPr="005F3C25">
              <w:rPr>
                <w:color w:val="000000"/>
                <w:sz w:val="16"/>
                <w:szCs w:val="16"/>
                <w:lang w:eastAsia="en-NZ"/>
              </w:rPr>
              <w:t>(8.30, 26.41)</w:t>
            </w:r>
          </w:p>
        </w:tc>
        <w:tc>
          <w:tcPr>
            <w:tcW w:w="850" w:type="dxa"/>
            <w:shd w:val="clear" w:color="auto" w:fill="auto"/>
            <w:vAlign w:val="bottom"/>
          </w:tcPr>
          <w:p w14:paraId="22C23CC2" w14:textId="77777777" w:rsidR="001C5E0E" w:rsidRPr="005F3C25" w:rsidRDefault="001C5E0E" w:rsidP="001C5E0E">
            <w:pPr>
              <w:jc w:val="right"/>
              <w:rPr>
                <w:color w:val="000000"/>
                <w:sz w:val="16"/>
                <w:szCs w:val="16"/>
                <w:lang w:eastAsia="en-NZ"/>
              </w:rPr>
            </w:pPr>
            <w:r w:rsidRPr="005F3C25">
              <w:rPr>
                <w:color w:val="000000"/>
                <w:sz w:val="16"/>
                <w:szCs w:val="16"/>
                <w:lang w:eastAsia="en-NZ"/>
              </w:rPr>
              <w:t>&lt;</w:t>
            </w:r>
            <w:r>
              <w:rPr>
                <w:color w:val="000000"/>
                <w:sz w:val="16"/>
                <w:szCs w:val="16"/>
                <w:lang w:eastAsia="en-NZ"/>
              </w:rPr>
              <w:t>0</w:t>
            </w:r>
            <w:r w:rsidRPr="005F3C25">
              <w:rPr>
                <w:color w:val="000000"/>
                <w:sz w:val="16"/>
                <w:szCs w:val="16"/>
                <w:lang w:eastAsia="en-NZ"/>
              </w:rPr>
              <w:t>.0001</w:t>
            </w:r>
          </w:p>
        </w:tc>
      </w:tr>
      <w:tr w:rsidR="001C5E0E" w:rsidRPr="001A61F1" w14:paraId="198B7540" w14:textId="77777777" w:rsidTr="005F3C25">
        <w:tc>
          <w:tcPr>
            <w:tcW w:w="5387" w:type="dxa"/>
            <w:vAlign w:val="center"/>
          </w:tcPr>
          <w:p w14:paraId="21D92A45" w14:textId="77777777" w:rsidR="001C5E0E" w:rsidRPr="003F15C0" w:rsidRDefault="001C5E0E" w:rsidP="00826105">
            <w:pPr>
              <w:spacing w:before="20"/>
              <w:rPr>
                <w:b/>
                <w:bCs/>
                <w:color w:val="000000"/>
                <w:sz w:val="16"/>
                <w:szCs w:val="16"/>
              </w:rPr>
            </w:pPr>
            <w:r w:rsidRPr="003F15C0">
              <w:rPr>
                <w:b/>
                <w:bCs/>
                <w:color w:val="000000"/>
                <w:sz w:val="16"/>
                <w:szCs w:val="16"/>
              </w:rPr>
              <w:t>Time spent playing EGMs in an average day (pub)</w:t>
            </w:r>
          </w:p>
        </w:tc>
        <w:tc>
          <w:tcPr>
            <w:tcW w:w="992" w:type="dxa"/>
            <w:shd w:val="clear" w:color="auto" w:fill="auto"/>
            <w:vAlign w:val="bottom"/>
          </w:tcPr>
          <w:p w14:paraId="23376B31" w14:textId="77777777" w:rsidR="001C5E0E" w:rsidRPr="007B750E" w:rsidRDefault="001C5E0E" w:rsidP="00826105">
            <w:pPr>
              <w:jc w:val="right"/>
              <w:rPr>
                <w:color w:val="000000"/>
                <w:sz w:val="16"/>
                <w:szCs w:val="16"/>
                <w:lang w:eastAsia="en-NZ"/>
              </w:rPr>
            </w:pPr>
          </w:p>
        </w:tc>
        <w:tc>
          <w:tcPr>
            <w:tcW w:w="1276" w:type="dxa"/>
            <w:shd w:val="clear" w:color="auto" w:fill="auto"/>
            <w:vAlign w:val="bottom"/>
          </w:tcPr>
          <w:p w14:paraId="2017ED47" w14:textId="77777777" w:rsidR="001C5E0E" w:rsidRPr="007B750E" w:rsidRDefault="001C5E0E" w:rsidP="00826105">
            <w:pPr>
              <w:jc w:val="right"/>
              <w:rPr>
                <w:color w:val="000000"/>
                <w:sz w:val="16"/>
                <w:szCs w:val="16"/>
                <w:lang w:eastAsia="en-NZ"/>
              </w:rPr>
            </w:pPr>
          </w:p>
        </w:tc>
        <w:tc>
          <w:tcPr>
            <w:tcW w:w="850" w:type="dxa"/>
            <w:shd w:val="clear" w:color="auto" w:fill="auto"/>
            <w:vAlign w:val="bottom"/>
          </w:tcPr>
          <w:p w14:paraId="50F6724B" w14:textId="77777777" w:rsidR="001C5E0E" w:rsidRPr="007B750E" w:rsidRDefault="001C5E0E" w:rsidP="00826105">
            <w:pPr>
              <w:jc w:val="right"/>
              <w:rPr>
                <w:color w:val="000000"/>
                <w:sz w:val="16"/>
                <w:szCs w:val="16"/>
                <w:lang w:eastAsia="en-NZ"/>
              </w:rPr>
            </w:pPr>
          </w:p>
        </w:tc>
      </w:tr>
      <w:tr w:rsidR="001C5E0E" w:rsidRPr="001A61F1" w14:paraId="1A255328" w14:textId="77777777" w:rsidTr="005F3C25">
        <w:tc>
          <w:tcPr>
            <w:tcW w:w="5387" w:type="dxa"/>
          </w:tcPr>
          <w:p w14:paraId="161DCF1A" w14:textId="77777777" w:rsidR="001C5E0E" w:rsidRPr="003F15C0" w:rsidRDefault="001C5E0E" w:rsidP="00826105">
            <w:pPr>
              <w:spacing w:before="20"/>
              <w:ind w:left="176"/>
              <w:jc w:val="both"/>
              <w:rPr>
                <w:sz w:val="16"/>
                <w:szCs w:val="16"/>
              </w:rPr>
            </w:pPr>
            <w:r w:rsidRPr="003F15C0">
              <w:rPr>
                <w:sz w:val="16"/>
                <w:szCs w:val="16"/>
              </w:rPr>
              <w:t>No time</w:t>
            </w:r>
          </w:p>
        </w:tc>
        <w:tc>
          <w:tcPr>
            <w:tcW w:w="992" w:type="dxa"/>
            <w:shd w:val="clear" w:color="auto" w:fill="auto"/>
            <w:vAlign w:val="bottom"/>
          </w:tcPr>
          <w:p w14:paraId="109ECA6D" w14:textId="77777777" w:rsidR="001C5E0E" w:rsidRPr="005F3C25" w:rsidRDefault="001C5E0E" w:rsidP="00826105">
            <w:pPr>
              <w:jc w:val="right"/>
              <w:rPr>
                <w:color w:val="000000"/>
                <w:sz w:val="16"/>
                <w:szCs w:val="16"/>
                <w:lang w:eastAsia="en-NZ"/>
              </w:rPr>
            </w:pPr>
            <w:r w:rsidRPr="005F3C25">
              <w:rPr>
                <w:color w:val="000000"/>
                <w:sz w:val="16"/>
                <w:szCs w:val="16"/>
                <w:lang w:eastAsia="en-NZ"/>
              </w:rPr>
              <w:t>1.00</w:t>
            </w:r>
          </w:p>
        </w:tc>
        <w:tc>
          <w:tcPr>
            <w:tcW w:w="1276" w:type="dxa"/>
            <w:shd w:val="clear" w:color="auto" w:fill="auto"/>
            <w:vAlign w:val="bottom"/>
          </w:tcPr>
          <w:p w14:paraId="36C870FE" w14:textId="77777777" w:rsidR="001C5E0E" w:rsidRPr="005F3C25" w:rsidRDefault="001C5E0E" w:rsidP="00826105">
            <w:pPr>
              <w:jc w:val="right"/>
              <w:rPr>
                <w:color w:val="000000"/>
                <w:sz w:val="16"/>
                <w:szCs w:val="16"/>
                <w:lang w:eastAsia="en-NZ"/>
              </w:rPr>
            </w:pPr>
          </w:p>
        </w:tc>
        <w:tc>
          <w:tcPr>
            <w:tcW w:w="850" w:type="dxa"/>
            <w:shd w:val="clear" w:color="auto" w:fill="auto"/>
            <w:vAlign w:val="bottom"/>
          </w:tcPr>
          <w:p w14:paraId="42A39F5C" w14:textId="77777777" w:rsidR="001C5E0E" w:rsidRPr="005F3C25" w:rsidRDefault="001C5E0E" w:rsidP="00826105">
            <w:pPr>
              <w:jc w:val="right"/>
              <w:rPr>
                <w:color w:val="000000"/>
                <w:sz w:val="16"/>
                <w:szCs w:val="16"/>
                <w:lang w:eastAsia="en-NZ"/>
              </w:rPr>
            </w:pPr>
          </w:p>
        </w:tc>
      </w:tr>
      <w:tr w:rsidR="001C5E0E" w:rsidRPr="001A61F1" w14:paraId="6FC22FE3" w14:textId="77777777" w:rsidTr="005F3C25">
        <w:tc>
          <w:tcPr>
            <w:tcW w:w="5387" w:type="dxa"/>
          </w:tcPr>
          <w:p w14:paraId="24F3EAFE" w14:textId="77777777" w:rsidR="001C5E0E" w:rsidRPr="003F15C0" w:rsidRDefault="001C5E0E" w:rsidP="00826105">
            <w:pPr>
              <w:spacing w:before="20"/>
              <w:ind w:left="176"/>
              <w:jc w:val="both"/>
              <w:rPr>
                <w:sz w:val="16"/>
                <w:szCs w:val="16"/>
              </w:rPr>
            </w:pPr>
            <w:r w:rsidRPr="003F15C0">
              <w:rPr>
                <w:sz w:val="16"/>
                <w:szCs w:val="16"/>
              </w:rPr>
              <w:t>Up to 15 minutes</w:t>
            </w:r>
          </w:p>
        </w:tc>
        <w:tc>
          <w:tcPr>
            <w:tcW w:w="992" w:type="dxa"/>
            <w:shd w:val="clear" w:color="auto" w:fill="auto"/>
            <w:vAlign w:val="bottom"/>
          </w:tcPr>
          <w:p w14:paraId="3C8AD45C" w14:textId="77777777" w:rsidR="001C5E0E" w:rsidRPr="005F3C25" w:rsidRDefault="001C5E0E" w:rsidP="00826105">
            <w:pPr>
              <w:jc w:val="right"/>
              <w:rPr>
                <w:color w:val="000000"/>
                <w:sz w:val="16"/>
                <w:szCs w:val="16"/>
                <w:lang w:eastAsia="en-NZ"/>
              </w:rPr>
            </w:pPr>
            <w:r w:rsidRPr="005F3C25">
              <w:rPr>
                <w:color w:val="000000"/>
                <w:sz w:val="16"/>
                <w:szCs w:val="16"/>
                <w:lang w:eastAsia="en-NZ"/>
              </w:rPr>
              <w:t>3.72</w:t>
            </w:r>
          </w:p>
        </w:tc>
        <w:tc>
          <w:tcPr>
            <w:tcW w:w="1276" w:type="dxa"/>
            <w:shd w:val="clear" w:color="auto" w:fill="auto"/>
            <w:vAlign w:val="bottom"/>
          </w:tcPr>
          <w:p w14:paraId="3501AF34" w14:textId="77777777" w:rsidR="001C5E0E" w:rsidRPr="005F3C25" w:rsidRDefault="001C5E0E" w:rsidP="00826105">
            <w:pPr>
              <w:jc w:val="right"/>
              <w:rPr>
                <w:color w:val="000000"/>
                <w:sz w:val="16"/>
                <w:szCs w:val="16"/>
                <w:lang w:eastAsia="en-NZ"/>
              </w:rPr>
            </w:pPr>
            <w:r w:rsidRPr="005F3C25">
              <w:rPr>
                <w:color w:val="000000"/>
                <w:sz w:val="16"/>
                <w:szCs w:val="16"/>
                <w:lang w:eastAsia="en-NZ"/>
              </w:rPr>
              <w:t>(2.17, 6.35)</w:t>
            </w:r>
          </w:p>
        </w:tc>
        <w:tc>
          <w:tcPr>
            <w:tcW w:w="850" w:type="dxa"/>
            <w:shd w:val="clear" w:color="auto" w:fill="auto"/>
            <w:vAlign w:val="bottom"/>
          </w:tcPr>
          <w:p w14:paraId="1CAB394E" w14:textId="77777777" w:rsidR="001C5E0E" w:rsidRPr="005F3C25" w:rsidRDefault="001C5E0E" w:rsidP="00826105">
            <w:pPr>
              <w:jc w:val="right"/>
              <w:rPr>
                <w:color w:val="000000"/>
                <w:sz w:val="16"/>
                <w:szCs w:val="16"/>
                <w:lang w:eastAsia="en-NZ"/>
              </w:rPr>
            </w:pPr>
          </w:p>
        </w:tc>
      </w:tr>
      <w:tr w:rsidR="001C5E0E" w:rsidRPr="001A61F1" w14:paraId="2D46CD28" w14:textId="77777777" w:rsidTr="005F3C25">
        <w:tc>
          <w:tcPr>
            <w:tcW w:w="5387" w:type="dxa"/>
          </w:tcPr>
          <w:p w14:paraId="07B40D68" w14:textId="77777777" w:rsidR="001C5E0E" w:rsidRPr="003F15C0" w:rsidRDefault="001C5E0E" w:rsidP="001C5E0E">
            <w:pPr>
              <w:spacing w:before="20"/>
              <w:ind w:left="176"/>
              <w:jc w:val="both"/>
              <w:rPr>
                <w:sz w:val="16"/>
                <w:szCs w:val="16"/>
              </w:rPr>
            </w:pPr>
            <w:r w:rsidRPr="003F15C0">
              <w:rPr>
                <w:sz w:val="16"/>
                <w:szCs w:val="16"/>
              </w:rPr>
              <w:t>16 to 30 minutes</w:t>
            </w:r>
          </w:p>
        </w:tc>
        <w:tc>
          <w:tcPr>
            <w:tcW w:w="992" w:type="dxa"/>
            <w:shd w:val="clear" w:color="auto" w:fill="auto"/>
            <w:vAlign w:val="bottom"/>
          </w:tcPr>
          <w:p w14:paraId="2172FEAA" w14:textId="77777777" w:rsidR="001C5E0E" w:rsidRPr="005F3C25" w:rsidRDefault="001C5E0E" w:rsidP="001C5E0E">
            <w:pPr>
              <w:jc w:val="right"/>
              <w:rPr>
                <w:color w:val="000000"/>
                <w:sz w:val="16"/>
                <w:szCs w:val="16"/>
                <w:lang w:eastAsia="en-NZ"/>
              </w:rPr>
            </w:pPr>
            <w:r w:rsidRPr="005F3C25">
              <w:rPr>
                <w:color w:val="000000"/>
                <w:sz w:val="16"/>
                <w:szCs w:val="16"/>
                <w:lang w:eastAsia="en-NZ"/>
              </w:rPr>
              <w:t>8.22</w:t>
            </w:r>
          </w:p>
        </w:tc>
        <w:tc>
          <w:tcPr>
            <w:tcW w:w="1276" w:type="dxa"/>
            <w:shd w:val="clear" w:color="auto" w:fill="auto"/>
            <w:vAlign w:val="bottom"/>
          </w:tcPr>
          <w:p w14:paraId="53A075DB" w14:textId="77777777" w:rsidR="001C5E0E" w:rsidRPr="005F3C25" w:rsidRDefault="001C5E0E" w:rsidP="001C5E0E">
            <w:pPr>
              <w:jc w:val="right"/>
              <w:rPr>
                <w:color w:val="000000"/>
                <w:sz w:val="16"/>
                <w:szCs w:val="16"/>
                <w:lang w:eastAsia="en-NZ"/>
              </w:rPr>
            </w:pPr>
            <w:r w:rsidRPr="005F3C25">
              <w:rPr>
                <w:color w:val="000000"/>
                <w:sz w:val="16"/>
                <w:szCs w:val="16"/>
                <w:lang w:eastAsia="en-NZ"/>
              </w:rPr>
              <w:t>(4.88, 13.83)</w:t>
            </w:r>
          </w:p>
        </w:tc>
        <w:tc>
          <w:tcPr>
            <w:tcW w:w="850" w:type="dxa"/>
            <w:shd w:val="clear" w:color="auto" w:fill="auto"/>
            <w:vAlign w:val="bottom"/>
          </w:tcPr>
          <w:p w14:paraId="4DD631F1" w14:textId="77777777" w:rsidR="001C5E0E" w:rsidRPr="005F3C25" w:rsidRDefault="001C5E0E" w:rsidP="001C5E0E">
            <w:pPr>
              <w:jc w:val="right"/>
              <w:rPr>
                <w:color w:val="000000"/>
                <w:sz w:val="16"/>
                <w:szCs w:val="16"/>
                <w:lang w:eastAsia="en-NZ"/>
              </w:rPr>
            </w:pPr>
          </w:p>
        </w:tc>
      </w:tr>
      <w:tr w:rsidR="001C5E0E" w:rsidRPr="001A61F1" w14:paraId="36CDE0A4" w14:textId="77777777" w:rsidTr="005F3C25">
        <w:tc>
          <w:tcPr>
            <w:tcW w:w="5387" w:type="dxa"/>
          </w:tcPr>
          <w:p w14:paraId="103952DF" w14:textId="77777777" w:rsidR="001C5E0E" w:rsidRPr="003F15C0" w:rsidRDefault="001C5E0E" w:rsidP="001C5E0E">
            <w:pPr>
              <w:spacing w:before="20"/>
              <w:ind w:left="176"/>
              <w:jc w:val="both"/>
              <w:rPr>
                <w:sz w:val="16"/>
                <w:szCs w:val="16"/>
              </w:rPr>
            </w:pPr>
            <w:r w:rsidRPr="003F15C0">
              <w:rPr>
                <w:sz w:val="16"/>
                <w:szCs w:val="16"/>
              </w:rPr>
              <w:t>31 to 60 minutes</w:t>
            </w:r>
          </w:p>
        </w:tc>
        <w:tc>
          <w:tcPr>
            <w:tcW w:w="992" w:type="dxa"/>
            <w:shd w:val="clear" w:color="auto" w:fill="auto"/>
            <w:vAlign w:val="bottom"/>
          </w:tcPr>
          <w:p w14:paraId="022CF89A" w14:textId="77777777" w:rsidR="001C5E0E" w:rsidRPr="005F3C25" w:rsidRDefault="001C5E0E" w:rsidP="001C5E0E">
            <w:pPr>
              <w:jc w:val="right"/>
              <w:rPr>
                <w:color w:val="000000"/>
                <w:sz w:val="16"/>
                <w:szCs w:val="16"/>
                <w:lang w:eastAsia="en-NZ"/>
              </w:rPr>
            </w:pPr>
            <w:r w:rsidRPr="005F3C25">
              <w:rPr>
                <w:color w:val="000000"/>
                <w:sz w:val="16"/>
                <w:szCs w:val="16"/>
                <w:lang w:eastAsia="en-NZ"/>
              </w:rPr>
              <w:t>15.72</w:t>
            </w:r>
          </w:p>
        </w:tc>
        <w:tc>
          <w:tcPr>
            <w:tcW w:w="1276" w:type="dxa"/>
            <w:shd w:val="clear" w:color="auto" w:fill="auto"/>
            <w:vAlign w:val="bottom"/>
          </w:tcPr>
          <w:p w14:paraId="1249D948" w14:textId="77777777" w:rsidR="001C5E0E" w:rsidRPr="005F3C25" w:rsidRDefault="001C5E0E" w:rsidP="001C5E0E">
            <w:pPr>
              <w:jc w:val="right"/>
              <w:rPr>
                <w:color w:val="000000"/>
                <w:sz w:val="16"/>
                <w:szCs w:val="16"/>
                <w:lang w:eastAsia="en-NZ"/>
              </w:rPr>
            </w:pPr>
            <w:r w:rsidRPr="005F3C25">
              <w:rPr>
                <w:color w:val="000000"/>
                <w:sz w:val="16"/>
                <w:szCs w:val="16"/>
                <w:lang w:eastAsia="en-NZ"/>
              </w:rPr>
              <w:t>(8.70, 28.39)</w:t>
            </w:r>
          </w:p>
        </w:tc>
        <w:tc>
          <w:tcPr>
            <w:tcW w:w="850" w:type="dxa"/>
            <w:shd w:val="clear" w:color="auto" w:fill="auto"/>
            <w:vAlign w:val="bottom"/>
          </w:tcPr>
          <w:p w14:paraId="36214E84" w14:textId="77777777" w:rsidR="001C5E0E" w:rsidRPr="005F3C25" w:rsidRDefault="001C5E0E" w:rsidP="001C5E0E">
            <w:pPr>
              <w:jc w:val="right"/>
              <w:rPr>
                <w:color w:val="000000"/>
                <w:sz w:val="16"/>
                <w:szCs w:val="16"/>
                <w:lang w:eastAsia="en-NZ"/>
              </w:rPr>
            </w:pPr>
          </w:p>
        </w:tc>
      </w:tr>
      <w:tr w:rsidR="001C5E0E" w:rsidRPr="001A61F1" w14:paraId="6F8EADD8" w14:textId="77777777" w:rsidTr="00826105">
        <w:tc>
          <w:tcPr>
            <w:tcW w:w="5387" w:type="dxa"/>
          </w:tcPr>
          <w:p w14:paraId="132FC062" w14:textId="77777777" w:rsidR="001C5E0E" w:rsidRPr="003F15C0" w:rsidRDefault="001C5E0E" w:rsidP="001C5E0E">
            <w:pPr>
              <w:spacing w:before="20"/>
              <w:ind w:left="176"/>
              <w:jc w:val="both"/>
              <w:rPr>
                <w:sz w:val="16"/>
                <w:szCs w:val="16"/>
              </w:rPr>
            </w:pPr>
            <w:r w:rsidRPr="003F15C0">
              <w:rPr>
                <w:sz w:val="16"/>
                <w:szCs w:val="16"/>
              </w:rPr>
              <w:t>&gt;60 minutes</w:t>
            </w:r>
          </w:p>
        </w:tc>
        <w:tc>
          <w:tcPr>
            <w:tcW w:w="992" w:type="dxa"/>
            <w:shd w:val="clear" w:color="auto" w:fill="auto"/>
            <w:vAlign w:val="bottom"/>
          </w:tcPr>
          <w:p w14:paraId="29F42A0C" w14:textId="77777777" w:rsidR="001C5E0E" w:rsidRPr="005F3C25" w:rsidRDefault="001C5E0E" w:rsidP="001C5E0E">
            <w:pPr>
              <w:jc w:val="right"/>
              <w:rPr>
                <w:color w:val="000000"/>
                <w:sz w:val="16"/>
                <w:szCs w:val="16"/>
                <w:lang w:eastAsia="en-NZ"/>
              </w:rPr>
            </w:pPr>
            <w:r w:rsidRPr="005F3C25">
              <w:rPr>
                <w:color w:val="000000"/>
                <w:sz w:val="16"/>
                <w:szCs w:val="16"/>
                <w:lang w:eastAsia="en-NZ"/>
              </w:rPr>
              <w:t>71.80</w:t>
            </w:r>
          </w:p>
        </w:tc>
        <w:tc>
          <w:tcPr>
            <w:tcW w:w="1276" w:type="dxa"/>
            <w:shd w:val="clear" w:color="auto" w:fill="auto"/>
            <w:vAlign w:val="bottom"/>
          </w:tcPr>
          <w:p w14:paraId="16FDDBEA" w14:textId="77777777" w:rsidR="001C5E0E" w:rsidRPr="005F3C25" w:rsidRDefault="001C5E0E" w:rsidP="001C5E0E">
            <w:pPr>
              <w:jc w:val="right"/>
              <w:rPr>
                <w:color w:val="000000"/>
                <w:sz w:val="16"/>
                <w:szCs w:val="16"/>
                <w:lang w:eastAsia="en-NZ"/>
              </w:rPr>
            </w:pPr>
            <w:r w:rsidRPr="005F3C25">
              <w:rPr>
                <w:color w:val="000000"/>
                <w:sz w:val="16"/>
                <w:szCs w:val="16"/>
                <w:lang w:eastAsia="en-NZ"/>
              </w:rPr>
              <w:t>(32.81, 157.09)</w:t>
            </w:r>
          </w:p>
        </w:tc>
        <w:tc>
          <w:tcPr>
            <w:tcW w:w="850" w:type="dxa"/>
            <w:shd w:val="clear" w:color="auto" w:fill="auto"/>
            <w:vAlign w:val="bottom"/>
          </w:tcPr>
          <w:p w14:paraId="23EA5369" w14:textId="77777777" w:rsidR="001C5E0E" w:rsidRPr="005F3C25" w:rsidRDefault="001C5E0E" w:rsidP="001C5E0E">
            <w:pPr>
              <w:jc w:val="right"/>
              <w:rPr>
                <w:color w:val="000000"/>
                <w:sz w:val="16"/>
                <w:szCs w:val="16"/>
                <w:lang w:eastAsia="en-NZ"/>
              </w:rPr>
            </w:pPr>
            <w:r w:rsidRPr="005F3C25">
              <w:rPr>
                <w:color w:val="000000"/>
                <w:sz w:val="16"/>
                <w:szCs w:val="16"/>
                <w:lang w:eastAsia="en-NZ"/>
              </w:rPr>
              <w:t>&lt;</w:t>
            </w:r>
            <w:r>
              <w:rPr>
                <w:color w:val="000000"/>
                <w:sz w:val="16"/>
                <w:szCs w:val="16"/>
                <w:lang w:eastAsia="en-NZ"/>
              </w:rPr>
              <w:t>0</w:t>
            </w:r>
            <w:r w:rsidRPr="005F3C25">
              <w:rPr>
                <w:color w:val="000000"/>
                <w:sz w:val="16"/>
                <w:szCs w:val="16"/>
                <w:lang w:eastAsia="en-NZ"/>
              </w:rPr>
              <w:t>.0001</w:t>
            </w:r>
          </w:p>
        </w:tc>
      </w:tr>
      <w:tr w:rsidR="001C5E0E" w:rsidRPr="001A61F1" w14:paraId="45E12F34" w14:textId="77777777" w:rsidTr="005F3C25">
        <w:tc>
          <w:tcPr>
            <w:tcW w:w="5387" w:type="dxa"/>
            <w:vAlign w:val="center"/>
          </w:tcPr>
          <w:p w14:paraId="4FB03B58" w14:textId="77777777" w:rsidR="001C5E0E" w:rsidRPr="003F15C0" w:rsidRDefault="001C5E0E" w:rsidP="001C5E0E">
            <w:pPr>
              <w:spacing w:before="20"/>
              <w:rPr>
                <w:b/>
                <w:bCs/>
                <w:color w:val="000000"/>
                <w:sz w:val="16"/>
                <w:szCs w:val="16"/>
              </w:rPr>
            </w:pPr>
            <w:r w:rsidRPr="003F15C0">
              <w:rPr>
                <w:b/>
                <w:bCs/>
                <w:color w:val="000000"/>
                <w:sz w:val="16"/>
                <w:szCs w:val="16"/>
              </w:rPr>
              <w:t>Time spent playing EGMs in an average day (club)</w:t>
            </w:r>
          </w:p>
        </w:tc>
        <w:tc>
          <w:tcPr>
            <w:tcW w:w="992" w:type="dxa"/>
            <w:shd w:val="clear" w:color="auto" w:fill="auto"/>
            <w:vAlign w:val="bottom"/>
          </w:tcPr>
          <w:p w14:paraId="36E16CD2"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01188391"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247C0BE6" w14:textId="77777777" w:rsidR="001C5E0E" w:rsidRPr="007B750E" w:rsidRDefault="001C5E0E" w:rsidP="001C5E0E">
            <w:pPr>
              <w:jc w:val="right"/>
              <w:rPr>
                <w:color w:val="000000"/>
                <w:sz w:val="16"/>
                <w:szCs w:val="16"/>
                <w:lang w:eastAsia="en-NZ"/>
              </w:rPr>
            </w:pPr>
          </w:p>
        </w:tc>
      </w:tr>
      <w:tr w:rsidR="001C5E0E" w:rsidRPr="001A61F1" w14:paraId="1E51E5FB" w14:textId="77777777" w:rsidTr="005F3C25">
        <w:tc>
          <w:tcPr>
            <w:tcW w:w="5387" w:type="dxa"/>
          </w:tcPr>
          <w:p w14:paraId="6ADCA927" w14:textId="77777777" w:rsidR="001C5E0E" w:rsidRPr="003F15C0" w:rsidRDefault="001C5E0E" w:rsidP="001C5E0E">
            <w:pPr>
              <w:spacing w:before="20"/>
              <w:ind w:left="176"/>
              <w:jc w:val="both"/>
              <w:rPr>
                <w:sz w:val="16"/>
                <w:szCs w:val="16"/>
              </w:rPr>
            </w:pPr>
            <w:r w:rsidRPr="003F15C0">
              <w:rPr>
                <w:sz w:val="16"/>
                <w:szCs w:val="16"/>
              </w:rPr>
              <w:t>No time</w:t>
            </w:r>
          </w:p>
        </w:tc>
        <w:tc>
          <w:tcPr>
            <w:tcW w:w="992" w:type="dxa"/>
            <w:shd w:val="clear" w:color="auto" w:fill="auto"/>
            <w:vAlign w:val="bottom"/>
          </w:tcPr>
          <w:p w14:paraId="2E523BCC" w14:textId="77777777" w:rsidR="001C5E0E" w:rsidRPr="005F3C25" w:rsidRDefault="001C5E0E" w:rsidP="001C5E0E">
            <w:pPr>
              <w:jc w:val="right"/>
              <w:rPr>
                <w:color w:val="000000"/>
                <w:sz w:val="16"/>
                <w:szCs w:val="16"/>
                <w:lang w:eastAsia="en-NZ"/>
              </w:rPr>
            </w:pPr>
            <w:r w:rsidRPr="005F3C25">
              <w:rPr>
                <w:color w:val="000000"/>
                <w:sz w:val="16"/>
                <w:szCs w:val="16"/>
                <w:lang w:eastAsia="en-NZ"/>
              </w:rPr>
              <w:t>1.00</w:t>
            </w:r>
          </w:p>
        </w:tc>
        <w:tc>
          <w:tcPr>
            <w:tcW w:w="1276" w:type="dxa"/>
            <w:shd w:val="clear" w:color="auto" w:fill="auto"/>
            <w:vAlign w:val="bottom"/>
          </w:tcPr>
          <w:p w14:paraId="23CCDA0D" w14:textId="77777777" w:rsidR="001C5E0E" w:rsidRPr="005F3C25" w:rsidRDefault="001C5E0E" w:rsidP="001C5E0E">
            <w:pPr>
              <w:jc w:val="right"/>
              <w:rPr>
                <w:color w:val="000000"/>
                <w:sz w:val="16"/>
                <w:szCs w:val="16"/>
                <w:lang w:eastAsia="en-NZ"/>
              </w:rPr>
            </w:pPr>
          </w:p>
        </w:tc>
        <w:tc>
          <w:tcPr>
            <w:tcW w:w="850" w:type="dxa"/>
            <w:shd w:val="clear" w:color="auto" w:fill="auto"/>
            <w:vAlign w:val="bottom"/>
          </w:tcPr>
          <w:p w14:paraId="04D5EF81" w14:textId="77777777" w:rsidR="001C5E0E" w:rsidRPr="005F3C25" w:rsidRDefault="001C5E0E" w:rsidP="001C5E0E">
            <w:pPr>
              <w:jc w:val="right"/>
              <w:rPr>
                <w:color w:val="000000"/>
                <w:sz w:val="16"/>
                <w:szCs w:val="16"/>
                <w:lang w:eastAsia="en-NZ"/>
              </w:rPr>
            </w:pPr>
          </w:p>
        </w:tc>
      </w:tr>
      <w:tr w:rsidR="001C5E0E" w:rsidRPr="001A61F1" w14:paraId="61130543" w14:textId="77777777" w:rsidTr="005F3C25">
        <w:tc>
          <w:tcPr>
            <w:tcW w:w="5387" w:type="dxa"/>
          </w:tcPr>
          <w:p w14:paraId="46F097EA" w14:textId="77777777" w:rsidR="001C5E0E" w:rsidRPr="003F15C0" w:rsidRDefault="001C5E0E" w:rsidP="001C5E0E">
            <w:pPr>
              <w:spacing w:before="20"/>
              <w:ind w:left="176"/>
              <w:jc w:val="both"/>
              <w:rPr>
                <w:sz w:val="16"/>
                <w:szCs w:val="16"/>
              </w:rPr>
            </w:pPr>
            <w:r w:rsidRPr="003F15C0">
              <w:rPr>
                <w:sz w:val="16"/>
                <w:szCs w:val="16"/>
              </w:rPr>
              <w:t>Up to 15 minutes</w:t>
            </w:r>
          </w:p>
        </w:tc>
        <w:tc>
          <w:tcPr>
            <w:tcW w:w="992" w:type="dxa"/>
            <w:shd w:val="clear" w:color="auto" w:fill="auto"/>
            <w:vAlign w:val="bottom"/>
          </w:tcPr>
          <w:p w14:paraId="1700BBA9" w14:textId="77777777" w:rsidR="001C5E0E" w:rsidRPr="005F3C25" w:rsidRDefault="001C5E0E" w:rsidP="001C5E0E">
            <w:pPr>
              <w:jc w:val="right"/>
              <w:rPr>
                <w:color w:val="000000"/>
                <w:sz w:val="16"/>
                <w:szCs w:val="16"/>
                <w:lang w:eastAsia="en-NZ"/>
              </w:rPr>
            </w:pPr>
            <w:r w:rsidRPr="005F3C25">
              <w:rPr>
                <w:color w:val="000000"/>
                <w:sz w:val="16"/>
                <w:szCs w:val="16"/>
                <w:lang w:eastAsia="en-NZ"/>
              </w:rPr>
              <w:t>2.96</w:t>
            </w:r>
          </w:p>
        </w:tc>
        <w:tc>
          <w:tcPr>
            <w:tcW w:w="1276" w:type="dxa"/>
            <w:shd w:val="clear" w:color="auto" w:fill="auto"/>
            <w:vAlign w:val="bottom"/>
          </w:tcPr>
          <w:p w14:paraId="122BF918" w14:textId="77777777" w:rsidR="001C5E0E" w:rsidRPr="005F3C25" w:rsidRDefault="001C5E0E" w:rsidP="001C5E0E">
            <w:pPr>
              <w:jc w:val="right"/>
              <w:rPr>
                <w:color w:val="000000"/>
                <w:sz w:val="16"/>
                <w:szCs w:val="16"/>
                <w:lang w:eastAsia="en-NZ"/>
              </w:rPr>
            </w:pPr>
            <w:r w:rsidRPr="005F3C25">
              <w:rPr>
                <w:color w:val="000000"/>
                <w:sz w:val="16"/>
                <w:szCs w:val="16"/>
                <w:lang w:eastAsia="en-NZ"/>
              </w:rPr>
              <w:t>(1.31, 6.67)</w:t>
            </w:r>
          </w:p>
        </w:tc>
        <w:tc>
          <w:tcPr>
            <w:tcW w:w="850" w:type="dxa"/>
            <w:shd w:val="clear" w:color="auto" w:fill="auto"/>
            <w:vAlign w:val="bottom"/>
          </w:tcPr>
          <w:p w14:paraId="3BFFD820" w14:textId="77777777" w:rsidR="001C5E0E" w:rsidRPr="005F3C25" w:rsidRDefault="001C5E0E" w:rsidP="001C5E0E">
            <w:pPr>
              <w:jc w:val="right"/>
              <w:rPr>
                <w:color w:val="000000"/>
                <w:sz w:val="16"/>
                <w:szCs w:val="16"/>
                <w:lang w:eastAsia="en-NZ"/>
              </w:rPr>
            </w:pPr>
          </w:p>
        </w:tc>
      </w:tr>
      <w:tr w:rsidR="001C5E0E" w:rsidRPr="001A61F1" w14:paraId="2A8D3565" w14:textId="77777777" w:rsidTr="005F3C25">
        <w:tc>
          <w:tcPr>
            <w:tcW w:w="5387" w:type="dxa"/>
          </w:tcPr>
          <w:p w14:paraId="31BDB9AD" w14:textId="77777777" w:rsidR="001C5E0E" w:rsidRPr="003F15C0" w:rsidRDefault="001C5E0E" w:rsidP="001C5E0E">
            <w:pPr>
              <w:spacing w:before="20"/>
              <w:ind w:left="176"/>
              <w:jc w:val="both"/>
              <w:rPr>
                <w:sz w:val="16"/>
                <w:szCs w:val="16"/>
              </w:rPr>
            </w:pPr>
            <w:r w:rsidRPr="003F15C0">
              <w:rPr>
                <w:sz w:val="16"/>
                <w:szCs w:val="16"/>
              </w:rPr>
              <w:t>16 to 30 minutes</w:t>
            </w:r>
          </w:p>
        </w:tc>
        <w:tc>
          <w:tcPr>
            <w:tcW w:w="992" w:type="dxa"/>
            <w:shd w:val="clear" w:color="auto" w:fill="auto"/>
            <w:vAlign w:val="bottom"/>
          </w:tcPr>
          <w:p w14:paraId="5688EF9F" w14:textId="77777777" w:rsidR="001C5E0E" w:rsidRPr="005F3C25" w:rsidRDefault="001C5E0E" w:rsidP="001C5E0E">
            <w:pPr>
              <w:jc w:val="right"/>
              <w:rPr>
                <w:color w:val="000000"/>
                <w:sz w:val="16"/>
                <w:szCs w:val="16"/>
                <w:lang w:eastAsia="en-NZ"/>
              </w:rPr>
            </w:pPr>
            <w:r w:rsidRPr="005F3C25">
              <w:rPr>
                <w:color w:val="000000"/>
                <w:sz w:val="16"/>
                <w:szCs w:val="16"/>
                <w:lang w:eastAsia="en-NZ"/>
              </w:rPr>
              <w:t>1.51</w:t>
            </w:r>
          </w:p>
        </w:tc>
        <w:tc>
          <w:tcPr>
            <w:tcW w:w="1276" w:type="dxa"/>
            <w:shd w:val="clear" w:color="auto" w:fill="auto"/>
            <w:vAlign w:val="bottom"/>
          </w:tcPr>
          <w:p w14:paraId="5E5D956E" w14:textId="77777777" w:rsidR="001C5E0E" w:rsidRPr="005F3C25" w:rsidRDefault="001C5E0E" w:rsidP="001C5E0E">
            <w:pPr>
              <w:jc w:val="right"/>
              <w:rPr>
                <w:color w:val="000000"/>
                <w:sz w:val="16"/>
                <w:szCs w:val="16"/>
                <w:lang w:eastAsia="en-NZ"/>
              </w:rPr>
            </w:pPr>
            <w:r w:rsidRPr="005F3C25">
              <w:rPr>
                <w:color w:val="000000"/>
                <w:sz w:val="16"/>
                <w:szCs w:val="16"/>
                <w:lang w:eastAsia="en-NZ"/>
              </w:rPr>
              <w:t>(0.76, 3.01)</w:t>
            </w:r>
          </w:p>
        </w:tc>
        <w:tc>
          <w:tcPr>
            <w:tcW w:w="850" w:type="dxa"/>
            <w:shd w:val="clear" w:color="auto" w:fill="auto"/>
            <w:vAlign w:val="bottom"/>
          </w:tcPr>
          <w:p w14:paraId="473A81AA" w14:textId="77777777" w:rsidR="001C5E0E" w:rsidRPr="005F3C25" w:rsidRDefault="001C5E0E" w:rsidP="001C5E0E">
            <w:pPr>
              <w:jc w:val="right"/>
              <w:rPr>
                <w:color w:val="000000"/>
                <w:sz w:val="16"/>
                <w:szCs w:val="16"/>
                <w:lang w:eastAsia="en-NZ"/>
              </w:rPr>
            </w:pPr>
          </w:p>
        </w:tc>
      </w:tr>
      <w:tr w:rsidR="001C5E0E" w:rsidRPr="001A61F1" w14:paraId="6C5108A9" w14:textId="77777777" w:rsidTr="005F3C25">
        <w:tc>
          <w:tcPr>
            <w:tcW w:w="5387" w:type="dxa"/>
          </w:tcPr>
          <w:p w14:paraId="064626FB" w14:textId="77777777" w:rsidR="001C5E0E" w:rsidRPr="003F15C0" w:rsidRDefault="001C5E0E" w:rsidP="001C5E0E">
            <w:pPr>
              <w:spacing w:before="20"/>
              <w:ind w:left="176"/>
              <w:jc w:val="both"/>
              <w:rPr>
                <w:sz w:val="16"/>
                <w:szCs w:val="16"/>
              </w:rPr>
            </w:pPr>
            <w:r w:rsidRPr="003F15C0">
              <w:rPr>
                <w:sz w:val="16"/>
                <w:szCs w:val="16"/>
              </w:rPr>
              <w:t>31 to 60 minutes</w:t>
            </w:r>
          </w:p>
        </w:tc>
        <w:tc>
          <w:tcPr>
            <w:tcW w:w="992" w:type="dxa"/>
            <w:shd w:val="clear" w:color="auto" w:fill="auto"/>
            <w:vAlign w:val="bottom"/>
          </w:tcPr>
          <w:p w14:paraId="4C522301" w14:textId="77777777" w:rsidR="001C5E0E" w:rsidRPr="005F3C25" w:rsidRDefault="001C5E0E" w:rsidP="001C5E0E">
            <w:pPr>
              <w:jc w:val="right"/>
              <w:rPr>
                <w:color w:val="000000"/>
                <w:sz w:val="16"/>
                <w:szCs w:val="16"/>
                <w:lang w:eastAsia="en-NZ"/>
              </w:rPr>
            </w:pPr>
            <w:r w:rsidRPr="005F3C25">
              <w:rPr>
                <w:color w:val="000000"/>
                <w:sz w:val="16"/>
                <w:szCs w:val="16"/>
                <w:lang w:eastAsia="en-NZ"/>
              </w:rPr>
              <w:t>2.59</w:t>
            </w:r>
          </w:p>
        </w:tc>
        <w:tc>
          <w:tcPr>
            <w:tcW w:w="1276" w:type="dxa"/>
            <w:shd w:val="clear" w:color="auto" w:fill="auto"/>
            <w:vAlign w:val="bottom"/>
          </w:tcPr>
          <w:p w14:paraId="0615C392" w14:textId="77777777" w:rsidR="001C5E0E" w:rsidRPr="005F3C25" w:rsidRDefault="001C5E0E" w:rsidP="001C5E0E">
            <w:pPr>
              <w:jc w:val="right"/>
              <w:rPr>
                <w:color w:val="000000"/>
                <w:sz w:val="16"/>
                <w:szCs w:val="16"/>
                <w:lang w:eastAsia="en-NZ"/>
              </w:rPr>
            </w:pPr>
            <w:r w:rsidRPr="005F3C25">
              <w:rPr>
                <w:color w:val="000000"/>
                <w:sz w:val="16"/>
                <w:szCs w:val="16"/>
                <w:lang w:eastAsia="en-NZ"/>
              </w:rPr>
              <w:t>(1.22, 5.52)</w:t>
            </w:r>
          </w:p>
        </w:tc>
        <w:tc>
          <w:tcPr>
            <w:tcW w:w="850" w:type="dxa"/>
            <w:shd w:val="clear" w:color="auto" w:fill="auto"/>
            <w:vAlign w:val="bottom"/>
          </w:tcPr>
          <w:p w14:paraId="0BFC623A" w14:textId="77777777" w:rsidR="001C5E0E" w:rsidRPr="005F3C25" w:rsidRDefault="001C5E0E" w:rsidP="001C5E0E">
            <w:pPr>
              <w:jc w:val="right"/>
              <w:rPr>
                <w:color w:val="000000"/>
                <w:sz w:val="16"/>
                <w:szCs w:val="16"/>
                <w:lang w:eastAsia="en-NZ"/>
              </w:rPr>
            </w:pPr>
          </w:p>
        </w:tc>
      </w:tr>
      <w:tr w:rsidR="001C5E0E" w:rsidRPr="001A61F1" w14:paraId="4DF14EF2" w14:textId="77777777" w:rsidTr="00826105">
        <w:tc>
          <w:tcPr>
            <w:tcW w:w="5387" w:type="dxa"/>
          </w:tcPr>
          <w:p w14:paraId="7BC62112" w14:textId="77777777" w:rsidR="001C5E0E" w:rsidRPr="003F15C0" w:rsidRDefault="001C5E0E" w:rsidP="001C5E0E">
            <w:pPr>
              <w:spacing w:before="20"/>
              <w:ind w:left="176"/>
              <w:jc w:val="both"/>
              <w:rPr>
                <w:sz w:val="16"/>
                <w:szCs w:val="16"/>
              </w:rPr>
            </w:pPr>
            <w:r w:rsidRPr="003F15C0">
              <w:rPr>
                <w:sz w:val="16"/>
                <w:szCs w:val="16"/>
              </w:rPr>
              <w:t>&gt;60 minutes</w:t>
            </w:r>
          </w:p>
        </w:tc>
        <w:tc>
          <w:tcPr>
            <w:tcW w:w="992" w:type="dxa"/>
            <w:shd w:val="clear" w:color="auto" w:fill="auto"/>
            <w:vAlign w:val="bottom"/>
          </w:tcPr>
          <w:p w14:paraId="7AEF9C1B" w14:textId="77777777" w:rsidR="001C5E0E" w:rsidRPr="005F3C25" w:rsidRDefault="001C5E0E" w:rsidP="001C5E0E">
            <w:pPr>
              <w:jc w:val="right"/>
              <w:rPr>
                <w:color w:val="000000"/>
                <w:sz w:val="16"/>
                <w:szCs w:val="16"/>
                <w:lang w:eastAsia="en-NZ"/>
              </w:rPr>
            </w:pPr>
            <w:r w:rsidRPr="005F3C25">
              <w:rPr>
                <w:color w:val="000000"/>
                <w:sz w:val="16"/>
                <w:szCs w:val="16"/>
                <w:lang w:eastAsia="en-NZ"/>
              </w:rPr>
              <w:t>17.74</w:t>
            </w:r>
          </w:p>
        </w:tc>
        <w:tc>
          <w:tcPr>
            <w:tcW w:w="1276" w:type="dxa"/>
            <w:shd w:val="clear" w:color="auto" w:fill="auto"/>
            <w:vAlign w:val="bottom"/>
          </w:tcPr>
          <w:p w14:paraId="5544BFA7" w14:textId="77777777" w:rsidR="001C5E0E" w:rsidRPr="005F3C25" w:rsidRDefault="001C5E0E" w:rsidP="001C5E0E">
            <w:pPr>
              <w:jc w:val="right"/>
              <w:rPr>
                <w:color w:val="000000"/>
                <w:sz w:val="16"/>
                <w:szCs w:val="16"/>
                <w:lang w:eastAsia="en-NZ"/>
              </w:rPr>
            </w:pPr>
            <w:r w:rsidRPr="005F3C25">
              <w:rPr>
                <w:color w:val="000000"/>
                <w:sz w:val="16"/>
                <w:szCs w:val="16"/>
                <w:lang w:eastAsia="en-NZ"/>
              </w:rPr>
              <w:t>(6.67, 47.21)</w:t>
            </w:r>
          </w:p>
        </w:tc>
        <w:tc>
          <w:tcPr>
            <w:tcW w:w="850" w:type="dxa"/>
            <w:shd w:val="clear" w:color="auto" w:fill="auto"/>
            <w:vAlign w:val="bottom"/>
          </w:tcPr>
          <w:p w14:paraId="49794FA5" w14:textId="77777777" w:rsidR="001C5E0E" w:rsidRPr="005F3C25" w:rsidRDefault="001C5E0E" w:rsidP="001C5E0E">
            <w:pPr>
              <w:jc w:val="right"/>
              <w:rPr>
                <w:color w:val="000000"/>
                <w:sz w:val="16"/>
                <w:szCs w:val="16"/>
                <w:lang w:eastAsia="en-NZ"/>
              </w:rPr>
            </w:pPr>
            <w:r w:rsidRPr="005F3C25">
              <w:rPr>
                <w:color w:val="000000"/>
                <w:sz w:val="16"/>
                <w:szCs w:val="16"/>
                <w:lang w:eastAsia="en-NZ"/>
              </w:rPr>
              <w:t>&lt;</w:t>
            </w:r>
            <w:r>
              <w:rPr>
                <w:color w:val="000000"/>
                <w:sz w:val="16"/>
                <w:szCs w:val="16"/>
                <w:lang w:eastAsia="en-NZ"/>
              </w:rPr>
              <w:t>0</w:t>
            </w:r>
            <w:r w:rsidRPr="005F3C25">
              <w:rPr>
                <w:color w:val="000000"/>
                <w:sz w:val="16"/>
                <w:szCs w:val="16"/>
                <w:lang w:eastAsia="en-NZ"/>
              </w:rPr>
              <w:t>.0001</w:t>
            </w:r>
          </w:p>
        </w:tc>
      </w:tr>
      <w:tr w:rsidR="001C5E0E" w:rsidRPr="001A61F1" w14:paraId="6D2FD8F6" w14:textId="77777777" w:rsidTr="005F3C25">
        <w:tc>
          <w:tcPr>
            <w:tcW w:w="5387" w:type="dxa"/>
            <w:vAlign w:val="center"/>
          </w:tcPr>
          <w:p w14:paraId="3D6E8A3B" w14:textId="77777777" w:rsidR="001C5E0E" w:rsidRPr="003F15C0" w:rsidRDefault="001C5E0E" w:rsidP="001C5E0E">
            <w:pPr>
              <w:spacing w:before="20"/>
              <w:rPr>
                <w:b/>
                <w:bCs/>
                <w:color w:val="000000"/>
                <w:sz w:val="16"/>
                <w:szCs w:val="16"/>
              </w:rPr>
            </w:pPr>
            <w:r w:rsidRPr="003F15C0">
              <w:rPr>
                <w:b/>
                <w:bCs/>
                <w:color w:val="000000"/>
                <w:sz w:val="16"/>
                <w:szCs w:val="16"/>
              </w:rPr>
              <w:t>Who spent time with on most enjoyed activity</w:t>
            </w:r>
          </w:p>
        </w:tc>
        <w:tc>
          <w:tcPr>
            <w:tcW w:w="992" w:type="dxa"/>
            <w:shd w:val="clear" w:color="auto" w:fill="auto"/>
            <w:vAlign w:val="bottom"/>
          </w:tcPr>
          <w:p w14:paraId="54B9DDFD"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7986039B"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25454334" w14:textId="77777777" w:rsidR="001C5E0E" w:rsidRPr="007B750E" w:rsidRDefault="001C5E0E" w:rsidP="001C5E0E">
            <w:pPr>
              <w:jc w:val="right"/>
              <w:rPr>
                <w:color w:val="000000"/>
                <w:sz w:val="16"/>
                <w:szCs w:val="16"/>
                <w:lang w:eastAsia="en-NZ"/>
              </w:rPr>
            </w:pPr>
          </w:p>
        </w:tc>
      </w:tr>
      <w:tr w:rsidR="001C5E0E" w:rsidRPr="001A61F1" w14:paraId="10FEB0F2" w14:textId="77777777" w:rsidTr="005F3C25">
        <w:tc>
          <w:tcPr>
            <w:tcW w:w="5387" w:type="dxa"/>
          </w:tcPr>
          <w:p w14:paraId="5FA3429C" w14:textId="77777777" w:rsidR="001C5E0E" w:rsidRPr="003F15C0" w:rsidRDefault="001C5E0E" w:rsidP="001C5E0E">
            <w:pPr>
              <w:spacing w:before="20"/>
              <w:ind w:left="176"/>
              <w:jc w:val="both"/>
              <w:rPr>
                <w:sz w:val="16"/>
                <w:szCs w:val="16"/>
              </w:rPr>
            </w:pPr>
            <w:r w:rsidRPr="003F15C0">
              <w:rPr>
                <w:sz w:val="16"/>
                <w:szCs w:val="16"/>
              </w:rPr>
              <w:t>Alone</w:t>
            </w:r>
          </w:p>
        </w:tc>
        <w:tc>
          <w:tcPr>
            <w:tcW w:w="992" w:type="dxa"/>
            <w:shd w:val="clear" w:color="auto" w:fill="auto"/>
            <w:vAlign w:val="bottom"/>
          </w:tcPr>
          <w:p w14:paraId="153F5495" w14:textId="77777777" w:rsidR="001C5E0E" w:rsidRPr="005F3C25" w:rsidRDefault="001C5E0E" w:rsidP="001C5E0E">
            <w:pPr>
              <w:jc w:val="right"/>
              <w:rPr>
                <w:color w:val="000000"/>
                <w:sz w:val="16"/>
                <w:szCs w:val="16"/>
                <w:lang w:eastAsia="en-NZ"/>
              </w:rPr>
            </w:pPr>
            <w:r w:rsidRPr="005F3C25">
              <w:rPr>
                <w:color w:val="000000"/>
                <w:sz w:val="16"/>
                <w:szCs w:val="16"/>
                <w:lang w:eastAsia="en-NZ"/>
              </w:rPr>
              <w:t>1.00</w:t>
            </w:r>
          </w:p>
        </w:tc>
        <w:tc>
          <w:tcPr>
            <w:tcW w:w="1276" w:type="dxa"/>
            <w:shd w:val="clear" w:color="auto" w:fill="auto"/>
            <w:vAlign w:val="bottom"/>
          </w:tcPr>
          <w:p w14:paraId="399C9FE9" w14:textId="77777777" w:rsidR="001C5E0E" w:rsidRPr="005F3C25" w:rsidRDefault="001C5E0E" w:rsidP="001C5E0E">
            <w:pPr>
              <w:jc w:val="right"/>
              <w:rPr>
                <w:color w:val="000000"/>
                <w:sz w:val="16"/>
                <w:szCs w:val="16"/>
                <w:lang w:eastAsia="en-NZ"/>
              </w:rPr>
            </w:pPr>
          </w:p>
        </w:tc>
        <w:tc>
          <w:tcPr>
            <w:tcW w:w="850" w:type="dxa"/>
            <w:shd w:val="clear" w:color="auto" w:fill="auto"/>
            <w:vAlign w:val="bottom"/>
          </w:tcPr>
          <w:p w14:paraId="48AF87EF" w14:textId="77777777" w:rsidR="001C5E0E" w:rsidRPr="005F3C25" w:rsidRDefault="001C5E0E" w:rsidP="001C5E0E">
            <w:pPr>
              <w:jc w:val="right"/>
              <w:rPr>
                <w:color w:val="000000"/>
                <w:sz w:val="16"/>
                <w:szCs w:val="16"/>
                <w:lang w:eastAsia="en-NZ"/>
              </w:rPr>
            </w:pPr>
          </w:p>
        </w:tc>
      </w:tr>
      <w:tr w:rsidR="001C5E0E" w:rsidRPr="001A61F1" w14:paraId="78F76426" w14:textId="77777777" w:rsidTr="005F3C25">
        <w:tc>
          <w:tcPr>
            <w:tcW w:w="5387" w:type="dxa"/>
          </w:tcPr>
          <w:p w14:paraId="15D6F495" w14:textId="77777777" w:rsidR="001C5E0E" w:rsidRPr="003F15C0" w:rsidRDefault="001C5E0E" w:rsidP="001C5E0E">
            <w:pPr>
              <w:spacing w:before="20"/>
              <w:ind w:left="176"/>
              <w:jc w:val="both"/>
              <w:rPr>
                <w:sz w:val="16"/>
                <w:szCs w:val="16"/>
              </w:rPr>
            </w:pPr>
            <w:r w:rsidRPr="003F15C0">
              <w:rPr>
                <w:sz w:val="16"/>
                <w:szCs w:val="16"/>
              </w:rPr>
              <w:t>With one person</w:t>
            </w:r>
          </w:p>
        </w:tc>
        <w:tc>
          <w:tcPr>
            <w:tcW w:w="992" w:type="dxa"/>
            <w:shd w:val="clear" w:color="auto" w:fill="auto"/>
            <w:vAlign w:val="bottom"/>
          </w:tcPr>
          <w:p w14:paraId="7271A23C" w14:textId="77777777" w:rsidR="001C5E0E" w:rsidRPr="005F3C25" w:rsidRDefault="001C5E0E" w:rsidP="001C5E0E">
            <w:pPr>
              <w:jc w:val="right"/>
              <w:rPr>
                <w:color w:val="000000"/>
                <w:sz w:val="16"/>
                <w:szCs w:val="16"/>
                <w:lang w:eastAsia="en-NZ"/>
              </w:rPr>
            </w:pPr>
            <w:r w:rsidRPr="005F3C25">
              <w:rPr>
                <w:color w:val="000000"/>
                <w:sz w:val="16"/>
                <w:szCs w:val="16"/>
                <w:lang w:eastAsia="en-NZ"/>
              </w:rPr>
              <w:t>1.57</w:t>
            </w:r>
          </w:p>
        </w:tc>
        <w:tc>
          <w:tcPr>
            <w:tcW w:w="1276" w:type="dxa"/>
            <w:shd w:val="clear" w:color="auto" w:fill="auto"/>
            <w:vAlign w:val="bottom"/>
          </w:tcPr>
          <w:p w14:paraId="0C69DB26" w14:textId="77777777" w:rsidR="001C5E0E" w:rsidRPr="005F3C25" w:rsidRDefault="001C5E0E" w:rsidP="001C5E0E">
            <w:pPr>
              <w:jc w:val="right"/>
              <w:rPr>
                <w:color w:val="000000"/>
                <w:sz w:val="16"/>
                <w:szCs w:val="16"/>
                <w:lang w:eastAsia="en-NZ"/>
              </w:rPr>
            </w:pPr>
            <w:r w:rsidRPr="005F3C25">
              <w:rPr>
                <w:color w:val="000000"/>
                <w:sz w:val="16"/>
                <w:szCs w:val="16"/>
                <w:lang w:eastAsia="en-NZ"/>
              </w:rPr>
              <w:t>(1.10, 2.25)</w:t>
            </w:r>
          </w:p>
        </w:tc>
        <w:tc>
          <w:tcPr>
            <w:tcW w:w="850" w:type="dxa"/>
            <w:shd w:val="clear" w:color="auto" w:fill="auto"/>
            <w:vAlign w:val="bottom"/>
          </w:tcPr>
          <w:p w14:paraId="54090450" w14:textId="77777777" w:rsidR="001C5E0E" w:rsidRPr="005F3C25" w:rsidRDefault="001C5E0E" w:rsidP="001C5E0E">
            <w:pPr>
              <w:jc w:val="right"/>
              <w:rPr>
                <w:color w:val="000000"/>
                <w:sz w:val="16"/>
                <w:szCs w:val="16"/>
                <w:lang w:eastAsia="en-NZ"/>
              </w:rPr>
            </w:pPr>
          </w:p>
        </w:tc>
      </w:tr>
      <w:tr w:rsidR="001C5E0E" w:rsidRPr="001A61F1" w14:paraId="57401446" w14:textId="77777777" w:rsidTr="00826105">
        <w:tc>
          <w:tcPr>
            <w:tcW w:w="5387" w:type="dxa"/>
          </w:tcPr>
          <w:p w14:paraId="45CA0602" w14:textId="77777777" w:rsidR="001C5E0E" w:rsidRPr="003F15C0" w:rsidRDefault="001C5E0E" w:rsidP="001C5E0E">
            <w:pPr>
              <w:spacing w:before="20"/>
              <w:ind w:left="176"/>
              <w:jc w:val="both"/>
              <w:rPr>
                <w:sz w:val="16"/>
                <w:szCs w:val="16"/>
              </w:rPr>
            </w:pPr>
            <w:r w:rsidRPr="003F15C0">
              <w:rPr>
                <w:sz w:val="16"/>
                <w:szCs w:val="16"/>
              </w:rPr>
              <w:t>With several people/a group</w:t>
            </w:r>
          </w:p>
        </w:tc>
        <w:tc>
          <w:tcPr>
            <w:tcW w:w="992" w:type="dxa"/>
            <w:shd w:val="clear" w:color="auto" w:fill="auto"/>
            <w:vAlign w:val="bottom"/>
          </w:tcPr>
          <w:p w14:paraId="72554C78" w14:textId="77777777" w:rsidR="001C5E0E" w:rsidRPr="005F3C25" w:rsidRDefault="001C5E0E" w:rsidP="001C5E0E">
            <w:pPr>
              <w:jc w:val="right"/>
              <w:rPr>
                <w:color w:val="000000"/>
                <w:sz w:val="16"/>
                <w:szCs w:val="16"/>
                <w:lang w:eastAsia="en-NZ"/>
              </w:rPr>
            </w:pPr>
            <w:r w:rsidRPr="005F3C25">
              <w:rPr>
                <w:color w:val="000000"/>
                <w:sz w:val="16"/>
                <w:szCs w:val="16"/>
                <w:lang w:eastAsia="en-NZ"/>
              </w:rPr>
              <w:t>1.69</w:t>
            </w:r>
          </w:p>
        </w:tc>
        <w:tc>
          <w:tcPr>
            <w:tcW w:w="1276" w:type="dxa"/>
            <w:shd w:val="clear" w:color="auto" w:fill="auto"/>
            <w:vAlign w:val="bottom"/>
          </w:tcPr>
          <w:p w14:paraId="4D639E50" w14:textId="77777777" w:rsidR="001C5E0E" w:rsidRPr="005F3C25" w:rsidRDefault="001C5E0E" w:rsidP="001C5E0E">
            <w:pPr>
              <w:jc w:val="right"/>
              <w:rPr>
                <w:color w:val="000000"/>
                <w:sz w:val="16"/>
                <w:szCs w:val="16"/>
                <w:lang w:eastAsia="en-NZ"/>
              </w:rPr>
            </w:pPr>
            <w:r w:rsidRPr="005F3C25">
              <w:rPr>
                <w:color w:val="000000"/>
                <w:sz w:val="16"/>
                <w:szCs w:val="16"/>
                <w:lang w:eastAsia="en-NZ"/>
              </w:rPr>
              <w:t>(1.19, 2.40)</w:t>
            </w:r>
          </w:p>
        </w:tc>
        <w:tc>
          <w:tcPr>
            <w:tcW w:w="850" w:type="dxa"/>
            <w:shd w:val="clear" w:color="auto" w:fill="auto"/>
            <w:vAlign w:val="bottom"/>
          </w:tcPr>
          <w:p w14:paraId="01BD53AF" w14:textId="77777777" w:rsidR="001C5E0E" w:rsidRPr="005F3C25" w:rsidRDefault="001C5E0E" w:rsidP="001C5E0E">
            <w:pPr>
              <w:jc w:val="right"/>
              <w:rPr>
                <w:color w:val="000000"/>
                <w:sz w:val="16"/>
                <w:szCs w:val="16"/>
                <w:lang w:eastAsia="en-NZ"/>
              </w:rPr>
            </w:pPr>
            <w:r w:rsidRPr="005F3C25">
              <w:rPr>
                <w:color w:val="000000"/>
                <w:sz w:val="16"/>
                <w:szCs w:val="16"/>
                <w:lang w:eastAsia="en-NZ"/>
              </w:rPr>
              <w:t>0.004</w:t>
            </w:r>
          </w:p>
        </w:tc>
      </w:tr>
      <w:tr w:rsidR="001C5E0E" w:rsidRPr="001A61F1" w14:paraId="6DF50802" w14:textId="77777777" w:rsidTr="005F3C25">
        <w:tc>
          <w:tcPr>
            <w:tcW w:w="5387" w:type="dxa"/>
            <w:vAlign w:val="center"/>
          </w:tcPr>
          <w:p w14:paraId="5056A802" w14:textId="77777777" w:rsidR="001C5E0E" w:rsidRPr="003F15C0" w:rsidRDefault="001C5E0E" w:rsidP="001C5E0E">
            <w:pPr>
              <w:spacing w:before="20"/>
              <w:rPr>
                <w:b/>
                <w:bCs/>
                <w:color w:val="000000"/>
                <w:sz w:val="16"/>
                <w:szCs w:val="16"/>
              </w:rPr>
            </w:pPr>
            <w:r w:rsidRPr="003F15C0">
              <w:rPr>
                <w:b/>
                <w:bCs/>
                <w:color w:val="000000"/>
                <w:sz w:val="16"/>
                <w:szCs w:val="16"/>
              </w:rPr>
              <w:t xml:space="preserve">Methods - Setting a dollar </w:t>
            </w:r>
            <w:r>
              <w:rPr>
                <w:b/>
                <w:bCs/>
                <w:color w:val="000000"/>
                <w:sz w:val="16"/>
                <w:szCs w:val="16"/>
              </w:rPr>
              <w:t>limit</w:t>
            </w:r>
            <w:r w:rsidRPr="003F15C0">
              <w:rPr>
                <w:b/>
                <w:bCs/>
                <w:color w:val="000000"/>
                <w:sz w:val="16"/>
                <w:szCs w:val="16"/>
              </w:rPr>
              <w:t xml:space="preserve"> before leaving home</w:t>
            </w:r>
          </w:p>
        </w:tc>
        <w:tc>
          <w:tcPr>
            <w:tcW w:w="992" w:type="dxa"/>
            <w:shd w:val="clear" w:color="auto" w:fill="auto"/>
            <w:vAlign w:val="bottom"/>
          </w:tcPr>
          <w:p w14:paraId="277838C2"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4A2630C2"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36296ADA" w14:textId="77777777" w:rsidR="001C5E0E" w:rsidRPr="007B750E" w:rsidRDefault="001C5E0E" w:rsidP="001C5E0E">
            <w:pPr>
              <w:jc w:val="right"/>
              <w:rPr>
                <w:color w:val="000000"/>
                <w:sz w:val="16"/>
                <w:szCs w:val="16"/>
                <w:lang w:eastAsia="en-NZ"/>
              </w:rPr>
            </w:pPr>
          </w:p>
        </w:tc>
      </w:tr>
      <w:tr w:rsidR="001C5E0E" w:rsidRPr="001A61F1" w14:paraId="4A403437" w14:textId="77777777" w:rsidTr="005F3C25">
        <w:tc>
          <w:tcPr>
            <w:tcW w:w="5387" w:type="dxa"/>
          </w:tcPr>
          <w:p w14:paraId="6C411442"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17B31899" w14:textId="77777777" w:rsidR="001C5E0E" w:rsidRPr="00F939A9" w:rsidRDefault="001C5E0E" w:rsidP="001C5E0E">
            <w:pPr>
              <w:jc w:val="right"/>
              <w:rPr>
                <w:color w:val="000000"/>
                <w:sz w:val="16"/>
                <w:szCs w:val="16"/>
                <w:lang w:eastAsia="en-NZ"/>
              </w:rPr>
            </w:pPr>
            <w:r w:rsidRPr="00F939A9">
              <w:rPr>
                <w:color w:val="000000"/>
                <w:sz w:val="16"/>
                <w:szCs w:val="16"/>
                <w:lang w:eastAsia="en-NZ"/>
              </w:rPr>
              <w:t>1.00</w:t>
            </w:r>
          </w:p>
        </w:tc>
        <w:tc>
          <w:tcPr>
            <w:tcW w:w="1276" w:type="dxa"/>
            <w:shd w:val="clear" w:color="auto" w:fill="auto"/>
            <w:vAlign w:val="bottom"/>
          </w:tcPr>
          <w:p w14:paraId="4CC3595B" w14:textId="77777777" w:rsidR="001C5E0E" w:rsidRPr="00F939A9" w:rsidRDefault="001C5E0E" w:rsidP="001C5E0E">
            <w:pPr>
              <w:jc w:val="right"/>
              <w:rPr>
                <w:color w:val="000000"/>
                <w:sz w:val="16"/>
                <w:szCs w:val="16"/>
                <w:lang w:eastAsia="en-NZ"/>
              </w:rPr>
            </w:pPr>
          </w:p>
        </w:tc>
        <w:tc>
          <w:tcPr>
            <w:tcW w:w="850" w:type="dxa"/>
            <w:shd w:val="clear" w:color="auto" w:fill="auto"/>
            <w:vAlign w:val="bottom"/>
          </w:tcPr>
          <w:p w14:paraId="7D47E59A" w14:textId="77777777" w:rsidR="001C5E0E" w:rsidRPr="00F939A9" w:rsidRDefault="001C5E0E" w:rsidP="001C5E0E">
            <w:pPr>
              <w:jc w:val="right"/>
              <w:rPr>
                <w:color w:val="000000"/>
                <w:sz w:val="16"/>
                <w:szCs w:val="16"/>
                <w:lang w:eastAsia="en-NZ"/>
              </w:rPr>
            </w:pPr>
          </w:p>
        </w:tc>
      </w:tr>
      <w:tr w:rsidR="001C5E0E" w:rsidRPr="001A61F1" w14:paraId="0FD1A7B3" w14:textId="77777777" w:rsidTr="00826105">
        <w:tc>
          <w:tcPr>
            <w:tcW w:w="5387" w:type="dxa"/>
          </w:tcPr>
          <w:p w14:paraId="1C1FF1C8"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108B4A4B" w14:textId="77777777" w:rsidR="001C5E0E" w:rsidRPr="00F939A9" w:rsidRDefault="001C5E0E" w:rsidP="001C5E0E">
            <w:pPr>
              <w:jc w:val="right"/>
              <w:rPr>
                <w:color w:val="000000"/>
                <w:sz w:val="16"/>
                <w:szCs w:val="16"/>
                <w:lang w:eastAsia="en-NZ"/>
              </w:rPr>
            </w:pPr>
            <w:r w:rsidRPr="00F939A9">
              <w:rPr>
                <w:color w:val="000000"/>
                <w:sz w:val="16"/>
                <w:szCs w:val="16"/>
                <w:lang w:eastAsia="en-NZ"/>
              </w:rPr>
              <w:t>3.14</w:t>
            </w:r>
          </w:p>
        </w:tc>
        <w:tc>
          <w:tcPr>
            <w:tcW w:w="1276" w:type="dxa"/>
            <w:shd w:val="clear" w:color="auto" w:fill="auto"/>
            <w:vAlign w:val="bottom"/>
          </w:tcPr>
          <w:p w14:paraId="4AADE168" w14:textId="77777777" w:rsidR="001C5E0E" w:rsidRPr="00F939A9" w:rsidRDefault="001C5E0E" w:rsidP="001C5E0E">
            <w:pPr>
              <w:jc w:val="right"/>
              <w:rPr>
                <w:color w:val="000000"/>
                <w:sz w:val="16"/>
                <w:szCs w:val="16"/>
                <w:lang w:eastAsia="en-NZ"/>
              </w:rPr>
            </w:pPr>
            <w:r w:rsidRPr="00F939A9">
              <w:rPr>
                <w:color w:val="000000"/>
                <w:sz w:val="16"/>
                <w:szCs w:val="16"/>
                <w:lang w:eastAsia="en-NZ"/>
              </w:rPr>
              <w:t>(2.39, 4.11)</w:t>
            </w:r>
          </w:p>
        </w:tc>
        <w:tc>
          <w:tcPr>
            <w:tcW w:w="850" w:type="dxa"/>
            <w:shd w:val="clear" w:color="auto" w:fill="auto"/>
            <w:vAlign w:val="bottom"/>
          </w:tcPr>
          <w:p w14:paraId="0BAD3B89" w14:textId="77777777" w:rsidR="001C5E0E" w:rsidRPr="00F939A9" w:rsidRDefault="001C5E0E" w:rsidP="001C5E0E">
            <w:pPr>
              <w:jc w:val="right"/>
              <w:rPr>
                <w:color w:val="000000"/>
                <w:sz w:val="16"/>
                <w:szCs w:val="16"/>
                <w:lang w:eastAsia="en-NZ"/>
              </w:rPr>
            </w:pPr>
            <w:r w:rsidRPr="00F939A9">
              <w:rPr>
                <w:color w:val="000000"/>
                <w:sz w:val="16"/>
                <w:szCs w:val="16"/>
                <w:lang w:eastAsia="en-NZ"/>
              </w:rPr>
              <w:t>&lt;</w:t>
            </w:r>
            <w:r>
              <w:rPr>
                <w:color w:val="000000"/>
                <w:sz w:val="16"/>
                <w:szCs w:val="16"/>
                <w:lang w:eastAsia="en-NZ"/>
              </w:rPr>
              <w:t>0</w:t>
            </w:r>
            <w:r w:rsidRPr="00F939A9">
              <w:rPr>
                <w:color w:val="000000"/>
                <w:sz w:val="16"/>
                <w:szCs w:val="16"/>
                <w:lang w:eastAsia="en-NZ"/>
              </w:rPr>
              <w:t>.0001</w:t>
            </w:r>
          </w:p>
        </w:tc>
      </w:tr>
      <w:tr w:rsidR="001C5E0E" w:rsidRPr="001A61F1" w14:paraId="02005C68" w14:textId="77777777" w:rsidTr="005F3C25">
        <w:tc>
          <w:tcPr>
            <w:tcW w:w="5387" w:type="dxa"/>
          </w:tcPr>
          <w:p w14:paraId="791B48F4" w14:textId="77777777" w:rsidR="001C5E0E" w:rsidRPr="003F15C0" w:rsidRDefault="001C5E0E" w:rsidP="001C5E0E">
            <w:pPr>
              <w:spacing w:before="20"/>
              <w:rPr>
                <w:b/>
                <w:bCs/>
                <w:color w:val="000000"/>
                <w:sz w:val="16"/>
                <w:szCs w:val="16"/>
              </w:rPr>
            </w:pPr>
            <w:r w:rsidRPr="003F15C0">
              <w:rPr>
                <w:b/>
                <w:bCs/>
                <w:color w:val="000000"/>
                <w:sz w:val="16"/>
                <w:szCs w:val="16"/>
              </w:rPr>
              <w:t>Methods - Getting someone you trust to manage the money</w:t>
            </w:r>
          </w:p>
        </w:tc>
        <w:tc>
          <w:tcPr>
            <w:tcW w:w="992" w:type="dxa"/>
            <w:shd w:val="clear" w:color="auto" w:fill="auto"/>
            <w:vAlign w:val="bottom"/>
          </w:tcPr>
          <w:p w14:paraId="26CAAB0F"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48112003"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5405EA75" w14:textId="77777777" w:rsidR="001C5E0E" w:rsidRPr="007B750E" w:rsidRDefault="001C5E0E" w:rsidP="001C5E0E">
            <w:pPr>
              <w:jc w:val="right"/>
              <w:rPr>
                <w:color w:val="000000"/>
                <w:sz w:val="16"/>
                <w:szCs w:val="16"/>
                <w:lang w:eastAsia="en-NZ"/>
              </w:rPr>
            </w:pPr>
          </w:p>
        </w:tc>
      </w:tr>
      <w:tr w:rsidR="001C5E0E" w:rsidRPr="001A61F1" w14:paraId="5152C2D3" w14:textId="77777777" w:rsidTr="005F3C25">
        <w:tc>
          <w:tcPr>
            <w:tcW w:w="5387" w:type="dxa"/>
          </w:tcPr>
          <w:p w14:paraId="62E5A359"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1EB87590" w14:textId="77777777" w:rsidR="001C5E0E" w:rsidRPr="00F939A9" w:rsidRDefault="001C5E0E" w:rsidP="001C5E0E">
            <w:pPr>
              <w:jc w:val="right"/>
              <w:rPr>
                <w:color w:val="000000"/>
                <w:sz w:val="16"/>
                <w:szCs w:val="16"/>
                <w:lang w:eastAsia="en-NZ"/>
              </w:rPr>
            </w:pPr>
            <w:r w:rsidRPr="00F939A9">
              <w:rPr>
                <w:color w:val="000000"/>
                <w:sz w:val="16"/>
                <w:szCs w:val="16"/>
                <w:lang w:eastAsia="en-NZ"/>
              </w:rPr>
              <w:t>1.00</w:t>
            </w:r>
          </w:p>
        </w:tc>
        <w:tc>
          <w:tcPr>
            <w:tcW w:w="1276" w:type="dxa"/>
            <w:shd w:val="clear" w:color="auto" w:fill="auto"/>
            <w:vAlign w:val="bottom"/>
          </w:tcPr>
          <w:p w14:paraId="2582D2D5" w14:textId="77777777" w:rsidR="001C5E0E" w:rsidRPr="00F939A9" w:rsidRDefault="001C5E0E" w:rsidP="001C5E0E">
            <w:pPr>
              <w:jc w:val="right"/>
              <w:rPr>
                <w:color w:val="000000"/>
                <w:sz w:val="16"/>
                <w:szCs w:val="16"/>
                <w:lang w:eastAsia="en-NZ"/>
              </w:rPr>
            </w:pPr>
          </w:p>
        </w:tc>
        <w:tc>
          <w:tcPr>
            <w:tcW w:w="850" w:type="dxa"/>
            <w:shd w:val="clear" w:color="auto" w:fill="auto"/>
            <w:vAlign w:val="bottom"/>
          </w:tcPr>
          <w:p w14:paraId="26DEEDBA" w14:textId="77777777" w:rsidR="001C5E0E" w:rsidRPr="00F939A9" w:rsidRDefault="001C5E0E" w:rsidP="001C5E0E">
            <w:pPr>
              <w:jc w:val="right"/>
              <w:rPr>
                <w:color w:val="000000"/>
                <w:sz w:val="16"/>
                <w:szCs w:val="16"/>
                <w:lang w:eastAsia="en-NZ"/>
              </w:rPr>
            </w:pPr>
          </w:p>
        </w:tc>
      </w:tr>
      <w:tr w:rsidR="001C5E0E" w:rsidRPr="001A61F1" w14:paraId="411BE990" w14:textId="77777777" w:rsidTr="00826105">
        <w:tc>
          <w:tcPr>
            <w:tcW w:w="5387" w:type="dxa"/>
          </w:tcPr>
          <w:p w14:paraId="6F08F2B7"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45543D0F" w14:textId="77777777" w:rsidR="001C5E0E" w:rsidRPr="00F939A9" w:rsidRDefault="001C5E0E" w:rsidP="001C5E0E">
            <w:pPr>
              <w:jc w:val="right"/>
              <w:rPr>
                <w:color w:val="000000"/>
                <w:sz w:val="16"/>
                <w:szCs w:val="16"/>
                <w:lang w:eastAsia="en-NZ"/>
              </w:rPr>
            </w:pPr>
            <w:r w:rsidRPr="00F939A9">
              <w:rPr>
                <w:color w:val="000000"/>
                <w:sz w:val="16"/>
                <w:szCs w:val="16"/>
                <w:lang w:eastAsia="en-NZ"/>
              </w:rPr>
              <w:t>29.99</w:t>
            </w:r>
          </w:p>
        </w:tc>
        <w:tc>
          <w:tcPr>
            <w:tcW w:w="1276" w:type="dxa"/>
            <w:shd w:val="clear" w:color="auto" w:fill="auto"/>
            <w:vAlign w:val="bottom"/>
          </w:tcPr>
          <w:p w14:paraId="4BB7358D" w14:textId="77777777" w:rsidR="001C5E0E" w:rsidRPr="00F939A9" w:rsidRDefault="001C5E0E" w:rsidP="001C5E0E">
            <w:pPr>
              <w:jc w:val="right"/>
              <w:rPr>
                <w:color w:val="000000"/>
                <w:sz w:val="16"/>
                <w:szCs w:val="16"/>
                <w:lang w:eastAsia="en-NZ"/>
              </w:rPr>
            </w:pPr>
            <w:r w:rsidRPr="00F939A9">
              <w:rPr>
                <w:color w:val="000000"/>
                <w:sz w:val="16"/>
                <w:szCs w:val="16"/>
                <w:lang w:eastAsia="en-NZ"/>
              </w:rPr>
              <w:t>(9.15, 98.30)</w:t>
            </w:r>
          </w:p>
        </w:tc>
        <w:tc>
          <w:tcPr>
            <w:tcW w:w="850" w:type="dxa"/>
            <w:shd w:val="clear" w:color="auto" w:fill="auto"/>
            <w:vAlign w:val="bottom"/>
          </w:tcPr>
          <w:p w14:paraId="4E8E388A" w14:textId="77777777" w:rsidR="001C5E0E" w:rsidRPr="00F939A9" w:rsidRDefault="001C5E0E" w:rsidP="001C5E0E">
            <w:pPr>
              <w:jc w:val="right"/>
              <w:rPr>
                <w:color w:val="000000"/>
                <w:sz w:val="16"/>
                <w:szCs w:val="16"/>
                <w:lang w:eastAsia="en-NZ"/>
              </w:rPr>
            </w:pPr>
            <w:r w:rsidRPr="00F939A9">
              <w:rPr>
                <w:color w:val="000000"/>
                <w:sz w:val="16"/>
                <w:szCs w:val="16"/>
                <w:lang w:eastAsia="en-NZ"/>
              </w:rPr>
              <w:t>&lt;</w:t>
            </w:r>
            <w:r>
              <w:rPr>
                <w:color w:val="000000"/>
                <w:sz w:val="16"/>
                <w:szCs w:val="16"/>
                <w:lang w:eastAsia="en-NZ"/>
              </w:rPr>
              <w:t>0</w:t>
            </w:r>
            <w:r w:rsidRPr="00F939A9">
              <w:rPr>
                <w:color w:val="000000"/>
                <w:sz w:val="16"/>
                <w:szCs w:val="16"/>
                <w:lang w:eastAsia="en-NZ"/>
              </w:rPr>
              <w:t>.0001</w:t>
            </w:r>
          </w:p>
        </w:tc>
      </w:tr>
      <w:tr w:rsidR="001C5E0E" w:rsidRPr="001A61F1" w14:paraId="44049E8C" w14:textId="77777777" w:rsidTr="005F3C25">
        <w:tc>
          <w:tcPr>
            <w:tcW w:w="5387" w:type="dxa"/>
          </w:tcPr>
          <w:p w14:paraId="66DC1493" w14:textId="77777777" w:rsidR="001C5E0E" w:rsidRPr="003F15C0" w:rsidRDefault="001C5E0E" w:rsidP="001C5E0E">
            <w:pPr>
              <w:spacing w:before="20"/>
              <w:rPr>
                <w:color w:val="000000"/>
                <w:sz w:val="16"/>
                <w:szCs w:val="16"/>
              </w:rPr>
            </w:pPr>
            <w:r w:rsidRPr="003F15C0">
              <w:rPr>
                <w:b/>
                <w:bCs/>
                <w:color w:val="000000"/>
                <w:sz w:val="16"/>
                <w:szCs w:val="16"/>
              </w:rPr>
              <w:t>Methods - Separating money for betting from other money and stopping</w:t>
            </w:r>
          </w:p>
        </w:tc>
        <w:tc>
          <w:tcPr>
            <w:tcW w:w="992" w:type="dxa"/>
            <w:shd w:val="clear" w:color="auto" w:fill="auto"/>
            <w:vAlign w:val="bottom"/>
          </w:tcPr>
          <w:p w14:paraId="240E2E62"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4F163D6B"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233F0737" w14:textId="77777777" w:rsidR="001C5E0E" w:rsidRPr="007B750E" w:rsidRDefault="001C5E0E" w:rsidP="001C5E0E">
            <w:pPr>
              <w:jc w:val="right"/>
              <w:rPr>
                <w:color w:val="000000"/>
                <w:sz w:val="16"/>
                <w:szCs w:val="16"/>
                <w:lang w:eastAsia="en-NZ"/>
              </w:rPr>
            </w:pPr>
          </w:p>
        </w:tc>
      </w:tr>
      <w:tr w:rsidR="001C5E0E" w:rsidRPr="001A61F1" w14:paraId="1D57EAEC" w14:textId="77777777" w:rsidTr="00173F02">
        <w:tc>
          <w:tcPr>
            <w:tcW w:w="5387" w:type="dxa"/>
          </w:tcPr>
          <w:p w14:paraId="00434B56"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30ADD9FD" w14:textId="77777777" w:rsidR="001C5E0E" w:rsidRPr="00F939A9" w:rsidRDefault="001C5E0E" w:rsidP="001C5E0E">
            <w:pPr>
              <w:jc w:val="right"/>
              <w:rPr>
                <w:color w:val="000000"/>
                <w:sz w:val="16"/>
                <w:szCs w:val="16"/>
                <w:lang w:eastAsia="en-NZ"/>
              </w:rPr>
            </w:pPr>
            <w:r w:rsidRPr="00F939A9">
              <w:rPr>
                <w:color w:val="000000"/>
                <w:sz w:val="16"/>
                <w:szCs w:val="16"/>
                <w:lang w:eastAsia="en-NZ"/>
              </w:rPr>
              <w:t>1.00</w:t>
            </w:r>
          </w:p>
        </w:tc>
        <w:tc>
          <w:tcPr>
            <w:tcW w:w="1276" w:type="dxa"/>
            <w:shd w:val="clear" w:color="auto" w:fill="auto"/>
            <w:vAlign w:val="bottom"/>
          </w:tcPr>
          <w:p w14:paraId="18909E26" w14:textId="77777777" w:rsidR="001C5E0E" w:rsidRPr="00F939A9" w:rsidRDefault="001C5E0E" w:rsidP="001C5E0E">
            <w:pPr>
              <w:jc w:val="right"/>
              <w:rPr>
                <w:color w:val="000000"/>
                <w:sz w:val="16"/>
                <w:szCs w:val="16"/>
                <w:lang w:eastAsia="en-NZ"/>
              </w:rPr>
            </w:pPr>
          </w:p>
        </w:tc>
        <w:tc>
          <w:tcPr>
            <w:tcW w:w="850" w:type="dxa"/>
            <w:shd w:val="clear" w:color="auto" w:fill="auto"/>
            <w:vAlign w:val="bottom"/>
          </w:tcPr>
          <w:p w14:paraId="7F0FD47E" w14:textId="77777777" w:rsidR="001C5E0E" w:rsidRPr="00F939A9" w:rsidRDefault="001C5E0E" w:rsidP="001C5E0E">
            <w:pPr>
              <w:jc w:val="right"/>
              <w:rPr>
                <w:color w:val="000000"/>
                <w:sz w:val="16"/>
                <w:szCs w:val="16"/>
                <w:lang w:eastAsia="en-NZ"/>
              </w:rPr>
            </w:pPr>
          </w:p>
        </w:tc>
      </w:tr>
      <w:tr w:rsidR="001C5E0E" w:rsidRPr="001A61F1" w14:paraId="0F898CA6" w14:textId="77777777" w:rsidTr="00173F02">
        <w:tc>
          <w:tcPr>
            <w:tcW w:w="5387" w:type="dxa"/>
            <w:tcBorders>
              <w:bottom w:val="single" w:sz="4" w:space="0" w:color="auto"/>
            </w:tcBorders>
          </w:tcPr>
          <w:p w14:paraId="50DC3108"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tcBorders>
              <w:bottom w:val="single" w:sz="4" w:space="0" w:color="auto"/>
            </w:tcBorders>
            <w:shd w:val="clear" w:color="auto" w:fill="auto"/>
            <w:vAlign w:val="bottom"/>
          </w:tcPr>
          <w:p w14:paraId="2A51DCD2" w14:textId="77777777" w:rsidR="001C5E0E" w:rsidRPr="00F939A9" w:rsidRDefault="001C5E0E" w:rsidP="001C5E0E">
            <w:pPr>
              <w:jc w:val="right"/>
              <w:rPr>
                <w:color w:val="000000"/>
                <w:sz w:val="16"/>
                <w:szCs w:val="16"/>
                <w:lang w:eastAsia="en-NZ"/>
              </w:rPr>
            </w:pPr>
            <w:r w:rsidRPr="00F939A9">
              <w:rPr>
                <w:color w:val="000000"/>
                <w:sz w:val="16"/>
                <w:szCs w:val="16"/>
                <w:lang w:eastAsia="en-NZ"/>
              </w:rPr>
              <w:t>9.22</w:t>
            </w:r>
          </w:p>
        </w:tc>
        <w:tc>
          <w:tcPr>
            <w:tcW w:w="1276" w:type="dxa"/>
            <w:tcBorders>
              <w:bottom w:val="single" w:sz="4" w:space="0" w:color="auto"/>
            </w:tcBorders>
            <w:shd w:val="clear" w:color="auto" w:fill="auto"/>
            <w:vAlign w:val="bottom"/>
          </w:tcPr>
          <w:p w14:paraId="219120C2" w14:textId="77777777" w:rsidR="001C5E0E" w:rsidRPr="00F939A9" w:rsidRDefault="001C5E0E" w:rsidP="001C5E0E">
            <w:pPr>
              <w:jc w:val="right"/>
              <w:rPr>
                <w:color w:val="000000"/>
                <w:sz w:val="16"/>
                <w:szCs w:val="16"/>
                <w:lang w:eastAsia="en-NZ"/>
              </w:rPr>
            </w:pPr>
            <w:r w:rsidRPr="00F939A9">
              <w:rPr>
                <w:color w:val="000000"/>
                <w:sz w:val="16"/>
                <w:szCs w:val="16"/>
                <w:lang w:eastAsia="en-NZ"/>
              </w:rPr>
              <w:t>(5.70, 14.91)</w:t>
            </w:r>
          </w:p>
        </w:tc>
        <w:tc>
          <w:tcPr>
            <w:tcW w:w="850" w:type="dxa"/>
            <w:tcBorders>
              <w:bottom w:val="single" w:sz="4" w:space="0" w:color="auto"/>
            </w:tcBorders>
            <w:shd w:val="clear" w:color="auto" w:fill="auto"/>
            <w:vAlign w:val="bottom"/>
          </w:tcPr>
          <w:p w14:paraId="57A27C5B" w14:textId="77777777" w:rsidR="001C5E0E" w:rsidRPr="00F939A9" w:rsidRDefault="001C5E0E" w:rsidP="001C5E0E">
            <w:pPr>
              <w:jc w:val="right"/>
              <w:rPr>
                <w:color w:val="000000"/>
                <w:sz w:val="16"/>
                <w:szCs w:val="16"/>
                <w:lang w:eastAsia="en-NZ"/>
              </w:rPr>
            </w:pPr>
            <w:r w:rsidRPr="00F939A9">
              <w:rPr>
                <w:color w:val="000000"/>
                <w:sz w:val="16"/>
                <w:szCs w:val="16"/>
                <w:lang w:eastAsia="en-NZ"/>
              </w:rPr>
              <w:t>&lt;</w:t>
            </w:r>
            <w:r>
              <w:rPr>
                <w:color w:val="000000"/>
                <w:sz w:val="16"/>
                <w:szCs w:val="16"/>
                <w:lang w:eastAsia="en-NZ"/>
              </w:rPr>
              <w:t>0</w:t>
            </w:r>
            <w:r w:rsidRPr="00F939A9">
              <w:rPr>
                <w:color w:val="000000"/>
                <w:sz w:val="16"/>
                <w:szCs w:val="16"/>
                <w:lang w:eastAsia="en-NZ"/>
              </w:rPr>
              <w:t>.0001</w:t>
            </w:r>
          </w:p>
        </w:tc>
      </w:tr>
      <w:tr w:rsidR="001C5E0E" w:rsidRPr="001A61F1" w14:paraId="5685AB41" w14:textId="77777777" w:rsidTr="00173F02">
        <w:tc>
          <w:tcPr>
            <w:tcW w:w="5387" w:type="dxa"/>
            <w:tcBorders>
              <w:top w:val="single" w:sz="4" w:space="0" w:color="auto"/>
            </w:tcBorders>
            <w:vAlign w:val="center"/>
          </w:tcPr>
          <w:p w14:paraId="2AE56AC3" w14:textId="77777777" w:rsidR="001C5E0E" w:rsidRPr="003F15C0" w:rsidRDefault="001C5E0E" w:rsidP="00855BF7">
            <w:pPr>
              <w:keepNext/>
              <w:spacing w:before="20"/>
              <w:rPr>
                <w:b/>
                <w:bCs/>
                <w:color w:val="000000"/>
                <w:sz w:val="16"/>
                <w:szCs w:val="16"/>
              </w:rPr>
            </w:pPr>
            <w:r w:rsidRPr="003F15C0">
              <w:rPr>
                <w:b/>
                <w:bCs/>
                <w:color w:val="000000"/>
                <w:sz w:val="16"/>
                <w:szCs w:val="16"/>
              </w:rPr>
              <w:t>Methods - Leaving ATM and credit cards at home</w:t>
            </w:r>
          </w:p>
        </w:tc>
        <w:tc>
          <w:tcPr>
            <w:tcW w:w="992" w:type="dxa"/>
            <w:tcBorders>
              <w:top w:val="single" w:sz="4" w:space="0" w:color="auto"/>
            </w:tcBorders>
            <w:shd w:val="clear" w:color="auto" w:fill="auto"/>
            <w:vAlign w:val="bottom"/>
          </w:tcPr>
          <w:p w14:paraId="3E3D85FE" w14:textId="77777777" w:rsidR="001C5E0E" w:rsidRPr="007B750E" w:rsidRDefault="001C5E0E" w:rsidP="00855BF7">
            <w:pPr>
              <w:keepNext/>
              <w:jc w:val="right"/>
              <w:rPr>
                <w:color w:val="000000"/>
                <w:sz w:val="16"/>
                <w:szCs w:val="16"/>
                <w:lang w:eastAsia="en-NZ"/>
              </w:rPr>
            </w:pPr>
          </w:p>
        </w:tc>
        <w:tc>
          <w:tcPr>
            <w:tcW w:w="1276" w:type="dxa"/>
            <w:tcBorders>
              <w:top w:val="single" w:sz="4" w:space="0" w:color="auto"/>
            </w:tcBorders>
            <w:shd w:val="clear" w:color="auto" w:fill="auto"/>
            <w:vAlign w:val="bottom"/>
          </w:tcPr>
          <w:p w14:paraId="594A423B" w14:textId="77777777" w:rsidR="001C5E0E" w:rsidRPr="007B750E" w:rsidRDefault="001C5E0E" w:rsidP="00855BF7">
            <w:pPr>
              <w:keepNext/>
              <w:jc w:val="right"/>
              <w:rPr>
                <w:color w:val="000000"/>
                <w:sz w:val="16"/>
                <w:szCs w:val="16"/>
                <w:lang w:eastAsia="en-NZ"/>
              </w:rPr>
            </w:pPr>
          </w:p>
        </w:tc>
        <w:tc>
          <w:tcPr>
            <w:tcW w:w="850" w:type="dxa"/>
            <w:tcBorders>
              <w:top w:val="single" w:sz="4" w:space="0" w:color="auto"/>
            </w:tcBorders>
            <w:shd w:val="clear" w:color="auto" w:fill="auto"/>
            <w:vAlign w:val="bottom"/>
          </w:tcPr>
          <w:p w14:paraId="10DBACED" w14:textId="77777777" w:rsidR="001C5E0E" w:rsidRPr="007B750E" w:rsidRDefault="001C5E0E" w:rsidP="00855BF7">
            <w:pPr>
              <w:keepNext/>
              <w:jc w:val="right"/>
              <w:rPr>
                <w:color w:val="000000"/>
                <w:sz w:val="16"/>
                <w:szCs w:val="16"/>
                <w:lang w:eastAsia="en-NZ"/>
              </w:rPr>
            </w:pPr>
          </w:p>
        </w:tc>
      </w:tr>
      <w:tr w:rsidR="001C5E0E" w:rsidRPr="001A61F1" w14:paraId="2396257B" w14:textId="77777777" w:rsidTr="00173F02">
        <w:tc>
          <w:tcPr>
            <w:tcW w:w="5387" w:type="dxa"/>
          </w:tcPr>
          <w:p w14:paraId="6107CE6D" w14:textId="77777777" w:rsidR="001C5E0E" w:rsidRPr="003F15C0" w:rsidRDefault="001C5E0E" w:rsidP="00855BF7">
            <w:pPr>
              <w:keepNext/>
              <w:spacing w:before="20"/>
              <w:ind w:left="176"/>
              <w:jc w:val="both"/>
              <w:rPr>
                <w:sz w:val="16"/>
                <w:szCs w:val="16"/>
              </w:rPr>
            </w:pPr>
            <w:r w:rsidRPr="003F15C0">
              <w:rPr>
                <w:sz w:val="16"/>
                <w:szCs w:val="16"/>
              </w:rPr>
              <w:t>No</w:t>
            </w:r>
          </w:p>
        </w:tc>
        <w:tc>
          <w:tcPr>
            <w:tcW w:w="992" w:type="dxa"/>
            <w:shd w:val="clear" w:color="auto" w:fill="auto"/>
            <w:vAlign w:val="bottom"/>
          </w:tcPr>
          <w:p w14:paraId="0387286F" w14:textId="77777777" w:rsidR="001C5E0E" w:rsidRPr="00F939A9" w:rsidRDefault="001C5E0E" w:rsidP="00855BF7">
            <w:pPr>
              <w:keepNext/>
              <w:jc w:val="right"/>
              <w:rPr>
                <w:color w:val="000000"/>
                <w:sz w:val="16"/>
                <w:szCs w:val="16"/>
                <w:lang w:eastAsia="en-NZ"/>
              </w:rPr>
            </w:pPr>
            <w:r w:rsidRPr="00F939A9">
              <w:rPr>
                <w:color w:val="000000"/>
                <w:sz w:val="16"/>
                <w:szCs w:val="16"/>
                <w:lang w:eastAsia="en-NZ"/>
              </w:rPr>
              <w:t>1.00</w:t>
            </w:r>
          </w:p>
        </w:tc>
        <w:tc>
          <w:tcPr>
            <w:tcW w:w="1276" w:type="dxa"/>
            <w:shd w:val="clear" w:color="auto" w:fill="auto"/>
            <w:vAlign w:val="bottom"/>
          </w:tcPr>
          <w:p w14:paraId="7326CEF6" w14:textId="77777777" w:rsidR="001C5E0E" w:rsidRPr="00F939A9" w:rsidRDefault="001C5E0E" w:rsidP="00855BF7">
            <w:pPr>
              <w:keepNext/>
              <w:jc w:val="right"/>
              <w:rPr>
                <w:color w:val="000000"/>
                <w:sz w:val="16"/>
                <w:szCs w:val="16"/>
                <w:lang w:eastAsia="en-NZ"/>
              </w:rPr>
            </w:pPr>
          </w:p>
        </w:tc>
        <w:tc>
          <w:tcPr>
            <w:tcW w:w="850" w:type="dxa"/>
            <w:shd w:val="clear" w:color="auto" w:fill="auto"/>
            <w:vAlign w:val="bottom"/>
          </w:tcPr>
          <w:p w14:paraId="32DEACC1" w14:textId="77777777" w:rsidR="001C5E0E" w:rsidRPr="00F939A9" w:rsidRDefault="001C5E0E" w:rsidP="00855BF7">
            <w:pPr>
              <w:keepNext/>
              <w:jc w:val="right"/>
              <w:rPr>
                <w:color w:val="000000"/>
                <w:sz w:val="16"/>
                <w:szCs w:val="16"/>
                <w:lang w:eastAsia="en-NZ"/>
              </w:rPr>
            </w:pPr>
          </w:p>
        </w:tc>
      </w:tr>
      <w:tr w:rsidR="001C5E0E" w:rsidRPr="001A61F1" w14:paraId="77F2E372" w14:textId="77777777" w:rsidTr="00173F02">
        <w:tc>
          <w:tcPr>
            <w:tcW w:w="5387" w:type="dxa"/>
          </w:tcPr>
          <w:p w14:paraId="5228B075"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7E064AFF" w14:textId="77777777" w:rsidR="001C5E0E" w:rsidRPr="00F939A9" w:rsidRDefault="001C5E0E" w:rsidP="001C5E0E">
            <w:pPr>
              <w:jc w:val="right"/>
              <w:rPr>
                <w:color w:val="000000"/>
                <w:sz w:val="16"/>
                <w:szCs w:val="16"/>
                <w:lang w:eastAsia="en-NZ"/>
              </w:rPr>
            </w:pPr>
            <w:r w:rsidRPr="00F939A9">
              <w:rPr>
                <w:color w:val="000000"/>
                <w:sz w:val="16"/>
                <w:szCs w:val="16"/>
                <w:lang w:eastAsia="en-NZ"/>
              </w:rPr>
              <w:t>14.78</w:t>
            </w:r>
          </w:p>
        </w:tc>
        <w:tc>
          <w:tcPr>
            <w:tcW w:w="1276" w:type="dxa"/>
            <w:shd w:val="clear" w:color="auto" w:fill="auto"/>
            <w:vAlign w:val="bottom"/>
          </w:tcPr>
          <w:p w14:paraId="52781850" w14:textId="77777777" w:rsidR="001C5E0E" w:rsidRPr="00F939A9" w:rsidRDefault="001C5E0E" w:rsidP="001C5E0E">
            <w:pPr>
              <w:jc w:val="right"/>
              <w:rPr>
                <w:color w:val="000000"/>
                <w:sz w:val="16"/>
                <w:szCs w:val="16"/>
                <w:lang w:eastAsia="en-NZ"/>
              </w:rPr>
            </w:pPr>
            <w:r w:rsidRPr="00F939A9">
              <w:rPr>
                <w:color w:val="000000"/>
                <w:sz w:val="16"/>
                <w:szCs w:val="16"/>
                <w:lang w:eastAsia="en-NZ"/>
              </w:rPr>
              <w:t>(6.90, 31.66)</w:t>
            </w:r>
          </w:p>
        </w:tc>
        <w:tc>
          <w:tcPr>
            <w:tcW w:w="850" w:type="dxa"/>
            <w:shd w:val="clear" w:color="auto" w:fill="auto"/>
            <w:vAlign w:val="bottom"/>
          </w:tcPr>
          <w:p w14:paraId="6449A2AE" w14:textId="77777777" w:rsidR="001C5E0E" w:rsidRPr="00F939A9" w:rsidRDefault="001C5E0E" w:rsidP="001C5E0E">
            <w:pPr>
              <w:jc w:val="right"/>
              <w:rPr>
                <w:color w:val="000000"/>
                <w:sz w:val="16"/>
                <w:szCs w:val="16"/>
                <w:lang w:eastAsia="en-NZ"/>
              </w:rPr>
            </w:pPr>
            <w:r w:rsidRPr="00F939A9">
              <w:rPr>
                <w:color w:val="000000"/>
                <w:sz w:val="16"/>
                <w:szCs w:val="16"/>
                <w:lang w:eastAsia="en-NZ"/>
              </w:rPr>
              <w:t>&lt;</w:t>
            </w:r>
            <w:r>
              <w:rPr>
                <w:color w:val="000000"/>
                <w:sz w:val="16"/>
                <w:szCs w:val="16"/>
                <w:lang w:eastAsia="en-NZ"/>
              </w:rPr>
              <w:t>0</w:t>
            </w:r>
            <w:r w:rsidRPr="00F939A9">
              <w:rPr>
                <w:color w:val="000000"/>
                <w:sz w:val="16"/>
                <w:szCs w:val="16"/>
                <w:lang w:eastAsia="en-NZ"/>
              </w:rPr>
              <w:t>.0001</w:t>
            </w:r>
          </w:p>
        </w:tc>
      </w:tr>
      <w:tr w:rsidR="001C5E0E" w:rsidRPr="001A61F1" w14:paraId="7DD325C8" w14:textId="77777777" w:rsidTr="00173F02">
        <w:tc>
          <w:tcPr>
            <w:tcW w:w="5387" w:type="dxa"/>
            <w:vAlign w:val="bottom"/>
          </w:tcPr>
          <w:p w14:paraId="3C0C7E61" w14:textId="77777777" w:rsidR="001C5E0E" w:rsidRPr="003F15C0" w:rsidRDefault="001C5E0E" w:rsidP="001C5E0E">
            <w:pPr>
              <w:spacing w:before="20"/>
              <w:jc w:val="both"/>
              <w:rPr>
                <w:b/>
                <w:sz w:val="16"/>
                <w:szCs w:val="16"/>
              </w:rPr>
            </w:pPr>
            <w:r w:rsidRPr="003F15C0">
              <w:rPr>
                <w:b/>
                <w:bCs/>
                <w:color w:val="000000"/>
                <w:sz w:val="16"/>
                <w:szCs w:val="16"/>
              </w:rPr>
              <w:t>Methods - Setting a time limit</w:t>
            </w:r>
          </w:p>
        </w:tc>
        <w:tc>
          <w:tcPr>
            <w:tcW w:w="992" w:type="dxa"/>
            <w:shd w:val="clear" w:color="auto" w:fill="auto"/>
            <w:vAlign w:val="bottom"/>
          </w:tcPr>
          <w:p w14:paraId="465933B8"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6721E392"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1A244E0E" w14:textId="77777777" w:rsidR="001C5E0E" w:rsidRPr="007B750E" w:rsidRDefault="001C5E0E" w:rsidP="001C5E0E">
            <w:pPr>
              <w:jc w:val="right"/>
              <w:rPr>
                <w:color w:val="000000"/>
                <w:sz w:val="16"/>
                <w:szCs w:val="16"/>
                <w:lang w:eastAsia="en-NZ"/>
              </w:rPr>
            </w:pPr>
          </w:p>
        </w:tc>
      </w:tr>
      <w:tr w:rsidR="001C5E0E" w:rsidRPr="001A61F1" w14:paraId="218E4180" w14:textId="77777777" w:rsidTr="005F3C25">
        <w:tc>
          <w:tcPr>
            <w:tcW w:w="5387" w:type="dxa"/>
          </w:tcPr>
          <w:p w14:paraId="285D5A6D"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2062C950" w14:textId="77777777" w:rsidR="001C5E0E" w:rsidRPr="00F939A9" w:rsidRDefault="001C5E0E" w:rsidP="001C5E0E">
            <w:pPr>
              <w:jc w:val="right"/>
              <w:rPr>
                <w:color w:val="000000"/>
                <w:sz w:val="16"/>
                <w:szCs w:val="16"/>
                <w:lang w:eastAsia="en-NZ"/>
              </w:rPr>
            </w:pPr>
            <w:r w:rsidRPr="00F939A9">
              <w:rPr>
                <w:color w:val="000000"/>
                <w:sz w:val="16"/>
                <w:szCs w:val="16"/>
                <w:lang w:eastAsia="en-NZ"/>
              </w:rPr>
              <w:t>1.00</w:t>
            </w:r>
          </w:p>
        </w:tc>
        <w:tc>
          <w:tcPr>
            <w:tcW w:w="1276" w:type="dxa"/>
            <w:shd w:val="clear" w:color="auto" w:fill="auto"/>
            <w:vAlign w:val="bottom"/>
          </w:tcPr>
          <w:p w14:paraId="08D1C102" w14:textId="77777777" w:rsidR="001C5E0E" w:rsidRPr="00F939A9" w:rsidRDefault="001C5E0E" w:rsidP="001C5E0E">
            <w:pPr>
              <w:jc w:val="right"/>
              <w:rPr>
                <w:color w:val="000000"/>
                <w:sz w:val="16"/>
                <w:szCs w:val="16"/>
                <w:lang w:eastAsia="en-NZ"/>
              </w:rPr>
            </w:pPr>
          </w:p>
        </w:tc>
        <w:tc>
          <w:tcPr>
            <w:tcW w:w="850" w:type="dxa"/>
            <w:shd w:val="clear" w:color="auto" w:fill="auto"/>
            <w:vAlign w:val="bottom"/>
          </w:tcPr>
          <w:p w14:paraId="71E60D04" w14:textId="77777777" w:rsidR="001C5E0E" w:rsidRPr="00F939A9" w:rsidRDefault="001C5E0E" w:rsidP="001C5E0E">
            <w:pPr>
              <w:jc w:val="right"/>
              <w:rPr>
                <w:color w:val="000000"/>
                <w:sz w:val="16"/>
                <w:szCs w:val="16"/>
                <w:lang w:eastAsia="en-NZ"/>
              </w:rPr>
            </w:pPr>
          </w:p>
        </w:tc>
      </w:tr>
      <w:tr w:rsidR="001C5E0E" w:rsidRPr="001A61F1" w14:paraId="12C9AFB4" w14:textId="77777777" w:rsidTr="00826105">
        <w:tc>
          <w:tcPr>
            <w:tcW w:w="5387" w:type="dxa"/>
          </w:tcPr>
          <w:p w14:paraId="69738677"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shd w:val="clear" w:color="auto" w:fill="auto"/>
            <w:vAlign w:val="bottom"/>
          </w:tcPr>
          <w:p w14:paraId="0FFA8190" w14:textId="77777777" w:rsidR="001C5E0E" w:rsidRPr="00F939A9" w:rsidRDefault="001C5E0E" w:rsidP="001C5E0E">
            <w:pPr>
              <w:jc w:val="right"/>
              <w:rPr>
                <w:color w:val="000000"/>
                <w:sz w:val="16"/>
                <w:szCs w:val="16"/>
                <w:lang w:eastAsia="en-NZ"/>
              </w:rPr>
            </w:pPr>
            <w:r w:rsidRPr="00F939A9">
              <w:rPr>
                <w:color w:val="000000"/>
                <w:sz w:val="16"/>
                <w:szCs w:val="16"/>
                <w:lang w:eastAsia="en-NZ"/>
              </w:rPr>
              <w:t>20.68</w:t>
            </w:r>
          </w:p>
        </w:tc>
        <w:tc>
          <w:tcPr>
            <w:tcW w:w="1276" w:type="dxa"/>
            <w:shd w:val="clear" w:color="auto" w:fill="auto"/>
            <w:vAlign w:val="bottom"/>
          </w:tcPr>
          <w:p w14:paraId="18492E3B" w14:textId="77777777" w:rsidR="001C5E0E" w:rsidRPr="00F939A9" w:rsidRDefault="001C5E0E" w:rsidP="001C5E0E">
            <w:pPr>
              <w:jc w:val="right"/>
              <w:rPr>
                <w:color w:val="000000"/>
                <w:sz w:val="16"/>
                <w:szCs w:val="16"/>
                <w:lang w:eastAsia="en-NZ"/>
              </w:rPr>
            </w:pPr>
            <w:r w:rsidRPr="00F939A9">
              <w:rPr>
                <w:color w:val="000000"/>
                <w:sz w:val="16"/>
                <w:szCs w:val="16"/>
                <w:lang w:eastAsia="en-NZ"/>
              </w:rPr>
              <w:t>(10.10, 42.38)</w:t>
            </w:r>
          </w:p>
        </w:tc>
        <w:tc>
          <w:tcPr>
            <w:tcW w:w="850" w:type="dxa"/>
            <w:shd w:val="clear" w:color="auto" w:fill="auto"/>
            <w:vAlign w:val="bottom"/>
          </w:tcPr>
          <w:p w14:paraId="4A7F5AC2" w14:textId="77777777" w:rsidR="001C5E0E" w:rsidRPr="00F939A9" w:rsidRDefault="001C5E0E" w:rsidP="001C5E0E">
            <w:pPr>
              <w:jc w:val="right"/>
              <w:rPr>
                <w:color w:val="000000"/>
                <w:sz w:val="16"/>
                <w:szCs w:val="16"/>
                <w:lang w:eastAsia="en-NZ"/>
              </w:rPr>
            </w:pPr>
            <w:r w:rsidRPr="00F939A9">
              <w:rPr>
                <w:color w:val="000000"/>
                <w:sz w:val="16"/>
                <w:szCs w:val="16"/>
                <w:lang w:eastAsia="en-NZ"/>
              </w:rPr>
              <w:t>&lt;</w:t>
            </w:r>
            <w:r>
              <w:rPr>
                <w:color w:val="000000"/>
                <w:sz w:val="16"/>
                <w:szCs w:val="16"/>
                <w:lang w:eastAsia="en-NZ"/>
              </w:rPr>
              <w:t>0</w:t>
            </w:r>
            <w:r w:rsidRPr="00F939A9">
              <w:rPr>
                <w:color w:val="000000"/>
                <w:sz w:val="16"/>
                <w:szCs w:val="16"/>
                <w:lang w:eastAsia="en-NZ"/>
              </w:rPr>
              <w:t>.0001</w:t>
            </w:r>
          </w:p>
        </w:tc>
      </w:tr>
      <w:tr w:rsidR="001C5E0E" w:rsidRPr="001A61F1" w14:paraId="1B01A45D" w14:textId="77777777" w:rsidTr="005F3C25">
        <w:tc>
          <w:tcPr>
            <w:tcW w:w="5387" w:type="dxa"/>
          </w:tcPr>
          <w:p w14:paraId="5E663D18" w14:textId="77777777" w:rsidR="001C5E0E" w:rsidRPr="003F15C0" w:rsidRDefault="001C5E0E" w:rsidP="001C5E0E">
            <w:pPr>
              <w:spacing w:before="20"/>
              <w:rPr>
                <w:b/>
                <w:bCs/>
                <w:color w:val="000000"/>
                <w:sz w:val="16"/>
                <w:szCs w:val="16"/>
              </w:rPr>
            </w:pPr>
            <w:r w:rsidRPr="003F15C0">
              <w:rPr>
                <w:b/>
                <w:bCs/>
                <w:color w:val="000000"/>
                <w:sz w:val="16"/>
                <w:szCs w:val="16"/>
              </w:rPr>
              <w:t>Methods - Avoiding places that have betting or gambling</w:t>
            </w:r>
          </w:p>
        </w:tc>
        <w:tc>
          <w:tcPr>
            <w:tcW w:w="992" w:type="dxa"/>
            <w:shd w:val="clear" w:color="auto" w:fill="auto"/>
            <w:vAlign w:val="bottom"/>
          </w:tcPr>
          <w:p w14:paraId="13429E1C" w14:textId="77777777" w:rsidR="001C5E0E" w:rsidRPr="007B750E" w:rsidRDefault="001C5E0E" w:rsidP="001C5E0E">
            <w:pPr>
              <w:jc w:val="right"/>
              <w:rPr>
                <w:color w:val="000000"/>
                <w:sz w:val="16"/>
                <w:szCs w:val="16"/>
                <w:lang w:eastAsia="en-NZ"/>
              </w:rPr>
            </w:pPr>
          </w:p>
        </w:tc>
        <w:tc>
          <w:tcPr>
            <w:tcW w:w="1276" w:type="dxa"/>
            <w:shd w:val="clear" w:color="auto" w:fill="auto"/>
            <w:vAlign w:val="bottom"/>
          </w:tcPr>
          <w:p w14:paraId="7DB84A38" w14:textId="77777777" w:rsidR="001C5E0E" w:rsidRPr="007B750E" w:rsidRDefault="001C5E0E" w:rsidP="001C5E0E">
            <w:pPr>
              <w:jc w:val="right"/>
              <w:rPr>
                <w:color w:val="000000"/>
                <w:sz w:val="16"/>
                <w:szCs w:val="16"/>
                <w:lang w:eastAsia="en-NZ"/>
              </w:rPr>
            </w:pPr>
          </w:p>
        </w:tc>
        <w:tc>
          <w:tcPr>
            <w:tcW w:w="850" w:type="dxa"/>
            <w:shd w:val="clear" w:color="auto" w:fill="auto"/>
            <w:vAlign w:val="bottom"/>
          </w:tcPr>
          <w:p w14:paraId="22045370" w14:textId="77777777" w:rsidR="001C5E0E" w:rsidRPr="007B750E" w:rsidRDefault="001C5E0E" w:rsidP="001C5E0E">
            <w:pPr>
              <w:jc w:val="right"/>
              <w:rPr>
                <w:color w:val="000000"/>
                <w:sz w:val="16"/>
                <w:szCs w:val="16"/>
                <w:lang w:eastAsia="en-NZ"/>
              </w:rPr>
            </w:pPr>
          </w:p>
        </w:tc>
      </w:tr>
      <w:tr w:rsidR="001C5E0E" w:rsidRPr="001A61F1" w14:paraId="28A30964" w14:textId="77777777" w:rsidTr="003379D8">
        <w:tc>
          <w:tcPr>
            <w:tcW w:w="5387" w:type="dxa"/>
          </w:tcPr>
          <w:p w14:paraId="290B51DD" w14:textId="77777777" w:rsidR="001C5E0E" w:rsidRPr="003F15C0" w:rsidRDefault="001C5E0E" w:rsidP="001C5E0E">
            <w:pPr>
              <w:spacing w:before="20"/>
              <w:ind w:left="176"/>
              <w:jc w:val="both"/>
              <w:rPr>
                <w:sz w:val="16"/>
                <w:szCs w:val="16"/>
              </w:rPr>
            </w:pPr>
            <w:r w:rsidRPr="003F15C0">
              <w:rPr>
                <w:sz w:val="16"/>
                <w:szCs w:val="16"/>
              </w:rPr>
              <w:t>No</w:t>
            </w:r>
          </w:p>
        </w:tc>
        <w:tc>
          <w:tcPr>
            <w:tcW w:w="992" w:type="dxa"/>
            <w:shd w:val="clear" w:color="auto" w:fill="auto"/>
            <w:vAlign w:val="bottom"/>
          </w:tcPr>
          <w:p w14:paraId="3250491A" w14:textId="77777777" w:rsidR="001C5E0E" w:rsidRPr="00F939A9" w:rsidRDefault="001C5E0E" w:rsidP="001C5E0E">
            <w:pPr>
              <w:jc w:val="right"/>
              <w:rPr>
                <w:color w:val="000000"/>
                <w:sz w:val="16"/>
                <w:szCs w:val="16"/>
                <w:lang w:eastAsia="en-NZ"/>
              </w:rPr>
            </w:pPr>
            <w:r w:rsidRPr="00F939A9">
              <w:rPr>
                <w:color w:val="000000"/>
                <w:sz w:val="16"/>
                <w:szCs w:val="16"/>
                <w:lang w:eastAsia="en-NZ"/>
              </w:rPr>
              <w:t>1.00</w:t>
            </w:r>
          </w:p>
        </w:tc>
        <w:tc>
          <w:tcPr>
            <w:tcW w:w="1276" w:type="dxa"/>
            <w:shd w:val="clear" w:color="auto" w:fill="auto"/>
            <w:vAlign w:val="bottom"/>
          </w:tcPr>
          <w:p w14:paraId="4D113EAA" w14:textId="77777777" w:rsidR="001C5E0E" w:rsidRPr="00F939A9" w:rsidRDefault="001C5E0E" w:rsidP="001C5E0E">
            <w:pPr>
              <w:jc w:val="right"/>
              <w:rPr>
                <w:color w:val="000000"/>
                <w:sz w:val="16"/>
                <w:szCs w:val="16"/>
                <w:lang w:eastAsia="en-NZ"/>
              </w:rPr>
            </w:pPr>
          </w:p>
        </w:tc>
        <w:tc>
          <w:tcPr>
            <w:tcW w:w="850" w:type="dxa"/>
            <w:shd w:val="clear" w:color="auto" w:fill="auto"/>
            <w:vAlign w:val="bottom"/>
          </w:tcPr>
          <w:p w14:paraId="299DDFE4" w14:textId="77777777" w:rsidR="001C5E0E" w:rsidRPr="00F939A9" w:rsidRDefault="001C5E0E" w:rsidP="001C5E0E">
            <w:pPr>
              <w:jc w:val="right"/>
              <w:rPr>
                <w:color w:val="000000"/>
                <w:sz w:val="16"/>
                <w:szCs w:val="16"/>
                <w:lang w:eastAsia="en-NZ"/>
              </w:rPr>
            </w:pPr>
          </w:p>
        </w:tc>
      </w:tr>
      <w:tr w:rsidR="001C5E0E" w:rsidRPr="001A61F1" w14:paraId="5855A529" w14:textId="77777777" w:rsidTr="00826105">
        <w:tc>
          <w:tcPr>
            <w:tcW w:w="5387" w:type="dxa"/>
            <w:tcBorders>
              <w:bottom w:val="single" w:sz="4" w:space="0" w:color="auto"/>
            </w:tcBorders>
          </w:tcPr>
          <w:p w14:paraId="11AC19D2" w14:textId="77777777" w:rsidR="001C5E0E" w:rsidRPr="003F15C0" w:rsidRDefault="001C5E0E" w:rsidP="001C5E0E">
            <w:pPr>
              <w:spacing w:before="20"/>
              <w:ind w:left="176"/>
              <w:jc w:val="both"/>
              <w:rPr>
                <w:sz w:val="16"/>
                <w:szCs w:val="16"/>
              </w:rPr>
            </w:pPr>
            <w:r w:rsidRPr="003F15C0">
              <w:rPr>
                <w:sz w:val="16"/>
                <w:szCs w:val="16"/>
              </w:rPr>
              <w:t>Yes</w:t>
            </w:r>
          </w:p>
        </w:tc>
        <w:tc>
          <w:tcPr>
            <w:tcW w:w="992" w:type="dxa"/>
            <w:tcBorders>
              <w:bottom w:val="single" w:sz="4" w:space="0" w:color="auto"/>
            </w:tcBorders>
            <w:shd w:val="clear" w:color="auto" w:fill="auto"/>
            <w:vAlign w:val="bottom"/>
          </w:tcPr>
          <w:p w14:paraId="126754A0" w14:textId="77777777" w:rsidR="001C5E0E" w:rsidRPr="00F939A9" w:rsidRDefault="001C5E0E" w:rsidP="001C5E0E">
            <w:pPr>
              <w:jc w:val="right"/>
              <w:rPr>
                <w:color w:val="000000"/>
                <w:sz w:val="16"/>
                <w:szCs w:val="16"/>
                <w:lang w:eastAsia="en-NZ"/>
              </w:rPr>
            </w:pPr>
            <w:r w:rsidRPr="00F939A9">
              <w:rPr>
                <w:color w:val="000000"/>
                <w:sz w:val="16"/>
                <w:szCs w:val="16"/>
                <w:lang w:eastAsia="en-NZ"/>
              </w:rPr>
              <w:t>8.30</w:t>
            </w:r>
          </w:p>
        </w:tc>
        <w:tc>
          <w:tcPr>
            <w:tcW w:w="1276" w:type="dxa"/>
            <w:tcBorders>
              <w:bottom w:val="single" w:sz="4" w:space="0" w:color="auto"/>
            </w:tcBorders>
            <w:shd w:val="clear" w:color="auto" w:fill="auto"/>
            <w:vAlign w:val="bottom"/>
          </w:tcPr>
          <w:p w14:paraId="21262E9B" w14:textId="77777777" w:rsidR="001C5E0E" w:rsidRPr="00F939A9" w:rsidRDefault="001C5E0E" w:rsidP="001C5E0E">
            <w:pPr>
              <w:jc w:val="right"/>
              <w:rPr>
                <w:color w:val="000000"/>
                <w:sz w:val="16"/>
                <w:szCs w:val="16"/>
                <w:lang w:eastAsia="en-NZ"/>
              </w:rPr>
            </w:pPr>
            <w:r w:rsidRPr="00F939A9">
              <w:rPr>
                <w:color w:val="000000"/>
                <w:sz w:val="16"/>
                <w:szCs w:val="16"/>
                <w:lang w:eastAsia="en-NZ"/>
              </w:rPr>
              <w:t>(4.57, 15.09)</w:t>
            </w:r>
          </w:p>
        </w:tc>
        <w:tc>
          <w:tcPr>
            <w:tcW w:w="850" w:type="dxa"/>
            <w:tcBorders>
              <w:bottom w:val="single" w:sz="4" w:space="0" w:color="auto"/>
            </w:tcBorders>
            <w:shd w:val="clear" w:color="auto" w:fill="auto"/>
            <w:vAlign w:val="bottom"/>
          </w:tcPr>
          <w:p w14:paraId="50D6B7CA" w14:textId="77777777" w:rsidR="001C5E0E" w:rsidRPr="00F939A9" w:rsidRDefault="001C5E0E" w:rsidP="001C5E0E">
            <w:pPr>
              <w:jc w:val="right"/>
              <w:rPr>
                <w:color w:val="000000"/>
                <w:sz w:val="16"/>
                <w:szCs w:val="16"/>
                <w:lang w:eastAsia="en-NZ"/>
              </w:rPr>
            </w:pPr>
            <w:r w:rsidRPr="00F939A9">
              <w:rPr>
                <w:color w:val="000000"/>
                <w:sz w:val="16"/>
                <w:szCs w:val="16"/>
                <w:lang w:eastAsia="en-NZ"/>
              </w:rPr>
              <w:t>&lt;</w:t>
            </w:r>
            <w:r>
              <w:rPr>
                <w:color w:val="000000"/>
                <w:sz w:val="16"/>
                <w:szCs w:val="16"/>
                <w:lang w:eastAsia="en-NZ"/>
              </w:rPr>
              <w:t>0</w:t>
            </w:r>
            <w:r w:rsidRPr="00F939A9">
              <w:rPr>
                <w:color w:val="000000"/>
                <w:sz w:val="16"/>
                <w:szCs w:val="16"/>
                <w:lang w:eastAsia="en-NZ"/>
              </w:rPr>
              <w:t>.0001</w:t>
            </w:r>
          </w:p>
        </w:tc>
      </w:tr>
    </w:tbl>
    <w:p w14:paraId="68ADFB7F" w14:textId="77777777" w:rsidR="00EF12F2" w:rsidRDefault="00EF12F2" w:rsidP="00EF12F2">
      <w:pPr>
        <w:rPr>
          <w:rFonts w:eastAsiaTheme="majorEastAsia"/>
          <w:sz w:val="16"/>
          <w:lang w:eastAsia="en-US"/>
        </w:rPr>
      </w:pPr>
      <w:r>
        <w:rPr>
          <w:rFonts w:eastAsiaTheme="majorEastAsia"/>
          <w:sz w:val="16"/>
          <w:lang w:eastAsia="en-US"/>
        </w:rPr>
        <w:t>Data weighted for 2013 Census data (all Waves) and attrition (Waves 2, 3 and 4)</w:t>
      </w:r>
    </w:p>
    <w:p w14:paraId="75961CA9" w14:textId="77777777" w:rsidR="00EF12F2" w:rsidRPr="002F5089" w:rsidRDefault="00EF12F2" w:rsidP="00EF12F2">
      <w:pPr>
        <w:rPr>
          <w:rFonts w:eastAsiaTheme="majorEastAsia" w:cstheme="majorBidi"/>
          <w:b/>
          <w:bCs/>
          <w:caps/>
          <w:szCs w:val="28"/>
          <w:lang w:eastAsia="en-US"/>
        </w:rPr>
      </w:pPr>
    </w:p>
    <w:p w14:paraId="1AD68452" w14:textId="77777777" w:rsidR="00D94EFC" w:rsidRDefault="00D94EFC">
      <w:pPr>
        <w:spacing w:after="200" w:line="276" w:lineRule="auto"/>
        <w:rPr>
          <w:rFonts w:eastAsiaTheme="majorEastAsia" w:cstheme="majorBidi"/>
          <w:b/>
          <w:bCs/>
          <w:caps/>
          <w:szCs w:val="28"/>
          <w:lang w:eastAsia="en-US"/>
        </w:rPr>
      </w:pPr>
      <w:r>
        <w:rPr>
          <w:rFonts w:eastAsiaTheme="majorEastAsia" w:cstheme="majorBidi"/>
          <w:b/>
          <w:bCs/>
          <w:caps/>
          <w:szCs w:val="28"/>
          <w:lang w:eastAsia="en-US"/>
        </w:rPr>
        <w:br w:type="page"/>
      </w:r>
    </w:p>
    <w:p w14:paraId="329EFA42" w14:textId="77777777" w:rsidR="00D94EFC" w:rsidRDefault="00D94EFC" w:rsidP="00D94EFC">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bookmarkStart w:id="223" w:name="_Toc504488423"/>
      <w:r>
        <w:t>APPENDIX 3</w:t>
      </w:r>
      <w:r w:rsidR="00D9465C">
        <w:t>0</w:t>
      </w:r>
      <w:r w:rsidRPr="00230801">
        <w:t>:</w:t>
      </w:r>
      <w:r w:rsidRPr="00230801">
        <w:br/>
      </w:r>
      <w:r w:rsidRPr="00230801">
        <w:rPr>
          <w:caps w:val="0"/>
        </w:rPr>
        <w:t xml:space="preserve">Statistically significant bivariate associations </w:t>
      </w:r>
      <w:r w:rsidR="00173F02">
        <w:rPr>
          <w:caps w:val="0"/>
        </w:rPr>
        <w:t xml:space="preserve">with </w:t>
      </w:r>
      <w:r w:rsidR="00362AFC">
        <w:rPr>
          <w:caps w:val="0"/>
        </w:rPr>
        <w:t xml:space="preserve">the chance of </w:t>
      </w:r>
      <w:r w:rsidR="00173F02">
        <w:rPr>
          <w:caps w:val="0"/>
        </w:rPr>
        <w:t>being a past year</w:t>
      </w:r>
      <w:r w:rsidRPr="00230801">
        <w:rPr>
          <w:caps w:val="0"/>
        </w:rPr>
        <w:t xml:space="preserve"> </w:t>
      </w:r>
      <w:r>
        <w:rPr>
          <w:caps w:val="0"/>
        </w:rPr>
        <w:t>moderate-risk/problem gambl</w:t>
      </w:r>
      <w:r w:rsidR="00173F02">
        <w:rPr>
          <w:caps w:val="0"/>
        </w:rPr>
        <w:t>er vs. being a low-risk/non-problem/non-gambler across Waves 1 to 4</w:t>
      </w:r>
      <w:bookmarkEnd w:id="223"/>
      <w:r>
        <w:rPr>
          <w:caps w:val="0"/>
        </w:rPr>
        <w:t xml:space="preserve"> </w:t>
      </w:r>
    </w:p>
    <w:p w14:paraId="17F37FDC" w14:textId="77777777" w:rsidR="00D94EFC" w:rsidRPr="00302A4C" w:rsidRDefault="00D94EFC" w:rsidP="00D94EFC">
      <w:pPr>
        <w:pStyle w:val="RepNormal"/>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992"/>
        <w:gridCol w:w="1276"/>
        <w:gridCol w:w="850"/>
      </w:tblGrid>
      <w:tr w:rsidR="00D94EFC" w:rsidRPr="003F15C0" w14:paraId="7B6DEA6B" w14:textId="77777777" w:rsidTr="00173F02">
        <w:trPr>
          <w:tblHeader/>
        </w:trPr>
        <w:tc>
          <w:tcPr>
            <w:tcW w:w="5387" w:type="dxa"/>
            <w:tcBorders>
              <w:top w:val="single" w:sz="4" w:space="0" w:color="auto"/>
              <w:bottom w:val="single" w:sz="4" w:space="0" w:color="auto"/>
            </w:tcBorders>
            <w:vAlign w:val="bottom"/>
          </w:tcPr>
          <w:p w14:paraId="737CD224" w14:textId="77777777" w:rsidR="00D94EFC" w:rsidRPr="003F15C0" w:rsidRDefault="00D94EFC" w:rsidP="001C5E0E">
            <w:pPr>
              <w:spacing w:before="20"/>
              <w:jc w:val="both"/>
              <w:rPr>
                <w:b/>
                <w:sz w:val="16"/>
                <w:szCs w:val="16"/>
              </w:rPr>
            </w:pPr>
            <w:r>
              <w:rPr>
                <w:b/>
                <w:sz w:val="16"/>
                <w:szCs w:val="16"/>
              </w:rPr>
              <w:t>Wave 1 v</w:t>
            </w:r>
            <w:r w:rsidRPr="003F15C0">
              <w:rPr>
                <w:b/>
                <w:sz w:val="16"/>
                <w:szCs w:val="16"/>
              </w:rPr>
              <w:t>ariable</w:t>
            </w:r>
          </w:p>
        </w:tc>
        <w:tc>
          <w:tcPr>
            <w:tcW w:w="992" w:type="dxa"/>
            <w:tcBorders>
              <w:top w:val="single" w:sz="4" w:space="0" w:color="auto"/>
              <w:bottom w:val="single" w:sz="4" w:space="0" w:color="auto"/>
            </w:tcBorders>
            <w:vAlign w:val="bottom"/>
          </w:tcPr>
          <w:p w14:paraId="1696AA43" w14:textId="36349BD3" w:rsidR="00D94EFC" w:rsidRPr="003F15C0" w:rsidRDefault="004B0286" w:rsidP="001C5E0E">
            <w:pPr>
              <w:spacing w:before="20"/>
              <w:jc w:val="right"/>
              <w:rPr>
                <w:b/>
                <w:color w:val="000000"/>
                <w:sz w:val="16"/>
                <w:szCs w:val="16"/>
              </w:rPr>
            </w:pPr>
            <w:r>
              <w:rPr>
                <w:b/>
                <w:color w:val="000000"/>
                <w:sz w:val="16"/>
                <w:szCs w:val="16"/>
              </w:rPr>
              <w:t>Odds r</w:t>
            </w:r>
            <w:r w:rsidR="00D94EFC" w:rsidRPr="003F15C0">
              <w:rPr>
                <w:b/>
                <w:color w:val="000000"/>
                <w:sz w:val="16"/>
                <w:szCs w:val="16"/>
              </w:rPr>
              <w:t>atio</w:t>
            </w:r>
          </w:p>
        </w:tc>
        <w:tc>
          <w:tcPr>
            <w:tcW w:w="1276" w:type="dxa"/>
            <w:tcBorders>
              <w:top w:val="single" w:sz="4" w:space="0" w:color="auto"/>
              <w:bottom w:val="single" w:sz="4" w:space="0" w:color="auto"/>
            </w:tcBorders>
            <w:vAlign w:val="bottom"/>
          </w:tcPr>
          <w:p w14:paraId="2D0E977F" w14:textId="77777777" w:rsidR="00D94EFC" w:rsidRPr="003F15C0" w:rsidRDefault="00D94EFC" w:rsidP="001C5E0E">
            <w:pPr>
              <w:spacing w:before="20"/>
              <w:jc w:val="right"/>
              <w:rPr>
                <w:b/>
                <w:color w:val="000000"/>
                <w:sz w:val="16"/>
                <w:szCs w:val="16"/>
              </w:rPr>
            </w:pPr>
            <w:r w:rsidRPr="003F15C0">
              <w:rPr>
                <w:b/>
                <w:color w:val="000000"/>
                <w:sz w:val="16"/>
                <w:szCs w:val="16"/>
              </w:rPr>
              <w:t>(95% CI)</w:t>
            </w:r>
          </w:p>
        </w:tc>
        <w:tc>
          <w:tcPr>
            <w:tcW w:w="850" w:type="dxa"/>
            <w:tcBorders>
              <w:top w:val="single" w:sz="4" w:space="0" w:color="auto"/>
              <w:bottom w:val="single" w:sz="4" w:space="0" w:color="auto"/>
            </w:tcBorders>
            <w:shd w:val="clear" w:color="auto" w:fill="auto"/>
            <w:vAlign w:val="bottom"/>
          </w:tcPr>
          <w:p w14:paraId="23D69DBC" w14:textId="77777777" w:rsidR="00D94EFC" w:rsidRPr="003F15C0" w:rsidRDefault="00D94EFC" w:rsidP="001C5E0E">
            <w:pPr>
              <w:spacing w:before="20"/>
              <w:jc w:val="right"/>
              <w:rPr>
                <w:b/>
                <w:color w:val="000000"/>
                <w:sz w:val="16"/>
                <w:szCs w:val="16"/>
              </w:rPr>
            </w:pPr>
            <w:r w:rsidRPr="003F15C0">
              <w:rPr>
                <w:b/>
                <w:color w:val="000000"/>
                <w:sz w:val="16"/>
                <w:szCs w:val="16"/>
              </w:rPr>
              <w:t>p-value</w:t>
            </w:r>
          </w:p>
        </w:tc>
      </w:tr>
      <w:tr w:rsidR="00D94EFC" w:rsidRPr="003F15C0" w14:paraId="0E6B9C41" w14:textId="77777777" w:rsidTr="001C5E0E">
        <w:tc>
          <w:tcPr>
            <w:tcW w:w="5387" w:type="dxa"/>
          </w:tcPr>
          <w:p w14:paraId="42C702C2" w14:textId="77777777" w:rsidR="00D94EFC" w:rsidRPr="009A1B9E" w:rsidRDefault="00D94EFC" w:rsidP="001C5E0E">
            <w:pPr>
              <w:spacing w:before="20"/>
              <w:jc w:val="both"/>
              <w:rPr>
                <w:b/>
                <w:sz w:val="16"/>
                <w:szCs w:val="16"/>
              </w:rPr>
            </w:pPr>
            <w:r w:rsidRPr="009A1B9E">
              <w:rPr>
                <w:b/>
                <w:sz w:val="16"/>
                <w:szCs w:val="16"/>
              </w:rPr>
              <w:t>Age group (years)</w:t>
            </w:r>
          </w:p>
        </w:tc>
        <w:tc>
          <w:tcPr>
            <w:tcW w:w="992" w:type="dxa"/>
            <w:shd w:val="clear" w:color="auto" w:fill="auto"/>
            <w:vAlign w:val="center"/>
          </w:tcPr>
          <w:p w14:paraId="67C197ED" w14:textId="77777777" w:rsidR="00D94EFC" w:rsidRPr="00FE7300" w:rsidRDefault="00D94EFC" w:rsidP="001C5E0E">
            <w:pPr>
              <w:jc w:val="right"/>
              <w:rPr>
                <w:color w:val="000000"/>
                <w:sz w:val="16"/>
                <w:szCs w:val="16"/>
                <w:lang w:eastAsia="en-NZ"/>
              </w:rPr>
            </w:pPr>
          </w:p>
        </w:tc>
        <w:tc>
          <w:tcPr>
            <w:tcW w:w="1276" w:type="dxa"/>
            <w:shd w:val="clear" w:color="auto" w:fill="auto"/>
            <w:vAlign w:val="center"/>
          </w:tcPr>
          <w:p w14:paraId="08EE5BEF" w14:textId="77777777" w:rsidR="00D94EFC" w:rsidRPr="00FE7300" w:rsidRDefault="00D94EFC" w:rsidP="001C5E0E">
            <w:pPr>
              <w:jc w:val="right"/>
              <w:rPr>
                <w:color w:val="000000"/>
                <w:sz w:val="16"/>
                <w:szCs w:val="16"/>
                <w:lang w:eastAsia="en-NZ"/>
              </w:rPr>
            </w:pPr>
          </w:p>
        </w:tc>
        <w:tc>
          <w:tcPr>
            <w:tcW w:w="850" w:type="dxa"/>
            <w:shd w:val="clear" w:color="auto" w:fill="auto"/>
            <w:vAlign w:val="center"/>
          </w:tcPr>
          <w:p w14:paraId="3B498477" w14:textId="77777777" w:rsidR="00D94EFC" w:rsidRPr="00FE7300" w:rsidRDefault="00D94EFC" w:rsidP="001C5E0E">
            <w:pPr>
              <w:jc w:val="right"/>
              <w:rPr>
                <w:color w:val="000000"/>
                <w:sz w:val="16"/>
                <w:szCs w:val="16"/>
                <w:lang w:eastAsia="en-NZ"/>
              </w:rPr>
            </w:pPr>
          </w:p>
        </w:tc>
      </w:tr>
      <w:tr w:rsidR="002A1181" w:rsidRPr="003F15C0" w14:paraId="6EA83C0D" w14:textId="77777777" w:rsidTr="001C5E0E">
        <w:tc>
          <w:tcPr>
            <w:tcW w:w="5387" w:type="dxa"/>
            <w:vAlign w:val="bottom"/>
          </w:tcPr>
          <w:p w14:paraId="515626FB" w14:textId="77777777" w:rsidR="002A1181" w:rsidRPr="009A1B9E" w:rsidRDefault="002A1181" w:rsidP="002A1181">
            <w:pPr>
              <w:spacing w:before="20"/>
              <w:ind w:left="176"/>
              <w:jc w:val="both"/>
              <w:rPr>
                <w:sz w:val="16"/>
                <w:szCs w:val="16"/>
              </w:rPr>
            </w:pPr>
            <w:r w:rsidRPr="009A1B9E">
              <w:rPr>
                <w:sz w:val="16"/>
                <w:szCs w:val="16"/>
              </w:rPr>
              <w:t>18</w:t>
            </w:r>
            <w:r>
              <w:rPr>
                <w:sz w:val="16"/>
                <w:szCs w:val="16"/>
              </w:rPr>
              <w:t xml:space="preserve"> </w:t>
            </w:r>
            <w:r w:rsidRPr="009A1B9E">
              <w:rPr>
                <w:sz w:val="16"/>
                <w:szCs w:val="16"/>
              </w:rPr>
              <w:t>-</w:t>
            </w:r>
            <w:r>
              <w:rPr>
                <w:sz w:val="16"/>
                <w:szCs w:val="16"/>
              </w:rPr>
              <w:t xml:space="preserve"> </w:t>
            </w:r>
            <w:r w:rsidRPr="009A1B9E">
              <w:rPr>
                <w:sz w:val="16"/>
                <w:szCs w:val="16"/>
              </w:rPr>
              <w:t>39</w:t>
            </w:r>
          </w:p>
        </w:tc>
        <w:tc>
          <w:tcPr>
            <w:tcW w:w="992" w:type="dxa"/>
            <w:shd w:val="clear" w:color="auto" w:fill="auto"/>
            <w:vAlign w:val="bottom"/>
          </w:tcPr>
          <w:p w14:paraId="71223BF4" w14:textId="77777777" w:rsidR="002A1181" w:rsidRPr="002A1181" w:rsidRDefault="002A1181" w:rsidP="002A1181">
            <w:pPr>
              <w:jc w:val="right"/>
              <w:rPr>
                <w:color w:val="000000"/>
                <w:sz w:val="16"/>
                <w:szCs w:val="16"/>
                <w:lang w:eastAsia="en-NZ"/>
              </w:rPr>
            </w:pPr>
            <w:r w:rsidRPr="002A1181">
              <w:rPr>
                <w:color w:val="000000"/>
                <w:sz w:val="16"/>
                <w:szCs w:val="16"/>
                <w:lang w:eastAsia="en-NZ"/>
              </w:rPr>
              <w:t>1.00</w:t>
            </w:r>
          </w:p>
        </w:tc>
        <w:tc>
          <w:tcPr>
            <w:tcW w:w="1276" w:type="dxa"/>
            <w:shd w:val="clear" w:color="auto" w:fill="auto"/>
            <w:vAlign w:val="bottom"/>
          </w:tcPr>
          <w:p w14:paraId="4962F880" w14:textId="77777777" w:rsidR="002A1181" w:rsidRPr="002A1181" w:rsidRDefault="002A1181" w:rsidP="002A1181">
            <w:pPr>
              <w:jc w:val="right"/>
              <w:rPr>
                <w:color w:val="000000"/>
                <w:sz w:val="16"/>
                <w:szCs w:val="16"/>
                <w:lang w:eastAsia="en-NZ"/>
              </w:rPr>
            </w:pPr>
          </w:p>
        </w:tc>
        <w:tc>
          <w:tcPr>
            <w:tcW w:w="850" w:type="dxa"/>
            <w:shd w:val="clear" w:color="auto" w:fill="auto"/>
            <w:vAlign w:val="bottom"/>
          </w:tcPr>
          <w:p w14:paraId="74E41FE3" w14:textId="77777777" w:rsidR="002A1181" w:rsidRPr="002A1181" w:rsidRDefault="002A1181" w:rsidP="002A1181">
            <w:pPr>
              <w:jc w:val="right"/>
              <w:rPr>
                <w:color w:val="000000"/>
                <w:sz w:val="16"/>
                <w:szCs w:val="16"/>
                <w:lang w:eastAsia="en-NZ"/>
              </w:rPr>
            </w:pPr>
          </w:p>
        </w:tc>
      </w:tr>
      <w:tr w:rsidR="002A1181" w:rsidRPr="003F15C0" w14:paraId="32696FC3" w14:textId="77777777" w:rsidTr="001C5E0E">
        <w:tc>
          <w:tcPr>
            <w:tcW w:w="5387" w:type="dxa"/>
            <w:vAlign w:val="bottom"/>
          </w:tcPr>
          <w:p w14:paraId="4714B0D7" w14:textId="77777777" w:rsidR="002A1181" w:rsidRPr="009A1B9E" w:rsidRDefault="002A1181" w:rsidP="002A1181">
            <w:pPr>
              <w:spacing w:before="20"/>
              <w:ind w:left="176"/>
              <w:jc w:val="both"/>
              <w:rPr>
                <w:sz w:val="16"/>
                <w:szCs w:val="16"/>
              </w:rPr>
            </w:pPr>
            <w:r w:rsidRPr="009A1B9E">
              <w:rPr>
                <w:sz w:val="16"/>
                <w:szCs w:val="16"/>
              </w:rPr>
              <w:t>40</w:t>
            </w:r>
            <w:r>
              <w:rPr>
                <w:sz w:val="16"/>
                <w:szCs w:val="16"/>
              </w:rPr>
              <w:t xml:space="preserve"> </w:t>
            </w:r>
            <w:r w:rsidRPr="009A1B9E">
              <w:rPr>
                <w:sz w:val="16"/>
                <w:szCs w:val="16"/>
              </w:rPr>
              <w:t>-</w:t>
            </w:r>
            <w:r>
              <w:rPr>
                <w:sz w:val="16"/>
                <w:szCs w:val="16"/>
              </w:rPr>
              <w:t xml:space="preserve"> </w:t>
            </w:r>
            <w:r w:rsidRPr="009A1B9E">
              <w:rPr>
                <w:sz w:val="16"/>
                <w:szCs w:val="16"/>
              </w:rPr>
              <w:t>64</w:t>
            </w:r>
          </w:p>
        </w:tc>
        <w:tc>
          <w:tcPr>
            <w:tcW w:w="992" w:type="dxa"/>
            <w:shd w:val="clear" w:color="auto" w:fill="auto"/>
            <w:vAlign w:val="bottom"/>
          </w:tcPr>
          <w:p w14:paraId="7FD0F427" w14:textId="77777777" w:rsidR="002A1181" w:rsidRPr="002A1181" w:rsidRDefault="002A1181" w:rsidP="002A1181">
            <w:pPr>
              <w:jc w:val="right"/>
              <w:rPr>
                <w:color w:val="000000"/>
                <w:sz w:val="16"/>
                <w:szCs w:val="16"/>
                <w:lang w:eastAsia="en-NZ"/>
              </w:rPr>
            </w:pPr>
            <w:r w:rsidRPr="002A1181">
              <w:rPr>
                <w:color w:val="000000"/>
                <w:sz w:val="16"/>
                <w:szCs w:val="16"/>
                <w:lang w:eastAsia="en-NZ"/>
              </w:rPr>
              <w:t>0.48</w:t>
            </w:r>
          </w:p>
        </w:tc>
        <w:tc>
          <w:tcPr>
            <w:tcW w:w="1276" w:type="dxa"/>
            <w:shd w:val="clear" w:color="auto" w:fill="auto"/>
            <w:vAlign w:val="bottom"/>
          </w:tcPr>
          <w:p w14:paraId="0E338A63" w14:textId="77777777" w:rsidR="002A1181" w:rsidRPr="002A1181" w:rsidRDefault="002A1181" w:rsidP="002A1181">
            <w:pPr>
              <w:jc w:val="right"/>
              <w:rPr>
                <w:color w:val="000000"/>
                <w:sz w:val="16"/>
                <w:szCs w:val="16"/>
                <w:lang w:eastAsia="en-NZ"/>
              </w:rPr>
            </w:pPr>
            <w:r w:rsidRPr="002A1181">
              <w:rPr>
                <w:color w:val="000000"/>
                <w:sz w:val="16"/>
                <w:szCs w:val="16"/>
                <w:lang w:eastAsia="en-NZ"/>
              </w:rPr>
              <w:t>(0.23, 1.01)</w:t>
            </w:r>
          </w:p>
        </w:tc>
        <w:tc>
          <w:tcPr>
            <w:tcW w:w="850" w:type="dxa"/>
            <w:shd w:val="clear" w:color="auto" w:fill="auto"/>
            <w:vAlign w:val="bottom"/>
          </w:tcPr>
          <w:p w14:paraId="6A50A226" w14:textId="77777777" w:rsidR="002A1181" w:rsidRPr="002A1181" w:rsidRDefault="002A1181" w:rsidP="002A1181">
            <w:pPr>
              <w:jc w:val="right"/>
              <w:rPr>
                <w:color w:val="000000"/>
                <w:sz w:val="16"/>
                <w:szCs w:val="16"/>
                <w:lang w:eastAsia="en-NZ"/>
              </w:rPr>
            </w:pPr>
          </w:p>
        </w:tc>
      </w:tr>
      <w:tr w:rsidR="002A1181" w:rsidRPr="003F15C0" w14:paraId="18AA6300" w14:textId="77777777" w:rsidTr="00173F02">
        <w:tc>
          <w:tcPr>
            <w:tcW w:w="5387" w:type="dxa"/>
            <w:vAlign w:val="bottom"/>
          </w:tcPr>
          <w:p w14:paraId="11F14B28" w14:textId="77777777" w:rsidR="002A1181" w:rsidRPr="009A1B9E" w:rsidRDefault="002A1181" w:rsidP="002A1181">
            <w:pPr>
              <w:spacing w:before="20"/>
              <w:ind w:left="176"/>
              <w:jc w:val="both"/>
              <w:rPr>
                <w:sz w:val="16"/>
                <w:szCs w:val="16"/>
              </w:rPr>
            </w:pPr>
            <w:r w:rsidRPr="009A1B9E">
              <w:rPr>
                <w:sz w:val="16"/>
                <w:szCs w:val="16"/>
              </w:rPr>
              <w:t>65+</w:t>
            </w:r>
          </w:p>
        </w:tc>
        <w:tc>
          <w:tcPr>
            <w:tcW w:w="992" w:type="dxa"/>
            <w:shd w:val="clear" w:color="auto" w:fill="auto"/>
            <w:vAlign w:val="bottom"/>
          </w:tcPr>
          <w:p w14:paraId="70DD03A9" w14:textId="77777777" w:rsidR="002A1181" w:rsidRPr="002A1181" w:rsidRDefault="002A1181" w:rsidP="002A1181">
            <w:pPr>
              <w:jc w:val="right"/>
              <w:rPr>
                <w:color w:val="000000"/>
                <w:sz w:val="16"/>
                <w:szCs w:val="16"/>
                <w:lang w:eastAsia="en-NZ"/>
              </w:rPr>
            </w:pPr>
            <w:r w:rsidRPr="002A1181">
              <w:rPr>
                <w:color w:val="000000"/>
                <w:sz w:val="16"/>
                <w:szCs w:val="16"/>
                <w:lang w:eastAsia="en-NZ"/>
              </w:rPr>
              <w:t>0.19</w:t>
            </w:r>
          </w:p>
        </w:tc>
        <w:tc>
          <w:tcPr>
            <w:tcW w:w="1276" w:type="dxa"/>
            <w:shd w:val="clear" w:color="auto" w:fill="auto"/>
            <w:vAlign w:val="bottom"/>
          </w:tcPr>
          <w:p w14:paraId="69E26B32" w14:textId="77777777" w:rsidR="002A1181" w:rsidRPr="002A1181" w:rsidRDefault="002A1181" w:rsidP="002A1181">
            <w:pPr>
              <w:jc w:val="right"/>
              <w:rPr>
                <w:color w:val="000000"/>
                <w:sz w:val="16"/>
                <w:szCs w:val="16"/>
                <w:lang w:eastAsia="en-NZ"/>
              </w:rPr>
            </w:pPr>
            <w:r w:rsidRPr="002A1181">
              <w:rPr>
                <w:color w:val="000000"/>
                <w:sz w:val="16"/>
                <w:szCs w:val="16"/>
                <w:lang w:eastAsia="en-NZ"/>
              </w:rPr>
              <w:t>(0.05, 0.76)</w:t>
            </w:r>
          </w:p>
        </w:tc>
        <w:tc>
          <w:tcPr>
            <w:tcW w:w="850" w:type="dxa"/>
            <w:shd w:val="clear" w:color="auto" w:fill="auto"/>
            <w:vAlign w:val="bottom"/>
          </w:tcPr>
          <w:p w14:paraId="2E37404C" w14:textId="77777777" w:rsidR="002A1181" w:rsidRPr="002A1181" w:rsidRDefault="002A1181" w:rsidP="002A1181">
            <w:pPr>
              <w:jc w:val="right"/>
              <w:rPr>
                <w:color w:val="000000"/>
                <w:sz w:val="16"/>
                <w:szCs w:val="16"/>
                <w:lang w:eastAsia="en-NZ"/>
              </w:rPr>
            </w:pPr>
            <w:r w:rsidRPr="002A1181">
              <w:rPr>
                <w:color w:val="000000"/>
                <w:sz w:val="16"/>
                <w:szCs w:val="16"/>
                <w:lang w:eastAsia="en-NZ"/>
              </w:rPr>
              <w:t>0.02</w:t>
            </w:r>
          </w:p>
        </w:tc>
      </w:tr>
      <w:tr w:rsidR="00D94EFC" w:rsidRPr="003F15C0" w14:paraId="097A4A80" w14:textId="77777777" w:rsidTr="001C5E0E">
        <w:tc>
          <w:tcPr>
            <w:tcW w:w="5387" w:type="dxa"/>
          </w:tcPr>
          <w:p w14:paraId="5BA4C41A" w14:textId="77777777" w:rsidR="00D94EFC" w:rsidRPr="009A1B9E" w:rsidRDefault="00D94EFC" w:rsidP="001C5E0E">
            <w:pPr>
              <w:spacing w:before="20"/>
              <w:jc w:val="both"/>
              <w:rPr>
                <w:b/>
                <w:sz w:val="16"/>
                <w:szCs w:val="16"/>
              </w:rPr>
            </w:pPr>
            <w:r w:rsidRPr="009A1B9E">
              <w:rPr>
                <w:b/>
                <w:sz w:val="16"/>
                <w:szCs w:val="16"/>
              </w:rPr>
              <w:t>Ethnic group (prioritised)</w:t>
            </w:r>
          </w:p>
        </w:tc>
        <w:tc>
          <w:tcPr>
            <w:tcW w:w="992" w:type="dxa"/>
            <w:shd w:val="clear" w:color="auto" w:fill="auto"/>
            <w:vAlign w:val="center"/>
          </w:tcPr>
          <w:p w14:paraId="5B03EFC3" w14:textId="77777777" w:rsidR="00D94EFC" w:rsidRPr="00230801" w:rsidRDefault="00D94EFC" w:rsidP="001C5E0E">
            <w:pPr>
              <w:jc w:val="right"/>
              <w:rPr>
                <w:color w:val="000000"/>
                <w:sz w:val="16"/>
                <w:szCs w:val="16"/>
                <w:lang w:eastAsia="en-NZ"/>
              </w:rPr>
            </w:pPr>
          </w:p>
        </w:tc>
        <w:tc>
          <w:tcPr>
            <w:tcW w:w="1276" w:type="dxa"/>
            <w:shd w:val="clear" w:color="auto" w:fill="auto"/>
            <w:vAlign w:val="center"/>
          </w:tcPr>
          <w:p w14:paraId="4111EF45" w14:textId="77777777" w:rsidR="00D94EFC" w:rsidRPr="00230801" w:rsidRDefault="00D94EFC" w:rsidP="001C5E0E">
            <w:pPr>
              <w:jc w:val="right"/>
              <w:rPr>
                <w:color w:val="000000"/>
                <w:sz w:val="16"/>
                <w:szCs w:val="16"/>
                <w:lang w:eastAsia="en-NZ"/>
              </w:rPr>
            </w:pPr>
          </w:p>
        </w:tc>
        <w:tc>
          <w:tcPr>
            <w:tcW w:w="850" w:type="dxa"/>
            <w:shd w:val="clear" w:color="auto" w:fill="auto"/>
            <w:vAlign w:val="center"/>
          </w:tcPr>
          <w:p w14:paraId="68150554" w14:textId="77777777" w:rsidR="00D94EFC" w:rsidRPr="00230801" w:rsidRDefault="00D94EFC" w:rsidP="001C5E0E">
            <w:pPr>
              <w:jc w:val="right"/>
              <w:rPr>
                <w:color w:val="000000"/>
                <w:sz w:val="16"/>
                <w:szCs w:val="16"/>
                <w:lang w:eastAsia="en-NZ"/>
              </w:rPr>
            </w:pPr>
          </w:p>
        </w:tc>
      </w:tr>
      <w:tr w:rsidR="002A1181" w:rsidRPr="003F15C0" w14:paraId="731F2CD5" w14:textId="77777777" w:rsidTr="001C5E0E">
        <w:tc>
          <w:tcPr>
            <w:tcW w:w="5387" w:type="dxa"/>
            <w:vAlign w:val="bottom"/>
          </w:tcPr>
          <w:p w14:paraId="3388C1F4" w14:textId="77777777" w:rsidR="002A1181" w:rsidRPr="009A1B9E" w:rsidRDefault="002A1181" w:rsidP="002A1181">
            <w:pPr>
              <w:spacing w:before="20"/>
              <w:ind w:left="176"/>
              <w:jc w:val="both"/>
              <w:rPr>
                <w:sz w:val="16"/>
                <w:szCs w:val="16"/>
              </w:rPr>
            </w:pPr>
            <w:r>
              <w:rPr>
                <w:sz w:val="16"/>
                <w:szCs w:val="16"/>
              </w:rPr>
              <w:t>Māori</w:t>
            </w:r>
          </w:p>
        </w:tc>
        <w:tc>
          <w:tcPr>
            <w:tcW w:w="992" w:type="dxa"/>
            <w:shd w:val="clear" w:color="auto" w:fill="auto"/>
            <w:vAlign w:val="bottom"/>
          </w:tcPr>
          <w:p w14:paraId="208582FC" w14:textId="77777777" w:rsidR="002A1181" w:rsidRPr="002A1181" w:rsidRDefault="002A1181" w:rsidP="002A1181">
            <w:pPr>
              <w:jc w:val="right"/>
              <w:rPr>
                <w:color w:val="000000"/>
                <w:sz w:val="16"/>
                <w:szCs w:val="16"/>
                <w:lang w:eastAsia="en-NZ"/>
              </w:rPr>
            </w:pPr>
            <w:r w:rsidRPr="002A1181">
              <w:rPr>
                <w:color w:val="000000"/>
                <w:sz w:val="16"/>
                <w:szCs w:val="16"/>
                <w:lang w:eastAsia="en-NZ"/>
              </w:rPr>
              <w:t>9.63</w:t>
            </w:r>
          </w:p>
        </w:tc>
        <w:tc>
          <w:tcPr>
            <w:tcW w:w="1276" w:type="dxa"/>
            <w:shd w:val="clear" w:color="auto" w:fill="auto"/>
            <w:vAlign w:val="bottom"/>
          </w:tcPr>
          <w:p w14:paraId="3CFED31E" w14:textId="77777777" w:rsidR="002A1181" w:rsidRPr="002A1181" w:rsidRDefault="002A1181" w:rsidP="002A1181">
            <w:pPr>
              <w:jc w:val="right"/>
              <w:rPr>
                <w:color w:val="000000"/>
                <w:sz w:val="16"/>
                <w:szCs w:val="16"/>
                <w:lang w:eastAsia="en-NZ"/>
              </w:rPr>
            </w:pPr>
            <w:r w:rsidRPr="002A1181">
              <w:rPr>
                <w:color w:val="000000"/>
                <w:sz w:val="16"/>
                <w:szCs w:val="16"/>
                <w:lang w:eastAsia="en-NZ"/>
              </w:rPr>
              <w:t>(4.28, 21.68)</w:t>
            </w:r>
          </w:p>
        </w:tc>
        <w:tc>
          <w:tcPr>
            <w:tcW w:w="850" w:type="dxa"/>
            <w:shd w:val="clear" w:color="auto" w:fill="auto"/>
            <w:vAlign w:val="bottom"/>
          </w:tcPr>
          <w:p w14:paraId="16F5EA03" w14:textId="77777777" w:rsidR="002A1181" w:rsidRPr="002A1181" w:rsidRDefault="002A1181" w:rsidP="002A1181">
            <w:pPr>
              <w:jc w:val="right"/>
              <w:rPr>
                <w:color w:val="000000"/>
                <w:sz w:val="16"/>
                <w:szCs w:val="16"/>
                <w:lang w:eastAsia="en-NZ"/>
              </w:rPr>
            </w:pPr>
          </w:p>
        </w:tc>
      </w:tr>
      <w:tr w:rsidR="002A1181" w:rsidRPr="003F15C0" w14:paraId="589E351D" w14:textId="77777777" w:rsidTr="001C5E0E">
        <w:tc>
          <w:tcPr>
            <w:tcW w:w="5387" w:type="dxa"/>
            <w:vAlign w:val="bottom"/>
          </w:tcPr>
          <w:p w14:paraId="0E07ECFB" w14:textId="77777777" w:rsidR="002A1181" w:rsidRPr="009A1B9E" w:rsidRDefault="002A1181" w:rsidP="002A1181">
            <w:pPr>
              <w:spacing w:before="20"/>
              <w:ind w:left="176"/>
              <w:jc w:val="both"/>
              <w:rPr>
                <w:sz w:val="16"/>
                <w:szCs w:val="16"/>
              </w:rPr>
            </w:pPr>
            <w:r w:rsidRPr="009A1B9E">
              <w:rPr>
                <w:sz w:val="16"/>
                <w:szCs w:val="16"/>
              </w:rPr>
              <w:t>Pacific</w:t>
            </w:r>
          </w:p>
        </w:tc>
        <w:tc>
          <w:tcPr>
            <w:tcW w:w="992" w:type="dxa"/>
            <w:shd w:val="clear" w:color="auto" w:fill="auto"/>
            <w:vAlign w:val="bottom"/>
          </w:tcPr>
          <w:p w14:paraId="611B0790" w14:textId="77777777" w:rsidR="002A1181" w:rsidRPr="002A1181" w:rsidRDefault="002A1181" w:rsidP="002A1181">
            <w:pPr>
              <w:jc w:val="right"/>
              <w:rPr>
                <w:color w:val="000000"/>
                <w:sz w:val="16"/>
                <w:szCs w:val="16"/>
                <w:lang w:eastAsia="en-NZ"/>
              </w:rPr>
            </w:pPr>
            <w:r w:rsidRPr="002A1181">
              <w:rPr>
                <w:color w:val="000000"/>
                <w:sz w:val="16"/>
                <w:szCs w:val="16"/>
                <w:lang w:eastAsia="en-NZ"/>
              </w:rPr>
              <w:t>17.43</w:t>
            </w:r>
          </w:p>
        </w:tc>
        <w:tc>
          <w:tcPr>
            <w:tcW w:w="1276" w:type="dxa"/>
            <w:shd w:val="clear" w:color="auto" w:fill="auto"/>
            <w:vAlign w:val="bottom"/>
          </w:tcPr>
          <w:p w14:paraId="64FE09DC" w14:textId="77777777" w:rsidR="002A1181" w:rsidRPr="002A1181" w:rsidRDefault="002A1181" w:rsidP="002A1181">
            <w:pPr>
              <w:jc w:val="right"/>
              <w:rPr>
                <w:color w:val="000000"/>
                <w:sz w:val="16"/>
                <w:szCs w:val="16"/>
                <w:lang w:eastAsia="en-NZ"/>
              </w:rPr>
            </w:pPr>
            <w:r w:rsidRPr="002A1181">
              <w:rPr>
                <w:color w:val="000000"/>
                <w:sz w:val="16"/>
                <w:szCs w:val="16"/>
                <w:lang w:eastAsia="en-NZ"/>
              </w:rPr>
              <w:t>(6.98, 43.54)</w:t>
            </w:r>
          </w:p>
        </w:tc>
        <w:tc>
          <w:tcPr>
            <w:tcW w:w="850" w:type="dxa"/>
            <w:shd w:val="clear" w:color="auto" w:fill="auto"/>
            <w:vAlign w:val="bottom"/>
          </w:tcPr>
          <w:p w14:paraId="00CD2201" w14:textId="77777777" w:rsidR="002A1181" w:rsidRPr="002A1181" w:rsidRDefault="002A1181" w:rsidP="002A1181">
            <w:pPr>
              <w:jc w:val="right"/>
              <w:rPr>
                <w:color w:val="000000"/>
                <w:sz w:val="16"/>
                <w:szCs w:val="16"/>
                <w:lang w:eastAsia="en-NZ"/>
              </w:rPr>
            </w:pPr>
          </w:p>
        </w:tc>
      </w:tr>
      <w:tr w:rsidR="002A1181" w:rsidRPr="003F15C0" w14:paraId="306C377B" w14:textId="77777777" w:rsidTr="001C5E0E">
        <w:tc>
          <w:tcPr>
            <w:tcW w:w="5387" w:type="dxa"/>
            <w:vAlign w:val="bottom"/>
          </w:tcPr>
          <w:p w14:paraId="48686E94" w14:textId="77777777" w:rsidR="002A1181" w:rsidRPr="009A1B9E" w:rsidRDefault="002A1181" w:rsidP="002A1181">
            <w:pPr>
              <w:spacing w:before="20"/>
              <w:ind w:left="176"/>
              <w:jc w:val="both"/>
              <w:rPr>
                <w:sz w:val="16"/>
                <w:szCs w:val="16"/>
              </w:rPr>
            </w:pPr>
            <w:r w:rsidRPr="009A1B9E">
              <w:rPr>
                <w:sz w:val="16"/>
                <w:szCs w:val="16"/>
              </w:rPr>
              <w:t>Asian</w:t>
            </w:r>
          </w:p>
        </w:tc>
        <w:tc>
          <w:tcPr>
            <w:tcW w:w="992" w:type="dxa"/>
            <w:shd w:val="clear" w:color="auto" w:fill="auto"/>
            <w:vAlign w:val="bottom"/>
          </w:tcPr>
          <w:p w14:paraId="69670F49" w14:textId="77777777" w:rsidR="002A1181" w:rsidRPr="002A1181" w:rsidRDefault="002A1181" w:rsidP="002A1181">
            <w:pPr>
              <w:jc w:val="right"/>
              <w:rPr>
                <w:color w:val="000000"/>
                <w:sz w:val="16"/>
                <w:szCs w:val="16"/>
                <w:lang w:eastAsia="en-NZ"/>
              </w:rPr>
            </w:pPr>
            <w:r w:rsidRPr="002A1181">
              <w:rPr>
                <w:color w:val="000000"/>
                <w:sz w:val="16"/>
                <w:szCs w:val="16"/>
                <w:lang w:eastAsia="en-NZ"/>
              </w:rPr>
              <w:t>3.96</w:t>
            </w:r>
          </w:p>
        </w:tc>
        <w:tc>
          <w:tcPr>
            <w:tcW w:w="1276" w:type="dxa"/>
            <w:shd w:val="clear" w:color="auto" w:fill="auto"/>
            <w:vAlign w:val="bottom"/>
          </w:tcPr>
          <w:p w14:paraId="31C25676" w14:textId="77777777" w:rsidR="002A1181" w:rsidRPr="002A1181" w:rsidRDefault="002A1181" w:rsidP="002A1181">
            <w:pPr>
              <w:jc w:val="right"/>
              <w:rPr>
                <w:color w:val="000000"/>
                <w:sz w:val="16"/>
                <w:szCs w:val="16"/>
                <w:lang w:eastAsia="en-NZ"/>
              </w:rPr>
            </w:pPr>
            <w:r w:rsidRPr="002A1181">
              <w:rPr>
                <w:color w:val="000000"/>
                <w:sz w:val="16"/>
                <w:szCs w:val="16"/>
                <w:lang w:eastAsia="en-NZ"/>
              </w:rPr>
              <w:t>(1.23, 12.72)</w:t>
            </w:r>
          </w:p>
        </w:tc>
        <w:tc>
          <w:tcPr>
            <w:tcW w:w="850" w:type="dxa"/>
            <w:shd w:val="clear" w:color="auto" w:fill="auto"/>
            <w:vAlign w:val="bottom"/>
          </w:tcPr>
          <w:p w14:paraId="077BB8C6" w14:textId="77777777" w:rsidR="002A1181" w:rsidRPr="002A1181" w:rsidRDefault="002A1181" w:rsidP="002A1181">
            <w:pPr>
              <w:jc w:val="right"/>
              <w:rPr>
                <w:color w:val="000000"/>
                <w:sz w:val="16"/>
                <w:szCs w:val="16"/>
                <w:lang w:eastAsia="en-NZ"/>
              </w:rPr>
            </w:pPr>
          </w:p>
        </w:tc>
      </w:tr>
      <w:tr w:rsidR="002A1181" w:rsidRPr="003F15C0" w14:paraId="0351E332" w14:textId="77777777" w:rsidTr="00173F02">
        <w:tc>
          <w:tcPr>
            <w:tcW w:w="5387" w:type="dxa"/>
            <w:vAlign w:val="bottom"/>
          </w:tcPr>
          <w:p w14:paraId="42994253" w14:textId="77777777" w:rsidR="002A1181" w:rsidRPr="009A1B9E" w:rsidRDefault="002A1181" w:rsidP="002A1181">
            <w:pPr>
              <w:spacing w:before="20"/>
              <w:ind w:left="176"/>
              <w:jc w:val="both"/>
              <w:rPr>
                <w:sz w:val="16"/>
                <w:szCs w:val="16"/>
              </w:rPr>
            </w:pPr>
            <w:r w:rsidRPr="009A1B9E">
              <w:rPr>
                <w:sz w:val="16"/>
                <w:szCs w:val="16"/>
              </w:rPr>
              <w:t>European/Other</w:t>
            </w:r>
          </w:p>
        </w:tc>
        <w:tc>
          <w:tcPr>
            <w:tcW w:w="992" w:type="dxa"/>
            <w:shd w:val="clear" w:color="auto" w:fill="auto"/>
            <w:vAlign w:val="bottom"/>
          </w:tcPr>
          <w:p w14:paraId="0C923F6D" w14:textId="77777777" w:rsidR="002A1181" w:rsidRPr="002A1181" w:rsidRDefault="002A1181" w:rsidP="002A1181">
            <w:pPr>
              <w:jc w:val="right"/>
              <w:rPr>
                <w:color w:val="000000"/>
                <w:sz w:val="16"/>
                <w:szCs w:val="16"/>
                <w:lang w:eastAsia="en-NZ"/>
              </w:rPr>
            </w:pPr>
            <w:r w:rsidRPr="002A1181">
              <w:rPr>
                <w:color w:val="000000"/>
                <w:sz w:val="16"/>
                <w:szCs w:val="16"/>
                <w:lang w:eastAsia="en-NZ"/>
              </w:rPr>
              <w:t>1.00</w:t>
            </w:r>
          </w:p>
        </w:tc>
        <w:tc>
          <w:tcPr>
            <w:tcW w:w="1276" w:type="dxa"/>
            <w:shd w:val="clear" w:color="auto" w:fill="auto"/>
            <w:vAlign w:val="bottom"/>
          </w:tcPr>
          <w:p w14:paraId="6197E0D5" w14:textId="77777777" w:rsidR="002A1181" w:rsidRPr="002A1181" w:rsidRDefault="002A1181" w:rsidP="002A1181">
            <w:pPr>
              <w:jc w:val="right"/>
              <w:rPr>
                <w:color w:val="000000"/>
                <w:sz w:val="16"/>
                <w:szCs w:val="16"/>
                <w:lang w:eastAsia="en-NZ"/>
              </w:rPr>
            </w:pPr>
          </w:p>
        </w:tc>
        <w:tc>
          <w:tcPr>
            <w:tcW w:w="850" w:type="dxa"/>
            <w:shd w:val="clear" w:color="auto" w:fill="auto"/>
            <w:vAlign w:val="bottom"/>
          </w:tcPr>
          <w:p w14:paraId="1A9939FA" w14:textId="77777777" w:rsidR="002A1181" w:rsidRPr="002A1181" w:rsidRDefault="002A1181" w:rsidP="002A1181">
            <w:pPr>
              <w:jc w:val="right"/>
              <w:rPr>
                <w:color w:val="000000"/>
                <w:sz w:val="16"/>
                <w:szCs w:val="16"/>
                <w:lang w:eastAsia="en-NZ"/>
              </w:rPr>
            </w:pPr>
            <w:r w:rsidRPr="002A1181">
              <w:rPr>
                <w:color w:val="000000"/>
                <w:sz w:val="16"/>
                <w:szCs w:val="16"/>
                <w:lang w:eastAsia="en-NZ"/>
              </w:rPr>
              <w:t>&lt;0.0001</w:t>
            </w:r>
          </w:p>
        </w:tc>
      </w:tr>
      <w:tr w:rsidR="00D94EFC" w:rsidRPr="003F15C0" w14:paraId="150211EF" w14:textId="77777777" w:rsidTr="001C5E0E">
        <w:tc>
          <w:tcPr>
            <w:tcW w:w="5387" w:type="dxa"/>
          </w:tcPr>
          <w:p w14:paraId="7785B18E" w14:textId="77777777" w:rsidR="00D94EFC" w:rsidRPr="00D24C70" w:rsidRDefault="00D94EFC" w:rsidP="001C5E0E">
            <w:pPr>
              <w:spacing w:before="20"/>
              <w:jc w:val="both"/>
              <w:rPr>
                <w:b/>
                <w:sz w:val="16"/>
                <w:szCs w:val="16"/>
              </w:rPr>
            </w:pPr>
            <w:r w:rsidRPr="00D24C70">
              <w:rPr>
                <w:b/>
                <w:sz w:val="16"/>
                <w:szCs w:val="16"/>
              </w:rPr>
              <w:t>Labour force status</w:t>
            </w:r>
          </w:p>
        </w:tc>
        <w:tc>
          <w:tcPr>
            <w:tcW w:w="992" w:type="dxa"/>
            <w:shd w:val="clear" w:color="auto" w:fill="auto"/>
            <w:vAlign w:val="center"/>
          </w:tcPr>
          <w:p w14:paraId="5EF97DDC" w14:textId="77777777" w:rsidR="00D94EFC" w:rsidRPr="008A1AFE" w:rsidRDefault="00D94EFC" w:rsidP="001C5E0E">
            <w:pPr>
              <w:jc w:val="right"/>
              <w:rPr>
                <w:color w:val="000000"/>
                <w:sz w:val="16"/>
                <w:szCs w:val="20"/>
                <w:lang w:eastAsia="en-NZ"/>
              </w:rPr>
            </w:pPr>
          </w:p>
        </w:tc>
        <w:tc>
          <w:tcPr>
            <w:tcW w:w="1276" w:type="dxa"/>
            <w:shd w:val="clear" w:color="auto" w:fill="auto"/>
            <w:vAlign w:val="center"/>
          </w:tcPr>
          <w:p w14:paraId="245E59A2" w14:textId="77777777" w:rsidR="00D94EFC" w:rsidRPr="008A1AFE" w:rsidRDefault="00D94EFC" w:rsidP="001C5E0E">
            <w:pPr>
              <w:jc w:val="right"/>
              <w:rPr>
                <w:color w:val="000000"/>
                <w:sz w:val="16"/>
                <w:szCs w:val="20"/>
                <w:lang w:eastAsia="en-NZ"/>
              </w:rPr>
            </w:pPr>
          </w:p>
        </w:tc>
        <w:tc>
          <w:tcPr>
            <w:tcW w:w="850" w:type="dxa"/>
            <w:shd w:val="clear" w:color="auto" w:fill="auto"/>
            <w:vAlign w:val="center"/>
          </w:tcPr>
          <w:p w14:paraId="52A1673B" w14:textId="77777777" w:rsidR="00D94EFC" w:rsidRPr="008A1AFE" w:rsidRDefault="00D94EFC" w:rsidP="001C5E0E">
            <w:pPr>
              <w:jc w:val="right"/>
              <w:rPr>
                <w:color w:val="000000"/>
                <w:sz w:val="16"/>
                <w:szCs w:val="20"/>
                <w:lang w:eastAsia="en-NZ"/>
              </w:rPr>
            </w:pPr>
          </w:p>
        </w:tc>
      </w:tr>
      <w:tr w:rsidR="00D94EFC" w:rsidRPr="003F15C0" w14:paraId="538778B8" w14:textId="77777777" w:rsidTr="001C5E0E">
        <w:tc>
          <w:tcPr>
            <w:tcW w:w="5387" w:type="dxa"/>
            <w:vAlign w:val="bottom"/>
          </w:tcPr>
          <w:p w14:paraId="0B76CCF4" w14:textId="77777777" w:rsidR="00D94EFC" w:rsidRPr="00D24C70" w:rsidRDefault="00D94EFC" w:rsidP="001C5E0E">
            <w:pPr>
              <w:spacing w:before="20"/>
              <w:ind w:left="176"/>
              <w:jc w:val="both"/>
              <w:rPr>
                <w:sz w:val="16"/>
                <w:szCs w:val="16"/>
              </w:rPr>
            </w:pPr>
            <w:r w:rsidRPr="00D24C70">
              <w:rPr>
                <w:sz w:val="16"/>
                <w:szCs w:val="16"/>
              </w:rPr>
              <w:t>Employed</w:t>
            </w:r>
          </w:p>
        </w:tc>
        <w:tc>
          <w:tcPr>
            <w:tcW w:w="992" w:type="dxa"/>
            <w:shd w:val="clear" w:color="auto" w:fill="auto"/>
            <w:vAlign w:val="bottom"/>
          </w:tcPr>
          <w:p w14:paraId="67A158EC" w14:textId="77777777" w:rsidR="00D94EFC" w:rsidRPr="00EF12F2" w:rsidRDefault="002A1181" w:rsidP="001C5E0E">
            <w:pPr>
              <w:jc w:val="right"/>
              <w:rPr>
                <w:color w:val="000000"/>
                <w:sz w:val="16"/>
                <w:szCs w:val="16"/>
                <w:lang w:eastAsia="en-NZ"/>
              </w:rPr>
            </w:pPr>
            <w:r>
              <w:rPr>
                <w:color w:val="000000"/>
                <w:sz w:val="16"/>
                <w:szCs w:val="16"/>
                <w:lang w:eastAsia="en-NZ"/>
              </w:rPr>
              <w:t>1.00</w:t>
            </w:r>
          </w:p>
        </w:tc>
        <w:tc>
          <w:tcPr>
            <w:tcW w:w="1276" w:type="dxa"/>
            <w:shd w:val="clear" w:color="auto" w:fill="auto"/>
            <w:vAlign w:val="bottom"/>
          </w:tcPr>
          <w:p w14:paraId="33DD3CFD" w14:textId="77777777" w:rsidR="00D94EFC" w:rsidRPr="00EF12F2" w:rsidRDefault="00D94EFC" w:rsidP="001C5E0E">
            <w:pPr>
              <w:jc w:val="right"/>
              <w:rPr>
                <w:color w:val="000000"/>
                <w:sz w:val="16"/>
                <w:szCs w:val="16"/>
                <w:lang w:eastAsia="en-NZ"/>
              </w:rPr>
            </w:pPr>
          </w:p>
        </w:tc>
        <w:tc>
          <w:tcPr>
            <w:tcW w:w="850" w:type="dxa"/>
            <w:shd w:val="clear" w:color="auto" w:fill="auto"/>
            <w:vAlign w:val="bottom"/>
          </w:tcPr>
          <w:p w14:paraId="497974ED" w14:textId="77777777" w:rsidR="00D94EFC" w:rsidRPr="00EF12F2" w:rsidRDefault="00D94EFC" w:rsidP="001C5E0E">
            <w:pPr>
              <w:jc w:val="right"/>
              <w:rPr>
                <w:color w:val="000000"/>
                <w:sz w:val="16"/>
                <w:szCs w:val="16"/>
                <w:lang w:eastAsia="en-NZ"/>
              </w:rPr>
            </w:pPr>
          </w:p>
        </w:tc>
      </w:tr>
      <w:tr w:rsidR="002A1181" w:rsidRPr="003F15C0" w14:paraId="2D395AB4" w14:textId="77777777" w:rsidTr="001C5E0E">
        <w:tc>
          <w:tcPr>
            <w:tcW w:w="5387" w:type="dxa"/>
            <w:vAlign w:val="bottom"/>
          </w:tcPr>
          <w:p w14:paraId="0F2F15C5" w14:textId="77777777" w:rsidR="002A1181" w:rsidRPr="00D24C70" w:rsidRDefault="002A1181" w:rsidP="002A1181">
            <w:pPr>
              <w:spacing w:before="20"/>
              <w:ind w:left="176"/>
              <w:jc w:val="both"/>
              <w:rPr>
                <w:sz w:val="16"/>
                <w:szCs w:val="16"/>
              </w:rPr>
            </w:pPr>
            <w:r w:rsidRPr="00D24C70">
              <w:rPr>
                <w:sz w:val="16"/>
                <w:szCs w:val="16"/>
              </w:rPr>
              <w:t>Unemployed</w:t>
            </w:r>
          </w:p>
        </w:tc>
        <w:tc>
          <w:tcPr>
            <w:tcW w:w="992" w:type="dxa"/>
            <w:shd w:val="clear" w:color="auto" w:fill="auto"/>
            <w:vAlign w:val="bottom"/>
          </w:tcPr>
          <w:p w14:paraId="1C62E1C3" w14:textId="77777777" w:rsidR="002A1181" w:rsidRPr="002A1181" w:rsidRDefault="002A1181" w:rsidP="002A1181">
            <w:pPr>
              <w:jc w:val="right"/>
              <w:rPr>
                <w:color w:val="000000"/>
                <w:sz w:val="16"/>
                <w:szCs w:val="16"/>
                <w:lang w:eastAsia="en-NZ"/>
              </w:rPr>
            </w:pPr>
            <w:r w:rsidRPr="002A1181">
              <w:rPr>
                <w:color w:val="000000"/>
                <w:sz w:val="16"/>
                <w:szCs w:val="16"/>
                <w:lang w:eastAsia="en-NZ"/>
              </w:rPr>
              <w:t>2.71</w:t>
            </w:r>
          </w:p>
        </w:tc>
        <w:tc>
          <w:tcPr>
            <w:tcW w:w="1276" w:type="dxa"/>
            <w:shd w:val="clear" w:color="auto" w:fill="auto"/>
            <w:vAlign w:val="bottom"/>
          </w:tcPr>
          <w:p w14:paraId="187BBC5A" w14:textId="77777777" w:rsidR="002A1181" w:rsidRPr="002A1181" w:rsidRDefault="002A1181" w:rsidP="002A1181">
            <w:pPr>
              <w:jc w:val="right"/>
              <w:rPr>
                <w:color w:val="000000"/>
                <w:sz w:val="16"/>
                <w:szCs w:val="16"/>
                <w:lang w:eastAsia="en-NZ"/>
              </w:rPr>
            </w:pPr>
            <w:r w:rsidRPr="002A1181">
              <w:rPr>
                <w:color w:val="000000"/>
                <w:sz w:val="16"/>
                <w:szCs w:val="16"/>
                <w:lang w:eastAsia="en-NZ"/>
              </w:rPr>
              <w:t>(1.21, 6.07)</w:t>
            </w:r>
          </w:p>
        </w:tc>
        <w:tc>
          <w:tcPr>
            <w:tcW w:w="850" w:type="dxa"/>
            <w:shd w:val="clear" w:color="auto" w:fill="auto"/>
            <w:vAlign w:val="bottom"/>
          </w:tcPr>
          <w:p w14:paraId="5DF5793F" w14:textId="77777777" w:rsidR="002A1181" w:rsidRPr="00EF12F2" w:rsidRDefault="002A1181" w:rsidP="002A1181">
            <w:pPr>
              <w:jc w:val="right"/>
              <w:rPr>
                <w:color w:val="000000"/>
                <w:sz w:val="16"/>
                <w:szCs w:val="16"/>
                <w:lang w:eastAsia="en-NZ"/>
              </w:rPr>
            </w:pPr>
          </w:p>
        </w:tc>
      </w:tr>
      <w:tr w:rsidR="002A1181" w:rsidRPr="003F15C0" w14:paraId="2062A285" w14:textId="77777777" w:rsidTr="00173F02">
        <w:tc>
          <w:tcPr>
            <w:tcW w:w="5387" w:type="dxa"/>
            <w:vAlign w:val="bottom"/>
          </w:tcPr>
          <w:p w14:paraId="0C5965B0" w14:textId="77777777" w:rsidR="002A1181" w:rsidRPr="00D24C70" w:rsidRDefault="002A1181" w:rsidP="002A1181">
            <w:pPr>
              <w:spacing w:before="20"/>
              <w:ind w:left="176"/>
              <w:jc w:val="both"/>
              <w:rPr>
                <w:sz w:val="16"/>
                <w:szCs w:val="16"/>
              </w:rPr>
            </w:pPr>
            <w:r w:rsidRPr="00D24C70">
              <w:rPr>
                <w:sz w:val="16"/>
                <w:szCs w:val="16"/>
              </w:rPr>
              <w:t>Student/homemaker/retired</w:t>
            </w:r>
          </w:p>
        </w:tc>
        <w:tc>
          <w:tcPr>
            <w:tcW w:w="992" w:type="dxa"/>
            <w:shd w:val="clear" w:color="auto" w:fill="auto"/>
            <w:vAlign w:val="bottom"/>
          </w:tcPr>
          <w:p w14:paraId="5C9ED08D" w14:textId="77777777" w:rsidR="002A1181" w:rsidRPr="002A1181" w:rsidRDefault="002A1181" w:rsidP="002A1181">
            <w:pPr>
              <w:jc w:val="right"/>
              <w:rPr>
                <w:color w:val="000000"/>
                <w:sz w:val="16"/>
                <w:szCs w:val="16"/>
                <w:lang w:eastAsia="en-NZ"/>
              </w:rPr>
            </w:pPr>
            <w:r w:rsidRPr="002A1181">
              <w:rPr>
                <w:color w:val="000000"/>
                <w:sz w:val="16"/>
                <w:szCs w:val="16"/>
                <w:lang w:eastAsia="en-NZ"/>
              </w:rPr>
              <w:t>1.03</w:t>
            </w:r>
          </w:p>
        </w:tc>
        <w:tc>
          <w:tcPr>
            <w:tcW w:w="1276" w:type="dxa"/>
            <w:shd w:val="clear" w:color="auto" w:fill="auto"/>
            <w:vAlign w:val="bottom"/>
          </w:tcPr>
          <w:p w14:paraId="53B3933A" w14:textId="77777777" w:rsidR="002A1181" w:rsidRPr="002A1181" w:rsidRDefault="002A1181" w:rsidP="002A1181">
            <w:pPr>
              <w:jc w:val="right"/>
              <w:rPr>
                <w:color w:val="000000"/>
                <w:sz w:val="16"/>
                <w:szCs w:val="16"/>
                <w:lang w:eastAsia="en-NZ"/>
              </w:rPr>
            </w:pPr>
            <w:r w:rsidRPr="002A1181">
              <w:rPr>
                <w:color w:val="000000"/>
                <w:sz w:val="16"/>
                <w:szCs w:val="16"/>
                <w:lang w:eastAsia="en-NZ"/>
              </w:rPr>
              <w:t>(0.52, 2.02)</w:t>
            </w:r>
          </w:p>
        </w:tc>
        <w:tc>
          <w:tcPr>
            <w:tcW w:w="850" w:type="dxa"/>
            <w:shd w:val="clear" w:color="auto" w:fill="auto"/>
            <w:vAlign w:val="bottom"/>
          </w:tcPr>
          <w:p w14:paraId="2B240864" w14:textId="77777777" w:rsidR="002A1181" w:rsidRPr="00EF12F2" w:rsidRDefault="002A1181" w:rsidP="002A1181">
            <w:pPr>
              <w:jc w:val="right"/>
              <w:rPr>
                <w:color w:val="000000"/>
                <w:sz w:val="16"/>
                <w:szCs w:val="16"/>
                <w:lang w:eastAsia="en-NZ"/>
              </w:rPr>
            </w:pPr>
            <w:r>
              <w:rPr>
                <w:color w:val="000000"/>
                <w:sz w:val="16"/>
                <w:szCs w:val="16"/>
                <w:lang w:eastAsia="en-NZ"/>
              </w:rPr>
              <w:t>0.04</w:t>
            </w:r>
          </w:p>
        </w:tc>
      </w:tr>
      <w:tr w:rsidR="00D94EFC" w:rsidRPr="003F15C0" w14:paraId="30B39EA3" w14:textId="77777777" w:rsidTr="001C5E0E">
        <w:tc>
          <w:tcPr>
            <w:tcW w:w="5387" w:type="dxa"/>
          </w:tcPr>
          <w:p w14:paraId="03019905" w14:textId="77777777" w:rsidR="00D94EFC" w:rsidRPr="007C6C78" w:rsidRDefault="00D94EFC" w:rsidP="001C5E0E">
            <w:pPr>
              <w:spacing w:before="20"/>
              <w:jc w:val="both"/>
              <w:rPr>
                <w:b/>
                <w:sz w:val="16"/>
                <w:szCs w:val="16"/>
              </w:rPr>
            </w:pPr>
            <w:r>
              <w:rPr>
                <w:b/>
                <w:sz w:val="16"/>
                <w:szCs w:val="16"/>
              </w:rPr>
              <w:t>New Zealand Individual deprivation Index</w:t>
            </w:r>
          </w:p>
        </w:tc>
        <w:tc>
          <w:tcPr>
            <w:tcW w:w="992" w:type="dxa"/>
            <w:shd w:val="clear" w:color="auto" w:fill="auto"/>
            <w:vAlign w:val="center"/>
          </w:tcPr>
          <w:p w14:paraId="6F57F9FA" w14:textId="77777777" w:rsidR="00D94EFC" w:rsidRPr="00230801" w:rsidRDefault="00D94EFC" w:rsidP="001C5E0E">
            <w:pPr>
              <w:jc w:val="right"/>
              <w:rPr>
                <w:color w:val="000000"/>
                <w:sz w:val="16"/>
                <w:szCs w:val="16"/>
                <w:lang w:eastAsia="en-NZ"/>
              </w:rPr>
            </w:pPr>
          </w:p>
        </w:tc>
        <w:tc>
          <w:tcPr>
            <w:tcW w:w="1276" w:type="dxa"/>
            <w:shd w:val="clear" w:color="auto" w:fill="auto"/>
            <w:vAlign w:val="center"/>
          </w:tcPr>
          <w:p w14:paraId="1D1DEFA0" w14:textId="77777777" w:rsidR="00D94EFC" w:rsidRPr="00230801" w:rsidRDefault="00D94EFC" w:rsidP="001C5E0E">
            <w:pPr>
              <w:jc w:val="right"/>
              <w:rPr>
                <w:color w:val="000000"/>
                <w:sz w:val="16"/>
                <w:szCs w:val="16"/>
                <w:lang w:eastAsia="en-NZ"/>
              </w:rPr>
            </w:pPr>
          </w:p>
        </w:tc>
        <w:tc>
          <w:tcPr>
            <w:tcW w:w="850" w:type="dxa"/>
            <w:shd w:val="clear" w:color="auto" w:fill="auto"/>
            <w:vAlign w:val="center"/>
          </w:tcPr>
          <w:p w14:paraId="207E84A6" w14:textId="77777777" w:rsidR="00D94EFC" w:rsidRPr="00230801" w:rsidRDefault="00D94EFC" w:rsidP="001C5E0E">
            <w:pPr>
              <w:jc w:val="right"/>
              <w:rPr>
                <w:color w:val="000000"/>
                <w:sz w:val="16"/>
                <w:szCs w:val="16"/>
                <w:lang w:eastAsia="en-NZ"/>
              </w:rPr>
            </w:pPr>
          </w:p>
        </w:tc>
      </w:tr>
      <w:tr w:rsidR="002A1181" w:rsidRPr="003F15C0" w14:paraId="7B9A1367" w14:textId="77777777" w:rsidTr="001C5E0E">
        <w:tc>
          <w:tcPr>
            <w:tcW w:w="5387" w:type="dxa"/>
            <w:shd w:val="clear" w:color="auto" w:fill="auto"/>
            <w:vAlign w:val="bottom"/>
          </w:tcPr>
          <w:p w14:paraId="75D98DE1" w14:textId="77777777" w:rsidR="002A1181" w:rsidRPr="007C6C78" w:rsidRDefault="002A1181" w:rsidP="002A1181">
            <w:pPr>
              <w:spacing w:before="20"/>
              <w:ind w:left="176"/>
              <w:jc w:val="both"/>
              <w:rPr>
                <w:sz w:val="16"/>
                <w:szCs w:val="16"/>
              </w:rPr>
            </w:pPr>
            <w:r w:rsidRPr="007C6C78">
              <w:rPr>
                <w:sz w:val="16"/>
                <w:szCs w:val="16"/>
              </w:rPr>
              <w:t>0</w:t>
            </w:r>
          </w:p>
        </w:tc>
        <w:tc>
          <w:tcPr>
            <w:tcW w:w="992" w:type="dxa"/>
            <w:shd w:val="clear" w:color="auto" w:fill="auto"/>
            <w:vAlign w:val="bottom"/>
          </w:tcPr>
          <w:p w14:paraId="3624F98F" w14:textId="77777777" w:rsidR="002A1181" w:rsidRPr="002A1181" w:rsidRDefault="002A1181" w:rsidP="002A1181">
            <w:pPr>
              <w:jc w:val="right"/>
              <w:rPr>
                <w:color w:val="000000"/>
                <w:sz w:val="16"/>
                <w:szCs w:val="16"/>
                <w:lang w:eastAsia="en-NZ"/>
              </w:rPr>
            </w:pPr>
            <w:r w:rsidRPr="002A1181">
              <w:rPr>
                <w:color w:val="000000"/>
                <w:sz w:val="16"/>
                <w:szCs w:val="16"/>
                <w:lang w:eastAsia="en-NZ"/>
              </w:rPr>
              <w:t>1.00</w:t>
            </w:r>
          </w:p>
        </w:tc>
        <w:tc>
          <w:tcPr>
            <w:tcW w:w="1276" w:type="dxa"/>
            <w:shd w:val="clear" w:color="auto" w:fill="auto"/>
            <w:vAlign w:val="bottom"/>
          </w:tcPr>
          <w:p w14:paraId="4386B080" w14:textId="77777777" w:rsidR="002A1181" w:rsidRPr="002A1181" w:rsidRDefault="002A1181" w:rsidP="002A1181">
            <w:pPr>
              <w:jc w:val="right"/>
              <w:rPr>
                <w:color w:val="000000"/>
                <w:sz w:val="16"/>
                <w:szCs w:val="16"/>
                <w:lang w:eastAsia="en-NZ"/>
              </w:rPr>
            </w:pPr>
          </w:p>
        </w:tc>
        <w:tc>
          <w:tcPr>
            <w:tcW w:w="850" w:type="dxa"/>
            <w:shd w:val="clear" w:color="auto" w:fill="auto"/>
            <w:vAlign w:val="bottom"/>
          </w:tcPr>
          <w:p w14:paraId="212DF844" w14:textId="77777777" w:rsidR="002A1181" w:rsidRPr="002A1181" w:rsidRDefault="002A1181" w:rsidP="002A1181">
            <w:pPr>
              <w:jc w:val="right"/>
              <w:rPr>
                <w:color w:val="000000"/>
                <w:sz w:val="16"/>
                <w:szCs w:val="16"/>
                <w:lang w:eastAsia="en-NZ"/>
              </w:rPr>
            </w:pPr>
          </w:p>
        </w:tc>
      </w:tr>
      <w:tr w:rsidR="002A1181" w:rsidRPr="003F15C0" w14:paraId="21353897" w14:textId="77777777" w:rsidTr="001C5E0E">
        <w:tc>
          <w:tcPr>
            <w:tcW w:w="5387" w:type="dxa"/>
            <w:shd w:val="clear" w:color="auto" w:fill="auto"/>
            <w:vAlign w:val="bottom"/>
          </w:tcPr>
          <w:p w14:paraId="60E75A4A" w14:textId="77777777" w:rsidR="002A1181" w:rsidRPr="007C6C78" w:rsidRDefault="002A1181" w:rsidP="002A1181">
            <w:pPr>
              <w:spacing w:before="20"/>
              <w:ind w:left="176"/>
              <w:jc w:val="both"/>
              <w:rPr>
                <w:sz w:val="16"/>
                <w:szCs w:val="16"/>
              </w:rPr>
            </w:pPr>
            <w:r w:rsidRPr="007C6C78">
              <w:rPr>
                <w:sz w:val="16"/>
                <w:szCs w:val="16"/>
              </w:rPr>
              <w:t>1</w:t>
            </w:r>
          </w:p>
        </w:tc>
        <w:tc>
          <w:tcPr>
            <w:tcW w:w="992" w:type="dxa"/>
            <w:shd w:val="clear" w:color="auto" w:fill="auto"/>
            <w:vAlign w:val="bottom"/>
          </w:tcPr>
          <w:p w14:paraId="267FBD19" w14:textId="77777777" w:rsidR="002A1181" w:rsidRPr="002A1181" w:rsidRDefault="002A1181" w:rsidP="002A1181">
            <w:pPr>
              <w:jc w:val="right"/>
              <w:rPr>
                <w:color w:val="000000"/>
                <w:sz w:val="16"/>
                <w:szCs w:val="16"/>
                <w:lang w:eastAsia="en-NZ"/>
              </w:rPr>
            </w:pPr>
            <w:r w:rsidRPr="002A1181">
              <w:rPr>
                <w:color w:val="000000"/>
                <w:sz w:val="16"/>
                <w:szCs w:val="16"/>
                <w:lang w:eastAsia="en-NZ"/>
              </w:rPr>
              <w:t>3.50</w:t>
            </w:r>
          </w:p>
        </w:tc>
        <w:tc>
          <w:tcPr>
            <w:tcW w:w="1276" w:type="dxa"/>
            <w:shd w:val="clear" w:color="auto" w:fill="auto"/>
            <w:vAlign w:val="bottom"/>
          </w:tcPr>
          <w:p w14:paraId="0D86375C" w14:textId="77777777" w:rsidR="002A1181" w:rsidRPr="002A1181" w:rsidRDefault="002A1181" w:rsidP="002A1181">
            <w:pPr>
              <w:jc w:val="right"/>
              <w:rPr>
                <w:color w:val="000000"/>
                <w:sz w:val="16"/>
                <w:szCs w:val="16"/>
                <w:lang w:eastAsia="en-NZ"/>
              </w:rPr>
            </w:pPr>
            <w:r w:rsidRPr="002A1181">
              <w:rPr>
                <w:color w:val="000000"/>
                <w:sz w:val="16"/>
                <w:szCs w:val="16"/>
                <w:lang w:eastAsia="en-NZ"/>
              </w:rPr>
              <w:t>(1.92, 6.39)</w:t>
            </w:r>
          </w:p>
        </w:tc>
        <w:tc>
          <w:tcPr>
            <w:tcW w:w="850" w:type="dxa"/>
            <w:shd w:val="clear" w:color="auto" w:fill="auto"/>
            <w:vAlign w:val="bottom"/>
          </w:tcPr>
          <w:p w14:paraId="71067EA3" w14:textId="77777777" w:rsidR="002A1181" w:rsidRPr="002A1181" w:rsidRDefault="002A1181" w:rsidP="002A1181">
            <w:pPr>
              <w:jc w:val="right"/>
              <w:rPr>
                <w:color w:val="000000"/>
                <w:sz w:val="16"/>
                <w:szCs w:val="16"/>
                <w:lang w:eastAsia="en-NZ"/>
              </w:rPr>
            </w:pPr>
          </w:p>
        </w:tc>
      </w:tr>
      <w:tr w:rsidR="002A1181" w:rsidRPr="003F15C0" w14:paraId="4EA92B9B" w14:textId="77777777" w:rsidTr="001C5E0E">
        <w:tc>
          <w:tcPr>
            <w:tcW w:w="5387" w:type="dxa"/>
            <w:shd w:val="clear" w:color="auto" w:fill="auto"/>
            <w:vAlign w:val="bottom"/>
          </w:tcPr>
          <w:p w14:paraId="11C8B89F" w14:textId="77777777" w:rsidR="002A1181" w:rsidRPr="007C6C78" w:rsidRDefault="002A1181" w:rsidP="002A1181">
            <w:pPr>
              <w:spacing w:before="20"/>
              <w:ind w:left="176"/>
              <w:jc w:val="both"/>
              <w:rPr>
                <w:sz w:val="16"/>
                <w:szCs w:val="16"/>
              </w:rPr>
            </w:pPr>
            <w:r w:rsidRPr="007C6C78">
              <w:rPr>
                <w:sz w:val="16"/>
                <w:szCs w:val="16"/>
              </w:rPr>
              <w:t>2</w:t>
            </w:r>
          </w:p>
        </w:tc>
        <w:tc>
          <w:tcPr>
            <w:tcW w:w="992" w:type="dxa"/>
            <w:shd w:val="clear" w:color="auto" w:fill="auto"/>
            <w:vAlign w:val="bottom"/>
          </w:tcPr>
          <w:p w14:paraId="5C5F7557" w14:textId="77777777" w:rsidR="002A1181" w:rsidRPr="002A1181" w:rsidRDefault="002A1181" w:rsidP="002A1181">
            <w:pPr>
              <w:jc w:val="right"/>
              <w:rPr>
                <w:color w:val="000000"/>
                <w:sz w:val="16"/>
                <w:szCs w:val="16"/>
                <w:lang w:eastAsia="en-NZ"/>
              </w:rPr>
            </w:pPr>
            <w:r w:rsidRPr="002A1181">
              <w:rPr>
                <w:color w:val="000000"/>
                <w:sz w:val="16"/>
                <w:szCs w:val="16"/>
                <w:lang w:eastAsia="en-NZ"/>
              </w:rPr>
              <w:t>2.01</w:t>
            </w:r>
          </w:p>
        </w:tc>
        <w:tc>
          <w:tcPr>
            <w:tcW w:w="1276" w:type="dxa"/>
            <w:shd w:val="clear" w:color="auto" w:fill="auto"/>
            <w:vAlign w:val="bottom"/>
          </w:tcPr>
          <w:p w14:paraId="552572AE" w14:textId="77777777" w:rsidR="002A1181" w:rsidRPr="002A1181" w:rsidRDefault="002A1181" w:rsidP="002A1181">
            <w:pPr>
              <w:jc w:val="right"/>
              <w:rPr>
                <w:color w:val="000000"/>
                <w:sz w:val="16"/>
                <w:szCs w:val="16"/>
                <w:lang w:eastAsia="en-NZ"/>
              </w:rPr>
            </w:pPr>
            <w:r w:rsidRPr="002A1181">
              <w:rPr>
                <w:color w:val="000000"/>
                <w:sz w:val="16"/>
                <w:szCs w:val="16"/>
                <w:lang w:eastAsia="en-NZ"/>
              </w:rPr>
              <w:t>(0.86, 4.71)</w:t>
            </w:r>
          </w:p>
        </w:tc>
        <w:tc>
          <w:tcPr>
            <w:tcW w:w="850" w:type="dxa"/>
            <w:shd w:val="clear" w:color="auto" w:fill="auto"/>
            <w:vAlign w:val="bottom"/>
          </w:tcPr>
          <w:p w14:paraId="18AD6284" w14:textId="77777777" w:rsidR="002A1181" w:rsidRPr="002A1181" w:rsidRDefault="002A1181" w:rsidP="002A1181">
            <w:pPr>
              <w:jc w:val="right"/>
              <w:rPr>
                <w:color w:val="000000"/>
                <w:sz w:val="16"/>
                <w:szCs w:val="16"/>
                <w:lang w:eastAsia="en-NZ"/>
              </w:rPr>
            </w:pPr>
          </w:p>
        </w:tc>
      </w:tr>
      <w:tr w:rsidR="002A1181" w:rsidRPr="003F15C0" w14:paraId="10A2F026" w14:textId="77777777" w:rsidTr="001C5E0E">
        <w:tc>
          <w:tcPr>
            <w:tcW w:w="5387" w:type="dxa"/>
            <w:shd w:val="clear" w:color="auto" w:fill="auto"/>
            <w:vAlign w:val="bottom"/>
          </w:tcPr>
          <w:p w14:paraId="4AFAC85A" w14:textId="77777777" w:rsidR="002A1181" w:rsidRPr="007C6C78" w:rsidRDefault="002A1181" w:rsidP="002A1181">
            <w:pPr>
              <w:spacing w:before="20"/>
              <w:ind w:left="176"/>
              <w:jc w:val="both"/>
              <w:rPr>
                <w:sz w:val="16"/>
                <w:szCs w:val="16"/>
              </w:rPr>
            </w:pPr>
            <w:r w:rsidRPr="007C6C78">
              <w:rPr>
                <w:sz w:val="16"/>
                <w:szCs w:val="16"/>
              </w:rPr>
              <w:t>3</w:t>
            </w:r>
          </w:p>
        </w:tc>
        <w:tc>
          <w:tcPr>
            <w:tcW w:w="992" w:type="dxa"/>
            <w:shd w:val="clear" w:color="auto" w:fill="auto"/>
            <w:vAlign w:val="bottom"/>
          </w:tcPr>
          <w:p w14:paraId="11E505E1" w14:textId="77777777" w:rsidR="002A1181" w:rsidRPr="002A1181" w:rsidRDefault="002A1181" w:rsidP="002A1181">
            <w:pPr>
              <w:jc w:val="right"/>
              <w:rPr>
                <w:color w:val="000000"/>
                <w:sz w:val="16"/>
                <w:szCs w:val="16"/>
                <w:lang w:eastAsia="en-NZ"/>
              </w:rPr>
            </w:pPr>
            <w:r w:rsidRPr="002A1181">
              <w:rPr>
                <w:color w:val="000000"/>
                <w:sz w:val="16"/>
                <w:szCs w:val="16"/>
                <w:lang w:eastAsia="en-NZ"/>
              </w:rPr>
              <w:t>4.38</w:t>
            </w:r>
          </w:p>
        </w:tc>
        <w:tc>
          <w:tcPr>
            <w:tcW w:w="1276" w:type="dxa"/>
            <w:shd w:val="clear" w:color="auto" w:fill="auto"/>
            <w:vAlign w:val="bottom"/>
          </w:tcPr>
          <w:p w14:paraId="1A1F52C5" w14:textId="77777777" w:rsidR="002A1181" w:rsidRPr="002A1181" w:rsidRDefault="002A1181" w:rsidP="002A1181">
            <w:pPr>
              <w:jc w:val="right"/>
              <w:rPr>
                <w:color w:val="000000"/>
                <w:sz w:val="16"/>
                <w:szCs w:val="16"/>
                <w:lang w:eastAsia="en-NZ"/>
              </w:rPr>
            </w:pPr>
            <w:r w:rsidRPr="002A1181">
              <w:rPr>
                <w:color w:val="000000"/>
                <w:sz w:val="16"/>
                <w:szCs w:val="16"/>
                <w:lang w:eastAsia="en-NZ"/>
              </w:rPr>
              <w:t>(1.75, 10.95)</w:t>
            </w:r>
          </w:p>
        </w:tc>
        <w:tc>
          <w:tcPr>
            <w:tcW w:w="850" w:type="dxa"/>
            <w:shd w:val="clear" w:color="auto" w:fill="auto"/>
            <w:vAlign w:val="bottom"/>
          </w:tcPr>
          <w:p w14:paraId="3EB714BA" w14:textId="77777777" w:rsidR="002A1181" w:rsidRPr="002A1181" w:rsidRDefault="002A1181" w:rsidP="002A1181">
            <w:pPr>
              <w:jc w:val="right"/>
              <w:rPr>
                <w:color w:val="000000"/>
                <w:sz w:val="16"/>
                <w:szCs w:val="16"/>
                <w:lang w:eastAsia="en-NZ"/>
              </w:rPr>
            </w:pPr>
          </w:p>
        </w:tc>
      </w:tr>
      <w:tr w:rsidR="002A1181" w:rsidRPr="003F15C0" w14:paraId="4E0368C6" w14:textId="77777777" w:rsidTr="00173F02">
        <w:tc>
          <w:tcPr>
            <w:tcW w:w="5387" w:type="dxa"/>
            <w:shd w:val="clear" w:color="auto" w:fill="auto"/>
            <w:vAlign w:val="bottom"/>
          </w:tcPr>
          <w:p w14:paraId="55E3ADB5" w14:textId="77777777" w:rsidR="002A1181" w:rsidRPr="007C6C78" w:rsidRDefault="002A1181" w:rsidP="002A1181">
            <w:pPr>
              <w:spacing w:before="20"/>
              <w:ind w:left="176"/>
              <w:jc w:val="both"/>
              <w:rPr>
                <w:sz w:val="16"/>
                <w:szCs w:val="16"/>
              </w:rPr>
            </w:pPr>
            <w:r w:rsidRPr="007C6C78">
              <w:rPr>
                <w:sz w:val="16"/>
                <w:szCs w:val="16"/>
              </w:rPr>
              <w:t>4+</w:t>
            </w:r>
          </w:p>
        </w:tc>
        <w:tc>
          <w:tcPr>
            <w:tcW w:w="992" w:type="dxa"/>
            <w:shd w:val="clear" w:color="auto" w:fill="auto"/>
            <w:vAlign w:val="bottom"/>
          </w:tcPr>
          <w:p w14:paraId="1A8BD2AC" w14:textId="77777777" w:rsidR="002A1181" w:rsidRPr="002A1181" w:rsidRDefault="002A1181" w:rsidP="002A1181">
            <w:pPr>
              <w:jc w:val="right"/>
              <w:rPr>
                <w:color w:val="000000"/>
                <w:sz w:val="16"/>
                <w:szCs w:val="16"/>
                <w:lang w:eastAsia="en-NZ"/>
              </w:rPr>
            </w:pPr>
            <w:r w:rsidRPr="002A1181">
              <w:rPr>
                <w:color w:val="000000"/>
                <w:sz w:val="16"/>
                <w:szCs w:val="16"/>
                <w:lang w:eastAsia="en-NZ"/>
              </w:rPr>
              <w:t>12.91</w:t>
            </w:r>
          </w:p>
        </w:tc>
        <w:tc>
          <w:tcPr>
            <w:tcW w:w="1276" w:type="dxa"/>
            <w:shd w:val="clear" w:color="auto" w:fill="auto"/>
            <w:vAlign w:val="bottom"/>
          </w:tcPr>
          <w:p w14:paraId="011DC2C4" w14:textId="77777777" w:rsidR="002A1181" w:rsidRPr="002A1181" w:rsidRDefault="002A1181" w:rsidP="002A1181">
            <w:pPr>
              <w:jc w:val="right"/>
              <w:rPr>
                <w:color w:val="000000"/>
                <w:sz w:val="16"/>
                <w:szCs w:val="16"/>
                <w:lang w:eastAsia="en-NZ"/>
              </w:rPr>
            </w:pPr>
            <w:r w:rsidRPr="002A1181">
              <w:rPr>
                <w:color w:val="000000"/>
                <w:sz w:val="16"/>
                <w:szCs w:val="16"/>
                <w:lang w:eastAsia="en-NZ"/>
              </w:rPr>
              <w:t>(5.73, 29.12)</w:t>
            </w:r>
          </w:p>
        </w:tc>
        <w:tc>
          <w:tcPr>
            <w:tcW w:w="850" w:type="dxa"/>
            <w:shd w:val="clear" w:color="auto" w:fill="auto"/>
            <w:vAlign w:val="bottom"/>
          </w:tcPr>
          <w:p w14:paraId="6DC5881B" w14:textId="77777777" w:rsidR="002A1181" w:rsidRPr="002A1181" w:rsidRDefault="002A1181" w:rsidP="002A1181">
            <w:pPr>
              <w:jc w:val="right"/>
              <w:rPr>
                <w:color w:val="000000"/>
                <w:sz w:val="16"/>
                <w:szCs w:val="16"/>
                <w:lang w:eastAsia="en-NZ"/>
              </w:rPr>
            </w:pPr>
            <w:r w:rsidRPr="002A1181">
              <w:rPr>
                <w:color w:val="000000"/>
                <w:sz w:val="16"/>
                <w:szCs w:val="16"/>
                <w:lang w:eastAsia="en-NZ"/>
              </w:rPr>
              <w:t>&lt;</w:t>
            </w:r>
            <w:r>
              <w:rPr>
                <w:color w:val="000000"/>
                <w:sz w:val="16"/>
                <w:szCs w:val="16"/>
                <w:lang w:eastAsia="en-NZ"/>
              </w:rPr>
              <w:t>0</w:t>
            </w:r>
            <w:r w:rsidRPr="002A1181">
              <w:rPr>
                <w:color w:val="000000"/>
                <w:sz w:val="16"/>
                <w:szCs w:val="16"/>
                <w:lang w:eastAsia="en-NZ"/>
              </w:rPr>
              <w:t>.0001</w:t>
            </w:r>
          </w:p>
        </w:tc>
      </w:tr>
      <w:tr w:rsidR="00D94EFC" w:rsidRPr="003F15C0" w14:paraId="30CE95CB" w14:textId="77777777" w:rsidTr="001C5E0E">
        <w:tc>
          <w:tcPr>
            <w:tcW w:w="5387" w:type="dxa"/>
            <w:shd w:val="clear" w:color="auto" w:fill="auto"/>
          </w:tcPr>
          <w:p w14:paraId="73D747C6" w14:textId="77777777" w:rsidR="00D94EFC" w:rsidRPr="007C6C78" w:rsidRDefault="00D94EFC" w:rsidP="001C5E0E">
            <w:pPr>
              <w:keepNext/>
              <w:spacing w:before="20"/>
              <w:jc w:val="both"/>
              <w:rPr>
                <w:b/>
                <w:sz w:val="16"/>
                <w:szCs w:val="16"/>
              </w:rPr>
            </w:pPr>
            <w:r>
              <w:rPr>
                <w:b/>
                <w:sz w:val="16"/>
                <w:szCs w:val="16"/>
              </w:rPr>
              <w:t>Quality of life (WHOQoL-8)</w:t>
            </w:r>
          </w:p>
        </w:tc>
        <w:tc>
          <w:tcPr>
            <w:tcW w:w="992" w:type="dxa"/>
            <w:shd w:val="clear" w:color="auto" w:fill="auto"/>
            <w:vAlign w:val="center"/>
          </w:tcPr>
          <w:p w14:paraId="24E95A96" w14:textId="77777777" w:rsidR="00D94EFC" w:rsidRPr="00AA4E6C" w:rsidRDefault="00D94EFC" w:rsidP="001C5E0E">
            <w:pPr>
              <w:keepNext/>
              <w:jc w:val="right"/>
              <w:rPr>
                <w:color w:val="000000"/>
                <w:sz w:val="16"/>
                <w:szCs w:val="20"/>
                <w:lang w:eastAsia="en-NZ"/>
              </w:rPr>
            </w:pPr>
          </w:p>
        </w:tc>
        <w:tc>
          <w:tcPr>
            <w:tcW w:w="1276" w:type="dxa"/>
            <w:shd w:val="clear" w:color="auto" w:fill="auto"/>
            <w:vAlign w:val="center"/>
          </w:tcPr>
          <w:p w14:paraId="2744F673" w14:textId="77777777" w:rsidR="00D94EFC" w:rsidRPr="00AA4E6C" w:rsidRDefault="00D94EFC" w:rsidP="001C5E0E">
            <w:pPr>
              <w:keepNext/>
              <w:jc w:val="right"/>
              <w:rPr>
                <w:color w:val="000000"/>
                <w:sz w:val="16"/>
                <w:szCs w:val="20"/>
                <w:lang w:eastAsia="en-NZ"/>
              </w:rPr>
            </w:pPr>
          </w:p>
        </w:tc>
        <w:tc>
          <w:tcPr>
            <w:tcW w:w="850" w:type="dxa"/>
            <w:shd w:val="clear" w:color="auto" w:fill="auto"/>
            <w:vAlign w:val="center"/>
          </w:tcPr>
          <w:p w14:paraId="1BAF57F8" w14:textId="77777777" w:rsidR="00D94EFC" w:rsidRPr="00AA4E6C" w:rsidRDefault="00D94EFC" w:rsidP="001C5E0E">
            <w:pPr>
              <w:keepNext/>
              <w:jc w:val="right"/>
              <w:rPr>
                <w:color w:val="000000"/>
                <w:sz w:val="16"/>
                <w:szCs w:val="20"/>
                <w:lang w:eastAsia="en-NZ"/>
              </w:rPr>
            </w:pPr>
          </w:p>
        </w:tc>
      </w:tr>
      <w:tr w:rsidR="002A1181" w:rsidRPr="003F15C0" w14:paraId="003AA0DB" w14:textId="77777777" w:rsidTr="001C5E0E">
        <w:tc>
          <w:tcPr>
            <w:tcW w:w="5387" w:type="dxa"/>
            <w:shd w:val="clear" w:color="auto" w:fill="auto"/>
            <w:vAlign w:val="bottom"/>
          </w:tcPr>
          <w:p w14:paraId="00555847" w14:textId="77777777" w:rsidR="002A1181" w:rsidRPr="007C6C78" w:rsidRDefault="002A1181" w:rsidP="002A1181">
            <w:pPr>
              <w:keepNext/>
              <w:spacing w:before="20"/>
              <w:ind w:left="176"/>
              <w:jc w:val="both"/>
              <w:rPr>
                <w:sz w:val="16"/>
                <w:szCs w:val="16"/>
              </w:rPr>
            </w:pPr>
            <w:r>
              <w:rPr>
                <w:sz w:val="16"/>
                <w:szCs w:val="16"/>
              </w:rPr>
              <w:t xml:space="preserve">Below median (Score </w:t>
            </w:r>
            <w:r w:rsidRPr="007C6C78">
              <w:rPr>
                <w:sz w:val="16"/>
                <w:szCs w:val="16"/>
              </w:rPr>
              <w:t>0</w:t>
            </w:r>
            <w:r>
              <w:rPr>
                <w:sz w:val="16"/>
                <w:szCs w:val="16"/>
              </w:rPr>
              <w:t xml:space="preserve"> </w:t>
            </w:r>
            <w:r w:rsidRPr="007C6C78">
              <w:rPr>
                <w:sz w:val="16"/>
                <w:szCs w:val="16"/>
              </w:rPr>
              <w:t>-</w:t>
            </w:r>
            <w:r>
              <w:rPr>
                <w:sz w:val="16"/>
                <w:szCs w:val="16"/>
              </w:rPr>
              <w:t xml:space="preserve"> 24)</w:t>
            </w:r>
          </w:p>
        </w:tc>
        <w:tc>
          <w:tcPr>
            <w:tcW w:w="992" w:type="dxa"/>
            <w:shd w:val="clear" w:color="auto" w:fill="auto"/>
            <w:vAlign w:val="bottom"/>
          </w:tcPr>
          <w:p w14:paraId="652852DD" w14:textId="77777777" w:rsidR="002A1181" w:rsidRPr="00907849" w:rsidRDefault="002B7478" w:rsidP="00907849">
            <w:pPr>
              <w:jc w:val="right"/>
              <w:rPr>
                <w:color w:val="000000"/>
                <w:sz w:val="16"/>
                <w:szCs w:val="16"/>
                <w:lang w:eastAsia="en-NZ"/>
              </w:rPr>
            </w:pPr>
            <w:r>
              <w:rPr>
                <w:color w:val="000000"/>
                <w:sz w:val="16"/>
                <w:szCs w:val="16"/>
                <w:lang w:eastAsia="en-NZ"/>
              </w:rPr>
              <w:t>1.00</w:t>
            </w:r>
          </w:p>
        </w:tc>
        <w:tc>
          <w:tcPr>
            <w:tcW w:w="1276" w:type="dxa"/>
            <w:shd w:val="clear" w:color="auto" w:fill="auto"/>
            <w:vAlign w:val="bottom"/>
          </w:tcPr>
          <w:p w14:paraId="56FFD588" w14:textId="77777777" w:rsidR="002A1181" w:rsidRPr="00907849" w:rsidRDefault="002A1181" w:rsidP="00907849">
            <w:pPr>
              <w:jc w:val="right"/>
              <w:rPr>
                <w:color w:val="000000"/>
                <w:sz w:val="16"/>
                <w:szCs w:val="16"/>
                <w:lang w:eastAsia="en-NZ"/>
              </w:rPr>
            </w:pPr>
          </w:p>
        </w:tc>
        <w:tc>
          <w:tcPr>
            <w:tcW w:w="850" w:type="dxa"/>
            <w:shd w:val="clear" w:color="auto" w:fill="auto"/>
            <w:vAlign w:val="bottom"/>
          </w:tcPr>
          <w:p w14:paraId="2FAFA430" w14:textId="77777777" w:rsidR="002A1181" w:rsidRPr="007B750E" w:rsidRDefault="002A1181" w:rsidP="00907849">
            <w:pPr>
              <w:jc w:val="right"/>
              <w:rPr>
                <w:color w:val="000000"/>
                <w:sz w:val="16"/>
                <w:szCs w:val="16"/>
                <w:lang w:eastAsia="en-NZ"/>
              </w:rPr>
            </w:pPr>
          </w:p>
        </w:tc>
      </w:tr>
      <w:tr w:rsidR="002A1181" w:rsidRPr="003F15C0" w14:paraId="0F0E75C8" w14:textId="77777777" w:rsidTr="00491C93">
        <w:tc>
          <w:tcPr>
            <w:tcW w:w="5387" w:type="dxa"/>
            <w:shd w:val="clear" w:color="auto" w:fill="auto"/>
            <w:vAlign w:val="bottom"/>
          </w:tcPr>
          <w:p w14:paraId="643995BF" w14:textId="77777777" w:rsidR="002A1181" w:rsidRPr="007C6C78" w:rsidRDefault="002A1181" w:rsidP="002A1181">
            <w:pPr>
              <w:keepNext/>
              <w:spacing w:before="20"/>
              <w:ind w:left="176"/>
              <w:jc w:val="both"/>
              <w:rPr>
                <w:sz w:val="16"/>
                <w:szCs w:val="16"/>
              </w:rPr>
            </w:pPr>
            <w:r>
              <w:rPr>
                <w:sz w:val="16"/>
                <w:szCs w:val="16"/>
              </w:rPr>
              <w:t>Median score (Score 25)</w:t>
            </w:r>
          </w:p>
        </w:tc>
        <w:tc>
          <w:tcPr>
            <w:tcW w:w="992" w:type="dxa"/>
            <w:shd w:val="clear" w:color="auto" w:fill="auto"/>
            <w:vAlign w:val="bottom"/>
          </w:tcPr>
          <w:p w14:paraId="1032B654" w14:textId="77777777" w:rsidR="002A1181" w:rsidRPr="00907849" w:rsidRDefault="002B7478" w:rsidP="00907849">
            <w:pPr>
              <w:jc w:val="right"/>
              <w:rPr>
                <w:color w:val="000000"/>
                <w:sz w:val="16"/>
                <w:szCs w:val="16"/>
                <w:lang w:eastAsia="en-NZ"/>
              </w:rPr>
            </w:pPr>
            <w:r>
              <w:rPr>
                <w:color w:val="000000"/>
                <w:sz w:val="16"/>
                <w:szCs w:val="16"/>
                <w:lang w:eastAsia="en-NZ"/>
              </w:rPr>
              <w:t>0.33</w:t>
            </w:r>
          </w:p>
        </w:tc>
        <w:tc>
          <w:tcPr>
            <w:tcW w:w="1276" w:type="dxa"/>
            <w:shd w:val="clear" w:color="auto" w:fill="auto"/>
            <w:vAlign w:val="bottom"/>
          </w:tcPr>
          <w:p w14:paraId="048972A3" w14:textId="77777777" w:rsidR="002A1181" w:rsidRPr="00907849" w:rsidRDefault="002A1181" w:rsidP="002B7478">
            <w:pPr>
              <w:jc w:val="right"/>
              <w:rPr>
                <w:color w:val="000000"/>
                <w:sz w:val="16"/>
                <w:szCs w:val="16"/>
                <w:lang w:eastAsia="en-NZ"/>
              </w:rPr>
            </w:pPr>
            <w:r w:rsidRPr="00907849">
              <w:rPr>
                <w:color w:val="000000"/>
                <w:sz w:val="16"/>
                <w:szCs w:val="16"/>
                <w:lang w:eastAsia="en-NZ"/>
              </w:rPr>
              <w:t>(0.</w:t>
            </w:r>
            <w:r w:rsidR="002B7478">
              <w:rPr>
                <w:color w:val="000000"/>
                <w:sz w:val="16"/>
                <w:szCs w:val="16"/>
                <w:lang w:eastAsia="en-NZ"/>
              </w:rPr>
              <w:t>14</w:t>
            </w:r>
            <w:r w:rsidRPr="00907849">
              <w:rPr>
                <w:color w:val="000000"/>
                <w:sz w:val="16"/>
                <w:szCs w:val="16"/>
                <w:lang w:eastAsia="en-NZ"/>
              </w:rPr>
              <w:t xml:space="preserve">, </w:t>
            </w:r>
            <w:r w:rsidR="002B7478">
              <w:rPr>
                <w:color w:val="000000"/>
                <w:sz w:val="16"/>
                <w:szCs w:val="16"/>
                <w:lang w:eastAsia="en-NZ"/>
              </w:rPr>
              <w:t>0.80</w:t>
            </w:r>
            <w:r w:rsidRPr="00907849">
              <w:rPr>
                <w:color w:val="000000"/>
                <w:sz w:val="16"/>
                <w:szCs w:val="16"/>
                <w:lang w:eastAsia="en-NZ"/>
              </w:rPr>
              <w:t>)</w:t>
            </w:r>
          </w:p>
        </w:tc>
        <w:tc>
          <w:tcPr>
            <w:tcW w:w="850" w:type="dxa"/>
            <w:shd w:val="clear" w:color="auto" w:fill="auto"/>
            <w:vAlign w:val="bottom"/>
          </w:tcPr>
          <w:p w14:paraId="27FF7A95" w14:textId="77777777" w:rsidR="002A1181" w:rsidRPr="007B750E" w:rsidRDefault="002A1181" w:rsidP="00907849">
            <w:pPr>
              <w:jc w:val="right"/>
              <w:rPr>
                <w:color w:val="000000"/>
                <w:sz w:val="16"/>
                <w:szCs w:val="16"/>
                <w:lang w:eastAsia="en-NZ"/>
              </w:rPr>
            </w:pPr>
          </w:p>
        </w:tc>
      </w:tr>
      <w:tr w:rsidR="00491C93" w:rsidRPr="003F15C0" w14:paraId="6FFF0252" w14:textId="77777777" w:rsidTr="00F92F22">
        <w:tc>
          <w:tcPr>
            <w:tcW w:w="5387" w:type="dxa"/>
            <w:shd w:val="clear" w:color="auto" w:fill="auto"/>
            <w:vAlign w:val="bottom"/>
          </w:tcPr>
          <w:p w14:paraId="38C9305B" w14:textId="77777777" w:rsidR="00491C93" w:rsidRPr="007C6C78" w:rsidRDefault="00491C93" w:rsidP="00F92F22">
            <w:pPr>
              <w:keepNext/>
              <w:spacing w:before="20"/>
              <w:ind w:left="176"/>
              <w:jc w:val="both"/>
              <w:rPr>
                <w:sz w:val="16"/>
                <w:szCs w:val="16"/>
              </w:rPr>
            </w:pPr>
            <w:r>
              <w:rPr>
                <w:sz w:val="16"/>
                <w:szCs w:val="16"/>
              </w:rPr>
              <w:t xml:space="preserve">Above median (Score 26 </w:t>
            </w:r>
            <w:r w:rsidRPr="007C6C78">
              <w:rPr>
                <w:sz w:val="16"/>
                <w:szCs w:val="16"/>
              </w:rPr>
              <w:t>-</w:t>
            </w:r>
            <w:r>
              <w:rPr>
                <w:sz w:val="16"/>
                <w:szCs w:val="16"/>
              </w:rPr>
              <w:t xml:space="preserve"> 32)</w:t>
            </w:r>
          </w:p>
        </w:tc>
        <w:tc>
          <w:tcPr>
            <w:tcW w:w="992" w:type="dxa"/>
            <w:shd w:val="clear" w:color="auto" w:fill="auto"/>
            <w:vAlign w:val="bottom"/>
          </w:tcPr>
          <w:p w14:paraId="1950DD77" w14:textId="77777777" w:rsidR="00491C93" w:rsidRPr="00907849" w:rsidRDefault="002B7478" w:rsidP="00F92F22">
            <w:pPr>
              <w:jc w:val="right"/>
              <w:rPr>
                <w:color w:val="000000"/>
                <w:sz w:val="16"/>
                <w:szCs w:val="16"/>
                <w:lang w:eastAsia="en-NZ"/>
              </w:rPr>
            </w:pPr>
            <w:r>
              <w:rPr>
                <w:color w:val="000000"/>
                <w:sz w:val="16"/>
                <w:szCs w:val="16"/>
                <w:lang w:eastAsia="en-NZ"/>
              </w:rPr>
              <w:t>0.18</w:t>
            </w:r>
          </w:p>
        </w:tc>
        <w:tc>
          <w:tcPr>
            <w:tcW w:w="1276" w:type="dxa"/>
            <w:shd w:val="clear" w:color="auto" w:fill="auto"/>
            <w:vAlign w:val="bottom"/>
          </w:tcPr>
          <w:p w14:paraId="4E4CDFDE" w14:textId="77777777" w:rsidR="00491C93" w:rsidRPr="00907849" w:rsidRDefault="002B7478" w:rsidP="00F92F22">
            <w:pPr>
              <w:jc w:val="right"/>
              <w:rPr>
                <w:color w:val="000000"/>
                <w:sz w:val="16"/>
                <w:szCs w:val="16"/>
                <w:lang w:eastAsia="en-NZ"/>
              </w:rPr>
            </w:pPr>
            <w:r>
              <w:rPr>
                <w:color w:val="000000"/>
                <w:sz w:val="16"/>
                <w:szCs w:val="16"/>
                <w:lang w:eastAsia="en-NZ"/>
              </w:rPr>
              <w:t>(0.09, 0.33)</w:t>
            </w:r>
          </w:p>
        </w:tc>
        <w:tc>
          <w:tcPr>
            <w:tcW w:w="850" w:type="dxa"/>
            <w:shd w:val="clear" w:color="auto" w:fill="auto"/>
            <w:vAlign w:val="bottom"/>
          </w:tcPr>
          <w:p w14:paraId="763525FB" w14:textId="77777777" w:rsidR="00491C93" w:rsidRPr="007B750E" w:rsidRDefault="00491C93" w:rsidP="00F92F22">
            <w:pPr>
              <w:jc w:val="right"/>
              <w:rPr>
                <w:color w:val="000000"/>
                <w:sz w:val="16"/>
                <w:szCs w:val="16"/>
                <w:lang w:eastAsia="en-NZ"/>
              </w:rPr>
            </w:pPr>
          </w:p>
        </w:tc>
      </w:tr>
      <w:tr w:rsidR="00491C93" w:rsidRPr="003F15C0" w14:paraId="4D94E5A9" w14:textId="77777777" w:rsidTr="00173F02">
        <w:tc>
          <w:tcPr>
            <w:tcW w:w="5387" w:type="dxa"/>
            <w:shd w:val="clear" w:color="auto" w:fill="auto"/>
          </w:tcPr>
          <w:p w14:paraId="2508F29C" w14:textId="77777777" w:rsidR="00491C93" w:rsidRPr="007C6C78" w:rsidRDefault="00491C93" w:rsidP="00491C93">
            <w:pPr>
              <w:keepNext/>
              <w:spacing w:before="20"/>
              <w:jc w:val="both"/>
              <w:rPr>
                <w:b/>
                <w:sz w:val="16"/>
                <w:szCs w:val="16"/>
              </w:rPr>
            </w:pPr>
            <w:r w:rsidRPr="007C6C78">
              <w:rPr>
                <w:b/>
                <w:sz w:val="16"/>
                <w:szCs w:val="16"/>
              </w:rPr>
              <w:t>Psychological distress (Kessler-10)</w:t>
            </w:r>
          </w:p>
        </w:tc>
        <w:tc>
          <w:tcPr>
            <w:tcW w:w="992" w:type="dxa"/>
            <w:shd w:val="clear" w:color="auto" w:fill="auto"/>
            <w:vAlign w:val="center"/>
          </w:tcPr>
          <w:p w14:paraId="63501706" w14:textId="77777777" w:rsidR="00491C93" w:rsidRPr="00AA4E6C" w:rsidRDefault="00491C93" w:rsidP="00491C93">
            <w:pPr>
              <w:keepNext/>
              <w:jc w:val="right"/>
              <w:rPr>
                <w:color w:val="000000"/>
                <w:sz w:val="16"/>
                <w:szCs w:val="20"/>
                <w:lang w:eastAsia="en-NZ"/>
              </w:rPr>
            </w:pPr>
          </w:p>
        </w:tc>
        <w:tc>
          <w:tcPr>
            <w:tcW w:w="1276" w:type="dxa"/>
            <w:shd w:val="clear" w:color="auto" w:fill="auto"/>
            <w:vAlign w:val="center"/>
          </w:tcPr>
          <w:p w14:paraId="12901E8B" w14:textId="77777777" w:rsidR="00491C93" w:rsidRPr="00AA4E6C" w:rsidRDefault="00491C93" w:rsidP="00491C93">
            <w:pPr>
              <w:keepNext/>
              <w:jc w:val="right"/>
              <w:rPr>
                <w:color w:val="000000"/>
                <w:sz w:val="16"/>
                <w:szCs w:val="20"/>
                <w:lang w:eastAsia="en-NZ"/>
              </w:rPr>
            </w:pPr>
          </w:p>
        </w:tc>
        <w:tc>
          <w:tcPr>
            <w:tcW w:w="850" w:type="dxa"/>
            <w:shd w:val="clear" w:color="auto" w:fill="auto"/>
            <w:vAlign w:val="bottom"/>
          </w:tcPr>
          <w:p w14:paraId="3DF07A69" w14:textId="77777777" w:rsidR="00491C93" w:rsidRPr="007B750E" w:rsidRDefault="00491C93" w:rsidP="00491C93">
            <w:pPr>
              <w:jc w:val="right"/>
              <w:rPr>
                <w:color w:val="000000"/>
                <w:sz w:val="16"/>
                <w:szCs w:val="16"/>
                <w:lang w:eastAsia="en-NZ"/>
              </w:rPr>
            </w:pPr>
            <w:r w:rsidRPr="002A1181">
              <w:rPr>
                <w:color w:val="000000"/>
                <w:sz w:val="16"/>
                <w:szCs w:val="16"/>
                <w:lang w:eastAsia="en-NZ"/>
              </w:rPr>
              <w:t>&lt;</w:t>
            </w:r>
            <w:r>
              <w:rPr>
                <w:color w:val="000000"/>
                <w:sz w:val="16"/>
                <w:szCs w:val="16"/>
                <w:lang w:eastAsia="en-NZ"/>
              </w:rPr>
              <w:t>0</w:t>
            </w:r>
            <w:r w:rsidRPr="002A1181">
              <w:rPr>
                <w:color w:val="000000"/>
                <w:sz w:val="16"/>
                <w:szCs w:val="16"/>
                <w:lang w:eastAsia="en-NZ"/>
              </w:rPr>
              <w:t>.0001</w:t>
            </w:r>
          </w:p>
        </w:tc>
      </w:tr>
      <w:tr w:rsidR="00491C93" w:rsidRPr="003F15C0" w14:paraId="6F79AF33" w14:textId="77777777" w:rsidTr="001C5E0E">
        <w:tc>
          <w:tcPr>
            <w:tcW w:w="5387" w:type="dxa"/>
            <w:shd w:val="clear" w:color="auto" w:fill="auto"/>
            <w:vAlign w:val="bottom"/>
          </w:tcPr>
          <w:p w14:paraId="643B643A" w14:textId="77777777" w:rsidR="00491C93" w:rsidRPr="007C6C78" w:rsidRDefault="00491C93" w:rsidP="00491C93">
            <w:pPr>
              <w:keepNext/>
              <w:spacing w:before="20"/>
              <w:ind w:left="176"/>
              <w:jc w:val="both"/>
              <w:rPr>
                <w:sz w:val="16"/>
                <w:szCs w:val="16"/>
              </w:rPr>
            </w:pPr>
            <w:r>
              <w:rPr>
                <w:sz w:val="16"/>
                <w:szCs w:val="16"/>
              </w:rPr>
              <w:t xml:space="preserve">Low (Score </w:t>
            </w:r>
            <w:r w:rsidRPr="007C6C78">
              <w:rPr>
                <w:sz w:val="16"/>
                <w:szCs w:val="16"/>
              </w:rPr>
              <w:t>0</w:t>
            </w:r>
            <w:r>
              <w:rPr>
                <w:sz w:val="16"/>
                <w:szCs w:val="16"/>
              </w:rPr>
              <w:t xml:space="preserve"> </w:t>
            </w:r>
            <w:r w:rsidRPr="007C6C78">
              <w:rPr>
                <w:sz w:val="16"/>
                <w:szCs w:val="16"/>
              </w:rPr>
              <w:t>-</w:t>
            </w:r>
            <w:r>
              <w:rPr>
                <w:sz w:val="16"/>
                <w:szCs w:val="16"/>
              </w:rPr>
              <w:t xml:space="preserve"> </w:t>
            </w:r>
            <w:r w:rsidRPr="007C6C78">
              <w:rPr>
                <w:sz w:val="16"/>
                <w:szCs w:val="16"/>
              </w:rPr>
              <w:t>5</w:t>
            </w:r>
            <w:r>
              <w:rPr>
                <w:sz w:val="16"/>
                <w:szCs w:val="16"/>
              </w:rPr>
              <w:t>)</w:t>
            </w:r>
          </w:p>
        </w:tc>
        <w:tc>
          <w:tcPr>
            <w:tcW w:w="992" w:type="dxa"/>
            <w:shd w:val="clear" w:color="auto" w:fill="auto"/>
            <w:vAlign w:val="bottom"/>
          </w:tcPr>
          <w:p w14:paraId="5580EB1F" w14:textId="77777777" w:rsidR="00491C93" w:rsidRPr="00CA15E2" w:rsidRDefault="00491C93" w:rsidP="00491C93">
            <w:pPr>
              <w:jc w:val="right"/>
              <w:rPr>
                <w:color w:val="000000"/>
                <w:sz w:val="16"/>
                <w:szCs w:val="16"/>
                <w:lang w:eastAsia="en-NZ"/>
              </w:rPr>
            </w:pPr>
            <w:r w:rsidRPr="00CA15E2">
              <w:rPr>
                <w:color w:val="000000"/>
                <w:sz w:val="16"/>
                <w:szCs w:val="16"/>
                <w:lang w:eastAsia="en-NZ"/>
              </w:rPr>
              <w:t>1.00</w:t>
            </w:r>
          </w:p>
        </w:tc>
        <w:tc>
          <w:tcPr>
            <w:tcW w:w="1276" w:type="dxa"/>
            <w:shd w:val="clear" w:color="auto" w:fill="auto"/>
            <w:vAlign w:val="bottom"/>
          </w:tcPr>
          <w:p w14:paraId="4DC8ED3C" w14:textId="77777777" w:rsidR="00491C93" w:rsidRPr="00CA15E2" w:rsidRDefault="00491C93" w:rsidP="00491C93">
            <w:pPr>
              <w:jc w:val="right"/>
              <w:rPr>
                <w:color w:val="000000"/>
                <w:sz w:val="16"/>
                <w:szCs w:val="16"/>
                <w:lang w:eastAsia="en-NZ"/>
              </w:rPr>
            </w:pPr>
          </w:p>
        </w:tc>
        <w:tc>
          <w:tcPr>
            <w:tcW w:w="850" w:type="dxa"/>
            <w:shd w:val="clear" w:color="auto" w:fill="auto"/>
            <w:vAlign w:val="bottom"/>
          </w:tcPr>
          <w:p w14:paraId="304202FF" w14:textId="77777777" w:rsidR="00491C93" w:rsidRPr="00CA15E2" w:rsidRDefault="00491C93" w:rsidP="00491C93">
            <w:pPr>
              <w:jc w:val="right"/>
              <w:rPr>
                <w:color w:val="000000"/>
                <w:sz w:val="16"/>
                <w:szCs w:val="16"/>
                <w:lang w:eastAsia="en-NZ"/>
              </w:rPr>
            </w:pPr>
          </w:p>
        </w:tc>
      </w:tr>
      <w:tr w:rsidR="00491C93" w:rsidRPr="003F15C0" w14:paraId="2FF13E27" w14:textId="77777777" w:rsidTr="001C5E0E">
        <w:tc>
          <w:tcPr>
            <w:tcW w:w="5387" w:type="dxa"/>
            <w:shd w:val="clear" w:color="auto" w:fill="auto"/>
            <w:vAlign w:val="bottom"/>
          </w:tcPr>
          <w:p w14:paraId="2A432B12" w14:textId="77777777" w:rsidR="00491C93" w:rsidRPr="007C6C78" w:rsidRDefault="00491C93" w:rsidP="00491C93">
            <w:pPr>
              <w:keepNext/>
              <w:spacing w:before="20"/>
              <w:ind w:left="176"/>
              <w:jc w:val="both"/>
              <w:rPr>
                <w:sz w:val="16"/>
                <w:szCs w:val="16"/>
              </w:rPr>
            </w:pPr>
            <w:r>
              <w:rPr>
                <w:sz w:val="16"/>
                <w:szCs w:val="16"/>
              </w:rPr>
              <w:t xml:space="preserve">Moderate (Score </w:t>
            </w:r>
            <w:r w:rsidRPr="007C6C78">
              <w:rPr>
                <w:sz w:val="16"/>
                <w:szCs w:val="16"/>
              </w:rPr>
              <w:t>6</w:t>
            </w:r>
            <w:r>
              <w:rPr>
                <w:sz w:val="16"/>
                <w:szCs w:val="16"/>
              </w:rPr>
              <w:t xml:space="preserve"> </w:t>
            </w:r>
            <w:r w:rsidRPr="007C6C78">
              <w:rPr>
                <w:sz w:val="16"/>
                <w:szCs w:val="16"/>
              </w:rPr>
              <w:t>-</w:t>
            </w:r>
            <w:r>
              <w:rPr>
                <w:sz w:val="16"/>
                <w:szCs w:val="16"/>
              </w:rPr>
              <w:t xml:space="preserve"> </w:t>
            </w:r>
            <w:r w:rsidRPr="007C6C78">
              <w:rPr>
                <w:sz w:val="16"/>
                <w:szCs w:val="16"/>
              </w:rPr>
              <w:t>11</w:t>
            </w:r>
            <w:r>
              <w:rPr>
                <w:sz w:val="16"/>
                <w:szCs w:val="16"/>
              </w:rPr>
              <w:t>)</w:t>
            </w:r>
          </w:p>
        </w:tc>
        <w:tc>
          <w:tcPr>
            <w:tcW w:w="992" w:type="dxa"/>
            <w:shd w:val="clear" w:color="auto" w:fill="auto"/>
            <w:vAlign w:val="bottom"/>
          </w:tcPr>
          <w:p w14:paraId="6DD8089C" w14:textId="77777777" w:rsidR="00491C93" w:rsidRPr="00CA15E2" w:rsidRDefault="00491C93" w:rsidP="00491C93">
            <w:pPr>
              <w:jc w:val="right"/>
              <w:rPr>
                <w:color w:val="000000"/>
                <w:sz w:val="16"/>
                <w:szCs w:val="16"/>
                <w:lang w:eastAsia="en-NZ"/>
              </w:rPr>
            </w:pPr>
            <w:r w:rsidRPr="00CA15E2">
              <w:rPr>
                <w:color w:val="000000"/>
                <w:sz w:val="16"/>
                <w:szCs w:val="16"/>
                <w:lang w:eastAsia="en-NZ"/>
              </w:rPr>
              <w:t>2.79</w:t>
            </w:r>
          </w:p>
        </w:tc>
        <w:tc>
          <w:tcPr>
            <w:tcW w:w="1276" w:type="dxa"/>
            <w:shd w:val="clear" w:color="auto" w:fill="auto"/>
            <w:vAlign w:val="bottom"/>
          </w:tcPr>
          <w:p w14:paraId="13CF35EC" w14:textId="77777777" w:rsidR="00491C93" w:rsidRPr="00CA15E2" w:rsidRDefault="00491C93" w:rsidP="00491C93">
            <w:pPr>
              <w:jc w:val="right"/>
              <w:rPr>
                <w:color w:val="000000"/>
                <w:sz w:val="16"/>
                <w:szCs w:val="16"/>
                <w:lang w:eastAsia="en-NZ"/>
              </w:rPr>
            </w:pPr>
            <w:r w:rsidRPr="00CA15E2">
              <w:rPr>
                <w:color w:val="000000"/>
                <w:sz w:val="16"/>
                <w:szCs w:val="16"/>
                <w:lang w:eastAsia="en-NZ"/>
              </w:rPr>
              <w:t>(1.58, 4.90)</w:t>
            </w:r>
          </w:p>
        </w:tc>
        <w:tc>
          <w:tcPr>
            <w:tcW w:w="850" w:type="dxa"/>
            <w:shd w:val="clear" w:color="auto" w:fill="auto"/>
            <w:vAlign w:val="bottom"/>
          </w:tcPr>
          <w:p w14:paraId="0F544BEB" w14:textId="77777777" w:rsidR="00491C93" w:rsidRPr="00CA15E2" w:rsidRDefault="00491C93" w:rsidP="00491C93">
            <w:pPr>
              <w:jc w:val="right"/>
              <w:rPr>
                <w:color w:val="000000"/>
                <w:sz w:val="16"/>
                <w:szCs w:val="16"/>
                <w:lang w:eastAsia="en-NZ"/>
              </w:rPr>
            </w:pPr>
          </w:p>
        </w:tc>
      </w:tr>
      <w:tr w:rsidR="00491C93" w:rsidRPr="003F15C0" w14:paraId="0919E28C" w14:textId="77777777" w:rsidTr="00CA15E2">
        <w:tc>
          <w:tcPr>
            <w:tcW w:w="5387" w:type="dxa"/>
            <w:shd w:val="clear" w:color="auto" w:fill="auto"/>
            <w:vAlign w:val="bottom"/>
          </w:tcPr>
          <w:p w14:paraId="54EA3875" w14:textId="77777777" w:rsidR="00491C93" w:rsidRPr="007C6C78" w:rsidRDefault="00491C93" w:rsidP="00491C93">
            <w:pPr>
              <w:keepNext/>
              <w:spacing w:before="20"/>
              <w:ind w:left="176"/>
              <w:jc w:val="both"/>
              <w:rPr>
                <w:sz w:val="16"/>
                <w:szCs w:val="16"/>
              </w:rPr>
            </w:pPr>
            <w:r>
              <w:rPr>
                <w:sz w:val="16"/>
                <w:szCs w:val="16"/>
              </w:rPr>
              <w:t xml:space="preserve">High (Score </w:t>
            </w:r>
            <w:r w:rsidRPr="007C6C78">
              <w:rPr>
                <w:sz w:val="16"/>
                <w:szCs w:val="16"/>
              </w:rPr>
              <w:t>12</w:t>
            </w:r>
            <w:r>
              <w:rPr>
                <w:sz w:val="16"/>
                <w:szCs w:val="16"/>
              </w:rPr>
              <w:t xml:space="preserve"> </w:t>
            </w:r>
            <w:r w:rsidRPr="007C6C78">
              <w:rPr>
                <w:sz w:val="16"/>
                <w:szCs w:val="16"/>
              </w:rPr>
              <w:t>-</w:t>
            </w:r>
            <w:r>
              <w:rPr>
                <w:sz w:val="16"/>
                <w:szCs w:val="16"/>
              </w:rPr>
              <w:t xml:space="preserve"> </w:t>
            </w:r>
            <w:r w:rsidRPr="007C6C78">
              <w:rPr>
                <w:sz w:val="16"/>
                <w:szCs w:val="16"/>
              </w:rPr>
              <w:t>19</w:t>
            </w:r>
            <w:r>
              <w:rPr>
                <w:sz w:val="16"/>
                <w:szCs w:val="16"/>
              </w:rPr>
              <w:t>)</w:t>
            </w:r>
          </w:p>
        </w:tc>
        <w:tc>
          <w:tcPr>
            <w:tcW w:w="992" w:type="dxa"/>
            <w:shd w:val="clear" w:color="auto" w:fill="auto"/>
            <w:vAlign w:val="bottom"/>
          </w:tcPr>
          <w:p w14:paraId="3884B5A0" w14:textId="77777777" w:rsidR="00491C93" w:rsidRPr="00CA15E2" w:rsidRDefault="00491C93" w:rsidP="00491C93">
            <w:pPr>
              <w:jc w:val="right"/>
              <w:rPr>
                <w:color w:val="000000"/>
                <w:sz w:val="16"/>
                <w:szCs w:val="16"/>
                <w:lang w:eastAsia="en-NZ"/>
              </w:rPr>
            </w:pPr>
            <w:r w:rsidRPr="00CA15E2">
              <w:rPr>
                <w:color w:val="000000"/>
                <w:sz w:val="16"/>
                <w:szCs w:val="16"/>
                <w:lang w:eastAsia="en-NZ"/>
              </w:rPr>
              <w:t>7.36</w:t>
            </w:r>
          </w:p>
        </w:tc>
        <w:tc>
          <w:tcPr>
            <w:tcW w:w="1276" w:type="dxa"/>
            <w:shd w:val="clear" w:color="auto" w:fill="auto"/>
            <w:vAlign w:val="bottom"/>
          </w:tcPr>
          <w:p w14:paraId="56387BC9" w14:textId="77777777" w:rsidR="00491C93" w:rsidRPr="00CA15E2" w:rsidRDefault="00491C93" w:rsidP="00491C93">
            <w:pPr>
              <w:jc w:val="right"/>
              <w:rPr>
                <w:color w:val="000000"/>
                <w:sz w:val="16"/>
                <w:szCs w:val="16"/>
                <w:lang w:eastAsia="en-NZ"/>
              </w:rPr>
            </w:pPr>
            <w:r w:rsidRPr="00CA15E2">
              <w:rPr>
                <w:color w:val="000000"/>
                <w:sz w:val="16"/>
                <w:szCs w:val="16"/>
                <w:lang w:eastAsia="en-NZ"/>
              </w:rPr>
              <w:t>(3.54, 15.31)</w:t>
            </w:r>
          </w:p>
        </w:tc>
        <w:tc>
          <w:tcPr>
            <w:tcW w:w="850" w:type="dxa"/>
            <w:shd w:val="clear" w:color="auto" w:fill="auto"/>
            <w:vAlign w:val="bottom"/>
          </w:tcPr>
          <w:p w14:paraId="4FF1C4DB" w14:textId="77777777" w:rsidR="00491C93" w:rsidRPr="00CA15E2" w:rsidRDefault="00491C93" w:rsidP="00491C93">
            <w:pPr>
              <w:jc w:val="right"/>
              <w:rPr>
                <w:color w:val="000000"/>
                <w:sz w:val="16"/>
                <w:szCs w:val="16"/>
                <w:lang w:eastAsia="en-NZ"/>
              </w:rPr>
            </w:pPr>
          </w:p>
        </w:tc>
      </w:tr>
      <w:tr w:rsidR="00491C93" w:rsidRPr="003F15C0" w14:paraId="6879A881" w14:textId="77777777" w:rsidTr="00173F02">
        <w:tc>
          <w:tcPr>
            <w:tcW w:w="5387" w:type="dxa"/>
            <w:shd w:val="clear" w:color="auto" w:fill="auto"/>
            <w:vAlign w:val="bottom"/>
          </w:tcPr>
          <w:p w14:paraId="4114D84C" w14:textId="77777777" w:rsidR="00491C93" w:rsidRPr="007C6C78" w:rsidRDefault="00491C93" w:rsidP="00491C93">
            <w:pPr>
              <w:spacing w:before="20"/>
              <w:ind w:left="176"/>
              <w:jc w:val="both"/>
              <w:rPr>
                <w:sz w:val="16"/>
                <w:szCs w:val="16"/>
              </w:rPr>
            </w:pPr>
            <w:r>
              <w:rPr>
                <w:sz w:val="16"/>
                <w:szCs w:val="16"/>
              </w:rPr>
              <w:t xml:space="preserve">Severe (Score </w:t>
            </w:r>
            <w:r w:rsidRPr="007C6C78">
              <w:rPr>
                <w:sz w:val="16"/>
                <w:szCs w:val="16"/>
              </w:rPr>
              <w:t>20</w:t>
            </w:r>
            <w:r>
              <w:rPr>
                <w:sz w:val="16"/>
                <w:szCs w:val="16"/>
              </w:rPr>
              <w:t xml:space="preserve"> </w:t>
            </w:r>
            <w:r w:rsidRPr="007C6C78">
              <w:rPr>
                <w:sz w:val="16"/>
                <w:szCs w:val="16"/>
              </w:rPr>
              <w:t>-</w:t>
            </w:r>
            <w:r>
              <w:rPr>
                <w:sz w:val="16"/>
                <w:szCs w:val="16"/>
              </w:rPr>
              <w:t xml:space="preserve"> </w:t>
            </w:r>
            <w:r w:rsidRPr="007C6C78">
              <w:rPr>
                <w:sz w:val="16"/>
                <w:szCs w:val="16"/>
              </w:rPr>
              <w:t>40</w:t>
            </w:r>
            <w:r>
              <w:rPr>
                <w:sz w:val="16"/>
                <w:szCs w:val="16"/>
              </w:rPr>
              <w:t>)</w:t>
            </w:r>
          </w:p>
        </w:tc>
        <w:tc>
          <w:tcPr>
            <w:tcW w:w="992" w:type="dxa"/>
            <w:shd w:val="clear" w:color="auto" w:fill="auto"/>
            <w:vAlign w:val="bottom"/>
          </w:tcPr>
          <w:p w14:paraId="57BAA15E" w14:textId="77777777" w:rsidR="00491C93" w:rsidRPr="00CA15E2" w:rsidRDefault="00491C93" w:rsidP="00491C93">
            <w:pPr>
              <w:jc w:val="right"/>
              <w:rPr>
                <w:color w:val="000000"/>
                <w:sz w:val="16"/>
                <w:szCs w:val="16"/>
                <w:lang w:eastAsia="en-NZ"/>
              </w:rPr>
            </w:pPr>
            <w:r w:rsidRPr="00CA15E2">
              <w:rPr>
                <w:color w:val="000000"/>
                <w:sz w:val="16"/>
                <w:szCs w:val="16"/>
                <w:lang w:eastAsia="en-NZ"/>
              </w:rPr>
              <w:t>39.45</w:t>
            </w:r>
          </w:p>
        </w:tc>
        <w:tc>
          <w:tcPr>
            <w:tcW w:w="1276" w:type="dxa"/>
            <w:shd w:val="clear" w:color="auto" w:fill="auto"/>
            <w:vAlign w:val="bottom"/>
          </w:tcPr>
          <w:p w14:paraId="2DCD711C" w14:textId="77777777" w:rsidR="00491C93" w:rsidRPr="00CA15E2" w:rsidRDefault="00491C93" w:rsidP="00491C93">
            <w:pPr>
              <w:jc w:val="right"/>
              <w:rPr>
                <w:color w:val="000000"/>
                <w:sz w:val="16"/>
                <w:szCs w:val="16"/>
                <w:lang w:eastAsia="en-NZ"/>
              </w:rPr>
            </w:pPr>
            <w:r w:rsidRPr="00CA15E2">
              <w:rPr>
                <w:color w:val="000000"/>
                <w:sz w:val="16"/>
                <w:szCs w:val="16"/>
                <w:lang w:eastAsia="en-NZ"/>
              </w:rPr>
              <w:t>(15.13, 102.82)</w:t>
            </w:r>
          </w:p>
        </w:tc>
        <w:tc>
          <w:tcPr>
            <w:tcW w:w="850" w:type="dxa"/>
            <w:shd w:val="clear" w:color="auto" w:fill="auto"/>
            <w:vAlign w:val="bottom"/>
          </w:tcPr>
          <w:p w14:paraId="3D791078" w14:textId="77777777" w:rsidR="00491C93" w:rsidRPr="00CA15E2" w:rsidRDefault="00491C93" w:rsidP="00491C93">
            <w:pPr>
              <w:jc w:val="right"/>
              <w:rPr>
                <w:color w:val="000000"/>
                <w:sz w:val="16"/>
                <w:szCs w:val="16"/>
                <w:lang w:eastAsia="en-NZ"/>
              </w:rPr>
            </w:pPr>
            <w:r w:rsidRPr="00CA15E2">
              <w:rPr>
                <w:color w:val="000000"/>
                <w:sz w:val="16"/>
                <w:szCs w:val="16"/>
                <w:lang w:eastAsia="en-NZ"/>
              </w:rPr>
              <w:t>&lt;0.0001</w:t>
            </w:r>
          </w:p>
        </w:tc>
      </w:tr>
      <w:tr w:rsidR="00491C93" w:rsidRPr="001A61F1" w14:paraId="244D37E1" w14:textId="77777777" w:rsidTr="00CA15E2">
        <w:tc>
          <w:tcPr>
            <w:tcW w:w="5387" w:type="dxa"/>
          </w:tcPr>
          <w:p w14:paraId="1E423FB2" w14:textId="77777777" w:rsidR="00491C93" w:rsidRPr="007C6C78" w:rsidRDefault="00491C93" w:rsidP="00491C93">
            <w:pPr>
              <w:keepNext/>
              <w:spacing w:before="20"/>
              <w:jc w:val="both"/>
              <w:rPr>
                <w:b/>
                <w:sz w:val="16"/>
                <w:szCs w:val="16"/>
              </w:rPr>
            </w:pPr>
            <w:r w:rsidRPr="007C6C78">
              <w:rPr>
                <w:b/>
                <w:sz w:val="16"/>
                <w:szCs w:val="16"/>
              </w:rPr>
              <w:t>Uses drugs</w:t>
            </w:r>
          </w:p>
        </w:tc>
        <w:tc>
          <w:tcPr>
            <w:tcW w:w="992" w:type="dxa"/>
            <w:shd w:val="clear" w:color="auto" w:fill="auto"/>
            <w:vAlign w:val="center"/>
          </w:tcPr>
          <w:p w14:paraId="6E92598A" w14:textId="77777777" w:rsidR="00491C93" w:rsidRPr="00637CF2" w:rsidRDefault="00491C93" w:rsidP="00491C93">
            <w:pPr>
              <w:jc w:val="right"/>
              <w:rPr>
                <w:color w:val="000000"/>
                <w:sz w:val="16"/>
                <w:szCs w:val="16"/>
                <w:lang w:eastAsia="en-NZ"/>
              </w:rPr>
            </w:pPr>
          </w:p>
        </w:tc>
        <w:tc>
          <w:tcPr>
            <w:tcW w:w="1276" w:type="dxa"/>
            <w:shd w:val="clear" w:color="auto" w:fill="auto"/>
            <w:vAlign w:val="center"/>
          </w:tcPr>
          <w:p w14:paraId="7F820714" w14:textId="77777777" w:rsidR="00491C93" w:rsidRPr="00637CF2" w:rsidRDefault="00491C93" w:rsidP="00491C93">
            <w:pPr>
              <w:jc w:val="right"/>
              <w:rPr>
                <w:color w:val="000000"/>
                <w:sz w:val="16"/>
                <w:szCs w:val="16"/>
                <w:lang w:eastAsia="en-NZ"/>
              </w:rPr>
            </w:pPr>
          </w:p>
        </w:tc>
        <w:tc>
          <w:tcPr>
            <w:tcW w:w="850" w:type="dxa"/>
            <w:shd w:val="clear" w:color="auto" w:fill="auto"/>
            <w:vAlign w:val="center"/>
          </w:tcPr>
          <w:p w14:paraId="3A568586" w14:textId="77777777" w:rsidR="00491C93" w:rsidRPr="00637CF2" w:rsidRDefault="00491C93" w:rsidP="00491C93">
            <w:pPr>
              <w:jc w:val="right"/>
              <w:rPr>
                <w:color w:val="000000"/>
                <w:sz w:val="16"/>
                <w:szCs w:val="16"/>
                <w:lang w:eastAsia="en-NZ"/>
              </w:rPr>
            </w:pPr>
          </w:p>
        </w:tc>
      </w:tr>
      <w:tr w:rsidR="00491C93" w:rsidRPr="001A61F1" w14:paraId="4C32866B" w14:textId="77777777" w:rsidTr="001C5E0E">
        <w:tc>
          <w:tcPr>
            <w:tcW w:w="5387" w:type="dxa"/>
          </w:tcPr>
          <w:p w14:paraId="4165702E" w14:textId="77777777" w:rsidR="00491C93" w:rsidRPr="001A61F1" w:rsidRDefault="00491C93" w:rsidP="00491C93">
            <w:pPr>
              <w:spacing w:before="20"/>
              <w:ind w:left="176"/>
              <w:jc w:val="both"/>
              <w:rPr>
                <w:sz w:val="16"/>
                <w:szCs w:val="16"/>
              </w:rPr>
            </w:pPr>
            <w:r>
              <w:rPr>
                <w:sz w:val="16"/>
                <w:szCs w:val="16"/>
              </w:rPr>
              <w:t>Yes</w:t>
            </w:r>
          </w:p>
        </w:tc>
        <w:tc>
          <w:tcPr>
            <w:tcW w:w="992" w:type="dxa"/>
            <w:shd w:val="clear" w:color="auto" w:fill="auto"/>
            <w:vAlign w:val="bottom"/>
          </w:tcPr>
          <w:p w14:paraId="6B8D6C73" w14:textId="77777777" w:rsidR="00491C93" w:rsidRPr="00CA15E2" w:rsidRDefault="00491C93" w:rsidP="00491C93">
            <w:pPr>
              <w:jc w:val="right"/>
              <w:rPr>
                <w:color w:val="000000"/>
                <w:sz w:val="16"/>
                <w:szCs w:val="16"/>
                <w:lang w:eastAsia="en-NZ"/>
              </w:rPr>
            </w:pPr>
            <w:r w:rsidRPr="00CA15E2">
              <w:rPr>
                <w:color w:val="000000"/>
                <w:sz w:val="16"/>
                <w:szCs w:val="16"/>
                <w:lang w:eastAsia="en-NZ"/>
              </w:rPr>
              <w:t>1.00</w:t>
            </w:r>
          </w:p>
        </w:tc>
        <w:tc>
          <w:tcPr>
            <w:tcW w:w="1276" w:type="dxa"/>
            <w:shd w:val="clear" w:color="auto" w:fill="auto"/>
            <w:vAlign w:val="bottom"/>
          </w:tcPr>
          <w:p w14:paraId="2B866C84" w14:textId="77777777" w:rsidR="00491C93" w:rsidRPr="00CA15E2" w:rsidRDefault="00491C93" w:rsidP="00491C93">
            <w:pPr>
              <w:jc w:val="right"/>
              <w:rPr>
                <w:color w:val="000000"/>
                <w:sz w:val="16"/>
                <w:szCs w:val="16"/>
                <w:lang w:eastAsia="en-NZ"/>
              </w:rPr>
            </w:pPr>
          </w:p>
        </w:tc>
        <w:tc>
          <w:tcPr>
            <w:tcW w:w="850" w:type="dxa"/>
            <w:shd w:val="clear" w:color="auto" w:fill="auto"/>
            <w:vAlign w:val="bottom"/>
          </w:tcPr>
          <w:p w14:paraId="5EFDDDCA" w14:textId="77777777" w:rsidR="00491C93" w:rsidRPr="00CA15E2" w:rsidRDefault="00491C93" w:rsidP="00491C93">
            <w:pPr>
              <w:jc w:val="right"/>
              <w:rPr>
                <w:color w:val="000000"/>
                <w:sz w:val="16"/>
                <w:szCs w:val="16"/>
                <w:lang w:eastAsia="en-NZ"/>
              </w:rPr>
            </w:pPr>
          </w:p>
        </w:tc>
      </w:tr>
      <w:tr w:rsidR="00491C93" w:rsidRPr="001A61F1" w14:paraId="3549A138" w14:textId="77777777" w:rsidTr="00173F02">
        <w:tc>
          <w:tcPr>
            <w:tcW w:w="5387" w:type="dxa"/>
          </w:tcPr>
          <w:p w14:paraId="495B9043" w14:textId="77777777" w:rsidR="00491C93" w:rsidRPr="001A61F1" w:rsidRDefault="00491C93" w:rsidP="00491C93">
            <w:pPr>
              <w:spacing w:before="20"/>
              <w:ind w:left="176"/>
              <w:jc w:val="both"/>
              <w:rPr>
                <w:sz w:val="16"/>
                <w:szCs w:val="16"/>
              </w:rPr>
            </w:pPr>
            <w:r>
              <w:rPr>
                <w:sz w:val="16"/>
                <w:szCs w:val="16"/>
              </w:rPr>
              <w:t>No</w:t>
            </w:r>
          </w:p>
        </w:tc>
        <w:tc>
          <w:tcPr>
            <w:tcW w:w="992" w:type="dxa"/>
            <w:shd w:val="clear" w:color="auto" w:fill="auto"/>
            <w:vAlign w:val="bottom"/>
          </w:tcPr>
          <w:p w14:paraId="58BA2890" w14:textId="77777777" w:rsidR="00491C93" w:rsidRPr="00CA15E2" w:rsidRDefault="00491C93" w:rsidP="00491C93">
            <w:pPr>
              <w:jc w:val="right"/>
              <w:rPr>
                <w:color w:val="000000"/>
                <w:sz w:val="16"/>
                <w:szCs w:val="16"/>
                <w:lang w:eastAsia="en-NZ"/>
              </w:rPr>
            </w:pPr>
            <w:r w:rsidRPr="00CA15E2">
              <w:rPr>
                <w:color w:val="000000"/>
                <w:sz w:val="16"/>
                <w:szCs w:val="16"/>
                <w:lang w:eastAsia="en-NZ"/>
              </w:rPr>
              <w:t>0.47</w:t>
            </w:r>
          </w:p>
        </w:tc>
        <w:tc>
          <w:tcPr>
            <w:tcW w:w="1276" w:type="dxa"/>
            <w:shd w:val="clear" w:color="auto" w:fill="auto"/>
            <w:vAlign w:val="bottom"/>
          </w:tcPr>
          <w:p w14:paraId="78B30E6D" w14:textId="77777777" w:rsidR="00491C93" w:rsidRPr="00CA15E2" w:rsidRDefault="00491C93" w:rsidP="00491C93">
            <w:pPr>
              <w:jc w:val="right"/>
              <w:rPr>
                <w:color w:val="000000"/>
                <w:sz w:val="16"/>
                <w:szCs w:val="16"/>
                <w:lang w:eastAsia="en-NZ"/>
              </w:rPr>
            </w:pPr>
            <w:r w:rsidRPr="00CA15E2">
              <w:rPr>
                <w:color w:val="000000"/>
                <w:sz w:val="16"/>
                <w:szCs w:val="16"/>
                <w:lang w:eastAsia="en-NZ"/>
              </w:rPr>
              <w:t>(0.23, 0.96)</w:t>
            </w:r>
          </w:p>
        </w:tc>
        <w:tc>
          <w:tcPr>
            <w:tcW w:w="850" w:type="dxa"/>
            <w:shd w:val="clear" w:color="auto" w:fill="auto"/>
            <w:vAlign w:val="bottom"/>
          </w:tcPr>
          <w:p w14:paraId="083D5DF1" w14:textId="77777777" w:rsidR="00491C93" w:rsidRPr="00CA15E2" w:rsidRDefault="00491C93" w:rsidP="00491C93">
            <w:pPr>
              <w:jc w:val="right"/>
              <w:rPr>
                <w:color w:val="000000"/>
                <w:sz w:val="16"/>
                <w:szCs w:val="16"/>
                <w:lang w:eastAsia="en-NZ"/>
              </w:rPr>
            </w:pPr>
            <w:r w:rsidRPr="00CA15E2">
              <w:rPr>
                <w:color w:val="000000"/>
                <w:sz w:val="16"/>
                <w:szCs w:val="16"/>
                <w:lang w:eastAsia="en-NZ"/>
              </w:rPr>
              <w:t>0.04</w:t>
            </w:r>
          </w:p>
        </w:tc>
      </w:tr>
      <w:tr w:rsidR="00491C93" w:rsidRPr="001A61F1" w14:paraId="5DB7C880" w14:textId="77777777" w:rsidTr="001C5E0E">
        <w:tc>
          <w:tcPr>
            <w:tcW w:w="5387" w:type="dxa"/>
          </w:tcPr>
          <w:p w14:paraId="64BAC3CC" w14:textId="77777777" w:rsidR="00491C93" w:rsidRPr="007C6C78" w:rsidRDefault="00491C93" w:rsidP="00491C93">
            <w:pPr>
              <w:keepNext/>
              <w:spacing w:before="20"/>
              <w:jc w:val="both"/>
              <w:rPr>
                <w:b/>
                <w:sz w:val="16"/>
                <w:szCs w:val="16"/>
              </w:rPr>
            </w:pPr>
            <w:r w:rsidRPr="007C6C78">
              <w:rPr>
                <w:b/>
                <w:sz w:val="16"/>
                <w:szCs w:val="16"/>
              </w:rPr>
              <w:t>Cannabis</w:t>
            </w:r>
          </w:p>
        </w:tc>
        <w:tc>
          <w:tcPr>
            <w:tcW w:w="992" w:type="dxa"/>
            <w:shd w:val="clear" w:color="auto" w:fill="auto"/>
            <w:vAlign w:val="center"/>
          </w:tcPr>
          <w:p w14:paraId="6BF65CDF" w14:textId="77777777" w:rsidR="00491C93" w:rsidRPr="00637CF2" w:rsidRDefault="00491C93" w:rsidP="00491C93">
            <w:pPr>
              <w:jc w:val="right"/>
              <w:rPr>
                <w:color w:val="000000"/>
                <w:sz w:val="16"/>
                <w:szCs w:val="16"/>
                <w:lang w:eastAsia="en-NZ"/>
              </w:rPr>
            </w:pPr>
          </w:p>
        </w:tc>
        <w:tc>
          <w:tcPr>
            <w:tcW w:w="1276" w:type="dxa"/>
            <w:shd w:val="clear" w:color="auto" w:fill="auto"/>
            <w:vAlign w:val="center"/>
          </w:tcPr>
          <w:p w14:paraId="6555C933" w14:textId="77777777" w:rsidR="00491C93" w:rsidRPr="00637CF2" w:rsidRDefault="00491C93" w:rsidP="00491C93">
            <w:pPr>
              <w:jc w:val="right"/>
              <w:rPr>
                <w:color w:val="000000"/>
                <w:sz w:val="16"/>
                <w:szCs w:val="16"/>
                <w:lang w:eastAsia="en-NZ"/>
              </w:rPr>
            </w:pPr>
          </w:p>
        </w:tc>
        <w:tc>
          <w:tcPr>
            <w:tcW w:w="850" w:type="dxa"/>
            <w:shd w:val="clear" w:color="auto" w:fill="auto"/>
            <w:vAlign w:val="center"/>
          </w:tcPr>
          <w:p w14:paraId="2714A2D7" w14:textId="77777777" w:rsidR="00491C93" w:rsidRPr="00637CF2" w:rsidRDefault="00491C93" w:rsidP="00491C93">
            <w:pPr>
              <w:jc w:val="right"/>
              <w:rPr>
                <w:color w:val="000000"/>
                <w:sz w:val="16"/>
                <w:szCs w:val="16"/>
                <w:lang w:eastAsia="en-NZ"/>
              </w:rPr>
            </w:pPr>
          </w:p>
        </w:tc>
      </w:tr>
      <w:tr w:rsidR="00491C93" w:rsidRPr="001A61F1" w14:paraId="3D717D4C" w14:textId="77777777" w:rsidTr="001C5E0E">
        <w:tc>
          <w:tcPr>
            <w:tcW w:w="5387" w:type="dxa"/>
          </w:tcPr>
          <w:p w14:paraId="6E93D1C1" w14:textId="77777777" w:rsidR="00491C93" w:rsidRPr="001A61F1" w:rsidRDefault="00491C93" w:rsidP="00491C93">
            <w:pPr>
              <w:spacing w:before="20"/>
              <w:ind w:left="176"/>
              <w:jc w:val="both"/>
              <w:rPr>
                <w:sz w:val="16"/>
                <w:szCs w:val="16"/>
              </w:rPr>
            </w:pPr>
            <w:r>
              <w:rPr>
                <w:sz w:val="16"/>
                <w:szCs w:val="16"/>
              </w:rPr>
              <w:t>No</w:t>
            </w:r>
          </w:p>
        </w:tc>
        <w:tc>
          <w:tcPr>
            <w:tcW w:w="992" w:type="dxa"/>
            <w:shd w:val="clear" w:color="auto" w:fill="auto"/>
            <w:vAlign w:val="bottom"/>
          </w:tcPr>
          <w:p w14:paraId="37E2D199" w14:textId="77777777" w:rsidR="00491C93" w:rsidRPr="00CA15E2" w:rsidRDefault="00491C93" w:rsidP="00491C93">
            <w:pPr>
              <w:jc w:val="right"/>
              <w:rPr>
                <w:color w:val="000000"/>
                <w:sz w:val="16"/>
                <w:szCs w:val="16"/>
                <w:lang w:eastAsia="en-NZ"/>
              </w:rPr>
            </w:pPr>
            <w:r w:rsidRPr="00CA15E2">
              <w:rPr>
                <w:color w:val="000000"/>
                <w:sz w:val="16"/>
                <w:szCs w:val="16"/>
                <w:lang w:eastAsia="en-NZ"/>
              </w:rPr>
              <w:t>1.00</w:t>
            </w:r>
          </w:p>
        </w:tc>
        <w:tc>
          <w:tcPr>
            <w:tcW w:w="1276" w:type="dxa"/>
            <w:shd w:val="clear" w:color="auto" w:fill="auto"/>
            <w:vAlign w:val="bottom"/>
          </w:tcPr>
          <w:p w14:paraId="138FB76C" w14:textId="77777777" w:rsidR="00491C93" w:rsidRPr="00CA15E2" w:rsidRDefault="00491C93" w:rsidP="00491C93">
            <w:pPr>
              <w:jc w:val="right"/>
              <w:rPr>
                <w:color w:val="000000"/>
                <w:sz w:val="16"/>
                <w:szCs w:val="16"/>
                <w:lang w:eastAsia="en-NZ"/>
              </w:rPr>
            </w:pPr>
          </w:p>
        </w:tc>
        <w:tc>
          <w:tcPr>
            <w:tcW w:w="850" w:type="dxa"/>
            <w:shd w:val="clear" w:color="auto" w:fill="auto"/>
            <w:vAlign w:val="bottom"/>
          </w:tcPr>
          <w:p w14:paraId="0B7C5FBD" w14:textId="77777777" w:rsidR="00491C93" w:rsidRPr="00CA15E2" w:rsidRDefault="00491C93" w:rsidP="00491C93">
            <w:pPr>
              <w:jc w:val="right"/>
              <w:rPr>
                <w:color w:val="000000"/>
                <w:sz w:val="16"/>
                <w:szCs w:val="16"/>
                <w:lang w:eastAsia="en-NZ"/>
              </w:rPr>
            </w:pPr>
          </w:p>
        </w:tc>
      </w:tr>
      <w:tr w:rsidR="00491C93" w:rsidRPr="001A61F1" w14:paraId="09DA5331" w14:textId="77777777" w:rsidTr="00173F02">
        <w:tc>
          <w:tcPr>
            <w:tcW w:w="5387" w:type="dxa"/>
          </w:tcPr>
          <w:p w14:paraId="45E0A9D2" w14:textId="77777777" w:rsidR="00491C93" w:rsidRPr="001A61F1" w:rsidRDefault="00491C93" w:rsidP="00491C93">
            <w:pPr>
              <w:spacing w:before="20"/>
              <w:ind w:left="176"/>
              <w:jc w:val="both"/>
              <w:rPr>
                <w:sz w:val="16"/>
                <w:szCs w:val="16"/>
              </w:rPr>
            </w:pPr>
            <w:r>
              <w:rPr>
                <w:sz w:val="16"/>
                <w:szCs w:val="16"/>
              </w:rPr>
              <w:t>Yes</w:t>
            </w:r>
          </w:p>
        </w:tc>
        <w:tc>
          <w:tcPr>
            <w:tcW w:w="992" w:type="dxa"/>
            <w:shd w:val="clear" w:color="auto" w:fill="auto"/>
            <w:vAlign w:val="bottom"/>
          </w:tcPr>
          <w:p w14:paraId="56DFB5A1" w14:textId="77777777" w:rsidR="00491C93" w:rsidRPr="00CA15E2" w:rsidRDefault="00491C93" w:rsidP="00491C93">
            <w:pPr>
              <w:jc w:val="right"/>
              <w:rPr>
                <w:color w:val="000000"/>
                <w:sz w:val="16"/>
                <w:szCs w:val="16"/>
                <w:lang w:eastAsia="en-NZ"/>
              </w:rPr>
            </w:pPr>
            <w:r w:rsidRPr="00CA15E2">
              <w:rPr>
                <w:color w:val="000000"/>
                <w:sz w:val="16"/>
                <w:szCs w:val="16"/>
                <w:lang w:eastAsia="en-NZ"/>
              </w:rPr>
              <w:t>2.27</w:t>
            </w:r>
          </w:p>
        </w:tc>
        <w:tc>
          <w:tcPr>
            <w:tcW w:w="1276" w:type="dxa"/>
            <w:shd w:val="clear" w:color="auto" w:fill="auto"/>
            <w:vAlign w:val="bottom"/>
          </w:tcPr>
          <w:p w14:paraId="5F47C13F" w14:textId="77777777" w:rsidR="00491C93" w:rsidRPr="00CA15E2" w:rsidRDefault="00491C93" w:rsidP="00491C93">
            <w:pPr>
              <w:jc w:val="right"/>
              <w:rPr>
                <w:color w:val="000000"/>
                <w:sz w:val="16"/>
                <w:szCs w:val="16"/>
                <w:lang w:eastAsia="en-NZ"/>
              </w:rPr>
            </w:pPr>
            <w:r w:rsidRPr="00CA15E2">
              <w:rPr>
                <w:color w:val="000000"/>
                <w:sz w:val="16"/>
                <w:szCs w:val="16"/>
                <w:lang w:eastAsia="en-NZ"/>
              </w:rPr>
              <w:t>(1.07, 4.83)</w:t>
            </w:r>
          </w:p>
        </w:tc>
        <w:tc>
          <w:tcPr>
            <w:tcW w:w="850" w:type="dxa"/>
            <w:shd w:val="clear" w:color="auto" w:fill="auto"/>
            <w:vAlign w:val="bottom"/>
          </w:tcPr>
          <w:p w14:paraId="5ECD6CF8" w14:textId="77777777" w:rsidR="00491C93" w:rsidRPr="00CA15E2" w:rsidRDefault="00491C93" w:rsidP="00491C93">
            <w:pPr>
              <w:jc w:val="right"/>
              <w:rPr>
                <w:color w:val="000000"/>
                <w:sz w:val="16"/>
                <w:szCs w:val="16"/>
                <w:lang w:eastAsia="en-NZ"/>
              </w:rPr>
            </w:pPr>
            <w:r w:rsidRPr="00CA15E2">
              <w:rPr>
                <w:color w:val="000000"/>
                <w:sz w:val="16"/>
                <w:szCs w:val="16"/>
                <w:lang w:eastAsia="en-NZ"/>
              </w:rPr>
              <w:t>0.03</w:t>
            </w:r>
          </w:p>
        </w:tc>
      </w:tr>
      <w:tr w:rsidR="00491C93" w:rsidRPr="001A61F1" w14:paraId="0013DFA8" w14:textId="77777777" w:rsidTr="001C5E0E">
        <w:tc>
          <w:tcPr>
            <w:tcW w:w="6379" w:type="dxa"/>
            <w:gridSpan w:val="2"/>
          </w:tcPr>
          <w:p w14:paraId="17B64443" w14:textId="77777777" w:rsidR="00491C93" w:rsidRPr="00637CF2" w:rsidRDefault="00491C93" w:rsidP="00491C93">
            <w:pPr>
              <w:rPr>
                <w:color w:val="000000"/>
                <w:sz w:val="16"/>
                <w:szCs w:val="16"/>
                <w:lang w:eastAsia="en-NZ"/>
              </w:rPr>
            </w:pPr>
            <w:r w:rsidRPr="00931D58">
              <w:rPr>
                <w:b/>
                <w:sz w:val="16"/>
                <w:szCs w:val="16"/>
              </w:rPr>
              <w:t>Ever smoked more than 100 cigarettes in lifetime</w:t>
            </w:r>
          </w:p>
        </w:tc>
        <w:tc>
          <w:tcPr>
            <w:tcW w:w="1276" w:type="dxa"/>
            <w:shd w:val="clear" w:color="auto" w:fill="auto"/>
            <w:vAlign w:val="center"/>
          </w:tcPr>
          <w:p w14:paraId="4665806D" w14:textId="77777777" w:rsidR="00491C93" w:rsidRPr="00637CF2" w:rsidRDefault="00491C93" w:rsidP="00491C93">
            <w:pPr>
              <w:jc w:val="right"/>
              <w:rPr>
                <w:color w:val="000000"/>
                <w:sz w:val="16"/>
                <w:szCs w:val="16"/>
                <w:lang w:eastAsia="en-NZ"/>
              </w:rPr>
            </w:pPr>
          </w:p>
        </w:tc>
        <w:tc>
          <w:tcPr>
            <w:tcW w:w="850" w:type="dxa"/>
            <w:shd w:val="clear" w:color="auto" w:fill="auto"/>
            <w:vAlign w:val="center"/>
          </w:tcPr>
          <w:p w14:paraId="3EFCB761" w14:textId="77777777" w:rsidR="00491C93" w:rsidRPr="00637CF2" w:rsidRDefault="00491C93" w:rsidP="00491C93">
            <w:pPr>
              <w:jc w:val="right"/>
              <w:rPr>
                <w:color w:val="000000"/>
                <w:sz w:val="16"/>
                <w:szCs w:val="16"/>
                <w:lang w:eastAsia="en-NZ"/>
              </w:rPr>
            </w:pPr>
          </w:p>
        </w:tc>
      </w:tr>
      <w:tr w:rsidR="00491C93" w:rsidRPr="001A61F1" w14:paraId="7E72E528" w14:textId="77777777" w:rsidTr="001C5E0E">
        <w:tc>
          <w:tcPr>
            <w:tcW w:w="5387" w:type="dxa"/>
          </w:tcPr>
          <w:p w14:paraId="1577D439" w14:textId="77777777" w:rsidR="00491C93" w:rsidRPr="001A61F1" w:rsidRDefault="00491C93" w:rsidP="00491C93">
            <w:pPr>
              <w:spacing w:before="20"/>
              <w:ind w:left="176"/>
              <w:jc w:val="both"/>
              <w:rPr>
                <w:sz w:val="16"/>
                <w:szCs w:val="16"/>
              </w:rPr>
            </w:pPr>
            <w:r>
              <w:rPr>
                <w:sz w:val="16"/>
                <w:szCs w:val="16"/>
              </w:rPr>
              <w:t>No</w:t>
            </w:r>
          </w:p>
        </w:tc>
        <w:tc>
          <w:tcPr>
            <w:tcW w:w="992" w:type="dxa"/>
            <w:shd w:val="clear" w:color="auto" w:fill="auto"/>
            <w:vAlign w:val="bottom"/>
          </w:tcPr>
          <w:p w14:paraId="31155E49" w14:textId="77777777" w:rsidR="00491C93" w:rsidRPr="00CA15E2" w:rsidRDefault="00491C93" w:rsidP="00491C93">
            <w:pPr>
              <w:jc w:val="right"/>
              <w:rPr>
                <w:color w:val="000000"/>
                <w:sz w:val="16"/>
                <w:szCs w:val="16"/>
                <w:lang w:eastAsia="en-NZ"/>
              </w:rPr>
            </w:pPr>
            <w:r w:rsidRPr="00CA15E2">
              <w:rPr>
                <w:color w:val="000000"/>
                <w:sz w:val="16"/>
                <w:szCs w:val="16"/>
                <w:lang w:eastAsia="en-NZ"/>
              </w:rPr>
              <w:t>1.00</w:t>
            </w:r>
          </w:p>
        </w:tc>
        <w:tc>
          <w:tcPr>
            <w:tcW w:w="1276" w:type="dxa"/>
            <w:shd w:val="clear" w:color="auto" w:fill="auto"/>
            <w:vAlign w:val="bottom"/>
          </w:tcPr>
          <w:p w14:paraId="1BCED3E8" w14:textId="77777777" w:rsidR="00491C93" w:rsidRPr="00CA15E2" w:rsidRDefault="00491C93" w:rsidP="00491C93">
            <w:pPr>
              <w:jc w:val="right"/>
              <w:rPr>
                <w:color w:val="000000"/>
                <w:sz w:val="16"/>
                <w:szCs w:val="16"/>
                <w:lang w:eastAsia="en-NZ"/>
              </w:rPr>
            </w:pPr>
          </w:p>
        </w:tc>
        <w:tc>
          <w:tcPr>
            <w:tcW w:w="850" w:type="dxa"/>
            <w:shd w:val="clear" w:color="auto" w:fill="auto"/>
            <w:vAlign w:val="bottom"/>
          </w:tcPr>
          <w:p w14:paraId="68A4342F" w14:textId="77777777" w:rsidR="00491C93" w:rsidRPr="00CA15E2" w:rsidRDefault="00491C93" w:rsidP="00491C93">
            <w:pPr>
              <w:jc w:val="right"/>
              <w:rPr>
                <w:color w:val="000000"/>
                <w:sz w:val="16"/>
                <w:szCs w:val="16"/>
                <w:lang w:eastAsia="en-NZ"/>
              </w:rPr>
            </w:pPr>
          </w:p>
        </w:tc>
      </w:tr>
      <w:tr w:rsidR="00491C93" w:rsidRPr="001A61F1" w14:paraId="541CA591" w14:textId="77777777" w:rsidTr="00173F02">
        <w:tc>
          <w:tcPr>
            <w:tcW w:w="5387" w:type="dxa"/>
          </w:tcPr>
          <w:p w14:paraId="18CE39ED" w14:textId="77777777" w:rsidR="00491C93" w:rsidRPr="001A61F1" w:rsidRDefault="00491C93" w:rsidP="00491C93">
            <w:pPr>
              <w:spacing w:before="20"/>
              <w:ind w:left="176"/>
              <w:jc w:val="both"/>
              <w:rPr>
                <w:sz w:val="16"/>
                <w:szCs w:val="16"/>
              </w:rPr>
            </w:pPr>
            <w:r>
              <w:rPr>
                <w:sz w:val="16"/>
                <w:szCs w:val="16"/>
              </w:rPr>
              <w:t>Yes</w:t>
            </w:r>
          </w:p>
        </w:tc>
        <w:tc>
          <w:tcPr>
            <w:tcW w:w="992" w:type="dxa"/>
            <w:shd w:val="clear" w:color="auto" w:fill="auto"/>
            <w:vAlign w:val="bottom"/>
          </w:tcPr>
          <w:p w14:paraId="3A90FF75" w14:textId="77777777" w:rsidR="00491C93" w:rsidRPr="00CA15E2" w:rsidRDefault="00491C93" w:rsidP="00491C93">
            <w:pPr>
              <w:jc w:val="right"/>
              <w:rPr>
                <w:color w:val="000000"/>
                <w:sz w:val="16"/>
                <w:szCs w:val="16"/>
                <w:lang w:eastAsia="en-NZ"/>
              </w:rPr>
            </w:pPr>
            <w:r w:rsidRPr="00CA15E2">
              <w:rPr>
                <w:color w:val="000000"/>
                <w:sz w:val="16"/>
                <w:szCs w:val="16"/>
                <w:lang w:eastAsia="en-NZ"/>
              </w:rPr>
              <w:t>2.10</w:t>
            </w:r>
          </w:p>
        </w:tc>
        <w:tc>
          <w:tcPr>
            <w:tcW w:w="1276" w:type="dxa"/>
            <w:shd w:val="clear" w:color="auto" w:fill="auto"/>
            <w:vAlign w:val="bottom"/>
          </w:tcPr>
          <w:p w14:paraId="67A4F47B" w14:textId="77777777" w:rsidR="00491C93" w:rsidRPr="00CA15E2" w:rsidRDefault="00491C93" w:rsidP="00491C93">
            <w:pPr>
              <w:jc w:val="right"/>
              <w:rPr>
                <w:color w:val="000000"/>
                <w:sz w:val="16"/>
                <w:szCs w:val="16"/>
                <w:lang w:eastAsia="en-NZ"/>
              </w:rPr>
            </w:pPr>
            <w:r w:rsidRPr="00CA15E2">
              <w:rPr>
                <w:color w:val="000000"/>
                <w:sz w:val="16"/>
                <w:szCs w:val="16"/>
                <w:lang w:eastAsia="en-NZ"/>
              </w:rPr>
              <w:t>(1.08, 4.08)</w:t>
            </w:r>
          </w:p>
        </w:tc>
        <w:tc>
          <w:tcPr>
            <w:tcW w:w="850" w:type="dxa"/>
            <w:shd w:val="clear" w:color="auto" w:fill="auto"/>
            <w:vAlign w:val="bottom"/>
          </w:tcPr>
          <w:p w14:paraId="3E440FBD" w14:textId="77777777" w:rsidR="00491C93" w:rsidRPr="00CA15E2" w:rsidRDefault="00491C93" w:rsidP="00491C93">
            <w:pPr>
              <w:jc w:val="right"/>
              <w:rPr>
                <w:color w:val="000000"/>
                <w:sz w:val="16"/>
                <w:szCs w:val="16"/>
                <w:lang w:eastAsia="en-NZ"/>
              </w:rPr>
            </w:pPr>
            <w:r w:rsidRPr="00CA15E2">
              <w:rPr>
                <w:color w:val="000000"/>
                <w:sz w:val="16"/>
                <w:szCs w:val="16"/>
                <w:lang w:eastAsia="en-NZ"/>
              </w:rPr>
              <w:t>0.03</w:t>
            </w:r>
          </w:p>
        </w:tc>
      </w:tr>
      <w:tr w:rsidR="00491C93" w:rsidRPr="001A61F1" w14:paraId="1258C9EE" w14:textId="77777777" w:rsidTr="001C5E0E">
        <w:tc>
          <w:tcPr>
            <w:tcW w:w="5387" w:type="dxa"/>
          </w:tcPr>
          <w:p w14:paraId="6A0898B2" w14:textId="77777777" w:rsidR="00491C93" w:rsidRPr="00931D58" w:rsidRDefault="00491C93" w:rsidP="00491C93">
            <w:pPr>
              <w:rPr>
                <w:b/>
                <w:sz w:val="16"/>
                <w:szCs w:val="16"/>
              </w:rPr>
            </w:pPr>
            <w:r>
              <w:rPr>
                <w:b/>
                <w:sz w:val="16"/>
                <w:szCs w:val="16"/>
              </w:rPr>
              <w:t>Current tobacco use</w:t>
            </w:r>
          </w:p>
        </w:tc>
        <w:tc>
          <w:tcPr>
            <w:tcW w:w="992" w:type="dxa"/>
            <w:shd w:val="clear" w:color="auto" w:fill="auto"/>
            <w:vAlign w:val="center"/>
          </w:tcPr>
          <w:p w14:paraId="66D6C984" w14:textId="77777777" w:rsidR="00491C93" w:rsidRPr="00637CF2" w:rsidRDefault="00491C93" w:rsidP="00491C93">
            <w:pPr>
              <w:jc w:val="right"/>
              <w:rPr>
                <w:color w:val="000000"/>
                <w:sz w:val="16"/>
                <w:szCs w:val="16"/>
                <w:lang w:eastAsia="en-NZ"/>
              </w:rPr>
            </w:pPr>
          </w:p>
        </w:tc>
        <w:tc>
          <w:tcPr>
            <w:tcW w:w="1276" w:type="dxa"/>
            <w:shd w:val="clear" w:color="auto" w:fill="auto"/>
            <w:vAlign w:val="center"/>
          </w:tcPr>
          <w:p w14:paraId="58FDB986" w14:textId="77777777" w:rsidR="00491C93" w:rsidRPr="00637CF2" w:rsidRDefault="00491C93" w:rsidP="00491C93">
            <w:pPr>
              <w:jc w:val="right"/>
              <w:rPr>
                <w:color w:val="000000"/>
                <w:sz w:val="16"/>
                <w:szCs w:val="16"/>
                <w:lang w:eastAsia="en-NZ"/>
              </w:rPr>
            </w:pPr>
          </w:p>
        </w:tc>
        <w:tc>
          <w:tcPr>
            <w:tcW w:w="850" w:type="dxa"/>
            <w:shd w:val="clear" w:color="auto" w:fill="auto"/>
            <w:vAlign w:val="center"/>
          </w:tcPr>
          <w:p w14:paraId="18C32B17" w14:textId="77777777" w:rsidR="00491C93" w:rsidRPr="00637CF2" w:rsidRDefault="00491C93" w:rsidP="00491C93">
            <w:pPr>
              <w:jc w:val="right"/>
              <w:rPr>
                <w:color w:val="000000"/>
                <w:sz w:val="16"/>
                <w:szCs w:val="16"/>
                <w:lang w:eastAsia="en-NZ"/>
              </w:rPr>
            </w:pPr>
          </w:p>
        </w:tc>
      </w:tr>
      <w:tr w:rsidR="00491C93" w:rsidRPr="001A61F1" w14:paraId="114CC9BA" w14:textId="77777777" w:rsidTr="001C5E0E">
        <w:tc>
          <w:tcPr>
            <w:tcW w:w="5387" w:type="dxa"/>
          </w:tcPr>
          <w:p w14:paraId="73476841" w14:textId="77777777" w:rsidR="00491C93" w:rsidRPr="001A61F1" w:rsidRDefault="00491C93" w:rsidP="00491C93">
            <w:pPr>
              <w:spacing w:before="20"/>
              <w:ind w:left="176"/>
              <w:jc w:val="both"/>
              <w:rPr>
                <w:sz w:val="16"/>
                <w:szCs w:val="16"/>
              </w:rPr>
            </w:pPr>
            <w:r>
              <w:rPr>
                <w:sz w:val="16"/>
                <w:szCs w:val="16"/>
              </w:rPr>
              <w:t>Non-smoker</w:t>
            </w:r>
          </w:p>
        </w:tc>
        <w:tc>
          <w:tcPr>
            <w:tcW w:w="992" w:type="dxa"/>
            <w:shd w:val="clear" w:color="auto" w:fill="auto"/>
            <w:vAlign w:val="bottom"/>
          </w:tcPr>
          <w:p w14:paraId="157779AE" w14:textId="77777777" w:rsidR="00491C93" w:rsidRPr="00CA15E2" w:rsidRDefault="00491C93" w:rsidP="00491C93">
            <w:pPr>
              <w:jc w:val="right"/>
              <w:rPr>
                <w:color w:val="000000"/>
                <w:sz w:val="16"/>
                <w:szCs w:val="16"/>
                <w:lang w:eastAsia="en-NZ"/>
              </w:rPr>
            </w:pPr>
            <w:r w:rsidRPr="00CA15E2">
              <w:rPr>
                <w:color w:val="000000"/>
                <w:sz w:val="16"/>
                <w:szCs w:val="16"/>
                <w:lang w:eastAsia="en-NZ"/>
              </w:rPr>
              <w:t>1.00</w:t>
            </w:r>
          </w:p>
        </w:tc>
        <w:tc>
          <w:tcPr>
            <w:tcW w:w="1276" w:type="dxa"/>
            <w:shd w:val="clear" w:color="auto" w:fill="auto"/>
            <w:vAlign w:val="bottom"/>
          </w:tcPr>
          <w:p w14:paraId="2383C9A0" w14:textId="77777777" w:rsidR="00491C93" w:rsidRPr="00CA15E2" w:rsidRDefault="00491C93" w:rsidP="00491C93">
            <w:pPr>
              <w:jc w:val="right"/>
              <w:rPr>
                <w:color w:val="000000"/>
                <w:sz w:val="16"/>
                <w:szCs w:val="16"/>
                <w:lang w:eastAsia="en-NZ"/>
              </w:rPr>
            </w:pPr>
          </w:p>
        </w:tc>
        <w:tc>
          <w:tcPr>
            <w:tcW w:w="850" w:type="dxa"/>
            <w:shd w:val="clear" w:color="auto" w:fill="auto"/>
            <w:vAlign w:val="bottom"/>
          </w:tcPr>
          <w:p w14:paraId="11DAC88F" w14:textId="77777777" w:rsidR="00491C93" w:rsidRPr="00CA15E2" w:rsidRDefault="00491C93" w:rsidP="00491C93">
            <w:pPr>
              <w:jc w:val="right"/>
              <w:rPr>
                <w:color w:val="000000"/>
                <w:sz w:val="16"/>
                <w:szCs w:val="16"/>
                <w:lang w:eastAsia="en-NZ"/>
              </w:rPr>
            </w:pPr>
          </w:p>
        </w:tc>
      </w:tr>
      <w:tr w:rsidR="00491C93" w:rsidRPr="001A61F1" w14:paraId="7C0D868A" w14:textId="77777777" w:rsidTr="00173F02">
        <w:tc>
          <w:tcPr>
            <w:tcW w:w="5387" w:type="dxa"/>
          </w:tcPr>
          <w:p w14:paraId="49E3ABC0" w14:textId="77777777" w:rsidR="00491C93" w:rsidRDefault="00491C93" w:rsidP="00491C93">
            <w:pPr>
              <w:spacing w:before="20"/>
              <w:ind w:left="176"/>
              <w:jc w:val="both"/>
              <w:rPr>
                <w:sz w:val="16"/>
                <w:szCs w:val="16"/>
              </w:rPr>
            </w:pPr>
            <w:r>
              <w:rPr>
                <w:sz w:val="16"/>
                <w:szCs w:val="16"/>
              </w:rPr>
              <w:t>Smoker</w:t>
            </w:r>
          </w:p>
        </w:tc>
        <w:tc>
          <w:tcPr>
            <w:tcW w:w="992" w:type="dxa"/>
            <w:shd w:val="clear" w:color="auto" w:fill="auto"/>
            <w:vAlign w:val="bottom"/>
          </w:tcPr>
          <w:p w14:paraId="3E40D405" w14:textId="77777777" w:rsidR="00491C93" w:rsidRPr="00CA15E2" w:rsidRDefault="00491C93" w:rsidP="00491C93">
            <w:pPr>
              <w:jc w:val="right"/>
              <w:rPr>
                <w:color w:val="000000"/>
                <w:sz w:val="16"/>
                <w:szCs w:val="16"/>
                <w:lang w:eastAsia="en-NZ"/>
              </w:rPr>
            </w:pPr>
            <w:r w:rsidRPr="00CA15E2">
              <w:rPr>
                <w:color w:val="000000"/>
                <w:sz w:val="16"/>
                <w:szCs w:val="16"/>
                <w:lang w:eastAsia="en-NZ"/>
              </w:rPr>
              <w:t>2.67</w:t>
            </w:r>
          </w:p>
        </w:tc>
        <w:tc>
          <w:tcPr>
            <w:tcW w:w="1276" w:type="dxa"/>
            <w:shd w:val="clear" w:color="auto" w:fill="auto"/>
            <w:vAlign w:val="bottom"/>
          </w:tcPr>
          <w:p w14:paraId="5812938A" w14:textId="77777777" w:rsidR="00491C93" w:rsidRPr="00CA15E2" w:rsidRDefault="00491C93" w:rsidP="00491C93">
            <w:pPr>
              <w:jc w:val="right"/>
              <w:rPr>
                <w:color w:val="000000"/>
                <w:sz w:val="16"/>
                <w:szCs w:val="16"/>
                <w:lang w:eastAsia="en-NZ"/>
              </w:rPr>
            </w:pPr>
            <w:r w:rsidRPr="00CA15E2">
              <w:rPr>
                <w:color w:val="000000"/>
                <w:sz w:val="16"/>
                <w:szCs w:val="16"/>
                <w:lang w:eastAsia="en-NZ"/>
              </w:rPr>
              <w:t>(1.38, 5.16)</w:t>
            </w:r>
          </w:p>
        </w:tc>
        <w:tc>
          <w:tcPr>
            <w:tcW w:w="850" w:type="dxa"/>
            <w:shd w:val="clear" w:color="auto" w:fill="auto"/>
            <w:vAlign w:val="bottom"/>
          </w:tcPr>
          <w:p w14:paraId="5BB2F929" w14:textId="77777777" w:rsidR="00491C93" w:rsidRPr="00CA15E2" w:rsidRDefault="00491C93" w:rsidP="00491C93">
            <w:pPr>
              <w:jc w:val="right"/>
              <w:rPr>
                <w:color w:val="000000"/>
                <w:sz w:val="16"/>
                <w:szCs w:val="16"/>
                <w:lang w:eastAsia="en-NZ"/>
              </w:rPr>
            </w:pPr>
            <w:r w:rsidRPr="00CA15E2">
              <w:rPr>
                <w:color w:val="000000"/>
                <w:sz w:val="16"/>
                <w:szCs w:val="16"/>
                <w:lang w:eastAsia="en-NZ"/>
              </w:rPr>
              <w:t>0.004</w:t>
            </w:r>
          </w:p>
        </w:tc>
      </w:tr>
      <w:tr w:rsidR="00491C93" w:rsidRPr="001A61F1" w14:paraId="7C2613C4" w14:textId="77777777" w:rsidTr="001C5E0E">
        <w:tc>
          <w:tcPr>
            <w:tcW w:w="5387" w:type="dxa"/>
            <w:vAlign w:val="center"/>
          </w:tcPr>
          <w:p w14:paraId="2DEF4482" w14:textId="77777777" w:rsidR="00491C93" w:rsidRPr="00D26FE5" w:rsidRDefault="00491C93" w:rsidP="00491C93">
            <w:pPr>
              <w:spacing w:before="20"/>
              <w:rPr>
                <w:b/>
                <w:bCs/>
                <w:color w:val="000000"/>
                <w:sz w:val="16"/>
                <w:szCs w:val="16"/>
              </w:rPr>
            </w:pPr>
            <w:r w:rsidRPr="00D26FE5">
              <w:rPr>
                <w:rFonts w:eastAsiaTheme="minorEastAsia"/>
                <w:b/>
                <w:sz w:val="16"/>
                <w:szCs w:val="16"/>
                <w:lang w:eastAsia="en-US"/>
              </w:rPr>
              <w:t>Number of gambling activities participated in</w:t>
            </w:r>
            <w:r>
              <w:rPr>
                <w:rFonts w:eastAsiaTheme="minorEastAsia"/>
                <w:b/>
                <w:sz w:val="16"/>
                <w:szCs w:val="16"/>
                <w:lang w:eastAsia="en-US"/>
              </w:rPr>
              <w:t xml:space="preserve"> at Wave 1</w:t>
            </w:r>
          </w:p>
        </w:tc>
        <w:tc>
          <w:tcPr>
            <w:tcW w:w="992" w:type="dxa"/>
            <w:shd w:val="clear" w:color="auto" w:fill="auto"/>
            <w:vAlign w:val="bottom"/>
          </w:tcPr>
          <w:p w14:paraId="4F240A1D"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34A4E10A"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345A02B1" w14:textId="77777777" w:rsidR="00491C93" w:rsidRPr="007B750E" w:rsidRDefault="00491C93" w:rsidP="00491C93">
            <w:pPr>
              <w:jc w:val="right"/>
              <w:rPr>
                <w:color w:val="000000"/>
                <w:sz w:val="16"/>
                <w:szCs w:val="16"/>
                <w:lang w:eastAsia="en-NZ"/>
              </w:rPr>
            </w:pPr>
          </w:p>
        </w:tc>
      </w:tr>
      <w:tr w:rsidR="00491C93" w:rsidRPr="001A61F1" w14:paraId="29A4B17D" w14:textId="77777777" w:rsidTr="001C5E0E">
        <w:tc>
          <w:tcPr>
            <w:tcW w:w="5387" w:type="dxa"/>
          </w:tcPr>
          <w:p w14:paraId="5BD153BE" w14:textId="77777777" w:rsidR="00491C93" w:rsidRPr="003F15C0" w:rsidRDefault="00491C93" w:rsidP="00491C93">
            <w:pPr>
              <w:spacing w:before="20"/>
              <w:ind w:left="176"/>
              <w:jc w:val="both"/>
              <w:rPr>
                <w:sz w:val="16"/>
                <w:szCs w:val="16"/>
              </w:rPr>
            </w:pPr>
            <w:r w:rsidRPr="003F15C0">
              <w:rPr>
                <w:sz w:val="16"/>
                <w:szCs w:val="16"/>
              </w:rPr>
              <w:t>1</w:t>
            </w:r>
            <w:r>
              <w:rPr>
                <w:sz w:val="16"/>
                <w:szCs w:val="16"/>
              </w:rPr>
              <w:t xml:space="preserve"> - 3</w:t>
            </w:r>
          </w:p>
        </w:tc>
        <w:tc>
          <w:tcPr>
            <w:tcW w:w="992" w:type="dxa"/>
            <w:shd w:val="clear" w:color="auto" w:fill="auto"/>
            <w:vAlign w:val="bottom"/>
          </w:tcPr>
          <w:p w14:paraId="08867E83" w14:textId="77777777" w:rsidR="00491C93" w:rsidRPr="001C5E0E" w:rsidRDefault="00491C93" w:rsidP="00491C93">
            <w:pPr>
              <w:jc w:val="right"/>
              <w:rPr>
                <w:color w:val="000000"/>
                <w:sz w:val="16"/>
                <w:szCs w:val="16"/>
                <w:lang w:eastAsia="en-NZ"/>
              </w:rPr>
            </w:pPr>
            <w:r w:rsidRPr="001C5E0E">
              <w:rPr>
                <w:color w:val="000000"/>
                <w:sz w:val="16"/>
                <w:szCs w:val="16"/>
                <w:lang w:eastAsia="en-NZ"/>
              </w:rPr>
              <w:t>1.00</w:t>
            </w:r>
          </w:p>
        </w:tc>
        <w:tc>
          <w:tcPr>
            <w:tcW w:w="1276" w:type="dxa"/>
            <w:shd w:val="clear" w:color="auto" w:fill="auto"/>
            <w:vAlign w:val="bottom"/>
          </w:tcPr>
          <w:p w14:paraId="2AB01CF1" w14:textId="77777777" w:rsidR="00491C93" w:rsidRPr="001C5E0E" w:rsidRDefault="00491C93" w:rsidP="00491C93">
            <w:pPr>
              <w:jc w:val="right"/>
              <w:rPr>
                <w:color w:val="000000"/>
                <w:sz w:val="16"/>
                <w:szCs w:val="16"/>
                <w:lang w:eastAsia="en-NZ"/>
              </w:rPr>
            </w:pPr>
          </w:p>
        </w:tc>
        <w:tc>
          <w:tcPr>
            <w:tcW w:w="850" w:type="dxa"/>
            <w:shd w:val="clear" w:color="auto" w:fill="auto"/>
            <w:vAlign w:val="bottom"/>
          </w:tcPr>
          <w:p w14:paraId="4153099D" w14:textId="77777777" w:rsidR="00491C93" w:rsidRPr="001C5E0E" w:rsidRDefault="00491C93" w:rsidP="00491C93">
            <w:pPr>
              <w:jc w:val="right"/>
              <w:rPr>
                <w:color w:val="000000"/>
                <w:sz w:val="16"/>
                <w:szCs w:val="16"/>
                <w:lang w:eastAsia="en-NZ"/>
              </w:rPr>
            </w:pPr>
          </w:p>
        </w:tc>
      </w:tr>
      <w:tr w:rsidR="00491C93" w:rsidRPr="001A61F1" w14:paraId="48C767D3" w14:textId="77777777" w:rsidTr="001C5E0E">
        <w:tc>
          <w:tcPr>
            <w:tcW w:w="5387" w:type="dxa"/>
          </w:tcPr>
          <w:p w14:paraId="2E39E001" w14:textId="77777777" w:rsidR="00491C93" w:rsidRPr="003F15C0" w:rsidRDefault="00491C93" w:rsidP="00491C93">
            <w:pPr>
              <w:spacing w:before="20"/>
              <w:ind w:left="176"/>
              <w:jc w:val="both"/>
              <w:rPr>
                <w:sz w:val="16"/>
                <w:szCs w:val="16"/>
              </w:rPr>
            </w:pPr>
            <w:r w:rsidRPr="003F15C0">
              <w:rPr>
                <w:sz w:val="16"/>
                <w:szCs w:val="16"/>
              </w:rPr>
              <w:t>4</w:t>
            </w:r>
            <w:r>
              <w:rPr>
                <w:sz w:val="16"/>
                <w:szCs w:val="16"/>
              </w:rPr>
              <w:t xml:space="preserve"> </w:t>
            </w:r>
            <w:r w:rsidRPr="003F15C0">
              <w:rPr>
                <w:sz w:val="16"/>
                <w:szCs w:val="16"/>
              </w:rPr>
              <w:t>-</w:t>
            </w:r>
            <w:r>
              <w:rPr>
                <w:sz w:val="16"/>
                <w:szCs w:val="16"/>
              </w:rPr>
              <w:t xml:space="preserve"> </w:t>
            </w:r>
            <w:r w:rsidRPr="003F15C0">
              <w:rPr>
                <w:sz w:val="16"/>
                <w:szCs w:val="16"/>
              </w:rPr>
              <w:t>6</w:t>
            </w:r>
          </w:p>
        </w:tc>
        <w:tc>
          <w:tcPr>
            <w:tcW w:w="992" w:type="dxa"/>
            <w:shd w:val="clear" w:color="auto" w:fill="auto"/>
            <w:vAlign w:val="bottom"/>
          </w:tcPr>
          <w:p w14:paraId="7D5346CC" w14:textId="77777777" w:rsidR="00491C93" w:rsidRPr="001C5E0E" w:rsidRDefault="00491C93" w:rsidP="00491C93">
            <w:pPr>
              <w:jc w:val="right"/>
              <w:rPr>
                <w:color w:val="000000"/>
                <w:sz w:val="16"/>
                <w:szCs w:val="16"/>
                <w:lang w:eastAsia="en-NZ"/>
              </w:rPr>
            </w:pPr>
            <w:r w:rsidRPr="001C5E0E">
              <w:rPr>
                <w:color w:val="000000"/>
                <w:sz w:val="16"/>
                <w:szCs w:val="16"/>
                <w:lang w:eastAsia="en-NZ"/>
              </w:rPr>
              <w:t>4.01</w:t>
            </w:r>
          </w:p>
        </w:tc>
        <w:tc>
          <w:tcPr>
            <w:tcW w:w="1276" w:type="dxa"/>
            <w:shd w:val="clear" w:color="auto" w:fill="auto"/>
            <w:vAlign w:val="bottom"/>
          </w:tcPr>
          <w:p w14:paraId="7ED00867" w14:textId="77777777" w:rsidR="00491C93" w:rsidRPr="001C5E0E" w:rsidRDefault="00491C93" w:rsidP="00491C93">
            <w:pPr>
              <w:jc w:val="right"/>
              <w:rPr>
                <w:color w:val="000000"/>
                <w:sz w:val="16"/>
                <w:szCs w:val="16"/>
                <w:lang w:eastAsia="en-NZ"/>
              </w:rPr>
            </w:pPr>
            <w:r w:rsidRPr="001C5E0E">
              <w:rPr>
                <w:color w:val="000000"/>
                <w:sz w:val="16"/>
                <w:szCs w:val="16"/>
                <w:lang w:eastAsia="en-NZ"/>
              </w:rPr>
              <w:t>(2.34, 6.87)</w:t>
            </w:r>
          </w:p>
        </w:tc>
        <w:tc>
          <w:tcPr>
            <w:tcW w:w="850" w:type="dxa"/>
            <w:shd w:val="clear" w:color="auto" w:fill="auto"/>
            <w:vAlign w:val="bottom"/>
          </w:tcPr>
          <w:p w14:paraId="0DDF40D8" w14:textId="77777777" w:rsidR="00491C93" w:rsidRPr="001C5E0E" w:rsidRDefault="00491C93" w:rsidP="00491C93">
            <w:pPr>
              <w:jc w:val="right"/>
              <w:rPr>
                <w:color w:val="000000"/>
                <w:sz w:val="16"/>
                <w:szCs w:val="16"/>
                <w:lang w:eastAsia="en-NZ"/>
              </w:rPr>
            </w:pPr>
          </w:p>
        </w:tc>
      </w:tr>
      <w:tr w:rsidR="00491C93" w:rsidRPr="001A61F1" w14:paraId="5730DAB9" w14:textId="77777777" w:rsidTr="00173F02">
        <w:tc>
          <w:tcPr>
            <w:tcW w:w="5387" w:type="dxa"/>
          </w:tcPr>
          <w:p w14:paraId="24E6DCD3" w14:textId="77777777" w:rsidR="00491C93" w:rsidRPr="003F15C0" w:rsidRDefault="00491C93" w:rsidP="00491C93">
            <w:pPr>
              <w:spacing w:before="20"/>
              <w:ind w:left="176"/>
              <w:jc w:val="both"/>
              <w:rPr>
                <w:sz w:val="16"/>
                <w:szCs w:val="16"/>
              </w:rPr>
            </w:pPr>
            <w:r>
              <w:rPr>
                <w:sz w:val="16"/>
                <w:szCs w:val="16"/>
              </w:rPr>
              <w:t>7 - 10</w:t>
            </w:r>
          </w:p>
        </w:tc>
        <w:tc>
          <w:tcPr>
            <w:tcW w:w="992" w:type="dxa"/>
            <w:shd w:val="clear" w:color="auto" w:fill="auto"/>
            <w:vAlign w:val="bottom"/>
          </w:tcPr>
          <w:p w14:paraId="47B255F5" w14:textId="77777777" w:rsidR="00491C93" w:rsidRPr="001C5E0E" w:rsidRDefault="00491C93" w:rsidP="00491C93">
            <w:pPr>
              <w:jc w:val="right"/>
              <w:rPr>
                <w:color w:val="000000"/>
                <w:sz w:val="16"/>
                <w:szCs w:val="16"/>
                <w:lang w:eastAsia="en-NZ"/>
              </w:rPr>
            </w:pPr>
            <w:r w:rsidRPr="001C5E0E">
              <w:rPr>
                <w:color w:val="000000"/>
                <w:sz w:val="16"/>
                <w:szCs w:val="16"/>
                <w:lang w:eastAsia="en-NZ"/>
              </w:rPr>
              <w:t>18.60</w:t>
            </w:r>
          </w:p>
        </w:tc>
        <w:tc>
          <w:tcPr>
            <w:tcW w:w="1276" w:type="dxa"/>
            <w:shd w:val="clear" w:color="auto" w:fill="auto"/>
            <w:vAlign w:val="bottom"/>
          </w:tcPr>
          <w:p w14:paraId="1F986089" w14:textId="77777777" w:rsidR="00491C93" w:rsidRPr="001C5E0E" w:rsidRDefault="00491C93" w:rsidP="00491C93">
            <w:pPr>
              <w:jc w:val="right"/>
              <w:rPr>
                <w:color w:val="000000"/>
                <w:sz w:val="16"/>
                <w:szCs w:val="16"/>
                <w:lang w:eastAsia="en-NZ"/>
              </w:rPr>
            </w:pPr>
            <w:r w:rsidRPr="001C5E0E">
              <w:rPr>
                <w:color w:val="000000"/>
                <w:sz w:val="16"/>
                <w:szCs w:val="16"/>
                <w:lang w:eastAsia="en-NZ"/>
              </w:rPr>
              <w:t>(8.58, 40.30)</w:t>
            </w:r>
          </w:p>
        </w:tc>
        <w:tc>
          <w:tcPr>
            <w:tcW w:w="850" w:type="dxa"/>
            <w:shd w:val="clear" w:color="auto" w:fill="auto"/>
            <w:vAlign w:val="bottom"/>
          </w:tcPr>
          <w:p w14:paraId="33BC3B04" w14:textId="77777777" w:rsidR="00491C93" w:rsidRPr="001C5E0E" w:rsidRDefault="00491C93" w:rsidP="00491C93">
            <w:pPr>
              <w:jc w:val="right"/>
              <w:rPr>
                <w:color w:val="000000"/>
                <w:sz w:val="16"/>
                <w:szCs w:val="16"/>
                <w:lang w:eastAsia="en-NZ"/>
              </w:rPr>
            </w:pPr>
            <w:r w:rsidRPr="001C5E0E">
              <w:rPr>
                <w:color w:val="000000"/>
                <w:sz w:val="16"/>
                <w:szCs w:val="16"/>
                <w:lang w:eastAsia="en-NZ"/>
              </w:rPr>
              <w:t>&lt;</w:t>
            </w:r>
            <w:r>
              <w:rPr>
                <w:color w:val="000000"/>
                <w:sz w:val="16"/>
                <w:szCs w:val="16"/>
                <w:lang w:eastAsia="en-NZ"/>
              </w:rPr>
              <w:t>0</w:t>
            </w:r>
            <w:r w:rsidRPr="001C5E0E">
              <w:rPr>
                <w:color w:val="000000"/>
                <w:sz w:val="16"/>
                <w:szCs w:val="16"/>
                <w:lang w:eastAsia="en-NZ"/>
              </w:rPr>
              <w:t>.0001</w:t>
            </w:r>
          </w:p>
        </w:tc>
      </w:tr>
      <w:tr w:rsidR="00491C93" w:rsidRPr="001A61F1" w14:paraId="456E230A" w14:textId="77777777" w:rsidTr="001C5E0E">
        <w:tc>
          <w:tcPr>
            <w:tcW w:w="5387" w:type="dxa"/>
            <w:vAlign w:val="bottom"/>
          </w:tcPr>
          <w:p w14:paraId="0843D5FC" w14:textId="77777777" w:rsidR="00491C93" w:rsidRPr="003F15C0" w:rsidRDefault="00491C93" w:rsidP="00491C93">
            <w:pPr>
              <w:spacing w:before="20"/>
              <w:jc w:val="both"/>
              <w:rPr>
                <w:b/>
                <w:sz w:val="16"/>
                <w:szCs w:val="16"/>
              </w:rPr>
            </w:pPr>
            <w:r w:rsidRPr="003F15C0">
              <w:rPr>
                <w:b/>
                <w:sz w:val="16"/>
                <w:szCs w:val="16"/>
              </w:rPr>
              <w:t>Pattern of participation</w:t>
            </w:r>
          </w:p>
        </w:tc>
        <w:tc>
          <w:tcPr>
            <w:tcW w:w="992" w:type="dxa"/>
            <w:shd w:val="clear" w:color="auto" w:fill="auto"/>
            <w:vAlign w:val="bottom"/>
          </w:tcPr>
          <w:p w14:paraId="2D74D1CE"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75A19A95"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53B442A9" w14:textId="77777777" w:rsidR="00491C93" w:rsidRPr="007B750E" w:rsidRDefault="00491C93" w:rsidP="00491C93">
            <w:pPr>
              <w:jc w:val="right"/>
              <w:rPr>
                <w:color w:val="000000"/>
                <w:sz w:val="16"/>
                <w:szCs w:val="16"/>
                <w:lang w:eastAsia="en-NZ"/>
              </w:rPr>
            </w:pPr>
          </w:p>
        </w:tc>
      </w:tr>
      <w:tr w:rsidR="00491C93" w:rsidRPr="001A61F1" w14:paraId="198FB4CB" w14:textId="77777777" w:rsidTr="001C5E0E">
        <w:tc>
          <w:tcPr>
            <w:tcW w:w="5387" w:type="dxa"/>
          </w:tcPr>
          <w:p w14:paraId="2D4301B6" w14:textId="77777777" w:rsidR="00491C93" w:rsidRPr="003F15C0" w:rsidRDefault="00491C93" w:rsidP="00491C93">
            <w:pPr>
              <w:spacing w:before="20"/>
              <w:ind w:left="176"/>
              <w:jc w:val="both"/>
              <w:rPr>
                <w:sz w:val="16"/>
                <w:szCs w:val="16"/>
              </w:rPr>
            </w:pPr>
            <w:r w:rsidRPr="003F15C0">
              <w:rPr>
                <w:sz w:val="16"/>
                <w:szCs w:val="16"/>
              </w:rPr>
              <w:t>Infrequent gambler</w:t>
            </w:r>
          </w:p>
        </w:tc>
        <w:tc>
          <w:tcPr>
            <w:tcW w:w="992" w:type="dxa"/>
            <w:shd w:val="clear" w:color="auto" w:fill="auto"/>
            <w:vAlign w:val="bottom"/>
          </w:tcPr>
          <w:p w14:paraId="7EA57D1A" w14:textId="77777777" w:rsidR="00491C93" w:rsidRPr="007B750E" w:rsidRDefault="00491C93" w:rsidP="00491C93">
            <w:pPr>
              <w:jc w:val="right"/>
              <w:rPr>
                <w:color w:val="000000"/>
                <w:sz w:val="16"/>
                <w:szCs w:val="16"/>
                <w:lang w:eastAsia="en-NZ"/>
              </w:rPr>
            </w:pPr>
            <w:r>
              <w:rPr>
                <w:color w:val="000000"/>
                <w:sz w:val="16"/>
                <w:szCs w:val="16"/>
                <w:lang w:eastAsia="en-NZ"/>
              </w:rPr>
              <w:t>1.00</w:t>
            </w:r>
          </w:p>
        </w:tc>
        <w:tc>
          <w:tcPr>
            <w:tcW w:w="1276" w:type="dxa"/>
            <w:shd w:val="clear" w:color="auto" w:fill="auto"/>
            <w:vAlign w:val="bottom"/>
          </w:tcPr>
          <w:p w14:paraId="2DBD546B"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535C5E05" w14:textId="77777777" w:rsidR="00491C93" w:rsidRPr="007B750E" w:rsidRDefault="00491C93" w:rsidP="00491C93">
            <w:pPr>
              <w:jc w:val="right"/>
              <w:rPr>
                <w:color w:val="000000"/>
                <w:sz w:val="16"/>
                <w:szCs w:val="16"/>
                <w:lang w:eastAsia="en-NZ"/>
              </w:rPr>
            </w:pPr>
          </w:p>
        </w:tc>
      </w:tr>
      <w:tr w:rsidR="00491C93" w:rsidRPr="001A61F1" w14:paraId="0273DE1B" w14:textId="77777777" w:rsidTr="001C5E0E">
        <w:tc>
          <w:tcPr>
            <w:tcW w:w="5387" w:type="dxa"/>
          </w:tcPr>
          <w:p w14:paraId="39179475" w14:textId="77777777" w:rsidR="00491C93" w:rsidRPr="003F15C0" w:rsidRDefault="00491C93" w:rsidP="00491C93">
            <w:pPr>
              <w:spacing w:before="20"/>
              <w:ind w:left="176"/>
              <w:jc w:val="both"/>
              <w:rPr>
                <w:sz w:val="16"/>
                <w:szCs w:val="16"/>
              </w:rPr>
            </w:pPr>
            <w:r w:rsidRPr="003F15C0">
              <w:rPr>
                <w:sz w:val="16"/>
                <w:szCs w:val="16"/>
              </w:rPr>
              <w:t>Regular non-continuous gambler</w:t>
            </w:r>
          </w:p>
        </w:tc>
        <w:tc>
          <w:tcPr>
            <w:tcW w:w="992" w:type="dxa"/>
            <w:shd w:val="clear" w:color="auto" w:fill="auto"/>
            <w:vAlign w:val="bottom"/>
          </w:tcPr>
          <w:p w14:paraId="58A715A2" w14:textId="77777777" w:rsidR="00491C93" w:rsidRPr="001C5E0E" w:rsidRDefault="00491C93" w:rsidP="00491C93">
            <w:pPr>
              <w:jc w:val="right"/>
              <w:rPr>
                <w:color w:val="000000"/>
                <w:sz w:val="16"/>
                <w:szCs w:val="16"/>
                <w:lang w:eastAsia="en-NZ"/>
              </w:rPr>
            </w:pPr>
            <w:r w:rsidRPr="001C5E0E">
              <w:rPr>
                <w:color w:val="000000"/>
                <w:sz w:val="16"/>
                <w:szCs w:val="16"/>
                <w:lang w:eastAsia="en-NZ"/>
              </w:rPr>
              <w:t>1.37</w:t>
            </w:r>
          </w:p>
        </w:tc>
        <w:tc>
          <w:tcPr>
            <w:tcW w:w="1276" w:type="dxa"/>
            <w:shd w:val="clear" w:color="auto" w:fill="auto"/>
            <w:vAlign w:val="bottom"/>
          </w:tcPr>
          <w:p w14:paraId="1CF5CC7C" w14:textId="77777777" w:rsidR="00491C93" w:rsidRPr="001C5E0E" w:rsidRDefault="00491C93" w:rsidP="00491C93">
            <w:pPr>
              <w:jc w:val="right"/>
              <w:rPr>
                <w:color w:val="000000"/>
                <w:sz w:val="16"/>
                <w:szCs w:val="16"/>
                <w:lang w:eastAsia="en-NZ"/>
              </w:rPr>
            </w:pPr>
            <w:r w:rsidRPr="001C5E0E">
              <w:rPr>
                <w:color w:val="000000"/>
                <w:sz w:val="16"/>
                <w:szCs w:val="16"/>
                <w:lang w:eastAsia="en-NZ"/>
              </w:rPr>
              <w:t>(0.69, 2.72)</w:t>
            </w:r>
          </w:p>
        </w:tc>
        <w:tc>
          <w:tcPr>
            <w:tcW w:w="850" w:type="dxa"/>
            <w:shd w:val="clear" w:color="auto" w:fill="auto"/>
            <w:vAlign w:val="bottom"/>
          </w:tcPr>
          <w:p w14:paraId="1CB2625A" w14:textId="77777777" w:rsidR="00491C93" w:rsidRPr="007B750E" w:rsidRDefault="00491C93" w:rsidP="00491C93">
            <w:pPr>
              <w:jc w:val="right"/>
              <w:rPr>
                <w:color w:val="000000"/>
                <w:sz w:val="16"/>
                <w:szCs w:val="16"/>
                <w:lang w:eastAsia="en-NZ"/>
              </w:rPr>
            </w:pPr>
          </w:p>
        </w:tc>
      </w:tr>
      <w:tr w:rsidR="00491C93" w:rsidRPr="001A61F1" w14:paraId="39A0F149" w14:textId="77777777" w:rsidTr="00173F02">
        <w:tc>
          <w:tcPr>
            <w:tcW w:w="5387" w:type="dxa"/>
          </w:tcPr>
          <w:p w14:paraId="321C6942" w14:textId="77777777" w:rsidR="00491C93" w:rsidRPr="003F15C0" w:rsidRDefault="00491C93" w:rsidP="00491C93">
            <w:pPr>
              <w:spacing w:before="20"/>
              <w:ind w:left="176"/>
              <w:jc w:val="both"/>
              <w:rPr>
                <w:sz w:val="16"/>
                <w:szCs w:val="16"/>
              </w:rPr>
            </w:pPr>
            <w:r w:rsidRPr="003F15C0">
              <w:rPr>
                <w:sz w:val="16"/>
                <w:szCs w:val="16"/>
              </w:rPr>
              <w:t>Regular continuous gambler</w:t>
            </w:r>
          </w:p>
        </w:tc>
        <w:tc>
          <w:tcPr>
            <w:tcW w:w="992" w:type="dxa"/>
            <w:shd w:val="clear" w:color="auto" w:fill="auto"/>
            <w:vAlign w:val="bottom"/>
          </w:tcPr>
          <w:p w14:paraId="06FECC58" w14:textId="77777777" w:rsidR="00491C93" w:rsidRPr="001C5E0E" w:rsidRDefault="00491C93" w:rsidP="00491C93">
            <w:pPr>
              <w:jc w:val="right"/>
              <w:rPr>
                <w:color w:val="000000"/>
                <w:sz w:val="16"/>
                <w:szCs w:val="16"/>
                <w:lang w:eastAsia="en-NZ"/>
              </w:rPr>
            </w:pPr>
            <w:r w:rsidRPr="001C5E0E">
              <w:rPr>
                <w:color w:val="000000"/>
                <w:sz w:val="16"/>
                <w:szCs w:val="16"/>
                <w:lang w:eastAsia="en-NZ"/>
              </w:rPr>
              <w:t>11.02</w:t>
            </w:r>
          </w:p>
        </w:tc>
        <w:tc>
          <w:tcPr>
            <w:tcW w:w="1276" w:type="dxa"/>
            <w:shd w:val="clear" w:color="auto" w:fill="auto"/>
            <w:vAlign w:val="bottom"/>
          </w:tcPr>
          <w:p w14:paraId="77F1FB65" w14:textId="77777777" w:rsidR="00491C93" w:rsidRPr="001C5E0E" w:rsidRDefault="00491C93" w:rsidP="00491C93">
            <w:pPr>
              <w:jc w:val="right"/>
              <w:rPr>
                <w:color w:val="000000"/>
                <w:sz w:val="16"/>
                <w:szCs w:val="16"/>
                <w:lang w:eastAsia="en-NZ"/>
              </w:rPr>
            </w:pPr>
            <w:r w:rsidRPr="001C5E0E">
              <w:rPr>
                <w:color w:val="000000"/>
                <w:sz w:val="16"/>
                <w:szCs w:val="16"/>
                <w:lang w:eastAsia="en-NZ"/>
              </w:rPr>
              <w:t>(5.95, 20.41)</w:t>
            </w:r>
          </w:p>
        </w:tc>
        <w:tc>
          <w:tcPr>
            <w:tcW w:w="850" w:type="dxa"/>
            <w:shd w:val="clear" w:color="auto" w:fill="auto"/>
            <w:vAlign w:val="bottom"/>
          </w:tcPr>
          <w:p w14:paraId="19465112" w14:textId="77777777" w:rsidR="00491C93" w:rsidRPr="007B750E" w:rsidRDefault="00491C93" w:rsidP="00491C93">
            <w:pPr>
              <w:jc w:val="right"/>
              <w:rPr>
                <w:color w:val="000000"/>
                <w:sz w:val="16"/>
                <w:szCs w:val="16"/>
                <w:lang w:eastAsia="en-NZ"/>
              </w:rPr>
            </w:pPr>
            <w:r w:rsidRPr="001C5E0E">
              <w:rPr>
                <w:color w:val="000000"/>
                <w:sz w:val="16"/>
                <w:szCs w:val="16"/>
                <w:lang w:eastAsia="en-NZ"/>
              </w:rPr>
              <w:t>&lt;</w:t>
            </w:r>
            <w:r>
              <w:rPr>
                <w:color w:val="000000"/>
                <w:sz w:val="16"/>
                <w:szCs w:val="16"/>
                <w:lang w:eastAsia="en-NZ"/>
              </w:rPr>
              <w:t>0</w:t>
            </w:r>
            <w:r w:rsidRPr="001C5E0E">
              <w:rPr>
                <w:color w:val="000000"/>
                <w:sz w:val="16"/>
                <w:szCs w:val="16"/>
                <w:lang w:eastAsia="en-NZ"/>
              </w:rPr>
              <w:t>.0001</w:t>
            </w:r>
          </w:p>
        </w:tc>
      </w:tr>
      <w:tr w:rsidR="00491C93" w:rsidRPr="001A61F1" w14:paraId="72963FCC" w14:textId="77777777" w:rsidTr="001C5E0E">
        <w:tc>
          <w:tcPr>
            <w:tcW w:w="5387" w:type="dxa"/>
            <w:vAlign w:val="bottom"/>
          </w:tcPr>
          <w:p w14:paraId="6E555DE0" w14:textId="77777777" w:rsidR="00491C93" w:rsidRPr="003F15C0" w:rsidRDefault="00491C93" w:rsidP="00491C93">
            <w:pPr>
              <w:spacing w:before="20"/>
              <w:jc w:val="both"/>
              <w:rPr>
                <w:b/>
                <w:sz w:val="16"/>
                <w:szCs w:val="16"/>
              </w:rPr>
            </w:pPr>
            <w:r w:rsidRPr="003F15C0">
              <w:rPr>
                <w:b/>
                <w:sz w:val="16"/>
                <w:szCs w:val="16"/>
              </w:rPr>
              <w:t>Gambling frequency</w:t>
            </w:r>
          </w:p>
        </w:tc>
        <w:tc>
          <w:tcPr>
            <w:tcW w:w="992" w:type="dxa"/>
            <w:shd w:val="clear" w:color="auto" w:fill="auto"/>
            <w:vAlign w:val="bottom"/>
          </w:tcPr>
          <w:p w14:paraId="5BFF4AD7"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6BE70CAB"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19DDF1E9" w14:textId="77777777" w:rsidR="00491C93" w:rsidRPr="007B750E" w:rsidRDefault="00491C93" w:rsidP="00491C93">
            <w:pPr>
              <w:jc w:val="right"/>
              <w:rPr>
                <w:color w:val="000000"/>
                <w:sz w:val="16"/>
                <w:szCs w:val="16"/>
                <w:lang w:eastAsia="en-NZ"/>
              </w:rPr>
            </w:pPr>
          </w:p>
        </w:tc>
      </w:tr>
      <w:tr w:rsidR="00491C93" w:rsidRPr="001A61F1" w14:paraId="7CF7675C" w14:textId="77777777" w:rsidTr="001C5E0E">
        <w:tc>
          <w:tcPr>
            <w:tcW w:w="5387" w:type="dxa"/>
          </w:tcPr>
          <w:p w14:paraId="091A723E" w14:textId="77777777" w:rsidR="00491C93" w:rsidRPr="003F15C0" w:rsidRDefault="00491C93" w:rsidP="00491C93">
            <w:pPr>
              <w:spacing w:before="20"/>
              <w:ind w:left="176"/>
              <w:jc w:val="both"/>
              <w:rPr>
                <w:sz w:val="16"/>
                <w:szCs w:val="16"/>
              </w:rPr>
            </w:pPr>
            <w:r w:rsidRPr="003F15C0">
              <w:rPr>
                <w:sz w:val="16"/>
                <w:szCs w:val="16"/>
              </w:rPr>
              <w:t>At least weekly</w:t>
            </w:r>
          </w:p>
        </w:tc>
        <w:tc>
          <w:tcPr>
            <w:tcW w:w="992" w:type="dxa"/>
            <w:shd w:val="clear" w:color="auto" w:fill="auto"/>
            <w:vAlign w:val="bottom"/>
          </w:tcPr>
          <w:p w14:paraId="569D752F"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71A582E8"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759C01A1" w14:textId="77777777" w:rsidR="00491C93" w:rsidRPr="00BA3C70" w:rsidRDefault="00491C93" w:rsidP="00491C93">
            <w:pPr>
              <w:jc w:val="right"/>
              <w:rPr>
                <w:color w:val="000000"/>
                <w:sz w:val="16"/>
                <w:szCs w:val="16"/>
                <w:lang w:eastAsia="en-NZ"/>
              </w:rPr>
            </w:pPr>
          </w:p>
        </w:tc>
      </w:tr>
      <w:tr w:rsidR="00491C93" w:rsidRPr="001A61F1" w14:paraId="70FA9351" w14:textId="77777777" w:rsidTr="001C5E0E">
        <w:tc>
          <w:tcPr>
            <w:tcW w:w="5387" w:type="dxa"/>
          </w:tcPr>
          <w:p w14:paraId="3A452796" w14:textId="77777777" w:rsidR="00491C93" w:rsidRPr="003F15C0" w:rsidRDefault="00491C93" w:rsidP="00491C93">
            <w:pPr>
              <w:spacing w:before="20"/>
              <w:ind w:left="176"/>
              <w:jc w:val="both"/>
              <w:rPr>
                <w:sz w:val="16"/>
                <w:szCs w:val="16"/>
              </w:rPr>
            </w:pPr>
            <w:r w:rsidRPr="003F15C0">
              <w:rPr>
                <w:sz w:val="16"/>
                <w:szCs w:val="16"/>
              </w:rPr>
              <w:t>At least monthly</w:t>
            </w:r>
          </w:p>
        </w:tc>
        <w:tc>
          <w:tcPr>
            <w:tcW w:w="992" w:type="dxa"/>
            <w:shd w:val="clear" w:color="auto" w:fill="auto"/>
            <w:vAlign w:val="bottom"/>
          </w:tcPr>
          <w:p w14:paraId="0A0C8661" w14:textId="77777777" w:rsidR="00491C93" w:rsidRPr="00BA3C70" w:rsidRDefault="00491C93" w:rsidP="00491C93">
            <w:pPr>
              <w:jc w:val="right"/>
              <w:rPr>
                <w:color w:val="000000"/>
                <w:sz w:val="16"/>
                <w:szCs w:val="16"/>
                <w:lang w:eastAsia="en-NZ"/>
              </w:rPr>
            </w:pPr>
            <w:r w:rsidRPr="00BA3C70">
              <w:rPr>
                <w:color w:val="000000"/>
                <w:sz w:val="16"/>
                <w:szCs w:val="16"/>
                <w:lang w:eastAsia="en-NZ"/>
              </w:rPr>
              <w:t>0.38</w:t>
            </w:r>
          </w:p>
        </w:tc>
        <w:tc>
          <w:tcPr>
            <w:tcW w:w="1276" w:type="dxa"/>
            <w:shd w:val="clear" w:color="auto" w:fill="auto"/>
            <w:vAlign w:val="bottom"/>
          </w:tcPr>
          <w:p w14:paraId="1D8BE566" w14:textId="77777777" w:rsidR="00491C93" w:rsidRPr="00BA3C70" w:rsidRDefault="00491C93" w:rsidP="00491C93">
            <w:pPr>
              <w:jc w:val="right"/>
              <w:rPr>
                <w:color w:val="000000"/>
                <w:sz w:val="16"/>
                <w:szCs w:val="16"/>
                <w:lang w:eastAsia="en-NZ"/>
              </w:rPr>
            </w:pPr>
            <w:r w:rsidRPr="00BA3C70">
              <w:rPr>
                <w:color w:val="000000"/>
                <w:sz w:val="16"/>
                <w:szCs w:val="16"/>
                <w:lang w:eastAsia="en-NZ"/>
              </w:rPr>
              <w:t>(0.21, 0.67)</w:t>
            </w:r>
          </w:p>
        </w:tc>
        <w:tc>
          <w:tcPr>
            <w:tcW w:w="850" w:type="dxa"/>
            <w:shd w:val="clear" w:color="auto" w:fill="auto"/>
            <w:vAlign w:val="bottom"/>
          </w:tcPr>
          <w:p w14:paraId="1AEC2956" w14:textId="77777777" w:rsidR="00491C93" w:rsidRPr="00BA3C70" w:rsidRDefault="00491C93" w:rsidP="00491C93">
            <w:pPr>
              <w:jc w:val="right"/>
              <w:rPr>
                <w:color w:val="000000"/>
                <w:sz w:val="16"/>
                <w:szCs w:val="16"/>
                <w:lang w:eastAsia="en-NZ"/>
              </w:rPr>
            </w:pPr>
          </w:p>
        </w:tc>
      </w:tr>
      <w:tr w:rsidR="00491C93" w:rsidRPr="001A61F1" w14:paraId="504C4214" w14:textId="77777777" w:rsidTr="00173F02">
        <w:tc>
          <w:tcPr>
            <w:tcW w:w="5387" w:type="dxa"/>
          </w:tcPr>
          <w:p w14:paraId="57F28AC7" w14:textId="77777777" w:rsidR="00491C93" w:rsidRPr="003F15C0" w:rsidRDefault="00491C93" w:rsidP="00491C93">
            <w:pPr>
              <w:spacing w:before="20"/>
              <w:ind w:left="176"/>
              <w:jc w:val="both"/>
              <w:rPr>
                <w:sz w:val="16"/>
                <w:szCs w:val="16"/>
              </w:rPr>
            </w:pPr>
            <w:r w:rsidRPr="003F15C0">
              <w:rPr>
                <w:sz w:val="16"/>
                <w:szCs w:val="16"/>
              </w:rPr>
              <w:t>At least once in past year</w:t>
            </w:r>
          </w:p>
        </w:tc>
        <w:tc>
          <w:tcPr>
            <w:tcW w:w="992" w:type="dxa"/>
            <w:shd w:val="clear" w:color="auto" w:fill="auto"/>
            <w:vAlign w:val="bottom"/>
          </w:tcPr>
          <w:p w14:paraId="0EC2D3FB" w14:textId="77777777" w:rsidR="00491C93" w:rsidRPr="00BA3C70" w:rsidRDefault="00491C93" w:rsidP="00491C93">
            <w:pPr>
              <w:jc w:val="right"/>
              <w:rPr>
                <w:color w:val="000000"/>
                <w:sz w:val="16"/>
                <w:szCs w:val="16"/>
                <w:lang w:eastAsia="en-NZ"/>
              </w:rPr>
            </w:pPr>
            <w:r w:rsidRPr="00BA3C70">
              <w:rPr>
                <w:color w:val="000000"/>
                <w:sz w:val="16"/>
                <w:szCs w:val="16"/>
                <w:lang w:eastAsia="en-NZ"/>
              </w:rPr>
              <w:t>0.10</w:t>
            </w:r>
          </w:p>
        </w:tc>
        <w:tc>
          <w:tcPr>
            <w:tcW w:w="1276" w:type="dxa"/>
            <w:shd w:val="clear" w:color="auto" w:fill="auto"/>
            <w:vAlign w:val="bottom"/>
          </w:tcPr>
          <w:p w14:paraId="634AF5EF" w14:textId="77777777" w:rsidR="00491C93" w:rsidRPr="00BA3C70" w:rsidRDefault="00491C93" w:rsidP="00491C93">
            <w:pPr>
              <w:jc w:val="right"/>
              <w:rPr>
                <w:color w:val="000000"/>
                <w:sz w:val="16"/>
                <w:szCs w:val="16"/>
                <w:lang w:eastAsia="en-NZ"/>
              </w:rPr>
            </w:pPr>
            <w:r w:rsidRPr="00BA3C70">
              <w:rPr>
                <w:color w:val="000000"/>
                <w:sz w:val="16"/>
                <w:szCs w:val="16"/>
                <w:lang w:eastAsia="en-NZ"/>
              </w:rPr>
              <w:t>(0.05, 0.22)</w:t>
            </w:r>
          </w:p>
        </w:tc>
        <w:tc>
          <w:tcPr>
            <w:tcW w:w="850" w:type="dxa"/>
            <w:shd w:val="clear" w:color="auto" w:fill="auto"/>
            <w:vAlign w:val="bottom"/>
          </w:tcPr>
          <w:p w14:paraId="4DC9C30A" w14:textId="77777777" w:rsidR="00491C93" w:rsidRPr="00BA3C70" w:rsidRDefault="00491C93" w:rsidP="00491C93">
            <w:pPr>
              <w:jc w:val="right"/>
              <w:rPr>
                <w:color w:val="000000"/>
                <w:sz w:val="16"/>
                <w:szCs w:val="16"/>
                <w:lang w:eastAsia="en-NZ"/>
              </w:rPr>
            </w:pPr>
            <w:r w:rsidRPr="00BA3C70">
              <w:rPr>
                <w:color w:val="000000"/>
                <w:sz w:val="16"/>
                <w:szCs w:val="16"/>
                <w:lang w:eastAsia="en-NZ"/>
              </w:rPr>
              <w:t>&lt;0.0001</w:t>
            </w:r>
          </w:p>
        </w:tc>
      </w:tr>
      <w:tr w:rsidR="00491C93" w:rsidRPr="001A61F1" w14:paraId="489B1C0A" w14:textId="77777777" w:rsidTr="001C5E0E">
        <w:tc>
          <w:tcPr>
            <w:tcW w:w="5387" w:type="dxa"/>
            <w:vAlign w:val="bottom"/>
          </w:tcPr>
          <w:p w14:paraId="188FE53D" w14:textId="77777777" w:rsidR="00491C93" w:rsidRPr="003F15C0" w:rsidRDefault="00491C93" w:rsidP="00491C93">
            <w:pPr>
              <w:keepNext/>
              <w:keepLines/>
              <w:spacing w:before="20"/>
              <w:jc w:val="both"/>
              <w:rPr>
                <w:b/>
                <w:sz w:val="16"/>
                <w:szCs w:val="16"/>
              </w:rPr>
            </w:pPr>
            <w:r w:rsidRPr="003F15C0">
              <w:rPr>
                <w:rFonts w:eastAsiaTheme="minorEastAsia"/>
                <w:b/>
                <w:sz w:val="16"/>
                <w:szCs w:val="16"/>
                <w:lang w:eastAsia="en-US"/>
              </w:rPr>
              <w:t>Typical monthly gambling expenditure</w:t>
            </w:r>
          </w:p>
        </w:tc>
        <w:tc>
          <w:tcPr>
            <w:tcW w:w="992" w:type="dxa"/>
            <w:shd w:val="clear" w:color="auto" w:fill="auto"/>
            <w:vAlign w:val="bottom"/>
          </w:tcPr>
          <w:p w14:paraId="635A252F"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1451559E"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0F4E4433" w14:textId="77777777" w:rsidR="00491C93" w:rsidRPr="007B750E" w:rsidRDefault="00491C93" w:rsidP="00491C93">
            <w:pPr>
              <w:jc w:val="right"/>
              <w:rPr>
                <w:color w:val="000000"/>
                <w:sz w:val="16"/>
                <w:szCs w:val="16"/>
                <w:lang w:eastAsia="en-NZ"/>
              </w:rPr>
            </w:pPr>
          </w:p>
        </w:tc>
      </w:tr>
      <w:tr w:rsidR="00491C93" w:rsidRPr="001A61F1" w14:paraId="629B67FE" w14:textId="77777777" w:rsidTr="001C5E0E">
        <w:tc>
          <w:tcPr>
            <w:tcW w:w="5387" w:type="dxa"/>
          </w:tcPr>
          <w:p w14:paraId="018F785D" w14:textId="77777777" w:rsidR="00491C93" w:rsidRPr="003F15C0" w:rsidRDefault="00F70724" w:rsidP="00491C93">
            <w:pPr>
              <w:spacing w:before="20"/>
              <w:ind w:left="176"/>
              <w:jc w:val="both"/>
              <w:rPr>
                <w:sz w:val="16"/>
                <w:szCs w:val="16"/>
              </w:rPr>
            </w:pPr>
            <w:r>
              <w:rPr>
                <w:sz w:val="16"/>
                <w:szCs w:val="16"/>
              </w:rPr>
              <w:t>≤</w:t>
            </w:r>
            <w:r w:rsidR="00491C93" w:rsidRPr="003F15C0">
              <w:rPr>
                <w:sz w:val="16"/>
                <w:szCs w:val="16"/>
              </w:rPr>
              <w:t>$</w:t>
            </w:r>
            <w:r w:rsidR="00491C93">
              <w:rPr>
                <w:sz w:val="16"/>
                <w:szCs w:val="16"/>
              </w:rPr>
              <w:t>20</w:t>
            </w:r>
          </w:p>
        </w:tc>
        <w:tc>
          <w:tcPr>
            <w:tcW w:w="992" w:type="dxa"/>
            <w:shd w:val="clear" w:color="auto" w:fill="auto"/>
            <w:vAlign w:val="bottom"/>
          </w:tcPr>
          <w:p w14:paraId="78093B42"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15334B04"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6BD19704" w14:textId="77777777" w:rsidR="00491C93" w:rsidRPr="00BA3C70" w:rsidRDefault="00491C93" w:rsidP="00491C93">
            <w:pPr>
              <w:jc w:val="right"/>
              <w:rPr>
                <w:color w:val="000000"/>
                <w:sz w:val="16"/>
                <w:szCs w:val="16"/>
                <w:lang w:eastAsia="en-NZ"/>
              </w:rPr>
            </w:pPr>
          </w:p>
        </w:tc>
      </w:tr>
      <w:tr w:rsidR="00491C93" w:rsidRPr="001A61F1" w14:paraId="616EAC04" w14:textId="77777777" w:rsidTr="00173F02">
        <w:tc>
          <w:tcPr>
            <w:tcW w:w="5387" w:type="dxa"/>
          </w:tcPr>
          <w:p w14:paraId="7EF158B5" w14:textId="77777777" w:rsidR="00491C93" w:rsidRPr="003F15C0" w:rsidRDefault="00491C93" w:rsidP="00491C93">
            <w:pPr>
              <w:spacing w:before="20"/>
              <w:ind w:left="176"/>
              <w:jc w:val="both"/>
              <w:rPr>
                <w:sz w:val="16"/>
                <w:szCs w:val="16"/>
              </w:rPr>
            </w:pPr>
            <w:r w:rsidRPr="003F15C0">
              <w:rPr>
                <w:sz w:val="16"/>
                <w:szCs w:val="16"/>
              </w:rPr>
              <w:t>$21 - $</w:t>
            </w:r>
            <w:r>
              <w:rPr>
                <w:sz w:val="16"/>
                <w:szCs w:val="16"/>
              </w:rPr>
              <w:t>5</w:t>
            </w:r>
            <w:r w:rsidRPr="003F15C0">
              <w:rPr>
                <w:sz w:val="16"/>
                <w:szCs w:val="16"/>
              </w:rPr>
              <w:t>0</w:t>
            </w:r>
          </w:p>
        </w:tc>
        <w:tc>
          <w:tcPr>
            <w:tcW w:w="992" w:type="dxa"/>
            <w:shd w:val="clear" w:color="auto" w:fill="auto"/>
            <w:vAlign w:val="bottom"/>
          </w:tcPr>
          <w:p w14:paraId="0BE50501" w14:textId="77777777" w:rsidR="00491C93" w:rsidRPr="00BA3C70" w:rsidRDefault="00491C93" w:rsidP="00491C93">
            <w:pPr>
              <w:jc w:val="right"/>
              <w:rPr>
                <w:color w:val="000000"/>
                <w:sz w:val="16"/>
                <w:szCs w:val="16"/>
                <w:lang w:eastAsia="en-NZ"/>
              </w:rPr>
            </w:pPr>
            <w:r w:rsidRPr="00BA3C70">
              <w:rPr>
                <w:color w:val="000000"/>
                <w:sz w:val="16"/>
                <w:szCs w:val="16"/>
                <w:lang w:eastAsia="en-NZ"/>
              </w:rPr>
              <w:t>2.01</w:t>
            </w:r>
          </w:p>
        </w:tc>
        <w:tc>
          <w:tcPr>
            <w:tcW w:w="1276" w:type="dxa"/>
            <w:shd w:val="clear" w:color="auto" w:fill="auto"/>
            <w:vAlign w:val="bottom"/>
          </w:tcPr>
          <w:p w14:paraId="6BFDA48B" w14:textId="77777777" w:rsidR="00491C93" w:rsidRPr="00BA3C70" w:rsidRDefault="00491C93" w:rsidP="00491C93">
            <w:pPr>
              <w:jc w:val="right"/>
              <w:rPr>
                <w:color w:val="000000"/>
                <w:sz w:val="16"/>
                <w:szCs w:val="16"/>
                <w:lang w:eastAsia="en-NZ"/>
              </w:rPr>
            </w:pPr>
            <w:r w:rsidRPr="00BA3C70">
              <w:rPr>
                <w:color w:val="000000"/>
                <w:sz w:val="16"/>
                <w:szCs w:val="16"/>
                <w:lang w:eastAsia="en-NZ"/>
              </w:rPr>
              <w:t>(0.81, 5.47)</w:t>
            </w:r>
          </w:p>
        </w:tc>
        <w:tc>
          <w:tcPr>
            <w:tcW w:w="850" w:type="dxa"/>
            <w:shd w:val="clear" w:color="auto" w:fill="auto"/>
            <w:vAlign w:val="bottom"/>
          </w:tcPr>
          <w:p w14:paraId="7C9E56A3" w14:textId="77777777" w:rsidR="00491C93" w:rsidRPr="00BA3C70" w:rsidRDefault="00491C93" w:rsidP="00491C93">
            <w:pPr>
              <w:jc w:val="right"/>
              <w:rPr>
                <w:color w:val="000000"/>
                <w:sz w:val="16"/>
                <w:szCs w:val="16"/>
                <w:lang w:eastAsia="en-NZ"/>
              </w:rPr>
            </w:pPr>
          </w:p>
        </w:tc>
      </w:tr>
      <w:tr w:rsidR="00491C93" w:rsidRPr="001A61F1" w14:paraId="2ACFDD56" w14:textId="77777777" w:rsidTr="00173F02">
        <w:tc>
          <w:tcPr>
            <w:tcW w:w="5387" w:type="dxa"/>
            <w:tcBorders>
              <w:bottom w:val="single" w:sz="4" w:space="0" w:color="auto"/>
            </w:tcBorders>
          </w:tcPr>
          <w:p w14:paraId="6DC9F895" w14:textId="77777777" w:rsidR="00491C93" w:rsidRPr="003F15C0" w:rsidRDefault="00491C93" w:rsidP="00491C93">
            <w:pPr>
              <w:spacing w:before="20"/>
              <w:ind w:left="176"/>
              <w:jc w:val="both"/>
              <w:rPr>
                <w:sz w:val="16"/>
                <w:szCs w:val="16"/>
              </w:rPr>
            </w:pPr>
            <w:r>
              <w:rPr>
                <w:sz w:val="16"/>
                <w:szCs w:val="16"/>
              </w:rPr>
              <w:t>&gt;$50</w:t>
            </w:r>
          </w:p>
        </w:tc>
        <w:tc>
          <w:tcPr>
            <w:tcW w:w="992" w:type="dxa"/>
            <w:tcBorders>
              <w:bottom w:val="single" w:sz="4" w:space="0" w:color="auto"/>
            </w:tcBorders>
            <w:shd w:val="clear" w:color="auto" w:fill="auto"/>
            <w:vAlign w:val="bottom"/>
          </w:tcPr>
          <w:p w14:paraId="785251E1" w14:textId="77777777" w:rsidR="00491C93" w:rsidRPr="00BA3C70" w:rsidRDefault="00491C93" w:rsidP="00491C93">
            <w:pPr>
              <w:jc w:val="right"/>
              <w:rPr>
                <w:color w:val="000000"/>
                <w:sz w:val="16"/>
                <w:szCs w:val="16"/>
                <w:lang w:eastAsia="en-NZ"/>
              </w:rPr>
            </w:pPr>
            <w:r w:rsidRPr="00BA3C70">
              <w:rPr>
                <w:color w:val="000000"/>
                <w:sz w:val="16"/>
                <w:szCs w:val="16"/>
                <w:lang w:eastAsia="en-NZ"/>
              </w:rPr>
              <w:t>14.95</w:t>
            </w:r>
          </w:p>
        </w:tc>
        <w:tc>
          <w:tcPr>
            <w:tcW w:w="1276" w:type="dxa"/>
            <w:tcBorders>
              <w:bottom w:val="single" w:sz="4" w:space="0" w:color="auto"/>
            </w:tcBorders>
            <w:shd w:val="clear" w:color="auto" w:fill="auto"/>
            <w:vAlign w:val="bottom"/>
          </w:tcPr>
          <w:p w14:paraId="091C185B" w14:textId="77777777" w:rsidR="00491C93" w:rsidRPr="00BA3C70" w:rsidRDefault="00491C93" w:rsidP="00491C93">
            <w:pPr>
              <w:jc w:val="right"/>
              <w:rPr>
                <w:color w:val="000000"/>
                <w:sz w:val="16"/>
                <w:szCs w:val="16"/>
                <w:lang w:eastAsia="en-NZ"/>
              </w:rPr>
            </w:pPr>
            <w:r w:rsidRPr="00BA3C70">
              <w:rPr>
                <w:color w:val="000000"/>
                <w:sz w:val="16"/>
                <w:szCs w:val="16"/>
                <w:lang w:eastAsia="en-NZ"/>
              </w:rPr>
              <w:t>(6.44, 34.74)</w:t>
            </w:r>
          </w:p>
        </w:tc>
        <w:tc>
          <w:tcPr>
            <w:tcW w:w="850" w:type="dxa"/>
            <w:tcBorders>
              <w:bottom w:val="single" w:sz="4" w:space="0" w:color="auto"/>
            </w:tcBorders>
            <w:shd w:val="clear" w:color="auto" w:fill="auto"/>
            <w:vAlign w:val="bottom"/>
          </w:tcPr>
          <w:p w14:paraId="15DF1907" w14:textId="77777777" w:rsidR="00491C93" w:rsidRPr="00BA3C70" w:rsidRDefault="00491C93" w:rsidP="00491C93">
            <w:pPr>
              <w:jc w:val="right"/>
              <w:rPr>
                <w:color w:val="000000"/>
                <w:sz w:val="16"/>
                <w:szCs w:val="16"/>
                <w:lang w:eastAsia="en-NZ"/>
              </w:rPr>
            </w:pPr>
            <w:r w:rsidRPr="00BA3C70">
              <w:rPr>
                <w:color w:val="000000"/>
                <w:sz w:val="16"/>
                <w:szCs w:val="16"/>
                <w:lang w:eastAsia="en-NZ"/>
              </w:rPr>
              <w:t>&lt;0.0001</w:t>
            </w:r>
          </w:p>
        </w:tc>
      </w:tr>
      <w:tr w:rsidR="00491C93" w:rsidRPr="001A61F1" w14:paraId="12F0D940" w14:textId="77777777" w:rsidTr="00173F02">
        <w:tc>
          <w:tcPr>
            <w:tcW w:w="5387" w:type="dxa"/>
            <w:tcBorders>
              <w:top w:val="single" w:sz="4" w:space="0" w:color="auto"/>
            </w:tcBorders>
            <w:vAlign w:val="bottom"/>
          </w:tcPr>
          <w:p w14:paraId="036B0423" w14:textId="77777777" w:rsidR="00491C93" w:rsidRPr="003F15C0" w:rsidRDefault="00491C93" w:rsidP="00173F02">
            <w:pPr>
              <w:keepNext/>
              <w:spacing w:before="20"/>
              <w:jc w:val="both"/>
              <w:rPr>
                <w:b/>
                <w:sz w:val="16"/>
                <w:szCs w:val="16"/>
              </w:rPr>
            </w:pPr>
            <w:r w:rsidRPr="003F15C0">
              <w:rPr>
                <w:b/>
                <w:sz w:val="16"/>
                <w:szCs w:val="16"/>
              </w:rPr>
              <w:t>Cards games - annual</w:t>
            </w:r>
          </w:p>
        </w:tc>
        <w:tc>
          <w:tcPr>
            <w:tcW w:w="992" w:type="dxa"/>
            <w:tcBorders>
              <w:top w:val="single" w:sz="4" w:space="0" w:color="auto"/>
            </w:tcBorders>
            <w:shd w:val="clear" w:color="auto" w:fill="auto"/>
            <w:vAlign w:val="bottom"/>
          </w:tcPr>
          <w:p w14:paraId="3B8A68AA" w14:textId="77777777" w:rsidR="00491C93" w:rsidRPr="007B750E" w:rsidRDefault="00491C93" w:rsidP="00173F02">
            <w:pPr>
              <w:keepNext/>
              <w:jc w:val="right"/>
              <w:rPr>
                <w:color w:val="000000"/>
                <w:sz w:val="16"/>
                <w:szCs w:val="16"/>
                <w:lang w:eastAsia="en-NZ"/>
              </w:rPr>
            </w:pPr>
          </w:p>
        </w:tc>
        <w:tc>
          <w:tcPr>
            <w:tcW w:w="1276" w:type="dxa"/>
            <w:tcBorders>
              <w:top w:val="single" w:sz="4" w:space="0" w:color="auto"/>
            </w:tcBorders>
            <w:shd w:val="clear" w:color="auto" w:fill="auto"/>
            <w:vAlign w:val="bottom"/>
          </w:tcPr>
          <w:p w14:paraId="47DE1334" w14:textId="77777777" w:rsidR="00491C93" w:rsidRPr="007B750E" w:rsidRDefault="00491C93" w:rsidP="00173F02">
            <w:pPr>
              <w:keepNext/>
              <w:jc w:val="right"/>
              <w:rPr>
                <w:color w:val="000000"/>
                <w:sz w:val="16"/>
                <w:szCs w:val="16"/>
                <w:lang w:eastAsia="en-NZ"/>
              </w:rPr>
            </w:pPr>
          </w:p>
        </w:tc>
        <w:tc>
          <w:tcPr>
            <w:tcW w:w="850" w:type="dxa"/>
            <w:tcBorders>
              <w:top w:val="single" w:sz="4" w:space="0" w:color="auto"/>
            </w:tcBorders>
            <w:shd w:val="clear" w:color="auto" w:fill="auto"/>
            <w:vAlign w:val="bottom"/>
          </w:tcPr>
          <w:p w14:paraId="2D939CBD" w14:textId="77777777" w:rsidR="00491C93" w:rsidRPr="007B750E" w:rsidRDefault="00491C93" w:rsidP="00173F02">
            <w:pPr>
              <w:keepNext/>
              <w:jc w:val="right"/>
              <w:rPr>
                <w:color w:val="000000"/>
                <w:sz w:val="16"/>
                <w:szCs w:val="16"/>
                <w:lang w:eastAsia="en-NZ"/>
              </w:rPr>
            </w:pPr>
          </w:p>
        </w:tc>
      </w:tr>
      <w:tr w:rsidR="00491C93" w:rsidRPr="001A61F1" w14:paraId="405100A5" w14:textId="77777777" w:rsidTr="00173F02">
        <w:tc>
          <w:tcPr>
            <w:tcW w:w="5387" w:type="dxa"/>
          </w:tcPr>
          <w:p w14:paraId="3CCB36E1" w14:textId="77777777" w:rsidR="00491C93" w:rsidRPr="003F15C0" w:rsidRDefault="00491C93" w:rsidP="00173F02">
            <w:pPr>
              <w:keepNext/>
              <w:spacing w:before="20"/>
              <w:ind w:left="176"/>
              <w:jc w:val="both"/>
              <w:rPr>
                <w:sz w:val="16"/>
                <w:szCs w:val="16"/>
              </w:rPr>
            </w:pPr>
            <w:r w:rsidRPr="003F15C0">
              <w:rPr>
                <w:sz w:val="16"/>
                <w:szCs w:val="16"/>
              </w:rPr>
              <w:t>No</w:t>
            </w:r>
          </w:p>
        </w:tc>
        <w:tc>
          <w:tcPr>
            <w:tcW w:w="992" w:type="dxa"/>
            <w:shd w:val="clear" w:color="auto" w:fill="auto"/>
            <w:vAlign w:val="bottom"/>
          </w:tcPr>
          <w:p w14:paraId="5B052C47" w14:textId="77777777" w:rsidR="00491C93" w:rsidRPr="00BA3C70" w:rsidRDefault="00491C93" w:rsidP="00173F02">
            <w:pPr>
              <w:keepNext/>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70809820" w14:textId="77777777" w:rsidR="00491C93" w:rsidRPr="00BA3C70" w:rsidRDefault="00491C93" w:rsidP="00173F02">
            <w:pPr>
              <w:keepNext/>
              <w:jc w:val="right"/>
              <w:rPr>
                <w:color w:val="000000"/>
                <w:sz w:val="16"/>
                <w:szCs w:val="16"/>
                <w:lang w:eastAsia="en-NZ"/>
              </w:rPr>
            </w:pPr>
          </w:p>
        </w:tc>
        <w:tc>
          <w:tcPr>
            <w:tcW w:w="850" w:type="dxa"/>
            <w:shd w:val="clear" w:color="auto" w:fill="auto"/>
            <w:vAlign w:val="bottom"/>
          </w:tcPr>
          <w:p w14:paraId="1058F8E4" w14:textId="77777777" w:rsidR="00491C93" w:rsidRPr="00BA3C70" w:rsidRDefault="00491C93" w:rsidP="00173F02">
            <w:pPr>
              <w:keepNext/>
              <w:jc w:val="right"/>
              <w:rPr>
                <w:color w:val="000000"/>
                <w:sz w:val="16"/>
                <w:szCs w:val="16"/>
                <w:lang w:eastAsia="en-NZ"/>
              </w:rPr>
            </w:pPr>
          </w:p>
        </w:tc>
      </w:tr>
      <w:tr w:rsidR="00491C93" w:rsidRPr="001A61F1" w14:paraId="099BBE33" w14:textId="77777777" w:rsidTr="00173F02">
        <w:tc>
          <w:tcPr>
            <w:tcW w:w="5387" w:type="dxa"/>
          </w:tcPr>
          <w:p w14:paraId="7E928E28" w14:textId="77777777" w:rsidR="00491C93" w:rsidRPr="003F15C0" w:rsidRDefault="00491C93" w:rsidP="00173F02">
            <w:pPr>
              <w:keepNext/>
              <w:spacing w:before="20"/>
              <w:ind w:left="176"/>
              <w:jc w:val="both"/>
              <w:rPr>
                <w:sz w:val="16"/>
                <w:szCs w:val="16"/>
              </w:rPr>
            </w:pPr>
            <w:r w:rsidRPr="003F15C0">
              <w:rPr>
                <w:sz w:val="16"/>
                <w:szCs w:val="16"/>
              </w:rPr>
              <w:t>Yes</w:t>
            </w:r>
          </w:p>
        </w:tc>
        <w:tc>
          <w:tcPr>
            <w:tcW w:w="992" w:type="dxa"/>
            <w:shd w:val="clear" w:color="auto" w:fill="auto"/>
            <w:vAlign w:val="bottom"/>
          </w:tcPr>
          <w:p w14:paraId="57649B07" w14:textId="77777777" w:rsidR="00491C93" w:rsidRPr="00BA3C70" w:rsidRDefault="00491C93" w:rsidP="00173F02">
            <w:pPr>
              <w:keepNext/>
              <w:jc w:val="right"/>
              <w:rPr>
                <w:color w:val="000000"/>
                <w:sz w:val="16"/>
                <w:szCs w:val="16"/>
                <w:lang w:eastAsia="en-NZ"/>
              </w:rPr>
            </w:pPr>
            <w:r w:rsidRPr="00BA3C70">
              <w:rPr>
                <w:color w:val="000000"/>
                <w:sz w:val="16"/>
                <w:szCs w:val="16"/>
                <w:lang w:eastAsia="en-NZ"/>
              </w:rPr>
              <w:t>3.62</w:t>
            </w:r>
          </w:p>
        </w:tc>
        <w:tc>
          <w:tcPr>
            <w:tcW w:w="1276" w:type="dxa"/>
            <w:shd w:val="clear" w:color="auto" w:fill="auto"/>
            <w:vAlign w:val="bottom"/>
          </w:tcPr>
          <w:p w14:paraId="499C372E" w14:textId="77777777" w:rsidR="00491C93" w:rsidRPr="00BA3C70" w:rsidRDefault="00491C93" w:rsidP="00173F02">
            <w:pPr>
              <w:keepNext/>
              <w:jc w:val="right"/>
              <w:rPr>
                <w:color w:val="000000"/>
                <w:sz w:val="16"/>
                <w:szCs w:val="16"/>
                <w:lang w:eastAsia="en-NZ"/>
              </w:rPr>
            </w:pPr>
            <w:r w:rsidRPr="00BA3C70">
              <w:rPr>
                <w:color w:val="000000"/>
                <w:sz w:val="16"/>
                <w:szCs w:val="16"/>
                <w:lang w:eastAsia="en-NZ"/>
              </w:rPr>
              <w:t>(1.57, 8.39)</w:t>
            </w:r>
          </w:p>
        </w:tc>
        <w:tc>
          <w:tcPr>
            <w:tcW w:w="850" w:type="dxa"/>
            <w:shd w:val="clear" w:color="auto" w:fill="auto"/>
            <w:vAlign w:val="bottom"/>
          </w:tcPr>
          <w:p w14:paraId="08FDBF2C" w14:textId="77777777" w:rsidR="00491C93" w:rsidRPr="00BA3C70" w:rsidRDefault="00491C93" w:rsidP="00173F02">
            <w:pPr>
              <w:keepNext/>
              <w:jc w:val="right"/>
              <w:rPr>
                <w:color w:val="000000"/>
                <w:sz w:val="16"/>
                <w:szCs w:val="16"/>
                <w:lang w:eastAsia="en-NZ"/>
              </w:rPr>
            </w:pPr>
            <w:r w:rsidRPr="00BA3C70">
              <w:rPr>
                <w:color w:val="000000"/>
                <w:sz w:val="16"/>
                <w:szCs w:val="16"/>
                <w:lang w:eastAsia="en-NZ"/>
              </w:rPr>
              <w:t>0.003</w:t>
            </w:r>
          </w:p>
        </w:tc>
      </w:tr>
      <w:tr w:rsidR="00491C93" w:rsidRPr="001A61F1" w14:paraId="04B2029A" w14:textId="77777777" w:rsidTr="00173F02">
        <w:tc>
          <w:tcPr>
            <w:tcW w:w="5387" w:type="dxa"/>
            <w:vAlign w:val="bottom"/>
          </w:tcPr>
          <w:p w14:paraId="36DC5B62" w14:textId="77777777" w:rsidR="00491C93" w:rsidRPr="003F15C0" w:rsidRDefault="00491C93" w:rsidP="00491C93">
            <w:pPr>
              <w:keepNext/>
              <w:spacing w:before="20"/>
              <w:jc w:val="both"/>
              <w:rPr>
                <w:b/>
                <w:sz w:val="16"/>
                <w:szCs w:val="16"/>
              </w:rPr>
            </w:pPr>
            <w:r w:rsidRPr="003F15C0">
              <w:rPr>
                <w:b/>
                <w:sz w:val="16"/>
                <w:szCs w:val="16"/>
              </w:rPr>
              <w:t>Bets with friends/workmates - annual</w:t>
            </w:r>
          </w:p>
        </w:tc>
        <w:tc>
          <w:tcPr>
            <w:tcW w:w="992" w:type="dxa"/>
            <w:shd w:val="clear" w:color="auto" w:fill="auto"/>
            <w:vAlign w:val="bottom"/>
          </w:tcPr>
          <w:p w14:paraId="3EAA8290" w14:textId="77777777" w:rsidR="00491C93" w:rsidRPr="007B750E" w:rsidRDefault="00491C93" w:rsidP="00491C93">
            <w:pPr>
              <w:keepNext/>
              <w:jc w:val="right"/>
              <w:rPr>
                <w:color w:val="000000"/>
                <w:sz w:val="16"/>
                <w:szCs w:val="16"/>
                <w:lang w:eastAsia="en-NZ"/>
              </w:rPr>
            </w:pPr>
          </w:p>
        </w:tc>
        <w:tc>
          <w:tcPr>
            <w:tcW w:w="1276" w:type="dxa"/>
            <w:shd w:val="clear" w:color="auto" w:fill="auto"/>
            <w:vAlign w:val="bottom"/>
          </w:tcPr>
          <w:p w14:paraId="2E5F9E7D" w14:textId="77777777" w:rsidR="00491C93" w:rsidRPr="007B750E" w:rsidRDefault="00491C93" w:rsidP="00491C93">
            <w:pPr>
              <w:keepNext/>
              <w:jc w:val="right"/>
              <w:rPr>
                <w:color w:val="000000"/>
                <w:sz w:val="16"/>
                <w:szCs w:val="16"/>
                <w:lang w:eastAsia="en-NZ"/>
              </w:rPr>
            </w:pPr>
          </w:p>
        </w:tc>
        <w:tc>
          <w:tcPr>
            <w:tcW w:w="850" w:type="dxa"/>
            <w:shd w:val="clear" w:color="auto" w:fill="auto"/>
            <w:vAlign w:val="bottom"/>
          </w:tcPr>
          <w:p w14:paraId="254FE286" w14:textId="77777777" w:rsidR="00491C93" w:rsidRPr="007B750E" w:rsidRDefault="00491C93" w:rsidP="00491C93">
            <w:pPr>
              <w:keepNext/>
              <w:jc w:val="right"/>
              <w:rPr>
                <w:color w:val="000000"/>
                <w:sz w:val="16"/>
                <w:szCs w:val="16"/>
                <w:lang w:eastAsia="en-NZ"/>
              </w:rPr>
            </w:pPr>
          </w:p>
        </w:tc>
      </w:tr>
      <w:tr w:rsidR="00491C93" w:rsidRPr="001A61F1" w14:paraId="2C46DE87" w14:textId="77777777" w:rsidTr="001C5E0E">
        <w:tc>
          <w:tcPr>
            <w:tcW w:w="5387" w:type="dxa"/>
          </w:tcPr>
          <w:p w14:paraId="3C1A9235" w14:textId="77777777" w:rsidR="00491C93" w:rsidRPr="003F15C0" w:rsidRDefault="00491C93" w:rsidP="00491C93">
            <w:pPr>
              <w:keepNext/>
              <w:spacing w:before="20"/>
              <w:ind w:left="176"/>
              <w:jc w:val="both"/>
              <w:rPr>
                <w:sz w:val="16"/>
                <w:szCs w:val="16"/>
              </w:rPr>
            </w:pPr>
            <w:r w:rsidRPr="003F15C0">
              <w:rPr>
                <w:sz w:val="16"/>
                <w:szCs w:val="16"/>
              </w:rPr>
              <w:t>No</w:t>
            </w:r>
          </w:p>
        </w:tc>
        <w:tc>
          <w:tcPr>
            <w:tcW w:w="992" w:type="dxa"/>
            <w:shd w:val="clear" w:color="auto" w:fill="auto"/>
            <w:vAlign w:val="bottom"/>
          </w:tcPr>
          <w:p w14:paraId="6267C0EF"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41618E2E"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56985021" w14:textId="77777777" w:rsidR="00491C93" w:rsidRPr="00BA3C70" w:rsidRDefault="00491C93" w:rsidP="00491C93">
            <w:pPr>
              <w:jc w:val="right"/>
              <w:rPr>
                <w:color w:val="000000"/>
                <w:sz w:val="16"/>
                <w:szCs w:val="16"/>
                <w:lang w:eastAsia="en-NZ"/>
              </w:rPr>
            </w:pPr>
          </w:p>
        </w:tc>
      </w:tr>
      <w:tr w:rsidR="00491C93" w:rsidRPr="001A61F1" w14:paraId="50DE90E7" w14:textId="77777777" w:rsidTr="00173F02">
        <w:tc>
          <w:tcPr>
            <w:tcW w:w="5387" w:type="dxa"/>
          </w:tcPr>
          <w:p w14:paraId="35D3A108"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12D58E65" w14:textId="77777777" w:rsidR="00491C93" w:rsidRPr="00BA3C70" w:rsidRDefault="00491C93" w:rsidP="00491C93">
            <w:pPr>
              <w:jc w:val="right"/>
              <w:rPr>
                <w:color w:val="000000"/>
                <w:sz w:val="16"/>
                <w:szCs w:val="16"/>
                <w:lang w:eastAsia="en-NZ"/>
              </w:rPr>
            </w:pPr>
            <w:r w:rsidRPr="00BA3C70">
              <w:rPr>
                <w:color w:val="000000"/>
                <w:sz w:val="16"/>
                <w:szCs w:val="16"/>
                <w:lang w:eastAsia="en-NZ"/>
              </w:rPr>
              <w:t>1.92</w:t>
            </w:r>
          </w:p>
        </w:tc>
        <w:tc>
          <w:tcPr>
            <w:tcW w:w="1276" w:type="dxa"/>
            <w:shd w:val="clear" w:color="auto" w:fill="auto"/>
            <w:vAlign w:val="bottom"/>
          </w:tcPr>
          <w:p w14:paraId="25C46E0B"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(1.08, 3.41)</w:t>
            </w:r>
          </w:p>
        </w:tc>
        <w:tc>
          <w:tcPr>
            <w:tcW w:w="850" w:type="dxa"/>
            <w:shd w:val="clear" w:color="auto" w:fill="auto"/>
            <w:vAlign w:val="bottom"/>
          </w:tcPr>
          <w:p w14:paraId="7BBE5C0E" w14:textId="77777777" w:rsidR="00491C93" w:rsidRPr="00BA3C70" w:rsidRDefault="00491C93" w:rsidP="00491C93">
            <w:pPr>
              <w:jc w:val="right"/>
              <w:rPr>
                <w:color w:val="000000"/>
                <w:sz w:val="16"/>
                <w:szCs w:val="16"/>
                <w:lang w:eastAsia="en-NZ"/>
              </w:rPr>
            </w:pPr>
            <w:r w:rsidRPr="00BA3C70">
              <w:rPr>
                <w:color w:val="000000"/>
                <w:sz w:val="16"/>
                <w:szCs w:val="16"/>
                <w:lang w:eastAsia="en-NZ"/>
              </w:rPr>
              <w:t>0.03</w:t>
            </w:r>
          </w:p>
        </w:tc>
      </w:tr>
      <w:tr w:rsidR="00491C93" w:rsidRPr="001A61F1" w14:paraId="6AB7E3BF" w14:textId="77777777" w:rsidTr="001C5E0E">
        <w:tc>
          <w:tcPr>
            <w:tcW w:w="5387" w:type="dxa"/>
            <w:vAlign w:val="bottom"/>
          </w:tcPr>
          <w:p w14:paraId="0569C5AA" w14:textId="77777777" w:rsidR="00491C93" w:rsidRPr="003F15C0" w:rsidRDefault="00491C93" w:rsidP="00491C93">
            <w:pPr>
              <w:spacing w:before="20"/>
              <w:jc w:val="both"/>
              <w:rPr>
                <w:b/>
                <w:sz w:val="16"/>
                <w:szCs w:val="16"/>
              </w:rPr>
            </w:pPr>
            <w:r w:rsidRPr="003F15C0">
              <w:rPr>
                <w:b/>
                <w:sz w:val="16"/>
                <w:szCs w:val="16"/>
              </w:rPr>
              <w:t>Raffle/lottery (NZ/overseas) - annual</w:t>
            </w:r>
          </w:p>
        </w:tc>
        <w:tc>
          <w:tcPr>
            <w:tcW w:w="992" w:type="dxa"/>
            <w:shd w:val="clear" w:color="auto" w:fill="auto"/>
            <w:vAlign w:val="bottom"/>
          </w:tcPr>
          <w:p w14:paraId="45D0B2C5"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72670941"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75DAECB5" w14:textId="77777777" w:rsidR="00491C93" w:rsidRPr="007B750E" w:rsidRDefault="00491C93" w:rsidP="00491C93">
            <w:pPr>
              <w:jc w:val="right"/>
              <w:rPr>
                <w:color w:val="000000"/>
                <w:sz w:val="16"/>
                <w:szCs w:val="16"/>
                <w:lang w:eastAsia="en-NZ"/>
              </w:rPr>
            </w:pPr>
          </w:p>
        </w:tc>
      </w:tr>
      <w:tr w:rsidR="00491C93" w:rsidRPr="001A61F1" w14:paraId="54CC8875" w14:textId="77777777" w:rsidTr="001C5E0E">
        <w:tc>
          <w:tcPr>
            <w:tcW w:w="5387" w:type="dxa"/>
          </w:tcPr>
          <w:p w14:paraId="2BA90A4D"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0EFD05BD"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1BD1EE5E"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5FB2434B" w14:textId="77777777" w:rsidR="00491C93" w:rsidRPr="00BA3C70" w:rsidRDefault="00491C93" w:rsidP="00491C93">
            <w:pPr>
              <w:jc w:val="right"/>
              <w:rPr>
                <w:color w:val="000000"/>
                <w:sz w:val="16"/>
                <w:szCs w:val="16"/>
                <w:lang w:eastAsia="en-NZ"/>
              </w:rPr>
            </w:pPr>
          </w:p>
        </w:tc>
      </w:tr>
      <w:tr w:rsidR="00491C93" w:rsidRPr="001A61F1" w14:paraId="75060670" w14:textId="77777777" w:rsidTr="00173F02">
        <w:tc>
          <w:tcPr>
            <w:tcW w:w="5387" w:type="dxa"/>
          </w:tcPr>
          <w:p w14:paraId="459BE624"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08D8D3AA" w14:textId="77777777" w:rsidR="00491C93" w:rsidRPr="00BA3C70" w:rsidRDefault="00491C93" w:rsidP="00491C93">
            <w:pPr>
              <w:jc w:val="right"/>
              <w:rPr>
                <w:color w:val="000000"/>
                <w:sz w:val="16"/>
                <w:szCs w:val="16"/>
                <w:lang w:eastAsia="en-NZ"/>
              </w:rPr>
            </w:pPr>
            <w:r w:rsidRPr="00BA3C70">
              <w:rPr>
                <w:color w:val="000000"/>
                <w:sz w:val="16"/>
                <w:szCs w:val="16"/>
                <w:lang w:eastAsia="en-NZ"/>
              </w:rPr>
              <w:t>1.79</w:t>
            </w:r>
          </w:p>
        </w:tc>
        <w:tc>
          <w:tcPr>
            <w:tcW w:w="1276" w:type="dxa"/>
            <w:shd w:val="clear" w:color="auto" w:fill="auto"/>
            <w:vAlign w:val="bottom"/>
          </w:tcPr>
          <w:p w14:paraId="013CD968"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(1.05, 3.06)</w:t>
            </w:r>
          </w:p>
        </w:tc>
        <w:tc>
          <w:tcPr>
            <w:tcW w:w="850" w:type="dxa"/>
            <w:shd w:val="clear" w:color="auto" w:fill="auto"/>
            <w:vAlign w:val="bottom"/>
          </w:tcPr>
          <w:p w14:paraId="166D2A8C" w14:textId="77777777" w:rsidR="00491C93" w:rsidRPr="00BA3C70" w:rsidRDefault="00491C93" w:rsidP="00491C93">
            <w:pPr>
              <w:jc w:val="right"/>
              <w:rPr>
                <w:color w:val="000000"/>
                <w:sz w:val="16"/>
                <w:szCs w:val="16"/>
                <w:lang w:eastAsia="en-NZ"/>
              </w:rPr>
            </w:pPr>
            <w:r w:rsidRPr="00BA3C70">
              <w:rPr>
                <w:color w:val="000000"/>
                <w:sz w:val="16"/>
                <w:szCs w:val="16"/>
                <w:lang w:eastAsia="en-NZ"/>
              </w:rPr>
              <w:t>0.03</w:t>
            </w:r>
          </w:p>
        </w:tc>
      </w:tr>
      <w:tr w:rsidR="00491C93" w:rsidRPr="001A61F1" w14:paraId="707BC9C3" w14:textId="77777777" w:rsidTr="001C5E0E">
        <w:tc>
          <w:tcPr>
            <w:tcW w:w="5387" w:type="dxa"/>
            <w:vAlign w:val="bottom"/>
          </w:tcPr>
          <w:p w14:paraId="0331EA45" w14:textId="77777777" w:rsidR="00491C93" w:rsidRPr="003F15C0" w:rsidRDefault="00491C93" w:rsidP="00491C93">
            <w:pPr>
              <w:keepNext/>
              <w:spacing w:before="20"/>
              <w:jc w:val="both"/>
              <w:rPr>
                <w:b/>
                <w:sz w:val="16"/>
                <w:szCs w:val="16"/>
              </w:rPr>
            </w:pPr>
            <w:r w:rsidRPr="003F15C0">
              <w:rPr>
                <w:b/>
                <w:sz w:val="16"/>
                <w:szCs w:val="16"/>
              </w:rPr>
              <w:t>Lotto - annual</w:t>
            </w:r>
          </w:p>
        </w:tc>
        <w:tc>
          <w:tcPr>
            <w:tcW w:w="992" w:type="dxa"/>
            <w:shd w:val="clear" w:color="auto" w:fill="auto"/>
            <w:vAlign w:val="bottom"/>
          </w:tcPr>
          <w:p w14:paraId="2CF50068"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4E1D571F"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56A419BA" w14:textId="77777777" w:rsidR="00491C93" w:rsidRPr="007B750E" w:rsidRDefault="00491C93" w:rsidP="00491C93">
            <w:pPr>
              <w:jc w:val="right"/>
              <w:rPr>
                <w:color w:val="000000"/>
                <w:sz w:val="16"/>
                <w:szCs w:val="16"/>
                <w:lang w:eastAsia="en-NZ"/>
              </w:rPr>
            </w:pPr>
          </w:p>
        </w:tc>
      </w:tr>
      <w:tr w:rsidR="00491C93" w:rsidRPr="001A61F1" w14:paraId="5728F403" w14:textId="77777777" w:rsidTr="001C5E0E">
        <w:tc>
          <w:tcPr>
            <w:tcW w:w="5387" w:type="dxa"/>
          </w:tcPr>
          <w:p w14:paraId="57F82BD5" w14:textId="77777777" w:rsidR="00491C93" w:rsidRPr="003F15C0" w:rsidRDefault="00491C93" w:rsidP="00491C93">
            <w:pPr>
              <w:keepNext/>
              <w:spacing w:before="20"/>
              <w:ind w:left="176"/>
              <w:jc w:val="both"/>
              <w:rPr>
                <w:sz w:val="16"/>
                <w:szCs w:val="16"/>
              </w:rPr>
            </w:pPr>
            <w:r w:rsidRPr="003F15C0">
              <w:rPr>
                <w:sz w:val="16"/>
                <w:szCs w:val="16"/>
              </w:rPr>
              <w:t>No</w:t>
            </w:r>
          </w:p>
        </w:tc>
        <w:tc>
          <w:tcPr>
            <w:tcW w:w="992" w:type="dxa"/>
            <w:shd w:val="clear" w:color="auto" w:fill="auto"/>
            <w:vAlign w:val="bottom"/>
          </w:tcPr>
          <w:p w14:paraId="66B67D18"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01E9DF15"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041FE88C" w14:textId="77777777" w:rsidR="00491C93" w:rsidRPr="00BA3C70" w:rsidRDefault="00491C93" w:rsidP="00491C93">
            <w:pPr>
              <w:jc w:val="right"/>
              <w:rPr>
                <w:color w:val="000000"/>
                <w:sz w:val="16"/>
                <w:szCs w:val="16"/>
                <w:lang w:eastAsia="en-NZ"/>
              </w:rPr>
            </w:pPr>
          </w:p>
        </w:tc>
      </w:tr>
      <w:tr w:rsidR="00491C93" w:rsidRPr="001A61F1" w14:paraId="44129DCF" w14:textId="77777777" w:rsidTr="00173F02">
        <w:tc>
          <w:tcPr>
            <w:tcW w:w="5387" w:type="dxa"/>
          </w:tcPr>
          <w:p w14:paraId="59260DEA" w14:textId="77777777" w:rsidR="00491C93" w:rsidRPr="003F15C0" w:rsidRDefault="00491C93" w:rsidP="00491C93">
            <w:pPr>
              <w:keepNext/>
              <w:spacing w:before="20"/>
              <w:ind w:left="176"/>
              <w:jc w:val="both"/>
              <w:rPr>
                <w:sz w:val="16"/>
                <w:szCs w:val="16"/>
              </w:rPr>
            </w:pPr>
            <w:r w:rsidRPr="003F15C0">
              <w:rPr>
                <w:sz w:val="16"/>
                <w:szCs w:val="16"/>
              </w:rPr>
              <w:t>Yes</w:t>
            </w:r>
          </w:p>
        </w:tc>
        <w:tc>
          <w:tcPr>
            <w:tcW w:w="992" w:type="dxa"/>
            <w:shd w:val="clear" w:color="auto" w:fill="auto"/>
            <w:vAlign w:val="bottom"/>
          </w:tcPr>
          <w:p w14:paraId="23F0BE13" w14:textId="77777777" w:rsidR="00491C93" w:rsidRPr="00BA3C70" w:rsidRDefault="00491C93" w:rsidP="00491C93">
            <w:pPr>
              <w:jc w:val="right"/>
              <w:rPr>
                <w:color w:val="000000"/>
                <w:sz w:val="16"/>
                <w:szCs w:val="16"/>
                <w:lang w:eastAsia="en-NZ"/>
              </w:rPr>
            </w:pPr>
            <w:r w:rsidRPr="00BA3C70">
              <w:rPr>
                <w:color w:val="000000"/>
                <w:sz w:val="16"/>
                <w:szCs w:val="16"/>
                <w:lang w:eastAsia="en-NZ"/>
              </w:rPr>
              <w:t>2.37</w:t>
            </w:r>
          </w:p>
        </w:tc>
        <w:tc>
          <w:tcPr>
            <w:tcW w:w="1276" w:type="dxa"/>
            <w:shd w:val="clear" w:color="auto" w:fill="auto"/>
            <w:vAlign w:val="bottom"/>
          </w:tcPr>
          <w:p w14:paraId="65B8A03D"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(1.09, 5.18)</w:t>
            </w:r>
          </w:p>
        </w:tc>
        <w:tc>
          <w:tcPr>
            <w:tcW w:w="850" w:type="dxa"/>
            <w:shd w:val="clear" w:color="auto" w:fill="auto"/>
            <w:vAlign w:val="bottom"/>
          </w:tcPr>
          <w:p w14:paraId="76E82CFB" w14:textId="77777777" w:rsidR="00491C93" w:rsidRPr="00BA3C70" w:rsidRDefault="00491C93" w:rsidP="00491C93">
            <w:pPr>
              <w:jc w:val="right"/>
              <w:rPr>
                <w:color w:val="000000"/>
                <w:sz w:val="16"/>
                <w:szCs w:val="16"/>
                <w:lang w:eastAsia="en-NZ"/>
              </w:rPr>
            </w:pPr>
            <w:r w:rsidRPr="00BA3C70">
              <w:rPr>
                <w:color w:val="000000"/>
                <w:sz w:val="16"/>
                <w:szCs w:val="16"/>
                <w:lang w:eastAsia="en-NZ"/>
              </w:rPr>
              <w:t>0.03</w:t>
            </w:r>
          </w:p>
        </w:tc>
      </w:tr>
      <w:tr w:rsidR="00491C93" w:rsidRPr="001A61F1" w14:paraId="2C55C3E0" w14:textId="77777777" w:rsidTr="001C5E0E">
        <w:tc>
          <w:tcPr>
            <w:tcW w:w="5387" w:type="dxa"/>
            <w:vAlign w:val="bottom"/>
          </w:tcPr>
          <w:p w14:paraId="193CD529" w14:textId="77777777" w:rsidR="00491C93" w:rsidRPr="003F15C0" w:rsidRDefault="00491C93" w:rsidP="00491C93">
            <w:pPr>
              <w:spacing w:before="20"/>
              <w:jc w:val="both"/>
              <w:rPr>
                <w:b/>
                <w:sz w:val="16"/>
                <w:szCs w:val="16"/>
              </w:rPr>
            </w:pPr>
            <w:r w:rsidRPr="003F15C0">
              <w:rPr>
                <w:b/>
                <w:sz w:val="16"/>
                <w:szCs w:val="16"/>
              </w:rPr>
              <w:t>Keno - annual</w:t>
            </w:r>
          </w:p>
        </w:tc>
        <w:tc>
          <w:tcPr>
            <w:tcW w:w="992" w:type="dxa"/>
            <w:shd w:val="clear" w:color="auto" w:fill="auto"/>
            <w:vAlign w:val="bottom"/>
          </w:tcPr>
          <w:p w14:paraId="4DCA39E5"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621BE247"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62C4A0B2" w14:textId="77777777" w:rsidR="00491C93" w:rsidRPr="007B750E" w:rsidRDefault="00491C93" w:rsidP="00491C93">
            <w:pPr>
              <w:jc w:val="right"/>
              <w:rPr>
                <w:color w:val="000000"/>
                <w:sz w:val="16"/>
                <w:szCs w:val="16"/>
                <w:lang w:eastAsia="en-NZ"/>
              </w:rPr>
            </w:pPr>
          </w:p>
        </w:tc>
      </w:tr>
      <w:tr w:rsidR="00491C93" w:rsidRPr="001A61F1" w14:paraId="067B9398" w14:textId="77777777" w:rsidTr="001C5E0E">
        <w:tc>
          <w:tcPr>
            <w:tcW w:w="5387" w:type="dxa"/>
          </w:tcPr>
          <w:p w14:paraId="714841D6"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7C12AA4C"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731C13AD"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172BCD9C" w14:textId="77777777" w:rsidR="00491C93" w:rsidRPr="00BA3C70" w:rsidRDefault="00491C93" w:rsidP="00491C93">
            <w:pPr>
              <w:jc w:val="right"/>
              <w:rPr>
                <w:color w:val="000000"/>
                <w:sz w:val="16"/>
                <w:szCs w:val="16"/>
                <w:lang w:eastAsia="en-NZ"/>
              </w:rPr>
            </w:pPr>
          </w:p>
        </w:tc>
      </w:tr>
      <w:tr w:rsidR="00491C93" w:rsidRPr="001A61F1" w14:paraId="01940324" w14:textId="77777777" w:rsidTr="00173F02">
        <w:tc>
          <w:tcPr>
            <w:tcW w:w="5387" w:type="dxa"/>
          </w:tcPr>
          <w:p w14:paraId="4DD9F15B"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3D0D004F" w14:textId="77777777" w:rsidR="00491C93" w:rsidRPr="00BA3C70" w:rsidRDefault="00491C93" w:rsidP="00491C93">
            <w:pPr>
              <w:jc w:val="right"/>
              <w:rPr>
                <w:color w:val="000000"/>
                <w:sz w:val="16"/>
                <w:szCs w:val="16"/>
                <w:lang w:eastAsia="en-NZ"/>
              </w:rPr>
            </w:pPr>
            <w:r w:rsidRPr="00BA3C70">
              <w:rPr>
                <w:color w:val="000000"/>
                <w:sz w:val="16"/>
                <w:szCs w:val="16"/>
                <w:lang w:eastAsia="en-NZ"/>
              </w:rPr>
              <w:t>4.06</w:t>
            </w:r>
          </w:p>
        </w:tc>
        <w:tc>
          <w:tcPr>
            <w:tcW w:w="1276" w:type="dxa"/>
            <w:shd w:val="clear" w:color="auto" w:fill="auto"/>
            <w:vAlign w:val="bottom"/>
          </w:tcPr>
          <w:p w14:paraId="36D19EC8" w14:textId="77777777" w:rsidR="00491C93" w:rsidRPr="00BA3C70" w:rsidRDefault="00491C93" w:rsidP="00491C93">
            <w:pPr>
              <w:jc w:val="right"/>
              <w:rPr>
                <w:color w:val="000000"/>
                <w:sz w:val="16"/>
                <w:szCs w:val="16"/>
                <w:lang w:eastAsia="en-NZ"/>
              </w:rPr>
            </w:pPr>
            <w:r w:rsidRPr="00BA3C70">
              <w:rPr>
                <w:color w:val="000000"/>
                <w:sz w:val="16"/>
                <w:szCs w:val="16"/>
                <w:lang w:eastAsia="en-NZ"/>
              </w:rPr>
              <w:t>(1.58, 10.40)</w:t>
            </w:r>
          </w:p>
        </w:tc>
        <w:tc>
          <w:tcPr>
            <w:tcW w:w="850" w:type="dxa"/>
            <w:shd w:val="clear" w:color="auto" w:fill="auto"/>
            <w:vAlign w:val="bottom"/>
          </w:tcPr>
          <w:p w14:paraId="22C52E75" w14:textId="77777777" w:rsidR="00491C93" w:rsidRPr="00BA3C70" w:rsidRDefault="00491C93" w:rsidP="00491C93">
            <w:pPr>
              <w:jc w:val="right"/>
              <w:rPr>
                <w:color w:val="000000"/>
                <w:sz w:val="16"/>
                <w:szCs w:val="16"/>
                <w:lang w:eastAsia="en-NZ"/>
              </w:rPr>
            </w:pPr>
            <w:r w:rsidRPr="00BA3C70">
              <w:rPr>
                <w:color w:val="000000"/>
                <w:sz w:val="16"/>
                <w:szCs w:val="16"/>
                <w:lang w:eastAsia="en-NZ"/>
              </w:rPr>
              <w:t>0.004</w:t>
            </w:r>
          </w:p>
        </w:tc>
      </w:tr>
      <w:tr w:rsidR="00491C93" w:rsidRPr="001A61F1" w14:paraId="0F55161B" w14:textId="77777777" w:rsidTr="001C5E0E">
        <w:tc>
          <w:tcPr>
            <w:tcW w:w="5387" w:type="dxa"/>
            <w:vAlign w:val="bottom"/>
          </w:tcPr>
          <w:p w14:paraId="26493E3E" w14:textId="77777777" w:rsidR="00491C93" w:rsidRPr="003F15C0" w:rsidRDefault="00491C93" w:rsidP="00491C93">
            <w:pPr>
              <w:spacing w:before="20"/>
              <w:jc w:val="both"/>
              <w:rPr>
                <w:b/>
                <w:sz w:val="16"/>
                <w:szCs w:val="16"/>
              </w:rPr>
            </w:pPr>
            <w:r w:rsidRPr="003F15C0">
              <w:rPr>
                <w:b/>
                <w:sz w:val="16"/>
                <w:szCs w:val="16"/>
              </w:rPr>
              <w:t>Instant Kiwi/other scratch tickets - annual</w:t>
            </w:r>
          </w:p>
        </w:tc>
        <w:tc>
          <w:tcPr>
            <w:tcW w:w="992" w:type="dxa"/>
            <w:shd w:val="clear" w:color="auto" w:fill="auto"/>
            <w:vAlign w:val="bottom"/>
          </w:tcPr>
          <w:p w14:paraId="62E592E9"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1C41D771"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24F2BD4E" w14:textId="77777777" w:rsidR="00491C93" w:rsidRPr="007B750E" w:rsidRDefault="00491C93" w:rsidP="00491C93">
            <w:pPr>
              <w:jc w:val="right"/>
              <w:rPr>
                <w:color w:val="000000"/>
                <w:sz w:val="16"/>
                <w:szCs w:val="16"/>
                <w:lang w:eastAsia="en-NZ"/>
              </w:rPr>
            </w:pPr>
          </w:p>
        </w:tc>
      </w:tr>
      <w:tr w:rsidR="00491C93" w:rsidRPr="001A61F1" w14:paraId="1B69FA0B" w14:textId="77777777" w:rsidTr="001C5E0E">
        <w:tc>
          <w:tcPr>
            <w:tcW w:w="5387" w:type="dxa"/>
          </w:tcPr>
          <w:p w14:paraId="4E3DC933"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335C76A1"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7D3FD4CD"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14D3C645" w14:textId="77777777" w:rsidR="00491C93" w:rsidRPr="00BA3C70" w:rsidRDefault="00491C93" w:rsidP="00491C93">
            <w:pPr>
              <w:jc w:val="right"/>
              <w:rPr>
                <w:color w:val="000000"/>
                <w:sz w:val="16"/>
                <w:szCs w:val="16"/>
                <w:lang w:eastAsia="en-NZ"/>
              </w:rPr>
            </w:pPr>
          </w:p>
        </w:tc>
      </w:tr>
      <w:tr w:rsidR="00491C93" w:rsidRPr="001A61F1" w14:paraId="72745BD0" w14:textId="77777777" w:rsidTr="00173F02">
        <w:tc>
          <w:tcPr>
            <w:tcW w:w="5387" w:type="dxa"/>
          </w:tcPr>
          <w:p w14:paraId="4BAA3B95"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5CBC96D3" w14:textId="77777777" w:rsidR="00491C93" w:rsidRPr="00BA3C70" w:rsidRDefault="00491C93" w:rsidP="00491C93">
            <w:pPr>
              <w:jc w:val="right"/>
              <w:rPr>
                <w:color w:val="000000"/>
                <w:sz w:val="16"/>
                <w:szCs w:val="16"/>
                <w:lang w:eastAsia="en-NZ"/>
              </w:rPr>
            </w:pPr>
            <w:r w:rsidRPr="00BA3C70">
              <w:rPr>
                <w:color w:val="000000"/>
                <w:sz w:val="16"/>
                <w:szCs w:val="16"/>
                <w:lang w:eastAsia="en-NZ"/>
              </w:rPr>
              <w:t>2.69</w:t>
            </w:r>
          </w:p>
        </w:tc>
        <w:tc>
          <w:tcPr>
            <w:tcW w:w="1276" w:type="dxa"/>
            <w:shd w:val="clear" w:color="auto" w:fill="auto"/>
            <w:vAlign w:val="bottom"/>
          </w:tcPr>
          <w:p w14:paraId="49F2F25F" w14:textId="77777777" w:rsidR="00491C93" w:rsidRPr="00BA3C70" w:rsidRDefault="00491C93" w:rsidP="00491C93">
            <w:pPr>
              <w:jc w:val="right"/>
              <w:rPr>
                <w:color w:val="000000"/>
                <w:sz w:val="16"/>
                <w:szCs w:val="16"/>
                <w:lang w:eastAsia="en-NZ"/>
              </w:rPr>
            </w:pPr>
            <w:r w:rsidRPr="00BA3C70">
              <w:rPr>
                <w:color w:val="000000"/>
                <w:sz w:val="16"/>
                <w:szCs w:val="16"/>
                <w:lang w:eastAsia="en-NZ"/>
              </w:rPr>
              <w:t>(1.61, 4.50)</w:t>
            </w:r>
          </w:p>
        </w:tc>
        <w:tc>
          <w:tcPr>
            <w:tcW w:w="850" w:type="dxa"/>
            <w:shd w:val="clear" w:color="auto" w:fill="auto"/>
            <w:vAlign w:val="bottom"/>
          </w:tcPr>
          <w:p w14:paraId="0848F890" w14:textId="77777777" w:rsidR="00491C93" w:rsidRPr="00BA3C70" w:rsidRDefault="00491C93" w:rsidP="00491C93">
            <w:pPr>
              <w:jc w:val="right"/>
              <w:rPr>
                <w:color w:val="000000"/>
                <w:sz w:val="16"/>
                <w:szCs w:val="16"/>
                <w:lang w:eastAsia="en-NZ"/>
              </w:rPr>
            </w:pPr>
            <w:r w:rsidRPr="00BA3C70">
              <w:rPr>
                <w:color w:val="000000"/>
                <w:sz w:val="16"/>
                <w:szCs w:val="16"/>
                <w:lang w:eastAsia="en-NZ"/>
              </w:rPr>
              <w:t>0.0002</w:t>
            </w:r>
          </w:p>
        </w:tc>
      </w:tr>
      <w:tr w:rsidR="00491C93" w:rsidRPr="001A61F1" w14:paraId="2323DB11" w14:textId="77777777" w:rsidTr="001C5E0E">
        <w:tc>
          <w:tcPr>
            <w:tcW w:w="5387" w:type="dxa"/>
            <w:vAlign w:val="bottom"/>
          </w:tcPr>
          <w:p w14:paraId="74F340E8" w14:textId="77777777" w:rsidR="00491C93" w:rsidRPr="003F15C0" w:rsidRDefault="00491C93" w:rsidP="00491C93">
            <w:pPr>
              <w:spacing w:before="20"/>
              <w:jc w:val="both"/>
              <w:rPr>
                <w:b/>
                <w:sz w:val="16"/>
                <w:szCs w:val="16"/>
              </w:rPr>
            </w:pPr>
            <w:r w:rsidRPr="003F15C0">
              <w:rPr>
                <w:b/>
                <w:sz w:val="16"/>
                <w:szCs w:val="16"/>
              </w:rPr>
              <w:t>Housie or bingo - annual</w:t>
            </w:r>
          </w:p>
        </w:tc>
        <w:tc>
          <w:tcPr>
            <w:tcW w:w="992" w:type="dxa"/>
            <w:shd w:val="clear" w:color="auto" w:fill="auto"/>
            <w:vAlign w:val="bottom"/>
          </w:tcPr>
          <w:p w14:paraId="330DF859"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39FD2FBF"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411D7BD1" w14:textId="77777777" w:rsidR="00491C93" w:rsidRPr="007B750E" w:rsidRDefault="00491C93" w:rsidP="00491C93">
            <w:pPr>
              <w:jc w:val="right"/>
              <w:rPr>
                <w:color w:val="000000"/>
                <w:sz w:val="16"/>
                <w:szCs w:val="16"/>
                <w:lang w:eastAsia="en-NZ"/>
              </w:rPr>
            </w:pPr>
          </w:p>
        </w:tc>
      </w:tr>
      <w:tr w:rsidR="00491C93" w:rsidRPr="001A61F1" w14:paraId="51067815" w14:textId="77777777" w:rsidTr="001C5E0E">
        <w:tc>
          <w:tcPr>
            <w:tcW w:w="5387" w:type="dxa"/>
          </w:tcPr>
          <w:p w14:paraId="3197E25C"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2AD3AC54"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1586E23E"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72A22230" w14:textId="77777777" w:rsidR="00491C93" w:rsidRPr="00BA3C70" w:rsidRDefault="00491C93" w:rsidP="00491C93">
            <w:pPr>
              <w:jc w:val="right"/>
              <w:rPr>
                <w:color w:val="000000"/>
                <w:sz w:val="16"/>
                <w:szCs w:val="16"/>
                <w:lang w:eastAsia="en-NZ"/>
              </w:rPr>
            </w:pPr>
          </w:p>
        </w:tc>
      </w:tr>
      <w:tr w:rsidR="00491C93" w:rsidRPr="001A61F1" w14:paraId="7B970B28" w14:textId="77777777" w:rsidTr="00173F02">
        <w:tc>
          <w:tcPr>
            <w:tcW w:w="5387" w:type="dxa"/>
          </w:tcPr>
          <w:p w14:paraId="0039A628"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3EA80EEB" w14:textId="77777777" w:rsidR="00491C93" w:rsidRPr="00BA3C70" w:rsidRDefault="00491C93" w:rsidP="00491C93">
            <w:pPr>
              <w:jc w:val="right"/>
              <w:rPr>
                <w:color w:val="000000"/>
                <w:sz w:val="16"/>
                <w:szCs w:val="16"/>
                <w:lang w:eastAsia="en-NZ"/>
              </w:rPr>
            </w:pPr>
            <w:r w:rsidRPr="00BA3C70">
              <w:rPr>
                <w:color w:val="000000"/>
                <w:sz w:val="16"/>
                <w:szCs w:val="16"/>
                <w:lang w:eastAsia="en-NZ"/>
              </w:rPr>
              <w:t>8.87</w:t>
            </w:r>
          </w:p>
        </w:tc>
        <w:tc>
          <w:tcPr>
            <w:tcW w:w="1276" w:type="dxa"/>
            <w:shd w:val="clear" w:color="auto" w:fill="auto"/>
            <w:vAlign w:val="bottom"/>
          </w:tcPr>
          <w:p w14:paraId="505124AA" w14:textId="77777777" w:rsidR="00491C93" w:rsidRPr="00BA3C70" w:rsidRDefault="00491C93" w:rsidP="00491C93">
            <w:pPr>
              <w:jc w:val="right"/>
              <w:rPr>
                <w:color w:val="000000"/>
                <w:sz w:val="16"/>
                <w:szCs w:val="16"/>
                <w:lang w:eastAsia="en-NZ"/>
              </w:rPr>
            </w:pPr>
            <w:r w:rsidRPr="00BA3C70">
              <w:rPr>
                <w:color w:val="000000"/>
                <w:sz w:val="16"/>
                <w:szCs w:val="16"/>
                <w:lang w:eastAsia="en-NZ"/>
              </w:rPr>
              <w:t>(3.26, 24.14)</w:t>
            </w:r>
          </w:p>
        </w:tc>
        <w:tc>
          <w:tcPr>
            <w:tcW w:w="850" w:type="dxa"/>
            <w:shd w:val="clear" w:color="auto" w:fill="auto"/>
            <w:vAlign w:val="bottom"/>
          </w:tcPr>
          <w:p w14:paraId="53F86712" w14:textId="77777777" w:rsidR="00491C93" w:rsidRPr="00BA3C70" w:rsidRDefault="00491C93" w:rsidP="00491C93">
            <w:pPr>
              <w:jc w:val="right"/>
              <w:rPr>
                <w:color w:val="000000"/>
                <w:sz w:val="16"/>
                <w:szCs w:val="16"/>
                <w:lang w:eastAsia="en-NZ"/>
              </w:rPr>
            </w:pPr>
            <w:r w:rsidRPr="00BA3C70">
              <w:rPr>
                <w:color w:val="000000"/>
                <w:sz w:val="16"/>
                <w:szCs w:val="16"/>
                <w:lang w:eastAsia="en-NZ"/>
              </w:rPr>
              <w:t>&lt;0.0001</w:t>
            </w:r>
          </w:p>
        </w:tc>
      </w:tr>
      <w:tr w:rsidR="00491C93" w:rsidRPr="001A61F1" w14:paraId="090C5666" w14:textId="77777777" w:rsidTr="001C5E0E">
        <w:tc>
          <w:tcPr>
            <w:tcW w:w="5387" w:type="dxa"/>
            <w:vAlign w:val="bottom"/>
          </w:tcPr>
          <w:p w14:paraId="6C93F3C4" w14:textId="77777777" w:rsidR="00491C93" w:rsidRPr="003F15C0" w:rsidRDefault="00491C93" w:rsidP="00491C93">
            <w:pPr>
              <w:spacing w:before="20"/>
              <w:jc w:val="both"/>
              <w:rPr>
                <w:b/>
                <w:sz w:val="16"/>
                <w:szCs w:val="16"/>
              </w:rPr>
            </w:pPr>
            <w:r w:rsidRPr="003F15C0">
              <w:rPr>
                <w:b/>
                <w:sz w:val="16"/>
                <w:szCs w:val="16"/>
              </w:rPr>
              <w:t>Horse/dog race betting - annual</w:t>
            </w:r>
          </w:p>
        </w:tc>
        <w:tc>
          <w:tcPr>
            <w:tcW w:w="992" w:type="dxa"/>
            <w:shd w:val="clear" w:color="auto" w:fill="auto"/>
            <w:vAlign w:val="bottom"/>
          </w:tcPr>
          <w:p w14:paraId="02FB9853"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090F4DD8"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2B2A18F6" w14:textId="77777777" w:rsidR="00491C93" w:rsidRPr="007B750E" w:rsidRDefault="00491C93" w:rsidP="00491C93">
            <w:pPr>
              <w:jc w:val="right"/>
              <w:rPr>
                <w:color w:val="000000"/>
                <w:sz w:val="16"/>
                <w:szCs w:val="16"/>
                <w:lang w:eastAsia="en-NZ"/>
              </w:rPr>
            </w:pPr>
          </w:p>
        </w:tc>
      </w:tr>
      <w:tr w:rsidR="00491C93" w:rsidRPr="001A61F1" w14:paraId="3D479A49" w14:textId="77777777" w:rsidTr="001C5E0E">
        <w:tc>
          <w:tcPr>
            <w:tcW w:w="5387" w:type="dxa"/>
          </w:tcPr>
          <w:p w14:paraId="395B44C2"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7D69A36C"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58AF5FC4"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5AF9D405" w14:textId="77777777" w:rsidR="00491C93" w:rsidRPr="00BA3C70" w:rsidRDefault="00491C93" w:rsidP="00491C93">
            <w:pPr>
              <w:jc w:val="right"/>
              <w:rPr>
                <w:color w:val="000000"/>
                <w:sz w:val="16"/>
                <w:szCs w:val="16"/>
                <w:lang w:eastAsia="en-NZ"/>
              </w:rPr>
            </w:pPr>
          </w:p>
        </w:tc>
      </w:tr>
      <w:tr w:rsidR="00491C93" w:rsidRPr="001A61F1" w14:paraId="46A686BF" w14:textId="77777777" w:rsidTr="00173F02">
        <w:tc>
          <w:tcPr>
            <w:tcW w:w="5387" w:type="dxa"/>
          </w:tcPr>
          <w:p w14:paraId="7EF6AD85"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586BC0B3" w14:textId="77777777" w:rsidR="00491C93" w:rsidRPr="00BA3C70" w:rsidRDefault="00491C93" w:rsidP="00491C93">
            <w:pPr>
              <w:jc w:val="right"/>
              <w:rPr>
                <w:color w:val="000000"/>
                <w:sz w:val="16"/>
                <w:szCs w:val="16"/>
                <w:lang w:eastAsia="en-NZ"/>
              </w:rPr>
            </w:pPr>
            <w:r w:rsidRPr="00BA3C70">
              <w:rPr>
                <w:color w:val="000000"/>
                <w:sz w:val="16"/>
                <w:szCs w:val="16"/>
                <w:lang w:eastAsia="en-NZ"/>
              </w:rPr>
              <w:t>1.94</w:t>
            </w:r>
          </w:p>
        </w:tc>
        <w:tc>
          <w:tcPr>
            <w:tcW w:w="1276" w:type="dxa"/>
            <w:shd w:val="clear" w:color="auto" w:fill="auto"/>
            <w:vAlign w:val="bottom"/>
          </w:tcPr>
          <w:p w14:paraId="38CC76C2"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(1.03, 3.65)</w:t>
            </w:r>
          </w:p>
        </w:tc>
        <w:tc>
          <w:tcPr>
            <w:tcW w:w="850" w:type="dxa"/>
            <w:shd w:val="clear" w:color="auto" w:fill="auto"/>
            <w:vAlign w:val="bottom"/>
          </w:tcPr>
          <w:p w14:paraId="16F4C141" w14:textId="77777777" w:rsidR="00491C93" w:rsidRPr="00BA3C70" w:rsidRDefault="00491C93" w:rsidP="00491C93">
            <w:pPr>
              <w:jc w:val="right"/>
              <w:rPr>
                <w:color w:val="000000"/>
                <w:sz w:val="16"/>
                <w:szCs w:val="16"/>
                <w:lang w:eastAsia="en-NZ"/>
              </w:rPr>
            </w:pPr>
            <w:r w:rsidRPr="00BA3C70">
              <w:rPr>
                <w:color w:val="000000"/>
                <w:sz w:val="16"/>
                <w:szCs w:val="16"/>
                <w:lang w:eastAsia="en-NZ"/>
              </w:rPr>
              <w:t>0.04</w:t>
            </w:r>
          </w:p>
        </w:tc>
      </w:tr>
      <w:tr w:rsidR="00491C93" w:rsidRPr="001A61F1" w14:paraId="37A9315C" w14:textId="77777777" w:rsidTr="001C5E0E">
        <w:tc>
          <w:tcPr>
            <w:tcW w:w="5387" w:type="dxa"/>
            <w:vAlign w:val="bottom"/>
          </w:tcPr>
          <w:p w14:paraId="7D8C26B3" w14:textId="77777777" w:rsidR="00491C93" w:rsidRPr="00203823" w:rsidRDefault="00491C93" w:rsidP="00491C93">
            <w:pPr>
              <w:keepNext/>
              <w:spacing w:before="20"/>
              <w:jc w:val="both"/>
              <w:rPr>
                <w:b/>
                <w:sz w:val="16"/>
                <w:szCs w:val="16"/>
              </w:rPr>
            </w:pPr>
            <w:r w:rsidRPr="00203823">
              <w:rPr>
                <w:b/>
                <w:sz w:val="16"/>
                <w:szCs w:val="16"/>
              </w:rPr>
              <w:t>Sports betting - annual</w:t>
            </w:r>
          </w:p>
        </w:tc>
        <w:tc>
          <w:tcPr>
            <w:tcW w:w="992" w:type="dxa"/>
            <w:shd w:val="clear" w:color="auto" w:fill="auto"/>
            <w:vAlign w:val="bottom"/>
          </w:tcPr>
          <w:p w14:paraId="04B58EA7"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442E4641"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3E49FE2F" w14:textId="77777777" w:rsidR="00491C93" w:rsidRPr="007B750E" w:rsidRDefault="00491C93" w:rsidP="00491C93">
            <w:pPr>
              <w:jc w:val="right"/>
              <w:rPr>
                <w:color w:val="000000"/>
                <w:sz w:val="16"/>
                <w:szCs w:val="16"/>
                <w:lang w:eastAsia="en-NZ"/>
              </w:rPr>
            </w:pPr>
          </w:p>
        </w:tc>
      </w:tr>
      <w:tr w:rsidR="00491C93" w:rsidRPr="001A61F1" w14:paraId="76296B7B" w14:textId="77777777" w:rsidTr="001C5E0E">
        <w:tc>
          <w:tcPr>
            <w:tcW w:w="5387" w:type="dxa"/>
          </w:tcPr>
          <w:p w14:paraId="70D7598E" w14:textId="77777777" w:rsidR="00491C93" w:rsidRPr="00203823" w:rsidRDefault="00491C93" w:rsidP="00491C93">
            <w:pPr>
              <w:keepNext/>
              <w:spacing w:before="20"/>
              <w:ind w:left="176"/>
              <w:jc w:val="both"/>
              <w:rPr>
                <w:sz w:val="16"/>
                <w:szCs w:val="16"/>
              </w:rPr>
            </w:pPr>
            <w:r w:rsidRPr="00203823">
              <w:rPr>
                <w:sz w:val="16"/>
                <w:szCs w:val="16"/>
              </w:rPr>
              <w:t>No</w:t>
            </w:r>
          </w:p>
        </w:tc>
        <w:tc>
          <w:tcPr>
            <w:tcW w:w="992" w:type="dxa"/>
            <w:shd w:val="clear" w:color="auto" w:fill="auto"/>
            <w:vAlign w:val="bottom"/>
          </w:tcPr>
          <w:p w14:paraId="10939333"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0882D3B0"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1DFFB758" w14:textId="77777777" w:rsidR="00491C93" w:rsidRPr="00BA3C70" w:rsidRDefault="00491C93" w:rsidP="00491C93">
            <w:pPr>
              <w:jc w:val="right"/>
              <w:rPr>
                <w:color w:val="000000"/>
                <w:sz w:val="16"/>
                <w:szCs w:val="16"/>
                <w:lang w:eastAsia="en-NZ"/>
              </w:rPr>
            </w:pPr>
          </w:p>
        </w:tc>
      </w:tr>
      <w:tr w:rsidR="00491C93" w:rsidRPr="001A61F1" w14:paraId="7C019643" w14:textId="77777777" w:rsidTr="00173F02">
        <w:tc>
          <w:tcPr>
            <w:tcW w:w="5387" w:type="dxa"/>
          </w:tcPr>
          <w:p w14:paraId="2E0D3696" w14:textId="77777777" w:rsidR="00491C93" w:rsidRPr="00203823" w:rsidRDefault="00491C93" w:rsidP="00491C93">
            <w:pPr>
              <w:keepNext/>
              <w:spacing w:before="20"/>
              <w:ind w:left="176"/>
              <w:jc w:val="both"/>
              <w:rPr>
                <w:sz w:val="16"/>
                <w:szCs w:val="16"/>
              </w:rPr>
            </w:pPr>
            <w:r w:rsidRPr="00203823">
              <w:rPr>
                <w:sz w:val="16"/>
                <w:szCs w:val="16"/>
              </w:rPr>
              <w:t>Yes</w:t>
            </w:r>
          </w:p>
        </w:tc>
        <w:tc>
          <w:tcPr>
            <w:tcW w:w="992" w:type="dxa"/>
            <w:shd w:val="clear" w:color="auto" w:fill="auto"/>
            <w:vAlign w:val="bottom"/>
          </w:tcPr>
          <w:p w14:paraId="4BF3D75B" w14:textId="77777777" w:rsidR="00491C93" w:rsidRPr="00BA3C70" w:rsidRDefault="00491C93" w:rsidP="00491C93">
            <w:pPr>
              <w:jc w:val="right"/>
              <w:rPr>
                <w:color w:val="000000"/>
                <w:sz w:val="16"/>
                <w:szCs w:val="16"/>
                <w:lang w:eastAsia="en-NZ"/>
              </w:rPr>
            </w:pPr>
            <w:r w:rsidRPr="00BA3C70">
              <w:rPr>
                <w:color w:val="000000"/>
                <w:sz w:val="16"/>
                <w:szCs w:val="16"/>
                <w:lang w:eastAsia="en-NZ"/>
              </w:rPr>
              <w:t>5.11</w:t>
            </w:r>
          </w:p>
        </w:tc>
        <w:tc>
          <w:tcPr>
            <w:tcW w:w="1276" w:type="dxa"/>
            <w:shd w:val="clear" w:color="auto" w:fill="auto"/>
            <w:vAlign w:val="bottom"/>
          </w:tcPr>
          <w:p w14:paraId="6499A71B" w14:textId="77777777" w:rsidR="00491C93" w:rsidRPr="00BA3C70" w:rsidRDefault="00491C93" w:rsidP="00491C93">
            <w:pPr>
              <w:jc w:val="right"/>
              <w:rPr>
                <w:color w:val="000000"/>
                <w:sz w:val="16"/>
                <w:szCs w:val="16"/>
                <w:lang w:eastAsia="en-NZ"/>
              </w:rPr>
            </w:pPr>
            <w:r w:rsidRPr="00BA3C70">
              <w:rPr>
                <w:color w:val="000000"/>
                <w:sz w:val="16"/>
                <w:szCs w:val="16"/>
                <w:lang w:eastAsia="en-NZ"/>
              </w:rPr>
              <w:t>(2.31, 11.34)</w:t>
            </w:r>
          </w:p>
        </w:tc>
        <w:tc>
          <w:tcPr>
            <w:tcW w:w="850" w:type="dxa"/>
            <w:shd w:val="clear" w:color="auto" w:fill="auto"/>
            <w:vAlign w:val="bottom"/>
          </w:tcPr>
          <w:p w14:paraId="75ACA9F8" w14:textId="77777777" w:rsidR="00491C93" w:rsidRPr="00BA3C70" w:rsidRDefault="00491C93" w:rsidP="00491C93">
            <w:pPr>
              <w:jc w:val="right"/>
              <w:rPr>
                <w:color w:val="000000"/>
                <w:sz w:val="16"/>
                <w:szCs w:val="16"/>
                <w:lang w:eastAsia="en-NZ"/>
              </w:rPr>
            </w:pPr>
            <w:r w:rsidRPr="00BA3C70">
              <w:rPr>
                <w:color w:val="000000"/>
                <w:sz w:val="16"/>
                <w:szCs w:val="16"/>
                <w:lang w:eastAsia="en-NZ"/>
              </w:rPr>
              <w:t>&lt;0.0001</w:t>
            </w:r>
          </w:p>
        </w:tc>
      </w:tr>
      <w:tr w:rsidR="00491C93" w:rsidRPr="001A61F1" w14:paraId="52240CDD" w14:textId="77777777" w:rsidTr="00683F62">
        <w:tc>
          <w:tcPr>
            <w:tcW w:w="5387" w:type="dxa"/>
            <w:vAlign w:val="bottom"/>
          </w:tcPr>
          <w:p w14:paraId="63EE7C41" w14:textId="77777777" w:rsidR="00491C93" w:rsidRPr="00203823" w:rsidRDefault="00491C93" w:rsidP="00491C93">
            <w:pPr>
              <w:spacing w:before="20"/>
              <w:jc w:val="both"/>
              <w:rPr>
                <w:b/>
                <w:sz w:val="16"/>
                <w:szCs w:val="16"/>
              </w:rPr>
            </w:pPr>
            <w:r w:rsidRPr="00203823">
              <w:rPr>
                <w:b/>
                <w:sz w:val="16"/>
                <w:szCs w:val="16"/>
              </w:rPr>
              <w:t>Casino table games or EGMs (NZ) - annual</w:t>
            </w:r>
          </w:p>
        </w:tc>
        <w:tc>
          <w:tcPr>
            <w:tcW w:w="992" w:type="dxa"/>
            <w:shd w:val="clear" w:color="auto" w:fill="auto"/>
            <w:vAlign w:val="bottom"/>
          </w:tcPr>
          <w:p w14:paraId="4F21A374"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58886AD0"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047686F5" w14:textId="77777777" w:rsidR="00491C93" w:rsidRPr="007B750E" w:rsidRDefault="00491C93" w:rsidP="00491C93">
            <w:pPr>
              <w:jc w:val="right"/>
              <w:rPr>
                <w:color w:val="000000"/>
                <w:sz w:val="16"/>
                <w:szCs w:val="16"/>
                <w:lang w:eastAsia="en-NZ"/>
              </w:rPr>
            </w:pPr>
          </w:p>
        </w:tc>
      </w:tr>
      <w:tr w:rsidR="00491C93" w:rsidRPr="001A61F1" w14:paraId="73707060" w14:textId="77777777" w:rsidTr="001C5E0E">
        <w:tc>
          <w:tcPr>
            <w:tcW w:w="5387" w:type="dxa"/>
          </w:tcPr>
          <w:p w14:paraId="4C0E6C67" w14:textId="77777777" w:rsidR="00491C93" w:rsidRPr="00203823" w:rsidRDefault="00491C93" w:rsidP="00491C93">
            <w:pPr>
              <w:spacing w:before="20"/>
              <w:ind w:left="176"/>
              <w:jc w:val="both"/>
              <w:rPr>
                <w:sz w:val="16"/>
                <w:szCs w:val="16"/>
              </w:rPr>
            </w:pPr>
            <w:r w:rsidRPr="00203823">
              <w:rPr>
                <w:sz w:val="16"/>
                <w:szCs w:val="16"/>
              </w:rPr>
              <w:t>No</w:t>
            </w:r>
          </w:p>
        </w:tc>
        <w:tc>
          <w:tcPr>
            <w:tcW w:w="992" w:type="dxa"/>
            <w:shd w:val="clear" w:color="auto" w:fill="auto"/>
            <w:vAlign w:val="bottom"/>
          </w:tcPr>
          <w:p w14:paraId="60617765"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162E3E94"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072361ED" w14:textId="77777777" w:rsidR="00491C93" w:rsidRPr="00BA3C70" w:rsidRDefault="00491C93" w:rsidP="00491C93">
            <w:pPr>
              <w:jc w:val="right"/>
              <w:rPr>
                <w:color w:val="000000"/>
                <w:sz w:val="16"/>
                <w:szCs w:val="16"/>
                <w:lang w:eastAsia="en-NZ"/>
              </w:rPr>
            </w:pPr>
          </w:p>
        </w:tc>
      </w:tr>
      <w:tr w:rsidR="00491C93" w:rsidRPr="001A61F1" w14:paraId="1137D2BE" w14:textId="77777777" w:rsidTr="00173F02">
        <w:tc>
          <w:tcPr>
            <w:tcW w:w="5387" w:type="dxa"/>
          </w:tcPr>
          <w:p w14:paraId="3B940451" w14:textId="77777777" w:rsidR="00491C93" w:rsidRPr="00203823" w:rsidRDefault="00491C93" w:rsidP="00491C93">
            <w:pPr>
              <w:spacing w:before="20"/>
              <w:ind w:left="176"/>
              <w:jc w:val="both"/>
              <w:rPr>
                <w:sz w:val="16"/>
                <w:szCs w:val="16"/>
              </w:rPr>
            </w:pPr>
            <w:r w:rsidRPr="00203823">
              <w:rPr>
                <w:sz w:val="16"/>
                <w:szCs w:val="16"/>
              </w:rPr>
              <w:t>Yes</w:t>
            </w:r>
          </w:p>
        </w:tc>
        <w:tc>
          <w:tcPr>
            <w:tcW w:w="992" w:type="dxa"/>
            <w:shd w:val="clear" w:color="auto" w:fill="auto"/>
            <w:vAlign w:val="bottom"/>
          </w:tcPr>
          <w:p w14:paraId="38767191" w14:textId="77777777" w:rsidR="00491C93" w:rsidRPr="00BA3C70" w:rsidRDefault="00491C93" w:rsidP="00491C93">
            <w:pPr>
              <w:jc w:val="right"/>
              <w:rPr>
                <w:color w:val="000000"/>
                <w:sz w:val="16"/>
                <w:szCs w:val="16"/>
                <w:lang w:eastAsia="en-NZ"/>
              </w:rPr>
            </w:pPr>
            <w:r w:rsidRPr="00BA3C70">
              <w:rPr>
                <w:color w:val="000000"/>
                <w:sz w:val="16"/>
                <w:szCs w:val="16"/>
                <w:lang w:eastAsia="en-NZ"/>
              </w:rPr>
              <w:t>4.77</w:t>
            </w:r>
          </w:p>
        </w:tc>
        <w:tc>
          <w:tcPr>
            <w:tcW w:w="1276" w:type="dxa"/>
            <w:shd w:val="clear" w:color="auto" w:fill="auto"/>
            <w:vAlign w:val="bottom"/>
          </w:tcPr>
          <w:p w14:paraId="32EF8EDC" w14:textId="77777777" w:rsidR="00491C93" w:rsidRPr="00BA3C70" w:rsidRDefault="00491C93" w:rsidP="00491C93">
            <w:pPr>
              <w:jc w:val="right"/>
              <w:rPr>
                <w:color w:val="000000"/>
                <w:sz w:val="16"/>
                <w:szCs w:val="16"/>
                <w:lang w:eastAsia="en-NZ"/>
              </w:rPr>
            </w:pPr>
            <w:r w:rsidRPr="00BA3C70">
              <w:rPr>
                <w:color w:val="000000"/>
                <w:sz w:val="16"/>
                <w:szCs w:val="16"/>
                <w:lang w:eastAsia="en-NZ"/>
              </w:rPr>
              <w:t>(2.66, 8.53)</w:t>
            </w:r>
          </w:p>
        </w:tc>
        <w:tc>
          <w:tcPr>
            <w:tcW w:w="850" w:type="dxa"/>
            <w:shd w:val="clear" w:color="auto" w:fill="auto"/>
            <w:vAlign w:val="bottom"/>
          </w:tcPr>
          <w:p w14:paraId="2B4856D4" w14:textId="77777777" w:rsidR="00491C93" w:rsidRPr="00BA3C70" w:rsidRDefault="00491C93" w:rsidP="00491C93">
            <w:pPr>
              <w:jc w:val="right"/>
              <w:rPr>
                <w:color w:val="000000"/>
                <w:sz w:val="16"/>
                <w:szCs w:val="16"/>
                <w:lang w:eastAsia="en-NZ"/>
              </w:rPr>
            </w:pPr>
            <w:r w:rsidRPr="00BA3C70">
              <w:rPr>
                <w:color w:val="000000"/>
                <w:sz w:val="16"/>
                <w:szCs w:val="16"/>
                <w:lang w:eastAsia="en-NZ"/>
              </w:rPr>
              <w:t>&lt;0.0001</w:t>
            </w:r>
          </w:p>
        </w:tc>
      </w:tr>
      <w:tr w:rsidR="00491C93" w:rsidRPr="001A61F1" w14:paraId="5E31053E" w14:textId="77777777" w:rsidTr="001C5E0E">
        <w:tc>
          <w:tcPr>
            <w:tcW w:w="5387" w:type="dxa"/>
            <w:vAlign w:val="bottom"/>
          </w:tcPr>
          <w:p w14:paraId="259C80B1" w14:textId="77777777" w:rsidR="00491C93" w:rsidRPr="003F15C0" w:rsidRDefault="00491C93" w:rsidP="00491C93">
            <w:pPr>
              <w:spacing w:before="20"/>
              <w:jc w:val="both"/>
              <w:rPr>
                <w:b/>
                <w:sz w:val="16"/>
                <w:szCs w:val="16"/>
              </w:rPr>
            </w:pPr>
            <w:r w:rsidRPr="003F15C0">
              <w:rPr>
                <w:b/>
                <w:sz w:val="16"/>
                <w:szCs w:val="16"/>
              </w:rPr>
              <w:t>Casino table games (NZ) - annual</w:t>
            </w:r>
          </w:p>
        </w:tc>
        <w:tc>
          <w:tcPr>
            <w:tcW w:w="992" w:type="dxa"/>
            <w:shd w:val="clear" w:color="auto" w:fill="auto"/>
            <w:vAlign w:val="bottom"/>
          </w:tcPr>
          <w:p w14:paraId="0001CC96"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60125881"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3ADA27AE" w14:textId="77777777" w:rsidR="00491C93" w:rsidRPr="007B750E" w:rsidRDefault="00491C93" w:rsidP="00491C93">
            <w:pPr>
              <w:jc w:val="right"/>
              <w:rPr>
                <w:color w:val="000000"/>
                <w:sz w:val="16"/>
                <w:szCs w:val="16"/>
                <w:lang w:eastAsia="en-NZ"/>
              </w:rPr>
            </w:pPr>
          </w:p>
        </w:tc>
      </w:tr>
      <w:tr w:rsidR="00491C93" w:rsidRPr="001A61F1" w14:paraId="480B2B86" w14:textId="77777777" w:rsidTr="001C5E0E">
        <w:tc>
          <w:tcPr>
            <w:tcW w:w="5387" w:type="dxa"/>
          </w:tcPr>
          <w:p w14:paraId="19A2FCDC"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1CCB3587"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3AD138F6"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078302B2" w14:textId="77777777" w:rsidR="00491C93" w:rsidRPr="00BA3C70" w:rsidRDefault="00491C93" w:rsidP="00491C93">
            <w:pPr>
              <w:jc w:val="right"/>
              <w:rPr>
                <w:color w:val="000000"/>
                <w:sz w:val="16"/>
                <w:szCs w:val="16"/>
                <w:lang w:eastAsia="en-NZ"/>
              </w:rPr>
            </w:pPr>
          </w:p>
        </w:tc>
      </w:tr>
      <w:tr w:rsidR="00491C93" w:rsidRPr="001A61F1" w14:paraId="2A40A485" w14:textId="77777777" w:rsidTr="00173F02">
        <w:tc>
          <w:tcPr>
            <w:tcW w:w="5387" w:type="dxa"/>
          </w:tcPr>
          <w:p w14:paraId="6F918ABE"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3D849DC6" w14:textId="77777777" w:rsidR="00491C93" w:rsidRPr="00BA3C70" w:rsidRDefault="00491C93" w:rsidP="00491C93">
            <w:pPr>
              <w:jc w:val="right"/>
              <w:rPr>
                <w:color w:val="000000"/>
                <w:sz w:val="16"/>
                <w:szCs w:val="16"/>
                <w:lang w:eastAsia="en-NZ"/>
              </w:rPr>
            </w:pPr>
            <w:r w:rsidRPr="00BA3C70">
              <w:rPr>
                <w:color w:val="000000"/>
                <w:sz w:val="16"/>
                <w:szCs w:val="16"/>
                <w:lang w:eastAsia="en-NZ"/>
              </w:rPr>
              <w:t>4.17</w:t>
            </w:r>
          </w:p>
        </w:tc>
        <w:tc>
          <w:tcPr>
            <w:tcW w:w="1276" w:type="dxa"/>
            <w:shd w:val="clear" w:color="auto" w:fill="auto"/>
            <w:vAlign w:val="bottom"/>
          </w:tcPr>
          <w:p w14:paraId="23A58D6C" w14:textId="77777777" w:rsidR="00491C93" w:rsidRPr="00BA3C70" w:rsidRDefault="00491C93" w:rsidP="00491C93">
            <w:pPr>
              <w:jc w:val="right"/>
              <w:rPr>
                <w:color w:val="000000"/>
                <w:sz w:val="16"/>
                <w:szCs w:val="16"/>
                <w:lang w:eastAsia="en-NZ"/>
              </w:rPr>
            </w:pPr>
            <w:r w:rsidRPr="00BA3C70">
              <w:rPr>
                <w:color w:val="000000"/>
                <w:sz w:val="16"/>
                <w:szCs w:val="16"/>
                <w:lang w:eastAsia="en-NZ"/>
              </w:rPr>
              <w:t>(1.67, 10.42)</w:t>
            </w:r>
          </w:p>
        </w:tc>
        <w:tc>
          <w:tcPr>
            <w:tcW w:w="850" w:type="dxa"/>
            <w:shd w:val="clear" w:color="auto" w:fill="auto"/>
            <w:vAlign w:val="bottom"/>
          </w:tcPr>
          <w:p w14:paraId="212F2F91" w14:textId="77777777" w:rsidR="00491C93" w:rsidRPr="00BA3C70" w:rsidRDefault="00491C93" w:rsidP="00491C93">
            <w:pPr>
              <w:jc w:val="right"/>
              <w:rPr>
                <w:color w:val="000000"/>
                <w:sz w:val="16"/>
                <w:szCs w:val="16"/>
                <w:lang w:eastAsia="en-NZ"/>
              </w:rPr>
            </w:pPr>
            <w:r w:rsidRPr="00BA3C70">
              <w:rPr>
                <w:color w:val="000000"/>
                <w:sz w:val="16"/>
                <w:szCs w:val="16"/>
                <w:lang w:eastAsia="en-NZ"/>
              </w:rPr>
              <w:t>0.002</w:t>
            </w:r>
          </w:p>
        </w:tc>
      </w:tr>
      <w:tr w:rsidR="00491C93" w:rsidRPr="001A61F1" w14:paraId="05F985F4" w14:textId="77777777" w:rsidTr="001C5E0E">
        <w:tc>
          <w:tcPr>
            <w:tcW w:w="5387" w:type="dxa"/>
            <w:vAlign w:val="bottom"/>
          </w:tcPr>
          <w:p w14:paraId="0CF449CD" w14:textId="77777777" w:rsidR="00491C93" w:rsidRPr="003F15C0" w:rsidRDefault="00491C93" w:rsidP="00491C93">
            <w:pPr>
              <w:spacing w:before="20"/>
              <w:jc w:val="both"/>
              <w:rPr>
                <w:b/>
                <w:sz w:val="16"/>
                <w:szCs w:val="16"/>
              </w:rPr>
            </w:pPr>
            <w:r w:rsidRPr="003F15C0">
              <w:rPr>
                <w:b/>
                <w:sz w:val="16"/>
                <w:szCs w:val="16"/>
              </w:rPr>
              <w:t>Casino EGMs (NZ) - annual</w:t>
            </w:r>
          </w:p>
        </w:tc>
        <w:tc>
          <w:tcPr>
            <w:tcW w:w="992" w:type="dxa"/>
            <w:shd w:val="clear" w:color="auto" w:fill="auto"/>
            <w:vAlign w:val="bottom"/>
          </w:tcPr>
          <w:p w14:paraId="12BFFBE4"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6A2F1911"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2BE186B5" w14:textId="77777777" w:rsidR="00491C93" w:rsidRPr="007B750E" w:rsidRDefault="00491C93" w:rsidP="00491C93">
            <w:pPr>
              <w:jc w:val="right"/>
              <w:rPr>
                <w:color w:val="000000"/>
                <w:sz w:val="16"/>
                <w:szCs w:val="16"/>
                <w:lang w:eastAsia="en-NZ"/>
              </w:rPr>
            </w:pPr>
          </w:p>
        </w:tc>
      </w:tr>
      <w:tr w:rsidR="00491C93" w:rsidRPr="001A61F1" w14:paraId="428743AD" w14:textId="77777777" w:rsidTr="001C5E0E">
        <w:tc>
          <w:tcPr>
            <w:tcW w:w="5387" w:type="dxa"/>
          </w:tcPr>
          <w:p w14:paraId="50949DF5"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707CA24F"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786B9686"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527A8D30" w14:textId="77777777" w:rsidR="00491C93" w:rsidRPr="00BA3C70" w:rsidRDefault="00491C93" w:rsidP="00491C93">
            <w:pPr>
              <w:jc w:val="right"/>
              <w:rPr>
                <w:color w:val="000000"/>
                <w:sz w:val="16"/>
                <w:szCs w:val="16"/>
                <w:lang w:eastAsia="en-NZ"/>
              </w:rPr>
            </w:pPr>
          </w:p>
        </w:tc>
      </w:tr>
      <w:tr w:rsidR="00491C93" w:rsidRPr="001A61F1" w14:paraId="76CA377B" w14:textId="77777777" w:rsidTr="00173F02">
        <w:tc>
          <w:tcPr>
            <w:tcW w:w="5387" w:type="dxa"/>
          </w:tcPr>
          <w:p w14:paraId="5A3C2A80"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5137447E" w14:textId="77777777" w:rsidR="00491C93" w:rsidRPr="00BA3C70" w:rsidRDefault="00491C93" w:rsidP="00491C93">
            <w:pPr>
              <w:jc w:val="right"/>
              <w:rPr>
                <w:color w:val="000000"/>
                <w:sz w:val="16"/>
                <w:szCs w:val="16"/>
                <w:lang w:eastAsia="en-NZ"/>
              </w:rPr>
            </w:pPr>
            <w:r w:rsidRPr="00BA3C70">
              <w:rPr>
                <w:color w:val="000000"/>
                <w:sz w:val="16"/>
                <w:szCs w:val="16"/>
                <w:lang w:eastAsia="en-NZ"/>
              </w:rPr>
              <w:t>5.57</w:t>
            </w:r>
          </w:p>
        </w:tc>
        <w:tc>
          <w:tcPr>
            <w:tcW w:w="1276" w:type="dxa"/>
            <w:shd w:val="clear" w:color="auto" w:fill="auto"/>
            <w:vAlign w:val="bottom"/>
          </w:tcPr>
          <w:p w14:paraId="504B875D" w14:textId="77777777" w:rsidR="00491C93" w:rsidRPr="00BA3C70" w:rsidRDefault="00491C93" w:rsidP="00491C93">
            <w:pPr>
              <w:jc w:val="right"/>
              <w:rPr>
                <w:color w:val="000000"/>
                <w:sz w:val="16"/>
                <w:szCs w:val="16"/>
                <w:lang w:eastAsia="en-NZ"/>
              </w:rPr>
            </w:pPr>
            <w:r w:rsidRPr="00BA3C70">
              <w:rPr>
                <w:color w:val="000000"/>
                <w:sz w:val="16"/>
                <w:szCs w:val="16"/>
                <w:lang w:eastAsia="en-NZ"/>
              </w:rPr>
              <w:t>(3.10, 9.99)</w:t>
            </w:r>
          </w:p>
        </w:tc>
        <w:tc>
          <w:tcPr>
            <w:tcW w:w="850" w:type="dxa"/>
            <w:shd w:val="clear" w:color="auto" w:fill="auto"/>
            <w:vAlign w:val="bottom"/>
          </w:tcPr>
          <w:p w14:paraId="7C94E2B5" w14:textId="77777777" w:rsidR="00491C93" w:rsidRPr="00BA3C70" w:rsidRDefault="00491C93" w:rsidP="00491C93">
            <w:pPr>
              <w:jc w:val="right"/>
              <w:rPr>
                <w:color w:val="000000"/>
                <w:sz w:val="16"/>
                <w:szCs w:val="16"/>
                <w:lang w:eastAsia="en-NZ"/>
              </w:rPr>
            </w:pPr>
            <w:r w:rsidRPr="00BA3C70">
              <w:rPr>
                <w:color w:val="000000"/>
                <w:sz w:val="16"/>
                <w:szCs w:val="16"/>
                <w:lang w:eastAsia="en-NZ"/>
              </w:rPr>
              <w:t>&lt;0.0001</w:t>
            </w:r>
          </w:p>
        </w:tc>
      </w:tr>
      <w:tr w:rsidR="00491C93" w:rsidRPr="001A61F1" w14:paraId="2E08E7DA" w14:textId="77777777" w:rsidTr="001C5E0E">
        <w:tc>
          <w:tcPr>
            <w:tcW w:w="5387" w:type="dxa"/>
            <w:vAlign w:val="bottom"/>
          </w:tcPr>
          <w:p w14:paraId="46BF6218" w14:textId="77777777" w:rsidR="00491C93" w:rsidRPr="003F15C0" w:rsidRDefault="00491C93" w:rsidP="00491C93">
            <w:pPr>
              <w:spacing w:before="20"/>
              <w:jc w:val="both"/>
              <w:rPr>
                <w:b/>
                <w:sz w:val="16"/>
                <w:szCs w:val="16"/>
              </w:rPr>
            </w:pPr>
            <w:r w:rsidRPr="003F15C0">
              <w:rPr>
                <w:b/>
                <w:sz w:val="16"/>
                <w:szCs w:val="16"/>
              </w:rPr>
              <w:t>Pub EGMs - annual</w:t>
            </w:r>
          </w:p>
        </w:tc>
        <w:tc>
          <w:tcPr>
            <w:tcW w:w="992" w:type="dxa"/>
            <w:shd w:val="clear" w:color="auto" w:fill="auto"/>
            <w:vAlign w:val="bottom"/>
          </w:tcPr>
          <w:p w14:paraId="372308AA"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56102258"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440279D6" w14:textId="77777777" w:rsidR="00491C93" w:rsidRPr="007B750E" w:rsidRDefault="00491C93" w:rsidP="00491C93">
            <w:pPr>
              <w:jc w:val="right"/>
              <w:rPr>
                <w:color w:val="000000"/>
                <w:sz w:val="16"/>
                <w:szCs w:val="16"/>
                <w:lang w:eastAsia="en-NZ"/>
              </w:rPr>
            </w:pPr>
          </w:p>
        </w:tc>
      </w:tr>
      <w:tr w:rsidR="00491C93" w:rsidRPr="001A61F1" w14:paraId="6986A4DF" w14:textId="77777777" w:rsidTr="001C5E0E">
        <w:tc>
          <w:tcPr>
            <w:tcW w:w="5387" w:type="dxa"/>
          </w:tcPr>
          <w:p w14:paraId="26B35942"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49740242"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02876A2F"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20013623" w14:textId="77777777" w:rsidR="00491C93" w:rsidRPr="00BA3C70" w:rsidRDefault="00491C93" w:rsidP="00491C93">
            <w:pPr>
              <w:jc w:val="right"/>
              <w:rPr>
                <w:color w:val="000000"/>
                <w:sz w:val="16"/>
                <w:szCs w:val="16"/>
                <w:lang w:eastAsia="en-NZ"/>
              </w:rPr>
            </w:pPr>
          </w:p>
        </w:tc>
      </w:tr>
      <w:tr w:rsidR="00491C93" w:rsidRPr="001A61F1" w14:paraId="5446B6C6" w14:textId="77777777" w:rsidTr="00173F02">
        <w:tc>
          <w:tcPr>
            <w:tcW w:w="5387" w:type="dxa"/>
          </w:tcPr>
          <w:p w14:paraId="6D6FECC7"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79DB9277" w14:textId="77777777" w:rsidR="00491C93" w:rsidRPr="00BA3C70" w:rsidRDefault="00491C93" w:rsidP="00491C93">
            <w:pPr>
              <w:jc w:val="right"/>
              <w:rPr>
                <w:color w:val="000000"/>
                <w:sz w:val="16"/>
                <w:szCs w:val="16"/>
                <w:lang w:eastAsia="en-NZ"/>
              </w:rPr>
            </w:pPr>
            <w:r w:rsidRPr="00BA3C70">
              <w:rPr>
                <w:color w:val="000000"/>
                <w:sz w:val="16"/>
                <w:szCs w:val="16"/>
                <w:lang w:eastAsia="en-NZ"/>
              </w:rPr>
              <w:t>12.16</w:t>
            </w:r>
          </w:p>
        </w:tc>
        <w:tc>
          <w:tcPr>
            <w:tcW w:w="1276" w:type="dxa"/>
            <w:shd w:val="clear" w:color="auto" w:fill="auto"/>
            <w:vAlign w:val="bottom"/>
          </w:tcPr>
          <w:p w14:paraId="778EC8F4" w14:textId="77777777" w:rsidR="00491C93" w:rsidRPr="00BA3C70" w:rsidRDefault="00491C93" w:rsidP="00491C93">
            <w:pPr>
              <w:jc w:val="right"/>
              <w:rPr>
                <w:color w:val="000000"/>
                <w:sz w:val="16"/>
                <w:szCs w:val="16"/>
                <w:lang w:eastAsia="en-NZ"/>
              </w:rPr>
            </w:pPr>
            <w:r w:rsidRPr="00BA3C70">
              <w:rPr>
                <w:color w:val="000000"/>
                <w:sz w:val="16"/>
                <w:szCs w:val="16"/>
                <w:lang w:eastAsia="en-NZ"/>
              </w:rPr>
              <w:t>(6.79, 21.79)</w:t>
            </w:r>
          </w:p>
        </w:tc>
        <w:tc>
          <w:tcPr>
            <w:tcW w:w="850" w:type="dxa"/>
            <w:shd w:val="clear" w:color="auto" w:fill="auto"/>
            <w:vAlign w:val="bottom"/>
          </w:tcPr>
          <w:p w14:paraId="3BC01DDF" w14:textId="77777777" w:rsidR="00491C93" w:rsidRPr="00BA3C70" w:rsidRDefault="00491C93" w:rsidP="00491C93">
            <w:pPr>
              <w:jc w:val="right"/>
              <w:rPr>
                <w:color w:val="000000"/>
                <w:sz w:val="16"/>
                <w:szCs w:val="16"/>
                <w:lang w:eastAsia="en-NZ"/>
              </w:rPr>
            </w:pPr>
            <w:r w:rsidRPr="00BA3C70">
              <w:rPr>
                <w:color w:val="000000"/>
                <w:sz w:val="16"/>
                <w:szCs w:val="16"/>
                <w:lang w:eastAsia="en-NZ"/>
              </w:rPr>
              <w:t>&lt;0.0001</w:t>
            </w:r>
          </w:p>
        </w:tc>
      </w:tr>
      <w:tr w:rsidR="00491C93" w:rsidRPr="001A61F1" w14:paraId="0B3820A5" w14:textId="77777777" w:rsidTr="001C5E0E">
        <w:tc>
          <w:tcPr>
            <w:tcW w:w="5387" w:type="dxa"/>
            <w:vAlign w:val="bottom"/>
          </w:tcPr>
          <w:p w14:paraId="37DE9DB3" w14:textId="77777777" w:rsidR="00491C93" w:rsidRPr="003F15C0" w:rsidRDefault="00491C93" w:rsidP="00491C93">
            <w:pPr>
              <w:spacing w:before="20"/>
              <w:jc w:val="both"/>
              <w:rPr>
                <w:b/>
                <w:sz w:val="16"/>
                <w:szCs w:val="16"/>
              </w:rPr>
            </w:pPr>
            <w:r w:rsidRPr="003F15C0">
              <w:rPr>
                <w:b/>
                <w:sz w:val="16"/>
                <w:szCs w:val="16"/>
              </w:rPr>
              <w:t>Club EGM</w:t>
            </w:r>
            <w:r>
              <w:rPr>
                <w:b/>
                <w:sz w:val="16"/>
                <w:szCs w:val="16"/>
              </w:rPr>
              <w:t>s</w:t>
            </w:r>
            <w:r w:rsidRPr="003F15C0">
              <w:rPr>
                <w:b/>
                <w:sz w:val="16"/>
                <w:szCs w:val="16"/>
              </w:rPr>
              <w:t xml:space="preserve"> - annual</w:t>
            </w:r>
          </w:p>
        </w:tc>
        <w:tc>
          <w:tcPr>
            <w:tcW w:w="992" w:type="dxa"/>
            <w:shd w:val="clear" w:color="auto" w:fill="auto"/>
            <w:vAlign w:val="bottom"/>
          </w:tcPr>
          <w:p w14:paraId="7254B8B6"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373F1268"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09B1F607" w14:textId="77777777" w:rsidR="00491C93" w:rsidRPr="007B750E" w:rsidRDefault="00491C93" w:rsidP="00491C93">
            <w:pPr>
              <w:jc w:val="right"/>
              <w:rPr>
                <w:color w:val="000000"/>
                <w:sz w:val="16"/>
                <w:szCs w:val="16"/>
                <w:lang w:eastAsia="en-NZ"/>
              </w:rPr>
            </w:pPr>
          </w:p>
        </w:tc>
      </w:tr>
      <w:tr w:rsidR="00491C93" w:rsidRPr="001A61F1" w14:paraId="0C2F09A9" w14:textId="77777777" w:rsidTr="001C5E0E">
        <w:tc>
          <w:tcPr>
            <w:tcW w:w="5387" w:type="dxa"/>
          </w:tcPr>
          <w:p w14:paraId="034912F7"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256949FA"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5347B0CC"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00565CB4" w14:textId="77777777" w:rsidR="00491C93" w:rsidRPr="00BA3C70" w:rsidRDefault="00491C93" w:rsidP="00491C93">
            <w:pPr>
              <w:jc w:val="right"/>
              <w:rPr>
                <w:color w:val="000000"/>
                <w:sz w:val="16"/>
                <w:szCs w:val="16"/>
                <w:lang w:eastAsia="en-NZ"/>
              </w:rPr>
            </w:pPr>
          </w:p>
        </w:tc>
      </w:tr>
      <w:tr w:rsidR="00491C93" w:rsidRPr="001A61F1" w14:paraId="3FD8ED69" w14:textId="77777777" w:rsidTr="00173F02">
        <w:tc>
          <w:tcPr>
            <w:tcW w:w="5387" w:type="dxa"/>
          </w:tcPr>
          <w:p w14:paraId="03924894"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1DF70FC1" w14:textId="77777777" w:rsidR="00491C93" w:rsidRPr="00BA3C70" w:rsidRDefault="00491C93" w:rsidP="00491C93">
            <w:pPr>
              <w:jc w:val="right"/>
              <w:rPr>
                <w:color w:val="000000"/>
                <w:sz w:val="16"/>
                <w:szCs w:val="16"/>
                <w:lang w:eastAsia="en-NZ"/>
              </w:rPr>
            </w:pPr>
            <w:r w:rsidRPr="00BA3C70">
              <w:rPr>
                <w:color w:val="000000"/>
                <w:sz w:val="16"/>
                <w:szCs w:val="16"/>
                <w:lang w:eastAsia="en-NZ"/>
              </w:rPr>
              <w:t>2.22</w:t>
            </w:r>
          </w:p>
        </w:tc>
        <w:tc>
          <w:tcPr>
            <w:tcW w:w="1276" w:type="dxa"/>
            <w:shd w:val="clear" w:color="auto" w:fill="auto"/>
            <w:vAlign w:val="bottom"/>
          </w:tcPr>
          <w:p w14:paraId="2A2419F6"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(1.05, 4.70)</w:t>
            </w:r>
          </w:p>
        </w:tc>
        <w:tc>
          <w:tcPr>
            <w:tcW w:w="850" w:type="dxa"/>
            <w:shd w:val="clear" w:color="auto" w:fill="auto"/>
            <w:vAlign w:val="bottom"/>
          </w:tcPr>
          <w:p w14:paraId="4604C3D0" w14:textId="77777777" w:rsidR="00491C93" w:rsidRPr="00BA3C70" w:rsidRDefault="00491C93" w:rsidP="00491C93">
            <w:pPr>
              <w:jc w:val="right"/>
              <w:rPr>
                <w:color w:val="000000"/>
                <w:sz w:val="16"/>
                <w:szCs w:val="16"/>
                <w:lang w:eastAsia="en-NZ"/>
              </w:rPr>
            </w:pPr>
            <w:r w:rsidRPr="00BA3C70">
              <w:rPr>
                <w:color w:val="000000"/>
                <w:sz w:val="16"/>
                <w:szCs w:val="16"/>
                <w:lang w:eastAsia="en-NZ"/>
              </w:rPr>
              <w:t>0.04</w:t>
            </w:r>
          </w:p>
        </w:tc>
      </w:tr>
      <w:tr w:rsidR="00491C93" w:rsidRPr="001A61F1" w14:paraId="64B62095" w14:textId="77777777" w:rsidTr="001C5E0E">
        <w:tc>
          <w:tcPr>
            <w:tcW w:w="5387" w:type="dxa"/>
            <w:vAlign w:val="bottom"/>
          </w:tcPr>
          <w:p w14:paraId="0018AFBD" w14:textId="77777777" w:rsidR="00491C93" w:rsidRPr="003F15C0" w:rsidRDefault="00491C93" w:rsidP="00491C93">
            <w:pPr>
              <w:spacing w:before="20"/>
              <w:jc w:val="both"/>
              <w:rPr>
                <w:b/>
                <w:sz w:val="16"/>
                <w:szCs w:val="16"/>
              </w:rPr>
            </w:pPr>
            <w:r w:rsidRPr="003F15C0">
              <w:rPr>
                <w:b/>
                <w:sz w:val="16"/>
                <w:szCs w:val="16"/>
              </w:rPr>
              <w:t>EGMs overall - annual</w:t>
            </w:r>
          </w:p>
        </w:tc>
        <w:tc>
          <w:tcPr>
            <w:tcW w:w="992" w:type="dxa"/>
            <w:shd w:val="clear" w:color="auto" w:fill="auto"/>
            <w:vAlign w:val="bottom"/>
          </w:tcPr>
          <w:p w14:paraId="4E1A89ED"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6B2A1FA4"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4A0CB630" w14:textId="77777777" w:rsidR="00491C93" w:rsidRPr="007B750E" w:rsidRDefault="00491C93" w:rsidP="00491C93">
            <w:pPr>
              <w:jc w:val="right"/>
              <w:rPr>
                <w:color w:val="000000"/>
                <w:sz w:val="16"/>
                <w:szCs w:val="16"/>
                <w:lang w:eastAsia="en-NZ"/>
              </w:rPr>
            </w:pPr>
          </w:p>
        </w:tc>
      </w:tr>
      <w:tr w:rsidR="00491C93" w:rsidRPr="001A61F1" w14:paraId="273BFEAA" w14:textId="77777777" w:rsidTr="001C5E0E">
        <w:tc>
          <w:tcPr>
            <w:tcW w:w="5387" w:type="dxa"/>
          </w:tcPr>
          <w:p w14:paraId="3A0CE978"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1C65654E"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78EC2A76"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1725FBDD" w14:textId="77777777" w:rsidR="00491C93" w:rsidRPr="00BA3C70" w:rsidRDefault="00491C93" w:rsidP="00491C93">
            <w:pPr>
              <w:jc w:val="right"/>
              <w:rPr>
                <w:color w:val="000000"/>
                <w:sz w:val="16"/>
                <w:szCs w:val="16"/>
                <w:lang w:eastAsia="en-NZ"/>
              </w:rPr>
            </w:pPr>
          </w:p>
        </w:tc>
      </w:tr>
      <w:tr w:rsidR="00491C93" w:rsidRPr="001A61F1" w14:paraId="5CD28C26" w14:textId="77777777" w:rsidTr="00173F02">
        <w:tc>
          <w:tcPr>
            <w:tcW w:w="5387" w:type="dxa"/>
          </w:tcPr>
          <w:p w14:paraId="43A58E22"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414A880A" w14:textId="77777777" w:rsidR="00491C93" w:rsidRPr="00BA3C70" w:rsidRDefault="00491C93" w:rsidP="00491C93">
            <w:pPr>
              <w:jc w:val="right"/>
              <w:rPr>
                <w:color w:val="000000"/>
                <w:sz w:val="16"/>
                <w:szCs w:val="16"/>
                <w:lang w:eastAsia="en-NZ"/>
              </w:rPr>
            </w:pPr>
            <w:r w:rsidRPr="00BA3C70">
              <w:rPr>
                <w:color w:val="000000"/>
                <w:sz w:val="16"/>
                <w:szCs w:val="16"/>
                <w:lang w:eastAsia="en-NZ"/>
              </w:rPr>
              <w:t>12.14</w:t>
            </w:r>
          </w:p>
        </w:tc>
        <w:tc>
          <w:tcPr>
            <w:tcW w:w="1276" w:type="dxa"/>
            <w:shd w:val="clear" w:color="auto" w:fill="auto"/>
            <w:vAlign w:val="bottom"/>
          </w:tcPr>
          <w:p w14:paraId="6351D1BB" w14:textId="77777777" w:rsidR="00491C93" w:rsidRPr="00BA3C70" w:rsidRDefault="00491C93" w:rsidP="00491C93">
            <w:pPr>
              <w:jc w:val="right"/>
              <w:rPr>
                <w:color w:val="000000"/>
                <w:sz w:val="16"/>
                <w:szCs w:val="16"/>
                <w:lang w:eastAsia="en-NZ"/>
              </w:rPr>
            </w:pPr>
            <w:r w:rsidRPr="00BA3C70">
              <w:rPr>
                <w:color w:val="000000"/>
                <w:sz w:val="16"/>
                <w:szCs w:val="16"/>
                <w:lang w:eastAsia="en-NZ"/>
              </w:rPr>
              <w:t>(6.74, 21.88)</w:t>
            </w:r>
          </w:p>
        </w:tc>
        <w:tc>
          <w:tcPr>
            <w:tcW w:w="850" w:type="dxa"/>
            <w:shd w:val="clear" w:color="auto" w:fill="auto"/>
            <w:vAlign w:val="bottom"/>
          </w:tcPr>
          <w:p w14:paraId="54E7D490" w14:textId="77777777" w:rsidR="00491C93" w:rsidRPr="00BA3C70" w:rsidRDefault="00491C93" w:rsidP="00491C93">
            <w:pPr>
              <w:jc w:val="right"/>
              <w:rPr>
                <w:color w:val="000000"/>
                <w:sz w:val="16"/>
                <w:szCs w:val="16"/>
                <w:lang w:eastAsia="en-NZ"/>
              </w:rPr>
            </w:pPr>
            <w:r w:rsidRPr="00BA3C70">
              <w:rPr>
                <w:color w:val="000000"/>
                <w:sz w:val="16"/>
                <w:szCs w:val="16"/>
                <w:lang w:eastAsia="en-NZ"/>
              </w:rPr>
              <w:t>&lt;0.0001</w:t>
            </w:r>
          </w:p>
        </w:tc>
      </w:tr>
      <w:tr w:rsidR="00491C93" w:rsidRPr="001A61F1" w14:paraId="7825D796" w14:textId="77777777" w:rsidTr="001C5E0E">
        <w:tc>
          <w:tcPr>
            <w:tcW w:w="5387" w:type="dxa"/>
            <w:vAlign w:val="bottom"/>
          </w:tcPr>
          <w:p w14:paraId="145786F7" w14:textId="77777777" w:rsidR="00491C93" w:rsidRPr="003F15C0" w:rsidRDefault="00491C93" w:rsidP="00491C93">
            <w:pPr>
              <w:spacing w:before="20"/>
              <w:jc w:val="both"/>
              <w:rPr>
                <w:b/>
                <w:sz w:val="16"/>
                <w:szCs w:val="16"/>
              </w:rPr>
            </w:pPr>
            <w:r>
              <w:rPr>
                <w:b/>
                <w:sz w:val="16"/>
                <w:szCs w:val="16"/>
              </w:rPr>
              <w:t>I</w:t>
            </w:r>
            <w:r w:rsidRPr="003F15C0">
              <w:rPr>
                <w:b/>
                <w:sz w:val="16"/>
                <w:szCs w:val="16"/>
              </w:rPr>
              <w:t xml:space="preserve">nternet gambling </w:t>
            </w:r>
            <w:r>
              <w:rPr>
                <w:b/>
                <w:sz w:val="16"/>
                <w:szCs w:val="16"/>
              </w:rPr>
              <w:t xml:space="preserve">overall </w:t>
            </w:r>
            <w:r w:rsidRPr="003F15C0">
              <w:rPr>
                <w:b/>
                <w:sz w:val="16"/>
                <w:szCs w:val="16"/>
              </w:rPr>
              <w:t>- annual</w:t>
            </w:r>
          </w:p>
        </w:tc>
        <w:tc>
          <w:tcPr>
            <w:tcW w:w="992" w:type="dxa"/>
            <w:shd w:val="clear" w:color="auto" w:fill="auto"/>
            <w:vAlign w:val="bottom"/>
          </w:tcPr>
          <w:p w14:paraId="7CE1808D"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720DA4B8"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10751EA8" w14:textId="77777777" w:rsidR="00491C93" w:rsidRPr="007B750E" w:rsidRDefault="00491C93" w:rsidP="00491C93">
            <w:pPr>
              <w:jc w:val="right"/>
              <w:rPr>
                <w:color w:val="000000"/>
                <w:sz w:val="16"/>
                <w:szCs w:val="16"/>
                <w:lang w:eastAsia="en-NZ"/>
              </w:rPr>
            </w:pPr>
          </w:p>
        </w:tc>
      </w:tr>
      <w:tr w:rsidR="00491C93" w:rsidRPr="001A61F1" w14:paraId="46246A6E" w14:textId="77777777" w:rsidTr="001C5E0E">
        <w:tc>
          <w:tcPr>
            <w:tcW w:w="5387" w:type="dxa"/>
          </w:tcPr>
          <w:p w14:paraId="5ECC9D69"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6ABFB22A"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5722DA1C"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6F1650BE" w14:textId="77777777" w:rsidR="00491C93" w:rsidRPr="00BA3C70" w:rsidRDefault="00491C93" w:rsidP="00491C93">
            <w:pPr>
              <w:jc w:val="right"/>
              <w:rPr>
                <w:color w:val="000000"/>
                <w:sz w:val="16"/>
                <w:szCs w:val="16"/>
                <w:lang w:eastAsia="en-NZ"/>
              </w:rPr>
            </w:pPr>
          </w:p>
        </w:tc>
      </w:tr>
      <w:tr w:rsidR="00491C93" w:rsidRPr="001A61F1" w14:paraId="41C100EF" w14:textId="77777777" w:rsidTr="00173F02">
        <w:tc>
          <w:tcPr>
            <w:tcW w:w="5387" w:type="dxa"/>
          </w:tcPr>
          <w:p w14:paraId="7E13DCE4"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5B0E1C59" w14:textId="77777777" w:rsidR="00491C93" w:rsidRPr="00BA3C70" w:rsidRDefault="00491C93" w:rsidP="00491C93">
            <w:pPr>
              <w:jc w:val="right"/>
              <w:rPr>
                <w:color w:val="000000"/>
                <w:sz w:val="16"/>
                <w:szCs w:val="16"/>
                <w:lang w:eastAsia="en-NZ"/>
              </w:rPr>
            </w:pPr>
            <w:r w:rsidRPr="00BA3C70">
              <w:rPr>
                <w:color w:val="000000"/>
                <w:sz w:val="16"/>
                <w:szCs w:val="16"/>
                <w:lang w:eastAsia="en-NZ"/>
              </w:rPr>
              <w:t>8.82</w:t>
            </w:r>
          </w:p>
        </w:tc>
        <w:tc>
          <w:tcPr>
            <w:tcW w:w="1276" w:type="dxa"/>
            <w:shd w:val="clear" w:color="auto" w:fill="auto"/>
            <w:vAlign w:val="bottom"/>
          </w:tcPr>
          <w:p w14:paraId="4762768C" w14:textId="77777777" w:rsidR="00491C93" w:rsidRPr="00BA3C70" w:rsidRDefault="00491C93" w:rsidP="00491C93">
            <w:pPr>
              <w:jc w:val="right"/>
              <w:rPr>
                <w:color w:val="000000"/>
                <w:sz w:val="16"/>
                <w:szCs w:val="16"/>
                <w:lang w:eastAsia="en-NZ"/>
              </w:rPr>
            </w:pPr>
            <w:r w:rsidRPr="00BA3C70">
              <w:rPr>
                <w:color w:val="000000"/>
                <w:sz w:val="16"/>
                <w:szCs w:val="16"/>
                <w:lang w:eastAsia="en-NZ"/>
              </w:rPr>
              <w:t>(1.93, 40.40)</w:t>
            </w:r>
          </w:p>
        </w:tc>
        <w:tc>
          <w:tcPr>
            <w:tcW w:w="850" w:type="dxa"/>
            <w:shd w:val="clear" w:color="auto" w:fill="auto"/>
            <w:vAlign w:val="bottom"/>
          </w:tcPr>
          <w:p w14:paraId="276AA823" w14:textId="77777777" w:rsidR="00491C93" w:rsidRPr="00BA3C70" w:rsidRDefault="00491C93" w:rsidP="00491C93">
            <w:pPr>
              <w:jc w:val="right"/>
              <w:rPr>
                <w:color w:val="000000"/>
                <w:sz w:val="16"/>
                <w:szCs w:val="16"/>
                <w:lang w:eastAsia="en-NZ"/>
              </w:rPr>
            </w:pPr>
            <w:r w:rsidRPr="00BA3C70">
              <w:rPr>
                <w:color w:val="000000"/>
                <w:sz w:val="16"/>
                <w:szCs w:val="16"/>
                <w:lang w:eastAsia="en-NZ"/>
              </w:rPr>
              <w:t>0.005</w:t>
            </w:r>
          </w:p>
        </w:tc>
      </w:tr>
      <w:tr w:rsidR="00491C93" w:rsidRPr="001A61F1" w14:paraId="670115F2" w14:textId="77777777" w:rsidTr="001C5E0E">
        <w:tc>
          <w:tcPr>
            <w:tcW w:w="5387" w:type="dxa"/>
            <w:vAlign w:val="bottom"/>
          </w:tcPr>
          <w:p w14:paraId="244DAFD6" w14:textId="77777777" w:rsidR="00491C93" w:rsidRPr="003F15C0" w:rsidRDefault="00491C93" w:rsidP="00491C93">
            <w:pPr>
              <w:spacing w:before="20"/>
              <w:jc w:val="both"/>
              <w:rPr>
                <w:b/>
                <w:sz w:val="16"/>
                <w:szCs w:val="16"/>
              </w:rPr>
            </w:pPr>
            <w:r w:rsidRPr="003F15C0">
              <w:rPr>
                <w:b/>
                <w:sz w:val="16"/>
                <w:szCs w:val="16"/>
              </w:rPr>
              <w:t>Overseas internet gambling - annual</w:t>
            </w:r>
          </w:p>
        </w:tc>
        <w:tc>
          <w:tcPr>
            <w:tcW w:w="992" w:type="dxa"/>
            <w:shd w:val="clear" w:color="auto" w:fill="auto"/>
            <w:vAlign w:val="bottom"/>
          </w:tcPr>
          <w:p w14:paraId="535F6481"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0D9F98CF"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3EB5FEE9" w14:textId="77777777" w:rsidR="00491C93" w:rsidRPr="007B750E" w:rsidRDefault="00491C93" w:rsidP="00491C93">
            <w:pPr>
              <w:jc w:val="right"/>
              <w:rPr>
                <w:color w:val="000000"/>
                <w:sz w:val="16"/>
                <w:szCs w:val="16"/>
                <w:lang w:eastAsia="en-NZ"/>
              </w:rPr>
            </w:pPr>
          </w:p>
        </w:tc>
      </w:tr>
      <w:tr w:rsidR="00491C93" w:rsidRPr="001A61F1" w14:paraId="5E6BB67C" w14:textId="77777777" w:rsidTr="001C5E0E">
        <w:tc>
          <w:tcPr>
            <w:tcW w:w="5387" w:type="dxa"/>
          </w:tcPr>
          <w:p w14:paraId="2FB3D4EF"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20FC9D82"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16333F0C"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47067963" w14:textId="77777777" w:rsidR="00491C93" w:rsidRPr="00BA3C70" w:rsidRDefault="00491C93" w:rsidP="00491C93">
            <w:pPr>
              <w:jc w:val="right"/>
              <w:rPr>
                <w:color w:val="000000"/>
                <w:sz w:val="16"/>
                <w:szCs w:val="16"/>
                <w:lang w:eastAsia="en-NZ"/>
              </w:rPr>
            </w:pPr>
          </w:p>
        </w:tc>
      </w:tr>
      <w:tr w:rsidR="00491C93" w:rsidRPr="001A61F1" w14:paraId="64547DA2" w14:textId="77777777" w:rsidTr="00173F02">
        <w:tc>
          <w:tcPr>
            <w:tcW w:w="5387" w:type="dxa"/>
          </w:tcPr>
          <w:p w14:paraId="6544A5FC"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15A0A6D1" w14:textId="77777777" w:rsidR="00491C93" w:rsidRPr="00BA3C70" w:rsidRDefault="00491C93" w:rsidP="00491C93">
            <w:pPr>
              <w:jc w:val="right"/>
              <w:rPr>
                <w:color w:val="000000"/>
                <w:sz w:val="16"/>
                <w:szCs w:val="16"/>
                <w:lang w:eastAsia="en-NZ"/>
              </w:rPr>
            </w:pPr>
            <w:r w:rsidRPr="00BA3C70">
              <w:rPr>
                <w:color w:val="000000"/>
                <w:sz w:val="16"/>
                <w:szCs w:val="16"/>
                <w:lang w:eastAsia="en-NZ"/>
              </w:rPr>
              <w:t>6.93</w:t>
            </w:r>
          </w:p>
        </w:tc>
        <w:tc>
          <w:tcPr>
            <w:tcW w:w="1276" w:type="dxa"/>
            <w:shd w:val="clear" w:color="auto" w:fill="auto"/>
            <w:vAlign w:val="bottom"/>
          </w:tcPr>
          <w:p w14:paraId="4F2C537A" w14:textId="77777777" w:rsidR="00491C93" w:rsidRPr="00BA3C70" w:rsidRDefault="00491C93" w:rsidP="00491C93">
            <w:pPr>
              <w:jc w:val="right"/>
              <w:rPr>
                <w:color w:val="000000"/>
                <w:sz w:val="16"/>
                <w:szCs w:val="16"/>
                <w:lang w:eastAsia="en-NZ"/>
              </w:rPr>
            </w:pPr>
            <w:r w:rsidRPr="00BA3C70">
              <w:rPr>
                <w:color w:val="000000"/>
                <w:sz w:val="16"/>
                <w:szCs w:val="16"/>
                <w:lang w:eastAsia="en-NZ"/>
              </w:rPr>
              <w:t>(2.31, 20.81)</w:t>
            </w:r>
          </w:p>
        </w:tc>
        <w:tc>
          <w:tcPr>
            <w:tcW w:w="850" w:type="dxa"/>
            <w:shd w:val="clear" w:color="auto" w:fill="auto"/>
            <w:vAlign w:val="bottom"/>
          </w:tcPr>
          <w:p w14:paraId="728B47F5" w14:textId="77777777" w:rsidR="00491C93" w:rsidRPr="00BA3C70" w:rsidRDefault="00491C93" w:rsidP="00491C93">
            <w:pPr>
              <w:jc w:val="right"/>
              <w:rPr>
                <w:color w:val="000000"/>
                <w:sz w:val="16"/>
                <w:szCs w:val="16"/>
                <w:lang w:eastAsia="en-NZ"/>
              </w:rPr>
            </w:pPr>
            <w:r w:rsidRPr="00BA3C70">
              <w:rPr>
                <w:color w:val="000000"/>
                <w:sz w:val="16"/>
                <w:szCs w:val="16"/>
                <w:lang w:eastAsia="en-NZ"/>
              </w:rPr>
              <w:t>0.0006</w:t>
            </w:r>
          </w:p>
        </w:tc>
      </w:tr>
      <w:tr w:rsidR="00491C93" w:rsidRPr="001A61F1" w14:paraId="11212985" w14:textId="77777777" w:rsidTr="001C5E0E">
        <w:tc>
          <w:tcPr>
            <w:tcW w:w="5387" w:type="dxa"/>
            <w:vAlign w:val="bottom"/>
          </w:tcPr>
          <w:p w14:paraId="1864A4F8" w14:textId="77777777" w:rsidR="00491C93" w:rsidRPr="003F15C0" w:rsidRDefault="00491C93" w:rsidP="00491C93">
            <w:pPr>
              <w:spacing w:before="20"/>
              <w:jc w:val="both"/>
              <w:rPr>
                <w:b/>
                <w:sz w:val="16"/>
                <w:szCs w:val="16"/>
              </w:rPr>
            </w:pPr>
            <w:r w:rsidRPr="003F15C0">
              <w:rPr>
                <w:b/>
                <w:sz w:val="16"/>
                <w:szCs w:val="16"/>
              </w:rPr>
              <w:t xml:space="preserve">Overseas </w:t>
            </w:r>
            <w:r>
              <w:rPr>
                <w:b/>
                <w:sz w:val="16"/>
                <w:szCs w:val="16"/>
              </w:rPr>
              <w:t>offshore</w:t>
            </w:r>
            <w:r w:rsidRPr="003F15C0">
              <w:rPr>
                <w:b/>
                <w:sz w:val="16"/>
                <w:szCs w:val="16"/>
              </w:rPr>
              <w:t xml:space="preserve"> gambling - annual</w:t>
            </w:r>
          </w:p>
        </w:tc>
        <w:tc>
          <w:tcPr>
            <w:tcW w:w="992" w:type="dxa"/>
            <w:shd w:val="clear" w:color="auto" w:fill="auto"/>
            <w:vAlign w:val="bottom"/>
          </w:tcPr>
          <w:p w14:paraId="68196DE5"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3299E60D"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551B3DDD" w14:textId="77777777" w:rsidR="00491C93" w:rsidRPr="007B750E" w:rsidRDefault="00491C93" w:rsidP="00491C93">
            <w:pPr>
              <w:jc w:val="right"/>
              <w:rPr>
                <w:color w:val="000000"/>
                <w:sz w:val="16"/>
                <w:szCs w:val="16"/>
                <w:lang w:eastAsia="en-NZ"/>
              </w:rPr>
            </w:pPr>
          </w:p>
        </w:tc>
      </w:tr>
      <w:tr w:rsidR="00491C93" w:rsidRPr="001A61F1" w14:paraId="5DD86526" w14:textId="77777777" w:rsidTr="001C5E0E">
        <w:tc>
          <w:tcPr>
            <w:tcW w:w="5387" w:type="dxa"/>
          </w:tcPr>
          <w:p w14:paraId="40428BD0"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53FA82C1"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4C76F7EF"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0B127327" w14:textId="77777777" w:rsidR="00491C93" w:rsidRPr="00BA3C70" w:rsidRDefault="00491C93" w:rsidP="00491C93">
            <w:pPr>
              <w:jc w:val="right"/>
              <w:rPr>
                <w:color w:val="000000"/>
                <w:sz w:val="16"/>
                <w:szCs w:val="16"/>
                <w:lang w:eastAsia="en-NZ"/>
              </w:rPr>
            </w:pPr>
          </w:p>
        </w:tc>
      </w:tr>
      <w:tr w:rsidR="00491C93" w:rsidRPr="001A61F1" w14:paraId="072248A8" w14:textId="77777777" w:rsidTr="00173F02">
        <w:tc>
          <w:tcPr>
            <w:tcW w:w="5387" w:type="dxa"/>
          </w:tcPr>
          <w:p w14:paraId="51AD55AB"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01BC6C6C" w14:textId="77777777" w:rsidR="00491C93" w:rsidRPr="00BA3C70" w:rsidRDefault="00491C93" w:rsidP="00491C93">
            <w:pPr>
              <w:jc w:val="right"/>
              <w:rPr>
                <w:color w:val="000000"/>
                <w:sz w:val="16"/>
                <w:szCs w:val="16"/>
                <w:lang w:eastAsia="en-NZ"/>
              </w:rPr>
            </w:pPr>
            <w:r w:rsidRPr="00BA3C70">
              <w:rPr>
                <w:color w:val="000000"/>
                <w:sz w:val="16"/>
                <w:szCs w:val="16"/>
                <w:lang w:eastAsia="en-NZ"/>
              </w:rPr>
              <w:t>2.18</w:t>
            </w:r>
          </w:p>
        </w:tc>
        <w:tc>
          <w:tcPr>
            <w:tcW w:w="1276" w:type="dxa"/>
            <w:shd w:val="clear" w:color="auto" w:fill="auto"/>
            <w:vAlign w:val="bottom"/>
          </w:tcPr>
          <w:p w14:paraId="349822E8" w14:textId="77777777" w:rsidR="00491C93" w:rsidRPr="00BA3C70" w:rsidRDefault="00491C93" w:rsidP="00491C93">
            <w:pPr>
              <w:jc w:val="right"/>
              <w:rPr>
                <w:color w:val="000000"/>
                <w:sz w:val="16"/>
                <w:szCs w:val="16"/>
                <w:lang w:eastAsia="en-NZ"/>
              </w:rPr>
            </w:pPr>
            <w:r w:rsidRPr="00BA3C70">
              <w:rPr>
                <w:color w:val="000000"/>
                <w:sz w:val="16"/>
                <w:szCs w:val="16"/>
                <w:lang w:eastAsia="en-NZ"/>
              </w:rPr>
              <w:t>(1.10, 4.29)</w:t>
            </w:r>
          </w:p>
        </w:tc>
        <w:tc>
          <w:tcPr>
            <w:tcW w:w="850" w:type="dxa"/>
            <w:shd w:val="clear" w:color="auto" w:fill="auto"/>
            <w:vAlign w:val="bottom"/>
          </w:tcPr>
          <w:p w14:paraId="4B7FF68C" w14:textId="77777777" w:rsidR="00491C93" w:rsidRPr="00BA3C70" w:rsidRDefault="00491C93" w:rsidP="00491C93">
            <w:pPr>
              <w:jc w:val="right"/>
              <w:rPr>
                <w:color w:val="000000"/>
                <w:sz w:val="16"/>
                <w:szCs w:val="16"/>
                <w:lang w:eastAsia="en-NZ"/>
              </w:rPr>
            </w:pPr>
            <w:r w:rsidRPr="00BA3C70">
              <w:rPr>
                <w:color w:val="000000"/>
                <w:sz w:val="16"/>
                <w:szCs w:val="16"/>
                <w:lang w:eastAsia="en-NZ"/>
              </w:rPr>
              <w:t>0.02</w:t>
            </w:r>
          </w:p>
        </w:tc>
      </w:tr>
      <w:tr w:rsidR="00491C93" w:rsidRPr="001A61F1" w14:paraId="5AF4EC4E" w14:textId="77777777" w:rsidTr="001C5E0E">
        <w:tc>
          <w:tcPr>
            <w:tcW w:w="5387" w:type="dxa"/>
            <w:vAlign w:val="bottom"/>
          </w:tcPr>
          <w:p w14:paraId="494A08CE" w14:textId="77777777" w:rsidR="00491C93" w:rsidRPr="003F15C0" w:rsidRDefault="00491C93" w:rsidP="00491C93">
            <w:pPr>
              <w:spacing w:before="20"/>
              <w:jc w:val="both"/>
              <w:rPr>
                <w:b/>
                <w:sz w:val="16"/>
                <w:szCs w:val="16"/>
              </w:rPr>
            </w:pPr>
            <w:r w:rsidRPr="003F15C0">
              <w:rPr>
                <w:b/>
                <w:sz w:val="16"/>
                <w:szCs w:val="16"/>
              </w:rPr>
              <w:t>Overseas internet</w:t>
            </w:r>
            <w:r>
              <w:rPr>
                <w:b/>
                <w:sz w:val="16"/>
                <w:szCs w:val="16"/>
              </w:rPr>
              <w:t>/offshore</w:t>
            </w:r>
            <w:r w:rsidRPr="003F15C0">
              <w:rPr>
                <w:b/>
                <w:sz w:val="16"/>
                <w:szCs w:val="16"/>
              </w:rPr>
              <w:t xml:space="preserve"> gambling</w:t>
            </w:r>
            <w:r>
              <w:rPr>
                <w:b/>
                <w:sz w:val="16"/>
                <w:szCs w:val="16"/>
              </w:rPr>
              <w:t xml:space="preserve"> overall </w:t>
            </w:r>
            <w:r w:rsidRPr="003F15C0">
              <w:rPr>
                <w:b/>
                <w:sz w:val="16"/>
                <w:szCs w:val="16"/>
              </w:rPr>
              <w:t xml:space="preserve"> - annual</w:t>
            </w:r>
          </w:p>
        </w:tc>
        <w:tc>
          <w:tcPr>
            <w:tcW w:w="992" w:type="dxa"/>
            <w:shd w:val="clear" w:color="auto" w:fill="auto"/>
            <w:vAlign w:val="bottom"/>
          </w:tcPr>
          <w:p w14:paraId="3840B462"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2554DC82"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439C36F3" w14:textId="77777777" w:rsidR="00491C93" w:rsidRPr="007B750E" w:rsidRDefault="00491C93" w:rsidP="00491C93">
            <w:pPr>
              <w:jc w:val="right"/>
              <w:rPr>
                <w:color w:val="000000"/>
                <w:sz w:val="16"/>
                <w:szCs w:val="16"/>
                <w:lang w:eastAsia="en-NZ"/>
              </w:rPr>
            </w:pPr>
          </w:p>
        </w:tc>
      </w:tr>
      <w:tr w:rsidR="00491C93" w:rsidRPr="001A61F1" w14:paraId="2E918A37" w14:textId="77777777" w:rsidTr="00BA3C70">
        <w:tc>
          <w:tcPr>
            <w:tcW w:w="5387" w:type="dxa"/>
          </w:tcPr>
          <w:p w14:paraId="011A58FC"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6AD47D8E"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74E1B1C3"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116D70EA" w14:textId="77777777" w:rsidR="00491C93" w:rsidRPr="00BA3C70" w:rsidRDefault="00491C93" w:rsidP="00491C93">
            <w:pPr>
              <w:jc w:val="right"/>
              <w:rPr>
                <w:color w:val="000000"/>
                <w:sz w:val="16"/>
                <w:szCs w:val="16"/>
                <w:lang w:eastAsia="en-NZ"/>
              </w:rPr>
            </w:pPr>
          </w:p>
        </w:tc>
      </w:tr>
      <w:tr w:rsidR="00491C93" w:rsidRPr="001A61F1" w14:paraId="77AFA6BE" w14:textId="77777777" w:rsidTr="00173F02">
        <w:tc>
          <w:tcPr>
            <w:tcW w:w="5387" w:type="dxa"/>
          </w:tcPr>
          <w:p w14:paraId="20702537"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09508287" w14:textId="77777777" w:rsidR="00491C93" w:rsidRPr="00BA3C70" w:rsidRDefault="00491C93" w:rsidP="00491C93">
            <w:pPr>
              <w:jc w:val="right"/>
              <w:rPr>
                <w:color w:val="000000"/>
                <w:sz w:val="16"/>
                <w:szCs w:val="16"/>
                <w:lang w:eastAsia="en-NZ"/>
              </w:rPr>
            </w:pPr>
            <w:r w:rsidRPr="00BA3C70">
              <w:rPr>
                <w:color w:val="000000"/>
                <w:sz w:val="16"/>
                <w:szCs w:val="16"/>
                <w:lang w:eastAsia="en-NZ"/>
              </w:rPr>
              <w:t>6.93</w:t>
            </w:r>
          </w:p>
        </w:tc>
        <w:tc>
          <w:tcPr>
            <w:tcW w:w="1276" w:type="dxa"/>
            <w:shd w:val="clear" w:color="auto" w:fill="auto"/>
            <w:vAlign w:val="bottom"/>
          </w:tcPr>
          <w:p w14:paraId="70AC3CD2" w14:textId="77777777" w:rsidR="00491C93" w:rsidRPr="00BA3C70" w:rsidRDefault="00491C93" w:rsidP="00491C93">
            <w:pPr>
              <w:jc w:val="right"/>
              <w:rPr>
                <w:color w:val="000000"/>
                <w:sz w:val="16"/>
                <w:szCs w:val="16"/>
                <w:lang w:eastAsia="en-NZ"/>
              </w:rPr>
            </w:pPr>
            <w:r w:rsidRPr="00BA3C70">
              <w:rPr>
                <w:color w:val="000000"/>
                <w:sz w:val="16"/>
                <w:szCs w:val="16"/>
                <w:lang w:eastAsia="en-NZ"/>
              </w:rPr>
              <w:t>(2.31, 20.81)</w:t>
            </w:r>
          </w:p>
        </w:tc>
        <w:tc>
          <w:tcPr>
            <w:tcW w:w="850" w:type="dxa"/>
            <w:shd w:val="clear" w:color="auto" w:fill="auto"/>
            <w:vAlign w:val="bottom"/>
          </w:tcPr>
          <w:p w14:paraId="1AA644F2" w14:textId="77777777" w:rsidR="00491C93" w:rsidRPr="00BA3C70" w:rsidRDefault="00491C93" w:rsidP="00491C93">
            <w:pPr>
              <w:jc w:val="right"/>
              <w:rPr>
                <w:color w:val="000000"/>
                <w:sz w:val="16"/>
                <w:szCs w:val="16"/>
                <w:lang w:eastAsia="en-NZ"/>
              </w:rPr>
            </w:pPr>
            <w:r w:rsidRPr="00BA3C70">
              <w:rPr>
                <w:color w:val="000000"/>
                <w:sz w:val="16"/>
                <w:szCs w:val="16"/>
                <w:lang w:eastAsia="en-NZ"/>
              </w:rPr>
              <w:t>0.0006</w:t>
            </w:r>
          </w:p>
        </w:tc>
      </w:tr>
      <w:tr w:rsidR="00491C93" w:rsidRPr="001A61F1" w14:paraId="060EDC63" w14:textId="77777777" w:rsidTr="00BA3C70">
        <w:tc>
          <w:tcPr>
            <w:tcW w:w="5387" w:type="dxa"/>
            <w:vAlign w:val="bottom"/>
          </w:tcPr>
          <w:p w14:paraId="289CB505" w14:textId="77777777" w:rsidR="00491C93" w:rsidRPr="003F15C0" w:rsidRDefault="00491C93" w:rsidP="00491C93">
            <w:pPr>
              <w:keepNext/>
              <w:spacing w:before="20"/>
              <w:jc w:val="both"/>
              <w:rPr>
                <w:b/>
                <w:sz w:val="16"/>
                <w:szCs w:val="16"/>
              </w:rPr>
            </w:pPr>
            <w:r w:rsidRPr="003F15C0">
              <w:rPr>
                <w:b/>
                <w:sz w:val="16"/>
                <w:szCs w:val="16"/>
              </w:rPr>
              <w:t>Card games - monthly</w:t>
            </w:r>
          </w:p>
        </w:tc>
        <w:tc>
          <w:tcPr>
            <w:tcW w:w="992" w:type="dxa"/>
            <w:shd w:val="clear" w:color="auto" w:fill="auto"/>
            <w:vAlign w:val="bottom"/>
          </w:tcPr>
          <w:p w14:paraId="1ED94D2C" w14:textId="77777777" w:rsidR="00491C93" w:rsidRPr="007B750E" w:rsidRDefault="00491C93" w:rsidP="00491C93">
            <w:pPr>
              <w:keepNext/>
              <w:jc w:val="right"/>
              <w:rPr>
                <w:color w:val="000000"/>
                <w:sz w:val="16"/>
                <w:szCs w:val="16"/>
                <w:lang w:eastAsia="en-NZ"/>
              </w:rPr>
            </w:pPr>
          </w:p>
        </w:tc>
        <w:tc>
          <w:tcPr>
            <w:tcW w:w="1276" w:type="dxa"/>
            <w:shd w:val="clear" w:color="auto" w:fill="auto"/>
            <w:vAlign w:val="bottom"/>
          </w:tcPr>
          <w:p w14:paraId="117247FC" w14:textId="77777777" w:rsidR="00491C93" w:rsidRPr="007B750E" w:rsidRDefault="00491C93" w:rsidP="00491C93">
            <w:pPr>
              <w:keepNext/>
              <w:jc w:val="right"/>
              <w:rPr>
                <w:color w:val="000000"/>
                <w:sz w:val="16"/>
                <w:szCs w:val="16"/>
                <w:lang w:eastAsia="en-NZ"/>
              </w:rPr>
            </w:pPr>
          </w:p>
        </w:tc>
        <w:tc>
          <w:tcPr>
            <w:tcW w:w="850" w:type="dxa"/>
            <w:shd w:val="clear" w:color="auto" w:fill="auto"/>
            <w:vAlign w:val="bottom"/>
          </w:tcPr>
          <w:p w14:paraId="68404E75" w14:textId="77777777" w:rsidR="00491C93" w:rsidRPr="007B750E" w:rsidRDefault="00491C93" w:rsidP="00491C93">
            <w:pPr>
              <w:keepNext/>
              <w:jc w:val="right"/>
              <w:rPr>
                <w:color w:val="000000"/>
                <w:sz w:val="16"/>
                <w:szCs w:val="16"/>
                <w:lang w:eastAsia="en-NZ"/>
              </w:rPr>
            </w:pPr>
          </w:p>
        </w:tc>
      </w:tr>
      <w:tr w:rsidR="00491C93" w:rsidRPr="001A61F1" w14:paraId="77C36CC4" w14:textId="77777777" w:rsidTr="001C5E0E">
        <w:tc>
          <w:tcPr>
            <w:tcW w:w="5387" w:type="dxa"/>
          </w:tcPr>
          <w:p w14:paraId="03297B70" w14:textId="77777777" w:rsidR="00491C93" w:rsidRPr="003F15C0" w:rsidRDefault="00491C93" w:rsidP="00491C93">
            <w:pPr>
              <w:keepNext/>
              <w:spacing w:before="20"/>
              <w:ind w:left="176"/>
              <w:jc w:val="both"/>
              <w:rPr>
                <w:sz w:val="16"/>
                <w:szCs w:val="16"/>
              </w:rPr>
            </w:pPr>
            <w:r w:rsidRPr="003F15C0">
              <w:rPr>
                <w:sz w:val="16"/>
                <w:szCs w:val="16"/>
              </w:rPr>
              <w:t>No</w:t>
            </w:r>
          </w:p>
        </w:tc>
        <w:tc>
          <w:tcPr>
            <w:tcW w:w="992" w:type="dxa"/>
            <w:shd w:val="clear" w:color="auto" w:fill="auto"/>
            <w:vAlign w:val="bottom"/>
          </w:tcPr>
          <w:p w14:paraId="69713760"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376646DA"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69B8F607" w14:textId="77777777" w:rsidR="00491C93" w:rsidRPr="00BA3C70" w:rsidRDefault="00491C93" w:rsidP="00491C93">
            <w:pPr>
              <w:jc w:val="right"/>
              <w:rPr>
                <w:color w:val="000000"/>
                <w:sz w:val="16"/>
                <w:szCs w:val="16"/>
                <w:lang w:eastAsia="en-NZ"/>
              </w:rPr>
            </w:pPr>
          </w:p>
        </w:tc>
      </w:tr>
      <w:tr w:rsidR="00491C93" w:rsidRPr="001A61F1" w14:paraId="72916A81" w14:textId="77777777" w:rsidTr="00173F02">
        <w:tc>
          <w:tcPr>
            <w:tcW w:w="5387" w:type="dxa"/>
          </w:tcPr>
          <w:p w14:paraId="1F308F92"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25008AF7" w14:textId="77777777" w:rsidR="00491C93" w:rsidRPr="00BA3C70" w:rsidRDefault="00491C93" w:rsidP="00491C93">
            <w:pPr>
              <w:jc w:val="right"/>
              <w:rPr>
                <w:color w:val="000000"/>
                <w:sz w:val="16"/>
                <w:szCs w:val="16"/>
                <w:lang w:eastAsia="en-NZ"/>
              </w:rPr>
            </w:pPr>
            <w:r w:rsidRPr="00BA3C70">
              <w:rPr>
                <w:color w:val="000000"/>
                <w:sz w:val="16"/>
                <w:szCs w:val="16"/>
                <w:lang w:eastAsia="en-NZ"/>
              </w:rPr>
              <w:t>9.88</w:t>
            </w:r>
          </w:p>
        </w:tc>
        <w:tc>
          <w:tcPr>
            <w:tcW w:w="1276" w:type="dxa"/>
            <w:shd w:val="clear" w:color="auto" w:fill="auto"/>
            <w:vAlign w:val="bottom"/>
          </w:tcPr>
          <w:p w14:paraId="20DFDEAE" w14:textId="77777777" w:rsidR="00491C93" w:rsidRPr="00BA3C70" w:rsidRDefault="00491C93" w:rsidP="00491C93">
            <w:pPr>
              <w:jc w:val="right"/>
              <w:rPr>
                <w:color w:val="000000"/>
                <w:sz w:val="16"/>
                <w:szCs w:val="16"/>
                <w:lang w:eastAsia="en-NZ"/>
              </w:rPr>
            </w:pPr>
            <w:r w:rsidRPr="00BA3C70">
              <w:rPr>
                <w:color w:val="000000"/>
                <w:sz w:val="16"/>
                <w:szCs w:val="16"/>
                <w:lang w:eastAsia="en-NZ"/>
              </w:rPr>
              <w:t>(3.29, 29.68)</w:t>
            </w:r>
          </w:p>
        </w:tc>
        <w:tc>
          <w:tcPr>
            <w:tcW w:w="850" w:type="dxa"/>
            <w:shd w:val="clear" w:color="auto" w:fill="auto"/>
            <w:vAlign w:val="bottom"/>
          </w:tcPr>
          <w:p w14:paraId="476E6E7C" w14:textId="77777777" w:rsidR="00491C93" w:rsidRPr="00BA3C70" w:rsidRDefault="00491C93" w:rsidP="00491C93">
            <w:pPr>
              <w:jc w:val="right"/>
              <w:rPr>
                <w:color w:val="000000"/>
                <w:sz w:val="16"/>
                <w:szCs w:val="16"/>
                <w:lang w:eastAsia="en-NZ"/>
              </w:rPr>
            </w:pPr>
            <w:r w:rsidRPr="00BA3C70">
              <w:rPr>
                <w:color w:val="000000"/>
                <w:sz w:val="16"/>
                <w:szCs w:val="16"/>
                <w:lang w:eastAsia="en-NZ"/>
              </w:rPr>
              <w:t>&lt;0.0001</w:t>
            </w:r>
          </w:p>
        </w:tc>
      </w:tr>
      <w:tr w:rsidR="00491C93" w:rsidRPr="001A61F1" w14:paraId="2298F96B" w14:textId="77777777" w:rsidTr="001C5E0E">
        <w:tc>
          <w:tcPr>
            <w:tcW w:w="5387" w:type="dxa"/>
            <w:vAlign w:val="bottom"/>
          </w:tcPr>
          <w:p w14:paraId="4FAFC070" w14:textId="77777777" w:rsidR="00491C93" w:rsidRPr="003F15C0" w:rsidRDefault="00491C93" w:rsidP="00491C93">
            <w:pPr>
              <w:spacing w:before="20"/>
              <w:jc w:val="both"/>
              <w:rPr>
                <w:b/>
                <w:sz w:val="16"/>
                <w:szCs w:val="16"/>
              </w:rPr>
            </w:pPr>
            <w:r w:rsidRPr="003F15C0">
              <w:rPr>
                <w:b/>
                <w:sz w:val="16"/>
                <w:szCs w:val="16"/>
              </w:rPr>
              <w:t>Bets with friends/workmates - monthly</w:t>
            </w:r>
          </w:p>
        </w:tc>
        <w:tc>
          <w:tcPr>
            <w:tcW w:w="992" w:type="dxa"/>
            <w:shd w:val="clear" w:color="auto" w:fill="auto"/>
            <w:vAlign w:val="bottom"/>
          </w:tcPr>
          <w:p w14:paraId="24765FFB"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6C4CEB1C"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5DE48396" w14:textId="77777777" w:rsidR="00491C93" w:rsidRPr="007B750E" w:rsidRDefault="00491C93" w:rsidP="00491C93">
            <w:pPr>
              <w:jc w:val="right"/>
              <w:rPr>
                <w:color w:val="000000"/>
                <w:sz w:val="16"/>
                <w:szCs w:val="16"/>
                <w:lang w:eastAsia="en-NZ"/>
              </w:rPr>
            </w:pPr>
          </w:p>
        </w:tc>
      </w:tr>
      <w:tr w:rsidR="00491C93" w:rsidRPr="001A61F1" w14:paraId="659F611B" w14:textId="77777777" w:rsidTr="00BA3C70">
        <w:tc>
          <w:tcPr>
            <w:tcW w:w="5387" w:type="dxa"/>
          </w:tcPr>
          <w:p w14:paraId="61A5553C"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1EC3D70F"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5A1E2261"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5119CB76" w14:textId="77777777" w:rsidR="00491C93" w:rsidRPr="00BA3C70" w:rsidRDefault="00491C93" w:rsidP="00491C93">
            <w:pPr>
              <w:jc w:val="right"/>
              <w:rPr>
                <w:color w:val="000000"/>
                <w:sz w:val="16"/>
                <w:szCs w:val="16"/>
                <w:lang w:eastAsia="en-NZ"/>
              </w:rPr>
            </w:pPr>
          </w:p>
        </w:tc>
      </w:tr>
      <w:tr w:rsidR="00491C93" w:rsidRPr="001A61F1" w14:paraId="7BEADCDA" w14:textId="77777777" w:rsidTr="00173F02">
        <w:tc>
          <w:tcPr>
            <w:tcW w:w="5387" w:type="dxa"/>
            <w:tcBorders>
              <w:bottom w:val="single" w:sz="4" w:space="0" w:color="auto"/>
            </w:tcBorders>
          </w:tcPr>
          <w:p w14:paraId="2E5D3096"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tcBorders>
              <w:bottom w:val="single" w:sz="4" w:space="0" w:color="auto"/>
            </w:tcBorders>
            <w:shd w:val="clear" w:color="auto" w:fill="auto"/>
            <w:vAlign w:val="bottom"/>
          </w:tcPr>
          <w:p w14:paraId="481DB3EC" w14:textId="77777777" w:rsidR="00491C93" w:rsidRPr="00BA3C70" w:rsidRDefault="00491C93" w:rsidP="00491C93">
            <w:pPr>
              <w:jc w:val="right"/>
              <w:rPr>
                <w:color w:val="000000"/>
                <w:sz w:val="16"/>
                <w:szCs w:val="16"/>
                <w:lang w:eastAsia="en-NZ"/>
              </w:rPr>
            </w:pPr>
            <w:r w:rsidRPr="00BA3C70">
              <w:rPr>
                <w:color w:val="000000"/>
                <w:sz w:val="16"/>
                <w:szCs w:val="16"/>
                <w:lang w:eastAsia="en-NZ"/>
              </w:rPr>
              <w:t>4.83</w:t>
            </w:r>
          </w:p>
        </w:tc>
        <w:tc>
          <w:tcPr>
            <w:tcW w:w="1276" w:type="dxa"/>
            <w:tcBorders>
              <w:bottom w:val="single" w:sz="4" w:space="0" w:color="auto"/>
            </w:tcBorders>
            <w:shd w:val="clear" w:color="auto" w:fill="auto"/>
            <w:vAlign w:val="bottom"/>
          </w:tcPr>
          <w:p w14:paraId="368C3EE0" w14:textId="77777777" w:rsidR="00491C93" w:rsidRPr="00BA3C70" w:rsidRDefault="00491C93" w:rsidP="00491C93">
            <w:pPr>
              <w:jc w:val="right"/>
              <w:rPr>
                <w:color w:val="000000"/>
                <w:sz w:val="16"/>
                <w:szCs w:val="16"/>
                <w:lang w:eastAsia="en-NZ"/>
              </w:rPr>
            </w:pPr>
            <w:r w:rsidRPr="00BA3C70">
              <w:rPr>
                <w:color w:val="000000"/>
                <w:sz w:val="16"/>
                <w:szCs w:val="16"/>
                <w:lang w:eastAsia="en-NZ"/>
              </w:rPr>
              <w:t>(1.73, 13.53)</w:t>
            </w:r>
          </w:p>
        </w:tc>
        <w:tc>
          <w:tcPr>
            <w:tcW w:w="850" w:type="dxa"/>
            <w:tcBorders>
              <w:bottom w:val="single" w:sz="4" w:space="0" w:color="auto"/>
            </w:tcBorders>
            <w:shd w:val="clear" w:color="auto" w:fill="auto"/>
            <w:vAlign w:val="bottom"/>
          </w:tcPr>
          <w:p w14:paraId="3D54DE8F" w14:textId="77777777" w:rsidR="00491C93" w:rsidRPr="00BA3C70" w:rsidRDefault="00491C93" w:rsidP="00491C93">
            <w:pPr>
              <w:jc w:val="right"/>
              <w:rPr>
                <w:color w:val="000000"/>
                <w:sz w:val="16"/>
                <w:szCs w:val="16"/>
                <w:lang w:eastAsia="en-NZ"/>
              </w:rPr>
            </w:pPr>
            <w:r w:rsidRPr="00BA3C70">
              <w:rPr>
                <w:color w:val="000000"/>
                <w:sz w:val="16"/>
                <w:szCs w:val="16"/>
                <w:lang w:eastAsia="en-NZ"/>
              </w:rPr>
              <w:t>0.003</w:t>
            </w:r>
          </w:p>
        </w:tc>
      </w:tr>
      <w:tr w:rsidR="00491C93" w:rsidRPr="001A61F1" w14:paraId="09C5CA0D" w14:textId="77777777" w:rsidTr="00BA3C70">
        <w:tc>
          <w:tcPr>
            <w:tcW w:w="5387" w:type="dxa"/>
            <w:tcBorders>
              <w:top w:val="single" w:sz="4" w:space="0" w:color="auto"/>
            </w:tcBorders>
            <w:vAlign w:val="bottom"/>
          </w:tcPr>
          <w:p w14:paraId="7C278D47" w14:textId="77777777" w:rsidR="00491C93" w:rsidRPr="003F15C0" w:rsidRDefault="00491C93" w:rsidP="00491C93">
            <w:pPr>
              <w:keepNext/>
              <w:spacing w:before="20"/>
              <w:jc w:val="both"/>
              <w:rPr>
                <w:b/>
                <w:sz w:val="16"/>
                <w:szCs w:val="16"/>
              </w:rPr>
            </w:pPr>
            <w:r w:rsidRPr="003F15C0">
              <w:rPr>
                <w:b/>
                <w:sz w:val="16"/>
                <w:szCs w:val="16"/>
              </w:rPr>
              <w:t>Raffle/lottery (NZ/overseas) - monthly</w:t>
            </w:r>
          </w:p>
        </w:tc>
        <w:tc>
          <w:tcPr>
            <w:tcW w:w="992" w:type="dxa"/>
            <w:tcBorders>
              <w:top w:val="single" w:sz="4" w:space="0" w:color="auto"/>
            </w:tcBorders>
            <w:shd w:val="clear" w:color="auto" w:fill="auto"/>
            <w:vAlign w:val="bottom"/>
          </w:tcPr>
          <w:p w14:paraId="1463E730" w14:textId="77777777" w:rsidR="00491C93" w:rsidRPr="007B750E" w:rsidRDefault="00491C93" w:rsidP="00491C93">
            <w:pPr>
              <w:jc w:val="right"/>
              <w:rPr>
                <w:color w:val="000000"/>
                <w:sz w:val="16"/>
                <w:szCs w:val="16"/>
                <w:lang w:eastAsia="en-NZ"/>
              </w:rPr>
            </w:pPr>
          </w:p>
        </w:tc>
        <w:tc>
          <w:tcPr>
            <w:tcW w:w="1276" w:type="dxa"/>
            <w:tcBorders>
              <w:top w:val="single" w:sz="4" w:space="0" w:color="auto"/>
            </w:tcBorders>
            <w:shd w:val="clear" w:color="auto" w:fill="auto"/>
            <w:vAlign w:val="bottom"/>
          </w:tcPr>
          <w:p w14:paraId="57A8E2CB" w14:textId="77777777" w:rsidR="00491C93" w:rsidRPr="007B750E" w:rsidRDefault="00491C93" w:rsidP="00491C93">
            <w:pPr>
              <w:jc w:val="right"/>
              <w:rPr>
                <w:color w:val="000000"/>
                <w:sz w:val="16"/>
                <w:szCs w:val="16"/>
                <w:lang w:eastAsia="en-NZ"/>
              </w:rPr>
            </w:pPr>
          </w:p>
        </w:tc>
        <w:tc>
          <w:tcPr>
            <w:tcW w:w="850" w:type="dxa"/>
            <w:tcBorders>
              <w:top w:val="single" w:sz="4" w:space="0" w:color="auto"/>
            </w:tcBorders>
            <w:shd w:val="clear" w:color="auto" w:fill="auto"/>
            <w:vAlign w:val="bottom"/>
          </w:tcPr>
          <w:p w14:paraId="05117518" w14:textId="77777777" w:rsidR="00491C93" w:rsidRPr="007B750E" w:rsidRDefault="00491C93" w:rsidP="00491C93">
            <w:pPr>
              <w:jc w:val="right"/>
              <w:rPr>
                <w:color w:val="000000"/>
                <w:sz w:val="16"/>
                <w:szCs w:val="16"/>
                <w:lang w:eastAsia="en-NZ"/>
              </w:rPr>
            </w:pPr>
          </w:p>
        </w:tc>
      </w:tr>
      <w:tr w:rsidR="00491C93" w:rsidRPr="001A61F1" w14:paraId="7560AA4C" w14:textId="77777777" w:rsidTr="001C5E0E">
        <w:tc>
          <w:tcPr>
            <w:tcW w:w="5387" w:type="dxa"/>
          </w:tcPr>
          <w:p w14:paraId="03E50E46" w14:textId="77777777" w:rsidR="00491C93" w:rsidRPr="003F15C0" w:rsidRDefault="00491C93" w:rsidP="00491C93">
            <w:pPr>
              <w:keepNext/>
              <w:spacing w:before="20"/>
              <w:ind w:left="176"/>
              <w:jc w:val="both"/>
              <w:rPr>
                <w:sz w:val="16"/>
                <w:szCs w:val="16"/>
              </w:rPr>
            </w:pPr>
            <w:r w:rsidRPr="003F15C0">
              <w:rPr>
                <w:sz w:val="16"/>
                <w:szCs w:val="16"/>
              </w:rPr>
              <w:t>No</w:t>
            </w:r>
          </w:p>
        </w:tc>
        <w:tc>
          <w:tcPr>
            <w:tcW w:w="992" w:type="dxa"/>
            <w:shd w:val="clear" w:color="auto" w:fill="auto"/>
            <w:vAlign w:val="bottom"/>
          </w:tcPr>
          <w:p w14:paraId="056133BA"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7D0A250F"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093C9D06" w14:textId="77777777" w:rsidR="00491C93" w:rsidRPr="00BA3C70" w:rsidRDefault="00491C93" w:rsidP="00491C93">
            <w:pPr>
              <w:jc w:val="right"/>
              <w:rPr>
                <w:color w:val="000000"/>
                <w:sz w:val="16"/>
                <w:szCs w:val="16"/>
                <w:lang w:eastAsia="en-NZ"/>
              </w:rPr>
            </w:pPr>
          </w:p>
        </w:tc>
      </w:tr>
      <w:tr w:rsidR="00491C93" w:rsidRPr="001A61F1" w14:paraId="0E3492FF" w14:textId="77777777" w:rsidTr="00173F02">
        <w:tc>
          <w:tcPr>
            <w:tcW w:w="5387" w:type="dxa"/>
          </w:tcPr>
          <w:p w14:paraId="18720B84" w14:textId="77777777" w:rsidR="00491C93" w:rsidRPr="003F15C0" w:rsidRDefault="00491C93" w:rsidP="00491C93">
            <w:pPr>
              <w:keepNext/>
              <w:spacing w:before="20"/>
              <w:ind w:left="176"/>
              <w:jc w:val="both"/>
              <w:rPr>
                <w:sz w:val="16"/>
                <w:szCs w:val="16"/>
              </w:rPr>
            </w:pPr>
            <w:r w:rsidRPr="003F15C0">
              <w:rPr>
                <w:sz w:val="16"/>
                <w:szCs w:val="16"/>
              </w:rPr>
              <w:t>Yes</w:t>
            </w:r>
          </w:p>
        </w:tc>
        <w:tc>
          <w:tcPr>
            <w:tcW w:w="992" w:type="dxa"/>
            <w:shd w:val="clear" w:color="auto" w:fill="auto"/>
            <w:vAlign w:val="bottom"/>
          </w:tcPr>
          <w:p w14:paraId="6A307BA0" w14:textId="77777777" w:rsidR="00491C93" w:rsidRPr="00BA3C70" w:rsidRDefault="00491C93" w:rsidP="00491C93">
            <w:pPr>
              <w:jc w:val="right"/>
              <w:rPr>
                <w:color w:val="000000"/>
                <w:sz w:val="16"/>
                <w:szCs w:val="16"/>
                <w:lang w:eastAsia="en-NZ"/>
              </w:rPr>
            </w:pPr>
            <w:r w:rsidRPr="00BA3C70">
              <w:rPr>
                <w:color w:val="000000"/>
                <w:sz w:val="16"/>
                <w:szCs w:val="16"/>
                <w:lang w:eastAsia="en-NZ"/>
              </w:rPr>
              <w:t>1.86</w:t>
            </w:r>
          </w:p>
        </w:tc>
        <w:tc>
          <w:tcPr>
            <w:tcW w:w="1276" w:type="dxa"/>
            <w:shd w:val="clear" w:color="auto" w:fill="auto"/>
            <w:vAlign w:val="bottom"/>
          </w:tcPr>
          <w:p w14:paraId="61039D90"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(1.01, 3.44)</w:t>
            </w:r>
          </w:p>
        </w:tc>
        <w:tc>
          <w:tcPr>
            <w:tcW w:w="850" w:type="dxa"/>
            <w:shd w:val="clear" w:color="auto" w:fill="auto"/>
            <w:vAlign w:val="bottom"/>
          </w:tcPr>
          <w:p w14:paraId="62C0817D" w14:textId="77777777" w:rsidR="00491C93" w:rsidRPr="00BA3C70" w:rsidRDefault="00491C93" w:rsidP="00491C93">
            <w:pPr>
              <w:jc w:val="right"/>
              <w:rPr>
                <w:color w:val="000000"/>
                <w:sz w:val="16"/>
                <w:szCs w:val="16"/>
                <w:lang w:eastAsia="en-NZ"/>
              </w:rPr>
            </w:pPr>
            <w:r w:rsidRPr="00BA3C70">
              <w:rPr>
                <w:color w:val="000000"/>
                <w:sz w:val="16"/>
                <w:szCs w:val="16"/>
                <w:lang w:eastAsia="en-NZ"/>
              </w:rPr>
              <w:t>0.05</w:t>
            </w:r>
          </w:p>
        </w:tc>
      </w:tr>
      <w:tr w:rsidR="00491C93" w:rsidRPr="001A61F1" w14:paraId="05E3D03E" w14:textId="77777777" w:rsidTr="001C5E0E">
        <w:tc>
          <w:tcPr>
            <w:tcW w:w="5387" w:type="dxa"/>
            <w:vAlign w:val="bottom"/>
          </w:tcPr>
          <w:p w14:paraId="11F7FA69" w14:textId="77777777" w:rsidR="00491C93" w:rsidRPr="003F15C0" w:rsidRDefault="00491C93" w:rsidP="00491C93">
            <w:pPr>
              <w:keepNext/>
              <w:spacing w:before="20"/>
              <w:jc w:val="both"/>
              <w:rPr>
                <w:b/>
                <w:sz w:val="16"/>
                <w:szCs w:val="16"/>
              </w:rPr>
            </w:pPr>
            <w:r w:rsidRPr="003F15C0">
              <w:rPr>
                <w:b/>
                <w:sz w:val="16"/>
                <w:szCs w:val="16"/>
              </w:rPr>
              <w:t>Lotto - monthly</w:t>
            </w:r>
          </w:p>
        </w:tc>
        <w:tc>
          <w:tcPr>
            <w:tcW w:w="992" w:type="dxa"/>
            <w:shd w:val="clear" w:color="auto" w:fill="auto"/>
            <w:vAlign w:val="bottom"/>
          </w:tcPr>
          <w:p w14:paraId="714E4357" w14:textId="77777777" w:rsidR="00491C93" w:rsidRPr="007B750E" w:rsidRDefault="00491C93" w:rsidP="00491C93">
            <w:pPr>
              <w:keepNext/>
              <w:jc w:val="right"/>
              <w:rPr>
                <w:color w:val="000000"/>
                <w:sz w:val="16"/>
                <w:szCs w:val="16"/>
                <w:lang w:eastAsia="en-NZ"/>
              </w:rPr>
            </w:pPr>
          </w:p>
        </w:tc>
        <w:tc>
          <w:tcPr>
            <w:tcW w:w="1276" w:type="dxa"/>
            <w:shd w:val="clear" w:color="auto" w:fill="auto"/>
            <w:vAlign w:val="bottom"/>
          </w:tcPr>
          <w:p w14:paraId="627A5F75" w14:textId="77777777" w:rsidR="00491C93" w:rsidRPr="007B750E" w:rsidRDefault="00491C93" w:rsidP="00491C93">
            <w:pPr>
              <w:keepNext/>
              <w:jc w:val="right"/>
              <w:rPr>
                <w:color w:val="000000"/>
                <w:sz w:val="16"/>
                <w:szCs w:val="16"/>
                <w:lang w:eastAsia="en-NZ"/>
              </w:rPr>
            </w:pPr>
          </w:p>
        </w:tc>
        <w:tc>
          <w:tcPr>
            <w:tcW w:w="850" w:type="dxa"/>
            <w:shd w:val="clear" w:color="auto" w:fill="auto"/>
            <w:vAlign w:val="bottom"/>
          </w:tcPr>
          <w:p w14:paraId="0BACF947" w14:textId="77777777" w:rsidR="00491C93" w:rsidRPr="007B750E" w:rsidRDefault="00491C93" w:rsidP="00491C93">
            <w:pPr>
              <w:keepNext/>
              <w:jc w:val="right"/>
              <w:rPr>
                <w:color w:val="000000"/>
                <w:sz w:val="16"/>
                <w:szCs w:val="16"/>
                <w:lang w:eastAsia="en-NZ"/>
              </w:rPr>
            </w:pPr>
          </w:p>
        </w:tc>
      </w:tr>
      <w:tr w:rsidR="00491C93" w:rsidRPr="001A61F1" w14:paraId="745496EC" w14:textId="77777777" w:rsidTr="001C5E0E">
        <w:tc>
          <w:tcPr>
            <w:tcW w:w="5387" w:type="dxa"/>
          </w:tcPr>
          <w:p w14:paraId="0FB89DE3" w14:textId="77777777" w:rsidR="00491C93" w:rsidRPr="003F15C0" w:rsidRDefault="00491C93" w:rsidP="00491C93">
            <w:pPr>
              <w:keepNext/>
              <w:spacing w:before="20"/>
              <w:ind w:left="176"/>
              <w:jc w:val="both"/>
              <w:rPr>
                <w:sz w:val="16"/>
                <w:szCs w:val="16"/>
              </w:rPr>
            </w:pPr>
            <w:r w:rsidRPr="003F15C0">
              <w:rPr>
                <w:sz w:val="16"/>
                <w:szCs w:val="16"/>
              </w:rPr>
              <w:t>No</w:t>
            </w:r>
          </w:p>
        </w:tc>
        <w:tc>
          <w:tcPr>
            <w:tcW w:w="992" w:type="dxa"/>
            <w:shd w:val="clear" w:color="auto" w:fill="auto"/>
            <w:vAlign w:val="bottom"/>
          </w:tcPr>
          <w:p w14:paraId="388DCC41"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32E1BBB2"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18EA6C97" w14:textId="77777777" w:rsidR="00491C93" w:rsidRPr="00BA3C70" w:rsidRDefault="00491C93" w:rsidP="00491C93">
            <w:pPr>
              <w:jc w:val="right"/>
              <w:rPr>
                <w:color w:val="000000"/>
                <w:sz w:val="16"/>
                <w:szCs w:val="16"/>
                <w:lang w:eastAsia="en-NZ"/>
              </w:rPr>
            </w:pPr>
          </w:p>
        </w:tc>
      </w:tr>
      <w:tr w:rsidR="00491C93" w:rsidRPr="001A61F1" w14:paraId="307009C3" w14:textId="77777777" w:rsidTr="00173F02">
        <w:tc>
          <w:tcPr>
            <w:tcW w:w="5387" w:type="dxa"/>
          </w:tcPr>
          <w:p w14:paraId="6C2ED32B"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5B680724" w14:textId="77777777" w:rsidR="00491C93" w:rsidRPr="00BA3C70" w:rsidRDefault="00491C93" w:rsidP="00491C93">
            <w:pPr>
              <w:jc w:val="right"/>
              <w:rPr>
                <w:color w:val="000000"/>
                <w:sz w:val="16"/>
                <w:szCs w:val="16"/>
                <w:lang w:eastAsia="en-NZ"/>
              </w:rPr>
            </w:pPr>
            <w:r w:rsidRPr="00BA3C70">
              <w:rPr>
                <w:color w:val="000000"/>
                <w:sz w:val="16"/>
                <w:szCs w:val="16"/>
                <w:lang w:eastAsia="en-NZ"/>
              </w:rPr>
              <w:t>1.83</w:t>
            </w:r>
          </w:p>
        </w:tc>
        <w:tc>
          <w:tcPr>
            <w:tcW w:w="1276" w:type="dxa"/>
            <w:shd w:val="clear" w:color="auto" w:fill="auto"/>
            <w:vAlign w:val="bottom"/>
          </w:tcPr>
          <w:p w14:paraId="40E6C6EC"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(1.02, 3.28)</w:t>
            </w:r>
          </w:p>
        </w:tc>
        <w:tc>
          <w:tcPr>
            <w:tcW w:w="850" w:type="dxa"/>
            <w:shd w:val="clear" w:color="auto" w:fill="auto"/>
            <w:vAlign w:val="bottom"/>
          </w:tcPr>
          <w:p w14:paraId="706A1337" w14:textId="77777777" w:rsidR="00491C93" w:rsidRPr="00BA3C70" w:rsidRDefault="00491C93" w:rsidP="00491C93">
            <w:pPr>
              <w:jc w:val="right"/>
              <w:rPr>
                <w:color w:val="000000"/>
                <w:sz w:val="16"/>
                <w:szCs w:val="16"/>
                <w:lang w:eastAsia="en-NZ"/>
              </w:rPr>
            </w:pPr>
            <w:r w:rsidRPr="00BA3C70">
              <w:rPr>
                <w:color w:val="000000"/>
                <w:sz w:val="16"/>
                <w:szCs w:val="16"/>
                <w:lang w:eastAsia="en-NZ"/>
              </w:rPr>
              <w:t>0.04</w:t>
            </w:r>
          </w:p>
        </w:tc>
      </w:tr>
      <w:tr w:rsidR="00491C93" w:rsidRPr="001A61F1" w14:paraId="49DC1547" w14:textId="77777777" w:rsidTr="001C5E0E">
        <w:tc>
          <w:tcPr>
            <w:tcW w:w="5387" w:type="dxa"/>
            <w:vAlign w:val="center"/>
          </w:tcPr>
          <w:p w14:paraId="55333D27" w14:textId="77777777" w:rsidR="00491C93" w:rsidRPr="003F15C0" w:rsidRDefault="00491C93" w:rsidP="00491C93">
            <w:pPr>
              <w:spacing w:before="20"/>
              <w:rPr>
                <w:b/>
                <w:bCs/>
                <w:color w:val="000000"/>
                <w:sz w:val="16"/>
                <w:szCs w:val="16"/>
              </w:rPr>
            </w:pPr>
            <w:r w:rsidRPr="003F15C0">
              <w:rPr>
                <w:b/>
                <w:sz w:val="16"/>
                <w:szCs w:val="16"/>
              </w:rPr>
              <w:t>Instant Kiwi/other scratch tickets - monthly</w:t>
            </w:r>
          </w:p>
        </w:tc>
        <w:tc>
          <w:tcPr>
            <w:tcW w:w="992" w:type="dxa"/>
            <w:shd w:val="clear" w:color="auto" w:fill="auto"/>
            <w:vAlign w:val="bottom"/>
          </w:tcPr>
          <w:p w14:paraId="29BDEDAA"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76536D31"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7990FA37" w14:textId="77777777" w:rsidR="00491C93" w:rsidRPr="007B750E" w:rsidRDefault="00491C93" w:rsidP="00491C93">
            <w:pPr>
              <w:jc w:val="right"/>
              <w:rPr>
                <w:color w:val="000000"/>
                <w:sz w:val="16"/>
                <w:szCs w:val="16"/>
                <w:lang w:eastAsia="en-NZ"/>
              </w:rPr>
            </w:pPr>
          </w:p>
        </w:tc>
      </w:tr>
      <w:tr w:rsidR="00491C93" w:rsidRPr="001A61F1" w14:paraId="0AB61187" w14:textId="77777777" w:rsidTr="001C5E0E">
        <w:tc>
          <w:tcPr>
            <w:tcW w:w="5387" w:type="dxa"/>
          </w:tcPr>
          <w:p w14:paraId="1B292408"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1457F537"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0D66FC33"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42E5F35D" w14:textId="77777777" w:rsidR="00491C93" w:rsidRPr="00BA3C70" w:rsidRDefault="00491C93" w:rsidP="00491C93">
            <w:pPr>
              <w:jc w:val="right"/>
              <w:rPr>
                <w:color w:val="000000"/>
                <w:sz w:val="16"/>
                <w:szCs w:val="16"/>
                <w:lang w:eastAsia="en-NZ"/>
              </w:rPr>
            </w:pPr>
          </w:p>
        </w:tc>
      </w:tr>
      <w:tr w:rsidR="00491C93" w:rsidRPr="001A61F1" w14:paraId="4DA9FC02" w14:textId="77777777" w:rsidTr="00173F02">
        <w:tc>
          <w:tcPr>
            <w:tcW w:w="5387" w:type="dxa"/>
          </w:tcPr>
          <w:p w14:paraId="05CB1A40"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5BBAB12F" w14:textId="77777777" w:rsidR="00491C93" w:rsidRPr="00BA3C70" w:rsidRDefault="00491C93" w:rsidP="00491C93">
            <w:pPr>
              <w:jc w:val="right"/>
              <w:rPr>
                <w:color w:val="000000"/>
                <w:sz w:val="16"/>
                <w:szCs w:val="16"/>
                <w:lang w:eastAsia="en-NZ"/>
              </w:rPr>
            </w:pPr>
            <w:r w:rsidRPr="00BA3C70">
              <w:rPr>
                <w:color w:val="000000"/>
                <w:sz w:val="16"/>
                <w:szCs w:val="16"/>
                <w:lang w:eastAsia="en-NZ"/>
              </w:rPr>
              <w:t>2.06</w:t>
            </w:r>
          </w:p>
        </w:tc>
        <w:tc>
          <w:tcPr>
            <w:tcW w:w="1276" w:type="dxa"/>
            <w:shd w:val="clear" w:color="auto" w:fill="auto"/>
            <w:vAlign w:val="bottom"/>
          </w:tcPr>
          <w:p w14:paraId="242C5129" w14:textId="77777777" w:rsidR="00491C93" w:rsidRPr="00BA3C70" w:rsidRDefault="00491C93" w:rsidP="00491C93">
            <w:pPr>
              <w:jc w:val="right"/>
              <w:rPr>
                <w:color w:val="000000"/>
                <w:sz w:val="16"/>
                <w:szCs w:val="16"/>
                <w:lang w:eastAsia="en-NZ"/>
              </w:rPr>
            </w:pPr>
            <w:r w:rsidRPr="00BA3C70">
              <w:rPr>
                <w:color w:val="000000"/>
                <w:sz w:val="16"/>
                <w:szCs w:val="16"/>
                <w:lang w:eastAsia="en-NZ"/>
              </w:rPr>
              <w:t>(1.13, 3.73)</w:t>
            </w:r>
          </w:p>
        </w:tc>
        <w:tc>
          <w:tcPr>
            <w:tcW w:w="850" w:type="dxa"/>
            <w:shd w:val="clear" w:color="auto" w:fill="auto"/>
            <w:vAlign w:val="bottom"/>
          </w:tcPr>
          <w:p w14:paraId="533259C0" w14:textId="77777777" w:rsidR="00491C93" w:rsidRPr="00BA3C70" w:rsidRDefault="00491C93" w:rsidP="00491C93">
            <w:pPr>
              <w:jc w:val="right"/>
              <w:rPr>
                <w:color w:val="000000"/>
                <w:sz w:val="16"/>
                <w:szCs w:val="16"/>
                <w:lang w:eastAsia="en-NZ"/>
              </w:rPr>
            </w:pPr>
            <w:r w:rsidRPr="00BA3C70">
              <w:rPr>
                <w:color w:val="000000"/>
                <w:sz w:val="16"/>
                <w:szCs w:val="16"/>
                <w:lang w:eastAsia="en-NZ"/>
              </w:rPr>
              <w:t>0.02</w:t>
            </w:r>
          </w:p>
        </w:tc>
      </w:tr>
      <w:tr w:rsidR="00491C93" w:rsidRPr="001A61F1" w14:paraId="28802889" w14:textId="77777777" w:rsidTr="001C5E0E">
        <w:tc>
          <w:tcPr>
            <w:tcW w:w="5387" w:type="dxa"/>
            <w:vAlign w:val="bottom"/>
          </w:tcPr>
          <w:p w14:paraId="0D35A9BA" w14:textId="77777777" w:rsidR="00491C93" w:rsidRPr="003F15C0" w:rsidRDefault="00491C93" w:rsidP="00491C93">
            <w:pPr>
              <w:keepNext/>
              <w:spacing w:before="20"/>
              <w:jc w:val="both"/>
              <w:rPr>
                <w:b/>
                <w:sz w:val="16"/>
                <w:szCs w:val="16"/>
              </w:rPr>
            </w:pPr>
            <w:r w:rsidRPr="003F15C0">
              <w:rPr>
                <w:b/>
                <w:sz w:val="16"/>
                <w:szCs w:val="16"/>
              </w:rPr>
              <w:t>Housie or bingo - monthly</w:t>
            </w:r>
          </w:p>
        </w:tc>
        <w:tc>
          <w:tcPr>
            <w:tcW w:w="992" w:type="dxa"/>
            <w:shd w:val="clear" w:color="auto" w:fill="auto"/>
            <w:vAlign w:val="bottom"/>
          </w:tcPr>
          <w:p w14:paraId="5EBD059B"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148CFEA0"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00110883" w14:textId="77777777" w:rsidR="00491C93" w:rsidRPr="007B750E" w:rsidRDefault="00491C93" w:rsidP="00491C93">
            <w:pPr>
              <w:jc w:val="right"/>
              <w:rPr>
                <w:color w:val="000000"/>
                <w:sz w:val="16"/>
                <w:szCs w:val="16"/>
                <w:lang w:eastAsia="en-NZ"/>
              </w:rPr>
            </w:pPr>
          </w:p>
        </w:tc>
      </w:tr>
      <w:tr w:rsidR="00491C93" w:rsidRPr="001A61F1" w14:paraId="3648625C" w14:textId="77777777" w:rsidTr="001C5E0E">
        <w:tc>
          <w:tcPr>
            <w:tcW w:w="5387" w:type="dxa"/>
          </w:tcPr>
          <w:p w14:paraId="579FEA48" w14:textId="77777777" w:rsidR="00491C93" w:rsidRPr="003F15C0" w:rsidRDefault="00491C93" w:rsidP="00491C93">
            <w:pPr>
              <w:keepNext/>
              <w:spacing w:before="20"/>
              <w:ind w:left="176"/>
              <w:jc w:val="both"/>
              <w:rPr>
                <w:sz w:val="16"/>
                <w:szCs w:val="16"/>
              </w:rPr>
            </w:pPr>
            <w:r w:rsidRPr="003F15C0">
              <w:rPr>
                <w:sz w:val="16"/>
                <w:szCs w:val="16"/>
              </w:rPr>
              <w:t>No</w:t>
            </w:r>
          </w:p>
        </w:tc>
        <w:tc>
          <w:tcPr>
            <w:tcW w:w="992" w:type="dxa"/>
            <w:shd w:val="clear" w:color="auto" w:fill="auto"/>
            <w:vAlign w:val="bottom"/>
          </w:tcPr>
          <w:p w14:paraId="2CEBC3D1"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6BC405D6"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5A20C592" w14:textId="77777777" w:rsidR="00491C93" w:rsidRPr="00BA3C70" w:rsidRDefault="00491C93" w:rsidP="00491C93">
            <w:pPr>
              <w:jc w:val="right"/>
              <w:rPr>
                <w:color w:val="000000"/>
                <w:sz w:val="16"/>
                <w:szCs w:val="16"/>
                <w:lang w:eastAsia="en-NZ"/>
              </w:rPr>
            </w:pPr>
          </w:p>
        </w:tc>
      </w:tr>
      <w:tr w:rsidR="00491C93" w:rsidRPr="001A61F1" w14:paraId="41C7D83D" w14:textId="77777777" w:rsidTr="00173F02">
        <w:tc>
          <w:tcPr>
            <w:tcW w:w="5387" w:type="dxa"/>
          </w:tcPr>
          <w:p w14:paraId="11F2219E"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110054BC" w14:textId="77777777" w:rsidR="00491C93" w:rsidRPr="00BA3C70" w:rsidRDefault="00491C93" w:rsidP="00491C93">
            <w:pPr>
              <w:jc w:val="right"/>
              <w:rPr>
                <w:color w:val="000000"/>
                <w:sz w:val="16"/>
                <w:szCs w:val="16"/>
                <w:lang w:eastAsia="en-NZ"/>
              </w:rPr>
            </w:pPr>
            <w:r w:rsidRPr="00BA3C70">
              <w:rPr>
                <w:color w:val="000000"/>
                <w:sz w:val="16"/>
                <w:szCs w:val="16"/>
                <w:lang w:eastAsia="en-NZ"/>
              </w:rPr>
              <w:t>13.51</w:t>
            </w:r>
          </w:p>
        </w:tc>
        <w:tc>
          <w:tcPr>
            <w:tcW w:w="1276" w:type="dxa"/>
            <w:shd w:val="clear" w:color="auto" w:fill="auto"/>
            <w:vAlign w:val="bottom"/>
          </w:tcPr>
          <w:p w14:paraId="54BF7BD3" w14:textId="77777777" w:rsidR="00491C93" w:rsidRPr="00BA3C70" w:rsidRDefault="00491C93" w:rsidP="00491C93">
            <w:pPr>
              <w:jc w:val="right"/>
              <w:rPr>
                <w:color w:val="000000"/>
                <w:sz w:val="16"/>
                <w:szCs w:val="16"/>
                <w:lang w:eastAsia="en-NZ"/>
              </w:rPr>
            </w:pPr>
            <w:r w:rsidRPr="00BA3C70">
              <w:rPr>
                <w:color w:val="000000"/>
                <w:sz w:val="16"/>
                <w:szCs w:val="16"/>
                <w:lang w:eastAsia="en-NZ"/>
              </w:rPr>
              <w:t>(3.12, 58.45)</w:t>
            </w:r>
          </w:p>
        </w:tc>
        <w:tc>
          <w:tcPr>
            <w:tcW w:w="850" w:type="dxa"/>
            <w:shd w:val="clear" w:color="auto" w:fill="auto"/>
            <w:vAlign w:val="bottom"/>
          </w:tcPr>
          <w:p w14:paraId="50FE2B16" w14:textId="77777777" w:rsidR="00491C93" w:rsidRPr="00BA3C70" w:rsidRDefault="00491C93" w:rsidP="00491C93">
            <w:pPr>
              <w:jc w:val="right"/>
              <w:rPr>
                <w:color w:val="000000"/>
                <w:sz w:val="16"/>
                <w:szCs w:val="16"/>
                <w:lang w:eastAsia="en-NZ"/>
              </w:rPr>
            </w:pPr>
            <w:r w:rsidRPr="00BA3C70">
              <w:rPr>
                <w:color w:val="000000"/>
                <w:sz w:val="16"/>
                <w:szCs w:val="16"/>
                <w:lang w:eastAsia="en-NZ"/>
              </w:rPr>
              <w:t>0.0005</w:t>
            </w:r>
          </w:p>
        </w:tc>
      </w:tr>
      <w:tr w:rsidR="00491C93" w:rsidRPr="001A61F1" w14:paraId="15154AF8" w14:textId="77777777" w:rsidTr="001C5E0E">
        <w:tc>
          <w:tcPr>
            <w:tcW w:w="5387" w:type="dxa"/>
            <w:vAlign w:val="bottom"/>
          </w:tcPr>
          <w:p w14:paraId="2ABF6F8F" w14:textId="77777777" w:rsidR="00491C93" w:rsidRPr="003F15C0" w:rsidRDefault="00491C93" w:rsidP="00491C93">
            <w:pPr>
              <w:spacing w:before="20"/>
              <w:jc w:val="both"/>
              <w:rPr>
                <w:b/>
                <w:sz w:val="16"/>
                <w:szCs w:val="16"/>
              </w:rPr>
            </w:pPr>
            <w:r w:rsidRPr="003F15C0">
              <w:rPr>
                <w:b/>
                <w:sz w:val="16"/>
                <w:szCs w:val="16"/>
              </w:rPr>
              <w:t>Horse/dog race betting - monthly</w:t>
            </w:r>
          </w:p>
        </w:tc>
        <w:tc>
          <w:tcPr>
            <w:tcW w:w="992" w:type="dxa"/>
            <w:shd w:val="clear" w:color="auto" w:fill="auto"/>
            <w:vAlign w:val="bottom"/>
          </w:tcPr>
          <w:p w14:paraId="0D277ACC"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3E9EA047"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66779829" w14:textId="77777777" w:rsidR="00491C93" w:rsidRPr="007B750E" w:rsidRDefault="00491C93" w:rsidP="00491C93">
            <w:pPr>
              <w:jc w:val="right"/>
              <w:rPr>
                <w:color w:val="000000"/>
                <w:sz w:val="16"/>
                <w:szCs w:val="16"/>
                <w:lang w:eastAsia="en-NZ"/>
              </w:rPr>
            </w:pPr>
          </w:p>
        </w:tc>
      </w:tr>
      <w:tr w:rsidR="00491C93" w:rsidRPr="001A61F1" w14:paraId="301AABAF" w14:textId="77777777" w:rsidTr="001C5E0E">
        <w:tc>
          <w:tcPr>
            <w:tcW w:w="5387" w:type="dxa"/>
          </w:tcPr>
          <w:p w14:paraId="6CE9B90C"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5D6D00F6"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39CAC418"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32D1A7AF" w14:textId="77777777" w:rsidR="00491C93" w:rsidRPr="00BA3C70" w:rsidRDefault="00491C93" w:rsidP="00491C93">
            <w:pPr>
              <w:jc w:val="right"/>
              <w:rPr>
                <w:color w:val="000000"/>
                <w:sz w:val="16"/>
                <w:szCs w:val="16"/>
                <w:lang w:eastAsia="en-NZ"/>
              </w:rPr>
            </w:pPr>
          </w:p>
        </w:tc>
      </w:tr>
      <w:tr w:rsidR="00491C93" w:rsidRPr="001A61F1" w14:paraId="2C22BE87" w14:textId="77777777" w:rsidTr="00173F02">
        <w:tc>
          <w:tcPr>
            <w:tcW w:w="5387" w:type="dxa"/>
          </w:tcPr>
          <w:p w14:paraId="0A391A84"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4BBAE76F" w14:textId="77777777" w:rsidR="00491C93" w:rsidRPr="00BA3C70" w:rsidRDefault="00491C93" w:rsidP="00491C93">
            <w:pPr>
              <w:jc w:val="right"/>
              <w:rPr>
                <w:color w:val="000000"/>
                <w:sz w:val="16"/>
                <w:szCs w:val="16"/>
                <w:lang w:eastAsia="en-NZ"/>
              </w:rPr>
            </w:pPr>
            <w:r w:rsidRPr="00BA3C70">
              <w:rPr>
                <w:color w:val="000000"/>
                <w:sz w:val="16"/>
                <w:szCs w:val="16"/>
                <w:lang w:eastAsia="en-NZ"/>
              </w:rPr>
              <w:t>4.92</w:t>
            </w:r>
          </w:p>
        </w:tc>
        <w:tc>
          <w:tcPr>
            <w:tcW w:w="1276" w:type="dxa"/>
            <w:shd w:val="clear" w:color="auto" w:fill="auto"/>
            <w:vAlign w:val="bottom"/>
          </w:tcPr>
          <w:p w14:paraId="5C4D70FA" w14:textId="77777777" w:rsidR="00491C93" w:rsidRPr="00BA3C70" w:rsidRDefault="00491C93" w:rsidP="00491C93">
            <w:pPr>
              <w:jc w:val="right"/>
              <w:rPr>
                <w:color w:val="000000"/>
                <w:sz w:val="16"/>
                <w:szCs w:val="16"/>
                <w:lang w:eastAsia="en-NZ"/>
              </w:rPr>
            </w:pPr>
            <w:r w:rsidRPr="00BA3C70">
              <w:rPr>
                <w:color w:val="000000"/>
                <w:sz w:val="16"/>
                <w:szCs w:val="16"/>
                <w:lang w:eastAsia="en-NZ"/>
              </w:rPr>
              <w:t>(1.83, 13.20)</w:t>
            </w:r>
          </w:p>
        </w:tc>
        <w:tc>
          <w:tcPr>
            <w:tcW w:w="850" w:type="dxa"/>
            <w:shd w:val="clear" w:color="auto" w:fill="auto"/>
            <w:vAlign w:val="bottom"/>
          </w:tcPr>
          <w:p w14:paraId="21F416FD" w14:textId="77777777" w:rsidR="00491C93" w:rsidRPr="00BA3C70" w:rsidRDefault="00491C93" w:rsidP="00491C93">
            <w:pPr>
              <w:jc w:val="right"/>
              <w:rPr>
                <w:color w:val="000000"/>
                <w:sz w:val="16"/>
                <w:szCs w:val="16"/>
                <w:lang w:eastAsia="en-NZ"/>
              </w:rPr>
            </w:pPr>
            <w:r w:rsidRPr="00BA3C70">
              <w:rPr>
                <w:color w:val="000000"/>
                <w:sz w:val="16"/>
                <w:szCs w:val="16"/>
                <w:lang w:eastAsia="en-NZ"/>
              </w:rPr>
              <w:t>0.002</w:t>
            </w:r>
          </w:p>
        </w:tc>
      </w:tr>
      <w:tr w:rsidR="00491C93" w:rsidRPr="001A61F1" w14:paraId="0727F6BA" w14:textId="77777777" w:rsidTr="001C5E0E">
        <w:tc>
          <w:tcPr>
            <w:tcW w:w="5387" w:type="dxa"/>
            <w:vAlign w:val="bottom"/>
          </w:tcPr>
          <w:p w14:paraId="4BF419FC" w14:textId="77777777" w:rsidR="00491C93" w:rsidRPr="003F15C0" w:rsidRDefault="00491C93" w:rsidP="00491C93">
            <w:pPr>
              <w:spacing w:before="20"/>
              <w:jc w:val="both"/>
              <w:rPr>
                <w:b/>
                <w:sz w:val="16"/>
                <w:szCs w:val="16"/>
              </w:rPr>
            </w:pPr>
            <w:r w:rsidRPr="003F15C0">
              <w:rPr>
                <w:b/>
                <w:sz w:val="16"/>
                <w:szCs w:val="16"/>
              </w:rPr>
              <w:t>Sports betting - monthly</w:t>
            </w:r>
          </w:p>
        </w:tc>
        <w:tc>
          <w:tcPr>
            <w:tcW w:w="992" w:type="dxa"/>
            <w:shd w:val="clear" w:color="auto" w:fill="auto"/>
            <w:vAlign w:val="bottom"/>
          </w:tcPr>
          <w:p w14:paraId="6E95A353"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7DA78BA1"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1FA48FA9" w14:textId="77777777" w:rsidR="00491C93" w:rsidRPr="007B750E" w:rsidRDefault="00491C93" w:rsidP="00491C93">
            <w:pPr>
              <w:jc w:val="right"/>
              <w:rPr>
                <w:color w:val="000000"/>
                <w:sz w:val="16"/>
                <w:szCs w:val="16"/>
                <w:lang w:eastAsia="en-NZ"/>
              </w:rPr>
            </w:pPr>
          </w:p>
        </w:tc>
      </w:tr>
      <w:tr w:rsidR="00491C93" w:rsidRPr="001A61F1" w14:paraId="6CA91262" w14:textId="77777777" w:rsidTr="001C5E0E">
        <w:tc>
          <w:tcPr>
            <w:tcW w:w="5387" w:type="dxa"/>
          </w:tcPr>
          <w:p w14:paraId="2330F71E"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2885008F"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11732C71"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0A7CB143" w14:textId="77777777" w:rsidR="00491C93" w:rsidRPr="00BA3C70" w:rsidRDefault="00491C93" w:rsidP="00491C93">
            <w:pPr>
              <w:jc w:val="right"/>
              <w:rPr>
                <w:color w:val="000000"/>
                <w:sz w:val="16"/>
                <w:szCs w:val="16"/>
                <w:lang w:eastAsia="en-NZ"/>
              </w:rPr>
            </w:pPr>
          </w:p>
        </w:tc>
      </w:tr>
      <w:tr w:rsidR="00491C93" w:rsidRPr="001A61F1" w14:paraId="187F2A40" w14:textId="77777777" w:rsidTr="00173F02">
        <w:tc>
          <w:tcPr>
            <w:tcW w:w="5387" w:type="dxa"/>
          </w:tcPr>
          <w:p w14:paraId="2D33188A"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1C411F02" w14:textId="77777777" w:rsidR="00491C93" w:rsidRPr="00BA3C70" w:rsidRDefault="00491C93" w:rsidP="00491C93">
            <w:pPr>
              <w:jc w:val="right"/>
              <w:rPr>
                <w:color w:val="000000"/>
                <w:sz w:val="16"/>
                <w:szCs w:val="16"/>
                <w:lang w:eastAsia="en-NZ"/>
              </w:rPr>
            </w:pPr>
            <w:r w:rsidRPr="00BA3C70">
              <w:rPr>
                <w:color w:val="000000"/>
                <w:sz w:val="16"/>
                <w:szCs w:val="16"/>
                <w:lang w:eastAsia="en-NZ"/>
              </w:rPr>
              <w:t>19.92</w:t>
            </w:r>
          </w:p>
        </w:tc>
        <w:tc>
          <w:tcPr>
            <w:tcW w:w="1276" w:type="dxa"/>
            <w:shd w:val="clear" w:color="auto" w:fill="auto"/>
            <w:vAlign w:val="bottom"/>
          </w:tcPr>
          <w:p w14:paraId="094F3E09" w14:textId="77777777" w:rsidR="00491C93" w:rsidRPr="00BA3C70" w:rsidRDefault="00491C93" w:rsidP="00491C93">
            <w:pPr>
              <w:jc w:val="right"/>
              <w:rPr>
                <w:color w:val="000000"/>
                <w:sz w:val="16"/>
                <w:szCs w:val="16"/>
                <w:lang w:eastAsia="en-NZ"/>
              </w:rPr>
            </w:pPr>
            <w:r w:rsidRPr="00BA3C70">
              <w:rPr>
                <w:color w:val="000000"/>
                <w:sz w:val="16"/>
                <w:szCs w:val="16"/>
                <w:lang w:eastAsia="en-NZ"/>
              </w:rPr>
              <w:t>(6.05, 65.6)</w:t>
            </w:r>
          </w:p>
        </w:tc>
        <w:tc>
          <w:tcPr>
            <w:tcW w:w="850" w:type="dxa"/>
            <w:shd w:val="clear" w:color="auto" w:fill="auto"/>
            <w:vAlign w:val="bottom"/>
          </w:tcPr>
          <w:p w14:paraId="400B9C7C" w14:textId="77777777" w:rsidR="00491C93" w:rsidRPr="00BA3C70" w:rsidRDefault="00491C93" w:rsidP="00491C93">
            <w:pPr>
              <w:jc w:val="right"/>
              <w:rPr>
                <w:color w:val="000000"/>
                <w:sz w:val="16"/>
                <w:szCs w:val="16"/>
                <w:lang w:eastAsia="en-NZ"/>
              </w:rPr>
            </w:pPr>
            <w:r w:rsidRPr="00BA3C70">
              <w:rPr>
                <w:color w:val="000000"/>
                <w:sz w:val="16"/>
                <w:szCs w:val="16"/>
                <w:lang w:eastAsia="en-NZ"/>
              </w:rPr>
              <w:t>&lt;0.0001</w:t>
            </w:r>
          </w:p>
        </w:tc>
      </w:tr>
      <w:tr w:rsidR="00491C93" w:rsidRPr="001A61F1" w14:paraId="45F420FA" w14:textId="77777777" w:rsidTr="001C5E0E">
        <w:tc>
          <w:tcPr>
            <w:tcW w:w="5387" w:type="dxa"/>
            <w:vAlign w:val="bottom"/>
          </w:tcPr>
          <w:p w14:paraId="61848DA0" w14:textId="77777777" w:rsidR="00491C93" w:rsidRPr="003F15C0" w:rsidRDefault="00491C93" w:rsidP="00491C93">
            <w:pPr>
              <w:spacing w:before="20"/>
              <w:jc w:val="both"/>
              <w:rPr>
                <w:b/>
                <w:sz w:val="16"/>
                <w:szCs w:val="16"/>
              </w:rPr>
            </w:pPr>
            <w:r w:rsidRPr="003F15C0">
              <w:rPr>
                <w:b/>
                <w:sz w:val="16"/>
                <w:szCs w:val="16"/>
              </w:rPr>
              <w:t>Casino EGMs (NZ) - monthly</w:t>
            </w:r>
          </w:p>
        </w:tc>
        <w:tc>
          <w:tcPr>
            <w:tcW w:w="992" w:type="dxa"/>
            <w:shd w:val="clear" w:color="auto" w:fill="auto"/>
            <w:vAlign w:val="bottom"/>
          </w:tcPr>
          <w:p w14:paraId="353A0BB1"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0EDF539B"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28970DAB" w14:textId="77777777" w:rsidR="00491C93" w:rsidRPr="007B750E" w:rsidRDefault="00491C93" w:rsidP="00491C93">
            <w:pPr>
              <w:jc w:val="right"/>
              <w:rPr>
                <w:color w:val="000000"/>
                <w:sz w:val="16"/>
                <w:szCs w:val="16"/>
                <w:lang w:eastAsia="en-NZ"/>
              </w:rPr>
            </w:pPr>
          </w:p>
        </w:tc>
      </w:tr>
      <w:tr w:rsidR="00491C93" w:rsidRPr="001A61F1" w14:paraId="2F311147" w14:textId="77777777" w:rsidTr="00683F62">
        <w:tc>
          <w:tcPr>
            <w:tcW w:w="5387" w:type="dxa"/>
          </w:tcPr>
          <w:p w14:paraId="41A1F814"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7DB6E842"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6CF939BD"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3028FAFA" w14:textId="77777777" w:rsidR="00491C93" w:rsidRPr="00BA3C70" w:rsidRDefault="00491C93" w:rsidP="00491C93">
            <w:pPr>
              <w:jc w:val="right"/>
              <w:rPr>
                <w:color w:val="000000"/>
                <w:sz w:val="16"/>
                <w:szCs w:val="16"/>
                <w:lang w:eastAsia="en-NZ"/>
              </w:rPr>
            </w:pPr>
          </w:p>
        </w:tc>
      </w:tr>
      <w:tr w:rsidR="00491C93" w:rsidRPr="001A61F1" w14:paraId="7E7E852A" w14:textId="77777777" w:rsidTr="00173F02">
        <w:tc>
          <w:tcPr>
            <w:tcW w:w="5387" w:type="dxa"/>
          </w:tcPr>
          <w:p w14:paraId="08709D13"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634691EE" w14:textId="77777777" w:rsidR="00491C93" w:rsidRPr="00BA3C70" w:rsidRDefault="00491C93" w:rsidP="00491C93">
            <w:pPr>
              <w:jc w:val="right"/>
              <w:rPr>
                <w:color w:val="000000"/>
                <w:sz w:val="16"/>
                <w:szCs w:val="16"/>
                <w:lang w:eastAsia="en-NZ"/>
              </w:rPr>
            </w:pPr>
            <w:r w:rsidRPr="00BA3C70">
              <w:rPr>
                <w:color w:val="000000"/>
                <w:sz w:val="16"/>
                <w:szCs w:val="16"/>
                <w:lang w:eastAsia="en-NZ"/>
              </w:rPr>
              <w:t>12.99</w:t>
            </w:r>
          </w:p>
        </w:tc>
        <w:tc>
          <w:tcPr>
            <w:tcW w:w="1276" w:type="dxa"/>
            <w:shd w:val="clear" w:color="auto" w:fill="auto"/>
            <w:vAlign w:val="bottom"/>
          </w:tcPr>
          <w:p w14:paraId="255941DC" w14:textId="77777777" w:rsidR="00491C93" w:rsidRPr="00BA3C70" w:rsidRDefault="00491C93" w:rsidP="00491C93">
            <w:pPr>
              <w:jc w:val="right"/>
              <w:rPr>
                <w:color w:val="000000"/>
                <w:sz w:val="16"/>
                <w:szCs w:val="16"/>
                <w:lang w:eastAsia="en-NZ"/>
              </w:rPr>
            </w:pPr>
            <w:r w:rsidRPr="00BA3C70">
              <w:rPr>
                <w:color w:val="000000"/>
                <w:sz w:val="16"/>
                <w:szCs w:val="16"/>
                <w:lang w:eastAsia="en-NZ"/>
              </w:rPr>
              <w:t>(3.21, 52.60)</w:t>
            </w:r>
          </w:p>
        </w:tc>
        <w:tc>
          <w:tcPr>
            <w:tcW w:w="850" w:type="dxa"/>
            <w:shd w:val="clear" w:color="auto" w:fill="auto"/>
            <w:vAlign w:val="bottom"/>
          </w:tcPr>
          <w:p w14:paraId="6C406C10" w14:textId="77777777" w:rsidR="00491C93" w:rsidRPr="00BA3C70" w:rsidRDefault="00491C93" w:rsidP="00491C93">
            <w:pPr>
              <w:jc w:val="right"/>
              <w:rPr>
                <w:color w:val="000000"/>
                <w:sz w:val="16"/>
                <w:szCs w:val="16"/>
                <w:lang w:eastAsia="en-NZ"/>
              </w:rPr>
            </w:pPr>
            <w:r w:rsidRPr="00BA3C70">
              <w:rPr>
                <w:color w:val="000000"/>
                <w:sz w:val="16"/>
                <w:szCs w:val="16"/>
                <w:lang w:eastAsia="en-NZ"/>
              </w:rPr>
              <w:t>0.0003</w:t>
            </w:r>
          </w:p>
        </w:tc>
      </w:tr>
      <w:tr w:rsidR="00491C93" w:rsidRPr="001A61F1" w14:paraId="490E42AB" w14:textId="77777777" w:rsidTr="00683F62">
        <w:tc>
          <w:tcPr>
            <w:tcW w:w="5387" w:type="dxa"/>
            <w:vAlign w:val="bottom"/>
          </w:tcPr>
          <w:p w14:paraId="56C79710" w14:textId="77777777" w:rsidR="00491C93" w:rsidRPr="003F15C0" w:rsidRDefault="00491C93" w:rsidP="00491C93">
            <w:pPr>
              <w:keepNext/>
              <w:spacing w:before="20"/>
              <w:jc w:val="both"/>
              <w:rPr>
                <w:b/>
                <w:sz w:val="16"/>
                <w:szCs w:val="16"/>
              </w:rPr>
            </w:pPr>
            <w:r w:rsidRPr="003F15C0">
              <w:rPr>
                <w:b/>
                <w:sz w:val="16"/>
                <w:szCs w:val="16"/>
              </w:rPr>
              <w:t>Pub EGMs - monthly</w:t>
            </w:r>
          </w:p>
        </w:tc>
        <w:tc>
          <w:tcPr>
            <w:tcW w:w="992" w:type="dxa"/>
            <w:shd w:val="clear" w:color="auto" w:fill="auto"/>
            <w:vAlign w:val="bottom"/>
          </w:tcPr>
          <w:p w14:paraId="41FB35ED"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5D509B44"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78615531" w14:textId="77777777" w:rsidR="00491C93" w:rsidRPr="007B750E" w:rsidRDefault="00491C93" w:rsidP="00491C93">
            <w:pPr>
              <w:jc w:val="right"/>
              <w:rPr>
                <w:color w:val="000000"/>
                <w:sz w:val="16"/>
                <w:szCs w:val="16"/>
                <w:lang w:eastAsia="en-NZ"/>
              </w:rPr>
            </w:pPr>
          </w:p>
        </w:tc>
      </w:tr>
      <w:tr w:rsidR="00491C93" w:rsidRPr="001A61F1" w14:paraId="6C992DDC" w14:textId="77777777" w:rsidTr="001C5E0E">
        <w:tc>
          <w:tcPr>
            <w:tcW w:w="5387" w:type="dxa"/>
          </w:tcPr>
          <w:p w14:paraId="43207C5A" w14:textId="77777777" w:rsidR="00491C93" w:rsidRPr="003F15C0" w:rsidRDefault="00491C93" w:rsidP="00491C93">
            <w:pPr>
              <w:keepNext/>
              <w:spacing w:before="20"/>
              <w:ind w:left="176"/>
              <w:jc w:val="both"/>
              <w:rPr>
                <w:sz w:val="16"/>
                <w:szCs w:val="16"/>
              </w:rPr>
            </w:pPr>
            <w:r w:rsidRPr="003F15C0">
              <w:rPr>
                <w:sz w:val="16"/>
                <w:szCs w:val="16"/>
              </w:rPr>
              <w:t>No</w:t>
            </w:r>
          </w:p>
        </w:tc>
        <w:tc>
          <w:tcPr>
            <w:tcW w:w="992" w:type="dxa"/>
            <w:shd w:val="clear" w:color="auto" w:fill="auto"/>
            <w:vAlign w:val="bottom"/>
          </w:tcPr>
          <w:p w14:paraId="504F678E"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11448AC8"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0D8CC61E" w14:textId="77777777" w:rsidR="00491C93" w:rsidRPr="00BA3C70" w:rsidRDefault="00491C93" w:rsidP="00491C93">
            <w:pPr>
              <w:jc w:val="right"/>
              <w:rPr>
                <w:color w:val="000000"/>
                <w:sz w:val="16"/>
                <w:szCs w:val="16"/>
                <w:lang w:eastAsia="en-NZ"/>
              </w:rPr>
            </w:pPr>
          </w:p>
        </w:tc>
      </w:tr>
      <w:tr w:rsidR="00491C93" w:rsidRPr="001A61F1" w14:paraId="2AA51972" w14:textId="77777777" w:rsidTr="00173F02">
        <w:tc>
          <w:tcPr>
            <w:tcW w:w="5387" w:type="dxa"/>
          </w:tcPr>
          <w:p w14:paraId="4B813D45"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38184CB8" w14:textId="77777777" w:rsidR="00491C93" w:rsidRPr="00BA3C70" w:rsidRDefault="00491C93" w:rsidP="00491C93">
            <w:pPr>
              <w:jc w:val="right"/>
              <w:rPr>
                <w:color w:val="000000"/>
                <w:sz w:val="16"/>
                <w:szCs w:val="16"/>
                <w:lang w:eastAsia="en-NZ"/>
              </w:rPr>
            </w:pPr>
            <w:r w:rsidRPr="00BA3C70">
              <w:rPr>
                <w:color w:val="000000"/>
                <w:sz w:val="16"/>
                <w:szCs w:val="16"/>
                <w:lang w:eastAsia="en-NZ"/>
              </w:rPr>
              <w:t>25.01</w:t>
            </w:r>
          </w:p>
        </w:tc>
        <w:tc>
          <w:tcPr>
            <w:tcW w:w="1276" w:type="dxa"/>
            <w:shd w:val="clear" w:color="auto" w:fill="auto"/>
            <w:vAlign w:val="bottom"/>
          </w:tcPr>
          <w:p w14:paraId="174401B8" w14:textId="77777777" w:rsidR="00491C93" w:rsidRPr="00BA3C70" w:rsidRDefault="00491C93" w:rsidP="00491C93">
            <w:pPr>
              <w:jc w:val="right"/>
              <w:rPr>
                <w:color w:val="000000"/>
                <w:sz w:val="16"/>
                <w:szCs w:val="16"/>
                <w:lang w:eastAsia="en-NZ"/>
              </w:rPr>
            </w:pPr>
            <w:r w:rsidRPr="00BA3C70">
              <w:rPr>
                <w:color w:val="000000"/>
                <w:sz w:val="16"/>
                <w:szCs w:val="16"/>
                <w:lang w:eastAsia="en-NZ"/>
              </w:rPr>
              <w:t>(12.48, 50.12)</w:t>
            </w:r>
          </w:p>
        </w:tc>
        <w:tc>
          <w:tcPr>
            <w:tcW w:w="850" w:type="dxa"/>
            <w:shd w:val="clear" w:color="auto" w:fill="auto"/>
            <w:vAlign w:val="bottom"/>
          </w:tcPr>
          <w:p w14:paraId="27029F46" w14:textId="77777777" w:rsidR="00491C93" w:rsidRPr="00BA3C70" w:rsidRDefault="00491C93" w:rsidP="00491C93">
            <w:pPr>
              <w:jc w:val="right"/>
              <w:rPr>
                <w:color w:val="000000"/>
                <w:sz w:val="16"/>
                <w:szCs w:val="16"/>
                <w:lang w:eastAsia="en-NZ"/>
              </w:rPr>
            </w:pPr>
            <w:r w:rsidRPr="00BA3C70">
              <w:rPr>
                <w:color w:val="000000"/>
                <w:sz w:val="16"/>
                <w:szCs w:val="16"/>
                <w:lang w:eastAsia="en-NZ"/>
              </w:rPr>
              <w:t>&lt;0.0001</w:t>
            </w:r>
          </w:p>
        </w:tc>
      </w:tr>
      <w:tr w:rsidR="00491C93" w:rsidRPr="001A61F1" w14:paraId="5B03F2C8" w14:textId="77777777" w:rsidTr="001C5E0E">
        <w:tc>
          <w:tcPr>
            <w:tcW w:w="5387" w:type="dxa"/>
            <w:vAlign w:val="bottom"/>
          </w:tcPr>
          <w:p w14:paraId="1ACDFC2A" w14:textId="77777777" w:rsidR="00491C93" w:rsidRPr="003F15C0" w:rsidRDefault="00491C93" w:rsidP="00491C93">
            <w:pPr>
              <w:spacing w:before="20"/>
              <w:jc w:val="both"/>
              <w:rPr>
                <w:b/>
                <w:sz w:val="16"/>
                <w:szCs w:val="16"/>
              </w:rPr>
            </w:pPr>
            <w:r w:rsidRPr="003F15C0">
              <w:rPr>
                <w:b/>
                <w:sz w:val="16"/>
                <w:szCs w:val="16"/>
              </w:rPr>
              <w:t>Club EGMs - monthly</w:t>
            </w:r>
          </w:p>
        </w:tc>
        <w:tc>
          <w:tcPr>
            <w:tcW w:w="992" w:type="dxa"/>
            <w:shd w:val="clear" w:color="auto" w:fill="auto"/>
            <w:vAlign w:val="bottom"/>
          </w:tcPr>
          <w:p w14:paraId="6B4F9140"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668434B7"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78E7430B" w14:textId="77777777" w:rsidR="00491C93" w:rsidRPr="007B750E" w:rsidRDefault="00491C93" w:rsidP="00491C93">
            <w:pPr>
              <w:jc w:val="right"/>
              <w:rPr>
                <w:color w:val="000000"/>
                <w:sz w:val="16"/>
                <w:szCs w:val="16"/>
                <w:lang w:eastAsia="en-NZ"/>
              </w:rPr>
            </w:pPr>
          </w:p>
        </w:tc>
      </w:tr>
      <w:tr w:rsidR="00491C93" w:rsidRPr="001A61F1" w14:paraId="4A227D39" w14:textId="77777777" w:rsidTr="001C5E0E">
        <w:tc>
          <w:tcPr>
            <w:tcW w:w="5387" w:type="dxa"/>
          </w:tcPr>
          <w:p w14:paraId="4185D12D"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45B6821D"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05AA796A"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78009A0B" w14:textId="77777777" w:rsidR="00491C93" w:rsidRPr="00BA3C70" w:rsidRDefault="00491C93" w:rsidP="00491C93">
            <w:pPr>
              <w:jc w:val="right"/>
              <w:rPr>
                <w:color w:val="000000"/>
                <w:sz w:val="16"/>
                <w:szCs w:val="16"/>
                <w:lang w:eastAsia="en-NZ"/>
              </w:rPr>
            </w:pPr>
          </w:p>
        </w:tc>
      </w:tr>
      <w:tr w:rsidR="00491C93" w:rsidRPr="001A61F1" w14:paraId="03A51146" w14:textId="77777777" w:rsidTr="00173F02">
        <w:tc>
          <w:tcPr>
            <w:tcW w:w="5387" w:type="dxa"/>
          </w:tcPr>
          <w:p w14:paraId="282ADCD5"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0F66AB27" w14:textId="77777777" w:rsidR="00491C93" w:rsidRPr="00BA3C70" w:rsidRDefault="00491C93" w:rsidP="00491C93">
            <w:pPr>
              <w:jc w:val="right"/>
              <w:rPr>
                <w:color w:val="000000"/>
                <w:sz w:val="16"/>
                <w:szCs w:val="16"/>
                <w:lang w:eastAsia="en-NZ"/>
              </w:rPr>
            </w:pPr>
            <w:r w:rsidRPr="00BA3C70">
              <w:rPr>
                <w:color w:val="000000"/>
                <w:sz w:val="16"/>
                <w:szCs w:val="16"/>
                <w:lang w:eastAsia="en-NZ"/>
              </w:rPr>
              <w:t>5.20</w:t>
            </w:r>
          </w:p>
        </w:tc>
        <w:tc>
          <w:tcPr>
            <w:tcW w:w="1276" w:type="dxa"/>
            <w:shd w:val="clear" w:color="auto" w:fill="auto"/>
            <w:vAlign w:val="bottom"/>
          </w:tcPr>
          <w:p w14:paraId="70C0AD7D" w14:textId="77777777" w:rsidR="00491C93" w:rsidRPr="00BA3C70" w:rsidRDefault="00491C93" w:rsidP="00491C93">
            <w:pPr>
              <w:jc w:val="right"/>
              <w:rPr>
                <w:color w:val="000000"/>
                <w:sz w:val="16"/>
                <w:szCs w:val="16"/>
                <w:lang w:eastAsia="en-NZ"/>
              </w:rPr>
            </w:pPr>
            <w:r w:rsidRPr="00BA3C70">
              <w:rPr>
                <w:color w:val="000000"/>
                <w:sz w:val="16"/>
                <w:szCs w:val="16"/>
                <w:lang w:eastAsia="en-NZ"/>
              </w:rPr>
              <w:t>(1.89, 14.33)</w:t>
            </w:r>
          </w:p>
        </w:tc>
        <w:tc>
          <w:tcPr>
            <w:tcW w:w="850" w:type="dxa"/>
            <w:shd w:val="clear" w:color="auto" w:fill="auto"/>
            <w:vAlign w:val="bottom"/>
          </w:tcPr>
          <w:p w14:paraId="2ACC88B3" w14:textId="77777777" w:rsidR="00491C93" w:rsidRPr="00BA3C70" w:rsidRDefault="00491C93" w:rsidP="00491C93">
            <w:pPr>
              <w:jc w:val="right"/>
              <w:rPr>
                <w:color w:val="000000"/>
                <w:sz w:val="16"/>
                <w:szCs w:val="16"/>
                <w:lang w:eastAsia="en-NZ"/>
              </w:rPr>
            </w:pPr>
            <w:r w:rsidRPr="00BA3C70">
              <w:rPr>
                <w:color w:val="000000"/>
                <w:sz w:val="16"/>
                <w:szCs w:val="16"/>
                <w:lang w:eastAsia="en-NZ"/>
              </w:rPr>
              <w:t>0.001</w:t>
            </w:r>
          </w:p>
        </w:tc>
      </w:tr>
      <w:tr w:rsidR="00491C93" w:rsidRPr="001A61F1" w14:paraId="60812CE8" w14:textId="77777777" w:rsidTr="001C5E0E">
        <w:tc>
          <w:tcPr>
            <w:tcW w:w="5387" w:type="dxa"/>
            <w:vAlign w:val="bottom"/>
          </w:tcPr>
          <w:p w14:paraId="6E946087" w14:textId="77777777" w:rsidR="00491C93" w:rsidRPr="003F15C0" w:rsidRDefault="00491C93" w:rsidP="00491C93">
            <w:pPr>
              <w:spacing w:before="20"/>
              <w:jc w:val="both"/>
              <w:rPr>
                <w:b/>
                <w:sz w:val="16"/>
                <w:szCs w:val="16"/>
              </w:rPr>
            </w:pPr>
            <w:r w:rsidRPr="003F15C0">
              <w:rPr>
                <w:b/>
                <w:sz w:val="16"/>
                <w:szCs w:val="16"/>
              </w:rPr>
              <w:t>EGMs overall - monthly</w:t>
            </w:r>
          </w:p>
        </w:tc>
        <w:tc>
          <w:tcPr>
            <w:tcW w:w="992" w:type="dxa"/>
            <w:shd w:val="clear" w:color="auto" w:fill="auto"/>
            <w:vAlign w:val="bottom"/>
          </w:tcPr>
          <w:p w14:paraId="4D47FA6D"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5D5F0A47"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221A281A" w14:textId="77777777" w:rsidR="00491C93" w:rsidRPr="007B750E" w:rsidRDefault="00491C93" w:rsidP="00491C93">
            <w:pPr>
              <w:jc w:val="right"/>
              <w:rPr>
                <w:color w:val="000000"/>
                <w:sz w:val="16"/>
                <w:szCs w:val="16"/>
                <w:lang w:eastAsia="en-NZ"/>
              </w:rPr>
            </w:pPr>
          </w:p>
        </w:tc>
      </w:tr>
      <w:tr w:rsidR="00491C93" w:rsidRPr="001A61F1" w14:paraId="15669086" w14:textId="77777777" w:rsidTr="001C5E0E">
        <w:tc>
          <w:tcPr>
            <w:tcW w:w="5387" w:type="dxa"/>
          </w:tcPr>
          <w:p w14:paraId="56A4BAB7"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089BD0AE" w14:textId="77777777" w:rsidR="00491C93" w:rsidRPr="00BA3C70" w:rsidRDefault="00491C93" w:rsidP="00491C93">
            <w:pPr>
              <w:jc w:val="right"/>
              <w:rPr>
                <w:color w:val="000000"/>
                <w:sz w:val="16"/>
                <w:szCs w:val="16"/>
                <w:lang w:eastAsia="en-NZ"/>
              </w:rPr>
            </w:pPr>
            <w:r w:rsidRPr="00BA3C70">
              <w:rPr>
                <w:color w:val="000000"/>
                <w:sz w:val="16"/>
                <w:szCs w:val="16"/>
                <w:lang w:eastAsia="en-NZ"/>
              </w:rPr>
              <w:t>1.00</w:t>
            </w:r>
          </w:p>
        </w:tc>
        <w:tc>
          <w:tcPr>
            <w:tcW w:w="1276" w:type="dxa"/>
            <w:shd w:val="clear" w:color="auto" w:fill="auto"/>
            <w:vAlign w:val="bottom"/>
          </w:tcPr>
          <w:p w14:paraId="5CA160A7" w14:textId="77777777" w:rsidR="00491C93" w:rsidRPr="00BA3C70" w:rsidRDefault="00491C93" w:rsidP="00491C93">
            <w:pPr>
              <w:jc w:val="right"/>
              <w:rPr>
                <w:color w:val="000000"/>
                <w:sz w:val="16"/>
                <w:szCs w:val="16"/>
                <w:lang w:eastAsia="en-NZ"/>
              </w:rPr>
            </w:pPr>
          </w:p>
        </w:tc>
        <w:tc>
          <w:tcPr>
            <w:tcW w:w="850" w:type="dxa"/>
            <w:shd w:val="clear" w:color="auto" w:fill="auto"/>
            <w:vAlign w:val="bottom"/>
          </w:tcPr>
          <w:p w14:paraId="3605BE69" w14:textId="77777777" w:rsidR="00491C93" w:rsidRPr="00BA3C70" w:rsidRDefault="00491C93" w:rsidP="00491C93">
            <w:pPr>
              <w:jc w:val="right"/>
              <w:rPr>
                <w:color w:val="000000"/>
                <w:sz w:val="16"/>
                <w:szCs w:val="16"/>
                <w:lang w:eastAsia="en-NZ"/>
              </w:rPr>
            </w:pPr>
          </w:p>
        </w:tc>
      </w:tr>
      <w:tr w:rsidR="00491C93" w:rsidRPr="001A61F1" w14:paraId="4411709E" w14:textId="77777777" w:rsidTr="00173F02">
        <w:tc>
          <w:tcPr>
            <w:tcW w:w="5387" w:type="dxa"/>
          </w:tcPr>
          <w:p w14:paraId="1AC31802"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497CC876" w14:textId="77777777" w:rsidR="00491C93" w:rsidRPr="00BA3C70" w:rsidRDefault="00491C93" w:rsidP="00491C93">
            <w:pPr>
              <w:jc w:val="right"/>
              <w:rPr>
                <w:color w:val="000000"/>
                <w:sz w:val="16"/>
                <w:szCs w:val="16"/>
                <w:lang w:eastAsia="en-NZ"/>
              </w:rPr>
            </w:pPr>
            <w:r w:rsidRPr="00BA3C70">
              <w:rPr>
                <w:color w:val="000000"/>
                <w:sz w:val="16"/>
                <w:szCs w:val="16"/>
                <w:lang w:eastAsia="en-NZ"/>
              </w:rPr>
              <w:t>24.86</w:t>
            </w:r>
          </w:p>
        </w:tc>
        <w:tc>
          <w:tcPr>
            <w:tcW w:w="1276" w:type="dxa"/>
            <w:shd w:val="clear" w:color="auto" w:fill="auto"/>
            <w:vAlign w:val="bottom"/>
          </w:tcPr>
          <w:p w14:paraId="5323387F" w14:textId="77777777" w:rsidR="00491C93" w:rsidRPr="00BA3C70" w:rsidRDefault="00491C93" w:rsidP="00491C93">
            <w:pPr>
              <w:jc w:val="right"/>
              <w:rPr>
                <w:color w:val="000000"/>
                <w:sz w:val="16"/>
                <w:szCs w:val="16"/>
                <w:lang w:eastAsia="en-NZ"/>
              </w:rPr>
            </w:pPr>
            <w:r w:rsidRPr="00BA3C70">
              <w:rPr>
                <w:color w:val="000000"/>
                <w:sz w:val="16"/>
                <w:szCs w:val="16"/>
                <w:lang w:eastAsia="en-NZ"/>
              </w:rPr>
              <w:t>(13.1, 47.17)</w:t>
            </w:r>
          </w:p>
        </w:tc>
        <w:tc>
          <w:tcPr>
            <w:tcW w:w="850" w:type="dxa"/>
            <w:shd w:val="clear" w:color="auto" w:fill="auto"/>
            <w:vAlign w:val="bottom"/>
          </w:tcPr>
          <w:p w14:paraId="093B53FB" w14:textId="77777777" w:rsidR="00491C93" w:rsidRPr="00BA3C70" w:rsidRDefault="00491C93" w:rsidP="00491C93">
            <w:pPr>
              <w:jc w:val="right"/>
              <w:rPr>
                <w:color w:val="000000"/>
                <w:sz w:val="16"/>
                <w:szCs w:val="16"/>
                <w:lang w:eastAsia="en-NZ"/>
              </w:rPr>
            </w:pPr>
            <w:r w:rsidRPr="00BA3C70">
              <w:rPr>
                <w:color w:val="000000"/>
                <w:sz w:val="16"/>
                <w:szCs w:val="16"/>
                <w:lang w:eastAsia="en-NZ"/>
              </w:rPr>
              <w:t>&lt;0.0001</w:t>
            </w:r>
          </w:p>
        </w:tc>
      </w:tr>
      <w:tr w:rsidR="00491C93" w:rsidRPr="001A61F1" w14:paraId="4BFFB126" w14:textId="77777777" w:rsidTr="001C5E0E">
        <w:tc>
          <w:tcPr>
            <w:tcW w:w="5387" w:type="dxa"/>
            <w:vAlign w:val="bottom"/>
          </w:tcPr>
          <w:p w14:paraId="6C1A2C38" w14:textId="77777777" w:rsidR="00491C93" w:rsidRPr="003F15C0" w:rsidRDefault="00491C93" w:rsidP="00491C93">
            <w:pPr>
              <w:spacing w:before="20"/>
              <w:jc w:val="both"/>
              <w:rPr>
                <w:b/>
                <w:sz w:val="16"/>
                <w:szCs w:val="16"/>
              </w:rPr>
            </w:pPr>
            <w:r>
              <w:rPr>
                <w:b/>
                <w:sz w:val="16"/>
                <w:szCs w:val="16"/>
              </w:rPr>
              <w:t>NZ</w:t>
            </w:r>
            <w:r w:rsidRPr="003F15C0">
              <w:rPr>
                <w:b/>
                <w:sz w:val="16"/>
                <w:szCs w:val="16"/>
              </w:rPr>
              <w:t xml:space="preserve"> internet gambling - monthly</w:t>
            </w:r>
          </w:p>
        </w:tc>
        <w:tc>
          <w:tcPr>
            <w:tcW w:w="992" w:type="dxa"/>
            <w:shd w:val="clear" w:color="auto" w:fill="auto"/>
            <w:vAlign w:val="bottom"/>
          </w:tcPr>
          <w:p w14:paraId="431F63D8"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264626EB"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6C4FC9DA" w14:textId="77777777" w:rsidR="00491C93" w:rsidRPr="007B750E" w:rsidRDefault="00491C93" w:rsidP="00491C93">
            <w:pPr>
              <w:jc w:val="right"/>
              <w:rPr>
                <w:color w:val="000000"/>
                <w:sz w:val="16"/>
                <w:szCs w:val="16"/>
                <w:lang w:eastAsia="en-NZ"/>
              </w:rPr>
            </w:pPr>
          </w:p>
        </w:tc>
      </w:tr>
      <w:tr w:rsidR="00491C93" w:rsidRPr="001A61F1" w14:paraId="24909FDF" w14:textId="77777777" w:rsidTr="001A66A4">
        <w:tc>
          <w:tcPr>
            <w:tcW w:w="5387" w:type="dxa"/>
          </w:tcPr>
          <w:p w14:paraId="2B3BC983"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2FAE5DBD" w14:textId="77777777" w:rsidR="00491C93" w:rsidRPr="00BA4EEA" w:rsidRDefault="00491C93" w:rsidP="00491C93">
            <w:pPr>
              <w:jc w:val="right"/>
              <w:rPr>
                <w:color w:val="000000"/>
                <w:sz w:val="16"/>
                <w:szCs w:val="16"/>
                <w:lang w:eastAsia="en-NZ"/>
              </w:rPr>
            </w:pPr>
            <w:r w:rsidRPr="00BA4EEA">
              <w:rPr>
                <w:color w:val="000000"/>
                <w:sz w:val="16"/>
                <w:szCs w:val="16"/>
                <w:lang w:eastAsia="en-NZ"/>
              </w:rPr>
              <w:t>1.00</w:t>
            </w:r>
          </w:p>
        </w:tc>
        <w:tc>
          <w:tcPr>
            <w:tcW w:w="1276" w:type="dxa"/>
            <w:shd w:val="clear" w:color="auto" w:fill="auto"/>
            <w:vAlign w:val="bottom"/>
          </w:tcPr>
          <w:p w14:paraId="4F4EE983" w14:textId="77777777" w:rsidR="00491C93" w:rsidRPr="00BA4EEA" w:rsidRDefault="00491C93" w:rsidP="00491C93">
            <w:pPr>
              <w:jc w:val="right"/>
              <w:rPr>
                <w:color w:val="000000"/>
                <w:sz w:val="16"/>
                <w:szCs w:val="16"/>
                <w:lang w:eastAsia="en-NZ"/>
              </w:rPr>
            </w:pPr>
          </w:p>
        </w:tc>
        <w:tc>
          <w:tcPr>
            <w:tcW w:w="850" w:type="dxa"/>
            <w:shd w:val="clear" w:color="auto" w:fill="auto"/>
            <w:vAlign w:val="bottom"/>
          </w:tcPr>
          <w:p w14:paraId="216115DE" w14:textId="77777777" w:rsidR="00491C93" w:rsidRPr="00BA4EEA" w:rsidRDefault="00491C93" w:rsidP="00491C93">
            <w:pPr>
              <w:jc w:val="right"/>
              <w:rPr>
                <w:color w:val="000000"/>
                <w:sz w:val="16"/>
                <w:szCs w:val="16"/>
                <w:lang w:eastAsia="en-NZ"/>
              </w:rPr>
            </w:pPr>
          </w:p>
        </w:tc>
      </w:tr>
      <w:tr w:rsidR="00491C93" w:rsidRPr="001A61F1" w14:paraId="0F667CF4" w14:textId="77777777" w:rsidTr="00173F02">
        <w:tc>
          <w:tcPr>
            <w:tcW w:w="5387" w:type="dxa"/>
          </w:tcPr>
          <w:p w14:paraId="5B51E6A8"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700AA128" w14:textId="77777777" w:rsidR="00491C93" w:rsidRPr="00BA4EEA" w:rsidRDefault="00491C93" w:rsidP="00491C93">
            <w:pPr>
              <w:jc w:val="right"/>
              <w:rPr>
                <w:color w:val="000000"/>
                <w:sz w:val="16"/>
                <w:szCs w:val="16"/>
                <w:lang w:eastAsia="en-NZ"/>
              </w:rPr>
            </w:pPr>
            <w:r w:rsidRPr="00BA4EEA">
              <w:rPr>
                <w:color w:val="000000"/>
                <w:sz w:val="16"/>
                <w:szCs w:val="16"/>
                <w:lang w:eastAsia="en-NZ"/>
              </w:rPr>
              <w:t>3.19</w:t>
            </w:r>
          </w:p>
        </w:tc>
        <w:tc>
          <w:tcPr>
            <w:tcW w:w="1276" w:type="dxa"/>
            <w:shd w:val="clear" w:color="auto" w:fill="auto"/>
            <w:vAlign w:val="bottom"/>
          </w:tcPr>
          <w:p w14:paraId="62D56B79" w14:textId="77777777" w:rsidR="00491C93" w:rsidRPr="00BA4EEA" w:rsidRDefault="00491C93" w:rsidP="00491C93">
            <w:pPr>
              <w:jc w:val="right"/>
              <w:rPr>
                <w:color w:val="000000"/>
                <w:sz w:val="16"/>
                <w:szCs w:val="16"/>
                <w:lang w:eastAsia="en-NZ"/>
              </w:rPr>
            </w:pPr>
            <w:r w:rsidRPr="00BA4EEA">
              <w:rPr>
                <w:color w:val="000000"/>
                <w:sz w:val="16"/>
                <w:szCs w:val="16"/>
                <w:lang w:eastAsia="en-NZ"/>
              </w:rPr>
              <w:t>(1.33, 7.62)</w:t>
            </w:r>
          </w:p>
        </w:tc>
        <w:tc>
          <w:tcPr>
            <w:tcW w:w="850" w:type="dxa"/>
            <w:shd w:val="clear" w:color="auto" w:fill="auto"/>
            <w:vAlign w:val="bottom"/>
          </w:tcPr>
          <w:p w14:paraId="3088E92F" w14:textId="77777777" w:rsidR="00491C93" w:rsidRPr="00BA4EEA" w:rsidRDefault="00491C93" w:rsidP="00491C93">
            <w:pPr>
              <w:jc w:val="right"/>
              <w:rPr>
                <w:color w:val="000000"/>
                <w:sz w:val="16"/>
                <w:szCs w:val="16"/>
                <w:lang w:eastAsia="en-NZ"/>
              </w:rPr>
            </w:pPr>
            <w:r w:rsidRPr="00BA4EEA">
              <w:rPr>
                <w:color w:val="000000"/>
                <w:sz w:val="16"/>
                <w:szCs w:val="16"/>
                <w:lang w:eastAsia="en-NZ"/>
              </w:rPr>
              <w:t>0.009</w:t>
            </w:r>
          </w:p>
        </w:tc>
      </w:tr>
      <w:tr w:rsidR="00491C93" w:rsidRPr="001A61F1" w14:paraId="268243D3" w14:textId="77777777" w:rsidTr="001C5E0E">
        <w:tc>
          <w:tcPr>
            <w:tcW w:w="5387" w:type="dxa"/>
            <w:vAlign w:val="bottom"/>
          </w:tcPr>
          <w:p w14:paraId="69D45E0D" w14:textId="77777777" w:rsidR="00491C93" w:rsidRPr="003F15C0" w:rsidRDefault="00491C93" w:rsidP="00491C93">
            <w:pPr>
              <w:spacing w:before="20"/>
              <w:jc w:val="both"/>
              <w:rPr>
                <w:b/>
                <w:sz w:val="16"/>
                <w:szCs w:val="16"/>
              </w:rPr>
            </w:pPr>
            <w:r w:rsidRPr="003F15C0">
              <w:rPr>
                <w:b/>
                <w:sz w:val="16"/>
                <w:szCs w:val="16"/>
              </w:rPr>
              <w:t>Overseas internet gambling - monthly</w:t>
            </w:r>
          </w:p>
        </w:tc>
        <w:tc>
          <w:tcPr>
            <w:tcW w:w="992" w:type="dxa"/>
            <w:shd w:val="clear" w:color="auto" w:fill="auto"/>
            <w:vAlign w:val="bottom"/>
          </w:tcPr>
          <w:p w14:paraId="13290885"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28388A18"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1C1681E7" w14:textId="77777777" w:rsidR="00491C93" w:rsidRPr="007B750E" w:rsidRDefault="00491C93" w:rsidP="00491C93">
            <w:pPr>
              <w:jc w:val="right"/>
              <w:rPr>
                <w:color w:val="000000"/>
                <w:sz w:val="16"/>
                <w:szCs w:val="16"/>
                <w:lang w:eastAsia="en-NZ"/>
              </w:rPr>
            </w:pPr>
          </w:p>
        </w:tc>
      </w:tr>
      <w:tr w:rsidR="00491C93" w:rsidRPr="001A61F1" w14:paraId="1C211D97" w14:textId="77777777" w:rsidTr="001A66A4">
        <w:tc>
          <w:tcPr>
            <w:tcW w:w="5387" w:type="dxa"/>
          </w:tcPr>
          <w:p w14:paraId="6E70C560"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7750D7E7" w14:textId="77777777" w:rsidR="00491C93" w:rsidRPr="00BA4EEA" w:rsidRDefault="00491C93" w:rsidP="00491C93">
            <w:pPr>
              <w:jc w:val="right"/>
              <w:rPr>
                <w:color w:val="000000"/>
                <w:sz w:val="16"/>
                <w:szCs w:val="16"/>
                <w:lang w:eastAsia="en-NZ"/>
              </w:rPr>
            </w:pPr>
            <w:r w:rsidRPr="00BA4EEA">
              <w:rPr>
                <w:color w:val="000000"/>
                <w:sz w:val="16"/>
                <w:szCs w:val="16"/>
                <w:lang w:eastAsia="en-NZ"/>
              </w:rPr>
              <w:t>1.00</w:t>
            </w:r>
          </w:p>
        </w:tc>
        <w:tc>
          <w:tcPr>
            <w:tcW w:w="1276" w:type="dxa"/>
            <w:shd w:val="clear" w:color="auto" w:fill="auto"/>
            <w:vAlign w:val="bottom"/>
          </w:tcPr>
          <w:p w14:paraId="7377A5A3" w14:textId="77777777" w:rsidR="00491C93" w:rsidRPr="00BA4EEA" w:rsidRDefault="00491C93" w:rsidP="00491C93">
            <w:pPr>
              <w:jc w:val="right"/>
              <w:rPr>
                <w:color w:val="000000"/>
                <w:sz w:val="16"/>
                <w:szCs w:val="16"/>
                <w:lang w:eastAsia="en-NZ"/>
              </w:rPr>
            </w:pPr>
          </w:p>
        </w:tc>
        <w:tc>
          <w:tcPr>
            <w:tcW w:w="850" w:type="dxa"/>
            <w:shd w:val="clear" w:color="auto" w:fill="auto"/>
            <w:vAlign w:val="bottom"/>
          </w:tcPr>
          <w:p w14:paraId="501A4DA2" w14:textId="77777777" w:rsidR="00491C93" w:rsidRPr="00BA4EEA" w:rsidRDefault="00491C93" w:rsidP="00491C93">
            <w:pPr>
              <w:jc w:val="right"/>
              <w:rPr>
                <w:color w:val="000000"/>
                <w:sz w:val="16"/>
                <w:szCs w:val="16"/>
                <w:lang w:eastAsia="en-NZ"/>
              </w:rPr>
            </w:pPr>
          </w:p>
        </w:tc>
      </w:tr>
      <w:tr w:rsidR="00491C93" w:rsidRPr="001A61F1" w14:paraId="52F25101" w14:textId="77777777" w:rsidTr="00173F02">
        <w:tc>
          <w:tcPr>
            <w:tcW w:w="5387" w:type="dxa"/>
          </w:tcPr>
          <w:p w14:paraId="3D78E640"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6225E829" w14:textId="77777777" w:rsidR="00491C93" w:rsidRPr="00BA4EEA" w:rsidRDefault="00491C93" w:rsidP="00491C93">
            <w:pPr>
              <w:jc w:val="right"/>
              <w:rPr>
                <w:color w:val="000000"/>
                <w:sz w:val="16"/>
                <w:szCs w:val="16"/>
                <w:lang w:eastAsia="en-NZ"/>
              </w:rPr>
            </w:pPr>
            <w:r w:rsidRPr="00BA4EEA">
              <w:rPr>
                <w:color w:val="000000"/>
                <w:sz w:val="16"/>
                <w:szCs w:val="16"/>
                <w:lang w:eastAsia="en-NZ"/>
              </w:rPr>
              <w:t>17.68</w:t>
            </w:r>
          </w:p>
        </w:tc>
        <w:tc>
          <w:tcPr>
            <w:tcW w:w="1276" w:type="dxa"/>
            <w:shd w:val="clear" w:color="auto" w:fill="auto"/>
            <w:vAlign w:val="bottom"/>
          </w:tcPr>
          <w:p w14:paraId="63484E99" w14:textId="77777777" w:rsidR="00491C93" w:rsidRPr="00BA4EEA" w:rsidRDefault="00491C93" w:rsidP="00491C93">
            <w:pPr>
              <w:jc w:val="right"/>
              <w:rPr>
                <w:color w:val="000000"/>
                <w:sz w:val="16"/>
                <w:szCs w:val="16"/>
                <w:lang w:eastAsia="en-NZ"/>
              </w:rPr>
            </w:pPr>
            <w:r w:rsidRPr="00BA4EEA">
              <w:rPr>
                <w:color w:val="000000"/>
                <w:sz w:val="16"/>
                <w:szCs w:val="16"/>
                <w:lang w:eastAsia="en-NZ"/>
              </w:rPr>
              <w:t>(4.47, 69.94)</w:t>
            </w:r>
          </w:p>
        </w:tc>
        <w:tc>
          <w:tcPr>
            <w:tcW w:w="850" w:type="dxa"/>
            <w:shd w:val="clear" w:color="auto" w:fill="auto"/>
            <w:vAlign w:val="bottom"/>
          </w:tcPr>
          <w:p w14:paraId="67FC3E63" w14:textId="77777777" w:rsidR="00491C93" w:rsidRPr="00BA4EEA" w:rsidRDefault="00491C93" w:rsidP="00491C93">
            <w:pPr>
              <w:jc w:val="right"/>
              <w:rPr>
                <w:color w:val="000000"/>
                <w:sz w:val="16"/>
                <w:szCs w:val="16"/>
                <w:lang w:eastAsia="en-NZ"/>
              </w:rPr>
            </w:pPr>
            <w:r w:rsidRPr="00BA4EEA">
              <w:rPr>
                <w:color w:val="000000"/>
                <w:sz w:val="16"/>
                <w:szCs w:val="16"/>
                <w:lang w:eastAsia="en-NZ"/>
              </w:rPr>
              <w:t>&lt;0.0001</w:t>
            </w:r>
          </w:p>
        </w:tc>
      </w:tr>
      <w:tr w:rsidR="00491C93" w:rsidRPr="001A61F1" w14:paraId="101FEBC2" w14:textId="77777777" w:rsidTr="001C5E0E">
        <w:tc>
          <w:tcPr>
            <w:tcW w:w="5387" w:type="dxa"/>
            <w:vAlign w:val="bottom"/>
          </w:tcPr>
          <w:p w14:paraId="351A6290" w14:textId="77777777" w:rsidR="00491C93" w:rsidRPr="003F15C0" w:rsidRDefault="00491C93" w:rsidP="00491C93">
            <w:pPr>
              <w:spacing w:before="20"/>
              <w:jc w:val="both"/>
              <w:rPr>
                <w:b/>
                <w:sz w:val="16"/>
                <w:szCs w:val="16"/>
              </w:rPr>
            </w:pPr>
            <w:r w:rsidRPr="003F15C0">
              <w:rPr>
                <w:b/>
                <w:sz w:val="16"/>
                <w:szCs w:val="16"/>
              </w:rPr>
              <w:t xml:space="preserve">Overseas </w:t>
            </w:r>
            <w:r>
              <w:rPr>
                <w:b/>
                <w:sz w:val="16"/>
                <w:szCs w:val="16"/>
              </w:rPr>
              <w:t>offshore</w:t>
            </w:r>
            <w:r w:rsidRPr="003F15C0">
              <w:rPr>
                <w:b/>
                <w:sz w:val="16"/>
                <w:szCs w:val="16"/>
              </w:rPr>
              <w:t xml:space="preserve"> gambling - monthly</w:t>
            </w:r>
          </w:p>
        </w:tc>
        <w:tc>
          <w:tcPr>
            <w:tcW w:w="992" w:type="dxa"/>
            <w:shd w:val="clear" w:color="auto" w:fill="auto"/>
            <w:vAlign w:val="bottom"/>
          </w:tcPr>
          <w:p w14:paraId="504407ED"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5CF0F23A"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228980D3" w14:textId="77777777" w:rsidR="00491C93" w:rsidRPr="007B750E" w:rsidRDefault="00491C93" w:rsidP="00491C93">
            <w:pPr>
              <w:jc w:val="right"/>
              <w:rPr>
                <w:color w:val="000000"/>
                <w:sz w:val="16"/>
                <w:szCs w:val="16"/>
                <w:lang w:eastAsia="en-NZ"/>
              </w:rPr>
            </w:pPr>
          </w:p>
        </w:tc>
      </w:tr>
      <w:tr w:rsidR="00491C93" w:rsidRPr="001A61F1" w14:paraId="152D1B90" w14:textId="77777777" w:rsidTr="001A66A4">
        <w:tc>
          <w:tcPr>
            <w:tcW w:w="5387" w:type="dxa"/>
          </w:tcPr>
          <w:p w14:paraId="33A4216F"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3AA35C64" w14:textId="77777777" w:rsidR="00491C93" w:rsidRPr="00BA4EEA" w:rsidRDefault="00491C93" w:rsidP="00491C93">
            <w:pPr>
              <w:jc w:val="right"/>
              <w:rPr>
                <w:color w:val="000000"/>
                <w:sz w:val="16"/>
                <w:szCs w:val="16"/>
                <w:lang w:eastAsia="en-NZ"/>
              </w:rPr>
            </w:pPr>
            <w:r w:rsidRPr="00BA4EEA">
              <w:rPr>
                <w:color w:val="000000"/>
                <w:sz w:val="16"/>
                <w:szCs w:val="16"/>
                <w:lang w:eastAsia="en-NZ"/>
              </w:rPr>
              <w:t>1.00</w:t>
            </w:r>
          </w:p>
        </w:tc>
        <w:tc>
          <w:tcPr>
            <w:tcW w:w="1276" w:type="dxa"/>
            <w:shd w:val="clear" w:color="auto" w:fill="auto"/>
            <w:vAlign w:val="bottom"/>
          </w:tcPr>
          <w:p w14:paraId="281C4398" w14:textId="77777777" w:rsidR="00491C93" w:rsidRPr="00BA4EEA" w:rsidRDefault="00491C93" w:rsidP="00491C93">
            <w:pPr>
              <w:jc w:val="right"/>
              <w:rPr>
                <w:color w:val="000000"/>
                <w:sz w:val="16"/>
                <w:szCs w:val="16"/>
                <w:lang w:eastAsia="en-NZ"/>
              </w:rPr>
            </w:pPr>
          </w:p>
        </w:tc>
        <w:tc>
          <w:tcPr>
            <w:tcW w:w="850" w:type="dxa"/>
            <w:shd w:val="clear" w:color="auto" w:fill="auto"/>
            <w:vAlign w:val="bottom"/>
          </w:tcPr>
          <w:p w14:paraId="5F59DAD6" w14:textId="77777777" w:rsidR="00491C93" w:rsidRPr="00BA4EEA" w:rsidRDefault="00491C93" w:rsidP="00491C93">
            <w:pPr>
              <w:jc w:val="right"/>
              <w:rPr>
                <w:color w:val="000000"/>
                <w:sz w:val="16"/>
                <w:szCs w:val="16"/>
                <w:lang w:eastAsia="en-NZ"/>
              </w:rPr>
            </w:pPr>
          </w:p>
        </w:tc>
      </w:tr>
      <w:tr w:rsidR="00491C93" w:rsidRPr="001A61F1" w14:paraId="43E38941" w14:textId="77777777" w:rsidTr="00173F02">
        <w:tc>
          <w:tcPr>
            <w:tcW w:w="5387" w:type="dxa"/>
          </w:tcPr>
          <w:p w14:paraId="7E87124A"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1ED59CD1" w14:textId="77777777" w:rsidR="00491C93" w:rsidRPr="00BA4EEA" w:rsidRDefault="00491C93" w:rsidP="00491C93">
            <w:pPr>
              <w:jc w:val="right"/>
              <w:rPr>
                <w:color w:val="000000"/>
                <w:sz w:val="16"/>
                <w:szCs w:val="16"/>
                <w:lang w:eastAsia="en-NZ"/>
              </w:rPr>
            </w:pPr>
            <w:r w:rsidRPr="00BA4EEA">
              <w:rPr>
                <w:color w:val="000000"/>
                <w:sz w:val="16"/>
                <w:szCs w:val="16"/>
                <w:lang w:eastAsia="en-NZ"/>
              </w:rPr>
              <w:t>17.07</w:t>
            </w:r>
          </w:p>
        </w:tc>
        <w:tc>
          <w:tcPr>
            <w:tcW w:w="1276" w:type="dxa"/>
            <w:shd w:val="clear" w:color="auto" w:fill="auto"/>
            <w:vAlign w:val="bottom"/>
          </w:tcPr>
          <w:p w14:paraId="03EDC230" w14:textId="77777777" w:rsidR="00491C93" w:rsidRPr="00BA4EEA" w:rsidRDefault="00491C93" w:rsidP="00491C93">
            <w:pPr>
              <w:jc w:val="right"/>
              <w:rPr>
                <w:color w:val="000000"/>
                <w:sz w:val="16"/>
                <w:szCs w:val="16"/>
                <w:lang w:eastAsia="en-NZ"/>
              </w:rPr>
            </w:pPr>
            <w:r w:rsidRPr="00BA4EEA">
              <w:rPr>
                <w:color w:val="000000"/>
                <w:sz w:val="16"/>
                <w:szCs w:val="16"/>
                <w:lang w:eastAsia="en-NZ"/>
              </w:rPr>
              <w:t>(4.50, 64.81)</w:t>
            </w:r>
          </w:p>
        </w:tc>
        <w:tc>
          <w:tcPr>
            <w:tcW w:w="850" w:type="dxa"/>
            <w:shd w:val="clear" w:color="auto" w:fill="auto"/>
            <w:vAlign w:val="bottom"/>
          </w:tcPr>
          <w:p w14:paraId="533F711F" w14:textId="77777777" w:rsidR="00491C93" w:rsidRPr="00BA4EEA" w:rsidRDefault="00491C93" w:rsidP="00491C93">
            <w:pPr>
              <w:jc w:val="right"/>
              <w:rPr>
                <w:color w:val="000000"/>
                <w:sz w:val="16"/>
                <w:szCs w:val="16"/>
                <w:lang w:eastAsia="en-NZ"/>
              </w:rPr>
            </w:pPr>
            <w:r w:rsidRPr="00BA4EEA">
              <w:rPr>
                <w:color w:val="000000"/>
                <w:sz w:val="16"/>
                <w:szCs w:val="16"/>
                <w:lang w:eastAsia="en-NZ"/>
              </w:rPr>
              <w:t>&lt;0.0001</w:t>
            </w:r>
          </w:p>
        </w:tc>
      </w:tr>
      <w:tr w:rsidR="00491C93" w:rsidRPr="001A61F1" w14:paraId="6665D2A1" w14:textId="77777777" w:rsidTr="001C5E0E">
        <w:tc>
          <w:tcPr>
            <w:tcW w:w="5387" w:type="dxa"/>
            <w:vAlign w:val="bottom"/>
          </w:tcPr>
          <w:p w14:paraId="0B155809" w14:textId="77777777" w:rsidR="00491C93" w:rsidRPr="003F15C0" w:rsidRDefault="00491C93" w:rsidP="00491C93">
            <w:pPr>
              <w:spacing w:before="20"/>
              <w:jc w:val="both"/>
              <w:rPr>
                <w:b/>
                <w:sz w:val="16"/>
                <w:szCs w:val="16"/>
              </w:rPr>
            </w:pPr>
            <w:r w:rsidRPr="003F15C0">
              <w:rPr>
                <w:b/>
                <w:sz w:val="16"/>
                <w:szCs w:val="16"/>
              </w:rPr>
              <w:t>Overseas internet</w:t>
            </w:r>
            <w:r>
              <w:rPr>
                <w:b/>
                <w:sz w:val="16"/>
                <w:szCs w:val="16"/>
              </w:rPr>
              <w:t>/offshore</w:t>
            </w:r>
            <w:r w:rsidRPr="003F15C0">
              <w:rPr>
                <w:b/>
                <w:sz w:val="16"/>
                <w:szCs w:val="16"/>
              </w:rPr>
              <w:t xml:space="preserve"> gambling</w:t>
            </w:r>
            <w:r>
              <w:rPr>
                <w:b/>
                <w:sz w:val="16"/>
                <w:szCs w:val="16"/>
              </w:rPr>
              <w:t xml:space="preserve"> overall </w:t>
            </w:r>
            <w:r w:rsidRPr="003F15C0">
              <w:rPr>
                <w:b/>
                <w:sz w:val="16"/>
                <w:szCs w:val="16"/>
              </w:rPr>
              <w:t xml:space="preserve"> - monthly</w:t>
            </w:r>
          </w:p>
        </w:tc>
        <w:tc>
          <w:tcPr>
            <w:tcW w:w="992" w:type="dxa"/>
            <w:shd w:val="clear" w:color="auto" w:fill="auto"/>
            <w:vAlign w:val="bottom"/>
          </w:tcPr>
          <w:p w14:paraId="4CDF0771"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232D6068"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1ED82DE8" w14:textId="77777777" w:rsidR="00491C93" w:rsidRPr="007B750E" w:rsidRDefault="00491C93" w:rsidP="00491C93">
            <w:pPr>
              <w:jc w:val="right"/>
              <w:rPr>
                <w:color w:val="000000"/>
                <w:sz w:val="16"/>
                <w:szCs w:val="16"/>
                <w:lang w:eastAsia="en-NZ"/>
              </w:rPr>
            </w:pPr>
          </w:p>
        </w:tc>
      </w:tr>
      <w:tr w:rsidR="00491C93" w:rsidRPr="001A61F1" w14:paraId="03520D0D" w14:textId="77777777" w:rsidTr="001A66A4">
        <w:tc>
          <w:tcPr>
            <w:tcW w:w="5387" w:type="dxa"/>
          </w:tcPr>
          <w:p w14:paraId="6B4E50EA"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36830676" w14:textId="77777777" w:rsidR="00491C93" w:rsidRPr="00BA4EEA" w:rsidRDefault="00491C93" w:rsidP="00491C93">
            <w:pPr>
              <w:jc w:val="right"/>
              <w:rPr>
                <w:color w:val="000000"/>
                <w:sz w:val="16"/>
                <w:szCs w:val="16"/>
                <w:lang w:eastAsia="en-NZ"/>
              </w:rPr>
            </w:pPr>
            <w:r w:rsidRPr="00BA4EEA">
              <w:rPr>
                <w:color w:val="000000"/>
                <w:sz w:val="16"/>
                <w:szCs w:val="16"/>
                <w:lang w:eastAsia="en-NZ"/>
              </w:rPr>
              <w:t>1.00</w:t>
            </w:r>
          </w:p>
        </w:tc>
        <w:tc>
          <w:tcPr>
            <w:tcW w:w="1276" w:type="dxa"/>
            <w:shd w:val="clear" w:color="auto" w:fill="auto"/>
            <w:vAlign w:val="bottom"/>
          </w:tcPr>
          <w:p w14:paraId="5B9BB49B" w14:textId="77777777" w:rsidR="00491C93" w:rsidRPr="00BA4EEA" w:rsidRDefault="00491C93" w:rsidP="00491C93">
            <w:pPr>
              <w:jc w:val="right"/>
              <w:rPr>
                <w:color w:val="000000"/>
                <w:sz w:val="16"/>
                <w:szCs w:val="16"/>
                <w:lang w:eastAsia="en-NZ"/>
              </w:rPr>
            </w:pPr>
          </w:p>
        </w:tc>
        <w:tc>
          <w:tcPr>
            <w:tcW w:w="850" w:type="dxa"/>
            <w:shd w:val="clear" w:color="auto" w:fill="auto"/>
            <w:vAlign w:val="bottom"/>
          </w:tcPr>
          <w:p w14:paraId="7F6C930B" w14:textId="77777777" w:rsidR="00491C93" w:rsidRPr="00BA4EEA" w:rsidRDefault="00491C93" w:rsidP="00491C93">
            <w:pPr>
              <w:jc w:val="right"/>
              <w:rPr>
                <w:color w:val="000000"/>
                <w:sz w:val="16"/>
                <w:szCs w:val="16"/>
                <w:lang w:eastAsia="en-NZ"/>
              </w:rPr>
            </w:pPr>
          </w:p>
        </w:tc>
      </w:tr>
      <w:tr w:rsidR="00491C93" w:rsidRPr="001A61F1" w14:paraId="4039649A" w14:textId="77777777" w:rsidTr="00173F02">
        <w:tc>
          <w:tcPr>
            <w:tcW w:w="5387" w:type="dxa"/>
          </w:tcPr>
          <w:p w14:paraId="7DCB6F88"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00829D03" w14:textId="77777777" w:rsidR="00491C93" w:rsidRPr="00BA4EEA" w:rsidRDefault="00491C93" w:rsidP="00491C93">
            <w:pPr>
              <w:jc w:val="right"/>
              <w:rPr>
                <w:color w:val="000000"/>
                <w:sz w:val="16"/>
                <w:szCs w:val="16"/>
                <w:lang w:eastAsia="en-NZ"/>
              </w:rPr>
            </w:pPr>
            <w:r w:rsidRPr="00BA4EEA">
              <w:rPr>
                <w:color w:val="000000"/>
                <w:sz w:val="16"/>
                <w:szCs w:val="16"/>
                <w:lang w:eastAsia="en-NZ"/>
              </w:rPr>
              <w:t>17.68</w:t>
            </w:r>
          </w:p>
        </w:tc>
        <w:tc>
          <w:tcPr>
            <w:tcW w:w="1276" w:type="dxa"/>
            <w:shd w:val="clear" w:color="auto" w:fill="auto"/>
            <w:vAlign w:val="bottom"/>
          </w:tcPr>
          <w:p w14:paraId="2DCE3629" w14:textId="77777777" w:rsidR="00491C93" w:rsidRPr="00BA4EEA" w:rsidRDefault="00491C93" w:rsidP="00491C93">
            <w:pPr>
              <w:jc w:val="right"/>
              <w:rPr>
                <w:color w:val="000000"/>
                <w:sz w:val="16"/>
                <w:szCs w:val="16"/>
                <w:lang w:eastAsia="en-NZ"/>
              </w:rPr>
            </w:pPr>
            <w:r w:rsidRPr="00BA4EEA">
              <w:rPr>
                <w:color w:val="000000"/>
                <w:sz w:val="16"/>
                <w:szCs w:val="16"/>
                <w:lang w:eastAsia="en-NZ"/>
              </w:rPr>
              <w:t>(4.47, 69.94)</w:t>
            </w:r>
          </w:p>
        </w:tc>
        <w:tc>
          <w:tcPr>
            <w:tcW w:w="850" w:type="dxa"/>
            <w:shd w:val="clear" w:color="auto" w:fill="auto"/>
            <w:vAlign w:val="bottom"/>
          </w:tcPr>
          <w:p w14:paraId="5B0093F7" w14:textId="77777777" w:rsidR="00491C93" w:rsidRPr="00BA4EEA" w:rsidRDefault="00491C93" w:rsidP="00491C93">
            <w:pPr>
              <w:jc w:val="right"/>
              <w:rPr>
                <w:color w:val="000000"/>
                <w:sz w:val="16"/>
                <w:szCs w:val="16"/>
                <w:lang w:eastAsia="en-NZ"/>
              </w:rPr>
            </w:pPr>
            <w:r w:rsidRPr="00BA4EEA">
              <w:rPr>
                <w:color w:val="000000"/>
                <w:sz w:val="16"/>
                <w:szCs w:val="16"/>
                <w:lang w:eastAsia="en-NZ"/>
              </w:rPr>
              <w:t>&lt;0.0001</w:t>
            </w:r>
          </w:p>
        </w:tc>
      </w:tr>
      <w:tr w:rsidR="00491C93" w:rsidRPr="001A61F1" w14:paraId="6653383F" w14:textId="77777777" w:rsidTr="001C5E0E">
        <w:tc>
          <w:tcPr>
            <w:tcW w:w="5387" w:type="dxa"/>
            <w:vAlign w:val="bottom"/>
          </w:tcPr>
          <w:p w14:paraId="74D53F75" w14:textId="77777777" w:rsidR="00491C93" w:rsidRPr="003F15C0" w:rsidRDefault="00491C93" w:rsidP="00491C93">
            <w:pPr>
              <w:spacing w:before="20"/>
              <w:jc w:val="both"/>
              <w:rPr>
                <w:b/>
                <w:sz w:val="16"/>
                <w:szCs w:val="16"/>
              </w:rPr>
            </w:pPr>
            <w:r>
              <w:rPr>
                <w:b/>
                <w:sz w:val="16"/>
                <w:szCs w:val="16"/>
              </w:rPr>
              <w:t>Gambling-type games not for money</w:t>
            </w:r>
            <w:r w:rsidRPr="003F15C0">
              <w:rPr>
                <w:b/>
                <w:sz w:val="16"/>
                <w:szCs w:val="16"/>
              </w:rPr>
              <w:t xml:space="preserve"> - monthly</w:t>
            </w:r>
          </w:p>
        </w:tc>
        <w:tc>
          <w:tcPr>
            <w:tcW w:w="992" w:type="dxa"/>
            <w:shd w:val="clear" w:color="auto" w:fill="auto"/>
            <w:vAlign w:val="bottom"/>
          </w:tcPr>
          <w:p w14:paraId="33F071B4"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2A46C628"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782CB61C" w14:textId="77777777" w:rsidR="00491C93" w:rsidRPr="007B750E" w:rsidRDefault="00491C93" w:rsidP="00491C93">
            <w:pPr>
              <w:jc w:val="right"/>
              <w:rPr>
                <w:color w:val="000000"/>
                <w:sz w:val="16"/>
                <w:szCs w:val="16"/>
                <w:lang w:eastAsia="en-NZ"/>
              </w:rPr>
            </w:pPr>
          </w:p>
        </w:tc>
      </w:tr>
      <w:tr w:rsidR="00491C93" w:rsidRPr="001A61F1" w14:paraId="3EC48D86" w14:textId="77777777" w:rsidTr="00BA4EEA">
        <w:tc>
          <w:tcPr>
            <w:tcW w:w="5387" w:type="dxa"/>
          </w:tcPr>
          <w:p w14:paraId="21A1AE44"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52A73753" w14:textId="77777777" w:rsidR="00491C93" w:rsidRPr="00BA4EEA" w:rsidRDefault="00491C93" w:rsidP="00491C93">
            <w:pPr>
              <w:jc w:val="right"/>
              <w:rPr>
                <w:color w:val="000000"/>
                <w:sz w:val="16"/>
                <w:szCs w:val="16"/>
                <w:lang w:eastAsia="en-NZ"/>
              </w:rPr>
            </w:pPr>
            <w:r w:rsidRPr="00BA4EEA">
              <w:rPr>
                <w:color w:val="000000"/>
                <w:sz w:val="16"/>
                <w:szCs w:val="16"/>
                <w:lang w:eastAsia="en-NZ"/>
              </w:rPr>
              <w:t>1.00</w:t>
            </w:r>
          </w:p>
        </w:tc>
        <w:tc>
          <w:tcPr>
            <w:tcW w:w="1276" w:type="dxa"/>
            <w:shd w:val="clear" w:color="auto" w:fill="auto"/>
            <w:vAlign w:val="bottom"/>
          </w:tcPr>
          <w:p w14:paraId="74025612" w14:textId="77777777" w:rsidR="00491C93" w:rsidRPr="00BA4EEA" w:rsidRDefault="00491C93" w:rsidP="00491C93">
            <w:pPr>
              <w:jc w:val="right"/>
              <w:rPr>
                <w:color w:val="000000"/>
                <w:sz w:val="16"/>
                <w:szCs w:val="16"/>
                <w:lang w:eastAsia="en-NZ"/>
              </w:rPr>
            </w:pPr>
          </w:p>
        </w:tc>
        <w:tc>
          <w:tcPr>
            <w:tcW w:w="850" w:type="dxa"/>
            <w:shd w:val="clear" w:color="auto" w:fill="auto"/>
            <w:vAlign w:val="bottom"/>
          </w:tcPr>
          <w:p w14:paraId="18ACF876" w14:textId="77777777" w:rsidR="00491C93" w:rsidRPr="00BA4EEA" w:rsidRDefault="00491C93" w:rsidP="00491C93">
            <w:pPr>
              <w:jc w:val="right"/>
              <w:rPr>
                <w:color w:val="000000"/>
                <w:sz w:val="16"/>
                <w:szCs w:val="16"/>
                <w:lang w:eastAsia="en-NZ"/>
              </w:rPr>
            </w:pPr>
          </w:p>
        </w:tc>
      </w:tr>
      <w:tr w:rsidR="00491C93" w:rsidRPr="001A61F1" w14:paraId="292CC086" w14:textId="77777777" w:rsidTr="00173F02">
        <w:tc>
          <w:tcPr>
            <w:tcW w:w="5387" w:type="dxa"/>
          </w:tcPr>
          <w:p w14:paraId="15763289"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727D77F9" w14:textId="77777777" w:rsidR="00491C93" w:rsidRPr="00BA4EEA" w:rsidRDefault="00491C93" w:rsidP="00491C93">
            <w:pPr>
              <w:jc w:val="right"/>
              <w:rPr>
                <w:color w:val="000000"/>
                <w:sz w:val="16"/>
                <w:szCs w:val="16"/>
                <w:lang w:eastAsia="en-NZ"/>
              </w:rPr>
            </w:pPr>
            <w:r w:rsidRPr="00BA4EEA">
              <w:rPr>
                <w:color w:val="000000"/>
                <w:sz w:val="16"/>
                <w:szCs w:val="16"/>
                <w:lang w:eastAsia="en-NZ"/>
              </w:rPr>
              <w:t>3.91</w:t>
            </w:r>
          </w:p>
        </w:tc>
        <w:tc>
          <w:tcPr>
            <w:tcW w:w="1276" w:type="dxa"/>
            <w:shd w:val="clear" w:color="auto" w:fill="auto"/>
            <w:vAlign w:val="bottom"/>
          </w:tcPr>
          <w:p w14:paraId="5270933A" w14:textId="77777777" w:rsidR="00491C93" w:rsidRPr="00BA4EEA" w:rsidRDefault="00491C93" w:rsidP="00491C93">
            <w:pPr>
              <w:jc w:val="right"/>
              <w:rPr>
                <w:color w:val="000000"/>
                <w:sz w:val="16"/>
                <w:szCs w:val="16"/>
                <w:lang w:eastAsia="en-NZ"/>
              </w:rPr>
            </w:pPr>
            <w:r w:rsidRPr="00BA4EEA">
              <w:rPr>
                <w:color w:val="000000"/>
                <w:sz w:val="16"/>
                <w:szCs w:val="16"/>
                <w:lang w:eastAsia="en-NZ"/>
              </w:rPr>
              <w:t>(2.25, 6.81)</w:t>
            </w:r>
          </w:p>
        </w:tc>
        <w:tc>
          <w:tcPr>
            <w:tcW w:w="850" w:type="dxa"/>
            <w:shd w:val="clear" w:color="auto" w:fill="auto"/>
            <w:vAlign w:val="bottom"/>
          </w:tcPr>
          <w:p w14:paraId="43CCF701" w14:textId="77777777" w:rsidR="00491C93" w:rsidRPr="00BA4EEA" w:rsidRDefault="00491C93" w:rsidP="00491C93">
            <w:pPr>
              <w:jc w:val="right"/>
              <w:rPr>
                <w:color w:val="000000"/>
                <w:sz w:val="16"/>
                <w:szCs w:val="16"/>
                <w:lang w:eastAsia="en-NZ"/>
              </w:rPr>
            </w:pPr>
            <w:r w:rsidRPr="00BA4EEA">
              <w:rPr>
                <w:color w:val="000000"/>
                <w:sz w:val="16"/>
                <w:szCs w:val="16"/>
                <w:lang w:eastAsia="en-NZ"/>
              </w:rPr>
              <w:t>&lt;.0001</w:t>
            </w:r>
          </w:p>
        </w:tc>
      </w:tr>
      <w:tr w:rsidR="00491C93" w:rsidRPr="001A61F1" w14:paraId="5AF6E25F" w14:textId="77777777" w:rsidTr="00BA4EEA">
        <w:tc>
          <w:tcPr>
            <w:tcW w:w="5387" w:type="dxa"/>
          </w:tcPr>
          <w:p w14:paraId="34E2A262" w14:textId="77777777" w:rsidR="00491C93" w:rsidRPr="003F15C0" w:rsidRDefault="00491C93" w:rsidP="00491C93">
            <w:pPr>
              <w:keepNext/>
              <w:spacing w:before="20"/>
              <w:rPr>
                <w:b/>
                <w:bCs/>
                <w:color w:val="000000"/>
                <w:sz w:val="16"/>
                <w:szCs w:val="16"/>
              </w:rPr>
            </w:pPr>
            <w:r w:rsidRPr="003F15C0">
              <w:rPr>
                <w:b/>
                <w:bCs/>
                <w:color w:val="000000"/>
                <w:sz w:val="16"/>
                <w:szCs w:val="16"/>
              </w:rPr>
              <w:t>Time spent playing EGMs in an average day (casino)</w:t>
            </w:r>
          </w:p>
        </w:tc>
        <w:tc>
          <w:tcPr>
            <w:tcW w:w="992" w:type="dxa"/>
            <w:shd w:val="clear" w:color="auto" w:fill="auto"/>
            <w:vAlign w:val="bottom"/>
          </w:tcPr>
          <w:p w14:paraId="757C4AF0" w14:textId="77777777" w:rsidR="00491C93" w:rsidRPr="007B750E" w:rsidRDefault="00491C93" w:rsidP="00491C93">
            <w:pPr>
              <w:keepNext/>
              <w:jc w:val="right"/>
              <w:rPr>
                <w:color w:val="000000"/>
                <w:sz w:val="16"/>
                <w:szCs w:val="16"/>
                <w:lang w:eastAsia="en-NZ"/>
              </w:rPr>
            </w:pPr>
          </w:p>
        </w:tc>
        <w:tc>
          <w:tcPr>
            <w:tcW w:w="1276" w:type="dxa"/>
            <w:shd w:val="clear" w:color="auto" w:fill="auto"/>
            <w:vAlign w:val="bottom"/>
          </w:tcPr>
          <w:p w14:paraId="3C53C203" w14:textId="77777777" w:rsidR="00491C93" w:rsidRPr="007B750E" w:rsidRDefault="00491C93" w:rsidP="00491C93">
            <w:pPr>
              <w:keepNext/>
              <w:jc w:val="right"/>
              <w:rPr>
                <w:color w:val="000000"/>
                <w:sz w:val="16"/>
                <w:szCs w:val="16"/>
                <w:lang w:eastAsia="en-NZ"/>
              </w:rPr>
            </w:pPr>
          </w:p>
        </w:tc>
        <w:tc>
          <w:tcPr>
            <w:tcW w:w="850" w:type="dxa"/>
            <w:shd w:val="clear" w:color="auto" w:fill="auto"/>
            <w:vAlign w:val="bottom"/>
          </w:tcPr>
          <w:p w14:paraId="7446CB6C" w14:textId="77777777" w:rsidR="00491C93" w:rsidRPr="007B750E" w:rsidRDefault="00491C93" w:rsidP="00491C93">
            <w:pPr>
              <w:keepNext/>
              <w:jc w:val="right"/>
              <w:rPr>
                <w:color w:val="000000"/>
                <w:sz w:val="16"/>
                <w:szCs w:val="16"/>
                <w:lang w:eastAsia="en-NZ"/>
              </w:rPr>
            </w:pPr>
          </w:p>
        </w:tc>
      </w:tr>
      <w:tr w:rsidR="00491C93" w:rsidRPr="001A61F1" w14:paraId="70228D7E" w14:textId="77777777" w:rsidTr="001C5E0E">
        <w:tc>
          <w:tcPr>
            <w:tcW w:w="5387" w:type="dxa"/>
          </w:tcPr>
          <w:p w14:paraId="4C574555" w14:textId="77777777" w:rsidR="00491C93" w:rsidRPr="003F15C0" w:rsidRDefault="00491C93" w:rsidP="00491C93">
            <w:pPr>
              <w:keepNext/>
              <w:spacing w:before="20"/>
              <w:ind w:left="176"/>
              <w:jc w:val="both"/>
              <w:rPr>
                <w:sz w:val="16"/>
                <w:szCs w:val="16"/>
              </w:rPr>
            </w:pPr>
            <w:r w:rsidRPr="003F15C0">
              <w:rPr>
                <w:sz w:val="16"/>
                <w:szCs w:val="16"/>
              </w:rPr>
              <w:t>No time</w:t>
            </w:r>
          </w:p>
        </w:tc>
        <w:tc>
          <w:tcPr>
            <w:tcW w:w="992" w:type="dxa"/>
            <w:shd w:val="clear" w:color="auto" w:fill="auto"/>
            <w:vAlign w:val="bottom"/>
          </w:tcPr>
          <w:p w14:paraId="4B0B9A28" w14:textId="77777777" w:rsidR="00491C93" w:rsidRPr="00BA4EEA" w:rsidRDefault="00491C93" w:rsidP="00491C93">
            <w:pPr>
              <w:jc w:val="right"/>
              <w:rPr>
                <w:color w:val="000000"/>
                <w:sz w:val="16"/>
                <w:szCs w:val="16"/>
                <w:lang w:eastAsia="en-NZ"/>
              </w:rPr>
            </w:pPr>
            <w:r w:rsidRPr="00BA4EEA">
              <w:rPr>
                <w:color w:val="000000"/>
                <w:sz w:val="16"/>
                <w:szCs w:val="16"/>
                <w:lang w:eastAsia="en-NZ"/>
              </w:rPr>
              <w:t>1.00</w:t>
            </w:r>
          </w:p>
        </w:tc>
        <w:tc>
          <w:tcPr>
            <w:tcW w:w="1276" w:type="dxa"/>
            <w:shd w:val="clear" w:color="auto" w:fill="auto"/>
            <w:vAlign w:val="bottom"/>
          </w:tcPr>
          <w:p w14:paraId="1725C6ED" w14:textId="77777777" w:rsidR="00491C93" w:rsidRPr="00BA4EEA" w:rsidRDefault="00491C93" w:rsidP="00491C93">
            <w:pPr>
              <w:jc w:val="right"/>
              <w:rPr>
                <w:color w:val="000000"/>
                <w:sz w:val="16"/>
                <w:szCs w:val="16"/>
                <w:lang w:eastAsia="en-NZ"/>
              </w:rPr>
            </w:pPr>
          </w:p>
        </w:tc>
        <w:tc>
          <w:tcPr>
            <w:tcW w:w="850" w:type="dxa"/>
            <w:shd w:val="clear" w:color="auto" w:fill="auto"/>
            <w:vAlign w:val="bottom"/>
          </w:tcPr>
          <w:p w14:paraId="1F4D3623" w14:textId="77777777" w:rsidR="00491C93" w:rsidRPr="00BA4EEA" w:rsidRDefault="00491C93" w:rsidP="00491C93">
            <w:pPr>
              <w:jc w:val="right"/>
              <w:rPr>
                <w:color w:val="000000"/>
                <w:sz w:val="16"/>
                <w:szCs w:val="16"/>
                <w:lang w:eastAsia="en-NZ"/>
              </w:rPr>
            </w:pPr>
          </w:p>
        </w:tc>
      </w:tr>
      <w:tr w:rsidR="00491C93" w:rsidRPr="001A61F1" w14:paraId="480DEFE7" w14:textId="77777777" w:rsidTr="001C5E0E">
        <w:tc>
          <w:tcPr>
            <w:tcW w:w="5387" w:type="dxa"/>
          </w:tcPr>
          <w:p w14:paraId="789AFE20" w14:textId="77777777" w:rsidR="00491C93" w:rsidRPr="003F15C0" w:rsidRDefault="00491C93" w:rsidP="00491C93">
            <w:pPr>
              <w:keepNext/>
              <w:spacing w:before="20"/>
              <w:ind w:left="176"/>
              <w:jc w:val="both"/>
              <w:rPr>
                <w:sz w:val="16"/>
                <w:szCs w:val="16"/>
              </w:rPr>
            </w:pPr>
            <w:r w:rsidRPr="003F15C0">
              <w:rPr>
                <w:sz w:val="16"/>
                <w:szCs w:val="16"/>
              </w:rPr>
              <w:t>Up to 15 minutes</w:t>
            </w:r>
          </w:p>
        </w:tc>
        <w:tc>
          <w:tcPr>
            <w:tcW w:w="992" w:type="dxa"/>
            <w:shd w:val="clear" w:color="auto" w:fill="auto"/>
            <w:vAlign w:val="bottom"/>
          </w:tcPr>
          <w:p w14:paraId="6D140C6E" w14:textId="77777777" w:rsidR="00491C93" w:rsidRPr="00BA4EEA" w:rsidRDefault="00491C93" w:rsidP="00491C93">
            <w:pPr>
              <w:jc w:val="right"/>
              <w:rPr>
                <w:color w:val="000000"/>
                <w:sz w:val="16"/>
                <w:szCs w:val="16"/>
                <w:lang w:eastAsia="en-NZ"/>
              </w:rPr>
            </w:pPr>
            <w:r w:rsidRPr="00BA4EEA">
              <w:rPr>
                <w:color w:val="000000"/>
                <w:sz w:val="16"/>
                <w:szCs w:val="16"/>
                <w:lang w:eastAsia="en-NZ"/>
              </w:rPr>
              <w:t>6.92</w:t>
            </w:r>
          </w:p>
        </w:tc>
        <w:tc>
          <w:tcPr>
            <w:tcW w:w="1276" w:type="dxa"/>
            <w:shd w:val="clear" w:color="auto" w:fill="auto"/>
            <w:vAlign w:val="bottom"/>
          </w:tcPr>
          <w:p w14:paraId="352DCD13" w14:textId="77777777" w:rsidR="00491C93" w:rsidRPr="00BA4EEA" w:rsidRDefault="00491C93" w:rsidP="00491C93">
            <w:pPr>
              <w:jc w:val="right"/>
              <w:rPr>
                <w:color w:val="000000"/>
                <w:sz w:val="16"/>
                <w:szCs w:val="16"/>
                <w:lang w:eastAsia="en-NZ"/>
              </w:rPr>
            </w:pPr>
            <w:r w:rsidRPr="00BA4EEA">
              <w:rPr>
                <w:color w:val="000000"/>
                <w:sz w:val="16"/>
                <w:szCs w:val="16"/>
                <w:lang w:eastAsia="en-NZ"/>
              </w:rPr>
              <w:t>(2.33, 20.60)</w:t>
            </w:r>
          </w:p>
        </w:tc>
        <w:tc>
          <w:tcPr>
            <w:tcW w:w="850" w:type="dxa"/>
            <w:shd w:val="clear" w:color="auto" w:fill="auto"/>
            <w:vAlign w:val="bottom"/>
          </w:tcPr>
          <w:p w14:paraId="39212825" w14:textId="77777777" w:rsidR="00491C93" w:rsidRPr="00BA4EEA" w:rsidRDefault="00491C93" w:rsidP="00491C93">
            <w:pPr>
              <w:jc w:val="right"/>
              <w:rPr>
                <w:color w:val="000000"/>
                <w:sz w:val="16"/>
                <w:szCs w:val="16"/>
                <w:lang w:eastAsia="en-NZ"/>
              </w:rPr>
            </w:pPr>
          </w:p>
        </w:tc>
      </w:tr>
      <w:tr w:rsidR="00491C93" w:rsidRPr="001A61F1" w14:paraId="416CA663" w14:textId="77777777" w:rsidTr="001C5E0E">
        <w:tc>
          <w:tcPr>
            <w:tcW w:w="5387" w:type="dxa"/>
          </w:tcPr>
          <w:p w14:paraId="59B9504D" w14:textId="77777777" w:rsidR="00491C93" w:rsidRPr="003F15C0" w:rsidRDefault="00491C93" w:rsidP="00491C93">
            <w:pPr>
              <w:keepNext/>
              <w:spacing w:before="20"/>
              <w:ind w:left="176"/>
              <w:jc w:val="both"/>
              <w:rPr>
                <w:sz w:val="16"/>
                <w:szCs w:val="16"/>
              </w:rPr>
            </w:pPr>
            <w:r w:rsidRPr="003F15C0">
              <w:rPr>
                <w:sz w:val="16"/>
                <w:szCs w:val="16"/>
              </w:rPr>
              <w:t>16 to 30 minutes</w:t>
            </w:r>
          </w:p>
        </w:tc>
        <w:tc>
          <w:tcPr>
            <w:tcW w:w="992" w:type="dxa"/>
            <w:shd w:val="clear" w:color="auto" w:fill="auto"/>
            <w:vAlign w:val="bottom"/>
          </w:tcPr>
          <w:p w14:paraId="354A7C94" w14:textId="77777777" w:rsidR="00491C93" w:rsidRPr="00BA4EEA" w:rsidRDefault="00491C93" w:rsidP="00491C93">
            <w:pPr>
              <w:jc w:val="right"/>
              <w:rPr>
                <w:color w:val="000000"/>
                <w:sz w:val="16"/>
                <w:szCs w:val="16"/>
                <w:lang w:eastAsia="en-NZ"/>
              </w:rPr>
            </w:pPr>
            <w:r w:rsidRPr="00BA4EEA">
              <w:rPr>
                <w:color w:val="000000"/>
                <w:sz w:val="16"/>
                <w:szCs w:val="16"/>
                <w:lang w:eastAsia="en-NZ"/>
              </w:rPr>
              <w:t>0.87</w:t>
            </w:r>
          </w:p>
        </w:tc>
        <w:tc>
          <w:tcPr>
            <w:tcW w:w="1276" w:type="dxa"/>
            <w:shd w:val="clear" w:color="auto" w:fill="auto"/>
            <w:vAlign w:val="bottom"/>
          </w:tcPr>
          <w:p w14:paraId="059A151B" w14:textId="77777777" w:rsidR="00491C93" w:rsidRPr="00BA4EEA" w:rsidRDefault="00491C93" w:rsidP="00491C93">
            <w:pPr>
              <w:jc w:val="right"/>
              <w:rPr>
                <w:color w:val="000000"/>
                <w:sz w:val="16"/>
                <w:szCs w:val="16"/>
                <w:lang w:eastAsia="en-NZ"/>
              </w:rPr>
            </w:pPr>
            <w:r w:rsidRPr="00BA4EEA">
              <w:rPr>
                <w:color w:val="000000"/>
                <w:sz w:val="16"/>
                <w:szCs w:val="16"/>
                <w:lang w:eastAsia="en-NZ"/>
              </w:rPr>
              <w:t>(0.25, 3.06)</w:t>
            </w:r>
          </w:p>
        </w:tc>
        <w:tc>
          <w:tcPr>
            <w:tcW w:w="850" w:type="dxa"/>
            <w:shd w:val="clear" w:color="auto" w:fill="auto"/>
            <w:vAlign w:val="bottom"/>
          </w:tcPr>
          <w:p w14:paraId="03287066" w14:textId="77777777" w:rsidR="00491C93" w:rsidRPr="00BA4EEA" w:rsidRDefault="00491C93" w:rsidP="00491C93">
            <w:pPr>
              <w:jc w:val="right"/>
              <w:rPr>
                <w:color w:val="000000"/>
                <w:sz w:val="16"/>
                <w:szCs w:val="16"/>
                <w:lang w:eastAsia="en-NZ"/>
              </w:rPr>
            </w:pPr>
          </w:p>
        </w:tc>
      </w:tr>
      <w:tr w:rsidR="00491C93" w:rsidRPr="001A61F1" w14:paraId="500915DF" w14:textId="77777777" w:rsidTr="001C5E0E">
        <w:tc>
          <w:tcPr>
            <w:tcW w:w="5387" w:type="dxa"/>
          </w:tcPr>
          <w:p w14:paraId="0037F9B0" w14:textId="77777777" w:rsidR="00491C93" w:rsidRPr="003F15C0" w:rsidRDefault="00491C93" w:rsidP="00491C93">
            <w:pPr>
              <w:keepNext/>
              <w:spacing w:before="20"/>
              <w:ind w:left="176"/>
              <w:jc w:val="both"/>
              <w:rPr>
                <w:sz w:val="16"/>
                <w:szCs w:val="16"/>
              </w:rPr>
            </w:pPr>
            <w:r w:rsidRPr="003F15C0">
              <w:rPr>
                <w:sz w:val="16"/>
                <w:szCs w:val="16"/>
              </w:rPr>
              <w:t>31 to 60 minutes</w:t>
            </w:r>
          </w:p>
        </w:tc>
        <w:tc>
          <w:tcPr>
            <w:tcW w:w="992" w:type="dxa"/>
            <w:shd w:val="clear" w:color="auto" w:fill="auto"/>
            <w:vAlign w:val="bottom"/>
          </w:tcPr>
          <w:p w14:paraId="7E72979F" w14:textId="77777777" w:rsidR="00491C93" w:rsidRPr="00BA4EEA" w:rsidRDefault="00491C93" w:rsidP="00491C93">
            <w:pPr>
              <w:jc w:val="right"/>
              <w:rPr>
                <w:color w:val="000000"/>
                <w:sz w:val="16"/>
                <w:szCs w:val="16"/>
                <w:lang w:eastAsia="en-NZ"/>
              </w:rPr>
            </w:pPr>
            <w:r w:rsidRPr="00BA4EEA">
              <w:rPr>
                <w:color w:val="000000"/>
                <w:sz w:val="16"/>
                <w:szCs w:val="16"/>
                <w:lang w:eastAsia="en-NZ"/>
              </w:rPr>
              <w:t>1.13</w:t>
            </w:r>
          </w:p>
        </w:tc>
        <w:tc>
          <w:tcPr>
            <w:tcW w:w="1276" w:type="dxa"/>
            <w:shd w:val="clear" w:color="auto" w:fill="auto"/>
            <w:vAlign w:val="bottom"/>
          </w:tcPr>
          <w:p w14:paraId="0D2FA1EE" w14:textId="77777777" w:rsidR="00491C93" w:rsidRPr="00BA4EEA" w:rsidRDefault="00491C93" w:rsidP="00491C93">
            <w:pPr>
              <w:jc w:val="right"/>
              <w:rPr>
                <w:color w:val="000000"/>
                <w:sz w:val="16"/>
                <w:szCs w:val="16"/>
                <w:lang w:eastAsia="en-NZ"/>
              </w:rPr>
            </w:pPr>
            <w:r w:rsidRPr="00BA4EEA">
              <w:rPr>
                <w:color w:val="000000"/>
                <w:sz w:val="16"/>
                <w:szCs w:val="16"/>
                <w:lang w:eastAsia="en-NZ"/>
              </w:rPr>
              <w:t>(0.28, 4.54)</w:t>
            </w:r>
          </w:p>
        </w:tc>
        <w:tc>
          <w:tcPr>
            <w:tcW w:w="850" w:type="dxa"/>
            <w:shd w:val="clear" w:color="auto" w:fill="auto"/>
            <w:vAlign w:val="bottom"/>
          </w:tcPr>
          <w:p w14:paraId="7763F05D" w14:textId="77777777" w:rsidR="00491C93" w:rsidRPr="00BA4EEA" w:rsidRDefault="00491C93" w:rsidP="00491C93">
            <w:pPr>
              <w:jc w:val="right"/>
              <w:rPr>
                <w:color w:val="000000"/>
                <w:sz w:val="16"/>
                <w:szCs w:val="16"/>
                <w:lang w:eastAsia="en-NZ"/>
              </w:rPr>
            </w:pPr>
          </w:p>
        </w:tc>
      </w:tr>
      <w:tr w:rsidR="00491C93" w:rsidRPr="001A61F1" w14:paraId="765515DB" w14:textId="77777777" w:rsidTr="00173F02">
        <w:tc>
          <w:tcPr>
            <w:tcW w:w="5387" w:type="dxa"/>
          </w:tcPr>
          <w:p w14:paraId="0798F00B" w14:textId="77777777" w:rsidR="00491C93" w:rsidRPr="003F15C0" w:rsidRDefault="00491C93" w:rsidP="00491C93">
            <w:pPr>
              <w:spacing w:before="20"/>
              <w:ind w:left="176"/>
              <w:jc w:val="both"/>
              <w:rPr>
                <w:sz w:val="16"/>
                <w:szCs w:val="16"/>
              </w:rPr>
            </w:pPr>
            <w:r w:rsidRPr="003F15C0">
              <w:rPr>
                <w:sz w:val="16"/>
                <w:szCs w:val="16"/>
              </w:rPr>
              <w:t>&gt;60 minutes</w:t>
            </w:r>
          </w:p>
        </w:tc>
        <w:tc>
          <w:tcPr>
            <w:tcW w:w="992" w:type="dxa"/>
            <w:shd w:val="clear" w:color="auto" w:fill="auto"/>
            <w:vAlign w:val="bottom"/>
          </w:tcPr>
          <w:p w14:paraId="113D9C48" w14:textId="77777777" w:rsidR="00491C93" w:rsidRPr="00BA4EEA" w:rsidRDefault="00491C93" w:rsidP="00491C93">
            <w:pPr>
              <w:jc w:val="right"/>
              <w:rPr>
                <w:color w:val="000000"/>
                <w:sz w:val="16"/>
                <w:szCs w:val="16"/>
                <w:lang w:eastAsia="en-NZ"/>
              </w:rPr>
            </w:pPr>
            <w:r w:rsidRPr="00BA4EEA">
              <w:rPr>
                <w:color w:val="000000"/>
                <w:sz w:val="16"/>
                <w:szCs w:val="16"/>
                <w:lang w:eastAsia="en-NZ"/>
              </w:rPr>
              <w:t>17.77</w:t>
            </w:r>
          </w:p>
        </w:tc>
        <w:tc>
          <w:tcPr>
            <w:tcW w:w="1276" w:type="dxa"/>
            <w:shd w:val="clear" w:color="auto" w:fill="auto"/>
            <w:vAlign w:val="bottom"/>
          </w:tcPr>
          <w:p w14:paraId="03A1382C" w14:textId="77777777" w:rsidR="00491C93" w:rsidRPr="00BA4EEA" w:rsidRDefault="00491C93" w:rsidP="00491C93">
            <w:pPr>
              <w:jc w:val="right"/>
              <w:rPr>
                <w:color w:val="000000"/>
                <w:sz w:val="16"/>
                <w:szCs w:val="16"/>
                <w:lang w:eastAsia="en-NZ"/>
              </w:rPr>
            </w:pPr>
            <w:r w:rsidRPr="00BA4EEA">
              <w:rPr>
                <w:color w:val="000000"/>
                <w:sz w:val="16"/>
                <w:szCs w:val="16"/>
                <w:lang w:eastAsia="en-NZ"/>
              </w:rPr>
              <w:t>(8.51, 37.12)</w:t>
            </w:r>
          </w:p>
        </w:tc>
        <w:tc>
          <w:tcPr>
            <w:tcW w:w="850" w:type="dxa"/>
            <w:shd w:val="clear" w:color="auto" w:fill="auto"/>
            <w:vAlign w:val="bottom"/>
          </w:tcPr>
          <w:p w14:paraId="5AF4A46F" w14:textId="77777777" w:rsidR="00491C93" w:rsidRPr="00BA4EEA" w:rsidRDefault="00491C93" w:rsidP="00491C93">
            <w:pPr>
              <w:jc w:val="right"/>
              <w:rPr>
                <w:color w:val="000000"/>
                <w:sz w:val="16"/>
                <w:szCs w:val="16"/>
                <w:lang w:eastAsia="en-NZ"/>
              </w:rPr>
            </w:pPr>
            <w:r w:rsidRPr="00BA4EEA">
              <w:rPr>
                <w:color w:val="000000"/>
                <w:sz w:val="16"/>
                <w:szCs w:val="16"/>
                <w:lang w:eastAsia="en-NZ"/>
              </w:rPr>
              <w:t>&lt;0.0001</w:t>
            </w:r>
          </w:p>
        </w:tc>
      </w:tr>
      <w:tr w:rsidR="00491C93" w:rsidRPr="001A61F1" w14:paraId="0D7B4130" w14:textId="77777777" w:rsidTr="001C5E0E">
        <w:tc>
          <w:tcPr>
            <w:tcW w:w="5387" w:type="dxa"/>
            <w:vAlign w:val="center"/>
          </w:tcPr>
          <w:p w14:paraId="3934631A" w14:textId="77777777" w:rsidR="00491C93" w:rsidRPr="003F15C0" w:rsidRDefault="00491C93" w:rsidP="00491C93">
            <w:pPr>
              <w:keepNext/>
              <w:spacing w:before="20"/>
              <w:rPr>
                <w:b/>
                <w:bCs/>
                <w:color w:val="000000"/>
                <w:sz w:val="16"/>
                <w:szCs w:val="16"/>
              </w:rPr>
            </w:pPr>
            <w:r w:rsidRPr="003F15C0">
              <w:rPr>
                <w:b/>
                <w:bCs/>
                <w:color w:val="000000"/>
                <w:sz w:val="16"/>
                <w:szCs w:val="16"/>
              </w:rPr>
              <w:t>Time spent playing EGMs in an average day (pub)</w:t>
            </w:r>
          </w:p>
        </w:tc>
        <w:tc>
          <w:tcPr>
            <w:tcW w:w="992" w:type="dxa"/>
            <w:shd w:val="clear" w:color="auto" w:fill="auto"/>
            <w:vAlign w:val="bottom"/>
          </w:tcPr>
          <w:p w14:paraId="29CAAFB1"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5FC2EB92"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53D42AD0" w14:textId="77777777" w:rsidR="00491C93" w:rsidRPr="007B750E" w:rsidRDefault="00491C93" w:rsidP="00491C93">
            <w:pPr>
              <w:jc w:val="right"/>
              <w:rPr>
                <w:color w:val="000000"/>
                <w:sz w:val="16"/>
                <w:szCs w:val="16"/>
                <w:lang w:eastAsia="en-NZ"/>
              </w:rPr>
            </w:pPr>
          </w:p>
        </w:tc>
      </w:tr>
      <w:tr w:rsidR="00491C93" w:rsidRPr="001A61F1" w14:paraId="16C9E200" w14:textId="77777777" w:rsidTr="001C5E0E">
        <w:tc>
          <w:tcPr>
            <w:tcW w:w="5387" w:type="dxa"/>
          </w:tcPr>
          <w:p w14:paraId="4C8076D3" w14:textId="77777777" w:rsidR="00491C93" w:rsidRPr="003F15C0" w:rsidRDefault="00491C93" w:rsidP="00491C93">
            <w:pPr>
              <w:keepNext/>
              <w:spacing w:before="20"/>
              <w:ind w:left="176"/>
              <w:jc w:val="both"/>
              <w:rPr>
                <w:sz w:val="16"/>
                <w:szCs w:val="16"/>
              </w:rPr>
            </w:pPr>
            <w:r w:rsidRPr="003F15C0">
              <w:rPr>
                <w:sz w:val="16"/>
                <w:szCs w:val="16"/>
              </w:rPr>
              <w:t>No time</w:t>
            </w:r>
          </w:p>
        </w:tc>
        <w:tc>
          <w:tcPr>
            <w:tcW w:w="992" w:type="dxa"/>
            <w:shd w:val="clear" w:color="auto" w:fill="auto"/>
            <w:vAlign w:val="bottom"/>
          </w:tcPr>
          <w:p w14:paraId="775B52D1" w14:textId="77777777" w:rsidR="00491C93" w:rsidRPr="00BA4EEA" w:rsidRDefault="00491C93" w:rsidP="00491C93">
            <w:pPr>
              <w:jc w:val="right"/>
              <w:rPr>
                <w:color w:val="000000"/>
                <w:sz w:val="16"/>
                <w:szCs w:val="16"/>
                <w:lang w:eastAsia="en-NZ"/>
              </w:rPr>
            </w:pPr>
            <w:r w:rsidRPr="00BA4EEA">
              <w:rPr>
                <w:color w:val="000000"/>
                <w:sz w:val="16"/>
                <w:szCs w:val="16"/>
                <w:lang w:eastAsia="en-NZ"/>
              </w:rPr>
              <w:t>1.00</w:t>
            </w:r>
          </w:p>
        </w:tc>
        <w:tc>
          <w:tcPr>
            <w:tcW w:w="1276" w:type="dxa"/>
            <w:shd w:val="clear" w:color="auto" w:fill="auto"/>
            <w:vAlign w:val="bottom"/>
          </w:tcPr>
          <w:p w14:paraId="058517C9" w14:textId="77777777" w:rsidR="00491C93" w:rsidRPr="00BA4EEA" w:rsidRDefault="00491C93" w:rsidP="00491C93">
            <w:pPr>
              <w:jc w:val="right"/>
              <w:rPr>
                <w:color w:val="000000"/>
                <w:sz w:val="16"/>
                <w:szCs w:val="16"/>
                <w:lang w:eastAsia="en-NZ"/>
              </w:rPr>
            </w:pPr>
          </w:p>
        </w:tc>
        <w:tc>
          <w:tcPr>
            <w:tcW w:w="850" w:type="dxa"/>
            <w:shd w:val="clear" w:color="auto" w:fill="auto"/>
            <w:vAlign w:val="bottom"/>
          </w:tcPr>
          <w:p w14:paraId="5DEE373C" w14:textId="77777777" w:rsidR="00491C93" w:rsidRPr="00BA4EEA" w:rsidRDefault="00491C93" w:rsidP="00491C93">
            <w:pPr>
              <w:jc w:val="right"/>
              <w:rPr>
                <w:color w:val="000000"/>
                <w:sz w:val="16"/>
                <w:szCs w:val="16"/>
                <w:lang w:eastAsia="en-NZ"/>
              </w:rPr>
            </w:pPr>
          </w:p>
        </w:tc>
      </w:tr>
      <w:tr w:rsidR="00491C93" w:rsidRPr="001A61F1" w14:paraId="34913DBA" w14:textId="77777777" w:rsidTr="001C5E0E">
        <w:tc>
          <w:tcPr>
            <w:tcW w:w="5387" w:type="dxa"/>
          </w:tcPr>
          <w:p w14:paraId="59EFCE60" w14:textId="77777777" w:rsidR="00491C93" w:rsidRPr="003F15C0" w:rsidRDefault="00491C93" w:rsidP="00491C93">
            <w:pPr>
              <w:keepNext/>
              <w:spacing w:before="20"/>
              <w:ind w:left="176"/>
              <w:jc w:val="both"/>
              <w:rPr>
                <w:sz w:val="16"/>
                <w:szCs w:val="16"/>
              </w:rPr>
            </w:pPr>
            <w:r w:rsidRPr="003F15C0">
              <w:rPr>
                <w:sz w:val="16"/>
                <w:szCs w:val="16"/>
              </w:rPr>
              <w:t>Up to 15 minutes</w:t>
            </w:r>
          </w:p>
        </w:tc>
        <w:tc>
          <w:tcPr>
            <w:tcW w:w="992" w:type="dxa"/>
            <w:shd w:val="clear" w:color="auto" w:fill="auto"/>
            <w:vAlign w:val="bottom"/>
          </w:tcPr>
          <w:p w14:paraId="5FCD1170" w14:textId="77777777" w:rsidR="00491C93" w:rsidRPr="00BA4EEA" w:rsidRDefault="00491C93" w:rsidP="00491C93">
            <w:pPr>
              <w:jc w:val="right"/>
              <w:rPr>
                <w:color w:val="000000"/>
                <w:sz w:val="16"/>
                <w:szCs w:val="16"/>
                <w:lang w:eastAsia="en-NZ"/>
              </w:rPr>
            </w:pPr>
            <w:r w:rsidRPr="00BA4EEA">
              <w:rPr>
                <w:color w:val="000000"/>
                <w:sz w:val="16"/>
                <w:szCs w:val="16"/>
                <w:lang w:eastAsia="en-NZ"/>
              </w:rPr>
              <w:t>4.78</w:t>
            </w:r>
          </w:p>
        </w:tc>
        <w:tc>
          <w:tcPr>
            <w:tcW w:w="1276" w:type="dxa"/>
            <w:shd w:val="clear" w:color="auto" w:fill="auto"/>
            <w:vAlign w:val="bottom"/>
          </w:tcPr>
          <w:p w14:paraId="5922EA5A" w14:textId="77777777" w:rsidR="00491C93" w:rsidRPr="00BA4EEA" w:rsidRDefault="00491C93" w:rsidP="00491C93">
            <w:pPr>
              <w:jc w:val="right"/>
              <w:rPr>
                <w:color w:val="000000"/>
                <w:sz w:val="16"/>
                <w:szCs w:val="16"/>
                <w:lang w:eastAsia="en-NZ"/>
              </w:rPr>
            </w:pPr>
            <w:r w:rsidRPr="00BA4EEA">
              <w:rPr>
                <w:color w:val="000000"/>
                <w:sz w:val="16"/>
                <w:szCs w:val="16"/>
                <w:lang w:eastAsia="en-NZ"/>
              </w:rPr>
              <w:t>(1.79, 12.74)</w:t>
            </w:r>
          </w:p>
        </w:tc>
        <w:tc>
          <w:tcPr>
            <w:tcW w:w="850" w:type="dxa"/>
            <w:shd w:val="clear" w:color="auto" w:fill="auto"/>
            <w:vAlign w:val="bottom"/>
          </w:tcPr>
          <w:p w14:paraId="2B85516B" w14:textId="77777777" w:rsidR="00491C93" w:rsidRPr="00BA4EEA" w:rsidRDefault="00491C93" w:rsidP="00491C93">
            <w:pPr>
              <w:jc w:val="right"/>
              <w:rPr>
                <w:color w:val="000000"/>
                <w:sz w:val="16"/>
                <w:szCs w:val="16"/>
                <w:lang w:eastAsia="en-NZ"/>
              </w:rPr>
            </w:pPr>
          </w:p>
        </w:tc>
      </w:tr>
      <w:tr w:rsidR="00491C93" w:rsidRPr="001A61F1" w14:paraId="4241AEF4" w14:textId="77777777" w:rsidTr="001C5E0E">
        <w:tc>
          <w:tcPr>
            <w:tcW w:w="5387" w:type="dxa"/>
          </w:tcPr>
          <w:p w14:paraId="42F9E9D4" w14:textId="77777777" w:rsidR="00491C93" w:rsidRPr="003F15C0" w:rsidRDefault="00491C93" w:rsidP="00491C93">
            <w:pPr>
              <w:spacing w:before="20"/>
              <w:ind w:left="176"/>
              <w:jc w:val="both"/>
              <w:rPr>
                <w:sz w:val="16"/>
                <w:szCs w:val="16"/>
              </w:rPr>
            </w:pPr>
            <w:r w:rsidRPr="003F15C0">
              <w:rPr>
                <w:sz w:val="16"/>
                <w:szCs w:val="16"/>
              </w:rPr>
              <w:t>16 to 30 minutes</w:t>
            </w:r>
          </w:p>
        </w:tc>
        <w:tc>
          <w:tcPr>
            <w:tcW w:w="992" w:type="dxa"/>
            <w:shd w:val="clear" w:color="auto" w:fill="auto"/>
            <w:vAlign w:val="bottom"/>
          </w:tcPr>
          <w:p w14:paraId="088C3B04" w14:textId="77777777" w:rsidR="00491C93" w:rsidRPr="00BA4EEA" w:rsidRDefault="00491C93" w:rsidP="00491C93">
            <w:pPr>
              <w:jc w:val="right"/>
              <w:rPr>
                <w:color w:val="000000"/>
                <w:sz w:val="16"/>
                <w:szCs w:val="16"/>
                <w:lang w:eastAsia="en-NZ"/>
              </w:rPr>
            </w:pPr>
            <w:r w:rsidRPr="00BA4EEA">
              <w:rPr>
                <w:color w:val="000000"/>
                <w:sz w:val="16"/>
                <w:szCs w:val="16"/>
                <w:lang w:eastAsia="en-NZ"/>
              </w:rPr>
              <w:t>6.57</w:t>
            </w:r>
          </w:p>
        </w:tc>
        <w:tc>
          <w:tcPr>
            <w:tcW w:w="1276" w:type="dxa"/>
            <w:shd w:val="clear" w:color="auto" w:fill="auto"/>
            <w:vAlign w:val="bottom"/>
          </w:tcPr>
          <w:p w14:paraId="06C0C97F" w14:textId="77777777" w:rsidR="00491C93" w:rsidRPr="00BA4EEA" w:rsidRDefault="00491C93" w:rsidP="00491C93">
            <w:pPr>
              <w:jc w:val="right"/>
              <w:rPr>
                <w:color w:val="000000"/>
                <w:sz w:val="16"/>
                <w:szCs w:val="16"/>
                <w:lang w:eastAsia="en-NZ"/>
              </w:rPr>
            </w:pPr>
            <w:r w:rsidRPr="00BA4EEA">
              <w:rPr>
                <w:color w:val="000000"/>
                <w:sz w:val="16"/>
                <w:szCs w:val="16"/>
                <w:lang w:eastAsia="en-NZ"/>
              </w:rPr>
              <w:t>(2.82, 15.32)</w:t>
            </w:r>
          </w:p>
        </w:tc>
        <w:tc>
          <w:tcPr>
            <w:tcW w:w="850" w:type="dxa"/>
            <w:shd w:val="clear" w:color="auto" w:fill="auto"/>
            <w:vAlign w:val="bottom"/>
          </w:tcPr>
          <w:p w14:paraId="2CFEB3BA" w14:textId="77777777" w:rsidR="00491C93" w:rsidRPr="00BA4EEA" w:rsidRDefault="00491C93" w:rsidP="00491C93">
            <w:pPr>
              <w:jc w:val="right"/>
              <w:rPr>
                <w:color w:val="000000"/>
                <w:sz w:val="16"/>
                <w:szCs w:val="16"/>
                <w:lang w:eastAsia="en-NZ"/>
              </w:rPr>
            </w:pPr>
          </w:p>
        </w:tc>
      </w:tr>
      <w:tr w:rsidR="00491C93" w:rsidRPr="001A61F1" w14:paraId="08D34D04" w14:textId="77777777" w:rsidTr="001C5E0E">
        <w:tc>
          <w:tcPr>
            <w:tcW w:w="5387" w:type="dxa"/>
          </w:tcPr>
          <w:p w14:paraId="6CE18BF2" w14:textId="77777777" w:rsidR="00491C93" w:rsidRPr="003F15C0" w:rsidRDefault="00491C93" w:rsidP="00491C93">
            <w:pPr>
              <w:spacing w:before="20"/>
              <w:ind w:left="176"/>
              <w:jc w:val="both"/>
              <w:rPr>
                <w:sz w:val="16"/>
                <w:szCs w:val="16"/>
              </w:rPr>
            </w:pPr>
            <w:r w:rsidRPr="003F15C0">
              <w:rPr>
                <w:sz w:val="16"/>
                <w:szCs w:val="16"/>
              </w:rPr>
              <w:t>31 to 60 minutes</w:t>
            </w:r>
          </w:p>
        </w:tc>
        <w:tc>
          <w:tcPr>
            <w:tcW w:w="992" w:type="dxa"/>
            <w:shd w:val="clear" w:color="auto" w:fill="auto"/>
            <w:vAlign w:val="bottom"/>
          </w:tcPr>
          <w:p w14:paraId="23C2C3CB" w14:textId="77777777" w:rsidR="00491C93" w:rsidRPr="00BA4EEA" w:rsidRDefault="00491C93" w:rsidP="00491C93">
            <w:pPr>
              <w:jc w:val="right"/>
              <w:rPr>
                <w:color w:val="000000"/>
                <w:sz w:val="16"/>
                <w:szCs w:val="16"/>
                <w:lang w:eastAsia="en-NZ"/>
              </w:rPr>
            </w:pPr>
            <w:r w:rsidRPr="00BA4EEA">
              <w:rPr>
                <w:color w:val="000000"/>
                <w:sz w:val="16"/>
                <w:szCs w:val="16"/>
                <w:lang w:eastAsia="en-NZ"/>
              </w:rPr>
              <w:t>10.42</w:t>
            </w:r>
          </w:p>
        </w:tc>
        <w:tc>
          <w:tcPr>
            <w:tcW w:w="1276" w:type="dxa"/>
            <w:shd w:val="clear" w:color="auto" w:fill="auto"/>
            <w:vAlign w:val="bottom"/>
          </w:tcPr>
          <w:p w14:paraId="01DE0669" w14:textId="77777777" w:rsidR="00491C93" w:rsidRPr="00BA4EEA" w:rsidRDefault="00491C93" w:rsidP="00491C93">
            <w:pPr>
              <w:jc w:val="right"/>
              <w:rPr>
                <w:color w:val="000000"/>
                <w:sz w:val="16"/>
                <w:szCs w:val="16"/>
                <w:lang w:eastAsia="en-NZ"/>
              </w:rPr>
            </w:pPr>
            <w:r w:rsidRPr="00BA4EEA">
              <w:rPr>
                <w:color w:val="000000"/>
                <w:sz w:val="16"/>
                <w:szCs w:val="16"/>
                <w:lang w:eastAsia="en-NZ"/>
              </w:rPr>
              <w:t>(4.39, 24.73)</w:t>
            </w:r>
          </w:p>
        </w:tc>
        <w:tc>
          <w:tcPr>
            <w:tcW w:w="850" w:type="dxa"/>
            <w:shd w:val="clear" w:color="auto" w:fill="auto"/>
            <w:vAlign w:val="bottom"/>
          </w:tcPr>
          <w:p w14:paraId="3DA89E72" w14:textId="77777777" w:rsidR="00491C93" w:rsidRPr="00BA4EEA" w:rsidRDefault="00491C93" w:rsidP="00491C93">
            <w:pPr>
              <w:jc w:val="right"/>
              <w:rPr>
                <w:color w:val="000000"/>
                <w:sz w:val="16"/>
                <w:szCs w:val="16"/>
                <w:lang w:eastAsia="en-NZ"/>
              </w:rPr>
            </w:pPr>
          </w:p>
        </w:tc>
      </w:tr>
      <w:tr w:rsidR="00491C93" w:rsidRPr="001A61F1" w14:paraId="05BD24C2" w14:textId="77777777" w:rsidTr="00173F02">
        <w:tc>
          <w:tcPr>
            <w:tcW w:w="5387" w:type="dxa"/>
          </w:tcPr>
          <w:p w14:paraId="2D3E5584" w14:textId="77777777" w:rsidR="00491C93" w:rsidRPr="003F15C0" w:rsidRDefault="00491C93" w:rsidP="00491C93">
            <w:pPr>
              <w:spacing w:before="20"/>
              <w:ind w:left="176"/>
              <w:jc w:val="both"/>
              <w:rPr>
                <w:sz w:val="16"/>
                <w:szCs w:val="16"/>
              </w:rPr>
            </w:pPr>
            <w:r w:rsidRPr="003F15C0">
              <w:rPr>
                <w:sz w:val="16"/>
                <w:szCs w:val="16"/>
              </w:rPr>
              <w:t>&gt;60 minutes</w:t>
            </w:r>
          </w:p>
        </w:tc>
        <w:tc>
          <w:tcPr>
            <w:tcW w:w="992" w:type="dxa"/>
            <w:shd w:val="clear" w:color="auto" w:fill="auto"/>
            <w:vAlign w:val="bottom"/>
          </w:tcPr>
          <w:p w14:paraId="4B63723C" w14:textId="77777777" w:rsidR="00491C93" w:rsidRPr="00BA4EEA" w:rsidRDefault="00491C93" w:rsidP="00491C93">
            <w:pPr>
              <w:jc w:val="right"/>
              <w:rPr>
                <w:color w:val="000000"/>
                <w:sz w:val="16"/>
                <w:szCs w:val="16"/>
                <w:lang w:eastAsia="en-NZ"/>
              </w:rPr>
            </w:pPr>
            <w:r w:rsidRPr="00BA4EEA">
              <w:rPr>
                <w:color w:val="000000"/>
                <w:sz w:val="16"/>
                <w:szCs w:val="16"/>
                <w:lang w:eastAsia="en-NZ"/>
              </w:rPr>
              <w:t>89.58</w:t>
            </w:r>
          </w:p>
        </w:tc>
        <w:tc>
          <w:tcPr>
            <w:tcW w:w="1276" w:type="dxa"/>
            <w:shd w:val="clear" w:color="auto" w:fill="auto"/>
            <w:vAlign w:val="bottom"/>
          </w:tcPr>
          <w:p w14:paraId="41223400" w14:textId="77777777" w:rsidR="00491C93" w:rsidRPr="00BA4EEA" w:rsidRDefault="00491C93" w:rsidP="00491C93">
            <w:pPr>
              <w:jc w:val="right"/>
              <w:rPr>
                <w:color w:val="000000"/>
                <w:sz w:val="16"/>
                <w:szCs w:val="16"/>
                <w:lang w:eastAsia="en-NZ"/>
              </w:rPr>
            </w:pPr>
            <w:r w:rsidRPr="00BA4EEA">
              <w:rPr>
                <w:color w:val="000000"/>
                <w:sz w:val="16"/>
                <w:szCs w:val="16"/>
                <w:lang w:eastAsia="en-NZ"/>
              </w:rPr>
              <w:t>(38.52, 208.34)</w:t>
            </w:r>
          </w:p>
        </w:tc>
        <w:tc>
          <w:tcPr>
            <w:tcW w:w="850" w:type="dxa"/>
            <w:shd w:val="clear" w:color="auto" w:fill="auto"/>
            <w:vAlign w:val="bottom"/>
          </w:tcPr>
          <w:p w14:paraId="5831B36C" w14:textId="77777777" w:rsidR="00491C93" w:rsidRPr="00BA4EEA" w:rsidRDefault="00491C93" w:rsidP="00491C93">
            <w:pPr>
              <w:jc w:val="right"/>
              <w:rPr>
                <w:color w:val="000000"/>
                <w:sz w:val="16"/>
                <w:szCs w:val="16"/>
                <w:lang w:eastAsia="en-NZ"/>
              </w:rPr>
            </w:pPr>
            <w:r w:rsidRPr="00BA4EEA">
              <w:rPr>
                <w:color w:val="000000"/>
                <w:sz w:val="16"/>
                <w:szCs w:val="16"/>
                <w:lang w:eastAsia="en-NZ"/>
              </w:rPr>
              <w:t>&lt;0.0001</w:t>
            </w:r>
          </w:p>
        </w:tc>
      </w:tr>
      <w:tr w:rsidR="00491C93" w:rsidRPr="001A61F1" w14:paraId="535BECC5" w14:textId="77777777" w:rsidTr="001C5E0E">
        <w:tc>
          <w:tcPr>
            <w:tcW w:w="5387" w:type="dxa"/>
            <w:vAlign w:val="center"/>
          </w:tcPr>
          <w:p w14:paraId="4437D6E1" w14:textId="77777777" w:rsidR="00491C93" w:rsidRPr="003F15C0" w:rsidRDefault="00491C93" w:rsidP="00491C93">
            <w:pPr>
              <w:spacing w:before="20"/>
              <w:rPr>
                <w:b/>
                <w:bCs/>
                <w:color w:val="000000"/>
                <w:sz w:val="16"/>
                <w:szCs w:val="16"/>
              </w:rPr>
            </w:pPr>
            <w:r w:rsidRPr="003F15C0">
              <w:rPr>
                <w:b/>
                <w:bCs/>
                <w:color w:val="000000"/>
                <w:sz w:val="16"/>
                <w:szCs w:val="16"/>
              </w:rPr>
              <w:t>Time spent playing EGMs in an average day (club)</w:t>
            </w:r>
          </w:p>
        </w:tc>
        <w:tc>
          <w:tcPr>
            <w:tcW w:w="992" w:type="dxa"/>
            <w:shd w:val="clear" w:color="auto" w:fill="auto"/>
            <w:vAlign w:val="bottom"/>
          </w:tcPr>
          <w:p w14:paraId="2D3B5C9E"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595CDBEF"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5A6E450D" w14:textId="77777777" w:rsidR="00491C93" w:rsidRPr="007B750E" w:rsidRDefault="00491C93" w:rsidP="00491C93">
            <w:pPr>
              <w:jc w:val="right"/>
              <w:rPr>
                <w:color w:val="000000"/>
                <w:sz w:val="16"/>
                <w:szCs w:val="16"/>
                <w:lang w:eastAsia="en-NZ"/>
              </w:rPr>
            </w:pPr>
          </w:p>
        </w:tc>
      </w:tr>
      <w:tr w:rsidR="00491C93" w:rsidRPr="001A61F1" w14:paraId="1114E154" w14:textId="77777777" w:rsidTr="001C5E0E">
        <w:tc>
          <w:tcPr>
            <w:tcW w:w="5387" w:type="dxa"/>
          </w:tcPr>
          <w:p w14:paraId="089734BC" w14:textId="77777777" w:rsidR="00491C93" w:rsidRPr="003F15C0" w:rsidRDefault="00491C93" w:rsidP="00491C93">
            <w:pPr>
              <w:spacing w:before="20"/>
              <w:ind w:left="176"/>
              <w:jc w:val="both"/>
              <w:rPr>
                <w:sz w:val="16"/>
                <w:szCs w:val="16"/>
              </w:rPr>
            </w:pPr>
            <w:r w:rsidRPr="003F15C0">
              <w:rPr>
                <w:sz w:val="16"/>
                <w:szCs w:val="16"/>
              </w:rPr>
              <w:t>No time</w:t>
            </w:r>
          </w:p>
        </w:tc>
        <w:tc>
          <w:tcPr>
            <w:tcW w:w="992" w:type="dxa"/>
            <w:shd w:val="clear" w:color="auto" w:fill="auto"/>
            <w:vAlign w:val="bottom"/>
          </w:tcPr>
          <w:p w14:paraId="2BCECABE" w14:textId="77777777" w:rsidR="00491C93" w:rsidRPr="00BA4EEA" w:rsidRDefault="00491C93" w:rsidP="00491C93">
            <w:pPr>
              <w:jc w:val="right"/>
              <w:rPr>
                <w:color w:val="000000"/>
                <w:sz w:val="16"/>
                <w:szCs w:val="16"/>
                <w:lang w:eastAsia="en-NZ"/>
              </w:rPr>
            </w:pPr>
            <w:r w:rsidRPr="00BA4EEA">
              <w:rPr>
                <w:color w:val="000000"/>
                <w:sz w:val="16"/>
                <w:szCs w:val="16"/>
                <w:lang w:eastAsia="en-NZ"/>
              </w:rPr>
              <w:t>1.00</w:t>
            </w:r>
          </w:p>
        </w:tc>
        <w:tc>
          <w:tcPr>
            <w:tcW w:w="1276" w:type="dxa"/>
            <w:shd w:val="clear" w:color="auto" w:fill="auto"/>
            <w:vAlign w:val="bottom"/>
          </w:tcPr>
          <w:p w14:paraId="3744A893" w14:textId="77777777" w:rsidR="00491C93" w:rsidRPr="00BA4EEA" w:rsidRDefault="00491C93" w:rsidP="00491C93">
            <w:pPr>
              <w:jc w:val="right"/>
              <w:rPr>
                <w:color w:val="000000"/>
                <w:sz w:val="16"/>
                <w:szCs w:val="16"/>
                <w:lang w:eastAsia="en-NZ"/>
              </w:rPr>
            </w:pPr>
          </w:p>
        </w:tc>
        <w:tc>
          <w:tcPr>
            <w:tcW w:w="850" w:type="dxa"/>
            <w:shd w:val="clear" w:color="auto" w:fill="auto"/>
            <w:vAlign w:val="bottom"/>
          </w:tcPr>
          <w:p w14:paraId="6003E92A" w14:textId="77777777" w:rsidR="00491C93" w:rsidRPr="00BA4EEA" w:rsidRDefault="00491C93" w:rsidP="00491C93">
            <w:pPr>
              <w:jc w:val="right"/>
              <w:rPr>
                <w:color w:val="000000"/>
                <w:sz w:val="16"/>
                <w:szCs w:val="16"/>
                <w:lang w:eastAsia="en-NZ"/>
              </w:rPr>
            </w:pPr>
          </w:p>
        </w:tc>
      </w:tr>
      <w:tr w:rsidR="00491C93" w:rsidRPr="001A61F1" w14:paraId="53D86F25" w14:textId="77777777" w:rsidTr="001C5E0E">
        <w:tc>
          <w:tcPr>
            <w:tcW w:w="5387" w:type="dxa"/>
          </w:tcPr>
          <w:p w14:paraId="69150AA9" w14:textId="77777777" w:rsidR="00491C93" w:rsidRPr="003F15C0" w:rsidRDefault="00491C93" w:rsidP="00491C93">
            <w:pPr>
              <w:spacing w:before="20"/>
              <w:ind w:left="176"/>
              <w:jc w:val="both"/>
              <w:rPr>
                <w:sz w:val="16"/>
                <w:szCs w:val="16"/>
              </w:rPr>
            </w:pPr>
            <w:r w:rsidRPr="003F15C0">
              <w:rPr>
                <w:sz w:val="16"/>
                <w:szCs w:val="16"/>
              </w:rPr>
              <w:t>Up to 15 minutes</w:t>
            </w:r>
          </w:p>
        </w:tc>
        <w:tc>
          <w:tcPr>
            <w:tcW w:w="992" w:type="dxa"/>
            <w:shd w:val="clear" w:color="auto" w:fill="auto"/>
            <w:vAlign w:val="bottom"/>
          </w:tcPr>
          <w:p w14:paraId="6746E99B" w14:textId="77777777" w:rsidR="00491C93" w:rsidRPr="00BA4EEA" w:rsidRDefault="00491C93" w:rsidP="00491C93">
            <w:pPr>
              <w:jc w:val="right"/>
              <w:rPr>
                <w:color w:val="000000"/>
                <w:sz w:val="16"/>
                <w:szCs w:val="16"/>
                <w:lang w:eastAsia="en-NZ"/>
              </w:rPr>
            </w:pPr>
            <w:r w:rsidRPr="00BA4EEA">
              <w:rPr>
                <w:color w:val="000000"/>
                <w:sz w:val="16"/>
                <w:szCs w:val="16"/>
                <w:lang w:eastAsia="en-NZ"/>
              </w:rPr>
              <w:t>2.77</w:t>
            </w:r>
          </w:p>
        </w:tc>
        <w:tc>
          <w:tcPr>
            <w:tcW w:w="1276" w:type="dxa"/>
            <w:shd w:val="clear" w:color="auto" w:fill="auto"/>
            <w:vAlign w:val="bottom"/>
          </w:tcPr>
          <w:p w14:paraId="267CD4F3" w14:textId="77777777" w:rsidR="00491C93" w:rsidRPr="00BA4EEA" w:rsidRDefault="00491C93" w:rsidP="00491C93">
            <w:pPr>
              <w:jc w:val="right"/>
              <w:rPr>
                <w:color w:val="000000"/>
                <w:sz w:val="16"/>
                <w:szCs w:val="16"/>
                <w:lang w:eastAsia="en-NZ"/>
              </w:rPr>
            </w:pPr>
            <w:r w:rsidRPr="00BA4EEA">
              <w:rPr>
                <w:color w:val="000000"/>
                <w:sz w:val="16"/>
                <w:szCs w:val="16"/>
                <w:lang w:eastAsia="en-NZ"/>
              </w:rPr>
              <w:t>(0.72, 10.6)</w:t>
            </w:r>
          </w:p>
        </w:tc>
        <w:tc>
          <w:tcPr>
            <w:tcW w:w="850" w:type="dxa"/>
            <w:shd w:val="clear" w:color="auto" w:fill="auto"/>
            <w:vAlign w:val="bottom"/>
          </w:tcPr>
          <w:p w14:paraId="1E022880" w14:textId="77777777" w:rsidR="00491C93" w:rsidRPr="00BA4EEA" w:rsidRDefault="00491C93" w:rsidP="00491C93">
            <w:pPr>
              <w:jc w:val="right"/>
              <w:rPr>
                <w:color w:val="000000"/>
                <w:sz w:val="16"/>
                <w:szCs w:val="16"/>
                <w:lang w:eastAsia="en-NZ"/>
              </w:rPr>
            </w:pPr>
          </w:p>
        </w:tc>
      </w:tr>
      <w:tr w:rsidR="00491C93" w:rsidRPr="001A61F1" w14:paraId="7005B1FE" w14:textId="77777777" w:rsidTr="001C5E0E">
        <w:tc>
          <w:tcPr>
            <w:tcW w:w="5387" w:type="dxa"/>
          </w:tcPr>
          <w:p w14:paraId="312CC492" w14:textId="77777777" w:rsidR="00491C93" w:rsidRPr="003F15C0" w:rsidRDefault="00491C93" w:rsidP="00491C93">
            <w:pPr>
              <w:spacing w:before="20"/>
              <w:ind w:left="176"/>
              <w:jc w:val="both"/>
              <w:rPr>
                <w:sz w:val="16"/>
                <w:szCs w:val="16"/>
              </w:rPr>
            </w:pPr>
            <w:r w:rsidRPr="003F15C0">
              <w:rPr>
                <w:sz w:val="16"/>
                <w:szCs w:val="16"/>
              </w:rPr>
              <w:t>16 to 30 minutes</w:t>
            </w:r>
          </w:p>
        </w:tc>
        <w:tc>
          <w:tcPr>
            <w:tcW w:w="992" w:type="dxa"/>
            <w:shd w:val="clear" w:color="auto" w:fill="auto"/>
            <w:vAlign w:val="bottom"/>
          </w:tcPr>
          <w:p w14:paraId="1D7DDE9F" w14:textId="77777777" w:rsidR="00491C93" w:rsidRPr="00BA4EEA" w:rsidRDefault="00491C93" w:rsidP="00491C93">
            <w:pPr>
              <w:jc w:val="right"/>
              <w:rPr>
                <w:color w:val="000000"/>
                <w:sz w:val="16"/>
                <w:szCs w:val="16"/>
                <w:lang w:eastAsia="en-NZ"/>
              </w:rPr>
            </w:pPr>
            <w:r w:rsidRPr="00BA4EEA">
              <w:rPr>
                <w:color w:val="000000"/>
                <w:sz w:val="16"/>
                <w:szCs w:val="16"/>
                <w:lang w:eastAsia="en-NZ"/>
              </w:rPr>
              <w:t>1.16</w:t>
            </w:r>
          </w:p>
        </w:tc>
        <w:tc>
          <w:tcPr>
            <w:tcW w:w="1276" w:type="dxa"/>
            <w:shd w:val="clear" w:color="auto" w:fill="auto"/>
            <w:vAlign w:val="bottom"/>
          </w:tcPr>
          <w:p w14:paraId="00D23B7A" w14:textId="77777777" w:rsidR="00491C93" w:rsidRPr="00BA4EEA" w:rsidRDefault="00491C93" w:rsidP="00491C93">
            <w:pPr>
              <w:jc w:val="right"/>
              <w:rPr>
                <w:color w:val="000000"/>
                <w:sz w:val="16"/>
                <w:szCs w:val="16"/>
                <w:lang w:eastAsia="en-NZ"/>
              </w:rPr>
            </w:pPr>
            <w:r w:rsidRPr="00BA4EEA">
              <w:rPr>
                <w:color w:val="000000"/>
                <w:sz w:val="16"/>
                <w:szCs w:val="16"/>
                <w:lang w:eastAsia="en-NZ"/>
              </w:rPr>
              <w:t>(0.39, 3.46)</w:t>
            </w:r>
          </w:p>
        </w:tc>
        <w:tc>
          <w:tcPr>
            <w:tcW w:w="850" w:type="dxa"/>
            <w:shd w:val="clear" w:color="auto" w:fill="auto"/>
            <w:vAlign w:val="bottom"/>
          </w:tcPr>
          <w:p w14:paraId="1C407643" w14:textId="77777777" w:rsidR="00491C93" w:rsidRPr="00BA4EEA" w:rsidRDefault="00491C93" w:rsidP="00491C93">
            <w:pPr>
              <w:jc w:val="right"/>
              <w:rPr>
                <w:color w:val="000000"/>
                <w:sz w:val="16"/>
                <w:szCs w:val="16"/>
                <w:lang w:eastAsia="en-NZ"/>
              </w:rPr>
            </w:pPr>
          </w:p>
        </w:tc>
      </w:tr>
      <w:tr w:rsidR="00491C93" w:rsidRPr="001A61F1" w14:paraId="1B5D590B" w14:textId="77777777" w:rsidTr="00BA4EEA">
        <w:tc>
          <w:tcPr>
            <w:tcW w:w="5387" w:type="dxa"/>
          </w:tcPr>
          <w:p w14:paraId="258A57D2" w14:textId="77777777" w:rsidR="00491C93" w:rsidRPr="003F15C0" w:rsidRDefault="00491C93" w:rsidP="00491C93">
            <w:pPr>
              <w:spacing w:before="20"/>
              <w:ind w:left="176"/>
              <w:jc w:val="both"/>
              <w:rPr>
                <w:sz w:val="16"/>
                <w:szCs w:val="16"/>
              </w:rPr>
            </w:pPr>
            <w:r w:rsidRPr="003F15C0">
              <w:rPr>
                <w:sz w:val="16"/>
                <w:szCs w:val="16"/>
              </w:rPr>
              <w:t>31 to 60 minutes</w:t>
            </w:r>
          </w:p>
        </w:tc>
        <w:tc>
          <w:tcPr>
            <w:tcW w:w="992" w:type="dxa"/>
            <w:shd w:val="clear" w:color="auto" w:fill="auto"/>
            <w:vAlign w:val="bottom"/>
          </w:tcPr>
          <w:p w14:paraId="4757DCCB" w14:textId="77777777" w:rsidR="00491C93" w:rsidRPr="00BA4EEA" w:rsidRDefault="00491C93" w:rsidP="00491C93">
            <w:pPr>
              <w:jc w:val="right"/>
              <w:rPr>
                <w:color w:val="000000"/>
                <w:sz w:val="16"/>
                <w:szCs w:val="16"/>
                <w:lang w:eastAsia="en-NZ"/>
              </w:rPr>
            </w:pPr>
            <w:r w:rsidRPr="00BA4EEA">
              <w:rPr>
                <w:color w:val="000000"/>
                <w:sz w:val="16"/>
                <w:szCs w:val="16"/>
                <w:lang w:eastAsia="en-NZ"/>
              </w:rPr>
              <w:t>1.24</w:t>
            </w:r>
          </w:p>
        </w:tc>
        <w:tc>
          <w:tcPr>
            <w:tcW w:w="1276" w:type="dxa"/>
            <w:shd w:val="clear" w:color="auto" w:fill="auto"/>
            <w:vAlign w:val="bottom"/>
          </w:tcPr>
          <w:p w14:paraId="10BE38DB" w14:textId="77777777" w:rsidR="00491C93" w:rsidRPr="00BA4EEA" w:rsidRDefault="00491C93" w:rsidP="00491C93">
            <w:pPr>
              <w:jc w:val="right"/>
              <w:rPr>
                <w:color w:val="000000"/>
                <w:sz w:val="16"/>
                <w:szCs w:val="16"/>
                <w:lang w:eastAsia="en-NZ"/>
              </w:rPr>
            </w:pPr>
            <w:r w:rsidRPr="00BA4EEA">
              <w:rPr>
                <w:color w:val="000000"/>
                <w:sz w:val="16"/>
                <w:szCs w:val="16"/>
                <w:lang w:eastAsia="en-NZ"/>
              </w:rPr>
              <w:t>(0.37, 4.18)</w:t>
            </w:r>
          </w:p>
        </w:tc>
        <w:tc>
          <w:tcPr>
            <w:tcW w:w="850" w:type="dxa"/>
            <w:shd w:val="clear" w:color="auto" w:fill="auto"/>
            <w:vAlign w:val="bottom"/>
          </w:tcPr>
          <w:p w14:paraId="6C97EC9E" w14:textId="77777777" w:rsidR="00491C93" w:rsidRPr="00BA4EEA" w:rsidRDefault="00491C93" w:rsidP="00491C93">
            <w:pPr>
              <w:jc w:val="right"/>
              <w:rPr>
                <w:color w:val="000000"/>
                <w:sz w:val="16"/>
                <w:szCs w:val="16"/>
                <w:lang w:eastAsia="en-NZ"/>
              </w:rPr>
            </w:pPr>
          </w:p>
        </w:tc>
      </w:tr>
      <w:tr w:rsidR="00491C93" w:rsidRPr="001A61F1" w14:paraId="3A09BCFD" w14:textId="77777777" w:rsidTr="00173F02">
        <w:tc>
          <w:tcPr>
            <w:tcW w:w="5387" w:type="dxa"/>
            <w:tcBorders>
              <w:bottom w:val="single" w:sz="4" w:space="0" w:color="auto"/>
            </w:tcBorders>
          </w:tcPr>
          <w:p w14:paraId="672DC759" w14:textId="77777777" w:rsidR="00491C93" w:rsidRPr="003F15C0" w:rsidRDefault="00491C93" w:rsidP="00491C93">
            <w:pPr>
              <w:spacing w:before="20"/>
              <w:ind w:left="176"/>
              <w:jc w:val="both"/>
              <w:rPr>
                <w:sz w:val="16"/>
                <w:szCs w:val="16"/>
              </w:rPr>
            </w:pPr>
            <w:r w:rsidRPr="003F15C0">
              <w:rPr>
                <w:sz w:val="16"/>
                <w:szCs w:val="16"/>
              </w:rPr>
              <w:t>&gt;60 minutes</w:t>
            </w:r>
          </w:p>
        </w:tc>
        <w:tc>
          <w:tcPr>
            <w:tcW w:w="992" w:type="dxa"/>
            <w:tcBorders>
              <w:bottom w:val="single" w:sz="4" w:space="0" w:color="auto"/>
            </w:tcBorders>
            <w:shd w:val="clear" w:color="auto" w:fill="auto"/>
            <w:vAlign w:val="bottom"/>
          </w:tcPr>
          <w:p w14:paraId="62457EB1" w14:textId="77777777" w:rsidR="00491C93" w:rsidRPr="00BA4EEA" w:rsidRDefault="00491C93" w:rsidP="00491C93">
            <w:pPr>
              <w:jc w:val="right"/>
              <w:rPr>
                <w:color w:val="000000"/>
                <w:sz w:val="16"/>
                <w:szCs w:val="16"/>
                <w:lang w:eastAsia="en-NZ"/>
              </w:rPr>
            </w:pPr>
            <w:r w:rsidRPr="00BA4EEA">
              <w:rPr>
                <w:color w:val="000000"/>
                <w:sz w:val="16"/>
                <w:szCs w:val="16"/>
                <w:lang w:eastAsia="en-NZ"/>
              </w:rPr>
              <w:t>11.37</w:t>
            </w:r>
          </w:p>
        </w:tc>
        <w:tc>
          <w:tcPr>
            <w:tcW w:w="1276" w:type="dxa"/>
            <w:tcBorders>
              <w:bottom w:val="single" w:sz="4" w:space="0" w:color="auto"/>
            </w:tcBorders>
            <w:shd w:val="clear" w:color="auto" w:fill="auto"/>
            <w:vAlign w:val="bottom"/>
          </w:tcPr>
          <w:p w14:paraId="1F1A3295" w14:textId="77777777" w:rsidR="00491C93" w:rsidRPr="00BA4EEA" w:rsidRDefault="00491C93" w:rsidP="00491C93">
            <w:pPr>
              <w:jc w:val="right"/>
              <w:rPr>
                <w:color w:val="000000"/>
                <w:sz w:val="16"/>
                <w:szCs w:val="16"/>
                <w:lang w:eastAsia="en-NZ"/>
              </w:rPr>
            </w:pPr>
            <w:r w:rsidRPr="00BA4EEA">
              <w:rPr>
                <w:color w:val="000000"/>
                <w:sz w:val="16"/>
                <w:szCs w:val="16"/>
                <w:lang w:eastAsia="en-NZ"/>
              </w:rPr>
              <w:t>(2.96, 43.68)</w:t>
            </w:r>
          </w:p>
        </w:tc>
        <w:tc>
          <w:tcPr>
            <w:tcW w:w="850" w:type="dxa"/>
            <w:tcBorders>
              <w:bottom w:val="single" w:sz="4" w:space="0" w:color="auto"/>
            </w:tcBorders>
            <w:shd w:val="clear" w:color="auto" w:fill="auto"/>
            <w:vAlign w:val="bottom"/>
          </w:tcPr>
          <w:p w14:paraId="4B132F48" w14:textId="77777777" w:rsidR="00491C93" w:rsidRPr="00BA4EEA" w:rsidRDefault="00491C93" w:rsidP="00491C93">
            <w:pPr>
              <w:jc w:val="right"/>
              <w:rPr>
                <w:color w:val="000000"/>
                <w:sz w:val="16"/>
                <w:szCs w:val="16"/>
                <w:lang w:eastAsia="en-NZ"/>
              </w:rPr>
            </w:pPr>
            <w:r w:rsidRPr="00BA4EEA">
              <w:rPr>
                <w:color w:val="000000"/>
                <w:sz w:val="16"/>
                <w:szCs w:val="16"/>
                <w:lang w:eastAsia="en-NZ"/>
              </w:rPr>
              <w:t>0.006</w:t>
            </w:r>
          </w:p>
        </w:tc>
      </w:tr>
      <w:tr w:rsidR="00491C93" w:rsidRPr="001A61F1" w14:paraId="7B048B97" w14:textId="77777777" w:rsidTr="00BA4EEA">
        <w:tc>
          <w:tcPr>
            <w:tcW w:w="5387" w:type="dxa"/>
            <w:tcBorders>
              <w:top w:val="single" w:sz="4" w:space="0" w:color="auto"/>
            </w:tcBorders>
            <w:vAlign w:val="center"/>
          </w:tcPr>
          <w:p w14:paraId="22A41BF7" w14:textId="77777777" w:rsidR="00491C93" w:rsidRPr="003F15C0" w:rsidRDefault="00491C93" w:rsidP="00491C93">
            <w:pPr>
              <w:keepNext/>
              <w:spacing w:before="20"/>
              <w:rPr>
                <w:b/>
                <w:bCs/>
                <w:color w:val="000000"/>
                <w:sz w:val="16"/>
                <w:szCs w:val="16"/>
              </w:rPr>
            </w:pPr>
            <w:r w:rsidRPr="003F15C0">
              <w:rPr>
                <w:b/>
                <w:bCs/>
                <w:color w:val="000000"/>
                <w:sz w:val="16"/>
                <w:szCs w:val="16"/>
              </w:rPr>
              <w:t>Who spent time with on most enjoyed activity</w:t>
            </w:r>
          </w:p>
        </w:tc>
        <w:tc>
          <w:tcPr>
            <w:tcW w:w="992" w:type="dxa"/>
            <w:tcBorders>
              <w:top w:val="single" w:sz="4" w:space="0" w:color="auto"/>
            </w:tcBorders>
            <w:shd w:val="clear" w:color="auto" w:fill="auto"/>
            <w:vAlign w:val="bottom"/>
          </w:tcPr>
          <w:p w14:paraId="0CD19558" w14:textId="77777777" w:rsidR="00491C93" w:rsidRPr="007B750E" w:rsidRDefault="00491C93" w:rsidP="00491C93">
            <w:pPr>
              <w:keepNext/>
              <w:jc w:val="right"/>
              <w:rPr>
                <w:color w:val="000000"/>
                <w:sz w:val="16"/>
                <w:szCs w:val="16"/>
                <w:lang w:eastAsia="en-NZ"/>
              </w:rPr>
            </w:pPr>
          </w:p>
        </w:tc>
        <w:tc>
          <w:tcPr>
            <w:tcW w:w="1276" w:type="dxa"/>
            <w:tcBorders>
              <w:top w:val="single" w:sz="4" w:space="0" w:color="auto"/>
            </w:tcBorders>
            <w:shd w:val="clear" w:color="auto" w:fill="auto"/>
            <w:vAlign w:val="bottom"/>
          </w:tcPr>
          <w:p w14:paraId="5F5B16CD" w14:textId="77777777" w:rsidR="00491C93" w:rsidRPr="007B750E" w:rsidRDefault="00491C93" w:rsidP="00491C93">
            <w:pPr>
              <w:keepNext/>
              <w:jc w:val="right"/>
              <w:rPr>
                <w:color w:val="000000"/>
                <w:sz w:val="16"/>
                <w:szCs w:val="16"/>
                <w:lang w:eastAsia="en-NZ"/>
              </w:rPr>
            </w:pPr>
          </w:p>
        </w:tc>
        <w:tc>
          <w:tcPr>
            <w:tcW w:w="850" w:type="dxa"/>
            <w:tcBorders>
              <w:top w:val="single" w:sz="4" w:space="0" w:color="auto"/>
            </w:tcBorders>
            <w:shd w:val="clear" w:color="auto" w:fill="auto"/>
            <w:vAlign w:val="bottom"/>
          </w:tcPr>
          <w:p w14:paraId="44869B67" w14:textId="77777777" w:rsidR="00491C93" w:rsidRPr="007B750E" w:rsidRDefault="00491C93" w:rsidP="00491C93">
            <w:pPr>
              <w:keepNext/>
              <w:jc w:val="right"/>
              <w:rPr>
                <w:color w:val="000000"/>
                <w:sz w:val="16"/>
                <w:szCs w:val="16"/>
                <w:lang w:eastAsia="en-NZ"/>
              </w:rPr>
            </w:pPr>
          </w:p>
        </w:tc>
      </w:tr>
      <w:tr w:rsidR="00491C93" w:rsidRPr="001A61F1" w14:paraId="0559F104" w14:textId="77777777" w:rsidTr="001C5E0E">
        <w:tc>
          <w:tcPr>
            <w:tcW w:w="5387" w:type="dxa"/>
          </w:tcPr>
          <w:p w14:paraId="786C2380" w14:textId="77777777" w:rsidR="00491C93" w:rsidRPr="003F15C0" w:rsidRDefault="00491C93" w:rsidP="00491C93">
            <w:pPr>
              <w:keepNext/>
              <w:spacing w:before="20"/>
              <w:ind w:left="176"/>
              <w:jc w:val="both"/>
              <w:rPr>
                <w:sz w:val="16"/>
                <w:szCs w:val="16"/>
              </w:rPr>
            </w:pPr>
            <w:r w:rsidRPr="003F15C0">
              <w:rPr>
                <w:sz w:val="16"/>
                <w:szCs w:val="16"/>
              </w:rPr>
              <w:t>Alone</w:t>
            </w:r>
          </w:p>
        </w:tc>
        <w:tc>
          <w:tcPr>
            <w:tcW w:w="992" w:type="dxa"/>
            <w:shd w:val="clear" w:color="auto" w:fill="auto"/>
            <w:vAlign w:val="bottom"/>
          </w:tcPr>
          <w:p w14:paraId="679AEB3F" w14:textId="77777777" w:rsidR="00491C93" w:rsidRPr="00BA4EEA" w:rsidRDefault="00491C93" w:rsidP="00491C93">
            <w:pPr>
              <w:jc w:val="right"/>
              <w:rPr>
                <w:color w:val="000000"/>
                <w:sz w:val="16"/>
                <w:szCs w:val="16"/>
                <w:lang w:eastAsia="en-NZ"/>
              </w:rPr>
            </w:pPr>
            <w:r w:rsidRPr="00BA4EEA">
              <w:rPr>
                <w:color w:val="000000"/>
                <w:sz w:val="16"/>
                <w:szCs w:val="16"/>
                <w:lang w:eastAsia="en-NZ"/>
              </w:rPr>
              <w:t>1.00</w:t>
            </w:r>
          </w:p>
        </w:tc>
        <w:tc>
          <w:tcPr>
            <w:tcW w:w="1276" w:type="dxa"/>
            <w:shd w:val="clear" w:color="auto" w:fill="auto"/>
            <w:vAlign w:val="bottom"/>
          </w:tcPr>
          <w:p w14:paraId="3D3FB291" w14:textId="77777777" w:rsidR="00491C93" w:rsidRPr="00BA4EEA" w:rsidRDefault="00491C93" w:rsidP="00491C93">
            <w:pPr>
              <w:jc w:val="right"/>
              <w:rPr>
                <w:color w:val="000000"/>
                <w:sz w:val="16"/>
                <w:szCs w:val="16"/>
                <w:lang w:eastAsia="en-NZ"/>
              </w:rPr>
            </w:pPr>
          </w:p>
        </w:tc>
        <w:tc>
          <w:tcPr>
            <w:tcW w:w="850" w:type="dxa"/>
            <w:shd w:val="clear" w:color="auto" w:fill="auto"/>
            <w:vAlign w:val="bottom"/>
          </w:tcPr>
          <w:p w14:paraId="4FB246FB" w14:textId="77777777" w:rsidR="00491C93" w:rsidRPr="00BA4EEA" w:rsidRDefault="00491C93" w:rsidP="00491C93">
            <w:pPr>
              <w:jc w:val="right"/>
              <w:rPr>
                <w:color w:val="000000"/>
                <w:sz w:val="16"/>
                <w:szCs w:val="16"/>
                <w:lang w:eastAsia="en-NZ"/>
              </w:rPr>
            </w:pPr>
          </w:p>
        </w:tc>
      </w:tr>
      <w:tr w:rsidR="00491C93" w:rsidRPr="001A61F1" w14:paraId="45C33497" w14:textId="77777777" w:rsidTr="001C5E0E">
        <w:tc>
          <w:tcPr>
            <w:tcW w:w="5387" w:type="dxa"/>
          </w:tcPr>
          <w:p w14:paraId="667FD428" w14:textId="77777777" w:rsidR="00491C93" w:rsidRPr="003F15C0" w:rsidRDefault="00491C93" w:rsidP="00491C93">
            <w:pPr>
              <w:spacing w:before="20"/>
              <w:ind w:left="176"/>
              <w:jc w:val="both"/>
              <w:rPr>
                <w:sz w:val="16"/>
                <w:szCs w:val="16"/>
              </w:rPr>
            </w:pPr>
            <w:r w:rsidRPr="003F15C0">
              <w:rPr>
                <w:sz w:val="16"/>
                <w:szCs w:val="16"/>
              </w:rPr>
              <w:t>With one person</w:t>
            </w:r>
          </w:p>
        </w:tc>
        <w:tc>
          <w:tcPr>
            <w:tcW w:w="992" w:type="dxa"/>
            <w:shd w:val="clear" w:color="auto" w:fill="auto"/>
            <w:vAlign w:val="bottom"/>
          </w:tcPr>
          <w:p w14:paraId="50FAFB17" w14:textId="77777777" w:rsidR="00491C93" w:rsidRPr="00BA4EEA" w:rsidRDefault="00491C93" w:rsidP="00491C93">
            <w:pPr>
              <w:jc w:val="right"/>
              <w:rPr>
                <w:color w:val="000000"/>
                <w:sz w:val="16"/>
                <w:szCs w:val="16"/>
                <w:lang w:eastAsia="en-NZ"/>
              </w:rPr>
            </w:pPr>
            <w:r w:rsidRPr="00BA4EEA">
              <w:rPr>
                <w:color w:val="000000"/>
                <w:sz w:val="16"/>
                <w:szCs w:val="16"/>
                <w:lang w:eastAsia="en-NZ"/>
              </w:rPr>
              <w:t>2.09</w:t>
            </w:r>
          </w:p>
        </w:tc>
        <w:tc>
          <w:tcPr>
            <w:tcW w:w="1276" w:type="dxa"/>
            <w:shd w:val="clear" w:color="auto" w:fill="auto"/>
            <w:vAlign w:val="bottom"/>
          </w:tcPr>
          <w:p w14:paraId="477F8529" w14:textId="77777777" w:rsidR="00491C93" w:rsidRPr="00BA4EEA" w:rsidRDefault="00491C93" w:rsidP="00491C93">
            <w:pPr>
              <w:jc w:val="right"/>
              <w:rPr>
                <w:color w:val="000000"/>
                <w:sz w:val="16"/>
                <w:szCs w:val="16"/>
                <w:lang w:eastAsia="en-NZ"/>
              </w:rPr>
            </w:pPr>
            <w:r w:rsidRPr="00BA4EEA">
              <w:rPr>
                <w:color w:val="000000"/>
                <w:sz w:val="16"/>
                <w:szCs w:val="16"/>
                <w:lang w:eastAsia="en-NZ"/>
              </w:rPr>
              <w:t>(1.13, 3.86)</w:t>
            </w:r>
          </w:p>
        </w:tc>
        <w:tc>
          <w:tcPr>
            <w:tcW w:w="850" w:type="dxa"/>
            <w:shd w:val="clear" w:color="auto" w:fill="auto"/>
            <w:vAlign w:val="bottom"/>
          </w:tcPr>
          <w:p w14:paraId="02244DA4" w14:textId="77777777" w:rsidR="00491C93" w:rsidRPr="00BA4EEA" w:rsidRDefault="00491C93" w:rsidP="00491C93">
            <w:pPr>
              <w:jc w:val="right"/>
              <w:rPr>
                <w:color w:val="000000"/>
                <w:sz w:val="16"/>
                <w:szCs w:val="16"/>
                <w:lang w:eastAsia="en-NZ"/>
              </w:rPr>
            </w:pPr>
          </w:p>
        </w:tc>
      </w:tr>
      <w:tr w:rsidR="00491C93" w:rsidRPr="001A61F1" w14:paraId="0B5C054B" w14:textId="77777777" w:rsidTr="00173F02">
        <w:tc>
          <w:tcPr>
            <w:tcW w:w="5387" w:type="dxa"/>
          </w:tcPr>
          <w:p w14:paraId="6CC55E8B" w14:textId="77777777" w:rsidR="00491C93" w:rsidRPr="003F15C0" w:rsidRDefault="00491C93" w:rsidP="00491C93">
            <w:pPr>
              <w:spacing w:before="20"/>
              <w:ind w:left="176"/>
              <w:jc w:val="both"/>
              <w:rPr>
                <w:sz w:val="16"/>
                <w:szCs w:val="16"/>
              </w:rPr>
            </w:pPr>
            <w:r w:rsidRPr="003F15C0">
              <w:rPr>
                <w:sz w:val="16"/>
                <w:szCs w:val="16"/>
              </w:rPr>
              <w:t>With several people/a group</w:t>
            </w:r>
          </w:p>
        </w:tc>
        <w:tc>
          <w:tcPr>
            <w:tcW w:w="992" w:type="dxa"/>
            <w:shd w:val="clear" w:color="auto" w:fill="auto"/>
            <w:vAlign w:val="bottom"/>
          </w:tcPr>
          <w:p w14:paraId="6AC8FB98" w14:textId="77777777" w:rsidR="00491C93" w:rsidRPr="00BA4EEA" w:rsidRDefault="00491C93" w:rsidP="00491C93">
            <w:pPr>
              <w:jc w:val="right"/>
              <w:rPr>
                <w:color w:val="000000"/>
                <w:sz w:val="16"/>
                <w:szCs w:val="16"/>
                <w:lang w:eastAsia="en-NZ"/>
              </w:rPr>
            </w:pPr>
            <w:r w:rsidRPr="00BA4EEA">
              <w:rPr>
                <w:color w:val="000000"/>
                <w:sz w:val="16"/>
                <w:szCs w:val="16"/>
                <w:lang w:eastAsia="en-NZ"/>
              </w:rPr>
              <w:t>0.85</w:t>
            </w:r>
          </w:p>
        </w:tc>
        <w:tc>
          <w:tcPr>
            <w:tcW w:w="1276" w:type="dxa"/>
            <w:shd w:val="clear" w:color="auto" w:fill="auto"/>
            <w:vAlign w:val="bottom"/>
          </w:tcPr>
          <w:p w14:paraId="3B68F539" w14:textId="77777777" w:rsidR="00491C93" w:rsidRPr="00BA4EEA" w:rsidRDefault="00491C93" w:rsidP="00491C93">
            <w:pPr>
              <w:jc w:val="right"/>
              <w:rPr>
                <w:color w:val="000000"/>
                <w:sz w:val="16"/>
                <w:szCs w:val="16"/>
                <w:lang w:eastAsia="en-NZ"/>
              </w:rPr>
            </w:pPr>
            <w:r w:rsidRPr="00BA4EEA">
              <w:rPr>
                <w:color w:val="000000"/>
                <w:sz w:val="16"/>
                <w:szCs w:val="16"/>
                <w:lang w:eastAsia="en-NZ"/>
              </w:rPr>
              <w:t>(0.43, 1.71)</w:t>
            </w:r>
          </w:p>
        </w:tc>
        <w:tc>
          <w:tcPr>
            <w:tcW w:w="850" w:type="dxa"/>
            <w:shd w:val="clear" w:color="auto" w:fill="auto"/>
            <w:vAlign w:val="bottom"/>
          </w:tcPr>
          <w:p w14:paraId="4494610D" w14:textId="77777777" w:rsidR="00491C93" w:rsidRPr="00BA4EEA" w:rsidRDefault="00491C93" w:rsidP="00491C93">
            <w:pPr>
              <w:jc w:val="right"/>
              <w:rPr>
                <w:color w:val="000000"/>
                <w:sz w:val="16"/>
                <w:szCs w:val="16"/>
                <w:lang w:eastAsia="en-NZ"/>
              </w:rPr>
            </w:pPr>
            <w:r w:rsidRPr="00BA4EEA">
              <w:rPr>
                <w:color w:val="000000"/>
                <w:sz w:val="16"/>
                <w:szCs w:val="16"/>
                <w:lang w:eastAsia="en-NZ"/>
              </w:rPr>
              <w:t>0.03</w:t>
            </w:r>
          </w:p>
        </w:tc>
      </w:tr>
      <w:tr w:rsidR="00491C93" w:rsidRPr="001A61F1" w14:paraId="69B1A9A6" w14:textId="77777777" w:rsidTr="001C5E0E">
        <w:tc>
          <w:tcPr>
            <w:tcW w:w="5387" w:type="dxa"/>
            <w:vAlign w:val="center"/>
          </w:tcPr>
          <w:p w14:paraId="6443D25B" w14:textId="77777777" w:rsidR="00491C93" w:rsidRPr="003F15C0" w:rsidRDefault="00491C93" w:rsidP="00491C93">
            <w:pPr>
              <w:spacing w:before="20"/>
              <w:rPr>
                <w:b/>
                <w:bCs/>
                <w:color w:val="000000"/>
                <w:sz w:val="16"/>
                <w:szCs w:val="16"/>
              </w:rPr>
            </w:pPr>
            <w:r w:rsidRPr="003F15C0">
              <w:rPr>
                <w:b/>
                <w:bCs/>
                <w:color w:val="000000"/>
                <w:sz w:val="16"/>
                <w:szCs w:val="16"/>
              </w:rPr>
              <w:t xml:space="preserve">Methods - Setting a dollar </w:t>
            </w:r>
            <w:r>
              <w:rPr>
                <w:b/>
                <w:bCs/>
                <w:color w:val="000000"/>
                <w:sz w:val="16"/>
                <w:szCs w:val="16"/>
              </w:rPr>
              <w:t>limit</w:t>
            </w:r>
            <w:r w:rsidRPr="003F15C0">
              <w:rPr>
                <w:b/>
                <w:bCs/>
                <w:color w:val="000000"/>
                <w:sz w:val="16"/>
                <w:szCs w:val="16"/>
              </w:rPr>
              <w:t xml:space="preserve"> before leaving home</w:t>
            </w:r>
          </w:p>
        </w:tc>
        <w:tc>
          <w:tcPr>
            <w:tcW w:w="992" w:type="dxa"/>
            <w:shd w:val="clear" w:color="auto" w:fill="auto"/>
            <w:vAlign w:val="bottom"/>
          </w:tcPr>
          <w:p w14:paraId="18E9CB2C"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5C240FDB"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6E81193A" w14:textId="77777777" w:rsidR="00491C93" w:rsidRPr="007B750E" w:rsidRDefault="00491C93" w:rsidP="00491C93">
            <w:pPr>
              <w:jc w:val="right"/>
              <w:rPr>
                <w:color w:val="000000"/>
                <w:sz w:val="16"/>
                <w:szCs w:val="16"/>
                <w:lang w:eastAsia="en-NZ"/>
              </w:rPr>
            </w:pPr>
          </w:p>
        </w:tc>
      </w:tr>
      <w:tr w:rsidR="00491C93" w:rsidRPr="001A61F1" w14:paraId="4C28ED11" w14:textId="77777777" w:rsidTr="001C5E0E">
        <w:tc>
          <w:tcPr>
            <w:tcW w:w="5387" w:type="dxa"/>
          </w:tcPr>
          <w:p w14:paraId="5FC62E94"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50F5C579" w14:textId="77777777" w:rsidR="00491C93" w:rsidRPr="00BA4EEA" w:rsidRDefault="00491C93" w:rsidP="00491C93">
            <w:pPr>
              <w:jc w:val="right"/>
              <w:rPr>
                <w:color w:val="000000"/>
                <w:sz w:val="16"/>
                <w:szCs w:val="16"/>
                <w:lang w:eastAsia="en-NZ"/>
              </w:rPr>
            </w:pPr>
            <w:r w:rsidRPr="00BA4EEA">
              <w:rPr>
                <w:color w:val="000000"/>
                <w:sz w:val="16"/>
                <w:szCs w:val="16"/>
                <w:lang w:eastAsia="en-NZ"/>
              </w:rPr>
              <w:t>1.00</w:t>
            </w:r>
          </w:p>
        </w:tc>
        <w:tc>
          <w:tcPr>
            <w:tcW w:w="1276" w:type="dxa"/>
            <w:shd w:val="clear" w:color="auto" w:fill="auto"/>
            <w:vAlign w:val="bottom"/>
          </w:tcPr>
          <w:p w14:paraId="7FA58766" w14:textId="77777777" w:rsidR="00491C93" w:rsidRPr="00BA4EEA" w:rsidRDefault="00491C93" w:rsidP="00491C93">
            <w:pPr>
              <w:jc w:val="right"/>
              <w:rPr>
                <w:color w:val="000000"/>
                <w:sz w:val="16"/>
                <w:szCs w:val="16"/>
                <w:lang w:eastAsia="en-NZ"/>
              </w:rPr>
            </w:pPr>
          </w:p>
        </w:tc>
        <w:tc>
          <w:tcPr>
            <w:tcW w:w="850" w:type="dxa"/>
            <w:shd w:val="clear" w:color="auto" w:fill="auto"/>
            <w:vAlign w:val="bottom"/>
          </w:tcPr>
          <w:p w14:paraId="0C484919" w14:textId="77777777" w:rsidR="00491C93" w:rsidRPr="00BA4EEA" w:rsidRDefault="00491C93" w:rsidP="00491C93">
            <w:pPr>
              <w:jc w:val="right"/>
              <w:rPr>
                <w:color w:val="000000"/>
                <w:sz w:val="16"/>
                <w:szCs w:val="16"/>
                <w:lang w:eastAsia="en-NZ"/>
              </w:rPr>
            </w:pPr>
          </w:p>
        </w:tc>
      </w:tr>
      <w:tr w:rsidR="00491C93" w:rsidRPr="001A61F1" w14:paraId="6F5B917D" w14:textId="77777777" w:rsidTr="00173F02">
        <w:tc>
          <w:tcPr>
            <w:tcW w:w="5387" w:type="dxa"/>
          </w:tcPr>
          <w:p w14:paraId="591B8CBA"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10F29676" w14:textId="77777777" w:rsidR="00491C93" w:rsidRPr="00BA4EEA" w:rsidRDefault="00491C93" w:rsidP="00491C93">
            <w:pPr>
              <w:jc w:val="right"/>
              <w:rPr>
                <w:color w:val="000000"/>
                <w:sz w:val="16"/>
                <w:szCs w:val="16"/>
                <w:lang w:eastAsia="en-NZ"/>
              </w:rPr>
            </w:pPr>
            <w:r w:rsidRPr="00BA4EEA">
              <w:rPr>
                <w:color w:val="000000"/>
                <w:sz w:val="16"/>
                <w:szCs w:val="16"/>
                <w:lang w:eastAsia="en-NZ"/>
              </w:rPr>
              <w:t>2.96</w:t>
            </w:r>
          </w:p>
        </w:tc>
        <w:tc>
          <w:tcPr>
            <w:tcW w:w="1276" w:type="dxa"/>
            <w:shd w:val="clear" w:color="auto" w:fill="auto"/>
            <w:vAlign w:val="bottom"/>
          </w:tcPr>
          <w:p w14:paraId="4582ED01" w14:textId="77777777" w:rsidR="00491C93" w:rsidRPr="00BA4EEA" w:rsidRDefault="00491C93" w:rsidP="00491C93">
            <w:pPr>
              <w:jc w:val="right"/>
              <w:rPr>
                <w:color w:val="000000"/>
                <w:sz w:val="16"/>
                <w:szCs w:val="16"/>
                <w:lang w:eastAsia="en-NZ"/>
              </w:rPr>
            </w:pPr>
            <w:r w:rsidRPr="00BA4EEA">
              <w:rPr>
                <w:color w:val="000000"/>
                <w:sz w:val="16"/>
                <w:szCs w:val="16"/>
                <w:lang w:eastAsia="en-NZ"/>
              </w:rPr>
              <w:t>(1.81, 4.84)</w:t>
            </w:r>
          </w:p>
        </w:tc>
        <w:tc>
          <w:tcPr>
            <w:tcW w:w="850" w:type="dxa"/>
            <w:shd w:val="clear" w:color="auto" w:fill="auto"/>
            <w:vAlign w:val="bottom"/>
          </w:tcPr>
          <w:p w14:paraId="4ACB2BC9" w14:textId="77777777" w:rsidR="00491C93" w:rsidRPr="00BA4EEA" w:rsidRDefault="00491C93" w:rsidP="00491C93">
            <w:pPr>
              <w:jc w:val="right"/>
              <w:rPr>
                <w:color w:val="000000"/>
                <w:sz w:val="16"/>
                <w:szCs w:val="16"/>
                <w:lang w:eastAsia="en-NZ"/>
              </w:rPr>
            </w:pPr>
            <w:r w:rsidRPr="00BA4EEA">
              <w:rPr>
                <w:color w:val="000000"/>
                <w:sz w:val="16"/>
                <w:szCs w:val="16"/>
                <w:lang w:eastAsia="en-NZ"/>
              </w:rPr>
              <w:t>&lt;0.0001</w:t>
            </w:r>
          </w:p>
        </w:tc>
      </w:tr>
      <w:tr w:rsidR="00491C93" w:rsidRPr="001A61F1" w14:paraId="458D34E8" w14:textId="77777777" w:rsidTr="001C5E0E">
        <w:tc>
          <w:tcPr>
            <w:tcW w:w="5387" w:type="dxa"/>
          </w:tcPr>
          <w:p w14:paraId="26E94F97" w14:textId="77777777" w:rsidR="00491C93" w:rsidRPr="003F15C0" w:rsidRDefault="00491C93" w:rsidP="00491C93">
            <w:pPr>
              <w:spacing w:before="20"/>
              <w:rPr>
                <w:b/>
                <w:bCs/>
                <w:color w:val="000000"/>
                <w:sz w:val="16"/>
                <w:szCs w:val="16"/>
              </w:rPr>
            </w:pPr>
            <w:r w:rsidRPr="003F15C0">
              <w:rPr>
                <w:b/>
                <w:bCs/>
                <w:color w:val="000000"/>
                <w:sz w:val="16"/>
                <w:szCs w:val="16"/>
              </w:rPr>
              <w:t>Methods - Getting someone you trust to manage the money</w:t>
            </w:r>
          </w:p>
        </w:tc>
        <w:tc>
          <w:tcPr>
            <w:tcW w:w="992" w:type="dxa"/>
            <w:shd w:val="clear" w:color="auto" w:fill="auto"/>
            <w:vAlign w:val="bottom"/>
          </w:tcPr>
          <w:p w14:paraId="5F9F0BFA"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739B5188"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2893B4D6" w14:textId="77777777" w:rsidR="00491C93" w:rsidRPr="007B750E" w:rsidRDefault="00491C93" w:rsidP="00491C93">
            <w:pPr>
              <w:jc w:val="right"/>
              <w:rPr>
                <w:color w:val="000000"/>
                <w:sz w:val="16"/>
                <w:szCs w:val="16"/>
                <w:lang w:eastAsia="en-NZ"/>
              </w:rPr>
            </w:pPr>
          </w:p>
        </w:tc>
      </w:tr>
      <w:tr w:rsidR="00491C93" w:rsidRPr="001A61F1" w14:paraId="45B10341" w14:textId="77777777" w:rsidTr="001C5E0E">
        <w:tc>
          <w:tcPr>
            <w:tcW w:w="5387" w:type="dxa"/>
          </w:tcPr>
          <w:p w14:paraId="553386D7"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34C8C8C9" w14:textId="77777777" w:rsidR="00491C93" w:rsidRPr="00BA4EEA" w:rsidRDefault="00491C93" w:rsidP="00491C93">
            <w:pPr>
              <w:jc w:val="right"/>
              <w:rPr>
                <w:color w:val="000000"/>
                <w:sz w:val="16"/>
                <w:szCs w:val="16"/>
                <w:lang w:eastAsia="en-NZ"/>
              </w:rPr>
            </w:pPr>
            <w:r w:rsidRPr="00BA4EEA">
              <w:rPr>
                <w:color w:val="000000"/>
                <w:sz w:val="16"/>
                <w:szCs w:val="16"/>
                <w:lang w:eastAsia="en-NZ"/>
              </w:rPr>
              <w:t>1.00</w:t>
            </w:r>
          </w:p>
        </w:tc>
        <w:tc>
          <w:tcPr>
            <w:tcW w:w="1276" w:type="dxa"/>
            <w:shd w:val="clear" w:color="auto" w:fill="auto"/>
            <w:vAlign w:val="bottom"/>
          </w:tcPr>
          <w:p w14:paraId="15CBA954" w14:textId="77777777" w:rsidR="00491C93" w:rsidRPr="00BA4EEA" w:rsidRDefault="00491C93" w:rsidP="00491C93">
            <w:pPr>
              <w:jc w:val="right"/>
              <w:rPr>
                <w:color w:val="000000"/>
                <w:sz w:val="16"/>
                <w:szCs w:val="16"/>
                <w:lang w:eastAsia="en-NZ"/>
              </w:rPr>
            </w:pPr>
          </w:p>
        </w:tc>
        <w:tc>
          <w:tcPr>
            <w:tcW w:w="850" w:type="dxa"/>
            <w:shd w:val="clear" w:color="auto" w:fill="auto"/>
            <w:vAlign w:val="bottom"/>
          </w:tcPr>
          <w:p w14:paraId="412BBAFB" w14:textId="77777777" w:rsidR="00491C93" w:rsidRPr="00BA4EEA" w:rsidRDefault="00491C93" w:rsidP="00491C93">
            <w:pPr>
              <w:jc w:val="right"/>
              <w:rPr>
                <w:color w:val="000000"/>
                <w:sz w:val="16"/>
                <w:szCs w:val="16"/>
                <w:lang w:eastAsia="en-NZ"/>
              </w:rPr>
            </w:pPr>
          </w:p>
        </w:tc>
      </w:tr>
      <w:tr w:rsidR="00491C93" w:rsidRPr="001A61F1" w14:paraId="463677A2" w14:textId="77777777" w:rsidTr="00173F02">
        <w:tc>
          <w:tcPr>
            <w:tcW w:w="5387" w:type="dxa"/>
          </w:tcPr>
          <w:p w14:paraId="32D6A6D0"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6FCA3700" w14:textId="77777777" w:rsidR="00491C93" w:rsidRPr="00BA4EEA" w:rsidRDefault="00491C93" w:rsidP="00491C93">
            <w:pPr>
              <w:jc w:val="right"/>
              <w:rPr>
                <w:color w:val="000000"/>
                <w:sz w:val="16"/>
                <w:szCs w:val="16"/>
                <w:lang w:eastAsia="en-NZ"/>
              </w:rPr>
            </w:pPr>
            <w:r w:rsidRPr="00BA4EEA">
              <w:rPr>
                <w:color w:val="000000"/>
                <w:sz w:val="16"/>
                <w:szCs w:val="16"/>
                <w:lang w:eastAsia="en-NZ"/>
              </w:rPr>
              <w:t>14.44</w:t>
            </w:r>
          </w:p>
        </w:tc>
        <w:tc>
          <w:tcPr>
            <w:tcW w:w="1276" w:type="dxa"/>
            <w:shd w:val="clear" w:color="auto" w:fill="auto"/>
            <w:vAlign w:val="bottom"/>
          </w:tcPr>
          <w:p w14:paraId="3BACF91B" w14:textId="77777777" w:rsidR="00491C93" w:rsidRPr="00BA4EEA" w:rsidRDefault="00491C93" w:rsidP="00491C93">
            <w:pPr>
              <w:jc w:val="right"/>
              <w:rPr>
                <w:color w:val="000000"/>
                <w:sz w:val="16"/>
                <w:szCs w:val="16"/>
                <w:lang w:eastAsia="en-NZ"/>
              </w:rPr>
            </w:pPr>
            <w:r w:rsidRPr="00BA4EEA">
              <w:rPr>
                <w:color w:val="000000"/>
                <w:sz w:val="16"/>
                <w:szCs w:val="16"/>
                <w:lang w:eastAsia="en-NZ"/>
              </w:rPr>
              <w:t>(3.56, 58.62)</w:t>
            </w:r>
          </w:p>
        </w:tc>
        <w:tc>
          <w:tcPr>
            <w:tcW w:w="850" w:type="dxa"/>
            <w:shd w:val="clear" w:color="auto" w:fill="auto"/>
            <w:vAlign w:val="bottom"/>
          </w:tcPr>
          <w:p w14:paraId="75DD4F41" w14:textId="77777777" w:rsidR="00491C93" w:rsidRPr="00BA4EEA" w:rsidRDefault="00491C93" w:rsidP="00491C93">
            <w:pPr>
              <w:jc w:val="right"/>
              <w:rPr>
                <w:color w:val="000000"/>
                <w:sz w:val="16"/>
                <w:szCs w:val="16"/>
                <w:lang w:eastAsia="en-NZ"/>
              </w:rPr>
            </w:pPr>
            <w:r w:rsidRPr="00BA4EEA">
              <w:rPr>
                <w:color w:val="000000"/>
                <w:sz w:val="16"/>
                <w:szCs w:val="16"/>
                <w:lang w:eastAsia="en-NZ"/>
              </w:rPr>
              <w:t>0.0002</w:t>
            </w:r>
          </w:p>
        </w:tc>
      </w:tr>
      <w:tr w:rsidR="00491C93" w:rsidRPr="001A61F1" w14:paraId="614559B7" w14:textId="77777777" w:rsidTr="001C5E0E">
        <w:tc>
          <w:tcPr>
            <w:tcW w:w="5387" w:type="dxa"/>
          </w:tcPr>
          <w:p w14:paraId="329867FB" w14:textId="77777777" w:rsidR="00491C93" w:rsidRPr="003F15C0" w:rsidRDefault="00491C93" w:rsidP="00491C93">
            <w:pPr>
              <w:spacing w:before="20"/>
              <w:rPr>
                <w:color w:val="000000"/>
                <w:sz w:val="16"/>
                <w:szCs w:val="16"/>
              </w:rPr>
            </w:pPr>
            <w:r w:rsidRPr="003F15C0">
              <w:rPr>
                <w:b/>
                <w:bCs/>
                <w:color w:val="000000"/>
                <w:sz w:val="16"/>
                <w:szCs w:val="16"/>
              </w:rPr>
              <w:t>Methods - Separating money for betting from other money and stopping</w:t>
            </w:r>
          </w:p>
        </w:tc>
        <w:tc>
          <w:tcPr>
            <w:tcW w:w="992" w:type="dxa"/>
            <w:shd w:val="clear" w:color="auto" w:fill="auto"/>
            <w:vAlign w:val="bottom"/>
          </w:tcPr>
          <w:p w14:paraId="1BD9D1C4"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0E510DEB"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568FAF4F" w14:textId="77777777" w:rsidR="00491C93" w:rsidRPr="007B750E" w:rsidRDefault="00491C93" w:rsidP="00491C93">
            <w:pPr>
              <w:jc w:val="right"/>
              <w:rPr>
                <w:color w:val="000000"/>
                <w:sz w:val="16"/>
                <w:szCs w:val="16"/>
                <w:lang w:eastAsia="en-NZ"/>
              </w:rPr>
            </w:pPr>
          </w:p>
        </w:tc>
      </w:tr>
      <w:tr w:rsidR="00491C93" w:rsidRPr="001A61F1" w14:paraId="701E3011" w14:textId="77777777" w:rsidTr="001C5E0E">
        <w:tc>
          <w:tcPr>
            <w:tcW w:w="5387" w:type="dxa"/>
          </w:tcPr>
          <w:p w14:paraId="3C8FB086"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6F73E5DC" w14:textId="77777777" w:rsidR="00491C93" w:rsidRPr="00BA4EEA" w:rsidRDefault="00491C93" w:rsidP="00491C93">
            <w:pPr>
              <w:jc w:val="right"/>
              <w:rPr>
                <w:color w:val="000000"/>
                <w:sz w:val="16"/>
                <w:szCs w:val="16"/>
                <w:lang w:eastAsia="en-NZ"/>
              </w:rPr>
            </w:pPr>
            <w:r w:rsidRPr="00BA4EEA">
              <w:rPr>
                <w:color w:val="000000"/>
                <w:sz w:val="16"/>
                <w:szCs w:val="16"/>
                <w:lang w:eastAsia="en-NZ"/>
              </w:rPr>
              <w:t>1.00</w:t>
            </w:r>
          </w:p>
        </w:tc>
        <w:tc>
          <w:tcPr>
            <w:tcW w:w="1276" w:type="dxa"/>
            <w:shd w:val="clear" w:color="auto" w:fill="auto"/>
            <w:vAlign w:val="bottom"/>
          </w:tcPr>
          <w:p w14:paraId="4C461950" w14:textId="77777777" w:rsidR="00491C93" w:rsidRPr="00BA4EEA" w:rsidRDefault="00491C93" w:rsidP="00491C93">
            <w:pPr>
              <w:jc w:val="right"/>
              <w:rPr>
                <w:color w:val="000000"/>
                <w:sz w:val="16"/>
                <w:szCs w:val="16"/>
                <w:lang w:eastAsia="en-NZ"/>
              </w:rPr>
            </w:pPr>
          </w:p>
        </w:tc>
        <w:tc>
          <w:tcPr>
            <w:tcW w:w="850" w:type="dxa"/>
            <w:shd w:val="clear" w:color="auto" w:fill="auto"/>
            <w:vAlign w:val="bottom"/>
          </w:tcPr>
          <w:p w14:paraId="3845FD96" w14:textId="77777777" w:rsidR="00491C93" w:rsidRPr="00BA4EEA" w:rsidRDefault="00491C93" w:rsidP="00491C93">
            <w:pPr>
              <w:jc w:val="right"/>
              <w:rPr>
                <w:color w:val="000000"/>
                <w:sz w:val="16"/>
                <w:szCs w:val="16"/>
                <w:lang w:eastAsia="en-NZ"/>
              </w:rPr>
            </w:pPr>
          </w:p>
        </w:tc>
      </w:tr>
      <w:tr w:rsidR="00491C93" w:rsidRPr="001A61F1" w14:paraId="17C33676" w14:textId="77777777" w:rsidTr="00173F02">
        <w:tc>
          <w:tcPr>
            <w:tcW w:w="5387" w:type="dxa"/>
          </w:tcPr>
          <w:p w14:paraId="5126EE71"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5D963F0A" w14:textId="77777777" w:rsidR="00491C93" w:rsidRPr="00BA4EEA" w:rsidRDefault="00491C93" w:rsidP="00491C93">
            <w:pPr>
              <w:jc w:val="right"/>
              <w:rPr>
                <w:color w:val="000000"/>
                <w:sz w:val="16"/>
                <w:szCs w:val="16"/>
                <w:lang w:eastAsia="en-NZ"/>
              </w:rPr>
            </w:pPr>
            <w:r w:rsidRPr="00BA4EEA">
              <w:rPr>
                <w:color w:val="000000"/>
                <w:sz w:val="16"/>
                <w:szCs w:val="16"/>
                <w:lang w:eastAsia="en-NZ"/>
              </w:rPr>
              <w:t>5.26</w:t>
            </w:r>
          </w:p>
        </w:tc>
        <w:tc>
          <w:tcPr>
            <w:tcW w:w="1276" w:type="dxa"/>
            <w:shd w:val="clear" w:color="auto" w:fill="auto"/>
            <w:vAlign w:val="bottom"/>
          </w:tcPr>
          <w:p w14:paraId="67FD423D" w14:textId="77777777" w:rsidR="00491C93" w:rsidRPr="00BA4EEA" w:rsidRDefault="00491C93" w:rsidP="00491C93">
            <w:pPr>
              <w:jc w:val="right"/>
              <w:rPr>
                <w:color w:val="000000"/>
                <w:sz w:val="16"/>
                <w:szCs w:val="16"/>
                <w:lang w:eastAsia="en-NZ"/>
              </w:rPr>
            </w:pPr>
            <w:r w:rsidRPr="00BA4EEA">
              <w:rPr>
                <w:color w:val="000000"/>
                <w:sz w:val="16"/>
                <w:szCs w:val="16"/>
                <w:lang w:eastAsia="en-NZ"/>
              </w:rPr>
              <w:t>(2.50, 11.05)</w:t>
            </w:r>
          </w:p>
        </w:tc>
        <w:tc>
          <w:tcPr>
            <w:tcW w:w="850" w:type="dxa"/>
            <w:shd w:val="clear" w:color="auto" w:fill="auto"/>
            <w:vAlign w:val="bottom"/>
          </w:tcPr>
          <w:p w14:paraId="79E315AB" w14:textId="77777777" w:rsidR="00491C93" w:rsidRPr="00BA4EEA" w:rsidRDefault="00491C93" w:rsidP="00491C93">
            <w:pPr>
              <w:jc w:val="right"/>
              <w:rPr>
                <w:color w:val="000000"/>
                <w:sz w:val="16"/>
                <w:szCs w:val="16"/>
                <w:lang w:eastAsia="en-NZ"/>
              </w:rPr>
            </w:pPr>
            <w:r w:rsidRPr="00BA4EEA">
              <w:rPr>
                <w:color w:val="000000"/>
                <w:sz w:val="16"/>
                <w:szCs w:val="16"/>
                <w:lang w:eastAsia="en-NZ"/>
              </w:rPr>
              <w:t>&lt;0.0001</w:t>
            </w:r>
          </w:p>
        </w:tc>
      </w:tr>
      <w:tr w:rsidR="00491C93" w:rsidRPr="001A61F1" w14:paraId="45D82C26" w14:textId="77777777" w:rsidTr="001C5E0E">
        <w:tc>
          <w:tcPr>
            <w:tcW w:w="5387" w:type="dxa"/>
            <w:vAlign w:val="center"/>
          </w:tcPr>
          <w:p w14:paraId="370D11BA" w14:textId="77777777" w:rsidR="00491C93" w:rsidRPr="003F15C0" w:rsidRDefault="00491C93" w:rsidP="00491C93">
            <w:pPr>
              <w:spacing w:before="20"/>
              <w:rPr>
                <w:b/>
                <w:bCs/>
                <w:color w:val="000000"/>
                <w:sz w:val="16"/>
                <w:szCs w:val="16"/>
              </w:rPr>
            </w:pPr>
            <w:r w:rsidRPr="003F15C0">
              <w:rPr>
                <w:b/>
                <w:bCs/>
                <w:color w:val="000000"/>
                <w:sz w:val="16"/>
                <w:szCs w:val="16"/>
              </w:rPr>
              <w:t>Methods - Leaving ATM and credit cards at home</w:t>
            </w:r>
          </w:p>
        </w:tc>
        <w:tc>
          <w:tcPr>
            <w:tcW w:w="992" w:type="dxa"/>
            <w:shd w:val="clear" w:color="auto" w:fill="auto"/>
            <w:vAlign w:val="bottom"/>
          </w:tcPr>
          <w:p w14:paraId="0B6DE3A4"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11C2C09B"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7763AC5C" w14:textId="77777777" w:rsidR="00491C93" w:rsidRPr="007B750E" w:rsidRDefault="00491C93" w:rsidP="00491C93">
            <w:pPr>
              <w:jc w:val="right"/>
              <w:rPr>
                <w:color w:val="000000"/>
                <w:sz w:val="16"/>
                <w:szCs w:val="16"/>
                <w:lang w:eastAsia="en-NZ"/>
              </w:rPr>
            </w:pPr>
          </w:p>
        </w:tc>
      </w:tr>
      <w:tr w:rsidR="00491C93" w:rsidRPr="001A61F1" w14:paraId="2B48C52E" w14:textId="77777777" w:rsidTr="00D34B0E">
        <w:tc>
          <w:tcPr>
            <w:tcW w:w="5387" w:type="dxa"/>
          </w:tcPr>
          <w:p w14:paraId="112288D9"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74E8948B" w14:textId="77777777" w:rsidR="00491C93" w:rsidRPr="00BA4EEA" w:rsidRDefault="00491C93" w:rsidP="00491C93">
            <w:pPr>
              <w:jc w:val="right"/>
              <w:rPr>
                <w:color w:val="000000"/>
                <w:sz w:val="16"/>
                <w:szCs w:val="16"/>
                <w:lang w:eastAsia="en-NZ"/>
              </w:rPr>
            </w:pPr>
            <w:r w:rsidRPr="00BA4EEA">
              <w:rPr>
                <w:color w:val="000000"/>
                <w:sz w:val="16"/>
                <w:szCs w:val="16"/>
                <w:lang w:eastAsia="en-NZ"/>
              </w:rPr>
              <w:t>1.00</w:t>
            </w:r>
          </w:p>
        </w:tc>
        <w:tc>
          <w:tcPr>
            <w:tcW w:w="1276" w:type="dxa"/>
            <w:shd w:val="clear" w:color="auto" w:fill="auto"/>
            <w:vAlign w:val="bottom"/>
          </w:tcPr>
          <w:p w14:paraId="19977CAE" w14:textId="77777777" w:rsidR="00491C93" w:rsidRPr="00BA4EEA" w:rsidRDefault="00491C93" w:rsidP="00491C93">
            <w:pPr>
              <w:jc w:val="right"/>
              <w:rPr>
                <w:color w:val="000000"/>
                <w:sz w:val="16"/>
                <w:szCs w:val="16"/>
                <w:lang w:eastAsia="en-NZ"/>
              </w:rPr>
            </w:pPr>
          </w:p>
        </w:tc>
        <w:tc>
          <w:tcPr>
            <w:tcW w:w="850" w:type="dxa"/>
            <w:shd w:val="clear" w:color="auto" w:fill="auto"/>
            <w:vAlign w:val="bottom"/>
          </w:tcPr>
          <w:p w14:paraId="6396CD24" w14:textId="77777777" w:rsidR="00491C93" w:rsidRPr="00BA4EEA" w:rsidRDefault="00491C93" w:rsidP="00491C93">
            <w:pPr>
              <w:jc w:val="right"/>
              <w:rPr>
                <w:color w:val="000000"/>
                <w:sz w:val="16"/>
                <w:szCs w:val="16"/>
                <w:lang w:eastAsia="en-NZ"/>
              </w:rPr>
            </w:pPr>
          </w:p>
        </w:tc>
      </w:tr>
      <w:tr w:rsidR="00491C93" w:rsidRPr="001A61F1" w14:paraId="122D1002" w14:textId="77777777" w:rsidTr="00173F02">
        <w:tc>
          <w:tcPr>
            <w:tcW w:w="5387" w:type="dxa"/>
          </w:tcPr>
          <w:p w14:paraId="21C14D28"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0FB9AA09" w14:textId="77777777" w:rsidR="00491C93" w:rsidRPr="00BA4EEA" w:rsidRDefault="00491C93" w:rsidP="00491C93">
            <w:pPr>
              <w:jc w:val="right"/>
              <w:rPr>
                <w:color w:val="000000"/>
                <w:sz w:val="16"/>
                <w:szCs w:val="16"/>
                <w:lang w:eastAsia="en-NZ"/>
              </w:rPr>
            </w:pPr>
            <w:r w:rsidRPr="00BA4EEA">
              <w:rPr>
                <w:color w:val="000000"/>
                <w:sz w:val="16"/>
                <w:szCs w:val="16"/>
                <w:lang w:eastAsia="en-NZ"/>
              </w:rPr>
              <w:t>18.57</w:t>
            </w:r>
          </w:p>
        </w:tc>
        <w:tc>
          <w:tcPr>
            <w:tcW w:w="1276" w:type="dxa"/>
            <w:shd w:val="clear" w:color="auto" w:fill="auto"/>
            <w:vAlign w:val="bottom"/>
          </w:tcPr>
          <w:p w14:paraId="60BCDF14" w14:textId="77777777" w:rsidR="00491C93" w:rsidRPr="00BA4EEA" w:rsidRDefault="00491C93" w:rsidP="00491C93">
            <w:pPr>
              <w:jc w:val="right"/>
              <w:rPr>
                <w:color w:val="000000"/>
                <w:sz w:val="16"/>
                <w:szCs w:val="16"/>
                <w:lang w:eastAsia="en-NZ"/>
              </w:rPr>
            </w:pPr>
            <w:r w:rsidRPr="00BA4EEA">
              <w:rPr>
                <w:color w:val="000000"/>
                <w:sz w:val="16"/>
                <w:szCs w:val="16"/>
                <w:lang w:eastAsia="en-NZ"/>
              </w:rPr>
              <w:t>(7.23, 47.69)</w:t>
            </w:r>
          </w:p>
        </w:tc>
        <w:tc>
          <w:tcPr>
            <w:tcW w:w="850" w:type="dxa"/>
            <w:shd w:val="clear" w:color="auto" w:fill="auto"/>
            <w:vAlign w:val="bottom"/>
          </w:tcPr>
          <w:p w14:paraId="48C6EADE" w14:textId="77777777" w:rsidR="00491C93" w:rsidRPr="00BA4EEA" w:rsidRDefault="00491C93" w:rsidP="00491C93">
            <w:pPr>
              <w:jc w:val="right"/>
              <w:rPr>
                <w:color w:val="000000"/>
                <w:sz w:val="16"/>
                <w:szCs w:val="16"/>
                <w:lang w:eastAsia="en-NZ"/>
              </w:rPr>
            </w:pPr>
            <w:r w:rsidRPr="00BA4EEA">
              <w:rPr>
                <w:color w:val="000000"/>
                <w:sz w:val="16"/>
                <w:szCs w:val="16"/>
                <w:lang w:eastAsia="en-NZ"/>
              </w:rPr>
              <w:t>&lt;0.0001</w:t>
            </w:r>
          </w:p>
        </w:tc>
      </w:tr>
      <w:tr w:rsidR="00491C93" w:rsidRPr="001A61F1" w14:paraId="6F13554F" w14:textId="77777777" w:rsidTr="00D34B0E">
        <w:tc>
          <w:tcPr>
            <w:tcW w:w="5387" w:type="dxa"/>
            <w:vAlign w:val="bottom"/>
          </w:tcPr>
          <w:p w14:paraId="65CBC988" w14:textId="77777777" w:rsidR="00491C93" w:rsidRPr="003F15C0" w:rsidRDefault="00491C93" w:rsidP="00491C93">
            <w:pPr>
              <w:spacing w:before="20"/>
              <w:jc w:val="both"/>
              <w:rPr>
                <w:b/>
                <w:sz w:val="16"/>
                <w:szCs w:val="16"/>
              </w:rPr>
            </w:pPr>
            <w:r w:rsidRPr="003F15C0">
              <w:rPr>
                <w:b/>
                <w:bCs/>
                <w:color w:val="000000"/>
                <w:sz w:val="16"/>
                <w:szCs w:val="16"/>
              </w:rPr>
              <w:t>Methods - Setting a time limit</w:t>
            </w:r>
          </w:p>
        </w:tc>
        <w:tc>
          <w:tcPr>
            <w:tcW w:w="992" w:type="dxa"/>
            <w:shd w:val="clear" w:color="auto" w:fill="auto"/>
            <w:vAlign w:val="bottom"/>
          </w:tcPr>
          <w:p w14:paraId="55FF5812"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3FE2996F"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73250A91" w14:textId="77777777" w:rsidR="00491C93" w:rsidRPr="007B750E" w:rsidRDefault="00491C93" w:rsidP="00491C93">
            <w:pPr>
              <w:jc w:val="right"/>
              <w:rPr>
                <w:color w:val="000000"/>
                <w:sz w:val="16"/>
                <w:szCs w:val="16"/>
                <w:lang w:eastAsia="en-NZ"/>
              </w:rPr>
            </w:pPr>
          </w:p>
        </w:tc>
      </w:tr>
      <w:tr w:rsidR="00491C93" w:rsidRPr="001A61F1" w14:paraId="2CA1C6B2" w14:textId="77777777" w:rsidTr="001C5E0E">
        <w:tc>
          <w:tcPr>
            <w:tcW w:w="5387" w:type="dxa"/>
          </w:tcPr>
          <w:p w14:paraId="53BCA29F"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06B78F66" w14:textId="77777777" w:rsidR="00491C93" w:rsidRPr="00BA4EEA" w:rsidRDefault="00491C93" w:rsidP="00491C93">
            <w:pPr>
              <w:jc w:val="right"/>
              <w:rPr>
                <w:color w:val="000000"/>
                <w:sz w:val="16"/>
                <w:szCs w:val="16"/>
                <w:lang w:eastAsia="en-NZ"/>
              </w:rPr>
            </w:pPr>
            <w:r w:rsidRPr="00BA4EEA">
              <w:rPr>
                <w:color w:val="000000"/>
                <w:sz w:val="16"/>
                <w:szCs w:val="16"/>
                <w:lang w:eastAsia="en-NZ"/>
              </w:rPr>
              <w:t>1.00</w:t>
            </w:r>
          </w:p>
        </w:tc>
        <w:tc>
          <w:tcPr>
            <w:tcW w:w="1276" w:type="dxa"/>
            <w:shd w:val="clear" w:color="auto" w:fill="auto"/>
            <w:vAlign w:val="bottom"/>
          </w:tcPr>
          <w:p w14:paraId="4B04E32B" w14:textId="77777777" w:rsidR="00491C93" w:rsidRPr="00BA4EEA" w:rsidRDefault="00491C93" w:rsidP="00491C93">
            <w:pPr>
              <w:jc w:val="right"/>
              <w:rPr>
                <w:color w:val="000000"/>
                <w:sz w:val="16"/>
                <w:szCs w:val="16"/>
                <w:lang w:eastAsia="en-NZ"/>
              </w:rPr>
            </w:pPr>
          </w:p>
        </w:tc>
        <w:tc>
          <w:tcPr>
            <w:tcW w:w="850" w:type="dxa"/>
            <w:shd w:val="clear" w:color="auto" w:fill="auto"/>
            <w:vAlign w:val="bottom"/>
          </w:tcPr>
          <w:p w14:paraId="158BBB6B" w14:textId="77777777" w:rsidR="00491C93" w:rsidRPr="00BA4EEA" w:rsidRDefault="00491C93" w:rsidP="00491C93">
            <w:pPr>
              <w:jc w:val="right"/>
              <w:rPr>
                <w:color w:val="000000"/>
                <w:sz w:val="16"/>
                <w:szCs w:val="16"/>
                <w:lang w:eastAsia="en-NZ"/>
              </w:rPr>
            </w:pPr>
          </w:p>
        </w:tc>
      </w:tr>
      <w:tr w:rsidR="00491C93" w:rsidRPr="001A61F1" w14:paraId="32285740" w14:textId="77777777" w:rsidTr="00173F02">
        <w:tc>
          <w:tcPr>
            <w:tcW w:w="5387" w:type="dxa"/>
          </w:tcPr>
          <w:p w14:paraId="555077CD"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shd w:val="clear" w:color="auto" w:fill="auto"/>
            <w:vAlign w:val="bottom"/>
          </w:tcPr>
          <w:p w14:paraId="0B10C4D9" w14:textId="77777777" w:rsidR="00491C93" w:rsidRPr="00BA4EEA" w:rsidRDefault="00491C93" w:rsidP="00491C93">
            <w:pPr>
              <w:jc w:val="right"/>
              <w:rPr>
                <w:color w:val="000000"/>
                <w:sz w:val="16"/>
                <w:szCs w:val="16"/>
                <w:lang w:eastAsia="en-NZ"/>
              </w:rPr>
            </w:pPr>
            <w:r w:rsidRPr="00BA4EEA">
              <w:rPr>
                <w:color w:val="000000"/>
                <w:sz w:val="16"/>
                <w:szCs w:val="16"/>
                <w:lang w:eastAsia="en-NZ"/>
              </w:rPr>
              <w:t>5.67</w:t>
            </w:r>
          </w:p>
        </w:tc>
        <w:tc>
          <w:tcPr>
            <w:tcW w:w="1276" w:type="dxa"/>
            <w:shd w:val="clear" w:color="auto" w:fill="auto"/>
            <w:vAlign w:val="bottom"/>
          </w:tcPr>
          <w:p w14:paraId="1D5C765A" w14:textId="77777777" w:rsidR="00491C93" w:rsidRPr="00BA4EEA" w:rsidRDefault="00491C93" w:rsidP="00491C93">
            <w:pPr>
              <w:jc w:val="right"/>
              <w:rPr>
                <w:color w:val="000000"/>
                <w:sz w:val="16"/>
                <w:szCs w:val="16"/>
                <w:lang w:eastAsia="en-NZ"/>
              </w:rPr>
            </w:pPr>
            <w:r w:rsidRPr="00BA4EEA">
              <w:rPr>
                <w:color w:val="000000"/>
                <w:sz w:val="16"/>
                <w:szCs w:val="16"/>
                <w:lang w:eastAsia="en-NZ"/>
              </w:rPr>
              <w:t>(1.93, 16.70)</w:t>
            </w:r>
          </w:p>
        </w:tc>
        <w:tc>
          <w:tcPr>
            <w:tcW w:w="850" w:type="dxa"/>
            <w:shd w:val="clear" w:color="auto" w:fill="auto"/>
            <w:vAlign w:val="bottom"/>
          </w:tcPr>
          <w:p w14:paraId="7F35130A" w14:textId="77777777" w:rsidR="00491C93" w:rsidRPr="00BA4EEA" w:rsidRDefault="00491C93" w:rsidP="00491C93">
            <w:pPr>
              <w:jc w:val="right"/>
              <w:rPr>
                <w:color w:val="000000"/>
                <w:sz w:val="16"/>
                <w:szCs w:val="16"/>
                <w:lang w:eastAsia="en-NZ"/>
              </w:rPr>
            </w:pPr>
            <w:r w:rsidRPr="00BA4EEA">
              <w:rPr>
                <w:color w:val="000000"/>
                <w:sz w:val="16"/>
                <w:szCs w:val="16"/>
                <w:lang w:eastAsia="en-NZ"/>
              </w:rPr>
              <w:t>0.002</w:t>
            </w:r>
          </w:p>
        </w:tc>
      </w:tr>
      <w:tr w:rsidR="00491C93" w:rsidRPr="001A61F1" w14:paraId="6746CBF3" w14:textId="77777777" w:rsidTr="001C5E0E">
        <w:tc>
          <w:tcPr>
            <w:tcW w:w="5387" w:type="dxa"/>
          </w:tcPr>
          <w:p w14:paraId="50A80C63" w14:textId="77777777" w:rsidR="00491C93" w:rsidRPr="003F15C0" w:rsidRDefault="00491C93" w:rsidP="00491C93">
            <w:pPr>
              <w:spacing w:before="20"/>
              <w:rPr>
                <w:b/>
                <w:bCs/>
                <w:color w:val="000000"/>
                <w:sz w:val="16"/>
                <w:szCs w:val="16"/>
              </w:rPr>
            </w:pPr>
            <w:r w:rsidRPr="003F15C0">
              <w:rPr>
                <w:b/>
                <w:bCs/>
                <w:color w:val="000000"/>
                <w:sz w:val="16"/>
                <w:szCs w:val="16"/>
              </w:rPr>
              <w:t>Methods - Avoiding places that have betting or gambling</w:t>
            </w:r>
          </w:p>
        </w:tc>
        <w:tc>
          <w:tcPr>
            <w:tcW w:w="992" w:type="dxa"/>
            <w:shd w:val="clear" w:color="auto" w:fill="auto"/>
            <w:vAlign w:val="bottom"/>
          </w:tcPr>
          <w:p w14:paraId="59F01F82" w14:textId="77777777" w:rsidR="00491C93" w:rsidRPr="007B750E" w:rsidRDefault="00491C93" w:rsidP="00491C93">
            <w:pPr>
              <w:jc w:val="right"/>
              <w:rPr>
                <w:color w:val="000000"/>
                <w:sz w:val="16"/>
                <w:szCs w:val="16"/>
                <w:lang w:eastAsia="en-NZ"/>
              </w:rPr>
            </w:pPr>
          </w:p>
        </w:tc>
        <w:tc>
          <w:tcPr>
            <w:tcW w:w="1276" w:type="dxa"/>
            <w:shd w:val="clear" w:color="auto" w:fill="auto"/>
            <w:vAlign w:val="bottom"/>
          </w:tcPr>
          <w:p w14:paraId="6BF5AD7E" w14:textId="77777777" w:rsidR="00491C93" w:rsidRPr="007B750E" w:rsidRDefault="00491C93" w:rsidP="00491C93">
            <w:pPr>
              <w:jc w:val="right"/>
              <w:rPr>
                <w:color w:val="000000"/>
                <w:sz w:val="16"/>
                <w:szCs w:val="16"/>
                <w:lang w:eastAsia="en-NZ"/>
              </w:rPr>
            </w:pPr>
          </w:p>
        </w:tc>
        <w:tc>
          <w:tcPr>
            <w:tcW w:w="850" w:type="dxa"/>
            <w:shd w:val="clear" w:color="auto" w:fill="auto"/>
            <w:vAlign w:val="bottom"/>
          </w:tcPr>
          <w:p w14:paraId="4B0DB0DC" w14:textId="77777777" w:rsidR="00491C93" w:rsidRPr="007B750E" w:rsidRDefault="00491C93" w:rsidP="00491C93">
            <w:pPr>
              <w:jc w:val="right"/>
              <w:rPr>
                <w:color w:val="000000"/>
                <w:sz w:val="16"/>
                <w:szCs w:val="16"/>
                <w:lang w:eastAsia="en-NZ"/>
              </w:rPr>
            </w:pPr>
          </w:p>
        </w:tc>
      </w:tr>
      <w:tr w:rsidR="00491C93" w:rsidRPr="001A61F1" w14:paraId="1C0615CF" w14:textId="77777777" w:rsidTr="001C5E0E">
        <w:tc>
          <w:tcPr>
            <w:tcW w:w="5387" w:type="dxa"/>
          </w:tcPr>
          <w:p w14:paraId="220B15ED" w14:textId="77777777" w:rsidR="00491C93" w:rsidRPr="003F15C0" w:rsidRDefault="00491C93" w:rsidP="00491C93">
            <w:pPr>
              <w:spacing w:before="20"/>
              <w:ind w:left="176"/>
              <w:jc w:val="both"/>
              <w:rPr>
                <w:sz w:val="16"/>
                <w:szCs w:val="16"/>
              </w:rPr>
            </w:pPr>
            <w:r w:rsidRPr="003F15C0">
              <w:rPr>
                <w:sz w:val="16"/>
                <w:szCs w:val="16"/>
              </w:rPr>
              <w:t>No</w:t>
            </w:r>
          </w:p>
        </w:tc>
        <w:tc>
          <w:tcPr>
            <w:tcW w:w="992" w:type="dxa"/>
            <w:shd w:val="clear" w:color="auto" w:fill="auto"/>
            <w:vAlign w:val="bottom"/>
          </w:tcPr>
          <w:p w14:paraId="1E54E71D" w14:textId="77777777" w:rsidR="00491C93" w:rsidRPr="00BA4EEA" w:rsidRDefault="00491C93" w:rsidP="00491C93">
            <w:pPr>
              <w:jc w:val="right"/>
              <w:rPr>
                <w:color w:val="000000"/>
                <w:sz w:val="16"/>
                <w:szCs w:val="16"/>
                <w:lang w:eastAsia="en-NZ"/>
              </w:rPr>
            </w:pPr>
            <w:r w:rsidRPr="00BA4EEA">
              <w:rPr>
                <w:color w:val="000000"/>
                <w:sz w:val="16"/>
                <w:szCs w:val="16"/>
                <w:lang w:eastAsia="en-NZ"/>
              </w:rPr>
              <w:t>1.00</w:t>
            </w:r>
          </w:p>
        </w:tc>
        <w:tc>
          <w:tcPr>
            <w:tcW w:w="1276" w:type="dxa"/>
            <w:shd w:val="clear" w:color="auto" w:fill="auto"/>
            <w:vAlign w:val="bottom"/>
          </w:tcPr>
          <w:p w14:paraId="3A32F7FC" w14:textId="77777777" w:rsidR="00491C93" w:rsidRPr="00BA4EEA" w:rsidRDefault="00491C93" w:rsidP="00491C93">
            <w:pPr>
              <w:jc w:val="right"/>
              <w:rPr>
                <w:color w:val="000000"/>
                <w:sz w:val="16"/>
                <w:szCs w:val="16"/>
                <w:lang w:eastAsia="en-NZ"/>
              </w:rPr>
            </w:pPr>
          </w:p>
        </w:tc>
        <w:tc>
          <w:tcPr>
            <w:tcW w:w="850" w:type="dxa"/>
            <w:shd w:val="clear" w:color="auto" w:fill="auto"/>
            <w:vAlign w:val="bottom"/>
          </w:tcPr>
          <w:p w14:paraId="50605E14" w14:textId="77777777" w:rsidR="00491C93" w:rsidRPr="00BA4EEA" w:rsidRDefault="00491C93" w:rsidP="00491C93">
            <w:pPr>
              <w:jc w:val="right"/>
              <w:rPr>
                <w:color w:val="000000"/>
                <w:sz w:val="16"/>
                <w:szCs w:val="16"/>
                <w:lang w:eastAsia="en-NZ"/>
              </w:rPr>
            </w:pPr>
          </w:p>
        </w:tc>
      </w:tr>
      <w:tr w:rsidR="00491C93" w:rsidRPr="001A61F1" w14:paraId="26A425A8" w14:textId="77777777" w:rsidTr="00173F02">
        <w:tc>
          <w:tcPr>
            <w:tcW w:w="5387" w:type="dxa"/>
            <w:tcBorders>
              <w:bottom w:val="single" w:sz="4" w:space="0" w:color="auto"/>
            </w:tcBorders>
          </w:tcPr>
          <w:p w14:paraId="307F794C" w14:textId="77777777" w:rsidR="00491C93" w:rsidRPr="003F15C0" w:rsidRDefault="00491C93" w:rsidP="00491C93">
            <w:pPr>
              <w:spacing w:before="20"/>
              <w:ind w:left="176"/>
              <w:jc w:val="both"/>
              <w:rPr>
                <w:sz w:val="16"/>
                <w:szCs w:val="16"/>
              </w:rPr>
            </w:pPr>
            <w:r w:rsidRPr="003F15C0">
              <w:rPr>
                <w:sz w:val="16"/>
                <w:szCs w:val="16"/>
              </w:rPr>
              <w:t>Yes</w:t>
            </w:r>
          </w:p>
        </w:tc>
        <w:tc>
          <w:tcPr>
            <w:tcW w:w="992" w:type="dxa"/>
            <w:tcBorders>
              <w:bottom w:val="single" w:sz="4" w:space="0" w:color="auto"/>
            </w:tcBorders>
            <w:shd w:val="clear" w:color="auto" w:fill="auto"/>
            <w:vAlign w:val="bottom"/>
          </w:tcPr>
          <w:p w14:paraId="255D1CF2" w14:textId="77777777" w:rsidR="00491C93" w:rsidRPr="00BA4EEA" w:rsidRDefault="00491C93" w:rsidP="00491C93">
            <w:pPr>
              <w:jc w:val="right"/>
              <w:rPr>
                <w:color w:val="000000"/>
                <w:sz w:val="16"/>
                <w:szCs w:val="16"/>
                <w:lang w:eastAsia="en-NZ"/>
              </w:rPr>
            </w:pPr>
            <w:r w:rsidRPr="00BA4EEA">
              <w:rPr>
                <w:color w:val="000000"/>
                <w:sz w:val="16"/>
                <w:szCs w:val="16"/>
                <w:lang w:eastAsia="en-NZ"/>
              </w:rPr>
              <w:t>6.52</w:t>
            </w:r>
          </w:p>
        </w:tc>
        <w:tc>
          <w:tcPr>
            <w:tcW w:w="1276" w:type="dxa"/>
            <w:tcBorders>
              <w:bottom w:val="single" w:sz="4" w:space="0" w:color="auto"/>
            </w:tcBorders>
            <w:shd w:val="clear" w:color="auto" w:fill="auto"/>
            <w:vAlign w:val="bottom"/>
          </w:tcPr>
          <w:p w14:paraId="002C3C92" w14:textId="77777777" w:rsidR="00491C93" w:rsidRPr="00BA4EEA" w:rsidRDefault="00491C93" w:rsidP="00491C93">
            <w:pPr>
              <w:jc w:val="right"/>
              <w:rPr>
                <w:color w:val="000000"/>
                <w:sz w:val="16"/>
                <w:szCs w:val="16"/>
                <w:lang w:eastAsia="en-NZ"/>
              </w:rPr>
            </w:pPr>
            <w:r w:rsidRPr="00BA4EEA">
              <w:rPr>
                <w:color w:val="000000"/>
                <w:sz w:val="16"/>
                <w:szCs w:val="16"/>
                <w:lang w:eastAsia="en-NZ"/>
              </w:rPr>
              <w:t>(2.79, 15.25)</w:t>
            </w:r>
          </w:p>
        </w:tc>
        <w:tc>
          <w:tcPr>
            <w:tcW w:w="850" w:type="dxa"/>
            <w:tcBorders>
              <w:bottom w:val="single" w:sz="4" w:space="0" w:color="auto"/>
            </w:tcBorders>
            <w:shd w:val="clear" w:color="auto" w:fill="auto"/>
            <w:vAlign w:val="bottom"/>
          </w:tcPr>
          <w:p w14:paraId="3C1C598C" w14:textId="77777777" w:rsidR="00491C93" w:rsidRPr="00BA4EEA" w:rsidRDefault="00491C93" w:rsidP="00491C93">
            <w:pPr>
              <w:jc w:val="right"/>
              <w:rPr>
                <w:color w:val="000000"/>
                <w:sz w:val="16"/>
                <w:szCs w:val="16"/>
                <w:lang w:eastAsia="en-NZ"/>
              </w:rPr>
            </w:pPr>
            <w:r w:rsidRPr="00BA4EEA">
              <w:rPr>
                <w:color w:val="000000"/>
                <w:sz w:val="16"/>
                <w:szCs w:val="16"/>
                <w:lang w:eastAsia="en-NZ"/>
              </w:rPr>
              <w:t>&lt;0.0001</w:t>
            </w:r>
          </w:p>
        </w:tc>
      </w:tr>
    </w:tbl>
    <w:p w14:paraId="02455F13" w14:textId="77777777" w:rsidR="00D94EFC" w:rsidRDefault="00D94EFC" w:rsidP="00D94EFC">
      <w:pPr>
        <w:rPr>
          <w:rFonts w:eastAsiaTheme="majorEastAsia"/>
          <w:sz w:val="16"/>
          <w:lang w:eastAsia="en-US"/>
        </w:rPr>
      </w:pPr>
      <w:r>
        <w:rPr>
          <w:rFonts w:eastAsiaTheme="majorEastAsia"/>
          <w:sz w:val="16"/>
          <w:lang w:eastAsia="en-US"/>
        </w:rPr>
        <w:t>Data weighted for 2013 Census data (all Waves) and attrition (Waves 2, 3 and 4)</w:t>
      </w:r>
    </w:p>
    <w:p w14:paraId="3A5D027E" w14:textId="77777777" w:rsidR="00D94EFC" w:rsidRPr="002F5089" w:rsidRDefault="00D94EFC" w:rsidP="00D94EFC">
      <w:pPr>
        <w:rPr>
          <w:rFonts w:eastAsiaTheme="majorEastAsia" w:cstheme="majorBidi"/>
          <w:b/>
          <w:bCs/>
          <w:caps/>
          <w:szCs w:val="28"/>
          <w:lang w:eastAsia="en-US"/>
        </w:rPr>
      </w:pPr>
    </w:p>
    <w:p w14:paraId="1D356429" w14:textId="77777777" w:rsidR="00D9465C" w:rsidRDefault="00D9465C">
      <w:pPr>
        <w:spacing w:after="200" w:line="276" w:lineRule="auto"/>
        <w:rPr>
          <w:rFonts w:eastAsiaTheme="majorEastAsia" w:cstheme="majorBidi"/>
          <w:b/>
          <w:bCs/>
          <w:caps/>
          <w:szCs w:val="28"/>
          <w:lang w:eastAsia="en-US"/>
        </w:rPr>
      </w:pPr>
      <w:r>
        <w:rPr>
          <w:rFonts w:eastAsiaTheme="majorEastAsia" w:cstheme="majorBidi"/>
          <w:b/>
          <w:bCs/>
          <w:caps/>
          <w:szCs w:val="28"/>
          <w:lang w:eastAsia="en-US"/>
        </w:rPr>
        <w:br w:type="page"/>
      </w:r>
    </w:p>
    <w:p w14:paraId="24502ED8" w14:textId="77777777" w:rsidR="00D9465C" w:rsidRDefault="00D9465C" w:rsidP="00D9465C">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bookmarkStart w:id="224" w:name="_Toc504488424"/>
      <w:r w:rsidRPr="00230801">
        <w:t xml:space="preserve">APPENDIX </w:t>
      </w:r>
      <w:r>
        <w:t>31</w:t>
      </w:r>
      <w:r w:rsidRPr="00230801">
        <w:t>:</w:t>
      </w:r>
      <w:r w:rsidRPr="00230801">
        <w:br/>
      </w:r>
      <w:r w:rsidRPr="00230801">
        <w:rPr>
          <w:caps w:val="0"/>
        </w:rPr>
        <w:t>Statistically significant bivariate associations for recovery from moderate-risk/problem gambling</w:t>
      </w:r>
      <w:bookmarkEnd w:id="224"/>
    </w:p>
    <w:p w14:paraId="3321E5EB" w14:textId="77777777" w:rsidR="00D9465C" w:rsidRPr="00302A4C" w:rsidRDefault="00D9465C" w:rsidP="00D9465C">
      <w:pPr>
        <w:pStyle w:val="RepNormal"/>
      </w:pPr>
    </w:p>
    <w:tbl>
      <w:tblPr>
        <w:tblStyle w:val="TableGrid"/>
        <w:tblW w:w="8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048"/>
        <w:gridCol w:w="995"/>
        <w:gridCol w:w="1055"/>
        <w:gridCol w:w="1275"/>
        <w:gridCol w:w="1020"/>
      </w:tblGrid>
      <w:tr w:rsidR="00D9465C" w:rsidRPr="003F15C0" w14:paraId="7BED3350" w14:textId="77777777" w:rsidTr="00DD0F28">
        <w:trPr>
          <w:tblHeader/>
        </w:trPr>
        <w:tc>
          <w:tcPr>
            <w:tcW w:w="3119" w:type="dxa"/>
            <w:tcBorders>
              <w:top w:val="single" w:sz="4" w:space="0" w:color="auto"/>
              <w:bottom w:val="single" w:sz="4" w:space="0" w:color="auto"/>
            </w:tcBorders>
            <w:vAlign w:val="bottom"/>
          </w:tcPr>
          <w:p w14:paraId="367E2CDB" w14:textId="77777777" w:rsidR="00D9465C" w:rsidRPr="003F15C0" w:rsidRDefault="00D9465C" w:rsidP="00DD0F28">
            <w:pPr>
              <w:spacing w:before="20"/>
              <w:jc w:val="both"/>
              <w:rPr>
                <w:b/>
                <w:sz w:val="16"/>
                <w:szCs w:val="16"/>
              </w:rPr>
            </w:pPr>
            <w:r>
              <w:rPr>
                <w:b/>
                <w:sz w:val="16"/>
                <w:szCs w:val="16"/>
              </w:rPr>
              <w:t>Wave 1 v</w:t>
            </w:r>
            <w:r w:rsidRPr="003F15C0">
              <w:rPr>
                <w:b/>
                <w:sz w:val="16"/>
                <w:szCs w:val="16"/>
              </w:rPr>
              <w:t>ariable</w:t>
            </w:r>
          </w:p>
        </w:tc>
        <w:tc>
          <w:tcPr>
            <w:tcW w:w="1048" w:type="dxa"/>
            <w:tcBorders>
              <w:top w:val="single" w:sz="4" w:space="0" w:color="auto"/>
              <w:bottom w:val="single" w:sz="4" w:space="0" w:color="auto"/>
            </w:tcBorders>
            <w:vAlign w:val="bottom"/>
          </w:tcPr>
          <w:p w14:paraId="218BA826" w14:textId="77777777" w:rsidR="00D9465C" w:rsidRPr="003F15C0" w:rsidRDefault="00D9465C" w:rsidP="00DD0F28">
            <w:pPr>
              <w:spacing w:before="20"/>
              <w:jc w:val="right"/>
              <w:rPr>
                <w:b/>
                <w:bCs/>
                <w:color w:val="000000"/>
                <w:sz w:val="16"/>
                <w:szCs w:val="16"/>
              </w:rPr>
            </w:pPr>
            <w:r>
              <w:rPr>
                <w:b/>
                <w:bCs/>
                <w:color w:val="000000"/>
                <w:sz w:val="16"/>
                <w:szCs w:val="16"/>
              </w:rPr>
              <w:t>Adjusted n</w:t>
            </w:r>
          </w:p>
        </w:tc>
        <w:tc>
          <w:tcPr>
            <w:tcW w:w="995" w:type="dxa"/>
            <w:tcBorders>
              <w:top w:val="single" w:sz="4" w:space="0" w:color="auto"/>
              <w:bottom w:val="single" w:sz="4" w:space="0" w:color="auto"/>
            </w:tcBorders>
            <w:vAlign w:val="bottom"/>
          </w:tcPr>
          <w:p w14:paraId="05BE8470" w14:textId="77777777" w:rsidR="00D9465C" w:rsidRPr="003F15C0" w:rsidRDefault="00D9465C" w:rsidP="00DD0F28">
            <w:pPr>
              <w:spacing w:before="20"/>
              <w:jc w:val="right"/>
              <w:rPr>
                <w:b/>
                <w:bCs/>
                <w:color w:val="000000"/>
                <w:sz w:val="16"/>
                <w:szCs w:val="16"/>
              </w:rPr>
            </w:pPr>
            <w:r w:rsidRPr="003F15C0">
              <w:rPr>
                <w:b/>
                <w:bCs/>
                <w:color w:val="000000"/>
                <w:sz w:val="16"/>
                <w:szCs w:val="16"/>
              </w:rPr>
              <w:t>%</w:t>
            </w:r>
            <w:r>
              <w:rPr>
                <w:b/>
                <w:bCs/>
                <w:color w:val="000000"/>
                <w:sz w:val="16"/>
                <w:szCs w:val="16"/>
              </w:rPr>
              <w:t xml:space="preserve"> Recovery</w:t>
            </w:r>
          </w:p>
        </w:tc>
        <w:tc>
          <w:tcPr>
            <w:tcW w:w="1055" w:type="dxa"/>
            <w:tcBorders>
              <w:top w:val="single" w:sz="4" w:space="0" w:color="auto"/>
              <w:bottom w:val="single" w:sz="4" w:space="0" w:color="auto"/>
            </w:tcBorders>
            <w:vAlign w:val="bottom"/>
          </w:tcPr>
          <w:p w14:paraId="78EB6CDD" w14:textId="1DA62C07" w:rsidR="00D9465C" w:rsidRPr="003F15C0" w:rsidRDefault="004B0286" w:rsidP="00DD0F28">
            <w:pPr>
              <w:spacing w:before="20"/>
              <w:jc w:val="right"/>
              <w:rPr>
                <w:b/>
                <w:color w:val="000000"/>
                <w:sz w:val="16"/>
                <w:szCs w:val="16"/>
              </w:rPr>
            </w:pPr>
            <w:r>
              <w:rPr>
                <w:b/>
                <w:color w:val="000000"/>
                <w:sz w:val="16"/>
                <w:szCs w:val="16"/>
              </w:rPr>
              <w:t>Odds r</w:t>
            </w:r>
            <w:r w:rsidR="00D9465C" w:rsidRPr="003F15C0">
              <w:rPr>
                <w:b/>
                <w:color w:val="000000"/>
                <w:sz w:val="16"/>
                <w:szCs w:val="16"/>
              </w:rPr>
              <w:t>atio</w:t>
            </w:r>
          </w:p>
        </w:tc>
        <w:tc>
          <w:tcPr>
            <w:tcW w:w="1275" w:type="dxa"/>
            <w:tcBorders>
              <w:top w:val="single" w:sz="4" w:space="0" w:color="auto"/>
              <w:bottom w:val="single" w:sz="4" w:space="0" w:color="auto"/>
            </w:tcBorders>
            <w:vAlign w:val="bottom"/>
          </w:tcPr>
          <w:p w14:paraId="7ABC529E" w14:textId="77777777" w:rsidR="00D9465C" w:rsidRPr="003F15C0" w:rsidRDefault="00D9465C" w:rsidP="00DD0F28">
            <w:pPr>
              <w:spacing w:before="20"/>
              <w:jc w:val="right"/>
              <w:rPr>
                <w:b/>
                <w:color w:val="000000"/>
                <w:sz w:val="16"/>
                <w:szCs w:val="16"/>
              </w:rPr>
            </w:pPr>
            <w:r w:rsidRPr="003F15C0">
              <w:rPr>
                <w:b/>
                <w:color w:val="000000"/>
                <w:sz w:val="16"/>
                <w:szCs w:val="16"/>
              </w:rPr>
              <w:t>(95% CI)</w:t>
            </w:r>
          </w:p>
        </w:tc>
        <w:tc>
          <w:tcPr>
            <w:tcW w:w="1020" w:type="dxa"/>
            <w:tcBorders>
              <w:top w:val="single" w:sz="4" w:space="0" w:color="auto"/>
              <w:bottom w:val="single" w:sz="4" w:space="0" w:color="auto"/>
            </w:tcBorders>
            <w:vAlign w:val="bottom"/>
          </w:tcPr>
          <w:p w14:paraId="25BA6CD0" w14:textId="77777777" w:rsidR="00D9465C" w:rsidRPr="003F15C0" w:rsidRDefault="00D9465C" w:rsidP="00DD0F28">
            <w:pPr>
              <w:spacing w:before="20"/>
              <w:jc w:val="right"/>
              <w:rPr>
                <w:b/>
                <w:color w:val="000000"/>
                <w:sz w:val="16"/>
                <w:szCs w:val="16"/>
              </w:rPr>
            </w:pPr>
            <w:r w:rsidRPr="003F15C0">
              <w:rPr>
                <w:b/>
                <w:color w:val="000000"/>
                <w:sz w:val="16"/>
                <w:szCs w:val="16"/>
              </w:rPr>
              <w:t>p-value</w:t>
            </w:r>
          </w:p>
        </w:tc>
      </w:tr>
      <w:tr w:rsidR="00D9465C" w:rsidRPr="003F15C0" w14:paraId="4DA54604" w14:textId="77777777" w:rsidTr="00DD0F28">
        <w:tc>
          <w:tcPr>
            <w:tcW w:w="3119" w:type="dxa"/>
            <w:tcBorders>
              <w:top w:val="single" w:sz="4" w:space="0" w:color="auto"/>
            </w:tcBorders>
            <w:vAlign w:val="bottom"/>
          </w:tcPr>
          <w:p w14:paraId="55D67667" w14:textId="77777777" w:rsidR="00D9465C" w:rsidRPr="003F15C0" w:rsidRDefault="00D9465C" w:rsidP="00DD0F28">
            <w:pPr>
              <w:spacing w:before="20"/>
              <w:jc w:val="both"/>
              <w:rPr>
                <w:b/>
                <w:sz w:val="16"/>
                <w:szCs w:val="16"/>
              </w:rPr>
            </w:pPr>
            <w:r w:rsidRPr="003F15C0">
              <w:rPr>
                <w:b/>
                <w:sz w:val="16"/>
                <w:szCs w:val="16"/>
              </w:rPr>
              <w:t>Age group (years)</w:t>
            </w:r>
            <w:r>
              <w:rPr>
                <w:b/>
                <w:sz w:val="16"/>
                <w:szCs w:val="16"/>
              </w:rPr>
              <w:t xml:space="preserve"> </w:t>
            </w:r>
          </w:p>
        </w:tc>
        <w:tc>
          <w:tcPr>
            <w:tcW w:w="1048" w:type="dxa"/>
            <w:shd w:val="clear" w:color="auto" w:fill="auto"/>
            <w:vAlign w:val="center"/>
          </w:tcPr>
          <w:p w14:paraId="1F892E74" w14:textId="77777777" w:rsidR="00D9465C" w:rsidRPr="00637CF2" w:rsidRDefault="00D9465C" w:rsidP="00DD0F28">
            <w:pPr>
              <w:jc w:val="right"/>
              <w:rPr>
                <w:color w:val="000000"/>
                <w:sz w:val="16"/>
                <w:szCs w:val="16"/>
                <w:lang w:eastAsia="en-NZ"/>
              </w:rPr>
            </w:pPr>
          </w:p>
        </w:tc>
        <w:tc>
          <w:tcPr>
            <w:tcW w:w="995" w:type="dxa"/>
            <w:shd w:val="clear" w:color="auto" w:fill="auto"/>
            <w:vAlign w:val="center"/>
          </w:tcPr>
          <w:p w14:paraId="6CC7D43B" w14:textId="77777777" w:rsidR="00D9465C" w:rsidRPr="00637CF2" w:rsidRDefault="00D9465C" w:rsidP="00DD0F28">
            <w:pPr>
              <w:jc w:val="right"/>
              <w:rPr>
                <w:color w:val="000000"/>
                <w:sz w:val="16"/>
                <w:szCs w:val="16"/>
                <w:lang w:eastAsia="en-NZ"/>
              </w:rPr>
            </w:pPr>
          </w:p>
        </w:tc>
        <w:tc>
          <w:tcPr>
            <w:tcW w:w="1055" w:type="dxa"/>
            <w:shd w:val="clear" w:color="auto" w:fill="auto"/>
            <w:vAlign w:val="center"/>
          </w:tcPr>
          <w:p w14:paraId="4925CF33"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4A8AA36E"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43AC8CE0" w14:textId="77777777" w:rsidR="00D9465C" w:rsidRPr="00637CF2" w:rsidRDefault="00D9465C" w:rsidP="00DD0F28">
            <w:pPr>
              <w:jc w:val="right"/>
              <w:rPr>
                <w:color w:val="000000"/>
                <w:sz w:val="16"/>
                <w:szCs w:val="16"/>
                <w:lang w:eastAsia="en-NZ"/>
              </w:rPr>
            </w:pPr>
          </w:p>
        </w:tc>
      </w:tr>
      <w:tr w:rsidR="00D9465C" w:rsidRPr="003F15C0" w14:paraId="72FE2F38" w14:textId="77777777" w:rsidTr="00DD0F28">
        <w:tc>
          <w:tcPr>
            <w:tcW w:w="3119" w:type="dxa"/>
          </w:tcPr>
          <w:p w14:paraId="587BDCB8" w14:textId="77777777" w:rsidR="00D9465C" w:rsidRPr="003F15C0" w:rsidRDefault="00D9465C" w:rsidP="00DD0F28">
            <w:pPr>
              <w:spacing w:before="20"/>
              <w:ind w:left="176"/>
              <w:jc w:val="both"/>
              <w:rPr>
                <w:sz w:val="16"/>
                <w:szCs w:val="16"/>
              </w:rPr>
            </w:pPr>
            <w:r w:rsidRPr="003F15C0">
              <w:rPr>
                <w:sz w:val="16"/>
                <w:szCs w:val="16"/>
              </w:rPr>
              <w:t xml:space="preserve">18 - </w:t>
            </w:r>
            <w:r>
              <w:rPr>
                <w:sz w:val="16"/>
                <w:szCs w:val="16"/>
              </w:rPr>
              <w:t>39</w:t>
            </w:r>
          </w:p>
        </w:tc>
        <w:tc>
          <w:tcPr>
            <w:tcW w:w="1048" w:type="dxa"/>
            <w:shd w:val="clear" w:color="auto" w:fill="auto"/>
            <w:vAlign w:val="center"/>
          </w:tcPr>
          <w:p w14:paraId="22CF73CF" w14:textId="77777777" w:rsidR="00D9465C" w:rsidRPr="00FE7300" w:rsidRDefault="00D9465C" w:rsidP="00DD0F28">
            <w:pPr>
              <w:jc w:val="right"/>
              <w:rPr>
                <w:color w:val="000000"/>
                <w:sz w:val="16"/>
                <w:szCs w:val="16"/>
                <w:lang w:eastAsia="en-NZ"/>
              </w:rPr>
            </w:pPr>
            <w:r w:rsidRPr="00FE7300">
              <w:rPr>
                <w:color w:val="000000"/>
                <w:sz w:val="16"/>
                <w:szCs w:val="16"/>
                <w:lang w:eastAsia="en-NZ"/>
              </w:rPr>
              <w:t>16</w:t>
            </w:r>
          </w:p>
        </w:tc>
        <w:tc>
          <w:tcPr>
            <w:tcW w:w="995" w:type="dxa"/>
            <w:shd w:val="clear" w:color="auto" w:fill="auto"/>
            <w:vAlign w:val="center"/>
          </w:tcPr>
          <w:p w14:paraId="0B9A946F" w14:textId="77777777" w:rsidR="00D9465C" w:rsidRPr="00FE7300" w:rsidRDefault="00D9465C" w:rsidP="00DD0F28">
            <w:pPr>
              <w:jc w:val="right"/>
              <w:rPr>
                <w:color w:val="000000"/>
                <w:sz w:val="16"/>
                <w:szCs w:val="16"/>
                <w:lang w:eastAsia="en-NZ"/>
              </w:rPr>
            </w:pPr>
            <w:r w:rsidRPr="00FE7300">
              <w:rPr>
                <w:color w:val="000000"/>
                <w:sz w:val="16"/>
                <w:szCs w:val="16"/>
                <w:lang w:eastAsia="en-NZ"/>
              </w:rPr>
              <w:t>81.5</w:t>
            </w:r>
          </w:p>
        </w:tc>
        <w:tc>
          <w:tcPr>
            <w:tcW w:w="1055" w:type="dxa"/>
            <w:shd w:val="clear" w:color="auto" w:fill="auto"/>
            <w:vAlign w:val="center"/>
          </w:tcPr>
          <w:p w14:paraId="443D1DB2" w14:textId="77777777" w:rsidR="00D9465C" w:rsidRPr="00FE7300" w:rsidRDefault="00D9465C" w:rsidP="00DD0F28">
            <w:pPr>
              <w:jc w:val="right"/>
              <w:rPr>
                <w:color w:val="000000"/>
                <w:sz w:val="16"/>
                <w:szCs w:val="16"/>
                <w:lang w:eastAsia="en-NZ"/>
              </w:rPr>
            </w:pPr>
            <w:r w:rsidRPr="00FE7300">
              <w:rPr>
                <w:color w:val="000000"/>
                <w:sz w:val="16"/>
                <w:szCs w:val="16"/>
                <w:lang w:eastAsia="en-NZ"/>
              </w:rPr>
              <w:t>1.00</w:t>
            </w:r>
          </w:p>
        </w:tc>
        <w:tc>
          <w:tcPr>
            <w:tcW w:w="1275" w:type="dxa"/>
            <w:shd w:val="clear" w:color="auto" w:fill="auto"/>
            <w:vAlign w:val="center"/>
          </w:tcPr>
          <w:p w14:paraId="77A9186B" w14:textId="77777777" w:rsidR="00D9465C" w:rsidRPr="00FE7300" w:rsidRDefault="00D9465C" w:rsidP="00DD0F28">
            <w:pPr>
              <w:jc w:val="right"/>
              <w:rPr>
                <w:sz w:val="16"/>
                <w:szCs w:val="16"/>
                <w:lang w:eastAsia="en-NZ"/>
              </w:rPr>
            </w:pPr>
          </w:p>
        </w:tc>
        <w:tc>
          <w:tcPr>
            <w:tcW w:w="1020" w:type="dxa"/>
            <w:shd w:val="clear" w:color="auto" w:fill="auto"/>
            <w:vAlign w:val="center"/>
          </w:tcPr>
          <w:p w14:paraId="2D1AAA26" w14:textId="77777777" w:rsidR="00D9465C" w:rsidRPr="00FE7300" w:rsidRDefault="00D9465C" w:rsidP="00DD0F28">
            <w:pPr>
              <w:jc w:val="right"/>
              <w:rPr>
                <w:sz w:val="16"/>
                <w:szCs w:val="16"/>
                <w:lang w:eastAsia="en-NZ"/>
              </w:rPr>
            </w:pPr>
          </w:p>
        </w:tc>
      </w:tr>
      <w:tr w:rsidR="00D9465C" w:rsidRPr="003F15C0" w14:paraId="7766383C" w14:textId="77777777" w:rsidTr="00DD0F28">
        <w:tc>
          <w:tcPr>
            <w:tcW w:w="3119" w:type="dxa"/>
          </w:tcPr>
          <w:p w14:paraId="1C66791F" w14:textId="77777777" w:rsidR="00D9465C" w:rsidRPr="003F15C0" w:rsidRDefault="00D9465C" w:rsidP="00DD0F28">
            <w:pPr>
              <w:spacing w:before="20"/>
              <w:ind w:left="176"/>
              <w:jc w:val="both"/>
              <w:rPr>
                <w:sz w:val="16"/>
                <w:szCs w:val="16"/>
              </w:rPr>
            </w:pPr>
            <w:r>
              <w:rPr>
                <w:sz w:val="16"/>
                <w:szCs w:val="16"/>
              </w:rPr>
              <w:t>40</w:t>
            </w:r>
            <w:r w:rsidRPr="003F15C0">
              <w:rPr>
                <w:sz w:val="16"/>
                <w:szCs w:val="16"/>
              </w:rPr>
              <w:t xml:space="preserve"> - </w:t>
            </w:r>
            <w:r>
              <w:rPr>
                <w:sz w:val="16"/>
                <w:szCs w:val="16"/>
              </w:rPr>
              <w:t>59</w:t>
            </w:r>
          </w:p>
        </w:tc>
        <w:tc>
          <w:tcPr>
            <w:tcW w:w="1048" w:type="dxa"/>
            <w:shd w:val="clear" w:color="auto" w:fill="auto"/>
            <w:vAlign w:val="center"/>
          </w:tcPr>
          <w:p w14:paraId="224164D1" w14:textId="77777777" w:rsidR="00D9465C" w:rsidRPr="00FE7300" w:rsidRDefault="00D9465C" w:rsidP="00DD0F28">
            <w:pPr>
              <w:jc w:val="right"/>
              <w:rPr>
                <w:color w:val="000000"/>
                <w:sz w:val="16"/>
                <w:szCs w:val="16"/>
                <w:lang w:eastAsia="en-NZ"/>
              </w:rPr>
            </w:pPr>
            <w:r w:rsidRPr="00FE7300">
              <w:rPr>
                <w:color w:val="000000"/>
                <w:sz w:val="16"/>
                <w:szCs w:val="16"/>
                <w:lang w:eastAsia="en-NZ"/>
              </w:rPr>
              <w:t>15</w:t>
            </w:r>
          </w:p>
        </w:tc>
        <w:tc>
          <w:tcPr>
            <w:tcW w:w="995" w:type="dxa"/>
            <w:shd w:val="clear" w:color="auto" w:fill="auto"/>
            <w:vAlign w:val="center"/>
          </w:tcPr>
          <w:p w14:paraId="41C57580" w14:textId="77777777" w:rsidR="00D9465C" w:rsidRPr="00FE7300" w:rsidRDefault="00D9465C" w:rsidP="00DD0F28">
            <w:pPr>
              <w:jc w:val="right"/>
              <w:rPr>
                <w:color w:val="000000"/>
                <w:sz w:val="16"/>
                <w:szCs w:val="16"/>
                <w:lang w:eastAsia="en-NZ"/>
              </w:rPr>
            </w:pPr>
            <w:r w:rsidRPr="00FE7300">
              <w:rPr>
                <w:color w:val="000000"/>
                <w:sz w:val="16"/>
                <w:szCs w:val="16"/>
                <w:lang w:eastAsia="en-NZ"/>
              </w:rPr>
              <w:t>75.8</w:t>
            </w:r>
          </w:p>
        </w:tc>
        <w:tc>
          <w:tcPr>
            <w:tcW w:w="1055" w:type="dxa"/>
            <w:shd w:val="clear" w:color="auto" w:fill="auto"/>
            <w:vAlign w:val="center"/>
          </w:tcPr>
          <w:p w14:paraId="4F398598" w14:textId="77777777" w:rsidR="00D9465C" w:rsidRPr="00FE7300" w:rsidRDefault="00D9465C" w:rsidP="00DD0F28">
            <w:pPr>
              <w:jc w:val="right"/>
              <w:rPr>
                <w:color w:val="000000"/>
                <w:sz w:val="16"/>
                <w:szCs w:val="16"/>
                <w:lang w:eastAsia="en-NZ"/>
              </w:rPr>
            </w:pPr>
            <w:r w:rsidRPr="00FE7300">
              <w:rPr>
                <w:color w:val="000000"/>
                <w:sz w:val="16"/>
                <w:szCs w:val="16"/>
                <w:lang w:eastAsia="en-NZ"/>
              </w:rPr>
              <w:t>0.72</w:t>
            </w:r>
          </w:p>
        </w:tc>
        <w:tc>
          <w:tcPr>
            <w:tcW w:w="1275" w:type="dxa"/>
            <w:shd w:val="clear" w:color="auto" w:fill="auto"/>
            <w:vAlign w:val="center"/>
          </w:tcPr>
          <w:p w14:paraId="6CC6E6BE" w14:textId="77777777" w:rsidR="00D9465C" w:rsidRPr="00FE7300" w:rsidRDefault="00D9465C" w:rsidP="00DD0F28">
            <w:pPr>
              <w:jc w:val="right"/>
              <w:rPr>
                <w:color w:val="000000"/>
                <w:sz w:val="16"/>
                <w:szCs w:val="16"/>
                <w:lang w:eastAsia="en-NZ"/>
              </w:rPr>
            </w:pPr>
            <w:r w:rsidRPr="00FE7300">
              <w:rPr>
                <w:color w:val="000000"/>
                <w:sz w:val="16"/>
                <w:szCs w:val="16"/>
                <w:lang w:eastAsia="en-NZ"/>
              </w:rPr>
              <w:t>(0.14, 3.62)</w:t>
            </w:r>
          </w:p>
        </w:tc>
        <w:tc>
          <w:tcPr>
            <w:tcW w:w="1020" w:type="dxa"/>
            <w:shd w:val="clear" w:color="auto" w:fill="auto"/>
            <w:vAlign w:val="center"/>
          </w:tcPr>
          <w:p w14:paraId="258EEEA7" w14:textId="77777777" w:rsidR="00D9465C" w:rsidRPr="00FE7300" w:rsidRDefault="00D9465C" w:rsidP="00DD0F28">
            <w:pPr>
              <w:jc w:val="right"/>
              <w:rPr>
                <w:color w:val="000000"/>
                <w:sz w:val="16"/>
                <w:szCs w:val="16"/>
                <w:lang w:eastAsia="en-NZ"/>
              </w:rPr>
            </w:pPr>
          </w:p>
        </w:tc>
      </w:tr>
      <w:tr w:rsidR="00D9465C" w:rsidRPr="003F15C0" w14:paraId="691704F2" w14:textId="77777777" w:rsidTr="00DD0F28">
        <w:tc>
          <w:tcPr>
            <w:tcW w:w="3119" w:type="dxa"/>
          </w:tcPr>
          <w:p w14:paraId="27883F26" w14:textId="77777777" w:rsidR="00D9465C" w:rsidRPr="003F15C0" w:rsidRDefault="00D9465C" w:rsidP="00DD0F28">
            <w:pPr>
              <w:spacing w:before="20"/>
              <w:ind w:left="176"/>
              <w:jc w:val="both"/>
              <w:rPr>
                <w:sz w:val="16"/>
                <w:szCs w:val="16"/>
              </w:rPr>
            </w:pPr>
            <w:r>
              <w:rPr>
                <w:sz w:val="16"/>
                <w:szCs w:val="16"/>
              </w:rPr>
              <w:t>60+</w:t>
            </w:r>
          </w:p>
        </w:tc>
        <w:tc>
          <w:tcPr>
            <w:tcW w:w="1048" w:type="dxa"/>
            <w:shd w:val="clear" w:color="auto" w:fill="auto"/>
            <w:vAlign w:val="center"/>
          </w:tcPr>
          <w:p w14:paraId="30EB5744" w14:textId="77777777" w:rsidR="00D9465C" w:rsidRPr="00FE7300" w:rsidRDefault="00D9465C" w:rsidP="00DD0F28">
            <w:pPr>
              <w:jc w:val="right"/>
              <w:rPr>
                <w:color w:val="000000"/>
                <w:sz w:val="16"/>
                <w:szCs w:val="16"/>
                <w:lang w:eastAsia="en-NZ"/>
              </w:rPr>
            </w:pPr>
            <w:r w:rsidRPr="00FE7300">
              <w:rPr>
                <w:color w:val="000000"/>
                <w:sz w:val="16"/>
                <w:szCs w:val="16"/>
                <w:lang w:eastAsia="en-NZ"/>
              </w:rPr>
              <w:t>3</w:t>
            </w:r>
          </w:p>
        </w:tc>
        <w:tc>
          <w:tcPr>
            <w:tcW w:w="995" w:type="dxa"/>
            <w:shd w:val="clear" w:color="auto" w:fill="auto"/>
            <w:vAlign w:val="center"/>
          </w:tcPr>
          <w:p w14:paraId="4F7FA9F6" w14:textId="77777777" w:rsidR="00D9465C" w:rsidRPr="00FE7300" w:rsidRDefault="00D9465C" w:rsidP="00DD0F28">
            <w:pPr>
              <w:jc w:val="right"/>
              <w:rPr>
                <w:color w:val="000000"/>
                <w:sz w:val="16"/>
                <w:szCs w:val="16"/>
                <w:lang w:eastAsia="en-NZ"/>
              </w:rPr>
            </w:pPr>
            <w:r w:rsidRPr="00FE7300">
              <w:rPr>
                <w:color w:val="000000"/>
                <w:sz w:val="16"/>
                <w:szCs w:val="16"/>
                <w:lang w:eastAsia="en-NZ"/>
              </w:rPr>
              <w:t>54.3</w:t>
            </w:r>
          </w:p>
        </w:tc>
        <w:tc>
          <w:tcPr>
            <w:tcW w:w="1055" w:type="dxa"/>
            <w:shd w:val="clear" w:color="auto" w:fill="auto"/>
            <w:vAlign w:val="center"/>
          </w:tcPr>
          <w:p w14:paraId="6FA82F89" w14:textId="77777777" w:rsidR="00D9465C" w:rsidRPr="00FE7300" w:rsidRDefault="00D9465C" w:rsidP="00DD0F28">
            <w:pPr>
              <w:jc w:val="right"/>
              <w:rPr>
                <w:color w:val="000000"/>
                <w:sz w:val="16"/>
                <w:szCs w:val="16"/>
                <w:lang w:eastAsia="en-NZ"/>
              </w:rPr>
            </w:pPr>
            <w:r w:rsidRPr="00FE7300">
              <w:rPr>
                <w:color w:val="000000"/>
                <w:sz w:val="16"/>
                <w:szCs w:val="16"/>
                <w:lang w:eastAsia="en-NZ"/>
              </w:rPr>
              <w:t>0.27</w:t>
            </w:r>
          </w:p>
        </w:tc>
        <w:tc>
          <w:tcPr>
            <w:tcW w:w="1275" w:type="dxa"/>
            <w:shd w:val="clear" w:color="auto" w:fill="auto"/>
            <w:vAlign w:val="center"/>
          </w:tcPr>
          <w:p w14:paraId="22348D90" w14:textId="77777777" w:rsidR="00D9465C" w:rsidRPr="00FE7300" w:rsidRDefault="00D9465C" w:rsidP="00DD0F28">
            <w:pPr>
              <w:jc w:val="right"/>
              <w:rPr>
                <w:color w:val="000000"/>
                <w:sz w:val="16"/>
                <w:szCs w:val="16"/>
                <w:lang w:eastAsia="en-NZ"/>
              </w:rPr>
            </w:pPr>
            <w:r w:rsidRPr="00FE7300">
              <w:rPr>
                <w:color w:val="000000"/>
                <w:sz w:val="16"/>
                <w:szCs w:val="16"/>
                <w:lang w:eastAsia="en-NZ"/>
              </w:rPr>
              <w:t>(0.08, 0.92)</w:t>
            </w:r>
          </w:p>
        </w:tc>
        <w:tc>
          <w:tcPr>
            <w:tcW w:w="1020" w:type="dxa"/>
            <w:shd w:val="clear" w:color="auto" w:fill="auto"/>
            <w:vAlign w:val="center"/>
          </w:tcPr>
          <w:p w14:paraId="55278B47" w14:textId="77777777" w:rsidR="00D9465C" w:rsidRPr="00FE7300" w:rsidRDefault="00D9465C" w:rsidP="00DD0F28">
            <w:pPr>
              <w:jc w:val="right"/>
              <w:rPr>
                <w:color w:val="000000"/>
                <w:sz w:val="16"/>
                <w:szCs w:val="16"/>
                <w:lang w:eastAsia="en-NZ"/>
              </w:rPr>
            </w:pPr>
            <w:r w:rsidRPr="00FE7300">
              <w:rPr>
                <w:color w:val="000000"/>
                <w:sz w:val="16"/>
                <w:szCs w:val="16"/>
                <w:lang w:eastAsia="en-NZ"/>
              </w:rPr>
              <w:t>0.02</w:t>
            </w:r>
          </w:p>
        </w:tc>
      </w:tr>
      <w:tr w:rsidR="00D9465C" w:rsidRPr="003F15C0" w14:paraId="5F94DF28" w14:textId="77777777" w:rsidTr="00DD0F28">
        <w:tc>
          <w:tcPr>
            <w:tcW w:w="3119" w:type="dxa"/>
            <w:vAlign w:val="bottom"/>
          </w:tcPr>
          <w:p w14:paraId="3325B62B" w14:textId="77777777" w:rsidR="00D9465C" w:rsidRPr="003F15C0" w:rsidRDefault="00D9465C" w:rsidP="00DD0F28">
            <w:pPr>
              <w:spacing w:before="20"/>
              <w:jc w:val="both"/>
              <w:rPr>
                <w:b/>
                <w:sz w:val="16"/>
                <w:szCs w:val="16"/>
              </w:rPr>
            </w:pPr>
            <w:r w:rsidRPr="003F15C0">
              <w:rPr>
                <w:b/>
                <w:sz w:val="16"/>
                <w:szCs w:val="16"/>
              </w:rPr>
              <w:t>Ethnic group (prioritised)</w:t>
            </w:r>
            <w:r>
              <w:rPr>
                <w:b/>
                <w:sz w:val="16"/>
                <w:szCs w:val="16"/>
              </w:rPr>
              <w:t xml:space="preserve"> </w:t>
            </w:r>
          </w:p>
        </w:tc>
        <w:tc>
          <w:tcPr>
            <w:tcW w:w="1048" w:type="dxa"/>
            <w:shd w:val="clear" w:color="auto" w:fill="auto"/>
            <w:vAlign w:val="center"/>
          </w:tcPr>
          <w:p w14:paraId="48CA6BEF" w14:textId="77777777" w:rsidR="00D9465C" w:rsidRPr="00FE7300" w:rsidRDefault="00D9465C" w:rsidP="00DD0F28">
            <w:pPr>
              <w:jc w:val="right"/>
              <w:rPr>
                <w:color w:val="000000"/>
                <w:sz w:val="16"/>
                <w:szCs w:val="16"/>
                <w:lang w:eastAsia="en-NZ"/>
              </w:rPr>
            </w:pPr>
          </w:p>
        </w:tc>
        <w:tc>
          <w:tcPr>
            <w:tcW w:w="995" w:type="dxa"/>
            <w:shd w:val="clear" w:color="auto" w:fill="auto"/>
            <w:vAlign w:val="center"/>
          </w:tcPr>
          <w:p w14:paraId="189B8146" w14:textId="77777777" w:rsidR="00D9465C" w:rsidRPr="00FE7300" w:rsidRDefault="00D9465C" w:rsidP="00DD0F28">
            <w:pPr>
              <w:jc w:val="right"/>
              <w:rPr>
                <w:color w:val="000000"/>
                <w:sz w:val="16"/>
                <w:szCs w:val="16"/>
                <w:lang w:eastAsia="en-NZ"/>
              </w:rPr>
            </w:pPr>
          </w:p>
        </w:tc>
        <w:tc>
          <w:tcPr>
            <w:tcW w:w="1055" w:type="dxa"/>
            <w:shd w:val="clear" w:color="auto" w:fill="auto"/>
            <w:vAlign w:val="center"/>
          </w:tcPr>
          <w:p w14:paraId="20BB1EEB" w14:textId="77777777" w:rsidR="00D9465C" w:rsidRPr="00FE7300" w:rsidRDefault="00D9465C" w:rsidP="00DD0F28">
            <w:pPr>
              <w:jc w:val="right"/>
              <w:rPr>
                <w:color w:val="000000"/>
                <w:sz w:val="16"/>
                <w:szCs w:val="16"/>
                <w:lang w:eastAsia="en-NZ"/>
              </w:rPr>
            </w:pPr>
          </w:p>
        </w:tc>
        <w:tc>
          <w:tcPr>
            <w:tcW w:w="1275" w:type="dxa"/>
            <w:shd w:val="clear" w:color="auto" w:fill="auto"/>
            <w:vAlign w:val="center"/>
          </w:tcPr>
          <w:p w14:paraId="459DD199" w14:textId="77777777" w:rsidR="00D9465C" w:rsidRPr="00FE7300" w:rsidRDefault="00D9465C" w:rsidP="00DD0F28">
            <w:pPr>
              <w:jc w:val="right"/>
              <w:rPr>
                <w:color w:val="000000"/>
                <w:sz w:val="16"/>
                <w:szCs w:val="16"/>
                <w:lang w:eastAsia="en-NZ"/>
              </w:rPr>
            </w:pPr>
          </w:p>
        </w:tc>
        <w:tc>
          <w:tcPr>
            <w:tcW w:w="1020" w:type="dxa"/>
            <w:shd w:val="clear" w:color="auto" w:fill="auto"/>
            <w:vAlign w:val="center"/>
          </w:tcPr>
          <w:p w14:paraId="527EA536" w14:textId="77777777" w:rsidR="00D9465C" w:rsidRPr="00FE7300" w:rsidRDefault="00D9465C" w:rsidP="00DD0F28">
            <w:pPr>
              <w:jc w:val="right"/>
              <w:rPr>
                <w:color w:val="000000"/>
                <w:sz w:val="16"/>
                <w:szCs w:val="16"/>
                <w:lang w:eastAsia="en-NZ"/>
              </w:rPr>
            </w:pPr>
          </w:p>
        </w:tc>
      </w:tr>
      <w:tr w:rsidR="00D9465C" w:rsidRPr="003F15C0" w14:paraId="3A7ADAA1" w14:textId="77777777" w:rsidTr="00DD0F28">
        <w:trPr>
          <w:trHeight w:val="157"/>
        </w:trPr>
        <w:tc>
          <w:tcPr>
            <w:tcW w:w="3119" w:type="dxa"/>
          </w:tcPr>
          <w:p w14:paraId="6D41F9DD" w14:textId="77777777" w:rsidR="00D9465C" w:rsidRPr="003F15C0" w:rsidRDefault="00D9465C" w:rsidP="00DD0F28">
            <w:pPr>
              <w:spacing w:before="20"/>
              <w:ind w:left="176"/>
              <w:jc w:val="both"/>
              <w:rPr>
                <w:sz w:val="16"/>
                <w:szCs w:val="16"/>
              </w:rPr>
            </w:pPr>
            <w:r w:rsidRPr="003F15C0">
              <w:rPr>
                <w:sz w:val="16"/>
                <w:szCs w:val="16"/>
              </w:rPr>
              <w:t>Māori</w:t>
            </w:r>
          </w:p>
        </w:tc>
        <w:tc>
          <w:tcPr>
            <w:tcW w:w="1048" w:type="dxa"/>
            <w:shd w:val="clear" w:color="auto" w:fill="auto"/>
            <w:vAlign w:val="center"/>
          </w:tcPr>
          <w:p w14:paraId="171B888D" w14:textId="77777777" w:rsidR="00D9465C" w:rsidRPr="00FE7300" w:rsidRDefault="00D9465C" w:rsidP="00DD0F28">
            <w:pPr>
              <w:jc w:val="right"/>
              <w:rPr>
                <w:color w:val="000000"/>
                <w:sz w:val="16"/>
                <w:szCs w:val="16"/>
                <w:lang w:eastAsia="en-NZ"/>
              </w:rPr>
            </w:pPr>
            <w:r w:rsidRPr="00FE7300">
              <w:rPr>
                <w:color w:val="000000"/>
                <w:sz w:val="16"/>
                <w:szCs w:val="16"/>
                <w:lang w:eastAsia="en-NZ"/>
              </w:rPr>
              <w:t>8</w:t>
            </w:r>
          </w:p>
        </w:tc>
        <w:tc>
          <w:tcPr>
            <w:tcW w:w="995" w:type="dxa"/>
            <w:shd w:val="clear" w:color="auto" w:fill="auto"/>
            <w:vAlign w:val="center"/>
          </w:tcPr>
          <w:p w14:paraId="1652470B" w14:textId="77777777" w:rsidR="00D9465C" w:rsidRPr="00FE7300" w:rsidRDefault="00D9465C" w:rsidP="00DD0F28">
            <w:pPr>
              <w:jc w:val="right"/>
              <w:rPr>
                <w:color w:val="000000"/>
                <w:sz w:val="16"/>
                <w:szCs w:val="16"/>
                <w:lang w:eastAsia="en-NZ"/>
              </w:rPr>
            </w:pPr>
            <w:r w:rsidRPr="00FE7300">
              <w:rPr>
                <w:color w:val="000000"/>
                <w:sz w:val="16"/>
                <w:szCs w:val="16"/>
                <w:lang w:eastAsia="en-NZ"/>
              </w:rPr>
              <w:t>51.6</w:t>
            </w:r>
          </w:p>
        </w:tc>
        <w:tc>
          <w:tcPr>
            <w:tcW w:w="1055" w:type="dxa"/>
            <w:shd w:val="clear" w:color="auto" w:fill="auto"/>
            <w:vAlign w:val="center"/>
          </w:tcPr>
          <w:p w14:paraId="6D7C1EDA" w14:textId="77777777" w:rsidR="00D9465C" w:rsidRPr="00FE7300" w:rsidRDefault="00D9465C" w:rsidP="00DD0F28">
            <w:pPr>
              <w:jc w:val="right"/>
              <w:rPr>
                <w:color w:val="000000"/>
                <w:sz w:val="16"/>
                <w:szCs w:val="16"/>
                <w:lang w:eastAsia="en-NZ"/>
              </w:rPr>
            </w:pPr>
          </w:p>
        </w:tc>
        <w:tc>
          <w:tcPr>
            <w:tcW w:w="1275" w:type="dxa"/>
            <w:shd w:val="clear" w:color="auto" w:fill="auto"/>
            <w:vAlign w:val="center"/>
          </w:tcPr>
          <w:p w14:paraId="4DB87154" w14:textId="77777777" w:rsidR="00D9465C" w:rsidRPr="00FE7300" w:rsidRDefault="00D9465C" w:rsidP="00DD0F28">
            <w:pPr>
              <w:jc w:val="right"/>
              <w:rPr>
                <w:color w:val="000000"/>
                <w:sz w:val="16"/>
                <w:szCs w:val="16"/>
                <w:lang w:eastAsia="en-NZ"/>
              </w:rPr>
            </w:pPr>
          </w:p>
        </w:tc>
        <w:tc>
          <w:tcPr>
            <w:tcW w:w="1020" w:type="dxa"/>
            <w:shd w:val="clear" w:color="auto" w:fill="auto"/>
            <w:vAlign w:val="center"/>
          </w:tcPr>
          <w:p w14:paraId="37E07F27" w14:textId="77777777" w:rsidR="00D9465C" w:rsidRPr="00FE7300" w:rsidRDefault="00D9465C" w:rsidP="00DD0F28">
            <w:pPr>
              <w:jc w:val="right"/>
              <w:rPr>
                <w:color w:val="000000"/>
                <w:sz w:val="16"/>
                <w:szCs w:val="16"/>
                <w:lang w:eastAsia="en-NZ"/>
              </w:rPr>
            </w:pPr>
          </w:p>
        </w:tc>
      </w:tr>
      <w:tr w:rsidR="00D9465C" w:rsidRPr="003F15C0" w14:paraId="5E56EDCD" w14:textId="77777777" w:rsidTr="00DD0F28">
        <w:tc>
          <w:tcPr>
            <w:tcW w:w="3119" w:type="dxa"/>
          </w:tcPr>
          <w:p w14:paraId="162215B4" w14:textId="77777777" w:rsidR="00D9465C" w:rsidRPr="003F15C0" w:rsidRDefault="00D9465C" w:rsidP="00DD0F28">
            <w:pPr>
              <w:spacing w:before="20"/>
              <w:ind w:left="176"/>
              <w:jc w:val="both"/>
              <w:rPr>
                <w:sz w:val="16"/>
                <w:szCs w:val="16"/>
              </w:rPr>
            </w:pPr>
            <w:r w:rsidRPr="003F15C0">
              <w:rPr>
                <w:sz w:val="16"/>
                <w:szCs w:val="16"/>
              </w:rPr>
              <w:t>Pacific</w:t>
            </w:r>
          </w:p>
        </w:tc>
        <w:tc>
          <w:tcPr>
            <w:tcW w:w="1048" w:type="dxa"/>
            <w:shd w:val="clear" w:color="auto" w:fill="auto"/>
            <w:vAlign w:val="center"/>
          </w:tcPr>
          <w:p w14:paraId="34A74B3F" w14:textId="77777777" w:rsidR="00D9465C" w:rsidRPr="00FE7300" w:rsidRDefault="00D9465C" w:rsidP="00DD0F28">
            <w:pPr>
              <w:jc w:val="right"/>
              <w:rPr>
                <w:color w:val="000000"/>
                <w:sz w:val="16"/>
                <w:szCs w:val="16"/>
                <w:lang w:eastAsia="en-NZ"/>
              </w:rPr>
            </w:pPr>
            <w:r w:rsidRPr="00FE7300">
              <w:rPr>
                <w:color w:val="000000"/>
                <w:sz w:val="16"/>
                <w:szCs w:val="16"/>
                <w:lang w:eastAsia="en-NZ"/>
              </w:rPr>
              <w:t>5</w:t>
            </w:r>
          </w:p>
        </w:tc>
        <w:tc>
          <w:tcPr>
            <w:tcW w:w="995" w:type="dxa"/>
            <w:shd w:val="clear" w:color="auto" w:fill="auto"/>
            <w:vAlign w:val="center"/>
          </w:tcPr>
          <w:p w14:paraId="10FE73DA" w14:textId="77777777" w:rsidR="00D9465C" w:rsidRPr="00FE7300" w:rsidRDefault="00D9465C" w:rsidP="00DD0F28">
            <w:pPr>
              <w:jc w:val="right"/>
              <w:rPr>
                <w:color w:val="000000"/>
                <w:sz w:val="16"/>
                <w:szCs w:val="16"/>
                <w:lang w:eastAsia="en-NZ"/>
              </w:rPr>
            </w:pPr>
            <w:r w:rsidRPr="00FE7300">
              <w:rPr>
                <w:color w:val="000000"/>
                <w:sz w:val="16"/>
                <w:szCs w:val="16"/>
                <w:lang w:eastAsia="en-NZ"/>
              </w:rPr>
              <w:t>66.2</w:t>
            </w:r>
          </w:p>
        </w:tc>
        <w:tc>
          <w:tcPr>
            <w:tcW w:w="1055" w:type="dxa"/>
            <w:shd w:val="clear" w:color="auto" w:fill="auto"/>
            <w:vAlign w:val="center"/>
          </w:tcPr>
          <w:p w14:paraId="0CAF1C02" w14:textId="77777777" w:rsidR="00D9465C" w:rsidRPr="00FE7300" w:rsidRDefault="00D9465C" w:rsidP="00DD0F28">
            <w:pPr>
              <w:jc w:val="right"/>
              <w:rPr>
                <w:color w:val="000000"/>
                <w:sz w:val="16"/>
                <w:szCs w:val="16"/>
                <w:lang w:eastAsia="en-NZ"/>
              </w:rPr>
            </w:pPr>
          </w:p>
        </w:tc>
        <w:tc>
          <w:tcPr>
            <w:tcW w:w="1275" w:type="dxa"/>
            <w:shd w:val="clear" w:color="auto" w:fill="auto"/>
            <w:vAlign w:val="center"/>
          </w:tcPr>
          <w:p w14:paraId="34D239D7" w14:textId="77777777" w:rsidR="00D9465C" w:rsidRPr="00FE7300" w:rsidRDefault="00D9465C" w:rsidP="00DD0F28">
            <w:pPr>
              <w:jc w:val="right"/>
              <w:rPr>
                <w:color w:val="000000"/>
                <w:sz w:val="16"/>
                <w:szCs w:val="16"/>
                <w:lang w:eastAsia="en-NZ"/>
              </w:rPr>
            </w:pPr>
          </w:p>
        </w:tc>
        <w:tc>
          <w:tcPr>
            <w:tcW w:w="1020" w:type="dxa"/>
            <w:shd w:val="clear" w:color="auto" w:fill="auto"/>
            <w:vAlign w:val="center"/>
          </w:tcPr>
          <w:p w14:paraId="0001C108" w14:textId="77777777" w:rsidR="00D9465C" w:rsidRPr="00FE7300" w:rsidRDefault="00D9465C" w:rsidP="00DD0F28">
            <w:pPr>
              <w:jc w:val="right"/>
              <w:rPr>
                <w:color w:val="000000"/>
                <w:sz w:val="16"/>
                <w:szCs w:val="16"/>
                <w:lang w:eastAsia="en-NZ"/>
              </w:rPr>
            </w:pPr>
          </w:p>
        </w:tc>
      </w:tr>
      <w:tr w:rsidR="00D9465C" w:rsidRPr="003F15C0" w14:paraId="34628249" w14:textId="77777777" w:rsidTr="00DD0F28">
        <w:tc>
          <w:tcPr>
            <w:tcW w:w="3119" w:type="dxa"/>
          </w:tcPr>
          <w:p w14:paraId="47EDBD85" w14:textId="77777777" w:rsidR="00D9465C" w:rsidRPr="003F15C0" w:rsidRDefault="00D9465C" w:rsidP="00DD0F28">
            <w:pPr>
              <w:spacing w:before="20"/>
              <w:ind w:left="176"/>
              <w:jc w:val="both"/>
              <w:rPr>
                <w:sz w:val="16"/>
                <w:szCs w:val="16"/>
              </w:rPr>
            </w:pPr>
            <w:r w:rsidRPr="003F15C0">
              <w:rPr>
                <w:sz w:val="16"/>
                <w:szCs w:val="16"/>
              </w:rPr>
              <w:t>Asian</w:t>
            </w:r>
          </w:p>
        </w:tc>
        <w:tc>
          <w:tcPr>
            <w:tcW w:w="1048" w:type="dxa"/>
            <w:shd w:val="clear" w:color="auto" w:fill="auto"/>
            <w:vAlign w:val="center"/>
          </w:tcPr>
          <w:p w14:paraId="068C7C2C" w14:textId="77777777" w:rsidR="00D9465C" w:rsidRPr="00FE7300" w:rsidRDefault="00D9465C" w:rsidP="00DD0F28">
            <w:pPr>
              <w:jc w:val="right"/>
              <w:rPr>
                <w:color w:val="000000"/>
                <w:sz w:val="16"/>
                <w:szCs w:val="16"/>
                <w:lang w:eastAsia="en-NZ"/>
              </w:rPr>
            </w:pPr>
            <w:r w:rsidRPr="00FE7300">
              <w:rPr>
                <w:color w:val="000000"/>
                <w:sz w:val="16"/>
                <w:szCs w:val="16"/>
                <w:lang w:eastAsia="en-NZ"/>
              </w:rPr>
              <w:t>1</w:t>
            </w:r>
          </w:p>
        </w:tc>
        <w:tc>
          <w:tcPr>
            <w:tcW w:w="995" w:type="dxa"/>
            <w:shd w:val="clear" w:color="auto" w:fill="auto"/>
            <w:vAlign w:val="center"/>
          </w:tcPr>
          <w:p w14:paraId="56846A31" w14:textId="77777777" w:rsidR="00D9465C" w:rsidRPr="00FE7300" w:rsidRDefault="00D9465C" w:rsidP="00DD0F28">
            <w:pPr>
              <w:jc w:val="right"/>
              <w:rPr>
                <w:color w:val="000000"/>
                <w:sz w:val="16"/>
                <w:szCs w:val="16"/>
                <w:lang w:eastAsia="en-NZ"/>
              </w:rPr>
            </w:pPr>
            <w:r w:rsidRPr="00FE7300">
              <w:rPr>
                <w:color w:val="000000"/>
                <w:sz w:val="16"/>
                <w:szCs w:val="16"/>
                <w:lang w:eastAsia="en-NZ"/>
              </w:rPr>
              <w:t>100.0</w:t>
            </w:r>
          </w:p>
        </w:tc>
        <w:tc>
          <w:tcPr>
            <w:tcW w:w="1055" w:type="dxa"/>
            <w:shd w:val="clear" w:color="auto" w:fill="auto"/>
            <w:vAlign w:val="center"/>
          </w:tcPr>
          <w:p w14:paraId="30EABB35" w14:textId="77777777" w:rsidR="00D9465C" w:rsidRPr="00FE7300" w:rsidRDefault="00D9465C" w:rsidP="00DD0F28">
            <w:pPr>
              <w:jc w:val="right"/>
              <w:rPr>
                <w:color w:val="000000"/>
                <w:sz w:val="16"/>
                <w:szCs w:val="16"/>
                <w:lang w:eastAsia="en-NZ"/>
              </w:rPr>
            </w:pPr>
          </w:p>
        </w:tc>
        <w:tc>
          <w:tcPr>
            <w:tcW w:w="1275" w:type="dxa"/>
            <w:shd w:val="clear" w:color="auto" w:fill="auto"/>
            <w:vAlign w:val="center"/>
          </w:tcPr>
          <w:p w14:paraId="381CBF30" w14:textId="77777777" w:rsidR="00D9465C" w:rsidRPr="00FE7300" w:rsidRDefault="00D9465C" w:rsidP="00DD0F28">
            <w:pPr>
              <w:jc w:val="right"/>
              <w:rPr>
                <w:color w:val="000000"/>
                <w:sz w:val="16"/>
                <w:szCs w:val="16"/>
                <w:lang w:eastAsia="en-NZ"/>
              </w:rPr>
            </w:pPr>
          </w:p>
        </w:tc>
        <w:tc>
          <w:tcPr>
            <w:tcW w:w="1020" w:type="dxa"/>
            <w:shd w:val="clear" w:color="auto" w:fill="auto"/>
            <w:vAlign w:val="center"/>
          </w:tcPr>
          <w:p w14:paraId="41DF7399" w14:textId="77777777" w:rsidR="00D9465C" w:rsidRPr="00FE7300" w:rsidRDefault="00D9465C" w:rsidP="00DD0F28">
            <w:pPr>
              <w:jc w:val="right"/>
              <w:rPr>
                <w:color w:val="000000"/>
                <w:sz w:val="16"/>
                <w:szCs w:val="16"/>
                <w:lang w:eastAsia="en-NZ"/>
              </w:rPr>
            </w:pPr>
          </w:p>
        </w:tc>
      </w:tr>
      <w:tr w:rsidR="00D9465C" w:rsidRPr="003F15C0" w14:paraId="120DC2BA" w14:textId="77777777" w:rsidTr="00DD0F28">
        <w:tc>
          <w:tcPr>
            <w:tcW w:w="3119" w:type="dxa"/>
          </w:tcPr>
          <w:p w14:paraId="422CEBDB" w14:textId="77777777" w:rsidR="00D9465C" w:rsidRPr="003F15C0" w:rsidRDefault="00D9465C" w:rsidP="00DD0F28">
            <w:pPr>
              <w:spacing w:before="20"/>
              <w:ind w:left="176"/>
              <w:jc w:val="both"/>
              <w:rPr>
                <w:sz w:val="16"/>
                <w:szCs w:val="16"/>
              </w:rPr>
            </w:pPr>
            <w:r w:rsidRPr="003F15C0">
              <w:rPr>
                <w:sz w:val="16"/>
                <w:szCs w:val="16"/>
              </w:rPr>
              <w:t>European/Other</w:t>
            </w:r>
          </w:p>
        </w:tc>
        <w:tc>
          <w:tcPr>
            <w:tcW w:w="1048" w:type="dxa"/>
            <w:shd w:val="clear" w:color="auto" w:fill="auto"/>
            <w:vAlign w:val="center"/>
          </w:tcPr>
          <w:p w14:paraId="50611962" w14:textId="77777777" w:rsidR="00D9465C" w:rsidRPr="00FE7300" w:rsidRDefault="00D9465C" w:rsidP="00DD0F28">
            <w:pPr>
              <w:jc w:val="right"/>
              <w:rPr>
                <w:color w:val="000000"/>
                <w:sz w:val="16"/>
                <w:szCs w:val="16"/>
                <w:lang w:eastAsia="en-NZ"/>
              </w:rPr>
            </w:pPr>
            <w:r w:rsidRPr="00FE7300">
              <w:rPr>
                <w:color w:val="000000"/>
                <w:sz w:val="16"/>
                <w:szCs w:val="16"/>
                <w:lang w:eastAsia="en-NZ"/>
              </w:rPr>
              <w:t>20</w:t>
            </w:r>
          </w:p>
        </w:tc>
        <w:tc>
          <w:tcPr>
            <w:tcW w:w="995" w:type="dxa"/>
            <w:shd w:val="clear" w:color="auto" w:fill="auto"/>
            <w:vAlign w:val="center"/>
          </w:tcPr>
          <w:p w14:paraId="3817A2DD" w14:textId="77777777" w:rsidR="00D9465C" w:rsidRPr="00FE7300" w:rsidRDefault="00D9465C" w:rsidP="00DD0F28">
            <w:pPr>
              <w:jc w:val="right"/>
              <w:rPr>
                <w:color w:val="000000"/>
                <w:sz w:val="16"/>
                <w:szCs w:val="16"/>
                <w:lang w:eastAsia="en-NZ"/>
              </w:rPr>
            </w:pPr>
            <w:r w:rsidRPr="00FE7300">
              <w:rPr>
                <w:color w:val="000000"/>
                <w:sz w:val="16"/>
                <w:szCs w:val="16"/>
                <w:lang w:eastAsia="en-NZ"/>
              </w:rPr>
              <w:t>89.3</w:t>
            </w:r>
          </w:p>
        </w:tc>
        <w:tc>
          <w:tcPr>
            <w:tcW w:w="1055" w:type="dxa"/>
            <w:shd w:val="clear" w:color="auto" w:fill="auto"/>
            <w:vAlign w:val="center"/>
          </w:tcPr>
          <w:p w14:paraId="7DCFBF17" w14:textId="77777777" w:rsidR="00D9465C" w:rsidRPr="00FE7300" w:rsidRDefault="00D9465C" w:rsidP="00DD0F28">
            <w:pPr>
              <w:jc w:val="right"/>
              <w:rPr>
                <w:color w:val="000000"/>
                <w:sz w:val="16"/>
                <w:szCs w:val="16"/>
                <w:lang w:eastAsia="en-NZ"/>
              </w:rPr>
            </w:pPr>
          </w:p>
        </w:tc>
        <w:tc>
          <w:tcPr>
            <w:tcW w:w="1275" w:type="dxa"/>
            <w:shd w:val="clear" w:color="auto" w:fill="auto"/>
            <w:vAlign w:val="center"/>
          </w:tcPr>
          <w:p w14:paraId="25E2C826" w14:textId="77777777" w:rsidR="00D9465C" w:rsidRPr="00FE7300" w:rsidRDefault="00D9465C" w:rsidP="00DD0F28">
            <w:pPr>
              <w:jc w:val="right"/>
              <w:rPr>
                <w:color w:val="000000"/>
                <w:sz w:val="16"/>
                <w:szCs w:val="16"/>
                <w:lang w:eastAsia="en-NZ"/>
              </w:rPr>
            </w:pPr>
          </w:p>
        </w:tc>
        <w:tc>
          <w:tcPr>
            <w:tcW w:w="1020" w:type="dxa"/>
            <w:shd w:val="clear" w:color="auto" w:fill="auto"/>
            <w:vAlign w:val="center"/>
          </w:tcPr>
          <w:p w14:paraId="082517C6" w14:textId="77777777" w:rsidR="00D9465C" w:rsidRPr="00FE7300" w:rsidRDefault="00D9465C" w:rsidP="00DD0F28">
            <w:pPr>
              <w:jc w:val="right"/>
              <w:rPr>
                <w:color w:val="000000"/>
                <w:sz w:val="16"/>
                <w:szCs w:val="16"/>
                <w:lang w:eastAsia="en-NZ"/>
              </w:rPr>
            </w:pPr>
          </w:p>
        </w:tc>
      </w:tr>
      <w:tr w:rsidR="00D9465C" w:rsidRPr="003F15C0" w14:paraId="79628A66" w14:textId="77777777" w:rsidTr="00DD0F28">
        <w:tc>
          <w:tcPr>
            <w:tcW w:w="3119" w:type="dxa"/>
            <w:vAlign w:val="bottom"/>
          </w:tcPr>
          <w:p w14:paraId="34F40B19" w14:textId="77777777" w:rsidR="00D9465C" w:rsidRPr="003F15C0" w:rsidRDefault="00D9465C" w:rsidP="00DD0F28">
            <w:pPr>
              <w:spacing w:before="20"/>
              <w:jc w:val="both"/>
              <w:rPr>
                <w:b/>
                <w:sz w:val="16"/>
                <w:szCs w:val="16"/>
              </w:rPr>
            </w:pPr>
            <w:r w:rsidRPr="003F15C0">
              <w:rPr>
                <w:b/>
                <w:sz w:val="16"/>
                <w:szCs w:val="16"/>
              </w:rPr>
              <w:t>Arrival in NZ</w:t>
            </w:r>
          </w:p>
        </w:tc>
        <w:tc>
          <w:tcPr>
            <w:tcW w:w="1048" w:type="dxa"/>
            <w:shd w:val="clear" w:color="auto" w:fill="auto"/>
            <w:vAlign w:val="center"/>
          </w:tcPr>
          <w:p w14:paraId="115A9A66" w14:textId="77777777" w:rsidR="00D9465C" w:rsidRPr="00FE7300" w:rsidRDefault="00D9465C" w:rsidP="00DD0F28">
            <w:pPr>
              <w:jc w:val="right"/>
              <w:rPr>
                <w:color w:val="000000"/>
                <w:sz w:val="16"/>
                <w:szCs w:val="16"/>
                <w:lang w:eastAsia="en-NZ"/>
              </w:rPr>
            </w:pPr>
          </w:p>
        </w:tc>
        <w:tc>
          <w:tcPr>
            <w:tcW w:w="995" w:type="dxa"/>
            <w:shd w:val="clear" w:color="auto" w:fill="auto"/>
            <w:vAlign w:val="center"/>
          </w:tcPr>
          <w:p w14:paraId="5BE1E623" w14:textId="77777777" w:rsidR="00D9465C" w:rsidRPr="00FE7300" w:rsidRDefault="00D9465C" w:rsidP="00DD0F28">
            <w:pPr>
              <w:jc w:val="right"/>
              <w:rPr>
                <w:color w:val="000000"/>
                <w:sz w:val="16"/>
                <w:szCs w:val="16"/>
                <w:lang w:eastAsia="en-NZ"/>
              </w:rPr>
            </w:pPr>
          </w:p>
        </w:tc>
        <w:tc>
          <w:tcPr>
            <w:tcW w:w="1055" w:type="dxa"/>
            <w:shd w:val="clear" w:color="auto" w:fill="auto"/>
            <w:vAlign w:val="center"/>
          </w:tcPr>
          <w:p w14:paraId="0446B791" w14:textId="77777777" w:rsidR="00D9465C" w:rsidRPr="00FE7300" w:rsidRDefault="00D9465C" w:rsidP="00DD0F28">
            <w:pPr>
              <w:jc w:val="right"/>
              <w:rPr>
                <w:color w:val="000000"/>
                <w:sz w:val="16"/>
                <w:szCs w:val="16"/>
                <w:lang w:eastAsia="en-NZ"/>
              </w:rPr>
            </w:pPr>
          </w:p>
        </w:tc>
        <w:tc>
          <w:tcPr>
            <w:tcW w:w="1275" w:type="dxa"/>
            <w:shd w:val="clear" w:color="auto" w:fill="auto"/>
            <w:vAlign w:val="center"/>
          </w:tcPr>
          <w:p w14:paraId="27FCE9E7" w14:textId="77777777" w:rsidR="00D9465C" w:rsidRPr="00FE7300" w:rsidRDefault="00D9465C" w:rsidP="00DD0F28">
            <w:pPr>
              <w:jc w:val="right"/>
              <w:rPr>
                <w:color w:val="000000"/>
                <w:sz w:val="16"/>
                <w:szCs w:val="16"/>
                <w:lang w:eastAsia="en-NZ"/>
              </w:rPr>
            </w:pPr>
          </w:p>
        </w:tc>
        <w:tc>
          <w:tcPr>
            <w:tcW w:w="1020" w:type="dxa"/>
            <w:shd w:val="clear" w:color="auto" w:fill="auto"/>
            <w:vAlign w:val="center"/>
          </w:tcPr>
          <w:p w14:paraId="2CA60D8C" w14:textId="77777777" w:rsidR="00D9465C" w:rsidRPr="00FE7300" w:rsidRDefault="00D9465C" w:rsidP="00DD0F28">
            <w:pPr>
              <w:jc w:val="right"/>
              <w:rPr>
                <w:color w:val="000000"/>
                <w:sz w:val="16"/>
                <w:szCs w:val="16"/>
                <w:lang w:eastAsia="en-NZ"/>
              </w:rPr>
            </w:pPr>
          </w:p>
        </w:tc>
      </w:tr>
      <w:tr w:rsidR="00D9465C" w:rsidRPr="003F15C0" w14:paraId="675AD75C" w14:textId="77777777" w:rsidTr="00DD0F28">
        <w:tc>
          <w:tcPr>
            <w:tcW w:w="3119" w:type="dxa"/>
          </w:tcPr>
          <w:p w14:paraId="54646363" w14:textId="77777777" w:rsidR="00D9465C" w:rsidRPr="003F15C0" w:rsidRDefault="00D9465C" w:rsidP="00DD0F28">
            <w:pPr>
              <w:spacing w:before="20"/>
              <w:ind w:left="176"/>
              <w:jc w:val="both"/>
              <w:rPr>
                <w:sz w:val="16"/>
                <w:szCs w:val="16"/>
              </w:rPr>
            </w:pPr>
            <w:r w:rsidRPr="003F15C0">
              <w:rPr>
                <w:sz w:val="16"/>
                <w:szCs w:val="16"/>
              </w:rPr>
              <w:t>NZ born</w:t>
            </w:r>
          </w:p>
        </w:tc>
        <w:tc>
          <w:tcPr>
            <w:tcW w:w="1048" w:type="dxa"/>
            <w:shd w:val="clear" w:color="auto" w:fill="auto"/>
            <w:vAlign w:val="center"/>
          </w:tcPr>
          <w:p w14:paraId="2A45C261" w14:textId="77777777" w:rsidR="00D9465C" w:rsidRPr="00FE7300" w:rsidRDefault="00D9465C" w:rsidP="00DD0F28">
            <w:pPr>
              <w:jc w:val="right"/>
              <w:rPr>
                <w:color w:val="000000"/>
                <w:sz w:val="16"/>
                <w:szCs w:val="16"/>
                <w:lang w:eastAsia="en-NZ"/>
              </w:rPr>
            </w:pPr>
            <w:r w:rsidRPr="00FE7300">
              <w:rPr>
                <w:color w:val="000000"/>
                <w:sz w:val="16"/>
                <w:szCs w:val="16"/>
                <w:lang w:eastAsia="en-NZ"/>
              </w:rPr>
              <w:t>27</w:t>
            </w:r>
          </w:p>
        </w:tc>
        <w:tc>
          <w:tcPr>
            <w:tcW w:w="995" w:type="dxa"/>
            <w:shd w:val="clear" w:color="auto" w:fill="auto"/>
            <w:vAlign w:val="center"/>
          </w:tcPr>
          <w:p w14:paraId="513ECEEA" w14:textId="77777777" w:rsidR="00D9465C" w:rsidRPr="00FE7300" w:rsidRDefault="00D9465C" w:rsidP="00DD0F28">
            <w:pPr>
              <w:jc w:val="right"/>
              <w:rPr>
                <w:color w:val="000000"/>
                <w:sz w:val="16"/>
                <w:szCs w:val="16"/>
                <w:lang w:eastAsia="en-NZ"/>
              </w:rPr>
            </w:pPr>
            <w:r w:rsidRPr="00FE7300">
              <w:rPr>
                <w:color w:val="000000"/>
                <w:sz w:val="16"/>
                <w:szCs w:val="16"/>
                <w:lang w:eastAsia="en-NZ"/>
              </w:rPr>
              <w:t>74.5</w:t>
            </w:r>
          </w:p>
        </w:tc>
        <w:tc>
          <w:tcPr>
            <w:tcW w:w="1055" w:type="dxa"/>
            <w:shd w:val="clear" w:color="auto" w:fill="auto"/>
            <w:vAlign w:val="center"/>
          </w:tcPr>
          <w:p w14:paraId="7194D261" w14:textId="77777777" w:rsidR="00D9465C" w:rsidRPr="00FE7300" w:rsidRDefault="00D9465C" w:rsidP="00DD0F28">
            <w:pPr>
              <w:jc w:val="right"/>
              <w:rPr>
                <w:color w:val="000000"/>
                <w:sz w:val="16"/>
                <w:szCs w:val="16"/>
                <w:lang w:eastAsia="en-NZ"/>
              </w:rPr>
            </w:pPr>
          </w:p>
        </w:tc>
        <w:tc>
          <w:tcPr>
            <w:tcW w:w="1275" w:type="dxa"/>
            <w:shd w:val="clear" w:color="auto" w:fill="auto"/>
            <w:vAlign w:val="center"/>
          </w:tcPr>
          <w:p w14:paraId="7557B83D" w14:textId="77777777" w:rsidR="00D9465C" w:rsidRPr="00FE7300" w:rsidRDefault="00D9465C" w:rsidP="00DD0F28">
            <w:pPr>
              <w:jc w:val="right"/>
              <w:rPr>
                <w:color w:val="000000"/>
                <w:sz w:val="16"/>
                <w:szCs w:val="16"/>
                <w:lang w:eastAsia="en-NZ"/>
              </w:rPr>
            </w:pPr>
          </w:p>
        </w:tc>
        <w:tc>
          <w:tcPr>
            <w:tcW w:w="1020" w:type="dxa"/>
            <w:shd w:val="clear" w:color="auto" w:fill="auto"/>
            <w:vAlign w:val="center"/>
          </w:tcPr>
          <w:p w14:paraId="4143F6AB" w14:textId="77777777" w:rsidR="00D9465C" w:rsidRPr="00FE7300" w:rsidRDefault="00D9465C" w:rsidP="00DD0F28">
            <w:pPr>
              <w:jc w:val="right"/>
              <w:rPr>
                <w:color w:val="000000"/>
                <w:sz w:val="16"/>
                <w:szCs w:val="16"/>
                <w:lang w:eastAsia="en-NZ"/>
              </w:rPr>
            </w:pPr>
          </w:p>
        </w:tc>
      </w:tr>
      <w:tr w:rsidR="00D9465C" w:rsidRPr="003F15C0" w14:paraId="658B6733" w14:textId="77777777" w:rsidTr="00DD0F28">
        <w:tc>
          <w:tcPr>
            <w:tcW w:w="3119" w:type="dxa"/>
          </w:tcPr>
          <w:p w14:paraId="2304CB13" w14:textId="77777777" w:rsidR="00D9465C" w:rsidRPr="003F15C0" w:rsidRDefault="00D9465C" w:rsidP="00DD0F28">
            <w:pPr>
              <w:spacing w:before="20"/>
              <w:ind w:left="176"/>
              <w:jc w:val="both"/>
              <w:rPr>
                <w:sz w:val="16"/>
                <w:szCs w:val="16"/>
              </w:rPr>
            </w:pPr>
            <w:r w:rsidRPr="003F15C0">
              <w:rPr>
                <w:sz w:val="16"/>
                <w:szCs w:val="16"/>
              </w:rPr>
              <w:t>before 2008</w:t>
            </w:r>
          </w:p>
        </w:tc>
        <w:tc>
          <w:tcPr>
            <w:tcW w:w="1048" w:type="dxa"/>
            <w:shd w:val="clear" w:color="auto" w:fill="auto"/>
            <w:vAlign w:val="center"/>
          </w:tcPr>
          <w:p w14:paraId="09EF6BE7" w14:textId="77777777" w:rsidR="00D9465C" w:rsidRPr="00FE7300" w:rsidRDefault="00D9465C" w:rsidP="00DD0F28">
            <w:pPr>
              <w:jc w:val="right"/>
              <w:rPr>
                <w:color w:val="000000"/>
                <w:sz w:val="16"/>
                <w:szCs w:val="16"/>
                <w:lang w:eastAsia="en-NZ"/>
              </w:rPr>
            </w:pPr>
            <w:r w:rsidRPr="00FE7300">
              <w:rPr>
                <w:color w:val="000000"/>
                <w:sz w:val="16"/>
                <w:szCs w:val="16"/>
                <w:lang w:eastAsia="en-NZ"/>
              </w:rPr>
              <w:t>5</w:t>
            </w:r>
          </w:p>
        </w:tc>
        <w:tc>
          <w:tcPr>
            <w:tcW w:w="995" w:type="dxa"/>
            <w:shd w:val="clear" w:color="auto" w:fill="auto"/>
            <w:vAlign w:val="center"/>
          </w:tcPr>
          <w:p w14:paraId="410B21C8" w14:textId="77777777" w:rsidR="00D9465C" w:rsidRPr="00FE7300" w:rsidRDefault="00D9465C" w:rsidP="00DD0F28">
            <w:pPr>
              <w:jc w:val="right"/>
              <w:rPr>
                <w:color w:val="000000"/>
                <w:sz w:val="16"/>
                <w:szCs w:val="16"/>
                <w:lang w:eastAsia="en-NZ"/>
              </w:rPr>
            </w:pPr>
            <w:r w:rsidRPr="00FE7300">
              <w:rPr>
                <w:color w:val="000000"/>
                <w:sz w:val="16"/>
                <w:szCs w:val="16"/>
                <w:lang w:eastAsia="en-NZ"/>
              </w:rPr>
              <w:t>85.2</w:t>
            </w:r>
          </w:p>
        </w:tc>
        <w:tc>
          <w:tcPr>
            <w:tcW w:w="1055" w:type="dxa"/>
            <w:shd w:val="clear" w:color="auto" w:fill="auto"/>
            <w:vAlign w:val="center"/>
          </w:tcPr>
          <w:p w14:paraId="631BDD94" w14:textId="77777777" w:rsidR="00D9465C" w:rsidRPr="00FE7300" w:rsidRDefault="00D9465C" w:rsidP="00DD0F28">
            <w:pPr>
              <w:jc w:val="right"/>
              <w:rPr>
                <w:color w:val="000000"/>
                <w:sz w:val="16"/>
                <w:szCs w:val="16"/>
                <w:lang w:eastAsia="en-NZ"/>
              </w:rPr>
            </w:pPr>
          </w:p>
        </w:tc>
        <w:tc>
          <w:tcPr>
            <w:tcW w:w="1275" w:type="dxa"/>
            <w:shd w:val="clear" w:color="auto" w:fill="auto"/>
            <w:vAlign w:val="center"/>
          </w:tcPr>
          <w:p w14:paraId="3F10747F" w14:textId="77777777" w:rsidR="00D9465C" w:rsidRPr="00FE7300" w:rsidRDefault="00D9465C" w:rsidP="00DD0F28">
            <w:pPr>
              <w:jc w:val="right"/>
              <w:rPr>
                <w:color w:val="000000"/>
                <w:sz w:val="16"/>
                <w:szCs w:val="16"/>
                <w:lang w:eastAsia="en-NZ"/>
              </w:rPr>
            </w:pPr>
          </w:p>
        </w:tc>
        <w:tc>
          <w:tcPr>
            <w:tcW w:w="1020" w:type="dxa"/>
            <w:shd w:val="clear" w:color="auto" w:fill="auto"/>
            <w:vAlign w:val="center"/>
          </w:tcPr>
          <w:p w14:paraId="7551FE08" w14:textId="77777777" w:rsidR="00D9465C" w:rsidRPr="00FE7300" w:rsidRDefault="00D9465C" w:rsidP="00DD0F28">
            <w:pPr>
              <w:jc w:val="right"/>
              <w:rPr>
                <w:color w:val="000000"/>
                <w:sz w:val="16"/>
                <w:szCs w:val="16"/>
                <w:lang w:eastAsia="en-NZ"/>
              </w:rPr>
            </w:pPr>
          </w:p>
        </w:tc>
      </w:tr>
      <w:tr w:rsidR="00D9465C" w:rsidRPr="003F15C0" w14:paraId="326AA049" w14:textId="77777777" w:rsidTr="00DD0F28">
        <w:tc>
          <w:tcPr>
            <w:tcW w:w="3119" w:type="dxa"/>
          </w:tcPr>
          <w:p w14:paraId="3002F7C1" w14:textId="77777777" w:rsidR="00D9465C" w:rsidRPr="003F15C0" w:rsidRDefault="00D9465C" w:rsidP="00DD0F28">
            <w:pPr>
              <w:spacing w:before="20"/>
              <w:ind w:left="176"/>
              <w:jc w:val="both"/>
              <w:rPr>
                <w:sz w:val="16"/>
                <w:szCs w:val="16"/>
              </w:rPr>
            </w:pPr>
            <w:r w:rsidRPr="003F15C0">
              <w:rPr>
                <w:sz w:val="16"/>
                <w:szCs w:val="16"/>
              </w:rPr>
              <w:t>since 2008</w:t>
            </w:r>
          </w:p>
        </w:tc>
        <w:tc>
          <w:tcPr>
            <w:tcW w:w="1048" w:type="dxa"/>
            <w:shd w:val="clear" w:color="auto" w:fill="auto"/>
            <w:vAlign w:val="center"/>
          </w:tcPr>
          <w:p w14:paraId="7CE773FC" w14:textId="77777777" w:rsidR="00D9465C" w:rsidRPr="00FE7300" w:rsidRDefault="00D9465C" w:rsidP="00DD0F28">
            <w:pPr>
              <w:jc w:val="right"/>
              <w:rPr>
                <w:color w:val="000000"/>
                <w:sz w:val="16"/>
                <w:szCs w:val="16"/>
                <w:lang w:eastAsia="en-NZ"/>
              </w:rPr>
            </w:pPr>
            <w:r w:rsidRPr="00FE7300">
              <w:rPr>
                <w:color w:val="000000"/>
                <w:sz w:val="16"/>
                <w:szCs w:val="16"/>
                <w:lang w:eastAsia="en-NZ"/>
              </w:rPr>
              <w:t>1</w:t>
            </w:r>
          </w:p>
        </w:tc>
        <w:tc>
          <w:tcPr>
            <w:tcW w:w="995" w:type="dxa"/>
            <w:shd w:val="clear" w:color="auto" w:fill="auto"/>
            <w:vAlign w:val="center"/>
          </w:tcPr>
          <w:p w14:paraId="565998AF" w14:textId="77777777" w:rsidR="00D9465C" w:rsidRPr="00FE7300" w:rsidRDefault="00D9465C" w:rsidP="00DD0F28">
            <w:pPr>
              <w:jc w:val="right"/>
              <w:rPr>
                <w:color w:val="000000"/>
                <w:sz w:val="16"/>
                <w:szCs w:val="16"/>
                <w:lang w:eastAsia="en-NZ"/>
              </w:rPr>
            </w:pPr>
            <w:r w:rsidRPr="00FE7300">
              <w:rPr>
                <w:color w:val="000000"/>
                <w:sz w:val="16"/>
                <w:szCs w:val="16"/>
                <w:lang w:eastAsia="en-NZ"/>
              </w:rPr>
              <w:t>100.0</w:t>
            </w:r>
          </w:p>
        </w:tc>
        <w:tc>
          <w:tcPr>
            <w:tcW w:w="1055" w:type="dxa"/>
            <w:shd w:val="clear" w:color="auto" w:fill="auto"/>
            <w:vAlign w:val="center"/>
          </w:tcPr>
          <w:p w14:paraId="46436171" w14:textId="77777777" w:rsidR="00D9465C" w:rsidRPr="00FE7300" w:rsidRDefault="00D9465C" w:rsidP="00DD0F28">
            <w:pPr>
              <w:jc w:val="right"/>
              <w:rPr>
                <w:color w:val="000000"/>
                <w:sz w:val="16"/>
                <w:szCs w:val="16"/>
                <w:lang w:eastAsia="en-NZ"/>
              </w:rPr>
            </w:pPr>
          </w:p>
        </w:tc>
        <w:tc>
          <w:tcPr>
            <w:tcW w:w="1275" w:type="dxa"/>
            <w:shd w:val="clear" w:color="auto" w:fill="auto"/>
            <w:vAlign w:val="center"/>
          </w:tcPr>
          <w:p w14:paraId="21FE0D29" w14:textId="77777777" w:rsidR="00D9465C" w:rsidRPr="00FE7300" w:rsidRDefault="00D9465C" w:rsidP="00DD0F28">
            <w:pPr>
              <w:jc w:val="right"/>
              <w:rPr>
                <w:color w:val="000000"/>
                <w:sz w:val="16"/>
                <w:szCs w:val="16"/>
                <w:lang w:eastAsia="en-NZ"/>
              </w:rPr>
            </w:pPr>
          </w:p>
        </w:tc>
        <w:tc>
          <w:tcPr>
            <w:tcW w:w="1020" w:type="dxa"/>
            <w:shd w:val="clear" w:color="auto" w:fill="auto"/>
            <w:vAlign w:val="center"/>
          </w:tcPr>
          <w:p w14:paraId="2A4BA0F5" w14:textId="77777777" w:rsidR="00D9465C" w:rsidRPr="00FE7300" w:rsidRDefault="00D9465C" w:rsidP="00DD0F28">
            <w:pPr>
              <w:jc w:val="right"/>
              <w:rPr>
                <w:color w:val="000000"/>
                <w:sz w:val="16"/>
                <w:szCs w:val="16"/>
                <w:lang w:eastAsia="en-NZ"/>
              </w:rPr>
            </w:pPr>
          </w:p>
        </w:tc>
      </w:tr>
      <w:tr w:rsidR="00D9465C" w:rsidRPr="003F15C0" w14:paraId="20BB0F1F" w14:textId="77777777" w:rsidTr="00DD0F28">
        <w:tc>
          <w:tcPr>
            <w:tcW w:w="3119" w:type="dxa"/>
            <w:vAlign w:val="bottom"/>
          </w:tcPr>
          <w:p w14:paraId="3F93DCB9" w14:textId="77777777" w:rsidR="00D9465C" w:rsidRPr="003F15C0" w:rsidRDefault="00D9465C" w:rsidP="00DD0F28">
            <w:pPr>
              <w:spacing w:before="20"/>
              <w:jc w:val="both"/>
              <w:rPr>
                <w:b/>
                <w:sz w:val="16"/>
                <w:szCs w:val="16"/>
              </w:rPr>
            </w:pPr>
            <w:r w:rsidRPr="003F15C0">
              <w:rPr>
                <w:b/>
                <w:sz w:val="16"/>
                <w:szCs w:val="16"/>
              </w:rPr>
              <w:t>Household size</w:t>
            </w:r>
          </w:p>
        </w:tc>
        <w:tc>
          <w:tcPr>
            <w:tcW w:w="1048" w:type="dxa"/>
            <w:shd w:val="clear" w:color="auto" w:fill="auto"/>
            <w:vAlign w:val="center"/>
          </w:tcPr>
          <w:p w14:paraId="268774A2" w14:textId="77777777" w:rsidR="00D9465C" w:rsidRPr="00FE7300" w:rsidRDefault="00D9465C" w:rsidP="00DD0F28">
            <w:pPr>
              <w:jc w:val="right"/>
              <w:rPr>
                <w:color w:val="000000"/>
                <w:sz w:val="16"/>
                <w:szCs w:val="16"/>
                <w:lang w:eastAsia="en-NZ"/>
              </w:rPr>
            </w:pPr>
          </w:p>
        </w:tc>
        <w:tc>
          <w:tcPr>
            <w:tcW w:w="995" w:type="dxa"/>
            <w:shd w:val="clear" w:color="auto" w:fill="auto"/>
            <w:vAlign w:val="center"/>
          </w:tcPr>
          <w:p w14:paraId="35923302" w14:textId="77777777" w:rsidR="00D9465C" w:rsidRPr="00FE7300" w:rsidRDefault="00D9465C" w:rsidP="00DD0F28">
            <w:pPr>
              <w:jc w:val="right"/>
              <w:rPr>
                <w:color w:val="000000"/>
                <w:sz w:val="16"/>
                <w:szCs w:val="16"/>
                <w:lang w:eastAsia="en-NZ"/>
              </w:rPr>
            </w:pPr>
          </w:p>
        </w:tc>
        <w:tc>
          <w:tcPr>
            <w:tcW w:w="1055" w:type="dxa"/>
            <w:shd w:val="clear" w:color="auto" w:fill="auto"/>
            <w:vAlign w:val="center"/>
          </w:tcPr>
          <w:p w14:paraId="44BBAA7E" w14:textId="77777777" w:rsidR="00D9465C" w:rsidRPr="00FE7300" w:rsidRDefault="00D9465C" w:rsidP="00DD0F28">
            <w:pPr>
              <w:jc w:val="right"/>
              <w:rPr>
                <w:color w:val="000000"/>
                <w:sz w:val="16"/>
                <w:szCs w:val="16"/>
                <w:lang w:eastAsia="en-NZ"/>
              </w:rPr>
            </w:pPr>
          </w:p>
        </w:tc>
        <w:tc>
          <w:tcPr>
            <w:tcW w:w="1275" w:type="dxa"/>
            <w:shd w:val="clear" w:color="auto" w:fill="auto"/>
            <w:vAlign w:val="center"/>
          </w:tcPr>
          <w:p w14:paraId="6E888AA6" w14:textId="77777777" w:rsidR="00D9465C" w:rsidRPr="00FE7300" w:rsidRDefault="00D9465C" w:rsidP="00DD0F28">
            <w:pPr>
              <w:jc w:val="right"/>
              <w:rPr>
                <w:color w:val="000000"/>
                <w:sz w:val="16"/>
                <w:szCs w:val="16"/>
                <w:lang w:eastAsia="en-NZ"/>
              </w:rPr>
            </w:pPr>
          </w:p>
        </w:tc>
        <w:tc>
          <w:tcPr>
            <w:tcW w:w="1020" w:type="dxa"/>
            <w:shd w:val="clear" w:color="auto" w:fill="auto"/>
            <w:vAlign w:val="center"/>
          </w:tcPr>
          <w:p w14:paraId="073BEB35" w14:textId="77777777" w:rsidR="00D9465C" w:rsidRPr="00FE7300" w:rsidRDefault="00D9465C" w:rsidP="00DD0F28">
            <w:pPr>
              <w:jc w:val="right"/>
              <w:rPr>
                <w:color w:val="000000"/>
                <w:sz w:val="16"/>
                <w:szCs w:val="16"/>
                <w:lang w:eastAsia="en-NZ"/>
              </w:rPr>
            </w:pPr>
          </w:p>
        </w:tc>
      </w:tr>
      <w:tr w:rsidR="00D9465C" w:rsidRPr="003F15C0" w14:paraId="213CDD10" w14:textId="77777777" w:rsidTr="00DD0F28">
        <w:tc>
          <w:tcPr>
            <w:tcW w:w="3119" w:type="dxa"/>
          </w:tcPr>
          <w:p w14:paraId="433FDAF3" w14:textId="77777777" w:rsidR="00D9465C" w:rsidRPr="003F15C0" w:rsidRDefault="00D9465C" w:rsidP="00DD0F28">
            <w:pPr>
              <w:spacing w:before="20"/>
              <w:ind w:left="176"/>
              <w:jc w:val="both"/>
              <w:rPr>
                <w:sz w:val="16"/>
                <w:szCs w:val="16"/>
              </w:rPr>
            </w:pPr>
            <w:r w:rsidRPr="003F15C0">
              <w:rPr>
                <w:sz w:val="16"/>
                <w:szCs w:val="16"/>
              </w:rPr>
              <w:t>1</w:t>
            </w:r>
            <w:r>
              <w:rPr>
                <w:sz w:val="16"/>
                <w:szCs w:val="16"/>
              </w:rPr>
              <w:t xml:space="preserve"> - 2</w:t>
            </w:r>
          </w:p>
        </w:tc>
        <w:tc>
          <w:tcPr>
            <w:tcW w:w="1048" w:type="dxa"/>
            <w:shd w:val="clear" w:color="auto" w:fill="auto"/>
            <w:vAlign w:val="center"/>
          </w:tcPr>
          <w:p w14:paraId="03BF6915" w14:textId="77777777" w:rsidR="00D9465C" w:rsidRPr="00FE7300" w:rsidRDefault="00D9465C" w:rsidP="00DD0F28">
            <w:pPr>
              <w:jc w:val="right"/>
              <w:rPr>
                <w:color w:val="000000"/>
                <w:sz w:val="16"/>
                <w:szCs w:val="16"/>
                <w:lang w:eastAsia="en-NZ"/>
              </w:rPr>
            </w:pPr>
            <w:r w:rsidRPr="00FE7300">
              <w:rPr>
                <w:color w:val="000000"/>
                <w:sz w:val="16"/>
                <w:szCs w:val="16"/>
                <w:lang w:eastAsia="en-NZ"/>
              </w:rPr>
              <w:t>10</w:t>
            </w:r>
          </w:p>
        </w:tc>
        <w:tc>
          <w:tcPr>
            <w:tcW w:w="995" w:type="dxa"/>
            <w:shd w:val="clear" w:color="auto" w:fill="auto"/>
            <w:vAlign w:val="center"/>
          </w:tcPr>
          <w:p w14:paraId="612F0512" w14:textId="77777777" w:rsidR="00D9465C" w:rsidRPr="00FE7300" w:rsidRDefault="00D9465C" w:rsidP="00DD0F28">
            <w:pPr>
              <w:jc w:val="right"/>
              <w:rPr>
                <w:color w:val="000000"/>
                <w:sz w:val="16"/>
                <w:szCs w:val="16"/>
                <w:lang w:eastAsia="en-NZ"/>
              </w:rPr>
            </w:pPr>
            <w:r w:rsidRPr="00FE7300">
              <w:rPr>
                <w:color w:val="000000"/>
                <w:sz w:val="16"/>
                <w:szCs w:val="16"/>
                <w:lang w:eastAsia="en-NZ"/>
              </w:rPr>
              <w:t>51.4</w:t>
            </w:r>
          </w:p>
        </w:tc>
        <w:tc>
          <w:tcPr>
            <w:tcW w:w="1055" w:type="dxa"/>
            <w:shd w:val="clear" w:color="auto" w:fill="auto"/>
            <w:vAlign w:val="center"/>
          </w:tcPr>
          <w:p w14:paraId="63E27774" w14:textId="77777777" w:rsidR="00D9465C" w:rsidRPr="00FE7300" w:rsidRDefault="00D9465C" w:rsidP="00DD0F28">
            <w:pPr>
              <w:jc w:val="right"/>
              <w:rPr>
                <w:color w:val="000000"/>
                <w:sz w:val="16"/>
                <w:szCs w:val="16"/>
                <w:lang w:eastAsia="en-NZ"/>
              </w:rPr>
            </w:pPr>
            <w:r w:rsidRPr="00FE7300">
              <w:rPr>
                <w:color w:val="000000"/>
                <w:sz w:val="16"/>
                <w:szCs w:val="16"/>
                <w:lang w:eastAsia="en-NZ"/>
              </w:rPr>
              <w:t>1.00</w:t>
            </w:r>
          </w:p>
        </w:tc>
        <w:tc>
          <w:tcPr>
            <w:tcW w:w="1275" w:type="dxa"/>
            <w:shd w:val="clear" w:color="auto" w:fill="auto"/>
            <w:vAlign w:val="center"/>
          </w:tcPr>
          <w:p w14:paraId="020D76E9" w14:textId="77777777" w:rsidR="00D9465C" w:rsidRPr="00FE7300" w:rsidRDefault="00D9465C" w:rsidP="00DD0F28">
            <w:pPr>
              <w:jc w:val="right"/>
              <w:rPr>
                <w:sz w:val="16"/>
                <w:szCs w:val="16"/>
                <w:lang w:eastAsia="en-NZ"/>
              </w:rPr>
            </w:pPr>
          </w:p>
        </w:tc>
        <w:tc>
          <w:tcPr>
            <w:tcW w:w="1020" w:type="dxa"/>
            <w:shd w:val="clear" w:color="auto" w:fill="auto"/>
            <w:vAlign w:val="center"/>
          </w:tcPr>
          <w:p w14:paraId="59976CFC" w14:textId="77777777" w:rsidR="00D9465C" w:rsidRPr="00FE7300" w:rsidRDefault="00D9465C" w:rsidP="00DD0F28">
            <w:pPr>
              <w:jc w:val="right"/>
              <w:rPr>
                <w:sz w:val="16"/>
                <w:szCs w:val="16"/>
                <w:lang w:eastAsia="en-NZ"/>
              </w:rPr>
            </w:pPr>
          </w:p>
        </w:tc>
      </w:tr>
      <w:tr w:rsidR="00D9465C" w:rsidRPr="003F15C0" w14:paraId="5F66182D" w14:textId="77777777" w:rsidTr="00DD0F28">
        <w:tc>
          <w:tcPr>
            <w:tcW w:w="3119" w:type="dxa"/>
          </w:tcPr>
          <w:p w14:paraId="36F96D4E" w14:textId="77777777" w:rsidR="00D9465C" w:rsidRPr="003F15C0" w:rsidRDefault="00D9465C" w:rsidP="00DD0F28">
            <w:pPr>
              <w:spacing w:before="20"/>
              <w:ind w:left="176"/>
              <w:jc w:val="both"/>
              <w:rPr>
                <w:sz w:val="16"/>
                <w:szCs w:val="16"/>
              </w:rPr>
            </w:pPr>
            <w:r>
              <w:rPr>
                <w:sz w:val="16"/>
                <w:szCs w:val="16"/>
              </w:rPr>
              <w:t>3 - 4</w:t>
            </w:r>
          </w:p>
        </w:tc>
        <w:tc>
          <w:tcPr>
            <w:tcW w:w="1048" w:type="dxa"/>
            <w:shd w:val="clear" w:color="auto" w:fill="auto"/>
            <w:vAlign w:val="center"/>
          </w:tcPr>
          <w:p w14:paraId="19E30F8C" w14:textId="77777777" w:rsidR="00D9465C" w:rsidRPr="00FE7300" w:rsidRDefault="00D9465C" w:rsidP="00DD0F28">
            <w:pPr>
              <w:jc w:val="right"/>
              <w:rPr>
                <w:color w:val="000000"/>
                <w:sz w:val="16"/>
                <w:szCs w:val="16"/>
                <w:lang w:eastAsia="en-NZ"/>
              </w:rPr>
            </w:pPr>
            <w:r w:rsidRPr="00FE7300">
              <w:rPr>
                <w:color w:val="000000"/>
                <w:sz w:val="16"/>
                <w:szCs w:val="16"/>
                <w:lang w:eastAsia="en-NZ"/>
              </w:rPr>
              <w:t>12</w:t>
            </w:r>
          </w:p>
        </w:tc>
        <w:tc>
          <w:tcPr>
            <w:tcW w:w="995" w:type="dxa"/>
            <w:shd w:val="clear" w:color="auto" w:fill="auto"/>
            <w:vAlign w:val="center"/>
          </w:tcPr>
          <w:p w14:paraId="36D828E7" w14:textId="77777777" w:rsidR="00D9465C" w:rsidRPr="00FE7300" w:rsidRDefault="00D9465C" w:rsidP="00DD0F28">
            <w:pPr>
              <w:jc w:val="right"/>
              <w:rPr>
                <w:color w:val="000000"/>
                <w:sz w:val="16"/>
                <w:szCs w:val="16"/>
                <w:lang w:eastAsia="en-NZ"/>
              </w:rPr>
            </w:pPr>
            <w:r w:rsidRPr="00FE7300">
              <w:rPr>
                <w:color w:val="000000"/>
                <w:sz w:val="16"/>
                <w:szCs w:val="16"/>
                <w:lang w:eastAsia="en-NZ"/>
              </w:rPr>
              <w:t>93.0</w:t>
            </w:r>
          </w:p>
        </w:tc>
        <w:tc>
          <w:tcPr>
            <w:tcW w:w="1055" w:type="dxa"/>
            <w:shd w:val="clear" w:color="auto" w:fill="auto"/>
            <w:vAlign w:val="center"/>
          </w:tcPr>
          <w:p w14:paraId="1DA604DB" w14:textId="77777777" w:rsidR="00D9465C" w:rsidRPr="00FE7300" w:rsidRDefault="00D9465C" w:rsidP="00DD0F28">
            <w:pPr>
              <w:jc w:val="right"/>
              <w:rPr>
                <w:color w:val="000000"/>
                <w:sz w:val="16"/>
                <w:szCs w:val="16"/>
                <w:lang w:eastAsia="en-NZ"/>
              </w:rPr>
            </w:pPr>
            <w:r w:rsidRPr="00FE7300">
              <w:rPr>
                <w:color w:val="000000"/>
                <w:sz w:val="16"/>
                <w:szCs w:val="16"/>
                <w:lang w:eastAsia="en-NZ"/>
              </w:rPr>
              <w:t>12.53</w:t>
            </w:r>
          </w:p>
        </w:tc>
        <w:tc>
          <w:tcPr>
            <w:tcW w:w="1275" w:type="dxa"/>
            <w:shd w:val="clear" w:color="auto" w:fill="auto"/>
            <w:vAlign w:val="center"/>
          </w:tcPr>
          <w:p w14:paraId="0514FE5C" w14:textId="77777777" w:rsidR="00D9465C" w:rsidRPr="00FE7300" w:rsidRDefault="00D9465C" w:rsidP="00DD0F28">
            <w:pPr>
              <w:jc w:val="right"/>
              <w:rPr>
                <w:color w:val="000000"/>
                <w:sz w:val="16"/>
                <w:szCs w:val="16"/>
                <w:lang w:eastAsia="en-NZ"/>
              </w:rPr>
            </w:pPr>
            <w:r w:rsidRPr="00FE7300">
              <w:rPr>
                <w:color w:val="000000"/>
                <w:sz w:val="16"/>
                <w:szCs w:val="16"/>
                <w:lang w:eastAsia="en-NZ"/>
              </w:rPr>
              <w:t>(1.62, 96.86)</w:t>
            </w:r>
          </w:p>
        </w:tc>
        <w:tc>
          <w:tcPr>
            <w:tcW w:w="1020" w:type="dxa"/>
            <w:shd w:val="clear" w:color="auto" w:fill="auto"/>
            <w:vAlign w:val="center"/>
          </w:tcPr>
          <w:p w14:paraId="116EB6C3" w14:textId="77777777" w:rsidR="00D9465C" w:rsidRPr="00FE7300" w:rsidRDefault="00D9465C" w:rsidP="00DD0F28">
            <w:pPr>
              <w:jc w:val="right"/>
              <w:rPr>
                <w:color w:val="000000"/>
                <w:sz w:val="16"/>
                <w:szCs w:val="16"/>
                <w:lang w:eastAsia="en-NZ"/>
              </w:rPr>
            </w:pPr>
          </w:p>
        </w:tc>
      </w:tr>
      <w:tr w:rsidR="00D9465C" w:rsidRPr="003F15C0" w14:paraId="0A51FBD4" w14:textId="77777777" w:rsidTr="00DD0F28">
        <w:tc>
          <w:tcPr>
            <w:tcW w:w="3119" w:type="dxa"/>
          </w:tcPr>
          <w:p w14:paraId="6ABA5F2C" w14:textId="77777777" w:rsidR="00D9465C" w:rsidRPr="003F15C0" w:rsidRDefault="00D9465C" w:rsidP="00DD0F28">
            <w:pPr>
              <w:spacing w:before="20"/>
              <w:ind w:left="176"/>
              <w:jc w:val="both"/>
              <w:rPr>
                <w:sz w:val="16"/>
                <w:szCs w:val="16"/>
              </w:rPr>
            </w:pPr>
            <w:r w:rsidRPr="003F15C0">
              <w:rPr>
                <w:sz w:val="16"/>
                <w:szCs w:val="16"/>
              </w:rPr>
              <w:t>5+</w:t>
            </w:r>
          </w:p>
        </w:tc>
        <w:tc>
          <w:tcPr>
            <w:tcW w:w="1048" w:type="dxa"/>
            <w:shd w:val="clear" w:color="auto" w:fill="auto"/>
            <w:vAlign w:val="center"/>
          </w:tcPr>
          <w:p w14:paraId="0AE1F93F" w14:textId="77777777" w:rsidR="00D9465C" w:rsidRPr="00FE7300" w:rsidRDefault="00D9465C" w:rsidP="00DD0F28">
            <w:pPr>
              <w:jc w:val="right"/>
              <w:rPr>
                <w:color w:val="000000"/>
                <w:sz w:val="16"/>
                <w:szCs w:val="16"/>
                <w:lang w:eastAsia="en-NZ"/>
              </w:rPr>
            </w:pPr>
            <w:r w:rsidRPr="00FE7300">
              <w:rPr>
                <w:color w:val="000000"/>
                <w:sz w:val="16"/>
                <w:szCs w:val="16"/>
                <w:lang w:eastAsia="en-NZ"/>
              </w:rPr>
              <w:t>11</w:t>
            </w:r>
          </w:p>
        </w:tc>
        <w:tc>
          <w:tcPr>
            <w:tcW w:w="995" w:type="dxa"/>
            <w:shd w:val="clear" w:color="auto" w:fill="auto"/>
            <w:vAlign w:val="center"/>
          </w:tcPr>
          <w:p w14:paraId="1A23ACB2" w14:textId="77777777" w:rsidR="00D9465C" w:rsidRPr="00FE7300" w:rsidRDefault="00D9465C" w:rsidP="00DD0F28">
            <w:pPr>
              <w:jc w:val="right"/>
              <w:rPr>
                <w:color w:val="000000"/>
                <w:sz w:val="16"/>
                <w:szCs w:val="16"/>
                <w:lang w:eastAsia="en-NZ"/>
              </w:rPr>
            </w:pPr>
            <w:r w:rsidRPr="00FE7300">
              <w:rPr>
                <w:color w:val="000000"/>
                <w:sz w:val="16"/>
                <w:szCs w:val="16"/>
                <w:lang w:eastAsia="en-NZ"/>
              </w:rPr>
              <w:t>82.2</w:t>
            </w:r>
          </w:p>
        </w:tc>
        <w:tc>
          <w:tcPr>
            <w:tcW w:w="1055" w:type="dxa"/>
            <w:shd w:val="clear" w:color="auto" w:fill="auto"/>
            <w:vAlign w:val="center"/>
          </w:tcPr>
          <w:p w14:paraId="65A4F517" w14:textId="77777777" w:rsidR="00D9465C" w:rsidRPr="00FE7300" w:rsidRDefault="00D9465C" w:rsidP="00DD0F28">
            <w:pPr>
              <w:jc w:val="right"/>
              <w:rPr>
                <w:color w:val="000000"/>
                <w:sz w:val="16"/>
                <w:szCs w:val="16"/>
                <w:lang w:eastAsia="en-NZ"/>
              </w:rPr>
            </w:pPr>
            <w:r w:rsidRPr="00FE7300">
              <w:rPr>
                <w:color w:val="000000"/>
                <w:sz w:val="16"/>
                <w:szCs w:val="16"/>
                <w:lang w:eastAsia="en-NZ"/>
              </w:rPr>
              <w:t>4.36</w:t>
            </w:r>
          </w:p>
        </w:tc>
        <w:tc>
          <w:tcPr>
            <w:tcW w:w="1275" w:type="dxa"/>
            <w:shd w:val="clear" w:color="auto" w:fill="auto"/>
            <w:vAlign w:val="center"/>
          </w:tcPr>
          <w:p w14:paraId="045B57B0" w14:textId="77777777" w:rsidR="00D9465C" w:rsidRPr="00FE7300" w:rsidRDefault="00D9465C" w:rsidP="00DD0F28">
            <w:pPr>
              <w:jc w:val="right"/>
              <w:rPr>
                <w:color w:val="000000"/>
                <w:sz w:val="16"/>
                <w:szCs w:val="16"/>
                <w:lang w:eastAsia="en-NZ"/>
              </w:rPr>
            </w:pPr>
            <w:r w:rsidRPr="00FE7300">
              <w:rPr>
                <w:color w:val="000000"/>
                <w:sz w:val="16"/>
                <w:szCs w:val="16"/>
                <w:lang w:eastAsia="en-NZ"/>
              </w:rPr>
              <w:t>(0.76, 24.86)</w:t>
            </w:r>
          </w:p>
        </w:tc>
        <w:tc>
          <w:tcPr>
            <w:tcW w:w="1020" w:type="dxa"/>
            <w:shd w:val="clear" w:color="auto" w:fill="auto"/>
            <w:vAlign w:val="center"/>
          </w:tcPr>
          <w:p w14:paraId="3F3FB6BB" w14:textId="77777777" w:rsidR="00D9465C" w:rsidRPr="00FE7300" w:rsidRDefault="00D9465C" w:rsidP="00DD0F28">
            <w:pPr>
              <w:jc w:val="right"/>
              <w:rPr>
                <w:color w:val="000000"/>
                <w:sz w:val="16"/>
                <w:szCs w:val="16"/>
                <w:lang w:eastAsia="en-NZ"/>
              </w:rPr>
            </w:pPr>
            <w:r w:rsidRPr="00FE7300">
              <w:rPr>
                <w:color w:val="000000"/>
                <w:sz w:val="16"/>
                <w:szCs w:val="16"/>
                <w:lang w:eastAsia="en-NZ"/>
              </w:rPr>
              <w:t>0.02</w:t>
            </w:r>
          </w:p>
        </w:tc>
      </w:tr>
      <w:tr w:rsidR="00D9465C" w:rsidRPr="003F15C0" w14:paraId="7FFB290D" w14:textId="77777777" w:rsidTr="00DD0F28">
        <w:tc>
          <w:tcPr>
            <w:tcW w:w="3119" w:type="dxa"/>
            <w:vAlign w:val="bottom"/>
          </w:tcPr>
          <w:p w14:paraId="0636A9F8" w14:textId="77777777" w:rsidR="00D9465C" w:rsidRPr="003F15C0" w:rsidRDefault="00D9465C" w:rsidP="00DD0F28">
            <w:pPr>
              <w:keepNext/>
              <w:spacing w:before="20"/>
              <w:jc w:val="both"/>
              <w:rPr>
                <w:b/>
                <w:sz w:val="16"/>
                <w:szCs w:val="16"/>
              </w:rPr>
            </w:pPr>
            <w:r w:rsidRPr="003F15C0">
              <w:rPr>
                <w:b/>
                <w:sz w:val="16"/>
                <w:szCs w:val="16"/>
              </w:rPr>
              <w:t>Personal income</w:t>
            </w:r>
          </w:p>
        </w:tc>
        <w:tc>
          <w:tcPr>
            <w:tcW w:w="1048" w:type="dxa"/>
            <w:shd w:val="clear" w:color="auto" w:fill="auto"/>
            <w:vAlign w:val="center"/>
          </w:tcPr>
          <w:p w14:paraId="7A233A2D" w14:textId="77777777" w:rsidR="00D9465C" w:rsidRPr="00FE7300" w:rsidRDefault="00D9465C" w:rsidP="00DD0F28">
            <w:pPr>
              <w:jc w:val="right"/>
              <w:rPr>
                <w:color w:val="000000"/>
                <w:sz w:val="16"/>
                <w:szCs w:val="16"/>
                <w:lang w:eastAsia="en-NZ"/>
              </w:rPr>
            </w:pPr>
          </w:p>
        </w:tc>
        <w:tc>
          <w:tcPr>
            <w:tcW w:w="995" w:type="dxa"/>
            <w:shd w:val="clear" w:color="auto" w:fill="auto"/>
            <w:vAlign w:val="center"/>
          </w:tcPr>
          <w:p w14:paraId="347BBB32" w14:textId="77777777" w:rsidR="00D9465C" w:rsidRPr="00FE7300" w:rsidRDefault="00D9465C" w:rsidP="00DD0F28">
            <w:pPr>
              <w:jc w:val="right"/>
              <w:rPr>
                <w:color w:val="000000"/>
                <w:sz w:val="16"/>
                <w:szCs w:val="16"/>
                <w:lang w:eastAsia="en-NZ"/>
              </w:rPr>
            </w:pPr>
          </w:p>
        </w:tc>
        <w:tc>
          <w:tcPr>
            <w:tcW w:w="1055" w:type="dxa"/>
            <w:shd w:val="clear" w:color="auto" w:fill="auto"/>
            <w:vAlign w:val="center"/>
          </w:tcPr>
          <w:p w14:paraId="09C947E8" w14:textId="77777777" w:rsidR="00D9465C" w:rsidRPr="00FE7300" w:rsidRDefault="00D9465C" w:rsidP="00DD0F28">
            <w:pPr>
              <w:jc w:val="right"/>
              <w:rPr>
                <w:color w:val="000000"/>
                <w:sz w:val="16"/>
                <w:szCs w:val="16"/>
                <w:lang w:eastAsia="en-NZ"/>
              </w:rPr>
            </w:pPr>
          </w:p>
        </w:tc>
        <w:tc>
          <w:tcPr>
            <w:tcW w:w="1275" w:type="dxa"/>
            <w:shd w:val="clear" w:color="auto" w:fill="auto"/>
            <w:vAlign w:val="center"/>
          </w:tcPr>
          <w:p w14:paraId="09D8417D" w14:textId="77777777" w:rsidR="00D9465C" w:rsidRPr="00FE7300" w:rsidRDefault="00D9465C" w:rsidP="00DD0F28">
            <w:pPr>
              <w:jc w:val="right"/>
              <w:rPr>
                <w:color w:val="000000"/>
                <w:sz w:val="16"/>
                <w:szCs w:val="16"/>
                <w:lang w:eastAsia="en-NZ"/>
              </w:rPr>
            </w:pPr>
          </w:p>
        </w:tc>
        <w:tc>
          <w:tcPr>
            <w:tcW w:w="1020" w:type="dxa"/>
            <w:shd w:val="clear" w:color="auto" w:fill="auto"/>
            <w:vAlign w:val="center"/>
          </w:tcPr>
          <w:p w14:paraId="48550059" w14:textId="77777777" w:rsidR="00D9465C" w:rsidRPr="00FE7300" w:rsidRDefault="00D9465C" w:rsidP="00DD0F28">
            <w:pPr>
              <w:jc w:val="right"/>
              <w:rPr>
                <w:color w:val="000000"/>
                <w:sz w:val="16"/>
                <w:szCs w:val="16"/>
                <w:lang w:eastAsia="en-NZ"/>
              </w:rPr>
            </w:pPr>
          </w:p>
        </w:tc>
      </w:tr>
      <w:tr w:rsidR="00D9465C" w:rsidRPr="003F15C0" w14:paraId="6CFDCC39" w14:textId="77777777" w:rsidTr="00DD0F28">
        <w:tc>
          <w:tcPr>
            <w:tcW w:w="3119" w:type="dxa"/>
          </w:tcPr>
          <w:p w14:paraId="6162C5F1" w14:textId="77777777" w:rsidR="00D9465C" w:rsidRPr="003F15C0" w:rsidRDefault="00D9465C" w:rsidP="00DD0F28">
            <w:pPr>
              <w:spacing w:before="20"/>
              <w:ind w:left="176"/>
              <w:jc w:val="both"/>
              <w:rPr>
                <w:sz w:val="16"/>
                <w:szCs w:val="16"/>
              </w:rPr>
            </w:pPr>
            <w:r>
              <w:rPr>
                <w:sz w:val="16"/>
                <w:szCs w:val="16"/>
              </w:rPr>
              <w:t>≤</w:t>
            </w:r>
            <w:r w:rsidRPr="003F15C0">
              <w:rPr>
                <w:sz w:val="16"/>
                <w:szCs w:val="16"/>
              </w:rPr>
              <w:t>$20,000</w:t>
            </w:r>
          </w:p>
        </w:tc>
        <w:tc>
          <w:tcPr>
            <w:tcW w:w="1048" w:type="dxa"/>
            <w:shd w:val="clear" w:color="auto" w:fill="auto"/>
            <w:vAlign w:val="center"/>
          </w:tcPr>
          <w:p w14:paraId="25508FE2" w14:textId="77777777" w:rsidR="00D9465C" w:rsidRPr="00FE7300" w:rsidRDefault="00D9465C" w:rsidP="00DD0F28">
            <w:pPr>
              <w:jc w:val="right"/>
              <w:rPr>
                <w:color w:val="000000"/>
                <w:sz w:val="16"/>
                <w:szCs w:val="16"/>
                <w:lang w:eastAsia="en-NZ"/>
              </w:rPr>
            </w:pPr>
            <w:r w:rsidRPr="00FE7300">
              <w:rPr>
                <w:color w:val="000000"/>
                <w:sz w:val="16"/>
                <w:szCs w:val="16"/>
                <w:lang w:eastAsia="en-NZ"/>
              </w:rPr>
              <w:t>10</w:t>
            </w:r>
          </w:p>
        </w:tc>
        <w:tc>
          <w:tcPr>
            <w:tcW w:w="995" w:type="dxa"/>
            <w:shd w:val="clear" w:color="auto" w:fill="auto"/>
            <w:vAlign w:val="center"/>
          </w:tcPr>
          <w:p w14:paraId="1EACA912" w14:textId="77777777" w:rsidR="00D9465C" w:rsidRPr="00FE7300" w:rsidRDefault="00D9465C" w:rsidP="00DD0F28">
            <w:pPr>
              <w:jc w:val="right"/>
              <w:rPr>
                <w:color w:val="000000"/>
                <w:sz w:val="16"/>
                <w:szCs w:val="16"/>
                <w:lang w:eastAsia="en-NZ"/>
              </w:rPr>
            </w:pPr>
            <w:r w:rsidRPr="00FE7300">
              <w:rPr>
                <w:color w:val="000000"/>
                <w:sz w:val="16"/>
                <w:szCs w:val="16"/>
                <w:lang w:eastAsia="en-NZ"/>
              </w:rPr>
              <w:t>65.2</w:t>
            </w:r>
          </w:p>
        </w:tc>
        <w:tc>
          <w:tcPr>
            <w:tcW w:w="1055" w:type="dxa"/>
            <w:shd w:val="clear" w:color="auto" w:fill="auto"/>
            <w:vAlign w:val="center"/>
          </w:tcPr>
          <w:p w14:paraId="60DED474" w14:textId="77777777" w:rsidR="00D9465C" w:rsidRPr="00FE7300" w:rsidRDefault="00D9465C" w:rsidP="00DD0F28">
            <w:pPr>
              <w:jc w:val="right"/>
              <w:rPr>
                <w:color w:val="000000"/>
                <w:sz w:val="16"/>
                <w:szCs w:val="16"/>
                <w:lang w:eastAsia="en-NZ"/>
              </w:rPr>
            </w:pPr>
            <w:r w:rsidRPr="00FE7300">
              <w:rPr>
                <w:color w:val="000000"/>
                <w:sz w:val="16"/>
                <w:szCs w:val="16"/>
                <w:lang w:eastAsia="en-NZ"/>
              </w:rPr>
              <w:t>1.00</w:t>
            </w:r>
          </w:p>
        </w:tc>
        <w:tc>
          <w:tcPr>
            <w:tcW w:w="1275" w:type="dxa"/>
            <w:shd w:val="clear" w:color="auto" w:fill="auto"/>
            <w:vAlign w:val="center"/>
          </w:tcPr>
          <w:p w14:paraId="5F8959D4" w14:textId="77777777" w:rsidR="00D9465C" w:rsidRPr="00FE7300" w:rsidRDefault="00D9465C" w:rsidP="00DD0F28">
            <w:pPr>
              <w:jc w:val="right"/>
              <w:rPr>
                <w:sz w:val="16"/>
                <w:szCs w:val="16"/>
                <w:lang w:eastAsia="en-NZ"/>
              </w:rPr>
            </w:pPr>
          </w:p>
        </w:tc>
        <w:tc>
          <w:tcPr>
            <w:tcW w:w="1020" w:type="dxa"/>
            <w:shd w:val="clear" w:color="auto" w:fill="auto"/>
            <w:vAlign w:val="center"/>
          </w:tcPr>
          <w:p w14:paraId="3348053D" w14:textId="77777777" w:rsidR="00D9465C" w:rsidRPr="00FE7300" w:rsidRDefault="00D9465C" w:rsidP="00DD0F28">
            <w:pPr>
              <w:jc w:val="right"/>
              <w:rPr>
                <w:sz w:val="16"/>
                <w:szCs w:val="16"/>
                <w:lang w:eastAsia="en-NZ"/>
              </w:rPr>
            </w:pPr>
          </w:p>
        </w:tc>
      </w:tr>
      <w:tr w:rsidR="00D9465C" w:rsidRPr="003F15C0" w14:paraId="0CC56D29" w14:textId="77777777" w:rsidTr="00DD0F28">
        <w:tc>
          <w:tcPr>
            <w:tcW w:w="3119" w:type="dxa"/>
          </w:tcPr>
          <w:p w14:paraId="5F90A975" w14:textId="77777777" w:rsidR="00D9465C" w:rsidRPr="003F15C0" w:rsidRDefault="00D9465C" w:rsidP="00DD0F28">
            <w:pPr>
              <w:spacing w:before="20"/>
              <w:ind w:left="176"/>
              <w:jc w:val="both"/>
              <w:rPr>
                <w:sz w:val="16"/>
                <w:szCs w:val="16"/>
              </w:rPr>
            </w:pPr>
            <w:r w:rsidRPr="003F15C0">
              <w:rPr>
                <w:sz w:val="16"/>
                <w:szCs w:val="16"/>
              </w:rPr>
              <w:t>$20,001 - $40,000</w:t>
            </w:r>
          </w:p>
        </w:tc>
        <w:tc>
          <w:tcPr>
            <w:tcW w:w="1048" w:type="dxa"/>
            <w:shd w:val="clear" w:color="auto" w:fill="auto"/>
            <w:vAlign w:val="center"/>
          </w:tcPr>
          <w:p w14:paraId="4BC1C5FE" w14:textId="77777777" w:rsidR="00D9465C" w:rsidRPr="00FE7300" w:rsidRDefault="00D9465C" w:rsidP="00DD0F28">
            <w:pPr>
              <w:jc w:val="right"/>
              <w:rPr>
                <w:color w:val="000000"/>
                <w:sz w:val="16"/>
                <w:szCs w:val="16"/>
                <w:lang w:eastAsia="en-NZ"/>
              </w:rPr>
            </w:pPr>
            <w:r w:rsidRPr="00FE7300">
              <w:rPr>
                <w:color w:val="000000"/>
                <w:sz w:val="16"/>
                <w:szCs w:val="16"/>
                <w:lang w:eastAsia="en-NZ"/>
              </w:rPr>
              <w:t>11</w:t>
            </w:r>
          </w:p>
        </w:tc>
        <w:tc>
          <w:tcPr>
            <w:tcW w:w="995" w:type="dxa"/>
            <w:shd w:val="clear" w:color="auto" w:fill="auto"/>
            <w:vAlign w:val="center"/>
          </w:tcPr>
          <w:p w14:paraId="63D58EF7" w14:textId="77777777" w:rsidR="00D9465C" w:rsidRPr="00FE7300" w:rsidRDefault="00D9465C" w:rsidP="00DD0F28">
            <w:pPr>
              <w:jc w:val="right"/>
              <w:rPr>
                <w:color w:val="000000"/>
                <w:sz w:val="16"/>
                <w:szCs w:val="16"/>
                <w:lang w:eastAsia="en-NZ"/>
              </w:rPr>
            </w:pPr>
            <w:r w:rsidRPr="00FE7300">
              <w:rPr>
                <w:color w:val="000000"/>
                <w:sz w:val="16"/>
                <w:szCs w:val="16"/>
                <w:lang w:eastAsia="en-NZ"/>
              </w:rPr>
              <w:t>73.9</w:t>
            </w:r>
          </w:p>
        </w:tc>
        <w:tc>
          <w:tcPr>
            <w:tcW w:w="1055" w:type="dxa"/>
            <w:shd w:val="clear" w:color="auto" w:fill="auto"/>
            <w:vAlign w:val="center"/>
          </w:tcPr>
          <w:p w14:paraId="12DA96F0" w14:textId="77777777" w:rsidR="00D9465C" w:rsidRPr="00FE7300" w:rsidRDefault="00D9465C" w:rsidP="00DD0F28">
            <w:pPr>
              <w:jc w:val="right"/>
              <w:rPr>
                <w:color w:val="000000"/>
                <w:sz w:val="16"/>
                <w:szCs w:val="16"/>
                <w:lang w:eastAsia="en-NZ"/>
              </w:rPr>
            </w:pPr>
            <w:r>
              <w:rPr>
                <w:color w:val="000000"/>
                <w:sz w:val="16"/>
                <w:szCs w:val="16"/>
                <w:lang w:eastAsia="en-NZ"/>
              </w:rPr>
              <w:t>1.51</w:t>
            </w:r>
          </w:p>
        </w:tc>
        <w:tc>
          <w:tcPr>
            <w:tcW w:w="1275" w:type="dxa"/>
            <w:shd w:val="clear" w:color="auto" w:fill="auto"/>
            <w:vAlign w:val="center"/>
          </w:tcPr>
          <w:p w14:paraId="66DD3CAB" w14:textId="77777777" w:rsidR="00D9465C" w:rsidRPr="00FE7300" w:rsidRDefault="00D9465C" w:rsidP="00DD0F28">
            <w:pPr>
              <w:jc w:val="right"/>
              <w:rPr>
                <w:color w:val="000000"/>
                <w:sz w:val="16"/>
                <w:szCs w:val="16"/>
                <w:lang w:eastAsia="en-NZ"/>
              </w:rPr>
            </w:pPr>
            <w:r w:rsidRPr="00FE7300">
              <w:rPr>
                <w:color w:val="000000"/>
                <w:sz w:val="16"/>
                <w:szCs w:val="16"/>
                <w:lang w:eastAsia="en-NZ"/>
              </w:rPr>
              <w:t>(0.2</w:t>
            </w:r>
            <w:r>
              <w:rPr>
                <w:color w:val="000000"/>
                <w:sz w:val="16"/>
                <w:szCs w:val="16"/>
                <w:lang w:eastAsia="en-NZ"/>
              </w:rPr>
              <w:t>0</w:t>
            </w:r>
            <w:r w:rsidRPr="00FE7300">
              <w:rPr>
                <w:color w:val="000000"/>
                <w:sz w:val="16"/>
                <w:szCs w:val="16"/>
                <w:lang w:eastAsia="en-NZ"/>
              </w:rPr>
              <w:t>, 11.14)</w:t>
            </w:r>
          </w:p>
        </w:tc>
        <w:tc>
          <w:tcPr>
            <w:tcW w:w="1020" w:type="dxa"/>
            <w:shd w:val="clear" w:color="auto" w:fill="auto"/>
            <w:vAlign w:val="center"/>
          </w:tcPr>
          <w:p w14:paraId="506D50E6" w14:textId="77777777" w:rsidR="00D9465C" w:rsidRPr="00FE7300" w:rsidRDefault="00D9465C" w:rsidP="00DD0F28">
            <w:pPr>
              <w:jc w:val="right"/>
              <w:rPr>
                <w:color w:val="000000"/>
                <w:sz w:val="16"/>
                <w:szCs w:val="16"/>
                <w:lang w:eastAsia="en-NZ"/>
              </w:rPr>
            </w:pPr>
          </w:p>
        </w:tc>
      </w:tr>
      <w:tr w:rsidR="00D9465C" w:rsidRPr="003F15C0" w14:paraId="374C629E" w14:textId="77777777" w:rsidTr="00DD0F28">
        <w:trPr>
          <w:trHeight w:val="131"/>
        </w:trPr>
        <w:tc>
          <w:tcPr>
            <w:tcW w:w="3119" w:type="dxa"/>
          </w:tcPr>
          <w:p w14:paraId="0CF97D10" w14:textId="77777777" w:rsidR="00D9465C" w:rsidRPr="003F15C0" w:rsidRDefault="00D9465C" w:rsidP="00DD0F28">
            <w:pPr>
              <w:spacing w:before="20"/>
              <w:ind w:left="176"/>
              <w:jc w:val="both"/>
              <w:rPr>
                <w:sz w:val="16"/>
                <w:szCs w:val="16"/>
              </w:rPr>
            </w:pPr>
            <w:r w:rsidRPr="003F15C0">
              <w:rPr>
                <w:sz w:val="16"/>
                <w:szCs w:val="16"/>
              </w:rPr>
              <w:t>$40,001 - $60,000</w:t>
            </w:r>
          </w:p>
        </w:tc>
        <w:tc>
          <w:tcPr>
            <w:tcW w:w="1048" w:type="dxa"/>
            <w:shd w:val="clear" w:color="auto" w:fill="auto"/>
            <w:vAlign w:val="center"/>
          </w:tcPr>
          <w:p w14:paraId="5A3F8702" w14:textId="77777777" w:rsidR="00D9465C" w:rsidRPr="00FE7300" w:rsidRDefault="00D9465C" w:rsidP="00DD0F28">
            <w:pPr>
              <w:jc w:val="right"/>
              <w:rPr>
                <w:color w:val="000000"/>
                <w:sz w:val="16"/>
                <w:szCs w:val="16"/>
                <w:lang w:eastAsia="en-NZ"/>
              </w:rPr>
            </w:pPr>
            <w:r w:rsidRPr="00FE7300">
              <w:rPr>
                <w:color w:val="000000"/>
                <w:sz w:val="16"/>
                <w:szCs w:val="16"/>
                <w:lang w:eastAsia="en-NZ"/>
              </w:rPr>
              <w:t>6</w:t>
            </w:r>
          </w:p>
        </w:tc>
        <w:tc>
          <w:tcPr>
            <w:tcW w:w="995" w:type="dxa"/>
            <w:shd w:val="clear" w:color="auto" w:fill="auto"/>
            <w:vAlign w:val="center"/>
          </w:tcPr>
          <w:p w14:paraId="522B3A68" w14:textId="77777777" w:rsidR="00D9465C" w:rsidRPr="00FE7300" w:rsidRDefault="00D9465C" w:rsidP="00DD0F28">
            <w:pPr>
              <w:jc w:val="right"/>
              <w:rPr>
                <w:color w:val="000000"/>
                <w:sz w:val="16"/>
                <w:szCs w:val="16"/>
                <w:lang w:eastAsia="en-NZ"/>
              </w:rPr>
            </w:pPr>
            <w:r w:rsidRPr="00FE7300">
              <w:rPr>
                <w:color w:val="000000"/>
                <w:sz w:val="16"/>
                <w:szCs w:val="16"/>
                <w:lang w:eastAsia="en-NZ"/>
              </w:rPr>
              <w:t>98.0</w:t>
            </w:r>
          </w:p>
        </w:tc>
        <w:tc>
          <w:tcPr>
            <w:tcW w:w="1055" w:type="dxa"/>
            <w:shd w:val="clear" w:color="auto" w:fill="auto"/>
            <w:vAlign w:val="center"/>
          </w:tcPr>
          <w:p w14:paraId="5F6C8A16" w14:textId="77777777" w:rsidR="00D9465C" w:rsidRPr="00FE7300" w:rsidRDefault="00D9465C" w:rsidP="00DD0F28">
            <w:pPr>
              <w:jc w:val="right"/>
              <w:rPr>
                <w:color w:val="000000"/>
                <w:sz w:val="16"/>
                <w:szCs w:val="16"/>
                <w:lang w:eastAsia="en-NZ"/>
              </w:rPr>
            </w:pPr>
            <w:r w:rsidRPr="00FE7300">
              <w:rPr>
                <w:color w:val="000000"/>
                <w:sz w:val="16"/>
                <w:szCs w:val="16"/>
                <w:lang w:eastAsia="en-NZ"/>
              </w:rPr>
              <w:t>25.79</w:t>
            </w:r>
          </w:p>
        </w:tc>
        <w:tc>
          <w:tcPr>
            <w:tcW w:w="1275" w:type="dxa"/>
            <w:shd w:val="clear" w:color="auto" w:fill="auto"/>
            <w:vAlign w:val="center"/>
          </w:tcPr>
          <w:p w14:paraId="61FA53D1" w14:textId="77777777" w:rsidR="00D9465C" w:rsidRPr="00FE7300" w:rsidRDefault="00D9465C" w:rsidP="00DD0F28">
            <w:pPr>
              <w:jc w:val="right"/>
              <w:rPr>
                <w:color w:val="000000"/>
                <w:sz w:val="16"/>
                <w:szCs w:val="16"/>
                <w:lang w:eastAsia="en-NZ"/>
              </w:rPr>
            </w:pPr>
            <w:r w:rsidRPr="00FE7300">
              <w:rPr>
                <w:color w:val="000000"/>
                <w:sz w:val="16"/>
                <w:szCs w:val="16"/>
                <w:lang w:eastAsia="en-NZ"/>
              </w:rPr>
              <w:t>(1.99, 333.87)</w:t>
            </w:r>
          </w:p>
        </w:tc>
        <w:tc>
          <w:tcPr>
            <w:tcW w:w="1020" w:type="dxa"/>
            <w:shd w:val="clear" w:color="auto" w:fill="auto"/>
            <w:vAlign w:val="center"/>
          </w:tcPr>
          <w:p w14:paraId="5B6E735B" w14:textId="77777777" w:rsidR="00D9465C" w:rsidRPr="00FE7300" w:rsidRDefault="00D9465C" w:rsidP="00DD0F28">
            <w:pPr>
              <w:jc w:val="right"/>
              <w:rPr>
                <w:color w:val="000000"/>
                <w:sz w:val="16"/>
                <w:szCs w:val="16"/>
                <w:lang w:eastAsia="en-NZ"/>
              </w:rPr>
            </w:pPr>
          </w:p>
        </w:tc>
      </w:tr>
      <w:tr w:rsidR="00D9465C" w:rsidRPr="003F15C0" w14:paraId="6C40ABBE" w14:textId="77777777" w:rsidTr="00DD0F28">
        <w:tc>
          <w:tcPr>
            <w:tcW w:w="3119" w:type="dxa"/>
          </w:tcPr>
          <w:p w14:paraId="08702B35" w14:textId="77777777" w:rsidR="00D9465C" w:rsidRPr="003F15C0" w:rsidRDefault="00D9465C" w:rsidP="00DD0F28">
            <w:pPr>
              <w:spacing w:before="20"/>
              <w:ind w:left="176"/>
              <w:jc w:val="both"/>
              <w:rPr>
                <w:sz w:val="16"/>
                <w:szCs w:val="16"/>
              </w:rPr>
            </w:pPr>
            <w:r w:rsidRPr="003F15C0">
              <w:rPr>
                <w:sz w:val="16"/>
                <w:szCs w:val="16"/>
              </w:rPr>
              <w:t>&gt;$60,00</w:t>
            </w:r>
            <w:r>
              <w:rPr>
                <w:sz w:val="16"/>
                <w:szCs w:val="16"/>
              </w:rPr>
              <w:t xml:space="preserve">0 </w:t>
            </w:r>
          </w:p>
        </w:tc>
        <w:tc>
          <w:tcPr>
            <w:tcW w:w="1048" w:type="dxa"/>
            <w:shd w:val="clear" w:color="auto" w:fill="auto"/>
            <w:vAlign w:val="center"/>
          </w:tcPr>
          <w:p w14:paraId="523641A2" w14:textId="77777777" w:rsidR="00D9465C" w:rsidRPr="00FE7300" w:rsidRDefault="00D9465C" w:rsidP="00DD0F28">
            <w:pPr>
              <w:jc w:val="right"/>
              <w:rPr>
                <w:color w:val="000000"/>
                <w:sz w:val="16"/>
                <w:szCs w:val="16"/>
                <w:lang w:eastAsia="en-NZ"/>
              </w:rPr>
            </w:pPr>
            <w:r w:rsidRPr="00FE7300">
              <w:rPr>
                <w:color w:val="000000"/>
                <w:sz w:val="16"/>
                <w:szCs w:val="16"/>
                <w:lang w:eastAsia="en-NZ"/>
              </w:rPr>
              <w:t>6</w:t>
            </w:r>
          </w:p>
        </w:tc>
        <w:tc>
          <w:tcPr>
            <w:tcW w:w="995" w:type="dxa"/>
            <w:shd w:val="clear" w:color="auto" w:fill="auto"/>
            <w:vAlign w:val="center"/>
          </w:tcPr>
          <w:p w14:paraId="0680B23B" w14:textId="77777777" w:rsidR="00D9465C" w:rsidRPr="00FE7300" w:rsidRDefault="00D9465C" w:rsidP="00DD0F28">
            <w:pPr>
              <w:jc w:val="right"/>
              <w:rPr>
                <w:color w:val="000000"/>
                <w:sz w:val="16"/>
                <w:szCs w:val="16"/>
                <w:lang w:eastAsia="en-NZ"/>
              </w:rPr>
            </w:pPr>
            <w:r w:rsidRPr="00FE7300">
              <w:rPr>
                <w:color w:val="000000"/>
                <w:sz w:val="16"/>
                <w:szCs w:val="16"/>
                <w:lang w:eastAsia="en-NZ"/>
              </w:rPr>
              <w:t>95.0</w:t>
            </w:r>
          </w:p>
        </w:tc>
        <w:tc>
          <w:tcPr>
            <w:tcW w:w="1055" w:type="dxa"/>
            <w:shd w:val="clear" w:color="auto" w:fill="auto"/>
            <w:vAlign w:val="center"/>
          </w:tcPr>
          <w:p w14:paraId="124234C3" w14:textId="77777777" w:rsidR="00D9465C" w:rsidRPr="00FE7300" w:rsidRDefault="00D9465C" w:rsidP="00DD0F28">
            <w:pPr>
              <w:jc w:val="right"/>
              <w:rPr>
                <w:color w:val="000000"/>
                <w:sz w:val="16"/>
                <w:szCs w:val="16"/>
                <w:lang w:eastAsia="en-NZ"/>
              </w:rPr>
            </w:pPr>
            <w:r w:rsidRPr="00FE7300">
              <w:rPr>
                <w:color w:val="000000"/>
                <w:sz w:val="16"/>
                <w:szCs w:val="16"/>
                <w:lang w:eastAsia="en-NZ"/>
              </w:rPr>
              <w:t>10.05</w:t>
            </w:r>
          </w:p>
        </w:tc>
        <w:tc>
          <w:tcPr>
            <w:tcW w:w="1275" w:type="dxa"/>
            <w:shd w:val="clear" w:color="auto" w:fill="auto"/>
            <w:vAlign w:val="center"/>
          </w:tcPr>
          <w:p w14:paraId="10EEE094" w14:textId="77777777" w:rsidR="00D9465C" w:rsidRPr="00FE7300" w:rsidRDefault="00D9465C" w:rsidP="00DD0F28">
            <w:pPr>
              <w:jc w:val="right"/>
              <w:rPr>
                <w:color w:val="000000"/>
                <w:sz w:val="16"/>
                <w:szCs w:val="16"/>
                <w:lang w:eastAsia="en-NZ"/>
              </w:rPr>
            </w:pPr>
            <w:r w:rsidRPr="00FE7300">
              <w:rPr>
                <w:color w:val="000000"/>
                <w:sz w:val="16"/>
                <w:szCs w:val="16"/>
                <w:lang w:eastAsia="en-NZ"/>
              </w:rPr>
              <w:t>(0.66, 153.18)</w:t>
            </w:r>
          </w:p>
        </w:tc>
        <w:tc>
          <w:tcPr>
            <w:tcW w:w="1020" w:type="dxa"/>
            <w:shd w:val="clear" w:color="auto" w:fill="auto"/>
            <w:vAlign w:val="center"/>
          </w:tcPr>
          <w:p w14:paraId="372A4909" w14:textId="77777777" w:rsidR="00D9465C" w:rsidRPr="00FE7300" w:rsidRDefault="00D9465C" w:rsidP="00DD0F28">
            <w:pPr>
              <w:jc w:val="right"/>
              <w:rPr>
                <w:color w:val="000000"/>
                <w:sz w:val="16"/>
                <w:szCs w:val="16"/>
                <w:lang w:eastAsia="en-NZ"/>
              </w:rPr>
            </w:pPr>
            <w:r w:rsidRPr="00FE7300">
              <w:rPr>
                <w:color w:val="000000"/>
                <w:sz w:val="16"/>
                <w:szCs w:val="16"/>
                <w:lang w:eastAsia="en-NZ"/>
              </w:rPr>
              <w:t>0.04</w:t>
            </w:r>
          </w:p>
        </w:tc>
      </w:tr>
      <w:tr w:rsidR="00D9465C" w:rsidRPr="003F15C0" w14:paraId="7C8BA0BB" w14:textId="77777777" w:rsidTr="00DD0F28">
        <w:tc>
          <w:tcPr>
            <w:tcW w:w="4167" w:type="dxa"/>
            <w:gridSpan w:val="2"/>
            <w:shd w:val="clear" w:color="auto" w:fill="auto"/>
            <w:vAlign w:val="center"/>
          </w:tcPr>
          <w:p w14:paraId="08099130" w14:textId="77777777" w:rsidR="00D9465C" w:rsidRPr="00D26FE5" w:rsidRDefault="00D9465C" w:rsidP="00DD0F28">
            <w:pPr>
              <w:spacing w:before="20"/>
              <w:rPr>
                <w:b/>
                <w:bCs/>
                <w:color w:val="000000"/>
                <w:sz w:val="16"/>
                <w:szCs w:val="16"/>
              </w:rPr>
            </w:pPr>
            <w:r w:rsidRPr="00D26FE5">
              <w:rPr>
                <w:rFonts w:eastAsiaTheme="minorEastAsia"/>
                <w:b/>
                <w:sz w:val="16"/>
                <w:szCs w:val="16"/>
                <w:lang w:eastAsia="en-US"/>
              </w:rPr>
              <w:t>Number of gambling activities participated in</w:t>
            </w:r>
            <w:r>
              <w:rPr>
                <w:rFonts w:eastAsiaTheme="minorEastAsia"/>
                <w:b/>
                <w:sz w:val="16"/>
                <w:szCs w:val="16"/>
                <w:lang w:eastAsia="en-US"/>
              </w:rPr>
              <w:t xml:space="preserve"> </w:t>
            </w:r>
          </w:p>
        </w:tc>
        <w:tc>
          <w:tcPr>
            <w:tcW w:w="995" w:type="dxa"/>
            <w:shd w:val="clear" w:color="auto" w:fill="auto"/>
            <w:vAlign w:val="center"/>
          </w:tcPr>
          <w:p w14:paraId="721386F9" w14:textId="77777777" w:rsidR="00D9465C" w:rsidRPr="00D26FE5" w:rsidRDefault="00D9465C" w:rsidP="00DD0F28">
            <w:pPr>
              <w:spacing w:before="20"/>
              <w:jc w:val="right"/>
              <w:rPr>
                <w:b/>
                <w:bCs/>
                <w:color w:val="000000"/>
                <w:sz w:val="16"/>
                <w:szCs w:val="16"/>
              </w:rPr>
            </w:pPr>
          </w:p>
        </w:tc>
        <w:tc>
          <w:tcPr>
            <w:tcW w:w="1055" w:type="dxa"/>
            <w:vAlign w:val="center"/>
          </w:tcPr>
          <w:p w14:paraId="722DE28F" w14:textId="77777777" w:rsidR="00D9465C" w:rsidRPr="00D26FE5" w:rsidRDefault="00D9465C" w:rsidP="00DD0F28">
            <w:pPr>
              <w:spacing w:before="20"/>
              <w:jc w:val="right"/>
              <w:rPr>
                <w:b/>
                <w:color w:val="000000"/>
                <w:sz w:val="16"/>
                <w:szCs w:val="16"/>
              </w:rPr>
            </w:pPr>
          </w:p>
        </w:tc>
        <w:tc>
          <w:tcPr>
            <w:tcW w:w="1275" w:type="dxa"/>
            <w:vAlign w:val="center"/>
          </w:tcPr>
          <w:p w14:paraId="65597B90" w14:textId="77777777" w:rsidR="00D9465C" w:rsidRPr="003F15C0" w:rsidRDefault="00D9465C" w:rsidP="00DD0F28">
            <w:pPr>
              <w:spacing w:before="20"/>
              <w:jc w:val="right"/>
              <w:rPr>
                <w:b/>
                <w:color w:val="000000"/>
                <w:sz w:val="16"/>
                <w:szCs w:val="16"/>
              </w:rPr>
            </w:pPr>
          </w:p>
        </w:tc>
        <w:tc>
          <w:tcPr>
            <w:tcW w:w="1020" w:type="dxa"/>
            <w:shd w:val="clear" w:color="auto" w:fill="auto"/>
            <w:vAlign w:val="center"/>
          </w:tcPr>
          <w:p w14:paraId="34E627A4" w14:textId="77777777" w:rsidR="00D9465C" w:rsidRPr="003F15C0" w:rsidRDefault="00D9465C" w:rsidP="00DD0F28">
            <w:pPr>
              <w:spacing w:before="20"/>
              <w:jc w:val="right"/>
              <w:rPr>
                <w:b/>
                <w:color w:val="000000"/>
                <w:sz w:val="16"/>
                <w:szCs w:val="16"/>
              </w:rPr>
            </w:pPr>
          </w:p>
        </w:tc>
      </w:tr>
      <w:tr w:rsidR="00D9465C" w:rsidRPr="003F15C0" w14:paraId="521EF08E" w14:textId="77777777" w:rsidTr="00DD0F28">
        <w:tc>
          <w:tcPr>
            <w:tcW w:w="3119" w:type="dxa"/>
          </w:tcPr>
          <w:p w14:paraId="13A22431" w14:textId="77777777" w:rsidR="00D9465C" w:rsidRPr="003F15C0" w:rsidRDefault="00D9465C" w:rsidP="00DD0F28">
            <w:pPr>
              <w:spacing w:before="20"/>
              <w:ind w:left="176"/>
              <w:jc w:val="both"/>
              <w:rPr>
                <w:sz w:val="16"/>
                <w:szCs w:val="16"/>
              </w:rPr>
            </w:pPr>
            <w:r w:rsidRPr="003F15C0">
              <w:rPr>
                <w:sz w:val="16"/>
                <w:szCs w:val="16"/>
              </w:rPr>
              <w:t>1</w:t>
            </w:r>
            <w:r>
              <w:rPr>
                <w:sz w:val="16"/>
                <w:szCs w:val="16"/>
              </w:rPr>
              <w:t xml:space="preserve"> - 3</w:t>
            </w:r>
          </w:p>
        </w:tc>
        <w:tc>
          <w:tcPr>
            <w:tcW w:w="1048" w:type="dxa"/>
            <w:shd w:val="clear" w:color="auto" w:fill="auto"/>
            <w:vAlign w:val="center"/>
          </w:tcPr>
          <w:p w14:paraId="4E5321D3" w14:textId="77777777" w:rsidR="00D9465C" w:rsidRPr="00230801" w:rsidRDefault="00D9465C" w:rsidP="00DD0F28">
            <w:pPr>
              <w:jc w:val="right"/>
              <w:rPr>
                <w:color w:val="000000"/>
                <w:sz w:val="16"/>
                <w:szCs w:val="16"/>
                <w:lang w:eastAsia="en-NZ"/>
              </w:rPr>
            </w:pPr>
            <w:r w:rsidRPr="00230801">
              <w:rPr>
                <w:color w:val="000000"/>
                <w:sz w:val="16"/>
                <w:szCs w:val="16"/>
                <w:lang w:eastAsia="en-NZ"/>
              </w:rPr>
              <w:t>11</w:t>
            </w:r>
          </w:p>
        </w:tc>
        <w:tc>
          <w:tcPr>
            <w:tcW w:w="995" w:type="dxa"/>
            <w:shd w:val="clear" w:color="auto" w:fill="auto"/>
            <w:vAlign w:val="center"/>
          </w:tcPr>
          <w:p w14:paraId="66457411" w14:textId="77777777" w:rsidR="00D9465C" w:rsidRPr="00230801" w:rsidRDefault="00D9465C" w:rsidP="00DD0F28">
            <w:pPr>
              <w:jc w:val="right"/>
              <w:rPr>
                <w:color w:val="000000"/>
                <w:sz w:val="16"/>
                <w:szCs w:val="16"/>
                <w:lang w:eastAsia="en-NZ"/>
              </w:rPr>
            </w:pPr>
            <w:r w:rsidRPr="00230801">
              <w:rPr>
                <w:color w:val="000000"/>
                <w:sz w:val="16"/>
                <w:szCs w:val="16"/>
                <w:lang w:eastAsia="en-NZ"/>
              </w:rPr>
              <w:t>97.4</w:t>
            </w:r>
          </w:p>
        </w:tc>
        <w:tc>
          <w:tcPr>
            <w:tcW w:w="1055" w:type="dxa"/>
            <w:shd w:val="clear" w:color="auto" w:fill="auto"/>
            <w:vAlign w:val="center"/>
          </w:tcPr>
          <w:p w14:paraId="118296E8" w14:textId="77777777" w:rsidR="00D9465C" w:rsidRPr="00230801" w:rsidRDefault="00D9465C" w:rsidP="00DD0F28">
            <w:pPr>
              <w:jc w:val="right"/>
              <w:rPr>
                <w:color w:val="000000"/>
                <w:sz w:val="16"/>
                <w:szCs w:val="16"/>
                <w:lang w:eastAsia="en-NZ"/>
              </w:rPr>
            </w:pPr>
            <w:r w:rsidRPr="00230801">
              <w:rPr>
                <w:color w:val="000000"/>
                <w:sz w:val="16"/>
                <w:szCs w:val="16"/>
                <w:lang w:eastAsia="en-NZ"/>
              </w:rPr>
              <w:t>1.00</w:t>
            </w:r>
          </w:p>
        </w:tc>
        <w:tc>
          <w:tcPr>
            <w:tcW w:w="1275" w:type="dxa"/>
            <w:shd w:val="clear" w:color="auto" w:fill="auto"/>
            <w:vAlign w:val="center"/>
          </w:tcPr>
          <w:p w14:paraId="59E3F6E1"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19830336" w14:textId="77777777" w:rsidR="00D9465C" w:rsidRPr="00230801" w:rsidRDefault="00D9465C" w:rsidP="00DD0F28">
            <w:pPr>
              <w:jc w:val="right"/>
              <w:rPr>
                <w:color w:val="000000"/>
                <w:sz w:val="16"/>
                <w:szCs w:val="16"/>
                <w:lang w:eastAsia="en-NZ"/>
              </w:rPr>
            </w:pPr>
          </w:p>
        </w:tc>
      </w:tr>
      <w:tr w:rsidR="00D9465C" w:rsidRPr="003F15C0" w14:paraId="190F7FB0" w14:textId="77777777" w:rsidTr="00DD0F28">
        <w:tc>
          <w:tcPr>
            <w:tcW w:w="3119" w:type="dxa"/>
          </w:tcPr>
          <w:p w14:paraId="07FF4B6F" w14:textId="77777777" w:rsidR="00D9465C" w:rsidRPr="003F15C0" w:rsidRDefault="00D9465C" w:rsidP="00DD0F28">
            <w:pPr>
              <w:spacing w:before="20"/>
              <w:ind w:left="176"/>
              <w:jc w:val="both"/>
              <w:rPr>
                <w:sz w:val="16"/>
                <w:szCs w:val="16"/>
              </w:rPr>
            </w:pPr>
            <w:r>
              <w:rPr>
                <w:sz w:val="16"/>
                <w:szCs w:val="16"/>
              </w:rPr>
              <w:t>4 - 6</w:t>
            </w:r>
          </w:p>
        </w:tc>
        <w:tc>
          <w:tcPr>
            <w:tcW w:w="1048" w:type="dxa"/>
            <w:shd w:val="clear" w:color="auto" w:fill="auto"/>
            <w:vAlign w:val="center"/>
          </w:tcPr>
          <w:p w14:paraId="67FD9E9D" w14:textId="77777777" w:rsidR="00D9465C" w:rsidRPr="00230801" w:rsidRDefault="00D9465C" w:rsidP="00DD0F28">
            <w:pPr>
              <w:jc w:val="right"/>
              <w:rPr>
                <w:color w:val="000000"/>
                <w:sz w:val="16"/>
                <w:szCs w:val="16"/>
                <w:lang w:eastAsia="en-NZ"/>
              </w:rPr>
            </w:pPr>
            <w:r w:rsidRPr="00230801">
              <w:rPr>
                <w:color w:val="000000"/>
                <w:sz w:val="16"/>
                <w:szCs w:val="16"/>
                <w:lang w:eastAsia="en-NZ"/>
              </w:rPr>
              <w:t>15</w:t>
            </w:r>
          </w:p>
        </w:tc>
        <w:tc>
          <w:tcPr>
            <w:tcW w:w="995" w:type="dxa"/>
            <w:shd w:val="clear" w:color="auto" w:fill="auto"/>
            <w:vAlign w:val="center"/>
          </w:tcPr>
          <w:p w14:paraId="07BADD35" w14:textId="77777777" w:rsidR="00D9465C" w:rsidRPr="00230801" w:rsidRDefault="00D9465C" w:rsidP="00DD0F28">
            <w:pPr>
              <w:jc w:val="right"/>
              <w:rPr>
                <w:color w:val="000000"/>
                <w:sz w:val="16"/>
                <w:szCs w:val="16"/>
                <w:lang w:eastAsia="en-NZ"/>
              </w:rPr>
            </w:pPr>
            <w:r w:rsidRPr="00230801">
              <w:rPr>
                <w:color w:val="000000"/>
                <w:sz w:val="16"/>
                <w:szCs w:val="16"/>
                <w:lang w:eastAsia="en-NZ"/>
              </w:rPr>
              <w:t>67.5</w:t>
            </w:r>
          </w:p>
        </w:tc>
        <w:tc>
          <w:tcPr>
            <w:tcW w:w="1055" w:type="dxa"/>
            <w:shd w:val="clear" w:color="auto" w:fill="auto"/>
            <w:vAlign w:val="center"/>
          </w:tcPr>
          <w:p w14:paraId="26C4EA82" w14:textId="77777777" w:rsidR="00D9465C" w:rsidRPr="00230801" w:rsidRDefault="00D9465C" w:rsidP="00DD0F28">
            <w:pPr>
              <w:jc w:val="right"/>
              <w:rPr>
                <w:color w:val="000000"/>
                <w:sz w:val="16"/>
                <w:szCs w:val="16"/>
                <w:lang w:eastAsia="en-NZ"/>
              </w:rPr>
            </w:pPr>
            <w:r w:rsidRPr="00230801">
              <w:rPr>
                <w:color w:val="000000"/>
                <w:sz w:val="16"/>
                <w:szCs w:val="16"/>
                <w:lang w:eastAsia="en-NZ"/>
              </w:rPr>
              <w:t>0.06</w:t>
            </w:r>
          </w:p>
        </w:tc>
        <w:tc>
          <w:tcPr>
            <w:tcW w:w="1275" w:type="dxa"/>
            <w:shd w:val="clear" w:color="auto" w:fill="auto"/>
            <w:vAlign w:val="center"/>
          </w:tcPr>
          <w:p w14:paraId="6B65562A" w14:textId="77777777" w:rsidR="00D9465C" w:rsidRPr="00230801" w:rsidRDefault="00D9465C" w:rsidP="00DD0F28">
            <w:pPr>
              <w:jc w:val="right"/>
              <w:rPr>
                <w:color w:val="000000"/>
                <w:sz w:val="16"/>
                <w:szCs w:val="16"/>
                <w:lang w:eastAsia="en-NZ"/>
              </w:rPr>
            </w:pPr>
            <w:r w:rsidRPr="00230801">
              <w:rPr>
                <w:color w:val="000000"/>
                <w:sz w:val="16"/>
                <w:szCs w:val="16"/>
                <w:lang w:eastAsia="en-NZ"/>
              </w:rPr>
              <w:t>(0.01, 0.62)</w:t>
            </w:r>
          </w:p>
        </w:tc>
        <w:tc>
          <w:tcPr>
            <w:tcW w:w="1020" w:type="dxa"/>
            <w:shd w:val="clear" w:color="auto" w:fill="auto"/>
            <w:vAlign w:val="center"/>
          </w:tcPr>
          <w:p w14:paraId="29A77A67" w14:textId="77777777" w:rsidR="00D9465C" w:rsidRPr="00230801" w:rsidRDefault="00D9465C" w:rsidP="00DD0F28">
            <w:pPr>
              <w:jc w:val="right"/>
              <w:rPr>
                <w:color w:val="000000"/>
                <w:sz w:val="16"/>
                <w:szCs w:val="16"/>
                <w:lang w:eastAsia="en-NZ"/>
              </w:rPr>
            </w:pPr>
          </w:p>
        </w:tc>
      </w:tr>
      <w:tr w:rsidR="00D9465C" w:rsidRPr="003F15C0" w14:paraId="7A1CE25D" w14:textId="77777777" w:rsidTr="00DD0F28">
        <w:tc>
          <w:tcPr>
            <w:tcW w:w="3119" w:type="dxa"/>
          </w:tcPr>
          <w:p w14:paraId="02A2343F" w14:textId="77777777" w:rsidR="00D9465C" w:rsidRPr="003F15C0" w:rsidRDefault="00D9465C" w:rsidP="00DD0F28">
            <w:pPr>
              <w:spacing w:before="20"/>
              <w:ind w:left="176"/>
              <w:jc w:val="both"/>
              <w:rPr>
                <w:sz w:val="16"/>
                <w:szCs w:val="16"/>
              </w:rPr>
            </w:pPr>
            <w:r>
              <w:rPr>
                <w:sz w:val="16"/>
                <w:szCs w:val="16"/>
              </w:rPr>
              <w:t>7 - 10</w:t>
            </w:r>
          </w:p>
        </w:tc>
        <w:tc>
          <w:tcPr>
            <w:tcW w:w="1048" w:type="dxa"/>
            <w:shd w:val="clear" w:color="auto" w:fill="auto"/>
            <w:vAlign w:val="center"/>
          </w:tcPr>
          <w:p w14:paraId="23BAF5EF" w14:textId="77777777" w:rsidR="00D9465C" w:rsidRPr="00230801" w:rsidRDefault="00D9465C" w:rsidP="00DD0F28">
            <w:pPr>
              <w:jc w:val="right"/>
              <w:rPr>
                <w:color w:val="000000"/>
                <w:sz w:val="16"/>
                <w:szCs w:val="16"/>
                <w:lang w:eastAsia="en-NZ"/>
              </w:rPr>
            </w:pPr>
            <w:r w:rsidRPr="00230801">
              <w:rPr>
                <w:color w:val="000000"/>
                <w:sz w:val="16"/>
                <w:szCs w:val="16"/>
                <w:lang w:eastAsia="en-NZ"/>
              </w:rPr>
              <w:t>8</w:t>
            </w:r>
          </w:p>
        </w:tc>
        <w:tc>
          <w:tcPr>
            <w:tcW w:w="995" w:type="dxa"/>
            <w:shd w:val="clear" w:color="auto" w:fill="auto"/>
            <w:vAlign w:val="center"/>
          </w:tcPr>
          <w:p w14:paraId="56798946" w14:textId="77777777" w:rsidR="00D9465C" w:rsidRPr="00230801" w:rsidRDefault="00D9465C" w:rsidP="00DD0F28">
            <w:pPr>
              <w:jc w:val="right"/>
              <w:rPr>
                <w:color w:val="000000"/>
                <w:sz w:val="16"/>
                <w:szCs w:val="16"/>
                <w:lang w:eastAsia="en-NZ"/>
              </w:rPr>
            </w:pPr>
            <w:r w:rsidRPr="00230801">
              <w:rPr>
                <w:color w:val="000000"/>
                <w:sz w:val="16"/>
                <w:szCs w:val="16"/>
                <w:lang w:eastAsia="en-NZ"/>
              </w:rPr>
              <w:t>66.6</w:t>
            </w:r>
          </w:p>
        </w:tc>
        <w:tc>
          <w:tcPr>
            <w:tcW w:w="1055" w:type="dxa"/>
            <w:shd w:val="clear" w:color="auto" w:fill="auto"/>
            <w:vAlign w:val="center"/>
          </w:tcPr>
          <w:p w14:paraId="0F941CCC" w14:textId="77777777" w:rsidR="00D9465C" w:rsidRPr="00230801" w:rsidRDefault="00D9465C" w:rsidP="00DD0F28">
            <w:pPr>
              <w:jc w:val="right"/>
              <w:rPr>
                <w:color w:val="000000"/>
                <w:sz w:val="16"/>
                <w:szCs w:val="16"/>
                <w:lang w:eastAsia="en-NZ"/>
              </w:rPr>
            </w:pPr>
            <w:r w:rsidRPr="00230801">
              <w:rPr>
                <w:color w:val="000000"/>
                <w:sz w:val="16"/>
                <w:szCs w:val="16"/>
                <w:lang w:eastAsia="en-NZ"/>
              </w:rPr>
              <w:t>0.05</w:t>
            </w:r>
          </w:p>
        </w:tc>
        <w:tc>
          <w:tcPr>
            <w:tcW w:w="1275" w:type="dxa"/>
            <w:shd w:val="clear" w:color="auto" w:fill="auto"/>
            <w:vAlign w:val="center"/>
          </w:tcPr>
          <w:p w14:paraId="402173D5" w14:textId="77777777" w:rsidR="00D9465C" w:rsidRPr="00230801" w:rsidRDefault="00D9465C" w:rsidP="00DD0F28">
            <w:pPr>
              <w:jc w:val="right"/>
              <w:rPr>
                <w:color w:val="000000"/>
                <w:sz w:val="16"/>
                <w:szCs w:val="16"/>
                <w:lang w:eastAsia="en-NZ"/>
              </w:rPr>
            </w:pPr>
            <w:r w:rsidRPr="00230801">
              <w:rPr>
                <w:color w:val="000000"/>
                <w:sz w:val="16"/>
                <w:szCs w:val="16"/>
                <w:lang w:eastAsia="en-NZ"/>
              </w:rPr>
              <w:t>(0.01, 0.51)</w:t>
            </w:r>
          </w:p>
        </w:tc>
        <w:tc>
          <w:tcPr>
            <w:tcW w:w="1020" w:type="dxa"/>
            <w:shd w:val="clear" w:color="auto" w:fill="auto"/>
            <w:vAlign w:val="center"/>
          </w:tcPr>
          <w:p w14:paraId="5E659548" w14:textId="77777777" w:rsidR="00D9465C" w:rsidRPr="00230801" w:rsidRDefault="00D9465C" w:rsidP="00DD0F28">
            <w:pPr>
              <w:jc w:val="right"/>
              <w:rPr>
                <w:color w:val="000000"/>
                <w:sz w:val="16"/>
                <w:szCs w:val="16"/>
                <w:lang w:eastAsia="en-NZ"/>
              </w:rPr>
            </w:pPr>
            <w:r w:rsidRPr="00230801">
              <w:rPr>
                <w:color w:val="000000"/>
                <w:sz w:val="16"/>
                <w:szCs w:val="16"/>
                <w:lang w:eastAsia="en-NZ"/>
              </w:rPr>
              <w:t>0.03</w:t>
            </w:r>
          </w:p>
        </w:tc>
      </w:tr>
      <w:tr w:rsidR="00D9465C" w:rsidRPr="003F15C0" w14:paraId="166456FF" w14:textId="77777777" w:rsidTr="00DD0F28">
        <w:tc>
          <w:tcPr>
            <w:tcW w:w="3119" w:type="dxa"/>
            <w:vAlign w:val="bottom"/>
          </w:tcPr>
          <w:p w14:paraId="4125099D" w14:textId="77777777" w:rsidR="00D9465C" w:rsidRPr="003F15C0" w:rsidRDefault="00D9465C" w:rsidP="00DD0F28">
            <w:pPr>
              <w:spacing w:before="20"/>
              <w:jc w:val="both"/>
              <w:rPr>
                <w:b/>
                <w:sz w:val="16"/>
                <w:szCs w:val="16"/>
              </w:rPr>
            </w:pPr>
            <w:r w:rsidRPr="003F15C0">
              <w:rPr>
                <w:b/>
                <w:sz w:val="16"/>
                <w:szCs w:val="16"/>
              </w:rPr>
              <w:t>Pattern of participation</w:t>
            </w:r>
          </w:p>
        </w:tc>
        <w:tc>
          <w:tcPr>
            <w:tcW w:w="1048" w:type="dxa"/>
            <w:shd w:val="clear" w:color="auto" w:fill="auto"/>
            <w:vAlign w:val="center"/>
          </w:tcPr>
          <w:p w14:paraId="44EEA161" w14:textId="77777777" w:rsidR="00D9465C" w:rsidRPr="00637CF2" w:rsidRDefault="00D9465C" w:rsidP="00DD0F28">
            <w:pPr>
              <w:jc w:val="right"/>
              <w:rPr>
                <w:color w:val="000000"/>
                <w:sz w:val="16"/>
                <w:szCs w:val="16"/>
                <w:lang w:eastAsia="en-NZ"/>
              </w:rPr>
            </w:pPr>
          </w:p>
        </w:tc>
        <w:tc>
          <w:tcPr>
            <w:tcW w:w="995" w:type="dxa"/>
            <w:shd w:val="clear" w:color="auto" w:fill="auto"/>
            <w:vAlign w:val="center"/>
          </w:tcPr>
          <w:p w14:paraId="11B1DBCF" w14:textId="77777777" w:rsidR="00D9465C" w:rsidRPr="00637CF2" w:rsidRDefault="00D9465C" w:rsidP="00DD0F28">
            <w:pPr>
              <w:jc w:val="right"/>
              <w:rPr>
                <w:color w:val="000000"/>
                <w:sz w:val="16"/>
                <w:szCs w:val="16"/>
                <w:lang w:eastAsia="en-NZ"/>
              </w:rPr>
            </w:pPr>
          </w:p>
        </w:tc>
        <w:tc>
          <w:tcPr>
            <w:tcW w:w="1055" w:type="dxa"/>
            <w:shd w:val="clear" w:color="auto" w:fill="auto"/>
            <w:vAlign w:val="center"/>
          </w:tcPr>
          <w:p w14:paraId="6F4A584E"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122AACD0"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0A346070" w14:textId="77777777" w:rsidR="00D9465C" w:rsidRPr="00637CF2" w:rsidRDefault="00D9465C" w:rsidP="00DD0F28">
            <w:pPr>
              <w:jc w:val="right"/>
              <w:rPr>
                <w:color w:val="000000"/>
                <w:sz w:val="16"/>
                <w:szCs w:val="16"/>
                <w:lang w:eastAsia="en-NZ"/>
              </w:rPr>
            </w:pPr>
          </w:p>
        </w:tc>
      </w:tr>
      <w:tr w:rsidR="00D9465C" w:rsidRPr="003F15C0" w14:paraId="3C631728" w14:textId="77777777" w:rsidTr="00DD0F28">
        <w:tc>
          <w:tcPr>
            <w:tcW w:w="3119" w:type="dxa"/>
          </w:tcPr>
          <w:p w14:paraId="226A31DB" w14:textId="77777777" w:rsidR="00D9465C" w:rsidRPr="003F15C0" w:rsidRDefault="00D9465C" w:rsidP="00DD0F28">
            <w:pPr>
              <w:spacing w:before="20"/>
              <w:ind w:left="176"/>
              <w:jc w:val="both"/>
              <w:rPr>
                <w:sz w:val="16"/>
                <w:szCs w:val="16"/>
              </w:rPr>
            </w:pPr>
            <w:r w:rsidRPr="003F15C0">
              <w:rPr>
                <w:sz w:val="16"/>
                <w:szCs w:val="16"/>
              </w:rPr>
              <w:t>Infrequent gambler</w:t>
            </w:r>
          </w:p>
        </w:tc>
        <w:tc>
          <w:tcPr>
            <w:tcW w:w="1048" w:type="dxa"/>
            <w:shd w:val="clear" w:color="auto" w:fill="auto"/>
            <w:vAlign w:val="center"/>
          </w:tcPr>
          <w:p w14:paraId="5F076165" w14:textId="77777777" w:rsidR="00D9465C" w:rsidRPr="00230801" w:rsidRDefault="00D9465C" w:rsidP="00DD0F28">
            <w:pPr>
              <w:jc w:val="right"/>
              <w:rPr>
                <w:color w:val="000000"/>
                <w:sz w:val="16"/>
                <w:szCs w:val="16"/>
                <w:lang w:eastAsia="en-NZ"/>
              </w:rPr>
            </w:pPr>
            <w:r w:rsidRPr="00230801">
              <w:rPr>
                <w:color w:val="000000"/>
                <w:sz w:val="16"/>
                <w:szCs w:val="16"/>
                <w:lang w:eastAsia="en-NZ"/>
              </w:rPr>
              <w:t>16</w:t>
            </w:r>
          </w:p>
        </w:tc>
        <w:tc>
          <w:tcPr>
            <w:tcW w:w="995" w:type="dxa"/>
            <w:shd w:val="clear" w:color="auto" w:fill="auto"/>
            <w:vAlign w:val="center"/>
          </w:tcPr>
          <w:p w14:paraId="39303A6E" w14:textId="77777777" w:rsidR="00D9465C" w:rsidRPr="00230801" w:rsidRDefault="00D9465C" w:rsidP="00DD0F28">
            <w:pPr>
              <w:jc w:val="right"/>
              <w:rPr>
                <w:color w:val="000000"/>
                <w:sz w:val="16"/>
                <w:szCs w:val="16"/>
                <w:lang w:eastAsia="en-NZ"/>
              </w:rPr>
            </w:pPr>
            <w:r w:rsidRPr="00230801">
              <w:rPr>
                <w:color w:val="000000"/>
                <w:sz w:val="16"/>
                <w:szCs w:val="16"/>
                <w:lang w:eastAsia="en-NZ"/>
              </w:rPr>
              <w:t>100.0</w:t>
            </w:r>
          </w:p>
        </w:tc>
        <w:tc>
          <w:tcPr>
            <w:tcW w:w="1055" w:type="dxa"/>
            <w:shd w:val="clear" w:color="auto" w:fill="auto"/>
            <w:vAlign w:val="center"/>
          </w:tcPr>
          <w:p w14:paraId="0A3E6688"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16F01759"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13BC5DB1" w14:textId="77777777" w:rsidR="00D9465C" w:rsidRPr="00637CF2" w:rsidRDefault="00D9465C" w:rsidP="00DD0F28">
            <w:pPr>
              <w:jc w:val="right"/>
              <w:rPr>
                <w:color w:val="000000"/>
                <w:sz w:val="16"/>
                <w:szCs w:val="16"/>
                <w:lang w:eastAsia="en-NZ"/>
              </w:rPr>
            </w:pPr>
          </w:p>
        </w:tc>
      </w:tr>
      <w:tr w:rsidR="00D9465C" w:rsidRPr="003F15C0" w14:paraId="4D58F5B4" w14:textId="77777777" w:rsidTr="00DD0F28">
        <w:tc>
          <w:tcPr>
            <w:tcW w:w="3119" w:type="dxa"/>
          </w:tcPr>
          <w:p w14:paraId="407C3ACA" w14:textId="77777777" w:rsidR="00D9465C" w:rsidRPr="003F15C0" w:rsidRDefault="00D9465C" w:rsidP="00DD0F28">
            <w:pPr>
              <w:spacing w:before="20"/>
              <w:ind w:left="176"/>
              <w:jc w:val="both"/>
              <w:rPr>
                <w:sz w:val="16"/>
                <w:szCs w:val="16"/>
              </w:rPr>
            </w:pPr>
            <w:r w:rsidRPr="003F15C0">
              <w:rPr>
                <w:sz w:val="16"/>
                <w:szCs w:val="16"/>
              </w:rPr>
              <w:t>Regular non-continuous gambler</w:t>
            </w:r>
          </w:p>
        </w:tc>
        <w:tc>
          <w:tcPr>
            <w:tcW w:w="1048" w:type="dxa"/>
            <w:shd w:val="clear" w:color="auto" w:fill="auto"/>
            <w:vAlign w:val="center"/>
          </w:tcPr>
          <w:p w14:paraId="78E82861" w14:textId="77777777" w:rsidR="00D9465C" w:rsidRPr="00230801" w:rsidRDefault="00D9465C" w:rsidP="00DD0F28">
            <w:pPr>
              <w:jc w:val="right"/>
              <w:rPr>
                <w:color w:val="000000"/>
                <w:sz w:val="16"/>
                <w:szCs w:val="16"/>
                <w:lang w:eastAsia="en-NZ"/>
              </w:rPr>
            </w:pPr>
            <w:r w:rsidRPr="00230801">
              <w:rPr>
                <w:color w:val="000000"/>
                <w:sz w:val="16"/>
                <w:szCs w:val="16"/>
                <w:lang w:eastAsia="en-NZ"/>
              </w:rPr>
              <w:t>7</w:t>
            </w:r>
          </w:p>
        </w:tc>
        <w:tc>
          <w:tcPr>
            <w:tcW w:w="995" w:type="dxa"/>
            <w:shd w:val="clear" w:color="auto" w:fill="auto"/>
            <w:vAlign w:val="center"/>
          </w:tcPr>
          <w:p w14:paraId="7D61F8A3" w14:textId="77777777" w:rsidR="00D9465C" w:rsidRPr="00230801" w:rsidRDefault="00D9465C" w:rsidP="00DD0F28">
            <w:pPr>
              <w:jc w:val="right"/>
              <w:rPr>
                <w:color w:val="000000"/>
                <w:sz w:val="16"/>
                <w:szCs w:val="16"/>
                <w:lang w:eastAsia="en-NZ"/>
              </w:rPr>
            </w:pPr>
            <w:r w:rsidRPr="00230801">
              <w:rPr>
                <w:color w:val="000000"/>
                <w:sz w:val="16"/>
                <w:szCs w:val="16"/>
                <w:lang w:eastAsia="en-NZ"/>
              </w:rPr>
              <w:t>85.6</w:t>
            </w:r>
          </w:p>
        </w:tc>
        <w:tc>
          <w:tcPr>
            <w:tcW w:w="1055" w:type="dxa"/>
            <w:shd w:val="clear" w:color="auto" w:fill="auto"/>
            <w:vAlign w:val="center"/>
          </w:tcPr>
          <w:p w14:paraId="328C7888"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51F8C1DC"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4F320790" w14:textId="77777777" w:rsidR="00D9465C" w:rsidRPr="00637CF2" w:rsidRDefault="00D9465C" w:rsidP="00DD0F28">
            <w:pPr>
              <w:jc w:val="right"/>
              <w:rPr>
                <w:color w:val="000000"/>
                <w:sz w:val="16"/>
                <w:szCs w:val="16"/>
                <w:lang w:eastAsia="en-NZ"/>
              </w:rPr>
            </w:pPr>
          </w:p>
        </w:tc>
      </w:tr>
      <w:tr w:rsidR="00D9465C" w:rsidRPr="003F15C0" w14:paraId="6B14FE08" w14:textId="77777777" w:rsidTr="00DD0F28">
        <w:tc>
          <w:tcPr>
            <w:tcW w:w="3119" w:type="dxa"/>
          </w:tcPr>
          <w:p w14:paraId="68D6E4C9" w14:textId="77777777" w:rsidR="00D9465C" w:rsidRPr="003F15C0" w:rsidRDefault="00D9465C" w:rsidP="00DD0F28">
            <w:pPr>
              <w:spacing w:before="20"/>
              <w:ind w:left="176"/>
              <w:jc w:val="both"/>
              <w:rPr>
                <w:sz w:val="16"/>
                <w:szCs w:val="16"/>
              </w:rPr>
            </w:pPr>
            <w:r w:rsidRPr="003F15C0">
              <w:rPr>
                <w:sz w:val="16"/>
                <w:szCs w:val="16"/>
              </w:rPr>
              <w:t>Regular continuous gambler</w:t>
            </w:r>
          </w:p>
        </w:tc>
        <w:tc>
          <w:tcPr>
            <w:tcW w:w="1048" w:type="dxa"/>
            <w:shd w:val="clear" w:color="auto" w:fill="auto"/>
            <w:vAlign w:val="center"/>
          </w:tcPr>
          <w:p w14:paraId="1713F087" w14:textId="77777777" w:rsidR="00D9465C" w:rsidRPr="00230801" w:rsidRDefault="00D9465C" w:rsidP="00DD0F28">
            <w:pPr>
              <w:jc w:val="right"/>
              <w:rPr>
                <w:color w:val="000000"/>
                <w:sz w:val="16"/>
                <w:szCs w:val="16"/>
                <w:lang w:eastAsia="en-NZ"/>
              </w:rPr>
            </w:pPr>
            <w:r w:rsidRPr="00230801">
              <w:rPr>
                <w:color w:val="000000"/>
                <w:sz w:val="16"/>
                <w:szCs w:val="16"/>
                <w:lang w:eastAsia="en-NZ"/>
              </w:rPr>
              <w:t>11</w:t>
            </w:r>
          </w:p>
        </w:tc>
        <w:tc>
          <w:tcPr>
            <w:tcW w:w="995" w:type="dxa"/>
            <w:shd w:val="clear" w:color="auto" w:fill="auto"/>
            <w:vAlign w:val="center"/>
          </w:tcPr>
          <w:p w14:paraId="72FF2808" w14:textId="77777777" w:rsidR="00D9465C" w:rsidRPr="00230801" w:rsidRDefault="00D9465C" w:rsidP="00DD0F28">
            <w:pPr>
              <w:jc w:val="right"/>
              <w:rPr>
                <w:color w:val="000000"/>
                <w:sz w:val="16"/>
                <w:szCs w:val="16"/>
                <w:lang w:eastAsia="en-NZ"/>
              </w:rPr>
            </w:pPr>
            <w:r w:rsidRPr="00230801">
              <w:rPr>
                <w:color w:val="000000"/>
                <w:sz w:val="16"/>
                <w:szCs w:val="16"/>
                <w:lang w:eastAsia="en-NZ"/>
              </w:rPr>
              <w:t>36.2</w:t>
            </w:r>
          </w:p>
        </w:tc>
        <w:tc>
          <w:tcPr>
            <w:tcW w:w="1055" w:type="dxa"/>
            <w:shd w:val="clear" w:color="auto" w:fill="auto"/>
            <w:vAlign w:val="center"/>
          </w:tcPr>
          <w:p w14:paraId="41AFB590"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0CD53C7E"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6B7E65D1" w14:textId="77777777" w:rsidR="00D9465C" w:rsidRPr="00637CF2" w:rsidRDefault="00D9465C" w:rsidP="00DD0F28">
            <w:pPr>
              <w:jc w:val="right"/>
              <w:rPr>
                <w:color w:val="000000"/>
                <w:sz w:val="16"/>
                <w:szCs w:val="16"/>
                <w:lang w:eastAsia="en-NZ"/>
              </w:rPr>
            </w:pPr>
          </w:p>
        </w:tc>
      </w:tr>
      <w:tr w:rsidR="00D9465C" w:rsidRPr="003F15C0" w14:paraId="4B71B267" w14:textId="77777777" w:rsidTr="00DD0F28">
        <w:tc>
          <w:tcPr>
            <w:tcW w:w="3119" w:type="dxa"/>
            <w:vAlign w:val="bottom"/>
          </w:tcPr>
          <w:p w14:paraId="1F626388" w14:textId="77777777" w:rsidR="00D9465C" w:rsidRPr="003F15C0" w:rsidRDefault="00D9465C" w:rsidP="00DD0F28">
            <w:pPr>
              <w:spacing w:before="20"/>
              <w:jc w:val="both"/>
              <w:rPr>
                <w:b/>
                <w:sz w:val="16"/>
                <w:szCs w:val="16"/>
              </w:rPr>
            </w:pPr>
            <w:r w:rsidRPr="003F15C0">
              <w:rPr>
                <w:b/>
                <w:sz w:val="16"/>
                <w:szCs w:val="16"/>
              </w:rPr>
              <w:t>Gambling frequency</w:t>
            </w:r>
          </w:p>
        </w:tc>
        <w:tc>
          <w:tcPr>
            <w:tcW w:w="1048" w:type="dxa"/>
            <w:shd w:val="clear" w:color="auto" w:fill="auto"/>
            <w:vAlign w:val="center"/>
          </w:tcPr>
          <w:p w14:paraId="1C911E2B" w14:textId="77777777" w:rsidR="00D9465C" w:rsidRPr="005150B1" w:rsidRDefault="00D9465C" w:rsidP="00DD0F28">
            <w:pPr>
              <w:jc w:val="right"/>
              <w:rPr>
                <w:color w:val="000000"/>
                <w:sz w:val="16"/>
                <w:szCs w:val="16"/>
                <w:lang w:eastAsia="en-NZ"/>
              </w:rPr>
            </w:pPr>
          </w:p>
        </w:tc>
        <w:tc>
          <w:tcPr>
            <w:tcW w:w="995" w:type="dxa"/>
            <w:shd w:val="clear" w:color="auto" w:fill="auto"/>
            <w:vAlign w:val="center"/>
          </w:tcPr>
          <w:p w14:paraId="063F0F39" w14:textId="77777777" w:rsidR="00D9465C" w:rsidRPr="00230801" w:rsidRDefault="00D9465C" w:rsidP="00DD0F28">
            <w:pPr>
              <w:spacing w:before="20"/>
              <w:jc w:val="right"/>
              <w:rPr>
                <w:color w:val="000000"/>
                <w:sz w:val="16"/>
                <w:szCs w:val="16"/>
                <w:lang w:eastAsia="en-NZ"/>
              </w:rPr>
            </w:pPr>
          </w:p>
        </w:tc>
        <w:tc>
          <w:tcPr>
            <w:tcW w:w="1055" w:type="dxa"/>
            <w:shd w:val="clear" w:color="auto" w:fill="auto"/>
            <w:vAlign w:val="center"/>
          </w:tcPr>
          <w:p w14:paraId="3C37A8A4" w14:textId="77777777" w:rsidR="00D9465C" w:rsidRPr="003F15C0" w:rsidRDefault="00D9465C" w:rsidP="00DD0F28">
            <w:pPr>
              <w:adjustRightInd w:val="0"/>
              <w:spacing w:before="20"/>
              <w:jc w:val="right"/>
              <w:rPr>
                <w:color w:val="000000"/>
                <w:sz w:val="16"/>
                <w:szCs w:val="16"/>
                <w:lang w:eastAsia="en-NZ"/>
              </w:rPr>
            </w:pPr>
          </w:p>
        </w:tc>
        <w:tc>
          <w:tcPr>
            <w:tcW w:w="1275" w:type="dxa"/>
            <w:shd w:val="clear" w:color="auto" w:fill="auto"/>
            <w:vAlign w:val="center"/>
          </w:tcPr>
          <w:p w14:paraId="3E4D787D" w14:textId="77777777" w:rsidR="00D9465C" w:rsidRPr="003F15C0" w:rsidRDefault="00D9465C" w:rsidP="00DD0F28">
            <w:pPr>
              <w:adjustRightInd w:val="0"/>
              <w:spacing w:before="20"/>
              <w:jc w:val="right"/>
              <w:rPr>
                <w:color w:val="000000"/>
                <w:sz w:val="16"/>
                <w:szCs w:val="16"/>
                <w:lang w:eastAsia="en-NZ"/>
              </w:rPr>
            </w:pPr>
          </w:p>
        </w:tc>
        <w:tc>
          <w:tcPr>
            <w:tcW w:w="1020" w:type="dxa"/>
            <w:shd w:val="clear" w:color="auto" w:fill="auto"/>
            <w:vAlign w:val="center"/>
          </w:tcPr>
          <w:p w14:paraId="3D14363E" w14:textId="77777777" w:rsidR="00D9465C" w:rsidRPr="003F15C0" w:rsidRDefault="00D9465C" w:rsidP="00DD0F28">
            <w:pPr>
              <w:spacing w:before="20"/>
              <w:jc w:val="right"/>
              <w:rPr>
                <w:color w:val="000000"/>
                <w:sz w:val="16"/>
                <w:szCs w:val="16"/>
                <w:lang w:eastAsia="en-NZ"/>
              </w:rPr>
            </w:pPr>
          </w:p>
        </w:tc>
      </w:tr>
      <w:tr w:rsidR="00D9465C" w:rsidRPr="003F15C0" w14:paraId="2141C532" w14:textId="77777777" w:rsidTr="00DD0F28">
        <w:tc>
          <w:tcPr>
            <w:tcW w:w="3119" w:type="dxa"/>
          </w:tcPr>
          <w:p w14:paraId="63D5F700" w14:textId="77777777" w:rsidR="00D9465C" w:rsidRPr="003F15C0" w:rsidRDefault="00D9465C" w:rsidP="00DD0F28">
            <w:pPr>
              <w:spacing w:before="20"/>
              <w:ind w:left="176"/>
              <w:jc w:val="both"/>
              <w:rPr>
                <w:sz w:val="16"/>
                <w:szCs w:val="16"/>
              </w:rPr>
            </w:pPr>
            <w:r w:rsidRPr="003F15C0">
              <w:rPr>
                <w:sz w:val="16"/>
                <w:szCs w:val="16"/>
              </w:rPr>
              <w:t>At least weekly</w:t>
            </w:r>
          </w:p>
        </w:tc>
        <w:tc>
          <w:tcPr>
            <w:tcW w:w="1048" w:type="dxa"/>
            <w:shd w:val="clear" w:color="auto" w:fill="auto"/>
            <w:vAlign w:val="center"/>
          </w:tcPr>
          <w:p w14:paraId="2271B62F" w14:textId="77777777" w:rsidR="00D9465C" w:rsidRPr="00230801" w:rsidRDefault="00D9465C" w:rsidP="00DD0F28">
            <w:pPr>
              <w:jc w:val="right"/>
              <w:rPr>
                <w:color w:val="000000"/>
                <w:sz w:val="16"/>
                <w:szCs w:val="16"/>
                <w:lang w:eastAsia="en-NZ"/>
              </w:rPr>
            </w:pPr>
            <w:r w:rsidRPr="00230801">
              <w:rPr>
                <w:color w:val="000000"/>
                <w:sz w:val="16"/>
                <w:szCs w:val="16"/>
                <w:lang w:eastAsia="en-NZ"/>
              </w:rPr>
              <w:t>18</w:t>
            </w:r>
          </w:p>
        </w:tc>
        <w:tc>
          <w:tcPr>
            <w:tcW w:w="995" w:type="dxa"/>
            <w:shd w:val="clear" w:color="auto" w:fill="auto"/>
            <w:vAlign w:val="center"/>
          </w:tcPr>
          <w:p w14:paraId="7F66F439" w14:textId="77777777" w:rsidR="00D9465C" w:rsidRPr="00230801" w:rsidRDefault="00D9465C" w:rsidP="00DD0F28">
            <w:pPr>
              <w:jc w:val="right"/>
              <w:rPr>
                <w:color w:val="000000"/>
                <w:sz w:val="16"/>
                <w:szCs w:val="16"/>
                <w:lang w:eastAsia="en-NZ"/>
              </w:rPr>
            </w:pPr>
            <w:r w:rsidRPr="00230801">
              <w:rPr>
                <w:color w:val="000000"/>
                <w:sz w:val="16"/>
                <w:szCs w:val="16"/>
                <w:lang w:eastAsia="en-NZ"/>
              </w:rPr>
              <w:t>56.2</w:t>
            </w:r>
          </w:p>
        </w:tc>
        <w:tc>
          <w:tcPr>
            <w:tcW w:w="1055" w:type="dxa"/>
            <w:shd w:val="clear" w:color="auto" w:fill="auto"/>
            <w:vAlign w:val="center"/>
          </w:tcPr>
          <w:p w14:paraId="2BB43607"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3B89862E"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25ED722C" w14:textId="77777777" w:rsidR="00D9465C" w:rsidRPr="00637CF2" w:rsidRDefault="00D9465C" w:rsidP="00DD0F28">
            <w:pPr>
              <w:jc w:val="right"/>
              <w:rPr>
                <w:color w:val="000000"/>
                <w:sz w:val="16"/>
                <w:szCs w:val="16"/>
                <w:lang w:eastAsia="en-NZ"/>
              </w:rPr>
            </w:pPr>
          </w:p>
        </w:tc>
      </w:tr>
      <w:tr w:rsidR="00D9465C" w:rsidRPr="003F15C0" w14:paraId="15D02B4F" w14:textId="77777777" w:rsidTr="00DD0F28">
        <w:tc>
          <w:tcPr>
            <w:tcW w:w="3119" w:type="dxa"/>
          </w:tcPr>
          <w:p w14:paraId="7336E661" w14:textId="77777777" w:rsidR="00D9465C" w:rsidRPr="003F15C0" w:rsidRDefault="00D9465C" w:rsidP="00DD0F28">
            <w:pPr>
              <w:spacing w:before="20"/>
              <w:ind w:left="176"/>
              <w:jc w:val="both"/>
              <w:rPr>
                <w:sz w:val="16"/>
                <w:szCs w:val="16"/>
              </w:rPr>
            </w:pPr>
            <w:r w:rsidRPr="003F15C0">
              <w:rPr>
                <w:sz w:val="16"/>
                <w:szCs w:val="16"/>
              </w:rPr>
              <w:t>At least monthly</w:t>
            </w:r>
          </w:p>
        </w:tc>
        <w:tc>
          <w:tcPr>
            <w:tcW w:w="1048" w:type="dxa"/>
            <w:shd w:val="clear" w:color="auto" w:fill="auto"/>
            <w:vAlign w:val="center"/>
          </w:tcPr>
          <w:p w14:paraId="1C310190" w14:textId="77777777" w:rsidR="00D9465C" w:rsidRPr="00230801" w:rsidRDefault="00D9465C" w:rsidP="00DD0F28">
            <w:pPr>
              <w:jc w:val="right"/>
              <w:rPr>
                <w:color w:val="000000"/>
                <w:sz w:val="16"/>
                <w:szCs w:val="16"/>
                <w:lang w:eastAsia="en-NZ"/>
              </w:rPr>
            </w:pPr>
            <w:r w:rsidRPr="00230801">
              <w:rPr>
                <w:color w:val="000000"/>
                <w:sz w:val="16"/>
                <w:szCs w:val="16"/>
                <w:lang w:eastAsia="en-NZ"/>
              </w:rPr>
              <w:t>8</w:t>
            </w:r>
          </w:p>
        </w:tc>
        <w:tc>
          <w:tcPr>
            <w:tcW w:w="995" w:type="dxa"/>
            <w:shd w:val="clear" w:color="auto" w:fill="auto"/>
            <w:vAlign w:val="center"/>
          </w:tcPr>
          <w:p w14:paraId="1F15C190" w14:textId="77777777" w:rsidR="00D9465C" w:rsidRPr="00230801" w:rsidRDefault="00D9465C" w:rsidP="00DD0F28">
            <w:pPr>
              <w:jc w:val="right"/>
              <w:rPr>
                <w:color w:val="000000"/>
                <w:sz w:val="16"/>
                <w:szCs w:val="16"/>
                <w:lang w:eastAsia="en-NZ"/>
              </w:rPr>
            </w:pPr>
            <w:r w:rsidRPr="00230801">
              <w:rPr>
                <w:color w:val="000000"/>
                <w:sz w:val="16"/>
                <w:szCs w:val="16"/>
                <w:lang w:eastAsia="en-NZ"/>
              </w:rPr>
              <w:t>100.0</w:t>
            </w:r>
          </w:p>
        </w:tc>
        <w:tc>
          <w:tcPr>
            <w:tcW w:w="1055" w:type="dxa"/>
            <w:shd w:val="clear" w:color="auto" w:fill="auto"/>
            <w:vAlign w:val="center"/>
          </w:tcPr>
          <w:p w14:paraId="20AF7965"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06D0E77E"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174D9169" w14:textId="77777777" w:rsidR="00D9465C" w:rsidRPr="00637CF2" w:rsidRDefault="00D9465C" w:rsidP="00DD0F28">
            <w:pPr>
              <w:jc w:val="right"/>
              <w:rPr>
                <w:color w:val="000000"/>
                <w:sz w:val="16"/>
                <w:szCs w:val="16"/>
                <w:lang w:eastAsia="en-NZ"/>
              </w:rPr>
            </w:pPr>
          </w:p>
        </w:tc>
      </w:tr>
      <w:tr w:rsidR="00D9465C" w:rsidRPr="003F15C0" w14:paraId="138B8DD8" w14:textId="77777777" w:rsidTr="00DD0F28">
        <w:tc>
          <w:tcPr>
            <w:tcW w:w="3119" w:type="dxa"/>
          </w:tcPr>
          <w:p w14:paraId="6E1A3815" w14:textId="77777777" w:rsidR="00D9465C" w:rsidRPr="003F15C0" w:rsidRDefault="00D9465C" w:rsidP="00DD0F28">
            <w:pPr>
              <w:spacing w:before="20"/>
              <w:ind w:left="176"/>
              <w:jc w:val="both"/>
              <w:rPr>
                <w:sz w:val="16"/>
                <w:szCs w:val="16"/>
              </w:rPr>
            </w:pPr>
            <w:r w:rsidRPr="003F15C0">
              <w:rPr>
                <w:sz w:val="16"/>
                <w:szCs w:val="16"/>
              </w:rPr>
              <w:t>At least once in past year</w:t>
            </w:r>
          </w:p>
        </w:tc>
        <w:tc>
          <w:tcPr>
            <w:tcW w:w="1048" w:type="dxa"/>
            <w:shd w:val="clear" w:color="auto" w:fill="auto"/>
            <w:vAlign w:val="center"/>
          </w:tcPr>
          <w:p w14:paraId="7EE67B48" w14:textId="77777777" w:rsidR="00D9465C" w:rsidRPr="00230801" w:rsidRDefault="00D9465C" w:rsidP="00DD0F28">
            <w:pPr>
              <w:jc w:val="right"/>
              <w:rPr>
                <w:color w:val="000000"/>
                <w:sz w:val="16"/>
                <w:szCs w:val="16"/>
                <w:lang w:eastAsia="en-NZ"/>
              </w:rPr>
            </w:pPr>
            <w:r w:rsidRPr="00230801">
              <w:rPr>
                <w:color w:val="000000"/>
                <w:sz w:val="16"/>
                <w:szCs w:val="16"/>
                <w:lang w:eastAsia="en-NZ"/>
              </w:rPr>
              <w:t>7</w:t>
            </w:r>
          </w:p>
        </w:tc>
        <w:tc>
          <w:tcPr>
            <w:tcW w:w="995" w:type="dxa"/>
            <w:shd w:val="clear" w:color="auto" w:fill="auto"/>
            <w:vAlign w:val="center"/>
          </w:tcPr>
          <w:p w14:paraId="6B146A85" w14:textId="77777777" w:rsidR="00D9465C" w:rsidRPr="00230801" w:rsidRDefault="00D9465C" w:rsidP="00DD0F28">
            <w:pPr>
              <w:jc w:val="right"/>
              <w:rPr>
                <w:color w:val="000000"/>
                <w:sz w:val="16"/>
                <w:szCs w:val="16"/>
                <w:lang w:eastAsia="en-NZ"/>
              </w:rPr>
            </w:pPr>
            <w:r w:rsidRPr="00230801">
              <w:rPr>
                <w:color w:val="000000"/>
                <w:sz w:val="16"/>
                <w:szCs w:val="16"/>
                <w:lang w:eastAsia="en-NZ"/>
              </w:rPr>
              <w:t>100.0</w:t>
            </w:r>
          </w:p>
        </w:tc>
        <w:tc>
          <w:tcPr>
            <w:tcW w:w="1055" w:type="dxa"/>
            <w:shd w:val="clear" w:color="auto" w:fill="auto"/>
            <w:vAlign w:val="center"/>
          </w:tcPr>
          <w:p w14:paraId="094769C7"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13B1BBB5"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247ABC03" w14:textId="77777777" w:rsidR="00D9465C" w:rsidRPr="00637CF2" w:rsidRDefault="00D9465C" w:rsidP="00DD0F28">
            <w:pPr>
              <w:jc w:val="right"/>
              <w:rPr>
                <w:color w:val="000000"/>
                <w:sz w:val="16"/>
                <w:szCs w:val="16"/>
                <w:lang w:eastAsia="en-NZ"/>
              </w:rPr>
            </w:pPr>
          </w:p>
        </w:tc>
      </w:tr>
      <w:tr w:rsidR="00D9465C" w:rsidRPr="003F15C0" w14:paraId="3F2609D4" w14:textId="77777777" w:rsidTr="00DD0F28">
        <w:tc>
          <w:tcPr>
            <w:tcW w:w="3119" w:type="dxa"/>
            <w:vAlign w:val="bottom"/>
          </w:tcPr>
          <w:p w14:paraId="6BCD4745" w14:textId="77777777" w:rsidR="00D9465C" w:rsidRPr="003F15C0" w:rsidRDefault="00D9465C" w:rsidP="00DD0F28">
            <w:pPr>
              <w:keepNext/>
              <w:keepLines/>
              <w:spacing w:before="20"/>
              <w:jc w:val="both"/>
              <w:rPr>
                <w:b/>
                <w:sz w:val="16"/>
                <w:szCs w:val="16"/>
              </w:rPr>
            </w:pPr>
            <w:r w:rsidRPr="003F15C0">
              <w:rPr>
                <w:rFonts w:eastAsiaTheme="minorEastAsia"/>
                <w:b/>
                <w:sz w:val="16"/>
                <w:szCs w:val="16"/>
                <w:lang w:eastAsia="en-US"/>
              </w:rPr>
              <w:t>Typical monthly gambling expenditure</w:t>
            </w:r>
          </w:p>
        </w:tc>
        <w:tc>
          <w:tcPr>
            <w:tcW w:w="1048" w:type="dxa"/>
            <w:shd w:val="clear" w:color="auto" w:fill="auto"/>
            <w:vAlign w:val="center"/>
          </w:tcPr>
          <w:p w14:paraId="3D341DEC" w14:textId="77777777" w:rsidR="00D9465C" w:rsidRPr="005150B1" w:rsidRDefault="00D9465C" w:rsidP="00DD0F28">
            <w:pPr>
              <w:jc w:val="right"/>
              <w:rPr>
                <w:color w:val="000000"/>
                <w:sz w:val="16"/>
                <w:szCs w:val="16"/>
                <w:lang w:eastAsia="en-NZ"/>
              </w:rPr>
            </w:pPr>
          </w:p>
        </w:tc>
        <w:tc>
          <w:tcPr>
            <w:tcW w:w="995" w:type="dxa"/>
            <w:shd w:val="clear" w:color="auto" w:fill="auto"/>
            <w:vAlign w:val="center"/>
          </w:tcPr>
          <w:p w14:paraId="136CCA51" w14:textId="77777777" w:rsidR="00D9465C" w:rsidRPr="00230801" w:rsidRDefault="00D9465C" w:rsidP="00DD0F28">
            <w:pPr>
              <w:keepNext/>
              <w:keepLines/>
              <w:spacing w:before="20"/>
              <w:jc w:val="right"/>
              <w:rPr>
                <w:color w:val="000000"/>
                <w:sz w:val="16"/>
                <w:szCs w:val="16"/>
                <w:lang w:eastAsia="en-NZ"/>
              </w:rPr>
            </w:pPr>
          </w:p>
        </w:tc>
        <w:tc>
          <w:tcPr>
            <w:tcW w:w="1055" w:type="dxa"/>
            <w:shd w:val="clear" w:color="auto" w:fill="auto"/>
            <w:vAlign w:val="center"/>
          </w:tcPr>
          <w:p w14:paraId="4F9A4843" w14:textId="77777777" w:rsidR="00D9465C" w:rsidRPr="00230801" w:rsidRDefault="00D9465C" w:rsidP="00DD0F28">
            <w:pPr>
              <w:keepNext/>
              <w:keepLines/>
              <w:spacing w:before="20"/>
              <w:jc w:val="right"/>
              <w:rPr>
                <w:color w:val="000000"/>
                <w:sz w:val="16"/>
                <w:szCs w:val="16"/>
                <w:lang w:eastAsia="en-NZ"/>
              </w:rPr>
            </w:pPr>
          </w:p>
        </w:tc>
        <w:tc>
          <w:tcPr>
            <w:tcW w:w="1275" w:type="dxa"/>
            <w:shd w:val="clear" w:color="auto" w:fill="auto"/>
            <w:vAlign w:val="center"/>
          </w:tcPr>
          <w:p w14:paraId="6CD30D13" w14:textId="77777777" w:rsidR="00D9465C" w:rsidRPr="00230801" w:rsidRDefault="00D9465C" w:rsidP="00DD0F28">
            <w:pPr>
              <w:keepNext/>
              <w:keepLines/>
              <w:spacing w:before="20"/>
              <w:jc w:val="right"/>
              <w:rPr>
                <w:color w:val="000000"/>
                <w:sz w:val="16"/>
                <w:szCs w:val="16"/>
                <w:lang w:eastAsia="en-NZ"/>
              </w:rPr>
            </w:pPr>
          </w:p>
        </w:tc>
        <w:tc>
          <w:tcPr>
            <w:tcW w:w="1020" w:type="dxa"/>
            <w:shd w:val="clear" w:color="auto" w:fill="auto"/>
            <w:vAlign w:val="center"/>
          </w:tcPr>
          <w:p w14:paraId="77A990D4" w14:textId="77777777" w:rsidR="00D9465C" w:rsidRPr="00230801" w:rsidRDefault="00D9465C" w:rsidP="00DD0F28">
            <w:pPr>
              <w:keepNext/>
              <w:keepLines/>
              <w:spacing w:before="20"/>
              <w:jc w:val="right"/>
              <w:rPr>
                <w:color w:val="000000"/>
                <w:sz w:val="16"/>
                <w:szCs w:val="16"/>
                <w:lang w:eastAsia="en-NZ"/>
              </w:rPr>
            </w:pPr>
          </w:p>
        </w:tc>
      </w:tr>
      <w:tr w:rsidR="00D9465C" w:rsidRPr="003F15C0" w14:paraId="49AE971F" w14:textId="77777777" w:rsidTr="00DD0F28">
        <w:tc>
          <w:tcPr>
            <w:tcW w:w="3119" w:type="dxa"/>
          </w:tcPr>
          <w:p w14:paraId="3153EAC0" w14:textId="77777777" w:rsidR="00D9465C" w:rsidRPr="003F15C0" w:rsidRDefault="00D9465C" w:rsidP="00DD0F28">
            <w:pPr>
              <w:spacing w:before="20"/>
              <w:ind w:left="176"/>
              <w:jc w:val="both"/>
              <w:rPr>
                <w:sz w:val="16"/>
                <w:szCs w:val="16"/>
              </w:rPr>
            </w:pPr>
            <w:r>
              <w:rPr>
                <w:sz w:val="16"/>
                <w:szCs w:val="16"/>
              </w:rPr>
              <w:t>≤</w:t>
            </w:r>
            <w:r w:rsidRPr="003F15C0">
              <w:rPr>
                <w:sz w:val="16"/>
                <w:szCs w:val="16"/>
              </w:rPr>
              <w:t>$</w:t>
            </w:r>
            <w:r>
              <w:rPr>
                <w:sz w:val="16"/>
                <w:szCs w:val="16"/>
              </w:rPr>
              <w:t>20</w:t>
            </w:r>
          </w:p>
        </w:tc>
        <w:tc>
          <w:tcPr>
            <w:tcW w:w="1048" w:type="dxa"/>
            <w:shd w:val="clear" w:color="auto" w:fill="auto"/>
            <w:vAlign w:val="center"/>
          </w:tcPr>
          <w:p w14:paraId="7B618E54" w14:textId="77777777" w:rsidR="00D9465C" w:rsidRPr="00230801" w:rsidRDefault="00D9465C" w:rsidP="00DD0F28">
            <w:pPr>
              <w:jc w:val="right"/>
              <w:rPr>
                <w:color w:val="000000"/>
                <w:sz w:val="16"/>
                <w:szCs w:val="16"/>
                <w:lang w:eastAsia="en-NZ"/>
              </w:rPr>
            </w:pPr>
            <w:r w:rsidRPr="00230801">
              <w:rPr>
                <w:color w:val="000000"/>
                <w:sz w:val="16"/>
                <w:szCs w:val="16"/>
                <w:lang w:eastAsia="en-NZ"/>
              </w:rPr>
              <w:t>3</w:t>
            </w:r>
          </w:p>
        </w:tc>
        <w:tc>
          <w:tcPr>
            <w:tcW w:w="995" w:type="dxa"/>
            <w:shd w:val="clear" w:color="auto" w:fill="auto"/>
            <w:vAlign w:val="center"/>
          </w:tcPr>
          <w:p w14:paraId="689E30C3" w14:textId="77777777" w:rsidR="00D9465C" w:rsidRPr="00230801" w:rsidRDefault="00D9465C" w:rsidP="00DD0F28">
            <w:pPr>
              <w:jc w:val="right"/>
              <w:rPr>
                <w:color w:val="000000"/>
                <w:sz w:val="16"/>
                <w:szCs w:val="16"/>
                <w:lang w:eastAsia="en-NZ"/>
              </w:rPr>
            </w:pPr>
            <w:r w:rsidRPr="00230801">
              <w:rPr>
                <w:color w:val="000000"/>
                <w:sz w:val="16"/>
                <w:szCs w:val="16"/>
                <w:lang w:eastAsia="en-NZ"/>
              </w:rPr>
              <w:t>100.0</w:t>
            </w:r>
          </w:p>
        </w:tc>
        <w:tc>
          <w:tcPr>
            <w:tcW w:w="1055" w:type="dxa"/>
            <w:shd w:val="clear" w:color="auto" w:fill="auto"/>
            <w:vAlign w:val="center"/>
          </w:tcPr>
          <w:p w14:paraId="17C1999C"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792EB74E"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103B300A" w14:textId="77777777" w:rsidR="00D9465C" w:rsidRPr="00637CF2" w:rsidRDefault="00D9465C" w:rsidP="00DD0F28">
            <w:pPr>
              <w:jc w:val="right"/>
              <w:rPr>
                <w:color w:val="000000"/>
                <w:sz w:val="16"/>
                <w:szCs w:val="16"/>
                <w:lang w:eastAsia="en-NZ"/>
              </w:rPr>
            </w:pPr>
          </w:p>
        </w:tc>
      </w:tr>
      <w:tr w:rsidR="00D9465C" w:rsidRPr="003F15C0" w14:paraId="69D2DEBF" w14:textId="77777777" w:rsidTr="00DD0F28">
        <w:tc>
          <w:tcPr>
            <w:tcW w:w="3119" w:type="dxa"/>
          </w:tcPr>
          <w:p w14:paraId="49E84F89" w14:textId="77777777" w:rsidR="00D9465C" w:rsidRPr="003F15C0" w:rsidRDefault="00D9465C" w:rsidP="00DD0F28">
            <w:pPr>
              <w:spacing w:before="20"/>
              <w:ind w:left="176"/>
              <w:jc w:val="both"/>
              <w:rPr>
                <w:sz w:val="16"/>
                <w:szCs w:val="16"/>
              </w:rPr>
            </w:pPr>
            <w:r w:rsidRPr="003F15C0">
              <w:rPr>
                <w:sz w:val="16"/>
                <w:szCs w:val="16"/>
              </w:rPr>
              <w:t>$21 - $</w:t>
            </w:r>
            <w:r>
              <w:rPr>
                <w:sz w:val="16"/>
                <w:szCs w:val="16"/>
              </w:rPr>
              <w:t>5</w:t>
            </w:r>
            <w:r w:rsidRPr="003F15C0">
              <w:rPr>
                <w:sz w:val="16"/>
                <w:szCs w:val="16"/>
              </w:rPr>
              <w:t>0</w:t>
            </w:r>
          </w:p>
        </w:tc>
        <w:tc>
          <w:tcPr>
            <w:tcW w:w="1048" w:type="dxa"/>
            <w:shd w:val="clear" w:color="auto" w:fill="auto"/>
            <w:vAlign w:val="center"/>
          </w:tcPr>
          <w:p w14:paraId="70401B59" w14:textId="77777777" w:rsidR="00D9465C" w:rsidRPr="00230801" w:rsidRDefault="00D9465C" w:rsidP="00DD0F28">
            <w:pPr>
              <w:jc w:val="right"/>
              <w:rPr>
                <w:color w:val="000000"/>
                <w:sz w:val="16"/>
                <w:szCs w:val="16"/>
                <w:lang w:eastAsia="en-NZ"/>
              </w:rPr>
            </w:pPr>
            <w:r w:rsidRPr="00230801">
              <w:rPr>
                <w:color w:val="000000"/>
                <w:sz w:val="16"/>
                <w:szCs w:val="16"/>
                <w:lang w:eastAsia="en-NZ"/>
              </w:rPr>
              <w:t>3</w:t>
            </w:r>
          </w:p>
        </w:tc>
        <w:tc>
          <w:tcPr>
            <w:tcW w:w="995" w:type="dxa"/>
            <w:shd w:val="clear" w:color="auto" w:fill="auto"/>
            <w:vAlign w:val="center"/>
          </w:tcPr>
          <w:p w14:paraId="66662AB4" w14:textId="77777777" w:rsidR="00D9465C" w:rsidRPr="00230801" w:rsidRDefault="00D9465C" w:rsidP="00DD0F28">
            <w:pPr>
              <w:jc w:val="right"/>
              <w:rPr>
                <w:color w:val="000000"/>
                <w:sz w:val="16"/>
                <w:szCs w:val="16"/>
                <w:lang w:eastAsia="en-NZ"/>
              </w:rPr>
            </w:pPr>
            <w:r w:rsidRPr="00230801">
              <w:rPr>
                <w:color w:val="000000"/>
                <w:sz w:val="16"/>
                <w:szCs w:val="16"/>
                <w:lang w:eastAsia="en-NZ"/>
              </w:rPr>
              <w:t>100.0</w:t>
            </w:r>
          </w:p>
        </w:tc>
        <w:tc>
          <w:tcPr>
            <w:tcW w:w="1055" w:type="dxa"/>
            <w:shd w:val="clear" w:color="auto" w:fill="auto"/>
            <w:vAlign w:val="center"/>
          </w:tcPr>
          <w:p w14:paraId="78812184"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0CEFB4E6"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62FB9D6A" w14:textId="77777777" w:rsidR="00D9465C" w:rsidRPr="00637CF2" w:rsidRDefault="00D9465C" w:rsidP="00DD0F28">
            <w:pPr>
              <w:jc w:val="right"/>
              <w:rPr>
                <w:color w:val="000000"/>
                <w:sz w:val="16"/>
                <w:szCs w:val="16"/>
                <w:lang w:eastAsia="en-NZ"/>
              </w:rPr>
            </w:pPr>
          </w:p>
        </w:tc>
      </w:tr>
      <w:tr w:rsidR="00D9465C" w:rsidRPr="003F15C0" w14:paraId="6662D1A3" w14:textId="77777777" w:rsidTr="00DD0F28">
        <w:tc>
          <w:tcPr>
            <w:tcW w:w="3119" w:type="dxa"/>
          </w:tcPr>
          <w:p w14:paraId="59B82D29" w14:textId="77777777" w:rsidR="00D9465C" w:rsidRPr="003F15C0" w:rsidRDefault="00D9465C" w:rsidP="00DD0F28">
            <w:pPr>
              <w:spacing w:before="20"/>
              <w:ind w:left="176"/>
              <w:jc w:val="both"/>
              <w:rPr>
                <w:sz w:val="16"/>
                <w:szCs w:val="16"/>
              </w:rPr>
            </w:pPr>
            <w:r w:rsidRPr="003F15C0">
              <w:rPr>
                <w:sz w:val="16"/>
                <w:szCs w:val="16"/>
              </w:rPr>
              <w:t>&gt;$50</w:t>
            </w:r>
          </w:p>
        </w:tc>
        <w:tc>
          <w:tcPr>
            <w:tcW w:w="1048" w:type="dxa"/>
            <w:shd w:val="clear" w:color="auto" w:fill="auto"/>
            <w:vAlign w:val="center"/>
          </w:tcPr>
          <w:p w14:paraId="09A96DB1" w14:textId="77777777" w:rsidR="00D9465C" w:rsidRPr="00230801" w:rsidRDefault="00D9465C" w:rsidP="00DD0F28">
            <w:pPr>
              <w:jc w:val="right"/>
              <w:rPr>
                <w:color w:val="000000"/>
                <w:sz w:val="16"/>
                <w:szCs w:val="16"/>
                <w:lang w:eastAsia="en-NZ"/>
              </w:rPr>
            </w:pPr>
            <w:r w:rsidRPr="00230801">
              <w:rPr>
                <w:color w:val="000000"/>
                <w:sz w:val="16"/>
                <w:szCs w:val="16"/>
                <w:lang w:eastAsia="en-NZ"/>
              </w:rPr>
              <w:t>27</w:t>
            </w:r>
          </w:p>
        </w:tc>
        <w:tc>
          <w:tcPr>
            <w:tcW w:w="995" w:type="dxa"/>
            <w:shd w:val="clear" w:color="auto" w:fill="auto"/>
            <w:vAlign w:val="center"/>
          </w:tcPr>
          <w:p w14:paraId="43E1D314" w14:textId="77777777" w:rsidR="00D9465C" w:rsidRPr="00230801" w:rsidRDefault="00D9465C" w:rsidP="00DD0F28">
            <w:pPr>
              <w:jc w:val="right"/>
              <w:rPr>
                <w:color w:val="000000"/>
                <w:sz w:val="16"/>
                <w:szCs w:val="16"/>
                <w:lang w:eastAsia="en-NZ"/>
              </w:rPr>
            </w:pPr>
            <w:r w:rsidRPr="00230801">
              <w:rPr>
                <w:color w:val="000000"/>
                <w:sz w:val="16"/>
                <w:szCs w:val="16"/>
                <w:lang w:eastAsia="en-NZ"/>
              </w:rPr>
              <w:t>71.4</w:t>
            </w:r>
          </w:p>
        </w:tc>
        <w:tc>
          <w:tcPr>
            <w:tcW w:w="1055" w:type="dxa"/>
            <w:shd w:val="clear" w:color="auto" w:fill="auto"/>
            <w:vAlign w:val="center"/>
          </w:tcPr>
          <w:p w14:paraId="496B6D72"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39529DAF"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3178124D" w14:textId="77777777" w:rsidR="00D9465C" w:rsidRPr="00637CF2" w:rsidRDefault="00D9465C" w:rsidP="00DD0F28">
            <w:pPr>
              <w:jc w:val="right"/>
              <w:rPr>
                <w:color w:val="000000"/>
                <w:sz w:val="16"/>
                <w:szCs w:val="16"/>
                <w:lang w:eastAsia="en-NZ"/>
              </w:rPr>
            </w:pPr>
          </w:p>
        </w:tc>
      </w:tr>
      <w:tr w:rsidR="00D9465C" w:rsidRPr="003F15C0" w14:paraId="470BBBC0" w14:textId="77777777" w:rsidTr="00DD0F28">
        <w:tc>
          <w:tcPr>
            <w:tcW w:w="3119" w:type="dxa"/>
            <w:vAlign w:val="bottom"/>
          </w:tcPr>
          <w:p w14:paraId="781146DC" w14:textId="77777777" w:rsidR="00D9465C" w:rsidRPr="003F15C0" w:rsidRDefault="00D9465C" w:rsidP="00DD0F28">
            <w:pPr>
              <w:spacing w:before="20"/>
              <w:jc w:val="both"/>
              <w:rPr>
                <w:b/>
                <w:sz w:val="16"/>
                <w:szCs w:val="16"/>
              </w:rPr>
            </w:pPr>
            <w:r w:rsidRPr="003F15C0">
              <w:rPr>
                <w:b/>
                <w:sz w:val="16"/>
                <w:szCs w:val="16"/>
              </w:rPr>
              <w:t>Bets with friends/workmates - annual</w:t>
            </w:r>
          </w:p>
        </w:tc>
        <w:tc>
          <w:tcPr>
            <w:tcW w:w="1048" w:type="dxa"/>
            <w:shd w:val="clear" w:color="auto" w:fill="auto"/>
          </w:tcPr>
          <w:p w14:paraId="49D84E4C" w14:textId="77777777" w:rsidR="00D9465C" w:rsidRPr="00230801" w:rsidRDefault="00D9465C" w:rsidP="00DD0F28">
            <w:pPr>
              <w:jc w:val="right"/>
              <w:rPr>
                <w:color w:val="000000"/>
                <w:sz w:val="16"/>
                <w:szCs w:val="16"/>
                <w:lang w:eastAsia="en-NZ"/>
              </w:rPr>
            </w:pPr>
          </w:p>
        </w:tc>
        <w:tc>
          <w:tcPr>
            <w:tcW w:w="995" w:type="dxa"/>
            <w:shd w:val="clear" w:color="auto" w:fill="auto"/>
            <w:vAlign w:val="center"/>
          </w:tcPr>
          <w:p w14:paraId="0A409480" w14:textId="77777777" w:rsidR="00D9465C" w:rsidRPr="00230801" w:rsidRDefault="00D9465C" w:rsidP="00DD0F28">
            <w:pPr>
              <w:jc w:val="right"/>
              <w:rPr>
                <w:color w:val="000000"/>
                <w:sz w:val="16"/>
                <w:szCs w:val="16"/>
                <w:lang w:eastAsia="en-NZ"/>
              </w:rPr>
            </w:pPr>
          </w:p>
        </w:tc>
        <w:tc>
          <w:tcPr>
            <w:tcW w:w="1055" w:type="dxa"/>
            <w:shd w:val="clear" w:color="auto" w:fill="auto"/>
            <w:vAlign w:val="center"/>
          </w:tcPr>
          <w:p w14:paraId="6A8DB2A3" w14:textId="77777777" w:rsidR="00D9465C" w:rsidRPr="003F15C0" w:rsidRDefault="00D9465C" w:rsidP="00DD0F28">
            <w:pPr>
              <w:jc w:val="right"/>
              <w:rPr>
                <w:color w:val="000000"/>
                <w:sz w:val="16"/>
                <w:szCs w:val="16"/>
                <w:lang w:eastAsia="en-NZ"/>
              </w:rPr>
            </w:pPr>
          </w:p>
        </w:tc>
        <w:tc>
          <w:tcPr>
            <w:tcW w:w="1275" w:type="dxa"/>
            <w:shd w:val="clear" w:color="auto" w:fill="auto"/>
            <w:vAlign w:val="center"/>
          </w:tcPr>
          <w:p w14:paraId="590B03A3" w14:textId="77777777" w:rsidR="00D9465C" w:rsidRPr="003F15C0" w:rsidRDefault="00D9465C" w:rsidP="00DD0F28">
            <w:pPr>
              <w:jc w:val="right"/>
              <w:rPr>
                <w:color w:val="000000"/>
                <w:sz w:val="16"/>
                <w:szCs w:val="16"/>
                <w:lang w:eastAsia="en-NZ"/>
              </w:rPr>
            </w:pPr>
          </w:p>
        </w:tc>
        <w:tc>
          <w:tcPr>
            <w:tcW w:w="1020" w:type="dxa"/>
            <w:shd w:val="clear" w:color="auto" w:fill="auto"/>
            <w:vAlign w:val="center"/>
          </w:tcPr>
          <w:p w14:paraId="169757B0" w14:textId="77777777" w:rsidR="00D9465C" w:rsidRPr="003F15C0" w:rsidRDefault="00D9465C" w:rsidP="00DD0F28">
            <w:pPr>
              <w:jc w:val="right"/>
              <w:rPr>
                <w:color w:val="000000"/>
                <w:sz w:val="16"/>
                <w:szCs w:val="16"/>
                <w:lang w:eastAsia="en-NZ"/>
              </w:rPr>
            </w:pPr>
          </w:p>
        </w:tc>
      </w:tr>
      <w:tr w:rsidR="00D9465C" w:rsidRPr="003F15C0" w14:paraId="289E6E6A" w14:textId="77777777" w:rsidTr="00DD0F28">
        <w:tc>
          <w:tcPr>
            <w:tcW w:w="3119" w:type="dxa"/>
          </w:tcPr>
          <w:p w14:paraId="282E9329"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1DD060A4" w14:textId="77777777" w:rsidR="00D9465C" w:rsidRPr="00230801" w:rsidRDefault="00D9465C" w:rsidP="00DD0F28">
            <w:pPr>
              <w:jc w:val="right"/>
              <w:rPr>
                <w:color w:val="000000"/>
                <w:sz w:val="16"/>
                <w:szCs w:val="16"/>
                <w:lang w:eastAsia="en-NZ"/>
              </w:rPr>
            </w:pPr>
            <w:r w:rsidRPr="00230801">
              <w:rPr>
                <w:color w:val="000000"/>
                <w:sz w:val="16"/>
                <w:szCs w:val="16"/>
                <w:lang w:eastAsia="en-NZ"/>
              </w:rPr>
              <w:t>24</w:t>
            </w:r>
          </w:p>
        </w:tc>
        <w:tc>
          <w:tcPr>
            <w:tcW w:w="995" w:type="dxa"/>
            <w:shd w:val="clear" w:color="auto" w:fill="auto"/>
            <w:vAlign w:val="center"/>
          </w:tcPr>
          <w:p w14:paraId="5E1837C3" w14:textId="77777777" w:rsidR="00D9465C" w:rsidRPr="00230801" w:rsidRDefault="00D9465C" w:rsidP="00DD0F28">
            <w:pPr>
              <w:jc w:val="right"/>
              <w:rPr>
                <w:color w:val="000000"/>
                <w:sz w:val="16"/>
                <w:szCs w:val="16"/>
                <w:lang w:eastAsia="en-NZ"/>
              </w:rPr>
            </w:pPr>
            <w:r w:rsidRPr="00230801">
              <w:rPr>
                <w:color w:val="000000"/>
                <w:sz w:val="16"/>
                <w:szCs w:val="16"/>
                <w:lang w:eastAsia="en-NZ"/>
              </w:rPr>
              <w:t>85.7</w:t>
            </w:r>
          </w:p>
        </w:tc>
        <w:tc>
          <w:tcPr>
            <w:tcW w:w="1055" w:type="dxa"/>
            <w:shd w:val="clear" w:color="auto" w:fill="auto"/>
            <w:vAlign w:val="center"/>
          </w:tcPr>
          <w:p w14:paraId="622018EB" w14:textId="77777777" w:rsidR="00D9465C" w:rsidRPr="00230801" w:rsidRDefault="00D9465C" w:rsidP="00DD0F28">
            <w:pPr>
              <w:jc w:val="right"/>
              <w:rPr>
                <w:color w:val="000000"/>
                <w:sz w:val="16"/>
                <w:szCs w:val="16"/>
                <w:lang w:eastAsia="en-NZ"/>
              </w:rPr>
            </w:pPr>
            <w:r w:rsidRPr="00230801">
              <w:rPr>
                <w:color w:val="000000"/>
                <w:sz w:val="16"/>
                <w:szCs w:val="16"/>
                <w:lang w:eastAsia="en-NZ"/>
              </w:rPr>
              <w:t>1.00</w:t>
            </w:r>
          </w:p>
        </w:tc>
        <w:tc>
          <w:tcPr>
            <w:tcW w:w="1275" w:type="dxa"/>
            <w:shd w:val="clear" w:color="auto" w:fill="auto"/>
            <w:vAlign w:val="center"/>
          </w:tcPr>
          <w:p w14:paraId="0468CA7D"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432CCC17" w14:textId="77777777" w:rsidR="00D9465C" w:rsidRPr="00230801" w:rsidRDefault="00D9465C" w:rsidP="00DD0F28">
            <w:pPr>
              <w:jc w:val="right"/>
              <w:rPr>
                <w:color w:val="000000"/>
                <w:sz w:val="16"/>
                <w:szCs w:val="16"/>
                <w:lang w:eastAsia="en-NZ"/>
              </w:rPr>
            </w:pPr>
          </w:p>
        </w:tc>
      </w:tr>
      <w:tr w:rsidR="00D9465C" w:rsidRPr="003F15C0" w14:paraId="022E1800" w14:textId="77777777" w:rsidTr="00DD0F28">
        <w:tc>
          <w:tcPr>
            <w:tcW w:w="3119" w:type="dxa"/>
          </w:tcPr>
          <w:p w14:paraId="60FEAD1A"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shd w:val="clear" w:color="auto" w:fill="auto"/>
            <w:vAlign w:val="center"/>
          </w:tcPr>
          <w:p w14:paraId="25439B0F" w14:textId="77777777" w:rsidR="00D9465C" w:rsidRPr="00230801" w:rsidRDefault="00D9465C" w:rsidP="00DD0F28">
            <w:pPr>
              <w:jc w:val="right"/>
              <w:rPr>
                <w:color w:val="000000"/>
                <w:sz w:val="16"/>
                <w:szCs w:val="16"/>
                <w:lang w:eastAsia="en-NZ"/>
              </w:rPr>
            </w:pPr>
            <w:r w:rsidRPr="00230801">
              <w:rPr>
                <w:color w:val="000000"/>
                <w:sz w:val="16"/>
                <w:szCs w:val="16"/>
                <w:lang w:eastAsia="en-NZ"/>
              </w:rPr>
              <w:t>9</w:t>
            </w:r>
          </w:p>
        </w:tc>
        <w:tc>
          <w:tcPr>
            <w:tcW w:w="995" w:type="dxa"/>
            <w:shd w:val="clear" w:color="auto" w:fill="auto"/>
            <w:vAlign w:val="center"/>
          </w:tcPr>
          <w:p w14:paraId="2DA05568" w14:textId="77777777" w:rsidR="00D9465C" w:rsidRPr="00230801" w:rsidRDefault="00D9465C" w:rsidP="00DD0F28">
            <w:pPr>
              <w:jc w:val="right"/>
              <w:rPr>
                <w:color w:val="000000"/>
                <w:sz w:val="16"/>
                <w:szCs w:val="16"/>
                <w:lang w:eastAsia="en-NZ"/>
              </w:rPr>
            </w:pPr>
            <w:r w:rsidRPr="00230801">
              <w:rPr>
                <w:color w:val="000000"/>
                <w:sz w:val="16"/>
                <w:szCs w:val="16"/>
                <w:lang w:eastAsia="en-NZ"/>
              </w:rPr>
              <w:t>53.9</w:t>
            </w:r>
          </w:p>
        </w:tc>
        <w:tc>
          <w:tcPr>
            <w:tcW w:w="1055" w:type="dxa"/>
            <w:shd w:val="clear" w:color="auto" w:fill="auto"/>
            <w:vAlign w:val="center"/>
          </w:tcPr>
          <w:p w14:paraId="7AF95124" w14:textId="77777777" w:rsidR="00D9465C" w:rsidRPr="00230801" w:rsidRDefault="00D9465C" w:rsidP="00DD0F28">
            <w:pPr>
              <w:jc w:val="right"/>
              <w:rPr>
                <w:color w:val="000000"/>
                <w:sz w:val="16"/>
                <w:szCs w:val="16"/>
                <w:lang w:eastAsia="en-NZ"/>
              </w:rPr>
            </w:pPr>
            <w:r w:rsidRPr="00230801">
              <w:rPr>
                <w:color w:val="000000"/>
                <w:sz w:val="16"/>
                <w:szCs w:val="16"/>
                <w:lang w:eastAsia="en-NZ"/>
              </w:rPr>
              <w:t>0.20</w:t>
            </w:r>
          </w:p>
        </w:tc>
        <w:tc>
          <w:tcPr>
            <w:tcW w:w="1275" w:type="dxa"/>
            <w:shd w:val="clear" w:color="auto" w:fill="auto"/>
            <w:vAlign w:val="center"/>
          </w:tcPr>
          <w:p w14:paraId="49AAD487" w14:textId="77777777" w:rsidR="00D9465C" w:rsidRPr="00230801" w:rsidRDefault="00D9465C" w:rsidP="00DD0F28">
            <w:pPr>
              <w:jc w:val="right"/>
              <w:rPr>
                <w:color w:val="000000"/>
                <w:sz w:val="16"/>
                <w:szCs w:val="16"/>
                <w:lang w:eastAsia="en-NZ"/>
              </w:rPr>
            </w:pPr>
            <w:r w:rsidRPr="00230801">
              <w:rPr>
                <w:color w:val="000000"/>
                <w:sz w:val="16"/>
                <w:szCs w:val="16"/>
                <w:lang w:eastAsia="en-NZ"/>
              </w:rPr>
              <w:t>(0.05, 0.84)</w:t>
            </w:r>
          </w:p>
        </w:tc>
        <w:tc>
          <w:tcPr>
            <w:tcW w:w="1020" w:type="dxa"/>
            <w:shd w:val="clear" w:color="auto" w:fill="auto"/>
            <w:vAlign w:val="center"/>
          </w:tcPr>
          <w:p w14:paraId="39A82206" w14:textId="77777777" w:rsidR="00D9465C" w:rsidRPr="00230801" w:rsidRDefault="00D9465C" w:rsidP="00DD0F28">
            <w:pPr>
              <w:jc w:val="right"/>
              <w:rPr>
                <w:color w:val="000000"/>
                <w:sz w:val="16"/>
                <w:szCs w:val="16"/>
                <w:lang w:eastAsia="en-NZ"/>
              </w:rPr>
            </w:pPr>
            <w:r w:rsidRPr="00230801">
              <w:rPr>
                <w:color w:val="000000"/>
                <w:sz w:val="16"/>
                <w:szCs w:val="16"/>
                <w:lang w:eastAsia="en-NZ"/>
              </w:rPr>
              <w:t>0.03</w:t>
            </w:r>
          </w:p>
        </w:tc>
      </w:tr>
      <w:tr w:rsidR="00D9465C" w:rsidRPr="003F15C0" w14:paraId="197AF1D0" w14:textId="77777777" w:rsidTr="00DD0F28">
        <w:tc>
          <w:tcPr>
            <w:tcW w:w="3119" w:type="dxa"/>
            <w:vAlign w:val="bottom"/>
          </w:tcPr>
          <w:p w14:paraId="3D5B66FB" w14:textId="77777777" w:rsidR="00D9465C" w:rsidRPr="003F15C0" w:rsidRDefault="00D9465C" w:rsidP="00DD0F28">
            <w:pPr>
              <w:spacing w:before="20"/>
              <w:jc w:val="both"/>
              <w:rPr>
                <w:b/>
                <w:sz w:val="16"/>
                <w:szCs w:val="16"/>
              </w:rPr>
            </w:pPr>
            <w:r w:rsidRPr="003F15C0">
              <w:rPr>
                <w:b/>
                <w:sz w:val="16"/>
                <w:szCs w:val="16"/>
              </w:rPr>
              <w:t>Club EGM</w:t>
            </w:r>
            <w:r>
              <w:rPr>
                <w:b/>
                <w:sz w:val="16"/>
                <w:szCs w:val="16"/>
              </w:rPr>
              <w:t>s</w:t>
            </w:r>
            <w:r w:rsidRPr="003F15C0">
              <w:rPr>
                <w:b/>
                <w:sz w:val="16"/>
                <w:szCs w:val="16"/>
              </w:rPr>
              <w:t xml:space="preserve"> - annual</w:t>
            </w:r>
          </w:p>
        </w:tc>
        <w:tc>
          <w:tcPr>
            <w:tcW w:w="1048" w:type="dxa"/>
            <w:shd w:val="clear" w:color="auto" w:fill="auto"/>
            <w:vAlign w:val="center"/>
          </w:tcPr>
          <w:p w14:paraId="768A80C0" w14:textId="77777777" w:rsidR="00D9465C" w:rsidRPr="00637CF2" w:rsidRDefault="00D9465C" w:rsidP="00DD0F28">
            <w:pPr>
              <w:jc w:val="right"/>
              <w:rPr>
                <w:color w:val="000000"/>
                <w:sz w:val="16"/>
                <w:szCs w:val="16"/>
                <w:lang w:eastAsia="en-NZ"/>
              </w:rPr>
            </w:pPr>
          </w:p>
        </w:tc>
        <w:tc>
          <w:tcPr>
            <w:tcW w:w="995" w:type="dxa"/>
            <w:shd w:val="clear" w:color="auto" w:fill="auto"/>
            <w:vAlign w:val="center"/>
          </w:tcPr>
          <w:p w14:paraId="3A7A473A" w14:textId="77777777" w:rsidR="00D9465C" w:rsidRPr="00637CF2" w:rsidRDefault="00D9465C" w:rsidP="00DD0F28">
            <w:pPr>
              <w:jc w:val="right"/>
              <w:rPr>
                <w:color w:val="000000"/>
                <w:sz w:val="16"/>
                <w:szCs w:val="16"/>
                <w:lang w:eastAsia="en-NZ"/>
              </w:rPr>
            </w:pPr>
          </w:p>
        </w:tc>
        <w:tc>
          <w:tcPr>
            <w:tcW w:w="1055" w:type="dxa"/>
            <w:shd w:val="clear" w:color="auto" w:fill="auto"/>
            <w:vAlign w:val="center"/>
          </w:tcPr>
          <w:p w14:paraId="000B511E"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4D33A598"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51648CD0" w14:textId="77777777" w:rsidR="00D9465C" w:rsidRPr="00637CF2" w:rsidRDefault="00D9465C" w:rsidP="00DD0F28">
            <w:pPr>
              <w:jc w:val="right"/>
              <w:rPr>
                <w:color w:val="000000"/>
                <w:sz w:val="16"/>
                <w:szCs w:val="16"/>
                <w:lang w:eastAsia="en-NZ"/>
              </w:rPr>
            </w:pPr>
          </w:p>
        </w:tc>
      </w:tr>
      <w:tr w:rsidR="00D9465C" w:rsidRPr="003F15C0" w14:paraId="457C6204" w14:textId="77777777" w:rsidTr="00DD0F28">
        <w:tc>
          <w:tcPr>
            <w:tcW w:w="3119" w:type="dxa"/>
          </w:tcPr>
          <w:p w14:paraId="1C9B81C5"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14CE27CE" w14:textId="77777777" w:rsidR="00D9465C" w:rsidRPr="00230801" w:rsidRDefault="00D9465C" w:rsidP="00DD0F28">
            <w:pPr>
              <w:jc w:val="right"/>
              <w:rPr>
                <w:color w:val="000000"/>
                <w:sz w:val="16"/>
                <w:szCs w:val="16"/>
                <w:lang w:eastAsia="en-NZ"/>
              </w:rPr>
            </w:pPr>
            <w:r w:rsidRPr="00230801">
              <w:rPr>
                <w:color w:val="000000"/>
                <w:sz w:val="16"/>
                <w:szCs w:val="16"/>
                <w:lang w:eastAsia="en-NZ"/>
              </w:rPr>
              <w:t>26</w:t>
            </w:r>
          </w:p>
        </w:tc>
        <w:tc>
          <w:tcPr>
            <w:tcW w:w="995" w:type="dxa"/>
            <w:shd w:val="clear" w:color="auto" w:fill="auto"/>
            <w:vAlign w:val="center"/>
          </w:tcPr>
          <w:p w14:paraId="43D9B705" w14:textId="77777777" w:rsidR="00D9465C" w:rsidRPr="00230801" w:rsidRDefault="00D9465C" w:rsidP="00DD0F28">
            <w:pPr>
              <w:jc w:val="right"/>
              <w:rPr>
                <w:color w:val="000000"/>
                <w:sz w:val="16"/>
                <w:szCs w:val="16"/>
                <w:lang w:eastAsia="en-NZ"/>
              </w:rPr>
            </w:pPr>
            <w:r w:rsidRPr="00230801">
              <w:rPr>
                <w:color w:val="000000"/>
                <w:sz w:val="16"/>
                <w:szCs w:val="16"/>
                <w:lang w:eastAsia="en-NZ"/>
              </w:rPr>
              <w:t>84.2</w:t>
            </w:r>
          </w:p>
        </w:tc>
        <w:tc>
          <w:tcPr>
            <w:tcW w:w="1055" w:type="dxa"/>
            <w:shd w:val="clear" w:color="auto" w:fill="auto"/>
            <w:vAlign w:val="center"/>
          </w:tcPr>
          <w:p w14:paraId="124F029A" w14:textId="77777777" w:rsidR="00D9465C" w:rsidRPr="00230801" w:rsidRDefault="00D9465C" w:rsidP="00DD0F28">
            <w:pPr>
              <w:jc w:val="right"/>
              <w:rPr>
                <w:color w:val="000000"/>
                <w:sz w:val="16"/>
                <w:szCs w:val="16"/>
                <w:lang w:eastAsia="en-NZ"/>
              </w:rPr>
            </w:pPr>
            <w:r w:rsidRPr="00230801">
              <w:rPr>
                <w:color w:val="000000"/>
                <w:sz w:val="16"/>
                <w:szCs w:val="16"/>
                <w:lang w:eastAsia="en-NZ"/>
              </w:rPr>
              <w:t>1.00</w:t>
            </w:r>
          </w:p>
        </w:tc>
        <w:tc>
          <w:tcPr>
            <w:tcW w:w="1275" w:type="dxa"/>
            <w:shd w:val="clear" w:color="auto" w:fill="auto"/>
            <w:vAlign w:val="center"/>
          </w:tcPr>
          <w:p w14:paraId="7C2381DE"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793A1D21" w14:textId="77777777" w:rsidR="00D9465C" w:rsidRPr="00230801" w:rsidRDefault="00D9465C" w:rsidP="00DD0F28">
            <w:pPr>
              <w:jc w:val="right"/>
              <w:rPr>
                <w:color w:val="000000"/>
                <w:sz w:val="16"/>
                <w:szCs w:val="16"/>
                <w:lang w:eastAsia="en-NZ"/>
              </w:rPr>
            </w:pPr>
          </w:p>
        </w:tc>
      </w:tr>
      <w:tr w:rsidR="00D9465C" w:rsidRPr="003F15C0" w14:paraId="6278819E" w14:textId="77777777" w:rsidTr="00DD0F28">
        <w:tc>
          <w:tcPr>
            <w:tcW w:w="3119" w:type="dxa"/>
          </w:tcPr>
          <w:p w14:paraId="4FC90400"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shd w:val="clear" w:color="auto" w:fill="auto"/>
            <w:vAlign w:val="center"/>
          </w:tcPr>
          <w:p w14:paraId="6DAB57F4" w14:textId="77777777" w:rsidR="00D9465C" w:rsidRPr="00230801" w:rsidRDefault="00D9465C" w:rsidP="00DD0F28">
            <w:pPr>
              <w:jc w:val="right"/>
              <w:rPr>
                <w:color w:val="000000"/>
                <w:sz w:val="16"/>
                <w:szCs w:val="16"/>
                <w:lang w:eastAsia="en-NZ"/>
              </w:rPr>
            </w:pPr>
            <w:r w:rsidRPr="00230801">
              <w:rPr>
                <w:color w:val="000000"/>
                <w:sz w:val="16"/>
                <w:szCs w:val="16"/>
                <w:lang w:eastAsia="en-NZ"/>
              </w:rPr>
              <w:t>7</w:t>
            </w:r>
          </w:p>
        </w:tc>
        <w:tc>
          <w:tcPr>
            <w:tcW w:w="995" w:type="dxa"/>
            <w:shd w:val="clear" w:color="auto" w:fill="auto"/>
            <w:vAlign w:val="center"/>
          </w:tcPr>
          <w:p w14:paraId="615A1151" w14:textId="77777777" w:rsidR="00D9465C" w:rsidRPr="00230801" w:rsidRDefault="00D9465C" w:rsidP="00DD0F28">
            <w:pPr>
              <w:jc w:val="right"/>
              <w:rPr>
                <w:color w:val="000000"/>
                <w:sz w:val="16"/>
                <w:szCs w:val="16"/>
                <w:lang w:eastAsia="en-NZ"/>
              </w:rPr>
            </w:pPr>
            <w:r w:rsidRPr="00230801">
              <w:rPr>
                <w:color w:val="000000"/>
                <w:sz w:val="16"/>
                <w:szCs w:val="16"/>
                <w:lang w:eastAsia="en-NZ"/>
              </w:rPr>
              <w:t>50.2</w:t>
            </w:r>
          </w:p>
        </w:tc>
        <w:tc>
          <w:tcPr>
            <w:tcW w:w="1055" w:type="dxa"/>
            <w:shd w:val="clear" w:color="auto" w:fill="auto"/>
            <w:vAlign w:val="center"/>
          </w:tcPr>
          <w:p w14:paraId="57573CFF" w14:textId="77777777" w:rsidR="00D9465C" w:rsidRPr="00230801" w:rsidRDefault="00D9465C" w:rsidP="00DD0F28">
            <w:pPr>
              <w:jc w:val="right"/>
              <w:rPr>
                <w:color w:val="000000"/>
                <w:sz w:val="16"/>
                <w:szCs w:val="16"/>
                <w:lang w:eastAsia="en-NZ"/>
              </w:rPr>
            </w:pPr>
            <w:r w:rsidRPr="00230801">
              <w:rPr>
                <w:color w:val="000000"/>
                <w:sz w:val="16"/>
                <w:szCs w:val="16"/>
                <w:lang w:eastAsia="en-NZ"/>
              </w:rPr>
              <w:t>0.19</w:t>
            </w:r>
          </w:p>
        </w:tc>
        <w:tc>
          <w:tcPr>
            <w:tcW w:w="1275" w:type="dxa"/>
            <w:shd w:val="clear" w:color="auto" w:fill="auto"/>
            <w:vAlign w:val="center"/>
          </w:tcPr>
          <w:p w14:paraId="48CBE40B" w14:textId="77777777" w:rsidR="00D9465C" w:rsidRPr="00230801" w:rsidRDefault="00D9465C" w:rsidP="00DD0F28">
            <w:pPr>
              <w:jc w:val="right"/>
              <w:rPr>
                <w:color w:val="000000"/>
                <w:sz w:val="16"/>
                <w:szCs w:val="16"/>
                <w:lang w:eastAsia="en-NZ"/>
              </w:rPr>
            </w:pPr>
            <w:r w:rsidRPr="00230801">
              <w:rPr>
                <w:color w:val="000000"/>
                <w:sz w:val="16"/>
                <w:szCs w:val="16"/>
                <w:lang w:eastAsia="en-NZ"/>
              </w:rPr>
              <w:t>(0.04, 0.86)</w:t>
            </w:r>
          </w:p>
        </w:tc>
        <w:tc>
          <w:tcPr>
            <w:tcW w:w="1020" w:type="dxa"/>
            <w:shd w:val="clear" w:color="auto" w:fill="auto"/>
            <w:vAlign w:val="center"/>
          </w:tcPr>
          <w:p w14:paraId="50F858EE" w14:textId="77777777" w:rsidR="00D9465C" w:rsidRPr="00230801" w:rsidRDefault="00D9465C" w:rsidP="00DD0F28">
            <w:pPr>
              <w:jc w:val="right"/>
              <w:rPr>
                <w:color w:val="000000"/>
                <w:sz w:val="16"/>
                <w:szCs w:val="16"/>
                <w:lang w:eastAsia="en-NZ"/>
              </w:rPr>
            </w:pPr>
            <w:r w:rsidRPr="00230801">
              <w:rPr>
                <w:color w:val="000000"/>
                <w:sz w:val="16"/>
                <w:szCs w:val="16"/>
                <w:lang w:eastAsia="en-NZ"/>
              </w:rPr>
              <w:t>0.03</w:t>
            </w:r>
          </w:p>
        </w:tc>
      </w:tr>
      <w:tr w:rsidR="00D9465C" w:rsidRPr="003F15C0" w14:paraId="6C536877" w14:textId="77777777" w:rsidTr="00DD0F28">
        <w:tc>
          <w:tcPr>
            <w:tcW w:w="3119" w:type="dxa"/>
            <w:vAlign w:val="bottom"/>
          </w:tcPr>
          <w:p w14:paraId="44117E76" w14:textId="77777777" w:rsidR="00D9465C" w:rsidRPr="003F15C0" w:rsidRDefault="00D9465C" w:rsidP="00DD0F28">
            <w:pPr>
              <w:spacing w:before="20"/>
              <w:jc w:val="both"/>
              <w:rPr>
                <w:b/>
                <w:sz w:val="16"/>
                <w:szCs w:val="16"/>
              </w:rPr>
            </w:pPr>
            <w:r>
              <w:rPr>
                <w:b/>
                <w:sz w:val="16"/>
                <w:szCs w:val="16"/>
              </w:rPr>
              <w:t>NZ</w:t>
            </w:r>
            <w:r w:rsidRPr="003F15C0">
              <w:rPr>
                <w:b/>
                <w:sz w:val="16"/>
                <w:szCs w:val="16"/>
              </w:rPr>
              <w:t xml:space="preserve"> internet gambling - annual</w:t>
            </w:r>
          </w:p>
        </w:tc>
        <w:tc>
          <w:tcPr>
            <w:tcW w:w="1048" w:type="dxa"/>
            <w:shd w:val="clear" w:color="auto" w:fill="auto"/>
            <w:vAlign w:val="center"/>
          </w:tcPr>
          <w:p w14:paraId="6E2D5C91" w14:textId="77777777" w:rsidR="00D9465C" w:rsidRPr="00637CF2" w:rsidRDefault="00D9465C" w:rsidP="00DD0F28">
            <w:pPr>
              <w:jc w:val="right"/>
              <w:rPr>
                <w:color w:val="000000"/>
                <w:sz w:val="16"/>
                <w:szCs w:val="16"/>
                <w:lang w:eastAsia="en-NZ"/>
              </w:rPr>
            </w:pPr>
          </w:p>
        </w:tc>
        <w:tc>
          <w:tcPr>
            <w:tcW w:w="995" w:type="dxa"/>
            <w:shd w:val="clear" w:color="auto" w:fill="auto"/>
            <w:vAlign w:val="center"/>
          </w:tcPr>
          <w:p w14:paraId="5D450F80" w14:textId="77777777" w:rsidR="00D9465C" w:rsidRPr="00637CF2" w:rsidRDefault="00D9465C" w:rsidP="00DD0F28">
            <w:pPr>
              <w:jc w:val="right"/>
              <w:rPr>
                <w:color w:val="000000"/>
                <w:sz w:val="16"/>
                <w:szCs w:val="16"/>
                <w:lang w:eastAsia="en-NZ"/>
              </w:rPr>
            </w:pPr>
          </w:p>
        </w:tc>
        <w:tc>
          <w:tcPr>
            <w:tcW w:w="1055" w:type="dxa"/>
            <w:shd w:val="clear" w:color="auto" w:fill="auto"/>
            <w:vAlign w:val="center"/>
          </w:tcPr>
          <w:p w14:paraId="3D707FD6"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1FE50285"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2F9E70A0" w14:textId="77777777" w:rsidR="00D9465C" w:rsidRPr="00637CF2" w:rsidRDefault="00D9465C" w:rsidP="00DD0F28">
            <w:pPr>
              <w:jc w:val="right"/>
              <w:rPr>
                <w:color w:val="000000"/>
                <w:sz w:val="16"/>
                <w:szCs w:val="16"/>
                <w:lang w:eastAsia="en-NZ"/>
              </w:rPr>
            </w:pPr>
          </w:p>
        </w:tc>
      </w:tr>
      <w:tr w:rsidR="00D9465C" w:rsidRPr="003F15C0" w14:paraId="39F095CC" w14:textId="77777777" w:rsidTr="00DD0F28">
        <w:tc>
          <w:tcPr>
            <w:tcW w:w="3119" w:type="dxa"/>
          </w:tcPr>
          <w:p w14:paraId="56DB7BDD"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3D2BB702" w14:textId="77777777" w:rsidR="00D9465C" w:rsidRPr="00230801" w:rsidRDefault="00D9465C" w:rsidP="00DD0F28">
            <w:pPr>
              <w:jc w:val="right"/>
              <w:rPr>
                <w:color w:val="000000"/>
                <w:sz w:val="16"/>
                <w:szCs w:val="16"/>
                <w:lang w:eastAsia="en-NZ"/>
              </w:rPr>
            </w:pPr>
            <w:r w:rsidRPr="00230801">
              <w:rPr>
                <w:color w:val="000000"/>
                <w:sz w:val="16"/>
                <w:szCs w:val="16"/>
                <w:lang w:eastAsia="en-NZ"/>
              </w:rPr>
              <w:t>29</w:t>
            </w:r>
          </w:p>
        </w:tc>
        <w:tc>
          <w:tcPr>
            <w:tcW w:w="995" w:type="dxa"/>
            <w:shd w:val="clear" w:color="auto" w:fill="auto"/>
            <w:vAlign w:val="center"/>
          </w:tcPr>
          <w:p w14:paraId="5118ACE1" w14:textId="77777777" w:rsidR="00D9465C" w:rsidRPr="00230801" w:rsidRDefault="00D9465C" w:rsidP="00DD0F28">
            <w:pPr>
              <w:jc w:val="right"/>
              <w:rPr>
                <w:color w:val="000000"/>
                <w:sz w:val="16"/>
                <w:szCs w:val="16"/>
                <w:lang w:eastAsia="en-NZ"/>
              </w:rPr>
            </w:pPr>
            <w:r w:rsidRPr="00230801">
              <w:rPr>
                <w:color w:val="000000"/>
                <w:sz w:val="16"/>
                <w:szCs w:val="16"/>
                <w:lang w:eastAsia="en-NZ"/>
              </w:rPr>
              <w:t>82.6</w:t>
            </w:r>
          </w:p>
        </w:tc>
        <w:tc>
          <w:tcPr>
            <w:tcW w:w="1055" w:type="dxa"/>
            <w:shd w:val="clear" w:color="auto" w:fill="auto"/>
            <w:vAlign w:val="center"/>
          </w:tcPr>
          <w:p w14:paraId="3AAD15D2" w14:textId="77777777" w:rsidR="00D9465C" w:rsidRPr="00230801" w:rsidRDefault="00D9465C" w:rsidP="00DD0F28">
            <w:pPr>
              <w:jc w:val="right"/>
              <w:rPr>
                <w:color w:val="000000"/>
                <w:sz w:val="16"/>
                <w:szCs w:val="16"/>
                <w:lang w:eastAsia="en-NZ"/>
              </w:rPr>
            </w:pPr>
            <w:r w:rsidRPr="00230801">
              <w:rPr>
                <w:color w:val="000000"/>
                <w:sz w:val="16"/>
                <w:szCs w:val="16"/>
                <w:lang w:eastAsia="en-NZ"/>
              </w:rPr>
              <w:t>1.00</w:t>
            </w:r>
          </w:p>
        </w:tc>
        <w:tc>
          <w:tcPr>
            <w:tcW w:w="1275" w:type="dxa"/>
            <w:shd w:val="clear" w:color="auto" w:fill="auto"/>
            <w:vAlign w:val="center"/>
          </w:tcPr>
          <w:p w14:paraId="1D2AEA37"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1267FA0E" w14:textId="77777777" w:rsidR="00D9465C" w:rsidRPr="00230801" w:rsidRDefault="00D9465C" w:rsidP="00DD0F28">
            <w:pPr>
              <w:jc w:val="right"/>
              <w:rPr>
                <w:color w:val="000000"/>
                <w:sz w:val="16"/>
                <w:szCs w:val="16"/>
                <w:lang w:eastAsia="en-NZ"/>
              </w:rPr>
            </w:pPr>
          </w:p>
        </w:tc>
      </w:tr>
      <w:tr w:rsidR="00D9465C" w:rsidRPr="003F15C0" w14:paraId="65719737" w14:textId="77777777" w:rsidTr="00DD0F28">
        <w:tc>
          <w:tcPr>
            <w:tcW w:w="3119" w:type="dxa"/>
          </w:tcPr>
          <w:p w14:paraId="5DAF7B1D"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shd w:val="clear" w:color="auto" w:fill="auto"/>
            <w:vAlign w:val="center"/>
          </w:tcPr>
          <w:p w14:paraId="3012F6BB" w14:textId="77777777" w:rsidR="00D9465C" w:rsidRPr="00230801" w:rsidRDefault="00D9465C" w:rsidP="00DD0F28">
            <w:pPr>
              <w:jc w:val="right"/>
              <w:rPr>
                <w:color w:val="000000"/>
                <w:sz w:val="16"/>
                <w:szCs w:val="16"/>
                <w:lang w:eastAsia="en-NZ"/>
              </w:rPr>
            </w:pPr>
            <w:r w:rsidRPr="00230801">
              <w:rPr>
                <w:color w:val="000000"/>
                <w:sz w:val="16"/>
                <w:szCs w:val="16"/>
                <w:lang w:eastAsia="en-NZ"/>
              </w:rPr>
              <w:t>5</w:t>
            </w:r>
          </w:p>
        </w:tc>
        <w:tc>
          <w:tcPr>
            <w:tcW w:w="995" w:type="dxa"/>
            <w:shd w:val="clear" w:color="auto" w:fill="auto"/>
            <w:vAlign w:val="center"/>
          </w:tcPr>
          <w:p w14:paraId="62902CB0" w14:textId="77777777" w:rsidR="00D9465C" w:rsidRPr="00230801" w:rsidRDefault="00D9465C" w:rsidP="00DD0F28">
            <w:pPr>
              <w:jc w:val="right"/>
              <w:rPr>
                <w:color w:val="000000"/>
                <w:sz w:val="16"/>
                <w:szCs w:val="16"/>
                <w:lang w:eastAsia="en-NZ"/>
              </w:rPr>
            </w:pPr>
            <w:r w:rsidRPr="00230801">
              <w:rPr>
                <w:color w:val="000000"/>
                <w:sz w:val="16"/>
                <w:szCs w:val="16"/>
                <w:lang w:eastAsia="en-NZ"/>
              </w:rPr>
              <w:t>40.5</w:t>
            </w:r>
          </w:p>
        </w:tc>
        <w:tc>
          <w:tcPr>
            <w:tcW w:w="1055" w:type="dxa"/>
            <w:shd w:val="clear" w:color="auto" w:fill="auto"/>
            <w:vAlign w:val="center"/>
          </w:tcPr>
          <w:p w14:paraId="500F4416" w14:textId="77777777" w:rsidR="00D9465C" w:rsidRPr="00230801" w:rsidRDefault="00D9465C" w:rsidP="00DD0F28">
            <w:pPr>
              <w:jc w:val="right"/>
              <w:rPr>
                <w:color w:val="000000"/>
                <w:sz w:val="16"/>
                <w:szCs w:val="16"/>
                <w:lang w:eastAsia="en-NZ"/>
              </w:rPr>
            </w:pPr>
            <w:r w:rsidRPr="00230801">
              <w:rPr>
                <w:color w:val="000000"/>
                <w:sz w:val="16"/>
                <w:szCs w:val="16"/>
                <w:lang w:eastAsia="en-NZ"/>
              </w:rPr>
              <w:t>0.14</w:t>
            </w:r>
          </w:p>
        </w:tc>
        <w:tc>
          <w:tcPr>
            <w:tcW w:w="1275" w:type="dxa"/>
            <w:shd w:val="clear" w:color="auto" w:fill="auto"/>
            <w:vAlign w:val="center"/>
          </w:tcPr>
          <w:p w14:paraId="74B3EC43" w14:textId="77777777" w:rsidR="00D9465C" w:rsidRPr="00230801" w:rsidRDefault="00D9465C" w:rsidP="00DD0F28">
            <w:pPr>
              <w:jc w:val="right"/>
              <w:rPr>
                <w:color w:val="000000"/>
                <w:sz w:val="16"/>
                <w:szCs w:val="16"/>
                <w:lang w:eastAsia="en-NZ"/>
              </w:rPr>
            </w:pPr>
            <w:r w:rsidRPr="00230801">
              <w:rPr>
                <w:color w:val="000000"/>
                <w:sz w:val="16"/>
                <w:szCs w:val="16"/>
                <w:lang w:eastAsia="en-NZ"/>
              </w:rPr>
              <w:t>(0.03, 0.75)</w:t>
            </w:r>
          </w:p>
        </w:tc>
        <w:tc>
          <w:tcPr>
            <w:tcW w:w="1020" w:type="dxa"/>
            <w:shd w:val="clear" w:color="auto" w:fill="auto"/>
            <w:vAlign w:val="center"/>
          </w:tcPr>
          <w:p w14:paraId="357BB23D" w14:textId="77777777" w:rsidR="00D9465C" w:rsidRPr="00230801" w:rsidRDefault="00D9465C" w:rsidP="00DD0F28">
            <w:pPr>
              <w:jc w:val="right"/>
              <w:rPr>
                <w:color w:val="000000"/>
                <w:sz w:val="16"/>
                <w:szCs w:val="16"/>
                <w:lang w:eastAsia="en-NZ"/>
              </w:rPr>
            </w:pPr>
            <w:r w:rsidRPr="00230801">
              <w:rPr>
                <w:color w:val="000000"/>
                <w:sz w:val="16"/>
                <w:szCs w:val="16"/>
                <w:lang w:eastAsia="en-NZ"/>
              </w:rPr>
              <w:t>0.02</w:t>
            </w:r>
          </w:p>
        </w:tc>
      </w:tr>
      <w:tr w:rsidR="00D9465C" w:rsidRPr="003F15C0" w14:paraId="1163A6A2" w14:textId="77777777" w:rsidTr="00DD0F28">
        <w:tc>
          <w:tcPr>
            <w:tcW w:w="3119" w:type="dxa"/>
            <w:vAlign w:val="bottom"/>
          </w:tcPr>
          <w:p w14:paraId="51C2F6A4" w14:textId="77777777" w:rsidR="00D9465C" w:rsidRPr="003F15C0" w:rsidRDefault="00D9465C" w:rsidP="00DD0F28">
            <w:pPr>
              <w:spacing w:before="20"/>
              <w:jc w:val="both"/>
              <w:rPr>
                <w:b/>
                <w:sz w:val="16"/>
                <w:szCs w:val="16"/>
              </w:rPr>
            </w:pPr>
            <w:r w:rsidRPr="003F15C0">
              <w:rPr>
                <w:b/>
                <w:sz w:val="16"/>
                <w:szCs w:val="16"/>
              </w:rPr>
              <w:t>Bets with friends/workmates - monthly</w:t>
            </w:r>
          </w:p>
        </w:tc>
        <w:tc>
          <w:tcPr>
            <w:tcW w:w="1048" w:type="dxa"/>
            <w:shd w:val="clear" w:color="auto" w:fill="auto"/>
          </w:tcPr>
          <w:p w14:paraId="3F7CCD5E" w14:textId="77777777" w:rsidR="00D9465C" w:rsidRPr="00230801" w:rsidRDefault="00D9465C" w:rsidP="00DD0F28">
            <w:pPr>
              <w:jc w:val="right"/>
              <w:rPr>
                <w:color w:val="000000"/>
                <w:sz w:val="16"/>
                <w:szCs w:val="16"/>
                <w:lang w:eastAsia="en-NZ"/>
              </w:rPr>
            </w:pPr>
          </w:p>
        </w:tc>
        <w:tc>
          <w:tcPr>
            <w:tcW w:w="995" w:type="dxa"/>
            <w:shd w:val="clear" w:color="auto" w:fill="auto"/>
            <w:vAlign w:val="center"/>
          </w:tcPr>
          <w:p w14:paraId="31DF562F" w14:textId="77777777" w:rsidR="00D9465C" w:rsidRPr="00230801" w:rsidRDefault="00D9465C" w:rsidP="00DD0F28">
            <w:pPr>
              <w:jc w:val="right"/>
              <w:rPr>
                <w:color w:val="000000"/>
                <w:sz w:val="16"/>
                <w:szCs w:val="16"/>
                <w:lang w:eastAsia="en-NZ"/>
              </w:rPr>
            </w:pPr>
          </w:p>
        </w:tc>
        <w:tc>
          <w:tcPr>
            <w:tcW w:w="1055" w:type="dxa"/>
            <w:shd w:val="clear" w:color="auto" w:fill="auto"/>
            <w:vAlign w:val="center"/>
          </w:tcPr>
          <w:p w14:paraId="5FFA040B" w14:textId="77777777" w:rsidR="00D9465C" w:rsidRPr="003F15C0" w:rsidRDefault="00D9465C" w:rsidP="00DD0F28">
            <w:pPr>
              <w:jc w:val="right"/>
              <w:rPr>
                <w:color w:val="000000"/>
                <w:sz w:val="16"/>
                <w:szCs w:val="16"/>
                <w:lang w:eastAsia="en-NZ"/>
              </w:rPr>
            </w:pPr>
          </w:p>
        </w:tc>
        <w:tc>
          <w:tcPr>
            <w:tcW w:w="1275" w:type="dxa"/>
            <w:shd w:val="clear" w:color="auto" w:fill="auto"/>
            <w:vAlign w:val="center"/>
          </w:tcPr>
          <w:p w14:paraId="1579F1F7" w14:textId="77777777" w:rsidR="00D9465C" w:rsidRPr="003F15C0" w:rsidRDefault="00D9465C" w:rsidP="00DD0F28">
            <w:pPr>
              <w:jc w:val="right"/>
              <w:rPr>
                <w:color w:val="000000"/>
                <w:sz w:val="16"/>
                <w:szCs w:val="16"/>
                <w:lang w:eastAsia="en-NZ"/>
              </w:rPr>
            </w:pPr>
          </w:p>
        </w:tc>
        <w:tc>
          <w:tcPr>
            <w:tcW w:w="1020" w:type="dxa"/>
            <w:shd w:val="clear" w:color="auto" w:fill="auto"/>
            <w:vAlign w:val="center"/>
          </w:tcPr>
          <w:p w14:paraId="02444DA7" w14:textId="77777777" w:rsidR="00D9465C" w:rsidRPr="003F15C0" w:rsidRDefault="00D9465C" w:rsidP="00DD0F28">
            <w:pPr>
              <w:jc w:val="right"/>
              <w:rPr>
                <w:color w:val="000000"/>
                <w:sz w:val="16"/>
                <w:szCs w:val="16"/>
                <w:lang w:eastAsia="en-NZ"/>
              </w:rPr>
            </w:pPr>
          </w:p>
        </w:tc>
      </w:tr>
      <w:tr w:rsidR="00D9465C" w:rsidRPr="003F15C0" w14:paraId="664EB88F" w14:textId="77777777" w:rsidTr="00DD0F28">
        <w:tc>
          <w:tcPr>
            <w:tcW w:w="3119" w:type="dxa"/>
          </w:tcPr>
          <w:p w14:paraId="36FC59B7"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0A0A8931" w14:textId="77777777" w:rsidR="00D9465C" w:rsidRPr="00230801" w:rsidRDefault="00D9465C" w:rsidP="00DD0F28">
            <w:pPr>
              <w:jc w:val="right"/>
              <w:rPr>
                <w:color w:val="000000"/>
                <w:sz w:val="16"/>
                <w:szCs w:val="16"/>
                <w:lang w:eastAsia="en-NZ"/>
              </w:rPr>
            </w:pPr>
            <w:r w:rsidRPr="00230801">
              <w:rPr>
                <w:color w:val="000000"/>
                <w:sz w:val="16"/>
                <w:szCs w:val="16"/>
                <w:lang w:eastAsia="en-NZ"/>
              </w:rPr>
              <w:t>31</w:t>
            </w:r>
          </w:p>
        </w:tc>
        <w:tc>
          <w:tcPr>
            <w:tcW w:w="995" w:type="dxa"/>
            <w:shd w:val="clear" w:color="auto" w:fill="auto"/>
            <w:vAlign w:val="center"/>
          </w:tcPr>
          <w:p w14:paraId="513DC9C2" w14:textId="77777777" w:rsidR="00D9465C" w:rsidRPr="00230801" w:rsidRDefault="00D9465C" w:rsidP="00DD0F28">
            <w:pPr>
              <w:jc w:val="right"/>
              <w:rPr>
                <w:color w:val="000000"/>
                <w:sz w:val="16"/>
                <w:szCs w:val="16"/>
                <w:lang w:eastAsia="en-NZ"/>
              </w:rPr>
            </w:pPr>
            <w:r w:rsidRPr="00230801">
              <w:rPr>
                <w:color w:val="000000"/>
                <w:sz w:val="16"/>
                <w:szCs w:val="16"/>
                <w:lang w:eastAsia="en-NZ"/>
              </w:rPr>
              <w:t>81.3</w:t>
            </w:r>
          </w:p>
        </w:tc>
        <w:tc>
          <w:tcPr>
            <w:tcW w:w="1055" w:type="dxa"/>
            <w:shd w:val="clear" w:color="auto" w:fill="auto"/>
            <w:vAlign w:val="center"/>
          </w:tcPr>
          <w:p w14:paraId="4A71F0B7"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102C8323"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16AF8359" w14:textId="77777777" w:rsidR="00D9465C" w:rsidRPr="00637CF2" w:rsidRDefault="00D9465C" w:rsidP="00DD0F28">
            <w:pPr>
              <w:jc w:val="right"/>
              <w:rPr>
                <w:color w:val="000000"/>
                <w:sz w:val="16"/>
                <w:szCs w:val="16"/>
                <w:lang w:eastAsia="en-NZ"/>
              </w:rPr>
            </w:pPr>
          </w:p>
        </w:tc>
      </w:tr>
      <w:tr w:rsidR="00D9465C" w:rsidRPr="003F15C0" w14:paraId="102E0EC0" w14:textId="77777777" w:rsidTr="00DD0F28">
        <w:tc>
          <w:tcPr>
            <w:tcW w:w="3119" w:type="dxa"/>
          </w:tcPr>
          <w:p w14:paraId="750B2DDF"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shd w:val="clear" w:color="auto" w:fill="auto"/>
            <w:vAlign w:val="center"/>
          </w:tcPr>
          <w:p w14:paraId="48EBC1BE" w14:textId="77777777" w:rsidR="00D9465C" w:rsidRPr="00230801" w:rsidRDefault="00D9465C" w:rsidP="00DD0F28">
            <w:pPr>
              <w:jc w:val="right"/>
              <w:rPr>
                <w:color w:val="000000"/>
                <w:sz w:val="16"/>
                <w:szCs w:val="16"/>
                <w:lang w:eastAsia="en-NZ"/>
              </w:rPr>
            </w:pPr>
            <w:r w:rsidRPr="00230801">
              <w:rPr>
                <w:color w:val="000000"/>
                <w:sz w:val="16"/>
                <w:szCs w:val="16"/>
                <w:lang w:eastAsia="en-NZ"/>
              </w:rPr>
              <w:t>2</w:t>
            </w:r>
          </w:p>
        </w:tc>
        <w:tc>
          <w:tcPr>
            <w:tcW w:w="995" w:type="dxa"/>
            <w:shd w:val="clear" w:color="auto" w:fill="auto"/>
            <w:vAlign w:val="center"/>
          </w:tcPr>
          <w:p w14:paraId="17746813" w14:textId="77777777" w:rsidR="00D9465C" w:rsidRPr="00230801" w:rsidRDefault="00D9465C" w:rsidP="00DD0F28">
            <w:pPr>
              <w:jc w:val="right"/>
              <w:rPr>
                <w:color w:val="000000"/>
                <w:sz w:val="16"/>
                <w:szCs w:val="16"/>
                <w:lang w:eastAsia="en-NZ"/>
              </w:rPr>
            </w:pPr>
            <w:r w:rsidRPr="00230801">
              <w:rPr>
                <w:color w:val="000000"/>
                <w:sz w:val="16"/>
                <w:szCs w:val="16"/>
                <w:lang w:eastAsia="en-NZ"/>
              </w:rPr>
              <w:t>0.0</w:t>
            </w:r>
          </w:p>
        </w:tc>
        <w:tc>
          <w:tcPr>
            <w:tcW w:w="1055" w:type="dxa"/>
            <w:shd w:val="clear" w:color="auto" w:fill="auto"/>
            <w:vAlign w:val="center"/>
          </w:tcPr>
          <w:p w14:paraId="67C95068"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311E85C4"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7AFE7DD3" w14:textId="77777777" w:rsidR="00D9465C" w:rsidRPr="00637CF2" w:rsidRDefault="00D9465C" w:rsidP="00DD0F28">
            <w:pPr>
              <w:jc w:val="right"/>
              <w:rPr>
                <w:color w:val="000000"/>
                <w:sz w:val="16"/>
                <w:szCs w:val="16"/>
                <w:lang w:eastAsia="en-NZ"/>
              </w:rPr>
            </w:pPr>
          </w:p>
        </w:tc>
      </w:tr>
      <w:tr w:rsidR="00D9465C" w:rsidRPr="003F15C0" w14:paraId="575A4C73" w14:textId="77777777" w:rsidTr="00DD0F28">
        <w:tc>
          <w:tcPr>
            <w:tcW w:w="3119" w:type="dxa"/>
            <w:vAlign w:val="bottom"/>
          </w:tcPr>
          <w:p w14:paraId="51F8A268" w14:textId="77777777" w:rsidR="00D9465C" w:rsidRPr="003F15C0" w:rsidRDefault="00D9465C" w:rsidP="00DD0F28">
            <w:pPr>
              <w:spacing w:before="20"/>
              <w:jc w:val="both"/>
              <w:rPr>
                <w:b/>
                <w:sz w:val="16"/>
                <w:szCs w:val="16"/>
              </w:rPr>
            </w:pPr>
            <w:r w:rsidRPr="003F15C0">
              <w:rPr>
                <w:b/>
                <w:sz w:val="16"/>
                <w:szCs w:val="16"/>
              </w:rPr>
              <w:t>Text game or competition - monthly</w:t>
            </w:r>
          </w:p>
        </w:tc>
        <w:tc>
          <w:tcPr>
            <w:tcW w:w="1048" w:type="dxa"/>
            <w:shd w:val="clear" w:color="auto" w:fill="auto"/>
            <w:vAlign w:val="center"/>
          </w:tcPr>
          <w:p w14:paraId="4A7B54A2" w14:textId="77777777" w:rsidR="00D9465C" w:rsidRPr="00637CF2" w:rsidRDefault="00D9465C" w:rsidP="00DD0F28">
            <w:pPr>
              <w:jc w:val="right"/>
              <w:rPr>
                <w:color w:val="000000"/>
                <w:sz w:val="16"/>
                <w:szCs w:val="16"/>
                <w:lang w:eastAsia="en-NZ"/>
              </w:rPr>
            </w:pPr>
          </w:p>
        </w:tc>
        <w:tc>
          <w:tcPr>
            <w:tcW w:w="995" w:type="dxa"/>
            <w:shd w:val="clear" w:color="auto" w:fill="auto"/>
            <w:vAlign w:val="center"/>
          </w:tcPr>
          <w:p w14:paraId="786AB76B" w14:textId="77777777" w:rsidR="00D9465C" w:rsidRPr="00637CF2" w:rsidRDefault="00D9465C" w:rsidP="00DD0F28">
            <w:pPr>
              <w:jc w:val="right"/>
              <w:rPr>
                <w:color w:val="000000"/>
                <w:sz w:val="16"/>
                <w:szCs w:val="16"/>
                <w:lang w:eastAsia="en-NZ"/>
              </w:rPr>
            </w:pPr>
          </w:p>
        </w:tc>
        <w:tc>
          <w:tcPr>
            <w:tcW w:w="1055" w:type="dxa"/>
            <w:shd w:val="clear" w:color="auto" w:fill="auto"/>
            <w:vAlign w:val="center"/>
          </w:tcPr>
          <w:p w14:paraId="310B8BA4"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22F8F184"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43560DC0" w14:textId="77777777" w:rsidR="00D9465C" w:rsidRPr="00637CF2" w:rsidRDefault="00D9465C" w:rsidP="00DD0F28">
            <w:pPr>
              <w:jc w:val="right"/>
              <w:rPr>
                <w:color w:val="000000"/>
                <w:sz w:val="16"/>
                <w:szCs w:val="16"/>
                <w:lang w:eastAsia="en-NZ"/>
              </w:rPr>
            </w:pPr>
          </w:p>
        </w:tc>
      </w:tr>
      <w:tr w:rsidR="00D9465C" w:rsidRPr="003F15C0" w14:paraId="60449D40" w14:textId="77777777" w:rsidTr="00DD0F28">
        <w:tc>
          <w:tcPr>
            <w:tcW w:w="3119" w:type="dxa"/>
          </w:tcPr>
          <w:p w14:paraId="3E33BF7B"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62459425" w14:textId="77777777" w:rsidR="00D9465C" w:rsidRPr="00230801" w:rsidRDefault="00D9465C" w:rsidP="00DD0F28">
            <w:pPr>
              <w:jc w:val="right"/>
              <w:rPr>
                <w:color w:val="000000"/>
                <w:sz w:val="16"/>
                <w:szCs w:val="16"/>
                <w:lang w:eastAsia="en-NZ"/>
              </w:rPr>
            </w:pPr>
            <w:r w:rsidRPr="00230801">
              <w:rPr>
                <w:color w:val="000000"/>
                <w:sz w:val="16"/>
                <w:szCs w:val="16"/>
                <w:lang w:eastAsia="en-NZ"/>
              </w:rPr>
              <w:t>32</w:t>
            </w:r>
          </w:p>
        </w:tc>
        <w:tc>
          <w:tcPr>
            <w:tcW w:w="995" w:type="dxa"/>
            <w:shd w:val="clear" w:color="auto" w:fill="auto"/>
            <w:vAlign w:val="center"/>
          </w:tcPr>
          <w:p w14:paraId="22512DB4" w14:textId="77777777" w:rsidR="00D9465C" w:rsidRPr="00230801" w:rsidRDefault="00D9465C" w:rsidP="00DD0F28">
            <w:pPr>
              <w:jc w:val="right"/>
              <w:rPr>
                <w:color w:val="000000"/>
                <w:sz w:val="16"/>
                <w:szCs w:val="16"/>
                <w:lang w:eastAsia="en-NZ"/>
              </w:rPr>
            </w:pPr>
            <w:r w:rsidRPr="00230801">
              <w:rPr>
                <w:color w:val="000000"/>
                <w:sz w:val="16"/>
                <w:szCs w:val="16"/>
                <w:lang w:eastAsia="en-NZ"/>
              </w:rPr>
              <w:t>78.0</w:t>
            </w:r>
          </w:p>
        </w:tc>
        <w:tc>
          <w:tcPr>
            <w:tcW w:w="1055" w:type="dxa"/>
            <w:shd w:val="clear" w:color="auto" w:fill="auto"/>
            <w:vAlign w:val="center"/>
          </w:tcPr>
          <w:p w14:paraId="1F531933" w14:textId="77777777" w:rsidR="00D9465C" w:rsidRPr="00230801" w:rsidRDefault="00D9465C" w:rsidP="00DD0F28">
            <w:pPr>
              <w:jc w:val="right"/>
              <w:rPr>
                <w:color w:val="000000"/>
                <w:sz w:val="16"/>
                <w:szCs w:val="16"/>
                <w:lang w:eastAsia="en-NZ"/>
              </w:rPr>
            </w:pPr>
            <w:r w:rsidRPr="00230801">
              <w:rPr>
                <w:color w:val="000000"/>
                <w:sz w:val="16"/>
                <w:szCs w:val="16"/>
                <w:lang w:eastAsia="en-NZ"/>
              </w:rPr>
              <w:t>1.00</w:t>
            </w:r>
          </w:p>
        </w:tc>
        <w:tc>
          <w:tcPr>
            <w:tcW w:w="1275" w:type="dxa"/>
            <w:shd w:val="clear" w:color="auto" w:fill="auto"/>
            <w:vAlign w:val="center"/>
          </w:tcPr>
          <w:p w14:paraId="51FA85F4"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12F1C5F9" w14:textId="77777777" w:rsidR="00D9465C" w:rsidRPr="00230801" w:rsidRDefault="00D9465C" w:rsidP="00DD0F28">
            <w:pPr>
              <w:jc w:val="right"/>
              <w:rPr>
                <w:color w:val="000000"/>
                <w:sz w:val="16"/>
                <w:szCs w:val="16"/>
                <w:lang w:eastAsia="en-NZ"/>
              </w:rPr>
            </w:pPr>
          </w:p>
        </w:tc>
      </w:tr>
      <w:tr w:rsidR="00D9465C" w:rsidRPr="003F15C0" w14:paraId="33D2207A" w14:textId="77777777" w:rsidTr="00DD0F28">
        <w:tc>
          <w:tcPr>
            <w:tcW w:w="3119" w:type="dxa"/>
          </w:tcPr>
          <w:p w14:paraId="43517824"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shd w:val="clear" w:color="auto" w:fill="auto"/>
            <w:vAlign w:val="center"/>
          </w:tcPr>
          <w:p w14:paraId="277AD964" w14:textId="77777777" w:rsidR="00D9465C" w:rsidRPr="00230801" w:rsidRDefault="00D9465C" w:rsidP="00DD0F28">
            <w:pPr>
              <w:jc w:val="right"/>
              <w:rPr>
                <w:color w:val="000000"/>
                <w:sz w:val="16"/>
                <w:szCs w:val="16"/>
                <w:lang w:eastAsia="en-NZ"/>
              </w:rPr>
            </w:pPr>
            <w:r w:rsidRPr="00230801">
              <w:rPr>
                <w:color w:val="000000"/>
                <w:sz w:val="16"/>
                <w:szCs w:val="16"/>
                <w:lang w:eastAsia="en-NZ"/>
              </w:rPr>
              <w:t>1</w:t>
            </w:r>
          </w:p>
        </w:tc>
        <w:tc>
          <w:tcPr>
            <w:tcW w:w="995" w:type="dxa"/>
            <w:shd w:val="clear" w:color="auto" w:fill="auto"/>
            <w:vAlign w:val="center"/>
          </w:tcPr>
          <w:p w14:paraId="2EF2A2C7" w14:textId="77777777" w:rsidR="00D9465C" w:rsidRPr="00230801" w:rsidRDefault="00D9465C" w:rsidP="00DD0F28">
            <w:pPr>
              <w:jc w:val="right"/>
              <w:rPr>
                <w:color w:val="000000"/>
                <w:sz w:val="16"/>
                <w:szCs w:val="16"/>
                <w:lang w:eastAsia="en-NZ"/>
              </w:rPr>
            </w:pPr>
            <w:r w:rsidRPr="00230801">
              <w:rPr>
                <w:color w:val="000000"/>
                <w:sz w:val="16"/>
                <w:szCs w:val="16"/>
                <w:lang w:eastAsia="en-NZ"/>
              </w:rPr>
              <w:t>21.3</w:t>
            </w:r>
          </w:p>
        </w:tc>
        <w:tc>
          <w:tcPr>
            <w:tcW w:w="1055" w:type="dxa"/>
            <w:shd w:val="clear" w:color="auto" w:fill="auto"/>
            <w:vAlign w:val="center"/>
          </w:tcPr>
          <w:p w14:paraId="2D5B70C7" w14:textId="77777777" w:rsidR="00D9465C" w:rsidRPr="00230801" w:rsidRDefault="00D9465C" w:rsidP="00DD0F28">
            <w:pPr>
              <w:jc w:val="right"/>
              <w:rPr>
                <w:color w:val="000000"/>
                <w:sz w:val="16"/>
                <w:szCs w:val="16"/>
                <w:lang w:eastAsia="en-NZ"/>
              </w:rPr>
            </w:pPr>
            <w:r w:rsidRPr="00230801">
              <w:rPr>
                <w:color w:val="000000"/>
                <w:sz w:val="16"/>
                <w:szCs w:val="16"/>
                <w:lang w:eastAsia="en-NZ"/>
              </w:rPr>
              <w:t>0.08</w:t>
            </w:r>
          </w:p>
        </w:tc>
        <w:tc>
          <w:tcPr>
            <w:tcW w:w="1275" w:type="dxa"/>
            <w:shd w:val="clear" w:color="auto" w:fill="auto"/>
            <w:vAlign w:val="center"/>
          </w:tcPr>
          <w:p w14:paraId="28025CE2" w14:textId="77777777" w:rsidR="00D9465C" w:rsidRPr="00230801" w:rsidRDefault="00D9465C" w:rsidP="00DD0F28">
            <w:pPr>
              <w:jc w:val="right"/>
              <w:rPr>
                <w:color w:val="000000"/>
                <w:sz w:val="16"/>
                <w:szCs w:val="16"/>
                <w:lang w:eastAsia="en-NZ"/>
              </w:rPr>
            </w:pPr>
            <w:r w:rsidRPr="00230801">
              <w:rPr>
                <w:color w:val="000000"/>
                <w:sz w:val="16"/>
                <w:szCs w:val="16"/>
                <w:lang w:eastAsia="en-NZ"/>
              </w:rPr>
              <w:t>(0.01, 0.63)</w:t>
            </w:r>
          </w:p>
        </w:tc>
        <w:tc>
          <w:tcPr>
            <w:tcW w:w="1020" w:type="dxa"/>
            <w:shd w:val="clear" w:color="auto" w:fill="auto"/>
            <w:vAlign w:val="center"/>
          </w:tcPr>
          <w:p w14:paraId="7DB214BA" w14:textId="77777777" w:rsidR="00D9465C" w:rsidRPr="00230801" w:rsidRDefault="00D9465C" w:rsidP="00DD0F28">
            <w:pPr>
              <w:jc w:val="right"/>
              <w:rPr>
                <w:color w:val="000000"/>
                <w:sz w:val="16"/>
                <w:szCs w:val="16"/>
                <w:lang w:eastAsia="en-NZ"/>
              </w:rPr>
            </w:pPr>
            <w:r w:rsidRPr="00230801">
              <w:rPr>
                <w:color w:val="000000"/>
                <w:sz w:val="16"/>
                <w:szCs w:val="16"/>
                <w:lang w:eastAsia="en-NZ"/>
              </w:rPr>
              <w:t>0.02</w:t>
            </w:r>
          </w:p>
        </w:tc>
      </w:tr>
      <w:tr w:rsidR="00D9465C" w:rsidRPr="003F15C0" w14:paraId="771CA2B0" w14:textId="77777777" w:rsidTr="00DD0F28">
        <w:tc>
          <w:tcPr>
            <w:tcW w:w="4167" w:type="dxa"/>
            <w:gridSpan w:val="2"/>
            <w:shd w:val="clear" w:color="auto" w:fill="auto"/>
            <w:vAlign w:val="center"/>
          </w:tcPr>
          <w:p w14:paraId="1F34BA5E" w14:textId="77777777" w:rsidR="00D9465C" w:rsidRPr="003F15C0" w:rsidRDefault="00D9465C" w:rsidP="00DD0F28">
            <w:pPr>
              <w:spacing w:before="20"/>
              <w:rPr>
                <w:b/>
                <w:bCs/>
                <w:color w:val="000000"/>
                <w:sz w:val="16"/>
                <w:szCs w:val="16"/>
              </w:rPr>
            </w:pPr>
            <w:r w:rsidRPr="003F15C0">
              <w:rPr>
                <w:b/>
                <w:sz w:val="16"/>
                <w:szCs w:val="16"/>
              </w:rPr>
              <w:t>Instant Kiwi/other scratch tickets - monthly</w:t>
            </w:r>
          </w:p>
        </w:tc>
        <w:tc>
          <w:tcPr>
            <w:tcW w:w="995" w:type="dxa"/>
            <w:shd w:val="clear" w:color="auto" w:fill="auto"/>
            <w:vAlign w:val="center"/>
          </w:tcPr>
          <w:p w14:paraId="44DE7E04" w14:textId="77777777" w:rsidR="00D9465C" w:rsidRPr="003F15C0" w:rsidRDefault="00D9465C" w:rsidP="00DD0F28">
            <w:pPr>
              <w:spacing w:before="20"/>
              <w:jc w:val="right"/>
              <w:rPr>
                <w:b/>
                <w:bCs/>
                <w:color w:val="000000"/>
                <w:sz w:val="16"/>
                <w:szCs w:val="16"/>
              </w:rPr>
            </w:pPr>
          </w:p>
        </w:tc>
        <w:tc>
          <w:tcPr>
            <w:tcW w:w="1055" w:type="dxa"/>
            <w:shd w:val="clear" w:color="auto" w:fill="auto"/>
            <w:vAlign w:val="center"/>
          </w:tcPr>
          <w:p w14:paraId="26953F70" w14:textId="77777777" w:rsidR="00D9465C" w:rsidRPr="003F15C0" w:rsidRDefault="00D9465C" w:rsidP="00DD0F28">
            <w:pPr>
              <w:spacing w:before="20"/>
              <w:jc w:val="right"/>
              <w:rPr>
                <w:color w:val="000000"/>
                <w:sz w:val="16"/>
                <w:szCs w:val="16"/>
              </w:rPr>
            </w:pPr>
          </w:p>
        </w:tc>
        <w:tc>
          <w:tcPr>
            <w:tcW w:w="1275" w:type="dxa"/>
            <w:shd w:val="clear" w:color="auto" w:fill="auto"/>
            <w:vAlign w:val="center"/>
          </w:tcPr>
          <w:p w14:paraId="46AF7950" w14:textId="77777777" w:rsidR="00D9465C" w:rsidRPr="003F15C0" w:rsidRDefault="00D9465C" w:rsidP="00DD0F28">
            <w:pPr>
              <w:spacing w:before="20"/>
              <w:jc w:val="right"/>
              <w:rPr>
                <w:color w:val="000000"/>
                <w:sz w:val="16"/>
                <w:szCs w:val="16"/>
              </w:rPr>
            </w:pPr>
          </w:p>
        </w:tc>
        <w:tc>
          <w:tcPr>
            <w:tcW w:w="1020" w:type="dxa"/>
            <w:shd w:val="clear" w:color="auto" w:fill="auto"/>
            <w:vAlign w:val="center"/>
          </w:tcPr>
          <w:p w14:paraId="54CDD2CB" w14:textId="77777777" w:rsidR="00D9465C" w:rsidRPr="003F15C0" w:rsidRDefault="00D9465C" w:rsidP="00DD0F28">
            <w:pPr>
              <w:spacing w:before="20"/>
              <w:jc w:val="right"/>
              <w:rPr>
                <w:color w:val="000000"/>
                <w:sz w:val="16"/>
                <w:szCs w:val="16"/>
              </w:rPr>
            </w:pPr>
          </w:p>
        </w:tc>
      </w:tr>
      <w:tr w:rsidR="00D9465C" w:rsidRPr="003F15C0" w14:paraId="4D9AC115" w14:textId="77777777" w:rsidTr="00DD0F28">
        <w:tc>
          <w:tcPr>
            <w:tcW w:w="3119" w:type="dxa"/>
          </w:tcPr>
          <w:p w14:paraId="209A3E30"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585081D7" w14:textId="77777777" w:rsidR="00D9465C" w:rsidRPr="00230801" w:rsidRDefault="00D9465C" w:rsidP="00DD0F28">
            <w:pPr>
              <w:jc w:val="right"/>
              <w:rPr>
                <w:color w:val="000000"/>
                <w:sz w:val="16"/>
                <w:szCs w:val="16"/>
                <w:lang w:eastAsia="en-NZ"/>
              </w:rPr>
            </w:pPr>
            <w:r w:rsidRPr="00230801">
              <w:rPr>
                <w:color w:val="000000"/>
                <w:sz w:val="16"/>
                <w:szCs w:val="16"/>
                <w:lang w:eastAsia="en-NZ"/>
              </w:rPr>
              <w:t>27</w:t>
            </w:r>
          </w:p>
        </w:tc>
        <w:tc>
          <w:tcPr>
            <w:tcW w:w="995" w:type="dxa"/>
            <w:shd w:val="clear" w:color="auto" w:fill="auto"/>
            <w:vAlign w:val="center"/>
          </w:tcPr>
          <w:p w14:paraId="2391FD1C" w14:textId="77777777" w:rsidR="00D9465C" w:rsidRPr="00230801" w:rsidRDefault="00D9465C" w:rsidP="00DD0F28">
            <w:pPr>
              <w:jc w:val="right"/>
              <w:rPr>
                <w:color w:val="000000"/>
                <w:sz w:val="16"/>
                <w:szCs w:val="16"/>
                <w:lang w:eastAsia="en-NZ"/>
              </w:rPr>
            </w:pPr>
            <w:r w:rsidRPr="00230801">
              <w:rPr>
                <w:color w:val="000000"/>
                <w:sz w:val="16"/>
                <w:szCs w:val="16"/>
                <w:lang w:eastAsia="en-NZ"/>
              </w:rPr>
              <w:t>86.2</w:t>
            </w:r>
          </w:p>
        </w:tc>
        <w:tc>
          <w:tcPr>
            <w:tcW w:w="1055" w:type="dxa"/>
            <w:shd w:val="clear" w:color="auto" w:fill="auto"/>
            <w:vAlign w:val="center"/>
          </w:tcPr>
          <w:p w14:paraId="32A7D325" w14:textId="77777777" w:rsidR="00D9465C" w:rsidRPr="00230801" w:rsidRDefault="00D9465C" w:rsidP="00DD0F28">
            <w:pPr>
              <w:jc w:val="right"/>
              <w:rPr>
                <w:color w:val="000000"/>
                <w:sz w:val="16"/>
                <w:szCs w:val="16"/>
                <w:lang w:eastAsia="en-NZ"/>
              </w:rPr>
            </w:pPr>
            <w:r w:rsidRPr="00230801">
              <w:rPr>
                <w:color w:val="000000"/>
                <w:sz w:val="16"/>
                <w:szCs w:val="16"/>
                <w:lang w:eastAsia="en-NZ"/>
              </w:rPr>
              <w:t>1.00</w:t>
            </w:r>
          </w:p>
        </w:tc>
        <w:tc>
          <w:tcPr>
            <w:tcW w:w="1275" w:type="dxa"/>
            <w:shd w:val="clear" w:color="auto" w:fill="auto"/>
            <w:vAlign w:val="center"/>
          </w:tcPr>
          <w:p w14:paraId="6B5C0037"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43812CA6" w14:textId="77777777" w:rsidR="00D9465C" w:rsidRPr="00230801" w:rsidRDefault="00D9465C" w:rsidP="00DD0F28">
            <w:pPr>
              <w:jc w:val="right"/>
              <w:rPr>
                <w:color w:val="000000"/>
                <w:sz w:val="16"/>
                <w:szCs w:val="16"/>
                <w:lang w:eastAsia="en-NZ"/>
              </w:rPr>
            </w:pPr>
          </w:p>
        </w:tc>
      </w:tr>
      <w:tr w:rsidR="00D9465C" w:rsidRPr="003F15C0" w14:paraId="39263283" w14:textId="77777777" w:rsidTr="00DD0F28">
        <w:tc>
          <w:tcPr>
            <w:tcW w:w="3119" w:type="dxa"/>
            <w:tcBorders>
              <w:bottom w:val="single" w:sz="4" w:space="0" w:color="auto"/>
            </w:tcBorders>
          </w:tcPr>
          <w:p w14:paraId="44EE283B"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tcBorders>
              <w:bottom w:val="single" w:sz="4" w:space="0" w:color="auto"/>
            </w:tcBorders>
            <w:shd w:val="clear" w:color="auto" w:fill="auto"/>
            <w:vAlign w:val="center"/>
          </w:tcPr>
          <w:p w14:paraId="7F8A44F5" w14:textId="77777777" w:rsidR="00D9465C" w:rsidRPr="00230801" w:rsidRDefault="00D9465C" w:rsidP="00DD0F28">
            <w:pPr>
              <w:jc w:val="right"/>
              <w:rPr>
                <w:color w:val="000000"/>
                <w:sz w:val="16"/>
                <w:szCs w:val="16"/>
                <w:lang w:eastAsia="en-NZ"/>
              </w:rPr>
            </w:pPr>
            <w:r w:rsidRPr="00230801">
              <w:rPr>
                <w:color w:val="000000"/>
                <w:sz w:val="16"/>
                <w:szCs w:val="16"/>
                <w:lang w:eastAsia="en-NZ"/>
              </w:rPr>
              <w:t>6</w:t>
            </w:r>
          </w:p>
        </w:tc>
        <w:tc>
          <w:tcPr>
            <w:tcW w:w="995" w:type="dxa"/>
            <w:tcBorders>
              <w:bottom w:val="single" w:sz="4" w:space="0" w:color="auto"/>
            </w:tcBorders>
            <w:shd w:val="clear" w:color="auto" w:fill="auto"/>
            <w:vAlign w:val="center"/>
          </w:tcPr>
          <w:p w14:paraId="76846FEC" w14:textId="77777777" w:rsidR="00D9465C" w:rsidRPr="00230801" w:rsidRDefault="00D9465C" w:rsidP="00DD0F28">
            <w:pPr>
              <w:jc w:val="right"/>
              <w:rPr>
                <w:color w:val="000000"/>
                <w:sz w:val="16"/>
                <w:szCs w:val="16"/>
                <w:lang w:eastAsia="en-NZ"/>
              </w:rPr>
            </w:pPr>
            <w:r w:rsidRPr="00230801">
              <w:rPr>
                <w:color w:val="000000"/>
                <w:sz w:val="16"/>
                <w:szCs w:val="16"/>
                <w:lang w:eastAsia="en-NZ"/>
              </w:rPr>
              <w:t>36.9</w:t>
            </w:r>
          </w:p>
        </w:tc>
        <w:tc>
          <w:tcPr>
            <w:tcW w:w="1055" w:type="dxa"/>
            <w:tcBorders>
              <w:bottom w:val="single" w:sz="4" w:space="0" w:color="auto"/>
            </w:tcBorders>
            <w:shd w:val="clear" w:color="auto" w:fill="auto"/>
            <w:vAlign w:val="center"/>
          </w:tcPr>
          <w:p w14:paraId="51C6B9ED" w14:textId="77777777" w:rsidR="00D9465C" w:rsidRPr="00230801" w:rsidRDefault="00D9465C" w:rsidP="00DD0F28">
            <w:pPr>
              <w:jc w:val="right"/>
              <w:rPr>
                <w:color w:val="000000"/>
                <w:sz w:val="16"/>
                <w:szCs w:val="16"/>
                <w:lang w:eastAsia="en-NZ"/>
              </w:rPr>
            </w:pPr>
            <w:r w:rsidRPr="00230801">
              <w:rPr>
                <w:color w:val="000000"/>
                <w:sz w:val="16"/>
                <w:szCs w:val="16"/>
                <w:lang w:eastAsia="en-NZ"/>
              </w:rPr>
              <w:t>0.09</w:t>
            </w:r>
          </w:p>
        </w:tc>
        <w:tc>
          <w:tcPr>
            <w:tcW w:w="1275" w:type="dxa"/>
            <w:tcBorders>
              <w:bottom w:val="single" w:sz="4" w:space="0" w:color="auto"/>
            </w:tcBorders>
            <w:shd w:val="clear" w:color="auto" w:fill="auto"/>
            <w:vAlign w:val="center"/>
          </w:tcPr>
          <w:p w14:paraId="4FD7A96A" w14:textId="77777777" w:rsidR="00D9465C" w:rsidRPr="00230801" w:rsidRDefault="00D9465C" w:rsidP="00DD0F28">
            <w:pPr>
              <w:jc w:val="right"/>
              <w:rPr>
                <w:color w:val="000000"/>
                <w:sz w:val="16"/>
                <w:szCs w:val="16"/>
                <w:lang w:eastAsia="en-NZ"/>
              </w:rPr>
            </w:pPr>
            <w:r w:rsidRPr="00230801">
              <w:rPr>
                <w:color w:val="000000"/>
                <w:sz w:val="16"/>
                <w:szCs w:val="16"/>
                <w:lang w:eastAsia="en-NZ"/>
              </w:rPr>
              <w:t>(0.02, 0.49)</w:t>
            </w:r>
          </w:p>
        </w:tc>
        <w:tc>
          <w:tcPr>
            <w:tcW w:w="1020" w:type="dxa"/>
            <w:tcBorders>
              <w:bottom w:val="single" w:sz="4" w:space="0" w:color="auto"/>
            </w:tcBorders>
            <w:shd w:val="clear" w:color="auto" w:fill="auto"/>
            <w:vAlign w:val="center"/>
          </w:tcPr>
          <w:p w14:paraId="1F8B2C10" w14:textId="77777777" w:rsidR="00D9465C" w:rsidRPr="00230801" w:rsidRDefault="00D9465C" w:rsidP="00DD0F28">
            <w:pPr>
              <w:jc w:val="right"/>
              <w:rPr>
                <w:color w:val="000000"/>
                <w:sz w:val="16"/>
                <w:szCs w:val="16"/>
                <w:lang w:eastAsia="en-NZ"/>
              </w:rPr>
            </w:pPr>
            <w:r w:rsidRPr="00230801">
              <w:rPr>
                <w:color w:val="000000"/>
                <w:sz w:val="16"/>
                <w:szCs w:val="16"/>
                <w:lang w:eastAsia="en-NZ"/>
              </w:rPr>
              <w:t>0.005</w:t>
            </w:r>
          </w:p>
        </w:tc>
      </w:tr>
      <w:tr w:rsidR="00D9465C" w:rsidRPr="003F15C0" w14:paraId="2383327D" w14:textId="77777777" w:rsidTr="00DD0F28">
        <w:tc>
          <w:tcPr>
            <w:tcW w:w="3119" w:type="dxa"/>
            <w:tcBorders>
              <w:top w:val="single" w:sz="4" w:space="0" w:color="auto"/>
            </w:tcBorders>
            <w:vAlign w:val="bottom"/>
          </w:tcPr>
          <w:p w14:paraId="096C971F" w14:textId="77777777" w:rsidR="00D9465C" w:rsidRPr="003F15C0" w:rsidRDefault="00D9465C" w:rsidP="00DD0F28">
            <w:pPr>
              <w:keepNext/>
              <w:spacing w:before="20"/>
              <w:jc w:val="both"/>
              <w:rPr>
                <w:b/>
                <w:sz w:val="16"/>
                <w:szCs w:val="16"/>
              </w:rPr>
            </w:pPr>
            <w:r w:rsidRPr="003F15C0">
              <w:rPr>
                <w:b/>
                <w:sz w:val="16"/>
                <w:szCs w:val="16"/>
              </w:rPr>
              <w:t>Horse/dog race betting - monthly</w:t>
            </w:r>
          </w:p>
        </w:tc>
        <w:tc>
          <w:tcPr>
            <w:tcW w:w="1048" w:type="dxa"/>
            <w:tcBorders>
              <w:top w:val="single" w:sz="4" w:space="0" w:color="auto"/>
            </w:tcBorders>
            <w:shd w:val="clear" w:color="auto" w:fill="auto"/>
          </w:tcPr>
          <w:p w14:paraId="25EE3756" w14:textId="77777777" w:rsidR="00D9465C" w:rsidRPr="003F15C0" w:rsidRDefault="00D9465C" w:rsidP="00DD0F28">
            <w:pPr>
              <w:keepNext/>
              <w:spacing w:before="20"/>
              <w:jc w:val="right"/>
              <w:rPr>
                <w:b/>
                <w:bCs/>
                <w:color w:val="000000"/>
                <w:sz w:val="16"/>
                <w:szCs w:val="16"/>
              </w:rPr>
            </w:pPr>
          </w:p>
        </w:tc>
        <w:tc>
          <w:tcPr>
            <w:tcW w:w="995" w:type="dxa"/>
            <w:tcBorders>
              <w:top w:val="single" w:sz="4" w:space="0" w:color="auto"/>
            </w:tcBorders>
            <w:shd w:val="clear" w:color="auto" w:fill="auto"/>
            <w:vAlign w:val="center"/>
          </w:tcPr>
          <w:p w14:paraId="3ECDA520" w14:textId="77777777" w:rsidR="00D9465C" w:rsidRPr="003F15C0" w:rsidRDefault="00D9465C" w:rsidP="00DD0F28">
            <w:pPr>
              <w:keepNext/>
              <w:spacing w:before="20"/>
              <w:jc w:val="right"/>
              <w:rPr>
                <w:b/>
                <w:bCs/>
                <w:color w:val="000000"/>
                <w:sz w:val="16"/>
                <w:szCs w:val="16"/>
              </w:rPr>
            </w:pPr>
          </w:p>
        </w:tc>
        <w:tc>
          <w:tcPr>
            <w:tcW w:w="1055" w:type="dxa"/>
            <w:tcBorders>
              <w:top w:val="single" w:sz="4" w:space="0" w:color="auto"/>
            </w:tcBorders>
            <w:shd w:val="clear" w:color="auto" w:fill="auto"/>
            <w:vAlign w:val="center"/>
          </w:tcPr>
          <w:p w14:paraId="72449004" w14:textId="77777777" w:rsidR="00D9465C" w:rsidRPr="003F15C0" w:rsidRDefault="00D9465C" w:rsidP="00DD0F28">
            <w:pPr>
              <w:keepNext/>
              <w:spacing w:before="20"/>
              <w:jc w:val="right"/>
              <w:rPr>
                <w:color w:val="000000"/>
                <w:sz w:val="16"/>
                <w:szCs w:val="16"/>
              </w:rPr>
            </w:pPr>
          </w:p>
        </w:tc>
        <w:tc>
          <w:tcPr>
            <w:tcW w:w="1275" w:type="dxa"/>
            <w:tcBorders>
              <w:top w:val="single" w:sz="4" w:space="0" w:color="auto"/>
            </w:tcBorders>
            <w:shd w:val="clear" w:color="auto" w:fill="auto"/>
            <w:vAlign w:val="center"/>
          </w:tcPr>
          <w:p w14:paraId="4B55F006" w14:textId="77777777" w:rsidR="00D9465C" w:rsidRPr="003F15C0" w:rsidRDefault="00D9465C" w:rsidP="00DD0F28">
            <w:pPr>
              <w:keepNext/>
              <w:spacing w:before="20"/>
              <w:jc w:val="right"/>
              <w:rPr>
                <w:color w:val="000000"/>
                <w:sz w:val="16"/>
                <w:szCs w:val="16"/>
              </w:rPr>
            </w:pPr>
          </w:p>
        </w:tc>
        <w:tc>
          <w:tcPr>
            <w:tcW w:w="1020" w:type="dxa"/>
            <w:tcBorders>
              <w:top w:val="single" w:sz="4" w:space="0" w:color="auto"/>
            </w:tcBorders>
            <w:shd w:val="clear" w:color="auto" w:fill="auto"/>
            <w:vAlign w:val="center"/>
          </w:tcPr>
          <w:p w14:paraId="3AE5F8B6" w14:textId="77777777" w:rsidR="00D9465C" w:rsidRPr="003F15C0" w:rsidRDefault="00D9465C" w:rsidP="00DD0F28">
            <w:pPr>
              <w:keepNext/>
              <w:spacing w:before="20"/>
              <w:jc w:val="right"/>
              <w:rPr>
                <w:color w:val="000000"/>
                <w:sz w:val="16"/>
                <w:szCs w:val="16"/>
              </w:rPr>
            </w:pPr>
          </w:p>
        </w:tc>
      </w:tr>
      <w:tr w:rsidR="00D9465C" w:rsidRPr="003F15C0" w14:paraId="1202EFFE" w14:textId="77777777" w:rsidTr="00DD0F28">
        <w:tc>
          <w:tcPr>
            <w:tcW w:w="3119" w:type="dxa"/>
          </w:tcPr>
          <w:p w14:paraId="7B34AD1D" w14:textId="77777777" w:rsidR="00D9465C" w:rsidRPr="003F15C0" w:rsidRDefault="00D9465C" w:rsidP="00DD0F28">
            <w:pPr>
              <w:keepNext/>
              <w:spacing w:before="20"/>
              <w:ind w:left="176"/>
              <w:jc w:val="both"/>
              <w:rPr>
                <w:sz w:val="16"/>
                <w:szCs w:val="16"/>
              </w:rPr>
            </w:pPr>
            <w:r w:rsidRPr="003F15C0">
              <w:rPr>
                <w:sz w:val="16"/>
                <w:szCs w:val="16"/>
              </w:rPr>
              <w:t>No</w:t>
            </w:r>
          </w:p>
        </w:tc>
        <w:tc>
          <w:tcPr>
            <w:tcW w:w="1048" w:type="dxa"/>
            <w:shd w:val="clear" w:color="auto" w:fill="auto"/>
            <w:vAlign w:val="center"/>
          </w:tcPr>
          <w:p w14:paraId="2EE22B38" w14:textId="77777777" w:rsidR="00D9465C" w:rsidRPr="00230801" w:rsidRDefault="00D9465C" w:rsidP="00DD0F28">
            <w:pPr>
              <w:jc w:val="right"/>
              <w:rPr>
                <w:color w:val="000000"/>
                <w:sz w:val="16"/>
                <w:szCs w:val="16"/>
                <w:lang w:eastAsia="en-NZ"/>
              </w:rPr>
            </w:pPr>
            <w:r w:rsidRPr="00230801">
              <w:rPr>
                <w:color w:val="000000"/>
                <w:sz w:val="16"/>
                <w:szCs w:val="16"/>
                <w:lang w:eastAsia="en-NZ"/>
              </w:rPr>
              <w:t>29</w:t>
            </w:r>
          </w:p>
        </w:tc>
        <w:tc>
          <w:tcPr>
            <w:tcW w:w="995" w:type="dxa"/>
            <w:shd w:val="clear" w:color="auto" w:fill="auto"/>
            <w:vAlign w:val="center"/>
          </w:tcPr>
          <w:p w14:paraId="35A0DC96" w14:textId="77777777" w:rsidR="00D9465C" w:rsidRPr="00230801" w:rsidRDefault="00D9465C" w:rsidP="00DD0F28">
            <w:pPr>
              <w:jc w:val="right"/>
              <w:rPr>
                <w:color w:val="000000"/>
                <w:sz w:val="16"/>
                <w:szCs w:val="16"/>
                <w:lang w:eastAsia="en-NZ"/>
              </w:rPr>
            </w:pPr>
            <w:r w:rsidRPr="00230801">
              <w:rPr>
                <w:color w:val="000000"/>
                <w:sz w:val="16"/>
                <w:szCs w:val="16"/>
                <w:lang w:eastAsia="en-NZ"/>
              </w:rPr>
              <w:t>84.4</w:t>
            </w:r>
          </w:p>
        </w:tc>
        <w:tc>
          <w:tcPr>
            <w:tcW w:w="1055" w:type="dxa"/>
            <w:shd w:val="clear" w:color="auto" w:fill="auto"/>
            <w:vAlign w:val="center"/>
          </w:tcPr>
          <w:p w14:paraId="773B26C7" w14:textId="77777777" w:rsidR="00D9465C" w:rsidRPr="00230801" w:rsidRDefault="00D9465C" w:rsidP="00DD0F28">
            <w:pPr>
              <w:jc w:val="right"/>
              <w:rPr>
                <w:color w:val="000000"/>
                <w:sz w:val="16"/>
                <w:szCs w:val="16"/>
                <w:lang w:eastAsia="en-NZ"/>
              </w:rPr>
            </w:pPr>
            <w:r w:rsidRPr="00230801">
              <w:rPr>
                <w:color w:val="000000"/>
                <w:sz w:val="16"/>
                <w:szCs w:val="16"/>
                <w:lang w:eastAsia="en-NZ"/>
              </w:rPr>
              <w:t>1.00</w:t>
            </w:r>
          </w:p>
        </w:tc>
        <w:tc>
          <w:tcPr>
            <w:tcW w:w="1275" w:type="dxa"/>
            <w:shd w:val="clear" w:color="auto" w:fill="auto"/>
            <w:vAlign w:val="center"/>
          </w:tcPr>
          <w:p w14:paraId="334B9AA7"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7678C3F8" w14:textId="77777777" w:rsidR="00D9465C" w:rsidRPr="00230801" w:rsidRDefault="00D9465C" w:rsidP="00DD0F28">
            <w:pPr>
              <w:jc w:val="right"/>
              <w:rPr>
                <w:color w:val="000000"/>
                <w:sz w:val="16"/>
                <w:szCs w:val="16"/>
                <w:lang w:eastAsia="en-NZ"/>
              </w:rPr>
            </w:pPr>
          </w:p>
        </w:tc>
      </w:tr>
      <w:tr w:rsidR="00D9465C" w:rsidRPr="003F15C0" w14:paraId="58739346" w14:textId="77777777" w:rsidTr="00DD0F28">
        <w:tc>
          <w:tcPr>
            <w:tcW w:w="3119" w:type="dxa"/>
          </w:tcPr>
          <w:p w14:paraId="15BD9029" w14:textId="77777777" w:rsidR="00D9465C" w:rsidRPr="003F15C0" w:rsidRDefault="00D9465C" w:rsidP="00DD0F28">
            <w:pPr>
              <w:keepNext/>
              <w:spacing w:before="20"/>
              <w:ind w:left="176"/>
              <w:jc w:val="both"/>
              <w:rPr>
                <w:sz w:val="16"/>
                <w:szCs w:val="16"/>
              </w:rPr>
            </w:pPr>
            <w:r w:rsidRPr="003F15C0">
              <w:rPr>
                <w:sz w:val="16"/>
                <w:szCs w:val="16"/>
              </w:rPr>
              <w:t>Yes</w:t>
            </w:r>
          </w:p>
        </w:tc>
        <w:tc>
          <w:tcPr>
            <w:tcW w:w="1048" w:type="dxa"/>
            <w:shd w:val="clear" w:color="auto" w:fill="auto"/>
            <w:vAlign w:val="center"/>
          </w:tcPr>
          <w:p w14:paraId="245020CE" w14:textId="77777777" w:rsidR="00D9465C" w:rsidRPr="00230801" w:rsidRDefault="00D9465C" w:rsidP="00DD0F28">
            <w:pPr>
              <w:jc w:val="right"/>
              <w:rPr>
                <w:color w:val="000000"/>
                <w:sz w:val="16"/>
                <w:szCs w:val="16"/>
                <w:lang w:eastAsia="en-NZ"/>
              </w:rPr>
            </w:pPr>
            <w:r w:rsidRPr="00230801">
              <w:rPr>
                <w:color w:val="000000"/>
                <w:sz w:val="16"/>
                <w:szCs w:val="16"/>
                <w:lang w:eastAsia="en-NZ"/>
              </w:rPr>
              <w:t>5</w:t>
            </w:r>
          </w:p>
        </w:tc>
        <w:tc>
          <w:tcPr>
            <w:tcW w:w="995" w:type="dxa"/>
            <w:shd w:val="clear" w:color="auto" w:fill="auto"/>
            <w:vAlign w:val="center"/>
          </w:tcPr>
          <w:p w14:paraId="3107433F" w14:textId="77777777" w:rsidR="00D9465C" w:rsidRPr="00230801" w:rsidRDefault="00D9465C" w:rsidP="00DD0F28">
            <w:pPr>
              <w:jc w:val="right"/>
              <w:rPr>
                <w:color w:val="000000"/>
                <w:sz w:val="16"/>
                <w:szCs w:val="16"/>
                <w:lang w:eastAsia="en-NZ"/>
              </w:rPr>
            </w:pPr>
            <w:r w:rsidRPr="00230801">
              <w:rPr>
                <w:color w:val="000000"/>
                <w:sz w:val="16"/>
                <w:szCs w:val="16"/>
                <w:lang w:eastAsia="en-NZ"/>
              </w:rPr>
              <w:t>30.3</w:t>
            </w:r>
          </w:p>
        </w:tc>
        <w:tc>
          <w:tcPr>
            <w:tcW w:w="1055" w:type="dxa"/>
            <w:shd w:val="clear" w:color="auto" w:fill="auto"/>
            <w:vAlign w:val="center"/>
          </w:tcPr>
          <w:p w14:paraId="7EAB9B81" w14:textId="77777777" w:rsidR="00D9465C" w:rsidRPr="00230801" w:rsidRDefault="00D9465C" w:rsidP="00DD0F28">
            <w:pPr>
              <w:jc w:val="right"/>
              <w:rPr>
                <w:color w:val="000000"/>
                <w:sz w:val="16"/>
                <w:szCs w:val="16"/>
                <w:lang w:eastAsia="en-NZ"/>
              </w:rPr>
            </w:pPr>
            <w:r w:rsidRPr="00230801">
              <w:rPr>
                <w:color w:val="000000"/>
                <w:sz w:val="16"/>
                <w:szCs w:val="16"/>
                <w:lang w:eastAsia="en-NZ"/>
              </w:rPr>
              <w:t>0.08</w:t>
            </w:r>
          </w:p>
        </w:tc>
        <w:tc>
          <w:tcPr>
            <w:tcW w:w="1275" w:type="dxa"/>
            <w:shd w:val="clear" w:color="auto" w:fill="auto"/>
            <w:vAlign w:val="center"/>
          </w:tcPr>
          <w:p w14:paraId="187998FB" w14:textId="77777777" w:rsidR="00D9465C" w:rsidRPr="00230801" w:rsidRDefault="00D9465C" w:rsidP="00DD0F28">
            <w:pPr>
              <w:jc w:val="right"/>
              <w:rPr>
                <w:color w:val="000000"/>
                <w:sz w:val="16"/>
                <w:szCs w:val="16"/>
                <w:lang w:eastAsia="en-NZ"/>
              </w:rPr>
            </w:pPr>
            <w:r w:rsidRPr="00230801">
              <w:rPr>
                <w:color w:val="000000"/>
                <w:sz w:val="16"/>
                <w:szCs w:val="16"/>
                <w:lang w:eastAsia="en-NZ"/>
              </w:rPr>
              <w:t>(0.01, 0.52)</w:t>
            </w:r>
          </w:p>
        </w:tc>
        <w:tc>
          <w:tcPr>
            <w:tcW w:w="1020" w:type="dxa"/>
            <w:shd w:val="clear" w:color="auto" w:fill="auto"/>
            <w:vAlign w:val="center"/>
          </w:tcPr>
          <w:p w14:paraId="0BEE8511" w14:textId="77777777" w:rsidR="00D9465C" w:rsidRPr="00230801" w:rsidRDefault="00D9465C" w:rsidP="00DD0F28">
            <w:pPr>
              <w:jc w:val="right"/>
              <w:rPr>
                <w:color w:val="000000"/>
                <w:sz w:val="16"/>
                <w:szCs w:val="16"/>
                <w:lang w:eastAsia="en-NZ"/>
              </w:rPr>
            </w:pPr>
            <w:r w:rsidRPr="00230801">
              <w:rPr>
                <w:color w:val="000000"/>
                <w:sz w:val="16"/>
                <w:szCs w:val="16"/>
                <w:lang w:eastAsia="en-NZ"/>
              </w:rPr>
              <w:t>0.01</w:t>
            </w:r>
          </w:p>
        </w:tc>
      </w:tr>
      <w:tr w:rsidR="00D9465C" w:rsidRPr="003F15C0" w14:paraId="1AB3386B" w14:textId="77777777" w:rsidTr="00DD0F28">
        <w:tc>
          <w:tcPr>
            <w:tcW w:w="3119" w:type="dxa"/>
            <w:shd w:val="clear" w:color="auto" w:fill="auto"/>
            <w:vAlign w:val="bottom"/>
          </w:tcPr>
          <w:p w14:paraId="64E5C3D0" w14:textId="77777777" w:rsidR="00D9465C" w:rsidRPr="003F15C0" w:rsidRDefault="00D9465C" w:rsidP="00DD0F28">
            <w:pPr>
              <w:spacing w:before="20"/>
              <w:jc w:val="both"/>
              <w:rPr>
                <w:b/>
                <w:sz w:val="16"/>
                <w:szCs w:val="16"/>
              </w:rPr>
            </w:pPr>
            <w:r w:rsidRPr="003F15C0">
              <w:rPr>
                <w:b/>
                <w:sz w:val="16"/>
                <w:szCs w:val="16"/>
              </w:rPr>
              <w:t>EGMs overall - monthly</w:t>
            </w:r>
          </w:p>
        </w:tc>
        <w:tc>
          <w:tcPr>
            <w:tcW w:w="1048" w:type="dxa"/>
            <w:shd w:val="clear" w:color="auto" w:fill="auto"/>
            <w:vAlign w:val="center"/>
          </w:tcPr>
          <w:p w14:paraId="5D95E52B" w14:textId="77777777" w:rsidR="00D9465C" w:rsidRPr="00637CF2" w:rsidRDefault="00D9465C" w:rsidP="00DD0F28">
            <w:pPr>
              <w:jc w:val="right"/>
              <w:rPr>
                <w:color w:val="000000"/>
                <w:sz w:val="16"/>
                <w:szCs w:val="16"/>
                <w:lang w:eastAsia="en-NZ"/>
              </w:rPr>
            </w:pPr>
          </w:p>
        </w:tc>
        <w:tc>
          <w:tcPr>
            <w:tcW w:w="995" w:type="dxa"/>
            <w:shd w:val="clear" w:color="auto" w:fill="auto"/>
            <w:vAlign w:val="center"/>
          </w:tcPr>
          <w:p w14:paraId="5A857DF5" w14:textId="77777777" w:rsidR="00D9465C" w:rsidRPr="00637CF2" w:rsidRDefault="00D9465C" w:rsidP="00DD0F28">
            <w:pPr>
              <w:jc w:val="right"/>
              <w:rPr>
                <w:color w:val="000000"/>
                <w:sz w:val="16"/>
                <w:szCs w:val="16"/>
                <w:lang w:eastAsia="en-NZ"/>
              </w:rPr>
            </w:pPr>
          </w:p>
        </w:tc>
        <w:tc>
          <w:tcPr>
            <w:tcW w:w="1055" w:type="dxa"/>
            <w:shd w:val="clear" w:color="auto" w:fill="auto"/>
            <w:vAlign w:val="center"/>
          </w:tcPr>
          <w:p w14:paraId="4E3E09F4"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3D10A956"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433D1DF6" w14:textId="77777777" w:rsidR="00D9465C" w:rsidRPr="00637CF2" w:rsidRDefault="00D9465C" w:rsidP="00DD0F28">
            <w:pPr>
              <w:jc w:val="right"/>
              <w:rPr>
                <w:color w:val="000000"/>
                <w:sz w:val="16"/>
                <w:szCs w:val="16"/>
                <w:lang w:eastAsia="en-NZ"/>
              </w:rPr>
            </w:pPr>
          </w:p>
        </w:tc>
      </w:tr>
      <w:tr w:rsidR="00D9465C" w:rsidRPr="003F15C0" w14:paraId="62DFD683" w14:textId="77777777" w:rsidTr="00DD0F28">
        <w:tc>
          <w:tcPr>
            <w:tcW w:w="3119" w:type="dxa"/>
            <w:shd w:val="clear" w:color="auto" w:fill="auto"/>
          </w:tcPr>
          <w:p w14:paraId="68881060"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46E912DC" w14:textId="77777777" w:rsidR="00D9465C" w:rsidRPr="00230801" w:rsidRDefault="00D9465C" w:rsidP="00DD0F28">
            <w:pPr>
              <w:jc w:val="right"/>
              <w:rPr>
                <w:color w:val="000000"/>
                <w:sz w:val="16"/>
                <w:szCs w:val="16"/>
                <w:lang w:eastAsia="en-NZ"/>
              </w:rPr>
            </w:pPr>
            <w:r w:rsidRPr="00230801">
              <w:rPr>
                <w:color w:val="000000"/>
                <w:sz w:val="16"/>
                <w:szCs w:val="16"/>
                <w:lang w:eastAsia="en-NZ"/>
              </w:rPr>
              <w:t>21</w:t>
            </w:r>
          </w:p>
        </w:tc>
        <w:tc>
          <w:tcPr>
            <w:tcW w:w="995" w:type="dxa"/>
            <w:shd w:val="clear" w:color="auto" w:fill="auto"/>
            <w:vAlign w:val="center"/>
          </w:tcPr>
          <w:p w14:paraId="76854F8B" w14:textId="77777777" w:rsidR="00D9465C" w:rsidRPr="00230801" w:rsidRDefault="00D9465C" w:rsidP="00DD0F28">
            <w:pPr>
              <w:jc w:val="right"/>
              <w:rPr>
                <w:color w:val="000000"/>
                <w:sz w:val="16"/>
                <w:szCs w:val="16"/>
                <w:lang w:eastAsia="en-NZ"/>
              </w:rPr>
            </w:pPr>
            <w:r w:rsidRPr="00230801">
              <w:rPr>
                <w:color w:val="000000"/>
                <w:sz w:val="16"/>
                <w:szCs w:val="16"/>
                <w:lang w:eastAsia="en-NZ"/>
              </w:rPr>
              <w:t>86.4</w:t>
            </w:r>
          </w:p>
        </w:tc>
        <w:tc>
          <w:tcPr>
            <w:tcW w:w="1055" w:type="dxa"/>
            <w:shd w:val="clear" w:color="auto" w:fill="auto"/>
            <w:vAlign w:val="center"/>
          </w:tcPr>
          <w:p w14:paraId="73498E97" w14:textId="77777777" w:rsidR="00D9465C" w:rsidRPr="00230801" w:rsidRDefault="00D9465C" w:rsidP="00DD0F28">
            <w:pPr>
              <w:jc w:val="right"/>
              <w:rPr>
                <w:color w:val="000000"/>
                <w:sz w:val="16"/>
                <w:szCs w:val="16"/>
                <w:lang w:eastAsia="en-NZ"/>
              </w:rPr>
            </w:pPr>
            <w:r w:rsidRPr="00230801">
              <w:rPr>
                <w:color w:val="000000"/>
                <w:sz w:val="16"/>
                <w:szCs w:val="16"/>
                <w:lang w:eastAsia="en-NZ"/>
              </w:rPr>
              <w:t>1.00</w:t>
            </w:r>
          </w:p>
        </w:tc>
        <w:tc>
          <w:tcPr>
            <w:tcW w:w="1275" w:type="dxa"/>
            <w:shd w:val="clear" w:color="auto" w:fill="auto"/>
            <w:vAlign w:val="center"/>
          </w:tcPr>
          <w:p w14:paraId="67F023E0"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029D2D4F" w14:textId="77777777" w:rsidR="00D9465C" w:rsidRPr="00230801" w:rsidRDefault="00D9465C" w:rsidP="00DD0F28">
            <w:pPr>
              <w:jc w:val="right"/>
              <w:rPr>
                <w:color w:val="000000"/>
                <w:sz w:val="16"/>
                <w:szCs w:val="16"/>
                <w:lang w:eastAsia="en-NZ"/>
              </w:rPr>
            </w:pPr>
          </w:p>
        </w:tc>
      </w:tr>
      <w:tr w:rsidR="00D9465C" w:rsidRPr="003F15C0" w14:paraId="1E31C75F" w14:textId="77777777" w:rsidTr="00DD0F28">
        <w:tc>
          <w:tcPr>
            <w:tcW w:w="3119" w:type="dxa"/>
            <w:shd w:val="clear" w:color="auto" w:fill="auto"/>
          </w:tcPr>
          <w:p w14:paraId="40353CE1"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shd w:val="clear" w:color="auto" w:fill="auto"/>
            <w:vAlign w:val="center"/>
          </w:tcPr>
          <w:p w14:paraId="556D53B0" w14:textId="77777777" w:rsidR="00D9465C" w:rsidRPr="00230801" w:rsidRDefault="00D9465C" w:rsidP="00DD0F28">
            <w:pPr>
              <w:jc w:val="right"/>
              <w:rPr>
                <w:color w:val="000000"/>
                <w:sz w:val="16"/>
                <w:szCs w:val="16"/>
                <w:lang w:eastAsia="en-NZ"/>
              </w:rPr>
            </w:pPr>
            <w:r w:rsidRPr="00230801">
              <w:rPr>
                <w:color w:val="000000"/>
                <w:sz w:val="16"/>
                <w:szCs w:val="16"/>
                <w:lang w:eastAsia="en-NZ"/>
              </w:rPr>
              <w:t>12</w:t>
            </w:r>
          </w:p>
        </w:tc>
        <w:tc>
          <w:tcPr>
            <w:tcW w:w="995" w:type="dxa"/>
            <w:shd w:val="clear" w:color="auto" w:fill="auto"/>
            <w:vAlign w:val="center"/>
          </w:tcPr>
          <w:p w14:paraId="5E305982" w14:textId="77777777" w:rsidR="00D9465C" w:rsidRPr="00230801" w:rsidRDefault="00D9465C" w:rsidP="00DD0F28">
            <w:pPr>
              <w:jc w:val="right"/>
              <w:rPr>
                <w:color w:val="000000"/>
                <w:sz w:val="16"/>
                <w:szCs w:val="16"/>
                <w:lang w:eastAsia="en-NZ"/>
              </w:rPr>
            </w:pPr>
            <w:r w:rsidRPr="00230801">
              <w:rPr>
                <w:color w:val="000000"/>
                <w:sz w:val="16"/>
                <w:szCs w:val="16"/>
                <w:lang w:eastAsia="en-NZ"/>
              </w:rPr>
              <w:t>61.0</w:t>
            </w:r>
          </w:p>
        </w:tc>
        <w:tc>
          <w:tcPr>
            <w:tcW w:w="1055" w:type="dxa"/>
            <w:shd w:val="clear" w:color="auto" w:fill="auto"/>
            <w:vAlign w:val="center"/>
          </w:tcPr>
          <w:p w14:paraId="7FE6B081" w14:textId="77777777" w:rsidR="00D9465C" w:rsidRPr="00230801" w:rsidRDefault="00D9465C" w:rsidP="00DD0F28">
            <w:pPr>
              <w:jc w:val="right"/>
              <w:rPr>
                <w:color w:val="000000"/>
                <w:sz w:val="16"/>
                <w:szCs w:val="16"/>
                <w:lang w:eastAsia="en-NZ"/>
              </w:rPr>
            </w:pPr>
            <w:r w:rsidRPr="00230801">
              <w:rPr>
                <w:color w:val="000000"/>
                <w:sz w:val="16"/>
                <w:szCs w:val="16"/>
                <w:lang w:eastAsia="en-NZ"/>
              </w:rPr>
              <w:t>0.25</w:t>
            </w:r>
          </w:p>
        </w:tc>
        <w:tc>
          <w:tcPr>
            <w:tcW w:w="1275" w:type="dxa"/>
            <w:shd w:val="clear" w:color="auto" w:fill="auto"/>
            <w:vAlign w:val="center"/>
          </w:tcPr>
          <w:p w14:paraId="500E54BA" w14:textId="77777777" w:rsidR="00D9465C" w:rsidRPr="00230801" w:rsidRDefault="00D9465C" w:rsidP="00DD0F28">
            <w:pPr>
              <w:jc w:val="right"/>
              <w:rPr>
                <w:color w:val="000000"/>
                <w:sz w:val="16"/>
                <w:szCs w:val="16"/>
                <w:lang w:eastAsia="en-NZ"/>
              </w:rPr>
            </w:pPr>
            <w:r w:rsidRPr="00230801">
              <w:rPr>
                <w:color w:val="000000"/>
                <w:sz w:val="16"/>
                <w:szCs w:val="16"/>
                <w:lang w:eastAsia="en-NZ"/>
              </w:rPr>
              <w:t>(0.06, 0.99)</w:t>
            </w:r>
          </w:p>
        </w:tc>
        <w:tc>
          <w:tcPr>
            <w:tcW w:w="1020" w:type="dxa"/>
            <w:shd w:val="clear" w:color="auto" w:fill="auto"/>
            <w:vAlign w:val="center"/>
          </w:tcPr>
          <w:p w14:paraId="50D533D1" w14:textId="77777777" w:rsidR="00D9465C" w:rsidRPr="00230801" w:rsidRDefault="00D9465C" w:rsidP="00DD0F28">
            <w:pPr>
              <w:jc w:val="right"/>
              <w:rPr>
                <w:color w:val="000000"/>
                <w:sz w:val="16"/>
                <w:szCs w:val="16"/>
                <w:lang w:eastAsia="en-NZ"/>
              </w:rPr>
            </w:pPr>
            <w:r w:rsidRPr="00230801">
              <w:rPr>
                <w:color w:val="000000"/>
                <w:sz w:val="16"/>
                <w:szCs w:val="16"/>
                <w:lang w:eastAsia="en-NZ"/>
              </w:rPr>
              <w:t>0.05</w:t>
            </w:r>
          </w:p>
        </w:tc>
      </w:tr>
      <w:tr w:rsidR="00D9465C" w:rsidRPr="003F15C0" w14:paraId="1207F536" w14:textId="77777777" w:rsidTr="00DD0F28">
        <w:tc>
          <w:tcPr>
            <w:tcW w:w="3119" w:type="dxa"/>
            <w:shd w:val="clear" w:color="auto" w:fill="auto"/>
            <w:vAlign w:val="bottom"/>
          </w:tcPr>
          <w:p w14:paraId="76BA574F" w14:textId="77777777" w:rsidR="00D9465C" w:rsidRPr="003F15C0" w:rsidRDefault="00D9465C" w:rsidP="00DD0F28">
            <w:pPr>
              <w:spacing w:before="20"/>
              <w:jc w:val="both"/>
              <w:rPr>
                <w:b/>
                <w:sz w:val="16"/>
                <w:szCs w:val="16"/>
              </w:rPr>
            </w:pPr>
            <w:r>
              <w:rPr>
                <w:b/>
                <w:sz w:val="16"/>
                <w:szCs w:val="16"/>
              </w:rPr>
              <w:t>NZ</w:t>
            </w:r>
            <w:r w:rsidRPr="003F15C0">
              <w:rPr>
                <w:b/>
                <w:sz w:val="16"/>
                <w:szCs w:val="16"/>
              </w:rPr>
              <w:t xml:space="preserve"> internet gambling - monthly</w:t>
            </w:r>
          </w:p>
        </w:tc>
        <w:tc>
          <w:tcPr>
            <w:tcW w:w="1048" w:type="dxa"/>
            <w:shd w:val="clear" w:color="auto" w:fill="auto"/>
            <w:vAlign w:val="center"/>
          </w:tcPr>
          <w:p w14:paraId="65B45CB2" w14:textId="77777777" w:rsidR="00D9465C" w:rsidRPr="00637CF2" w:rsidRDefault="00D9465C" w:rsidP="00DD0F28">
            <w:pPr>
              <w:jc w:val="right"/>
              <w:rPr>
                <w:color w:val="000000"/>
                <w:sz w:val="16"/>
                <w:szCs w:val="16"/>
                <w:lang w:eastAsia="en-NZ"/>
              </w:rPr>
            </w:pPr>
          </w:p>
        </w:tc>
        <w:tc>
          <w:tcPr>
            <w:tcW w:w="995" w:type="dxa"/>
            <w:shd w:val="clear" w:color="auto" w:fill="auto"/>
            <w:vAlign w:val="center"/>
          </w:tcPr>
          <w:p w14:paraId="53550130" w14:textId="77777777" w:rsidR="00D9465C" w:rsidRPr="00637CF2" w:rsidRDefault="00D9465C" w:rsidP="00DD0F28">
            <w:pPr>
              <w:jc w:val="right"/>
              <w:rPr>
                <w:color w:val="000000"/>
                <w:sz w:val="16"/>
                <w:szCs w:val="16"/>
                <w:lang w:eastAsia="en-NZ"/>
              </w:rPr>
            </w:pPr>
          </w:p>
        </w:tc>
        <w:tc>
          <w:tcPr>
            <w:tcW w:w="1055" w:type="dxa"/>
            <w:shd w:val="clear" w:color="auto" w:fill="auto"/>
            <w:vAlign w:val="center"/>
          </w:tcPr>
          <w:p w14:paraId="7F1B772F"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5BB843BA"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470B27F0" w14:textId="77777777" w:rsidR="00D9465C" w:rsidRPr="00637CF2" w:rsidRDefault="00D9465C" w:rsidP="00DD0F28">
            <w:pPr>
              <w:jc w:val="right"/>
              <w:rPr>
                <w:color w:val="000000"/>
                <w:sz w:val="16"/>
                <w:szCs w:val="16"/>
                <w:lang w:eastAsia="en-NZ"/>
              </w:rPr>
            </w:pPr>
          </w:p>
        </w:tc>
      </w:tr>
      <w:tr w:rsidR="00D9465C" w:rsidRPr="003F15C0" w14:paraId="3F4B8AFA" w14:textId="77777777" w:rsidTr="00DD0F28">
        <w:tc>
          <w:tcPr>
            <w:tcW w:w="3119" w:type="dxa"/>
            <w:shd w:val="clear" w:color="auto" w:fill="auto"/>
          </w:tcPr>
          <w:p w14:paraId="5656D5FC"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5C5BF551" w14:textId="77777777" w:rsidR="00D9465C" w:rsidRPr="00230801" w:rsidRDefault="00D9465C" w:rsidP="00DD0F28">
            <w:pPr>
              <w:jc w:val="right"/>
              <w:rPr>
                <w:color w:val="000000"/>
                <w:sz w:val="16"/>
                <w:szCs w:val="16"/>
                <w:lang w:eastAsia="en-NZ"/>
              </w:rPr>
            </w:pPr>
            <w:r w:rsidRPr="00230801">
              <w:rPr>
                <w:color w:val="000000"/>
                <w:sz w:val="16"/>
                <w:szCs w:val="16"/>
                <w:lang w:eastAsia="en-NZ"/>
              </w:rPr>
              <w:t>29</w:t>
            </w:r>
          </w:p>
        </w:tc>
        <w:tc>
          <w:tcPr>
            <w:tcW w:w="995" w:type="dxa"/>
            <w:shd w:val="clear" w:color="auto" w:fill="auto"/>
            <w:vAlign w:val="center"/>
          </w:tcPr>
          <w:p w14:paraId="4EDF1D49" w14:textId="77777777" w:rsidR="00D9465C" w:rsidRPr="00230801" w:rsidRDefault="00D9465C" w:rsidP="00DD0F28">
            <w:pPr>
              <w:jc w:val="right"/>
              <w:rPr>
                <w:color w:val="000000"/>
                <w:sz w:val="16"/>
                <w:szCs w:val="16"/>
                <w:lang w:eastAsia="en-NZ"/>
              </w:rPr>
            </w:pPr>
            <w:r w:rsidRPr="00230801">
              <w:rPr>
                <w:color w:val="000000"/>
                <w:sz w:val="16"/>
                <w:szCs w:val="16"/>
                <w:lang w:eastAsia="en-NZ"/>
              </w:rPr>
              <w:t>83.0</w:t>
            </w:r>
          </w:p>
        </w:tc>
        <w:tc>
          <w:tcPr>
            <w:tcW w:w="1055" w:type="dxa"/>
            <w:shd w:val="clear" w:color="auto" w:fill="auto"/>
            <w:vAlign w:val="center"/>
          </w:tcPr>
          <w:p w14:paraId="607352D5" w14:textId="77777777" w:rsidR="00D9465C" w:rsidRPr="00230801" w:rsidRDefault="00D9465C" w:rsidP="00DD0F28">
            <w:pPr>
              <w:jc w:val="right"/>
              <w:rPr>
                <w:color w:val="000000"/>
                <w:sz w:val="16"/>
                <w:szCs w:val="16"/>
                <w:lang w:eastAsia="en-NZ"/>
              </w:rPr>
            </w:pPr>
            <w:r w:rsidRPr="00230801">
              <w:rPr>
                <w:color w:val="000000"/>
                <w:sz w:val="16"/>
                <w:szCs w:val="16"/>
                <w:lang w:eastAsia="en-NZ"/>
              </w:rPr>
              <w:t>1.00</w:t>
            </w:r>
          </w:p>
        </w:tc>
        <w:tc>
          <w:tcPr>
            <w:tcW w:w="1275" w:type="dxa"/>
            <w:shd w:val="clear" w:color="auto" w:fill="auto"/>
            <w:vAlign w:val="center"/>
          </w:tcPr>
          <w:p w14:paraId="433DA300"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2EA306E0" w14:textId="77777777" w:rsidR="00D9465C" w:rsidRPr="00230801" w:rsidRDefault="00D9465C" w:rsidP="00DD0F28">
            <w:pPr>
              <w:jc w:val="right"/>
              <w:rPr>
                <w:color w:val="000000"/>
                <w:sz w:val="16"/>
                <w:szCs w:val="16"/>
                <w:lang w:eastAsia="en-NZ"/>
              </w:rPr>
            </w:pPr>
          </w:p>
        </w:tc>
      </w:tr>
      <w:tr w:rsidR="00D9465C" w:rsidRPr="003F15C0" w14:paraId="14496088" w14:textId="77777777" w:rsidTr="00DD0F28">
        <w:tc>
          <w:tcPr>
            <w:tcW w:w="3119" w:type="dxa"/>
            <w:shd w:val="clear" w:color="auto" w:fill="auto"/>
          </w:tcPr>
          <w:p w14:paraId="501F7D39"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shd w:val="clear" w:color="auto" w:fill="auto"/>
            <w:vAlign w:val="center"/>
          </w:tcPr>
          <w:p w14:paraId="6313DCD4" w14:textId="77777777" w:rsidR="00D9465C" w:rsidRPr="00230801" w:rsidRDefault="00D9465C" w:rsidP="00DD0F28">
            <w:pPr>
              <w:jc w:val="right"/>
              <w:rPr>
                <w:color w:val="000000"/>
                <w:sz w:val="16"/>
                <w:szCs w:val="16"/>
                <w:lang w:eastAsia="en-NZ"/>
              </w:rPr>
            </w:pPr>
            <w:r w:rsidRPr="00230801">
              <w:rPr>
                <w:color w:val="000000"/>
                <w:sz w:val="16"/>
                <w:szCs w:val="16"/>
                <w:lang w:eastAsia="en-NZ"/>
              </w:rPr>
              <w:t>4</w:t>
            </w:r>
          </w:p>
        </w:tc>
        <w:tc>
          <w:tcPr>
            <w:tcW w:w="995" w:type="dxa"/>
            <w:shd w:val="clear" w:color="auto" w:fill="auto"/>
            <w:vAlign w:val="center"/>
          </w:tcPr>
          <w:p w14:paraId="0C0BAB27" w14:textId="77777777" w:rsidR="00D9465C" w:rsidRPr="00230801" w:rsidRDefault="00D9465C" w:rsidP="00DD0F28">
            <w:pPr>
              <w:jc w:val="right"/>
              <w:rPr>
                <w:color w:val="000000"/>
                <w:sz w:val="16"/>
                <w:szCs w:val="16"/>
                <w:lang w:eastAsia="en-NZ"/>
              </w:rPr>
            </w:pPr>
            <w:r w:rsidRPr="00230801">
              <w:rPr>
                <w:color w:val="000000"/>
                <w:sz w:val="16"/>
                <w:szCs w:val="16"/>
                <w:lang w:eastAsia="en-NZ"/>
              </w:rPr>
              <w:t>32.7</w:t>
            </w:r>
          </w:p>
        </w:tc>
        <w:tc>
          <w:tcPr>
            <w:tcW w:w="1055" w:type="dxa"/>
            <w:shd w:val="clear" w:color="auto" w:fill="auto"/>
            <w:vAlign w:val="center"/>
          </w:tcPr>
          <w:p w14:paraId="36B1AD7E" w14:textId="77777777" w:rsidR="00D9465C" w:rsidRPr="00230801" w:rsidRDefault="00D9465C" w:rsidP="00DD0F28">
            <w:pPr>
              <w:jc w:val="right"/>
              <w:rPr>
                <w:color w:val="000000"/>
                <w:sz w:val="16"/>
                <w:szCs w:val="16"/>
                <w:lang w:eastAsia="en-NZ"/>
              </w:rPr>
            </w:pPr>
            <w:r w:rsidRPr="00230801">
              <w:rPr>
                <w:color w:val="000000"/>
                <w:sz w:val="16"/>
                <w:szCs w:val="16"/>
                <w:lang w:eastAsia="en-NZ"/>
              </w:rPr>
              <w:t>0.10</w:t>
            </w:r>
          </w:p>
        </w:tc>
        <w:tc>
          <w:tcPr>
            <w:tcW w:w="1275" w:type="dxa"/>
            <w:shd w:val="clear" w:color="auto" w:fill="auto"/>
            <w:vAlign w:val="center"/>
          </w:tcPr>
          <w:p w14:paraId="595988B3" w14:textId="77777777" w:rsidR="00D9465C" w:rsidRPr="00230801" w:rsidRDefault="00D9465C" w:rsidP="00DD0F28">
            <w:pPr>
              <w:jc w:val="right"/>
              <w:rPr>
                <w:color w:val="000000"/>
                <w:sz w:val="16"/>
                <w:szCs w:val="16"/>
                <w:lang w:eastAsia="en-NZ"/>
              </w:rPr>
            </w:pPr>
            <w:r w:rsidRPr="00230801">
              <w:rPr>
                <w:color w:val="000000"/>
                <w:sz w:val="16"/>
                <w:szCs w:val="16"/>
                <w:lang w:eastAsia="en-NZ"/>
              </w:rPr>
              <w:t>(0.02, 0.59)</w:t>
            </w:r>
          </w:p>
        </w:tc>
        <w:tc>
          <w:tcPr>
            <w:tcW w:w="1020" w:type="dxa"/>
            <w:shd w:val="clear" w:color="auto" w:fill="auto"/>
            <w:vAlign w:val="center"/>
          </w:tcPr>
          <w:p w14:paraId="5ADE1145" w14:textId="77777777" w:rsidR="00D9465C" w:rsidRPr="00230801" w:rsidRDefault="00D9465C" w:rsidP="00DD0F28">
            <w:pPr>
              <w:jc w:val="right"/>
              <w:rPr>
                <w:color w:val="000000"/>
                <w:sz w:val="16"/>
                <w:szCs w:val="16"/>
                <w:lang w:eastAsia="en-NZ"/>
              </w:rPr>
            </w:pPr>
            <w:r w:rsidRPr="00230801">
              <w:rPr>
                <w:color w:val="000000"/>
                <w:sz w:val="16"/>
                <w:szCs w:val="16"/>
                <w:lang w:eastAsia="en-NZ"/>
              </w:rPr>
              <w:t>0.01</w:t>
            </w:r>
          </w:p>
        </w:tc>
      </w:tr>
      <w:tr w:rsidR="00D9465C" w:rsidRPr="001A61F1" w14:paraId="40A7F94F" w14:textId="77777777" w:rsidTr="00DD0F28">
        <w:tc>
          <w:tcPr>
            <w:tcW w:w="4167" w:type="dxa"/>
            <w:gridSpan w:val="2"/>
            <w:vAlign w:val="bottom"/>
          </w:tcPr>
          <w:p w14:paraId="5E08FA6D" w14:textId="77777777" w:rsidR="00D9465C" w:rsidRPr="00637CF2" w:rsidRDefault="00D9465C" w:rsidP="00DD0F28">
            <w:pPr>
              <w:rPr>
                <w:color w:val="000000"/>
                <w:sz w:val="16"/>
                <w:szCs w:val="16"/>
                <w:lang w:eastAsia="en-NZ"/>
              </w:rPr>
            </w:pPr>
            <w:r w:rsidRPr="008C5F0C">
              <w:rPr>
                <w:b/>
                <w:sz w:val="16"/>
                <w:szCs w:val="16"/>
              </w:rPr>
              <w:t xml:space="preserve">Sought help (from formal sources) - </w:t>
            </w:r>
            <w:r>
              <w:rPr>
                <w:b/>
                <w:sz w:val="16"/>
                <w:szCs w:val="16"/>
              </w:rPr>
              <w:t>in last year</w:t>
            </w:r>
          </w:p>
        </w:tc>
        <w:tc>
          <w:tcPr>
            <w:tcW w:w="995" w:type="dxa"/>
            <w:shd w:val="clear" w:color="auto" w:fill="auto"/>
            <w:vAlign w:val="center"/>
          </w:tcPr>
          <w:p w14:paraId="197C0A35" w14:textId="77777777" w:rsidR="00D9465C" w:rsidRPr="00637CF2" w:rsidRDefault="00D9465C" w:rsidP="00DD0F28">
            <w:pPr>
              <w:jc w:val="right"/>
              <w:rPr>
                <w:color w:val="000000"/>
                <w:sz w:val="16"/>
                <w:szCs w:val="16"/>
                <w:lang w:eastAsia="en-NZ"/>
              </w:rPr>
            </w:pPr>
          </w:p>
        </w:tc>
        <w:tc>
          <w:tcPr>
            <w:tcW w:w="1055" w:type="dxa"/>
            <w:shd w:val="clear" w:color="auto" w:fill="auto"/>
            <w:vAlign w:val="center"/>
          </w:tcPr>
          <w:p w14:paraId="46A0483A"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0DFFC306"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27E96A83" w14:textId="77777777" w:rsidR="00D9465C" w:rsidRPr="00637CF2" w:rsidRDefault="00D9465C" w:rsidP="00DD0F28">
            <w:pPr>
              <w:jc w:val="right"/>
              <w:rPr>
                <w:color w:val="000000"/>
                <w:sz w:val="16"/>
                <w:szCs w:val="16"/>
                <w:lang w:eastAsia="en-NZ"/>
              </w:rPr>
            </w:pPr>
          </w:p>
        </w:tc>
      </w:tr>
      <w:tr w:rsidR="00D9465C" w:rsidRPr="001A61F1" w14:paraId="338EC2A9" w14:textId="77777777" w:rsidTr="00DD0F28">
        <w:tc>
          <w:tcPr>
            <w:tcW w:w="3119" w:type="dxa"/>
          </w:tcPr>
          <w:p w14:paraId="07141DC0" w14:textId="77777777" w:rsidR="00D9465C" w:rsidRPr="001A61F1" w:rsidRDefault="00D9465C" w:rsidP="00DD0F28">
            <w:pPr>
              <w:spacing w:before="20"/>
              <w:ind w:left="176"/>
              <w:jc w:val="both"/>
              <w:rPr>
                <w:sz w:val="16"/>
                <w:szCs w:val="16"/>
              </w:rPr>
            </w:pPr>
            <w:r w:rsidRPr="001A61F1">
              <w:rPr>
                <w:sz w:val="16"/>
                <w:szCs w:val="16"/>
              </w:rPr>
              <w:t>No</w:t>
            </w:r>
          </w:p>
        </w:tc>
        <w:tc>
          <w:tcPr>
            <w:tcW w:w="1048" w:type="dxa"/>
            <w:shd w:val="clear" w:color="auto" w:fill="auto"/>
            <w:vAlign w:val="center"/>
          </w:tcPr>
          <w:p w14:paraId="29C5FE42" w14:textId="77777777" w:rsidR="00D9465C" w:rsidRPr="00230801" w:rsidRDefault="00D9465C" w:rsidP="00DD0F28">
            <w:pPr>
              <w:jc w:val="right"/>
              <w:rPr>
                <w:color w:val="000000"/>
                <w:sz w:val="16"/>
                <w:szCs w:val="16"/>
                <w:lang w:eastAsia="en-NZ"/>
              </w:rPr>
            </w:pPr>
            <w:r w:rsidRPr="00230801">
              <w:rPr>
                <w:color w:val="000000"/>
                <w:sz w:val="16"/>
                <w:szCs w:val="16"/>
                <w:lang w:eastAsia="en-NZ"/>
              </w:rPr>
              <w:t>33</w:t>
            </w:r>
          </w:p>
        </w:tc>
        <w:tc>
          <w:tcPr>
            <w:tcW w:w="995" w:type="dxa"/>
            <w:shd w:val="clear" w:color="auto" w:fill="auto"/>
            <w:vAlign w:val="center"/>
          </w:tcPr>
          <w:p w14:paraId="2BB7E399" w14:textId="77777777" w:rsidR="00D9465C" w:rsidRPr="00230801" w:rsidRDefault="00D9465C" w:rsidP="00DD0F28">
            <w:pPr>
              <w:jc w:val="right"/>
              <w:rPr>
                <w:color w:val="000000"/>
                <w:sz w:val="16"/>
                <w:szCs w:val="16"/>
                <w:lang w:eastAsia="en-NZ"/>
              </w:rPr>
            </w:pPr>
            <w:r w:rsidRPr="00230801">
              <w:rPr>
                <w:color w:val="000000"/>
                <w:sz w:val="16"/>
                <w:szCs w:val="16"/>
                <w:lang w:eastAsia="en-NZ"/>
              </w:rPr>
              <w:t>76.7</w:t>
            </w:r>
          </w:p>
        </w:tc>
        <w:tc>
          <w:tcPr>
            <w:tcW w:w="1055" w:type="dxa"/>
            <w:shd w:val="clear" w:color="auto" w:fill="auto"/>
            <w:vAlign w:val="center"/>
          </w:tcPr>
          <w:p w14:paraId="48A33235"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37C9FBFD"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5AD4DF7E" w14:textId="77777777" w:rsidR="00D9465C" w:rsidRPr="00637CF2" w:rsidRDefault="00D9465C" w:rsidP="00DD0F28">
            <w:pPr>
              <w:jc w:val="right"/>
              <w:rPr>
                <w:color w:val="000000"/>
                <w:sz w:val="16"/>
                <w:szCs w:val="16"/>
                <w:lang w:eastAsia="en-NZ"/>
              </w:rPr>
            </w:pPr>
          </w:p>
        </w:tc>
      </w:tr>
      <w:tr w:rsidR="00D9465C" w:rsidRPr="003F15C0" w14:paraId="6A46BD21" w14:textId="77777777" w:rsidTr="00DD0F28">
        <w:tc>
          <w:tcPr>
            <w:tcW w:w="3119" w:type="dxa"/>
            <w:tcBorders>
              <w:bottom w:val="single" w:sz="4" w:space="0" w:color="auto"/>
            </w:tcBorders>
          </w:tcPr>
          <w:p w14:paraId="06CE97BA" w14:textId="77777777" w:rsidR="00D9465C" w:rsidRPr="001A61F1" w:rsidRDefault="00D9465C" w:rsidP="00DD0F28">
            <w:pPr>
              <w:spacing w:before="20"/>
              <w:ind w:left="176"/>
              <w:jc w:val="both"/>
              <w:rPr>
                <w:sz w:val="16"/>
                <w:szCs w:val="16"/>
              </w:rPr>
            </w:pPr>
            <w:r w:rsidRPr="001A61F1">
              <w:rPr>
                <w:sz w:val="16"/>
                <w:szCs w:val="16"/>
              </w:rPr>
              <w:t>Yes</w:t>
            </w:r>
          </w:p>
        </w:tc>
        <w:tc>
          <w:tcPr>
            <w:tcW w:w="1048" w:type="dxa"/>
            <w:tcBorders>
              <w:bottom w:val="single" w:sz="4" w:space="0" w:color="auto"/>
            </w:tcBorders>
            <w:shd w:val="clear" w:color="auto" w:fill="auto"/>
            <w:vAlign w:val="center"/>
          </w:tcPr>
          <w:p w14:paraId="3E9F753D" w14:textId="77777777" w:rsidR="00D9465C" w:rsidRPr="00230801" w:rsidRDefault="00D9465C" w:rsidP="00DD0F28">
            <w:pPr>
              <w:jc w:val="right"/>
              <w:rPr>
                <w:color w:val="000000"/>
                <w:sz w:val="16"/>
                <w:szCs w:val="16"/>
                <w:lang w:eastAsia="en-NZ"/>
              </w:rPr>
            </w:pPr>
            <w:r w:rsidRPr="00230801">
              <w:rPr>
                <w:color w:val="000000"/>
                <w:sz w:val="16"/>
                <w:szCs w:val="16"/>
                <w:lang w:eastAsia="en-NZ"/>
              </w:rPr>
              <w:t>0.3</w:t>
            </w:r>
          </w:p>
        </w:tc>
        <w:tc>
          <w:tcPr>
            <w:tcW w:w="995" w:type="dxa"/>
            <w:tcBorders>
              <w:bottom w:val="single" w:sz="4" w:space="0" w:color="auto"/>
            </w:tcBorders>
            <w:shd w:val="clear" w:color="auto" w:fill="auto"/>
            <w:vAlign w:val="center"/>
          </w:tcPr>
          <w:p w14:paraId="0661879F" w14:textId="77777777" w:rsidR="00D9465C" w:rsidRPr="00230801" w:rsidRDefault="00D9465C" w:rsidP="00DD0F28">
            <w:pPr>
              <w:jc w:val="right"/>
              <w:rPr>
                <w:color w:val="000000"/>
                <w:sz w:val="16"/>
                <w:szCs w:val="16"/>
                <w:lang w:eastAsia="en-NZ"/>
              </w:rPr>
            </w:pPr>
            <w:r w:rsidRPr="00230801">
              <w:rPr>
                <w:color w:val="000000"/>
                <w:sz w:val="16"/>
                <w:szCs w:val="16"/>
                <w:lang w:eastAsia="en-NZ"/>
              </w:rPr>
              <w:t>100.0</w:t>
            </w:r>
          </w:p>
        </w:tc>
        <w:tc>
          <w:tcPr>
            <w:tcW w:w="1055" w:type="dxa"/>
            <w:tcBorders>
              <w:bottom w:val="single" w:sz="4" w:space="0" w:color="auto"/>
            </w:tcBorders>
            <w:shd w:val="clear" w:color="auto" w:fill="auto"/>
            <w:vAlign w:val="center"/>
          </w:tcPr>
          <w:p w14:paraId="669C85CC" w14:textId="77777777" w:rsidR="00D9465C" w:rsidRPr="00637CF2" w:rsidRDefault="00D9465C" w:rsidP="00DD0F28">
            <w:pPr>
              <w:jc w:val="right"/>
              <w:rPr>
                <w:color w:val="000000"/>
                <w:sz w:val="16"/>
                <w:szCs w:val="16"/>
                <w:lang w:eastAsia="en-NZ"/>
              </w:rPr>
            </w:pPr>
          </w:p>
        </w:tc>
        <w:tc>
          <w:tcPr>
            <w:tcW w:w="1275" w:type="dxa"/>
            <w:tcBorders>
              <w:bottom w:val="single" w:sz="4" w:space="0" w:color="auto"/>
            </w:tcBorders>
            <w:shd w:val="clear" w:color="auto" w:fill="auto"/>
            <w:vAlign w:val="center"/>
          </w:tcPr>
          <w:p w14:paraId="1DC5D54D" w14:textId="77777777" w:rsidR="00D9465C" w:rsidRPr="00637CF2" w:rsidRDefault="00D9465C" w:rsidP="00DD0F28">
            <w:pPr>
              <w:jc w:val="right"/>
              <w:rPr>
                <w:color w:val="000000"/>
                <w:sz w:val="16"/>
                <w:szCs w:val="16"/>
                <w:lang w:eastAsia="en-NZ"/>
              </w:rPr>
            </w:pPr>
          </w:p>
        </w:tc>
        <w:tc>
          <w:tcPr>
            <w:tcW w:w="1020" w:type="dxa"/>
            <w:tcBorders>
              <w:bottom w:val="single" w:sz="4" w:space="0" w:color="auto"/>
            </w:tcBorders>
            <w:shd w:val="clear" w:color="auto" w:fill="auto"/>
            <w:vAlign w:val="center"/>
          </w:tcPr>
          <w:p w14:paraId="4994BDEB" w14:textId="77777777" w:rsidR="00D9465C" w:rsidRPr="00637CF2" w:rsidRDefault="00D9465C" w:rsidP="00DD0F28">
            <w:pPr>
              <w:jc w:val="right"/>
              <w:rPr>
                <w:color w:val="000000"/>
                <w:sz w:val="16"/>
                <w:szCs w:val="16"/>
                <w:lang w:eastAsia="en-NZ"/>
              </w:rPr>
            </w:pPr>
          </w:p>
        </w:tc>
      </w:tr>
    </w:tbl>
    <w:p w14:paraId="36D2963F" w14:textId="77777777" w:rsidR="00D9465C" w:rsidRPr="00230801" w:rsidRDefault="00D9465C" w:rsidP="00D9465C">
      <w:pPr>
        <w:rPr>
          <w:rFonts w:eastAsiaTheme="majorEastAsia"/>
          <w:sz w:val="16"/>
          <w:lang w:eastAsia="en-US"/>
        </w:rPr>
      </w:pPr>
      <w:r>
        <w:rPr>
          <w:rFonts w:eastAsiaTheme="majorEastAsia"/>
          <w:sz w:val="16"/>
          <w:lang w:eastAsia="en-US"/>
        </w:rPr>
        <w:t>Data weighted for 2013 Census data (all Waves) and attrition (Waves 2, 3 and 4)</w:t>
      </w:r>
    </w:p>
    <w:p w14:paraId="47DAC102" w14:textId="77777777" w:rsidR="00D9465C" w:rsidRDefault="00D9465C" w:rsidP="00D9465C">
      <w:pPr>
        <w:rPr>
          <w:rFonts w:eastAsiaTheme="majorEastAsia" w:cstheme="majorBidi"/>
          <w:b/>
          <w:bCs/>
          <w:caps/>
          <w:szCs w:val="28"/>
          <w:lang w:eastAsia="en-US"/>
        </w:rPr>
      </w:pPr>
    </w:p>
    <w:p w14:paraId="2E2B4690" w14:textId="77777777" w:rsidR="00D9465C" w:rsidRDefault="00D9465C" w:rsidP="00D9465C">
      <w:pPr>
        <w:spacing w:after="200" w:line="276" w:lineRule="auto"/>
        <w:rPr>
          <w:rFonts w:eastAsiaTheme="majorEastAsia" w:cstheme="majorBidi"/>
          <w:b/>
          <w:bCs/>
          <w:caps/>
          <w:szCs w:val="28"/>
          <w:lang w:eastAsia="en-US"/>
        </w:rPr>
      </w:pPr>
      <w:r>
        <w:br w:type="page"/>
      </w:r>
    </w:p>
    <w:p w14:paraId="4D3EDE2D" w14:textId="77777777" w:rsidR="00D9465C" w:rsidRDefault="00D9465C" w:rsidP="00D9465C">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bookmarkStart w:id="225" w:name="_Toc504488425"/>
      <w:r>
        <w:t>APPENDIX 32</w:t>
      </w:r>
      <w:r w:rsidRPr="00230801">
        <w:t>:</w:t>
      </w:r>
      <w:r w:rsidRPr="00230801">
        <w:br/>
      </w:r>
      <w:r w:rsidRPr="00230801">
        <w:rPr>
          <w:caps w:val="0"/>
        </w:rPr>
        <w:t xml:space="preserve">Statistically significant bivariate associations for </w:t>
      </w:r>
      <w:r>
        <w:rPr>
          <w:caps w:val="0"/>
        </w:rPr>
        <w:t>relapse</w:t>
      </w:r>
      <w:r w:rsidRPr="00230801">
        <w:rPr>
          <w:caps w:val="0"/>
        </w:rPr>
        <w:t xml:space="preserve"> </w:t>
      </w:r>
      <w:r>
        <w:rPr>
          <w:caps w:val="0"/>
        </w:rPr>
        <w:t>into</w:t>
      </w:r>
      <w:r w:rsidRPr="00230801">
        <w:rPr>
          <w:caps w:val="0"/>
        </w:rPr>
        <w:t xml:space="preserve"> moderate-risk/problem gambling</w:t>
      </w:r>
      <w:bookmarkEnd w:id="225"/>
    </w:p>
    <w:p w14:paraId="7FDE3258" w14:textId="77777777" w:rsidR="00D9465C" w:rsidRPr="00302A4C" w:rsidRDefault="00D9465C" w:rsidP="00D9465C">
      <w:pPr>
        <w:pStyle w:val="RepNormal"/>
      </w:pPr>
    </w:p>
    <w:tbl>
      <w:tblPr>
        <w:tblStyle w:val="TableGrid"/>
        <w:tblW w:w="8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048"/>
        <w:gridCol w:w="995"/>
        <w:gridCol w:w="1055"/>
        <w:gridCol w:w="1275"/>
        <w:gridCol w:w="1020"/>
      </w:tblGrid>
      <w:tr w:rsidR="00D9465C" w:rsidRPr="003F15C0" w14:paraId="4EF5C762" w14:textId="77777777" w:rsidTr="00DD0F28">
        <w:trPr>
          <w:tblHeader/>
        </w:trPr>
        <w:tc>
          <w:tcPr>
            <w:tcW w:w="3119" w:type="dxa"/>
            <w:tcBorders>
              <w:top w:val="single" w:sz="4" w:space="0" w:color="auto"/>
              <w:bottom w:val="single" w:sz="4" w:space="0" w:color="auto"/>
            </w:tcBorders>
            <w:vAlign w:val="bottom"/>
          </w:tcPr>
          <w:p w14:paraId="0A3E5D8C" w14:textId="77777777" w:rsidR="00D9465C" w:rsidRPr="003F15C0" w:rsidRDefault="00D9465C" w:rsidP="00DD0F28">
            <w:pPr>
              <w:spacing w:before="20"/>
              <w:jc w:val="both"/>
              <w:rPr>
                <w:b/>
                <w:sz w:val="16"/>
                <w:szCs w:val="16"/>
              </w:rPr>
            </w:pPr>
            <w:r>
              <w:rPr>
                <w:b/>
                <w:sz w:val="16"/>
                <w:szCs w:val="16"/>
              </w:rPr>
              <w:t>Wave 1 v</w:t>
            </w:r>
            <w:r w:rsidRPr="003F15C0">
              <w:rPr>
                <w:b/>
                <w:sz w:val="16"/>
                <w:szCs w:val="16"/>
              </w:rPr>
              <w:t>ariable</w:t>
            </w:r>
          </w:p>
        </w:tc>
        <w:tc>
          <w:tcPr>
            <w:tcW w:w="1048" w:type="dxa"/>
            <w:tcBorders>
              <w:top w:val="single" w:sz="4" w:space="0" w:color="auto"/>
              <w:bottom w:val="single" w:sz="4" w:space="0" w:color="auto"/>
            </w:tcBorders>
            <w:vAlign w:val="bottom"/>
          </w:tcPr>
          <w:p w14:paraId="159775D7" w14:textId="77777777" w:rsidR="00D9465C" w:rsidRPr="003F15C0" w:rsidRDefault="00D9465C" w:rsidP="00DD0F28">
            <w:pPr>
              <w:spacing w:before="20"/>
              <w:jc w:val="right"/>
              <w:rPr>
                <w:b/>
                <w:bCs/>
                <w:color w:val="000000"/>
                <w:sz w:val="16"/>
                <w:szCs w:val="16"/>
              </w:rPr>
            </w:pPr>
            <w:r>
              <w:rPr>
                <w:b/>
                <w:bCs/>
                <w:color w:val="000000"/>
                <w:sz w:val="16"/>
                <w:szCs w:val="16"/>
              </w:rPr>
              <w:t>Adjusted n</w:t>
            </w:r>
          </w:p>
        </w:tc>
        <w:tc>
          <w:tcPr>
            <w:tcW w:w="995" w:type="dxa"/>
            <w:tcBorders>
              <w:top w:val="single" w:sz="4" w:space="0" w:color="auto"/>
              <w:bottom w:val="single" w:sz="4" w:space="0" w:color="auto"/>
            </w:tcBorders>
            <w:vAlign w:val="bottom"/>
          </w:tcPr>
          <w:p w14:paraId="6E90727F" w14:textId="77777777" w:rsidR="00D9465C" w:rsidRPr="003F15C0" w:rsidRDefault="00D9465C" w:rsidP="00B91F56">
            <w:pPr>
              <w:spacing w:before="20"/>
              <w:jc w:val="right"/>
              <w:rPr>
                <w:b/>
                <w:bCs/>
                <w:color w:val="000000"/>
                <w:sz w:val="16"/>
                <w:szCs w:val="16"/>
              </w:rPr>
            </w:pPr>
            <w:r w:rsidRPr="003F15C0">
              <w:rPr>
                <w:b/>
                <w:bCs/>
                <w:color w:val="000000"/>
                <w:sz w:val="16"/>
                <w:szCs w:val="16"/>
              </w:rPr>
              <w:t>%</w:t>
            </w:r>
            <w:r>
              <w:rPr>
                <w:b/>
                <w:bCs/>
                <w:color w:val="000000"/>
                <w:sz w:val="16"/>
                <w:szCs w:val="16"/>
              </w:rPr>
              <w:t xml:space="preserve"> Re</w:t>
            </w:r>
            <w:r w:rsidR="00B91F56">
              <w:rPr>
                <w:b/>
                <w:bCs/>
                <w:color w:val="000000"/>
                <w:sz w:val="16"/>
                <w:szCs w:val="16"/>
              </w:rPr>
              <w:t>lapse</w:t>
            </w:r>
          </w:p>
        </w:tc>
        <w:tc>
          <w:tcPr>
            <w:tcW w:w="1055" w:type="dxa"/>
            <w:tcBorders>
              <w:top w:val="single" w:sz="4" w:space="0" w:color="auto"/>
              <w:bottom w:val="single" w:sz="4" w:space="0" w:color="auto"/>
            </w:tcBorders>
            <w:vAlign w:val="bottom"/>
          </w:tcPr>
          <w:p w14:paraId="36857796" w14:textId="450AABC5" w:rsidR="00D9465C" w:rsidRPr="003F15C0" w:rsidRDefault="004B0286" w:rsidP="00DD0F28">
            <w:pPr>
              <w:spacing w:before="20"/>
              <w:jc w:val="right"/>
              <w:rPr>
                <w:b/>
                <w:color w:val="000000"/>
                <w:sz w:val="16"/>
                <w:szCs w:val="16"/>
              </w:rPr>
            </w:pPr>
            <w:r>
              <w:rPr>
                <w:b/>
                <w:color w:val="000000"/>
                <w:sz w:val="16"/>
                <w:szCs w:val="16"/>
              </w:rPr>
              <w:t>Odds r</w:t>
            </w:r>
            <w:r w:rsidR="00D9465C" w:rsidRPr="003F15C0">
              <w:rPr>
                <w:b/>
                <w:color w:val="000000"/>
                <w:sz w:val="16"/>
                <w:szCs w:val="16"/>
              </w:rPr>
              <w:t>atio</w:t>
            </w:r>
          </w:p>
        </w:tc>
        <w:tc>
          <w:tcPr>
            <w:tcW w:w="1275" w:type="dxa"/>
            <w:tcBorders>
              <w:top w:val="single" w:sz="4" w:space="0" w:color="auto"/>
              <w:bottom w:val="single" w:sz="4" w:space="0" w:color="auto"/>
            </w:tcBorders>
            <w:vAlign w:val="bottom"/>
          </w:tcPr>
          <w:p w14:paraId="39497C4D" w14:textId="77777777" w:rsidR="00D9465C" w:rsidRPr="003F15C0" w:rsidRDefault="00D9465C" w:rsidP="00DD0F28">
            <w:pPr>
              <w:spacing w:before="20"/>
              <w:jc w:val="right"/>
              <w:rPr>
                <w:b/>
                <w:color w:val="000000"/>
                <w:sz w:val="16"/>
                <w:szCs w:val="16"/>
              </w:rPr>
            </w:pPr>
            <w:r w:rsidRPr="003F15C0">
              <w:rPr>
                <w:b/>
                <w:color w:val="000000"/>
                <w:sz w:val="16"/>
                <w:szCs w:val="16"/>
              </w:rPr>
              <w:t>(95% CI)</w:t>
            </w:r>
          </w:p>
        </w:tc>
        <w:tc>
          <w:tcPr>
            <w:tcW w:w="1020" w:type="dxa"/>
            <w:tcBorders>
              <w:top w:val="single" w:sz="4" w:space="0" w:color="auto"/>
              <w:bottom w:val="single" w:sz="4" w:space="0" w:color="auto"/>
            </w:tcBorders>
            <w:vAlign w:val="bottom"/>
          </w:tcPr>
          <w:p w14:paraId="53326266" w14:textId="77777777" w:rsidR="00D9465C" w:rsidRPr="003F15C0" w:rsidRDefault="00D9465C" w:rsidP="00DD0F28">
            <w:pPr>
              <w:spacing w:before="20"/>
              <w:jc w:val="right"/>
              <w:rPr>
                <w:b/>
                <w:color w:val="000000"/>
                <w:sz w:val="16"/>
                <w:szCs w:val="16"/>
              </w:rPr>
            </w:pPr>
            <w:r w:rsidRPr="003F15C0">
              <w:rPr>
                <w:b/>
                <w:color w:val="000000"/>
                <w:sz w:val="16"/>
                <w:szCs w:val="16"/>
              </w:rPr>
              <w:t>p-value</w:t>
            </w:r>
          </w:p>
        </w:tc>
      </w:tr>
      <w:tr w:rsidR="00D9465C" w:rsidRPr="003F15C0" w14:paraId="5575E86D" w14:textId="77777777" w:rsidTr="00DD0F28">
        <w:tc>
          <w:tcPr>
            <w:tcW w:w="3119" w:type="dxa"/>
            <w:vAlign w:val="bottom"/>
          </w:tcPr>
          <w:p w14:paraId="45EEDCC2" w14:textId="77777777" w:rsidR="00D9465C" w:rsidRPr="003F15C0" w:rsidRDefault="00D9465C" w:rsidP="00DD0F28">
            <w:pPr>
              <w:spacing w:before="20"/>
              <w:jc w:val="both"/>
              <w:rPr>
                <w:b/>
                <w:sz w:val="16"/>
                <w:szCs w:val="16"/>
              </w:rPr>
            </w:pPr>
            <w:r w:rsidRPr="003F15C0">
              <w:rPr>
                <w:b/>
                <w:sz w:val="16"/>
                <w:szCs w:val="16"/>
              </w:rPr>
              <w:t>Ethnic group (prioritised)</w:t>
            </w:r>
            <w:r>
              <w:rPr>
                <w:b/>
                <w:sz w:val="16"/>
                <w:szCs w:val="16"/>
              </w:rPr>
              <w:t xml:space="preserve"> </w:t>
            </w:r>
          </w:p>
        </w:tc>
        <w:tc>
          <w:tcPr>
            <w:tcW w:w="1048" w:type="dxa"/>
            <w:shd w:val="clear" w:color="auto" w:fill="auto"/>
            <w:vAlign w:val="center"/>
          </w:tcPr>
          <w:p w14:paraId="7797D65D" w14:textId="77777777" w:rsidR="00D9465C" w:rsidRPr="00FE7300" w:rsidRDefault="00D9465C" w:rsidP="00DD0F28">
            <w:pPr>
              <w:jc w:val="right"/>
              <w:rPr>
                <w:color w:val="000000"/>
                <w:sz w:val="16"/>
                <w:szCs w:val="16"/>
                <w:lang w:eastAsia="en-NZ"/>
              </w:rPr>
            </w:pPr>
          </w:p>
        </w:tc>
        <w:tc>
          <w:tcPr>
            <w:tcW w:w="995" w:type="dxa"/>
            <w:shd w:val="clear" w:color="auto" w:fill="auto"/>
            <w:vAlign w:val="center"/>
          </w:tcPr>
          <w:p w14:paraId="1707B077" w14:textId="77777777" w:rsidR="00D9465C" w:rsidRPr="00FE7300" w:rsidRDefault="00D9465C" w:rsidP="00DD0F28">
            <w:pPr>
              <w:jc w:val="right"/>
              <w:rPr>
                <w:color w:val="000000"/>
                <w:sz w:val="16"/>
                <w:szCs w:val="16"/>
                <w:lang w:eastAsia="en-NZ"/>
              </w:rPr>
            </w:pPr>
          </w:p>
        </w:tc>
        <w:tc>
          <w:tcPr>
            <w:tcW w:w="1055" w:type="dxa"/>
            <w:shd w:val="clear" w:color="auto" w:fill="auto"/>
            <w:vAlign w:val="center"/>
          </w:tcPr>
          <w:p w14:paraId="1D097051" w14:textId="77777777" w:rsidR="00D9465C" w:rsidRPr="00FE7300" w:rsidRDefault="00D9465C" w:rsidP="00DD0F28">
            <w:pPr>
              <w:jc w:val="right"/>
              <w:rPr>
                <w:color w:val="000000"/>
                <w:sz w:val="16"/>
                <w:szCs w:val="16"/>
                <w:lang w:eastAsia="en-NZ"/>
              </w:rPr>
            </w:pPr>
          </w:p>
        </w:tc>
        <w:tc>
          <w:tcPr>
            <w:tcW w:w="1275" w:type="dxa"/>
            <w:shd w:val="clear" w:color="auto" w:fill="auto"/>
            <w:vAlign w:val="center"/>
          </w:tcPr>
          <w:p w14:paraId="0E2697EA" w14:textId="77777777" w:rsidR="00D9465C" w:rsidRPr="00FE7300" w:rsidRDefault="00D9465C" w:rsidP="00DD0F28">
            <w:pPr>
              <w:jc w:val="right"/>
              <w:rPr>
                <w:color w:val="000000"/>
                <w:sz w:val="16"/>
                <w:szCs w:val="16"/>
                <w:lang w:eastAsia="en-NZ"/>
              </w:rPr>
            </w:pPr>
          </w:p>
        </w:tc>
        <w:tc>
          <w:tcPr>
            <w:tcW w:w="1020" w:type="dxa"/>
            <w:shd w:val="clear" w:color="auto" w:fill="auto"/>
            <w:vAlign w:val="center"/>
          </w:tcPr>
          <w:p w14:paraId="799EA03B" w14:textId="77777777" w:rsidR="00D9465C" w:rsidRPr="00FE7300" w:rsidRDefault="00D9465C" w:rsidP="00DD0F28">
            <w:pPr>
              <w:jc w:val="right"/>
              <w:rPr>
                <w:color w:val="000000"/>
                <w:sz w:val="16"/>
                <w:szCs w:val="16"/>
                <w:lang w:eastAsia="en-NZ"/>
              </w:rPr>
            </w:pPr>
          </w:p>
        </w:tc>
      </w:tr>
      <w:tr w:rsidR="00D9465C" w:rsidRPr="003F15C0" w14:paraId="2B1AAB63" w14:textId="77777777" w:rsidTr="00DD0F28">
        <w:trPr>
          <w:trHeight w:val="157"/>
        </w:trPr>
        <w:tc>
          <w:tcPr>
            <w:tcW w:w="3119" w:type="dxa"/>
          </w:tcPr>
          <w:p w14:paraId="27627424" w14:textId="77777777" w:rsidR="00D9465C" w:rsidRPr="003F15C0" w:rsidRDefault="00D9465C" w:rsidP="00DD0F28">
            <w:pPr>
              <w:spacing w:before="20"/>
              <w:ind w:left="176"/>
              <w:jc w:val="both"/>
              <w:rPr>
                <w:sz w:val="16"/>
                <w:szCs w:val="16"/>
              </w:rPr>
            </w:pPr>
            <w:r w:rsidRPr="003F15C0">
              <w:rPr>
                <w:sz w:val="16"/>
                <w:szCs w:val="16"/>
              </w:rPr>
              <w:t>Māori</w:t>
            </w:r>
          </w:p>
        </w:tc>
        <w:tc>
          <w:tcPr>
            <w:tcW w:w="1048" w:type="dxa"/>
            <w:shd w:val="clear" w:color="auto" w:fill="auto"/>
            <w:vAlign w:val="center"/>
          </w:tcPr>
          <w:p w14:paraId="070E5B0E" w14:textId="77777777" w:rsidR="00D9465C" w:rsidRPr="005A130A" w:rsidRDefault="00D9465C" w:rsidP="00DD0F28">
            <w:pPr>
              <w:jc w:val="right"/>
              <w:rPr>
                <w:color w:val="000000"/>
                <w:sz w:val="16"/>
                <w:szCs w:val="20"/>
                <w:lang w:eastAsia="en-NZ"/>
              </w:rPr>
            </w:pPr>
            <w:r w:rsidRPr="005A130A">
              <w:rPr>
                <w:color w:val="000000"/>
                <w:sz w:val="16"/>
                <w:szCs w:val="20"/>
                <w:lang w:eastAsia="en-NZ"/>
              </w:rPr>
              <w:t>6</w:t>
            </w:r>
          </w:p>
        </w:tc>
        <w:tc>
          <w:tcPr>
            <w:tcW w:w="995" w:type="dxa"/>
            <w:shd w:val="clear" w:color="auto" w:fill="auto"/>
            <w:vAlign w:val="center"/>
          </w:tcPr>
          <w:p w14:paraId="4CC7D09F" w14:textId="77777777" w:rsidR="00D9465C" w:rsidRPr="005A130A" w:rsidRDefault="00D9465C" w:rsidP="00DD0F28">
            <w:pPr>
              <w:jc w:val="right"/>
              <w:rPr>
                <w:color w:val="000000"/>
                <w:sz w:val="16"/>
                <w:szCs w:val="20"/>
                <w:lang w:eastAsia="en-NZ"/>
              </w:rPr>
            </w:pPr>
            <w:r w:rsidRPr="005A130A">
              <w:rPr>
                <w:color w:val="000000"/>
                <w:sz w:val="16"/>
                <w:szCs w:val="20"/>
                <w:lang w:eastAsia="en-NZ"/>
              </w:rPr>
              <w:t>25.1</w:t>
            </w:r>
          </w:p>
        </w:tc>
        <w:tc>
          <w:tcPr>
            <w:tcW w:w="1055" w:type="dxa"/>
            <w:shd w:val="clear" w:color="auto" w:fill="auto"/>
            <w:vAlign w:val="center"/>
          </w:tcPr>
          <w:p w14:paraId="289B47DE" w14:textId="77777777" w:rsidR="00D9465C" w:rsidRPr="005A130A" w:rsidRDefault="00D9465C" w:rsidP="00DD0F28">
            <w:pPr>
              <w:jc w:val="right"/>
              <w:rPr>
                <w:color w:val="000000"/>
                <w:sz w:val="16"/>
                <w:szCs w:val="20"/>
                <w:lang w:eastAsia="en-NZ"/>
              </w:rPr>
            </w:pPr>
            <w:r w:rsidRPr="005A130A">
              <w:rPr>
                <w:color w:val="000000"/>
                <w:sz w:val="16"/>
                <w:szCs w:val="20"/>
                <w:lang w:eastAsia="en-NZ"/>
              </w:rPr>
              <w:t>10.30</w:t>
            </w:r>
          </w:p>
        </w:tc>
        <w:tc>
          <w:tcPr>
            <w:tcW w:w="1275" w:type="dxa"/>
            <w:shd w:val="clear" w:color="auto" w:fill="auto"/>
            <w:vAlign w:val="center"/>
          </w:tcPr>
          <w:p w14:paraId="6820DCE6" w14:textId="77777777" w:rsidR="00D9465C" w:rsidRPr="005A130A" w:rsidRDefault="00D9465C" w:rsidP="00DD0F28">
            <w:pPr>
              <w:jc w:val="right"/>
              <w:rPr>
                <w:color w:val="000000"/>
                <w:sz w:val="16"/>
                <w:szCs w:val="20"/>
                <w:lang w:eastAsia="en-NZ"/>
              </w:rPr>
            </w:pPr>
            <w:r w:rsidRPr="005A130A">
              <w:rPr>
                <w:color w:val="000000"/>
                <w:sz w:val="16"/>
                <w:szCs w:val="20"/>
                <w:lang w:eastAsia="en-NZ"/>
              </w:rPr>
              <w:t>(0.72, 148.4</w:t>
            </w:r>
            <w:r>
              <w:rPr>
                <w:color w:val="000000"/>
                <w:sz w:val="16"/>
                <w:szCs w:val="20"/>
                <w:lang w:eastAsia="en-NZ"/>
              </w:rPr>
              <w:t>0</w:t>
            </w:r>
            <w:r w:rsidRPr="005A130A">
              <w:rPr>
                <w:color w:val="000000"/>
                <w:sz w:val="16"/>
                <w:szCs w:val="20"/>
                <w:lang w:eastAsia="en-NZ"/>
              </w:rPr>
              <w:t>)</w:t>
            </w:r>
          </w:p>
        </w:tc>
        <w:tc>
          <w:tcPr>
            <w:tcW w:w="1020" w:type="dxa"/>
            <w:shd w:val="clear" w:color="auto" w:fill="auto"/>
            <w:vAlign w:val="center"/>
          </w:tcPr>
          <w:p w14:paraId="4FC747CF" w14:textId="77777777" w:rsidR="00D9465C" w:rsidRPr="005A130A" w:rsidRDefault="00D9465C" w:rsidP="00DD0F28">
            <w:pPr>
              <w:jc w:val="right"/>
              <w:rPr>
                <w:color w:val="000000"/>
                <w:sz w:val="16"/>
                <w:szCs w:val="20"/>
                <w:lang w:eastAsia="en-NZ"/>
              </w:rPr>
            </w:pPr>
          </w:p>
        </w:tc>
      </w:tr>
      <w:tr w:rsidR="00D9465C" w:rsidRPr="003F15C0" w14:paraId="03B35ED9" w14:textId="77777777" w:rsidTr="00DD0F28">
        <w:tc>
          <w:tcPr>
            <w:tcW w:w="3119" w:type="dxa"/>
          </w:tcPr>
          <w:p w14:paraId="392DD0FA" w14:textId="77777777" w:rsidR="00D9465C" w:rsidRPr="003F15C0" w:rsidRDefault="00D9465C" w:rsidP="00DD0F28">
            <w:pPr>
              <w:spacing w:before="20"/>
              <w:ind w:left="176"/>
              <w:jc w:val="both"/>
              <w:rPr>
                <w:sz w:val="16"/>
                <w:szCs w:val="16"/>
              </w:rPr>
            </w:pPr>
            <w:r w:rsidRPr="003F15C0">
              <w:rPr>
                <w:sz w:val="16"/>
                <w:szCs w:val="16"/>
              </w:rPr>
              <w:t>Pacific</w:t>
            </w:r>
          </w:p>
        </w:tc>
        <w:tc>
          <w:tcPr>
            <w:tcW w:w="1048" w:type="dxa"/>
            <w:shd w:val="clear" w:color="auto" w:fill="auto"/>
            <w:vAlign w:val="center"/>
          </w:tcPr>
          <w:p w14:paraId="2DB6E2C2" w14:textId="77777777" w:rsidR="00D9465C" w:rsidRPr="005A130A" w:rsidRDefault="00D9465C" w:rsidP="00DD0F28">
            <w:pPr>
              <w:jc w:val="right"/>
              <w:rPr>
                <w:color w:val="000000"/>
                <w:sz w:val="16"/>
                <w:szCs w:val="20"/>
                <w:lang w:eastAsia="en-NZ"/>
              </w:rPr>
            </w:pPr>
            <w:r w:rsidRPr="005A130A">
              <w:rPr>
                <w:color w:val="000000"/>
                <w:sz w:val="16"/>
                <w:szCs w:val="20"/>
                <w:lang w:eastAsia="en-NZ"/>
              </w:rPr>
              <w:t>4</w:t>
            </w:r>
          </w:p>
        </w:tc>
        <w:tc>
          <w:tcPr>
            <w:tcW w:w="995" w:type="dxa"/>
            <w:shd w:val="clear" w:color="auto" w:fill="auto"/>
            <w:vAlign w:val="center"/>
          </w:tcPr>
          <w:p w14:paraId="5C260172" w14:textId="77777777" w:rsidR="00D9465C" w:rsidRPr="005A130A" w:rsidRDefault="00D9465C" w:rsidP="00DD0F28">
            <w:pPr>
              <w:jc w:val="right"/>
              <w:rPr>
                <w:color w:val="000000"/>
                <w:sz w:val="16"/>
                <w:szCs w:val="20"/>
                <w:lang w:eastAsia="en-NZ"/>
              </w:rPr>
            </w:pPr>
            <w:r w:rsidRPr="005A130A">
              <w:rPr>
                <w:color w:val="000000"/>
                <w:sz w:val="16"/>
                <w:szCs w:val="20"/>
                <w:lang w:eastAsia="en-NZ"/>
              </w:rPr>
              <w:t>24.3</w:t>
            </w:r>
          </w:p>
        </w:tc>
        <w:tc>
          <w:tcPr>
            <w:tcW w:w="1055" w:type="dxa"/>
            <w:shd w:val="clear" w:color="auto" w:fill="auto"/>
            <w:vAlign w:val="center"/>
          </w:tcPr>
          <w:p w14:paraId="39124B81" w14:textId="77777777" w:rsidR="00D9465C" w:rsidRPr="005A130A" w:rsidRDefault="00D9465C" w:rsidP="00DD0F28">
            <w:pPr>
              <w:jc w:val="right"/>
              <w:rPr>
                <w:color w:val="000000"/>
                <w:sz w:val="16"/>
                <w:szCs w:val="20"/>
                <w:lang w:eastAsia="en-NZ"/>
              </w:rPr>
            </w:pPr>
            <w:r w:rsidRPr="005A130A">
              <w:rPr>
                <w:color w:val="000000"/>
                <w:sz w:val="16"/>
                <w:szCs w:val="20"/>
                <w:lang w:eastAsia="en-NZ"/>
              </w:rPr>
              <w:t>9.88</w:t>
            </w:r>
          </w:p>
        </w:tc>
        <w:tc>
          <w:tcPr>
            <w:tcW w:w="1275" w:type="dxa"/>
            <w:shd w:val="clear" w:color="auto" w:fill="auto"/>
            <w:vAlign w:val="center"/>
          </w:tcPr>
          <w:p w14:paraId="0DE76C95" w14:textId="77777777" w:rsidR="00D9465C" w:rsidRPr="005A130A" w:rsidRDefault="00D9465C" w:rsidP="00DD0F28">
            <w:pPr>
              <w:jc w:val="right"/>
              <w:rPr>
                <w:color w:val="000000"/>
                <w:sz w:val="16"/>
                <w:szCs w:val="20"/>
                <w:lang w:eastAsia="en-NZ"/>
              </w:rPr>
            </w:pPr>
            <w:r w:rsidRPr="005A130A">
              <w:rPr>
                <w:color w:val="000000"/>
                <w:sz w:val="16"/>
                <w:szCs w:val="20"/>
                <w:lang w:eastAsia="en-NZ"/>
              </w:rPr>
              <w:t>(0.87, 112.64)</w:t>
            </w:r>
          </w:p>
        </w:tc>
        <w:tc>
          <w:tcPr>
            <w:tcW w:w="1020" w:type="dxa"/>
            <w:shd w:val="clear" w:color="auto" w:fill="auto"/>
            <w:vAlign w:val="center"/>
          </w:tcPr>
          <w:p w14:paraId="023D4602" w14:textId="77777777" w:rsidR="00D9465C" w:rsidRPr="005A130A" w:rsidRDefault="00D9465C" w:rsidP="00DD0F28">
            <w:pPr>
              <w:jc w:val="right"/>
              <w:rPr>
                <w:color w:val="000000"/>
                <w:sz w:val="16"/>
                <w:szCs w:val="20"/>
                <w:lang w:eastAsia="en-NZ"/>
              </w:rPr>
            </w:pPr>
          </w:p>
        </w:tc>
      </w:tr>
      <w:tr w:rsidR="00D9465C" w:rsidRPr="003F15C0" w14:paraId="2C632454" w14:textId="77777777" w:rsidTr="00DD0F28">
        <w:tc>
          <w:tcPr>
            <w:tcW w:w="3119" w:type="dxa"/>
          </w:tcPr>
          <w:p w14:paraId="134A4D14" w14:textId="77777777" w:rsidR="00D9465C" w:rsidRPr="003F15C0" w:rsidRDefault="00D9465C" w:rsidP="00DD0F28">
            <w:pPr>
              <w:spacing w:before="20"/>
              <w:ind w:left="176"/>
              <w:jc w:val="both"/>
              <w:rPr>
                <w:sz w:val="16"/>
                <w:szCs w:val="16"/>
              </w:rPr>
            </w:pPr>
            <w:r w:rsidRPr="003F15C0">
              <w:rPr>
                <w:sz w:val="16"/>
                <w:szCs w:val="16"/>
              </w:rPr>
              <w:t>Asian</w:t>
            </w:r>
          </w:p>
        </w:tc>
        <w:tc>
          <w:tcPr>
            <w:tcW w:w="1048" w:type="dxa"/>
            <w:shd w:val="clear" w:color="auto" w:fill="auto"/>
            <w:vAlign w:val="center"/>
          </w:tcPr>
          <w:p w14:paraId="247BC31D" w14:textId="77777777" w:rsidR="00D9465C" w:rsidRPr="005A130A" w:rsidRDefault="00D9465C" w:rsidP="00DD0F28">
            <w:pPr>
              <w:jc w:val="right"/>
              <w:rPr>
                <w:color w:val="000000"/>
                <w:sz w:val="16"/>
                <w:szCs w:val="20"/>
                <w:lang w:eastAsia="en-NZ"/>
              </w:rPr>
            </w:pPr>
            <w:r w:rsidRPr="005A130A">
              <w:rPr>
                <w:color w:val="000000"/>
                <w:sz w:val="16"/>
                <w:szCs w:val="20"/>
                <w:lang w:eastAsia="en-NZ"/>
              </w:rPr>
              <w:t>2</w:t>
            </w:r>
          </w:p>
        </w:tc>
        <w:tc>
          <w:tcPr>
            <w:tcW w:w="995" w:type="dxa"/>
            <w:shd w:val="clear" w:color="auto" w:fill="auto"/>
            <w:vAlign w:val="center"/>
          </w:tcPr>
          <w:p w14:paraId="3AF8E55F" w14:textId="77777777" w:rsidR="00D9465C" w:rsidRPr="005A130A" w:rsidRDefault="00D9465C" w:rsidP="00DD0F28">
            <w:pPr>
              <w:jc w:val="right"/>
              <w:rPr>
                <w:color w:val="000000"/>
                <w:sz w:val="16"/>
                <w:szCs w:val="20"/>
                <w:lang w:eastAsia="en-NZ"/>
              </w:rPr>
            </w:pPr>
            <w:r w:rsidRPr="005A130A">
              <w:rPr>
                <w:color w:val="000000"/>
                <w:sz w:val="16"/>
                <w:szCs w:val="20"/>
                <w:lang w:eastAsia="en-NZ"/>
              </w:rPr>
              <w:t>75.1</w:t>
            </w:r>
          </w:p>
        </w:tc>
        <w:tc>
          <w:tcPr>
            <w:tcW w:w="1055" w:type="dxa"/>
            <w:shd w:val="clear" w:color="auto" w:fill="auto"/>
            <w:vAlign w:val="center"/>
          </w:tcPr>
          <w:p w14:paraId="798447AF" w14:textId="77777777" w:rsidR="00D9465C" w:rsidRPr="005A130A" w:rsidRDefault="00D9465C" w:rsidP="00DD0F28">
            <w:pPr>
              <w:jc w:val="right"/>
              <w:rPr>
                <w:color w:val="000000"/>
                <w:sz w:val="16"/>
                <w:szCs w:val="20"/>
                <w:lang w:eastAsia="en-NZ"/>
              </w:rPr>
            </w:pPr>
            <w:r w:rsidRPr="005A130A">
              <w:rPr>
                <w:color w:val="000000"/>
                <w:sz w:val="16"/>
                <w:szCs w:val="20"/>
                <w:lang w:eastAsia="en-NZ"/>
              </w:rPr>
              <w:t>92.49</w:t>
            </w:r>
          </w:p>
        </w:tc>
        <w:tc>
          <w:tcPr>
            <w:tcW w:w="1275" w:type="dxa"/>
            <w:shd w:val="clear" w:color="auto" w:fill="auto"/>
            <w:vAlign w:val="center"/>
          </w:tcPr>
          <w:p w14:paraId="62BF08BF" w14:textId="77777777" w:rsidR="00D9465C" w:rsidRPr="005A130A" w:rsidRDefault="00D9465C" w:rsidP="00DD0F28">
            <w:pPr>
              <w:jc w:val="right"/>
              <w:rPr>
                <w:color w:val="000000"/>
                <w:sz w:val="16"/>
                <w:szCs w:val="20"/>
                <w:lang w:eastAsia="en-NZ"/>
              </w:rPr>
            </w:pPr>
            <w:r w:rsidRPr="005A130A">
              <w:rPr>
                <w:color w:val="000000"/>
                <w:sz w:val="16"/>
                <w:szCs w:val="20"/>
                <w:lang w:eastAsia="en-NZ"/>
              </w:rPr>
              <w:t>(3.80, &gt;999.99)</w:t>
            </w:r>
          </w:p>
        </w:tc>
        <w:tc>
          <w:tcPr>
            <w:tcW w:w="1020" w:type="dxa"/>
            <w:shd w:val="clear" w:color="auto" w:fill="auto"/>
            <w:vAlign w:val="center"/>
          </w:tcPr>
          <w:p w14:paraId="55BF711C" w14:textId="77777777" w:rsidR="00D9465C" w:rsidRPr="005A130A" w:rsidRDefault="00D9465C" w:rsidP="00DD0F28">
            <w:pPr>
              <w:jc w:val="right"/>
              <w:rPr>
                <w:color w:val="000000"/>
                <w:sz w:val="16"/>
                <w:szCs w:val="20"/>
                <w:lang w:eastAsia="en-NZ"/>
              </w:rPr>
            </w:pPr>
          </w:p>
        </w:tc>
      </w:tr>
      <w:tr w:rsidR="00D9465C" w:rsidRPr="003F15C0" w14:paraId="5588270A" w14:textId="77777777" w:rsidTr="00DD0F28">
        <w:tc>
          <w:tcPr>
            <w:tcW w:w="3119" w:type="dxa"/>
          </w:tcPr>
          <w:p w14:paraId="7275663B" w14:textId="77777777" w:rsidR="00D9465C" w:rsidRPr="003F15C0" w:rsidRDefault="00D9465C" w:rsidP="00DD0F28">
            <w:pPr>
              <w:spacing w:before="20"/>
              <w:ind w:left="176"/>
              <w:jc w:val="both"/>
              <w:rPr>
                <w:sz w:val="16"/>
                <w:szCs w:val="16"/>
              </w:rPr>
            </w:pPr>
            <w:r w:rsidRPr="003F15C0">
              <w:rPr>
                <w:sz w:val="16"/>
                <w:szCs w:val="16"/>
              </w:rPr>
              <w:t>European/Other</w:t>
            </w:r>
          </w:p>
        </w:tc>
        <w:tc>
          <w:tcPr>
            <w:tcW w:w="1048" w:type="dxa"/>
            <w:shd w:val="clear" w:color="auto" w:fill="auto"/>
            <w:vAlign w:val="center"/>
          </w:tcPr>
          <w:p w14:paraId="1CDFDCB9" w14:textId="77777777" w:rsidR="00D9465C" w:rsidRPr="005A130A" w:rsidRDefault="00D9465C" w:rsidP="00DD0F28">
            <w:pPr>
              <w:jc w:val="right"/>
              <w:rPr>
                <w:color w:val="000000"/>
                <w:sz w:val="16"/>
                <w:szCs w:val="20"/>
                <w:lang w:eastAsia="en-NZ"/>
              </w:rPr>
            </w:pPr>
            <w:r w:rsidRPr="005A130A">
              <w:rPr>
                <w:color w:val="000000"/>
                <w:sz w:val="16"/>
                <w:szCs w:val="20"/>
                <w:lang w:eastAsia="en-NZ"/>
              </w:rPr>
              <w:t>18</w:t>
            </w:r>
          </w:p>
        </w:tc>
        <w:tc>
          <w:tcPr>
            <w:tcW w:w="995" w:type="dxa"/>
            <w:shd w:val="clear" w:color="auto" w:fill="auto"/>
            <w:vAlign w:val="center"/>
          </w:tcPr>
          <w:p w14:paraId="53235F47" w14:textId="77777777" w:rsidR="00D9465C" w:rsidRPr="005A130A" w:rsidRDefault="00D9465C" w:rsidP="00DD0F28">
            <w:pPr>
              <w:jc w:val="right"/>
              <w:rPr>
                <w:color w:val="000000"/>
                <w:sz w:val="16"/>
                <w:szCs w:val="20"/>
                <w:lang w:eastAsia="en-NZ"/>
              </w:rPr>
            </w:pPr>
            <w:r w:rsidRPr="005A130A">
              <w:rPr>
                <w:color w:val="000000"/>
                <w:sz w:val="16"/>
                <w:szCs w:val="20"/>
                <w:lang w:eastAsia="en-NZ"/>
              </w:rPr>
              <w:t>3.2</w:t>
            </w:r>
          </w:p>
        </w:tc>
        <w:tc>
          <w:tcPr>
            <w:tcW w:w="1055" w:type="dxa"/>
            <w:shd w:val="clear" w:color="auto" w:fill="auto"/>
            <w:vAlign w:val="center"/>
          </w:tcPr>
          <w:p w14:paraId="0F0AF7DE" w14:textId="77777777" w:rsidR="00D9465C" w:rsidRPr="005A130A" w:rsidRDefault="00D9465C" w:rsidP="00DD0F28">
            <w:pPr>
              <w:jc w:val="right"/>
              <w:rPr>
                <w:color w:val="000000"/>
                <w:sz w:val="16"/>
                <w:szCs w:val="20"/>
                <w:lang w:eastAsia="en-NZ"/>
              </w:rPr>
            </w:pPr>
            <w:r w:rsidRPr="005A130A">
              <w:rPr>
                <w:color w:val="000000"/>
                <w:sz w:val="16"/>
                <w:szCs w:val="20"/>
                <w:lang w:eastAsia="en-NZ"/>
              </w:rPr>
              <w:t>1.00</w:t>
            </w:r>
          </w:p>
        </w:tc>
        <w:tc>
          <w:tcPr>
            <w:tcW w:w="1275" w:type="dxa"/>
            <w:shd w:val="clear" w:color="auto" w:fill="auto"/>
            <w:vAlign w:val="center"/>
          </w:tcPr>
          <w:p w14:paraId="32D3C7A8" w14:textId="77777777" w:rsidR="00D9465C" w:rsidRPr="005A130A" w:rsidRDefault="00D9465C" w:rsidP="00DD0F28">
            <w:pPr>
              <w:jc w:val="right"/>
              <w:rPr>
                <w:sz w:val="16"/>
                <w:szCs w:val="20"/>
                <w:lang w:eastAsia="en-NZ"/>
              </w:rPr>
            </w:pPr>
          </w:p>
        </w:tc>
        <w:tc>
          <w:tcPr>
            <w:tcW w:w="1020" w:type="dxa"/>
            <w:shd w:val="clear" w:color="auto" w:fill="auto"/>
            <w:vAlign w:val="center"/>
          </w:tcPr>
          <w:p w14:paraId="019F40DE" w14:textId="77777777" w:rsidR="00D9465C" w:rsidRPr="005A130A" w:rsidRDefault="00D9465C" w:rsidP="00DD0F28">
            <w:pPr>
              <w:jc w:val="right"/>
              <w:rPr>
                <w:color w:val="000000"/>
                <w:sz w:val="16"/>
                <w:szCs w:val="20"/>
                <w:lang w:eastAsia="en-NZ"/>
              </w:rPr>
            </w:pPr>
            <w:r w:rsidRPr="005A130A">
              <w:rPr>
                <w:color w:val="000000"/>
                <w:sz w:val="16"/>
                <w:szCs w:val="20"/>
                <w:lang w:eastAsia="en-NZ"/>
              </w:rPr>
              <w:t>0.04</w:t>
            </w:r>
          </w:p>
        </w:tc>
      </w:tr>
      <w:tr w:rsidR="00D9465C" w:rsidRPr="003F15C0" w14:paraId="0296A241" w14:textId="77777777" w:rsidTr="00DD0F28">
        <w:tc>
          <w:tcPr>
            <w:tcW w:w="3119" w:type="dxa"/>
            <w:vAlign w:val="bottom"/>
          </w:tcPr>
          <w:p w14:paraId="634E92C8" w14:textId="77777777" w:rsidR="00D9465C" w:rsidRPr="003F15C0" w:rsidRDefault="00D9465C" w:rsidP="00DD0F28">
            <w:pPr>
              <w:spacing w:before="20"/>
              <w:jc w:val="both"/>
              <w:rPr>
                <w:b/>
                <w:sz w:val="16"/>
                <w:szCs w:val="16"/>
              </w:rPr>
            </w:pPr>
            <w:r>
              <w:rPr>
                <w:b/>
                <w:sz w:val="16"/>
                <w:szCs w:val="16"/>
              </w:rPr>
              <w:t>Area of residence</w:t>
            </w:r>
          </w:p>
        </w:tc>
        <w:tc>
          <w:tcPr>
            <w:tcW w:w="1048" w:type="dxa"/>
            <w:shd w:val="clear" w:color="auto" w:fill="auto"/>
            <w:vAlign w:val="center"/>
          </w:tcPr>
          <w:p w14:paraId="5861FA64" w14:textId="77777777" w:rsidR="00D9465C" w:rsidRPr="00FE7300" w:rsidRDefault="00D9465C" w:rsidP="00DD0F28">
            <w:pPr>
              <w:jc w:val="right"/>
              <w:rPr>
                <w:color w:val="000000"/>
                <w:sz w:val="16"/>
                <w:szCs w:val="16"/>
                <w:lang w:eastAsia="en-NZ"/>
              </w:rPr>
            </w:pPr>
          </w:p>
        </w:tc>
        <w:tc>
          <w:tcPr>
            <w:tcW w:w="995" w:type="dxa"/>
            <w:shd w:val="clear" w:color="auto" w:fill="auto"/>
            <w:vAlign w:val="center"/>
          </w:tcPr>
          <w:p w14:paraId="41CFB235" w14:textId="77777777" w:rsidR="00D9465C" w:rsidRPr="00FE7300" w:rsidRDefault="00D9465C" w:rsidP="00DD0F28">
            <w:pPr>
              <w:jc w:val="right"/>
              <w:rPr>
                <w:color w:val="000000"/>
                <w:sz w:val="16"/>
                <w:szCs w:val="16"/>
                <w:lang w:eastAsia="en-NZ"/>
              </w:rPr>
            </w:pPr>
          </w:p>
        </w:tc>
        <w:tc>
          <w:tcPr>
            <w:tcW w:w="1055" w:type="dxa"/>
            <w:shd w:val="clear" w:color="auto" w:fill="auto"/>
            <w:vAlign w:val="center"/>
          </w:tcPr>
          <w:p w14:paraId="57F479F6" w14:textId="77777777" w:rsidR="00D9465C" w:rsidRPr="00FE7300" w:rsidRDefault="00D9465C" w:rsidP="00DD0F28">
            <w:pPr>
              <w:jc w:val="right"/>
              <w:rPr>
                <w:color w:val="000000"/>
                <w:sz w:val="16"/>
                <w:szCs w:val="16"/>
                <w:lang w:eastAsia="en-NZ"/>
              </w:rPr>
            </w:pPr>
          </w:p>
        </w:tc>
        <w:tc>
          <w:tcPr>
            <w:tcW w:w="1275" w:type="dxa"/>
            <w:shd w:val="clear" w:color="auto" w:fill="auto"/>
            <w:vAlign w:val="center"/>
          </w:tcPr>
          <w:p w14:paraId="58F7C2FC" w14:textId="77777777" w:rsidR="00D9465C" w:rsidRPr="00FE7300" w:rsidRDefault="00D9465C" w:rsidP="00DD0F28">
            <w:pPr>
              <w:jc w:val="right"/>
              <w:rPr>
                <w:color w:val="000000"/>
                <w:sz w:val="16"/>
                <w:szCs w:val="16"/>
                <w:lang w:eastAsia="en-NZ"/>
              </w:rPr>
            </w:pPr>
          </w:p>
        </w:tc>
        <w:tc>
          <w:tcPr>
            <w:tcW w:w="1020" w:type="dxa"/>
            <w:shd w:val="clear" w:color="auto" w:fill="auto"/>
            <w:vAlign w:val="center"/>
          </w:tcPr>
          <w:p w14:paraId="3400179D" w14:textId="77777777" w:rsidR="00D9465C" w:rsidRPr="00FE7300" w:rsidRDefault="00D9465C" w:rsidP="00DD0F28">
            <w:pPr>
              <w:jc w:val="right"/>
              <w:rPr>
                <w:color w:val="000000"/>
                <w:sz w:val="16"/>
                <w:szCs w:val="16"/>
                <w:lang w:eastAsia="en-NZ"/>
              </w:rPr>
            </w:pPr>
          </w:p>
        </w:tc>
      </w:tr>
      <w:tr w:rsidR="00D9465C" w:rsidRPr="003F15C0" w14:paraId="103BD93C" w14:textId="77777777" w:rsidTr="00DD0F28">
        <w:tc>
          <w:tcPr>
            <w:tcW w:w="3119" w:type="dxa"/>
          </w:tcPr>
          <w:p w14:paraId="67DB3E46" w14:textId="77777777" w:rsidR="00D9465C" w:rsidRPr="003F15C0" w:rsidRDefault="00D9465C" w:rsidP="00DD0F28">
            <w:pPr>
              <w:spacing w:before="20"/>
              <w:ind w:left="176"/>
              <w:jc w:val="both"/>
              <w:rPr>
                <w:sz w:val="16"/>
                <w:szCs w:val="16"/>
              </w:rPr>
            </w:pPr>
            <w:r>
              <w:rPr>
                <w:sz w:val="16"/>
                <w:szCs w:val="16"/>
              </w:rPr>
              <w:t>Auckland</w:t>
            </w:r>
          </w:p>
        </w:tc>
        <w:tc>
          <w:tcPr>
            <w:tcW w:w="1048" w:type="dxa"/>
            <w:shd w:val="clear" w:color="auto" w:fill="auto"/>
            <w:vAlign w:val="center"/>
          </w:tcPr>
          <w:p w14:paraId="60F0F925" w14:textId="77777777" w:rsidR="00D9465C" w:rsidRPr="005A130A" w:rsidRDefault="00D9465C" w:rsidP="00DD0F28">
            <w:pPr>
              <w:jc w:val="right"/>
              <w:rPr>
                <w:color w:val="000000"/>
                <w:sz w:val="16"/>
                <w:szCs w:val="20"/>
                <w:lang w:eastAsia="en-NZ"/>
              </w:rPr>
            </w:pPr>
            <w:r w:rsidRPr="005A130A">
              <w:rPr>
                <w:color w:val="000000"/>
                <w:sz w:val="16"/>
                <w:szCs w:val="20"/>
                <w:lang w:eastAsia="en-NZ"/>
              </w:rPr>
              <w:t>11</w:t>
            </w:r>
          </w:p>
        </w:tc>
        <w:tc>
          <w:tcPr>
            <w:tcW w:w="995" w:type="dxa"/>
            <w:shd w:val="clear" w:color="auto" w:fill="auto"/>
            <w:vAlign w:val="center"/>
          </w:tcPr>
          <w:p w14:paraId="1792D8A3" w14:textId="77777777" w:rsidR="00D9465C" w:rsidRPr="005A130A" w:rsidRDefault="00D9465C" w:rsidP="00DD0F28">
            <w:pPr>
              <w:jc w:val="right"/>
              <w:rPr>
                <w:color w:val="000000"/>
                <w:sz w:val="16"/>
                <w:szCs w:val="20"/>
                <w:lang w:eastAsia="en-NZ"/>
              </w:rPr>
            </w:pPr>
            <w:r w:rsidRPr="005A130A">
              <w:rPr>
                <w:color w:val="000000"/>
                <w:sz w:val="16"/>
                <w:szCs w:val="20"/>
                <w:lang w:eastAsia="en-NZ"/>
              </w:rPr>
              <w:t>25.6</w:t>
            </w:r>
          </w:p>
        </w:tc>
        <w:tc>
          <w:tcPr>
            <w:tcW w:w="1055" w:type="dxa"/>
            <w:shd w:val="clear" w:color="auto" w:fill="auto"/>
            <w:vAlign w:val="center"/>
          </w:tcPr>
          <w:p w14:paraId="778D90AC" w14:textId="77777777" w:rsidR="00D9465C" w:rsidRPr="00FE7300" w:rsidRDefault="00D9465C" w:rsidP="00DD0F28">
            <w:pPr>
              <w:jc w:val="right"/>
              <w:rPr>
                <w:color w:val="000000"/>
                <w:sz w:val="16"/>
                <w:szCs w:val="16"/>
                <w:lang w:eastAsia="en-NZ"/>
              </w:rPr>
            </w:pPr>
          </w:p>
        </w:tc>
        <w:tc>
          <w:tcPr>
            <w:tcW w:w="1275" w:type="dxa"/>
            <w:shd w:val="clear" w:color="auto" w:fill="auto"/>
            <w:vAlign w:val="center"/>
          </w:tcPr>
          <w:p w14:paraId="0CF3FDD0" w14:textId="77777777" w:rsidR="00D9465C" w:rsidRPr="00FE7300" w:rsidRDefault="00D9465C" w:rsidP="00DD0F28">
            <w:pPr>
              <w:jc w:val="right"/>
              <w:rPr>
                <w:color w:val="000000"/>
                <w:sz w:val="16"/>
                <w:szCs w:val="16"/>
                <w:lang w:eastAsia="en-NZ"/>
              </w:rPr>
            </w:pPr>
          </w:p>
        </w:tc>
        <w:tc>
          <w:tcPr>
            <w:tcW w:w="1020" w:type="dxa"/>
            <w:shd w:val="clear" w:color="auto" w:fill="auto"/>
            <w:vAlign w:val="center"/>
          </w:tcPr>
          <w:p w14:paraId="075CDAA0" w14:textId="77777777" w:rsidR="00D9465C" w:rsidRPr="00FE7300" w:rsidRDefault="00D9465C" w:rsidP="00DD0F28">
            <w:pPr>
              <w:jc w:val="right"/>
              <w:rPr>
                <w:color w:val="000000"/>
                <w:sz w:val="16"/>
                <w:szCs w:val="16"/>
                <w:lang w:eastAsia="en-NZ"/>
              </w:rPr>
            </w:pPr>
          </w:p>
        </w:tc>
      </w:tr>
      <w:tr w:rsidR="00D9465C" w:rsidRPr="003F15C0" w14:paraId="1BC0A997" w14:textId="77777777" w:rsidTr="00DD0F28">
        <w:tc>
          <w:tcPr>
            <w:tcW w:w="3119" w:type="dxa"/>
          </w:tcPr>
          <w:p w14:paraId="6309939C" w14:textId="77777777" w:rsidR="00D9465C" w:rsidRPr="003F15C0" w:rsidRDefault="00D9465C" w:rsidP="00DD0F28">
            <w:pPr>
              <w:spacing w:before="20"/>
              <w:ind w:left="176"/>
              <w:jc w:val="both"/>
              <w:rPr>
                <w:sz w:val="16"/>
                <w:szCs w:val="16"/>
              </w:rPr>
            </w:pPr>
            <w:r>
              <w:rPr>
                <w:sz w:val="16"/>
                <w:szCs w:val="16"/>
              </w:rPr>
              <w:t>Wellington</w:t>
            </w:r>
          </w:p>
        </w:tc>
        <w:tc>
          <w:tcPr>
            <w:tcW w:w="1048" w:type="dxa"/>
            <w:shd w:val="clear" w:color="auto" w:fill="auto"/>
            <w:vAlign w:val="center"/>
          </w:tcPr>
          <w:p w14:paraId="0170A616" w14:textId="77777777" w:rsidR="00D9465C" w:rsidRPr="005A130A" w:rsidRDefault="00D9465C" w:rsidP="00DD0F28">
            <w:pPr>
              <w:jc w:val="right"/>
              <w:rPr>
                <w:color w:val="000000"/>
                <w:sz w:val="16"/>
                <w:szCs w:val="20"/>
                <w:lang w:eastAsia="en-NZ"/>
              </w:rPr>
            </w:pPr>
            <w:r w:rsidRPr="005A130A">
              <w:rPr>
                <w:color w:val="000000"/>
                <w:sz w:val="16"/>
                <w:szCs w:val="20"/>
                <w:lang w:eastAsia="en-NZ"/>
              </w:rPr>
              <w:t>4</w:t>
            </w:r>
          </w:p>
        </w:tc>
        <w:tc>
          <w:tcPr>
            <w:tcW w:w="995" w:type="dxa"/>
            <w:shd w:val="clear" w:color="auto" w:fill="auto"/>
            <w:vAlign w:val="center"/>
          </w:tcPr>
          <w:p w14:paraId="59A0485F" w14:textId="77777777" w:rsidR="00D9465C" w:rsidRPr="005A130A" w:rsidRDefault="00D9465C" w:rsidP="00DD0F28">
            <w:pPr>
              <w:jc w:val="right"/>
              <w:rPr>
                <w:color w:val="000000"/>
                <w:sz w:val="16"/>
                <w:szCs w:val="20"/>
                <w:lang w:eastAsia="en-NZ"/>
              </w:rPr>
            </w:pPr>
            <w:r w:rsidRPr="005A130A">
              <w:rPr>
                <w:color w:val="000000"/>
                <w:sz w:val="16"/>
                <w:szCs w:val="20"/>
                <w:lang w:eastAsia="en-NZ"/>
              </w:rPr>
              <w:t>18.9</w:t>
            </w:r>
          </w:p>
        </w:tc>
        <w:tc>
          <w:tcPr>
            <w:tcW w:w="1055" w:type="dxa"/>
            <w:shd w:val="clear" w:color="auto" w:fill="auto"/>
            <w:vAlign w:val="center"/>
          </w:tcPr>
          <w:p w14:paraId="75054F0F" w14:textId="77777777" w:rsidR="00D9465C" w:rsidRPr="00FE7300" w:rsidRDefault="00D9465C" w:rsidP="00DD0F28">
            <w:pPr>
              <w:jc w:val="right"/>
              <w:rPr>
                <w:color w:val="000000"/>
                <w:sz w:val="16"/>
                <w:szCs w:val="16"/>
                <w:lang w:eastAsia="en-NZ"/>
              </w:rPr>
            </w:pPr>
          </w:p>
        </w:tc>
        <w:tc>
          <w:tcPr>
            <w:tcW w:w="1275" w:type="dxa"/>
            <w:shd w:val="clear" w:color="auto" w:fill="auto"/>
            <w:vAlign w:val="center"/>
          </w:tcPr>
          <w:p w14:paraId="67B6E2FD" w14:textId="77777777" w:rsidR="00D9465C" w:rsidRPr="00FE7300" w:rsidRDefault="00D9465C" w:rsidP="00DD0F28">
            <w:pPr>
              <w:jc w:val="right"/>
              <w:rPr>
                <w:color w:val="000000"/>
                <w:sz w:val="16"/>
                <w:szCs w:val="16"/>
                <w:lang w:eastAsia="en-NZ"/>
              </w:rPr>
            </w:pPr>
          </w:p>
        </w:tc>
        <w:tc>
          <w:tcPr>
            <w:tcW w:w="1020" w:type="dxa"/>
            <w:shd w:val="clear" w:color="auto" w:fill="auto"/>
            <w:vAlign w:val="center"/>
          </w:tcPr>
          <w:p w14:paraId="6E2EFD84" w14:textId="77777777" w:rsidR="00D9465C" w:rsidRPr="00FE7300" w:rsidRDefault="00D9465C" w:rsidP="00DD0F28">
            <w:pPr>
              <w:jc w:val="right"/>
              <w:rPr>
                <w:color w:val="000000"/>
                <w:sz w:val="16"/>
                <w:szCs w:val="16"/>
                <w:lang w:eastAsia="en-NZ"/>
              </w:rPr>
            </w:pPr>
          </w:p>
        </w:tc>
      </w:tr>
      <w:tr w:rsidR="00D9465C" w:rsidRPr="003F15C0" w14:paraId="6C6454C3" w14:textId="77777777" w:rsidTr="00DD0F28">
        <w:tc>
          <w:tcPr>
            <w:tcW w:w="3119" w:type="dxa"/>
          </w:tcPr>
          <w:p w14:paraId="4936CA6A" w14:textId="77777777" w:rsidR="00D9465C" w:rsidRPr="003F15C0" w:rsidRDefault="00D9465C" w:rsidP="00DD0F28">
            <w:pPr>
              <w:spacing w:before="20"/>
              <w:ind w:left="176"/>
              <w:jc w:val="both"/>
              <w:rPr>
                <w:sz w:val="16"/>
                <w:szCs w:val="16"/>
              </w:rPr>
            </w:pPr>
            <w:r>
              <w:rPr>
                <w:sz w:val="16"/>
                <w:szCs w:val="16"/>
              </w:rPr>
              <w:t>Christchurch</w:t>
            </w:r>
          </w:p>
        </w:tc>
        <w:tc>
          <w:tcPr>
            <w:tcW w:w="1048" w:type="dxa"/>
            <w:shd w:val="clear" w:color="auto" w:fill="auto"/>
            <w:vAlign w:val="center"/>
          </w:tcPr>
          <w:p w14:paraId="56002610" w14:textId="77777777" w:rsidR="00D9465C" w:rsidRPr="005A130A" w:rsidRDefault="00D9465C" w:rsidP="00DD0F28">
            <w:pPr>
              <w:jc w:val="right"/>
              <w:rPr>
                <w:color w:val="000000"/>
                <w:sz w:val="16"/>
                <w:szCs w:val="20"/>
                <w:lang w:eastAsia="en-NZ"/>
              </w:rPr>
            </w:pPr>
            <w:r w:rsidRPr="005A130A">
              <w:rPr>
                <w:color w:val="000000"/>
                <w:sz w:val="16"/>
                <w:szCs w:val="20"/>
                <w:lang w:eastAsia="en-NZ"/>
              </w:rPr>
              <w:t>3</w:t>
            </w:r>
          </w:p>
        </w:tc>
        <w:tc>
          <w:tcPr>
            <w:tcW w:w="995" w:type="dxa"/>
            <w:shd w:val="clear" w:color="auto" w:fill="auto"/>
            <w:vAlign w:val="center"/>
          </w:tcPr>
          <w:p w14:paraId="5EC120AF" w14:textId="77777777" w:rsidR="00D9465C" w:rsidRPr="005A130A" w:rsidRDefault="00D9465C" w:rsidP="00DD0F28">
            <w:pPr>
              <w:jc w:val="right"/>
              <w:rPr>
                <w:color w:val="000000"/>
                <w:sz w:val="16"/>
                <w:szCs w:val="20"/>
                <w:lang w:eastAsia="en-NZ"/>
              </w:rPr>
            </w:pPr>
            <w:r w:rsidRPr="005A130A">
              <w:rPr>
                <w:color w:val="000000"/>
                <w:sz w:val="16"/>
                <w:szCs w:val="20"/>
                <w:lang w:eastAsia="en-NZ"/>
              </w:rPr>
              <w:t>0.0</w:t>
            </w:r>
          </w:p>
        </w:tc>
        <w:tc>
          <w:tcPr>
            <w:tcW w:w="1055" w:type="dxa"/>
            <w:shd w:val="clear" w:color="auto" w:fill="auto"/>
            <w:vAlign w:val="center"/>
          </w:tcPr>
          <w:p w14:paraId="320FB07E" w14:textId="77777777" w:rsidR="00D9465C" w:rsidRPr="00FE7300" w:rsidRDefault="00D9465C" w:rsidP="00DD0F28">
            <w:pPr>
              <w:jc w:val="right"/>
              <w:rPr>
                <w:color w:val="000000"/>
                <w:sz w:val="16"/>
                <w:szCs w:val="16"/>
                <w:lang w:eastAsia="en-NZ"/>
              </w:rPr>
            </w:pPr>
          </w:p>
        </w:tc>
        <w:tc>
          <w:tcPr>
            <w:tcW w:w="1275" w:type="dxa"/>
            <w:shd w:val="clear" w:color="auto" w:fill="auto"/>
            <w:vAlign w:val="center"/>
          </w:tcPr>
          <w:p w14:paraId="1EF2A03A" w14:textId="77777777" w:rsidR="00D9465C" w:rsidRPr="00FE7300" w:rsidRDefault="00D9465C" w:rsidP="00DD0F28">
            <w:pPr>
              <w:jc w:val="right"/>
              <w:rPr>
                <w:color w:val="000000"/>
                <w:sz w:val="16"/>
                <w:szCs w:val="16"/>
                <w:lang w:eastAsia="en-NZ"/>
              </w:rPr>
            </w:pPr>
          </w:p>
        </w:tc>
        <w:tc>
          <w:tcPr>
            <w:tcW w:w="1020" w:type="dxa"/>
            <w:shd w:val="clear" w:color="auto" w:fill="auto"/>
            <w:vAlign w:val="center"/>
          </w:tcPr>
          <w:p w14:paraId="5CF98B5D" w14:textId="77777777" w:rsidR="00D9465C" w:rsidRPr="00FE7300" w:rsidRDefault="00D9465C" w:rsidP="00DD0F28">
            <w:pPr>
              <w:jc w:val="right"/>
              <w:rPr>
                <w:color w:val="000000"/>
                <w:sz w:val="16"/>
                <w:szCs w:val="16"/>
                <w:lang w:eastAsia="en-NZ"/>
              </w:rPr>
            </w:pPr>
          </w:p>
        </w:tc>
      </w:tr>
      <w:tr w:rsidR="00D9465C" w:rsidRPr="003F15C0" w14:paraId="207EF013" w14:textId="77777777" w:rsidTr="00DD0F28">
        <w:tc>
          <w:tcPr>
            <w:tcW w:w="3119" w:type="dxa"/>
          </w:tcPr>
          <w:p w14:paraId="60149ED8" w14:textId="77777777" w:rsidR="00D9465C" w:rsidRDefault="00D9465C" w:rsidP="00DD0F28">
            <w:pPr>
              <w:spacing w:before="20"/>
              <w:ind w:left="176"/>
              <w:jc w:val="both"/>
              <w:rPr>
                <w:sz w:val="16"/>
                <w:szCs w:val="16"/>
              </w:rPr>
            </w:pPr>
            <w:r>
              <w:rPr>
                <w:sz w:val="16"/>
                <w:szCs w:val="16"/>
              </w:rPr>
              <w:t>Rest of NZ</w:t>
            </w:r>
          </w:p>
        </w:tc>
        <w:tc>
          <w:tcPr>
            <w:tcW w:w="1048" w:type="dxa"/>
            <w:shd w:val="clear" w:color="auto" w:fill="auto"/>
            <w:vAlign w:val="center"/>
          </w:tcPr>
          <w:p w14:paraId="121EB4CA" w14:textId="77777777" w:rsidR="00D9465C" w:rsidRPr="005A130A" w:rsidRDefault="00D9465C" w:rsidP="00DD0F28">
            <w:pPr>
              <w:jc w:val="right"/>
              <w:rPr>
                <w:color w:val="000000"/>
                <w:sz w:val="16"/>
                <w:szCs w:val="20"/>
                <w:lang w:eastAsia="en-NZ"/>
              </w:rPr>
            </w:pPr>
            <w:r w:rsidRPr="005A130A">
              <w:rPr>
                <w:color w:val="000000"/>
                <w:sz w:val="16"/>
                <w:szCs w:val="20"/>
                <w:lang w:eastAsia="en-NZ"/>
              </w:rPr>
              <w:t>11</w:t>
            </w:r>
          </w:p>
        </w:tc>
        <w:tc>
          <w:tcPr>
            <w:tcW w:w="995" w:type="dxa"/>
            <w:shd w:val="clear" w:color="auto" w:fill="auto"/>
            <w:vAlign w:val="center"/>
          </w:tcPr>
          <w:p w14:paraId="3F0A6793" w14:textId="77777777" w:rsidR="00D9465C" w:rsidRPr="005A130A" w:rsidRDefault="00D9465C" w:rsidP="00DD0F28">
            <w:pPr>
              <w:jc w:val="right"/>
              <w:rPr>
                <w:color w:val="000000"/>
                <w:sz w:val="16"/>
                <w:szCs w:val="20"/>
                <w:lang w:eastAsia="en-NZ"/>
              </w:rPr>
            </w:pPr>
            <w:r w:rsidRPr="005A130A">
              <w:rPr>
                <w:color w:val="000000"/>
                <w:sz w:val="16"/>
                <w:szCs w:val="20"/>
                <w:lang w:eastAsia="en-NZ"/>
              </w:rPr>
              <w:t>25.6</w:t>
            </w:r>
          </w:p>
        </w:tc>
        <w:tc>
          <w:tcPr>
            <w:tcW w:w="1055" w:type="dxa"/>
            <w:shd w:val="clear" w:color="auto" w:fill="auto"/>
            <w:vAlign w:val="center"/>
          </w:tcPr>
          <w:p w14:paraId="0D34431B" w14:textId="77777777" w:rsidR="00D9465C" w:rsidRPr="00FE7300" w:rsidRDefault="00D9465C" w:rsidP="00DD0F28">
            <w:pPr>
              <w:jc w:val="right"/>
              <w:rPr>
                <w:color w:val="000000"/>
                <w:sz w:val="16"/>
                <w:szCs w:val="16"/>
                <w:lang w:eastAsia="en-NZ"/>
              </w:rPr>
            </w:pPr>
          </w:p>
        </w:tc>
        <w:tc>
          <w:tcPr>
            <w:tcW w:w="1275" w:type="dxa"/>
            <w:shd w:val="clear" w:color="auto" w:fill="auto"/>
            <w:vAlign w:val="center"/>
          </w:tcPr>
          <w:p w14:paraId="28FF07FA" w14:textId="77777777" w:rsidR="00D9465C" w:rsidRPr="00FE7300" w:rsidRDefault="00D9465C" w:rsidP="00DD0F28">
            <w:pPr>
              <w:jc w:val="right"/>
              <w:rPr>
                <w:color w:val="000000"/>
                <w:sz w:val="16"/>
                <w:szCs w:val="16"/>
                <w:lang w:eastAsia="en-NZ"/>
              </w:rPr>
            </w:pPr>
          </w:p>
        </w:tc>
        <w:tc>
          <w:tcPr>
            <w:tcW w:w="1020" w:type="dxa"/>
            <w:shd w:val="clear" w:color="auto" w:fill="auto"/>
            <w:vAlign w:val="center"/>
          </w:tcPr>
          <w:p w14:paraId="5AE1B8E4" w14:textId="77777777" w:rsidR="00D9465C" w:rsidRPr="00FE7300" w:rsidRDefault="00D9465C" w:rsidP="00DD0F28">
            <w:pPr>
              <w:jc w:val="right"/>
              <w:rPr>
                <w:color w:val="000000"/>
                <w:sz w:val="16"/>
                <w:szCs w:val="16"/>
                <w:lang w:eastAsia="en-NZ"/>
              </w:rPr>
            </w:pPr>
          </w:p>
        </w:tc>
      </w:tr>
      <w:tr w:rsidR="00D9465C" w:rsidRPr="003F15C0" w14:paraId="53CCFF84" w14:textId="77777777" w:rsidTr="00DD0F28">
        <w:tc>
          <w:tcPr>
            <w:tcW w:w="3119" w:type="dxa"/>
            <w:vAlign w:val="bottom"/>
          </w:tcPr>
          <w:p w14:paraId="40CCDC4C" w14:textId="77777777" w:rsidR="00D9465C" w:rsidRPr="003F15C0" w:rsidRDefault="00D9465C" w:rsidP="00DD0F28">
            <w:pPr>
              <w:spacing w:before="20"/>
              <w:jc w:val="both"/>
              <w:rPr>
                <w:b/>
                <w:sz w:val="16"/>
                <w:szCs w:val="16"/>
              </w:rPr>
            </w:pPr>
            <w:r>
              <w:rPr>
                <w:b/>
                <w:sz w:val="16"/>
                <w:szCs w:val="16"/>
              </w:rPr>
              <w:t>Text game or competition</w:t>
            </w:r>
            <w:r w:rsidRPr="003F15C0">
              <w:rPr>
                <w:b/>
                <w:sz w:val="16"/>
                <w:szCs w:val="16"/>
              </w:rPr>
              <w:t xml:space="preserve"> - annual</w:t>
            </w:r>
          </w:p>
        </w:tc>
        <w:tc>
          <w:tcPr>
            <w:tcW w:w="1048" w:type="dxa"/>
            <w:shd w:val="clear" w:color="auto" w:fill="auto"/>
          </w:tcPr>
          <w:p w14:paraId="0E2C2FD2" w14:textId="77777777" w:rsidR="00D9465C" w:rsidRPr="00230801" w:rsidRDefault="00D9465C" w:rsidP="00DD0F28">
            <w:pPr>
              <w:jc w:val="right"/>
              <w:rPr>
                <w:color w:val="000000"/>
                <w:sz w:val="16"/>
                <w:szCs w:val="16"/>
                <w:lang w:eastAsia="en-NZ"/>
              </w:rPr>
            </w:pPr>
          </w:p>
        </w:tc>
        <w:tc>
          <w:tcPr>
            <w:tcW w:w="995" w:type="dxa"/>
            <w:shd w:val="clear" w:color="auto" w:fill="auto"/>
            <w:vAlign w:val="center"/>
          </w:tcPr>
          <w:p w14:paraId="50334775" w14:textId="77777777" w:rsidR="00D9465C" w:rsidRPr="00230801" w:rsidRDefault="00D9465C" w:rsidP="00DD0F28">
            <w:pPr>
              <w:jc w:val="right"/>
              <w:rPr>
                <w:color w:val="000000"/>
                <w:sz w:val="16"/>
                <w:szCs w:val="16"/>
                <w:lang w:eastAsia="en-NZ"/>
              </w:rPr>
            </w:pPr>
          </w:p>
        </w:tc>
        <w:tc>
          <w:tcPr>
            <w:tcW w:w="1055" w:type="dxa"/>
            <w:shd w:val="clear" w:color="auto" w:fill="auto"/>
            <w:vAlign w:val="center"/>
          </w:tcPr>
          <w:p w14:paraId="5A4927DF" w14:textId="77777777" w:rsidR="00D9465C" w:rsidRPr="003F15C0" w:rsidRDefault="00D9465C" w:rsidP="00DD0F28">
            <w:pPr>
              <w:jc w:val="right"/>
              <w:rPr>
                <w:color w:val="000000"/>
                <w:sz w:val="16"/>
                <w:szCs w:val="16"/>
                <w:lang w:eastAsia="en-NZ"/>
              </w:rPr>
            </w:pPr>
          </w:p>
        </w:tc>
        <w:tc>
          <w:tcPr>
            <w:tcW w:w="1275" w:type="dxa"/>
            <w:shd w:val="clear" w:color="auto" w:fill="auto"/>
            <w:vAlign w:val="center"/>
          </w:tcPr>
          <w:p w14:paraId="438B8415" w14:textId="77777777" w:rsidR="00D9465C" w:rsidRPr="003F15C0" w:rsidRDefault="00D9465C" w:rsidP="00DD0F28">
            <w:pPr>
              <w:jc w:val="right"/>
              <w:rPr>
                <w:color w:val="000000"/>
                <w:sz w:val="16"/>
                <w:szCs w:val="16"/>
                <w:lang w:eastAsia="en-NZ"/>
              </w:rPr>
            </w:pPr>
          </w:p>
        </w:tc>
        <w:tc>
          <w:tcPr>
            <w:tcW w:w="1020" w:type="dxa"/>
            <w:shd w:val="clear" w:color="auto" w:fill="auto"/>
            <w:vAlign w:val="center"/>
          </w:tcPr>
          <w:p w14:paraId="5A56ECF3" w14:textId="77777777" w:rsidR="00D9465C" w:rsidRPr="003F15C0" w:rsidRDefault="00D9465C" w:rsidP="00DD0F28">
            <w:pPr>
              <w:jc w:val="right"/>
              <w:rPr>
                <w:color w:val="000000"/>
                <w:sz w:val="16"/>
                <w:szCs w:val="16"/>
                <w:lang w:eastAsia="en-NZ"/>
              </w:rPr>
            </w:pPr>
          </w:p>
        </w:tc>
      </w:tr>
      <w:tr w:rsidR="00D9465C" w:rsidRPr="003F15C0" w14:paraId="07EDE1DB" w14:textId="77777777" w:rsidTr="00DD0F28">
        <w:tc>
          <w:tcPr>
            <w:tcW w:w="3119" w:type="dxa"/>
          </w:tcPr>
          <w:p w14:paraId="7A73519A"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350E7B4E" w14:textId="77777777" w:rsidR="00D9465C" w:rsidRPr="005A130A" w:rsidRDefault="00D9465C" w:rsidP="00DD0F28">
            <w:pPr>
              <w:jc w:val="right"/>
              <w:rPr>
                <w:color w:val="000000"/>
                <w:sz w:val="16"/>
                <w:szCs w:val="20"/>
                <w:lang w:eastAsia="en-NZ"/>
              </w:rPr>
            </w:pPr>
            <w:r w:rsidRPr="005A130A">
              <w:rPr>
                <w:color w:val="000000"/>
                <w:sz w:val="16"/>
                <w:szCs w:val="20"/>
                <w:lang w:eastAsia="en-NZ"/>
              </w:rPr>
              <w:t>29</w:t>
            </w:r>
          </w:p>
        </w:tc>
        <w:tc>
          <w:tcPr>
            <w:tcW w:w="995" w:type="dxa"/>
            <w:shd w:val="clear" w:color="auto" w:fill="auto"/>
            <w:vAlign w:val="center"/>
          </w:tcPr>
          <w:p w14:paraId="079D2AA5" w14:textId="77777777" w:rsidR="00D9465C" w:rsidRPr="005A130A" w:rsidRDefault="00D9465C" w:rsidP="00DD0F28">
            <w:pPr>
              <w:jc w:val="right"/>
              <w:rPr>
                <w:color w:val="000000"/>
                <w:sz w:val="16"/>
                <w:szCs w:val="20"/>
                <w:lang w:eastAsia="en-NZ"/>
              </w:rPr>
            </w:pPr>
            <w:r w:rsidRPr="005A130A">
              <w:rPr>
                <w:color w:val="000000"/>
                <w:sz w:val="16"/>
                <w:szCs w:val="20"/>
                <w:lang w:eastAsia="en-NZ"/>
              </w:rPr>
              <w:t>16.2</w:t>
            </w:r>
          </w:p>
        </w:tc>
        <w:tc>
          <w:tcPr>
            <w:tcW w:w="1055" w:type="dxa"/>
            <w:shd w:val="clear" w:color="auto" w:fill="auto"/>
            <w:vAlign w:val="center"/>
          </w:tcPr>
          <w:p w14:paraId="33799E1C"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5BB36B6A"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0D2CBA25" w14:textId="77777777" w:rsidR="00D9465C" w:rsidRPr="00230801" w:rsidRDefault="00D9465C" w:rsidP="00DD0F28">
            <w:pPr>
              <w:jc w:val="right"/>
              <w:rPr>
                <w:color w:val="000000"/>
                <w:sz w:val="16"/>
                <w:szCs w:val="16"/>
                <w:lang w:eastAsia="en-NZ"/>
              </w:rPr>
            </w:pPr>
          </w:p>
        </w:tc>
      </w:tr>
      <w:tr w:rsidR="00D9465C" w:rsidRPr="003F15C0" w14:paraId="46DA1EC9" w14:textId="77777777" w:rsidTr="00DD0F28">
        <w:tc>
          <w:tcPr>
            <w:tcW w:w="3119" w:type="dxa"/>
          </w:tcPr>
          <w:p w14:paraId="4BFE3BD1"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shd w:val="clear" w:color="auto" w:fill="auto"/>
            <w:vAlign w:val="center"/>
          </w:tcPr>
          <w:p w14:paraId="73498FAC" w14:textId="77777777" w:rsidR="00D9465C" w:rsidRPr="005A130A" w:rsidRDefault="00D9465C" w:rsidP="00DD0F28">
            <w:pPr>
              <w:jc w:val="right"/>
              <w:rPr>
                <w:color w:val="000000"/>
                <w:sz w:val="16"/>
                <w:szCs w:val="20"/>
                <w:lang w:eastAsia="en-NZ"/>
              </w:rPr>
            </w:pPr>
            <w:r w:rsidRPr="005A130A">
              <w:rPr>
                <w:color w:val="000000"/>
                <w:sz w:val="16"/>
                <w:szCs w:val="20"/>
                <w:lang w:eastAsia="en-NZ"/>
              </w:rPr>
              <w:t>1</w:t>
            </w:r>
          </w:p>
        </w:tc>
        <w:tc>
          <w:tcPr>
            <w:tcW w:w="995" w:type="dxa"/>
            <w:shd w:val="clear" w:color="auto" w:fill="auto"/>
            <w:vAlign w:val="center"/>
          </w:tcPr>
          <w:p w14:paraId="6819B603" w14:textId="77777777" w:rsidR="00D9465C" w:rsidRPr="005A130A" w:rsidRDefault="00D9465C" w:rsidP="00DD0F28">
            <w:pPr>
              <w:jc w:val="right"/>
              <w:rPr>
                <w:color w:val="000000"/>
                <w:sz w:val="16"/>
                <w:szCs w:val="20"/>
                <w:lang w:eastAsia="en-NZ"/>
              </w:rPr>
            </w:pPr>
            <w:r w:rsidRPr="005A130A">
              <w:rPr>
                <w:color w:val="000000"/>
                <w:sz w:val="16"/>
                <w:szCs w:val="20"/>
                <w:lang w:eastAsia="en-NZ"/>
              </w:rPr>
              <w:t>0.0</w:t>
            </w:r>
          </w:p>
        </w:tc>
        <w:tc>
          <w:tcPr>
            <w:tcW w:w="1055" w:type="dxa"/>
            <w:shd w:val="clear" w:color="auto" w:fill="auto"/>
            <w:vAlign w:val="center"/>
          </w:tcPr>
          <w:p w14:paraId="3D688D19"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6EF9C328"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7EC0D5E1" w14:textId="77777777" w:rsidR="00D9465C" w:rsidRPr="00230801" w:rsidRDefault="00D9465C" w:rsidP="00DD0F28">
            <w:pPr>
              <w:jc w:val="right"/>
              <w:rPr>
                <w:color w:val="000000"/>
                <w:sz w:val="16"/>
                <w:szCs w:val="16"/>
                <w:lang w:eastAsia="en-NZ"/>
              </w:rPr>
            </w:pPr>
          </w:p>
        </w:tc>
      </w:tr>
      <w:tr w:rsidR="00D9465C" w:rsidRPr="003F15C0" w14:paraId="62E4E833" w14:textId="77777777" w:rsidTr="00DD0F28">
        <w:tc>
          <w:tcPr>
            <w:tcW w:w="3119" w:type="dxa"/>
          </w:tcPr>
          <w:p w14:paraId="38DBDD36" w14:textId="77777777" w:rsidR="00D9465C" w:rsidRPr="005A130A" w:rsidRDefault="00D9465C" w:rsidP="00DD0F28">
            <w:pPr>
              <w:spacing w:before="20"/>
              <w:jc w:val="both"/>
              <w:rPr>
                <w:b/>
                <w:sz w:val="16"/>
                <w:szCs w:val="16"/>
              </w:rPr>
            </w:pPr>
            <w:r>
              <w:rPr>
                <w:b/>
                <w:sz w:val="16"/>
                <w:szCs w:val="16"/>
              </w:rPr>
              <w:t>Housie/bingo - annual</w:t>
            </w:r>
          </w:p>
        </w:tc>
        <w:tc>
          <w:tcPr>
            <w:tcW w:w="1048" w:type="dxa"/>
            <w:shd w:val="clear" w:color="auto" w:fill="auto"/>
            <w:vAlign w:val="center"/>
          </w:tcPr>
          <w:p w14:paraId="65C23270" w14:textId="77777777" w:rsidR="00D9465C" w:rsidRPr="005A130A" w:rsidRDefault="00D9465C" w:rsidP="00DD0F28">
            <w:pPr>
              <w:jc w:val="right"/>
              <w:rPr>
                <w:color w:val="000000"/>
                <w:sz w:val="16"/>
                <w:szCs w:val="20"/>
                <w:lang w:eastAsia="en-NZ"/>
              </w:rPr>
            </w:pPr>
          </w:p>
        </w:tc>
        <w:tc>
          <w:tcPr>
            <w:tcW w:w="995" w:type="dxa"/>
            <w:shd w:val="clear" w:color="auto" w:fill="auto"/>
            <w:vAlign w:val="center"/>
          </w:tcPr>
          <w:p w14:paraId="6615DA03" w14:textId="77777777" w:rsidR="00D9465C" w:rsidRPr="005A130A" w:rsidRDefault="00D9465C" w:rsidP="00DD0F28">
            <w:pPr>
              <w:jc w:val="right"/>
              <w:rPr>
                <w:color w:val="000000"/>
                <w:sz w:val="16"/>
                <w:szCs w:val="20"/>
                <w:lang w:eastAsia="en-NZ"/>
              </w:rPr>
            </w:pPr>
          </w:p>
        </w:tc>
        <w:tc>
          <w:tcPr>
            <w:tcW w:w="1055" w:type="dxa"/>
            <w:shd w:val="clear" w:color="auto" w:fill="auto"/>
            <w:vAlign w:val="center"/>
          </w:tcPr>
          <w:p w14:paraId="6F59916F"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5A2D4230"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155116D0" w14:textId="77777777" w:rsidR="00D9465C" w:rsidRPr="00230801" w:rsidRDefault="00D9465C" w:rsidP="00DD0F28">
            <w:pPr>
              <w:jc w:val="right"/>
              <w:rPr>
                <w:color w:val="000000"/>
                <w:sz w:val="16"/>
                <w:szCs w:val="16"/>
                <w:lang w:eastAsia="en-NZ"/>
              </w:rPr>
            </w:pPr>
          </w:p>
        </w:tc>
      </w:tr>
      <w:tr w:rsidR="00D9465C" w:rsidRPr="003F15C0" w14:paraId="5A903917" w14:textId="77777777" w:rsidTr="00DD0F28">
        <w:tc>
          <w:tcPr>
            <w:tcW w:w="3119" w:type="dxa"/>
          </w:tcPr>
          <w:p w14:paraId="02ACE70A"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3E281D6F" w14:textId="77777777" w:rsidR="00D9465C" w:rsidRPr="005A130A" w:rsidRDefault="00D9465C" w:rsidP="00DD0F28">
            <w:pPr>
              <w:jc w:val="right"/>
              <w:rPr>
                <w:color w:val="000000"/>
                <w:sz w:val="16"/>
                <w:szCs w:val="20"/>
                <w:lang w:eastAsia="en-NZ"/>
              </w:rPr>
            </w:pPr>
            <w:r w:rsidRPr="005A130A">
              <w:rPr>
                <w:color w:val="000000"/>
                <w:sz w:val="16"/>
                <w:szCs w:val="20"/>
                <w:lang w:eastAsia="en-NZ"/>
              </w:rPr>
              <w:t>28</w:t>
            </w:r>
          </w:p>
        </w:tc>
        <w:tc>
          <w:tcPr>
            <w:tcW w:w="995" w:type="dxa"/>
            <w:shd w:val="clear" w:color="auto" w:fill="auto"/>
            <w:vAlign w:val="center"/>
          </w:tcPr>
          <w:p w14:paraId="23FE0B03" w14:textId="77777777" w:rsidR="00D9465C" w:rsidRPr="005A130A" w:rsidRDefault="00D9465C" w:rsidP="00DD0F28">
            <w:pPr>
              <w:jc w:val="right"/>
              <w:rPr>
                <w:color w:val="000000"/>
                <w:sz w:val="16"/>
                <w:szCs w:val="20"/>
                <w:lang w:eastAsia="en-NZ"/>
              </w:rPr>
            </w:pPr>
            <w:r w:rsidRPr="005A130A">
              <w:rPr>
                <w:color w:val="000000"/>
                <w:sz w:val="16"/>
                <w:szCs w:val="20"/>
                <w:lang w:eastAsia="en-NZ"/>
              </w:rPr>
              <w:t>12.1</w:t>
            </w:r>
          </w:p>
        </w:tc>
        <w:tc>
          <w:tcPr>
            <w:tcW w:w="1055" w:type="dxa"/>
            <w:shd w:val="clear" w:color="auto" w:fill="auto"/>
            <w:vAlign w:val="center"/>
          </w:tcPr>
          <w:p w14:paraId="63F93AD8" w14:textId="77777777" w:rsidR="00D9465C" w:rsidRPr="005A130A" w:rsidRDefault="00D9465C" w:rsidP="00DD0F28">
            <w:pPr>
              <w:jc w:val="right"/>
              <w:rPr>
                <w:color w:val="000000"/>
                <w:sz w:val="16"/>
                <w:szCs w:val="20"/>
                <w:lang w:eastAsia="en-NZ"/>
              </w:rPr>
            </w:pPr>
            <w:r w:rsidRPr="005A130A">
              <w:rPr>
                <w:color w:val="000000"/>
                <w:sz w:val="16"/>
                <w:szCs w:val="20"/>
                <w:lang w:eastAsia="en-NZ"/>
              </w:rPr>
              <w:t>1.00</w:t>
            </w:r>
          </w:p>
        </w:tc>
        <w:tc>
          <w:tcPr>
            <w:tcW w:w="1275" w:type="dxa"/>
            <w:shd w:val="clear" w:color="auto" w:fill="auto"/>
            <w:vAlign w:val="center"/>
          </w:tcPr>
          <w:p w14:paraId="6B53589E" w14:textId="77777777" w:rsidR="00D9465C" w:rsidRPr="005A130A" w:rsidRDefault="00D9465C" w:rsidP="00DD0F28">
            <w:pPr>
              <w:jc w:val="right"/>
              <w:rPr>
                <w:color w:val="000000"/>
                <w:sz w:val="16"/>
                <w:szCs w:val="20"/>
                <w:lang w:eastAsia="en-NZ"/>
              </w:rPr>
            </w:pPr>
          </w:p>
        </w:tc>
        <w:tc>
          <w:tcPr>
            <w:tcW w:w="1020" w:type="dxa"/>
            <w:shd w:val="clear" w:color="auto" w:fill="auto"/>
            <w:vAlign w:val="center"/>
          </w:tcPr>
          <w:p w14:paraId="777B91AB" w14:textId="77777777" w:rsidR="00D9465C" w:rsidRPr="005A130A" w:rsidRDefault="00D9465C" w:rsidP="00DD0F28">
            <w:pPr>
              <w:jc w:val="right"/>
              <w:rPr>
                <w:color w:val="000000"/>
                <w:sz w:val="16"/>
                <w:szCs w:val="20"/>
                <w:lang w:eastAsia="en-NZ"/>
              </w:rPr>
            </w:pPr>
          </w:p>
        </w:tc>
      </w:tr>
      <w:tr w:rsidR="00D9465C" w:rsidRPr="003F15C0" w14:paraId="17FBD169" w14:textId="77777777" w:rsidTr="00DD0F28">
        <w:tc>
          <w:tcPr>
            <w:tcW w:w="3119" w:type="dxa"/>
          </w:tcPr>
          <w:p w14:paraId="69EB1DD1"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shd w:val="clear" w:color="auto" w:fill="auto"/>
            <w:vAlign w:val="center"/>
          </w:tcPr>
          <w:p w14:paraId="7BE3BB6E" w14:textId="77777777" w:rsidR="00D9465C" w:rsidRPr="005A130A" w:rsidRDefault="00D9465C" w:rsidP="00DD0F28">
            <w:pPr>
              <w:jc w:val="right"/>
              <w:rPr>
                <w:color w:val="000000"/>
                <w:sz w:val="16"/>
                <w:szCs w:val="20"/>
                <w:lang w:eastAsia="en-NZ"/>
              </w:rPr>
            </w:pPr>
            <w:r w:rsidRPr="005A130A">
              <w:rPr>
                <w:color w:val="000000"/>
                <w:sz w:val="16"/>
                <w:szCs w:val="20"/>
                <w:lang w:eastAsia="en-NZ"/>
              </w:rPr>
              <w:t>2</w:t>
            </w:r>
          </w:p>
        </w:tc>
        <w:tc>
          <w:tcPr>
            <w:tcW w:w="995" w:type="dxa"/>
            <w:shd w:val="clear" w:color="auto" w:fill="auto"/>
            <w:vAlign w:val="center"/>
          </w:tcPr>
          <w:p w14:paraId="6A9A695D" w14:textId="77777777" w:rsidR="00D9465C" w:rsidRPr="005A130A" w:rsidRDefault="00D9465C" w:rsidP="00DD0F28">
            <w:pPr>
              <w:jc w:val="right"/>
              <w:rPr>
                <w:color w:val="000000"/>
                <w:sz w:val="16"/>
                <w:szCs w:val="20"/>
                <w:lang w:eastAsia="en-NZ"/>
              </w:rPr>
            </w:pPr>
            <w:r w:rsidRPr="005A130A">
              <w:rPr>
                <w:color w:val="000000"/>
                <w:sz w:val="16"/>
                <w:szCs w:val="20"/>
                <w:lang w:eastAsia="en-NZ"/>
              </w:rPr>
              <w:t>69.6</w:t>
            </w:r>
          </w:p>
        </w:tc>
        <w:tc>
          <w:tcPr>
            <w:tcW w:w="1055" w:type="dxa"/>
            <w:shd w:val="clear" w:color="auto" w:fill="auto"/>
            <w:vAlign w:val="center"/>
          </w:tcPr>
          <w:p w14:paraId="40C8FF1C" w14:textId="77777777" w:rsidR="00D9465C" w:rsidRPr="005A130A" w:rsidRDefault="00D9465C" w:rsidP="00DD0F28">
            <w:pPr>
              <w:jc w:val="right"/>
              <w:rPr>
                <w:color w:val="000000"/>
                <w:sz w:val="16"/>
                <w:szCs w:val="20"/>
                <w:lang w:eastAsia="en-NZ"/>
              </w:rPr>
            </w:pPr>
            <w:r w:rsidRPr="005A130A">
              <w:rPr>
                <w:color w:val="000000"/>
                <w:sz w:val="16"/>
                <w:szCs w:val="20"/>
                <w:lang w:eastAsia="en-NZ"/>
              </w:rPr>
              <w:t>16.57</w:t>
            </w:r>
          </w:p>
        </w:tc>
        <w:tc>
          <w:tcPr>
            <w:tcW w:w="1275" w:type="dxa"/>
            <w:shd w:val="clear" w:color="auto" w:fill="auto"/>
            <w:vAlign w:val="center"/>
          </w:tcPr>
          <w:p w14:paraId="79EFA558" w14:textId="77777777" w:rsidR="00D9465C" w:rsidRPr="005A130A" w:rsidRDefault="00D9465C" w:rsidP="00DD0F28">
            <w:pPr>
              <w:jc w:val="right"/>
              <w:rPr>
                <w:color w:val="000000"/>
                <w:sz w:val="16"/>
                <w:szCs w:val="20"/>
                <w:lang w:eastAsia="en-NZ"/>
              </w:rPr>
            </w:pPr>
            <w:r w:rsidRPr="005A130A">
              <w:rPr>
                <w:color w:val="000000"/>
                <w:sz w:val="16"/>
                <w:szCs w:val="20"/>
                <w:lang w:eastAsia="en-NZ"/>
              </w:rPr>
              <w:t>(1.04, 263.18)</w:t>
            </w:r>
          </w:p>
        </w:tc>
        <w:tc>
          <w:tcPr>
            <w:tcW w:w="1020" w:type="dxa"/>
            <w:shd w:val="clear" w:color="auto" w:fill="auto"/>
            <w:vAlign w:val="center"/>
          </w:tcPr>
          <w:p w14:paraId="79A70871" w14:textId="77777777" w:rsidR="00D9465C" w:rsidRPr="005A130A" w:rsidRDefault="00D9465C" w:rsidP="00DD0F28">
            <w:pPr>
              <w:jc w:val="right"/>
              <w:rPr>
                <w:color w:val="000000"/>
                <w:sz w:val="16"/>
                <w:szCs w:val="20"/>
                <w:lang w:eastAsia="en-NZ"/>
              </w:rPr>
            </w:pPr>
            <w:r w:rsidRPr="005A130A">
              <w:rPr>
                <w:color w:val="000000"/>
                <w:sz w:val="16"/>
                <w:szCs w:val="20"/>
                <w:lang w:eastAsia="en-NZ"/>
              </w:rPr>
              <w:t>0.05</w:t>
            </w:r>
          </w:p>
        </w:tc>
      </w:tr>
      <w:tr w:rsidR="00D9465C" w:rsidRPr="003F15C0" w14:paraId="0B60C8AD" w14:textId="77777777" w:rsidTr="00DD0F28">
        <w:tc>
          <w:tcPr>
            <w:tcW w:w="3119" w:type="dxa"/>
          </w:tcPr>
          <w:p w14:paraId="329D7473" w14:textId="77777777" w:rsidR="00D9465C" w:rsidRPr="005A130A" w:rsidRDefault="00D9465C" w:rsidP="00DD0F28">
            <w:pPr>
              <w:spacing w:before="20"/>
              <w:jc w:val="both"/>
              <w:rPr>
                <w:b/>
                <w:sz w:val="16"/>
                <w:szCs w:val="16"/>
              </w:rPr>
            </w:pPr>
            <w:r>
              <w:rPr>
                <w:b/>
                <w:sz w:val="16"/>
                <w:szCs w:val="16"/>
              </w:rPr>
              <w:t>Sports betting - annual</w:t>
            </w:r>
          </w:p>
        </w:tc>
        <w:tc>
          <w:tcPr>
            <w:tcW w:w="1048" w:type="dxa"/>
            <w:shd w:val="clear" w:color="auto" w:fill="auto"/>
            <w:vAlign w:val="center"/>
          </w:tcPr>
          <w:p w14:paraId="5D89284E" w14:textId="77777777" w:rsidR="00D9465C" w:rsidRPr="005A130A" w:rsidRDefault="00D9465C" w:rsidP="00DD0F28">
            <w:pPr>
              <w:jc w:val="right"/>
              <w:rPr>
                <w:color w:val="000000"/>
                <w:sz w:val="16"/>
                <w:szCs w:val="20"/>
                <w:lang w:eastAsia="en-NZ"/>
              </w:rPr>
            </w:pPr>
          </w:p>
        </w:tc>
        <w:tc>
          <w:tcPr>
            <w:tcW w:w="995" w:type="dxa"/>
            <w:shd w:val="clear" w:color="auto" w:fill="auto"/>
            <w:vAlign w:val="center"/>
          </w:tcPr>
          <w:p w14:paraId="71DC31F1" w14:textId="77777777" w:rsidR="00D9465C" w:rsidRPr="005A130A" w:rsidRDefault="00D9465C" w:rsidP="00DD0F28">
            <w:pPr>
              <w:jc w:val="right"/>
              <w:rPr>
                <w:color w:val="000000"/>
                <w:sz w:val="16"/>
                <w:szCs w:val="20"/>
                <w:lang w:eastAsia="en-NZ"/>
              </w:rPr>
            </w:pPr>
          </w:p>
        </w:tc>
        <w:tc>
          <w:tcPr>
            <w:tcW w:w="1055" w:type="dxa"/>
            <w:shd w:val="clear" w:color="auto" w:fill="auto"/>
            <w:vAlign w:val="center"/>
          </w:tcPr>
          <w:p w14:paraId="2774E330"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4A3C6CFF"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0B2E5432" w14:textId="77777777" w:rsidR="00D9465C" w:rsidRPr="00230801" w:rsidRDefault="00D9465C" w:rsidP="00DD0F28">
            <w:pPr>
              <w:jc w:val="right"/>
              <w:rPr>
                <w:color w:val="000000"/>
                <w:sz w:val="16"/>
                <w:szCs w:val="16"/>
                <w:lang w:eastAsia="en-NZ"/>
              </w:rPr>
            </w:pPr>
          </w:p>
        </w:tc>
      </w:tr>
      <w:tr w:rsidR="00D9465C" w:rsidRPr="003F15C0" w14:paraId="307A4254" w14:textId="77777777" w:rsidTr="00DD0F28">
        <w:tc>
          <w:tcPr>
            <w:tcW w:w="3119" w:type="dxa"/>
          </w:tcPr>
          <w:p w14:paraId="1AFF4567"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4E164EDE" w14:textId="77777777" w:rsidR="00D9465C" w:rsidRPr="005A130A" w:rsidRDefault="00D9465C" w:rsidP="00DD0F28">
            <w:pPr>
              <w:jc w:val="right"/>
              <w:rPr>
                <w:color w:val="000000"/>
                <w:sz w:val="16"/>
                <w:szCs w:val="20"/>
                <w:lang w:eastAsia="en-NZ"/>
              </w:rPr>
            </w:pPr>
            <w:r w:rsidRPr="005A130A">
              <w:rPr>
                <w:color w:val="000000"/>
                <w:sz w:val="16"/>
                <w:szCs w:val="20"/>
                <w:lang w:eastAsia="en-NZ"/>
              </w:rPr>
              <w:t>28</w:t>
            </w:r>
          </w:p>
        </w:tc>
        <w:tc>
          <w:tcPr>
            <w:tcW w:w="995" w:type="dxa"/>
            <w:shd w:val="clear" w:color="auto" w:fill="auto"/>
            <w:vAlign w:val="center"/>
          </w:tcPr>
          <w:p w14:paraId="48DC7B4E" w14:textId="77777777" w:rsidR="00D9465C" w:rsidRPr="005A130A" w:rsidRDefault="00D9465C" w:rsidP="00DD0F28">
            <w:pPr>
              <w:jc w:val="right"/>
              <w:rPr>
                <w:color w:val="000000"/>
                <w:sz w:val="16"/>
                <w:szCs w:val="20"/>
                <w:lang w:eastAsia="en-NZ"/>
              </w:rPr>
            </w:pPr>
            <w:r w:rsidRPr="005A130A">
              <w:rPr>
                <w:color w:val="000000"/>
                <w:sz w:val="16"/>
                <w:szCs w:val="20"/>
                <w:lang w:eastAsia="en-NZ"/>
              </w:rPr>
              <w:t>16.5</w:t>
            </w:r>
          </w:p>
        </w:tc>
        <w:tc>
          <w:tcPr>
            <w:tcW w:w="1055" w:type="dxa"/>
            <w:shd w:val="clear" w:color="auto" w:fill="auto"/>
            <w:vAlign w:val="center"/>
          </w:tcPr>
          <w:p w14:paraId="4D734550"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5A36F011"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08A4AC7F" w14:textId="77777777" w:rsidR="00D9465C" w:rsidRPr="00230801" w:rsidRDefault="00D9465C" w:rsidP="00DD0F28">
            <w:pPr>
              <w:jc w:val="right"/>
              <w:rPr>
                <w:color w:val="000000"/>
                <w:sz w:val="16"/>
                <w:szCs w:val="16"/>
                <w:lang w:eastAsia="en-NZ"/>
              </w:rPr>
            </w:pPr>
          </w:p>
        </w:tc>
      </w:tr>
      <w:tr w:rsidR="00D9465C" w:rsidRPr="003F15C0" w14:paraId="6C61C849" w14:textId="77777777" w:rsidTr="00DD0F28">
        <w:tc>
          <w:tcPr>
            <w:tcW w:w="3119" w:type="dxa"/>
          </w:tcPr>
          <w:p w14:paraId="5D4F6136"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shd w:val="clear" w:color="auto" w:fill="auto"/>
            <w:vAlign w:val="center"/>
          </w:tcPr>
          <w:p w14:paraId="49514682" w14:textId="77777777" w:rsidR="00D9465C" w:rsidRPr="005A130A" w:rsidRDefault="00D9465C" w:rsidP="00DD0F28">
            <w:pPr>
              <w:jc w:val="right"/>
              <w:rPr>
                <w:color w:val="000000"/>
                <w:sz w:val="16"/>
                <w:szCs w:val="20"/>
                <w:lang w:eastAsia="en-NZ"/>
              </w:rPr>
            </w:pPr>
            <w:r w:rsidRPr="005A130A">
              <w:rPr>
                <w:color w:val="000000"/>
                <w:sz w:val="16"/>
                <w:szCs w:val="20"/>
                <w:lang w:eastAsia="en-NZ"/>
              </w:rPr>
              <w:t>2</w:t>
            </w:r>
          </w:p>
        </w:tc>
        <w:tc>
          <w:tcPr>
            <w:tcW w:w="995" w:type="dxa"/>
            <w:shd w:val="clear" w:color="auto" w:fill="auto"/>
            <w:vAlign w:val="center"/>
          </w:tcPr>
          <w:p w14:paraId="4E0AC6A9" w14:textId="77777777" w:rsidR="00D9465C" w:rsidRPr="005A130A" w:rsidRDefault="00D9465C" w:rsidP="00DD0F28">
            <w:pPr>
              <w:jc w:val="right"/>
              <w:rPr>
                <w:color w:val="000000"/>
                <w:sz w:val="16"/>
                <w:szCs w:val="20"/>
                <w:lang w:eastAsia="en-NZ"/>
              </w:rPr>
            </w:pPr>
            <w:r w:rsidRPr="005A130A">
              <w:rPr>
                <w:color w:val="000000"/>
                <w:sz w:val="16"/>
                <w:szCs w:val="20"/>
                <w:lang w:eastAsia="en-NZ"/>
              </w:rPr>
              <w:t>0.0</w:t>
            </w:r>
          </w:p>
        </w:tc>
        <w:tc>
          <w:tcPr>
            <w:tcW w:w="1055" w:type="dxa"/>
            <w:shd w:val="clear" w:color="auto" w:fill="auto"/>
            <w:vAlign w:val="center"/>
          </w:tcPr>
          <w:p w14:paraId="0E742EA5"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1A2E1CFA"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761A5CA9" w14:textId="77777777" w:rsidR="00D9465C" w:rsidRPr="00230801" w:rsidRDefault="00D9465C" w:rsidP="00DD0F28">
            <w:pPr>
              <w:jc w:val="right"/>
              <w:rPr>
                <w:color w:val="000000"/>
                <w:sz w:val="16"/>
                <w:szCs w:val="16"/>
                <w:lang w:eastAsia="en-NZ"/>
              </w:rPr>
            </w:pPr>
          </w:p>
        </w:tc>
      </w:tr>
      <w:tr w:rsidR="00D9465C" w:rsidRPr="003F15C0" w14:paraId="6AE65A7A" w14:textId="77777777" w:rsidTr="00DD0F28">
        <w:tc>
          <w:tcPr>
            <w:tcW w:w="3119" w:type="dxa"/>
            <w:vAlign w:val="bottom"/>
          </w:tcPr>
          <w:p w14:paraId="7E4D9353" w14:textId="77777777" w:rsidR="00D9465C" w:rsidRPr="003F15C0" w:rsidRDefault="00D9465C" w:rsidP="00DD0F28">
            <w:pPr>
              <w:spacing w:before="20"/>
              <w:jc w:val="both"/>
              <w:rPr>
                <w:b/>
                <w:sz w:val="16"/>
                <w:szCs w:val="16"/>
              </w:rPr>
            </w:pPr>
            <w:r w:rsidRPr="003F15C0">
              <w:rPr>
                <w:b/>
                <w:sz w:val="16"/>
                <w:szCs w:val="16"/>
              </w:rPr>
              <w:t>Club EGM</w:t>
            </w:r>
            <w:r>
              <w:rPr>
                <w:b/>
                <w:sz w:val="16"/>
                <w:szCs w:val="16"/>
              </w:rPr>
              <w:t>s</w:t>
            </w:r>
            <w:r w:rsidRPr="003F15C0">
              <w:rPr>
                <w:b/>
                <w:sz w:val="16"/>
                <w:szCs w:val="16"/>
              </w:rPr>
              <w:t xml:space="preserve"> - annual</w:t>
            </w:r>
          </w:p>
        </w:tc>
        <w:tc>
          <w:tcPr>
            <w:tcW w:w="1048" w:type="dxa"/>
            <w:shd w:val="clear" w:color="auto" w:fill="auto"/>
            <w:vAlign w:val="center"/>
          </w:tcPr>
          <w:p w14:paraId="0119CC45" w14:textId="77777777" w:rsidR="00D9465C" w:rsidRPr="00637CF2" w:rsidRDefault="00D9465C" w:rsidP="00DD0F28">
            <w:pPr>
              <w:jc w:val="right"/>
              <w:rPr>
                <w:color w:val="000000"/>
                <w:sz w:val="16"/>
                <w:szCs w:val="16"/>
                <w:lang w:eastAsia="en-NZ"/>
              </w:rPr>
            </w:pPr>
          </w:p>
        </w:tc>
        <w:tc>
          <w:tcPr>
            <w:tcW w:w="995" w:type="dxa"/>
            <w:shd w:val="clear" w:color="auto" w:fill="auto"/>
            <w:vAlign w:val="center"/>
          </w:tcPr>
          <w:p w14:paraId="55BE22F2" w14:textId="77777777" w:rsidR="00D9465C" w:rsidRPr="00637CF2" w:rsidRDefault="00D9465C" w:rsidP="00DD0F28">
            <w:pPr>
              <w:jc w:val="right"/>
              <w:rPr>
                <w:color w:val="000000"/>
                <w:sz w:val="16"/>
                <w:szCs w:val="16"/>
                <w:lang w:eastAsia="en-NZ"/>
              </w:rPr>
            </w:pPr>
          </w:p>
        </w:tc>
        <w:tc>
          <w:tcPr>
            <w:tcW w:w="1055" w:type="dxa"/>
            <w:shd w:val="clear" w:color="auto" w:fill="auto"/>
            <w:vAlign w:val="center"/>
          </w:tcPr>
          <w:p w14:paraId="7A4F7A60"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56169FB9"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3CFA56F2" w14:textId="77777777" w:rsidR="00D9465C" w:rsidRPr="00637CF2" w:rsidRDefault="00D9465C" w:rsidP="00DD0F28">
            <w:pPr>
              <w:jc w:val="right"/>
              <w:rPr>
                <w:color w:val="000000"/>
                <w:sz w:val="16"/>
                <w:szCs w:val="16"/>
                <w:lang w:eastAsia="en-NZ"/>
              </w:rPr>
            </w:pPr>
          </w:p>
        </w:tc>
      </w:tr>
      <w:tr w:rsidR="00D9465C" w:rsidRPr="003F15C0" w14:paraId="4B020A74" w14:textId="77777777" w:rsidTr="00DD0F28">
        <w:tc>
          <w:tcPr>
            <w:tcW w:w="3119" w:type="dxa"/>
          </w:tcPr>
          <w:p w14:paraId="2229EEFC"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3DC20C58" w14:textId="77777777" w:rsidR="00D9465C" w:rsidRPr="005A130A" w:rsidRDefault="00D9465C" w:rsidP="00DD0F28">
            <w:pPr>
              <w:jc w:val="right"/>
              <w:rPr>
                <w:color w:val="000000"/>
                <w:sz w:val="16"/>
                <w:szCs w:val="20"/>
                <w:lang w:eastAsia="en-NZ"/>
              </w:rPr>
            </w:pPr>
            <w:r w:rsidRPr="005A130A">
              <w:rPr>
                <w:color w:val="000000"/>
                <w:sz w:val="16"/>
                <w:szCs w:val="20"/>
                <w:lang w:eastAsia="en-NZ"/>
              </w:rPr>
              <w:t>27</w:t>
            </w:r>
          </w:p>
        </w:tc>
        <w:tc>
          <w:tcPr>
            <w:tcW w:w="995" w:type="dxa"/>
            <w:shd w:val="clear" w:color="auto" w:fill="auto"/>
            <w:vAlign w:val="center"/>
          </w:tcPr>
          <w:p w14:paraId="58605ACB" w14:textId="77777777" w:rsidR="00D9465C" w:rsidRPr="005A130A" w:rsidRDefault="00D9465C" w:rsidP="00DD0F28">
            <w:pPr>
              <w:jc w:val="right"/>
              <w:rPr>
                <w:color w:val="000000"/>
                <w:sz w:val="16"/>
                <w:szCs w:val="20"/>
                <w:lang w:eastAsia="en-NZ"/>
              </w:rPr>
            </w:pPr>
            <w:r w:rsidRPr="005A130A">
              <w:rPr>
                <w:color w:val="000000"/>
                <w:sz w:val="16"/>
                <w:szCs w:val="20"/>
                <w:lang w:eastAsia="en-NZ"/>
              </w:rPr>
              <w:t>17.6</w:t>
            </w:r>
          </w:p>
        </w:tc>
        <w:tc>
          <w:tcPr>
            <w:tcW w:w="1055" w:type="dxa"/>
            <w:shd w:val="clear" w:color="auto" w:fill="auto"/>
            <w:vAlign w:val="center"/>
          </w:tcPr>
          <w:p w14:paraId="0387FAE3"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12B0817A"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1863E2D7" w14:textId="77777777" w:rsidR="00D9465C" w:rsidRPr="00230801" w:rsidRDefault="00D9465C" w:rsidP="00DD0F28">
            <w:pPr>
              <w:jc w:val="right"/>
              <w:rPr>
                <w:color w:val="000000"/>
                <w:sz w:val="16"/>
                <w:szCs w:val="16"/>
                <w:lang w:eastAsia="en-NZ"/>
              </w:rPr>
            </w:pPr>
          </w:p>
        </w:tc>
      </w:tr>
      <w:tr w:rsidR="00D9465C" w:rsidRPr="003F15C0" w14:paraId="574E85A1" w14:textId="77777777" w:rsidTr="00DD0F28">
        <w:tc>
          <w:tcPr>
            <w:tcW w:w="3119" w:type="dxa"/>
          </w:tcPr>
          <w:p w14:paraId="2857CE65"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shd w:val="clear" w:color="auto" w:fill="auto"/>
            <w:vAlign w:val="center"/>
          </w:tcPr>
          <w:p w14:paraId="4B95D2C1" w14:textId="77777777" w:rsidR="00D9465C" w:rsidRPr="005A130A" w:rsidRDefault="00D9465C" w:rsidP="00DD0F28">
            <w:pPr>
              <w:jc w:val="right"/>
              <w:rPr>
                <w:color w:val="000000"/>
                <w:sz w:val="16"/>
                <w:szCs w:val="20"/>
                <w:lang w:eastAsia="en-NZ"/>
              </w:rPr>
            </w:pPr>
            <w:r w:rsidRPr="005A130A">
              <w:rPr>
                <w:color w:val="000000"/>
                <w:sz w:val="16"/>
                <w:szCs w:val="20"/>
                <w:lang w:eastAsia="en-NZ"/>
              </w:rPr>
              <w:t>4</w:t>
            </w:r>
          </w:p>
        </w:tc>
        <w:tc>
          <w:tcPr>
            <w:tcW w:w="995" w:type="dxa"/>
            <w:shd w:val="clear" w:color="auto" w:fill="auto"/>
            <w:vAlign w:val="center"/>
          </w:tcPr>
          <w:p w14:paraId="4DC31CB1" w14:textId="77777777" w:rsidR="00D9465C" w:rsidRPr="005A130A" w:rsidRDefault="00D9465C" w:rsidP="00DD0F28">
            <w:pPr>
              <w:jc w:val="right"/>
              <w:rPr>
                <w:color w:val="000000"/>
                <w:sz w:val="16"/>
                <w:szCs w:val="20"/>
                <w:lang w:eastAsia="en-NZ"/>
              </w:rPr>
            </w:pPr>
            <w:r w:rsidRPr="005A130A">
              <w:rPr>
                <w:color w:val="000000"/>
                <w:sz w:val="16"/>
                <w:szCs w:val="20"/>
                <w:lang w:eastAsia="en-NZ"/>
              </w:rPr>
              <w:t>0.0</w:t>
            </w:r>
          </w:p>
        </w:tc>
        <w:tc>
          <w:tcPr>
            <w:tcW w:w="1055" w:type="dxa"/>
            <w:shd w:val="clear" w:color="auto" w:fill="auto"/>
            <w:vAlign w:val="center"/>
          </w:tcPr>
          <w:p w14:paraId="51307F54"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4C9188DD"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063C6DD7" w14:textId="77777777" w:rsidR="00D9465C" w:rsidRPr="00230801" w:rsidRDefault="00D9465C" w:rsidP="00DD0F28">
            <w:pPr>
              <w:jc w:val="right"/>
              <w:rPr>
                <w:color w:val="000000"/>
                <w:sz w:val="16"/>
                <w:szCs w:val="16"/>
                <w:lang w:eastAsia="en-NZ"/>
              </w:rPr>
            </w:pPr>
          </w:p>
        </w:tc>
      </w:tr>
      <w:tr w:rsidR="00D9465C" w:rsidRPr="003F15C0" w14:paraId="074754ED" w14:textId="77777777" w:rsidTr="00DD0F28">
        <w:tc>
          <w:tcPr>
            <w:tcW w:w="3119" w:type="dxa"/>
          </w:tcPr>
          <w:p w14:paraId="7A6957FD" w14:textId="77777777" w:rsidR="00D9465C" w:rsidRPr="0053092F" w:rsidRDefault="00D9465C" w:rsidP="00DD0F28">
            <w:pPr>
              <w:spacing w:before="20"/>
              <w:jc w:val="both"/>
              <w:rPr>
                <w:b/>
                <w:sz w:val="16"/>
                <w:szCs w:val="16"/>
              </w:rPr>
            </w:pPr>
            <w:r w:rsidRPr="0053092F">
              <w:rPr>
                <w:b/>
                <w:sz w:val="16"/>
                <w:szCs w:val="16"/>
              </w:rPr>
              <w:t>Short-term spec. investments</w:t>
            </w:r>
            <w:r>
              <w:rPr>
                <w:b/>
                <w:sz w:val="16"/>
                <w:szCs w:val="16"/>
              </w:rPr>
              <w:t xml:space="preserve"> - annual</w:t>
            </w:r>
          </w:p>
        </w:tc>
        <w:tc>
          <w:tcPr>
            <w:tcW w:w="1048" w:type="dxa"/>
            <w:shd w:val="clear" w:color="auto" w:fill="auto"/>
            <w:vAlign w:val="center"/>
          </w:tcPr>
          <w:p w14:paraId="36617155" w14:textId="77777777" w:rsidR="00D9465C" w:rsidRPr="005A130A" w:rsidRDefault="00D9465C" w:rsidP="00DD0F28">
            <w:pPr>
              <w:jc w:val="right"/>
              <w:rPr>
                <w:color w:val="000000"/>
                <w:sz w:val="16"/>
                <w:szCs w:val="20"/>
                <w:lang w:eastAsia="en-NZ"/>
              </w:rPr>
            </w:pPr>
          </w:p>
        </w:tc>
        <w:tc>
          <w:tcPr>
            <w:tcW w:w="995" w:type="dxa"/>
            <w:shd w:val="clear" w:color="auto" w:fill="auto"/>
            <w:vAlign w:val="center"/>
          </w:tcPr>
          <w:p w14:paraId="53459D6C" w14:textId="77777777" w:rsidR="00D9465C" w:rsidRPr="005A130A" w:rsidRDefault="00D9465C" w:rsidP="00DD0F28">
            <w:pPr>
              <w:jc w:val="right"/>
              <w:rPr>
                <w:color w:val="000000"/>
                <w:sz w:val="16"/>
                <w:szCs w:val="20"/>
                <w:lang w:eastAsia="en-NZ"/>
              </w:rPr>
            </w:pPr>
          </w:p>
        </w:tc>
        <w:tc>
          <w:tcPr>
            <w:tcW w:w="1055" w:type="dxa"/>
            <w:shd w:val="clear" w:color="auto" w:fill="auto"/>
            <w:vAlign w:val="center"/>
          </w:tcPr>
          <w:p w14:paraId="30B52661"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308E3187"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5A0EDD29" w14:textId="77777777" w:rsidR="00D9465C" w:rsidRPr="00230801" w:rsidRDefault="00D9465C" w:rsidP="00DD0F28">
            <w:pPr>
              <w:jc w:val="right"/>
              <w:rPr>
                <w:color w:val="000000"/>
                <w:sz w:val="16"/>
                <w:szCs w:val="16"/>
                <w:lang w:eastAsia="en-NZ"/>
              </w:rPr>
            </w:pPr>
          </w:p>
        </w:tc>
      </w:tr>
      <w:tr w:rsidR="00D9465C" w:rsidRPr="003F15C0" w14:paraId="06B2F64C" w14:textId="77777777" w:rsidTr="00DD0F28">
        <w:tc>
          <w:tcPr>
            <w:tcW w:w="3119" w:type="dxa"/>
          </w:tcPr>
          <w:p w14:paraId="5691B235"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2E6E783E" w14:textId="77777777" w:rsidR="00D9465C" w:rsidRPr="0053092F" w:rsidRDefault="00D9465C" w:rsidP="00DD0F28">
            <w:pPr>
              <w:jc w:val="right"/>
              <w:rPr>
                <w:color w:val="000000"/>
                <w:sz w:val="16"/>
                <w:szCs w:val="20"/>
                <w:lang w:eastAsia="en-NZ"/>
              </w:rPr>
            </w:pPr>
            <w:r w:rsidRPr="0053092F">
              <w:rPr>
                <w:color w:val="000000"/>
                <w:sz w:val="16"/>
                <w:szCs w:val="20"/>
                <w:lang w:eastAsia="en-NZ"/>
              </w:rPr>
              <w:t>30</w:t>
            </w:r>
          </w:p>
        </w:tc>
        <w:tc>
          <w:tcPr>
            <w:tcW w:w="995" w:type="dxa"/>
            <w:shd w:val="clear" w:color="auto" w:fill="auto"/>
            <w:vAlign w:val="center"/>
          </w:tcPr>
          <w:p w14:paraId="5F07A5F5" w14:textId="77777777" w:rsidR="00D9465C" w:rsidRPr="0053092F" w:rsidRDefault="00D9465C" w:rsidP="00DD0F28">
            <w:pPr>
              <w:jc w:val="right"/>
              <w:rPr>
                <w:color w:val="000000"/>
                <w:sz w:val="16"/>
                <w:szCs w:val="20"/>
                <w:lang w:eastAsia="en-NZ"/>
              </w:rPr>
            </w:pPr>
            <w:r w:rsidRPr="0053092F">
              <w:rPr>
                <w:color w:val="000000"/>
                <w:sz w:val="16"/>
                <w:szCs w:val="20"/>
                <w:lang w:eastAsia="en-NZ"/>
              </w:rPr>
              <w:t>14.9</w:t>
            </w:r>
          </w:p>
        </w:tc>
        <w:tc>
          <w:tcPr>
            <w:tcW w:w="1055" w:type="dxa"/>
            <w:shd w:val="clear" w:color="auto" w:fill="auto"/>
            <w:vAlign w:val="center"/>
          </w:tcPr>
          <w:p w14:paraId="43769420"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371D6D96"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7F01E4C9" w14:textId="77777777" w:rsidR="00D9465C" w:rsidRPr="00230801" w:rsidRDefault="00D9465C" w:rsidP="00DD0F28">
            <w:pPr>
              <w:jc w:val="right"/>
              <w:rPr>
                <w:color w:val="000000"/>
                <w:sz w:val="16"/>
                <w:szCs w:val="16"/>
                <w:lang w:eastAsia="en-NZ"/>
              </w:rPr>
            </w:pPr>
          </w:p>
        </w:tc>
      </w:tr>
      <w:tr w:rsidR="00D9465C" w:rsidRPr="003F15C0" w14:paraId="54422405" w14:textId="77777777" w:rsidTr="00DD0F28">
        <w:tc>
          <w:tcPr>
            <w:tcW w:w="3119" w:type="dxa"/>
          </w:tcPr>
          <w:p w14:paraId="1A9F7E14"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shd w:val="clear" w:color="auto" w:fill="auto"/>
            <w:vAlign w:val="center"/>
          </w:tcPr>
          <w:p w14:paraId="73B48F24" w14:textId="77777777" w:rsidR="00D9465C" w:rsidRPr="0053092F" w:rsidRDefault="00D9465C" w:rsidP="00DD0F28">
            <w:pPr>
              <w:jc w:val="right"/>
              <w:rPr>
                <w:color w:val="000000"/>
                <w:sz w:val="16"/>
                <w:szCs w:val="20"/>
                <w:lang w:eastAsia="en-NZ"/>
              </w:rPr>
            </w:pPr>
            <w:r w:rsidRPr="0053092F">
              <w:rPr>
                <w:color w:val="000000"/>
                <w:sz w:val="16"/>
                <w:szCs w:val="20"/>
                <w:lang w:eastAsia="en-NZ"/>
              </w:rPr>
              <w:t>0.2</w:t>
            </w:r>
          </w:p>
        </w:tc>
        <w:tc>
          <w:tcPr>
            <w:tcW w:w="995" w:type="dxa"/>
            <w:shd w:val="clear" w:color="auto" w:fill="auto"/>
            <w:vAlign w:val="center"/>
          </w:tcPr>
          <w:p w14:paraId="70E45C06" w14:textId="77777777" w:rsidR="00D9465C" w:rsidRPr="0053092F" w:rsidRDefault="00D9465C" w:rsidP="00DD0F28">
            <w:pPr>
              <w:jc w:val="right"/>
              <w:rPr>
                <w:color w:val="000000"/>
                <w:sz w:val="16"/>
                <w:szCs w:val="20"/>
                <w:lang w:eastAsia="en-NZ"/>
              </w:rPr>
            </w:pPr>
            <w:r w:rsidRPr="0053092F">
              <w:rPr>
                <w:color w:val="000000"/>
                <w:sz w:val="16"/>
                <w:szCs w:val="20"/>
                <w:lang w:eastAsia="en-NZ"/>
              </w:rPr>
              <w:t>100.0</w:t>
            </w:r>
          </w:p>
        </w:tc>
        <w:tc>
          <w:tcPr>
            <w:tcW w:w="1055" w:type="dxa"/>
            <w:shd w:val="clear" w:color="auto" w:fill="auto"/>
            <w:vAlign w:val="center"/>
          </w:tcPr>
          <w:p w14:paraId="03AB4D71"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5DC693E2"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262428E8" w14:textId="77777777" w:rsidR="00D9465C" w:rsidRPr="00230801" w:rsidRDefault="00D9465C" w:rsidP="00DD0F28">
            <w:pPr>
              <w:jc w:val="right"/>
              <w:rPr>
                <w:color w:val="000000"/>
                <w:sz w:val="16"/>
                <w:szCs w:val="16"/>
                <w:lang w:eastAsia="en-NZ"/>
              </w:rPr>
            </w:pPr>
          </w:p>
        </w:tc>
      </w:tr>
      <w:tr w:rsidR="00D9465C" w:rsidRPr="003F15C0" w14:paraId="7DE9F519" w14:textId="77777777" w:rsidTr="00DD0F28">
        <w:tc>
          <w:tcPr>
            <w:tcW w:w="3119" w:type="dxa"/>
            <w:vAlign w:val="bottom"/>
          </w:tcPr>
          <w:p w14:paraId="086CC88F" w14:textId="77777777" w:rsidR="00D9465C" w:rsidRDefault="00D9465C" w:rsidP="00DD0F28">
            <w:pPr>
              <w:spacing w:before="20"/>
              <w:jc w:val="both"/>
              <w:rPr>
                <w:b/>
                <w:sz w:val="16"/>
                <w:szCs w:val="16"/>
              </w:rPr>
            </w:pPr>
            <w:r>
              <w:rPr>
                <w:b/>
                <w:sz w:val="16"/>
                <w:szCs w:val="16"/>
              </w:rPr>
              <w:t>Other offshore gambling</w:t>
            </w:r>
            <w:r w:rsidRPr="00465146">
              <w:rPr>
                <w:b/>
                <w:sz w:val="16"/>
                <w:szCs w:val="16"/>
                <w:vertAlign w:val="superscript"/>
              </w:rPr>
              <w:t>#</w:t>
            </w:r>
            <w:r>
              <w:rPr>
                <w:b/>
                <w:sz w:val="16"/>
                <w:szCs w:val="16"/>
              </w:rPr>
              <w:t xml:space="preserve"> - annual</w:t>
            </w:r>
          </w:p>
        </w:tc>
        <w:tc>
          <w:tcPr>
            <w:tcW w:w="1048" w:type="dxa"/>
            <w:shd w:val="clear" w:color="auto" w:fill="auto"/>
            <w:vAlign w:val="center"/>
          </w:tcPr>
          <w:p w14:paraId="5056C946" w14:textId="77777777" w:rsidR="00D9465C" w:rsidRPr="00637CF2" w:rsidRDefault="00D9465C" w:rsidP="00DD0F28">
            <w:pPr>
              <w:jc w:val="right"/>
              <w:rPr>
                <w:color w:val="000000"/>
                <w:sz w:val="16"/>
                <w:szCs w:val="16"/>
                <w:lang w:eastAsia="en-NZ"/>
              </w:rPr>
            </w:pPr>
          </w:p>
        </w:tc>
        <w:tc>
          <w:tcPr>
            <w:tcW w:w="995" w:type="dxa"/>
            <w:shd w:val="clear" w:color="auto" w:fill="auto"/>
            <w:vAlign w:val="center"/>
          </w:tcPr>
          <w:p w14:paraId="2C746C88" w14:textId="77777777" w:rsidR="00D9465C" w:rsidRPr="00637CF2" w:rsidRDefault="00D9465C" w:rsidP="00DD0F28">
            <w:pPr>
              <w:jc w:val="right"/>
              <w:rPr>
                <w:color w:val="000000"/>
                <w:sz w:val="16"/>
                <w:szCs w:val="16"/>
                <w:lang w:eastAsia="en-NZ"/>
              </w:rPr>
            </w:pPr>
          </w:p>
        </w:tc>
        <w:tc>
          <w:tcPr>
            <w:tcW w:w="1055" w:type="dxa"/>
            <w:shd w:val="clear" w:color="auto" w:fill="auto"/>
            <w:vAlign w:val="center"/>
          </w:tcPr>
          <w:p w14:paraId="097458AE"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4F7AB253"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3117ECF3" w14:textId="77777777" w:rsidR="00D9465C" w:rsidRPr="00637CF2" w:rsidRDefault="00D9465C" w:rsidP="00DD0F28">
            <w:pPr>
              <w:jc w:val="right"/>
              <w:rPr>
                <w:color w:val="000000"/>
                <w:sz w:val="16"/>
                <w:szCs w:val="16"/>
                <w:lang w:eastAsia="en-NZ"/>
              </w:rPr>
            </w:pPr>
          </w:p>
        </w:tc>
      </w:tr>
      <w:tr w:rsidR="00D9465C" w:rsidRPr="003F15C0" w14:paraId="6F916913" w14:textId="77777777" w:rsidTr="00DD0F28">
        <w:tc>
          <w:tcPr>
            <w:tcW w:w="3119" w:type="dxa"/>
          </w:tcPr>
          <w:p w14:paraId="136CC396"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4E97FC93" w14:textId="77777777" w:rsidR="00D9465C" w:rsidRPr="008A1AFE" w:rsidRDefault="00D9465C" w:rsidP="00DD0F28">
            <w:pPr>
              <w:jc w:val="right"/>
              <w:rPr>
                <w:color w:val="000000"/>
                <w:sz w:val="16"/>
                <w:szCs w:val="20"/>
                <w:lang w:eastAsia="en-NZ"/>
              </w:rPr>
            </w:pPr>
            <w:r w:rsidRPr="008A1AFE">
              <w:rPr>
                <w:color w:val="000000"/>
                <w:sz w:val="16"/>
                <w:szCs w:val="20"/>
                <w:lang w:eastAsia="en-NZ"/>
              </w:rPr>
              <w:t>28</w:t>
            </w:r>
          </w:p>
        </w:tc>
        <w:tc>
          <w:tcPr>
            <w:tcW w:w="995" w:type="dxa"/>
            <w:shd w:val="clear" w:color="auto" w:fill="auto"/>
            <w:vAlign w:val="center"/>
          </w:tcPr>
          <w:p w14:paraId="37C17E40" w14:textId="77777777" w:rsidR="00D9465C" w:rsidRPr="008A1AFE" w:rsidRDefault="00D9465C" w:rsidP="00DD0F28">
            <w:pPr>
              <w:jc w:val="right"/>
              <w:rPr>
                <w:color w:val="000000"/>
                <w:sz w:val="16"/>
                <w:szCs w:val="20"/>
                <w:lang w:eastAsia="en-NZ"/>
              </w:rPr>
            </w:pPr>
            <w:r w:rsidRPr="008A1AFE">
              <w:rPr>
                <w:color w:val="000000"/>
                <w:sz w:val="16"/>
                <w:szCs w:val="20"/>
                <w:lang w:eastAsia="en-NZ"/>
              </w:rPr>
              <w:t>11.6</w:t>
            </w:r>
          </w:p>
        </w:tc>
        <w:tc>
          <w:tcPr>
            <w:tcW w:w="1055" w:type="dxa"/>
            <w:shd w:val="clear" w:color="auto" w:fill="auto"/>
            <w:vAlign w:val="center"/>
          </w:tcPr>
          <w:p w14:paraId="151537D7" w14:textId="77777777" w:rsidR="00D9465C" w:rsidRPr="008A1AFE" w:rsidRDefault="00D9465C" w:rsidP="00DD0F28">
            <w:pPr>
              <w:jc w:val="right"/>
              <w:rPr>
                <w:color w:val="000000"/>
                <w:sz w:val="16"/>
                <w:szCs w:val="20"/>
                <w:lang w:eastAsia="en-NZ"/>
              </w:rPr>
            </w:pPr>
            <w:r w:rsidRPr="008A1AFE">
              <w:rPr>
                <w:color w:val="000000"/>
                <w:sz w:val="16"/>
                <w:szCs w:val="20"/>
                <w:lang w:eastAsia="en-NZ"/>
              </w:rPr>
              <w:t>1.00</w:t>
            </w:r>
          </w:p>
        </w:tc>
        <w:tc>
          <w:tcPr>
            <w:tcW w:w="1275" w:type="dxa"/>
            <w:shd w:val="clear" w:color="auto" w:fill="auto"/>
            <w:vAlign w:val="center"/>
          </w:tcPr>
          <w:p w14:paraId="6A0BFDBB" w14:textId="77777777" w:rsidR="00D9465C" w:rsidRPr="008A1AFE" w:rsidRDefault="00D9465C" w:rsidP="00DD0F28">
            <w:pPr>
              <w:jc w:val="right"/>
              <w:rPr>
                <w:color w:val="000000"/>
                <w:sz w:val="16"/>
                <w:szCs w:val="20"/>
                <w:lang w:eastAsia="en-NZ"/>
              </w:rPr>
            </w:pPr>
          </w:p>
        </w:tc>
        <w:tc>
          <w:tcPr>
            <w:tcW w:w="1020" w:type="dxa"/>
            <w:shd w:val="clear" w:color="auto" w:fill="auto"/>
            <w:vAlign w:val="center"/>
          </w:tcPr>
          <w:p w14:paraId="6911EBD6" w14:textId="77777777" w:rsidR="00D9465C" w:rsidRPr="008A1AFE" w:rsidRDefault="00D9465C" w:rsidP="00DD0F28">
            <w:pPr>
              <w:jc w:val="right"/>
              <w:rPr>
                <w:color w:val="000000"/>
                <w:sz w:val="16"/>
                <w:szCs w:val="20"/>
                <w:lang w:eastAsia="en-NZ"/>
              </w:rPr>
            </w:pPr>
          </w:p>
        </w:tc>
      </w:tr>
      <w:tr w:rsidR="00D9465C" w:rsidRPr="003F15C0" w14:paraId="1CB17551" w14:textId="77777777" w:rsidTr="00DD0F28">
        <w:tc>
          <w:tcPr>
            <w:tcW w:w="3119" w:type="dxa"/>
          </w:tcPr>
          <w:p w14:paraId="3878F32A"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shd w:val="clear" w:color="auto" w:fill="auto"/>
            <w:vAlign w:val="center"/>
          </w:tcPr>
          <w:p w14:paraId="13157671" w14:textId="77777777" w:rsidR="00D9465C" w:rsidRPr="008A1AFE" w:rsidRDefault="00D9465C" w:rsidP="00DD0F28">
            <w:pPr>
              <w:jc w:val="right"/>
              <w:rPr>
                <w:color w:val="000000"/>
                <w:sz w:val="16"/>
                <w:szCs w:val="20"/>
                <w:lang w:eastAsia="en-NZ"/>
              </w:rPr>
            </w:pPr>
            <w:r w:rsidRPr="008A1AFE">
              <w:rPr>
                <w:color w:val="000000"/>
                <w:sz w:val="16"/>
                <w:szCs w:val="20"/>
                <w:lang w:eastAsia="en-NZ"/>
              </w:rPr>
              <w:t>2</w:t>
            </w:r>
          </w:p>
        </w:tc>
        <w:tc>
          <w:tcPr>
            <w:tcW w:w="995" w:type="dxa"/>
            <w:shd w:val="clear" w:color="auto" w:fill="auto"/>
            <w:vAlign w:val="center"/>
          </w:tcPr>
          <w:p w14:paraId="396D7AE8" w14:textId="77777777" w:rsidR="00D9465C" w:rsidRPr="008A1AFE" w:rsidRDefault="00D9465C" w:rsidP="00DD0F28">
            <w:pPr>
              <w:jc w:val="right"/>
              <w:rPr>
                <w:color w:val="000000"/>
                <w:sz w:val="16"/>
                <w:szCs w:val="20"/>
                <w:lang w:eastAsia="en-NZ"/>
              </w:rPr>
            </w:pPr>
            <w:r w:rsidRPr="008A1AFE">
              <w:rPr>
                <w:color w:val="000000"/>
                <w:sz w:val="16"/>
                <w:szCs w:val="20"/>
                <w:lang w:eastAsia="en-NZ"/>
              </w:rPr>
              <w:t>72.8</w:t>
            </w:r>
          </w:p>
        </w:tc>
        <w:tc>
          <w:tcPr>
            <w:tcW w:w="1055" w:type="dxa"/>
            <w:shd w:val="clear" w:color="auto" w:fill="auto"/>
            <w:vAlign w:val="center"/>
          </w:tcPr>
          <w:p w14:paraId="3810F66A" w14:textId="77777777" w:rsidR="00D9465C" w:rsidRPr="008A1AFE" w:rsidRDefault="00D9465C" w:rsidP="00DD0F28">
            <w:pPr>
              <w:jc w:val="right"/>
              <w:rPr>
                <w:color w:val="000000"/>
                <w:sz w:val="16"/>
                <w:szCs w:val="20"/>
                <w:lang w:eastAsia="en-NZ"/>
              </w:rPr>
            </w:pPr>
            <w:r w:rsidRPr="008A1AFE">
              <w:rPr>
                <w:color w:val="000000"/>
                <w:sz w:val="16"/>
                <w:szCs w:val="20"/>
                <w:lang w:eastAsia="en-NZ"/>
              </w:rPr>
              <w:t>20.44</w:t>
            </w:r>
          </w:p>
        </w:tc>
        <w:tc>
          <w:tcPr>
            <w:tcW w:w="1275" w:type="dxa"/>
            <w:shd w:val="clear" w:color="auto" w:fill="auto"/>
            <w:vAlign w:val="center"/>
          </w:tcPr>
          <w:p w14:paraId="7DCA1C11" w14:textId="77777777" w:rsidR="00D9465C" w:rsidRPr="008A1AFE" w:rsidRDefault="00D9465C" w:rsidP="00DD0F28">
            <w:pPr>
              <w:jc w:val="right"/>
              <w:rPr>
                <w:color w:val="000000"/>
                <w:sz w:val="16"/>
                <w:szCs w:val="20"/>
                <w:lang w:eastAsia="en-NZ"/>
              </w:rPr>
            </w:pPr>
            <w:r w:rsidRPr="008A1AFE">
              <w:rPr>
                <w:color w:val="000000"/>
                <w:sz w:val="16"/>
                <w:szCs w:val="20"/>
                <w:lang w:eastAsia="en-NZ"/>
              </w:rPr>
              <w:t>(1.37, 304.91)</w:t>
            </w:r>
          </w:p>
        </w:tc>
        <w:tc>
          <w:tcPr>
            <w:tcW w:w="1020" w:type="dxa"/>
            <w:shd w:val="clear" w:color="auto" w:fill="auto"/>
            <w:vAlign w:val="center"/>
          </w:tcPr>
          <w:p w14:paraId="4DA3B707" w14:textId="77777777" w:rsidR="00D9465C" w:rsidRPr="008A1AFE" w:rsidRDefault="00D9465C" w:rsidP="00DD0F28">
            <w:pPr>
              <w:jc w:val="right"/>
              <w:rPr>
                <w:color w:val="000000"/>
                <w:sz w:val="16"/>
                <w:szCs w:val="20"/>
                <w:lang w:eastAsia="en-NZ"/>
              </w:rPr>
            </w:pPr>
            <w:r w:rsidRPr="008A1AFE">
              <w:rPr>
                <w:color w:val="000000"/>
                <w:sz w:val="16"/>
                <w:szCs w:val="20"/>
                <w:lang w:eastAsia="en-NZ"/>
              </w:rPr>
              <w:t>0.03</w:t>
            </w:r>
          </w:p>
        </w:tc>
      </w:tr>
      <w:tr w:rsidR="00D9465C" w:rsidRPr="003F15C0" w14:paraId="596CB678" w14:textId="77777777" w:rsidTr="00DD0F28">
        <w:tc>
          <w:tcPr>
            <w:tcW w:w="3119" w:type="dxa"/>
            <w:vAlign w:val="bottom"/>
          </w:tcPr>
          <w:p w14:paraId="5EEE5BDF" w14:textId="77777777" w:rsidR="00D9465C" w:rsidRPr="003F15C0" w:rsidRDefault="00D9465C" w:rsidP="00DD0F28">
            <w:pPr>
              <w:spacing w:before="20"/>
              <w:jc w:val="both"/>
              <w:rPr>
                <w:b/>
                <w:sz w:val="16"/>
                <w:szCs w:val="16"/>
              </w:rPr>
            </w:pPr>
            <w:r>
              <w:rPr>
                <w:b/>
                <w:sz w:val="16"/>
                <w:szCs w:val="16"/>
              </w:rPr>
              <w:t>NZ</w:t>
            </w:r>
            <w:r w:rsidRPr="003F15C0">
              <w:rPr>
                <w:b/>
                <w:sz w:val="16"/>
                <w:szCs w:val="16"/>
              </w:rPr>
              <w:t xml:space="preserve"> internet gambling - annual</w:t>
            </w:r>
          </w:p>
        </w:tc>
        <w:tc>
          <w:tcPr>
            <w:tcW w:w="1048" w:type="dxa"/>
            <w:shd w:val="clear" w:color="auto" w:fill="auto"/>
            <w:vAlign w:val="center"/>
          </w:tcPr>
          <w:p w14:paraId="794763BB" w14:textId="77777777" w:rsidR="00D9465C" w:rsidRPr="008A1AFE" w:rsidRDefault="00D9465C" w:rsidP="00DD0F28">
            <w:pPr>
              <w:jc w:val="right"/>
              <w:rPr>
                <w:color w:val="000000"/>
                <w:sz w:val="16"/>
                <w:szCs w:val="20"/>
                <w:lang w:eastAsia="en-NZ"/>
              </w:rPr>
            </w:pPr>
          </w:p>
        </w:tc>
        <w:tc>
          <w:tcPr>
            <w:tcW w:w="995" w:type="dxa"/>
            <w:shd w:val="clear" w:color="auto" w:fill="auto"/>
            <w:vAlign w:val="center"/>
          </w:tcPr>
          <w:p w14:paraId="42CA0873" w14:textId="77777777" w:rsidR="00D9465C" w:rsidRPr="008A1AFE" w:rsidRDefault="00D9465C" w:rsidP="00DD0F28">
            <w:pPr>
              <w:jc w:val="right"/>
              <w:rPr>
                <w:color w:val="000000"/>
                <w:sz w:val="16"/>
                <w:szCs w:val="20"/>
                <w:lang w:eastAsia="en-NZ"/>
              </w:rPr>
            </w:pPr>
          </w:p>
        </w:tc>
        <w:tc>
          <w:tcPr>
            <w:tcW w:w="1055" w:type="dxa"/>
            <w:shd w:val="clear" w:color="auto" w:fill="auto"/>
            <w:vAlign w:val="center"/>
          </w:tcPr>
          <w:p w14:paraId="5BB30602" w14:textId="77777777" w:rsidR="00D9465C" w:rsidRPr="008A1AFE" w:rsidRDefault="00D9465C" w:rsidP="00DD0F28">
            <w:pPr>
              <w:jc w:val="right"/>
              <w:rPr>
                <w:color w:val="000000"/>
                <w:sz w:val="16"/>
                <w:szCs w:val="20"/>
                <w:lang w:eastAsia="en-NZ"/>
              </w:rPr>
            </w:pPr>
          </w:p>
        </w:tc>
        <w:tc>
          <w:tcPr>
            <w:tcW w:w="1275" w:type="dxa"/>
            <w:shd w:val="clear" w:color="auto" w:fill="auto"/>
            <w:vAlign w:val="center"/>
          </w:tcPr>
          <w:p w14:paraId="7DFA5995" w14:textId="77777777" w:rsidR="00D9465C" w:rsidRPr="008A1AFE" w:rsidRDefault="00D9465C" w:rsidP="00DD0F28">
            <w:pPr>
              <w:jc w:val="right"/>
              <w:rPr>
                <w:color w:val="000000"/>
                <w:sz w:val="16"/>
                <w:szCs w:val="20"/>
                <w:lang w:eastAsia="en-NZ"/>
              </w:rPr>
            </w:pPr>
          </w:p>
        </w:tc>
        <w:tc>
          <w:tcPr>
            <w:tcW w:w="1020" w:type="dxa"/>
            <w:shd w:val="clear" w:color="auto" w:fill="auto"/>
            <w:vAlign w:val="center"/>
          </w:tcPr>
          <w:p w14:paraId="084BA7B0" w14:textId="77777777" w:rsidR="00D9465C" w:rsidRPr="008A1AFE" w:rsidRDefault="00D9465C" w:rsidP="00DD0F28">
            <w:pPr>
              <w:jc w:val="right"/>
              <w:rPr>
                <w:color w:val="000000"/>
                <w:sz w:val="16"/>
                <w:szCs w:val="20"/>
                <w:lang w:eastAsia="en-NZ"/>
              </w:rPr>
            </w:pPr>
          </w:p>
        </w:tc>
      </w:tr>
      <w:tr w:rsidR="00D9465C" w:rsidRPr="003F15C0" w14:paraId="5920E840" w14:textId="77777777" w:rsidTr="00DD0F28">
        <w:tc>
          <w:tcPr>
            <w:tcW w:w="3119" w:type="dxa"/>
          </w:tcPr>
          <w:p w14:paraId="3AA107E4"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4EB877B1" w14:textId="77777777" w:rsidR="00D9465C" w:rsidRPr="008A1AFE" w:rsidRDefault="00D9465C" w:rsidP="00DD0F28">
            <w:pPr>
              <w:jc w:val="right"/>
              <w:rPr>
                <w:color w:val="000000"/>
                <w:sz w:val="16"/>
                <w:szCs w:val="20"/>
                <w:lang w:eastAsia="en-NZ"/>
              </w:rPr>
            </w:pPr>
            <w:r w:rsidRPr="008A1AFE">
              <w:rPr>
                <w:color w:val="000000"/>
                <w:sz w:val="16"/>
                <w:szCs w:val="20"/>
                <w:lang w:eastAsia="en-NZ"/>
              </w:rPr>
              <w:t>28</w:t>
            </w:r>
          </w:p>
        </w:tc>
        <w:tc>
          <w:tcPr>
            <w:tcW w:w="995" w:type="dxa"/>
            <w:shd w:val="clear" w:color="auto" w:fill="auto"/>
            <w:vAlign w:val="center"/>
          </w:tcPr>
          <w:p w14:paraId="15D48E2E" w14:textId="77777777" w:rsidR="00D9465C" w:rsidRPr="008A1AFE" w:rsidRDefault="00D9465C" w:rsidP="00DD0F28">
            <w:pPr>
              <w:jc w:val="right"/>
              <w:rPr>
                <w:color w:val="000000"/>
                <w:sz w:val="16"/>
                <w:szCs w:val="20"/>
                <w:lang w:eastAsia="en-NZ"/>
              </w:rPr>
            </w:pPr>
            <w:r w:rsidRPr="008A1AFE">
              <w:rPr>
                <w:color w:val="000000"/>
                <w:sz w:val="16"/>
                <w:szCs w:val="20"/>
                <w:lang w:eastAsia="en-NZ"/>
              </w:rPr>
              <w:t>16.5</w:t>
            </w:r>
          </w:p>
        </w:tc>
        <w:tc>
          <w:tcPr>
            <w:tcW w:w="1055" w:type="dxa"/>
            <w:shd w:val="clear" w:color="auto" w:fill="auto"/>
            <w:vAlign w:val="center"/>
          </w:tcPr>
          <w:p w14:paraId="165F3C20" w14:textId="77777777" w:rsidR="00D9465C" w:rsidRPr="008A1AFE" w:rsidRDefault="00D9465C" w:rsidP="00DD0F28">
            <w:pPr>
              <w:jc w:val="right"/>
              <w:rPr>
                <w:color w:val="000000"/>
                <w:sz w:val="16"/>
                <w:szCs w:val="20"/>
                <w:lang w:eastAsia="en-NZ"/>
              </w:rPr>
            </w:pPr>
          </w:p>
        </w:tc>
        <w:tc>
          <w:tcPr>
            <w:tcW w:w="1275" w:type="dxa"/>
            <w:shd w:val="clear" w:color="auto" w:fill="auto"/>
            <w:vAlign w:val="center"/>
          </w:tcPr>
          <w:p w14:paraId="5E92610E" w14:textId="77777777" w:rsidR="00D9465C" w:rsidRPr="008A1AFE" w:rsidRDefault="00D9465C" w:rsidP="00DD0F28">
            <w:pPr>
              <w:jc w:val="right"/>
              <w:rPr>
                <w:color w:val="000000"/>
                <w:sz w:val="16"/>
                <w:szCs w:val="20"/>
                <w:lang w:eastAsia="en-NZ"/>
              </w:rPr>
            </w:pPr>
          </w:p>
        </w:tc>
        <w:tc>
          <w:tcPr>
            <w:tcW w:w="1020" w:type="dxa"/>
            <w:shd w:val="clear" w:color="auto" w:fill="auto"/>
            <w:vAlign w:val="center"/>
          </w:tcPr>
          <w:p w14:paraId="30A2303A" w14:textId="77777777" w:rsidR="00D9465C" w:rsidRPr="008A1AFE" w:rsidRDefault="00D9465C" w:rsidP="00DD0F28">
            <w:pPr>
              <w:jc w:val="right"/>
              <w:rPr>
                <w:color w:val="000000"/>
                <w:sz w:val="16"/>
                <w:szCs w:val="20"/>
                <w:lang w:eastAsia="en-NZ"/>
              </w:rPr>
            </w:pPr>
          </w:p>
        </w:tc>
      </w:tr>
      <w:tr w:rsidR="00D9465C" w:rsidRPr="003F15C0" w14:paraId="1A5377AB" w14:textId="77777777" w:rsidTr="00DD0F28">
        <w:tc>
          <w:tcPr>
            <w:tcW w:w="3119" w:type="dxa"/>
          </w:tcPr>
          <w:p w14:paraId="5E7ACE84"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shd w:val="clear" w:color="auto" w:fill="auto"/>
            <w:vAlign w:val="center"/>
          </w:tcPr>
          <w:p w14:paraId="2851940B" w14:textId="77777777" w:rsidR="00D9465C" w:rsidRPr="008A1AFE" w:rsidRDefault="00D9465C" w:rsidP="00DD0F28">
            <w:pPr>
              <w:jc w:val="right"/>
              <w:rPr>
                <w:color w:val="000000"/>
                <w:sz w:val="16"/>
                <w:szCs w:val="20"/>
                <w:lang w:eastAsia="en-NZ"/>
              </w:rPr>
            </w:pPr>
            <w:r w:rsidRPr="008A1AFE">
              <w:rPr>
                <w:color w:val="000000"/>
                <w:sz w:val="16"/>
                <w:szCs w:val="20"/>
                <w:lang w:eastAsia="en-NZ"/>
              </w:rPr>
              <w:t>2</w:t>
            </w:r>
          </w:p>
        </w:tc>
        <w:tc>
          <w:tcPr>
            <w:tcW w:w="995" w:type="dxa"/>
            <w:shd w:val="clear" w:color="auto" w:fill="auto"/>
            <w:vAlign w:val="center"/>
          </w:tcPr>
          <w:p w14:paraId="5CA927A9" w14:textId="77777777" w:rsidR="00D9465C" w:rsidRPr="008A1AFE" w:rsidRDefault="00D9465C" w:rsidP="00DD0F28">
            <w:pPr>
              <w:jc w:val="right"/>
              <w:rPr>
                <w:color w:val="000000"/>
                <w:sz w:val="16"/>
                <w:szCs w:val="20"/>
                <w:lang w:eastAsia="en-NZ"/>
              </w:rPr>
            </w:pPr>
            <w:r w:rsidRPr="008A1AFE">
              <w:rPr>
                <w:color w:val="000000"/>
                <w:sz w:val="16"/>
                <w:szCs w:val="20"/>
                <w:lang w:eastAsia="en-NZ"/>
              </w:rPr>
              <w:t>0.0</w:t>
            </w:r>
          </w:p>
        </w:tc>
        <w:tc>
          <w:tcPr>
            <w:tcW w:w="1055" w:type="dxa"/>
            <w:shd w:val="clear" w:color="auto" w:fill="auto"/>
            <w:vAlign w:val="center"/>
          </w:tcPr>
          <w:p w14:paraId="60636B0A" w14:textId="77777777" w:rsidR="00D9465C" w:rsidRPr="008A1AFE" w:rsidRDefault="00D9465C" w:rsidP="00DD0F28">
            <w:pPr>
              <w:jc w:val="right"/>
              <w:rPr>
                <w:color w:val="000000"/>
                <w:sz w:val="16"/>
                <w:szCs w:val="20"/>
                <w:lang w:eastAsia="en-NZ"/>
              </w:rPr>
            </w:pPr>
          </w:p>
        </w:tc>
        <w:tc>
          <w:tcPr>
            <w:tcW w:w="1275" w:type="dxa"/>
            <w:shd w:val="clear" w:color="auto" w:fill="auto"/>
            <w:vAlign w:val="center"/>
          </w:tcPr>
          <w:p w14:paraId="610E4702" w14:textId="77777777" w:rsidR="00D9465C" w:rsidRPr="008A1AFE" w:rsidRDefault="00D9465C" w:rsidP="00DD0F28">
            <w:pPr>
              <w:jc w:val="right"/>
              <w:rPr>
                <w:color w:val="000000"/>
                <w:sz w:val="16"/>
                <w:szCs w:val="20"/>
                <w:lang w:eastAsia="en-NZ"/>
              </w:rPr>
            </w:pPr>
          </w:p>
        </w:tc>
        <w:tc>
          <w:tcPr>
            <w:tcW w:w="1020" w:type="dxa"/>
            <w:shd w:val="clear" w:color="auto" w:fill="auto"/>
            <w:vAlign w:val="center"/>
          </w:tcPr>
          <w:p w14:paraId="7BC6F289" w14:textId="77777777" w:rsidR="00D9465C" w:rsidRPr="008A1AFE" w:rsidRDefault="00D9465C" w:rsidP="00DD0F28">
            <w:pPr>
              <w:jc w:val="right"/>
              <w:rPr>
                <w:color w:val="000000"/>
                <w:sz w:val="16"/>
                <w:szCs w:val="20"/>
                <w:lang w:eastAsia="en-NZ"/>
              </w:rPr>
            </w:pPr>
          </w:p>
        </w:tc>
      </w:tr>
      <w:tr w:rsidR="00D9465C" w:rsidRPr="003F15C0" w14:paraId="7F7FC834" w14:textId="77777777" w:rsidTr="00DD0F28">
        <w:tc>
          <w:tcPr>
            <w:tcW w:w="4167" w:type="dxa"/>
            <w:gridSpan w:val="2"/>
            <w:vAlign w:val="center"/>
          </w:tcPr>
          <w:p w14:paraId="0F22A561" w14:textId="77777777" w:rsidR="00D9465C" w:rsidRPr="008A1AFE" w:rsidRDefault="00D9465C" w:rsidP="00DD0F28">
            <w:pPr>
              <w:rPr>
                <w:color w:val="000000"/>
                <w:sz w:val="16"/>
                <w:szCs w:val="20"/>
                <w:lang w:eastAsia="en-NZ"/>
              </w:rPr>
            </w:pPr>
            <w:r>
              <w:rPr>
                <w:b/>
                <w:sz w:val="16"/>
                <w:szCs w:val="16"/>
              </w:rPr>
              <w:t>Other o</w:t>
            </w:r>
            <w:r w:rsidRPr="00465146">
              <w:rPr>
                <w:b/>
                <w:sz w:val="16"/>
                <w:szCs w:val="16"/>
              </w:rPr>
              <w:t>verseas internet gambling†</w:t>
            </w:r>
            <w:r>
              <w:rPr>
                <w:b/>
                <w:sz w:val="16"/>
                <w:szCs w:val="16"/>
              </w:rPr>
              <w:t xml:space="preserve"> - annual</w:t>
            </w:r>
          </w:p>
        </w:tc>
        <w:tc>
          <w:tcPr>
            <w:tcW w:w="995" w:type="dxa"/>
            <w:shd w:val="clear" w:color="auto" w:fill="auto"/>
            <w:vAlign w:val="center"/>
          </w:tcPr>
          <w:p w14:paraId="3F2F2DF0" w14:textId="77777777" w:rsidR="00D9465C" w:rsidRPr="008A1AFE" w:rsidRDefault="00D9465C" w:rsidP="00DD0F28">
            <w:pPr>
              <w:jc w:val="right"/>
              <w:rPr>
                <w:color w:val="000000"/>
                <w:sz w:val="16"/>
                <w:szCs w:val="20"/>
                <w:lang w:eastAsia="en-NZ"/>
              </w:rPr>
            </w:pPr>
          </w:p>
        </w:tc>
        <w:tc>
          <w:tcPr>
            <w:tcW w:w="1055" w:type="dxa"/>
            <w:shd w:val="clear" w:color="auto" w:fill="auto"/>
            <w:vAlign w:val="center"/>
          </w:tcPr>
          <w:p w14:paraId="100236C5" w14:textId="77777777" w:rsidR="00D9465C" w:rsidRPr="008A1AFE" w:rsidRDefault="00D9465C" w:rsidP="00DD0F28">
            <w:pPr>
              <w:jc w:val="right"/>
              <w:rPr>
                <w:color w:val="000000"/>
                <w:sz w:val="16"/>
                <w:szCs w:val="20"/>
                <w:lang w:eastAsia="en-NZ"/>
              </w:rPr>
            </w:pPr>
          </w:p>
        </w:tc>
        <w:tc>
          <w:tcPr>
            <w:tcW w:w="1275" w:type="dxa"/>
            <w:shd w:val="clear" w:color="auto" w:fill="auto"/>
            <w:vAlign w:val="center"/>
          </w:tcPr>
          <w:p w14:paraId="3FFBCA3B" w14:textId="77777777" w:rsidR="00D9465C" w:rsidRPr="008A1AFE" w:rsidRDefault="00D9465C" w:rsidP="00DD0F28">
            <w:pPr>
              <w:jc w:val="right"/>
              <w:rPr>
                <w:color w:val="000000"/>
                <w:sz w:val="16"/>
                <w:szCs w:val="20"/>
                <w:lang w:eastAsia="en-NZ"/>
              </w:rPr>
            </w:pPr>
          </w:p>
        </w:tc>
        <w:tc>
          <w:tcPr>
            <w:tcW w:w="1020" w:type="dxa"/>
            <w:shd w:val="clear" w:color="auto" w:fill="auto"/>
            <w:vAlign w:val="center"/>
          </w:tcPr>
          <w:p w14:paraId="398A08C9" w14:textId="77777777" w:rsidR="00D9465C" w:rsidRPr="008A1AFE" w:rsidRDefault="00D9465C" w:rsidP="00DD0F28">
            <w:pPr>
              <w:jc w:val="right"/>
              <w:rPr>
                <w:color w:val="000000"/>
                <w:sz w:val="16"/>
                <w:szCs w:val="20"/>
                <w:lang w:eastAsia="en-NZ"/>
              </w:rPr>
            </w:pPr>
          </w:p>
        </w:tc>
      </w:tr>
      <w:tr w:rsidR="00D9465C" w:rsidRPr="003F15C0" w14:paraId="41128ABC" w14:textId="77777777" w:rsidTr="00DD0F28">
        <w:tc>
          <w:tcPr>
            <w:tcW w:w="3119" w:type="dxa"/>
          </w:tcPr>
          <w:p w14:paraId="64307424"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31E46FA8" w14:textId="77777777" w:rsidR="00D9465C" w:rsidRPr="008A1AFE" w:rsidRDefault="00D9465C" w:rsidP="00DD0F28">
            <w:pPr>
              <w:jc w:val="right"/>
              <w:rPr>
                <w:color w:val="000000"/>
                <w:sz w:val="16"/>
                <w:szCs w:val="20"/>
                <w:lang w:eastAsia="en-NZ"/>
              </w:rPr>
            </w:pPr>
            <w:r w:rsidRPr="008A1AFE">
              <w:rPr>
                <w:color w:val="000000"/>
                <w:sz w:val="16"/>
                <w:szCs w:val="20"/>
                <w:lang w:eastAsia="en-NZ"/>
              </w:rPr>
              <w:t>28</w:t>
            </w:r>
          </w:p>
        </w:tc>
        <w:tc>
          <w:tcPr>
            <w:tcW w:w="995" w:type="dxa"/>
            <w:shd w:val="clear" w:color="auto" w:fill="auto"/>
            <w:vAlign w:val="center"/>
          </w:tcPr>
          <w:p w14:paraId="239C4D0F" w14:textId="77777777" w:rsidR="00D9465C" w:rsidRPr="008A1AFE" w:rsidRDefault="00D9465C" w:rsidP="00DD0F28">
            <w:pPr>
              <w:jc w:val="right"/>
              <w:rPr>
                <w:color w:val="000000"/>
                <w:sz w:val="16"/>
                <w:szCs w:val="20"/>
                <w:lang w:eastAsia="en-NZ"/>
              </w:rPr>
            </w:pPr>
            <w:r w:rsidRPr="008A1AFE">
              <w:rPr>
                <w:color w:val="000000"/>
                <w:sz w:val="16"/>
                <w:szCs w:val="20"/>
                <w:lang w:eastAsia="en-NZ"/>
              </w:rPr>
              <w:t>11.6</w:t>
            </w:r>
          </w:p>
        </w:tc>
        <w:tc>
          <w:tcPr>
            <w:tcW w:w="1055" w:type="dxa"/>
            <w:shd w:val="clear" w:color="auto" w:fill="auto"/>
            <w:vAlign w:val="center"/>
          </w:tcPr>
          <w:p w14:paraId="3E4507CC" w14:textId="77777777" w:rsidR="00D9465C" w:rsidRPr="008A1AFE" w:rsidRDefault="00D9465C" w:rsidP="00DD0F28">
            <w:pPr>
              <w:jc w:val="right"/>
              <w:rPr>
                <w:color w:val="000000"/>
                <w:sz w:val="16"/>
                <w:szCs w:val="20"/>
                <w:lang w:eastAsia="en-NZ"/>
              </w:rPr>
            </w:pPr>
            <w:r w:rsidRPr="008A1AFE">
              <w:rPr>
                <w:color w:val="000000"/>
                <w:sz w:val="16"/>
                <w:szCs w:val="20"/>
                <w:lang w:eastAsia="en-NZ"/>
              </w:rPr>
              <w:t>1.00</w:t>
            </w:r>
          </w:p>
        </w:tc>
        <w:tc>
          <w:tcPr>
            <w:tcW w:w="1275" w:type="dxa"/>
            <w:shd w:val="clear" w:color="auto" w:fill="auto"/>
            <w:vAlign w:val="center"/>
          </w:tcPr>
          <w:p w14:paraId="794904A8" w14:textId="77777777" w:rsidR="00D9465C" w:rsidRPr="008A1AFE" w:rsidRDefault="00D9465C" w:rsidP="00DD0F28">
            <w:pPr>
              <w:jc w:val="right"/>
              <w:rPr>
                <w:color w:val="000000"/>
                <w:sz w:val="16"/>
                <w:szCs w:val="20"/>
                <w:lang w:eastAsia="en-NZ"/>
              </w:rPr>
            </w:pPr>
          </w:p>
        </w:tc>
        <w:tc>
          <w:tcPr>
            <w:tcW w:w="1020" w:type="dxa"/>
            <w:shd w:val="clear" w:color="auto" w:fill="auto"/>
            <w:vAlign w:val="center"/>
          </w:tcPr>
          <w:p w14:paraId="0144A249" w14:textId="77777777" w:rsidR="00D9465C" w:rsidRPr="008A1AFE" w:rsidRDefault="00D9465C" w:rsidP="00DD0F28">
            <w:pPr>
              <w:jc w:val="right"/>
              <w:rPr>
                <w:color w:val="000000"/>
                <w:sz w:val="16"/>
                <w:szCs w:val="20"/>
                <w:lang w:eastAsia="en-NZ"/>
              </w:rPr>
            </w:pPr>
          </w:p>
        </w:tc>
      </w:tr>
      <w:tr w:rsidR="00D9465C" w:rsidRPr="003F15C0" w14:paraId="595D05F0" w14:textId="77777777" w:rsidTr="00DD0F28">
        <w:tc>
          <w:tcPr>
            <w:tcW w:w="3119" w:type="dxa"/>
          </w:tcPr>
          <w:p w14:paraId="7F611B52"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shd w:val="clear" w:color="auto" w:fill="auto"/>
            <w:vAlign w:val="center"/>
          </w:tcPr>
          <w:p w14:paraId="4B6219F7" w14:textId="77777777" w:rsidR="00D9465C" w:rsidRPr="008A1AFE" w:rsidRDefault="00D9465C" w:rsidP="00DD0F28">
            <w:pPr>
              <w:jc w:val="right"/>
              <w:rPr>
                <w:color w:val="000000"/>
                <w:sz w:val="16"/>
                <w:szCs w:val="20"/>
                <w:lang w:eastAsia="en-NZ"/>
              </w:rPr>
            </w:pPr>
            <w:r w:rsidRPr="008A1AFE">
              <w:rPr>
                <w:color w:val="000000"/>
                <w:sz w:val="16"/>
                <w:szCs w:val="20"/>
                <w:lang w:eastAsia="en-NZ"/>
              </w:rPr>
              <w:t>2</w:t>
            </w:r>
          </w:p>
        </w:tc>
        <w:tc>
          <w:tcPr>
            <w:tcW w:w="995" w:type="dxa"/>
            <w:shd w:val="clear" w:color="auto" w:fill="auto"/>
            <w:vAlign w:val="center"/>
          </w:tcPr>
          <w:p w14:paraId="0D8AF844" w14:textId="77777777" w:rsidR="00D9465C" w:rsidRPr="008A1AFE" w:rsidRDefault="00D9465C" w:rsidP="00DD0F28">
            <w:pPr>
              <w:jc w:val="right"/>
              <w:rPr>
                <w:color w:val="000000"/>
                <w:sz w:val="16"/>
                <w:szCs w:val="20"/>
                <w:lang w:eastAsia="en-NZ"/>
              </w:rPr>
            </w:pPr>
            <w:r w:rsidRPr="008A1AFE">
              <w:rPr>
                <w:color w:val="000000"/>
                <w:sz w:val="16"/>
                <w:szCs w:val="20"/>
                <w:lang w:eastAsia="en-NZ"/>
              </w:rPr>
              <w:t>72.8</w:t>
            </w:r>
          </w:p>
        </w:tc>
        <w:tc>
          <w:tcPr>
            <w:tcW w:w="1055" w:type="dxa"/>
            <w:shd w:val="clear" w:color="auto" w:fill="auto"/>
            <w:vAlign w:val="center"/>
          </w:tcPr>
          <w:p w14:paraId="276312E2" w14:textId="77777777" w:rsidR="00D9465C" w:rsidRPr="008A1AFE" w:rsidRDefault="00D9465C" w:rsidP="00DD0F28">
            <w:pPr>
              <w:jc w:val="right"/>
              <w:rPr>
                <w:color w:val="000000"/>
                <w:sz w:val="16"/>
                <w:szCs w:val="20"/>
                <w:lang w:eastAsia="en-NZ"/>
              </w:rPr>
            </w:pPr>
            <w:r w:rsidRPr="008A1AFE">
              <w:rPr>
                <w:color w:val="000000"/>
                <w:sz w:val="16"/>
                <w:szCs w:val="20"/>
                <w:lang w:eastAsia="en-NZ"/>
              </w:rPr>
              <w:t>20.44</w:t>
            </w:r>
          </w:p>
        </w:tc>
        <w:tc>
          <w:tcPr>
            <w:tcW w:w="1275" w:type="dxa"/>
            <w:shd w:val="clear" w:color="auto" w:fill="auto"/>
            <w:vAlign w:val="center"/>
          </w:tcPr>
          <w:p w14:paraId="1ED83B33" w14:textId="77777777" w:rsidR="00D9465C" w:rsidRPr="008A1AFE" w:rsidRDefault="00D9465C" w:rsidP="00DD0F28">
            <w:pPr>
              <w:jc w:val="right"/>
              <w:rPr>
                <w:color w:val="000000"/>
                <w:sz w:val="16"/>
                <w:szCs w:val="20"/>
                <w:lang w:eastAsia="en-NZ"/>
              </w:rPr>
            </w:pPr>
            <w:r w:rsidRPr="008A1AFE">
              <w:rPr>
                <w:color w:val="000000"/>
                <w:sz w:val="16"/>
                <w:szCs w:val="20"/>
                <w:lang w:eastAsia="en-NZ"/>
              </w:rPr>
              <w:t>(1.37, 304.91)</w:t>
            </w:r>
          </w:p>
        </w:tc>
        <w:tc>
          <w:tcPr>
            <w:tcW w:w="1020" w:type="dxa"/>
            <w:shd w:val="clear" w:color="auto" w:fill="auto"/>
            <w:vAlign w:val="center"/>
          </w:tcPr>
          <w:p w14:paraId="6863D7DC" w14:textId="77777777" w:rsidR="00D9465C" w:rsidRPr="008A1AFE" w:rsidRDefault="00D9465C" w:rsidP="00DD0F28">
            <w:pPr>
              <w:jc w:val="right"/>
              <w:rPr>
                <w:color w:val="000000"/>
                <w:sz w:val="16"/>
                <w:szCs w:val="20"/>
                <w:lang w:eastAsia="en-NZ"/>
              </w:rPr>
            </w:pPr>
            <w:r w:rsidRPr="008A1AFE">
              <w:rPr>
                <w:color w:val="000000"/>
                <w:sz w:val="16"/>
                <w:szCs w:val="20"/>
                <w:lang w:eastAsia="en-NZ"/>
              </w:rPr>
              <w:t>0.03</w:t>
            </w:r>
          </w:p>
        </w:tc>
      </w:tr>
      <w:tr w:rsidR="00D9465C" w:rsidRPr="003F15C0" w14:paraId="7CB87C4D" w14:textId="77777777" w:rsidTr="00DD0F28">
        <w:tc>
          <w:tcPr>
            <w:tcW w:w="3119" w:type="dxa"/>
          </w:tcPr>
          <w:p w14:paraId="60B99B0E" w14:textId="77777777" w:rsidR="00D9465C" w:rsidRPr="00465146" w:rsidRDefault="00D9465C" w:rsidP="00DD0F28">
            <w:pPr>
              <w:spacing w:before="20"/>
              <w:jc w:val="both"/>
              <w:rPr>
                <w:b/>
                <w:sz w:val="16"/>
                <w:szCs w:val="16"/>
              </w:rPr>
            </w:pPr>
            <w:r>
              <w:rPr>
                <w:b/>
                <w:sz w:val="16"/>
                <w:szCs w:val="16"/>
              </w:rPr>
              <w:t>Any offshore/internet gambling - annual</w:t>
            </w:r>
          </w:p>
        </w:tc>
        <w:tc>
          <w:tcPr>
            <w:tcW w:w="1048" w:type="dxa"/>
            <w:shd w:val="clear" w:color="auto" w:fill="auto"/>
            <w:vAlign w:val="center"/>
          </w:tcPr>
          <w:p w14:paraId="4B7E643E" w14:textId="77777777" w:rsidR="00D9465C" w:rsidRPr="008A1AFE" w:rsidRDefault="00D9465C" w:rsidP="00DD0F28">
            <w:pPr>
              <w:jc w:val="right"/>
              <w:rPr>
                <w:color w:val="000000"/>
                <w:sz w:val="16"/>
                <w:szCs w:val="20"/>
                <w:lang w:eastAsia="en-NZ"/>
              </w:rPr>
            </w:pPr>
          </w:p>
        </w:tc>
        <w:tc>
          <w:tcPr>
            <w:tcW w:w="995" w:type="dxa"/>
            <w:shd w:val="clear" w:color="auto" w:fill="auto"/>
            <w:vAlign w:val="center"/>
          </w:tcPr>
          <w:p w14:paraId="4AD8778A" w14:textId="77777777" w:rsidR="00D9465C" w:rsidRPr="008A1AFE" w:rsidRDefault="00D9465C" w:rsidP="00DD0F28">
            <w:pPr>
              <w:jc w:val="right"/>
              <w:rPr>
                <w:color w:val="000000"/>
                <w:sz w:val="16"/>
                <w:szCs w:val="20"/>
                <w:lang w:eastAsia="en-NZ"/>
              </w:rPr>
            </w:pPr>
          </w:p>
        </w:tc>
        <w:tc>
          <w:tcPr>
            <w:tcW w:w="1055" w:type="dxa"/>
            <w:shd w:val="clear" w:color="auto" w:fill="auto"/>
            <w:vAlign w:val="center"/>
          </w:tcPr>
          <w:p w14:paraId="6D6EBAE1" w14:textId="77777777" w:rsidR="00D9465C" w:rsidRPr="008A1AFE" w:rsidRDefault="00D9465C" w:rsidP="00DD0F28">
            <w:pPr>
              <w:jc w:val="right"/>
              <w:rPr>
                <w:color w:val="000000"/>
                <w:sz w:val="16"/>
                <w:szCs w:val="20"/>
                <w:lang w:eastAsia="en-NZ"/>
              </w:rPr>
            </w:pPr>
          </w:p>
        </w:tc>
        <w:tc>
          <w:tcPr>
            <w:tcW w:w="1275" w:type="dxa"/>
            <w:shd w:val="clear" w:color="auto" w:fill="auto"/>
            <w:vAlign w:val="center"/>
          </w:tcPr>
          <w:p w14:paraId="4C042A18" w14:textId="77777777" w:rsidR="00D9465C" w:rsidRPr="008A1AFE" w:rsidRDefault="00D9465C" w:rsidP="00DD0F28">
            <w:pPr>
              <w:jc w:val="right"/>
              <w:rPr>
                <w:color w:val="000000"/>
                <w:sz w:val="16"/>
                <w:szCs w:val="20"/>
                <w:lang w:eastAsia="en-NZ"/>
              </w:rPr>
            </w:pPr>
          </w:p>
        </w:tc>
        <w:tc>
          <w:tcPr>
            <w:tcW w:w="1020" w:type="dxa"/>
            <w:shd w:val="clear" w:color="auto" w:fill="auto"/>
            <w:vAlign w:val="center"/>
          </w:tcPr>
          <w:p w14:paraId="56CFCB56" w14:textId="77777777" w:rsidR="00D9465C" w:rsidRPr="008A1AFE" w:rsidRDefault="00D9465C" w:rsidP="00DD0F28">
            <w:pPr>
              <w:jc w:val="right"/>
              <w:rPr>
                <w:color w:val="000000"/>
                <w:sz w:val="16"/>
                <w:szCs w:val="20"/>
                <w:lang w:eastAsia="en-NZ"/>
              </w:rPr>
            </w:pPr>
          </w:p>
        </w:tc>
      </w:tr>
      <w:tr w:rsidR="00D9465C" w:rsidRPr="003F15C0" w14:paraId="14721FCF" w14:textId="77777777" w:rsidTr="00DD0F28">
        <w:tc>
          <w:tcPr>
            <w:tcW w:w="3119" w:type="dxa"/>
          </w:tcPr>
          <w:p w14:paraId="4C85A2EA"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3DC7B81C" w14:textId="77777777" w:rsidR="00D9465C" w:rsidRPr="008A1AFE" w:rsidRDefault="00D9465C" w:rsidP="00DD0F28">
            <w:pPr>
              <w:jc w:val="right"/>
              <w:rPr>
                <w:color w:val="000000"/>
                <w:sz w:val="16"/>
                <w:szCs w:val="20"/>
                <w:lang w:eastAsia="en-NZ"/>
              </w:rPr>
            </w:pPr>
            <w:r w:rsidRPr="008A1AFE">
              <w:rPr>
                <w:color w:val="000000"/>
                <w:sz w:val="16"/>
                <w:szCs w:val="20"/>
                <w:lang w:eastAsia="en-NZ"/>
              </w:rPr>
              <w:t>28</w:t>
            </w:r>
          </w:p>
        </w:tc>
        <w:tc>
          <w:tcPr>
            <w:tcW w:w="995" w:type="dxa"/>
            <w:shd w:val="clear" w:color="auto" w:fill="auto"/>
            <w:vAlign w:val="center"/>
          </w:tcPr>
          <w:p w14:paraId="31EEE07E" w14:textId="77777777" w:rsidR="00D9465C" w:rsidRPr="008A1AFE" w:rsidRDefault="00D9465C" w:rsidP="00DD0F28">
            <w:pPr>
              <w:jc w:val="right"/>
              <w:rPr>
                <w:color w:val="000000"/>
                <w:sz w:val="16"/>
                <w:szCs w:val="20"/>
                <w:lang w:eastAsia="en-NZ"/>
              </w:rPr>
            </w:pPr>
            <w:r w:rsidRPr="008A1AFE">
              <w:rPr>
                <w:color w:val="000000"/>
                <w:sz w:val="16"/>
                <w:szCs w:val="20"/>
                <w:lang w:eastAsia="en-NZ"/>
              </w:rPr>
              <w:t>11.6</w:t>
            </w:r>
          </w:p>
        </w:tc>
        <w:tc>
          <w:tcPr>
            <w:tcW w:w="1055" w:type="dxa"/>
            <w:shd w:val="clear" w:color="auto" w:fill="auto"/>
            <w:vAlign w:val="center"/>
          </w:tcPr>
          <w:p w14:paraId="3426FED7" w14:textId="77777777" w:rsidR="00D9465C" w:rsidRPr="008A1AFE" w:rsidRDefault="00D9465C" w:rsidP="00DD0F28">
            <w:pPr>
              <w:jc w:val="right"/>
              <w:rPr>
                <w:color w:val="000000"/>
                <w:sz w:val="16"/>
                <w:szCs w:val="20"/>
                <w:lang w:eastAsia="en-NZ"/>
              </w:rPr>
            </w:pPr>
            <w:r w:rsidRPr="008A1AFE">
              <w:rPr>
                <w:color w:val="000000"/>
                <w:sz w:val="16"/>
                <w:szCs w:val="20"/>
                <w:lang w:eastAsia="en-NZ"/>
              </w:rPr>
              <w:t>1.00</w:t>
            </w:r>
          </w:p>
        </w:tc>
        <w:tc>
          <w:tcPr>
            <w:tcW w:w="1275" w:type="dxa"/>
            <w:shd w:val="clear" w:color="auto" w:fill="auto"/>
            <w:vAlign w:val="center"/>
          </w:tcPr>
          <w:p w14:paraId="570B595E" w14:textId="77777777" w:rsidR="00D9465C" w:rsidRPr="008A1AFE" w:rsidRDefault="00D9465C" w:rsidP="00DD0F28">
            <w:pPr>
              <w:jc w:val="right"/>
              <w:rPr>
                <w:color w:val="000000"/>
                <w:sz w:val="16"/>
                <w:szCs w:val="20"/>
                <w:lang w:eastAsia="en-NZ"/>
              </w:rPr>
            </w:pPr>
          </w:p>
        </w:tc>
        <w:tc>
          <w:tcPr>
            <w:tcW w:w="1020" w:type="dxa"/>
            <w:shd w:val="clear" w:color="auto" w:fill="auto"/>
            <w:vAlign w:val="center"/>
          </w:tcPr>
          <w:p w14:paraId="69704E20" w14:textId="77777777" w:rsidR="00D9465C" w:rsidRPr="008A1AFE" w:rsidRDefault="00D9465C" w:rsidP="00DD0F28">
            <w:pPr>
              <w:jc w:val="right"/>
              <w:rPr>
                <w:color w:val="000000"/>
                <w:sz w:val="16"/>
                <w:szCs w:val="20"/>
                <w:lang w:eastAsia="en-NZ"/>
              </w:rPr>
            </w:pPr>
          </w:p>
        </w:tc>
      </w:tr>
      <w:tr w:rsidR="00D9465C" w:rsidRPr="003F15C0" w14:paraId="4057D19C" w14:textId="77777777" w:rsidTr="00DD0F28">
        <w:tc>
          <w:tcPr>
            <w:tcW w:w="3119" w:type="dxa"/>
          </w:tcPr>
          <w:p w14:paraId="793AF72D"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shd w:val="clear" w:color="auto" w:fill="auto"/>
            <w:vAlign w:val="center"/>
          </w:tcPr>
          <w:p w14:paraId="66297547" w14:textId="77777777" w:rsidR="00D9465C" w:rsidRPr="008A1AFE" w:rsidRDefault="00D9465C" w:rsidP="00DD0F28">
            <w:pPr>
              <w:jc w:val="right"/>
              <w:rPr>
                <w:color w:val="000000"/>
                <w:sz w:val="16"/>
                <w:szCs w:val="20"/>
                <w:lang w:eastAsia="en-NZ"/>
              </w:rPr>
            </w:pPr>
            <w:r w:rsidRPr="008A1AFE">
              <w:rPr>
                <w:color w:val="000000"/>
                <w:sz w:val="16"/>
                <w:szCs w:val="20"/>
                <w:lang w:eastAsia="en-NZ"/>
              </w:rPr>
              <w:t>2</w:t>
            </w:r>
          </w:p>
        </w:tc>
        <w:tc>
          <w:tcPr>
            <w:tcW w:w="995" w:type="dxa"/>
            <w:shd w:val="clear" w:color="auto" w:fill="auto"/>
            <w:vAlign w:val="center"/>
          </w:tcPr>
          <w:p w14:paraId="5F850F6A" w14:textId="77777777" w:rsidR="00D9465C" w:rsidRPr="008A1AFE" w:rsidRDefault="00D9465C" w:rsidP="00DD0F28">
            <w:pPr>
              <w:jc w:val="right"/>
              <w:rPr>
                <w:color w:val="000000"/>
                <w:sz w:val="16"/>
                <w:szCs w:val="20"/>
                <w:lang w:eastAsia="en-NZ"/>
              </w:rPr>
            </w:pPr>
            <w:r w:rsidRPr="008A1AFE">
              <w:rPr>
                <w:color w:val="000000"/>
                <w:sz w:val="16"/>
                <w:szCs w:val="20"/>
                <w:lang w:eastAsia="en-NZ"/>
              </w:rPr>
              <w:t>72.8</w:t>
            </w:r>
          </w:p>
        </w:tc>
        <w:tc>
          <w:tcPr>
            <w:tcW w:w="1055" w:type="dxa"/>
            <w:shd w:val="clear" w:color="auto" w:fill="auto"/>
            <w:vAlign w:val="center"/>
          </w:tcPr>
          <w:p w14:paraId="0EAD418F" w14:textId="77777777" w:rsidR="00D9465C" w:rsidRPr="008A1AFE" w:rsidRDefault="00D9465C" w:rsidP="00DD0F28">
            <w:pPr>
              <w:jc w:val="right"/>
              <w:rPr>
                <w:color w:val="000000"/>
                <w:sz w:val="16"/>
                <w:szCs w:val="20"/>
                <w:lang w:eastAsia="en-NZ"/>
              </w:rPr>
            </w:pPr>
            <w:r w:rsidRPr="008A1AFE">
              <w:rPr>
                <w:color w:val="000000"/>
                <w:sz w:val="16"/>
                <w:szCs w:val="20"/>
                <w:lang w:eastAsia="en-NZ"/>
              </w:rPr>
              <w:t>20.44</w:t>
            </w:r>
          </w:p>
        </w:tc>
        <w:tc>
          <w:tcPr>
            <w:tcW w:w="1275" w:type="dxa"/>
            <w:shd w:val="clear" w:color="auto" w:fill="auto"/>
            <w:vAlign w:val="center"/>
          </w:tcPr>
          <w:p w14:paraId="27B8BB94" w14:textId="77777777" w:rsidR="00D9465C" w:rsidRPr="008A1AFE" w:rsidRDefault="00D9465C" w:rsidP="00DD0F28">
            <w:pPr>
              <w:jc w:val="right"/>
              <w:rPr>
                <w:color w:val="000000"/>
                <w:sz w:val="16"/>
                <w:szCs w:val="20"/>
                <w:lang w:eastAsia="en-NZ"/>
              </w:rPr>
            </w:pPr>
            <w:r w:rsidRPr="008A1AFE">
              <w:rPr>
                <w:color w:val="000000"/>
                <w:sz w:val="16"/>
                <w:szCs w:val="20"/>
                <w:lang w:eastAsia="en-NZ"/>
              </w:rPr>
              <w:t>(1.37, 304.91)</w:t>
            </w:r>
          </w:p>
        </w:tc>
        <w:tc>
          <w:tcPr>
            <w:tcW w:w="1020" w:type="dxa"/>
            <w:shd w:val="clear" w:color="auto" w:fill="auto"/>
            <w:vAlign w:val="center"/>
          </w:tcPr>
          <w:p w14:paraId="7500F22E" w14:textId="77777777" w:rsidR="00D9465C" w:rsidRPr="008A1AFE" w:rsidRDefault="00D9465C" w:rsidP="00DD0F28">
            <w:pPr>
              <w:jc w:val="right"/>
              <w:rPr>
                <w:color w:val="000000"/>
                <w:sz w:val="16"/>
                <w:szCs w:val="20"/>
                <w:lang w:eastAsia="en-NZ"/>
              </w:rPr>
            </w:pPr>
            <w:r w:rsidRPr="008A1AFE">
              <w:rPr>
                <w:color w:val="000000"/>
                <w:sz w:val="16"/>
                <w:szCs w:val="20"/>
                <w:lang w:eastAsia="en-NZ"/>
              </w:rPr>
              <w:t>0.03</w:t>
            </w:r>
          </w:p>
        </w:tc>
      </w:tr>
      <w:tr w:rsidR="00D9465C" w:rsidRPr="003F15C0" w14:paraId="32476DFD" w14:textId="77777777" w:rsidTr="00DD0F28">
        <w:tc>
          <w:tcPr>
            <w:tcW w:w="3119" w:type="dxa"/>
            <w:vAlign w:val="bottom"/>
          </w:tcPr>
          <w:p w14:paraId="0411341A" w14:textId="77777777" w:rsidR="00D9465C" w:rsidRPr="003F15C0" w:rsidRDefault="00D9465C" w:rsidP="00DD0F28">
            <w:pPr>
              <w:spacing w:before="20"/>
              <w:jc w:val="both"/>
              <w:rPr>
                <w:b/>
                <w:sz w:val="16"/>
                <w:szCs w:val="16"/>
              </w:rPr>
            </w:pPr>
            <w:r w:rsidRPr="003F15C0">
              <w:rPr>
                <w:b/>
                <w:sz w:val="16"/>
                <w:szCs w:val="16"/>
              </w:rPr>
              <w:t>Text game or competition - monthly</w:t>
            </w:r>
          </w:p>
        </w:tc>
        <w:tc>
          <w:tcPr>
            <w:tcW w:w="1048" w:type="dxa"/>
            <w:shd w:val="clear" w:color="auto" w:fill="auto"/>
            <w:vAlign w:val="center"/>
          </w:tcPr>
          <w:p w14:paraId="23088889" w14:textId="77777777" w:rsidR="00D9465C" w:rsidRPr="00637CF2" w:rsidRDefault="00D9465C" w:rsidP="00DD0F28">
            <w:pPr>
              <w:jc w:val="right"/>
              <w:rPr>
                <w:color w:val="000000"/>
                <w:sz w:val="16"/>
                <w:szCs w:val="16"/>
                <w:lang w:eastAsia="en-NZ"/>
              </w:rPr>
            </w:pPr>
          </w:p>
        </w:tc>
        <w:tc>
          <w:tcPr>
            <w:tcW w:w="995" w:type="dxa"/>
            <w:shd w:val="clear" w:color="auto" w:fill="auto"/>
            <w:vAlign w:val="center"/>
          </w:tcPr>
          <w:p w14:paraId="196AC75D" w14:textId="77777777" w:rsidR="00D9465C" w:rsidRPr="00637CF2" w:rsidRDefault="00D9465C" w:rsidP="00DD0F28">
            <w:pPr>
              <w:jc w:val="right"/>
              <w:rPr>
                <w:color w:val="000000"/>
                <w:sz w:val="16"/>
                <w:szCs w:val="16"/>
                <w:lang w:eastAsia="en-NZ"/>
              </w:rPr>
            </w:pPr>
          </w:p>
        </w:tc>
        <w:tc>
          <w:tcPr>
            <w:tcW w:w="1055" w:type="dxa"/>
            <w:shd w:val="clear" w:color="auto" w:fill="auto"/>
            <w:vAlign w:val="center"/>
          </w:tcPr>
          <w:p w14:paraId="306EFB3A"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2CA89BA4"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5B67A590" w14:textId="77777777" w:rsidR="00D9465C" w:rsidRPr="00637CF2" w:rsidRDefault="00D9465C" w:rsidP="00DD0F28">
            <w:pPr>
              <w:jc w:val="right"/>
              <w:rPr>
                <w:color w:val="000000"/>
                <w:sz w:val="16"/>
                <w:szCs w:val="16"/>
                <w:lang w:eastAsia="en-NZ"/>
              </w:rPr>
            </w:pPr>
          </w:p>
        </w:tc>
      </w:tr>
      <w:tr w:rsidR="00D9465C" w:rsidRPr="003F15C0" w14:paraId="67689ABF" w14:textId="77777777" w:rsidTr="00DD0F28">
        <w:tc>
          <w:tcPr>
            <w:tcW w:w="3119" w:type="dxa"/>
          </w:tcPr>
          <w:p w14:paraId="7953533B"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0CACF3DA" w14:textId="77777777" w:rsidR="00D9465C" w:rsidRPr="008A1AFE" w:rsidRDefault="00D9465C" w:rsidP="00DD0F28">
            <w:pPr>
              <w:jc w:val="right"/>
              <w:rPr>
                <w:color w:val="000000"/>
                <w:sz w:val="16"/>
                <w:szCs w:val="20"/>
                <w:lang w:eastAsia="en-NZ"/>
              </w:rPr>
            </w:pPr>
            <w:r w:rsidRPr="008A1AFE">
              <w:rPr>
                <w:color w:val="000000"/>
                <w:sz w:val="16"/>
                <w:szCs w:val="20"/>
                <w:lang w:eastAsia="en-NZ"/>
              </w:rPr>
              <w:t>30</w:t>
            </w:r>
          </w:p>
        </w:tc>
        <w:tc>
          <w:tcPr>
            <w:tcW w:w="995" w:type="dxa"/>
            <w:shd w:val="clear" w:color="auto" w:fill="auto"/>
            <w:vAlign w:val="center"/>
          </w:tcPr>
          <w:p w14:paraId="62139795" w14:textId="77777777" w:rsidR="00D9465C" w:rsidRPr="008A1AFE" w:rsidRDefault="00D9465C" w:rsidP="00DD0F28">
            <w:pPr>
              <w:jc w:val="right"/>
              <w:rPr>
                <w:color w:val="000000"/>
                <w:sz w:val="16"/>
                <w:szCs w:val="20"/>
                <w:lang w:eastAsia="en-NZ"/>
              </w:rPr>
            </w:pPr>
            <w:r w:rsidRPr="008A1AFE">
              <w:rPr>
                <w:color w:val="000000"/>
                <w:sz w:val="16"/>
                <w:szCs w:val="20"/>
                <w:lang w:eastAsia="en-NZ"/>
              </w:rPr>
              <w:t>15.5</w:t>
            </w:r>
          </w:p>
        </w:tc>
        <w:tc>
          <w:tcPr>
            <w:tcW w:w="1055" w:type="dxa"/>
            <w:shd w:val="clear" w:color="auto" w:fill="auto"/>
            <w:vAlign w:val="center"/>
          </w:tcPr>
          <w:p w14:paraId="24AB2179"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542FD97A"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4AB6F1D7" w14:textId="77777777" w:rsidR="00D9465C" w:rsidRPr="00230801" w:rsidRDefault="00D9465C" w:rsidP="00DD0F28">
            <w:pPr>
              <w:jc w:val="right"/>
              <w:rPr>
                <w:color w:val="000000"/>
                <w:sz w:val="16"/>
                <w:szCs w:val="16"/>
                <w:lang w:eastAsia="en-NZ"/>
              </w:rPr>
            </w:pPr>
          </w:p>
        </w:tc>
      </w:tr>
      <w:tr w:rsidR="00D9465C" w:rsidRPr="003F15C0" w14:paraId="6E241190" w14:textId="77777777" w:rsidTr="00DD0F28">
        <w:tc>
          <w:tcPr>
            <w:tcW w:w="3119" w:type="dxa"/>
          </w:tcPr>
          <w:p w14:paraId="330582D4"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shd w:val="clear" w:color="auto" w:fill="auto"/>
            <w:vAlign w:val="center"/>
          </w:tcPr>
          <w:p w14:paraId="7578D900" w14:textId="77777777" w:rsidR="00D9465C" w:rsidRPr="008A1AFE" w:rsidRDefault="00D9465C" w:rsidP="00DD0F28">
            <w:pPr>
              <w:jc w:val="right"/>
              <w:rPr>
                <w:color w:val="000000"/>
                <w:sz w:val="16"/>
                <w:szCs w:val="20"/>
                <w:lang w:eastAsia="en-NZ"/>
              </w:rPr>
            </w:pPr>
            <w:r w:rsidRPr="008A1AFE">
              <w:rPr>
                <w:color w:val="000000"/>
                <w:sz w:val="16"/>
                <w:szCs w:val="20"/>
                <w:lang w:eastAsia="en-NZ"/>
              </w:rPr>
              <w:t>0.1</w:t>
            </w:r>
          </w:p>
        </w:tc>
        <w:tc>
          <w:tcPr>
            <w:tcW w:w="995" w:type="dxa"/>
            <w:shd w:val="clear" w:color="auto" w:fill="auto"/>
            <w:vAlign w:val="center"/>
          </w:tcPr>
          <w:p w14:paraId="3829DAF9" w14:textId="77777777" w:rsidR="00D9465C" w:rsidRPr="008A1AFE" w:rsidRDefault="00D9465C" w:rsidP="00DD0F28">
            <w:pPr>
              <w:jc w:val="right"/>
              <w:rPr>
                <w:color w:val="000000"/>
                <w:sz w:val="16"/>
                <w:szCs w:val="20"/>
                <w:lang w:eastAsia="en-NZ"/>
              </w:rPr>
            </w:pPr>
            <w:r w:rsidRPr="008A1AFE">
              <w:rPr>
                <w:color w:val="000000"/>
                <w:sz w:val="16"/>
                <w:szCs w:val="20"/>
                <w:lang w:eastAsia="en-NZ"/>
              </w:rPr>
              <w:t>0.0</w:t>
            </w:r>
          </w:p>
        </w:tc>
        <w:tc>
          <w:tcPr>
            <w:tcW w:w="1055" w:type="dxa"/>
            <w:shd w:val="clear" w:color="auto" w:fill="auto"/>
            <w:vAlign w:val="center"/>
          </w:tcPr>
          <w:p w14:paraId="38C2539B"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120E3049"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455F253B" w14:textId="77777777" w:rsidR="00D9465C" w:rsidRPr="00230801" w:rsidRDefault="00D9465C" w:rsidP="00DD0F28">
            <w:pPr>
              <w:jc w:val="right"/>
              <w:rPr>
                <w:color w:val="000000"/>
                <w:sz w:val="16"/>
                <w:szCs w:val="16"/>
                <w:lang w:eastAsia="en-NZ"/>
              </w:rPr>
            </w:pPr>
          </w:p>
        </w:tc>
      </w:tr>
      <w:tr w:rsidR="00D9465C" w:rsidRPr="003F15C0" w14:paraId="326B0636" w14:textId="77777777" w:rsidTr="00DD0F28">
        <w:tc>
          <w:tcPr>
            <w:tcW w:w="4167" w:type="dxa"/>
            <w:gridSpan w:val="2"/>
            <w:shd w:val="clear" w:color="auto" w:fill="auto"/>
            <w:vAlign w:val="center"/>
          </w:tcPr>
          <w:p w14:paraId="78C2A5F0" w14:textId="77777777" w:rsidR="00D9465C" w:rsidRPr="003F15C0" w:rsidRDefault="00D9465C" w:rsidP="00DD0F28">
            <w:pPr>
              <w:spacing w:before="20"/>
              <w:rPr>
                <w:b/>
                <w:bCs/>
                <w:color w:val="000000"/>
                <w:sz w:val="16"/>
                <w:szCs w:val="16"/>
              </w:rPr>
            </w:pPr>
            <w:r w:rsidRPr="003F15C0">
              <w:rPr>
                <w:b/>
                <w:sz w:val="16"/>
                <w:szCs w:val="16"/>
              </w:rPr>
              <w:t>Instant Kiwi/other scratch tickets - monthly</w:t>
            </w:r>
          </w:p>
        </w:tc>
        <w:tc>
          <w:tcPr>
            <w:tcW w:w="995" w:type="dxa"/>
            <w:shd w:val="clear" w:color="auto" w:fill="auto"/>
            <w:vAlign w:val="center"/>
          </w:tcPr>
          <w:p w14:paraId="5E64E64A" w14:textId="77777777" w:rsidR="00D9465C" w:rsidRPr="003F15C0" w:rsidRDefault="00D9465C" w:rsidP="00DD0F28">
            <w:pPr>
              <w:spacing w:before="20"/>
              <w:jc w:val="right"/>
              <w:rPr>
                <w:b/>
                <w:bCs/>
                <w:color w:val="000000"/>
                <w:sz w:val="16"/>
                <w:szCs w:val="16"/>
              </w:rPr>
            </w:pPr>
          </w:p>
        </w:tc>
        <w:tc>
          <w:tcPr>
            <w:tcW w:w="1055" w:type="dxa"/>
            <w:shd w:val="clear" w:color="auto" w:fill="auto"/>
            <w:vAlign w:val="center"/>
          </w:tcPr>
          <w:p w14:paraId="5FE399B2" w14:textId="77777777" w:rsidR="00D9465C" w:rsidRPr="003F15C0" w:rsidRDefault="00D9465C" w:rsidP="00DD0F28">
            <w:pPr>
              <w:spacing w:before="20"/>
              <w:jc w:val="right"/>
              <w:rPr>
                <w:color w:val="000000"/>
                <w:sz w:val="16"/>
                <w:szCs w:val="16"/>
              </w:rPr>
            </w:pPr>
          </w:p>
        </w:tc>
        <w:tc>
          <w:tcPr>
            <w:tcW w:w="1275" w:type="dxa"/>
            <w:shd w:val="clear" w:color="auto" w:fill="auto"/>
            <w:vAlign w:val="center"/>
          </w:tcPr>
          <w:p w14:paraId="398C2253" w14:textId="77777777" w:rsidR="00D9465C" w:rsidRPr="003F15C0" w:rsidRDefault="00D9465C" w:rsidP="00DD0F28">
            <w:pPr>
              <w:spacing w:before="20"/>
              <w:jc w:val="right"/>
              <w:rPr>
                <w:color w:val="000000"/>
                <w:sz w:val="16"/>
                <w:szCs w:val="16"/>
              </w:rPr>
            </w:pPr>
          </w:p>
        </w:tc>
        <w:tc>
          <w:tcPr>
            <w:tcW w:w="1020" w:type="dxa"/>
            <w:shd w:val="clear" w:color="auto" w:fill="auto"/>
            <w:vAlign w:val="center"/>
          </w:tcPr>
          <w:p w14:paraId="500D89C4" w14:textId="77777777" w:rsidR="00D9465C" w:rsidRPr="003F15C0" w:rsidRDefault="00D9465C" w:rsidP="00DD0F28">
            <w:pPr>
              <w:spacing w:before="20"/>
              <w:jc w:val="right"/>
              <w:rPr>
                <w:color w:val="000000"/>
                <w:sz w:val="16"/>
                <w:szCs w:val="16"/>
              </w:rPr>
            </w:pPr>
          </w:p>
        </w:tc>
      </w:tr>
      <w:tr w:rsidR="00D9465C" w:rsidRPr="003F15C0" w14:paraId="3F4BE9CC" w14:textId="77777777" w:rsidTr="00DD0F28">
        <w:tc>
          <w:tcPr>
            <w:tcW w:w="3119" w:type="dxa"/>
          </w:tcPr>
          <w:p w14:paraId="4EDA0F92"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1E943898" w14:textId="77777777" w:rsidR="00D9465C" w:rsidRPr="008A1AFE" w:rsidRDefault="00D9465C" w:rsidP="00DD0F28">
            <w:pPr>
              <w:jc w:val="right"/>
              <w:rPr>
                <w:color w:val="000000"/>
                <w:sz w:val="16"/>
                <w:szCs w:val="20"/>
                <w:lang w:eastAsia="en-NZ"/>
              </w:rPr>
            </w:pPr>
            <w:r w:rsidRPr="008A1AFE">
              <w:rPr>
                <w:color w:val="000000"/>
                <w:sz w:val="16"/>
                <w:szCs w:val="20"/>
                <w:lang w:eastAsia="en-NZ"/>
              </w:rPr>
              <w:t>26</w:t>
            </w:r>
          </w:p>
        </w:tc>
        <w:tc>
          <w:tcPr>
            <w:tcW w:w="995" w:type="dxa"/>
            <w:shd w:val="clear" w:color="auto" w:fill="auto"/>
            <w:vAlign w:val="center"/>
          </w:tcPr>
          <w:p w14:paraId="374BEFEB" w14:textId="77777777" w:rsidR="00D9465C" w:rsidRPr="008A1AFE" w:rsidRDefault="00D9465C" w:rsidP="00DD0F28">
            <w:pPr>
              <w:jc w:val="right"/>
              <w:rPr>
                <w:color w:val="000000"/>
                <w:sz w:val="16"/>
                <w:szCs w:val="20"/>
                <w:lang w:eastAsia="en-NZ"/>
              </w:rPr>
            </w:pPr>
            <w:r w:rsidRPr="008A1AFE">
              <w:rPr>
                <w:color w:val="000000"/>
                <w:sz w:val="16"/>
                <w:szCs w:val="20"/>
                <w:lang w:eastAsia="en-NZ"/>
              </w:rPr>
              <w:t>9.6</w:t>
            </w:r>
          </w:p>
        </w:tc>
        <w:tc>
          <w:tcPr>
            <w:tcW w:w="1055" w:type="dxa"/>
            <w:shd w:val="clear" w:color="auto" w:fill="auto"/>
            <w:vAlign w:val="center"/>
          </w:tcPr>
          <w:p w14:paraId="773FD5E5" w14:textId="77777777" w:rsidR="00D9465C" w:rsidRPr="008A1AFE" w:rsidRDefault="00D9465C" w:rsidP="00DD0F28">
            <w:pPr>
              <w:jc w:val="right"/>
              <w:rPr>
                <w:color w:val="000000"/>
                <w:sz w:val="16"/>
                <w:szCs w:val="20"/>
                <w:lang w:eastAsia="en-NZ"/>
              </w:rPr>
            </w:pPr>
            <w:r w:rsidRPr="008A1AFE">
              <w:rPr>
                <w:color w:val="000000"/>
                <w:sz w:val="16"/>
                <w:szCs w:val="20"/>
                <w:lang w:eastAsia="en-NZ"/>
              </w:rPr>
              <w:t>1.00</w:t>
            </w:r>
          </w:p>
        </w:tc>
        <w:tc>
          <w:tcPr>
            <w:tcW w:w="1275" w:type="dxa"/>
            <w:shd w:val="clear" w:color="auto" w:fill="auto"/>
            <w:vAlign w:val="center"/>
          </w:tcPr>
          <w:p w14:paraId="66FDB5FD" w14:textId="77777777" w:rsidR="00D9465C" w:rsidRPr="008A1AFE" w:rsidRDefault="00D9465C" w:rsidP="00DD0F28">
            <w:pPr>
              <w:jc w:val="right"/>
              <w:rPr>
                <w:color w:val="000000"/>
                <w:sz w:val="16"/>
                <w:szCs w:val="20"/>
                <w:lang w:eastAsia="en-NZ"/>
              </w:rPr>
            </w:pPr>
          </w:p>
        </w:tc>
        <w:tc>
          <w:tcPr>
            <w:tcW w:w="1020" w:type="dxa"/>
            <w:shd w:val="clear" w:color="auto" w:fill="auto"/>
            <w:vAlign w:val="center"/>
          </w:tcPr>
          <w:p w14:paraId="2E3B983B" w14:textId="77777777" w:rsidR="00D9465C" w:rsidRPr="008A1AFE" w:rsidRDefault="00D9465C" w:rsidP="00DD0F28">
            <w:pPr>
              <w:jc w:val="right"/>
              <w:rPr>
                <w:color w:val="000000"/>
                <w:sz w:val="16"/>
                <w:szCs w:val="20"/>
                <w:lang w:eastAsia="en-NZ"/>
              </w:rPr>
            </w:pPr>
          </w:p>
        </w:tc>
      </w:tr>
      <w:tr w:rsidR="00D9465C" w:rsidRPr="003F15C0" w14:paraId="76E9A22A" w14:textId="77777777" w:rsidTr="00DD0F28">
        <w:tc>
          <w:tcPr>
            <w:tcW w:w="3119" w:type="dxa"/>
          </w:tcPr>
          <w:p w14:paraId="5E551332"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shd w:val="clear" w:color="auto" w:fill="auto"/>
            <w:vAlign w:val="center"/>
          </w:tcPr>
          <w:p w14:paraId="00CE4813" w14:textId="77777777" w:rsidR="00D9465C" w:rsidRPr="008A1AFE" w:rsidRDefault="00D9465C" w:rsidP="00DD0F28">
            <w:pPr>
              <w:jc w:val="right"/>
              <w:rPr>
                <w:color w:val="000000"/>
                <w:sz w:val="16"/>
                <w:szCs w:val="20"/>
                <w:lang w:eastAsia="en-NZ"/>
              </w:rPr>
            </w:pPr>
            <w:r w:rsidRPr="008A1AFE">
              <w:rPr>
                <w:color w:val="000000"/>
                <w:sz w:val="16"/>
                <w:szCs w:val="20"/>
                <w:lang w:eastAsia="en-NZ"/>
              </w:rPr>
              <w:t>5</w:t>
            </w:r>
          </w:p>
        </w:tc>
        <w:tc>
          <w:tcPr>
            <w:tcW w:w="995" w:type="dxa"/>
            <w:shd w:val="clear" w:color="auto" w:fill="auto"/>
            <w:vAlign w:val="center"/>
          </w:tcPr>
          <w:p w14:paraId="04AFAB64" w14:textId="77777777" w:rsidR="00D9465C" w:rsidRPr="008A1AFE" w:rsidRDefault="00D9465C" w:rsidP="00DD0F28">
            <w:pPr>
              <w:jc w:val="right"/>
              <w:rPr>
                <w:color w:val="000000"/>
                <w:sz w:val="16"/>
                <w:szCs w:val="20"/>
                <w:lang w:eastAsia="en-NZ"/>
              </w:rPr>
            </w:pPr>
            <w:r w:rsidRPr="008A1AFE">
              <w:rPr>
                <w:color w:val="000000"/>
                <w:sz w:val="16"/>
                <w:szCs w:val="20"/>
                <w:lang w:eastAsia="en-NZ"/>
              </w:rPr>
              <w:t>48.9</w:t>
            </w:r>
          </w:p>
        </w:tc>
        <w:tc>
          <w:tcPr>
            <w:tcW w:w="1055" w:type="dxa"/>
            <w:shd w:val="clear" w:color="auto" w:fill="auto"/>
            <w:vAlign w:val="center"/>
          </w:tcPr>
          <w:p w14:paraId="624ECE6E" w14:textId="77777777" w:rsidR="00D9465C" w:rsidRPr="008A1AFE" w:rsidRDefault="00D9465C" w:rsidP="00DD0F28">
            <w:pPr>
              <w:jc w:val="right"/>
              <w:rPr>
                <w:color w:val="000000"/>
                <w:sz w:val="16"/>
                <w:szCs w:val="20"/>
                <w:lang w:eastAsia="en-NZ"/>
              </w:rPr>
            </w:pPr>
            <w:r w:rsidRPr="008A1AFE">
              <w:rPr>
                <w:color w:val="000000"/>
                <w:sz w:val="16"/>
                <w:szCs w:val="20"/>
                <w:lang w:eastAsia="en-NZ"/>
              </w:rPr>
              <w:t>9.01</w:t>
            </w:r>
          </w:p>
        </w:tc>
        <w:tc>
          <w:tcPr>
            <w:tcW w:w="1275" w:type="dxa"/>
            <w:shd w:val="clear" w:color="auto" w:fill="auto"/>
            <w:vAlign w:val="center"/>
          </w:tcPr>
          <w:p w14:paraId="045232A8" w14:textId="77777777" w:rsidR="00D9465C" w:rsidRPr="008A1AFE" w:rsidRDefault="00D9465C" w:rsidP="00DD0F28">
            <w:pPr>
              <w:jc w:val="right"/>
              <w:rPr>
                <w:color w:val="000000"/>
                <w:sz w:val="16"/>
                <w:szCs w:val="20"/>
                <w:lang w:eastAsia="en-NZ"/>
              </w:rPr>
            </w:pPr>
            <w:r w:rsidRPr="008A1AFE">
              <w:rPr>
                <w:color w:val="000000"/>
                <w:sz w:val="16"/>
                <w:szCs w:val="20"/>
                <w:lang w:eastAsia="en-NZ"/>
              </w:rPr>
              <w:t>(1.46, 55.62)</w:t>
            </w:r>
          </w:p>
        </w:tc>
        <w:tc>
          <w:tcPr>
            <w:tcW w:w="1020" w:type="dxa"/>
            <w:shd w:val="clear" w:color="auto" w:fill="auto"/>
            <w:vAlign w:val="center"/>
          </w:tcPr>
          <w:p w14:paraId="606DFF57" w14:textId="77777777" w:rsidR="00D9465C" w:rsidRPr="008A1AFE" w:rsidRDefault="00D9465C" w:rsidP="00DD0F28">
            <w:pPr>
              <w:jc w:val="right"/>
              <w:rPr>
                <w:color w:val="000000"/>
                <w:sz w:val="16"/>
                <w:szCs w:val="20"/>
                <w:lang w:eastAsia="en-NZ"/>
              </w:rPr>
            </w:pPr>
            <w:r w:rsidRPr="008A1AFE">
              <w:rPr>
                <w:color w:val="000000"/>
                <w:sz w:val="16"/>
                <w:szCs w:val="20"/>
                <w:lang w:eastAsia="en-NZ"/>
              </w:rPr>
              <w:t>0.02</w:t>
            </w:r>
          </w:p>
        </w:tc>
      </w:tr>
      <w:tr w:rsidR="00D9465C" w:rsidRPr="003F15C0" w14:paraId="29E1078C" w14:textId="77777777" w:rsidTr="00DD0F28">
        <w:tc>
          <w:tcPr>
            <w:tcW w:w="3119" w:type="dxa"/>
          </w:tcPr>
          <w:p w14:paraId="7BFF253B" w14:textId="77777777" w:rsidR="00D9465C" w:rsidRPr="005A130A" w:rsidRDefault="00D9465C" w:rsidP="00DD0F28">
            <w:pPr>
              <w:spacing w:before="20"/>
              <w:jc w:val="both"/>
              <w:rPr>
                <w:b/>
                <w:sz w:val="16"/>
                <w:szCs w:val="16"/>
              </w:rPr>
            </w:pPr>
            <w:r>
              <w:rPr>
                <w:b/>
                <w:sz w:val="16"/>
                <w:szCs w:val="16"/>
              </w:rPr>
              <w:t>Housie/bingo - monthly</w:t>
            </w:r>
          </w:p>
        </w:tc>
        <w:tc>
          <w:tcPr>
            <w:tcW w:w="1048" w:type="dxa"/>
            <w:shd w:val="clear" w:color="auto" w:fill="auto"/>
            <w:vAlign w:val="center"/>
          </w:tcPr>
          <w:p w14:paraId="064451EE" w14:textId="77777777" w:rsidR="00D9465C" w:rsidRPr="005A130A" w:rsidRDefault="00D9465C" w:rsidP="00DD0F28">
            <w:pPr>
              <w:jc w:val="right"/>
              <w:rPr>
                <w:color w:val="000000"/>
                <w:sz w:val="16"/>
                <w:szCs w:val="20"/>
                <w:lang w:eastAsia="en-NZ"/>
              </w:rPr>
            </w:pPr>
          </w:p>
        </w:tc>
        <w:tc>
          <w:tcPr>
            <w:tcW w:w="995" w:type="dxa"/>
            <w:shd w:val="clear" w:color="auto" w:fill="auto"/>
            <w:vAlign w:val="center"/>
          </w:tcPr>
          <w:p w14:paraId="0607D6EE" w14:textId="77777777" w:rsidR="00D9465C" w:rsidRPr="005A130A" w:rsidRDefault="00D9465C" w:rsidP="00DD0F28">
            <w:pPr>
              <w:jc w:val="right"/>
              <w:rPr>
                <w:color w:val="000000"/>
                <w:sz w:val="16"/>
                <w:szCs w:val="20"/>
                <w:lang w:eastAsia="en-NZ"/>
              </w:rPr>
            </w:pPr>
          </w:p>
        </w:tc>
        <w:tc>
          <w:tcPr>
            <w:tcW w:w="1055" w:type="dxa"/>
            <w:shd w:val="clear" w:color="auto" w:fill="auto"/>
            <w:vAlign w:val="center"/>
          </w:tcPr>
          <w:p w14:paraId="75CD162A"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57D841D1"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1E61D2CF" w14:textId="77777777" w:rsidR="00D9465C" w:rsidRPr="00230801" w:rsidRDefault="00D9465C" w:rsidP="00DD0F28">
            <w:pPr>
              <w:jc w:val="right"/>
              <w:rPr>
                <w:color w:val="000000"/>
                <w:sz w:val="16"/>
                <w:szCs w:val="16"/>
                <w:lang w:eastAsia="en-NZ"/>
              </w:rPr>
            </w:pPr>
          </w:p>
        </w:tc>
      </w:tr>
      <w:tr w:rsidR="00D9465C" w:rsidRPr="003F15C0" w14:paraId="53B69078" w14:textId="77777777" w:rsidTr="00DD0F28">
        <w:tc>
          <w:tcPr>
            <w:tcW w:w="3119" w:type="dxa"/>
          </w:tcPr>
          <w:p w14:paraId="38EB501D"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366D429A" w14:textId="77777777" w:rsidR="00D9465C" w:rsidRPr="008A1AFE" w:rsidRDefault="00D9465C" w:rsidP="00DD0F28">
            <w:pPr>
              <w:jc w:val="right"/>
              <w:rPr>
                <w:color w:val="000000"/>
                <w:sz w:val="16"/>
                <w:szCs w:val="20"/>
                <w:lang w:eastAsia="en-NZ"/>
              </w:rPr>
            </w:pPr>
            <w:r w:rsidRPr="008A1AFE">
              <w:rPr>
                <w:color w:val="000000"/>
                <w:sz w:val="16"/>
                <w:szCs w:val="20"/>
                <w:lang w:eastAsia="en-NZ"/>
              </w:rPr>
              <w:t>30</w:t>
            </w:r>
          </w:p>
        </w:tc>
        <w:tc>
          <w:tcPr>
            <w:tcW w:w="995" w:type="dxa"/>
            <w:shd w:val="clear" w:color="auto" w:fill="auto"/>
            <w:vAlign w:val="center"/>
          </w:tcPr>
          <w:p w14:paraId="18A0CE29" w14:textId="77777777" w:rsidR="00D9465C" w:rsidRPr="008A1AFE" w:rsidRDefault="00D9465C" w:rsidP="00DD0F28">
            <w:pPr>
              <w:jc w:val="right"/>
              <w:rPr>
                <w:color w:val="000000"/>
                <w:sz w:val="16"/>
                <w:szCs w:val="20"/>
                <w:lang w:eastAsia="en-NZ"/>
              </w:rPr>
            </w:pPr>
            <w:r w:rsidRPr="008A1AFE">
              <w:rPr>
                <w:color w:val="000000"/>
                <w:sz w:val="16"/>
                <w:szCs w:val="20"/>
                <w:lang w:eastAsia="en-NZ"/>
              </w:rPr>
              <w:t>14.5</w:t>
            </w:r>
          </w:p>
        </w:tc>
        <w:tc>
          <w:tcPr>
            <w:tcW w:w="1055" w:type="dxa"/>
            <w:shd w:val="clear" w:color="auto" w:fill="auto"/>
            <w:vAlign w:val="center"/>
          </w:tcPr>
          <w:p w14:paraId="6C11C7EB" w14:textId="77777777" w:rsidR="00D9465C" w:rsidRPr="005A130A" w:rsidRDefault="00D9465C" w:rsidP="00DD0F28">
            <w:pPr>
              <w:jc w:val="right"/>
              <w:rPr>
                <w:color w:val="000000"/>
                <w:sz w:val="16"/>
                <w:szCs w:val="20"/>
                <w:lang w:eastAsia="en-NZ"/>
              </w:rPr>
            </w:pPr>
          </w:p>
        </w:tc>
        <w:tc>
          <w:tcPr>
            <w:tcW w:w="1275" w:type="dxa"/>
            <w:shd w:val="clear" w:color="auto" w:fill="auto"/>
            <w:vAlign w:val="center"/>
          </w:tcPr>
          <w:p w14:paraId="012F7816" w14:textId="77777777" w:rsidR="00D9465C" w:rsidRPr="005A130A" w:rsidRDefault="00D9465C" w:rsidP="00DD0F28">
            <w:pPr>
              <w:jc w:val="right"/>
              <w:rPr>
                <w:color w:val="000000"/>
                <w:sz w:val="16"/>
                <w:szCs w:val="20"/>
                <w:lang w:eastAsia="en-NZ"/>
              </w:rPr>
            </w:pPr>
          </w:p>
        </w:tc>
        <w:tc>
          <w:tcPr>
            <w:tcW w:w="1020" w:type="dxa"/>
            <w:shd w:val="clear" w:color="auto" w:fill="auto"/>
            <w:vAlign w:val="center"/>
          </w:tcPr>
          <w:p w14:paraId="151EA542" w14:textId="77777777" w:rsidR="00D9465C" w:rsidRPr="005A130A" w:rsidRDefault="00D9465C" w:rsidP="00DD0F28">
            <w:pPr>
              <w:jc w:val="right"/>
              <w:rPr>
                <w:color w:val="000000"/>
                <w:sz w:val="16"/>
                <w:szCs w:val="20"/>
                <w:lang w:eastAsia="en-NZ"/>
              </w:rPr>
            </w:pPr>
          </w:p>
        </w:tc>
      </w:tr>
      <w:tr w:rsidR="00D9465C" w:rsidRPr="003F15C0" w14:paraId="1C4984F4" w14:textId="77777777" w:rsidTr="00DD0F28">
        <w:tc>
          <w:tcPr>
            <w:tcW w:w="3119" w:type="dxa"/>
          </w:tcPr>
          <w:p w14:paraId="1DD1397A"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shd w:val="clear" w:color="auto" w:fill="auto"/>
            <w:vAlign w:val="center"/>
          </w:tcPr>
          <w:p w14:paraId="7E96D26F" w14:textId="77777777" w:rsidR="00D9465C" w:rsidRPr="008A1AFE" w:rsidRDefault="00D9465C" w:rsidP="00DD0F28">
            <w:pPr>
              <w:jc w:val="right"/>
              <w:rPr>
                <w:color w:val="000000"/>
                <w:sz w:val="16"/>
                <w:szCs w:val="20"/>
                <w:lang w:eastAsia="en-NZ"/>
              </w:rPr>
            </w:pPr>
            <w:r w:rsidRPr="008A1AFE">
              <w:rPr>
                <w:color w:val="000000"/>
                <w:sz w:val="16"/>
                <w:szCs w:val="20"/>
                <w:lang w:eastAsia="en-NZ"/>
              </w:rPr>
              <w:t>0.3</w:t>
            </w:r>
          </w:p>
        </w:tc>
        <w:tc>
          <w:tcPr>
            <w:tcW w:w="995" w:type="dxa"/>
            <w:shd w:val="clear" w:color="auto" w:fill="auto"/>
            <w:vAlign w:val="center"/>
          </w:tcPr>
          <w:p w14:paraId="7B13F9B6" w14:textId="77777777" w:rsidR="00D9465C" w:rsidRPr="008A1AFE" w:rsidRDefault="00D9465C" w:rsidP="00DD0F28">
            <w:pPr>
              <w:jc w:val="right"/>
              <w:rPr>
                <w:color w:val="000000"/>
                <w:sz w:val="16"/>
                <w:szCs w:val="20"/>
                <w:lang w:eastAsia="en-NZ"/>
              </w:rPr>
            </w:pPr>
            <w:r w:rsidRPr="008A1AFE">
              <w:rPr>
                <w:color w:val="000000"/>
                <w:sz w:val="16"/>
                <w:szCs w:val="20"/>
                <w:lang w:eastAsia="en-NZ"/>
              </w:rPr>
              <w:t>100.0</w:t>
            </w:r>
          </w:p>
        </w:tc>
        <w:tc>
          <w:tcPr>
            <w:tcW w:w="1055" w:type="dxa"/>
            <w:shd w:val="clear" w:color="auto" w:fill="auto"/>
            <w:vAlign w:val="center"/>
          </w:tcPr>
          <w:p w14:paraId="485FB207" w14:textId="77777777" w:rsidR="00D9465C" w:rsidRPr="005A130A" w:rsidRDefault="00D9465C" w:rsidP="00DD0F28">
            <w:pPr>
              <w:jc w:val="right"/>
              <w:rPr>
                <w:color w:val="000000"/>
                <w:sz w:val="16"/>
                <w:szCs w:val="20"/>
                <w:lang w:eastAsia="en-NZ"/>
              </w:rPr>
            </w:pPr>
          </w:p>
        </w:tc>
        <w:tc>
          <w:tcPr>
            <w:tcW w:w="1275" w:type="dxa"/>
            <w:shd w:val="clear" w:color="auto" w:fill="auto"/>
            <w:vAlign w:val="center"/>
          </w:tcPr>
          <w:p w14:paraId="1A3D9A93" w14:textId="77777777" w:rsidR="00D9465C" w:rsidRPr="005A130A" w:rsidRDefault="00D9465C" w:rsidP="00DD0F28">
            <w:pPr>
              <w:jc w:val="right"/>
              <w:rPr>
                <w:color w:val="000000"/>
                <w:sz w:val="16"/>
                <w:szCs w:val="20"/>
                <w:lang w:eastAsia="en-NZ"/>
              </w:rPr>
            </w:pPr>
          </w:p>
        </w:tc>
        <w:tc>
          <w:tcPr>
            <w:tcW w:w="1020" w:type="dxa"/>
            <w:shd w:val="clear" w:color="auto" w:fill="auto"/>
            <w:vAlign w:val="center"/>
          </w:tcPr>
          <w:p w14:paraId="485FBFAF" w14:textId="77777777" w:rsidR="00D9465C" w:rsidRPr="005A130A" w:rsidRDefault="00D9465C" w:rsidP="00DD0F28">
            <w:pPr>
              <w:jc w:val="right"/>
              <w:rPr>
                <w:color w:val="000000"/>
                <w:sz w:val="16"/>
                <w:szCs w:val="20"/>
                <w:lang w:eastAsia="en-NZ"/>
              </w:rPr>
            </w:pPr>
          </w:p>
        </w:tc>
      </w:tr>
      <w:tr w:rsidR="00D9465C" w:rsidRPr="003F15C0" w14:paraId="6862A52E" w14:textId="77777777" w:rsidTr="00DD0F28">
        <w:tc>
          <w:tcPr>
            <w:tcW w:w="3119" w:type="dxa"/>
          </w:tcPr>
          <w:p w14:paraId="4B7E3917" w14:textId="77777777" w:rsidR="00D9465C" w:rsidRPr="005A130A" w:rsidRDefault="00D9465C" w:rsidP="00DD0F28">
            <w:pPr>
              <w:spacing w:before="20"/>
              <w:jc w:val="both"/>
              <w:rPr>
                <w:b/>
                <w:sz w:val="16"/>
                <w:szCs w:val="16"/>
              </w:rPr>
            </w:pPr>
            <w:r>
              <w:rPr>
                <w:b/>
                <w:sz w:val="16"/>
                <w:szCs w:val="16"/>
              </w:rPr>
              <w:t>Sports betting - monthly</w:t>
            </w:r>
          </w:p>
        </w:tc>
        <w:tc>
          <w:tcPr>
            <w:tcW w:w="1048" w:type="dxa"/>
            <w:shd w:val="clear" w:color="auto" w:fill="auto"/>
            <w:vAlign w:val="center"/>
          </w:tcPr>
          <w:p w14:paraId="446106E4" w14:textId="77777777" w:rsidR="00D9465C" w:rsidRPr="005A130A" w:rsidRDefault="00D9465C" w:rsidP="00DD0F28">
            <w:pPr>
              <w:jc w:val="right"/>
              <w:rPr>
                <w:color w:val="000000"/>
                <w:sz w:val="16"/>
                <w:szCs w:val="20"/>
                <w:lang w:eastAsia="en-NZ"/>
              </w:rPr>
            </w:pPr>
          </w:p>
        </w:tc>
        <w:tc>
          <w:tcPr>
            <w:tcW w:w="995" w:type="dxa"/>
            <w:shd w:val="clear" w:color="auto" w:fill="auto"/>
            <w:vAlign w:val="center"/>
          </w:tcPr>
          <w:p w14:paraId="59522302" w14:textId="77777777" w:rsidR="00D9465C" w:rsidRPr="005A130A" w:rsidRDefault="00D9465C" w:rsidP="00DD0F28">
            <w:pPr>
              <w:jc w:val="right"/>
              <w:rPr>
                <w:color w:val="000000"/>
                <w:sz w:val="16"/>
                <w:szCs w:val="20"/>
                <w:lang w:eastAsia="en-NZ"/>
              </w:rPr>
            </w:pPr>
          </w:p>
        </w:tc>
        <w:tc>
          <w:tcPr>
            <w:tcW w:w="1055" w:type="dxa"/>
            <w:shd w:val="clear" w:color="auto" w:fill="auto"/>
            <w:vAlign w:val="center"/>
          </w:tcPr>
          <w:p w14:paraId="3F15D6D3"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43DF20FD"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6201568F" w14:textId="77777777" w:rsidR="00D9465C" w:rsidRPr="00230801" w:rsidRDefault="00D9465C" w:rsidP="00DD0F28">
            <w:pPr>
              <w:jc w:val="right"/>
              <w:rPr>
                <w:color w:val="000000"/>
                <w:sz w:val="16"/>
                <w:szCs w:val="16"/>
                <w:lang w:eastAsia="en-NZ"/>
              </w:rPr>
            </w:pPr>
          </w:p>
        </w:tc>
      </w:tr>
      <w:tr w:rsidR="00D9465C" w:rsidRPr="003F15C0" w14:paraId="4783578A" w14:textId="77777777" w:rsidTr="00DD0F28">
        <w:tc>
          <w:tcPr>
            <w:tcW w:w="3119" w:type="dxa"/>
          </w:tcPr>
          <w:p w14:paraId="2B67D1DE"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48EB0AAA" w14:textId="77777777" w:rsidR="00D9465C" w:rsidRPr="008A1AFE" w:rsidRDefault="00D9465C" w:rsidP="00DD0F28">
            <w:pPr>
              <w:jc w:val="right"/>
              <w:rPr>
                <w:color w:val="000000"/>
                <w:sz w:val="16"/>
                <w:szCs w:val="20"/>
                <w:lang w:eastAsia="en-NZ"/>
              </w:rPr>
            </w:pPr>
            <w:r w:rsidRPr="008A1AFE">
              <w:rPr>
                <w:color w:val="000000"/>
                <w:sz w:val="16"/>
                <w:szCs w:val="20"/>
                <w:lang w:eastAsia="en-NZ"/>
              </w:rPr>
              <w:t>30</w:t>
            </w:r>
          </w:p>
        </w:tc>
        <w:tc>
          <w:tcPr>
            <w:tcW w:w="995" w:type="dxa"/>
            <w:shd w:val="clear" w:color="auto" w:fill="auto"/>
            <w:vAlign w:val="center"/>
          </w:tcPr>
          <w:p w14:paraId="7C04ED80" w14:textId="77777777" w:rsidR="00D9465C" w:rsidRPr="008A1AFE" w:rsidRDefault="00D9465C" w:rsidP="00DD0F28">
            <w:pPr>
              <w:jc w:val="right"/>
              <w:rPr>
                <w:color w:val="000000"/>
                <w:sz w:val="16"/>
                <w:szCs w:val="20"/>
                <w:lang w:eastAsia="en-NZ"/>
              </w:rPr>
            </w:pPr>
            <w:r w:rsidRPr="008A1AFE">
              <w:rPr>
                <w:color w:val="000000"/>
                <w:sz w:val="16"/>
                <w:szCs w:val="20"/>
                <w:lang w:eastAsia="en-NZ"/>
              </w:rPr>
              <w:t>15.7</w:t>
            </w:r>
          </w:p>
        </w:tc>
        <w:tc>
          <w:tcPr>
            <w:tcW w:w="1055" w:type="dxa"/>
            <w:shd w:val="clear" w:color="auto" w:fill="auto"/>
            <w:vAlign w:val="center"/>
          </w:tcPr>
          <w:p w14:paraId="64184E38"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137DAAF7"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5714796E" w14:textId="77777777" w:rsidR="00D9465C" w:rsidRPr="00230801" w:rsidRDefault="00D9465C" w:rsidP="00DD0F28">
            <w:pPr>
              <w:jc w:val="right"/>
              <w:rPr>
                <w:color w:val="000000"/>
                <w:sz w:val="16"/>
                <w:szCs w:val="16"/>
                <w:lang w:eastAsia="en-NZ"/>
              </w:rPr>
            </w:pPr>
          </w:p>
        </w:tc>
      </w:tr>
      <w:tr w:rsidR="00D9465C" w:rsidRPr="003F15C0" w14:paraId="564C08A1" w14:textId="77777777" w:rsidTr="00DD0F28">
        <w:tc>
          <w:tcPr>
            <w:tcW w:w="3119" w:type="dxa"/>
          </w:tcPr>
          <w:p w14:paraId="14C21629"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shd w:val="clear" w:color="auto" w:fill="auto"/>
            <w:vAlign w:val="center"/>
          </w:tcPr>
          <w:p w14:paraId="74D8F23E" w14:textId="77777777" w:rsidR="00D9465C" w:rsidRPr="008A1AFE" w:rsidRDefault="00D9465C" w:rsidP="00DD0F28">
            <w:pPr>
              <w:jc w:val="right"/>
              <w:rPr>
                <w:color w:val="000000"/>
                <w:sz w:val="16"/>
                <w:szCs w:val="20"/>
                <w:lang w:eastAsia="en-NZ"/>
              </w:rPr>
            </w:pPr>
            <w:r w:rsidRPr="008A1AFE">
              <w:rPr>
                <w:color w:val="000000"/>
                <w:sz w:val="16"/>
                <w:szCs w:val="20"/>
                <w:lang w:eastAsia="en-NZ"/>
              </w:rPr>
              <w:t>1</w:t>
            </w:r>
          </w:p>
        </w:tc>
        <w:tc>
          <w:tcPr>
            <w:tcW w:w="995" w:type="dxa"/>
            <w:shd w:val="clear" w:color="auto" w:fill="auto"/>
            <w:vAlign w:val="center"/>
          </w:tcPr>
          <w:p w14:paraId="41D21C13" w14:textId="77777777" w:rsidR="00D9465C" w:rsidRPr="008A1AFE" w:rsidRDefault="00D9465C" w:rsidP="00DD0F28">
            <w:pPr>
              <w:jc w:val="right"/>
              <w:rPr>
                <w:color w:val="000000"/>
                <w:sz w:val="16"/>
                <w:szCs w:val="20"/>
                <w:lang w:eastAsia="en-NZ"/>
              </w:rPr>
            </w:pPr>
            <w:r w:rsidRPr="008A1AFE">
              <w:rPr>
                <w:color w:val="000000"/>
                <w:sz w:val="16"/>
                <w:szCs w:val="20"/>
                <w:lang w:eastAsia="en-NZ"/>
              </w:rPr>
              <w:t>0.0</w:t>
            </w:r>
          </w:p>
        </w:tc>
        <w:tc>
          <w:tcPr>
            <w:tcW w:w="1055" w:type="dxa"/>
            <w:shd w:val="clear" w:color="auto" w:fill="auto"/>
            <w:vAlign w:val="center"/>
          </w:tcPr>
          <w:p w14:paraId="348BDFF1"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751AEEA0"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2541544E" w14:textId="77777777" w:rsidR="00D9465C" w:rsidRPr="00230801" w:rsidRDefault="00D9465C" w:rsidP="00DD0F28">
            <w:pPr>
              <w:jc w:val="right"/>
              <w:rPr>
                <w:color w:val="000000"/>
                <w:sz w:val="16"/>
                <w:szCs w:val="16"/>
                <w:lang w:eastAsia="en-NZ"/>
              </w:rPr>
            </w:pPr>
          </w:p>
        </w:tc>
      </w:tr>
      <w:tr w:rsidR="00D9465C" w:rsidRPr="003F15C0" w14:paraId="7F853DC9" w14:textId="77777777" w:rsidTr="00DD0F28">
        <w:tc>
          <w:tcPr>
            <w:tcW w:w="3119" w:type="dxa"/>
            <w:shd w:val="clear" w:color="auto" w:fill="auto"/>
            <w:vAlign w:val="bottom"/>
          </w:tcPr>
          <w:p w14:paraId="3DF3EF97" w14:textId="77777777" w:rsidR="00D9465C" w:rsidRPr="003F15C0" w:rsidRDefault="00D9465C" w:rsidP="00DD0F28">
            <w:pPr>
              <w:spacing w:before="20"/>
              <w:jc w:val="both"/>
              <w:rPr>
                <w:b/>
                <w:sz w:val="16"/>
                <w:szCs w:val="16"/>
              </w:rPr>
            </w:pPr>
            <w:r w:rsidRPr="003F15C0">
              <w:rPr>
                <w:b/>
                <w:sz w:val="16"/>
                <w:szCs w:val="16"/>
              </w:rPr>
              <w:t>Club EGM</w:t>
            </w:r>
            <w:r>
              <w:rPr>
                <w:b/>
                <w:sz w:val="16"/>
                <w:szCs w:val="16"/>
              </w:rPr>
              <w:t>s</w:t>
            </w:r>
            <w:r w:rsidRPr="003F15C0">
              <w:rPr>
                <w:b/>
                <w:sz w:val="16"/>
                <w:szCs w:val="16"/>
              </w:rPr>
              <w:t xml:space="preserve"> - </w:t>
            </w:r>
            <w:r>
              <w:rPr>
                <w:b/>
                <w:sz w:val="16"/>
                <w:szCs w:val="16"/>
              </w:rPr>
              <w:t>monthly</w:t>
            </w:r>
          </w:p>
        </w:tc>
        <w:tc>
          <w:tcPr>
            <w:tcW w:w="1048" w:type="dxa"/>
            <w:shd w:val="clear" w:color="auto" w:fill="auto"/>
            <w:vAlign w:val="center"/>
          </w:tcPr>
          <w:p w14:paraId="523B4B4C" w14:textId="77777777" w:rsidR="00D9465C" w:rsidRPr="008A1AFE" w:rsidRDefault="00D9465C" w:rsidP="00DD0F28">
            <w:pPr>
              <w:jc w:val="right"/>
              <w:rPr>
                <w:color w:val="000000"/>
                <w:sz w:val="16"/>
                <w:szCs w:val="20"/>
                <w:lang w:eastAsia="en-NZ"/>
              </w:rPr>
            </w:pPr>
          </w:p>
        </w:tc>
        <w:tc>
          <w:tcPr>
            <w:tcW w:w="995" w:type="dxa"/>
            <w:shd w:val="clear" w:color="auto" w:fill="auto"/>
            <w:vAlign w:val="center"/>
          </w:tcPr>
          <w:p w14:paraId="47C47B79" w14:textId="77777777" w:rsidR="00D9465C" w:rsidRPr="008A1AFE" w:rsidRDefault="00D9465C" w:rsidP="00DD0F28">
            <w:pPr>
              <w:jc w:val="right"/>
              <w:rPr>
                <w:color w:val="000000"/>
                <w:sz w:val="16"/>
                <w:szCs w:val="20"/>
                <w:lang w:eastAsia="en-NZ"/>
              </w:rPr>
            </w:pPr>
          </w:p>
        </w:tc>
        <w:tc>
          <w:tcPr>
            <w:tcW w:w="1055" w:type="dxa"/>
            <w:shd w:val="clear" w:color="auto" w:fill="auto"/>
            <w:vAlign w:val="center"/>
          </w:tcPr>
          <w:p w14:paraId="57C1BB21"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3E34C997"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0A266F37" w14:textId="77777777" w:rsidR="00D9465C" w:rsidRPr="00637CF2" w:rsidRDefault="00D9465C" w:rsidP="00DD0F28">
            <w:pPr>
              <w:jc w:val="right"/>
              <w:rPr>
                <w:color w:val="000000"/>
                <w:sz w:val="16"/>
                <w:szCs w:val="16"/>
                <w:lang w:eastAsia="en-NZ"/>
              </w:rPr>
            </w:pPr>
          </w:p>
        </w:tc>
      </w:tr>
      <w:tr w:rsidR="00D9465C" w:rsidRPr="003F15C0" w14:paraId="17720AC2" w14:textId="77777777" w:rsidTr="00DD0F28">
        <w:tc>
          <w:tcPr>
            <w:tcW w:w="3119" w:type="dxa"/>
            <w:shd w:val="clear" w:color="auto" w:fill="auto"/>
          </w:tcPr>
          <w:p w14:paraId="35A039B0"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5ED1DD8B" w14:textId="77777777" w:rsidR="00D9465C" w:rsidRPr="008A1AFE" w:rsidRDefault="00D9465C" w:rsidP="00DD0F28">
            <w:pPr>
              <w:jc w:val="right"/>
              <w:rPr>
                <w:color w:val="000000"/>
                <w:sz w:val="16"/>
                <w:szCs w:val="20"/>
                <w:lang w:eastAsia="en-NZ"/>
              </w:rPr>
            </w:pPr>
            <w:r w:rsidRPr="008A1AFE">
              <w:rPr>
                <w:color w:val="000000"/>
                <w:sz w:val="16"/>
                <w:szCs w:val="20"/>
                <w:lang w:eastAsia="en-NZ"/>
              </w:rPr>
              <w:t>29</w:t>
            </w:r>
          </w:p>
        </w:tc>
        <w:tc>
          <w:tcPr>
            <w:tcW w:w="995" w:type="dxa"/>
            <w:shd w:val="clear" w:color="auto" w:fill="auto"/>
            <w:vAlign w:val="center"/>
          </w:tcPr>
          <w:p w14:paraId="342CF7B6" w14:textId="77777777" w:rsidR="00D9465C" w:rsidRPr="008A1AFE" w:rsidRDefault="00D9465C" w:rsidP="00DD0F28">
            <w:pPr>
              <w:jc w:val="right"/>
              <w:rPr>
                <w:color w:val="000000"/>
                <w:sz w:val="16"/>
                <w:szCs w:val="20"/>
                <w:lang w:eastAsia="en-NZ"/>
              </w:rPr>
            </w:pPr>
            <w:r w:rsidRPr="008A1AFE">
              <w:rPr>
                <w:color w:val="000000"/>
                <w:sz w:val="16"/>
                <w:szCs w:val="20"/>
                <w:lang w:eastAsia="en-NZ"/>
              </w:rPr>
              <w:t>15.9</w:t>
            </w:r>
          </w:p>
        </w:tc>
        <w:tc>
          <w:tcPr>
            <w:tcW w:w="1055" w:type="dxa"/>
            <w:shd w:val="clear" w:color="auto" w:fill="auto"/>
            <w:vAlign w:val="center"/>
          </w:tcPr>
          <w:p w14:paraId="3C27CF45"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5E474ED9"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70A8D14A" w14:textId="77777777" w:rsidR="00D9465C" w:rsidRPr="00230801" w:rsidRDefault="00D9465C" w:rsidP="00DD0F28">
            <w:pPr>
              <w:jc w:val="right"/>
              <w:rPr>
                <w:color w:val="000000"/>
                <w:sz w:val="16"/>
                <w:szCs w:val="16"/>
                <w:lang w:eastAsia="en-NZ"/>
              </w:rPr>
            </w:pPr>
          </w:p>
        </w:tc>
      </w:tr>
      <w:tr w:rsidR="00D9465C" w:rsidRPr="003F15C0" w14:paraId="1F006B5E" w14:textId="77777777" w:rsidTr="00DD0F28">
        <w:tc>
          <w:tcPr>
            <w:tcW w:w="3119" w:type="dxa"/>
            <w:shd w:val="clear" w:color="auto" w:fill="auto"/>
          </w:tcPr>
          <w:p w14:paraId="0D136628"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shd w:val="clear" w:color="auto" w:fill="auto"/>
            <w:vAlign w:val="center"/>
          </w:tcPr>
          <w:p w14:paraId="3C42D06B" w14:textId="77777777" w:rsidR="00D9465C" w:rsidRPr="008A1AFE" w:rsidRDefault="00D9465C" w:rsidP="00DD0F28">
            <w:pPr>
              <w:jc w:val="right"/>
              <w:rPr>
                <w:color w:val="000000"/>
                <w:sz w:val="16"/>
                <w:szCs w:val="20"/>
                <w:lang w:eastAsia="en-NZ"/>
              </w:rPr>
            </w:pPr>
            <w:r w:rsidRPr="008A1AFE">
              <w:rPr>
                <w:color w:val="000000"/>
                <w:sz w:val="16"/>
                <w:szCs w:val="20"/>
                <w:lang w:eastAsia="en-NZ"/>
              </w:rPr>
              <w:t>1</w:t>
            </w:r>
          </w:p>
        </w:tc>
        <w:tc>
          <w:tcPr>
            <w:tcW w:w="995" w:type="dxa"/>
            <w:shd w:val="clear" w:color="auto" w:fill="auto"/>
            <w:vAlign w:val="center"/>
          </w:tcPr>
          <w:p w14:paraId="6A426213" w14:textId="77777777" w:rsidR="00D9465C" w:rsidRPr="008A1AFE" w:rsidRDefault="00D9465C" w:rsidP="00DD0F28">
            <w:pPr>
              <w:jc w:val="right"/>
              <w:rPr>
                <w:color w:val="000000"/>
                <w:sz w:val="16"/>
                <w:szCs w:val="20"/>
                <w:lang w:eastAsia="en-NZ"/>
              </w:rPr>
            </w:pPr>
            <w:r w:rsidRPr="008A1AFE">
              <w:rPr>
                <w:color w:val="000000"/>
                <w:sz w:val="16"/>
                <w:szCs w:val="20"/>
                <w:lang w:eastAsia="en-NZ"/>
              </w:rPr>
              <w:t>0.0</w:t>
            </w:r>
          </w:p>
        </w:tc>
        <w:tc>
          <w:tcPr>
            <w:tcW w:w="1055" w:type="dxa"/>
            <w:shd w:val="clear" w:color="auto" w:fill="auto"/>
            <w:vAlign w:val="center"/>
          </w:tcPr>
          <w:p w14:paraId="0FB95E81"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556B280B"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0AEC1C25" w14:textId="77777777" w:rsidR="00D9465C" w:rsidRPr="00230801" w:rsidRDefault="00D9465C" w:rsidP="00DD0F28">
            <w:pPr>
              <w:jc w:val="right"/>
              <w:rPr>
                <w:color w:val="000000"/>
                <w:sz w:val="16"/>
                <w:szCs w:val="16"/>
                <w:lang w:eastAsia="en-NZ"/>
              </w:rPr>
            </w:pPr>
          </w:p>
        </w:tc>
      </w:tr>
      <w:tr w:rsidR="00D9465C" w:rsidRPr="003F15C0" w14:paraId="590916AF" w14:textId="77777777" w:rsidTr="00DD0F28">
        <w:tc>
          <w:tcPr>
            <w:tcW w:w="3119" w:type="dxa"/>
          </w:tcPr>
          <w:p w14:paraId="6E23CA44" w14:textId="77777777" w:rsidR="00D9465C" w:rsidRPr="0053092F" w:rsidRDefault="00D9465C" w:rsidP="00DD0F28">
            <w:pPr>
              <w:spacing w:before="20"/>
              <w:jc w:val="both"/>
              <w:rPr>
                <w:b/>
                <w:sz w:val="16"/>
                <w:szCs w:val="16"/>
              </w:rPr>
            </w:pPr>
            <w:r w:rsidRPr="0053092F">
              <w:rPr>
                <w:b/>
                <w:sz w:val="16"/>
                <w:szCs w:val="16"/>
              </w:rPr>
              <w:t>Short-term spec. investments</w:t>
            </w:r>
            <w:r>
              <w:rPr>
                <w:b/>
                <w:sz w:val="16"/>
                <w:szCs w:val="16"/>
              </w:rPr>
              <w:t xml:space="preserve"> - monthly</w:t>
            </w:r>
          </w:p>
        </w:tc>
        <w:tc>
          <w:tcPr>
            <w:tcW w:w="1048" w:type="dxa"/>
            <w:shd w:val="clear" w:color="auto" w:fill="auto"/>
            <w:vAlign w:val="center"/>
          </w:tcPr>
          <w:p w14:paraId="6E1379BA" w14:textId="77777777" w:rsidR="00D9465C" w:rsidRPr="005A130A" w:rsidRDefault="00D9465C" w:rsidP="00DD0F28">
            <w:pPr>
              <w:jc w:val="right"/>
              <w:rPr>
                <w:color w:val="000000"/>
                <w:sz w:val="16"/>
                <w:szCs w:val="20"/>
                <w:lang w:eastAsia="en-NZ"/>
              </w:rPr>
            </w:pPr>
          </w:p>
        </w:tc>
        <w:tc>
          <w:tcPr>
            <w:tcW w:w="995" w:type="dxa"/>
            <w:shd w:val="clear" w:color="auto" w:fill="auto"/>
            <w:vAlign w:val="center"/>
          </w:tcPr>
          <w:p w14:paraId="7C31CB7A" w14:textId="77777777" w:rsidR="00D9465C" w:rsidRPr="005A130A" w:rsidRDefault="00D9465C" w:rsidP="00DD0F28">
            <w:pPr>
              <w:jc w:val="right"/>
              <w:rPr>
                <w:color w:val="000000"/>
                <w:sz w:val="16"/>
                <w:szCs w:val="20"/>
                <w:lang w:eastAsia="en-NZ"/>
              </w:rPr>
            </w:pPr>
          </w:p>
        </w:tc>
        <w:tc>
          <w:tcPr>
            <w:tcW w:w="1055" w:type="dxa"/>
            <w:shd w:val="clear" w:color="auto" w:fill="auto"/>
            <w:vAlign w:val="center"/>
          </w:tcPr>
          <w:p w14:paraId="1D5811B7"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56AC5FD6"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2DE58416" w14:textId="77777777" w:rsidR="00D9465C" w:rsidRPr="00230801" w:rsidRDefault="00D9465C" w:rsidP="00DD0F28">
            <w:pPr>
              <w:jc w:val="right"/>
              <w:rPr>
                <w:color w:val="000000"/>
                <w:sz w:val="16"/>
                <w:szCs w:val="16"/>
                <w:lang w:eastAsia="en-NZ"/>
              </w:rPr>
            </w:pPr>
          </w:p>
        </w:tc>
      </w:tr>
      <w:tr w:rsidR="00D9465C" w:rsidRPr="003F15C0" w14:paraId="1BDC1D77" w14:textId="77777777" w:rsidTr="00DD0F28">
        <w:tc>
          <w:tcPr>
            <w:tcW w:w="3119" w:type="dxa"/>
          </w:tcPr>
          <w:p w14:paraId="4CB8177B"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4D69B6B4" w14:textId="77777777" w:rsidR="00D9465C" w:rsidRPr="008A1AFE" w:rsidRDefault="00D9465C" w:rsidP="00DD0F28">
            <w:pPr>
              <w:jc w:val="right"/>
              <w:rPr>
                <w:color w:val="000000"/>
                <w:sz w:val="16"/>
                <w:szCs w:val="20"/>
                <w:lang w:eastAsia="en-NZ"/>
              </w:rPr>
            </w:pPr>
            <w:r w:rsidRPr="008A1AFE">
              <w:rPr>
                <w:color w:val="000000"/>
                <w:sz w:val="16"/>
                <w:szCs w:val="20"/>
                <w:lang w:eastAsia="en-NZ"/>
              </w:rPr>
              <w:t>30</w:t>
            </w:r>
          </w:p>
        </w:tc>
        <w:tc>
          <w:tcPr>
            <w:tcW w:w="995" w:type="dxa"/>
            <w:shd w:val="clear" w:color="auto" w:fill="auto"/>
            <w:vAlign w:val="center"/>
          </w:tcPr>
          <w:p w14:paraId="6B92FC3E" w14:textId="77777777" w:rsidR="00D9465C" w:rsidRPr="008A1AFE" w:rsidRDefault="00D9465C" w:rsidP="00DD0F28">
            <w:pPr>
              <w:jc w:val="right"/>
              <w:rPr>
                <w:color w:val="000000"/>
                <w:sz w:val="16"/>
                <w:szCs w:val="20"/>
                <w:lang w:eastAsia="en-NZ"/>
              </w:rPr>
            </w:pPr>
            <w:r w:rsidRPr="008A1AFE">
              <w:rPr>
                <w:color w:val="000000"/>
                <w:sz w:val="16"/>
                <w:szCs w:val="20"/>
                <w:lang w:eastAsia="en-NZ"/>
              </w:rPr>
              <w:t>14.9</w:t>
            </w:r>
          </w:p>
        </w:tc>
        <w:tc>
          <w:tcPr>
            <w:tcW w:w="1055" w:type="dxa"/>
            <w:shd w:val="clear" w:color="auto" w:fill="auto"/>
            <w:vAlign w:val="center"/>
          </w:tcPr>
          <w:p w14:paraId="00E3C319"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3CC05133"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38F7F76F" w14:textId="77777777" w:rsidR="00D9465C" w:rsidRPr="00230801" w:rsidRDefault="00D9465C" w:rsidP="00DD0F28">
            <w:pPr>
              <w:jc w:val="right"/>
              <w:rPr>
                <w:color w:val="000000"/>
                <w:sz w:val="16"/>
                <w:szCs w:val="16"/>
                <w:lang w:eastAsia="en-NZ"/>
              </w:rPr>
            </w:pPr>
          </w:p>
        </w:tc>
      </w:tr>
      <w:tr w:rsidR="00D9465C" w:rsidRPr="003F15C0" w14:paraId="55061038" w14:textId="77777777" w:rsidTr="00DD0F28">
        <w:tc>
          <w:tcPr>
            <w:tcW w:w="3119" w:type="dxa"/>
          </w:tcPr>
          <w:p w14:paraId="66632449"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shd w:val="clear" w:color="auto" w:fill="auto"/>
            <w:vAlign w:val="center"/>
          </w:tcPr>
          <w:p w14:paraId="0473FE5B" w14:textId="77777777" w:rsidR="00D9465C" w:rsidRPr="008A1AFE" w:rsidRDefault="00D9465C" w:rsidP="00DD0F28">
            <w:pPr>
              <w:jc w:val="right"/>
              <w:rPr>
                <w:color w:val="000000"/>
                <w:sz w:val="16"/>
                <w:szCs w:val="20"/>
                <w:lang w:eastAsia="en-NZ"/>
              </w:rPr>
            </w:pPr>
            <w:r w:rsidRPr="008A1AFE">
              <w:rPr>
                <w:color w:val="000000"/>
                <w:sz w:val="16"/>
                <w:szCs w:val="20"/>
                <w:lang w:eastAsia="en-NZ"/>
              </w:rPr>
              <w:t>0.2</w:t>
            </w:r>
          </w:p>
        </w:tc>
        <w:tc>
          <w:tcPr>
            <w:tcW w:w="995" w:type="dxa"/>
            <w:shd w:val="clear" w:color="auto" w:fill="auto"/>
            <w:vAlign w:val="center"/>
          </w:tcPr>
          <w:p w14:paraId="70F1A9DE" w14:textId="77777777" w:rsidR="00D9465C" w:rsidRPr="008A1AFE" w:rsidRDefault="00D9465C" w:rsidP="00DD0F28">
            <w:pPr>
              <w:jc w:val="right"/>
              <w:rPr>
                <w:color w:val="000000"/>
                <w:sz w:val="16"/>
                <w:szCs w:val="20"/>
                <w:lang w:eastAsia="en-NZ"/>
              </w:rPr>
            </w:pPr>
            <w:r w:rsidRPr="008A1AFE">
              <w:rPr>
                <w:color w:val="000000"/>
                <w:sz w:val="16"/>
                <w:szCs w:val="20"/>
                <w:lang w:eastAsia="en-NZ"/>
              </w:rPr>
              <w:t>100.0</w:t>
            </w:r>
          </w:p>
        </w:tc>
        <w:tc>
          <w:tcPr>
            <w:tcW w:w="1055" w:type="dxa"/>
            <w:shd w:val="clear" w:color="auto" w:fill="auto"/>
            <w:vAlign w:val="center"/>
          </w:tcPr>
          <w:p w14:paraId="020EAE6D"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084639FB"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092B1660" w14:textId="77777777" w:rsidR="00D9465C" w:rsidRPr="00230801" w:rsidRDefault="00D9465C" w:rsidP="00DD0F28">
            <w:pPr>
              <w:jc w:val="right"/>
              <w:rPr>
                <w:color w:val="000000"/>
                <w:sz w:val="16"/>
                <w:szCs w:val="16"/>
                <w:lang w:eastAsia="en-NZ"/>
              </w:rPr>
            </w:pPr>
          </w:p>
        </w:tc>
      </w:tr>
      <w:tr w:rsidR="00D9465C" w:rsidRPr="003F15C0" w14:paraId="5A044AC4" w14:textId="77777777" w:rsidTr="00DD0F28">
        <w:tc>
          <w:tcPr>
            <w:tcW w:w="3119" w:type="dxa"/>
            <w:shd w:val="clear" w:color="auto" w:fill="auto"/>
            <w:vAlign w:val="bottom"/>
          </w:tcPr>
          <w:p w14:paraId="64A91D7F" w14:textId="77777777" w:rsidR="00D9465C" w:rsidRPr="003F15C0" w:rsidRDefault="00D9465C" w:rsidP="00DD0F28">
            <w:pPr>
              <w:spacing w:before="20"/>
              <w:jc w:val="both"/>
              <w:rPr>
                <w:b/>
                <w:sz w:val="16"/>
                <w:szCs w:val="16"/>
              </w:rPr>
            </w:pPr>
            <w:r>
              <w:rPr>
                <w:b/>
                <w:sz w:val="16"/>
                <w:szCs w:val="16"/>
              </w:rPr>
              <w:t>NZ</w:t>
            </w:r>
            <w:r w:rsidRPr="003F15C0">
              <w:rPr>
                <w:b/>
                <w:sz w:val="16"/>
                <w:szCs w:val="16"/>
              </w:rPr>
              <w:t xml:space="preserve"> internet gambling - monthly</w:t>
            </w:r>
          </w:p>
        </w:tc>
        <w:tc>
          <w:tcPr>
            <w:tcW w:w="1048" w:type="dxa"/>
            <w:shd w:val="clear" w:color="auto" w:fill="auto"/>
            <w:vAlign w:val="center"/>
          </w:tcPr>
          <w:p w14:paraId="46DD6C53" w14:textId="77777777" w:rsidR="00D9465C" w:rsidRPr="00637CF2" w:rsidRDefault="00D9465C" w:rsidP="00DD0F28">
            <w:pPr>
              <w:jc w:val="right"/>
              <w:rPr>
                <w:color w:val="000000"/>
                <w:sz w:val="16"/>
                <w:szCs w:val="16"/>
                <w:lang w:eastAsia="en-NZ"/>
              </w:rPr>
            </w:pPr>
          </w:p>
        </w:tc>
        <w:tc>
          <w:tcPr>
            <w:tcW w:w="995" w:type="dxa"/>
            <w:shd w:val="clear" w:color="auto" w:fill="auto"/>
            <w:vAlign w:val="center"/>
          </w:tcPr>
          <w:p w14:paraId="3791882A" w14:textId="77777777" w:rsidR="00D9465C" w:rsidRPr="00637CF2" w:rsidRDefault="00D9465C" w:rsidP="00DD0F28">
            <w:pPr>
              <w:jc w:val="right"/>
              <w:rPr>
                <w:color w:val="000000"/>
                <w:sz w:val="16"/>
                <w:szCs w:val="16"/>
                <w:lang w:eastAsia="en-NZ"/>
              </w:rPr>
            </w:pPr>
          </w:p>
        </w:tc>
        <w:tc>
          <w:tcPr>
            <w:tcW w:w="1055" w:type="dxa"/>
            <w:shd w:val="clear" w:color="auto" w:fill="auto"/>
            <w:vAlign w:val="center"/>
          </w:tcPr>
          <w:p w14:paraId="65218F31"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537F4622"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54B25F71" w14:textId="77777777" w:rsidR="00D9465C" w:rsidRPr="00637CF2" w:rsidRDefault="00D9465C" w:rsidP="00DD0F28">
            <w:pPr>
              <w:jc w:val="right"/>
              <w:rPr>
                <w:color w:val="000000"/>
                <w:sz w:val="16"/>
                <w:szCs w:val="16"/>
                <w:lang w:eastAsia="en-NZ"/>
              </w:rPr>
            </w:pPr>
          </w:p>
        </w:tc>
      </w:tr>
      <w:tr w:rsidR="00D9465C" w:rsidRPr="003F15C0" w14:paraId="099923EF" w14:textId="77777777" w:rsidTr="00DD0F28">
        <w:tc>
          <w:tcPr>
            <w:tcW w:w="3119" w:type="dxa"/>
            <w:shd w:val="clear" w:color="auto" w:fill="auto"/>
          </w:tcPr>
          <w:p w14:paraId="71B51D70"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4C374287" w14:textId="77777777" w:rsidR="00D9465C" w:rsidRPr="008A1AFE" w:rsidRDefault="00D9465C" w:rsidP="00DD0F28">
            <w:pPr>
              <w:jc w:val="right"/>
              <w:rPr>
                <w:color w:val="000000"/>
                <w:sz w:val="16"/>
                <w:szCs w:val="20"/>
                <w:lang w:eastAsia="en-NZ"/>
              </w:rPr>
            </w:pPr>
            <w:r w:rsidRPr="008A1AFE">
              <w:rPr>
                <w:color w:val="000000"/>
                <w:sz w:val="16"/>
                <w:szCs w:val="20"/>
                <w:lang w:eastAsia="en-NZ"/>
              </w:rPr>
              <w:t>29</w:t>
            </w:r>
          </w:p>
        </w:tc>
        <w:tc>
          <w:tcPr>
            <w:tcW w:w="995" w:type="dxa"/>
            <w:shd w:val="clear" w:color="auto" w:fill="auto"/>
            <w:vAlign w:val="center"/>
          </w:tcPr>
          <w:p w14:paraId="7F002428" w14:textId="77777777" w:rsidR="00D9465C" w:rsidRPr="008A1AFE" w:rsidRDefault="00D9465C" w:rsidP="00DD0F28">
            <w:pPr>
              <w:jc w:val="right"/>
              <w:rPr>
                <w:color w:val="000000"/>
                <w:sz w:val="16"/>
                <w:szCs w:val="20"/>
                <w:lang w:eastAsia="en-NZ"/>
              </w:rPr>
            </w:pPr>
            <w:r w:rsidRPr="008A1AFE">
              <w:rPr>
                <w:color w:val="000000"/>
                <w:sz w:val="16"/>
                <w:szCs w:val="20"/>
                <w:lang w:eastAsia="en-NZ"/>
              </w:rPr>
              <w:t>16.2</w:t>
            </w:r>
          </w:p>
        </w:tc>
        <w:tc>
          <w:tcPr>
            <w:tcW w:w="1055" w:type="dxa"/>
            <w:shd w:val="clear" w:color="auto" w:fill="auto"/>
            <w:vAlign w:val="center"/>
          </w:tcPr>
          <w:p w14:paraId="4378210C"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72988F6A"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61C2CF57" w14:textId="77777777" w:rsidR="00D9465C" w:rsidRPr="00230801" w:rsidRDefault="00D9465C" w:rsidP="00DD0F28">
            <w:pPr>
              <w:jc w:val="right"/>
              <w:rPr>
                <w:color w:val="000000"/>
                <w:sz w:val="16"/>
                <w:szCs w:val="16"/>
                <w:lang w:eastAsia="en-NZ"/>
              </w:rPr>
            </w:pPr>
          </w:p>
        </w:tc>
      </w:tr>
      <w:tr w:rsidR="00D9465C" w:rsidRPr="003F15C0" w14:paraId="237788A9" w14:textId="77777777" w:rsidTr="00DD0F28">
        <w:tc>
          <w:tcPr>
            <w:tcW w:w="3119" w:type="dxa"/>
            <w:tcBorders>
              <w:bottom w:val="single" w:sz="4" w:space="0" w:color="auto"/>
            </w:tcBorders>
            <w:shd w:val="clear" w:color="auto" w:fill="auto"/>
          </w:tcPr>
          <w:p w14:paraId="53044DCE"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tcBorders>
              <w:bottom w:val="single" w:sz="4" w:space="0" w:color="auto"/>
            </w:tcBorders>
            <w:shd w:val="clear" w:color="auto" w:fill="auto"/>
            <w:vAlign w:val="center"/>
          </w:tcPr>
          <w:p w14:paraId="6729CAB3" w14:textId="77777777" w:rsidR="00D9465C" w:rsidRPr="008A1AFE" w:rsidRDefault="00D9465C" w:rsidP="00DD0F28">
            <w:pPr>
              <w:jc w:val="right"/>
              <w:rPr>
                <w:color w:val="000000"/>
                <w:sz w:val="16"/>
                <w:szCs w:val="20"/>
                <w:lang w:eastAsia="en-NZ"/>
              </w:rPr>
            </w:pPr>
            <w:r w:rsidRPr="008A1AFE">
              <w:rPr>
                <w:color w:val="000000"/>
                <w:sz w:val="16"/>
                <w:szCs w:val="20"/>
                <w:lang w:eastAsia="en-NZ"/>
              </w:rPr>
              <w:t>1</w:t>
            </w:r>
          </w:p>
        </w:tc>
        <w:tc>
          <w:tcPr>
            <w:tcW w:w="995" w:type="dxa"/>
            <w:tcBorders>
              <w:bottom w:val="single" w:sz="4" w:space="0" w:color="auto"/>
            </w:tcBorders>
            <w:shd w:val="clear" w:color="auto" w:fill="auto"/>
            <w:vAlign w:val="center"/>
          </w:tcPr>
          <w:p w14:paraId="49522053" w14:textId="77777777" w:rsidR="00D9465C" w:rsidRPr="008A1AFE" w:rsidRDefault="00D9465C" w:rsidP="00DD0F28">
            <w:pPr>
              <w:jc w:val="right"/>
              <w:rPr>
                <w:color w:val="000000"/>
                <w:sz w:val="16"/>
                <w:szCs w:val="20"/>
                <w:lang w:eastAsia="en-NZ"/>
              </w:rPr>
            </w:pPr>
            <w:r w:rsidRPr="008A1AFE">
              <w:rPr>
                <w:color w:val="000000"/>
                <w:sz w:val="16"/>
                <w:szCs w:val="20"/>
                <w:lang w:eastAsia="en-NZ"/>
              </w:rPr>
              <w:t>0.0</w:t>
            </w:r>
          </w:p>
        </w:tc>
        <w:tc>
          <w:tcPr>
            <w:tcW w:w="1055" w:type="dxa"/>
            <w:tcBorders>
              <w:bottom w:val="single" w:sz="4" w:space="0" w:color="auto"/>
            </w:tcBorders>
            <w:shd w:val="clear" w:color="auto" w:fill="auto"/>
            <w:vAlign w:val="center"/>
          </w:tcPr>
          <w:p w14:paraId="6EAEEE2F" w14:textId="77777777" w:rsidR="00D9465C" w:rsidRPr="00230801" w:rsidRDefault="00D9465C" w:rsidP="00DD0F28">
            <w:pPr>
              <w:jc w:val="right"/>
              <w:rPr>
                <w:color w:val="000000"/>
                <w:sz w:val="16"/>
                <w:szCs w:val="16"/>
                <w:lang w:eastAsia="en-NZ"/>
              </w:rPr>
            </w:pPr>
          </w:p>
        </w:tc>
        <w:tc>
          <w:tcPr>
            <w:tcW w:w="1275" w:type="dxa"/>
            <w:tcBorders>
              <w:bottom w:val="single" w:sz="4" w:space="0" w:color="auto"/>
            </w:tcBorders>
            <w:shd w:val="clear" w:color="auto" w:fill="auto"/>
            <w:vAlign w:val="center"/>
          </w:tcPr>
          <w:p w14:paraId="47F47FB4" w14:textId="77777777" w:rsidR="00D9465C" w:rsidRPr="00230801" w:rsidRDefault="00D9465C" w:rsidP="00DD0F28">
            <w:pPr>
              <w:jc w:val="right"/>
              <w:rPr>
                <w:color w:val="000000"/>
                <w:sz w:val="16"/>
                <w:szCs w:val="16"/>
                <w:lang w:eastAsia="en-NZ"/>
              </w:rPr>
            </w:pPr>
          </w:p>
        </w:tc>
        <w:tc>
          <w:tcPr>
            <w:tcW w:w="1020" w:type="dxa"/>
            <w:tcBorders>
              <w:bottom w:val="single" w:sz="4" w:space="0" w:color="auto"/>
            </w:tcBorders>
            <w:shd w:val="clear" w:color="auto" w:fill="auto"/>
            <w:vAlign w:val="center"/>
          </w:tcPr>
          <w:p w14:paraId="09D3F556" w14:textId="77777777" w:rsidR="00D9465C" w:rsidRPr="00230801" w:rsidRDefault="00D9465C" w:rsidP="00DD0F28">
            <w:pPr>
              <w:jc w:val="right"/>
              <w:rPr>
                <w:color w:val="000000"/>
                <w:sz w:val="16"/>
                <w:szCs w:val="16"/>
                <w:lang w:eastAsia="en-NZ"/>
              </w:rPr>
            </w:pPr>
          </w:p>
        </w:tc>
      </w:tr>
      <w:tr w:rsidR="00D9465C" w:rsidRPr="001A61F1" w14:paraId="1D137A2C" w14:textId="77777777" w:rsidTr="00DD0F28">
        <w:tc>
          <w:tcPr>
            <w:tcW w:w="4167" w:type="dxa"/>
            <w:gridSpan w:val="2"/>
            <w:tcBorders>
              <w:top w:val="single" w:sz="4" w:space="0" w:color="auto"/>
            </w:tcBorders>
            <w:vAlign w:val="bottom"/>
          </w:tcPr>
          <w:p w14:paraId="3BC27983" w14:textId="77777777" w:rsidR="00D9465C" w:rsidRPr="008C5F0C" w:rsidRDefault="00D9465C" w:rsidP="00DD0F28">
            <w:pPr>
              <w:keepNext/>
              <w:rPr>
                <w:b/>
                <w:sz w:val="16"/>
                <w:szCs w:val="16"/>
              </w:rPr>
            </w:pPr>
            <w:r>
              <w:rPr>
                <w:b/>
                <w:sz w:val="16"/>
                <w:szCs w:val="16"/>
              </w:rPr>
              <w:t>Time spent gambling on casino EGMs in an average day</w:t>
            </w:r>
          </w:p>
        </w:tc>
        <w:tc>
          <w:tcPr>
            <w:tcW w:w="995" w:type="dxa"/>
            <w:tcBorders>
              <w:top w:val="single" w:sz="4" w:space="0" w:color="auto"/>
            </w:tcBorders>
            <w:shd w:val="clear" w:color="auto" w:fill="auto"/>
            <w:vAlign w:val="center"/>
          </w:tcPr>
          <w:p w14:paraId="2EBC6052" w14:textId="77777777" w:rsidR="00D9465C" w:rsidRPr="00637CF2" w:rsidRDefault="00D9465C" w:rsidP="00DD0F28">
            <w:pPr>
              <w:keepNext/>
              <w:jc w:val="right"/>
              <w:rPr>
                <w:color w:val="000000"/>
                <w:sz w:val="16"/>
                <w:szCs w:val="16"/>
                <w:lang w:eastAsia="en-NZ"/>
              </w:rPr>
            </w:pPr>
          </w:p>
        </w:tc>
        <w:tc>
          <w:tcPr>
            <w:tcW w:w="1055" w:type="dxa"/>
            <w:tcBorders>
              <w:top w:val="single" w:sz="4" w:space="0" w:color="auto"/>
            </w:tcBorders>
            <w:shd w:val="clear" w:color="auto" w:fill="auto"/>
            <w:vAlign w:val="center"/>
          </w:tcPr>
          <w:p w14:paraId="0BC7F971" w14:textId="77777777" w:rsidR="00D9465C" w:rsidRPr="00637CF2" w:rsidRDefault="00D9465C" w:rsidP="00DD0F28">
            <w:pPr>
              <w:keepNext/>
              <w:jc w:val="right"/>
              <w:rPr>
                <w:color w:val="000000"/>
                <w:sz w:val="16"/>
                <w:szCs w:val="16"/>
                <w:lang w:eastAsia="en-NZ"/>
              </w:rPr>
            </w:pPr>
          </w:p>
        </w:tc>
        <w:tc>
          <w:tcPr>
            <w:tcW w:w="1275" w:type="dxa"/>
            <w:tcBorders>
              <w:top w:val="single" w:sz="4" w:space="0" w:color="auto"/>
            </w:tcBorders>
            <w:shd w:val="clear" w:color="auto" w:fill="auto"/>
            <w:vAlign w:val="center"/>
          </w:tcPr>
          <w:p w14:paraId="11B91AC0" w14:textId="77777777" w:rsidR="00D9465C" w:rsidRPr="00637CF2" w:rsidRDefault="00D9465C" w:rsidP="00DD0F28">
            <w:pPr>
              <w:keepNext/>
              <w:jc w:val="right"/>
              <w:rPr>
                <w:color w:val="000000"/>
                <w:sz w:val="16"/>
                <w:szCs w:val="16"/>
                <w:lang w:eastAsia="en-NZ"/>
              </w:rPr>
            </w:pPr>
          </w:p>
        </w:tc>
        <w:tc>
          <w:tcPr>
            <w:tcW w:w="1020" w:type="dxa"/>
            <w:tcBorders>
              <w:top w:val="single" w:sz="4" w:space="0" w:color="auto"/>
            </w:tcBorders>
            <w:shd w:val="clear" w:color="auto" w:fill="auto"/>
            <w:vAlign w:val="center"/>
          </w:tcPr>
          <w:p w14:paraId="05440228" w14:textId="77777777" w:rsidR="00D9465C" w:rsidRPr="00637CF2" w:rsidRDefault="00D9465C" w:rsidP="00DD0F28">
            <w:pPr>
              <w:keepNext/>
              <w:jc w:val="right"/>
              <w:rPr>
                <w:color w:val="000000"/>
                <w:sz w:val="16"/>
                <w:szCs w:val="16"/>
                <w:lang w:eastAsia="en-NZ"/>
              </w:rPr>
            </w:pPr>
          </w:p>
        </w:tc>
      </w:tr>
      <w:tr w:rsidR="00D9465C" w:rsidRPr="003F15C0" w14:paraId="786F5209" w14:textId="77777777" w:rsidTr="00DD0F28">
        <w:tc>
          <w:tcPr>
            <w:tcW w:w="3119" w:type="dxa"/>
            <w:shd w:val="clear" w:color="auto" w:fill="auto"/>
          </w:tcPr>
          <w:p w14:paraId="0F42A1F6" w14:textId="77777777" w:rsidR="00D9465C" w:rsidRPr="003F15C0" w:rsidRDefault="00D9465C" w:rsidP="00DD0F28">
            <w:pPr>
              <w:keepNext/>
              <w:spacing w:before="20"/>
              <w:ind w:left="176"/>
              <w:jc w:val="both"/>
              <w:rPr>
                <w:sz w:val="16"/>
                <w:szCs w:val="16"/>
              </w:rPr>
            </w:pPr>
            <w:r>
              <w:rPr>
                <w:sz w:val="16"/>
                <w:szCs w:val="16"/>
              </w:rPr>
              <w:t>None</w:t>
            </w:r>
          </w:p>
        </w:tc>
        <w:tc>
          <w:tcPr>
            <w:tcW w:w="1048" w:type="dxa"/>
            <w:shd w:val="clear" w:color="auto" w:fill="auto"/>
            <w:vAlign w:val="center"/>
          </w:tcPr>
          <w:p w14:paraId="0A4C01C8" w14:textId="77777777" w:rsidR="00D9465C" w:rsidRPr="00AA4E6C" w:rsidRDefault="00D9465C" w:rsidP="00DD0F28">
            <w:pPr>
              <w:jc w:val="right"/>
              <w:rPr>
                <w:color w:val="000000"/>
                <w:sz w:val="16"/>
                <w:szCs w:val="20"/>
                <w:lang w:eastAsia="en-NZ"/>
              </w:rPr>
            </w:pPr>
            <w:r w:rsidRPr="00AA4E6C">
              <w:rPr>
                <w:color w:val="000000"/>
                <w:sz w:val="16"/>
                <w:szCs w:val="20"/>
                <w:lang w:eastAsia="en-NZ"/>
              </w:rPr>
              <w:t>17</w:t>
            </w:r>
          </w:p>
        </w:tc>
        <w:tc>
          <w:tcPr>
            <w:tcW w:w="995" w:type="dxa"/>
            <w:shd w:val="clear" w:color="auto" w:fill="auto"/>
            <w:vAlign w:val="center"/>
          </w:tcPr>
          <w:p w14:paraId="20ED1DF7" w14:textId="77777777" w:rsidR="00D9465C" w:rsidRPr="00AA4E6C" w:rsidRDefault="00D9465C" w:rsidP="00DD0F28">
            <w:pPr>
              <w:jc w:val="right"/>
              <w:rPr>
                <w:color w:val="000000"/>
                <w:sz w:val="16"/>
                <w:szCs w:val="20"/>
                <w:lang w:eastAsia="en-NZ"/>
              </w:rPr>
            </w:pPr>
            <w:r w:rsidRPr="00AA4E6C">
              <w:rPr>
                <w:color w:val="000000"/>
                <w:sz w:val="16"/>
                <w:szCs w:val="20"/>
                <w:lang w:eastAsia="en-NZ"/>
              </w:rPr>
              <w:t>14.2</w:t>
            </w:r>
          </w:p>
        </w:tc>
        <w:tc>
          <w:tcPr>
            <w:tcW w:w="1055" w:type="dxa"/>
            <w:shd w:val="clear" w:color="auto" w:fill="auto"/>
            <w:vAlign w:val="center"/>
          </w:tcPr>
          <w:p w14:paraId="43A34B12" w14:textId="77777777" w:rsidR="00D9465C" w:rsidRPr="00230801" w:rsidRDefault="00D9465C" w:rsidP="00DD0F28">
            <w:pPr>
              <w:keepNext/>
              <w:jc w:val="right"/>
              <w:rPr>
                <w:color w:val="000000"/>
                <w:sz w:val="16"/>
                <w:szCs w:val="16"/>
                <w:lang w:eastAsia="en-NZ"/>
              </w:rPr>
            </w:pPr>
          </w:p>
        </w:tc>
        <w:tc>
          <w:tcPr>
            <w:tcW w:w="1275" w:type="dxa"/>
            <w:shd w:val="clear" w:color="auto" w:fill="auto"/>
            <w:vAlign w:val="center"/>
          </w:tcPr>
          <w:p w14:paraId="6A83D02C" w14:textId="77777777" w:rsidR="00D9465C" w:rsidRPr="00230801" w:rsidRDefault="00D9465C" w:rsidP="00DD0F28">
            <w:pPr>
              <w:keepNext/>
              <w:jc w:val="right"/>
              <w:rPr>
                <w:color w:val="000000"/>
                <w:sz w:val="16"/>
                <w:szCs w:val="16"/>
                <w:lang w:eastAsia="en-NZ"/>
              </w:rPr>
            </w:pPr>
          </w:p>
        </w:tc>
        <w:tc>
          <w:tcPr>
            <w:tcW w:w="1020" w:type="dxa"/>
            <w:shd w:val="clear" w:color="auto" w:fill="auto"/>
            <w:vAlign w:val="center"/>
          </w:tcPr>
          <w:p w14:paraId="5DD611A2" w14:textId="77777777" w:rsidR="00D9465C" w:rsidRPr="00230801" w:rsidRDefault="00D9465C" w:rsidP="00DD0F28">
            <w:pPr>
              <w:keepNext/>
              <w:jc w:val="right"/>
              <w:rPr>
                <w:color w:val="000000"/>
                <w:sz w:val="16"/>
                <w:szCs w:val="16"/>
                <w:lang w:eastAsia="en-NZ"/>
              </w:rPr>
            </w:pPr>
          </w:p>
        </w:tc>
      </w:tr>
      <w:tr w:rsidR="00D9465C" w:rsidRPr="003F15C0" w14:paraId="4DB0F9DF" w14:textId="77777777" w:rsidTr="00DD0F28">
        <w:tc>
          <w:tcPr>
            <w:tcW w:w="3119" w:type="dxa"/>
            <w:shd w:val="clear" w:color="auto" w:fill="auto"/>
            <w:vAlign w:val="center"/>
          </w:tcPr>
          <w:p w14:paraId="61AB0978" w14:textId="77777777" w:rsidR="00D9465C" w:rsidRPr="00AA4E6C" w:rsidRDefault="00D9465C" w:rsidP="00DD0F28">
            <w:pPr>
              <w:spacing w:before="20"/>
              <w:ind w:left="176"/>
              <w:jc w:val="both"/>
              <w:rPr>
                <w:sz w:val="16"/>
                <w:szCs w:val="16"/>
              </w:rPr>
            </w:pPr>
            <w:r w:rsidRPr="00AA4E6C">
              <w:rPr>
                <w:sz w:val="16"/>
                <w:szCs w:val="16"/>
              </w:rPr>
              <w:t>Up to 15 minutes</w:t>
            </w:r>
          </w:p>
        </w:tc>
        <w:tc>
          <w:tcPr>
            <w:tcW w:w="1048" w:type="dxa"/>
            <w:shd w:val="clear" w:color="auto" w:fill="auto"/>
            <w:vAlign w:val="center"/>
          </w:tcPr>
          <w:p w14:paraId="79973780" w14:textId="77777777" w:rsidR="00D9465C" w:rsidRPr="00AA4E6C" w:rsidRDefault="00D9465C" w:rsidP="00DD0F28">
            <w:pPr>
              <w:jc w:val="right"/>
              <w:rPr>
                <w:color w:val="000000"/>
                <w:sz w:val="16"/>
                <w:szCs w:val="20"/>
                <w:lang w:eastAsia="en-NZ"/>
              </w:rPr>
            </w:pPr>
            <w:r w:rsidRPr="00AA4E6C">
              <w:rPr>
                <w:color w:val="000000"/>
                <w:sz w:val="16"/>
                <w:szCs w:val="20"/>
                <w:lang w:eastAsia="en-NZ"/>
              </w:rPr>
              <w:t>3</w:t>
            </w:r>
          </w:p>
        </w:tc>
        <w:tc>
          <w:tcPr>
            <w:tcW w:w="995" w:type="dxa"/>
            <w:shd w:val="clear" w:color="auto" w:fill="auto"/>
            <w:vAlign w:val="center"/>
          </w:tcPr>
          <w:p w14:paraId="393933D2" w14:textId="77777777" w:rsidR="00D9465C" w:rsidRPr="00AA4E6C" w:rsidRDefault="00D9465C" w:rsidP="00DD0F28">
            <w:pPr>
              <w:jc w:val="right"/>
              <w:rPr>
                <w:color w:val="000000"/>
                <w:sz w:val="16"/>
                <w:szCs w:val="20"/>
                <w:lang w:eastAsia="en-NZ"/>
              </w:rPr>
            </w:pPr>
            <w:r w:rsidRPr="00AA4E6C">
              <w:rPr>
                <w:color w:val="000000"/>
                <w:sz w:val="16"/>
                <w:szCs w:val="20"/>
                <w:lang w:eastAsia="en-NZ"/>
              </w:rPr>
              <w:t>0.0</w:t>
            </w:r>
          </w:p>
        </w:tc>
        <w:tc>
          <w:tcPr>
            <w:tcW w:w="1055" w:type="dxa"/>
            <w:shd w:val="clear" w:color="auto" w:fill="auto"/>
            <w:vAlign w:val="center"/>
          </w:tcPr>
          <w:p w14:paraId="6285BEC0"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3FF3C62F"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0606CB46" w14:textId="77777777" w:rsidR="00D9465C" w:rsidRPr="00230801" w:rsidRDefault="00D9465C" w:rsidP="00DD0F28">
            <w:pPr>
              <w:jc w:val="right"/>
              <w:rPr>
                <w:color w:val="000000"/>
                <w:sz w:val="16"/>
                <w:szCs w:val="16"/>
                <w:lang w:eastAsia="en-NZ"/>
              </w:rPr>
            </w:pPr>
          </w:p>
        </w:tc>
      </w:tr>
      <w:tr w:rsidR="00D9465C" w:rsidRPr="003F15C0" w14:paraId="6EA14A35" w14:textId="77777777" w:rsidTr="00DD0F28">
        <w:tc>
          <w:tcPr>
            <w:tcW w:w="3119" w:type="dxa"/>
            <w:shd w:val="clear" w:color="auto" w:fill="auto"/>
            <w:vAlign w:val="center"/>
          </w:tcPr>
          <w:p w14:paraId="196EB7C1" w14:textId="77777777" w:rsidR="00D9465C" w:rsidRPr="00AA4E6C" w:rsidRDefault="00D9465C" w:rsidP="00DD0F28">
            <w:pPr>
              <w:spacing w:before="20"/>
              <w:ind w:left="176"/>
              <w:jc w:val="both"/>
              <w:rPr>
                <w:sz w:val="16"/>
                <w:szCs w:val="16"/>
              </w:rPr>
            </w:pPr>
            <w:r w:rsidRPr="00AA4E6C">
              <w:rPr>
                <w:sz w:val="16"/>
                <w:szCs w:val="16"/>
              </w:rPr>
              <w:t>16 - 30 minutes</w:t>
            </w:r>
          </w:p>
        </w:tc>
        <w:tc>
          <w:tcPr>
            <w:tcW w:w="1048" w:type="dxa"/>
            <w:shd w:val="clear" w:color="auto" w:fill="auto"/>
            <w:vAlign w:val="center"/>
          </w:tcPr>
          <w:p w14:paraId="478C357D" w14:textId="77777777" w:rsidR="00D9465C" w:rsidRPr="00AA4E6C" w:rsidRDefault="00D9465C" w:rsidP="00DD0F28">
            <w:pPr>
              <w:jc w:val="right"/>
              <w:rPr>
                <w:color w:val="000000"/>
                <w:sz w:val="16"/>
                <w:szCs w:val="20"/>
                <w:lang w:eastAsia="en-NZ"/>
              </w:rPr>
            </w:pPr>
            <w:r w:rsidRPr="00AA4E6C">
              <w:rPr>
                <w:color w:val="000000"/>
                <w:sz w:val="16"/>
                <w:szCs w:val="20"/>
                <w:lang w:eastAsia="en-NZ"/>
              </w:rPr>
              <w:t>0</w:t>
            </w:r>
          </w:p>
        </w:tc>
        <w:tc>
          <w:tcPr>
            <w:tcW w:w="995" w:type="dxa"/>
            <w:shd w:val="clear" w:color="auto" w:fill="auto"/>
            <w:vAlign w:val="center"/>
          </w:tcPr>
          <w:p w14:paraId="68ECD619" w14:textId="77777777" w:rsidR="00D9465C" w:rsidRPr="00AA4E6C" w:rsidRDefault="00D9465C" w:rsidP="00DD0F28">
            <w:pPr>
              <w:jc w:val="right"/>
              <w:rPr>
                <w:color w:val="000000"/>
                <w:sz w:val="16"/>
                <w:szCs w:val="20"/>
                <w:lang w:eastAsia="en-NZ"/>
              </w:rPr>
            </w:pPr>
            <w:r>
              <w:rPr>
                <w:color w:val="000000"/>
                <w:sz w:val="16"/>
                <w:szCs w:val="20"/>
                <w:lang w:eastAsia="en-NZ"/>
              </w:rPr>
              <w:t>-</w:t>
            </w:r>
          </w:p>
        </w:tc>
        <w:tc>
          <w:tcPr>
            <w:tcW w:w="1055" w:type="dxa"/>
            <w:shd w:val="clear" w:color="auto" w:fill="auto"/>
            <w:vAlign w:val="center"/>
          </w:tcPr>
          <w:p w14:paraId="60DE672E"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4F293158"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7A56CA71" w14:textId="77777777" w:rsidR="00D9465C" w:rsidRPr="00230801" w:rsidRDefault="00D9465C" w:rsidP="00DD0F28">
            <w:pPr>
              <w:jc w:val="right"/>
              <w:rPr>
                <w:color w:val="000000"/>
                <w:sz w:val="16"/>
                <w:szCs w:val="16"/>
                <w:lang w:eastAsia="en-NZ"/>
              </w:rPr>
            </w:pPr>
          </w:p>
        </w:tc>
      </w:tr>
      <w:tr w:rsidR="00D9465C" w:rsidRPr="003F15C0" w14:paraId="72786B19" w14:textId="77777777" w:rsidTr="00DD0F28">
        <w:tc>
          <w:tcPr>
            <w:tcW w:w="3119" w:type="dxa"/>
            <w:shd w:val="clear" w:color="auto" w:fill="auto"/>
            <w:vAlign w:val="center"/>
          </w:tcPr>
          <w:p w14:paraId="3CA8C884" w14:textId="77777777" w:rsidR="00D9465C" w:rsidRPr="00AA4E6C" w:rsidRDefault="00D9465C" w:rsidP="00DD0F28">
            <w:pPr>
              <w:spacing w:before="20"/>
              <w:ind w:left="176"/>
              <w:jc w:val="both"/>
              <w:rPr>
                <w:sz w:val="16"/>
                <w:szCs w:val="16"/>
              </w:rPr>
            </w:pPr>
            <w:r w:rsidRPr="00AA4E6C">
              <w:rPr>
                <w:sz w:val="16"/>
                <w:szCs w:val="16"/>
              </w:rPr>
              <w:t>31 - 60 minutes</w:t>
            </w:r>
          </w:p>
        </w:tc>
        <w:tc>
          <w:tcPr>
            <w:tcW w:w="1048" w:type="dxa"/>
            <w:shd w:val="clear" w:color="auto" w:fill="auto"/>
            <w:vAlign w:val="center"/>
          </w:tcPr>
          <w:p w14:paraId="32215422" w14:textId="77777777" w:rsidR="00D9465C" w:rsidRPr="00AA4E6C" w:rsidRDefault="00D9465C" w:rsidP="00DD0F28">
            <w:pPr>
              <w:jc w:val="right"/>
              <w:rPr>
                <w:color w:val="000000"/>
                <w:sz w:val="16"/>
                <w:szCs w:val="20"/>
                <w:lang w:eastAsia="en-NZ"/>
              </w:rPr>
            </w:pPr>
            <w:r w:rsidRPr="00AA4E6C">
              <w:rPr>
                <w:color w:val="000000"/>
                <w:sz w:val="16"/>
                <w:szCs w:val="20"/>
                <w:lang w:eastAsia="en-NZ"/>
              </w:rPr>
              <w:t>5</w:t>
            </w:r>
          </w:p>
        </w:tc>
        <w:tc>
          <w:tcPr>
            <w:tcW w:w="995" w:type="dxa"/>
            <w:shd w:val="clear" w:color="auto" w:fill="auto"/>
            <w:vAlign w:val="center"/>
          </w:tcPr>
          <w:p w14:paraId="43A57092" w14:textId="77777777" w:rsidR="00D9465C" w:rsidRPr="00AA4E6C" w:rsidRDefault="00D9465C" w:rsidP="00DD0F28">
            <w:pPr>
              <w:jc w:val="right"/>
              <w:rPr>
                <w:color w:val="000000"/>
                <w:sz w:val="16"/>
                <w:szCs w:val="20"/>
                <w:lang w:eastAsia="en-NZ"/>
              </w:rPr>
            </w:pPr>
            <w:r w:rsidRPr="00AA4E6C">
              <w:rPr>
                <w:color w:val="000000"/>
                <w:sz w:val="16"/>
                <w:szCs w:val="20"/>
                <w:lang w:eastAsia="en-NZ"/>
              </w:rPr>
              <w:t>12.2</w:t>
            </w:r>
          </w:p>
        </w:tc>
        <w:tc>
          <w:tcPr>
            <w:tcW w:w="1055" w:type="dxa"/>
            <w:shd w:val="clear" w:color="auto" w:fill="auto"/>
            <w:vAlign w:val="center"/>
          </w:tcPr>
          <w:p w14:paraId="3CDC712C"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6FEE808B"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2BC6535A" w14:textId="77777777" w:rsidR="00D9465C" w:rsidRPr="00230801" w:rsidRDefault="00D9465C" w:rsidP="00DD0F28">
            <w:pPr>
              <w:jc w:val="right"/>
              <w:rPr>
                <w:color w:val="000000"/>
                <w:sz w:val="16"/>
                <w:szCs w:val="16"/>
                <w:lang w:eastAsia="en-NZ"/>
              </w:rPr>
            </w:pPr>
          </w:p>
        </w:tc>
      </w:tr>
      <w:tr w:rsidR="00D9465C" w:rsidRPr="003F15C0" w14:paraId="6F48DF52" w14:textId="77777777" w:rsidTr="00DD0F28">
        <w:tc>
          <w:tcPr>
            <w:tcW w:w="3119" w:type="dxa"/>
            <w:shd w:val="clear" w:color="auto" w:fill="auto"/>
            <w:vAlign w:val="center"/>
          </w:tcPr>
          <w:p w14:paraId="10B1A242" w14:textId="77777777" w:rsidR="00D9465C" w:rsidRPr="00AA4E6C" w:rsidRDefault="00D9465C" w:rsidP="00DD0F28">
            <w:pPr>
              <w:spacing w:before="20"/>
              <w:ind w:left="176"/>
              <w:jc w:val="both"/>
              <w:rPr>
                <w:sz w:val="16"/>
                <w:szCs w:val="16"/>
              </w:rPr>
            </w:pPr>
            <w:r w:rsidRPr="00AA4E6C">
              <w:rPr>
                <w:sz w:val="16"/>
                <w:szCs w:val="16"/>
              </w:rPr>
              <w:t>&gt; 60 minutes</w:t>
            </w:r>
          </w:p>
        </w:tc>
        <w:tc>
          <w:tcPr>
            <w:tcW w:w="1048" w:type="dxa"/>
            <w:shd w:val="clear" w:color="auto" w:fill="auto"/>
            <w:vAlign w:val="center"/>
          </w:tcPr>
          <w:p w14:paraId="09AA8157" w14:textId="77777777" w:rsidR="00D9465C" w:rsidRPr="00AA4E6C" w:rsidRDefault="00D9465C" w:rsidP="00DD0F28">
            <w:pPr>
              <w:jc w:val="right"/>
              <w:rPr>
                <w:color w:val="000000"/>
                <w:sz w:val="16"/>
                <w:szCs w:val="20"/>
                <w:lang w:eastAsia="en-NZ"/>
              </w:rPr>
            </w:pPr>
            <w:r w:rsidRPr="00AA4E6C">
              <w:rPr>
                <w:color w:val="000000"/>
                <w:sz w:val="16"/>
                <w:szCs w:val="20"/>
                <w:lang w:eastAsia="en-NZ"/>
              </w:rPr>
              <w:t>6</w:t>
            </w:r>
          </w:p>
        </w:tc>
        <w:tc>
          <w:tcPr>
            <w:tcW w:w="995" w:type="dxa"/>
            <w:shd w:val="clear" w:color="auto" w:fill="auto"/>
            <w:vAlign w:val="center"/>
          </w:tcPr>
          <w:p w14:paraId="6D30A565" w14:textId="77777777" w:rsidR="00D9465C" w:rsidRPr="00AA4E6C" w:rsidRDefault="00D9465C" w:rsidP="00DD0F28">
            <w:pPr>
              <w:jc w:val="right"/>
              <w:rPr>
                <w:color w:val="000000"/>
                <w:sz w:val="16"/>
                <w:szCs w:val="20"/>
                <w:lang w:eastAsia="en-NZ"/>
              </w:rPr>
            </w:pPr>
            <w:r w:rsidRPr="00AA4E6C">
              <w:rPr>
                <w:color w:val="000000"/>
                <w:sz w:val="16"/>
                <w:szCs w:val="20"/>
                <w:lang w:eastAsia="en-NZ"/>
              </w:rPr>
              <w:t>29.2</w:t>
            </w:r>
          </w:p>
        </w:tc>
        <w:tc>
          <w:tcPr>
            <w:tcW w:w="1055" w:type="dxa"/>
            <w:shd w:val="clear" w:color="auto" w:fill="auto"/>
            <w:vAlign w:val="center"/>
          </w:tcPr>
          <w:p w14:paraId="7E45F5C5"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5CF27DED"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5DD5D492" w14:textId="77777777" w:rsidR="00D9465C" w:rsidRPr="00230801" w:rsidRDefault="00D9465C" w:rsidP="00DD0F28">
            <w:pPr>
              <w:jc w:val="right"/>
              <w:rPr>
                <w:color w:val="000000"/>
                <w:sz w:val="16"/>
                <w:szCs w:val="16"/>
                <w:lang w:eastAsia="en-NZ"/>
              </w:rPr>
            </w:pPr>
          </w:p>
        </w:tc>
      </w:tr>
      <w:tr w:rsidR="00D9465C" w:rsidRPr="003F15C0" w14:paraId="50A35677" w14:textId="77777777" w:rsidTr="00DD0F28">
        <w:tc>
          <w:tcPr>
            <w:tcW w:w="4167" w:type="dxa"/>
            <w:gridSpan w:val="2"/>
            <w:shd w:val="clear" w:color="auto" w:fill="auto"/>
            <w:vAlign w:val="bottom"/>
          </w:tcPr>
          <w:p w14:paraId="59AC3769" w14:textId="77777777" w:rsidR="00D9465C" w:rsidRPr="008A1AFE" w:rsidRDefault="00D9465C" w:rsidP="00DD0F28">
            <w:pPr>
              <w:rPr>
                <w:color w:val="000000"/>
                <w:sz w:val="16"/>
                <w:szCs w:val="20"/>
                <w:lang w:eastAsia="en-NZ"/>
              </w:rPr>
            </w:pPr>
            <w:r>
              <w:rPr>
                <w:b/>
                <w:sz w:val="16"/>
                <w:szCs w:val="16"/>
              </w:rPr>
              <w:t>Time spent gambling on pub EGMs in an average day</w:t>
            </w:r>
          </w:p>
        </w:tc>
        <w:tc>
          <w:tcPr>
            <w:tcW w:w="995" w:type="dxa"/>
            <w:shd w:val="clear" w:color="auto" w:fill="auto"/>
            <w:vAlign w:val="center"/>
          </w:tcPr>
          <w:p w14:paraId="3ED6A344" w14:textId="77777777" w:rsidR="00D9465C" w:rsidRPr="008A1AFE" w:rsidRDefault="00D9465C" w:rsidP="00DD0F28">
            <w:pPr>
              <w:jc w:val="right"/>
              <w:rPr>
                <w:color w:val="000000"/>
                <w:sz w:val="16"/>
                <w:szCs w:val="20"/>
                <w:lang w:eastAsia="en-NZ"/>
              </w:rPr>
            </w:pPr>
          </w:p>
        </w:tc>
        <w:tc>
          <w:tcPr>
            <w:tcW w:w="1055" w:type="dxa"/>
            <w:shd w:val="clear" w:color="auto" w:fill="auto"/>
            <w:vAlign w:val="center"/>
          </w:tcPr>
          <w:p w14:paraId="4B4245AA"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48775C0E"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26136200" w14:textId="77777777" w:rsidR="00D9465C" w:rsidRPr="00230801" w:rsidRDefault="00D9465C" w:rsidP="00DD0F28">
            <w:pPr>
              <w:jc w:val="right"/>
              <w:rPr>
                <w:color w:val="000000"/>
                <w:sz w:val="16"/>
                <w:szCs w:val="16"/>
                <w:lang w:eastAsia="en-NZ"/>
              </w:rPr>
            </w:pPr>
          </w:p>
        </w:tc>
      </w:tr>
      <w:tr w:rsidR="00D9465C" w:rsidRPr="003F15C0" w14:paraId="52973D2F" w14:textId="77777777" w:rsidTr="00DD0F28">
        <w:tc>
          <w:tcPr>
            <w:tcW w:w="3119" w:type="dxa"/>
            <w:shd w:val="clear" w:color="auto" w:fill="auto"/>
          </w:tcPr>
          <w:p w14:paraId="2539037A" w14:textId="77777777" w:rsidR="00D9465C" w:rsidRPr="003F15C0" w:rsidRDefault="00D9465C" w:rsidP="00DD0F28">
            <w:pPr>
              <w:keepNext/>
              <w:spacing w:before="20"/>
              <w:ind w:left="176"/>
              <w:jc w:val="both"/>
              <w:rPr>
                <w:sz w:val="16"/>
                <w:szCs w:val="16"/>
              </w:rPr>
            </w:pPr>
            <w:r>
              <w:rPr>
                <w:sz w:val="16"/>
                <w:szCs w:val="16"/>
              </w:rPr>
              <w:t>None</w:t>
            </w:r>
          </w:p>
        </w:tc>
        <w:tc>
          <w:tcPr>
            <w:tcW w:w="1048" w:type="dxa"/>
            <w:shd w:val="clear" w:color="auto" w:fill="auto"/>
            <w:vAlign w:val="center"/>
          </w:tcPr>
          <w:p w14:paraId="1747168C" w14:textId="77777777" w:rsidR="00D9465C" w:rsidRPr="00AA4E6C" w:rsidRDefault="00D9465C" w:rsidP="00DD0F28">
            <w:pPr>
              <w:jc w:val="right"/>
              <w:rPr>
                <w:color w:val="000000"/>
                <w:sz w:val="16"/>
                <w:szCs w:val="20"/>
                <w:lang w:eastAsia="en-NZ"/>
              </w:rPr>
            </w:pPr>
            <w:r w:rsidRPr="00AA4E6C">
              <w:rPr>
                <w:color w:val="000000"/>
                <w:sz w:val="16"/>
                <w:szCs w:val="20"/>
                <w:lang w:eastAsia="en-NZ"/>
              </w:rPr>
              <w:t>11</w:t>
            </w:r>
          </w:p>
        </w:tc>
        <w:tc>
          <w:tcPr>
            <w:tcW w:w="995" w:type="dxa"/>
            <w:shd w:val="clear" w:color="auto" w:fill="auto"/>
            <w:vAlign w:val="center"/>
          </w:tcPr>
          <w:p w14:paraId="1D38A751" w14:textId="77777777" w:rsidR="00D9465C" w:rsidRPr="00AA4E6C" w:rsidRDefault="00D9465C" w:rsidP="00DD0F28">
            <w:pPr>
              <w:jc w:val="right"/>
              <w:rPr>
                <w:color w:val="000000"/>
                <w:sz w:val="16"/>
                <w:szCs w:val="20"/>
                <w:lang w:eastAsia="en-NZ"/>
              </w:rPr>
            </w:pPr>
            <w:r w:rsidRPr="00AA4E6C">
              <w:rPr>
                <w:color w:val="000000"/>
                <w:sz w:val="16"/>
                <w:szCs w:val="20"/>
                <w:lang w:eastAsia="en-NZ"/>
              </w:rPr>
              <w:t>19.0</w:t>
            </w:r>
          </w:p>
        </w:tc>
        <w:tc>
          <w:tcPr>
            <w:tcW w:w="1055" w:type="dxa"/>
            <w:shd w:val="clear" w:color="auto" w:fill="auto"/>
            <w:vAlign w:val="center"/>
          </w:tcPr>
          <w:p w14:paraId="21779995"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044BA3BA"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64D4CBB1" w14:textId="77777777" w:rsidR="00D9465C" w:rsidRPr="00230801" w:rsidRDefault="00D9465C" w:rsidP="00DD0F28">
            <w:pPr>
              <w:jc w:val="right"/>
              <w:rPr>
                <w:color w:val="000000"/>
                <w:sz w:val="16"/>
                <w:szCs w:val="16"/>
                <w:lang w:eastAsia="en-NZ"/>
              </w:rPr>
            </w:pPr>
          </w:p>
        </w:tc>
      </w:tr>
      <w:tr w:rsidR="00D9465C" w:rsidRPr="003F15C0" w14:paraId="2FCC05BA" w14:textId="77777777" w:rsidTr="00DD0F28">
        <w:tc>
          <w:tcPr>
            <w:tcW w:w="3119" w:type="dxa"/>
            <w:shd w:val="clear" w:color="auto" w:fill="auto"/>
            <w:vAlign w:val="center"/>
          </w:tcPr>
          <w:p w14:paraId="0F1325E5" w14:textId="77777777" w:rsidR="00D9465C" w:rsidRPr="00AA4E6C" w:rsidRDefault="00D9465C" w:rsidP="00DD0F28">
            <w:pPr>
              <w:spacing w:before="20"/>
              <w:ind w:left="176"/>
              <w:jc w:val="both"/>
              <w:rPr>
                <w:sz w:val="16"/>
                <w:szCs w:val="16"/>
              </w:rPr>
            </w:pPr>
            <w:r w:rsidRPr="00AA4E6C">
              <w:rPr>
                <w:sz w:val="16"/>
                <w:szCs w:val="16"/>
              </w:rPr>
              <w:t>Up to 15 minutes</w:t>
            </w:r>
          </w:p>
        </w:tc>
        <w:tc>
          <w:tcPr>
            <w:tcW w:w="1048" w:type="dxa"/>
            <w:shd w:val="clear" w:color="auto" w:fill="auto"/>
            <w:vAlign w:val="center"/>
          </w:tcPr>
          <w:p w14:paraId="6CA1724B" w14:textId="77777777" w:rsidR="00D9465C" w:rsidRPr="00AA4E6C" w:rsidRDefault="00D9465C" w:rsidP="00DD0F28">
            <w:pPr>
              <w:jc w:val="right"/>
              <w:rPr>
                <w:color w:val="000000"/>
                <w:sz w:val="16"/>
                <w:szCs w:val="20"/>
                <w:lang w:eastAsia="en-NZ"/>
              </w:rPr>
            </w:pPr>
            <w:r w:rsidRPr="00AA4E6C">
              <w:rPr>
                <w:color w:val="000000"/>
                <w:sz w:val="16"/>
                <w:szCs w:val="20"/>
                <w:lang w:eastAsia="en-NZ"/>
              </w:rPr>
              <w:t>6</w:t>
            </w:r>
          </w:p>
        </w:tc>
        <w:tc>
          <w:tcPr>
            <w:tcW w:w="995" w:type="dxa"/>
            <w:shd w:val="clear" w:color="auto" w:fill="auto"/>
            <w:vAlign w:val="center"/>
          </w:tcPr>
          <w:p w14:paraId="08AA989E" w14:textId="77777777" w:rsidR="00D9465C" w:rsidRPr="00AA4E6C" w:rsidRDefault="00D9465C" w:rsidP="00DD0F28">
            <w:pPr>
              <w:jc w:val="right"/>
              <w:rPr>
                <w:color w:val="000000"/>
                <w:sz w:val="16"/>
                <w:szCs w:val="20"/>
                <w:lang w:eastAsia="en-NZ"/>
              </w:rPr>
            </w:pPr>
            <w:r w:rsidRPr="00AA4E6C">
              <w:rPr>
                <w:color w:val="000000"/>
                <w:sz w:val="16"/>
                <w:szCs w:val="20"/>
                <w:lang w:eastAsia="en-NZ"/>
              </w:rPr>
              <w:t>0.0</w:t>
            </w:r>
          </w:p>
        </w:tc>
        <w:tc>
          <w:tcPr>
            <w:tcW w:w="1055" w:type="dxa"/>
            <w:shd w:val="clear" w:color="auto" w:fill="auto"/>
            <w:vAlign w:val="center"/>
          </w:tcPr>
          <w:p w14:paraId="13AD9222"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04CBE6B1"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1D5DBA97" w14:textId="77777777" w:rsidR="00D9465C" w:rsidRPr="00230801" w:rsidRDefault="00D9465C" w:rsidP="00DD0F28">
            <w:pPr>
              <w:jc w:val="right"/>
              <w:rPr>
                <w:color w:val="000000"/>
                <w:sz w:val="16"/>
                <w:szCs w:val="16"/>
                <w:lang w:eastAsia="en-NZ"/>
              </w:rPr>
            </w:pPr>
          </w:p>
        </w:tc>
      </w:tr>
      <w:tr w:rsidR="00D9465C" w:rsidRPr="003F15C0" w14:paraId="53E9341A" w14:textId="77777777" w:rsidTr="00DD0F28">
        <w:tc>
          <w:tcPr>
            <w:tcW w:w="3119" w:type="dxa"/>
            <w:shd w:val="clear" w:color="auto" w:fill="auto"/>
            <w:vAlign w:val="center"/>
          </w:tcPr>
          <w:p w14:paraId="4104865D" w14:textId="77777777" w:rsidR="00D9465C" w:rsidRPr="00AA4E6C" w:rsidRDefault="00D9465C" w:rsidP="00DD0F28">
            <w:pPr>
              <w:spacing w:before="20"/>
              <w:ind w:left="176"/>
              <w:jc w:val="both"/>
              <w:rPr>
                <w:sz w:val="16"/>
                <w:szCs w:val="16"/>
              </w:rPr>
            </w:pPr>
            <w:r w:rsidRPr="00AA4E6C">
              <w:rPr>
                <w:sz w:val="16"/>
                <w:szCs w:val="16"/>
              </w:rPr>
              <w:t>16 - 30 minutes</w:t>
            </w:r>
          </w:p>
        </w:tc>
        <w:tc>
          <w:tcPr>
            <w:tcW w:w="1048" w:type="dxa"/>
            <w:shd w:val="clear" w:color="auto" w:fill="auto"/>
            <w:vAlign w:val="center"/>
          </w:tcPr>
          <w:p w14:paraId="65A376CC" w14:textId="77777777" w:rsidR="00D9465C" w:rsidRPr="00AA4E6C" w:rsidRDefault="00D9465C" w:rsidP="00DD0F28">
            <w:pPr>
              <w:jc w:val="right"/>
              <w:rPr>
                <w:color w:val="000000"/>
                <w:sz w:val="16"/>
                <w:szCs w:val="20"/>
                <w:lang w:eastAsia="en-NZ"/>
              </w:rPr>
            </w:pPr>
            <w:r w:rsidRPr="00AA4E6C">
              <w:rPr>
                <w:color w:val="000000"/>
                <w:sz w:val="16"/>
                <w:szCs w:val="20"/>
                <w:lang w:eastAsia="en-NZ"/>
              </w:rPr>
              <w:t>5</w:t>
            </w:r>
          </w:p>
        </w:tc>
        <w:tc>
          <w:tcPr>
            <w:tcW w:w="995" w:type="dxa"/>
            <w:shd w:val="clear" w:color="auto" w:fill="auto"/>
            <w:vAlign w:val="center"/>
          </w:tcPr>
          <w:p w14:paraId="4B116838" w14:textId="77777777" w:rsidR="00D9465C" w:rsidRPr="00AA4E6C" w:rsidRDefault="00D9465C" w:rsidP="00DD0F28">
            <w:pPr>
              <w:jc w:val="right"/>
              <w:rPr>
                <w:color w:val="000000"/>
                <w:sz w:val="16"/>
                <w:szCs w:val="20"/>
                <w:lang w:eastAsia="en-NZ"/>
              </w:rPr>
            </w:pPr>
            <w:r w:rsidRPr="00AA4E6C">
              <w:rPr>
                <w:color w:val="000000"/>
                <w:sz w:val="16"/>
                <w:szCs w:val="20"/>
                <w:lang w:eastAsia="en-NZ"/>
              </w:rPr>
              <w:t>0.0</w:t>
            </w:r>
          </w:p>
        </w:tc>
        <w:tc>
          <w:tcPr>
            <w:tcW w:w="1055" w:type="dxa"/>
            <w:shd w:val="clear" w:color="auto" w:fill="auto"/>
            <w:vAlign w:val="center"/>
          </w:tcPr>
          <w:p w14:paraId="75D80CB3"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7C6C1F7E"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5B011756" w14:textId="77777777" w:rsidR="00D9465C" w:rsidRPr="00230801" w:rsidRDefault="00D9465C" w:rsidP="00DD0F28">
            <w:pPr>
              <w:jc w:val="right"/>
              <w:rPr>
                <w:color w:val="000000"/>
                <w:sz w:val="16"/>
                <w:szCs w:val="16"/>
                <w:lang w:eastAsia="en-NZ"/>
              </w:rPr>
            </w:pPr>
          </w:p>
        </w:tc>
      </w:tr>
      <w:tr w:rsidR="00D9465C" w:rsidRPr="003F15C0" w14:paraId="3AE4435F" w14:textId="77777777" w:rsidTr="00DD0F28">
        <w:tc>
          <w:tcPr>
            <w:tcW w:w="3119" w:type="dxa"/>
            <w:shd w:val="clear" w:color="auto" w:fill="auto"/>
            <w:vAlign w:val="center"/>
          </w:tcPr>
          <w:p w14:paraId="3480BEEF" w14:textId="77777777" w:rsidR="00D9465C" w:rsidRPr="00AA4E6C" w:rsidRDefault="00D9465C" w:rsidP="00DD0F28">
            <w:pPr>
              <w:spacing w:before="20"/>
              <w:ind w:left="176"/>
              <w:jc w:val="both"/>
              <w:rPr>
                <w:sz w:val="16"/>
                <w:szCs w:val="16"/>
              </w:rPr>
            </w:pPr>
            <w:r w:rsidRPr="00AA4E6C">
              <w:rPr>
                <w:sz w:val="16"/>
                <w:szCs w:val="16"/>
              </w:rPr>
              <w:t>31 - 60 minutes</w:t>
            </w:r>
          </w:p>
        </w:tc>
        <w:tc>
          <w:tcPr>
            <w:tcW w:w="1048" w:type="dxa"/>
            <w:shd w:val="clear" w:color="auto" w:fill="auto"/>
            <w:vAlign w:val="center"/>
          </w:tcPr>
          <w:p w14:paraId="4A29A978" w14:textId="77777777" w:rsidR="00D9465C" w:rsidRPr="00AA4E6C" w:rsidRDefault="00D9465C" w:rsidP="00DD0F28">
            <w:pPr>
              <w:jc w:val="right"/>
              <w:rPr>
                <w:color w:val="000000"/>
                <w:sz w:val="16"/>
                <w:szCs w:val="20"/>
                <w:lang w:eastAsia="en-NZ"/>
              </w:rPr>
            </w:pPr>
            <w:r w:rsidRPr="00AA4E6C">
              <w:rPr>
                <w:color w:val="000000"/>
                <w:sz w:val="16"/>
                <w:szCs w:val="20"/>
                <w:lang w:eastAsia="en-NZ"/>
              </w:rPr>
              <w:t>3</w:t>
            </w:r>
          </w:p>
        </w:tc>
        <w:tc>
          <w:tcPr>
            <w:tcW w:w="995" w:type="dxa"/>
            <w:shd w:val="clear" w:color="auto" w:fill="auto"/>
            <w:vAlign w:val="center"/>
          </w:tcPr>
          <w:p w14:paraId="3B5747D8" w14:textId="77777777" w:rsidR="00D9465C" w:rsidRPr="00AA4E6C" w:rsidRDefault="00D9465C" w:rsidP="00DD0F28">
            <w:pPr>
              <w:jc w:val="right"/>
              <w:rPr>
                <w:color w:val="000000"/>
                <w:sz w:val="16"/>
                <w:szCs w:val="20"/>
                <w:lang w:eastAsia="en-NZ"/>
              </w:rPr>
            </w:pPr>
            <w:r w:rsidRPr="00AA4E6C">
              <w:rPr>
                <w:color w:val="000000"/>
                <w:sz w:val="16"/>
                <w:szCs w:val="20"/>
                <w:lang w:eastAsia="en-NZ"/>
              </w:rPr>
              <w:t>0.0</w:t>
            </w:r>
          </w:p>
        </w:tc>
        <w:tc>
          <w:tcPr>
            <w:tcW w:w="1055" w:type="dxa"/>
            <w:shd w:val="clear" w:color="auto" w:fill="auto"/>
            <w:vAlign w:val="center"/>
          </w:tcPr>
          <w:p w14:paraId="1E6C0ED9"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32826B75"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50612C10" w14:textId="77777777" w:rsidR="00D9465C" w:rsidRPr="00230801" w:rsidRDefault="00D9465C" w:rsidP="00DD0F28">
            <w:pPr>
              <w:jc w:val="right"/>
              <w:rPr>
                <w:color w:val="000000"/>
                <w:sz w:val="16"/>
                <w:szCs w:val="16"/>
                <w:lang w:eastAsia="en-NZ"/>
              </w:rPr>
            </w:pPr>
          </w:p>
        </w:tc>
      </w:tr>
      <w:tr w:rsidR="00D9465C" w:rsidRPr="003F15C0" w14:paraId="62E02E2F" w14:textId="77777777" w:rsidTr="00DD0F28">
        <w:tc>
          <w:tcPr>
            <w:tcW w:w="3119" w:type="dxa"/>
            <w:shd w:val="clear" w:color="auto" w:fill="auto"/>
            <w:vAlign w:val="center"/>
          </w:tcPr>
          <w:p w14:paraId="61F95A04" w14:textId="77777777" w:rsidR="00D9465C" w:rsidRPr="00AA4E6C" w:rsidRDefault="00D9465C" w:rsidP="00DD0F28">
            <w:pPr>
              <w:spacing w:before="20"/>
              <w:ind w:left="176"/>
              <w:jc w:val="both"/>
              <w:rPr>
                <w:sz w:val="16"/>
                <w:szCs w:val="16"/>
              </w:rPr>
            </w:pPr>
            <w:r w:rsidRPr="00AA4E6C">
              <w:rPr>
                <w:sz w:val="16"/>
                <w:szCs w:val="16"/>
              </w:rPr>
              <w:t>&gt; 60 minutes</w:t>
            </w:r>
          </w:p>
        </w:tc>
        <w:tc>
          <w:tcPr>
            <w:tcW w:w="1048" w:type="dxa"/>
            <w:shd w:val="clear" w:color="auto" w:fill="auto"/>
            <w:vAlign w:val="center"/>
          </w:tcPr>
          <w:p w14:paraId="35FF48BC" w14:textId="77777777" w:rsidR="00D9465C" w:rsidRPr="00AA4E6C" w:rsidRDefault="00D9465C" w:rsidP="00DD0F28">
            <w:pPr>
              <w:jc w:val="right"/>
              <w:rPr>
                <w:color w:val="000000"/>
                <w:sz w:val="16"/>
                <w:szCs w:val="20"/>
                <w:lang w:eastAsia="en-NZ"/>
              </w:rPr>
            </w:pPr>
            <w:r w:rsidRPr="00AA4E6C">
              <w:rPr>
                <w:color w:val="000000"/>
                <w:sz w:val="16"/>
                <w:szCs w:val="20"/>
                <w:lang w:eastAsia="en-NZ"/>
              </w:rPr>
              <w:t>5</w:t>
            </w:r>
          </w:p>
        </w:tc>
        <w:tc>
          <w:tcPr>
            <w:tcW w:w="995" w:type="dxa"/>
            <w:shd w:val="clear" w:color="auto" w:fill="auto"/>
            <w:vAlign w:val="center"/>
          </w:tcPr>
          <w:p w14:paraId="1D9622C0" w14:textId="77777777" w:rsidR="00D9465C" w:rsidRPr="00AA4E6C" w:rsidRDefault="00D9465C" w:rsidP="00DD0F28">
            <w:pPr>
              <w:jc w:val="right"/>
              <w:rPr>
                <w:color w:val="000000"/>
                <w:sz w:val="16"/>
                <w:szCs w:val="20"/>
                <w:lang w:eastAsia="en-NZ"/>
              </w:rPr>
            </w:pPr>
            <w:r w:rsidRPr="00AA4E6C">
              <w:rPr>
                <w:color w:val="000000"/>
                <w:sz w:val="16"/>
                <w:szCs w:val="20"/>
                <w:lang w:eastAsia="en-NZ"/>
              </w:rPr>
              <w:t>53.5</w:t>
            </w:r>
          </w:p>
        </w:tc>
        <w:tc>
          <w:tcPr>
            <w:tcW w:w="1055" w:type="dxa"/>
            <w:shd w:val="clear" w:color="auto" w:fill="auto"/>
            <w:vAlign w:val="center"/>
          </w:tcPr>
          <w:p w14:paraId="23BFDA0C"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121CBDFA"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73B0DB76" w14:textId="77777777" w:rsidR="00D9465C" w:rsidRPr="00230801" w:rsidRDefault="00D9465C" w:rsidP="00DD0F28">
            <w:pPr>
              <w:jc w:val="right"/>
              <w:rPr>
                <w:color w:val="000000"/>
                <w:sz w:val="16"/>
                <w:szCs w:val="16"/>
                <w:lang w:eastAsia="en-NZ"/>
              </w:rPr>
            </w:pPr>
          </w:p>
        </w:tc>
      </w:tr>
      <w:tr w:rsidR="00D9465C" w:rsidRPr="003F15C0" w14:paraId="66965F56" w14:textId="77777777" w:rsidTr="00DD0F28">
        <w:tc>
          <w:tcPr>
            <w:tcW w:w="3119" w:type="dxa"/>
            <w:shd w:val="clear" w:color="auto" w:fill="auto"/>
          </w:tcPr>
          <w:p w14:paraId="4D58A5B4" w14:textId="77777777" w:rsidR="00D9465C" w:rsidRPr="00AA4E6C" w:rsidRDefault="00D9465C" w:rsidP="00DD0F28">
            <w:pPr>
              <w:rPr>
                <w:b/>
                <w:sz w:val="16"/>
                <w:szCs w:val="16"/>
              </w:rPr>
            </w:pPr>
            <w:r w:rsidRPr="00AA4E6C">
              <w:rPr>
                <w:b/>
                <w:sz w:val="16"/>
                <w:szCs w:val="16"/>
              </w:rPr>
              <w:t>Who gambled with</w:t>
            </w:r>
          </w:p>
        </w:tc>
        <w:tc>
          <w:tcPr>
            <w:tcW w:w="1048" w:type="dxa"/>
            <w:shd w:val="clear" w:color="auto" w:fill="auto"/>
            <w:vAlign w:val="center"/>
          </w:tcPr>
          <w:p w14:paraId="5CD9C20E" w14:textId="77777777" w:rsidR="00D9465C" w:rsidRPr="008A1AFE" w:rsidRDefault="00D9465C" w:rsidP="00DD0F28">
            <w:pPr>
              <w:jc w:val="right"/>
              <w:rPr>
                <w:color w:val="000000"/>
                <w:sz w:val="16"/>
                <w:szCs w:val="20"/>
                <w:lang w:eastAsia="en-NZ"/>
              </w:rPr>
            </w:pPr>
          </w:p>
        </w:tc>
        <w:tc>
          <w:tcPr>
            <w:tcW w:w="995" w:type="dxa"/>
            <w:shd w:val="clear" w:color="auto" w:fill="auto"/>
            <w:vAlign w:val="center"/>
          </w:tcPr>
          <w:p w14:paraId="28F680DC" w14:textId="77777777" w:rsidR="00D9465C" w:rsidRPr="008A1AFE" w:rsidRDefault="00D9465C" w:rsidP="00DD0F28">
            <w:pPr>
              <w:jc w:val="right"/>
              <w:rPr>
                <w:color w:val="000000"/>
                <w:sz w:val="16"/>
                <w:szCs w:val="20"/>
                <w:lang w:eastAsia="en-NZ"/>
              </w:rPr>
            </w:pPr>
          </w:p>
        </w:tc>
        <w:tc>
          <w:tcPr>
            <w:tcW w:w="1055" w:type="dxa"/>
            <w:shd w:val="clear" w:color="auto" w:fill="auto"/>
            <w:vAlign w:val="center"/>
          </w:tcPr>
          <w:p w14:paraId="13BA2F5F"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68B812DF"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78B8DA29" w14:textId="77777777" w:rsidR="00D9465C" w:rsidRPr="00230801" w:rsidRDefault="00D9465C" w:rsidP="00DD0F28">
            <w:pPr>
              <w:jc w:val="right"/>
              <w:rPr>
                <w:color w:val="000000"/>
                <w:sz w:val="16"/>
                <w:szCs w:val="16"/>
                <w:lang w:eastAsia="en-NZ"/>
              </w:rPr>
            </w:pPr>
          </w:p>
        </w:tc>
      </w:tr>
      <w:tr w:rsidR="00D9465C" w:rsidRPr="003F15C0" w14:paraId="72772E3A" w14:textId="77777777" w:rsidTr="00DD0F28">
        <w:tc>
          <w:tcPr>
            <w:tcW w:w="3119" w:type="dxa"/>
            <w:shd w:val="clear" w:color="auto" w:fill="auto"/>
          </w:tcPr>
          <w:p w14:paraId="31D45D9B" w14:textId="77777777" w:rsidR="00D9465C" w:rsidRPr="00AA4E6C" w:rsidRDefault="00D9465C" w:rsidP="00DD0F28">
            <w:pPr>
              <w:keepNext/>
              <w:spacing w:before="20"/>
              <w:ind w:left="176"/>
              <w:jc w:val="both"/>
              <w:rPr>
                <w:sz w:val="16"/>
                <w:szCs w:val="16"/>
              </w:rPr>
            </w:pPr>
            <w:r w:rsidRPr="00AA4E6C">
              <w:rPr>
                <w:sz w:val="16"/>
                <w:szCs w:val="16"/>
              </w:rPr>
              <w:t>Alone</w:t>
            </w:r>
          </w:p>
        </w:tc>
        <w:tc>
          <w:tcPr>
            <w:tcW w:w="1048" w:type="dxa"/>
            <w:shd w:val="clear" w:color="auto" w:fill="auto"/>
            <w:vAlign w:val="center"/>
          </w:tcPr>
          <w:p w14:paraId="3B17C459" w14:textId="77777777" w:rsidR="00D9465C" w:rsidRPr="00AA4E6C" w:rsidRDefault="00D9465C" w:rsidP="00DD0F28">
            <w:pPr>
              <w:jc w:val="right"/>
              <w:rPr>
                <w:color w:val="000000"/>
                <w:sz w:val="16"/>
                <w:szCs w:val="20"/>
                <w:lang w:eastAsia="en-NZ"/>
              </w:rPr>
            </w:pPr>
            <w:r w:rsidRPr="00AA4E6C">
              <w:rPr>
                <w:color w:val="000000"/>
                <w:sz w:val="16"/>
                <w:szCs w:val="20"/>
                <w:lang w:eastAsia="en-NZ"/>
              </w:rPr>
              <w:t>9</w:t>
            </w:r>
          </w:p>
        </w:tc>
        <w:tc>
          <w:tcPr>
            <w:tcW w:w="995" w:type="dxa"/>
            <w:shd w:val="clear" w:color="auto" w:fill="auto"/>
            <w:vAlign w:val="center"/>
          </w:tcPr>
          <w:p w14:paraId="19D45749" w14:textId="77777777" w:rsidR="00D9465C" w:rsidRPr="00AA4E6C" w:rsidRDefault="00D9465C" w:rsidP="00DD0F28">
            <w:pPr>
              <w:jc w:val="right"/>
              <w:rPr>
                <w:color w:val="000000"/>
                <w:sz w:val="16"/>
                <w:szCs w:val="20"/>
                <w:lang w:eastAsia="en-NZ"/>
              </w:rPr>
            </w:pPr>
            <w:r w:rsidRPr="00AA4E6C">
              <w:rPr>
                <w:color w:val="000000"/>
                <w:sz w:val="16"/>
                <w:szCs w:val="20"/>
                <w:lang w:eastAsia="en-NZ"/>
              </w:rPr>
              <w:t>2.5</w:t>
            </w:r>
          </w:p>
        </w:tc>
        <w:tc>
          <w:tcPr>
            <w:tcW w:w="1055" w:type="dxa"/>
            <w:shd w:val="clear" w:color="auto" w:fill="auto"/>
            <w:vAlign w:val="center"/>
          </w:tcPr>
          <w:p w14:paraId="022553E8" w14:textId="77777777" w:rsidR="00D9465C" w:rsidRPr="00AA4E6C" w:rsidRDefault="00D9465C" w:rsidP="00DD0F28">
            <w:pPr>
              <w:jc w:val="right"/>
              <w:rPr>
                <w:color w:val="000000"/>
                <w:sz w:val="16"/>
                <w:szCs w:val="20"/>
                <w:lang w:eastAsia="en-NZ"/>
              </w:rPr>
            </w:pPr>
            <w:r w:rsidRPr="00AA4E6C">
              <w:rPr>
                <w:color w:val="000000"/>
                <w:sz w:val="16"/>
                <w:szCs w:val="20"/>
                <w:lang w:eastAsia="en-NZ"/>
              </w:rPr>
              <w:t>1.00</w:t>
            </w:r>
          </w:p>
        </w:tc>
        <w:tc>
          <w:tcPr>
            <w:tcW w:w="1275" w:type="dxa"/>
            <w:shd w:val="clear" w:color="auto" w:fill="auto"/>
            <w:vAlign w:val="center"/>
          </w:tcPr>
          <w:p w14:paraId="6D108A39" w14:textId="77777777" w:rsidR="00D9465C" w:rsidRPr="00AA4E6C" w:rsidRDefault="00D9465C" w:rsidP="00DD0F28">
            <w:pPr>
              <w:jc w:val="right"/>
              <w:rPr>
                <w:color w:val="000000"/>
                <w:sz w:val="16"/>
                <w:szCs w:val="20"/>
                <w:lang w:eastAsia="en-NZ"/>
              </w:rPr>
            </w:pPr>
          </w:p>
        </w:tc>
        <w:tc>
          <w:tcPr>
            <w:tcW w:w="1020" w:type="dxa"/>
            <w:shd w:val="clear" w:color="auto" w:fill="auto"/>
            <w:vAlign w:val="center"/>
          </w:tcPr>
          <w:p w14:paraId="2E93AD96" w14:textId="77777777" w:rsidR="00D9465C" w:rsidRPr="00AA4E6C" w:rsidRDefault="00D9465C" w:rsidP="00DD0F28">
            <w:pPr>
              <w:jc w:val="right"/>
              <w:rPr>
                <w:color w:val="000000"/>
                <w:sz w:val="16"/>
                <w:szCs w:val="20"/>
                <w:lang w:eastAsia="en-NZ"/>
              </w:rPr>
            </w:pPr>
          </w:p>
        </w:tc>
      </w:tr>
      <w:tr w:rsidR="00D9465C" w:rsidRPr="003F15C0" w14:paraId="61BCCEE7" w14:textId="77777777" w:rsidTr="00DD0F28">
        <w:tc>
          <w:tcPr>
            <w:tcW w:w="3119" w:type="dxa"/>
            <w:shd w:val="clear" w:color="auto" w:fill="auto"/>
          </w:tcPr>
          <w:p w14:paraId="613565FF" w14:textId="77777777" w:rsidR="00D9465C" w:rsidRPr="00AA4E6C" w:rsidRDefault="00D9465C" w:rsidP="00DD0F28">
            <w:pPr>
              <w:keepNext/>
              <w:spacing w:before="20"/>
              <w:ind w:left="176"/>
              <w:jc w:val="both"/>
              <w:rPr>
                <w:sz w:val="16"/>
                <w:szCs w:val="16"/>
              </w:rPr>
            </w:pPr>
            <w:r w:rsidRPr="00AA4E6C">
              <w:rPr>
                <w:sz w:val="16"/>
                <w:szCs w:val="16"/>
              </w:rPr>
              <w:t>With one person</w:t>
            </w:r>
          </w:p>
        </w:tc>
        <w:tc>
          <w:tcPr>
            <w:tcW w:w="1048" w:type="dxa"/>
            <w:shd w:val="clear" w:color="auto" w:fill="auto"/>
            <w:vAlign w:val="center"/>
          </w:tcPr>
          <w:p w14:paraId="5896DC73" w14:textId="77777777" w:rsidR="00D9465C" w:rsidRPr="00AA4E6C" w:rsidRDefault="00D9465C" w:rsidP="00DD0F28">
            <w:pPr>
              <w:jc w:val="right"/>
              <w:rPr>
                <w:color w:val="000000"/>
                <w:sz w:val="16"/>
                <w:szCs w:val="20"/>
                <w:lang w:eastAsia="en-NZ"/>
              </w:rPr>
            </w:pPr>
            <w:r w:rsidRPr="00AA4E6C">
              <w:rPr>
                <w:color w:val="000000"/>
                <w:sz w:val="16"/>
                <w:szCs w:val="20"/>
                <w:lang w:eastAsia="en-NZ"/>
              </w:rPr>
              <w:t>9</w:t>
            </w:r>
          </w:p>
        </w:tc>
        <w:tc>
          <w:tcPr>
            <w:tcW w:w="995" w:type="dxa"/>
            <w:shd w:val="clear" w:color="auto" w:fill="auto"/>
            <w:vAlign w:val="center"/>
          </w:tcPr>
          <w:p w14:paraId="2E940870" w14:textId="77777777" w:rsidR="00D9465C" w:rsidRPr="00AA4E6C" w:rsidRDefault="00D9465C" w:rsidP="00DD0F28">
            <w:pPr>
              <w:jc w:val="right"/>
              <w:rPr>
                <w:color w:val="000000"/>
                <w:sz w:val="16"/>
                <w:szCs w:val="20"/>
                <w:lang w:eastAsia="en-NZ"/>
              </w:rPr>
            </w:pPr>
            <w:r w:rsidRPr="00AA4E6C">
              <w:rPr>
                <w:color w:val="000000"/>
                <w:sz w:val="16"/>
                <w:szCs w:val="20"/>
                <w:lang w:eastAsia="en-NZ"/>
              </w:rPr>
              <w:t>6.8</w:t>
            </w:r>
          </w:p>
        </w:tc>
        <w:tc>
          <w:tcPr>
            <w:tcW w:w="1055" w:type="dxa"/>
            <w:shd w:val="clear" w:color="auto" w:fill="auto"/>
            <w:vAlign w:val="center"/>
          </w:tcPr>
          <w:p w14:paraId="0014704E" w14:textId="77777777" w:rsidR="00D9465C" w:rsidRPr="00AA4E6C" w:rsidRDefault="00D9465C" w:rsidP="00DD0F28">
            <w:pPr>
              <w:jc w:val="right"/>
              <w:rPr>
                <w:color w:val="000000"/>
                <w:sz w:val="16"/>
                <w:szCs w:val="20"/>
                <w:lang w:eastAsia="en-NZ"/>
              </w:rPr>
            </w:pPr>
            <w:r w:rsidRPr="00AA4E6C">
              <w:rPr>
                <w:color w:val="000000"/>
                <w:sz w:val="16"/>
                <w:szCs w:val="20"/>
                <w:lang w:eastAsia="en-NZ"/>
              </w:rPr>
              <w:t>2.86</w:t>
            </w:r>
          </w:p>
        </w:tc>
        <w:tc>
          <w:tcPr>
            <w:tcW w:w="1275" w:type="dxa"/>
            <w:shd w:val="clear" w:color="auto" w:fill="auto"/>
            <w:vAlign w:val="center"/>
          </w:tcPr>
          <w:p w14:paraId="2B251BFB" w14:textId="77777777" w:rsidR="00D9465C" w:rsidRPr="00AA4E6C" w:rsidRDefault="00D9465C" w:rsidP="00DD0F28">
            <w:pPr>
              <w:jc w:val="right"/>
              <w:rPr>
                <w:color w:val="000000"/>
                <w:sz w:val="16"/>
                <w:szCs w:val="20"/>
                <w:lang w:eastAsia="en-NZ"/>
              </w:rPr>
            </w:pPr>
            <w:r w:rsidRPr="00AA4E6C">
              <w:rPr>
                <w:color w:val="000000"/>
                <w:sz w:val="16"/>
                <w:szCs w:val="20"/>
                <w:lang w:eastAsia="en-NZ"/>
              </w:rPr>
              <w:t>(0.1</w:t>
            </w:r>
            <w:r>
              <w:rPr>
                <w:color w:val="000000"/>
                <w:sz w:val="16"/>
                <w:szCs w:val="20"/>
                <w:lang w:eastAsia="en-NZ"/>
              </w:rPr>
              <w:t>0</w:t>
            </w:r>
            <w:r w:rsidRPr="00AA4E6C">
              <w:rPr>
                <w:color w:val="000000"/>
                <w:sz w:val="16"/>
                <w:szCs w:val="20"/>
                <w:lang w:eastAsia="en-NZ"/>
              </w:rPr>
              <w:t>, 79.94)</w:t>
            </w:r>
          </w:p>
        </w:tc>
        <w:tc>
          <w:tcPr>
            <w:tcW w:w="1020" w:type="dxa"/>
            <w:shd w:val="clear" w:color="auto" w:fill="auto"/>
            <w:vAlign w:val="center"/>
          </w:tcPr>
          <w:p w14:paraId="49AF3624" w14:textId="77777777" w:rsidR="00D9465C" w:rsidRPr="00AA4E6C" w:rsidRDefault="00D9465C" w:rsidP="00DD0F28">
            <w:pPr>
              <w:jc w:val="right"/>
              <w:rPr>
                <w:color w:val="000000"/>
                <w:sz w:val="16"/>
                <w:szCs w:val="20"/>
                <w:lang w:eastAsia="en-NZ"/>
              </w:rPr>
            </w:pPr>
          </w:p>
        </w:tc>
      </w:tr>
      <w:tr w:rsidR="00D9465C" w:rsidRPr="003F15C0" w14:paraId="6AA78136" w14:textId="77777777" w:rsidTr="00DD0F28">
        <w:tc>
          <w:tcPr>
            <w:tcW w:w="3119" w:type="dxa"/>
            <w:shd w:val="clear" w:color="auto" w:fill="auto"/>
          </w:tcPr>
          <w:p w14:paraId="235A6D3B" w14:textId="77777777" w:rsidR="00D9465C" w:rsidRPr="00AA4E6C" w:rsidRDefault="00D9465C" w:rsidP="00DD0F28">
            <w:pPr>
              <w:keepNext/>
              <w:spacing w:before="20"/>
              <w:ind w:left="176"/>
              <w:jc w:val="both"/>
              <w:rPr>
                <w:sz w:val="16"/>
                <w:szCs w:val="16"/>
              </w:rPr>
            </w:pPr>
            <w:r w:rsidRPr="00AA4E6C">
              <w:rPr>
                <w:sz w:val="16"/>
                <w:szCs w:val="16"/>
              </w:rPr>
              <w:t>With several people/a group</w:t>
            </w:r>
          </w:p>
        </w:tc>
        <w:tc>
          <w:tcPr>
            <w:tcW w:w="1048" w:type="dxa"/>
            <w:shd w:val="clear" w:color="auto" w:fill="auto"/>
            <w:vAlign w:val="center"/>
          </w:tcPr>
          <w:p w14:paraId="5F1D26D4" w14:textId="77777777" w:rsidR="00D9465C" w:rsidRPr="00AA4E6C" w:rsidRDefault="00D9465C" w:rsidP="00DD0F28">
            <w:pPr>
              <w:jc w:val="right"/>
              <w:rPr>
                <w:color w:val="000000"/>
                <w:sz w:val="16"/>
                <w:szCs w:val="20"/>
                <w:lang w:eastAsia="en-NZ"/>
              </w:rPr>
            </w:pPr>
            <w:r w:rsidRPr="00AA4E6C">
              <w:rPr>
                <w:color w:val="000000"/>
                <w:sz w:val="16"/>
                <w:szCs w:val="20"/>
                <w:lang w:eastAsia="en-NZ"/>
              </w:rPr>
              <w:t>12</w:t>
            </w:r>
          </w:p>
        </w:tc>
        <w:tc>
          <w:tcPr>
            <w:tcW w:w="995" w:type="dxa"/>
            <w:shd w:val="clear" w:color="auto" w:fill="auto"/>
            <w:vAlign w:val="center"/>
          </w:tcPr>
          <w:p w14:paraId="7C678E45" w14:textId="77777777" w:rsidR="00D9465C" w:rsidRPr="00AA4E6C" w:rsidRDefault="00D9465C" w:rsidP="00DD0F28">
            <w:pPr>
              <w:jc w:val="right"/>
              <w:rPr>
                <w:color w:val="000000"/>
                <w:sz w:val="16"/>
                <w:szCs w:val="20"/>
                <w:lang w:eastAsia="en-NZ"/>
              </w:rPr>
            </w:pPr>
            <w:r w:rsidRPr="00AA4E6C">
              <w:rPr>
                <w:color w:val="000000"/>
                <w:sz w:val="16"/>
                <w:szCs w:val="20"/>
                <w:lang w:eastAsia="en-NZ"/>
              </w:rPr>
              <w:t>32.8</w:t>
            </w:r>
          </w:p>
        </w:tc>
        <w:tc>
          <w:tcPr>
            <w:tcW w:w="1055" w:type="dxa"/>
            <w:shd w:val="clear" w:color="auto" w:fill="auto"/>
            <w:vAlign w:val="center"/>
          </w:tcPr>
          <w:p w14:paraId="2BC9E58D" w14:textId="77777777" w:rsidR="00D9465C" w:rsidRPr="00AA4E6C" w:rsidRDefault="00D9465C" w:rsidP="00DD0F28">
            <w:pPr>
              <w:jc w:val="right"/>
              <w:rPr>
                <w:color w:val="000000"/>
                <w:sz w:val="16"/>
                <w:szCs w:val="20"/>
                <w:lang w:eastAsia="en-NZ"/>
              </w:rPr>
            </w:pPr>
            <w:r w:rsidRPr="00AA4E6C">
              <w:rPr>
                <w:color w:val="000000"/>
                <w:sz w:val="16"/>
                <w:szCs w:val="20"/>
                <w:lang w:eastAsia="en-NZ"/>
              </w:rPr>
              <w:t>19.23</w:t>
            </w:r>
          </w:p>
        </w:tc>
        <w:tc>
          <w:tcPr>
            <w:tcW w:w="1275" w:type="dxa"/>
            <w:shd w:val="clear" w:color="auto" w:fill="auto"/>
            <w:vAlign w:val="center"/>
          </w:tcPr>
          <w:p w14:paraId="7B782F0E" w14:textId="77777777" w:rsidR="00D9465C" w:rsidRPr="00AA4E6C" w:rsidRDefault="00D9465C" w:rsidP="00DD0F28">
            <w:pPr>
              <w:jc w:val="right"/>
              <w:rPr>
                <w:color w:val="000000"/>
                <w:sz w:val="16"/>
                <w:szCs w:val="20"/>
                <w:lang w:eastAsia="en-NZ"/>
              </w:rPr>
            </w:pPr>
            <w:r w:rsidRPr="00AA4E6C">
              <w:rPr>
                <w:color w:val="000000"/>
                <w:sz w:val="16"/>
                <w:szCs w:val="20"/>
                <w:lang w:eastAsia="en-NZ"/>
              </w:rPr>
              <w:t>(1.52, 244.21)</w:t>
            </w:r>
          </w:p>
        </w:tc>
        <w:tc>
          <w:tcPr>
            <w:tcW w:w="1020" w:type="dxa"/>
            <w:shd w:val="clear" w:color="auto" w:fill="auto"/>
            <w:vAlign w:val="center"/>
          </w:tcPr>
          <w:p w14:paraId="4CB22E50" w14:textId="77777777" w:rsidR="00D9465C" w:rsidRPr="00AA4E6C" w:rsidRDefault="00D9465C" w:rsidP="00DD0F28">
            <w:pPr>
              <w:jc w:val="right"/>
              <w:rPr>
                <w:color w:val="000000"/>
                <w:sz w:val="16"/>
                <w:szCs w:val="20"/>
                <w:lang w:eastAsia="en-NZ"/>
              </w:rPr>
            </w:pPr>
            <w:r w:rsidRPr="00AA4E6C">
              <w:rPr>
                <w:color w:val="000000"/>
                <w:sz w:val="16"/>
                <w:szCs w:val="20"/>
                <w:lang w:eastAsia="en-NZ"/>
              </w:rPr>
              <w:t>0.04</w:t>
            </w:r>
          </w:p>
        </w:tc>
      </w:tr>
      <w:tr w:rsidR="00D9465C" w:rsidRPr="003F15C0" w14:paraId="031CA56E" w14:textId="77777777" w:rsidTr="00DD0F28">
        <w:tc>
          <w:tcPr>
            <w:tcW w:w="3119" w:type="dxa"/>
            <w:shd w:val="clear" w:color="auto" w:fill="auto"/>
          </w:tcPr>
          <w:p w14:paraId="3714DFC4" w14:textId="77777777" w:rsidR="00D9465C" w:rsidRPr="00AA4E6C" w:rsidRDefault="00D9465C" w:rsidP="00DD0F28">
            <w:pPr>
              <w:rPr>
                <w:b/>
                <w:sz w:val="16"/>
                <w:szCs w:val="16"/>
              </w:rPr>
            </w:pPr>
            <w:r w:rsidRPr="00AA4E6C">
              <w:rPr>
                <w:b/>
                <w:sz w:val="16"/>
                <w:szCs w:val="16"/>
              </w:rPr>
              <w:t>Trusted person manages the money</w:t>
            </w:r>
          </w:p>
        </w:tc>
        <w:tc>
          <w:tcPr>
            <w:tcW w:w="1048" w:type="dxa"/>
            <w:shd w:val="clear" w:color="auto" w:fill="auto"/>
            <w:vAlign w:val="center"/>
          </w:tcPr>
          <w:p w14:paraId="36D9324D" w14:textId="77777777" w:rsidR="00D9465C" w:rsidRPr="008A1AFE" w:rsidRDefault="00D9465C" w:rsidP="00DD0F28">
            <w:pPr>
              <w:jc w:val="right"/>
              <w:rPr>
                <w:color w:val="000000"/>
                <w:sz w:val="16"/>
                <w:szCs w:val="20"/>
                <w:lang w:eastAsia="en-NZ"/>
              </w:rPr>
            </w:pPr>
          </w:p>
        </w:tc>
        <w:tc>
          <w:tcPr>
            <w:tcW w:w="995" w:type="dxa"/>
            <w:shd w:val="clear" w:color="auto" w:fill="auto"/>
            <w:vAlign w:val="center"/>
          </w:tcPr>
          <w:p w14:paraId="456B947B" w14:textId="77777777" w:rsidR="00D9465C" w:rsidRPr="008A1AFE" w:rsidRDefault="00D9465C" w:rsidP="00DD0F28">
            <w:pPr>
              <w:jc w:val="right"/>
              <w:rPr>
                <w:color w:val="000000"/>
                <w:sz w:val="16"/>
                <w:szCs w:val="20"/>
                <w:lang w:eastAsia="en-NZ"/>
              </w:rPr>
            </w:pPr>
          </w:p>
        </w:tc>
        <w:tc>
          <w:tcPr>
            <w:tcW w:w="1055" w:type="dxa"/>
            <w:shd w:val="clear" w:color="auto" w:fill="auto"/>
            <w:vAlign w:val="center"/>
          </w:tcPr>
          <w:p w14:paraId="4B2C0AB9"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73A44574"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000962B7" w14:textId="77777777" w:rsidR="00D9465C" w:rsidRPr="00230801" w:rsidRDefault="00D9465C" w:rsidP="00DD0F28">
            <w:pPr>
              <w:jc w:val="right"/>
              <w:rPr>
                <w:color w:val="000000"/>
                <w:sz w:val="16"/>
                <w:szCs w:val="16"/>
                <w:lang w:eastAsia="en-NZ"/>
              </w:rPr>
            </w:pPr>
          </w:p>
        </w:tc>
      </w:tr>
      <w:tr w:rsidR="00D9465C" w:rsidRPr="003F15C0" w14:paraId="7319DF5E" w14:textId="77777777" w:rsidTr="00DD0F28">
        <w:tc>
          <w:tcPr>
            <w:tcW w:w="3119" w:type="dxa"/>
            <w:shd w:val="clear" w:color="auto" w:fill="auto"/>
          </w:tcPr>
          <w:p w14:paraId="7D03211C"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7C1A26D9" w14:textId="77777777" w:rsidR="00D9465C" w:rsidRPr="00AA4E6C" w:rsidRDefault="00D9465C" w:rsidP="00DD0F28">
            <w:pPr>
              <w:jc w:val="right"/>
              <w:rPr>
                <w:color w:val="000000"/>
                <w:sz w:val="16"/>
                <w:szCs w:val="20"/>
                <w:lang w:eastAsia="en-NZ"/>
              </w:rPr>
            </w:pPr>
            <w:r w:rsidRPr="00AA4E6C">
              <w:rPr>
                <w:color w:val="000000"/>
                <w:sz w:val="16"/>
                <w:szCs w:val="20"/>
                <w:lang w:eastAsia="en-NZ"/>
              </w:rPr>
              <w:t>29</w:t>
            </w:r>
          </w:p>
        </w:tc>
        <w:tc>
          <w:tcPr>
            <w:tcW w:w="995" w:type="dxa"/>
            <w:shd w:val="clear" w:color="auto" w:fill="auto"/>
            <w:vAlign w:val="center"/>
          </w:tcPr>
          <w:p w14:paraId="12514E64" w14:textId="77777777" w:rsidR="00D9465C" w:rsidRPr="00AA4E6C" w:rsidRDefault="00D9465C" w:rsidP="00DD0F28">
            <w:pPr>
              <w:jc w:val="right"/>
              <w:rPr>
                <w:color w:val="000000"/>
                <w:sz w:val="16"/>
                <w:szCs w:val="20"/>
                <w:lang w:eastAsia="en-NZ"/>
              </w:rPr>
            </w:pPr>
            <w:r w:rsidRPr="00AA4E6C">
              <w:rPr>
                <w:color w:val="000000"/>
                <w:sz w:val="16"/>
                <w:szCs w:val="20"/>
                <w:lang w:eastAsia="en-NZ"/>
              </w:rPr>
              <w:t>15.9</w:t>
            </w:r>
          </w:p>
        </w:tc>
        <w:tc>
          <w:tcPr>
            <w:tcW w:w="1055" w:type="dxa"/>
            <w:shd w:val="clear" w:color="auto" w:fill="auto"/>
            <w:vAlign w:val="center"/>
          </w:tcPr>
          <w:p w14:paraId="54391A09"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2DA89E97"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38D8E019" w14:textId="77777777" w:rsidR="00D9465C" w:rsidRPr="00230801" w:rsidRDefault="00D9465C" w:rsidP="00DD0F28">
            <w:pPr>
              <w:jc w:val="right"/>
              <w:rPr>
                <w:color w:val="000000"/>
                <w:sz w:val="16"/>
                <w:szCs w:val="16"/>
                <w:lang w:eastAsia="en-NZ"/>
              </w:rPr>
            </w:pPr>
          </w:p>
        </w:tc>
      </w:tr>
      <w:tr w:rsidR="00D9465C" w:rsidRPr="003F15C0" w14:paraId="5D6758E4" w14:textId="77777777" w:rsidTr="00DD0F28">
        <w:tc>
          <w:tcPr>
            <w:tcW w:w="3119" w:type="dxa"/>
            <w:shd w:val="clear" w:color="auto" w:fill="auto"/>
          </w:tcPr>
          <w:p w14:paraId="429B1382"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shd w:val="clear" w:color="auto" w:fill="auto"/>
            <w:vAlign w:val="center"/>
          </w:tcPr>
          <w:p w14:paraId="52482D87" w14:textId="77777777" w:rsidR="00D9465C" w:rsidRPr="00AA4E6C" w:rsidRDefault="00D9465C" w:rsidP="00DD0F28">
            <w:pPr>
              <w:jc w:val="right"/>
              <w:rPr>
                <w:color w:val="000000"/>
                <w:sz w:val="16"/>
                <w:szCs w:val="20"/>
                <w:lang w:eastAsia="en-NZ"/>
              </w:rPr>
            </w:pPr>
            <w:r w:rsidRPr="00AA4E6C">
              <w:rPr>
                <w:color w:val="000000"/>
                <w:sz w:val="16"/>
                <w:szCs w:val="20"/>
                <w:lang w:eastAsia="en-NZ"/>
              </w:rPr>
              <w:t>1</w:t>
            </w:r>
          </w:p>
        </w:tc>
        <w:tc>
          <w:tcPr>
            <w:tcW w:w="995" w:type="dxa"/>
            <w:shd w:val="clear" w:color="auto" w:fill="auto"/>
            <w:vAlign w:val="center"/>
          </w:tcPr>
          <w:p w14:paraId="360782F0" w14:textId="77777777" w:rsidR="00D9465C" w:rsidRPr="00AA4E6C" w:rsidRDefault="00D9465C" w:rsidP="00DD0F28">
            <w:pPr>
              <w:jc w:val="right"/>
              <w:rPr>
                <w:color w:val="000000"/>
                <w:sz w:val="16"/>
                <w:szCs w:val="20"/>
                <w:lang w:eastAsia="en-NZ"/>
              </w:rPr>
            </w:pPr>
            <w:r w:rsidRPr="00AA4E6C">
              <w:rPr>
                <w:color w:val="000000"/>
                <w:sz w:val="16"/>
                <w:szCs w:val="20"/>
                <w:lang w:eastAsia="en-NZ"/>
              </w:rPr>
              <w:t>0.0</w:t>
            </w:r>
          </w:p>
        </w:tc>
        <w:tc>
          <w:tcPr>
            <w:tcW w:w="1055" w:type="dxa"/>
            <w:shd w:val="clear" w:color="auto" w:fill="auto"/>
            <w:vAlign w:val="center"/>
          </w:tcPr>
          <w:p w14:paraId="5937046E"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2EB1E899"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7A34F9FD" w14:textId="77777777" w:rsidR="00D9465C" w:rsidRPr="00230801" w:rsidRDefault="00D9465C" w:rsidP="00DD0F28">
            <w:pPr>
              <w:jc w:val="right"/>
              <w:rPr>
                <w:color w:val="000000"/>
                <w:sz w:val="16"/>
                <w:szCs w:val="16"/>
                <w:lang w:eastAsia="en-NZ"/>
              </w:rPr>
            </w:pPr>
          </w:p>
        </w:tc>
      </w:tr>
      <w:tr w:rsidR="00D9465C" w:rsidRPr="003F15C0" w14:paraId="4732BD0A" w14:textId="77777777" w:rsidTr="00DD0F28">
        <w:tc>
          <w:tcPr>
            <w:tcW w:w="3119" w:type="dxa"/>
            <w:shd w:val="clear" w:color="auto" w:fill="auto"/>
          </w:tcPr>
          <w:p w14:paraId="60CA17F0" w14:textId="77777777" w:rsidR="00D9465C" w:rsidRPr="00AA4E6C" w:rsidRDefault="00D9465C" w:rsidP="00DD0F28">
            <w:pPr>
              <w:rPr>
                <w:b/>
                <w:sz w:val="16"/>
                <w:szCs w:val="16"/>
              </w:rPr>
            </w:pPr>
            <w:r w:rsidRPr="00AA4E6C">
              <w:rPr>
                <w:b/>
                <w:sz w:val="16"/>
                <w:szCs w:val="16"/>
              </w:rPr>
              <w:t>Set a time limit</w:t>
            </w:r>
          </w:p>
        </w:tc>
        <w:tc>
          <w:tcPr>
            <w:tcW w:w="1048" w:type="dxa"/>
            <w:shd w:val="clear" w:color="auto" w:fill="auto"/>
            <w:vAlign w:val="center"/>
          </w:tcPr>
          <w:p w14:paraId="44054EB8" w14:textId="77777777" w:rsidR="00D9465C" w:rsidRPr="008A1AFE" w:rsidRDefault="00D9465C" w:rsidP="00DD0F28">
            <w:pPr>
              <w:jc w:val="right"/>
              <w:rPr>
                <w:color w:val="000000"/>
                <w:sz w:val="16"/>
                <w:szCs w:val="20"/>
                <w:lang w:eastAsia="en-NZ"/>
              </w:rPr>
            </w:pPr>
          </w:p>
        </w:tc>
        <w:tc>
          <w:tcPr>
            <w:tcW w:w="995" w:type="dxa"/>
            <w:shd w:val="clear" w:color="auto" w:fill="auto"/>
            <w:vAlign w:val="center"/>
          </w:tcPr>
          <w:p w14:paraId="1AA9BE57" w14:textId="77777777" w:rsidR="00D9465C" w:rsidRPr="008A1AFE" w:rsidRDefault="00D9465C" w:rsidP="00DD0F28">
            <w:pPr>
              <w:jc w:val="right"/>
              <w:rPr>
                <w:color w:val="000000"/>
                <w:sz w:val="16"/>
                <w:szCs w:val="20"/>
                <w:lang w:eastAsia="en-NZ"/>
              </w:rPr>
            </w:pPr>
          </w:p>
        </w:tc>
        <w:tc>
          <w:tcPr>
            <w:tcW w:w="1055" w:type="dxa"/>
            <w:shd w:val="clear" w:color="auto" w:fill="auto"/>
            <w:vAlign w:val="center"/>
          </w:tcPr>
          <w:p w14:paraId="7CF7CCBE"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49769D9E"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66899555" w14:textId="77777777" w:rsidR="00D9465C" w:rsidRPr="00230801" w:rsidRDefault="00D9465C" w:rsidP="00DD0F28">
            <w:pPr>
              <w:jc w:val="right"/>
              <w:rPr>
                <w:color w:val="000000"/>
                <w:sz w:val="16"/>
                <w:szCs w:val="16"/>
                <w:lang w:eastAsia="en-NZ"/>
              </w:rPr>
            </w:pPr>
          </w:p>
        </w:tc>
      </w:tr>
      <w:tr w:rsidR="00D9465C" w:rsidRPr="003F15C0" w14:paraId="7C588C77" w14:textId="77777777" w:rsidTr="00DD0F28">
        <w:tc>
          <w:tcPr>
            <w:tcW w:w="3119" w:type="dxa"/>
            <w:shd w:val="clear" w:color="auto" w:fill="auto"/>
          </w:tcPr>
          <w:p w14:paraId="008AF656" w14:textId="77777777" w:rsidR="00D9465C" w:rsidRPr="003F15C0" w:rsidRDefault="00D9465C" w:rsidP="00DD0F28">
            <w:pPr>
              <w:spacing w:before="20"/>
              <w:ind w:left="176"/>
              <w:jc w:val="both"/>
              <w:rPr>
                <w:sz w:val="16"/>
                <w:szCs w:val="16"/>
              </w:rPr>
            </w:pPr>
            <w:r w:rsidRPr="003F15C0">
              <w:rPr>
                <w:sz w:val="16"/>
                <w:szCs w:val="16"/>
              </w:rPr>
              <w:t>No</w:t>
            </w:r>
          </w:p>
        </w:tc>
        <w:tc>
          <w:tcPr>
            <w:tcW w:w="1048" w:type="dxa"/>
            <w:shd w:val="clear" w:color="auto" w:fill="auto"/>
            <w:vAlign w:val="center"/>
          </w:tcPr>
          <w:p w14:paraId="6E190294" w14:textId="77777777" w:rsidR="00D9465C" w:rsidRPr="00AA4E6C" w:rsidRDefault="00D9465C" w:rsidP="00DD0F28">
            <w:pPr>
              <w:jc w:val="right"/>
              <w:rPr>
                <w:color w:val="000000"/>
                <w:sz w:val="16"/>
                <w:szCs w:val="20"/>
                <w:lang w:eastAsia="en-NZ"/>
              </w:rPr>
            </w:pPr>
            <w:r w:rsidRPr="00AA4E6C">
              <w:rPr>
                <w:color w:val="000000"/>
                <w:sz w:val="16"/>
                <w:szCs w:val="20"/>
                <w:lang w:eastAsia="en-NZ"/>
              </w:rPr>
              <w:t>30</w:t>
            </w:r>
          </w:p>
        </w:tc>
        <w:tc>
          <w:tcPr>
            <w:tcW w:w="995" w:type="dxa"/>
            <w:shd w:val="clear" w:color="auto" w:fill="auto"/>
            <w:vAlign w:val="center"/>
          </w:tcPr>
          <w:p w14:paraId="5084D097" w14:textId="77777777" w:rsidR="00D9465C" w:rsidRPr="00AA4E6C" w:rsidRDefault="00D9465C" w:rsidP="00DD0F28">
            <w:pPr>
              <w:jc w:val="right"/>
              <w:rPr>
                <w:color w:val="000000"/>
                <w:sz w:val="16"/>
                <w:szCs w:val="20"/>
                <w:lang w:eastAsia="en-NZ"/>
              </w:rPr>
            </w:pPr>
            <w:r w:rsidRPr="00AA4E6C">
              <w:rPr>
                <w:color w:val="000000"/>
                <w:sz w:val="16"/>
                <w:szCs w:val="20"/>
                <w:lang w:eastAsia="en-NZ"/>
              </w:rPr>
              <w:t>15.5</w:t>
            </w:r>
          </w:p>
        </w:tc>
        <w:tc>
          <w:tcPr>
            <w:tcW w:w="1055" w:type="dxa"/>
            <w:shd w:val="clear" w:color="auto" w:fill="auto"/>
            <w:vAlign w:val="center"/>
          </w:tcPr>
          <w:p w14:paraId="12431ABB"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336544A9"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4F07E13C" w14:textId="77777777" w:rsidR="00D9465C" w:rsidRPr="001E5F6F" w:rsidRDefault="00D9465C" w:rsidP="00DD0F28">
            <w:pPr>
              <w:jc w:val="right"/>
              <w:rPr>
                <w:color w:val="000000"/>
                <w:sz w:val="16"/>
                <w:szCs w:val="16"/>
                <w:lang w:eastAsia="en-NZ"/>
              </w:rPr>
            </w:pPr>
          </w:p>
        </w:tc>
      </w:tr>
      <w:tr w:rsidR="00D9465C" w:rsidRPr="003F15C0" w14:paraId="2C3975A3" w14:textId="77777777" w:rsidTr="00DD0F28">
        <w:tc>
          <w:tcPr>
            <w:tcW w:w="3119" w:type="dxa"/>
            <w:shd w:val="clear" w:color="auto" w:fill="auto"/>
          </w:tcPr>
          <w:p w14:paraId="6C11B0FB" w14:textId="77777777" w:rsidR="00D9465C" w:rsidRPr="003F15C0" w:rsidRDefault="00D9465C" w:rsidP="00DD0F28">
            <w:pPr>
              <w:spacing w:before="20"/>
              <w:ind w:left="176"/>
              <w:jc w:val="both"/>
              <w:rPr>
                <w:sz w:val="16"/>
                <w:szCs w:val="16"/>
              </w:rPr>
            </w:pPr>
            <w:r w:rsidRPr="003F15C0">
              <w:rPr>
                <w:sz w:val="16"/>
                <w:szCs w:val="16"/>
              </w:rPr>
              <w:t>Yes</w:t>
            </w:r>
          </w:p>
        </w:tc>
        <w:tc>
          <w:tcPr>
            <w:tcW w:w="1048" w:type="dxa"/>
            <w:shd w:val="clear" w:color="auto" w:fill="auto"/>
            <w:vAlign w:val="center"/>
          </w:tcPr>
          <w:p w14:paraId="7DBF81D8" w14:textId="77777777" w:rsidR="00D9465C" w:rsidRPr="00AA4E6C" w:rsidRDefault="00D9465C" w:rsidP="00DD0F28">
            <w:pPr>
              <w:jc w:val="right"/>
              <w:rPr>
                <w:color w:val="000000"/>
                <w:sz w:val="16"/>
                <w:szCs w:val="20"/>
                <w:lang w:eastAsia="en-NZ"/>
              </w:rPr>
            </w:pPr>
            <w:r w:rsidRPr="00AA4E6C">
              <w:rPr>
                <w:color w:val="000000"/>
                <w:sz w:val="16"/>
                <w:szCs w:val="20"/>
                <w:lang w:eastAsia="en-NZ"/>
              </w:rPr>
              <w:t>0.1</w:t>
            </w:r>
          </w:p>
        </w:tc>
        <w:tc>
          <w:tcPr>
            <w:tcW w:w="995" w:type="dxa"/>
            <w:shd w:val="clear" w:color="auto" w:fill="auto"/>
            <w:vAlign w:val="center"/>
          </w:tcPr>
          <w:p w14:paraId="36E534A1" w14:textId="77777777" w:rsidR="00D9465C" w:rsidRPr="00AA4E6C" w:rsidRDefault="00D9465C" w:rsidP="00DD0F28">
            <w:pPr>
              <w:jc w:val="right"/>
              <w:rPr>
                <w:color w:val="000000"/>
                <w:sz w:val="16"/>
                <w:szCs w:val="20"/>
                <w:lang w:eastAsia="en-NZ"/>
              </w:rPr>
            </w:pPr>
            <w:r w:rsidRPr="00AA4E6C">
              <w:rPr>
                <w:color w:val="000000"/>
                <w:sz w:val="16"/>
                <w:szCs w:val="20"/>
                <w:lang w:eastAsia="en-NZ"/>
              </w:rPr>
              <w:t>0.0</w:t>
            </w:r>
          </w:p>
        </w:tc>
        <w:tc>
          <w:tcPr>
            <w:tcW w:w="1055" w:type="dxa"/>
            <w:shd w:val="clear" w:color="auto" w:fill="auto"/>
            <w:vAlign w:val="center"/>
          </w:tcPr>
          <w:p w14:paraId="1220D364" w14:textId="77777777" w:rsidR="00D9465C" w:rsidRPr="00230801" w:rsidRDefault="00D9465C" w:rsidP="00DD0F28">
            <w:pPr>
              <w:jc w:val="right"/>
              <w:rPr>
                <w:color w:val="000000"/>
                <w:sz w:val="16"/>
                <w:szCs w:val="16"/>
                <w:lang w:eastAsia="en-NZ"/>
              </w:rPr>
            </w:pPr>
          </w:p>
        </w:tc>
        <w:tc>
          <w:tcPr>
            <w:tcW w:w="1275" w:type="dxa"/>
            <w:shd w:val="clear" w:color="auto" w:fill="auto"/>
            <w:vAlign w:val="center"/>
          </w:tcPr>
          <w:p w14:paraId="105A6113" w14:textId="77777777" w:rsidR="00D9465C" w:rsidRPr="00230801" w:rsidRDefault="00D9465C" w:rsidP="00DD0F28">
            <w:pPr>
              <w:jc w:val="right"/>
              <w:rPr>
                <w:color w:val="000000"/>
                <w:sz w:val="16"/>
                <w:szCs w:val="16"/>
                <w:lang w:eastAsia="en-NZ"/>
              </w:rPr>
            </w:pPr>
          </w:p>
        </w:tc>
        <w:tc>
          <w:tcPr>
            <w:tcW w:w="1020" w:type="dxa"/>
            <w:shd w:val="clear" w:color="auto" w:fill="auto"/>
            <w:vAlign w:val="center"/>
          </w:tcPr>
          <w:p w14:paraId="764ABCCA" w14:textId="77777777" w:rsidR="00D9465C" w:rsidRPr="001E5F6F" w:rsidRDefault="00D9465C" w:rsidP="00DD0F28">
            <w:pPr>
              <w:jc w:val="right"/>
              <w:rPr>
                <w:color w:val="000000"/>
                <w:sz w:val="16"/>
                <w:szCs w:val="16"/>
                <w:lang w:eastAsia="en-NZ"/>
              </w:rPr>
            </w:pPr>
          </w:p>
        </w:tc>
      </w:tr>
      <w:tr w:rsidR="00D9465C" w:rsidRPr="001A61F1" w14:paraId="188115FD" w14:textId="77777777" w:rsidTr="00DD0F28">
        <w:tc>
          <w:tcPr>
            <w:tcW w:w="4167" w:type="dxa"/>
            <w:gridSpan w:val="2"/>
            <w:vAlign w:val="bottom"/>
          </w:tcPr>
          <w:p w14:paraId="3362C98E" w14:textId="77777777" w:rsidR="00D9465C" w:rsidRPr="00637CF2" w:rsidRDefault="00D9465C" w:rsidP="00DD0F28">
            <w:pPr>
              <w:rPr>
                <w:color w:val="000000"/>
                <w:sz w:val="16"/>
                <w:szCs w:val="16"/>
                <w:lang w:eastAsia="en-NZ"/>
              </w:rPr>
            </w:pPr>
            <w:r w:rsidRPr="008C5F0C">
              <w:rPr>
                <w:b/>
                <w:sz w:val="16"/>
                <w:szCs w:val="16"/>
              </w:rPr>
              <w:t xml:space="preserve">Sought help (from formal sources) - </w:t>
            </w:r>
            <w:r>
              <w:rPr>
                <w:b/>
                <w:sz w:val="16"/>
                <w:szCs w:val="16"/>
              </w:rPr>
              <w:t>in last year</w:t>
            </w:r>
          </w:p>
        </w:tc>
        <w:tc>
          <w:tcPr>
            <w:tcW w:w="995" w:type="dxa"/>
            <w:shd w:val="clear" w:color="auto" w:fill="auto"/>
            <w:vAlign w:val="center"/>
          </w:tcPr>
          <w:p w14:paraId="6FDB102B" w14:textId="77777777" w:rsidR="00D9465C" w:rsidRPr="00637CF2" w:rsidRDefault="00D9465C" w:rsidP="00DD0F28">
            <w:pPr>
              <w:jc w:val="right"/>
              <w:rPr>
                <w:color w:val="000000"/>
                <w:sz w:val="16"/>
                <w:szCs w:val="16"/>
                <w:lang w:eastAsia="en-NZ"/>
              </w:rPr>
            </w:pPr>
          </w:p>
        </w:tc>
        <w:tc>
          <w:tcPr>
            <w:tcW w:w="1055" w:type="dxa"/>
            <w:shd w:val="clear" w:color="auto" w:fill="auto"/>
            <w:vAlign w:val="center"/>
          </w:tcPr>
          <w:p w14:paraId="42083BAE"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50E65801"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2FCAF761" w14:textId="77777777" w:rsidR="00D9465C" w:rsidRPr="00637CF2" w:rsidRDefault="00D9465C" w:rsidP="00DD0F28">
            <w:pPr>
              <w:jc w:val="right"/>
              <w:rPr>
                <w:color w:val="000000"/>
                <w:sz w:val="16"/>
                <w:szCs w:val="16"/>
                <w:lang w:eastAsia="en-NZ"/>
              </w:rPr>
            </w:pPr>
          </w:p>
        </w:tc>
      </w:tr>
      <w:tr w:rsidR="00D9465C" w:rsidRPr="001A61F1" w14:paraId="48389D18" w14:textId="77777777" w:rsidTr="00DD0F28">
        <w:tc>
          <w:tcPr>
            <w:tcW w:w="3119" w:type="dxa"/>
          </w:tcPr>
          <w:p w14:paraId="2B3544E8" w14:textId="77777777" w:rsidR="00D9465C" w:rsidRPr="001A61F1" w:rsidRDefault="00D9465C" w:rsidP="00DD0F28">
            <w:pPr>
              <w:spacing w:before="20"/>
              <w:ind w:left="176"/>
              <w:jc w:val="both"/>
              <w:rPr>
                <w:sz w:val="16"/>
                <w:szCs w:val="16"/>
              </w:rPr>
            </w:pPr>
            <w:r w:rsidRPr="001A61F1">
              <w:rPr>
                <w:sz w:val="16"/>
                <w:szCs w:val="16"/>
              </w:rPr>
              <w:t>No</w:t>
            </w:r>
          </w:p>
        </w:tc>
        <w:tc>
          <w:tcPr>
            <w:tcW w:w="1048" w:type="dxa"/>
            <w:shd w:val="clear" w:color="auto" w:fill="auto"/>
            <w:vAlign w:val="center"/>
          </w:tcPr>
          <w:p w14:paraId="35A14263" w14:textId="77777777" w:rsidR="00D9465C" w:rsidRPr="00AA4E6C" w:rsidRDefault="00D9465C" w:rsidP="00DD0F28">
            <w:pPr>
              <w:jc w:val="right"/>
              <w:rPr>
                <w:color w:val="000000"/>
                <w:sz w:val="16"/>
                <w:szCs w:val="20"/>
                <w:lang w:eastAsia="en-NZ"/>
              </w:rPr>
            </w:pPr>
            <w:r w:rsidRPr="00AA4E6C">
              <w:rPr>
                <w:color w:val="000000"/>
                <w:sz w:val="16"/>
                <w:szCs w:val="20"/>
                <w:lang w:eastAsia="en-NZ"/>
              </w:rPr>
              <w:t>30</w:t>
            </w:r>
          </w:p>
        </w:tc>
        <w:tc>
          <w:tcPr>
            <w:tcW w:w="995" w:type="dxa"/>
            <w:shd w:val="clear" w:color="auto" w:fill="auto"/>
            <w:vAlign w:val="center"/>
          </w:tcPr>
          <w:p w14:paraId="067C9C19" w14:textId="77777777" w:rsidR="00D9465C" w:rsidRPr="00AA4E6C" w:rsidRDefault="00D9465C" w:rsidP="00DD0F28">
            <w:pPr>
              <w:jc w:val="right"/>
              <w:rPr>
                <w:color w:val="000000"/>
                <w:sz w:val="16"/>
                <w:szCs w:val="20"/>
                <w:lang w:eastAsia="en-NZ"/>
              </w:rPr>
            </w:pPr>
            <w:r w:rsidRPr="00AA4E6C">
              <w:rPr>
                <w:color w:val="000000"/>
                <w:sz w:val="16"/>
                <w:szCs w:val="20"/>
                <w:lang w:eastAsia="en-NZ"/>
              </w:rPr>
              <w:t>15.6</w:t>
            </w:r>
          </w:p>
        </w:tc>
        <w:tc>
          <w:tcPr>
            <w:tcW w:w="1055" w:type="dxa"/>
            <w:shd w:val="clear" w:color="auto" w:fill="auto"/>
            <w:vAlign w:val="center"/>
          </w:tcPr>
          <w:p w14:paraId="757D0D2C" w14:textId="77777777" w:rsidR="00D9465C" w:rsidRPr="00637CF2" w:rsidRDefault="00D9465C" w:rsidP="00DD0F28">
            <w:pPr>
              <w:jc w:val="right"/>
              <w:rPr>
                <w:color w:val="000000"/>
                <w:sz w:val="16"/>
                <w:szCs w:val="16"/>
                <w:lang w:eastAsia="en-NZ"/>
              </w:rPr>
            </w:pPr>
          </w:p>
        </w:tc>
        <w:tc>
          <w:tcPr>
            <w:tcW w:w="1275" w:type="dxa"/>
            <w:shd w:val="clear" w:color="auto" w:fill="auto"/>
            <w:vAlign w:val="center"/>
          </w:tcPr>
          <w:p w14:paraId="596F43A0" w14:textId="77777777" w:rsidR="00D9465C" w:rsidRPr="00637CF2" w:rsidRDefault="00D9465C" w:rsidP="00DD0F28">
            <w:pPr>
              <w:jc w:val="right"/>
              <w:rPr>
                <w:color w:val="000000"/>
                <w:sz w:val="16"/>
                <w:szCs w:val="16"/>
                <w:lang w:eastAsia="en-NZ"/>
              </w:rPr>
            </w:pPr>
          </w:p>
        </w:tc>
        <w:tc>
          <w:tcPr>
            <w:tcW w:w="1020" w:type="dxa"/>
            <w:shd w:val="clear" w:color="auto" w:fill="auto"/>
            <w:vAlign w:val="center"/>
          </w:tcPr>
          <w:p w14:paraId="1C8227AB" w14:textId="77777777" w:rsidR="00D9465C" w:rsidRPr="00637CF2" w:rsidRDefault="00D9465C" w:rsidP="00DD0F28">
            <w:pPr>
              <w:jc w:val="right"/>
              <w:rPr>
                <w:color w:val="000000"/>
                <w:sz w:val="16"/>
                <w:szCs w:val="16"/>
                <w:lang w:eastAsia="en-NZ"/>
              </w:rPr>
            </w:pPr>
          </w:p>
        </w:tc>
      </w:tr>
      <w:tr w:rsidR="00D9465C" w:rsidRPr="003F15C0" w14:paraId="1780AF19" w14:textId="77777777" w:rsidTr="00DD0F28">
        <w:tc>
          <w:tcPr>
            <w:tcW w:w="3119" w:type="dxa"/>
            <w:tcBorders>
              <w:bottom w:val="single" w:sz="4" w:space="0" w:color="auto"/>
            </w:tcBorders>
          </w:tcPr>
          <w:p w14:paraId="3EEF709E" w14:textId="77777777" w:rsidR="00D9465C" w:rsidRPr="001A61F1" w:rsidRDefault="00D9465C" w:rsidP="00DD0F28">
            <w:pPr>
              <w:spacing w:before="20"/>
              <w:ind w:left="176"/>
              <w:jc w:val="both"/>
              <w:rPr>
                <w:sz w:val="16"/>
                <w:szCs w:val="16"/>
              </w:rPr>
            </w:pPr>
            <w:r w:rsidRPr="001A61F1">
              <w:rPr>
                <w:sz w:val="16"/>
                <w:szCs w:val="16"/>
              </w:rPr>
              <w:t>Yes</w:t>
            </w:r>
          </w:p>
        </w:tc>
        <w:tc>
          <w:tcPr>
            <w:tcW w:w="1048" w:type="dxa"/>
            <w:tcBorders>
              <w:bottom w:val="single" w:sz="4" w:space="0" w:color="auto"/>
            </w:tcBorders>
            <w:shd w:val="clear" w:color="auto" w:fill="auto"/>
            <w:vAlign w:val="center"/>
          </w:tcPr>
          <w:p w14:paraId="02C04182" w14:textId="77777777" w:rsidR="00D9465C" w:rsidRPr="00AA4E6C" w:rsidRDefault="00D9465C" w:rsidP="00DD0F28">
            <w:pPr>
              <w:jc w:val="right"/>
              <w:rPr>
                <w:color w:val="000000"/>
                <w:sz w:val="16"/>
                <w:szCs w:val="20"/>
                <w:lang w:eastAsia="en-NZ"/>
              </w:rPr>
            </w:pPr>
            <w:r w:rsidRPr="00AA4E6C">
              <w:rPr>
                <w:color w:val="000000"/>
                <w:sz w:val="16"/>
                <w:szCs w:val="20"/>
                <w:lang w:eastAsia="en-NZ"/>
              </w:rPr>
              <w:t>0.3</w:t>
            </w:r>
          </w:p>
        </w:tc>
        <w:tc>
          <w:tcPr>
            <w:tcW w:w="995" w:type="dxa"/>
            <w:tcBorders>
              <w:bottom w:val="single" w:sz="4" w:space="0" w:color="auto"/>
            </w:tcBorders>
            <w:shd w:val="clear" w:color="auto" w:fill="auto"/>
            <w:vAlign w:val="center"/>
          </w:tcPr>
          <w:p w14:paraId="249DBF1E" w14:textId="77777777" w:rsidR="00D9465C" w:rsidRPr="00AA4E6C" w:rsidRDefault="00D9465C" w:rsidP="00DD0F28">
            <w:pPr>
              <w:jc w:val="right"/>
              <w:rPr>
                <w:color w:val="000000"/>
                <w:sz w:val="16"/>
                <w:szCs w:val="20"/>
                <w:lang w:eastAsia="en-NZ"/>
              </w:rPr>
            </w:pPr>
            <w:r w:rsidRPr="00AA4E6C">
              <w:rPr>
                <w:color w:val="000000"/>
                <w:sz w:val="16"/>
                <w:szCs w:val="20"/>
                <w:lang w:eastAsia="en-NZ"/>
              </w:rPr>
              <w:t>0.0</w:t>
            </w:r>
          </w:p>
        </w:tc>
        <w:tc>
          <w:tcPr>
            <w:tcW w:w="1055" w:type="dxa"/>
            <w:tcBorders>
              <w:bottom w:val="single" w:sz="4" w:space="0" w:color="auto"/>
            </w:tcBorders>
            <w:shd w:val="clear" w:color="auto" w:fill="auto"/>
            <w:vAlign w:val="center"/>
          </w:tcPr>
          <w:p w14:paraId="52B99FCA" w14:textId="77777777" w:rsidR="00D9465C" w:rsidRPr="00637CF2" w:rsidRDefault="00D9465C" w:rsidP="00DD0F28">
            <w:pPr>
              <w:jc w:val="right"/>
              <w:rPr>
                <w:color w:val="000000"/>
                <w:sz w:val="16"/>
                <w:szCs w:val="16"/>
                <w:lang w:eastAsia="en-NZ"/>
              </w:rPr>
            </w:pPr>
          </w:p>
        </w:tc>
        <w:tc>
          <w:tcPr>
            <w:tcW w:w="1275" w:type="dxa"/>
            <w:tcBorders>
              <w:bottom w:val="single" w:sz="4" w:space="0" w:color="auto"/>
            </w:tcBorders>
            <w:shd w:val="clear" w:color="auto" w:fill="auto"/>
            <w:vAlign w:val="center"/>
          </w:tcPr>
          <w:p w14:paraId="3633FA93" w14:textId="77777777" w:rsidR="00D9465C" w:rsidRPr="00637CF2" w:rsidRDefault="00D9465C" w:rsidP="00DD0F28">
            <w:pPr>
              <w:jc w:val="right"/>
              <w:rPr>
                <w:color w:val="000000"/>
                <w:sz w:val="16"/>
                <w:szCs w:val="16"/>
                <w:lang w:eastAsia="en-NZ"/>
              </w:rPr>
            </w:pPr>
          </w:p>
        </w:tc>
        <w:tc>
          <w:tcPr>
            <w:tcW w:w="1020" w:type="dxa"/>
            <w:tcBorders>
              <w:bottom w:val="single" w:sz="4" w:space="0" w:color="auto"/>
            </w:tcBorders>
            <w:shd w:val="clear" w:color="auto" w:fill="auto"/>
            <w:vAlign w:val="center"/>
          </w:tcPr>
          <w:p w14:paraId="0320AC5A" w14:textId="77777777" w:rsidR="00D9465C" w:rsidRPr="00637CF2" w:rsidRDefault="00D9465C" w:rsidP="00DD0F28">
            <w:pPr>
              <w:jc w:val="right"/>
              <w:rPr>
                <w:color w:val="000000"/>
                <w:sz w:val="16"/>
                <w:szCs w:val="16"/>
                <w:lang w:eastAsia="en-NZ"/>
              </w:rPr>
            </w:pPr>
          </w:p>
        </w:tc>
      </w:tr>
    </w:tbl>
    <w:p w14:paraId="3ECA009E" w14:textId="77777777" w:rsidR="00D9465C" w:rsidRDefault="00D9465C" w:rsidP="00D9465C">
      <w:pPr>
        <w:rPr>
          <w:rFonts w:eastAsiaTheme="majorEastAsia"/>
          <w:sz w:val="16"/>
          <w:lang w:eastAsia="en-US"/>
        </w:rPr>
      </w:pPr>
      <w:r>
        <w:rPr>
          <w:rFonts w:eastAsiaTheme="majorEastAsia"/>
          <w:sz w:val="16"/>
          <w:lang w:eastAsia="en-US"/>
        </w:rPr>
        <w:t>Data weighted for 2013 Census data (all Waves) and attrition (Waves 2, 3 and 4)</w:t>
      </w:r>
    </w:p>
    <w:p w14:paraId="66867028" w14:textId="77777777" w:rsidR="00D9465C" w:rsidRPr="00465146" w:rsidRDefault="00D9465C" w:rsidP="00D9465C">
      <w:pPr>
        <w:pStyle w:val="FootnoteText"/>
        <w:jc w:val="both"/>
        <w:rPr>
          <w:sz w:val="16"/>
          <w:lang w:val="en-NZ"/>
        </w:rPr>
      </w:pPr>
      <w:r w:rsidRPr="000646C3">
        <w:rPr>
          <w:sz w:val="16"/>
          <w:szCs w:val="16"/>
          <w:vertAlign w:val="superscript"/>
        </w:rPr>
        <w:t>#</w:t>
      </w:r>
      <w:r w:rsidRPr="00465146">
        <w:rPr>
          <w:sz w:val="16"/>
        </w:rPr>
        <w:t xml:space="preserve"> </w:t>
      </w:r>
      <w:r>
        <w:rPr>
          <w:sz w:val="16"/>
        </w:rPr>
        <w:t xml:space="preserve"> </w:t>
      </w:r>
      <w:r w:rsidRPr="00465146">
        <w:rPr>
          <w:sz w:val="16"/>
        </w:rPr>
        <w:t>‘Other offshore gambling’ relates to online gambling on the following: casino games and EGMs (not cards), bingo, event betting, skill games, virtual sport and other non-specified gambling.</w:t>
      </w:r>
    </w:p>
    <w:p w14:paraId="4E89A8AA" w14:textId="77777777" w:rsidR="00D9465C" w:rsidRPr="000646C3" w:rsidRDefault="00D9465C" w:rsidP="00D9465C">
      <w:pPr>
        <w:rPr>
          <w:rFonts w:eastAsiaTheme="majorEastAsia"/>
          <w:sz w:val="10"/>
          <w:lang w:eastAsia="en-US"/>
        </w:rPr>
      </w:pPr>
      <w:r w:rsidRPr="00465146">
        <w:rPr>
          <w:b/>
          <w:sz w:val="16"/>
          <w:szCs w:val="16"/>
        </w:rPr>
        <w:t>†</w:t>
      </w:r>
      <w:r>
        <w:rPr>
          <w:b/>
          <w:sz w:val="16"/>
          <w:szCs w:val="16"/>
        </w:rPr>
        <w:t xml:space="preserve"> </w:t>
      </w:r>
      <w:r w:rsidRPr="000646C3">
        <w:rPr>
          <w:sz w:val="16"/>
        </w:rPr>
        <w:t>Overseas online poker, raffles/lottery, sports betting and horse/dog race betting.</w:t>
      </w:r>
    </w:p>
    <w:p w14:paraId="12185E72" w14:textId="77777777" w:rsidR="00D9465C" w:rsidRDefault="00D9465C" w:rsidP="00D9465C">
      <w:pPr>
        <w:rPr>
          <w:rFonts w:eastAsiaTheme="majorEastAsia" w:cstheme="majorBidi"/>
          <w:b/>
          <w:bCs/>
          <w:caps/>
          <w:szCs w:val="28"/>
          <w:lang w:eastAsia="en-US"/>
        </w:rPr>
      </w:pPr>
    </w:p>
    <w:p w14:paraId="4BEC0957" w14:textId="77777777" w:rsidR="00D9465C" w:rsidRDefault="00D9465C" w:rsidP="00D9465C">
      <w:pPr>
        <w:rPr>
          <w:rFonts w:eastAsiaTheme="majorEastAsia" w:cstheme="majorBidi"/>
          <w:b/>
          <w:bCs/>
          <w:caps/>
          <w:szCs w:val="28"/>
          <w:lang w:eastAsia="en-US"/>
        </w:rPr>
      </w:pPr>
    </w:p>
    <w:p w14:paraId="392F24D9" w14:textId="77777777" w:rsidR="00EF12F2" w:rsidRPr="002F5089" w:rsidRDefault="00EF12F2" w:rsidP="00302A4C">
      <w:pPr>
        <w:rPr>
          <w:rFonts w:eastAsiaTheme="majorEastAsia" w:cstheme="majorBidi"/>
          <w:b/>
          <w:bCs/>
          <w:caps/>
          <w:szCs w:val="28"/>
          <w:lang w:eastAsia="en-US"/>
        </w:rPr>
      </w:pPr>
    </w:p>
    <w:sectPr w:rsidR="00EF12F2" w:rsidRPr="002F5089" w:rsidSect="00F724D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A2E43" w14:textId="77777777" w:rsidR="00D6210D" w:rsidRDefault="00D6210D" w:rsidP="0046000D">
      <w:r>
        <w:separator/>
      </w:r>
    </w:p>
  </w:endnote>
  <w:endnote w:type="continuationSeparator" w:id="0">
    <w:p w14:paraId="51EF6F4F" w14:textId="77777777" w:rsidR="00D6210D" w:rsidRDefault="00D6210D" w:rsidP="0046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Humnst777 Blk BT">
    <w:altName w:val="Tahoma"/>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Mäori">
    <w:altName w:val="Arial"/>
    <w:charset w:val="00"/>
    <w:family w:val="swiss"/>
    <w:pitch w:val="variable"/>
    <w:sig w:usb0="20007A87" w:usb1="80000000" w:usb2="00000008" w:usb3="00000000" w:csb0="000001FF" w:csb1="00000000"/>
  </w:font>
  <w:font w:name="Lucida Sans">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789733"/>
      <w:docPartObj>
        <w:docPartGallery w:val="Page Numbers (Bottom of Page)"/>
        <w:docPartUnique/>
      </w:docPartObj>
    </w:sdtPr>
    <w:sdtEndPr>
      <w:rPr>
        <w:noProof/>
      </w:rPr>
    </w:sdtEndPr>
    <w:sdtContent>
      <w:p w14:paraId="7C269331" w14:textId="77777777" w:rsidR="00D6210D" w:rsidRPr="008032E8" w:rsidRDefault="00D6210D">
        <w:pPr>
          <w:pStyle w:val="Footer"/>
          <w:jc w:val="right"/>
          <w:rPr>
            <w:noProof/>
          </w:rPr>
        </w:pPr>
        <w:r w:rsidRPr="008032E8">
          <w:fldChar w:fldCharType="begin"/>
        </w:r>
        <w:r w:rsidRPr="008032E8">
          <w:instrText xml:space="preserve"> PAGE   \* MERGEFORMAT </w:instrText>
        </w:r>
        <w:r w:rsidRPr="008032E8">
          <w:fldChar w:fldCharType="separate"/>
        </w:r>
        <w:r w:rsidR="00D5752E">
          <w:rPr>
            <w:noProof/>
          </w:rPr>
          <w:t>20</w:t>
        </w:r>
        <w:r w:rsidRPr="008032E8">
          <w:rPr>
            <w:noProof/>
          </w:rPr>
          <w:fldChar w:fldCharType="end"/>
        </w:r>
      </w:p>
      <w:p w14:paraId="6EE9C418" w14:textId="77777777" w:rsidR="00D6210D" w:rsidRPr="008032E8" w:rsidRDefault="00D6210D" w:rsidP="00257963">
        <w:pPr>
          <w:jc w:val="both"/>
          <w:rPr>
            <w:sz w:val="18"/>
            <w:szCs w:val="18"/>
          </w:rPr>
        </w:pPr>
        <w:r w:rsidRPr="008032E8">
          <w:rPr>
            <w:sz w:val="18"/>
            <w:szCs w:val="18"/>
          </w:rPr>
          <w:t>New Zealand National Gambling Study: Wave 4 (2015)</w:t>
        </w:r>
      </w:p>
      <w:p w14:paraId="1914D252" w14:textId="77777777" w:rsidR="00D6210D" w:rsidRPr="008032E8" w:rsidRDefault="00D6210D" w:rsidP="00257963">
        <w:pPr>
          <w:jc w:val="both"/>
          <w:rPr>
            <w:b/>
            <w:bCs/>
            <w:sz w:val="18"/>
            <w:szCs w:val="18"/>
          </w:rPr>
        </w:pPr>
        <w:r w:rsidRPr="008032E8">
          <w:rPr>
            <w:sz w:val="18"/>
            <w:szCs w:val="18"/>
          </w:rPr>
          <w:t>Provider No: 467589, Agreement No: 349827/00</w:t>
        </w:r>
      </w:p>
      <w:p w14:paraId="4ED5422B" w14:textId="77777777" w:rsidR="00D6210D" w:rsidRPr="008032E8" w:rsidRDefault="00D6210D" w:rsidP="00257963">
        <w:pPr>
          <w:pStyle w:val="Footer"/>
          <w:rPr>
            <w:color w:val="333333"/>
            <w:sz w:val="18"/>
            <w:szCs w:val="18"/>
          </w:rPr>
        </w:pPr>
        <w:r w:rsidRPr="008032E8">
          <w:rPr>
            <w:color w:val="333333"/>
            <w:sz w:val="18"/>
            <w:szCs w:val="18"/>
          </w:rPr>
          <w:t xml:space="preserve">Auckland University of Technology, Gambling and Addictions Research Centre </w:t>
        </w:r>
      </w:p>
      <w:p w14:paraId="6658562B" w14:textId="4E29C162" w:rsidR="00D6210D" w:rsidRPr="00D16717" w:rsidRDefault="00D6210D" w:rsidP="00D83CD0">
        <w:pPr>
          <w:pStyle w:val="Footer"/>
          <w:rPr>
            <w:color w:val="333333"/>
            <w:sz w:val="18"/>
            <w:szCs w:val="18"/>
          </w:rPr>
        </w:pPr>
        <w:r w:rsidRPr="008032E8">
          <w:rPr>
            <w:color w:val="333333"/>
            <w:sz w:val="18"/>
            <w:szCs w:val="18"/>
          </w:rPr>
          <w:t xml:space="preserve">Final Report Number 6, </w:t>
        </w:r>
        <w:r w:rsidR="000A6AE0">
          <w:rPr>
            <w:color w:val="333333"/>
            <w:sz w:val="18"/>
            <w:szCs w:val="18"/>
          </w:rPr>
          <w:t>29</w:t>
        </w:r>
        <w:r w:rsidRPr="008032E8">
          <w:rPr>
            <w:color w:val="333333"/>
            <w:sz w:val="18"/>
            <w:szCs w:val="18"/>
          </w:rPr>
          <w:t xml:space="preserve"> March 2018</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19A2A" w14:textId="77777777" w:rsidR="00D6210D" w:rsidRDefault="00D6210D" w:rsidP="0046000D">
      <w:r>
        <w:separator/>
      </w:r>
    </w:p>
  </w:footnote>
  <w:footnote w:type="continuationSeparator" w:id="0">
    <w:p w14:paraId="6987DE5C" w14:textId="77777777" w:rsidR="00D6210D" w:rsidRDefault="00D6210D" w:rsidP="0046000D">
      <w:r>
        <w:continuationSeparator/>
      </w:r>
    </w:p>
  </w:footnote>
  <w:footnote w:id="1">
    <w:p w14:paraId="5CD49F97" w14:textId="77777777" w:rsidR="00D6210D" w:rsidRPr="00C878F3" w:rsidRDefault="00D6210D" w:rsidP="00A446FF">
      <w:pPr>
        <w:pStyle w:val="FootnoteText"/>
        <w:jc w:val="both"/>
        <w:rPr>
          <w:lang w:val="en-NZ"/>
        </w:rPr>
      </w:pPr>
      <w:r>
        <w:rPr>
          <w:rStyle w:val="FootnoteReference"/>
        </w:rPr>
        <w:footnoteRef/>
      </w:r>
      <w:r>
        <w:t xml:space="preserve"> </w:t>
      </w:r>
      <w:r>
        <w:rPr>
          <w:lang w:val="en-NZ"/>
        </w:rPr>
        <w:t>Available from the Gambling and Addictions Research Centre, Auckland University of Technology website: www.aut.ac.nz/garc</w:t>
      </w:r>
    </w:p>
  </w:footnote>
  <w:footnote w:id="2">
    <w:p w14:paraId="63FB3AD8" w14:textId="50A83D8E" w:rsidR="00D6210D" w:rsidRPr="00975C9E" w:rsidRDefault="00D6210D">
      <w:pPr>
        <w:pStyle w:val="FootnoteText"/>
        <w:rPr>
          <w:lang w:val="en-NZ"/>
        </w:rPr>
      </w:pPr>
      <w:r>
        <w:rPr>
          <w:rStyle w:val="FootnoteReference"/>
        </w:rPr>
        <w:footnoteRef/>
      </w:r>
      <w:r>
        <w:t xml:space="preserve"> E</w:t>
      </w:r>
      <w:r>
        <w:rPr>
          <w:lang w:val="en-NZ"/>
        </w:rPr>
        <w:t>thnicity is a flexible construct and can change over time; however, for consistency Wave 1 ethnicity has been used for all analyses in this report.</w:t>
      </w:r>
    </w:p>
  </w:footnote>
  <w:footnote w:id="3">
    <w:p w14:paraId="380D6C40" w14:textId="77777777" w:rsidR="00D6210D" w:rsidRPr="006459F2" w:rsidRDefault="00D6210D" w:rsidP="006459F2">
      <w:pPr>
        <w:pStyle w:val="FootnoteText"/>
        <w:jc w:val="both"/>
        <w:rPr>
          <w:lang w:val="en-NZ"/>
        </w:rPr>
      </w:pPr>
      <w:r>
        <w:rPr>
          <w:rStyle w:val="FootnoteReference"/>
        </w:rPr>
        <w:footnoteRef/>
      </w:r>
      <w:r>
        <w:t xml:space="preserve"> </w:t>
      </w:r>
      <w:r>
        <w:rPr>
          <w:lang w:val="en-NZ"/>
        </w:rPr>
        <w:t>Note that Wave 1 data presented in report numbers 1, 2 and 3 (Abbott et al., 2014a, 2014b, 2015) used 2006 Census data as the 2013 Census data were not available at the time.  Therefore, there are some slight differences in numbers and percentages for Wave 1 presented in the previous reports and this report.</w:t>
      </w:r>
    </w:p>
  </w:footnote>
  <w:footnote w:id="4">
    <w:p w14:paraId="75FEAFC9" w14:textId="77777777" w:rsidR="00D6210D" w:rsidRPr="0004202D" w:rsidRDefault="00D6210D">
      <w:pPr>
        <w:pStyle w:val="FootnoteText"/>
        <w:rPr>
          <w:lang w:val="en-NZ"/>
        </w:rPr>
      </w:pPr>
      <w:r>
        <w:rPr>
          <w:rStyle w:val="FootnoteReference"/>
        </w:rPr>
        <w:footnoteRef/>
      </w:r>
      <w:r>
        <w:t xml:space="preserve"> </w:t>
      </w:r>
      <w:r>
        <w:rPr>
          <w:lang w:val="en-NZ"/>
        </w:rPr>
        <w:t>Based on Poisson deviance or Pearson’s χ</w:t>
      </w:r>
      <w:r w:rsidRPr="0004202D">
        <w:rPr>
          <w:vertAlign w:val="superscript"/>
          <w:lang w:val="en-NZ"/>
        </w:rPr>
        <w:t>2</w:t>
      </w:r>
      <w:r>
        <w:rPr>
          <w:lang w:val="en-NZ"/>
        </w:rPr>
        <w:t xml:space="preserve"> statistic.</w:t>
      </w:r>
    </w:p>
  </w:footnote>
  <w:footnote w:id="5">
    <w:p w14:paraId="46AA985F" w14:textId="77777777" w:rsidR="00D6210D" w:rsidRPr="00AF2C9F" w:rsidRDefault="00D6210D" w:rsidP="00411D8E">
      <w:pPr>
        <w:pStyle w:val="FootnoteText"/>
        <w:jc w:val="both"/>
        <w:rPr>
          <w:lang w:val="en-NZ"/>
        </w:rPr>
      </w:pPr>
      <w:r>
        <w:rPr>
          <w:rStyle w:val="FootnoteReference"/>
        </w:rPr>
        <w:footnoteRef/>
      </w:r>
      <w:r>
        <w:t xml:space="preserve"> </w:t>
      </w:r>
      <w:r w:rsidRPr="00AF2C9F">
        <w:rPr>
          <w:lang w:val="en-NZ"/>
        </w:rPr>
        <w:t>In this study, Lotto, other lotteries, raffles and making bets with friends or workmates were non-continuous</w:t>
      </w:r>
      <w:r>
        <w:rPr>
          <w:lang w:val="en-NZ"/>
        </w:rPr>
        <w:t xml:space="preserve"> gambling activities</w:t>
      </w:r>
      <w:r w:rsidRPr="00AF2C9F">
        <w:rPr>
          <w:lang w:val="en-NZ"/>
        </w:rPr>
        <w:t xml:space="preserve">.  All other </w:t>
      </w:r>
      <w:r>
        <w:rPr>
          <w:lang w:val="en-NZ"/>
        </w:rPr>
        <w:t xml:space="preserve">gambling </w:t>
      </w:r>
      <w:r w:rsidRPr="00AF2C9F">
        <w:rPr>
          <w:lang w:val="en-NZ"/>
        </w:rPr>
        <w:t xml:space="preserve">activities were continuous.  Regular non-continuous gamblers took part weekly or more often in one or more non-continuous gambling </w:t>
      </w:r>
      <w:r>
        <w:rPr>
          <w:lang w:val="en-NZ"/>
        </w:rPr>
        <w:t xml:space="preserve">activities </w:t>
      </w:r>
      <w:r w:rsidRPr="00AF2C9F">
        <w:rPr>
          <w:lang w:val="en-NZ"/>
        </w:rPr>
        <w:t xml:space="preserve">and did not participate this often in any continuous </w:t>
      </w:r>
      <w:r>
        <w:rPr>
          <w:lang w:val="en-NZ"/>
        </w:rPr>
        <w:t>activity</w:t>
      </w:r>
      <w:r w:rsidRPr="00AF2C9F">
        <w:rPr>
          <w:lang w:val="en-NZ"/>
        </w:rPr>
        <w:t xml:space="preserve">.  Regular continuous gamblers took part in one or more continuous activities during the past week.  They could also have taken part in non-continuous </w:t>
      </w:r>
      <w:r>
        <w:rPr>
          <w:lang w:val="en-NZ"/>
        </w:rPr>
        <w:t>activities</w:t>
      </w:r>
      <w:r w:rsidRPr="00AF2C9F">
        <w:rPr>
          <w:lang w:val="en-NZ"/>
        </w:rPr>
        <w:t xml:space="preserve"> this or less often.  </w:t>
      </w:r>
      <w:r>
        <w:rPr>
          <w:lang w:val="en-NZ"/>
        </w:rPr>
        <w:t>Infrequent gamblers participated less than weekly in any particular gambling activity.</w:t>
      </w:r>
    </w:p>
  </w:footnote>
  <w:footnote w:id="6">
    <w:p w14:paraId="12E9DF97" w14:textId="124A5F97" w:rsidR="00D6210D" w:rsidRPr="001C0955" w:rsidRDefault="00D6210D">
      <w:pPr>
        <w:pStyle w:val="FootnoteText"/>
        <w:rPr>
          <w:lang w:val="en-NZ"/>
        </w:rPr>
      </w:pPr>
      <w:r w:rsidRPr="00F60109">
        <w:rPr>
          <w:rStyle w:val="FootnoteReference"/>
        </w:rPr>
        <w:footnoteRef/>
      </w:r>
      <w:r w:rsidRPr="00F60109">
        <w:t xml:space="preserve"> </w:t>
      </w:r>
      <w:r w:rsidRPr="00F60109">
        <w:rPr>
          <w:lang w:val="en-NZ"/>
        </w:rPr>
        <w:t>Usual expenditure in a typical month.</w:t>
      </w:r>
    </w:p>
  </w:footnote>
  <w:footnote w:id="7">
    <w:p w14:paraId="50169C17" w14:textId="77777777" w:rsidR="00D6210D" w:rsidRPr="00197A67" w:rsidRDefault="00D6210D" w:rsidP="001945A1">
      <w:pPr>
        <w:pStyle w:val="FootnoteText"/>
        <w:rPr>
          <w:lang w:val="en-NZ"/>
        </w:rPr>
      </w:pPr>
      <w:r>
        <w:rPr>
          <w:rStyle w:val="FootnoteReference"/>
        </w:rPr>
        <w:footnoteRef/>
      </w:r>
      <w:r>
        <w:t xml:space="preserve"> </w:t>
      </w:r>
      <w:r>
        <w:rPr>
          <w:lang w:val="en-NZ"/>
        </w:rPr>
        <w:t>Overseas online poker, raffles/lottery, sports betting and horse/dog race betting.</w:t>
      </w:r>
    </w:p>
  </w:footnote>
  <w:footnote w:id="8">
    <w:p w14:paraId="0E6EFC8B" w14:textId="77777777" w:rsidR="00D6210D" w:rsidRPr="002F3D57" w:rsidRDefault="00D6210D" w:rsidP="00FF1315">
      <w:pPr>
        <w:pStyle w:val="FootnoteText"/>
        <w:jc w:val="both"/>
        <w:rPr>
          <w:lang w:val="en-NZ"/>
        </w:rPr>
      </w:pPr>
      <w:r>
        <w:rPr>
          <w:rStyle w:val="FootnoteReference"/>
        </w:rPr>
        <w:footnoteRef/>
      </w:r>
      <w:r>
        <w:t xml:space="preserve"> </w:t>
      </w:r>
      <w:r w:rsidRPr="00D20C11">
        <w:t>‘Other offshore gambling’ relates to online gambling on the following: casino games and EGMs (not cards), bingo, event betting, skill games, virtual sport and other non-specified gambling.</w:t>
      </w:r>
    </w:p>
  </w:footnote>
  <w:footnote w:id="9">
    <w:p w14:paraId="52DB2056" w14:textId="77777777" w:rsidR="00D6210D" w:rsidRPr="00002904" w:rsidRDefault="00D6210D" w:rsidP="00002904">
      <w:pPr>
        <w:pStyle w:val="FootnoteText"/>
        <w:jc w:val="both"/>
        <w:rPr>
          <w:lang w:val="en-NZ"/>
        </w:rPr>
      </w:pPr>
      <w:r>
        <w:rPr>
          <w:rStyle w:val="FootnoteReference"/>
        </w:rPr>
        <w:footnoteRef/>
      </w:r>
      <w:r>
        <w:t xml:space="preserve"> </w:t>
      </w:r>
      <w:r w:rsidRPr="00002904">
        <w:t xml:space="preserve">Note that self-reported gambling expenditure generally does not correspond to actual, official expenditure for various reasons including that official figures contain expenditure by non-residents, and people interpret questions differently (e.g. reporting losses vs. total expenditure without deducting winnings),  (Abbott &amp; Volberg, 2000; Blaszczynski, Dumlao &amp; Lange, 1997).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4E178" w14:textId="70886900" w:rsidR="00D6210D" w:rsidRDefault="00D6210D" w:rsidP="00FA2DE1">
    <w:pPr>
      <w:pStyle w:val="Header"/>
      <w:jc w:val="right"/>
    </w:pPr>
    <w:r>
      <w:rPr>
        <w:noProof/>
        <w:lang w:eastAsia="en-NZ"/>
      </w:rPr>
      <w:drawing>
        <wp:inline distT="0" distB="0" distL="0" distR="0" wp14:anchorId="3C31213B" wp14:editId="4E5DFA0E">
          <wp:extent cx="5274310" cy="93345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mbling&amp;Addictions-logo-primary-positiv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9334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4CEC0" w14:textId="77777777" w:rsidR="00D6210D" w:rsidRPr="00EE57BF" w:rsidRDefault="00D6210D" w:rsidP="00257963">
    <w:pPr>
      <w:pStyle w:val="Header"/>
      <w:tabs>
        <w:tab w:val="clear" w:pos="4153"/>
        <w:tab w:val="clear" w:pos="8306"/>
        <w:tab w:val="left" w:pos="714"/>
        <w:tab w:val="left" w:pos="1540"/>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B7225" w14:textId="77777777" w:rsidR="00D6210D" w:rsidRPr="00EE57BF" w:rsidRDefault="00D6210D" w:rsidP="00315D9D">
    <w:pPr>
      <w:pStyle w:val="Header"/>
      <w:tabs>
        <w:tab w:val="clear" w:pos="4153"/>
        <w:tab w:val="clear" w:pos="8306"/>
        <w:tab w:val="left" w:pos="15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1BB"/>
    <w:multiLevelType w:val="hybridMultilevel"/>
    <w:tmpl w:val="AB6247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16D68B9"/>
    <w:multiLevelType w:val="hybridMultilevel"/>
    <w:tmpl w:val="CBA654B6"/>
    <w:lvl w:ilvl="0" w:tplc="01CE96D6">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nsid w:val="01AA7649"/>
    <w:multiLevelType w:val="hybridMultilevel"/>
    <w:tmpl w:val="C19E5924"/>
    <w:lvl w:ilvl="0" w:tplc="18888DD0">
      <w:start w:val="1"/>
      <w:numFmt w:val="lowerRoman"/>
      <w:pStyle w:val="Indentlast"/>
      <w:lvlText w:val="%1."/>
      <w:lvlJc w:val="left"/>
      <w:pPr>
        <w:ind w:left="567" w:hanging="567"/>
      </w:pPr>
    </w:lvl>
    <w:lvl w:ilvl="1" w:tplc="8E749F8A">
      <w:start w:val="1"/>
      <w:numFmt w:val="decimal"/>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28E3F11"/>
    <w:multiLevelType w:val="hybridMultilevel"/>
    <w:tmpl w:val="3C5618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2A822D4"/>
    <w:multiLevelType w:val="hybridMultilevel"/>
    <w:tmpl w:val="D2FA7A2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nsid w:val="02F6569E"/>
    <w:multiLevelType w:val="hybridMultilevel"/>
    <w:tmpl w:val="4F1427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59C5435"/>
    <w:multiLevelType w:val="hybridMultilevel"/>
    <w:tmpl w:val="67AA6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06077361"/>
    <w:multiLevelType w:val="hybridMultilevel"/>
    <w:tmpl w:val="524A46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065A5650"/>
    <w:multiLevelType w:val="hybridMultilevel"/>
    <w:tmpl w:val="45066D28"/>
    <w:lvl w:ilvl="0" w:tplc="020CDC1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070A3B3E"/>
    <w:multiLevelType w:val="hybridMultilevel"/>
    <w:tmpl w:val="8518526C"/>
    <w:lvl w:ilvl="0" w:tplc="FDC06D20">
      <w:start w:val="1"/>
      <w:numFmt w:val="bullet"/>
      <w:lvlText w:val=""/>
      <w:lvlJc w:val="left"/>
      <w:pPr>
        <w:tabs>
          <w:tab w:val="num" w:pos="360"/>
        </w:tabs>
        <w:ind w:left="360" w:hanging="360"/>
      </w:pPr>
      <w:rPr>
        <w:rFonts w:ascii="Symbol" w:hAnsi="Symbol" w:hint="default"/>
        <w:color w:val="auto"/>
        <w:sz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pStyle w:val="Heading3b43"/>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076E3263"/>
    <w:multiLevelType w:val="hybridMultilevel"/>
    <w:tmpl w:val="9642CDDE"/>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CE48580A">
      <w:start w:val="1"/>
      <w:numFmt w:val="lowerLetter"/>
      <w:lvlText w:val="%4."/>
      <w:lvlJc w:val="left"/>
      <w:pPr>
        <w:ind w:left="3240" w:hanging="720"/>
      </w:pPr>
      <w:rPr>
        <w:rFonts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07B31119"/>
    <w:multiLevelType w:val="hybridMultilevel"/>
    <w:tmpl w:val="23421D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08571360"/>
    <w:multiLevelType w:val="multilevel"/>
    <w:tmpl w:val="463E1084"/>
    <w:lvl w:ilvl="0">
      <w:start w:val="1"/>
      <w:numFmt w:val="decimal"/>
      <w:pStyle w:val="StyleBodyTextFirstline0cm"/>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90C4CED"/>
    <w:multiLevelType w:val="multilevel"/>
    <w:tmpl w:val="6EFE9BE6"/>
    <w:lvl w:ilvl="0">
      <w:start w:val="1"/>
      <w:numFmt w:val="decimal"/>
      <w:lvlText w:val="%1"/>
      <w:lvlJc w:val="left"/>
      <w:pPr>
        <w:tabs>
          <w:tab w:val="num" w:pos="1800"/>
        </w:tabs>
        <w:ind w:left="1800" w:hanging="720"/>
      </w:pPr>
      <w:rPr>
        <w:rFonts w:hint="default"/>
      </w:rPr>
    </w:lvl>
    <w:lvl w:ilvl="1">
      <w:start w:val="1"/>
      <w:numFmt w:val="decimal"/>
      <w:pStyle w:val="StyleHeading2Left127cm"/>
      <w:lvlText w:val="%1.%2"/>
      <w:lvlJc w:val="left"/>
      <w:pPr>
        <w:tabs>
          <w:tab w:val="num" w:pos="2520"/>
        </w:tabs>
        <w:ind w:left="252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14">
    <w:nsid w:val="09412D75"/>
    <w:multiLevelType w:val="hybridMultilevel"/>
    <w:tmpl w:val="3962EE8A"/>
    <w:lvl w:ilvl="0" w:tplc="93547F16">
      <w:start w:val="1"/>
      <w:numFmt w:val="decimal"/>
      <w:pStyle w:val="Style2"/>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096802E6"/>
    <w:multiLevelType w:val="multilevel"/>
    <w:tmpl w:val="E2F6754C"/>
    <w:lvl w:ilvl="0">
      <w:start w:val="3"/>
      <w:numFmt w:val="decimal"/>
      <w:pStyle w:val="MEB33"/>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Restart w:val="0"/>
      <w:pStyle w:val="MEB33"/>
      <w:lvlText w:val="%2.3.%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09E71B6F"/>
    <w:multiLevelType w:val="hybridMultilevel"/>
    <w:tmpl w:val="EA5A012A"/>
    <w:lvl w:ilvl="0" w:tplc="14090001">
      <w:start w:val="1"/>
      <w:numFmt w:val="bullet"/>
      <w:lvlText w:val=""/>
      <w:lvlJc w:val="left"/>
      <w:pPr>
        <w:ind w:left="720" w:hanging="360"/>
      </w:pPr>
      <w:rPr>
        <w:rFonts w:ascii="Symbol" w:hAnsi="Symbol" w:hint="default"/>
      </w:rPr>
    </w:lvl>
    <w:lvl w:ilvl="1" w:tplc="E9A6386C">
      <w:start w:val="5"/>
      <w:numFmt w:val="bullet"/>
      <w:lvlText w:val="•"/>
      <w:lvlJc w:val="left"/>
      <w:pPr>
        <w:ind w:left="1800" w:hanging="720"/>
      </w:pPr>
      <w:rPr>
        <w:rFonts w:ascii="Times New Roman" w:eastAsia="Times New Roman" w:hAnsi="Times New Roman" w:cs="Times New Roma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0E550848"/>
    <w:multiLevelType w:val="multilevel"/>
    <w:tmpl w:val="E146D058"/>
    <w:styleLink w:val="Heading33"/>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0F69532B"/>
    <w:multiLevelType w:val="hybridMultilevel"/>
    <w:tmpl w:val="DAA47146"/>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9">
    <w:nsid w:val="14675D81"/>
    <w:multiLevelType w:val="multilevel"/>
    <w:tmpl w:val="F31AC06C"/>
    <w:lvl w:ilvl="0">
      <w:start w:val="4"/>
      <w:numFmt w:val="decimal"/>
      <w:lvlText w:val="%1"/>
      <w:lvlJc w:val="left"/>
      <w:pPr>
        <w:tabs>
          <w:tab w:val="num" w:pos="357"/>
        </w:tabs>
        <w:ind w:left="357" w:hanging="357"/>
      </w:pPr>
      <w:rPr>
        <w:rFonts w:hint="default"/>
      </w:rPr>
    </w:lvl>
    <w:lvl w:ilvl="1">
      <w:start w:val="1"/>
      <w:numFmt w:val="decimal"/>
      <w:lvlRestart w:val="0"/>
      <w:pStyle w:val="MEB4"/>
      <w:lvlText w:val="%1.%2"/>
      <w:lvlJc w:val="left"/>
      <w:pPr>
        <w:tabs>
          <w:tab w:val="num" w:pos="2517"/>
        </w:tabs>
        <w:ind w:left="2517" w:hanging="720"/>
      </w:pPr>
      <w:rPr>
        <w:rFonts w:hint="default"/>
      </w:rPr>
    </w:lvl>
    <w:lvl w:ilvl="2">
      <w:start w:val="1"/>
      <w:numFmt w:val="decimal"/>
      <w:lvlText w:val="%1.%2.%3"/>
      <w:lvlJc w:val="left"/>
      <w:pPr>
        <w:tabs>
          <w:tab w:val="num" w:pos="354"/>
        </w:tabs>
        <w:ind w:left="354" w:hanging="357"/>
      </w:pPr>
      <w:rPr>
        <w:rFonts w:hint="default"/>
      </w:rPr>
    </w:lvl>
    <w:lvl w:ilvl="3">
      <w:start w:val="1"/>
      <w:numFmt w:val="decimal"/>
      <w:lvlText w:val="%1.%2.%3.%4"/>
      <w:lvlJc w:val="left"/>
      <w:pPr>
        <w:tabs>
          <w:tab w:val="num" w:pos="3957"/>
        </w:tabs>
        <w:ind w:left="3957" w:hanging="720"/>
      </w:pPr>
      <w:rPr>
        <w:rFonts w:hint="default"/>
      </w:rPr>
    </w:lvl>
    <w:lvl w:ilvl="4">
      <w:start w:val="1"/>
      <w:numFmt w:val="decimal"/>
      <w:lvlText w:val="%1.%2.%3.%4.%5"/>
      <w:lvlJc w:val="left"/>
      <w:pPr>
        <w:tabs>
          <w:tab w:val="num" w:pos="5037"/>
        </w:tabs>
        <w:ind w:left="5037" w:hanging="1080"/>
      </w:pPr>
      <w:rPr>
        <w:rFonts w:hint="default"/>
      </w:rPr>
    </w:lvl>
    <w:lvl w:ilvl="5">
      <w:start w:val="1"/>
      <w:numFmt w:val="decimal"/>
      <w:lvlText w:val="%1.%2.%3.%4.%5.%6"/>
      <w:lvlJc w:val="left"/>
      <w:pPr>
        <w:tabs>
          <w:tab w:val="num" w:pos="5757"/>
        </w:tabs>
        <w:ind w:left="5757" w:hanging="1080"/>
      </w:pPr>
      <w:rPr>
        <w:rFonts w:hint="default"/>
      </w:rPr>
    </w:lvl>
    <w:lvl w:ilvl="6">
      <w:start w:val="1"/>
      <w:numFmt w:val="decimal"/>
      <w:lvlText w:val="%1.%2.%3.%4.%5.%6.%7"/>
      <w:lvlJc w:val="left"/>
      <w:pPr>
        <w:tabs>
          <w:tab w:val="num" w:pos="6837"/>
        </w:tabs>
        <w:ind w:left="6837" w:hanging="1440"/>
      </w:pPr>
      <w:rPr>
        <w:rFonts w:hint="default"/>
      </w:rPr>
    </w:lvl>
    <w:lvl w:ilvl="7">
      <w:start w:val="1"/>
      <w:numFmt w:val="decimal"/>
      <w:lvlText w:val="%1.%2.%3.%4.%5.%6.%7.%8"/>
      <w:lvlJc w:val="left"/>
      <w:pPr>
        <w:tabs>
          <w:tab w:val="num" w:pos="7557"/>
        </w:tabs>
        <w:ind w:left="7557" w:hanging="1440"/>
      </w:pPr>
      <w:rPr>
        <w:rFonts w:hint="default"/>
      </w:rPr>
    </w:lvl>
    <w:lvl w:ilvl="8">
      <w:start w:val="1"/>
      <w:numFmt w:val="decimal"/>
      <w:lvlText w:val="%1.%2.%3.%4.%5.%6.%7.%8.%9"/>
      <w:lvlJc w:val="left"/>
      <w:pPr>
        <w:tabs>
          <w:tab w:val="num" w:pos="8637"/>
        </w:tabs>
        <w:ind w:left="8637" w:hanging="1800"/>
      </w:pPr>
      <w:rPr>
        <w:rFonts w:hint="default"/>
      </w:rPr>
    </w:lvl>
  </w:abstractNum>
  <w:abstractNum w:abstractNumId="20">
    <w:nsid w:val="17CB09AA"/>
    <w:multiLevelType w:val="multilevel"/>
    <w:tmpl w:val="24984CD6"/>
    <w:lvl w:ilvl="0">
      <w:start w:val="3"/>
      <w:numFmt w:val="decimal"/>
      <w:lvlText w:val="%1"/>
      <w:lvlJc w:val="left"/>
      <w:pPr>
        <w:tabs>
          <w:tab w:val="num" w:pos="1080"/>
        </w:tabs>
        <w:ind w:left="1080" w:hanging="720"/>
      </w:pPr>
      <w:rPr>
        <w:rFonts w:hint="default"/>
      </w:rPr>
    </w:lvl>
    <w:lvl w:ilvl="1">
      <w:start w:val="1"/>
      <w:numFmt w:val="decimal"/>
      <w:pStyle w:val="Heading2b"/>
      <w:lvlText w:val="%1.%2"/>
      <w:lvlJc w:val="left"/>
      <w:pPr>
        <w:tabs>
          <w:tab w:val="num" w:pos="1800"/>
        </w:tabs>
        <w:ind w:left="180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1">
    <w:nsid w:val="18E1211A"/>
    <w:multiLevelType w:val="hybridMultilevel"/>
    <w:tmpl w:val="9A9010F4"/>
    <w:lvl w:ilvl="0" w:tplc="65FABC70">
      <w:start w:val="1"/>
      <w:numFmt w:val="lowerLetter"/>
      <w:lvlText w:val="%1."/>
      <w:lvlJc w:val="left"/>
      <w:pPr>
        <w:ind w:left="567" w:hanging="567"/>
      </w:pPr>
    </w:lvl>
    <w:lvl w:ilvl="1" w:tplc="8E749F8A">
      <w:start w:val="1"/>
      <w:numFmt w:val="decimal"/>
      <w:lvlText w:val="%2."/>
      <w:lvlJc w:val="left"/>
      <w:pPr>
        <w:ind w:left="1800" w:hanging="720"/>
      </w:pPr>
    </w:lvl>
    <w:lvl w:ilvl="2" w:tplc="E7E4C192">
      <w:start w:val="2"/>
      <w:numFmt w:val="lowerLetter"/>
      <w:pStyle w:val="Heading4"/>
      <w:lvlText w:val="%3."/>
      <w:lvlJc w:val="left"/>
      <w:pPr>
        <w:ind w:left="567" w:hanging="567"/>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1B275B9E"/>
    <w:multiLevelType w:val="hybridMultilevel"/>
    <w:tmpl w:val="E85CB2D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nsid w:val="1C8C5E66"/>
    <w:multiLevelType w:val="hybridMultilevel"/>
    <w:tmpl w:val="805239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1E166AD9"/>
    <w:multiLevelType w:val="hybridMultilevel"/>
    <w:tmpl w:val="B518EE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1EF97BAB"/>
    <w:multiLevelType w:val="multilevel"/>
    <w:tmpl w:val="EA60EF1A"/>
    <w:lvl w:ilvl="0">
      <w:start w:val="2"/>
      <w:numFmt w:val="decimal"/>
      <w:lvlText w:val="%1"/>
      <w:lvlJc w:val="left"/>
      <w:pPr>
        <w:tabs>
          <w:tab w:val="num" w:pos="1080"/>
        </w:tabs>
        <w:ind w:left="1080" w:hanging="720"/>
      </w:pPr>
      <w:rPr>
        <w:rFonts w:hint="default"/>
      </w:rPr>
    </w:lvl>
    <w:lvl w:ilvl="1">
      <w:start w:val="1"/>
      <w:numFmt w:val="decimal"/>
      <w:pStyle w:val="heading2a"/>
      <w:lvlText w:val="%1.%2"/>
      <w:lvlJc w:val="left"/>
      <w:pPr>
        <w:tabs>
          <w:tab w:val="num" w:pos="1800"/>
        </w:tabs>
        <w:ind w:left="180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6">
    <w:nsid w:val="20C679DA"/>
    <w:multiLevelType w:val="hybridMultilevel"/>
    <w:tmpl w:val="C9E6FBC6"/>
    <w:lvl w:ilvl="0" w:tplc="14090001">
      <w:start w:val="1"/>
      <w:numFmt w:val="bullet"/>
      <w:lvlText w:val=""/>
      <w:lvlJc w:val="left"/>
      <w:pPr>
        <w:ind w:left="825" w:hanging="360"/>
      </w:pPr>
      <w:rPr>
        <w:rFonts w:ascii="Symbol" w:hAnsi="Symbol" w:hint="default"/>
      </w:rPr>
    </w:lvl>
    <w:lvl w:ilvl="1" w:tplc="14090003" w:tentative="1">
      <w:start w:val="1"/>
      <w:numFmt w:val="bullet"/>
      <w:lvlText w:val="o"/>
      <w:lvlJc w:val="left"/>
      <w:pPr>
        <w:ind w:left="1545" w:hanging="360"/>
      </w:pPr>
      <w:rPr>
        <w:rFonts w:ascii="Courier New" w:hAnsi="Courier New" w:cs="Courier New" w:hint="default"/>
      </w:rPr>
    </w:lvl>
    <w:lvl w:ilvl="2" w:tplc="14090005" w:tentative="1">
      <w:start w:val="1"/>
      <w:numFmt w:val="bullet"/>
      <w:lvlText w:val=""/>
      <w:lvlJc w:val="left"/>
      <w:pPr>
        <w:ind w:left="2265" w:hanging="360"/>
      </w:pPr>
      <w:rPr>
        <w:rFonts w:ascii="Wingdings" w:hAnsi="Wingdings" w:hint="default"/>
      </w:rPr>
    </w:lvl>
    <w:lvl w:ilvl="3" w:tplc="14090001" w:tentative="1">
      <w:start w:val="1"/>
      <w:numFmt w:val="bullet"/>
      <w:lvlText w:val=""/>
      <w:lvlJc w:val="left"/>
      <w:pPr>
        <w:ind w:left="2985" w:hanging="360"/>
      </w:pPr>
      <w:rPr>
        <w:rFonts w:ascii="Symbol" w:hAnsi="Symbol" w:hint="default"/>
      </w:rPr>
    </w:lvl>
    <w:lvl w:ilvl="4" w:tplc="14090003" w:tentative="1">
      <w:start w:val="1"/>
      <w:numFmt w:val="bullet"/>
      <w:lvlText w:val="o"/>
      <w:lvlJc w:val="left"/>
      <w:pPr>
        <w:ind w:left="3705" w:hanging="360"/>
      </w:pPr>
      <w:rPr>
        <w:rFonts w:ascii="Courier New" w:hAnsi="Courier New" w:cs="Courier New" w:hint="default"/>
      </w:rPr>
    </w:lvl>
    <w:lvl w:ilvl="5" w:tplc="14090005" w:tentative="1">
      <w:start w:val="1"/>
      <w:numFmt w:val="bullet"/>
      <w:lvlText w:val=""/>
      <w:lvlJc w:val="left"/>
      <w:pPr>
        <w:ind w:left="4425" w:hanging="360"/>
      </w:pPr>
      <w:rPr>
        <w:rFonts w:ascii="Wingdings" w:hAnsi="Wingdings" w:hint="default"/>
      </w:rPr>
    </w:lvl>
    <w:lvl w:ilvl="6" w:tplc="14090001" w:tentative="1">
      <w:start w:val="1"/>
      <w:numFmt w:val="bullet"/>
      <w:lvlText w:val=""/>
      <w:lvlJc w:val="left"/>
      <w:pPr>
        <w:ind w:left="5145" w:hanging="360"/>
      </w:pPr>
      <w:rPr>
        <w:rFonts w:ascii="Symbol" w:hAnsi="Symbol" w:hint="default"/>
      </w:rPr>
    </w:lvl>
    <w:lvl w:ilvl="7" w:tplc="14090003" w:tentative="1">
      <w:start w:val="1"/>
      <w:numFmt w:val="bullet"/>
      <w:lvlText w:val="o"/>
      <w:lvlJc w:val="left"/>
      <w:pPr>
        <w:ind w:left="5865" w:hanging="360"/>
      </w:pPr>
      <w:rPr>
        <w:rFonts w:ascii="Courier New" w:hAnsi="Courier New" w:cs="Courier New" w:hint="default"/>
      </w:rPr>
    </w:lvl>
    <w:lvl w:ilvl="8" w:tplc="14090005" w:tentative="1">
      <w:start w:val="1"/>
      <w:numFmt w:val="bullet"/>
      <w:lvlText w:val=""/>
      <w:lvlJc w:val="left"/>
      <w:pPr>
        <w:ind w:left="6585" w:hanging="360"/>
      </w:pPr>
      <w:rPr>
        <w:rFonts w:ascii="Wingdings" w:hAnsi="Wingdings" w:hint="default"/>
      </w:rPr>
    </w:lvl>
  </w:abstractNum>
  <w:abstractNum w:abstractNumId="27">
    <w:nsid w:val="21311B41"/>
    <w:multiLevelType w:val="hybridMultilevel"/>
    <w:tmpl w:val="760AF0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2F800693"/>
    <w:multiLevelType w:val="hybridMultilevel"/>
    <w:tmpl w:val="30BCE8DE"/>
    <w:lvl w:ilvl="0" w:tplc="FDC06D20">
      <w:start w:val="1"/>
      <w:numFmt w:val="bullet"/>
      <w:lvlText w:val=""/>
      <w:lvlJc w:val="left"/>
      <w:pPr>
        <w:tabs>
          <w:tab w:val="num" w:pos="720"/>
        </w:tabs>
        <w:ind w:left="720" w:hanging="360"/>
      </w:pPr>
      <w:rPr>
        <w:rFonts w:ascii="Symbol" w:hAnsi="Symbol"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pStyle w:val="Heading3b44"/>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2FBC051F"/>
    <w:multiLevelType w:val="hybridMultilevel"/>
    <w:tmpl w:val="6DD885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nsid w:val="33981B59"/>
    <w:multiLevelType w:val="hybridMultilevel"/>
    <w:tmpl w:val="D4E864CC"/>
    <w:lvl w:ilvl="0" w:tplc="14090001">
      <w:start w:val="1"/>
      <w:numFmt w:val="bullet"/>
      <w:lvlText w:val=""/>
      <w:lvlJc w:val="left"/>
      <w:pPr>
        <w:ind w:left="772" w:hanging="360"/>
      </w:pPr>
      <w:rPr>
        <w:rFonts w:ascii="Symbol" w:hAnsi="Symbol" w:hint="default"/>
      </w:rPr>
    </w:lvl>
    <w:lvl w:ilvl="1" w:tplc="14090003" w:tentative="1">
      <w:start w:val="1"/>
      <w:numFmt w:val="bullet"/>
      <w:lvlText w:val="o"/>
      <w:lvlJc w:val="left"/>
      <w:pPr>
        <w:ind w:left="1492" w:hanging="360"/>
      </w:pPr>
      <w:rPr>
        <w:rFonts w:ascii="Courier New" w:hAnsi="Courier New" w:cs="Courier New" w:hint="default"/>
      </w:rPr>
    </w:lvl>
    <w:lvl w:ilvl="2" w:tplc="14090005" w:tentative="1">
      <w:start w:val="1"/>
      <w:numFmt w:val="bullet"/>
      <w:lvlText w:val=""/>
      <w:lvlJc w:val="left"/>
      <w:pPr>
        <w:ind w:left="2212" w:hanging="360"/>
      </w:pPr>
      <w:rPr>
        <w:rFonts w:ascii="Wingdings" w:hAnsi="Wingdings" w:hint="default"/>
      </w:rPr>
    </w:lvl>
    <w:lvl w:ilvl="3" w:tplc="14090001" w:tentative="1">
      <w:start w:val="1"/>
      <w:numFmt w:val="bullet"/>
      <w:lvlText w:val=""/>
      <w:lvlJc w:val="left"/>
      <w:pPr>
        <w:ind w:left="2932" w:hanging="360"/>
      </w:pPr>
      <w:rPr>
        <w:rFonts w:ascii="Symbol" w:hAnsi="Symbol" w:hint="default"/>
      </w:rPr>
    </w:lvl>
    <w:lvl w:ilvl="4" w:tplc="14090003" w:tentative="1">
      <w:start w:val="1"/>
      <w:numFmt w:val="bullet"/>
      <w:lvlText w:val="o"/>
      <w:lvlJc w:val="left"/>
      <w:pPr>
        <w:ind w:left="3652" w:hanging="360"/>
      </w:pPr>
      <w:rPr>
        <w:rFonts w:ascii="Courier New" w:hAnsi="Courier New" w:cs="Courier New" w:hint="default"/>
      </w:rPr>
    </w:lvl>
    <w:lvl w:ilvl="5" w:tplc="14090005" w:tentative="1">
      <w:start w:val="1"/>
      <w:numFmt w:val="bullet"/>
      <w:lvlText w:val=""/>
      <w:lvlJc w:val="left"/>
      <w:pPr>
        <w:ind w:left="4372" w:hanging="360"/>
      </w:pPr>
      <w:rPr>
        <w:rFonts w:ascii="Wingdings" w:hAnsi="Wingdings" w:hint="default"/>
      </w:rPr>
    </w:lvl>
    <w:lvl w:ilvl="6" w:tplc="14090001" w:tentative="1">
      <w:start w:val="1"/>
      <w:numFmt w:val="bullet"/>
      <w:lvlText w:val=""/>
      <w:lvlJc w:val="left"/>
      <w:pPr>
        <w:ind w:left="5092" w:hanging="360"/>
      </w:pPr>
      <w:rPr>
        <w:rFonts w:ascii="Symbol" w:hAnsi="Symbol" w:hint="default"/>
      </w:rPr>
    </w:lvl>
    <w:lvl w:ilvl="7" w:tplc="14090003" w:tentative="1">
      <w:start w:val="1"/>
      <w:numFmt w:val="bullet"/>
      <w:lvlText w:val="o"/>
      <w:lvlJc w:val="left"/>
      <w:pPr>
        <w:ind w:left="5812" w:hanging="360"/>
      </w:pPr>
      <w:rPr>
        <w:rFonts w:ascii="Courier New" w:hAnsi="Courier New" w:cs="Courier New" w:hint="default"/>
      </w:rPr>
    </w:lvl>
    <w:lvl w:ilvl="8" w:tplc="14090005" w:tentative="1">
      <w:start w:val="1"/>
      <w:numFmt w:val="bullet"/>
      <w:lvlText w:val=""/>
      <w:lvlJc w:val="left"/>
      <w:pPr>
        <w:ind w:left="6532" w:hanging="360"/>
      </w:pPr>
      <w:rPr>
        <w:rFonts w:ascii="Wingdings" w:hAnsi="Wingdings" w:hint="default"/>
      </w:rPr>
    </w:lvl>
  </w:abstractNum>
  <w:abstractNum w:abstractNumId="31">
    <w:nsid w:val="384F634C"/>
    <w:multiLevelType w:val="hybridMultilevel"/>
    <w:tmpl w:val="5A26D2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39F80B9D"/>
    <w:multiLevelType w:val="hybridMultilevel"/>
    <w:tmpl w:val="4AECB0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3CC47A75"/>
    <w:multiLevelType w:val="hybridMultilevel"/>
    <w:tmpl w:val="62B4EDA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4">
    <w:nsid w:val="3F1C5D36"/>
    <w:multiLevelType w:val="multilevel"/>
    <w:tmpl w:val="3DC8AEF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pStyle w:val="Heading3a"/>
      <w:lvlText w:val="%2.%1.%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3F531CB5"/>
    <w:multiLevelType w:val="multilevel"/>
    <w:tmpl w:val="F7CE5188"/>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Restart w:val="0"/>
      <w:pStyle w:val="MEB35"/>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46097CFB"/>
    <w:multiLevelType w:val="multilevel"/>
    <w:tmpl w:val="3620B93E"/>
    <w:lvl w:ilvl="0">
      <w:start w:val="3"/>
      <w:numFmt w:val="decimal"/>
      <w:pStyle w:val="MEB34"/>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Restart w:val="0"/>
      <w:pStyle w:val="MEB34"/>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46520516"/>
    <w:multiLevelType w:val="multilevel"/>
    <w:tmpl w:val="8AB2710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Restart w:val="0"/>
      <w:pStyle w:val="MEB4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46FE3C6D"/>
    <w:multiLevelType w:val="hybridMultilevel"/>
    <w:tmpl w:val="627A5A20"/>
    <w:lvl w:ilvl="0" w:tplc="01CE96D6">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nsid w:val="48285DAD"/>
    <w:multiLevelType w:val="multilevel"/>
    <w:tmpl w:val="7DA82172"/>
    <w:lvl w:ilvl="0">
      <w:start w:val="4"/>
      <w:numFmt w:val="decimal"/>
      <w:pStyle w:val="MEB4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Restart w:val="0"/>
      <w:pStyle w:val="MEB4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484244E1"/>
    <w:multiLevelType w:val="hybridMultilevel"/>
    <w:tmpl w:val="55D076F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1">
    <w:nsid w:val="49C14541"/>
    <w:multiLevelType w:val="hybridMultilevel"/>
    <w:tmpl w:val="356E183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2">
    <w:nsid w:val="4B0364F8"/>
    <w:multiLevelType w:val="multilevel"/>
    <w:tmpl w:val="D48E0A0C"/>
    <w:lvl w:ilvl="0">
      <w:start w:val="1"/>
      <w:numFmt w:val="decimal"/>
      <w:pStyle w:val="RepHead1"/>
      <w:lvlText w:val="%1"/>
      <w:lvlJc w:val="left"/>
      <w:pPr>
        <w:ind w:left="0" w:firstLine="0"/>
      </w:pPr>
      <w:rPr>
        <w:rFonts w:hint="default"/>
      </w:rPr>
    </w:lvl>
    <w:lvl w:ilvl="1">
      <w:start w:val="1"/>
      <w:numFmt w:val="decimal"/>
      <w:pStyle w:val="RepHead2"/>
      <w:lvlText w:val="%1.%2"/>
      <w:lvlJc w:val="left"/>
      <w:pPr>
        <w:ind w:left="0" w:firstLine="0"/>
      </w:pPr>
      <w:rPr>
        <w:rFonts w:hint="default"/>
      </w:rPr>
    </w:lvl>
    <w:lvl w:ilvl="2">
      <w:start w:val="1"/>
      <w:numFmt w:val="decimal"/>
      <w:pStyle w:val="RepHead3"/>
      <w:lvlText w:val="%1.%2.%3"/>
      <w:lvlJc w:val="left"/>
      <w:pPr>
        <w:ind w:left="0" w:firstLine="0"/>
      </w:pPr>
      <w:rPr>
        <w:rFonts w:hint="default"/>
      </w:rPr>
    </w:lvl>
    <w:lvl w:ilvl="3">
      <w:start w:val="1"/>
      <w:numFmt w:val="decimal"/>
      <w:pStyle w:val="Heading40"/>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3">
    <w:nsid w:val="4B37390D"/>
    <w:multiLevelType w:val="hybridMultilevel"/>
    <w:tmpl w:val="C874C7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4B8A2D12"/>
    <w:multiLevelType w:val="hybridMultilevel"/>
    <w:tmpl w:val="7968EA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4CD30793"/>
    <w:multiLevelType w:val="multilevel"/>
    <w:tmpl w:val="3300F4D4"/>
    <w:lvl w:ilvl="0">
      <w:start w:val="3"/>
      <w:numFmt w:val="decimal"/>
      <w:pStyle w:val="Heading311"/>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4D06251A"/>
    <w:multiLevelType w:val="hybridMultilevel"/>
    <w:tmpl w:val="26B69A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nsid w:val="4D47570B"/>
    <w:multiLevelType w:val="hybridMultilevel"/>
    <w:tmpl w:val="C75ED4C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8">
    <w:nsid w:val="4ED8680C"/>
    <w:multiLevelType w:val="multilevel"/>
    <w:tmpl w:val="A4CE15E2"/>
    <w:lvl w:ilvl="0">
      <w:start w:val="3"/>
      <w:numFmt w:val="decimal"/>
      <w:lvlText w:val="%1"/>
      <w:lvlJc w:val="left"/>
      <w:pPr>
        <w:tabs>
          <w:tab w:val="num" w:pos="4320"/>
        </w:tabs>
        <w:ind w:left="4320" w:hanging="720"/>
      </w:pPr>
      <w:rPr>
        <w:rFonts w:hint="default"/>
      </w:rPr>
    </w:lvl>
    <w:lvl w:ilvl="1">
      <w:start w:val="4"/>
      <w:numFmt w:val="decimal"/>
      <w:lvlText w:val="%1.%2"/>
      <w:lvlJc w:val="left"/>
      <w:pPr>
        <w:tabs>
          <w:tab w:val="num" w:pos="5040"/>
        </w:tabs>
        <w:ind w:left="5040" w:hanging="720"/>
      </w:pPr>
      <w:rPr>
        <w:rFonts w:hint="default"/>
      </w:rPr>
    </w:lvl>
    <w:lvl w:ilvl="2">
      <w:start w:val="1"/>
      <w:numFmt w:val="decimal"/>
      <w:pStyle w:val="Style5"/>
      <w:lvlText w:val="%1.%2.%3"/>
      <w:lvlJc w:val="left"/>
      <w:pPr>
        <w:tabs>
          <w:tab w:val="num" w:pos="5760"/>
        </w:tabs>
        <w:ind w:left="5760" w:hanging="720"/>
      </w:pPr>
      <w:rPr>
        <w:rFonts w:hint="default"/>
      </w:rPr>
    </w:lvl>
    <w:lvl w:ilvl="3">
      <w:start w:val="1"/>
      <w:numFmt w:val="decimal"/>
      <w:lvlText w:val="%1.%2.%3.%4"/>
      <w:lvlJc w:val="left"/>
      <w:pPr>
        <w:tabs>
          <w:tab w:val="num" w:pos="6480"/>
        </w:tabs>
        <w:ind w:left="64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360"/>
        </w:tabs>
        <w:ind w:left="9360" w:hanging="1440"/>
      </w:pPr>
      <w:rPr>
        <w:rFonts w:hint="default"/>
      </w:rPr>
    </w:lvl>
    <w:lvl w:ilvl="7">
      <w:start w:val="1"/>
      <w:numFmt w:val="decimal"/>
      <w:lvlText w:val="%1.%2.%3.%4.%5.%6.%7.%8"/>
      <w:lvlJc w:val="left"/>
      <w:pPr>
        <w:tabs>
          <w:tab w:val="num" w:pos="10080"/>
        </w:tabs>
        <w:ind w:left="10080" w:hanging="1440"/>
      </w:pPr>
      <w:rPr>
        <w:rFonts w:hint="default"/>
      </w:rPr>
    </w:lvl>
    <w:lvl w:ilvl="8">
      <w:start w:val="1"/>
      <w:numFmt w:val="decimal"/>
      <w:lvlText w:val="%1.%2.%3.%4.%5.%6.%7.%8.%9"/>
      <w:lvlJc w:val="left"/>
      <w:pPr>
        <w:tabs>
          <w:tab w:val="num" w:pos="11160"/>
        </w:tabs>
        <w:ind w:left="11160" w:hanging="1800"/>
      </w:pPr>
      <w:rPr>
        <w:rFonts w:hint="default"/>
      </w:rPr>
    </w:lvl>
  </w:abstractNum>
  <w:abstractNum w:abstractNumId="49">
    <w:nsid w:val="4EE8598F"/>
    <w:multiLevelType w:val="hybridMultilevel"/>
    <w:tmpl w:val="D75EC8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nsid w:val="55D22B9F"/>
    <w:multiLevelType w:val="hybridMultilevel"/>
    <w:tmpl w:val="30E2B656"/>
    <w:lvl w:ilvl="0" w:tplc="14090001">
      <w:start w:val="1"/>
      <w:numFmt w:val="bullet"/>
      <w:lvlText w:val=""/>
      <w:lvlJc w:val="left"/>
      <w:pPr>
        <w:ind w:left="720" w:hanging="360"/>
      </w:pPr>
      <w:rPr>
        <w:rFonts w:ascii="Symbol" w:hAnsi="Symbol" w:hint="default"/>
      </w:rPr>
    </w:lvl>
    <w:lvl w:ilvl="1" w:tplc="8D3EE728">
      <w:numFmt w:val="bullet"/>
      <w:lvlText w:val="•"/>
      <w:lvlJc w:val="left"/>
      <w:pPr>
        <w:ind w:left="1440" w:hanging="360"/>
      </w:pPr>
      <w:rPr>
        <w:rFonts w:ascii="Times New Roman" w:eastAsiaTheme="minorHAnsi" w:hAnsi="Times New Roman"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nsid w:val="57F81B0A"/>
    <w:multiLevelType w:val="hybridMultilevel"/>
    <w:tmpl w:val="18A6F2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nsid w:val="582A15AD"/>
    <w:multiLevelType w:val="multilevel"/>
    <w:tmpl w:val="22DC9628"/>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pStyle w:val="heading2b0"/>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3">
    <w:nsid w:val="58FD3106"/>
    <w:multiLevelType w:val="hybridMultilevel"/>
    <w:tmpl w:val="E0C0A9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nsid w:val="5F615F8C"/>
    <w:multiLevelType w:val="multilevel"/>
    <w:tmpl w:val="73701048"/>
    <w:lvl w:ilvl="0">
      <w:start w:val="3"/>
      <w:numFmt w:val="decimal"/>
      <w:lvlText w:val="%1"/>
      <w:lvlJc w:val="left"/>
      <w:pPr>
        <w:tabs>
          <w:tab w:val="num" w:pos="1800"/>
        </w:tabs>
        <w:ind w:left="1800" w:hanging="720"/>
      </w:pPr>
      <w:rPr>
        <w:rFonts w:hint="default"/>
      </w:rPr>
    </w:lvl>
    <w:lvl w:ilvl="1">
      <w:start w:val="2"/>
      <w:numFmt w:val="decimal"/>
      <w:lvlText w:val="%1.%2"/>
      <w:lvlJc w:val="left"/>
      <w:pPr>
        <w:tabs>
          <w:tab w:val="num" w:pos="2520"/>
        </w:tabs>
        <w:ind w:left="2520" w:hanging="720"/>
      </w:pPr>
      <w:rPr>
        <w:rFonts w:hint="default"/>
      </w:rPr>
    </w:lvl>
    <w:lvl w:ilvl="2">
      <w:start w:val="1"/>
      <w:numFmt w:val="decimal"/>
      <w:pStyle w:val="Heading3"/>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55">
    <w:nsid w:val="5FF8711B"/>
    <w:multiLevelType w:val="hybridMultilevel"/>
    <w:tmpl w:val="ADAC35A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6">
    <w:nsid w:val="62616A58"/>
    <w:multiLevelType w:val="multilevel"/>
    <w:tmpl w:val="408CC57C"/>
    <w:lvl w:ilvl="0">
      <w:start w:val="1"/>
      <w:numFmt w:val="decimal"/>
      <w:pStyle w:val="Style3"/>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nsid w:val="637722FE"/>
    <w:multiLevelType w:val="hybridMultilevel"/>
    <w:tmpl w:val="470C026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8">
    <w:nsid w:val="637A7C4C"/>
    <w:multiLevelType w:val="hybridMultilevel"/>
    <w:tmpl w:val="873C9C2C"/>
    <w:lvl w:ilvl="0" w:tplc="E54AD798">
      <w:start w:val="1"/>
      <w:numFmt w:val="decimal"/>
      <w:pStyle w:val="MEB51"/>
      <w:lvlText w:val="5.%1."/>
      <w:lvlJc w:val="left"/>
      <w:pPr>
        <w:tabs>
          <w:tab w:val="num" w:pos="324"/>
        </w:tabs>
        <w:ind w:left="324" w:hanging="360"/>
      </w:pPr>
      <w:rPr>
        <w:rFonts w:ascii="Times New Roman" w:hAnsi="Times New Roman" w:hint="default"/>
        <w:color w:val="auto"/>
        <w:sz w:val="22"/>
      </w:rPr>
    </w:lvl>
    <w:lvl w:ilvl="1" w:tplc="14090019" w:tentative="1">
      <w:start w:val="1"/>
      <w:numFmt w:val="lowerLetter"/>
      <w:lvlText w:val="%2."/>
      <w:lvlJc w:val="left"/>
      <w:pPr>
        <w:ind w:left="1044" w:hanging="360"/>
      </w:pPr>
    </w:lvl>
    <w:lvl w:ilvl="2" w:tplc="1409001B" w:tentative="1">
      <w:start w:val="1"/>
      <w:numFmt w:val="lowerRoman"/>
      <w:lvlText w:val="%3."/>
      <w:lvlJc w:val="right"/>
      <w:pPr>
        <w:ind w:left="1764" w:hanging="180"/>
      </w:pPr>
    </w:lvl>
    <w:lvl w:ilvl="3" w:tplc="1409000F" w:tentative="1">
      <w:start w:val="1"/>
      <w:numFmt w:val="decimal"/>
      <w:lvlText w:val="%4."/>
      <w:lvlJc w:val="left"/>
      <w:pPr>
        <w:ind w:left="2484" w:hanging="360"/>
      </w:pPr>
    </w:lvl>
    <w:lvl w:ilvl="4" w:tplc="14090019" w:tentative="1">
      <w:start w:val="1"/>
      <w:numFmt w:val="lowerLetter"/>
      <w:lvlText w:val="%5."/>
      <w:lvlJc w:val="left"/>
      <w:pPr>
        <w:ind w:left="3204" w:hanging="360"/>
      </w:pPr>
    </w:lvl>
    <w:lvl w:ilvl="5" w:tplc="1409001B" w:tentative="1">
      <w:start w:val="1"/>
      <w:numFmt w:val="lowerRoman"/>
      <w:lvlText w:val="%6."/>
      <w:lvlJc w:val="right"/>
      <w:pPr>
        <w:ind w:left="3924" w:hanging="180"/>
      </w:pPr>
    </w:lvl>
    <w:lvl w:ilvl="6" w:tplc="1409000F" w:tentative="1">
      <w:start w:val="1"/>
      <w:numFmt w:val="decimal"/>
      <w:lvlText w:val="%7."/>
      <w:lvlJc w:val="left"/>
      <w:pPr>
        <w:ind w:left="4644" w:hanging="360"/>
      </w:pPr>
    </w:lvl>
    <w:lvl w:ilvl="7" w:tplc="14090019" w:tentative="1">
      <w:start w:val="1"/>
      <w:numFmt w:val="lowerLetter"/>
      <w:lvlText w:val="%8."/>
      <w:lvlJc w:val="left"/>
      <w:pPr>
        <w:ind w:left="5364" w:hanging="360"/>
      </w:pPr>
    </w:lvl>
    <w:lvl w:ilvl="8" w:tplc="1409001B" w:tentative="1">
      <w:start w:val="1"/>
      <w:numFmt w:val="lowerRoman"/>
      <w:lvlText w:val="%9."/>
      <w:lvlJc w:val="right"/>
      <w:pPr>
        <w:ind w:left="6084" w:hanging="180"/>
      </w:pPr>
    </w:lvl>
  </w:abstractNum>
  <w:abstractNum w:abstractNumId="59">
    <w:nsid w:val="65C75063"/>
    <w:multiLevelType w:val="hybridMultilevel"/>
    <w:tmpl w:val="43C6585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0">
    <w:nsid w:val="688D2C9E"/>
    <w:multiLevelType w:val="singleLevel"/>
    <w:tmpl w:val="976C8326"/>
    <w:lvl w:ilvl="0">
      <w:start w:val="1"/>
      <w:numFmt w:val="bullet"/>
      <w:pStyle w:val="Source"/>
      <w:lvlText w:val=""/>
      <w:lvlJc w:val="left"/>
      <w:pPr>
        <w:tabs>
          <w:tab w:val="num" w:pos="360"/>
        </w:tabs>
        <w:ind w:left="284" w:hanging="284"/>
      </w:pPr>
      <w:rPr>
        <w:rFonts w:ascii="Symbol" w:hAnsi="Symbol" w:hint="default"/>
        <w:sz w:val="18"/>
      </w:rPr>
    </w:lvl>
  </w:abstractNum>
  <w:abstractNum w:abstractNumId="61">
    <w:nsid w:val="696B718B"/>
    <w:multiLevelType w:val="multilevel"/>
    <w:tmpl w:val="7166DAFE"/>
    <w:lvl w:ilvl="0">
      <w:start w:val="1"/>
      <w:numFmt w:val="decimal"/>
      <w:pStyle w:val="StyleArial11ptBoldJustifiedLinespacingMultiple13li"/>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2">
    <w:nsid w:val="6B7B1185"/>
    <w:multiLevelType w:val="hybridMultilevel"/>
    <w:tmpl w:val="C4AEF26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3">
    <w:nsid w:val="6CF66435"/>
    <w:multiLevelType w:val="hybridMultilevel"/>
    <w:tmpl w:val="5E044802"/>
    <w:lvl w:ilvl="0" w:tplc="CD42F778">
      <w:start w:val="1"/>
      <w:numFmt w:val="bullet"/>
      <w:pStyle w:val="Bullet"/>
      <w:lvlText w:val=""/>
      <w:lvlJc w:val="left"/>
      <w:pPr>
        <w:ind w:left="454" w:hanging="454"/>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4">
    <w:nsid w:val="6DCC05A0"/>
    <w:multiLevelType w:val="hybridMultilevel"/>
    <w:tmpl w:val="D610E366"/>
    <w:lvl w:ilvl="0" w:tplc="01CE96D6">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5">
    <w:nsid w:val="6EE806DF"/>
    <w:multiLevelType w:val="hybridMultilevel"/>
    <w:tmpl w:val="6E7A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nsid w:val="6EF21929"/>
    <w:multiLevelType w:val="hybridMultilevel"/>
    <w:tmpl w:val="F800D8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nsid w:val="70B3438E"/>
    <w:multiLevelType w:val="hybridMultilevel"/>
    <w:tmpl w:val="CC92B21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8">
    <w:nsid w:val="70BB7EE0"/>
    <w:multiLevelType w:val="hybridMultilevel"/>
    <w:tmpl w:val="627A5A20"/>
    <w:lvl w:ilvl="0" w:tplc="01CE96D6">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9">
    <w:nsid w:val="71076ED4"/>
    <w:multiLevelType w:val="hybridMultilevel"/>
    <w:tmpl w:val="03EE14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nsid w:val="73247C39"/>
    <w:multiLevelType w:val="hybridMultilevel"/>
    <w:tmpl w:val="BA5263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1">
    <w:nsid w:val="738F0017"/>
    <w:multiLevelType w:val="hybridMultilevel"/>
    <w:tmpl w:val="53A40EB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2">
    <w:nsid w:val="77432A15"/>
    <w:multiLevelType w:val="multilevel"/>
    <w:tmpl w:val="5456E50E"/>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Restart w:val="0"/>
      <w:pStyle w:val="MEB26"/>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3">
    <w:nsid w:val="78176BA3"/>
    <w:multiLevelType w:val="hybridMultilevel"/>
    <w:tmpl w:val="24B21D8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4">
    <w:nsid w:val="7E4F796E"/>
    <w:multiLevelType w:val="hybridMultilevel"/>
    <w:tmpl w:val="6192B01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5">
    <w:nsid w:val="7EE8548F"/>
    <w:multiLevelType w:val="hybridMultilevel"/>
    <w:tmpl w:val="587017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4"/>
  </w:num>
  <w:num w:numId="2">
    <w:abstractNumId w:val="25"/>
  </w:num>
  <w:num w:numId="3">
    <w:abstractNumId w:val="13"/>
  </w:num>
  <w:num w:numId="4">
    <w:abstractNumId w:val="28"/>
  </w:num>
  <w:num w:numId="5">
    <w:abstractNumId w:val="9"/>
  </w:num>
  <w:num w:numId="6">
    <w:abstractNumId w:val="12"/>
  </w:num>
  <w:num w:numId="7">
    <w:abstractNumId w:val="20"/>
  </w:num>
  <w:num w:numId="8">
    <w:abstractNumId w:val="56"/>
  </w:num>
  <w:num w:numId="9">
    <w:abstractNumId w:val="17"/>
  </w:num>
  <w:num w:numId="10">
    <w:abstractNumId w:val="52"/>
  </w:num>
  <w:num w:numId="11">
    <w:abstractNumId w:val="34"/>
  </w:num>
  <w:num w:numId="12">
    <w:abstractNumId w:val="45"/>
  </w:num>
  <w:num w:numId="13">
    <w:abstractNumId w:val="54"/>
  </w:num>
  <w:num w:numId="14">
    <w:abstractNumId w:val="48"/>
  </w:num>
  <w:num w:numId="15">
    <w:abstractNumId w:val="39"/>
  </w:num>
  <w:num w:numId="16">
    <w:abstractNumId w:val="61"/>
  </w:num>
  <w:num w:numId="17">
    <w:abstractNumId w:val="72"/>
  </w:num>
  <w:num w:numId="18">
    <w:abstractNumId w:val="36"/>
  </w:num>
  <w:num w:numId="19">
    <w:abstractNumId w:val="35"/>
  </w:num>
  <w:num w:numId="20">
    <w:abstractNumId w:val="15"/>
  </w:num>
  <w:num w:numId="21">
    <w:abstractNumId w:val="19"/>
  </w:num>
  <w:num w:numId="22">
    <w:abstractNumId w:val="37"/>
  </w:num>
  <w:num w:numId="23">
    <w:abstractNumId w:val="42"/>
  </w:num>
  <w:num w:numId="24">
    <w:abstractNumId w:val="26"/>
  </w:num>
  <w:num w:numId="25">
    <w:abstractNumId w:val="10"/>
  </w:num>
  <w:num w:numId="26">
    <w:abstractNumId w:val="27"/>
  </w:num>
  <w:num w:numId="27">
    <w:abstractNumId w:val="16"/>
  </w:num>
  <w:num w:numId="28">
    <w:abstractNumId w:val="58"/>
  </w:num>
  <w:num w:numId="29">
    <w:abstractNumId w:val="63"/>
  </w:num>
  <w:num w:numId="30">
    <w:abstractNumId w:val="60"/>
  </w:num>
  <w:num w:numId="31">
    <w:abstractNumId w:val="21"/>
  </w:num>
  <w:num w:numId="32">
    <w:abstractNumId w:val="2"/>
  </w:num>
  <w:num w:numId="33">
    <w:abstractNumId w:val="69"/>
  </w:num>
  <w:num w:numId="34">
    <w:abstractNumId w:val="24"/>
  </w:num>
  <w:num w:numId="35">
    <w:abstractNumId w:val="53"/>
  </w:num>
  <w:num w:numId="36">
    <w:abstractNumId w:val="51"/>
  </w:num>
  <w:num w:numId="37">
    <w:abstractNumId w:val="31"/>
  </w:num>
  <w:num w:numId="38">
    <w:abstractNumId w:val="64"/>
  </w:num>
  <w:num w:numId="39">
    <w:abstractNumId w:val="74"/>
  </w:num>
  <w:num w:numId="40">
    <w:abstractNumId w:val="68"/>
  </w:num>
  <w:num w:numId="41">
    <w:abstractNumId w:val="73"/>
  </w:num>
  <w:num w:numId="42">
    <w:abstractNumId w:val="71"/>
  </w:num>
  <w:num w:numId="43">
    <w:abstractNumId w:val="62"/>
  </w:num>
  <w:num w:numId="44">
    <w:abstractNumId w:val="38"/>
  </w:num>
  <w:num w:numId="45">
    <w:abstractNumId w:val="67"/>
  </w:num>
  <w:num w:numId="46">
    <w:abstractNumId w:val="47"/>
  </w:num>
  <w:num w:numId="47">
    <w:abstractNumId w:val="41"/>
  </w:num>
  <w:num w:numId="48">
    <w:abstractNumId w:val="59"/>
  </w:num>
  <w:num w:numId="49">
    <w:abstractNumId w:val="22"/>
  </w:num>
  <w:num w:numId="50">
    <w:abstractNumId w:val="33"/>
  </w:num>
  <w:num w:numId="51">
    <w:abstractNumId w:val="57"/>
  </w:num>
  <w:num w:numId="52">
    <w:abstractNumId w:val="1"/>
  </w:num>
  <w:num w:numId="53">
    <w:abstractNumId w:val="55"/>
  </w:num>
  <w:num w:numId="54">
    <w:abstractNumId w:val="29"/>
  </w:num>
  <w:num w:numId="55">
    <w:abstractNumId w:val="70"/>
  </w:num>
  <w:num w:numId="56">
    <w:abstractNumId w:val="40"/>
  </w:num>
  <w:num w:numId="57">
    <w:abstractNumId w:val="4"/>
  </w:num>
  <w:num w:numId="58">
    <w:abstractNumId w:val="75"/>
  </w:num>
  <w:num w:numId="59">
    <w:abstractNumId w:val="66"/>
  </w:num>
  <w:num w:numId="60">
    <w:abstractNumId w:val="23"/>
  </w:num>
  <w:num w:numId="61">
    <w:abstractNumId w:val="49"/>
  </w:num>
  <w:num w:numId="62">
    <w:abstractNumId w:val="8"/>
  </w:num>
  <w:num w:numId="63">
    <w:abstractNumId w:val="65"/>
  </w:num>
  <w:num w:numId="64">
    <w:abstractNumId w:val="18"/>
  </w:num>
  <w:num w:numId="65">
    <w:abstractNumId w:val="11"/>
  </w:num>
  <w:num w:numId="66">
    <w:abstractNumId w:val="50"/>
  </w:num>
  <w:num w:numId="67">
    <w:abstractNumId w:val="44"/>
  </w:num>
  <w:num w:numId="68">
    <w:abstractNumId w:val="6"/>
  </w:num>
  <w:num w:numId="69">
    <w:abstractNumId w:val="5"/>
  </w:num>
  <w:num w:numId="70">
    <w:abstractNumId w:val="7"/>
  </w:num>
  <w:num w:numId="71">
    <w:abstractNumId w:val="0"/>
  </w:num>
  <w:num w:numId="72">
    <w:abstractNumId w:val="46"/>
  </w:num>
  <w:num w:numId="73">
    <w:abstractNumId w:val="32"/>
  </w:num>
  <w:num w:numId="74">
    <w:abstractNumId w:val="43"/>
  </w:num>
  <w:num w:numId="75">
    <w:abstractNumId w:val="3"/>
  </w:num>
  <w:num w:numId="76">
    <w:abstractNumId w:val="3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0D"/>
    <w:rsid w:val="000014C2"/>
    <w:rsid w:val="00002904"/>
    <w:rsid w:val="00003B6A"/>
    <w:rsid w:val="00003BD7"/>
    <w:rsid w:val="00003F9D"/>
    <w:rsid w:val="0000462F"/>
    <w:rsid w:val="00004A91"/>
    <w:rsid w:val="00004BDB"/>
    <w:rsid w:val="000056A4"/>
    <w:rsid w:val="00005771"/>
    <w:rsid w:val="0001152F"/>
    <w:rsid w:val="00011C4C"/>
    <w:rsid w:val="00012800"/>
    <w:rsid w:val="000139F8"/>
    <w:rsid w:val="00015174"/>
    <w:rsid w:val="00016AB6"/>
    <w:rsid w:val="00017595"/>
    <w:rsid w:val="00022F5A"/>
    <w:rsid w:val="00023A1A"/>
    <w:rsid w:val="000252B1"/>
    <w:rsid w:val="000303D0"/>
    <w:rsid w:val="000313A5"/>
    <w:rsid w:val="00031528"/>
    <w:rsid w:val="0003371B"/>
    <w:rsid w:val="00033F18"/>
    <w:rsid w:val="00035929"/>
    <w:rsid w:val="00035AFD"/>
    <w:rsid w:val="00035B93"/>
    <w:rsid w:val="00036890"/>
    <w:rsid w:val="00037486"/>
    <w:rsid w:val="000379A1"/>
    <w:rsid w:val="00037FDC"/>
    <w:rsid w:val="00040ED4"/>
    <w:rsid w:val="0004202D"/>
    <w:rsid w:val="0004295E"/>
    <w:rsid w:val="0004389A"/>
    <w:rsid w:val="00043B40"/>
    <w:rsid w:val="00046B3E"/>
    <w:rsid w:val="00046B54"/>
    <w:rsid w:val="00047035"/>
    <w:rsid w:val="00047406"/>
    <w:rsid w:val="00051CD6"/>
    <w:rsid w:val="00052BB0"/>
    <w:rsid w:val="00054B7D"/>
    <w:rsid w:val="0005702F"/>
    <w:rsid w:val="00062FEF"/>
    <w:rsid w:val="00063DE7"/>
    <w:rsid w:val="000646C3"/>
    <w:rsid w:val="00064F9F"/>
    <w:rsid w:val="00065313"/>
    <w:rsid w:val="000712FF"/>
    <w:rsid w:val="00071E53"/>
    <w:rsid w:val="00072273"/>
    <w:rsid w:val="00073FD5"/>
    <w:rsid w:val="0007639D"/>
    <w:rsid w:val="0007646A"/>
    <w:rsid w:val="0007655F"/>
    <w:rsid w:val="00080C0A"/>
    <w:rsid w:val="00081661"/>
    <w:rsid w:val="00081E92"/>
    <w:rsid w:val="00081F92"/>
    <w:rsid w:val="00082299"/>
    <w:rsid w:val="00083CAB"/>
    <w:rsid w:val="0008407A"/>
    <w:rsid w:val="000848C3"/>
    <w:rsid w:val="0008496D"/>
    <w:rsid w:val="000849D6"/>
    <w:rsid w:val="0008676D"/>
    <w:rsid w:val="0008705E"/>
    <w:rsid w:val="000870FF"/>
    <w:rsid w:val="00090E36"/>
    <w:rsid w:val="000910EF"/>
    <w:rsid w:val="00095B8A"/>
    <w:rsid w:val="0009738C"/>
    <w:rsid w:val="000A01CC"/>
    <w:rsid w:val="000A3570"/>
    <w:rsid w:val="000A382B"/>
    <w:rsid w:val="000A38A2"/>
    <w:rsid w:val="000A4FDF"/>
    <w:rsid w:val="000A644A"/>
    <w:rsid w:val="000A66E5"/>
    <w:rsid w:val="000A6AE0"/>
    <w:rsid w:val="000A72EA"/>
    <w:rsid w:val="000A7A22"/>
    <w:rsid w:val="000B081A"/>
    <w:rsid w:val="000B0CFC"/>
    <w:rsid w:val="000B4A4C"/>
    <w:rsid w:val="000B622E"/>
    <w:rsid w:val="000C2DDF"/>
    <w:rsid w:val="000C5E9A"/>
    <w:rsid w:val="000C7335"/>
    <w:rsid w:val="000D0060"/>
    <w:rsid w:val="000D03AF"/>
    <w:rsid w:val="000D1CF7"/>
    <w:rsid w:val="000D21AC"/>
    <w:rsid w:val="000D2315"/>
    <w:rsid w:val="000D4358"/>
    <w:rsid w:val="000D45FA"/>
    <w:rsid w:val="000D50B1"/>
    <w:rsid w:val="000D5CC3"/>
    <w:rsid w:val="000D70C4"/>
    <w:rsid w:val="000D763A"/>
    <w:rsid w:val="000E101D"/>
    <w:rsid w:val="000E1FB4"/>
    <w:rsid w:val="000E2751"/>
    <w:rsid w:val="000E3E32"/>
    <w:rsid w:val="000E5B1A"/>
    <w:rsid w:val="000E747D"/>
    <w:rsid w:val="000F15B6"/>
    <w:rsid w:val="000F1B26"/>
    <w:rsid w:val="000F2107"/>
    <w:rsid w:val="000F21BD"/>
    <w:rsid w:val="000F26D8"/>
    <w:rsid w:val="000F3B65"/>
    <w:rsid w:val="000F3D96"/>
    <w:rsid w:val="000F4559"/>
    <w:rsid w:val="000F5589"/>
    <w:rsid w:val="000F60BE"/>
    <w:rsid w:val="000F73BF"/>
    <w:rsid w:val="000F78DE"/>
    <w:rsid w:val="001030E2"/>
    <w:rsid w:val="00106B75"/>
    <w:rsid w:val="00107C82"/>
    <w:rsid w:val="00113644"/>
    <w:rsid w:val="00114F6A"/>
    <w:rsid w:val="00116F79"/>
    <w:rsid w:val="0011747E"/>
    <w:rsid w:val="00117FF1"/>
    <w:rsid w:val="001214BF"/>
    <w:rsid w:val="00123BC8"/>
    <w:rsid w:val="00124223"/>
    <w:rsid w:val="00126329"/>
    <w:rsid w:val="00126434"/>
    <w:rsid w:val="001265DD"/>
    <w:rsid w:val="001270D4"/>
    <w:rsid w:val="00127F46"/>
    <w:rsid w:val="0013026A"/>
    <w:rsid w:val="00130E76"/>
    <w:rsid w:val="0013235A"/>
    <w:rsid w:val="001328B0"/>
    <w:rsid w:val="00133AF4"/>
    <w:rsid w:val="00134AF2"/>
    <w:rsid w:val="00140447"/>
    <w:rsid w:val="0014107D"/>
    <w:rsid w:val="00142939"/>
    <w:rsid w:val="00143757"/>
    <w:rsid w:val="00144644"/>
    <w:rsid w:val="00144F66"/>
    <w:rsid w:val="00145642"/>
    <w:rsid w:val="001501BE"/>
    <w:rsid w:val="00152900"/>
    <w:rsid w:val="00152C1A"/>
    <w:rsid w:val="00152E83"/>
    <w:rsid w:val="00153D1B"/>
    <w:rsid w:val="00154C15"/>
    <w:rsid w:val="00157162"/>
    <w:rsid w:val="00157166"/>
    <w:rsid w:val="001601F6"/>
    <w:rsid w:val="00162360"/>
    <w:rsid w:val="00164D20"/>
    <w:rsid w:val="00164D4B"/>
    <w:rsid w:val="001650FB"/>
    <w:rsid w:val="00165617"/>
    <w:rsid w:val="00165D26"/>
    <w:rsid w:val="00166C6E"/>
    <w:rsid w:val="00166DFC"/>
    <w:rsid w:val="00167977"/>
    <w:rsid w:val="0017155D"/>
    <w:rsid w:val="00171F79"/>
    <w:rsid w:val="00173F02"/>
    <w:rsid w:val="001766F7"/>
    <w:rsid w:val="0017736D"/>
    <w:rsid w:val="00177C29"/>
    <w:rsid w:val="00180546"/>
    <w:rsid w:val="0018283A"/>
    <w:rsid w:val="001832AC"/>
    <w:rsid w:val="00184C42"/>
    <w:rsid w:val="001850C1"/>
    <w:rsid w:val="00185204"/>
    <w:rsid w:val="0018593F"/>
    <w:rsid w:val="001863AD"/>
    <w:rsid w:val="00187EB2"/>
    <w:rsid w:val="001911F2"/>
    <w:rsid w:val="00191200"/>
    <w:rsid w:val="00191682"/>
    <w:rsid w:val="0019185E"/>
    <w:rsid w:val="00191CAA"/>
    <w:rsid w:val="001925A4"/>
    <w:rsid w:val="001945A1"/>
    <w:rsid w:val="001947EA"/>
    <w:rsid w:val="001964D9"/>
    <w:rsid w:val="00197A67"/>
    <w:rsid w:val="001A14C3"/>
    <w:rsid w:val="001A19E6"/>
    <w:rsid w:val="001A34AB"/>
    <w:rsid w:val="001A37C8"/>
    <w:rsid w:val="001A40F6"/>
    <w:rsid w:val="001A43CB"/>
    <w:rsid w:val="001A61F1"/>
    <w:rsid w:val="001A63E2"/>
    <w:rsid w:val="001A66A4"/>
    <w:rsid w:val="001A7293"/>
    <w:rsid w:val="001A74DA"/>
    <w:rsid w:val="001A7D8D"/>
    <w:rsid w:val="001B1F1C"/>
    <w:rsid w:val="001B2200"/>
    <w:rsid w:val="001B2927"/>
    <w:rsid w:val="001B2F99"/>
    <w:rsid w:val="001B33A4"/>
    <w:rsid w:val="001B3F4B"/>
    <w:rsid w:val="001B5116"/>
    <w:rsid w:val="001B6113"/>
    <w:rsid w:val="001B71F8"/>
    <w:rsid w:val="001B7431"/>
    <w:rsid w:val="001C0955"/>
    <w:rsid w:val="001C0BED"/>
    <w:rsid w:val="001C119F"/>
    <w:rsid w:val="001C26C6"/>
    <w:rsid w:val="001C5AFB"/>
    <w:rsid w:val="001C5E0E"/>
    <w:rsid w:val="001D0AF9"/>
    <w:rsid w:val="001D12C5"/>
    <w:rsid w:val="001D406F"/>
    <w:rsid w:val="001D49CC"/>
    <w:rsid w:val="001D64CF"/>
    <w:rsid w:val="001D6E16"/>
    <w:rsid w:val="001D7841"/>
    <w:rsid w:val="001E0372"/>
    <w:rsid w:val="001E1226"/>
    <w:rsid w:val="001E27B8"/>
    <w:rsid w:val="001E2959"/>
    <w:rsid w:val="001E2F74"/>
    <w:rsid w:val="001E3DDD"/>
    <w:rsid w:val="001E52A0"/>
    <w:rsid w:val="001E5F6F"/>
    <w:rsid w:val="001E6C0F"/>
    <w:rsid w:val="001E722E"/>
    <w:rsid w:val="001E7F8D"/>
    <w:rsid w:val="001F0A6B"/>
    <w:rsid w:val="001F1C92"/>
    <w:rsid w:val="001F2269"/>
    <w:rsid w:val="001F4820"/>
    <w:rsid w:val="001F4B8A"/>
    <w:rsid w:val="001F5099"/>
    <w:rsid w:val="001F52AF"/>
    <w:rsid w:val="001F5D1A"/>
    <w:rsid w:val="001F71B4"/>
    <w:rsid w:val="002008FB"/>
    <w:rsid w:val="00200CC9"/>
    <w:rsid w:val="002031BF"/>
    <w:rsid w:val="00203823"/>
    <w:rsid w:val="0020443B"/>
    <w:rsid w:val="00204A12"/>
    <w:rsid w:val="002055EB"/>
    <w:rsid w:val="002063A6"/>
    <w:rsid w:val="00211849"/>
    <w:rsid w:val="00213D56"/>
    <w:rsid w:val="00213F9A"/>
    <w:rsid w:val="00220484"/>
    <w:rsid w:val="00221FB6"/>
    <w:rsid w:val="0022477B"/>
    <w:rsid w:val="00227E3A"/>
    <w:rsid w:val="00230801"/>
    <w:rsid w:val="00234828"/>
    <w:rsid w:val="00234D2A"/>
    <w:rsid w:val="00235AF5"/>
    <w:rsid w:val="00236FAA"/>
    <w:rsid w:val="00237D5B"/>
    <w:rsid w:val="002400BF"/>
    <w:rsid w:val="0024064F"/>
    <w:rsid w:val="00243FF4"/>
    <w:rsid w:val="0024562C"/>
    <w:rsid w:val="0025254D"/>
    <w:rsid w:val="00255319"/>
    <w:rsid w:val="00255C08"/>
    <w:rsid w:val="002562FB"/>
    <w:rsid w:val="00257963"/>
    <w:rsid w:val="00260A93"/>
    <w:rsid w:val="00261294"/>
    <w:rsid w:val="00261403"/>
    <w:rsid w:val="0026258F"/>
    <w:rsid w:val="0026417B"/>
    <w:rsid w:val="0026477A"/>
    <w:rsid w:val="00265003"/>
    <w:rsid w:val="002651AB"/>
    <w:rsid w:val="00267429"/>
    <w:rsid w:val="00267490"/>
    <w:rsid w:val="002678F6"/>
    <w:rsid w:val="00267EF7"/>
    <w:rsid w:val="002703A8"/>
    <w:rsid w:val="00270F04"/>
    <w:rsid w:val="00272686"/>
    <w:rsid w:val="00272D4F"/>
    <w:rsid w:val="0027602D"/>
    <w:rsid w:val="00276DFC"/>
    <w:rsid w:val="00277751"/>
    <w:rsid w:val="002800EB"/>
    <w:rsid w:val="002806AD"/>
    <w:rsid w:val="00280800"/>
    <w:rsid w:val="002813BD"/>
    <w:rsid w:val="00281CB9"/>
    <w:rsid w:val="00284EE7"/>
    <w:rsid w:val="00286FD1"/>
    <w:rsid w:val="00291D5C"/>
    <w:rsid w:val="00291E69"/>
    <w:rsid w:val="00293E43"/>
    <w:rsid w:val="0029462F"/>
    <w:rsid w:val="0029469A"/>
    <w:rsid w:val="00294736"/>
    <w:rsid w:val="00294B3D"/>
    <w:rsid w:val="00295B91"/>
    <w:rsid w:val="00296F01"/>
    <w:rsid w:val="00297040"/>
    <w:rsid w:val="0029789C"/>
    <w:rsid w:val="002A1088"/>
    <w:rsid w:val="002A1181"/>
    <w:rsid w:val="002A2BCC"/>
    <w:rsid w:val="002A3C9F"/>
    <w:rsid w:val="002A4053"/>
    <w:rsid w:val="002A5A5F"/>
    <w:rsid w:val="002B2E56"/>
    <w:rsid w:val="002B33E5"/>
    <w:rsid w:val="002B371F"/>
    <w:rsid w:val="002B377C"/>
    <w:rsid w:val="002B445D"/>
    <w:rsid w:val="002B44B6"/>
    <w:rsid w:val="002B4CC9"/>
    <w:rsid w:val="002B54FA"/>
    <w:rsid w:val="002B5B2A"/>
    <w:rsid w:val="002B684E"/>
    <w:rsid w:val="002B6C53"/>
    <w:rsid w:val="002B7478"/>
    <w:rsid w:val="002B7E63"/>
    <w:rsid w:val="002C0387"/>
    <w:rsid w:val="002C1223"/>
    <w:rsid w:val="002C18B8"/>
    <w:rsid w:val="002C1997"/>
    <w:rsid w:val="002C2562"/>
    <w:rsid w:val="002C2F51"/>
    <w:rsid w:val="002C341B"/>
    <w:rsid w:val="002C5C3E"/>
    <w:rsid w:val="002C6186"/>
    <w:rsid w:val="002C6F4A"/>
    <w:rsid w:val="002C702E"/>
    <w:rsid w:val="002C75DE"/>
    <w:rsid w:val="002D0578"/>
    <w:rsid w:val="002D0990"/>
    <w:rsid w:val="002D130C"/>
    <w:rsid w:val="002D2E43"/>
    <w:rsid w:val="002D322E"/>
    <w:rsid w:val="002D3BA7"/>
    <w:rsid w:val="002D3CBA"/>
    <w:rsid w:val="002D4742"/>
    <w:rsid w:val="002D4CBF"/>
    <w:rsid w:val="002D4EC6"/>
    <w:rsid w:val="002D4F24"/>
    <w:rsid w:val="002D6198"/>
    <w:rsid w:val="002D7789"/>
    <w:rsid w:val="002D7C7D"/>
    <w:rsid w:val="002E46C0"/>
    <w:rsid w:val="002E51FD"/>
    <w:rsid w:val="002E52CB"/>
    <w:rsid w:val="002E62CB"/>
    <w:rsid w:val="002E63D5"/>
    <w:rsid w:val="002E63DE"/>
    <w:rsid w:val="002E64B9"/>
    <w:rsid w:val="002F04E8"/>
    <w:rsid w:val="002F12D7"/>
    <w:rsid w:val="002F172C"/>
    <w:rsid w:val="002F1E26"/>
    <w:rsid w:val="002F2BBE"/>
    <w:rsid w:val="002F3D57"/>
    <w:rsid w:val="002F4DD6"/>
    <w:rsid w:val="002F5089"/>
    <w:rsid w:val="002F7B53"/>
    <w:rsid w:val="00300B14"/>
    <w:rsid w:val="003016B3"/>
    <w:rsid w:val="00301E1A"/>
    <w:rsid w:val="00302A4C"/>
    <w:rsid w:val="00303328"/>
    <w:rsid w:val="00304ACE"/>
    <w:rsid w:val="00304C44"/>
    <w:rsid w:val="00313EC6"/>
    <w:rsid w:val="00315163"/>
    <w:rsid w:val="00315D9D"/>
    <w:rsid w:val="003163E4"/>
    <w:rsid w:val="00317072"/>
    <w:rsid w:val="0031743F"/>
    <w:rsid w:val="00317B90"/>
    <w:rsid w:val="00320388"/>
    <w:rsid w:val="00324FD7"/>
    <w:rsid w:val="00325EEE"/>
    <w:rsid w:val="00326B55"/>
    <w:rsid w:val="00326C9E"/>
    <w:rsid w:val="00330169"/>
    <w:rsid w:val="003305F7"/>
    <w:rsid w:val="003318B6"/>
    <w:rsid w:val="00331C08"/>
    <w:rsid w:val="003328A0"/>
    <w:rsid w:val="0033518C"/>
    <w:rsid w:val="00335952"/>
    <w:rsid w:val="003366FE"/>
    <w:rsid w:val="003379D8"/>
    <w:rsid w:val="00341F7B"/>
    <w:rsid w:val="00344D8A"/>
    <w:rsid w:val="00346004"/>
    <w:rsid w:val="003462F1"/>
    <w:rsid w:val="00350870"/>
    <w:rsid w:val="003511F6"/>
    <w:rsid w:val="003512EA"/>
    <w:rsid w:val="003520D4"/>
    <w:rsid w:val="00352FF2"/>
    <w:rsid w:val="00355D8E"/>
    <w:rsid w:val="003560A7"/>
    <w:rsid w:val="0035615D"/>
    <w:rsid w:val="0036165B"/>
    <w:rsid w:val="00361787"/>
    <w:rsid w:val="00362AFC"/>
    <w:rsid w:val="0036362B"/>
    <w:rsid w:val="00363C71"/>
    <w:rsid w:val="00364987"/>
    <w:rsid w:val="00364AA5"/>
    <w:rsid w:val="0036521D"/>
    <w:rsid w:val="003658F3"/>
    <w:rsid w:val="00365AD7"/>
    <w:rsid w:val="00366599"/>
    <w:rsid w:val="00366A92"/>
    <w:rsid w:val="0037299E"/>
    <w:rsid w:val="00372AFB"/>
    <w:rsid w:val="00372B66"/>
    <w:rsid w:val="00373D7A"/>
    <w:rsid w:val="00377703"/>
    <w:rsid w:val="00377997"/>
    <w:rsid w:val="003803AD"/>
    <w:rsid w:val="0038107A"/>
    <w:rsid w:val="003816B0"/>
    <w:rsid w:val="00381E9F"/>
    <w:rsid w:val="00382C8B"/>
    <w:rsid w:val="003854A7"/>
    <w:rsid w:val="00385961"/>
    <w:rsid w:val="00390171"/>
    <w:rsid w:val="00391BF6"/>
    <w:rsid w:val="0039336B"/>
    <w:rsid w:val="00394443"/>
    <w:rsid w:val="003958C1"/>
    <w:rsid w:val="003A0FE3"/>
    <w:rsid w:val="003A22D6"/>
    <w:rsid w:val="003A3C70"/>
    <w:rsid w:val="003A40E1"/>
    <w:rsid w:val="003A4D99"/>
    <w:rsid w:val="003A7849"/>
    <w:rsid w:val="003B03D0"/>
    <w:rsid w:val="003B0E1A"/>
    <w:rsid w:val="003B2AA5"/>
    <w:rsid w:val="003B3A13"/>
    <w:rsid w:val="003B4065"/>
    <w:rsid w:val="003B518E"/>
    <w:rsid w:val="003B5637"/>
    <w:rsid w:val="003B5869"/>
    <w:rsid w:val="003B5DA0"/>
    <w:rsid w:val="003B5E77"/>
    <w:rsid w:val="003B6534"/>
    <w:rsid w:val="003B737C"/>
    <w:rsid w:val="003B74B4"/>
    <w:rsid w:val="003C056F"/>
    <w:rsid w:val="003C43BA"/>
    <w:rsid w:val="003C4E68"/>
    <w:rsid w:val="003C51F4"/>
    <w:rsid w:val="003C6216"/>
    <w:rsid w:val="003C6331"/>
    <w:rsid w:val="003C792D"/>
    <w:rsid w:val="003D1D3B"/>
    <w:rsid w:val="003D3001"/>
    <w:rsid w:val="003D3900"/>
    <w:rsid w:val="003D4684"/>
    <w:rsid w:val="003D5492"/>
    <w:rsid w:val="003D5BAC"/>
    <w:rsid w:val="003D71F0"/>
    <w:rsid w:val="003D7BB5"/>
    <w:rsid w:val="003E1C4C"/>
    <w:rsid w:val="003E40B1"/>
    <w:rsid w:val="003E537D"/>
    <w:rsid w:val="003E5A8D"/>
    <w:rsid w:val="003E6834"/>
    <w:rsid w:val="003E7761"/>
    <w:rsid w:val="003F1B62"/>
    <w:rsid w:val="003F1FD0"/>
    <w:rsid w:val="003F3C47"/>
    <w:rsid w:val="003F3F2F"/>
    <w:rsid w:val="00401E30"/>
    <w:rsid w:val="00403081"/>
    <w:rsid w:val="00403773"/>
    <w:rsid w:val="00405E5A"/>
    <w:rsid w:val="00405EB5"/>
    <w:rsid w:val="004068EA"/>
    <w:rsid w:val="00411D8E"/>
    <w:rsid w:val="00412669"/>
    <w:rsid w:val="00413D6D"/>
    <w:rsid w:val="0041490D"/>
    <w:rsid w:val="0041578C"/>
    <w:rsid w:val="00416836"/>
    <w:rsid w:val="00417A53"/>
    <w:rsid w:val="00417BD4"/>
    <w:rsid w:val="00421EC9"/>
    <w:rsid w:val="00422F08"/>
    <w:rsid w:val="0042340D"/>
    <w:rsid w:val="00423C50"/>
    <w:rsid w:val="004244BA"/>
    <w:rsid w:val="004300E2"/>
    <w:rsid w:val="004304D3"/>
    <w:rsid w:val="004310BE"/>
    <w:rsid w:val="00433CC1"/>
    <w:rsid w:val="00433EDA"/>
    <w:rsid w:val="004340CD"/>
    <w:rsid w:val="00434FBC"/>
    <w:rsid w:val="00435FB0"/>
    <w:rsid w:val="0044031D"/>
    <w:rsid w:val="004405DC"/>
    <w:rsid w:val="0044132C"/>
    <w:rsid w:val="004426E1"/>
    <w:rsid w:val="0044305A"/>
    <w:rsid w:val="004451CB"/>
    <w:rsid w:val="00445280"/>
    <w:rsid w:val="00445614"/>
    <w:rsid w:val="00446E83"/>
    <w:rsid w:val="00446FC6"/>
    <w:rsid w:val="0045272D"/>
    <w:rsid w:val="00454B00"/>
    <w:rsid w:val="00454B56"/>
    <w:rsid w:val="00454C7C"/>
    <w:rsid w:val="00454E44"/>
    <w:rsid w:val="00454FB8"/>
    <w:rsid w:val="004565BE"/>
    <w:rsid w:val="00457C4D"/>
    <w:rsid w:val="0046000D"/>
    <w:rsid w:val="00465146"/>
    <w:rsid w:val="0046514A"/>
    <w:rsid w:val="00465A1E"/>
    <w:rsid w:val="0047103A"/>
    <w:rsid w:val="00473010"/>
    <w:rsid w:val="00474808"/>
    <w:rsid w:val="00476DF6"/>
    <w:rsid w:val="00480479"/>
    <w:rsid w:val="00480556"/>
    <w:rsid w:val="00482ADE"/>
    <w:rsid w:val="0048349F"/>
    <w:rsid w:val="00483A00"/>
    <w:rsid w:val="00485FA0"/>
    <w:rsid w:val="004860AB"/>
    <w:rsid w:val="0049060E"/>
    <w:rsid w:val="00491C93"/>
    <w:rsid w:val="00492CE9"/>
    <w:rsid w:val="00492E4B"/>
    <w:rsid w:val="00493E46"/>
    <w:rsid w:val="004942DB"/>
    <w:rsid w:val="00495220"/>
    <w:rsid w:val="00496930"/>
    <w:rsid w:val="00497DB3"/>
    <w:rsid w:val="00497EE0"/>
    <w:rsid w:val="004A0B4E"/>
    <w:rsid w:val="004A14E3"/>
    <w:rsid w:val="004A1A6C"/>
    <w:rsid w:val="004A262F"/>
    <w:rsid w:val="004A2803"/>
    <w:rsid w:val="004A3156"/>
    <w:rsid w:val="004A48F2"/>
    <w:rsid w:val="004A6986"/>
    <w:rsid w:val="004A73C9"/>
    <w:rsid w:val="004B0282"/>
    <w:rsid w:val="004B0286"/>
    <w:rsid w:val="004B21F4"/>
    <w:rsid w:val="004B2E77"/>
    <w:rsid w:val="004B5D03"/>
    <w:rsid w:val="004C057C"/>
    <w:rsid w:val="004C199E"/>
    <w:rsid w:val="004C3930"/>
    <w:rsid w:val="004C5488"/>
    <w:rsid w:val="004C5A2F"/>
    <w:rsid w:val="004C6EA4"/>
    <w:rsid w:val="004C7F5B"/>
    <w:rsid w:val="004D1358"/>
    <w:rsid w:val="004D1A95"/>
    <w:rsid w:val="004D21E4"/>
    <w:rsid w:val="004D314B"/>
    <w:rsid w:val="004D43E3"/>
    <w:rsid w:val="004D4A50"/>
    <w:rsid w:val="004D4DCF"/>
    <w:rsid w:val="004D4FD1"/>
    <w:rsid w:val="004D6685"/>
    <w:rsid w:val="004D7943"/>
    <w:rsid w:val="004D7C5C"/>
    <w:rsid w:val="004E24C3"/>
    <w:rsid w:val="004E2C27"/>
    <w:rsid w:val="004E41DB"/>
    <w:rsid w:val="004F007F"/>
    <w:rsid w:val="004F031C"/>
    <w:rsid w:val="004F03A5"/>
    <w:rsid w:val="004F0719"/>
    <w:rsid w:val="004F0917"/>
    <w:rsid w:val="004F16CB"/>
    <w:rsid w:val="004F1D3D"/>
    <w:rsid w:val="004F483F"/>
    <w:rsid w:val="004F49E8"/>
    <w:rsid w:val="004F4F40"/>
    <w:rsid w:val="004F500D"/>
    <w:rsid w:val="004F6384"/>
    <w:rsid w:val="004F677D"/>
    <w:rsid w:val="00500D7D"/>
    <w:rsid w:val="00503E99"/>
    <w:rsid w:val="00503F93"/>
    <w:rsid w:val="0050574B"/>
    <w:rsid w:val="00506521"/>
    <w:rsid w:val="005065AF"/>
    <w:rsid w:val="005077AF"/>
    <w:rsid w:val="005078EB"/>
    <w:rsid w:val="00510D61"/>
    <w:rsid w:val="00512B32"/>
    <w:rsid w:val="00513025"/>
    <w:rsid w:val="0051355C"/>
    <w:rsid w:val="00513714"/>
    <w:rsid w:val="00516F72"/>
    <w:rsid w:val="00521390"/>
    <w:rsid w:val="005213B2"/>
    <w:rsid w:val="00522F3C"/>
    <w:rsid w:val="00523BB0"/>
    <w:rsid w:val="00524AE7"/>
    <w:rsid w:val="00524E9A"/>
    <w:rsid w:val="005258C9"/>
    <w:rsid w:val="005269A0"/>
    <w:rsid w:val="00530059"/>
    <w:rsid w:val="0053031A"/>
    <w:rsid w:val="0053092F"/>
    <w:rsid w:val="005317D7"/>
    <w:rsid w:val="00533C2B"/>
    <w:rsid w:val="00540B88"/>
    <w:rsid w:val="00542533"/>
    <w:rsid w:val="0054316F"/>
    <w:rsid w:val="005459E4"/>
    <w:rsid w:val="00546A7A"/>
    <w:rsid w:val="005474C4"/>
    <w:rsid w:val="00550A15"/>
    <w:rsid w:val="0055210A"/>
    <w:rsid w:val="0055283D"/>
    <w:rsid w:val="00552936"/>
    <w:rsid w:val="00552BF7"/>
    <w:rsid w:val="00555FE8"/>
    <w:rsid w:val="0055666A"/>
    <w:rsid w:val="0056276D"/>
    <w:rsid w:val="00562826"/>
    <w:rsid w:val="00564C8E"/>
    <w:rsid w:val="0056529A"/>
    <w:rsid w:val="00565943"/>
    <w:rsid w:val="00565E82"/>
    <w:rsid w:val="00566E8A"/>
    <w:rsid w:val="0056750F"/>
    <w:rsid w:val="00570F18"/>
    <w:rsid w:val="005719A8"/>
    <w:rsid w:val="00573772"/>
    <w:rsid w:val="0057482A"/>
    <w:rsid w:val="00574C55"/>
    <w:rsid w:val="00580A42"/>
    <w:rsid w:val="00583365"/>
    <w:rsid w:val="0058463B"/>
    <w:rsid w:val="00584AE0"/>
    <w:rsid w:val="00584CED"/>
    <w:rsid w:val="00585208"/>
    <w:rsid w:val="00585D79"/>
    <w:rsid w:val="00585D92"/>
    <w:rsid w:val="0058658D"/>
    <w:rsid w:val="00587154"/>
    <w:rsid w:val="00587951"/>
    <w:rsid w:val="00587E0A"/>
    <w:rsid w:val="0059008D"/>
    <w:rsid w:val="005906E7"/>
    <w:rsid w:val="005907C7"/>
    <w:rsid w:val="00590881"/>
    <w:rsid w:val="00591D4B"/>
    <w:rsid w:val="00591EAA"/>
    <w:rsid w:val="00592BAA"/>
    <w:rsid w:val="00593AED"/>
    <w:rsid w:val="00593E09"/>
    <w:rsid w:val="0059412E"/>
    <w:rsid w:val="00594E1D"/>
    <w:rsid w:val="00596D80"/>
    <w:rsid w:val="0059758D"/>
    <w:rsid w:val="005A01FC"/>
    <w:rsid w:val="005A10D0"/>
    <w:rsid w:val="005A130A"/>
    <w:rsid w:val="005A151D"/>
    <w:rsid w:val="005A1B88"/>
    <w:rsid w:val="005A23C2"/>
    <w:rsid w:val="005A27B9"/>
    <w:rsid w:val="005A4EC2"/>
    <w:rsid w:val="005B1619"/>
    <w:rsid w:val="005B23A2"/>
    <w:rsid w:val="005B4A9D"/>
    <w:rsid w:val="005B6880"/>
    <w:rsid w:val="005B6AFA"/>
    <w:rsid w:val="005B7477"/>
    <w:rsid w:val="005C1B40"/>
    <w:rsid w:val="005C1D29"/>
    <w:rsid w:val="005C28DF"/>
    <w:rsid w:val="005C5CEA"/>
    <w:rsid w:val="005C7F89"/>
    <w:rsid w:val="005D0291"/>
    <w:rsid w:val="005D073F"/>
    <w:rsid w:val="005D10F8"/>
    <w:rsid w:val="005D1A32"/>
    <w:rsid w:val="005D4DFA"/>
    <w:rsid w:val="005D6734"/>
    <w:rsid w:val="005D6FD7"/>
    <w:rsid w:val="005D6FFB"/>
    <w:rsid w:val="005D702A"/>
    <w:rsid w:val="005D74FE"/>
    <w:rsid w:val="005E04B9"/>
    <w:rsid w:val="005E097E"/>
    <w:rsid w:val="005E1C4B"/>
    <w:rsid w:val="005E30F2"/>
    <w:rsid w:val="005E3FD2"/>
    <w:rsid w:val="005E403F"/>
    <w:rsid w:val="005E40E4"/>
    <w:rsid w:val="005E4847"/>
    <w:rsid w:val="005E576D"/>
    <w:rsid w:val="005E6CD8"/>
    <w:rsid w:val="005E7E59"/>
    <w:rsid w:val="005F14F6"/>
    <w:rsid w:val="005F3C25"/>
    <w:rsid w:val="005F501C"/>
    <w:rsid w:val="00600517"/>
    <w:rsid w:val="00600614"/>
    <w:rsid w:val="00601C3C"/>
    <w:rsid w:val="00602388"/>
    <w:rsid w:val="00602C5E"/>
    <w:rsid w:val="00603A36"/>
    <w:rsid w:val="00604260"/>
    <w:rsid w:val="00604396"/>
    <w:rsid w:val="006053D7"/>
    <w:rsid w:val="00606018"/>
    <w:rsid w:val="006068DD"/>
    <w:rsid w:val="00606AD7"/>
    <w:rsid w:val="0060797F"/>
    <w:rsid w:val="006109FE"/>
    <w:rsid w:val="006126EB"/>
    <w:rsid w:val="00612D86"/>
    <w:rsid w:val="00613E9E"/>
    <w:rsid w:val="00614873"/>
    <w:rsid w:val="00615FE6"/>
    <w:rsid w:val="00616DE1"/>
    <w:rsid w:val="00622B35"/>
    <w:rsid w:val="00623E81"/>
    <w:rsid w:val="00625936"/>
    <w:rsid w:val="006264C7"/>
    <w:rsid w:val="006269A7"/>
    <w:rsid w:val="00626C08"/>
    <w:rsid w:val="00626D50"/>
    <w:rsid w:val="00631464"/>
    <w:rsid w:val="00632CC6"/>
    <w:rsid w:val="00632D39"/>
    <w:rsid w:val="0063435C"/>
    <w:rsid w:val="00636FA4"/>
    <w:rsid w:val="0063775F"/>
    <w:rsid w:val="006408BE"/>
    <w:rsid w:val="00641431"/>
    <w:rsid w:val="00642250"/>
    <w:rsid w:val="006422C9"/>
    <w:rsid w:val="0064361D"/>
    <w:rsid w:val="006459F2"/>
    <w:rsid w:val="00645C43"/>
    <w:rsid w:val="00646919"/>
    <w:rsid w:val="00646BBF"/>
    <w:rsid w:val="0064726A"/>
    <w:rsid w:val="0064730D"/>
    <w:rsid w:val="00647569"/>
    <w:rsid w:val="0065088E"/>
    <w:rsid w:val="00651964"/>
    <w:rsid w:val="006524F6"/>
    <w:rsid w:val="0065794A"/>
    <w:rsid w:val="00661182"/>
    <w:rsid w:val="00661CF6"/>
    <w:rsid w:val="0066208F"/>
    <w:rsid w:val="00662F08"/>
    <w:rsid w:val="006643EC"/>
    <w:rsid w:val="0066506D"/>
    <w:rsid w:val="00667303"/>
    <w:rsid w:val="00667914"/>
    <w:rsid w:val="00667FDA"/>
    <w:rsid w:val="006703D6"/>
    <w:rsid w:val="00670E3A"/>
    <w:rsid w:val="00671752"/>
    <w:rsid w:val="0067291F"/>
    <w:rsid w:val="00672E88"/>
    <w:rsid w:val="0067535C"/>
    <w:rsid w:val="0067540B"/>
    <w:rsid w:val="00676865"/>
    <w:rsid w:val="00680230"/>
    <w:rsid w:val="00680444"/>
    <w:rsid w:val="00681AF3"/>
    <w:rsid w:val="00682B14"/>
    <w:rsid w:val="00683293"/>
    <w:rsid w:val="00683F62"/>
    <w:rsid w:val="00687312"/>
    <w:rsid w:val="00692244"/>
    <w:rsid w:val="006923BA"/>
    <w:rsid w:val="0069246D"/>
    <w:rsid w:val="0069317F"/>
    <w:rsid w:val="00693C91"/>
    <w:rsid w:val="00694504"/>
    <w:rsid w:val="00694F23"/>
    <w:rsid w:val="006956CE"/>
    <w:rsid w:val="00695FBF"/>
    <w:rsid w:val="00696044"/>
    <w:rsid w:val="00696A5C"/>
    <w:rsid w:val="00697417"/>
    <w:rsid w:val="00697B7D"/>
    <w:rsid w:val="006A0318"/>
    <w:rsid w:val="006A09BA"/>
    <w:rsid w:val="006A0AF0"/>
    <w:rsid w:val="006A0C73"/>
    <w:rsid w:val="006A2574"/>
    <w:rsid w:val="006A2FFF"/>
    <w:rsid w:val="006A349E"/>
    <w:rsid w:val="006A4763"/>
    <w:rsid w:val="006A47C3"/>
    <w:rsid w:val="006A511C"/>
    <w:rsid w:val="006A54B9"/>
    <w:rsid w:val="006A7BF9"/>
    <w:rsid w:val="006B04D2"/>
    <w:rsid w:val="006B0F54"/>
    <w:rsid w:val="006B1053"/>
    <w:rsid w:val="006B29E4"/>
    <w:rsid w:val="006B5BB5"/>
    <w:rsid w:val="006C0CE0"/>
    <w:rsid w:val="006C0D5B"/>
    <w:rsid w:val="006C3949"/>
    <w:rsid w:val="006C55E3"/>
    <w:rsid w:val="006C5C5A"/>
    <w:rsid w:val="006C68AE"/>
    <w:rsid w:val="006D0DAB"/>
    <w:rsid w:val="006D2D11"/>
    <w:rsid w:val="006D35B5"/>
    <w:rsid w:val="006D5500"/>
    <w:rsid w:val="006D56A6"/>
    <w:rsid w:val="006D609D"/>
    <w:rsid w:val="006D7497"/>
    <w:rsid w:val="006E19E4"/>
    <w:rsid w:val="006E31EF"/>
    <w:rsid w:val="006E3606"/>
    <w:rsid w:val="006E3A27"/>
    <w:rsid w:val="006E4A38"/>
    <w:rsid w:val="006E4FA9"/>
    <w:rsid w:val="006E51C3"/>
    <w:rsid w:val="006E5FF5"/>
    <w:rsid w:val="006F05FA"/>
    <w:rsid w:val="006F0F2D"/>
    <w:rsid w:val="006F1095"/>
    <w:rsid w:val="006F2F65"/>
    <w:rsid w:val="006F3302"/>
    <w:rsid w:val="006F6510"/>
    <w:rsid w:val="006F7569"/>
    <w:rsid w:val="00700958"/>
    <w:rsid w:val="00702C95"/>
    <w:rsid w:val="00703ABB"/>
    <w:rsid w:val="007109D2"/>
    <w:rsid w:val="007116F0"/>
    <w:rsid w:val="00711C40"/>
    <w:rsid w:val="00713CF4"/>
    <w:rsid w:val="00713F39"/>
    <w:rsid w:val="0071429D"/>
    <w:rsid w:val="00715CAB"/>
    <w:rsid w:val="00717242"/>
    <w:rsid w:val="007173B4"/>
    <w:rsid w:val="0072069D"/>
    <w:rsid w:val="00721490"/>
    <w:rsid w:val="00722A62"/>
    <w:rsid w:val="00722D76"/>
    <w:rsid w:val="007239FD"/>
    <w:rsid w:val="0072604F"/>
    <w:rsid w:val="00726717"/>
    <w:rsid w:val="007271A5"/>
    <w:rsid w:val="00727E8A"/>
    <w:rsid w:val="00733273"/>
    <w:rsid w:val="00735553"/>
    <w:rsid w:val="00735871"/>
    <w:rsid w:val="00735CCC"/>
    <w:rsid w:val="00736108"/>
    <w:rsid w:val="0073619D"/>
    <w:rsid w:val="00740749"/>
    <w:rsid w:val="007452F2"/>
    <w:rsid w:val="00746390"/>
    <w:rsid w:val="007514A6"/>
    <w:rsid w:val="007526C8"/>
    <w:rsid w:val="00753DB8"/>
    <w:rsid w:val="00754F59"/>
    <w:rsid w:val="00755B02"/>
    <w:rsid w:val="00756AED"/>
    <w:rsid w:val="007574AB"/>
    <w:rsid w:val="0076283E"/>
    <w:rsid w:val="00764B92"/>
    <w:rsid w:val="00765695"/>
    <w:rsid w:val="00766024"/>
    <w:rsid w:val="00766359"/>
    <w:rsid w:val="00766766"/>
    <w:rsid w:val="00766C57"/>
    <w:rsid w:val="00770F0A"/>
    <w:rsid w:val="007716AE"/>
    <w:rsid w:val="007734E6"/>
    <w:rsid w:val="0077378F"/>
    <w:rsid w:val="00775C72"/>
    <w:rsid w:val="00776810"/>
    <w:rsid w:val="00776A99"/>
    <w:rsid w:val="007808C7"/>
    <w:rsid w:val="00782307"/>
    <w:rsid w:val="00782DA5"/>
    <w:rsid w:val="00783648"/>
    <w:rsid w:val="00784C6B"/>
    <w:rsid w:val="00785A48"/>
    <w:rsid w:val="0078737F"/>
    <w:rsid w:val="00787489"/>
    <w:rsid w:val="00787CAD"/>
    <w:rsid w:val="00790902"/>
    <w:rsid w:val="00791C3D"/>
    <w:rsid w:val="007922AF"/>
    <w:rsid w:val="00793719"/>
    <w:rsid w:val="007943C8"/>
    <w:rsid w:val="00794E8C"/>
    <w:rsid w:val="00796F41"/>
    <w:rsid w:val="007A04A4"/>
    <w:rsid w:val="007A38BC"/>
    <w:rsid w:val="007A3E35"/>
    <w:rsid w:val="007A41C5"/>
    <w:rsid w:val="007A534F"/>
    <w:rsid w:val="007A5779"/>
    <w:rsid w:val="007A6B9C"/>
    <w:rsid w:val="007A6D62"/>
    <w:rsid w:val="007B0B09"/>
    <w:rsid w:val="007B0E55"/>
    <w:rsid w:val="007B0F81"/>
    <w:rsid w:val="007B179E"/>
    <w:rsid w:val="007B194D"/>
    <w:rsid w:val="007B353B"/>
    <w:rsid w:val="007B3F43"/>
    <w:rsid w:val="007B43BB"/>
    <w:rsid w:val="007B4A55"/>
    <w:rsid w:val="007B4BE9"/>
    <w:rsid w:val="007B4EF8"/>
    <w:rsid w:val="007B4FC0"/>
    <w:rsid w:val="007B511E"/>
    <w:rsid w:val="007B533D"/>
    <w:rsid w:val="007B5A0A"/>
    <w:rsid w:val="007B6ECF"/>
    <w:rsid w:val="007B73E7"/>
    <w:rsid w:val="007B740D"/>
    <w:rsid w:val="007B750E"/>
    <w:rsid w:val="007B7BB5"/>
    <w:rsid w:val="007C052C"/>
    <w:rsid w:val="007C0A6D"/>
    <w:rsid w:val="007C46D2"/>
    <w:rsid w:val="007C6C78"/>
    <w:rsid w:val="007C707C"/>
    <w:rsid w:val="007D1A2E"/>
    <w:rsid w:val="007D1BC7"/>
    <w:rsid w:val="007D43B9"/>
    <w:rsid w:val="007D4F2E"/>
    <w:rsid w:val="007D5820"/>
    <w:rsid w:val="007D6904"/>
    <w:rsid w:val="007D756C"/>
    <w:rsid w:val="007E280D"/>
    <w:rsid w:val="007E2E16"/>
    <w:rsid w:val="007E33ED"/>
    <w:rsid w:val="007E49EC"/>
    <w:rsid w:val="007E4BC9"/>
    <w:rsid w:val="007E4E39"/>
    <w:rsid w:val="007E57CF"/>
    <w:rsid w:val="007E5845"/>
    <w:rsid w:val="007E60B1"/>
    <w:rsid w:val="007F0883"/>
    <w:rsid w:val="007F18D1"/>
    <w:rsid w:val="007F193D"/>
    <w:rsid w:val="007F3FD9"/>
    <w:rsid w:val="007F45F5"/>
    <w:rsid w:val="007F4C35"/>
    <w:rsid w:val="007F5595"/>
    <w:rsid w:val="007F773F"/>
    <w:rsid w:val="00800122"/>
    <w:rsid w:val="0080166C"/>
    <w:rsid w:val="00801806"/>
    <w:rsid w:val="0080279D"/>
    <w:rsid w:val="008032E8"/>
    <w:rsid w:val="008038D7"/>
    <w:rsid w:val="008041A0"/>
    <w:rsid w:val="00804C1B"/>
    <w:rsid w:val="00805AD0"/>
    <w:rsid w:val="00806897"/>
    <w:rsid w:val="00807ACB"/>
    <w:rsid w:val="00811E0C"/>
    <w:rsid w:val="00813122"/>
    <w:rsid w:val="0081404F"/>
    <w:rsid w:val="0081533D"/>
    <w:rsid w:val="00815864"/>
    <w:rsid w:val="008162EF"/>
    <w:rsid w:val="0081717B"/>
    <w:rsid w:val="00817904"/>
    <w:rsid w:val="00822EE1"/>
    <w:rsid w:val="00825637"/>
    <w:rsid w:val="00826105"/>
    <w:rsid w:val="00827201"/>
    <w:rsid w:val="00830238"/>
    <w:rsid w:val="00831B62"/>
    <w:rsid w:val="008332F2"/>
    <w:rsid w:val="008340C1"/>
    <w:rsid w:val="00835199"/>
    <w:rsid w:val="008358EE"/>
    <w:rsid w:val="00836A83"/>
    <w:rsid w:val="00836AE5"/>
    <w:rsid w:val="00836E8B"/>
    <w:rsid w:val="00836FD9"/>
    <w:rsid w:val="00837314"/>
    <w:rsid w:val="00843D40"/>
    <w:rsid w:val="00844B01"/>
    <w:rsid w:val="00844BE7"/>
    <w:rsid w:val="008453B8"/>
    <w:rsid w:val="00845923"/>
    <w:rsid w:val="00851146"/>
    <w:rsid w:val="00851DE1"/>
    <w:rsid w:val="008524E9"/>
    <w:rsid w:val="008527E4"/>
    <w:rsid w:val="00855423"/>
    <w:rsid w:val="00855BF7"/>
    <w:rsid w:val="008604EB"/>
    <w:rsid w:val="0086169C"/>
    <w:rsid w:val="0086621B"/>
    <w:rsid w:val="0086646C"/>
    <w:rsid w:val="00870EAA"/>
    <w:rsid w:val="0087301F"/>
    <w:rsid w:val="00873DA1"/>
    <w:rsid w:val="00873E35"/>
    <w:rsid w:val="00873E83"/>
    <w:rsid w:val="008750C7"/>
    <w:rsid w:val="008756A2"/>
    <w:rsid w:val="00875915"/>
    <w:rsid w:val="0087656C"/>
    <w:rsid w:val="00877160"/>
    <w:rsid w:val="008805C5"/>
    <w:rsid w:val="008815E4"/>
    <w:rsid w:val="008818D9"/>
    <w:rsid w:val="00881C7B"/>
    <w:rsid w:val="00883A36"/>
    <w:rsid w:val="00886517"/>
    <w:rsid w:val="00886BDB"/>
    <w:rsid w:val="00887110"/>
    <w:rsid w:val="00887D59"/>
    <w:rsid w:val="008902D8"/>
    <w:rsid w:val="008911E8"/>
    <w:rsid w:val="00891417"/>
    <w:rsid w:val="00892877"/>
    <w:rsid w:val="008947CA"/>
    <w:rsid w:val="00895E61"/>
    <w:rsid w:val="008A068A"/>
    <w:rsid w:val="008A1AFE"/>
    <w:rsid w:val="008A2F25"/>
    <w:rsid w:val="008A4DD0"/>
    <w:rsid w:val="008A6169"/>
    <w:rsid w:val="008A6F83"/>
    <w:rsid w:val="008A7800"/>
    <w:rsid w:val="008B02D1"/>
    <w:rsid w:val="008B118B"/>
    <w:rsid w:val="008B1B38"/>
    <w:rsid w:val="008B226A"/>
    <w:rsid w:val="008B3671"/>
    <w:rsid w:val="008B4CEA"/>
    <w:rsid w:val="008B572E"/>
    <w:rsid w:val="008B5781"/>
    <w:rsid w:val="008B5B31"/>
    <w:rsid w:val="008C00B2"/>
    <w:rsid w:val="008C094A"/>
    <w:rsid w:val="008C1F5C"/>
    <w:rsid w:val="008C29F6"/>
    <w:rsid w:val="008C32A0"/>
    <w:rsid w:val="008C36F1"/>
    <w:rsid w:val="008C4207"/>
    <w:rsid w:val="008C4391"/>
    <w:rsid w:val="008C5F0C"/>
    <w:rsid w:val="008C60C5"/>
    <w:rsid w:val="008C6376"/>
    <w:rsid w:val="008C6550"/>
    <w:rsid w:val="008C6DB0"/>
    <w:rsid w:val="008D02DE"/>
    <w:rsid w:val="008D2B52"/>
    <w:rsid w:val="008D3DA6"/>
    <w:rsid w:val="008D3F39"/>
    <w:rsid w:val="008D4FE8"/>
    <w:rsid w:val="008D5999"/>
    <w:rsid w:val="008D5DEB"/>
    <w:rsid w:val="008D70BF"/>
    <w:rsid w:val="008D76BF"/>
    <w:rsid w:val="008E05BA"/>
    <w:rsid w:val="008E236A"/>
    <w:rsid w:val="008E35A2"/>
    <w:rsid w:val="008E49CC"/>
    <w:rsid w:val="008E4C42"/>
    <w:rsid w:val="008E56CB"/>
    <w:rsid w:val="008E64D7"/>
    <w:rsid w:val="008E65B4"/>
    <w:rsid w:val="008E6E03"/>
    <w:rsid w:val="008F0081"/>
    <w:rsid w:val="008F0A1C"/>
    <w:rsid w:val="008F0D62"/>
    <w:rsid w:val="008F12ED"/>
    <w:rsid w:val="008F3881"/>
    <w:rsid w:val="008F433B"/>
    <w:rsid w:val="008F5212"/>
    <w:rsid w:val="008F761F"/>
    <w:rsid w:val="009009D8"/>
    <w:rsid w:val="0090411A"/>
    <w:rsid w:val="009043E9"/>
    <w:rsid w:val="009061AB"/>
    <w:rsid w:val="00907849"/>
    <w:rsid w:val="00907B69"/>
    <w:rsid w:val="009100B9"/>
    <w:rsid w:val="009105D1"/>
    <w:rsid w:val="009118DA"/>
    <w:rsid w:val="00912E40"/>
    <w:rsid w:val="00915EEE"/>
    <w:rsid w:val="009203ED"/>
    <w:rsid w:val="009227E1"/>
    <w:rsid w:val="0092574A"/>
    <w:rsid w:val="00925CC8"/>
    <w:rsid w:val="009265AD"/>
    <w:rsid w:val="009269A0"/>
    <w:rsid w:val="00927358"/>
    <w:rsid w:val="00931D58"/>
    <w:rsid w:val="00934558"/>
    <w:rsid w:val="00934648"/>
    <w:rsid w:val="00934D1E"/>
    <w:rsid w:val="00940AAB"/>
    <w:rsid w:val="009411BC"/>
    <w:rsid w:val="00944159"/>
    <w:rsid w:val="00944BD1"/>
    <w:rsid w:val="009467A6"/>
    <w:rsid w:val="00947B01"/>
    <w:rsid w:val="00947B47"/>
    <w:rsid w:val="00950070"/>
    <w:rsid w:val="0095017C"/>
    <w:rsid w:val="00952586"/>
    <w:rsid w:val="00952A2F"/>
    <w:rsid w:val="009533A1"/>
    <w:rsid w:val="009555FF"/>
    <w:rsid w:val="009560AA"/>
    <w:rsid w:val="009564A1"/>
    <w:rsid w:val="009569F5"/>
    <w:rsid w:val="0096082A"/>
    <w:rsid w:val="00962DEA"/>
    <w:rsid w:val="00966781"/>
    <w:rsid w:val="009670DF"/>
    <w:rsid w:val="009701AF"/>
    <w:rsid w:val="00970927"/>
    <w:rsid w:val="009735AF"/>
    <w:rsid w:val="00975440"/>
    <w:rsid w:val="00975C9E"/>
    <w:rsid w:val="009761F8"/>
    <w:rsid w:val="0097660A"/>
    <w:rsid w:val="009770CC"/>
    <w:rsid w:val="009804B0"/>
    <w:rsid w:val="00980A3B"/>
    <w:rsid w:val="009819BA"/>
    <w:rsid w:val="00983536"/>
    <w:rsid w:val="00986695"/>
    <w:rsid w:val="00990251"/>
    <w:rsid w:val="009948FA"/>
    <w:rsid w:val="00997A83"/>
    <w:rsid w:val="00997E8E"/>
    <w:rsid w:val="009A1708"/>
    <w:rsid w:val="009A1B9E"/>
    <w:rsid w:val="009A1FA3"/>
    <w:rsid w:val="009A26B5"/>
    <w:rsid w:val="009A3229"/>
    <w:rsid w:val="009A40EE"/>
    <w:rsid w:val="009A43B4"/>
    <w:rsid w:val="009A5055"/>
    <w:rsid w:val="009A5C2D"/>
    <w:rsid w:val="009A6884"/>
    <w:rsid w:val="009B088C"/>
    <w:rsid w:val="009B0B6E"/>
    <w:rsid w:val="009B1813"/>
    <w:rsid w:val="009B1980"/>
    <w:rsid w:val="009B1C33"/>
    <w:rsid w:val="009B21E0"/>
    <w:rsid w:val="009B2FCB"/>
    <w:rsid w:val="009B3EAE"/>
    <w:rsid w:val="009B4633"/>
    <w:rsid w:val="009B520B"/>
    <w:rsid w:val="009B57F3"/>
    <w:rsid w:val="009C09AE"/>
    <w:rsid w:val="009C1695"/>
    <w:rsid w:val="009C1D77"/>
    <w:rsid w:val="009C1F56"/>
    <w:rsid w:val="009C3342"/>
    <w:rsid w:val="009C4E8E"/>
    <w:rsid w:val="009C606F"/>
    <w:rsid w:val="009C632B"/>
    <w:rsid w:val="009C7031"/>
    <w:rsid w:val="009D1B95"/>
    <w:rsid w:val="009D329D"/>
    <w:rsid w:val="009D466E"/>
    <w:rsid w:val="009D4BF4"/>
    <w:rsid w:val="009E00AD"/>
    <w:rsid w:val="009E1D11"/>
    <w:rsid w:val="009E2656"/>
    <w:rsid w:val="009E5311"/>
    <w:rsid w:val="009E689B"/>
    <w:rsid w:val="009E6BD5"/>
    <w:rsid w:val="009E769D"/>
    <w:rsid w:val="009E7780"/>
    <w:rsid w:val="009F029F"/>
    <w:rsid w:val="009F23A2"/>
    <w:rsid w:val="009F2C3E"/>
    <w:rsid w:val="009F372D"/>
    <w:rsid w:val="009F5706"/>
    <w:rsid w:val="009F6A48"/>
    <w:rsid w:val="009F7E0B"/>
    <w:rsid w:val="00A003E1"/>
    <w:rsid w:val="00A00726"/>
    <w:rsid w:val="00A01708"/>
    <w:rsid w:val="00A023BD"/>
    <w:rsid w:val="00A02DD9"/>
    <w:rsid w:val="00A05779"/>
    <w:rsid w:val="00A05E1B"/>
    <w:rsid w:val="00A074D8"/>
    <w:rsid w:val="00A07895"/>
    <w:rsid w:val="00A1551C"/>
    <w:rsid w:val="00A168F8"/>
    <w:rsid w:val="00A16A9C"/>
    <w:rsid w:val="00A204FC"/>
    <w:rsid w:val="00A20A05"/>
    <w:rsid w:val="00A22980"/>
    <w:rsid w:val="00A24222"/>
    <w:rsid w:val="00A24340"/>
    <w:rsid w:val="00A3143A"/>
    <w:rsid w:val="00A31BD8"/>
    <w:rsid w:val="00A34627"/>
    <w:rsid w:val="00A34FD4"/>
    <w:rsid w:val="00A350AE"/>
    <w:rsid w:val="00A35C59"/>
    <w:rsid w:val="00A3703D"/>
    <w:rsid w:val="00A372FE"/>
    <w:rsid w:val="00A373B0"/>
    <w:rsid w:val="00A402BC"/>
    <w:rsid w:val="00A40FA7"/>
    <w:rsid w:val="00A41AE9"/>
    <w:rsid w:val="00A43264"/>
    <w:rsid w:val="00A434E2"/>
    <w:rsid w:val="00A446FF"/>
    <w:rsid w:val="00A44B6D"/>
    <w:rsid w:val="00A45E54"/>
    <w:rsid w:val="00A47BDF"/>
    <w:rsid w:val="00A515DB"/>
    <w:rsid w:val="00A51AF1"/>
    <w:rsid w:val="00A53FA3"/>
    <w:rsid w:val="00A55E1D"/>
    <w:rsid w:val="00A56E45"/>
    <w:rsid w:val="00A5717F"/>
    <w:rsid w:val="00A60A1D"/>
    <w:rsid w:val="00A60E50"/>
    <w:rsid w:val="00A617DF"/>
    <w:rsid w:val="00A61EE8"/>
    <w:rsid w:val="00A6247A"/>
    <w:rsid w:val="00A6252F"/>
    <w:rsid w:val="00A62A6A"/>
    <w:rsid w:val="00A640D6"/>
    <w:rsid w:val="00A64448"/>
    <w:rsid w:val="00A65673"/>
    <w:rsid w:val="00A65D84"/>
    <w:rsid w:val="00A70148"/>
    <w:rsid w:val="00A704AA"/>
    <w:rsid w:val="00A70B6E"/>
    <w:rsid w:val="00A710CC"/>
    <w:rsid w:val="00A76589"/>
    <w:rsid w:val="00A8054F"/>
    <w:rsid w:val="00A84317"/>
    <w:rsid w:val="00A84590"/>
    <w:rsid w:val="00A846F1"/>
    <w:rsid w:val="00A84CBB"/>
    <w:rsid w:val="00A859E9"/>
    <w:rsid w:val="00A90E92"/>
    <w:rsid w:val="00A91036"/>
    <w:rsid w:val="00A91699"/>
    <w:rsid w:val="00A91BC6"/>
    <w:rsid w:val="00A92CE8"/>
    <w:rsid w:val="00A94EE9"/>
    <w:rsid w:val="00A94FEB"/>
    <w:rsid w:val="00A954E6"/>
    <w:rsid w:val="00A970A8"/>
    <w:rsid w:val="00A97391"/>
    <w:rsid w:val="00AA01F0"/>
    <w:rsid w:val="00AA1041"/>
    <w:rsid w:val="00AA3224"/>
    <w:rsid w:val="00AA398F"/>
    <w:rsid w:val="00AA4D63"/>
    <w:rsid w:val="00AA4E6C"/>
    <w:rsid w:val="00AA5E9A"/>
    <w:rsid w:val="00AA75EE"/>
    <w:rsid w:val="00AA7C33"/>
    <w:rsid w:val="00AB0241"/>
    <w:rsid w:val="00AB215B"/>
    <w:rsid w:val="00AB2251"/>
    <w:rsid w:val="00AB3B09"/>
    <w:rsid w:val="00AB3C3B"/>
    <w:rsid w:val="00AB77E4"/>
    <w:rsid w:val="00AC337F"/>
    <w:rsid w:val="00AC4BC0"/>
    <w:rsid w:val="00AC6804"/>
    <w:rsid w:val="00AC70A8"/>
    <w:rsid w:val="00AD0174"/>
    <w:rsid w:val="00AD0188"/>
    <w:rsid w:val="00AD2464"/>
    <w:rsid w:val="00AD438E"/>
    <w:rsid w:val="00AD4BC2"/>
    <w:rsid w:val="00AD7455"/>
    <w:rsid w:val="00AD754B"/>
    <w:rsid w:val="00AE0059"/>
    <w:rsid w:val="00AE1A1A"/>
    <w:rsid w:val="00AE3DC7"/>
    <w:rsid w:val="00AE5AEA"/>
    <w:rsid w:val="00AE7AD8"/>
    <w:rsid w:val="00AE7EF7"/>
    <w:rsid w:val="00AF07A5"/>
    <w:rsid w:val="00AF140B"/>
    <w:rsid w:val="00AF2C9F"/>
    <w:rsid w:val="00AF4095"/>
    <w:rsid w:val="00AF4377"/>
    <w:rsid w:val="00AF761E"/>
    <w:rsid w:val="00AF766E"/>
    <w:rsid w:val="00B003C0"/>
    <w:rsid w:val="00B00998"/>
    <w:rsid w:val="00B00AFE"/>
    <w:rsid w:val="00B01A26"/>
    <w:rsid w:val="00B031C1"/>
    <w:rsid w:val="00B04068"/>
    <w:rsid w:val="00B05282"/>
    <w:rsid w:val="00B06D0E"/>
    <w:rsid w:val="00B06FA3"/>
    <w:rsid w:val="00B07458"/>
    <w:rsid w:val="00B07794"/>
    <w:rsid w:val="00B116A3"/>
    <w:rsid w:val="00B119B4"/>
    <w:rsid w:val="00B13B98"/>
    <w:rsid w:val="00B145AB"/>
    <w:rsid w:val="00B15ED2"/>
    <w:rsid w:val="00B1617D"/>
    <w:rsid w:val="00B20B53"/>
    <w:rsid w:val="00B24B0F"/>
    <w:rsid w:val="00B25E7E"/>
    <w:rsid w:val="00B27141"/>
    <w:rsid w:val="00B27CF2"/>
    <w:rsid w:val="00B30BC9"/>
    <w:rsid w:val="00B3403B"/>
    <w:rsid w:val="00B34ABB"/>
    <w:rsid w:val="00B3600F"/>
    <w:rsid w:val="00B36FEC"/>
    <w:rsid w:val="00B37434"/>
    <w:rsid w:val="00B37BA4"/>
    <w:rsid w:val="00B40646"/>
    <w:rsid w:val="00B413A5"/>
    <w:rsid w:val="00B4241C"/>
    <w:rsid w:val="00B44AC7"/>
    <w:rsid w:val="00B45469"/>
    <w:rsid w:val="00B467AA"/>
    <w:rsid w:val="00B47110"/>
    <w:rsid w:val="00B4786F"/>
    <w:rsid w:val="00B53C66"/>
    <w:rsid w:val="00B53D6F"/>
    <w:rsid w:val="00B53E24"/>
    <w:rsid w:val="00B553E9"/>
    <w:rsid w:val="00B55B74"/>
    <w:rsid w:val="00B55D09"/>
    <w:rsid w:val="00B55ED9"/>
    <w:rsid w:val="00B56B65"/>
    <w:rsid w:val="00B579F2"/>
    <w:rsid w:val="00B57AE4"/>
    <w:rsid w:val="00B63921"/>
    <w:rsid w:val="00B63F83"/>
    <w:rsid w:val="00B6484F"/>
    <w:rsid w:val="00B6737C"/>
    <w:rsid w:val="00B71143"/>
    <w:rsid w:val="00B719C4"/>
    <w:rsid w:val="00B730EF"/>
    <w:rsid w:val="00B7429B"/>
    <w:rsid w:val="00B74882"/>
    <w:rsid w:val="00B77BBC"/>
    <w:rsid w:val="00B80532"/>
    <w:rsid w:val="00B8086B"/>
    <w:rsid w:val="00B812D0"/>
    <w:rsid w:val="00B83839"/>
    <w:rsid w:val="00B83CCC"/>
    <w:rsid w:val="00B83CFF"/>
    <w:rsid w:val="00B846F1"/>
    <w:rsid w:val="00B852E0"/>
    <w:rsid w:val="00B85FDB"/>
    <w:rsid w:val="00B862CB"/>
    <w:rsid w:val="00B87C3B"/>
    <w:rsid w:val="00B91F56"/>
    <w:rsid w:val="00B93497"/>
    <w:rsid w:val="00B93A8E"/>
    <w:rsid w:val="00B975A8"/>
    <w:rsid w:val="00B97C53"/>
    <w:rsid w:val="00B97E07"/>
    <w:rsid w:val="00BA049D"/>
    <w:rsid w:val="00BA05A5"/>
    <w:rsid w:val="00BA0C0A"/>
    <w:rsid w:val="00BA29ED"/>
    <w:rsid w:val="00BA3BFA"/>
    <w:rsid w:val="00BA3C70"/>
    <w:rsid w:val="00BA3EB3"/>
    <w:rsid w:val="00BA4EEA"/>
    <w:rsid w:val="00BA4FE6"/>
    <w:rsid w:val="00BA5ED1"/>
    <w:rsid w:val="00BA7B09"/>
    <w:rsid w:val="00BB1BF9"/>
    <w:rsid w:val="00BB3F6C"/>
    <w:rsid w:val="00BB440B"/>
    <w:rsid w:val="00BC0050"/>
    <w:rsid w:val="00BC1D05"/>
    <w:rsid w:val="00BC3B5B"/>
    <w:rsid w:val="00BC6AF7"/>
    <w:rsid w:val="00BC6B5C"/>
    <w:rsid w:val="00BC77EA"/>
    <w:rsid w:val="00BD1851"/>
    <w:rsid w:val="00BD204C"/>
    <w:rsid w:val="00BD2A30"/>
    <w:rsid w:val="00BD416A"/>
    <w:rsid w:val="00BD4CD5"/>
    <w:rsid w:val="00BD5D90"/>
    <w:rsid w:val="00BD5FB6"/>
    <w:rsid w:val="00BE0454"/>
    <w:rsid w:val="00BE0DB4"/>
    <w:rsid w:val="00BE24D3"/>
    <w:rsid w:val="00BE35A7"/>
    <w:rsid w:val="00BE479B"/>
    <w:rsid w:val="00BE4811"/>
    <w:rsid w:val="00BE7E11"/>
    <w:rsid w:val="00BF15F8"/>
    <w:rsid w:val="00BF1C96"/>
    <w:rsid w:val="00BF2530"/>
    <w:rsid w:val="00BF269B"/>
    <w:rsid w:val="00BF3771"/>
    <w:rsid w:val="00BF4460"/>
    <w:rsid w:val="00BF4DEE"/>
    <w:rsid w:val="00BF7B01"/>
    <w:rsid w:val="00C00763"/>
    <w:rsid w:val="00C00791"/>
    <w:rsid w:val="00C007A6"/>
    <w:rsid w:val="00C01191"/>
    <w:rsid w:val="00C0327B"/>
    <w:rsid w:val="00C04746"/>
    <w:rsid w:val="00C05583"/>
    <w:rsid w:val="00C07C6C"/>
    <w:rsid w:val="00C10329"/>
    <w:rsid w:val="00C10E50"/>
    <w:rsid w:val="00C110AE"/>
    <w:rsid w:val="00C11F13"/>
    <w:rsid w:val="00C132CF"/>
    <w:rsid w:val="00C1438F"/>
    <w:rsid w:val="00C14AFE"/>
    <w:rsid w:val="00C15981"/>
    <w:rsid w:val="00C16ACD"/>
    <w:rsid w:val="00C17521"/>
    <w:rsid w:val="00C17C50"/>
    <w:rsid w:val="00C20AFF"/>
    <w:rsid w:val="00C2124C"/>
    <w:rsid w:val="00C21EA4"/>
    <w:rsid w:val="00C22871"/>
    <w:rsid w:val="00C24069"/>
    <w:rsid w:val="00C2585D"/>
    <w:rsid w:val="00C260F3"/>
    <w:rsid w:val="00C264D0"/>
    <w:rsid w:val="00C27BBF"/>
    <w:rsid w:val="00C30A79"/>
    <w:rsid w:val="00C32189"/>
    <w:rsid w:val="00C35270"/>
    <w:rsid w:val="00C356C5"/>
    <w:rsid w:val="00C36082"/>
    <w:rsid w:val="00C377A7"/>
    <w:rsid w:val="00C37ED2"/>
    <w:rsid w:val="00C40276"/>
    <w:rsid w:val="00C40677"/>
    <w:rsid w:val="00C410C6"/>
    <w:rsid w:val="00C41A33"/>
    <w:rsid w:val="00C43281"/>
    <w:rsid w:val="00C438D7"/>
    <w:rsid w:val="00C44087"/>
    <w:rsid w:val="00C445E7"/>
    <w:rsid w:val="00C45FDB"/>
    <w:rsid w:val="00C461FD"/>
    <w:rsid w:val="00C47AEA"/>
    <w:rsid w:val="00C50714"/>
    <w:rsid w:val="00C5272C"/>
    <w:rsid w:val="00C52827"/>
    <w:rsid w:val="00C5355B"/>
    <w:rsid w:val="00C53E77"/>
    <w:rsid w:val="00C54473"/>
    <w:rsid w:val="00C54F0D"/>
    <w:rsid w:val="00C557CF"/>
    <w:rsid w:val="00C61A18"/>
    <w:rsid w:val="00C62787"/>
    <w:rsid w:val="00C634F1"/>
    <w:rsid w:val="00C65741"/>
    <w:rsid w:val="00C66690"/>
    <w:rsid w:val="00C71199"/>
    <w:rsid w:val="00C72848"/>
    <w:rsid w:val="00C729AD"/>
    <w:rsid w:val="00C72CDD"/>
    <w:rsid w:val="00C7332E"/>
    <w:rsid w:val="00C7412A"/>
    <w:rsid w:val="00C748A0"/>
    <w:rsid w:val="00C75BB8"/>
    <w:rsid w:val="00C75CEF"/>
    <w:rsid w:val="00C77618"/>
    <w:rsid w:val="00C810F2"/>
    <w:rsid w:val="00C827D0"/>
    <w:rsid w:val="00C82F8A"/>
    <w:rsid w:val="00C82F90"/>
    <w:rsid w:val="00C83131"/>
    <w:rsid w:val="00C8412F"/>
    <w:rsid w:val="00C84E5C"/>
    <w:rsid w:val="00C85D6E"/>
    <w:rsid w:val="00C873C1"/>
    <w:rsid w:val="00C90B25"/>
    <w:rsid w:val="00C93E1E"/>
    <w:rsid w:val="00C941EA"/>
    <w:rsid w:val="00C954D4"/>
    <w:rsid w:val="00C9693E"/>
    <w:rsid w:val="00C96E8D"/>
    <w:rsid w:val="00C971D4"/>
    <w:rsid w:val="00C979D5"/>
    <w:rsid w:val="00CA1544"/>
    <w:rsid w:val="00CA15E2"/>
    <w:rsid w:val="00CA1CD6"/>
    <w:rsid w:val="00CA23E7"/>
    <w:rsid w:val="00CA2894"/>
    <w:rsid w:val="00CA2BCF"/>
    <w:rsid w:val="00CA370A"/>
    <w:rsid w:val="00CA4170"/>
    <w:rsid w:val="00CA6361"/>
    <w:rsid w:val="00CA794B"/>
    <w:rsid w:val="00CA7C85"/>
    <w:rsid w:val="00CA7D61"/>
    <w:rsid w:val="00CB0B65"/>
    <w:rsid w:val="00CB2705"/>
    <w:rsid w:val="00CB290A"/>
    <w:rsid w:val="00CB3833"/>
    <w:rsid w:val="00CB3C59"/>
    <w:rsid w:val="00CB4B04"/>
    <w:rsid w:val="00CB53B9"/>
    <w:rsid w:val="00CC080C"/>
    <w:rsid w:val="00CC0DD0"/>
    <w:rsid w:val="00CC1525"/>
    <w:rsid w:val="00CC2EF2"/>
    <w:rsid w:val="00CC4912"/>
    <w:rsid w:val="00CC6AEA"/>
    <w:rsid w:val="00CC767D"/>
    <w:rsid w:val="00CC7C3E"/>
    <w:rsid w:val="00CD1F83"/>
    <w:rsid w:val="00CD3691"/>
    <w:rsid w:val="00CD5D3D"/>
    <w:rsid w:val="00CD68C2"/>
    <w:rsid w:val="00CE0094"/>
    <w:rsid w:val="00CE03A3"/>
    <w:rsid w:val="00CE2389"/>
    <w:rsid w:val="00CE2931"/>
    <w:rsid w:val="00CE30FC"/>
    <w:rsid w:val="00CE3809"/>
    <w:rsid w:val="00CE46F7"/>
    <w:rsid w:val="00CE57B6"/>
    <w:rsid w:val="00CE687D"/>
    <w:rsid w:val="00CE6B0C"/>
    <w:rsid w:val="00CF01EC"/>
    <w:rsid w:val="00CF0E9A"/>
    <w:rsid w:val="00CF1003"/>
    <w:rsid w:val="00CF1336"/>
    <w:rsid w:val="00CF2314"/>
    <w:rsid w:val="00CF3365"/>
    <w:rsid w:val="00CF6D75"/>
    <w:rsid w:val="00D00C6F"/>
    <w:rsid w:val="00D01C38"/>
    <w:rsid w:val="00D01CBA"/>
    <w:rsid w:val="00D01EEF"/>
    <w:rsid w:val="00D0360A"/>
    <w:rsid w:val="00D05AB1"/>
    <w:rsid w:val="00D05B26"/>
    <w:rsid w:val="00D06B71"/>
    <w:rsid w:val="00D07AED"/>
    <w:rsid w:val="00D07E92"/>
    <w:rsid w:val="00D159FD"/>
    <w:rsid w:val="00D15ED4"/>
    <w:rsid w:val="00D1640E"/>
    <w:rsid w:val="00D175C4"/>
    <w:rsid w:val="00D2168E"/>
    <w:rsid w:val="00D23B39"/>
    <w:rsid w:val="00D24C70"/>
    <w:rsid w:val="00D251BC"/>
    <w:rsid w:val="00D26FE5"/>
    <w:rsid w:val="00D30329"/>
    <w:rsid w:val="00D317D8"/>
    <w:rsid w:val="00D34175"/>
    <w:rsid w:val="00D34B0E"/>
    <w:rsid w:val="00D36119"/>
    <w:rsid w:val="00D401C0"/>
    <w:rsid w:val="00D42ED9"/>
    <w:rsid w:val="00D42F4B"/>
    <w:rsid w:val="00D43A62"/>
    <w:rsid w:val="00D44022"/>
    <w:rsid w:val="00D44169"/>
    <w:rsid w:val="00D45218"/>
    <w:rsid w:val="00D45296"/>
    <w:rsid w:val="00D45D43"/>
    <w:rsid w:val="00D46F0C"/>
    <w:rsid w:val="00D47065"/>
    <w:rsid w:val="00D47F38"/>
    <w:rsid w:val="00D47F72"/>
    <w:rsid w:val="00D53F25"/>
    <w:rsid w:val="00D5419C"/>
    <w:rsid w:val="00D5459E"/>
    <w:rsid w:val="00D554D9"/>
    <w:rsid w:val="00D559B3"/>
    <w:rsid w:val="00D56351"/>
    <w:rsid w:val="00D56BF1"/>
    <w:rsid w:val="00D5752E"/>
    <w:rsid w:val="00D60727"/>
    <w:rsid w:val="00D6210D"/>
    <w:rsid w:val="00D622B3"/>
    <w:rsid w:val="00D62BFA"/>
    <w:rsid w:val="00D63AD8"/>
    <w:rsid w:val="00D63F35"/>
    <w:rsid w:val="00D65F70"/>
    <w:rsid w:val="00D66188"/>
    <w:rsid w:val="00D66297"/>
    <w:rsid w:val="00D66EB8"/>
    <w:rsid w:val="00D67963"/>
    <w:rsid w:val="00D70F6D"/>
    <w:rsid w:val="00D71243"/>
    <w:rsid w:val="00D744C1"/>
    <w:rsid w:val="00D75965"/>
    <w:rsid w:val="00D76D7F"/>
    <w:rsid w:val="00D8002D"/>
    <w:rsid w:val="00D80440"/>
    <w:rsid w:val="00D8119E"/>
    <w:rsid w:val="00D81D8B"/>
    <w:rsid w:val="00D82800"/>
    <w:rsid w:val="00D830B3"/>
    <w:rsid w:val="00D83829"/>
    <w:rsid w:val="00D83C26"/>
    <w:rsid w:val="00D83CD0"/>
    <w:rsid w:val="00D8412A"/>
    <w:rsid w:val="00D84C5D"/>
    <w:rsid w:val="00D8556B"/>
    <w:rsid w:val="00D920C6"/>
    <w:rsid w:val="00D92D90"/>
    <w:rsid w:val="00D930ED"/>
    <w:rsid w:val="00D9465C"/>
    <w:rsid w:val="00D94EFC"/>
    <w:rsid w:val="00D9752A"/>
    <w:rsid w:val="00DA11E1"/>
    <w:rsid w:val="00DA34B9"/>
    <w:rsid w:val="00DA449C"/>
    <w:rsid w:val="00DA4655"/>
    <w:rsid w:val="00DA590E"/>
    <w:rsid w:val="00DA5BCB"/>
    <w:rsid w:val="00DA71CC"/>
    <w:rsid w:val="00DA7C6A"/>
    <w:rsid w:val="00DB02A7"/>
    <w:rsid w:val="00DB05EB"/>
    <w:rsid w:val="00DB2EAD"/>
    <w:rsid w:val="00DB717F"/>
    <w:rsid w:val="00DB7FA6"/>
    <w:rsid w:val="00DC0C76"/>
    <w:rsid w:val="00DC1901"/>
    <w:rsid w:val="00DC1D70"/>
    <w:rsid w:val="00DC20A9"/>
    <w:rsid w:val="00DC55A5"/>
    <w:rsid w:val="00DC5D7B"/>
    <w:rsid w:val="00DC61FC"/>
    <w:rsid w:val="00DC689E"/>
    <w:rsid w:val="00DD0EB2"/>
    <w:rsid w:val="00DD0F28"/>
    <w:rsid w:val="00DD1630"/>
    <w:rsid w:val="00DD2977"/>
    <w:rsid w:val="00DD2ADA"/>
    <w:rsid w:val="00DD2CF0"/>
    <w:rsid w:val="00DD314D"/>
    <w:rsid w:val="00DD35CA"/>
    <w:rsid w:val="00DD3E8A"/>
    <w:rsid w:val="00DD41FA"/>
    <w:rsid w:val="00DD4A51"/>
    <w:rsid w:val="00DD6CDE"/>
    <w:rsid w:val="00DE09C6"/>
    <w:rsid w:val="00DE1924"/>
    <w:rsid w:val="00DE3127"/>
    <w:rsid w:val="00DF26A3"/>
    <w:rsid w:val="00DF4034"/>
    <w:rsid w:val="00DF404E"/>
    <w:rsid w:val="00DF7F37"/>
    <w:rsid w:val="00E012A6"/>
    <w:rsid w:val="00E021B1"/>
    <w:rsid w:val="00E02B80"/>
    <w:rsid w:val="00E07522"/>
    <w:rsid w:val="00E07CFD"/>
    <w:rsid w:val="00E11ADB"/>
    <w:rsid w:val="00E11CD3"/>
    <w:rsid w:val="00E1375F"/>
    <w:rsid w:val="00E13F36"/>
    <w:rsid w:val="00E16902"/>
    <w:rsid w:val="00E1788B"/>
    <w:rsid w:val="00E2130E"/>
    <w:rsid w:val="00E21B86"/>
    <w:rsid w:val="00E22426"/>
    <w:rsid w:val="00E244DD"/>
    <w:rsid w:val="00E27036"/>
    <w:rsid w:val="00E30E63"/>
    <w:rsid w:val="00E3129B"/>
    <w:rsid w:val="00E312EB"/>
    <w:rsid w:val="00E34C05"/>
    <w:rsid w:val="00E3675F"/>
    <w:rsid w:val="00E37516"/>
    <w:rsid w:val="00E41734"/>
    <w:rsid w:val="00E4248C"/>
    <w:rsid w:val="00E42C64"/>
    <w:rsid w:val="00E43D2B"/>
    <w:rsid w:val="00E44575"/>
    <w:rsid w:val="00E44CEE"/>
    <w:rsid w:val="00E45844"/>
    <w:rsid w:val="00E463BE"/>
    <w:rsid w:val="00E46F33"/>
    <w:rsid w:val="00E471E8"/>
    <w:rsid w:val="00E50C52"/>
    <w:rsid w:val="00E51136"/>
    <w:rsid w:val="00E539E4"/>
    <w:rsid w:val="00E55BD0"/>
    <w:rsid w:val="00E6581F"/>
    <w:rsid w:val="00E66092"/>
    <w:rsid w:val="00E6714C"/>
    <w:rsid w:val="00E67E9D"/>
    <w:rsid w:val="00E700F2"/>
    <w:rsid w:val="00E70A66"/>
    <w:rsid w:val="00E72302"/>
    <w:rsid w:val="00E74119"/>
    <w:rsid w:val="00E74E77"/>
    <w:rsid w:val="00E76BC9"/>
    <w:rsid w:val="00E7746B"/>
    <w:rsid w:val="00E775FA"/>
    <w:rsid w:val="00E77635"/>
    <w:rsid w:val="00E80F36"/>
    <w:rsid w:val="00E8127D"/>
    <w:rsid w:val="00E840C4"/>
    <w:rsid w:val="00E845EC"/>
    <w:rsid w:val="00E85CEB"/>
    <w:rsid w:val="00E85E36"/>
    <w:rsid w:val="00E8720B"/>
    <w:rsid w:val="00E913E4"/>
    <w:rsid w:val="00E913FC"/>
    <w:rsid w:val="00E916E7"/>
    <w:rsid w:val="00E93720"/>
    <w:rsid w:val="00E93A73"/>
    <w:rsid w:val="00E95B2C"/>
    <w:rsid w:val="00E96749"/>
    <w:rsid w:val="00EA21DB"/>
    <w:rsid w:val="00EA2833"/>
    <w:rsid w:val="00EA2845"/>
    <w:rsid w:val="00EA2A8C"/>
    <w:rsid w:val="00EA483D"/>
    <w:rsid w:val="00EA69E2"/>
    <w:rsid w:val="00EB0DB1"/>
    <w:rsid w:val="00EB0E9B"/>
    <w:rsid w:val="00EB312F"/>
    <w:rsid w:val="00EB43D4"/>
    <w:rsid w:val="00EB49CF"/>
    <w:rsid w:val="00EB73B9"/>
    <w:rsid w:val="00EC1C69"/>
    <w:rsid w:val="00EC3D35"/>
    <w:rsid w:val="00EC6DEA"/>
    <w:rsid w:val="00EC7598"/>
    <w:rsid w:val="00ED1AC2"/>
    <w:rsid w:val="00ED1E40"/>
    <w:rsid w:val="00ED3008"/>
    <w:rsid w:val="00ED3356"/>
    <w:rsid w:val="00ED3EA8"/>
    <w:rsid w:val="00ED4CF1"/>
    <w:rsid w:val="00ED6EF9"/>
    <w:rsid w:val="00ED773C"/>
    <w:rsid w:val="00ED7C44"/>
    <w:rsid w:val="00EE2DC4"/>
    <w:rsid w:val="00EE2E25"/>
    <w:rsid w:val="00EE34AF"/>
    <w:rsid w:val="00EE57BF"/>
    <w:rsid w:val="00EE6A0A"/>
    <w:rsid w:val="00EF0429"/>
    <w:rsid w:val="00EF04A0"/>
    <w:rsid w:val="00EF12F2"/>
    <w:rsid w:val="00EF150F"/>
    <w:rsid w:val="00EF26C6"/>
    <w:rsid w:val="00EF31EF"/>
    <w:rsid w:val="00EF3F53"/>
    <w:rsid w:val="00EF42E0"/>
    <w:rsid w:val="00EF5876"/>
    <w:rsid w:val="00EF7A6B"/>
    <w:rsid w:val="00EF7CDD"/>
    <w:rsid w:val="00F00ABC"/>
    <w:rsid w:val="00F01820"/>
    <w:rsid w:val="00F02BE0"/>
    <w:rsid w:val="00F038C1"/>
    <w:rsid w:val="00F03B3D"/>
    <w:rsid w:val="00F05859"/>
    <w:rsid w:val="00F065C1"/>
    <w:rsid w:val="00F076CA"/>
    <w:rsid w:val="00F1161D"/>
    <w:rsid w:val="00F11AD1"/>
    <w:rsid w:val="00F14826"/>
    <w:rsid w:val="00F1520C"/>
    <w:rsid w:val="00F154D6"/>
    <w:rsid w:val="00F158C8"/>
    <w:rsid w:val="00F17C33"/>
    <w:rsid w:val="00F211D5"/>
    <w:rsid w:val="00F21421"/>
    <w:rsid w:val="00F21732"/>
    <w:rsid w:val="00F25301"/>
    <w:rsid w:val="00F25413"/>
    <w:rsid w:val="00F265F0"/>
    <w:rsid w:val="00F27954"/>
    <w:rsid w:val="00F300B2"/>
    <w:rsid w:val="00F30BFE"/>
    <w:rsid w:val="00F33F21"/>
    <w:rsid w:val="00F37C5A"/>
    <w:rsid w:val="00F37F75"/>
    <w:rsid w:val="00F411F1"/>
    <w:rsid w:val="00F41D43"/>
    <w:rsid w:val="00F42D0E"/>
    <w:rsid w:val="00F43C5D"/>
    <w:rsid w:val="00F45A63"/>
    <w:rsid w:val="00F508E7"/>
    <w:rsid w:val="00F509ED"/>
    <w:rsid w:val="00F50EB9"/>
    <w:rsid w:val="00F51B0D"/>
    <w:rsid w:val="00F5450C"/>
    <w:rsid w:val="00F54A7A"/>
    <w:rsid w:val="00F5510C"/>
    <w:rsid w:val="00F55511"/>
    <w:rsid w:val="00F55632"/>
    <w:rsid w:val="00F56397"/>
    <w:rsid w:val="00F563BD"/>
    <w:rsid w:val="00F573AD"/>
    <w:rsid w:val="00F60109"/>
    <w:rsid w:val="00F60454"/>
    <w:rsid w:val="00F62E37"/>
    <w:rsid w:val="00F62E6F"/>
    <w:rsid w:val="00F63349"/>
    <w:rsid w:val="00F6416C"/>
    <w:rsid w:val="00F6508E"/>
    <w:rsid w:val="00F66747"/>
    <w:rsid w:val="00F67001"/>
    <w:rsid w:val="00F679B7"/>
    <w:rsid w:val="00F7018A"/>
    <w:rsid w:val="00F70724"/>
    <w:rsid w:val="00F71411"/>
    <w:rsid w:val="00F724D0"/>
    <w:rsid w:val="00F758FD"/>
    <w:rsid w:val="00F76352"/>
    <w:rsid w:val="00F7652F"/>
    <w:rsid w:val="00F774C6"/>
    <w:rsid w:val="00F77582"/>
    <w:rsid w:val="00F829C8"/>
    <w:rsid w:val="00F835C9"/>
    <w:rsid w:val="00F838AB"/>
    <w:rsid w:val="00F839F8"/>
    <w:rsid w:val="00F85642"/>
    <w:rsid w:val="00F85BD0"/>
    <w:rsid w:val="00F86C7A"/>
    <w:rsid w:val="00F909A0"/>
    <w:rsid w:val="00F9140B"/>
    <w:rsid w:val="00F91DAF"/>
    <w:rsid w:val="00F92F22"/>
    <w:rsid w:val="00F9384D"/>
    <w:rsid w:val="00F939A9"/>
    <w:rsid w:val="00F95160"/>
    <w:rsid w:val="00F95991"/>
    <w:rsid w:val="00F95EFB"/>
    <w:rsid w:val="00F967AE"/>
    <w:rsid w:val="00F9783F"/>
    <w:rsid w:val="00FA05DF"/>
    <w:rsid w:val="00FA09CB"/>
    <w:rsid w:val="00FA0E60"/>
    <w:rsid w:val="00FA11D7"/>
    <w:rsid w:val="00FA1B0F"/>
    <w:rsid w:val="00FA2691"/>
    <w:rsid w:val="00FA2DE1"/>
    <w:rsid w:val="00FA7482"/>
    <w:rsid w:val="00FB0FCF"/>
    <w:rsid w:val="00FB1015"/>
    <w:rsid w:val="00FB1292"/>
    <w:rsid w:val="00FB13FA"/>
    <w:rsid w:val="00FB2F7F"/>
    <w:rsid w:val="00FB3A55"/>
    <w:rsid w:val="00FB56B1"/>
    <w:rsid w:val="00FB6528"/>
    <w:rsid w:val="00FB757D"/>
    <w:rsid w:val="00FB7CB9"/>
    <w:rsid w:val="00FC0126"/>
    <w:rsid w:val="00FC1A02"/>
    <w:rsid w:val="00FC1A6C"/>
    <w:rsid w:val="00FC2104"/>
    <w:rsid w:val="00FC2C6D"/>
    <w:rsid w:val="00FC432C"/>
    <w:rsid w:val="00FC581A"/>
    <w:rsid w:val="00FC6127"/>
    <w:rsid w:val="00FD00D9"/>
    <w:rsid w:val="00FD2460"/>
    <w:rsid w:val="00FD4722"/>
    <w:rsid w:val="00FD6093"/>
    <w:rsid w:val="00FD7E1E"/>
    <w:rsid w:val="00FE0D7B"/>
    <w:rsid w:val="00FE1202"/>
    <w:rsid w:val="00FE1B93"/>
    <w:rsid w:val="00FE2F59"/>
    <w:rsid w:val="00FE374B"/>
    <w:rsid w:val="00FE3A51"/>
    <w:rsid w:val="00FE44B1"/>
    <w:rsid w:val="00FE454B"/>
    <w:rsid w:val="00FE4C81"/>
    <w:rsid w:val="00FE5243"/>
    <w:rsid w:val="00FE7300"/>
    <w:rsid w:val="00FE791A"/>
    <w:rsid w:val="00FF080A"/>
    <w:rsid w:val="00FF1315"/>
    <w:rsid w:val="00FF13AC"/>
    <w:rsid w:val="00FF44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21185"/>
    <o:shapelayout v:ext="edit">
      <o:idmap v:ext="edit" data="1"/>
    </o:shapelayout>
  </w:shapeDefaults>
  <w:decimalSymbol w:val="."/>
  <w:listSeparator w:val=","/>
  <w14:docId w14:val="1C72CFC4"/>
  <w15:docId w15:val="{5E60546B-04AC-4BEB-8739-2B649463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D3D"/>
    <w:pPr>
      <w:spacing w:after="0" w:line="240" w:lineRule="auto"/>
    </w:pPr>
    <w:rPr>
      <w:rFonts w:ascii="Times New Roman" w:eastAsia="Times New Roman" w:hAnsi="Times New Roman" w:cs="Times New Roman"/>
      <w:szCs w:val="24"/>
      <w:lang w:eastAsia="en-AU"/>
    </w:rPr>
  </w:style>
  <w:style w:type="paragraph" w:styleId="Heading1">
    <w:name w:val="heading 1"/>
    <w:basedOn w:val="Normal"/>
    <w:next w:val="Normal"/>
    <w:link w:val="Heading1Char"/>
    <w:uiPriority w:val="9"/>
    <w:qFormat/>
    <w:rsid w:val="00460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46000D"/>
    <w:pPr>
      <w:keepNext/>
      <w:spacing w:before="240" w:after="60"/>
      <w:outlineLvl w:val="1"/>
    </w:pPr>
    <w:rPr>
      <w:rFonts w:ascii="Arial" w:hAnsi="Arial" w:cs="Arial"/>
      <w:b/>
      <w:bCs/>
      <w:i/>
      <w:iCs/>
      <w:sz w:val="28"/>
      <w:szCs w:val="28"/>
    </w:rPr>
  </w:style>
  <w:style w:type="paragraph" w:styleId="Heading3">
    <w:name w:val="heading 3"/>
    <w:aliases w:val="Not in TOC,Section,H3,l3,h3"/>
    <w:basedOn w:val="Normal"/>
    <w:next w:val="Normal"/>
    <w:link w:val="Heading3Char"/>
    <w:qFormat/>
    <w:rsid w:val="0046000D"/>
    <w:pPr>
      <w:keepNext/>
      <w:numPr>
        <w:ilvl w:val="2"/>
        <w:numId w:val="13"/>
      </w:numPr>
      <w:spacing w:before="240" w:after="60"/>
      <w:outlineLvl w:val="2"/>
    </w:pPr>
    <w:rPr>
      <w:rFonts w:ascii="Arial" w:hAnsi="Arial" w:cs="Arial"/>
      <w:b/>
      <w:bCs/>
      <w:sz w:val="26"/>
      <w:szCs w:val="26"/>
    </w:rPr>
  </w:style>
  <w:style w:type="paragraph" w:styleId="Heading40">
    <w:name w:val="heading 4"/>
    <w:aliases w:val="Table heading"/>
    <w:basedOn w:val="Normal"/>
    <w:next w:val="Normal"/>
    <w:link w:val="Heading4Char"/>
    <w:uiPriority w:val="9"/>
    <w:qFormat/>
    <w:rsid w:val="0046000D"/>
    <w:pPr>
      <w:keepNext/>
      <w:numPr>
        <w:ilvl w:val="3"/>
        <w:numId w:val="23"/>
      </w:numPr>
      <w:spacing w:before="240" w:after="60"/>
      <w:outlineLvl w:val="3"/>
    </w:pPr>
    <w:rPr>
      <w:b/>
      <w:bCs/>
      <w:sz w:val="28"/>
      <w:szCs w:val="28"/>
    </w:rPr>
  </w:style>
  <w:style w:type="paragraph" w:styleId="Heading5">
    <w:name w:val="heading 5"/>
    <w:basedOn w:val="Normal"/>
    <w:next w:val="Normal"/>
    <w:link w:val="Heading5Char"/>
    <w:uiPriority w:val="9"/>
    <w:qFormat/>
    <w:rsid w:val="0046000D"/>
    <w:pPr>
      <w:keepNext/>
      <w:numPr>
        <w:ilvl w:val="4"/>
        <w:numId w:val="23"/>
      </w:numPr>
      <w:overflowPunct w:val="0"/>
      <w:autoSpaceDE w:val="0"/>
      <w:autoSpaceDN w:val="0"/>
      <w:adjustRightInd w:val="0"/>
      <w:textAlignment w:val="baseline"/>
      <w:outlineLvl w:val="4"/>
    </w:pPr>
    <w:rPr>
      <w:b/>
      <w:i/>
      <w:szCs w:val="20"/>
      <w:lang w:val="en-GB" w:eastAsia="en-US"/>
    </w:rPr>
  </w:style>
  <w:style w:type="paragraph" w:styleId="Heading6">
    <w:name w:val="heading 6"/>
    <w:basedOn w:val="Normal"/>
    <w:next w:val="Normal"/>
    <w:link w:val="Heading6Char"/>
    <w:qFormat/>
    <w:rsid w:val="0046000D"/>
    <w:pPr>
      <w:numPr>
        <w:ilvl w:val="5"/>
        <w:numId w:val="23"/>
      </w:numPr>
      <w:spacing w:before="240" w:after="60"/>
      <w:jc w:val="both"/>
      <w:outlineLvl w:val="5"/>
    </w:pPr>
    <w:rPr>
      <w:rFonts w:ascii="Arial" w:hAnsi="Arial"/>
      <w:b/>
      <w:bCs/>
      <w:szCs w:val="22"/>
      <w:lang w:val="en-GB" w:eastAsia="en-US"/>
    </w:rPr>
  </w:style>
  <w:style w:type="paragraph" w:styleId="Heading7">
    <w:name w:val="heading 7"/>
    <w:basedOn w:val="Normal"/>
    <w:next w:val="Normal"/>
    <w:link w:val="Heading7Char"/>
    <w:uiPriority w:val="9"/>
    <w:qFormat/>
    <w:rsid w:val="0046000D"/>
    <w:pPr>
      <w:keepNext/>
      <w:numPr>
        <w:ilvl w:val="6"/>
        <w:numId w:val="23"/>
      </w:numPr>
      <w:jc w:val="both"/>
      <w:outlineLvl w:val="6"/>
    </w:pPr>
    <w:rPr>
      <w:i/>
      <w:iCs/>
      <w:lang w:eastAsia="en-US"/>
    </w:rPr>
  </w:style>
  <w:style w:type="paragraph" w:styleId="Heading8">
    <w:name w:val="heading 8"/>
    <w:basedOn w:val="Normal"/>
    <w:next w:val="Normal"/>
    <w:link w:val="Heading8Char"/>
    <w:uiPriority w:val="9"/>
    <w:qFormat/>
    <w:rsid w:val="0046000D"/>
    <w:pPr>
      <w:keepNext/>
      <w:numPr>
        <w:ilvl w:val="7"/>
        <w:numId w:val="23"/>
      </w:numPr>
      <w:jc w:val="both"/>
      <w:outlineLvl w:val="7"/>
    </w:pPr>
    <w:rPr>
      <w:b/>
      <w:bCs/>
      <w:i/>
      <w:iCs/>
      <w:lang w:eastAsia="en-US"/>
    </w:rPr>
  </w:style>
  <w:style w:type="paragraph" w:styleId="Heading9">
    <w:name w:val="heading 9"/>
    <w:basedOn w:val="Normal"/>
    <w:next w:val="Normal"/>
    <w:link w:val="Heading9Char"/>
    <w:uiPriority w:val="9"/>
    <w:qFormat/>
    <w:rsid w:val="0046000D"/>
    <w:pPr>
      <w:keepNext/>
      <w:numPr>
        <w:ilvl w:val="8"/>
        <w:numId w:val="23"/>
      </w:numPr>
      <w:outlineLvl w:val="8"/>
    </w:pPr>
    <w:rPr>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00D"/>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uiPriority w:val="9"/>
    <w:rsid w:val="0046000D"/>
    <w:rPr>
      <w:rFonts w:ascii="Arial" w:eastAsia="Times New Roman" w:hAnsi="Arial" w:cs="Arial"/>
      <w:b/>
      <w:bCs/>
      <w:i/>
      <w:iCs/>
      <w:sz w:val="28"/>
      <w:szCs w:val="28"/>
      <w:lang w:eastAsia="en-AU"/>
    </w:rPr>
  </w:style>
  <w:style w:type="character" w:customStyle="1" w:styleId="Heading3Char">
    <w:name w:val="Heading 3 Char"/>
    <w:aliases w:val="Not in TOC Char,Section Char,H3 Char,l3 Char,h3 Char"/>
    <w:basedOn w:val="DefaultParagraphFont"/>
    <w:link w:val="Heading3"/>
    <w:rsid w:val="0046000D"/>
    <w:rPr>
      <w:rFonts w:ascii="Arial" w:eastAsia="Times New Roman" w:hAnsi="Arial" w:cs="Arial"/>
      <w:b/>
      <w:bCs/>
      <w:sz w:val="26"/>
      <w:szCs w:val="26"/>
      <w:lang w:eastAsia="en-AU"/>
    </w:rPr>
  </w:style>
  <w:style w:type="character" w:customStyle="1" w:styleId="Heading4Char">
    <w:name w:val="Heading 4 Char"/>
    <w:aliases w:val="Table heading Char"/>
    <w:basedOn w:val="DefaultParagraphFont"/>
    <w:link w:val="Heading40"/>
    <w:uiPriority w:val="9"/>
    <w:rsid w:val="0046000D"/>
    <w:rPr>
      <w:rFonts w:ascii="Times New Roman" w:eastAsia="Times New Roman" w:hAnsi="Times New Roman" w:cs="Times New Roman"/>
      <w:b/>
      <w:bCs/>
      <w:sz w:val="28"/>
      <w:szCs w:val="28"/>
      <w:lang w:eastAsia="en-AU"/>
    </w:rPr>
  </w:style>
  <w:style w:type="character" w:customStyle="1" w:styleId="Heading5Char">
    <w:name w:val="Heading 5 Char"/>
    <w:basedOn w:val="DefaultParagraphFont"/>
    <w:link w:val="Heading5"/>
    <w:uiPriority w:val="9"/>
    <w:rsid w:val="0046000D"/>
    <w:rPr>
      <w:rFonts w:ascii="Times New Roman" w:eastAsia="Times New Roman" w:hAnsi="Times New Roman" w:cs="Times New Roman"/>
      <w:b/>
      <w:i/>
      <w:szCs w:val="20"/>
      <w:lang w:val="en-GB"/>
    </w:rPr>
  </w:style>
  <w:style w:type="character" w:customStyle="1" w:styleId="Heading6Char">
    <w:name w:val="Heading 6 Char"/>
    <w:basedOn w:val="DefaultParagraphFont"/>
    <w:link w:val="Heading6"/>
    <w:rsid w:val="0046000D"/>
    <w:rPr>
      <w:rFonts w:ascii="Arial" w:eastAsia="Times New Roman" w:hAnsi="Arial" w:cs="Times New Roman"/>
      <w:b/>
      <w:bCs/>
      <w:lang w:val="en-GB"/>
    </w:rPr>
  </w:style>
  <w:style w:type="character" w:customStyle="1" w:styleId="Heading7Char">
    <w:name w:val="Heading 7 Char"/>
    <w:basedOn w:val="DefaultParagraphFont"/>
    <w:link w:val="Heading7"/>
    <w:uiPriority w:val="9"/>
    <w:rsid w:val="0046000D"/>
    <w:rPr>
      <w:rFonts w:ascii="Times New Roman" w:eastAsia="Times New Roman" w:hAnsi="Times New Roman" w:cs="Times New Roman"/>
      <w:i/>
      <w:iCs/>
      <w:szCs w:val="24"/>
    </w:rPr>
  </w:style>
  <w:style w:type="character" w:customStyle="1" w:styleId="Heading8Char">
    <w:name w:val="Heading 8 Char"/>
    <w:basedOn w:val="DefaultParagraphFont"/>
    <w:link w:val="Heading8"/>
    <w:uiPriority w:val="9"/>
    <w:rsid w:val="0046000D"/>
    <w:rPr>
      <w:rFonts w:ascii="Times New Roman" w:eastAsia="Times New Roman" w:hAnsi="Times New Roman" w:cs="Times New Roman"/>
      <w:b/>
      <w:bCs/>
      <w:i/>
      <w:iCs/>
      <w:szCs w:val="24"/>
    </w:rPr>
  </w:style>
  <w:style w:type="character" w:customStyle="1" w:styleId="Heading9Char">
    <w:name w:val="Heading 9 Char"/>
    <w:basedOn w:val="DefaultParagraphFont"/>
    <w:link w:val="Heading9"/>
    <w:uiPriority w:val="9"/>
    <w:rsid w:val="0046000D"/>
    <w:rPr>
      <w:rFonts w:ascii="Times New Roman" w:eastAsia="Times New Roman" w:hAnsi="Times New Roman" w:cs="Times New Roman"/>
      <w:i/>
      <w:iCs/>
      <w:szCs w:val="24"/>
    </w:rPr>
  </w:style>
  <w:style w:type="paragraph" w:styleId="Header">
    <w:name w:val="header"/>
    <w:basedOn w:val="Normal"/>
    <w:link w:val="HeaderChar"/>
    <w:uiPriority w:val="99"/>
    <w:rsid w:val="0046000D"/>
    <w:pPr>
      <w:tabs>
        <w:tab w:val="center" w:pos="4153"/>
        <w:tab w:val="right" w:pos="8306"/>
      </w:tabs>
    </w:pPr>
  </w:style>
  <w:style w:type="character" w:customStyle="1" w:styleId="HeaderChar">
    <w:name w:val="Header Char"/>
    <w:basedOn w:val="DefaultParagraphFont"/>
    <w:link w:val="Header"/>
    <w:uiPriority w:val="99"/>
    <w:rsid w:val="0046000D"/>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46000D"/>
    <w:pPr>
      <w:tabs>
        <w:tab w:val="center" w:pos="4153"/>
        <w:tab w:val="right" w:pos="8306"/>
      </w:tabs>
    </w:pPr>
  </w:style>
  <w:style w:type="character" w:customStyle="1" w:styleId="FooterChar">
    <w:name w:val="Footer Char"/>
    <w:basedOn w:val="DefaultParagraphFont"/>
    <w:link w:val="Footer"/>
    <w:uiPriority w:val="99"/>
    <w:rsid w:val="0046000D"/>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rsid w:val="0046000D"/>
    <w:rPr>
      <w:rFonts w:ascii="Tahoma" w:hAnsi="Tahoma" w:cs="Tahoma"/>
      <w:sz w:val="16"/>
      <w:szCs w:val="16"/>
    </w:rPr>
  </w:style>
  <w:style w:type="character" w:customStyle="1" w:styleId="BalloonTextChar">
    <w:name w:val="Balloon Text Char"/>
    <w:basedOn w:val="DefaultParagraphFont"/>
    <w:link w:val="BalloonText"/>
    <w:uiPriority w:val="99"/>
    <w:semiHidden/>
    <w:rsid w:val="0046000D"/>
    <w:rPr>
      <w:rFonts w:ascii="Tahoma" w:eastAsia="Times New Roman" w:hAnsi="Tahoma" w:cs="Tahoma"/>
      <w:sz w:val="16"/>
      <w:szCs w:val="16"/>
      <w:lang w:eastAsia="en-AU"/>
    </w:rPr>
  </w:style>
  <w:style w:type="character" w:styleId="PageNumber">
    <w:name w:val="page number"/>
    <w:basedOn w:val="DefaultParagraphFont"/>
    <w:rsid w:val="0046000D"/>
  </w:style>
  <w:style w:type="paragraph" w:customStyle="1" w:styleId="Heading10">
    <w:name w:val="Heading1"/>
    <w:basedOn w:val="Heading1"/>
    <w:rsid w:val="0046000D"/>
    <w:pPr>
      <w:tabs>
        <w:tab w:val="center" w:pos="4153"/>
        <w:tab w:val="left" w:pos="5910"/>
      </w:tabs>
    </w:pPr>
    <w:rPr>
      <w:rFonts w:ascii="Times New Roman" w:hAnsi="Times New Roman"/>
      <w:sz w:val="24"/>
    </w:rPr>
  </w:style>
  <w:style w:type="paragraph" w:customStyle="1" w:styleId="Style1">
    <w:name w:val="Style1"/>
    <w:basedOn w:val="Heading1"/>
    <w:rsid w:val="0046000D"/>
    <w:rPr>
      <w:rFonts w:ascii="Times New Roman" w:hAnsi="Times New Roman"/>
      <w:sz w:val="24"/>
    </w:rPr>
  </w:style>
  <w:style w:type="paragraph" w:customStyle="1" w:styleId="Style2">
    <w:name w:val="Style2"/>
    <w:basedOn w:val="Heading10"/>
    <w:rsid w:val="0046000D"/>
    <w:pPr>
      <w:numPr>
        <w:numId w:val="1"/>
      </w:numPr>
    </w:pPr>
  </w:style>
  <w:style w:type="paragraph" w:customStyle="1" w:styleId="Style3">
    <w:name w:val="Style3"/>
    <w:basedOn w:val="Heading10"/>
    <w:rsid w:val="0046000D"/>
    <w:pPr>
      <w:numPr>
        <w:numId w:val="8"/>
      </w:numPr>
    </w:pPr>
  </w:style>
  <w:style w:type="paragraph" w:customStyle="1" w:styleId="Heading20">
    <w:name w:val="Heading2"/>
    <w:basedOn w:val="Heading2"/>
    <w:rsid w:val="0046000D"/>
    <w:rPr>
      <w:rFonts w:ascii="Times New Roman" w:hAnsi="Times New Roman"/>
      <w:i w:val="0"/>
      <w:sz w:val="24"/>
    </w:rPr>
  </w:style>
  <w:style w:type="paragraph" w:customStyle="1" w:styleId="heading2a">
    <w:name w:val="heading2a"/>
    <w:basedOn w:val="Heading20"/>
    <w:rsid w:val="0046000D"/>
    <w:pPr>
      <w:numPr>
        <w:ilvl w:val="1"/>
        <w:numId w:val="2"/>
      </w:numPr>
    </w:pPr>
  </w:style>
  <w:style w:type="paragraph" w:styleId="NormalWeb">
    <w:name w:val="Normal (Web)"/>
    <w:basedOn w:val="Normal"/>
    <w:link w:val="NormalWebChar"/>
    <w:rsid w:val="0046000D"/>
    <w:pPr>
      <w:spacing w:before="100" w:beforeAutospacing="1" w:after="100" w:afterAutospacing="1"/>
    </w:pPr>
    <w:rPr>
      <w:lang w:val="en-US" w:eastAsia="en-US"/>
    </w:rPr>
  </w:style>
  <w:style w:type="paragraph" w:styleId="FootnoteText">
    <w:name w:val="footnote text"/>
    <w:basedOn w:val="Normal"/>
    <w:link w:val="FootnoteTextChar"/>
    <w:uiPriority w:val="99"/>
    <w:rsid w:val="0046000D"/>
    <w:rPr>
      <w:sz w:val="20"/>
      <w:szCs w:val="20"/>
      <w:lang w:val="en-GB" w:eastAsia="en-US"/>
    </w:rPr>
  </w:style>
  <w:style w:type="character" w:customStyle="1" w:styleId="FootnoteTextChar">
    <w:name w:val="Footnote Text Char"/>
    <w:basedOn w:val="DefaultParagraphFont"/>
    <w:link w:val="FootnoteText"/>
    <w:uiPriority w:val="99"/>
    <w:rsid w:val="0046000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46000D"/>
    <w:rPr>
      <w:vertAlign w:val="superscript"/>
    </w:rPr>
  </w:style>
  <w:style w:type="character" w:styleId="Hyperlink">
    <w:name w:val="Hyperlink"/>
    <w:basedOn w:val="DefaultParagraphFont"/>
    <w:uiPriority w:val="99"/>
    <w:rsid w:val="0046000D"/>
    <w:rPr>
      <w:color w:val="0000FF"/>
      <w:u w:val="single"/>
    </w:rPr>
  </w:style>
  <w:style w:type="paragraph" w:styleId="TOC1">
    <w:name w:val="toc 1"/>
    <w:basedOn w:val="Normal"/>
    <w:next w:val="Normal"/>
    <w:autoRedefine/>
    <w:uiPriority w:val="39"/>
    <w:qFormat/>
    <w:rsid w:val="0046000D"/>
    <w:pPr>
      <w:spacing w:before="120" w:after="120"/>
    </w:pPr>
  </w:style>
  <w:style w:type="paragraph" w:styleId="TOC2">
    <w:name w:val="toc 2"/>
    <w:basedOn w:val="Normal"/>
    <w:next w:val="Normal"/>
    <w:autoRedefine/>
    <w:uiPriority w:val="39"/>
    <w:qFormat/>
    <w:rsid w:val="0046000D"/>
    <w:pPr>
      <w:ind w:left="240"/>
    </w:pPr>
  </w:style>
  <w:style w:type="paragraph" w:customStyle="1" w:styleId="StyleHeading2Left127cm">
    <w:name w:val="Style Heading2 + Left:  1.27 cm"/>
    <w:basedOn w:val="Heading20"/>
    <w:rsid w:val="0046000D"/>
    <w:pPr>
      <w:numPr>
        <w:ilvl w:val="1"/>
        <w:numId w:val="3"/>
      </w:numPr>
    </w:pPr>
    <w:rPr>
      <w:rFonts w:cs="Times New Roman"/>
      <w:iCs w:val="0"/>
      <w:szCs w:val="20"/>
    </w:rPr>
  </w:style>
  <w:style w:type="table" w:styleId="TableGrid">
    <w:name w:val="Table Grid"/>
    <w:basedOn w:val="TableNormal"/>
    <w:uiPriority w:val="39"/>
    <w:rsid w:val="0046000D"/>
    <w:pPr>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3"/>
    <w:rsid w:val="0046000D"/>
    <w:rPr>
      <w:rFonts w:ascii="Times New Roman" w:hAnsi="Times New Roman"/>
      <w:i/>
      <w:sz w:val="24"/>
    </w:rPr>
  </w:style>
  <w:style w:type="paragraph" w:styleId="TOC3">
    <w:name w:val="toc 3"/>
    <w:basedOn w:val="Normal"/>
    <w:next w:val="Normal"/>
    <w:autoRedefine/>
    <w:uiPriority w:val="39"/>
    <w:qFormat/>
    <w:rsid w:val="0046000D"/>
    <w:pPr>
      <w:ind w:left="480"/>
    </w:pPr>
    <w:rPr>
      <w:i/>
    </w:rPr>
  </w:style>
  <w:style w:type="paragraph" w:customStyle="1" w:styleId="instruction">
    <w:name w:val="instruction"/>
    <w:rsid w:val="0046000D"/>
    <w:pPr>
      <w:spacing w:after="0" w:line="240" w:lineRule="auto"/>
      <w:jc w:val="both"/>
    </w:pPr>
    <w:rPr>
      <w:rFonts w:ascii="Times New Roman" w:eastAsia="Times New Roman" w:hAnsi="Times New Roman" w:cs="Times New Roman"/>
      <w:sz w:val="20"/>
      <w:szCs w:val="20"/>
      <w:lang w:val="en-AU"/>
    </w:rPr>
  </w:style>
  <w:style w:type="paragraph" w:customStyle="1" w:styleId="StyleBodyTextFirstline0cm">
    <w:name w:val="Style Body Text + First line:  0 cm"/>
    <w:basedOn w:val="Normal"/>
    <w:rsid w:val="0046000D"/>
    <w:pPr>
      <w:numPr>
        <w:numId w:val="6"/>
      </w:numPr>
    </w:pPr>
    <w:rPr>
      <w:rFonts w:ascii="Arial" w:hAnsi="Arial"/>
      <w:lang w:val="en-US" w:eastAsia="en-US"/>
    </w:rPr>
  </w:style>
  <w:style w:type="paragraph" w:customStyle="1" w:styleId="Heading2b">
    <w:name w:val="Heading 2b"/>
    <w:basedOn w:val="Heading2"/>
    <w:rsid w:val="0046000D"/>
    <w:pPr>
      <w:numPr>
        <w:ilvl w:val="1"/>
        <w:numId w:val="7"/>
      </w:numPr>
      <w:jc w:val="both"/>
    </w:pPr>
    <w:rPr>
      <w:rFonts w:ascii="Times New Roman" w:hAnsi="Times New Roman"/>
      <w:i w:val="0"/>
      <w:sz w:val="24"/>
      <w:lang w:val="en-AU"/>
    </w:rPr>
  </w:style>
  <w:style w:type="paragraph" w:styleId="DocumentMap">
    <w:name w:val="Document Map"/>
    <w:basedOn w:val="Normal"/>
    <w:link w:val="DocumentMapChar"/>
    <w:semiHidden/>
    <w:rsid w:val="0046000D"/>
    <w:pPr>
      <w:shd w:val="clear" w:color="auto" w:fill="000080"/>
    </w:pPr>
    <w:rPr>
      <w:rFonts w:ascii="Tahoma" w:hAnsi="Tahoma" w:cs="Tahoma"/>
    </w:rPr>
  </w:style>
  <w:style w:type="character" w:customStyle="1" w:styleId="DocumentMapChar">
    <w:name w:val="Document Map Char"/>
    <w:basedOn w:val="DefaultParagraphFont"/>
    <w:link w:val="DocumentMap"/>
    <w:semiHidden/>
    <w:rsid w:val="0046000D"/>
    <w:rPr>
      <w:rFonts w:ascii="Tahoma" w:eastAsia="Times New Roman" w:hAnsi="Tahoma" w:cs="Tahoma"/>
      <w:sz w:val="24"/>
      <w:szCs w:val="24"/>
      <w:shd w:val="clear" w:color="auto" w:fill="000080"/>
      <w:lang w:eastAsia="en-AU"/>
    </w:rPr>
  </w:style>
  <w:style w:type="paragraph" w:customStyle="1" w:styleId="Line">
    <w:name w:val="Line"/>
    <w:basedOn w:val="Normal"/>
    <w:next w:val="Normal"/>
    <w:rsid w:val="0046000D"/>
    <w:pPr>
      <w:pBdr>
        <w:bottom w:val="single" w:sz="8" w:space="1" w:color="auto"/>
      </w:pBdr>
      <w:tabs>
        <w:tab w:val="left" w:pos="1134"/>
      </w:tabs>
      <w:spacing w:after="120"/>
      <w:jc w:val="both"/>
    </w:pPr>
    <w:rPr>
      <w:rFonts w:ascii="Arial" w:hAnsi="Arial"/>
      <w:noProof/>
      <w:sz w:val="8"/>
      <w:szCs w:val="8"/>
      <w:lang w:val="en-GB" w:eastAsia="en-US"/>
    </w:rPr>
  </w:style>
  <w:style w:type="paragraph" w:customStyle="1" w:styleId="Memorandum">
    <w:name w:val="Memorandum"/>
    <w:basedOn w:val="Normal"/>
    <w:rsid w:val="0046000D"/>
    <w:pPr>
      <w:spacing w:before="240" w:after="360"/>
      <w:jc w:val="center"/>
    </w:pPr>
    <w:rPr>
      <w:rFonts w:ascii="Tahoma" w:hAnsi="Tahoma" w:cs="Tahoma"/>
      <w:b/>
      <w:spacing w:val="100"/>
      <w:sz w:val="48"/>
      <w:szCs w:val="48"/>
      <w:lang w:eastAsia="en-US"/>
    </w:rPr>
  </w:style>
  <w:style w:type="paragraph" w:styleId="BodyText">
    <w:name w:val="Body Text"/>
    <w:basedOn w:val="Normal"/>
    <w:link w:val="BodyTextChar"/>
    <w:rsid w:val="0046000D"/>
    <w:pPr>
      <w:autoSpaceDE w:val="0"/>
      <w:autoSpaceDN w:val="0"/>
    </w:pPr>
    <w:rPr>
      <w:rFonts w:ascii="Arial" w:eastAsia="SimSun" w:hAnsi="Arial" w:cs="Arial"/>
      <w:lang w:eastAsia="zh-CN"/>
    </w:rPr>
  </w:style>
  <w:style w:type="character" w:customStyle="1" w:styleId="BodyTextChar">
    <w:name w:val="Body Text Char"/>
    <w:basedOn w:val="DefaultParagraphFont"/>
    <w:link w:val="BodyText"/>
    <w:rsid w:val="0046000D"/>
    <w:rPr>
      <w:rFonts w:ascii="Arial" w:eastAsia="SimSun" w:hAnsi="Arial" w:cs="Arial"/>
      <w:sz w:val="24"/>
      <w:szCs w:val="24"/>
      <w:lang w:eastAsia="zh-CN"/>
    </w:rPr>
  </w:style>
  <w:style w:type="numbering" w:customStyle="1" w:styleId="Heading33">
    <w:name w:val="Heading 3.3"/>
    <w:basedOn w:val="NoList"/>
    <w:rsid w:val="0046000D"/>
    <w:pPr>
      <w:numPr>
        <w:numId w:val="9"/>
      </w:numPr>
    </w:pPr>
  </w:style>
  <w:style w:type="paragraph" w:customStyle="1" w:styleId="Styleheading2b">
    <w:name w:val="Style heading2b"/>
    <w:basedOn w:val="Normal"/>
    <w:rsid w:val="0046000D"/>
    <w:pPr>
      <w:keepNext/>
      <w:spacing w:before="240" w:after="60"/>
      <w:jc w:val="both"/>
      <w:outlineLvl w:val="1"/>
    </w:pPr>
    <w:rPr>
      <w:b/>
      <w:bCs/>
      <w:szCs w:val="20"/>
      <w:lang w:eastAsia="en-US"/>
    </w:rPr>
  </w:style>
  <w:style w:type="paragraph" w:customStyle="1" w:styleId="heading2b0">
    <w:name w:val="heading2b"/>
    <w:basedOn w:val="Normal"/>
    <w:rsid w:val="0046000D"/>
    <w:pPr>
      <w:keepNext/>
      <w:numPr>
        <w:ilvl w:val="2"/>
        <w:numId w:val="10"/>
      </w:numPr>
      <w:tabs>
        <w:tab w:val="clear" w:pos="2160"/>
        <w:tab w:val="num" w:pos="2520"/>
      </w:tabs>
      <w:spacing w:before="240" w:after="60"/>
      <w:ind w:left="2520"/>
      <w:jc w:val="both"/>
      <w:outlineLvl w:val="1"/>
    </w:pPr>
    <w:rPr>
      <w:rFonts w:cs="Arial"/>
      <w:b/>
      <w:bCs/>
      <w:iCs/>
      <w:szCs w:val="28"/>
      <w:lang w:val="en-AU" w:eastAsia="en-US"/>
    </w:rPr>
  </w:style>
  <w:style w:type="paragraph" w:customStyle="1" w:styleId="Heading3a">
    <w:name w:val="Heading 3a"/>
    <w:basedOn w:val="Normal"/>
    <w:rsid w:val="0046000D"/>
    <w:pPr>
      <w:numPr>
        <w:ilvl w:val="2"/>
        <w:numId w:val="11"/>
      </w:numPr>
    </w:pPr>
    <w:rPr>
      <w:lang w:eastAsia="en-US"/>
    </w:rPr>
  </w:style>
  <w:style w:type="paragraph" w:customStyle="1" w:styleId="Heading3b">
    <w:name w:val="Heading 3b"/>
    <w:basedOn w:val="Heading3"/>
    <w:rsid w:val="0046000D"/>
    <w:rPr>
      <w:b w:val="0"/>
      <w:i/>
      <w:sz w:val="22"/>
      <w:szCs w:val="22"/>
    </w:rPr>
  </w:style>
  <w:style w:type="paragraph" w:customStyle="1" w:styleId="Heading3b44">
    <w:name w:val="Heading 3b 4.4"/>
    <w:basedOn w:val="Heading3b"/>
    <w:autoRedefine/>
    <w:rsid w:val="0046000D"/>
    <w:pPr>
      <w:numPr>
        <w:numId w:val="4"/>
      </w:numPr>
    </w:pPr>
    <w:rPr>
      <w:rFonts w:ascii="Times New Roman" w:hAnsi="Times New Roman"/>
      <w:b/>
    </w:rPr>
  </w:style>
  <w:style w:type="paragraph" w:customStyle="1" w:styleId="Heading3b43">
    <w:name w:val="Heading 3b 4.3"/>
    <w:basedOn w:val="Heading3b"/>
    <w:rsid w:val="0046000D"/>
    <w:pPr>
      <w:numPr>
        <w:numId w:val="5"/>
      </w:numPr>
    </w:pPr>
    <w:rPr>
      <w:rFonts w:ascii="Times New Roman" w:hAnsi="Times New Roman"/>
      <w:i w:val="0"/>
      <w:iCs/>
    </w:rPr>
  </w:style>
  <w:style w:type="paragraph" w:styleId="BodyTextIndent">
    <w:name w:val="Body Text Indent"/>
    <w:basedOn w:val="Normal"/>
    <w:link w:val="BodyTextIndentChar"/>
    <w:rsid w:val="0046000D"/>
    <w:pPr>
      <w:ind w:left="540" w:hanging="540"/>
      <w:jc w:val="both"/>
    </w:pPr>
    <w:rPr>
      <w:b/>
      <w:bCs/>
      <w:lang w:eastAsia="en-US"/>
    </w:rPr>
  </w:style>
  <w:style w:type="character" w:customStyle="1" w:styleId="BodyTextIndentChar">
    <w:name w:val="Body Text Indent Char"/>
    <w:basedOn w:val="DefaultParagraphFont"/>
    <w:link w:val="BodyTextIndent"/>
    <w:rsid w:val="0046000D"/>
    <w:rPr>
      <w:rFonts w:ascii="Times New Roman" w:eastAsia="Times New Roman" w:hAnsi="Times New Roman" w:cs="Times New Roman"/>
      <w:b/>
      <w:bCs/>
      <w:szCs w:val="24"/>
    </w:rPr>
  </w:style>
  <w:style w:type="paragraph" w:styleId="BodyText2">
    <w:name w:val="Body Text 2"/>
    <w:basedOn w:val="Normal"/>
    <w:link w:val="BodyText2Char"/>
    <w:rsid w:val="0046000D"/>
    <w:pPr>
      <w:jc w:val="both"/>
    </w:pPr>
    <w:rPr>
      <w:lang w:eastAsia="en-US"/>
    </w:rPr>
  </w:style>
  <w:style w:type="character" w:customStyle="1" w:styleId="BodyText2Char">
    <w:name w:val="Body Text 2 Char"/>
    <w:basedOn w:val="DefaultParagraphFont"/>
    <w:link w:val="BodyText2"/>
    <w:rsid w:val="0046000D"/>
    <w:rPr>
      <w:rFonts w:ascii="Times New Roman" w:eastAsia="Times New Roman" w:hAnsi="Times New Roman" w:cs="Times New Roman"/>
      <w:szCs w:val="24"/>
    </w:rPr>
  </w:style>
  <w:style w:type="paragraph" w:styleId="BodyTextIndent2">
    <w:name w:val="Body Text Indent 2"/>
    <w:basedOn w:val="Normal"/>
    <w:link w:val="BodyTextIndent2Char"/>
    <w:rsid w:val="0046000D"/>
    <w:pPr>
      <w:ind w:left="1440" w:hanging="720"/>
      <w:jc w:val="both"/>
    </w:pPr>
    <w:rPr>
      <w:lang w:eastAsia="en-US"/>
    </w:rPr>
  </w:style>
  <w:style w:type="character" w:customStyle="1" w:styleId="BodyTextIndent2Char">
    <w:name w:val="Body Text Indent 2 Char"/>
    <w:basedOn w:val="DefaultParagraphFont"/>
    <w:link w:val="BodyTextIndent2"/>
    <w:rsid w:val="0046000D"/>
    <w:rPr>
      <w:rFonts w:ascii="Times New Roman" w:eastAsia="Times New Roman" w:hAnsi="Times New Roman" w:cs="Times New Roman"/>
      <w:szCs w:val="24"/>
    </w:rPr>
  </w:style>
  <w:style w:type="paragraph" w:styleId="BodyText3">
    <w:name w:val="Body Text 3"/>
    <w:basedOn w:val="Normal"/>
    <w:link w:val="BodyText3Char"/>
    <w:rsid w:val="0046000D"/>
    <w:pPr>
      <w:jc w:val="both"/>
    </w:pPr>
    <w:rPr>
      <w:lang w:eastAsia="en-US"/>
    </w:rPr>
  </w:style>
  <w:style w:type="character" w:customStyle="1" w:styleId="BodyText3Char">
    <w:name w:val="Body Text 3 Char"/>
    <w:basedOn w:val="DefaultParagraphFont"/>
    <w:link w:val="BodyText3"/>
    <w:rsid w:val="0046000D"/>
    <w:rPr>
      <w:rFonts w:ascii="Times New Roman" w:eastAsia="Times New Roman" w:hAnsi="Times New Roman" w:cs="Times New Roman"/>
      <w:szCs w:val="24"/>
    </w:rPr>
  </w:style>
  <w:style w:type="paragraph" w:styleId="BodyTextIndent3">
    <w:name w:val="Body Text Indent 3"/>
    <w:basedOn w:val="Normal"/>
    <w:link w:val="BodyTextIndent3Char"/>
    <w:rsid w:val="0046000D"/>
    <w:pPr>
      <w:ind w:left="2160" w:hanging="720"/>
      <w:jc w:val="both"/>
    </w:pPr>
    <w:rPr>
      <w:lang w:eastAsia="en-US"/>
    </w:rPr>
  </w:style>
  <w:style w:type="character" w:customStyle="1" w:styleId="BodyTextIndent3Char">
    <w:name w:val="Body Text Indent 3 Char"/>
    <w:basedOn w:val="DefaultParagraphFont"/>
    <w:link w:val="BodyTextIndent3"/>
    <w:rsid w:val="0046000D"/>
    <w:rPr>
      <w:rFonts w:ascii="Times New Roman" w:eastAsia="Times New Roman" w:hAnsi="Times New Roman" w:cs="Times New Roman"/>
      <w:szCs w:val="24"/>
    </w:rPr>
  </w:style>
  <w:style w:type="paragraph" w:styleId="TOC7">
    <w:name w:val="toc 7"/>
    <w:basedOn w:val="Normal"/>
    <w:next w:val="Normal"/>
    <w:autoRedefine/>
    <w:uiPriority w:val="39"/>
    <w:rsid w:val="0046000D"/>
    <w:pPr>
      <w:ind w:left="1440"/>
    </w:pPr>
    <w:rPr>
      <w:lang w:eastAsia="en-US"/>
    </w:rPr>
  </w:style>
  <w:style w:type="paragraph" w:styleId="Title">
    <w:name w:val="Title"/>
    <w:basedOn w:val="Normal"/>
    <w:link w:val="TitleChar"/>
    <w:qFormat/>
    <w:rsid w:val="0046000D"/>
    <w:pPr>
      <w:jc w:val="center"/>
    </w:pPr>
    <w:rPr>
      <w:szCs w:val="20"/>
      <w:u w:val="single"/>
      <w:lang w:val="en-US" w:eastAsia="en-US"/>
    </w:rPr>
  </w:style>
  <w:style w:type="character" w:customStyle="1" w:styleId="TitleChar">
    <w:name w:val="Title Char"/>
    <w:basedOn w:val="DefaultParagraphFont"/>
    <w:link w:val="Title"/>
    <w:rsid w:val="0046000D"/>
    <w:rPr>
      <w:rFonts w:ascii="Times New Roman" w:eastAsia="Times New Roman" w:hAnsi="Times New Roman" w:cs="Times New Roman"/>
      <w:szCs w:val="20"/>
      <w:u w:val="single"/>
      <w:lang w:val="en-US"/>
    </w:rPr>
  </w:style>
  <w:style w:type="character" w:styleId="FollowedHyperlink">
    <w:name w:val="FollowedHyperlink"/>
    <w:basedOn w:val="DefaultParagraphFont"/>
    <w:uiPriority w:val="99"/>
    <w:rsid w:val="0046000D"/>
    <w:rPr>
      <w:color w:val="800080"/>
      <w:u w:val="single"/>
    </w:rPr>
  </w:style>
  <w:style w:type="paragraph" w:styleId="MessageHeader">
    <w:name w:val="Message Header"/>
    <w:basedOn w:val="BodyText"/>
    <w:link w:val="MessageHeaderChar"/>
    <w:rsid w:val="0046000D"/>
    <w:pPr>
      <w:keepLines/>
      <w:tabs>
        <w:tab w:val="left" w:pos="3600"/>
        <w:tab w:val="left" w:pos="4680"/>
      </w:tabs>
      <w:autoSpaceDE/>
      <w:autoSpaceDN/>
      <w:spacing w:after="120"/>
      <w:ind w:left="1080" w:hanging="1080"/>
    </w:pPr>
    <w:rPr>
      <w:rFonts w:ascii="Helvetica" w:eastAsia="Times New Roman" w:hAnsi="Helvetica" w:cs="Times New Roman"/>
      <w:szCs w:val="20"/>
      <w:lang w:val="en-GB" w:eastAsia="en-AU"/>
    </w:rPr>
  </w:style>
  <w:style w:type="character" w:customStyle="1" w:styleId="MessageHeaderChar">
    <w:name w:val="Message Header Char"/>
    <w:basedOn w:val="DefaultParagraphFont"/>
    <w:link w:val="MessageHeader"/>
    <w:rsid w:val="0046000D"/>
    <w:rPr>
      <w:rFonts w:ascii="Helvetica" w:eastAsia="Times New Roman" w:hAnsi="Helvetica" w:cs="Times New Roman"/>
      <w:szCs w:val="20"/>
      <w:lang w:val="en-GB" w:eastAsia="en-AU"/>
    </w:rPr>
  </w:style>
  <w:style w:type="paragraph" w:customStyle="1" w:styleId="ReturnAddress">
    <w:name w:val="Return Address"/>
    <w:basedOn w:val="Normal"/>
    <w:rsid w:val="0046000D"/>
    <w:pPr>
      <w:keepLines/>
      <w:ind w:right="4320"/>
    </w:pPr>
    <w:rPr>
      <w:rFonts w:ascii="Helvetica" w:hAnsi="Helvetica"/>
      <w:szCs w:val="20"/>
      <w:lang w:val="en-GB"/>
    </w:rPr>
  </w:style>
  <w:style w:type="paragraph" w:customStyle="1" w:styleId="CompanyName">
    <w:name w:val="Company Name"/>
    <w:basedOn w:val="BodyText"/>
    <w:next w:val="Normal"/>
    <w:rsid w:val="0046000D"/>
    <w:pPr>
      <w:keepNext/>
      <w:keepLines/>
      <w:autoSpaceDE/>
      <w:autoSpaceDN/>
    </w:pPr>
    <w:rPr>
      <w:rFonts w:ascii="Helvetica" w:eastAsia="Times New Roman" w:hAnsi="Helvetica" w:cs="Times New Roman"/>
      <w:b/>
      <w:caps/>
      <w:szCs w:val="20"/>
      <w:lang w:val="en-GB" w:eastAsia="en-AU"/>
    </w:rPr>
  </w:style>
  <w:style w:type="character" w:customStyle="1" w:styleId="MessageHeaderLabel">
    <w:name w:val="Message Header Label"/>
    <w:rsid w:val="0046000D"/>
    <w:rPr>
      <w:b/>
      <w:caps/>
      <w:sz w:val="20"/>
    </w:rPr>
  </w:style>
  <w:style w:type="paragraph" w:customStyle="1" w:styleId="1">
    <w:name w:val="1"/>
    <w:aliases w:val="2,3"/>
    <w:basedOn w:val="Normal"/>
    <w:rsid w:val="0046000D"/>
    <w:pPr>
      <w:widowControl w:val="0"/>
      <w:tabs>
        <w:tab w:val="num" w:pos="360"/>
      </w:tabs>
      <w:ind w:left="720" w:hanging="720"/>
    </w:pPr>
    <w:rPr>
      <w:snapToGrid w:val="0"/>
      <w:szCs w:val="20"/>
      <w:lang w:val="en-US" w:eastAsia="en-US"/>
    </w:rPr>
  </w:style>
  <w:style w:type="paragraph" w:customStyle="1" w:styleId="Style0">
    <w:name w:val="Style0"/>
    <w:rsid w:val="0046000D"/>
    <w:pPr>
      <w:autoSpaceDE w:val="0"/>
      <w:autoSpaceDN w:val="0"/>
      <w:adjustRightInd w:val="0"/>
      <w:spacing w:after="0" w:line="240" w:lineRule="auto"/>
    </w:pPr>
    <w:rPr>
      <w:rFonts w:ascii="Arial" w:eastAsia="Times New Roman" w:hAnsi="Arial" w:cs="Times New Roman"/>
      <w:sz w:val="24"/>
      <w:szCs w:val="24"/>
      <w:lang w:val="en-US"/>
    </w:rPr>
  </w:style>
  <w:style w:type="paragraph" w:styleId="E-mailSignature">
    <w:name w:val="E-mail Signature"/>
    <w:basedOn w:val="Normal"/>
    <w:link w:val="E-mailSignatureChar"/>
    <w:rsid w:val="0046000D"/>
  </w:style>
  <w:style w:type="character" w:customStyle="1" w:styleId="E-mailSignatureChar">
    <w:name w:val="E-mail Signature Char"/>
    <w:basedOn w:val="DefaultParagraphFont"/>
    <w:link w:val="E-mailSignature"/>
    <w:rsid w:val="0046000D"/>
    <w:rPr>
      <w:rFonts w:ascii="Times New Roman" w:eastAsia="Times New Roman" w:hAnsi="Times New Roman" w:cs="Times New Roman"/>
      <w:szCs w:val="24"/>
      <w:lang w:eastAsia="en-AU"/>
    </w:rPr>
  </w:style>
  <w:style w:type="paragraph" w:customStyle="1" w:styleId="DocTitle">
    <w:name w:val="DocTitle"/>
    <w:basedOn w:val="Normal"/>
    <w:autoRedefine/>
    <w:rsid w:val="0046000D"/>
    <w:rPr>
      <w:b/>
      <w:sz w:val="36"/>
      <w:szCs w:val="36"/>
      <w:lang w:eastAsia="en-US"/>
    </w:rPr>
  </w:style>
  <w:style w:type="paragraph" w:customStyle="1" w:styleId="DocSubject">
    <w:name w:val="DocSubject"/>
    <w:basedOn w:val="Normal"/>
    <w:autoRedefine/>
    <w:rsid w:val="0046000D"/>
    <w:rPr>
      <w:rFonts w:cs="Arial"/>
      <w:sz w:val="32"/>
      <w:szCs w:val="32"/>
      <w:lang w:eastAsia="en-US"/>
    </w:rPr>
  </w:style>
  <w:style w:type="paragraph" w:styleId="Bibliography">
    <w:name w:val="Bibliography"/>
    <w:basedOn w:val="Normal"/>
    <w:rsid w:val="0046000D"/>
    <w:pPr>
      <w:widowControl w:val="0"/>
      <w:tabs>
        <w:tab w:val="left" w:pos="567"/>
      </w:tabs>
      <w:spacing w:line="360" w:lineRule="auto"/>
      <w:ind w:left="567" w:hanging="567"/>
    </w:pPr>
    <w:rPr>
      <w:color w:val="000000"/>
      <w:sz w:val="20"/>
      <w:szCs w:val="20"/>
      <w:lang w:eastAsia="en-US" w:bidi="he-IL"/>
    </w:rPr>
  </w:style>
  <w:style w:type="paragraph" w:customStyle="1" w:styleId="Important">
    <w:name w:val="Important"/>
    <w:basedOn w:val="Normal"/>
    <w:rsid w:val="0046000D"/>
    <w:pPr>
      <w:pBdr>
        <w:top w:val="single" w:sz="4" w:space="1" w:color="006699"/>
        <w:left w:val="single" w:sz="36" w:space="1" w:color="006699"/>
        <w:bottom w:val="single" w:sz="4" w:space="1" w:color="006699"/>
      </w:pBdr>
      <w:ind w:left="720" w:right="720"/>
    </w:pPr>
    <w:rPr>
      <w:sz w:val="20"/>
      <w:szCs w:val="20"/>
      <w:lang w:eastAsia="en-US" w:bidi="he-IL"/>
    </w:rPr>
  </w:style>
  <w:style w:type="paragraph" w:customStyle="1" w:styleId="Question">
    <w:name w:val="Question"/>
    <w:basedOn w:val="Important"/>
    <w:autoRedefine/>
    <w:rsid w:val="0046000D"/>
    <w:pPr>
      <w:pBdr>
        <w:top w:val="single" w:sz="18" w:space="1" w:color="FF0000"/>
        <w:left w:val="none" w:sz="0" w:space="0" w:color="auto"/>
        <w:bottom w:val="single" w:sz="18" w:space="1" w:color="FF0000"/>
      </w:pBdr>
    </w:pPr>
    <w:rPr>
      <w:rFonts w:ascii="Franklin Gothic Medium" w:hAnsi="Franklin Gothic Medium"/>
      <w:i/>
      <w:lang w:val="en-US"/>
    </w:rPr>
  </w:style>
  <w:style w:type="paragraph" w:customStyle="1" w:styleId="BoxedText">
    <w:name w:val="BoxedText"/>
    <w:basedOn w:val="Question"/>
    <w:rsid w:val="0046000D"/>
    <w:pPr>
      <w:pBdr>
        <w:top w:val="single" w:sz="6" w:space="1" w:color="808080"/>
        <w:left w:val="single" w:sz="6" w:space="1" w:color="808080"/>
        <w:bottom w:val="single" w:sz="6" w:space="1" w:color="808080"/>
        <w:right w:val="single" w:sz="6" w:space="1" w:color="808080"/>
      </w:pBdr>
    </w:pPr>
  </w:style>
  <w:style w:type="paragraph" w:styleId="CommentText">
    <w:name w:val="annotation text"/>
    <w:basedOn w:val="Normal"/>
    <w:link w:val="CommentTextChar"/>
    <w:uiPriority w:val="99"/>
    <w:rsid w:val="0046000D"/>
    <w:rPr>
      <w:rFonts w:ascii="Garamond" w:hAnsi="Garamond"/>
      <w:sz w:val="20"/>
      <w:szCs w:val="20"/>
      <w:lang w:eastAsia="en-US" w:bidi="he-IL"/>
    </w:rPr>
  </w:style>
  <w:style w:type="character" w:customStyle="1" w:styleId="CommentTextChar">
    <w:name w:val="Comment Text Char"/>
    <w:basedOn w:val="DefaultParagraphFont"/>
    <w:link w:val="CommentText"/>
    <w:uiPriority w:val="99"/>
    <w:rsid w:val="0046000D"/>
    <w:rPr>
      <w:rFonts w:ascii="Garamond" w:eastAsia="Times New Roman" w:hAnsi="Garamond" w:cs="Times New Roman"/>
      <w:sz w:val="20"/>
      <w:szCs w:val="20"/>
      <w:lang w:bidi="he-IL"/>
    </w:rPr>
  </w:style>
  <w:style w:type="paragraph" w:customStyle="1" w:styleId="DocHeading">
    <w:name w:val="Doc Heading"/>
    <w:basedOn w:val="Normal"/>
    <w:next w:val="Normal"/>
    <w:autoRedefine/>
    <w:rsid w:val="0046000D"/>
    <w:rPr>
      <w:rFonts w:ascii="Franklin Gothic Demi" w:hAnsi="Franklin Gothic Demi"/>
      <w:bCs/>
      <w:sz w:val="40"/>
      <w:szCs w:val="40"/>
      <w:lang w:eastAsia="en-US" w:bidi="he-IL"/>
    </w:rPr>
  </w:style>
  <w:style w:type="paragraph" w:customStyle="1" w:styleId="DocTitle0">
    <w:name w:val="Doc Title"/>
    <w:basedOn w:val="Normal"/>
    <w:next w:val="Normal"/>
    <w:rsid w:val="0046000D"/>
    <w:pPr>
      <w:spacing w:after="120"/>
    </w:pPr>
    <w:rPr>
      <w:rFonts w:ascii="Franklin Gothic Demi" w:hAnsi="Franklin Gothic Demi"/>
      <w:sz w:val="28"/>
      <w:szCs w:val="20"/>
      <w:lang w:eastAsia="en-US" w:bidi="he-IL"/>
    </w:rPr>
  </w:style>
  <w:style w:type="paragraph" w:customStyle="1" w:styleId="Table">
    <w:name w:val="Table"/>
    <w:basedOn w:val="Normal"/>
    <w:rsid w:val="0046000D"/>
    <w:rPr>
      <w:sz w:val="20"/>
      <w:szCs w:val="20"/>
      <w:lang w:eastAsia="en-US" w:bidi="he-IL"/>
    </w:rPr>
  </w:style>
  <w:style w:type="paragraph" w:customStyle="1" w:styleId="TableHeader">
    <w:name w:val="Table Header"/>
    <w:basedOn w:val="Table"/>
    <w:rsid w:val="0046000D"/>
    <w:rPr>
      <w:b/>
    </w:rPr>
  </w:style>
  <w:style w:type="paragraph" w:customStyle="1" w:styleId="Heading1Small">
    <w:name w:val="Heading 1 Small"/>
    <w:basedOn w:val="Heading1"/>
    <w:rsid w:val="0046000D"/>
    <w:pPr>
      <w:spacing w:before="0" w:after="0" w:line="264" w:lineRule="auto"/>
    </w:pPr>
    <w:rPr>
      <w:rFonts w:ascii="Humnst777 Blk BT" w:hAnsi="Humnst777 Blk BT" w:cs="Times New Roman"/>
      <w:b w:val="0"/>
      <w:kern w:val="28"/>
      <w:sz w:val="24"/>
      <w:szCs w:val="20"/>
      <w:lang w:val="en-US" w:eastAsia="en-US" w:bidi="he-IL"/>
    </w:rPr>
  </w:style>
  <w:style w:type="character" w:customStyle="1" w:styleId="BibliographyTitle">
    <w:name w:val="Bibliography Title"/>
    <w:rsid w:val="0046000D"/>
    <w:rPr>
      <w:i/>
      <w:iCs/>
    </w:rPr>
  </w:style>
  <w:style w:type="paragraph" w:customStyle="1" w:styleId="SmallText">
    <w:name w:val="SmallText"/>
    <w:basedOn w:val="Normal"/>
    <w:autoRedefine/>
    <w:rsid w:val="0046000D"/>
    <w:rPr>
      <w:sz w:val="16"/>
      <w:szCs w:val="16"/>
      <w:lang w:eastAsia="en-US" w:bidi="he-IL"/>
    </w:rPr>
  </w:style>
  <w:style w:type="paragraph" w:customStyle="1" w:styleId="FormText">
    <w:name w:val="FormText"/>
    <w:basedOn w:val="Normal"/>
    <w:autoRedefine/>
    <w:rsid w:val="0046000D"/>
    <w:rPr>
      <w:sz w:val="20"/>
      <w:szCs w:val="20"/>
      <w:lang w:eastAsia="en-US" w:bidi="he-IL"/>
    </w:rPr>
  </w:style>
  <w:style w:type="paragraph" w:customStyle="1" w:styleId="FormGapLine">
    <w:name w:val="FormGapLine"/>
    <w:basedOn w:val="FormText"/>
    <w:autoRedefine/>
    <w:rsid w:val="0046000D"/>
    <w:rPr>
      <w:sz w:val="4"/>
    </w:rPr>
  </w:style>
  <w:style w:type="paragraph" w:customStyle="1" w:styleId="FormSectionHeading">
    <w:name w:val="FormSectionHeading"/>
    <w:basedOn w:val="FormText"/>
    <w:autoRedefine/>
    <w:rsid w:val="0046000D"/>
    <w:rPr>
      <w:rFonts w:ascii="Franklin Gothic Medium" w:hAnsi="Franklin Gothic Medium"/>
      <w:color w:val="FFFFFF"/>
      <w:sz w:val="24"/>
      <w:szCs w:val="24"/>
    </w:rPr>
  </w:style>
  <w:style w:type="paragraph" w:customStyle="1" w:styleId="DraftNotice">
    <w:name w:val="DraftNotice"/>
    <w:basedOn w:val="Normal"/>
    <w:autoRedefine/>
    <w:rsid w:val="0046000D"/>
    <w:rPr>
      <w:rFonts w:ascii="Franklin Gothic Demi" w:hAnsi="Franklin Gothic Demi"/>
      <w:caps/>
      <w:color w:val="FF0000"/>
      <w:sz w:val="40"/>
      <w:szCs w:val="40"/>
      <w:lang w:eastAsia="en-US" w:bidi="he-IL"/>
    </w:rPr>
  </w:style>
  <w:style w:type="paragraph" w:customStyle="1" w:styleId="ClientName">
    <w:name w:val="ClientName"/>
    <w:basedOn w:val="Normal"/>
    <w:rsid w:val="0046000D"/>
    <w:pPr>
      <w:ind w:left="1134"/>
    </w:pPr>
    <w:rPr>
      <w:lang w:eastAsia="en-US" w:bidi="he-IL"/>
    </w:rPr>
  </w:style>
  <w:style w:type="paragraph" w:customStyle="1" w:styleId="CoverDate">
    <w:name w:val="CoverDate"/>
    <w:basedOn w:val="Normal"/>
    <w:rsid w:val="0046000D"/>
    <w:pPr>
      <w:ind w:left="1134"/>
    </w:pPr>
    <w:rPr>
      <w:sz w:val="20"/>
      <w:szCs w:val="20"/>
      <w:lang w:eastAsia="en-US" w:bidi="he-IL"/>
    </w:rPr>
  </w:style>
  <w:style w:type="paragraph" w:customStyle="1" w:styleId="NoIndent">
    <w:name w:val="NoIndent"/>
    <w:basedOn w:val="Normal"/>
    <w:rsid w:val="0046000D"/>
    <w:pPr>
      <w:framePr w:hSpace="180" w:wrap="around" w:vAnchor="text" w:hAnchor="page" w:x="577" w:y="10746"/>
    </w:pPr>
    <w:rPr>
      <w:rFonts w:ascii="Palatino Linotype" w:hAnsi="Palatino Linotype"/>
      <w:szCs w:val="20"/>
      <w:lang w:eastAsia="en-US" w:bidi="he-IL"/>
    </w:rPr>
  </w:style>
  <w:style w:type="paragraph" w:customStyle="1" w:styleId="ConfidentialityText">
    <w:name w:val="ConfidentialityText"/>
    <w:basedOn w:val="NoIndent"/>
    <w:autoRedefine/>
    <w:rsid w:val="0046000D"/>
    <w:pPr>
      <w:framePr w:hSpace="0" w:wrap="auto" w:vAnchor="margin" w:hAnchor="text" w:xAlign="left" w:yAlign="inline"/>
      <w:ind w:left="1134" w:right="4561"/>
    </w:pPr>
    <w:rPr>
      <w:rFonts w:ascii="Franklin Gothic Book" w:hAnsi="Franklin Gothic Book"/>
      <w:sz w:val="16"/>
      <w:lang w:val="en-US"/>
    </w:rPr>
  </w:style>
  <w:style w:type="paragraph" w:customStyle="1" w:styleId="ConfidentialityHeading">
    <w:name w:val="ConfidentialityHeading"/>
    <w:basedOn w:val="NoIndent"/>
    <w:rsid w:val="0046000D"/>
    <w:pPr>
      <w:framePr w:hSpace="0" w:wrap="auto" w:vAnchor="margin" w:hAnchor="text" w:xAlign="left" w:yAlign="inline"/>
    </w:pPr>
    <w:rPr>
      <w:rFonts w:ascii="Franklin Gothic Demi" w:hAnsi="Franklin Gothic Demi"/>
      <w:color w:val="FF0000"/>
      <w:spacing w:val="160"/>
      <w:sz w:val="24"/>
      <w:lang w:val="en-US"/>
    </w:rPr>
  </w:style>
  <w:style w:type="paragraph" w:customStyle="1" w:styleId="ChapterHeading">
    <w:name w:val="Chapter Heading"/>
    <w:basedOn w:val="Heading1"/>
    <w:autoRedefine/>
    <w:rsid w:val="0046000D"/>
    <w:pPr>
      <w:spacing w:before="1080" w:after="720"/>
    </w:pPr>
    <w:rPr>
      <w:rFonts w:ascii="Franklin Gothic Demi" w:hAnsi="Franklin Gothic Demi" w:cs="Times New Roman"/>
      <w:b w:val="0"/>
      <w:bCs w:val="0"/>
      <w:kern w:val="28"/>
      <w:sz w:val="44"/>
      <w:szCs w:val="20"/>
      <w:lang w:eastAsia="en-US" w:bidi="he-IL"/>
    </w:rPr>
  </w:style>
  <w:style w:type="table" w:styleId="TableContemporary">
    <w:name w:val="Table Contemporary"/>
    <w:basedOn w:val="TableNormal"/>
    <w:rsid w:val="0046000D"/>
    <w:pPr>
      <w:spacing w:after="0" w:line="240" w:lineRule="auto"/>
    </w:pPr>
    <w:rPr>
      <w:rFonts w:ascii="Arial" w:eastAsia="Times New Roman" w:hAnsi="Arial" w:cs="Times New Roman"/>
      <w:sz w:val="20"/>
      <w:szCs w:val="20"/>
      <w:lang w:eastAsia="en-NZ"/>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6">
    <w:name w:val="Table List 6"/>
    <w:basedOn w:val="TableNormal"/>
    <w:rsid w:val="0046000D"/>
    <w:pPr>
      <w:spacing w:after="0" w:line="240" w:lineRule="auto"/>
    </w:pPr>
    <w:rPr>
      <w:rFonts w:ascii="Times New Roman" w:eastAsia="Times New Roman" w:hAnsi="Times New Roman" w:cs="Times New Roman"/>
      <w:sz w:val="20"/>
      <w:szCs w:val="20"/>
      <w:lang w:eastAsia="en-NZ"/>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Professional">
    <w:name w:val="Table Professional"/>
    <w:basedOn w:val="TableNormal"/>
    <w:rsid w:val="0046000D"/>
    <w:pPr>
      <w:spacing w:after="0" w:line="240" w:lineRule="auto"/>
    </w:pPr>
    <w:rPr>
      <w:rFonts w:ascii="Times New Roman" w:eastAsia="Times New Roman" w:hAnsi="Times New Roman" w:cs="Times New Roman"/>
      <w:sz w:val="20"/>
      <w:szCs w:val="20"/>
      <w:lang w:eastAsia="en-NZ"/>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Quote">
    <w:name w:val="Quote"/>
    <w:basedOn w:val="Normal"/>
    <w:link w:val="QuoteChar"/>
    <w:autoRedefine/>
    <w:uiPriority w:val="29"/>
    <w:qFormat/>
    <w:rsid w:val="0046000D"/>
    <w:pPr>
      <w:ind w:left="567"/>
    </w:pPr>
    <w:rPr>
      <w:rFonts w:ascii="Arial" w:hAnsi="Arial"/>
      <w:lang w:eastAsia="en-US"/>
    </w:rPr>
  </w:style>
  <w:style w:type="character" w:customStyle="1" w:styleId="QuoteChar">
    <w:name w:val="Quote Char"/>
    <w:basedOn w:val="DefaultParagraphFont"/>
    <w:link w:val="Quote"/>
    <w:uiPriority w:val="29"/>
    <w:rsid w:val="0046000D"/>
    <w:rPr>
      <w:rFonts w:ascii="Arial" w:eastAsia="Times New Roman" w:hAnsi="Arial" w:cs="Times New Roman"/>
      <w:szCs w:val="24"/>
    </w:rPr>
  </w:style>
  <w:style w:type="character" w:styleId="Strong">
    <w:name w:val="Strong"/>
    <w:basedOn w:val="DefaultParagraphFont"/>
    <w:uiPriority w:val="22"/>
    <w:qFormat/>
    <w:rsid w:val="0046000D"/>
    <w:rPr>
      <w:b/>
      <w:bCs/>
    </w:rPr>
  </w:style>
  <w:style w:type="character" w:customStyle="1" w:styleId="Char">
    <w:name w:val="Char"/>
    <w:basedOn w:val="DefaultParagraphFont"/>
    <w:rsid w:val="0046000D"/>
    <w:rPr>
      <w:rFonts w:ascii="Arial" w:hAnsi="Arial" w:cs="Arial"/>
      <w:b/>
      <w:bCs/>
      <w:i/>
      <w:iCs/>
      <w:sz w:val="28"/>
      <w:szCs w:val="28"/>
      <w:lang w:val="en-NZ" w:eastAsia="en-AU" w:bidi="ar-SA"/>
    </w:rPr>
  </w:style>
  <w:style w:type="paragraph" w:customStyle="1" w:styleId="AbstractText">
    <w:name w:val="Abstract Text"/>
    <w:basedOn w:val="Normal"/>
    <w:rsid w:val="0046000D"/>
    <w:pPr>
      <w:suppressAutoHyphens/>
      <w:spacing w:line="480" w:lineRule="auto"/>
    </w:pPr>
    <w:rPr>
      <w:lang w:val="en-US" w:eastAsia="en-US"/>
    </w:rPr>
  </w:style>
  <w:style w:type="character" w:styleId="CommentReference">
    <w:name w:val="annotation reference"/>
    <w:basedOn w:val="DefaultParagraphFont"/>
    <w:uiPriority w:val="99"/>
    <w:rsid w:val="0046000D"/>
    <w:rPr>
      <w:sz w:val="16"/>
      <w:szCs w:val="16"/>
    </w:rPr>
  </w:style>
  <w:style w:type="paragraph" w:styleId="CommentSubject">
    <w:name w:val="annotation subject"/>
    <w:basedOn w:val="CommentText"/>
    <w:next w:val="CommentText"/>
    <w:link w:val="CommentSubjectChar"/>
    <w:uiPriority w:val="99"/>
    <w:semiHidden/>
    <w:rsid w:val="0046000D"/>
    <w:pPr>
      <w:spacing w:line="300" w:lineRule="auto"/>
    </w:pPr>
    <w:rPr>
      <w:rFonts w:ascii="Arial" w:hAnsi="Arial"/>
      <w:b/>
      <w:bCs/>
      <w:lang w:bidi="ar-SA"/>
    </w:rPr>
  </w:style>
  <w:style w:type="character" w:customStyle="1" w:styleId="CommentSubjectChar">
    <w:name w:val="Comment Subject Char"/>
    <w:basedOn w:val="CommentTextChar"/>
    <w:link w:val="CommentSubject"/>
    <w:uiPriority w:val="99"/>
    <w:semiHidden/>
    <w:rsid w:val="0046000D"/>
    <w:rPr>
      <w:rFonts w:ascii="Arial" w:eastAsia="Times New Roman" w:hAnsi="Arial" w:cs="Times New Roman"/>
      <w:b/>
      <w:bCs/>
      <w:sz w:val="20"/>
      <w:szCs w:val="20"/>
      <w:lang w:bidi="he-IL"/>
    </w:rPr>
  </w:style>
  <w:style w:type="paragraph" w:customStyle="1" w:styleId="Heading311">
    <w:name w:val="Heading 3.1.1"/>
    <w:basedOn w:val="Normal"/>
    <w:rsid w:val="0046000D"/>
    <w:pPr>
      <w:numPr>
        <w:numId w:val="12"/>
      </w:numPr>
      <w:jc w:val="both"/>
    </w:pPr>
    <w:rPr>
      <w:b/>
      <w:bCs/>
      <w:i/>
      <w:iCs/>
      <w:szCs w:val="22"/>
    </w:rPr>
  </w:style>
  <w:style w:type="paragraph" w:customStyle="1" w:styleId="BodyText1">
    <w:name w:val="Body Text1"/>
    <w:basedOn w:val="Normal"/>
    <w:rsid w:val="0046000D"/>
    <w:pPr>
      <w:overflowPunct w:val="0"/>
      <w:autoSpaceDE w:val="0"/>
      <w:autoSpaceDN w:val="0"/>
      <w:adjustRightInd w:val="0"/>
      <w:spacing w:before="20" w:line="160" w:lineRule="atLeast"/>
      <w:ind w:left="284"/>
      <w:textAlignment w:val="baseline"/>
    </w:pPr>
    <w:rPr>
      <w:szCs w:val="20"/>
      <w:lang w:val="en-AU" w:eastAsia="en-US"/>
    </w:rPr>
  </w:style>
  <w:style w:type="paragraph" w:customStyle="1" w:styleId="Style5">
    <w:name w:val="Style5"/>
    <w:basedOn w:val="Heading3"/>
    <w:rsid w:val="0046000D"/>
    <w:pPr>
      <w:numPr>
        <w:numId w:val="14"/>
      </w:numPr>
    </w:pPr>
  </w:style>
  <w:style w:type="paragraph" w:customStyle="1" w:styleId="StyleArial11ptBoldJustifiedLinespacingMultiple13li">
    <w:name w:val="Style Arial 11 pt Bold Justified Line spacing:  Multiple 1.3 li"/>
    <w:basedOn w:val="Normal"/>
    <w:rsid w:val="0046000D"/>
    <w:pPr>
      <w:numPr>
        <w:numId w:val="16"/>
      </w:numPr>
      <w:spacing w:line="312" w:lineRule="auto"/>
      <w:ind w:left="0" w:firstLine="0"/>
      <w:jc w:val="both"/>
    </w:pPr>
    <w:rPr>
      <w:rFonts w:ascii="Arial" w:hAnsi="Arial"/>
      <w:b/>
      <w:bCs/>
      <w:szCs w:val="20"/>
      <w:lang w:val="en-AU"/>
    </w:rPr>
  </w:style>
  <w:style w:type="paragraph" w:customStyle="1" w:styleId="MEB26">
    <w:name w:val="MEB2.6"/>
    <w:rsid w:val="0046000D"/>
    <w:pPr>
      <w:numPr>
        <w:ilvl w:val="2"/>
        <w:numId w:val="17"/>
      </w:numPr>
      <w:spacing w:after="0" w:line="240" w:lineRule="auto"/>
      <w:ind w:left="720"/>
    </w:pPr>
    <w:rPr>
      <w:rFonts w:ascii="Times New Roman" w:eastAsia="Times New Roman" w:hAnsi="Times New Roman" w:cs="Times New Roman"/>
      <w:b/>
      <w:i/>
      <w:szCs w:val="24"/>
      <w:lang w:val="en-AU"/>
    </w:rPr>
  </w:style>
  <w:style w:type="paragraph" w:customStyle="1" w:styleId="MEB34">
    <w:name w:val="MEB 3.4"/>
    <w:rsid w:val="0046000D"/>
    <w:pPr>
      <w:numPr>
        <w:ilvl w:val="2"/>
        <w:numId w:val="18"/>
      </w:numPr>
      <w:spacing w:after="0" w:line="240" w:lineRule="auto"/>
      <w:ind w:left="720"/>
    </w:pPr>
    <w:rPr>
      <w:rFonts w:ascii="Times New Roman" w:eastAsia="Times New Roman" w:hAnsi="Times New Roman" w:cs="Times New Roman"/>
      <w:b/>
      <w:i/>
      <w:lang w:eastAsia="en-AU"/>
    </w:rPr>
  </w:style>
  <w:style w:type="paragraph" w:styleId="Caption">
    <w:name w:val="caption"/>
    <w:basedOn w:val="Normal"/>
    <w:next w:val="Normal"/>
    <w:qFormat/>
    <w:rsid w:val="0046000D"/>
    <w:rPr>
      <w:b/>
      <w:bCs/>
      <w:sz w:val="20"/>
      <w:szCs w:val="20"/>
    </w:rPr>
  </w:style>
  <w:style w:type="paragraph" w:customStyle="1" w:styleId="MEB35">
    <w:name w:val="MEB 3.5"/>
    <w:rsid w:val="0046000D"/>
    <w:pPr>
      <w:numPr>
        <w:ilvl w:val="2"/>
        <w:numId w:val="19"/>
      </w:numPr>
      <w:spacing w:after="0" w:line="240" w:lineRule="auto"/>
      <w:ind w:left="720"/>
    </w:pPr>
    <w:rPr>
      <w:rFonts w:ascii="Times New Roman" w:eastAsia="Times New Roman" w:hAnsi="Times New Roman" w:cs="Times New Roman"/>
      <w:b/>
      <w:i/>
      <w:szCs w:val="24"/>
      <w:lang w:eastAsia="en-AU"/>
    </w:rPr>
  </w:style>
  <w:style w:type="paragraph" w:customStyle="1" w:styleId="MEB36">
    <w:name w:val="MEB3.6"/>
    <w:rsid w:val="0046000D"/>
    <w:pPr>
      <w:spacing w:after="0" w:line="240" w:lineRule="auto"/>
    </w:pPr>
    <w:rPr>
      <w:rFonts w:ascii="Times New Roman" w:eastAsia="Times New Roman" w:hAnsi="Times New Roman" w:cs="Times New Roman"/>
      <w:b/>
      <w:i/>
      <w:lang w:eastAsia="en-AU"/>
    </w:rPr>
  </w:style>
  <w:style w:type="paragraph" w:customStyle="1" w:styleId="MEB4">
    <w:name w:val="MEB4"/>
    <w:rsid w:val="0046000D"/>
    <w:pPr>
      <w:numPr>
        <w:ilvl w:val="1"/>
        <w:numId w:val="21"/>
      </w:numPr>
      <w:pBdr>
        <w:top w:val="single" w:sz="4" w:space="1" w:color="auto"/>
        <w:left w:val="single" w:sz="4" w:space="4" w:color="auto"/>
        <w:bottom w:val="single" w:sz="4" w:space="1" w:color="auto"/>
        <w:right w:val="single" w:sz="4" w:space="4" w:color="auto"/>
      </w:pBdr>
      <w:tabs>
        <w:tab w:val="clear" w:pos="2517"/>
        <w:tab w:val="num" w:pos="360"/>
      </w:tabs>
      <w:spacing w:after="0" w:line="240" w:lineRule="auto"/>
      <w:ind w:left="720" w:firstLine="0"/>
    </w:pPr>
    <w:rPr>
      <w:rFonts w:ascii="Times New Roman" w:eastAsia="Times New Roman" w:hAnsi="Times New Roman" w:cs="Times New Roman"/>
      <w:b/>
      <w:lang w:eastAsia="en-AU"/>
    </w:rPr>
  </w:style>
  <w:style w:type="paragraph" w:customStyle="1" w:styleId="MEB41">
    <w:name w:val="MEB4.1"/>
    <w:rsid w:val="0046000D"/>
    <w:pPr>
      <w:numPr>
        <w:ilvl w:val="2"/>
        <w:numId w:val="15"/>
      </w:numPr>
      <w:tabs>
        <w:tab w:val="clear" w:pos="720"/>
        <w:tab w:val="num" w:pos="360"/>
      </w:tabs>
      <w:spacing w:after="0" w:line="240" w:lineRule="auto"/>
      <w:ind w:left="0" w:firstLine="0"/>
      <w:jc w:val="both"/>
    </w:pPr>
    <w:rPr>
      <w:rFonts w:ascii="Times New Roman" w:eastAsia="Times New Roman" w:hAnsi="Times New Roman" w:cs="Times New Roman"/>
      <w:b/>
      <w:i/>
      <w:lang w:eastAsia="en-AU"/>
    </w:rPr>
  </w:style>
  <w:style w:type="paragraph" w:customStyle="1" w:styleId="MEB42">
    <w:name w:val="MEB4.2"/>
    <w:rsid w:val="0046000D"/>
    <w:pPr>
      <w:numPr>
        <w:ilvl w:val="2"/>
        <w:numId w:val="22"/>
      </w:numPr>
      <w:tabs>
        <w:tab w:val="clear" w:pos="720"/>
        <w:tab w:val="num" w:pos="360"/>
      </w:tabs>
      <w:spacing w:after="0" w:line="240" w:lineRule="auto"/>
      <w:ind w:left="0" w:firstLine="0"/>
      <w:jc w:val="both"/>
    </w:pPr>
    <w:rPr>
      <w:rFonts w:ascii="Times New Roman" w:eastAsia="Times New Roman" w:hAnsi="Times New Roman" w:cs="Times New Roman"/>
      <w:b/>
      <w:i/>
      <w:lang w:eastAsia="en-AU"/>
    </w:rPr>
  </w:style>
  <w:style w:type="paragraph" w:styleId="TableofFigures">
    <w:name w:val="table of figures"/>
    <w:basedOn w:val="Normal"/>
    <w:next w:val="Normal"/>
    <w:uiPriority w:val="99"/>
    <w:rsid w:val="0046000D"/>
  </w:style>
  <w:style w:type="character" w:customStyle="1" w:styleId="NormalWebChar">
    <w:name w:val="Normal (Web) Char"/>
    <w:basedOn w:val="DefaultParagraphFont"/>
    <w:link w:val="NormalWeb"/>
    <w:rsid w:val="0046000D"/>
    <w:rPr>
      <w:rFonts w:ascii="Times New Roman" w:eastAsia="Times New Roman" w:hAnsi="Times New Roman" w:cs="Times New Roman"/>
      <w:sz w:val="24"/>
      <w:szCs w:val="24"/>
      <w:lang w:val="en-US"/>
    </w:rPr>
  </w:style>
  <w:style w:type="paragraph" w:styleId="TOC4">
    <w:name w:val="toc 4"/>
    <w:basedOn w:val="Normal"/>
    <w:next w:val="Normal"/>
    <w:autoRedefine/>
    <w:uiPriority w:val="39"/>
    <w:rsid w:val="0046000D"/>
    <w:pPr>
      <w:ind w:left="720"/>
    </w:pPr>
    <w:rPr>
      <w:lang w:val="en-AU"/>
    </w:rPr>
  </w:style>
  <w:style w:type="paragraph" w:styleId="TOC5">
    <w:name w:val="toc 5"/>
    <w:basedOn w:val="Normal"/>
    <w:next w:val="Normal"/>
    <w:autoRedefine/>
    <w:uiPriority w:val="39"/>
    <w:rsid w:val="0046000D"/>
    <w:pPr>
      <w:ind w:left="960"/>
    </w:pPr>
    <w:rPr>
      <w:lang w:val="en-AU"/>
    </w:rPr>
  </w:style>
  <w:style w:type="paragraph" w:styleId="TOC6">
    <w:name w:val="toc 6"/>
    <w:basedOn w:val="Normal"/>
    <w:next w:val="Normal"/>
    <w:autoRedefine/>
    <w:uiPriority w:val="39"/>
    <w:rsid w:val="0046000D"/>
    <w:pPr>
      <w:ind w:left="1200"/>
    </w:pPr>
    <w:rPr>
      <w:lang w:val="en-AU"/>
    </w:rPr>
  </w:style>
  <w:style w:type="paragraph" w:styleId="TOC8">
    <w:name w:val="toc 8"/>
    <w:basedOn w:val="Normal"/>
    <w:next w:val="Normal"/>
    <w:autoRedefine/>
    <w:uiPriority w:val="39"/>
    <w:rsid w:val="0046000D"/>
    <w:pPr>
      <w:ind w:left="1680"/>
    </w:pPr>
    <w:rPr>
      <w:lang w:val="en-AU"/>
    </w:rPr>
  </w:style>
  <w:style w:type="paragraph" w:styleId="TOC9">
    <w:name w:val="toc 9"/>
    <w:basedOn w:val="Normal"/>
    <w:next w:val="Normal"/>
    <w:autoRedefine/>
    <w:uiPriority w:val="39"/>
    <w:rsid w:val="0046000D"/>
    <w:pPr>
      <w:ind w:left="1920"/>
    </w:pPr>
    <w:rPr>
      <w:lang w:val="en-AU"/>
    </w:rPr>
  </w:style>
  <w:style w:type="character" w:customStyle="1" w:styleId="firstlast">
    <w:name w:val="first last"/>
    <w:basedOn w:val="DefaultParagraphFont"/>
    <w:rsid w:val="0046000D"/>
  </w:style>
  <w:style w:type="paragraph" w:customStyle="1" w:styleId="MEB33">
    <w:name w:val="MEB 3.3"/>
    <w:basedOn w:val="MEB36"/>
    <w:rsid w:val="0046000D"/>
    <w:pPr>
      <w:numPr>
        <w:ilvl w:val="2"/>
        <w:numId w:val="20"/>
      </w:numPr>
    </w:pPr>
    <w:rPr>
      <w:iCs/>
    </w:rPr>
  </w:style>
  <w:style w:type="paragraph" w:styleId="ListParagraph">
    <w:name w:val="List Paragraph"/>
    <w:basedOn w:val="Normal"/>
    <w:uiPriority w:val="34"/>
    <w:qFormat/>
    <w:rsid w:val="0046000D"/>
    <w:pPr>
      <w:ind w:left="720"/>
    </w:pPr>
  </w:style>
  <w:style w:type="paragraph" w:styleId="Revision">
    <w:name w:val="Revision"/>
    <w:hidden/>
    <w:uiPriority w:val="99"/>
    <w:semiHidden/>
    <w:rsid w:val="0046000D"/>
    <w:pPr>
      <w:spacing w:after="0"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46000D"/>
    <w:rPr>
      <w:color w:val="808080"/>
    </w:rPr>
  </w:style>
  <w:style w:type="paragraph" w:customStyle="1" w:styleId="RepHead1">
    <w:name w:val="Rep_Head1"/>
    <w:basedOn w:val="Heading1"/>
    <w:next w:val="RepNormal"/>
    <w:qFormat/>
    <w:rsid w:val="00F25301"/>
    <w:pPr>
      <w:keepLines/>
      <w:numPr>
        <w:numId w:val="23"/>
      </w:numPr>
      <w:pBdr>
        <w:top w:val="single" w:sz="4" w:space="1" w:color="auto"/>
        <w:left w:val="single" w:sz="4" w:space="4" w:color="auto"/>
        <w:bottom w:val="single" w:sz="4" w:space="1" w:color="auto"/>
        <w:right w:val="single" w:sz="4" w:space="4" w:color="auto"/>
      </w:pBdr>
      <w:shd w:val="pct20" w:color="auto" w:fill="auto"/>
    </w:pPr>
    <w:rPr>
      <w:rFonts w:ascii="Times New Roman" w:eastAsiaTheme="majorEastAsia" w:hAnsi="Times New Roman" w:cstheme="majorBidi"/>
      <w:caps/>
      <w:kern w:val="0"/>
      <w:sz w:val="22"/>
      <w:szCs w:val="28"/>
      <w:lang w:eastAsia="en-US"/>
    </w:rPr>
  </w:style>
  <w:style w:type="paragraph" w:customStyle="1" w:styleId="RepHead2">
    <w:name w:val="Rep_Head2"/>
    <w:basedOn w:val="RepHead1"/>
    <w:next w:val="RepNormal"/>
    <w:qFormat/>
    <w:rsid w:val="00F25301"/>
    <w:pPr>
      <w:numPr>
        <w:ilvl w:val="1"/>
      </w:numPr>
      <w:shd w:val="clear" w:color="auto" w:fill="auto"/>
      <w:outlineLvl w:val="1"/>
    </w:pPr>
    <w:rPr>
      <w:caps w:val="0"/>
    </w:rPr>
  </w:style>
  <w:style w:type="paragraph" w:customStyle="1" w:styleId="RepHead3">
    <w:name w:val="Rep_Head3"/>
    <w:basedOn w:val="RepHead2"/>
    <w:next w:val="RepNormal"/>
    <w:qFormat/>
    <w:rsid w:val="00F25301"/>
    <w:pPr>
      <w:numPr>
        <w:ilvl w:val="2"/>
      </w:numPr>
      <w:pBdr>
        <w:top w:val="none" w:sz="0" w:space="0" w:color="auto"/>
        <w:left w:val="none" w:sz="0" w:space="0" w:color="auto"/>
        <w:bottom w:val="none" w:sz="0" w:space="0" w:color="auto"/>
        <w:right w:val="none" w:sz="0" w:space="0" w:color="auto"/>
      </w:pBdr>
      <w:spacing w:before="0"/>
      <w:outlineLvl w:val="2"/>
    </w:pPr>
    <w:rPr>
      <w:i/>
    </w:rPr>
  </w:style>
  <w:style w:type="paragraph" w:customStyle="1" w:styleId="RepNormal">
    <w:name w:val="Rep_Normal"/>
    <w:basedOn w:val="NoSpacing"/>
    <w:qFormat/>
    <w:rsid w:val="00F25301"/>
    <w:pPr>
      <w:jc w:val="both"/>
    </w:pPr>
    <w:rPr>
      <w:rFonts w:eastAsiaTheme="minorHAnsi" w:cstheme="minorBidi"/>
      <w:sz w:val="22"/>
      <w:szCs w:val="22"/>
      <w:lang w:eastAsia="en-US"/>
    </w:rPr>
  </w:style>
  <w:style w:type="paragraph" w:styleId="NoSpacing">
    <w:name w:val="No Spacing"/>
    <w:uiPriority w:val="1"/>
    <w:qFormat/>
    <w:rsid w:val="00F25301"/>
    <w:pPr>
      <w:spacing w:after="0" w:line="240" w:lineRule="auto"/>
    </w:pPr>
    <w:rPr>
      <w:rFonts w:ascii="Times New Roman" w:eastAsia="Times New Roman" w:hAnsi="Times New Roman" w:cs="Times New Roman"/>
      <w:sz w:val="24"/>
      <w:szCs w:val="24"/>
      <w:lang w:eastAsia="en-AU"/>
    </w:rPr>
  </w:style>
  <w:style w:type="paragraph" w:customStyle="1" w:styleId="RepOther">
    <w:name w:val="Rep_Other"/>
    <w:basedOn w:val="RepNormal"/>
    <w:next w:val="RepNormal"/>
    <w:qFormat/>
    <w:rsid w:val="00F25301"/>
    <w:pPr>
      <w:spacing w:before="240" w:after="60"/>
      <w:jc w:val="center"/>
    </w:pPr>
    <w:rPr>
      <w:b/>
      <w:caps/>
    </w:rPr>
  </w:style>
  <w:style w:type="paragraph" w:customStyle="1" w:styleId="RepEndSection">
    <w:name w:val="Rep_EndSection"/>
    <w:basedOn w:val="RepNormal"/>
    <w:next w:val="RepNormal"/>
    <w:qFormat/>
    <w:rsid w:val="00F25301"/>
    <w:pPr>
      <w:shd w:val="pct20" w:color="auto" w:fill="auto"/>
    </w:pPr>
  </w:style>
  <w:style w:type="paragraph" w:customStyle="1" w:styleId="StyleNormalWeb11ptJustified">
    <w:name w:val="Style Normal (Web) + 11 pt Justified"/>
    <w:basedOn w:val="NormalWeb"/>
    <w:rsid w:val="007716AE"/>
    <w:pPr>
      <w:spacing w:before="0" w:beforeAutospacing="0" w:after="0" w:afterAutospacing="0"/>
      <w:jc w:val="both"/>
    </w:pPr>
    <w:rPr>
      <w:szCs w:val="20"/>
    </w:rPr>
  </w:style>
  <w:style w:type="paragraph" w:customStyle="1" w:styleId="StyleNormalWeb11ptJustifiedBeforeAutoAfterAuto">
    <w:name w:val="Style Normal (Web) + 11 pt Justified Before:  Auto After:  Auto"/>
    <w:basedOn w:val="NormalWeb"/>
    <w:autoRedefine/>
    <w:rsid w:val="007716AE"/>
    <w:pPr>
      <w:spacing w:before="0" w:beforeAutospacing="0" w:after="0" w:afterAutospacing="0"/>
      <w:jc w:val="both"/>
    </w:pPr>
    <w:rPr>
      <w:szCs w:val="20"/>
    </w:rPr>
  </w:style>
  <w:style w:type="table" w:customStyle="1" w:styleId="TableGrid1">
    <w:name w:val="Table Grid1"/>
    <w:basedOn w:val="TableNormal"/>
    <w:uiPriority w:val="59"/>
    <w:rsid w:val="00873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1">
    <w:name w:val="Style41"/>
    <w:basedOn w:val="Heading3"/>
    <w:next w:val="Style4"/>
    <w:rsid w:val="00B01A26"/>
    <w:pPr>
      <w:numPr>
        <w:ilvl w:val="0"/>
        <w:numId w:val="0"/>
      </w:numPr>
      <w:tabs>
        <w:tab w:val="num" w:pos="2160"/>
      </w:tabs>
      <w:ind w:left="2160" w:hanging="720"/>
    </w:pPr>
  </w:style>
  <w:style w:type="paragraph" w:styleId="TOCHeading">
    <w:name w:val="TOC Heading"/>
    <w:basedOn w:val="Heading1"/>
    <w:next w:val="Normal"/>
    <w:uiPriority w:val="39"/>
    <w:unhideWhenUsed/>
    <w:qFormat/>
    <w:rsid w:val="00B01A26"/>
    <w:pPr>
      <w:keepLines/>
      <w:spacing w:before="480" w:after="0" w:line="276" w:lineRule="auto"/>
      <w:outlineLvl w:val="9"/>
    </w:pPr>
    <w:rPr>
      <w:rFonts w:ascii="Cambria" w:hAnsi="Cambria" w:cs="Times New Roman"/>
      <w:color w:val="365F91"/>
      <w:kern w:val="0"/>
      <w:sz w:val="28"/>
      <w:szCs w:val="28"/>
      <w:lang w:val="en-US" w:eastAsia="en-US"/>
    </w:rPr>
  </w:style>
  <w:style w:type="character" w:styleId="BookTitle">
    <w:name w:val="Book Title"/>
    <w:basedOn w:val="DefaultParagraphFont"/>
    <w:uiPriority w:val="33"/>
    <w:qFormat/>
    <w:rsid w:val="00B01A26"/>
    <w:rPr>
      <w:b/>
      <w:bCs/>
      <w:smallCaps/>
      <w:spacing w:val="5"/>
    </w:rPr>
  </w:style>
  <w:style w:type="paragraph" w:customStyle="1" w:styleId="MEB51">
    <w:name w:val="MEB5.1"/>
    <w:basedOn w:val="Normal"/>
    <w:rsid w:val="00B01A26"/>
    <w:pPr>
      <w:numPr>
        <w:numId w:val="28"/>
      </w:numPr>
      <w:ind w:left="426" w:hanging="426"/>
      <w:jc w:val="both"/>
    </w:pPr>
    <w:rPr>
      <w:b/>
      <w:bCs/>
      <w:i/>
    </w:rPr>
  </w:style>
  <w:style w:type="table" w:customStyle="1" w:styleId="LightShading1">
    <w:name w:val="Light Shading1"/>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B01A26"/>
    <w:pPr>
      <w:spacing w:after="0" w:line="240" w:lineRule="auto"/>
    </w:pPr>
    <w:rPr>
      <w:rFonts w:ascii="Times New Roman" w:eastAsia="Times New Roman" w:hAnsi="Times New Roman" w:cs="Times New Roman"/>
      <w:color w:val="000000" w:themeColor="text1" w:themeShade="BF"/>
      <w:sz w:val="20"/>
      <w:szCs w:val="20"/>
      <w:lang w:eastAsia="en-NZ"/>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4">
    <w:name w:val="Light Shading4"/>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5">
    <w:name w:val="Light Shading5"/>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uiPriority w:val="20"/>
    <w:qFormat/>
    <w:rsid w:val="00B01A26"/>
    <w:rPr>
      <w:b/>
      <w:bCs/>
      <w:i/>
      <w:iCs/>
      <w:spacing w:val="10"/>
      <w:bdr w:val="none" w:sz="0" w:space="0" w:color="auto" w:frame="1"/>
    </w:rPr>
  </w:style>
  <w:style w:type="character" w:customStyle="1" w:styleId="Heading3Char1">
    <w:name w:val="Heading 3 Char1"/>
    <w:aliases w:val="Not in TOC Char1,Section Char1,H3 Char1,l3 Char1,h3 Char1"/>
    <w:basedOn w:val="DefaultParagraphFont"/>
    <w:semiHidden/>
    <w:rsid w:val="00B01A26"/>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ble heading Char1"/>
    <w:basedOn w:val="DefaultParagraphFont"/>
    <w:uiPriority w:val="9"/>
    <w:semiHidden/>
    <w:rsid w:val="00B01A26"/>
    <w:rPr>
      <w:rFonts w:asciiTheme="majorHAnsi" w:eastAsiaTheme="majorEastAsia" w:hAnsiTheme="majorHAnsi" w:cstheme="majorBidi"/>
      <w:b/>
      <w:bCs/>
      <w:i/>
      <w:iCs/>
      <w:color w:val="4F81BD" w:themeColor="accent1"/>
      <w:sz w:val="22"/>
      <w:szCs w:val="22"/>
    </w:rPr>
  </w:style>
  <w:style w:type="character" w:customStyle="1" w:styleId="SubtitleChar">
    <w:name w:val="Subtitle Char"/>
    <w:aliases w:val="table/figure Char"/>
    <w:basedOn w:val="DefaultParagraphFont"/>
    <w:link w:val="Subtitle"/>
    <w:uiPriority w:val="11"/>
    <w:locked/>
    <w:rsid w:val="00B01A26"/>
    <w:rPr>
      <w:rFonts w:ascii="Arial" w:eastAsiaTheme="majorEastAsia" w:hAnsi="Arial" w:cstheme="majorBidi"/>
      <w:i/>
      <w:iCs/>
      <w:spacing w:val="13"/>
      <w:szCs w:val="24"/>
    </w:rPr>
  </w:style>
  <w:style w:type="paragraph" w:styleId="Subtitle">
    <w:name w:val="Subtitle"/>
    <w:aliases w:val="table/figure"/>
    <w:basedOn w:val="Normal"/>
    <w:next w:val="Normal"/>
    <w:link w:val="SubtitleChar"/>
    <w:uiPriority w:val="11"/>
    <w:qFormat/>
    <w:rsid w:val="00B01A26"/>
    <w:pPr>
      <w:tabs>
        <w:tab w:val="left" w:pos="720"/>
      </w:tabs>
      <w:spacing w:after="600" w:line="276" w:lineRule="auto"/>
      <w:jc w:val="both"/>
    </w:pPr>
    <w:rPr>
      <w:rFonts w:ascii="Arial" w:eastAsiaTheme="majorEastAsia" w:hAnsi="Arial" w:cstheme="majorBidi"/>
      <w:i/>
      <w:iCs/>
      <w:spacing w:val="13"/>
      <w:lang w:eastAsia="en-US"/>
    </w:rPr>
  </w:style>
  <w:style w:type="character" w:customStyle="1" w:styleId="SubtitleChar1">
    <w:name w:val="Subtitle Char1"/>
    <w:aliases w:val="table/figure Char1"/>
    <w:basedOn w:val="DefaultParagraphFont"/>
    <w:uiPriority w:val="11"/>
    <w:rsid w:val="00B01A26"/>
    <w:rPr>
      <w:rFonts w:eastAsiaTheme="minorEastAsia"/>
      <w:color w:val="5A5A5A" w:themeColor="text1" w:themeTint="A5"/>
      <w:spacing w:val="15"/>
      <w:lang w:eastAsia="en-AU"/>
    </w:rPr>
  </w:style>
  <w:style w:type="paragraph" w:styleId="PlainText">
    <w:name w:val="Plain Text"/>
    <w:basedOn w:val="Normal"/>
    <w:link w:val="PlainTextChar"/>
    <w:unhideWhenUsed/>
    <w:rsid w:val="00B01A26"/>
    <w:pPr>
      <w:tabs>
        <w:tab w:val="left" w:pos="720"/>
      </w:tabs>
      <w:spacing w:line="280" w:lineRule="exact"/>
      <w:jc w:val="both"/>
    </w:pPr>
    <w:rPr>
      <w:rFonts w:ascii="Courier" w:hAnsi="Courier"/>
      <w:lang w:val="en-GB" w:eastAsia="en-US"/>
    </w:rPr>
  </w:style>
  <w:style w:type="character" w:customStyle="1" w:styleId="PlainTextChar">
    <w:name w:val="Plain Text Char"/>
    <w:basedOn w:val="DefaultParagraphFont"/>
    <w:link w:val="PlainText"/>
    <w:rsid w:val="00B01A26"/>
    <w:rPr>
      <w:rFonts w:ascii="Courier" w:eastAsia="Times New Roman" w:hAnsi="Courier" w:cs="Times New Roman"/>
      <w:szCs w:val="24"/>
      <w:lang w:val="en-GB"/>
    </w:rPr>
  </w:style>
  <w:style w:type="paragraph" w:styleId="IntenseQuote">
    <w:name w:val="Intense Quote"/>
    <w:basedOn w:val="Normal"/>
    <w:next w:val="Normal"/>
    <w:link w:val="IntenseQuoteChar"/>
    <w:uiPriority w:val="30"/>
    <w:qFormat/>
    <w:rsid w:val="00B01A26"/>
    <w:pPr>
      <w:pBdr>
        <w:bottom w:val="single" w:sz="4" w:space="1" w:color="auto"/>
      </w:pBdr>
      <w:tabs>
        <w:tab w:val="left" w:pos="720"/>
      </w:tabs>
      <w:spacing w:before="200" w:after="280" w:line="276" w:lineRule="auto"/>
      <w:ind w:left="1008" w:right="1152"/>
      <w:jc w:val="both"/>
    </w:pPr>
    <w:rPr>
      <w:rFonts w:asciiTheme="minorHAnsi" w:eastAsiaTheme="minorEastAsia" w:hAnsiTheme="minorHAnsi" w:cstheme="minorBidi"/>
      <w:b/>
      <w:bCs/>
      <w:i/>
      <w:iCs/>
      <w:szCs w:val="22"/>
      <w:lang w:eastAsia="en-US"/>
    </w:rPr>
  </w:style>
  <w:style w:type="character" w:customStyle="1" w:styleId="IntenseQuoteChar">
    <w:name w:val="Intense Quote Char"/>
    <w:basedOn w:val="DefaultParagraphFont"/>
    <w:link w:val="IntenseQuote"/>
    <w:uiPriority w:val="30"/>
    <w:rsid w:val="00B01A26"/>
    <w:rPr>
      <w:rFonts w:eastAsiaTheme="minorEastAsia"/>
      <w:b/>
      <w:bCs/>
      <w:i/>
      <w:iCs/>
    </w:rPr>
  </w:style>
  <w:style w:type="paragraph" w:customStyle="1" w:styleId="labelled4">
    <w:name w:val="labelled4"/>
    <w:basedOn w:val="Normal"/>
    <w:rsid w:val="00B01A26"/>
    <w:pPr>
      <w:tabs>
        <w:tab w:val="left" w:pos="720"/>
      </w:tabs>
      <w:spacing w:line="288" w:lineRule="exact"/>
      <w:ind w:right="240"/>
    </w:pPr>
    <w:rPr>
      <w:rFonts w:eastAsia="Calibri"/>
      <w:color w:val="000000"/>
      <w:lang w:val="en-US" w:eastAsia="en-US"/>
    </w:rPr>
  </w:style>
  <w:style w:type="paragraph" w:customStyle="1" w:styleId="Indent">
    <w:name w:val="Indent"/>
    <w:basedOn w:val="BodyText1"/>
    <w:qFormat/>
    <w:rsid w:val="00B01A26"/>
    <w:pPr>
      <w:tabs>
        <w:tab w:val="left" w:pos="720"/>
      </w:tabs>
      <w:overflowPunct/>
      <w:autoSpaceDE/>
      <w:autoSpaceDN/>
      <w:adjustRightInd/>
      <w:spacing w:before="0" w:after="120" w:line="280" w:lineRule="exact"/>
      <w:ind w:left="567" w:hanging="567"/>
      <w:jc w:val="both"/>
      <w:textAlignment w:val="auto"/>
    </w:pPr>
    <w:rPr>
      <w:rFonts w:ascii="Arial" w:hAnsi="Arial"/>
      <w:sz w:val="20"/>
      <w:lang w:val="en-GB"/>
    </w:rPr>
  </w:style>
  <w:style w:type="paragraph" w:customStyle="1" w:styleId="footnote">
    <w:name w:val="footnote"/>
    <w:basedOn w:val="Normal"/>
    <w:rsid w:val="00B01A26"/>
    <w:pPr>
      <w:tabs>
        <w:tab w:val="left" w:pos="720"/>
      </w:tabs>
      <w:spacing w:line="280" w:lineRule="exact"/>
      <w:jc w:val="both"/>
    </w:pPr>
    <w:rPr>
      <w:rFonts w:ascii="Arial" w:hAnsi="Arial"/>
      <w:sz w:val="20"/>
      <w:szCs w:val="20"/>
      <w:vertAlign w:val="superscript"/>
      <w:lang w:val="en-GB" w:eastAsia="en-US"/>
    </w:rPr>
  </w:style>
  <w:style w:type="paragraph" w:customStyle="1" w:styleId="HTMLAcronym1">
    <w:name w:val="HTML Acronym1"/>
    <w:basedOn w:val="Normal"/>
    <w:rsid w:val="00B01A26"/>
    <w:pPr>
      <w:tabs>
        <w:tab w:val="left" w:pos="720"/>
      </w:tabs>
      <w:spacing w:line="280" w:lineRule="exact"/>
      <w:jc w:val="both"/>
    </w:pPr>
    <w:rPr>
      <w:rFonts w:ascii="Arial" w:hAnsi="Arial"/>
      <w:szCs w:val="20"/>
      <w:lang w:val="en-GB" w:eastAsia="en-US"/>
    </w:rPr>
  </w:style>
  <w:style w:type="paragraph" w:customStyle="1" w:styleId="AppendicesHeading">
    <w:name w:val="Appendices Heading"/>
    <w:basedOn w:val="PlainText"/>
    <w:rsid w:val="00B01A26"/>
    <w:pPr>
      <w:ind w:left="567" w:hanging="567"/>
    </w:pPr>
    <w:rPr>
      <w:rFonts w:ascii="Courier New" w:eastAsia="Times" w:hAnsi="Courier New"/>
      <w:b/>
      <w:sz w:val="20"/>
      <w:szCs w:val="20"/>
      <w:lang w:val="en-AU"/>
    </w:rPr>
  </w:style>
  <w:style w:type="paragraph" w:customStyle="1" w:styleId="Runningfooter">
    <w:name w:val="Running footer"/>
    <w:qFormat/>
    <w:rsid w:val="00B01A26"/>
    <w:pPr>
      <w:pBdr>
        <w:top w:val="single" w:sz="6" w:space="1" w:color="0000FF"/>
      </w:pBdr>
      <w:tabs>
        <w:tab w:val="right" w:pos="9639"/>
      </w:tabs>
      <w:spacing w:after="0" w:line="280" w:lineRule="exact"/>
    </w:pPr>
    <w:rPr>
      <w:rFonts w:ascii="Arial" w:eastAsia="Times New Roman" w:hAnsi="Arial" w:cs="Times New Roman"/>
      <w:sz w:val="18"/>
      <w:szCs w:val="20"/>
      <w:lang w:val="en-GB"/>
    </w:rPr>
  </w:style>
  <w:style w:type="paragraph" w:customStyle="1" w:styleId="Bullet">
    <w:name w:val="Bullet"/>
    <w:basedOn w:val="BodyText1"/>
    <w:qFormat/>
    <w:rsid w:val="00B01A26"/>
    <w:pPr>
      <w:numPr>
        <w:numId w:val="29"/>
      </w:numPr>
      <w:tabs>
        <w:tab w:val="left" w:pos="720"/>
      </w:tabs>
      <w:overflowPunct/>
      <w:autoSpaceDE/>
      <w:autoSpaceDN/>
      <w:adjustRightInd/>
      <w:spacing w:before="0" w:after="120" w:line="280" w:lineRule="exact"/>
      <w:jc w:val="both"/>
      <w:textAlignment w:val="auto"/>
    </w:pPr>
    <w:rPr>
      <w:rFonts w:ascii="Arial" w:hAnsi="Arial"/>
      <w:sz w:val="20"/>
      <w:lang w:val="en-GB"/>
    </w:rPr>
  </w:style>
  <w:style w:type="paragraph" w:customStyle="1" w:styleId="HEADING21">
    <w:name w:val="HEADING2"/>
    <w:basedOn w:val="Heading10"/>
    <w:qFormat/>
    <w:rsid w:val="00B01A26"/>
    <w:pPr>
      <w:keepNext w:val="0"/>
      <w:tabs>
        <w:tab w:val="clear" w:pos="4153"/>
        <w:tab w:val="clear" w:pos="5910"/>
        <w:tab w:val="left" w:pos="720"/>
      </w:tabs>
      <w:spacing w:before="0" w:after="0" w:line="280" w:lineRule="exact"/>
      <w:jc w:val="both"/>
      <w:outlineLvl w:val="9"/>
    </w:pPr>
    <w:rPr>
      <w:rFonts w:ascii="Arial" w:hAnsi="Arial"/>
      <w:kern w:val="0"/>
      <w:sz w:val="22"/>
      <w:szCs w:val="22"/>
      <w:lang w:val="en-GB" w:eastAsia="en-US"/>
    </w:rPr>
  </w:style>
  <w:style w:type="paragraph" w:customStyle="1" w:styleId="Bulletlast">
    <w:name w:val="Bullet last"/>
    <w:basedOn w:val="Bullet"/>
    <w:qFormat/>
    <w:rsid w:val="00B01A26"/>
    <w:pPr>
      <w:spacing w:after="0"/>
    </w:pPr>
  </w:style>
  <w:style w:type="paragraph" w:customStyle="1" w:styleId="HEADING30">
    <w:name w:val="HEADING3"/>
    <w:basedOn w:val="HEADING21"/>
    <w:qFormat/>
    <w:rsid w:val="00B01A26"/>
    <w:rPr>
      <w:sz w:val="20"/>
      <w:szCs w:val="20"/>
    </w:rPr>
  </w:style>
  <w:style w:type="paragraph" w:customStyle="1" w:styleId="boxBlockText">
    <w:name w:val="[box] Block Text"/>
    <w:basedOn w:val="Normal"/>
    <w:rsid w:val="00B01A26"/>
    <w:pPr>
      <w:tabs>
        <w:tab w:val="left" w:pos="720"/>
      </w:tabs>
      <w:spacing w:before="120" w:after="120"/>
    </w:pPr>
    <w:rPr>
      <w:szCs w:val="20"/>
      <w:lang w:eastAsia="en-US"/>
    </w:rPr>
  </w:style>
  <w:style w:type="paragraph" w:customStyle="1" w:styleId="Source">
    <w:name w:val="Source"/>
    <w:basedOn w:val="Normal"/>
    <w:next w:val="Normal"/>
    <w:rsid w:val="00B01A26"/>
    <w:pPr>
      <w:numPr>
        <w:numId w:val="30"/>
      </w:numPr>
      <w:tabs>
        <w:tab w:val="clear" w:pos="360"/>
        <w:tab w:val="left" w:pos="720"/>
      </w:tabs>
      <w:spacing w:before="80"/>
      <w:ind w:left="0" w:firstLine="0"/>
    </w:pPr>
    <w:rPr>
      <w:rFonts w:ascii="Arial" w:hAnsi="Arial"/>
      <w:sz w:val="20"/>
      <w:szCs w:val="20"/>
      <w:lang w:eastAsia="en-GB"/>
    </w:rPr>
  </w:style>
  <w:style w:type="paragraph" w:customStyle="1" w:styleId="Unpublished">
    <w:name w:val="Unpublished"/>
    <w:basedOn w:val="Normal"/>
    <w:rsid w:val="00B01A26"/>
    <w:pPr>
      <w:tabs>
        <w:tab w:val="left" w:pos="720"/>
      </w:tabs>
    </w:pPr>
    <w:rPr>
      <w:rFonts w:ascii="Arial Mäori" w:hAnsi="Arial Mäori"/>
      <w:lang w:eastAsia="en-US"/>
    </w:rPr>
  </w:style>
  <w:style w:type="paragraph" w:customStyle="1" w:styleId="Heading4">
    <w:name w:val="Heading4"/>
    <w:basedOn w:val="HEADING30"/>
    <w:qFormat/>
    <w:rsid w:val="00B01A26"/>
    <w:pPr>
      <w:numPr>
        <w:ilvl w:val="2"/>
        <w:numId w:val="31"/>
      </w:numPr>
    </w:pPr>
    <w:rPr>
      <w:b w:val="0"/>
      <w:i/>
    </w:rPr>
  </w:style>
  <w:style w:type="paragraph" w:customStyle="1" w:styleId="INDENT1">
    <w:name w:val="INDENT 1"/>
    <w:basedOn w:val="Indent"/>
    <w:rsid w:val="00B01A26"/>
    <w:pPr>
      <w:ind w:firstLine="0"/>
    </w:pPr>
  </w:style>
  <w:style w:type="paragraph" w:customStyle="1" w:styleId="HeadingLucidaBlue">
    <w:name w:val="Heading Lucida Blue"/>
    <w:basedOn w:val="Normal"/>
    <w:rsid w:val="00B01A26"/>
    <w:pPr>
      <w:tabs>
        <w:tab w:val="left" w:pos="426"/>
      </w:tabs>
    </w:pPr>
    <w:rPr>
      <w:rFonts w:ascii="Lucida Sans" w:hAnsi="Lucida Sans"/>
      <w:b/>
      <w:color w:val="0000FF"/>
      <w:szCs w:val="20"/>
      <w:lang w:val="en-GB" w:eastAsia="en-US"/>
    </w:rPr>
  </w:style>
  <w:style w:type="paragraph" w:customStyle="1" w:styleId="Figure">
    <w:name w:val="Figure"/>
    <w:basedOn w:val="Normal"/>
    <w:rsid w:val="00B01A26"/>
    <w:pPr>
      <w:keepNext/>
      <w:tabs>
        <w:tab w:val="left" w:pos="720"/>
      </w:tabs>
      <w:spacing w:before="120" w:after="120"/>
      <w:ind w:left="1276" w:hanging="1276"/>
    </w:pPr>
    <w:rPr>
      <w:rFonts w:ascii="Arial" w:hAnsi="Arial"/>
      <w:b/>
      <w:szCs w:val="20"/>
      <w:lang w:eastAsia="en-GB"/>
    </w:rPr>
  </w:style>
  <w:style w:type="paragraph" w:customStyle="1" w:styleId="Default">
    <w:name w:val="Default"/>
    <w:rsid w:val="00B01A26"/>
    <w:pPr>
      <w:tabs>
        <w:tab w:val="left" w:pos="720"/>
      </w:tabs>
      <w:autoSpaceDE w:val="0"/>
      <w:autoSpaceDN w:val="0"/>
      <w:adjustRightInd w:val="0"/>
      <w:spacing w:after="0" w:line="240" w:lineRule="auto"/>
    </w:pPr>
    <w:rPr>
      <w:rFonts w:ascii="Calibri" w:eastAsia="Calibri" w:hAnsi="Calibri" w:cs="Calibri"/>
      <w:color w:val="000000"/>
      <w:sz w:val="24"/>
      <w:szCs w:val="24"/>
    </w:rPr>
  </w:style>
  <w:style w:type="paragraph" w:customStyle="1" w:styleId="DecimalAligned">
    <w:name w:val="Decimal Aligned"/>
    <w:basedOn w:val="Normal"/>
    <w:uiPriority w:val="40"/>
    <w:qFormat/>
    <w:rsid w:val="00B01A26"/>
    <w:pPr>
      <w:tabs>
        <w:tab w:val="decimal" w:pos="360"/>
      </w:tabs>
      <w:spacing w:after="200" w:line="276" w:lineRule="auto"/>
    </w:pPr>
    <w:rPr>
      <w:rFonts w:asciiTheme="minorHAnsi" w:eastAsiaTheme="minorHAnsi" w:hAnsiTheme="minorHAnsi" w:cstheme="minorBidi"/>
      <w:szCs w:val="22"/>
      <w:lang w:val="en-US" w:eastAsia="ja-JP"/>
    </w:rPr>
  </w:style>
  <w:style w:type="paragraph" w:customStyle="1" w:styleId="xl66">
    <w:name w:val="xl66"/>
    <w:basedOn w:val="Normal"/>
    <w:rsid w:val="00B01A26"/>
    <w:pPr>
      <w:tabs>
        <w:tab w:val="left" w:pos="720"/>
      </w:tabs>
      <w:spacing w:before="100" w:beforeAutospacing="1" w:after="100" w:afterAutospacing="1"/>
    </w:pPr>
    <w:rPr>
      <w:sz w:val="20"/>
      <w:szCs w:val="20"/>
      <w:lang w:eastAsia="en-NZ"/>
    </w:rPr>
  </w:style>
  <w:style w:type="paragraph" w:customStyle="1" w:styleId="xl67">
    <w:name w:val="xl67"/>
    <w:basedOn w:val="Normal"/>
    <w:rsid w:val="00B01A26"/>
    <w:pPr>
      <w:tabs>
        <w:tab w:val="left" w:pos="720"/>
      </w:tabs>
      <w:spacing w:before="100" w:beforeAutospacing="1" w:after="100" w:afterAutospacing="1"/>
    </w:pPr>
    <w:rPr>
      <w:sz w:val="20"/>
      <w:szCs w:val="20"/>
      <w:lang w:eastAsia="en-NZ"/>
    </w:rPr>
  </w:style>
  <w:style w:type="paragraph" w:customStyle="1" w:styleId="xl68">
    <w:name w:val="xl68"/>
    <w:basedOn w:val="Normal"/>
    <w:rsid w:val="00B01A26"/>
    <w:pPr>
      <w:tabs>
        <w:tab w:val="left" w:pos="720"/>
      </w:tabs>
      <w:spacing w:before="100" w:beforeAutospacing="1" w:after="100" w:afterAutospacing="1"/>
    </w:pPr>
    <w:rPr>
      <w:sz w:val="20"/>
      <w:szCs w:val="20"/>
      <w:lang w:eastAsia="en-NZ"/>
    </w:rPr>
  </w:style>
  <w:style w:type="paragraph" w:customStyle="1" w:styleId="xl69">
    <w:name w:val="xl69"/>
    <w:basedOn w:val="Normal"/>
    <w:rsid w:val="00B01A26"/>
    <w:pPr>
      <w:tabs>
        <w:tab w:val="left" w:pos="720"/>
      </w:tabs>
      <w:spacing w:before="100" w:beforeAutospacing="1" w:after="100" w:afterAutospacing="1"/>
    </w:pPr>
    <w:rPr>
      <w:b/>
      <w:bCs/>
      <w:sz w:val="20"/>
      <w:szCs w:val="20"/>
      <w:lang w:eastAsia="en-NZ"/>
    </w:rPr>
  </w:style>
  <w:style w:type="paragraph" w:customStyle="1" w:styleId="xl70">
    <w:name w:val="xl70"/>
    <w:basedOn w:val="Normal"/>
    <w:rsid w:val="00B01A26"/>
    <w:pPr>
      <w:tabs>
        <w:tab w:val="left" w:pos="720"/>
      </w:tabs>
      <w:spacing w:before="100" w:beforeAutospacing="1" w:after="100" w:afterAutospacing="1"/>
    </w:pPr>
    <w:rPr>
      <w:sz w:val="20"/>
      <w:szCs w:val="20"/>
      <w:lang w:eastAsia="en-NZ"/>
    </w:rPr>
  </w:style>
  <w:style w:type="character" w:styleId="SubtleEmphasis">
    <w:name w:val="Subtle Emphasis"/>
    <w:uiPriority w:val="19"/>
    <w:qFormat/>
    <w:rsid w:val="00B01A26"/>
    <w:rPr>
      <w:i/>
      <w:iCs/>
    </w:rPr>
  </w:style>
  <w:style w:type="character" w:styleId="IntenseEmphasis">
    <w:name w:val="Intense Emphasis"/>
    <w:uiPriority w:val="21"/>
    <w:qFormat/>
    <w:rsid w:val="00B01A26"/>
    <w:rPr>
      <w:b/>
      <w:bCs/>
    </w:rPr>
  </w:style>
  <w:style w:type="character" w:styleId="SubtleReference">
    <w:name w:val="Subtle Reference"/>
    <w:uiPriority w:val="31"/>
    <w:qFormat/>
    <w:rsid w:val="00B01A26"/>
    <w:rPr>
      <w:smallCaps/>
    </w:rPr>
  </w:style>
  <w:style w:type="character" w:styleId="IntenseReference">
    <w:name w:val="Intense Reference"/>
    <w:uiPriority w:val="32"/>
    <w:qFormat/>
    <w:rsid w:val="00B01A26"/>
    <w:rPr>
      <w:smallCaps/>
      <w:spacing w:val="5"/>
      <w:u w:val="single"/>
    </w:rPr>
  </w:style>
  <w:style w:type="paragraph" w:styleId="z-TopofForm">
    <w:name w:val="HTML Top of Form"/>
    <w:basedOn w:val="Normal"/>
    <w:next w:val="Normal"/>
    <w:link w:val="z-TopofFormChar"/>
    <w:hidden/>
    <w:unhideWhenUsed/>
    <w:rsid w:val="00B01A26"/>
    <w:pPr>
      <w:pBdr>
        <w:bottom w:val="single" w:sz="6" w:space="1" w:color="auto"/>
      </w:pBdr>
      <w:tabs>
        <w:tab w:val="left" w:pos="720"/>
      </w:tabs>
      <w:spacing w:line="276" w:lineRule="auto"/>
      <w:jc w:val="center"/>
    </w:pPr>
    <w:rPr>
      <w:rFonts w:ascii="Arial" w:eastAsiaTheme="minorHAnsi" w:hAnsi="Arial" w:cs="Arial"/>
      <w:vanish/>
      <w:sz w:val="16"/>
      <w:szCs w:val="16"/>
      <w:lang w:eastAsia="en-US"/>
    </w:rPr>
  </w:style>
  <w:style w:type="character" w:customStyle="1" w:styleId="z-TopofFormChar">
    <w:name w:val="z-Top of Form Char"/>
    <w:basedOn w:val="DefaultParagraphFont"/>
    <w:link w:val="z-TopofForm"/>
    <w:rsid w:val="00B01A26"/>
    <w:rPr>
      <w:rFonts w:ascii="Arial" w:hAnsi="Arial" w:cs="Arial"/>
      <w:vanish/>
      <w:sz w:val="16"/>
      <w:szCs w:val="16"/>
    </w:rPr>
  </w:style>
  <w:style w:type="paragraph" w:styleId="z-BottomofForm">
    <w:name w:val="HTML Bottom of Form"/>
    <w:basedOn w:val="Normal"/>
    <w:next w:val="Normal"/>
    <w:link w:val="z-BottomofFormChar"/>
    <w:hidden/>
    <w:unhideWhenUsed/>
    <w:rsid w:val="00B01A26"/>
    <w:pPr>
      <w:pBdr>
        <w:top w:val="single" w:sz="6" w:space="1" w:color="auto"/>
      </w:pBdr>
      <w:tabs>
        <w:tab w:val="left" w:pos="720"/>
      </w:tabs>
      <w:spacing w:line="276" w:lineRule="auto"/>
      <w:jc w:val="center"/>
    </w:pPr>
    <w:rPr>
      <w:rFonts w:ascii="Arial" w:eastAsiaTheme="minorHAnsi" w:hAnsi="Arial" w:cs="Arial"/>
      <w:vanish/>
      <w:sz w:val="16"/>
      <w:szCs w:val="16"/>
      <w:lang w:eastAsia="en-US"/>
    </w:rPr>
  </w:style>
  <w:style w:type="character" w:customStyle="1" w:styleId="z-BottomofFormChar">
    <w:name w:val="z-Bottom of Form Char"/>
    <w:basedOn w:val="DefaultParagraphFont"/>
    <w:link w:val="z-BottomofForm"/>
    <w:rsid w:val="00B01A26"/>
    <w:rPr>
      <w:rFonts w:ascii="Arial" w:hAnsi="Arial" w:cs="Arial"/>
      <w:vanish/>
      <w:sz w:val="16"/>
      <w:szCs w:val="16"/>
    </w:rPr>
  </w:style>
  <w:style w:type="table" w:customStyle="1" w:styleId="MediumList11">
    <w:name w:val="Medium List 11"/>
    <w:basedOn w:val="TableNormal"/>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Accent11">
    <w:name w:val="Light Shading - Accent 11"/>
    <w:basedOn w:val="TableNormal"/>
    <w:uiPriority w:val="60"/>
    <w:rsid w:val="00B01A26"/>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B01A26"/>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B01A26"/>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2-Accent5">
    <w:name w:val="Medium Shading 2 Accent 5"/>
    <w:basedOn w:val="TableNormal"/>
    <w:uiPriority w:val="64"/>
    <w:rsid w:val="00B01A26"/>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B01A26"/>
    <w:pPr>
      <w:spacing w:after="0" w:line="240" w:lineRule="auto"/>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1-Accent6">
    <w:name w:val="Medium List 1 Accent 6"/>
    <w:basedOn w:val="TableNormal"/>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TableGrid2">
    <w:name w:val="Table Grid2"/>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1">
    <w:name w:val="Light Shading21"/>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
    <w:name w:val="Table Grid13"/>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1">
    <w:name w:val="Medium Shading 2 - Accent 51"/>
    <w:basedOn w:val="TableNormal"/>
    <w:uiPriority w:val="64"/>
    <w:rsid w:val="00B01A26"/>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1">
    <w:name w:val="Medium Shading 1 - Accent 61"/>
    <w:basedOn w:val="TableNormal"/>
    <w:uiPriority w:val="63"/>
    <w:rsid w:val="00B01A26"/>
    <w:pPr>
      <w:spacing w:after="0" w:line="240" w:lineRule="auto"/>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2-Accent11">
    <w:name w:val="Medium List 2 - Accent 11"/>
    <w:basedOn w:val="TableNormal"/>
    <w:uiPriority w:val="66"/>
    <w:rsid w:val="00B01A26"/>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List-Accent31">
    <w:name w:val="Light List - Accent 31"/>
    <w:basedOn w:val="TableNormal"/>
    <w:uiPriority w:val="61"/>
    <w:rsid w:val="00B01A26"/>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4">
    <w:name w:val="Table Grid14"/>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6">
    <w:name w:val="Light Shading6"/>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1">
    <w:name w:val="Table Grid21"/>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2">
    <w:name w:val="Light Shading12"/>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2">
    <w:name w:val="Light Shading22"/>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2">
    <w:name w:val="Medium Shading 2 - Accent 52"/>
    <w:basedOn w:val="TableNormal"/>
    <w:uiPriority w:val="64"/>
    <w:rsid w:val="00B01A26"/>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2">
    <w:name w:val="Medium Shading 1 - Accent 62"/>
    <w:basedOn w:val="TableNormal"/>
    <w:uiPriority w:val="63"/>
    <w:rsid w:val="00B01A26"/>
    <w:pPr>
      <w:spacing w:after="0" w:line="240" w:lineRule="auto"/>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2">
    <w:name w:val="Medium List 12"/>
    <w:basedOn w:val="TableNormal"/>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2">
    <w:name w:val="Medium List 2 - Accent 12"/>
    <w:basedOn w:val="TableNormal"/>
    <w:uiPriority w:val="66"/>
    <w:rsid w:val="00B01A26"/>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2">
    <w:name w:val="Medium List 1 - Accent 62"/>
    <w:basedOn w:val="TableNormal"/>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2">
    <w:name w:val="Light Shading - Accent 12"/>
    <w:basedOn w:val="TableNormal"/>
    <w:uiPriority w:val="60"/>
    <w:rsid w:val="00B01A26"/>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2">
    <w:name w:val="Light List - Accent 32"/>
    <w:basedOn w:val="TableNormal"/>
    <w:uiPriority w:val="61"/>
    <w:rsid w:val="00B01A26"/>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6">
    <w:name w:val="Table Grid16"/>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7">
    <w:name w:val="Light Shading7"/>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2">
    <w:name w:val="Table Grid22"/>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3">
    <w:name w:val="Light Shading13"/>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3">
    <w:name w:val="Light Shading23"/>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7">
    <w:name w:val="Table Grid17"/>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3">
    <w:name w:val="Medium Shading 2 - Accent 53"/>
    <w:basedOn w:val="TableNormal"/>
    <w:uiPriority w:val="64"/>
    <w:rsid w:val="00B01A26"/>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3">
    <w:name w:val="Medium Shading 1 - Accent 63"/>
    <w:basedOn w:val="TableNormal"/>
    <w:uiPriority w:val="63"/>
    <w:rsid w:val="00B01A26"/>
    <w:pPr>
      <w:spacing w:after="0" w:line="240" w:lineRule="auto"/>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3">
    <w:name w:val="Medium List 13"/>
    <w:basedOn w:val="TableNormal"/>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3">
    <w:name w:val="Medium List 2 - Accent 13"/>
    <w:basedOn w:val="TableNormal"/>
    <w:uiPriority w:val="66"/>
    <w:rsid w:val="00B01A26"/>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3">
    <w:name w:val="Medium List 1 - Accent 63"/>
    <w:basedOn w:val="TableNormal"/>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3">
    <w:name w:val="Light Shading - Accent 13"/>
    <w:basedOn w:val="TableNormal"/>
    <w:uiPriority w:val="60"/>
    <w:rsid w:val="00B01A26"/>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3">
    <w:name w:val="Light List - Accent 33"/>
    <w:basedOn w:val="TableNormal"/>
    <w:uiPriority w:val="61"/>
    <w:rsid w:val="00B01A26"/>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8">
    <w:name w:val="Table Grid18"/>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8">
    <w:name w:val="Light Shading8"/>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3">
    <w:name w:val="Table Grid23"/>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4">
    <w:name w:val="Light Shading14"/>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4">
    <w:name w:val="Light Shading24"/>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9">
    <w:name w:val="Table Grid19"/>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4">
    <w:name w:val="Medium Shading 2 - Accent 54"/>
    <w:basedOn w:val="TableNormal"/>
    <w:uiPriority w:val="64"/>
    <w:rsid w:val="00B01A26"/>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4">
    <w:name w:val="Medium Shading 1 - Accent 64"/>
    <w:basedOn w:val="TableNormal"/>
    <w:uiPriority w:val="63"/>
    <w:rsid w:val="00B01A26"/>
    <w:pPr>
      <w:spacing w:after="0" w:line="240" w:lineRule="auto"/>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4">
    <w:name w:val="Medium List 14"/>
    <w:basedOn w:val="TableNormal"/>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4">
    <w:name w:val="Medium List 2 - Accent 14"/>
    <w:basedOn w:val="TableNormal"/>
    <w:uiPriority w:val="66"/>
    <w:rsid w:val="00B01A26"/>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4">
    <w:name w:val="Medium List 1 - Accent 64"/>
    <w:basedOn w:val="TableNormal"/>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4">
    <w:name w:val="Light Shading - Accent 14"/>
    <w:basedOn w:val="TableNormal"/>
    <w:uiPriority w:val="60"/>
    <w:rsid w:val="00B01A26"/>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4">
    <w:name w:val="Light List - Accent 34"/>
    <w:basedOn w:val="TableNormal"/>
    <w:uiPriority w:val="61"/>
    <w:rsid w:val="00B01A26"/>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10">
    <w:name w:val="Table Grid110"/>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9">
    <w:name w:val="Light Shading9"/>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4">
    <w:name w:val="Table Grid24"/>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5">
    <w:name w:val="Light Shading15"/>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5">
    <w:name w:val="Light Shading25"/>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0">
    <w:name w:val="Light Shading10"/>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0">
    <w:name w:val="Table Grid20"/>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5">
    <w:name w:val="Medium Shading 2 - Accent 55"/>
    <w:basedOn w:val="TableNormal"/>
    <w:uiPriority w:val="64"/>
    <w:rsid w:val="00B01A26"/>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5">
    <w:name w:val="Medium Shading 1 - Accent 65"/>
    <w:basedOn w:val="TableNormal"/>
    <w:uiPriority w:val="63"/>
    <w:rsid w:val="00B01A26"/>
    <w:pPr>
      <w:spacing w:after="0" w:line="240" w:lineRule="auto"/>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5">
    <w:name w:val="Medium List 15"/>
    <w:basedOn w:val="TableNormal"/>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5">
    <w:name w:val="Medium List 2 - Accent 15"/>
    <w:basedOn w:val="TableNormal"/>
    <w:uiPriority w:val="66"/>
    <w:rsid w:val="00B01A26"/>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5">
    <w:name w:val="Medium List 1 - Accent 65"/>
    <w:basedOn w:val="TableNormal"/>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5">
    <w:name w:val="Light Shading - Accent 15"/>
    <w:basedOn w:val="TableNormal"/>
    <w:uiPriority w:val="60"/>
    <w:rsid w:val="00B01A26"/>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5">
    <w:name w:val="Light List - Accent 35"/>
    <w:basedOn w:val="TableNormal"/>
    <w:uiPriority w:val="61"/>
    <w:rsid w:val="00B01A26"/>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15">
    <w:name w:val="Table Grid115"/>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6">
    <w:name w:val="Light Shading16"/>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5">
    <w:name w:val="Table Grid25"/>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7">
    <w:name w:val="Light Shading17"/>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6">
    <w:name w:val="Light Shading26"/>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6">
    <w:name w:val="Table Grid26"/>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last">
    <w:name w:val="Indent last"/>
    <w:basedOn w:val="Indent"/>
    <w:qFormat/>
    <w:rsid w:val="00B01A26"/>
    <w:pPr>
      <w:numPr>
        <w:numId w:val="32"/>
      </w:numPr>
      <w:spacing w:after="0"/>
    </w:pPr>
  </w:style>
  <w:style w:type="numbering" w:customStyle="1" w:styleId="NoList1">
    <w:name w:val="No List1"/>
    <w:next w:val="NoList"/>
    <w:uiPriority w:val="99"/>
    <w:semiHidden/>
    <w:unhideWhenUsed/>
    <w:rsid w:val="00B01A26"/>
  </w:style>
  <w:style w:type="paragraph" w:customStyle="1" w:styleId="TableText">
    <w:name w:val="TableText"/>
    <w:basedOn w:val="Normal"/>
    <w:rsid w:val="00B01A26"/>
    <w:pPr>
      <w:spacing w:before="80" w:after="80"/>
    </w:pPr>
    <w:rPr>
      <w:rFonts w:ascii="Arial" w:hAnsi="Arial"/>
      <w:sz w:val="20"/>
      <w:szCs w:val="20"/>
      <w:lang w:eastAsia="en-GB"/>
    </w:rPr>
  </w:style>
  <w:style w:type="numbering" w:customStyle="1" w:styleId="NoList11">
    <w:name w:val="No List11"/>
    <w:next w:val="NoList"/>
    <w:uiPriority w:val="99"/>
    <w:semiHidden/>
    <w:unhideWhenUsed/>
    <w:rsid w:val="00B01A26"/>
  </w:style>
  <w:style w:type="numbering" w:customStyle="1" w:styleId="NoList2">
    <w:name w:val="No List2"/>
    <w:next w:val="NoList"/>
    <w:uiPriority w:val="99"/>
    <w:semiHidden/>
    <w:unhideWhenUsed/>
    <w:rsid w:val="00B01A26"/>
  </w:style>
  <w:style w:type="numbering" w:customStyle="1" w:styleId="NoList12">
    <w:name w:val="No List12"/>
    <w:next w:val="NoList"/>
    <w:uiPriority w:val="99"/>
    <w:semiHidden/>
    <w:unhideWhenUsed/>
    <w:rsid w:val="00B01A26"/>
  </w:style>
  <w:style w:type="numbering" w:customStyle="1" w:styleId="NoList3">
    <w:name w:val="No List3"/>
    <w:next w:val="NoList"/>
    <w:uiPriority w:val="99"/>
    <w:semiHidden/>
    <w:unhideWhenUsed/>
    <w:rsid w:val="00B01A26"/>
  </w:style>
  <w:style w:type="numbering" w:customStyle="1" w:styleId="NoList13">
    <w:name w:val="No List13"/>
    <w:next w:val="NoList"/>
    <w:uiPriority w:val="99"/>
    <w:semiHidden/>
    <w:unhideWhenUsed/>
    <w:rsid w:val="00B01A26"/>
  </w:style>
  <w:style w:type="numbering" w:customStyle="1" w:styleId="NoList4">
    <w:name w:val="No List4"/>
    <w:next w:val="NoList"/>
    <w:uiPriority w:val="99"/>
    <w:semiHidden/>
    <w:unhideWhenUsed/>
    <w:rsid w:val="00B01A26"/>
  </w:style>
  <w:style w:type="numbering" w:customStyle="1" w:styleId="NoList14">
    <w:name w:val="No List14"/>
    <w:next w:val="NoList"/>
    <w:uiPriority w:val="99"/>
    <w:semiHidden/>
    <w:unhideWhenUsed/>
    <w:rsid w:val="00B01A26"/>
  </w:style>
  <w:style w:type="table" w:customStyle="1" w:styleId="LightShading18">
    <w:name w:val="Light Shading18"/>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5">
    <w:name w:val="No List5"/>
    <w:next w:val="NoList"/>
    <w:uiPriority w:val="99"/>
    <w:semiHidden/>
    <w:unhideWhenUsed/>
    <w:rsid w:val="00B01A26"/>
  </w:style>
  <w:style w:type="numbering" w:customStyle="1" w:styleId="NoList15">
    <w:name w:val="No List15"/>
    <w:next w:val="NoList"/>
    <w:uiPriority w:val="99"/>
    <w:semiHidden/>
    <w:unhideWhenUsed/>
    <w:rsid w:val="00B01A26"/>
  </w:style>
  <w:style w:type="table" w:customStyle="1" w:styleId="LightShading19">
    <w:name w:val="Light Shading19"/>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0">
    <w:name w:val="Light Shading110"/>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6">
    <w:name w:val="No List6"/>
    <w:next w:val="NoList"/>
    <w:uiPriority w:val="99"/>
    <w:semiHidden/>
    <w:unhideWhenUsed/>
    <w:rsid w:val="00B01A26"/>
  </w:style>
  <w:style w:type="numbering" w:customStyle="1" w:styleId="NoList16">
    <w:name w:val="No List16"/>
    <w:next w:val="NoList"/>
    <w:uiPriority w:val="99"/>
    <w:semiHidden/>
    <w:unhideWhenUsed/>
    <w:rsid w:val="00B01A26"/>
  </w:style>
  <w:style w:type="table" w:customStyle="1" w:styleId="LightShading20">
    <w:name w:val="Light Shading20"/>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
    <w:name w:val="Light Shading111"/>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7">
    <w:name w:val="Light Shading27"/>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8">
    <w:name w:val="Light Shading28"/>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7">
    <w:name w:val="No List7"/>
    <w:next w:val="NoList"/>
    <w:uiPriority w:val="99"/>
    <w:semiHidden/>
    <w:unhideWhenUsed/>
    <w:rsid w:val="00B01A26"/>
  </w:style>
  <w:style w:type="numbering" w:customStyle="1" w:styleId="NoList17">
    <w:name w:val="No List17"/>
    <w:next w:val="NoList"/>
    <w:uiPriority w:val="99"/>
    <w:semiHidden/>
    <w:unhideWhenUsed/>
    <w:rsid w:val="00B01A26"/>
  </w:style>
  <w:style w:type="table" w:customStyle="1" w:styleId="LightShading29">
    <w:name w:val="Light Shading29"/>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2">
    <w:name w:val="Light Shading112"/>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10">
    <w:name w:val="Light Shading210"/>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8">
    <w:name w:val="No List8"/>
    <w:next w:val="NoList"/>
    <w:uiPriority w:val="99"/>
    <w:semiHidden/>
    <w:unhideWhenUsed/>
    <w:rsid w:val="00B01A26"/>
  </w:style>
  <w:style w:type="numbering" w:customStyle="1" w:styleId="NoList18">
    <w:name w:val="No List18"/>
    <w:next w:val="NoList"/>
    <w:uiPriority w:val="99"/>
    <w:semiHidden/>
    <w:unhideWhenUsed/>
    <w:rsid w:val="00B01A26"/>
  </w:style>
  <w:style w:type="table" w:customStyle="1" w:styleId="LightShading30">
    <w:name w:val="Light Shading30"/>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3">
    <w:name w:val="Light Shading113"/>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11">
    <w:name w:val="Light Shading211"/>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9">
    <w:name w:val="No List9"/>
    <w:next w:val="NoList"/>
    <w:uiPriority w:val="99"/>
    <w:semiHidden/>
    <w:unhideWhenUsed/>
    <w:rsid w:val="00B01A26"/>
  </w:style>
  <w:style w:type="table" w:customStyle="1" w:styleId="MediumShading2-Accent56">
    <w:name w:val="Medium Shading 2 - Accent 56"/>
    <w:basedOn w:val="TableNormal"/>
    <w:next w:val="MediumShading2-Accent5"/>
    <w:uiPriority w:val="64"/>
    <w:rsid w:val="00B01A26"/>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6">
    <w:name w:val="Medium Shading 1 - Accent 66"/>
    <w:basedOn w:val="TableNormal"/>
    <w:next w:val="MediumShading1-Accent6"/>
    <w:uiPriority w:val="63"/>
    <w:rsid w:val="00B01A26"/>
    <w:pPr>
      <w:spacing w:after="0" w:line="240" w:lineRule="auto"/>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6">
    <w:name w:val="Medium List 16"/>
    <w:basedOn w:val="TableNormal"/>
    <w:next w:val="MediumList11"/>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6">
    <w:name w:val="Medium List 2 - Accent 16"/>
    <w:basedOn w:val="TableNormal"/>
    <w:next w:val="MediumList2-Accent1"/>
    <w:uiPriority w:val="66"/>
    <w:rsid w:val="00B01A26"/>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6">
    <w:name w:val="Medium List 1 - Accent 66"/>
    <w:basedOn w:val="TableNormal"/>
    <w:next w:val="MediumList1-Accent6"/>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6">
    <w:name w:val="Light Shading - Accent 16"/>
    <w:basedOn w:val="TableNormal"/>
    <w:next w:val="LightShading-Accent11"/>
    <w:uiPriority w:val="60"/>
    <w:rsid w:val="00B01A26"/>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6">
    <w:name w:val="Light List - Accent 36"/>
    <w:basedOn w:val="TableNormal"/>
    <w:next w:val="LightList-Accent3"/>
    <w:uiPriority w:val="61"/>
    <w:rsid w:val="00B01A26"/>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17">
    <w:name w:val="Table Grid117"/>
    <w:basedOn w:val="TableNormal"/>
    <w:next w:val="TableGrid"/>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B01A26"/>
  </w:style>
  <w:style w:type="table" w:customStyle="1" w:styleId="LightShading31">
    <w:name w:val="Light Shading31"/>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7">
    <w:name w:val="Table Grid27"/>
    <w:basedOn w:val="TableNormal"/>
    <w:next w:val="TableGrid"/>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next w:val="TableGrid"/>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4">
    <w:name w:val="Light Shading114"/>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12">
    <w:name w:val="Light Shading212"/>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rsid w:val="00B01A26"/>
    <w:rPr>
      <w:sz w:val="20"/>
      <w:szCs w:val="20"/>
    </w:rPr>
  </w:style>
  <w:style w:type="character" w:customStyle="1" w:styleId="EndnoteTextChar">
    <w:name w:val="Endnote Text Char"/>
    <w:basedOn w:val="DefaultParagraphFont"/>
    <w:link w:val="EndnoteText"/>
    <w:rsid w:val="00B01A26"/>
    <w:rPr>
      <w:rFonts w:ascii="Times New Roman" w:eastAsia="Times New Roman" w:hAnsi="Times New Roman" w:cs="Times New Roman"/>
      <w:sz w:val="20"/>
      <w:szCs w:val="20"/>
      <w:lang w:eastAsia="en-AU"/>
    </w:rPr>
  </w:style>
  <w:style w:type="character" w:styleId="EndnoteReference">
    <w:name w:val="endnote reference"/>
    <w:basedOn w:val="DefaultParagraphFont"/>
    <w:rsid w:val="00B01A26"/>
    <w:rPr>
      <w:vertAlign w:val="superscript"/>
    </w:rPr>
  </w:style>
  <w:style w:type="character" w:customStyle="1" w:styleId="author">
    <w:name w:val="author"/>
    <w:basedOn w:val="DefaultParagraphFont"/>
    <w:rsid w:val="00B01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4301">
      <w:bodyDiv w:val="1"/>
      <w:marLeft w:val="0"/>
      <w:marRight w:val="0"/>
      <w:marTop w:val="0"/>
      <w:marBottom w:val="0"/>
      <w:divBdr>
        <w:top w:val="none" w:sz="0" w:space="0" w:color="auto"/>
        <w:left w:val="none" w:sz="0" w:space="0" w:color="auto"/>
        <w:bottom w:val="none" w:sz="0" w:space="0" w:color="auto"/>
        <w:right w:val="none" w:sz="0" w:space="0" w:color="auto"/>
      </w:divBdr>
    </w:div>
    <w:div w:id="385841820">
      <w:bodyDiv w:val="1"/>
      <w:marLeft w:val="0"/>
      <w:marRight w:val="0"/>
      <w:marTop w:val="0"/>
      <w:marBottom w:val="0"/>
      <w:divBdr>
        <w:top w:val="none" w:sz="0" w:space="0" w:color="auto"/>
        <w:left w:val="none" w:sz="0" w:space="0" w:color="auto"/>
        <w:bottom w:val="none" w:sz="0" w:space="0" w:color="auto"/>
        <w:right w:val="none" w:sz="0" w:space="0" w:color="auto"/>
      </w:divBdr>
    </w:div>
    <w:div w:id="457648938">
      <w:bodyDiv w:val="1"/>
      <w:marLeft w:val="0"/>
      <w:marRight w:val="0"/>
      <w:marTop w:val="0"/>
      <w:marBottom w:val="0"/>
      <w:divBdr>
        <w:top w:val="none" w:sz="0" w:space="0" w:color="auto"/>
        <w:left w:val="none" w:sz="0" w:space="0" w:color="auto"/>
        <w:bottom w:val="none" w:sz="0" w:space="0" w:color="auto"/>
        <w:right w:val="none" w:sz="0" w:space="0" w:color="auto"/>
      </w:divBdr>
    </w:div>
    <w:div w:id="572853721">
      <w:bodyDiv w:val="1"/>
      <w:marLeft w:val="0"/>
      <w:marRight w:val="0"/>
      <w:marTop w:val="0"/>
      <w:marBottom w:val="0"/>
      <w:divBdr>
        <w:top w:val="none" w:sz="0" w:space="0" w:color="auto"/>
        <w:left w:val="none" w:sz="0" w:space="0" w:color="auto"/>
        <w:bottom w:val="none" w:sz="0" w:space="0" w:color="auto"/>
        <w:right w:val="none" w:sz="0" w:space="0" w:color="auto"/>
      </w:divBdr>
    </w:div>
    <w:div w:id="687562483">
      <w:bodyDiv w:val="1"/>
      <w:marLeft w:val="0"/>
      <w:marRight w:val="0"/>
      <w:marTop w:val="0"/>
      <w:marBottom w:val="0"/>
      <w:divBdr>
        <w:top w:val="none" w:sz="0" w:space="0" w:color="auto"/>
        <w:left w:val="none" w:sz="0" w:space="0" w:color="auto"/>
        <w:bottom w:val="none" w:sz="0" w:space="0" w:color="auto"/>
        <w:right w:val="none" w:sz="0" w:space="0" w:color="auto"/>
      </w:divBdr>
    </w:div>
    <w:div w:id="766272693">
      <w:bodyDiv w:val="1"/>
      <w:marLeft w:val="0"/>
      <w:marRight w:val="0"/>
      <w:marTop w:val="0"/>
      <w:marBottom w:val="0"/>
      <w:divBdr>
        <w:top w:val="none" w:sz="0" w:space="0" w:color="auto"/>
        <w:left w:val="none" w:sz="0" w:space="0" w:color="auto"/>
        <w:bottom w:val="none" w:sz="0" w:space="0" w:color="auto"/>
        <w:right w:val="none" w:sz="0" w:space="0" w:color="auto"/>
      </w:divBdr>
    </w:div>
    <w:div w:id="1580556186">
      <w:bodyDiv w:val="1"/>
      <w:marLeft w:val="0"/>
      <w:marRight w:val="0"/>
      <w:marTop w:val="0"/>
      <w:marBottom w:val="0"/>
      <w:divBdr>
        <w:top w:val="none" w:sz="0" w:space="0" w:color="auto"/>
        <w:left w:val="none" w:sz="0" w:space="0" w:color="auto"/>
        <w:bottom w:val="none" w:sz="0" w:space="0" w:color="auto"/>
        <w:right w:val="none" w:sz="0" w:space="0" w:color="auto"/>
      </w:divBdr>
    </w:div>
    <w:div w:id="1785222974">
      <w:bodyDiv w:val="1"/>
      <w:marLeft w:val="0"/>
      <w:marRight w:val="0"/>
      <w:marTop w:val="0"/>
      <w:marBottom w:val="0"/>
      <w:divBdr>
        <w:top w:val="none" w:sz="0" w:space="0" w:color="auto"/>
        <w:left w:val="none" w:sz="0" w:space="0" w:color="auto"/>
        <w:bottom w:val="none" w:sz="0" w:space="0" w:color="auto"/>
        <w:right w:val="none" w:sz="0" w:space="0" w:color="auto"/>
      </w:divBdr>
    </w:div>
    <w:div w:id="213706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061475-1651-4A33-BFD5-84154E8054F7}" type="doc">
      <dgm:prSet loTypeId="urn:microsoft.com/office/officeart/2005/8/layout/hierarchy1" loCatId="hierarchy" qsTypeId="urn:microsoft.com/office/officeart/2005/8/quickstyle/simple1" qsCatId="simple" csTypeId="urn:microsoft.com/office/officeart/2005/8/colors/colorful1" csCatId="colorful" phldr="1"/>
      <dgm:spPr/>
      <dgm:t>
        <a:bodyPr/>
        <a:lstStyle/>
        <a:p>
          <a:endParaRPr lang="en-NZ"/>
        </a:p>
      </dgm:t>
    </dgm:pt>
    <dgm:pt modelId="{BA69FFDF-C187-4910-83D5-8F711EA9840A}">
      <dgm:prSet phldrT="[Text]" custT="1"/>
      <dgm:spPr/>
      <dgm:t>
        <a:bodyPr/>
        <a:lstStyle/>
        <a:p>
          <a:r>
            <a:rPr lang="en-NZ" sz="1000">
              <a:latin typeface="Times New Roman" panose="02020603050405020304" pitchFamily="18" charset="0"/>
              <a:cs typeface="Times New Roman" panose="02020603050405020304" pitchFamily="18" charset="0"/>
            </a:rPr>
            <a:t>Wave 1 (2012)</a:t>
          </a:r>
          <a:br>
            <a:rPr lang="en-NZ" sz="1000">
              <a:latin typeface="Times New Roman" panose="02020603050405020304" pitchFamily="18" charset="0"/>
              <a:cs typeface="Times New Roman" panose="02020603050405020304" pitchFamily="18" charset="0"/>
            </a:rPr>
          </a:br>
          <a:r>
            <a:rPr lang="en-NZ" sz="1000">
              <a:latin typeface="Times New Roman" panose="02020603050405020304" pitchFamily="18" charset="0"/>
              <a:cs typeface="Times New Roman" panose="02020603050405020304" pitchFamily="18" charset="0"/>
            </a:rPr>
            <a:t>N=6,251</a:t>
          </a:r>
        </a:p>
      </dgm:t>
    </dgm:pt>
    <dgm:pt modelId="{77C2EC55-9A25-44AE-894E-99874F239853}" type="parTrans" cxnId="{C4CBE4A1-9A50-4D92-8DB7-FD8357BC25DE}">
      <dgm:prSet/>
      <dgm:spPr/>
      <dgm:t>
        <a:bodyPr/>
        <a:lstStyle/>
        <a:p>
          <a:endParaRPr lang="en-NZ"/>
        </a:p>
      </dgm:t>
    </dgm:pt>
    <dgm:pt modelId="{A19CCE10-D973-4A09-9B96-46E7CDF8F53D}" type="sibTrans" cxnId="{C4CBE4A1-9A50-4D92-8DB7-FD8357BC25DE}">
      <dgm:prSet/>
      <dgm:spPr/>
      <dgm:t>
        <a:bodyPr/>
        <a:lstStyle/>
        <a:p>
          <a:endParaRPr lang="en-NZ"/>
        </a:p>
      </dgm:t>
    </dgm:pt>
    <dgm:pt modelId="{BAB6794D-C726-4073-B759-367810773B06}">
      <dgm:prSet phldrT="[Text]" custT="1"/>
      <dgm:spPr/>
      <dgm:t>
        <a:bodyPr/>
        <a:lstStyle/>
        <a:p>
          <a:r>
            <a:rPr lang="en-NZ" sz="1000">
              <a:latin typeface="Times New Roman" panose="02020603050405020304" pitchFamily="18" charset="0"/>
              <a:cs typeface="Times New Roman" panose="02020603050405020304" pitchFamily="18" charset="0"/>
            </a:rPr>
            <a:t>Attempted 12-month follow-up (2013)</a:t>
          </a:r>
          <a:br>
            <a:rPr lang="en-NZ" sz="1000">
              <a:latin typeface="Times New Roman" panose="02020603050405020304" pitchFamily="18" charset="0"/>
              <a:cs typeface="Times New Roman" panose="02020603050405020304" pitchFamily="18" charset="0"/>
            </a:rPr>
          </a:br>
          <a:r>
            <a:rPr lang="en-NZ" sz="1000">
              <a:latin typeface="Times New Roman" panose="02020603050405020304" pitchFamily="18" charset="0"/>
              <a:cs typeface="Times New Roman" panose="02020603050405020304" pitchFamily="18" charset="0"/>
            </a:rPr>
            <a:t>n=5,266</a:t>
          </a:r>
          <a:endParaRPr lang="en-NZ" sz="1000"/>
        </a:p>
      </dgm:t>
    </dgm:pt>
    <dgm:pt modelId="{4515A47F-1C66-4D83-9940-D2DFE80F8F55}" type="parTrans" cxnId="{A69FA10B-2773-4984-A398-91D1A594DD31}">
      <dgm:prSet/>
      <dgm:spPr/>
      <dgm:t>
        <a:bodyPr/>
        <a:lstStyle/>
        <a:p>
          <a:endParaRPr lang="en-NZ"/>
        </a:p>
      </dgm:t>
    </dgm:pt>
    <dgm:pt modelId="{CC479BE9-4760-4415-9496-8D91FDBD5EEE}" type="sibTrans" cxnId="{A69FA10B-2773-4984-A398-91D1A594DD31}">
      <dgm:prSet/>
      <dgm:spPr/>
      <dgm:t>
        <a:bodyPr/>
        <a:lstStyle/>
        <a:p>
          <a:endParaRPr lang="en-NZ"/>
        </a:p>
      </dgm:t>
    </dgm:pt>
    <dgm:pt modelId="{FEA0CC71-AAFA-43E9-9A0A-5E019CD71A36}">
      <dgm:prSet phldrT="[Text]" custT="1"/>
      <dgm:spPr/>
      <dgm:t>
        <a:bodyPr/>
        <a:lstStyle/>
        <a:p>
          <a:r>
            <a:rPr lang="en-NZ" sz="1000">
              <a:latin typeface="Times New Roman" panose="02020603050405020304" pitchFamily="18" charset="0"/>
              <a:cs typeface="Times New Roman" panose="02020603050405020304" pitchFamily="18" charset="0"/>
            </a:rPr>
            <a:t>Wave 2 (2013) participated</a:t>
          </a:r>
          <a:br>
            <a:rPr lang="en-NZ" sz="1000">
              <a:latin typeface="Times New Roman" panose="02020603050405020304" pitchFamily="18" charset="0"/>
              <a:cs typeface="Times New Roman" panose="02020603050405020304" pitchFamily="18" charset="0"/>
            </a:rPr>
          </a:br>
          <a:r>
            <a:rPr lang="en-NZ" sz="1000">
              <a:latin typeface="Times New Roman" panose="02020603050405020304" pitchFamily="18" charset="0"/>
              <a:cs typeface="Times New Roman" panose="02020603050405020304" pitchFamily="18" charset="0"/>
            </a:rPr>
            <a:t>n=3,745</a:t>
          </a:r>
        </a:p>
      </dgm:t>
    </dgm:pt>
    <dgm:pt modelId="{0E2F92F1-B9DD-43E5-9BC1-67E42868F7CC}" type="parTrans" cxnId="{0E3C4C01-E70E-46CE-BE42-9ADE70F35AB8}">
      <dgm:prSet/>
      <dgm:spPr/>
      <dgm:t>
        <a:bodyPr/>
        <a:lstStyle/>
        <a:p>
          <a:endParaRPr lang="en-NZ"/>
        </a:p>
      </dgm:t>
    </dgm:pt>
    <dgm:pt modelId="{AE1D05FB-0CB8-4D5E-B57C-1C715F4FDAF4}" type="sibTrans" cxnId="{0E3C4C01-E70E-46CE-BE42-9ADE70F35AB8}">
      <dgm:prSet/>
      <dgm:spPr/>
      <dgm:t>
        <a:bodyPr/>
        <a:lstStyle/>
        <a:p>
          <a:endParaRPr lang="en-NZ"/>
        </a:p>
      </dgm:t>
    </dgm:pt>
    <dgm:pt modelId="{334E378E-8261-44AD-8B2B-8855171CB940}">
      <dgm:prSet phldrT="[Text]" custT="1"/>
      <dgm:spPr/>
      <dgm:t>
        <a:bodyPr/>
        <a:lstStyle/>
        <a:p>
          <a:r>
            <a:rPr lang="en-NZ" sz="1000">
              <a:latin typeface="Times New Roman" panose="02020603050405020304" pitchFamily="18" charset="0"/>
              <a:cs typeface="Times New Roman" panose="02020603050405020304" pitchFamily="18" charset="0"/>
            </a:rPr>
            <a:t>Wave 2 did not participate</a:t>
          </a:r>
          <a:br>
            <a:rPr lang="en-NZ" sz="1000">
              <a:latin typeface="Times New Roman" panose="02020603050405020304" pitchFamily="18" charset="0"/>
              <a:cs typeface="Times New Roman" panose="02020603050405020304" pitchFamily="18" charset="0"/>
            </a:rPr>
          </a:br>
          <a:r>
            <a:rPr lang="en-NZ" sz="1000">
              <a:latin typeface="Times New Roman" panose="02020603050405020304" pitchFamily="18" charset="0"/>
              <a:cs typeface="Times New Roman" panose="02020603050405020304" pitchFamily="18" charset="0"/>
            </a:rPr>
            <a:t>n=1,521</a:t>
          </a:r>
          <a:endParaRPr lang="en-NZ" sz="1000"/>
        </a:p>
      </dgm:t>
    </dgm:pt>
    <dgm:pt modelId="{90985EE0-E0F1-458A-8E2A-C6EB4D8A8AEF}" type="parTrans" cxnId="{07CB43E1-A598-46E2-8A91-522069247AD1}">
      <dgm:prSet/>
      <dgm:spPr/>
      <dgm:t>
        <a:bodyPr/>
        <a:lstStyle/>
        <a:p>
          <a:endParaRPr lang="en-NZ"/>
        </a:p>
      </dgm:t>
    </dgm:pt>
    <dgm:pt modelId="{F51497DB-1D1C-49B7-84C0-834D22348465}" type="sibTrans" cxnId="{07CB43E1-A598-46E2-8A91-522069247AD1}">
      <dgm:prSet/>
      <dgm:spPr/>
      <dgm:t>
        <a:bodyPr/>
        <a:lstStyle/>
        <a:p>
          <a:endParaRPr lang="en-NZ"/>
        </a:p>
      </dgm:t>
    </dgm:pt>
    <dgm:pt modelId="{8306FAA1-8A6D-4808-86AE-F88F0217615B}">
      <dgm:prSet phldrT="[Text]" custT="1"/>
      <dgm:spPr/>
      <dgm:t>
        <a:bodyPr/>
        <a:lstStyle/>
        <a:p>
          <a:r>
            <a:rPr lang="en-NZ" sz="1000">
              <a:latin typeface="Times New Roman" panose="02020603050405020304" pitchFamily="18" charset="0"/>
              <a:cs typeface="Times New Roman" panose="02020603050405020304" pitchFamily="18" charset="0"/>
            </a:rPr>
            <a:t>No 12-month follow-up attempt (2013)</a:t>
          </a:r>
          <a:br>
            <a:rPr lang="en-NZ" sz="1000">
              <a:latin typeface="Times New Roman" panose="02020603050405020304" pitchFamily="18" charset="0"/>
              <a:cs typeface="Times New Roman" panose="02020603050405020304" pitchFamily="18" charset="0"/>
            </a:rPr>
          </a:br>
          <a:r>
            <a:rPr lang="en-NZ" sz="1000">
              <a:latin typeface="Times New Roman" panose="02020603050405020304" pitchFamily="18" charset="0"/>
              <a:cs typeface="Times New Roman" panose="02020603050405020304" pitchFamily="18" charset="0"/>
            </a:rPr>
            <a:t>n=985</a:t>
          </a:r>
          <a:endParaRPr lang="en-NZ" sz="1000"/>
        </a:p>
      </dgm:t>
    </dgm:pt>
    <dgm:pt modelId="{01AA94B9-E8D8-46F5-AEFF-AA8459EAC403}" type="parTrans" cxnId="{B9C42F6E-ECEE-40A8-84FE-714FBC9AD234}">
      <dgm:prSet/>
      <dgm:spPr/>
      <dgm:t>
        <a:bodyPr/>
        <a:lstStyle/>
        <a:p>
          <a:endParaRPr lang="en-NZ"/>
        </a:p>
      </dgm:t>
    </dgm:pt>
    <dgm:pt modelId="{84F7118D-BFAD-4358-817B-A77790C80E5B}" type="sibTrans" cxnId="{B9C42F6E-ECEE-40A8-84FE-714FBC9AD234}">
      <dgm:prSet/>
      <dgm:spPr/>
      <dgm:t>
        <a:bodyPr/>
        <a:lstStyle/>
        <a:p>
          <a:endParaRPr lang="en-NZ"/>
        </a:p>
      </dgm:t>
    </dgm:pt>
    <dgm:pt modelId="{7AC446E9-3ABB-4359-9FDE-4353340B124F}">
      <dgm:prSet phldrT="[Text]" custT="1"/>
      <dgm:spPr/>
      <dgm:t>
        <a:bodyPr/>
        <a:lstStyle/>
        <a:p>
          <a:r>
            <a:rPr lang="en-NZ" sz="1000">
              <a:latin typeface="Times New Roman" panose="02020603050405020304" pitchFamily="18" charset="0"/>
              <a:cs typeface="Times New Roman" panose="02020603050405020304" pitchFamily="18" charset="0"/>
            </a:rPr>
            <a:t>Wave 3 (2014)</a:t>
          </a:r>
          <a:br>
            <a:rPr lang="en-NZ" sz="1000">
              <a:latin typeface="Times New Roman" panose="02020603050405020304" pitchFamily="18" charset="0"/>
              <a:cs typeface="Times New Roman" panose="02020603050405020304" pitchFamily="18" charset="0"/>
            </a:rPr>
          </a:br>
          <a:r>
            <a:rPr lang="en-NZ" sz="1000">
              <a:latin typeface="Times New Roman" panose="02020603050405020304" pitchFamily="18" charset="0"/>
              <a:cs typeface="Times New Roman" panose="02020603050405020304" pitchFamily="18" charset="0"/>
            </a:rPr>
            <a:t>participated</a:t>
          </a:r>
        </a:p>
        <a:p>
          <a:r>
            <a:rPr lang="en-NZ" sz="1000">
              <a:latin typeface="Times New Roman" panose="02020603050405020304" pitchFamily="18" charset="0"/>
              <a:cs typeface="Times New Roman" panose="02020603050405020304" pitchFamily="18" charset="0"/>
            </a:rPr>
            <a:t>n=3,115</a:t>
          </a:r>
        </a:p>
      </dgm:t>
    </dgm:pt>
    <dgm:pt modelId="{D5A6C1E4-8A32-400B-BEC5-8A649B75985F}" type="parTrans" cxnId="{3A752A0D-CF8F-4A31-809E-B3205E7779B0}">
      <dgm:prSet/>
      <dgm:spPr/>
      <dgm:t>
        <a:bodyPr/>
        <a:lstStyle/>
        <a:p>
          <a:endParaRPr lang="en-NZ"/>
        </a:p>
      </dgm:t>
    </dgm:pt>
    <dgm:pt modelId="{C7C9648F-3243-493E-825E-7244C1EA020C}" type="sibTrans" cxnId="{3A752A0D-CF8F-4A31-809E-B3205E7779B0}">
      <dgm:prSet/>
      <dgm:spPr/>
      <dgm:t>
        <a:bodyPr/>
        <a:lstStyle/>
        <a:p>
          <a:endParaRPr lang="en-NZ"/>
        </a:p>
      </dgm:t>
    </dgm:pt>
    <dgm:pt modelId="{C0823483-7405-4A52-85DA-C686CCDE67EA}">
      <dgm:prSet phldrT="[Text]" custT="1"/>
      <dgm:spPr/>
      <dgm:t>
        <a:bodyPr/>
        <a:lstStyle/>
        <a:p>
          <a:r>
            <a:rPr lang="en-NZ" sz="1000">
              <a:latin typeface="Times New Roman" panose="02020603050405020304" pitchFamily="18" charset="0"/>
              <a:cs typeface="Times New Roman" panose="02020603050405020304" pitchFamily="18" charset="0"/>
            </a:rPr>
            <a:t>Wave 3 did not participate</a:t>
          </a:r>
        </a:p>
        <a:p>
          <a:r>
            <a:rPr lang="en-NZ" sz="1000">
              <a:latin typeface="Times New Roman" panose="02020603050405020304" pitchFamily="18" charset="0"/>
              <a:cs typeface="Times New Roman" panose="02020603050405020304" pitchFamily="18" charset="0"/>
            </a:rPr>
            <a:t>n=630</a:t>
          </a:r>
        </a:p>
      </dgm:t>
    </dgm:pt>
    <dgm:pt modelId="{C1FB21BD-E162-4266-BEC7-33B0900CE3BB}" type="parTrans" cxnId="{7C280E54-A102-448A-89D5-DFC95C16688F}">
      <dgm:prSet/>
      <dgm:spPr/>
      <dgm:t>
        <a:bodyPr/>
        <a:lstStyle/>
        <a:p>
          <a:endParaRPr lang="en-NZ"/>
        </a:p>
      </dgm:t>
    </dgm:pt>
    <dgm:pt modelId="{E5ED87B3-4E50-4C84-8D8E-7801230D125B}" type="sibTrans" cxnId="{7C280E54-A102-448A-89D5-DFC95C16688F}">
      <dgm:prSet/>
      <dgm:spPr/>
      <dgm:t>
        <a:bodyPr/>
        <a:lstStyle/>
        <a:p>
          <a:endParaRPr lang="en-NZ"/>
        </a:p>
      </dgm:t>
    </dgm:pt>
    <dgm:pt modelId="{81D61239-A442-4BD8-8498-31811065FC87}">
      <dgm:prSet phldrT="[Text]" custT="1">
        <dgm:style>
          <a:lnRef idx="2">
            <a:schemeClr val="accent6"/>
          </a:lnRef>
          <a:fillRef idx="1">
            <a:schemeClr val="lt1"/>
          </a:fillRef>
          <a:effectRef idx="0">
            <a:schemeClr val="accent6"/>
          </a:effectRef>
          <a:fontRef idx="minor">
            <a:schemeClr val="dk1"/>
          </a:fontRef>
        </dgm:style>
      </dgm:prSet>
      <dgm:spPr/>
      <dgm:t>
        <a:bodyPr/>
        <a:lstStyle/>
        <a:p>
          <a:r>
            <a:rPr lang="en-NZ" sz="1000">
              <a:latin typeface="Times New Roman" panose="02020603050405020304" pitchFamily="18" charset="0"/>
              <a:cs typeface="Times New Roman" panose="02020603050405020304" pitchFamily="18" charset="0"/>
            </a:rPr>
            <a:t>Wave 4 (2015)</a:t>
          </a:r>
          <a:br>
            <a:rPr lang="en-NZ" sz="1000">
              <a:latin typeface="Times New Roman" panose="02020603050405020304" pitchFamily="18" charset="0"/>
              <a:cs typeface="Times New Roman" panose="02020603050405020304" pitchFamily="18" charset="0"/>
            </a:rPr>
          </a:br>
          <a:r>
            <a:rPr lang="en-NZ" sz="1000">
              <a:latin typeface="Times New Roman" panose="02020603050405020304" pitchFamily="18" charset="0"/>
              <a:cs typeface="Times New Roman" panose="02020603050405020304" pitchFamily="18" charset="0"/>
            </a:rPr>
            <a:t>participated</a:t>
          </a:r>
        </a:p>
        <a:p>
          <a:r>
            <a:rPr lang="en-NZ" sz="1000">
              <a:latin typeface="Times New Roman" panose="02020603050405020304" pitchFamily="18" charset="0"/>
              <a:cs typeface="Times New Roman" panose="02020603050405020304" pitchFamily="18" charset="0"/>
            </a:rPr>
            <a:t>n=2,770</a:t>
          </a:r>
        </a:p>
      </dgm:t>
    </dgm:pt>
    <dgm:pt modelId="{95A6B411-B973-4E23-88DF-E339A51C38E4}" type="parTrans" cxnId="{0732A8B0-57FF-4442-A149-F82D3970AB39}">
      <dgm:prSet/>
      <dgm:spPr/>
      <dgm:t>
        <a:bodyPr/>
        <a:lstStyle/>
        <a:p>
          <a:endParaRPr lang="en-NZ"/>
        </a:p>
      </dgm:t>
    </dgm:pt>
    <dgm:pt modelId="{D690D6CA-DAF7-460E-827E-9D12C5896CAA}" type="sibTrans" cxnId="{0732A8B0-57FF-4442-A149-F82D3970AB39}">
      <dgm:prSet/>
      <dgm:spPr/>
      <dgm:t>
        <a:bodyPr/>
        <a:lstStyle/>
        <a:p>
          <a:endParaRPr lang="en-NZ"/>
        </a:p>
      </dgm:t>
    </dgm:pt>
    <dgm:pt modelId="{7AB36501-CE55-4EE5-B1F5-630977C89CAD}">
      <dgm:prSet phldrT="[Text]" custT="1">
        <dgm:style>
          <a:lnRef idx="2">
            <a:schemeClr val="accent6"/>
          </a:lnRef>
          <a:fillRef idx="1">
            <a:schemeClr val="lt1"/>
          </a:fillRef>
          <a:effectRef idx="0">
            <a:schemeClr val="accent6"/>
          </a:effectRef>
          <a:fontRef idx="minor">
            <a:schemeClr val="dk1"/>
          </a:fontRef>
        </dgm:style>
      </dgm:prSet>
      <dgm:spPr/>
      <dgm:t>
        <a:bodyPr/>
        <a:lstStyle/>
        <a:p>
          <a:r>
            <a:rPr lang="en-NZ" sz="1000">
              <a:latin typeface="Times New Roman" panose="02020603050405020304" pitchFamily="18" charset="0"/>
              <a:cs typeface="Times New Roman" panose="02020603050405020304" pitchFamily="18" charset="0"/>
            </a:rPr>
            <a:t>Wave 4 did not participate</a:t>
          </a:r>
        </a:p>
        <a:p>
          <a:r>
            <a:rPr lang="en-NZ" sz="1000">
              <a:latin typeface="Times New Roman" panose="02020603050405020304" pitchFamily="18" charset="0"/>
              <a:cs typeface="Times New Roman" panose="02020603050405020304" pitchFamily="18" charset="0"/>
            </a:rPr>
            <a:t>n=345</a:t>
          </a:r>
        </a:p>
      </dgm:t>
    </dgm:pt>
    <dgm:pt modelId="{1321BE8B-94D6-4384-A07B-92F3BEDC5DA4}" type="parTrans" cxnId="{728EEF24-DF79-478E-B12B-FBEDEA9FF0C1}">
      <dgm:prSet/>
      <dgm:spPr/>
      <dgm:t>
        <a:bodyPr/>
        <a:lstStyle/>
        <a:p>
          <a:endParaRPr lang="en-NZ"/>
        </a:p>
      </dgm:t>
    </dgm:pt>
    <dgm:pt modelId="{447E0AB4-5F3D-4ABC-B84E-685472A98CD8}" type="sibTrans" cxnId="{728EEF24-DF79-478E-B12B-FBEDEA9FF0C1}">
      <dgm:prSet/>
      <dgm:spPr/>
      <dgm:t>
        <a:bodyPr/>
        <a:lstStyle/>
        <a:p>
          <a:endParaRPr lang="en-NZ"/>
        </a:p>
      </dgm:t>
    </dgm:pt>
    <dgm:pt modelId="{59E73F3F-0AA0-4A4F-80A6-DD5364526AAE}" type="pres">
      <dgm:prSet presAssocID="{9E061475-1651-4A33-BFD5-84154E8054F7}" presName="hierChild1" presStyleCnt="0">
        <dgm:presLayoutVars>
          <dgm:chPref val="1"/>
          <dgm:dir/>
          <dgm:animOne val="branch"/>
          <dgm:animLvl val="lvl"/>
          <dgm:resizeHandles/>
        </dgm:presLayoutVars>
      </dgm:prSet>
      <dgm:spPr/>
      <dgm:t>
        <a:bodyPr/>
        <a:lstStyle/>
        <a:p>
          <a:endParaRPr lang="en-NZ"/>
        </a:p>
      </dgm:t>
    </dgm:pt>
    <dgm:pt modelId="{A1939951-90C6-4C9F-9FD0-CCC823A17975}" type="pres">
      <dgm:prSet presAssocID="{BA69FFDF-C187-4910-83D5-8F711EA9840A}" presName="hierRoot1" presStyleCnt="0"/>
      <dgm:spPr/>
    </dgm:pt>
    <dgm:pt modelId="{8B13DEC7-B5ED-4409-A64F-87454EE2318F}" type="pres">
      <dgm:prSet presAssocID="{BA69FFDF-C187-4910-83D5-8F711EA9840A}" presName="composite" presStyleCnt="0"/>
      <dgm:spPr/>
    </dgm:pt>
    <dgm:pt modelId="{3E31F0AE-A7F7-4371-BF25-812D39A77634}" type="pres">
      <dgm:prSet presAssocID="{BA69FFDF-C187-4910-83D5-8F711EA9840A}" presName="background" presStyleLbl="node0" presStyleIdx="0" presStyleCnt="1"/>
      <dgm:spPr/>
    </dgm:pt>
    <dgm:pt modelId="{C79424BE-A4DA-4635-A31A-BC33E9943707}" type="pres">
      <dgm:prSet presAssocID="{BA69FFDF-C187-4910-83D5-8F711EA9840A}" presName="text" presStyleLbl="fgAcc0" presStyleIdx="0" presStyleCnt="1" custScaleX="124585">
        <dgm:presLayoutVars>
          <dgm:chPref val="3"/>
        </dgm:presLayoutVars>
      </dgm:prSet>
      <dgm:spPr/>
      <dgm:t>
        <a:bodyPr/>
        <a:lstStyle/>
        <a:p>
          <a:endParaRPr lang="en-NZ"/>
        </a:p>
      </dgm:t>
    </dgm:pt>
    <dgm:pt modelId="{6892D176-AABA-443A-9615-429C61577ABD}" type="pres">
      <dgm:prSet presAssocID="{BA69FFDF-C187-4910-83D5-8F711EA9840A}" presName="hierChild2" presStyleCnt="0"/>
      <dgm:spPr/>
    </dgm:pt>
    <dgm:pt modelId="{C748244C-68B7-40E3-B99B-2942B76EDFFA}" type="pres">
      <dgm:prSet presAssocID="{4515A47F-1C66-4D83-9940-D2DFE80F8F55}" presName="Name10" presStyleLbl="parChTrans1D2" presStyleIdx="0" presStyleCnt="2"/>
      <dgm:spPr/>
      <dgm:t>
        <a:bodyPr/>
        <a:lstStyle/>
        <a:p>
          <a:endParaRPr lang="en-NZ"/>
        </a:p>
      </dgm:t>
    </dgm:pt>
    <dgm:pt modelId="{83C85942-066B-465F-8B9E-0D88B08B916A}" type="pres">
      <dgm:prSet presAssocID="{BAB6794D-C726-4073-B759-367810773B06}" presName="hierRoot2" presStyleCnt="0"/>
      <dgm:spPr/>
    </dgm:pt>
    <dgm:pt modelId="{6576735E-DBC4-47D5-AFAB-E2454289B42C}" type="pres">
      <dgm:prSet presAssocID="{BAB6794D-C726-4073-B759-367810773B06}" presName="composite2" presStyleCnt="0"/>
      <dgm:spPr/>
    </dgm:pt>
    <dgm:pt modelId="{3D65ED3A-B151-43A2-A752-002C8A168CFC}" type="pres">
      <dgm:prSet presAssocID="{BAB6794D-C726-4073-B759-367810773B06}" presName="background2" presStyleLbl="node2" presStyleIdx="0" presStyleCnt="2"/>
      <dgm:spPr/>
    </dgm:pt>
    <dgm:pt modelId="{815660CF-05CC-4753-B5A7-142AC5D2B10E}" type="pres">
      <dgm:prSet presAssocID="{BAB6794D-C726-4073-B759-367810773B06}" presName="text2" presStyleLbl="fgAcc2" presStyleIdx="0" presStyleCnt="2" custScaleX="196481">
        <dgm:presLayoutVars>
          <dgm:chPref val="3"/>
        </dgm:presLayoutVars>
      </dgm:prSet>
      <dgm:spPr/>
      <dgm:t>
        <a:bodyPr/>
        <a:lstStyle/>
        <a:p>
          <a:endParaRPr lang="en-NZ"/>
        </a:p>
      </dgm:t>
    </dgm:pt>
    <dgm:pt modelId="{0C8E4109-5AAB-4C71-9457-948E4C739CE2}" type="pres">
      <dgm:prSet presAssocID="{BAB6794D-C726-4073-B759-367810773B06}" presName="hierChild3" presStyleCnt="0"/>
      <dgm:spPr/>
    </dgm:pt>
    <dgm:pt modelId="{A1389E9E-0080-498D-B021-02F49F42521F}" type="pres">
      <dgm:prSet presAssocID="{0E2F92F1-B9DD-43E5-9BC1-67E42868F7CC}" presName="Name17" presStyleLbl="parChTrans1D3" presStyleIdx="0" presStyleCnt="2"/>
      <dgm:spPr/>
      <dgm:t>
        <a:bodyPr/>
        <a:lstStyle/>
        <a:p>
          <a:endParaRPr lang="en-NZ"/>
        </a:p>
      </dgm:t>
    </dgm:pt>
    <dgm:pt modelId="{CDB09409-AFFC-42DF-99DE-8EBE3F82AED2}" type="pres">
      <dgm:prSet presAssocID="{FEA0CC71-AAFA-43E9-9A0A-5E019CD71A36}" presName="hierRoot3" presStyleCnt="0"/>
      <dgm:spPr/>
    </dgm:pt>
    <dgm:pt modelId="{BFD998C4-DB64-43B7-BEF8-CCBFB4DFD7AD}" type="pres">
      <dgm:prSet presAssocID="{FEA0CC71-AAFA-43E9-9A0A-5E019CD71A36}" presName="composite3" presStyleCnt="0"/>
      <dgm:spPr/>
    </dgm:pt>
    <dgm:pt modelId="{3BA1548D-BAFB-4F56-80BD-E6526097EA7C}" type="pres">
      <dgm:prSet presAssocID="{FEA0CC71-AAFA-43E9-9A0A-5E019CD71A36}" presName="background3" presStyleLbl="node3" presStyleIdx="0" presStyleCnt="2"/>
      <dgm:spPr/>
    </dgm:pt>
    <dgm:pt modelId="{279A6EAB-9CFE-4E86-A6FA-CBA37414B21A}" type="pres">
      <dgm:prSet presAssocID="{FEA0CC71-AAFA-43E9-9A0A-5E019CD71A36}" presName="text3" presStyleLbl="fgAcc3" presStyleIdx="0" presStyleCnt="2">
        <dgm:presLayoutVars>
          <dgm:chPref val="3"/>
        </dgm:presLayoutVars>
      </dgm:prSet>
      <dgm:spPr/>
      <dgm:t>
        <a:bodyPr/>
        <a:lstStyle/>
        <a:p>
          <a:endParaRPr lang="en-NZ"/>
        </a:p>
      </dgm:t>
    </dgm:pt>
    <dgm:pt modelId="{BA0DD177-D377-49F7-B79D-A881F59A43A4}" type="pres">
      <dgm:prSet presAssocID="{FEA0CC71-AAFA-43E9-9A0A-5E019CD71A36}" presName="hierChild4" presStyleCnt="0"/>
      <dgm:spPr/>
    </dgm:pt>
    <dgm:pt modelId="{7EAF12D2-7972-4E17-AC12-76F1C1195460}" type="pres">
      <dgm:prSet presAssocID="{D5A6C1E4-8A32-400B-BEC5-8A649B75985F}" presName="Name23" presStyleLbl="parChTrans1D4" presStyleIdx="0" presStyleCnt="4"/>
      <dgm:spPr/>
      <dgm:t>
        <a:bodyPr/>
        <a:lstStyle/>
        <a:p>
          <a:endParaRPr lang="en-NZ"/>
        </a:p>
      </dgm:t>
    </dgm:pt>
    <dgm:pt modelId="{51DF6637-0F64-449B-A0CD-00F68E22B354}" type="pres">
      <dgm:prSet presAssocID="{7AC446E9-3ABB-4359-9FDE-4353340B124F}" presName="hierRoot4" presStyleCnt="0"/>
      <dgm:spPr/>
    </dgm:pt>
    <dgm:pt modelId="{EF5314FE-06F2-46BE-B338-2AE991608465}" type="pres">
      <dgm:prSet presAssocID="{7AC446E9-3ABB-4359-9FDE-4353340B124F}" presName="composite4" presStyleCnt="0"/>
      <dgm:spPr/>
    </dgm:pt>
    <dgm:pt modelId="{3D546BDD-4D61-482B-AB16-9667E17AACE1}" type="pres">
      <dgm:prSet presAssocID="{7AC446E9-3ABB-4359-9FDE-4353340B124F}" presName="background4" presStyleLbl="node4" presStyleIdx="0" presStyleCnt="4"/>
      <dgm:spPr/>
    </dgm:pt>
    <dgm:pt modelId="{EDDA7805-CB83-43BD-98C7-EE5863EE3107}" type="pres">
      <dgm:prSet presAssocID="{7AC446E9-3ABB-4359-9FDE-4353340B124F}" presName="text4" presStyleLbl="fgAcc4" presStyleIdx="0" presStyleCnt="4">
        <dgm:presLayoutVars>
          <dgm:chPref val="3"/>
        </dgm:presLayoutVars>
      </dgm:prSet>
      <dgm:spPr/>
      <dgm:t>
        <a:bodyPr/>
        <a:lstStyle/>
        <a:p>
          <a:endParaRPr lang="en-NZ"/>
        </a:p>
      </dgm:t>
    </dgm:pt>
    <dgm:pt modelId="{EA89CE59-3413-4529-9660-0A14204F042E}" type="pres">
      <dgm:prSet presAssocID="{7AC446E9-3ABB-4359-9FDE-4353340B124F}" presName="hierChild5" presStyleCnt="0"/>
      <dgm:spPr/>
    </dgm:pt>
    <dgm:pt modelId="{8B1F02BF-FE90-4F25-AAEA-E91DBFFC076C}" type="pres">
      <dgm:prSet presAssocID="{95A6B411-B973-4E23-88DF-E339A51C38E4}" presName="Name23" presStyleLbl="parChTrans1D4" presStyleIdx="1" presStyleCnt="4"/>
      <dgm:spPr/>
      <dgm:t>
        <a:bodyPr/>
        <a:lstStyle/>
        <a:p>
          <a:endParaRPr lang="en-NZ"/>
        </a:p>
      </dgm:t>
    </dgm:pt>
    <dgm:pt modelId="{46082DF9-B2FB-4CE1-857A-68BA40C026D7}" type="pres">
      <dgm:prSet presAssocID="{81D61239-A442-4BD8-8498-31811065FC87}" presName="hierRoot4" presStyleCnt="0"/>
      <dgm:spPr/>
    </dgm:pt>
    <dgm:pt modelId="{C8FEAC48-B8CA-4DA7-9D37-F1317114078F}" type="pres">
      <dgm:prSet presAssocID="{81D61239-A442-4BD8-8498-31811065FC87}" presName="composite4" presStyleCnt="0"/>
      <dgm:spPr/>
    </dgm:pt>
    <dgm:pt modelId="{3AECC308-9E73-474C-B867-26C0C98BCFB0}" type="pres">
      <dgm:prSet presAssocID="{81D61239-A442-4BD8-8498-31811065FC87}" presName="background4" presStyleLbl="node4" presStyleIdx="1" presStyleCnt="4"/>
      <dgm:spPr>
        <a:solidFill>
          <a:schemeClr val="accent6"/>
        </a:solidFill>
      </dgm:spPr>
      <dgm:t>
        <a:bodyPr/>
        <a:lstStyle/>
        <a:p>
          <a:endParaRPr lang="en-NZ"/>
        </a:p>
      </dgm:t>
    </dgm:pt>
    <dgm:pt modelId="{D2EF585F-6CA4-41E0-AEDD-344EEB9C7EE3}" type="pres">
      <dgm:prSet presAssocID="{81D61239-A442-4BD8-8498-31811065FC87}" presName="text4" presStyleLbl="fgAcc4" presStyleIdx="1" presStyleCnt="4">
        <dgm:presLayoutVars>
          <dgm:chPref val="3"/>
        </dgm:presLayoutVars>
      </dgm:prSet>
      <dgm:spPr/>
      <dgm:t>
        <a:bodyPr/>
        <a:lstStyle/>
        <a:p>
          <a:endParaRPr lang="en-NZ"/>
        </a:p>
      </dgm:t>
    </dgm:pt>
    <dgm:pt modelId="{97FC6659-9134-4991-B9E5-FC9F89E871C9}" type="pres">
      <dgm:prSet presAssocID="{81D61239-A442-4BD8-8498-31811065FC87}" presName="hierChild5" presStyleCnt="0"/>
      <dgm:spPr/>
    </dgm:pt>
    <dgm:pt modelId="{0ECB70CC-40ED-462D-9ACE-D110945E0F1E}" type="pres">
      <dgm:prSet presAssocID="{1321BE8B-94D6-4384-A07B-92F3BEDC5DA4}" presName="Name23" presStyleLbl="parChTrans1D4" presStyleIdx="2" presStyleCnt="4"/>
      <dgm:spPr/>
      <dgm:t>
        <a:bodyPr/>
        <a:lstStyle/>
        <a:p>
          <a:endParaRPr lang="en-NZ"/>
        </a:p>
      </dgm:t>
    </dgm:pt>
    <dgm:pt modelId="{95181AF0-E074-4000-8AEC-2038FD4B5687}" type="pres">
      <dgm:prSet presAssocID="{7AB36501-CE55-4EE5-B1F5-630977C89CAD}" presName="hierRoot4" presStyleCnt="0"/>
      <dgm:spPr/>
    </dgm:pt>
    <dgm:pt modelId="{4484C362-9584-4C9C-8048-EE3DA655AB0E}" type="pres">
      <dgm:prSet presAssocID="{7AB36501-CE55-4EE5-B1F5-630977C89CAD}" presName="composite4" presStyleCnt="0"/>
      <dgm:spPr/>
    </dgm:pt>
    <dgm:pt modelId="{C4DB26BC-EE2E-4D28-9461-41EB4D1B8B7C}" type="pres">
      <dgm:prSet presAssocID="{7AB36501-CE55-4EE5-B1F5-630977C89CAD}" presName="background4" presStyleLbl="node4" presStyleIdx="2" presStyleCnt="4"/>
      <dgm:spPr>
        <a:solidFill>
          <a:schemeClr val="accent6"/>
        </a:solidFill>
      </dgm:spPr>
      <dgm:t>
        <a:bodyPr/>
        <a:lstStyle/>
        <a:p>
          <a:endParaRPr lang="en-NZ"/>
        </a:p>
      </dgm:t>
    </dgm:pt>
    <dgm:pt modelId="{EA6D9687-4C5C-4081-8D6E-ACFE7D538BF6}" type="pres">
      <dgm:prSet presAssocID="{7AB36501-CE55-4EE5-B1F5-630977C89CAD}" presName="text4" presStyleLbl="fgAcc4" presStyleIdx="2" presStyleCnt="4">
        <dgm:presLayoutVars>
          <dgm:chPref val="3"/>
        </dgm:presLayoutVars>
      </dgm:prSet>
      <dgm:spPr/>
      <dgm:t>
        <a:bodyPr/>
        <a:lstStyle/>
        <a:p>
          <a:endParaRPr lang="en-NZ"/>
        </a:p>
      </dgm:t>
    </dgm:pt>
    <dgm:pt modelId="{E86BAE1B-7FCA-4929-8229-B0AF6678DBC8}" type="pres">
      <dgm:prSet presAssocID="{7AB36501-CE55-4EE5-B1F5-630977C89CAD}" presName="hierChild5" presStyleCnt="0"/>
      <dgm:spPr/>
    </dgm:pt>
    <dgm:pt modelId="{1C769EF6-DD29-4EAE-B135-E8E9354AB3A4}" type="pres">
      <dgm:prSet presAssocID="{C1FB21BD-E162-4266-BEC7-33B0900CE3BB}" presName="Name23" presStyleLbl="parChTrans1D4" presStyleIdx="3" presStyleCnt="4"/>
      <dgm:spPr/>
      <dgm:t>
        <a:bodyPr/>
        <a:lstStyle/>
        <a:p>
          <a:endParaRPr lang="en-NZ"/>
        </a:p>
      </dgm:t>
    </dgm:pt>
    <dgm:pt modelId="{2B0D3D61-14F6-4DA4-92CA-8FD92D11C451}" type="pres">
      <dgm:prSet presAssocID="{C0823483-7405-4A52-85DA-C686CCDE67EA}" presName="hierRoot4" presStyleCnt="0"/>
      <dgm:spPr/>
    </dgm:pt>
    <dgm:pt modelId="{6643D5A3-3725-42AB-887E-BFDBC92FC0B0}" type="pres">
      <dgm:prSet presAssocID="{C0823483-7405-4A52-85DA-C686CCDE67EA}" presName="composite4" presStyleCnt="0"/>
      <dgm:spPr/>
    </dgm:pt>
    <dgm:pt modelId="{0096B238-3F48-490D-9A78-B6F74C1264FA}" type="pres">
      <dgm:prSet presAssocID="{C0823483-7405-4A52-85DA-C686CCDE67EA}" presName="background4" presStyleLbl="node4" presStyleIdx="3" presStyleCnt="4"/>
      <dgm:spPr>
        <a:solidFill>
          <a:schemeClr val="accent4">
            <a:lumMod val="20000"/>
            <a:lumOff val="80000"/>
          </a:schemeClr>
        </a:solidFill>
      </dgm:spPr>
      <dgm:t>
        <a:bodyPr/>
        <a:lstStyle/>
        <a:p>
          <a:endParaRPr lang="en-NZ"/>
        </a:p>
      </dgm:t>
    </dgm:pt>
    <dgm:pt modelId="{9B9ED635-88B2-4B33-B120-1338209C3F8B}" type="pres">
      <dgm:prSet presAssocID="{C0823483-7405-4A52-85DA-C686CCDE67EA}" presName="text4" presStyleLbl="fgAcc4" presStyleIdx="3" presStyleCnt="4">
        <dgm:presLayoutVars>
          <dgm:chPref val="3"/>
        </dgm:presLayoutVars>
      </dgm:prSet>
      <dgm:spPr/>
      <dgm:t>
        <a:bodyPr/>
        <a:lstStyle/>
        <a:p>
          <a:endParaRPr lang="en-NZ"/>
        </a:p>
      </dgm:t>
    </dgm:pt>
    <dgm:pt modelId="{4EFAA903-6BCD-4891-A76A-23A481E8B458}" type="pres">
      <dgm:prSet presAssocID="{C0823483-7405-4A52-85DA-C686CCDE67EA}" presName="hierChild5" presStyleCnt="0"/>
      <dgm:spPr/>
    </dgm:pt>
    <dgm:pt modelId="{F45B2BB1-ED5F-403D-8612-E4F8278C76DA}" type="pres">
      <dgm:prSet presAssocID="{90985EE0-E0F1-458A-8E2A-C6EB4D8A8AEF}" presName="Name17" presStyleLbl="parChTrans1D3" presStyleIdx="1" presStyleCnt="2"/>
      <dgm:spPr/>
      <dgm:t>
        <a:bodyPr/>
        <a:lstStyle/>
        <a:p>
          <a:endParaRPr lang="en-NZ"/>
        </a:p>
      </dgm:t>
    </dgm:pt>
    <dgm:pt modelId="{45C1F80B-1F9C-407D-8B56-432B95074E03}" type="pres">
      <dgm:prSet presAssocID="{334E378E-8261-44AD-8B2B-8855171CB940}" presName="hierRoot3" presStyleCnt="0"/>
      <dgm:spPr/>
    </dgm:pt>
    <dgm:pt modelId="{D6CA0579-C0E0-410C-862F-3CD11BEE9C69}" type="pres">
      <dgm:prSet presAssocID="{334E378E-8261-44AD-8B2B-8855171CB940}" presName="composite3" presStyleCnt="0"/>
      <dgm:spPr/>
    </dgm:pt>
    <dgm:pt modelId="{5B43D512-11C6-4987-B069-396E6F1D7655}" type="pres">
      <dgm:prSet presAssocID="{334E378E-8261-44AD-8B2B-8855171CB940}" presName="background3" presStyleLbl="node3" presStyleIdx="1" presStyleCnt="2"/>
      <dgm:spPr>
        <a:solidFill>
          <a:schemeClr val="accent3">
            <a:lumMod val="20000"/>
            <a:lumOff val="80000"/>
          </a:schemeClr>
        </a:solidFill>
      </dgm:spPr>
    </dgm:pt>
    <dgm:pt modelId="{B1C7155C-30BF-4C37-AC30-D84C81D7DA14}" type="pres">
      <dgm:prSet presAssocID="{334E378E-8261-44AD-8B2B-8855171CB940}" presName="text3" presStyleLbl="fgAcc3" presStyleIdx="1" presStyleCnt="2" custScaleX="128542">
        <dgm:presLayoutVars>
          <dgm:chPref val="3"/>
        </dgm:presLayoutVars>
      </dgm:prSet>
      <dgm:spPr/>
      <dgm:t>
        <a:bodyPr/>
        <a:lstStyle/>
        <a:p>
          <a:endParaRPr lang="en-NZ"/>
        </a:p>
      </dgm:t>
    </dgm:pt>
    <dgm:pt modelId="{5AEC012A-082D-4C9C-B5A8-E8310547440A}" type="pres">
      <dgm:prSet presAssocID="{334E378E-8261-44AD-8B2B-8855171CB940}" presName="hierChild4" presStyleCnt="0"/>
      <dgm:spPr/>
    </dgm:pt>
    <dgm:pt modelId="{4756EF0C-A976-4EE6-80C6-CFB71AA01F6F}" type="pres">
      <dgm:prSet presAssocID="{01AA94B9-E8D8-46F5-AEFF-AA8459EAC403}" presName="Name10" presStyleLbl="parChTrans1D2" presStyleIdx="1" presStyleCnt="2"/>
      <dgm:spPr/>
      <dgm:t>
        <a:bodyPr/>
        <a:lstStyle/>
        <a:p>
          <a:endParaRPr lang="en-NZ"/>
        </a:p>
      </dgm:t>
    </dgm:pt>
    <dgm:pt modelId="{18A0470E-68D2-4795-86AF-0C23D7C43421}" type="pres">
      <dgm:prSet presAssocID="{8306FAA1-8A6D-4808-86AE-F88F0217615B}" presName="hierRoot2" presStyleCnt="0"/>
      <dgm:spPr/>
    </dgm:pt>
    <dgm:pt modelId="{7BAEC48E-FE59-42BC-A380-4E07C986D53B}" type="pres">
      <dgm:prSet presAssocID="{8306FAA1-8A6D-4808-86AE-F88F0217615B}" presName="composite2" presStyleCnt="0"/>
      <dgm:spPr/>
    </dgm:pt>
    <dgm:pt modelId="{A44FD781-AF0E-4916-B21A-27D8AA4C8A0F}" type="pres">
      <dgm:prSet presAssocID="{8306FAA1-8A6D-4808-86AE-F88F0217615B}" presName="background2" presStyleLbl="node2" presStyleIdx="1" presStyleCnt="2"/>
      <dgm:spPr>
        <a:solidFill>
          <a:schemeClr val="accent2">
            <a:lumMod val="20000"/>
            <a:lumOff val="80000"/>
          </a:schemeClr>
        </a:solidFill>
      </dgm:spPr>
    </dgm:pt>
    <dgm:pt modelId="{2D55AF5B-DEB2-4476-A29B-D78969CFF3AF}" type="pres">
      <dgm:prSet presAssocID="{8306FAA1-8A6D-4808-86AE-F88F0217615B}" presName="text2" presStyleLbl="fgAcc2" presStyleIdx="1" presStyleCnt="2" custScaleX="188889">
        <dgm:presLayoutVars>
          <dgm:chPref val="3"/>
        </dgm:presLayoutVars>
      </dgm:prSet>
      <dgm:spPr/>
      <dgm:t>
        <a:bodyPr/>
        <a:lstStyle/>
        <a:p>
          <a:endParaRPr lang="en-NZ"/>
        </a:p>
      </dgm:t>
    </dgm:pt>
    <dgm:pt modelId="{BB8C85E2-67D9-49A7-BBA2-19A39DBB105C}" type="pres">
      <dgm:prSet presAssocID="{8306FAA1-8A6D-4808-86AE-F88F0217615B}" presName="hierChild3" presStyleCnt="0"/>
      <dgm:spPr/>
    </dgm:pt>
  </dgm:ptLst>
  <dgm:cxnLst>
    <dgm:cxn modelId="{728EEF24-DF79-478E-B12B-FBEDEA9FF0C1}" srcId="{7AC446E9-3ABB-4359-9FDE-4353340B124F}" destId="{7AB36501-CE55-4EE5-B1F5-630977C89CAD}" srcOrd="1" destOrd="0" parTransId="{1321BE8B-94D6-4384-A07B-92F3BEDC5DA4}" sibTransId="{447E0AB4-5F3D-4ABC-B84E-685472A98CD8}"/>
    <dgm:cxn modelId="{FF65AE56-3AC3-4339-BAFF-61614DFFB578}" type="presOf" srcId="{C0823483-7405-4A52-85DA-C686CCDE67EA}" destId="{9B9ED635-88B2-4B33-B120-1338209C3F8B}" srcOrd="0" destOrd="0" presId="urn:microsoft.com/office/officeart/2005/8/layout/hierarchy1"/>
    <dgm:cxn modelId="{0FD8DB6F-C822-448B-8123-6542097A0AFD}" type="presOf" srcId="{C1FB21BD-E162-4266-BEC7-33B0900CE3BB}" destId="{1C769EF6-DD29-4EAE-B135-E8E9354AB3A4}" srcOrd="0" destOrd="0" presId="urn:microsoft.com/office/officeart/2005/8/layout/hierarchy1"/>
    <dgm:cxn modelId="{EBE63996-673E-4983-A2F4-190F7472BD36}" type="presOf" srcId="{01AA94B9-E8D8-46F5-AEFF-AA8459EAC403}" destId="{4756EF0C-A976-4EE6-80C6-CFB71AA01F6F}" srcOrd="0" destOrd="0" presId="urn:microsoft.com/office/officeart/2005/8/layout/hierarchy1"/>
    <dgm:cxn modelId="{7B5DB169-65A1-4D05-BB57-E9DB856B2065}" type="presOf" srcId="{9E061475-1651-4A33-BFD5-84154E8054F7}" destId="{59E73F3F-0AA0-4A4F-80A6-DD5364526AAE}" srcOrd="0" destOrd="0" presId="urn:microsoft.com/office/officeart/2005/8/layout/hierarchy1"/>
    <dgm:cxn modelId="{6E8FE46D-E03C-4FF0-A615-9BBCB83655AB}" type="presOf" srcId="{4515A47F-1C66-4D83-9940-D2DFE80F8F55}" destId="{C748244C-68B7-40E3-B99B-2942B76EDFFA}" srcOrd="0" destOrd="0" presId="urn:microsoft.com/office/officeart/2005/8/layout/hierarchy1"/>
    <dgm:cxn modelId="{C4CBE4A1-9A50-4D92-8DB7-FD8357BC25DE}" srcId="{9E061475-1651-4A33-BFD5-84154E8054F7}" destId="{BA69FFDF-C187-4910-83D5-8F711EA9840A}" srcOrd="0" destOrd="0" parTransId="{77C2EC55-9A25-44AE-894E-99874F239853}" sibTransId="{A19CCE10-D973-4A09-9B96-46E7CDF8F53D}"/>
    <dgm:cxn modelId="{AC4596E2-8219-49AA-81A5-18E7AB6D9809}" type="presOf" srcId="{D5A6C1E4-8A32-400B-BEC5-8A649B75985F}" destId="{7EAF12D2-7972-4E17-AC12-76F1C1195460}" srcOrd="0" destOrd="0" presId="urn:microsoft.com/office/officeart/2005/8/layout/hierarchy1"/>
    <dgm:cxn modelId="{99404DDC-1C4D-4436-85A2-262E7705486D}" type="presOf" srcId="{8306FAA1-8A6D-4808-86AE-F88F0217615B}" destId="{2D55AF5B-DEB2-4476-A29B-D78969CFF3AF}" srcOrd="0" destOrd="0" presId="urn:microsoft.com/office/officeart/2005/8/layout/hierarchy1"/>
    <dgm:cxn modelId="{3A752A0D-CF8F-4A31-809E-B3205E7779B0}" srcId="{FEA0CC71-AAFA-43E9-9A0A-5E019CD71A36}" destId="{7AC446E9-3ABB-4359-9FDE-4353340B124F}" srcOrd="0" destOrd="0" parTransId="{D5A6C1E4-8A32-400B-BEC5-8A649B75985F}" sibTransId="{C7C9648F-3243-493E-825E-7244C1EA020C}"/>
    <dgm:cxn modelId="{F094C16C-8973-4034-A1B8-4E2EA9193749}" type="presOf" srcId="{334E378E-8261-44AD-8B2B-8855171CB940}" destId="{B1C7155C-30BF-4C37-AC30-D84C81D7DA14}" srcOrd="0" destOrd="0" presId="urn:microsoft.com/office/officeart/2005/8/layout/hierarchy1"/>
    <dgm:cxn modelId="{B2421CE5-309A-4C02-A685-247FF05DB2BE}" type="presOf" srcId="{90985EE0-E0F1-458A-8E2A-C6EB4D8A8AEF}" destId="{F45B2BB1-ED5F-403D-8612-E4F8278C76DA}" srcOrd="0" destOrd="0" presId="urn:microsoft.com/office/officeart/2005/8/layout/hierarchy1"/>
    <dgm:cxn modelId="{B2ABDC5E-2BE4-45B1-9039-182D966802B9}" type="presOf" srcId="{95A6B411-B973-4E23-88DF-E339A51C38E4}" destId="{8B1F02BF-FE90-4F25-AAEA-E91DBFFC076C}" srcOrd="0" destOrd="0" presId="urn:microsoft.com/office/officeart/2005/8/layout/hierarchy1"/>
    <dgm:cxn modelId="{0678F904-B55F-41B3-8D96-B0B0915618E3}" type="presOf" srcId="{7AB36501-CE55-4EE5-B1F5-630977C89CAD}" destId="{EA6D9687-4C5C-4081-8D6E-ACFE7D538BF6}" srcOrd="0" destOrd="0" presId="urn:microsoft.com/office/officeart/2005/8/layout/hierarchy1"/>
    <dgm:cxn modelId="{1DFC6AAF-4045-415B-B70B-2492B3441003}" type="presOf" srcId="{BAB6794D-C726-4073-B759-367810773B06}" destId="{815660CF-05CC-4753-B5A7-142AC5D2B10E}" srcOrd="0" destOrd="0" presId="urn:microsoft.com/office/officeart/2005/8/layout/hierarchy1"/>
    <dgm:cxn modelId="{2DA04AFA-F40D-4B53-92A9-C2A7F3129A17}" type="presOf" srcId="{BA69FFDF-C187-4910-83D5-8F711EA9840A}" destId="{C79424BE-A4DA-4635-A31A-BC33E9943707}" srcOrd="0" destOrd="0" presId="urn:microsoft.com/office/officeart/2005/8/layout/hierarchy1"/>
    <dgm:cxn modelId="{8F9F5872-CD77-483E-AEFE-B065E8AE0D0C}" type="presOf" srcId="{0E2F92F1-B9DD-43E5-9BC1-67E42868F7CC}" destId="{A1389E9E-0080-498D-B021-02F49F42521F}" srcOrd="0" destOrd="0" presId="urn:microsoft.com/office/officeart/2005/8/layout/hierarchy1"/>
    <dgm:cxn modelId="{7C280E54-A102-448A-89D5-DFC95C16688F}" srcId="{FEA0CC71-AAFA-43E9-9A0A-5E019CD71A36}" destId="{C0823483-7405-4A52-85DA-C686CCDE67EA}" srcOrd="1" destOrd="0" parTransId="{C1FB21BD-E162-4266-BEC7-33B0900CE3BB}" sibTransId="{E5ED87B3-4E50-4C84-8D8E-7801230D125B}"/>
    <dgm:cxn modelId="{C62EFDAF-66D3-4E8B-945D-877B194D9CEE}" type="presOf" srcId="{1321BE8B-94D6-4384-A07B-92F3BEDC5DA4}" destId="{0ECB70CC-40ED-462D-9ACE-D110945E0F1E}" srcOrd="0" destOrd="0" presId="urn:microsoft.com/office/officeart/2005/8/layout/hierarchy1"/>
    <dgm:cxn modelId="{0E3C4C01-E70E-46CE-BE42-9ADE70F35AB8}" srcId="{BAB6794D-C726-4073-B759-367810773B06}" destId="{FEA0CC71-AAFA-43E9-9A0A-5E019CD71A36}" srcOrd="0" destOrd="0" parTransId="{0E2F92F1-B9DD-43E5-9BC1-67E42868F7CC}" sibTransId="{AE1D05FB-0CB8-4D5E-B57C-1C715F4FDAF4}"/>
    <dgm:cxn modelId="{4C4A0E05-5762-45A9-AB24-1EE395ECB689}" type="presOf" srcId="{FEA0CC71-AAFA-43E9-9A0A-5E019CD71A36}" destId="{279A6EAB-9CFE-4E86-A6FA-CBA37414B21A}" srcOrd="0" destOrd="0" presId="urn:microsoft.com/office/officeart/2005/8/layout/hierarchy1"/>
    <dgm:cxn modelId="{0732A8B0-57FF-4442-A149-F82D3970AB39}" srcId="{7AC446E9-3ABB-4359-9FDE-4353340B124F}" destId="{81D61239-A442-4BD8-8498-31811065FC87}" srcOrd="0" destOrd="0" parTransId="{95A6B411-B973-4E23-88DF-E339A51C38E4}" sibTransId="{D690D6CA-DAF7-460E-827E-9D12C5896CAA}"/>
    <dgm:cxn modelId="{07E33701-774F-42A3-AC25-1C0FB9764F71}" type="presOf" srcId="{7AC446E9-3ABB-4359-9FDE-4353340B124F}" destId="{EDDA7805-CB83-43BD-98C7-EE5863EE3107}" srcOrd="0" destOrd="0" presId="urn:microsoft.com/office/officeart/2005/8/layout/hierarchy1"/>
    <dgm:cxn modelId="{B9C42F6E-ECEE-40A8-84FE-714FBC9AD234}" srcId="{BA69FFDF-C187-4910-83D5-8F711EA9840A}" destId="{8306FAA1-8A6D-4808-86AE-F88F0217615B}" srcOrd="1" destOrd="0" parTransId="{01AA94B9-E8D8-46F5-AEFF-AA8459EAC403}" sibTransId="{84F7118D-BFAD-4358-817B-A77790C80E5B}"/>
    <dgm:cxn modelId="{A69FA10B-2773-4984-A398-91D1A594DD31}" srcId="{BA69FFDF-C187-4910-83D5-8F711EA9840A}" destId="{BAB6794D-C726-4073-B759-367810773B06}" srcOrd="0" destOrd="0" parTransId="{4515A47F-1C66-4D83-9940-D2DFE80F8F55}" sibTransId="{CC479BE9-4760-4415-9496-8D91FDBD5EEE}"/>
    <dgm:cxn modelId="{A3531807-C9A5-4BAC-A97D-A114E2DC42FD}" type="presOf" srcId="{81D61239-A442-4BD8-8498-31811065FC87}" destId="{D2EF585F-6CA4-41E0-AEDD-344EEB9C7EE3}" srcOrd="0" destOrd="0" presId="urn:microsoft.com/office/officeart/2005/8/layout/hierarchy1"/>
    <dgm:cxn modelId="{07CB43E1-A598-46E2-8A91-522069247AD1}" srcId="{BAB6794D-C726-4073-B759-367810773B06}" destId="{334E378E-8261-44AD-8B2B-8855171CB940}" srcOrd="1" destOrd="0" parTransId="{90985EE0-E0F1-458A-8E2A-C6EB4D8A8AEF}" sibTransId="{F51497DB-1D1C-49B7-84C0-834D22348465}"/>
    <dgm:cxn modelId="{05FAD54A-7C07-462A-8F40-F51ADF04A560}" type="presParOf" srcId="{59E73F3F-0AA0-4A4F-80A6-DD5364526AAE}" destId="{A1939951-90C6-4C9F-9FD0-CCC823A17975}" srcOrd="0" destOrd="0" presId="urn:microsoft.com/office/officeart/2005/8/layout/hierarchy1"/>
    <dgm:cxn modelId="{65832BCA-7C00-449C-8DAB-8F0C26C2C605}" type="presParOf" srcId="{A1939951-90C6-4C9F-9FD0-CCC823A17975}" destId="{8B13DEC7-B5ED-4409-A64F-87454EE2318F}" srcOrd="0" destOrd="0" presId="urn:microsoft.com/office/officeart/2005/8/layout/hierarchy1"/>
    <dgm:cxn modelId="{7188CB2D-8D94-4FE5-803C-00B08B1B7053}" type="presParOf" srcId="{8B13DEC7-B5ED-4409-A64F-87454EE2318F}" destId="{3E31F0AE-A7F7-4371-BF25-812D39A77634}" srcOrd="0" destOrd="0" presId="urn:microsoft.com/office/officeart/2005/8/layout/hierarchy1"/>
    <dgm:cxn modelId="{598DA2EE-8125-4F06-B449-C5AD23FDDC91}" type="presParOf" srcId="{8B13DEC7-B5ED-4409-A64F-87454EE2318F}" destId="{C79424BE-A4DA-4635-A31A-BC33E9943707}" srcOrd="1" destOrd="0" presId="urn:microsoft.com/office/officeart/2005/8/layout/hierarchy1"/>
    <dgm:cxn modelId="{41B88B7D-D280-49BB-B695-83E57CC0E698}" type="presParOf" srcId="{A1939951-90C6-4C9F-9FD0-CCC823A17975}" destId="{6892D176-AABA-443A-9615-429C61577ABD}" srcOrd="1" destOrd="0" presId="urn:microsoft.com/office/officeart/2005/8/layout/hierarchy1"/>
    <dgm:cxn modelId="{35892AE5-35F6-4004-AA2D-5400B2D3FCEA}" type="presParOf" srcId="{6892D176-AABA-443A-9615-429C61577ABD}" destId="{C748244C-68B7-40E3-B99B-2942B76EDFFA}" srcOrd="0" destOrd="0" presId="urn:microsoft.com/office/officeart/2005/8/layout/hierarchy1"/>
    <dgm:cxn modelId="{7272AB9D-AD8A-4EC5-8DCD-3A1F2847CD21}" type="presParOf" srcId="{6892D176-AABA-443A-9615-429C61577ABD}" destId="{83C85942-066B-465F-8B9E-0D88B08B916A}" srcOrd="1" destOrd="0" presId="urn:microsoft.com/office/officeart/2005/8/layout/hierarchy1"/>
    <dgm:cxn modelId="{784564A5-A5DB-4618-8E69-977048C44AEA}" type="presParOf" srcId="{83C85942-066B-465F-8B9E-0D88B08B916A}" destId="{6576735E-DBC4-47D5-AFAB-E2454289B42C}" srcOrd="0" destOrd="0" presId="urn:microsoft.com/office/officeart/2005/8/layout/hierarchy1"/>
    <dgm:cxn modelId="{AC8EA21A-168B-44D2-BB38-6520B5EE644F}" type="presParOf" srcId="{6576735E-DBC4-47D5-AFAB-E2454289B42C}" destId="{3D65ED3A-B151-43A2-A752-002C8A168CFC}" srcOrd="0" destOrd="0" presId="urn:microsoft.com/office/officeart/2005/8/layout/hierarchy1"/>
    <dgm:cxn modelId="{41016000-32FA-4FB4-AC6E-7C83EC9F84FA}" type="presParOf" srcId="{6576735E-DBC4-47D5-AFAB-E2454289B42C}" destId="{815660CF-05CC-4753-B5A7-142AC5D2B10E}" srcOrd="1" destOrd="0" presId="urn:microsoft.com/office/officeart/2005/8/layout/hierarchy1"/>
    <dgm:cxn modelId="{A3E11AFE-6413-424A-8CD6-498C45091599}" type="presParOf" srcId="{83C85942-066B-465F-8B9E-0D88B08B916A}" destId="{0C8E4109-5AAB-4C71-9457-948E4C739CE2}" srcOrd="1" destOrd="0" presId="urn:microsoft.com/office/officeart/2005/8/layout/hierarchy1"/>
    <dgm:cxn modelId="{EC7B678B-0999-4243-BCC8-23D63C8F7C44}" type="presParOf" srcId="{0C8E4109-5AAB-4C71-9457-948E4C739CE2}" destId="{A1389E9E-0080-498D-B021-02F49F42521F}" srcOrd="0" destOrd="0" presId="urn:microsoft.com/office/officeart/2005/8/layout/hierarchy1"/>
    <dgm:cxn modelId="{3E559F3C-37A9-42FB-9DFB-A55A4FCB226D}" type="presParOf" srcId="{0C8E4109-5AAB-4C71-9457-948E4C739CE2}" destId="{CDB09409-AFFC-42DF-99DE-8EBE3F82AED2}" srcOrd="1" destOrd="0" presId="urn:microsoft.com/office/officeart/2005/8/layout/hierarchy1"/>
    <dgm:cxn modelId="{0C95A836-111E-4DFB-80F5-46933D0D6451}" type="presParOf" srcId="{CDB09409-AFFC-42DF-99DE-8EBE3F82AED2}" destId="{BFD998C4-DB64-43B7-BEF8-CCBFB4DFD7AD}" srcOrd="0" destOrd="0" presId="urn:microsoft.com/office/officeart/2005/8/layout/hierarchy1"/>
    <dgm:cxn modelId="{849A6DA1-3EA5-4CF5-8608-13348EC91FE1}" type="presParOf" srcId="{BFD998C4-DB64-43B7-BEF8-CCBFB4DFD7AD}" destId="{3BA1548D-BAFB-4F56-80BD-E6526097EA7C}" srcOrd="0" destOrd="0" presId="urn:microsoft.com/office/officeart/2005/8/layout/hierarchy1"/>
    <dgm:cxn modelId="{DCB4657B-E5CB-4F4B-B033-C8F868617E68}" type="presParOf" srcId="{BFD998C4-DB64-43B7-BEF8-CCBFB4DFD7AD}" destId="{279A6EAB-9CFE-4E86-A6FA-CBA37414B21A}" srcOrd="1" destOrd="0" presId="urn:microsoft.com/office/officeart/2005/8/layout/hierarchy1"/>
    <dgm:cxn modelId="{C2A5903A-B8ED-4CDB-988F-5D6A4B1FF21E}" type="presParOf" srcId="{CDB09409-AFFC-42DF-99DE-8EBE3F82AED2}" destId="{BA0DD177-D377-49F7-B79D-A881F59A43A4}" srcOrd="1" destOrd="0" presId="urn:microsoft.com/office/officeart/2005/8/layout/hierarchy1"/>
    <dgm:cxn modelId="{B7B90CE3-C292-44A9-9F2D-AC8E50558037}" type="presParOf" srcId="{BA0DD177-D377-49F7-B79D-A881F59A43A4}" destId="{7EAF12D2-7972-4E17-AC12-76F1C1195460}" srcOrd="0" destOrd="0" presId="urn:microsoft.com/office/officeart/2005/8/layout/hierarchy1"/>
    <dgm:cxn modelId="{69A4EB3A-E893-4A51-8F40-1BA100335145}" type="presParOf" srcId="{BA0DD177-D377-49F7-B79D-A881F59A43A4}" destId="{51DF6637-0F64-449B-A0CD-00F68E22B354}" srcOrd="1" destOrd="0" presId="urn:microsoft.com/office/officeart/2005/8/layout/hierarchy1"/>
    <dgm:cxn modelId="{FCCF2C1E-955C-4C53-AC83-17AC41C9C402}" type="presParOf" srcId="{51DF6637-0F64-449B-A0CD-00F68E22B354}" destId="{EF5314FE-06F2-46BE-B338-2AE991608465}" srcOrd="0" destOrd="0" presId="urn:microsoft.com/office/officeart/2005/8/layout/hierarchy1"/>
    <dgm:cxn modelId="{C9DF5439-00C9-44C0-93D2-FA1BB33587B4}" type="presParOf" srcId="{EF5314FE-06F2-46BE-B338-2AE991608465}" destId="{3D546BDD-4D61-482B-AB16-9667E17AACE1}" srcOrd="0" destOrd="0" presId="urn:microsoft.com/office/officeart/2005/8/layout/hierarchy1"/>
    <dgm:cxn modelId="{AFB5CD6D-95AB-4B3B-8A4B-DFF05A37E3B4}" type="presParOf" srcId="{EF5314FE-06F2-46BE-B338-2AE991608465}" destId="{EDDA7805-CB83-43BD-98C7-EE5863EE3107}" srcOrd="1" destOrd="0" presId="urn:microsoft.com/office/officeart/2005/8/layout/hierarchy1"/>
    <dgm:cxn modelId="{6E05343F-1515-484F-9F88-4429D17D2E77}" type="presParOf" srcId="{51DF6637-0F64-449B-A0CD-00F68E22B354}" destId="{EA89CE59-3413-4529-9660-0A14204F042E}" srcOrd="1" destOrd="0" presId="urn:microsoft.com/office/officeart/2005/8/layout/hierarchy1"/>
    <dgm:cxn modelId="{56B335D0-694A-4A78-83E5-A54B4C12E3EF}" type="presParOf" srcId="{EA89CE59-3413-4529-9660-0A14204F042E}" destId="{8B1F02BF-FE90-4F25-AAEA-E91DBFFC076C}" srcOrd="0" destOrd="0" presId="urn:microsoft.com/office/officeart/2005/8/layout/hierarchy1"/>
    <dgm:cxn modelId="{21592AD3-52DB-42D3-985C-25AA7186A978}" type="presParOf" srcId="{EA89CE59-3413-4529-9660-0A14204F042E}" destId="{46082DF9-B2FB-4CE1-857A-68BA40C026D7}" srcOrd="1" destOrd="0" presId="urn:microsoft.com/office/officeart/2005/8/layout/hierarchy1"/>
    <dgm:cxn modelId="{DC48F0E6-1EAC-4C03-87D4-F22E233ABA79}" type="presParOf" srcId="{46082DF9-B2FB-4CE1-857A-68BA40C026D7}" destId="{C8FEAC48-B8CA-4DA7-9D37-F1317114078F}" srcOrd="0" destOrd="0" presId="urn:microsoft.com/office/officeart/2005/8/layout/hierarchy1"/>
    <dgm:cxn modelId="{44E3BDC2-54DD-4E6A-9117-40FDE88D180F}" type="presParOf" srcId="{C8FEAC48-B8CA-4DA7-9D37-F1317114078F}" destId="{3AECC308-9E73-474C-B867-26C0C98BCFB0}" srcOrd="0" destOrd="0" presId="urn:microsoft.com/office/officeart/2005/8/layout/hierarchy1"/>
    <dgm:cxn modelId="{36B7DF1E-DF34-4B97-8DEE-ED45AB626E70}" type="presParOf" srcId="{C8FEAC48-B8CA-4DA7-9D37-F1317114078F}" destId="{D2EF585F-6CA4-41E0-AEDD-344EEB9C7EE3}" srcOrd="1" destOrd="0" presId="urn:microsoft.com/office/officeart/2005/8/layout/hierarchy1"/>
    <dgm:cxn modelId="{3866B1B7-DE77-41E9-B231-BFA893C5D921}" type="presParOf" srcId="{46082DF9-B2FB-4CE1-857A-68BA40C026D7}" destId="{97FC6659-9134-4991-B9E5-FC9F89E871C9}" srcOrd="1" destOrd="0" presId="urn:microsoft.com/office/officeart/2005/8/layout/hierarchy1"/>
    <dgm:cxn modelId="{30BE894D-1CE4-4806-95E7-C7BF6F56C9CB}" type="presParOf" srcId="{EA89CE59-3413-4529-9660-0A14204F042E}" destId="{0ECB70CC-40ED-462D-9ACE-D110945E0F1E}" srcOrd="2" destOrd="0" presId="urn:microsoft.com/office/officeart/2005/8/layout/hierarchy1"/>
    <dgm:cxn modelId="{F46F884F-B10A-4FC0-9EC0-710CAB37AE8D}" type="presParOf" srcId="{EA89CE59-3413-4529-9660-0A14204F042E}" destId="{95181AF0-E074-4000-8AEC-2038FD4B5687}" srcOrd="3" destOrd="0" presId="urn:microsoft.com/office/officeart/2005/8/layout/hierarchy1"/>
    <dgm:cxn modelId="{CA3143E1-CC59-489D-9F11-00B0441C783E}" type="presParOf" srcId="{95181AF0-E074-4000-8AEC-2038FD4B5687}" destId="{4484C362-9584-4C9C-8048-EE3DA655AB0E}" srcOrd="0" destOrd="0" presId="urn:microsoft.com/office/officeart/2005/8/layout/hierarchy1"/>
    <dgm:cxn modelId="{4A0A1ED6-9B1F-46BB-BBA0-616D783BF70D}" type="presParOf" srcId="{4484C362-9584-4C9C-8048-EE3DA655AB0E}" destId="{C4DB26BC-EE2E-4D28-9461-41EB4D1B8B7C}" srcOrd="0" destOrd="0" presId="urn:microsoft.com/office/officeart/2005/8/layout/hierarchy1"/>
    <dgm:cxn modelId="{50A5C6A8-BADA-4FF0-98DB-3C64BCB351F0}" type="presParOf" srcId="{4484C362-9584-4C9C-8048-EE3DA655AB0E}" destId="{EA6D9687-4C5C-4081-8D6E-ACFE7D538BF6}" srcOrd="1" destOrd="0" presId="urn:microsoft.com/office/officeart/2005/8/layout/hierarchy1"/>
    <dgm:cxn modelId="{9BB07642-ABBD-4C05-B448-DB5136D22031}" type="presParOf" srcId="{95181AF0-E074-4000-8AEC-2038FD4B5687}" destId="{E86BAE1B-7FCA-4929-8229-B0AF6678DBC8}" srcOrd="1" destOrd="0" presId="urn:microsoft.com/office/officeart/2005/8/layout/hierarchy1"/>
    <dgm:cxn modelId="{6F7D7AEA-3F95-4BF7-8E54-FC27B93F6DF6}" type="presParOf" srcId="{BA0DD177-D377-49F7-B79D-A881F59A43A4}" destId="{1C769EF6-DD29-4EAE-B135-E8E9354AB3A4}" srcOrd="2" destOrd="0" presId="urn:microsoft.com/office/officeart/2005/8/layout/hierarchy1"/>
    <dgm:cxn modelId="{13BD50EF-9D4A-4B55-A44D-6507C3BFA7C3}" type="presParOf" srcId="{BA0DD177-D377-49F7-B79D-A881F59A43A4}" destId="{2B0D3D61-14F6-4DA4-92CA-8FD92D11C451}" srcOrd="3" destOrd="0" presId="urn:microsoft.com/office/officeart/2005/8/layout/hierarchy1"/>
    <dgm:cxn modelId="{406061DB-D1AD-49B4-BABA-642E1C618A97}" type="presParOf" srcId="{2B0D3D61-14F6-4DA4-92CA-8FD92D11C451}" destId="{6643D5A3-3725-42AB-887E-BFDBC92FC0B0}" srcOrd="0" destOrd="0" presId="urn:microsoft.com/office/officeart/2005/8/layout/hierarchy1"/>
    <dgm:cxn modelId="{99021C4E-5353-4894-8005-58459C460120}" type="presParOf" srcId="{6643D5A3-3725-42AB-887E-BFDBC92FC0B0}" destId="{0096B238-3F48-490D-9A78-B6F74C1264FA}" srcOrd="0" destOrd="0" presId="urn:microsoft.com/office/officeart/2005/8/layout/hierarchy1"/>
    <dgm:cxn modelId="{96A8EF9B-732B-4BD4-BD89-FB11D6A9F48C}" type="presParOf" srcId="{6643D5A3-3725-42AB-887E-BFDBC92FC0B0}" destId="{9B9ED635-88B2-4B33-B120-1338209C3F8B}" srcOrd="1" destOrd="0" presId="urn:microsoft.com/office/officeart/2005/8/layout/hierarchy1"/>
    <dgm:cxn modelId="{2295B6A6-C542-4581-9968-8E59FA486C3F}" type="presParOf" srcId="{2B0D3D61-14F6-4DA4-92CA-8FD92D11C451}" destId="{4EFAA903-6BCD-4891-A76A-23A481E8B458}" srcOrd="1" destOrd="0" presId="urn:microsoft.com/office/officeart/2005/8/layout/hierarchy1"/>
    <dgm:cxn modelId="{A386797A-6CCF-4DAE-AC5B-C7CEF7A50DD8}" type="presParOf" srcId="{0C8E4109-5AAB-4C71-9457-948E4C739CE2}" destId="{F45B2BB1-ED5F-403D-8612-E4F8278C76DA}" srcOrd="2" destOrd="0" presId="urn:microsoft.com/office/officeart/2005/8/layout/hierarchy1"/>
    <dgm:cxn modelId="{A1F3B352-3BE2-46AC-B4E4-D2E32683458A}" type="presParOf" srcId="{0C8E4109-5AAB-4C71-9457-948E4C739CE2}" destId="{45C1F80B-1F9C-407D-8B56-432B95074E03}" srcOrd="3" destOrd="0" presId="urn:microsoft.com/office/officeart/2005/8/layout/hierarchy1"/>
    <dgm:cxn modelId="{D9EDC6B2-803E-4F26-ACC8-06380110880D}" type="presParOf" srcId="{45C1F80B-1F9C-407D-8B56-432B95074E03}" destId="{D6CA0579-C0E0-410C-862F-3CD11BEE9C69}" srcOrd="0" destOrd="0" presId="urn:microsoft.com/office/officeart/2005/8/layout/hierarchy1"/>
    <dgm:cxn modelId="{AF3F2A2A-1B71-4506-8B24-F5A74181C552}" type="presParOf" srcId="{D6CA0579-C0E0-410C-862F-3CD11BEE9C69}" destId="{5B43D512-11C6-4987-B069-396E6F1D7655}" srcOrd="0" destOrd="0" presId="urn:microsoft.com/office/officeart/2005/8/layout/hierarchy1"/>
    <dgm:cxn modelId="{DDA70BDC-ABB0-4B6D-8C6D-3206CA235F5E}" type="presParOf" srcId="{D6CA0579-C0E0-410C-862F-3CD11BEE9C69}" destId="{B1C7155C-30BF-4C37-AC30-D84C81D7DA14}" srcOrd="1" destOrd="0" presId="urn:microsoft.com/office/officeart/2005/8/layout/hierarchy1"/>
    <dgm:cxn modelId="{0DEE7672-717A-4808-BBFA-DEA65267467F}" type="presParOf" srcId="{45C1F80B-1F9C-407D-8B56-432B95074E03}" destId="{5AEC012A-082D-4C9C-B5A8-E8310547440A}" srcOrd="1" destOrd="0" presId="urn:microsoft.com/office/officeart/2005/8/layout/hierarchy1"/>
    <dgm:cxn modelId="{A815AA19-EB01-4ADF-85DA-63D83CACF346}" type="presParOf" srcId="{6892D176-AABA-443A-9615-429C61577ABD}" destId="{4756EF0C-A976-4EE6-80C6-CFB71AA01F6F}" srcOrd="2" destOrd="0" presId="urn:microsoft.com/office/officeart/2005/8/layout/hierarchy1"/>
    <dgm:cxn modelId="{2959CC82-2E83-4BC7-BE6C-95E1DE366EB6}" type="presParOf" srcId="{6892D176-AABA-443A-9615-429C61577ABD}" destId="{18A0470E-68D2-4795-86AF-0C23D7C43421}" srcOrd="3" destOrd="0" presId="urn:microsoft.com/office/officeart/2005/8/layout/hierarchy1"/>
    <dgm:cxn modelId="{5EEBD9FC-DAE3-4EA6-844D-29DADA99D900}" type="presParOf" srcId="{18A0470E-68D2-4795-86AF-0C23D7C43421}" destId="{7BAEC48E-FE59-42BC-A380-4E07C986D53B}" srcOrd="0" destOrd="0" presId="urn:microsoft.com/office/officeart/2005/8/layout/hierarchy1"/>
    <dgm:cxn modelId="{E9530D5D-D4E5-46A1-AC9A-BBCD094A2998}" type="presParOf" srcId="{7BAEC48E-FE59-42BC-A380-4E07C986D53B}" destId="{A44FD781-AF0E-4916-B21A-27D8AA4C8A0F}" srcOrd="0" destOrd="0" presId="urn:microsoft.com/office/officeart/2005/8/layout/hierarchy1"/>
    <dgm:cxn modelId="{0354B529-B249-4368-BC49-4DFB4E8B9B6C}" type="presParOf" srcId="{7BAEC48E-FE59-42BC-A380-4E07C986D53B}" destId="{2D55AF5B-DEB2-4476-A29B-D78969CFF3AF}" srcOrd="1" destOrd="0" presId="urn:microsoft.com/office/officeart/2005/8/layout/hierarchy1"/>
    <dgm:cxn modelId="{04D54AF3-442A-44ED-A85F-EEE1652A674C}" type="presParOf" srcId="{18A0470E-68D2-4795-86AF-0C23D7C43421}" destId="{BB8C85E2-67D9-49A7-BBA2-19A39DBB105C}"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56EF0C-A976-4EE6-80C6-CFB71AA01F6F}">
      <dsp:nvSpPr>
        <dsp:cNvPr id="0" name=""/>
        <dsp:cNvSpPr/>
      </dsp:nvSpPr>
      <dsp:spPr>
        <a:xfrm>
          <a:off x="3278843" y="626009"/>
          <a:ext cx="1015093" cy="269975"/>
        </a:xfrm>
        <a:custGeom>
          <a:avLst/>
          <a:gdLst/>
          <a:ahLst/>
          <a:cxnLst/>
          <a:rect l="0" t="0" r="0" b="0"/>
          <a:pathLst>
            <a:path>
              <a:moveTo>
                <a:pt x="0" y="0"/>
              </a:moveTo>
              <a:lnTo>
                <a:pt x="0" y="183980"/>
              </a:lnTo>
              <a:lnTo>
                <a:pt x="1015093" y="183980"/>
              </a:lnTo>
              <a:lnTo>
                <a:pt x="1015093" y="26997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5B2BB1-ED5F-403D-8612-E4F8278C76DA}">
      <dsp:nvSpPr>
        <dsp:cNvPr id="0" name=""/>
        <dsp:cNvSpPr/>
      </dsp:nvSpPr>
      <dsp:spPr>
        <a:xfrm>
          <a:off x="2298988" y="1485445"/>
          <a:ext cx="567284" cy="269975"/>
        </a:xfrm>
        <a:custGeom>
          <a:avLst/>
          <a:gdLst/>
          <a:ahLst/>
          <a:cxnLst/>
          <a:rect l="0" t="0" r="0" b="0"/>
          <a:pathLst>
            <a:path>
              <a:moveTo>
                <a:pt x="0" y="0"/>
              </a:moveTo>
              <a:lnTo>
                <a:pt x="0" y="183980"/>
              </a:lnTo>
              <a:lnTo>
                <a:pt x="567284" y="183980"/>
              </a:lnTo>
              <a:lnTo>
                <a:pt x="567284" y="26997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769EF6-DD29-4EAE-B135-E8E9354AB3A4}">
      <dsp:nvSpPr>
        <dsp:cNvPr id="0" name=""/>
        <dsp:cNvSpPr/>
      </dsp:nvSpPr>
      <dsp:spPr>
        <a:xfrm>
          <a:off x="1599228" y="2344881"/>
          <a:ext cx="567284" cy="269975"/>
        </a:xfrm>
        <a:custGeom>
          <a:avLst/>
          <a:gdLst/>
          <a:ahLst/>
          <a:cxnLst/>
          <a:rect l="0" t="0" r="0" b="0"/>
          <a:pathLst>
            <a:path>
              <a:moveTo>
                <a:pt x="0" y="0"/>
              </a:moveTo>
              <a:lnTo>
                <a:pt x="0" y="183980"/>
              </a:lnTo>
              <a:lnTo>
                <a:pt x="567284" y="183980"/>
              </a:lnTo>
              <a:lnTo>
                <a:pt x="567284" y="26997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CB70CC-40ED-462D-9ACE-D110945E0F1E}">
      <dsp:nvSpPr>
        <dsp:cNvPr id="0" name=""/>
        <dsp:cNvSpPr/>
      </dsp:nvSpPr>
      <dsp:spPr>
        <a:xfrm>
          <a:off x="1031943" y="3204317"/>
          <a:ext cx="567284" cy="269975"/>
        </a:xfrm>
        <a:custGeom>
          <a:avLst/>
          <a:gdLst/>
          <a:ahLst/>
          <a:cxnLst/>
          <a:rect l="0" t="0" r="0" b="0"/>
          <a:pathLst>
            <a:path>
              <a:moveTo>
                <a:pt x="0" y="0"/>
              </a:moveTo>
              <a:lnTo>
                <a:pt x="0" y="183980"/>
              </a:lnTo>
              <a:lnTo>
                <a:pt x="567284" y="183980"/>
              </a:lnTo>
              <a:lnTo>
                <a:pt x="567284" y="26997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1F02BF-FE90-4F25-AAEA-E91DBFFC076C}">
      <dsp:nvSpPr>
        <dsp:cNvPr id="0" name=""/>
        <dsp:cNvSpPr/>
      </dsp:nvSpPr>
      <dsp:spPr>
        <a:xfrm>
          <a:off x="464659" y="3204317"/>
          <a:ext cx="567284" cy="269975"/>
        </a:xfrm>
        <a:custGeom>
          <a:avLst/>
          <a:gdLst/>
          <a:ahLst/>
          <a:cxnLst/>
          <a:rect l="0" t="0" r="0" b="0"/>
          <a:pathLst>
            <a:path>
              <a:moveTo>
                <a:pt x="567284" y="0"/>
              </a:moveTo>
              <a:lnTo>
                <a:pt x="567284" y="183980"/>
              </a:lnTo>
              <a:lnTo>
                <a:pt x="0" y="183980"/>
              </a:lnTo>
              <a:lnTo>
                <a:pt x="0" y="26997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AF12D2-7972-4E17-AC12-76F1C1195460}">
      <dsp:nvSpPr>
        <dsp:cNvPr id="0" name=""/>
        <dsp:cNvSpPr/>
      </dsp:nvSpPr>
      <dsp:spPr>
        <a:xfrm>
          <a:off x="1031943" y="2344881"/>
          <a:ext cx="567284" cy="269975"/>
        </a:xfrm>
        <a:custGeom>
          <a:avLst/>
          <a:gdLst/>
          <a:ahLst/>
          <a:cxnLst/>
          <a:rect l="0" t="0" r="0" b="0"/>
          <a:pathLst>
            <a:path>
              <a:moveTo>
                <a:pt x="567284" y="0"/>
              </a:moveTo>
              <a:lnTo>
                <a:pt x="567284" y="183980"/>
              </a:lnTo>
              <a:lnTo>
                <a:pt x="0" y="183980"/>
              </a:lnTo>
              <a:lnTo>
                <a:pt x="0" y="26997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389E9E-0080-498D-B021-02F49F42521F}">
      <dsp:nvSpPr>
        <dsp:cNvPr id="0" name=""/>
        <dsp:cNvSpPr/>
      </dsp:nvSpPr>
      <dsp:spPr>
        <a:xfrm>
          <a:off x="1599228" y="1485445"/>
          <a:ext cx="699759" cy="269975"/>
        </a:xfrm>
        <a:custGeom>
          <a:avLst/>
          <a:gdLst/>
          <a:ahLst/>
          <a:cxnLst/>
          <a:rect l="0" t="0" r="0" b="0"/>
          <a:pathLst>
            <a:path>
              <a:moveTo>
                <a:pt x="699759" y="0"/>
              </a:moveTo>
              <a:lnTo>
                <a:pt x="699759" y="183980"/>
              </a:lnTo>
              <a:lnTo>
                <a:pt x="0" y="183980"/>
              </a:lnTo>
              <a:lnTo>
                <a:pt x="0" y="26997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48244C-68B7-40E3-B99B-2942B76EDFFA}">
      <dsp:nvSpPr>
        <dsp:cNvPr id="0" name=""/>
        <dsp:cNvSpPr/>
      </dsp:nvSpPr>
      <dsp:spPr>
        <a:xfrm>
          <a:off x="2298988" y="626009"/>
          <a:ext cx="979855" cy="269975"/>
        </a:xfrm>
        <a:custGeom>
          <a:avLst/>
          <a:gdLst/>
          <a:ahLst/>
          <a:cxnLst/>
          <a:rect l="0" t="0" r="0" b="0"/>
          <a:pathLst>
            <a:path>
              <a:moveTo>
                <a:pt x="979855" y="0"/>
              </a:moveTo>
              <a:lnTo>
                <a:pt x="979855" y="183980"/>
              </a:lnTo>
              <a:lnTo>
                <a:pt x="0" y="183980"/>
              </a:lnTo>
              <a:lnTo>
                <a:pt x="0" y="26997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31F0AE-A7F7-4371-BF25-812D39A77634}">
      <dsp:nvSpPr>
        <dsp:cNvPr id="0" name=""/>
        <dsp:cNvSpPr/>
      </dsp:nvSpPr>
      <dsp:spPr>
        <a:xfrm>
          <a:off x="2700592" y="36549"/>
          <a:ext cx="1156502" cy="5894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79424BE-A4DA-4635-A31A-BC33E9943707}">
      <dsp:nvSpPr>
        <dsp:cNvPr id="0" name=""/>
        <dsp:cNvSpPr/>
      </dsp:nvSpPr>
      <dsp:spPr>
        <a:xfrm>
          <a:off x="2803735" y="134535"/>
          <a:ext cx="1156502" cy="5894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NZ" sz="1000" kern="1200">
              <a:latin typeface="Times New Roman" panose="02020603050405020304" pitchFamily="18" charset="0"/>
              <a:cs typeface="Times New Roman" panose="02020603050405020304" pitchFamily="18" charset="0"/>
            </a:rPr>
            <a:t>Wave 1 (2012)</a:t>
          </a:r>
          <a:br>
            <a:rPr lang="en-NZ" sz="1000" kern="1200">
              <a:latin typeface="Times New Roman" panose="02020603050405020304" pitchFamily="18" charset="0"/>
              <a:cs typeface="Times New Roman" panose="02020603050405020304" pitchFamily="18" charset="0"/>
            </a:rPr>
          </a:br>
          <a:r>
            <a:rPr lang="en-NZ" sz="1000" kern="1200">
              <a:latin typeface="Times New Roman" panose="02020603050405020304" pitchFamily="18" charset="0"/>
              <a:cs typeface="Times New Roman" panose="02020603050405020304" pitchFamily="18" charset="0"/>
            </a:rPr>
            <a:t>N=6,251</a:t>
          </a:r>
        </a:p>
      </dsp:txBody>
      <dsp:txXfrm>
        <a:off x="2821000" y="151800"/>
        <a:ext cx="1121972" cy="554930"/>
      </dsp:txXfrm>
    </dsp:sp>
    <dsp:sp modelId="{3D65ED3A-B151-43A2-A752-002C8A168CFC}">
      <dsp:nvSpPr>
        <dsp:cNvPr id="0" name=""/>
        <dsp:cNvSpPr/>
      </dsp:nvSpPr>
      <dsp:spPr>
        <a:xfrm>
          <a:off x="1387037" y="895985"/>
          <a:ext cx="1823901" cy="5894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15660CF-05CC-4753-B5A7-142AC5D2B10E}">
      <dsp:nvSpPr>
        <dsp:cNvPr id="0" name=""/>
        <dsp:cNvSpPr/>
      </dsp:nvSpPr>
      <dsp:spPr>
        <a:xfrm>
          <a:off x="1490180" y="993971"/>
          <a:ext cx="1823901" cy="589460"/>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NZ" sz="1000" kern="1200">
              <a:latin typeface="Times New Roman" panose="02020603050405020304" pitchFamily="18" charset="0"/>
              <a:cs typeface="Times New Roman" panose="02020603050405020304" pitchFamily="18" charset="0"/>
            </a:rPr>
            <a:t>Attempted 12-month follow-up (2013)</a:t>
          </a:r>
          <a:br>
            <a:rPr lang="en-NZ" sz="1000" kern="1200">
              <a:latin typeface="Times New Roman" panose="02020603050405020304" pitchFamily="18" charset="0"/>
              <a:cs typeface="Times New Roman" panose="02020603050405020304" pitchFamily="18" charset="0"/>
            </a:rPr>
          </a:br>
          <a:r>
            <a:rPr lang="en-NZ" sz="1000" kern="1200">
              <a:latin typeface="Times New Roman" panose="02020603050405020304" pitchFamily="18" charset="0"/>
              <a:cs typeface="Times New Roman" panose="02020603050405020304" pitchFamily="18" charset="0"/>
            </a:rPr>
            <a:t>n=5,266</a:t>
          </a:r>
          <a:endParaRPr lang="en-NZ" sz="1000" kern="1200"/>
        </a:p>
      </dsp:txBody>
      <dsp:txXfrm>
        <a:off x="1507445" y="1011236"/>
        <a:ext cx="1789371" cy="554930"/>
      </dsp:txXfrm>
    </dsp:sp>
    <dsp:sp modelId="{3BA1548D-BAFB-4F56-80BD-E6526097EA7C}">
      <dsp:nvSpPr>
        <dsp:cNvPr id="0" name=""/>
        <dsp:cNvSpPr/>
      </dsp:nvSpPr>
      <dsp:spPr>
        <a:xfrm>
          <a:off x="1135086" y="1755421"/>
          <a:ext cx="928283" cy="58946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79A6EAB-9CFE-4E86-A6FA-CBA37414B21A}">
      <dsp:nvSpPr>
        <dsp:cNvPr id="0" name=""/>
        <dsp:cNvSpPr/>
      </dsp:nvSpPr>
      <dsp:spPr>
        <a:xfrm>
          <a:off x="1238229" y="1853407"/>
          <a:ext cx="928283" cy="58946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NZ" sz="1000" kern="1200">
              <a:latin typeface="Times New Roman" panose="02020603050405020304" pitchFamily="18" charset="0"/>
              <a:cs typeface="Times New Roman" panose="02020603050405020304" pitchFamily="18" charset="0"/>
            </a:rPr>
            <a:t>Wave 2 (2013) participated</a:t>
          </a:r>
          <a:br>
            <a:rPr lang="en-NZ" sz="1000" kern="1200">
              <a:latin typeface="Times New Roman" panose="02020603050405020304" pitchFamily="18" charset="0"/>
              <a:cs typeface="Times New Roman" panose="02020603050405020304" pitchFamily="18" charset="0"/>
            </a:rPr>
          </a:br>
          <a:r>
            <a:rPr lang="en-NZ" sz="1000" kern="1200">
              <a:latin typeface="Times New Roman" panose="02020603050405020304" pitchFamily="18" charset="0"/>
              <a:cs typeface="Times New Roman" panose="02020603050405020304" pitchFamily="18" charset="0"/>
            </a:rPr>
            <a:t>n=3,745</a:t>
          </a:r>
        </a:p>
      </dsp:txBody>
      <dsp:txXfrm>
        <a:off x="1255494" y="1870672"/>
        <a:ext cx="893753" cy="554930"/>
      </dsp:txXfrm>
    </dsp:sp>
    <dsp:sp modelId="{3D546BDD-4D61-482B-AB16-9667E17AACE1}">
      <dsp:nvSpPr>
        <dsp:cNvPr id="0" name=""/>
        <dsp:cNvSpPr/>
      </dsp:nvSpPr>
      <dsp:spPr>
        <a:xfrm>
          <a:off x="567802" y="2614857"/>
          <a:ext cx="928283" cy="58946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DA7805-CB83-43BD-98C7-EE5863EE3107}">
      <dsp:nvSpPr>
        <dsp:cNvPr id="0" name=""/>
        <dsp:cNvSpPr/>
      </dsp:nvSpPr>
      <dsp:spPr>
        <a:xfrm>
          <a:off x="670944" y="2712843"/>
          <a:ext cx="928283" cy="589460"/>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NZ" sz="1000" kern="1200">
              <a:latin typeface="Times New Roman" panose="02020603050405020304" pitchFamily="18" charset="0"/>
              <a:cs typeface="Times New Roman" panose="02020603050405020304" pitchFamily="18" charset="0"/>
            </a:rPr>
            <a:t>Wave 3 (2014)</a:t>
          </a:r>
          <a:br>
            <a:rPr lang="en-NZ" sz="1000" kern="1200">
              <a:latin typeface="Times New Roman" panose="02020603050405020304" pitchFamily="18" charset="0"/>
              <a:cs typeface="Times New Roman" panose="02020603050405020304" pitchFamily="18" charset="0"/>
            </a:rPr>
          </a:br>
          <a:r>
            <a:rPr lang="en-NZ" sz="1000" kern="1200">
              <a:latin typeface="Times New Roman" panose="02020603050405020304" pitchFamily="18" charset="0"/>
              <a:cs typeface="Times New Roman" panose="02020603050405020304" pitchFamily="18" charset="0"/>
            </a:rPr>
            <a:t>participated</a:t>
          </a:r>
        </a:p>
        <a:p>
          <a:pPr lvl="0" algn="ctr" defTabSz="444500">
            <a:lnSpc>
              <a:spcPct val="90000"/>
            </a:lnSpc>
            <a:spcBef>
              <a:spcPct val="0"/>
            </a:spcBef>
            <a:spcAft>
              <a:spcPct val="35000"/>
            </a:spcAft>
          </a:pPr>
          <a:r>
            <a:rPr lang="en-NZ" sz="1000" kern="1200">
              <a:latin typeface="Times New Roman" panose="02020603050405020304" pitchFamily="18" charset="0"/>
              <a:cs typeface="Times New Roman" panose="02020603050405020304" pitchFamily="18" charset="0"/>
            </a:rPr>
            <a:t>n=3,115</a:t>
          </a:r>
        </a:p>
      </dsp:txBody>
      <dsp:txXfrm>
        <a:off x="688209" y="2730108"/>
        <a:ext cx="893753" cy="554930"/>
      </dsp:txXfrm>
    </dsp:sp>
    <dsp:sp modelId="{3AECC308-9E73-474C-B867-26C0C98BCFB0}">
      <dsp:nvSpPr>
        <dsp:cNvPr id="0" name=""/>
        <dsp:cNvSpPr/>
      </dsp:nvSpPr>
      <dsp:spPr>
        <a:xfrm>
          <a:off x="517" y="3474293"/>
          <a:ext cx="928283" cy="589460"/>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EF585F-6CA4-41E0-AEDD-344EEB9C7EE3}">
      <dsp:nvSpPr>
        <dsp:cNvPr id="0" name=""/>
        <dsp:cNvSpPr/>
      </dsp:nvSpPr>
      <dsp:spPr>
        <a:xfrm>
          <a:off x="103660" y="3572279"/>
          <a:ext cx="928283" cy="589460"/>
        </a:xfrm>
        <a:prstGeom prst="roundRect">
          <a:avLst>
            <a:gd name="adj" fmla="val 1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NZ" sz="1000" kern="1200">
              <a:latin typeface="Times New Roman" panose="02020603050405020304" pitchFamily="18" charset="0"/>
              <a:cs typeface="Times New Roman" panose="02020603050405020304" pitchFamily="18" charset="0"/>
            </a:rPr>
            <a:t>Wave 4 (2015)</a:t>
          </a:r>
          <a:br>
            <a:rPr lang="en-NZ" sz="1000" kern="1200">
              <a:latin typeface="Times New Roman" panose="02020603050405020304" pitchFamily="18" charset="0"/>
              <a:cs typeface="Times New Roman" panose="02020603050405020304" pitchFamily="18" charset="0"/>
            </a:rPr>
          </a:br>
          <a:r>
            <a:rPr lang="en-NZ" sz="1000" kern="1200">
              <a:latin typeface="Times New Roman" panose="02020603050405020304" pitchFamily="18" charset="0"/>
              <a:cs typeface="Times New Roman" panose="02020603050405020304" pitchFamily="18" charset="0"/>
            </a:rPr>
            <a:t>participated</a:t>
          </a:r>
        </a:p>
        <a:p>
          <a:pPr lvl="0" algn="ctr" defTabSz="444500">
            <a:lnSpc>
              <a:spcPct val="90000"/>
            </a:lnSpc>
            <a:spcBef>
              <a:spcPct val="0"/>
            </a:spcBef>
            <a:spcAft>
              <a:spcPct val="35000"/>
            </a:spcAft>
          </a:pPr>
          <a:r>
            <a:rPr lang="en-NZ" sz="1000" kern="1200">
              <a:latin typeface="Times New Roman" panose="02020603050405020304" pitchFamily="18" charset="0"/>
              <a:cs typeface="Times New Roman" panose="02020603050405020304" pitchFamily="18" charset="0"/>
            </a:rPr>
            <a:t>n=2,770</a:t>
          </a:r>
        </a:p>
      </dsp:txBody>
      <dsp:txXfrm>
        <a:off x="120925" y="3589544"/>
        <a:ext cx="893753" cy="554930"/>
      </dsp:txXfrm>
    </dsp:sp>
    <dsp:sp modelId="{C4DB26BC-EE2E-4D28-9461-41EB4D1B8B7C}">
      <dsp:nvSpPr>
        <dsp:cNvPr id="0" name=""/>
        <dsp:cNvSpPr/>
      </dsp:nvSpPr>
      <dsp:spPr>
        <a:xfrm>
          <a:off x="1135086" y="3474293"/>
          <a:ext cx="928283" cy="589460"/>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6D9687-4C5C-4081-8D6E-ACFE7D538BF6}">
      <dsp:nvSpPr>
        <dsp:cNvPr id="0" name=""/>
        <dsp:cNvSpPr/>
      </dsp:nvSpPr>
      <dsp:spPr>
        <a:xfrm>
          <a:off x="1238229" y="3572279"/>
          <a:ext cx="928283" cy="589460"/>
        </a:xfrm>
        <a:prstGeom prst="roundRect">
          <a:avLst>
            <a:gd name="adj" fmla="val 1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NZ" sz="1000" kern="1200">
              <a:latin typeface="Times New Roman" panose="02020603050405020304" pitchFamily="18" charset="0"/>
              <a:cs typeface="Times New Roman" panose="02020603050405020304" pitchFamily="18" charset="0"/>
            </a:rPr>
            <a:t>Wave 4 did not participate</a:t>
          </a:r>
        </a:p>
        <a:p>
          <a:pPr lvl="0" algn="ctr" defTabSz="444500">
            <a:lnSpc>
              <a:spcPct val="90000"/>
            </a:lnSpc>
            <a:spcBef>
              <a:spcPct val="0"/>
            </a:spcBef>
            <a:spcAft>
              <a:spcPct val="35000"/>
            </a:spcAft>
          </a:pPr>
          <a:r>
            <a:rPr lang="en-NZ" sz="1000" kern="1200">
              <a:latin typeface="Times New Roman" panose="02020603050405020304" pitchFamily="18" charset="0"/>
              <a:cs typeface="Times New Roman" panose="02020603050405020304" pitchFamily="18" charset="0"/>
            </a:rPr>
            <a:t>n=345</a:t>
          </a:r>
        </a:p>
      </dsp:txBody>
      <dsp:txXfrm>
        <a:off x="1255494" y="3589544"/>
        <a:ext cx="893753" cy="554930"/>
      </dsp:txXfrm>
    </dsp:sp>
    <dsp:sp modelId="{0096B238-3F48-490D-9A78-B6F74C1264FA}">
      <dsp:nvSpPr>
        <dsp:cNvPr id="0" name=""/>
        <dsp:cNvSpPr/>
      </dsp:nvSpPr>
      <dsp:spPr>
        <a:xfrm>
          <a:off x="1702370" y="2614857"/>
          <a:ext cx="928283" cy="589460"/>
        </a:xfrm>
        <a:prstGeom prst="roundRect">
          <a:avLst>
            <a:gd name="adj" fmla="val 10000"/>
          </a:avLst>
        </a:prstGeom>
        <a:solidFill>
          <a:schemeClr val="accent4">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9ED635-88B2-4B33-B120-1338209C3F8B}">
      <dsp:nvSpPr>
        <dsp:cNvPr id="0" name=""/>
        <dsp:cNvSpPr/>
      </dsp:nvSpPr>
      <dsp:spPr>
        <a:xfrm>
          <a:off x="1805513" y="2712843"/>
          <a:ext cx="928283" cy="589460"/>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NZ" sz="1000" kern="1200">
              <a:latin typeface="Times New Roman" panose="02020603050405020304" pitchFamily="18" charset="0"/>
              <a:cs typeface="Times New Roman" panose="02020603050405020304" pitchFamily="18" charset="0"/>
            </a:rPr>
            <a:t>Wave 3 did not participate</a:t>
          </a:r>
        </a:p>
        <a:p>
          <a:pPr lvl="0" algn="ctr" defTabSz="444500">
            <a:lnSpc>
              <a:spcPct val="90000"/>
            </a:lnSpc>
            <a:spcBef>
              <a:spcPct val="0"/>
            </a:spcBef>
            <a:spcAft>
              <a:spcPct val="35000"/>
            </a:spcAft>
          </a:pPr>
          <a:r>
            <a:rPr lang="en-NZ" sz="1000" kern="1200">
              <a:latin typeface="Times New Roman" panose="02020603050405020304" pitchFamily="18" charset="0"/>
              <a:cs typeface="Times New Roman" panose="02020603050405020304" pitchFamily="18" charset="0"/>
            </a:rPr>
            <a:t>n=630</a:t>
          </a:r>
        </a:p>
      </dsp:txBody>
      <dsp:txXfrm>
        <a:off x="1822778" y="2730108"/>
        <a:ext cx="893753" cy="554930"/>
      </dsp:txXfrm>
    </dsp:sp>
    <dsp:sp modelId="{5B43D512-11C6-4987-B069-396E6F1D7655}">
      <dsp:nvSpPr>
        <dsp:cNvPr id="0" name=""/>
        <dsp:cNvSpPr/>
      </dsp:nvSpPr>
      <dsp:spPr>
        <a:xfrm>
          <a:off x="2269655" y="1755421"/>
          <a:ext cx="1193234" cy="589460"/>
        </a:xfrm>
        <a:prstGeom prst="roundRect">
          <a:avLst>
            <a:gd name="adj" fmla="val 10000"/>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C7155C-30BF-4C37-AC30-D84C81D7DA14}">
      <dsp:nvSpPr>
        <dsp:cNvPr id="0" name=""/>
        <dsp:cNvSpPr/>
      </dsp:nvSpPr>
      <dsp:spPr>
        <a:xfrm>
          <a:off x="2372798" y="1853407"/>
          <a:ext cx="1193234" cy="58946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NZ" sz="1000" kern="1200">
              <a:latin typeface="Times New Roman" panose="02020603050405020304" pitchFamily="18" charset="0"/>
              <a:cs typeface="Times New Roman" panose="02020603050405020304" pitchFamily="18" charset="0"/>
            </a:rPr>
            <a:t>Wave 2 did not participate</a:t>
          </a:r>
          <a:br>
            <a:rPr lang="en-NZ" sz="1000" kern="1200">
              <a:latin typeface="Times New Roman" panose="02020603050405020304" pitchFamily="18" charset="0"/>
              <a:cs typeface="Times New Roman" panose="02020603050405020304" pitchFamily="18" charset="0"/>
            </a:rPr>
          </a:br>
          <a:r>
            <a:rPr lang="en-NZ" sz="1000" kern="1200">
              <a:latin typeface="Times New Roman" panose="02020603050405020304" pitchFamily="18" charset="0"/>
              <a:cs typeface="Times New Roman" panose="02020603050405020304" pitchFamily="18" charset="0"/>
            </a:rPr>
            <a:t>n=1,521</a:t>
          </a:r>
          <a:endParaRPr lang="en-NZ" sz="1000" kern="1200"/>
        </a:p>
      </dsp:txBody>
      <dsp:txXfrm>
        <a:off x="2390063" y="1870672"/>
        <a:ext cx="1158704" cy="554930"/>
      </dsp:txXfrm>
    </dsp:sp>
    <dsp:sp modelId="{A44FD781-AF0E-4916-B21A-27D8AA4C8A0F}">
      <dsp:nvSpPr>
        <dsp:cNvPr id="0" name=""/>
        <dsp:cNvSpPr/>
      </dsp:nvSpPr>
      <dsp:spPr>
        <a:xfrm>
          <a:off x="3417224" y="895985"/>
          <a:ext cx="1753425" cy="589460"/>
        </a:xfrm>
        <a:prstGeom prst="roundRect">
          <a:avLst>
            <a:gd name="adj" fmla="val 10000"/>
          </a:avLst>
        </a:prstGeom>
        <a:solidFill>
          <a:schemeClr val="accent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55AF5B-DEB2-4476-A29B-D78969CFF3AF}">
      <dsp:nvSpPr>
        <dsp:cNvPr id="0" name=""/>
        <dsp:cNvSpPr/>
      </dsp:nvSpPr>
      <dsp:spPr>
        <a:xfrm>
          <a:off x="3520366" y="993971"/>
          <a:ext cx="1753425" cy="589460"/>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NZ" sz="1000" kern="1200">
              <a:latin typeface="Times New Roman" panose="02020603050405020304" pitchFamily="18" charset="0"/>
              <a:cs typeface="Times New Roman" panose="02020603050405020304" pitchFamily="18" charset="0"/>
            </a:rPr>
            <a:t>No 12-month follow-up attempt (2013)</a:t>
          </a:r>
          <a:br>
            <a:rPr lang="en-NZ" sz="1000" kern="1200">
              <a:latin typeface="Times New Roman" panose="02020603050405020304" pitchFamily="18" charset="0"/>
              <a:cs typeface="Times New Roman" panose="02020603050405020304" pitchFamily="18" charset="0"/>
            </a:rPr>
          </a:br>
          <a:r>
            <a:rPr lang="en-NZ" sz="1000" kern="1200">
              <a:latin typeface="Times New Roman" panose="02020603050405020304" pitchFamily="18" charset="0"/>
              <a:cs typeface="Times New Roman" panose="02020603050405020304" pitchFamily="18" charset="0"/>
            </a:rPr>
            <a:t>n=985</a:t>
          </a:r>
          <a:endParaRPr lang="en-NZ" sz="1000" kern="1200"/>
        </a:p>
      </dsp:txBody>
      <dsp:txXfrm>
        <a:off x="3537631" y="1011236"/>
        <a:ext cx="1718895" cy="5549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71F140B5EE49069FDB663B33C8811B"/>
        <w:category>
          <w:name w:val="General"/>
          <w:gallery w:val="placeholder"/>
        </w:category>
        <w:types>
          <w:type w:val="bbPlcHdr"/>
        </w:types>
        <w:behaviors>
          <w:behavior w:val="content"/>
        </w:behaviors>
        <w:guid w:val="{C13E1A02-B95A-4B84-B1C8-39DA10D0FA18}"/>
      </w:docPartPr>
      <w:docPartBody>
        <w:p w:rsidR="006954CF" w:rsidRDefault="006954CF" w:rsidP="006954CF">
          <w:pPr>
            <w:pStyle w:val="E871F140B5EE49069FDB663B33C8811B3"/>
          </w:pPr>
          <w:r w:rsidRPr="005B38A5">
            <w:rPr>
              <w:rStyle w:val="PlaceholderText"/>
              <w:rFonts w:eastAsiaTheme="minorHAnsi"/>
            </w:rPr>
            <w:t>[Title]</w:t>
          </w:r>
        </w:p>
      </w:docPartBody>
    </w:docPart>
    <w:docPart>
      <w:docPartPr>
        <w:name w:val="2D30B94E31D942998CBF1894DF11E276"/>
        <w:category>
          <w:name w:val="General"/>
          <w:gallery w:val="placeholder"/>
        </w:category>
        <w:types>
          <w:type w:val="bbPlcHdr"/>
        </w:types>
        <w:behaviors>
          <w:behavior w:val="content"/>
        </w:behaviors>
        <w:guid w:val="{7C87804E-BBDD-4787-B58F-90419EEEE82D}"/>
      </w:docPartPr>
      <w:docPartBody>
        <w:p w:rsidR="006954CF" w:rsidRDefault="006954CF" w:rsidP="006954CF">
          <w:pPr>
            <w:pStyle w:val="2D30B94E31D942998CBF1894DF11E2766"/>
          </w:pPr>
          <w:r w:rsidRPr="005B38A5">
            <w:rPr>
              <w:rStyle w:val="PlaceholderText"/>
              <w:rFonts w:eastAsiaTheme="minorHAnsi"/>
            </w:rPr>
            <w:t>Click here to enter text.</w:t>
          </w:r>
        </w:p>
      </w:docPartBody>
    </w:docPart>
    <w:docPart>
      <w:docPartPr>
        <w:name w:val="EE9A9191CB0A43359DE819162A4485A1"/>
        <w:category>
          <w:name w:val="General"/>
          <w:gallery w:val="placeholder"/>
        </w:category>
        <w:types>
          <w:type w:val="bbPlcHdr"/>
        </w:types>
        <w:behaviors>
          <w:behavior w:val="content"/>
        </w:behaviors>
        <w:guid w:val="{8239E409-C0C4-419F-91CB-32E5401A5347}"/>
      </w:docPartPr>
      <w:docPartBody>
        <w:p w:rsidR="006954CF" w:rsidRDefault="006954CF" w:rsidP="006954CF">
          <w:pPr>
            <w:pStyle w:val="EE9A9191CB0A43359DE819162A4485A16"/>
          </w:pPr>
          <w:r w:rsidRPr="005B38A5">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Humnst777 Blk BT">
    <w:altName w:val="Tahoma"/>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Mäori">
    <w:altName w:val="Arial"/>
    <w:charset w:val="00"/>
    <w:family w:val="swiss"/>
    <w:pitch w:val="variable"/>
    <w:sig w:usb0="20007A87" w:usb1="80000000" w:usb2="00000008" w:usb3="00000000" w:csb0="000001FF" w:csb1="00000000"/>
  </w:font>
  <w:font w:name="Lucida Sans">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CF"/>
    <w:rsid w:val="00013E0A"/>
    <w:rsid w:val="000321AC"/>
    <w:rsid w:val="000508DE"/>
    <w:rsid w:val="000A533D"/>
    <w:rsid w:val="000B1B75"/>
    <w:rsid w:val="000B1BEA"/>
    <w:rsid w:val="001C5E74"/>
    <w:rsid w:val="001D4BAC"/>
    <w:rsid w:val="001E452A"/>
    <w:rsid w:val="00217AF6"/>
    <w:rsid w:val="00221D88"/>
    <w:rsid w:val="00253941"/>
    <w:rsid w:val="00276492"/>
    <w:rsid w:val="00284900"/>
    <w:rsid w:val="00296068"/>
    <w:rsid w:val="002B15FF"/>
    <w:rsid w:val="002D4500"/>
    <w:rsid w:val="00314EB0"/>
    <w:rsid w:val="00364212"/>
    <w:rsid w:val="003761B9"/>
    <w:rsid w:val="00384A29"/>
    <w:rsid w:val="003937E6"/>
    <w:rsid w:val="003B41F1"/>
    <w:rsid w:val="0042654A"/>
    <w:rsid w:val="00430FB9"/>
    <w:rsid w:val="0043141F"/>
    <w:rsid w:val="0045515E"/>
    <w:rsid w:val="004566A5"/>
    <w:rsid w:val="004B4355"/>
    <w:rsid w:val="004B6C93"/>
    <w:rsid w:val="004D7A15"/>
    <w:rsid w:val="00574CC4"/>
    <w:rsid w:val="005B46E4"/>
    <w:rsid w:val="005B7BF1"/>
    <w:rsid w:val="005E2AF8"/>
    <w:rsid w:val="005F429A"/>
    <w:rsid w:val="00621D75"/>
    <w:rsid w:val="00627CC3"/>
    <w:rsid w:val="006954CF"/>
    <w:rsid w:val="006A7B6F"/>
    <w:rsid w:val="006D1880"/>
    <w:rsid w:val="006D7529"/>
    <w:rsid w:val="00716C9A"/>
    <w:rsid w:val="00720121"/>
    <w:rsid w:val="00753DA0"/>
    <w:rsid w:val="00767C4F"/>
    <w:rsid w:val="00767DB3"/>
    <w:rsid w:val="00771145"/>
    <w:rsid w:val="00780012"/>
    <w:rsid w:val="0078337A"/>
    <w:rsid w:val="007962C9"/>
    <w:rsid w:val="00797BAD"/>
    <w:rsid w:val="007B7485"/>
    <w:rsid w:val="0084532F"/>
    <w:rsid w:val="008458F8"/>
    <w:rsid w:val="0085334F"/>
    <w:rsid w:val="008750BE"/>
    <w:rsid w:val="008C29C3"/>
    <w:rsid w:val="008D5ABE"/>
    <w:rsid w:val="008F30EE"/>
    <w:rsid w:val="009140D0"/>
    <w:rsid w:val="00914CD4"/>
    <w:rsid w:val="00915048"/>
    <w:rsid w:val="009266B0"/>
    <w:rsid w:val="00952490"/>
    <w:rsid w:val="00955C14"/>
    <w:rsid w:val="00957CAF"/>
    <w:rsid w:val="0096249F"/>
    <w:rsid w:val="00A30298"/>
    <w:rsid w:val="00A326C4"/>
    <w:rsid w:val="00A3659E"/>
    <w:rsid w:val="00A6204E"/>
    <w:rsid w:val="00A71F9C"/>
    <w:rsid w:val="00A906DC"/>
    <w:rsid w:val="00A94C46"/>
    <w:rsid w:val="00AC1073"/>
    <w:rsid w:val="00AC5947"/>
    <w:rsid w:val="00AD5E7D"/>
    <w:rsid w:val="00B12E1B"/>
    <w:rsid w:val="00B262F6"/>
    <w:rsid w:val="00B6518F"/>
    <w:rsid w:val="00B8396B"/>
    <w:rsid w:val="00B9771C"/>
    <w:rsid w:val="00BC7346"/>
    <w:rsid w:val="00BD137F"/>
    <w:rsid w:val="00BE5E7C"/>
    <w:rsid w:val="00BF18BF"/>
    <w:rsid w:val="00C10EBA"/>
    <w:rsid w:val="00C61FFC"/>
    <w:rsid w:val="00C74968"/>
    <w:rsid w:val="00CB0676"/>
    <w:rsid w:val="00CE2484"/>
    <w:rsid w:val="00D2748C"/>
    <w:rsid w:val="00D365CF"/>
    <w:rsid w:val="00D957E5"/>
    <w:rsid w:val="00DF5C6B"/>
    <w:rsid w:val="00E71DD0"/>
    <w:rsid w:val="00EB1919"/>
    <w:rsid w:val="00EC678B"/>
    <w:rsid w:val="00F04C7E"/>
    <w:rsid w:val="00F065CD"/>
    <w:rsid w:val="00F32B54"/>
    <w:rsid w:val="00F456C7"/>
    <w:rsid w:val="00F6407C"/>
    <w:rsid w:val="00F7402B"/>
    <w:rsid w:val="00F85211"/>
    <w:rsid w:val="00F85A6B"/>
    <w:rsid w:val="00FE5FB7"/>
    <w:rsid w:val="00FF47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C9A"/>
    <w:rPr>
      <w:color w:val="808080"/>
    </w:rPr>
  </w:style>
  <w:style w:type="paragraph" w:customStyle="1" w:styleId="E871F140B5EE49069FDB663B33C8811B">
    <w:name w:val="E871F140B5EE49069FDB663B33C8811B"/>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
    <w:name w:val="2D30B94E31D942998CBF1894DF11E276"/>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
    <w:name w:val="EE9A9191CB0A43359DE819162A4485A1"/>
    <w:rsid w:val="006954CF"/>
    <w:pPr>
      <w:spacing w:after="0" w:line="240" w:lineRule="auto"/>
    </w:pPr>
    <w:rPr>
      <w:rFonts w:ascii="Times New Roman" w:eastAsia="Times New Roman" w:hAnsi="Times New Roman" w:cs="Times New Roman"/>
      <w:sz w:val="24"/>
      <w:szCs w:val="24"/>
      <w:lang w:eastAsia="en-AU"/>
    </w:rPr>
  </w:style>
  <w:style w:type="paragraph" w:customStyle="1" w:styleId="E871F140B5EE49069FDB663B33C8811B1">
    <w:name w:val="E871F140B5EE49069FDB663B33C8811B1"/>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1">
    <w:name w:val="2D30B94E31D942998CBF1894DF11E2761"/>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1">
    <w:name w:val="EE9A9191CB0A43359DE819162A4485A11"/>
    <w:rsid w:val="006954CF"/>
    <w:pPr>
      <w:spacing w:after="0" w:line="240" w:lineRule="auto"/>
    </w:pPr>
    <w:rPr>
      <w:rFonts w:ascii="Times New Roman" w:eastAsia="Times New Roman" w:hAnsi="Times New Roman" w:cs="Times New Roman"/>
      <w:sz w:val="24"/>
      <w:szCs w:val="24"/>
      <w:lang w:eastAsia="en-AU"/>
    </w:rPr>
  </w:style>
  <w:style w:type="paragraph" w:customStyle="1" w:styleId="E871F140B5EE49069FDB663B33C8811B2">
    <w:name w:val="E871F140B5EE49069FDB663B33C8811B2"/>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2">
    <w:name w:val="2D30B94E31D942998CBF1894DF11E2762"/>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2">
    <w:name w:val="EE9A9191CB0A43359DE819162A4485A12"/>
    <w:rsid w:val="006954CF"/>
    <w:pPr>
      <w:spacing w:after="0" w:line="240" w:lineRule="auto"/>
    </w:pPr>
    <w:rPr>
      <w:rFonts w:ascii="Times New Roman" w:eastAsia="Times New Roman" w:hAnsi="Times New Roman" w:cs="Times New Roman"/>
      <w:sz w:val="24"/>
      <w:szCs w:val="24"/>
      <w:lang w:eastAsia="en-AU"/>
    </w:rPr>
  </w:style>
  <w:style w:type="paragraph" w:customStyle="1" w:styleId="172F4C0739814F0AB1FAF9992739E51D">
    <w:name w:val="172F4C0739814F0AB1FAF9992739E51D"/>
    <w:rsid w:val="006954CF"/>
    <w:pPr>
      <w:spacing w:after="0" w:line="240" w:lineRule="auto"/>
    </w:pPr>
    <w:rPr>
      <w:rFonts w:ascii="Times New Roman" w:eastAsia="Times New Roman" w:hAnsi="Times New Roman" w:cs="Times New Roman"/>
      <w:sz w:val="24"/>
      <w:szCs w:val="24"/>
      <w:lang w:eastAsia="en-AU"/>
    </w:rPr>
  </w:style>
  <w:style w:type="paragraph" w:customStyle="1" w:styleId="D9342C7F6F17428DB2DB86D96FF59C56">
    <w:name w:val="D9342C7F6F17428DB2DB86D96FF59C56"/>
    <w:rsid w:val="006954CF"/>
  </w:style>
  <w:style w:type="paragraph" w:customStyle="1" w:styleId="89F4680890684EE4A79CCD3E78D46C8B">
    <w:name w:val="89F4680890684EE4A79CCD3E78D46C8B"/>
    <w:rsid w:val="006954CF"/>
  </w:style>
  <w:style w:type="paragraph" w:customStyle="1" w:styleId="E871F140B5EE49069FDB663B33C8811B3">
    <w:name w:val="E871F140B5EE49069FDB663B33C8811B3"/>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3">
    <w:name w:val="2D30B94E31D942998CBF1894DF11E2763"/>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3">
    <w:name w:val="EE9A9191CB0A43359DE819162A4485A13"/>
    <w:rsid w:val="006954CF"/>
    <w:pPr>
      <w:spacing w:after="0" w:line="240" w:lineRule="auto"/>
    </w:pPr>
    <w:rPr>
      <w:rFonts w:ascii="Times New Roman" w:eastAsia="Times New Roman" w:hAnsi="Times New Roman" w:cs="Times New Roman"/>
      <w:sz w:val="24"/>
      <w:szCs w:val="24"/>
      <w:lang w:eastAsia="en-AU"/>
    </w:rPr>
  </w:style>
  <w:style w:type="paragraph" w:customStyle="1" w:styleId="F1B2AD20E3914427ADF96A38EB290259">
    <w:name w:val="F1B2AD20E3914427ADF96A38EB290259"/>
    <w:rsid w:val="006954CF"/>
    <w:pPr>
      <w:spacing w:after="0" w:line="240" w:lineRule="auto"/>
    </w:pPr>
    <w:rPr>
      <w:rFonts w:ascii="Times New Roman" w:eastAsia="Times New Roman" w:hAnsi="Times New Roman" w:cs="Times New Roman"/>
      <w:sz w:val="24"/>
      <w:szCs w:val="24"/>
      <w:lang w:eastAsia="en-AU"/>
    </w:rPr>
  </w:style>
  <w:style w:type="paragraph" w:customStyle="1" w:styleId="172F4C0739814F0AB1FAF9992739E51D1">
    <w:name w:val="172F4C0739814F0AB1FAF9992739E51D1"/>
    <w:rsid w:val="006954CF"/>
    <w:pPr>
      <w:spacing w:after="0" w:line="240" w:lineRule="auto"/>
    </w:pPr>
    <w:rPr>
      <w:rFonts w:ascii="Times New Roman" w:eastAsia="Times New Roman" w:hAnsi="Times New Roman" w:cs="Times New Roman"/>
      <w:sz w:val="24"/>
      <w:szCs w:val="24"/>
      <w:lang w:eastAsia="en-AU"/>
    </w:rPr>
  </w:style>
  <w:style w:type="paragraph" w:customStyle="1" w:styleId="D9342C7F6F17428DB2DB86D96FF59C561">
    <w:name w:val="D9342C7F6F17428DB2DB86D96FF59C561"/>
    <w:rsid w:val="006954CF"/>
    <w:pPr>
      <w:spacing w:after="0" w:line="240" w:lineRule="auto"/>
    </w:pPr>
    <w:rPr>
      <w:rFonts w:ascii="Times New Roman" w:eastAsia="Times New Roman" w:hAnsi="Times New Roman" w:cs="Times New Roman"/>
      <w:sz w:val="24"/>
      <w:szCs w:val="24"/>
      <w:lang w:eastAsia="en-AU"/>
    </w:rPr>
  </w:style>
  <w:style w:type="paragraph" w:customStyle="1" w:styleId="826022B76DFF45088A3ACC620B41D7A6">
    <w:name w:val="826022B76DFF45088A3ACC620B41D7A6"/>
    <w:rsid w:val="006954CF"/>
  </w:style>
  <w:style w:type="paragraph" w:customStyle="1" w:styleId="27C091AA18E549318EB11951297E6DDC">
    <w:name w:val="27C091AA18E549318EB11951297E6DDC"/>
    <w:rsid w:val="006954CF"/>
  </w:style>
  <w:style w:type="paragraph" w:customStyle="1" w:styleId="2D30B94E31D942998CBF1894DF11E2764">
    <w:name w:val="2D30B94E31D942998CBF1894DF11E2764"/>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4">
    <w:name w:val="EE9A9191CB0A43359DE819162A4485A14"/>
    <w:rsid w:val="006954CF"/>
    <w:pPr>
      <w:spacing w:after="0" w:line="240" w:lineRule="auto"/>
    </w:pPr>
    <w:rPr>
      <w:rFonts w:ascii="Times New Roman" w:eastAsia="Times New Roman" w:hAnsi="Times New Roman" w:cs="Times New Roman"/>
      <w:sz w:val="24"/>
      <w:szCs w:val="24"/>
      <w:lang w:eastAsia="en-AU"/>
    </w:rPr>
  </w:style>
  <w:style w:type="paragraph" w:customStyle="1" w:styleId="826022B76DFF45088A3ACC620B41D7A61">
    <w:name w:val="826022B76DFF45088A3ACC620B41D7A61"/>
    <w:rsid w:val="006954CF"/>
    <w:pPr>
      <w:spacing w:after="0" w:line="240" w:lineRule="auto"/>
    </w:pPr>
    <w:rPr>
      <w:rFonts w:ascii="Times New Roman" w:eastAsia="Times New Roman" w:hAnsi="Times New Roman" w:cs="Times New Roman"/>
      <w:sz w:val="24"/>
      <w:szCs w:val="24"/>
      <w:lang w:eastAsia="en-AU"/>
    </w:rPr>
  </w:style>
  <w:style w:type="paragraph" w:customStyle="1" w:styleId="27C091AA18E549318EB11951297E6DDC1">
    <w:name w:val="27C091AA18E549318EB11951297E6DDC1"/>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5">
    <w:name w:val="2D30B94E31D942998CBF1894DF11E2765"/>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5">
    <w:name w:val="EE9A9191CB0A43359DE819162A4485A15"/>
    <w:rsid w:val="006954CF"/>
    <w:pPr>
      <w:spacing w:after="0" w:line="240" w:lineRule="auto"/>
    </w:pPr>
    <w:rPr>
      <w:rFonts w:ascii="Times New Roman" w:eastAsia="Times New Roman" w:hAnsi="Times New Roman" w:cs="Times New Roman"/>
      <w:sz w:val="24"/>
      <w:szCs w:val="24"/>
      <w:lang w:eastAsia="en-AU"/>
    </w:rPr>
  </w:style>
  <w:style w:type="paragraph" w:customStyle="1" w:styleId="245DF9FDC26C45B9BE7116DF4BFF80BF">
    <w:name w:val="245DF9FDC26C45B9BE7116DF4BFF80BF"/>
    <w:rsid w:val="006954CF"/>
    <w:pPr>
      <w:spacing w:after="0" w:line="240" w:lineRule="auto"/>
    </w:pPr>
    <w:rPr>
      <w:rFonts w:ascii="Times New Roman" w:eastAsia="Times New Roman" w:hAnsi="Times New Roman" w:cs="Times New Roman"/>
      <w:sz w:val="24"/>
      <w:szCs w:val="24"/>
      <w:lang w:eastAsia="en-AU"/>
    </w:rPr>
  </w:style>
  <w:style w:type="paragraph" w:customStyle="1" w:styleId="826022B76DFF45088A3ACC620B41D7A62">
    <w:name w:val="826022B76DFF45088A3ACC620B41D7A62"/>
    <w:rsid w:val="006954CF"/>
    <w:pPr>
      <w:spacing w:after="0" w:line="240" w:lineRule="auto"/>
    </w:pPr>
    <w:rPr>
      <w:rFonts w:ascii="Times New Roman" w:eastAsia="Times New Roman" w:hAnsi="Times New Roman" w:cs="Times New Roman"/>
      <w:sz w:val="24"/>
      <w:szCs w:val="24"/>
      <w:lang w:eastAsia="en-AU"/>
    </w:rPr>
  </w:style>
  <w:style w:type="paragraph" w:customStyle="1" w:styleId="27C091AA18E549318EB11951297E6DDC2">
    <w:name w:val="27C091AA18E549318EB11951297E6DDC2"/>
    <w:rsid w:val="006954CF"/>
    <w:pPr>
      <w:spacing w:after="0" w:line="240" w:lineRule="auto"/>
    </w:pPr>
    <w:rPr>
      <w:rFonts w:ascii="Times New Roman" w:eastAsia="Times New Roman" w:hAnsi="Times New Roman" w:cs="Times New Roman"/>
      <w:sz w:val="24"/>
      <w:szCs w:val="24"/>
      <w:lang w:eastAsia="en-AU"/>
    </w:rPr>
  </w:style>
  <w:style w:type="paragraph" w:customStyle="1" w:styleId="0E07FB8B17AB4C6FA54B93BB1B13764A">
    <w:name w:val="0E07FB8B17AB4C6FA54B93BB1B13764A"/>
    <w:rsid w:val="006954CF"/>
  </w:style>
  <w:style w:type="paragraph" w:customStyle="1" w:styleId="AEE7DDB166284BA2A42CA42A178EAD6F">
    <w:name w:val="AEE7DDB166284BA2A42CA42A178EAD6F"/>
    <w:rsid w:val="006954CF"/>
  </w:style>
  <w:style w:type="paragraph" w:customStyle="1" w:styleId="E7593610B6D7461FAAC1E120BC14420D">
    <w:name w:val="E7593610B6D7461FAAC1E120BC14420D"/>
    <w:rsid w:val="006954CF"/>
  </w:style>
  <w:style w:type="paragraph" w:customStyle="1" w:styleId="2D30B94E31D942998CBF1894DF11E2766">
    <w:name w:val="2D30B94E31D942998CBF1894DF11E2766"/>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6">
    <w:name w:val="EE9A9191CB0A43359DE819162A4485A16"/>
    <w:rsid w:val="006954CF"/>
    <w:pPr>
      <w:spacing w:after="0" w:line="240" w:lineRule="auto"/>
    </w:pPr>
    <w:rPr>
      <w:rFonts w:ascii="Times New Roman" w:eastAsia="Times New Roman" w:hAnsi="Times New Roman" w:cs="Times New Roman"/>
      <w:sz w:val="24"/>
      <w:szCs w:val="24"/>
      <w:lang w:eastAsia="en-AU"/>
    </w:rPr>
  </w:style>
  <w:style w:type="paragraph" w:customStyle="1" w:styleId="AEE7DDB166284BA2A42CA42A178EAD6F1">
    <w:name w:val="AEE7DDB166284BA2A42CA42A178EAD6F1"/>
    <w:rsid w:val="006954CF"/>
    <w:pPr>
      <w:spacing w:after="0" w:line="240" w:lineRule="auto"/>
    </w:pPr>
    <w:rPr>
      <w:rFonts w:ascii="Times New Roman" w:eastAsia="Times New Roman" w:hAnsi="Times New Roman" w:cs="Times New Roman"/>
      <w:sz w:val="24"/>
      <w:szCs w:val="24"/>
      <w:lang w:eastAsia="en-AU"/>
    </w:rPr>
  </w:style>
  <w:style w:type="paragraph" w:customStyle="1" w:styleId="27C091AA18E549318EB11951297E6DDC3">
    <w:name w:val="27C091AA18E549318EB11951297E6DDC3"/>
    <w:rsid w:val="006954CF"/>
    <w:pPr>
      <w:spacing w:after="0" w:line="240" w:lineRule="auto"/>
    </w:pPr>
    <w:rPr>
      <w:rFonts w:ascii="Times New Roman" w:eastAsia="Times New Roman" w:hAnsi="Times New Roman" w:cs="Times New Roman"/>
      <w:sz w:val="24"/>
      <w:szCs w:val="24"/>
      <w:lang w:eastAsia="en-AU"/>
    </w:rPr>
  </w:style>
  <w:style w:type="paragraph" w:customStyle="1" w:styleId="269C2C9774B1412AA7C2A95B8942889B">
    <w:name w:val="269C2C9774B1412AA7C2A95B8942889B"/>
    <w:rsid w:val="006954CF"/>
  </w:style>
  <w:style w:type="paragraph" w:customStyle="1" w:styleId="BB618E54E3C24B25BDE78AFAEF307514">
    <w:name w:val="BB618E54E3C24B25BDE78AFAEF307514"/>
    <w:rsid w:val="00716C9A"/>
    <w:pPr>
      <w:spacing w:after="160" w:line="259" w:lineRule="auto"/>
    </w:pPr>
  </w:style>
  <w:style w:type="paragraph" w:customStyle="1" w:styleId="694D86E4033E4B6583DD11F62074D257">
    <w:name w:val="694D86E4033E4B6583DD11F62074D257"/>
    <w:rsid w:val="00716C9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4D75-7C72-4D00-AE5C-560D9978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2759ECFD</Template>
  <TotalTime>8</TotalTime>
  <Pages>178</Pages>
  <Words>68121</Words>
  <Characters>388295</Characters>
  <Application>Microsoft Office Word</Application>
  <DocSecurity>0</DocSecurity>
  <Lines>3235</Lines>
  <Paragraphs>911</Paragraphs>
  <ScaleCrop>false</ScaleCrop>
  <HeadingPairs>
    <vt:vector size="2" baseType="variant">
      <vt:variant>
        <vt:lpstr>Title</vt:lpstr>
      </vt:variant>
      <vt:variant>
        <vt:i4>1</vt:i4>
      </vt:variant>
    </vt:vector>
  </HeadingPairs>
  <TitlesOfParts>
    <vt:vector size="1" baseType="lpstr">
      <vt:lpstr>NEW ZEALAND NATIONAL GAMBLING STUDY: WAVE 4 (2015)</vt:lpstr>
    </vt:vector>
  </TitlesOfParts>
  <Company>AUT University</Company>
  <LinksUpToDate>false</LinksUpToDate>
  <CharactersWithSpaces>455505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NATIONAL GAMBLING STUDY: WAVE 4 (2015)</dc:title>
  <dc:creator>AUT</dc:creator>
  <cp:lastModifiedBy>Jane Adam</cp:lastModifiedBy>
  <cp:revision>4</cp:revision>
  <cp:lastPrinted>2018-08-01T04:27:00Z</cp:lastPrinted>
  <dcterms:created xsi:type="dcterms:W3CDTF">2018-08-01T04:26:00Z</dcterms:created>
  <dcterms:modified xsi:type="dcterms:W3CDTF">2018-08-01T04:33:00Z</dcterms:modified>
</cp:coreProperties>
</file>